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3AA4" w14:textId="55B6EEC3" w:rsidR="00A57B93" w:rsidRPr="00A57B93" w:rsidRDefault="00A57B93" w:rsidP="00673243">
      <w:pPr>
        <w:spacing w:before="120"/>
        <w:jc w:val="both"/>
        <w:rPr>
          <w:rFonts w:eastAsia="Calibri" w:cs="Times New Roman"/>
          <w:b/>
          <w:color w:val="FF0000"/>
          <w:spacing w:val="-4"/>
        </w:rPr>
      </w:pPr>
      <w:bookmarkStart w:id="0" w:name="_GoBack"/>
      <w:bookmarkEnd w:id="0"/>
      <w:r w:rsidRPr="00A57B93">
        <w:rPr>
          <w:rFonts w:eastAsia="Calibri" w:cs="Times New Roman"/>
          <w:b/>
          <w:color w:val="FF0000"/>
          <w:spacing w:val="-4"/>
        </w:rPr>
        <w:t xml:space="preserve">Los textos marcados </w:t>
      </w:r>
      <w:r w:rsidR="00FB4C71">
        <w:rPr>
          <w:rFonts w:eastAsia="Calibri" w:cs="Times New Roman"/>
          <w:b/>
          <w:color w:val="FF0000"/>
          <w:spacing w:val="-4"/>
        </w:rPr>
        <w:t xml:space="preserve">con la leyenda </w:t>
      </w:r>
      <w:r w:rsidR="00A925C8" w:rsidRPr="00A925C8">
        <w:rPr>
          <w:b/>
          <w:bCs/>
          <w:color w:val="0000CC"/>
        </w:rPr>
        <w:t>“CONFIDENCIAL POR LEY”</w:t>
      </w:r>
      <w:r w:rsidRPr="00A57B93">
        <w:rPr>
          <w:rFonts w:eastAsia="Calibri" w:cs="Times New Roman"/>
          <w:b/>
          <w:color w:val="FF0000"/>
          <w:spacing w:val="-4"/>
        </w:rPr>
        <w:t xml:space="preserve"> corresponden a información clasificada como confidencial</w:t>
      </w:r>
      <w:r>
        <w:rPr>
          <w:rFonts w:eastAsia="Calibri" w:cs="Times New Roman"/>
          <w:b/>
          <w:color w:val="FF0000"/>
          <w:spacing w:val="-4"/>
        </w:rPr>
        <w:t xml:space="preserve"> de conformidad con los artículos 3, fracción IX, 124 y 125 de la Ley Federal de Competencia Económica. Por lo anterior, dicha información obra resguardada en cuerda separada al expediente.</w:t>
      </w:r>
    </w:p>
    <w:p w14:paraId="362973A8" w14:textId="77777777" w:rsidR="00197D5B" w:rsidRDefault="003453D1" w:rsidP="00673243">
      <w:pPr>
        <w:spacing w:before="120"/>
        <w:jc w:val="both"/>
        <w:rPr>
          <w:spacing w:val="-4"/>
        </w:rPr>
      </w:pPr>
      <w:r w:rsidRPr="00673243">
        <w:rPr>
          <w:rFonts w:eastAsia="Calibri" w:cs="Times New Roman"/>
          <w:spacing w:val="-4"/>
        </w:rPr>
        <w:t xml:space="preserve">Ciudad de </w:t>
      </w:r>
      <w:r w:rsidR="00BC336F" w:rsidRPr="00673243">
        <w:rPr>
          <w:rFonts w:eastAsia="Calibri" w:cs="Times New Roman"/>
          <w:spacing w:val="-4"/>
        </w:rPr>
        <w:t xml:space="preserve">México, a </w:t>
      </w:r>
      <w:r w:rsidR="00134662">
        <w:rPr>
          <w:rFonts w:eastAsia="Calibri" w:cs="Times New Roman"/>
          <w:spacing w:val="-4"/>
        </w:rPr>
        <w:t xml:space="preserve">catorce </w:t>
      </w:r>
      <w:r w:rsidR="00BC336F" w:rsidRPr="00673243">
        <w:rPr>
          <w:rFonts w:eastAsia="Calibri" w:cs="Times New Roman"/>
          <w:spacing w:val="-4"/>
        </w:rPr>
        <w:t xml:space="preserve">de </w:t>
      </w:r>
      <w:r w:rsidR="00103638" w:rsidRPr="00673243">
        <w:rPr>
          <w:rFonts w:eastAsia="Calibri" w:cs="Times New Roman"/>
          <w:spacing w:val="-4"/>
        </w:rPr>
        <w:t xml:space="preserve">agosto </w:t>
      </w:r>
      <w:r w:rsidR="00BC336F" w:rsidRPr="00673243">
        <w:rPr>
          <w:rFonts w:eastAsia="Calibri" w:cs="Times New Roman"/>
          <w:spacing w:val="-4"/>
        </w:rPr>
        <w:t xml:space="preserve">de dos mil </w:t>
      </w:r>
      <w:r w:rsidR="005824A6" w:rsidRPr="00673243">
        <w:rPr>
          <w:rFonts w:eastAsia="Calibri" w:cs="Times New Roman"/>
          <w:spacing w:val="-4"/>
        </w:rPr>
        <w:t>d</w:t>
      </w:r>
      <w:r w:rsidR="00103638" w:rsidRPr="00673243">
        <w:rPr>
          <w:rFonts w:eastAsia="Calibri" w:cs="Times New Roman"/>
          <w:spacing w:val="-4"/>
        </w:rPr>
        <w:t>ieciocho</w:t>
      </w:r>
      <w:r w:rsidR="00BC336F" w:rsidRPr="00673243">
        <w:rPr>
          <w:rFonts w:eastAsia="Calibri" w:cs="Times New Roman"/>
          <w:spacing w:val="-4"/>
        </w:rPr>
        <w:t xml:space="preserve">.- Vistas las constancias que integran el </w:t>
      </w:r>
      <w:r w:rsidR="004D6BEE" w:rsidRPr="00673243">
        <w:rPr>
          <w:rFonts w:eastAsia="Calibri" w:cs="Times New Roman"/>
          <w:spacing w:val="-4"/>
        </w:rPr>
        <w:t>e</w:t>
      </w:r>
      <w:r w:rsidRPr="00673243">
        <w:rPr>
          <w:rFonts w:eastAsia="Calibri" w:cs="Times New Roman"/>
          <w:spacing w:val="-4"/>
        </w:rPr>
        <w:t>xpediente AI/DC-00</w:t>
      </w:r>
      <w:r w:rsidR="00103638" w:rsidRPr="00673243">
        <w:rPr>
          <w:rFonts w:eastAsia="Calibri" w:cs="Times New Roman"/>
          <w:spacing w:val="-4"/>
        </w:rPr>
        <w:t>3</w:t>
      </w:r>
      <w:r w:rsidR="009D0D0F" w:rsidRPr="00673243">
        <w:rPr>
          <w:rFonts w:eastAsia="Calibri" w:cs="Times New Roman"/>
          <w:spacing w:val="-4"/>
        </w:rPr>
        <w:t>-201</w:t>
      </w:r>
      <w:r w:rsidR="00103638" w:rsidRPr="00673243">
        <w:rPr>
          <w:rFonts w:eastAsia="Calibri" w:cs="Times New Roman"/>
          <w:spacing w:val="-4"/>
        </w:rPr>
        <w:t>8</w:t>
      </w:r>
      <w:r w:rsidR="00BC336F" w:rsidRPr="00673243">
        <w:rPr>
          <w:rFonts w:eastAsia="Calibri" w:cs="Times New Roman"/>
          <w:spacing w:val="-4"/>
        </w:rPr>
        <w:t xml:space="preserve"> y</w:t>
      </w:r>
      <w:r w:rsidR="00250897" w:rsidRPr="00673243">
        <w:rPr>
          <w:rFonts w:eastAsia="Calibri" w:cs="Times New Roman"/>
          <w:spacing w:val="-4"/>
        </w:rPr>
        <w:t xml:space="preserve"> con fundamento en lo</w:t>
      </w:r>
      <w:r w:rsidR="00BC336F" w:rsidRPr="00673243">
        <w:rPr>
          <w:rFonts w:eastAsia="Calibri" w:cs="Times New Roman"/>
          <w:spacing w:val="-4"/>
        </w:rPr>
        <w:t xml:space="preserve"> dispuesto en </w:t>
      </w:r>
      <w:r w:rsidR="00DF1ACE">
        <w:rPr>
          <w:rFonts w:eastAsia="Calibri" w:cs="Times New Roman"/>
          <w:spacing w:val="-4"/>
        </w:rPr>
        <w:t>los</w:t>
      </w:r>
      <w:r w:rsidR="00BC336F" w:rsidRPr="00673243">
        <w:rPr>
          <w:rFonts w:eastAsia="Calibri" w:cs="Times New Roman"/>
          <w:spacing w:val="-4"/>
        </w:rPr>
        <w:t xml:space="preserve"> artículo</w:t>
      </w:r>
      <w:r w:rsidR="00DF1ACE">
        <w:rPr>
          <w:rFonts w:eastAsia="Calibri" w:cs="Times New Roman"/>
          <w:spacing w:val="-4"/>
        </w:rPr>
        <w:t>s</w:t>
      </w:r>
      <w:r w:rsidR="00BC336F" w:rsidRPr="00673243">
        <w:rPr>
          <w:rFonts w:eastAsia="Calibri" w:cs="Times New Roman"/>
          <w:spacing w:val="-4"/>
        </w:rPr>
        <w:t xml:space="preserve"> </w:t>
      </w:r>
      <w:r w:rsidR="000040E8">
        <w:rPr>
          <w:rFonts w:eastAsia="Calibri" w:cs="Times New Roman"/>
        </w:rPr>
        <w:t xml:space="preserve">28, párrafos décimo quinto y décimo sexto, de la Constitución Política de los Estados Unidos Mexicanos; </w:t>
      </w:r>
      <w:r w:rsidR="000040E8" w:rsidRPr="000E30E0">
        <w:rPr>
          <w:rFonts w:eastAsia="Calibri" w:cs="Times New Roman"/>
        </w:rPr>
        <w:t>Noveno Transitorio</w:t>
      </w:r>
      <w:r w:rsidR="000040E8">
        <w:rPr>
          <w:rFonts w:eastAsia="Calibri" w:cs="Times New Roman"/>
        </w:rPr>
        <w:t xml:space="preserve">, párrafo quinto, </w:t>
      </w:r>
      <w:r w:rsidR="000040E8" w:rsidRPr="004118A2">
        <w:rPr>
          <w:rFonts w:eastAsia="Calibri" w:cs="Times New Roman"/>
        </w:rPr>
        <w:t>del</w:t>
      </w:r>
      <w:r w:rsidR="000040E8" w:rsidRPr="00F82243">
        <w:rPr>
          <w:rFonts w:eastAsia="Calibri" w:cs="Times New Roman"/>
          <w:i/>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w:t>
      </w:r>
      <w:r w:rsidR="000040E8" w:rsidRPr="000E30E0">
        <w:rPr>
          <w:rFonts w:eastAsia="Calibri" w:cs="Times New Roman"/>
        </w:rPr>
        <w:t>, publicad</w:t>
      </w:r>
      <w:r w:rsidR="000040E8">
        <w:rPr>
          <w:rFonts w:eastAsia="Calibri" w:cs="Times New Roman"/>
        </w:rPr>
        <w:t>o</w:t>
      </w:r>
      <w:r w:rsidR="000040E8" w:rsidRPr="000E30E0">
        <w:rPr>
          <w:rFonts w:eastAsia="Calibri" w:cs="Times New Roman"/>
        </w:rPr>
        <w:t xml:space="preserve"> en el D</w:t>
      </w:r>
      <w:r w:rsidR="000040E8">
        <w:rPr>
          <w:rFonts w:eastAsia="Calibri" w:cs="Times New Roman"/>
        </w:rPr>
        <w:t xml:space="preserve">iario Oficial de la Federación </w:t>
      </w:r>
      <w:r w:rsidR="000040E8" w:rsidRPr="000E30E0">
        <w:rPr>
          <w:rFonts w:eastAsia="Calibri" w:cs="Times New Roman"/>
        </w:rPr>
        <w:t>el catorce de julio de dos mil catorce;</w:t>
      </w:r>
      <w:r w:rsidR="000040E8">
        <w:rPr>
          <w:rFonts w:eastAsia="Calibri" w:cs="Times New Roman"/>
        </w:rPr>
        <w:t xml:space="preserve"> </w:t>
      </w:r>
      <w:r w:rsidR="000040E8" w:rsidRPr="000E30E0">
        <w:rPr>
          <w:rFonts w:eastAsia="Calibri" w:cs="Times New Roman"/>
        </w:rPr>
        <w:t>7</w:t>
      </w:r>
      <w:r w:rsidR="000040E8">
        <w:rPr>
          <w:rFonts w:eastAsia="Calibri" w:cs="Times New Roman"/>
        </w:rPr>
        <w:t>,</w:t>
      </w:r>
      <w:r w:rsidR="000040E8" w:rsidRPr="000E30E0">
        <w:rPr>
          <w:rFonts w:eastAsia="Calibri" w:cs="Times New Roman"/>
        </w:rPr>
        <w:t xml:space="preserve"> párrafo tercero, 15, fracción XX, 26, 28, fracción V, 264, </w:t>
      </w:r>
      <w:r w:rsidR="000040E8" w:rsidRPr="00AE0CBD">
        <w:rPr>
          <w:rFonts w:eastAsia="Calibri" w:cs="Times New Roman"/>
        </w:rPr>
        <w:t>279</w:t>
      </w:r>
      <w:r w:rsidR="000040E8">
        <w:rPr>
          <w:rFonts w:eastAsia="Calibri" w:cs="Times New Roman"/>
        </w:rPr>
        <w:t xml:space="preserve"> y </w:t>
      </w:r>
      <w:r w:rsidR="000040E8" w:rsidRPr="000E30E0">
        <w:rPr>
          <w:rFonts w:eastAsia="Calibri" w:cs="Times New Roman"/>
        </w:rPr>
        <w:t>280</w:t>
      </w:r>
      <w:r w:rsidR="000040E8">
        <w:rPr>
          <w:rFonts w:eastAsia="Calibri" w:cs="Times New Roman"/>
        </w:rPr>
        <w:t xml:space="preserve"> de la Ley Federal de Telecomunicaciones y Radiodifusión;</w:t>
      </w:r>
      <w:r w:rsidR="000040E8" w:rsidRPr="000E30E0">
        <w:rPr>
          <w:rFonts w:eastAsia="Calibri" w:cs="Times New Roman"/>
        </w:rPr>
        <w:t xml:space="preserve"> 5, párrafo primero, 26, 58, 59 y 96, fracci</w:t>
      </w:r>
      <w:r w:rsidR="000040E8">
        <w:rPr>
          <w:rFonts w:eastAsia="Calibri" w:cs="Times New Roman"/>
        </w:rPr>
        <w:t>ó</w:t>
      </w:r>
      <w:r w:rsidR="000040E8" w:rsidRPr="000E30E0">
        <w:rPr>
          <w:rFonts w:eastAsia="Calibri" w:cs="Times New Roman"/>
        </w:rPr>
        <w:t xml:space="preserve">n V, de la Ley Federal de Competencia Económica; </w:t>
      </w:r>
      <w:r w:rsidR="000040E8">
        <w:rPr>
          <w:rFonts w:eastAsia="Calibri" w:cs="Times New Roman"/>
        </w:rPr>
        <w:t xml:space="preserve">5, </w:t>
      </w:r>
      <w:r w:rsidR="000040E8" w:rsidRPr="000E30E0">
        <w:rPr>
          <w:rFonts w:eastAsia="Calibri" w:cs="Times New Roman"/>
        </w:rPr>
        <w:t xml:space="preserve">7, </w:t>
      </w:r>
      <w:r w:rsidR="000040E8">
        <w:rPr>
          <w:rFonts w:eastAsia="Calibri" w:cs="Times New Roman"/>
        </w:rPr>
        <w:t xml:space="preserve">8, </w:t>
      </w:r>
      <w:r w:rsidR="000040E8" w:rsidRPr="00E03B54">
        <w:rPr>
          <w:rFonts w:eastAsia="Calibri" w:cs="Times New Roman"/>
        </w:rPr>
        <w:t>64, 68 y 120, fracción II</w:t>
      </w:r>
      <w:r w:rsidR="000040E8">
        <w:rPr>
          <w:rFonts w:eastAsia="Calibri" w:cs="Times New Roman"/>
        </w:rPr>
        <w:t>,</w:t>
      </w:r>
      <w:r w:rsidR="000040E8" w:rsidRPr="00E03B54">
        <w:rPr>
          <w:rFonts w:eastAsia="Calibri" w:cs="Times New Roman"/>
        </w:rPr>
        <w:t xml:space="preserve"> de las Disposiciones Regulatorias de la Ley Federal de Competencia Económica para los sectores de telecomunicaciones y radiodifusión</w:t>
      </w:r>
      <w:r w:rsidR="000040E8">
        <w:rPr>
          <w:rFonts w:eastAsia="Calibri" w:cs="Times New Roman"/>
        </w:rPr>
        <w:t>, así como</w:t>
      </w:r>
      <w:r w:rsidR="000040E8" w:rsidRPr="000E30E0">
        <w:rPr>
          <w:rFonts w:eastAsia="Calibri" w:cs="Times New Roman"/>
        </w:rPr>
        <w:t xml:space="preserve"> 4</w:t>
      </w:r>
      <w:r w:rsidR="000040E8">
        <w:rPr>
          <w:rFonts w:eastAsia="Calibri" w:cs="Times New Roman"/>
        </w:rPr>
        <w:t>,</w:t>
      </w:r>
      <w:r w:rsidR="000040E8" w:rsidRPr="000E30E0">
        <w:rPr>
          <w:rFonts w:eastAsia="Calibri" w:cs="Times New Roman"/>
        </w:rPr>
        <w:t xml:space="preserve"> fracción VI, </w:t>
      </w:r>
      <w:r w:rsidR="000040E8">
        <w:rPr>
          <w:rFonts w:eastAsia="Calibri" w:cs="Times New Roman"/>
        </w:rPr>
        <w:t xml:space="preserve">y </w:t>
      </w:r>
      <w:r w:rsidR="000040E8" w:rsidRPr="000E30E0">
        <w:rPr>
          <w:rFonts w:eastAsia="Calibri" w:cs="Times New Roman"/>
        </w:rPr>
        <w:t>62</w:t>
      </w:r>
      <w:r w:rsidR="000040E8">
        <w:rPr>
          <w:rFonts w:eastAsia="Calibri" w:cs="Times New Roman"/>
        </w:rPr>
        <w:t>,</w:t>
      </w:r>
      <w:r w:rsidR="000040E8" w:rsidRPr="000E30E0">
        <w:rPr>
          <w:rFonts w:eastAsia="Calibri" w:cs="Times New Roman"/>
        </w:rPr>
        <w:t xml:space="preserve"> fracción XXIV, del Estatuto Orgánico del Instituto Federal de Telecomunicaciones</w:t>
      </w:r>
      <w:r w:rsidR="00250897" w:rsidRPr="00673243">
        <w:rPr>
          <w:rFonts w:eastAsia="Calibri" w:cs="Times New Roman"/>
          <w:spacing w:val="-4"/>
        </w:rPr>
        <w:t xml:space="preserve">, </w:t>
      </w:r>
      <w:r w:rsidR="00DF1ACE">
        <w:rPr>
          <w:rFonts w:eastAsia="Calibri" w:cs="Times New Roman"/>
          <w:spacing w:val="-4"/>
        </w:rPr>
        <w:t xml:space="preserve">la Autoridad Investigadora </w:t>
      </w:r>
      <w:r w:rsidR="000040E8">
        <w:rPr>
          <w:rFonts w:eastAsia="Calibri" w:cs="Times New Roman"/>
          <w:spacing w:val="-4"/>
        </w:rPr>
        <w:t xml:space="preserve">presenta al Pleno del Instituto Federal de Telecomunicaciones </w:t>
      </w:r>
      <w:r w:rsidR="00250897" w:rsidRPr="00673243">
        <w:rPr>
          <w:rFonts w:eastAsia="Calibri" w:cs="Times New Roman"/>
          <w:spacing w:val="-4"/>
        </w:rPr>
        <w:t>el</w:t>
      </w:r>
      <w:r w:rsidR="00844137" w:rsidRPr="00673243">
        <w:rPr>
          <w:rFonts w:eastAsia="Calibri" w:cs="Times New Roman"/>
          <w:spacing w:val="-4"/>
        </w:rPr>
        <w:t xml:space="preserve"> presente</w:t>
      </w:r>
      <w:r w:rsidR="00250897" w:rsidRPr="00673243">
        <w:rPr>
          <w:rFonts w:eastAsia="Calibri" w:cs="Times New Roman"/>
          <w:spacing w:val="-4"/>
        </w:rPr>
        <w:t xml:space="preserve"> Dictamen Preliminar</w:t>
      </w:r>
      <w:r w:rsidR="00F15E17">
        <w:rPr>
          <w:spacing w:val="-4"/>
        </w:rPr>
        <w:t xml:space="preserve"> </w:t>
      </w:r>
      <w:r w:rsidR="000040E8">
        <w:rPr>
          <w:rFonts w:eastAsia="Calibri" w:cs="Times New Roman"/>
          <w:spacing w:val="-4"/>
        </w:rPr>
        <w:t xml:space="preserve">en </w:t>
      </w:r>
      <w:r w:rsidR="00DF1ACE">
        <w:rPr>
          <w:rFonts w:eastAsia="Calibri" w:cs="Times New Roman"/>
          <w:spacing w:val="-4"/>
        </w:rPr>
        <w:t>el que propone el cierre del Expediente en el que se actúa, de acuerdo con</w:t>
      </w:r>
      <w:r w:rsidR="00DF1ACE" w:rsidRPr="00F15E17">
        <w:rPr>
          <w:spacing w:val="-4"/>
        </w:rPr>
        <w:t xml:space="preserve"> </w:t>
      </w:r>
      <w:r w:rsidR="00F15E17" w:rsidRPr="00F15E17">
        <w:rPr>
          <w:spacing w:val="-4"/>
        </w:rPr>
        <w:t>los antecedentes y consideraciones de derecho que a continuación se expresan.</w:t>
      </w:r>
    </w:p>
    <w:p w14:paraId="6F46B1D8" w14:textId="77777777" w:rsidR="00BC336F" w:rsidRPr="00673243" w:rsidRDefault="00BC336F" w:rsidP="00673243">
      <w:pPr>
        <w:pStyle w:val="Ttulo1"/>
        <w:numPr>
          <w:ilvl w:val="0"/>
          <w:numId w:val="0"/>
        </w:numPr>
        <w:spacing w:before="120" w:after="120"/>
        <w:ind w:left="432"/>
        <w:jc w:val="center"/>
        <w:rPr>
          <w:smallCaps/>
        </w:rPr>
      </w:pPr>
      <w:bookmarkStart w:id="1" w:name="_Toc463624286"/>
      <w:r w:rsidRPr="00673243">
        <w:rPr>
          <w:smallCaps/>
        </w:rPr>
        <w:t>Glosario</w:t>
      </w:r>
      <w:bookmarkEnd w:id="1"/>
    </w:p>
    <w:p w14:paraId="0621A60E" w14:textId="77777777" w:rsidR="00BC336F" w:rsidRPr="00673243" w:rsidRDefault="00BC336F" w:rsidP="009B0A36">
      <w:pPr>
        <w:pStyle w:val="Prrafodelista"/>
        <w:numPr>
          <w:ilvl w:val="0"/>
          <w:numId w:val="13"/>
        </w:numPr>
        <w:spacing w:before="120" w:after="120" w:line="240" w:lineRule="auto"/>
        <w:contextualSpacing w:val="0"/>
        <w:jc w:val="both"/>
        <w:rPr>
          <w:rFonts w:eastAsia="Times New Roman" w:cs="Times New Roman"/>
          <w:lang w:eastAsia="es-MX"/>
        </w:rPr>
      </w:pPr>
      <w:r w:rsidRPr="00673243">
        <w:rPr>
          <w:rFonts w:eastAsia="Times New Roman" w:cs="Times New Roman"/>
          <w:lang w:eastAsia="es-MX"/>
        </w:rPr>
        <w:t>A efec</w:t>
      </w:r>
      <w:r w:rsidR="00250897" w:rsidRPr="00673243">
        <w:rPr>
          <w:rFonts w:eastAsia="Times New Roman" w:cs="Times New Roman"/>
          <w:lang w:eastAsia="es-MX"/>
        </w:rPr>
        <w:t>to de brindar una lectura ágil</w:t>
      </w:r>
      <w:r w:rsidR="00420F5A" w:rsidRPr="00673243">
        <w:rPr>
          <w:rFonts w:eastAsia="Times New Roman" w:cs="Times New Roman"/>
          <w:lang w:eastAsia="es-MX"/>
        </w:rPr>
        <w:t>,</w:t>
      </w:r>
      <w:r w:rsidR="00250897" w:rsidRPr="00673243">
        <w:rPr>
          <w:rFonts w:eastAsia="Times New Roman" w:cs="Times New Roman"/>
          <w:lang w:eastAsia="es-MX"/>
        </w:rPr>
        <w:t xml:space="preserve"> en </w:t>
      </w:r>
      <w:r w:rsidRPr="00673243">
        <w:rPr>
          <w:rFonts w:eastAsia="Times New Roman" w:cs="Times New Roman"/>
          <w:lang w:eastAsia="es-MX"/>
        </w:rPr>
        <w:t>el presente documento se utilizarán los siguientes acrónimos y términos:</w:t>
      </w:r>
    </w:p>
    <w:tbl>
      <w:tblPr>
        <w:tblStyle w:val="Tablaconcuadrcula"/>
        <w:tblW w:w="894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Glosario"/>
        <w:tblDescription w:val="Catálogo de las palabras, expresiones y/o abreviaturas que son utilizadas durante el texto, en el que aparece su definición o explicación."/>
      </w:tblPr>
      <w:tblGrid>
        <w:gridCol w:w="2212"/>
        <w:gridCol w:w="6728"/>
      </w:tblGrid>
      <w:tr w:rsidR="006E485B" w:rsidRPr="00EF4389" w14:paraId="5A5C76C0" w14:textId="77777777" w:rsidTr="00A925C8">
        <w:trPr>
          <w:cantSplit/>
          <w:tblHeader/>
        </w:trPr>
        <w:tc>
          <w:tcPr>
            <w:tcW w:w="2212"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3EC20DB" w14:textId="77777777" w:rsidR="006E485B" w:rsidRPr="000A3147" w:rsidRDefault="006E485B" w:rsidP="00CF4C82">
            <w:pPr>
              <w:spacing w:after="0"/>
              <w:jc w:val="center"/>
              <w:rPr>
                <w:b/>
                <w:color w:val="FFFFFF" w:themeColor="background1"/>
                <w:sz w:val="20"/>
                <w:szCs w:val="20"/>
              </w:rPr>
            </w:pPr>
            <w:r w:rsidRPr="000A3147">
              <w:rPr>
                <w:b/>
                <w:color w:val="FFFFFF" w:themeColor="background1"/>
                <w:sz w:val="20"/>
                <w:szCs w:val="20"/>
              </w:rPr>
              <w:t>Acrónimo</w:t>
            </w:r>
            <w:r w:rsidR="00B230E3" w:rsidRPr="000A3147">
              <w:rPr>
                <w:b/>
                <w:color w:val="FFFFFF" w:themeColor="background1"/>
                <w:sz w:val="20"/>
                <w:szCs w:val="20"/>
              </w:rPr>
              <w:t xml:space="preserve"> o término</w:t>
            </w:r>
          </w:p>
        </w:tc>
        <w:tc>
          <w:tcPr>
            <w:tcW w:w="6728"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4B54D1F" w14:textId="77777777" w:rsidR="006E485B" w:rsidRPr="000A3147" w:rsidRDefault="00BE0179" w:rsidP="00BE0179">
            <w:pPr>
              <w:spacing w:after="0"/>
              <w:ind w:left="1927"/>
              <w:rPr>
                <w:b/>
                <w:color w:val="FFFFFF" w:themeColor="background1"/>
                <w:sz w:val="20"/>
                <w:szCs w:val="20"/>
              </w:rPr>
            </w:pPr>
            <w:r w:rsidRPr="00FB4C71">
              <w:rPr>
                <w:b/>
                <w:color w:val="FFFFFF" w:themeColor="background1"/>
                <w:sz w:val="20"/>
                <w:szCs w:val="20"/>
              </w:rPr>
              <w:t>Glosario</w:t>
            </w:r>
          </w:p>
        </w:tc>
      </w:tr>
      <w:tr w:rsidR="005E2C0E" w:rsidRPr="00EF4389" w14:paraId="51E04075" w14:textId="77777777" w:rsidTr="00A925C8">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28449172" w14:textId="77777777" w:rsidR="005E2C0E" w:rsidRPr="00EF4389" w:rsidRDefault="005E2C0E"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698C9941" w14:textId="77777777" w:rsidR="005E2C0E" w:rsidRPr="00EF4389" w:rsidRDefault="005E2C0E" w:rsidP="004D2AE2">
            <w:pPr>
              <w:spacing w:after="0"/>
              <w:ind w:left="2041" w:firstLine="57"/>
              <w:rPr>
                <w:rFonts w:eastAsia="Times New Roman" w:cs="Times New Roman"/>
                <w:color w:val="000000"/>
                <w:sz w:val="20"/>
                <w:szCs w:val="20"/>
                <w:lang w:eastAsia="es-MX"/>
              </w:rPr>
            </w:pPr>
            <w:r>
              <w:rPr>
                <w:b/>
                <w:sz w:val="20"/>
                <w:szCs w:val="20"/>
              </w:rPr>
              <w:t>A</w:t>
            </w:r>
          </w:p>
        </w:tc>
      </w:tr>
      <w:tr w:rsidR="00A9419D" w:rsidRPr="00EF4389" w14:paraId="167C6002" w14:textId="77777777" w:rsidTr="00BE0179">
        <w:trPr>
          <w:cantSplit/>
        </w:trPr>
        <w:tc>
          <w:tcPr>
            <w:tcW w:w="2212" w:type="dxa"/>
            <w:shd w:val="clear" w:color="auto" w:fill="auto"/>
            <w:vAlign w:val="center"/>
          </w:tcPr>
          <w:p w14:paraId="2315AD49" w14:textId="77777777" w:rsidR="00A9419D" w:rsidRPr="00EF4389" w:rsidRDefault="00A9419D" w:rsidP="00F63651">
            <w:pPr>
              <w:pStyle w:val="Sinespaciado"/>
              <w:rPr>
                <w:rFonts w:ascii="ITC Avant Garde" w:hAnsi="ITC Avant Garde"/>
                <w:sz w:val="20"/>
                <w:szCs w:val="20"/>
              </w:rPr>
            </w:pPr>
            <w:r w:rsidRPr="00EF4389">
              <w:rPr>
                <w:rFonts w:ascii="ITC Avant Garde" w:hAnsi="ITC Avant Garde"/>
                <w:sz w:val="20"/>
                <w:szCs w:val="20"/>
              </w:rPr>
              <w:t>AEP</w:t>
            </w:r>
          </w:p>
        </w:tc>
        <w:tc>
          <w:tcPr>
            <w:tcW w:w="0" w:type="auto"/>
            <w:shd w:val="clear" w:color="auto" w:fill="auto"/>
            <w:vAlign w:val="center"/>
          </w:tcPr>
          <w:p w14:paraId="11A588C3" w14:textId="77777777" w:rsidR="00A9419D" w:rsidRPr="00EF4389" w:rsidRDefault="00A9419D" w:rsidP="00996D21">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 xml:space="preserve">Agente </w:t>
            </w:r>
            <w:r w:rsidR="001D316F">
              <w:rPr>
                <w:rFonts w:eastAsia="Times New Roman" w:cs="Times New Roman"/>
                <w:color w:val="000000"/>
                <w:sz w:val="20"/>
                <w:szCs w:val="20"/>
                <w:lang w:eastAsia="es-MX"/>
              </w:rPr>
              <w:t>E</w:t>
            </w:r>
            <w:r w:rsidR="001D316F" w:rsidRPr="00EF4389">
              <w:rPr>
                <w:rFonts w:eastAsia="Times New Roman" w:cs="Times New Roman"/>
                <w:color w:val="000000"/>
                <w:sz w:val="20"/>
                <w:szCs w:val="20"/>
                <w:lang w:eastAsia="es-MX"/>
              </w:rPr>
              <w:t xml:space="preserve">conómico </w:t>
            </w:r>
            <w:r w:rsidR="001D316F">
              <w:rPr>
                <w:rFonts w:eastAsia="Times New Roman" w:cs="Times New Roman"/>
                <w:color w:val="000000"/>
                <w:sz w:val="20"/>
                <w:szCs w:val="20"/>
                <w:lang w:eastAsia="es-MX"/>
              </w:rPr>
              <w:t>P</w:t>
            </w:r>
            <w:r w:rsidR="001D316F" w:rsidRPr="00EF4389">
              <w:rPr>
                <w:rFonts w:eastAsia="Times New Roman" w:cs="Times New Roman"/>
                <w:color w:val="000000"/>
                <w:sz w:val="20"/>
                <w:szCs w:val="20"/>
                <w:lang w:eastAsia="es-MX"/>
              </w:rPr>
              <w:t xml:space="preserve">reponderante </w:t>
            </w:r>
            <w:r w:rsidRPr="00EF4389">
              <w:rPr>
                <w:rFonts w:eastAsia="Times New Roman" w:cs="Times New Roman"/>
                <w:color w:val="000000"/>
                <w:sz w:val="20"/>
                <w:szCs w:val="20"/>
                <w:lang w:eastAsia="es-MX"/>
              </w:rPr>
              <w:t>de conformidad con la Resolución de preponderancia en el sector de telecomunicaciones.</w:t>
            </w:r>
          </w:p>
        </w:tc>
      </w:tr>
      <w:tr w:rsidR="00A9419D" w:rsidRPr="00EF4389" w14:paraId="35BE08D1" w14:textId="77777777" w:rsidTr="00BE0179">
        <w:trPr>
          <w:cantSplit/>
        </w:trPr>
        <w:tc>
          <w:tcPr>
            <w:tcW w:w="2212" w:type="dxa"/>
            <w:shd w:val="clear" w:color="auto" w:fill="auto"/>
            <w:vAlign w:val="center"/>
          </w:tcPr>
          <w:p w14:paraId="3C7BE4EC" w14:textId="77777777" w:rsidR="00A9419D" w:rsidRPr="00EF4389" w:rsidRDefault="00A9419D" w:rsidP="00360DDB">
            <w:pPr>
              <w:pStyle w:val="Sinespaciado"/>
              <w:rPr>
                <w:rFonts w:ascii="ITC Avant Garde" w:hAnsi="ITC Avant Garde"/>
                <w:sz w:val="20"/>
                <w:szCs w:val="20"/>
              </w:rPr>
            </w:pPr>
            <w:r w:rsidRPr="00EF4389">
              <w:rPr>
                <w:rFonts w:ascii="ITC Avant Garde" w:hAnsi="ITC Avant Garde"/>
                <w:sz w:val="20"/>
                <w:szCs w:val="20"/>
              </w:rPr>
              <w:t xml:space="preserve">Agente </w:t>
            </w:r>
            <w:r w:rsidR="00360DDB">
              <w:rPr>
                <w:rFonts w:ascii="ITC Avant Garde" w:hAnsi="ITC Avant Garde"/>
                <w:sz w:val="20"/>
                <w:szCs w:val="20"/>
              </w:rPr>
              <w:t>e</w:t>
            </w:r>
            <w:r w:rsidR="002C6BF7" w:rsidRPr="00EF4389">
              <w:rPr>
                <w:rFonts w:ascii="ITC Avant Garde" w:hAnsi="ITC Avant Garde"/>
                <w:sz w:val="20"/>
                <w:szCs w:val="20"/>
              </w:rPr>
              <w:t>conómico</w:t>
            </w:r>
          </w:p>
        </w:tc>
        <w:tc>
          <w:tcPr>
            <w:tcW w:w="0" w:type="auto"/>
            <w:shd w:val="clear" w:color="auto" w:fill="auto"/>
            <w:vAlign w:val="center"/>
          </w:tcPr>
          <w:p w14:paraId="780A1469" w14:textId="77777777" w:rsidR="00A9419D" w:rsidRPr="00EF4389" w:rsidRDefault="00A9419D" w:rsidP="00F63651">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tc>
      </w:tr>
      <w:tr w:rsidR="00A9419D" w:rsidRPr="00EF4389" w14:paraId="3D332C40" w14:textId="77777777" w:rsidTr="00BE0179">
        <w:trPr>
          <w:cantSplit/>
        </w:trPr>
        <w:tc>
          <w:tcPr>
            <w:tcW w:w="2212" w:type="dxa"/>
            <w:tcBorders>
              <w:bottom w:val="single" w:sz="4" w:space="0" w:color="auto"/>
            </w:tcBorders>
            <w:shd w:val="clear" w:color="auto" w:fill="auto"/>
            <w:vAlign w:val="center"/>
          </w:tcPr>
          <w:p w14:paraId="5664F964" w14:textId="77777777" w:rsidR="00A9419D" w:rsidRPr="00EF4389" w:rsidRDefault="00A9419D" w:rsidP="00F63651">
            <w:pPr>
              <w:pStyle w:val="Sinespaciado"/>
              <w:rPr>
                <w:rFonts w:ascii="ITC Avant Garde" w:hAnsi="ITC Avant Garde"/>
                <w:sz w:val="20"/>
                <w:szCs w:val="20"/>
              </w:rPr>
            </w:pPr>
            <w:r w:rsidRPr="00EF4389">
              <w:rPr>
                <w:rFonts w:ascii="ITC Avant Garde" w:hAnsi="ITC Avant Garde"/>
                <w:sz w:val="20"/>
                <w:szCs w:val="20"/>
              </w:rPr>
              <w:t>AI</w:t>
            </w:r>
          </w:p>
        </w:tc>
        <w:tc>
          <w:tcPr>
            <w:tcW w:w="0" w:type="auto"/>
            <w:tcBorders>
              <w:bottom w:val="single" w:sz="4" w:space="0" w:color="auto"/>
            </w:tcBorders>
            <w:shd w:val="clear" w:color="auto" w:fill="auto"/>
            <w:vAlign w:val="center"/>
          </w:tcPr>
          <w:p w14:paraId="7AC04565" w14:textId="77777777" w:rsidR="00A9419D" w:rsidRPr="00EF4389" w:rsidRDefault="00A9419D" w:rsidP="00F63651">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Autoridad Investigadora del Instituto Federal de Telecomunicaciones.</w:t>
            </w:r>
          </w:p>
        </w:tc>
      </w:tr>
      <w:tr w:rsidR="0083093A" w:rsidRPr="00EF4389" w14:paraId="28559C48" w14:textId="77777777" w:rsidTr="00BE0179">
        <w:trPr>
          <w:cantSplit/>
        </w:trPr>
        <w:tc>
          <w:tcPr>
            <w:tcW w:w="2212" w:type="dxa"/>
            <w:tcBorders>
              <w:top w:val="nil"/>
            </w:tcBorders>
            <w:shd w:val="clear" w:color="auto" w:fill="auto"/>
            <w:vAlign w:val="center"/>
          </w:tcPr>
          <w:p w14:paraId="6F357720" w14:textId="77777777" w:rsidR="0083093A" w:rsidRPr="00EF4389" w:rsidRDefault="0083093A" w:rsidP="00F63651">
            <w:pPr>
              <w:pStyle w:val="Sinespaciado"/>
              <w:rPr>
                <w:rFonts w:ascii="ITC Avant Garde" w:hAnsi="ITC Avant Garde"/>
                <w:sz w:val="20"/>
                <w:szCs w:val="20"/>
              </w:rPr>
            </w:pPr>
            <w:r w:rsidRPr="00EF4389">
              <w:rPr>
                <w:rFonts w:ascii="ITC Avant Garde" w:hAnsi="ITC Avant Garde"/>
                <w:sz w:val="20"/>
                <w:szCs w:val="20"/>
              </w:rPr>
              <w:t>AI/DC-002-2016 o DC-002-2016 (indistintamente)</w:t>
            </w:r>
          </w:p>
        </w:tc>
        <w:tc>
          <w:tcPr>
            <w:tcW w:w="0" w:type="auto"/>
            <w:tcBorders>
              <w:top w:val="nil"/>
            </w:tcBorders>
            <w:shd w:val="clear" w:color="auto" w:fill="auto"/>
            <w:vAlign w:val="center"/>
          </w:tcPr>
          <w:p w14:paraId="71280BB2" w14:textId="77777777" w:rsidR="0083093A" w:rsidRPr="00EF4389" w:rsidRDefault="0083093A" w:rsidP="00F63651">
            <w:pPr>
              <w:spacing w:after="0"/>
              <w:jc w:val="both"/>
              <w:rPr>
                <w:rFonts w:eastAsia="Times New Roman" w:cs="Times New Roman"/>
                <w:color w:val="000000"/>
                <w:sz w:val="20"/>
                <w:szCs w:val="20"/>
                <w:lang w:eastAsia="es-MX"/>
              </w:rPr>
            </w:pPr>
            <w:r w:rsidRPr="00EF4389">
              <w:rPr>
                <w:color w:val="000000"/>
                <w:sz w:val="20"/>
                <w:szCs w:val="20"/>
              </w:rPr>
              <w:t xml:space="preserve">Expediente de la investigación iniciada en términos del Artículo Noveno Transitorio y </w:t>
            </w:r>
            <w:r w:rsidR="00090F42" w:rsidRPr="00EF4389">
              <w:rPr>
                <w:color w:val="000000"/>
                <w:sz w:val="20"/>
                <w:szCs w:val="20"/>
              </w:rPr>
              <w:t xml:space="preserve">el </w:t>
            </w:r>
            <w:r w:rsidRPr="00EF4389">
              <w:rPr>
                <w:color w:val="000000"/>
                <w:sz w:val="20"/>
                <w:szCs w:val="20"/>
              </w:rPr>
              <w:t xml:space="preserve">artículo 96 de la LFCE, mediante acuerdo publicado en el DOF el </w:t>
            </w:r>
            <w:r w:rsidR="004C08F0" w:rsidRPr="00EF4389">
              <w:rPr>
                <w:color w:val="000000"/>
                <w:sz w:val="20"/>
                <w:szCs w:val="20"/>
              </w:rPr>
              <w:t xml:space="preserve">seis de julio </w:t>
            </w:r>
            <w:r w:rsidR="00D42E9F" w:rsidRPr="00EF4389">
              <w:rPr>
                <w:color w:val="000000"/>
                <w:sz w:val="20"/>
                <w:szCs w:val="20"/>
              </w:rPr>
              <w:t>de dos mil dieciséis</w:t>
            </w:r>
            <w:r w:rsidRPr="00EF4389">
              <w:rPr>
                <w:color w:val="000000"/>
                <w:sz w:val="20"/>
                <w:szCs w:val="20"/>
              </w:rPr>
              <w:t>, radicada en el expediente AI/DC-002-2016 del índice de la AI, cuyo</w:t>
            </w:r>
            <w:r w:rsidRPr="00EF4389">
              <w:rPr>
                <w:rFonts w:eastAsia="Times New Roman" w:cs="Times New Roman"/>
                <w:color w:val="000000"/>
                <w:sz w:val="20"/>
                <w:szCs w:val="20"/>
                <w:lang w:eastAsia="es-MX"/>
              </w:rPr>
              <w:t xml:space="preserve"> dictamen preliminar se emitió el veinticinco de octubre de dos mil dieciséis</w:t>
            </w:r>
            <w:r w:rsidRPr="00EF4389">
              <w:rPr>
                <w:color w:val="000000"/>
                <w:sz w:val="20"/>
                <w:szCs w:val="20"/>
              </w:rPr>
              <w:t>.</w:t>
            </w:r>
          </w:p>
        </w:tc>
      </w:tr>
      <w:tr w:rsidR="00E57B0D" w:rsidRPr="00EF4389" w14:paraId="5E5E46CD" w14:textId="77777777" w:rsidTr="00BE0179">
        <w:trPr>
          <w:cantSplit/>
        </w:trPr>
        <w:tc>
          <w:tcPr>
            <w:tcW w:w="2212" w:type="dxa"/>
            <w:tcBorders>
              <w:top w:val="nil"/>
            </w:tcBorders>
            <w:shd w:val="clear" w:color="auto" w:fill="auto"/>
            <w:vAlign w:val="center"/>
          </w:tcPr>
          <w:p w14:paraId="7759504B" w14:textId="77777777" w:rsidR="00E57B0D" w:rsidRPr="00EF4389" w:rsidRDefault="00E57B0D" w:rsidP="00F63651">
            <w:pPr>
              <w:pStyle w:val="Sinespaciado"/>
              <w:rPr>
                <w:rFonts w:ascii="ITC Avant Garde" w:hAnsi="ITC Avant Garde"/>
                <w:sz w:val="20"/>
                <w:szCs w:val="20"/>
              </w:rPr>
            </w:pPr>
            <w:r>
              <w:rPr>
                <w:rFonts w:ascii="ITC Avant Garde" w:hAnsi="ITC Avant Garde"/>
                <w:sz w:val="20"/>
                <w:szCs w:val="20"/>
              </w:rPr>
              <w:t>Alestra</w:t>
            </w:r>
          </w:p>
        </w:tc>
        <w:tc>
          <w:tcPr>
            <w:tcW w:w="0" w:type="auto"/>
            <w:tcBorders>
              <w:top w:val="nil"/>
            </w:tcBorders>
            <w:shd w:val="clear" w:color="auto" w:fill="auto"/>
            <w:vAlign w:val="center"/>
          </w:tcPr>
          <w:p w14:paraId="386A3ACB" w14:textId="77777777" w:rsidR="00E57B0D" w:rsidRPr="00EF4389" w:rsidRDefault="00E57B0D" w:rsidP="006069A6">
            <w:pPr>
              <w:spacing w:after="0"/>
              <w:jc w:val="both"/>
              <w:rPr>
                <w:rFonts w:eastAsia="Times New Roman" w:cs="Times New Roman"/>
                <w:color w:val="000000"/>
                <w:sz w:val="20"/>
                <w:szCs w:val="20"/>
                <w:lang w:eastAsia="es-MX"/>
              </w:rPr>
            </w:pPr>
            <w:r>
              <w:rPr>
                <w:rFonts w:eastAsia="Times New Roman" w:cs="Times New Roman"/>
                <w:color w:val="000000"/>
                <w:sz w:val="20"/>
                <w:szCs w:val="20"/>
                <w:lang w:eastAsia="es-MX"/>
              </w:rPr>
              <w:t xml:space="preserve">Marca comercial operada por </w:t>
            </w:r>
            <w:r w:rsidRPr="00EF4389">
              <w:rPr>
                <w:sz w:val="20"/>
                <w:szCs w:val="20"/>
              </w:rPr>
              <w:t>Axtel, S.A.B. de C.V. y sus subsidiarias.</w:t>
            </w:r>
          </w:p>
        </w:tc>
      </w:tr>
      <w:tr w:rsidR="001A5EF4" w:rsidRPr="00EF4389" w14:paraId="384DF41C" w14:textId="77777777" w:rsidTr="00BE0179">
        <w:trPr>
          <w:cantSplit/>
        </w:trPr>
        <w:tc>
          <w:tcPr>
            <w:tcW w:w="2212" w:type="dxa"/>
            <w:tcBorders>
              <w:top w:val="nil"/>
            </w:tcBorders>
            <w:shd w:val="clear" w:color="auto" w:fill="auto"/>
            <w:vAlign w:val="center"/>
          </w:tcPr>
          <w:p w14:paraId="61CF0422"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América Móvil</w:t>
            </w:r>
          </w:p>
        </w:tc>
        <w:tc>
          <w:tcPr>
            <w:tcW w:w="0" w:type="auto"/>
            <w:tcBorders>
              <w:top w:val="nil"/>
            </w:tcBorders>
            <w:shd w:val="clear" w:color="auto" w:fill="auto"/>
            <w:vAlign w:val="center"/>
          </w:tcPr>
          <w:p w14:paraId="5DDE6823" w14:textId="77777777" w:rsidR="001A5EF4" w:rsidRPr="00EF4389" w:rsidRDefault="006069A6" w:rsidP="006069A6">
            <w:pPr>
              <w:spacing w:after="0"/>
              <w:jc w:val="both"/>
              <w:rPr>
                <w:color w:val="000000"/>
                <w:sz w:val="20"/>
                <w:szCs w:val="20"/>
              </w:rPr>
            </w:pPr>
            <w:r w:rsidRPr="00EF4389">
              <w:rPr>
                <w:rFonts w:eastAsia="Times New Roman" w:cs="Times New Roman"/>
                <w:color w:val="000000"/>
                <w:sz w:val="20"/>
                <w:szCs w:val="20"/>
                <w:lang w:eastAsia="es-MX"/>
              </w:rPr>
              <w:t>América Móvil, S.A.B. de C.V.</w:t>
            </w:r>
          </w:p>
        </w:tc>
      </w:tr>
      <w:tr w:rsidR="001A5EF4" w:rsidRPr="00EF4389" w14:paraId="60F9534B" w14:textId="77777777" w:rsidTr="00BE0179">
        <w:trPr>
          <w:cantSplit/>
        </w:trPr>
        <w:tc>
          <w:tcPr>
            <w:tcW w:w="2212" w:type="dxa"/>
            <w:shd w:val="clear" w:color="auto" w:fill="auto"/>
            <w:vAlign w:val="center"/>
          </w:tcPr>
          <w:p w14:paraId="219AB782"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lastRenderedPageBreak/>
              <w:t>AMX</w:t>
            </w:r>
            <w:r w:rsidR="004D53E5">
              <w:rPr>
                <w:rFonts w:ascii="ITC Avant Garde" w:hAnsi="ITC Avant Garde"/>
                <w:sz w:val="20"/>
                <w:szCs w:val="20"/>
              </w:rPr>
              <w:t>/</w:t>
            </w:r>
            <w:r w:rsidR="00980FF4">
              <w:rPr>
                <w:rFonts w:ascii="ITC Avant Garde" w:hAnsi="ITC Avant Garde"/>
                <w:sz w:val="20"/>
                <w:szCs w:val="20"/>
              </w:rPr>
              <w:t>Telesites</w:t>
            </w:r>
            <w:r w:rsidRPr="00EF4389">
              <w:rPr>
                <w:rFonts w:ascii="ITC Avant Garde" w:hAnsi="ITC Avant Garde"/>
                <w:sz w:val="20"/>
                <w:szCs w:val="20"/>
              </w:rPr>
              <w:t xml:space="preserve"> </w:t>
            </w:r>
          </w:p>
        </w:tc>
        <w:tc>
          <w:tcPr>
            <w:tcW w:w="0" w:type="auto"/>
            <w:shd w:val="clear" w:color="auto" w:fill="auto"/>
            <w:vAlign w:val="center"/>
          </w:tcPr>
          <w:p w14:paraId="477EA7D4" w14:textId="77777777" w:rsidR="001A5EF4" w:rsidRPr="00EF4389" w:rsidRDefault="0044755E" w:rsidP="00C55F00">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GIE</w:t>
            </w:r>
            <w:r w:rsidR="001A5EF4" w:rsidRPr="00EF4389">
              <w:rPr>
                <w:rFonts w:eastAsia="Times New Roman" w:cs="Times New Roman"/>
                <w:color w:val="000000"/>
                <w:sz w:val="20"/>
                <w:szCs w:val="20"/>
                <w:lang w:eastAsia="es-MX"/>
              </w:rPr>
              <w:t xml:space="preserve"> conformado por América Móvil, S.A.B. de C.V.</w:t>
            </w:r>
            <w:r w:rsidR="00194A84">
              <w:rPr>
                <w:rFonts w:eastAsia="Times New Roman" w:cs="Times New Roman"/>
                <w:color w:val="000000"/>
                <w:sz w:val="20"/>
                <w:szCs w:val="20"/>
                <w:lang w:eastAsia="es-MX"/>
              </w:rPr>
              <w:t xml:space="preserve"> y</w:t>
            </w:r>
            <w:r w:rsidR="00BB4684">
              <w:rPr>
                <w:rFonts w:eastAsia="Times New Roman" w:cs="Times New Roman"/>
                <w:color w:val="000000"/>
                <w:sz w:val="20"/>
                <w:szCs w:val="20"/>
                <w:lang w:eastAsia="es-MX"/>
              </w:rPr>
              <w:t xml:space="preserve"> Telesites, S.A.</w:t>
            </w:r>
            <w:r w:rsidR="00194A84">
              <w:rPr>
                <w:rFonts w:eastAsia="Times New Roman" w:cs="Times New Roman"/>
                <w:color w:val="000000"/>
                <w:sz w:val="20"/>
                <w:szCs w:val="20"/>
                <w:lang w:eastAsia="es-MX"/>
              </w:rPr>
              <w:t>B. de C.V., así como</w:t>
            </w:r>
            <w:r w:rsidR="001A5EF4" w:rsidRPr="00EF4389">
              <w:rPr>
                <w:rFonts w:eastAsia="Times New Roman" w:cs="Times New Roman"/>
                <w:color w:val="000000"/>
                <w:sz w:val="20"/>
                <w:szCs w:val="20"/>
                <w:lang w:eastAsia="es-MX"/>
              </w:rPr>
              <w:t xml:space="preserve"> sus subsidiarias y filiales, </w:t>
            </w:r>
            <w:r w:rsidR="001A5EF4" w:rsidRPr="00EF4389">
              <w:rPr>
                <w:color w:val="000000"/>
                <w:sz w:val="20"/>
                <w:szCs w:val="20"/>
              </w:rPr>
              <w:t xml:space="preserve">tal como se </w:t>
            </w:r>
            <w:r w:rsidR="00C55F00">
              <w:rPr>
                <w:color w:val="000000"/>
                <w:sz w:val="20"/>
                <w:szCs w:val="20"/>
              </w:rPr>
              <w:t>detalla</w:t>
            </w:r>
            <w:r w:rsidR="00C55F00" w:rsidRPr="00EF4389">
              <w:rPr>
                <w:color w:val="000000"/>
                <w:sz w:val="20"/>
                <w:szCs w:val="20"/>
              </w:rPr>
              <w:t xml:space="preserve"> </w:t>
            </w:r>
            <w:r w:rsidR="001A5EF4" w:rsidRPr="00EF4389">
              <w:rPr>
                <w:color w:val="000000"/>
                <w:sz w:val="20"/>
                <w:szCs w:val="20"/>
              </w:rPr>
              <w:t xml:space="preserve">en el </w:t>
            </w:r>
            <w:r w:rsidR="001A5EF4" w:rsidRPr="00296054">
              <w:rPr>
                <w:color w:val="000000"/>
                <w:sz w:val="20"/>
                <w:szCs w:val="20"/>
              </w:rPr>
              <w:t>Anexo IV</w:t>
            </w:r>
            <w:r w:rsidR="00CF4C82" w:rsidRPr="00296054">
              <w:rPr>
                <w:color w:val="000000"/>
                <w:sz w:val="20"/>
                <w:szCs w:val="20"/>
              </w:rPr>
              <w:t xml:space="preserve"> del</w:t>
            </w:r>
            <w:r w:rsidR="00CF4C82" w:rsidRPr="00EF4389">
              <w:rPr>
                <w:color w:val="000000"/>
                <w:sz w:val="20"/>
                <w:szCs w:val="20"/>
              </w:rPr>
              <w:t xml:space="preserve"> presente Dictamen</w:t>
            </w:r>
            <w:r w:rsidR="001A5EF4" w:rsidRPr="00EF4389">
              <w:rPr>
                <w:color w:val="000000"/>
                <w:sz w:val="20"/>
                <w:szCs w:val="20"/>
              </w:rPr>
              <w:t>.</w:t>
            </w:r>
            <w:r w:rsidR="001A5EF4" w:rsidRPr="00EF4389">
              <w:rPr>
                <w:rFonts w:eastAsia="Times New Roman" w:cs="Times New Roman"/>
                <w:color w:val="000000"/>
                <w:sz w:val="20"/>
                <w:szCs w:val="20"/>
                <w:lang w:eastAsia="es-MX"/>
              </w:rPr>
              <w:t xml:space="preserve"> </w:t>
            </w:r>
          </w:p>
        </w:tc>
      </w:tr>
      <w:tr w:rsidR="001A5EF4" w:rsidRPr="00EF4389" w14:paraId="3FCF3E6D" w14:textId="77777777" w:rsidTr="00BE0179">
        <w:trPr>
          <w:cantSplit/>
        </w:trPr>
        <w:tc>
          <w:tcPr>
            <w:tcW w:w="2212" w:type="dxa"/>
            <w:shd w:val="clear" w:color="auto" w:fill="auto"/>
            <w:vAlign w:val="center"/>
          </w:tcPr>
          <w:p w14:paraId="57FD57EF" w14:textId="77777777" w:rsidR="001A5EF4" w:rsidRPr="00EF4389" w:rsidDel="003A31FB" w:rsidRDefault="001A5EF4" w:rsidP="00F63651">
            <w:pPr>
              <w:pStyle w:val="Sinespaciado"/>
              <w:rPr>
                <w:rFonts w:ascii="ITC Avant Garde" w:hAnsi="ITC Avant Garde"/>
                <w:sz w:val="20"/>
                <w:szCs w:val="20"/>
              </w:rPr>
            </w:pPr>
            <w:r w:rsidRPr="00EF4389">
              <w:rPr>
                <w:rFonts w:ascii="ITC Avant Garde" w:hAnsi="ITC Avant Garde"/>
                <w:sz w:val="20"/>
                <w:szCs w:val="20"/>
              </w:rPr>
              <w:t xml:space="preserve">Artículo Noveno Transitorio </w:t>
            </w:r>
          </w:p>
        </w:tc>
        <w:tc>
          <w:tcPr>
            <w:tcW w:w="0" w:type="auto"/>
            <w:shd w:val="clear" w:color="auto" w:fill="auto"/>
            <w:vAlign w:val="center"/>
          </w:tcPr>
          <w:p w14:paraId="2D23570C" w14:textId="77777777" w:rsidR="001A5EF4" w:rsidRPr="00EF4389" w:rsidRDefault="001A5EF4" w:rsidP="00FB53AA">
            <w:pPr>
              <w:spacing w:after="0"/>
              <w:jc w:val="both"/>
              <w:rPr>
                <w:rFonts w:eastAsia="Times New Roman" w:cs="Times New Roman"/>
                <w:color w:val="000000"/>
                <w:sz w:val="20"/>
                <w:szCs w:val="20"/>
                <w:lang w:eastAsia="es-MX"/>
              </w:rPr>
            </w:pPr>
            <w:r w:rsidRPr="00EF4389">
              <w:rPr>
                <w:sz w:val="20"/>
                <w:szCs w:val="20"/>
              </w:rPr>
              <w:t xml:space="preserve">Artículo Noveno Transitorio del </w:t>
            </w:r>
            <w:r w:rsidRPr="00EF4389">
              <w:rPr>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F4389">
              <w:rPr>
                <w:sz w:val="20"/>
                <w:szCs w:val="20"/>
              </w:rPr>
              <w:t xml:space="preserve">, </w:t>
            </w:r>
            <w:r w:rsidRPr="00EF4389">
              <w:rPr>
                <w:rFonts w:eastAsia="Times New Roman" w:cs="Times New Roman"/>
                <w:color w:val="000000"/>
                <w:sz w:val="20"/>
                <w:szCs w:val="20"/>
                <w:lang w:eastAsia="es-MX"/>
              </w:rPr>
              <w:t xml:space="preserve">publicado en el </w:t>
            </w:r>
            <w:r w:rsidR="00DA0E56" w:rsidRPr="00EF4389">
              <w:rPr>
                <w:rFonts w:eastAsia="Times New Roman" w:cs="Times New Roman"/>
                <w:color w:val="000000"/>
                <w:sz w:val="20"/>
                <w:szCs w:val="20"/>
                <w:lang w:eastAsia="es-MX"/>
              </w:rPr>
              <w:t>DOF</w:t>
            </w:r>
            <w:r w:rsidRPr="00EF4389">
              <w:rPr>
                <w:rFonts w:eastAsia="Times New Roman" w:cs="Times New Roman"/>
                <w:color w:val="000000"/>
                <w:sz w:val="20"/>
                <w:szCs w:val="20"/>
                <w:lang w:eastAsia="es-MX"/>
              </w:rPr>
              <w:t xml:space="preserve"> el catorce de julio de dos mil catorce. </w:t>
            </w:r>
          </w:p>
        </w:tc>
      </w:tr>
      <w:tr w:rsidR="008155F1" w:rsidRPr="00EF4389" w14:paraId="272AC219" w14:textId="77777777" w:rsidTr="00BE0179">
        <w:trPr>
          <w:cantSplit/>
        </w:trPr>
        <w:tc>
          <w:tcPr>
            <w:tcW w:w="2212" w:type="dxa"/>
            <w:shd w:val="clear" w:color="auto" w:fill="auto"/>
            <w:vAlign w:val="center"/>
          </w:tcPr>
          <w:p w14:paraId="0C9AB7FD" w14:textId="77777777" w:rsidR="008155F1" w:rsidRPr="00EF4389" w:rsidRDefault="008155F1" w:rsidP="00F63651">
            <w:pPr>
              <w:pStyle w:val="Sinespaciado"/>
              <w:rPr>
                <w:rFonts w:ascii="ITC Avant Garde" w:hAnsi="ITC Avant Garde"/>
                <w:sz w:val="20"/>
                <w:szCs w:val="20"/>
              </w:rPr>
            </w:pPr>
            <w:r w:rsidRPr="00EF4389">
              <w:rPr>
                <w:rFonts w:ascii="ITC Avant Garde" w:hAnsi="ITC Avant Garde"/>
                <w:sz w:val="20"/>
                <w:szCs w:val="20"/>
              </w:rPr>
              <w:t>ATC</w:t>
            </w:r>
          </w:p>
        </w:tc>
        <w:tc>
          <w:tcPr>
            <w:tcW w:w="0" w:type="auto"/>
            <w:shd w:val="clear" w:color="auto" w:fill="auto"/>
            <w:vAlign w:val="center"/>
          </w:tcPr>
          <w:p w14:paraId="269116F7" w14:textId="77777777" w:rsidR="008155F1" w:rsidRPr="00EF4389" w:rsidRDefault="0044755E" w:rsidP="006A2F7E">
            <w:pPr>
              <w:spacing w:after="0"/>
              <w:jc w:val="both"/>
              <w:rPr>
                <w:sz w:val="20"/>
                <w:szCs w:val="20"/>
              </w:rPr>
            </w:pPr>
            <w:r w:rsidRPr="00EF4389">
              <w:rPr>
                <w:rFonts w:eastAsia="Times New Roman" w:cs="Times New Roman"/>
                <w:color w:val="000000"/>
                <w:sz w:val="20"/>
                <w:szCs w:val="20"/>
                <w:lang w:eastAsia="es-MX"/>
              </w:rPr>
              <w:t>GIE</w:t>
            </w:r>
            <w:r w:rsidR="00DA0E56" w:rsidRPr="00EF4389">
              <w:rPr>
                <w:rFonts w:eastAsia="Times New Roman" w:cs="Times New Roman"/>
                <w:color w:val="000000"/>
                <w:sz w:val="20"/>
                <w:szCs w:val="20"/>
                <w:lang w:eastAsia="es-MX"/>
              </w:rPr>
              <w:t xml:space="preserve"> </w:t>
            </w:r>
            <w:r w:rsidR="006A2F7E">
              <w:rPr>
                <w:rFonts w:eastAsia="Times New Roman" w:cs="Times New Roman"/>
                <w:color w:val="000000"/>
                <w:sz w:val="20"/>
                <w:szCs w:val="20"/>
                <w:lang w:eastAsia="es-MX"/>
              </w:rPr>
              <w:t>encabezado</w:t>
            </w:r>
            <w:r w:rsidR="006A2F7E" w:rsidRPr="00EF4389">
              <w:rPr>
                <w:rFonts w:eastAsia="Times New Roman" w:cs="Times New Roman"/>
                <w:color w:val="000000"/>
                <w:sz w:val="20"/>
                <w:szCs w:val="20"/>
                <w:lang w:eastAsia="es-MX"/>
              </w:rPr>
              <w:t xml:space="preserve"> </w:t>
            </w:r>
            <w:r w:rsidR="008155F1" w:rsidRPr="00EF4389">
              <w:rPr>
                <w:rFonts w:eastAsia="Times New Roman" w:cs="Times New Roman"/>
                <w:color w:val="000000"/>
                <w:sz w:val="20"/>
                <w:szCs w:val="20"/>
                <w:lang w:eastAsia="es-MX"/>
              </w:rPr>
              <w:t>por American Tower Corporation</w:t>
            </w:r>
            <w:r w:rsidR="006C08E4" w:rsidRPr="00EF4389">
              <w:rPr>
                <w:rFonts w:eastAsia="Times New Roman" w:cs="Times New Roman"/>
                <w:color w:val="000000"/>
                <w:sz w:val="20"/>
                <w:szCs w:val="20"/>
                <w:lang w:eastAsia="es-MX"/>
              </w:rPr>
              <w:t xml:space="preserve"> y </w:t>
            </w:r>
            <w:r w:rsidR="00C103A1">
              <w:rPr>
                <w:rFonts w:eastAsia="Times New Roman" w:cs="Times New Roman"/>
                <w:color w:val="000000"/>
                <w:sz w:val="20"/>
                <w:szCs w:val="20"/>
                <w:lang w:eastAsia="es-MX"/>
              </w:rPr>
              <w:t xml:space="preserve">conformado por </w:t>
            </w:r>
            <w:r w:rsidR="006A2F7E">
              <w:rPr>
                <w:rFonts w:eastAsia="Times New Roman" w:cs="Times New Roman"/>
                <w:color w:val="000000"/>
                <w:sz w:val="20"/>
                <w:szCs w:val="20"/>
                <w:lang w:eastAsia="es-MX"/>
              </w:rPr>
              <w:t>diversas</w:t>
            </w:r>
            <w:r w:rsidR="006A2F7E" w:rsidRPr="00EF4389">
              <w:rPr>
                <w:rFonts w:eastAsia="Times New Roman" w:cs="Times New Roman"/>
                <w:color w:val="000000"/>
                <w:sz w:val="20"/>
                <w:szCs w:val="20"/>
                <w:lang w:eastAsia="es-MX"/>
              </w:rPr>
              <w:t xml:space="preserve"> </w:t>
            </w:r>
            <w:r w:rsidR="006C08E4" w:rsidRPr="00EF4389">
              <w:rPr>
                <w:rFonts w:eastAsia="Times New Roman" w:cs="Times New Roman"/>
                <w:color w:val="000000"/>
                <w:sz w:val="20"/>
                <w:szCs w:val="20"/>
                <w:lang w:eastAsia="es-MX"/>
              </w:rPr>
              <w:t>subsidiarias</w:t>
            </w:r>
            <w:r w:rsidR="00DA0E56" w:rsidRPr="00EF4389">
              <w:rPr>
                <w:rFonts w:eastAsia="Times New Roman" w:cs="Times New Roman"/>
                <w:color w:val="000000"/>
                <w:sz w:val="20"/>
                <w:szCs w:val="20"/>
                <w:lang w:eastAsia="es-MX"/>
              </w:rPr>
              <w:t xml:space="preserve"> en México</w:t>
            </w:r>
            <w:r w:rsidR="008155F1" w:rsidRPr="00EF4389">
              <w:rPr>
                <w:rFonts w:eastAsia="Times New Roman" w:cs="Times New Roman"/>
                <w:color w:val="000000"/>
                <w:sz w:val="20"/>
                <w:szCs w:val="20"/>
                <w:lang w:eastAsia="es-MX"/>
              </w:rPr>
              <w:t xml:space="preserve">, tal como se detalla en el Anexo </w:t>
            </w:r>
            <w:r w:rsidR="008F7326">
              <w:rPr>
                <w:rFonts w:eastAsia="Times New Roman" w:cs="Times New Roman"/>
                <w:color w:val="000000"/>
                <w:sz w:val="20"/>
                <w:szCs w:val="20"/>
                <w:lang w:eastAsia="es-MX"/>
              </w:rPr>
              <w:t>II</w:t>
            </w:r>
            <w:r w:rsidR="00DA0E56" w:rsidRPr="00EF4389">
              <w:rPr>
                <w:rFonts w:eastAsia="Times New Roman" w:cs="Times New Roman"/>
                <w:color w:val="000000"/>
                <w:sz w:val="20"/>
                <w:szCs w:val="20"/>
                <w:lang w:eastAsia="es-MX"/>
              </w:rPr>
              <w:t xml:space="preserve"> del presente Dictamen.</w:t>
            </w:r>
          </w:p>
        </w:tc>
      </w:tr>
      <w:tr w:rsidR="001A5EF4" w:rsidRPr="00EF4389" w14:paraId="05891084" w14:textId="77777777" w:rsidTr="00BE0179">
        <w:trPr>
          <w:cantSplit/>
        </w:trPr>
        <w:tc>
          <w:tcPr>
            <w:tcW w:w="2212" w:type="dxa"/>
            <w:shd w:val="clear" w:color="auto" w:fill="auto"/>
            <w:vAlign w:val="center"/>
          </w:tcPr>
          <w:p w14:paraId="2E64EDAF"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ATC HFM</w:t>
            </w:r>
          </w:p>
        </w:tc>
        <w:tc>
          <w:tcPr>
            <w:tcW w:w="0" w:type="auto"/>
            <w:shd w:val="clear" w:color="auto" w:fill="auto"/>
            <w:vAlign w:val="center"/>
          </w:tcPr>
          <w:p w14:paraId="70FF19AE" w14:textId="77777777" w:rsidR="001A5EF4" w:rsidRPr="00EF4389" w:rsidRDefault="001A5EF4" w:rsidP="00F63651">
            <w:pPr>
              <w:spacing w:after="0"/>
              <w:jc w:val="both"/>
              <w:rPr>
                <w:rFonts w:eastAsia="Times New Roman" w:cs="Times New Roman"/>
                <w:color w:val="000000"/>
                <w:sz w:val="20"/>
                <w:szCs w:val="20"/>
                <w:lang w:eastAsia="es-MX"/>
              </w:rPr>
            </w:pPr>
            <w:r w:rsidRPr="00EF4389">
              <w:rPr>
                <w:sz w:val="20"/>
                <w:szCs w:val="20"/>
              </w:rPr>
              <w:t>ATC Holding Fibra México, S. de R.L. de C.V.</w:t>
            </w:r>
          </w:p>
        </w:tc>
      </w:tr>
      <w:tr w:rsidR="001A5EF4" w:rsidRPr="00EF4389" w14:paraId="44B3E523" w14:textId="77777777" w:rsidTr="00BE0179">
        <w:trPr>
          <w:cantSplit/>
        </w:trPr>
        <w:tc>
          <w:tcPr>
            <w:tcW w:w="2212" w:type="dxa"/>
            <w:shd w:val="clear" w:color="auto" w:fill="auto"/>
          </w:tcPr>
          <w:p w14:paraId="764B456E" w14:textId="77777777" w:rsidR="001A5EF4" w:rsidRPr="00EF4389" w:rsidRDefault="001A5EF4" w:rsidP="00FD6BC2">
            <w:pPr>
              <w:pStyle w:val="Sinespaciado"/>
              <w:rPr>
                <w:rFonts w:ascii="ITC Avant Garde" w:hAnsi="ITC Avant Garde"/>
                <w:sz w:val="20"/>
                <w:szCs w:val="20"/>
              </w:rPr>
            </w:pPr>
            <w:r w:rsidRPr="00EF4389">
              <w:rPr>
                <w:rFonts w:ascii="ITC Avant Garde" w:hAnsi="ITC Avant Garde"/>
                <w:sz w:val="20"/>
                <w:szCs w:val="20"/>
              </w:rPr>
              <w:t>ATC Mex</w:t>
            </w:r>
            <w:r w:rsidR="00FD6BC2" w:rsidRPr="00EF4389">
              <w:rPr>
                <w:rFonts w:ascii="ITC Avant Garde" w:hAnsi="ITC Avant Garde"/>
                <w:sz w:val="20"/>
                <w:szCs w:val="20"/>
              </w:rPr>
              <w:t>H</w:t>
            </w:r>
            <w:r w:rsidRPr="00EF4389">
              <w:rPr>
                <w:rFonts w:ascii="ITC Avant Garde" w:hAnsi="ITC Avant Garde"/>
                <w:sz w:val="20"/>
                <w:szCs w:val="20"/>
              </w:rPr>
              <w:t>old</w:t>
            </w:r>
          </w:p>
        </w:tc>
        <w:tc>
          <w:tcPr>
            <w:tcW w:w="0" w:type="auto"/>
            <w:shd w:val="clear" w:color="auto" w:fill="auto"/>
          </w:tcPr>
          <w:p w14:paraId="40B396FB" w14:textId="77777777" w:rsidR="001A5EF4" w:rsidRPr="00EF4389" w:rsidRDefault="001A5EF4" w:rsidP="00FD6BC2">
            <w:pPr>
              <w:spacing w:after="0"/>
              <w:jc w:val="both"/>
              <w:rPr>
                <w:sz w:val="20"/>
                <w:szCs w:val="20"/>
              </w:rPr>
            </w:pPr>
            <w:r w:rsidRPr="00EF4389">
              <w:rPr>
                <w:sz w:val="20"/>
                <w:szCs w:val="20"/>
              </w:rPr>
              <w:t>ATC Mex</w:t>
            </w:r>
            <w:r w:rsidR="00FD6BC2" w:rsidRPr="00EF4389">
              <w:rPr>
                <w:sz w:val="20"/>
                <w:szCs w:val="20"/>
              </w:rPr>
              <w:t>H</w:t>
            </w:r>
            <w:r w:rsidRPr="00EF4389">
              <w:rPr>
                <w:sz w:val="20"/>
                <w:szCs w:val="20"/>
              </w:rPr>
              <w:t>old, LLC</w:t>
            </w:r>
            <w:r w:rsidR="00B9661C" w:rsidRPr="00EF4389">
              <w:rPr>
                <w:sz w:val="20"/>
                <w:szCs w:val="20"/>
              </w:rPr>
              <w:t>.</w:t>
            </w:r>
          </w:p>
        </w:tc>
      </w:tr>
      <w:tr w:rsidR="001A5EF4" w:rsidRPr="00EF4389" w14:paraId="45DD49BB" w14:textId="77777777" w:rsidTr="00BE0179">
        <w:trPr>
          <w:cantSplit/>
        </w:trPr>
        <w:tc>
          <w:tcPr>
            <w:tcW w:w="2212" w:type="dxa"/>
            <w:shd w:val="clear" w:color="auto" w:fill="auto"/>
          </w:tcPr>
          <w:p w14:paraId="446A5445" w14:textId="77777777" w:rsidR="001A5EF4" w:rsidRPr="00EF4389" w:rsidRDefault="001A5EF4" w:rsidP="00EB103F">
            <w:pPr>
              <w:pStyle w:val="Sinespaciado"/>
              <w:rPr>
                <w:rFonts w:ascii="ITC Avant Garde" w:hAnsi="ITC Avant Garde"/>
                <w:sz w:val="20"/>
                <w:szCs w:val="20"/>
              </w:rPr>
            </w:pPr>
            <w:r w:rsidRPr="00EF4389">
              <w:rPr>
                <w:rFonts w:ascii="ITC Avant Garde" w:hAnsi="ITC Avant Garde"/>
                <w:sz w:val="20"/>
                <w:szCs w:val="20"/>
              </w:rPr>
              <w:t>AT&amp;T</w:t>
            </w:r>
          </w:p>
        </w:tc>
        <w:tc>
          <w:tcPr>
            <w:tcW w:w="0" w:type="auto"/>
            <w:shd w:val="clear" w:color="auto" w:fill="auto"/>
          </w:tcPr>
          <w:p w14:paraId="3E2FABC4" w14:textId="77777777" w:rsidR="001A5EF4" w:rsidRPr="00EF4389" w:rsidRDefault="001A5EF4" w:rsidP="00F63651">
            <w:pPr>
              <w:spacing w:after="0"/>
              <w:jc w:val="both"/>
              <w:rPr>
                <w:sz w:val="20"/>
                <w:szCs w:val="20"/>
              </w:rPr>
            </w:pPr>
            <w:r w:rsidRPr="00EF4389">
              <w:rPr>
                <w:sz w:val="20"/>
                <w:szCs w:val="20"/>
              </w:rPr>
              <w:t>AT&amp;T New GI, S. de R.L. de C.V.</w:t>
            </w:r>
            <w:r w:rsidR="00362B42" w:rsidRPr="00EF4389">
              <w:rPr>
                <w:sz w:val="20"/>
                <w:szCs w:val="20"/>
              </w:rPr>
              <w:t>, sus subsidiarias y filiales.</w:t>
            </w:r>
          </w:p>
        </w:tc>
      </w:tr>
      <w:tr w:rsidR="0028465D" w:rsidRPr="00EF4389" w14:paraId="3F69B516" w14:textId="77777777" w:rsidTr="00BE0179">
        <w:trPr>
          <w:cantSplit/>
        </w:trPr>
        <w:tc>
          <w:tcPr>
            <w:tcW w:w="2212" w:type="dxa"/>
            <w:shd w:val="clear" w:color="auto" w:fill="auto"/>
            <w:vAlign w:val="center"/>
          </w:tcPr>
          <w:p w14:paraId="5562685E" w14:textId="77777777" w:rsidR="0028465D" w:rsidRPr="00EF4389" w:rsidRDefault="0028465D" w:rsidP="005C6D05">
            <w:pPr>
              <w:pStyle w:val="Sinespaciado"/>
              <w:jc w:val="both"/>
              <w:rPr>
                <w:rFonts w:ascii="ITC Avant Garde" w:hAnsi="ITC Avant Garde"/>
                <w:sz w:val="20"/>
                <w:szCs w:val="20"/>
              </w:rPr>
            </w:pPr>
            <w:r>
              <w:rPr>
                <w:rFonts w:ascii="ITC Avant Garde" w:hAnsi="ITC Avant Garde"/>
                <w:sz w:val="20"/>
                <w:szCs w:val="20"/>
              </w:rPr>
              <w:t>Autorizado</w:t>
            </w:r>
          </w:p>
        </w:tc>
        <w:tc>
          <w:tcPr>
            <w:tcW w:w="0" w:type="auto"/>
            <w:shd w:val="clear" w:color="auto" w:fill="auto"/>
            <w:vAlign w:val="center"/>
          </w:tcPr>
          <w:p w14:paraId="3B4ACB65" w14:textId="77777777" w:rsidR="0028465D" w:rsidRPr="00EF4389" w:rsidRDefault="00CF64A6" w:rsidP="008C2EC8">
            <w:pPr>
              <w:spacing w:after="0"/>
              <w:jc w:val="both"/>
              <w:rPr>
                <w:sz w:val="20"/>
                <w:szCs w:val="20"/>
              </w:rPr>
            </w:pPr>
            <w:r w:rsidRPr="00CF64A6">
              <w:rPr>
                <w:sz w:val="20"/>
                <w:szCs w:val="20"/>
              </w:rPr>
              <w:t xml:space="preserve">Toda persona </w:t>
            </w:r>
            <w:r w:rsidR="006054F1" w:rsidRPr="00EF4389">
              <w:rPr>
                <w:rFonts w:eastAsia="Times New Roman" w:cs="Times New Roman"/>
                <w:color w:val="000000"/>
                <w:sz w:val="20"/>
                <w:szCs w:val="20"/>
                <w:lang w:eastAsia="es-MX"/>
              </w:rPr>
              <w:t>física o moral</w:t>
            </w:r>
            <w:r w:rsidR="006054F1" w:rsidRPr="00CF64A6">
              <w:rPr>
                <w:sz w:val="20"/>
                <w:szCs w:val="20"/>
              </w:rPr>
              <w:t xml:space="preserve"> </w:t>
            </w:r>
            <w:r w:rsidRPr="00CF64A6">
              <w:rPr>
                <w:sz w:val="20"/>
                <w:szCs w:val="20"/>
              </w:rPr>
              <w:t>que</w:t>
            </w:r>
            <w:r w:rsidR="005C6D05">
              <w:rPr>
                <w:sz w:val="20"/>
                <w:szCs w:val="20"/>
              </w:rPr>
              <w:t xml:space="preserve"> cuenta con autorización </w:t>
            </w:r>
            <w:r w:rsidR="006054F1">
              <w:rPr>
                <w:sz w:val="20"/>
                <w:szCs w:val="20"/>
              </w:rPr>
              <w:t>conforme a</w:t>
            </w:r>
            <w:r w:rsidR="00360DDB">
              <w:rPr>
                <w:sz w:val="20"/>
                <w:szCs w:val="20"/>
              </w:rPr>
              <w:t xml:space="preserve"> </w:t>
            </w:r>
            <w:r w:rsidR="006054F1">
              <w:rPr>
                <w:sz w:val="20"/>
                <w:szCs w:val="20"/>
              </w:rPr>
              <w:t>l</w:t>
            </w:r>
            <w:r w:rsidR="00360DDB">
              <w:rPr>
                <w:sz w:val="20"/>
                <w:szCs w:val="20"/>
              </w:rPr>
              <w:t>a fracción I del</w:t>
            </w:r>
            <w:r w:rsidR="006054F1">
              <w:rPr>
                <w:sz w:val="20"/>
                <w:szCs w:val="20"/>
              </w:rPr>
              <w:t xml:space="preserve"> artículo 170 de la LFTyR </w:t>
            </w:r>
            <w:r w:rsidR="006054F1" w:rsidRPr="006054F1">
              <w:rPr>
                <w:sz w:val="20"/>
                <w:szCs w:val="20"/>
              </w:rPr>
              <w:t>para establecer y operar o explotar una comercializadora de servicios de telecomunicaciones sin tener el carácter de concesionario</w:t>
            </w:r>
            <w:r w:rsidR="006054F1">
              <w:rPr>
                <w:sz w:val="20"/>
                <w:szCs w:val="20"/>
              </w:rPr>
              <w:t>.</w:t>
            </w:r>
          </w:p>
        </w:tc>
      </w:tr>
      <w:tr w:rsidR="001A5EF4" w:rsidRPr="00EF4389" w14:paraId="033533D3" w14:textId="77777777" w:rsidTr="00BE0179">
        <w:trPr>
          <w:cantSplit/>
        </w:trPr>
        <w:tc>
          <w:tcPr>
            <w:tcW w:w="2212" w:type="dxa"/>
            <w:shd w:val="clear" w:color="auto" w:fill="auto"/>
            <w:vAlign w:val="center"/>
          </w:tcPr>
          <w:p w14:paraId="5554ED33"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Aviso de Concentración</w:t>
            </w:r>
          </w:p>
        </w:tc>
        <w:tc>
          <w:tcPr>
            <w:tcW w:w="0" w:type="auto"/>
            <w:shd w:val="clear" w:color="auto" w:fill="auto"/>
            <w:vAlign w:val="center"/>
          </w:tcPr>
          <w:p w14:paraId="361CA00F" w14:textId="77777777" w:rsidR="001A5EF4" w:rsidRPr="00EF4389" w:rsidRDefault="001A5EF4" w:rsidP="00A40899">
            <w:pPr>
              <w:spacing w:after="0"/>
              <w:jc w:val="both"/>
              <w:rPr>
                <w:sz w:val="20"/>
                <w:szCs w:val="20"/>
              </w:rPr>
            </w:pPr>
            <w:r w:rsidRPr="00EF4389">
              <w:rPr>
                <w:sz w:val="20"/>
                <w:szCs w:val="20"/>
              </w:rPr>
              <w:t>Aviso de Concentración presentado ante el IFT el cuatro de diciembre de dos mil diecisiete por SixSigma Networks México, S.A. de C.V</w:t>
            </w:r>
            <w:r w:rsidR="00A40899" w:rsidRPr="00EF4389">
              <w:rPr>
                <w:sz w:val="20"/>
                <w:szCs w:val="20"/>
              </w:rPr>
              <w:t>.;</w:t>
            </w:r>
            <w:r w:rsidRPr="00EF4389">
              <w:rPr>
                <w:sz w:val="20"/>
                <w:szCs w:val="20"/>
              </w:rPr>
              <w:t xml:space="preserve"> Wingu N</w:t>
            </w:r>
            <w:r w:rsidR="00A40899" w:rsidRPr="00EF4389">
              <w:rPr>
                <w:sz w:val="20"/>
                <w:szCs w:val="20"/>
              </w:rPr>
              <w:t>etworks México, S.A. de C.V.; Metro Net, S.A.P.I. de C.V.;</w:t>
            </w:r>
            <w:r w:rsidRPr="00EF4389">
              <w:rPr>
                <w:sz w:val="20"/>
                <w:szCs w:val="20"/>
              </w:rPr>
              <w:t xml:space="preserve"> </w:t>
            </w:r>
            <w:r w:rsidR="00A40899" w:rsidRPr="00EF4389">
              <w:rPr>
                <w:sz w:val="20"/>
                <w:szCs w:val="20"/>
              </w:rPr>
              <w:t>CFCA Telecomm, S.A.P.I. de C.V.;</w:t>
            </w:r>
            <w:r w:rsidRPr="00EF4389">
              <w:rPr>
                <w:sz w:val="20"/>
                <w:szCs w:val="20"/>
              </w:rPr>
              <w:t xml:space="preserve"> Tecnologías Especializadas en Líneas de Conexión Óptica, S.A.P.I. de C.V.</w:t>
            </w:r>
            <w:r w:rsidR="00A40899" w:rsidRPr="00EF4389">
              <w:rPr>
                <w:sz w:val="20"/>
                <w:szCs w:val="20"/>
              </w:rPr>
              <w:t>;</w:t>
            </w:r>
            <w:r w:rsidRPr="00EF4389">
              <w:rPr>
                <w:sz w:val="20"/>
                <w:szCs w:val="20"/>
              </w:rPr>
              <w:t xml:space="preserve"> ATC MexHold</w:t>
            </w:r>
            <w:r w:rsidR="00A40899" w:rsidRPr="00EF4389">
              <w:rPr>
                <w:sz w:val="20"/>
                <w:szCs w:val="20"/>
              </w:rPr>
              <w:t>,</w:t>
            </w:r>
            <w:r w:rsidRPr="00EF4389">
              <w:rPr>
                <w:sz w:val="20"/>
                <w:szCs w:val="20"/>
              </w:rPr>
              <w:t xml:space="preserve"> LLC</w:t>
            </w:r>
            <w:r w:rsidR="00A40899" w:rsidRPr="00EF4389">
              <w:rPr>
                <w:sz w:val="20"/>
                <w:szCs w:val="20"/>
              </w:rPr>
              <w:t>.</w:t>
            </w:r>
            <w:r w:rsidRPr="00EF4389">
              <w:rPr>
                <w:sz w:val="20"/>
                <w:szCs w:val="20"/>
              </w:rPr>
              <w:t xml:space="preserve"> y ATC Holding Fibra México, S. de R.L. de C.V., en términos del Artículo Noveno Transitorio</w:t>
            </w:r>
            <w:r w:rsidR="00B9661C" w:rsidRPr="00EF4389">
              <w:rPr>
                <w:sz w:val="20"/>
                <w:szCs w:val="20"/>
              </w:rPr>
              <w:t>,</w:t>
            </w:r>
            <w:r w:rsidRPr="00EF4389">
              <w:rPr>
                <w:sz w:val="20"/>
                <w:szCs w:val="20"/>
              </w:rPr>
              <w:t xml:space="preserve"> radicado en el expediente UCE/AVC-001-2017 del índice de la UCE.</w:t>
            </w:r>
          </w:p>
        </w:tc>
      </w:tr>
      <w:tr w:rsidR="006031E3" w:rsidRPr="00EF4389" w14:paraId="3A34623F" w14:textId="77777777" w:rsidTr="00BE0179">
        <w:trPr>
          <w:cantSplit/>
        </w:trPr>
        <w:tc>
          <w:tcPr>
            <w:tcW w:w="2212" w:type="dxa"/>
            <w:shd w:val="clear" w:color="auto" w:fill="auto"/>
            <w:vAlign w:val="center"/>
          </w:tcPr>
          <w:p w14:paraId="2B11C6FF" w14:textId="77777777" w:rsidR="006031E3" w:rsidRPr="00EF4389" w:rsidRDefault="006031E3" w:rsidP="00F63651">
            <w:pPr>
              <w:pStyle w:val="Sinespaciado"/>
              <w:rPr>
                <w:rFonts w:ascii="ITC Avant Garde" w:hAnsi="ITC Avant Garde"/>
                <w:sz w:val="20"/>
                <w:szCs w:val="20"/>
              </w:rPr>
            </w:pPr>
            <w:r w:rsidRPr="00EF4389">
              <w:rPr>
                <w:rFonts w:ascii="ITC Avant Garde" w:hAnsi="ITC Avant Garde"/>
                <w:sz w:val="20"/>
                <w:szCs w:val="20"/>
              </w:rPr>
              <w:t>Axtel</w:t>
            </w:r>
          </w:p>
        </w:tc>
        <w:tc>
          <w:tcPr>
            <w:tcW w:w="0" w:type="auto"/>
            <w:shd w:val="clear" w:color="auto" w:fill="auto"/>
            <w:vAlign w:val="center"/>
          </w:tcPr>
          <w:p w14:paraId="640BF7F5" w14:textId="77777777" w:rsidR="006031E3" w:rsidRPr="00EF4389" w:rsidRDefault="006031E3" w:rsidP="00F63651">
            <w:pPr>
              <w:spacing w:after="0"/>
              <w:jc w:val="both"/>
              <w:rPr>
                <w:sz w:val="20"/>
                <w:szCs w:val="20"/>
              </w:rPr>
            </w:pPr>
            <w:r w:rsidRPr="00EF4389">
              <w:rPr>
                <w:sz w:val="20"/>
                <w:szCs w:val="20"/>
              </w:rPr>
              <w:t>Axtel, S.A.B. de C.V. y sus subsidiarias</w:t>
            </w:r>
            <w:r w:rsidR="00AB05D5" w:rsidRPr="00EF4389">
              <w:rPr>
                <w:sz w:val="20"/>
                <w:szCs w:val="20"/>
              </w:rPr>
              <w:t>.</w:t>
            </w:r>
          </w:p>
        </w:tc>
      </w:tr>
      <w:tr w:rsidR="00A0238F" w:rsidRPr="00A0238F" w14:paraId="519D2372" w14:textId="77777777" w:rsidTr="00A0238F">
        <w:trPr>
          <w:cantSplit/>
        </w:trPr>
        <w:tc>
          <w:tcPr>
            <w:tcW w:w="2212" w:type="dxa"/>
            <w:shd w:val="clear" w:color="auto" w:fill="002060"/>
            <w:vAlign w:val="center"/>
          </w:tcPr>
          <w:p w14:paraId="06A9E87A" w14:textId="754C09A8" w:rsidR="00843C17" w:rsidRPr="00A0238F" w:rsidRDefault="00843C17" w:rsidP="005F17E1">
            <w:pPr>
              <w:spacing w:after="0"/>
              <w:jc w:val="center"/>
              <w:rPr>
                <w:rFonts w:eastAsia="Times New Roman" w:cs="Times New Roman"/>
                <w:color w:val="FFFFFF" w:themeColor="background1"/>
                <w:sz w:val="20"/>
                <w:szCs w:val="20"/>
                <w:lang w:eastAsia="es-MX"/>
              </w:rPr>
            </w:pPr>
          </w:p>
        </w:tc>
        <w:tc>
          <w:tcPr>
            <w:tcW w:w="6728" w:type="dxa"/>
            <w:shd w:val="clear" w:color="auto" w:fill="002060"/>
            <w:vAlign w:val="center"/>
          </w:tcPr>
          <w:p w14:paraId="3F483EC7" w14:textId="77777777" w:rsidR="00843C17" w:rsidRPr="00A0238F" w:rsidRDefault="00843C17" w:rsidP="00A829B9">
            <w:pPr>
              <w:spacing w:after="0"/>
              <w:ind w:left="2041" w:firstLine="57"/>
              <w:rPr>
                <w:rFonts w:eastAsia="Times New Roman" w:cs="Times New Roman"/>
                <w:color w:val="FFFFFF" w:themeColor="background1"/>
                <w:sz w:val="20"/>
                <w:szCs w:val="20"/>
                <w:lang w:eastAsia="es-MX"/>
              </w:rPr>
            </w:pPr>
            <w:r w:rsidRPr="00A0238F">
              <w:rPr>
                <w:b/>
                <w:color w:val="FFFFFF" w:themeColor="background1"/>
                <w:sz w:val="20"/>
                <w:szCs w:val="20"/>
              </w:rPr>
              <w:t>B</w:t>
            </w:r>
          </w:p>
        </w:tc>
      </w:tr>
      <w:tr w:rsidR="00AB05D5" w:rsidRPr="00EF4389" w14:paraId="21025E86" w14:textId="77777777" w:rsidTr="00BE0179">
        <w:trPr>
          <w:cantSplit/>
        </w:trPr>
        <w:tc>
          <w:tcPr>
            <w:tcW w:w="2212" w:type="dxa"/>
            <w:vAlign w:val="center"/>
          </w:tcPr>
          <w:p w14:paraId="1465AD60" w14:textId="77777777" w:rsidR="00AB05D5" w:rsidRPr="00EF4389" w:rsidRDefault="00AB05D5" w:rsidP="00F63651">
            <w:pPr>
              <w:pStyle w:val="Sinespaciado"/>
              <w:rPr>
                <w:rFonts w:ascii="ITC Avant Garde" w:hAnsi="ITC Avant Garde"/>
                <w:sz w:val="20"/>
                <w:szCs w:val="20"/>
              </w:rPr>
            </w:pPr>
            <w:r w:rsidRPr="00EF4389">
              <w:rPr>
                <w:rFonts w:ascii="ITC Avant Garde" w:hAnsi="ITC Avant Garde"/>
                <w:sz w:val="20"/>
                <w:szCs w:val="20"/>
              </w:rPr>
              <w:t>Bestel</w:t>
            </w:r>
          </w:p>
        </w:tc>
        <w:tc>
          <w:tcPr>
            <w:tcW w:w="0" w:type="auto"/>
            <w:vAlign w:val="center"/>
          </w:tcPr>
          <w:p w14:paraId="1BB8F100" w14:textId="77777777" w:rsidR="00AB05D5" w:rsidRPr="00EF4389" w:rsidRDefault="00AB05D5" w:rsidP="00920B37">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Operbes, S.A. de C.V. y Bestphone, S.A. de C.V.</w:t>
            </w:r>
          </w:p>
        </w:tc>
      </w:tr>
      <w:tr w:rsidR="001A5EF4" w:rsidRPr="00EF4389" w14:paraId="44AF6F71" w14:textId="77777777" w:rsidTr="00A829B9">
        <w:trPr>
          <w:cantSplit/>
        </w:trPr>
        <w:tc>
          <w:tcPr>
            <w:tcW w:w="2212" w:type="dxa"/>
            <w:tcBorders>
              <w:bottom w:val="nil"/>
            </w:tcBorders>
            <w:vAlign w:val="center"/>
          </w:tcPr>
          <w:p w14:paraId="72F10621"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 xml:space="preserve">BMV </w:t>
            </w:r>
          </w:p>
        </w:tc>
        <w:tc>
          <w:tcPr>
            <w:tcW w:w="0" w:type="auto"/>
            <w:tcBorders>
              <w:bottom w:val="nil"/>
            </w:tcBorders>
            <w:vAlign w:val="center"/>
          </w:tcPr>
          <w:p w14:paraId="23851CD2" w14:textId="77777777" w:rsidR="001A5EF4" w:rsidRPr="00EF4389" w:rsidRDefault="001A5EF4" w:rsidP="00F63651">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 xml:space="preserve">Bolsa Mexicana de Valores. </w:t>
            </w:r>
          </w:p>
        </w:tc>
      </w:tr>
      <w:tr w:rsidR="005F17E1" w:rsidRPr="00EF4389" w14:paraId="42EA1281" w14:textId="77777777" w:rsidTr="00A829B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19532303" w14:textId="77777777" w:rsidR="005F17E1" w:rsidRPr="00A829B9" w:rsidRDefault="005F17E1" w:rsidP="004D2AE2">
            <w:pPr>
              <w:spacing w:after="0"/>
              <w:jc w:val="center"/>
              <w:rPr>
                <w:rFonts w:eastAsia="Times New Roman" w:cs="Times New Roman"/>
                <w:color w:val="FFFFFF" w:themeColor="background1"/>
                <w:sz w:val="20"/>
                <w:szCs w:val="20"/>
                <w:lang w:eastAsia="es-MX"/>
              </w:rPr>
            </w:pPr>
          </w:p>
        </w:tc>
        <w:tc>
          <w:tcPr>
            <w:tcW w:w="6728" w:type="dxa"/>
            <w:tcBorders>
              <w:top w:val="nil"/>
              <w:left w:val="nil"/>
              <w:bottom w:val="nil"/>
              <w:right w:val="nil"/>
            </w:tcBorders>
            <w:shd w:val="clear" w:color="auto" w:fill="002060"/>
          </w:tcPr>
          <w:p w14:paraId="2572DF37" w14:textId="77777777" w:rsidR="005F17E1" w:rsidRPr="00EF4389" w:rsidRDefault="00347E30" w:rsidP="004D2AE2">
            <w:pPr>
              <w:spacing w:after="0"/>
              <w:ind w:left="2041" w:firstLine="57"/>
              <w:rPr>
                <w:rFonts w:eastAsia="Times New Roman" w:cs="Times New Roman"/>
                <w:color w:val="000000"/>
                <w:sz w:val="20"/>
                <w:szCs w:val="20"/>
                <w:lang w:eastAsia="es-MX"/>
              </w:rPr>
            </w:pPr>
            <w:r>
              <w:rPr>
                <w:b/>
                <w:sz w:val="20"/>
                <w:szCs w:val="20"/>
              </w:rPr>
              <w:t>C</w:t>
            </w:r>
          </w:p>
        </w:tc>
      </w:tr>
      <w:tr w:rsidR="001A5EF4" w:rsidRPr="00EF4389" w14:paraId="642E0A4E" w14:textId="77777777" w:rsidTr="00BE0179">
        <w:trPr>
          <w:cantSplit/>
        </w:trPr>
        <w:tc>
          <w:tcPr>
            <w:tcW w:w="2212" w:type="dxa"/>
            <w:vAlign w:val="center"/>
          </w:tcPr>
          <w:p w14:paraId="0EB30B33"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Cablemás</w:t>
            </w:r>
          </w:p>
        </w:tc>
        <w:tc>
          <w:tcPr>
            <w:tcW w:w="0" w:type="auto"/>
            <w:vAlign w:val="center"/>
          </w:tcPr>
          <w:p w14:paraId="05C15031" w14:textId="77777777" w:rsidR="001A5EF4" w:rsidRPr="00EF4389" w:rsidRDefault="00AB05D5" w:rsidP="00AB05D5">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Cablemás Telecomunicaciones, S.A. de C.V. y sus subsidiarias.</w:t>
            </w:r>
          </w:p>
        </w:tc>
      </w:tr>
      <w:tr w:rsidR="001A5EF4" w:rsidRPr="00EF4389" w14:paraId="74E1D61F" w14:textId="77777777" w:rsidTr="00BE0179">
        <w:trPr>
          <w:cantSplit/>
        </w:trPr>
        <w:tc>
          <w:tcPr>
            <w:tcW w:w="2212" w:type="dxa"/>
            <w:vAlign w:val="center"/>
          </w:tcPr>
          <w:p w14:paraId="554E31C2"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Cablevisión</w:t>
            </w:r>
          </w:p>
        </w:tc>
        <w:tc>
          <w:tcPr>
            <w:tcW w:w="0" w:type="auto"/>
            <w:vAlign w:val="center"/>
          </w:tcPr>
          <w:p w14:paraId="33D7B259" w14:textId="77777777" w:rsidR="001A5EF4" w:rsidRPr="00EF4389" w:rsidRDefault="001A5EF4" w:rsidP="00F63651">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 xml:space="preserve">Cablevisión, S.A. de C.V. </w:t>
            </w:r>
          </w:p>
        </w:tc>
      </w:tr>
      <w:tr w:rsidR="001A5EF4" w:rsidRPr="00EF4389" w14:paraId="4133F383" w14:textId="77777777" w:rsidTr="00BE0179">
        <w:trPr>
          <w:cantSplit/>
        </w:trPr>
        <w:tc>
          <w:tcPr>
            <w:tcW w:w="2212" w:type="dxa"/>
          </w:tcPr>
          <w:p w14:paraId="16E062A5"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CFCA Telecomm</w:t>
            </w:r>
          </w:p>
        </w:tc>
        <w:tc>
          <w:tcPr>
            <w:tcW w:w="0" w:type="auto"/>
          </w:tcPr>
          <w:p w14:paraId="3934FF53" w14:textId="77777777" w:rsidR="001A5EF4" w:rsidRPr="00EF4389" w:rsidRDefault="001A5EF4" w:rsidP="00F63651">
            <w:pPr>
              <w:spacing w:after="0"/>
              <w:jc w:val="both"/>
              <w:rPr>
                <w:rFonts w:eastAsia="Times New Roman" w:cs="Times New Roman"/>
                <w:color w:val="000000"/>
                <w:sz w:val="20"/>
                <w:szCs w:val="20"/>
                <w:lang w:eastAsia="es-MX"/>
              </w:rPr>
            </w:pPr>
            <w:r w:rsidRPr="00EF4389">
              <w:rPr>
                <w:sz w:val="20"/>
                <w:szCs w:val="20"/>
              </w:rPr>
              <w:t>CFCA Telecomm, S.A.P.I. de C.V.</w:t>
            </w:r>
          </w:p>
        </w:tc>
      </w:tr>
      <w:tr w:rsidR="001A5EF4" w:rsidRPr="00EF4389" w14:paraId="09A08E35" w14:textId="77777777" w:rsidTr="00BE0179">
        <w:trPr>
          <w:cantSplit/>
        </w:trPr>
        <w:tc>
          <w:tcPr>
            <w:tcW w:w="2212" w:type="dxa"/>
          </w:tcPr>
          <w:p w14:paraId="0111B2B3"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CFE Distribución</w:t>
            </w:r>
          </w:p>
        </w:tc>
        <w:tc>
          <w:tcPr>
            <w:tcW w:w="0" w:type="auto"/>
          </w:tcPr>
          <w:p w14:paraId="1F0122CB" w14:textId="77777777" w:rsidR="001A5EF4" w:rsidRPr="00EF4389" w:rsidRDefault="008644F6" w:rsidP="008644F6">
            <w:pPr>
              <w:spacing w:after="0"/>
              <w:jc w:val="both"/>
              <w:rPr>
                <w:sz w:val="20"/>
                <w:szCs w:val="20"/>
              </w:rPr>
            </w:pPr>
            <w:r w:rsidRPr="00EF4389">
              <w:rPr>
                <w:sz w:val="20"/>
                <w:szCs w:val="20"/>
              </w:rPr>
              <w:t>E</w:t>
            </w:r>
            <w:r w:rsidR="001A5EF4" w:rsidRPr="00EF4389">
              <w:rPr>
                <w:sz w:val="20"/>
                <w:szCs w:val="20"/>
              </w:rPr>
              <w:t>mpresa productiva subsidiaria de la Comisión Federal de Electricidad</w:t>
            </w:r>
            <w:r w:rsidR="0094322D" w:rsidRPr="00EF4389">
              <w:rPr>
                <w:sz w:val="20"/>
                <w:szCs w:val="20"/>
              </w:rPr>
              <w:t>,</w:t>
            </w:r>
            <w:r w:rsidR="001A5EF4" w:rsidRPr="00EF4389">
              <w:rPr>
                <w:sz w:val="20"/>
                <w:szCs w:val="20"/>
              </w:rPr>
              <w:t xml:space="preserve"> creada mediante acuerdo publicad</w:t>
            </w:r>
            <w:r w:rsidR="0094322D" w:rsidRPr="00EF4389">
              <w:rPr>
                <w:sz w:val="20"/>
                <w:szCs w:val="20"/>
              </w:rPr>
              <w:t>o</w:t>
            </w:r>
            <w:r w:rsidR="001A5EF4" w:rsidRPr="00EF4389">
              <w:rPr>
                <w:sz w:val="20"/>
                <w:szCs w:val="20"/>
              </w:rPr>
              <w:t xml:space="preserve"> en el </w:t>
            </w:r>
            <w:r w:rsidRPr="00EF4389">
              <w:rPr>
                <w:sz w:val="20"/>
                <w:szCs w:val="20"/>
              </w:rPr>
              <w:t>DOF</w:t>
            </w:r>
            <w:r w:rsidR="001A5EF4" w:rsidRPr="00EF4389">
              <w:rPr>
                <w:sz w:val="20"/>
                <w:szCs w:val="20"/>
              </w:rPr>
              <w:t xml:space="preserve"> el veintinueve de marzo de dos mil dieciséis.</w:t>
            </w:r>
          </w:p>
        </w:tc>
      </w:tr>
      <w:tr w:rsidR="00345258" w:rsidRPr="00EF4389" w14:paraId="35AF58D1" w14:textId="77777777" w:rsidTr="00A829B9">
        <w:trPr>
          <w:cantSplit/>
        </w:trPr>
        <w:tc>
          <w:tcPr>
            <w:tcW w:w="2212" w:type="dxa"/>
            <w:tcBorders>
              <w:bottom w:val="nil"/>
            </w:tcBorders>
            <w:vAlign w:val="center"/>
          </w:tcPr>
          <w:p w14:paraId="6F7C38AB" w14:textId="77777777" w:rsidR="00345258" w:rsidRPr="00EF4389" w:rsidRDefault="00345258" w:rsidP="00F63651">
            <w:pPr>
              <w:pStyle w:val="Sinespaciado"/>
              <w:rPr>
                <w:rFonts w:ascii="ITC Avant Garde" w:hAnsi="ITC Avant Garde"/>
                <w:sz w:val="20"/>
                <w:szCs w:val="20"/>
              </w:rPr>
            </w:pPr>
            <w:r w:rsidRPr="00EF4389">
              <w:rPr>
                <w:rFonts w:ascii="ITC Avant Garde" w:hAnsi="ITC Avant Garde"/>
                <w:sz w:val="20"/>
                <w:szCs w:val="20"/>
              </w:rPr>
              <w:t>Contrato de compraventa de acciones</w:t>
            </w:r>
          </w:p>
        </w:tc>
        <w:tc>
          <w:tcPr>
            <w:tcW w:w="0" w:type="auto"/>
            <w:tcBorders>
              <w:bottom w:val="nil"/>
            </w:tcBorders>
            <w:vAlign w:val="center"/>
          </w:tcPr>
          <w:p w14:paraId="0B96DD2A" w14:textId="77777777" w:rsidR="00345258" w:rsidRPr="00EF4389" w:rsidRDefault="00345258" w:rsidP="009970BA">
            <w:pPr>
              <w:spacing w:after="0"/>
              <w:jc w:val="both"/>
              <w:rPr>
                <w:rFonts w:eastAsia="Times New Roman" w:cs="Times New Roman"/>
                <w:color w:val="000000"/>
                <w:sz w:val="20"/>
                <w:szCs w:val="20"/>
                <w:lang w:eastAsia="es-MX"/>
              </w:rPr>
            </w:pPr>
            <w:r w:rsidRPr="00EF4389">
              <w:rPr>
                <w:sz w:val="20"/>
                <w:szCs w:val="20"/>
              </w:rPr>
              <w:t xml:space="preserve">Contrato </w:t>
            </w:r>
            <w:r w:rsidR="008644F6" w:rsidRPr="00EF4389">
              <w:rPr>
                <w:sz w:val="20"/>
                <w:szCs w:val="20"/>
              </w:rPr>
              <w:t xml:space="preserve">de compraventa de acciones </w:t>
            </w:r>
            <w:r w:rsidRPr="00EF4389">
              <w:rPr>
                <w:sz w:val="20"/>
                <w:szCs w:val="20"/>
              </w:rPr>
              <w:t>celebrado el veinte de octubre de dos mil diecisiete por</w:t>
            </w:r>
            <w:r w:rsidRPr="00EF4389">
              <w:rPr>
                <w:rFonts w:eastAsia="Times New Roman" w:cs="Times New Roman"/>
                <w:color w:val="000000"/>
                <w:sz w:val="20"/>
                <w:szCs w:val="20"/>
                <w:lang w:eastAsia="es-MX"/>
              </w:rPr>
              <w:t xml:space="preserve"> Six</w:t>
            </w:r>
            <w:r w:rsidR="009970BA">
              <w:rPr>
                <w:rFonts w:eastAsia="Times New Roman" w:cs="Times New Roman"/>
                <w:color w:val="000000"/>
                <w:sz w:val="20"/>
                <w:szCs w:val="20"/>
                <w:lang w:eastAsia="es-MX"/>
              </w:rPr>
              <w:t>S</w:t>
            </w:r>
            <w:r w:rsidRPr="00EF4389">
              <w:rPr>
                <w:rFonts w:eastAsia="Times New Roman" w:cs="Times New Roman"/>
                <w:color w:val="000000"/>
                <w:sz w:val="20"/>
                <w:szCs w:val="20"/>
                <w:lang w:eastAsia="es-MX"/>
              </w:rPr>
              <w:t>igma Networks México, S.A. de C.V</w:t>
            </w:r>
            <w:r w:rsidR="000532C2">
              <w:rPr>
                <w:rFonts w:eastAsia="Times New Roman" w:cs="Times New Roman"/>
                <w:color w:val="000000"/>
                <w:sz w:val="20"/>
                <w:szCs w:val="20"/>
                <w:lang w:eastAsia="es-MX"/>
              </w:rPr>
              <w:t>.</w:t>
            </w:r>
            <w:r w:rsidRPr="00EF4389">
              <w:rPr>
                <w:sz w:val="20"/>
                <w:szCs w:val="20"/>
              </w:rPr>
              <w:t xml:space="preserve"> y Wingu Networks, S.A. de C.V., en su carácter de vendedores, ATC Mex</w:t>
            </w:r>
            <w:r w:rsidR="003A19B7" w:rsidRPr="00EF4389">
              <w:rPr>
                <w:sz w:val="20"/>
                <w:szCs w:val="20"/>
              </w:rPr>
              <w:t>H</w:t>
            </w:r>
            <w:r w:rsidRPr="00EF4389">
              <w:rPr>
                <w:sz w:val="20"/>
                <w:szCs w:val="20"/>
              </w:rPr>
              <w:t>old, LLC, como comprador,</w:t>
            </w:r>
            <w:r w:rsidR="008644F6" w:rsidRPr="00EF4389">
              <w:rPr>
                <w:sz w:val="20"/>
                <w:szCs w:val="20"/>
              </w:rPr>
              <w:t xml:space="preserve"> y</w:t>
            </w:r>
            <w:r w:rsidRPr="00EF4389">
              <w:rPr>
                <w:sz w:val="20"/>
                <w:szCs w:val="20"/>
              </w:rPr>
              <w:t xml:space="preserve"> CFCA Telecomm, S.A.P.I. de C.V. y Tecnologías Especializadas en Líneas de Conexión Óptica, S.A.P.I. de </w:t>
            </w:r>
            <w:r w:rsidR="008644F6" w:rsidRPr="00EF4389">
              <w:rPr>
                <w:sz w:val="20"/>
                <w:szCs w:val="20"/>
              </w:rPr>
              <w:t>C.V., como emisoras de acciones</w:t>
            </w:r>
            <w:r w:rsidRPr="00EF4389">
              <w:rPr>
                <w:sz w:val="20"/>
                <w:szCs w:val="20"/>
              </w:rPr>
              <w:t>.</w:t>
            </w:r>
          </w:p>
        </w:tc>
      </w:tr>
      <w:tr w:rsidR="00EA608F" w:rsidRPr="00EF4389" w14:paraId="328FF081" w14:textId="77777777" w:rsidTr="00A829B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22EF2B7C" w14:textId="77777777" w:rsidR="00347E30" w:rsidRPr="00EF4389" w:rsidRDefault="00347E30"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4C63FA8E" w14:textId="77777777" w:rsidR="00347E30" w:rsidRPr="00A829B9" w:rsidRDefault="00347E30" w:rsidP="004D2AE2">
            <w:pPr>
              <w:spacing w:after="0"/>
              <w:ind w:left="2041" w:firstLine="57"/>
              <w:rPr>
                <w:rFonts w:eastAsia="Times New Roman" w:cs="Times New Roman"/>
                <w:b/>
                <w:color w:val="000000"/>
                <w:sz w:val="20"/>
                <w:szCs w:val="20"/>
                <w:lang w:eastAsia="es-MX"/>
              </w:rPr>
            </w:pPr>
            <w:r w:rsidRPr="00347E30">
              <w:rPr>
                <w:b/>
                <w:sz w:val="20"/>
                <w:szCs w:val="20"/>
              </w:rPr>
              <w:t>D</w:t>
            </w:r>
          </w:p>
        </w:tc>
      </w:tr>
      <w:tr w:rsidR="001A5EF4" w:rsidRPr="00EF4389" w14:paraId="7CE62B8F" w14:textId="77777777" w:rsidTr="00BE0179">
        <w:trPr>
          <w:cantSplit/>
        </w:trPr>
        <w:tc>
          <w:tcPr>
            <w:tcW w:w="2212" w:type="dxa"/>
            <w:shd w:val="clear" w:color="auto" w:fill="auto"/>
            <w:vAlign w:val="center"/>
          </w:tcPr>
          <w:p w14:paraId="0760ECD3"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DGCM</w:t>
            </w:r>
          </w:p>
        </w:tc>
        <w:tc>
          <w:tcPr>
            <w:tcW w:w="0" w:type="auto"/>
            <w:shd w:val="clear" w:color="auto" w:fill="auto"/>
            <w:vAlign w:val="center"/>
          </w:tcPr>
          <w:p w14:paraId="2C6A164C" w14:textId="77777777" w:rsidR="001A5EF4" w:rsidRPr="00EF4389" w:rsidRDefault="001A5EF4" w:rsidP="00F63651">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Dirección General de Condiciones de Mercado, adscrita a la AI.</w:t>
            </w:r>
          </w:p>
        </w:tc>
      </w:tr>
      <w:tr w:rsidR="001A5EF4" w:rsidRPr="00EF4389" w14:paraId="4DBA919A" w14:textId="77777777" w:rsidTr="00BE0179">
        <w:trPr>
          <w:cantSplit/>
        </w:trPr>
        <w:tc>
          <w:tcPr>
            <w:tcW w:w="2212" w:type="dxa"/>
            <w:shd w:val="clear" w:color="auto" w:fill="auto"/>
            <w:vAlign w:val="center"/>
          </w:tcPr>
          <w:p w14:paraId="252217DE"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lastRenderedPageBreak/>
              <w:t>Disposiciones Regulatorias</w:t>
            </w:r>
          </w:p>
        </w:tc>
        <w:tc>
          <w:tcPr>
            <w:tcW w:w="0" w:type="auto"/>
            <w:shd w:val="clear" w:color="auto" w:fill="auto"/>
            <w:vAlign w:val="center"/>
          </w:tcPr>
          <w:p w14:paraId="27FA707F" w14:textId="77777777" w:rsidR="001A5EF4" w:rsidRPr="00EF4389" w:rsidRDefault="001A5EF4" w:rsidP="00920B37">
            <w:pPr>
              <w:spacing w:after="0"/>
              <w:jc w:val="both"/>
              <w:rPr>
                <w:rFonts w:eastAsia="Times New Roman" w:cs="Times New Roman"/>
                <w:color w:val="000000"/>
                <w:sz w:val="20"/>
                <w:szCs w:val="20"/>
                <w:lang w:eastAsia="es-MX"/>
              </w:rPr>
            </w:pPr>
            <w:r w:rsidRPr="00EF4389">
              <w:rPr>
                <w:rFonts w:eastAsia="Times New Roman" w:cs="Times New Roman"/>
                <w:i/>
                <w:color w:val="000000"/>
                <w:sz w:val="20"/>
                <w:szCs w:val="20"/>
                <w:lang w:eastAsia="es-MX"/>
              </w:rPr>
              <w:t>Disposiciones Regulatorias de la Ley Federal de Competencia Económica para los sectores de telecomunicaciones y radiodifusión</w:t>
            </w:r>
            <w:r w:rsidRPr="00EF4389">
              <w:rPr>
                <w:rFonts w:eastAsia="Times New Roman" w:cs="Times New Roman"/>
                <w:color w:val="000000"/>
                <w:sz w:val="20"/>
                <w:szCs w:val="20"/>
                <w:lang w:eastAsia="es-MX"/>
              </w:rPr>
              <w:t xml:space="preserve">, emitidas por el </w:t>
            </w:r>
            <w:r w:rsidR="00BF658A" w:rsidRPr="00EF4389">
              <w:rPr>
                <w:rFonts w:eastAsia="Times New Roman" w:cs="Times New Roman"/>
                <w:color w:val="000000"/>
                <w:sz w:val="20"/>
                <w:szCs w:val="20"/>
                <w:lang w:eastAsia="es-MX"/>
              </w:rPr>
              <w:t xml:space="preserve">Instituto Federal de Telecomunicaciones </w:t>
            </w:r>
            <w:r w:rsidRPr="00EF4389">
              <w:rPr>
                <w:rFonts w:eastAsia="Times New Roman" w:cs="Times New Roman"/>
                <w:color w:val="000000"/>
                <w:sz w:val="20"/>
                <w:szCs w:val="20"/>
                <w:lang w:eastAsia="es-MX"/>
              </w:rPr>
              <w:t xml:space="preserve">mediante acuerdo publicado en el </w:t>
            </w:r>
            <w:r w:rsidR="00920B37" w:rsidRPr="00EF4389">
              <w:rPr>
                <w:sz w:val="20"/>
                <w:szCs w:val="20"/>
              </w:rPr>
              <w:t>DOF</w:t>
            </w:r>
            <w:r w:rsidRPr="00EF4389">
              <w:rPr>
                <w:rFonts w:eastAsia="Times New Roman" w:cs="Times New Roman"/>
                <w:color w:val="000000"/>
                <w:sz w:val="20"/>
                <w:szCs w:val="20"/>
                <w:lang w:eastAsia="es-MX"/>
              </w:rPr>
              <w:t xml:space="preserve"> el doce de enero de dos mil quince.</w:t>
            </w:r>
          </w:p>
        </w:tc>
      </w:tr>
      <w:tr w:rsidR="001A5EF4" w:rsidRPr="00EF4389" w14:paraId="156DD479" w14:textId="77777777" w:rsidTr="00BE0179">
        <w:trPr>
          <w:cantSplit/>
        </w:trPr>
        <w:tc>
          <w:tcPr>
            <w:tcW w:w="2212" w:type="dxa"/>
            <w:shd w:val="clear" w:color="auto" w:fill="auto"/>
            <w:vAlign w:val="center"/>
          </w:tcPr>
          <w:p w14:paraId="09709624"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DOF</w:t>
            </w:r>
          </w:p>
        </w:tc>
        <w:tc>
          <w:tcPr>
            <w:tcW w:w="0" w:type="auto"/>
            <w:shd w:val="clear" w:color="auto" w:fill="auto"/>
            <w:vAlign w:val="center"/>
          </w:tcPr>
          <w:p w14:paraId="3F3CAAB6" w14:textId="77777777" w:rsidR="001A5EF4" w:rsidRPr="00EF4389" w:rsidRDefault="001A5EF4" w:rsidP="00F63651">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Diario Oficial de la Federación.</w:t>
            </w:r>
          </w:p>
        </w:tc>
      </w:tr>
      <w:tr w:rsidR="001A5EF4" w:rsidRPr="00EF4389" w14:paraId="0120A8E4" w14:textId="77777777" w:rsidTr="00A829B9">
        <w:trPr>
          <w:cantSplit/>
        </w:trPr>
        <w:tc>
          <w:tcPr>
            <w:tcW w:w="2212" w:type="dxa"/>
            <w:tcBorders>
              <w:bottom w:val="nil"/>
            </w:tcBorders>
            <w:shd w:val="clear" w:color="auto" w:fill="auto"/>
            <w:vAlign w:val="center"/>
          </w:tcPr>
          <w:p w14:paraId="317CDCF5" w14:textId="77777777" w:rsidR="001A5EF4" w:rsidRPr="00EF4389" w:rsidRDefault="001A5EF4" w:rsidP="002F0D2A">
            <w:pPr>
              <w:pStyle w:val="Sinespaciado"/>
              <w:rPr>
                <w:rFonts w:ascii="ITC Avant Garde" w:hAnsi="ITC Avant Garde"/>
                <w:sz w:val="20"/>
                <w:szCs w:val="20"/>
              </w:rPr>
            </w:pPr>
            <w:r w:rsidRPr="00EF4389">
              <w:rPr>
                <w:rFonts w:ascii="ITC Avant Garde" w:hAnsi="ITC Avant Garde"/>
                <w:sz w:val="20"/>
                <w:szCs w:val="20"/>
              </w:rPr>
              <w:t>DP, Dictamen o Dictamen Preliminar (indistintamente)</w:t>
            </w:r>
          </w:p>
        </w:tc>
        <w:tc>
          <w:tcPr>
            <w:tcW w:w="0" w:type="auto"/>
            <w:tcBorders>
              <w:bottom w:val="nil"/>
            </w:tcBorders>
            <w:shd w:val="clear" w:color="auto" w:fill="auto"/>
            <w:vAlign w:val="center"/>
          </w:tcPr>
          <w:p w14:paraId="1E3562EC" w14:textId="77777777" w:rsidR="001A5EF4" w:rsidRPr="00EF4389" w:rsidRDefault="001A5EF4" w:rsidP="00F63651">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El presente dictamen preliminar de cierre de expediente.</w:t>
            </w:r>
          </w:p>
        </w:tc>
      </w:tr>
      <w:tr w:rsidR="00EA608F" w:rsidRPr="00EF4389" w14:paraId="20D718D6" w14:textId="77777777" w:rsidTr="00A829B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5CFBEC4C" w14:textId="77777777" w:rsidR="00EA608F" w:rsidRPr="00EF4389" w:rsidRDefault="00EA608F"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47A505AA" w14:textId="77777777" w:rsidR="00EA608F" w:rsidRPr="00113D6D" w:rsidRDefault="00EA608F" w:rsidP="004D2AE2">
            <w:pPr>
              <w:spacing w:after="0"/>
              <w:ind w:left="2041" w:firstLine="57"/>
              <w:rPr>
                <w:rFonts w:eastAsia="Times New Roman" w:cs="Times New Roman"/>
                <w:b/>
                <w:color w:val="000000"/>
                <w:sz w:val="20"/>
                <w:szCs w:val="20"/>
                <w:lang w:eastAsia="es-MX"/>
              </w:rPr>
            </w:pPr>
            <w:r>
              <w:rPr>
                <w:b/>
                <w:sz w:val="20"/>
                <w:szCs w:val="20"/>
              </w:rPr>
              <w:t>E</w:t>
            </w:r>
          </w:p>
        </w:tc>
      </w:tr>
      <w:tr w:rsidR="001A5EF4" w:rsidRPr="00EF4389" w14:paraId="15B02A57" w14:textId="77777777" w:rsidTr="00BE0179">
        <w:trPr>
          <w:cantSplit/>
        </w:trPr>
        <w:tc>
          <w:tcPr>
            <w:tcW w:w="2212" w:type="dxa"/>
            <w:shd w:val="clear" w:color="auto" w:fill="auto"/>
            <w:vAlign w:val="center"/>
          </w:tcPr>
          <w:p w14:paraId="5F464AC1"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Estatuto Orgánico</w:t>
            </w:r>
          </w:p>
        </w:tc>
        <w:tc>
          <w:tcPr>
            <w:tcW w:w="0" w:type="auto"/>
            <w:shd w:val="clear" w:color="auto" w:fill="auto"/>
            <w:vAlign w:val="center"/>
          </w:tcPr>
          <w:p w14:paraId="26AEA9AD" w14:textId="77777777" w:rsidR="001A5EF4" w:rsidRPr="00EF4389" w:rsidRDefault="001A5EF4" w:rsidP="009970BA">
            <w:pPr>
              <w:spacing w:after="0"/>
              <w:jc w:val="both"/>
              <w:rPr>
                <w:rFonts w:eastAsia="Times New Roman" w:cs="Times New Roman"/>
                <w:color w:val="000000"/>
                <w:sz w:val="20"/>
                <w:szCs w:val="20"/>
                <w:lang w:eastAsia="es-MX"/>
              </w:rPr>
            </w:pPr>
            <w:r w:rsidRPr="00EF4389">
              <w:rPr>
                <w:rFonts w:eastAsia="Times New Roman" w:cs="Times New Roman"/>
                <w:i/>
                <w:color w:val="000000"/>
                <w:sz w:val="20"/>
                <w:szCs w:val="20"/>
                <w:lang w:eastAsia="es-MX"/>
              </w:rPr>
              <w:t>Estatuto Orgánico del Instituto Federal de Telecomunicaciones</w:t>
            </w:r>
            <w:r w:rsidR="00BF658A" w:rsidRPr="00EF4389">
              <w:rPr>
                <w:rFonts w:eastAsia="Times New Roman" w:cs="Times New Roman"/>
                <w:color w:val="000000"/>
                <w:sz w:val="20"/>
                <w:szCs w:val="20"/>
                <w:lang w:eastAsia="es-MX"/>
              </w:rPr>
              <w:t>, publicado en el DOF</w:t>
            </w:r>
            <w:r w:rsidRPr="00EF4389">
              <w:rPr>
                <w:rFonts w:eastAsia="Calibri" w:cs="Times New Roman"/>
                <w:sz w:val="20"/>
                <w:szCs w:val="20"/>
              </w:rPr>
              <w:t xml:space="preserve"> </w:t>
            </w:r>
            <w:r w:rsidRPr="00EF4389">
              <w:rPr>
                <w:rFonts w:eastAsia="Times New Roman" w:cs="Times New Roman"/>
                <w:color w:val="000000"/>
                <w:sz w:val="20"/>
                <w:szCs w:val="20"/>
                <w:lang w:eastAsia="es-MX"/>
              </w:rPr>
              <w:t>el cuatro de septiembre de dos mil catorce.</w:t>
            </w:r>
          </w:p>
        </w:tc>
      </w:tr>
      <w:tr w:rsidR="00FD6BC2" w:rsidRPr="00EF4389" w14:paraId="6B71F263" w14:textId="77777777" w:rsidTr="00BE0179">
        <w:trPr>
          <w:cantSplit/>
        </w:trPr>
        <w:tc>
          <w:tcPr>
            <w:tcW w:w="2212" w:type="dxa"/>
            <w:shd w:val="clear" w:color="auto" w:fill="auto"/>
            <w:vAlign w:val="center"/>
          </w:tcPr>
          <w:p w14:paraId="225512F0" w14:textId="77777777" w:rsidR="00FD6BC2" w:rsidRPr="00EF4389" w:rsidRDefault="00FD6BC2" w:rsidP="00F63651">
            <w:pPr>
              <w:pStyle w:val="Sinespaciado"/>
              <w:rPr>
                <w:rFonts w:ascii="ITC Avant Garde" w:hAnsi="ITC Avant Garde"/>
                <w:sz w:val="20"/>
                <w:szCs w:val="20"/>
              </w:rPr>
            </w:pPr>
            <w:r w:rsidRPr="00EF4389">
              <w:rPr>
                <w:rFonts w:ascii="ITC Avant Garde" w:hAnsi="ITC Avant Garde"/>
                <w:sz w:val="20"/>
                <w:szCs w:val="20"/>
              </w:rPr>
              <w:t>Expediente</w:t>
            </w:r>
          </w:p>
        </w:tc>
        <w:tc>
          <w:tcPr>
            <w:tcW w:w="0" w:type="auto"/>
            <w:shd w:val="clear" w:color="auto" w:fill="auto"/>
            <w:vAlign w:val="center"/>
          </w:tcPr>
          <w:p w14:paraId="34C45808" w14:textId="77777777" w:rsidR="00FD6BC2" w:rsidRPr="00EF4389" w:rsidRDefault="00920B37" w:rsidP="00224353">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El e</w:t>
            </w:r>
            <w:r w:rsidR="00FD6BC2" w:rsidRPr="00EF4389">
              <w:rPr>
                <w:rFonts w:eastAsia="Times New Roman" w:cs="Times New Roman"/>
                <w:color w:val="000000"/>
                <w:sz w:val="20"/>
                <w:szCs w:val="20"/>
                <w:lang w:eastAsia="es-MX"/>
              </w:rPr>
              <w:t xml:space="preserve">xpediente </w:t>
            </w:r>
            <w:r w:rsidRPr="00EF4389">
              <w:rPr>
                <w:rFonts w:eastAsia="Times New Roman" w:cs="Times New Roman"/>
                <w:color w:val="000000"/>
                <w:sz w:val="20"/>
                <w:szCs w:val="20"/>
                <w:lang w:eastAsia="es-MX"/>
              </w:rPr>
              <w:t>AI/DC-003-2018 en el cual se actúa</w:t>
            </w:r>
            <w:r w:rsidR="00FD6BC2" w:rsidRPr="00EF4389">
              <w:rPr>
                <w:rFonts w:eastAsia="Times New Roman" w:cs="Times New Roman"/>
                <w:color w:val="000000"/>
                <w:sz w:val="20"/>
                <w:szCs w:val="20"/>
                <w:lang w:eastAsia="es-MX"/>
              </w:rPr>
              <w:t xml:space="preserve">. </w:t>
            </w:r>
          </w:p>
        </w:tc>
      </w:tr>
      <w:tr w:rsidR="00430206" w:rsidRPr="00EF4389" w14:paraId="3883A986"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0D6CA4BF" w14:textId="77777777" w:rsidR="00430206" w:rsidRPr="00EF4389" w:rsidRDefault="00430206"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1BF8F2B4" w14:textId="77777777" w:rsidR="00430206" w:rsidRPr="00113D6D" w:rsidRDefault="00430206" w:rsidP="004D2AE2">
            <w:pPr>
              <w:spacing w:after="0"/>
              <w:ind w:left="2041" w:firstLine="57"/>
              <w:rPr>
                <w:rFonts w:eastAsia="Times New Roman" w:cs="Times New Roman"/>
                <w:b/>
                <w:color w:val="000000"/>
                <w:sz w:val="20"/>
                <w:szCs w:val="20"/>
                <w:lang w:eastAsia="es-MX"/>
              </w:rPr>
            </w:pPr>
            <w:r>
              <w:rPr>
                <w:b/>
                <w:sz w:val="20"/>
                <w:szCs w:val="20"/>
              </w:rPr>
              <w:t>G</w:t>
            </w:r>
          </w:p>
        </w:tc>
      </w:tr>
      <w:tr w:rsidR="001A5EF4" w:rsidRPr="00EF4389" w14:paraId="2654BC3C" w14:textId="77777777" w:rsidTr="00BE0179">
        <w:trPr>
          <w:cantSplit/>
        </w:trPr>
        <w:tc>
          <w:tcPr>
            <w:tcW w:w="2212" w:type="dxa"/>
            <w:shd w:val="clear" w:color="auto" w:fill="auto"/>
            <w:vAlign w:val="center"/>
          </w:tcPr>
          <w:p w14:paraId="34D0A06D"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GB</w:t>
            </w:r>
          </w:p>
        </w:tc>
        <w:tc>
          <w:tcPr>
            <w:tcW w:w="0" w:type="auto"/>
            <w:shd w:val="clear" w:color="auto" w:fill="auto"/>
            <w:vAlign w:val="center"/>
          </w:tcPr>
          <w:p w14:paraId="42A746D2" w14:textId="77777777" w:rsidR="001A5EF4" w:rsidRPr="00EF4389" w:rsidRDefault="001A5EF4" w:rsidP="00F63651">
            <w:pPr>
              <w:spacing w:after="0"/>
              <w:jc w:val="both"/>
              <w:rPr>
                <w:rFonts w:eastAsia="Times New Roman" w:cs="Times New Roman"/>
                <w:color w:val="000000"/>
                <w:sz w:val="20"/>
                <w:szCs w:val="20"/>
                <w:lang w:eastAsia="es-MX"/>
              </w:rPr>
            </w:pPr>
            <w:r w:rsidRPr="004821DF">
              <w:rPr>
                <w:rFonts w:eastAsia="Times New Roman" w:cs="Times New Roman"/>
                <w:color w:val="000000"/>
                <w:sz w:val="20"/>
                <w:szCs w:val="20"/>
                <w:lang w:eastAsia="es-MX"/>
              </w:rPr>
              <w:t>Gigabyte</w:t>
            </w:r>
            <w:r w:rsidRPr="00EF4389">
              <w:rPr>
                <w:rFonts w:eastAsia="Times New Roman" w:cs="Times New Roman"/>
                <w:color w:val="000000"/>
                <w:sz w:val="20"/>
                <w:szCs w:val="20"/>
                <w:lang w:eastAsia="es-MX"/>
              </w:rPr>
              <w:t>.</w:t>
            </w:r>
          </w:p>
        </w:tc>
      </w:tr>
      <w:tr w:rsidR="001A5EF4" w:rsidRPr="00EF4389" w14:paraId="07A179B4" w14:textId="77777777" w:rsidTr="00BE0179">
        <w:trPr>
          <w:cantSplit/>
        </w:trPr>
        <w:tc>
          <w:tcPr>
            <w:tcW w:w="2212" w:type="dxa"/>
            <w:shd w:val="clear" w:color="auto" w:fill="auto"/>
            <w:vAlign w:val="center"/>
          </w:tcPr>
          <w:p w14:paraId="1BC60A63"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Gbps</w:t>
            </w:r>
          </w:p>
        </w:tc>
        <w:tc>
          <w:tcPr>
            <w:tcW w:w="0" w:type="auto"/>
            <w:shd w:val="clear" w:color="auto" w:fill="auto"/>
            <w:vAlign w:val="center"/>
          </w:tcPr>
          <w:p w14:paraId="17894179" w14:textId="77777777" w:rsidR="001A5EF4" w:rsidRPr="00EF4389" w:rsidRDefault="001A5EF4" w:rsidP="00F63651">
            <w:pPr>
              <w:spacing w:after="0"/>
              <w:jc w:val="both"/>
              <w:rPr>
                <w:rFonts w:eastAsia="Times New Roman" w:cs="Times New Roman"/>
                <w:color w:val="000000"/>
                <w:sz w:val="20"/>
                <w:szCs w:val="20"/>
                <w:lang w:eastAsia="es-MX"/>
              </w:rPr>
            </w:pPr>
            <w:r w:rsidRPr="004821DF">
              <w:rPr>
                <w:rFonts w:eastAsia="Times New Roman" w:cs="Times New Roman"/>
                <w:color w:val="000000"/>
                <w:sz w:val="20"/>
                <w:szCs w:val="20"/>
                <w:lang w:eastAsia="es-MX"/>
              </w:rPr>
              <w:t>Gigabit</w:t>
            </w:r>
            <w:r w:rsidRPr="00EF4389">
              <w:rPr>
                <w:rFonts w:eastAsia="Times New Roman" w:cs="Times New Roman"/>
                <w:color w:val="000000"/>
                <w:sz w:val="20"/>
                <w:szCs w:val="20"/>
                <w:lang w:eastAsia="es-MX"/>
              </w:rPr>
              <w:t xml:space="preserve"> por segundo.</w:t>
            </w:r>
          </w:p>
        </w:tc>
      </w:tr>
      <w:tr w:rsidR="001A5EF4" w:rsidRPr="00EF4389" w14:paraId="6322936F" w14:textId="77777777" w:rsidTr="00BE0179">
        <w:trPr>
          <w:cantSplit/>
        </w:trPr>
        <w:tc>
          <w:tcPr>
            <w:tcW w:w="2212" w:type="dxa"/>
            <w:shd w:val="clear" w:color="auto" w:fill="auto"/>
            <w:vAlign w:val="center"/>
          </w:tcPr>
          <w:p w14:paraId="58C6B173" w14:textId="77777777" w:rsidR="001A5EF4" w:rsidRPr="00EF4389" w:rsidRDefault="001A5EF4" w:rsidP="00F63651">
            <w:pPr>
              <w:pStyle w:val="Sinespaciado"/>
              <w:rPr>
                <w:rFonts w:ascii="ITC Avant Garde" w:hAnsi="ITC Avant Garde"/>
                <w:sz w:val="20"/>
                <w:szCs w:val="20"/>
              </w:rPr>
            </w:pPr>
            <w:r w:rsidRPr="00EF4389">
              <w:rPr>
                <w:rFonts w:ascii="ITC Avant Garde" w:hAnsi="ITC Avant Garde"/>
                <w:sz w:val="20"/>
                <w:szCs w:val="20"/>
              </w:rPr>
              <w:t>GIE</w:t>
            </w:r>
          </w:p>
        </w:tc>
        <w:tc>
          <w:tcPr>
            <w:tcW w:w="0" w:type="auto"/>
            <w:shd w:val="clear" w:color="auto" w:fill="auto"/>
            <w:vAlign w:val="center"/>
          </w:tcPr>
          <w:p w14:paraId="5992786B" w14:textId="77777777" w:rsidR="001A5EF4" w:rsidRPr="00EF4389" w:rsidRDefault="001A5EF4" w:rsidP="00F63651">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 xml:space="preserve">Grupo o Grupos de Interés Económico, indistintamente. </w:t>
            </w:r>
          </w:p>
        </w:tc>
      </w:tr>
      <w:tr w:rsidR="0028465D" w:rsidRPr="00EF4389" w14:paraId="22193412" w14:textId="77777777" w:rsidTr="00BE0179">
        <w:trPr>
          <w:cantSplit/>
        </w:trPr>
        <w:tc>
          <w:tcPr>
            <w:tcW w:w="2212" w:type="dxa"/>
            <w:shd w:val="clear" w:color="auto" w:fill="auto"/>
            <w:vAlign w:val="center"/>
          </w:tcPr>
          <w:p w14:paraId="407EFF1D" w14:textId="77777777" w:rsidR="0028465D" w:rsidRPr="00EF4389" w:rsidRDefault="0028465D" w:rsidP="0028465D">
            <w:pPr>
              <w:pStyle w:val="Sinespaciado"/>
              <w:rPr>
                <w:rFonts w:ascii="ITC Avant Garde" w:hAnsi="ITC Avant Garde"/>
                <w:sz w:val="20"/>
                <w:szCs w:val="20"/>
              </w:rPr>
            </w:pPr>
            <w:r>
              <w:rPr>
                <w:rFonts w:ascii="ITC Avant Garde" w:hAnsi="ITC Avant Garde"/>
                <w:sz w:val="20"/>
                <w:szCs w:val="20"/>
              </w:rPr>
              <w:t>Grupo Televisa</w:t>
            </w:r>
          </w:p>
        </w:tc>
        <w:tc>
          <w:tcPr>
            <w:tcW w:w="0" w:type="auto"/>
            <w:shd w:val="clear" w:color="auto" w:fill="auto"/>
            <w:vAlign w:val="center"/>
          </w:tcPr>
          <w:p w14:paraId="630DC3B0"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Grupo Televisa, S.A.B.</w:t>
            </w:r>
          </w:p>
        </w:tc>
      </w:tr>
      <w:tr w:rsidR="0028465D" w:rsidRPr="00EF4389" w14:paraId="4F3296FD" w14:textId="77777777" w:rsidTr="00BE0179">
        <w:trPr>
          <w:cantSplit/>
        </w:trPr>
        <w:tc>
          <w:tcPr>
            <w:tcW w:w="2212" w:type="dxa"/>
            <w:shd w:val="clear" w:color="auto" w:fill="auto"/>
            <w:vAlign w:val="center"/>
          </w:tcPr>
          <w:p w14:paraId="3BEF570E"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GTAC</w:t>
            </w:r>
          </w:p>
        </w:tc>
        <w:tc>
          <w:tcPr>
            <w:tcW w:w="0" w:type="auto"/>
            <w:shd w:val="clear" w:color="auto" w:fill="auto"/>
            <w:vAlign w:val="center"/>
          </w:tcPr>
          <w:p w14:paraId="67EB769F"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Grupo de Telecomunicaciones de Alta Capacidad, S.A.P.I. de C.V.</w:t>
            </w:r>
          </w:p>
        </w:tc>
      </w:tr>
      <w:tr w:rsidR="0028465D" w:rsidRPr="00EF4389" w14:paraId="1C77E46E" w14:textId="77777777" w:rsidTr="00BE0179">
        <w:trPr>
          <w:cantSplit/>
        </w:trPr>
        <w:tc>
          <w:tcPr>
            <w:tcW w:w="2212" w:type="dxa"/>
            <w:shd w:val="clear" w:color="auto" w:fill="auto"/>
            <w:vAlign w:val="center"/>
          </w:tcPr>
          <w:p w14:paraId="62D750F5"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GTV</w:t>
            </w:r>
          </w:p>
        </w:tc>
        <w:tc>
          <w:tcPr>
            <w:tcW w:w="0" w:type="auto"/>
            <w:shd w:val="clear" w:color="auto" w:fill="auto"/>
            <w:vAlign w:val="center"/>
          </w:tcPr>
          <w:p w14:paraId="7949BA2A"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 xml:space="preserve">GIE conformado por Grupo Televisa, S.A.B., sus subsidiarias y filiales, tal como se detalla en </w:t>
            </w:r>
            <w:r w:rsidRPr="00296054">
              <w:rPr>
                <w:rFonts w:eastAsia="Times New Roman" w:cs="Times New Roman"/>
                <w:color w:val="000000"/>
                <w:sz w:val="20"/>
                <w:szCs w:val="20"/>
                <w:lang w:eastAsia="es-MX"/>
              </w:rPr>
              <w:t>el Anexo III del presente</w:t>
            </w:r>
            <w:r>
              <w:rPr>
                <w:rFonts w:eastAsia="Times New Roman" w:cs="Times New Roman"/>
                <w:color w:val="000000"/>
                <w:sz w:val="20"/>
                <w:szCs w:val="20"/>
                <w:lang w:eastAsia="es-MX"/>
              </w:rPr>
              <w:t xml:space="preserve"> Dictamen</w:t>
            </w:r>
            <w:r w:rsidRPr="00FD18DD">
              <w:rPr>
                <w:rFonts w:eastAsia="Times New Roman" w:cs="Times New Roman"/>
                <w:color w:val="000000"/>
                <w:sz w:val="20"/>
                <w:szCs w:val="20"/>
                <w:lang w:eastAsia="es-MX"/>
              </w:rPr>
              <w:t>.</w:t>
            </w:r>
            <w:r w:rsidRPr="00EF4389">
              <w:rPr>
                <w:color w:val="000000"/>
                <w:sz w:val="20"/>
                <w:szCs w:val="20"/>
              </w:rPr>
              <w:t xml:space="preserve"> </w:t>
            </w:r>
          </w:p>
        </w:tc>
      </w:tr>
      <w:tr w:rsidR="00E6277B" w:rsidRPr="00EF4389" w14:paraId="4C83E1C3"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3E831D83" w14:textId="77777777" w:rsidR="00E6277B" w:rsidRPr="00EF4389" w:rsidRDefault="00E6277B"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4710045B" w14:textId="77777777" w:rsidR="00E6277B" w:rsidRPr="00113D6D" w:rsidRDefault="00E6277B" w:rsidP="004D2AE2">
            <w:pPr>
              <w:spacing w:after="0"/>
              <w:ind w:left="2041" w:firstLine="57"/>
              <w:rPr>
                <w:rFonts w:eastAsia="Times New Roman" w:cs="Times New Roman"/>
                <w:b/>
                <w:color w:val="000000"/>
                <w:sz w:val="20"/>
                <w:szCs w:val="20"/>
                <w:lang w:eastAsia="es-MX"/>
              </w:rPr>
            </w:pPr>
            <w:r>
              <w:rPr>
                <w:b/>
                <w:sz w:val="20"/>
                <w:szCs w:val="20"/>
              </w:rPr>
              <w:t>I</w:t>
            </w:r>
          </w:p>
        </w:tc>
      </w:tr>
      <w:tr w:rsidR="0028465D" w:rsidRPr="00EF4389" w14:paraId="2CDB1FB6" w14:textId="77777777" w:rsidTr="00BE0179">
        <w:trPr>
          <w:cantSplit/>
        </w:trPr>
        <w:tc>
          <w:tcPr>
            <w:tcW w:w="2212" w:type="dxa"/>
            <w:shd w:val="clear" w:color="auto" w:fill="auto"/>
            <w:vAlign w:val="center"/>
          </w:tcPr>
          <w:p w14:paraId="244F5736"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IH o IHH</w:t>
            </w:r>
          </w:p>
          <w:p w14:paraId="12D173CF"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(indistintamente)</w:t>
            </w:r>
          </w:p>
        </w:tc>
        <w:tc>
          <w:tcPr>
            <w:tcW w:w="0" w:type="auto"/>
            <w:shd w:val="clear" w:color="auto" w:fill="auto"/>
            <w:vAlign w:val="center"/>
          </w:tcPr>
          <w:p w14:paraId="085480BA" w14:textId="77777777" w:rsidR="0028465D" w:rsidRPr="00EF4389" w:rsidRDefault="0028465D" w:rsidP="002F0D2A">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 xml:space="preserve">Índice Herfindahl-Hirschman, determinado </w:t>
            </w:r>
            <w:r w:rsidRPr="00296054">
              <w:rPr>
                <w:rFonts w:eastAsia="Times New Roman" w:cs="Times New Roman"/>
                <w:color w:val="000000"/>
                <w:sz w:val="20"/>
                <w:szCs w:val="20"/>
                <w:lang w:eastAsia="es-MX"/>
              </w:rPr>
              <w:t>conforme</w:t>
            </w:r>
            <w:r w:rsidR="00296054" w:rsidRPr="00296054">
              <w:rPr>
                <w:rFonts w:eastAsia="Times New Roman" w:cs="Times New Roman"/>
                <w:color w:val="000000"/>
                <w:sz w:val="20"/>
                <w:szCs w:val="20"/>
                <w:lang w:eastAsia="es-MX"/>
              </w:rPr>
              <w:t xml:space="preserve"> al </w:t>
            </w:r>
            <w:r w:rsidR="00296054" w:rsidRPr="00296054">
              <w:rPr>
                <w:i/>
                <w:iCs/>
                <w:sz w:val="20"/>
                <w:szCs w:val="20"/>
              </w:rPr>
              <w:t>ACUERDO mediante el cual el Pleno del Instituto Federal de Telecomunicaciones expide el criterio técnico para el cálculo y aplicación de un índice cuantitativo a fin de determinar el grado de concentración en los mercados y servicios correspondientes a los sectores de tel</w:t>
            </w:r>
            <w:r w:rsidR="00296054">
              <w:rPr>
                <w:i/>
                <w:iCs/>
                <w:sz w:val="20"/>
                <w:szCs w:val="20"/>
              </w:rPr>
              <w:t>ecomunicaciones y radiodifusión</w:t>
            </w:r>
            <w:r w:rsidR="00296054" w:rsidRPr="00296054">
              <w:rPr>
                <w:sz w:val="20"/>
                <w:szCs w:val="20"/>
              </w:rPr>
              <w:t>, publicado en el DOF el once de abril de dos mil dieciséis.</w:t>
            </w:r>
            <w:r w:rsidR="00296054">
              <w:rPr>
                <w:sz w:val="16"/>
                <w:szCs w:val="16"/>
              </w:rPr>
              <w:t xml:space="preserve"> </w:t>
            </w:r>
          </w:p>
        </w:tc>
      </w:tr>
      <w:tr w:rsidR="0028465D" w:rsidRPr="00EF4389" w14:paraId="4D9AED40" w14:textId="77777777" w:rsidTr="00BE0179">
        <w:trPr>
          <w:cantSplit/>
        </w:trPr>
        <w:tc>
          <w:tcPr>
            <w:tcW w:w="2212" w:type="dxa"/>
            <w:shd w:val="clear" w:color="auto" w:fill="auto"/>
            <w:vAlign w:val="center"/>
          </w:tcPr>
          <w:p w14:paraId="6D5C4F2C" w14:textId="77777777" w:rsidR="0028465D" w:rsidRPr="00EF4389" w:rsidRDefault="0028465D" w:rsidP="002F0D2A">
            <w:pPr>
              <w:pStyle w:val="Sinespaciado"/>
              <w:rPr>
                <w:rFonts w:ascii="ITC Avant Garde" w:hAnsi="ITC Avant Garde"/>
                <w:sz w:val="20"/>
                <w:szCs w:val="20"/>
              </w:rPr>
            </w:pPr>
            <w:r w:rsidRPr="00EF4389">
              <w:rPr>
                <w:rFonts w:ascii="ITC Avant Garde" w:hAnsi="ITC Avant Garde"/>
                <w:sz w:val="20"/>
                <w:szCs w:val="20"/>
              </w:rPr>
              <w:t>Instituto o IFT (indistintamente)</w:t>
            </w:r>
          </w:p>
        </w:tc>
        <w:tc>
          <w:tcPr>
            <w:tcW w:w="0" w:type="auto"/>
            <w:shd w:val="clear" w:color="auto" w:fill="auto"/>
            <w:vAlign w:val="center"/>
          </w:tcPr>
          <w:p w14:paraId="095644D2" w14:textId="77777777" w:rsidR="0028465D" w:rsidRPr="00EF4389" w:rsidRDefault="0028465D" w:rsidP="00296054">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Instituto Federal de Telecomunicaciones</w:t>
            </w:r>
            <w:r w:rsidR="00296054">
              <w:rPr>
                <w:rFonts w:eastAsia="Times New Roman" w:cs="Times New Roman"/>
                <w:color w:val="000000"/>
                <w:sz w:val="20"/>
                <w:szCs w:val="20"/>
                <w:lang w:eastAsia="es-MX"/>
              </w:rPr>
              <w:t>.</w:t>
            </w:r>
          </w:p>
        </w:tc>
      </w:tr>
      <w:tr w:rsidR="0028465D" w:rsidRPr="00EF4389" w14:paraId="49391EED" w14:textId="77777777" w:rsidTr="00BE0179">
        <w:trPr>
          <w:cantSplit/>
        </w:trPr>
        <w:tc>
          <w:tcPr>
            <w:tcW w:w="2212" w:type="dxa"/>
            <w:shd w:val="clear" w:color="auto" w:fill="auto"/>
            <w:vAlign w:val="center"/>
          </w:tcPr>
          <w:p w14:paraId="4B8C9C99"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IP Matrix</w:t>
            </w:r>
          </w:p>
        </w:tc>
        <w:tc>
          <w:tcPr>
            <w:tcW w:w="0" w:type="auto"/>
            <w:shd w:val="clear" w:color="auto" w:fill="auto"/>
            <w:vAlign w:val="center"/>
          </w:tcPr>
          <w:p w14:paraId="6C606615"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IP Matrix, S.A. de C.V. y sus filiales.</w:t>
            </w:r>
          </w:p>
        </w:tc>
      </w:tr>
      <w:tr w:rsidR="00E6277B" w:rsidRPr="00EF4389" w14:paraId="112D3E31"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2F644822" w14:textId="77777777" w:rsidR="00E6277B" w:rsidRPr="00EF4389" w:rsidRDefault="00E6277B"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3530189E" w14:textId="77777777" w:rsidR="00E6277B" w:rsidRPr="00113D6D" w:rsidRDefault="00E6277B" w:rsidP="004D2AE2">
            <w:pPr>
              <w:spacing w:after="0"/>
              <w:ind w:left="2041" w:firstLine="57"/>
              <w:rPr>
                <w:rFonts w:eastAsia="Times New Roman" w:cs="Times New Roman"/>
                <w:b/>
                <w:color w:val="000000"/>
                <w:sz w:val="20"/>
                <w:szCs w:val="20"/>
                <w:lang w:eastAsia="es-MX"/>
              </w:rPr>
            </w:pPr>
            <w:r>
              <w:rPr>
                <w:b/>
                <w:sz w:val="20"/>
                <w:szCs w:val="20"/>
              </w:rPr>
              <w:t>K</w:t>
            </w:r>
          </w:p>
        </w:tc>
      </w:tr>
      <w:tr w:rsidR="0028465D" w:rsidRPr="00EF4389" w14:paraId="018EA3CB" w14:textId="77777777" w:rsidTr="00BE0179">
        <w:trPr>
          <w:cantSplit/>
        </w:trPr>
        <w:tc>
          <w:tcPr>
            <w:tcW w:w="2212" w:type="dxa"/>
            <w:shd w:val="clear" w:color="auto" w:fill="auto"/>
            <w:vAlign w:val="center"/>
          </w:tcPr>
          <w:p w14:paraId="5291BCF4"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Kbps</w:t>
            </w:r>
          </w:p>
        </w:tc>
        <w:tc>
          <w:tcPr>
            <w:tcW w:w="0" w:type="auto"/>
            <w:shd w:val="clear" w:color="auto" w:fill="auto"/>
            <w:vAlign w:val="center"/>
          </w:tcPr>
          <w:p w14:paraId="3C0AB355" w14:textId="77777777" w:rsidR="0028465D" w:rsidRPr="00EF4389" w:rsidRDefault="0028465D" w:rsidP="0028465D">
            <w:pPr>
              <w:spacing w:after="0"/>
              <w:jc w:val="both"/>
              <w:rPr>
                <w:rFonts w:eastAsia="Times New Roman" w:cs="Times New Roman"/>
                <w:color w:val="000000"/>
                <w:sz w:val="20"/>
                <w:szCs w:val="20"/>
                <w:lang w:eastAsia="es-MX"/>
              </w:rPr>
            </w:pPr>
            <w:r w:rsidRPr="004821DF">
              <w:rPr>
                <w:rFonts w:eastAsia="Times New Roman" w:cs="Times New Roman"/>
                <w:color w:val="000000"/>
                <w:sz w:val="20"/>
                <w:szCs w:val="20"/>
                <w:lang w:eastAsia="es-MX"/>
              </w:rPr>
              <w:t>Kilobits</w:t>
            </w:r>
            <w:r w:rsidRPr="00EF4389">
              <w:rPr>
                <w:rFonts w:eastAsia="Times New Roman" w:cs="Times New Roman"/>
                <w:color w:val="000000"/>
                <w:sz w:val="20"/>
                <w:szCs w:val="20"/>
                <w:lang w:eastAsia="es-MX"/>
              </w:rPr>
              <w:t xml:space="preserve"> por segundo.</w:t>
            </w:r>
          </w:p>
        </w:tc>
      </w:tr>
      <w:tr w:rsidR="0028465D" w:rsidRPr="00EF4389" w14:paraId="72FB7C14" w14:textId="77777777" w:rsidTr="00BE0179">
        <w:trPr>
          <w:cantSplit/>
        </w:trPr>
        <w:tc>
          <w:tcPr>
            <w:tcW w:w="2212" w:type="dxa"/>
            <w:shd w:val="clear" w:color="auto" w:fill="auto"/>
            <w:vAlign w:val="center"/>
          </w:tcPr>
          <w:p w14:paraId="582E430A"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 xml:space="preserve">KIO </w:t>
            </w:r>
          </w:p>
        </w:tc>
        <w:tc>
          <w:tcPr>
            <w:tcW w:w="0" w:type="auto"/>
            <w:shd w:val="clear" w:color="auto" w:fill="auto"/>
            <w:vAlign w:val="center"/>
          </w:tcPr>
          <w:p w14:paraId="01CEBB7E" w14:textId="77777777" w:rsidR="0028465D" w:rsidRPr="00EF4389" w:rsidRDefault="0028465D" w:rsidP="0072107B">
            <w:pPr>
              <w:spacing w:after="0"/>
              <w:jc w:val="both"/>
              <w:rPr>
                <w:rFonts w:eastAsiaTheme="majorEastAsia"/>
                <w:color w:val="000000" w:themeColor="text1"/>
                <w:sz w:val="20"/>
                <w:szCs w:val="20"/>
              </w:rPr>
            </w:pPr>
            <w:r w:rsidRPr="00EF4389">
              <w:rPr>
                <w:rFonts w:eastAsia="Times New Roman" w:cs="Times New Roman"/>
                <w:color w:val="000000"/>
                <w:sz w:val="20"/>
                <w:szCs w:val="20"/>
                <w:lang w:eastAsia="es-MX"/>
              </w:rPr>
              <w:t>Six</w:t>
            </w:r>
            <w:r w:rsidR="0072107B">
              <w:rPr>
                <w:rFonts w:eastAsia="Times New Roman" w:cs="Times New Roman"/>
                <w:color w:val="000000"/>
                <w:sz w:val="20"/>
                <w:szCs w:val="20"/>
                <w:lang w:eastAsia="es-MX"/>
              </w:rPr>
              <w:t>S</w:t>
            </w:r>
            <w:r w:rsidRPr="00EF4389">
              <w:rPr>
                <w:rFonts w:eastAsia="Times New Roman" w:cs="Times New Roman"/>
                <w:color w:val="000000"/>
                <w:sz w:val="20"/>
                <w:szCs w:val="20"/>
                <w:lang w:eastAsia="es-MX"/>
              </w:rPr>
              <w:t>igma Networks México, S.A. de C.V.</w:t>
            </w:r>
          </w:p>
        </w:tc>
      </w:tr>
      <w:tr w:rsidR="00E6277B" w:rsidRPr="00EF4389" w14:paraId="311D230C"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34D40B06" w14:textId="77777777" w:rsidR="00E6277B" w:rsidRPr="00EF4389" w:rsidRDefault="00E6277B"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45B7A40B" w14:textId="77777777" w:rsidR="00E6277B" w:rsidRPr="00113D6D" w:rsidRDefault="00E6277B" w:rsidP="004D2AE2">
            <w:pPr>
              <w:spacing w:after="0"/>
              <w:ind w:left="2041" w:firstLine="57"/>
              <w:rPr>
                <w:rFonts w:eastAsia="Times New Roman" w:cs="Times New Roman"/>
                <w:b/>
                <w:color w:val="000000"/>
                <w:sz w:val="20"/>
                <w:szCs w:val="20"/>
                <w:lang w:eastAsia="es-MX"/>
              </w:rPr>
            </w:pPr>
            <w:r>
              <w:rPr>
                <w:b/>
                <w:sz w:val="20"/>
                <w:szCs w:val="20"/>
              </w:rPr>
              <w:t>L</w:t>
            </w:r>
          </w:p>
        </w:tc>
      </w:tr>
      <w:tr w:rsidR="0028465D" w:rsidRPr="00EF4389" w14:paraId="6A638821" w14:textId="77777777" w:rsidTr="00BE0179">
        <w:trPr>
          <w:cantSplit/>
        </w:trPr>
        <w:tc>
          <w:tcPr>
            <w:tcW w:w="2212" w:type="dxa"/>
            <w:shd w:val="clear" w:color="auto" w:fill="auto"/>
            <w:vAlign w:val="center"/>
          </w:tcPr>
          <w:p w14:paraId="022367F2"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LFCE</w:t>
            </w:r>
          </w:p>
        </w:tc>
        <w:tc>
          <w:tcPr>
            <w:tcW w:w="0" w:type="auto"/>
            <w:shd w:val="clear" w:color="auto" w:fill="auto"/>
            <w:vAlign w:val="center"/>
          </w:tcPr>
          <w:p w14:paraId="23576251"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Ley Federal de Competencia Económica vigente, publicada en el DOF el veintitrés de mayo de dos mil catorce.</w:t>
            </w:r>
          </w:p>
        </w:tc>
      </w:tr>
      <w:tr w:rsidR="0028465D" w:rsidRPr="00EF4389" w14:paraId="39920367" w14:textId="77777777" w:rsidTr="00BE0179">
        <w:trPr>
          <w:cantSplit/>
        </w:trPr>
        <w:tc>
          <w:tcPr>
            <w:tcW w:w="2212" w:type="dxa"/>
            <w:shd w:val="clear" w:color="auto" w:fill="auto"/>
            <w:vAlign w:val="center"/>
          </w:tcPr>
          <w:p w14:paraId="076A4E81"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LFTyR</w:t>
            </w:r>
          </w:p>
        </w:tc>
        <w:tc>
          <w:tcPr>
            <w:tcW w:w="0" w:type="auto"/>
            <w:shd w:val="clear" w:color="auto" w:fill="auto"/>
            <w:vAlign w:val="center"/>
          </w:tcPr>
          <w:p w14:paraId="14526FA7"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Ley Federal de Telecomunicaciones y Radiodifusión vigente, publicada en el DOF el catorce de julio de dos mil catorce.</w:t>
            </w:r>
          </w:p>
        </w:tc>
      </w:tr>
      <w:tr w:rsidR="00E6277B" w:rsidRPr="00EF4389" w14:paraId="750AAAF6"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319966ED" w14:textId="77777777" w:rsidR="00E6277B" w:rsidRPr="00EF4389" w:rsidRDefault="00E6277B"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650E6A23" w14:textId="77777777" w:rsidR="00E6277B" w:rsidRPr="00113D6D" w:rsidRDefault="00E6277B" w:rsidP="004D2AE2">
            <w:pPr>
              <w:spacing w:after="0"/>
              <w:ind w:left="2041" w:firstLine="57"/>
              <w:rPr>
                <w:rFonts w:eastAsia="Times New Roman" w:cs="Times New Roman"/>
                <w:b/>
                <w:color w:val="000000"/>
                <w:sz w:val="20"/>
                <w:szCs w:val="20"/>
                <w:lang w:eastAsia="es-MX"/>
              </w:rPr>
            </w:pPr>
            <w:r>
              <w:rPr>
                <w:b/>
                <w:sz w:val="20"/>
                <w:szCs w:val="20"/>
              </w:rPr>
              <w:t>M</w:t>
            </w:r>
          </w:p>
        </w:tc>
      </w:tr>
      <w:tr w:rsidR="0028465D" w:rsidRPr="00EF4389" w14:paraId="0EF8DF2F" w14:textId="77777777" w:rsidTr="00BE0179">
        <w:trPr>
          <w:cantSplit/>
        </w:trPr>
        <w:tc>
          <w:tcPr>
            <w:tcW w:w="2212" w:type="dxa"/>
            <w:shd w:val="clear" w:color="auto" w:fill="auto"/>
            <w:vAlign w:val="center"/>
          </w:tcPr>
          <w:p w14:paraId="4576ACA6"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Mbps</w:t>
            </w:r>
          </w:p>
        </w:tc>
        <w:tc>
          <w:tcPr>
            <w:tcW w:w="0" w:type="auto"/>
            <w:shd w:val="clear" w:color="auto" w:fill="auto"/>
            <w:vAlign w:val="center"/>
          </w:tcPr>
          <w:p w14:paraId="74CA4653" w14:textId="77777777" w:rsidR="0028465D" w:rsidRPr="00EF4389" w:rsidRDefault="0028465D" w:rsidP="0028465D">
            <w:pPr>
              <w:spacing w:after="0"/>
              <w:jc w:val="both"/>
              <w:rPr>
                <w:rFonts w:eastAsia="Times New Roman" w:cs="Times New Roman"/>
                <w:color w:val="000000"/>
                <w:sz w:val="20"/>
                <w:szCs w:val="20"/>
                <w:lang w:eastAsia="es-MX"/>
              </w:rPr>
            </w:pPr>
            <w:r w:rsidRPr="004821DF">
              <w:rPr>
                <w:rFonts w:eastAsia="Times New Roman" w:cs="Times New Roman"/>
                <w:color w:val="000000"/>
                <w:sz w:val="20"/>
                <w:szCs w:val="20"/>
                <w:lang w:eastAsia="es-MX"/>
              </w:rPr>
              <w:t>Megabits</w:t>
            </w:r>
            <w:r w:rsidRPr="00EF4389">
              <w:rPr>
                <w:rFonts w:eastAsia="Times New Roman" w:cs="Times New Roman"/>
                <w:color w:val="000000"/>
                <w:sz w:val="20"/>
                <w:szCs w:val="20"/>
                <w:lang w:eastAsia="es-MX"/>
              </w:rPr>
              <w:t xml:space="preserve"> por segundo.</w:t>
            </w:r>
          </w:p>
        </w:tc>
      </w:tr>
      <w:tr w:rsidR="0028465D" w:rsidRPr="00EF4389" w14:paraId="1895F18B" w14:textId="77777777" w:rsidTr="00BE0179">
        <w:trPr>
          <w:cantSplit/>
        </w:trPr>
        <w:tc>
          <w:tcPr>
            <w:tcW w:w="2212" w:type="dxa"/>
            <w:shd w:val="clear" w:color="auto" w:fill="auto"/>
            <w:vAlign w:val="center"/>
          </w:tcPr>
          <w:p w14:paraId="7C96B974"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MCM</w:t>
            </w:r>
          </w:p>
        </w:tc>
        <w:tc>
          <w:tcPr>
            <w:tcW w:w="0" w:type="auto"/>
            <w:shd w:val="clear" w:color="auto" w:fill="auto"/>
            <w:vAlign w:val="center"/>
          </w:tcPr>
          <w:p w14:paraId="3D559DDD"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Megacable Comunicaciones de México, S.A. de C.V., subsidiaria de Megacable Holdings, S.A.B. de C.V.</w:t>
            </w:r>
          </w:p>
        </w:tc>
      </w:tr>
      <w:tr w:rsidR="0028465D" w:rsidRPr="00EF4389" w14:paraId="415B170D" w14:textId="77777777" w:rsidTr="00BE0179">
        <w:trPr>
          <w:cantSplit/>
        </w:trPr>
        <w:tc>
          <w:tcPr>
            <w:tcW w:w="2212" w:type="dxa"/>
            <w:shd w:val="clear" w:color="auto" w:fill="auto"/>
            <w:vAlign w:val="center"/>
          </w:tcPr>
          <w:p w14:paraId="4B601532"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Megacable</w:t>
            </w:r>
          </w:p>
        </w:tc>
        <w:tc>
          <w:tcPr>
            <w:tcW w:w="0" w:type="auto"/>
            <w:shd w:val="clear" w:color="auto" w:fill="auto"/>
            <w:vAlign w:val="center"/>
          </w:tcPr>
          <w:p w14:paraId="401A05BE"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GIE conformado por Megacable Holdings, S.A.B. de C.V.</w:t>
            </w:r>
            <w:r>
              <w:rPr>
                <w:rFonts w:eastAsia="Times New Roman" w:cs="Times New Roman"/>
                <w:color w:val="000000"/>
                <w:sz w:val="20"/>
                <w:szCs w:val="20"/>
                <w:lang w:eastAsia="es-MX"/>
              </w:rPr>
              <w:t xml:space="preserve"> y sus subsidiarias</w:t>
            </w:r>
            <w:r w:rsidRPr="00EF4389">
              <w:rPr>
                <w:rFonts w:eastAsia="Times New Roman" w:cs="Times New Roman"/>
                <w:color w:val="000000"/>
                <w:sz w:val="20"/>
                <w:szCs w:val="20"/>
                <w:lang w:eastAsia="es-MX"/>
              </w:rPr>
              <w:t xml:space="preserve">, tal como se detalla </w:t>
            </w:r>
            <w:r w:rsidRPr="0072107B">
              <w:rPr>
                <w:rFonts w:eastAsia="Times New Roman" w:cs="Times New Roman"/>
                <w:color w:val="000000"/>
                <w:sz w:val="20"/>
                <w:szCs w:val="20"/>
                <w:lang w:eastAsia="es-MX"/>
              </w:rPr>
              <w:t>en el Anexo V del</w:t>
            </w:r>
            <w:r>
              <w:rPr>
                <w:rFonts w:eastAsia="Times New Roman" w:cs="Times New Roman"/>
                <w:color w:val="000000"/>
                <w:sz w:val="20"/>
                <w:szCs w:val="20"/>
                <w:lang w:eastAsia="es-MX"/>
              </w:rPr>
              <w:t xml:space="preserve"> presente Dictamen.</w:t>
            </w:r>
          </w:p>
        </w:tc>
      </w:tr>
      <w:tr w:rsidR="0028465D" w:rsidRPr="00A26728" w14:paraId="0827043F" w14:textId="77777777" w:rsidTr="00BE0179">
        <w:trPr>
          <w:cantSplit/>
        </w:trPr>
        <w:tc>
          <w:tcPr>
            <w:tcW w:w="2212" w:type="dxa"/>
            <w:shd w:val="clear" w:color="auto" w:fill="auto"/>
            <w:vAlign w:val="center"/>
          </w:tcPr>
          <w:p w14:paraId="5E901D12" w14:textId="77777777" w:rsidR="0028465D" w:rsidRPr="00EF4389" w:rsidRDefault="0028465D" w:rsidP="0028465D">
            <w:pPr>
              <w:pStyle w:val="Sinespaciado"/>
              <w:rPr>
                <w:rFonts w:ascii="ITC Avant Garde" w:hAnsi="ITC Avant Garde"/>
                <w:sz w:val="20"/>
                <w:szCs w:val="20"/>
              </w:rPr>
            </w:pPr>
            <w:r>
              <w:rPr>
                <w:rFonts w:ascii="ITC Avant Garde" w:hAnsi="ITC Avant Garde"/>
                <w:sz w:val="20"/>
                <w:szCs w:val="20"/>
              </w:rPr>
              <w:lastRenderedPageBreak/>
              <w:t>Megacable Holdings</w:t>
            </w:r>
          </w:p>
        </w:tc>
        <w:tc>
          <w:tcPr>
            <w:tcW w:w="0" w:type="auto"/>
            <w:shd w:val="clear" w:color="auto" w:fill="auto"/>
            <w:vAlign w:val="center"/>
          </w:tcPr>
          <w:p w14:paraId="59B82317" w14:textId="77777777" w:rsidR="0028465D" w:rsidRPr="00DB20EC" w:rsidRDefault="0028465D" w:rsidP="0028465D">
            <w:pPr>
              <w:spacing w:after="0"/>
              <w:jc w:val="both"/>
              <w:rPr>
                <w:rFonts w:eastAsia="Times New Roman" w:cs="Times New Roman"/>
                <w:color w:val="000000"/>
                <w:sz w:val="20"/>
                <w:szCs w:val="20"/>
                <w:lang w:val="en-GB" w:eastAsia="es-MX"/>
              </w:rPr>
            </w:pPr>
            <w:r w:rsidRPr="00DB20EC">
              <w:rPr>
                <w:rFonts w:eastAsia="Times New Roman" w:cs="Times New Roman"/>
                <w:color w:val="000000"/>
                <w:sz w:val="20"/>
                <w:szCs w:val="20"/>
                <w:lang w:val="en-GB" w:eastAsia="es-MX"/>
              </w:rPr>
              <w:t>Megacable Holdings, S.A.B. de C.V.</w:t>
            </w:r>
          </w:p>
        </w:tc>
      </w:tr>
      <w:tr w:rsidR="0028465D" w:rsidRPr="00921B2B" w14:paraId="21D1BE6B" w14:textId="77777777" w:rsidTr="00BE0179">
        <w:trPr>
          <w:cantSplit/>
        </w:trPr>
        <w:tc>
          <w:tcPr>
            <w:tcW w:w="2212" w:type="dxa"/>
            <w:shd w:val="clear" w:color="auto" w:fill="auto"/>
            <w:vAlign w:val="center"/>
          </w:tcPr>
          <w:p w14:paraId="5BDAA506" w14:textId="77777777" w:rsidR="0028465D" w:rsidRPr="004821DF" w:rsidRDefault="0028465D" w:rsidP="0028465D">
            <w:pPr>
              <w:pStyle w:val="Sinespaciado"/>
              <w:rPr>
                <w:rFonts w:ascii="ITC Avant Garde" w:hAnsi="ITC Avant Garde"/>
                <w:sz w:val="20"/>
                <w:szCs w:val="20"/>
                <w:lang w:val="en-US"/>
              </w:rPr>
            </w:pPr>
            <w:r w:rsidRPr="004821DF">
              <w:rPr>
                <w:rFonts w:ascii="ITC Avant Garde" w:hAnsi="ITC Avant Garde"/>
                <w:sz w:val="20"/>
                <w:szCs w:val="20"/>
                <w:lang w:val="en-US"/>
              </w:rPr>
              <w:t>Metrored</w:t>
            </w:r>
          </w:p>
        </w:tc>
        <w:tc>
          <w:tcPr>
            <w:tcW w:w="0" w:type="auto"/>
            <w:shd w:val="clear" w:color="auto" w:fill="auto"/>
            <w:vAlign w:val="center"/>
          </w:tcPr>
          <w:p w14:paraId="6DF9C399" w14:textId="77777777" w:rsidR="0028465D" w:rsidRPr="00C52BA6" w:rsidRDefault="0028465D" w:rsidP="0028465D">
            <w:pPr>
              <w:spacing w:after="0"/>
              <w:jc w:val="both"/>
              <w:rPr>
                <w:rFonts w:eastAsia="Times New Roman" w:cs="Times New Roman"/>
                <w:color w:val="000000"/>
                <w:sz w:val="20"/>
                <w:szCs w:val="20"/>
                <w:lang w:eastAsia="es-MX"/>
              </w:rPr>
            </w:pPr>
            <w:r w:rsidRPr="00C52BA6">
              <w:rPr>
                <w:rFonts w:eastAsia="Times New Roman" w:cs="Times New Roman"/>
                <w:color w:val="000000"/>
                <w:sz w:val="20"/>
                <w:szCs w:val="20"/>
                <w:lang w:eastAsia="es-MX"/>
              </w:rPr>
              <w:t>México Red de Telecomunicaciones, S. de R.L. de C.V.</w:t>
            </w:r>
          </w:p>
        </w:tc>
      </w:tr>
      <w:tr w:rsidR="0028465D" w:rsidRPr="00EF4389" w14:paraId="42E44E12" w14:textId="77777777" w:rsidTr="00BE0179">
        <w:trPr>
          <w:cantSplit/>
        </w:trPr>
        <w:tc>
          <w:tcPr>
            <w:tcW w:w="2212" w:type="dxa"/>
            <w:shd w:val="clear" w:color="auto" w:fill="auto"/>
            <w:vAlign w:val="center"/>
          </w:tcPr>
          <w:p w14:paraId="0682CFD6"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Metro Net</w:t>
            </w:r>
          </w:p>
        </w:tc>
        <w:tc>
          <w:tcPr>
            <w:tcW w:w="0" w:type="auto"/>
            <w:shd w:val="clear" w:color="auto" w:fill="auto"/>
            <w:vAlign w:val="center"/>
          </w:tcPr>
          <w:p w14:paraId="636C0AB9"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Metro Net, S.A.P.I. de C.V.</w:t>
            </w:r>
          </w:p>
        </w:tc>
      </w:tr>
      <w:tr w:rsidR="0028465D" w:rsidRPr="00EF4389" w14:paraId="04884890" w14:textId="77777777" w:rsidTr="00BE0179">
        <w:trPr>
          <w:cantSplit/>
        </w:trPr>
        <w:tc>
          <w:tcPr>
            <w:tcW w:w="2212" w:type="dxa"/>
            <w:shd w:val="clear" w:color="auto" w:fill="auto"/>
            <w:vAlign w:val="center"/>
          </w:tcPr>
          <w:p w14:paraId="4B93F3D6"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MPLS</w:t>
            </w:r>
          </w:p>
        </w:tc>
        <w:tc>
          <w:tcPr>
            <w:tcW w:w="0" w:type="auto"/>
            <w:shd w:val="clear" w:color="auto" w:fill="auto"/>
            <w:vAlign w:val="center"/>
          </w:tcPr>
          <w:p w14:paraId="05FE36C8"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Conmutación de etiquetas multiprotocolo (</w:t>
            </w:r>
            <w:r w:rsidRPr="00EF4389">
              <w:rPr>
                <w:rFonts w:eastAsia="Times New Roman" w:cs="Times New Roman"/>
                <w:i/>
                <w:color w:val="000000"/>
                <w:sz w:val="20"/>
                <w:szCs w:val="20"/>
                <w:lang w:eastAsia="es-MX"/>
              </w:rPr>
              <w:t>Multiprotocol Label Switching,</w:t>
            </w:r>
            <w:r w:rsidRPr="00EF4389">
              <w:rPr>
                <w:rFonts w:eastAsia="Times New Roman" w:cs="Times New Roman"/>
                <w:color w:val="000000"/>
                <w:sz w:val="20"/>
                <w:szCs w:val="20"/>
                <w:lang w:eastAsia="es-MX"/>
              </w:rPr>
              <w:t xml:space="preserve"> por sus siglas en inglés).</w:t>
            </w:r>
          </w:p>
        </w:tc>
      </w:tr>
      <w:tr w:rsidR="0028465D" w:rsidRPr="00EF4389" w14:paraId="5384AA01" w14:textId="77777777" w:rsidTr="00BE0179">
        <w:trPr>
          <w:cantSplit/>
        </w:trPr>
        <w:tc>
          <w:tcPr>
            <w:tcW w:w="2212" w:type="dxa"/>
            <w:shd w:val="clear" w:color="auto" w:fill="auto"/>
            <w:vAlign w:val="center"/>
          </w:tcPr>
          <w:p w14:paraId="7B546EBC"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MTP</w:t>
            </w:r>
          </w:p>
        </w:tc>
        <w:tc>
          <w:tcPr>
            <w:tcW w:w="0" w:type="auto"/>
            <w:shd w:val="clear" w:color="auto" w:fill="auto"/>
            <w:vAlign w:val="center"/>
          </w:tcPr>
          <w:p w14:paraId="71292BDD"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México Tower Partners, S.A.P.I. de C.V. y sus filiales.</w:t>
            </w:r>
          </w:p>
        </w:tc>
      </w:tr>
      <w:tr w:rsidR="00E6277B" w:rsidRPr="00EF4389" w14:paraId="4A9A8C36"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237AD7C9" w14:textId="77777777" w:rsidR="00E6277B" w:rsidRPr="00EF4389" w:rsidRDefault="00E6277B"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3AB4F151" w14:textId="77777777" w:rsidR="00E6277B" w:rsidRPr="00113D6D" w:rsidRDefault="0016118E" w:rsidP="004D2AE2">
            <w:pPr>
              <w:spacing w:after="0"/>
              <w:ind w:left="2041" w:firstLine="57"/>
              <w:rPr>
                <w:rFonts w:eastAsia="Times New Roman" w:cs="Times New Roman"/>
                <w:b/>
                <w:color w:val="000000"/>
                <w:sz w:val="20"/>
                <w:szCs w:val="20"/>
                <w:lang w:eastAsia="es-MX"/>
              </w:rPr>
            </w:pPr>
            <w:r>
              <w:rPr>
                <w:b/>
                <w:sz w:val="20"/>
                <w:szCs w:val="20"/>
              </w:rPr>
              <w:t>O</w:t>
            </w:r>
          </w:p>
        </w:tc>
      </w:tr>
      <w:tr w:rsidR="0028465D" w:rsidRPr="00EF4389" w14:paraId="0492B188" w14:textId="77777777" w:rsidTr="00BE0179">
        <w:trPr>
          <w:cantSplit/>
        </w:trPr>
        <w:tc>
          <w:tcPr>
            <w:tcW w:w="2212" w:type="dxa"/>
            <w:shd w:val="clear" w:color="auto" w:fill="auto"/>
            <w:vAlign w:val="center"/>
          </w:tcPr>
          <w:p w14:paraId="03033434" w14:textId="77777777" w:rsidR="0028465D" w:rsidRDefault="0028465D" w:rsidP="00CE4576">
            <w:pPr>
              <w:pStyle w:val="Sinespaciado"/>
              <w:widowControl w:val="0"/>
              <w:rPr>
                <w:rFonts w:ascii="ITC Avant Garde" w:hAnsi="ITC Avant Garde"/>
                <w:sz w:val="20"/>
                <w:szCs w:val="20"/>
              </w:rPr>
            </w:pPr>
            <w:r>
              <w:rPr>
                <w:rFonts w:ascii="ITC Avant Garde" w:hAnsi="ITC Avant Garde"/>
                <w:sz w:val="20"/>
                <w:szCs w:val="20"/>
              </w:rPr>
              <w:t>Ofertas de referencia de enlaces dedicados mayoristas</w:t>
            </w:r>
          </w:p>
        </w:tc>
        <w:tc>
          <w:tcPr>
            <w:tcW w:w="0" w:type="auto"/>
            <w:shd w:val="clear" w:color="auto" w:fill="auto"/>
            <w:vAlign w:val="center"/>
          </w:tcPr>
          <w:p w14:paraId="2CF66BCF" w14:textId="77777777" w:rsidR="0028465D" w:rsidRPr="00CF4F33" w:rsidRDefault="00756F61" w:rsidP="00CE4576">
            <w:pPr>
              <w:widowControl w:val="0"/>
              <w:spacing w:after="0"/>
              <w:jc w:val="both"/>
              <w:rPr>
                <w:sz w:val="20"/>
                <w:szCs w:val="20"/>
                <w:highlight w:val="green"/>
              </w:rPr>
            </w:pPr>
            <w:r>
              <w:rPr>
                <w:sz w:val="20"/>
                <w:szCs w:val="20"/>
              </w:rPr>
              <w:t xml:space="preserve">Ofertas de referencia aprobadas mediante los </w:t>
            </w:r>
            <w:r w:rsidR="0028465D" w:rsidRPr="000323E9">
              <w:rPr>
                <w:sz w:val="20"/>
                <w:szCs w:val="20"/>
              </w:rPr>
              <w:t>Acuerdo</w:t>
            </w:r>
            <w:r>
              <w:rPr>
                <w:sz w:val="20"/>
                <w:szCs w:val="20"/>
              </w:rPr>
              <w:t>s</w:t>
            </w:r>
            <w:r w:rsidR="0028465D" w:rsidRPr="000323E9">
              <w:rPr>
                <w:sz w:val="20"/>
                <w:szCs w:val="20"/>
              </w:rPr>
              <w:t xml:space="preserve"> P/IFT/131217/904, de fecha trece de diciembre de dos mil diecisiete, que establece la </w:t>
            </w:r>
            <w:r w:rsidR="0028465D" w:rsidRPr="00CF4F33">
              <w:rPr>
                <w:i/>
                <w:sz w:val="20"/>
                <w:szCs w:val="20"/>
              </w:rPr>
              <w:t>Resolución mediante la cual el Pleno del Instituto Federal de Telecomunicaciones modifica y autoriza al Agente Económico Preponderante los términos y condiciones de la Oferta de referencia para la prestación de enlaces dedicados locales, entre localidades y de larga distancia internacional para concesionarios de redes públicas de telecomunicaciones y autorizados de telecomunicaciones presentada por Teléfonos de México, S.A.B. de C.V.</w:t>
            </w:r>
            <w:r w:rsidR="005104B1">
              <w:rPr>
                <w:i/>
                <w:sz w:val="20"/>
                <w:szCs w:val="20"/>
              </w:rPr>
              <w:t>,</w:t>
            </w:r>
            <w:r w:rsidR="0028465D" w:rsidRPr="00CF4F33">
              <w:rPr>
                <w:i/>
                <w:sz w:val="20"/>
                <w:szCs w:val="20"/>
              </w:rPr>
              <w:t xml:space="preserve"> aplicable del 1 de enero de 2018 al 31 de diciembre de 2018</w:t>
            </w:r>
            <w:r>
              <w:rPr>
                <w:i/>
                <w:sz w:val="20"/>
                <w:szCs w:val="20"/>
              </w:rPr>
              <w:t>;</w:t>
            </w:r>
            <w:r w:rsidR="0028465D" w:rsidRPr="000323E9">
              <w:rPr>
                <w:sz w:val="20"/>
                <w:szCs w:val="20"/>
              </w:rPr>
              <w:t xml:space="preserve"> y P/IFT/131217/905, de fecha trece de diciembre de dos mil diecisiete, que establece la </w:t>
            </w:r>
            <w:r w:rsidR="0028465D" w:rsidRPr="00CF4F33">
              <w:rPr>
                <w:i/>
                <w:sz w:val="20"/>
                <w:szCs w:val="20"/>
              </w:rPr>
              <w:t xml:space="preserve">Resolución mediante la cual el Pleno del Instituto Federal de Telecomunicaciones modifica y autoriza al Agente Económico Preponderante los términos y condiciones de la </w:t>
            </w:r>
            <w:r w:rsidR="0028465D">
              <w:rPr>
                <w:i/>
                <w:sz w:val="20"/>
                <w:szCs w:val="20"/>
              </w:rPr>
              <w:t>o</w:t>
            </w:r>
            <w:r w:rsidR="0028465D" w:rsidRPr="00CF4F33">
              <w:rPr>
                <w:i/>
                <w:sz w:val="20"/>
                <w:szCs w:val="20"/>
              </w:rPr>
              <w:t>ferta de referencia para la prestación de enlaces dedicados locales, entre localidades y de larga distancia internacional para concesionarios de redes públicas de telecomunicaciones y autorizados de telecomunicaciones presentada por Teléfonos del Noreste, S.A. de C.V.</w:t>
            </w:r>
            <w:r w:rsidR="005104B1">
              <w:rPr>
                <w:i/>
                <w:sz w:val="20"/>
                <w:szCs w:val="20"/>
              </w:rPr>
              <w:t>,</w:t>
            </w:r>
            <w:r w:rsidR="0028465D" w:rsidRPr="00CF4F33">
              <w:rPr>
                <w:i/>
                <w:sz w:val="20"/>
                <w:szCs w:val="20"/>
              </w:rPr>
              <w:t xml:space="preserve"> aplicable del 1 de enero de 2018 al 31 de diciembre de 2018</w:t>
            </w:r>
            <w:r w:rsidR="0028465D" w:rsidRPr="000323E9">
              <w:rPr>
                <w:sz w:val="20"/>
                <w:szCs w:val="20"/>
              </w:rPr>
              <w:t>.</w:t>
            </w:r>
          </w:p>
        </w:tc>
      </w:tr>
      <w:tr w:rsidR="0028465D" w:rsidRPr="00EF4389" w14:paraId="43696C5E" w14:textId="77777777" w:rsidTr="00BE0179">
        <w:trPr>
          <w:cantSplit/>
        </w:trPr>
        <w:tc>
          <w:tcPr>
            <w:tcW w:w="2212" w:type="dxa"/>
            <w:shd w:val="clear" w:color="auto" w:fill="auto"/>
            <w:vAlign w:val="center"/>
          </w:tcPr>
          <w:p w14:paraId="0AB163E9" w14:textId="77777777" w:rsidR="0028465D" w:rsidRPr="00EF4389" w:rsidRDefault="0028465D" w:rsidP="00CE4576">
            <w:pPr>
              <w:pStyle w:val="Sinespaciado"/>
              <w:widowControl w:val="0"/>
              <w:rPr>
                <w:rFonts w:ascii="ITC Avant Garde" w:hAnsi="ITC Avant Garde"/>
                <w:sz w:val="20"/>
                <w:szCs w:val="20"/>
              </w:rPr>
            </w:pPr>
            <w:r>
              <w:rPr>
                <w:rFonts w:ascii="ITC Avant Garde" w:hAnsi="ITC Avant Garde"/>
                <w:sz w:val="20"/>
                <w:szCs w:val="20"/>
              </w:rPr>
              <w:t>Oferta de referencia Opsimex</w:t>
            </w:r>
          </w:p>
        </w:tc>
        <w:tc>
          <w:tcPr>
            <w:tcW w:w="0" w:type="auto"/>
            <w:shd w:val="clear" w:color="auto" w:fill="auto"/>
            <w:vAlign w:val="center"/>
          </w:tcPr>
          <w:p w14:paraId="52528948" w14:textId="77777777" w:rsidR="0028465D" w:rsidRPr="00A23FF9" w:rsidRDefault="00756F61" w:rsidP="00CE4576">
            <w:pPr>
              <w:widowControl w:val="0"/>
              <w:spacing w:after="0"/>
              <w:jc w:val="both"/>
              <w:rPr>
                <w:sz w:val="20"/>
                <w:szCs w:val="20"/>
                <w:highlight w:val="green"/>
              </w:rPr>
            </w:pPr>
            <w:r>
              <w:rPr>
                <w:sz w:val="20"/>
                <w:szCs w:val="20"/>
              </w:rPr>
              <w:t xml:space="preserve">Oferta de referencia aprobadas mediante el </w:t>
            </w:r>
            <w:r w:rsidR="0028465D" w:rsidRPr="00A23FF9">
              <w:rPr>
                <w:sz w:val="20"/>
                <w:szCs w:val="20"/>
              </w:rPr>
              <w:t xml:space="preserve">Acuerdo P/IFT/EXT/131217/908, de fecha trece de diciembre de dos mil diecisiete, que establece la </w:t>
            </w:r>
            <w:r w:rsidR="0028465D" w:rsidRPr="00A23FF9">
              <w:rPr>
                <w:i/>
                <w:sz w:val="20"/>
                <w:szCs w:val="20"/>
              </w:rPr>
              <w:t xml:space="preserve">Resolución mediante la cual el Pleno del Instituto Federal de Telecomunicaciones modifica y autoriza al Agente Económico Preponderante los términos y condiciones de la </w:t>
            </w:r>
            <w:r w:rsidR="0028465D">
              <w:rPr>
                <w:i/>
                <w:sz w:val="20"/>
                <w:szCs w:val="20"/>
              </w:rPr>
              <w:t>o</w:t>
            </w:r>
            <w:r w:rsidR="0028465D" w:rsidRPr="00A23FF9">
              <w:rPr>
                <w:i/>
                <w:sz w:val="20"/>
                <w:szCs w:val="20"/>
              </w:rPr>
              <w:t xml:space="preserve">ferta de </w:t>
            </w:r>
            <w:r w:rsidR="0028465D">
              <w:rPr>
                <w:i/>
                <w:sz w:val="20"/>
                <w:szCs w:val="20"/>
              </w:rPr>
              <w:t>r</w:t>
            </w:r>
            <w:r w:rsidR="0028465D" w:rsidRPr="00A23FF9">
              <w:rPr>
                <w:i/>
                <w:sz w:val="20"/>
                <w:szCs w:val="20"/>
              </w:rPr>
              <w:t xml:space="preserve">eferencia para el </w:t>
            </w:r>
            <w:r w:rsidR="0028465D">
              <w:rPr>
                <w:i/>
                <w:sz w:val="20"/>
                <w:szCs w:val="20"/>
              </w:rPr>
              <w:t>a</w:t>
            </w:r>
            <w:r w:rsidR="0028465D" w:rsidRPr="00A23FF9">
              <w:rPr>
                <w:i/>
                <w:sz w:val="20"/>
                <w:szCs w:val="20"/>
              </w:rPr>
              <w:t xml:space="preserve">cceso y </w:t>
            </w:r>
            <w:r w:rsidR="0028465D">
              <w:rPr>
                <w:i/>
                <w:sz w:val="20"/>
                <w:szCs w:val="20"/>
              </w:rPr>
              <w:t>u</w:t>
            </w:r>
            <w:r w:rsidR="0028465D" w:rsidRPr="00A23FF9">
              <w:rPr>
                <w:i/>
                <w:sz w:val="20"/>
                <w:szCs w:val="20"/>
              </w:rPr>
              <w:t xml:space="preserve">so </w:t>
            </w:r>
            <w:r w:rsidR="0028465D">
              <w:rPr>
                <w:i/>
                <w:sz w:val="20"/>
                <w:szCs w:val="20"/>
              </w:rPr>
              <w:t>c</w:t>
            </w:r>
            <w:r w:rsidR="0028465D" w:rsidRPr="00A23FF9">
              <w:rPr>
                <w:i/>
                <w:sz w:val="20"/>
                <w:szCs w:val="20"/>
              </w:rPr>
              <w:t xml:space="preserve">ompartido de </w:t>
            </w:r>
            <w:r w:rsidR="0028465D">
              <w:rPr>
                <w:i/>
                <w:sz w:val="20"/>
                <w:szCs w:val="20"/>
              </w:rPr>
              <w:t>i</w:t>
            </w:r>
            <w:r w:rsidR="0028465D" w:rsidRPr="00A23FF9">
              <w:rPr>
                <w:i/>
                <w:sz w:val="20"/>
                <w:szCs w:val="20"/>
              </w:rPr>
              <w:t xml:space="preserve">nfraestructura </w:t>
            </w:r>
            <w:r w:rsidR="0028465D">
              <w:rPr>
                <w:i/>
                <w:sz w:val="20"/>
                <w:szCs w:val="20"/>
              </w:rPr>
              <w:t>p</w:t>
            </w:r>
            <w:r w:rsidR="0028465D" w:rsidRPr="00A23FF9">
              <w:rPr>
                <w:i/>
                <w:sz w:val="20"/>
                <w:szCs w:val="20"/>
              </w:rPr>
              <w:t>asiva presentada por Operadora de Sites Mexicanos, S.A. de C.V., aplicables del 1 de enero al 31 de diciembre de 2018</w:t>
            </w:r>
            <w:r w:rsidR="0028465D" w:rsidRPr="00A23FF9">
              <w:rPr>
                <w:sz w:val="20"/>
                <w:szCs w:val="20"/>
              </w:rPr>
              <w:t>.</w:t>
            </w:r>
          </w:p>
        </w:tc>
      </w:tr>
      <w:tr w:rsidR="0028465D" w:rsidRPr="00EF4389" w14:paraId="13DA99B5" w14:textId="77777777" w:rsidTr="00BE0179">
        <w:trPr>
          <w:cantSplit/>
        </w:trPr>
        <w:tc>
          <w:tcPr>
            <w:tcW w:w="2212" w:type="dxa"/>
            <w:shd w:val="clear" w:color="auto" w:fill="auto"/>
            <w:vAlign w:val="center"/>
          </w:tcPr>
          <w:p w14:paraId="3E6F2A7D"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Operación</w:t>
            </w:r>
          </w:p>
        </w:tc>
        <w:tc>
          <w:tcPr>
            <w:tcW w:w="0" w:type="auto"/>
            <w:shd w:val="clear" w:color="auto" w:fill="auto"/>
            <w:vAlign w:val="center"/>
          </w:tcPr>
          <w:p w14:paraId="49BDDD2B" w14:textId="77777777" w:rsidR="0028465D" w:rsidRPr="00EF4389" w:rsidRDefault="0028465D" w:rsidP="00756F61">
            <w:pPr>
              <w:spacing w:after="0"/>
              <w:jc w:val="both"/>
              <w:rPr>
                <w:rFonts w:eastAsia="Times New Roman" w:cs="Times New Roman"/>
                <w:sz w:val="20"/>
                <w:szCs w:val="20"/>
                <w:lang w:eastAsia="es-MX"/>
              </w:rPr>
            </w:pPr>
            <w:r w:rsidRPr="00EF4389">
              <w:rPr>
                <w:sz w:val="20"/>
                <w:szCs w:val="20"/>
              </w:rPr>
              <w:t xml:space="preserve">La adquisición por parte de ATC MexHold LLC y ATC Holding Fibra México, S. de R.L. de C.V., del </w:t>
            </w:r>
            <w:r w:rsidR="0039177E" w:rsidRPr="0039177E">
              <w:rPr>
                <w:b/>
                <w:bCs/>
                <w:color w:val="0000CC"/>
                <w:sz w:val="20"/>
                <w:szCs w:val="20"/>
              </w:rPr>
              <w:t>“CONFIDENCIAL POR LEY”</w:t>
            </w:r>
            <w:r w:rsidRPr="00EF4389">
              <w:rPr>
                <w:sz w:val="20"/>
                <w:szCs w:val="20"/>
              </w:rPr>
              <w:t xml:space="preserve"> de las acciones representativas del capital social de CFCA Telecomm, S.A.P.I. de C.V., y de </w:t>
            </w:r>
            <w:r w:rsidR="005C2327" w:rsidRPr="0039177E">
              <w:rPr>
                <w:b/>
                <w:bCs/>
                <w:color w:val="0000CC"/>
                <w:sz w:val="20"/>
                <w:szCs w:val="20"/>
              </w:rPr>
              <w:t>“CONFIDENCIAL POR LEY”</w:t>
            </w:r>
            <w:r w:rsidRPr="00D1415A">
              <w:rPr>
                <w:sz w:val="20"/>
                <w:szCs w:val="20"/>
              </w:rPr>
              <w:t xml:space="preserve"> </w:t>
            </w:r>
            <w:r w:rsidRPr="00EF4389">
              <w:rPr>
                <w:sz w:val="20"/>
                <w:szCs w:val="20"/>
              </w:rPr>
              <w:t>acciones representativas del capital social de Tecnologías Especializadas en Líneas de Conexión Óptica, S.A.P.I. de C.V.</w:t>
            </w:r>
            <w:r>
              <w:rPr>
                <w:sz w:val="20"/>
                <w:szCs w:val="20"/>
              </w:rPr>
              <w:t xml:space="preserve"> </w:t>
            </w:r>
            <w:r w:rsidRPr="00D1415A">
              <w:rPr>
                <w:sz w:val="20"/>
                <w:szCs w:val="20"/>
              </w:rPr>
              <w:t xml:space="preserve">(equivalente al </w:t>
            </w:r>
            <w:r w:rsidR="005C2327" w:rsidRPr="0039177E">
              <w:rPr>
                <w:b/>
                <w:bCs/>
                <w:color w:val="0000CC"/>
                <w:sz w:val="20"/>
                <w:szCs w:val="20"/>
              </w:rPr>
              <w:t>“CONFIDENCIAL POR LEY”</w:t>
            </w:r>
            <w:r w:rsidRPr="00D1415A">
              <w:rPr>
                <w:sz w:val="20"/>
                <w:szCs w:val="20"/>
              </w:rPr>
              <w:t xml:space="preserve"> del mismo)</w:t>
            </w:r>
            <w:r w:rsidRPr="00EF4389">
              <w:rPr>
                <w:sz w:val="20"/>
                <w:szCs w:val="20"/>
              </w:rPr>
              <w:t xml:space="preserve">, tal y como se especifica en </w:t>
            </w:r>
            <w:r>
              <w:rPr>
                <w:sz w:val="20"/>
                <w:szCs w:val="20"/>
              </w:rPr>
              <w:t xml:space="preserve">la Consideración </w:t>
            </w:r>
            <w:r w:rsidRPr="0017795B">
              <w:rPr>
                <w:smallCaps/>
                <w:sz w:val="20"/>
                <w:szCs w:val="20"/>
              </w:rPr>
              <w:t>Sexta</w:t>
            </w:r>
            <w:r w:rsidRPr="00EF4389">
              <w:rPr>
                <w:sz w:val="20"/>
                <w:szCs w:val="20"/>
              </w:rPr>
              <w:t xml:space="preserve"> del Dictamen Preliminar. </w:t>
            </w:r>
          </w:p>
        </w:tc>
      </w:tr>
      <w:tr w:rsidR="0028465D" w:rsidRPr="00EF4389" w14:paraId="498E4019" w14:textId="77777777" w:rsidTr="00BE0179">
        <w:trPr>
          <w:cantSplit/>
        </w:trPr>
        <w:tc>
          <w:tcPr>
            <w:tcW w:w="2212" w:type="dxa"/>
            <w:shd w:val="clear" w:color="auto" w:fill="auto"/>
            <w:vAlign w:val="center"/>
          </w:tcPr>
          <w:p w14:paraId="44477B7C"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lastRenderedPageBreak/>
              <w:t>Operador</w:t>
            </w:r>
          </w:p>
        </w:tc>
        <w:tc>
          <w:tcPr>
            <w:tcW w:w="0" w:type="auto"/>
            <w:shd w:val="clear" w:color="auto" w:fill="auto"/>
            <w:vAlign w:val="center"/>
          </w:tcPr>
          <w:p w14:paraId="05592FDF" w14:textId="77777777" w:rsidR="0028465D" w:rsidRPr="00EF4389" w:rsidRDefault="0028465D" w:rsidP="003B34F3">
            <w:pPr>
              <w:spacing w:after="0"/>
              <w:jc w:val="both"/>
              <w:rPr>
                <w:rFonts w:eastAsia="Times New Roman" w:cs="Times New Roman"/>
                <w:sz w:val="20"/>
                <w:szCs w:val="20"/>
                <w:lang w:eastAsia="es-MX"/>
              </w:rPr>
            </w:pPr>
            <w:r w:rsidRPr="00EF4389">
              <w:rPr>
                <w:rFonts w:eastAsia="Times New Roman" w:cs="Times New Roman"/>
                <w:sz w:val="20"/>
                <w:szCs w:val="20"/>
                <w:lang w:eastAsia="es-MX"/>
              </w:rPr>
              <w:t>Persona física o moral que tiene uno o varios títulos de concesión para instalar, operar y explotar una red pública de telecomunicaciones, con o sin incluir una o varias concesiones para usar, aprovechar o explotar bandas de frecuencias del espectro radioeléctrico.</w:t>
            </w:r>
          </w:p>
        </w:tc>
      </w:tr>
      <w:tr w:rsidR="0028465D" w:rsidRPr="00EF4389" w14:paraId="05C5F296" w14:textId="77777777" w:rsidTr="00BE0179">
        <w:trPr>
          <w:cantSplit/>
        </w:trPr>
        <w:tc>
          <w:tcPr>
            <w:tcW w:w="2212" w:type="dxa"/>
            <w:shd w:val="clear" w:color="auto" w:fill="auto"/>
            <w:vAlign w:val="center"/>
          </w:tcPr>
          <w:p w14:paraId="713DE0DC"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Opsimex</w:t>
            </w:r>
          </w:p>
        </w:tc>
        <w:tc>
          <w:tcPr>
            <w:tcW w:w="0" w:type="auto"/>
            <w:shd w:val="clear" w:color="auto" w:fill="auto"/>
            <w:vAlign w:val="center"/>
          </w:tcPr>
          <w:p w14:paraId="6DE859B2" w14:textId="77777777" w:rsidR="0028465D" w:rsidRPr="00EF4389" w:rsidRDefault="0028465D" w:rsidP="0028465D">
            <w:pPr>
              <w:spacing w:after="0"/>
              <w:jc w:val="both"/>
              <w:rPr>
                <w:sz w:val="20"/>
                <w:szCs w:val="20"/>
              </w:rPr>
            </w:pPr>
            <w:r w:rsidRPr="00EF4389">
              <w:rPr>
                <w:sz w:val="20"/>
                <w:szCs w:val="20"/>
              </w:rPr>
              <w:t>Operadora de Sites Mexicanos, S.A. de C.V.</w:t>
            </w:r>
          </w:p>
        </w:tc>
      </w:tr>
      <w:tr w:rsidR="0016118E" w:rsidRPr="00EF4389" w14:paraId="63F13576"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15F80DC8" w14:textId="77777777" w:rsidR="0016118E" w:rsidRPr="00EF4389" w:rsidRDefault="0016118E"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6835685A" w14:textId="77777777" w:rsidR="0016118E" w:rsidRPr="00113D6D" w:rsidRDefault="0016118E" w:rsidP="004D2AE2">
            <w:pPr>
              <w:spacing w:after="0"/>
              <w:ind w:left="2041" w:firstLine="57"/>
              <w:rPr>
                <w:rFonts w:eastAsia="Times New Roman" w:cs="Times New Roman"/>
                <w:b/>
                <w:color w:val="000000"/>
                <w:sz w:val="20"/>
                <w:szCs w:val="20"/>
                <w:lang w:eastAsia="es-MX"/>
              </w:rPr>
            </w:pPr>
            <w:r>
              <w:rPr>
                <w:b/>
                <w:sz w:val="20"/>
                <w:szCs w:val="20"/>
              </w:rPr>
              <w:t>R</w:t>
            </w:r>
          </w:p>
        </w:tc>
      </w:tr>
      <w:tr w:rsidR="0028465D" w:rsidRPr="00EF4389" w14:paraId="0A5BCF36" w14:textId="77777777" w:rsidTr="00BE0179">
        <w:trPr>
          <w:cantSplit/>
        </w:trPr>
        <w:tc>
          <w:tcPr>
            <w:tcW w:w="2212" w:type="dxa"/>
            <w:tcBorders>
              <w:bottom w:val="nil"/>
            </w:tcBorders>
            <w:shd w:val="clear" w:color="auto" w:fill="auto"/>
            <w:vAlign w:val="center"/>
          </w:tcPr>
          <w:p w14:paraId="31E0BA53" w14:textId="77777777" w:rsidR="0028465D" w:rsidRPr="00EF4389" w:rsidRDefault="0028465D" w:rsidP="0028465D">
            <w:pPr>
              <w:pStyle w:val="Sinespaciado"/>
              <w:rPr>
                <w:rFonts w:ascii="ITC Avant Garde" w:hAnsi="ITC Avant Garde"/>
                <w:sz w:val="20"/>
                <w:szCs w:val="20"/>
              </w:rPr>
            </w:pPr>
            <w:r w:rsidRPr="000F07B6">
              <w:rPr>
                <w:rFonts w:ascii="ITC Avant Garde" w:hAnsi="ITC Avant Garde"/>
                <w:sz w:val="20"/>
                <w:szCs w:val="20"/>
              </w:rPr>
              <w:t>Reporte Anual AMX 201</w:t>
            </w:r>
            <w:r>
              <w:rPr>
                <w:rFonts w:ascii="ITC Avant Garde" w:hAnsi="ITC Avant Garde"/>
                <w:sz w:val="20"/>
                <w:szCs w:val="20"/>
              </w:rPr>
              <w:t>7</w:t>
            </w:r>
          </w:p>
        </w:tc>
        <w:tc>
          <w:tcPr>
            <w:tcW w:w="0" w:type="auto"/>
            <w:tcBorders>
              <w:bottom w:val="nil"/>
            </w:tcBorders>
            <w:shd w:val="clear" w:color="auto" w:fill="auto"/>
            <w:vAlign w:val="center"/>
          </w:tcPr>
          <w:p w14:paraId="1558CA76" w14:textId="77777777" w:rsidR="0028465D" w:rsidRPr="00EF4389" w:rsidRDefault="0028465D" w:rsidP="0028465D">
            <w:pPr>
              <w:spacing w:after="0"/>
              <w:jc w:val="both"/>
              <w:rPr>
                <w:rFonts w:eastAsia="Times New Roman" w:cs="Times New Roman"/>
                <w:i/>
                <w:color w:val="000000"/>
                <w:sz w:val="20"/>
                <w:szCs w:val="20"/>
                <w:lang w:eastAsia="es-MX"/>
              </w:rPr>
            </w:pPr>
            <w:r>
              <w:rPr>
                <w:rFonts w:eastAsia="Times New Roman" w:cs="Times New Roman"/>
                <w:i/>
                <w:color w:val="000000"/>
                <w:sz w:val="20"/>
                <w:szCs w:val="20"/>
                <w:lang w:eastAsia="es-MX"/>
              </w:rPr>
              <w:t>Reporte A</w:t>
            </w:r>
            <w:r w:rsidRPr="00AC495A">
              <w:rPr>
                <w:rFonts w:eastAsia="Times New Roman" w:cs="Times New Roman"/>
                <w:i/>
                <w:color w:val="000000"/>
                <w:sz w:val="20"/>
                <w:szCs w:val="20"/>
                <w:lang w:eastAsia="es-MX"/>
              </w:rPr>
              <w:t xml:space="preserve">nual </w:t>
            </w:r>
            <w:r w:rsidR="008570E3" w:rsidRPr="00EF4389">
              <w:rPr>
                <w:rFonts w:eastAsia="Times New Roman" w:cs="Times New Roman"/>
                <w:i/>
                <w:color w:val="000000"/>
                <w:sz w:val="20"/>
                <w:szCs w:val="20"/>
                <w:lang w:eastAsia="es-MX"/>
              </w:rPr>
              <w:t>que se presenta de acuerdo con las disposiciones de carácter general aplicables a las emisoras de valores y a otros participantes del mercado de valores, por el año terminado el treinta y uno de diciembre de dos mil diecisiete</w:t>
            </w:r>
            <w:r w:rsidRPr="00AC495A">
              <w:rPr>
                <w:rFonts w:eastAsia="Times New Roman" w:cs="Times New Roman"/>
                <w:i/>
                <w:color w:val="000000"/>
                <w:sz w:val="20"/>
                <w:szCs w:val="20"/>
                <w:lang w:eastAsia="es-MX"/>
              </w:rPr>
              <w:t>, emitido por América Móvil, S.A.B. de C.V.</w:t>
            </w:r>
          </w:p>
        </w:tc>
      </w:tr>
      <w:tr w:rsidR="0028465D" w:rsidRPr="00EF4389" w14:paraId="0E1E3EE0" w14:textId="77777777" w:rsidTr="00BE0179">
        <w:trPr>
          <w:cantSplit/>
        </w:trPr>
        <w:tc>
          <w:tcPr>
            <w:tcW w:w="2212" w:type="dxa"/>
            <w:tcBorders>
              <w:bottom w:val="nil"/>
            </w:tcBorders>
            <w:shd w:val="clear" w:color="auto" w:fill="auto"/>
            <w:vAlign w:val="center"/>
          </w:tcPr>
          <w:p w14:paraId="7F2902E3"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Reporte Anual Axtel 2017</w:t>
            </w:r>
          </w:p>
        </w:tc>
        <w:tc>
          <w:tcPr>
            <w:tcW w:w="0" w:type="auto"/>
            <w:tcBorders>
              <w:bottom w:val="nil"/>
            </w:tcBorders>
            <w:shd w:val="clear" w:color="auto" w:fill="auto"/>
            <w:vAlign w:val="center"/>
          </w:tcPr>
          <w:p w14:paraId="6360A81D" w14:textId="77777777" w:rsidR="0028465D" w:rsidRPr="00EF4389" w:rsidRDefault="0028465D" w:rsidP="0028465D">
            <w:pPr>
              <w:spacing w:after="0"/>
              <w:jc w:val="both"/>
              <w:rPr>
                <w:rFonts w:eastAsia="Times New Roman" w:cs="Times New Roman"/>
                <w:i/>
                <w:color w:val="000000"/>
                <w:sz w:val="20"/>
                <w:szCs w:val="20"/>
                <w:lang w:eastAsia="es-MX"/>
              </w:rPr>
            </w:pPr>
            <w:r w:rsidRPr="00EF4389">
              <w:rPr>
                <w:rFonts w:eastAsia="Times New Roman" w:cs="Times New Roman"/>
                <w:i/>
                <w:color w:val="000000"/>
                <w:sz w:val="20"/>
                <w:szCs w:val="20"/>
                <w:lang w:eastAsia="es-MX"/>
              </w:rPr>
              <w:t>Reporte Anual que se presenta de acuerdo con las disposiciones de carácter general aplicables a las emisoras de valores y a otros participantes del mercado de valores, por el año terminado el treinta y uno de diciembre de dos mil diecisiete, emitido por Axtel, S.A.B. de C.V.</w:t>
            </w:r>
          </w:p>
        </w:tc>
      </w:tr>
      <w:tr w:rsidR="0028465D" w:rsidRPr="00EF4389" w14:paraId="1D622BA5" w14:textId="77777777" w:rsidTr="00BE0179">
        <w:trPr>
          <w:cantSplit/>
        </w:trPr>
        <w:tc>
          <w:tcPr>
            <w:tcW w:w="2212" w:type="dxa"/>
            <w:tcBorders>
              <w:bottom w:val="single" w:sz="4" w:space="0" w:color="auto"/>
            </w:tcBorders>
            <w:shd w:val="clear" w:color="auto" w:fill="auto"/>
            <w:vAlign w:val="center"/>
          </w:tcPr>
          <w:p w14:paraId="395EBECA"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Reporte Anual GTV 201</w:t>
            </w:r>
            <w:r>
              <w:rPr>
                <w:rFonts w:ascii="ITC Avant Garde" w:hAnsi="ITC Avant Garde"/>
                <w:sz w:val="20"/>
                <w:szCs w:val="20"/>
              </w:rPr>
              <w:t>7</w:t>
            </w:r>
          </w:p>
        </w:tc>
        <w:tc>
          <w:tcPr>
            <w:tcW w:w="0" w:type="auto"/>
            <w:tcBorders>
              <w:bottom w:val="single" w:sz="4" w:space="0" w:color="auto"/>
            </w:tcBorders>
            <w:shd w:val="clear" w:color="auto" w:fill="auto"/>
            <w:vAlign w:val="center"/>
          </w:tcPr>
          <w:p w14:paraId="02CA13B1" w14:textId="77777777" w:rsidR="0028465D" w:rsidRPr="00EF4389" w:rsidRDefault="0028465D" w:rsidP="0028465D">
            <w:pPr>
              <w:spacing w:after="0"/>
              <w:jc w:val="both"/>
              <w:rPr>
                <w:rFonts w:eastAsia="Times New Roman" w:cs="Times New Roman"/>
                <w:i/>
                <w:color w:val="000000"/>
                <w:sz w:val="20"/>
                <w:szCs w:val="20"/>
                <w:lang w:eastAsia="es-MX"/>
              </w:rPr>
            </w:pPr>
            <w:r w:rsidRPr="00AC495A">
              <w:rPr>
                <w:rFonts w:eastAsia="Times New Roman" w:cs="Times New Roman"/>
                <w:i/>
                <w:color w:val="000000"/>
                <w:sz w:val="20"/>
                <w:szCs w:val="20"/>
                <w:lang w:eastAsia="es-MX"/>
              </w:rPr>
              <w:t>Reporte Anual que se presenta de acuerdo con las disposiciones de carácter general aplicables a las emisoras de valores y a otros participantes del mercado de valores, por el año terminado el treinta y uno de diciembre de dos mil diecisiete, emitido por Grupo Televisa, S.A.B.</w:t>
            </w:r>
          </w:p>
        </w:tc>
      </w:tr>
      <w:tr w:rsidR="0028465D" w:rsidRPr="00EF4389" w14:paraId="4C643D2F" w14:textId="77777777" w:rsidTr="00BE0179">
        <w:trPr>
          <w:cantSplit/>
        </w:trPr>
        <w:tc>
          <w:tcPr>
            <w:tcW w:w="2212" w:type="dxa"/>
            <w:tcBorders>
              <w:bottom w:val="single" w:sz="4" w:space="0" w:color="auto"/>
            </w:tcBorders>
            <w:shd w:val="clear" w:color="auto" w:fill="auto"/>
            <w:vAlign w:val="center"/>
          </w:tcPr>
          <w:p w14:paraId="5A311137"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Reporte Anual Megacable 201</w:t>
            </w:r>
            <w:r>
              <w:rPr>
                <w:rFonts w:ascii="ITC Avant Garde" w:hAnsi="ITC Avant Garde"/>
                <w:sz w:val="20"/>
                <w:szCs w:val="20"/>
              </w:rPr>
              <w:t>7</w:t>
            </w:r>
          </w:p>
        </w:tc>
        <w:tc>
          <w:tcPr>
            <w:tcW w:w="0" w:type="auto"/>
            <w:tcBorders>
              <w:bottom w:val="single" w:sz="4" w:space="0" w:color="auto"/>
            </w:tcBorders>
            <w:shd w:val="clear" w:color="auto" w:fill="auto"/>
            <w:vAlign w:val="center"/>
          </w:tcPr>
          <w:p w14:paraId="276E4545" w14:textId="77777777" w:rsidR="0028465D" w:rsidRPr="00EF4389" w:rsidRDefault="0028465D" w:rsidP="0028465D">
            <w:pPr>
              <w:spacing w:after="0"/>
              <w:jc w:val="both"/>
              <w:rPr>
                <w:rFonts w:eastAsia="Times New Roman" w:cs="Times New Roman"/>
                <w:i/>
                <w:color w:val="000000"/>
                <w:sz w:val="20"/>
                <w:szCs w:val="20"/>
                <w:lang w:eastAsia="es-MX"/>
              </w:rPr>
            </w:pPr>
            <w:r w:rsidRPr="00EF4389">
              <w:rPr>
                <w:rFonts w:eastAsia="Times New Roman" w:cs="Times New Roman"/>
                <w:i/>
                <w:color w:val="000000"/>
                <w:sz w:val="20"/>
                <w:szCs w:val="20"/>
                <w:lang w:eastAsia="es-MX"/>
              </w:rPr>
              <w:t>Reporte Anual que se presenta de acuerdo con las disposiciones de carácter general aplicables a las emisoras de valores y a otros participantes del mercado de valores, por el año terminado el treinta y uno de diciembre de dos mil dieci</w:t>
            </w:r>
            <w:r>
              <w:rPr>
                <w:rFonts w:eastAsia="Times New Roman" w:cs="Times New Roman"/>
                <w:i/>
                <w:color w:val="000000"/>
                <w:sz w:val="20"/>
                <w:szCs w:val="20"/>
                <w:lang w:eastAsia="es-MX"/>
              </w:rPr>
              <w:t>siete</w:t>
            </w:r>
            <w:r w:rsidRPr="00EF4389">
              <w:rPr>
                <w:rFonts w:eastAsia="Times New Roman" w:cs="Times New Roman"/>
                <w:i/>
                <w:color w:val="000000"/>
                <w:sz w:val="20"/>
                <w:szCs w:val="20"/>
                <w:lang w:eastAsia="es-MX"/>
              </w:rPr>
              <w:t>, emitido por Megacable Holdings, S.A.B. de C.V.</w:t>
            </w:r>
          </w:p>
        </w:tc>
      </w:tr>
      <w:tr w:rsidR="0028465D" w:rsidRPr="00EF4389" w14:paraId="0A10085C" w14:textId="77777777" w:rsidTr="00BE0179">
        <w:trPr>
          <w:cantSplit/>
        </w:trPr>
        <w:tc>
          <w:tcPr>
            <w:tcW w:w="2212" w:type="dxa"/>
            <w:tcBorders>
              <w:bottom w:val="single" w:sz="4" w:space="0" w:color="auto"/>
            </w:tcBorders>
            <w:shd w:val="clear" w:color="auto" w:fill="auto"/>
            <w:vAlign w:val="center"/>
          </w:tcPr>
          <w:p w14:paraId="3C8C1B1A"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Reporte Anual Opsimex 2017</w:t>
            </w:r>
          </w:p>
        </w:tc>
        <w:tc>
          <w:tcPr>
            <w:tcW w:w="0" w:type="auto"/>
            <w:tcBorders>
              <w:bottom w:val="single" w:sz="4" w:space="0" w:color="auto"/>
            </w:tcBorders>
            <w:shd w:val="clear" w:color="auto" w:fill="auto"/>
            <w:vAlign w:val="center"/>
          </w:tcPr>
          <w:p w14:paraId="65F884EB" w14:textId="77777777" w:rsidR="0028465D" w:rsidRPr="00EF4389" w:rsidRDefault="0028465D" w:rsidP="0028465D">
            <w:pPr>
              <w:spacing w:after="0"/>
              <w:jc w:val="both"/>
              <w:rPr>
                <w:rFonts w:eastAsia="Times New Roman" w:cs="Times New Roman"/>
                <w:i/>
                <w:color w:val="000000"/>
                <w:sz w:val="20"/>
                <w:szCs w:val="20"/>
                <w:lang w:eastAsia="es-MX"/>
              </w:rPr>
            </w:pPr>
            <w:r w:rsidRPr="00EF4389">
              <w:rPr>
                <w:rFonts w:eastAsia="Times New Roman" w:cs="Times New Roman"/>
                <w:i/>
                <w:color w:val="000000"/>
                <w:sz w:val="20"/>
                <w:szCs w:val="20"/>
                <w:lang w:eastAsia="es-MX"/>
              </w:rPr>
              <w:t>Reporte Anual que se presenta de acuerdo con las disposiciones de carácter general aplicables a las emisoras de valores y a otros participantes del mercado de valores, por el año terminado el treinta y uno de diciembre de dos mil</w:t>
            </w:r>
            <w:r>
              <w:rPr>
                <w:rFonts w:eastAsia="Times New Roman" w:cs="Times New Roman"/>
                <w:i/>
                <w:color w:val="000000"/>
                <w:sz w:val="20"/>
                <w:szCs w:val="20"/>
                <w:lang w:eastAsia="es-MX"/>
              </w:rPr>
              <w:t xml:space="preserve"> diecisiete</w:t>
            </w:r>
            <w:r w:rsidRPr="00EF4389">
              <w:rPr>
                <w:rFonts w:eastAsia="Times New Roman" w:cs="Times New Roman"/>
                <w:i/>
                <w:color w:val="000000"/>
                <w:sz w:val="20"/>
                <w:szCs w:val="20"/>
                <w:lang w:eastAsia="es-MX"/>
              </w:rPr>
              <w:t>, emitido por Operadora de Sites Mexicanos, S.A. de C.V.</w:t>
            </w:r>
          </w:p>
        </w:tc>
      </w:tr>
      <w:tr w:rsidR="0028465D" w:rsidRPr="00EF4389" w14:paraId="6A96AE2B" w14:textId="77777777" w:rsidTr="00BE0179">
        <w:trPr>
          <w:cantSplit/>
        </w:trPr>
        <w:tc>
          <w:tcPr>
            <w:tcW w:w="2212" w:type="dxa"/>
            <w:tcBorders>
              <w:bottom w:val="single" w:sz="4" w:space="0" w:color="auto"/>
            </w:tcBorders>
            <w:shd w:val="clear" w:color="auto" w:fill="auto"/>
            <w:vAlign w:val="center"/>
          </w:tcPr>
          <w:p w14:paraId="241D74DC"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Resolución del Pleno</w:t>
            </w:r>
          </w:p>
        </w:tc>
        <w:tc>
          <w:tcPr>
            <w:tcW w:w="0" w:type="auto"/>
            <w:tcBorders>
              <w:bottom w:val="single" w:sz="4" w:space="0" w:color="auto"/>
            </w:tcBorders>
            <w:shd w:val="clear" w:color="auto" w:fill="auto"/>
            <w:vAlign w:val="center"/>
          </w:tcPr>
          <w:p w14:paraId="1918E1AF" w14:textId="77777777" w:rsidR="0028465D" w:rsidRPr="00EF4389" w:rsidRDefault="0028465D" w:rsidP="0028465D">
            <w:pPr>
              <w:spacing w:after="0"/>
              <w:jc w:val="both"/>
              <w:rPr>
                <w:rFonts w:eastAsia="Times New Roman" w:cs="Times New Roman"/>
                <w:i/>
                <w:color w:val="000000"/>
                <w:sz w:val="20"/>
                <w:szCs w:val="20"/>
                <w:lang w:eastAsia="es-MX"/>
              </w:rPr>
            </w:pPr>
            <w:r w:rsidRPr="00EF4389">
              <w:rPr>
                <w:rFonts w:eastAsia="Times New Roman" w:cs="Times New Roman"/>
                <w:color w:val="000000"/>
                <w:sz w:val="20"/>
                <w:szCs w:val="20"/>
                <w:lang w:eastAsia="es-MX"/>
              </w:rPr>
              <w:t xml:space="preserve">Resolución emitida por el Pleno del IFT el </w:t>
            </w:r>
            <w:r w:rsidRPr="00EF4389">
              <w:rPr>
                <w:rFonts w:eastAsia="Calibri" w:cs="Calibri"/>
                <w:sz w:val="20"/>
                <w:szCs w:val="20"/>
              </w:rPr>
              <w:t>diez de abril de dos mil dieciocho,</w:t>
            </w:r>
            <w:r w:rsidRPr="00EF4389">
              <w:rPr>
                <w:rFonts w:eastAsia="Times New Roman" w:cs="Times New Roman"/>
                <w:color w:val="000000"/>
                <w:sz w:val="20"/>
                <w:szCs w:val="20"/>
                <w:lang w:eastAsia="es-MX"/>
              </w:rPr>
              <w:t xml:space="preserve"> mediante acuerdo número </w:t>
            </w:r>
            <w:r w:rsidRPr="00EF4389">
              <w:rPr>
                <w:rFonts w:eastAsia="Calibri" w:cs="Calibri"/>
                <w:sz w:val="20"/>
                <w:szCs w:val="20"/>
              </w:rPr>
              <w:t>P/IFT/100418/245</w:t>
            </w:r>
            <w:r w:rsidRPr="00EF4389">
              <w:rPr>
                <w:rFonts w:eastAsia="Times New Roman" w:cs="Times New Roman"/>
                <w:color w:val="000000"/>
                <w:sz w:val="20"/>
                <w:szCs w:val="20"/>
                <w:lang w:eastAsia="es-MX"/>
              </w:rPr>
              <w:t>, relativa al expediente UCE/AVC-001-2017.</w:t>
            </w:r>
          </w:p>
        </w:tc>
      </w:tr>
      <w:tr w:rsidR="0028465D" w:rsidRPr="00EF4389" w14:paraId="306EA39B" w14:textId="77777777" w:rsidTr="00BE0179">
        <w:trPr>
          <w:cantSplit/>
        </w:trPr>
        <w:tc>
          <w:tcPr>
            <w:tcW w:w="2212" w:type="dxa"/>
            <w:tcBorders>
              <w:bottom w:val="single" w:sz="4" w:space="0" w:color="auto"/>
            </w:tcBorders>
            <w:shd w:val="clear" w:color="auto" w:fill="auto"/>
            <w:vAlign w:val="center"/>
          </w:tcPr>
          <w:p w14:paraId="31A49F48" w14:textId="77777777" w:rsidR="00CE4576" w:rsidRDefault="0028465D" w:rsidP="0028465D">
            <w:pPr>
              <w:pStyle w:val="Sinespaciado"/>
              <w:rPr>
                <w:rFonts w:ascii="ITC Avant Garde" w:eastAsia="Calibri" w:hAnsi="ITC Avant Garde" w:cs="Calibri"/>
                <w:sz w:val="20"/>
                <w:szCs w:val="20"/>
              </w:rPr>
            </w:pPr>
            <w:r w:rsidRPr="00EF4389">
              <w:rPr>
                <w:rFonts w:ascii="ITC Avant Garde" w:eastAsia="Calibri" w:hAnsi="ITC Avant Garde" w:cs="Calibri"/>
                <w:sz w:val="20"/>
                <w:szCs w:val="20"/>
              </w:rPr>
              <w:t xml:space="preserve">Resolución </w:t>
            </w:r>
          </w:p>
          <w:p w14:paraId="137F6A12" w14:textId="77777777" w:rsidR="0028465D" w:rsidRPr="00EF4389" w:rsidRDefault="0028465D" w:rsidP="0028465D">
            <w:pPr>
              <w:pStyle w:val="Sinespaciado"/>
              <w:rPr>
                <w:rFonts w:ascii="ITC Avant Garde" w:eastAsia="Calibri" w:hAnsi="ITC Avant Garde" w:cs="Calibri"/>
                <w:sz w:val="20"/>
                <w:szCs w:val="20"/>
              </w:rPr>
            </w:pPr>
            <w:r w:rsidRPr="00EF4389">
              <w:rPr>
                <w:rFonts w:ascii="ITC Avant Garde" w:eastAsia="Calibri" w:hAnsi="ITC Avant Garde" w:cs="Calibri"/>
                <w:sz w:val="20"/>
                <w:szCs w:val="20"/>
              </w:rPr>
              <w:t>DC-02-2007</w:t>
            </w:r>
          </w:p>
        </w:tc>
        <w:tc>
          <w:tcPr>
            <w:tcW w:w="0" w:type="auto"/>
            <w:tcBorders>
              <w:bottom w:val="single" w:sz="4" w:space="0" w:color="auto"/>
            </w:tcBorders>
            <w:shd w:val="clear" w:color="auto" w:fill="auto"/>
            <w:vAlign w:val="center"/>
          </w:tcPr>
          <w:p w14:paraId="1A14F102" w14:textId="77777777" w:rsidR="0028465D" w:rsidRPr="00EF4389" w:rsidRDefault="0028465D" w:rsidP="005104B1">
            <w:pPr>
              <w:spacing w:after="0"/>
              <w:jc w:val="both"/>
              <w:rPr>
                <w:rFonts w:eastAsia="Calibri" w:cs="Calibri"/>
                <w:sz w:val="20"/>
                <w:szCs w:val="20"/>
              </w:rPr>
            </w:pPr>
            <w:r w:rsidRPr="00EF4389">
              <w:rPr>
                <w:rFonts w:eastAsia="Calibri" w:cs="Calibri"/>
                <w:sz w:val="20"/>
                <w:szCs w:val="20"/>
              </w:rPr>
              <w:t>Resolución de fecha veinticinco de junio de dos mil nueve, emitida por el Pleno de la extinta C</w:t>
            </w:r>
            <w:r w:rsidR="00360DDB">
              <w:rPr>
                <w:rFonts w:eastAsia="Calibri" w:cs="Calibri"/>
                <w:sz w:val="20"/>
                <w:szCs w:val="20"/>
              </w:rPr>
              <w:t>omisión Federal de Competencia</w:t>
            </w:r>
            <w:r w:rsidRPr="00EF4389">
              <w:rPr>
                <w:rFonts w:eastAsia="Calibri" w:cs="Calibri"/>
                <w:sz w:val="20"/>
                <w:szCs w:val="20"/>
              </w:rPr>
              <w:t>, por medio de la cual se determinó que Teléfonos de México, S.A.B. de C.V. y Teléfonos del Noroeste, S.A. de C.V., tienen poder sustancial en 97 mercados mayoristas de arrendamiento de enlaces dedicados locales y 97 mercados mayoristas de arrendamiento de enlaces dedicados de larga distancia nacional; así como también en el mercado mayorista de arrendamiento de enlaces dedicados de larga distancia internacional.</w:t>
            </w:r>
          </w:p>
        </w:tc>
      </w:tr>
      <w:tr w:rsidR="0028465D" w:rsidRPr="00EF4389" w14:paraId="52A44A3E" w14:textId="77777777" w:rsidTr="00BE0179">
        <w:trPr>
          <w:cantSplit/>
        </w:trPr>
        <w:tc>
          <w:tcPr>
            <w:tcW w:w="2212" w:type="dxa"/>
            <w:tcBorders>
              <w:bottom w:val="single" w:sz="4" w:space="0" w:color="auto"/>
            </w:tcBorders>
            <w:shd w:val="clear" w:color="auto" w:fill="auto"/>
            <w:vAlign w:val="center"/>
          </w:tcPr>
          <w:p w14:paraId="1F874EE5" w14:textId="77777777" w:rsidR="0028465D" w:rsidRPr="00EF4389" w:rsidRDefault="0028465D" w:rsidP="0028465D">
            <w:pPr>
              <w:pStyle w:val="Sinespaciado"/>
              <w:rPr>
                <w:rFonts w:ascii="ITC Avant Garde" w:eastAsia="Calibri" w:hAnsi="ITC Avant Garde" w:cs="Calibri"/>
                <w:sz w:val="20"/>
                <w:szCs w:val="20"/>
              </w:rPr>
            </w:pPr>
            <w:r w:rsidRPr="00EF4389">
              <w:rPr>
                <w:rFonts w:ascii="ITC Avant Garde" w:eastAsia="Calibri" w:hAnsi="ITC Avant Garde" w:cs="Calibri"/>
                <w:sz w:val="20"/>
                <w:szCs w:val="20"/>
              </w:rPr>
              <w:lastRenderedPageBreak/>
              <w:t>Resolución de preponderancia en el sector de telecomunicaciones</w:t>
            </w:r>
          </w:p>
        </w:tc>
        <w:tc>
          <w:tcPr>
            <w:tcW w:w="0" w:type="auto"/>
            <w:tcBorders>
              <w:bottom w:val="single" w:sz="4" w:space="0" w:color="auto"/>
            </w:tcBorders>
            <w:shd w:val="clear" w:color="auto" w:fill="auto"/>
            <w:vAlign w:val="center"/>
          </w:tcPr>
          <w:p w14:paraId="24EA7C03" w14:textId="77777777" w:rsidR="0028465D" w:rsidRPr="00EF4389" w:rsidRDefault="0028465D" w:rsidP="005D22C9">
            <w:pPr>
              <w:spacing w:after="0"/>
              <w:jc w:val="both"/>
              <w:rPr>
                <w:rFonts w:eastAsia="Calibri" w:cs="Calibri"/>
                <w:sz w:val="20"/>
                <w:szCs w:val="20"/>
              </w:rPr>
            </w:pPr>
            <w:r w:rsidRPr="00EF4389">
              <w:rPr>
                <w:rFonts w:eastAsia="Calibri" w:cs="Calibri"/>
                <w:i/>
                <w:sz w:val="20"/>
                <w:szCs w:val="20"/>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005D22C9">
              <w:rPr>
                <w:rFonts w:eastAsia="Calibri" w:cs="Calibri"/>
                <w:i/>
                <w:sz w:val="20"/>
                <w:szCs w:val="20"/>
              </w:rPr>
              <w:t xml:space="preserve">, </w:t>
            </w:r>
            <w:r w:rsidR="005D22C9" w:rsidRPr="00FC5386">
              <w:rPr>
                <w:rFonts w:eastAsia="Calibri" w:cs="Calibri"/>
                <w:sz w:val="20"/>
                <w:szCs w:val="20"/>
              </w:rPr>
              <w:t>emitida mediante el</w:t>
            </w:r>
            <w:r w:rsidR="005D22C9" w:rsidRPr="00EF4389">
              <w:rPr>
                <w:rFonts w:eastAsia="Calibri" w:cs="Calibri"/>
                <w:sz w:val="20"/>
                <w:szCs w:val="20"/>
              </w:rPr>
              <w:t xml:space="preserve"> Acuerdo P/IFT/EXT/060314/76, de fecha seis de marzo de dos mil catorce</w:t>
            </w:r>
            <w:r w:rsidRPr="00EF4389">
              <w:rPr>
                <w:rFonts w:eastAsia="Calibri" w:cs="Calibri"/>
                <w:i/>
                <w:sz w:val="20"/>
                <w:szCs w:val="20"/>
              </w:rPr>
              <w:t>.</w:t>
            </w:r>
            <w:r w:rsidRPr="00EF4389">
              <w:rPr>
                <w:rFonts w:eastAsia="Calibri" w:cs="Calibri"/>
                <w:sz w:val="20"/>
                <w:szCs w:val="20"/>
              </w:rPr>
              <w:t xml:space="preserve"> </w:t>
            </w:r>
          </w:p>
        </w:tc>
      </w:tr>
      <w:tr w:rsidR="0028465D" w:rsidRPr="00EF4389" w14:paraId="46998082" w14:textId="77777777" w:rsidTr="00BE0179">
        <w:trPr>
          <w:cantSplit/>
        </w:trPr>
        <w:tc>
          <w:tcPr>
            <w:tcW w:w="2212" w:type="dxa"/>
            <w:tcBorders>
              <w:bottom w:val="single" w:sz="4" w:space="0" w:color="auto"/>
            </w:tcBorders>
            <w:shd w:val="clear" w:color="auto" w:fill="auto"/>
            <w:vAlign w:val="center"/>
          </w:tcPr>
          <w:p w14:paraId="03C10D7C" w14:textId="77777777" w:rsidR="0028465D" w:rsidRPr="00EF4389" w:rsidRDefault="0028465D" w:rsidP="0028465D">
            <w:pPr>
              <w:pStyle w:val="Sinespaciado"/>
              <w:rPr>
                <w:rFonts w:ascii="ITC Avant Garde" w:eastAsia="Calibri" w:hAnsi="ITC Avant Garde" w:cs="Calibri"/>
                <w:sz w:val="20"/>
                <w:szCs w:val="20"/>
              </w:rPr>
            </w:pPr>
            <w:r w:rsidRPr="00EF4389">
              <w:rPr>
                <w:rFonts w:ascii="ITC Avant Garde" w:eastAsia="Calibri" w:hAnsi="ITC Avant Garde" w:cs="Calibri"/>
                <w:sz w:val="20"/>
                <w:szCs w:val="20"/>
              </w:rPr>
              <w:t xml:space="preserve">Revisión bienal </w:t>
            </w:r>
          </w:p>
        </w:tc>
        <w:tc>
          <w:tcPr>
            <w:tcW w:w="0" w:type="auto"/>
            <w:tcBorders>
              <w:bottom w:val="single" w:sz="4" w:space="0" w:color="auto"/>
            </w:tcBorders>
            <w:shd w:val="clear" w:color="auto" w:fill="auto"/>
            <w:vAlign w:val="center"/>
          </w:tcPr>
          <w:p w14:paraId="202F032C" w14:textId="77777777" w:rsidR="0028465D" w:rsidRPr="00EF4389" w:rsidRDefault="0028465D" w:rsidP="00D16622">
            <w:pPr>
              <w:spacing w:after="0"/>
              <w:jc w:val="both"/>
              <w:rPr>
                <w:rFonts w:eastAsia="Calibri" w:cs="Calibri"/>
                <w:sz w:val="20"/>
                <w:szCs w:val="20"/>
              </w:rPr>
            </w:pPr>
            <w:r w:rsidRPr="00EF4389">
              <w:rPr>
                <w:rFonts w:eastAsia="Calibri" w:cs="Calibri"/>
                <w:i/>
                <w:sz w:val="20"/>
                <w:szCs w:val="20"/>
              </w:rPr>
              <w:t>Resolución mediante la cual el Pleno Instituto Federal de Telecomunicaciones suprime, modifica y adiciona las medidas impuestas al agente económico preponderante en el sector de telecomunicaciones mediante resolución de fecha 6 de marzo de 2014, aprobada mediante acuerdo P/IFT/EXT/060314/</w:t>
            </w:r>
            <w:r>
              <w:rPr>
                <w:rFonts w:eastAsia="Calibri" w:cs="Calibri"/>
                <w:i/>
                <w:sz w:val="20"/>
                <w:szCs w:val="20"/>
              </w:rPr>
              <w:t>76</w:t>
            </w:r>
            <w:r w:rsidR="00D16622">
              <w:rPr>
                <w:rFonts w:eastAsia="Calibri" w:cs="Calibri"/>
                <w:i/>
                <w:sz w:val="20"/>
                <w:szCs w:val="20"/>
              </w:rPr>
              <w:t xml:space="preserve">, </w:t>
            </w:r>
            <w:r w:rsidR="00D16622" w:rsidRPr="00FC5386">
              <w:rPr>
                <w:rFonts w:eastAsia="Calibri" w:cs="Calibri"/>
                <w:sz w:val="20"/>
                <w:szCs w:val="20"/>
              </w:rPr>
              <w:t>emitida mediante el</w:t>
            </w:r>
            <w:r w:rsidR="00D16622">
              <w:rPr>
                <w:rFonts w:eastAsia="Calibri" w:cs="Calibri"/>
                <w:i/>
                <w:sz w:val="20"/>
                <w:szCs w:val="20"/>
              </w:rPr>
              <w:t xml:space="preserve"> </w:t>
            </w:r>
            <w:r w:rsidR="00D16622" w:rsidRPr="00EF4389">
              <w:rPr>
                <w:rFonts w:eastAsia="Calibri" w:cs="Calibri"/>
                <w:sz w:val="20"/>
                <w:szCs w:val="20"/>
              </w:rPr>
              <w:t>Acuerdo P/IFT/EXT/270217/119, de fecha veintisiete de febrero de dos mil diecisiete</w:t>
            </w:r>
            <w:r w:rsidRPr="00EF4389">
              <w:rPr>
                <w:rFonts w:eastAsia="Calibri" w:cs="Calibri"/>
                <w:sz w:val="20"/>
                <w:szCs w:val="20"/>
              </w:rPr>
              <w:t>.</w:t>
            </w:r>
            <w:r w:rsidRPr="00EF4389">
              <w:rPr>
                <w:rFonts w:eastAsia="Calibri" w:cs="Calibri"/>
                <w:i/>
                <w:sz w:val="20"/>
                <w:szCs w:val="20"/>
              </w:rPr>
              <w:t xml:space="preserve"> </w:t>
            </w:r>
          </w:p>
        </w:tc>
      </w:tr>
      <w:tr w:rsidR="0028465D" w:rsidRPr="00EF4389" w14:paraId="65E3F936" w14:textId="77777777" w:rsidTr="00BE0179">
        <w:trPr>
          <w:cantSplit/>
        </w:trPr>
        <w:tc>
          <w:tcPr>
            <w:tcW w:w="2212" w:type="dxa"/>
            <w:tcBorders>
              <w:bottom w:val="single" w:sz="4" w:space="0" w:color="auto"/>
            </w:tcBorders>
            <w:shd w:val="clear" w:color="auto" w:fill="auto"/>
            <w:vAlign w:val="center"/>
          </w:tcPr>
          <w:p w14:paraId="09E3C6AF" w14:textId="77777777" w:rsidR="0028465D" w:rsidRPr="00EF4389" w:rsidRDefault="0028465D" w:rsidP="0028465D">
            <w:pPr>
              <w:pStyle w:val="Sinespaciado"/>
              <w:rPr>
                <w:rFonts w:ascii="ITC Avant Garde" w:eastAsia="Calibri" w:hAnsi="ITC Avant Garde" w:cs="Calibri"/>
                <w:sz w:val="20"/>
                <w:szCs w:val="20"/>
              </w:rPr>
            </w:pPr>
            <w:r w:rsidRPr="00EF4389">
              <w:rPr>
                <w:rFonts w:ascii="ITC Avant Garde" w:hAnsi="ITC Avant Garde"/>
                <w:sz w:val="20"/>
                <w:szCs w:val="20"/>
              </w:rPr>
              <w:t>RPT</w:t>
            </w:r>
          </w:p>
        </w:tc>
        <w:tc>
          <w:tcPr>
            <w:tcW w:w="0" w:type="auto"/>
            <w:tcBorders>
              <w:bottom w:val="single" w:sz="4" w:space="0" w:color="auto"/>
            </w:tcBorders>
            <w:shd w:val="clear" w:color="auto" w:fill="auto"/>
            <w:vAlign w:val="center"/>
          </w:tcPr>
          <w:p w14:paraId="0249D7AF" w14:textId="77777777" w:rsidR="0028465D" w:rsidRPr="00EF4389" w:rsidRDefault="0028465D" w:rsidP="0028465D">
            <w:pPr>
              <w:spacing w:after="0"/>
              <w:jc w:val="both"/>
              <w:rPr>
                <w:rFonts w:eastAsia="Calibri" w:cs="Calibri"/>
                <w:sz w:val="20"/>
                <w:szCs w:val="20"/>
              </w:rPr>
            </w:pPr>
            <w:r w:rsidRPr="00EF4389">
              <w:rPr>
                <w:rFonts w:eastAsia="Times New Roman" w:cs="Times New Roman"/>
                <w:color w:val="000000"/>
                <w:sz w:val="20"/>
                <w:szCs w:val="20"/>
                <w:lang w:eastAsia="es-MX"/>
              </w:rPr>
              <w:t>Red pública de telecomunicaciones.</w:t>
            </w:r>
          </w:p>
        </w:tc>
      </w:tr>
      <w:tr w:rsidR="0016118E" w:rsidRPr="00EF4389" w14:paraId="2F0EFC28"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75DC8600" w14:textId="77777777" w:rsidR="0016118E" w:rsidRPr="00EF4389" w:rsidRDefault="0016118E"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280DA8BC" w14:textId="77777777" w:rsidR="0016118E" w:rsidRPr="00113D6D" w:rsidRDefault="0016118E" w:rsidP="004D2AE2">
            <w:pPr>
              <w:spacing w:after="0"/>
              <w:ind w:left="2041" w:firstLine="57"/>
              <w:rPr>
                <w:rFonts w:eastAsia="Times New Roman" w:cs="Times New Roman"/>
                <w:b/>
                <w:color w:val="000000"/>
                <w:sz w:val="20"/>
                <w:szCs w:val="20"/>
                <w:lang w:eastAsia="es-MX"/>
              </w:rPr>
            </w:pPr>
            <w:r>
              <w:rPr>
                <w:b/>
                <w:sz w:val="20"/>
                <w:szCs w:val="20"/>
              </w:rPr>
              <w:t>S</w:t>
            </w:r>
          </w:p>
        </w:tc>
      </w:tr>
      <w:tr w:rsidR="0028465D" w:rsidRPr="00EF4389" w14:paraId="09DF6FC1" w14:textId="77777777" w:rsidTr="00BE0179">
        <w:trPr>
          <w:cantSplit/>
        </w:trPr>
        <w:tc>
          <w:tcPr>
            <w:tcW w:w="2212" w:type="dxa"/>
            <w:tcBorders>
              <w:top w:val="single" w:sz="4" w:space="0" w:color="auto"/>
            </w:tcBorders>
            <w:shd w:val="clear" w:color="auto" w:fill="auto"/>
            <w:vAlign w:val="center"/>
          </w:tcPr>
          <w:p w14:paraId="37D1A9B2" w14:textId="77777777" w:rsidR="0028465D" w:rsidRPr="00EF4389" w:rsidRDefault="0028465D" w:rsidP="0028465D">
            <w:pPr>
              <w:pStyle w:val="Sinespaciado"/>
              <w:jc w:val="both"/>
              <w:rPr>
                <w:rFonts w:ascii="ITC Avant Garde" w:hAnsi="ITC Avant Garde"/>
                <w:b/>
                <w:sz w:val="20"/>
                <w:szCs w:val="20"/>
              </w:rPr>
            </w:pPr>
            <w:r w:rsidRPr="00EF4389">
              <w:rPr>
                <w:rFonts w:ascii="ITC Avant Garde" w:hAnsi="ITC Avant Garde"/>
                <w:sz w:val="20"/>
                <w:szCs w:val="20"/>
              </w:rPr>
              <w:t>SBAF</w:t>
            </w:r>
          </w:p>
        </w:tc>
        <w:tc>
          <w:tcPr>
            <w:tcW w:w="0" w:type="auto"/>
            <w:tcBorders>
              <w:top w:val="single" w:sz="4" w:space="0" w:color="auto"/>
            </w:tcBorders>
            <w:shd w:val="clear" w:color="auto" w:fill="auto"/>
            <w:vAlign w:val="center"/>
          </w:tcPr>
          <w:p w14:paraId="0167E597" w14:textId="77777777" w:rsidR="0028465D" w:rsidRPr="00EF4389" w:rsidRDefault="0028465D" w:rsidP="0028465D">
            <w:pPr>
              <w:spacing w:after="0"/>
              <w:jc w:val="both"/>
              <w:rPr>
                <w:rFonts w:eastAsia="Times New Roman" w:cs="Times New Roman"/>
                <w:color w:val="000000"/>
                <w:sz w:val="20"/>
                <w:szCs w:val="20"/>
                <w:lang w:eastAsia="es-MX"/>
              </w:rPr>
            </w:pPr>
            <w:r w:rsidRPr="00EF4389">
              <w:rPr>
                <w:sz w:val="20"/>
                <w:szCs w:val="20"/>
              </w:rPr>
              <w:t>Servicio de acceso a internet de banda ancha fija.</w:t>
            </w:r>
          </w:p>
        </w:tc>
      </w:tr>
      <w:tr w:rsidR="0028465D" w:rsidRPr="00EF4389" w14:paraId="54A3400C" w14:textId="77777777" w:rsidTr="00BE0179">
        <w:trPr>
          <w:cantSplit/>
        </w:trPr>
        <w:tc>
          <w:tcPr>
            <w:tcW w:w="2212" w:type="dxa"/>
            <w:tcBorders>
              <w:top w:val="single" w:sz="4" w:space="0" w:color="auto"/>
            </w:tcBorders>
            <w:shd w:val="clear" w:color="auto" w:fill="auto"/>
            <w:vAlign w:val="center"/>
          </w:tcPr>
          <w:p w14:paraId="5BCF04CC" w14:textId="77777777" w:rsidR="0028465D" w:rsidRPr="00EF4389" w:rsidRDefault="0028465D" w:rsidP="0028465D">
            <w:pPr>
              <w:pStyle w:val="Sinespaciado"/>
              <w:jc w:val="both"/>
              <w:rPr>
                <w:rFonts w:ascii="ITC Avant Garde" w:hAnsi="ITC Avant Garde"/>
                <w:sz w:val="20"/>
                <w:szCs w:val="20"/>
              </w:rPr>
            </w:pPr>
            <w:r w:rsidRPr="00EF4389">
              <w:rPr>
                <w:rFonts w:ascii="ITC Avant Garde" w:hAnsi="ITC Avant Garde"/>
                <w:sz w:val="20"/>
                <w:szCs w:val="20"/>
              </w:rPr>
              <w:t>SBAM</w:t>
            </w:r>
          </w:p>
        </w:tc>
        <w:tc>
          <w:tcPr>
            <w:tcW w:w="0" w:type="auto"/>
            <w:tcBorders>
              <w:top w:val="single" w:sz="4" w:space="0" w:color="auto"/>
            </w:tcBorders>
            <w:shd w:val="clear" w:color="auto" w:fill="auto"/>
            <w:vAlign w:val="center"/>
          </w:tcPr>
          <w:p w14:paraId="2FF7E89B" w14:textId="77777777" w:rsidR="0028465D" w:rsidRPr="00EF4389" w:rsidRDefault="0028465D" w:rsidP="0028465D">
            <w:pPr>
              <w:spacing w:after="0"/>
              <w:jc w:val="both"/>
              <w:rPr>
                <w:sz w:val="20"/>
                <w:szCs w:val="20"/>
              </w:rPr>
            </w:pPr>
            <w:r w:rsidRPr="00EF4389">
              <w:rPr>
                <w:sz w:val="20"/>
                <w:szCs w:val="20"/>
              </w:rPr>
              <w:t>Servicio de acceso a internet de banda ancha móvil.</w:t>
            </w:r>
          </w:p>
        </w:tc>
      </w:tr>
      <w:tr w:rsidR="0016118E" w:rsidRPr="00EF4389" w14:paraId="03E43C4F"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15DCFFFA" w14:textId="77777777" w:rsidR="0016118E" w:rsidRPr="00EF4389" w:rsidRDefault="0016118E"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5A54D7B6" w14:textId="77777777" w:rsidR="0016118E" w:rsidRPr="00113D6D" w:rsidRDefault="0016118E" w:rsidP="004D2AE2">
            <w:pPr>
              <w:spacing w:after="0"/>
              <w:ind w:left="2041" w:firstLine="57"/>
              <w:rPr>
                <w:rFonts w:eastAsia="Times New Roman" w:cs="Times New Roman"/>
                <w:b/>
                <w:color w:val="000000"/>
                <w:sz w:val="20"/>
                <w:szCs w:val="20"/>
                <w:lang w:eastAsia="es-MX"/>
              </w:rPr>
            </w:pPr>
            <w:r>
              <w:rPr>
                <w:b/>
                <w:sz w:val="20"/>
                <w:szCs w:val="20"/>
              </w:rPr>
              <w:t>T</w:t>
            </w:r>
          </w:p>
        </w:tc>
      </w:tr>
      <w:tr w:rsidR="0028465D" w:rsidRPr="00EF4389" w14:paraId="71A92A22" w14:textId="77777777" w:rsidTr="00BE0179">
        <w:trPr>
          <w:cantSplit/>
        </w:trPr>
        <w:tc>
          <w:tcPr>
            <w:tcW w:w="2212" w:type="dxa"/>
            <w:tcBorders>
              <w:bottom w:val="single" w:sz="4" w:space="0" w:color="auto"/>
            </w:tcBorders>
            <w:shd w:val="clear" w:color="auto" w:fill="auto"/>
            <w:vAlign w:val="center"/>
          </w:tcPr>
          <w:p w14:paraId="06FE6E0A"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TDM</w:t>
            </w:r>
          </w:p>
        </w:tc>
        <w:tc>
          <w:tcPr>
            <w:tcW w:w="0" w:type="auto"/>
            <w:tcBorders>
              <w:bottom w:val="single" w:sz="4" w:space="0" w:color="auto"/>
            </w:tcBorders>
            <w:shd w:val="clear" w:color="auto" w:fill="auto"/>
            <w:vAlign w:val="center"/>
          </w:tcPr>
          <w:p w14:paraId="69D0285B" w14:textId="77777777" w:rsidR="0028465D" w:rsidRPr="00533D8A" w:rsidRDefault="0028465D" w:rsidP="0028465D">
            <w:pPr>
              <w:spacing w:after="0"/>
              <w:jc w:val="both"/>
              <w:rPr>
                <w:sz w:val="20"/>
                <w:szCs w:val="20"/>
              </w:rPr>
            </w:pPr>
            <w:r w:rsidRPr="00EF4389">
              <w:rPr>
                <w:sz w:val="20"/>
                <w:szCs w:val="20"/>
              </w:rPr>
              <w:t>Multiplexación por División de Tiempo (</w:t>
            </w:r>
            <w:r w:rsidRPr="00EF4389">
              <w:rPr>
                <w:i/>
                <w:sz w:val="20"/>
                <w:szCs w:val="20"/>
              </w:rPr>
              <w:t>Time Division Multiplexing</w:t>
            </w:r>
            <w:r w:rsidRPr="00EF4389">
              <w:rPr>
                <w:sz w:val="20"/>
                <w:szCs w:val="20"/>
              </w:rPr>
              <w:t>, por sus siglas en inglés).</w:t>
            </w:r>
          </w:p>
        </w:tc>
      </w:tr>
      <w:tr w:rsidR="0028465D" w:rsidRPr="00EF4389" w14:paraId="530A98BD" w14:textId="77777777" w:rsidTr="00BE0179">
        <w:trPr>
          <w:cantSplit/>
        </w:trPr>
        <w:tc>
          <w:tcPr>
            <w:tcW w:w="2212" w:type="dxa"/>
            <w:tcBorders>
              <w:left w:val="nil"/>
              <w:bottom w:val="single" w:sz="4" w:space="0" w:color="auto"/>
              <w:right w:val="nil"/>
            </w:tcBorders>
            <w:shd w:val="clear" w:color="auto" w:fill="auto"/>
            <w:vAlign w:val="center"/>
          </w:tcPr>
          <w:p w14:paraId="01C25CF5"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Telcel</w:t>
            </w:r>
          </w:p>
        </w:tc>
        <w:tc>
          <w:tcPr>
            <w:tcW w:w="0" w:type="auto"/>
            <w:tcBorders>
              <w:left w:val="nil"/>
              <w:bottom w:val="single" w:sz="4" w:space="0" w:color="auto"/>
              <w:right w:val="nil"/>
            </w:tcBorders>
            <w:shd w:val="clear" w:color="auto" w:fill="auto"/>
            <w:vAlign w:val="center"/>
          </w:tcPr>
          <w:p w14:paraId="1874C732" w14:textId="77777777" w:rsidR="0028465D" w:rsidRPr="00533D8A" w:rsidRDefault="0028465D" w:rsidP="0028465D">
            <w:pPr>
              <w:spacing w:after="0"/>
              <w:jc w:val="both"/>
              <w:rPr>
                <w:sz w:val="20"/>
                <w:szCs w:val="20"/>
              </w:rPr>
            </w:pPr>
            <w:r w:rsidRPr="00EF4389">
              <w:rPr>
                <w:sz w:val="20"/>
                <w:szCs w:val="20"/>
              </w:rPr>
              <w:t>Radiomóvil Dipsa, S.A. de C.V.</w:t>
            </w:r>
          </w:p>
        </w:tc>
      </w:tr>
      <w:tr w:rsidR="0028465D" w:rsidRPr="00EF4389" w14:paraId="25284347" w14:textId="77777777" w:rsidTr="00BE0179">
        <w:trPr>
          <w:cantSplit/>
        </w:trPr>
        <w:tc>
          <w:tcPr>
            <w:tcW w:w="2212" w:type="dxa"/>
            <w:tcBorders>
              <w:top w:val="single" w:sz="4" w:space="0" w:color="auto"/>
              <w:bottom w:val="nil"/>
            </w:tcBorders>
            <w:shd w:val="clear" w:color="auto" w:fill="auto"/>
            <w:vAlign w:val="center"/>
          </w:tcPr>
          <w:p w14:paraId="589277C1"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Telco</w:t>
            </w:r>
          </w:p>
        </w:tc>
        <w:tc>
          <w:tcPr>
            <w:tcW w:w="0" w:type="auto"/>
            <w:tcBorders>
              <w:top w:val="single" w:sz="4" w:space="0" w:color="auto"/>
              <w:bottom w:val="nil"/>
            </w:tcBorders>
            <w:shd w:val="clear" w:color="auto" w:fill="auto"/>
            <w:vAlign w:val="center"/>
          </w:tcPr>
          <w:p w14:paraId="060912F0" w14:textId="77777777" w:rsidR="0028465D" w:rsidRPr="00EF4389" w:rsidRDefault="0028465D" w:rsidP="0028465D">
            <w:pPr>
              <w:spacing w:after="0"/>
              <w:jc w:val="both"/>
              <w:rPr>
                <w:sz w:val="20"/>
                <w:szCs w:val="20"/>
              </w:rPr>
            </w:pPr>
            <w:r w:rsidRPr="00EF4389">
              <w:rPr>
                <w:sz w:val="20"/>
                <w:szCs w:val="20"/>
              </w:rPr>
              <w:t>Tecnologías Especializadas en Líneas de Conexión Óptica, S.A.P.I. de C.V.</w:t>
            </w:r>
          </w:p>
        </w:tc>
      </w:tr>
      <w:tr w:rsidR="0028465D" w:rsidRPr="00EF4389" w14:paraId="5C5A2A75" w14:textId="77777777" w:rsidTr="00BE0179">
        <w:trPr>
          <w:cantSplit/>
        </w:trPr>
        <w:tc>
          <w:tcPr>
            <w:tcW w:w="2212" w:type="dxa"/>
            <w:tcBorders>
              <w:bottom w:val="nil"/>
            </w:tcBorders>
            <w:shd w:val="clear" w:color="auto" w:fill="auto"/>
            <w:vAlign w:val="center"/>
          </w:tcPr>
          <w:p w14:paraId="14A9B637"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 xml:space="preserve">Telecable </w:t>
            </w:r>
          </w:p>
        </w:tc>
        <w:tc>
          <w:tcPr>
            <w:tcW w:w="0" w:type="auto"/>
            <w:tcBorders>
              <w:bottom w:val="nil"/>
            </w:tcBorders>
            <w:shd w:val="clear" w:color="auto" w:fill="auto"/>
            <w:vAlign w:val="center"/>
          </w:tcPr>
          <w:p w14:paraId="4DC01107"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Cablevisión Red, S.A. de C.V.</w:t>
            </w:r>
          </w:p>
        </w:tc>
      </w:tr>
      <w:tr w:rsidR="0028465D" w:rsidRPr="00EF4389" w14:paraId="0CAAAAF8" w14:textId="77777777" w:rsidTr="00BE0179">
        <w:trPr>
          <w:cantSplit/>
        </w:trPr>
        <w:tc>
          <w:tcPr>
            <w:tcW w:w="2212" w:type="dxa"/>
            <w:tcBorders>
              <w:bottom w:val="nil"/>
            </w:tcBorders>
            <w:shd w:val="clear" w:color="auto" w:fill="auto"/>
            <w:vAlign w:val="center"/>
          </w:tcPr>
          <w:p w14:paraId="0A1BC072" w14:textId="77777777" w:rsidR="0028465D" w:rsidRPr="00EF4389" w:rsidRDefault="0028465D" w:rsidP="00D16622">
            <w:pPr>
              <w:pStyle w:val="Sinespaciado"/>
              <w:rPr>
                <w:rFonts w:ascii="ITC Avant Garde" w:hAnsi="ITC Avant Garde"/>
                <w:sz w:val="20"/>
                <w:szCs w:val="20"/>
              </w:rPr>
            </w:pPr>
            <w:r w:rsidRPr="00EF4389">
              <w:rPr>
                <w:rFonts w:ascii="ITC Avant Garde" w:hAnsi="ITC Avant Garde"/>
                <w:sz w:val="20"/>
                <w:szCs w:val="20"/>
              </w:rPr>
              <w:t>Telefónica o Pegaso (indistintamente)</w:t>
            </w:r>
          </w:p>
        </w:tc>
        <w:tc>
          <w:tcPr>
            <w:tcW w:w="0" w:type="auto"/>
            <w:tcBorders>
              <w:bottom w:val="nil"/>
            </w:tcBorders>
            <w:shd w:val="clear" w:color="auto" w:fill="auto"/>
            <w:vAlign w:val="center"/>
          </w:tcPr>
          <w:p w14:paraId="65B28524"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Pegaso PCS, S.A. de C.V. y sus subsidiarias.</w:t>
            </w:r>
          </w:p>
        </w:tc>
      </w:tr>
      <w:tr w:rsidR="0028465D" w:rsidRPr="00EF4389" w14:paraId="1F3FBC64" w14:textId="77777777" w:rsidTr="00BE0179">
        <w:trPr>
          <w:cantSplit/>
        </w:trPr>
        <w:tc>
          <w:tcPr>
            <w:tcW w:w="2212" w:type="dxa"/>
            <w:tcBorders>
              <w:bottom w:val="nil"/>
            </w:tcBorders>
            <w:shd w:val="clear" w:color="auto" w:fill="auto"/>
            <w:vAlign w:val="center"/>
          </w:tcPr>
          <w:p w14:paraId="0A6DAD5C"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Telmex</w:t>
            </w:r>
          </w:p>
        </w:tc>
        <w:tc>
          <w:tcPr>
            <w:tcW w:w="0" w:type="auto"/>
            <w:tcBorders>
              <w:bottom w:val="nil"/>
            </w:tcBorders>
            <w:shd w:val="clear" w:color="auto" w:fill="auto"/>
            <w:vAlign w:val="center"/>
          </w:tcPr>
          <w:p w14:paraId="2CA05DEB"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Teléfonos de México, S.A.B. de C.V.</w:t>
            </w:r>
          </w:p>
        </w:tc>
      </w:tr>
      <w:tr w:rsidR="0028465D" w:rsidRPr="00EF4389" w14:paraId="16C3FE08" w14:textId="77777777" w:rsidTr="00BE0179">
        <w:trPr>
          <w:cantSplit/>
        </w:trPr>
        <w:tc>
          <w:tcPr>
            <w:tcW w:w="2212" w:type="dxa"/>
            <w:tcBorders>
              <w:bottom w:val="nil"/>
            </w:tcBorders>
            <w:shd w:val="clear" w:color="auto" w:fill="auto"/>
            <w:vAlign w:val="center"/>
          </w:tcPr>
          <w:p w14:paraId="6B2B0EC2"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Telnor</w:t>
            </w:r>
          </w:p>
        </w:tc>
        <w:tc>
          <w:tcPr>
            <w:tcW w:w="0" w:type="auto"/>
            <w:tcBorders>
              <w:bottom w:val="nil"/>
            </w:tcBorders>
            <w:shd w:val="clear" w:color="auto" w:fill="auto"/>
            <w:vAlign w:val="center"/>
          </w:tcPr>
          <w:p w14:paraId="6DE21EC9"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Teléfonos de Noreste, S.A. de C.V.</w:t>
            </w:r>
          </w:p>
        </w:tc>
      </w:tr>
      <w:tr w:rsidR="0028465D" w:rsidRPr="00EF4389" w14:paraId="17B9344B" w14:textId="77777777" w:rsidTr="00BE0179">
        <w:trPr>
          <w:cantSplit/>
        </w:trPr>
        <w:tc>
          <w:tcPr>
            <w:tcW w:w="2212" w:type="dxa"/>
            <w:tcBorders>
              <w:bottom w:val="nil"/>
            </w:tcBorders>
            <w:shd w:val="clear" w:color="auto" w:fill="auto"/>
            <w:vAlign w:val="center"/>
          </w:tcPr>
          <w:p w14:paraId="77F539DE" w14:textId="77777777" w:rsidR="0028465D" w:rsidRPr="00EF4389" w:rsidRDefault="0028465D" w:rsidP="00D16622">
            <w:pPr>
              <w:pStyle w:val="Sinespaciado"/>
              <w:rPr>
                <w:rFonts w:ascii="ITC Avant Garde" w:hAnsi="ITC Avant Garde"/>
                <w:sz w:val="20"/>
                <w:szCs w:val="20"/>
              </w:rPr>
            </w:pPr>
            <w:r w:rsidRPr="00EF4389">
              <w:rPr>
                <w:rFonts w:ascii="ITC Avant Garde" w:hAnsi="ITC Avant Garde"/>
                <w:sz w:val="20"/>
                <w:szCs w:val="20"/>
              </w:rPr>
              <w:t xml:space="preserve">Total Play o Totalplay (indistintamente) </w:t>
            </w:r>
          </w:p>
        </w:tc>
        <w:tc>
          <w:tcPr>
            <w:tcW w:w="0" w:type="auto"/>
            <w:tcBorders>
              <w:bottom w:val="nil"/>
            </w:tcBorders>
            <w:shd w:val="clear" w:color="auto" w:fill="auto"/>
            <w:vAlign w:val="center"/>
          </w:tcPr>
          <w:p w14:paraId="15B9E5FF" w14:textId="77777777" w:rsidR="0028465D" w:rsidRPr="00EF4389" w:rsidRDefault="0028465D" w:rsidP="0028465D">
            <w:pPr>
              <w:spacing w:after="0"/>
              <w:jc w:val="both"/>
              <w:rPr>
                <w:sz w:val="20"/>
                <w:szCs w:val="20"/>
              </w:rPr>
            </w:pPr>
            <w:r w:rsidRPr="00EF4389">
              <w:rPr>
                <w:sz w:val="20"/>
                <w:szCs w:val="20"/>
              </w:rPr>
              <w:t>Total Play Telecomunicaciones, S.A. de C.V. y sus subsidiarias.</w:t>
            </w:r>
          </w:p>
        </w:tc>
      </w:tr>
      <w:tr w:rsidR="0028465D" w:rsidRPr="00EF4389" w14:paraId="7309AF4B" w14:textId="77777777" w:rsidTr="00BE0179">
        <w:trPr>
          <w:cantSplit/>
        </w:trPr>
        <w:tc>
          <w:tcPr>
            <w:tcW w:w="2212" w:type="dxa"/>
            <w:tcBorders>
              <w:bottom w:val="single" w:sz="4" w:space="0" w:color="auto"/>
            </w:tcBorders>
            <w:shd w:val="clear" w:color="auto" w:fill="auto"/>
            <w:vAlign w:val="center"/>
          </w:tcPr>
          <w:p w14:paraId="3717CDC1"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TVI</w:t>
            </w:r>
          </w:p>
        </w:tc>
        <w:tc>
          <w:tcPr>
            <w:tcW w:w="0" w:type="auto"/>
            <w:tcBorders>
              <w:bottom w:val="nil"/>
            </w:tcBorders>
            <w:shd w:val="clear" w:color="auto" w:fill="auto"/>
            <w:vAlign w:val="center"/>
          </w:tcPr>
          <w:p w14:paraId="273D3AE8" w14:textId="77777777" w:rsidR="0028465D" w:rsidRPr="00EF4389" w:rsidRDefault="0028465D" w:rsidP="0028465D">
            <w:pPr>
              <w:spacing w:after="0"/>
              <w:jc w:val="both"/>
              <w:rPr>
                <w:sz w:val="20"/>
                <w:szCs w:val="20"/>
              </w:rPr>
            </w:pPr>
            <w:r w:rsidRPr="00EF4389">
              <w:rPr>
                <w:sz w:val="20"/>
                <w:szCs w:val="20"/>
              </w:rPr>
              <w:t>Televisión Internacional, S.A. de C.V. y sus subsidiarias.</w:t>
            </w:r>
          </w:p>
        </w:tc>
      </w:tr>
      <w:tr w:rsidR="00FC12B1" w:rsidRPr="00EF4389" w14:paraId="203E51D9"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5596C85B" w14:textId="77777777" w:rsidR="00FC12B1" w:rsidRPr="00EF4389" w:rsidRDefault="00FC12B1"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14912B7F" w14:textId="65C2E029" w:rsidR="00FC12B1" w:rsidRPr="00113D6D" w:rsidRDefault="00C56949" w:rsidP="004D2AE2">
            <w:pPr>
              <w:spacing w:after="0"/>
              <w:ind w:left="2041" w:firstLine="57"/>
              <w:rPr>
                <w:rFonts w:eastAsia="Times New Roman" w:cs="Times New Roman"/>
                <w:b/>
                <w:color w:val="000000"/>
                <w:sz w:val="20"/>
                <w:szCs w:val="20"/>
                <w:lang w:eastAsia="es-MX"/>
              </w:rPr>
            </w:pPr>
            <w:r>
              <w:rPr>
                <w:b/>
                <w:sz w:val="20"/>
                <w:szCs w:val="20"/>
              </w:rPr>
              <w:t>U</w:t>
            </w:r>
          </w:p>
        </w:tc>
      </w:tr>
      <w:tr w:rsidR="0028465D" w:rsidRPr="00EF4389" w14:paraId="5E9D702B" w14:textId="77777777" w:rsidTr="00BE017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cantSplit/>
        </w:trPr>
        <w:tc>
          <w:tcPr>
            <w:tcW w:w="2212" w:type="dxa"/>
            <w:tcBorders>
              <w:top w:val="single" w:sz="4" w:space="0" w:color="auto"/>
              <w:left w:val="nil"/>
              <w:bottom w:val="single" w:sz="4" w:space="0" w:color="auto"/>
              <w:right w:val="nil"/>
            </w:tcBorders>
            <w:shd w:val="clear" w:color="auto" w:fill="auto"/>
          </w:tcPr>
          <w:p w14:paraId="37B600F2"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UC</w:t>
            </w:r>
          </w:p>
        </w:tc>
        <w:tc>
          <w:tcPr>
            <w:tcW w:w="0" w:type="auto"/>
            <w:tcBorders>
              <w:top w:val="single" w:sz="4" w:space="0" w:color="auto"/>
              <w:left w:val="nil"/>
              <w:bottom w:val="single" w:sz="4" w:space="0" w:color="auto"/>
              <w:right w:val="nil"/>
            </w:tcBorders>
            <w:shd w:val="clear" w:color="auto" w:fill="auto"/>
          </w:tcPr>
          <w:p w14:paraId="5C4F05C6"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Unidad de Cumplimiento del IFT.</w:t>
            </w:r>
          </w:p>
        </w:tc>
      </w:tr>
      <w:tr w:rsidR="0028465D" w:rsidRPr="00EF4389" w14:paraId="39770A30" w14:textId="77777777" w:rsidTr="00BE017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cantSplit/>
        </w:trPr>
        <w:tc>
          <w:tcPr>
            <w:tcW w:w="2212" w:type="dxa"/>
            <w:tcBorders>
              <w:top w:val="single" w:sz="4" w:space="0" w:color="auto"/>
              <w:left w:val="nil"/>
              <w:bottom w:val="single" w:sz="4" w:space="0" w:color="auto"/>
              <w:right w:val="nil"/>
            </w:tcBorders>
            <w:shd w:val="clear" w:color="auto" w:fill="auto"/>
          </w:tcPr>
          <w:p w14:paraId="58E50965"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UCE</w:t>
            </w:r>
          </w:p>
        </w:tc>
        <w:tc>
          <w:tcPr>
            <w:tcW w:w="0" w:type="auto"/>
            <w:tcBorders>
              <w:top w:val="single" w:sz="4" w:space="0" w:color="auto"/>
              <w:left w:val="nil"/>
              <w:bottom w:val="single" w:sz="4" w:space="0" w:color="auto"/>
              <w:right w:val="nil"/>
            </w:tcBorders>
            <w:shd w:val="clear" w:color="auto" w:fill="auto"/>
          </w:tcPr>
          <w:p w14:paraId="65A6577C" w14:textId="77777777" w:rsidR="0028465D" w:rsidRPr="00EF4389" w:rsidRDefault="0028465D" w:rsidP="0028465D">
            <w:pPr>
              <w:spacing w:after="0"/>
              <w:jc w:val="both"/>
              <w:rPr>
                <w:rFonts w:eastAsia="Times New Roman" w:cs="Times New Roman"/>
                <w:color w:val="000000"/>
                <w:sz w:val="20"/>
                <w:szCs w:val="20"/>
                <w:lang w:eastAsia="es-MX"/>
              </w:rPr>
            </w:pPr>
            <w:r w:rsidRPr="00EF4389">
              <w:rPr>
                <w:rFonts w:eastAsia="Times New Roman" w:cs="Times New Roman"/>
                <w:color w:val="000000"/>
                <w:sz w:val="20"/>
                <w:szCs w:val="20"/>
                <w:lang w:eastAsia="es-MX"/>
              </w:rPr>
              <w:t xml:space="preserve">Unidad de Competencia Económica del IFT. </w:t>
            </w:r>
          </w:p>
        </w:tc>
      </w:tr>
      <w:tr w:rsidR="00FC12B1" w:rsidRPr="00EF4389" w14:paraId="4C8405D8" w14:textId="77777777" w:rsidTr="004D2AE2">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c>
          <w:tcPr>
            <w:tcW w:w="2212" w:type="dxa"/>
            <w:tcBorders>
              <w:top w:val="nil"/>
              <w:left w:val="nil"/>
              <w:bottom w:val="nil"/>
              <w:right w:val="nil"/>
            </w:tcBorders>
            <w:shd w:val="clear" w:color="auto" w:fill="002060"/>
          </w:tcPr>
          <w:p w14:paraId="26CE9A9F" w14:textId="77777777" w:rsidR="00FC12B1" w:rsidRPr="00EF4389" w:rsidRDefault="00FC12B1" w:rsidP="004D2AE2">
            <w:pPr>
              <w:spacing w:after="0"/>
              <w:jc w:val="center"/>
              <w:rPr>
                <w:rFonts w:eastAsia="Times New Roman" w:cs="Times New Roman"/>
                <w:color w:val="000000"/>
                <w:sz w:val="20"/>
                <w:szCs w:val="20"/>
                <w:lang w:eastAsia="es-MX"/>
              </w:rPr>
            </w:pPr>
          </w:p>
        </w:tc>
        <w:tc>
          <w:tcPr>
            <w:tcW w:w="6728" w:type="dxa"/>
            <w:tcBorders>
              <w:top w:val="nil"/>
              <w:left w:val="nil"/>
              <w:bottom w:val="nil"/>
              <w:right w:val="nil"/>
            </w:tcBorders>
            <w:shd w:val="clear" w:color="auto" w:fill="002060"/>
          </w:tcPr>
          <w:p w14:paraId="5F0E8EAA" w14:textId="77777777" w:rsidR="00FC12B1" w:rsidRPr="00113D6D" w:rsidRDefault="00FC12B1" w:rsidP="004D2AE2">
            <w:pPr>
              <w:spacing w:after="0"/>
              <w:ind w:left="2041" w:firstLine="57"/>
              <w:rPr>
                <w:rFonts w:eastAsia="Times New Roman" w:cs="Times New Roman"/>
                <w:b/>
                <w:color w:val="000000"/>
                <w:sz w:val="20"/>
                <w:szCs w:val="20"/>
                <w:lang w:eastAsia="es-MX"/>
              </w:rPr>
            </w:pPr>
            <w:r>
              <w:rPr>
                <w:b/>
                <w:sz w:val="20"/>
                <w:szCs w:val="20"/>
              </w:rPr>
              <w:t>W</w:t>
            </w:r>
          </w:p>
        </w:tc>
      </w:tr>
      <w:tr w:rsidR="0028465D" w:rsidRPr="00EF4389" w14:paraId="2D2DCF1B" w14:textId="77777777" w:rsidTr="00BE0179">
        <w:trPr>
          <w:cantSplit/>
          <w:trHeight w:val="170"/>
        </w:trPr>
        <w:tc>
          <w:tcPr>
            <w:tcW w:w="2212" w:type="dxa"/>
            <w:tcBorders>
              <w:top w:val="single" w:sz="4" w:space="0" w:color="auto"/>
              <w:left w:val="nil"/>
              <w:bottom w:val="single" w:sz="4" w:space="0" w:color="auto"/>
              <w:right w:val="nil"/>
            </w:tcBorders>
            <w:shd w:val="clear" w:color="auto" w:fill="auto"/>
          </w:tcPr>
          <w:p w14:paraId="73BD702E" w14:textId="77777777" w:rsidR="0028465D" w:rsidRPr="00EF4389" w:rsidRDefault="0028465D" w:rsidP="0028465D">
            <w:pPr>
              <w:pStyle w:val="Sinespaciado"/>
              <w:rPr>
                <w:rFonts w:ascii="ITC Avant Garde" w:hAnsi="ITC Avant Garde"/>
                <w:sz w:val="20"/>
                <w:szCs w:val="20"/>
              </w:rPr>
            </w:pPr>
            <w:r w:rsidRPr="00EF4389">
              <w:rPr>
                <w:rFonts w:ascii="ITC Avant Garde" w:hAnsi="ITC Avant Garde"/>
                <w:sz w:val="20"/>
                <w:szCs w:val="20"/>
              </w:rPr>
              <w:t>Wingu</w:t>
            </w:r>
          </w:p>
        </w:tc>
        <w:tc>
          <w:tcPr>
            <w:tcW w:w="0" w:type="auto"/>
            <w:tcBorders>
              <w:top w:val="single" w:sz="4" w:space="0" w:color="auto"/>
              <w:left w:val="nil"/>
              <w:bottom w:val="single" w:sz="4" w:space="0" w:color="auto"/>
              <w:right w:val="nil"/>
            </w:tcBorders>
            <w:shd w:val="clear" w:color="auto" w:fill="auto"/>
          </w:tcPr>
          <w:p w14:paraId="45857D89" w14:textId="77777777" w:rsidR="0028465D" w:rsidRPr="00EF4389" w:rsidRDefault="0028465D" w:rsidP="0028465D">
            <w:pPr>
              <w:spacing w:after="0"/>
              <w:jc w:val="both"/>
              <w:rPr>
                <w:sz w:val="20"/>
                <w:szCs w:val="20"/>
              </w:rPr>
            </w:pPr>
            <w:r w:rsidRPr="00EF4389">
              <w:rPr>
                <w:sz w:val="20"/>
                <w:szCs w:val="20"/>
              </w:rPr>
              <w:t>Wingu Networks, S.A. de C.V.</w:t>
            </w:r>
          </w:p>
        </w:tc>
      </w:tr>
    </w:tbl>
    <w:p w14:paraId="516F0C95" w14:textId="77777777" w:rsidR="00BC336F" w:rsidRPr="00C40B54" w:rsidRDefault="00BC336F" w:rsidP="00BB1C69">
      <w:pPr>
        <w:pStyle w:val="Ttulo1"/>
      </w:pPr>
      <w:bookmarkStart w:id="2" w:name="_Toc463624287"/>
      <w:r w:rsidRPr="00C40B54">
        <w:t>Antecedentes</w:t>
      </w:r>
      <w:bookmarkEnd w:id="2"/>
    </w:p>
    <w:p w14:paraId="2C429ECD" w14:textId="77777777" w:rsidR="00E55813" w:rsidRPr="00C40B54" w:rsidRDefault="00BC336F" w:rsidP="00BB46E0">
      <w:pPr>
        <w:pStyle w:val="Ttulo2"/>
        <w:keepNext w:val="0"/>
        <w:keepLines w:val="0"/>
        <w:numPr>
          <w:ilvl w:val="0"/>
          <w:numId w:val="0"/>
        </w:numPr>
        <w:spacing w:before="120" w:after="120"/>
        <w:jc w:val="both"/>
        <w:rPr>
          <w:rFonts w:eastAsia="Calibri" w:cs="Calibri"/>
        </w:rPr>
      </w:pPr>
      <w:bookmarkStart w:id="3" w:name="_Toc428872173"/>
      <w:bookmarkStart w:id="4" w:name="_Toc463624288"/>
      <w:r w:rsidRPr="00673243">
        <w:rPr>
          <w:rFonts w:eastAsia="Calibri" w:cs="Calibri"/>
          <w:smallCaps/>
        </w:rPr>
        <w:t>Primero.</w:t>
      </w:r>
      <w:r w:rsidRPr="00673243">
        <w:rPr>
          <w:rFonts w:eastAsia="Times New Roman" w:cs="Calibri"/>
          <w:bCs/>
          <w:smallCaps/>
          <w:lang w:eastAsia="es-ES"/>
        </w:rPr>
        <w:t xml:space="preserve">- </w:t>
      </w:r>
      <w:r w:rsidRPr="00C40B54">
        <w:rPr>
          <w:rFonts w:eastAsia="Calibri" w:cs="Calibri"/>
          <w:b w:val="0"/>
        </w:rPr>
        <w:t xml:space="preserve">Reforma </w:t>
      </w:r>
      <w:r w:rsidR="00BB46E0">
        <w:rPr>
          <w:rFonts w:eastAsia="Calibri" w:cs="Calibri"/>
          <w:b w:val="0"/>
        </w:rPr>
        <w:t>c</w:t>
      </w:r>
      <w:r w:rsidRPr="00C40B54">
        <w:rPr>
          <w:rFonts w:eastAsia="Calibri" w:cs="Calibri"/>
          <w:b w:val="0"/>
        </w:rPr>
        <w:t>onstitucional</w:t>
      </w:r>
    </w:p>
    <w:p w14:paraId="12D2DCD1" w14:textId="77777777" w:rsidR="00833B33" w:rsidRPr="00673243" w:rsidRDefault="00BC336F" w:rsidP="009B0A36">
      <w:pPr>
        <w:pStyle w:val="Prrafodelista"/>
        <w:numPr>
          <w:ilvl w:val="0"/>
          <w:numId w:val="13"/>
        </w:numPr>
        <w:spacing w:before="120" w:after="120" w:line="240" w:lineRule="auto"/>
        <w:contextualSpacing w:val="0"/>
        <w:jc w:val="both"/>
      </w:pPr>
      <w:r w:rsidRPr="00673243">
        <w:t>El once de junio de dos mil trece fue publicado</w:t>
      </w:r>
      <w:r w:rsidRPr="007F580B">
        <w:t xml:space="preserve"> </w:t>
      </w:r>
      <w:bookmarkStart w:id="5" w:name="_Toc428872174"/>
      <w:bookmarkEnd w:id="3"/>
      <w:r w:rsidR="00833B33" w:rsidRPr="007F580B">
        <w:t xml:space="preserve">en el DOF el </w:t>
      </w:r>
      <w:r w:rsidR="007F580B" w:rsidRPr="007F580B">
        <w:rPr>
          <w:rFonts w:eastAsia="Times New Roman" w:cs="Times New Roman"/>
          <w:i/>
          <w:color w:val="000000"/>
          <w:lang w:eastAsia="es-MX"/>
        </w:rPr>
        <w:t xml:space="preserve">Decreto por el que se reforman y adicionan diversas disposiciones de los artículos 6º, 7º, 27, 28, 73, 78, 94 </w:t>
      </w:r>
      <w:r w:rsidR="007F580B" w:rsidRPr="007F580B">
        <w:rPr>
          <w:rFonts w:eastAsia="Times New Roman" w:cs="Times New Roman"/>
          <w:i/>
          <w:color w:val="000000"/>
          <w:lang w:eastAsia="es-MX"/>
        </w:rPr>
        <w:lastRenderedPageBreak/>
        <w:t>y 105 de la Constitución Política de los Estados Unidos Mexicanos</w:t>
      </w:r>
      <w:r w:rsidR="00313EFE">
        <w:rPr>
          <w:rFonts w:eastAsia="Times New Roman" w:cs="Times New Roman"/>
          <w:i/>
          <w:color w:val="000000"/>
          <w:lang w:eastAsia="es-MX"/>
        </w:rPr>
        <w:t>, en materia de telecomunicaciones</w:t>
      </w:r>
      <w:r w:rsidR="007F580B" w:rsidRPr="007F580B">
        <w:rPr>
          <w:rFonts w:eastAsia="Times New Roman" w:cs="Times New Roman"/>
          <w:color w:val="000000"/>
          <w:lang w:eastAsia="es-MX"/>
        </w:rPr>
        <w:t xml:space="preserve">, </w:t>
      </w:r>
      <w:r w:rsidR="00114663">
        <w:t xml:space="preserve">mediante el cual se </w:t>
      </w:r>
      <w:r w:rsidR="00833B33" w:rsidRPr="00673243">
        <w:t>creó el Instituto Federal de Telecomunicaciones como un “</w:t>
      </w:r>
      <w:r w:rsidR="00833B33" w:rsidRPr="00B66476">
        <w:rPr>
          <w:i/>
        </w:rPr>
        <w:t>[…]</w:t>
      </w:r>
      <w:r w:rsidR="00833B33" w:rsidRPr="00673243">
        <w:t xml:space="preserve"> </w:t>
      </w:r>
      <w:r w:rsidR="00833B33" w:rsidRPr="00B66476">
        <w:rPr>
          <w:i/>
        </w:rPr>
        <w:t>órgano autónomo, con personalidad jurídica y patrimonio propio, que tiene por objeto el desarrollo eficiente de la radiodifusión y las telecomunicaciones, conforme a lo dispuesto en esta Constitución y en los términos que fijen las leyes</w:t>
      </w:r>
      <w:r w:rsidR="00833B33" w:rsidRPr="00673243">
        <w:t xml:space="preserve"> </w:t>
      </w:r>
      <w:r w:rsidR="00833B33" w:rsidRPr="00B66476">
        <w:rPr>
          <w:i/>
        </w:rPr>
        <w:t>[…]</w:t>
      </w:r>
      <w:r w:rsidR="00833B33" w:rsidRPr="00673243">
        <w:t>”. Asimismo, se estableció que el Instituto “</w:t>
      </w:r>
      <w:r w:rsidR="00833B33" w:rsidRPr="00B66476">
        <w:rPr>
          <w:i/>
        </w:rPr>
        <w:t>[…]</w:t>
      </w:r>
      <w:r w:rsidR="00833B33" w:rsidRPr="00673243">
        <w:t xml:space="preserve"> </w:t>
      </w:r>
      <w:r w:rsidR="00833B33" w:rsidRPr="00B66476">
        <w:rPr>
          <w:i/>
        </w:rPr>
        <w:t>será también autoridad en materia de competencia económica de los sectores de radiodifusión y telecomunicaciones, por lo que en éstos ejercerá en forma exclusiva las facultades que este artículo y las leyes establecen para la Comisión Federal de Competencia Económica […]</w:t>
      </w:r>
      <w:r w:rsidR="00833B33" w:rsidRPr="00673243">
        <w:t>”.</w:t>
      </w:r>
      <w:bookmarkEnd w:id="4"/>
    </w:p>
    <w:p w14:paraId="3E6DF633" w14:textId="77777777" w:rsidR="00E55813" w:rsidRDefault="00BC336F" w:rsidP="00C40B54">
      <w:pPr>
        <w:pStyle w:val="Ttulo2"/>
        <w:keepNext w:val="0"/>
        <w:keepLines w:val="0"/>
        <w:numPr>
          <w:ilvl w:val="0"/>
          <w:numId w:val="0"/>
        </w:numPr>
        <w:spacing w:before="120" w:after="120"/>
        <w:jc w:val="both"/>
        <w:rPr>
          <w:rFonts w:eastAsia="Times New Roman" w:cs="Calibri"/>
          <w:b w:val="0"/>
          <w:bCs/>
          <w:lang w:eastAsia="es-ES"/>
        </w:rPr>
      </w:pPr>
      <w:bookmarkStart w:id="6" w:name="_Toc463624289"/>
      <w:r w:rsidRPr="00673243">
        <w:rPr>
          <w:rFonts w:eastAsia="Calibri" w:cs="Calibri"/>
          <w:smallCaps/>
        </w:rPr>
        <w:t>Segundo.-</w:t>
      </w:r>
      <w:r w:rsidRPr="00673243">
        <w:rPr>
          <w:rFonts w:eastAsia="Times New Roman" w:cs="Calibri"/>
          <w:b w:val="0"/>
          <w:bCs/>
          <w:lang w:eastAsia="es-ES"/>
        </w:rPr>
        <w:t xml:space="preserve"> </w:t>
      </w:r>
      <w:r w:rsidRPr="00C40B54">
        <w:rPr>
          <w:rFonts w:eastAsia="Calibri" w:cs="Calibri"/>
          <w:b w:val="0"/>
        </w:rPr>
        <w:t xml:space="preserve">Normatividades aplicables en materia de </w:t>
      </w:r>
      <w:r w:rsidR="00D33340" w:rsidRPr="00C40B54">
        <w:rPr>
          <w:rFonts w:eastAsia="Calibri" w:cs="Calibri"/>
          <w:b w:val="0"/>
        </w:rPr>
        <w:t>c</w:t>
      </w:r>
      <w:r w:rsidRPr="00C40B54">
        <w:rPr>
          <w:rFonts w:eastAsia="Calibri" w:cs="Calibri"/>
          <w:b w:val="0"/>
        </w:rPr>
        <w:t xml:space="preserve">ompetencia </w:t>
      </w:r>
      <w:r w:rsidR="00D33340" w:rsidRPr="00C40B54">
        <w:rPr>
          <w:rFonts w:eastAsia="Calibri" w:cs="Calibri"/>
          <w:b w:val="0"/>
        </w:rPr>
        <w:t>e</w:t>
      </w:r>
      <w:r w:rsidRPr="00C40B54">
        <w:rPr>
          <w:rFonts w:eastAsia="Calibri" w:cs="Calibri"/>
          <w:b w:val="0"/>
        </w:rPr>
        <w:t>conómica, en el sector de telecomunicaciones y radiodifusión</w:t>
      </w:r>
    </w:p>
    <w:p w14:paraId="1B8AC5D1" w14:textId="77777777" w:rsidR="00BC336F" w:rsidRPr="00C40B54" w:rsidRDefault="00114663" w:rsidP="009B0A36">
      <w:pPr>
        <w:pStyle w:val="Prrafodelista"/>
        <w:numPr>
          <w:ilvl w:val="0"/>
          <w:numId w:val="13"/>
        </w:numPr>
        <w:spacing w:before="120" w:after="120" w:line="240" w:lineRule="auto"/>
        <w:contextualSpacing w:val="0"/>
        <w:jc w:val="both"/>
        <w:rPr>
          <w:rFonts w:eastAsia="Times New Roman" w:cs="Calibri"/>
          <w:b/>
          <w:bCs/>
          <w:lang w:eastAsia="es-ES"/>
        </w:rPr>
      </w:pPr>
      <w:r w:rsidRPr="00C40B54">
        <w:rPr>
          <w:rFonts w:eastAsia="Times New Roman" w:cs="Calibri"/>
          <w:bCs/>
          <w:lang w:eastAsia="es-ES"/>
        </w:rPr>
        <w:t>E</w:t>
      </w:r>
      <w:r w:rsidR="00BC336F" w:rsidRPr="00C40B54">
        <w:rPr>
          <w:rFonts w:eastAsia="Times New Roman" w:cs="Calibri"/>
          <w:bCs/>
          <w:lang w:eastAsia="es-ES"/>
        </w:rPr>
        <w:t xml:space="preserve">l veintitrés de mayo de dos mil catorce se publicó en el DOF la LFCE, cuyo artículo 5, párrafo </w:t>
      </w:r>
      <w:r w:rsidR="00BC336F" w:rsidRPr="00C40B54">
        <w:t>primero</w:t>
      </w:r>
      <w:r w:rsidR="00BC336F" w:rsidRPr="00C40B54">
        <w:rPr>
          <w:rFonts w:eastAsia="Times New Roman" w:cs="Calibri"/>
          <w:bCs/>
          <w:lang w:eastAsia="es-ES"/>
        </w:rPr>
        <w:t>, establece que el IFT es la autoridad en materia de competencia económica en el sector de telecomunicaciones y radiodifusión.</w:t>
      </w:r>
      <w:bookmarkEnd w:id="5"/>
      <w:bookmarkEnd w:id="6"/>
    </w:p>
    <w:p w14:paraId="35D39AC0" w14:textId="77777777" w:rsidR="00BC336F" w:rsidRPr="00673243" w:rsidRDefault="00313EFE" w:rsidP="009B0A36">
      <w:pPr>
        <w:pStyle w:val="Prrafodelista"/>
        <w:numPr>
          <w:ilvl w:val="0"/>
          <w:numId w:val="13"/>
        </w:numPr>
        <w:spacing w:before="120" w:after="120" w:line="240" w:lineRule="auto"/>
        <w:contextualSpacing w:val="0"/>
        <w:jc w:val="both"/>
        <w:rPr>
          <w:rFonts w:eastAsia="Times New Roman" w:cs="Calibri"/>
          <w:bCs/>
          <w:lang w:eastAsia="es-ES"/>
        </w:rPr>
      </w:pPr>
      <w:r>
        <w:rPr>
          <w:rFonts w:eastAsia="Times New Roman" w:cs="Calibri"/>
          <w:bCs/>
          <w:lang w:eastAsia="es-ES"/>
        </w:rPr>
        <w:t>E</w:t>
      </w:r>
      <w:r w:rsidR="00BC336F" w:rsidRPr="007F580B">
        <w:rPr>
          <w:rFonts w:eastAsia="Times New Roman" w:cs="Calibri"/>
          <w:bCs/>
          <w:lang w:eastAsia="es-ES"/>
        </w:rPr>
        <w:t>l</w:t>
      </w:r>
      <w:r w:rsidR="00BC336F" w:rsidRPr="00673243">
        <w:rPr>
          <w:rFonts w:eastAsia="Times New Roman" w:cs="Calibri"/>
          <w:bCs/>
          <w:lang w:eastAsia="es-ES"/>
        </w:rPr>
        <w:t xml:space="preserve"> catorce de julio de dos mil catorce se publicó en el DOF la LFTyR</w:t>
      </w:r>
      <w:r>
        <w:rPr>
          <w:rFonts w:eastAsia="Times New Roman" w:cs="Calibri"/>
          <w:bCs/>
          <w:lang w:eastAsia="es-ES"/>
        </w:rPr>
        <w:t>, cuyo artículo 7, párrafo tercero, establece que el IFT es la autoridad en materia de competencia económica de los sectores de radiodifusión y telecomunicaciones</w:t>
      </w:r>
      <w:r w:rsidR="00BC336F" w:rsidRPr="00673243">
        <w:rPr>
          <w:rFonts w:eastAsia="Times New Roman" w:cs="Calibri"/>
          <w:bCs/>
          <w:lang w:eastAsia="es-ES"/>
        </w:rPr>
        <w:t>.</w:t>
      </w:r>
    </w:p>
    <w:p w14:paraId="11E47798" w14:textId="77777777" w:rsidR="00E55813" w:rsidRDefault="00BC336F" w:rsidP="00C40B54">
      <w:pPr>
        <w:pStyle w:val="Ttulo2"/>
        <w:keepNext w:val="0"/>
        <w:keepLines w:val="0"/>
        <w:numPr>
          <w:ilvl w:val="0"/>
          <w:numId w:val="0"/>
        </w:numPr>
        <w:spacing w:before="120" w:after="120"/>
        <w:jc w:val="both"/>
        <w:rPr>
          <w:rFonts w:eastAsia="Calibri" w:cs="Calibri"/>
          <w:b w:val="0"/>
        </w:rPr>
      </w:pPr>
      <w:bookmarkStart w:id="7" w:name="_Toc428872175"/>
      <w:bookmarkStart w:id="8" w:name="_Toc463624290"/>
      <w:r w:rsidRPr="00673243">
        <w:rPr>
          <w:rFonts w:eastAsia="Calibri" w:cs="Calibri"/>
          <w:smallCaps/>
        </w:rPr>
        <w:t>Tercero</w:t>
      </w:r>
      <w:r w:rsidRPr="00673243">
        <w:rPr>
          <w:rFonts w:eastAsia="Calibri" w:cs="Calibri"/>
        </w:rPr>
        <w:t>.-</w:t>
      </w:r>
      <w:r w:rsidRPr="00673243">
        <w:rPr>
          <w:rFonts w:eastAsia="Calibri" w:cs="Calibri"/>
          <w:b w:val="0"/>
        </w:rPr>
        <w:t xml:space="preserve"> </w:t>
      </w:r>
      <w:r w:rsidRPr="00C40B54">
        <w:rPr>
          <w:rFonts w:eastAsia="Calibri" w:cs="Calibri"/>
          <w:b w:val="0"/>
        </w:rPr>
        <w:t>Artículo Noveno Transitorio</w:t>
      </w:r>
    </w:p>
    <w:p w14:paraId="04CCAC68" w14:textId="77777777" w:rsidR="00BC336F" w:rsidRPr="00C40B54" w:rsidRDefault="00DB0AF5" w:rsidP="009B0A36">
      <w:pPr>
        <w:pStyle w:val="Prrafodelista"/>
        <w:numPr>
          <w:ilvl w:val="0"/>
          <w:numId w:val="13"/>
        </w:numPr>
        <w:spacing w:before="120" w:after="120" w:line="240" w:lineRule="auto"/>
        <w:contextualSpacing w:val="0"/>
        <w:jc w:val="both"/>
        <w:rPr>
          <w:rFonts w:eastAsia="Calibri" w:cs="Calibri"/>
          <w:b/>
        </w:rPr>
      </w:pPr>
      <w:r w:rsidRPr="00B66476">
        <w:rPr>
          <w:rFonts w:eastAsia="Calibri" w:cs="Calibri"/>
        </w:rPr>
        <w:t>E</w:t>
      </w:r>
      <w:r w:rsidR="00BC336F" w:rsidRPr="00B66476">
        <w:rPr>
          <w:rFonts w:eastAsia="Calibri" w:cs="Calibri"/>
        </w:rPr>
        <w:t xml:space="preserve">l Artículo </w:t>
      </w:r>
      <w:r w:rsidR="00BC336F" w:rsidRPr="00C40B54">
        <w:rPr>
          <w:rFonts w:eastAsia="Times New Roman" w:cs="Calibri"/>
          <w:bCs/>
          <w:lang w:eastAsia="es-ES"/>
        </w:rPr>
        <w:t>Noveno</w:t>
      </w:r>
      <w:r w:rsidR="00BC336F" w:rsidRPr="007373FE">
        <w:rPr>
          <w:rFonts w:eastAsia="Calibri" w:cs="Calibri"/>
        </w:rPr>
        <w:t xml:space="preserve"> Transitorio del </w:t>
      </w:r>
      <w:r w:rsidR="007F580B" w:rsidRPr="007F580B">
        <w:rPr>
          <w:rFonts w:eastAsia="Calibri" w:cs="Calibri"/>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DOF el cato</w:t>
      </w:r>
      <w:r w:rsidR="007F580B">
        <w:rPr>
          <w:rFonts w:eastAsia="Calibri" w:cs="Calibri"/>
        </w:rPr>
        <w:t xml:space="preserve">rce de julio de dos mil catorce, </w:t>
      </w:r>
      <w:r w:rsidR="00BC336F" w:rsidRPr="007373FE">
        <w:rPr>
          <w:rFonts w:eastAsia="Calibri" w:cs="Calibri"/>
        </w:rPr>
        <w:t>dispone lo siguiente:</w:t>
      </w:r>
      <w:bookmarkEnd w:id="7"/>
      <w:bookmarkEnd w:id="8"/>
    </w:p>
    <w:p w14:paraId="3AFECF5F" w14:textId="77777777" w:rsidR="00BC336F" w:rsidRPr="00673243" w:rsidRDefault="00BC336F" w:rsidP="00673243">
      <w:pPr>
        <w:spacing w:before="120"/>
        <w:ind w:left="567" w:right="567"/>
        <w:jc w:val="both"/>
        <w:rPr>
          <w:rFonts w:eastAsia="Calibri" w:cs="Calibri"/>
          <w:i/>
          <w:sz w:val="20"/>
          <w:szCs w:val="20"/>
        </w:rPr>
      </w:pPr>
      <w:r w:rsidRPr="00673243">
        <w:rPr>
          <w:rFonts w:eastAsia="Calibri" w:cs="Calibri"/>
          <w:b/>
          <w:i/>
          <w:sz w:val="20"/>
          <w:szCs w:val="20"/>
        </w:rPr>
        <w:t>NOVENO.</w:t>
      </w:r>
      <w:r w:rsidRPr="00673243">
        <w:rPr>
          <w:rFonts w:eastAsia="Calibri" w:cs="Calibri"/>
          <w:i/>
          <w:sz w:val="20"/>
          <w:szCs w:val="20"/>
        </w:rPr>
        <w:t xml:space="preserve"> </w:t>
      </w:r>
      <w:r w:rsidRPr="00673243">
        <w:rPr>
          <w:rFonts w:eastAsia="Calibri" w:cs="Calibri"/>
          <w:b/>
          <w:i/>
          <w:sz w:val="20"/>
          <w:szCs w:val="20"/>
        </w:rPr>
        <w:t>En tanto exista un agente económico preponderante</w:t>
      </w:r>
      <w:r w:rsidRPr="00673243">
        <w:rPr>
          <w:rFonts w:eastAsia="Calibri" w:cs="Calibri"/>
          <w:i/>
          <w:sz w:val="20"/>
          <w:szCs w:val="20"/>
        </w:rPr>
        <w:t xml:space="preserve"> en los sectores de telecomunicaciones y radiodifusión, con el fin de promover la competencia y desarrollar competidores viables en el largo plazo, </w:t>
      </w:r>
      <w:r w:rsidRPr="00673243">
        <w:rPr>
          <w:rFonts w:eastAsia="Calibri" w:cs="Calibri"/>
          <w:b/>
          <w:i/>
          <w:sz w:val="20"/>
          <w:szCs w:val="20"/>
        </w:rPr>
        <w:t>no requerirán de autorización del Instituto Federal de Telecomunicaciones las concentraciones que se realicen entre agentes económicos</w:t>
      </w:r>
      <w:r w:rsidRPr="00673243">
        <w:rPr>
          <w:rFonts w:eastAsia="Calibri" w:cs="Calibri"/>
          <w:i/>
          <w:sz w:val="20"/>
          <w:szCs w:val="20"/>
        </w:rPr>
        <w:t xml:space="preserve"> </w:t>
      </w:r>
      <w:r w:rsidRPr="00673243">
        <w:rPr>
          <w:rFonts w:eastAsia="Calibri" w:cs="Calibri"/>
          <w:b/>
          <w:i/>
          <w:sz w:val="20"/>
          <w:szCs w:val="20"/>
        </w:rPr>
        <w:t>titulares de concesiones</w:t>
      </w:r>
      <w:r w:rsidRPr="00673243">
        <w:rPr>
          <w:rFonts w:eastAsia="Calibri" w:cs="Calibri"/>
          <w:i/>
          <w:sz w:val="20"/>
          <w:szCs w:val="20"/>
        </w:rPr>
        <w:t xml:space="preserve">, ni las cesiones de concesión y los cambios de control que deriven de éstas, </w:t>
      </w:r>
      <w:r w:rsidRPr="00673243">
        <w:rPr>
          <w:rFonts w:eastAsia="Calibri" w:cs="Calibri"/>
          <w:b/>
          <w:i/>
          <w:sz w:val="20"/>
          <w:szCs w:val="20"/>
        </w:rPr>
        <w:t>que reúnan los siguientes requisitos</w:t>
      </w:r>
      <w:r w:rsidRPr="00673243">
        <w:rPr>
          <w:rFonts w:eastAsia="Calibri" w:cs="Calibri"/>
          <w:i/>
          <w:sz w:val="20"/>
          <w:szCs w:val="20"/>
        </w:rPr>
        <w:t>:</w:t>
      </w:r>
    </w:p>
    <w:p w14:paraId="5C665530" w14:textId="77777777" w:rsidR="00BC336F" w:rsidRPr="00673243" w:rsidRDefault="00BC336F" w:rsidP="00673243">
      <w:pPr>
        <w:spacing w:before="120"/>
        <w:ind w:left="567" w:right="567"/>
        <w:jc w:val="both"/>
        <w:rPr>
          <w:rFonts w:eastAsia="Calibri" w:cs="Calibri"/>
          <w:i/>
          <w:sz w:val="20"/>
          <w:szCs w:val="20"/>
        </w:rPr>
      </w:pPr>
      <w:r w:rsidRPr="00673243">
        <w:rPr>
          <w:rFonts w:eastAsia="Calibri" w:cs="Calibri"/>
          <w:i/>
          <w:sz w:val="20"/>
          <w:szCs w:val="20"/>
        </w:rPr>
        <w:t>a.</w:t>
      </w:r>
      <w:r w:rsidRPr="00673243">
        <w:rPr>
          <w:rFonts w:eastAsia="Calibri" w:cs="Calibri"/>
          <w:i/>
          <w:sz w:val="20"/>
          <w:szCs w:val="20"/>
        </w:rPr>
        <w:tab/>
        <w:t>Generen una reducción sectorial del Índice de Dominancia “ID”, siempre que el índice Hirschman-Herfindahl “IHH” no se incremente en más de doscientos puntos;</w:t>
      </w:r>
    </w:p>
    <w:p w14:paraId="5CDEFEEF" w14:textId="77777777" w:rsidR="00BC336F" w:rsidRPr="00673243" w:rsidRDefault="00BC336F" w:rsidP="00673243">
      <w:pPr>
        <w:spacing w:before="120"/>
        <w:ind w:left="567" w:right="567"/>
        <w:jc w:val="both"/>
        <w:rPr>
          <w:rFonts w:eastAsia="Calibri" w:cs="Calibri"/>
          <w:i/>
          <w:sz w:val="20"/>
          <w:szCs w:val="20"/>
        </w:rPr>
      </w:pPr>
      <w:r w:rsidRPr="00673243">
        <w:rPr>
          <w:rFonts w:eastAsia="Calibri" w:cs="Calibri"/>
          <w:i/>
          <w:sz w:val="20"/>
          <w:szCs w:val="20"/>
        </w:rPr>
        <w:t>b.</w:t>
      </w:r>
      <w:r w:rsidRPr="00673243">
        <w:rPr>
          <w:rFonts w:eastAsia="Calibri" w:cs="Calibri"/>
          <w:i/>
          <w:sz w:val="20"/>
          <w:szCs w:val="20"/>
        </w:rPr>
        <w:tab/>
        <w:t>Tengan como resultado que el agente económico cuente con un porcentaje de participación sectorial menor al veinte por ciento;</w:t>
      </w:r>
    </w:p>
    <w:p w14:paraId="71E6F143" w14:textId="77777777" w:rsidR="00BC336F" w:rsidRPr="00673243" w:rsidRDefault="00BC336F" w:rsidP="00673243">
      <w:pPr>
        <w:spacing w:before="120"/>
        <w:ind w:left="567" w:right="567"/>
        <w:jc w:val="both"/>
        <w:rPr>
          <w:rFonts w:eastAsia="Calibri" w:cs="Calibri"/>
          <w:i/>
          <w:sz w:val="20"/>
          <w:szCs w:val="20"/>
        </w:rPr>
      </w:pPr>
      <w:r w:rsidRPr="00673243">
        <w:rPr>
          <w:rFonts w:eastAsia="Calibri" w:cs="Calibri"/>
          <w:i/>
          <w:sz w:val="20"/>
          <w:szCs w:val="20"/>
        </w:rPr>
        <w:t>c.</w:t>
      </w:r>
      <w:r w:rsidRPr="00673243">
        <w:rPr>
          <w:rFonts w:eastAsia="Calibri" w:cs="Calibri"/>
          <w:i/>
          <w:sz w:val="20"/>
          <w:szCs w:val="20"/>
        </w:rPr>
        <w:tab/>
        <w:t>Que en dicha concentración no participe el agente económico preponderante en el sector en el que se lleve a cabo la concentración, y</w:t>
      </w:r>
    </w:p>
    <w:p w14:paraId="43C27A65" w14:textId="77777777" w:rsidR="00BC336F" w:rsidRPr="00673243" w:rsidRDefault="00BC336F" w:rsidP="00673243">
      <w:pPr>
        <w:spacing w:before="120"/>
        <w:ind w:left="567" w:right="567"/>
        <w:jc w:val="both"/>
        <w:rPr>
          <w:rFonts w:eastAsia="Calibri" w:cs="Calibri"/>
          <w:i/>
          <w:sz w:val="20"/>
          <w:szCs w:val="20"/>
        </w:rPr>
      </w:pPr>
      <w:r w:rsidRPr="00673243">
        <w:rPr>
          <w:rFonts w:eastAsia="Calibri" w:cs="Calibri"/>
          <w:i/>
          <w:sz w:val="20"/>
          <w:szCs w:val="20"/>
        </w:rPr>
        <w:t>d.</w:t>
      </w:r>
      <w:r w:rsidRPr="00673243">
        <w:rPr>
          <w:rFonts w:eastAsia="Calibri" w:cs="Calibri"/>
          <w:i/>
          <w:sz w:val="20"/>
          <w:szCs w:val="20"/>
        </w:rPr>
        <w:tab/>
        <w:t>No tengan como efecto disminuir, dañar o impedir la libre competencia y concurrencia, en el sector que corresponda.</w:t>
      </w:r>
    </w:p>
    <w:p w14:paraId="16DE53A1" w14:textId="77777777" w:rsidR="00BC336F" w:rsidRPr="00673243" w:rsidRDefault="002078D5" w:rsidP="00673243">
      <w:pPr>
        <w:spacing w:before="120"/>
        <w:ind w:left="567" w:right="567"/>
        <w:jc w:val="both"/>
        <w:rPr>
          <w:rFonts w:eastAsia="Calibri" w:cs="Calibri"/>
          <w:i/>
          <w:sz w:val="20"/>
          <w:szCs w:val="20"/>
        </w:rPr>
      </w:pPr>
      <w:r w:rsidRPr="00673243">
        <w:rPr>
          <w:rFonts w:eastAsia="Calibri" w:cs="Calibri"/>
          <w:i/>
          <w:sz w:val="20"/>
          <w:szCs w:val="20"/>
        </w:rPr>
        <w:t>[…]</w:t>
      </w:r>
    </w:p>
    <w:p w14:paraId="6A3B0048" w14:textId="77777777" w:rsidR="00BC336F" w:rsidRPr="00673243" w:rsidRDefault="00BC336F" w:rsidP="00673243">
      <w:pPr>
        <w:spacing w:before="120"/>
        <w:ind w:left="567" w:right="567"/>
        <w:jc w:val="both"/>
        <w:rPr>
          <w:rFonts w:eastAsia="Calibri" w:cs="Calibri"/>
          <w:i/>
          <w:sz w:val="20"/>
          <w:szCs w:val="20"/>
        </w:rPr>
      </w:pPr>
      <w:r w:rsidRPr="00673243">
        <w:rPr>
          <w:rFonts w:eastAsia="Calibri" w:cs="Calibri"/>
          <w:b/>
          <w:i/>
          <w:sz w:val="20"/>
          <w:szCs w:val="20"/>
        </w:rPr>
        <w:lastRenderedPageBreak/>
        <w:t>Los agentes económicos deberán presentar al Instituto Federal de Telecomunicaciones</w:t>
      </w:r>
      <w:r w:rsidRPr="00673243">
        <w:rPr>
          <w:rFonts w:eastAsia="Calibri" w:cs="Calibri"/>
          <w:i/>
          <w:sz w:val="20"/>
          <w:szCs w:val="20"/>
        </w:rPr>
        <w:t xml:space="preserve">, dentro de los 10 días siguientes a la concentración, </w:t>
      </w:r>
      <w:r w:rsidRPr="00673243">
        <w:rPr>
          <w:rFonts w:eastAsia="Calibri" w:cs="Calibri"/>
          <w:b/>
          <w:i/>
          <w:sz w:val="20"/>
          <w:szCs w:val="20"/>
        </w:rPr>
        <w:t>un aviso por escrito que contendrá la información a que se refiere el artículo 89 de la Ley Federal de Competencia Económica</w:t>
      </w:r>
      <w:r w:rsidRPr="00673243">
        <w:rPr>
          <w:rFonts w:eastAsia="Calibri" w:cs="Calibri"/>
          <w:i/>
          <w:sz w:val="20"/>
          <w:szCs w:val="20"/>
        </w:rPr>
        <w:t xml:space="preserve"> referida al sector correspondiente así como los elementos de convicción que demuestren que la concentración cumple con los incisos anteriores.</w:t>
      </w:r>
    </w:p>
    <w:p w14:paraId="7486BE38" w14:textId="77777777" w:rsidR="00BC336F" w:rsidRPr="00673243" w:rsidRDefault="00BC336F" w:rsidP="00673243">
      <w:pPr>
        <w:spacing w:before="120"/>
        <w:ind w:left="567" w:right="567"/>
        <w:jc w:val="both"/>
        <w:rPr>
          <w:rFonts w:eastAsia="Calibri" w:cs="Calibri"/>
          <w:i/>
          <w:sz w:val="20"/>
          <w:szCs w:val="20"/>
        </w:rPr>
      </w:pPr>
      <w:r w:rsidRPr="00673243">
        <w:rPr>
          <w:rFonts w:eastAsia="Calibri" w:cs="Calibri"/>
          <w:b/>
          <w:i/>
          <w:sz w:val="20"/>
          <w:szCs w:val="20"/>
        </w:rPr>
        <w:t>El Instituto investigará dichas concentraciones en un plazo no mayor a noventa días naturales y en caso de encontrar que existe poder sustancial en el mercado de redes de telecomunicaciones que presten servicios de voz, datos o video o en el de radio y televisión según el sector que corresponda, podrá imponer las medidas necesarias para proteger y fomentar en dicho mercado la libre competencia y concurrencia</w:t>
      </w:r>
      <w:r w:rsidRPr="00673243">
        <w:rPr>
          <w:rFonts w:eastAsia="Calibri" w:cs="Calibri"/>
          <w:i/>
          <w:sz w:val="20"/>
          <w:szCs w:val="20"/>
        </w:rPr>
        <w:t>, de conformidad con lo dispuesto en la Ley Federal de Telecomunicaciones y Radiodifusión y la Ley Federal de Competencia Económica sin perjuicio de las concentraciones a que refiere el presente artículo.</w:t>
      </w:r>
    </w:p>
    <w:p w14:paraId="703C520B" w14:textId="77777777" w:rsidR="00BC336F" w:rsidRPr="00673243" w:rsidRDefault="00BC336F" w:rsidP="00673243">
      <w:pPr>
        <w:spacing w:before="120"/>
        <w:ind w:left="567" w:right="567"/>
        <w:jc w:val="both"/>
        <w:rPr>
          <w:rFonts w:eastAsia="Calibri" w:cs="Calibri"/>
          <w:sz w:val="20"/>
          <w:szCs w:val="20"/>
        </w:rPr>
      </w:pPr>
      <w:r w:rsidRPr="00673243">
        <w:rPr>
          <w:rFonts w:eastAsia="Calibri" w:cs="Calibri"/>
          <w:i/>
          <w:sz w:val="20"/>
          <w:szCs w:val="20"/>
        </w:rPr>
        <w:t xml:space="preserve">Las medidas que imponga el Instituto se extinguirán una vez que se autorice a los agentes económicos preponderantes la prestación de servicios adicionales. </w:t>
      </w:r>
      <w:r w:rsidRPr="00673243">
        <w:rPr>
          <w:rFonts w:eastAsia="Calibri" w:cs="Calibri"/>
          <w:sz w:val="20"/>
          <w:szCs w:val="20"/>
        </w:rPr>
        <w:t>(Énfasis añadido).</w:t>
      </w:r>
    </w:p>
    <w:p w14:paraId="552458D2" w14:textId="77777777" w:rsidR="00D33340" w:rsidRPr="00673243" w:rsidRDefault="00D33340" w:rsidP="009B0A36">
      <w:pPr>
        <w:pStyle w:val="Prrafodelista"/>
        <w:numPr>
          <w:ilvl w:val="0"/>
          <w:numId w:val="13"/>
        </w:numPr>
        <w:spacing w:before="120" w:after="120" w:line="240" w:lineRule="auto"/>
        <w:contextualSpacing w:val="0"/>
        <w:jc w:val="both"/>
      </w:pPr>
      <w:bookmarkStart w:id="9" w:name="_Toc428872176"/>
      <w:r w:rsidRPr="00673243">
        <w:t xml:space="preserve">Como se advierte de la </w:t>
      </w:r>
      <w:r w:rsidR="000F5E25" w:rsidRPr="00673243">
        <w:t xml:space="preserve">transcripción anterior, el </w:t>
      </w:r>
      <w:r w:rsidR="00347187" w:rsidRPr="00673243">
        <w:t>A</w:t>
      </w:r>
      <w:r w:rsidR="000F5E25" w:rsidRPr="00673243">
        <w:t xml:space="preserve">rtículo </w:t>
      </w:r>
      <w:r w:rsidR="00347187" w:rsidRPr="00673243">
        <w:t>N</w:t>
      </w:r>
      <w:r w:rsidR="000F5E25" w:rsidRPr="00673243">
        <w:t xml:space="preserve">oveno </w:t>
      </w:r>
      <w:r w:rsidR="00347187" w:rsidRPr="00673243">
        <w:t>T</w:t>
      </w:r>
      <w:r w:rsidR="000F5E25" w:rsidRPr="00673243">
        <w:t xml:space="preserve">ransitorio establece una excepción al procedimiento de notificación de concentración </w:t>
      </w:r>
      <w:r w:rsidR="000F5E25" w:rsidRPr="00C40B54">
        <w:rPr>
          <w:rFonts w:eastAsia="Calibri" w:cs="Calibri"/>
        </w:rPr>
        <w:t>establecido</w:t>
      </w:r>
      <w:r w:rsidR="000F5E25" w:rsidRPr="00673243">
        <w:t xml:space="preserve"> en </w:t>
      </w:r>
      <w:r w:rsidR="00347187" w:rsidRPr="00673243">
        <w:t xml:space="preserve">el artículo 86 de </w:t>
      </w:r>
      <w:r w:rsidR="000F5E25" w:rsidRPr="00673243">
        <w:t>la LFCE</w:t>
      </w:r>
      <w:r w:rsidR="001D3DA8" w:rsidRPr="00673243">
        <w:t xml:space="preserve"> y </w:t>
      </w:r>
      <w:r w:rsidR="00846F16" w:rsidRPr="00673243">
        <w:t>ref</w:t>
      </w:r>
      <w:r w:rsidR="00846F16">
        <w:t>erido en</w:t>
      </w:r>
      <w:r w:rsidR="00846F16" w:rsidRPr="00673243">
        <w:t xml:space="preserve"> </w:t>
      </w:r>
      <w:r w:rsidR="001D3DA8" w:rsidRPr="00673243">
        <w:t>el diverso 112, penúltimo párrafo, de la LFTyR</w:t>
      </w:r>
      <w:r w:rsidR="00E068C4" w:rsidRPr="00673243">
        <w:t>. T</w:t>
      </w:r>
      <w:r w:rsidR="00347187" w:rsidRPr="00673243">
        <w:t xml:space="preserve">al excepción </w:t>
      </w:r>
      <w:r w:rsidR="000F5E25" w:rsidRPr="00673243">
        <w:t>implica que no se requiere autorización previa del Instituto para que la transacción (</w:t>
      </w:r>
      <w:r w:rsidR="00E068C4" w:rsidRPr="00673243">
        <w:t xml:space="preserve">concentración) pueda realizarse; </w:t>
      </w:r>
      <w:r w:rsidR="000E3A53">
        <w:t xml:space="preserve">siempre y cuando se cumplan </w:t>
      </w:r>
      <w:r w:rsidR="000F5E25" w:rsidRPr="00673243">
        <w:t>los requisitos establecidos en los incisos a</w:t>
      </w:r>
      <w:r w:rsidR="00347187" w:rsidRPr="00673243">
        <w:t>.</w:t>
      </w:r>
      <w:r w:rsidR="000F5E25" w:rsidRPr="00673243">
        <w:t xml:space="preserve"> al d</w:t>
      </w:r>
      <w:r w:rsidR="00347187" w:rsidRPr="00673243">
        <w:t>.</w:t>
      </w:r>
      <w:r w:rsidR="000F5E25" w:rsidRPr="00673243">
        <w:t xml:space="preserve"> del primer párrafo del </w:t>
      </w:r>
      <w:r w:rsidR="00347187" w:rsidRPr="00673243">
        <w:t>Artículo Noveno Transitorio.</w:t>
      </w:r>
      <w:r w:rsidR="000F5E25" w:rsidRPr="00673243">
        <w:t xml:space="preserve"> </w:t>
      </w:r>
      <w:r w:rsidR="00347187" w:rsidRPr="00673243">
        <w:t xml:space="preserve">Posteriormente, se </w:t>
      </w:r>
      <w:r w:rsidR="000F5E25" w:rsidRPr="00673243">
        <w:t xml:space="preserve">deberá investigar </w:t>
      </w:r>
      <w:r w:rsidR="00347187" w:rsidRPr="00673243">
        <w:t>si la concentración genera poder sustancial en el mercado de redes de telecomunicaciones que presten servicios de voz, datos o video o en el de radio y televisión, según el sector que corresponda.</w:t>
      </w:r>
    </w:p>
    <w:p w14:paraId="6E704E9F" w14:textId="77777777" w:rsidR="00E55813" w:rsidRDefault="00A66919" w:rsidP="00C40B54">
      <w:pPr>
        <w:pStyle w:val="Ttulo2"/>
        <w:keepNext w:val="0"/>
        <w:keepLines w:val="0"/>
        <w:numPr>
          <w:ilvl w:val="0"/>
          <w:numId w:val="0"/>
        </w:numPr>
        <w:spacing w:before="120" w:after="120"/>
        <w:jc w:val="both"/>
        <w:rPr>
          <w:rFonts w:eastAsia="Calibri" w:cs="Calibri"/>
          <w:b w:val="0"/>
        </w:rPr>
      </w:pPr>
      <w:bookmarkStart w:id="10" w:name="_Toc463624291"/>
      <w:r w:rsidRPr="00673243">
        <w:rPr>
          <w:rFonts w:eastAsia="Calibri" w:cs="Calibri"/>
          <w:smallCaps/>
        </w:rPr>
        <w:t>Cuarto</w:t>
      </w:r>
      <w:r w:rsidR="00BC336F" w:rsidRPr="00673243">
        <w:rPr>
          <w:rFonts w:eastAsia="Calibri" w:cs="Calibri"/>
          <w:smallCaps/>
        </w:rPr>
        <w:t>.</w:t>
      </w:r>
      <w:r w:rsidR="00BC336F" w:rsidRPr="00673243">
        <w:rPr>
          <w:rFonts w:eastAsia="Calibri" w:cs="Calibri"/>
        </w:rPr>
        <w:t xml:space="preserve">- </w:t>
      </w:r>
      <w:r w:rsidR="00BC336F" w:rsidRPr="00C40B54">
        <w:rPr>
          <w:rFonts w:eastAsia="Calibri" w:cs="Calibri"/>
          <w:b w:val="0"/>
        </w:rPr>
        <w:t>Resolución de preponderancia en el sector de telecomunicaciones</w:t>
      </w:r>
    </w:p>
    <w:p w14:paraId="65851DE6" w14:textId="77777777" w:rsidR="00BC336F" w:rsidRPr="00C40B54" w:rsidRDefault="00BC336F" w:rsidP="009B0A36">
      <w:pPr>
        <w:pStyle w:val="Prrafodelista"/>
        <w:numPr>
          <w:ilvl w:val="0"/>
          <w:numId w:val="13"/>
        </w:numPr>
        <w:spacing w:before="120" w:after="120" w:line="240" w:lineRule="auto"/>
        <w:contextualSpacing w:val="0"/>
        <w:jc w:val="both"/>
        <w:rPr>
          <w:rFonts w:eastAsia="Calibri" w:cs="Calibri"/>
          <w:b/>
        </w:rPr>
      </w:pPr>
      <w:r w:rsidRPr="00B66476">
        <w:rPr>
          <w:rFonts w:eastAsia="Calibri" w:cs="Calibri"/>
        </w:rPr>
        <w:t xml:space="preserve">Mediante resolución aprobada el seis de marzo de dos mil catorce, el Pleno del Instituto determinó que el Grupo de Interés Económico conformado por América Móvil, S.A.B. de C.V.; Teléfonos de México, S.A.B. de C.V.; Teléfonos del Noroeste, S.A. de C.V.; Radiomóvil Dipsa, S.A.B. de C.V.; Grupo Carso, S.A.B. de C.V. y Grupo Financiero </w:t>
      </w:r>
      <w:r w:rsidRPr="00C40B54">
        <w:t>Inbursa</w:t>
      </w:r>
      <w:r w:rsidRPr="007373FE">
        <w:rPr>
          <w:rFonts w:eastAsia="Calibri" w:cs="Calibri"/>
        </w:rPr>
        <w:t>, S.A.B. de C.V., constituye un agente económico preponderante en el sector de telecomunicaciones.</w:t>
      </w:r>
      <w:bookmarkEnd w:id="9"/>
      <w:bookmarkEnd w:id="10"/>
    </w:p>
    <w:p w14:paraId="3ED8EF60" w14:textId="77777777" w:rsidR="00BC336F" w:rsidRPr="00673243" w:rsidRDefault="00EE2895" w:rsidP="009B0A36">
      <w:pPr>
        <w:pStyle w:val="Prrafodelista"/>
        <w:numPr>
          <w:ilvl w:val="0"/>
          <w:numId w:val="13"/>
        </w:numPr>
        <w:spacing w:before="120" w:after="120" w:line="240" w:lineRule="auto"/>
        <w:contextualSpacing w:val="0"/>
        <w:jc w:val="both"/>
        <w:rPr>
          <w:rFonts w:eastAsia="Calibri" w:cs="Calibri"/>
        </w:rPr>
      </w:pPr>
      <w:r w:rsidRPr="00EE2895">
        <w:rPr>
          <w:rFonts w:eastAsia="Calibri" w:cs="Calibri"/>
        </w:rPr>
        <w:t xml:space="preserve"> </w:t>
      </w:r>
      <w:r w:rsidRPr="007373FE">
        <w:rPr>
          <w:rFonts w:eastAsia="Calibri" w:cs="Calibri"/>
        </w:rPr>
        <w:t>En consecuencia, el Pleno también resolvió imponer a dicho agente económico un conjunto de medidas para evitar que se afecte la competencia y la libre concurrencia, así como para permitir la desagregación efectiva de la red local fija.</w:t>
      </w:r>
      <w:r w:rsidRPr="007373FE">
        <w:rPr>
          <w:rStyle w:val="Refdenotaalpie"/>
          <w:rFonts w:eastAsia="Calibri" w:cs="Calibri"/>
        </w:rPr>
        <w:footnoteReference w:id="1"/>
      </w:r>
    </w:p>
    <w:p w14:paraId="23640227" w14:textId="77777777" w:rsidR="00E55813" w:rsidRDefault="00BC336F" w:rsidP="00C40B54">
      <w:pPr>
        <w:pStyle w:val="Ttulo2"/>
        <w:keepNext w:val="0"/>
        <w:keepLines w:val="0"/>
        <w:numPr>
          <w:ilvl w:val="0"/>
          <w:numId w:val="0"/>
        </w:numPr>
        <w:spacing w:before="120" w:after="120"/>
        <w:jc w:val="both"/>
        <w:rPr>
          <w:rFonts w:eastAsia="Calibri" w:cs="Calibri"/>
          <w:b w:val="0"/>
        </w:rPr>
      </w:pPr>
      <w:bookmarkStart w:id="11" w:name="_Toc428872177"/>
      <w:bookmarkStart w:id="12" w:name="_Toc463624292"/>
      <w:r w:rsidRPr="00673243">
        <w:rPr>
          <w:rFonts w:eastAsia="Calibri" w:cs="Calibri"/>
          <w:smallCaps/>
        </w:rPr>
        <w:t>Quinto.-</w:t>
      </w:r>
      <w:r w:rsidR="006B2D82" w:rsidRPr="00673243">
        <w:rPr>
          <w:rFonts w:eastAsia="Calibri" w:cs="Calibri"/>
          <w:b w:val="0"/>
          <w:i/>
        </w:rPr>
        <w:t xml:space="preserve"> </w:t>
      </w:r>
      <w:r w:rsidR="006B2D82" w:rsidRPr="00C40B54">
        <w:rPr>
          <w:rFonts w:eastAsia="Calibri" w:cs="Calibri"/>
          <w:b w:val="0"/>
        </w:rPr>
        <w:t>Aviso de C</w:t>
      </w:r>
      <w:r w:rsidRPr="00C40B54">
        <w:rPr>
          <w:rFonts w:eastAsia="Calibri" w:cs="Calibri"/>
          <w:b w:val="0"/>
        </w:rPr>
        <w:t>oncentración</w:t>
      </w:r>
      <w:bookmarkEnd w:id="11"/>
    </w:p>
    <w:p w14:paraId="4EB3688F" w14:textId="77777777" w:rsidR="00BC336F" w:rsidRPr="005104B1" w:rsidRDefault="00833B33" w:rsidP="009B0A36">
      <w:pPr>
        <w:pStyle w:val="Prrafodelista"/>
        <w:numPr>
          <w:ilvl w:val="0"/>
          <w:numId w:val="13"/>
        </w:numPr>
        <w:spacing w:before="120" w:after="120" w:line="240" w:lineRule="auto"/>
        <w:contextualSpacing w:val="0"/>
        <w:jc w:val="both"/>
        <w:rPr>
          <w:rFonts w:eastAsia="Calibri" w:cs="Calibri"/>
          <w:b/>
        </w:rPr>
      </w:pPr>
      <w:r w:rsidRPr="00B66476">
        <w:rPr>
          <w:rFonts w:eastAsia="Calibri" w:cs="Calibri"/>
        </w:rPr>
        <w:t xml:space="preserve">Con fecha </w:t>
      </w:r>
      <w:r w:rsidR="007B3A05" w:rsidRPr="00B66476">
        <w:rPr>
          <w:rFonts w:eastAsia="Calibri" w:cs="Calibri"/>
        </w:rPr>
        <w:t>cuatro de diciembre de dos mil diecisiete</w:t>
      </w:r>
      <w:r w:rsidRPr="00B66476">
        <w:rPr>
          <w:rFonts w:eastAsia="Calibri" w:cs="Calibri"/>
        </w:rPr>
        <w:t xml:space="preserve">, los representantes legales de </w:t>
      </w:r>
      <w:r w:rsidR="00184679" w:rsidRPr="00B66476">
        <w:rPr>
          <w:rFonts w:eastAsia="Calibri" w:cs="Calibri"/>
        </w:rPr>
        <w:t xml:space="preserve">KIO, Wingu, Metro Net, CFCA Telecomm, Telco, ATC MexHold y ATC HFM </w:t>
      </w:r>
      <w:r w:rsidRPr="00F82243">
        <w:rPr>
          <w:rFonts w:eastAsia="Calibri" w:cs="Calibri"/>
        </w:rPr>
        <w:lastRenderedPageBreak/>
        <w:t>presentaron ante la Oficia</w:t>
      </w:r>
      <w:r w:rsidR="006B2D82" w:rsidRPr="00F82243">
        <w:rPr>
          <w:rFonts w:eastAsia="Calibri" w:cs="Calibri"/>
        </w:rPr>
        <w:t>lía de Partes del Instituto un Aviso de C</w:t>
      </w:r>
      <w:r w:rsidRPr="00495D84">
        <w:rPr>
          <w:rFonts w:eastAsia="Calibri" w:cs="Calibri"/>
        </w:rPr>
        <w:t>oncentración</w:t>
      </w:r>
      <w:r w:rsidR="005E115B" w:rsidRPr="007373FE">
        <w:rPr>
          <w:rFonts w:eastAsia="Calibri" w:cs="Calibri"/>
        </w:rPr>
        <w:t>,</w:t>
      </w:r>
      <w:r w:rsidRPr="007373FE">
        <w:rPr>
          <w:rStyle w:val="Refdenotaalpie"/>
          <w:rFonts w:eastAsia="Calibri" w:cs="Calibri"/>
        </w:rPr>
        <w:footnoteReference w:id="2"/>
      </w:r>
      <w:r w:rsidR="000414E6" w:rsidRPr="007373FE">
        <w:rPr>
          <w:rFonts w:eastAsia="Calibri" w:cs="Calibri"/>
        </w:rPr>
        <w:t xml:space="preserve"> </w:t>
      </w:r>
      <w:r w:rsidRPr="007373FE">
        <w:rPr>
          <w:rFonts w:eastAsia="Calibri" w:cs="Calibri"/>
        </w:rPr>
        <w:t>conforme al Artículo Noveno Transitorio, respecto de la</w:t>
      </w:r>
      <w:r w:rsidR="00541D10" w:rsidRPr="007373FE">
        <w:rPr>
          <w:rFonts w:eastAsia="Calibri" w:cs="Calibri"/>
        </w:rPr>
        <w:t xml:space="preserve"> adquisición</w:t>
      </w:r>
      <w:r w:rsidR="005E115B" w:rsidRPr="007373FE">
        <w:rPr>
          <w:rFonts w:eastAsia="Calibri" w:cs="Calibri"/>
        </w:rPr>
        <w:t>,</w:t>
      </w:r>
      <w:r w:rsidR="00541D10" w:rsidRPr="007373FE">
        <w:rPr>
          <w:rFonts w:eastAsia="Calibri" w:cs="Calibri"/>
        </w:rPr>
        <w:t xml:space="preserve"> directa e indirecta, por </w:t>
      </w:r>
      <w:r w:rsidR="00FA68E9" w:rsidRPr="007373FE">
        <w:rPr>
          <w:rFonts w:eastAsia="Calibri" w:cs="Calibri"/>
        </w:rPr>
        <w:t xml:space="preserve">ATC MexHold y ATC </w:t>
      </w:r>
      <w:r w:rsidR="005E115B" w:rsidRPr="007373FE">
        <w:rPr>
          <w:rFonts w:eastAsia="Calibri" w:cs="Calibri"/>
        </w:rPr>
        <w:t>HFM</w:t>
      </w:r>
      <w:r w:rsidR="00541D10" w:rsidRPr="007373FE">
        <w:rPr>
          <w:rFonts w:eastAsia="Calibri" w:cs="Calibri"/>
        </w:rPr>
        <w:t xml:space="preserve">, de </w:t>
      </w:r>
      <w:r w:rsidR="005C2327" w:rsidRPr="00A829B9">
        <w:rPr>
          <w:b/>
          <w:bCs/>
          <w:color w:val="0000CC"/>
        </w:rPr>
        <w:t>“CONFIDENCIAL POR LEY”</w:t>
      </w:r>
      <w:r w:rsidR="00541D10" w:rsidRPr="007373FE">
        <w:rPr>
          <w:rFonts w:eastAsia="Calibri" w:cs="Calibri"/>
        </w:rPr>
        <w:t xml:space="preserve"> las acciones </w:t>
      </w:r>
      <w:r w:rsidR="00FA68E9" w:rsidRPr="007373FE">
        <w:rPr>
          <w:rFonts w:eastAsia="Calibri" w:cs="Calibri"/>
        </w:rPr>
        <w:t>representativas</w:t>
      </w:r>
      <w:r w:rsidR="00541D10" w:rsidRPr="007373FE">
        <w:rPr>
          <w:rFonts w:eastAsia="Calibri" w:cs="Calibri"/>
        </w:rPr>
        <w:t xml:space="preserve"> del capital social de </w:t>
      </w:r>
      <w:r w:rsidR="00FA68E9" w:rsidRPr="007373FE">
        <w:rPr>
          <w:rFonts w:eastAsia="Calibri" w:cs="Calibri"/>
        </w:rPr>
        <w:t xml:space="preserve">CFCA Telecomm y </w:t>
      </w:r>
      <w:r w:rsidR="005E115B" w:rsidRPr="007373FE">
        <w:rPr>
          <w:rFonts w:eastAsia="Calibri" w:cs="Calibri"/>
        </w:rPr>
        <w:t>Telco</w:t>
      </w:r>
      <w:r w:rsidR="00FA68E9" w:rsidRPr="007373FE">
        <w:rPr>
          <w:rFonts w:eastAsia="Calibri" w:cs="Calibri"/>
        </w:rPr>
        <w:t xml:space="preserve">. </w:t>
      </w:r>
      <w:r w:rsidR="000414E6" w:rsidRPr="007373FE">
        <w:rPr>
          <w:rFonts w:eastAsia="Calibri" w:cs="Calibri"/>
        </w:rPr>
        <w:t xml:space="preserve">De conformidad con </w:t>
      </w:r>
      <w:r w:rsidR="00541D10" w:rsidRPr="007373FE">
        <w:rPr>
          <w:rFonts w:eastAsia="Calibri" w:cs="Calibri"/>
        </w:rPr>
        <w:t xml:space="preserve">las condiciones suspensivas del </w:t>
      </w:r>
      <w:r w:rsidR="0042548C" w:rsidRPr="007373FE">
        <w:rPr>
          <w:rFonts w:eastAsia="Calibri" w:cs="Calibri"/>
        </w:rPr>
        <w:t>Contrato</w:t>
      </w:r>
      <w:r w:rsidR="00541D10" w:rsidRPr="007373FE">
        <w:rPr>
          <w:rFonts w:eastAsia="Calibri" w:cs="Calibri"/>
        </w:rPr>
        <w:t xml:space="preserve"> de </w:t>
      </w:r>
      <w:r w:rsidR="001C7F0D" w:rsidRPr="007373FE">
        <w:rPr>
          <w:rFonts w:eastAsia="Calibri" w:cs="Calibri"/>
        </w:rPr>
        <w:t>c</w:t>
      </w:r>
      <w:r w:rsidR="00541D10" w:rsidRPr="007373FE">
        <w:rPr>
          <w:rFonts w:eastAsia="Calibri" w:cs="Calibri"/>
        </w:rPr>
        <w:t xml:space="preserve">ompraventa de </w:t>
      </w:r>
      <w:r w:rsidR="001C7F0D" w:rsidRPr="007373FE">
        <w:rPr>
          <w:rFonts w:eastAsia="Calibri" w:cs="Calibri"/>
        </w:rPr>
        <w:t>a</w:t>
      </w:r>
      <w:r w:rsidR="00541D10" w:rsidRPr="007373FE">
        <w:rPr>
          <w:rFonts w:eastAsia="Calibri" w:cs="Calibri"/>
        </w:rPr>
        <w:t>cciones</w:t>
      </w:r>
      <w:r w:rsidR="000414E6" w:rsidRPr="007373FE">
        <w:rPr>
          <w:rFonts w:eastAsia="Calibri" w:cs="Calibri"/>
        </w:rPr>
        <w:t>,</w:t>
      </w:r>
      <w:r w:rsidR="000414E6" w:rsidRPr="007373FE">
        <w:rPr>
          <w:rStyle w:val="Refdenotaalpie"/>
          <w:rFonts w:eastAsia="Calibri" w:cs="Calibri"/>
        </w:rPr>
        <w:footnoteReference w:id="3"/>
      </w:r>
      <w:r w:rsidR="000414E6" w:rsidRPr="007373FE">
        <w:rPr>
          <w:rFonts w:eastAsia="Calibri" w:cs="Calibri"/>
        </w:rPr>
        <w:t xml:space="preserve"> </w:t>
      </w:r>
      <w:r w:rsidRPr="007373FE">
        <w:rPr>
          <w:rFonts w:eastAsia="Calibri" w:cs="Calibri"/>
        </w:rPr>
        <w:t xml:space="preserve">la concentración </w:t>
      </w:r>
      <w:r w:rsidRPr="00B66476">
        <w:rPr>
          <w:rFonts w:eastAsia="Times New Roman" w:cs="Arial"/>
        </w:rPr>
        <w:t xml:space="preserve">surtió efectos plenos el </w:t>
      </w:r>
      <w:r w:rsidR="00541D10" w:rsidRPr="00B66476">
        <w:rPr>
          <w:rFonts w:eastAsia="Times New Roman" w:cs="Arial"/>
        </w:rPr>
        <w:t>diecisiete de noviembre de dos mil diecisiete</w:t>
      </w:r>
      <w:r w:rsidRPr="00F82243">
        <w:rPr>
          <w:rFonts w:eastAsia="Calibri" w:cs="Calibri"/>
        </w:rPr>
        <w:t>.</w:t>
      </w:r>
      <w:r w:rsidR="000414E6" w:rsidRPr="00F82243">
        <w:rPr>
          <w:rStyle w:val="Refdenotaalpie"/>
          <w:rFonts w:eastAsia="Calibri" w:cs="Calibri"/>
        </w:rPr>
        <w:footnoteReference w:id="4"/>
      </w:r>
      <w:r w:rsidRPr="00495D84">
        <w:rPr>
          <w:rFonts w:eastAsia="Calibri" w:cs="Calibri"/>
        </w:rPr>
        <w:t xml:space="preserve"> </w:t>
      </w:r>
      <w:r w:rsidR="009A11AB" w:rsidRPr="007373FE">
        <w:rPr>
          <w:rFonts w:eastAsia="Calibri" w:cs="Calibri"/>
        </w:rPr>
        <w:t xml:space="preserve">El </w:t>
      </w:r>
      <w:r w:rsidR="001B2793" w:rsidRPr="007373FE">
        <w:rPr>
          <w:rFonts w:eastAsia="Calibri" w:cs="Calibri"/>
        </w:rPr>
        <w:t>aviso fue radicado bajo el e</w:t>
      </w:r>
      <w:r w:rsidRPr="007373FE">
        <w:rPr>
          <w:rFonts w:eastAsia="Calibri" w:cs="Calibri"/>
        </w:rPr>
        <w:t>xpediente número UCE/AVC-001-201</w:t>
      </w:r>
      <w:r w:rsidR="007B3A05" w:rsidRPr="007373FE">
        <w:rPr>
          <w:rFonts w:eastAsia="Calibri" w:cs="Calibri"/>
        </w:rPr>
        <w:t>7</w:t>
      </w:r>
      <w:r w:rsidRPr="007373FE">
        <w:rPr>
          <w:rFonts w:eastAsia="Calibri" w:cs="Calibri"/>
        </w:rPr>
        <w:t xml:space="preserve"> de la </w:t>
      </w:r>
      <w:r w:rsidR="001B2793" w:rsidRPr="007373FE">
        <w:rPr>
          <w:rFonts w:eastAsia="Calibri" w:cs="Calibri"/>
        </w:rPr>
        <w:t>UCE</w:t>
      </w:r>
      <w:r w:rsidRPr="007373FE">
        <w:rPr>
          <w:rFonts w:eastAsia="Calibri" w:cs="Calibri"/>
        </w:rPr>
        <w:t xml:space="preserve"> de</w:t>
      </w:r>
      <w:r w:rsidR="001C7F0D" w:rsidRPr="007373FE">
        <w:rPr>
          <w:rFonts w:eastAsia="Calibri" w:cs="Calibri"/>
        </w:rPr>
        <w:t>l</w:t>
      </w:r>
      <w:r w:rsidRPr="007373FE">
        <w:rPr>
          <w:rFonts w:eastAsia="Calibri" w:cs="Calibri"/>
        </w:rPr>
        <w:t xml:space="preserve"> Instituto.</w:t>
      </w:r>
      <w:bookmarkEnd w:id="12"/>
    </w:p>
    <w:p w14:paraId="53BF2059" w14:textId="77777777" w:rsidR="00E55813" w:rsidRPr="00C40B54" w:rsidRDefault="00BC336F" w:rsidP="00827973">
      <w:pPr>
        <w:pStyle w:val="Ttulo2"/>
        <w:numPr>
          <w:ilvl w:val="0"/>
          <w:numId w:val="0"/>
        </w:numPr>
        <w:spacing w:before="120" w:after="120"/>
        <w:jc w:val="both"/>
        <w:rPr>
          <w:rFonts w:eastAsia="Calibri" w:cs="Calibri"/>
          <w:b w:val="0"/>
        </w:rPr>
      </w:pPr>
      <w:bookmarkStart w:id="13" w:name="_Toc428872178"/>
      <w:bookmarkStart w:id="14" w:name="_Toc463624293"/>
      <w:r w:rsidRPr="00673243">
        <w:rPr>
          <w:rFonts w:eastAsia="Calibri" w:cs="Calibri"/>
          <w:smallCaps/>
        </w:rPr>
        <w:t>Sexto.-</w:t>
      </w:r>
      <w:bookmarkEnd w:id="13"/>
      <w:r w:rsidR="000414E6" w:rsidRPr="00673243">
        <w:rPr>
          <w:rFonts w:eastAsia="Calibri" w:cs="Calibri"/>
          <w:b w:val="0"/>
          <w:i/>
        </w:rPr>
        <w:t xml:space="preserve"> </w:t>
      </w:r>
      <w:r w:rsidR="000414E6" w:rsidRPr="00C40B54">
        <w:rPr>
          <w:rFonts w:eastAsia="Calibri" w:cs="Calibri"/>
          <w:b w:val="0"/>
        </w:rPr>
        <w:t>Resolución del Pleno</w:t>
      </w:r>
    </w:p>
    <w:p w14:paraId="6648CD79" w14:textId="77777777" w:rsidR="00BC336F" w:rsidRPr="00C40B54" w:rsidRDefault="000414E6" w:rsidP="009B0A36">
      <w:pPr>
        <w:pStyle w:val="Prrafodelista"/>
        <w:keepNext/>
        <w:keepLines/>
        <w:numPr>
          <w:ilvl w:val="0"/>
          <w:numId w:val="13"/>
        </w:numPr>
        <w:spacing w:before="120" w:after="120" w:line="240" w:lineRule="auto"/>
        <w:contextualSpacing w:val="0"/>
        <w:jc w:val="both"/>
        <w:rPr>
          <w:rFonts w:eastAsia="Calibri" w:cs="Calibri"/>
          <w:b/>
        </w:rPr>
      </w:pPr>
      <w:r w:rsidRPr="00B66476">
        <w:rPr>
          <w:rFonts w:eastAsia="Calibri" w:cs="Calibri"/>
        </w:rPr>
        <w:t>Mediante acuerdo P/IFT/</w:t>
      </w:r>
      <w:r w:rsidR="00803893" w:rsidRPr="00B66476">
        <w:rPr>
          <w:rFonts w:eastAsia="Calibri" w:cs="Calibri"/>
        </w:rPr>
        <w:t>100418/245</w:t>
      </w:r>
      <w:r w:rsidRPr="00B66476">
        <w:rPr>
          <w:rFonts w:eastAsia="Calibri" w:cs="Calibri"/>
        </w:rPr>
        <w:t xml:space="preserve"> de fecha </w:t>
      </w:r>
      <w:r w:rsidR="00803893" w:rsidRPr="00B66476">
        <w:rPr>
          <w:rFonts w:eastAsia="Calibri" w:cs="Calibri"/>
        </w:rPr>
        <w:t>diez de abril de dos mil dieciocho</w:t>
      </w:r>
      <w:r w:rsidRPr="00B66476">
        <w:rPr>
          <w:rFonts w:eastAsia="Calibri" w:cs="Calibri"/>
        </w:rPr>
        <w:t>, el Pleno del Instituto resolvió que la concentración señalada en el numeral anterior cumplió</w:t>
      </w:r>
      <w:r w:rsidRPr="00F82243">
        <w:rPr>
          <w:rFonts w:eastAsia="Calibri" w:cs="Calibri"/>
        </w:rPr>
        <w:t xml:space="preserve"> con los requisitos establecidos en los incisos </w:t>
      </w:r>
      <w:r w:rsidR="009E7D5E" w:rsidRPr="00F82243">
        <w:rPr>
          <w:rFonts w:eastAsia="Calibri" w:cs="Calibri"/>
        </w:rPr>
        <w:t>a. al d.</w:t>
      </w:r>
      <w:r w:rsidRPr="00495D84">
        <w:rPr>
          <w:rFonts w:eastAsia="Calibri" w:cs="Calibri"/>
        </w:rPr>
        <w:t xml:space="preserve"> del primer párrafo del Artículo Noveno Transi</w:t>
      </w:r>
      <w:r w:rsidRPr="007373FE">
        <w:rPr>
          <w:rFonts w:eastAsia="Calibri" w:cs="Calibri"/>
        </w:rPr>
        <w:t>torio. Asimismo, se dio vista a la AI del Instituto para los efectos legales que correspondieran.</w:t>
      </w:r>
      <w:bookmarkEnd w:id="14"/>
    </w:p>
    <w:p w14:paraId="11FF7E51" w14:textId="77777777" w:rsidR="00E55813" w:rsidRPr="00C40B54" w:rsidRDefault="00BC336F" w:rsidP="00C40B54">
      <w:pPr>
        <w:pStyle w:val="Ttulo2"/>
        <w:keepNext w:val="0"/>
        <w:keepLines w:val="0"/>
        <w:numPr>
          <w:ilvl w:val="0"/>
          <w:numId w:val="0"/>
        </w:numPr>
        <w:spacing w:before="120" w:after="120"/>
        <w:jc w:val="both"/>
        <w:rPr>
          <w:rFonts w:eastAsia="Calibri" w:cs="Calibri"/>
          <w:b w:val="0"/>
          <w:i/>
        </w:rPr>
      </w:pPr>
      <w:bookmarkStart w:id="15" w:name="_Toc428872179"/>
      <w:bookmarkStart w:id="16" w:name="_Toc463624294"/>
      <w:r w:rsidRPr="00673243">
        <w:rPr>
          <w:rFonts w:eastAsia="Calibri" w:cs="Calibri"/>
          <w:smallCaps/>
        </w:rPr>
        <w:t>Séptimo</w:t>
      </w:r>
      <w:r w:rsidRPr="0079593A">
        <w:rPr>
          <w:rFonts w:eastAsia="Calibri" w:cs="Calibri"/>
          <w:smallCaps/>
        </w:rPr>
        <w:t>.-</w:t>
      </w:r>
      <w:r w:rsidR="00446EC4">
        <w:rPr>
          <w:rFonts w:eastAsia="Calibri" w:cs="Calibri"/>
          <w:smallCaps/>
        </w:rPr>
        <w:t xml:space="preserve"> </w:t>
      </w:r>
      <w:r w:rsidRPr="00C40B54">
        <w:rPr>
          <w:rFonts w:eastAsia="Calibri" w:cs="Calibri"/>
          <w:b w:val="0"/>
        </w:rPr>
        <w:t>Acuerdo de inicio</w:t>
      </w:r>
    </w:p>
    <w:p w14:paraId="119D975C" w14:textId="77777777" w:rsidR="00BC336F" w:rsidRPr="00C40B54" w:rsidRDefault="000313B3" w:rsidP="009B0A36">
      <w:pPr>
        <w:pStyle w:val="Prrafodelista"/>
        <w:numPr>
          <w:ilvl w:val="0"/>
          <w:numId w:val="13"/>
        </w:numPr>
        <w:spacing w:before="120" w:after="120" w:line="240" w:lineRule="auto"/>
        <w:contextualSpacing w:val="0"/>
        <w:jc w:val="both"/>
        <w:rPr>
          <w:rFonts w:eastAsia="Calibri" w:cs="Calibri"/>
          <w:b/>
          <w:i/>
        </w:rPr>
      </w:pPr>
      <w:r w:rsidRPr="00B66476">
        <w:rPr>
          <w:rFonts w:eastAsia="Calibri" w:cs="Calibri"/>
        </w:rPr>
        <w:t>E</w:t>
      </w:r>
      <w:r w:rsidRPr="00B66476">
        <w:rPr>
          <w:rFonts w:eastAsia="Times New Roman" w:cs="Calibri"/>
          <w:bCs/>
          <w:lang w:eastAsia="es-ES"/>
        </w:rPr>
        <w:t xml:space="preserve">l </w:t>
      </w:r>
      <w:r w:rsidR="00803893" w:rsidRPr="00B66476">
        <w:rPr>
          <w:rFonts w:eastAsia="Times New Roman" w:cs="Calibri"/>
          <w:bCs/>
          <w:lang w:eastAsia="es-ES"/>
        </w:rPr>
        <w:t>dieciséis de abril de dos mil dieciocho</w:t>
      </w:r>
      <w:r w:rsidRPr="00B66476">
        <w:rPr>
          <w:rFonts w:eastAsia="Times New Roman" w:cs="Calibri"/>
          <w:bCs/>
          <w:lang w:eastAsia="es-ES"/>
        </w:rPr>
        <w:t xml:space="preserve">, </w:t>
      </w:r>
      <w:r w:rsidR="00803893" w:rsidRPr="00B66476">
        <w:rPr>
          <w:rFonts w:eastAsia="Calibri" w:cs="Calibri"/>
        </w:rPr>
        <w:t>la</w:t>
      </w:r>
      <w:r w:rsidR="00BC336F" w:rsidRPr="00B66476">
        <w:rPr>
          <w:rFonts w:eastAsia="Calibri" w:cs="Calibri"/>
        </w:rPr>
        <w:t xml:space="preserve"> </w:t>
      </w:r>
      <w:r w:rsidR="00C3771E" w:rsidRPr="00B66476">
        <w:rPr>
          <w:rFonts w:eastAsia="Calibri" w:cs="Calibri"/>
        </w:rPr>
        <w:t>T</w:t>
      </w:r>
      <w:r w:rsidR="00BC336F" w:rsidRPr="00B66476">
        <w:rPr>
          <w:rFonts w:eastAsia="Calibri" w:cs="Calibri"/>
        </w:rPr>
        <w:t xml:space="preserve">itular de la AI emitió el </w:t>
      </w:r>
      <w:r w:rsidR="0000083C" w:rsidRPr="00B66476">
        <w:rPr>
          <w:rFonts w:eastAsia="Calibri" w:cs="Calibri"/>
        </w:rPr>
        <w:t>a</w:t>
      </w:r>
      <w:r w:rsidR="00FA1C4C" w:rsidRPr="00B66476">
        <w:rPr>
          <w:rFonts w:eastAsia="Calibri" w:cs="Calibri"/>
        </w:rPr>
        <w:t xml:space="preserve">cuerdo por el cual </w:t>
      </w:r>
      <w:r w:rsidR="001B6667" w:rsidRPr="00F82243">
        <w:rPr>
          <w:rFonts w:eastAsia="Calibri" w:cs="Calibri"/>
        </w:rPr>
        <w:t>se</w:t>
      </w:r>
      <w:r w:rsidR="00FA1C4C" w:rsidRPr="00F82243">
        <w:rPr>
          <w:rFonts w:eastAsia="Calibri" w:cs="Calibri"/>
        </w:rPr>
        <w:t xml:space="preserve"> inici</w:t>
      </w:r>
      <w:r w:rsidR="007E2A94" w:rsidRPr="00495D84">
        <w:rPr>
          <w:rFonts w:eastAsia="Calibri" w:cs="Calibri"/>
        </w:rPr>
        <w:t>ó</w:t>
      </w:r>
      <w:r w:rsidR="00FA1C4C" w:rsidRPr="007373FE">
        <w:rPr>
          <w:rFonts w:eastAsia="Calibri" w:cs="Calibri"/>
        </w:rPr>
        <w:t xml:space="preserve"> </w:t>
      </w:r>
      <w:r w:rsidR="00803893" w:rsidRPr="007373FE">
        <w:rPr>
          <w:rFonts w:eastAsia="Calibri" w:cs="Calibri"/>
        </w:rPr>
        <w:t xml:space="preserve">de oficio </w:t>
      </w:r>
      <w:r w:rsidR="00FA1C4C" w:rsidRPr="007373FE">
        <w:rPr>
          <w:rFonts w:eastAsia="Calibri" w:cs="Calibri"/>
        </w:rPr>
        <w:t xml:space="preserve">el procedimiento </w:t>
      </w:r>
      <w:r w:rsidR="00803893" w:rsidRPr="007373FE">
        <w:rPr>
          <w:rFonts w:eastAsia="Calibri" w:cs="Calibri"/>
        </w:rPr>
        <w:t xml:space="preserve">de investigación para </w:t>
      </w:r>
      <w:r w:rsidR="00FA1C4C" w:rsidRPr="007373FE">
        <w:rPr>
          <w:rFonts w:eastAsia="Calibri" w:cs="Calibri"/>
        </w:rPr>
        <w:t xml:space="preserve">determinar la probable existencia de agentes económicos con poder sustancial en el o los mercados de redes de telecomunicaciones que presten servicios de voz, datos o video, a nivel nacional, estatal, regional y/o local, </w:t>
      </w:r>
      <w:r w:rsidR="007E2A94" w:rsidRPr="007373FE">
        <w:rPr>
          <w:rFonts w:eastAsia="Calibri" w:cs="Calibri"/>
        </w:rPr>
        <w:t xml:space="preserve">el cual fue </w:t>
      </w:r>
      <w:r w:rsidR="00FA1C4C" w:rsidRPr="007373FE">
        <w:rPr>
          <w:rFonts w:eastAsia="Calibri" w:cs="Calibri"/>
        </w:rPr>
        <w:t>radicado bajo expediente AI/DC-00</w:t>
      </w:r>
      <w:r w:rsidR="00803893" w:rsidRPr="007373FE">
        <w:rPr>
          <w:rFonts w:eastAsia="Calibri" w:cs="Calibri"/>
        </w:rPr>
        <w:t>3</w:t>
      </w:r>
      <w:r w:rsidR="00FA1C4C" w:rsidRPr="007373FE">
        <w:rPr>
          <w:rFonts w:eastAsia="Calibri" w:cs="Calibri"/>
        </w:rPr>
        <w:t>-201</w:t>
      </w:r>
      <w:r w:rsidR="00803893" w:rsidRPr="007373FE">
        <w:rPr>
          <w:rFonts w:eastAsia="Calibri" w:cs="Calibri"/>
        </w:rPr>
        <w:t>8</w:t>
      </w:r>
      <w:r w:rsidR="00BC336F" w:rsidRPr="007373FE">
        <w:rPr>
          <w:rFonts w:eastAsia="Calibri" w:cs="Calibri"/>
        </w:rPr>
        <w:t>.</w:t>
      </w:r>
      <w:r w:rsidR="00BC336F" w:rsidRPr="007373FE">
        <w:rPr>
          <w:rFonts w:eastAsia="Calibri" w:cs="Calibri"/>
          <w:vertAlign w:val="superscript"/>
        </w:rPr>
        <w:footnoteReference w:id="5"/>
      </w:r>
      <w:bookmarkEnd w:id="15"/>
      <w:bookmarkEnd w:id="16"/>
    </w:p>
    <w:p w14:paraId="65C46528" w14:textId="77777777" w:rsidR="00E55813" w:rsidRPr="00C40B54" w:rsidRDefault="00BC336F" w:rsidP="00C40B54">
      <w:pPr>
        <w:pStyle w:val="Ttulo2"/>
        <w:keepNext w:val="0"/>
        <w:keepLines w:val="0"/>
        <w:numPr>
          <w:ilvl w:val="0"/>
          <w:numId w:val="0"/>
        </w:numPr>
        <w:spacing w:before="120" w:after="120"/>
        <w:jc w:val="both"/>
        <w:rPr>
          <w:rFonts w:eastAsia="Calibri" w:cs="Calibri"/>
          <w:b w:val="0"/>
        </w:rPr>
      </w:pPr>
      <w:bookmarkStart w:id="17" w:name="_Toc428872180"/>
      <w:bookmarkStart w:id="18" w:name="_Toc463624295"/>
      <w:r w:rsidRPr="00673243">
        <w:rPr>
          <w:rFonts w:eastAsia="Calibri" w:cs="Calibri"/>
          <w:smallCaps/>
        </w:rPr>
        <w:t>Octavo</w:t>
      </w:r>
      <w:r w:rsidRPr="00673243">
        <w:rPr>
          <w:rFonts w:eastAsia="Times New Roman" w:cs="Calibri"/>
          <w:bCs/>
          <w:lang w:eastAsia="es-ES"/>
        </w:rPr>
        <w:t>.-</w:t>
      </w:r>
      <w:r w:rsidRPr="00673243">
        <w:rPr>
          <w:rFonts w:eastAsia="Times New Roman" w:cs="Calibri"/>
          <w:b w:val="0"/>
          <w:bCs/>
          <w:lang w:eastAsia="es-ES"/>
        </w:rPr>
        <w:t xml:space="preserve"> </w:t>
      </w:r>
      <w:r w:rsidRPr="00C40B54">
        <w:rPr>
          <w:rFonts w:eastAsia="Times New Roman" w:cs="Calibri"/>
          <w:b w:val="0"/>
          <w:bCs/>
          <w:lang w:eastAsia="es-ES"/>
        </w:rPr>
        <w:t xml:space="preserve">Publicación del </w:t>
      </w:r>
      <w:r w:rsidR="002C2E12" w:rsidRPr="00C40B54">
        <w:rPr>
          <w:rFonts w:eastAsia="Times New Roman" w:cs="Calibri"/>
          <w:b w:val="0"/>
          <w:bCs/>
          <w:lang w:eastAsia="es-ES"/>
        </w:rPr>
        <w:t>e</w:t>
      </w:r>
      <w:r w:rsidRPr="00C40B54">
        <w:rPr>
          <w:rFonts w:eastAsia="Times New Roman" w:cs="Calibri"/>
          <w:b w:val="0"/>
          <w:bCs/>
          <w:lang w:eastAsia="es-ES"/>
        </w:rPr>
        <w:t xml:space="preserve">xtracto del </w:t>
      </w:r>
      <w:r w:rsidR="002C2E12" w:rsidRPr="00C40B54">
        <w:rPr>
          <w:rFonts w:eastAsia="Times New Roman" w:cs="Calibri"/>
          <w:b w:val="0"/>
          <w:bCs/>
          <w:lang w:eastAsia="es-ES"/>
        </w:rPr>
        <w:t>a</w:t>
      </w:r>
      <w:r w:rsidRPr="00C40B54">
        <w:rPr>
          <w:rFonts w:eastAsia="Times New Roman" w:cs="Calibri"/>
          <w:b w:val="0"/>
          <w:bCs/>
          <w:lang w:eastAsia="es-ES"/>
        </w:rPr>
        <w:t xml:space="preserve">cuerdo de </w:t>
      </w:r>
      <w:r w:rsidR="002C2E12" w:rsidRPr="00C40B54">
        <w:rPr>
          <w:rFonts w:eastAsia="Times New Roman" w:cs="Calibri"/>
          <w:b w:val="0"/>
          <w:bCs/>
          <w:lang w:eastAsia="es-ES"/>
        </w:rPr>
        <w:t>i</w:t>
      </w:r>
      <w:r w:rsidRPr="00C40B54">
        <w:rPr>
          <w:rFonts w:eastAsia="Times New Roman" w:cs="Calibri"/>
          <w:b w:val="0"/>
          <w:bCs/>
          <w:lang w:eastAsia="es-ES"/>
        </w:rPr>
        <w:t>nicio en el DOF</w:t>
      </w:r>
    </w:p>
    <w:p w14:paraId="3A69AD56" w14:textId="77777777" w:rsidR="00BC336F" w:rsidRPr="00B66476" w:rsidRDefault="00BC336F" w:rsidP="009B0A36">
      <w:pPr>
        <w:pStyle w:val="Prrafodelista"/>
        <w:numPr>
          <w:ilvl w:val="0"/>
          <w:numId w:val="13"/>
        </w:numPr>
        <w:spacing w:before="120" w:after="120" w:line="240" w:lineRule="auto"/>
        <w:contextualSpacing w:val="0"/>
        <w:jc w:val="both"/>
        <w:rPr>
          <w:rFonts w:eastAsia="Calibri" w:cs="Calibri"/>
        </w:rPr>
      </w:pPr>
      <w:r w:rsidRPr="00B66476">
        <w:rPr>
          <w:rFonts w:eastAsia="Calibri" w:cs="Calibri"/>
        </w:rPr>
        <w:t>Por lo anterior y en cumplimiento a lo dispuesto en el artículo 96, fracción III, de la LFCE, el</w:t>
      </w:r>
      <w:r w:rsidR="00071EA6" w:rsidRPr="00B66476">
        <w:rPr>
          <w:rFonts w:eastAsia="Calibri" w:cs="Calibri"/>
        </w:rPr>
        <w:t xml:space="preserve"> </w:t>
      </w:r>
      <w:r w:rsidR="00AC672E" w:rsidRPr="00B66476">
        <w:rPr>
          <w:rFonts w:eastAsia="Calibri" w:cs="Calibri"/>
        </w:rPr>
        <w:t>veinticuatro de abril de dos mil dieciocho</w:t>
      </w:r>
      <w:r w:rsidRPr="00B66476">
        <w:rPr>
          <w:rFonts w:eastAsia="Calibri" w:cs="Calibri"/>
        </w:rPr>
        <w:t xml:space="preserve"> fue publicado en el DOF el </w:t>
      </w:r>
      <w:r w:rsidR="00130BD0" w:rsidRPr="00B66476">
        <w:rPr>
          <w:rFonts w:eastAsia="Calibri" w:cs="Calibri"/>
        </w:rPr>
        <w:t>e</w:t>
      </w:r>
      <w:r w:rsidRPr="00B66476">
        <w:rPr>
          <w:rFonts w:eastAsia="Calibri" w:cs="Calibri"/>
        </w:rPr>
        <w:t xml:space="preserve">xtracto del </w:t>
      </w:r>
      <w:r w:rsidR="00BB46E0">
        <w:rPr>
          <w:rFonts w:eastAsia="Calibri" w:cs="Calibri"/>
        </w:rPr>
        <w:t>a</w:t>
      </w:r>
      <w:r w:rsidR="00FA1C4C" w:rsidRPr="00B66476">
        <w:rPr>
          <w:rFonts w:eastAsia="Calibri" w:cs="Calibri"/>
        </w:rPr>
        <w:t>cuerdo</w:t>
      </w:r>
      <w:r w:rsidR="00130BD0" w:rsidRPr="00B66476">
        <w:rPr>
          <w:rFonts w:eastAsia="Calibri" w:cs="Calibri"/>
        </w:rPr>
        <w:t xml:space="preserve"> de inicio</w:t>
      </w:r>
      <w:r w:rsidR="00FA1C4C" w:rsidRPr="00B66476">
        <w:rPr>
          <w:rFonts w:eastAsia="Calibri" w:cs="Calibri"/>
        </w:rPr>
        <w:t xml:space="preserve"> </w:t>
      </w:r>
      <w:r w:rsidR="00130BD0" w:rsidRPr="00B66476">
        <w:rPr>
          <w:rFonts w:eastAsia="Calibri" w:cs="Calibri"/>
        </w:rPr>
        <w:t>referido en el numeral previo</w:t>
      </w:r>
      <w:r w:rsidRPr="00B66476">
        <w:rPr>
          <w:rFonts w:eastAsia="Calibri" w:cs="Calibri"/>
          <w:i/>
        </w:rPr>
        <w:t>,</w:t>
      </w:r>
      <w:r w:rsidRPr="00B66476">
        <w:rPr>
          <w:rFonts w:eastAsia="Calibri" w:cs="Calibri"/>
        </w:rPr>
        <w:t xml:space="preserve"> mismo que precisa lo siguiente:</w:t>
      </w:r>
      <w:bookmarkEnd w:id="17"/>
      <w:bookmarkEnd w:id="18"/>
    </w:p>
    <w:p w14:paraId="032B951C" w14:textId="77777777" w:rsidR="00AC672E" w:rsidRPr="00673243" w:rsidRDefault="00AC672E" w:rsidP="00673243">
      <w:pPr>
        <w:pStyle w:val="Texto"/>
        <w:spacing w:before="120" w:after="120" w:line="240" w:lineRule="auto"/>
        <w:ind w:left="567" w:right="566" w:firstLine="0"/>
        <w:rPr>
          <w:rFonts w:ascii="ITC Avant Garde" w:hAnsi="ITC Avant Garde"/>
          <w:b/>
          <w:i/>
          <w:sz w:val="20"/>
        </w:rPr>
      </w:pPr>
      <w:bookmarkStart w:id="19" w:name="_Toc428872181"/>
      <w:r w:rsidRPr="00673243">
        <w:rPr>
          <w:rFonts w:ascii="ITC Avant Garde" w:hAnsi="ITC Avant Garde"/>
          <w:b/>
          <w:i/>
          <w:sz w:val="20"/>
        </w:rPr>
        <w:t>EXTRACTO DEL ACUERDO POR EL CUAL LA AUTORIDAD INVESTIGADORA DEL INSTITUTO FEDERAL DE TELECOMUNICACIONES INICIA DE OFICIO EL PROCEDIMIENTO DE INVESTIGACIÓN PARA DETERMINAR LA PROBABLE EXISTENCIA DE AGENTES ECONÓMICOS CON PODER SUSTANCIAL EN EL O LOS MERCADOS DE REDES DE TELECOMUNICACIONES QUE PRESTEN SERVICIOS DE VOZ, DATOS O VIDEO, A NIVEL NACIONAL, ESTATAL, REGIONAL Y/O LOCAL, RADICADO BAJO EL NÚMERO DE EXPEDIENTE AI/DC-003-2018.</w:t>
      </w:r>
    </w:p>
    <w:p w14:paraId="3A0416FC" w14:textId="77777777" w:rsidR="00AC672E" w:rsidRPr="00673243" w:rsidRDefault="00AC672E" w:rsidP="00673243">
      <w:pPr>
        <w:pStyle w:val="Texto"/>
        <w:spacing w:before="120" w:after="120" w:line="240" w:lineRule="auto"/>
        <w:ind w:left="567" w:right="566" w:firstLine="0"/>
        <w:rPr>
          <w:rFonts w:ascii="ITC Avant Garde" w:hAnsi="ITC Avant Garde"/>
          <w:i/>
          <w:sz w:val="20"/>
        </w:rPr>
      </w:pPr>
      <w:r w:rsidRPr="00673243">
        <w:rPr>
          <w:rFonts w:ascii="ITC Avant Garde" w:hAnsi="ITC Avant Garde"/>
          <w:b/>
          <w:i/>
          <w:sz w:val="20"/>
        </w:rPr>
        <w:t>I. Inicio de investigación y mercado investigado.</w:t>
      </w:r>
      <w:r w:rsidRPr="00673243">
        <w:rPr>
          <w:rFonts w:ascii="ITC Avant Garde" w:hAnsi="ITC Avant Garde"/>
          <w:i/>
          <w:sz w:val="20"/>
        </w:rPr>
        <w:t xml:space="preserve"> De conformidad con lo establecido en el acuerdo emitido por la Autoridad Investigadora del Instituto Federal de Telecomunicaciones el dieciséis de abril de dos mil dieciocho, se inicia de oficio el procedimiento de investigación con el fin de determinar la probable existencia de agentes económicos con poder sustancial en el o los </w:t>
      </w:r>
      <w:r w:rsidRPr="00673243">
        <w:rPr>
          <w:rFonts w:ascii="ITC Avant Garde" w:hAnsi="ITC Avant Garde"/>
          <w:b/>
          <w:i/>
          <w:sz w:val="20"/>
        </w:rPr>
        <w:t xml:space="preserve">MERCADOS DE REDES DE TELECOMUNICACIONES QUE PRESTEN SERVICIOS DE VOZ, </w:t>
      </w:r>
      <w:r w:rsidRPr="00673243">
        <w:rPr>
          <w:rFonts w:ascii="ITC Avant Garde" w:hAnsi="ITC Avant Garde"/>
          <w:b/>
          <w:i/>
          <w:sz w:val="20"/>
        </w:rPr>
        <w:lastRenderedPageBreak/>
        <w:t>DATOS O VIDEO, A NIVEL NACIONAL, ESTATAL, REGIONAL Y/O LOCAL</w:t>
      </w:r>
      <w:r w:rsidRPr="00673243">
        <w:rPr>
          <w:rFonts w:ascii="ITC Avant Garde" w:hAnsi="ITC Avant Garde"/>
          <w:i/>
          <w:sz w:val="20"/>
        </w:rPr>
        <w:t>, con fundamento en los artículos 12, fracciones I y XI, 28, fracciones VIII y XI, 96, fracción III, y 117, párrafo tercero, de la Ley Federal de Competencia Económica, publicada en el Diario Oficial de la Federación (DOF) el veintitrés de mayo de dos mil catorce; 28, fracción V, de la Ley Federal de Telecomunicaciones y Radiodifusión, publicada en el DOF el catorce de julio de dos mil catorce;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DOF el catorce de julio de dos mil catorce (Artículo Noveno Transitorio); 4, fracciones VI y IX, inciso xxviii, 62, fracciones IX, XVIII, XXIX, XXXII y XLVII, y 65, fracción III, del Estatuto Orgánico del Instituto Federal de Telecomunicaciones, publicado en el DOF el cuatro de septiembre de dos mil catorce; así como 56, 165, fracción II, y 167 de las Disposiciones Regulatorias de la Ley Federal de Competencia Económica para los sectores de telecomunicaciones y radiodifusión, publicadas en el DOF el doce de enero de dos mil quince.</w:t>
      </w:r>
    </w:p>
    <w:p w14:paraId="49F283C9" w14:textId="77777777" w:rsidR="00AC672E" w:rsidRPr="00673243" w:rsidRDefault="00AC672E" w:rsidP="00673243">
      <w:pPr>
        <w:pStyle w:val="Texto"/>
        <w:spacing w:before="120" w:after="120" w:line="240" w:lineRule="auto"/>
        <w:ind w:left="567" w:right="566" w:firstLine="0"/>
        <w:rPr>
          <w:rFonts w:ascii="ITC Avant Garde" w:hAnsi="ITC Avant Garde"/>
          <w:i/>
          <w:sz w:val="20"/>
        </w:rPr>
      </w:pPr>
      <w:r w:rsidRPr="00673243">
        <w:rPr>
          <w:rFonts w:ascii="ITC Avant Garde" w:hAnsi="ITC Avant Garde"/>
          <w:i/>
          <w:sz w:val="20"/>
        </w:rPr>
        <w:t>El presente procedimiento no prejuzga sobre la existencia de poder sustancial por parte de agente económico alguno; se inicia en estricto cumplimiento a lo ordenado por el párrafo quinto del Artículo Noveno Transitorio, y conforme lo previsto por el artículo 96 de la Ley Federal de Competencia Económica.</w:t>
      </w:r>
    </w:p>
    <w:p w14:paraId="77B69660" w14:textId="77777777" w:rsidR="00AC672E" w:rsidRPr="00673243" w:rsidRDefault="00AC672E" w:rsidP="00673243">
      <w:pPr>
        <w:pStyle w:val="Texto"/>
        <w:spacing w:before="120" w:after="120" w:line="240" w:lineRule="auto"/>
        <w:ind w:left="567" w:right="566" w:firstLine="0"/>
        <w:rPr>
          <w:rFonts w:ascii="ITC Avant Garde" w:hAnsi="ITC Avant Garde"/>
          <w:i/>
          <w:sz w:val="20"/>
        </w:rPr>
      </w:pPr>
      <w:r w:rsidRPr="00673243">
        <w:rPr>
          <w:rFonts w:ascii="ITC Avant Garde" w:hAnsi="ITC Avant Garde"/>
          <w:b/>
          <w:i/>
          <w:sz w:val="20"/>
        </w:rPr>
        <w:t>II. Periodo de investigación.</w:t>
      </w:r>
      <w:r w:rsidRPr="00673243">
        <w:rPr>
          <w:rFonts w:ascii="ITC Avant Garde" w:hAnsi="ITC Avant Garde"/>
          <w:i/>
          <w:sz w:val="20"/>
        </w:rPr>
        <w:t xml:space="preserve"> El párrafo quinto del Artículo Noveno Transitorio establece que el Instituto Federal de Telecomunicaciones investigará las concentraciones previstas en el párrafo primero del propio artículo, en un plazo no mayor a noventa días naturales, lo cual implica que la autoridad debe agotar todas las actuaciones dentro de dicho periodo. Conforme lo establece el diverso artículo 115, párrafos primero y segundo, de la Ley Federal de Competencia Económica, las actuaciones se practicarán en días y horas hábiles. Así, para cumplir cabalmente con el mandato del legislador, se considera justificado habilitar los días inhábiles comprendidos en los noventa días naturales del periodo de investigación, a fin de realizar todas las actuaciones y diligencias que la Autoridad Investigadora del Instituto Federal de Telecomunicaciones estime pertinentes, incluidas la emisión de requerimientos de información, recepción de promociones, diligencias de notificación, acuerdos de desahogo, reiteramiento, clasificación e integración de información diversa, así como el análisis de la evidencia que se recabe, entre otros.</w:t>
      </w:r>
    </w:p>
    <w:p w14:paraId="32B3D158" w14:textId="77777777" w:rsidR="00AC672E" w:rsidRPr="00673243" w:rsidRDefault="00AC672E" w:rsidP="00673243">
      <w:pPr>
        <w:pStyle w:val="Texto"/>
        <w:spacing w:before="120" w:after="120" w:line="240" w:lineRule="auto"/>
        <w:ind w:left="567" w:right="566" w:firstLine="0"/>
        <w:rPr>
          <w:rFonts w:ascii="ITC Avant Garde" w:hAnsi="ITC Avant Garde"/>
          <w:i/>
          <w:sz w:val="20"/>
        </w:rPr>
      </w:pPr>
      <w:r w:rsidRPr="00673243">
        <w:rPr>
          <w:rFonts w:ascii="ITC Avant Garde" w:hAnsi="ITC Avant Garde"/>
          <w:i/>
          <w:sz w:val="20"/>
        </w:rPr>
        <w:t>En consecuencia, se habilitan los siguientes días del año dos mil dieciocho: veintiuno, veintidós, veintiocho y veintinueve, del mes de abril; uno, cinco, seis, doce, trece, diecinueve, veinte, veintiséis y veintisiete, del mes de mayo; dos, tres, nueve, diez, dieciséis, diecisiete, veintitrés, veinticuatro y treinta, del mes de junio; y uno, siete y ocho del mes de julio.</w:t>
      </w:r>
    </w:p>
    <w:p w14:paraId="3772E92C" w14:textId="77777777" w:rsidR="00AC672E" w:rsidRPr="00673243" w:rsidRDefault="00AC672E" w:rsidP="00673243">
      <w:pPr>
        <w:pStyle w:val="Texto"/>
        <w:spacing w:before="120" w:after="120" w:line="240" w:lineRule="auto"/>
        <w:ind w:left="567" w:right="566" w:firstLine="0"/>
        <w:rPr>
          <w:rFonts w:ascii="ITC Avant Garde" w:hAnsi="ITC Avant Garde"/>
          <w:i/>
          <w:sz w:val="20"/>
        </w:rPr>
      </w:pPr>
      <w:r w:rsidRPr="00673243">
        <w:rPr>
          <w:rFonts w:ascii="ITC Avant Garde" w:hAnsi="ITC Avant Garde"/>
          <w:i/>
          <w:sz w:val="20"/>
        </w:rPr>
        <w:t xml:space="preserve">La recepción de promociones correspondientes a este procedimiento, únicamente en los días habilitados, tendrá lugar en el domicilio ubicado en Insurgentes Sur 1143, cuarto piso, Colonia Noche Buena, Delegación Benito Juárez, código postal 03720, Ciudad de México, en un horario de 09:00 (nueve) a 18:00 (dieciocho) horas, o bien, podrán presentarse promociones el día de su vencimiento, después de concluido el horario señalado, por transmisión </w:t>
      </w:r>
      <w:r w:rsidRPr="00673243">
        <w:rPr>
          <w:rFonts w:ascii="ITC Avant Garde" w:hAnsi="ITC Avant Garde"/>
          <w:i/>
          <w:sz w:val="20"/>
        </w:rPr>
        <w:lastRenderedPageBreak/>
        <w:t>electrónica a la dirección oficialiaai@ift.org.mx. En este caso deberán presentarse al día siguiente, la promoción original, sus anexos y el acuse de recibo de la transmisión electrónica, tal como se señala en el artículo 116 de la Ley Federal de Competencia Económica.</w:t>
      </w:r>
    </w:p>
    <w:p w14:paraId="4E680C68" w14:textId="77777777" w:rsidR="00AC672E" w:rsidRPr="00673243" w:rsidRDefault="00AC672E" w:rsidP="00673243">
      <w:pPr>
        <w:pStyle w:val="Texto"/>
        <w:spacing w:before="120" w:after="120" w:line="240" w:lineRule="auto"/>
        <w:ind w:left="567" w:right="566" w:firstLine="0"/>
        <w:rPr>
          <w:rFonts w:ascii="ITC Avant Garde" w:hAnsi="ITC Avant Garde"/>
          <w:i/>
          <w:sz w:val="20"/>
        </w:rPr>
      </w:pPr>
      <w:r w:rsidRPr="00673243">
        <w:rPr>
          <w:rFonts w:ascii="ITC Avant Garde" w:hAnsi="ITC Avant Garde"/>
          <w:b/>
          <w:i/>
          <w:sz w:val="20"/>
        </w:rPr>
        <w:t>III. Turno.</w:t>
      </w:r>
      <w:r w:rsidRPr="00673243">
        <w:rPr>
          <w:rFonts w:ascii="ITC Avant Garde" w:hAnsi="ITC Avant Garde"/>
          <w:i/>
          <w:sz w:val="20"/>
        </w:rPr>
        <w:t xml:space="preserve"> Se turna el presente asunto a la Dirección General de Condiciones de Mercado, adscrita a la Autoridad Investigadora del Instituto Federal de Telecomunicaciones, para sustanciar el procedimiento de investigación.</w:t>
      </w:r>
    </w:p>
    <w:p w14:paraId="08B0E04E" w14:textId="77777777" w:rsidR="00AC672E" w:rsidRPr="00673243" w:rsidRDefault="00AC672E" w:rsidP="00673243">
      <w:pPr>
        <w:pStyle w:val="Texto"/>
        <w:spacing w:before="120" w:after="120" w:line="240" w:lineRule="auto"/>
        <w:ind w:left="567" w:right="566" w:firstLine="0"/>
        <w:rPr>
          <w:rFonts w:ascii="ITC Avant Garde" w:hAnsi="ITC Avant Garde"/>
          <w:i/>
          <w:sz w:val="20"/>
        </w:rPr>
      </w:pPr>
      <w:r w:rsidRPr="00673243">
        <w:rPr>
          <w:rFonts w:ascii="ITC Avant Garde" w:hAnsi="ITC Avant Garde"/>
          <w:i/>
          <w:sz w:val="20"/>
        </w:rPr>
        <w:t>El presente extracto se publica con el objeto de que cualquier persona pueda aportar elementos durante la investigación.</w:t>
      </w:r>
    </w:p>
    <w:p w14:paraId="0499C0BE" w14:textId="77777777" w:rsidR="00AC672E" w:rsidRDefault="00AC672E" w:rsidP="00673243">
      <w:pPr>
        <w:pStyle w:val="Texto"/>
        <w:spacing w:before="120" w:after="120" w:line="240" w:lineRule="auto"/>
        <w:ind w:left="567" w:right="566" w:firstLine="0"/>
        <w:rPr>
          <w:rFonts w:ascii="ITC Avant Garde" w:hAnsi="ITC Avant Garde"/>
          <w:i/>
          <w:sz w:val="20"/>
        </w:rPr>
      </w:pPr>
      <w:r w:rsidRPr="00673243">
        <w:rPr>
          <w:rFonts w:ascii="ITC Avant Garde" w:hAnsi="ITC Avant Garde"/>
          <w:i/>
          <w:sz w:val="20"/>
        </w:rPr>
        <w:t xml:space="preserve">Ciudad de México, a dieciséis de abril de dos mil dieciocho.- Así lo acordó y firma la Titular de la Autoridad Investigadora del Instituto Federal de Telecomunicaciones, </w:t>
      </w:r>
      <w:r w:rsidRPr="00673243">
        <w:rPr>
          <w:rFonts w:ascii="ITC Avant Garde" w:hAnsi="ITC Avant Garde"/>
          <w:b/>
          <w:i/>
          <w:sz w:val="20"/>
        </w:rPr>
        <w:t>Paulina Martínez Youn</w:t>
      </w:r>
      <w:r w:rsidRPr="00673243">
        <w:rPr>
          <w:rFonts w:ascii="ITC Avant Garde" w:hAnsi="ITC Avant Garde"/>
          <w:i/>
          <w:sz w:val="20"/>
        </w:rPr>
        <w:t>.- Rúbrica.</w:t>
      </w:r>
    </w:p>
    <w:p w14:paraId="1983F98A" w14:textId="77777777" w:rsidR="00D1393E" w:rsidRPr="00D1393E" w:rsidRDefault="00D1393E" w:rsidP="00673243">
      <w:pPr>
        <w:pStyle w:val="Texto"/>
        <w:spacing w:before="120" w:after="120" w:line="240" w:lineRule="auto"/>
        <w:ind w:left="567" w:right="566" w:firstLine="0"/>
        <w:rPr>
          <w:rFonts w:ascii="ITC Avant Garde" w:eastAsia="Calibri" w:hAnsi="ITC Avant Garde" w:cs="Calibri"/>
          <w:sz w:val="20"/>
          <w:szCs w:val="20"/>
          <w:lang w:eastAsia="en-US"/>
        </w:rPr>
      </w:pPr>
      <w:r w:rsidRPr="00D1393E">
        <w:rPr>
          <w:rFonts w:ascii="ITC Avant Garde" w:eastAsia="Calibri" w:hAnsi="ITC Avant Garde" w:cs="Calibri"/>
          <w:sz w:val="20"/>
          <w:szCs w:val="20"/>
          <w:lang w:eastAsia="en-US"/>
        </w:rPr>
        <w:t>(Énfasis añadido).</w:t>
      </w:r>
    </w:p>
    <w:p w14:paraId="7708E5AB" w14:textId="77777777" w:rsidR="00E55813" w:rsidRDefault="0079593A" w:rsidP="00C40B54">
      <w:pPr>
        <w:pStyle w:val="Ttulo2"/>
        <w:keepNext w:val="0"/>
        <w:keepLines w:val="0"/>
        <w:numPr>
          <w:ilvl w:val="0"/>
          <w:numId w:val="0"/>
        </w:numPr>
        <w:spacing w:before="120" w:after="120"/>
        <w:jc w:val="both"/>
        <w:rPr>
          <w:rFonts w:eastAsia="Calibri" w:cs="Calibri"/>
          <w:b w:val="0"/>
        </w:rPr>
      </w:pPr>
      <w:bookmarkStart w:id="20" w:name="_Toc428872182"/>
      <w:bookmarkStart w:id="21" w:name="_Toc463624297"/>
      <w:bookmarkEnd w:id="19"/>
      <w:r>
        <w:rPr>
          <w:rFonts w:eastAsia="Calibri" w:cs="Calibri"/>
          <w:smallCaps/>
        </w:rPr>
        <w:t>Noveno</w:t>
      </w:r>
      <w:r w:rsidR="00BC336F" w:rsidRPr="00673243">
        <w:rPr>
          <w:rFonts w:eastAsia="Calibri" w:cs="Calibri"/>
          <w:smallCaps/>
        </w:rPr>
        <w:t>.-</w:t>
      </w:r>
      <w:r w:rsidR="00BC336F" w:rsidRPr="00673243">
        <w:rPr>
          <w:rFonts w:eastAsia="Calibri" w:cs="Calibri"/>
          <w:b w:val="0"/>
          <w:smallCaps/>
        </w:rPr>
        <w:t xml:space="preserve"> </w:t>
      </w:r>
      <w:r w:rsidR="00BC336F" w:rsidRPr="00C40B54">
        <w:rPr>
          <w:rFonts w:eastAsia="Calibri" w:cs="Calibri"/>
          <w:b w:val="0"/>
        </w:rPr>
        <w:t>Requerimientos de información</w:t>
      </w:r>
    </w:p>
    <w:p w14:paraId="2B5FB65A" w14:textId="77777777" w:rsidR="00BC336F" w:rsidRPr="00C40B54" w:rsidRDefault="00BC336F" w:rsidP="009B0A36">
      <w:pPr>
        <w:pStyle w:val="Prrafodelista"/>
        <w:numPr>
          <w:ilvl w:val="0"/>
          <w:numId w:val="13"/>
        </w:numPr>
        <w:spacing w:before="120" w:after="120" w:line="240" w:lineRule="auto"/>
        <w:contextualSpacing w:val="0"/>
        <w:jc w:val="both"/>
        <w:rPr>
          <w:rFonts w:eastAsia="Calibri" w:cs="Calibri"/>
          <w:b/>
        </w:rPr>
      </w:pPr>
      <w:r w:rsidRPr="00B66476">
        <w:rPr>
          <w:rFonts w:eastAsia="Calibri" w:cs="Calibri"/>
        </w:rPr>
        <w:t>Durante la investigación, con fundamento en los artículos 96, fracción IV, segundo párrafo</w:t>
      </w:r>
      <w:r w:rsidR="00BB46E0">
        <w:rPr>
          <w:rFonts w:eastAsia="Calibri" w:cs="Calibri"/>
        </w:rPr>
        <w:t>, y 119</w:t>
      </w:r>
      <w:r w:rsidRPr="00B66476">
        <w:rPr>
          <w:rFonts w:eastAsia="Calibri" w:cs="Calibri"/>
        </w:rPr>
        <w:t xml:space="preserve"> de la LFCE, se emitieron diversos requerimientos de información y documentos a los agentes económicos involucrados y</w:t>
      </w:r>
      <w:r w:rsidR="00460330" w:rsidRPr="00B66476">
        <w:rPr>
          <w:rFonts w:eastAsia="Calibri" w:cs="Calibri"/>
        </w:rPr>
        <w:t xml:space="preserve"> a diversas</w:t>
      </w:r>
      <w:r w:rsidRPr="00B66476">
        <w:rPr>
          <w:rFonts w:eastAsia="Calibri" w:cs="Calibri"/>
        </w:rPr>
        <w:t xml:space="preserve"> autoridades del Instituto, mismos que se señalan en la </w:t>
      </w:r>
      <w:r w:rsidR="00D1393E" w:rsidRPr="00F82243">
        <w:rPr>
          <w:rFonts w:eastAsia="Calibri" w:cs="Calibri"/>
        </w:rPr>
        <w:t>T</w:t>
      </w:r>
      <w:r w:rsidRPr="00495D84">
        <w:rPr>
          <w:rFonts w:eastAsia="Calibri" w:cs="Calibri"/>
        </w:rPr>
        <w:t>abla</w:t>
      </w:r>
      <w:r w:rsidR="00D1393E" w:rsidRPr="007373FE">
        <w:rPr>
          <w:rFonts w:eastAsia="Calibri" w:cs="Calibri"/>
        </w:rPr>
        <w:t xml:space="preserve"> 1</w:t>
      </w:r>
      <w:r w:rsidRPr="007373FE">
        <w:rPr>
          <w:rFonts w:eastAsia="Calibri" w:cs="Calibri"/>
        </w:rPr>
        <w:t>:</w:t>
      </w:r>
      <w:bookmarkEnd w:id="20"/>
      <w:bookmarkEnd w:id="21"/>
    </w:p>
    <w:p w14:paraId="11E35D76" w14:textId="77777777" w:rsidR="00C67421" w:rsidRPr="00673243" w:rsidRDefault="00C67421" w:rsidP="00AA6078">
      <w:pPr>
        <w:keepNext/>
        <w:tabs>
          <w:tab w:val="left" w:pos="709"/>
        </w:tabs>
        <w:spacing w:before="120" w:after="0"/>
        <w:jc w:val="center"/>
        <w:rPr>
          <w:rFonts w:eastAsia="Calibri" w:cs="Calibri"/>
          <w:b/>
          <w:sz w:val="18"/>
          <w:szCs w:val="18"/>
        </w:rPr>
      </w:pPr>
      <w:r w:rsidRPr="00673243">
        <w:rPr>
          <w:rFonts w:eastAsia="Calibri" w:cs="Calibri"/>
          <w:b/>
          <w:sz w:val="18"/>
          <w:szCs w:val="18"/>
        </w:rPr>
        <w:t>Tabla 1. Requerimientos de información</w:t>
      </w:r>
    </w:p>
    <w:tbl>
      <w:tblPr>
        <w:tblStyle w:val="Tabladecuadrcula41"/>
        <w:tblW w:w="8784" w:type="dxa"/>
        <w:jc w:val="center"/>
        <w:tblLook w:val="04A0" w:firstRow="1" w:lastRow="0" w:firstColumn="1" w:lastColumn="0" w:noHBand="0" w:noVBand="1"/>
        <w:tblCaption w:val="Tabla 1. Requerimientos de información"/>
        <w:tblDescription w:val="Listado que contiene los requerimientos, que incluye los números de oficio, destinatario, fecha de emisión y desahogo"/>
      </w:tblPr>
      <w:tblGrid>
        <w:gridCol w:w="408"/>
        <w:gridCol w:w="1897"/>
        <w:gridCol w:w="1871"/>
        <w:gridCol w:w="1206"/>
        <w:gridCol w:w="3402"/>
      </w:tblGrid>
      <w:tr w:rsidR="00AD3471" w:rsidRPr="00673243" w14:paraId="5BEE8A33" w14:textId="77777777" w:rsidTr="00C3771E">
        <w:trPr>
          <w:cnfStyle w:val="100000000000" w:firstRow="1" w:lastRow="0" w:firstColumn="0" w:lastColumn="0" w:oddVBand="0" w:evenVBand="0" w:oddHBand="0" w:evenHBand="0" w:firstRowFirstColumn="0" w:firstRowLastColumn="0" w:lastRowFirstColumn="0" w:lastRowLastColumn="0"/>
          <w:trHeight w:val="170"/>
          <w:tblHeader/>
          <w:jc w:val="center"/>
        </w:trPr>
        <w:tc>
          <w:tcPr>
            <w:cnfStyle w:val="001000000000" w:firstRow="0" w:lastRow="0" w:firstColumn="1" w:lastColumn="0" w:oddVBand="0" w:evenVBand="0" w:oddHBand="0" w:evenHBand="0" w:firstRowFirstColumn="0" w:firstRowLastColumn="0" w:lastRowFirstColumn="0" w:lastRowLastColumn="0"/>
            <w:tcW w:w="408" w:type="dxa"/>
            <w:tcBorders>
              <w:top w:val="single" w:sz="4" w:space="0" w:color="auto"/>
              <w:left w:val="single" w:sz="4" w:space="0" w:color="auto"/>
              <w:bottom w:val="single" w:sz="4" w:space="0" w:color="auto"/>
              <w:right w:val="single" w:sz="4" w:space="0" w:color="auto"/>
            </w:tcBorders>
            <w:shd w:val="clear" w:color="auto" w:fill="002060"/>
            <w:vAlign w:val="center"/>
          </w:tcPr>
          <w:p w14:paraId="5A852546" w14:textId="77777777" w:rsidR="00AD3471" w:rsidRPr="00673243" w:rsidRDefault="00AD3471" w:rsidP="00673243">
            <w:pPr>
              <w:tabs>
                <w:tab w:val="left" w:pos="709"/>
              </w:tabs>
              <w:spacing w:before="120"/>
              <w:rPr>
                <w:color w:val="FFFFFF" w:themeColor="background1"/>
                <w:sz w:val="16"/>
                <w:szCs w:val="16"/>
              </w:rPr>
            </w:pPr>
          </w:p>
        </w:tc>
        <w:tc>
          <w:tcPr>
            <w:tcW w:w="1897" w:type="dxa"/>
            <w:tcBorders>
              <w:top w:val="single" w:sz="4" w:space="0" w:color="auto"/>
              <w:left w:val="single" w:sz="4" w:space="0" w:color="auto"/>
              <w:bottom w:val="single" w:sz="4" w:space="0" w:color="auto"/>
              <w:right w:val="single" w:sz="4" w:space="0" w:color="auto"/>
            </w:tcBorders>
            <w:shd w:val="clear" w:color="auto" w:fill="002060"/>
            <w:vAlign w:val="center"/>
          </w:tcPr>
          <w:p w14:paraId="40F3CB1E" w14:textId="77777777" w:rsidR="00AD3471" w:rsidRPr="00673243" w:rsidRDefault="00AD3471" w:rsidP="00673243">
            <w:pPr>
              <w:keepLines/>
              <w:widowControl w:val="0"/>
              <w:tabs>
                <w:tab w:val="left" w:pos="709"/>
              </w:tabs>
              <w:spacing w:before="12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673243">
              <w:rPr>
                <w:color w:val="FFFFFF" w:themeColor="background1"/>
                <w:sz w:val="16"/>
                <w:szCs w:val="16"/>
              </w:rPr>
              <w:t>Oficio</w:t>
            </w:r>
          </w:p>
        </w:tc>
        <w:tc>
          <w:tcPr>
            <w:tcW w:w="1871" w:type="dxa"/>
            <w:tcBorders>
              <w:top w:val="single" w:sz="4" w:space="0" w:color="auto"/>
              <w:left w:val="single" w:sz="4" w:space="0" w:color="auto"/>
              <w:bottom w:val="single" w:sz="4" w:space="0" w:color="auto"/>
              <w:right w:val="single" w:sz="4" w:space="0" w:color="auto"/>
            </w:tcBorders>
            <w:shd w:val="clear" w:color="auto" w:fill="002060"/>
            <w:vAlign w:val="center"/>
          </w:tcPr>
          <w:p w14:paraId="63C40BD2" w14:textId="77777777" w:rsidR="00AD3471" w:rsidRPr="00673243" w:rsidRDefault="00AD3471" w:rsidP="00673243">
            <w:pPr>
              <w:tabs>
                <w:tab w:val="left" w:pos="709"/>
              </w:tabs>
              <w:spacing w:before="12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673243">
              <w:rPr>
                <w:color w:val="FFFFFF" w:themeColor="background1"/>
                <w:sz w:val="16"/>
                <w:szCs w:val="16"/>
              </w:rPr>
              <w:t>Destinatario</w:t>
            </w:r>
          </w:p>
        </w:tc>
        <w:tc>
          <w:tcPr>
            <w:tcW w:w="1206" w:type="dxa"/>
            <w:tcBorders>
              <w:top w:val="single" w:sz="4" w:space="0" w:color="auto"/>
              <w:left w:val="single" w:sz="4" w:space="0" w:color="auto"/>
              <w:bottom w:val="single" w:sz="4" w:space="0" w:color="auto"/>
              <w:right w:val="single" w:sz="4" w:space="0" w:color="auto"/>
            </w:tcBorders>
            <w:shd w:val="clear" w:color="auto" w:fill="002060"/>
            <w:vAlign w:val="center"/>
          </w:tcPr>
          <w:p w14:paraId="730673E4" w14:textId="77777777" w:rsidR="00AD3471" w:rsidRPr="00673243" w:rsidRDefault="00AD3471" w:rsidP="00673243">
            <w:pPr>
              <w:tabs>
                <w:tab w:val="left" w:pos="709"/>
              </w:tabs>
              <w:spacing w:before="12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673243">
              <w:rPr>
                <w:color w:val="FFFFFF" w:themeColor="background1"/>
                <w:sz w:val="16"/>
                <w:szCs w:val="16"/>
              </w:rPr>
              <w:t>Fecha de emisión</w:t>
            </w:r>
          </w:p>
        </w:tc>
        <w:tc>
          <w:tcPr>
            <w:tcW w:w="3402" w:type="dxa"/>
            <w:tcBorders>
              <w:top w:val="single" w:sz="4" w:space="0" w:color="auto"/>
              <w:left w:val="single" w:sz="4" w:space="0" w:color="auto"/>
              <w:bottom w:val="single" w:sz="4" w:space="0" w:color="auto"/>
              <w:right w:val="single" w:sz="4" w:space="0" w:color="auto"/>
            </w:tcBorders>
            <w:shd w:val="clear" w:color="auto" w:fill="002060"/>
            <w:vAlign w:val="center"/>
          </w:tcPr>
          <w:p w14:paraId="5998F4A7" w14:textId="77777777" w:rsidR="00AD3471" w:rsidRPr="00673243" w:rsidRDefault="00AD3471" w:rsidP="00673243">
            <w:pPr>
              <w:tabs>
                <w:tab w:val="left" w:pos="709"/>
              </w:tabs>
              <w:spacing w:before="12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673243">
              <w:rPr>
                <w:color w:val="FFFFFF" w:themeColor="background1"/>
                <w:sz w:val="16"/>
                <w:szCs w:val="16"/>
              </w:rPr>
              <w:t>Desahogo</w:t>
            </w:r>
          </w:p>
        </w:tc>
      </w:tr>
      <w:tr w:rsidR="00AD3471" w:rsidRPr="00673243" w14:paraId="6B7AA4AD" w14:textId="77777777" w:rsidTr="00C3771E">
        <w:trPr>
          <w:cnfStyle w:val="000000100000" w:firstRow="0" w:lastRow="0" w:firstColumn="0" w:lastColumn="0" w:oddVBand="0" w:evenVBand="0" w:oddHBand="1" w:evenHBand="0" w:firstRowFirstColumn="0" w:firstRowLastColumn="0" w:lastRowFirstColumn="0" w:lastRowLastColumn="0"/>
          <w:trHeight w:val="813"/>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6938B711" w14:textId="77777777" w:rsidR="00AD3471" w:rsidRPr="00673243" w:rsidRDefault="00AD3471" w:rsidP="00673243">
            <w:pPr>
              <w:tabs>
                <w:tab w:val="left" w:pos="709"/>
              </w:tabs>
              <w:spacing w:before="120"/>
              <w:rPr>
                <w:sz w:val="16"/>
                <w:szCs w:val="16"/>
              </w:rPr>
            </w:pPr>
            <w:r w:rsidRPr="00673243">
              <w:rPr>
                <w:sz w:val="16"/>
                <w:szCs w:val="16"/>
              </w:rPr>
              <w:t>1</w:t>
            </w:r>
          </w:p>
        </w:tc>
        <w:tc>
          <w:tcPr>
            <w:tcW w:w="1897" w:type="dxa"/>
            <w:shd w:val="clear" w:color="auto" w:fill="auto"/>
            <w:vAlign w:val="center"/>
          </w:tcPr>
          <w:p w14:paraId="3FD400A3"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IFT/110/AI/DG-CME/018/2018</w:t>
            </w:r>
          </w:p>
        </w:tc>
        <w:tc>
          <w:tcPr>
            <w:tcW w:w="1871" w:type="dxa"/>
            <w:shd w:val="clear" w:color="auto" w:fill="auto"/>
            <w:vAlign w:val="center"/>
          </w:tcPr>
          <w:p w14:paraId="4329318D" w14:textId="77777777" w:rsidR="00AD3471" w:rsidRPr="00673243" w:rsidRDefault="00AD3471" w:rsidP="00673243">
            <w:pPr>
              <w:tabs>
                <w:tab w:val="left" w:pos="709"/>
              </w:tabs>
              <w:spacing w:before="12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73243">
              <w:rPr>
                <w:rFonts w:eastAsia="Calibri" w:cs="Times New Roman"/>
                <w:sz w:val="16"/>
                <w:szCs w:val="16"/>
              </w:rPr>
              <w:t>Grupo Televisa, S.A.B.</w:t>
            </w:r>
          </w:p>
        </w:tc>
        <w:tc>
          <w:tcPr>
            <w:tcW w:w="1206" w:type="dxa"/>
            <w:shd w:val="clear" w:color="auto" w:fill="auto"/>
            <w:vAlign w:val="center"/>
          </w:tcPr>
          <w:p w14:paraId="1E5EBAE0"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73243">
              <w:rPr>
                <w:rFonts w:eastAsia="Calibri" w:cs="Times New Roman"/>
                <w:sz w:val="16"/>
                <w:szCs w:val="16"/>
              </w:rPr>
              <w:t>23.04.2018</w:t>
            </w:r>
            <w:r w:rsidRPr="00673243">
              <w:rPr>
                <w:rStyle w:val="Refdenotaalpie"/>
                <w:rFonts w:eastAsia="Calibri" w:cs="Times New Roman"/>
                <w:sz w:val="16"/>
                <w:szCs w:val="16"/>
              </w:rPr>
              <w:footnoteReference w:id="6"/>
            </w:r>
          </w:p>
        </w:tc>
        <w:tc>
          <w:tcPr>
            <w:tcW w:w="3402" w:type="dxa"/>
            <w:shd w:val="clear" w:color="auto" w:fill="auto"/>
          </w:tcPr>
          <w:p w14:paraId="3333F63F"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xml:space="preserve">, se tuvo por desahogado </w:t>
            </w:r>
            <w:r w:rsidR="00754E0B">
              <w:rPr>
                <w:sz w:val="16"/>
                <w:szCs w:val="16"/>
              </w:rPr>
              <w:t xml:space="preserve">en su totalidad </w:t>
            </w:r>
            <w:r w:rsidRPr="00673243">
              <w:rPr>
                <w:sz w:val="16"/>
                <w:szCs w:val="16"/>
              </w:rPr>
              <w:t>el requerimiento de información contenido en el oficio, mediante acuerdo de fecha cinco de julio de dos mil dieciocho.</w:t>
            </w:r>
            <w:r w:rsidRPr="00673243">
              <w:rPr>
                <w:rStyle w:val="Refdenotaalpie"/>
                <w:sz w:val="16"/>
                <w:szCs w:val="16"/>
              </w:rPr>
              <w:footnoteReference w:id="7"/>
            </w:r>
          </w:p>
        </w:tc>
      </w:tr>
      <w:tr w:rsidR="00AD3471" w:rsidRPr="00673243" w14:paraId="3E261A12"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5B0C8039" w14:textId="77777777" w:rsidR="00AD3471" w:rsidRPr="00673243" w:rsidRDefault="00AD3471" w:rsidP="00673243">
            <w:pPr>
              <w:tabs>
                <w:tab w:val="left" w:pos="709"/>
              </w:tabs>
              <w:spacing w:before="120"/>
              <w:rPr>
                <w:sz w:val="16"/>
                <w:szCs w:val="16"/>
              </w:rPr>
            </w:pPr>
            <w:r w:rsidRPr="00673243">
              <w:rPr>
                <w:sz w:val="16"/>
                <w:szCs w:val="16"/>
              </w:rPr>
              <w:t>2</w:t>
            </w:r>
          </w:p>
        </w:tc>
        <w:tc>
          <w:tcPr>
            <w:tcW w:w="1897" w:type="dxa"/>
            <w:shd w:val="clear" w:color="auto" w:fill="B4C6E7" w:themeFill="accent5" w:themeFillTint="66"/>
            <w:vAlign w:val="center"/>
          </w:tcPr>
          <w:p w14:paraId="09A002D2"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color w:val="000000"/>
                <w:sz w:val="16"/>
                <w:szCs w:val="16"/>
              </w:rPr>
              <w:t>IFT/110/AI/DG-CME/019/2018</w:t>
            </w:r>
          </w:p>
        </w:tc>
        <w:tc>
          <w:tcPr>
            <w:tcW w:w="1871" w:type="dxa"/>
            <w:shd w:val="clear" w:color="auto" w:fill="B4C6E7" w:themeFill="accent5" w:themeFillTint="66"/>
            <w:vAlign w:val="center"/>
          </w:tcPr>
          <w:p w14:paraId="5A98EC48" w14:textId="77777777" w:rsidR="00AD3471" w:rsidRPr="00673243"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Total Play Telecomunicaciones, S.A. de C.V.</w:t>
            </w:r>
          </w:p>
        </w:tc>
        <w:tc>
          <w:tcPr>
            <w:tcW w:w="1206" w:type="dxa"/>
            <w:shd w:val="clear" w:color="auto" w:fill="B4C6E7" w:themeFill="accent5" w:themeFillTint="66"/>
            <w:vAlign w:val="center"/>
          </w:tcPr>
          <w:p w14:paraId="37AD76A0"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rFonts w:eastAsia="Calibri" w:cs="Times New Roman"/>
                <w:sz w:val="16"/>
                <w:szCs w:val="16"/>
              </w:rPr>
              <w:t>24.04.2018</w:t>
            </w:r>
            <w:r w:rsidRPr="00673243">
              <w:rPr>
                <w:rStyle w:val="Refdenotaalpie"/>
                <w:sz w:val="16"/>
                <w:szCs w:val="16"/>
              </w:rPr>
              <w:footnoteReference w:id="8"/>
            </w:r>
          </w:p>
        </w:tc>
        <w:tc>
          <w:tcPr>
            <w:tcW w:w="3402" w:type="dxa"/>
            <w:shd w:val="clear" w:color="auto" w:fill="B4C6E7" w:themeFill="accent5" w:themeFillTint="66"/>
          </w:tcPr>
          <w:p w14:paraId="14ACA441"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veintiséis de junio de dos mil dieciocho.</w:t>
            </w:r>
            <w:r w:rsidRPr="00673243">
              <w:rPr>
                <w:rStyle w:val="Refdenotaalpie"/>
                <w:sz w:val="16"/>
                <w:szCs w:val="16"/>
              </w:rPr>
              <w:footnoteReference w:id="9"/>
            </w:r>
          </w:p>
        </w:tc>
      </w:tr>
      <w:tr w:rsidR="00AD3471" w:rsidRPr="00673243" w14:paraId="395162BE"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56C2F0D1" w14:textId="77777777" w:rsidR="00AD3471" w:rsidRPr="00673243" w:rsidRDefault="00AD3471" w:rsidP="00673243">
            <w:pPr>
              <w:tabs>
                <w:tab w:val="left" w:pos="709"/>
              </w:tabs>
              <w:spacing w:before="120"/>
              <w:jc w:val="both"/>
              <w:rPr>
                <w:sz w:val="16"/>
                <w:szCs w:val="16"/>
              </w:rPr>
            </w:pPr>
            <w:r w:rsidRPr="00673243">
              <w:rPr>
                <w:sz w:val="16"/>
                <w:szCs w:val="16"/>
              </w:rPr>
              <w:t>3</w:t>
            </w:r>
          </w:p>
        </w:tc>
        <w:tc>
          <w:tcPr>
            <w:tcW w:w="1897" w:type="dxa"/>
            <w:shd w:val="clear" w:color="auto" w:fill="auto"/>
            <w:vAlign w:val="center"/>
          </w:tcPr>
          <w:p w14:paraId="0F9D5852"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IFT/110/AI/DG-CME/020/2018</w:t>
            </w:r>
          </w:p>
        </w:tc>
        <w:tc>
          <w:tcPr>
            <w:tcW w:w="1871" w:type="dxa"/>
            <w:shd w:val="clear" w:color="auto" w:fill="auto"/>
            <w:vAlign w:val="center"/>
          </w:tcPr>
          <w:p w14:paraId="225205D3" w14:textId="77777777" w:rsidR="00AD3471" w:rsidRPr="00673243" w:rsidRDefault="00AD3471" w:rsidP="00673243">
            <w:pPr>
              <w:tabs>
                <w:tab w:val="left" w:pos="709"/>
              </w:tabs>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Axtel, S.A.B. de C.V.</w:t>
            </w:r>
          </w:p>
        </w:tc>
        <w:tc>
          <w:tcPr>
            <w:tcW w:w="1206" w:type="dxa"/>
            <w:shd w:val="clear" w:color="auto" w:fill="auto"/>
            <w:vAlign w:val="center"/>
          </w:tcPr>
          <w:p w14:paraId="3FB646CB"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sz w:val="16"/>
                <w:szCs w:val="16"/>
              </w:rPr>
            </w:pPr>
            <w:r w:rsidRPr="00673243">
              <w:rPr>
                <w:rFonts w:eastAsia="Calibri" w:cs="Times New Roman"/>
                <w:sz w:val="16"/>
                <w:szCs w:val="16"/>
              </w:rPr>
              <w:t>25.04.2018</w:t>
            </w:r>
            <w:r w:rsidRPr="00673243">
              <w:rPr>
                <w:rStyle w:val="Refdenotaalpie"/>
                <w:sz w:val="16"/>
                <w:szCs w:val="16"/>
              </w:rPr>
              <w:footnoteReference w:id="10"/>
            </w:r>
          </w:p>
        </w:tc>
        <w:tc>
          <w:tcPr>
            <w:tcW w:w="3402" w:type="dxa"/>
            <w:shd w:val="clear" w:color="auto" w:fill="auto"/>
          </w:tcPr>
          <w:p w14:paraId="4EC6BD1A"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veintiséis de junio de dos mil dieciocho.</w:t>
            </w:r>
            <w:r w:rsidRPr="00673243">
              <w:rPr>
                <w:rStyle w:val="Refdenotaalpie"/>
                <w:sz w:val="16"/>
                <w:szCs w:val="16"/>
              </w:rPr>
              <w:footnoteReference w:id="11"/>
            </w:r>
          </w:p>
        </w:tc>
      </w:tr>
      <w:tr w:rsidR="00AD3471" w:rsidRPr="00673243" w14:paraId="6DDFF860"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0245D3C4" w14:textId="77777777" w:rsidR="00AD3471" w:rsidRPr="00673243" w:rsidRDefault="00AD3471" w:rsidP="00673243">
            <w:pPr>
              <w:tabs>
                <w:tab w:val="left" w:pos="709"/>
              </w:tabs>
              <w:spacing w:before="120"/>
              <w:jc w:val="both"/>
              <w:rPr>
                <w:sz w:val="16"/>
                <w:szCs w:val="16"/>
              </w:rPr>
            </w:pPr>
            <w:r w:rsidRPr="00673243">
              <w:rPr>
                <w:sz w:val="16"/>
                <w:szCs w:val="16"/>
              </w:rPr>
              <w:lastRenderedPageBreak/>
              <w:t>4</w:t>
            </w:r>
          </w:p>
        </w:tc>
        <w:tc>
          <w:tcPr>
            <w:tcW w:w="1897" w:type="dxa"/>
            <w:shd w:val="clear" w:color="auto" w:fill="B4C6E7" w:themeFill="accent5" w:themeFillTint="66"/>
            <w:vAlign w:val="center"/>
          </w:tcPr>
          <w:p w14:paraId="4BD9B748"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color w:val="000000"/>
                <w:sz w:val="16"/>
                <w:szCs w:val="16"/>
              </w:rPr>
              <w:t>IFT/110/AI/DG-CME/023/2018</w:t>
            </w:r>
          </w:p>
        </w:tc>
        <w:tc>
          <w:tcPr>
            <w:tcW w:w="1871" w:type="dxa"/>
            <w:shd w:val="clear" w:color="auto" w:fill="B4C6E7" w:themeFill="accent5" w:themeFillTint="66"/>
            <w:vAlign w:val="center"/>
          </w:tcPr>
          <w:p w14:paraId="7A591E05" w14:textId="77777777" w:rsidR="00AD3471" w:rsidRPr="00C3771E"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C3771E">
              <w:rPr>
                <w:sz w:val="16"/>
                <w:szCs w:val="16"/>
              </w:rPr>
              <w:t>Tecnologías Especializadas en Líneas de Conexión Óptica, S.A.P.I. de C.V.</w:t>
            </w:r>
          </w:p>
        </w:tc>
        <w:tc>
          <w:tcPr>
            <w:tcW w:w="1206" w:type="dxa"/>
            <w:shd w:val="clear" w:color="auto" w:fill="B4C6E7" w:themeFill="accent5" w:themeFillTint="66"/>
            <w:vAlign w:val="center"/>
          </w:tcPr>
          <w:p w14:paraId="47E1A6FE"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rFonts w:eastAsia="Calibri" w:cs="Times New Roman"/>
                <w:sz w:val="16"/>
                <w:szCs w:val="16"/>
              </w:rPr>
              <w:t>02.05.2018</w:t>
            </w:r>
            <w:r w:rsidRPr="00673243">
              <w:rPr>
                <w:rStyle w:val="Refdenotaalpie"/>
                <w:sz w:val="16"/>
                <w:szCs w:val="16"/>
              </w:rPr>
              <w:footnoteReference w:id="12"/>
            </w:r>
          </w:p>
        </w:tc>
        <w:tc>
          <w:tcPr>
            <w:tcW w:w="3402" w:type="dxa"/>
            <w:shd w:val="clear" w:color="auto" w:fill="B4C6E7" w:themeFill="accent5" w:themeFillTint="66"/>
          </w:tcPr>
          <w:p w14:paraId="36D03DCF"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dos de julio de dos mil dieciocho.</w:t>
            </w:r>
            <w:r w:rsidRPr="00673243">
              <w:rPr>
                <w:rStyle w:val="Refdenotaalpie"/>
                <w:sz w:val="16"/>
                <w:szCs w:val="16"/>
              </w:rPr>
              <w:footnoteReference w:id="13"/>
            </w:r>
          </w:p>
        </w:tc>
      </w:tr>
      <w:tr w:rsidR="00AD3471" w:rsidRPr="00673243" w14:paraId="1D1DE876"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44487455" w14:textId="77777777" w:rsidR="00AD3471" w:rsidRPr="00673243" w:rsidRDefault="00AD3471" w:rsidP="00673243">
            <w:pPr>
              <w:tabs>
                <w:tab w:val="left" w:pos="709"/>
              </w:tabs>
              <w:spacing w:before="120"/>
              <w:jc w:val="both"/>
              <w:rPr>
                <w:sz w:val="16"/>
                <w:szCs w:val="16"/>
              </w:rPr>
            </w:pPr>
            <w:r w:rsidRPr="00673243">
              <w:rPr>
                <w:sz w:val="16"/>
                <w:szCs w:val="16"/>
              </w:rPr>
              <w:t>5</w:t>
            </w:r>
          </w:p>
        </w:tc>
        <w:tc>
          <w:tcPr>
            <w:tcW w:w="1897" w:type="dxa"/>
            <w:shd w:val="clear" w:color="auto" w:fill="auto"/>
            <w:vAlign w:val="center"/>
          </w:tcPr>
          <w:p w14:paraId="2AA3CBA7"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IFT/110/AI/DG-CME/024/2018</w:t>
            </w:r>
          </w:p>
        </w:tc>
        <w:tc>
          <w:tcPr>
            <w:tcW w:w="1871" w:type="dxa"/>
            <w:shd w:val="clear" w:color="auto" w:fill="auto"/>
            <w:vAlign w:val="center"/>
          </w:tcPr>
          <w:p w14:paraId="68C89949" w14:textId="77777777" w:rsidR="00AD3471" w:rsidRPr="00673243" w:rsidRDefault="00AD3471" w:rsidP="00673243">
            <w:pPr>
              <w:tabs>
                <w:tab w:val="left" w:pos="709"/>
              </w:tabs>
              <w:spacing w:before="120"/>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AT&amp;T New GI, S. de R.L. de C.V.</w:t>
            </w:r>
          </w:p>
        </w:tc>
        <w:tc>
          <w:tcPr>
            <w:tcW w:w="1206" w:type="dxa"/>
            <w:shd w:val="clear" w:color="auto" w:fill="auto"/>
            <w:vAlign w:val="center"/>
          </w:tcPr>
          <w:p w14:paraId="72AD7AA1"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sz w:val="16"/>
                <w:szCs w:val="16"/>
              </w:rPr>
            </w:pPr>
            <w:r w:rsidRPr="00673243">
              <w:rPr>
                <w:rFonts w:eastAsia="Calibri" w:cs="Times New Roman"/>
                <w:sz w:val="16"/>
                <w:szCs w:val="16"/>
              </w:rPr>
              <w:t>02.05.2018</w:t>
            </w:r>
            <w:r w:rsidRPr="00673243">
              <w:rPr>
                <w:rStyle w:val="Refdenotaalpie"/>
                <w:sz w:val="16"/>
                <w:szCs w:val="16"/>
              </w:rPr>
              <w:footnoteReference w:id="14"/>
            </w:r>
          </w:p>
        </w:tc>
        <w:tc>
          <w:tcPr>
            <w:tcW w:w="3402" w:type="dxa"/>
            <w:shd w:val="clear" w:color="auto" w:fill="auto"/>
          </w:tcPr>
          <w:p w14:paraId="04466F06"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seis de julio de dos mil dieciocho.</w:t>
            </w:r>
            <w:r w:rsidRPr="00673243">
              <w:rPr>
                <w:rStyle w:val="Refdenotaalpie"/>
                <w:sz w:val="16"/>
                <w:szCs w:val="16"/>
              </w:rPr>
              <w:footnoteReference w:id="15"/>
            </w:r>
          </w:p>
        </w:tc>
      </w:tr>
      <w:tr w:rsidR="00AD3471" w:rsidRPr="00673243" w14:paraId="3AC87BE0"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1F6BC1F3" w14:textId="77777777" w:rsidR="00AD3471" w:rsidRPr="00673243" w:rsidRDefault="00AD3471" w:rsidP="00673243">
            <w:pPr>
              <w:tabs>
                <w:tab w:val="left" w:pos="709"/>
              </w:tabs>
              <w:spacing w:before="120"/>
              <w:jc w:val="both"/>
              <w:rPr>
                <w:sz w:val="16"/>
                <w:szCs w:val="16"/>
              </w:rPr>
            </w:pPr>
            <w:r w:rsidRPr="00673243">
              <w:rPr>
                <w:sz w:val="16"/>
                <w:szCs w:val="16"/>
              </w:rPr>
              <w:t>6</w:t>
            </w:r>
          </w:p>
        </w:tc>
        <w:tc>
          <w:tcPr>
            <w:tcW w:w="1897" w:type="dxa"/>
            <w:shd w:val="clear" w:color="auto" w:fill="B4C6E7" w:themeFill="accent5" w:themeFillTint="66"/>
            <w:vAlign w:val="center"/>
          </w:tcPr>
          <w:p w14:paraId="03FC3AE8"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color w:val="000000"/>
                <w:sz w:val="16"/>
                <w:szCs w:val="16"/>
              </w:rPr>
              <w:t>IFT/110/AI/DG-CME/025/2018</w:t>
            </w:r>
          </w:p>
        </w:tc>
        <w:tc>
          <w:tcPr>
            <w:tcW w:w="1871" w:type="dxa"/>
            <w:shd w:val="clear" w:color="auto" w:fill="B4C6E7" w:themeFill="accent5" w:themeFillTint="66"/>
            <w:vAlign w:val="center"/>
          </w:tcPr>
          <w:p w14:paraId="7E6C8F86" w14:textId="77777777" w:rsidR="00AD3471" w:rsidRPr="00673243"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Pegaso PCS, S.A. de C.V.</w:t>
            </w:r>
          </w:p>
        </w:tc>
        <w:tc>
          <w:tcPr>
            <w:tcW w:w="1206" w:type="dxa"/>
            <w:shd w:val="clear" w:color="auto" w:fill="B4C6E7" w:themeFill="accent5" w:themeFillTint="66"/>
            <w:vAlign w:val="center"/>
          </w:tcPr>
          <w:p w14:paraId="25CAFF31"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rFonts w:eastAsia="Calibri" w:cs="Times New Roman"/>
                <w:sz w:val="16"/>
                <w:szCs w:val="16"/>
              </w:rPr>
              <w:t>02.05.2018</w:t>
            </w:r>
            <w:r w:rsidRPr="00673243">
              <w:rPr>
                <w:rStyle w:val="Refdenotaalpie"/>
                <w:sz w:val="16"/>
                <w:szCs w:val="16"/>
              </w:rPr>
              <w:footnoteReference w:id="16"/>
            </w:r>
          </w:p>
        </w:tc>
        <w:tc>
          <w:tcPr>
            <w:tcW w:w="3402" w:type="dxa"/>
            <w:shd w:val="clear" w:color="auto" w:fill="B4C6E7" w:themeFill="accent5" w:themeFillTint="66"/>
          </w:tcPr>
          <w:p w14:paraId="77ACC9D9"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seis de julio de dos mil dieciocho</w:t>
            </w:r>
            <w:r w:rsidR="0004263D">
              <w:rPr>
                <w:sz w:val="16"/>
                <w:szCs w:val="16"/>
              </w:rPr>
              <w:t>.</w:t>
            </w:r>
            <w:r w:rsidRPr="00673243">
              <w:rPr>
                <w:rStyle w:val="Refdenotaalpie"/>
                <w:sz w:val="16"/>
                <w:szCs w:val="16"/>
              </w:rPr>
              <w:footnoteReference w:id="17"/>
            </w:r>
          </w:p>
        </w:tc>
      </w:tr>
      <w:tr w:rsidR="00AD3471" w:rsidRPr="00673243" w14:paraId="6EB77BBE"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38450589" w14:textId="77777777" w:rsidR="00AD3471" w:rsidRPr="00673243" w:rsidRDefault="00AD3471" w:rsidP="00673243">
            <w:pPr>
              <w:tabs>
                <w:tab w:val="left" w:pos="709"/>
              </w:tabs>
              <w:spacing w:before="120"/>
              <w:jc w:val="both"/>
              <w:rPr>
                <w:sz w:val="16"/>
                <w:szCs w:val="16"/>
              </w:rPr>
            </w:pPr>
            <w:r w:rsidRPr="00673243">
              <w:rPr>
                <w:sz w:val="16"/>
                <w:szCs w:val="16"/>
              </w:rPr>
              <w:t>7</w:t>
            </w:r>
          </w:p>
        </w:tc>
        <w:tc>
          <w:tcPr>
            <w:tcW w:w="1897" w:type="dxa"/>
            <w:shd w:val="clear" w:color="auto" w:fill="auto"/>
            <w:vAlign w:val="center"/>
          </w:tcPr>
          <w:p w14:paraId="4AF22559"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IFT/110/AI/DG-CME/028/2018</w:t>
            </w:r>
          </w:p>
        </w:tc>
        <w:tc>
          <w:tcPr>
            <w:tcW w:w="1871" w:type="dxa"/>
            <w:shd w:val="clear" w:color="auto" w:fill="auto"/>
            <w:vAlign w:val="center"/>
          </w:tcPr>
          <w:p w14:paraId="468F933C" w14:textId="77777777" w:rsidR="00AD3471" w:rsidRPr="00C3771E" w:rsidRDefault="00AD3471" w:rsidP="00673243">
            <w:pPr>
              <w:tabs>
                <w:tab w:val="left" w:pos="709"/>
              </w:tabs>
              <w:spacing w:before="120"/>
              <w:cnfStyle w:val="000000100000" w:firstRow="0" w:lastRow="0" w:firstColumn="0" w:lastColumn="0" w:oddVBand="0" w:evenVBand="0" w:oddHBand="1" w:evenHBand="0" w:firstRowFirstColumn="0" w:firstRowLastColumn="0" w:lastRowFirstColumn="0" w:lastRowLastColumn="0"/>
              <w:rPr>
                <w:sz w:val="16"/>
                <w:szCs w:val="16"/>
                <w:lang w:val="en-GB"/>
              </w:rPr>
            </w:pPr>
            <w:r w:rsidRPr="00C3771E">
              <w:rPr>
                <w:sz w:val="16"/>
                <w:szCs w:val="16"/>
                <w:lang w:val="en-GB"/>
              </w:rPr>
              <w:t>Megacable Holdings, S.A.B. de C.V.</w:t>
            </w:r>
          </w:p>
        </w:tc>
        <w:tc>
          <w:tcPr>
            <w:tcW w:w="1206" w:type="dxa"/>
            <w:shd w:val="clear" w:color="auto" w:fill="auto"/>
            <w:vAlign w:val="center"/>
          </w:tcPr>
          <w:p w14:paraId="0D103EB7"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sz w:val="16"/>
                <w:szCs w:val="16"/>
              </w:rPr>
            </w:pPr>
            <w:r w:rsidRPr="00673243">
              <w:rPr>
                <w:rFonts w:eastAsia="Calibri" w:cs="Times New Roman"/>
                <w:sz w:val="16"/>
                <w:szCs w:val="16"/>
              </w:rPr>
              <w:t>02.05.2018</w:t>
            </w:r>
            <w:r w:rsidRPr="00673243">
              <w:rPr>
                <w:rStyle w:val="Refdenotaalpie"/>
                <w:sz w:val="16"/>
                <w:szCs w:val="16"/>
              </w:rPr>
              <w:footnoteReference w:id="18"/>
            </w:r>
          </w:p>
        </w:tc>
        <w:tc>
          <w:tcPr>
            <w:tcW w:w="3402" w:type="dxa"/>
            <w:shd w:val="clear" w:color="auto" w:fill="auto"/>
          </w:tcPr>
          <w:p w14:paraId="4342A4C2"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tres de julio de dos mil dieciocho.</w:t>
            </w:r>
            <w:r w:rsidRPr="00673243">
              <w:rPr>
                <w:rStyle w:val="Refdenotaalpie"/>
                <w:sz w:val="16"/>
                <w:szCs w:val="16"/>
              </w:rPr>
              <w:footnoteReference w:id="19"/>
            </w:r>
          </w:p>
        </w:tc>
      </w:tr>
      <w:tr w:rsidR="00AD3471" w:rsidRPr="00673243" w14:paraId="7CC46E40"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10131CFD" w14:textId="77777777" w:rsidR="00AD3471" w:rsidRPr="00673243" w:rsidRDefault="00AD3471" w:rsidP="00673243">
            <w:pPr>
              <w:tabs>
                <w:tab w:val="left" w:pos="709"/>
              </w:tabs>
              <w:spacing w:before="120"/>
              <w:jc w:val="both"/>
              <w:rPr>
                <w:sz w:val="16"/>
                <w:szCs w:val="16"/>
              </w:rPr>
            </w:pPr>
            <w:r w:rsidRPr="00673243">
              <w:rPr>
                <w:sz w:val="16"/>
                <w:szCs w:val="16"/>
              </w:rPr>
              <w:t>8</w:t>
            </w:r>
          </w:p>
        </w:tc>
        <w:tc>
          <w:tcPr>
            <w:tcW w:w="1897" w:type="dxa"/>
            <w:shd w:val="clear" w:color="auto" w:fill="B4C6E7" w:themeFill="accent5" w:themeFillTint="66"/>
            <w:vAlign w:val="center"/>
          </w:tcPr>
          <w:p w14:paraId="484BDE37"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color w:val="000000"/>
                <w:sz w:val="16"/>
                <w:szCs w:val="16"/>
              </w:rPr>
              <w:t>IFT/110/AI/DG-CME/030/2018</w:t>
            </w:r>
          </w:p>
        </w:tc>
        <w:tc>
          <w:tcPr>
            <w:tcW w:w="1871" w:type="dxa"/>
            <w:shd w:val="clear" w:color="auto" w:fill="B4C6E7" w:themeFill="accent5" w:themeFillTint="66"/>
            <w:vAlign w:val="center"/>
          </w:tcPr>
          <w:p w14:paraId="2198C8B0" w14:textId="77777777" w:rsidR="00AD3471" w:rsidRPr="00673243"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Grupo de Telecomunicaciones de Alta Capacidad, S.A.P.I. de C.V. </w:t>
            </w:r>
          </w:p>
        </w:tc>
        <w:tc>
          <w:tcPr>
            <w:tcW w:w="1206" w:type="dxa"/>
            <w:shd w:val="clear" w:color="auto" w:fill="B4C6E7" w:themeFill="accent5" w:themeFillTint="66"/>
            <w:vAlign w:val="center"/>
          </w:tcPr>
          <w:p w14:paraId="7D57C035"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02.05.2018</w:t>
            </w:r>
            <w:r w:rsidRPr="00673243">
              <w:rPr>
                <w:rStyle w:val="Refdenotaalpie"/>
                <w:sz w:val="16"/>
                <w:szCs w:val="16"/>
              </w:rPr>
              <w:footnoteReference w:id="20"/>
            </w:r>
          </w:p>
        </w:tc>
        <w:tc>
          <w:tcPr>
            <w:tcW w:w="3402" w:type="dxa"/>
            <w:shd w:val="clear" w:color="auto" w:fill="B4C6E7" w:themeFill="accent5" w:themeFillTint="66"/>
          </w:tcPr>
          <w:p w14:paraId="2A759AE8"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tres de julio de dos mil dieciocho.</w:t>
            </w:r>
            <w:r w:rsidRPr="00673243">
              <w:rPr>
                <w:rStyle w:val="Refdenotaalpie"/>
                <w:sz w:val="16"/>
                <w:szCs w:val="16"/>
              </w:rPr>
              <w:footnoteReference w:id="21"/>
            </w:r>
          </w:p>
        </w:tc>
      </w:tr>
      <w:tr w:rsidR="00AD3471" w:rsidRPr="00673243" w14:paraId="60D7B432"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16C68164" w14:textId="77777777" w:rsidR="00AD3471" w:rsidRPr="00673243" w:rsidRDefault="00AD3471" w:rsidP="00673243">
            <w:pPr>
              <w:tabs>
                <w:tab w:val="left" w:pos="709"/>
              </w:tabs>
              <w:spacing w:before="120"/>
              <w:jc w:val="both"/>
              <w:rPr>
                <w:sz w:val="16"/>
                <w:szCs w:val="16"/>
              </w:rPr>
            </w:pPr>
            <w:r w:rsidRPr="00673243">
              <w:rPr>
                <w:sz w:val="16"/>
                <w:szCs w:val="16"/>
              </w:rPr>
              <w:t>9</w:t>
            </w:r>
          </w:p>
        </w:tc>
        <w:tc>
          <w:tcPr>
            <w:tcW w:w="1897" w:type="dxa"/>
            <w:shd w:val="clear" w:color="auto" w:fill="auto"/>
            <w:vAlign w:val="center"/>
          </w:tcPr>
          <w:p w14:paraId="585EA1C8"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IFT/110/AI/DG-CME/031/2018</w:t>
            </w:r>
          </w:p>
        </w:tc>
        <w:tc>
          <w:tcPr>
            <w:tcW w:w="1871" w:type="dxa"/>
            <w:shd w:val="clear" w:color="auto" w:fill="auto"/>
            <w:vAlign w:val="center"/>
          </w:tcPr>
          <w:p w14:paraId="4171684C" w14:textId="77777777" w:rsidR="00AD3471" w:rsidRPr="00673243" w:rsidRDefault="00AD3471" w:rsidP="009E525C">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América Móvil, S.A.B de C.V.</w:t>
            </w:r>
          </w:p>
        </w:tc>
        <w:tc>
          <w:tcPr>
            <w:tcW w:w="1206" w:type="dxa"/>
            <w:shd w:val="clear" w:color="auto" w:fill="auto"/>
            <w:vAlign w:val="center"/>
          </w:tcPr>
          <w:p w14:paraId="36BB0201"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73243">
              <w:rPr>
                <w:sz w:val="16"/>
                <w:szCs w:val="16"/>
              </w:rPr>
              <w:t>04.05.2018</w:t>
            </w:r>
            <w:r w:rsidRPr="00673243">
              <w:rPr>
                <w:rStyle w:val="Refdenotaalpie"/>
                <w:rFonts w:eastAsia="Calibri" w:cs="Times New Roman"/>
                <w:sz w:val="16"/>
                <w:szCs w:val="16"/>
              </w:rPr>
              <w:footnoteReference w:id="22"/>
            </w:r>
          </w:p>
        </w:tc>
        <w:tc>
          <w:tcPr>
            <w:tcW w:w="3402" w:type="dxa"/>
            <w:shd w:val="clear" w:color="auto" w:fill="auto"/>
          </w:tcPr>
          <w:p w14:paraId="3F48A466"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siete de julio de dos mil dieciocho.</w:t>
            </w:r>
            <w:r w:rsidRPr="00673243">
              <w:rPr>
                <w:rStyle w:val="Refdenotaalpie"/>
                <w:sz w:val="16"/>
                <w:szCs w:val="16"/>
              </w:rPr>
              <w:footnoteReference w:id="23"/>
            </w:r>
          </w:p>
        </w:tc>
      </w:tr>
      <w:tr w:rsidR="00AD3471" w:rsidRPr="00673243" w14:paraId="178BEF0D"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4E28C585" w14:textId="77777777" w:rsidR="00AD3471" w:rsidRPr="00673243" w:rsidRDefault="00AD3471" w:rsidP="00673243">
            <w:pPr>
              <w:tabs>
                <w:tab w:val="left" w:pos="709"/>
              </w:tabs>
              <w:spacing w:before="120"/>
              <w:jc w:val="both"/>
              <w:rPr>
                <w:sz w:val="16"/>
                <w:szCs w:val="16"/>
              </w:rPr>
            </w:pPr>
            <w:r w:rsidRPr="00673243">
              <w:rPr>
                <w:sz w:val="16"/>
                <w:szCs w:val="16"/>
              </w:rPr>
              <w:lastRenderedPageBreak/>
              <w:t>10</w:t>
            </w:r>
          </w:p>
        </w:tc>
        <w:tc>
          <w:tcPr>
            <w:tcW w:w="1897" w:type="dxa"/>
            <w:shd w:val="clear" w:color="auto" w:fill="B4C6E7" w:themeFill="accent5" w:themeFillTint="66"/>
            <w:vAlign w:val="center"/>
          </w:tcPr>
          <w:p w14:paraId="0D2E539D"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color w:val="000000"/>
                <w:sz w:val="16"/>
                <w:szCs w:val="16"/>
              </w:rPr>
              <w:t>IFT/110/AI/DG-CME/032/2018</w:t>
            </w:r>
          </w:p>
        </w:tc>
        <w:tc>
          <w:tcPr>
            <w:tcW w:w="1871" w:type="dxa"/>
            <w:shd w:val="clear" w:color="auto" w:fill="B4C6E7" w:themeFill="accent5" w:themeFillTint="66"/>
            <w:vAlign w:val="center"/>
          </w:tcPr>
          <w:p w14:paraId="454A6EC6" w14:textId="77777777" w:rsidR="00AD3471" w:rsidRPr="00673243"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IP Matrix, S.A. de C.V. </w:t>
            </w:r>
          </w:p>
        </w:tc>
        <w:tc>
          <w:tcPr>
            <w:tcW w:w="1206" w:type="dxa"/>
            <w:shd w:val="clear" w:color="auto" w:fill="B4C6E7" w:themeFill="accent5" w:themeFillTint="66"/>
            <w:vAlign w:val="center"/>
          </w:tcPr>
          <w:p w14:paraId="5388795F"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09.05.2018</w:t>
            </w:r>
            <w:r w:rsidRPr="00673243">
              <w:rPr>
                <w:rStyle w:val="Refdenotaalpie"/>
                <w:sz w:val="16"/>
                <w:szCs w:val="16"/>
              </w:rPr>
              <w:footnoteReference w:id="24"/>
            </w:r>
          </w:p>
        </w:tc>
        <w:tc>
          <w:tcPr>
            <w:tcW w:w="3402" w:type="dxa"/>
            <w:shd w:val="clear" w:color="auto" w:fill="B4C6E7" w:themeFill="accent5" w:themeFillTint="66"/>
          </w:tcPr>
          <w:p w14:paraId="35A50A61"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cinco de julio de dos mil dieciocho.</w:t>
            </w:r>
            <w:r w:rsidRPr="00673243">
              <w:rPr>
                <w:rStyle w:val="Refdenotaalpie"/>
                <w:sz w:val="16"/>
                <w:szCs w:val="16"/>
              </w:rPr>
              <w:footnoteReference w:id="25"/>
            </w:r>
          </w:p>
        </w:tc>
      </w:tr>
      <w:tr w:rsidR="00AD3471" w:rsidRPr="00673243" w14:paraId="797B69FD"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6E5E87F5" w14:textId="77777777" w:rsidR="00AD3471" w:rsidRPr="00673243" w:rsidRDefault="00AD3471" w:rsidP="00673243">
            <w:pPr>
              <w:tabs>
                <w:tab w:val="left" w:pos="709"/>
              </w:tabs>
              <w:spacing w:before="120"/>
              <w:jc w:val="both"/>
              <w:rPr>
                <w:sz w:val="16"/>
                <w:szCs w:val="16"/>
              </w:rPr>
            </w:pPr>
            <w:r w:rsidRPr="00673243">
              <w:rPr>
                <w:sz w:val="16"/>
                <w:szCs w:val="16"/>
              </w:rPr>
              <w:t>11</w:t>
            </w:r>
          </w:p>
        </w:tc>
        <w:tc>
          <w:tcPr>
            <w:tcW w:w="1897" w:type="dxa"/>
            <w:shd w:val="clear" w:color="auto" w:fill="auto"/>
            <w:vAlign w:val="center"/>
          </w:tcPr>
          <w:p w14:paraId="3B92B1B9"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IFT/110/AI/DG-CME/033/2018</w:t>
            </w:r>
          </w:p>
        </w:tc>
        <w:tc>
          <w:tcPr>
            <w:tcW w:w="1871" w:type="dxa"/>
            <w:shd w:val="clear" w:color="auto" w:fill="auto"/>
            <w:vAlign w:val="center"/>
          </w:tcPr>
          <w:p w14:paraId="05B8D975" w14:textId="77777777" w:rsidR="00AD3471" w:rsidRPr="00673243" w:rsidRDefault="00AD3471" w:rsidP="005A5111">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Coordinación General de Planeación Estratégica</w:t>
            </w:r>
          </w:p>
        </w:tc>
        <w:tc>
          <w:tcPr>
            <w:tcW w:w="1206" w:type="dxa"/>
            <w:shd w:val="clear" w:color="auto" w:fill="auto"/>
            <w:vAlign w:val="center"/>
          </w:tcPr>
          <w:p w14:paraId="1F7B096A"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73243">
              <w:rPr>
                <w:sz w:val="16"/>
                <w:szCs w:val="16"/>
              </w:rPr>
              <w:t>09.05.2018</w:t>
            </w:r>
            <w:r w:rsidRPr="00673243">
              <w:rPr>
                <w:rStyle w:val="Refdenotaalpie"/>
                <w:rFonts w:eastAsia="Calibri" w:cs="Times New Roman"/>
                <w:sz w:val="16"/>
                <w:szCs w:val="16"/>
              </w:rPr>
              <w:footnoteReference w:id="26"/>
            </w:r>
          </w:p>
        </w:tc>
        <w:tc>
          <w:tcPr>
            <w:tcW w:w="3402" w:type="dxa"/>
            <w:shd w:val="clear" w:color="auto" w:fill="auto"/>
          </w:tcPr>
          <w:p w14:paraId="4E24EBEB" w14:textId="77777777" w:rsidR="00AD3471" w:rsidRPr="00673243" w:rsidRDefault="00AD3471" w:rsidP="008E74F5">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w:t>
            </w:r>
            <w:r w:rsidR="008E74F5">
              <w:rPr>
                <w:sz w:val="16"/>
                <w:szCs w:val="16"/>
              </w:rPr>
              <w:t xml:space="preserve">un </w:t>
            </w:r>
            <w:r w:rsidRPr="00673243">
              <w:rPr>
                <w:sz w:val="16"/>
                <w:szCs w:val="16"/>
              </w:rPr>
              <w:t xml:space="preserve">acuerdo de </w:t>
            </w:r>
            <w:r w:rsidR="00095FE9">
              <w:rPr>
                <w:sz w:val="16"/>
                <w:szCs w:val="16"/>
              </w:rPr>
              <w:t>reiteración</w:t>
            </w:r>
            <w:r w:rsidRPr="00673243">
              <w:rPr>
                <w:sz w:val="16"/>
                <w:szCs w:val="16"/>
              </w:rPr>
              <w:t>, se tuvo por desahogado en su totalidad el requerimiento de información contenido en el oficio, mediante acuerdo de fecha quince de junio de dos mil dieciocho.</w:t>
            </w:r>
            <w:r w:rsidRPr="00673243">
              <w:rPr>
                <w:rStyle w:val="Refdenotaalpie"/>
                <w:sz w:val="16"/>
                <w:szCs w:val="16"/>
              </w:rPr>
              <w:footnoteReference w:id="27"/>
            </w:r>
          </w:p>
        </w:tc>
      </w:tr>
      <w:tr w:rsidR="00AD3471" w:rsidRPr="00673243" w14:paraId="47016811"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0E9E0407" w14:textId="77777777" w:rsidR="00AD3471" w:rsidRPr="00673243" w:rsidRDefault="00AD3471" w:rsidP="00673243">
            <w:pPr>
              <w:tabs>
                <w:tab w:val="left" w:pos="709"/>
              </w:tabs>
              <w:spacing w:before="120"/>
              <w:jc w:val="both"/>
              <w:rPr>
                <w:sz w:val="16"/>
                <w:szCs w:val="16"/>
              </w:rPr>
            </w:pPr>
            <w:r w:rsidRPr="00673243">
              <w:rPr>
                <w:sz w:val="16"/>
                <w:szCs w:val="16"/>
              </w:rPr>
              <w:t>12</w:t>
            </w:r>
          </w:p>
        </w:tc>
        <w:tc>
          <w:tcPr>
            <w:tcW w:w="1897" w:type="dxa"/>
            <w:shd w:val="clear" w:color="auto" w:fill="B4C6E7" w:themeFill="accent5" w:themeFillTint="66"/>
            <w:vAlign w:val="center"/>
          </w:tcPr>
          <w:p w14:paraId="5F0D306C"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color w:val="000000"/>
                <w:sz w:val="16"/>
                <w:szCs w:val="16"/>
              </w:rPr>
              <w:t>IFT/110/AI/DG-CME/037/2018</w:t>
            </w:r>
          </w:p>
        </w:tc>
        <w:tc>
          <w:tcPr>
            <w:tcW w:w="1871" w:type="dxa"/>
            <w:shd w:val="clear" w:color="auto" w:fill="B4C6E7" w:themeFill="accent5" w:themeFillTint="66"/>
            <w:vAlign w:val="center"/>
          </w:tcPr>
          <w:p w14:paraId="18077BB3" w14:textId="77777777" w:rsidR="00AD3471" w:rsidRPr="00673243"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673243">
              <w:rPr>
                <w:rFonts w:eastAsia="Calibri" w:cs="Times New Roman"/>
                <w:sz w:val="16"/>
                <w:szCs w:val="16"/>
              </w:rPr>
              <w:t xml:space="preserve">CFE Distribución </w:t>
            </w:r>
          </w:p>
        </w:tc>
        <w:tc>
          <w:tcPr>
            <w:tcW w:w="1206" w:type="dxa"/>
            <w:shd w:val="clear" w:color="auto" w:fill="B4C6E7" w:themeFill="accent5" w:themeFillTint="66"/>
            <w:vAlign w:val="center"/>
          </w:tcPr>
          <w:p w14:paraId="72213B0C"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673243">
              <w:rPr>
                <w:sz w:val="16"/>
                <w:szCs w:val="16"/>
              </w:rPr>
              <w:t>23.05.2018</w:t>
            </w:r>
            <w:r w:rsidRPr="00673243">
              <w:rPr>
                <w:rStyle w:val="Refdenotaalpie"/>
                <w:rFonts w:eastAsia="Calibri" w:cs="Times New Roman"/>
                <w:sz w:val="16"/>
                <w:szCs w:val="16"/>
              </w:rPr>
              <w:footnoteReference w:id="28"/>
            </w:r>
          </w:p>
        </w:tc>
        <w:tc>
          <w:tcPr>
            <w:tcW w:w="3402" w:type="dxa"/>
            <w:shd w:val="clear" w:color="auto" w:fill="B4C6E7" w:themeFill="accent5" w:themeFillTint="66"/>
          </w:tcPr>
          <w:p w14:paraId="7FE31DF6"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cuatro de julio de dos mil dieciocho.</w:t>
            </w:r>
            <w:r w:rsidRPr="00673243">
              <w:rPr>
                <w:rStyle w:val="Refdenotaalpie"/>
                <w:sz w:val="16"/>
                <w:szCs w:val="16"/>
              </w:rPr>
              <w:footnoteReference w:id="29"/>
            </w:r>
          </w:p>
        </w:tc>
      </w:tr>
      <w:tr w:rsidR="00AD3471" w:rsidRPr="00673243" w14:paraId="462BF293"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1C023E34" w14:textId="77777777" w:rsidR="00AD3471" w:rsidRPr="00673243" w:rsidRDefault="00AD3471" w:rsidP="00673243">
            <w:pPr>
              <w:tabs>
                <w:tab w:val="left" w:pos="709"/>
              </w:tabs>
              <w:spacing w:before="120"/>
              <w:jc w:val="both"/>
              <w:rPr>
                <w:sz w:val="16"/>
                <w:szCs w:val="16"/>
              </w:rPr>
            </w:pPr>
            <w:r w:rsidRPr="00673243">
              <w:rPr>
                <w:sz w:val="16"/>
                <w:szCs w:val="16"/>
              </w:rPr>
              <w:t>13</w:t>
            </w:r>
          </w:p>
        </w:tc>
        <w:tc>
          <w:tcPr>
            <w:tcW w:w="1897" w:type="dxa"/>
            <w:shd w:val="clear" w:color="auto" w:fill="auto"/>
            <w:vAlign w:val="center"/>
          </w:tcPr>
          <w:p w14:paraId="1D190531"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IFT/110/AI/DG-CME/038/2018</w:t>
            </w:r>
          </w:p>
        </w:tc>
        <w:tc>
          <w:tcPr>
            <w:tcW w:w="1871" w:type="dxa"/>
            <w:shd w:val="clear" w:color="auto" w:fill="auto"/>
            <w:vAlign w:val="center"/>
          </w:tcPr>
          <w:p w14:paraId="63E8FA65" w14:textId="77777777" w:rsidR="00AD3471" w:rsidRPr="00673243" w:rsidRDefault="00AD3471" w:rsidP="00673243">
            <w:pPr>
              <w:tabs>
                <w:tab w:val="left" w:pos="709"/>
              </w:tabs>
              <w:spacing w:before="120"/>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Unidad de Concesiones y Servicios</w:t>
            </w:r>
          </w:p>
        </w:tc>
        <w:tc>
          <w:tcPr>
            <w:tcW w:w="1206" w:type="dxa"/>
            <w:shd w:val="clear" w:color="auto" w:fill="auto"/>
            <w:vAlign w:val="center"/>
          </w:tcPr>
          <w:p w14:paraId="7BDAED79"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28.05.2018</w:t>
            </w:r>
            <w:r w:rsidRPr="00673243">
              <w:rPr>
                <w:rStyle w:val="Refdenotaalpie"/>
                <w:sz w:val="16"/>
                <w:szCs w:val="16"/>
              </w:rPr>
              <w:footnoteReference w:id="30"/>
            </w:r>
          </w:p>
        </w:tc>
        <w:tc>
          <w:tcPr>
            <w:tcW w:w="3402" w:type="dxa"/>
            <w:shd w:val="clear" w:color="auto" w:fill="auto"/>
          </w:tcPr>
          <w:p w14:paraId="18D533AB"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Se tuvo por desahogado en su totalidad el requerimiento de información contenido en el oficio, mediante acuerdo de fecha trece de junio de dos mil dieciocho.</w:t>
            </w:r>
            <w:r w:rsidRPr="00673243">
              <w:rPr>
                <w:rStyle w:val="Refdenotaalpie"/>
                <w:sz w:val="16"/>
                <w:szCs w:val="16"/>
              </w:rPr>
              <w:footnoteReference w:id="31"/>
            </w:r>
          </w:p>
        </w:tc>
      </w:tr>
      <w:tr w:rsidR="00AD3471" w:rsidRPr="00673243" w14:paraId="7F27C27B"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1F05C7DF" w14:textId="77777777" w:rsidR="00AD3471" w:rsidRPr="00673243" w:rsidRDefault="00AD3471" w:rsidP="00673243">
            <w:pPr>
              <w:tabs>
                <w:tab w:val="left" w:pos="709"/>
              </w:tabs>
              <w:spacing w:before="120"/>
              <w:jc w:val="both"/>
              <w:rPr>
                <w:sz w:val="16"/>
                <w:szCs w:val="16"/>
              </w:rPr>
            </w:pPr>
            <w:r w:rsidRPr="00673243">
              <w:rPr>
                <w:sz w:val="16"/>
                <w:szCs w:val="16"/>
              </w:rPr>
              <w:t>14</w:t>
            </w:r>
          </w:p>
        </w:tc>
        <w:tc>
          <w:tcPr>
            <w:tcW w:w="1897" w:type="dxa"/>
            <w:shd w:val="clear" w:color="auto" w:fill="B4C6E7" w:themeFill="accent5" w:themeFillTint="66"/>
            <w:vAlign w:val="center"/>
          </w:tcPr>
          <w:p w14:paraId="3BD18104"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color w:val="000000"/>
                <w:sz w:val="16"/>
                <w:szCs w:val="16"/>
              </w:rPr>
              <w:t>IFT/110/AI/DG-CME/039/2018</w:t>
            </w:r>
          </w:p>
        </w:tc>
        <w:tc>
          <w:tcPr>
            <w:tcW w:w="1871" w:type="dxa"/>
            <w:shd w:val="clear" w:color="auto" w:fill="B4C6E7" w:themeFill="accent5" w:themeFillTint="66"/>
            <w:vAlign w:val="center"/>
          </w:tcPr>
          <w:p w14:paraId="6F4F4979" w14:textId="77777777" w:rsidR="00AD3471" w:rsidRPr="00673243"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Unidad de Espectro Radioeléctrico </w:t>
            </w:r>
          </w:p>
        </w:tc>
        <w:tc>
          <w:tcPr>
            <w:tcW w:w="1206" w:type="dxa"/>
            <w:shd w:val="clear" w:color="auto" w:fill="B4C6E7" w:themeFill="accent5" w:themeFillTint="66"/>
            <w:vAlign w:val="center"/>
          </w:tcPr>
          <w:p w14:paraId="4FC28AB0"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28.05.2018</w:t>
            </w:r>
            <w:r w:rsidRPr="00673243">
              <w:rPr>
                <w:rStyle w:val="Refdenotaalpie"/>
                <w:sz w:val="16"/>
                <w:szCs w:val="16"/>
              </w:rPr>
              <w:footnoteReference w:id="32"/>
            </w:r>
          </w:p>
        </w:tc>
        <w:tc>
          <w:tcPr>
            <w:tcW w:w="3402" w:type="dxa"/>
            <w:shd w:val="clear" w:color="auto" w:fill="B4C6E7" w:themeFill="accent5" w:themeFillTint="66"/>
          </w:tcPr>
          <w:p w14:paraId="754F52C8"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Se tuvo por desahogado en su totalidad el requerimiento de información contenido en el oficio, mediante acuerdo de fecha trece de junio de dos mil dieciocho.</w:t>
            </w:r>
            <w:r w:rsidRPr="00673243">
              <w:rPr>
                <w:rStyle w:val="Refdenotaalpie"/>
                <w:sz w:val="16"/>
                <w:szCs w:val="16"/>
              </w:rPr>
              <w:footnoteReference w:id="33"/>
            </w:r>
          </w:p>
        </w:tc>
      </w:tr>
      <w:tr w:rsidR="00AD3471" w:rsidRPr="00673243" w14:paraId="21596C24"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335CE464" w14:textId="77777777" w:rsidR="00AD3471" w:rsidRPr="00673243" w:rsidRDefault="00AD3471" w:rsidP="00673243">
            <w:pPr>
              <w:tabs>
                <w:tab w:val="left" w:pos="709"/>
              </w:tabs>
              <w:spacing w:before="120"/>
              <w:jc w:val="both"/>
              <w:rPr>
                <w:sz w:val="16"/>
                <w:szCs w:val="16"/>
              </w:rPr>
            </w:pPr>
            <w:r w:rsidRPr="00673243">
              <w:rPr>
                <w:sz w:val="16"/>
                <w:szCs w:val="16"/>
              </w:rPr>
              <w:t>15</w:t>
            </w:r>
          </w:p>
        </w:tc>
        <w:tc>
          <w:tcPr>
            <w:tcW w:w="1897" w:type="dxa"/>
            <w:shd w:val="clear" w:color="auto" w:fill="auto"/>
            <w:vAlign w:val="center"/>
          </w:tcPr>
          <w:p w14:paraId="0DB2A5F9" w14:textId="77777777" w:rsidR="00AD3471" w:rsidRPr="00673243" w:rsidRDefault="00AD3471" w:rsidP="00673243">
            <w:pPr>
              <w:keepLines/>
              <w:widowControl w:val="0"/>
              <w:tabs>
                <w:tab w:val="left" w:pos="709"/>
              </w:tabs>
              <w:spacing w:before="12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73243">
              <w:rPr>
                <w:color w:val="000000"/>
                <w:sz w:val="16"/>
                <w:szCs w:val="16"/>
              </w:rPr>
              <w:t>IFT/110/AI/DG-CME/040/2018</w:t>
            </w:r>
          </w:p>
        </w:tc>
        <w:tc>
          <w:tcPr>
            <w:tcW w:w="1871" w:type="dxa"/>
            <w:shd w:val="clear" w:color="auto" w:fill="auto"/>
            <w:vAlign w:val="center"/>
          </w:tcPr>
          <w:p w14:paraId="19960C8A" w14:textId="77777777" w:rsidR="00AD3471" w:rsidRPr="00673243" w:rsidRDefault="00AD3471" w:rsidP="00673243">
            <w:pPr>
              <w:tabs>
                <w:tab w:val="left" w:pos="709"/>
              </w:tabs>
              <w:spacing w:before="120"/>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Total Play Telecomunicaciones, S.A. de C.V.</w:t>
            </w:r>
          </w:p>
        </w:tc>
        <w:tc>
          <w:tcPr>
            <w:tcW w:w="1206" w:type="dxa"/>
            <w:shd w:val="clear" w:color="auto" w:fill="auto"/>
            <w:vAlign w:val="center"/>
          </w:tcPr>
          <w:p w14:paraId="2C6BBDC3"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28.05.2018</w:t>
            </w:r>
            <w:r w:rsidRPr="00673243">
              <w:rPr>
                <w:rStyle w:val="Refdenotaalpie"/>
                <w:sz w:val="16"/>
                <w:szCs w:val="16"/>
              </w:rPr>
              <w:footnoteReference w:id="34"/>
            </w:r>
          </w:p>
        </w:tc>
        <w:tc>
          <w:tcPr>
            <w:tcW w:w="3402" w:type="dxa"/>
            <w:shd w:val="clear" w:color="auto" w:fill="auto"/>
          </w:tcPr>
          <w:p w14:paraId="3C5B9B16"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dos de julio de dos mil dieciocho.</w:t>
            </w:r>
            <w:r w:rsidRPr="00673243">
              <w:rPr>
                <w:rStyle w:val="Refdenotaalpie"/>
                <w:sz w:val="16"/>
                <w:szCs w:val="16"/>
              </w:rPr>
              <w:footnoteReference w:id="35"/>
            </w:r>
          </w:p>
        </w:tc>
      </w:tr>
      <w:tr w:rsidR="00AD3471" w:rsidRPr="00673243" w14:paraId="37512939"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7E96700D" w14:textId="77777777" w:rsidR="00AD3471" w:rsidRPr="00673243" w:rsidRDefault="00AD3471" w:rsidP="00673243">
            <w:pPr>
              <w:tabs>
                <w:tab w:val="left" w:pos="709"/>
              </w:tabs>
              <w:spacing w:before="120"/>
              <w:jc w:val="both"/>
              <w:rPr>
                <w:sz w:val="16"/>
                <w:szCs w:val="16"/>
              </w:rPr>
            </w:pPr>
            <w:r w:rsidRPr="00673243">
              <w:rPr>
                <w:sz w:val="16"/>
                <w:szCs w:val="16"/>
              </w:rPr>
              <w:lastRenderedPageBreak/>
              <w:t>16</w:t>
            </w:r>
          </w:p>
        </w:tc>
        <w:tc>
          <w:tcPr>
            <w:tcW w:w="1897" w:type="dxa"/>
            <w:shd w:val="clear" w:color="auto" w:fill="B4C6E7" w:themeFill="accent5" w:themeFillTint="66"/>
            <w:vAlign w:val="center"/>
          </w:tcPr>
          <w:p w14:paraId="6C558DCB"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673243">
              <w:rPr>
                <w:color w:val="000000"/>
                <w:sz w:val="16"/>
                <w:szCs w:val="16"/>
              </w:rPr>
              <w:t>IFT/110/AI/DG-CME/041/2018</w:t>
            </w:r>
          </w:p>
        </w:tc>
        <w:tc>
          <w:tcPr>
            <w:tcW w:w="1871" w:type="dxa"/>
            <w:shd w:val="clear" w:color="auto" w:fill="B4C6E7" w:themeFill="accent5" w:themeFillTint="66"/>
            <w:vAlign w:val="center"/>
          </w:tcPr>
          <w:p w14:paraId="292D9451" w14:textId="77777777" w:rsidR="00AD3471" w:rsidRPr="00673243"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Mexico Tower Partners, S.A.P.I. de C.V.</w:t>
            </w:r>
          </w:p>
        </w:tc>
        <w:tc>
          <w:tcPr>
            <w:tcW w:w="1206" w:type="dxa"/>
            <w:shd w:val="clear" w:color="auto" w:fill="B4C6E7" w:themeFill="accent5" w:themeFillTint="66"/>
            <w:vAlign w:val="center"/>
          </w:tcPr>
          <w:p w14:paraId="549FACBC"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rFonts w:eastAsia="Calibri" w:cs="Times New Roman"/>
                <w:sz w:val="16"/>
                <w:szCs w:val="16"/>
              </w:rPr>
              <w:t>28.05.2018</w:t>
            </w:r>
            <w:r w:rsidRPr="00673243">
              <w:rPr>
                <w:rStyle w:val="Refdenotaalpie"/>
                <w:sz w:val="16"/>
                <w:szCs w:val="16"/>
              </w:rPr>
              <w:footnoteReference w:id="36"/>
            </w:r>
          </w:p>
        </w:tc>
        <w:tc>
          <w:tcPr>
            <w:tcW w:w="3402" w:type="dxa"/>
            <w:shd w:val="clear" w:color="auto" w:fill="B4C6E7" w:themeFill="accent5" w:themeFillTint="66"/>
          </w:tcPr>
          <w:p w14:paraId="0CB282D0"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cuatro de julio de dos mil dieciocho.</w:t>
            </w:r>
            <w:r w:rsidRPr="00673243">
              <w:rPr>
                <w:rStyle w:val="Refdenotaalpie"/>
                <w:sz w:val="16"/>
                <w:szCs w:val="16"/>
              </w:rPr>
              <w:footnoteReference w:id="37"/>
            </w:r>
          </w:p>
        </w:tc>
      </w:tr>
      <w:tr w:rsidR="00AD3471" w:rsidRPr="00673243" w14:paraId="4ACABB96"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3FA74A5F" w14:textId="77777777" w:rsidR="00AD3471" w:rsidRPr="00673243" w:rsidRDefault="00AD3471" w:rsidP="00673243">
            <w:pPr>
              <w:tabs>
                <w:tab w:val="left" w:pos="709"/>
              </w:tabs>
              <w:spacing w:before="120"/>
              <w:jc w:val="both"/>
              <w:rPr>
                <w:sz w:val="16"/>
                <w:szCs w:val="16"/>
              </w:rPr>
            </w:pPr>
            <w:r w:rsidRPr="00673243">
              <w:rPr>
                <w:sz w:val="16"/>
                <w:szCs w:val="16"/>
              </w:rPr>
              <w:t>17</w:t>
            </w:r>
          </w:p>
        </w:tc>
        <w:tc>
          <w:tcPr>
            <w:tcW w:w="1897" w:type="dxa"/>
            <w:shd w:val="clear" w:color="auto" w:fill="auto"/>
            <w:vAlign w:val="center"/>
          </w:tcPr>
          <w:p w14:paraId="0FDCF01D"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color w:val="000000"/>
                <w:sz w:val="16"/>
                <w:szCs w:val="16"/>
              </w:rPr>
              <w:t>IFT/110/AI/DG-CME/042/2018</w:t>
            </w:r>
          </w:p>
        </w:tc>
        <w:tc>
          <w:tcPr>
            <w:tcW w:w="1871" w:type="dxa"/>
            <w:shd w:val="clear" w:color="auto" w:fill="auto"/>
            <w:vAlign w:val="center"/>
          </w:tcPr>
          <w:p w14:paraId="29F43498" w14:textId="77777777" w:rsidR="00AD3471" w:rsidRPr="00673243" w:rsidRDefault="00AD3471" w:rsidP="00673243">
            <w:pPr>
              <w:tabs>
                <w:tab w:val="left" w:pos="709"/>
              </w:tabs>
              <w:spacing w:before="120"/>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Axtel, S.A.B. de C.V.</w:t>
            </w:r>
          </w:p>
        </w:tc>
        <w:tc>
          <w:tcPr>
            <w:tcW w:w="1206" w:type="dxa"/>
            <w:shd w:val="clear" w:color="auto" w:fill="auto"/>
            <w:vAlign w:val="center"/>
          </w:tcPr>
          <w:p w14:paraId="18927D91"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29.05.2018</w:t>
            </w:r>
            <w:r w:rsidRPr="00673243">
              <w:rPr>
                <w:rStyle w:val="Refdenotaalpie"/>
                <w:sz w:val="16"/>
                <w:szCs w:val="16"/>
              </w:rPr>
              <w:footnoteReference w:id="38"/>
            </w:r>
          </w:p>
        </w:tc>
        <w:tc>
          <w:tcPr>
            <w:tcW w:w="3402" w:type="dxa"/>
            <w:shd w:val="clear" w:color="auto" w:fill="auto"/>
          </w:tcPr>
          <w:p w14:paraId="46E7EF0E"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dos de julio de dos mil dieciocho.</w:t>
            </w:r>
            <w:r w:rsidRPr="00673243">
              <w:rPr>
                <w:rStyle w:val="Refdenotaalpie"/>
                <w:sz w:val="16"/>
                <w:szCs w:val="16"/>
              </w:rPr>
              <w:footnoteReference w:id="39"/>
            </w:r>
          </w:p>
        </w:tc>
      </w:tr>
      <w:tr w:rsidR="00AD3471" w:rsidRPr="00673243" w14:paraId="11625714"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5E8B389D" w14:textId="77777777" w:rsidR="00AD3471" w:rsidRPr="00673243" w:rsidRDefault="00AD3471" w:rsidP="00673243">
            <w:pPr>
              <w:tabs>
                <w:tab w:val="left" w:pos="709"/>
              </w:tabs>
              <w:spacing w:before="120"/>
              <w:jc w:val="both"/>
              <w:rPr>
                <w:sz w:val="16"/>
                <w:szCs w:val="16"/>
              </w:rPr>
            </w:pPr>
            <w:r w:rsidRPr="00673243">
              <w:rPr>
                <w:sz w:val="16"/>
                <w:szCs w:val="16"/>
              </w:rPr>
              <w:t>18</w:t>
            </w:r>
          </w:p>
        </w:tc>
        <w:tc>
          <w:tcPr>
            <w:tcW w:w="1897" w:type="dxa"/>
            <w:shd w:val="clear" w:color="auto" w:fill="B4C6E7" w:themeFill="accent5" w:themeFillTint="66"/>
            <w:vAlign w:val="center"/>
          </w:tcPr>
          <w:p w14:paraId="1E07D80C"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673243">
              <w:rPr>
                <w:sz w:val="16"/>
                <w:szCs w:val="16"/>
              </w:rPr>
              <w:t>IFT/110/AI/DG-CME/043/2018</w:t>
            </w:r>
          </w:p>
        </w:tc>
        <w:tc>
          <w:tcPr>
            <w:tcW w:w="1871" w:type="dxa"/>
            <w:shd w:val="clear" w:color="auto" w:fill="B4C6E7" w:themeFill="accent5" w:themeFillTint="66"/>
            <w:vAlign w:val="center"/>
          </w:tcPr>
          <w:p w14:paraId="2DF80540" w14:textId="77777777" w:rsidR="00AD3471" w:rsidRPr="00673243" w:rsidDel="00863567"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Grupo Televisa, S.A.B.</w:t>
            </w:r>
          </w:p>
        </w:tc>
        <w:tc>
          <w:tcPr>
            <w:tcW w:w="1206" w:type="dxa"/>
            <w:shd w:val="clear" w:color="auto" w:fill="B4C6E7" w:themeFill="accent5" w:themeFillTint="66"/>
            <w:vAlign w:val="center"/>
          </w:tcPr>
          <w:p w14:paraId="1EEE2744"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30.05.2018</w:t>
            </w:r>
            <w:r w:rsidRPr="00673243">
              <w:rPr>
                <w:rStyle w:val="Refdenotaalpie"/>
                <w:sz w:val="16"/>
                <w:szCs w:val="16"/>
              </w:rPr>
              <w:footnoteReference w:id="40"/>
            </w:r>
          </w:p>
        </w:tc>
        <w:tc>
          <w:tcPr>
            <w:tcW w:w="3402" w:type="dxa"/>
            <w:shd w:val="clear" w:color="auto" w:fill="B4C6E7" w:themeFill="accent5" w:themeFillTint="66"/>
          </w:tcPr>
          <w:p w14:paraId="31652C54"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cinco de julio de dos mil dieciocho.</w:t>
            </w:r>
            <w:r w:rsidRPr="00673243">
              <w:rPr>
                <w:rStyle w:val="Refdenotaalpie"/>
                <w:sz w:val="16"/>
                <w:szCs w:val="16"/>
              </w:rPr>
              <w:footnoteReference w:id="41"/>
            </w:r>
          </w:p>
        </w:tc>
      </w:tr>
      <w:tr w:rsidR="00AD3471" w:rsidRPr="00673243" w14:paraId="1ABE4124"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04B35577" w14:textId="77777777" w:rsidR="00AD3471" w:rsidRPr="00673243" w:rsidRDefault="00AD3471" w:rsidP="00673243">
            <w:pPr>
              <w:tabs>
                <w:tab w:val="left" w:pos="709"/>
              </w:tabs>
              <w:spacing w:before="120"/>
              <w:jc w:val="both"/>
              <w:rPr>
                <w:sz w:val="16"/>
                <w:szCs w:val="16"/>
              </w:rPr>
            </w:pPr>
            <w:r w:rsidRPr="00673243">
              <w:rPr>
                <w:sz w:val="16"/>
                <w:szCs w:val="16"/>
              </w:rPr>
              <w:t>19</w:t>
            </w:r>
          </w:p>
        </w:tc>
        <w:tc>
          <w:tcPr>
            <w:tcW w:w="1897" w:type="dxa"/>
            <w:shd w:val="clear" w:color="auto" w:fill="auto"/>
            <w:vAlign w:val="center"/>
          </w:tcPr>
          <w:p w14:paraId="6EE2565F"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color w:val="000000"/>
                <w:sz w:val="16"/>
                <w:szCs w:val="16"/>
              </w:rPr>
            </w:pPr>
            <w:r w:rsidRPr="00673243">
              <w:rPr>
                <w:sz w:val="16"/>
                <w:szCs w:val="16"/>
              </w:rPr>
              <w:t>IFT/110/AI/DG-CME/044/2018</w:t>
            </w:r>
          </w:p>
        </w:tc>
        <w:tc>
          <w:tcPr>
            <w:tcW w:w="1871" w:type="dxa"/>
            <w:shd w:val="clear" w:color="auto" w:fill="auto"/>
            <w:vAlign w:val="center"/>
          </w:tcPr>
          <w:p w14:paraId="7C1877CA" w14:textId="77777777" w:rsidR="00AD3471" w:rsidRPr="00673243" w:rsidDel="00863567" w:rsidRDefault="00AD3471" w:rsidP="00673243">
            <w:pPr>
              <w:tabs>
                <w:tab w:val="left" w:pos="709"/>
              </w:tabs>
              <w:spacing w:before="120"/>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American Tower Corporation de México, S. de R.L. de C.V.</w:t>
            </w:r>
          </w:p>
        </w:tc>
        <w:tc>
          <w:tcPr>
            <w:tcW w:w="1206" w:type="dxa"/>
            <w:shd w:val="clear" w:color="auto" w:fill="auto"/>
            <w:vAlign w:val="center"/>
          </w:tcPr>
          <w:p w14:paraId="51B87532"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30.05.2018</w:t>
            </w:r>
            <w:r w:rsidRPr="00673243">
              <w:rPr>
                <w:rStyle w:val="Refdenotaalpie"/>
                <w:sz w:val="16"/>
                <w:szCs w:val="16"/>
              </w:rPr>
              <w:footnoteReference w:id="42"/>
            </w:r>
          </w:p>
        </w:tc>
        <w:tc>
          <w:tcPr>
            <w:tcW w:w="3402" w:type="dxa"/>
            <w:shd w:val="clear" w:color="auto" w:fill="auto"/>
          </w:tcPr>
          <w:p w14:paraId="2C74DFE6"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tres de julio de dos mil dieciocho.</w:t>
            </w:r>
            <w:r w:rsidRPr="00673243">
              <w:rPr>
                <w:rStyle w:val="Refdenotaalpie"/>
                <w:sz w:val="16"/>
                <w:szCs w:val="16"/>
              </w:rPr>
              <w:footnoteReference w:id="43"/>
            </w:r>
          </w:p>
        </w:tc>
      </w:tr>
      <w:tr w:rsidR="00AD3471" w:rsidRPr="00673243" w14:paraId="319F6E6A"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0FD5B99A" w14:textId="77777777" w:rsidR="00AD3471" w:rsidRPr="00673243" w:rsidRDefault="00AD3471" w:rsidP="00673243">
            <w:pPr>
              <w:tabs>
                <w:tab w:val="left" w:pos="709"/>
              </w:tabs>
              <w:spacing w:before="120"/>
              <w:jc w:val="both"/>
              <w:rPr>
                <w:sz w:val="16"/>
                <w:szCs w:val="16"/>
              </w:rPr>
            </w:pPr>
            <w:r w:rsidRPr="00673243">
              <w:rPr>
                <w:sz w:val="16"/>
                <w:szCs w:val="16"/>
              </w:rPr>
              <w:t>20</w:t>
            </w:r>
          </w:p>
        </w:tc>
        <w:tc>
          <w:tcPr>
            <w:tcW w:w="1897" w:type="dxa"/>
            <w:shd w:val="clear" w:color="auto" w:fill="B4C6E7" w:themeFill="accent5" w:themeFillTint="66"/>
            <w:vAlign w:val="center"/>
          </w:tcPr>
          <w:p w14:paraId="153E1347"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color w:val="000000"/>
                <w:sz w:val="16"/>
                <w:szCs w:val="16"/>
              </w:rPr>
              <w:t>IFT/110/AI/DG-CME/045/2018</w:t>
            </w:r>
          </w:p>
        </w:tc>
        <w:tc>
          <w:tcPr>
            <w:tcW w:w="1871" w:type="dxa"/>
            <w:shd w:val="clear" w:color="auto" w:fill="B4C6E7" w:themeFill="accent5" w:themeFillTint="66"/>
            <w:vAlign w:val="center"/>
          </w:tcPr>
          <w:p w14:paraId="09764577" w14:textId="77777777" w:rsidR="00AD3471" w:rsidRPr="00673243"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ATC Holding Fibra México, S. de R.L. de C.V.</w:t>
            </w:r>
          </w:p>
        </w:tc>
        <w:tc>
          <w:tcPr>
            <w:tcW w:w="1206" w:type="dxa"/>
            <w:shd w:val="clear" w:color="auto" w:fill="B4C6E7" w:themeFill="accent5" w:themeFillTint="66"/>
            <w:vAlign w:val="center"/>
          </w:tcPr>
          <w:p w14:paraId="1953A253"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31.05.2018</w:t>
            </w:r>
            <w:r w:rsidRPr="00673243">
              <w:rPr>
                <w:rStyle w:val="Refdenotaalpie"/>
                <w:sz w:val="16"/>
                <w:szCs w:val="16"/>
              </w:rPr>
              <w:footnoteReference w:id="44"/>
            </w:r>
          </w:p>
        </w:tc>
        <w:tc>
          <w:tcPr>
            <w:tcW w:w="3402" w:type="dxa"/>
            <w:shd w:val="clear" w:color="auto" w:fill="B4C6E7" w:themeFill="accent5" w:themeFillTint="66"/>
          </w:tcPr>
          <w:p w14:paraId="3887178E"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cinco de julio de dos mil dieciocho.</w:t>
            </w:r>
            <w:r w:rsidRPr="00673243">
              <w:rPr>
                <w:rStyle w:val="Refdenotaalpie"/>
                <w:sz w:val="16"/>
                <w:szCs w:val="16"/>
              </w:rPr>
              <w:footnoteReference w:id="45"/>
            </w:r>
          </w:p>
        </w:tc>
      </w:tr>
      <w:tr w:rsidR="00AD3471" w:rsidRPr="00673243" w14:paraId="203DCBE6"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auto"/>
            <w:vAlign w:val="center"/>
          </w:tcPr>
          <w:p w14:paraId="4C5BAB74" w14:textId="77777777" w:rsidR="00AD3471" w:rsidRPr="00673243" w:rsidRDefault="00AD3471" w:rsidP="00673243">
            <w:pPr>
              <w:tabs>
                <w:tab w:val="left" w:pos="709"/>
              </w:tabs>
              <w:spacing w:before="120"/>
              <w:jc w:val="both"/>
              <w:rPr>
                <w:sz w:val="16"/>
                <w:szCs w:val="16"/>
              </w:rPr>
            </w:pPr>
            <w:r w:rsidRPr="00673243">
              <w:rPr>
                <w:sz w:val="16"/>
                <w:szCs w:val="16"/>
              </w:rPr>
              <w:t>21</w:t>
            </w:r>
          </w:p>
        </w:tc>
        <w:tc>
          <w:tcPr>
            <w:tcW w:w="1897" w:type="dxa"/>
            <w:shd w:val="clear" w:color="auto" w:fill="auto"/>
            <w:vAlign w:val="center"/>
          </w:tcPr>
          <w:p w14:paraId="73CD5DE6"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color w:val="000000"/>
                <w:sz w:val="16"/>
                <w:szCs w:val="16"/>
              </w:rPr>
            </w:pPr>
            <w:r w:rsidRPr="00673243">
              <w:rPr>
                <w:color w:val="000000"/>
                <w:sz w:val="16"/>
                <w:szCs w:val="16"/>
              </w:rPr>
              <w:t>IFT/110/AI/DG-CME/046/2018</w:t>
            </w:r>
          </w:p>
        </w:tc>
        <w:tc>
          <w:tcPr>
            <w:tcW w:w="1871" w:type="dxa"/>
            <w:shd w:val="clear" w:color="auto" w:fill="auto"/>
            <w:vAlign w:val="center"/>
          </w:tcPr>
          <w:p w14:paraId="28983BD0" w14:textId="77777777" w:rsidR="00AD3471" w:rsidRPr="00673243" w:rsidRDefault="00AD3471" w:rsidP="00673243">
            <w:pPr>
              <w:tabs>
                <w:tab w:val="left" w:pos="709"/>
              </w:tabs>
              <w:spacing w:before="120"/>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CFCA Telecomm, S.A.P.I. de C.V.</w:t>
            </w:r>
          </w:p>
        </w:tc>
        <w:tc>
          <w:tcPr>
            <w:tcW w:w="1206" w:type="dxa"/>
            <w:shd w:val="clear" w:color="auto" w:fill="auto"/>
            <w:vAlign w:val="center"/>
          </w:tcPr>
          <w:p w14:paraId="733B6CC2"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31.05.2018</w:t>
            </w:r>
            <w:r w:rsidRPr="00673243">
              <w:rPr>
                <w:rStyle w:val="Refdenotaalpie"/>
                <w:sz w:val="16"/>
                <w:szCs w:val="16"/>
              </w:rPr>
              <w:footnoteReference w:id="46"/>
            </w:r>
          </w:p>
        </w:tc>
        <w:tc>
          <w:tcPr>
            <w:tcW w:w="3402" w:type="dxa"/>
            <w:shd w:val="clear" w:color="auto" w:fill="auto"/>
          </w:tcPr>
          <w:p w14:paraId="49C83248"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cuatro de julio de dos mil dieciocho.</w:t>
            </w:r>
            <w:r w:rsidRPr="00673243">
              <w:rPr>
                <w:rStyle w:val="Refdenotaalpie"/>
                <w:sz w:val="16"/>
                <w:szCs w:val="16"/>
              </w:rPr>
              <w:footnoteReference w:id="47"/>
            </w:r>
            <w:r w:rsidRPr="00673243">
              <w:rPr>
                <w:sz w:val="16"/>
                <w:szCs w:val="16"/>
              </w:rPr>
              <w:t xml:space="preserve"> </w:t>
            </w:r>
          </w:p>
        </w:tc>
      </w:tr>
      <w:tr w:rsidR="00AD3471" w:rsidRPr="00673243" w14:paraId="4FBDA206" w14:textId="77777777" w:rsidTr="00C3771E">
        <w:trPr>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B4C6E7" w:themeFill="accent5" w:themeFillTint="66"/>
            <w:vAlign w:val="center"/>
          </w:tcPr>
          <w:p w14:paraId="7DC404ED" w14:textId="77777777" w:rsidR="00AD3471" w:rsidRPr="00673243" w:rsidRDefault="00AD3471" w:rsidP="00673243">
            <w:pPr>
              <w:tabs>
                <w:tab w:val="left" w:pos="709"/>
              </w:tabs>
              <w:spacing w:before="120"/>
              <w:jc w:val="both"/>
              <w:rPr>
                <w:sz w:val="16"/>
                <w:szCs w:val="16"/>
              </w:rPr>
            </w:pPr>
            <w:r w:rsidRPr="00673243">
              <w:rPr>
                <w:sz w:val="16"/>
                <w:szCs w:val="16"/>
              </w:rPr>
              <w:lastRenderedPageBreak/>
              <w:t>22</w:t>
            </w:r>
          </w:p>
        </w:tc>
        <w:tc>
          <w:tcPr>
            <w:tcW w:w="1897" w:type="dxa"/>
            <w:shd w:val="clear" w:color="auto" w:fill="B4C6E7" w:themeFill="accent5" w:themeFillTint="66"/>
            <w:vAlign w:val="center"/>
          </w:tcPr>
          <w:p w14:paraId="63FDF826"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color w:val="000000"/>
                <w:sz w:val="16"/>
                <w:szCs w:val="16"/>
              </w:rPr>
              <w:t>IFT/110/AI/047/2018</w:t>
            </w:r>
          </w:p>
        </w:tc>
        <w:tc>
          <w:tcPr>
            <w:tcW w:w="1871" w:type="dxa"/>
            <w:shd w:val="clear" w:color="auto" w:fill="B4C6E7" w:themeFill="accent5" w:themeFillTint="66"/>
            <w:vAlign w:val="center"/>
          </w:tcPr>
          <w:p w14:paraId="2125B3FB" w14:textId="77777777" w:rsidR="00AD3471" w:rsidRPr="00673243" w:rsidRDefault="00AD3471" w:rsidP="00673243">
            <w:pPr>
              <w:tabs>
                <w:tab w:val="left" w:pos="709"/>
              </w:tabs>
              <w:spacing w:before="120"/>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Metro Net, S.A.P.I. de C.V.</w:t>
            </w:r>
          </w:p>
        </w:tc>
        <w:tc>
          <w:tcPr>
            <w:tcW w:w="1206" w:type="dxa"/>
            <w:shd w:val="clear" w:color="auto" w:fill="B4C6E7" w:themeFill="accent5" w:themeFillTint="66"/>
            <w:vAlign w:val="center"/>
          </w:tcPr>
          <w:p w14:paraId="3E76666C" w14:textId="77777777" w:rsidR="00AD3471" w:rsidRPr="00673243" w:rsidRDefault="00AD3471" w:rsidP="00673243">
            <w:pPr>
              <w:tabs>
                <w:tab w:val="left" w:pos="709"/>
              </w:tabs>
              <w:spacing w:before="120"/>
              <w:jc w:val="center"/>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04.06.2018</w:t>
            </w:r>
            <w:r w:rsidRPr="00673243">
              <w:rPr>
                <w:rStyle w:val="Refdenotaalpie"/>
                <w:sz w:val="16"/>
                <w:szCs w:val="16"/>
              </w:rPr>
              <w:footnoteReference w:id="48"/>
            </w:r>
          </w:p>
        </w:tc>
        <w:tc>
          <w:tcPr>
            <w:tcW w:w="3402" w:type="dxa"/>
            <w:shd w:val="clear" w:color="auto" w:fill="B4C6E7" w:themeFill="accent5" w:themeFillTint="66"/>
          </w:tcPr>
          <w:p w14:paraId="5F440696" w14:textId="77777777" w:rsidR="00AD3471" w:rsidRPr="00673243" w:rsidRDefault="00AD3471" w:rsidP="00673243">
            <w:pPr>
              <w:spacing w:before="120"/>
              <w:jc w:val="both"/>
              <w:cnfStyle w:val="000000000000" w:firstRow="0" w:lastRow="0" w:firstColumn="0" w:lastColumn="0" w:oddVBand="0" w:evenVBand="0" w:oddHBand="0"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cuatro de julio de dos mil dieciocho.</w:t>
            </w:r>
            <w:r w:rsidRPr="00673243">
              <w:rPr>
                <w:rStyle w:val="Refdenotaalpie"/>
                <w:sz w:val="16"/>
                <w:szCs w:val="16"/>
              </w:rPr>
              <w:footnoteReference w:id="49"/>
            </w:r>
          </w:p>
        </w:tc>
      </w:tr>
      <w:tr w:rsidR="00AD3471" w:rsidRPr="00673243" w14:paraId="2EF2BDC6" w14:textId="77777777" w:rsidTr="00C37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shd w:val="clear" w:color="auto" w:fill="FFFFFF" w:themeFill="background1"/>
            <w:vAlign w:val="center"/>
          </w:tcPr>
          <w:p w14:paraId="38FDB1D9" w14:textId="77777777" w:rsidR="00AD3471" w:rsidRPr="00673243" w:rsidRDefault="00AD3471" w:rsidP="00673243">
            <w:pPr>
              <w:tabs>
                <w:tab w:val="left" w:pos="709"/>
              </w:tabs>
              <w:spacing w:before="120"/>
              <w:jc w:val="both"/>
              <w:rPr>
                <w:sz w:val="16"/>
                <w:szCs w:val="16"/>
              </w:rPr>
            </w:pPr>
            <w:r w:rsidRPr="00673243">
              <w:rPr>
                <w:sz w:val="16"/>
                <w:szCs w:val="16"/>
              </w:rPr>
              <w:t>23</w:t>
            </w:r>
          </w:p>
        </w:tc>
        <w:tc>
          <w:tcPr>
            <w:tcW w:w="1897" w:type="dxa"/>
            <w:shd w:val="clear" w:color="auto" w:fill="FFFFFF" w:themeFill="background1"/>
            <w:vAlign w:val="center"/>
          </w:tcPr>
          <w:p w14:paraId="779C9A5C"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color w:val="000000"/>
                <w:sz w:val="16"/>
                <w:szCs w:val="16"/>
              </w:rPr>
            </w:pPr>
            <w:r w:rsidRPr="00673243">
              <w:rPr>
                <w:color w:val="000000"/>
                <w:sz w:val="16"/>
                <w:szCs w:val="16"/>
              </w:rPr>
              <w:t>IFT/110/AI/048/2018</w:t>
            </w:r>
          </w:p>
        </w:tc>
        <w:tc>
          <w:tcPr>
            <w:tcW w:w="1871" w:type="dxa"/>
            <w:shd w:val="clear" w:color="auto" w:fill="FFFFFF" w:themeFill="background1"/>
            <w:vAlign w:val="center"/>
          </w:tcPr>
          <w:p w14:paraId="4DDAB508" w14:textId="77777777" w:rsidR="00AD3471" w:rsidRPr="00673243" w:rsidRDefault="00AD3471" w:rsidP="00673243">
            <w:pPr>
              <w:tabs>
                <w:tab w:val="left" w:pos="709"/>
              </w:tabs>
              <w:spacing w:before="120"/>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Altán Redes, S.A.P.I. de C.V.</w:t>
            </w:r>
          </w:p>
        </w:tc>
        <w:tc>
          <w:tcPr>
            <w:tcW w:w="1206" w:type="dxa"/>
            <w:shd w:val="clear" w:color="auto" w:fill="FFFFFF" w:themeFill="background1"/>
            <w:vAlign w:val="center"/>
          </w:tcPr>
          <w:p w14:paraId="5A5FC640" w14:textId="77777777" w:rsidR="00AD3471" w:rsidRPr="00673243" w:rsidRDefault="00AD3471" w:rsidP="00673243">
            <w:pPr>
              <w:tabs>
                <w:tab w:val="left" w:pos="709"/>
              </w:tabs>
              <w:spacing w:before="120"/>
              <w:jc w:val="center"/>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05.06.2018</w:t>
            </w:r>
            <w:r w:rsidRPr="00673243">
              <w:rPr>
                <w:rStyle w:val="Refdenotaalpie"/>
                <w:sz w:val="16"/>
                <w:szCs w:val="16"/>
              </w:rPr>
              <w:footnoteReference w:id="50"/>
            </w:r>
          </w:p>
        </w:tc>
        <w:tc>
          <w:tcPr>
            <w:tcW w:w="3402" w:type="dxa"/>
            <w:shd w:val="clear" w:color="auto" w:fill="FFFFFF" w:themeFill="background1"/>
          </w:tcPr>
          <w:p w14:paraId="274576FE" w14:textId="77777777" w:rsidR="00AD3471" w:rsidRPr="00673243" w:rsidRDefault="00AD3471" w:rsidP="00673243">
            <w:pPr>
              <w:spacing w:before="120"/>
              <w:jc w:val="both"/>
              <w:cnfStyle w:val="000000100000" w:firstRow="0" w:lastRow="0" w:firstColumn="0" w:lastColumn="0" w:oddVBand="0" w:evenVBand="0" w:oddHBand="1" w:evenHBand="0" w:firstRowFirstColumn="0" w:firstRowLastColumn="0" w:lastRowFirstColumn="0" w:lastRowLastColumn="0"/>
              <w:rPr>
                <w:sz w:val="16"/>
                <w:szCs w:val="16"/>
              </w:rPr>
            </w:pPr>
            <w:r w:rsidRPr="00673243">
              <w:rPr>
                <w:sz w:val="16"/>
                <w:szCs w:val="16"/>
              </w:rPr>
              <w:t xml:space="preserve">Después de diversos acuerdos de </w:t>
            </w:r>
            <w:r w:rsidR="00095FE9">
              <w:rPr>
                <w:sz w:val="16"/>
                <w:szCs w:val="16"/>
              </w:rPr>
              <w:t>reiteración</w:t>
            </w:r>
            <w:r w:rsidRPr="00673243">
              <w:rPr>
                <w:sz w:val="16"/>
                <w:szCs w:val="16"/>
              </w:rPr>
              <w:t>, se tuvo por desahogado en su totalidad el requerimiento de información contenido en el oficio, mediante acuerdo de fecha cinco de julio de dos mil dieciocho.</w:t>
            </w:r>
            <w:r w:rsidRPr="00673243">
              <w:rPr>
                <w:rStyle w:val="Refdenotaalpie"/>
                <w:sz w:val="16"/>
                <w:szCs w:val="16"/>
              </w:rPr>
              <w:footnoteReference w:id="51"/>
            </w:r>
          </w:p>
        </w:tc>
      </w:tr>
    </w:tbl>
    <w:p w14:paraId="3167240E" w14:textId="77777777" w:rsidR="00E55813" w:rsidRPr="00C40B54" w:rsidRDefault="00BC336F" w:rsidP="00BB46E0">
      <w:pPr>
        <w:pStyle w:val="Ttulo2"/>
        <w:keepNext w:val="0"/>
        <w:keepLines w:val="0"/>
        <w:numPr>
          <w:ilvl w:val="0"/>
          <w:numId w:val="0"/>
        </w:numPr>
        <w:spacing w:before="120" w:after="120"/>
        <w:jc w:val="both"/>
        <w:rPr>
          <w:rFonts w:eastAsia="Calibri" w:cs="Calibri"/>
          <w:b w:val="0"/>
        </w:rPr>
      </w:pPr>
      <w:bookmarkStart w:id="22" w:name="_Toc428872183"/>
      <w:bookmarkStart w:id="23" w:name="_Toc463624298"/>
      <w:r w:rsidRPr="00673243">
        <w:rPr>
          <w:rFonts w:eastAsia="Calibri" w:cs="Calibri"/>
          <w:smallCaps/>
        </w:rPr>
        <w:t>Décimo.-</w:t>
      </w:r>
      <w:r w:rsidRPr="00673243">
        <w:rPr>
          <w:rFonts w:eastAsia="Calibri" w:cs="Calibri"/>
          <w:b w:val="0"/>
        </w:rPr>
        <w:t xml:space="preserve"> </w:t>
      </w:r>
      <w:r w:rsidRPr="00C40B54">
        <w:rPr>
          <w:rFonts w:eastAsia="Calibri" w:cs="Calibri"/>
          <w:b w:val="0"/>
        </w:rPr>
        <w:t xml:space="preserve">Integración de </w:t>
      </w:r>
      <w:r w:rsidR="00BB46E0">
        <w:rPr>
          <w:rFonts w:eastAsia="Calibri" w:cs="Calibri"/>
          <w:b w:val="0"/>
        </w:rPr>
        <w:t>i</w:t>
      </w:r>
      <w:r w:rsidRPr="00C40B54">
        <w:rPr>
          <w:rFonts w:eastAsia="Calibri" w:cs="Calibri"/>
          <w:b w:val="0"/>
        </w:rPr>
        <w:t>nformación</w:t>
      </w:r>
    </w:p>
    <w:p w14:paraId="5CDEFFBB" w14:textId="77777777" w:rsidR="00BC336F" w:rsidRDefault="00BC336F" w:rsidP="009B0A36">
      <w:pPr>
        <w:pStyle w:val="Prrafodelista"/>
        <w:numPr>
          <w:ilvl w:val="0"/>
          <w:numId w:val="13"/>
        </w:numPr>
        <w:spacing w:before="120" w:after="120" w:line="240" w:lineRule="auto"/>
        <w:contextualSpacing w:val="0"/>
        <w:jc w:val="both"/>
      </w:pPr>
      <w:r w:rsidRPr="00B66476">
        <w:t xml:space="preserve">En el curso de la investigación, de conformidad con las atribuciones previstas en los artículos 123 de la LFCE </w:t>
      </w:r>
      <w:r w:rsidR="005A5111" w:rsidRPr="00B66476">
        <w:t xml:space="preserve">y </w:t>
      </w:r>
      <w:r w:rsidR="007146CB" w:rsidRPr="00B66476">
        <w:t xml:space="preserve">98 de las Disposiciones Regulatorias, </w:t>
      </w:r>
      <w:r w:rsidR="00452231" w:rsidRPr="00B66476">
        <w:t>la DGCM emitió</w:t>
      </w:r>
      <w:r w:rsidRPr="00C40B54">
        <w:t xml:space="preserve"> diversos acuerdos por medio de los cuales ordenó integrar diversa información al presente Expediente. La relación de dichos acuerdos se presenta en la </w:t>
      </w:r>
      <w:r w:rsidR="00D1393E" w:rsidRPr="00C40B54">
        <w:t>T</w:t>
      </w:r>
      <w:r w:rsidRPr="00C40B54">
        <w:t>abla</w:t>
      </w:r>
      <w:r w:rsidR="00D1393E" w:rsidRPr="00C40B54">
        <w:t xml:space="preserve"> 2</w:t>
      </w:r>
      <w:r w:rsidRPr="00673243">
        <w:t>:</w:t>
      </w:r>
      <w:bookmarkEnd w:id="22"/>
      <w:bookmarkEnd w:id="23"/>
    </w:p>
    <w:p w14:paraId="7205902F" w14:textId="77777777" w:rsidR="00BC336F" w:rsidRPr="00673243" w:rsidRDefault="00BC336F" w:rsidP="00AA6078">
      <w:pPr>
        <w:keepNext/>
        <w:tabs>
          <w:tab w:val="left" w:pos="709"/>
        </w:tabs>
        <w:spacing w:before="120" w:after="0"/>
        <w:jc w:val="center"/>
        <w:rPr>
          <w:rFonts w:eastAsia="Calibri" w:cs="Calibri"/>
          <w:b/>
          <w:sz w:val="18"/>
          <w:szCs w:val="18"/>
        </w:rPr>
      </w:pPr>
      <w:r w:rsidRPr="00673243">
        <w:rPr>
          <w:rFonts w:eastAsia="Calibri" w:cs="Calibri"/>
          <w:b/>
          <w:sz w:val="18"/>
          <w:szCs w:val="18"/>
        </w:rPr>
        <w:t xml:space="preserve">Tabla 2. </w:t>
      </w:r>
      <w:r w:rsidR="005A5111">
        <w:rPr>
          <w:rFonts w:eastAsia="Calibri" w:cs="Calibri"/>
          <w:b/>
          <w:sz w:val="18"/>
          <w:szCs w:val="18"/>
        </w:rPr>
        <w:t>Acuerdos de i</w:t>
      </w:r>
      <w:r w:rsidR="005A5111" w:rsidRPr="00673243">
        <w:rPr>
          <w:rFonts w:eastAsia="Calibri" w:cs="Calibri"/>
          <w:b/>
          <w:sz w:val="18"/>
          <w:szCs w:val="18"/>
        </w:rPr>
        <w:t xml:space="preserve">ntegración </w:t>
      </w:r>
      <w:r w:rsidRPr="00673243">
        <w:rPr>
          <w:rFonts w:eastAsia="Calibri" w:cs="Calibri"/>
          <w:b/>
          <w:sz w:val="18"/>
          <w:szCs w:val="18"/>
        </w:rPr>
        <w:t>de información</w:t>
      </w:r>
    </w:p>
    <w:tbl>
      <w:tblPr>
        <w:tblStyle w:val="Tabladelista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2. Acuerdos de integración de información"/>
        <w:tblDescription w:val="Tabla que contiene la fecha de emisión del acuerdo y un listado de la información integrada"/>
      </w:tblPr>
      <w:tblGrid>
        <w:gridCol w:w="1348"/>
        <w:gridCol w:w="7480"/>
      </w:tblGrid>
      <w:tr w:rsidR="009D5567" w:rsidRPr="00673243" w14:paraId="3E046DA2" w14:textId="77777777" w:rsidTr="0038187D">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002060"/>
            <w:vAlign w:val="center"/>
          </w:tcPr>
          <w:p w14:paraId="5A794073" w14:textId="77777777" w:rsidR="009D5567" w:rsidRPr="00673243" w:rsidRDefault="009D5567" w:rsidP="00673243">
            <w:pPr>
              <w:tabs>
                <w:tab w:val="left" w:pos="709"/>
              </w:tabs>
              <w:spacing w:before="120"/>
              <w:jc w:val="center"/>
              <w:rPr>
                <w:rFonts w:eastAsia="Calibri" w:cs="Calibri"/>
                <w:sz w:val="16"/>
                <w:szCs w:val="16"/>
              </w:rPr>
            </w:pPr>
            <w:r w:rsidRPr="00673243">
              <w:rPr>
                <w:rFonts w:eastAsia="Calibri" w:cs="Calibri"/>
                <w:sz w:val="16"/>
                <w:szCs w:val="16"/>
              </w:rPr>
              <w:t>Fecha</w:t>
            </w:r>
            <w:r w:rsidR="005A5111">
              <w:rPr>
                <w:rFonts w:eastAsia="Calibri" w:cs="Calibri"/>
                <w:sz w:val="16"/>
                <w:szCs w:val="16"/>
              </w:rPr>
              <w:t xml:space="preserve"> de emisión del acuerdo</w:t>
            </w:r>
          </w:p>
        </w:tc>
        <w:tc>
          <w:tcPr>
            <w:tcW w:w="0" w:type="auto"/>
            <w:tcBorders>
              <w:top w:val="none" w:sz="0" w:space="0" w:color="auto"/>
              <w:bottom w:val="none" w:sz="0" w:space="0" w:color="auto"/>
              <w:right w:val="none" w:sz="0" w:space="0" w:color="auto"/>
            </w:tcBorders>
            <w:shd w:val="clear" w:color="auto" w:fill="002060"/>
            <w:vAlign w:val="center"/>
          </w:tcPr>
          <w:p w14:paraId="78AA72D6" w14:textId="77777777" w:rsidR="009D5567" w:rsidRPr="00673243" w:rsidRDefault="009D5567" w:rsidP="00673243">
            <w:pPr>
              <w:spacing w:before="120"/>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Información integrada</w:t>
            </w:r>
          </w:p>
        </w:tc>
      </w:tr>
      <w:tr w:rsidR="009D5567" w:rsidRPr="00673243" w14:paraId="0CDC01F3" w14:textId="77777777" w:rsidTr="0038187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AEEBD49" w14:textId="77777777" w:rsidR="009D5567" w:rsidRPr="00673243" w:rsidRDefault="009D5567" w:rsidP="00673243">
            <w:pPr>
              <w:tabs>
                <w:tab w:val="left" w:pos="709"/>
              </w:tabs>
              <w:spacing w:before="120"/>
              <w:jc w:val="center"/>
              <w:rPr>
                <w:rFonts w:eastAsia="Calibri" w:cs="Calibri"/>
                <w:sz w:val="16"/>
                <w:szCs w:val="16"/>
              </w:rPr>
            </w:pPr>
            <w:r w:rsidRPr="00673243">
              <w:rPr>
                <w:rFonts w:eastAsia="Calibri" w:cs="Calibri"/>
                <w:sz w:val="16"/>
                <w:szCs w:val="16"/>
              </w:rPr>
              <w:t>14.05.</w:t>
            </w:r>
            <w:r w:rsidR="004C350B">
              <w:rPr>
                <w:rFonts w:eastAsia="Calibri" w:cs="Calibri"/>
                <w:sz w:val="16"/>
                <w:szCs w:val="16"/>
              </w:rPr>
              <w:t>20</w:t>
            </w:r>
            <w:r w:rsidRPr="00673243">
              <w:rPr>
                <w:rFonts w:eastAsia="Calibri" w:cs="Calibri"/>
                <w:sz w:val="16"/>
                <w:szCs w:val="16"/>
              </w:rPr>
              <w:t>18</w:t>
            </w:r>
          </w:p>
        </w:tc>
        <w:tc>
          <w:tcPr>
            <w:tcW w:w="0" w:type="auto"/>
            <w:shd w:val="clear" w:color="auto" w:fill="auto"/>
            <w:vAlign w:val="center"/>
          </w:tcPr>
          <w:p w14:paraId="43E086C4" w14:textId="77777777" w:rsidR="009D5567" w:rsidRPr="00673243" w:rsidRDefault="009D5567" w:rsidP="00673243">
            <w:p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ES"/>
              </w:rPr>
            </w:pPr>
            <w:r w:rsidRPr="00673243">
              <w:rPr>
                <w:rFonts w:eastAsia="Calibri" w:cs="Calibri"/>
                <w:sz w:val="16"/>
                <w:szCs w:val="16"/>
              </w:rPr>
              <w:t>Información pública disponible en diversas direcciones electrónicas de internet, relativa a</w:t>
            </w:r>
            <w:r w:rsidRPr="00673243">
              <w:rPr>
                <w:rFonts w:eastAsia="Times New Roman" w:cs="Calibri"/>
                <w:sz w:val="16"/>
                <w:szCs w:val="16"/>
                <w:lang w:eastAsia="es-ES"/>
              </w:rPr>
              <w:t>:</w:t>
            </w:r>
            <w:r w:rsidRPr="00673243">
              <w:rPr>
                <w:rStyle w:val="Refdenotaalpie"/>
                <w:rFonts w:eastAsia="Times New Roman" w:cs="Calibri"/>
                <w:sz w:val="16"/>
                <w:szCs w:val="16"/>
                <w:lang w:eastAsia="es-ES"/>
              </w:rPr>
              <w:t xml:space="preserve"> </w:t>
            </w:r>
            <w:r w:rsidRPr="00673243">
              <w:rPr>
                <w:rStyle w:val="Refdenotaalpie"/>
                <w:rFonts w:eastAsia="Times New Roman" w:cs="Calibri"/>
                <w:sz w:val="16"/>
                <w:szCs w:val="16"/>
                <w:lang w:eastAsia="es-ES"/>
              </w:rPr>
              <w:footnoteReference w:id="52"/>
            </w:r>
          </w:p>
          <w:p w14:paraId="179EE09A" w14:textId="77777777" w:rsidR="009D5567" w:rsidRPr="00673243" w:rsidRDefault="009D5567" w:rsidP="00673243">
            <w:pPr>
              <w:numPr>
                <w:ilvl w:val="0"/>
                <w:numId w:val="5"/>
              </w:num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ES"/>
              </w:rPr>
            </w:pPr>
            <w:r w:rsidRPr="00673243">
              <w:rPr>
                <w:rFonts w:eastAsia="Times New Roman" w:cs="Calibri"/>
                <w:sz w:val="16"/>
                <w:szCs w:val="16"/>
                <w:lang w:eastAsia="es-ES"/>
              </w:rPr>
              <w:t>América Móvil, S.A.B. de C.V.</w:t>
            </w:r>
          </w:p>
          <w:p w14:paraId="451B2DCA" w14:textId="77777777" w:rsidR="009D5567" w:rsidRPr="00673243" w:rsidRDefault="009D5567" w:rsidP="00673243">
            <w:pPr>
              <w:pStyle w:val="Prrafodelista"/>
              <w:numPr>
                <w:ilvl w:val="0"/>
                <w:numId w:val="5"/>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Calibri" w:cs="Calibri"/>
                <w:sz w:val="16"/>
                <w:szCs w:val="16"/>
              </w:rPr>
              <w:t>Axtel, S.A.B. de C.V.</w:t>
            </w:r>
          </w:p>
          <w:p w14:paraId="3EB880EA" w14:textId="77777777" w:rsidR="009D5567" w:rsidRPr="00673243" w:rsidRDefault="009D5567" w:rsidP="00673243">
            <w:pPr>
              <w:pStyle w:val="Prrafodelista"/>
              <w:numPr>
                <w:ilvl w:val="0"/>
                <w:numId w:val="5"/>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lang w:val="en-US"/>
              </w:rPr>
            </w:pPr>
            <w:r w:rsidRPr="00673243">
              <w:rPr>
                <w:rFonts w:eastAsia="Calibri" w:cs="Calibri"/>
                <w:sz w:val="16"/>
                <w:szCs w:val="16"/>
                <w:lang w:val="en-US"/>
              </w:rPr>
              <w:t>Megacable Holdings, S.A.B. de C.V.</w:t>
            </w:r>
          </w:p>
          <w:p w14:paraId="47366561" w14:textId="77777777" w:rsidR="009D5567" w:rsidRPr="00673243" w:rsidRDefault="009D5567" w:rsidP="00673243">
            <w:pPr>
              <w:numPr>
                <w:ilvl w:val="0"/>
                <w:numId w:val="5"/>
              </w:num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ES"/>
              </w:rPr>
            </w:pPr>
            <w:r w:rsidRPr="00673243">
              <w:rPr>
                <w:rFonts w:eastAsia="Times New Roman" w:cs="Calibri"/>
                <w:sz w:val="16"/>
                <w:szCs w:val="16"/>
                <w:lang w:eastAsia="es-ES"/>
              </w:rPr>
              <w:t>Grupo Televisa, S.A.B.</w:t>
            </w:r>
          </w:p>
        </w:tc>
      </w:tr>
      <w:tr w:rsidR="009D5567" w:rsidRPr="00673243" w14:paraId="6CE704F2" w14:textId="77777777" w:rsidTr="0038187D">
        <w:trPr>
          <w:trHeight w:val="17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B4C6E7" w:themeFill="accent5" w:themeFillTint="66"/>
            <w:vAlign w:val="center"/>
          </w:tcPr>
          <w:p w14:paraId="6F43743B" w14:textId="77777777" w:rsidR="009D5567" w:rsidRPr="00673243" w:rsidRDefault="009D5567" w:rsidP="00673243">
            <w:pPr>
              <w:tabs>
                <w:tab w:val="left" w:pos="709"/>
              </w:tabs>
              <w:spacing w:before="120"/>
              <w:jc w:val="center"/>
              <w:rPr>
                <w:rFonts w:eastAsia="Calibri" w:cs="Calibri"/>
                <w:sz w:val="16"/>
                <w:szCs w:val="16"/>
              </w:rPr>
            </w:pPr>
            <w:r w:rsidRPr="00673243">
              <w:rPr>
                <w:rFonts w:eastAsia="Calibri" w:cs="Calibri"/>
                <w:sz w:val="16"/>
                <w:szCs w:val="16"/>
              </w:rPr>
              <w:t>15.05.2018</w:t>
            </w:r>
          </w:p>
        </w:tc>
        <w:tc>
          <w:tcPr>
            <w:tcW w:w="0" w:type="auto"/>
            <w:tcBorders>
              <w:bottom w:val="single" w:sz="4" w:space="0" w:color="auto"/>
            </w:tcBorders>
            <w:shd w:val="clear" w:color="auto" w:fill="B4C6E7" w:themeFill="accent5" w:themeFillTint="66"/>
            <w:vAlign w:val="center"/>
          </w:tcPr>
          <w:p w14:paraId="09CEFB0A" w14:textId="77777777" w:rsidR="009D5567" w:rsidRPr="00673243" w:rsidRDefault="009D5567" w:rsidP="00673243">
            <w:pPr>
              <w:spacing w:before="12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Información pública disponible en diversas direcciones electrónicas de internet, relativa a:</w:t>
            </w:r>
            <w:r w:rsidRPr="00673243">
              <w:rPr>
                <w:rStyle w:val="Refdenotaalpie"/>
                <w:rFonts w:eastAsia="Calibri" w:cs="Calibri"/>
                <w:sz w:val="16"/>
                <w:szCs w:val="16"/>
              </w:rPr>
              <w:footnoteReference w:id="53"/>
            </w:r>
          </w:p>
          <w:p w14:paraId="64816EFF"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American Tower Corporation de México, S. de R.L. de C.V.</w:t>
            </w:r>
          </w:p>
          <w:p w14:paraId="548C0799"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Pegaso PCS, S.A. de C.V.</w:t>
            </w:r>
          </w:p>
          <w:p w14:paraId="1B0C660E"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 xml:space="preserve">Tecnologías Especializadas en </w:t>
            </w:r>
            <w:r w:rsidR="004F1A33" w:rsidRPr="00673243">
              <w:rPr>
                <w:rFonts w:eastAsia="Calibri" w:cs="Calibri"/>
                <w:sz w:val="16"/>
                <w:szCs w:val="16"/>
              </w:rPr>
              <w:t>Líneas</w:t>
            </w:r>
            <w:r w:rsidRPr="00673243">
              <w:rPr>
                <w:rFonts w:eastAsia="Calibri" w:cs="Calibri"/>
                <w:sz w:val="16"/>
                <w:szCs w:val="16"/>
              </w:rPr>
              <w:t xml:space="preserve"> de Conexión Óptica, S.A.P.I. de C.V.</w:t>
            </w:r>
          </w:p>
          <w:p w14:paraId="45B3E906"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Grupo de Telecomunicaciones de Alta Capacidad, S.A.P.I. de C.V.</w:t>
            </w:r>
          </w:p>
          <w:p w14:paraId="21FF5F07"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AT&amp;T Comunicaciones Digitales, S. de R.L. de C.V.</w:t>
            </w:r>
          </w:p>
          <w:p w14:paraId="5CED4CD5"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AT&amp;T Comercialización Móvil, S. de R.L. de C.V.</w:t>
            </w:r>
          </w:p>
          <w:p w14:paraId="16A9778D"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AT&amp;T Desarrollo en Comunicaciones de México, S. de R.L. de C.V.</w:t>
            </w:r>
          </w:p>
          <w:p w14:paraId="7E5C0C79"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Grupo AT&amp;T Celullar, S. de R.L. de C.V.</w:t>
            </w:r>
          </w:p>
          <w:p w14:paraId="2C577D43"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lastRenderedPageBreak/>
              <w:t>AT&amp;T Norte, S. de R.L. de C.V.</w:t>
            </w:r>
          </w:p>
          <w:p w14:paraId="336D3E32" w14:textId="77777777" w:rsidR="009D5567" w:rsidRPr="00C3771E"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lang w:val="en-GB"/>
              </w:rPr>
            </w:pPr>
            <w:r w:rsidRPr="00C3771E">
              <w:rPr>
                <w:rFonts w:eastAsia="Calibri" w:cs="Calibri"/>
                <w:sz w:val="16"/>
                <w:szCs w:val="16"/>
                <w:lang w:val="en-GB"/>
              </w:rPr>
              <w:t>AT&amp;T New GI, S de R.L. de C.V.</w:t>
            </w:r>
          </w:p>
          <w:p w14:paraId="00F7C941"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Operadora Unef</w:t>
            </w:r>
            <w:r w:rsidR="00D82D7E" w:rsidRPr="00673243">
              <w:rPr>
                <w:rFonts w:eastAsia="Calibri" w:cs="Calibri"/>
                <w:sz w:val="16"/>
                <w:szCs w:val="16"/>
              </w:rPr>
              <w:t>o</w:t>
            </w:r>
            <w:r w:rsidRPr="00673243">
              <w:rPr>
                <w:rFonts w:eastAsia="Calibri" w:cs="Calibri"/>
                <w:sz w:val="16"/>
                <w:szCs w:val="16"/>
              </w:rPr>
              <w:t>n, S.A. de C.V.</w:t>
            </w:r>
          </w:p>
          <w:p w14:paraId="3CF061DC"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 xml:space="preserve">Miditel, S.A. de C.V. </w:t>
            </w:r>
          </w:p>
        </w:tc>
      </w:tr>
      <w:tr w:rsidR="009D5567" w:rsidRPr="00673243" w14:paraId="667CED71" w14:textId="77777777" w:rsidTr="0038187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vAlign w:val="center"/>
          </w:tcPr>
          <w:p w14:paraId="75B59CEA" w14:textId="77777777" w:rsidR="009D5567" w:rsidRPr="00673243" w:rsidRDefault="009D5567" w:rsidP="00673243">
            <w:pPr>
              <w:tabs>
                <w:tab w:val="left" w:pos="709"/>
              </w:tabs>
              <w:spacing w:before="120"/>
              <w:jc w:val="center"/>
              <w:rPr>
                <w:rFonts w:eastAsia="Calibri" w:cs="Calibri"/>
                <w:sz w:val="16"/>
                <w:szCs w:val="16"/>
              </w:rPr>
            </w:pPr>
            <w:r w:rsidRPr="00673243">
              <w:rPr>
                <w:rFonts w:eastAsia="Calibri" w:cs="Calibri"/>
                <w:sz w:val="16"/>
                <w:szCs w:val="16"/>
              </w:rPr>
              <w:lastRenderedPageBreak/>
              <w:t>28.05.2018</w:t>
            </w:r>
          </w:p>
        </w:tc>
        <w:tc>
          <w:tcPr>
            <w:tcW w:w="0" w:type="auto"/>
            <w:tcBorders>
              <w:bottom w:val="single" w:sz="4" w:space="0" w:color="auto"/>
            </w:tcBorders>
            <w:shd w:val="clear" w:color="auto" w:fill="auto"/>
            <w:vAlign w:val="center"/>
          </w:tcPr>
          <w:p w14:paraId="5351B784" w14:textId="77777777" w:rsidR="009D5567" w:rsidRPr="00673243" w:rsidRDefault="009D5567" w:rsidP="00673243">
            <w:pPr>
              <w:spacing w:before="120"/>
              <w:jc w:val="both"/>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ES"/>
              </w:rPr>
            </w:pPr>
            <w:r w:rsidRPr="00673243">
              <w:rPr>
                <w:rFonts w:eastAsia="Calibri" w:cs="Calibri"/>
                <w:sz w:val="16"/>
                <w:szCs w:val="16"/>
              </w:rPr>
              <w:t>Información pública disponible en diversas direcciones electrónicas de internet, relativa a</w:t>
            </w:r>
            <w:r w:rsidRPr="00673243">
              <w:rPr>
                <w:rFonts w:eastAsia="Times New Roman" w:cs="Calibri"/>
                <w:sz w:val="16"/>
                <w:szCs w:val="16"/>
                <w:lang w:eastAsia="es-ES"/>
              </w:rPr>
              <w:t>:</w:t>
            </w:r>
            <w:r w:rsidRPr="00673243">
              <w:rPr>
                <w:rStyle w:val="Refdenotaalpie"/>
                <w:rFonts w:eastAsia="Times New Roman" w:cs="Calibri"/>
                <w:sz w:val="16"/>
                <w:szCs w:val="16"/>
                <w:lang w:eastAsia="es-ES"/>
              </w:rPr>
              <w:t xml:space="preserve"> </w:t>
            </w:r>
            <w:r w:rsidRPr="00673243">
              <w:rPr>
                <w:rStyle w:val="Refdenotaalpie"/>
                <w:rFonts w:eastAsia="Times New Roman" w:cs="Calibri"/>
                <w:sz w:val="16"/>
                <w:szCs w:val="16"/>
                <w:lang w:eastAsia="es-ES"/>
              </w:rPr>
              <w:footnoteReference w:id="54"/>
            </w:r>
          </w:p>
          <w:p w14:paraId="00FA1C32" w14:textId="77777777" w:rsidR="009D5567" w:rsidRPr="00673243" w:rsidRDefault="009D5567" w:rsidP="00673243">
            <w:pPr>
              <w:pStyle w:val="Prrafodelista"/>
              <w:numPr>
                <w:ilvl w:val="0"/>
                <w:numId w:val="4"/>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FD18DD">
              <w:rPr>
                <w:rFonts w:eastAsia="Calibri" w:cs="Calibri"/>
                <w:sz w:val="16"/>
                <w:szCs w:val="16"/>
              </w:rPr>
              <w:t>Altán</w:t>
            </w:r>
            <w:r w:rsidRPr="00673243">
              <w:rPr>
                <w:rFonts w:eastAsia="Calibri" w:cs="Calibri"/>
                <w:sz w:val="16"/>
                <w:szCs w:val="16"/>
              </w:rPr>
              <w:t xml:space="preserve"> Redes, S.A.P.I. de C.V.</w:t>
            </w:r>
          </w:p>
          <w:p w14:paraId="16186A75" w14:textId="77777777" w:rsidR="009D5567" w:rsidRPr="00673243" w:rsidRDefault="009D5567" w:rsidP="00673243">
            <w:pPr>
              <w:pStyle w:val="Prrafodelista"/>
              <w:numPr>
                <w:ilvl w:val="0"/>
                <w:numId w:val="4"/>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Calibri" w:cs="Calibri"/>
                <w:sz w:val="16"/>
                <w:szCs w:val="16"/>
              </w:rPr>
              <w:t>México Tower Partners, S.A.P.I. de C.V.</w:t>
            </w:r>
          </w:p>
          <w:p w14:paraId="41B8B823" w14:textId="77777777" w:rsidR="009D5567" w:rsidRPr="00673243" w:rsidRDefault="009D5567" w:rsidP="00673243">
            <w:pPr>
              <w:pStyle w:val="Prrafodelista"/>
              <w:numPr>
                <w:ilvl w:val="0"/>
                <w:numId w:val="4"/>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Times New Roman" w:cs="Arial"/>
                <w:bCs/>
                <w:sz w:val="16"/>
                <w:szCs w:val="16"/>
                <w:lang w:eastAsia="es-ES"/>
              </w:rPr>
              <w:t>Axtel, S.A.B. de C.V.</w:t>
            </w:r>
          </w:p>
        </w:tc>
      </w:tr>
      <w:tr w:rsidR="009D5567" w:rsidRPr="00673243" w14:paraId="4E4EAC2A" w14:textId="77777777" w:rsidTr="0038187D">
        <w:trPr>
          <w:trHeight w:val="17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B4C6E7" w:themeFill="accent5" w:themeFillTint="66"/>
            <w:vAlign w:val="center"/>
          </w:tcPr>
          <w:p w14:paraId="61ADFE96" w14:textId="77777777" w:rsidR="009D5567" w:rsidRPr="00673243" w:rsidRDefault="009D5567" w:rsidP="00673243">
            <w:pPr>
              <w:tabs>
                <w:tab w:val="left" w:pos="709"/>
              </w:tabs>
              <w:spacing w:before="120"/>
              <w:jc w:val="center"/>
              <w:rPr>
                <w:rFonts w:eastAsia="Calibri" w:cs="Calibri"/>
                <w:sz w:val="16"/>
                <w:szCs w:val="16"/>
              </w:rPr>
            </w:pPr>
            <w:r w:rsidRPr="00673243">
              <w:rPr>
                <w:rFonts w:eastAsia="Calibri" w:cs="Calibri"/>
                <w:sz w:val="16"/>
                <w:szCs w:val="16"/>
              </w:rPr>
              <w:t xml:space="preserve">07.06.2018 </w:t>
            </w:r>
          </w:p>
        </w:tc>
        <w:tc>
          <w:tcPr>
            <w:tcW w:w="0" w:type="auto"/>
            <w:tcBorders>
              <w:top w:val="single" w:sz="4" w:space="0" w:color="auto"/>
            </w:tcBorders>
            <w:shd w:val="clear" w:color="auto" w:fill="B4C6E7" w:themeFill="accent5" w:themeFillTint="66"/>
            <w:vAlign w:val="center"/>
          </w:tcPr>
          <w:p w14:paraId="6B0CA7F7" w14:textId="77777777" w:rsidR="009D5567" w:rsidRPr="00673243" w:rsidRDefault="009D5567" w:rsidP="00673243">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ES"/>
              </w:rPr>
            </w:pPr>
            <w:r w:rsidRPr="00673243">
              <w:rPr>
                <w:rFonts w:eastAsia="Calibri" w:cs="Calibri"/>
                <w:sz w:val="16"/>
                <w:szCs w:val="16"/>
              </w:rPr>
              <w:t>Información pública disponible en internet, relativa a</w:t>
            </w:r>
            <w:r w:rsidR="00A65EFC" w:rsidRPr="00673243">
              <w:rPr>
                <w:rFonts w:eastAsia="Calibri" w:cs="Calibri"/>
                <w:sz w:val="16"/>
                <w:szCs w:val="16"/>
              </w:rPr>
              <w:t xml:space="preserve"> las marcas comerciales</w:t>
            </w:r>
            <w:r w:rsidRPr="00673243">
              <w:rPr>
                <w:rFonts w:eastAsia="Calibri" w:cs="Calibri"/>
                <w:sz w:val="16"/>
                <w:szCs w:val="16"/>
              </w:rPr>
              <w:t>:</w:t>
            </w:r>
            <w:r w:rsidRPr="00673243">
              <w:rPr>
                <w:rStyle w:val="Refdenotaalpie"/>
                <w:rFonts w:eastAsia="Times New Roman" w:cs="Calibri"/>
                <w:sz w:val="16"/>
                <w:szCs w:val="16"/>
                <w:lang w:eastAsia="es-ES"/>
              </w:rPr>
              <w:footnoteReference w:id="55"/>
            </w:r>
            <w:r w:rsidRPr="00673243">
              <w:rPr>
                <w:rStyle w:val="Refdenotaalpie"/>
                <w:rFonts w:eastAsia="Times New Roman" w:cs="Calibri"/>
                <w:sz w:val="16"/>
                <w:szCs w:val="16"/>
                <w:lang w:eastAsia="es-ES"/>
              </w:rPr>
              <w:t xml:space="preserve"> </w:t>
            </w:r>
          </w:p>
          <w:p w14:paraId="5F94A903"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American Tower Corporation en México.</w:t>
            </w:r>
          </w:p>
          <w:p w14:paraId="6524C2B6" w14:textId="77777777" w:rsidR="009D5567" w:rsidRPr="00673243" w:rsidRDefault="009D5567"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Kio Networks.</w:t>
            </w:r>
          </w:p>
        </w:tc>
      </w:tr>
      <w:tr w:rsidR="009D5567" w:rsidRPr="00673243" w14:paraId="27C7EB17" w14:textId="77777777" w:rsidTr="009D556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FFFFFF" w:themeFill="background1"/>
            <w:vAlign w:val="center"/>
          </w:tcPr>
          <w:p w14:paraId="3B2F9E40" w14:textId="77777777" w:rsidR="009D5567" w:rsidRPr="00673243" w:rsidRDefault="009D5567" w:rsidP="00673243">
            <w:pPr>
              <w:tabs>
                <w:tab w:val="left" w:pos="709"/>
              </w:tabs>
              <w:spacing w:before="120"/>
              <w:jc w:val="center"/>
              <w:rPr>
                <w:rFonts w:eastAsia="Calibri" w:cs="Calibri"/>
                <w:sz w:val="16"/>
                <w:szCs w:val="16"/>
              </w:rPr>
            </w:pPr>
            <w:r w:rsidRPr="00673243">
              <w:rPr>
                <w:rFonts w:eastAsia="Calibri" w:cs="Calibri"/>
                <w:sz w:val="16"/>
                <w:szCs w:val="16"/>
              </w:rPr>
              <w:t>15.06.2018</w:t>
            </w:r>
          </w:p>
        </w:tc>
        <w:tc>
          <w:tcPr>
            <w:tcW w:w="0" w:type="auto"/>
            <w:tcBorders>
              <w:top w:val="single" w:sz="4" w:space="0" w:color="auto"/>
            </w:tcBorders>
            <w:shd w:val="clear" w:color="auto" w:fill="FFFFFF" w:themeFill="background1"/>
            <w:vAlign w:val="center"/>
          </w:tcPr>
          <w:p w14:paraId="2CD6D2AB" w14:textId="77777777" w:rsidR="009D5567" w:rsidRPr="00673243" w:rsidRDefault="009D5567" w:rsidP="00673243">
            <w:pPr>
              <w:spacing w:before="12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Calibri" w:cs="Calibri"/>
                <w:sz w:val="16"/>
                <w:szCs w:val="16"/>
              </w:rPr>
              <w:t>Información pública disponible en internet:</w:t>
            </w:r>
            <w:r w:rsidRPr="00673243">
              <w:rPr>
                <w:rStyle w:val="Refdenotaalpie"/>
                <w:rFonts w:eastAsia="Calibri" w:cs="Calibri"/>
                <w:sz w:val="16"/>
                <w:szCs w:val="16"/>
              </w:rPr>
              <w:footnoteReference w:id="56"/>
            </w:r>
          </w:p>
          <w:p w14:paraId="485CC6A8" w14:textId="77777777" w:rsidR="009D5567" w:rsidRPr="00673243" w:rsidRDefault="009D5567" w:rsidP="00673243">
            <w:pPr>
              <w:pStyle w:val="Prrafodelista"/>
              <w:numPr>
                <w:ilvl w:val="0"/>
                <w:numId w:val="4"/>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Calibri" w:cs="Calibri"/>
                <w:sz w:val="16"/>
                <w:szCs w:val="16"/>
              </w:rPr>
              <w:t xml:space="preserve">Telesites, S.A.B. de C.V. </w:t>
            </w:r>
          </w:p>
          <w:p w14:paraId="2A3E0163" w14:textId="77777777" w:rsidR="009D5567" w:rsidRPr="00673243" w:rsidRDefault="009D5567" w:rsidP="00673243">
            <w:pPr>
              <w:pStyle w:val="Prrafodelista"/>
              <w:numPr>
                <w:ilvl w:val="0"/>
                <w:numId w:val="4"/>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Calibri" w:cs="Calibri"/>
                <w:sz w:val="16"/>
                <w:szCs w:val="16"/>
              </w:rPr>
              <w:t>American Tower Corporation.</w:t>
            </w:r>
          </w:p>
        </w:tc>
      </w:tr>
      <w:tr w:rsidR="009D5567" w:rsidRPr="00673243" w14:paraId="41D310FB" w14:textId="77777777" w:rsidTr="0038187D">
        <w:trPr>
          <w:trHeight w:val="17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B4C6E7" w:themeFill="accent5" w:themeFillTint="66"/>
            <w:vAlign w:val="center"/>
          </w:tcPr>
          <w:p w14:paraId="3B9286B4" w14:textId="77777777" w:rsidR="009D5567" w:rsidRPr="00673243" w:rsidRDefault="009D5567" w:rsidP="00673243">
            <w:pPr>
              <w:tabs>
                <w:tab w:val="left" w:pos="709"/>
              </w:tabs>
              <w:spacing w:before="120"/>
              <w:jc w:val="center"/>
              <w:rPr>
                <w:rFonts w:eastAsia="Calibri" w:cs="Calibri"/>
                <w:sz w:val="16"/>
                <w:szCs w:val="16"/>
              </w:rPr>
            </w:pPr>
            <w:r w:rsidRPr="00673243">
              <w:rPr>
                <w:rFonts w:eastAsia="Calibri" w:cs="Calibri"/>
                <w:sz w:val="16"/>
                <w:szCs w:val="16"/>
              </w:rPr>
              <w:t>04.07.2018</w:t>
            </w:r>
          </w:p>
        </w:tc>
        <w:tc>
          <w:tcPr>
            <w:tcW w:w="0" w:type="auto"/>
            <w:tcBorders>
              <w:top w:val="single" w:sz="4" w:space="0" w:color="auto"/>
            </w:tcBorders>
            <w:shd w:val="clear" w:color="auto" w:fill="B4C6E7" w:themeFill="accent5" w:themeFillTint="66"/>
            <w:vAlign w:val="center"/>
          </w:tcPr>
          <w:p w14:paraId="7F468DD0" w14:textId="77777777" w:rsidR="009D5567" w:rsidRPr="00673243" w:rsidRDefault="009D5567" w:rsidP="00673243">
            <w:pPr>
              <w:spacing w:before="12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Información pública disponible en diversas direcciones electrónicas de internet, relativa a</w:t>
            </w:r>
            <w:r w:rsidR="00D82D7E" w:rsidRPr="00673243">
              <w:rPr>
                <w:rFonts w:eastAsia="Calibri" w:cs="Calibri"/>
                <w:sz w:val="16"/>
                <w:szCs w:val="16"/>
              </w:rPr>
              <w:t xml:space="preserve"> ofertas comerciales de las siguientes marcas comerciales</w:t>
            </w:r>
            <w:r w:rsidRPr="00673243">
              <w:rPr>
                <w:rFonts w:eastAsia="Calibri" w:cs="Calibri"/>
                <w:sz w:val="16"/>
                <w:szCs w:val="16"/>
              </w:rPr>
              <w:t>:</w:t>
            </w:r>
            <w:r w:rsidRPr="00673243">
              <w:rPr>
                <w:rStyle w:val="Refdenotaalpie"/>
                <w:rFonts w:eastAsia="Calibri" w:cs="Calibri"/>
                <w:sz w:val="16"/>
                <w:szCs w:val="16"/>
              </w:rPr>
              <w:footnoteReference w:id="57"/>
            </w:r>
          </w:p>
          <w:p w14:paraId="50BB7061" w14:textId="77777777" w:rsidR="009D5567" w:rsidRPr="00673243" w:rsidRDefault="004A5AFE" w:rsidP="00673243">
            <w:pPr>
              <w:pStyle w:val="Prrafodelista"/>
              <w:numPr>
                <w:ilvl w:val="0"/>
                <w:numId w:val="4"/>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Times New Roman" w:cs="Arial"/>
                <w:bCs/>
                <w:sz w:val="16"/>
                <w:szCs w:val="16"/>
                <w:lang w:eastAsia="es-ES"/>
              </w:rPr>
              <w:t xml:space="preserve">La oferta comercial de las marcas comerciales </w:t>
            </w:r>
            <w:r w:rsidR="009D5567" w:rsidRPr="00673243">
              <w:rPr>
                <w:rFonts w:eastAsia="Calibri" w:cs="Calibri"/>
                <w:sz w:val="16"/>
                <w:szCs w:val="16"/>
              </w:rPr>
              <w:t>Bestel</w:t>
            </w:r>
            <w:r w:rsidRPr="00673243">
              <w:rPr>
                <w:rFonts w:eastAsia="Calibri" w:cs="Calibri"/>
                <w:sz w:val="16"/>
                <w:szCs w:val="16"/>
              </w:rPr>
              <w:t xml:space="preserve">, </w:t>
            </w:r>
            <w:r w:rsidR="009D5567" w:rsidRPr="00673243">
              <w:rPr>
                <w:rFonts w:eastAsia="Calibri" w:cs="Calibri"/>
                <w:sz w:val="16"/>
                <w:szCs w:val="16"/>
              </w:rPr>
              <w:t>Total Play</w:t>
            </w:r>
            <w:r w:rsidRPr="00673243">
              <w:rPr>
                <w:rFonts w:eastAsia="Calibri" w:cs="Calibri"/>
                <w:sz w:val="16"/>
                <w:szCs w:val="16"/>
              </w:rPr>
              <w:t xml:space="preserve">, </w:t>
            </w:r>
            <w:r w:rsidR="009D5567" w:rsidRPr="00673243">
              <w:rPr>
                <w:rFonts w:eastAsia="Calibri" w:cs="Calibri"/>
                <w:sz w:val="16"/>
                <w:szCs w:val="16"/>
              </w:rPr>
              <w:t>Telmex</w:t>
            </w:r>
            <w:r w:rsidRPr="00673243">
              <w:rPr>
                <w:rFonts w:eastAsia="Calibri" w:cs="Calibri"/>
                <w:sz w:val="16"/>
                <w:szCs w:val="16"/>
              </w:rPr>
              <w:t xml:space="preserve">, </w:t>
            </w:r>
            <w:r w:rsidR="009D5567" w:rsidRPr="00673243">
              <w:rPr>
                <w:rFonts w:eastAsia="Calibri" w:cs="Calibri"/>
                <w:sz w:val="16"/>
                <w:szCs w:val="16"/>
              </w:rPr>
              <w:t>Alestra</w:t>
            </w:r>
            <w:r w:rsidRPr="00673243">
              <w:rPr>
                <w:rFonts w:eastAsia="Calibri" w:cs="Calibri"/>
                <w:sz w:val="16"/>
                <w:szCs w:val="16"/>
              </w:rPr>
              <w:t xml:space="preserve">, </w:t>
            </w:r>
            <w:r w:rsidR="009D5567" w:rsidRPr="00673243">
              <w:rPr>
                <w:rFonts w:eastAsia="Calibri" w:cs="Calibri"/>
                <w:sz w:val="16"/>
                <w:szCs w:val="16"/>
              </w:rPr>
              <w:t>Axesat</w:t>
            </w:r>
            <w:r w:rsidRPr="00673243">
              <w:rPr>
                <w:rFonts w:eastAsia="Calibri" w:cs="Calibri"/>
                <w:sz w:val="16"/>
                <w:szCs w:val="16"/>
              </w:rPr>
              <w:t xml:space="preserve">, </w:t>
            </w:r>
            <w:r w:rsidR="009D5567" w:rsidRPr="00673243">
              <w:rPr>
                <w:rFonts w:eastAsia="Calibri" w:cs="Calibri"/>
                <w:sz w:val="16"/>
                <w:szCs w:val="16"/>
              </w:rPr>
              <w:t>SATPRO</w:t>
            </w:r>
            <w:r w:rsidRPr="00673243">
              <w:rPr>
                <w:rFonts w:eastAsia="Calibri" w:cs="Calibri"/>
                <w:sz w:val="16"/>
                <w:szCs w:val="16"/>
              </w:rPr>
              <w:t xml:space="preserve">, </w:t>
            </w:r>
            <w:r w:rsidR="009D5567" w:rsidRPr="00673243">
              <w:rPr>
                <w:rFonts w:eastAsia="Calibri" w:cs="Calibri"/>
                <w:sz w:val="16"/>
                <w:szCs w:val="16"/>
              </w:rPr>
              <w:t>Telcel</w:t>
            </w:r>
            <w:r w:rsidRPr="00673243">
              <w:rPr>
                <w:rFonts w:eastAsia="Calibri" w:cs="Calibri"/>
                <w:sz w:val="16"/>
                <w:szCs w:val="16"/>
              </w:rPr>
              <w:t xml:space="preserve">, </w:t>
            </w:r>
            <w:r w:rsidR="009D5567" w:rsidRPr="00673243">
              <w:rPr>
                <w:rFonts w:eastAsia="Calibri" w:cs="Calibri"/>
                <w:sz w:val="16"/>
                <w:szCs w:val="16"/>
              </w:rPr>
              <w:t>Movistar</w:t>
            </w:r>
            <w:r w:rsidRPr="00673243">
              <w:rPr>
                <w:rFonts w:eastAsia="Calibri" w:cs="Calibri"/>
                <w:sz w:val="16"/>
                <w:szCs w:val="16"/>
              </w:rPr>
              <w:t xml:space="preserve">, </w:t>
            </w:r>
            <w:r w:rsidR="009D5567" w:rsidRPr="00673243">
              <w:rPr>
                <w:rFonts w:eastAsia="Calibri" w:cs="Calibri"/>
                <w:sz w:val="16"/>
                <w:szCs w:val="16"/>
              </w:rPr>
              <w:t>MetroCarrier</w:t>
            </w:r>
            <w:r w:rsidRPr="00673243">
              <w:rPr>
                <w:rFonts w:eastAsia="Calibri" w:cs="Calibri"/>
                <w:sz w:val="16"/>
                <w:szCs w:val="16"/>
              </w:rPr>
              <w:t xml:space="preserve">, </w:t>
            </w:r>
            <w:r w:rsidR="009D5567" w:rsidRPr="00673243">
              <w:rPr>
                <w:rFonts w:eastAsia="Calibri" w:cs="Calibri"/>
                <w:sz w:val="16"/>
                <w:szCs w:val="16"/>
              </w:rPr>
              <w:t>AT&amp;T Internet</w:t>
            </w:r>
            <w:r w:rsidRPr="00673243">
              <w:rPr>
                <w:rFonts w:eastAsia="Calibri" w:cs="Calibri"/>
                <w:sz w:val="16"/>
                <w:szCs w:val="16"/>
              </w:rPr>
              <w:t xml:space="preserve">, </w:t>
            </w:r>
            <w:r w:rsidR="009D5567" w:rsidRPr="00673243">
              <w:rPr>
                <w:rFonts w:eastAsia="Calibri" w:cs="Calibri"/>
                <w:sz w:val="16"/>
                <w:szCs w:val="16"/>
              </w:rPr>
              <w:t>MCM Telecom</w:t>
            </w:r>
            <w:r w:rsidRPr="00673243">
              <w:rPr>
                <w:rFonts w:eastAsia="Calibri" w:cs="Calibri"/>
                <w:sz w:val="16"/>
                <w:szCs w:val="16"/>
              </w:rPr>
              <w:t>,</w:t>
            </w:r>
            <w:r w:rsidRPr="00673243">
              <w:rPr>
                <w:sz w:val="16"/>
                <w:szCs w:val="16"/>
              </w:rPr>
              <w:t xml:space="preserve"> </w:t>
            </w:r>
            <w:r w:rsidR="009D5567" w:rsidRPr="00673243">
              <w:rPr>
                <w:sz w:val="16"/>
                <w:szCs w:val="16"/>
              </w:rPr>
              <w:t>GTAC</w:t>
            </w:r>
            <w:r w:rsidRPr="00673243">
              <w:rPr>
                <w:sz w:val="16"/>
                <w:szCs w:val="16"/>
              </w:rPr>
              <w:t>,</w:t>
            </w:r>
            <w:r w:rsidRPr="00673243">
              <w:rPr>
                <w:rFonts w:eastAsia="Calibri" w:cs="Calibri"/>
                <w:sz w:val="16"/>
                <w:szCs w:val="16"/>
              </w:rPr>
              <w:t xml:space="preserve"> </w:t>
            </w:r>
            <w:r w:rsidR="009D5567" w:rsidRPr="00673243">
              <w:rPr>
                <w:rFonts w:eastAsia="Calibri" w:cs="Calibri"/>
                <w:sz w:val="16"/>
                <w:szCs w:val="16"/>
              </w:rPr>
              <w:t>Torrecom</w:t>
            </w:r>
            <w:r w:rsidRPr="00673243">
              <w:rPr>
                <w:rFonts w:eastAsia="Calibri" w:cs="Calibri"/>
                <w:sz w:val="16"/>
                <w:szCs w:val="16"/>
              </w:rPr>
              <w:t xml:space="preserve">, </w:t>
            </w:r>
            <w:r w:rsidR="009D5567" w:rsidRPr="00673243">
              <w:rPr>
                <w:rFonts w:eastAsia="Calibri" w:cs="Calibri"/>
                <w:sz w:val="16"/>
                <w:szCs w:val="16"/>
              </w:rPr>
              <w:t>Vant Exgon</w:t>
            </w:r>
            <w:r w:rsidRPr="00673243">
              <w:rPr>
                <w:rFonts w:eastAsia="Calibri" w:cs="Calibri"/>
                <w:sz w:val="16"/>
                <w:szCs w:val="16"/>
              </w:rPr>
              <w:t xml:space="preserve">, </w:t>
            </w:r>
            <w:r w:rsidR="009D5567" w:rsidRPr="00673243">
              <w:rPr>
                <w:rFonts w:eastAsia="Calibri" w:cs="Calibri"/>
                <w:sz w:val="16"/>
                <w:szCs w:val="16"/>
              </w:rPr>
              <w:t>Uniti</w:t>
            </w:r>
            <w:r w:rsidRPr="00673243">
              <w:rPr>
                <w:rFonts w:eastAsia="Calibri" w:cs="Calibri"/>
                <w:sz w:val="16"/>
                <w:szCs w:val="16"/>
              </w:rPr>
              <w:t xml:space="preserve">, </w:t>
            </w:r>
            <w:r w:rsidR="009D5567" w:rsidRPr="00673243">
              <w:rPr>
                <w:rFonts w:eastAsia="Calibri" w:cs="Calibri"/>
                <w:sz w:val="16"/>
                <w:szCs w:val="16"/>
              </w:rPr>
              <w:t>BTS Towers</w:t>
            </w:r>
            <w:r w:rsidRPr="00673243">
              <w:rPr>
                <w:rFonts w:eastAsia="Calibri" w:cs="Calibri"/>
                <w:sz w:val="16"/>
                <w:szCs w:val="16"/>
              </w:rPr>
              <w:t>, C</w:t>
            </w:r>
            <w:r w:rsidR="009D5567" w:rsidRPr="00673243">
              <w:rPr>
                <w:rFonts w:eastAsia="Calibri" w:cs="Calibri"/>
                <w:sz w:val="16"/>
                <w:szCs w:val="16"/>
              </w:rPr>
              <w:t>entennial Towers</w:t>
            </w:r>
            <w:r w:rsidRPr="00673243">
              <w:rPr>
                <w:rFonts w:eastAsia="Calibri" w:cs="Calibri"/>
                <w:sz w:val="16"/>
                <w:szCs w:val="16"/>
              </w:rPr>
              <w:t xml:space="preserve">, </w:t>
            </w:r>
            <w:r w:rsidR="009D5567" w:rsidRPr="00673243">
              <w:rPr>
                <w:rFonts w:eastAsia="Calibri" w:cs="Calibri"/>
                <w:sz w:val="16"/>
                <w:szCs w:val="16"/>
              </w:rPr>
              <w:t>Intelli Sites Solutions</w:t>
            </w:r>
            <w:r w:rsidRPr="00673243">
              <w:rPr>
                <w:rFonts w:eastAsia="Calibri" w:cs="Calibri"/>
                <w:sz w:val="16"/>
                <w:szCs w:val="16"/>
              </w:rPr>
              <w:t xml:space="preserve">, </w:t>
            </w:r>
            <w:r w:rsidR="009D5567" w:rsidRPr="00673243">
              <w:rPr>
                <w:rFonts w:eastAsia="Calibri" w:cs="Calibri"/>
                <w:sz w:val="16"/>
                <w:szCs w:val="16"/>
              </w:rPr>
              <w:t>Inversiones e Infraestructura Mexicana en Telecomunicacio</w:t>
            </w:r>
            <w:r w:rsidRPr="00673243">
              <w:rPr>
                <w:rFonts w:eastAsia="Calibri" w:cs="Calibri"/>
                <w:sz w:val="16"/>
                <w:szCs w:val="16"/>
              </w:rPr>
              <w:t xml:space="preserve">nes, </w:t>
            </w:r>
            <w:r w:rsidR="00FD18DD">
              <w:rPr>
                <w:rFonts w:eastAsia="Calibri" w:cs="Calibri"/>
                <w:sz w:val="16"/>
                <w:szCs w:val="16"/>
              </w:rPr>
              <w:t>RED</w:t>
            </w:r>
            <w:r w:rsidR="009D5567" w:rsidRPr="00673243">
              <w:rPr>
                <w:rFonts w:eastAsia="Calibri" w:cs="Calibri"/>
                <w:sz w:val="16"/>
                <w:szCs w:val="16"/>
              </w:rPr>
              <w:t>IT</w:t>
            </w:r>
            <w:r w:rsidRPr="00673243">
              <w:rPr>
                <w:rFonts w:eastAsia="Calibri" w:cs="Calibri"/>
                <w:sz w:val="16"/>
                <w:szCs w:val="16"/>
              </w:rPr>
              <w:t xml:space="preserve"> y </w:t>
            </w:r>
            <w:r w:rsidR="009D5567" w:rsidRPr="00673243">
              <w:rPr>
                <w:rFonts w:eastAsia="Calibri" w:cs="Calibri"/>
                <w:sz w:val="16"/>
                <w:szCs w:val="16"/>
              </w:rPr>
              <w:t>Transtelco</w:t>
            </w:r>
            <w:r w:rsidRPr="00673243">
              <w:rPr>
                <w:rFonts w:eastAsia="Calibri" w:cs="Calibri"/>
                <w:sz w:val="16"/>
                <w:szCs w:val="16"/>
              </w:rPr>
              <w:t>.</w:t>
            </w:r>
          </w:p>
        </w:tc>
      </w:tr>
      <w:tr w:rsidR="009D5567" w:rsidRPr="00673243" w14:paraId="702FFD23" w14:textId="77777777" w:rsidTr="00F007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vAlign w:val="center"/>
          </w:tcPr>
          <w:p w14:paraId="593F3B8F" w14:textId="77777777" w:rsidR="009D5567" w:rsidRPr="00673243" w:rsidRDefault="009D5567" w:rsidP="00673243">
            <w:pPr>
              <w:tabs>
                <w:tab w:val="left" w:pos="709"/>
              </w:tabs>
              <w:spacing w:before="120"/>
              <w:jc w:val="center"/>
              <w:rPr>
                <w:rFonts w:eastAsia="Calibri" w:cs="Calibri"/>
                <w:sz w:val="16"/>
                <w:szCs w:val="16"/>
              </w:rPr>
            </w:pPr>
            <w:r w:rsidRPr="00673243">
              <w:rPr>
                <w:rFonts w:eastAsia="Calibri" w:cs="Calibri"/>
                <w:sz w:val="16"/>
                <w:szCs w:val="16"/>
              </w:rPr>
              <w:t>04.07.2018</w:t>
            </w:r>
          </w:p>
        </w:tc>
        <w:tc>
          <w:tcPr>
            <w:tcW w:w="0" w:type="auto"/>
            <w:tcBorders>
              <w:bottom w:val="single" w:sz="4" w:space="0" w:color="auto"/>
            </w:tcBorders>
            <w:shd w:val="clear" w:color="auto" w:fill="auto"/>
            <w:vAlign w:val="center"/>
          </w:tcPr>
          <w:p w14:paraId="69DCB6A3" w14:textId="77777777" w:rsidR="009D5567" w:rsidRPr="00673243" w:rsidRDefault="009D5567" w:rsidP="00673243">
            <w:pPr>
              <w:spacing w:before="12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Calibri" w:cs="Calibri"/>
                <w:sz w:val="16"/>
                <w:szCs w:val="16"/>
              </w:rPr>
              <w:t>Información pública disponible en diversas direcciones electrónicas de internet</w:t>
            </w:r>
            <w:r w:rsidR="009641D5" w:rsidRPr="00673243">
              <w:rPr>
                <w:rFonts w:eastAsia="Calibri" w:cs="Calibri"/>
                <w:sz w:val="16"/>
                <w:szCs w:val="16"/>
              </w:rPr>
              <w:t xml:space="preserve"> disponible en el Portal de internet del Instituto</w:t>
            </w:r>
            <w:r w:rsidRPr="00673243">
              <w:rPr>
                <w:rFonts w:eastAsia="Calibri" w:cs="Calibri"/>
                <w:sz w:val="16"/>
                <w:szCs w:val="16"/>
              </w:rPr>
              <w:t>, relativa a:</w:t>
            </w:r>
            <w:r w:rsidRPr="00673243">
              <w:rPr>
                <w:rStyle w:val="Refdenotaalpie"/>
                <w:rFonts w:eastAsia="Calibri" w:cs="Calibri"/>
                <w:sz w:val="16"/>
                <w:szCs w:val="16"/>
              </w:rPr>
              <w:footnoteReference w:id="58"/>
            </w:r>
          </w:p>
          <w:p w14:paraId="53577550" w14:textId="77777777" w:rsidR="00BE67FC" w:rsidRPr="00673243" w:rsidRDefault="00BE67FC" w:rsidP="009B0A36">
            <w:pPr>
              <w:pStyle w:val="Prrafodelista"/>
              <w:numPr>
                <w:ilvl w:val="0"/>
                <w:numId w:val="6"/>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Times New Roman" w:cs="Arial"/>
                <w:bCs/>
                <w:sz w:val="16"/>
                <w:szCs w:val="16"/>
                <w:lang w:eastAsia="es-ES"/>
              </w:rPr>
              <w:t xml:space="preserve">La oferta comercial de las marcas comerciales Axtel, </w:t>
            </w:r>
            <w:r w:rsidRPr="00673243">
              <w:rPr>
                <w:rFonts w:eastAsia="Calibri" w:cs="Calibri"/>
                <w:sz w:val="16"/>
                <w:szCs w:val="16"/>
              </w:rPr>
              <w:t>Megacable, Metrored, Total Play, Telefónica Movistar, Alestra, SIHI México, Aitelecom, Izzi internet, Telmex y Bestphone, disponible en el portal de internet del Instituto Federal de Telecomunicaciones.</w:t>
            </w:r>
          </w:p>
          <w:p w14:paraId="5D3C5FB1" w14:textId="77777777" w:rsidR="009D5567" w:rsidRPr="00673243" w:rsidRDefault="00BE67FC" w:rsidP="009B0A36">
            <w:pPr>
              <w:pStyle w:val="Prrafodelista"/>
              <w:numPr>
                <w:ilvl w:val="0"/>
                <w:numId w:val="6"/>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Calibri" w:cs="Calibri"/>
                <w:sz w:val="16"/>
                <w:szCs w:val="16"/>
              </w:rPr>
              <w:t xml:space="preserve">Reporte Anual a la Bolsa Mexicana de Valores de </w:t>
            </w:r>
            <w:r w:rsidR="003B0D54" w:rsidRPr="00673243">
              <w:rPr>
                <w:rFonts w:eastAsia="Calibri" w:cs="Calibri"/>
                <w:sz w:val="16"/>
                <w:szCs w:val="16"/>
              </w:rPr>
              <w:t>Teléfonos</w:t>
            </w:r>
            <w:r w:rsidRPr="00673243">
              <w:rPr>
                <w:rFonts w:eastAsia="Calibri" w:cs="Calibri"/>
                <w:sz w:val="16"/>
                <w:szCs w:val="16"/>
              </w:rPr>
              <w:t xml:space="preserve"> de México, S.A.B de C.V.</w:t>
            </w:r>
            <w:r w:rsidR="003B0D54" w:rsidRPr="00673243">
              <w:rPr>
                <w:rFonts w:eastAsia="Calibri" w:cs="Calibri"/>
                <w:sz w:val="16"/>
                <w:szCs w:val="16"/>
              </w:rPr>
              <w:t xml:space="preserve"> para el año 2017.</w:t>
            </w:r>
          </w:p>
        </w:tc>
      </w:tr>
      <w:tr w:rsidR="009D5567" w:rsidRPr="00673243" w14:paraId="1E9C3A95" w14:textId="77777777" w:rsidTr="009D5567">
        <w:trPr>
          <w:trHeight w:val="17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B4C6E7" w:themeFill="accent5" w:themeFillTint="66"/>
            <w:vAlign w:val="center"/>
          </w:tcPr>
          <w:p w14:paraId="7C0F20DF" w14:textId="77777777" w:rsidR="009D5567" w:rsidRPr="00673243" w:rsidRDefault="009D5567" w:rsidP="00673243">
            <w:pPr>
              <w:tabs>
                <w:tab w:val="left" w:pos="709"/>
              </w:tabs>
              <w:spacing w:before="120"/>
              <w:jc w:val="center"/>
              <w:rPr>
                <w:rFonts w:eastAsia="Calibri" w:cs="Calibri"/>
                <w:sz w:val="16"/>
                <w:szCs w:val="16"/>
              </w:rPr>
            </w:pPr>
            <w:r w:rsidRPr="00673243">
              <w:rPr>
                <w:rFonts w:eastAsia="Calibri" w:cs="Calibri"/>
                <w:sz w:val="16"/>
                <w:szCs w:val="16"/>
              </w:rPr>
              <w:t>04.07.2018</w:t>
            </w:r>
          </w:p>
        </w:tc>
        <w:tc>
          <w:tcPr>
            <w:tcW w:w="0" w:type="auto"/>
            <w:tcBorders>
              <w:bottom w:val="single" w:sz="4" w:space="0" w:color="auto"/>
            </w:tcBorders>
            <w:shd w:val="clear" w:color="auto" w:fill="B4C6E7" w:themeFill="accent5" w:themeFillTint="66"/>
            <w:vAlign w:val="center"/>
          </w:tcPr>
          <w:p w14:paraId="6B6D0046" w14:textId="77777777" w:rsidR="009D5567" w:rsidRPr="00673243" w:rsidRDefault="009D5567" w:rsidP="00673243">
            <w:pPr>
              <w:spacing w:before="12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Información pública disponible en diversas direcciones electrónicas de internet, relativa a:</w:t>
            </w:r>
            <w:r w:rsidRPr="00673243">
              <w:rPr>
                <w:rStyle w:val="Refdenotaalpie"/>
                <w:rFonts w:eastAsia="Calibri" w:cs="Calibri"/>
                <w:sz w:val="16"/>
                <w:szCs w:val="16"/>
              </w:rPr>
              <w:footnoteReference w:id="59"/>
            </w:r>
          </w:p>
          <w:p w14:paraId="4FB0619C"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 xml:space="preserve">Versiones públicas de los </w:t>
            </w:r>
            <w:r w:rsidR="00BB46E0">
              <w:rPr>
                <w:rFonts w:eastAsia="Calibri" w:cs="Calibri"/>
                <w:sz w:val="16"/>
                <w:szCs w:val="16"/>
              </w:rPr>
              <w:t>a</w:t>
            </w:r>
            <w:r w:rsidRPr="00673243">
              <w:rPr>
                <w:rFonts w:eastAsia="Calibri" w:cs="Calibri"/>
                <w:sz w:val="16"/>
                <w:szCs w:val="16"/>
              </w:rPr>
              <w:t xml:space="preserve">cuerdos del Pleno del IFT: </w:t>
            </w:r>
            <w:r w:rsidRPr="00673243">
              <w:rPr>
                <w:color w:val="000000"/>
                <w:sz w:val="16"/>
                <w:szCs w:val="16"/>
              </w:rPr>
              <w:t xml:space="preserve">P/IFT/181017/651, </w:t>
            </w:r>
            <w:r w:rsidRPr="00673243">
              <w:rPr>
                <w:bCs/>
                <w:sz w:val="16"/>
                <w:szCs w:val="16"/>
              </w:rPr>
              <w:t xml:space="preserve">P/IFT/EXT/060314/76, </w:t>
            </w:r>
            <w:r w:rsidRPr="00673243">
              <w:rPr>
                <w:color w:val="000000"/>
                <w:sz w:val="16"/>
                <w:szCs w:val="16"/>
              </w:rPr>
              <w:t>P/IFT/EXT/060314/76, P/IFT/180315/93 y P/IFT/160414/92.</w:t>
            </w:r>
          </w:p>
          <w:p w14:paraId="3C9D71F7"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color w:val="000000"/>
                <w:sz w:val="16"/>
                <w:szCs w:val="16"/>
              </w:rPr>
              <w:t xml:space="preserve">Expedientes de la extinta Comisión Federal de Competencia: </w:t>
            </w:r>
            <w:r w:rsidRPr="00673243">
              <w:rPr>
                <w:sz w:val="16"/>
                <w:szCs w:val="16"/>
              </w:rPr>
              <w:t>CNT-121-2003, CNT-099-2011, CNT-082-2013, CNT-079-2012 y CNT-075-2012.</w:t>
            </w:r>
          </w:p>
          <w:p w14:paraId="7F29F7D4"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lastRenderedPageBreak/>
              <w:t>Resolución del Pleno de la extinta Comisión Federal de Competencia DC-02-2007.</w:t>
            </w:r>
          </w:p>
          <w:p w14:paraId="08157DD3"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Decisión de la Comisión Europea COMP/38.370 —O2.</w:t>
            </w:r>
          </w:p>
          <w:p w14:paraId="3B88BA3B" w14:textId="77777777" w:rsidR="007B1C2C" w:rsidRPr="00673243" w:rsidRDefault="007B1C2C"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Times New Roman" w:cs="Arial"/>
                <w:bCs/>
                <w:sz w:val="16"/>
                <w:szCs w:val="16"/>
                <w:lang w:eastAsia="es-ES"/>
              </w:rPr>
              <w:t>La oferta comercial de las marcas comerciales de Alest</w:t>
            </w:r>
            <w:r w:rsidR="000F0984">
              <w:rPr>
                <w:rFonts w:eastAsia="Times New Roman" w:cs="Arial"/>
                <w:bCs/>
                <w:sz w:val="16"/>
                <w:szCs w:val="16"/>
                <w:lang w:eastAsia="es-ES"/>
              </w:rPr>
              <w:t>r</w:t>
            </w:r>
            <w:r w:rsidRPr="00673243">
              <w:rPr>
                <w:rFonts w:eastAsia="Times New Roman" w:cs="Arial"/>
                <w:bCs/>
                <w:sz w:val="16"/>
                <w:szCs w:val="16"/>
                <w:lang w:eastAsia="es-ES"/>
              </w:rPr>
              <w:t>a, Metrored, MCM Telecom, Metrocarrier, Level 3 y Transtelco.</w:t>
            </w:r>
          </w:p>
          <w:p w14:paraId="075D3437"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Operadora de Sites Mexicanos, S.A. de C.V</w:t>
            </w:r>
            <w:r w:rsidR="008C7148" w:rsidRPr="00673243">
              <w:rPr>
                <w:sz w:val="16"/>
                <w:szCs w:val="16"/>
              </w:rPr>
              <w:t>.</w:t>
            </w:r>
            <w:r w:rsidRPr="00673243">
              <w:rPr>
                <w:sz w:val="16"/>
                <w:szCs w:val="16"/>
              </w:rPr>
              <w:t xml:space="preserve"> </w:t>
            </w:r>
          </w:p>
          <w:p w14:paraId="1DA8E019" w14:textId="77777777" w:rsidR="001C59E3" w:rsidRPr="00673243" w:rsidRDefault="001C59E3"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Total Play Telecomunicaciones, S.A. de C.V.</w:t>
            </w:r>
          </w:p>
          <w:p w14:paraId="72A9E8CF" w14:textId="77777777" w:rsidR="001C59E3" w:rsidRPr="00673243" w:rsidRDefault="001C59E3"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SIHI México, S. de R.L. de C.V.</w:t>
            </w:r>
          </w:p>
          <w:p w14:paraId="7B554335" w14:textId="77777777" w:rsidR="00FC633D" w:rsidRPr="00673243" w:rsidRDefault="00FC633D"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Grupo de Telecomunicaciones Mexicanas, S.A. de C.V.</w:t>
            </w:r>
          </w:p>
          <w:p w14:paraId="11004BC2" w14:textId="77777777" w:rsidR="002A7D07" w:rsidRPr="00673243" w:rsidRDefault="002A7D0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Empresas Cablevisión, S.A.B. de C.V.</w:t>
            </w:r>
          </w:p>
          <w:p w14:paraId="5366FC8F" w14:textId="77777777" w:rsidR="009F5F82" w:rsidRPr="00B90034" w:rsidRDefault="009F5F82"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lang w:val="en-GB"/>
              </w:rPr>
            </w:pPr>
            <w:r w:rsidRPr="00B90034">
              <w:rPr>
                <w:sz w:val="16"/>
                <w:szCs w:val="16"/>
                <w:lang w:val="en-GB"/>
              </w:rPr>
              <w:t>Megacable Holdings, S.A.B. de C.V.</w:t>
            </w:r>
          </w:p>
          <w:p w14:paraId="30F3E4CC" w14:textId="77777777" w:rsidR="002F77FD" w:rsidRPr="00673243" w:rsidRDefault="002F77FD"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Servicio y Equipo en Telefonía e Internet, S.A. de C.V.</w:t>
            </w:r>
          </w:p>
          <w:p w14:paraId="179D40B3" w14:textId="77777777" w:rsidR="002F77FD" w:rsidRPr="00673243" w:rsidRDefault="002F77FD"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Cablevisión S.A. de C.V.</w:t>
            </w:r>
          </w:p>
          <w:p w14:paraId="06C7DDA9" w14:textId="77777777" w:rsidR="002F77FD" w:rsidRPr="00673243" w:rsidRDefault="002F77FD"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Teléfonos del Noreste, S.A. de C.V</w:t>
            </w:r>
            <w:r w:rsidRPr="00673243">
              <w:rPr>
                <w:b/>
                <w:sz w:val="16"/>
                <w:szCs w:val="16"/>
              </w:rPr>
              <w:t>.</w:t>
            </w:r>
          </w:p>
          <w:p w14:paraId="3C8F4C93" w14:textId="77777777" w:rsidR="00ED7CFB" w:rsidRPr="00673243" w:rsidRDefault="00ED7CFB"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P</w:t>
            </w:r>
            <w:r w:rsidR="005E53BC">
              <w:rPr>
                <w:sz w:val="16"/>
                <w:szCs w:val="16"/>
              </w:rPr>
              <w:t>rocuraduría Federal del Cons</w:t>
            </w:r>
            <w:r w:rsidR="002B018A">
              <w:rPr>
                <w:sz w:val="16"/>
                <w:szCs w:val="16"/>
              </w:rPr>
              <w:t>umidor</w:t>
            </w:r>
          </w:p>
          <w:p w14:paraId="6079755F" w14:textId="77777777" w:rsidR="00ED7CFB" w:rsidRPr="00673243" w:rsidRDefault="00ED7CFB"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GSMA</w:t>
            </w:r>
          </w:p>
          <w:p w14:paraId="2E98B2C7"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Axtel</w:t>
            </w:r>
            <w:r w:rsidR="00ED7CFB" w:rsidRPr="00673243">
              <w:rPr>
                <w:sz w:val="16"/>
                <w:szCs w:val="16"/>
              </w:rPr>
              <w:t>, S.A.B. de C.V.</w:t>
            </w:r>
          </w:p>
          <w:p w14:paraId="330F3A09"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Unión Inte</w:t>
            </w:r>
            <w:r w:rsidR="00ED7CFB" w:rsidRPr="00673243">
              <w:rPr>
                <w:sz w:val="16"/>
                <w:szCs w:val="16"/>
              </w:rPr>
              <w:t>rnacional de Telecomunicaciones</w:t>
            </w:r>
            <w:r w:rsidR="008C7148" w:rsidRPr="00673243">
              <w:rPr>
                <w:sz w:val="16"/>
                <w:szCs w:val="16"/>
              </w:rPr>
              <w:t>.</w:t>
            </w:r>
            <w:r w:rsidR="00ED7CFB" w:rsidRPr="00673243">
              <w:rPr>
                <w:sz w:val="16"/>
                <w:szCs w:val="16"/>
              </w:rPr>
              <w:t xml:space="preserve"> </w:t>
            </w:r>
          </w:p>
          <w:p w14:paraId="6A323885" w14:textId="77777777" w:rsidR="00FC633D" w:rsidRPr="00673243" w:rsidRDefault="00FC633D"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Times New Roman" w:cs="Arial"/>
                <w:bCs/>
                <w:sz w:val="16"/>
                <w:szCs w:val="16"/>
                <w:lang w:eastAsia="es-ES"/>
              </w:rPr>
              <w:t>Información sobre</w:t>
            </w:r>
            <w:r w:rsidR="002F77FD" w:rsidRPr="00673243">
              <w:rPr>
                <w:rFonts w:eastAsia="Times New Roman" w:cs="Arial"/>
                <w:bCs/>
                <w:sz w:val="16"/>
                <w:szCs w:val="16"/>
                <w:lang w:eastAsia="es-ES"/>
              </w:rPr>
              <w:t xml:space="preserve"> ubicación de</w:t>
            </w:r>
            <w:r w:rsidRPr="00673243">
              <w:rPr>
                <w:rFonts w:eastAsia="Times New Roman" w:cs="Arial"/>
                <w:bCs/>
                <w:sz w:val="16"/>
                <w:szCs w:val="16"/>
                <w:lang w:eastAsia="es-ES"/>
              </w:rPr>
              <w:t xml:space="preserve"> </w:t>
            </w:r>
            <w:r w:rsidR="002F77FD" w:rsidRPr="00673243">
              <w:rPr>
                <w:rFonts w:eastAsia="Times New Roman" w:cs="Arial"/>
                <w:bCs/>
                <w:sz w:val="16"/>
                <w:szCs w:val="16"/>
                <w:lang w:eastAsia="es-ES"/>
              </w:rPr>
              <w:t>torres de la marca comercial Uniti Towers.</w:t>
            </w:r>
          </w:p>
          <w:p w14:paraId="23AF2A93"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Redes Virtuales Privadas o VPN.</w:t>
            </w:r>
          </w:p>
          <w:p w14:paraId="1200FE3B"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Métricas de</w:t>
            </w:r>
            <w:r w:rsidR="00B700E1">
              <w:rPr>
                <w:sz w:val="16"/>
                <w:szCs w:val="16"/>
              </w:rPr>
              <w:t xml:space="preserve"> Eficiencia Espectral del IFT.</w:t>
            </w:r>
          </w:p>
          <w:p w14:paraId="4B25D315" w14:textId="77777777" w:rsidR="009D5567" w:rsidRPr="00673243" w:rsidRDefault="00ED7CFB"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T</w:t>
            </w:r>
            <w:r w:rsidR="009D5567" w:rsidRPr="00673243">
              <w:rPr>
                <w:sz w:val="16"/>
                <w:szCs w:val="16"/>
              </w:rPr>
              <w:t>ecnología</w:t>
            </w:r>
            <w:r w:rsidR="009D5567" w:rsidRPr="00673243">
              <w:rPr>
                <w:color w:val="000000"/>
                <w:sz w:val="16"/>
                <w:szCs w:val="16"/>
              </w:rPr>
              <w:t xml:space="preserve"> </w:t>
            </w:r>
            <w:r w:rsidR="009D5567" w:rsidRPr="00673243">
              <w:rPr>
                <w:sz w:val="16"/>
                <w:szCs w:val="16"/>
              </w:rPr>
              <w:t>Ethernet/IEEE 802.3</w:t>
            </w:r>
            <w:r w:rsidR="008C7148" w:rsidRPr="00673243">
              <w:rPr>
                <w:sz w:val="16"/>
                <w:szCs w:val="16"/>
              </w:rPr>
              <w:t>.</w:t>
            </w:r>
          </w:p>
          <w:p w14:paraId="051FA892"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Redes de Transporte Óptico (OTN)</w:t>
            </w:r>
            <w:r w:rsidR="008C7148" w:rsidRPr="00673243">
              <w:rPr>
                <w:sz w:val="16"/>
                <w:szCs w:val="16"/>
              </w:rPr>
              <w:t>.</w:t>
            </w:r>
            <w:r w:rsidRPr="00673243">
              <w:rPr>
                <w:sz w:val="16"/>
                <w:szCs w:val="16"/>
              </w:rPr>
              <w:t xml:space="preserve"> </w:t>
            </w:r>
          </w:p>
          <w:p w14:paraId="2A9297A5"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Concepto de MPLS, elementos, beneficios e implementación de MPLS.</w:t>
            </w:r>
          </w:p>
          <w:p w14:paraId="54D06E08"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Texto sobre características y diferencias entre Ethernet y IEEE 802.3.</w:t>
            </w:r>
          </w:p>
          <w:p w14:paraId="5B1A019F"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Guía didáctica de Ethernet.</w:t>
            </w:r>
            <w:r w:rsidRPr="00673243">
              <w:rPr>
                <w:rFonts w:eastAsia="Calibri" w:cs="Calibri"/>
                <w:sz w:val="16"/>
                <w:szCs w:val="16"/>
              </w:rPr>
              <w:t xml:space="preserve"> </w:t>
            </w:r>
          </w:p>
          <w:p w14:paraId="0FBD0D00" w14:textId="77777777" w:rsidR="009D5567" w:rsidRPr="00673243" w:rsidRDefault="00ED7CFB"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I</w:t>
            </w:r>
            <w:r w:rsidR="009D5567" w:rsidRPr="00673243">
              <w:rPr>
                <w:sz w:val="16"/>
                <w:szCs w:val="16"/>
              </w:rPr>
              <w:t>ndicadores estadísticos de telecomunicaciones del IFT.</w:t>
            </w:r>
          </w:p>
          <w:p w14:paraId="62A8837A" w14:textId="77777777" w:rsidR="009D5567" w:rsidRPr="00673243" w:rsidRDefault="00ED7CFB"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rFonts w:eastAsia="Calibri" w:cs="Calibri"/>
                <w:sz w:val="16"/>
                <w:szCs w:val="16"/>
              </w:rPr>
              <w:t>E</w:t>
            </w:r>
            <w:r w:rsidR="009D5567" w:rsidRPr="00673243">
              <w:rPr>
                <w:rFonts w:eastAsia="Calibri" w:cs="Calibri"/>
                <w:sz w:val="16"/>
                <w:szCs w:val="16"/>
              </w:rPr>
              <w:t>ncuesta “Soy Usuario”, 2017.</w:t>
            </w:r>
          </w:p>
          <w:p w14:paraId="75C8CE49" w14:textId="77777777" w:rsidR="009D5567" w:rsidRPr="00673243" w:rsidRDefault="009D5567"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B90034">
              <w:rPr>
                <w:sz w:val="16"/>
                <w:szCs w:val="16"/>
              </w:rPr>
              <w:t>Notas sobre “Calidad de Servicio (QoS)”</w:t>
            </w:r>
            <w:r w:rsidR="008C7148" w:rsidRPr="00B90034">
              <w:rPr>
                <w:sz w:val="16"/>
                <w:szCs w:val="16"/>
              </w:rPr>
              <w:t>.</w:t>
            </w:r>
            <w:r w:rsidRPr="00B90034">
              <w:rPr>
                <w:sz w:val="16"/>
                <w:szCs w:val="16"/>
              </w:rPr>
              <w:t xml:space="preserve"> </w:t>
            </w:r>
          </w:p>
          <w:p w14:paraId="339EC719" w14:textId="77777777" w:rsidR="009D5567" w:rsidRPr="00673243" w:rsidRDefault="00ED7CFB"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Modelo de costos aprobado por el IFT.</w:t>
            </w:r>
          </w:p>
          <w:p w14:paraId="6D48D83B" w14:textId="77777777" w:rsidR="0088679F" w:rsidRPr="00673243" w:rsidRDefault="00ED7CFB" w:rsidP="009B0A36">
            <w:pPr>
              <w:pStyle w:val="Prrafodelista"/>
              <w:numPr>
                <w:ilvl w:val="0"/>
                <w:numId w:val="7"/>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73243">
              <w:rPr>
                <w:sz w:val="16"/>
                <w:szCs w:val="16"/>
              </w:rPr>
              <w:t>Informe trimestral estadístico 2017 del IFT.</w:t>
            </w:r>
          </w:p>
        </w:tc>
      </w:tr>
      <w:tr w:rsidR="009641D5" w:rsidRPr="00673243" w14:paraId="07AED054" w14:textId="77777777" w:rsidTr="0038187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vAlign w:val="center"/>
          </w:tcPr>
          <w:p w14:paraId="6A803660" w14:textId="77777777" w:rsidR="009641D5" w:rsidRPr="00673243" w:rsidRDefault="009641D5" w:rsidP="00673243">
            <w:pPr>
              <w:tabs>
                <w:tab w:val="left" w:pos="709"/>
              </w:tabs>
              <w:spacing w:before="120"/>
              <w:jc w:val="center"/>
              <w:rPr>
                <w:rFonts w:eastAsia="Calibri" w:cs="Calibri"/>
                <w:sz w:val="16"/>
                <w:szCs w:val="16"/>
              </w:rPr>
            </w:pPr>
            <w:r w:rsidRPr="00673243">
              <w:rPr>
                <w:rFonts w:eastAsia="Calibri" w:cs="Calibri"/>
                <w:sz w:val="16"/>
                <w:szCs w:val="16"/>
              </w:rPr>
              <w:lastRenderedPageBreak/>
              <w:t>04.07.2018</w:t>
            </w:r>
          </w:p>
        </w:tc>
        <w:tc>
          <w:tcPr>
            <w:tcW w:w="0" w:type="auto"/>
            <w:tcBorders>
              <w:bottom w:val="single" w:sz="4" w:space="0" w:color="auto"/>
            </w:tcBorders>
            <w:shd w:val="clear" w:color="auto" w:fill="auto"/>
            <w:vAlign w:val="center"/>
          </w:tcPr>
          <w:p w14:paraId="53B2EF52" w14:textId="77777777" w:rsidR="009641D5" w:rsidRPr="00673243" w:rsidRDefault="009641D5" w:rsidP="00673243">
            <w:pPr>
              <w:spacing w:before="12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Calibri" w:cs="Calibri"/>
                <w:sz w:val="16"/>
                <w:szCs w:val="16"/>
              </w:rPr>
              <w:t>Información contenida en los expedientes AI/DC-002-2016 y AI/DC-001-2018 del Índice de la AI, relativa a:</w:t>
            </w:r>
            <w:r w:rsidRPr="00673243">
              <w:rPr>
                <w:rStyle w:val="Refdenotaalpie"/>
                <w:rFonts w:eastAsia="Calibri" w:cs="Calibri"/>
                <w:sz w:val="16"/>
                <w:szCs w:val="16"/>
              </w:rPr>
              <w:footnoteReference w:id="60"/>
            </w:r>
          </w:p>
          <w:p w14:paraId="1293EC97" w14:textId="77777777" w:rsidR="00DE5ACB" w:rsidRPr="00673243" w:rsidRDefault="008E74F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Pr>
                <w:sz w:val="16"/>
                <w:szCs w:val="16"/>
              </w:rPr>
              <w:t xml:space="preserve">Información proporcionada por la </w:t>
            </w:r>
            <w:r w:rsidR="00DE5ACB" w:rsidRPr="00673243">
              <w:rPr>
                <w:sz w:val="16"/>
                <w:szCs w:val="16"/>
              </w:rPr>
              <w:t xml:space="preserve">Unidad de Cumplimiento del </w:t>
            </w:r>
            <w:r w:rsidR="00B55D35" w:rsidRPr="00673243">
              <w:rPr>
                <w:sz w:val="16"/>
                <w:szCs w:val="16"/>
              </w:rPr>
              <w:t>IFT</w:t>
            </w:r>
            <w:r w:rsidR="008C7148" w:rsidRPr="00673243">
              <w:rPr>
                <w:sz w:val="16"/>
                <w:szCs w:val="16"/>
              </w:rPr>
              <w:t>.</w:t>
            </w:r>
          </w:p>
          <w:p w14:paraId="4FE8217D" w14:textId="77777777" w:rsidR="009641D5" w:rsidRPr="00673243" w:rsidRDefault="009641D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sz w:val="16"/>
                <w:szCs w:val="16"/>
              </w:rPr>
              <w:t xml:space="preserve">Marcatel Com, S.A. de C.V. </w:t>
            </w:r>
          </w:p>
          <w:p w14:paraId="1759A0F0" w14:textId="77777777" w:rsidR="009641D5" w:rsidRPr="00673243" w:rsidRDefault="009641D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Times New Roman" w:cs="Calibri"/>
                <w:sz w:val="16"/>
                <w:szCs w:val="16"/>
                <w:lang w:val="es-ES" w:eastAsia="es-ES"/>
              </w:rPr>
              <w:t xml:space="preserve">Axtel, S.A.B. de C.V. </w:t>
            </w:r>
          </w:p>
          <w:p w14:paraId="647FD992" w14:textId="77777777" w:rsidR="00DE5ACB" w:rsidRPr="00673243" w:rsidRDefault="00DE5ACB"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Times New Roman" w:cs="Calibri"/>
                <w:sz w:val="16"/>
                <w:szCs w:val="16"/>
                <w:lang w:val="es-ES" w:eastAsia="es-ES"/>
              </w:rPr>
              <w:lastRenderedPageBreak/>
              <w:t>América Móvil, S.A.B de C.V.</w:t>
            </w:r>
          </w:p>
          <w:p w14:paraId="17CAB3B2" w14:textId="77777777" w:rsidR="00DE5ACB" w:rsidRPr="00673243" w:rsidRDefault="00DE5ACB"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Times New Roman" w:cs="Calibri"/>
                <w:sz w:val="16"/>
                <w:szCs w:val="16"/>
                <w:lang w:val="es-ES" w:eastAsia="es-ES"/>
              </w:rPr>
              <w:t>Grupo Televisa, S.A.B.</w:t>
            </w:r>
          </w:p>
          <w:p w14:paraId="565C7E97" w14:textId="77777777" w:rsidR="00DE5ACB" w:rsidRPr="00673243" w:rsidRDefault="00DE5ACB"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sz w:val="16"/>
                <w:szCs w:val="16"/>
              </w:rPr>
              <w:t>Grupo de Telecomunicaciones Mexicanas, S.A. de C.V.</w:t>
            </w:r>
          </w:p>
          <w:p w14:paraId="35715946" w14:textId="77777777" w:rsidR="00DE5ACB" w:rsidRPr="00673243" w:rsidRDefault="00DE5ACB"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sz w:val="16"/>
                <w:szCs w:val="16"/>
              </w:rPr>
              <w:t>Grupo de Telecomunicaciones de Alta Capacidad, S.A.P.I. de C.V.</w:t>
            </w:r>
          </w:p>
          <w:p w14:paraId="587A93EA" w14:textId="77777777" w:rsidR="00DE5ACB" w:rsidRPr="00673243" w:rsidRDefault="00DE5ACB"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sz w:val="16"/>
                <w:szCs w:val="16"/>
              </w:rPr>
              <w:t>Level 3 México Landing, S. de R.L.</w:t>
            </w:r>
          </w:p>
          <w:p w14:paraId="71896EC4" w14:textId="77777777" w:rsidR="009641D5" w:rsidRPr="00B90034" w:rsidRDefault="009641D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lang w:val="en-GB"/>
              </w:rPr>
            </w:pPr>
            <w:r w:rsidRPr="00B90034">
              <w:rPr>
                <w:rFonts w:eastAsia="Times New Roman" w:cs="Calibri"/>
                <w:sz w:val="16"/>
                <w:szCs w:val="16"/>
                <w:lang w:val="en-GB" w:eastAsia="es-ES"/>
              </w:rPr>
              <w:t>Megacable Holdings, S.A.B. de C.V.</w:t>
            </w:r>
          </w:p>
          <w:p w14:paraId="406B5196" w14:textId="77777777" w:rsidR="00DE5ACB" w:rsidRPr="00673243" w:rsidRDefault="00DE5ACB"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Times New Roman" w:cs="Calibri"/>
                <w:sz w:val="16"/>
                <w:szCs w:val="16"/>
                <w:lang w:val="es-ES" w:eastAsia="es-ES"/>
              </w:rPr>
              <w:t>Maxcom Telecomunicaciones, S.A.B. de C.V.</w:t>
            </w:r>
          </w:p>
          <w:p w14:paraId="7025AF0C" w14:textId="77777777" w:rsidR="009641D5" w:rsidRPr="00673243" w:rsidRDefault="009641D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sz w:val="16"/>
                <w:szCs w:val="16"/>
              </w:rPr>
              <w:t xml:space="preserve">Total Play, S.A. de C.V. </w:t>
            </w:r>
          </w:p>
          <w:p w14:paraId="70B94B1B" w14:textId="77777777" w:rsidR="009641D5" w:rsidRPr="00673243" w:rsidRDefault="009641D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sz w:val="16"/>
                <w:szCs w:val="16"/>
              </w:rPr>
              <w:t xml:space="preserve">América Móvil, S.A.B. de C.V. </w:t>
            </w:r>
          </w:p>
          <w:p w14:paraId="0F832C72" w14:textId="77777777" w:rsidR="009641D5" w:rsidRPr="00673243" w:rsidRDefault="009641D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sz w:val="16"/>
                <w:szCs w:val="16"/>
              </w:rPr>
              <w:t xml:space="preserve">SixSigma Networks México, S.A. de C.V. </w:t>
            </w:r>
          </w:p>
          <w:p w14:paraId="364CB89A" w14:textId="77777777" w:rsidR="009641D5" w:rsidRPr="00673243" w:rsidRDefault="009641D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Times New Roman" w:cs="Calibri"/>
                <w:sz w:val="16"/>
                <w:szCs w:val="16"/>
                <w:lang w:val="es-ES" w:eastAsia="es-ES"/>
              </w:rPr>
              <w:t>Presentación titulada “Tecnologías de Telec</w:t>
            </w:r>
            <w:r w:rsidR="00D564A8" w:rsidRPr="00673243">
              <w:rPr>
                <w:rFonts w:eastAsia="Times New Roman" w:cs="Calibri"/>
                <w:sz w:val="16"/>
                <w:szCs w:val="16"/>
                <w:lang w:val="es-ES" w:eastAsia="es-ES"/>
              </w:rPr>
              <w:t>omunicaciones PDH, SDH y DWDM”</w:t>
            </w:r>
            <w:r w:rsidR="008C7148" w:rsidRPr="00673243">
              <w:rPr>
                <w:rFonts w:eastAsia="Times New Roman" w:cs="Calibri"/>
                <w:sz w:val="16"/>
                <w:szCs w:val="16"/>
                <w:lang w:val="es-ES" w:eastAsia="es-ES"/>
              </w:rPr>
              <w:t>.</w:t>
            </w:r>
          </w:p>
          <w:p w14:paraId="3852C5B6" w14:textId="77777777" w:rsidR="009641D5" w:rsidRPr="00673243" w:rsidRDefault="009641D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Times New Roman" w:cs="Calibri"/>
                <w:sz w:val="16"/>
                <w:szCs w:val="16"/>
                <w:lang w:val="es-ES" w:eastAsia="es-ES"/>
              </w:rPr>
              <w:t>Documento titulado “Redes Ópticas DWDM: Diseño e Implementación”</w:t>
            </w:r>
            <w:r w:rsidR="008C7148" w:rsidRPr="00673243">
              <w:rPr>
                <w:rFonts w:eastAsia="Times New Roman" w:cs="Calibri"/>
                <w:sz w:val="16"/>
                <w:szCs w:val="16"/>
                <w:lang w:val="es-ES" w:eastAsia="es-ES"/>
              </w:rPr>
              <w:t>.</w:t>
            </w:r>
          </w:p>
          <w:p w14:paraId="5A77A1D2" w14:textId="77777777" w:rsidR="009641D5" w:rsidRPr="00673243" w:rsidRDefault="009641D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73243">
              <w:rPr>
                <w:rFonts w:eastAsia="Times New Roman" w:cs="Calibri"/>
                <w:sz w:val="16"/>
                <w:szCs w:val="16"/>
                <w:lang w:val="es-ES" w:eastAsia="es-ES"/>
              </w:rPr>
              <w:t>Documento referente a los sistemas de transmisión SONET y SDH</w:t>
            </w:r>
            <w:r w:rsidR="008C7148" w:rsidRPr="00673243">
              <w:rPr>
                <w:rFonts w:eastAsia="Times New Roman" w:cs="Calibri"/>
                <w:sz w:val="16"/>
                <w:szCs w:val="16"/>
                <w:lang w:val="es-ES" w:eastAsia="es-ES"/>
              </w:rPr>
              <w:t>.</w:t>
            </w:r>
            <w:r w:rsidRPr="00673243">
              <w:rPr>
                <w:rFonts w:eastAsia="Times New Roman" w:cs="Calibri"/>
                <w:sz w:val="16"/>
                <w:szCs w:val="16"/>
                <w:lang w:val="es-ES" w:eastAsia="es-ES"/>
              </w:rPr>
              <w:t xml:space="preserve"> </w:t>
            </w:r>
          </w:p>
          <w:p w14:paraId="3A87D2CD" w14:textId="77777777" w:rsidR="009641D5" w:rsidRPr="00673243" w:rsidRDefault="008E74F5" w:rsidP="009B0A36">
            <w:pPr>
              <w:pStyle w:val="Prrafodelista"/>
              <w:numPr>
                <w:ilvl w:val="0"/>
                <w:numId w:val="8"/>
              </w:numPr>
              <w:spacing w:before="120" w:after="12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Pr>
                <w:rFonts w:eastAsia="Times New Roman" w:cs="Calibri"/>
                <w:sz w:val="16"/>
                <w:szCs w:val="16"/>
                <w:lang w:val="es-ES" w:eastAsia="es-ES"/>
              </w:rPr>
              <w:t xml:space="preserve">Informe publicado por la </w:t>
            </w:r>
            <w:r w:rsidR="009641D5" w:rsidRPr="00673243">
              <w:rPr>
                <w:rFonts w:eastAsia="Times New Roman" w:cs="Calibri"/>
                <w:sz w:val="16"/>
                <w:szCs w:val="16"/>
                <w:lang w:val="es-ES" w:eastAsia="es-ES"/>
              </w:rPr>
              <w:t>Asociación de Profesionales de Informática Sanitaria de Andalucía</w:t>
            </w:r>
            <w:r w:rsidR="008C7148" w:rsidRPr="00673243">
              <w:rPr>
                <w:rFonts w:eastAsia="Times New Roman" w:cs="Calibri"/>
                <w:sz w:val="16"/>
                <w:szCs w:val="16"/>
                <w:lang w:val="es-ES" w:eastAsia="es-ES"/>
              </w:rPr>
              <w:t>.</w:t>
            </w:r>
          </w:p>
        </w:tc>
      </w:tr>
    </w:tbl>
    <w:p w14:paraId="587ACF6D" w14:textId="77777777" w:rsidR="00E55813" w:rsidRPr="00F3768B" w:rsidRDefault="000A654A" w:rsidP="00C40B54">
      <w:pPr>
        <w:pStyle w:val="Ttulo2"/>
        <w:keepNext w:val="0"/>
        <w:keepLines w:val="0"/>
        <w:numPr>
          <w:ilvl w:val="0"/>
          <w:numId w:val="0"/>
        </w:numPr>
        <w:spacing w:before="120" w:after="120"/>
        <w:jc w:val="both"/>
        <w:rPr>
          <w:rFonts w:eastAsia="Calibri" w:cs="Calibri"/>
          <w:b w:val="0"/>
        </w:rPr>
      </w:pPr>
      <w:bookmarkStart w:id="24" w:name="_Toc428872187"/>
      <w:bookmarkStart w:id="25" w:name="_Toc463624302"/>
      <w:r w:rsidRPr="008A19EB">
        <w:rPr>
          <w:rFonts w:eastAsia="Calibri" w:cs="Calibri"/>
          <w:smallCaps/>
        </w:rPr>
        <w:lastRenderedPageBreak/>
        <w:t>Décimo</w:t>
      </w:r>
      <w:r w:rsidR="0079593A">
        <w:rPr>
          <w:rFonts w:eastAsia="Calibri" w:cs="Calibri"/>
          <w:smallCaps/>
        </w:rPr>
        <w:t xml:space="preserve"> Primero</w:t>
      </w:r>
      <w:r w:rsidRPr="008A19EB">
        <w:rPr>
          <w:rFonts w:eastAsia="Calibri" w:cs="Calibri"/>
        </w:rPr>
        <w:t>.-</w:t>
      </w:r>
      <w:r w:rsidRPr="008A19EB">
        <w:rPr>
          <w:rFonts w:eastAsia="Calibri" w:cs="Calibri"/>
          <w:b w:val="0"/>
        </w:rPr>
        <w:t xml:space="preserve"> </w:t>
      </w:r>
      <w:r w:rsidR="00BC336F" w:rsidRPr="00C40B54">
        <w:rPr>
          <w:rFonts w:eastAsia="Calibri" w:cs="Calibri"/>
          <w:b w:val="0"/>
        </w:rPr>
        <w:t>Clasificación de la información obtenida</w:t>
      </w:r>
      <w:bookmarkEnd w:id="24"/>
    </w:p>
    <w:p w14:paraId="7A74692D" w14:textId="77777777" w:rsidR="00BC336F" w:rsidRPr="00C40B54" w:rsidRDefault="004227E8" w:rsidP="009B0A36">
      <w:pPr>
        <w:pStyle w:val="Prrafodelista"/>
        <w:numPr>
          <w:ilvl w:val="0"/>
          <w:numId w:val="13"/>
        </w:numPr>
        <w:spacing w:before="120" w:after="120" w:line="240" w:lineRule="auto"/>
        <w:contextualSpacing w:val="0"/>
        <w:jc w:val="both"/>
        <w:rPr>
          <w:rFonts w:eastAsia="Calibri" w:cs="Calibri"/>
          <w:b/>
        </w:rPr>
      </w:pPr>
      <w:r w:rsidRPr="00B66476">
        <w:rPr>
          <w:rFonts w:eastAsia="Calibri" w:cs="Calibri"/>
        </w:rPr>
        <w:t xml:space="preserve">Con fundamento en </w:t>
      </w:r>
      <w:r w:rsidR="006722CE" w:rsidRPr="00B66476">
        <w:rPr>
          <w:rFonts w:eastAsia="Calibri" w:cs="Calibri"/>
        </w:rPr>
        <w:t xml:space="preserve">los artículos 3, fracción IX, 124, párrafo primero y 125 de la LFCE, </w:t>
      </w:r>
      <w:r w:rsidR="00800844" w:rsidRPr="00B66476">
        <w:rPr>
          <w:rFonts w:eastAsia="Calibri" w:cs="Calibri"/>
        </w:rPr>
        <w:t xml:space="preserve">se clasificaron como confidenciales </w:t>
      </w:r>
      <w:r w:rsidR="006722CE" w:rsidRPr="00B66476">
        <w:rPr>
          <w:rFonts w:eastAsia="Calibri" w:cs="Calibri"/>
        </w:rPr>
        <w:t>diversa información y documentos aportados por los agentes económicos</w:t>
      </w:r>
      <w:r w:rsidR="00800844" w:rsidRPr="00B66476">
        <w:rPr>
          <w:rFonts w:eastAsia="Calibri" w:cs="Calibri"/>
        </w:rPr>
        <w:t xml:space="preserve"> al presente procedimiento. </w:t>
      </w:r>
      <w:r w:rsidR="006722CE" w:rsidRPr="00B66476">
        <w:rPr>
          <w:rFonts w:eastAsia="Calibri" w:cs="Calibri"/>
        </w:rPr>
        <w:t xml:space="preserve">En consecuencia, </w:t>
      </w:r>
      <w:r w:rsidR="00800844" w:rsidRPr="00B66476">
        <w:rPr>
          <w:rFonts w:eastAsia="Calibri" w:cs="Calibri"/>
        </w:rPr>
        <w:t>los mismos</w:t>
      </w:r>
      <w:r w:rsidR="006722CE" w:rsidRPr="00F82243">
        <w:rPr>
          <w:rFonts w:eastAsia="Calibri" w:cs="Calibri"/>
        </w:rPr>
        <w:t xml:space="preserve"> fue</w:t>
      </w:r>
      <w:r w:rsidR="00800844" w:rsidRPr="00495D84">
        <w:rPr>
          <w:rFonts w:eastAsia="Calibri" w:cs="Calibri"/>
        </w:rPr>
        <w:t>ron</w:t>
      </w:r>
      <w:r w:rsidR="006722CE" w:rsidRPr="00495D84">
        <w:rPr>
          <w:rFonts w:eastAsia="Calibri" w:cs="Calibri"/>
        </w:rPr>
        <w:t xml:space="preserve"> re</w:t>
      </w:r>
      <w:r w:rsidR="00800844" w:rsidRPr="007373FE">
        <w:rPr>
          <w:rFonts w:eastAsia="Calibri" w:cs="Calibri"/>
        </w:rPr>
        <w:t>sguardados</w:t>
      </w:r>
      <w:r w:rsidR="006722CE" w:rsidRPr="007373FE">
        <w:rPr>
          <w:rFonts w:eastAsia="Calibri" w:cs="Calibri"/>
        </w:rPr>
        <w:t xml:space="preserve"> con carácter</w:t>
      </w:r>
      <w:r w:rsidR="00800844" w:rsidRPr="007373FE">
        <w:rPr>
          <w:rFonts w:eastAsia="Calibri" w:cs="Calibri"/>
        </w:rPr>
        <w:t xml:space="preserve"> confidencial y</w:t>
      </w:r>
      <w:r w:rsidR="006722CE" w:rsidRPr="007373FE">
        <w:rPr>
          <w:rFonts w:eastAsia="Calibri" w:cs="Calibri"/>
        </w:rPr>
        <w:t xml:space="preserve"> por cuerda separ</w:t>
      </w:r>
      <w:r w:rsidR="00212B57" w:rsidRPr="007373FE">
        <w:rPr>
          <w:rFonts w:eastAsia="Calibri" w:cs="Calibri"/>
        </w:rPr>
        <w:t>a</w:t>
      </w:r>
      <w:r w:rsidR="006722CE" w:rsidRPr="007373FE">
        <w:rPr>
          <w:rFonts w:eastAsia="Calibri" w:cs="Calibri"/>
        </w:rPr>
        <w:t xml:space="preserve">da del </w:t>
      </w:r>
      <w:r w:rsidR="00800844" w:rsidRPr="007373FE">
        <w:rPr>
          <w:rFonts w:eastAsia="Calibri" w:cs="Calibri"/>
        </w:rPr>
        <w:t>E</w:t>
      </w:r>
      <w:r w:rsidR="006722CE" w:rsidRPr="007373FE">
        <w:rPr>
          <w:rFonts w:eastAsia="Calibri" w:cs="Calibri"/>
        </w:rPr>
        <w:t>xpediente en que se actúa, con la indicación del agente económico que la proporcionó.</w:t>
      </w:r>
      <w:bookmarkEnd w:id="25"/>
    </w:p>
    <w:p w14:paraId="5EF3E8B8" w14:textId="77777777" w:rsidR="00E55813" w:rsidRPr="00C40B54" w:rsidRDefault="00BC336F" w:rsidP="00C40B54">
      <w:pPr>
        <w:pStyle w:val="Ttulo2"/>
        <w:keepNext w:val="0"/>
        <w:keepLines w:val="0"/>
        <w:numPr>
          <w:ilvl w:val="0"/>
          <w:numId w:val="0"/>
        </w:numPr>
        <w:spacing w:before="120" w:after="120"/>
        <w:jc w:val="both"/>
        <w:rPr>
          <w:rFonts w:eastAsia="Calibri" w:cs="Calibri"/>
        </w:rPr>
      </w:pPr>
      <w:bookmarkStart w:id="26" w:name="_Toc428872188"/>
      <w:bookmarkStart w:id="27" w:name="_Toc463624303"/>
      <w:r w:rsidRPr="00673243">
        <w:rPr>
          <w:rFonts w:eastAsia="Calibri" w:cs="Calibri"/>
          <w:smallCaps/>
        </w:rPr>
        <w:t xml:space="preserve">Décimo </w:t>
      </w:r>
      <w:r w:rsidR="0079593A" w:rsidRPr="008A19EB">
        <w:rPr>
          <w:rFonts w:eastAsia="Calibri" w:cs="Calibri"/>
          <w:smallCaps/>
        </w:rPr>
        <w:t>Segundo</w:t>
      </w:r>
      <w:r w:rsidRPr="00673243">
        <w:rPr>
          <w:rFonts w:eastAsia="Calibri" w:cs="Calibri"/>
        </w:rPr>
        <w:t>.-</w:t>
      </w:r>
      <w:r w:rsidRPr="00673243">
        <w:rPr>
          <w:rFonts w:eastAsia="Calibri" w:cs="Calibri"/>
          <w:b w:val="0"/>
        </w:rPr>
        <w:t xml:space="preserve"> </w:t>
      </w:r>
      <w:r w:rsidRPr="00C40B54">
        <w:rPr>
          <w:rFonts w:eastAsia="Calibri" w:cs="Calibri"/>
          <w:b w:val="0"/>
        </w:rPr>
        <w:t>Acuerdo de conclusión</w:t>
      </w:r>
      <w:bookmarkEnd w:id="26"/>
    </w:p>
    <w:p w14:paraId="4E33C0F8" w14:textId="77777777" w:rsidR="006722CE" w:rsidRPr="007373FE" w:rsidRDefault="00D0641F" w:rsidP="009B0A36">
      <w:pPr>
        <w:pStyle w:val="Prrafodelista"/>
        <w:numPr>
          <w:ilvl w:val="0"/>
          <w:numId w:val="13"/>
        </w:numPr>
        <w:spacing w:before="120" w:after="120" w:line="240" w:lineRule="auto"/>
        <w:contextualSpacing w:val="0"/>
        <w:jc w:val="both"/>
        <w:rPr>
          <w:rFonts w:eastAsia="Calibri" w:cs="Calibri"/>
        </w:rPr>
      </w:pPr>
      <w:r>
        <w:rPr>
          <w:rFonts w:eastAsia="Calibri" w:cs="Calibri"/>
        </w:rPr>
        <w:t xml:space="preserve">El nueve de julio de dos mil dieciocho, </w:t>
      </w:r>
      <w:r w:rsidR="006722CE" w:rsidRPr="00B66476">
        <w:rPr>
          <w:rFonts w:eastAsia="Calibri" w:cs="Calibri"/>
        </w:rPr>
        <w:t>con fundamento en los artículos</w:t>
      </w:r>
      <w:r w:rsidR="00EA62F5" w:rsidRPr="00B66476">
        <w:rPr>
          <w:rFonts w:eastAsia="Calibri" w:cs="Calibri"/>
        </w:rPr>
        <w:t xml:space="preserve"> </w:t>
      </w:r>
      <w:r w:rsidR="006722CE" w:rsidRPr="00B66476">
        <w:rPr>
          <w:rFonts w:eastAsia="Calibri" w:cs="Calibri"/>
        </w:rPr>
        <w:t>96</w:t>
      </w:r>
      <w:r w:rsidR="001C395E" w:rsidRPr="00B66476">
        <w:rPr>
          <w:rFonts w:eastAsia="Calibri" w:cs="Calibri"/>
        </w:rPr>
        <w:t>, fracción V</w:t>
      </w:r>
      <w:r w:rsidR="00C00457" w:rsidRPr="00B66476">
        <w:rPr>
          <w:rFonts w:eastAsia="Calibri" w:cs="Calibri"/>
        </w:rPr>
        <w:t>,</w:t>
      </w:r>
      <w:r w:rsidR="006722CE" w:rsidRPr="00B66476">
        <w:rPr>
          <w:rFonts w:eastAsia="Calibri" w:cs="Calibri"/>
        </w:rPr>
        <w:t xml:space="preserve"> de la LFCE</w:t>
      </w:r>
      <w:r w:rsidR="009654A7">
        <w:rPr>
          <w:rFonts w:eastAsia="Calibri" w:cs="Calibri"/>
        </w:rPr>
        <w:t>,</w:t>
      </w:r>
      <w:r w:rsidR="006722CE" w:rsidRPr="00B66476">
        <w:rPr>
          <w:rFonts w:eastAsia="Calibri" w:cs="Calibri"/>
        </w:rPr>
        <w:t xml:space="preserve"> 67 de las Disposiciones </w:t>
      </w:r>
      <w:r w:rsidR="006722CE" w:rsidRPr="00F82243">
        <w:rPr>
          <w:rFonts w:eastAsia="Calibri" w:cs="Calibri"/>
        </w:rPr>
        <w:t>Regulatorias</w:t>
      </w:r>
      <w:r w:rsidR="002C2E12" w:rsidRPr="00495D84">
        <w:rPr>
          <w:rFonts w:eastAsia="Calibri" w:cs="Calibri"/>
        </w:rPr>
        <w:t xml:space="preserve"> y 62, fracción XXXVIII</w:t>
      </w:r>
      <w:r>
        <w:rPr>
          <w:rFonts w:eastAsia="Calibri" w:cs="Calibri"/>
        </w:rPr>
        <w:t>,</w:t>
      </w:r>
      <w:r w:rsidR="002C2E12" w:rsidRPr="00495D84">
        <w:rPr>
          <w:rFonts w:eastAsia="Calibri" w:cs="Calibri"/>
        </w:rPr>
        <w:t xml:space="preserve"> del Estatuto Orgánico,</w:t>
      </w:r>
      <w:r w:rsidR="006722CE" w:rsidRPr="00495D84">
        <w:rPr>
          <w:rFonts w:eastAsia="Calibri" w:cs="Calibri"/>
        </w:rPr>
        <w:t xml:space="preserve"> </w:t>
      </w:r>
      <w:r w:rsidR="009331A1" w:rsidRPr="007373FE">
        <w:rPr>
          <w:rFonts w:eastAsia="Calibri" w:cs="Calibri"/>
        </w:rPr>
        <w:t>la</w:t>
      </w:r>
      <w:r w:rsidR="006722CE" w:rsidRPr="007373FE">
        <w:rPr>
          <w:rFonts w:eastAsia="Calibri" w:cs="Calibri"/>
        </w:rPr>
        <w:t xml:space="preserve"> Titular de la AI emitió el acuerdo de conclusión de la </w:t>
      </w:r>
      <w:r>
        <w:rPr>
          <w:rFonts w:eastAsia="Calibri" w:cs="Calibri"/>
        </w:rPr>
        <w:t>investigación</w:t>
      </w:r>
      <w:r w:rsidR="006722CE" w:rsidRPr="007373FE">
        <w:rPr>
          <w:rFonts w:eastAsia="Calibri" w:cs="Calibri"/>
        </w:rPr>
        <w:t>,</w:t>
      </w:r>
      <w:r w:rsidR="00042E23" w:rsidRPr="007373FE">
        <w:rPr>
          <w:rStyle w:val="Refdenotaalpie"/>
          <w:rFonts w:eastAsia="Calibri" w:cs="Calibri"/>
        </w:rPr>
        <w:footnoteReference w:id="61"/>
      </w:r>
      <w:r w:rsidR="006722CE" w:rsidRPr="007373FE">
        <w:rPr>
          <w:rFonts w:eastAsia="Calibri" w:cs="Calibri"/>
        </w:rPr>
        <w:t xml:space="preserve"> el cual fue </w:t>
      </w:r>
      <w:r w:rsidR="00042709" w:rsidRPr="007373FE">
        <w:rPr>
          <w:rFonts w:eastAsia="Calibri" w:cs="Calibri"/>
        </w:rPr>
        <w:t xml:space="preserve">publicado en la </w:t>
      </w:r>
      <w:r w:rsidR="006722CE" w:rsidRPr="007373FE">
        <w:rPr>
          <w:rFonts w:eastAsia="Calibri" w:cs="Calibri"/>
        </w:rPr>
        <w:t>lista de notificaciones de la AI en la misma fecha.</w:t>
      </w:r>
      <w:bookmarkEnd w:id="27"/>
    </w:p>
    <w:p w14:paraId="327EDA0A" w14:textId="77777777" w:rsidR="00BC336F" w:rsidRPr="00C40B54" w:rsidRDefault="00BC336F" w:rsidP="007373FE">
      <w:pPr>
        <w:pStyle w:val="Ttulo1"/>
        <w:jc w:val="both"/>
        <w:rPr>
          <w:rStyle w:val="Ttulo1Car"/>
          <w:b/>
          <w:smallCaps/>
        </w:rPr>
      </w:pPr>
      <w:bookmarkStart w:id="28" w:name="_Toc463624304"/>
      <w:r w:rsidRPr="00C40B54">
        <w:rPr>
          <w:rStyle w:val="Ttulo1Car"/>
          <w:b/>
          <w:smallCaps/>
        </w:rPr>
        <w:t>Consideraciones de derecho</w:t>
      </w:r>
      <w:bookmarkEnd w:id="28"/>
    </w:p>
    <w:p w14:paraId="477F7358" w14:textId="77777777" w:rsidR="004A2BA8" w:rsidRPr="00C40B54" w:rsidRDefault="00B96CA1" w:rsidP="00C40B54">
      <w:pPr>
        <w:spacing w:before="120"/>
        <w:jc w:val="both"/>
        <w:outlineLvl w:val="1"/>
        <w:rPr>
          <w:rFonts w:cs="Calibri"/>
        </w:rPr>
      </w:pPr>
      <w:bookmarkStart w:id="29" w:name="_Toc463624305"/>
      <w:r w:rsidRPr="00C40B54">
        <w:rPr>
          <w:rFonts w:eastAsia="Calibri" w:cstheme="majorBidi"/>
          <w:b/>
          <w:smallCaps/>
          <w:szCs w:val="26"/>
        </w:rPr>
        <w:t>Primera.-</w:t>
      </w:r>
      <w:r w:rsidRPr="00C40B54">
        <w:rPr>
          <w:rFonts w:eastAsia="Calibri" w:cstheme="majorBidi"/>
          <w:b/>
          <w:szCs w:val="26"/>
        </w:rPr>
        <w:t xml:space="preserve"> </w:t>
      </w:r>
      <w:r w:rsidRPr="00C40B54">
        <w:rPr>
          <w:rFonts w:eastAsia="Calibri" w:cstheme="majorBidi"/>
          <w:szCs w:val="26"/>
        </w:rPr>
        <w:t>Competencia</w:t>
      </w:r>
      <w:bookmarkEnd w:id="29"/>
    </w:p>
    <w:p w14:paraId="7F78DC45" w14:textId="77777777" w:rsidR="00B96CA1" w:rsidRPr="00673243" w:rsidRDefault="001746DD" w:rsidP="009B0A36">
      <w:pPr>
        <w:pStyle w:val="Prrafodelista"/>
        <w:numPr>
          <w:ilvl w:val="0"/>
          <w:numId w:val="13"/>
        </w:numPr>
        <w:spacing w:before="120" w:after="120" w:line="240" w:lineRule="auto"/>
        <w:contextualSpacing w:val="0"/>
        <w:jc w:val="both"/>
        <w:rPr>
          <w:rFonts w:cs="Calibri"/>
        </w:rPr>
      </w:pPr>
      <w:r w:rsidRPr="00C40B54">
        <w:rPr>
          <w:rFonts w:eastAsia="Calibri" w:cs="Calibri"/>
        </w:rPr>
        <w:t>L</w:t>
      </w:r>
      <w:r w:rsidR="00B96CA1" w:rsidRPr="00C40B54">
        <w:rPr>
          <w:rFonts w:eastAsia="Calibri" w:cs="Calibri"/>
        </w:rPr>
        <w:t>os artículos 5, primer párrafo</w:t>
      </w:r>
      <w:r w:rsidR="00C8446C">
        <w:rPr>
          <w:rFonts w:eastAsia="Calibri" w:cs="Calibri"/>
        </w:rPr>
        <w:t>,</w:t>
      </w:r>
      <w:r w:rsidR="00B96CA1" w:rsidRPr="00C40B54">
        <w:rPr>
          <w:rFonts w:eastAsia="Calibri" w:cs="Calibri"/>
        </w:rPr>
        <w:t xml:space="preserve"> de la LFCE y 7, tercer párrafo, de la LFTyR, establecen que el IFT es la autoridad en materia de competencia económica </w:t>
      </w:r>
      <w:r w:rsidR="0099468C" w:rsidRPr="00C40B54">
        <w:rPr>
          <w:rFonts w:eastAsia="Calibri" w:cs="Calibri"/>
        </w:rPr>
        <w:t>en</w:t>
      </w:r>
      <w:r w:rsidR="00B96CA1" w:rsidRPr="00C40B54">
        <w:rPr>
          <w:rFonts w:eastAsia="Calibri" w:cs="Calibri"/>
        </w:rPr>
        <w:t xml:space="preserve"> los sectores de telecomunicaciones</w:t>
      </w:r>
      <w:r w:rsidR="0099468C" w:rsidRPr="00C40B54">
        <w:rPr>
          <w:rFonts w:eastAsia="Calibri" w:cs="Calibri"/>
        </w:rPr>
        <w:t xml:space="preserve"> y radiodifusión</w:t>
      </w:r>
      <w:r w:rsidR="00B96CA1" w:rsidRPr="00C40B54">
        <w:rPr>
          <w:rFonts w:eastAsia="Calibri" w:cs="Calibri"/>
        </w:rPr>
        <w:t>, por lo que en estos ejercerá</w:t>
      </w:r>
      <w:r w:rsidR="0099468C" w:rsidRPr="00C40B54">
        <w:rPr>
          <w:rFonts w:eastAsia="Calibri" w:cs="Calibri"/>
        </w:rPr>
        <w:t>,</w:t>
      </w:r>
      <w:r w:rsidR="00B96CA1" w:rsidRPr="00C40B54">
        <w:rPr>
          <w:rFonts w:eastAsia="Calibri" w:cs="Calibri"/>
        </w:rPr>
        <w:t xml:space="preserve"> en forma exclusiva</w:t>
      </w:r>
      <w:r w:rsidR="0099468C" w:rsidRPr="00C40B54">
        <w:rPr>
          <w:rFonts w:eastAsia="Calibri" w:cs="Calibri"/>
        </w:rPr>
        <w:t>,</w:t>
      </w:r>
      <w:r w:rsidR="00B96CA1" w:rsidRPr="00C40B54">
        <w:rPr>
          <w:rFonts w:eastAsia="Calibri" w:cs="Calibri"/>
        </w:rPr>
        <w:t xml:space="preserve"> las facultades que establecen el artículo 28 de la</w:t>
      </w:r>
      <w:r w:rsidR="00360DDB">
        <w:rPr>
          <w:rFonts w:eastAsia="Calibri" w:cs="Calibri"/>
        </w:rPr>
        <w:t xml:space="preserve"> Constitución Política de </w:t>
      </w:r>
      <w:r w:rsidR="00360DDB">
        <w:rPr>
          <w:rFonts w:eastAsia="Calibri" w:cs="Calibri"/>
        </w:rPr>
        <w:lastRenderedPageBreak/>
        <w:t xml:space="preserve">los Estados Unidos Mexicanos </w:t>
      </w:r>
      <w:r w:rsidR="0099468C" w:rsidRPr="00C40B54">
        <w:rPr>
          <w:rFonts w:eastAsia="Calibri" w:cs="Calibri"/>
        </w:rPr>
        <w:t>y</w:t>
      </w:r>
      <w:r w:rsidR="00B96CA1" w:rsidRPr="00C40B54">
        <w:rPr>
          <w:rFonts w:eastAsia="Calibri" w:cs="Calibri"/>
        </w:rPr>
        <w:t xml:space="preserve"> </w:t>
      </w:r>
      <w:r w:rsidR="00212B57" w:rsidRPr="00C40B54">
        <w:rPr>
          <w:rFonts w:eastAsia="Calibri" w:cs="Calibri"/>
        </w:rPr>
        <w:t>la LFCE</w:t>
      </w:r>
      <w:r w:rsidR="0099468C" w:rsidRPr="00C40B54">
        <w:rPr>
          <w:rFonts w:eastAsia="Calibri" w:cs="Calibri"/>
        </w:rPr>
        <w:t xml:space="preserve"> para la Comisión Federal de Competencia Económica</w:t>
      </w:r>
      <w:r w:rsidR="00B96CA1" w:rsidRPr="00673243">
        <w:rPr>
          <w:rFonts w:cs="Calibri"/>
        </w:rPr>
        <w:t>.</w:t>
      </w:r>
    </w:p>
    <w:p w14:paraId="5AA73315" w14:textId="77777777" w:rsidR="00B96CA1" w:rsidRPr="00673243" w:rsidRDefault="001746DD" w:rsidP="009B0A36">
      <w:pPr>
        <w:pStyle w:val="Prrafodelista"/>
        <w:numPr>
          <w:ilvl w:val="0"/>
          <w:numId w:val="13"/>
        </w:numPr>
        <w:spacing w:before="120" w:after="120" w:line="240" w:lineRule="auto"/>
        <w:contextualSpacing w:val="0"/>
        <w:jc w:val="both"/>
        <w:rPr>
          <w:rFonts w:eastAsia="Calibri" w:cs="Calibri"/>
        </w:rPr>
      </w:pPr>
      <w:r w:rsidRPr="00673243">
        <w:rPr>
          <w:rFonts w:eastAsia="Calibri" w:cs="Calibri"/>
        </w:rPr>
        <w:t xml:space="preserve">En ese sentido, </w:t>
      </w:r>
      <w:r w:rsidR="001B56E5">
        <w:rPr>
          <w:rFonts w:eastAsia="Calibri" w:cs="Calibri"/>
        </w:rPr>
        <w:t>en términos de</w:t>
      </w:r>
      <w:r w:rsidR="001B56E5" w:rsidRPr="00673243">
        <w:rPr>
          <w:rFonts w:eastAsia="Calibri" w:cs="Calibri"/>
        </w:rPr>
        <w:t xml:space="preserve"> la</w:t>
      </w:r>
      <w:r w:rsidR="00FB50D2" w:rsidRPr="00FB50D2">
        <w:rPr>
          <w:rFonts w:eastAsia="Calibri" w:cs="Calibri"/>
        </w:rPr>
        <w:t xml:space="preserve"> </w:t>
      </w:r>
      <w:r w:rsidR="00FB50D2" w:rsidRPr="00673243">
        <w:rPr>
          <w:rFonts w:eastAsia="Calibri" w:cs="Calibri"/>
        </w:rPr>
        <w:t>fracción XX del artículo 15 de la LFTyR</w:t>
      </w:r>
      <w:r w:rsidR="001B56E5">
        <w:rPr>
          <w:rFonts w:eastAsia="Calibri" w:cs="Calibri"/>
        </w:rPr>
        <w:t>,</w:t>
      </w:r>
      <w:r w:rsidR="001B56E5" w:rsidRPr="00673243">
        <w:rPr>
          <w:rFonts w:eastAsia="Calibri" w:cs="Calibri"/>
        </w:rPr>
        <w:t xml:space="preserve"> </w:t>
      </w:r>
      <w:r w:rsidRPr="00673243">
        <w:rPr>
          <w:rFonts w:eastAsia="Calibri" w:cs="Calibri"/>
        </w:rPr>
        <w:t>e</w:t>
      </w:r>
      <w:r w:rsidR="00B96CA1" w:rsidRPr="00673243">
        <w:rPr>
          <w:rFonts w:eastAsia="Calibri" w:cs="Calibri"/>
        </w:rPr>
        <w:t xml:space="preserve">l IFT es la autoridad competente para </w:t>
      </w:r>
      <w:r w:rsidR="001B56E5">
        <w:rPr>
          <w:rFonts w:eastAsia="Calibri" w:cs="Calibri"/>
        </w:rPr>
        <w:t xml:space="preserve">determinar </w:t>
      </w:r>
      <w:r w:rsidR="00B96CA1" w:rsidRPr="00673243">
        <w:rPr>
          <w:rFonts w:eastAsia="Calibri" w:cs="Calibri"/>
        </w:rPr>
        <w:t>la existencia de agentes económicos con poder sustancial en los mercados relevantes</w:t>
      </w:r>
      <w:r w:rsidR="00212B57" w:rsidRPr="00673243">
        <w:rPr>
          <w:rFonts w:eastAsia="Calibri" w:cs="Calibri"/>
        </w:rPr>
        <w:t xml:space="preserve"> de los sectores de telecomunicaciones y radiodifusión, </w:t>
      </w:r>
      <w:r w:rsidR="00B96CA1" w:rsidRPr="00673243">
        <w:rPr>
          <w:rFonts w:eastAsia="Calibri" w:cs="Calibri"/>
        </w:rPr>
        <w:t>con la finalidad de imponer las medidas necesarias para evitar que se afecte la comp</w:t>
      </w:r>
      <w:r w:rsidR="00212B57" w:rsidRPr="00673243">
        <w:rPr>
          <w:rFonts w:eastAsia="Calibri" w:cs="Calibri"/>
        </w:rPr>
        <w:t>etencia y la libre concurrencia</w:t>
      </w:r>
      <w:r w:rsidR="00B96CA1" w:rsidRPr="00673243">
        <w:rPr>
          <w:rFonts w:eastAsia="Calibri" w:cs="Calibri"/>
        </w:rPr>
        <w:t>:</w:t>
      </w:r>
    </w:p>
    <w:p w14:paraId="5B5F9BBF" w14:textId="77777777" w:rsidR="00B96CA1" w:rsidRPr="00673243" w:rsidRDefault="00B96CA1" w:rsidP="00673243">
      <w:pPr>
        <w:spacing w:before="120"/>
        <w:ind w:left="567" w:right="567"/>
        <w:jc w:val="both"/>
        <w:rPr>
          <w:rFonts w:eastAsia="Calibri" w:cs="Calibri"/>
          <w:i/>
          <w:sz w:val="20"/>
        </w:rPr>
      </w:pPr>
      <w:r w:rsidRPr="00673243">
        <w:rPr>
          <w:rFonts w:eastAsia="Calibri" w:cs="Calibri"/>
          <w:b/>
          <w:i/>
          <w:sz w:val="20"/>
        </w:rPr>
        <w:t>Artículo 15.</w:t>
      </w:r>
      <w:r w:rsidRPr="00673243">
        <w:rPr>
          <w:rFonts w:eastAsia="Calibri" w:cs="Calibri"/>
          <w:i/>
          <w:sz w:val="20"/>
        </w:rPr>
        <w:t xml:space="preserve"> Para el ejercicio de sus atribuciones </w:t>
      </w:r>
      <w:r w:rsidRPr="00673243">
        <w:rPr>
          <w:rFonts w:eastAsia="Calibri" w:cs="Calibri"/>
          <w:b/>
          <w:i/>
          <w:sz w:val="20"/>
        </w:rPr>
        <w:t>corresponde al Instituto</w:t>
      </w:r>
      <w:r w:rsidRPr="00673243">
        <w:rPr>
          <w:rFonts w:eastAsia="Calibri" w:cs="Calibri"/>
          <w:i/>
          <w:sz w:val="20"/>
        </w:rPr>
        <w:t>:</w:t>
      </w:r>
    </w:p>
    <w:p w14:paraId="7DE6D689" w14:textId="77777777" w:rsidR="00B96CA1" w:rsidRPr="00673243" w:rsidRDefault="00B96CA1" w:rsidP="00673243">
      <w:pPr>
        <w:spacing w:before="120"/>
        <w:ind w:left="567" w:right="567"/>
        <w:jc w:val="both"/>
        <w:rPr>
          <w:rFonts w:eastAsia="Calibri" w:cs="Calibri"/>
          <w:i/>
          <w:sz w:val="20"/>
        </w:rPr>
      </w:pPr>
      <w:r w:rsidRPr="00673243">
        <w:rPr>
          <w:rFonts w:eastAsia="Calibri" w:cs="Calibri"/>
          <w:i/>
          <w:sz w:val="20"/>
        </w:rPr>
        <w:t>[…]</w:t>
      </w:r>
    </w:p>
    <w:p w14:paraId="1BC1320B" w14:textId="77777777" w:rsidR="00B96CA1" w:rsidRPr="00673243" w:rsidRDefault="00B96CA1" w:rsidP="00673243">
      <w:pPr>
        <w:spacing w:before="120"/>
        <w:ind w:left="567" w:right="567"/>
        <w:jc w:val="both"/>
        <w:rPr>
          <w:rFonts w:eastAsia="Calibri" w:cs="Calibri"/>
          <w:i/>
          <w:sz w:val="20"/>
        </w:rPr>
      </w:pPr>
      <w:r w:rsidRPr="00673243">
        <w:rPr>
          <w:rFonts w:eastAsia="Calibri" w:cs="Calibri"/>
          <w:b/>
          <w:i/>
          <w:sz w:val="20"/>
        </w:rPr>
        <w:t>XX.</w:t>
      </w:r>
      <w:r w:rsidRPr="00673243">
        <w:rPr>
          <w:rFonts w:eastAsia="Calibri" w:cs="Calibri"/>
          <w:i/>
          <w:sz w:val="20"/>
        </w:rPr>
        <w:t xml:space="preserve"> </w:t>
      </w:r>
      <w:r w:rsidRPr="00673243">
        <w:rPr>
          <w:rFonts w:eastAsia="Calibri" w:cs="Calibri"/>
          <w:b/>
          <w:i/>
          <w:sz w:val="20"/>
        </w:rPr>
        <w:t>Determinar la existencia de agentes económicos con poder sustancial</w:t>
      </w:r>
      <w:r w:rsidRPr="00673243">
        <w:rPr>
          <w:rFonts w:eastAsia="Calibri" w:cs="Calibri"/>
          <w:i/>
          <w:sz w:val="20"/>
        </w:rPr>
        <w:t xml:space="preserve"> </w:t>
      </w:r>
      <w:r w:rsidRPr="00673243">
        <w:rPr>
          <w:rFonts w:eastAsia="Calibri" w:cs="Calibri"/>
          <w:b/>
          <w:i/>
          <w:sz w:val="20"/>
        </w:rPr>
        <w:t>en los mercados relevantes que corresponda, así como agentes económicos preponderantes en los sectores de radiodifusión y de telecomunicaciones;</w:t>
      </w:r>
      <w:r w:rsidRPr="00673243">
        <w:rPr>
          <w:rFonts w:eastAsia="Calibri" w:cs="Calibri"/>
          <w:i/>
          <w:sz w:val="20"/>
        </w:rPr>
        <w:t xml:space="preserve"> e imponer las medidas necesarias para evitar que se afecte la competencia y la libre concurrencia en los mercados materia de esta Ley; </w:t>
      </w:r>
      <w:r w:rsidRPr="00673243">
        <w:rPr>
          <w:rFonts w:eastAsia="Calibri" w:cs="Calibri"/>
          <w:sz w:val="20"/>
        </w:rPr>
        <w:t>(Énfasis añadido).</w:t>
      </w:r>
    </w:p>
    <w:p w14:paraId="5DA9959A" w14:textId="77777777" w:rsidR="001608B7" w:rsidRPr="00EF70FF" w:rsidRDefault="0008670F" w:rsidP="009B0A36">
      <w:pPr>
        <w:pStyle w:val="Prrafodelista"/>
        <w:numPr>
          <w:ilvl w:val="0"/>
          <w:numId w:val="13"/>
        </w:numPr>
        <w:spacing w:before="120" w:after="120" w:line="240" w:lineRule="auto"/>
        <w:contextualSpacing w:val="0"/>
        <w:jc w:val="both"/>
        <w:rPr>
          <w:rFonts w:eastAsia="Times New Roman" w:cs="Calibri"/>
          <w:lang w:eastAsia="es-ES"/>
        </w:rPr>
      </w:pPr>
      <w:r>
        <w:rPr>
          <w:rFonts w:eastAsia="Calibri" w:cs="Calibri"/>
        </w:rPr>
        <w:t>Por su parte, los</w:t>
      </w:r>
      <w:r w:rsidR="00521682" w:rsidRPr="00E47D15">
        <w:rPr>
          <w:rFonts w:eastAsia="Calibri" w:cs="Calibri"/>
        </w:rPr>
        <w:t xml:space="preserve"> artículos 62, fracción IX y 65, fracción III, del Estatuto Orgánico, señalan las facultades de</w:t>
      </w:r>
      <w:r w:rsidR="00212B57" w:rsidRPr="00E47D15">
        <w:rPr>
          <w:rFonts w:eastAsia="Calibri" w:cs="Calibri"/>
        </w:rPr>
        <w:t xml:space="preserve"> la AI, </w:t>
      </w:r>
      <w:r w:rsidR="00521682" w:rsidRPr="00E47D15">
        <w:rPr>
          <w:rFonts w:eastAsia="Calibri" w:cs="Calibri"/>
        </w:rPr>
        <w:t>a través de</w:t>
      </w:r>
      <w:r w:rsidR="00B96CA1" w:rsidRPr="00E47D15">
        <w:rPr>
          <w:rFonts w:eastAsia="Calibri" w:cs="Calibri"/>
        </w:rPr>
        <w:t xml:space="preserve"> la DGCM, para la debida tramitación e integración de la investigación. </w:t>
      </w:r>
    </w:p>
    <w:p w14:paraId="4DDD2B55" w14:textId="77777777" w:rsidR="00F94D5E" w:rsidRPr="00EF70FF" w:rsidRDefault="00BE3247" w:rsidP="009B0A36">
      <w:pPr>
        <w:pStyle w:val="Prrafodelista"/>
        <w:numPr>
          <w:ilvl w:val="0"/>
          <w:numId w:val="13"/>
        </w:numPr>
        <w:spacing w:before="120" w:after="120" w:line="240" w:lineRule="auto"/>
        <w:contextualSpacing w:val="0"/>
        <w:jc w:val="both"/>
        <w:rPr>
          <w:rFonts w:eastAsia="Times New Roman" w:cs="Calibri"/>
          <w:lang w:eastAsia="es-ES"/>
        </w:rPr>
      </w:pPr>
      <w:r>
        <w:rPr>
          <w:rFonts w:eastAsia="Calibri" w:cs="Calibri"/>
        </w:rPr>
        <w:t>Por último, el artículo 62, fracción XXIV, del Estatuto Orgánico</w:t>
      </w:r>
      <w:r w:rsidR="007B29E4">
        <w:rPr>
          <w:rFonts w:eastAsia="Calibri" w:cs="Calibri"/>
        </w:rPr>
        <w:t>,</w:t>
      </w:r>
      <w:r>
        <w:rPr>
          <w:rFonts w:eastAsia="Calibri" w:cs="Calibri"/>
        </w:rPr>
        <w:t xml:space="preserve"> establece </w:t>
      </w:r>
      <w:r w:rsidR="00F94D5E">
        <w:rPr>
          <w:rFonts w:eastAsia="Calibri" w:cs="Calibri"/>
        </w:rPr>
        <w:t>lo siguiente:</w:t>
      </w:r>
    </w:p>
    <w:p w14:paraId="38D4356B" w14:textId="77777777" w:rsidR="00F94D5E" w:rsidRPr="00EF70FF" w:rsidRDefault="00F94D5E" w:rsidP="00EF70FF">
      <w:pPr>
        <w:spacing w:before="120"/>
        <w:ind w:left="567" w:right="616"/>
        <w:jc w:val="both"/>
        <w:rPr>
          <w:rFonts w:eastAsia="Times New Roman" w:cs="Calibri"/>
          <w:i/>
          <w:sz w:val="20"/>
          <w:szCs w:val="20"/>
          <w:lang w:eastAsia="es-ES"/>
        </w:rPr>
      </w:pPr>
      <w:r w:rsidRPr="00EF70FF">
        <w:rPr>
          <w:rFonts w:eastAsia="Times New Roman" w:cs="Calibri"/>
          <w:b/>
          <w:i/>
          <w:sz w:val="20"/>
          <w:szCs w:val="20"/>
          <w:lang w:eastAsia="es-ES"/>
        </w:rPr>
        <w:t>Artículo 62.</w:t>
      </w:r>
      <w:r w:rsidRPr="00EF70FF">
        <w:rPr>
          <w:rFonts w:eastAsia="Times New Roman" w:cs="Calibri"/>
          <w:i/>
          <w:sz w:val="20"/>
          <w:szCs w:val="20"/>
          <w:lang w:eastAsia="es-ES"/>
        </w:rPr>
        <w:t xml:space="preserve"> Para el despacho de los asuntos de su competencia, la Autoridad Investigadora tendrá adscritas a su cargo la Dirección General de Prácticas Monopólicas y Concentraciones Ilícitas, la Dirección General de Condiciones de Mercado, la Dirección General de Análisis Económico y la Dirección General Adjunta de Atención en Procedimientos. </w:t>
      </w:r>
      <w:r w:rsidRPr="00EF70FF">
        <w:rPr>
          <w:rFonts w:eastAsia="Times New Roman" w:cs="Calibri"/>
          <w:b/>
          <w:i/>
          <w:sz w:val="20"/>
          <w:szCs w:val="20"/>
          <w:lang w:eastAsia="es-ES"/>
        </w:rPr>
        <w:t>Al Titular de la Autoridad Investigadora le corresponden originariamente las atribuciones conferidas a las Direcciones Generales y Dirección General Adjunta previstas en el presente Capítulo del Estatuto Orgánico, así como las siguientes atribuciones:</w:t>
      </w:r>
    </w:p>
    <w:p w14:paraId="40122609" w14:textId="77777777" w:rsidR="00F94D5E" w:rsidRPr="00EF70FF" w:rsidRDefault="00F94D5E" w:rsidP="00EF70FF">
      <w:pPr>
        <w:spacing w:before="120"/>
        <w:ind w:left="567" w:right="616"/>
        <w:jc w:val="both"/>
        <w:rPr>
          <w:rFonts w:eastAsia="Times New Roman" w:cs="Calibri"/>
          <w:i/>
          <w:sz w:val="20"/>
          <w:szCs w:val="20"/>
          <w:lang w:eastAsia="es-ES"/>
        </w:rPr>
      </w:pPr>
      <w:r w:rsidRPr="00EF70FF">
        <w:rPr>
          <w:rFonts w:eastAsia="Times New Roman" w:cs="Calibri"/>
          <w:i/>
          <w:sz w:val="20"/>
          <w:szCs w:val="20"/>
          <w:lang w:eastAsia="es-ES"/>
        </w:rPr>
        <w:t>(…)</w:t>
      </w:r>
    </w:p>
    <w:p w14:paraId="1349EAC8" w14:textId="77777777" w:rsidR="00F94D5E" w:rsidRPr="00EF70FF" w:rsidRDefault="00F94D5E" w:rsidP="00EF70FF">
      <w:pPr>
        <w:spacing w:before="120"/>
        <w:ind w:left="567" w:right="616"/>
        <w:jc w:val="both"/>
        <w:rPr>
          <w:rFonts w:eastAsia="Times New Roman" w:cs="Calibri"/>
          <w:sz w:val="20"/>
          <w:szCs w:val="20"/>
          <w:lang w:eastAsia="es-ES"/>
        </w:rPr>
      </w:pPr>
      <w:r w:rsidRPr="00EF70FF">
        <w:rPr>
          <w:rFonts w:eastAsia="Times New Roman" w:cs="Calibri"/>
          <w:b/>
          <w:i/>
          <w:sz w:val="20"/>
          <w:szCs w:val="20"/>
          <w:lang w:eastAsia="es-ES"/>
        </w:rPr>
        <w:t>XXIV</w:t>
      </w:r>
      <w:r w:rsidRPr="00EF70FF">
        <w:rPr>
          <w:rFonts w:eastAsia="Times New Roman" w:cs="Calibri"/>
          <w:i/>
          <w:sz w:val="20"/>
          <w:szCs w:val="20"/>
          <w:lang w:eastAsia="es-ES"/>
        </w:rPr>
        <w:t xml:space="preserve">. </w:t>
      </w:r>
      <w:r w:rsidRPr="00EF70FF">
        <w:rPr>
          <w:rFonts w:eastAsia="Times New Roman" w:cs="Calibri"/>
          <w:b/>
          <w:i/>
          <w:sz w:val="20"/>
          <w:szCs w:val="20"/>
          <w:lang w:eastAsia="es-ES"/>
        </w:rPr>
        <w:t>Elaborar y presentar al Pleno</w:t>
      </w:r>
      <w:r w:rsidRPr="00EF70FF">
        <w:rPr>
          <w:rFonts w:eastAsia="Times New Roman" w:cs="Calibri"/>
          <w:i/>
          <w:sz w:val="20"/>
          <w:szCs w:val="20"/>
          <w:lang w:eastAsia="es-ES"/>
        </w:rPr>
        <w:t xml:space="preserve"> el dictamen que proponga el inicio del procedimiento seguido en forma de juicio en términos del artículo 78 de la Ley de Competencia, así como </w:t>
      </w:r>
      <w:r w:rsidRPr="00EF70FF">
        <w:rPr>
          <w:rFonts w:eastAsia="Times New Roman" w:cs="Calibri"/>
          <w:b/>
          <w:i/>
          <w:sz w:val="20"/>
          <w:szCs w:val="20"/>
          <w:lang w:eastAsia="es-ES"/>
        </w:rPr>
        <w:t>los dictámenes preliminares previstos en los artículos 94 y 96 de la misma, o, en su caso, el que proponga el cierre del expediente</w:t>
      </w:r>
      <w:r w:rsidRPr="00EF70FF">
        <w:rPr>
          <w:rFonts w:eastAsia="Times New Roman" w:cs="Calibri"/>
          <w:i/>
          <w:sz w:val="20"/>
          <w:szCs w:val="20"/>
          <w:lang w:eastAsia="es-ES"/>
        </w:rPr>
        <w:t>;</w:t>
      </w:r>
      <w:r>
        <w:rPr>
          <w:rFonts w:eastAsia="Times New Roman" w:cs="Calibri"/>
          <w:i/>
          <w:sz w:val="20"/>
          <w:szCs w:val="20"/>
          <w:lang w:eastAsia="es-ES"/>
        </w:rPr>
        <w:t xml:space="preserve"> </w:t>
      </w:r>
      <w:r w:rsidRPr="00EF70FF">
        <w:rPr>
          <w:rFonts w:eastAsia="Times New Roman" w:cs="Calibri"/>
          <w:sz w:val="20"/>
          <w:szCs w:val="20"/>
          <w:lang w:eastAsia="es-ES"/>
        </w:rPr>
        <w:t>(énfasis añadido).</w:t>
      </w:r>
    </w:p>
    <w:p w14:paraId="15C0C763" w14:textId="77777777" w:rsidR="00B96CA1" w:rsidRPr="00E47D15" w:rsidRDefault="00B96CA1" w:rsidP="009B0A36">
      <w:pPr>
        <w:pStyle w:val="Prrafodelista"/>
        <w:numPr>
          <w:ilvl w:val="0"/>
          <w:numId w:val="13"/>
        </w:numPr>
        <w:spacing w:before="120" w:after="120" w:line="240" w:lineRule="auto"/>
        <w:contextualSpacing w:val="0"/>
        <w:jc w:val="both"/>
        <w:rPr>
          <w:rFonts w:eastAsia="Times New Roman" w:cs="Calibri"/>
          <w:lang w:eastAsia="es-ES"/>
        </w:rPr>
      </w:pPr>
      <w:r w:rsidRPr="00E47D15">
        <w:rPr>
          <w:rFonts w:eastAsia="Calibri" w:cs="Calibri"/>
        </w:rPr>
        <w:t xml:space="preserve">En consecuencia, esta AI es competente para </w:t>
      </w:r>
      <w:r w:rsidR="00BE3247">
        <w:rPr>
          <w:rFonts w:eastAsia="Calibri" w:cs="Calibri"/>
        </w:rPr>
        <w:t xml:space="preserve">iniciar y tramitar </w:t>
      </w:r>
      <w:r w:rsidRPr="00E47D15">
        <w:rPr>
          <w:rFonts w:eastAsia="Calibri" w:cs="Calibri"/>
        </w:rPr>
        <w:t xml:space="preserve">la investigación </w:t>
      </w:r>
      <w:r w:rsidR="00BE3247">
        <w:rPr>
          <w:rFonts w:eastAsia="Calibri" w:cs="Calibri"/>
        </w:rPr>
        <w:t>materia de</w:t>
      </w:r>
      <w:r w:rsidR="00F94D5E">
        <w:rPr>
          <w:rFonts w:eastAsia="Calibri" w:cs="Calibri"/>
        </w:rPr>
        <w:t>l presente</w:t>
      </w:r>
      <w:r w:rsidR="00BE3247">
        <w:rPr>
          <w:rFonts w:eastAsia="Calibri" w:cs="Calibri"/>
        </w:rPr>
        <w:t xml:space="preserve"> procedimiento, así como para </w:t>
      </w:r>
      <w:r w:rsidRPr="00E47D15">
        <w:rPr>
          <w:rFonts w:eastAsia="Calibri" w:cs="Calibri"/>
        </w:rPr>
        <w:t xml:space="preserve">emitir </w:t>
      </w:r>
      <w:r w:rsidR="00F94D5E">
        <w:rPr>
          <w:rFonts w:eastAsia="Calibri" w:cs="Calibri"/>
        </w:rPr>
        <w:t>este</w:t>
      </w:r>
      <w:r w:rsidRPr="00E47D15">
        <w:rPr>
          <w:rFonts w:eastAsia="Calibri" w:cs="Calibri"/>
        </w:rPr>
        <w:t xml:space="preserve"> </w:t>
      </w:r>
      <w:r w:rsidR="001277A9">
        <w:rPr>
          <w:rFonts w:eastAsia="Calibri" w:cs="Calibri"/>
        </w:rPr>
        <w:t>D</w:t>
      </w:r>
      <w:r w:rsidR="00BE3247">
        <w:rPr>
          <w:rFonts w:eastAsia="Calibri" w:cs="Calibri"/>
        </w:rPr>
        <w:t>ictamen Preliminar</w:t>
      </w:r>
      <w:r w:rsidRPr="00E47D15">
        <w:rPr>
          <w:rFonts w:eastAsia="Calibri" w:cs="Calibri"/>
        </w:rPr>
        <w:t>.</w:t>
      </w:r>
    </w:p>
    <w:p w14:paraId="1FADD471" w14:textId="77777777" w:rsidR="004A2BA8" w:rsidRPr="00C40B54" w:rsidRDefault="00B96CA1" w:rsidP="00C40B54">
      <w:pPr>
        <w:keepNext/>
        <w:keepLines/>
        <w:spacing w:before="120"/>
        <w:jc w:val="both"/>
        <w:outlineLvl w:val="1"/>
        <w:rPr>
          <w:rFonts w:eastAsia="Calibri" w:cs="Calibri"/>
          <w:b/>
        </w:rPr>
      </w:pPr>
      <w:bookmarkStart w:id="30" w:name="_Toc463624306"/>
      <w:r w:rsidRPr="00C40B54">
        <w:rPr>
          <w:rFonts w:eastAsia="Calibri" w:cstheme="majorBidi"/>
          <w:b/>
          <w:smallCaps/>
          <w:szCs w:val="26"/>
        </w:rPr>
        <w:t xml:space="preserve">Segunda.- </w:t>
      </w:r>
      <w:r w:rsidR="005C70C4" w:rsidRPr="00C40B54">
        <w:rPr>
          <w:rFonts w:eastAsia="Calibri" w:cstheme="majorBidi"/>
          <w:szCs w:val="26"/>
        </w:rPr>
        <w:t>Materia</w:t>
      </w:r>
      <w:r w:rsidR="003F28CA" w:rsidRPr="00C40B54">
        <w:rPr>
          <w:rFonts w:eastAsia="Calibri" w:cstheme="majorBidi"/>
          <w:szCs w:val="26"/>
        </w:rPr>
        <w:t xml:space="preserve"> de</w:t>
      </w:r>
      <w:r w:rsidR="00AF6875" w:rsidRPr="00C40B54">
        <w:rPr>
          <w:rFonts w:eastAsia="Calibri" w:cstheme="majorBidi"/>
          <w:szCs w:val="26"/>
        </w:rPr>
        <w:t>l</w:t>
      </w:r>
      <w:r w:rsidR="003F28CA" w:rsidRPr="00C40B54">
        <w:rPr>
          <w:rFonts w:eastAsia="Calibri" w:cstheme="majorBidi"/>
          <w:szCs w:val="26"/>
        </w:rPr>
        <w:t xml:space="preserve"> </w:t>
      </w:r>
      <w:r w:rsidR="00AF6875" w:rsidRPr="00C40B54">
        <w:rPr>
          <w:rFonts w:eastAsia="Calibri" w:cstheme="majorBidi"/>
          <w:szCs w:val="26"/>
        </w:rPr>
        <w:t>procedimiento</w:t>
      </w:r>
    </w:p>
    <w:p w14:paraId="6ABBC4B8" w14:textId="77777777" w:rsidR="003F28CA" w:rsidRPr="001608B7" w:rsidRDefault="003F28CA" w:rsidP="009B0A36">
      <w:pPr>
        <w:pStyle w:val="Prrafodelista"/>
        <w:keepNext/>
        <w:keepLines/>
        <w:numPr>
          <w:ilvl w:val="0"/>
          <w:numId w:val="13"/>
        </w:numPr>
        <w:spacing w:before="120" w:after="120" w:line="240" w:lineRule="auto"/>
        <w:contextualSpacing w:val="0"/>
        <w:jc w:val="both"/>
        <w:rPr>
          <w:rFonts w:eastAsia="Calibri" w:cs="Calibri"/>
        </w:rPr>
      </w:pPr>
      <w:r>
        <w:rPr>
          <w:rFonts w:eastAsia="Calibri" w:cstheme="majorBidi"/>
          <w:szCs w:val="26"/>
        </w:rPr>
        <w:t>El quinto párrafo del Artículo Noveno Transitorio señala lo siguiente:</w:t>
      </w:r>
    </w:p>
    <w:p w14:paraId="4076C699" w14:textId="77777777" w:rsidR="003F28CA" w:rsidRPr="005D6B39" w:rsidRDefault="003F28CA" w:rsidP="005D6B39">
      <w:pPr>
        <w:spacing w:before="120"/>
        <w:ind w:left="567" w:right="567"/>
        <w:jc w:val="both"/>
      </w:pPr>
      <w:r w:rsidRPr="001608B7">
        <w:rPr>
          <w:rFonts w:eastAsia="Calibri" w:cs="Calibri"/>
          <w:b/>
          <w:i/>
          <w:sz w:val="20"/>
          <w:szCs w:val="20"/>
        </w:rPr>
        <w:t xml:space="preserve">El Instituto investigará dichas concentraciones </w:t>
      </w:r>
      <w:r w:rsidRPr="005D6B39">
        <w:rPr>
          <w:rFonts w:eastAsia="Calibri" w:cs="Calibri"/>
          <w:i/>
          <w:sz w:val="20"/>
          <w:szCs w:val="20"/>
        </w:rPr>
        <w:t>en un plazo no mayor a noventa días naturales</w:t>
      </w:r>
      <w:r w:rsidRPr="001608B7">
        <w:rPr>
          <w:rFonts w:eastAsia="Calibri" w:cs="Calibri"/>
          <w:b/>
          <w:i/>
          <w:sz w:val="20"/>
          <w:szCs w:val="20"/>
        </w:rPr>
        <w:t xml:space="preserve"> y en caso de encontrar que existe poder sustancial en el mercado de redes de telecomunicaciones que presten servicios de voz, datos o video o en el de radio y televisión según el sector que corresponda, </w:t>
      </w:r>
      <w:r w:rsidRPr="005D6B39">
        <w:rPr>
          <w:rFonts w:eastAsia="Calibri" w:cs="Calibri"/>
          <w:i/>
          <w:sz w:val="20"/>
          <w:szCs w:val="20"/>
        </w:rPr>
        <w:t xml:space="preserve">podrá imponer las medidas necesarias para proteger y fomentar en dicho mercado la libre </w:t>
      </w:r>
      <w:r w:rsidRPr="005D6B39">
        <w:rPr>
          <w:rFonts w:eastAsia="Calibri" w:cs="Calibri"/>
          <w:i/>
          <w:sz w:val="20"/>
          <w:szCs w:val="20"/>
        </w:rPr>
        <w:lastRenderedPageBreak/>
        <w:t>competencia y concurrencia</w:t>
      </w:r>
      <w:r w:rsidRPr="001608B7">
        <w:rPr>
          <w:rFonts w:eastAsia="Calibri" w:cs="Calibri"/>
          <w:i/>
          <w:sz w:val="20"/>
          <w:szCs w:val="20"/>
        </w:rPr>
        <w:t>, de conformidad con lo dispuesto en la Ley Federal de Telecomunicaciones y Radiodifusión y la Ley Federal de</w:t>
      </w:r>
      <w:r w:rsidRPr="00140C9F">
        <w:rPr>
          <w:rFonts w:eastAsia="Calibri" w:cs="Calibri"/>
          <w:i/>
          <w:sz w:val="20"/>
          <w:szCs w:val="20"/>
        </w:rPr>
        <w:t xml:space="preserve"> Competencia Económica sin perjuicio de las concentraciones a que refiere el presente artículo.</w:t>
      </w:r>
    </w:p>
    <w:p w14:paraId="27ADA9CF" w14:textId="77777777" w:rsidR="00B96CA1" w:rsidRPr="00673243" w:rsidRDefault="00790530" w:rsidP="009B0A36">
      <w:pPr>
        <w:pStyle w:val="Prrafodelista"/>
        <w:numPr>
          <w:ilvl w:val="0"/>
          <w:numId w:val="13"/>
        </w:numPr>
        <w:spacing w:before="120" w:after="120" w:line="240" w:lineRule="auto"/>
        <w:contextualSpacing w:val="0"/>
        <w:jc w:val="both"/>
      </w:pPr>
      <w:r>
        <w:t>Por su parte, e</w:t>
      </w:r>
      <w:r w:rsidR="00B96CA1" w:rsidRPr="00673243">
        <w:t xml:space="preserve">l primer párrafo del artículo 279 de la LFTyR establece que </w:t>
      </w:r>
      <w:r w:rsidR="00B96CA1" w:rsidRPr="005D6B39">
        <w:rPr>
          <w:i/>
        </w:rPr>
        <w:t>“El Instituto está facultado para determinar la existencia de agentes económicos con poder sustancial en cualquier mercado relevante de los sectores de radiodifusión y telecomunicaciones, en términos de esta Ley y la Ley Federal de Competencia Económica.”</w:t>
      </w:r>
      <w:bookmarkEnd w:id="30"/>
      <w:r>
        <w:t xml:space="preserve"> </w:t>
      </w:r>
      <w:r w:rsidR="00B96CA1" w:rsidRPr="00673243">
        <w:t xml:space="preserve">En ese mismo sentido, el artículo 280 de la LFTyR establece lo siguiente: </w:t>
      </w:r>
    </w:p>
    <w:p w14:paraId="4C5835F4" w14:textId="77777777" w:rsidR="00B96CA1" w:rsidRPr="00673243" w:rsidRDefault="00B96CA1" w:rsidP="00673243">
      <w:pPr>
        <w:tabs>
          <w:tab w:val="left" w:pos="8364"/>
        </w:tabs>
        <w:spacing w:before="120"/>
        <w:ind w:left="567" w:right="474"/>
        <w:jc w:val="both"/>
        <w:rPr>
          <w:sz w:val="20"/>
        </w:rPr>
      </w:pPr>
      <w:r w:rsidRPr="00673243">
        <w:rPr>
          <w:b/>
          <w:i/>
          <w:sz w:val="20"/>
        </w:rPr>
        <w:t>Artículo 280.</w:t>
      </w:r>
      <w:r w:rsidRPr="00673243">
        <w:rPr>
          <w:i/>
          <w:sz w:val="20"/>
        </w:rPr>
        <w:t xml:space="preserve"> </w:t>
      </w:r>
      <w:r w:rsidRPr="00673243">
        <w:rPr>
          <w:b/>
          <w:i/>
          <w:sz w:val="20"/>
        </w:rPr>
        <w:t xml:space="preserve">El Instituto declarará si un agente económico tiene poder sustancial </w:t>
      </w:r>
      <w:r w:rsidRPr="00673243">
        <w:rPr>
          <w:i/>
          <w:sz w:val="20"/>
        </w:rPr>
        <w:t xml:space="preserve">en algún mercado relevante de los sectores de radiodifusión o telecomunicaciones, </w:t>
      </w:r>
      <w:r w:rsidRPr="00673243">
        <w:rPr>
          <w:b/>
          <w:i/>
          <w:sz w:val="20"/>
        </w:rPr>
        <w:t>de acuerdo con el procedimiento establecido en la Ley Federal de Competencia Económica</w:t>
      </w:r>
      <w:r w:rsidRPr="00673243">
        <w:rPr>
          <w:i/>
          <w:sz w:val="20"/>
        </w:rPr>
        <w:t>, así como las disposiciones sustantivas previstas en dicha ley y en la presente Ley.</w:t>
      </w:r>
      <w:r w:rsidRPr="00673243">
        <w:rPr>
          <w:sz w:val="20"/>
        </w:rPr>
        <w:t xml:space="preserve"> (Énfasis añadido).</w:t>
      </w:r>
    </w:p>
    <w:p w14:paraId="6F1A9D9E" w14:textId="77777777" w:rsidR="00B96CA1" w:rsidRPr="00673243" w:rsidRDefault="00F633CF" w:rsidP="009B0A36">
      <w:pPr>
        <w:pStyle w:val="Prrafodelista"/>
        <w:numPr>
          <w:ilvl w:val="0"/>
          <w:numId w:val="13"/>
        </w:numPr>
        <w:spacing w:before="120" w:after="120" w:line="240" w:lineRule="auto"/>
        <w:contextualSpacing w:val="0"/>
        <w:jc w:val="both"/>
      </w:pPr>
      <w:r>
        <w:t>Con relación a dichas disposiciones,</w:t>
      </w:r>
      <w:r w:rsidR="00B96CA1" w:rsidRPr="00673243">
        <w:t xml:space="preserve"> el primer párrafo del artículo 96 de la LFCE señala lo siguiente:</w:t>
      </w:r>
    </w:p>
    <w:p w14:paraId="6B1D9747" w14:textId="77777777" w:rsidR="00B96CA1" w:rsidRPr="00673243" w:rsidRDefault="00B96CA1" w:rsidP="00673243">
      <w:pPr>
        <w:tabs>
          <w:tab w:val="left" w:pos="8222"/>
        </w:tabs>
        <w:spacing w:before="120"/>
        <w:ind w:left="567" w:right="567"/>
        <w:jc w:val="both"/>
        <w:rPr>
          <w:i/>
          <w:sz w:val="20"/>
          <w:szCs w:val="20"/>
        </w:rPr>
      </w:pPr>
      <w:r w:rsidRPr="00673243">
        <w:rPr>
          <w:b/>
          <w:i/>
          <w:sz w:val="20"/>
          <w:szCs w:val="20"/>
        </w:rPr>
        <w:t>Artículo 96.</w:t>
      </w:r>
      <w:r w:rsidRPr="00673243">
        <w:rPr>
          <w:i/>
          <w:sz w:val="20"/>
          <w:szCs w:val="20"/>
        </w:rPr>
        <w:t xml:space="preserve"> </w:t>
      </w:r>
      <w:r w:rsidRPr="00673243">
        <w:rPr>
          <w:b/>
          <w:i/>
          <w:sz w:val="20"/>
          <w:szCs w:val="20"/>
        </w:rPr>
        <w:t>Cuando las disposiciones legales o reglamentarias prevengan expresamente que deba resolverse u opinar sobre</w:t>
      </w:r>
      <w:r w:rsidRPr="00673243">
        <w:rPr>
          <w:i/>
          <w:sz w:val="20"/>
          <w:szCs w:val="20"/>
        </w:rPr>
        <w:t xml:space="preserve"> cuestiones de competencia efectiva, </w:t>
      </w:r>
      <w:r w:rsidRPr="00673243">
        <w:rPr>
          <w:b/>
          <w:i/>
          <w:sz w:val="20"/>
          <w:szCs w:val="20"/>
        </w:rPr>
        <w:t>existencia de poder sustancial en el mercado relevante</w:t>
      </w:r>
      <w:r w:rsidRPr="00673243">
        <w:rPr>
          <w:i/>
          <w:sz w:val="20"/>
          <w:szCs w:val="20"/>
        </w:rPr>
        <w:t xml:space="preserve"> u otros términos análogos, o cuando así lo determine el Ejecutivo Federal mediante acuerdos o decretos, </w:t>
      </w:r>
      <w:r w:rsidRPr="00673243">
        <w:rPr>
          <w:b/>
          <w:i/>
          <w:sz w:val="20"/>
          <w:szCs w:val="20"/>
        </w:rPr>
        <w:t>la Comisión emitirá</w:t>
      </w:r>
      <w:r w:rsidRPr="00673243">
        <w:rPr>
          <w:i/>
          <w:sz w:val="20"/>
          <w:szCs w:val="20"/>
        </w:rPr>
        <w:t xml:space="preserve"> de oficio, a solicitud del Ejecutivo Federal, por sí o por conducto de la Secretaría, a solicitud de la dependencia coordinadora del sector correspondiente o a petición de parte afectada </w:t>
      </w:r>
      <w:r w:rsidRPr="00673243">
        <w:rPr>
          <w:b/>
          <w:i/>
          <w:sz w:val="20"/>
          <w:szCs w:val="20"/>
        </w:rPr>
        <w:t>la resolución u opinión que corresponda, para lo cual se estará al siguiente procedimiento:</w:t>
      </w:r>
    </w:p>
    <w:p w14:paraId="694179C0" w14:textId="77777777" w:rsidR="00B96CA1" w:rsidRPr="00673243" w:rsidRDefault="002734FA" w:rsidP="00673243">
      <w:pPr>
        <w:tabs>
          <w:tab w:val="left" w:pos="8222"/>
        </w:tabs>
        <w:spacing w:before="120"/>
        <w:ind w:left="567" w:right="567"/>
        <w:jc w:val="both"/>
        <w:rPr>
          <w:sz w:val="20"/>
          <w:szCs w:val="20"/>
        </w:rPr>
      </w:pPr>
      <w:r w:rsidRPr="00673243">
        <w:rPr>
          <w:i/>
          <w:sz w:val="20"/>
          <w:szCs w:val="20"/>
        </w:rPr>
        <w:t>[…]</w:t>
      </w:r>
      <w:r w:rsidR="00B96CA1" w:rsidRPr="00673243">
        <w:rPr>
          <w:i/>
          <w:sz w:val="20"/>
          <w:szCs w:val="20"/>
        </w:rPr>
        <w:t xml:space="preserve"> </w:t>
      </w:r>
      <w:r w:rsidR="00B96CA1" w:rsidRPr="00673243">
        <w:rPr>
          <w:sz w:val="20"/>
          <w:szCs w:val="20"/>
        </w:rPr>
        <w:t>(Énfasis añadido).</w:t>
      </w:r>
    </w:p>
    <w:p w14:paraId="0FE89771" w14:textId="77777777" w:rsidR="001277A9" w:rsidRPr="00673243" w:rsidRDefault="00AF6875" w:rsidP="009B0A36">
      <w:pPr>
        <w:pStyle w:val="Prrafodelista"/>
        <w:numPr>
          <w:ilvl w:val="0"/>
          <w:numId w:val="13"/>
        </w:numPr>
        <w:spacing w:before="120" w:after="120" w:line="240" w:lineRule="auto"/>
        <w:contextualSpacing w:val="0"/>
        <w:jc w:val="both"/>
      </w:pPr>
      <w:bookmarkStart w:id="31" w:name="_Toc463624307"/>
      <w:r>
        <w:t xml:space="preserve">Ahora bien, </w:t>
      </w:r>
      <w:r w:rsidR="0091742D">
        <w:t>el quinto párrafo del Artículo Noveno Transitorio</w:t>
      </w:r>
      <w:r w:rsidR="009D4260">
        <w:t xml:space="preserve"> también</w:t>
      </w:r>
      <w:r w:rsidR="00F633CF">
        <w:t xml:space="preserve"> acota la investigación a la concentración que se realiza en términos de dicho artículo, pues</w:t>
      </w:r>
      <w:r w:rsidR="0091742D">
        <w:t xml:space="preserve"> señala que el Instituto </w:t>
      </w:r>
      <w:r w:rsidR="0091742D" w:rsidRPr="005D6B39">
        <w:rPr>
          <w:i/>
        </w:rPr>
        <w:t xml:space="preserve">“… investigará </w:t>
      </w:r>
      <w:r w:rsidR="0091742D" w:rsidRPr="005D6B39">
        <w:rPr>
          <w:b/>
          <w:i/>
        </w:rPr>
        <w:t>dichas concentraciones</w:t>
      </w:r>
      <w:r w:rsidR="0040656E">
        <w:rPr>
          <w:b/>
          <w:i/>
        </w:rPr>
        <w:t xml:space="preserve"> </w:t>
      </w:r>
      <w:r w:rsidR="0091742D" w:rsidRPr="0040656E">
        <w:rPr>
          <w:i/>
        </w:rPr>
        <w:t>…</w:t>
      </w:r>
      <w:r w:rsidR="0091742D" w:rsidRPr="0091742D">
        <w:t>”</w:t>
      </w:r>
      <w:r w:rsidR="003B0375">
        <w:t xml:space="preserve">. </w:t>
      </w:r>
      <w:r w:rsidR="001277A9" w:rsidRPr="00673243">
        <w:t>E</w:t>
      </w:r>
      <w:r w:rsidR="003B0375">
        <w:t>st</w:t>
      </w:r>
      <w:r w:rsidR="00B85000">
        <w:t xml:space="preserve">e alcance es consistente con la </w:t>
      </w:r>
      <w:r w:rsidR="00B85000" w:rsidRPr="005D6B39">
        <w:rPr>
          <w:i/>
        </w:rPr>
        <w:t>ratio legis</w:t>
      </w:r>
      <w:r w:rsidR="00B85000">
        <w:t xml:space="preserve"> del citado artículo transitorio, tal y como fue expresada en el </w:t>
      </w:r>
      <w:r w:rsidR="001277A9" w:rsidRPr="00673243">
        <w:t>Dictamen de las Comisiones Unidas de Comunicaciones y Transportes, de la siguiente manera:</w:t>
      </w:r>
    </w:p>
    <w:p w14:paraId="6906719C" w14:textId="77777777" w:rsidR="001277A9" w:rsidRPr="00673243" w:rsidRDefault="001277A9" w:rsidP="001277A9">
      <w:pPr>
        <w:spacing w:before="120"/>
        <w:ind w:left="567" w:right="616"/>
        <w:jc w:val="both"/>
        <w:rPr>
          <w:sz w:val="20"/>
          <w:szCs w:val="20"/>
        </w:rPr>
      </w:pPr>
      <w:r w:rsidRPr="00673243">
        <w:rPr>
          <w:i/>
          <w:sz w:val="20"/>
          <w:szCs w:val="20"/>
        </w:rPr>
        <w:t xml:space="preserve">Desde luego, </w:t>
      </w:r>
      <w:r w:rsidRPr="00673243">
        <w:rPr>
          <w:b/>
          <w:i/>
          <w:sz w:val="20"/>
          <w:szCs w:val="20"/>
        </w:rPr>
        <w:t>el hecho de que se proponga que no se requiera la autorización del Instituto para las concentraciones</w:t>
      </w:r>
      <w:r w:rsidRPr="00673243">
        <w:rPr>
          <w:i/>
          <w:sz w:val="20"/>
          <w:szCs w:val="20"/>
        </w:rPr>
        <w:t xml:space="preserve"> que cumplan con las condiciones arriba descritas </w:t>
      </w:r>
      <w:r w:rsidRPr="00D64088">
        <w:rPr>
          <w:b/>
          <w:i/>
          <w:sz w:val="20"/>
          <w:szCs w:val="20"/>
        </w:rPr>
        <w:t>no impide que</w:t>
      </w:r>
      <w:r w:rsidRPr="00673243">
        <w:rPr>
          <w:i/>
          <w:sz w:val="20"/>
          <w:szCs w:val="20"/>
        </w:rPr>
        <w:t xml:space="preserve">, con fundamento en el artículo 61 de la Ley Federal de Competencia Económica, </w:t>
      </w:r>
      <w:r w:rsidRPr="005D6B39">
        <w:rPr>
          <w:b/>
          <w:i/>
          <w:sz w:val="20"/>
          <w:szCs w:val="20"/>
        </w:rPr>
        <w:t xml:space="preserve">el </w:t>
      </w:r>
      <w:r w:rsidRPr="00D64088">
        <w:rPr>
          <w:b/>
          <w:i/>
          <w:sz w:val="20"/>
          <w:szCs w:val="20"/>
        </w:rPr>
        <w:t>Instituto realice una investigación</w:t>
      </w:r>
      <w:r w:rsidRPr="005D6B39">
        <w:rPr>
          <w:i/>
          <w:sz w:val="20"/>
          <w:szCs w:val="20"/>
        </w:rPr>
        <w:t xml:space="preserve"> </w:t>
      </w:r>
      <w:r w:rsidRPr="00821E11">
        <w:rPr>
          <w:b/>
          <w:i/>
          <w:sz w:val="20"/>
          <w:szCs w:val="20"/>
        </w:rPr>
        <w:t>para determinar si el objetivo de la concentración o su efecto es obstaculizar, disminuir, dañar o impedir la libre concurrencia o la competencia económica y,</w:t>
      </w:r>
      <w:r w:rsidRPr="00673243">
        <w:rPr>
          <w:b/>
          <w:i/>
          <w:sz w:val="20"/>
          <w:szCs w:val="20"/>
        </w:rPr>
        <w:t xml:space="preserve"> en caso de encontrar que existe poder sustancial en alguno de los mercados que integran el sector, podrá imponer las medidas necesarias para proteger y fomentar en dicho mercado la competencia y libre concurrencia,</w:t>
      </w:r>
      <w:r w:rsidRPr="00673243">
        <w:rPr>
          <w:i/>
          <w:sz w:val="20"/>
          <w:szCs w:val="20"/>
        </w:rPr>
        <w:t xml:space="preserve"> de conformidad con el Proyecto de Decreto. De esta forma se permite la consolidación de la industria dentro del sector correspondiente, pero </w:t>
      </w:r>
      <w:r w:rsidRPr="00673243">
        <w:rPr>
          <w:b/>
          <w:i/>
          <w:sz w:val="20"/>
          <w:szCs w:val="20"/>
        </w:rPr>
        <w:t>si ya realizada la consolidación pudiera existir un poder sustancial de mercado, el Instituto, en su caso, aplicará las medidas correctivas correspondientes</w:t>
      </w:r>
      <w:r w:rsidRPr="00673243">
        <w:rPr>
          <w:i/>
          <w:sz w:val="20"/>
          <w:szCs w:val="20"/>
        </w:rPr>
        <w:t xml:space="preserve">. Con </w:t>
      </w:r>
      <w:r w:rsidRPr="00673243">
        <w:rPr>
          <w:i/>
          <w:sz w:val="20"/>
          <w:szCs w:val="20"/>
        </w:rPr>
        <w:lastRenderedPageBreak/>
        <w:t>ello se logra el fin deseado de generar competidores más robustos para enfrentarse al preponderante, pero se mantiene la posibilidad de corregir las probables distorsiones en el mercado por el nacimiento de dichos competidores.</w:t>
      </w:r>
      <w:r w:rsidRPr="00673243">
        <w:rPr>
          <w:rStyle w:val="Refdenotaalpie"/>
          <w:i/>
          <w:sz w:val="20"/>
          <w:szCs w:val="20"/>
        </w:rPr>
        <w:footnoteReference w:id="62"/>
      </w:r>
      <w:r w:rsidRPr="00673243">
        <w:rPr>
          <w:i/>
          <w:sz w:val="20"/>
          <w:szCs w:val="20"/>
        </w:rPr>
        <w:t xml:space="preserve"> </w:t>
      </w:r>
      <w:r w:rsidRPr="00673243">
        <w:rPr>
          <w:sz w:val="20"/>
          <w:szCs w:val="20"/>
        </w:rPr>
        <w:t>(Énfasis añadido).</w:t>
      </w:r>
    </w:p>
    <w:p w14:paraId="37416A47" w14:textId="77777777" w:rsidR="009D4260" w:rsidRDefault="005C70C4" w:rsidP="009B0A36">
      <w:pPr>
        <w:pStyle w:val="Prrafodelista"/>
        <w:numPr>
          <w:ilvl w:val="0"/>
          <w:numId w:val="13"/>
        </w:numPr>
        <w:spacing w:before="120" w:after="120" w:line="240" w:lineRule="auto"/>
        <w:ind w:right="49"/>
        <w:contextualSpacing w:val="0"/>
        <w:jc w:val="both"/>
      </w:pPr>
      <w:r>
        <w:t>A partir de lo señalado</w:t>
      </w:r>
      <w:r w:rsidR="007233BA">
        <w:t xml:space="preserve"> se concluye que</w:t>
      </w:r>
      <w:r>
        <w:t xml:space="preserve"> el quinto párrafo del Artículo Noveno Transitorio ordena </w:t>
      </w:r>
      <w:r w:rsidR="00515ED6">
        <w:t>investigar</w:t>
      </w:r>
      <w:r>
        <w:t xml:space="preserve"> la existencia de poder sustancial </w:t>
      </w:r>
      <w:r w:rsidR="00515ED6">
        <w:t>que pueda resultar</w:t>
      </w:r>
      <w:r>
        <w:t xml:space="preserve"> de las concentraciones </w:t>
      </w:r>
      <w:r w:rsidR="00515ED6">
        <w:t>realizad</w:t>
      </w:r>
      <w:r w:rsidR="00715414">
        <w:t>a</w:t>
      </w:r>
      <w:r w:rsidR="00515ED6">
        <w:t>s al amparo</w:t>
      </w:r>
      <w:r>
        <w:t xml:space="preserve"> </w:t>
      </w:r>
      <w:r w:rsidR="00515ED6">
        <w:t>de</w:t>
      </w:r>
      <w:r w:rsidR="005130CA">
        <w:t>l mencionado</w:t>
      </w:r>
      <w:r w:rsidR="00515ED6">
        <w:t xml:space="preserve"> artículo</w:t>
      </w:r>
      <w:r w:rsidR="009D4260">
        <w:t xml:space="preserve">. Dicha </w:t>
      </w:r>
      <w:r w:rsidR="005D6B39">
        <w:t>investigación</w:t>
      </w:r>
      <w:r w:rsidR="009D4260">
        <w:t xml:space="preserve"> tendrá como objeto determinar la existencia de poder sustancial en el mercado relevante. Consecuentemente, </w:t>
      </w:r>
      <w:r w:rsidR="005130CA">
        <w:t>el</w:t>
      </w:r>
      <w:r w:rsidR="009D4260">
        <w:t xml:space="preserve"> procedimiento</w:t>
      </w:r>
      <w:r w:rsidR="009D4260" w:rsidRPr="00673243">
        <w:t xml:space="preserve"> debe desahogarse conforme a lo establecido en el artículo 96 de la LFCE.</w:t>
      </w:r>
    </w:p>
    <w:p w14:paraId="63970241" w14:textId="77777777" w:rsidR="004A2BA8" w:rsidRPr="00C40B54" w:rsidRDefault="004D0B8E" w:rsidP="00C40B54">
      <w:pPr>
        <w:pStyle w:val="Ttulo2"/>
        <w:keepNext w:val="0"/>
        <w:keepLines w:val="0"/>
        <w:numPr>
          <w:ilvl w:val="0"/>
          <w:numId w:val="0"/>
        </w:numPr>
        <w:spacing w:before="120" w:after="120"/>
        <w:ind w:firstLine="1"/>
        <w:jc w:val="both"/>
        <w:rPr>
          <w:rFonts w:eastAsia="Calibri" w:cstheme="minorBidi"/>
          <w:szCs w:val="22"/>
        </w:rPr>
      </w:pPr>
      <w:r>
        <w:rPr>
          <w:smallCaps/>
        </w:rPr>
        <w:t>Tercera</w:t>
      </w:r>
      <w:r w:rsidRPr="00673243">
        <w:rPr>
          <w:smallCaps/>
        </w:rPr>
        <w:t xml:space="preserve">.- </w:t>
      </w:r>
      <w:r w:rsidRPr="00C40B54">
        <w:rPr>
          <w:rFonts w:eastAsia="Calibri" w:cstheme="minorBidi"/>
          <w:b w:val="0"/>
          <w:szCs w:val="22"/>
        </w:rPr>
        <w:t>Procedencia y oportunidad del Dictamen Preliminar</w:t>
      </w:r>
    </w:p>
    <w:p w14:paraId="333E5700" w14:textId="77777777" w:rsidR="004D0B8E" w:rsidRPr="004A2BA8" w:rsidRDefault="004D0B8E" w:rsidP="009B0A36">
      <w:pPr>
        <w:pStyle w:val="Prrafodelista"/>
        <w:numPr>
          <w:ilvl w:val="0"/>
          <w:numId w:val="13"/>
        </w:numPr>
        <w:spacing w:before="120" w:after="120" w:line="240" w:lineRule="auto"/>
        <w:ind w:right="49"/>
        <w:contextualSpacing w:val="0"/>
        <w:jc w:val="both"/>
        <w:rPr>
          <w:rFonts w:eastAsia="Calibri"/>
        </w:rPr>
      </w:pPr>
      <w:r w:rsidRPr="004A2BA8">
        <w:rPr>
          <w:rFonts w:eastAsia="Calibri"/>
        </w:rPr>
        <w:t xml:space="preserve">Como quedó </w:t>
      </w:r>
      <w:r w:rsidR="001B56E5" w:rsidRPr="004A2BA8">
        <w:rPr>
          <w:rFonts w:eastAsia="Calibri"/>
        </w:rPr>
        <w:t xml:space="preserve">señalado </w:t>
      </w:r>
      <w:r w:rsidRPr="004A2BA8">
        <w:rPr>
          <w:rFonts w:eastAsia="Calibri"/>
        </w:rPr>
        <w:t>en los Antecedentes de este D</w:t>
      </w:r>
      <w:r w:rsidR="00FB50D2" w:rsidRPr="004A2BA8">
        <w:rPr>
          <w:rFonts w:eastAsia="Calibri"/>
        </w:rPr>
        <w:t xml:space="preserve">ictamen </w:t>
      </w:r>
      <w:r w:rsidRPr="004A2BA8">
        <w:rPr>
          <w:rFonts w:eastAsia="Calibri"/>
        </w:rPr>
        <w:t>P</w:t>
      </w:r>
      <w:r w:rsidR="00FB50D2" w:rsidRPr="004A2BA8">
        <w:rPr>
          <w:rFonts w:eastAsia="Calibri"/>
        </w:rPr>
        <w:t>reliminar</w:t>
      </w:r>
      <w:r w:rsidRPr="004A2BA8">
        <w:rPr>
          <w:rFonts w:eastAsia="Calibri"/>
        </w:rPr>
        <w:t xml:space="preserve">, mediante la Resolución del Pleno se tuvieron por cumplidos los requisitos establecidos en los </w:t>
      </w:r>
      <w:r w:rsidRPr="00C40B54">
        <w:t>incisos</w:t>
      </w:r>
      <w:r w:rsidRPr="004A2BA8">
        <w:rPr>
          <w:rFonts w:eastAsia="Calibri"/>
        </w:rPr>
        <w:t xml:space="preserve"> </w:t>
      </w:r>
      <w:r w:rsidRPr="004A2BA8">
        <w:rPr>
          <w:rFonts w:eastAsia="Calibri"/>
          <w:i/>
        </w:rPr>
        <w:t>a.</w:t>
      </w:r>
      <w:r w:rsidRPr="004A2BA8">
        <w:rPr>
          <w:rFonts w:eastAsia="Calibri"/>
        </w:rPr>
        <w:t xml:space="preserve"> a </w:t>
      </w:r>
      <w:r w:rsidRPr="004A2BA8">
        <w:rPr>
          <w:rFonts w:eastAsia="Calibri"/>
          <w:i/>
        </w:rPr>
        <w:t>d.</w:t>
      </w:r>
      <w:r w:rsidRPr="004A2BA8">
        <w:rPr>
          <w:rFonts w:eastAsia="Calibri"/>
        </w:rPr>
        <w:t xml:space="preserve"> del párrafo primero del Artículo Noveno Transitorio. </w:t>
      </w:r>
      <w:r w:rsidR="00EE6CFB" w:rsidRPr="004A2BA8">
        <w:rPr>
          <w:rFonts w:eastAsia="Calibri"/>
        </w:rPr>
        <w:t>Posteriormente y</w:t>
      </w:r>
      <w:r w:rsidRPr="004A2BA8">
        <w:rPr>
          <w:rFonts w:eastAsia="Calibri"/>
        </w:rPr>
        <w:t xml:space="preserve"> con fundamento en </w:t>
      </w:r>
      <w:r w:rsidR="00EE6CFB" w:rsidRPr="004A2BA8">
        <w:rPr>
          <w:rFonts w:eastAsia="Calibri"/>
        </w:rPr>
        <w:t>los</w:t>
      </w:r>
      <w:r w:rsidRPr="004A2BA8">
        <w:rPr>
          <w:rFonts w:eastAsia="Calibri"/>
        </w:rPr>
        <w:t xml:space="preserve"> artículo</w:t>
      </w:r>
      <w:r w:rsidR="00EE6CFB" w:rsidRPr="004A2BA8">
        <w:rPr>
          <w:rFonts w:eastAsia="Calibri"/>
        </w:rPr>
        <w:t>s</w:t>
      </w:r>
      <w:r w:rsidRPr="004A2BA8">
        <w:rPr>
          <w:rFonts w:eastAsia="Calibri"/>
        </w:rPr>
        <w:t xml:space="preserve"> 96, fracción III, de la LFCE y 62, fracción IX, del Estatuto Orgánico, esta AI inició el procedimiento establecido en el artículo 96 de la LFCE. Una vez realizadas las diligencias correspondientes, la investigación se tuvo por concluida mediante el acuerdo de conclusión señalado en el numeral </w:t>
      </w:r>
      <w:r w:rsidR="004F5D4F" w:rsidRPr="004A2BA8">
        <w:rPr>
          <w:rFonts w:eastAsia="Calibri"/>
        </w:rPr>
        <w:t>Décimo Segund</w:t>
      </w:r>
      <w:r w:rsidRPr="004A2BA8">
        <w:rPr>
          <w:rFonts w:eastAsia="Calibri"/>
        </w:rPr>
        <w:t xml:space="preserve">o del apartado de Antecedentes del presente Dictamen. En consecuencia, en términos del artículo 96, fracción V, de la LFCE y 62, fracción XXIV, del Estatuto Orgánico, es procedente y oportuno emitir el presente Dictamen Preliminar. </w:t>
      </w:r>
    </w:p>
    <w:p w14:paraId="799C573D" w14:textId="77777777" w:rsidR="003F00EE" w:rsidRPr="00A62E51" w:rsidRDefault="004D0B8E" w:rsidP="003F00EE">
      <w:pPr>
        <w:pStyle w:val="Prrafodelista"/>
        <w:numPr>
          <w:ilvl w:val="0"/>
          <w:numId w:val="13"/>
        </w:numPr>
        <w:spacing w:before="120" w:after="120" w:line="240" w:lineRule="auto"/>
        <w:contextualSpacing w:val="0"/>
        <w:jc w:val="both"/>
        <w:rPr>
          <w:rFonts w:eastAsia="Calibri"/>
        </w:rPr>
      </w:pPr>
      <w:r>
        <w:t xml:space="preserve">Cabe mencionar que, </w:t>
      </w:r>
      <w:r w:rsidRPr="00673243">
        <w:t>conforme a la fracción V del artículo 96 de la LFCE,</w:t>
      </w:r>
      <w:r>
        <w:t xml:space="preserve"> s</w:t>
      </w:r>
      <w:r w:rsidRPr="00673243">
        <w:t xml:space="preserve">i de la investigación se desprende </w:t>
      </w:r>
      <w:r w:rsidR="00EE6CFB" w:rsidRPr="00673243">
        <w:t>que</w:t>
      </w:r>
      <w:r w:rsidRPr="00673243">
        <w:t xml:space="preserve"> </w:t>
      </w:r>
      <w:r w:rsidR="00EE6CFB">
        <w:t>s</w:t>
      </w:r>
      <w:r w:rsidR="00436E35">
        <w:t>í</w:t>
      </w:r>
      <w:r w:rsidR="00EE6CFB">
        <w:t xml:space="preserve"> </w:t>
      </w:r>
      <w:r w:rsidRPr="00673243">
        <w:t xml:space="preserve">existen elementos para determinar la existencia de poder sustancial, se debe emitir un </w:t>
      </w:r>
      <w:r w:rsidR="002E201A">
        <w:t>dictamen preliminar</w:t>
      </w:r>
      <w:r w:rsidRPr="00673243">
        <w:t xml:space="preserve"> que así lo establezca</w:t>
      </w:r>
      <w:r>
        <w:t>, sus</w:t>
      </w:r>
      <w:r w:rsidRPr="00673243">
        <w:t xml:space="preserve"> datos relevantes debe</w:t>
      </w:r>
      <w:r>
        <w:t>rá</w:t>
      </w:r>
      <w:r w:rsidRPr="00673243">
        <w:t>n ser publicados en el DOF y un extracto en los medios de difusión del IFT.</w:t>
      </w:r>
      <w:r>
        <w:t xml:space="preserve"> De</w:t>
      </w:r>
      <w:r w:rsidRPr="00673243">
        <w:t xml:space="preserve"> </w:t>
      </w:r>
      <w:r>
        <w:t>lo contrario</w:t>
      </w:r>
      <w:r w:rsidR="00EE6CFB">
        <w:t xml:space="preserve"> y </w:t>
      </w:r>
      <w:r w:rsidRPr="00673243">
        <w:t xml:space="preserve">conforme </w:t>
      </w:r>
      <w:r>
        <w:t>a</w:t>
      </w:r>
      <w:r w:rsidRPr="00673243">
        <w:t xml:space="preserve">l artículo 120, fracción II, de las Disposiciones Regulatorias, se deberá elaborar un </w:t>
      </w:r>
      <w:r w:rsidR="002E201A">
        <w:t>dictamen preliminar</w:t>
      </w:r>
      <w:r w:rsidRPr="00673243">
        <w:t xml:space="preserve"> que proponga el cierre del expediente. </w:t>
      </w:r>
      <w:r>
        <w:t>E</w:t>
      </w:r>
      <w:r w:rsidRPr="00673243">
        <w:t>n</w:t>
      </w:r>
      <w:r>
        <w:t xml:space="preserve"> dicho supuesto y en</w:t>
      </w:r>
      <w:r w:rsidRPr="00673243">
        <w:t xml:space="preserve"> caso de que</w:t>
      </w:r>
      <w:r>
        <w:t>, con base en las constancias que obren en el expediente de investigación,</w:t>
      </w:r>
      <w:r w:rsidRPr="00673243">
        <w:t xml:space="preserve"> el Pleno considere que existen elementos objetivos para emitir un </w:t>
      </w:r>
      <w:r w:rsidR="002E201A">
        <w:t>dictamen preliminar</w:t>
      </w:r>
      <w:r w:rsidRPr="00673243">
        <w:t>, la Autoridad Investigadora deberá presentar uno nuevo dentro del plazo no mayor a sesenta días hábiles.</w:t>
      </w:r>
    </w:p>
    <w:p w14:paraId="7DCBC0DC" w14:textId="77777777" w:rsidR="004A2BA8" w:rsidRPr="00BE0179" w:rsidRDefault="004D0B8E" w:rsidP="00BE0179">
      <w:pPr>
        <w:pStyle w:val="Ttulo2"/>
        <w:keepNext w:val="0"/>
        <w:keepLines w:val="0"/>
        <w:numPr>
          <w:ilvl w:val="0"/>
          <w:numId w:val="0"/>
        </w:numPr>
        <w:spacing w:before="120" w:after="120"/>
        <w:ind w:firstLine="1"/>
        <w:jc w:val="both"/>
        <w:rPr>
          <w:smallCaps/>
        </w:rPr>
      </w:pPr>
      <w:r w:rsidRPr="00BE0179">
        <w:rPr>
          <w:smallCaps/>
        </w:rPr>
        <w:t>Cuarta</w:t>
      </w:r>
      <w:r w:rsidR="00A66919" w:rsidRPr="00BE0179">
        <w:rPr>
          <w:smallCaps/>
        </w:rPr>
        <w:t xml:space="preserve">.- </w:t>
      </w:r>
      <w:r w:rsidR="00A66919" w:rsidRPr="00BE0179">
        <w:rPr>
          <w:b w:val="0"/>
        </w:rPr>
        <w:t>Determinación del mercado relevante</w:t>
      </w:r>
    </w:p>
    <w:p w14:paraId="0CB2A1F3" w14:textId="77777777" w:rsidR="00A66919" w:rsidRPr="00673243" w:rsidRDefault="00A66919" w:rsidP="00BE0179">
      <w:pPr>
        <w:pStyle w:val="Prrafodelista"/>
        <w:numPr>
          <w:ilvl w:val="0"/>
          <w:numId w:val="13"/>
        </w:numPr>
        <w:spacing w:before="120" w:after="120" w:line="240" w:lineRule="auto"/>
        <w:contextualSpacing w:val="0"/>
        <w:jc w:val="both"/>
      </w:pPr>
      <w:r w:rsidRPr="007744B8">
        <w:t>El artículo 96 de la LFCE establece el procedimiento para determinar si uno o más agentes económicos tienen poder sustancial</w:t>
      </w:r>
      <w:r w:rsidR="009D7D7D" w:rsidRPr="007744B8">
        <w:t xml:space="preserve"> en</w:t>
      </w:r>
      <w:r w:rsidRPr="007744B8">
        <w:t xml:space="preserve"> un mercado relevante</w:t>
      </w:r>
      <w:r w:rsidR="00D661A2" w:rsidRPr="007744B8">
        <w:t>.</w:t>
      </w:r>
      <w:bookmarkEnd w:id="31"/>
      <w:r w:rsidR="00773D79" w:rsidRPr="007744B8">
        <w:t xml:space="preserve"> </w:t>
      </w:r>
      <w:r w:rsidRPr="007744B8">
        <w:t xml:space="preserve">Aunque la LFCE no define </w:t>
      </w:r>
      <w:r w:rsidR="000915F2" w:rsidRPr="007744B8">
        <w:t xml:space="preserve">dicho </w:t>
      </w:r>
      <w:r w:rsidRPr="007744B8">
        <w:t xml:space="preserve">término, la jurisprudencia del Poder Judicial </w:t>
      </w:r>
      <w:r w:rsidR="005D1FC5" w:rsidRPr="007744B8">
        <w:t xml:space="preserve">de la Federación </w:t>
      </w:r>
      <w:r w:rsidRPr="007744B8">
        <w:t xml:space="preserve">ha señalado que se trata de un marco de referencia que </w:t>
      </w:r>
      <w:r w:rsidR="00BB5C68" w:rsidRPr="007744B8">
        <w:t>“</w:t>
      </w:r>
      <w:r w:rsidR="00773D79" w:rsidRPr="007744B8">
        <w:t>…</w:t>
      </w:r>
      <w:r w:rsidRPr="007744B8">
        <w:t xml:space="preserve">se compone de todos </w:t>
      </w:r>
      <w:r w:rsidRPr="007744B8">
        <w:lastRenderedPageBreak/>
        <w:t xml:space="preserve">los productos que son razonablemente intercambiables o sustituibles </w:t>
      </w:r>
      <w:r w:rsidR="005D1FC5" w:rsidRPr="007744B8">
        <w:t>(…)</w:t>
      </w:r>
      <w:r w:rsidRPr="007744B8">
        <w:t>. En forma más simple, el "mercado relevante" es el espacio geográfico en el que se ofrecen o demandan productos o servicios similares, lo que le otorga una doble dimensión: De productos o servicios y geográfica o territorial</w:t>
      </w:r>
      <w:r w:rsidR="00BB5C68" w:rsidRPr="007744B8">
        <w:t>”</w:t>
      </w:r>
      <w:r w:rsidRPr="00BE0179">
        <w:t>.</w:t>
      </w:r>
      <w:r w:rsidRPr="00BE0179">
        <w:rPr>
          <w:vertAlign w:val="superscript"/>
        </w:rPr>
        <w:footnoteReference w:id="63"/>
      </w:r>
      <w:r w:rsidRPr="00673243">
        <w:t xml:space="preserve"> </w:t>
      </w:r>
    </w:p>
    <w:p w14:paraId="3BFB9BA7" w14:textId="77777777" w:rsidR="00A66919" w:rsidRPr="00673243" w:rsidRDefault="00A66919" w:rsidP="009B0A36">
      <w:pPr>
        <w:pStyle w:val="Prrafodelista"/>
        <w:numPr>
          <w:ilvl w:val="0"/>
          <w:numId w:val="13"/>
        </w:numPr>
        <w:spacing w:before="120" w:after="120" w:line="240" w:lineRule="auto"/>
        <w:contextualSpacing w:val="0"/>
        <w:jc w:val="both"/>
      </w:pPr>
      <w:r w:rsidRPr="00673243">
        <w:t>En ese contexto, el artículo 58 de la LFCE establece los criterios para definir el mercado r</w:t>
      </w:r>
      <w:r w:rsidR="009D7D7D" w:rsidRPr="00673243">
        <w:t>elevante</w:t>
      </w:r>
      <w:r w:rsidR="00521682" w:rsidRPr="00673243">
        <w:t>,</w:t>
      </w:r>
      <w:r w:rsidR="009D7D7D" w:rsidRPr="00673243">
        <w:t xml:space="preserve"> de la siguiente manera:</w:t>
      </w:r>
    </w:p>
    <w:p w14:paraId="3E8F2E3C" w14:textId="77777777" w:rsidR="00A66919" w:rsidRPr="00673243" w:rsidRDefault="00A66919" w:rsidP="00673243">
      <w:pPr>
        <w:spacing w:before="120"/>
        <w:ind w:left="567" w:right="474"/>
        <w:jc w:val="both"/>
        <w:rPr>
          <w:i/>
          <w:spacing w:val="-2"/>
          <w:sz w:val="20"/>
          <w:szCs w:val="20"/>
        </w:rPr>
      </w:pPr>
      <w:r w:rsidRPr="00402061">
        <w:rPr>
          <w:b/>
          <w:i/>
          <w:spacing w:val="-2"/>
          <w:sz w:val="20"/>
          <w:szCs w:val="20"/>
        </w:rPr>
        <w:t>Artículo 58.</w:t>
      </w:r>
      <w:r w:rsidRPr="00673243">
        <w:rPr>
          <w:i/>
          <w:spacing w:val="-2"/>
          <w:sz w:val="20"/>
          <w:szCs w:val="20"/>
        </w:rPr>
        <w:t xml:space="preserve"> Para la determinación del mercado relevante, deberán considerarse los siguientes criterios:</w:t>
      </w:r>
    </w:p>
    <w:p w14:paraId="15ED821A" w14:textId="77777777" w:rsidR="00A66919" w:rsidRPr="00673243" w:rsidRDefault="00A66919" w:rsidP="00673243">
      <w:pPr>
        <w:spacing w:before="120"/>
        <w:ind w:left="567" w:right="474"/>
        <w:jc w:val="both"/>
        <w:rPr>
          <w:i/>
          <w:spacing w:val="-2"/>
          <w:sz w:val="20"/>
          <w:szCs w:val="20"/>
        </w:rPr>
      </w:pPr>
      <w:r w:rsidRPr="00673243">
        <w:rPr>
          <w:i/>
          <w:spacing w:val="-2"/>
          <w:sz w:val="20"/>
          <w:szCs w:val="20"/>
        </w:rPr>
        <w:t>I.</w:t>
      </w:r>
      <w:r w:rsidRPr="00673243">
        <w:rPr>
          <w:i/>
          <w:spacing w:val="-2"/>
          <w:sz w:val="20"/>
          <w:szCs w:val="20"/>
        </w:rPr>
        <w:tab/>
        <w:t>Las posibilidades de sustituir el bien o servicio de que se trate por otros, tanto de origen nacional como extranjero, considerando las posibilidades tecnológicas, en</w:t>
      </w:r>
      <w:r w:rsidR="00B700E1">
        <w:rPr>
          <w:i/>
          <w:spacing w:val="-2"/>
          <w:sz w:val="20"/>
          <w:szCs w:val="20"/>
        </w:rPr>
        <w:t xml:space="preserve"> </w:t>
      </w:r>
      <w:r w:rsidR="003F00EE">
        <w:rPr>
          <w:i/>
          <w:spacing w:val="-2"/>
          <w:sz w:val="20"/>
          <w:szCs w:val="20"/>
        </w:rPr>
        <w:t>q</w:t>
      </w:r>
      <w:r w:rsidRPr="00673243">
        <w:rPr>
          <w:i/>
          <w:spacing w:val="-2"/>
          <w:sz w:val="20"/>
          <w:szCs w:val="20"/>
        </w:rPr>
        <w:t>ué medida los consumidores cuentan con sustitutos y el tiempo requerido para tal sustitución;</w:t>
      </w:r>
    </w:p>
    <w:p w14:paraId="53A4CBCD" w14:textId="77777777" w:rsidR="00A66919" w:rsidRPr="00673243" w:rsidRDefault="00A66919" w:rsidP="00673243">
      <w:pPr>
        <w:spacing w:before="120"/>
        <w:ind w:left="567" w:right="474"/>
        <w:jc w:val="both"/>
        <w:rPr>
          <w:i/>
          <w:spacing w:val="-2"/>
          <w:sz w:val="20"/>
          <w:szCs w:val="20"/>
        </w:rPr>
      </w:pPr>
      <w:r w:rsidRPr="00673243">
        <w:rPr>
          <w:i/>
          <w:spacing w:val="-2"/>
          <w:sz w:val="20"/>
          <w:szCs w:val="20"/>
        </w:rPr>
        <w:t>II.</w:t>
      </w:r>
      <w:r w:rsidRPr="00673243">
        <w:rPr>
          <w:i/>
          <w:spacing w:val="-2"/>
          <w:sz w:val="20"/>
          <w:szCs w:val="20"/>
        </w:rPr>
        <w:tab/>
        <w:t>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742B65B0" w14:textId="77777777" w:rsidR="00A66919" w:rsidRPr="00673243" w:rsidRDefault="00A66919" w:rsidP="00673243">
      <w:pPr>
        <w:spacing w:before="120"/>
        <w:ind w:left="567" w:right="474"/>
        <w:jc w:val="both"/>
        <w:rPr>
          <w:i/>
          <w:spacing w:val="-2"/>
          <w:sz w:val="20"/>
          <w:szCs w:val="20"/>
        </w:rPr>
      </w:pPr>
      <w:r w:rsidRPr="00673243">
        <w:rPr>
          <w:i/>
          <w:spacing w:val="-2"/>
          <w:sz w:val="20"/>
          <w:szCs w:val="20"/>
        </w:rPr>
        <w:t>III.</w:t>
      </w:r>
      <w:r w:rsidRPr="00673243">
        <w:rPr>
          <w:i/>
          <w:spacing w:val="-2"/>
          <w:sz w:val="20"/>
          <w:szCs w:val="20"/>
        </w:rPr>
        <w:tab/>
        <w:t>Los costos y las probabilidades que tienen los usuarios o consumidores para acudir a otros mercados;</w:t>
      </w:r>
    </w:p>
    <w:p w14:paraId="3FE9188F" w14:textId="77777777" w:rsidR="00A66919" w:rsidRPr="00673243" w:rsidRDefault="00A66919" w:rsidP="00673243">
      <w:pPr>
        <w:spacing w:before="120"/>
        <w:ind w:left="567" w:right="474"/>
        <w:jc w:val="both"/>
        <w:rPr>
          <w:i/>
          <w:spacing w:val="-2"/>
          <w:sz w:val="20"/>
          <w:szCs w:val="20"/>
        </w:rPr>
      </w:pPr>
      <w:r w:rsidRPr="00673243">
        <w:rPr>
          <w:i/>
          <w:spacing w:val="-2"/>
          <w:sz w:val="20"/>
          <w:szCs w:val="20"/>
        </w:rPr>
        <w:t>IV.</w:t>
      </w:r>
      <w:r w:rsidRPr="00673243">
        <w:rPr>
          <w:i/>
          <w:spacing w:val="-2"/>
          <w:sz w:val="20"/>
          <w:szCs w:val="20"/>
        </w:rPr>
        <w:tab/>
        <w:t>Las restricciones normativas de carácter federal, local o internacional que limiten el acceso de usuarios o consumidores a fuentes de abasto alternativas, o el acceso de los proveedores a clientes alternativos;</w:t>
      </w:r>
    </w:p>
    <w:p w14:paraId="6C5FF718" w14:textId="77777777" w:rsidR="00A66919" w:rsidRPr="006243F2" w:rsidRDefault="00A66919" w:rsidP="00673243">
      <w:pPr>
        <w:spacing w:before="120"/>
        <w:ind w:left="567" w:right="474"/>
        <w:jc w:val="both"/>
        <w:rPr>
          <w:i/>
          <w:spacing w:val="-2"/>
          <w:sz w:val="20"/>
          <w:szCs w:val="20"/>
        </w:rPr>
      </w:pPr>
      <w:r w:rsidRPr="00673243">
        <w:rPr>
          <w:i/>
          <w:spacing w:val="-2"/>
          <w:sz w:val="20"/>
          <w:szCs w:val="20"/>
        </w:rPr>
        <w:t>V.</w:t>
      </w:r>
      <w:r w:rsidRPr="00673243">
        <w:rPr>
          <w:i/>
          <w:spacing w:val="-2"/>
          <w:sz w:val="20"/>
          <w:szCs w:val="20"/>
        </w:rPr>
        <w:tab/>
        <w:t xml:space="preserve">Los demás que se establezcan en las Disposiciones Regulatorias, así como los </w:t>
      </w:r>
      <w:r w:rsidRPr="006243F2">
        <w:rPr>
          <w:i/>
          <w:spacing w:val="-2"/>
          <w:sz w:val="20"/>
          <w:szCs w:val="20"/>
        </w:rPr>
        <w:t>criterios técnicos que para tal efecto emita la Comisión.</w:t>
      </w:r>
    </w:p>
    <w:p w14:paraId="3897490F" w14:textId="77777777" w:rsidR="005C70C4" w:rsidRPr="005D6B39" w:rsidRDefault="00613BFB" w:rsidP="009B0A36">
      <w:pPr>
        <w:pStyle w:val="Prrafodelista"/>
        <w:numPr>
          <w:ilvl w:val="0"/>
          <w:numId w:val="13"/>
        </w:numPr>
        <w:spacing w:before="120" w:after="120" w:line="240" w:lineRule="auto"/>
        <w:ind w:right="49"/>
        <w:contextualSpacing w:val="0"/>
        <w:jc w:val="both"/>
      </w:pPr>
      <w:bookmarkStart w:id="32" w:name="_Toc463297811"/>
      <w:bookmarkStart w:id="33" w:name="_Toc463624308"/>
      <w:r w:rsidRPr="005D6B39">
        <w:t xml:space="preserve">Ahora bien, </w:t>
      </w:r>
      <w:r w:rsidR="003036E1" w:rsidRPr="005D6B39">
        <w:t>además de lo establecido en el artículo 58 de la LFCE, p</w:t>
      </w:r>
      <w:r w:rsidR="00150BFD" w:rsidRPr="005D6B39">
        <w:t>ara definir los mercados relevantes del presente procedimiento</w:t>
      </w:r>
      <w:r w:rsidR="005D6B39">
        <w:t>,</w:t>
      </w:r>
      <w:r w:rsidR="003036E1" w:rsidRPr="005D6B39">
        <w:t xml:space="preserve"> </w:t>
      </w:r>
      <w:r w:rsidR="00150BFD" w:rsidRPr="005D6B39">
        <w:t xml:space="preserve">esta autoridad </w:t>
      </w:r>
      <w:r w:rsidR="003036E1" w:rsidRPr="005D6B39">
        <w:t>debe tomar</w:t>
      </w:r>
      <w:r w:rsidR="00150BFD" w:rsidRPr="005D6B39">
        <w:t xml:space="preserve"> en cuenta </w:t>
      </w:r>
      <w:r w:rsidR="00641E37" w:rsidRPr="005D6B39">
        <w:t>la concentración que le dio origen y el</w:t>
      </w:r>
      <w:r w:rsidR="00150BFD" w:rsidRPr="005D6B39">
        <w:t xml:space="preserve"> mandato del Artículo Noveno Transitorio.</w:t>
      </w:r>
      <w:r w:rsidR="00C11792" w:rsidRPr="005D6B39">
        <w:t xml:space="preserve"> </w:t>
      </w:r>
      <w:r w:rsidR="00641E37" w:rsidRPr="005D6B39">
        <w:t>La concentración que dio origen a este procedimiento y los servicios en ella involucrados se analiza</w:t>
      </w:r>
      <w:r w:rsidR="006863DB">
        <w:t>n</w:t>
      </w:r>
      <w:r w:rsidR="00641E37" w:rsidRPr="005D6B39">
        <w:t xml:space="preserve"> en </w:t>
      </w:r>
      <w:r w:rsidR="00A51DBD">
        <w:t xml:space="preserve">la consideración </w:t>
      </w:r>
      <w:r w:rsidR="00A51DBD" w:rsidRPr="00A51DBD">
        <w:rPr>
          <w:smallCaps/>
        </w:rPr>
        <w:t>Sexta</w:t>
      </w:r>
      <w:r w:rsidR="00641E37" w:rsidRPr="005D6B39">
        <w:t xml:space="preserve"> de este apartado.</w:t>
      </w:r>
    </w:p>
    <w:p w14:paraId="1EDA8950" w14:textId="77777777" w:rsidR="00A66919" w:rsidRPr="001C7994" w:rsidRDefault="002C77A7" w:rsidP="009B0A36">
      <w:pPr>
        <w:pStyle w:val="Prrafodelista"/>
        <w:numPr>
          <w:ilvl w:val="0"/>
          <w:numId w:val="13"/>
        </w:numPr>
        <w:spacing w:before="120" w:after="120" w:line="240" w:lineRule="auto"/>
        <w:contextualSpacing w:val="0"/>
        <w:jc w:val="both"/>
      </w:pPr>
      <w:r w:rsidRPr="001521FE">
        <w:t xml:space="preserve">En cuanto al mandato del Artículo Noveno Transitorio </w:t>
      </w:r>
      <w:r>
        <w:t xml:space="preserve">se debe precisar </w:t>
      </w:r>
      <w:bookmarkEnd w:id="32"/>
      <w:bookmarkEnd w:id="33"/>
      <w:r w:rsidR="001C7994" w:rsidRPr="005D6B39">
        <w:t>que</w:t>
      </w:r>
      <w:r>
        <w:t>, a pesar de que dicho artículo</w:t>
      </w:r>
      <w:r w:rsidR="001C7994" w:rsidRPr="005D6B39">
        <w:t xml:space="preserve"> señala que se investigará</w:t>
      </w:r>
      <w:r w:rsidR="00A66919" w:rsidRPr="001C7994">
        <w:t xml:space="preserve"> la existencia (o inexistencia) de poder sustancial en </w:t>
      </w:r>
      <w:r w:rsidR="00A318E1" w:rsidRPr="001C7994">
        <w:t>“</w:t>
      </w:r>
      <w:r w:rsidR="001C7994" w:rsidRPr="005D6B39">
        <w:t>…</w:t>
      </w:r>
      <w:r w:rsidR="00A66919" w:rsidRPr="005D6B39">
        <w:rPr>
          <w:i/>
        </w:rPr>
        <w:t xml:space="preserve">el mercado de redes de </w:t>
      </w:r>
      <w:r w:rsidR="00A66919" w:rsidRPr="001C7994">
        <w:rPr>
          <w:i/>
        </w:rPr>
        <w:t>telecomunicaciones que presten servicios de voz, datos o video o en el de radio y televisión</w:t>
      </w:r>
      <w:r w:rsidR="009048D5" w:rsidRPr="001C7994">
        <w:rPr>
          <w:i/>
        </w:rPr>
        <w:t>, según el sector que corresponda</w:t>
      </w:r>
      <w:r w:rsidR="001C7994" w:rsidRPr="001C7994">
        <w:rPr>
          <w:i/>
        </w:rPr>
        <w:t>”</w:t>
      </w:r>
      <w:r w:rsidR="001C7994" w:rsidRPr="005D6B39">
        <w:t xml:space="preserve">, esta disposición </w:t>
      </w:r>
      <w:r>
        <w:t xml:space="preserve">no </w:t>
      </w:r>
      <w:r w:rsidR="001C7994" w:rsidRPr="005D6B39">
        <w:t xml:space="preserve">define el mercado relevante sino </w:t>
      </w:r>
      <w:r w:rsidR="004C2DB0" w:rsidRPr="001C7994">
        <w:t xml:space="preserve">únicamente </w:t>
      </w:r>
      <w:r w:rsidR="001C7994" w:rsidRPr="005D6B39">
        <w:t>e</w:t>
      </w:r>
      <w:r w:rsidR="004C2DB0" w:rsidRPr="001C7994">
        <w:t>l mercado investigado.</w:t>
      </w:r>
    </w:p>
    <w:p w14:paraId="40D272C4" w14:textId="77777777" w:rsidR="00A66919" w:rsidRPr="00673243" w:rsidRDefault="00824D85" w:rsidP="009B0A36">
      <w:pPr>
        <w:pStyle w:val="Prrafodelista"/>
        <w:numPr>
          <w:ilvl w:val="0"/>
          <w:numId w:val="13"/>
        </w:numPr>
        <w:spacing w:before="120" w:after="120" w:line="240" w:lineRule="auto"/>
        <w:contextualSpacing w:val="0"/>
        <w:jc w:val="both"/>
      </w:pPr>
      <w:r>
        <w:t>E</w:t>
      </w:r>
      <w:r w:rsidR="00A66919" w:rsidRPr="00673243">
        <w:t xml:space="preserve">l mercado investigado </w:t>
      </w:r>
      <w:r>
        <w:t>es</w:t>
      </w:r>
      <w:r w:rsidR="00A66919" w:rsidRPr="00673243">
        <w:t xml:space="preserve"> un </w:t>
      </w:r>
      <w:r w:rsidR="00A66919" w:rsidRPr="001F485A">
        <w:t xml:space="preserve">concepto genérico </w:t>
      </w:r>
      <w:r w:rsidR="00404E15" w:rsidRPr="001F485A">
        <w:t xml:space="preserve">que </w:t>
      </w:r>
      <w:r w:rsidR="00A11A1E" w:rsidRPr="001F485A">
        <w:t xml:space="preserve">indica el mercado en el </w:t>
      </w:r>
      <w:r w:rsidR="001F485A" w:rsidRPr="001F485A">
        <w:t>que</w:t>
      </w:r>
      <w:r w:rsidR="00872FC9" w:rsidRPr="001F485A">
        <w:t xml:space="preserve"> </w:t>
      </w:r>
      <w:r w:rsidR="00A66919" w:rsidRPr="001F485A">
        <w:t>se desarrollará la investigación</w:t>
      </w:r>
      <w:r w:rsidR="00A11A1E" w:rsidRPr="001F485A">
        <w:t>. En contraste</w:t>
      </w:r>
      <w:r w:rsidR="001F485A" w:rsidRPr="001F485A">
        <w:t>,</w:t>
      </w:r>
      <w:r w:rsidR="00A66919" w:rsidRPr="001F485A">
        <w:t xml:space="preserve"> el mercado relevante</w:t>
      </w:r>
      <w:r w:rsidRPr="001F485A">
        <w:t xml:space="preserve"> es</w:t>
      </w:r>
      <w:r w:rsidR="00A66919" w:rsidRPr="001F485A">
        <w:t xml:space="preserve"> </w:t>
      </w:r>
      <w:r w:rsidR="002C4967" w:rsidRPr="001F485A">
        <w:t xml:space="preserve">un </w:t>
      </w:r>
      <w:r w:rsidR="00872FC9" w:rsidRPr="001F485A">
        <w:t xml:space="preserve">concepto técnico y </w:t>
      </w:r>
      <w:r w:rsidRPr="001F485A">
        <w:t>específico, el cual</w:t>
      </w:r>
      <w:r w:rsidR="00A66919" w:rsidRPr="001F485A">
        <w:t xml:space="preserve"> se determina</w:t>
      </w:r>
      <w:r w:rsidRPr="001F485A">
        <w:t xml:space="preserve"> </w:t>
      </w:r>
      <w:r w:rsidR="00A66919" w:rsidRPr="001F485A">
        <w:t>una vez concluida</w:t>
      </w:r>
      <w:r w:rsidR="00A66919" w:rsidRPr="00673243">
        <w:t xml:space="preserve"> </w:t>
      </w:r>
      <w:r w:rsidR="00074871">
        <w:t xml:space="preserve">la </w:t>
      </w:r>
      <w:r w:rsidR="002C77A7">
        <w:t>misma</w:t>
      </w:r>
      <w:r w:rsidR="00A11A1E">
        <w:t>,</w:t>
      </w:r>
      <w:r w:rsidR="002C4967">
        <w:t xml:space="preserve"> </w:t>
      </w:r>
      <w:r w:rsidR="00A66919" w:rsidRPr="00673243">
        <w:t xml:space="preserve">con base </w:t>
      </w:r>
      <w:r w:rsidR="00A66919" w:rsidRPr="00673243">
        <w:lastRenderedPageBreak/>
        <w:t>en el análisis establecido por la normatividad de competencia. Sirve de apoyo a lo anterior la</w:t>
      </w:r>
      <w:r>
        <w:t xml:space="preserve"> siguiente</w:t>
      </w:r>
      <w:r w:rsidR="00A66919" w:rsidRPr="00673243">
        <w:t xml:space="preserve"> tesis:</w:t>
      </w:r>
    </w:p>
    <w:p w14:paraId="6489A596" w14:textId="77777777" w:rsidR="00A66919" w:rsidRPr="00673243" w:rsidRDefault="00A66919" w:rsidP="00673243">
      <w:pPr>
        <w:spacing w:before="120"/>
        <w:ind w:left="567" w:right="616"/>
        <w:jc w:val="both"/>
        <w:rPr>
          <w:i/>
          <w:sz w:val="20"/>
          <w:szCs w:val="20"/>
          <w:lang w:val="es-ES"/>
        </w:rPr>
      </w:pPr>
      <w:r w:rsidRPr="00673243">
        <w:rPr>
          <w:b/>
          <w:i/>
          <w:sz w:val="20"/>
          <w:szCs w:val="20"/>
          <w:lang w:val="es-ES"/>
        </w:rPr>
        <w:t>MERCADO RELEVANTE</w:t>
      </w:r>
      <w:r w:rsidRPr="00673243">
        <w:rPr>
          <w:i/>
          <w:sz w:val="20"/>
          <w:szCs w:val="20"/>
          <w:lang w:val="es-ES"/>
        </w:rPr>
        <w:t xml:space="preserve">. EN TÉRMINOS DEL ARTÍCULO 33 BIS DE LA LEY FEDERAL DE COMPETENCIA ECONÓMICA, </w:t>
      </w:r>
      <w:r w:rsidRPr="00673243">
        <w:rPr>
          <w:b/>
          <w:i/>
          <w:sz w:val="20"/>
          <w:szCs w:val="20"/>
          <w:lang w:val="es-ES"/>
        </w:rPr>
        <w:t xml:space="preserve">DEBE DEFINIRSE EN LA RESOLUCIÓN DEFINITIVA </w:t>
      </w:r>
      <w:r w:rsidRPr="00673243">
        <w:rPr>
          <w:i/>
          <w:sz w:val="20"/>
          <w:szCs w:val="20"/>
          <w:lang w:val="es-ES"/>
        </w:rPr>
        <w:t>(LEGISLACIÓN VIGENTE HASTA EL 6 DE JULIO DE 2014).</w:t>
      </w:r>
    </w:p>
    <w:p w14:paraId="0FA26A46" w14:textId="77777777" w:rsidR="00A66919" w:rsidRPr="00673243" w:rsidRDefault="00A66919" w:rsidP="00673243">
      <w:pPr>
        <w:spacing w:before="120"/>
        <w:ind w:left="567" w:right="616"/>
        <w:jc w:val="both"/>
        <w:rPr>
          <w:spacing w:val="-2"/>
          <w:lang w:val="es-ES"/>
        </w:rPr>
      </w:pPr>
      <w:r w:rsidRPr="00673243">
        <w:rPr>
          <w:i/>
          <w:spacing w:val="-2"/>
          <w:sz w:val="20"/>
          <w:szCs w:val="20"/>
          <w:lang w:val="es-ES"/>
        </w:rPr>
        <w:t xml:space="preserve">El precepto citado establece un procedimiento que tiene una fase de investigación, iniciada de oficio o a petición de parte afectada, en la que la autoridad emite un acuerdo de inicio, cuyo extracto se publica en el Diario Oficial de la Federación, </w:t>
      </w:r>
      <w:r w:rsidRPr="00673243">
        <w:rPr>
          <w:b/>
          <w:i/>
          <w:spacing w:val="-2"/>
          <w:sz w:val="20"/>
          <w:szCs w:val="20"/>
          <w:lang w:val="es-ES"/>
        </w:rPr>
        <w:t>el cual deberá contener el mercado materia de la declaratoria</w:t>
      </w:r>
      <w:r w:rsidRPr="00673243">
        <w:rPr>
          <w:i/>
          <w:spacing w:val="-2"/>
          <w:sz w:val="20"/>
          <w:szCs w:val="20"/>
          <w:lang w:val="es-ES"/>
        </w:rPr>
        <w:t xml:space="preserve">, con el objeto de que cualquier persona coadyuve en el desarrollo de la investigación correspondiente (fracción III); una vez concluida, si se obtienen elementos para determinar la existencia de poder sustancial, procede la emisión de un dictamen preliminar (fracción V); con el que inicia una segunda fase, en la que intervienen agentes económicos con interés para manifestar y demostrar lo que a su derecho convenga (fracción VI); hecho lo anterior, la autoridad deberá emitir la resolución correspondiente (fracción VII); momento en el que se define el mercado relevante y, en su caso, la existencia de poder sustancial. Consecuentemente, el </w:t>
      </w:r>
      <w:r w:rsidRPr="00673243">
        <w:rPr>
          <w:b/>
          <w:i/>
          <w:spacing w:val="-2"/>
          <w:sz w:val="20"/>
          <w:szCs w:val="20"/>
          <w:lang w:val="es-ES"/>
        </w:rPr>
        <w:t>mercado materia de la declaratoria a que se refiere la fracción III del artículo citado y que se indica en el acuerdo de inicio, debe entenderse bajo un concepto genérico de mercado en el que se desarrolla la investigación y, con base en el que, al emitir la resolución definitiva, se delimitará el mercado relevante, que es un concepto técnico y específico disímil del concepto de mercado genérico</w:t>
      </w:r>
      <w:r w:rsidRPr="00673243">
        <w:rPr>
          <w:i/>
          <w:spacing w:val="-2"/>
          <w:sz w:val="20"/>
          <w:szCs w:val="20"/>
          <w:lang w:val="es-ES"/>
        </w:rPr>
        <w:t>.</w:t>
      </w:r>
      <w:r w:rsidRPr="00673243">
        <w:rPr>
          <w:rStyle w:val="Refdenotaalpie"/>
          <w:spacing w:val="-2"/>
          <w:sz w:val="20"/>
          <w:szCs w:val="20"/>
          <w:lang w:val="es-ES"/>
        </w:rPr>
        <w:footnoteReference w:id="64"/>
      </w:r>
      <w:r w:rsidRPr="00673243">
        <w:rPr>
          <w:i/>
          <w:spacing w:val="-2"/>
          <w:sz w:val="20"/>
          <w:szCs w:val="20"/>
          <w:lang w:val="es-ES"/>
        </w:rPr>
        <w:t xml:space="preserve"> </w:t>
      </w:r>
      <w:r w:rsidRPr="00673243">
        <w:rPr>
          <w:spacing w:val="-2"/>
          <w:sz w:val="20"/>
          <w:szCs w:val="20"/>
          <w:lang w:val="es-ES"/>
        </w:rPr>
        <w:t>(Énfasis añadido)</w:t>
      </w:r>
      <w:r w:rsidR="00546111" w:rsidRPr="00673243">
        <w:rPr>
          <w:spacing w:val="-2"/>
          <w:sz w:val="20"/>
          <w:szCs w:val="20"/>
          <w:lang w:val="es-ES"/>
        </w:rPr>
        <w:t>.</w:t>
      </w:r>
    </w:p>
    <w:p w14:paraId="64D3BFCB" w14:textId="77777777" w:rsidR="00A66919" w:rsidRPr="00673243" w:rsidRDefault="00A66919" w:rsidP="009B0A36">
      <w:pPr>
        <w:pStyle w:val="Prrafodelista"/>
        <w:numPr>
          <w:ilvl w:val="0"/>
          <w:numId w:val="13"/>
        </w:numPr>
        <w:spacing w:before="120" w:after="120" w:line="240" w:lineRule="auto"/>
        <w:contextualSpacing w:val="0"/>
        <w:jc w:val="both"/>
      </w:pPr>
      <w:r w:rsidRPr="00673243">
        <w:t xml:space="preserve">En ese sentido, la determinación de un mercado relevante no puede obedecer a la definición formal de una actividad, bien o servicio, sino que </w:t>
      </w:r>
      <w:r w:rsidR="002C4967">
        <w:t xml:space="preserve">se realiza tomando </w:t>
      </w:r>
      <w:r w:rsidRPr="00673243">
        <w:t xml:space="preserve">en cuenta las condiciones reales en las que los bienes o servicios concurren y se intercambian en el mercado, tal y como se señala en la </w:t>
      </w:r>
      <w:r w:rsidR="00824D85">
        <w:t xml:space="preserve">siguiente </w:t>
      </w:r>
      <w:r w:rsidRPr="00673243">
        <w:t>tesis de jurisprudencia:</w:t>
      </w:r>
    </w:p>
    <w:p w14:paraId="2A71A9B6" w14:textId="77777777" w:rsidR="00A66919" w:rsidRPr="0047782E" w:rsidRDefault="00A66919" w:rsidP="00673243">
      <w:pPr>
        <w:spacing w:before="120"/>
        <w:ind w:left="567" w:right="616"/>
        <w:jc w:val="both"/>
        <w:rPr>
          <w:b/>
          <w:i/>
          <w:sz w:val="20"/>
          <w:szCs w:val="20"/>
          <w:lang w:val="es-ES"/>
        </w:rPr>
      </w:pPr>
      <w:r w:rsidRPr="0047782E">
        <w:rPr>
          <w:b/>
          <w:i/>
          <w:sz w:val="20"/>
          <w:szCs w:val="20"/>
          <w:lang w:val="es-ES"/>
        </w:rPr>
        <w:t>TELECOMUNICACIONES. LA DIFERENCIA ENTRE LOS SERVICIOS DE RADIO Y TELEVISIÓN ABIERTOS CON LOS DE AUDIO Y VIDEO CERRADOS O RESTRINGIDOS, NO VIOLA EL ARTÍCULO 28 DE LA CONSTITUCIÓN POLÍTICA DE LOS ESTADOS UNIDOS MEXICANOS.</w:t>
      </w:r>
    </w:p>
    <w:p w14:paraId="65887239" w14:textId="77777777" w:rsidR="00A66919" w:rsidRPr="00673243" w:rsidRDefault="00A66919" w:rsidP="00673243">
      <w:pPr>
        <w:spacing w:before="120"/>
        <w:ind w:left="567" w:right="616"/>
        <w:jc w:val="both"/>
        <w:rPr>
          <w:i/>
          <w:sz w:val="20"/>
          <w:szCs w:val="20"/>
          <w:lang w:val="es-ES"/>
        </w:rPr>
      </w:pPr>
      <w:r w:rsidRPr="00673243">
        <w:rPr>
          <w:i/>
          <w:sz w:val="20"/>
          <w:szCs w:val="20"/>
          <w:lang w:val="es-ES"/>
        </w:rPr>
        <w:t xml:space="preserve">El hecho de que en las reformas en materia de telecomunicaciones efectuadas mediante el Decreto por el que se reforman, adicionan y derogan diversas disposiciones de la Ley Federal de Telecomunicaciones y de la Ley Federal de Radio y Televisión, publicado en el Diario Oficial de la Federación el 11 de abril de 2006, se hayan mantenido diferenciados los marcos regulatorios de los servicios de radiodifusión, que comprenden a la radio y televisión abiertas (objeto de regulación por la Ley Federal de Radio y Televisión), de los demás </w:t>
      </w:r>
      <w:r w:rsidRPr="00EF70FF">
        <w:rPr>
          <w:rFonts w:eastAsia="Calibri" w:cs="Calibri"/>
          <w:b/>
          <w:sz w:val="20"/>
          <w:szCs w:val="20"/>
        </w:rPr>
        <w:t>servicios de telecomunicaciones, entre ellos los de radio y televisión cerrados</w:t>
      </w:r>
      <w:r w:rsidRPr="00EF70FF">
        <w:rPr>
          <w:rFonts w:eastAsia="Calibri" w:cs="Calibri"/>
          <w:b/>
          <w:smallCaps/>
          <w:sz w:val="20"/>
          <w:szCs w:val="20"/>
        </w:rPr>
        <w:t xml:space="preserve"> o</w:t>
      </w:r>
      <w:r w:rsidRPr="00515FF8">
        <w:rPr>
          <w:i/>
          <w:sz w:val="20"/>
          <w:szCs w:val="20"/>
          <w:lang w:val="es-ES"/>
        </w:rPr>
        <w:t xml:space="preserve"> restringidos</w:t>
      </w:r>
      <w:r w:rsidRPr="00673243">
        <w:rPr>
          <w:i/>
          <w:sz w:val="20"/>
          <w:szCs w:val="20"/>
          <w:lang w:val="es-ES"/>
        </w:rPr>
        <w:t xml:space="preserve"> (regulados en la diversa Ley Federal de Telecomunicaciones), independientemente de que con ello se colmen o no los fines perseguidos dentro del marco de convergencia tecnológica en el cual se desarrollan tanto </w:t>
      </w:r>
      <w:r w:rsidRPr="00673243">
        <w:rPr>
          <w:i/>
          <w:sz w:val="20"/>
          <w:szCs w:val="20"/>
          <w:lang w:val="es-ES"/>
        </w:rPr>
        <w:lastRenderedPageBreak/>
        <w:t xml:space="preserve">la industria de las telecomunicaciones como la de la radiodifusión, no viola el artículo 28 de la Constitución Política de los Estados Unidos Mexicanos. Ello es así, porque </w:t>
      </w:r>
      <w:r w:rsidRPr="00673243">
        <w:rPr>
          <w:b/>
          <w:i/>
          <w:sz w:val="20"/>
          <w:szCs w:val="20"/>
          <w:lang w:val="es-ES"/>
        </w:rPr>
        <w:t>dicho Decreto de reformas no representa un obstáculo para la libre concurrencia en la materia de telecomunicaciones, ni impide la determinación de lo que pudiera considerarse mercado relevante por parte de la Comisión Federal de Competencia</w:t>
      </w:r>
      <w:r w:rsidRPr="00673243">
        <w:rPr>
          <w:i/>
          <w:sz w:val="20"/>
          <w:szCs w:val="20"/>
          <w:lang w:val="es-ES"/>
        </w:rPr>
        <w:t xml:space="preserve"> y el ejercicio de sus facultades de vigilancia, prevención y represión de prácticas monopólicas, pues los artículos 11, 12 y 13 de la Ley Federal de Competencia Económica y 9 a 12 de su Reglamento establecen los supuestos y mecanismos a través de los cuales dicha Comisión habrá de determinar el mercado relevante, así como las condiciones que ha de cubrir un agente económico para considerar que tiene poder sustancial en dicho mercado, es decir, delimitan la fijación de los elementos esenciales para identificar la ilicitud de las prácticas anticompetitivas, advirtiéndose que </w:t>
      </w:r>
      <w:r w:rsidRPr="00673243">
        <w:rPr>
          <w:b/>
          <w:i/>
          <w:sz w:val="20"/>
          <w:szCs w:val="20"/>
          <w:lang w:val="es-ES"/>
        </w:rPr>
        <w:t xml:space="preserve">la determinación de lo que constituye un mercado relevante dentro del cual uno o varios agentes económicos pueden tener poder sustancial, </w:t>
      </w:r>
      <w:r w:rsidRPr="00673243">
        <w:rPr>
          <w:b/>
          <w:i/>
          <w:sz w:val="20"/>
          <w:szCs w:val="20"/>
          <w:u w:val="single"/>
          <w:lang w:val="es-ES"/>
        </w:rPr>
        <w:t>conlleva un análisis eminentemente técnico y económico que si bien está acotado jurídicamente, no obedece ni se realiza a partir de la mera definición formal de una actividad</w:t>
      </w:r>
      <w:r w:rsidRPr="00673243">
        <w:rPr>
          <w:b/>
          <w:i/>
          <w:sz w:val="20"/>
          <w:szCs w:val="20"/>
          <w:lang w:val="es-ES"/>
        </w:rPr>
        <w:t xml:space="preserve">, </w:t>
      </w:r>
      <w:r w:rsidRPr="00673243">
        <w:rPr>
          <w:b/>
          <w:i/>
          <w:sz w:val="20"/>
          <w:szCs w:val="20"/>
          <w:u w:val="single"/>
          <w:lang w:val="es-ES"/>
        </w:rPr>
        <w:t>de un bien o de un servicio, sino que toma en cuenta las condiciones reales en las que los bienes y servicios concurren y se intercambian en el mercado</w:t>
      </w:r>
      <w:r w:rsidRPr="00673243">
        <w:rPr>
          <w:b/>
          <w:i/>
          <w:sz w:val="20"/>
          <w:szCs w:val="20"/>
          <w:lang w:val="es-ES"/>
        </w:rPr>
        <w:t>.</w:t>
      </w:r>
      <w:r w:rsidRPr="00673243">
        <w:rPr>
          <w:rStyle w:val="Refdenotaalpie"/>
          <w:i/>
          <w:sz w:val="20"/>
          <w:szCs w:val="20"/>
          <w:lang w:val="es-ES"/>
        </w:rPr>
        <w:footnoteReference w:id="65"/>
      </w:r>
      <w:r w:rsidRPr="00673243">
        <w:rPr>
          <w:b/>
          <w:i/>
          <w:sz w:val="20"/>
          <w:szCs w:val="20"/>
          <w:lang w:val="es-ES"/>
        </w:rPr>
        <w:t xml:space="preserve"> </w:t>
      </w:r>
      <w:r w:rsidRPr="00673243">
        <w:rPr>
          <w:sz w:val="20"/>
          <w:szCs w:val="20"/>
          <w:lang w:val="es-ES"/>
        </w:rPr>
        <w:t>(Énfasis añadido)</w:t>
      </w:r>
      <w:r w:rsidR="00546111" w:rsidRPr="00673243">
        <w:rPr>
          <w:sz w:val="20"/>
          <w:szCs w:val="20"/>
          <w:lang w:val="es-ES"/>
        </w:rPr>
        <w:t>.</w:t>
      </w:r>
    </w:p>
    <w:p w14:paraId="3E92DD02" w14:textId="77777777" w:rsidR="00581318" w:rsidRPr="00673243" w:rsidRDefault="0056112B" w:rsidP="009B0A36">
      <w:pPr>
        <w:pStyle w:val="Prrafodelista"/>
        <w:numPr>
          <w:ilvl w:val="0"/>
          <w:numId w:val="13"/>
        </w:numPr>
        <w:spacing w:before="120" w:after="120" w:line="240" w:lineRule="auto"/>
        <w:contextualSpacing w:val="0"/>
        <w:jc w:val="both"/>
      </w:pPr>
      <w:r>
        <w:rPr>
          <w:lang w:val="es-ES"/>
        </w:rPr>
        <w:t>En consecuencia</w:t>
      </w:r>
      <w:r w:rsidR="00A66919" w:rsidRPr="00673243">
        <w:rPr>
          <w:lang w:val="es-ES"/>
        </w:rPr>
        <w:t xml:space="preserve">, </w:t>
      </w:r>
      <w:r w:rsidRPr="00404E15">
        <w:t>los mercados relevantes que se determinan en el presente Dic</w:t>
      </w:r>
      <w:r w:rsidR="00621989" w:rsidRPr="00621989">
        <w:t xml:space="preserve">tamen Preliminar corresponden al </w:t>
      </w:r>
      <w:r w:rsidRPr="00404E15">
        <w:t xml:space="preserve">análisis realizado conforme </w:t>
      </w:r>
      <w:r w:rsidR="00621989">
        <w:t>a</w:t>
      </w:r>
      <w:r w:rsidRPr="00404E15">
        <w:t xml:space="preserve">l artículo 58 de la LFCE, </w:t>
      </w:r>
      <w:r w:rsidR="00621989">
        <w:t>a partir de</w:t>
      </w:r>
      <w:r w:rsidRPr="00404E15">
        <w:t xml:space="preserve"> la evidencia e información obtenidas durante la investigación prevista en el artículo 96 de la LFCE, y conforme al mandato establecido en el Artículo Noveno Transitorio.</w:t>
      </w:r>
      <w:bookmarkStart w:id="34" w:name="_Toc463624310"/>
    </w:p>
    <w:p w14:paraId="23356993" w14:textId="77777777" w:rsidR="005B6C4D" w:rsidRPr="00C40B54" w:rsidRDefault="005B6C4D" w:rsidP="005B6C4D">
      <w:pPr>
        <w:spacing w:before="120"/>
        <w:jc w:val="both"/>
        <w:outlineLvl w:val="1"/>
      </w:pPr>
      <w:bookmarkStart w:id="35" w:name="_Toc463624318"/>
      <w:bookmarkStart w:id="36" w:name="_Toc463624312"/>
      <w:bookmarkEnd w:id="34"/>
      <w:r w:rsidRPr="004A2BA8">
        <w:rPr>
          <w:b/>
          <w:smallCaps/>
        </w:rPr>
        <w:t>Quinta</w:t>
      </w:r>
      <w:r w:rsidRPr="00C40B54">
        <w:rPr>
          <w:rFonts w:eastAsia="Calibri" w:cs="Calibri"/>
          <w:b/>
          <w:smallCaps/>
          <w:szCs w:val="26"/>
        </w:rPr>
        <w:t xml:space="preserve">.- </w:t>
      </w:r>
      <w:r w:rsidRPr="00C40B54">
        <w:rPr>
          <w:rFonts w:eastAsia="Calibri" w:cs="Calibri"/>
          <w:szCs w:val="26"/>
        </w:rPr>
        <w:t xml:space="preserve">Agentes </w:t>
      </w:r>
      <w:r>
        <w:rPr>
          <w:rFonts w:eastAsia="Calibri" w:cs="Calibri"/>
          <w:szCs w:val="26"/>
        </w:rPr>
        <w:t>e</w:t>
      </w:r>
      <w:r w:rsidRPr="00C40B54">
        <w:rPr>
          <w:rFonts w:eastAsia="Calibri" w:cs="Calibri"/>
          <w:szCs w:val="26"/>
        </w:rPr>
        <w:t>conómicos</w:t>
      </w:r>
    </w:p>
    <w:p w14:paraId="531FE9B1" w14:textId="77777777" w:rsidR="005B6C4D" w:rsidRPr="005E097A" w:rsidRDefault="005B6C4D" w:rsidP="005B6C4D">
      <w:pPr>
        <w:pStyle w:val="Prrafodelista"/>
        <w:numPr>
          <w:ilvl w:val="0"/>
          <w:numId w:val="13"/>
        </w:numPr>
        <w:spacing w:before="120" w:after="120" w:line="240" w:lineRule="auto"/>
        <w:contextualSpacing w:val="0"/>
        <w:jc w:val="both"/>
      </w:pPr>
      <w:r>
        <w:t xml:space="preserve">A partir de </w:t>
      </w:r>
      <w:r w:rsidRPr="00673243">
        <w:t xml:space="preserve">la </w:t>
      </w:r>
      <w:r w:rsidRPr="00571CE6">
        <w:t>información obtenida durante la investigación se identificaron divers</w:t>
      </w:r>
      <w:r>
        <w:t xml:space="preserve">os agentes económicos que ofrecen uno o varios de los servicios involucrados en la Operación, consistentes en el arrendamiento de enlaces dedicados, acceso a internet dedicado y arrendamiento de sitios de telecomunicaciones. </w:t>
      </w:r>
      <w:r>
        <w:rPr>
          <w:rFonts w:eastAsia="Calibri" w:cs="Calibri"/>
          <w:szCs w:val="26"/>
        </w:rPr>
        <w:t>Asimismo, se determinó que diversos agentes económicos concurren en los mercados bajo la forma de un Grupo de Interés Económico</w:t>
      </w:r>
      <w:r w:rsidRPr="00673243">
        <w:rPr>
          <w:rFonts w:eastAsia="Calibri" w:cs="Calibri"/>
          <w:szCs w:val="26"/>
        </w:rPr>
        <w:t>.</w:t>
      </w:r>
    </w:p>
    <w:bookmarkEnd w:id="35"/>
    <w:p w14:paraId="0A551B79" w14:textId="77777777" w:rsidR="005B6C4D" w:rsidRPr="00673243" w:rsidRDefault="005B6C4D" w:rsidP="005B6C4D">
      <w:pPr>
        <w:pStyle w:val="Prrafodelista"/>
        <w:numPr>
          <w:ilvl w:val="0"/>
          <w:numId w:val="13"/>
        </w:numPr>
        <w:spacing w:before="120" w:after="120" w:line="240" w:lineRule="auto"/>
        <w:contextualSpacing w:val="0"/>
        <w:jc w:val="both"/>
      </w:pPr>
      <w:r w:rsidRPr="00673243">
        <w:t xml:space="preserve">Un </w:t>
      </w:r>
      <w:r>
        <w:t>G</w:t>
      </w:r>
      <w:r w:rsidRPr="00673243">
        <w:t xml:space="preserve">rupo de </w:t>
      </w:r>
      <w:r>
        <w:t>I</w:t>
      </w:r>
      <w:r w:rsidRPr="00673243">
        <w:t xml:space="preserve">nterés </w:t>
      </w:r>
      <w:r>
        <w:t>E</w:t>
      </w:r>
      <w:r w:rsidRPr="00673243">
        <w:t xml:space="preserve">conómico es un conjunto de personas que, para efectos del análisis de competencia económica, conforman un mismo </w:t>
      </w:r>
      <w:r>
        <w:t>a</w:t>
      </w:r>
      <w:r w:rsidRPr="00673243">
        <w:t xml:space="preserve">gente </w:t>
      </w:r>
      <w:r>
        <w:t>e</w:t>
      </w:r>
      <w:r w:rsidRPr="00673243">
        <w:t>conómico. De la doctrina y de diversos criterios judiciales se desprende que existe un GIE y, consecuentemente, una dirección económica unitaria, cuando</w:t>
      </w:r>
      <w:r>
        <w:t>:</w:t>
      </w:r>
      <w:r w:rsidRPr="00673243">
        <w:t xml:space="preserve"> i) una persona física o jurídica ejerce influencia decisiva o control, sobre otra(s); ii) existen intereses comerciales y</w:t>
      </w:r>
      <w:r>
        <w:t xml:space="preserve"> financieros afines entre ellas,</w:t>
      </w:r>
      <w:r w:rsidRPr="00673243">
        <w:t xml:space="preserve"> y iii) existe coordinación de actividades para lograr un objetivo común o unión para realizar un fin determinado.</w:t>
      </w:r>
      <w:r>
        <w:rPr>
          <w:rStyle w:val="Refdenotaalpie"/>
        </w:rPr>
        <w:footnoteReference w:id="66"/>
      </w:r>
    </w:p>
    <w:p w14:paraId="7E0BA135" w14:textId="77777777" w:rsidR="005B6C4D" w:rsidRDefault="005B6C4D" w:rsidP="005B6C4D">
      <w:pPr>
        <w:pStyle w:val="Prrafodelista"/>
        <w:numPr>
          <w:ilvl w:val="0"/>
          <w:numId w:val="13"/>
        </w:numPr>
        <w:spacing w:before="120" w:after="120" w:line="240" w:lineRule="auto"/>
        <w:contextualSpacing w:val="0"/>
        <w:jc w:val="both"/>
      </w:pPr>
      <w:r w:rsidRPr="00673243">
        <w:lastRenderedPageBreak/>
        <w:t xml:space="preserve">En este sentido, </w:t>
      </w:r>
      <w:r>
        <w:t>los elementos señalados en el párrafo anterior</w:t>
      </w:r>
      <w:r w:rsidRPr="00673243">
        <w:t xml:space="preserve"> pueden ser demostrados mediante la actualización de cualquiera de los siguientes criterios</w:t>
      </w:r>
      <w:r>
        <w:t>,</w:t>
      </w:r>
      <w:r w:rsidRPr="00673243">
        <w:t xml:space="preserve"> o una combinación de los mismos:</w:t>
      </w:r>
    </w:p>
    <w:p w14:paraId="1F346D8F" w14:textId="77777777" w:rsidR="005B6C4D" w:rsidRDefault="005B6C4D" w:rsidP="005B6C4D">
      <w:pPr>
        <w:pStyle w:val="Prrafodelista"/>
        <w:numPr>
          <w:ilvl w:val="0"/>
          <w:numId w:val="14"/>
        </w:numPr>
        <w:spacing w:before="120" w:after="120" w:line="240" w:lineRule="auto"/>
        <w:ind w:left="714" w:hanging="357"/>
        <w:contextualSpacing w:val="0"/>
        <w:jc w:val="both"/>
      </w:pPr>
      <w:r>
        <w:t>cuando una persona, directa o indirectamente, es tenedora o titular de acciones o partes sociales, con derecho pleno a voto, que representen más del cincuenta por ciento (50%) del capital social de dos o más personas morales;</w:t>
      </w:r>
    </w:p>
    <w:p w14:paraId="395BD1CE" w14:textId="77777777" w:rsidR="005B6C4D" w:rsidRDefault="005B6C4D" w:rsidP="005B6C4D">
      <w:pPr>
        <w:pStyle w:val="Prrafodelista"/>
        <w:numPr>
          <w:ilvl w:val="0"/>
          <w:numId w:val="14"/>
        </w:numPr>
        <w:spacing w:before="120" w:after="120" w:line="240" w:lineRule="auto"/>
        <w:ind w:left="714" w:hanging="357"/>
        <w:contextualSpacing w:val="0"/>
        <w:jc w:val="both"/>
      </w:pPr>
      <w:r>
        <w:t>cuando una persona, directa o indirectamente, es tenedora o titular de acciones o partes sociales con derecho pleno a voto, de dos o más personas morales, cuyo valor representa el mayor porcentaje del capital social de estas personas, respecto a los demás accionistas de las mismas;</w:t>
      </w:r>
    </w:p>
    <w:p w14:paraId="128C90EC" w14:textId="77777777" w:rsidR="005B6C4D" w:rsidRDefault="005B6C4D" w:rsidP="005B6C4D">
      <w:pPr>
        <w:pStyle w:val="Prrafodelista"/>
        <w:numPr>
          <w:ilvl w:val="0"/>
          <w:numId w:val="14"/>
        </w:numPr>
        <w:spacing w:before="120" w:after="120" w:line="240" w:lineRule="auto"/>
        <w:ind w:left="714" w:hanging="357"/>
        <w:contextualSpacing w:val="0"/>
        <w:jc w:val="both"/>
      </w:pPr>
      <w:r>
        <w:t>cuando una o varias personas, directa o indirectamente, tenga la facultad de dirigir o administrar a una o más personas morales en virtud de las facultades que le otorga su posición dentro de los órganos de dirección y/o administración de la sociedad o sociedades en cuestión;</w:t>
      </w:r>
    </w:p>
    <w:p w14:paraId="35A07358" w14:textId="77777777" w:rsidR="005B6C4D" w:rsidRDefault="005B6C4D" w:rsidP="005B6C4D">
      <w:pPr>
        <w:pStyle w:val="Prrafodelista"/>
        <w:numPr>
          <w:ilvl w:val="0"/>
          <w:numId w:val="14"/>
        </w:numPr>
        <w:spacing w:before="120" w:after="120" w:line="240" w:lineRule="auto"/>
        <w:ind w:left="714" w:hanging="357"/>
        <w:contextualSpacing w:val="0"/>
        <w:jc w:val="both"/>
      </w:pPr>
      <w:r>
        <w:t>cuando una o varias personas tengan la facultad de dirigir o administrar a una o más personas morales en virtud de uno o varios contratos, incluyendo el acto constitutivo de dichas personas morales;</w:t>
      </w:r>
    </w:p>
    <w:p w14:paraId="6775C6FD" w14:textId="77777777" w:rsidR="005B6C4D" w:rsidRDefault="005B6C4D" w:rsidP="005B6C4D">
      <w:pPr>
        <w:pStyle w:val="Prrafodelista"/>
        <w:numPr>
          <w:ilvl w:val="0"/>
          <w:numId w:val="14"/>
        </w:numPr>
        <w:spacing w:before="120" w:after="120" w:line="240" w:lineRule="auto"/>
        <w:ind w:left="714" w:hanging="357"/>
        <w:contextualSpacing w:val="0"/>
        <w:jc w:val="both"/>
      </w:pPr>
      <w:r>
        <w:t>cuando una persona tenga la capacidad o derecho de designar la mayoría de los miembros del consejo de administración u órgano equivalente de otra persona;</w:t>
      </w:r>
    </w:p>
    <w:p w14:paraId="2C5FD7D0" w14:textId="77777777" w:rsidR="005B6C4D" w:rsidRDefault="005B6C4D" w:rsidP="005B6C4D">
      <w:pPr>
        <w:pStyle w:val="Prrafodelista"/>
        <w:numPr>
          <w:ilvl w:val="0"/>
          <w:numId w:val="14"/>
        </w:numPr>
        <w:spacing w:before="120" w:after="120" w:line="240" w:lineRule="auto"/>
        <w:ind w:left="714" w:hanging="357"/>
        <w:contextualSpacing w:val="0"/>
        <w:jc w:val="both"/>
      </w:pPr>
      <w:r>
        <w:t>cuando una persona, directa o indirectamente, tenga la capacidad o el derecho de designar al director, gerente o factor principal de otras personas;</w:t>
      </w:r>
    </w:p>
    <w:p w14:paraId="73E722B9" w14:textId="77777777" w:rsidR="005B6C4D" w:rsidRDefault="005B6C4D" w:rsidP="005B6C4D">
      <w:pPr>
        <w:pStyle w:val="Prrafodelista"/>
        <w:numPr>
          <w:ilvl w:val="0"/>
          <w:numId w:val="14"/>
        </w:numPr>
        <w:spacing w:before="120" w:after="120" w:line="240" w:lineRule="auto"/>
        <w:ind w:left="714" w:hanging="357"/>
        <w:contextualSpacing w:val="0"/>
        <w:jc w:val="both"/>
      </w:pPr>
      <w:r>
        <w:t>c</w:t>
      </w:r>
      <w:r w:rsidRPr="00375713">
        <w:t>uando una persona y las vinculadas a esta por parentesco consanguíneo o por afinidad, tengan participación</w:t>
      </w:r>
      <w:r>
        <w:t xml:space="preserve"> en</w:t>
      </w:r>
      <w:r w:rsidRPr="00375713">
        <w:t xml:space="preserve"> una o diversas personas morales</w:t>
      </w:r>
      <w:r>
        <w:t xml:space="preserve"> y puedan ejercer su control conforme a los criterios señalados en los incisos a), b) o c);</w:t>
      </w:r>
    </w:p>
    <w:p w14:paraId="052BFD16" w14:textId="77777777" w:rsidR="005B6C4D" w:rsidRDefault="005B6C4D" w:rsidP="005B6C4D">
      <w:pPr>
        <w:pStyle w:val="Prrafodelista"/>
        <w:numPr>
          <w:ilvl w:val="0"/>
          <w:numId w:val="14"/>
        </w:numPr>
        <w:spacing w:before="120" w:after="120" w:line="240" w:lineRule="auto"/>
        <w:ind w:left="714" w:hanging="357"/>
        <w:contextualSpacing w:val="0"/>
        <w:jc w:val="both"/>
      </w:pPr>
      <w:r>
        <w:t>cuando las partes expresamente así lo reconozcan, y</w:t>
      </w:r>
    </w:p>
    <w:p w14:paraId="0398DB6F" w14:textId="77777777" w:rsidR="005B6C4D" w:rsidRDefault="005B6C4D" w:rsidP="005B6C4D">
      <w:pPr>
        <w:pStyle w:val="Prrafodelista"/>
        <w:numPr>
          <w:ilvl w:val="0"/>
          <w:numId w:val="14"/>
        </w:numPr>
        <w:spacing w:before="120" w:after="120" w:line="240" w:lineRule="auto"/>
        <w:contextualSpacing w:val="0"/>
        <w:jc w:val="both"/>
      </w:pPr>
      <w:r>
        <w:t>c</w:t>
      </w:r>
      <w:r w:rsidRPr="00E42715">
        <w:t>uando las actividades económicas de una o varias sociedades se realizan principalmente con la sociedad controladora o con las personas morales controladas, directa o indirectamente, por la o las personas físicas que ejercen dicho control</w:t>
      </w:r>
      <w:r>
        <w:t>.</w:t>
      </w:r>
    </w:p>
    <w:p w14:paraId="1A26EBC5" w14:textId="77777777" w:rsidR="005B6C4D" w:rsidRDefault="005B6C4D" w:rsidP="005B6C4D">
      <w:pPr>
        <w:pStyle w:val="Prrafodelista"/>
        <w:numPr>
          <w:ilvl w:val="0"/>
          <w:numId w:val="13"/>
        </w:numPr>
        <w:spacing w:before="120" w:after="120" w:line="240" w:lineRule="auto"/>
        <w:contextualSpacing w:val="0"/>
        <w:jc w:val="both"/>
      </w:pPr>
      <w:r w:rsidRPr="00217297">
        <w:t>En el Anexo I del presente</w:t>
      </w:r>
      <w:r>
        <w:t xml:space="preserve"> Dictamen, </w:t>
      </w:r>
      <w:r w:rsidRPr="00673243">
        <w:t>denominado “Criterios de Grupo de Interés Económico”, se expone detalladamente la argumentación jurídica que sustenta lo anterior.</w:t>
      </w:r>
    </w:p>
    <w:p w14:paraId="622FB21E" w14:textId="77777777" w:rsidR="005B6C4D" w:rsidRPr="00BC2857" w:rsidRDefault="005B6C4D" w:rsidP="005B6C4D">
      <w:pPr>
        <w:pStyle w:val="Prrafodelista"/>
        <w:numPr>
          <w:ilvl w:val="0"/>
          <w:numId w:val="13"/>
        </w:numPr>
        <w:spacing w:before="120" w:after="120" w:line="240" w:lineRule="auto"/>
        <w:contextualSpacing w:val="0"/>
        <w:jc w:val="both"/>
      </w:pPr>
      <w:r>
        <w:t>P</w:t>
      </w:r>
      <w:r w:rsidRPr="00BC2857">
        <w:t xml:space="preserve">ara efectos de la presente investigación, y para ciertos </w:t>
      </w:r>
      <w:r>
        <w:t>a</w:t>
      </w:r>
      <w:r w:rsidRPr="00BC2857">
        <w:t xml:space="preserve">gentes </w:t>
      </w:r>
      <w:r>
        <w:t>e</w:t>
      </w:r>
      <w:r w:rsidRPr="00BC2857">
        <w:t xml:space="preserve">conómicos que prestan uno o varios de los servicios involucrados en la Operación, se conformaron los siguientes </w:t>
      </w:r>
      <w:r>
        <w:t>Grupos de Interés Económico</w:t>
      </w:r>
      <w:r w:rsidRPr="00BC2857">
        <w:t>:</w:t>
      </w:r>
    </w:p>
    <w:p w14:paraId="5AD102A9" w14:textId="77777777" w:rsidR="005B6C4D" w:rsidRPr="00673243" w:rsidRDefault="005B6C4D" w:rsidP="005B6C4D">
      <w:pPr>
        <w:numPr>
          <w:ilvl w:val="0"/>
          <w:numId w:val="9"/>
        </w:numPr>
        <w:spacing w:before="120"/>
        <w:ind w:hanging="294"/>
        <w:jc w:val="both"/>
      </w:pPr>
      <w:r w:rsidRPr="00673243">
        <w:t>GIE 1 – ATC,</w:t>
      </w:r>
    </w:p>
    <w:p w14:paraId="1F5FFE77" w14:textId="77777777" w:rsidR="005B6C4D" w:rsidRPr="00673243" w:rsidRDefault="005B6C4D" w:rsidP="005B6C4D">
      <w:pPr>
        <w:numPr>
          <w:ilvl w:val="0"/>
          <w:numId w:val="9"/>
        </w:numPr>
        <w:spacing w:before="120"/>
        <w:ind w:hanging="294"/>
        <w:jc w:val="both"/>
      </w:pPr>
      <w:r w:rsidRPr="00673243">
        <w:lastRenderedPageBreak/>
        <w:t>GIE 2 – GTV,</w:t>
      </w:r>
    </w:p>
    <w:p w14:paraId="40B1D261" w14:textId="77777777" w:rsidR="005B6C4D" w:rsidRPr="00673243" w:rsidRDefault="005B6C4D" w:rsidP="005B6C4D">
      <w:pPr>
        <w:numPr>
          <w:ilvl w:val="0"/>
          <w:numId w:val="9"/>
        </w:numPr>
        <w:spacing w:before="120"/>
        <w:ind w:hanging="294"/>
        <w:jc w:val="both"/>
      </w:pPr>
      <w:r w:rsidRPr="00673243">
        <w:t>GIE 3 – AMX</w:t>
      </w:r>
      <w:r>
        <w:t>/Telesites</w:t>
      </w:r>
      <w:r w:rsidRPr="00673243">
        <w:t xml:space="preserve"> y</w:t>
      </w:r>
    </w:p>
    <w:p w14:paraId="00E0A118" w14:textId="77777777" w:rsidR="005B6C4D" w:rsidRPr="00673243" w:rsidRDefault="005B6C4D" w:rsidP="005B6C4D">
      <w:pPr>
        <w:numPr>
          <w:ilvl w:val="0"/>
          <w:numId w:val="9"/>
        </w:numPr>
        <w:spacing w:before="120"/>
        <w:ind w:hanging="294"/>
        <w:jc w:val="both"/>
      </w:pPr>
      <w:r w:rsidRPr="00673243">
        <w:t>GIE 4 – Megacable</w:t>
      </w:r>
      <w:r>
        <w:t>.</w:t>
      </w:r>
    </w:p>
    <w:p w14:paraId="4490BEA1" w14:textId="77777777" w:rsidR="005B6C4D" w:rsidRPr="00673243" w:rsidRDefault="005B6C4D" w:rsidP="005B6C4D">
      <w:pPr>
        <w:pStyle w:val="Prrafodelista"/>
        <w:numPr>
          <w:ilvl w:val="0"/>
          <w:numId w:val="13"/>
        </w:numPr>
        <w:spacing w:before="120" w:after="120" w:line="240" w:lineRule="auto"/>
        <w:contextualSpacing w:val="0"/>
        <w:jc w:val="both"/>
      </w:pPr>
      <w:r>
        <w:t>El análisis de l</w:t>
      </w:r>
      <w:r w:rsidRPr="00673243">
        <w:t xml:space="preserve">os elementos que se consideraron para la integración de cada uno de los </w:t>
      </w:r>
      <w:r>
        <w:t>G</w:t>
      </w:r>
      <w:r w:rsidRPr="00673243">
        <w:t xml:space="preserve">rupos de </w:t>
      </w:r>
      <w:r>
        <w:t>I</w:t>
      </w:r>
      <w:r w:rsidRPr="00673243">
        <w:t xml:space="preserve">nterés </w:t>
      </w:r>
      <w:r>
        <w:t>E</w:t>
      </w:r>
      <w:r w:rsidRPr="00673243">
        <w:t>conómico señalados</w:t>
      </w:r>
      <w:r>
        <w:t>,</w:t>
      </w:r>
      <w:r w:rsidRPr="00673243">
        <w:t xml:space="preserve"> se </w:t>
      </w:r>
      <w:r>
        <w:t>detalla</w:t>
      </w:r>
      <w:r w:rsidRPr="00673243">
        <w:t xml:space="preserve"> en los Anexos II a V</w:t>
      </w:r>
      <w:r>
        <w:t xml:space="preserve"> del presente Dictamen Preliminar</w:t>
      </w:r>
      <w:r w:rsidRPr="00673243">
        <w:t>.</w:t>
      </w:r>
    </w:p>
    <w:p w14:paraId="7FEE0712" w14:textId="77777777" w:rsidR="005B6C4D" w:rsidRPr="00BC2857" w:rsidRDefault="005B6C4D" w:rsidP="005B6C4D">
      <w:pPr>
        <w:pStyle w:val="Prrafodelista"/>
        <w:numPr>
          <w:ilvl w:val="0"/>
          <w:numId w:val="13"/>
        </w:numPr>
        <w:tabs>
          <w:tab w:val="left" w:pos="3402"/>
        </w:tabs>
        <w:spacing w:before="120" w:after="120" w:line="240" w:lineRule="auto"/>
        <w:contextualSpacing w:val="0"/>
        <w:jc w:val="both"/>
      </w:pPr>
      <w:r>
        <w:t>Otros a</w:t>
      </w:r>
      <w:r w:rsidRPr="00C31FA7">
        <w:t xml:space="preserve">gentes </w:t>
      </w:r>
      <w:r>
        <w:t>e</w:t>
      </w:r>
      <w:r w:rsidRPr="00C31FA7">
        <w:t xml:space="preserve">conómicos </w:t>
      </w:r>
      <w:r>
        <w:t xml:space="preserve">que proveen </w:t>
      </w:r>
      <w:r w:rsidRPr="00C31FA7">
        <w:t>uno o varios de los servicios involucrados en la Operación, son los siguientes: AT&amp;T</w:t>
      </w:r>
      <w:r>
        <w:t>,</w:t>
      </w:r>
      <w:r w:rsidRPr="00C31FA7">
        <w:t xml:space="preserve"> Axtel, </w:t>
      </w:r>
      <w:r>
        <w:t>GTAC,</w:t>
      </w:r>
      <w:r>
        <w:rPr>
          <w:rStyle w:val="Refdenotaalpie"/>
        </w:rPr>
        <w:footnoteReference w:id="67"/>
      </w:r>
      <w:r>
        <w:t xml:space="preserve"> IP </w:t>
      </w:r>
      <w:r w:rsidRPr="00C31FA7">
        <w:t>Matrix</w:t>
      </w:r>
      <w:r>
        <w:t>,</w:t>
      </w:r>
      <w:r w:rsidRPr="00C31FA7">
        <w:t xml:space="preserve"> Metro Net, </w:t>
      </w:r>
      <w:r>
        <w:t>MTP, Pegaso</w:t>
      </w:r>
      <w:r w:rsidRPr="00C31FA7">
        <w:t xml:space="preserve"> y Total Play.</w:t>
      </w:r>
    </w:p>
    <w:p w14:paraId="69922803" w14:textId="77777777" w:rsidR="004A2BA8" w:rsidRDefault="000C44C7" w:rsidP="00C40B54">
      <w:pPr>
        <w:pStyle w:val="Sinespaciado"/>
        <w:tabs>
          <w:tab w:val="left" w:pos="3402"/>
        </w:tabs>
        <w:spacing w:before="120" w:after="120"/>
        <w:jc w:val="both"/>
        <w:outlineLvl w:val="1"/>
        <w:rPr>
          <w:rFonts w:ascii="ITC Avant Garde" w:hAnsi="ITC Avant Garde"/>
        </w:rPr>
      </w:pPr>
      <w:r w:rsidRPr="00673243">
        <w:rPr>
          <w:rFonts w:ascii="ITC Avant Garde" w:hAnsi="ITC Avant Garde"/>
          <w:b/>
          <w:smallCaps/>
        </w:rPr>
        <w:t>Sexta</w:t>
      </w:r>
      <w:r w:rsidRPr="00673243">
        <w:rPr>
          <w:rFonts w:ascii="ITC Avant Garde" w:hAnsi="ITC Avant Garde"/>
          <w:b/>
        </w:rPr>
        <w:t>.-</w:t>
      </w:r>
      <w:r w:rsidRPr="00673243">
        <w:rPr>
          <w:rFonts w:ascii="ITC Avant Garde" w:hAnsi="ITC Avant Garde"/>
        </w:rPr>
        <w:t xml:space="preserve"> </w:t>
      </w:r>
      <w:r w:rsidRPr="00C40B54">
        <w:rPr>
          <w:rFonts w:ascii="ITC Avant Garde" w:hAnsi="ITC Avant Garde"/>
        </w:rPr>
        <w:t>Concentración que dio origen al procedimiento</w:t>
      </w:r>
    </w:p>
    <w:p w14:paraId="2715D947" w14:textId="77777777" w:rsidR="000C44C7" w:rsidRPr="00673243" w:rsidRDefault="000C44C7" w:rsidP="009B0A36">
      <w:pPr>
        <w:pStyle w:val="Sinespaciado"/>
        <w:numPr>
          <w:ilvl w:val="0"/>
          <w:numId w:val="13"/>
        </w:numPr>
        <w:spacing w:before="120" w:after="120"/>
        <w:jc w:val="both"/>
        <w:rPr>
          <w:rFonts w:ascii="ITC Avant Garde" w:hAnsi="ITC Avant Garde"/>
        </w:rPr>
      </w:pPr>
      <w:r w:rsidRPr="00673243">
        <w:rPr>
          <w:rFonts w:ascii="ITC Avant Garde" w:hAnsi="ITC Avant Garde"/>
        </w:rPr>
        <w:t xml:space="preserve">Conforme a lo anteriormente señalado, </w:t>
      </w:r>
      <w:r w:rsidR="0092466E">
        <w:rPr>
          <w:rFonts w:ascii="ITC Avant Garde" w:hAnsi="ITC Avant Garde"/>
        </w:rPr>
        <w:t>esta</w:t>
      </w:r>
      <w:r w:rsidRPr="00673243">
        <w:rPr>
          <w:rFonts w:ascii="ITC Avant Garde" w:hAnsi="ITC Avant Garde"/>
        </w:rPr>
        <w:t xml:space="preserve"> investigación derivó del </w:t>
      </w:r>
      <w:r w:rsidR="00424970">
        <w:rPr>
          <w:rFonts w:ascii="ITC Avant Garde" w:hAnsi="ITC Avant Garde"/>
        </w:rPr>
        <w:t>A</w:t>
      </w:r>
      <w:r w:rsidRPr="00673243">
        <w:rPr>
          <w:rFonts w:ascii="ITC Avant Garde" w:hAnsi="ITC Avant Garde"/>
        </w:rPr>
        <w:t xml:space="preserve">viso de </w:t>
      </w:r>
      <w:r w:rsidR="00424970">
        <w:rPr>
          <w:rFonts w:ascii="ITC Avant Garde" w:hAnsi="ITC Avant Garde"/>
        </w:rPr>
        <w:t>C</w:t>
      </w:r>
      <w:r w:rsidRPr="00673243">
        <w:rPr>
          <w:rFonts w:ascii="ITC Avant Garde" w:hAnsi="ITC Avant Garde"/>
        </w:rPr>
        <w:t>oncentración</w:t>
      </w:r>
      <w:r w:rsidRPr="00571CE6">
        <w:rPr>
          <w:rFonts w:ascii="ITC Avant Garde" w:hAnsi="ITC Avant Garde"/>
        </w:rPr>
        <w:t xml:space="preserve">, presentado conforme al Artículo Noveno Transitorio. A continuación, se </w:t>
      </w:r>
      <w:r w:rsidR="0092466E">
        <w:rPr>
          <w:rFonts w:ascii="ITC Avant Garde" w:hAnsi="ITC Avant Garde"/>
        </w:rPr>
        <w:t>describe</w:t>
      </w:r>
      <w:r w:rsidRPr="00571CE6">
        <w:rPr>
          <w:rFonts w:ascii="ITC Avant Garde" w:hAnsi="ITC Avant Garde"/>
        </w:rPr>
        <w:t xml:space="preserve"> dicha </w:t>
      </w:r>
      <w:r w:rsidR="00C92706">
        <w:rPr>
          <w:rFonts w:ascii="ITC Avant Garde" w:hAnsi="ITC Avant Garde"/>
        </w:rPr>
        <w:t>O</w:t>
      </w:r>
      <w:r w:rsidR="00C92706" w:rsidRPr="00571CE6">
        <w:rPr>
          <w:rFonts w:ascii="ITC Avant Garde" w:hAnsi="ITC Avant Garde"/>
        </w:rPr>
        <w:t xml:space="preserve">peración </w:t>
      </w:r>
      <w:r w:rsidRPr="00571CE6">
        <w:rPr>
          <w:rFonts w:ascii="ITC Avant Garde" w:hAnsi="ITC Avant Garde"/>
        </w:rPr>
        <w:t xml:space="preserve">con base en la Resolución del Pleno, </w:t>
      </w:r>
      <w:r w:rsidR="00424970">
        <w:rPr>
          <w:rFonts w:ascii="ITC Avant Garde" w:hAnsi="ITC Avant Garde"/>
        </w:rPr>
        <w:t>el</w:t>
      </w:r>
      <w:r w:rsidRPr="00571CE6">
        <w:rPr>
          <w:rFonts w:ascii="ITC Avant Garde" w:hAnsi="ITC Avant Garde"/>
        </w:rPr>
        <w:t xml:space="preserve"> Aviso de Concentración </w:t>
      </w:r>
      <w:r w:rsidRPr="00673243">
        <w:rPr>
          <w:rFonts w:ascii="ITC Avant Garde" w:hAnsi="ITC Avant Garde"/>
        </w:rPr>
        <w:t xml:space="preserve">y la información y/o documentación allegada al </w:t>
      </w:r>
      <w:r w:rsidR="00C92706">
        <w:rPr>
          <w:rFonts w:ascii="ITC Avant Garde" w:hAnsi="ITC Avant Garde"/>
        </w:rPr>
        <w:t>E</w:t>
      </w:r>
      <w:r w:rsidR="00C92706" w:rsidRPr="00673243">
        <w:rPr>
          <w:rFonts w:ascii="ITC Avant Garde" w:hAnsi="ITC Avant Garde"/>
        </w:rPr>
        <w:t xml:space="preserve">xpediente </w:t>
      </w:r>
      <w:r w:rsidRPr="00673243">
        <w:rPr>
          <w:rFonts w:ascii="ITC Avant Garde" w:hAnsi="ITC Avant Garde"/>
        </w:rPr>
        <w:t>en ejercicio de las facultades de investigación de esta autoridad.</w:t>
      </w:r>
    </w:p>
    <w:p w14:paraId="0C3D38A3" w14:textId="77777777" w:rsidR="000C44C7" w:rsidRPr="00673243" w:rsidRDefault="00684C0C" w:rsidP="009B0A36">
      <w:pPr>
        <w:pStyle w:val="Prrafodelista"/>
        <w:numPr>
          <w:ilvl w:val="0"/>
          <w:numId w:val="12"/>
        </w:numPr>
        <w:spacing w:before="120" w:after="120" w:line="240" w:lineRule="auto"/>
        <w:ind w:left="357" w:hanging="357"/>
        <w:contextualSpacing w:val="0"/>
        <w:jc w:val="both"/>
        <w:outlineLvl w:val="2"/>
        <w:rPr>
          <w:b/>
        </w:rPr>
      </w:pPr>
      <w:r>
        <w:rPr>
          <w:b/>
        </w:rPr>
        <w:t>Partes</w:t>
      </w:r>
      <w:r w:rsidR="000C44C7" w:rsidRPr="00673243">
        <w:rPr>
          <w:b/>
        </w:rPr>
        <w:t xml:space="preserve"> </w:t>
      </w:r>
      <w:r w:rsidRPr="00673243">
        <w:rPr>
          <w:b/>
        </w:rPr>
        <w:t>involucrad</w:t>
      </w:r>
      <w:r>
        <w:rPr>
          <w:b/>
        </w:rPr>
        <w:t>a</w:t>
      </w:r>
      <w:r w:rsidRPr="00673243">
        <w:rPr>
          <w:b/>
        </w:rPr>
        <w:t xml:space="preserve">s </w:t>
      </w:r>
      <w:r w:rsidR="000C44C7" w:rsidRPr="00673243">
        <w:rPr>
          <w:b/>
        </w:rPr>
        <w:t xml:space="preserve">en la </w:t>
      </w:r>
      <w:r>
        <w:rPr>
          <w:b/>
        </w:rPr>
        <w:t>O</w:t>
      </w:r>
      <w:r w:rsidR="000C44C7" w:rsidRPr="00673243">
        <w:rPr>
          <w:b/>
        </w:rPr>
        <w:t>peración</w:t>
      </w:r>
    </w:p>
    <w:p w14:paraId="23B26F67" w14:textId="77777777" w:rsidR="000C44C7" w:rsidRPr="00673243" w:rsidRDefault="000C44C7" w:rsidP="00673243">
      <w:pPr>
        <w:spacing w:before="120"/>
        <w:jc w:val="both"/>
        <w:rPr>
          <w:u w:val="single"/>
        </w:rPr>
      </w:pPr>
      <w:r w:rsidRPr="00673243">
        <w:rPr>
          <w:u w:val="single"/>
        </w:rPr>
        <w:t>Vendedores</w:t>
      </w:r>
    </w:p>
    <w:p w14:paraId="0F688003" w14:textId="77777777" w:rsidR="006435D0" w:rsidRPr="00424970" w:rsidRDefault="000C44C7" w:rsidP="009B0A36">
      <w:pPr>
        <w:pStyle w:val="Prrafodelista"/>
        <w:numPr>
          <w:ilvl w:val="0"/>
          <w:numId w:val="13"/>
        </w:numPr>
        <w:spacing w:before="120" w:after="120" w:line="240" w:lineRule="auto"/>
        <w:contextualSpacing w:val="0"/>
        <w:jc w:val="both"/>
      </w:pPr>
      <w:r w:rsidRPr="00424970">
        <w:rPr>
          <w:b/>
        </w:rPr>
        <w:t>SixSigma Networks México, S.A. de C.V.</w:t>
      </w:r>
      <w:r w:rsidRPr="00673243">
        <w:t xml:space="preserve"> es una sociedad anónima de capital variable, </w:t>
      </w:r>
      <w:r w:rsidRPr="00424970">
        <w:t xml:space="preserve">constituida conforme a las leyes mexicanas. </w:t>
      </w:r>
      <w:r w:rsidR="00424970">
        <w:t>Encabeza un grupo de sociedades</w:t>
      </w:r>
      <w:r w:rsidRPr="00424970">
        <w:t xml:space="preserve"> </w:t>
      </w:r>
      <w:r w:rsidR="00424970" w:rsidRPr="00424970">
        <w:t xml:space="preserve">que </w:t>
      </w:r>
      <w:r w:rsidR="006435D0" w:rsidRPr="00424970">
        <w:t>ofrece</w:t>
      </w:r>
      <w:r w:rsidR="00424970" w:rsidRPr="00424970">
        <w:t>n</w:t>
      </w:r>
      <w:r w:rsidR="006435D0" w:rsidRPr="00424970">
        <w:t xml:space="preserve"> servicios de tecnologías de la información</w:t>
      </w:r>
      <w:r w:rsidR="00424970" w:rsidRPr="00424970">
        <w:t>,</w:t>
      </w:r>
      <w:r w:rsidR="006435D0" w:rsidRPr="00424970">
        <w:t xml:space="preserve"> tales como </w:t>
      </w:r>
      <w:r w:rsidR="006435D0" w:rsidRPr="00424970">
        <w:rPr>
          <w:i/>
        </w:rPr>
        <w:t>hosting</w:t>
      </w:r>
      <w:r w:rsidR="006435D0" w:rsidRPr="00424970">
        <w:t xml:space="preserve">, servicios en la nube, soluciones de seguridad informática, análisis de </w:t>
      </w:r>
      <w:r w:rsidR="006435D0" w:rsidRPr="00424970">
        <w:rPr>
          <w:i/>
        </w:rPr>
        <w:t>Big data</w:t>
      </w:r>
      <w:r w:rsidR="006435D0" w:rsidRPr="00424970">
        <w:t xml:space="preserve">, servicios de data center, </w:t>
      </w:r>
      <w:r w:rsidR="006435D0" w:rsidRPr="00424970">
        <w:rPr>
          <w:i/>
        </w:rPr>
        <w:t>SAP on Demand</w:t>
      </w:r>
      <w:r w:rsidR="006435D0" w:rsidRPr="00424970">
        <w:t>, servicios administrados de plataforma y/o aplicaciones, entre otros.</w:t>
      </w:r>
      <w:r w:rsidR="006435D0" w:rsidRPr="00424970">
        <w:rPr>
          <w:vertAlign w:val="superscript"/>
        </w:rPr>
        <w:footnoteReference w:id="68"/>
      </w:r>
      <w:r w:rsidR="006435D0" w:rsidRPr="00424970">
        <w:t xml:space="preserve"> Posee treinta y dos centros de datos de alta densidad y disponibilidad distribuidos en diferentes regiones del mundo, de los cuales, veintiséis se encuentran en México y el resto en Estados Unidos, Centroamérica, el Caribe y Europa.</w:t>
      </w:r>
    </w:p>
    <w:p w14:paraId="3703B268" w14:textId="77777777" w:rsidR="000C44C7" w:rsidRPr="00667412" w:rsidRDefault="000C44C7" w:rsidP="009B0A36">
      <w:pPr>
        <w:pStyle w:val="Prrafodelista"/>
        <w:numPr>
          <w:ilvl w:val="0"/>
          <w:numId w:val="13"/>
        </w:numPr>
        <w:spacing w:before="120" w:after="120" w:line="240" w:lineRule="auto"/>
        <w:contextualSpacing w:val="0"/>
        <w:jc w:val="both"/>
      </w:pPr>
      <w:r w:rsidRPr="00673243">
        <w:rPr>
          <w:b/>
        </w:rPr>
        <w:t>Wingu Networks México, S.A. de C.V.</w:t>
      </w:r>
      <w:r w:rsidRPr="00673243">
        <w:t xml:space="preserve"> es una sociedad anónima de capital variable, tenedora de acciones, constituida conforme a las leyes mexicanas; es una </w:t>
      </w:r>
      <w:r w:rsidRPr="00667412">
        <w:t>empresa subsidi</w:t>
      </w:r>
      <w:r w:rsidR="00667412" w:rsidRPr="00667412">
        <w:t>aria de KIO, cuya estructura de</w:t>
      </w:r>
      <w:r w:rsidRPr="00667412">
        <w:t xml:space="preserve"> capital social no se modificó en virtud de la Operación.</w:t>
      </w:r>
      <w:r w:rsidRPr="00667412">
        <w:rPr>
          <w:rStyle w:val="Refdenotaalpie"/>
        </w:rPr>
        <w:footnoteReference w:id="69"/>
      </w:r>
    </w:p>
    <w:p w14:paraId="23E005EB" w14:textId="77777777" w:rsidR="006D1ECF" w:rsidRDefault="000C44C7" w:rsidP="009B0A36">
      <w:pPr>
        <w:pStyle w:val="Prrafodelista"/>
        <w:numPr>
          <w:ilvl w:val="0"/>
          <w:numId w:val="13"/>
        </w:numPr>
        <w:spacing w:before="120" w:after="120" w:line="240" w:lineRule="auto"/>
        <w:contextualSpacing w:val="0"/>
        <w:jc w:val="both"/>
      </w:pPr>
      <w:r w:rsidRPr="00673243">
        <w:rPr>
          <w:b/>
        </w:rPr>
        <w:t>Metro Net, S.A.P.I. de C.V.</w:t>
      </w:r>
      <w:r w:rsidRPr="00673243">
        <w:t xml:space="preserve"> es una sociedad anónima promotora de inversión de capital variable, constituida conforme a las leyes mexicanas; es una empresa subsidiaria de KIO, cuya estructura de capital social no se modificó en virtud de la Operación.</w:t>
      </w:r>
      <w:r w:rsidRPr="00673243">
        <w:rPr>
          <w:rStyle w:val="Refdenotaalpie"/>
        </w:rPr>
        <w:footnoteReference w:id="70"/>
      </w:r>
      <w:r w:rsidRPr="00673243">
        <w:t xml:space="preserve"> Asimismo, Metro Net es titular de una concesión para instalar, operar y explotar una </w:t>
      </w:r>
      <w:r w:rsidR="0092466E">
        <w:t>RPT</w:t>
      </w:r>
      <w:r w:rsidRPr="00673243">
        <w:t xml:space="preserve">, vigente hasta el cinco de julio de dos mil veintisiete, mediante </w:t>
      </w:r>
      <w:r w:rsidRPr="00673243">
        <w:lastRenderedPageBreak/>
        <w:t>la cual prestaba, hasta antes de su escisión, diversos servicios de telecomunicaciones.</w:t>
      </w:r>
      <w:r w:rsidRPr="00673243">
        <w:rPr>
          <w:rStyle w:val="Refdenotaalpie"/>
        </w:rPr>
        <w:footnoteReference w:id="71"/>
      </w:r>
    </w:p>
    <w:p w14:paraId="644FBC72" w14:textId="77777777" w:rsidR="000C44C7" w:rsidRPr="00673243" w:rsidRDefault="000C44C7" w:rsidP="00CE4576">
      <w:pPr>
        <w:keepNext/>
        <w:keepLines/>
        <w:spacing w:before="120"/>
        <w:rPr>
          <w:u w:val="single"/>
        </w:rPr>
      </w:pPr>
      <w:r w:rsidRPr="00673243">
        <w:rPr>
          <w:u w:val="single"/>
        </w:rPr>
        <w:t>Compradores</w:t>
      </w:r>
    </w:p>
    <w:p w14:paraId="61FD4478" w14:textId="77777777" w:rsidR="000C44C7" w:rsidRPr="002667A2" w:rsidRDefault="000C44C7" w:rsidP="00CE4576">
      <w:pPr>
        <w:pStyle w:val="Prrafodelista"/>
        <w:keepNext/>
        <w:keepLines/>
        <w:numPr>
          <w:ilvl w:val="0"/>
          <w:numId w:val="13"/>
        </w:numPr>
        <w:spacing w:before="120" w:after="120" w:line="240" w:lineRule="auto"/>
        <w:contextualSpacing w:val="0"/>
        <w:jc w:val="both"/>
      </w:pPr>
      <w:bookmarkStart w:id="37" w:name="_Ref518915217"/>
      <w:r w:rsidRPr="00673243">
        <w:rPr>
          <w:b/>
        </w:rPr>
        <w:t xml:space="preserve">ATC MexHold, </w:t>
      </w:r>
      <w:r w:rsidRPr="00667412">
        <w:rPr>
          <w:b/>
        </w:rPr>
        <w:t xml:space="preserve">LLC </w:t>
      </w:r>
      <w:r w:rsidRPr="00667412">
        <w:t xml:space="preserve">es una sociedad tenedora de acciones constituida </w:t>
      </w:r>
      <w:r w:rsidRPr="002667A2">
        <w:t>conforme a las leyes de Delaware, Estados Unidos de América, y es subsidiaria indirecta de American Tower Corporation.</w:t>
      </w:r>
      <w:r w:rsidRPr="002667A2">
        <w:rPr>
          <w:vertAlign w:val="superscript"/>
        </w:rPr>
        <w:footnoteReference w:id="72"/>
      </w:r>
      <w:bookmarkEnd w:id="37"/>
    </w:p>
    <w:p w14:paraId="4C388E61" w14:textId="77777777" w:rsidR="000C44C7" w:rsidRDefault="000C44C7" w:rsidP="009B0A36">
      <w:pPr>
        <w:pStyle w:val="Prrafodelista"/>
        <w:numPr>
          <w:ilvl w:val="0"/>
          <w:numId w:val="13"/>
        </w:numPr>
        <w:spacing w:before="120" w:after="120" w:line="240" w:lineRule="auto"/>
        <w:contextualSpacing w:val="0"/>
        <w:jc w:val="both"/>
      </w:pPr>
      <w:r w:rsidRPr="002667A2">
        <w:rPr>
          <w:b/>
        </w:rPr>
        <w:t xml:space="preserve">ATC Holding Fibra México, S. de R.L. de C.V. </w:t>
      </w:r>
      <w:r w:rsidRPr="002667A2">
        <w:t xml:space="preserve">es una sociedad tenedora de acciones constituida conforme a las leyes mexicanas, y es subsidiaria indirecta de </w:t>
      </w:r>
      <w:r w:rsidR="00DA2DB0" w:rsidRPr="002667A2">
        <w:t>American Tower Corporation</w:t>
      </w:r>
      <w:r w:rsidRPr="002667A2">
        <w:t>.</w:t>
      </w:r>
      <w:r w:rsidRPr="002667A2">
        <w:rPr>
          <w:rStyle w:val="Refdenotaalpie"/>
        </w:rPr>
        <w:footnoteReference w:id="73"/>
      </w:r>
      <w:r w:rsidRPr="002667A2">
        <w:t xml:space="preserve"> Asimismo, ATC HFM es titular de una concesión única para uso comercial para prestar</w:t>
      </w:r>
      <w:r w:rsidRPr="00673243">
        <w:t xml:space="preserve"> servicios públicos de telecomunicaciones y radiodifusión, vigente hasta el ocho de septiembre de dos mil cuarenta y siete.</w:t>
      </w:r>
      <w:r w:rsidRPr="00673243">
        <w:rPr>
          <w:rStyle w:val="Refdenotaalpie"/>
        </w:rPr>
        <w:footnoteReference w:id="74"/>
      </w:r>
    </w:p>
    <w:p w14:paraId="30BAF076" w14:textId="77777777" w:rsidR="00DA78A3" w:rsidRPr="006D1ECF" w:rsidRDefault="000C44C7" w:rsidP="00DA78A3">
      <w:pPr>
        <w:spacing w:before="120"/>
        <w:jc w:val="both"/>
        <w:rPr>
          <w:u w:val="single"/>
        </w:rPr>
      </w:pPr>
      <w:r w:rsidRPr="00673243">
        <w:rPr>
          <w:u w:val="single"/>
        </w:rPr>
        <w:t>So</w:t>
      </w:r>
      <w:r w:rsidR="006D1ECF">
        <w:rPr>
          <w:u w:val="single"/>
        </w:rPr>
        <w:t>ciedades objeto de la operación</w:t>
      </w:r>
    </w:p>
    <w:p w14:paraId="0EA7B4D0" w14:textId="77777777" w:rsidR="000C44C7" w:rsidRPr="00673243" w:rsidRDefault="000C44C7" w:rsidP="009B0A36">
      <w:pPr>
        <w:pStyle w:val="Prrafodelista"/>
        <w:numPr>
          <w:ilvl w:val="0"/>
          <w:numId w:val="13"/>
        </w:numPr>
        <w:spacing w:before="120" w:after="120" w:line="240" w:lineRule="auto"/>
        <w:contextualSpacing w:val="0"/>
        <w:jc w:val="both"/>
      </w:pPr>
      <w:r w:rsidRPr="00673243">
        <w:rPr>
          <w:b/>
        </w:rPr>
        <w:t>CFCA Telecom</w:t>
      </w:r>
      <w:r w:rsidR="00E36A85">
        <w:rPr>
          <w:b/>
        </w:rPr>
        <w:t>m</w:t>
      </w:r>
      <w:r w:rsidRPr="00673243">
        <w:rPr>
          <w:b/>
        </w:rPr>
        <w:t xml:space="preserve">, S.A.P.I. de C.V. </w:t>
      </w:r>
      <w:r w:rsidRPr="00673243">
        <w:t xml:space="preserve">es una sociedad anónima promotora de inversión de capital variable, constituida </w:t>
      </w:r>
      <w:r w:rsidRPr="00667412">
        <w:t>conforme a las leyes mexicanas por escisión de Metro Net. Hasta antes de la Operación, CFCA Telecomm era una subsidiaria de KIO y su estructura accionaria se modificó en virtud de la misma.</w:t>
      </w:r>
      <w:r w:rsidRPr="00667412">
        <w:rPr>
          <w:rStyle w:val="Refdenotaalpie"/>
        </w:rPr>
        <w:footnoteReference w:id="75"/>
      </w:r>
      <w:r w:rsidRPr="00667412">
        <w:t xml:space="preserve"> Esta empresa tiene como objeto social,</w:t>
      </w:r>
      <w:r w:rsidRPr="00673243">
        <w:t xml:space="preserve"> entre otras actividades, prestar todo tipo de servicios públicos de telecomunicaciones; usar, aprovechar o explotar una banda de frecuencias en el territorio nacional, e instalar, operar y explotar redes públicas de telecomunicaciones.</w:t>
      </w:r>
      <w:r w:rsidRPr="00673243">
        <w:rPr>
          <w:rStyle w:val="Refdenotaalpie"/>
        </w:rPr>
        <w:footnoteReference w:id="76"/>
      </w:r>
      <w:r w:rsidRPr="00673243">
        <w:t xml:space="preserve"> Asimismo, CFCA Telecomm es titular de una autorización para establecer, operar o explotar una comercializadora de servicios de telecomunicaciones, vigente hasta el dieciocho de octubre de dos mil veintisiete.</w:t>
      </w:r>
      <w:r w:rsidRPr="00673243">
        <w:rPr>
          <w:rStyle w:val="Refdenotaalpie"/>
        </w:rPr>
        <w:footnoteReference w:id="77"/>
      </w:r>
    </w:p>
    <w:p w14:paraId="52D05026" w14:textId="77777777" w:rsidR="000C44C7" w:rsidRPr="00673243" w:rsidRDefault="000C44C7" w:rsidP="009B0A36">
      <w:pPr>
        <w:pStyle w:val="Prrafodelista"/>
        <w:numPr>
          <w:ilvl w:val="0"/>
          <w:numId w:val="13"/>
        </w:numPr>
        <w:spacing w:before="120" w:after="120" w:line="240" w:lineRule="auto"/>
        <w:contextualSpacing w:val="0"/>
        <w:jc w:val="both"/>
      </w:pPr>
      <w:r w:rsidRPr="00673243">
        <w:rPr>
          <w:b/>
        </w:rPr>
        <w:t>Tecnologías Especializadas en Líneas de Conexión Óptica, S.A.P.I. de C.V.</w:t>
      </w:r>
      <w:r w:rsidRPr="00673243">
        <w:t xml:space="preserve"> es una sociedad anónima promotora de inversión de </w:t>
      </w:r>
      <w:r w:rsidRPr="00667412">
        <w:t>capital variable constituida conforme a las leyes mexicanas</w:t>
      </w:r>
      <w:r w:rsidR="009811A0">
        <w:t>, la cual</w:t>
      </w:r>
      <w:r w:rsidRPr="00667412">
        <w:t xml:space="preserve"> -hasta antes de la Operación- era una subsidiaria de KIO y cuya estructura accionaria se modificó en virtud de la misma</w:t>
      </w:r>
      <w:r w:rsidRPr="00673243">
        <w:t>.</w:t>
      </w:r>
      <w:r w:rsidRPr="00673243">
        <w:rPr>
          <w:rStyle w:val="Refdenotaalpie"/>
        </w:rPr>
        <w:footnoteReference w:id="78"/>
      </w:r>
      <w:r w:rsidRPr="00673243">
        <w:t xml:space="preserve"> Telco es titular de una concesión única para uso comercial para prestar servicios públicos de telecomunicaciones y radiodifusión, vigente hasta el doce de abril del dos mil cuarenta y ocho.</w:t>
      </w:r>
      <w:r w:rsidRPr="00673243">
        <w:rPr>
          <w:rStyle w:val="Refdenotaalpie"/>
        </w:rPr>
        <w:footnoteReference w:id="79"/>
      </w:r>
    </w:p>
    <w:p w14:paraId="1C9FB1AD" w14:textId="77777777" w:rsidR="000C44C7" w:rsidRPr="00673243" w:rsidRDefault="000C44C7" w:rsidP="009B0A36">
      <w:pPr>
        <w:pStyle w:val="Prrafodelista"/>
        <w:keepNext/>
        <w:numPr>
          <w:ilvl w:val="0"/>
          <w:numId w:val="12"/>
        </w:numPr>
        <w:spacing w:before="120" w:after="120" w:line="240" w:lineRule="auto"/>
        <w:ind w:left="357" w:hanging="357"/>
        <w:contextualSpacing w:val="0"/>
        <w:jc w:val="both"/>
        <w:outlineLvl w:val="2"/>
      </w:pPr>
      <w:r w:rsidRPr="00673243">
        <w:rPr>
          <w:b/>
        </w:rPr>
        <w:lastRenderedPageBreak/>
        <w:t xml:space="preserve">Descripción de la </w:t>
      </w:r>
      <w:r w:rsidR="00424970">
        <w:rPr>
          <w:b/>
        </w:rPr>
        <w:t>O</w:t>
      </w:r>
      <w:r w:rsidRPr="00673243">
        <w:rPr>
          <w:b/>
        </w:rPr>
        <w:t>peración</w:t>
      </w:r>
    </w:p>
    <w:p w14:paraId="356FF498" w14:textId="77777777" w:rsidR="000C44C7" w:rsidRPr="00673243" w:rsidRDefault="000C44C7" w:rsidP="009B0A36">
      <w:pPr>
        <w:pStyle w:val="Prrafodelista"/>
        <w:numPr>
          <w:ilvl w:val="0"/>
          <w:numId w:val="13"/>
        </w:numPr>
        <w:spacing w:before="120" w:after="120" w:line="240" w:lineRule="auto"/>
        <w:contextualSpacing w:val="0"/>
        <w:jc w:val="both"/>
      </w:pPr>
      <w:r w:rsidRPr="00673243">
        <w:t xml:space="preserve">La operación consistió en la adquisición, por parte de ATC MexHold y ATC HFM, del </w:t>
      </w:r>
      <w:r w:rsidR="002D33C5" w:rsidRPr="002D33C5">
        <w:rPr>
          <w:b/>
          <w:bCs/>
          <w:color w:val="0000CC"/>
        </w:rPr>
        <w:t>“CONFIDENCIAL POR LEY”</w:t>
      </w:r>
      <w:r w:rsidRPr="00673243">
        <w:t xml:space="preserve"> de las acciones representativas del capital social de CFCA Telecomm y de </w:t>
      </w:r>
      <w:r w:rsidR="002D33C5" w:rsidRPr="002D33C5">
        <w:rPr>
          <w:b/>
          <w:bCs/>
          <w:color w:val="0000CC"/>
        </w:rPr>
        <w:t>“CONFIDENCIAL POR LEY”</w:t>
      </w:r>
      <w:r w:rsidRPr="00673243">
        <w:t xml:space="preserve"> acciones representativas del capital social de Telco (equivalente </w:t>
      </w:r>
      <w:r w:rsidR="00EF5515" w:rsidRPr="002D33C5">
        <w:rPr>
          <w:b/>
          <w:bCs/>
          <w:color w:val="0000CC"/>
        </w:rPr>
        <w:t>“CONFIDENCIAL POR LEY”</w:t>
      </w:r>
      <w:r w:rsidR="00EF5515" w:rsidRPr="00673243">
        <w:t xml:space="preserve"> </w:t>
      </w:r>
      <w:r w:rsidRPr="00673243">
        <w:t xml:space="preserve">del mismo). Asimismo, toda vez que CFCA Telecomm es propietaria del </w:t>
      </w:r>
      <w:r w:rsidR="009A29CC" w:rsidRPr="002D33C5">
        <w:rPr>
          <w:b/>
          <w:bCs/>
          <w:color w:val="0000CC"/>
        </w:rPr>
        <w:t>“CONFIDENCIAL POR LEY”</w:t>
      </w:r>
      <w:r w:rsidRPr="00673243">
        <w:t xml:space="preserve"> de las acciones representativas del capital social de Telco, derivado de la operación, ATC MexHold y ATC HFM adquirieron también, directa e indirectamente, el </w:t>
      </w:r>
      <w:r w:rsidR="009A29CC" w:rsidRPr="002D33C5">
        <w:rPr>
          <w:b/>
          <w:bCs/>
          <w:color w:val="0000CC"/>
        </w:rPr>
        <w:t>“CONFIDENCIAL POR LEY”</w:t>
      </w:r>
      <w:r w:rsidRPr="00673243">
        <w:t xml:space="preserve"> de su capital social.</w:t>
      </w:r>
    </w:p>
    <w:p w14:paraId="23072E48" w14:textId="77777777" w:rsidR="000C44C7" w:rsidRPr="00673243" w:rsidRDefault="000C44C7" w:rsidP="009B0A36">
      <w:pPr>
        <w:pStyle w:val="Prrafodelista"/>
        <w:numPr>
          <w:ilvl w:val="0"/>
          <w:numId w:val="13"/>
        </w:numPr>
        <w:spacing w:before="120" w:after="120" w:line="240" w:lineRule="auto"/>
        <w:contextualSpacing w:val="0"/>
        <w:jc w:val="both"/>
      </w:pPr>
      <w:r w:rsidRPr="00673243">
        <w:t xml:space="preserve">La concentración </w:t>
      </w:r>
      <w:r w:rsidRPr="00673243">
        <w:rPr>
          <w:noProof/>
        </w:rPr>
        <w:t>comprendió diversos actos, los cuales se describen a continuación</w:t>
      </w:r>
      <w:r w:rsidRPr="00673243">
        <w:t>:</w:t>
      </w:r>
    </w:p>
    <w:p w14:paraId="6587496F" w14:textId="77777777" w:rsidR="000C44C7" w:rsidRPr="00673243" w:rsidRDefault="000C44C7" w:rsidP="00673243">
      <w:pPr>
        <w:pStyle w:val="Prrafodelista"/>
        <w:spacing w:before="120" w:after="120" w:line="240" w:lineRule="auto"/>
        <w:ind w:left="0"/>
        <w:contextualSpacing w:val="0"/>
        <w:rPr>
          <w:i/>
          <w:u w:val="single"/>
        </w:rPr>
      </w:pPr>
      <w:r w:rsidRPr="00673243">
        <w:rPr>
          <w:i/>
          <w:u w:val="single"/>
        </w:rPr>
        <w:t>Actos previos a la Operación</w:t>
      </w:r>
    </w:p>
    <w:p w14:paraId="121919E5" w14:textId="77777777" w:rsidR="000C44C7" w:rsidRPr="00673243" w:rsidRDefault="000C44C7" w:rsidP="009B0A36">
      <w:pPr>
        <w:pStyle w:val="Prrafodelista"/>
        <w:numPr>
          <w:ilvl w:val="0"/>
          <w:numId w:val="10"/>
        </w:numPr>
        <w:spacing w:before="120" w:after="120" w:line="240" w:lineRule="auto"/>
        <w:ind w:left="425" w:hanging="425"/>
        <w:contextualSpacing w:val="0"/>
        <w:jc w:val="both"/>
      </w:pPr>
      <w:r w:rsidRPr="00673243">
        <w:t>El uno de agosto de dos mil diecisiete, los accionistas de Metro Net escindieron parcialmente a la sociedad y constituyeron a CFCA Telecomm,</w:t>
      </w:r>
      <w:r w:rsidRPr="00673243">
        <w:rPr>
          <w:rStyle w:val="Refdenotaalpie"/>
        </w:rPr>
        <w:footnoteReference w:id="80"/>
      </w:r>
      <w:r w:rsidRPr="00673243">
        <w:t xml:space="preserve"> a la que transfirieron los activos y la parte operativa del negocio de telecomunicaciones que tenía Metro Net, con excepción de la concesión de </w:t>
      </w:r>
      <w:r w:rsidR="0092466E">
        <w:t>RPT</w:t>
      </w:r>
      <w:r w:rsidRPr="00673243">
        <w:t xml:space="preserve"> otorgada a favor de esta.</w:t>
      </w:r>
      <w:r w:rsidRPr="00673243">
        <w:rPr>
          <w:rStyle w:val="Refdenotaalpie"/>
        </w:rPr>
        <w:footnoteReference w:id="81"/>
      </w:r>
      <w:r w:rsidRPr="00673243">
        <w:t xml:space="preserve"> A mayor abundamiento, KIO mantuvo la prestación de los servicios de tecnologías de la información (TI)</w:t>
      </w:r>
      <w:r w:rsidRPr="00673243">
        <w:rPr>
          <w:rStyle w:val="Refdenotaalpie"/>
        </w:rPr>
        <w:footnoteReference w:id="82"/>
      </w:r>
      <w:r w:rsidRPr="00673243">
        <w:t xml:space="preserve"> y transfirió a CFCA Telecomm lo siguiente:</w:t>
      </w:r>
    </w:p>
    <w:p w14:paraId="68030F40" w14:textId="77777777" w:rsidR="000C44C7" w:rsidRPr="00673243" w:rsidRDefault="000C44C7" w:rsidP="009B0A36">
      <w:pPr>
        <w:pStyle w:val="Prrafodelista"/>
        <w:numPr>
          <w:ilvl w:val="1"/>
          <w:numId w:val="11"/>
        </w:numPr>
        <w:spacing w:before="120" w:after="120" w:line="240" w:lineRule="auto"/>
        <w:ind w:left="851"/>
        <w:contextualSpacing w:val="0"/>
        <w:jc w:val="both"/>
      </w:pPr>
      <w:r w:rsidRPr="00673243">
        <w:t xml:space="preserve">una red de fibra óptica de aproximadamente </w:t>
      </w:r>
      <w:r w:rsidR="009A29CC" w:rsidRPr="002D33C5">
        <w:rPr>
          <w:b/>
          <w:bCs/>
          <w:color w:val="0000CC"/>
        </w:rPr>
        <w:t>“CONFIDENCIAL POR LEY”</w:t>
      </w:r>
      <w:r w:rsidR="00326249">
        <w:rPr>
          <w:b/>
          <w:bCs/>
          <w:color w:val="0000CC"/>
        </w:rPr>
        <w:t xml:space="preserve"> </w:t>
      </w:r>
      <w:r w:rsidR="00326249">
        <w:t>kilómetros con cobertura en 20 (veinte)</w:t>
      </w:r>
      <w:r w:rsidRPr="00673243">
        <w:t xml:space="preserve"> ciudades del país,</w:t>
      </w:r>
      <w:r w:rsidRPr="00673243">
        <w:rPr>
          <w:rStyle w:val="Refdenotaalpie"/>
        </w:rPr>
        <w:footnoteReference w:id="83"/>
      </w:r>
      <w:r w:rsidRPr="00673243">
        <w:t xml:space="preserve"> </w:t>
      </w:r>
      <w:r w:rsidR="009A29CC" w:rsidRPr="002D33C5">
        <w:rPr>
          <w:b/>
          <w:bCs/>
          <w:color w:val="0000CC"/>
        </w:rPr>
        <w:t>“CONFIDENCIAL POR LEY”</w:t>
      </w:r>
      <w:r w:rsidRPr="00673243">
        <w:t>,</w:t>
      </w:r>
      <w:r w:rsidRPr="00673243">
        <w:rPr>
          <w:rStyle w:val="Refdenotaalpie"/>
        </w:rPr>
        <w:footnoteReference w:id="84"/>
      </w:r>
      <w:r w:rsidRPr="00673243">
        <w:t xml:space="preserve"> y</w:t>
      </w:r>
    </w:p>
    <w:p w14:paraId="586CF8C5" w14:textId="77777777" w:rsidR="000C44C7" w:rsidRDefault="009A29CC" w:rsidP="009B0A36">
      <w:pPr>
        <w:pStyle w:val="Prrafodelista"/>
        <w:numPr>
          <w:ilvl w:val="1"/>
          <w:numId w:val="11"/>
        </w:numPr>
        <w:spacing w:before="120" w:after="120" w:line="240" w:lineRule="auto"/>
        <w:ind w:left="851"/>
        <w:contextualSpacing w:val="0"/>
        <w:jc w:val="both"/>
      </w:pPr>
      <w:r w:rsidRPr="002D33C5">
        <w:rPr>
          <w:b/>
          <w:bCs/>
          <w:color w:val="0000CC"/>
        </w:rPr>
        <w:t>“CONFIDENCIAL POR LEY”</w:t>
      </w:r>
      <w:r w:rsidR="000C44C7" w:rsidRPr="00673243">
        <w:t xml:space="preserve"> de</w:t>
      </w:r>
      <w:r w:rsidR="004149D7">
        <w:t xml:space="preserve"> los contratos con</w:t>
      </w:r>
      <w:r w:rsidR="000C44C7" w:rsidRPr="00673243">
        <w:t xml:space="preserve"> clientes </w:t>
      </w:r>
      <w:r w:rsidR="009811A0">
        <w:t xml:space="preserve">de </w:t>
      </w:r>
      <w:r w:rsidR="000C44C7" w:rsidRPr="00673243">
        <w:t>servicios de telecomunicaciones</w:t>
      </w:r>
      <w:r w:rsidR="009811A0" w:rsidRPr="009811A0">
        <w:t xml:space="preserve"> </w:t>
      </w:r>
      <w:r w:rsidR="009811A0">
        <w:t>que tenía</w:t>
      </w:r>
      <w:r w:rsidR="009811A0" w:rsidRPr="00673243">
        <w:t xml:space="preserve"> Metro Net</w:t>
      </w:r>
      <w:r w:rsidR="000C44C7" w:rsidRPr="00673243">
        <w:t>,</w:t>
      </w:r>
      <w:r w:rsidR="000C44C7" w:rsidRPr="00673243">
        <w:rPr>
          <w:rStyle w:val="Refdenotaalpie"/>
        </w:rPr>
        <w:footnoteReference w:id="85"/>
      </w:r>
      <w:r w:rsidR="000C44C7" w:rsidRPr="00673243">
        <w:t xml:space="preserve"> salvo por </w:t>
      </w:r>
      <w:r w:rsidR="000C44C7" w:rsidRPr="006435D0">
        <w:t xml:space="preserve">los celebrados con </w:t>
      </w:r>
      <w:r w:rsidRPr="002D33C5">
        <w:rPr>
          <w:b/>
          <w:bCs/>
          <w:color w:val="0000CC"/>
        </w:rPr>
        <w:t>“CONFIDENCIAL POR LEY”</w:t>
      </w:r>
      <w:r w:rsidR="00444600">
        <w:t>.</w:t>
      </w:r>
      <w:r w:rsidR="000C44C7" w:rsidRPr="006435D0">
        <w:rPr>
          <w:rStyle w:val="Refdenotaalpie"/>
        </w:rPr>
        <w:footnoteReference w:id="86"/>
      </w:r>
    </w:p>
    <w:p w14:paraId="67907455" w14:textId="77777777" w:rsidR="000C44C7" w:rsidRPr="00673243" w:rsidRDefault="000C44C7" w:rsidP="009B0A36">
      <w:pPr>
        <w:pStyle w:val="Prrafodelista"/>
        <w:keepNext/>
        <w:keepLines/>
        <w:numPr>
          <w:ilvl w:val="0"/>
          <w:numId w:val="10"/>
        </w:numPr>
        <w:spacing w:before="120" w:after="120" w:line="240" w:lineRule="auto"/>
        <w:ind w:left="425" w:hanging="425"/>
        <w:contextualSpacing w:val="0"/>
        <w:jc w:val="both"/>
      </w:pPr>
      <w:r w:rsidRPr="00673243">
        <w:lastRenderedPageBreak/>
        <w:t xml:space="preserve">El veintidós de junio de dos mil diecisiete, KIO y Wingu constituyeron la empresa </w:t>
      </w:r>
      <w:r w:rsidR="000D4ECA">
        <w:t xml:space="preserve">denominada </w:t>
      </w:r>
      <w:r w:rsidRPr="00673243">
        <w:t>Telco.</w:t>
      </w:r>
      <w:r w:rsidRPr="00673243">
        <w:rPr>
          <w:rStyle w:val="Refdenotaalpie"/>
        </w:rPr>
        <w:footnoteReference w:id="87"/>
      </w:r>
      <w:r w:rsidRPr="00673243">
        <w:t xml:space="preserve"> El dieciocho de octubre del mismo año, el Instituto otorgó a </w:t>
      </w:r>
      <w:r w:rsidR="00F02984">
        <w:t xml:space="preserve">Telco </w:t>
      </w:r>
      <w:r w:rsidRPr="00673243">
        <w:t>una autorización para establecer, operar o explotar una comercializadora de servicios de telecomunicaciones.</w:t>
      </w:r>
      <w:r w:rsidRPr="00673243">
        <w:rPr>
          <w:rStyle w:val="Refdenotaalpie"/>
        </w:rPr>
        <w:footnoteReference w:id="88"/>
      </w:r>
    </w:p>
    <w:p w14:paraId="2BCBC7C2" w14:textId="77777777" w:rsidR="000C44C7" w:rsidRDefault="000C44C7" w:rsidP="009B0A36">
      <w:pPr>
        <w:pStyle w:val="Prrafodelista"/>
        <w:numPr>
          <w:ilvl w:val="0"/>
          <w:numId w:val="10"/>
        </w:numPr>
        <w:spacing w:before="120" w:after="120" w:line="240" w:lineRule="auto"/>
        <w:ind w:left="426" w:hanging="426"/>
        <w:contextualSpacing w:val="0"/>
        <w:jc w:val="both"/>
      </w:pPr>
      <w:r w:rsidRPr="00673243">
        <w:t xml:space="preserve">El veinte de octubre de dos mil diecisiete KIO y Wingu, en su carácter de vendedores, ATC MexHold, </w:t>
      </w:r>
      <w:r w:rsidRPr="00837B33">
        <w:t xml:space="preserve">como comprador, CFCA Telecomm y Telco como emisoras de acciones, celebraron </w:t>
      </w:r>
      <w:r w:rsidR="0092466E">
        <w:t>el</w:t>
      </w:r>
      <w:r w:rsidRPr="00837B33">
        <w:t xml:space="preserve"> Contrato de compraventa de acciones sujeto a condiciones suspensivas.</w:t>
      </w:r>
      <w:r w:rsidRPr="00837B33">
        <w:rPr>
          <w:rStyle w:val="Refdenotaalpie"/>
        </w:rPr>
        <w:footnoteReference w:id="89"/>
      </w:r>
      <w:r w:rsidRPr="00837B33">
        <w:t xml:space="preserve"> Asimismo, en dicho contrato se estipuló que, al cierre de la operación objeto del mismo, </w:t>
      </w:r>
      <w:r w:rsidRPr="00964556">
        <w:t xml:space="preserve">CFCA </w:t>
      </w:r>
      <w:r w:rsidR="00964556" w:rsidRPr="00837B33">
        <w:t>Telecomm</w:t>
      </w:r>
      <w:r w:rsidR="00964556" w:rsidRPr="00964556">
        <w:t xml:space="preserve"> </w:t>
      </w:r>
      <w:r w:rsidRPr="00964556">
        <w:t xml:space="preserve">sería </w:t>
      </w:r>
      <w:r w:rsidRPr="00673243">
        <w:t xml:space="preserve">titular de </w:t>
      </w:r>
      <w:r w:rsidR="009A29CC" w:rsidRPr="002D33C5">
        <w:rPr>
          <w:b/>
          <w:bCs/>
          <w:color w:val="0000CC"/>
        </w:rPr>
        <w:t>“CONFIDENCIAL POR LEY”</w:t>
      </w:r>
      <w:r w:rsidRPr="00673243">
        <w:t xml:space="preserve"> las acciones </w:t>
      </w:r>
      <w:r w:rsidRPr="00004763">
        <w:t xml:space="preserve">representativas del capital social de Telco, </w:t>
      </w:r>
      <w:r w:rsidR="009A29CC" w:rsidRPr="002D33C5">
        <w:rPr>
          <w:b/>
          <w:bCs/>
          <w:color w:val="0000CC"/>
        </w:rPr>
        <w:t>“CONFIDENCIAL POR LEY”</w:t>
      </w:r>
      <w:r w:rsidRPr="00004763">
        <w:t>.</w:t>
      </w:r>
      <w:r w:rsidRPr="00004763">
        <w:rPr>
          <w:rStyle w:val="Refdenotaalpie"/>
        </w:rPr>
        <w:footnoteReference w:id="90"/>
      </w:r>
    </w:p>
    <w:p w14:paraId="43BB2003" w14:textId="77777777" w:rsidR="007B7278" w:rsidRPr="00004763" w:rsidRDefault="007B7278" w:rsidP="009B0A36">
      <w:pPr>
        <w:pStyle w:val="Prrafodelista"/>
        <w:numPr>
          <w:ilvl w:val="0"/>
          <w:numId w:val="10"/>
        </w:numPr>
        <w:spacing w:before="120" w:after="120" w:line="240" w:lineRule="auto"/>
        <w:ind w:left="426" w:hanging="426"/>
        <w:contextualSpacing w:val="0"/>
        <w:jc w:val="both"/>
      </w:pPr>
      <w:r w:rsidRPr="007B7278">
        <w:t xml:space="preserve">El veinticuatro de octubre de dos mil diecisiete, los accionistas de Telco celebraron una asamblea general ordinaria en la que acordaron aumentar la parte variable del capital social de dicha sociedad, mediante la emisión de </w:t>
      </w:r>
      <w:r w:rsidR="00031568" w:rsidRPr="00031568">
        <w:rPr>
          <w:b/>
          <w:bCs/>
          <w:color w:val="0000CC"/>
        </w:rPr>
        <w:t>“CONFIDENCIAL POR LEY”</w:t>
      </w:r>
      <w:r w:rsidRPr="007B7278">
        <w:t xml:space="preserve"> de acciones representativas del capital social de Telco. Asimismo, se resolvió que las acciones antes referidas (equivalentes al </w:t>
      </w:r>
      <w:r w:rsidR="00FD5E2A" w:rsidRPr="00FD5E2A">
        <w:rPr>
          <w:b/>
          <w:bCs/>
          <w:color w:val="0000CC"/>
        </w:rPr>
        <w:t>“CONFIDENCIAL POR LEY”</w:t>
      </w:r>
      <w:r w:rsidRPr="007B7278">
        <w:t xml:space="preserve"> del capital social de Telco) fueran suscritas por CFCA Telecomm.</w:t>
      </w:r>
      <w:r w:rsidR="00497FA3">
        <w:rPr>
          <w:rStyle w:val="Refdenotaalpie"/>
        </w:rPr>
        <w:footnoteReference w:id="91"/>
      </w:r>
    </w:p>
    <w:p w14:paraId="7CC7F851" w14:textId="77777777" w:rsidR="000C44C7" w:rsidRDefault="000C44C7" w:rsidP="009B0A36">
      <w:pPr>
        <w:pStyle w:val="Prrafodelista"/>
        <w:numPr>
          <w:ilvl w:val="0"/>
          <w:numId w:val="10"/>
        </w:numPr>
        <w:spacing w:before="120" w:after="120" w:line="240" w:lineRule="auto"/>
        <w:ind w:left="426" w:hanging="426"/>
        <w:contextualSpacing w:val="0"/>
        <w:jc w:val="both"/>
      </w:pPr>
      <w:r w:rsidRPr="00004763">
        <w:t xml:space="preserve">El veinticinco de octubre de dos mil </w:t>
      </w:r>
      <w:r w:rsidR="001B56E5">
        <w:t>diecisiete</w:t>
      </w:r>
      <w:r w:rsidR="001B56E5" w:rsidRPr="00004763">
        <w:t xml:space="preserve"> </w:t>
      </w:r>
      <w:r w:rsidRPr="00004763">
        <w:t>Telco</w:t>
      </w:r>
      <w:r w:rsidRPr="00673243">
        <w:t xml:space="preserve"> cedió a CFCA Telecomm la autorización para establecer, operar o explotar una comercializadora de servicios de telecomunicaciones de la que era titular. Este acto fue notificado al Instituto el veintitrés de noviembre de dos mil diecisiete, mismo que fue inscrito en el Registro Público de Concesiones el diecinueve de enero de dos mil dieciocho.</w:t>
      </w:r>
      <w:r w:rsidRPr="00673243">
        <w:rPr>
          <w:rStyle w:val="Refdenotaalpie"/>
        </w:rPr>
        <w:footnoteReference w:id="92"/>
      </w:r>
    </w:p>
    <w:p w14:paraId="1E8E247A" w14:textId="77777777" w:rsidR="00DB20EC" w:rsidRDefault="00DB20EC" w:rsidP="009B0A36">
      <w:pPr>
        <w:pStyle w:val="Prrafodelista"/>
        <w:numPr>
          <w:ilvl w:val="0"/>
          <w:numId w:val="10"/>
        </w:numPr>
        <w:spacing w:before="120" w:after="120" w:line="240" w:lineRule="auto"/>
        <w:ind w:left="426"/>
        <w:contextualSpacing w:val="0"/>
        <w:jc w:val="both"/>
      </w:pPr>
      <w:r>
        <w:t>E</w:t>
      </w:r>
      <w:r w:rsidRPr="00004763">
        <w:t xml:space="preserve">l diecisiete de noviembre de </w:t>
      </w:r>
      <w:r w:rsidR="001B56E5">
        <w:t>dos mil diecisiete</w:t>
      </w:r>
      <w:r>
        <w:t xml:space="preserve"> las partes celebra</w:t>
      </w:r>
      <w:r w:rsidR="009B1D6F">
        <w:t>ro</w:t>
      </w:r>
      <w:r>
        <w:t>n un convenio de modificación del Contrato de compraventa de acciones,</w:t>
      </w:r>
      <w:r w:rsidRPr="00004763">
        <w:t xml:space="preserve"> con el objetivo de incluir a ATC HFM como comprador y actualizar el número de acciones de Telco que serían adquiridas.</w:t>
      </w:r>
      <w:r w:rsidRPr="00004763">
        <w:rPr>
          <w:rStyle w:val="Refdenotaalpie"/>
        </w:rPr>
        <w:footnoteReference w:id="93"/>
      </w:r>
      <w:r w:rsidRPr="00004763">
        <w:t xml:space="preserve"> </w:t>
      </w:r>
      <w:r w:rsidRPr="00DB20EC">
        <w:t xml:space="preserve">Asimismo, </w:t>
      </w:r>
      <w:r>
        <w:t>en esa misma fecha, ATC HFM y Metro Net celebraron</w:t>
      </w:r>
      <w:r w:rsidRPr="00DB20EC">
        <w:t xml:space="preserve"> un contrato </w:t>
      </w:r>
      <w:r w:rsidR="00FD5E2A" w:rsidRPr="00FD5E2A">
        <w:rPr>
          <w:b/>
          <w:bCs/>
          <w:color w:val="0000CC"/>
        </w:rPr>
        <w:t>“CONFIDENCIAL POR LEY”</w:t>
      </w:r>
      <w:r>
        <w:t xml:space="preserve"> </w:t>
      </w:r>
      <w:r w:rsidRPr="00DB20EC">
        <w:t xml:space="preserve">mediante el cual </w:t>
      </w:r>
      <w:r w:rsidR="00FD5E2A" w:rsidRPr="00FD5E2A">
        <w:rPr>
          <w:b/>
          <w:bCs/>
          <w:color w:val="0000CC"/>
        </w:rPr>
        <w:t>“CONFIDENCIAL POR LEY”</w:t>
      </w:r>
      <w:r w:rsidRPr="00DB20EC">
        <w:t>.</w:t>
      </w:r>
      <w:r>
        <w:rPr>
          <w:rStyle w:val="Refdenotaalpie"/>
        </w:rPr>
        <w:footnoteReference w:id="94"/>
      </w:r>
    </w:p>
    <w:p w14:paraId="4E1A2945" w14:textId="77777777" w:rsidR="007B7278" w:rsidRPr="00C40B54" w:rsidRDefault="007B7278" w:rsidP="00696B9E">
      <w:pPr>
        <w:keepNext/>
        <w:keepLines/>
        <w:spacing w:before="120"/>
        <w:rPr>
          <w:i/>
          <w:u w:val="single"/>
        </w:rPr>
      </w:pPr>
      <w:r w:rsidRPr="00C40B54">
        <w:rPr>
          <w:i/>
          <w:u w:val="single"/>
        </w:rPr>
        <w:lastRenderedPageBreak/>
        <w:t>Operación</w:t>
      </w:r>
    </w:p>
    <w:p w14:paraId="5CAE2ACF" w14:textId="77777777" w:rsidR="000C44C7" w:rsidRPr="00673243" w:rsidRDefault="000C44C7" w:rsidP="009B0A36">
      <w:pPr>
        <w:pStyle w:val="Prrafodelista"/>
        <w:keepNext/>
        <w:keepLines/>
        <w:numPr>
          <w:ilvl w:val="0"/>
          <w:numId w:val="10"/>
        </w:numPr>
        <w:spacing w:before="120" w:after="120" w:line="240" w:lineRule="auto"/>
        <w:ind w:left="426" w:hanging="426"/>
        <w:contextualSpacing w:val="0"/>
        <w:jc w:val="both"/>
      </w:pPr>
      <w:r w:rsidRPr="00673243">
        <w:t>El diecisiete de noviembre de dos mil diecisiete se cumplieron las condiciones suspensivas del Contrato de compraventa de acciones</w:t>
      </w:r>
      <w:r w:rsidR="000543F8">
        <w:t>. En consecuencia,</w:t>
      </w:r>
      <w:r w:rsidRPr="00673243">
        <w:t xml:space="preserve"> </w:t>
      </w:r>
      <w:r w:rsidR="000543F8" w:rsidRPr="00673243">
        <w:t xml:space="preserve">ATC MexHold y ATC HFM </w:t>
      </w:r>
      <w:r w:rsidR="000543F8">
        <w:t>adquirieron el</w:t>
      </w:r>
      <w:r w:rsidR="000543F8" w:rsidRPr="00673243">
        <w:t xml:space="preserve"> </w:t>
      </w:r>
      <w:r w:rsidR="00FD5E2A" w:rsidRPr="00FD5E2A">
        <w:rPr>
          <w:b/>
          <w:bCs/>
          <w:color w:val="0000CC"/>
        </w:rPr>
        <w:t>“CONFIDENCIAL POR LEY”</w:t>
      </w:r>
      <w:r w:rsidR="000543F8" w:rsidRPr="00673243">
        <w:t xml:space="preserve"> de las acciones representativas del capital social de CFCA Telecomm y </w:t>
      </w:r>
      <w:r w:rsidR="00290673" w:rsidRPr="00FD5E2A">
        <w:rPr>
          <w:b/>
          <w:bCs/>
          <w:color w:val="0000CC"/>
        </w:rPr>
        <w:t>“CONFIDENCIAL POR LEY”</w:t>
      </w:r>
      <w:r w:rsidR="000543F8" w:rsidRPr="00673243">
        <w:t xml:space="preserve"> acciones representativas del capital social de Telco (equivalente al </w:t>
      </w:r>
      <w:r w:rsidR="00290673" w:rsidRPr="00FD5E2A">
        <w:rPr>
          <w:b/>
          <w:bCs/>
          <w:color w:val="0000CC"/>
        </w:rPr>
        <w:t>“CONFIDENCIAL POR LEY”</w:t>
      </w:r>
      <w:r w:rsidR="000543F8" w:rsidRPr="00673243">
        <w:t xml:space="preserve"> del mismo)</w:t>
      </w:r>
      <w:r w:rsidRPr="00673243">
        <w:t xml:space="preserve">. </w:t>
      </w:r>
      <w:r w:rsidR="000543F8">
        <w:t>E</w:t>
      </w:r>
      <w:r w:rsidRPr="00673243">
        <w:t>n esta fecha surtió efectos plenos la concentración objeto del presente procedimiento.</w:t>
      </w:r>
      <w:r w:rsidRPr="00673243">
        <w:rPr>
          <w:rStyle w:val="Refdenotaalpie"/>
        </w:rPr>
        <w:footnoteReference w:id="95"/>
      </w:r>
    </w:p>
    <w:p w14:paraId="20AD32E0" w14:textId="77777777" w:rsidR="000C44C7" w:rsidRPr="00673243" w:rsidRDefault="000C44C7" w:rsidP="009B0A36">
      <w:pPr>
        <w:pStyle w:val="Prrafodelista"/>
        <w:numPr>
          <w:ilvl w:val="0"/>
          <w:numId w:val="10"/>
        </w:numPr>
        <w:spacing w:before="120" w:after="120" w:line="240" w:lineRule="auto"/>
        <w:ind w:left="426" w:hanging="426"/>
        <w:contextualSpacing w:val="0"/>
        <w:jc w:val="both"/>
      </w:pPr>
      <w:r w:rsidRPr="00673243">
        <w:t xml:space="preserve">En la misma fecha, y una vez que surtió efectos el Contrato de compraventa de acciones, ATC MexHold recibió el </w:t>
      </w:r>
      <w:r w:rsidR="00290673" w:rsidRPr="00FD5E2A">
        <w:rPr>
          <w:b/>
          <w:bCs/>
          <w:color w:val="0000CC"/>
        </w:rPr>
        <w:t>“CONFIDENCIAL POR LEY”</w:t>
      </w:r>
      <w:r w:rsidRPr="00673243">
        <w:t xml:space="preserve"> de las acciones representativas de </w:t>
      </w:r>
      <w:r w:rsidRPr="00964556">
        <w:t>CFCA</w:t>
      </w:r>
      <w:r w:rsidR="00964556">
        <w:rPr>
          <w:color w:val="FF0000"/>
        </w:rPr>
        <w:t xml:space="preserve"> </w:t>
      </w:r>
      <w:r w:rsidR="00964556" w:rsidRPr="00837B33">
        <w:t>Telecomm</w:t>
      </w:r>
      <w:r w:rsidRPr="00673243">
        <w:t xml:space="preserve">, y ATC HFM el </w:t>
      </w:r>
      <w:r w:rsidR="00290673" w:rsidRPr="00FD5E2A">
        <w:rPr>
          <w:b/>
          <w:bCs/>
          <w:color w:val="0000CC"/>
        </w:rPr>
        <w:t>“CONFIDENCIAL POR LEY”</w:t>
      </w:r>
      <w:r w:rsidRPr="00673243">
        <w:t xml:space="preserve"> de la misma empresa, así como el </w:t>
      </w:r>
      <w:r w:rsidR="00290673" w:rsidRPr="00FD5E2A">
        <w:rPr>
          <w:b/>
          <w:bCs/>
          <w:color w:val="0000CC"/>
        </w:rPr>
        <w:t>“CONFIDENCIAL POR LEY”</w:t>
      </w:r>
      <w:r w:rsidRPr="00673243">
        <w:t xml:space="preserve"> de las acciones representativas del capital social de Telco.</w:t>
      </w:r>
      <w:r w:rsidRPr="00673243">
        <w:rPr>
          <w:rStyle w:val="Refdenotaalpie"/>
        </w:rPr>
        <w:footnoteReference w:id="96"/>
      </w:r>
    </w:p>
    <w:p w14:paraId="2F856F87" w14:textId="77777777" w:rsidR="000C44C7" w:rsidRPr="00673243" w:rsidRDefault="000C44C7" w:rsidP="009B0A36">
      <w:pPr>
        <w:pStyle w:val="Prrafodelista"/>
        <w:numPr>
          <w:ilvl w:val="0"/>
          <w:numId w:val="10"/>
        </w:numPr>
        <w:spacing w:before="120" w:after="120" w:line="240" w:lineRule="auto"/>
        <w:ind w:left="426" w:hanging="426"/>
        <w:contextualSpacing w:val="0"/>
        <w:jc w:val="both"/>
      </w:pPr>
      <w:r w:rsidRPr="00673243">
        <w:t xml:space="preserve">El diecisiete de noviembre de dos mil diecisiete, </w:t>
      </w:r>
      <w:r w:rsidR="00361D1A" w:rsidRPr="00FD5E2A">
        <w:rPr>
          <w:b/>
          <w:bCs/>
          <w:color w:val="0000CC"/>
        </w:rPr>
        <w:t>“CONFIDENCIAL POR LEY”</w:t>
      </w:r>
      <w:r w:rsidRPr="00673243">
        <w:t xml:space="preserve"> celebraron un acuerdo comercial mediante el cual el primero proporcionará al segundo </w:t>
      </w:r>
      <w:r w:rsidR="00361D1A" w:rsidRPr="00FD5E2A">
        <w:rPr>
          <w:b/>
          <w:bCs/>
          <w:color w:val="0000CC"/>
        </w:rPr>
        <w:t>“CONFIDENCIAL POR LEY”</w:t>
      </w:r>
      <w:r w:rsidRPr="00673243">
        <w:t>.</w:t>
      </w:r>
      <w:r w:rsidRPr="00673243">
        <w:rPr>
          <w:rStyle w:val="Refdenotaalpie"/>
        </w:rPr>
        <w:footnoteReference w:id="97"/>
      </w:r>
    </w:p>
    <w:p w14:paraId="2D1451B4" w14:textId="77777777" w:rsidR="000C44C7" w:rsidRPr="00673243" w:rsidRDefault="000C44C7" w:rsidP="009B0A36">
      <w:pPr>
        <w:pStyle w:val="Prrafodelista"/>
        <w:numPr>
          <w:ilvl w:val="0"/>
          <w:numId w:val="13"/>
        </w:numPr>
        <w:spacing w:before="120" w:after="120" w:line="240" w:lineRule="auto"/>
        <w:contextualSpacing w:val="0"/>
        <w:jc w:val="both"/>
      </w:pPr>
      <w:r w:rsidRPr="00673243">
        <w:t xml:space="preserve">La estructura accionaria de CFCA Telecomm y Telco, antes y después de la Operación se </w:t>
      </w:r>
      <w:r w:rsidR="00964556">
        <w:t>presenta</w:t>
      </w:r>
      <w:r w:rsidRPr="00673243">
        <w:t xml:space="preserve"> a continuación:</w:t>
      </w:r>
    </w:p>
    <w:p w14:paraId="7F8F410D" w14:textId="77777777" w:rsidR="000C44C7" w:rsidRPr="00550424" w:rsidRDefault="000C44C7" w:rsidP="00EF70FF">
      <w:pPr>
        <w:keepNext/>
        <w:spacing w:after="0"/>
        <w:jc w:val="center"/>
        <w:rPr>
          <w:b/>
          <w:sz w:val="18"/>
          <w:szCs w:val="18"/>
        </w:rPr>
      </w:pPr>
      <w:r w:rsidRPr="00550424">
        <w:rPr>
          <w:b/>
          <w:sz w:val="18"/>
          <w:szCs w:val="18"/>
        </w:rPr>
        <w:t xml:space="preserve">Tabla </w:t>
      </w:r>
      <w:r w:rsidR="00491CCF" w:rsidRPr="00550424">
        <w:rPr>
          <w:b/>
          <w:sz w:val="18"/>
          <w:szCs w:val="18"/>
        </w:rPr>
        <w:t>3</w:t>
      </w:r>
      <w:r w:rsidRPr="00550424">
        <w:rPr>
          <w:b/>
          <w:sz w:val="18"/>
          <w:szCs w:val="18"/>
        </w:rPr>
        <w:t>. Estructura accionaria de CFCA Telecomm antes y después de la Operación</w:t>
      </w:r>
    </w:p>
    <w:tbl>
      <w:tblPr>
        <w:tblW w:w="10591" w:type="dxa"/>
        <w:jc w:val="center"/>
        <w:tblCellMar>
          <w:left w:w="70" w:type="dxa"/>
          <w:right w:w="70" w:type="dxa"/>
        </w:tblCellMar>
        <w:tblLook w:val="04A0" w:firstRow="1" w:lastRow="0" w:firstColumn="1" w:lastColumn="0" w:noHBand="0" w:noVBand="1"/>
        <w:tblCaption w:val="Tabla 3. Estructura accionaria de CFCA Telecomm antes y después de la Operación"/>
        <w:tblDescription w:val="Estructura accionaria de CFCA Telecomm antes y después de la Operación"/>
      </w:tblPr>
      <w:tblGrid>
        <w:gridCol w:w="800"/>
        <w:gridCol w:w="1089"/>
        <w:gridCol w:w="1089"/>
        <w:gridCol w:w="1089"/>
        <w:gridCol w:w="1089"/>
        <w:gridCol w:w="174"/>
        <w:gridCol w:w="905"/>
        <w:gridCol w:w="1089"/>
        <w:gridCol w:w="1089"/>
        <w:gridCol w:w="1089"/>
        <w:gridCol w:w="1089"/>
      </w:tblGrid>
      <w:tr w:rsidR="000C44C7" w:rsidRPr="0077624E" w14:paraId="4B2F26D1" w14:textId="77777777" w:rsidTr="004D2AE2">
        <w:trPr>
          <w:cantSplit/>
          <w:trHeight w:val="55"/>
          <w:jc w:val="center"/>
        </w:trPr>
        <w:tc>
          <w:tcPr>
            <w:tcW w:w="5156" w:type="dxa"/>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5BF87AF" w14:textId="77777777" w:rsidR="000C44C7" w:rsidRPr="0077624E" w:rsidRDefault="000C44C7" w:rsidP="00EF70FF">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Antes de la Operación</w:t>
            </w:r>
          </w:p>
        </w:tc>
        <w:tc>
          <w:tcPr>
            <w:tcW w:w="174" w:type="dxa"/>
            <w:tcBorders>
              <w:top w:val="nil"/>
              <w:left w:val="nil"/>
              <w:bottom w:val="nil"/>
              <w:right w:val="nil"/>
            </w:tcBorders>
            <w:shd w:val="clear" w:color="000000" w:fill="FFFFFF"/>
            <w:noWrap/>
            <w:vAlign w:val="bottom"/>
            <w:hideMark/>
          </w:tcPr>
          <w:p w14:paraId="0FC51713" w14:textId="77777777" w:rsidR="000C44C7" w:rsidRPr="0077624E" w:rsidRDefault="000C44C7" w:rsidP="00EF70FF">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 </w:t>
            </w:r>
          </w:p>
        </w:tc>
        <w:tc>
          <w:tcPr>
            <w:tcW w:w="5261" w:type="dxa"/>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712E6DB" w14:textId="77777777" w:rsidR="000C44C7" w:rsidRPr="0077624E" w:rsidRDefault="000C44C7" w:rsidP="00EF70FF">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Después de la Operación</w:t>
            </w:r>
          </w:p>
        </w:tc>
      </w:tr>
      <w:tr w:rsidR="009804BF" w:rsidRPr="0077624E" w14:paraId="6E4385F4" w14:textId="77777777" w:rsidTr="004D2AE2">
        <w:trPr>
          <w:cantSplit/>
          <w:trHeight w:val="55"/>
          <w:jc w:val="center"/>
        </w:trPr>
        <w:tc>
          <w:tcPr>
            <w:tcW w:w="800"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6AF0EFCC" w14:textId="77777777" w:rsidR="003B1A21" w:rsidRPr="0077624E" w:rsidRDefault="003B1A21" w:rsidP="003B1A21">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Accionistas</w:t>
            </w:r>
          </w:p>
        </w:tc>
        <w:tc>
          <w:tcPr>
            <w:tcW w:w="1089" w:type="dxa"/>
            <w:tcBorders>
              <w:top w:val="nil"/>
              <w:left w:val="nil"/>
              <w:bottom w:val="single" w:sz="4" w:space="0" w:color="auto"/>
              <w:right w:val="single" w:sz="4" w:space="0" w:color="auto"/>
            </w:tcBorders>
            <w:shd w:val="clear" w:color="000000" w:fill="002060"/>
            <w:noWrap/>
            <w:hideMark/>
          </w:tcPr>
          <w:p w14:paraId="382C5713" w14:textId="77777777" w:rsidR="003B1A21" w:rsidRPr="009804BF" w:rsidRDefault="003B1A2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tcBorders>
              <w:top w:val="nil"/>
              <w:left w:val="nil"/>
              <w:bottom w:val="single" w:sz="4" w:space="0" w:color="auto"/>
              <w:right w:val="single" w:sz="4" w:space="0" w:color="auto"/>
            </w:tcBorders>
            <w:shd w:val="clear" w:color="000000" w:fill="002060"/>
            <w:noWrap/>
            <w:hideMark/>
          </w:tcPr>
          <w:p w14:paraId="18155862" w14:textId="77777777" w:rsidR="003B1A21" w:rsidRPr="009804BF" w:rsidRDefault="003B1A2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05EC7156" w14:textId="77777777" w:rsidR="003B1A21" w:rsidRPr="0077624E" w:rsidRDefault="003B1A21" w:rsidP="003B1A21">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Total</w:t>
            </w:r>
          </w:p>
        </w:tc>
        <w:tc>
          <w:tcPr>
            <w:tcW w:w="1089"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5AC49987" w14:textId="77777777" w:rsidR="003B1A21" w:rsidRPr="0077624E" w:rsidRDefault="003B1A21" w:rsidP="003B1A21">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 Total</w:t>
            </w:r>
            <w:r w:rsidRPr="0077624E">
              <w:rPr>
                <w:rFonts w:eastAsia="Times New Roman" w:cs="Calibri"/>
                <w:bCs/>
                <w:color w:val="FFFFFF"/>
                <w:sz w:val="12"/>
                <w:szCs w:val="12"/>
                <w:vertAlign w:val="superscript"/>
                <w:lang w:eastAsia="es-MX"/>
              </w:rPr>
              <w:t>\a</w:t>
            </w:r>
          </w:p>
        </w:tc>
        <w:tc>
          <w:tcPr>
            <w:tcW w:w="174" w:type="dxa"/>
            <w:tcBorders>
              <w:top w:val="nil"/>
              <w:left w:val="nil"/>
              <w:bottom w:val="nil"/>
              <w:right w:val="nil"/>
            </w:tcBorders>
            <w:shd w:val="clear" w:color="000000" w:fill="FFFFFF"/>
            <w:noWrap/>
            <w:vAlign w:val="center"/>
            <w:hideMark/>
          </w:tcPr>
          <w:p w14:paraId="4342AD1B" w14:textId="77777777" w:rsidR="003B1A21" w:rsidRPr="0077624E" w:rsidRDefault="003B1A21" w:rsidP="003B1A21">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 </w:t>
            </w:r>
          </w:p>
        </w:tc>
        <w:tc>
          <w:tcPr>
            <w:tcW w:w="905"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6FF7AF36" w14:textId="77777777" w:rsidR="003B1A21" w:rsidRPr="0077624E" w:rsidRDefault="003B1A21" w:rsidP="003B1A21">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Accionistas</w:t>
            </w:r>
          </w:p>
        </w:tc>
        <w:tc>
          <w:tcPr>
            <w:tcW w:w="1089" w:type="dxa"/>
            <w:tcBorders>
              <w:top w:val="nil"/>
              <w:left w:val="nil"/>
              <w:bottom w:val="single" w:sz="4" w:space="0" w:color="auto"/>
              <w:right w:val="single" w:sz="4" w:space="0" w:color="auto"/>
            </w:tcBorders>
            <w:shd w:val="clear" w:color="000000" w:fill="002060"/>
            <w:noWrap/>
            <w:hideMark/>
          </w:tcPr>
          <w:p w14:paraId="0C09929F" w14:textId="77777777" w:rsidR="003B1A21" w:rsidRPr="009804BF" w:rsidRDefault="003B1A2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tcBorders>
              <w:top w:val="nil"/>
              <w:left w:val="nil"/>
              <w:bottom w:val="single" w:sz="4" w:space="0" w:color="auto"/>
              <w:right w:val="single" w:sz="4" w:space="0" w:color="auto"/>
            </w:tcBorders>
            <w:shd w:val="clear" w:color="000000" w:fill="002060"/>
            <w:noWrap/>
            <w:hideMark/>
          </w:tcPr>
          <w:p w14:paraId="664A95BB" w14:textId="77777777" w:rsidR="003B1A21" w:rsidRPr="009804BF" w:rsidRDefault="003B1A2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565F1B12" w14:textId="77777777" w:rsidR="003B1A21" w:rsidRPr="0077624E" w:rsidRDefault="003B1A21" w:rsidP="003B1A21">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Total</w:t>
            </w:r>
          </w:p>
        </w:tc>
        <w:tc>
          <w:tcPr>
            <w:tcW w:w="1089"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199E7036" w14:textId="77777777" w:rsidR="003B1A21" w:rsidRPr="0077624E" w:rsidRDefault="003B1A21" w:rsidP="003B1A21">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 Total</w:t>
            </w:r>
            <w:r w:rsidRPr="0077624E">
              <w:rPr>
                <w:rFonts w:eastAsia="Times New Roman" w:cs="Calibri"/>
                <w:bCs/>
                <w:color w:val="FFFFFF"/>
                <w:sz w:val="12"/>
                <w:szCs w:val="12"/>
                <w:vertAlign w:val="superscript"/>
                <w:lang w:eastAsia="es-MX"/>
              </w:rPr>
              <w:t>\a</w:t>
            </w:r>
          </w:p>
        </w:tc>
      </w:tr>
      <w:tr w:rsidR="009804BF" w:rsidRPr="0077624E" w14:paraId="6B1CC8AD" w14:textId="77777777" w:rsidTr="004D2AE2">
        <w:trPr>
          <w:cantSplit/>
          <w:trHeight w:val="55"/>
          <w:jc w:val="center"/>
        </w:trPr>
        <w:tc>
          <w:tcPr>
            <w:tcW w:w="800" w:type="dxa"/>
            <w:vMerge/>
            <w:tcBorders>
              <w:top w:val="nil"/>
              <w:left w:val="single" w:sz="4" w:space="0" w:color="auto"/>
              <w:bottom w:val="single" w:sz="4" w:space="0" w:color="auto"/>
              <w:right w:val="single" w:sz="4" w:space="0" w:color="auto"/>
            </w:tcBorders>
            <w:vAlign w:val="center"/>
            <w:hideMark/>
          </w:tcPr>
          <w:p w14:paraId="2F76E6A4" w14:textId="77777777" w:rsidR="003B1A21" w:rsidRPr="0077624E" w:rsidRDefault="003B1A21" w:rsidP="003B1A21">
            <w:pPr>
              <w:keepNext/>
              <w:spacing w:after="0"/>
              <w:rPr>
                <w:rFonts w:eastAsia="Times New Roman" w:cs="Calibri"/>
                <w:bCs/>
                <w:color w:val="FFFFFF"/>
                <w:sz w:val="12"/>
                <w:szCs w:val="12"/>
                <w:lang w:eastAsia="es-MX"/>
              </w:rPr>
            </w:pPr>
          </w:p>
        </w:tc>
        <w:tc>
          <w:tcPr>
            <w:tcW w:w="1089" w:type="dxa"/>
            <w:tcBorders>
              <w:top w:val="nil"/>
              <w:left w:val="nil"/>
              <w:bottom w:val="single" w:sz="4" w:space="0" w:color="auto"/>
              <w:right w:val="single" w:sz="4" w:space="0" w:color="auto"/>
            </w:tcBorders>
            <w:shd w:val="clear" w:color="000000" w:fill="002060"/>
            <w:noWrap/>
            <w:hideMark/>
          </w:tcPr>
          <w:p w14:paraId="7F7AE4EF" w14:textId="77777777" w:rsidR="003B1A21" w:rsidRPr="009804BF" w:rsidRDefault="003B1A2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tcBorders>
              <w:top w:val="nil"/>
              <w:left w:val="nil"/>
              <w:bottom w:val="single" w:sz="4" w:space="0" w:color="auto"/>
              <w:right w:val="single" w:sz="4" w:space="0" w:color="auto"/>
            </w:tcBorders>
            <w:shd w:val="clear" w:color="000000" w:fill="002060"/>
            <w:noWrap/>
            <w:hideMark/>
          </w:tcPr>
          <w:p w14:paraId="28ADB058" w14:textId="77777777" w:rsidR="003B1A21" w:rsidRPr="009804BF" w:rsidRDefault="003B1A2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vMerge/>
            <w:tcBorders>
              <w:top w:val="nil"/>
              <w:left w:val="single" w:sz="4" w:space="0" w:color="auto"/>
              <w:bottom w:val="single" w:sz="4" w:space="0" w:color="auto"/>
              <w:right w:val="single" w:sz="4" w:space="0" w:color="auto"/>
            </w:tcBorders>
            <w:vAlign w:val="center"/>
            <w:hideMark/>
          </w:tcPr>
          <w:p w14:paraId="2A52DBD7" w14:textId="77777777" w:rsidR="003B1A21" w:rsidRPr="0077624E" w:rsidRDefault="003B1A21" w:rsidP="003B1A21">
            <w:pPr>
              <w:keepNext/>
              <w:spacing w:after="0"/>
              <w:rPr>
                <w:rFonts w:eastAsia="Times New Roman" w:cs="Calibri"/>
                <w:bCs/>
                <w:color w:val="FFFFFF"/>
                <w:sz w:val="12"/>
                <w:szCs w:val="12"/>
                <w:lang w:eastAsia="es-MX"/>
              </w:rPr>
            </w:pPr>
          </w:p>
        </w:tc>
        <w:tc>
          <w:tcPr>
            <w:tcW w:w="1089" w:type="dxa"/>
            <w:vMerge/>
            <w:tcBorders>
              <w:top w:val="nil"/>
              <w:left w:val="single" w:sz="4" w:space="0" w:color="auto"/>
              <w:bottom w:val="single" w:sz="4" w:space="0" w:color="auto"/>
              <w:right w:val="single" w:sz="4" w:space="0" w:color="auto"/>
            </w:tcBorders>
            <w:vAlign w:val="center"/>
            <w:hideMark/>
          </w:tcPr>
          <w:p w14:paraId="47C87F9A" w14:textId="77777777" w:rsidR="003B1A21" w:rsidRPr="0077624E" w:rsidRDefault="003B1A21" w:rsidP="003B1A21">
            <w:pPr>
              <w:keepNext/>
              <w:spacing w:after="0"/>
              <w:rPr>
                <w:rFonts w:eastAsia="Times New Roman" w:cs="Calibri"/>
                <w:bCs/>
                <w:color w:val="FFFFFF"/>
                <w:sz w:val="12"/>
                <w:szCs w:val="12"/>
                <w:lang w:eastAsia="es-MX"/>
              </w:rPr>
            </w:pPr>
          </w:p>
        </w:tc>
        <w:tc>
          <w:tcPr>
            <w:tcW w:w="174" w:type="dxa"/>
            <w:tcBorders>
              <w:top w:val="nil"/>
              <w:left w:val="nil"/>
              <w:bottom w:val="nil"/>
              <w:right w:val="nil"/>
            </w:tcBorders>
            <w:shd w:val="clear" w:color="000000" w:fill="FFFFFF"/>
            <w:noWrap/>
            <w:vAlign w:val="center"/>
            <w:hideMark/>
          </w:tcPr>
          <w:p w14:paraId="71D40F22" w14:textId="77777777" w:rsidR="003B1A21" w:rsidRPr="0077624E" w:rsidRDefault="003B1A21" w:rsidP="003B1A21">
            <w:pPr>
              <w:keepNext/>
              <w:spacing w:after="0"/>
              <w:jc w:val="center"/>
              <w:rPr>
                <w:rFonts w:eastAsia="Times New Roman" w:cs="Calibri"/>
                <w:bCs/>
                <w:color w:val="FFFFFF"/>
                <w:sz w:val="12"/>
                <w:szCs w:val="12"/>
                <w:lang w:eastAsia="es-MX"/>
              </w:rPr>
            </w:pPr>
            <w:r w:rsidRPr="0077624E">
              <w:rPr>
                <w:rFonts w:eastAsia="Times New Roman" w:cs="Calibri"/>
                <w:bCs/>
                <w:color w:val="FFFFFF"/>
                <w:sz w:val="12"/>
                <w:szCs w:val="12"/>
                <w:lang w:eastAsia="es-MX"/>
              </w:rPr>
              <w:t> </w:t>
            </w:r>
          </w:p>
        </w:tc>
        <w:tc>
          <w:tcPr>
            <w:tcW w:w="905" w:type="dxa"/>
            <w:vMerge/>
            <w:tcBorders>
              <w:top w:val="nil"/>
              <w:left w:val="single" w:sz="4" w:space="0" w:color="auto"/>
              <w:bottom w:val="single" w:sz="4" w:space="0" w:color="auto"/>
              <w:right w:val="single" w:sz="4" w:space="0" w:color="auto"/>
            </w:tcBorders>
            <w:vAlign w:val="center"/>
            <w:hideMark/>
          </w:tcPr>
          <w:p w14:paraId="6F558389" w14:textId="77777777" w:rsidR="003B1A21" w:rsidRPr="0077624E" w:rsidRDefault="003B1A21" w:rsidP="003B1A21">
            <w:pPr>
              <w:keepNext/>
              <w:spacing w:after="0"/>
              <w:rPr>
                <w:rFonts w:eastAsia="Times New Roman" w:cs="Calibri"/>
                <w:bCs/>
                <w:color w:val="FFFFFF"/>
                <w:sz w:val="12"/>
                <w:szCs w:val="12"/>
                <w:lang w:eastAsia="es-MX"/>
              </w:rPr>
            </w:pPr>
          </w:p>
        </w:tc>
        <w:tc>
          <w:tcPr>
            <w:tcW w:w="1089" w:type="dxa"/>
            <w:tcBorders>
              <w:top w:val="nil"/>
              <w:left w:val="nil"/>
              <w:bottom w:val="single" w:sz="4" w:space="0" w:color="auto"/>
              <w:right w:val="single" w:sz="4" w:space="0" w:color="auto"/>
            </w:tcBorders>
            <w:shd w:val="clear" w:color="000000" w:fill="002060"/>
            <w:noWrap/>
            <w:hideMark/>
          </w:tcPr>
          <w:p w14:paraId="3EA40619" w14:textId="77777777" w:rsidR="003B1A21" w:rsidRPr="009804BF" w:rsidRDefault="003B1A2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tcBorders>
              <w:top w:val="nil"/>
              <w:left w:val="nil"/>
              <w:bottom w:val="single" w:sz="4" w:space="0" w:color="auto"/>
              <w:right w:val="single" w:sz="4" w:space="0" w:color="auto"/>
            </w:tcBorders>
            <w:shd w:val="clear" w:color="000000" w:fill="002060"/>
            <w:noWrap/>
            <w:hideMark/>
          </w:tcPr>
          <w:p w14:paraId="358AB324" w14:textId="77777777" w:rsidR="003B1A21" w:rsidRPr="009804BF" w:rsidRDefault="003B1A2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vMerge/>
            <w:tcBorders>
              <w:top w:val="nil"/>
              <w:left w:val="single" w:sz="4" w:space="0" w:color="auto"/>
              <w:bottom w:val="single" w:sz="4" w:space="0" w:color="auto"/>
              <w:right w:val="single" w:sz="4" w:space="0" w:color="auto"/>
            </w:tcBorders>
            <w:vAlign w:val="center"/>
            <w:hideMark/>
          </w:tcPr>
          <w:p w14:paraId="25073F8D" w14:textId="77777777" w:rsidR="003B1A21" w:rsidRPr="0077624E" w:rsidRDefault="003B1A21" w:rsidP="003B1A21">
            <w:pPr>
              <w:keepNext/>
              <w:spacing w:after="0"/>
              <w:rPr>
                <w:rFonts w:eastAsia="Times New Roman" w:cs="Calibri"/>
                <w:bCs/>
                <w:color w:val="FFFFFF"/>
                <w:sz w:val="12"/>
                <w:szCs w:val="12"/>
                <w:lang w:eastAsia="es-MX"/>
              </w:rPr>
            </w:pPr>
          </w:p>
        </w:tc>
        <w:tc>
          <w:tcPr>
            <w:tcW w:w="1089" w:type="dxa"/>
            <w:vMerge/>
            <w:tcBorders>
              <w:top w:val="nil"/>
              <w:left w:val="single" w:sz="4" w:space="0" w:color="auto"/>
              <w:bottom w:val="single" w:sz="4" w:space="0" w:color="auto"/>
              <w:right w:val="single" w:sz="4" w:space="0" w:color="auto"/>
            </w:tcBorders>
            <w:vAlign w:val="center"/>
            <w:hideMark/>
          </w:tcPr>
          <w:p w14:paraId="221DC50A" w14:textId="77777777" w:rsidR="003B1A21" w:rsidRPr="0077624E" w:rsidRDefault="003B1A21" w:rsidP="003B1A21">
            <w:pPr>
              <w:keepNext/>
              <w:spacing w:after="0"/>
              <w:rPr>
                <w:rFonts w:eastAsia="Times New Roman" w:cs="Calibri"/>
                <w:bCs/>
                <w:color w:val="FFFFFF"/>
                <w:sz w:val="12"/>
                <w:szCs w:val="12"/>
                <w:lang w:eastAsia="es-MX"/>
              </w:rPr>
            </w:pPr>
          </w:p>
        </w:tc>
      </w:tr>
      <w:tr w:rsidR="00190FE0" w:rsidRPr="0077624E" w14:paraId="6C8944CF" w14:textId="77777777" w:rsidTr="004D2AE2">
        <w:trPr>
          <w:cantSplit/>
          <w:trHeight w:val="5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A4B8FF4" w14:textId="77777777" w:rsidR="00190FE0" w:rsidRPr="0077624E" w:rsidRDefault="00190FE0" w:rsidP="00190FE0">
            <w:pPr>
              <w:keepNext/>
              <w:spacing w:after="0"/>
              <w:jc w:val="both"/>
              <w:rPr>
                <w:rFonts w:eastAsia="Times New Roman" w:cs="Calibri"/>
                <w:color w:val="000000"/>
                <w:sz w:val="12"/>
                <w:szCs w:val="12"/>
                <w:lang w:eastAsia="es-MX"/>
              </w:rPr>
            </w:pPr>
            <w:r w:rsidRPr="0077624E">
              <w:rPr>
                <w:rFonts w:eastAsia="Times New Roman" w:cs="Calibri"/>
                <w:color w:val="000000"/>
                <w:sz w:val="12"/>
                <w:szCs w:val="12"/>
                <w:lang w:eastAsia="es-MX"/>
              </w:rPr>
              <w:t>KIO</w:t>
            </w:r>
          </w:p>
        </w:tc>
        <w:tc>
          <w:tcPr>
            <w:tcW w:w="1089" w:type="dxa"/>
            <w:tcBorders>
              <w:top w:val="nil"/>
              <w:left w:val="nil"/>
              <w:bottom w:val="single" w:sz="4" w:space="0" w:color="auto"/>
              <w:right w:val="single" w:sz="4" w:space="0" w:color="auto"/>
            </w:tcBorders>
            <w:shd w:val="clear" w:color="auto" w:fill="auto"/>
            <w:noWrap/>
            <w:hideMark/>
          </w:tcPr>
          <w:p w14:paraId="4FDE6E43" w14:textId="754C7E87" w:rsidR="00190FE0" w:rsidRPr="00002F2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2338EC63" w14:textId="065BAA50"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59D168F5" w14:textId="061833BB"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51B4546C" w14:textId="60FAC36F"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4" w:type="dxa"/>
            <w:tcBorders>
              <w:top w:val="nil"/>
              <w:left w:val="nil"/>
              <w:bottom w:val="nil"/>
              <w:right w:val="nil"/>
            </w:tcBorders>
            <w:shd w:val="clear" w:color="000000" w:fill="FFFFFF"/>
            <w:noWrap/>
            <w:vAlign w:val="center"/>
            <w:hideMark/>
          </w:tcPr>
          <w:p w14:paraId="0E178FC6" w14:textId="77777777" w:rsidR="00190FE0" w:rsidRPr="0077624E" w:rsidRDefault="00190FE0" w:rsidP="00190FE0">
            <w:pPr>
              <w:keepNext/>
              <w:spacing w:after="0"/>
              <w:jc w:val="center"/>
              <w:rPr>
                <w:rFonts w:eastAsia="Times New Roman" w:cs="Calibri"/>
                <w:color w:val="000000"/>
                <w:sz w:val="12"/>
                <w:szCs w:val="12"/>
                <w:lang w:eastAsia="es-MX"/>
              </w:rPr>
            </w:pPr>
            <w:r w:rsidRPr="0077624E">
              <w:rPr>
                <w:rFonts w:eastAsia="Times New Roman" w:cs="Calibri"/>
                <w:color w:val="000000"/>
                <w:sz w:val="12"/>
                <w:szCs w:val="12"/>
                <w:lang w:eastAsia="es-MX"/>
              </w:rPr>
              <w:t> </w:t>
            </w:r>
          </w:p>
        </w:tc>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38F35EEB" w14:textId="77777777" w:rsidR="00190FE0" w:rsidRPr="0077624E" w:rsidRDefault="00190FE0" w:rsidP="00190FE0">
            <w:pPr>
              <w:keepNext/>
              <w:spacing w:after="0"/>
              <w:jc w:val="both"/>
              <w:rPr>
                <w:rFonts w:eastAsia="Times New Roman" w:cs="Calibri"/>
                <w:color w:val="000000"/>
                <w:sz w:val="12"/>
                <w:szCs w:val="12"/>
                <w:lang w:eastAsia="es-MX"/>
              </w:rPr>
            </w:pPr>
            <w:r w:rsidRPr="0077624E">
              <w:rPr>
                <w:rFonts w:eastAsia="Times New Roman" w:cs="Calibri"/>
                <w:color w:val="000000"/>
                <w:sz w:val="12"/>
                <w:szCs w:val="12"/>
                <w:lang w:eastAsia="es-MX"/>
              </w:rPr>
              <w:t>ATC HFM</w:t>
            </w:r>
          </w:p>
        </w:tc>
        <w:tc>
          <w:tcPr>
            <w:tcW w:w="1089" w:type="dxa"/>
            <w:tcBorders>
              <w:top w:val="nil"/>
              <w:left w:val="nil"/>
              <w:bottom w:val="single" w:sz="4" w:space="0" w:color="auto"/>
              <w:right w:val="single" w:sz="4" w:space="0" w:color="auto"/>
            </w:tcBorders>
            <w:shd w:val="clear" w:color="auto" w:fill="auto"/>
            <w:noWrap/>
            <w:hideMark/>
          </w:tcPr>
          <w:p w14:paraId="6B8D3BDA" w14:textId="4D7C3F1F"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243E1C46" w14:textId="7A59AD14"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7DCF697D" w14:textId="2C111C0E"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190EEC3B" w14:textId="2480B7C1"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90FE0" w:rsidRPr="0077624E" w14:paraId="58228C94" w14:textId="77777777" w:rsidTr="004D2AE2">
        <w:trPr>
          <w:cantSplit/>
          <w:trHeight w:val="5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921ADEF" w14:textId="77777777" w:rsidR="00190FE0" w:rsidRPr="0077624E" w:rsidRDefault="00190FE0" w:rsidP="00190FE0">
            <w:pPr>
              <w:keepNext/>
              <w:spacing w:after="0"/>
              <w:jc w:val="both"/>
              <w:rPr>
                <w:rFonts w:eastAsia="Times New Roman" w:cs="Calibri"/>
                <w:color w:val="000000"/>
                <w:sz w:val="12"/>
                <w:szCs w:val="12"/>
                <w:lang w:eastAsia="es-MX"/>
              </w:rPr>
            </w:pPr>
            <w:r w:rsidRPr="0077624E">
              <w:rPr>
                <w:rFonts w:eastAsia="Times New Roman" w:cs="Calibri"/>
                <w:color w:val="000000"/>
                <w:sz w:val="12"/>
                <w:szCs w:val="12"/>
                <w:lang w:eastAsia="es-MX"/>
              </w:rPr>
              <w:t>Wingu</w:t>
            </w:r>
          </w:p>
        </w:tc>
        <w:tc>
          <w:tcPr>
            <w:tcW w:w="1089" w:type="dxa"/>
            <w:tcBorders>
              <w:top w:val="nil"/>
              <w:left w:val="nil"/>
              <w:bottom w:val="single" w:sz="4" w:space="0" w:color="auto"/>
              <w:right w:val="single" w:sz="4" w:space="0" w:color="auto"/>
            </w:tcBorders>
            <w:shd w:val="clear" w:color="auto" w:fill="auto"/>
            <w:noWrap/>
            <w:hideMark/>
          </w:tcPr>
          <w:p w14:paraId="4C1AAA07" w14:textId="1C8AFB72"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35F9A037" w14:textId="0151DB15"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4484375F" w14:textId="20266453"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1F4D05BD" w14:textId="1A932091"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4" w:type="dxa"/>
            <w:tcBorders>
              <w:top w:val="nil"/>
              <w:left w:val="nil"/>
              <w:bottom w:val="nil"/>
              <w:right w:val="nil"/>
            </w:tcBorders>
            <w:shd w:val="clear" w:color="000000" w:fill="FFFFFF"/>
            <w:noWrap/>
            <w:vAlign w:val="center"/>
            <w:hideMark/>
          </w:tcPr>
          <w:p w14:paraId="68E1EF69" w14:textId="77777777" w:rsidR="00190FE0" w:rsidRPr="0077624E" w:rsidRDefault="00190FE0" w:rsidP="00190FE0">
            <w:pPr>
              <w:keepNext/>
              <w:spacing w:after="0"/>
              <w:jc w:val="center"/>
              <w:rPr>
                <w:rFonts w:eastAsia="Times New Roman" w:cs="Calibri"/>
                <w:color w:val="000000"/>
                <w:sz w:val="12"/>
                <w:szCs w:val="12"/>
                <w:lang w:eastAsia="es-MX"/>
              </w:rPr>
            </w:pPr>
            <w:r w:rsidRPr="0077624E">
              <w:rPr>
                <w:rFonts w:eastAsia="Times New Roman" w:cs="Calibri"/>
                <w:color w:val="000000"/>
                <w:sz w:val="12"/>
                <w:szCs w:val="12"/>
                <w:lang w:eastAsia="es-MX"/>
              </w:rPr>
              <w:t> </w:t>
            </w:r>
          </w:p>
        </w:tc>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3EAA817C" w14:textId="77777777" w:rsidR="00190FE0" w:rsidRPr="0077624E" w:rsidRDefault="00190FE0" w:rsidP="00190FE0">
            <w:pPr>
              <w:keepNext/>
              <w:spacing w:after="0"/>
              <w:jc w:val="both"/>
              <w:rPr>
                <w:rFonts w:eastAsia="Times New Roman" w:cs="Calibri"/>
                <w:color w:val="000000"/>
                <w:sz w:val="12"/>
                <w:szCs w:val="12"/>
                <w:lang w:eastAsia="es-MX"/>
              </w:rPr>
            </w:pPr>
            <w:r w:rsidRPr="0077624E">
              <w:rPr>
                <w:rFonts w:eastAsia="Times New Roman" w:cs="Calibri"/>
                <w:color w:val="000000"/>
                <w:sz w:val="12"/>
                <w:szCs w:val="12"/>
                <w:lang w:eastAsia="es-MX"/>
              </w:rPr>
              <w:t>ATC MexHold</w:t>
            </w:r>
          </w:p>
        </w:tc>
        <w:tc>
          <w:tcPr>
            <w:tcW w:w="1089" w:type="dxa"/>
            <w:tcBorders>
              <w:top w:val="nil"/>
              <w:left w:val="nil"/>
              <w:bottom w:val="single" w:sz="4" w:space="0" w:color="auto"/>
              <w:right w:val="single" w:sz="4" w:space="0" w:color="auto"/>
            </w:tcBorders>
            <w:shd w:val="clear" w:color="auto" w:fill="auto"/>
            <w:noWrap/>
            <w:hideMark/>
          </w:tcPr>
          <w:p w14:paraId="2E3652EE" w14:textId="0D01FDC2"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751848FA" w14:textId="5D2846B8"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3FB49AD4" w14:textId="393BBF59"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0EA4822C" w14:textId="0BEF028B"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90FE0" w:rsidRPr="0077624E" w14:paraId="374A06CF" w14:textId="77777777" w:rsidTr="004D2AE2">
        <w:trPr>
          <w:cantSplit/>
          <w:trHeight w:val="5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077E541" w14:textId="77777777" w:rsidR="00190FE0" w:rsidRPr="0077624E" w:rsidRDefault="00190FE0" w:rsidP="00190FE0">
            <w:pPr>
              <w:keepNext/>
              <w:spacing w:after="0"/>
              <w:jc w:val="both"/>
              <w:rPr>
                <w:rFonts w:eastAsia="Times New Roman" w:cs="Calibri"/>
                <w:bCs/>
                <w:color w:val="000000"/>
                <w:sz w:val="12"/>
                <w:szCs w:val="12"/>
                <w:lang w:eastAsia="es-MX"/>
              </w:rPr>
            </w:pPr>
            <w:r w:rsidRPr="0077624E">
              <w:rPr>
                <w:rFonts w:eastAsia="Times New Roman" w:cs="Calibri"/>
                <w:bCs/>
                <w:color w:val="000000"/>
                <w:sz w:val="12"/>
                <w:szCs w:val="12"/>
                <w:lang w:eastAsia="es-MX"/>
              </w:rPr>
              <w:t>Total</w:t>
            </w:r>
          </w:p>
        </w:tc>
        <w:tc>
          <w:tcPr>
            <w:tcW w:w="1089" w:type="dxa"/>
            <w:tcBorders>
              <w:top w:val="nil"/>
              <w:left w:val="nil"/>
              <w:bottom w:val="single" w:sz="4" w:space="0" w:color="auto"/>
              <w:right w:val="single" w:sz="4" w:space="0" w:color="auto"/>
            </w:tcBorders>
            <w:shd w:val="clear" w:color="auto" w:fill="auto"/>
            <w:noWrap/>
            <w:hideMark/>
          </w:tcPr>
          <w:p w14:paraId="52A2C022" w14:textId="25E8DABD"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48B1CA2B" w14:textId="36392749"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67A5AA16" w14:textId="249668B5"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597AFF5C" w14:textId="77777777" w:rsidR="00190FE0" w:rsidRPr="0077624E" w:rsidRDefault="00190FE0" w:rsidP="00190FE0">
            <w:pPr>
              <w:keepNext/>
              <w:spacing w:after="0"/>
              <w:jc w:val="center"/>
              <w:rPr>
                <w:rFonts w:eastAsia="Times New Roman" w:cs="Calibri"/>
                <w:bCs/>
                <w:color w:val="000000"/>
                <w:sz w:val="12"/>
                <w:szCs w:val="12"/>
                <w:lang w:eastAsia="es-MX"/>
              </w:rPr>
            </w:pPr>
            <w:r w:rsidRPr="0077624E">
              <w:rPr>
                <w:rFonts w:eastAsia="Times New Roman" w:cs="Calibri"/>
                <w:bCs/>
                <w:color w:val="000000"/>
                <w:sz w:val="12"/>
                <w:szCs w:val="12"/>
                <w:lang w:eastAsia="es-MX"/>
              </w:rPr>
              <w:t>100.00%</w:t>
            </w:r>
          </w:p>
        </w:tc>
        <w:tc>
          <w:tcPr>
            <w:tcW w:w="174" w:type="dxa"/>
            <w:tcBorders>
              <w:top w:val="nil"/>
              <w:left w:val="nil"/>
              <w:bottom w:val="nil"/>
              <w:right w:val="nil"/>
            </w:tcBorders>
            <w:shd w:val="clear" w:color="000000" w:fill="FFFFFF"/>
            <w:noWrap/>
            <w:vAlign w:val="center"/>
            <w:hideMark/>
          </w:tcPr>
          <w:p w14:paraId="5EA33F71" w14:textId="77777777" w:rsidR="00190FE0" w:rsidRPr="0077624E" w:rsidRDefault="00190FE0" w:rsidP="00190FE0">
            <w:pPr>
              <w:keepNext/>
              <w:spacing w:after="0"/>
              <w:jc w:val="center"/>
              <w:rPr>
                <w:rFonts w:eastAsia="Times New Roman" w:cs="Calibri"/>
                <w:bCs/>
                <w:color w:val="000000"/>
                <w:sz w:val="12"/>
                <w:szCs w:val="12"/>
                <w:lang w:eastAsia="es-MX"/>
              </w:rPr>
            </w:pPr>
            <w:r w:rsidRPr="0077624E">
              <w:rPr>
                <w:rFonts w:eastAsia="Times New Roman" w:cs="Calibri"/>
                <w:bCs/>
                <w:color w:val="000000"/>
                <w:sz w:val="12"/>
                <w:szCs w:val="12"/>
                <w:lang w:eastAsia="es-MX"/>
              </w:rPr>
              <w:t> </w:t>
            </w:r>
          </w:p>
        </w:tc>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37C5B5C8" w14:textId="77777777" w:rsidR="00190FE0" w:rsidRPr="0077624E" w:rsidRDefault="00190FE0" w:rsidP="00190FE0">
            <w:pPr>
              <w:keepNext/>
              <w:spacing w:after="0"/>
              <w:jc w:val="both"/>
              <w:rPr>
                <w:rFonts w:eastAsia="Times New Roman" w:cs="Calibri"/>
                <w:bCs/>
                <w:color w:val="000000"/>
                <w:sz w:val="12"/>
                <w:szCs w:val="12"/>
                <w:lang w:eastAsia="es-MX"/>
              </w:rPr>
            </w:pPr>
            <w:r w:rsidRPr="0077624E">
              <w:rPr>
                <w:rFonts w:eastAsia="Times New Roman" w:cs="Calibri"/>
                <w:bCs/>
                <w:color w:val="000000"/>
                <w:sz w:val="12"/>
                <w:szCs w:val="12"/>
                <w:lang w:eastAsia="es-MX"/>
              </w:rPr>
              <w:t>Total</w:t>
            </w:r>
          </w:p>
        </w:tc>
        <w:tc>
          <w:tcPr>
            <w:tcW w:w="1089" w:type="dxa"/>
            <w:tcBorders>
              <w:top w:val="nil"/>
              <w:left w:val="nil"/>
              <w:bottom w:val="single" w:sz="4" w:space="0" w:color="auto"/>
              <w:right w:val="single" w:sz="4" w:space="0" w:color="auto"/>
            </w:tcBorders>
            <w:shd w:val="clear" w:color="auto" w:fill="auto"/>
            <w:noWrap/>
            <w:hideMark/>
          </w:tcPr>
          <w:p w14:paraId="36DB8A6E" w14:textId="598ACEE7"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1F5A7076" w14:textId="49A4FD00"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6B9911D1" w14:textId="3D304EF5"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6A4D6C8B" w14:textId="77777777" w:rsidR="00190FE0" w:rsidRPr="0077624E" w:rsidRDefault="00190FE0" w:rsidP="00190FE0">
            <w:pPr>
              <w:keepNext/>
              <w:spacing w:after="0"/>
              <w:jc w:val="center"/>
              <w:rPr>
                <w:rFonts w:eastAsia="Times New Roman" w:cs="Calibri"/>
                <w:bCs/>
                <w:color w:val="000000"/>
                <w:sz w:val="12"/>
                <w:szCs w:val="12"/>
                <w:lang w:eastAsia="es-MX"/>
              </w:rPr>
            </w:pPr>
            <w:r w:rsidRPr="0077624E">
              <w:rPr>
                <w:rFonts w:eastAsia="Times New Roman" w:cs="Calibri"/>
                <w:bCs/>
                <w:color w:val="000000"/>
                <w:sz w:val="12"/>
                <w:szCs w:val="12"/>
                <w:lang w:eastAsia="es-MX"/>
              </w:rPr>
              <w:t>100.00%</w:t>
            </w:r>
          </w:p>
        </w:tc>
      </w:tr>
    </w:tbl>
    <w:p w14:paraId="2DF405C6" w14:textId="77777777" w:rsidR="000C44C7" w:rsidRPr="003827A9" w:rsidRDefault="000C44C7" w:rsidP="00EF70FF">
      <w:pPr>
        <w:keepNext/>
        <w:spacing w:after="0"/>
        <w:jc w:val="both"/>
        <w:rPr>
          <w:sz w:val="16"/>
          <w:szCs w:val="16"/>
        </w:rPr>
      </w:pPr>
      <w:r w:rsidRPr="003827A9">
        <w:rPr>
          <w:sz w:val="16"/>
          <w:szCs w:val="16"/>
        </w:rPr>
        <w:t>Nota:</w:t>
      </w:r>
    </w:p>
    <w:p w14:paraId="058E36DA" w14:textId="77777777" w:rsidR="000C44C7" w:rsidRPr="003827A9" w:rsidRDefault="000C44C7" w:rsidP="00673243">
      <w:pPr>
        <w:spacing w:after="0"/>
        <w:ind w:right="28"/>
        <w:jc w:val="both"/>
        <w:rPr>
          <w:sz w:val="16"/>
          <w:szCs w:val="16"/>
        </w:rPr>
      </w:pPr>
      <w:r w:rsidRPr="003827A9">
        <w:rPr>
          <w:sz w:val="16"/>
          <w:szCs w:val="16"/>
          <w:vertAlign w:val="superscript"/>
        </w:rPr>
        <w:t>\a</w:t>
      </w:r>
      <w:r w:rsidRPr="003827A9">
        <w:rPr>
          <w:sz w:val="16"/>
          <w:szCs w:val="16"/>
        </w:rPr>
        <w:t xml:space="preserve"> Los decimales de los porcentajes de participación accionaria fueron redondeados a dos dígitos.</w:t>
      </w:r>
    </w:p>
    <w:p w14:paraId="3BDB0C55" w14:textId="77777777" w:rsidR="000C44C7" w:rsidRDefault="000C44C7" w:rsidP="00673243">
      <w:pPr>
        <w:spacing w:after="0"/>
        <w:jc w:val="both"/>
        <w:rPr>
          <w:sz w:val="16"/>
          <w:lang w:val="es-ES_tradnl" w:eastAsia="es-MX"/>
        </w:rPr>
      </w:pPr>
      <w:r w:rsidRPr="003827A9">
        <w:rPr>
          <w:sz w:val="16"/>
          <w:lang w:val="es-ES_tradnl" w:eastAsia="es-MX"/>
        </w:rPr>
        <w:t xml:space="preserve">Fuente: Elaboración propia con información presentada por las partes en el Aviso de Concentración, así como </w:t>
      </w:r>
      <w:r w:rsidR="003827A9" w:rsidRPr="003827A9">
        <w:rPr>
          <w:sz w:val="16"/>
          <w:lang w:val="es-ES_tradnl" w:eastAsia="es-MX"/>
        </w:rPr>
        <w:t>información</w:t>
      </w:r>
      <w:r w:rsidRPr="003827A9">
        <w:rPr>
          <w:sz w:val="16"/>
          <w:lang w:val="es-ES_tradnl" w:eastAsia="es-MX"/>
        </w:rPr>
        <w:t xml:space="preserve"> presentad</w:t>
      </w:r>
      <w:r w:rsidR="003827A9" w:rsidRPr="003827A9">
        <w:rPr>
          <w:sz w:val="16"/>
          <w:lang w:val="es-ES_tradnl" w:eastAsia="es-MX"/>
        </w:rPr>
        <w:t>a</w:t>
      </w:r>
      <w:r w:rsidRPr="003827A9">
        <w:rPr>
          <w:sz w:val="16"/>
          <w:lang w:val="es-ES_tradnl" w:eastAsia="es-MX"/>
        </w:rPr>
        <w:t xml:space="preserve"> por Telco. Fojas </w:t>
      </w:r>
      <w:r w:rsidR="00444600" w:rsidRPr="003827A9">
        <w:rPr>
          <w:sz w:val="16"/>
          <w:lang w:val="es-ES_tradnl" w:eastAsia="es-MX"/>
        </w:rPr>
        <w:t>1172 y 2584</w:t>
      </w:r>
      <w:r w:rsidRPr="003827A9">
        <w:rPr>
          <w:sz w:val="16"/>
          <w:lang w:val="es-ES_tradnl" w:eastAsia="es-MX"/>
        </w:rPr>
        <w:t xml:space="preserve"> del Expediente.</w:t>
      </w:r>
    </w:p>
    <w:p w14:paraId="5D74E920" w14:textId="77777777" w:rsidR="000C44C7" w:rsidRPr="00550424" w:rsidRDefault="000C44C7" w:rsidP="00696B9E">
      <w:pPr>
        <w:keepNext/>
        <w:keepLines/>
        <w:spacing w:before="120" w:after="0"/>
        <w:jc w:val="center"/>
        <w:rPr>
          <w:b/>
          <w:sz w:val="18"/>
          <w:szCs w:val="18"/>
        </w:rPr>
      </w:pPr>
      <w:r w:rsidRPr="00550424">
        <w:rPr>
          <w:b/>
          <w:sz w:val="18"/>
          <w:szCs w:val="18"/>
        </w:rPr>
        <w:lastRenderedPageBreak/>
        <w:t xml:space="preserve">Tabla </w:t>
      </w:r>
      <w:r w:rsidR="00491CCF" w:rsidRPr="00550424">
        <w:rPr>
          <w:b/>
          <w:sz w:val="18"/>
          <w:szCs w:val="18"/>
        </w:rPr>
        <w:t>4</w:t>
      </w:r>
      <w:r w:rsidRPr="00550424">
        <w:rPr>
          <w:b/>
          <w:sz w:val="18"/>
          <w:szCs w:val="18"/>
        </w:rPr>
        <w:t xml:space="preserve">. Estructura accionaria de Telco </w:t>
      </w:r>
      <w:r w:rsidR="00964556" w:rsidRPr="00550424">
        <w:rPr>
          <w:b/>
          <w:sz w:val="18"/>
          <w:szCs w:val="18"/>
        </w:rPr>
        <w:t xml:space="preserve">antes y </w:t>
      </w:r>
      <w:r w:rsidRPr="00550424">
        <w:rPr>
          <w:b/>
          <w:sz w:val="18"/>
          <w:szCs w:val="18"/>
        </w:rPr>
        <w:t>después de la Operación</w:t>
      </w:r>
    </w:p>
    <w:tbl>
      <w:tblPr>
        <w:tblW w:w="10812" w:type="dxa"/>
        <w:jc w:val="center"/>
        <w:tblCellMar>
          <w:left w:w="70" w:type="dxa"/>
          <w:right w:w="70" w:type="dxa"/>
        </w:tblCellMar>
        <w:tblLook w:val="04A0" w:firstRow="1" w:lastRow="0" w:firstColumn="1" w:lastColumn="0" w:noHBand="0" w:noVBand="1"/>
        <w:tblCaption w:val="Tabla 4. Estructura accionaria de Telco antes y después de la Operación"/>
        <w:tblDescription w:val="Estructura accionaria de Telco antes y después de la Operación"/>
      </w:tblPr>
      <w:tblGrid>
        <w:gridCol w:w="867"/>
        <w:gridCol w:w="1089"/>
        <w:gridCol w:w="1089"/>
        <w:gridCol w:w="1089"/>
        <w:gridCol w:w="1249"/>
        <w:gridCol w:w="206"/>
        <w:gridCol w:w="867"/>
        <w:gridCol w:w="1089"/>
        <w:gridCol w:w="1089"/>
        <w:gridCol w:w="1089"/>
        <w:gridCol w:w="1089"/>
      </w:tblGrid>
      <w:tr w:rsidR="000C44C7" w:rsidRPr="00427FA1" w14:paraId="1D0ACFB0" w14:textId="77777777" w:rsidTr="00190FE0">
        <w:trPr>
          <w:trHeight w:val="113"/>
          <w:jc w:val="center"/>
        </w:trPr>
        <w:tc>
          <w:tcPr>
            <w:tcW w:w="5383" w:type="dxa"/>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9205F11" w14:textId="77777777" w:rsidR="000C44C7" w:rsidRPr="00427FA1" w:rsidRDefault="000C44C7" w:rsidP="00696B9E">
            <w:pPr>
              <w:keepNext/>
              <w:keepLines/>
              <w:spacing w:after="0"/>
              <w:jc w:val="center"/>
              <w:rPr>
                <w:rFonts w:eastAsia="Times New Roman" w:cs="Calibri"/>
                <w:bCs/>
                <w:color w:val="FFFFFF"/>
                <w:sz w:val="12"/>
                <w:szCs w:val="12"/>
                <w:lang w:eastAsia="es-MX"/>
              </w:rPr>
            </w:pPr>
            <w:r w:rsidRPr="00427FA1">
              <w:rPr>
                <w:rFonts w:eastAsia="Times New Roman" w:cs="Calibri"/>
                <w:bCs/>
                <w:color w:val="FFFFFF"/>
                <w:sz w:val="12"/>
                <w:szCs w:val="12"/>
                <w:lang w:eastAsia="es-MX"/>
              </w:rPr>
              <w:t>Antes de la Operación</w:t>
            </w:r>
          </w:p>
        </w:tc>
        <w:tc>
          <w:tcPr>
            <w:tcW w:w="206" w:type="dxa"/>
            <w:tcBorders>
              <w:top w:val="nil"/>
              <w:left w:val="nil"/>
              <w:bottom w:val="nil"/>
              <w:right w:val="nil"/>
            </w:tcBorders>
            <w:shd w:val="clear" w:color="auto" w:fill="auto"/>
            <w:noWrap/>
            <w:vAlign w:val="bottom"/>
            <w:hideMark/>
          </w:tcPr>
          <w:p w14:paraId="19EC0557" w14:textId="77777777" w:rsidR="000C44C7" w:rsidRPr="00427FA1" w:rsidRDefault="000C44C7" w:rsidP="00696B9E">
            <w:pPr>
              <w:keepNext/>
              <w:keepLines/>
              <w:spacing w:after="0"/>
              <w:jc w:val="center"/>
              <w:rPr>
                <w:rFonts w:eastAsia="Times New Roman" w:cs="Calibri"/>
                <w:bCs/>
                <w:color w:val="FFFFFF"/>
                <w:sz w:val="12"/>
                <w:szCs w:val="12"/>
                <w:lang w:eastAsia="es-MX"/>
              </w:rPr>
            </w:pPr>
          </w:p>
        </w:tc>
        <w:tc>
          <w:tcPr>
            <w:tcW w:w="5223" w:type="dxa"/>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E959F3E" w14:textId="77777777" w:rsidR="000C44C7" w:rsidRPr="00427FA1" w:rsidRDefault="000C44C7" w:rsidP="00696B9E">
            <w:pPr>
              <w:keepNext/>
              <w:keepLines/>
              <w:spacing w:after="0"/>
              <w:jc w:val="center"/>
              <w:rPr>
                <w:rFonts w:eastAsia="Times New Roman" w:cs="Calibri"/>
                <w:bCs/>
                <w:color w:val="FFFFFF"/>
                <w:sz w:val="12"/>
                <w:szCs w:val="12"/>
                <w:lang w:eastAsia="es-MX"/>
              </w:rPr>
            </w:pPr>
            <w:r w:rsidRPr="00427FA1">
              <w:rPr>
                <w:rFonts w:eastAsia="Times New Roman" w:cs="Calibri"/>
                <w:bCs/>
                <w:color w:val="FFFFFF"/>
                <w:sz w:val="12"/>
                <w:szCs w:val="12"/>
                <w:lang w:eastAsia="es-MX"/>
              </w:rPr>
              <w:t>Después de la Operación</w:t>
            </w:r>
          </w:p>
        </w:tc>
      </w:tr>
      <w:tr w:rsidR="00427FA1" w:rsidRPr="00427FA1" w14:paraId="3EB2F7EF" w14:textId="77777777" w:rsidTr="00190FE0">
        <w:trPr>
          <w:trHeight w:val="113"/>
          <w:jc w:val="center"/>
        </w:trPr>
        <w:tc>
          <w:tcPr>
            <w:tcW w:w="867"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42CE5553" w14:textId="77777777" w:rsidR="00427FA1" w:rsidRPr="00427FA1" w:rsidRDefault="00427FA1" w:rsidP="00427FA1">
            <w:pPr>
              <w:keepNext/>
              <w:keepLines/>
              <w:spacing w:after="0"/>
              <w:jc w:val="center"/>
              <w:rPr>
                <w:rFonts w:eastAsia="Times New Roman" w:cs="Calibri"/>
                <w:bCs/>
                <w:color w:val="FFFFFF"/>
                <w:sz w:val="12"/>
                <w:szCs w:val="12"/>
                <w:lang w:eastAsia="es-MX"/>
              </w:rPr>
            </w:pPr>
            <w:r w:rsidRPr="00427FA1">
              <w:rPr>
                <w:rFonts w:eastAsia="Times New Roman" w:cs="Calibri"/>
                <w:bCs/>
                <w:color w:val="FFFFFF"/>
                <w:sz w:val="12"/>
                <w:szCs w:val="12"/>
                <w:lang w:eastAsia="es-MX"/>
              </w:rPr>
              <w:t>Accionistas</w:t>
            </w:r>
          </w:p>
        </w:tc>
        <w:tc>
          <w:tcPr>
            <w:tcW w:w="1089" w:type="dxa"/>
            <w:tcBorders>
              <w:top w:val="nil"/>
              <w:left w:val="nil"/>
              <w:bottom w:val="single" w:sz="4" w:space="0" w:color="auto"/>
              <w:right w:val="single" w:sz="4" w:space="0" w:color="auto"/>
            </w:tcBorders>
            <w:shd w:val="clear" w:color="000000" w:fill="002060"/>
            <w:noWrap/>
            <w:hideMark/>
          </w:tcPr>
          <w:p w14:paraId="00AC2873" w14:textId="77777777" w:rsidR="00427FA1" w:rsidRPr="009804BF" w:rsidRDefault="00427FA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tcBorders>
              <w:top w:val="nil"/>
              <w:left w:val="nil"/>
              <w:bottom w:val="single" w:sz="4" w:space="0" w:color="auto"/>
              <w:right w:val="single" w:sz="4" w:space="0" w:color="auto"/>
            </w:tcBorders>
            <w:shd w:val="clear" w:color="000000" w:fill="002060"/>
            <w:noWrap/>
            <w:hideMark/>
          </w:tcPr>
          <w:p w14:paraId="67986857" w14:textId="77777777" w:rsidR="00427FA1" w:rsidRPr="009804BF" w:rsidRDefault="00427FA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5CE7C405" w14:textId="77777777" w:rsidR="00427FA1" w:rsidRPr="00427FA1" w:rsidRDefault="00427FA1" w:rsidP="00427FA1">
            <w:pPr>
              <w:keepNext/>
              <w:keepLines/>
              <w:spacing w:after="0"/>
              <w:jc w:val="center"/>
              <w:rPr>
                <w:rFonts w:eastAsia="Times New Roman" w:cs="Calibri"/>
                <w:bCs/>
                <w:color w:val="FFFFFF"/>
                <w:sz w:val="12"/>
                <w:szCs w:val="12"/>
                <w:lang w:eastAsia="es-MX"/>
              </w:rPr>
            </w:pPr>
            <w:r w:rsidRPr="00427FA1">
              <w:rPr>
                <w:rFonts w:eastAsia="Times New Roman" w:cs="Calibri"/>
                <w:bCs/>
                <w:color w:val="FFFFFF"/>
                <w:sz w:val="12"/>
                <w:szCs w:val="12"/>
                <w:lang w:eastAsia="es-MX"/>
              </w:rPr>
              <w:t>Total</w:t>
            </w:r>
          </w:p>
        </w:tc>
        <w:tc>
          <w:tcPr>
            <w:tcW w:w="1249"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4257E722" w14:textId="77777777" w:rsidR="00427FA1" w:rsidRPr="00427FA1" w:rsidRDefault="00427FA1" w:rsidP="00427FA1">
            <w:pPr>
              <w:keepNext/>
              <w:keepLines/>
              <w:spacing w:after="0"/>
              <w:jc w:val="center"/>
              <w:rPr>
                <w:rFonts w:eastAsia="Times New Roman" w:cs="Calibri"/>
                <w:bCs/>
                <w:color w:val="FFFFFF"/>
                <w:sz w:val="12"/>
                <w:szCs w:val="12"/>
                <w:lang w:eastAsia="es-MX"/>
              </w:rPr>
            </w:pPr>
            <w:r w:rsidRPr="00427FA1">
              <w:rPr>
                <w:rFonts w:eastAsia="Times New Roman" w:cs="Calibri"/>
                <w:bCs/>
                <w:color w:val="FFFFFF"/>
                <w:sz w:val="12"/>
                <w:szCs w:val="12"/>
                <w:lang w:eastAsia="es-MX"/>
              </w:rPr>
              <w:t>% Total</w:t>
            </w:r>
            <w:r w:rsidRPr="00427FA1">
              <w:rPr>
                <w:rFonts w:eastAsia="Times New Roman" w:cs="Calibri"/>
                <w:bCs/>
                <w:color w:val="FFFFFF"/>
                <w:sz w:val="12"/>
                <w:szCs w:val="12"/>
                <w:vertAlign w:val="superscript"/>
                <w:lang w:eastAsia="es-MX"/>
              </w:rPr>
              <w:t>\a</w:t>
            </w:r>
          </w:p>
        </w:tc>
        <w:tc>
          <w:tcPr>
            <w:tcW w:w="206" w:type="dxa"/>
            <w:tcBorders>
              <w:top w:val="nil"/>
              <w:left w:val="nil"/>
              <w:bottom w:val="nil"/>
              <w:right w:val="nil"/>
            </w:tcBorders>
            <w:shd w:val="clear" w:color="auto" w:fill="auto"/>
            <w:noWrap/>
            <w:vAlign w:val="bottom"/>
            <w:hideMark/>
          </w:tcPr>
          <w:p w14:paraId="414ACBBC" w14:textId="77777777" w:rsidR="00427FA1" w:rsidRPr="00427FA1" w:rsidRDefault="00427FA1" w:rsidP="00427FA1">
            <w:pPr>
              <w:keepNext/>
              <w:keepLines/>
              <w:spacing w:after="0"/>
              <w:jc w:val="center"/>
              <w:rPr>
                <w:rFonts w:eastAsia="Times New Roman" w:cs="Calibri"/>
                <w:bCs/>
                <w:color w:val="FFFFFF"/>
                <w:sz w:val="12"/>
                <w:szCs w:val="12"/>
                <w:lang w:eastAsia="es-MX"/>
              </w:rPr>
            </w:pPr>
          </w:p>
        </w:tc>
        <w:tc>
          <w:tcPr>
            <w:tcW w:w="867"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6D76B09A" w14:textId="77777777" w:rsidR="00427FA1" w:rsidRPr="00427FA1" w:rsidRDefault="00427FA1" w:rsidP="00427FA1">
            <w:pPr>
              <w:keepNext/>
              <w:keepLines/>
              <w:spacing w:after="0"/>
              <w:jc w:val="center"/>
              <w:rPr>
                <w:rFonts w:eastAsia="Times New Roman" w:cs="Calibri"/>
                <w:bCs/>
                <w:color w:val="FFFFFF"/>
                <w:sz w:val="12"/>
                <w:szCs w:val="12"/>
                <w:lang w:eastAsia="es-MX"/>
              </w:rPr>
            </w:pPr>
            <w:r w:rsidRPr="00427FA1">
              <w:rPr>
                <w:rFonts w:eastAsia="Times New Roman" w:cs="Calibri"/>
                <w:bCs/>
                <w:color w:val="FFFFFF"/>
                <w:sz w:val="12"/>
                <w:szCs w:val="12"/>
                <w:lang w:eastAsia="es-MX"/>
              </w:rPr>
              <w:t>Accionistas</w:t>
            </w:r>
          </w:p>
        </w:tc>
        <w:tc>
          <w:tcPr>
            <w:tcW w:w="1089" w:type="dxa"/>
            <w:tcBorders>
              <w:top w:val="nil"/>
              <w:left w:val="nil"/>
              <w:bottom w:val="single" w:sz="4" w:space="0" w:color="auto"/>
              <w:right w:val="single" w:sz="4" w:space="0" w:color="auto"/>
            </w:tcBorders>
            <w:shd w:val="clear" w:color="000000" w:fill="002060"/>
            <w:noWrap/>
            <w:hideMark/>
          </w:tcPr>
          <w:p w14:paraId="7D6204D2" w14:textId="77777777" w:rsidR="00427FA1" w:rsidRPr="002C5795" w:rsidRDefault="00427FA1" w:rsidP="00A26728">
            <w:pPr>
              <w:spacing w:after="0"/>
              <w:rPr>
                <w:b/>
                <w:color w:val="FFFFFF" w:themeColor="background1"/>
                <w:sz w:val="12"/>
                <w:szCs w:val="12"/>
              </w:rPr>
            </w:pPr>
            <w:r w:rsidRPr="002C5795">
              <w:rPr>
                <w:b/>
                <w:bCs/>
                <w:color w:val="FFFFFF" w:themeColor="background1"/>
                <w:sz w:val="12"/>
                <w:szCs w:val="12"/>
              </w:rPr>
              <w:t>“CONFIDENCIAL POR LEY”</w:t>
            </w:r>
          </w:p>
        </w:tc>
        <w:tc>
          <w:tcPr>
            <w:tcW w:w="1089" w:type="dxa"/>
            <w:tcBorders>
              <w:top w:val="nil"/>
              <w:left w:val="nil"/>
              <w:bottom w:val="single" w:sz="4" w:space="0" w:color="auto"/>
              <w:right w:val="single" w:sz="4" w:space="0" w:color="auto"/>
            </w:tcBorders>
            <w:shd w:val="clear" w:color="000000" w:fill="002060"/>
            <w:noWrap/>
            <w:hideMark/>
          </w:tcPr>
          <w:p w14:paraId="345FD650" w14:textId="77777777" w:rsidR="00427FA1" w:rsidRPr="002C5795" w:rsidRDefault="00427FA1" w:rsidP="00A26728">
            <w:pPr>
              <w:spacing w:after="0"/>
              <w:rPr>
                <w:b/>
                <w:color w:val="FFFFFF" w:themeColor="background1"/>
                <w:sz w:val="12"/>
                <w:szCs w:val="12"/>
              </w:rPr>
            </w:pPr>
            <w:r w:rsidRPr="002C5795">
              <w:rPr>
                <w:b/>
                <w:bCs/>
                <w:color w:val="FFFFFF" w:themeColor="background1"/>
                <w:sz w:val="12"/>
                <w:szCs w:val="12"/>
              </w:rPr>
              <w:t>“CONFIDENCIAL POR LEY”</w:t>
            </w:r>
          </w:p>
        </w:tc>
        <w:tc>
          <w:tcPr>
            <w:tcW w:w="1089"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5BAD95CD" w14:textId="77777777" w:rsidR="00427FA1" w:rsidRPr="00427FA1" w:rsidRDefault="00427FA1" w:rsidP="00427FA1">
            <w:pPr>
              <w:keepNext/>
              <w:keepLines/>
              <w:spacing w:after="0"/>
              <w:jc w:val="center"/>
              <w:rPr>
                <w:rFonts w:eastAsia="Times New Roman" w:cs="Calibri"/>
                <w:bCs/>
                <w:color w:val="FFFFFF"/>
                <w:sz w:val="12"/>
                <w:szCs w:val="12"/>
                <w:lang w:eastAsia="es-MX"/>
              </w:rPr>
            </w:pPr>
            <w:r w:rsidRPr="00427FA1">
              <w:rPr>
                <w:rFonts w:eastAsia="Times New Roman" w:cs="Calibri"/>
                <w:bCs/>
                <w:color w:val="FFFFFF"/>
                <w:sz w:val="12"/>
                <w:szCs w:val="12"/>
                <w:lang w:eastAsia="es-MX"/>
              </w:rPr>
              <w:t>Total</w:t>
            </w:r>
          </w:p>
        </w:tc>
        <w:tc>
          <w:tcPr>
            <w:tcW w:w="1089"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2D58B20A" w14:textId="77777777" w:rsidR="00427FA1" w:rsidRPr="00427FA1" w:rsidRDefault="00427FA1" w:rsidP="00427FA1">
            <w:pPr>
              <w:keepNext/>
              <w:keepLines/>
              <w:spacing w:after="0"/>
              <w:jc w:val="center"/>
              <w:rPr>
                <w:rFonts w:eastAsia="Times New Roman" w:cs="Calibri"/>
                <w:bCs/>
                <w:color w:val="FFFFFF"/>
                <w:sz w:val="12"/>
                <w:szCs w:val="12"/>
                <w:lang w:eastAsia="es-MX"/>
              </w:rPr>
            </w:pPr>
            <w:r w:rsidRPr="00427FA1">
              <w:rPr>
                <w:rFonts w:eastAsia="Times New Roman" w:cs="Calibri"/>
                <w:bCs/>
                <w:color w:val="FFFFFF"/>
                <w:sz w:val="12"/>
                <w:szCs w:val="12"/>
                <w:lang w:eastAsia="es-MX"/>
              </w:rPr>
              <w:t>% Total</w:t>
            </w:r>
          </w:p>
        </w:tc>
      </w:tr>
      <w:tr w:rsidR="00427FA1" w:rsidRPr="00427FA1" w14:paraId="6B679378" w14:textId="77777777" w:rsidTr="00190FE0">
        <w:trPr>
          <w:trHeight w:val="113"/>
          <w:jc w:val="center"/>
        </w:trPr>
        <w:tc>
          <w:tcPr>
            <w:tcW w:w="867" w:type="dxa"/>
            <w:vMerge/>
            <w:tcBorders>
              <w:top w:val="nil"/>
              <w:left w:val="single" w:sz="4" w:space="0" w:color="auto"/>
              <w:bottom w:val="single" w:sz="4" w:space="0" w:color="auto"/>
              <w:right w:val="single" w:sz="4" w:space="0" w:color="auto"/>
            </w:tcBorders>
            <w:vAlign w:val="center"/>
            <w:hideMark/>
          </w:tcPr>
          <w:p w14:paraId="72DE5E8B" w14:textId="77777777" w:rsidR="00427FA1" w:rsidRPr="00427FA1" w:rsidRDefault="00427FA1" w:rsidP="00427FA1">
            <w:pPr>
              <w:keepNext/>
              <w:keepLines/>
              <w:spacing w:after="0"/>
              <w:rPr>
                <w:rFonts w:eastAsia="Times New Roman" w:cs="Calibri"/>
                <w:bCs/>
                <w:color w:val="FFFFFF"/>
                <w:sz w:val="12"/>
                <w:szCs w:val="12"/>
                <w:lang w:eastAsia="es-MX"/>
              </w:rPr>
            </w:pPr>
          </w:p>
        </w:tc>
        <w:tc>
          <w:tcPr>
            <w:tcW w:w="1089" w:type="dxa"/>
            <w:tcBorders>
              <w:top w:val="nil"/>
              <w:left w:val="nil"/>
              <w:bottom w:val="single" w:sz="4" w:space="0" w:color="auto"/>
              <w:right w:val="single" w:sz="4" w:space="0" w:color="auto"/>
            </w:tcBorders>
            <w:shd w:val="clear" w:color="000000" w:fill="002060"/>
            <w:noWrap/>
            <w:hideMark/>
          </w:tcPr>
          <w:p w14:paraId="57DDE8B7" w14:textId="77777777" w:rsidR="00427FA1" w:rsidRPr="009804BF" w:rsidRDefault="00427FA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tcBorders>
              <w:top w:val="nil"/>
              <w:left w:val="nil"/>
              <w:bottom w:val="single" w:sz="4" w:space="0" w:color="auto"/>
              <w:right w:val="single" w:sz="4" w:space="0" w:color="auto"/>
            </w:tcBorders>
            <w:shd w:val="clear" w:color="000000" w:fill="002060"/>
            <w:noWrap/>
            <w:hideMark/>
          </w:tcPr>
          <w:p w14:paraId="773595CF" w14:textId="77777777" w:rsidR="00427FA1" w:rsidRPr="009804BF" w:rsidRDefault="00427FA1" w:rsidP="00A26728">
            <w:pPr>
              <w:spacing w:after="0"/>
              <w:rPr>
                <w:b/>
                <w:color w:val="FFFFFF" w:themeColor="background1"/>
                <w:sz w:val="12"/>
                <w:szCs w:val="12"/>
              </w:rPr>
            </w:pPr>
            <w:r w:rsidRPr="009804BF">
              <w:rPr>
                <w:b/>
                <w:bCs/>
                <w:color w:val="FFFFFF" w:themeColor="background1"/>
                <w:sz w:val="12"/>
                <w:szCs w:val="12"/>
              </w:rPr>
              <w:t>“CONFIDENCIAL POR LEY”</w:t>
            </w:r>
          </w:p>
        </w:tc>
        <w:tc>
          <w:tcPr>
            <w:tcW w:w="1089" w:type="dxa"/>
            <w:vMerge/>
            <w:tcBorders>
              <w:top w:val="nil"/>
              <w:left w:val="single" w:sz="4" w:space="0" w:color="auto"/>
              <w:bottom w:val="single" w:sz="4" w:space="0" w:color="auto"/>
              <w:right w:val="single" w:sz="4" w:space="0" w:color="auto"/>
            </w:tcBorders>
            <w:vAlign w:val="center"/>
            <w:hideMark/>
          </w:tcPr>
          <w:p w14:paraId="5DC12487" w14:textId="77777777" w:rsidR="00427FA1" w:rsidRPr="00427FA1" w:rsidRDefault="00427FA1" w:rsidP="00427FA1">
            <w:pPr>
              <w:keepNext/>
              <w:keepLines/>
              <w:spacing w:after="0"/>
              <w:rPr>
                <w:rFonts w:eastAsia="Times New Roman" w:cs="Calibri"/>
                <w:bCs/>
                <w:color w:val="FFFFFF"/>
                <w:sz w:val="12"/>
                <w:szCs w:val="12"/>
                <w:lang w:eastAsia="es-MX"/>
              </w:rPr>
            </w:pPr>
          </w:p>
        </w:tc>
        <w:tc>
          <w:tcPr>
            <w:tcW w:w="1249" w:type="dxa"/>
            <w:vMerge/>
            <w:tcBorders>
              <w:top w:val="nil"/>
              <w:left w:val="single" w:sz="4" w:space="0" w:color="auto"/>
              <w:bottom w:val="single" w:sz="4" w:space="0" w:color="auto"/>
              <w:right w:val="single" w:sz="4" w:space="0" w:color="auto"/>
            </w:tcBorders>
            <w:vAlign w:val="center"/>
            <w:hideMark/>
          </w:tcPr>
          <w:p w14:paraId="55A33279" w14:textId="77777777" w:rsidR="00427FA1" w:rsidRPr="00427FA1" w:rsidRDefault="00427FA1" w:rsidP="00427FA1">
            <w:pPr>
              <w:keepNext/>
              <w:keepLines/>
              <w:spacing w:after="0"/>
              <w:rPr>
                <w:rFonts w:eastAsia="Times New Roman" w:cs="Calibri"/>
                <w:bCs/>
                <w:color w:val="FFFFFF"/>
                <w:sz w:val="12"/>
                <w:szCs w:val="12"/>
                <w:lang w:eastAsia="es-MX"/>
              </w:rPr>
            </w:pPr>
          </w:p>
        </w:tc>
        <w:tc>
          <w:tcPr>
            <w:tcW w:w="206" w:type="dxa"/>
            <w:tcBorders>
              <w:top w:val="nil"/>
              <w:left w:val="nil"/>
              <w:bottom w:val="nil"/>
              <w:right w:val="nil"/>
            </w:tcBorders>
            <w:shd w:val="clear" w:color="auto" w:fill="auto"/>
            <w:noWrap/>
            <w:vAlign w:val="bottom"/>
            <w:hideMark/>
          </w:tcPr>
          <w:p w14:paraId="70D42738" w14:textId="77777777" w:rsidR="00427FA1" w:rsidRPr="00427FA1" w:rsidRDefault="00427FA1" w:rsidP="00427FA1">
            <w:pPr>
              <w:keepNext/>
              <w:keepLines/>
              <w:spacing w:after="0"/>
              <w:jc w:val="center"/>
              <w:rPr>
                <w:rFonts w:eastAsia="Times New Roman" w:cs="Calibri"/>
                <w:bCs/>
                <w:color w:val="FFFFFF"/>
                <w:sz w:val="12"/>
                <w:szCs w:val="12"/>
                <w:lang w:eastAsia="es-MX"/>
              </w:rPr>
            </w:pPr>
          </w:p>
        </w:tc>
        <w:tc>
          <w:tcPr>
            <w:tcW w:w="867" w:type="dxa"/>
            <w:vMerge/>
            <w:tcBorders>
              <w:top w:val="nil"/>
              <w:left w:val="single" w:sz="4" w:space="0" w:color="auto"/>
              <w:bottom w:val="single" w:sz="4" w:space="0" w:color="auto"/>
              <w:right w:val="single" w:sz="4" w:space="0" w:color="auto"/>
            </w:tcBorders>
            <w:vAlign w:val="center"/>
            <w:hideMark/>
          </w:tcPr>
          <w:p w14:paraId="15F17254" w14:textId="77777777" w:rsidR="00427FA1" w:rsidRPr="00427FA1" w:rsidRDefault="00427FA1" w:rsidP="00427FA1">
            <w:pPr>
              <w:keepNext/>
              <w:keepLines/>
              <w:spacing w:after="0"/>
              <w:rPr>
                <w:rFonts w:eastAsia="Times New Roman" w:cs="Calibri"/>
                <w:bCs/>
                <w:color w:val="FFFFFF"/>
                <w:sz w:val="12"/>
                <w:szCs w:val="12"/>
                <w:lang w:eastAsia="es-MX"/>
              </w:rPr>
            </w:pPr>
          </w:p>
        </w:tc>
        <w:tc>
          <w:tcPr>
            <w:tcW w:w="1089" w:type="dxa"/>
            <w:tcBorders>
              <w:top w:val="nil"/>
              <w:left w:val="nil"/>
              <w:bottom w:val="single" w:sz="4" w:space="0" w:color="auto"/>
              <w:right w:val="single" w:sz="4" w:space="0" w:color="auto"/>
            </w:tcBorders>
            <w:shd w:val="clear" w:color="000000" w:fill="002060"/>
            <w:noWrap/>
            <w:hideMark/>
          </w:tcPr>
          <w:p w14:paraId="6ABBB20A" w14:textId="77777777" w:rsidR="00427FA1" w:rsidRPr="002C5795" w:rsidRDefault="00427FA1" w:rsidP="00A26728">
            <w:pPr>
              <w:spacing w:after="0"/>
              <w:rPr>
                <w:b/>
                <w:color w:val="FFFFFF" w:themeColor="background1"/>
                <w:sz w:val="12"/>
                <w:szCs w:val="12"/>
              </w:rPr>
            </w:pPr>
            <w:r w:rsidRPr="002C5795">
              <w:rPr>
                <w:b/>
                <w:bCs/>
                <w:color w:val="FFFFFF" w:themeColor="background1"/>
                <w:sz w:val="12"/>
                <w:szCs w:val="12"/>
              </w:rPr>
              <w:t>“CONFIDENCIAL POR LEY”</w:t>
            </w:r>
          </w:p>
        </w:tc>
        <w:tc>
          <w:tcPr>
            <w:tcW w:w="1089" w:type="dxa"/>
            <w:tcBorders>
              <w:top w:val="nil"/>
              <w:left w:val="nil"/>
              <w:bottom w:val="single" w:sz="4" w:space="0" w:color="auto"/>
              <w:right w:val="single" w:sz="4" w:space="0" w:color="auto"/>
            </w:tcBorders>
            <w:shd w:val="clear" w:color="000000" w:fill="002060"/>
            <w:noWrap/>
            <w:hideMark/>
          </w:tcPr>
          <w:p w14:paraId="3DAA2C4F" w14:textId="77777777" w:rsidR="00427FA1" w:rsidRPr="002C5795" w:rsidRDefault="00427FA1" w:rsidP="00A26728">
            <w:pPr>
              <w:spacing w:after="0"/>
              <w:rPr>
                <w:b/>
                <w:color w:val="FFFFFF" w:themeColor="background1"/>
                <w:sz w:val="12"/>
                <w:szCs w:val="12"/>
              </w:rPr>
            </w:pPr>
            <w:r w:rsidRPr="002C5795">
              <w:rPr>
                <w:b/>
                <w:bCs/>
                <w:color w:val="FFFFFF" w:themeColor="background1"/>
                <w:sz w:val="12"/>
                <w:szCs w:val="12"/>
              </w:rPr>
              <w:t>“CONFIDENCIAL POR LEY”</w:t>
            </w:r>
          </w:p>
        </w:tc>
        <w:tc>
          <w:tcPr>
            <w:tcW w:w="1089" w:type="dxa"/>
            <w:vMerge/>
            <w:tcBorders>
              <w:top w:val="nil"/>
              <w:left w:val="single" w:sz="4" w:space="0" w:color="auto"/>
              <w:bottom w:val="single" w:sz="4" w:space="0" w:color="auto"/>
              <w:right w:val="single" w:sz="4" w:space="0" w:color="auto"/>
            </w:tcBorders>
            <w:vAlign w:val="center"/>
            <w:hideMark/>
          </w:tcPr>
          <w:p w14:paraId="4472A425" w14:textId="77777777" w:rsidR="00427FA1" w:rsidRPr="00427FA1" w:rsidRDefault="00427FA1" w:rsidP="00427FA1">
            <w:pPr>
              <w:keepNext/>
              <w:keepLines/>
              <w:spacing w:after="0"/>
              <w:rPr>
                <w:rFonts w:eastAsia="Times New Roman" w:cs="Calibri"/>
                <w:bCs/>
                <w:color w:val="FFFFFF"/>
                <w:sz w:val="12"/>
                <w:szCs w:val="12"/>
                <w:lang w:eastAsia="es-MX"/>
              </w:rPr>
            </w:pPr>
          </w:p>
        </w:tc>
        <w:tc>
          <w:tcPr>
            <w:tcW w:w="1089" w:type="dxa"/>
            <w:vMerge/>
            <w:tcBorders>
              <w:top w:val="nil"/>
              <w:left w:val="single" w:sz="4" w:space="0" w:color="auto"/>
              <w:bottom w:val="single" w:sz="4" w:space="0" w:color="auto"/>
              <w:right w:val="single" w:sz="4" w:space="0" w:color="auto"/>
            </w:tcBorders>
            <w:vAlign w:val="center"/>
            <w:hideMark/>
          </w:tcPr>
          <w:p w14:paraId="7D100A49" w14:textId="77777777" w:rsidR="00427FA1" w:rsidRPr="00427FA1" w:rsidRDefault="00427FA1" w:rsidP="00427FA1">
            <w:pPr>
              <w:keepNext/>
              <w:keepLines/>
              <w:spacing w:after="0"/>
              <w:rPr>
                <w:rFonts w:eastAsia="Times New Roman" w:cs="Calibri"/>
                <w:bCs/>
                <w:color w:val="FFFFFF"/>
                <w:sz w:val="12"/>
                <w:szCs w:val="12"/>
                <w:lang w:eastAsia="es-MX"/>
              </w:rPr>
            </w:pPr>
          </w:p>
        </w:tc>
      </w:tr>
      <w:tr w:rsidR="00190FE0" w:rsidRPr="00427FA1" w14:paraId="3E9D696D" w14:textId="77777777" w:rsidTr="00190FE0">
        <w:trPr>
          <w:trHeight w:val="1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7F9153A8" w14:textId="77777777" w:rsidR="00190FE0" w:rsidRDefault="00190FE0" w:rsidP="00190FE0">
            <w:pPr>
              <w:keepNext/>
              <w:keepLines/>
              <w:spacing w:after="0"/>
              <w:jc w:val="both"/>
              <w:rPr>
                <w:rFonts w:eastAsia="Times New Roman" w:cs="Calibri"/>
                <w:color w:val="000000"/>
                <w:sz w:val="12"/>
                <w:szCs w:val="12"/>
                <w:lang w:eastAsia="es-MX"/>
              </w:rPr>
            </w:pPr>
            <w:r w:rsidRPr="00427FA1">
              <w:rPr>
                <w:rFonts w:eastAsia="Times New Roman" w:cs="Calibri"/>
                <w:color w:val="000000"/>
                <w:sz w:val="12"/>
                <w:szCs w:val="12"/>
                <w:lang w:eastAsia="es-MX"/>
              </w:rPr>
              <w:t>CFCA</w:t>
            </w:r>
          </w:p>
          <w:p w14:paraId="054357FC" w14:textId="77777777" w:rsidR="00190FE0" w:rsidRPr="00427FA1" w:rsidRDefault="00190FE0" w:rsidP="00190FE0">
            <w:pPr>
              <w:keepNext/>
              <w:keepLines/>
              <w:spacing w:after="0"/>
              <w:jc w:val="both"/>
              <w:rPr>
                <w:rFonts w:eastAsia="Times New Roman" w:cs="Calibri"/>
                <w:color w:val="000000"/>
                <w:sz w:val="12"/>
                <w:szCs w:val="12"/>
                <w:lang w:eastAsia="es-MX"/>
              </w:rPr>
            </w:pPr>
            <w:r w:rsidRPr="00427FA1">
              <w:rPr>
                <w:rFonts w:eastAsia="Times New Roman" w:cs="Calibri"/>
                <w:color w:val="000000"/>
                <w:sz w:val="12"/>
                <w:szCs w:val="12"/>
                <w:lang w:eastAsia="es-MX"/>
              </w:rPr>
              <w:t>Telecomm</w:t>
            </w:r>
          </w:p>
        </w:tc>
        <w:tc>
          <w:tcPr>
            <w:tcW w:w="1089" w:type="dxa"/>
            <w:tcBorders>
              <w:top w:val="nil"/>
              <w:left w:val="nil"/>
              <w:bottom w:val="single" w:sz="4" w:space="0" w:color="auto"/>
              <w:right w:val="single" w:sz="4" w:space="0" w:color="auto"/>
            </w:tcBorders>
            <w:shd w:val="clear" w:color="auto" w:fill="auto"/>
            <w:noWrap/>
            <w:hideMark/>
          </w:tcPr>
          <w:p w14:paraId="03930D15" w14:textId="309B9BD2"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3B698A63" w14:textId="1372CE10"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5AEED4CD" w14:textId="7E6A5EB7"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249" w:type="dxa"/>
            <w:tcBorders>
              <w:top w:val="nil"/>
              <w:left w:val="nil"/>
              <w:bottom w:val="single" w:sz="4" w:space="0" w:color="auto"/>
              <w:right w:val="single" w:sz="4" w:space="0" w:color="auto"/>
            </w:tcBorders>
            <w:shd w:val="clear" w:color="auto" w:fill="auto"/>
            <w:noWrap/>
            <w:hideMark/>
          </w:tcPr>
          <w:p w14:paraId="17669856" w14:textId="04FABDAC"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206" w:type="dxa"/>
            <w:tcBorders>
              <w:top w:val="nil"/>
              <w:left w:val="nil"/>
              <w:bottom w:val="nil"/>
              <w:right w:val="nil"/>
            </w:tcBorders>
            <w:shd w:val="clear" w:color="auto" w:fill="auto"/>
            <w:noWrap/>
            <w:vAlign w:val="bottom"/>
            <w:hideMark/>
          </w:tcPr>
          <w:p w14:paraId="55EEE93E" w14:textId="77777777" w:rsidR="00190FE0" w:rsidRPr="00427FA1" w:rsidRDefault="00190FE0" w:rsidP="00190FE0">
            <w:pPr>
              <w:keepNext/>
              <w:keepLines/>
              <w:spacing w:after="0"/>
              <w:jc w:val="center"/>
              <w:rPr>
                <w:rFonts w:eastAsia="Times New Roman" w:cs="Calibri"/>
                <w:color w:val="000000"/>
                <w:sz w:val="12"/>
                <w:szCs w:val="12"/>
                <w:lang w:eastAsia="es-MX"/>
              </w:rPr>
            </w:pPr>
          </w:p>
        </w:tc>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4976CCBC" w14:textId="77777777" w:rsidR="00190FE0" w:rsidRDefault="00190FE0" w:rsidP="00190FE0">
            <w:pPr>
              <w:keepNext/>
              <w:keepLines/>
              <w:spacing w:after="0"/>
              <w:jc w:val="both"/>
              <w:rPr>
                <w:rFonts w:eastAsia="Times New Roman" w:cs="Calibri"/>
                <w:color w:val="000000"/>
                <w:sz w:val="12"/>
                <w:szCs w:val="12"/>
                <w:lang w:eastAsia="es-MX"/>
              </w:rPr>
            </w:pPr>
            <w:r>
              <w:rPr>
                <w:rFonts w:eastAsia="Times New Roman" w:cs="Calibri"/>
                <w:color w:val="000000"/>
                <w:sz w:val="12"/>
                <w:szCs w:val="12"/>
                <w:lang w:eastAsia="es-MX"/>
              </w:rPr>
              <w:t>CFCA</w:t>
            </w:r>
          </w:p>
          <w:p w14:paraId="6D9920A3" w14:textId="77777777" w:rsidR="00190FE0" w:rsidRPr="00427FA1" w:rsidRDefault="00190FE0" w:rsidP="00190FE0">
            <w:pPr>
              <w:keepNext/>
              <w:keepLines/>
              <w:spacing w:after="0"/>
              <w:jc w:val="both"/>
              <w:rPr>
                <w:rFonts w:eastAsia="Times New Roman" w:cs="Calibri"/>
                <w:color w:val="000000"/>
                <w:sz w:val="12"/>
                <w:szCs w:val="12"/>
                <w:lang w:eastAsia="es-MX"/>
              </w:rPr>
            </w:pPr>
            <w:r w:rsidRPr="00427FA1">
              <w:rPr>
                <w:rFonts w:eastAsia="Times New Roman" w:cs="Calibri"/>
                <w:color w:val="000000"/>
                <w:sz w:val="12"/>
                <w:szCs w:val="12"/>
                <w:lang w:eastAsia="es-MX"/>
              </w:rPr>
              <w:t>Telecomm</w:t>
            </w:r>
          </w:p>
        </w:tc>
        <w:tc>
          <w:tcPr>
            <w:tcW w:w="1089" w:type="dxa"/>
            <w:tcBorders>
              <w:top w:val="nil"/>
              <w:left w:val="nil"/>
              <w:bottom w:val="single" w:sz="4" w:space="0" w:color="auto"/>
              <w:right w:val="single" w:sz="4" w:space="0" w:color="auto"/>
            </w:tcBorders>
            <w:shd w:val="clear" w:color="auto" w:fill="auto"/>
            <w:noWrap/>
          </w:tcPr>
          <w:p w14:paraId="2685ECFA" w14:textId="55A02AD2"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tcPr>
          <w:p w14:paraId="7AE0EBB0" w14:textId="60D7F58E"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tcPr>
          <w:p w14:paraId="21BEB9F9" w14:textId="07BB702E"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2CF142D3" w14:textId="1D6B6D6A"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90FE0" w:rsidRPr="00427FA1" w14:paraId="1B999C3F" w14:textId="77777777" w:rsidTr="00190FE0">
        <w:trPr>
          <w:trHeight w:val="1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37E24D18" w14:textId="77777777" w:rsidR="00190FE0" w:rsidRPr="00427FA1" w:rsidRDefault="00190FE0" w:rsidP="00190FE0">
            <w:pPr>
              <w:keepNext/>
              <w:keepLines/>
              <w:spacing w:after="0"/>
              <w:jc w:val="both"/>
              <w:rPr>
                <w:rFonts w:eastAsia="Times New Roman" w:cs="Calibri"/>
                <w:color w:val="000000"/>
                <w:sz w:val="12"/>
                <w:szCs w:val="12"/>
                <w:lang w:eastAsia="es-MX"/>
              </w:rPr>
            </w:pPr>
            <w:r w:rsidRPr="00427FA1">
              <w:rPr>
                <w:rFonts w:eastAsia="Times New Roman" w:cs="Calibri"/>
                <w:color w:val="000000"/>
                <w:sz w:val="12"/>
                <w:szCs w:val="12"/>
                <w:lang w:eastAsia="es-MX"/>
              </w:rPr>
              <w:t>KIO</w:t>
            </w:r>
          </w:p>
        </w:tc>
        <w:tc>
          <w:tcPr>
            <w:tcW w:w="1089" w:type="dxa"/>
            <w:tcBorders>
              <w:top w:val="nil"/>
              <w:left w:val="nil"/>
              <w:bottom w:val="single" w:sz="4" w:space="0" w:color="auto"/>
              <w:right w:val="single" w:sz="4" w:space="0" w:color="auto"/>
            </w:tcBorders>
            <w:shd w:val="clear" w:color="auto" w:fill="auto"/>
            <w:noWrap/>
            <w:hideMark/>
          </w:tcPr>
          <w:p w14:paraId="7FB46B08" w14:textId="0A9C6720"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477AFF87" w14:textId="542EE810"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54A9ADFE" w14:textId="60A69640"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249" w:type="dxa"/>
            <w:tcBorders>
              <w:top w:val="nil"/>
              <w:left w:val="nil"/>
              <w:bottom w:val="single" w:sz="4" w:space="0" w:color="auto"/>
              <w:right w:val="single" w:sz="4" w:space="0" w:color="auto"/>
            </w:tcBorders>
            <w:shd w:val="clear" w:color="auto" w:fill="auto"/>
            <w:noWrap/>
            <w:hideMark/>
          </w:tcPr>
          <w:p w14:paraId="0C84BBD9" w14:textId="223B0EED"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206" w:type="dxa"/>
            <w:tcBorders>
              <w:top w:val="nil"/>
              <w:left w:val="nil"/>
              <w:bottom w:val="nil"/>
              <w:right w:val="nil"/>
            </w:tcBorders>
            <w:shd w:val="clear" w:color="auto" w:fill="auto"/>
            <w:noWrap/>
            <w:vAlign w:val="bottom"/>
            <w:hideMark/>
          </w:tcPr>
          <w:p w14:paraId="5B272DC0" w14:textId="77777777" w:rsidR="00190FE0" w:rsidRPr="00427FA1" w:rsidRDefault="00190FE0" w:rsidP="00190FE0">
            <w:pPr>
              <w:keepNext/>
              <w:keepLines/>
              <w:spacing w:after="0"/>
              <w:jc w:val="center"/>
              <w:rPr>
                <w:rFonts w:eastAsia="Times New Roman" w:cs="Calibri"/>
                <w:color w:val="000000"/>
                <w:sz w:val="12"/>
                <w:szCs w:val="12"/>
                <w:lang w:eastAsia="es-MX"/>
              </w:rPr>
            </w:pPr>
          </w:p>
        </w:tc>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09130841" w14:textId="77777777" w:rsidR="00190FE0" w:rsidRPr="00427FA1" w:rsidRDefault="00190FE0" w:rsidP="00190FE0">
            <w:pPr>
              <w:keepNext/>
              <w:keepLines/>
              <w:spacing w:after="0"/>
              <w:jc w:val="both"/>
              <w:rPr>
                <w:rFonts w:eastAsia="Times New Roman" w:cs="Calibri"/>
                <w:color w:val="000000"/>
                <w:sz w:val="12"/>
                <w:szCs w:val="12"/>
                <w:lang w:eastAsia="es-MX"/>
              </w:rPr>
            </w:pPr>
            <w:r w:rsidRPr="00427FA1">
              <w:rPr>
                <w:rFonts w:eastAsia="Times New Roman" w:cs="Calibri"/>
                <w:color w:val="000000"/>
                <w:sz w:val="12"/>
                <w:szCs w:val="12"/>
                <w:lang w:eastAsia="es-MX"/>
              </w:rPr>
              <w:t>ATC HFM</w:t>
            </w:r>
          </w:p>
        </w:tc>
        <w:tc>
          <w:tcPr>
            <w:tcW w:w="1089" w:type="dxa"/>
            <w:tcBorders>
              <w:top w:val="nil"/>
              <w:left w:val="nil"/>
              <w:bottom w:val="single" w:sz="4" w:space="0" w:color="auto"/>
              <w:right w:val="single" w:sz="4" w:space="0" w:color="auto"/>
            </w:tcBorders>
            <w:shd w:val="clear" w:color="auto" w:fill="auto"/>
            <w:noWrap/>
          </w:tcPr>
          <w:p w14:paraId="3A304F80" w14:textId="42508B6D"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tcPr>
          <w:p w14:paraId="6A66A994" w14:textId="1AE34C27"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tcPr>
          <w:p w14:paraId="7F8488ED" w14:textId="02DB947B"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1A85D719" w14:textId="04E883AA"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90FE0" w:rsidRPr="00427FA1" w14:paraId="7262CA67" w14:textId="77777777" w:rsidTr="00190FE0">
        <w:trPr>
          <w:trHeight w:val="1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F0BDF45" w14:textId="77777777" w:rsidR="00190FE0" w:rsidRPr="00427FA1" w:rsidRDefault="00190FE0" w:rsidP="00190FE0">
            <w:pPr>
              <w:keepNext/>
              <w:keepLines/>
              <w:spacing w:after="0"/>
              <w:jc w:val="both"/>
              <w:rPr>
                <w:rFonts w:eastAsia="Times New Roman" w:cs="Calibri"/>
                <w:color w:val="000000"/>
                <w:sz w:val="12"/>
                <w:szCs w:val="12"/>
                <w:lang w:eastAsia="es-MX"/>
              </w:rPr>
            </w:pPr>
            <w:r w:rsidRPr="00427FA1">
              <w:rPr>
                <w:rFonts w:eastAsia="Times New Roman" w:cs="Calibri"/>
                <w:color w:val="000000"/>
                <w:sz w:val="12"/>
                <w:szCs w:val="12"/>
                <w:lang w:eastAsia="es-MX"/>
              </w:rPr>
              <w:t>Wingu</w:t>
            </w:r>
          </w:p>
        </w:tc>
        <w:tc>
          <w:tcPr>
            <w:tcW w:w="1089" w:type="dxa"/>
            <w:tcBorders>
              <w:top w:val="nil"/>
              <w:left w:val="nil"/>
              <w:bottom w:val="single" w:sz="4" w:space="0" w:color="auto"/>
              <w:right w:val="single" w:sz="4" w:space="0" w:color="auto"/>
            </w:tcBorders>
            <w:shd w:val="clear" w:color="auto" w:fill="auto"/>
            <w:noWrap/>
            <w:hideMark/>
          </w:tcPr>
          <w:p w14:paraId="358157B9" w14:textId="6847FC3D"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3E0F1F36" w14:textId="6FF4B9CB"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652D2DA3" w14:textId="699AE141"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249" w:type="dxa"/>
            <w:tcBorders>
              <w:top w:val="nil"/>
              <w:left w:val="nil"/>
              <w:bottom w:val="single" w:sz="4" w:space="0" w:color="auto"/>
              <w:right w:val="single" w:sz="4" w:space="0" w:color="auto"/>
            </w:tcBorders>
            <w:shd w:val="clear" w:color="auto" w:fill="auto"/>
            <w:noWrap/>
            <w:hideMark/>
          </w:tcPr>
          <w:p w14:paraId="113CA9F3" w14:textId="3D6C9906"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206" w:type="dxa"/>
            <w:tcBorders>
              <w:top w:val="nil"/>
              <w:left w:val="nil"/>
              <w:bottom w:val="nil"/>
              <w:right w:val="nil"/>
            </w:tcBorders>
            <w:shd w:val="clear" w:color="auto" w:fill="auto"/>
            <w:noWrap/>
            <w:vAlign w:val="bottom"/>
            <w:hideMark/>
          </w:tcPr>
          <w:p w14:paraId="5F5079AF" w14:textId="77777777" w:rsidR="00190FE0" w:rsidRPr="00427FA1" w:rsidRDefault="00190FE0" w:rsidP="00190FE0">
            <w:pPr>
              <w:keepNext/>
              <w:keepLines/>
              <w:spacing w:after="0"/>
              <w:jc w:val="center"/>
              <w:rPr>
                <w:rFonts w:eastAsia="Times New Roman" w:cs="Calibri"/>
                <w:color w:val="000000"/>
                <w:sz w:val="12"/>
                <w:szCs w:val="12"/>
                <w:lang w:eastAsia="es-MX"/>
              </w:rPr>
            </w:pPr>
          </w:p>
        </w:tc>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D59276F" w14:textId="77777777" w:rsidR="00190FE0" w:rsidRPr="00427FA1" w:rsidRDefault="00190FE0" w:rsidP="00190FE0">
            <w:pPr>
              <w:keepNext/>
              <w:keepLines/>
              <w:spacing w:after="0"/>
              <w:jc w:val="both"/>
              <w:rPr>
                <w:rFonts w:eastAsia="Times New Roman" w:cs="Calibri"/>
                <w:bCs/>
                <w:color w:val="000000"/>
                <w:sz w:val="12"/>
                <w:szCs w:val="12"/>
                <w:lang w:eastAsia="es-MX"/>
              </w:rPr>
            </w:pPr>
            <w:r w:rsidRPr="00427FA1">
              <w:rPr>
                <w:rFonts w:eastAsia="Times New Roman" w:cs="Calibri"/>
                <w:bCs/>
                <w:color w:val="000000"/>
                <w:sz w:val="12"/>
                <w:szCs w:val="12"/>
                <w:lang w:eastAsia="es-MX"/>
              </w:rPr>
              <w:t>Total</w:t>
            </w:r>
          </w:p>
        </w:tc>
        <w:tc>
          <w:tcPr>
            <w:tcW w:w="1089" w:type="dxa"/>
            <w:tcBorders>
              <w:top w:val="nil"/>
              <w:left w:val="nil"/>
              <w:bottom w:val="single" w:sz="4" w:space="0" w:color="auto"/>
              <w:right w:val="single" w:sz="4" w:space="0" w:color="auto"/>
            </w:tcBorders>
            <w:shd w:val="clear" w:color="auto" w:fill="auto"/>
            <w:noWrap/>
          </w:tcPr>
          <w:p w14:paraId="504AA6A3" w14:textId="120DD3CE"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tcPr>
          <w:p w14:paraId="5AE7A8D5" w14:textId="09092FB6"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tcPr>
          <w:p w14:paraId="0444E99F" w14:textId="527E38F2"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62C31E00" w14:textId="77777777" w:rsidR="00190FE0" w:rsidRPr="00427FA1" w:rsidRDefault="00190FE0" w:rsidP="00190FE0">
            <w:pPr>
              <w:keepNext/>
              <w:keepLines/>
              <w:spacing w:after="0"/>
              <w:jc w:val="center"/>
              <w:rPr>
                <w:rFonts w:eastAsia="Times New Roman" w:cs="Calibri"/>
                <w:bCs/>
                <w:color w:val="000000"/>
                <w:sz w:val="12"/>
                <w:szCs w:val="12"/>
                <w:lang w:eastAsia="es-MX"/>
              </w:rPr>
            </w:pPr>
            <w:r w:rsidRPr="00427FA1">
              <w:rPr>
                <w:rFonts w:eastAsia="Times New Roman" w:cs="Calibri"/>
                <w:bCs/>
                <w:color w:val="000000"/>
                <w:sz w:val="12"/>
                <w:szCs w:val="12"/>
                <w:lang w:eastAsia="es-MX"/>
              </w:rPr>
              <w:t>100.00%</w:t>
            </w:r>
          </w:p>
        </w:tc>
      </w:tr>
      <w:tr w:rsidR="00190FE0" w:rsidRPr="00427FA1" w14:paraId="78837F9E" w14:textId="77777777" w:rsidTr="00190FE0">
        <w:trPr>
          <w:trHeight w:val="1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52FBBA8B" w14:textId="77777777" w:rsidR="00190FE0" w:rsidRPr="00427FA1" w:rsidRDefault="00190FE0" w:rsidP="00190FE0">
            <w:pPr>
              <w:keepNext/>
              <w:keepLines/>
              <w:spacing w:after="0"/>
              <w:jc w:val="both"/>
              <w:rPr>
                <w:rFonts w:eastAsia="Times New Roman" w:cs="Calibri"/>
                <w:bCs/>
                <w:color w:val="000000"/>
                <w:sz w:val="12"/>
                <w:szCs w:val="12"/>
                <w:lang w:eastAsia="es-MX"/>
              </w:rPr>
            </w:pPr>
            <w:r w:rsidRPr="00427FA1">
              <w:rPr>
                <w:rFonts w:eastAsia="Times New Roman" w:cs="Calibri"/>
                <w:bCs/>
                <w:color w:val="000000"/>
                <w:sz w:val="12"/>
                <w:szCs w:val="12"/>
                <w:lang w:eastAsia="es-MX"/>
              </w:rPr>
              <w:t>Total</w:t>
            </w:r>
          </w:p>
        </w:tc>
        <w:tc>
          <w:tcPr>
            <w:tcW w:w="1089" w:type="dxa"/>
            <w:tcBorders>
              <w:top w:val="nil"/>
              <w:left w:val="nil"/>
              <w:bottom w:val="single" w:sz="4" w:space="0" w:color="auto"/>
              <w:right w:val="single" w:sz="4" w:space="0" w:color="auto"/>
            </w:tcBorders>
            <w:shd w:val="clear" w:color="auto" w:fill="auto"/>
            <w:noWrap/>
            <w:hideMark/>
          </w:tcPr>
          <w:p w14:paraId="1E303A58" w14:textId="133C3D52"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3B3AFF43" w14:textId="1ADC2E10" w:rsidR="00190FE0" w:rsidRPr="009804BF"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089" w:type="dxa"/>
            <w:tcBorders>
              <w:top w:val="nil"/>
              <w:left w:val="nil"/>
              <w:bottom w:val="single" w:sz="4" w:space="0" w:color="auto"/>
              <w:right w:val="single" w:sz="4" w:space="0" w:color="auto"/>
            </w:tcBorders>
            <w:shd w:val="clear" w:color="auto" w:fill="auto"/>
            <w:noWrap/>
            <w:hideMark/>
          </w:tcPr>
          <w:p w14:paraId="615F7724" w14:textId="0BDFD13D" w:rsidR="00190FE0" w:rsidRPr="002C5795" w:rsidRDefault="00190FE0" w:rsidP="00190FE0">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249" w:type="dxa"/>
            <w:tcBorders>
              <w:top w:val="nil"/>
              <w:left w:val="nil"/>
              <w:bottom w:val="single" w:sz="4" w:space="0" w:color="auto"/>
              <w:right w:val="single" w:sz="4" w:space="0" w:color="auto"/>
            </w:tcBorders>
            <w:shd w:val="clear" w:color="auto" w:fill="auto"/>
            <w:noWrap/>
            <w:vAlign w:val="center"/>
            <w:hideMark/>
          </w:tcPr>
          <w:p w14:paraId="266A9D0F" w14:textId="77777777" w:rsidR="00190FE0" w:rsidRPr="00427FA1" w:rsidRDefault="00190FE0" w:rsidP="00190FE0">
            <w:pPr>
              <w:keepNext/>
              <w:keepLines/>
              <w:spacing w:after="0"/>
              <w:jc w:val="center"/>
              <w:rPr>
                <w:rFonts w:eastAsia="Times New Roman" w:cs="Calibri"/>
                <w:bCs/>
                <w:color w:val="000000"/>
                <w:sz w:val="12"/>
                <w:szCs w:val="12"/>
                <w:lang w:eastAsia="es-MX"/>
              </w:rPr>
            </w:pPr>
            <w:r w:rsidRPr="00427FA1">
              <w:rPr>
                <w:rFonts w:eastAsia="Times New Roman" w:cs="Calibri"/>
                <w:bCs/>
                <w:color w:val="000000"/>
                <w:sz w:val="12"/>
                <w:szCs w:val="12"/>
                <w:lang w:eastAsia="es-MX"/>
              </w:rPr>
              <w:t>100.00%</w:t>
            </w:r>
          </w:p>
        </w:tc>
        <w:tc>
          <w:tcPr>
            <w:tcW w:w="206" w:type="dxa"/>
            <w:tcBorders>
              <w:top w:val="nil"/>
              <w:left w:val="nil"/>
              <w:bottom w:val="nil"/>
              <w:right w:val="nil"/>
            </w:tcBorders>
            <w:shd w:val="clear" w:color="auto" w:fill="auto"/>
            <w:noWrap/>
            <w:vAlign w:val="bottom"/>
            <w:hideMark/>
          </w:tcPr>
          <w:p w14:paraId="63182163" w14:textId="77777777" w:rsidR="00190FE0" w:rsidRPr="00427FA1" w:rsidRDefault="00190FE0" w:rsidP="00190FE0">
            <w:pPr>
              <w:keepNext/>
              <w:keepLines/>
              <w:spacing w:after="0"/>
              <w:jc w:val="center"/>
              <w:rPr>
                <w:rFonts w:eastAsia="Times New Roman" w:cs="Calibri"/>
                <w:bCs/>
                <w:color w:val="000000"/>
                <w:sz w:val="12"/>
                <w:szCs w:val="12"/>
                <w:lang w:eastAsia="es-MX"/>
              </w:rPr>
            </w:pPr>
          </w:p>
        </w:tc>
        <w:tc>
          <w:tcPr>
            <w:tcW w:w="867" w:type="dxa"/>
            <w:tcBorders>
              <w:top w:val="nil"/>
              <w:left w:val="nil"/>
              <w:bottom w:val="nil"/>
              <w:right w:val="nil"/>
            </w:tcBorders>
            <w:shd w:val="clear" w:color="auto" w:fill="auto"/>
            <w:noWrap/>
            <w:vAlign w:val="bottom"/>
            <w:hideMark/>
          </w:tcPr>
          <w:p w14:paraId="2FC5C41C" w14:textId="77777777" w:rsidR="00190FE0" w:rsidRPr="00427FA1" w:rsidRDefault="00190FE0" w:rsidP="00190FE0">
            <w:pPr>
              <w:keepNext/>
              <w:keepLines/>
              <w:spacing w:after="0"/>
              <w:rPr>
                <w:rFonts w:eastAsia="Times New Roman" w:cs="Times New Roman"/>
                <w:sz w:val="12"/>
                <w:szCs w:val="12"/>
                <w:lang w:eastAsia="es-MX"/>
              </w:rPr>
            </w:pPr>
          </w:p>
        </w:tc>
        <w:tc>
          <w:tcPr>
            <w:tcW w:w="1089" w:type="dxa"/>
            <w:tcBorders>
              <w:top w:val="nil"/>
              <w:left w:val="nil"/>
              <w:bottom w:val="nil"/>
              <w:right w:val="nil"/>
            </w:tcBorders>
            <w:shd w:val="clear" w:color="auto" w:fill="auto"/>
            <w:noWrap/>
            <w:vAlign w:val="bottom"/>
            <w:hideMark/>
          </w:tcPr>
          <w:p w14:paraId="51012449" w14:textId="77777777" w:rsidR="00190FE0" w:rsidRPr="00427FA1" w:rsidRDefault="00190FE0" w:rsidP="00190FE0">
            <w:pPr>
              <w:keepNext/>
              <w:keepLines/>
              <w:spacing w:after="0"/>
              <w:rPr>
                <w:rFonts w:eastAsia="Times New Roman" w:cs="Times New Roman"/>
                <w:sz w:val="12"/>
                <w:szCs w:val="12"/>
                <w:lang w:eastAsia="es-MX"/>
              </w:rPr>
            </w:pPr>
          </w:p>
        </w:tc>
        <w:tc>
          <w:tcPr>
            <w:tcW w:w="1089" w:type="dxa"/>
            <w:tcBorders>
              <w:top w:val="nil"/>
              <w:left w:val="nil"/>
              <w:bottom w:val="nil"/>
              <w:right w:val="nil"/>
            </w:tcBorders>
            <w:shd w:val="clear" w:color="auto" w:fill="auto"/>
            <w:noWrap/>
            <w:vAlign w:val="bottom"/>
            <w:hideMark/>
          </w:tcPr>
          <w:p w14:paraId="33D9F49D" w14:textId="77777777" w:rsidR="00190FE0" w:rsidRPr="00427FA1" w:rsidRDefault="00190FE0" w:rsidP="00190FE0">
            <w:pPr>
              <w:keepNext/>
              <w:keepLines/>
              <w:spacing w:after="0"/>
              <w:rPr>
                <w:rFonts w:eastAsia="Times New Roman" w:cs="Times New Roman"/>
                <w:sz w:val="12"/>
                <w:szCs w:val="12"/>
                <w:lang w:eastAsia="es-MX"/>
              </w:rPr>
            </w:pPr>
          </w:p>
        </w:tc>
        <w:tc>
          <w:tcPr>
            <w:tcW w:w="1089" w:type="dxa"/>
            <w:tcBorders>
              <w:top w:val="nil"/>
              <w:left w:val="nil"/>
              <w:bottom w:val="nil"/>
              <w:right w:val="nil"/>
            </w:tcBorders>
            <w:shd w:val="clear" w:color="auto" w:fill="auto"/>
            <w:noWrap/>
            <w:vAlign w:val="bottom"/>
            <w:hideMark/>
          </w:tcPr>
          <w:p w14:paraId="4B89FAAF" w14:textId="77777777" w:rsidR="00190FE0" w:rsidRPr="00427FA1" w:rsidRDefault="00190FE0" w:rsidP="00190FE0">
            <w:pPr>
              <w:keepNext/>
              <w:keepLines/>
              <w:spacing w:after="0"/>
              <w:rPr>
                <w:rFonts w:eastAsia="Times New Roman" w:cs="Times New Roman"/>
                <w:sz w:val="12"/>
                <w:szCs w:val="12"/>
                <w:lang w:eastAsia="es-MX"/>
              </w:rPr>
            </w:pPr>
          </w:p>
        </w:tc>
        <w:tc>
          <w:tcPr>
            <w:tcW w:w="1089" w:type="dxa"/>
            <w:tcBorders>
              <w:top w:val="nil"/>
              <w:left w:val="nil"/>
              <w:bottom w:val="nil"/>
              <w:right w:val="nil"/>
            </w:tcBorders>
            <w:shd w:val="clear" w:color="auto" w:fill="auto"/>
            <w:noWrap/>
            <w:vAlign w:val="bottom"/>
            <w:hideMark/>
          </w:tcPr>
          <w:p w14:paraId="0762E8A4" w14:textId="77777777" w:rsidR="00190FE0" w:rsidRPr="00427FA1" w:rsidRDefault="00190FE0" w:rsidP="00190FE0">
            <w:pPr>
              <w:keepNext/>
              <w:keepLines/>
              <w:spacing w:after="0"/>
              <w:rPr>
                <w:rFonts w:eastAsia="Times New Roman" w:cs="Times New Roman"/>
                <w:sz w:val="12"/>
                <w:szCs w:val="12"/>
                <w:lang w:eastAsia="es-MX"/>
              </w:rPr>
            </w:pPr>
          </w:p>
        </w:tc>
      </w:tr>
    </w:tbl>
    <w:p w14:paraId="67C3B866" w14:textId="77777777" w:rsidR="000C44C7" w:rsidRPr="00673243" w:rsidRDefault="000C44C7" w:rsidP="00696B9E">
      <w:pPr>
        <w:keepNext/>
        <w:keepLines/>
        <w:spacing w:after="0"/>
        <w:jc w:val="both"/>
        <w:rPr>
          <w:sz w:val="16"/>
          <w:szCs w:val="16"/>
        </w:rPr>
      </w:pPr>
      <w:r w:rsidRPr="00673243">
        <w:rPr>
          <w:sz w:val="16"/>
          <w:szCs w:val="16"/>
        </w:rPr>
        <w:t>Nota:</w:t>
      </w:r>
    </w:p>
    <w:p w14:paraId="5A85FF63" w14:textId="77777777" w:rsidR="000C44C7" w:rsidRPr="00673243" w:rsidRDefault="000C44C7" w:rsidP="00696B9E">
      <w:pPr>
        <w:keepNext/>
        <w:keepLines/>
        <w:spacing w:after="0"/>
        <w:jc w:val="both"/>
        <w:rPr>
          <w:sz w:val="16"/>
          <w:szCs w:val="16"/>
        </w:rPr>
      </w:pPr>
      <w:r w:rsidRPr="00673243">
        <w:rPr>
          <w:sz w:val="16"/>
          <w:szCs w:val="16"/>
          <w:vertAlign w:val="superscript"/>
        </w:rPr>
        <w:t>\a</w:t>
      </w:r>
      <w:r w:rsidRPr="00673243">
        <w:rPr>
          <w:sz w:val="16"/>
          <w:szCs w:val="16"/>
        </w:rPr>
        <w:t xml:space="preserve"> Las cifras decimales de los porcentajes de participación accionaria fueron redondeados a dos dígitos.</w:t>
      </w:r>
    </w:p>
    <w:p w14:paraId="61A36D1A" w14:textId="77777777" w:rsidR="000C44C7" w:rsidRPr="00673243" w:rsidRDefault="000C44C7" w:rsidP="00696B9E">
      <w:pPr>
        <w:keepNext/>
        <w:keepLines/>
        <w:spacing w:after="0"/>
        <w:jc w:val="both"/>
        <w:rPr>
          <w:sz w:val="16"/>
          <w:szCs w:val="16"/>
        </w:rPr>
      </w:pPr>
      <w:r w:rsidRPr="00673243">
        <w:rPr>
          <w:sz w:val="16"/>
          <w:szCs w:val="16"/>
        </w:rPr>
        <w:t xml:space="preserve">Fuente: </w:t>
      </w:r>
      <w:r w:rsidRPr="00673243">
        <w:rPr>
          <w:sz w:val="16"/>
          <w:lang w:val="es-ES_tradnl" w:eastAsia="es-MX"/>
        </w:rPr>
        <w:t xml:space="preserve">Elaboración propia con información presentada por las partes en el Aviso de Concentración, así como </w:t>
      </w:r>
      <w:r w:rsidR="003827A9">
        <w:rPr>
          <w:sz w:val="16"/>
          <w:lang w:val="es-ES_tradnl" w:eastAsia="es-MX"/>
        </w:rPr>
        <w:t>información</w:t>
      </w:r>
      <w:r w:rsidRPr="00673243">
        <w:rPr>
          <w:sz w:val="16"/>
          <w:lang w:val="es-ES_tradnl" w:eastAsia="es-MX"/>
        </w:rPr>
        <w:t xml:space="preserve"> presentad</w:t>
      </w:r>
      <w:r w:rsidR="003827A9">
        <w:rPr>
          <w:sz w:val="16"/>
          <w:lang w:val="es-ES_tradnl" w:eastAsia="es-MX"/>
        </w:rPr>
        <w:t>a</w:t>
      </w:r>
      <w:r w:rsidRPr="00673243">
        <w:rPr>
          <w:sz w:val="16"/>
          <w:lang w:val="es-ES_tradnl" w:eastAsia="es-MX"/>
        </w:rPr>
        <w:t xml:space="preserve"> por Telco. </w:t>
      </w:r>
      <w:r w:rsidRPr="00444600">
        <w:rPr>
          <w:sz w:val="16"/>
          <w:lang w:val="es-ES_tradnl" w:eastAsia="es-MX"/>
        </w:rPr>
        <w:t xml:space="preserve">Fojas </w:t>
      </w:r>
      <w:r w:rsidR="00444600" w:rsidRPr="00444600">
        <w:rPr>
          <w:sz w:val="16"/>
          <w:lang w:val="es-ES_tradnl" w:eastAsia="es-MX"/>
        </w:rPr>
        <w:t>1172</w:t>
      </w:r>
      <w:r w:rsidR="00444600">
        <w:rPr>
          <w:sz w:val="16"/>
          <w:lang w:val="es-ES_tradnl" w:eastAsia="es-MX"/>
        </w:rPr>
        <w:t xml:space="preserve"> y </w:t>
      </w:r>
      <w:r w:rsidR="00444600">
        <w:rPr>
          <w:sz w:val="16"/>
          <w:szCs w:val="16"/>
        </w:rPr>
        <w:t>2584</w:t>
      </w:r>
      <w:r w:rsidRPr="00673243">
        <w:rPr>
          <w:sz w:val="16"/>
          <w:szCs w:val="16"/>
        </w:rPr>
        <w:t xml:space="preserve"> del Expediente.</w:t>
      </w:r>
    </w:p>
    <w:p w14:paraId="559D6D1D" w14:textId="77777777" w:rsidR="000C44C7" w:rsidRDefault="000C44C7" w:rsidP="009B0A36">
      <w:pPr>
        <w:pStyle w:val="Prrafodelista"/>
        <w:numPr>
          <w:ilvl w:val="0"/>
          <w:numId w:val="13"/>
        </w:numPr>
        <w:spacing w:before="120" w:after="120" w:line="240" w:lineRule="auto"/>
        <w:contextualSpacing w:val="0"/>
        <w:jc w:val="both"/>
      </w:pPr>
      <w:r w:rsidRPr="00673243">
        <w:t xml:space="preserve">Por tanto, como resultado de la Operación, ATC MexHold y ATC HFM adquirieron, de manera directa, el </w:t>
      </w:r>
      <w:r w:rsidR="0095634B" w:rsidRPr="00FD5E2A">
        <w:rPr>
          <w:b/>
          <w:bCs/>
          <w:color w:val="0000CC"/>
        </w:rPr>
        <w:t>“CONFIDENCIAL POR LEY”</w:t>
      </w:r>
      <w:r w:rsidRPr="00673243">
        <w:t xml:space="preserve"> de las acciones representativas del capital social de CFCA Telecomm, y directa e indirectamente, el </w:t>
      </w:r>
      <w:r w:rsidR="0095634B" w:rsidRPr="00FD5E2A">
        <w:rPr>
          <w:b/>
          <w:bCs/>
          <w:color w:val="0000CC"/>
        </w:rPr>
        <w:t>“CONFIDENCIAL POR LEY”</w:t>
      </w:r>
      <w:r w:rsidRPr="00673243">
        <w:t xml:space="preserve"> de las acciones representativas del capital social de Telco.</w:t>
      </w:r>
    </w:p>
    <w:p w14:paraId="136FD63E" w14:textId="77777777" w:rsidR="000C44C7" w:rsidRPr="00673243" w:rsidRDefault="000C44C7" w:rsidP="009B0A36">
      <w:pPr>
        <w:pStyle w:val="Prrafodelista"/>
        <w:numPr>
          <w:ilvl w:val="0"/>
          <w:numId w:val="12"/>
        </w:numPr>
        <w:spacing w:before="120" w:after="120" w:line="240" w:lineRule="auto"/>
        <w:ind w:left="357" w:hanging="357"/>
        <w:contextualSpacing w:val="0"/>
        <w:jc w:val="both"/>
        <w:outlineLvl w:val="2"/>
        <w:rPr>
          <w:b/>
        </w:rPr>
      </w:pPr>
      <w:r w:rsidRPr="00673243">
        <w:rPr>
          <w:b/>
        </w:rPr>
        <w:t xml:space="preserve">Servicios involucrados en la </w:t>
      </w:r>
      <w:r w:rsidR="00004763">
        <w:rPr>
          <w:b/>
        </w:rPr>
        <w:t>Operación</w:t>
      </w:r>
    </w:p>
    <w:p w14:paraId="447AC0CB" w14:textId="77777777" w:rsidR="00424970" w:rsidRDefault="00DE5EB3" w:rsidP="009B0A36">
      <w:pPr>
        <w:pStyle w:val="Prrafodelista"/>
        <w:numPr>
          <w:ilvl w:val="0"/>
          <w:numId w:val="13"/>
        </w:numPr>
        <w:spacing w:before="120" w:after="120" w:line="240" w:lineRule="auto"/>
        <w:contextualSpacing w:val="0"/>
        <w:jc w:val="both"/>
      </w:pPr>
      <w:r>
        <w:t xml:space="preserve">Previo a la Operación, CFCA Telecomm </w:t>
      </w:r>
      <w:r w:rsidR="00C37E17">
        <w:t>se dedica</w:t>
      </w:r>
      <w:r>
        <w:t>ba</w:t>
      </w:r>
      <w:r w:rsidR="00C37E17">
        <w:t>, principalmente, a la provisión de servicios de telecomunicaciones, tales como arrendamiento de enlaces dedicados y acceso a internet dedicado</w:t>
      </w:r>
      <w:r w:rsidR="007641F2">
        <w:t>. Por su parte,</w:t>
      </w:r>
      <w:r w:rsidR="00C37E17">
        <w:t xml:space="preserve"> American Tower Corporation y </w:t>
      </w:r>
      <w:r w:rsidR="007641F2">
        <w:t xml:space="preserve">sus </w:t>
      </w:r>
      <w:r w:rsidR="00C37E17" w:rsidRPr="007641F2">
        <w:t>subsidiarias participaban,</w:t>
      </w:r>
      <w:r w:rsidR="007641F2" w:rsidRPr="007641F2">
        <w:rPr>
          <w:rStyle w:val="Refdenotaalpie"/>
        </w:rPr>
        <w:footnoteReference w:id="98"/>
      </w:r>
      <w:r w:rsidR="00C37E17" w:rsidRPr="007641F2">
        <w:t xml:space="preserve"> primordialmente, en el nego</w:t>
      </w:r>
      <w:r w:rsidRPr="007641F2">
        <w:t xml:space="preserve">cio de arrendamiento de sitios a concesionarios </w:t>
      </w:r>
      <w:r w:rsidR="007641F2" w:rsidRPr="007641F2">
        <w:t>de</w:t>
      </w:r>
      <w:r w:rsidRPr="007641F2">
        <w:t xml:space="preserve"> servicios de telecomunicaciones </w:t>
      </w:r>
      <w:r w:rsidR="007641F2" w:rsidRPr="007641F2">
        <w:t xml:space="preserve">fijos y </w:t>
      </w:r>
      <w:r w:rsidRPr="007641F2">
        <w:t>móviles</w:t>
      </w:r>
      <w:r w:rsidR="007641F2" w:rsidRPr="007641F2">
        <w:t>.</w:t>
      </w:r>
      <w:r w:rsidR="007641F2" w:rsidRPr="007641F2">
        <w:rPr>
          <w:rStyle w:val="Refdenotaalpie"/>
        </w:rPr>
        <w:footnoteReference w:id="99"/>
      </w:r>
      <w:r w:rsidRPr="007641F2">
        <w:t xml:space="preserve"> </w:t>
      </w:r>
      <w:r w:rsidR="00424970">
        <w:t>En consecuencia</w:t>
      </w:r>
      <w:r w:rsidR="007641F2">
        <w:t xml:space="preserve">, </w:t>
      </w:r>
      <w:r w:rsidR="007641F2" w:rsidRPr="006804D1">
        <w:rPr>
          <w:b/>
        </w:rPr>
        <w:t xml:space="preserve">no existe coincidencia </w:t>
      </w:r>
      <w:r w:rsidR="006804D1">
        <w:rPr>
          <w:b/>
        </w:rPr>
        <w:t>en los servicios provistos por</w:t>
      </w:r>
      <w:r w:rsidR="007641F2" w:rsidRPr="006804D1">
        <w:rPr>
          <w:b/>
        </w:rPr>
        <w:t xml:space="preserve"> las partes involucradas en la Operación</w:t>
      </w:r>
      <w:r w:rsidR="007641F2" w:rsidRPr="003827A9">
        <w:t>.</w:t>
      </w:r>
    </w:p>
    <w:p w14:paraId="34431565" w14:textId="77777777" w:rsidR="00C37E17" w:rsidRPr="003827A9" w:rsidRDefault="00C37E17" w:rsidP="009B0A36">
      <w:pPr>
        <w:pStyle w:val="Prrafodelista"/>
        <w:keepNext/>
        <w:keepLines/>
        <w:numPr>
          <w:ilvl w:val="0"/>
          <w:numId w:val="13"/>
        </w:numPr>
        <w:spacing w:before="120" w:after="120" w:line="240" w:lineRule="auto"/>
        <w:contextualSpacing w:val="0"/>
        <w:jc w:val="both"/>
      </w:pPr>
      <w:r w:rsidRPr="003827A9">
        <w:lastRenderedPageBreak/>
        <w:t xml:space="preserve">Los ingresos de </w:t>
      </w:r>
      <w:r w:rsidR="00DE5EB3" w:rsidRPr="003827A9">
        <w:t>estas</w:t>
      </w:r>
      <w:r w:rsidRPr="003827A9">
        <w:t xml:space="preserve"> empresas se ilustran en la Tabla </w:t>
      </w:r>
      <w:r w:rsidR="00491CCF" w:rsidRPr="003827A9">
        <w:t>5</w:t>
      </w:r>
      <w:r w:rsidRPr="003827A9">
        <w:t>.</w:t>
      </w:r>
    </w:p>
    <w:p w14:paraId="0C98A1E1" w14:textId="77777777" w:rsidR="000C44C7" w:rsidRPr="00673243" w:rsidRDefault="000C44C7" w:rsidP="009A028D">
      <w:pPr>
        <w:pStyle w:val="Prrafodelista"/>
        <w:keepNext/>
        <w:keepLines/>
        <w:spacing w:after="0" w:line="240" w:lineRule="auto"/>
        <w:ind w:left="1134" w:right="1043"/>
        <w:contextualSpacing w:val="0"/>
        <w:jc w:val="center"/>
      </w:pPr>
      <w:r w:rsidRPr="003827A9">
        <w:rPr>
          <w:b/>
          <w:sz w:val="18"/>
        </w:rPr>
        <w:t xml:space="preserve">Tabla </w:t>
      </w:r>
      <w:r w:rsidR="00491CCF" w:rsidRPr="003827A9">
        <w:rPr>
          <w:b/>
          <w:sz w:val="18"/>
        </w:rPr>
        <w:t>5</w:t>
      </w:r>
      <w:r w:rsidR="002667A2" w:rsidRPr="003827A9">
        <w:rPr>
          <w:b/>
          <w:sz w:val="18"/>
        </w:rPr>
        <w:t>. Ingresos</w:t>
      </w:r>
      <w:r w:rsidR="0054653C" w:rsidRPr="003827A9">
        <w:rPr>
          <w:b/>
          <w:sz w:val="18"/>
        </w:rPr>
        <w:t>, por tipo de servicio</w:t>
      </w:r>
      <w:r w:rsidRPr="003827A9">
        <w:rPr>
          <w:b/>
          <w:sz w:val="18"/>
        </w:rPr>
        <w:t>, 2017</w:t>
      </w:r>
      <w:r w:rsidR="00891A75" w:rsidRPr="003827A9">
        <w:rPr>
          <w:b/>
          <w:sz w:val="18"/>
        </w:rPr>
        <w:t xml:space="preserve"> </w:t>
      </w:r>
      <w:r w:rsidRPr="003827A9">
        <w:rPr>
          <w:b/>
          <w:sz w:val="18"/>
        </w:rPr>
        <w:t>(millones de</w:t>
      </w:r>
      <w:r w:rsidRPr="00673243">
        <w:rPr>
          <w:b/>
          <w:sz w:val="18"/>
        </w:rPr>
        <w:t xml:space="preserve"> pesos)</w:t>
      </w:r>
    </w:p>
    <w:tbl>
      <w:tblPr>
        <w:tblW w:w="6941" w:type="dxa"/>
        <w:jc w:val="center"/>
        <w:tblCellMar>
          <w:left w:w="70" w:type="dxa"/>
          <w:right w:w="70" w:type="dxa"/>
        </w:tblCellMar>
        <w:tblLook w:val="04A0" w:firstRow="1" w:lastRow="0" w:firstColumn="1" w:lastColumn="0" w:noHBand="0" w:noVBand="1"/>
        <w:tblCaption w:val="Tabla 5. Ingresos, por tipo de servicio, 2017 (millones de pesos)"/>
        <w:tblDescription w:val="Tabla que contiene los ingresos de CFCA Telecomm y American Tower Corporation, por tipo de servicio, para el año 2017 (en millones de pesos)"/>
      </w:tblPr>
      <w:tblGrid>
        <w:gridCol w:w="3539"/>
        <w:gridCol w:w="1701"/>
        <w:gridCol w:w="1701"/>
      </w:tblGrid>
      <w:tr w:rsidR="007002F6" w:rsidRPr="007002F6" w14:paraId="05BF6E22" w14:textId="77777777" w:rsidTr="00B10A8F">
        <w:trPr>
          <w:trHeight w:val="210"/>
          <w:tblHeader/>
          <w:jc w:val="center"/>
        </w:trPr>
        <w:tc>
          <w:tcPr>
            <w:tcW w:w="3539"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686F493" w14:textId="77777777" w:rsidR="007002F6" w:rsidRPr="007002F6" w:rsidRDefault="007002F6" w:rsidP="009A028D">
            <w:pPr>
              <w:keepNext/>
              <w:keepLines/>
              <w:spacing w:after="0"/>
              <w:rPr>
                <w:rFonts w:eastAsia="Times New Roman" w:cs="Calibri"/>
                <w:b/>
                <w:bCs/>
                <w:color w:val="FFFFFF"/>
                <w:sz w:val="16"/>
                <w:szCs w:val="16"/>
                <w:lang w:eastAsia="es-MX"/>
              </w:rPr>
            </w:pPr>
            <w:r w:rsidRPr="007002F6">
              <w:rPr>
                <w:rFonts w:eastAsia="Times New Roman" w:cs="Calibri"/>
                <w:b/>
                <w:bCs/>
                <w:color w:val="FFFFFF"/>
                <w:sz w:val="16"/>
                <w:szCs w:val="16"/>
                <w:lang w:eastAsia="es-MX"/>
              </w:rPr>
              <w:t>Servicios</w:t>
            </w:r>
          </w:p>
        </w:tc>
        <w:tc>
          <w:tcPr>
            <w:tcW w:w="1701" w:type="dxa"/>
            <w:tcBorders>
              <w:top w:val="single" w:sz="4" w:space="0" w:color="auto"/>
              <w:left w:val="nil"/>
              <w:bottom w:val="single" w:sz="4" w:space="0" w:color="auto"/>
              <w:right w:val="single" w:sz="4" w:space="0" w:color="auto"/>
            </w:tcBorders>
            <w:shd w:val="clear" w:color="000000" w:fill="002060"/>
            <w:noWrap/>
            <w:vAlign w:val="bottom"/>
            <w:hideMark/>
          </w:tcPr>
          <w:p w14:paraId="1261A251" w14:textId="77777777" w:rsidR="007002F6" w:rsidRPr="007002F6" w:rsidRDefault="007002F6" w:rsidP="009A028D">
            <w:pPr>
              <w:keepNext/>
              <w:keepLines/>
              <w:spacing w:after="0"/>
              <w:jc w:val="center"/>
              <w:rPr>
                <w:rFonts w:eastAsia="Times New Roman" w:cs="Calibri"/>
                <w:b/>
                <w:bCs/>
                <w:color w:val="FFFFFF"/>
                <w:sz w:val="16"/>
                <w:szCs w:val="16"/>
                <w:lang w:eastAsia="es-MX"/>
              </w:rPr>
            </w:pPr>
            <w:r w:rsidRPr="007002F6">
              <w:rPr>
                <w:rFonts w:eastAsia="Times New Roman" w:cs="Calibri"/>
                <w:b/>
                <w:bCs/>
                <w:color w:val="FFFFFF"/>
                <w:sz w:val="16"/>
                <w:szCs w:val="16"/>
                <w:lang w:eastAsia="es-MX"/>
              </w:rPr>
              <w:t>Ingresos</w:t>
            </w:r>
          </w:p>
        </w:tc>
        <w:tc>
          <w:tcPr>
            <w:tcW w:w="1701" w:type="dxa"/>
            <w:tcBorders>
              <w:top w:val="single" w:sz="4" w:space="0" w:color="auto"/>
              <w:left w:val="nil"/>
              <w:bottom w:val="single" w:sz="4" w:space="0" w:color="auto"/>
              <w:right w:val="single" w:sz="4" w:space="0" w:color="auto"/>
            </w:tcBorders>
            <w:shd w:val="clear" w:color="000000" w:fill="002060"/>
            <w:noWrap/>
            <w:vAlign w:val="bottom"/>
            <w:hideMark/>
          </w:tcPr>
          <w:p w14:paraId="469CBB04" w14:textId="77777777" w:rsidR="007002F6" w:rsidRPr="007002F6" w:rsidRDefault="007002F6" w:rsidP="009A028D">
            <w:pPr>
              <w:keepNext/>
              <w:keepLines/>
              <w:spacing w:after="0"/>
              <w:jc w:val="center"/>
              <w:rPr>
                <w:rFonts w:eastAsia="Times New Roman" w:cs="Calibri"/>
                <w:b/>
                <w:bCs/>
                <w:color w:val="FFFFFF"/>
                <w:sz w:val="16"/>
                <w:szCs w:val="16"/>
                <w:lang w:eastAsia="es-MX"/>
              </w:rPr>
            </w:pPr>
            <w:r>
              <w:rPr>
                <w:rFonts w:eastAsia="Times New Roman" w:cs="Calibri"/>
                <w:b/>
                <w:bCs/>
                <w:color w:val="FFFFFF"/>
                <w:sz w:val="16"/>
                <w:szCs w:val="16"/>
                <w:lang w:eastAsia="es-MX"/>
              </w:rPr>
              <w:t>Porcentajes</w:t>
            </w:r>
            <w:r w:rsidR="00805813">
              <w:rPr>
                <w:rFonts w:eastAsia="Times New Roman" w:cs="Calibri"/>
                <w:b/>
                <w:bCs/>
                <w:color w:val="FFFFFF"/>
                <w:sz w:val="16"/>
                <w:szCs w:val="16"/>
                <w:vertAlign w:val="superscript"/>
                <w:lang w:eastAsia="es-MX"/>
              </w:rPr>
              <w:t>\e</w:t>
            </w:r>
          </w:p>
        </w:tc>
      </w:tr>
      <w:tr w:rsidR="001A5586" w:rsidRPr="007002F6" w14:paraId="6044A73B" w14:textId="77777777" w:rsidTr="00B10A8F">
        <w:trPr>
          <w:trHeight w:val="21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BF0D47D" w14:textId="77777777" w:rsidR="001A5586" w:rsidRPr="007002F6" w:rsidRDefault="001A5586" w:rsidP="001A5586">
            <w:pPr>
              <w:keepNext/>
              <w:keepLines/>
              <w:spacing w:after="0"/>
              <w:rPr>
                <w:rFonts w:eastAsia="Times New Roman" w:cs="Calibri"/>
                <w:b/>
                <w:bCs/>
                <w:color w:val="000000"/>
                <w:sz w:val="16"/>
                <w:szCs w:val="16"/>
                <w:lang w:eastAsia="es-MX"/>
              </w:rPr>
            </w:pPr>
            <w:r w:rsidRPr="007002F6">
              <w:rPr>
                <w:rFonts w:eastAsia="Times New Roman" w:cs="Calibri"/>
                <w:b/>
                <w:bCs/>
                <w:color w:val="000000"/>
                <w:sz w:val="16"/>
                <w:szCs w:val="16"/>
                <w:lang w:eastAsia="es-MX"/>
              </w:rPr>
              <w:t>CFCA Telecomm</w:t>
            </w:r>
            <w:r w:rsidRPr="007002F6">
              <w:rPr>
                <w:rFonts w:eastAsia="Times New Roman" w:cs="Calibri"/>
                <w:b/>
                <w:bCs/>
                <w:color w:val="000000"/>
                <w:sz w:val="16"/>
                <w:szCs w:val="16"/>
                <w:vertAlign w:val="superscript"/>
                <w:lang w:eastAsia="es-MX"/>
              </w:rPr>
              <w:t>\a</w:t>
            </w:r>
          </w:p>
        </w:tc>
        <w:tc>
          <w:tcPr>
            <w:tcW w:w="1701" w:type="dxa"/>
            <w:tcBorders>
              <w:top w:val="nil"/>
              <w:left w:val="nil"/>
              <w:bottom w:val="single" w:sz="4" w:space="0" w:color="auto"/>
              <w:right w:val="single" w:sz="4" w:space="0" w:color="auto"/>
            </w:tcBorders>
            <w:shd w:val="clear" w:color="auto" w:fill="auto"/>
            <w:noWrap/>
          </w:tcPr>
          <w:p w14:paraId="0114737D" w14:textId="4DD1C8CA"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01" w:type="dxa"/>
            <w:tcBorders>
              <w:top w:val="nil"/>
              <w:left w:val="nil"/>
              <w:bottom w:val="single" w:sz="4" w:space="0" w:color="auto"/>
              <w:right w:val="single" w:sz="4" w:space="0" w:color="auto"/>
            </w:tcBorders>
            <w:shd w:val="clear" w:color="auto" w:fill="auto"/>
            <w:noWrap/>
          </w:tcPr>
          <w:p w14:paraId="089F3F1B" w14:textId="299D69FF"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A5586" w:rsidRPr="007002F6" w14:paraId="53DE93D4" w14:textId="77777777" w:rsidTr="00B10A8F">
        <w:trPr>
          <w:trHeight w:val="21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4D05F28" w14:textId="77777777" w:rsidR="001A5586" w:rsidRPr="007002F6" w:rsidRDefault="001A5586" w:rsidP="001A5586">
            <w:pPr>
              <w:keepNext/>
              <w:keepLines/>
              <w:spacing w:after="0"/>
              <w:ind w:firstLineChars="100" w:firstLine="160"/>
              <w:rPr>
                <w:rFonts w:eastAsia="Times New Roman" w:cs="Calibri"/>
                <w:color w:val="000000"/>
                <w:sz w:val="16"/>
                <w:szCs w:val="16"/>
                <w:lang w:eastAsia="es-MX"/>
              </w:rPr>
            </w:pPr>
            <w:r w:rsidRPr="007002F6">
              <w:rPr>
                <w:rFonts w:eastAsia="Times New Roman" w:cs="Calibri"/>
                <w:color w:val="000000"/>
                <w:sz w:val="16"/>
                <w:szCs w:val="16"/>
                <w:lang w:eastAsia="es-MX"/>
              </w:rPr>
              <w:t>Arrendamiento de enlaces dedicados</w:t>
            </w:r>
          </w:p>
        </w:tc>
        <w:tc>
          <w:tcPr>
            <w:tcW w:w="1701" w:type="dxa"/>
            <w:tcBorders>
              <w:top w:val="nil"/>
              <w:left w:val="nil"/>
              <w:bottom w:val="single" w:sz="4" w:space="0" w:color="auto"/>
              <w:right w:val="single" w:sz="4" w:space="0" w:color="auto"/>
            </w:tcBorders>
            <w:shd w:val="clear" w:color="auto" w:fill="auto"/>
            <w:noWrap/>
            <w:hideMark/>
          </w:tcPr>
          <w:p w14:paraId="08DF6617" w14:textId="4B425AA7"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01" w:type="dxa"/>
            <w:tcBorders>
              <w:top w:val="nil"/>
              <w:left w:val="nil"/>
              <w:bottom w:val="single" w:sz="4" w:space="0" w:color="auto"/>
              <w:right w:val="single" w:sz="4" w:space="0" w:color="auto"/>
            </w:tcBorders>
            <w:shd w:val="clear" w:color="auto" w:fill="auto"/>
            <w:noWrap/>
            <w:hideMark/>
          </w:tcPr>
          <w:p w14:paraId="7D5C2AB0" w14:textId="08FF3E6F"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A5586" w:rsidRPr="007002F6" w14:paraId="70D27AAF" w14:textId="77777777" w:rsidTr="00B10A8F">
        <w:trPr>
          <w:trHeight w:val="21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CDA0974" w14:textId="77777777" w:rsidR="001A5586" w:rsidRPr="007002F6" w:rsidRDefault="001A5586" w:rsidP="001A5586">
            <w:pPr>
              <w:keepNext/>
              <w:keepLines/>
              <w:spacing w:after="0"/>
              <w:ind w:firstLineChars="100" w:firstLine="160"/>
              <w:rPr>
                <w:rFonts w:eastAsia="Times New Roman" w:cs="Calibri"/>
                <w:color w:val="000000"/>
                <w:sz w:val="16"/>
                <w:szCs w:val="16"/>
                <w:lang w:eastAsia="es-MX"/>
              </w:rPr>
            </w:pPr>
            <w:r w:rsidRPr="007002F6">
              <w:rPr>
                <w:rFonts w:eastAsia="Times New Roman" w:cs="Calibri"/>
                <w:color w:val="000000"/>
                <w:sz w:val="16"/>
                <w:szCs w:val="16"/>
                <w:lang w:eastAsia="es-MX"/>
              </w:rPr>
              <w:t>Acceso a internet dedicado</w:t>
            </w:r>
          </w:p>
        </w:tc>
        <w:tc>
          <w:tcPr>
            <w:tcW w:w="1701" w:type="dxa"/>
            <w:tcBorders>
              <w:top w:val="nil"/>
              <w:left w:val="nil"/>
              <w:bottom w:val="single" w:sz="4" w:space="0" w:color="auto"/>
              <w:right w:val="single" w:sz="4" w:space="0" w:color="auto"/>
            </w:tcBorders>
            <w:shd w:val="clear" w:color="auto" w:fill="auto"/>
            <w:noWrap/>
            <w:hideMark/>
          </w:tcPr>
          <w:p w14:paraId="73A96E05" w14:textId="488722E8"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01" w:type="dxa"/>
            <w:tcBorders>
              <w:top w:val="nil"/>
              <w:left w:val="nil"/>
              <w:bottom w:val="single" w:sz="4" w:space="0" w:color="auto"/>
              <w:right w:val="single" w:sz="4" w:space="0" w:color="auto"/>
            </w:tcBorders>
            <w:shd w:val="clear" w:color="auto" w:fill="auto"/>
            <w:noWrap/>
            <w:hideMark/>
          </w:tcPr>
          <w:p w14:paraId="45EEAF93" w14:textId="4B13268D"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A5586" w:rsidRPr="007002F6" w14:paraId="19B2810D" w14:textId="77777777" w:rsidTr="00B10A8F">
        <w:trPr>
          <w:trHeight w:val="22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5B97512" w14:textId="77777777" w:rsidR="001A5586" w:rsidRPr="007002F6" w:rsidRDefault="001A5586" w:rsidP="001A5586">
            <w:pPr>
              <w:keepNext/>
              <w:keepLines/>
              <w:spacing w:after="0"/>
              <w:ind w:left="113"/>
              <w:rPr>
                <w:rFonts w:eastAsia="Times New Roman" w:cs="Calibri"/>
                <w:color w:val="000000"/>
                <w:sz w:val="16"/>
                <w:szCs w:val="16"/>
                <w:lang w:eastAsia="es-MX"/>
              </w:rPr>
            </w:pPr>
            <w:r w:rsidRPr="007002F6">
              <w:rPr>
                <w:rFonts w:eastAsia="Times New Roman" w:cs="Calibri"/>
                <w:color w:val="000000"/>
                <w:sz w:val="16"/>
                <w:szCs w:val="16"/>
                <w:lang w:eastAsia="es-MX"/>
              </w:rPr>
              <w:t>Otros</w:t>
            </w:r>
            <w:r>
              <w:rPr>
                <w:rFonts w:eastAsia="Times New Roman" w:cs="Calibri"/>
                <w:color w:val="000000"/>
                <w:sz w:val="16"/>
                <w:szCs w:val="16"/>
                <w:lang w:eastAsia="es-MX"/>
              </w:rPr>
              <w:t xml:space="preserve"> servicios</w:t>
            </w:r>
            <w:r w:rsidRPr="007002F6">
              <w:rPr>
                <w:rFonts w:eastAsia="Times New Roman" w:cs="Calibri"/>
                <w:color w:val="000000"/>
                <w:sz w:val="16"/>
                <w:szCs w:val="16"/>
                <w:vertAlign w:val="superscript"/>
                <w:lang w:eastAsia="es-MX"/>
              </w:rPr>
              <w:t>\b</w:t>
            </w:r>
          </w:p>
        </w:tc>
        <w:tc>
          <w:tcPr>
            <w:tcW w:w="1701" w:type="dxa"/>
            <w:tcBorders>
              <w:top w:val="nil"/>
              <w:left w:val="nil"/>
              <w:bottom w:val="single" w:sz="4" w:space="0" w:color="auto"/>
              <w:right w:val="single" w:sz="4" w:space="0" w:color="auto"/>
            </w:tcBorders>
            <w:shd w:val="clear" w:color="auto" w:fill="auto"/>
            <w:noWrap/>
            <w:hideMark/>
          </w:tcPr>
          <w:p w14:paraId="46CD2A27" w14:textId="7EB288E5"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01" w:type="dxa"/>
            <w:tcBorders>
              <w:top w:val="nil"/>
              <w:left w:val="nil"/>
              <w:bottom w:val="single" w:sz="4" w:space="0" w:color="auto"/>
              <w:right w:val="single" w:sz="4" w:space="0" w:color="auto"/>
            </w:tcBorders>
            <w:shd w:val="clear" w:color="auto" w:fill="auto"/>
            <w:noWrap/>
            <w:hideMark/>
          </w:tcPr>
          <w:p w14:paraId="47D6E240" w14:textId="561D079D"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A5586" w:rsidRPr="007002F6" w14:paraId="0F4041E7" w14:textId="77777777" w:rsidTr="00B10A8F">
        <w:trPr>
          <w:trHeight w:val="210"/>
          <w:jc w:val="center"/>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700D945B" w14:textId="77777777" w:rsidR="001A5586" w:rsidRPr="007002F6" w:rsidRDefault="001A5586" w:rsidP="001A5586">
            <w:pPr>
              <w:keepNext/>
              <w:keepLines/>
              <w:spacing w:after="0"/>
              <w:ind w:left="113"/>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1701" w:type="dxa"/>
            <w:tcBorders>
              <w:top w:val="nil"/>
              <w:left w:val="nil"/>
              <w:bottom w:val="single" w:sz="4" w:space="0" w:color="auto"/>
              <w:right w:val="single" w:sz="4" w:space="0" w:color="auto"/>
            </w:tcBorders>
            <w:shd w:val="clear" w:color="auto" w:fill="auto"/>
            <w:noWrap/>
          </w:tcPr>
          <w:p w14:paraId="54014F95" w14:textId="5D39B04A"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01" w:type="dxa"/>
            <w:tcBorders>
              <w:top w:val="nil"/>
              <w:left w:val="nil"/>
              <w:bottom w:val="single" w:sz="4" w:space="0" w:color="auto"/>
              <w:right w:val="single" w:sz="4" w:space="0" w:color="auto"/>
            </w:tcBorders>
            <w:shd w:val="clear" w:color="auto" w:fill="auto"/>
            <w:noWrap/>
          </w:tcPr>
          <w:p w14:paraId="5156EFF4" w14:textId="71AC8BFC"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A5586" w:rsidRPr="007002F6" w14:paraId="68749FF6" w14:textId="77777777" w:rsidTr="00B10A8F">
        <w:trPr>
          <w:trHeight w:val="21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F2D01BA" w14:textId="77777777" w:rsidR="001A5586" w:rsidRPr="007002F6" w:rsidRDefault="001A5586" w:rsidP="001A5586">
            <w:pPr>
              <w:keepNext/>
              <w:keepLines/>
              <w:spacing w:after="0"/>
              <w:rPr>
                <w:rFonts w:eastAsia="Times New Roman" w:cs="Calibri"/>
                <w:b/>
                <w:bCs/>
                <w:color w:val="000000"/>
                <w:sz w:val="16"/>
                <w:szCs w:val="16"/>
                <w:lang w:eastAsia="es-MX"/>
              </w:rPr>
            </w:pPr>
            <w:r w:rsidRPr="007002F6">
              <w:rPr>
                <w:rFonts w:eastAsia="Times New Roman" w:cs="Calibri"/>
                <w:b/>
                <w:bCs/>
                <w:color w:val="000000"/>
                <w:sz w:val="16"/>
                <w:szCs w:val="16"/>
                <w:lang w:eastAsia="es-MX"/>
              </w:rPr>
              <w:t>American Tower Corporation</w:t>
            </w:r>
            <w:r w:rsidRPr="00805813">
              <w:rPr>
                <w:rFonts w:eastAsia="Times New Roman" w:cs="Calibri"/>
                <w:b/>
                <w:bCs/>
                <w:color w:val="000000"/>
                <w:sz w:val="16"/>
                <w:szCs w:val="16"/>
                <w:vertAlign w:val="superscript"/>
                <w:lang w:eastAsia="es-MX"/>
              </w:rPr>
              <w:t>\c</w:t>
            </w:r>
          </w:p>
        </w:tc>
        <w:tc>
          <w:tcPr>
            <w:tcW w:w="1701" w:type="dxa"/>
            <w:tcBorders>
              <w:top w:val="nil"/>
              <w:left w:val="nil"/>
              <w:bottom w:val="single" w:sz="4" w:space="0" w:color="auto"/>
              <w:right w:val="single" w:sz="4" w:space="0" w:color="auto"/>
            </w:tcBorders>
            <w:shd w:val="clear" w:color="auto" w:fill="auto"/>
            <w:noWrap/>
          </w:tcPr>
          <w:p w14:paraId="6CA808FF" w14:textId="219C167C"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01" w:type="dxa"/>
            <w:tcBorders>
              <w:top w:val="nil"/>
              <w:left w:val="nil"/>
              <w:bottom w:val="single" w:sz="4" w:space="0" w:color="auto"/>
              <w:right w:val="single" w:sz="4" w:space="0" w:color="auto"/>
            </w:tcBorders>
            <w:shd w:val="clear" w:color="auto" w:fill="auto"/>
            <w:noWrap/>
          </w:tcPr>
          <w:p w14:paraId="056E02F8" w14:textId="423BF220"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A5586" w:rsidRPr="007002F6" w14:paraId="221E0439" w14:textId="77777777" w:rsidTr="00B10A8F">
        <w:trPr>
          <w:trHeight w:val="21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D297F3A" w14:textId="77777777" w:rsidR="001A5586" w:rsidRPr="007002F6" w:rsidRDefault="001A5586" w:rsidP="001A5586">
            <w:pPr>
              <w:keepNext/>
              <w:keepLines/>
              <w:spacing w:after="0"/>
              <w:ind w:firstLineChars="100" w:firstLine="160"/>
              <w:rPr>
                <w:rFonts w:eastAsia="Times New Roman" w:cs="Calibri"/>
                <w:color w:val="000000"/>
                <w:sz w:val="16"/>
                <w:szCs w:val="16"/>
                <w:lang w:eastAsia="es-MX"/>
              </w:rPr>
            </w:pPr>
            <w:r>
              <w:rPr>
                <w:rFonts w:eastAsia="Times New Roman" w:cs="Calibri"/>
                <w:color w:val="000000"/>
                <w:sz w:val="16"/>
                <w:szCs w:val="16"/>
                <w:lang w:eastAsia="es-MX"/>
              </w:rPr>
              <w:t>A</w:t>
            </w:r>
            <w:r w:rsidRPr="007002F6">
              <w:rPr>
                <w:rFonts w:eastAsia="Times New Roman" w:cs="Calibri"/>
                <w:color w:val="000000"/>
                <w:sz w:val="16"/>
                <w:szCs w:val="16"/>
                <w:lang w:eastAsia="es-MX"/>
              </w:rPr>
              <w:t>rrendamiento de sitios</w:t>
            </w:r>
          </w:p>
        </w:tc>
        <w:tc>
          <w:tcPr>
            <w:tcW w:w="1701" w:type="dxa"/>
            <w:tcBorders>
              <w:top w:val="nil"/>
              <w:left w:val="nil"/>
              <w:bottom w:val="single" w:sz="4" w:space="0" w:color="auto"/>
              <w:right w:val="single" w:sz="4" w:space="0" w:color="auto"/>
            </w:tcBorders>
            <w:shd w:val="clear" w:color="auto" w:fill="auto"/>
            <w:noWrap/>
            <w:hideMark/>
          </w:tcPr>
          <w:p w14:paraId="1C02AC43" w14:textId="5755B73B"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01" w:type="dxa"/>
            <w:tcBorders>
              <w:top w:val="nil"/>
              <w:left w:val="nil"/>
              <w:bottom w:val="single" w:sz="4" w:space="0" w:color="auto"/>
              <w:right w:val="single" w:sz="4" w:space="0" w:color="auto"/>
            </w:tcBorders>
            <w:shd w:val="clear" w:color="auto" w:fill="auto"/>
            <w:noWrap/>
            <w:hideMark/>
          </w:tcPr>
          <w:p w14:paraId="2D97582A" w14:textId="3F4C6EE4"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A5586" w:rsidRPr="007002F6" w14:paraId="07AAB07A" w14:textId="77777777" w:rsidTr="00B10A8F">
        <w:trPr>
          <w:trHeight w:val="21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C4B0" w14:textId="77777777" w:rsidR="001A5586" w:rsidRPr="007002F6" w:rsidRDefault="001A5586" w:rsidP="001A5586">
            <w:pPr>
              <w:keepNext/>
              <w:keepLines/>
              <w:spacing w:after="0"/>
              <w:ind w:firstLineChars="100" w:firstLine="160"/>
              <w:rPr>
                <w:rFonts w:eastAsia="Times New Roman" w:cs="Calibri"/>
                <w:color w:val="000000"/>
                <w:sz w:val="16"/>
                <w:szCs w:val="16"/>
                <w:lang w:eastAsia="es-MX"/>
              </w:rPr>
            </w:pPr>
            <w:r w:rsidRPr="007002F6">
              <w:rPr>
                <w:rFonts w:eastAsia="Times New Roman" w:cs="Calibri"/>
                <w:color w:val="000000"/>
                <w:sz w:val="16"/>
                <w:szCs w:val="16"/>
                <w:lang w:eastAsia="es-MX"/>
              </w:rPr>
              <w:t>DAS</w:t>
            </w:r>
            <w:r>
              <w:rPr>
                <w:rFonts w:eastAsia="Times New Roman" w:cs="Calibri"/>
                <w:color w:val="000000"/>
                <w:sz w:val="16"/>
                <w:szCs w:val="16"/>
                <w:vertAlign w:val="superscript"/>
                <w:lang w:eastAsia="es-MX"/>
              </w:rPr>
              <w:t>\d</w:t>
            </w:r>
          </w:p>
        </w:tc>
        <w:tc>
          <w:tcPr>
            <w:tcW w:w="1701" w:type="dxa"/>
            <w:tcBorders>
              <w:top w:val="nil"/>
              <w:left w:val="nil"/>
              <w:bottom w:val="single" w:sz="4" w:space="0" w:color="auto"/>
              <w:right w:val="single" w:sz="4" w:space="0" w:color="auto"/>
            </w:tcBorders>
            <w:shd w:val="clear" w:color="auto" w:fill="auto"/>
            <w:noWrap/>
            <w:hideMark/>
          </w:tcPr>
          <w:p w14:paraId="0A4A86CE" w14:textId="1000FF45"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01" w:type="dxa"/>
            <w:tcBorders>
              <w:top w:val="nil"/>
              <w:left w:val="nil"/>
              <w:bottom w:val="single" w:sz="4" w:space="0" w:color="auto"/>
              <w:right w:val="single" w:sz="4" w:space="0" w:color="auto"/>
            </w:tcBorders>
            <w:shd w:val="clear" w:color="auto" w:fill="auto"/>
            <w:noWrap/>
            <w:hideMark/>
          </w:tcPr>
          <w:p w14:paraId="682251D8" w14:textId="4ABDE5CA"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r>
      <w:tr w:rsidR="001A5586" w:rsidRPr="007002F6" w14:paraId="2025672D" w14:textId="77777777" w:rsidTr="00B10A8F">
        <w:trPr>
          <w:trHeight w:val="21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0E61A" w14:textId="77777777" w:rsidR="001A5586" w:rsidRPr="007002F6" w:rsidRDefault="001A5586" w:rsidP="001A5586">
            <w:pPr>
              <w:keepNext/>
              <w:keepLines/>
              <w:spacing w:after="0"/>
              <w:ind w:firstLineChars="100" w:firstLine="160"/>
              <w:rPr>
                <w:rFonts w:eastAsia="Times New Roman" w:cs="Calibri"/>
                <w:color w:val="000000"/>
                <w:sz w:val="16"/>
                <w:szCs w:val="16"/>
                <w:lang w:eastAsia="es-MX"/>
              </w:rPr>
            </w:pPr>
            <w:r>
              <w:rPr>
                <w:rFonts w:eastAsia="Times New Roman" w:cs="Calibri"/>
                <w:b/>
                <w:bCs/>
                <w:color w:val="000000"/>
                <w:sz w:val="16"/>
                <w:szCs w:val="16"/>
                <w:lang w:eastAsia="es-MX"/>
              </w:rPr>
              <w:t>Total</w:t>
            </w:r>
          </w:p>
        </w:tc>
        <w:tc>
          <w:tcPr>
            <w:tcW w:w="1701" w:type="dxa"/>
            <w:tcBorders>
              <w:top w:val="nil"/>
              <w:left w:val="nil"/>
              <w:bottom w:val="single" w:sz="4" w:space="0" w:color="auto"/>
              <w:right w:val="single" w:sz="4" w:space="0" w:color="auto"/>
            </w:tcBorders>
            <w:shd w:val="clear" w:color="auto" w:fill="auto"/>
            <w:noWrap/>
          </w:tcPr>
          <w:p w14:paraId="66C84C9C" w14:textId="0EC65457" w:rsidR="001A5586" w:rsidRPr="002C5795" w:rsidRDefault="001A5586" w:rsidP="001A5586">
            <w:pPr>
              <w:spacing w:after="0"/>
              <w:rPr>
                <w:b/>
                <w:sz w:val="12"/>
                <w:szCs w:val="12"/>
              </w:rPr>
            </w:pPr>
            <w:r w:rsidRPr="00190FE0">
              <w:rPr>
                <w:b/>
                <w:bCs/>
                <w:color w:val="0000CC"/>
                <w:sz w:val="12"/>
                <w:szCs w:val="12"/>
              </w:rPr>
              <w:t>“CONFIDENCIAL POR LEY”</w:t>
            </w:r>
            <w:r w:rsidRPr="00190FE0" w:rsidDel="00A24CA5">
              <w:rPr>
                <w:b/>
                <w:bCs/>
                <w:color w:val="0000CC"/>
                <w:sz w:val="12"/>
                <w:szCs w:val="12"/>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2FDC5B" w14:textId="77777777" w:rsidR="001A5586" w:rsidRPr="007002F6" w:rsidRDefault="001A5586" w:rsidP="001A5586">
            <w:pPr>
              <w:keepNext/>
              <w:keepLines/>
              <w:spacing w:after="0"/>
              <w:jc w:val="center"/>
              <w:rPr>
                <w:rFonts w:eastAsia="Times New Roman" w:cs="Calibri"/>
                <w:b/>
                <w:bCs/>
                <w:color w:val="000000"/>
                <w:sz w:val="16"/>
                <w:szCs w:val="16"/>
                <w:lang w:eastAsia="es-MX"/>
              </w:rPr>
            </w:pPr>
            <w:r w:rsidRPr="007002F6">
              <w:rPr>
                <w:rFonts w:eastAsia="Times New Roman" w:cs="Calibri"/>
                <w:b/>
                <w:bCs/>
                <w:color w:val="000000"/>
                <w:sz w:val="16"/>
                <w:szCs w:val="16"/>
                <w:lang w:eastAsia="es-MX"/>
              </w:rPr>
              <w:t>100.0%</w:t>
            </w:r>
          </w:p>
        </w:tc>
      </w:tr>
    </w:tbl>
    <w:p w14:paraId="55F3F433" w14:textId="77777777" w:rsidR="000C44C7" w:rsidRPr="00673243" w:rsidRDefault="000C44C7" w:rsidP="009A028D">
      <w:pPr>
        <w:pStyle w:val="Prrafodelista"/>
        <w:keepNext/>
        <w:keepLines/>
        <w:spacing w:after="0" w:line="240" w:lineRule="auto"/>
        <w:ind w:left="0"/>
        <w:contextualSpacing w:val="0"/>
        <w:rPr>
          <w:sz w:val="16"/>
          <w:szCs w:val="16"/>
        </w:rPr>
      </w:pPr>
      <w:r w:rsidRPr="00673243">
        <w:rPr>
          <w:sz w:val="16"/>
          <w:szCs w:val="16"/>
        </w:rPr>
        <w:t>Notas:</w:t>
      </w:r>
    </w:p>
    <w:p w14:paraId="0AEC33FA" w14:textId="77777777" w:rsidR="000C44C7" w:rsidRPr="00673243" w:rsidRDefault="000C44C7" w:rsidP="009A028D">
      <w:pPr>
        <w:pStyle w:val="Prrafodelista"/>
        <w:keepNext/>
        <w:keepLines/>
        <w:spacing w:after="0" w:line="240" w:lineRule="auto"/>
        <w:ind w:left="0"/>
        <w:contextualSpacing w:val="0"/>
        <w:jc w:val="both"/>
        <w:rPr>
          <w:sz w:val="16"/>
          <w:szCs w:val="16"/>
        </w:rPr>
      </w:pPr>
      <w:r w:rsidRPr="00CD29E3">
        <w:rPr>
          <w:sz w:val="16"/>
          <w:szCs w:val="16"/>
          <w:vertAlign w:val="superscript"/>
        </w:rPr>
        <w:t>\a</w:t>
      </w:r>
      <w:r w:rsidRPr="00673243">
        <w:rPr>
          <w:sz w:val="16"/>
          <w:szCs w:val="16"/>
        </w:rPr>
        <w:t xml:space="preserve"> Incluye los ingresos de Metro Net de enero a octubre de dos mil diecisiete y de noviembre a diciembre de dos mil diecisiete de CFCA Telecomm.</w:t>
      </w:r>
    </w:p>
    <w:p w14:paraId="2292C36E" w14:textId="66E4B4B5" w:rsidR="000C44C7" w:rsidRPr="00673243" w:rsidRDefault="000C44C7" w:rsidP="009A028D">
      <w:pPr>
        <w:pStyle w:val="Prrafodelista"/>
        <w:keepNext/>
        <w:keepLines/>
        <w:spacing w:after="0" w:line="240" w:lineRule="auto"/>
        <w:ind w:left="0"/>
        <w:contextualSpacing w:val="0"/>
        <w:jc w:val="both"/>
        <w:rPr>
          <w:sz w:val="16"/>
          <w:szCs w:val="16"/>
        </w:rPr>
      </w:pPr>
      <w:r w:rsidRPr="00CD29E3">
        <w:rPr>
          <w:sz w:val="16"/>
          <w:szCs w:val="16"/>
          <w:vertAlign w:val="superscript"/>
        </w:rPr>
        <w:t>\b</w:t>
      </w:r>
      <w:r w:rsidRPr="00673243">
        <w:rPr>
          <w:sz w:val="16"/>
          <w:szCs w:val="16"/>
        </w:rPr>
        <w:t xml:space="preserve"> Otros</w:t>
      </w:r>
      <w:r w:rsidR="003C7793">
        <w:rPr>
          <w:sz w:val="16"/>
          <w:szCs w:val="16"/>
        </w:rPr>
        <w:t xml:space="preserve"> servicios</w:t>
      </w:r>
      <w:r w:rsidRPr="00673243">
        <w:rPr>
          <w:sz w:val="16"/>
          <w:szCs w:val="16"/>
        </w:rPr>
        <w:t xml:space="preserve"> se refiere a los servicios denominados </w:t>
      </w:r>
      <w:r w:rsidR="008720D8" w:rsidRPr="008720D8">
        <w:rPr>
          <w:b/>
          <w:bCs/>
          <w:color w:val="0000CC"/>
          <w:sz w:val="16"/>
          <w:szCs w:val="16"/>
        </w:rPr>
        <w:t>“CONFIDENCIAL POR LEY”</w:t>
      </w:r>
      <w:r w:rsidR="00801A02">
        <w:rPr>
          <w:sz w:val="16"/>
        </w:rPr>
        <w:t>.</w:t>
      </w:r>
    </w:p>
    <w:p w14:paraId="736022FB" w14:textId="581CAA7B" w:rsidR="00805813" w:rsidRDefault="00805813" w:rsidP="009A028D">
      <w:pPr>
        <w:pStyle w:val="Prrafodelista"/>
        <w:keepNext/>
        <w:keepLines/>
        <w:spacing w:after="0" w:line="240" w:lineRule="auto"/>
        <w:ind w:left="0"/>
        <w:contextualSpacing w:val="0"/>
        <w:rPr>
          <w:sz w:val="16"/>
          <w:szCs w:val="16"/>
        </w:rPr>
      </w:pPr>
      <w:r w:rsidRPr="00CD29E3">
        <w:rPr>
          <w:sz w:val="16"/>
          <w:szCs w:val="16"/>
          <w:vertAlign w:val="superscript"/>
        </w:rPr>
        <w:t>\c</w:t>
      </w:r>
      <w:r>
        <w:rPr>
          <w:sz w:val="16"/>
          <w:szCs w:val="16"/>
        </w:rPr>
        <w:t xml:space="preserve"> Incluye los ingresos de </w:t>
      </w:r>
      <w:r w:rsidR="008720D8" w:rsidRPr="008720D8">
        <w:rPr>
          <w:b/>
          <w:bCs/>
          <w:color w:val="0000CC"/>
          <w:sz w:val="16"/>
          <w:szCs w:val="16"/>
        </w:rPr>
        <w:t>“CONFIDENCIAL POR LEY”</w:t>
      </w:r>
      <w:r w:rsidR="00801A02">
        <w:rPr>
          <w:sz w:val="16"/>
        </w:rPr>
        <w:t>.</w:t>
      </w:r>
    </w:p>
    <w:p w14:paraId="4A2AF716" w14:textId="77777777" w:rsidR="000C44C7" w:rsidRPr="00673243" w:rsidRDefault="000C44C7" w:rsidP="009A028D">
      <w:pPr>
        <w:pStyle w:val="Prrafodelista"/>
        <w:keepNext/>
        <w:keepLines/>
        <w:spacing w:after="0" w:line="240" w:lineRule="auto"/>
        <w:ind w:left="0"/>
        <w:contextualSpacing w:val="0"/>
        <w:jc w:val="both"/>
        <w:rPr>
          <w:sz w:val="16"/>
          <w:szCs w:val="16"/>
        </w:rPr>
      </w:pPr>
      <w:r w:rsidRPr="00CD29E3">
        <w:rPr>
          <w:sz w:val="16"/>
          <w:szCs w:val="16"/>
          <w:vertAlign w:val="superscript"/>
        </w:rPr>
        <w:t>\</w:t>
      </w:r>
      <w:r w:rsidR="00805813" w:rsidRPr="00CD29E3">
        <w:rPr>
          <w:sz w:val="16"/>
          <w:szCs w:val="16"/>
          <w:vertAlign w:val="superscript"/>
        </w:rPr>
        <w:t>d</w:t>
      </w:r>
      <w:r w:rsidRPr="00673243">
        <w:rPr>
          <w:sz w:val="16"/>
          <w:szCs w:val="16"/>
        </w:rPr>
        <w:t xml:space="preserve"> </w:t>
      </w:r>
      <w:r w:rsidRPr="00673243">
        <w:rPr>
          <w:sz w:val="16"/>
        </w:rPr>
        <w:t xml:space="preserve">El servicio denominado DAS es </w:t>
      </w:r>
      <w:r w:rsidR="008720D8" w:rsidRPr="008720D8">
        <w:rPr>
          <w:b/>
          <w:bCs/>
          <w:color w:val="0000CC"/>
          <w:sz w:val="16"/>
          <w:szCs w:val="16"/>
        </w:rPr>
        <w:t>“CONFIDENCIAL POR LEY”</w:t>
      </w:r>
      <w:r w:rsidRPr="00673243">
        <w:rPr>
          <w:sz w:val="16"/>
        </w:rPr>
        <w:t>. Foja</w:t>
      </w:r>
      <w:r w:rsidR="006F06A1">
        <w:rPr>
          <w:sz w:val="16"/>
        </w:rPr>
        <w:t>s</w:t>
      </w:r>
      <w:r w:rsidRPr="00673243">
        <w:rPr>
          <w:sz w:val="16"/>
        </w:rPr>
        <w:t xml:space="preserve"> </w:t>
      </w:r>
      <w:r w:rsidR="00444600" w:rsidRPr="00D33B23">
        <w:rPr>
          <w:sz w:val="16"/>
        </w:rPr>
        <w:t>4222 a 4228</w:t>
      </w:r>
      <w:r w:rsidR="00444600">
        <w:rPr>
          <w:sz w:val="16"/>
        </w:rPr>
        <w:t xml:space="preserve"> del Expediente.</w:t>
      </w:r>
    </w:p>
    <w:p w14:paraId="6D55E33A" w14:textId="77777777" w:rsidR="000C44C7" w:rsidRPr="00673243" w:rsidRDefault="000C44C7" w:rsidP="009A028D">
      <w:pPr>
        <w:pStyle w:val="Prrafodelista"/>
        <w:keepNext/>
        <w:keepLines/>
        <w:spacing w:after="0" w:line="240" w:lineRule="auto"/>
        <w:ind w:left="0"/>
        <w:contextualSpacing w:val="0"/>
        <w:jc w:val="both"/>
        <w:rPr>
          <w:sz w:val="16"/>
          <w:szCs w:val="16"/>
        </w:rPr>
      </w:pPr>
      <w:r w:rsidRPr="00CD29E3">
        <w:rPr>
          <w:sz w:val="16"/>
          <w:szCs w:val="16"/>
          <w:vertAlign w:val="superscript"/>
        </w:rPr>
        <w:t>\</w:t>
      </w:r>
      <w:r w:rsidR="00805813" w:rsidRPr="00CD29E3">
        <w:rPr>
          <w:sz w:val="16"/>
          <w:szCs w:val="16"/>
          <w:vertAlign w:val="superscript"/>
        </w:rPr>
        <w:t>e</w:t>
      </w:r>
      <w:r w:rsidRPr="00673243">
        <w:rPr>
          <w:sz w:val="16"/>
          <w:szCs w:val="16"/>
        </w:rPr>
        <w:t xml:space="preserve"> Los porcentajes y las cifras podrían no sumar exacto debido a su redondeo.</w:t>
      </w:r>
    </w:p>
    <w:p w14:paraId="12FB18EA" w14:textId="77777777" w:rsidR="00891A75" w:rsidRDefault="000C44C7" w:rsidP="009A028D">
      <w:pPr>
        <w:pStyle w:val="Prrafodelista"/>
        <w:keepNext/>
        <w:keepLines/>
        <w:spacing w:after="0" w:line="240" w:lineRule="auto"/>
        <w:ind w:left="0"/>
        <w:contextualSpacing w:val="0"/>
        <w:jc w:val="both"/>
        <w:rPr>
          <w:b/>
          <w:sz w:val="18"/>
        </w:rPr>
      </w:pPr>
      <w:r w:rsidRPr="00673243">
        <w:rPr>
          <w:sz w:val="16"/>
          <w:szCs w:val="16"/>
        </w:rPr>
        <w:t xml:space="preserve">Fuente: Elaboración propia con información de </w:t>
      </w:r>
      <w:r w:rsidR="00193C77">
        <w:rPr>
          <w:sz w:val="16"/>
          <w:szCs w:val="16"/>
        </w:rPr>
        <w:t xml:space="preserve">ingresos </w:t>
      </w:r>
      <w:r w:rsidR="000930A6">
        <w:rPr>
          <w:sz w:val="16"/>
          <w:szCs w:val="16"/>
        </w:rPr>
        <w:t>proporci</w:t>
      </w:r>
      <w:r w:rsidR="00193C77">
        <w:rPr>
          <w:sz w:val="16"/>
          <w:szCs w:val="16"/>
        </w:rPr>
        <w:t>onada por CFCA Telecomm, Telco,</w:t>
      </w:r>
      <w:r w:rsidR="000930A6">
        <w:rPr>
          <w:sz w:val="16"/>
          <w:szCs w:val="16"/>
        </w:rPr>
        <w:t xml:space="preserve"> American Towe</w:t>
      </w:r>
      <w:r w:rsidR="00EA52FC">
        <w:rPr>
          <w:sz w:val="16"/>
          <w:szCs w:val="16"/>
        </w:rPr>
        <w:t>r</w:t>
      </w:r>
      <w:r w:rsidR="000930A6">
        <w:rPr>
          <w:sz w:val="16"/>
          <w:szCs w:val="16"/>
        </w:rPr>
        <w:t xml:space="preserve"> Corporation de México, S. </w:t>
      </w:r>
      <w:r w:rsidR="00193C77">
        <w:rPr>
          <w:sz w:val="16"/>
          <w:szCs w:val="16"/>
        </w:rPr>
        <w:t>de R.L. de C.V</w:t>
      </w:r>
      <w:r w:rsidR="000930A6">
        <w:rPr>
          <w:sz w:val="16"/>
          <w:szCs w:val="16"/>
        </w:rPr>
        <w:t>.</w:t>
      </w:r>
      <w:r w:rsidR="00193C77">
        <w:rPr>
          <w:sz w:val="16"/>
          <w:szCs w:val="16"/>
        </w:rPr>
        <w:t xml:space="preserve"> y Metro Net.</w:t>
      </w:r>
      <w:r w:rsidR="000930A6">
        <w:rPr>
          <w:sz w:val="16"/>
          <w:szCs w:val="16"/>
        </w:rPr>
        <w:t xml:space="preserve"> F</w:t>
      </w:r>
      <w:r w:rsidRPr="00673243">
        <w:rPr>
          <w:sz w:val="16"/>
          <w:szCs w:val="16"/>
        </w:rPr>
        <w:t xml:space="preserve">ojas </w:t>
      </w:r>
      <w:r w:rsidR="00444600">
        <w:rPr>
          <w:sz w:val="16"/>
          <w:szCs w:val="16"/>
        </w:rPr>
        <w:t>5157, 5158, 6073, 6917, 6562, 6563, 7052 y 7073</w:t>
      </w:r>
      <w:r w:rsidRPr="00673243">
        <w:rPr>
          <w:sz w:val="16"/>
          <w:szCs w:val="16"/>
        </w:rPr>
        <w:t xml:space="preserve"> del Expediente.</w:t>
      </w:r>
    </w:p>
    <w:p w14:paraId="45F791C3" w14:textId="77777777" w:rsidR="006804D1" w:rsidRPr="00673243" w:rsidRDefault="006804D1" w:rsidP="009B0A36">
      <w:pPr>
        <w:pStyle w:val="Prrafodelista"/>
        <w:numPr>
          <w:ilvl w:val="0"/>
          <w:numId w:val="13"/>
        </w:numPr>
        <w:spacing w:before="120" w:after="120" w:line="240" w:lineRule="auto"/>
        <w:contextualSpacing w:val="0"/>
        <w:jc w:val="both"/>
      </w:pPr>
      <w:r w:rsidRPr="003827A9">
        <w:t xml:space="preserve">De la Tabla </w:t>
      </w:r>
      <w:r w:rsidR="00491CCF" w:rsidRPr="003827A9">
        <w:t>5</w:t>
      </w:r>
      <w:r w:rsidRPr="003827A9">
        <w:t xml:space="preserve"> se desprende</w:t>
      </w:r>
      <w:r w:rsidRPr="00673243">
        <w:t xml:space="preserve"> que la principal actividad de CFCA Telecomm es </w:t>
      </w:r>
      <w:r>
        <w:t>el</w:t>
      </w:r>
      <w:r w:rsidRPr="00673243">
        <w:t xml:space="preserve"> arrendamiento de enlaces dedicados, mientras que </w:t>
      </w:r>
      <w:r>
        <w:t>la</w:t>
      </w:r>
      <w:r w:rsidRPr="00673243">
        <w:t xml:space="preserve"> de </w:t>
      </w:r>
      <w:r>
        <w:t>American Tower Corporation</w:t>
      </w:r>
      <w:r w:rsidRPr="00673243">
        <w:t xml:space="preserve"> es el arrendamiento de sitios.</w:t>
      </w:r>
      <w:r>
        <w:t xml:space="preserve"> Además, de la información proporcionada por las partes, se determinó que los principales clientes de ambas empresas son </w:t>
      </w:r>
      <w:r w:rsidR="00A55906" w:rsidRPr="00FD5E2A">
        <w:rPr>
          <w:b/>
          <w:bCs/>
          <w:color w:val="0000CC"/>
        </w:rPr>
        <w:t>“CONFIDENCIAL POR LEY”</w:t>
      </w:r>
      <w:r>
        <w:t>.</w:t>
      </w:r>
      <w:r>
        <w:rPr>
          <w:rStyle w:val="Refdenotaalpie"/>
        </w:rPr>
        <w:footnoteReference w:id="100"/>
      </w:r>
    </w:p>
    <w:p w14:paraId="459FCDFD" w14:textId="77777777" w:rsidR="00DE5EB3" w:rsidRPr="00DE5EB3" w:rsidRDefault="00DE5EB3" w:rsidP="009B0A36">
      <w:pPr>
        <w:pStyle w:val="Prrafodelista"/>
        <w:numPr>
          <w:ilvl w:val="0"/>
          <w:numId w:val="13"/>
        </w:numPr>
        <w:spacing w:before="120" w:after="120" w:line="240" w:lineRule="auto"/>
        <w:contextualSpacing w:val="0"/>
        <w:jc w:val="both"/>
      </w:pPr>
      <w:r>
        <w:t xml:space="preserve">Posterior a la </w:t>
      </w:r>
      <w:r w:rsidRPr="00DE5EB3">
        <w:t xml:space="preserve">Operación, CFCA Telecomm transfirió su cartera de clientes a </w:t>
      </w:r>
      <w:r w:rsidR="00715A57" w:rsidRPr="00715A57">
        <w:rPr>
          <w:b/>
          <w:bCs/>
          <w:color w:val="0000CC"/>
        </w:rPr>
        <w:t>“CONFIDENCIAL POR LEY”</w:t>
      </w:r>
      <w:r w:rsidRPr="00DE5EB3">
        <w:t xml:space="preserve">, la cual actualmente ofrece los servicios de telecomunicaciones antes referidos, </w:t>
      </w:r>
      <w:r w:rsidR="00715A57" w:rsidRPr="00715A57">
        <w:rPr>
          <w:b/>
          <w:bCs/>
          <w:color w:val="0000CC"/>
        </w:rPr>
        <w:t>“CONFIDENCIAL POR LEY”</w:t>
      </w:r>
      <w:r w:rsidRPr="00DE5EB3">
        <w:t>.</w:t>
      </w:r>
      <w:r w:rsidRPr="00DE5EB3">
        <w:rPr>
          <w:rStyle w:val="Refdenotaalpie"/>
        </w:rPr>
        <w:footnoteReference w:id="101"/>
      </w:r>
    </w:p>
    <w:p w14:paraId="1EAE4F2F" w14:textId="77777777" w:rsidR="00DE5EB3" w:rsidRPr="006804D1" w:rsidRDefault="00DE5EB3" w:rsidP="009B0A36">
      <w:pPr>
        <w:pStyle w:val="Prrafodelista"/>
        <w:numPr>
          <w:ilvl w:val="0"/>
          <w:numId w:val="13"/>
        </w:numPr>
        <w:spacing w:before="120" w:after="120" w:line="240" w:lineRule="auto"/>
        <w:contextualSpacing w:val="0"/>
        <w:jc w:val="both"/>
      </w:pPr>
      <w:r w:rsidRPr="00DE5EB3">
        <w:t xml:space="preserve">En virtud de lo antes mencionado, </w:t>
      </w:r>
      <w:r w:rsidRPr="006804D1">
        <w:t>CFCA Telecomm, en la</w:t>
      </w:r>
      <w:r w:rsidRPr="00DE5EB3">
        <w:t xml:space="preserve"> actualidad, </w:t>
      </w:r>
      <w:r w:rsidR="00715A57" w:rsidRPr="00715A57">
        <w:rPr>
          <w:b/>
          <w:bCs/>
          <w:color w:val="0000CC"/>
        </w:rPr>
        <w:t>“CONFIDENCIAL POR LEY”</w:t>
      </w:r>
      <w:r w:rsidRPr="00DE5EB3">
        <w:t>.</w:t>
      </w:r>
      <w:r w:rsidRPr="00DE5EB3">
        <w:rPr>
          <w:rStyle w:val="Refdenotaalpie"/>
        </w:rPr>
        <w:footnoteReference w:id="102"/>
      </w:r>
      <w:r w:rsidRPr="00DE5EB3">
        <w:t xml:space="preserve"> Por su </w:t>
      </w:r>
      <w:r w:rsidRPr="006804D1">
        <w:t>parte, Telco manifestó que no ofrece servicios de telecomunicaciones y radiodifusión.</w:t>
      </w:r>
      <w:r w:rsidR="003A19B7">
        <w:rPr>
          <w:rStyle w:val="Refdenotaalpie"/>
        </w:rPr>
        <w:footnoteReference w:id="103"/>
      </w:r>
    </w:p>
    <w:p w14:paraId="2020839C" w14:textId="77777777" w:rsidR="00C37E17" w:rsidRPr="00C37E17" w:rsidRDefault="006804D1" w:rsidP="009B0A36">
      <w:pPr>
        <w:pStyle w:val="Prrafodelista"/>
        <w:numPr>
          <w:ilvl w:val="0"/>
          <w:numId w:val="13"/>
        </w:numPr>
        <w:spacing w:before="120" w:after="120" w:line="240" w:lineRule="auto"/>
        <w:contextualSpacing w:val="0"/>
        <w:jc w:val="both"/>
      </w:pPr>
      <w:r>
        <w:t>D</w:t>
      </w:r>
      <w:r w:rsidRPr="00C37E17">
        <w:t>espués de la Operación</w:t>
      </w:r>
      <w:r>
        <w:t xml:space="preserve">, los ingresos del GIE </w:t>
      </w:r>
      <w:r w:rsidR="001632AD">
        <w:t xml:space="preserve">denominado </w:t>
      </w:r>
      <w:r>
        <w:t>ATC se distribuyen conforme a</w:t>
      </w:r>
      <w:r w:rsidR="00C37E17" w:rsidRPr="00C37E17">
        <w:t>l Gráfico 1.</w:t>
      </w:r>
    </w:p>
    <w:p w14:paraId="1A65C0BB" w14:textId="77777777" w:rsidR="000C44C7" w:rsidRDefault="00891A75" w:rsidP="00AA6078">
      <w:pPr>
        <w:pStyle w:val="Prrafodelista"/>
        <w:keepNext/>
        <w:spacing w:after="0" w:line="240" w:lineRule="auto"/>
        <w:ind w:left="0"/>
        <w:contextualSpacing w:val="0"/>
        <w:jc w:val="center"/>
        <w:rPr>
          <w:b/>
          <w:sz w:val="18"/>
          <w:szCs w:val="18"/>
        </w:rPr>
      </w:pPr>
      <w:r w:rsidRPr="00B61C1F">
        <w:rPr>
          <w:b/>
          <w:sz w:val="18"/>
          <w:szCs w:val="18"/>
        </w:rPr>
        <w:lastRenderedPageBreak/>
        <w:t>Gráfico 1. Distribución</w:t>
      </w:r>
      <w:r w:rsidRPr="00AA6078">
        <w:rPr>
          <w:b/>
          <w:sz w:val="18"/>
          <w:szCs w:val="18"/>
        </w:rPr>
        <w:t xml:space="preserve"> de los ingresos </w:t>
      </w:r>
      <w:r w:rsidR="006804D1" w:rsidRPr="00AA6078">
        <w:rPr>
          <w:b/>
          <w:sz w:val="18"/>
          <w:szCs w:val="18"/>
        </w:rPr>
        <w:t>del GIE ATC</w:t>
      </w:r>
      <w:r w:rsidRPr="00AA6078">
        <w:rPr>
          <w:b/>
          <w:sz w:val="18"/>
          <w:szCs w:val="18"/>
        </w:rPr>
        <w:t xml:space="preserve">, </w:t>
      </w:r>
      <w:r w:rsidR="006804D1" w:rsidRPr="00AA6078">
        <w:rPr>
          <w:b/>
          <w:sz w:val="18"/>
          <w:szCs w:val="18"/>
        </w:rPr>
        <w:t>primer trimestre de 2018</w:t>
      </w:r>
      <w:r w:rsidR="00BE0179" w:rsidRPr="009400CD">
        <w:rPr>
          <w:noProof/>
          <w:sz w:val="16"/>
          <w:szCs w:val="20"/>
          <w:lang w:eastAsia="es-MX"/>
        </w:rPr>
        <mc:AlternateContent>
          <mc:Choice Requires="wps">
            <w:drawing>
              <wp:inline distT="0" distB="0" distL="0" distR="0" wp14:anchorId="099E7D7E" wp14:editId="2040F449">
                <wp:extent cx="2448560" cy="1502410"/>
                <wp:effectExtent l="0" t="0" r="27940" b="2159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502410"/>
                        </a:xfrm>
                        <a:prstGeom prst="rect">
                          <a:avLst/>
                        </a:prstGeom>
                        <a:solidFill>
                          <a:srgbClr val="FFFFFF"/>
                        </a:solidFill>
                        <a:ln w="9525">
                          <a:solidFill>
                            <a:srgbClr val="000000"/>
                          </a:solidFill>
                          <a:miter lim="800000"/>
                          <a:headEnd/>
                          <a:tailEnd/>
                        </a:ln>
                      </wps:spPr>
                      <wps:txbx>
                        <w:txbxContent>
                          <w:p w14:paraId="6F2F7219" w14:textId="77777777" w:rsidR="0006497B" w:rsidRPr="00850642" w:rsidRDefault="0006497B" w:rsidP="00BE0179">
                            <w:pPr>
                              <w:jc w:val="center"/>
                              <w:rPr>
                                <w:sz w:val="36"/>
                                <w:szCs w:val="36"/>
                              </w:rPr>
                            </w:pPr>
                            <w:r w:rsidRPr="00850642">
                              <w:rPr>
                                <w:b/>
                                <w:bCs/>
                                <w:color w:val="0000CC"/>
                                <w:sz w:val="36"/>
                                <w:szCs w:val="36"/>
                              </w:rPr>
                              <w:t>“CONFIDENCIAL POR LEY”</w:t>
                            </w:r>
                          </w:p>
                        </w:txbxContent>
                      </wps:txbx>
                      <wps:bodyPr rot="0" vert="horz" wrap="square" lIns="91440" tIns="45720" rIns="91440" bIns="45720" anchor="t" anchorCtr="0">
                        <a:noAutofit/>
                      </wps:bodyPr>
                    </wps:wsp>
                  </a:graphicData>
                </a:graphic>
              </wp:inline>
            </w:drawing>
          </mc:Choice>
          <mc:Fallback>
            <w:pict>
              <v:shapetype w14:anchorId="099E7D7E" id="_x0000_t202" coordsize="21600,21600" o:spt="202" path="m,l,21600r21600,l21600,xe">
                <v:stroke joinstyle="miter"/>
                <v:path gradientshapeok="t" o:connecttype="rect"/>
              </v:shapetype>
              <v:shape id="Cuadro de texto 2" o:spid="_x0000_s1026" type="#_x0000_t202" style="width:192.8pt;height:1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">
                <v:textbox>
                  <w:txbxContent>
                    <w:p w14:paraId="6F2F7219" w14:textId="77777777" w:rsidR="0006497B" w:rsidRPr="00850642" w:rsidRDefault="0006497B" w:rsidP="00BE0179">
                      <w:pPr>
                        <w:jc w:val="center"/>
                        <w:rPr>
                          <w:sz w:val="36"/>
                          <w:szCs w:val="36"/>
                        </w:rPr>
                      </w:pPr>
                      <w:r w:rsidRPr="00850642">
                        <w:rPr>
                          <w:b/>
                          <w:bCs/>
                          <w:color w:val="0000CC"/>
                          <w:sz w:val="36"/>
                          <w:szCs w:val="36"/>
                        </w:rPr>
                        <w:t>“CONFIDENCIAL POR LEY”</w:t>
                      </w:r>
                    </w:p>
                  </w:txbxContent>
                </v:textbox>
                <w10:anchorlock/>
              </v:shape>
            </w:pict>
          </mc:Fallback>
        </mc:AlternateContent>
      </w:r>
    </w:p>
    <w:p w14:paraId="4C9F7D3B" w14:textId="77777777" w:rsidR="000C44C7" w:rsidRPr="00673243" w:rsidRDefault="000C44C7" w:rsidP="00891A75">
      <w:pPr>
        <w:pStyle w:val="Prrafodelista"/>
        <w:keepNext/>
        <w:spacing w:after="0" w:line="240" w:lineRule="auto"/>
        <w:ind w:left="0"/>
        <w:contextualSpacing w:val="0"/>
        <w:jc w:val="both"/>
        <w:rPr>
          <w:sz w:val="16"/>
          <w:szCs w:val="16"/>
        </w:rPr>
      </w:pPr>
      <w:r w:rsidRPr="00673243">
        <w:rPr>
          <w:sz w:val="16"/>
          <w:szCs w:val="16"/>
        </w:rPr>
        <w:t>Notas:</w:t>
      </w:r>
    </w:p>
    <w:p w14:paraId="1D941C39" w14:textId="77777777" w:rsidR="000C44C7" w:rsidRPr="00673243" w:rsidRDefault="000C44C7" w:rsidP="00891A75">
      <w:pPr>
        <w:pStyle w:val="Prrafodelista"/>
        <w:keepNext/>
        <w:spacing w:after="0" w:line="240" w:lineRule="auto"/>
        <w:ind w:left="0"/>
        <w:contextualSpacing w:val="0"/>
        <w:jc w:val="both"/>
        <w:rPr>
          <w:sz w:val="16"/>
          <w:szCs w:val="16"/>
        </w:rPr>
      </w:pPr>
      <w:r w:rsidRPr="00CD29E3">
        <w:rPr>
          <w:sz w:val="16"/>
          <w:szCs w:val="16"/>
          <w:vertAlign w:val="superscript"/>
        </w:rPr>
        <w:t xml:space="preserve">\a </w:t>
      </w:r>
      <w:r w:rsidR="00805813" w:rsidRPr="00805813">
        <w:rPr>
          <w:sz w:val="16"/>
          <w:szCs w:val="16"/>
        </w:rPr>
        <w:t xml:space="preserve">Otros se refiere a los servicios denominados </w:t>
      </w:r>
      <w:r w:rsidR="00613915" w:rsidRPr="008720D8">
        <w:rPr>
          <w:b/>
          <w:bCs/>
          <w:color w:val="0000CC"/>
          <w:sz w:val="16"/>
          <w:szCs w:val="16"/>
        </w:rPr>
        <w:t>“CONFIDENCIAL POR LEY”</w:t>
      </w:r>
      <w:r w:rsidR="00C82B1B" w:rsidRPr="00C82B1B">
        <w:rPr>
          <w:bCs/>
          <w:sz w:val="16"/>
          <w:szCs w:val="16"/>
        </w:rPr>
        <w:t>.</w:t>
      </w:r>
    </w:p>
    <w:p w14:paraId="560B7DBD" w14:textId="77777777" w:rsidR="000C44C7" w:rsidRPr="00673243" w:rsidRDefault="000C44C7" w:rsidP="00891A75">
      <w:pPr>
        <w:pStyle w:val="Prrafodelista"/>
        <w:spacing w:after="0" w:line="240" w:lineRule="auto"/>
        <w:ind w:left="0"/>
        <w:contextualSpacing w:val="0"/>
        <w:jc w:val="both"/>
        <w:rPr>
          <w:sz w:val="16"/>
          <w:szCs w:val="16"/>
        </w:rPr>
      </w:pPr>
      <w:r w:rsidRPr="00CD29E3">
        <w:rPr>
          <w:sz w:val="16"/>
          <w:szCs w:val="16"/>
          <w:vertAlign w:val="superscript"/>
        </w:rPr>
        <w:t>\b</w:t>
      </w:r>
      <w:r w:rsidRPr="00673243">
        <w:rPr>
          <w:sz w:val="16"/>
          <w:szCs w:val="16"/>
        </w:rPr>
        <w:t xml:space="preserve"> Los porcentajes podrían no sumar exacto debido a su redondeo.</w:t>
      </w:r>
    </w:p>
    <w:p w14:paraId="11E39CFF" w14:textId="77777777" w:rsidR="000C44C7" w:rsidRDefault="000C44C7" w:rsidP="00891A75">
      <w:pPr>
        <w:pStyle w:val="Prrafodelista"/>
        <w:spacing w:after="0" w:line="240" w:lineRule="auto"/>
        <w:ind w:left="0"/>
        <w:contextualSpacing w:val="0"/>
        <w:jc w:val="both"/>
        <w:rPr>
          <w:sz w:val="16"/>
          <w:szCs w:val="16"/>
        </w:rPr>
      </w:pPr>
      <w:r w:rsidRPr="00673243">
        <w:rPr>
          <w:sz w:val="16"/>
          <w:szCs w:val="16"/>
        </w:rPr>
        <w:t xml:space="preserve">Fuente: Elaboración propia con información de </w:t>
      </w:r>
      <w:r w:rsidR="00193C77">
        <w:rPr>
          <w:sz w:val="16"/>
          <w:szCs w:val="16"/>
        </w:rPr>
        <w:t>ingresos proporcionada por CFCA Telecomm, Telco y American Towe</w:t>
      </w:r>
      <w:r w:rsidR="00EA52FC">
        <w:rPr>
          <w:sz w:val="16"/>
          <w:szCs w:val="16"/>
        </w:rPr>
        <w:t>r</w:t>
      </w:r>
      <w:r w:rsidR="00193C77">
        <w:rPr>
          <w:sz w:val="16"/>
          <w:szCs w:val="16"/>
        </w:rPr>
        <w:t xml:space="preserve"> Corporation de México, S. de R.L. de C.V. F</w:t>
      </w:r>
      <w:r w:rsidRPr="00673243">
        <w:rPr>
          <w:sz w:val="16"/>
          <w:szCs w:val="16"/>
        </w:rPr>
        <w:t xml:space="preserve">ojas </w:t>
      </w:r>
      <w:r w:rsidR="00444600">
        <w:rPr>
          <w:sz w:val="16"/>
          <w:szCs w:val="16"/>
        </w:rPr>
        <w:t>5157, 5158, 6073, 6502, 7052</w:t>
      </w:r>
      <w:r w:rsidR="00331AB1">
        <w:rPr>
          <w:sz w:val="16"/>
          <w:szCs w:val="16"/>
        </w:rPr>
        <w:t xml:space="preserve"> y</w:t>
      </w:r>
      <w:r w:rsidR="00444600">
        <w:rPr>
          <w:sz w:val="16"/>
          <w:szCs w:val="16"/>
        </w:rPr>
        <w:t xml:space="preserve"> 7073</w:t>
      </w:r>
      <w:r w:rsidRPr="00673243">
        <w:rPr>
          <w:sz w:val="16"/>
          <w:szCs w:val="16"/>
        </w:rPr>
        <w:t xml:space="preserve"> del Expediente.</w:t>
      </w:r>
    </w:p>
    <w:p w14:paraId="640A943D" w14:textId="77777777" w:rsidR="000C44C7" w:rsidRPr="00673243" w:rsidRDefault="000C44C7" w:rsidP="009B0A36">
      <w:pPr>
        <w:pStyle w:val="Prrafodelista"/>
        <w:numPr>
          <w:ilvl w:val="0"/>
          <w:numId w:val="12"/>
        </w:numPr>
        <w:spacing w:before="120" w:after="120" w:line="240" w:lineRule="auto"/>
        <w:ind w:left="357" w:hanging="357"/>
        <w:contextualSpacing w:val="0"/>
        <w:jc w:val="both"/>
        <w:outlineLvl w:val="2"/>
        <w:rPr>
          <w:b/>
        </w:rPr>
      </w:pPr>
      <w:r w:rsidRPr="00673243">
        <w:rPr>
          <w:b/>
        </w:rPr>
        <w:t>Perspectivas futuras y estrategias de negocios</w:t>
      </w:r>
    </w:p>
    <w:p w14:paraId="04E5CB72" w14:textId="77777777" w:rsidR="000C44C7" w:rsidRPr="00673243" w:rsidRDefault="000C44C7" w:rsidP="009B0A36">
      <w:pPr>
        <w:pStyle w:val="Prrafodelista"/>
        <w:numPr>
          <w:ilvl w:val="0"/>
          <w:numId w:val="13"/>
        </w:numPr>
        <w:spacing w:before="120" w:after="120" w:line="240" w:lineRule="auto"/>
        <w:contextualSpacing w:val="0"/>
        <w:jc w:val="both"/>
      </w:pPr>
      <w:r w:rsidRPr="00673243">
        <w:t xml:space="preserve">ATC </w:t>
      </w:r>
      <w:r w:rsidR="00904F3E">
        <w:t>planea</w:t>
      </w:r>
      <w:r w:rsidRPr="00673243">
        <w:t xml:space="preserve"> </w:t>
      </w:r>
      <w:r w:rsidR="008C4A60" w:rsidRPr="00FB5332">
        <w:rPr>
          <w:b/>
          <w:bCs/>
          <w:color w:val="0000CC"/>
        </w:rPr>
        <w:t>“CONFIDENCIAL POR LEY”</w:t>
      </w:r>
      <w:r w:rsidR="00C82B1B" w:rsidRPr="00C82B1B">
        <w:rPr>
          <w:bCs/>
        </w:rPr>
        <w:t>.</w:t>
      </w:r>
      <w:r w:rsidRPr="00673243">
        <w:rPr>
          <w:rStyle w:val="Refdenotaalpie"/>
        </w:rPr>
        <w:footnoteReference w:id="104"/>
      </w:r>
      <w:r w:rsidRPr="00673243">
        <w:t xml:space="preserve"> </w:t>
      </w:r>
    </w:p>
    <w:p w14:paraId="7EBA7B60" w14:textId="77777777" w:rsidR="000C44C7" w:rsidRPr="00673243" w:rsidRDefault="000C44C7" w:rsidP="009B0A36">
      <w:pPr>
        <w:pStyle w:val="Prrafodelista"/>
        <w:numPr>
          <w:ilvl w:val="0"/>
          <w:numId w:val="13"/>
        </w:numPr>
        <w:spacing w:before="120" w:after="120" w:line="240" w:lineRule="auto"/>
        <w:contextualSpacing w:val="0"/>
        <w:jc w:val="both"/>
      </w:pPr>
      <w:r w:rsidRPr="00673243">
        <w:t xml:space="preserve">Por </w:t>
      </w:r>
      <w:r w:rsidR="00904F3E">
        <w:t xml:space="preserve">otro lado, la concentración podría permitir </w:t>
      </w:r>
      <w:r w:rsidR="00A07421" w:rsidRPr="00FB5332">
        <w:rPr>
          <w:b/>
          <w:bCs/>
          <w:color w:val="0000CC"/>
        </w:rPr>
        <w:t>“CONFIDENCIAL POR LEY”</w:t>
      </w:r>
      <w:r w:rsidR="00620B46">
        <w:t>.</w:t>
      </w:r>
      <w:r w:rsidR="00904F3E" w:rsidRPr="00673243">
        <w:rPr>
          <w:vertAlign w:val="superscript"/>
        </w:rPr>
        <w:footnoteReference w:id="105"/>
      </w:r>
      <w:r w:rsidR="00904F3E">
        <w:t xml:space="preserve"> Las partes manifestaron</w:t>
      </w:r>
      <w:r w:rsidR="00B10A8F">
        <w:t xml:space="preserve"> que</w:t>
      </w:r>
      <w:r w:rsidR="00904F3E">
        <w:t xml:space="preserve"> </w:t>
      </w:r>
      <w:r w:rsidR="00A07421" w:rsidRPr="00FB5332">
        <w:rPr>
          <w:b/>
          <w:bCs/>
          <w:color w:val="0000CC"/>
        </w:rPr>
        <w:t>“CONFIDENCIAL POR LEY”</w:t>
      </w:r>
      <w:r w:rsidRPr="00673243">
        <w:t>.</w:t>
      </w:r>
    </w:p>
    <w:p w14:paraId="531BFD19" w14:textId="77777777" w:rsidR="00D931A8" w:rsidRDefault="000C44C7" w:rsidP="009B0A36">
      <w:pPr>
        <w:pStyle w:val="Prrafodelista"/>
        <w:numPr>
          <w:ilvl w:val="0"/>
          <w:numId w:val="13"/>
        </w:numPr>
        <w:spacing w:before="120" w:after="120" w:line="240" w:lineRule="auto"/>
        <w:contextualSpacing w:val="0"/>
        <w:jc w:val="both"/>
      </w:pPr>
      <w:r w:rsidRPr="00673243">
        <w:t xml:space="preserve">Finalmente, </w:t>
      </w:r>
      <w:r w:rsidR="00904F3E">
        <w:t>ATC pretende</w:t>
      </w:r>
      <w:r w:rsidRPr="00673243">
        <w:t xml:space="preserve"> </w:t>
      </w:r>
      <w:r w:rsidR="00A07421" w:rsidRPr="00FB5332">
        <w:rPr>
          <w:b/>
          <w:bCs/>
          <w:color w:val="0000CC"/>
        </w:rPr>
        <w:t>“CONFIDENCIAL POR LEY”</w:t>
      </w:r>
      <w:r w:rsidR="00C82B1B" w:rsidRPr="00C82B1B">
        <w:rPr>
          <w:bCs/>
        </w:rPr>
        <w:t>.</w:t>
      </w:r>
      <w:r w:rsidRPr="00673243">
        <w:t xml:space="preserve"> Asimismo, </w:t>
      </w:r>
      <w:r w:rsidR="001632AD">
        <w:t>buscará</w:t>
      </w:r>
      <w:r w:rsidRPr="00673243">
        <w:t xml:space="preserve"> </w:t>
      </w:r>
      <w:r w:rsidR="00A07421" w:rsidRPr="00FB5332">
        <w:rPr>
          <w:b/>
          <w:bCs/>
          <w:color w:val="0000CC"/>
        </w:rPr>
        <w:t>“CONFIDENCIAL POR LEY”</w:t>
      </w:r>
      <w:r w:rsidRPr="00673243">
        <w:t>.</w:t>
      </w:r>
      <w:r w:rsidRPr="00673243">
        <w:rPr>
          <w:rStyle w:val="Refdenotaalpie"/>
        </w:rPr>
        <w:footnoteReference w:id="106"/>
      </w:r>
      <w:bookmarkEnd w:id="36"/>
    </w:p>
    <w:p w14:paraId="73C97F39" w14:textId="77777777" w:rsidR="00D931A8" w:rsidRPr="00C40B54" w:rsidRDefault="00F15E17" w:rsidP="00F15E17">
      <w:pPr>
        <w:pStyle w:val="Sinespaciado"/>
        <w:tabs>
          <w:tab w:val="left" w:pos="3402"/>
        </w:tabs>
        <w:spacing w:before="120" w:after="120"/>
        <w:jc w:val="both"/>
        <w:outlineLvl w:val="1"/>
        <w:rPr>
          <w:smallCaps/>
        </w:rPr>
      </w:pPr>
      <w:r>
        <w:rPr>
          <w:rFonts w:ascii="ITC Avant Garde" w:hAnsi="ITC Avant Garde"/>
          <w:b/>
          <w:smallCaps/>
        </w:rPr>
        <w:t xml:space="preserve">Séptima.- </w:t>
      </w:r>
      <w:r w:rsidR="00430A36" w:rsidRPr="00F15E17">
        <w:rPr>
          <w:rFonts w:ascii="ITC Avant Garde" w:hAnsi="ITC Avant Garde"/>
        </w:rPr>
        <w:t>Mercados relevantes</w:t>
      </w:r>
    </w:p>
    <w:p w14:paraId="14229111" w14:textId="77777777" w:rsidR="00D931A8" w:rsidRPr="00D931A8" w:rsidRDefault="00430A36" w:rsidP="009B0A36">
      <w:pPr>
        <w:pStyle w:val="Ttulo3"/>
        <w:numPr>
          <w:ilvl w:val="2"/>
          <w:numId w:val="11"/>
        </w:numPr>
        <w:ind w:left="397" w:hanging="397"/>
      </w:pPr>
      <w:bookmarkStart w:id="38" w:name="_Toc463624321"/>
      <w:r w:rsidRPr="00D931A8">
        <w:t xml:space="preserve">Servicios de </w:t>
      </w:r>
      <w:r w:rsidRPr="00D931A8">
        <w:rPr>
          <w:rStyle w:val="Ttulo1Car"/>
          <w:b/>
        </w:rPr>
        <w:t>arrendamiento</w:t>
      </w:r>
      <w:r w:rsidRPr="00D931A8">
        <w:t xml:space="preserve"> de enlaces dedicados</w:t>
      </w:r>
      <w:r w:rsidRPr="00D931A8" w:rsidDel="00430A36">
        <w:t xml:space="preserve"> </w:t>
      </w:r>
      <w:bookmarkEnd w:id="38"/>
    </w:p>
    <w:p w14:paraId="0D23E743" w14:textId="77777777" w:rsidR="00775711" w:rsidRDefault="00775711" w:rsidP="009B0A36">
      <w:pPr>
        <w:pStyle w:val="Prrafodelista"/>
        <w:numPr>
          <w:ilvl w:val="0"/>
          <w:numId w:val="13"/>
        </w:numPr>
        <w:spacing w:before="120" w:after="120" w:line="240" w:lineRule="auto"/>
        <w:contextualSpacing w:val="0"/>
        <w:jc w:val="both"/>
      </w:pPr>
      <w:r>
        <w:t xml:space="preserve">Los mercados </w:t>
      </w:r>
      <w:r>
        <w:rPr>
          <w:color w:val="000000"/>
        </w:rPr>
        <w:t>relevantes se determinan con fundamento en el artículo 58 de la LFCE, así como en el artículo 5 de las Disposiciones Regulatorias.</w:t>
      </w:r>
    </w:p>
    <w:p w14:paraId="356B9DA7" w14:textId="77777777" w:rsidR="00D931A8" w:rsidRPr="00D931A8" w:rsidRDefault="00D931A8" w:rsidP="009B0A36">
      <w:pPr>
        <w:pStyle w:val="Ttulo4"/>
        <w:numPr>
          <w:ilvl w:val="1"/>
          <w:numId w:val="20"/>
        </w:numPr>
        <w:ind w:left="567" w:hanging="567"/>
      </w:pPr>
      <w:r w:rsidRPr="00D931A8">
        <w:t>Descripción</w:t>
      </w:r>
      <w:r w:rsidRPr="00F15E17">
        <w:rPr>
          <w:rStyle w:val="Ttulo4Car"/>
        </w:rPr>
        <w:t xml:space="preserve"> </w:t>
      </w:r>
      <w:r w:rsidRPr="00D931A8">
        <w:t>del servicio</w:t>
      </w:r>
    </w:p>
    <w:p w14:paraId="7C8BDEDD" w14:textId="77777777" w:rsidR="00D931A8" w:rsidRPr="00D931A8" w:rsidRDefault="00D931A8" w:rsidP="009B0A36">
      <w:pPr>
        <w:pStyle w:val="Prrafodelista"/>
        <w:numPr>
          <w:ilvl w:val="0"/>
          <w:numId w:val="13"/>
        </w:numPr>
        <w:spacing w:before="120" w:after="120" w:line="240" w:lineRule="auto"/>
        <w:contextualSpacing w:val="0"/>
        <w:jc w:val="both"/>
      </w:pPr>
      <w:r w:rsidRPr="00D931A8">
        <w:t>El servicio de arrendamiento de enlaces, líneas o circuitos dedicados (también conocido como servicio de líneas privadas) es un servicio público de telecomunicaciones,</w:t>
      </w:r>
      <w:r w:rsidRPr="00D931A8">
        <w:rPr>
          <w:vertAlign w:val="superscript"/>
        </w:rPr>
        <w:footnoteReference w:id="107"/>
      </w:r>
      <w:r w:rsidRPr="00D931A8">
        <w:t xml:space="preserve"> ofrecido al amparo de una concesión única</w:t>
      </w:r>
      <w:r w:rsidR="000D45B7">
        <w:t xml:space="preserve"> o de una autorización</w:t>
      </w:r>
      <w:r w:rsidRPr="00D931A8">
        <w:t>,</w:t>
      </w:r>
      <w:r w:rsidRPr="00D931A8">
        <w:rPr>
          <w:vertAlign w:val="superscript"/>
        </w:rPr>
        <w:footnoteReference w:id="108"/>
      </w:r>
      <w:r w:rsidRPr="00D931A8">
        <w:t xml:space="preserve"> que permite la transmisión de </w:t>
      </w:r>
      <w:r w:rsidR="000D45B7">
        <w:t>información</w:t>
      </w:r>
      <w:r w:rsidRPr="00D931A8">
        <w:t xml:space="preserve"> entre puntos determinados de la red o entre instalaciones de los usuarios, de manera transparente, específica, permanente y preestablecida.</w:t>
      </w:r>
      <w:r w:rsidRPr="00D931A8">
        <w:rPr>
          <w:vertAlign w:val="superscript"/>
        </w:rPr>
        <w:footnoteReference w:id="109"/>
      </w:r>
      <w:r w:rsidRPr="00D931A8">
        <w:t xml:space="preserve"> La capacidad del </w:t>
      </w:r>
      <w:r w:rsidRPr="00D931A8">
        <w:lastRenderedPageBreak/>
        <w:t>enlace se asigna de manera dedicada o exclusiva al usuario, quien puede tener el control sobre el tipo de señales que se transportan y los servicios que se integran sobre el enlace. Asimismo, la transmisión está garantizada de manera bidireccional y simétrica.</w:t>
      </w:r>
      <w:r w:rsidRPr="00D931A8">
        <w:rPr>
          <w:vertAlign w:val="superscript"/>
        </w:rPr>
        <w:footnoteReference w:id="110"/>
      </w:r>
      <w:r w:rsidRPr="00D931A8">
        <w:rPr>
          <w:vertAlign w:val="superscript"/>
        </w:rPr>
        <w:t>,</w:t>
      </w:r>
      <w:r w:rsidRPr="00D931A8">
        <w:rPr>
          <w:vertAlign w:val="superscript"/>
        </w:rPr>
        <w:footnoteReference w:id="111"/>
      </w:r>
    </w:p>
    <w:p w14:paraId="1CF1C444"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Para la provisión de este servicio se pueden utilizar diversos medios de transmisión (cable coaxial, par de cobre, fibra óptica y microondas), así como distintas tecnologías de transmisión (TDM o multiplexación por división de tiempo, Ethernet y MPLS o conmutación de etiquetas multiprotocolo). Cada una de las tecnologías de transmisión se describen en el </w:t>
      </w:r>
      <w:r w:rsidRPr="00B16307">
        <w:t xml:space="preserve">apartado </w:t>
      </w:r>
      <w:r w:rsidR="00C40AB1">
        <w:t>1.3</w:t>
      </w:r>
      <w:r w:rsidRPr="00B16307">
        <w:t>.2</w:t>
      </w:r>
      <w:r w:rsidR="00501DA0" w:rsidRPr="00B16307">
        <w:t>,</w:t>
      </w:r>
      <w:r w:rsidRPr="00B16307">
        <w:t xml:space="preserve"> denominado</w:t>
      </w:r>
      <w:r w:rsidRPr="00D931A8">
        <w:t xml:space="preserve"> “Sustitución entre los servicios de arrendamiento de enlaces dedicados provistos por distintas tecnologías de transmisión”.</w:t>
      </w:r>
    </w:p>
    <w:p w14:paraId="02032179" w14:textId="77777777" w:rsidR="00D931A8" w:rsidRPr="00D931A8" w:rsidRDefault="00D931A8" w:rsidP="009B0A36">
      <w:pPr>
        <w:pStyle w:val="Prrafodelista"/>
        <w:numPr>
          <w:ilvl w:val="0"/>
          <w:numId w:val="13"/>
        </w:numPr>
        <w:spacing w:before="120" w:after="120" w:line="240" w:lineRule="auto"/>
        <w:contextualSpacing w:val="0"/>
        <w:jc w:val="both"/>
      </w:pPr>
      <w:r w:rsidRPr="00D931A8">
        <w:t>De acuerdo con la cobertura que ofrecen, es posible distinguir cuatro tipos de enlaces: (1) enlaces locales, cuando las puntas del enlace se localizan en una misma localidad del territorio nacional; (2) enlaces de larga distancia nacional, cuando las puntas del enlace se ubican en distintas localidades del territorio nacional; (3) enlaces de larga distancia internacional, cuando una de las puntas del enlace se ubica en alguna localidad del territorio nacional (excepto en ciudades fronterizas) y la otra en el extranjero</w:t>
      </w:r>
      <w:r w:rsidR="00BE3422">
        <w:t>, y</w:t>
      </w:r>
      <w:r w:rsidRPr="00D931A8">
        <w:t xml:space="preserve"> (4) enlaces de cruce fronterizo, </w:t>
      </w:r>
      <w:r w:rsidR="006230E4">
        <w:t>a</w:t>
      </w:r>
      <w:r w:rsidRPr="00D931A8">
        <w:t>quellos que conectan instalaciones en localidades ubicadas en el cruce fronterizo.</w:t>
      </w:r>
      <w:r w:rsidR="006C2237">
        <w:rPr>
          <w:rStyle w:val="Refdenotaalpie"/>
        </w:rPr>
        <w:footnoteReference w:id="112"/>
      </w:r>
      <w:r w:rsidRPr="00D931A8">
        <w:t xml:space="preserve"> Además, desde el punto de vista regulatorio y funcional, se identifican los enlaces de interconexión, los cuales se contratan al amparo de los convenios de interconexión que establece el artículo 128 de la LFTyR, para cursar tráfico público conmutado entre dos RPT.</w:t>
      </w:r>
      <w:r w:rsidR="00740816">
        <w:rPr>
          <w:rStyle w:val="Refdenotaalpie"/>
        </w:rPr>
        <w:footnoteReference w:id="113"/>
      </w:r>
    </w:p>
    <w:p w14:paraId="4D27DE59" w14:textId="77777777" w:rsidR="00D931A8" w:rsidRDefault="00D931A8" w:rsidP="009B0A36">
      <w:pPr>
        <w:pStyle w:val="Prrafodelista"/>
        <w:numPr>
          <w:ilvl w:val="0"/>
          <w:numId w:val="13"/>
        </w:numPr>
        <w:spacing w:before="120" w:after="120" w:line="240" w:lineRule="auto"/>
        <w:contextualSpacing w:val="0"/>
        <w:jc w:val="both"/>
      </w:pPr>
      <w:r w:rsidRPr="00D931A8">
        <w:lastRenderedPageBreak/>
        <w:t>El precio del servicio incluye, por lo general, dos componentes: un cargo único por instalación del enlace y una renta mensual por la línea arrendada, los cuales dependen de la capacidad del enlace.</w:t>
      </w:r>
      <w:r w:rsidRPr="00D931A8">
        <w:rPr>
          <w:vertAlign w:val="superscript"/>
        </w:rPr>
        <w:footnoteReference w:id="114"/>
      </w:r>
      <w:r w:rsidRPr="00D931A8">
        <w:t xml:space="preserve"> La política de precios del servicio de arrendamiento de enlaces dedicados no varía en función del medio de transmisión,</w:t>
      </w:r>
      <w:r w:rsidRPr="00D931A8">
        <w:rPr>
          <w:vertAlign w:val="superscript"/>
        </w:rPr>
        <w:footnoteReference w:id="115"/>
      </w:r>
      <w:r w:rsidRPr="00D931A8">
        <w:t xml:space="preserve"> pero suele ser distinta dependiendo de la ubicación de los sitios del cliente</w:t>
      </w:r>
      <w:r w:rsidR="00FC6871">
        <w:t>.</w:t>
      </w:r>
      <w:r w:rsidRPr="00D931A8">
        <w:t xml:space="preserve"> </w:t>
      </w:r>
      <w:r w:rsidR="00FC6871">
        <w:t>E</w:t>
      </w:r>
      <w:r w:rsidRPr="00D931A8">
        <w:t>n particular, se observan cargos diferentes si se trata de un enlace local, de larga distancia nacional o internacional;</w:t>
      </w:r>
      <w:r w:rsidRPr="00D931A8">
        <w:rPr>
          <w:vertAlign w:val="superscript"/>
        </w:rPr>
        <w:footnoteReference w:id="116"/>
      </w:r>
      <w:r w:rsidRPr="00D931A8">
        <w:t xml:space="preserve"> asimismo, algunos operadores establecen precios distintos en función de la tecnología de transmisión.</w:t>
      </w:r>
      <w:r w:rsidRPr="00D931A8">
        <w:rPr>
          <w:vertAlign w:val="superscript"/>
        </w:rPr>
        <w:footnoteReference w:id="117"/>
      </w:r>
      <w:r w:rsidRPr="00D931A8">
        <w:t xml:space="preserve"> </w:t>
      </w:r>
    </w:p>
    <w:p w14:paraId="0D89C970" w14:textId="77777777" w:rsidR="00D931A8" w:rsidRPr="00D931A8" w:rsidRDefault="00D931A8" w:rsidP="009B0A36">
      <w:pPr>
        <w:pStyle w:val="Prrafodelista"/>
        <w:numPr>
          <w:ilvl w:val="0"/>
          <w:numId w:val="13"/>
        </w:numPr>
        <w:spacing w:before="120" w:after="120" w:line="240" w:lineRule="auto"/>
        <w:contextualSpacing w:val="0"/>
        <w:jc w:val="both"/>
      </w:pPr>
      <w:r w:rsidRPr="00D931A8">
        <w:t>Para la contratación del servicio se establecen plazos mínimos que abarcan de un año a cuatro años.</w:t>
      </w:r>
      <w:r w:rsidRPr="00D931A8">
        <w:rPr>
          <w:vertAlign w:val="superscript"/>
        </w:rPr>
        <w:footnoteReference w:id="118"/>
      </w:r>
      <w:r w:rsidRPr="00D931A8">
        <w:t xml:space="preserve"> En cuanto a la forma de comercialización del servicio, generalmente, se utiliza la venta directa, el telemarketing o los integradores.</w:t>
      </w:r>
      <w:r w:rsidRPr="00D931A8">
        <w:rPr>
          <w:vertAlign w:val="superscript"/>
        </w:rPr>
        <w:footnoteReference w:id="119"/>
      </w:r>
    </w:p>
    <w:p w14:paraId="7A0194A4" w14:textId="77777777" w:rsidR="00D931A8" w:rsidRPr="00D931A8" w:rsidRDefault="00D931A8" w:rsidP="009B0A36">
      <w:pPr>
        <w:pStyle w:val="Ttulo4"/>
        <w:numPr>
          <w:ilvl w:val="1"/>
          <w:numId w:val="20"/>
        </w:numPr>
        <w:ind w:left="567" w:hanging="567"/>
      </w:pPr>
      <w:r w:rsidRPr="00D931A8">
        <w:t>Oferentes y demandantes del servicio</w:t>
      </w:r>
    </w:p>
    <w:p w14:paraId="29B0584E"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oferentes del servicio de arrendamiento de enlaces dedicados son concesionarios de RPT</w:t>
      </w:r>
      <w:r w:rsidR="007B5B43">
        <w:t xml:space="preserve"> y autorizados</w:t>
      </w:r>
      <w:r w:rsidRPr="00D931A8">
        <w:t xml:space="preserve"> que utilizan diversos medios de transmisión y tecnologías para proveer el servicio. Los enlaces dedicados que se ofrecen en México poseen capacidades desde 64 Kbps hasta 100 Gbps, dependiendo de la tecnología y el medio de transmisión utilizados.</w:t>
      </w:r>
      <w:r w:rsidRPr="00D931A8">
        <w:rPr>
          <w:vertAlign w:val="superscript"/>
        </w:rPr>
        <w:footnoteReference w:id="120"/>
      </w:r>
    </w:p>
    <w:p w14:paraId="6D388492"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Los demandantes del servicio de arrendamiento de enlaces dedicados pueden ser de dos tipos: i) usuarios finales (clientes minoristas) y ii) concesionarios de RPT </w:t>
      </w:r>
      <w:r w:rsidR="007B5B43">
        <w:t>y autorizados (clientes mayoristas).</w:t>
      </w:r>
    </w:p>
    <w:p w14:paraId="2C42C5E2"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usuarios finales que demandan este servicio son, generalmente, grandes empresas o corporativos, así como instituciones públicas y/o privadas, que requieren transmitir todo tipo de señales (voz, datos</w:t>
      </w:r>
      <w:r w:rsidR="002518CA">
        <w:t xml:space="preserve"> y</w:t>
      </w:r>
      <w:r w:rsidRPr="00D931A8">
        <w:t xml:space="preserve"> video) de manera continua entre instalaciones propias situadas en una misma localidad o en localidades distintas. Es decir, utilizan los enlaces dedicados para establecer conexiones punto </w:t>
      </w:r>
      <w:r w:rsidRPr="00D931A8">
        <w:lastRenderedPageBreak/>
        <w:t xml:space="preserve">a punto o punto a multipunto y, más recientemente, enlaces multipunto a multipunto. Dada la conectividad que proveen los enlaces dedicados, las empresas </w:t>
      </w:r>
      <w:r w:rsidRPr="00D931A8">
        <w:rPr>
          <w:spacing w:val="-2"/>
        </w:rPr>
        <w:t xml:space="preserve">pueden </w:t>
      </w:r>
      <w:r w:rsidRPr="00D931A8">
        <w:t>demandar</w:t>
      </w:r>
      <w:r w:rsidRPr="00D931A8">
        <w:rPr>
          <w:spacing w:val="-2"/>
        </w:rPr>
        <w:t xml:space="preserve"> el servicio de arrendamiento</w:t>
      </w:r>
      <w:r w:rsidRPr="00D931A8">
        <w:t xml:space="preserve"> de </w:t>
      </w:r>
      <w:r w:rsidRPr="00D931A8">
        <w:rPr>
          <w:spacing w:val="-2"/>
        </w:rPr>
        <w:t>enlaces</w:t>
      </w:r>
      <w:r w:rsidRPr="00D931A8">
        <w:t xml:space="preserve"> </w:t>
      </w:r>
      <w:r w:rsidRPr="00D931A8">
        <w:rPr>
          <w:spacing w:val="-2"/>
        </w:rPr>
        <w:t>dedicados</w:t>
      </w:r>
      <w:r w:rsidRPr="00D931A8">
        <w:t xml:space="preserve"> junto con otros servicios como telefonía y/o acceso a internet dedicado, así como </w:t>
      </w:r>
      <w:r w:rsidRPr="00D931A8">
        <w:rPr>
          <w:spacing w:val="-2"/>
        </w:rPr>
        <w:t>servicios considerados de valor agregado como seguridad, cableado estructurado</w:t>
      </w:r>
      <w:r w:rsidRPr="00D931A8">
        <w:t>, respaldos de información, administración de redes, entre otros.</w:t>
      </w:r>
      <w:r w:rsidRPr="00D931A8">
        <w:rPr>
          <w:vertAlign w:val="superscript"/>
        </w:rPr>
        <w:footnoteReference w:id="121"/>
      </w:r>
    </w:p>
    <w:p w14:paraId="18AE37DC"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Por otro lado, los </w:t>
      </w:r>
      <w:r w:rsidRPr="005F1025">
        <w:t>concesionarios de RPT</w:t>
      </w:r>
      <w:r w:rsidRPr="00D931A8">
        <w:t xml:space="preserve"> demandan este servicio para transportar todo tipo de tráfico entre distintos puntos de su red, conectarse con otros </w:t>
      </w:r>
      <w:r w:rsidRPr="005F1025">
        <w:t>operadores de RPT</w:t>
      </w:r>
      <w:r w:rsidRPr="00D931A8">
        <w:t xml:space="preserve"> para el intercambio de tráfico conmutado y no conmutado, y dar acceso a su red a usuarios finales. Este servicio es utilizado tanto por operadores de redes fijas como de redes móviles para complementar su infraestructura de transporte o para llegar a clientes ubicados en lugares donde no cuentan con infraestructura propia. El servicio también es utilizado como insumo para proveer otros servicios de telecomunicaciones como pueden ser telefonía y acceso a internet de banda ancha fija.</w:t>
      </w:r>
    </w:p>
    <w:p w14:paraId="6EA1B4B5" w14:textId="77777777" w:rsidR="00D931A8" w:rsidRPr="00D931A8" w:rsidRDefault="00D931A8" w:rsidP="009B0A36">
      <w:pPr>
        <w:pStyle w:val="Ttulo4"/>
        <w:numPr>
          <w:ilvl w:val="1"/>
          <w:numId w:val="20"/>
        </w:numPr>
        <w:ind w:left="567" w:hanging="567"/>
      </w:pPr>
      <w:bookmarkStart w:id="39" w:name="_Toc463297865"/>
      <w:bookmarkStart w:id="40" w:name="_Toc463624322"/>
      <w:r w:rsidRPr="00D931A8">
        <w:t>Servicios sustitutos</w:t>
      </w:r>
      <w:bookmarkEnd w:id="39"/>
      <w:bookmarkEnd w:id="40"/>
    </w:p>
    <w:p w14:paraId="4C9E7006" w14:textId="77777777" w:rsidR="00D931A8" w:rsidRPr="00D931A8" w:rsidRDefault="00D931A8" w:rsidP="009B0A36">
      <w:pPr>
        <w:pStyle w:val="Prrafodelista"/>
        <w:numPr>
          <w:ilvl w:val="0"/>
          <w:numId w:val="13"/>
        </w:numPr>
        <w:spacing w:before="120" w:after="120" w:line="240" w:lineRule="auto"/>
        <w:contextualSpacing w:val="0"/>
        <w:jc w:val="both"/>
      </w:pPr>
      <w:r w:rsidRPr="00D931A8">
        <w:t>Para delimitar la dimensión producto del mercado relevante se debe tomar en cuenta el artículo 58, fracción I de la LFCE, el cual señala lo siguiente:</w:t>
      </w:r>
    </w:p>
    <w:p w14:paraId="753C8226" w14:textId="77777777" w:rsidR="00D931A8" w:rsidRPr="00D931A8" w:rsidRDefault="00955543" w:rsidP="00955543">
      <w:pPr>
        <w:ind w:left="567" w:right="567"/>
        <w:jc w:val="both"/>
        <w:rPr>
          <w:i/>
          <w:sz w:val="20"/>
          <w:szCs w:val="20"/>
        </w:rPr>
      </w:pPr>
      <w:r>
        <w:rPr>
          <w:i/>
          <w:sz w:val="20"/>
          <w:szCs w:val="20"/>
        </w:rPr>
        <w:t xml:space="preserve">I. </w:t>
      </w:r>
      <w:r w:rsidR="00D931A8" w:rsidRPr="00D931A8">
        <w:rPr>
          <w:i/>
          <w:sz w:val="20"/>
          <w:szCs w:val="20"/>
        </w:rPr>
        <w:t>Las posibilidades de sustituir el bien o servicio de que se trate por otros, tanto de origen nacional como extranjero, considerando las posibilidades tecnológicas, en qué medida los consumidores cuentan con sustitutos y el tiempo requerido para tal sustitución;</w:t>
      </w:r>
    </w:p>
    <w:p w14:paraId="2D59E231" w14:textId="77777777" w:rsidR="00D931A8" w:rsidRPr="00DF695B" w:rsidRDefault="00D931A8" w:rsidP="009B0A36">
      <w:pPr>
        <w:pStyle w:val="Ttulo5"/>
        <w:numPr>
          <w:ilvl w:val="2"/>
          <w:numId w:val="20"/>
        </w:numPr>
        <w:jc w:val="both"/>
        <w:rPr>
          <w:b/>
          <w:i w:val="0"/>
        </w:rPr>
      </w:pPr>
      <w:r w:rsidRPr="00DF695B">
        <w:rPr>
          <w:b/>
          <w:i w:val="0"/>
        </w:rPr>
        <w:t>Sustitución entre los servicios de arrendamiento de enlaces dedicados provistos por distintos medios de transmisión</w:t>
      </w:r>
    </w:p>
    <w:p w14:paraId="6C474B56" w14:textId="77777777" w:rsidR="00D931A8" w:rsidRPr="00D931A8" w:rsidRDefault="00D931A8" w:rsidP="009B0A36">
      <w:pPr>
        <w:pStyle w:val="Prrafodelista"/>
        <w:numPr>
          <w:ilvl w:val="0"/>
          <w:numId w:val="13"/>
        </w:numPr>
        <w:spacing w:before="120" w:after="120" w:line="240" w:lineRule="auto"/>
        <w:contextualSpacing w:val="0"/>
        <w:jc w:val="both"/>
        <w:rPr>
          <w:lang w:eastAsia="es-MX"/>
        </w:rPr>
      </w:pPr>
      <w:r w:rsidRPr="00D931A8">
        <w:rPr>
          <w:lang w:eastAsia="es-MX"/>
        </w:rPr>
        <w:t>Para la provisión de los servicios de arrendamiento de enlaces dedicados, los concesionarios utilizan distintos medios de transmisión alámbricos (</w:t>
      </w:r>
      <w:r w:rsidRPr="00D931A8">
        <w:t>par trenzado de cobre,</w:t>
      </w:r>
      <w:r w:rsidRPr="00D931A8">
        <w:rPr>
          <w:vertAlign w:val="superscript"/>
        </w:rPr>
        <w:t xml:space="preserve"> </w:t>
      </w:r>
      <w:r w:rsidRPr="00D931A8">
        <w:t>cables coaxiales y fibras ópticas)</w:t>
      </w:r>
      <w:r w:rsidRPr="00D931A8">
        <w:rPr>
          <w:lang w:eastAsia="es-MX"/>
        </w:rPr>
        <w:t xml:space="preserve"> e inalámbricos (</w:t>
      </w:r>
      <w:r w:rsidRPr="00D931A8">
        <w:t>microondas terrestres y microondas satelitales)</w:t>
      </w:r>
      <w:r w:rsidRPr="00D931A8">
        <w:rPr>
          <w:lang w:eastAsia="es-MX"/>
        </w:rPr>
        <w:t>.</w:t>
      </w:r>
      <w:r w:rsidRPr="00D931A8">
        <w:rPr>
          <w:vertAlign w:val="superscript"/>
        </w:rPr>
        <w:footnoteReference w:id="122"/>
      </w:r>
    </w:p>
    <w:p w14:paraId="062224C5" w14:textId="77777777" w:rsidR="00D931A8" w:rsidRPr="00D931A8" w:rsidRDefault="00D931A8" w:rsidP="009B0A36">
      <w:pPr>
        <w:pStyle w:val="Prrafodelista"/>
        <w:numPr>
          <w:ilvl w:val="0"/>
          <w:numId w:val="13"/>
        </w:numPr>
        <w:spacing w:before="120" w:after="120" w:line="240" w:lineRule="auto"/>
        <w:contextualSpacing w:val="0"/>
        <w:jc w:val="both"/>
      </w:pPr>
      <w:r w:rsidRPr="00D931A8">
        <w:rPr>
          <w:lang w:eastAsia="es-MX"/>
        </w:rPr>
        <w:t xml:space="preserve">Desde la perspectiva de la demanda, los enlaces dedicados poseen la misma funcionalidad independientemente del medio de transmisión, a excepción de los enlaces satelitales, los cuales </w:t>
      </w:r>
      <w:r w:rsidRPr="00D931A8">
        <w:t>son utilizados, principalmente, en transmisiones unidireccionales para aplicaciones multidestino; es decir, para aplicaciones en las que varias estaciones necesitan transmitir hacia el satélite o varias estaciones necesitan recibir la señal transmitida por el satélite.</w:t>
      </w:r>
      <w:r w:rsidRPr="00D931A8">
        <w:rPr>
          <w:vertAlign w:val="superscript"/>
        </w:rPr>
        <w:footnoteReference w:id="123"/>
      </w:r>
      <w:r w:rsidRPr="00D931A8">
        <w:t xml:space="preserve"> Además, las transmisiones que se realizan mediante enlaces satelitales son más susceptibles a presentar latencia, </w:t>
      </w:r>
      <w:r w:rsidRPr="00D931A8">
        <w:lastRenderedPageBreak/>
        <w:t>lo cual limita la utilidad de este tipo de enlaces en aplicaciones que requieren interactividad, como la telefonía, por lo que no se consideran como sustitutos del servicio de arrendamiento de enlaces dedicados provisto por otros medios de transmisión.</w:t>
      </w:r>
      <w:r w:rsidRPr="00D931A8">
        <w:rPr>
          <w:vertAlign w:val="superscript"/>
        </w:rPr>
        <w:footnoteReference w:id="124"/>
      </w:r>
    </w:p>
    <w:p w14:paraId="66E95D39" w14:textId="77777777" w:rsidR="00D931A8" w:rsidRPr="00D931A8" w:rsidRDefault="00D931A8" w:rsidP="009B0A36">
      <w:pPr>
        <w:pStyle w:val="Prrafodelista"/>
        <w:numPr>
          <w:ilvl w:val="0"/>
          <w:numId w:val="13"/>
        </w:numPr>
        <w:spacing w:before="120" w:after="120" w:line="240" w:lineRule="auto"/>
        <w:contextualSpacing w:val="0"/>
        <w:jc w:val="both"/>
      </w:pPr>
      <w:r w:rsidRPr="00D931A8">
        <w:rPr>
          <w:lang w:eastAsia="es-MX"/>
        </w:rPr>
        <w:t>Desde</w:t>
      </w:r>
      <w:r w:rsidRPr="00D931A8">
        <w:t xml:space="preserve"> la perspectiva de la oferta, los distintos medios de transmisión son opciones tecnológicas que tienen los proveedores de enlaces dedicados para satisfacer las necesidades de conectividad del cliente. Estos cuentan con distintas características técnico-económicas por lo que la decisión del medio a utilizar, generalmente, la realiza el proveedor considerando la capacidad de transmisión demandada, la ubicación de los domicilios del cliente, la distancia entre ellos, la disponibilidad de infraestructura en las ubicaciones requeridas, así como los tiempos de entrega. De hecho, es relativamente común que existan enlaces híbridos compuestos de tramos con medios de transmisión distintos o que el proveedor entregue el servicio al mismo cliente en diferentes ubicaciones con el medio que tenga disponible.</w:t>
      </w:r>
      <w:r w:rsidRPr="00D931A8">
        <w:rPr>
          <w:vertAlign w:val="superscript"/>
        </w:rPr>
        <w:footnoteReference w:id="125"/>
      </w:r>
    </w:p>
    <w:p w14:paraId="21AA54BC" w14:textId="77777777" w:rsidR="00D931A8" w:rsidRPr="00D931A8" w:rsidRDefault="00D931A8" w:rsidP="009B0A36">
      <w:pPr>
        <w:pStyle w:val="Prrafodelista"/>
        <w:numPr>
          <w:ilvl w:val="0"/>
          <w:numId w:val="13"/>
        </w:numPr>
        <w:spacing w:before="120" w:after="120" w:line="240" w:lineRule="auto"/>
        <w:contextualSpacing w:val="0"/>
        <w:jc w:val="both"/>
      </w:pPr>
      <w:r w:rsidRPr="00D931A8">
        <w:t>Ahora bien, las ofertas comerciales de los proveedores del servicio de arrendamiento de enlaces dedicados (a excepción de los satelitales) no distinguen el medio de transmisión por el que se entregará el servicio,</w:t>
      </w:r>
      <w:r w:rsidRPr="00D931A8">
        <w:rPr>
          <w:vertAlign w:val="superscript"/>
        </w:rPr>
        <w:footnoteReference w:id="126"/>
      </w:r>
      <w:r w:rsidRPr="00D931A8">
        <w:t xml:space="preserve"> de manera que, los precios del servicio de arrendamiento de enlaces dedicados son independientes del medio de transmisión,</w:t>
      </w:r>
      <w:r w:rsidRPr="00D931A8">
        <w:rPr>
          <w:vertAlign w:val="superscript"/>
        </w:rPr>
        <w:footnoteReference w:id="127"/>
      </w:r>
      <w:r w:rsidRPr="00D931A8">
        <w:t xml:space="preserve"> lo cual es indicativo de que los proveedores también los consideran como sustitutos.</w:t>
      </w:r>
      <w:r w:rsidRPr="00D931A8">
        <w:rPr>
          <w:vertAlign w:val="superscript"/>
        </w:rPr>
        <w:footnoteReference w:id="128"/>
      </w:r>
    </w:p>
    <w:p w14:paraId="1E8181E5"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el caso de los enlaces satelitales, los precios son más elevados y se cotizan de manera distinta a los enlaces provistos por otros medios de transmisión. Por ejemplo, este tipo de enlaces no suelen tener un costo por instalación y se cobra por Kbps, MHz, transpondedor o banda. Asimismo, un concesionario que ofrece solo enlaces satelitales tendría que invertir en infraestructura terrestre montos considerables de dinero y tiempo para poder ofrecer el servicio de enlaces dedicados a precios competitivos.</w:t>
      </w:r>
    </w:p>
    <w:p w14:paraId="6961009C"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En resumen, las posibilidades de sustitución entre los diferentes medios de transmisión de los enlaces dedicados, tanto desde la perspectiva de la demanda como de la oferta, implican que el mercado relevante incluya todos los medios de </w:t>
      </w:r>
      <w:r w:rsidRPr="00D931A8">
        <w:lastRenderedPageBreak/>
        <w:t>transmisión, a excepción de los enlaces satelitales, los cuales tienen características funcionales y precios distintos.</w:t>
      </w:r>
    </w:p>
    <w:p w14:paraId="49615962" w14:textId="77777777" w:rsidR="00D931A8" w:rsidRPr="00DF695B" w:rsidRDefault="00D931A8" w:rsidP="009B0A36">
      <w:pPr>
        <w:pStyle w:val="Ttulo5"/>
        <w:numPr>
          <w:ilvl w:val="2"/>
          <w:numId w:val="20"/>
        </w:numPr>
        <w:jc w:val="both"/>
        <w:rPr>
          <w:b/>
          <w:i w:val="0"/>
        </w:rPr>
      </w:pPr>
      <w:r w:rsidRPr="00DF695B">
        <w:rPr>
          <w:b/>
          <w:i w:val="0"/>
        </w:rPr>
        <w:t>Sustitución entre los servicios de arrendamiento de enlaces dedicados provistos por distintas tecnologías de transmisión</w:t>
      </w:r>
    </w:p>
    <w:p w14:paraId="36AECFFB" w14:textId="77777777" w:rsidR="00D931A8" w:rsidRPr="00D931A8" w:rsidRDefault="00D931A8" w:rsidP="009B0A36">
      <w:pPr>
        <w:pStyle w:val="Prrafodelista"/>
        <w:numPr>
          <w:ilvl w:val="0"/>
          <w:numId w:val="13"/>
        </w:numPr>
        <w:spacing w:before="120" w:after="120" w:line="240" w:lineRule="auto"/>
        <w:contextualSpacing w:val="0"/>
        <w:jc w:val="both"/>
      </w:pPr>
      <w:r w:rsidRPr="00D931A8">
        <w:t>El servicio de arrendamiento de enlaces dedicados se puede prestar mediante diversas tecnologías, las cuales implican diferentes protocolos e interfaces. En México, la oferta comercial de los operadores permite identificar, primordialmente, tres tipos de enlaces en función de la tecnología de transmisión: TDM, Ethernet y MPLS.</w:t>
      </w:r>
      <w:r w:rsidRPr="00D931A8">
        <w:rPr>
          <w:vertAlign w:val="superscript"/>
        </w:rPr>
        <w:footnoteReference w:id="129"/>
      </w:r>
    </w:p>
    <w:p w14:paraId="6B6D9FAE" w14:textId="77777777" w:rsidR="00D931A8" w:rsidRPr="00D931A8" w:rsidRDefault="00D931A8" w:rsidP="009B0A36">
      <w:pPr>
        <w:pStyle w:val="Ttulo6"/>
        <w:numPr>
          <w:ilvl w:val="3"/>
          <w:numId w:val="20"/>
        </w:numPr>
        <w:ind w:left="964" w:hanging="964"/>
      </w:pPr>
      <w:r w:rsidRPr="00D931A8">
        <w:t>TDM vs Ethernet</w:t>
      </w:r>
    </w:p>
    <w:p w14:paraId="6793CBB2" w14:textId="77777777" w:rsidR="00D931A8" w:rsidRPr="00D931A8" w:rsidRDefault="00D931A8" w:rsidP="009B0A36">
      <w:pPr>
        <w:pStyle w:val="Prrafodelista"/>
        <w:numPr>
          <w:ilvl w:val="0"/>
          <w:numId w:val="13"/>
        </w:numPr>
        <w:spacing w:before="120" w:after="120" w:line="240" w:lineRule="auto"/>
        <w:contextualSpacing w:val="0"/>
        <w:jc w:val="both"/>
      </w:pPr>
      <w:r w:rsidRPr="00D931A8">
        <w:t>La elección de la tecnología de transmisión depende básicamente de la naturaleza de la información a transmitir y de los equipos disponibles en el mercado. Las primeras redes desplegadas, que ofrecían principalmente comunicación de voz, utilizaban TDM (multiplexación por división de tiempo)</w:t>
      </w:r>
      <w:r w:rsidRPr="00661E1C">
        <w:rPr>
          <w:vertAlign w:val="superscript"/>
        </w:rPr>
        <w:footnoteReference w:id="130"/>
      </w:r>
      <w:r w:rsidRPr="00D931A8">
        <w:t xml:space="preserve"> para la transmisión de señales, pues es una tecnología que transmite un flujo continuo de bits, organizados en intervalos de tiempo (slots). En otras palabras, con esta tecnología, las señales son transmitidas en momentos predefinidos y específicos en el tiempo.</w:t>
      </w:r>
    </w:p>
    <w:p w14:paraId="2BFA64AD" w14:textId="77777777" w:rsidR="00D931A8" w:rsidRPr="00D931A8" w:rsidRDefault="00D931A8" w:rsidP="009B0A36">
      <w:pPr>
        <w:pStyle w:val="Prrafodelista"/>
        <w:numPr>
          <w:ilvl w:val="0"/>
          <w:numId w:val="13"/>
        </w:numPr>
        <w:spacing w:before="120" w:after="120" w:line="240" w:lineRule="auto"/>
        <w:contextualSpacing w:val="0"/>
        <w:jc w:val="both"/>
      </w:pPr>
      <w:r w:rsidRPr="00D931A8">
        <w:t>Con el paso de los años, la tecnología TDM fue capaz de absorber el crecimiento en el tráfico de datos, pero poco a poco los operadores han ido migrando a otras tecnologías más convenientes para el transporte de datos, como la tecnología Ethernet, en la cual los datos se transmiten como grupos de bits (conocidos como paquetes) de cualquier duración y en cualquier momento en el tiempo.</w:t>
      </w:r>
      <w:r w:rsidRPr="00661E1C">
        <w:rPr>
          <w:vertAlign w:val="superscript"/>
        </w:rPr>
        <w:footnoteReference w:id="131"/>
      </w:r>
      <w:r w:rsidRPr="00661E1C">
        <w:rPr>
          <w:vertAlign w:val="superscript"/>
        </w:rPr>
        <w:t xml:space="preserve"> </w:t>
      </w:r>
    </w:p>
    <w:p w14:paraId="3FF501BC" w14:textId="77777777" w:rsidR="00D931A8" w:rsidRPr="00D931A8" w:rsidRDefault="00D931A8" w:rsidP="009B0A36">
      <w:pPr>
        <w:pStyle w:val="Prrafodelista"/>
        <w:numPr>
          <w:ilvl w:val="0"/>
          <w:numId w:val="13"/>
        </w:numPr>
        <w:spacing w:before="120" w:after="120" w:line="240" w:lineRule="auto"/>
        <w:contextualSpacing w:val="0"/>
        <w:jc w:val="both"/>
      </w:pPr>
      <w:r w:rsidRPr="00D931A8">
        <w:t>La migración de una tecnología a otra es un proceso gradual, pues el despliegue de una red con una determinada tecnología de transmisión requiere tiempo y la adquisición de equipos, lo que conlleva una inversión económica significativa.</w:t>
      </w:r>
    </w:p>
    <w:p w14:paraId="35506EAD" w14:textId="77777777" w:rsidR="00D931A8" w:rsidRPr="00D931A8" w:rsidRDefault="00D931A8" w:rsidP="009B0A36">
      <w:pPr>
        <w:pStyle w:val="Prrafodelista"/>
        <w:numPr>
          <w:ilvl w:val="0"/>
          <w:numId w:val="13"/>
        </w:numPr>
        <w:spacing w:before="120" w:after="120" w:line="240" w:lineRule="auto"/>
        <w:contextualSpacing w:val="0"/>
        <w:jc w:val="both"/>
      </w:pPr>
      <w:r w:rsidRPr="00D931A8">
        <w:lastRenderedPageBreak/>
        <w:t>Desde el punto de vista del cliente, cada una de las tecnologías presenta ciertas ventajas. Por un lado, generalmente, se considera que TDM es una tecnología más fiable que Ethernet, ya que con la tecnología Ethernet los paquetes pueden entrar sin previo aviso, por lo que la red podría saturarse generando retrasos. Aunque los retrasos están en el rango de milisegundos, algunos usuarios o aplicaciones podrían sufrir debido a ello. Por otro lado, Ethernet ofrece a los usuarios mayor flexibilidad y escalabilidad a un menor costo que TDM. Además, con Ethernet los usuarios pueden incrementar el ancho de banda sin necesidad de sustituir equipos, mientras que con la tecnología TDM el crecimiento en el ancho de banda requeriría mayor inversión en los equipos del cliente.</w:t>
      </w:r>
      <w:r w:rsidRPr="00D931A8">
        <w:rPr>
          <w:vertAlign w:val="superscript"/>
        </w:rPr>
        <w:footnoteReference w:id="132"/>
      </w:r>
    </w:p>
    <w:p w14:paraId="69B2B378" w14:textId="77777777" w:rsidR="00D931A8" w:rsidRDefault="00D931A8" w:rsidP="009B0A36">
      <w:pPr>
        <w:pStyle w:val="Prrafodelista"/>
        <w:numPr>
          <w:ilvl w:val="0"/>
          <w:numId w:val="13"/>
        </w:numPr>
        <w:spacing w:before="120" w:after="120" w:line="240" w:lineRule="auto"/>
        <w:contextualSpacing w:val="0"/>
        <w:jc w:val="both"/>
      </w:pPr>
      <w:r w:rsidRPr="00D931A8">
        <w:t xml:space="preserve">Actualmente, en México, los proveedores del servicio de arrendamiento de enlaces reportan mayores ingresos por concepto de venta de enlaces Ethernet que </w:t>
      </w:r>
      <w:r w:rsidRPr="00A81C5C">
        <w:t>TDM (68.3% versus 31.7%, en el primer trimestre de dos mil dieciocho).</w:t>
      </w:r>
      <w:r w:rsidRPr="00A81C5C">
        <w:rPr>
          <w:vertAlign w:val="superscript"/>
        </w:rPr>
        <w:footnoteReference w:id="133"/>
      </w:r>
      <w:r w:rsidRPr="00A81C5C">
        <w:t xml:space="preserve"> En términos de enlaces de 2 Mbps, el número de enlaces Ethernet demandados es mayor al número de enlaces TDM (91.</w:t>
      </w:r>
      <w:r w:rsidR="00A81C5C">
        <w:t>3</w:t>
      </w:r>
      <w:r w:rsidRPr="00A81C5C">
        <w:t>% versus 8.</w:t>
      </w:r>
      <w:r w:rsidR="00A81C5C">
        <w:t>7</w:t>
      </w:r>
      <w:r w:rsidRPr="00A81C5C">
        <w:t>%, en</w:t>
      </w:r>
      <w:r w:rsidRPr="00D931A8">
        <w:t xml:space="preserve"> el primer trimestre de dos mil dieciocho).</w:t>
      </w:r>
      <w:r w:rsidRPr="00D931A8">
        <w:rPr>
          <w:vertAlign w:val="superscript"/>
        </w:rPr>
        <w:footnoteReference w:id="134"/>
      </w:r>
    </w:p>
    <w:p w14:paraId="079BED85" w14:textId="77777777" w:rsidR="00D931A8" w:rsidRPr="00154633" w:rsidRDefault="00D931A8" w:rsidP="009B0A36">
      <w:pPr>
        <w:pStyle w:val="Prrafodelista"/>
        <w:numPr>
          <w:ilvl w:val="0"/>
          <w:numId w:val="13"/>
        </w:numPr>
        <w:spacing w:before="120" w:after="120" w:line="240" w:lineRule="auto"/>
        <w:contextualSpacing w:val="0"/>
        <w:jc w:val="both"/>
      </w:pPr>
      <w:r w:rsidRPr="00D931A8">
        <w:t xml:space="preserve">Asimismo, los precios </w:t>
      </w:r>
      <w:r w:rsidRPr="00154633">
        <w:t xml:space="preserve">implícitos mensuales promedio por Mbps son mayores para enlaces TDM que para los enlaces Ethernet, como se muestra en el </w:t>
      </w:r>
      <w:r w:rsidR="00F90F23" w:rsidRPr="00154633">
        <w:t>Gráfico 2</w:t>
      </w:r>
      <w:r w:rsidRPr="00154633">
        <w:t xml:space="preserve"> para el periodo comprendido entre dos mil dieciséis y el primer trimestre de dos mil dieciocho (1T2018):</w:t>
      </w:r>
    </w:p>
    <w:p w14:paraId="03F3C284" w14:textId="77777777" w:rsidR="00D931A8" w:rsidRPr="00D931A8" w:rsidRDefault="00D931A8" w:rsidP="00E15AE2">
      <w:pPr>
        <w:keepNext/>
        <w:keepLines/>
        <w:spacing w:after="0"/>
        <w:jc w:val="center"/>
        <w:rPr>
          <w:b/>
          <w:sz w:val="18"/>
          <w:szCs w:val="20"/>
        </w:rPr>
      </w:pPr>
      <w:r w:rsidRPr="00154633">
        <w:rPr>
          <w:b/>
          <w:sz w:val="18"/>
          <w:szCs w:val="20"/>
        </w:rPr>
        <w:lastRenderedPageBreak/>
        <w:t>Gráfico 2. Precios implícitos mensuales por Mbps promedio</w:t>
      </w:r>
      <w:r w:rsidRPr="00D931A8">
        <w:rPr>
          <w:b/>
          <w:sz w:val="18"/>
          <w:szCs w:val="20"/>
          <w:vertAlign w:val="superscript"/>
        </w:rPr>
        <w:t>\a</w:t>
      </w:r>
      <w:r w:rsidRPr="00D931A8">
        <w:rPr>
          <w:b/>
          <w:sz w:val="18"/>
          <w:szCs w:val="20"/>
        </w:rPr>
        <w:t xml:space="preserve"> del servicio de arrendamiento de enlaces dedicados locales, por tipo de tecnología de transmisión (TDM y Ethernet), 2016-1T2018</w:t>
      </w:r>
    </w:p>
    <w:p w14:paraId="3979E219" w14:textId="77777777" w:rsidR="00D931A8" w:rsidRPr="00D931A8" w:rsidRDefault="00D931A8" w:rsidP="00E15AE2">
      <w:pPr>
        <w:keepNext/>
        <w:keepLines/>
        <w:spacing w:after="0"/>
        <w:jc w:val="center"/>
        <w:rPr>
          <w:b/>
          <w:sz w:val="18"/>
          <w:szCs w:val="20"/>
        </w:rPr>
      </w:pPr>
      <w:r w:rsidRPr="00D931A8">
        <w:rPr>
          <w:noProof/>
          <w:lang w:eastAsia="es-MX"/>
        </w:rPr>
        <w:drawing>
          <wp:inline distT="0" distB="0" distL="0" distR="0" wp14:anchorId="76E8601F" wp14:editId="4BBC69AA">
            <wp:extent cx="3688080" cy="1532238"/>
            <wp:effectExtent l="0" t="0" r="7620" b="0"/>
            <wp:docPr id="13" name="Gráfico 13" descr="Precios implícitos mensuales por Mbps promedio del servicio de arrendamiento de enalces dedicados locales, por tipo de tecnología de transmisión (TDM y Ethernet), del año 2016 al primer trimestre del 2018" title="Gráfico 2. Precios implícitos mensuales por Mbps promedio\a del servicio de arrendamiento de enlaces dedicados locales, por tipo de tecnología de transmisión (TDM y Ethernet), 2016-1T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E3B000" w14:textId="77777777" w:rsidR="00D931A8" w:rsidRPr="00D931A8" w:rsidRDefault="00CD29E3" w:rsidP="00E15AE2">
      <w:pPr>
        <w:keepNext/>
        <w:keepLines/>
        <w:spacing w:after="0"/>
        <w:jc w:val="both"/>
        <w:rPr>
          <w:sz w:val="16"/>
        </w:rPr>
      </w:pPr>
      <w:r>
        <w:rPr>
          <w:sz w:val="16"/>
        </w:rPr>
        <w:t>Nota</w:t>
      </w:r>
      <w:r w:rsidR="00D931A8" w:rsidRPr="00D931A8">
        <w:rPr>
          <w:sz w:val="16"/>
        </w:rPr>
        <w:t>:</w:t>
      </w:r>
    </w:p>
    <w:p w14:paraId="20E3BE74" w14:textId="77777777" w:rsidR="00254DA1" w:rsidRPr="00D931A8" w:rsidRDefault="00254DA1" w:rsidP="00E15AE2">
      <w:pPr>
        <w:keepNext/>
        <w:keepLines/>
        <w:spacing w:after="0"/>
        <w:jc w:val="both"/>
        <w:rPr>
          <w:sz w:val="16"/>
          <w:szCs w:val="16"/>
        </w:rPr>
      </w:pPr>
      <w:r w:rsidRPr="00D931A8">
        <w:rPr>
          <w:sz w:val="16"/>
          <w:szCs w:val="16"/>
          <w:vertAlign w:val="superscript"/>
        </w:rPr>
        <w:t>\a</w:t>
      </w:r>
      <w:r w:rsidRPr="00D931A8">
        <w:rPr>
          <w:sz w:val="16"/>
          <w:szCs w:val="16"/>
        </w:rPr>
        <w:t xml:space="preserve"> Los precios implícitos mensuales por Mbps promedio se obtuvieron al dividir el ingreso mensual entre el número de enlaces en términos de E1 o 2 Mbps, el resultado entre 2.048 o 2 Mbps.</w:t>
      </w:r>
    </w:p>
    <w:p w14:paraId="5C0E226F" w14:textId="77777777" w:rsidR="00254DA1" w:rsidRDefault="00254DA1" w:rsidP="00E15AE2">
      <w:pPr>
        <w:keepNext/>
        <w:keepLines/>
        <w:spacing w:after="0"/>
        <w:jc w:val="both"/>
        <w:rPr>
          <w:sz w:val="16"/>
          <w:szCs w:val="16"/>
          <w:vertAlign w:val="superscript"/>
        </w:rPr>
      </w:pPr>
      <w:r w:rsidRPr="00254DA1">
        <w:rPr>
          <w:sz w:val="16"/>
          <w:szCs w:val="16"/>
        </w:rPr>
        <w:t xml:space="preserve">Fuente: Elaboración propia con base en información de ingresos y número de enlaces arrendados proporcionada por </w:t>
      </w:r>
      <w:r w:rsidR="008B3B93" w:rsidRPr="008720D8">
        <w:rPr>
          <w:b/>
          <w:bCs/>
          <w:color w:val="0000CC"/>
          <w:sz w:val="16"/>
          <w:szCs w:val="16"/>
        </w:rPr>
        <w:t>“CONFIDENCIAL POR LEY”</w:t>
      </w:r>
      <w:r w:rsidR="00C82B1B" w:rsidRPr="00C82B1B">
        <w:rPr>
          <w:bCs/>
          <w:sz w:val="16"/>
          <w:szCs w:val="16"/>
        </w:rPr>
        <w:t>.</w:t>
      </w:r>
      <w:r w:rsidRPr="00254DA1">
        <w:rPr>
          <w:sz w:val="16"/>
          <w:szCs w:val="16"/>
        </w:rPr>
        <w:t xml:space="preserve"> Fojas 3238, 3411, 3414, 3417, 3421, 3422, 3424, 3426, 3472, 3556, 3559, 3560, 3756, 5084, </w:t>
      </w:r>
      <w:r w:rsidR="00D536E0">
        <w:rPr>
          <w:sz w:val="16"/>
          <w:szCs w:val="16"/>
        </w:rPr>
        <w:t xml:space="preserve">5462, 5538 a </w:t>
      </w:r>
      <w:r w:rsidRPr="00254DA1">
        <w:rPr>
          <w:sz w:val="16"/>
          <w:szCs w:val="16"/>
        </w:rPr>
        <w:t xml:space="preserve">5541, 5620, </w:t>
      </w:r>
      <w:r w:rsidR="00D536E0">
        <w:rPr>
          <w:sz w:val="16"/>
          <w:szCs w:val="16"/>
        </w:rPr>
        <w:t xml:space="preserve">5969 a </w:t>
      </w:r>
      <w:r w:rsidRPr="00254DA1">
        <w:rPr>
          <w:sz w:val="16"/>
          <w:szCs w:val="16"/>
        </w:rPr>
        <w:t>5973, 5984, 6096, 6097, 6099, 6100, 6128, 6459, 6917, 6924, 6927, 6928, 6930, 6933, 6934, 6972, 7157, 7883, 8077, 8080, 8089, 8113, 8741 y 8746</w:t>
      </w:r>
      <w:r>
        <w:rPr>
          <w:sz w:val="16"/>
          <w:szCs w:val="16"/>
        </w:rPr>
        <w:t xml:space="preserve"> del Expediente</w:t>
      </w:r>
      <w:r w:rsidR="0014280D">
        <w:rPr>
          <w:sz w:val="16"/>
          <w:szCs w:val="16"/>
        </w:rPr>
        <w:t>.</w:t>
      </w:r>
    </w:p>
    <w:p w14:paraId="254BE24E" w14:textId="77777777" w:rsidR="00AA6078" w:rsidRPr="00154633" w:rsidRDefault="00D931A8" w:rsidP="009B0A36">
      <w:pPr>
        <w:pStyle w:val="Prrafodelista"/>
        <w:numPr>
          <w:ilvl w:val="0"/>
          <w:numId w:val="13"/>
        </w:numPr>
        <w:spacing w:before="120" w:after="120" w:line="240" w:lineRule="auto"/>
        <w:contextualSpacing w:val="0"/>
        <w:jc w:val="both"/>
      </w:pPr>
      <w:r w:rsidRPr="00D931A8">
        <w:t xml:space="preserve">En términos de velocidad de transmisión, se observan patrones de consumo distintos entre ambos tipos de tecnología, los enlaces TDM se consumen en mayor proporción en bajas velocidades de transmisión (de hasta un E1 o 2.048 Mbps), </w:t>
      </w:r>
      <w:r w:rsidRPr="00154633">
        <w:t>mientras que los enlaces Ethernet se demandan, principalmente, en velocidades de transmisión superiores a 2 Mbps, como se muestra en el siguiente gráfico:</w:t>
      </w:r>
    </w:p>
    <w:p w14:paraId="6B3585FA" w14:textId="77777777" w:rsidR="00D931A8" w:rsidRPr="00AA6078" w:rsidRDefault="00D931A8" w:rsidP="00D860E6">
      <w:pPr>
        <w:pStyle w:val="Prrafodelista"/>
        <w:spacing w:before="120" w:after="0" w:line="240" w:lineRule="auto"/>
        <w:ind w:left="0"/>
        <w:contextualSpacing w:val="0"/>
        <w:jc w:val="center"/>
      </w:pPr>
      <w:r w:rsidRPr="00154633">
        <w:rPr>
          <w:b/>
          <w:sz w:val="18"/>
          <w:szCs w:val="20"/>
        </w:rPr>
        <w:t>Gráfico 3. Distribución del consumo por rango de velocidad de transmisión, por tipo de tecnología de transmisión</w:t>
      </w:r>
      <w:r w:rsidRPr="00AA6078">
        <w:rPr>
          <w:b/>
          <w:sz w:val="18"/>
          <w:szCs w:val="20"/>
        </w:rPr>
        <w:t xml:space="preserve"> (TDM y Ethernet), 2016-1T2018</w:t>
      </w:r>
    </w:p>
    <w:p w14:paraId="7F61B822" w14:textId="77777777" w:rsidR="00D931A8" w:rsidRPr="00D931A8" w:rsidRDefault="00D931A8" w:rsidP="00D860E6">
      <w:pPr>
        <w:spacing w:after="0"/>
        <w:jc w:val="center"/>
        <w:rPr>
          <w:sz w:val="16"/>
        </w:rPr>
      </w:pPr>
      <w:r w:rsidRPr="00D931A8">
        <w:rPr>
          <w:noProof/>
          <w:lang w:eastAsia="es-MX"/>
        </w:rPr>
        <w:drawing>
          <wp:inline distT="0" distB="0" distL="0" distR="0" wp14:anchorId="162E87E3" wp14:editId="121FBCE0">
            <wp:extent cx="4855845" cy="1816444"/>
            <wp:effectExtent l="0" t="0" r="1905" b="0"/>
            <wp:docPr id="14" name="Gráfico 14" descr="Distribución del consumo por rango de velocidad de transmisión para TDM y Ethernet de hasta 2 Mbps o mayor a 2 Mbps " title="Gráfico 3. Distribución del consumo por rango de velocidad de transmisión, por tipo de tecnología de transmisión (TDM y Ethernet), 2016-1T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E1FB57" w14:textId="77777777" w:rsidR="00D931A8" w:rsidRPr="00D931A8" w:rsidRDefault="00D931A8" w:rsidP="00D860E6">
      <w:pPr>
        <w:jc w:val="both"/>
        <w:rPr>
          <w:sz w:val="16"/>
          <w:szCs w:val="16"/>
        </w:rPr>
      </w:pPr>
      <w:r w:rsidRPr="00D931A8">
        <w:rPr>
          <w:sz w:val="16"/>
          <w:szCs w:val="16"/>
        </w:rPr>
        <w:t xml:space="preserve">Fuente: </w:t>
      </w:r>
      <w:r w:rsidR="00254DA1" w:rsidRPr="00D931A8">
        <w:rPr>
          <w:sz w:val="16"/>
          <w:szCs w:val="16"/>
        </w:rPr>
        <w:t>Elaboración propia con base en información</w:t>
      </w:r>
      <w:r w:rsidR="00254DA1">
        <w:rPr>
          <w:sz w:val="16"/>
          <w:szCs w:val="16"/>
        </w:rPr>
        <w:t xml:space="preserve"> </w:t>
      </w:r>
      <w:r w:rsidR="00254DA1" w:rsidRPr="00D931A8">
        <w:rPr>
          <w:sz w:val="16"/>
          <w:szCs w:val="16"/>
        </w:rPr>
        <w:t>sobre el número de enlaces TDM y Ethernet por rangos de velocidad</w:t>
      </w:r>
      <w:r w:rsidR="00254DA1">
        <w:rPr>
          <w:sz w:val="16"/>
          <w:szCs w:val="16"/>
        </w:rPr>
        <w:t xml:space="preserve"> proporcionada </w:t>
      </w:r>
      <w:r w:rsidR="00254DA1" w:rsidRPr="00254DA1">
        <w:rPr>
          <w:sz w:val="16"/>
          <w:szCs w:val="16"/>
        </w:rPr>
        <w:t xml:space="preserve">por </w:t>
      </w:r>
      <w:r w:rsidR="009F3C0D" w:rsidRPr="008720D8">
        <w:rPr>
          <w:b/>
          <w:bCs/>
          <w:color w:val="0000CC"/>
          <w:sz w:val="16"/>
          <w:szCs w:val="16"/>
        </w:rPr>
        <w:t>“CONFIDENCIAL POR LEY”</w:t>
      </w:r>
      <w:r w:rsidR="00254DA1" w:rsidRPr="00254DA1">
        <w:rPr>
          <w:sz w:val="16"/>
          <w:szCs w:val="16"/>
        </w:rPr>
        <w:t>. Fojas 3560, 5084, 5541, 5542, 5620, 6101, 6459, 7832, 8086 y 8113</w:t>
      </w:r>
      <w:r w:rsidR="00254DA1">
        <w:rPr>
          <w:sz w:val="16"/>
          <w:szCs w:val="16"/>
        </w:rPr>
        <w:t xml:space="preserve"> </w:t>
      </w:r>
      <w:r w:rsidR="00254DA1" w:rsidRPr="00D931A8">
        <w:rPr>
          <w:sz w:val="16"/>
          <w:szCs w:val="16"/>
        </w:rPr>
        <w:t>del Expediente.</w:t>
      </w:r>
    </w:p>
    <w:p w14:paraId="127436B6"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virtud de lo señalado anteriormente, se concluye lo siguiente: (1) las tecnologías TDM y Ethernet presentan precios diferentes, (2) la tecnología Ethernet es más demandada que la tecnología TDM, (3) los patrones de consumo entre ambas tecnologías son distintos y (4) desde el punto de vista del usuario, sustituir una tecnología por otra es un proceso gradual que requiere inversiones en tiempo y adaptación de equipos. Por lo tanto, para efectos del presente análisis, se considerará cada tecnología como un mercado independiente.</w:t>
      </w:r>
    </w:p>
    <w:p w14:paraId="0F63B27F" w14:textId="77777777" w:rsidR="00D931A8" w:rsidRPr="00D931A8" w:rsidRDefault="00D931A8" w:rsidP="009B0A36">
      <w:pPr>
        <w:pStyle w:val="Ttulo6"/>
        <w:numPr>
          <w:ilvl w:val="3"/>
          <w:numId w:val="20"/>
        </w:numPr>
        <w:ind w:left="964" w:hanging="964"/>
      </w:pPr>
      <w:r w:rsidRPr="00D931A8">
        <w:lastRenderedPageBreak/>
        <w:t>MPLS</w:t>
      </w:r>
      <w:r w:rsidRPr="00D931A8">
        <w:rPr>
          <w:vertAlign w:val="superscript"/>
        </w:rPr>
        <w:footnoteReference w:id="135"/>
      </w:r>
    </w:p>
    <w:p w14:paraId="7EC36576"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enlaces con protocolo MPLS son enlaces de comunicación por conmutación de paquetes,</w:t>
      </w:r>
      <w:r w:rsidRPr="00D931A8">
        <w:rPr>
          <w:vertAlign w:val="superscript"/>
        </w:rPr>
        <w:t xml:space="preserve"> </w:t>
      </w:r>
      <w:r w:rsidR="0014280D">
        <w:t>en los que los datos se</w:t>
      </w:r>
      <w:r w:rsidR="0014280D" w:rsidRPr="00D931A8">
        <w:t xml:space="preserve"> </w:t>
      </w:r>
      <w:r w:rsidRPr="00D931A8">
        <w:t xml:space="preserve">transmiten en tramas, celdas o paquetes rotulados. Los enlaces por conmutación de paquetes se </w:t>
      </w:r>
      <w:r w:rsidR="0014280D" w:rsidRPr="00D931A8">
        <w:t>comporta</w:t>
      </w:r>
      <w:r w:rsidR="0014280D">
        <w:t>n</w:t>
      </w:r>
      <w:r w:rsidR="0014280D" w:rsidRPr="00D931A8">
        <w:t xml:space="preserve"> </w:t>
      </w:r>
      <w:r w:rsidRPr="00D931A8">
        <w:t>como si fueran enlaces dedicados en términos de las características antes descritas, pues se establece un circuito virtual permanente, a través de una definición lógica, la cual predefine un camino para la transmisión.</w:t>
      </w:r>
      <w:r w:rsidRPr="00D931A8">
        <w:rPr>
          <w:vertAlign w:val="superscript"/>
        </w:rPr>
        <w:footnoteReference w:id="136"/>
      </w:r>
    </w:p>
    <w:p w14:paraId="291849F8" w14:textId="77777777" w:rsidR="00D931A8" w:rsidRDefault="00D931A8" w:rsidP="009B0A36">
      <w:pPr>
        <w:pStyle w:val="Prrafodelista"/>
        <w:numPr>
          <w:ilvl w:val="0"/>
          <w:numId w:val="13"/>
        </w:numPr>
        <w:spacing w:before="120" w:after="120" w:line="240" w:lineRule="auto"/>
        <w:contextualSpacing w:val="0"/>
        <w:jc w:val="both"/>
      </w:pPr>
      <w:r w:rsidRPr="00D931A8">
        <w:t>En general, tanto los enlaces MPLS como los enlaces dedicados TDM o Ethernet soportan volúmenes de tráfico similares. Sin embargo, los primeros hacen uso de una red MPLS exclusiva para la prestación de este servicio</w:t>
      </w:r>
      <w:r w:rsidR="00CA487E">
        <w:t>;</w:t>
      </w:r>
      <w:r w:rsidRPr="00D931A8">
        <w:t xml:space="preserve"> asimismo</w:t>
      </w:r>
      <w:r w:rsidR="00CA487E">
        <w:t>,</w:t>
      </w:r>
      <w:r w:rsidRPr="00D931A8">
        <w:t xml:space="preserve"> facilitan la escalabilidad permitiendo agregar </w:t>
      </w:r>
      <w:r w:rsidRPr="00D931A8">
        <w:rPr>
          <w:sz w:val="21"/>
        </w:rPr>
        <w:t xml:space="preserve">nuevos </w:t>
      </w:r>
      <w:r w:rsidRPr="00D931A8">
        <w:t xml:space="preserve">enlaces sin necesidad de despliegue de </w:t>
      </w:r>
      <w:r w:rsidRPr="00154633">
        <w:t>infraestructura adicional</w:t>
      </w:r>
      <w:r w:rsidR="008F42BF" w:rsidRPr="00154633">
        <w:t>,</w:t>
      </w:r>
      <w:r w:rsidRPr="00154633">
        <w:t xml:space="preserve"> por lo que tienen un precio superior a estos últimos, como se aprecia en el siguiente gráfico.</w:t>
      </w:r>
    </w:p>
    <w:p w14:paraId="23DA6A5D" w14:textId="77777777" w:rsidR="00D931A8" w:rsidRDefault="00D931A8" w:rsidP="00C40B54">
      <w:pPr>
        <w:keepNext/>
        <w:spacing w:after="0"/>
        <w:jc w:val="center"/>
        <w:rPr>
          <w:b/>
          <w:sz w:val="18"/>
          <w:szCs w:val="20"/>
        </w:rPr>
      </w:pPr>
      <w:r w:rsidRPr="00154633">
        <w:rPr>
          <w:b/>
          <w:sz w:val="18"/>
        </w:rPr>
        <w:t>Gráfico 4.</w:t>
      </w:r>
      <w:r w:rsidRPr="00154633">
        <w:rPr>
          <w:b/>
          <w:sz w:val="18"/>
          <w:szCs w:val="20"/>
        </w:rPr>
        <w:t xml:space="preserve"> Precios implícitos</w:t>
      </w:r>
      <w:r w:rsidRPr="00D931A8">
        <w:rPr>
          <w:b/>
          <w:sz w:val="18"/>
          <w:szCs w:val="20"/>
        </w:rPr>
        <w:t xml:space="preserve"> mensuales por Mbps promedio del servicio de arrendamiento de enlaces, por tipo de tecnología de transmisión (MPLS, TDM y Ethernet), 2016-1T2018</w:t>
      </w:r>
    </w:p>
    <w:p w14:paraId="0D2F3F44" w14:textId="77777777" w:rsidR="008C773D" w:rsidRDefault="008C773D" w:rsidP="00D931A8">
      <w:pPr>
        <w:spacing w:after="0"/>
        <w:jc w:val="center"/>
        <w:rPr>
          <w:b/>
          <w:sz w:val="18"/>
          <w:szCs w:val="20"/>
        </w:rPr>
      </w:pPr>
      <w:r>
        <w:rPr>
          <w:noProof/>
          <w:lang w:eastAsia="es-MX"/>
        </w:rPr>
        <w:drawing>
          <wp:inline distT="0" distB="0" distL="0" distR="0" wp14:anchorId="669D93B2" wp14:editId="463807F4">
            <wp:extent cx="3622040" cy="1408670"/>
            <wp:effectExtent l="0" t="0" r="0" b="1270"/>
            <wp:docPr id="10" name="Gráfico 10" descr="Gráfico que contiene los precios implícitos por Mbps promedio del servicio de arrendamiento de enlaces por tipo de tecnología de transmisión, del año 2017 al primer trimestre del 2018." title="Gráfico 4. Precios implícitos mensuales por Mbps promedio del servicio de arrendamiento de enlaces, por tipo de tecnología de transmisión (MPLS, TDM y Ethernet), 2016-1T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9AC022" w14:textId="77777777" w:rsidR="00D931A8" w:rsidRPr="00A80172" w:rsidRDefault="00D931A8" w:rsidP="00D931A8">
      <w:pPr>
        <w:spacing w:after="0"/>
        <w:jc w:val="both"/>
        <w:rPr>
          <w:sz w:val="16"/>
          <w:szCs w:val="16"/>
        </w:rPr>
      </w:pPr>
      <w:r w:rsidRPr="00A80172">
        <w:rPr>
          <w:sz w:val="16"/>
          <w:szCs w:val="16"/>
        </w:rPr>
        <w:t>Nota:</w:t>
      </w:r>
    </w:p>
    <w:p w14:paraId="13C9CD8B" w14:textId="77777777" w:rsidR="00A80172" w:rsidRPr="00A80172" w:rsidRDefault="00CD29E3" w:rsidP="00A80172">
      <w:pPr>
        <w:spacing w:after="0"/>
        <w:jc w:val="both"/>
        <w:rPr>
          <w:sz w:val="16"/>
          <w:szCs w:val="16"/>
        </w:rPr>
      </w:pPr>
      <w:r w:rsidRPr="00A80172">
        <w:rPr>
          <w:sz w:val="16"/>
          <w:szCs w:val="16"/>
          <w:vertAlign w:val="superscript"/>
        </w:rPr>
        <w:t xml:space="preserve">\a </w:t>
      </w:r>
      <w:r w:rsidR="00A80172" w:rsidRPr="00A80172">
        <w:rPr>
          <w:sz w:val="16"/>
          <w:szCs w:val="16"/>
        </w:rPr>
        <w:t>Los precios implícitos mensuales por Mbps promedio se obtuvieron de dividir el ingreso mensual entre el número de enlaces en términos de E1 o 2 Mbps y el resultado entre 2.048 o 2 Mbps.</w:t>
      </w:r>
    </w:p>
    <w:p w14:paraId="3FDF0445" w14:textId="77777777" w:rsidR="00A80172" w:rsidRPr="00D931A8" w:rsidRDefault="00A80172" w:rsidP="00A80172">
      <w:pPr>
        <w:jc w:val="both"/>
        <w:rPr>
          <w:sz w:val="16"/>
          <w:szCs w:val="16"/>
        </w:rPr>
      </w:pPr>
      <w:r w:rsidRPr="00A80172">
        <w:rPr>
          <w:sz w:val="16"/>
          <w:szCs w:val="16"/>
        </w:rPr>
        <w:t xml:space="preserve">Fuente: Elaboración propia con base en información de los ingresos por concepto de arrendamiento de enlaces dedicados por tipo de tecnología y número de enlaces en términos de E1 o 2 Mbps proporcionada por </w:t>
      </w:r>
      <w:r w:rsidR="009F3C0D" w:rsidRPr="008720D8">
        <w:rPr>
          <w:b/>
          <w:bCs/>
          <w:color w:val="0000CC"/>
          <w:sz w:val="16"/>
          <w:szCs w:val="16"/>
        </w:rPr>
        <w:t>“CONFIDENCIAL POR LEY”</w:t>
      </w:r>
      <w:r w:rsidR="009F3C0D" w:rsidRPr="009F3C0D">
        <w:rPr>
          <w:bCs/>
          <w:sz w:val="16"/>
          <w:szCs w:val="16"/>
        </w:rPr>
        <w:t>.</w:t>
      </w:r>
      <w:r w:rsidRPr="00A80172">
        <w:rPr>
          <w:sz w:val="16"/>
          <w:szCs w:val="16"/>
        </w:rPr>
        <w:t xml:space="preserve"> Fojas 3238, 3411, 3414, 3417, 3421, 3422, 3424, 3426, 3472, 3556, 3559, 3560, 3756, 5084, 5462, 5538-5541, 5620, 5969-5973, 5984, 6459, 7157, 7883, 8077, 8080, 8089, 8113, 8741 y 8746 del Expediente.</w:t>
      </w:r>
    </w:p>
    <w:p w14:paraId="69B39C70" w14:textId="77777777" w:rsidR="00D931A8" w:rsidRPr="00D931A8" w:rsidRDefault="00D931A8" w:rsidP="009B0A36">
      <w:pPr>
        <w:pStyle w:val="Prrafodelista"/>
        <w:numPr>
          <w:ilvl w:val="0"/>
          <w:numId w:val="13"/>
        </w:numPr>
        <w:spacing w:before="120" w:after="120" w:line="240" w:lineRule="auto"/>
        <w:contextualSpacing w:val="0"/>
        <w:jc w:val="both"/>
      </w:pPr>
      <w:r w:rsidRPr="00D931A8">
        <w:t>Adicionalmente, los enlaces MPLS permiten realizar ingeniería de tráfico y cursar tráfico con diferentes clases de servicio o CoS (</w:t>
      </w:r>
      <w:r w:rsidRPr="00D931A8">
        <w:rPr>
          <w:i/>
        </w:rPr>
        <w:t>Class of Service</w:t>
      </w:r>
      <w:r w:rsidRPr="00D931A8">
        <w:t>) o grados de calidad de servicio o QoS (</w:t>
      </w:r>
      <w:r w:rsidRPr="00D931A8">
        <w:rPr>
          <w:i/>
        </w:rPr>
        <w:t>Quality of Service</w:t>
      </w:r>
      <w:r w:rsidRPr="00D931A8">
        <w:t>).</w:t>
      </w:r>
      <w:r w:rsidRPr="00D931A8">
        <w:rPr>
          <w:vertAlign w:val="superscript"/>
        </w:rPr>
        <w:footnoteReference w:id="137"/>
      </w:r>
      <w:r w:rsidRPr="00D931A8">
        <w:t xml:space="preserve"> Por lo anterior, los operadores suelen cobrar una tarifa diferenciada que depende de la clase de servicio que desee el cliente.</w:t>
      </w:r>
    </w:p>
    <w:p w14:paraId="2A855892" w14:textId="77777777" w:rsidR="00D931A8" w:rsidRPr="00D931A8" w:rsidRDefault="00D931A8" w:rsidP="009B0A36">
      <w:pPr>
        <w:pStyle w:val="Prrafodelista"/>
        <w:numPr>
          <w:ilvl w:val="0"/>
          <w:numId w:val="13"/>
        </w:numPr>
        <w:spacing w:before="120" w:after="120" w:line="240" w:lineRule="auto"/>
        <w:contextualSpacing w:val="0"/>
        <w:jc w:val="both"/>
      </w:pPr>
      <w:r w:rsidRPr="00D931A8">
        <w:lastRenderedPageBreak/>
        <w:t>Este servicio de conexión se recomienda para empresas que requieren, además de conectividad entre sus instalaciones, conectividad con sus clientes y proveedores; y que, asimismo, buscan incrementar su nivel de servicio, a través de una administración sencilla y centralizada.</w:t>
      </w:r>
      <w:r w:rsidRPr="00D931A8">
        <w:rPr>
          <w:vertAlign w:val="superscript"/>
        </w:rPr>
        <w:footnoteReference w:id="138"/>
      </w:r>
      <w:r w:rsidRPr="00D931A8">
        <w:t xml:space="preserve"> En este sentido, el servicio de arrendamiento de enlaces MPLS es demandado por usuarios finales que buscan una solución completa a sus necesidades de conectividad.</w:t>
      </w:r>
      <w:r w:rsidRPr="00D931A8">
        <w:rPr>
          <w:vertAlign w:val="superscript"/>
        </w:rPr>
        <w:footnoteReference w:id="139"/>
      </w:r>
    </w:p>
    <w:p w14:paraId="58A39162" w14:textId="77777777" w:rsidR="00D931A8" w:rsidRPr="00D931A8" w:rsidRDefault="00D931A8" w:rsidP="009B0A36">
      <w:pPr>
        <w:pStyle w:val="Prrafodelista"/>
        <w:numPr>
          <w:ilvl w:val="0"/>
          <w:numId w:val="13"/>
        </w:numPr>
        <w:spacing w:before="120" w:after="120" w:line="240" w:lineRule="auto"/>
        <w:contextualSpacing w:val="0"/>
        <w:jc w:val="both"/>
      </w:pPr>
      <w:r w:rsidRPr="00D931A8">
        <w:t>Por otra parte, los usuarios de los enlaces MPLS solo pagan por el bucle local o por el circuito de acceso al proveedor de los servicios (la conexión entre el cliente y el conmutador del proveedor) y por el ancho de banda contratado. La distancia entre los nodos a comunicar no es importante, como lo es en el caso de los enlaces dedicados de mayor cobertura geográfica, pues el enlace de transporte se comparte entre varios usuarios. Por tanto, en el caso de los enlaces MPLS no existe una oferta comercial por cobertura geográfica.</w:t>
      </w:r>
      <w:r w:rsidRPr="00D931A8">
        <w:rPr>
          <w:vertAlign w:val="superscript"/>
        </w:rPr>
        <w:footnoteReference w:id="140"/>
      </w:r>
    </w:p>
    <w:p w14:paraId="160D4D39"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resumen, se considera que el servicio de arrendamiento de enlaces MPLS no es sustituto de los servicios de arrendamiento de enlaces dedicados proveídos a través de las tecnologías TDM o Ethernet, puesto que el primer servicio ofrece funcionalidades adicionales que resultan relevantes para las empresas y que, por lo mismo, tiene precios más elevados.</w:t>
      </w:r>
    </w:p>
    <w:p w14:paraId="17583769" w14:textId="77777777" w:rsidR="00D931A8" w:rsidRPr="00DF695B" w:rsidRDefault="00D931A8" w:rsidP="009B0A36">
      <w:pPr>
        <w:pStyle w:val="Ttulo5"/>
        <w:numPr>
          <w:ilvl w:val="2"/>
          <w:numId w:val="20"/>
        </w:numPr>
        <w:jc w:val="both"/>
        <w:rPr>
          <w:b/>
          <w:i w:val="0"/>
        </w:rPr>
      </w:pPr>
      <w:r w:rsidRPr="00DF695B">
        <w:rPr>
          <w:b/>
          <w:i w:val="0"/>
        </w:rPr>
        <w:t>Sustitución entre los servicios de arrendamiento de enlaces dedicados provistos a clientes minoristas y mayoristas</w:t>
      </w:r>
    </w:p>
    <w:p w14:paraId="2E52775C"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El servicio de arrendamiento de enlaces dedicados atiende a dos tipos de usuarios, a saber, los clientes mayoristas que son operadores de RPT </w:t>
      </w:r>
      <w:r w:rsidR="00825139">
        <w:t xml:space="preserve">y autorizados, </w:t>
      </w:r>
      <w:r w:rsidRPr="00D931A8">
        <w:t>y los clientes minoristas que incluyen, principalmente, grandes empresas, corporaciones e instituciones públicas y privadas.</w:t>
      </w:r>
    </w:p>
    <w:p w14:paraId="2CB9D173"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Los clientes mayoristas contratan enlaces dedicados como insumo para proveer otros servicios de telecomunicaciones, que posteriormente son comercializados ya sea a usuarios finales o a otros operadores de RPT. Así, el operador de RPT que compra el servicio probablemente se convertirá en competidor, en mercados de mayor valor agregado, del operador que vende el servicio de enlaces dedicados. De esta manera, se configura una compleja relación competitiva entre operadores, como cliente/proveedor en unos mercados y como competidor en </w:t>
      </w:r>
      <w:r w:rsidRPr="00D931A8">
        <w:lastRenderedPageBreak/>
        <w:t>otros. Además, los enlaces que contratan los clientes mayoristas se caracterizan en que al menos una de las puntas del enlace está ubicada en un punto de presencia del operador demandante del servicio.</w:t>
      </w:r>
    </w:p>
    <w:p w14:paraId="6FA4F820"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Por su parte, los </w:t>
      </w:r>
      <w:r w:rsidR="00A43152">
        <w:t>clientes minoristas</w:t>
      </w:r>
      <w:r w:rsidRPr="00D931A8">
        <w:t xml:space="preserve"> contratan los enlaces dedicados para dar conectividad a distintas instalaciones propias, por lo que dos puntas del enlace siempre se ubican en instalaciones que son propiedad del usuario final. De acuerdo con algunos contratos, a diferencia de los clientes mayoristas, los clientes minoristas no pueden utilizar los enlaces dedicados para proveer o comercializar servicios de telecomunicaciones a terceros.</w:t>
      </w:r>
      <w:r w:rsidRPr="00D931A8">
        <w:rPr>
          <w:vertAlign w:val="superscript"/>
        </w:rPr>
        <w:footnoteReference w:id="141"/>
      </w:r>
    </w:p>
    <w:p w14:paraId="26CFCB2E" w14:textId="77777777" w:rsidR="00550424" w:rsidRDefault="00D931A8" w:rsidP="009B0A36">
      <w:pPr>
        <w:pStyle w:val="Prrafodelista"/>
        <w:numPr>
          <w:ilvl w:val="0"/>
          <w:numId w:val="13"/>
        </w:numPr>
        <w:spacing w:before="120" w:after="120" w:line="240" w:lineRule="auto"/>
        <w:contextualSpacing w:val="0"/>
        <w:jc w:val="both"/>
      </w:pPr>
      <w:r w:rsidRPr="00D931A8">
        <w:t xml:space="preserve">Por el lado de la demanda, los mercados mayorista y minorista presentan patrones de consumo distintos: los usuarios mayoristas demandan el servicio a mayores velocidades de transmisión, </w:t>
      </w:r>
      <w:r w:rsidRPr="00A43152">
        <w:t xml:space="preserve">principalmente en lo que respecta a los enlaces Ethernet, como se observa en el Gráfico 5. En términos de ingresos, los principales </w:t>
      </w:r>
      <w:r w:rsidR="004D1123" w:rsidRPr="00A43152">
        <w:t>usuarios</w:t>
      </w:r>
      <w:r w:rsidRPr="00A43152">
        <w:t xml:space="preserve"> de enlaces son </w:t>
      </w:r>
      <w:r w:rsidR="00B87824" w:rsidRPr="00A43152">
        <w:t xml:space="preserve">también los </w:t>
      </w:r>
      <w:r w:rsidR="00E41D23" w:rsidRPr="00A43152">
        <w:t xml:space="preserve">mayoristas, es decir, </w:t>
      </w:r>
      <w:r w:rsidRPr="00A43152">
        <w:t>otros concesionarios de RPT</w:t>
      </w:r>
      <w:r w:rsidR="00A43152">
        <w:t>.</w:t>
      </w:r>
      <w:r w:rsidR="00A43152" w:rsidRPr="00A43152">
        <w:t xml:space="preserve"> </w:t>
      </w:r>
      <w:r w:rsidR="00A43152">
        <w:t>P</w:t>
      </w:r>
      <w:r w:rsidR="00A43152" w:rsidRPr="00A43152">
        <w:t>or ejemplo</w:t>
      </w:r>
      <w:r w:rsidR="00A43152">
        <w:t>,</w:t>
      </w:r>
      <w:r w:rsidR="00A43152" w:rsidRPr="00A43152">
        <w:t xml:space="preserve"> </w:t>
      </w:r>
      <w:r w:rsidR="00A43152">
        <w:t>e</w:t>
      </w:r>
      <w:r w:rsidR="00A43152" w:rsidRPr="00A43152">
        <w:t xml:space="preserve">n el año dos mil diecisiete, los usuarios mayoristas representaron el </w:t>
      </w:r>
      <w:r w:rsidR="00C65A2F" w:rsidRPr="00C65A2F">
        <w:rPr>
          <w:b/>
          <w:bCs/>
          <w:color w:val="0000CC"/>
        </w:rPr>
        <w:t>“CONFIDENCIAL POR LEY”</w:t>
      </w:r>
      <w:r w:rsidR="00A43152" w:rsidRPr="00A43152">
        <w:t xml:space="preserve"> de los ingresos por servicios de arrendamiento de enlaces TDM y Ethernet de </w:t>
      </w:r>
      <w:r w:rsidR="00C65A2F" w:rsidRPr="00C65A2F">
        <w:rPr>
          <w:b/>
          <w:bCs/>
          <w:color w:val="0000CC"/>
        </w:rPr>
        <w:t>“CONFIDENCIAL POR LEY”</w:t>
      </w:r>
      <w:r w:rsidR="00A43152" w:rsidRPr="00A43152">
        <w:t>, respectivamente</w:t>
      </w:r>
      <w:r w:rsidRPr="00A43152">
        <w:t>.</w:t>
      </w:r>
      <w:r w:rsidRPr="00A43152">
        <w:rPr>
          <w:vertAlign w:val="superscript"/>
        </w:rPr>
        <w:footnoteReference w:id="142"/>
      </w:r>
      <w:r w:rsidR="00A43152">
        <w:t xml:space="preserve"> </w:t>
      </w:r>
    </w:p>
    <w:p w14:paraId="0CB25864" w14:textId="77777777" w:rsidR="00D931A8" w:rsidRPr="00D931A8" w:rsidRDefault="00D931A8" w:rsidP="000F3B93">
      <w:pPr>
        <w:keepNext/>
        <w:keepLines/>
        <w:spacing w:after="0"/>
        <w:jc w:val="center"/>
        <w:rPr>
          <w:b/>
          <w:sz w:val="18"/>
          <w:szCs w:val="20"/>
        </w:rPr>
      </w:pPr>
      <w:r w:rsidRPr="00A43152">
        <w:rPr>
          <w:b/>
          <w:sz w:val="18"/>
          <w:szCs w:val="20"/>
        </w:rPr>
        <w:lastRenderedPageBreak/>
        <w:t>Gráfico 5. Distribución del consumo por rango de velocidad</w:t>
      </w:r>
      <w:r w:rsidRPr="00D931A8">
        <w:rPr>
          <w:b/>
          <w:sz w:val="18"/>
          <w:szCs w:val="20"/>
        </w:rPr>
        <w:t xml:space="preserve"> de transmisión, por tipo de cliente y por tipo de tecnología de transmisión (TDM y Ethernet), 2016-1T2018</w:t>
      </w:r>
    </w:p>
    <w:p w14:paraId="30F59C0B" w14:textId="77777777" w:rsidR="00D931A8" w:rsidRPr="00D931A8" w:rsidRDefault="00D931A8" w:rsidP="000F3B93">
      <w:pPr>
        <w:keepNext/>
        <w:keepLines/>
        <w:numPr>
          <w:ilvl w:val="0"/>
          <w:numId w:val="16"/>
        </w:numPr>
        <w:spacing w:before="120" w:after="0"/>
        <w:contextualSpacing/>
        <w:jc w:val="center"/>
        <w:rPr>
          <w:b/>
          <w:sz w:val="16"/>
          <w:szCs w:val="16"/>
        </w:rPr>
      </w:pPr>
      <w:r w:rsidRPr="00D931A8">
        <w:rPr>
          <w:b/>
          <w:sz w:val="16"/>
          <w:szCs w:val="16"/>
        </w:rPr>
        <w:t>Porcentaje de acuerdo con la velocidad de transmisión de los enlaces TDM</w:t>
      </w:r>
    </w:p>
    <w:p w14:paraId="59700FD0" w14:textId="77777777" w:rsidR="00B12C15" w:rsidRDefault="00D931A8" w:rsidP="000F3B93">
      <w:pPr>
        <w:keepNext/>
        <w:keepLines/>
        <w:jc w:val="both"/>
      </w:pPr>
      <w:r w:rsidRPr="00D931A8">
        <w:rPr>
          <w:noProof/>
          <w:lang w:eastAsia="es-MX"/>
        </w:rPr>
        <w:drawing>
          <wp:inline distT="0" distB="0" distL="0" distR="0" wp14:anchorId="6E95F1E1" wp14:editId="096D4791">
            <wp:extent cx="5612130" cy="1644383"/>
            <wp:effectExtent l="0" t="0" r="7620" b="0"/>
            <wp:docPr id="6" name="Gráfico 6" descr="Panel A. Porcentaje de acuerdo con la velocidad de transmisión de los enlaces TDM" title="Gráfico 5. Distribución del consumo por rango de velocidad de transmisión, por tipo de cliente y por tipo de tecnología de transmisión (TDM y Ethernet), 2016-1T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1B72C8" w14:textId="77777777" w:rsidR="00D931A8" w:rsidRPr="00D931A8" w:rsidRDefault="00D931A8" w:rsidP="000F3B93">
      <w:pPr>
        <w:keepNext/>
        <w:keepLines/>
        <w:numPr>
          <w:ilvl w:val="0"/>
          <w:numId w:val="16"/>
        </w:numPr>
        <w:spacing w:before="120" w:after="0"/>
        <w:contextualSpacing/>
        <w:jc w:val="center"/>
        <w:rPr>
          <w:b/>
          <w:sz w:val="16"/>
          <w:szCs w:val="16"/>
        </w:rPr>
      </w:pPr>
      <w:r w:rsidRPr="00D931A8">
        <w:rPr>
          <w:b/>
          <w:sz w:val="16"/>
          <w:szCs w:val="16"/>
        </w:rPr>
        <w:t>Porcentaje de acuerdo con la velocidad de transmisión de los enlaces Ethernet</w:t>
      </w:r>
    </w:p>
    <w:p w14:paraId="270F42CB" w14:textId="77777777" w:rsidR="00D931A8" w:rsidRPr="00D931A8" w:rsidRDefault="00D931A8" w:rsidP="000F3B93">
      <w:pPr>
        <w:keepNext/>
        <w:keepLines/>
        <w:spacing w:before="120" w:after="0"/>
        <w:contextualSpacing/>
        <w:jc w:val="both"/>
        <w:rPr>
          <w:b/>
          <w:sz w:val="16"/>
          <w:szCs w:val="16"/>
        </w:rPr>
      </w:pPr>
      <w:r w:rsidRPr="00D931A8">
        <w:rPr>
          <w:noProof/>
          <w:lang w:eastAsia="es-MX"/>
        </w:rPr>
        <w:drawing>
          <wp:inline distT="0" distB="0" distL="0" distR="0" wp14:anchorId="405F3ED9" wp14:editId="20FAD503">
            <wp:extent cx="5612130" cy="1605963"/>
            <wp:effectExtent l="0" t="0" r="7620" b="0"/>
            <wp:docPr id="7" name="Gráfico 7" descr="Panel B. Porcentaje de acuerdo con la velocidad de transmisión de los enlaces de Ethernet" title="Gráfico 5. Distribución del consumo por rango de velocidad de transmisión, por tipo de cliente y por tipo de tecnología de transmisión (TDM y Ethernet), 2016-1T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821AF3" w14:textId="77777777" w:rsidR="00D931A8" w:rsidRPr="00D931A8" w:rsidRDefault="00D931A8" w:rsidP="000F3B93">
      <w:pPr>
        <w:keepNext/>
        <w:keepLines/>
        <w:jc w:val="both"/>
        <w:rPr>
          <w:sz w:val="16"/>
          <w:szCs w:val="16"/>
        </w:rPr>
      </w:pPr>
      <w:r w:rsidRPr="00D931A8">
        <w:rPr>
          <w:sz w:val="16"/>
          <w:szCs w:val="16"/>
        </w:rPr>
        <w:t xml:space="preserve">Fuente: Elaboración propia con base en información del número de enlaces por rango de velocidad, por tipo de tecnología y tipo de cliente, </w:t>
      </w:r>
      <w:r w:rsidR="00863330">
        <w:rPr>
          <w:sz w:val="16"/>
          <w:szCs w:val="16"/>
        </w:rPr>
        <w:t xml:space="preserve">proporcionada </w:t>
      </w:r>
      <w:r w:rsidR="00D536E0" w:rsidRPr="00D536E0">
        <w:rPr>
          <w:sz w:val="16"/>
          <w:szCs w:val="16"/>
        </w:rPr>
        <w:t xml:space="preserve">por </w:t>
      </w:r>
      <w:r w:rsidR="00C65A2F" w:rsidRPr="008720D8">
        <w:rPr>
          <w:b/>
          <w:bCs/>
          <w:color w:val="0000CC"/>
          <w:sz w:val="16"/>
          <w:szCs w:val="16"/>
        </w:rPr>
        <w:t>“CONFIDENCIAL POR LEY”</w:t>
      </w:r>
      <w:r w:rsidR="00D536E0" w:rsidRPr="00D536E0">
        <w:rPr>
          <w:sz w:val="16"/>
          <w:szCs w:val="16"/>
        </w:rPr>
        <w:t>. Fojas 3428,3430, 3472, 3560, 5084, 5541, 5542, 5620, 6101, 6459, 6972, 7832, 7834, 8086 y 8113 del Expediente.</w:t>
      </w:r>
    </w:p>
    <w:p w14:paraId="0D508E68"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Por el lado de la oferta, los proveedores de enlaces que atienden solo </w:t>
      </w:r>
      <w:r w:rsidR="00B87824">
        <w:t>a los usuarios</w:t>
      </w:r>
      <w:r w:rsidRPr="00D931A8">
        <w:t xml:space="preserve"> mayorista</w:t>
      </w:r>
      <w:r w:rsidR="00B87824">
        <w:t>s</w:t>
      </w:r>
      <w:r w:rsidRPr="00D931A8">
        <w:t xml:space="preserve"> podrían enfrentar dificultades, en el corto plazo, para ofrecer el servicio </w:t>
      </w:r>
      <w:r w:rsidR="00B87824">
        <w:t>a los usuarios</w:t>
      </w:r>
      <w:r w:rsidRPr="00D931A8">
        <w:t xml:space="preserve"> minorista</w:t>
      </w:r>
      <w:r w:rsidR="00B87824">
        <w:t>s</w:t>
      </w:r>
      <w:r w:rsidRPr="00D931A8">
        <w:t>, pues tendrían que invertir en el desarrollo de canales de comercialización que involucran mayores gastos en promoción y atención al cliente.</w:t>
      </w:r>
      <w:r w:rsidRPr="00D931A8">
        <w:rPr>
          <w:vertAlign w:val="superscript"/>
        </w:rPr>
        <w:footnoteReference w:id="143"/>
      </w:r>
      <w:r w:rsidRPr="00D931A8">
        <w:t xml:space="preserve"> </w:t>
      </w:r>
      <w:r w:rsidR="005D2F78">
        <w:t xml:space="preserve">Otros </w:t>
      </w:r>
      <w:r w:rsidR="005D2F78" w:rsidRPr="005D2F78">
        <w:t xml:space="preserve">gastos </w:t>
      </w:r>
      <w:r w:rsidR="005D2F78">
        <w:t xml:space="preserve">que se </w:t>
      </w:r>
      <w:r w:rsidR="00D51E65">
        <w:t xml:space="preserve">incrementan al atender a los usuarios minoristas son los </w:t>
      </w:r>
      <w:r w:rsidR="005D2F78" w:rsidRPr="005D2F78">
        <w:t>de facturación</w:t>
      </w:r>
      <w:r w:rsidR="00D51E65">
        <w:t xml:space="preserve"> y</w:t>
      </w:r>
      <w:r w:rsidR="005D2F78" w:rsidRPr="005D2F78">
        <w:t xml:space="preserve"> </w:t>
      </w:r>
      <w:r w:rsidR="00D51E65">
        <w:t>cobranza en comparación con la atención a clientes mayoristas.</w:t>
      </w:r>
      <w:r w:rsidR="00D51E65">
        <w:rPr>
          <w:rStyle w:val="Refdenotaalpie"/>
        </w:rPr>
        <w:footnoteReference w:id="144"/>
      </w:r>
      <w:r w:rsidR="00E813DA">
        <w:t xml:space="preserve"> </w:t>
      </w:r>
      <w:r w:rsidRPr="00D931A8">
        <w:t xml:space="preserve">Adicionalmente, los </w:t>
      </w:r>
      <w:r w:rsidR="00B87824">
        <w:t>usuarios</w:t>
      </w:r>
      <w:r w:rsidR="00B87824" w:rsidRPr="00D931A8">
        <w:t xml:space="preserve"> </w:t>
      </w:r>
      <w:r w:rsidRPr="00D931A8">
        <w:t>minoristas consumen un mayor número de enlaces dedicados de menores capacidades que los mayoristas, y están más dispersos geográficamente,</w:t>
      </w:r>
      <w:r w:rsidRPr="00D931A8">
        <w:rPr>
          <w:vertAlign w:val="superscript"/>
        </w:rPr>
        <w:footnoteReference w:id="145"/>
      </w:r>
      <w:r w:rsidRPr="00D931A8">
        <w:t xml:space="preserve"> por lo que el costo por unidad de tráfico para </w:t>
      </w:r>
      <w:r w:rsidRPr="00D931A8">
        <w:lastRenderedPageBreak/>
        <w:t xml:space="preserve">atender a este tipo de </w:t>
      </w:r>
      <w:r w:rsidR="00B87824">
        <w:t>usuario</w:t>
      </w:r>
      <w:r w:rsidR="00B87824" w:rsidRPr="00D931A8">
        <w:t xml:space="preserve"> </w:t>
      </w:r>
      <w:r w:rsidRPr="00D931A8">
        <w:t>es mayor. Todas estas características hacen que los recursos necesarios para atender el mercado minorista sean mayores que para el mercado mayorista.</w:t>
      </w:r>
      <w:r w:rsidR="00C90538">
        <w:t xml:space="preserve"> </w:t>
      </w:r>
    </w:p>
    <w:p w14:paraId="6673F31C"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Dadas las consideraciones anteriores, para efectos del presente análisis, se considerará al segmento minorista de manera independiente al mayorista para el caso de los servicios de arrendamiento de enlaces dedicados TDM y Ethernet. </w:t>
      </w:r>
    </w:p>
    <w:p w14:paraId="09427661" w14:textId="77777777" w:rsidR="00D931A8" w:rsidRPr="00D931A8" w:rsidRDefault="00D931A8" w:rsidP="009B0A36">
      <w:pPr>
        <w:pStyle w:val="Prrafodelista"/>
        <w:numPr>
          <w:ilvl w:val="0"/>
          <w:numId w:val="13"/>
        </w:numPr>
        <w:spacing w:before="120" w:after="120" w:line="240" w:lineRule="auto"/>
        <w:contextualSpacing w:val="0"/>
        <w:jc w:val="both"/>
      </w:pPr>
      <w:r w:rsidRPr="00D931A8">
        <w:t>Por su parte, el servicio de arrendamiento de enlaces MPLS, al ser un servicio de valor agregado, es provisto, principalmente, a usuarios finales. Además, de la información que obra en el Expediente, no se advierte que sea un servicio demandado por otros concesionarios de RPT como insumo para proveer otros servicios de telecomunicaciones. En este sentido, para efectos del presente análisis, se considerará el servicio de arrendamiento de enlaces MPLS como un solo mercado que incluye ambos tipos de cliente, minorista y mayorista.</w:t>
      </w:r>
    </w:p>
    <w:p w14:paraId="55C42EB8" w14:textId="77777777" w:rsidR="00D931A8" w:rsidRPr="00DF695B" w:rsidRDefault="00D931A8" w:rsidP="009B0A36">
      <w:pPr>
        <w:pStyle w:val="Ttulo5"/>
        <w:numPr>
          <w:ilvl w:val="2"/>
          <w:numId w:val="20"/>
        </w:numPr>
        <w:jc w:val="both"/>
        <w:rPr>
          <w:b/>
          <w:i w:val="0"/>
        </w:rPr>
      </w:pPr>
      <w:r w:rsidRPr="00DF695B">
        <w:rPr>
          <w:b/>
          <w:i w:val="0"/>
        </w:rPr>
        <w:t>Sustitución entre los servicios de arrendamiento de enlaces dedicados por tipo de cobertura o servicio</w:t>
      </w:r>
    </w:p>
    <w:p w14:paraId="62412D9F"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Dependiendo de la cobertura que ofrece el enlace dedicado es posible identificar cuatro tipos de enlace: </w:t>
      </w:r>
      <w:r w:rsidR="00F16179" w:rsidRPr="00D931A8">
        <w:t>(1) enlaces locales, cuando las puntas del enlace se localizan en una misma localidad del territorio nacional; (2) enlaces de larga distancia nacional, cuando las puntas del enlace se ubican en distintas localidades del territorio nacional; (3) enlaces de larga distancia internacional, cuando una de las puntas del enlace se ubica en alguna localidad del territorio nacional (excepto en ciudades fronterizas) y la otra en el extranjero</w:t>
      </w:r>
      <w:r w:rsidR="00F16179">
        <w:t>, y</w:t>
      </w:r>
      <w:r w:rsidR="00F16179" w:rsidRPr="00D931A8">
        <w:t xml:space="preserve"> (4) enlaces de cruce fronterizo, aquellos que conectan instalaciones en localidades u</w:t>
      </w:r>
      <w:r w:rsidR="00F16179">
        <w:t>bicadas en el cruce fronterizo</w:t>
      </w:r>
      <w:r w:rsidRPr="00D931A8">
        <w:t>.</w:t>
      </w:r>
      <w:r w:rsidRPr="00D931A8">
        <w:rPr>
          <w:vertAlign w:val="superscript"/>
        </w:rPr>
        <w:footnoteReference w:id="146"/>
      </w:r>
      <w:r w:rsidRPr="00D931A8">
        <w:t xml:space="preserve"> Adicionalmente, desde el punto de vista regulatorio y funcional, se identifican los enlaces de interconexión.</w:t>
      </w:r>
      <w:r w:rsidRPr="00D931A8">
        <w:rPr>
          <w:vertAlign w:val="superscript"/>
        </w:rPr>
        <w:footnoteReference w:id="147"/>
      </w:r>
    </w:p>
    <w:p w14:paraId="7980125C" w14:textId="77777777" w:rsidR="009D42AA" w:rsidRPr="009D42AA" w:rsidRDefault="00D931A8" w:rsidP="009B0A36">
      <w:pPr>
        <w:pStyle w:val="Prrafodelista"/>
        <w:numPr>
          <w:ilvl w:val="0"/>
          <w:numId w:val="13"/>
        </w:numPr>
        <w:spacing w:before="120" w:after="120" w:line="240" w:lineRule="auto"/>
        <w:contextualSpacing w:val="0"/>
        <w:jc w:val="both"/>
        <w:rPr>
          <w:color w:val="000000" w:themeColor="text1"/>
        </w:rPr>
      </w:pPr>
      <w:r w:rsidRPr="00D931A8">
        <w:t>Desde</w:t>
      </w:r>
      <w:r w:rsidRPr="009D42AA">
        <w:rPr>
          <w:color w:val="000000" w:themeColor="text1"/>
        </w:rPr>
        <w:t xml:space="preserve"> el punto de la demanda, un usuario no puede satisfacer sus necesidades de conectividad en alguna localidad (enlace local) con la contratación de enlaces dedicados entre dos localidades (enlace de larga distancia), y viceversa. Además, por la forma como están diseñadas las ofertas </w:t>
      </w:r>
      <w:r w:rsidRPr="00A95835">
        <w:rPr>
          <w:color w:val="000000" w:themeColor="text1"/>
        </w:rPr>
        <w:t xml:space="preserve">comerciales de los proveedores del servicio, en función de los componentes necesarios para completar el enlace, el costo de recrear el enlace local con enlaces de larga distancia se incrementaría </w:t>
      </w:r>
      <w:r w:rsidRPr="00A95835">
        <w:rPr>
          <w:color w:val="000000" w:themeColor="text1"/>
        </w:rPr>
        <w:lastRenderedPageBreak/>
        <w:t>más del doble.</w:t>
      </w:r>
      <w:r w:rsidRPr="00D931A8">
        <w:rPr>
          <w:color w:val="000000" w:themeColor="text1"/>
          <w:vertAlign w:val="superscript"/>
        </w:rPr>
        <w:footnoteReference w:id="148"/>
      </w:r>
      <w:r w:rsidR="009D42AA" w:rsidRPr="009D42AA">
        <w:rPr>
          <w:color w:val="000000" w:themeColor="text1"/>
        </w:rPr>
        <w:t xml:space="preserve"> </w:t>
      </w:r>
      <w:r w:rsidR="009D42AA">
        <w:t>Lo anterior en virtud de que la política de precios</w:t>
      </w:r>
      <w:r w:rsidR="009D42AA" w:rsidRPr="00D931A8">
        <w:t xml:space="preserve"> suele ser distinta dependiendo de la ubicación de los sitios del cliente, en particular, se observan cargos diferentes si se trata de un enlace local, de larga distancia nacional o internacional</w:t>
      </w:r>
      <w:r w:rsidR="009D42AA">
        <w:t>.</w:t>
      </w:r>
      <w:r w:rsidR="009D42AA">
        <w:rPr>
          <w:rStyle w:val="Refdenotaalpie"/>
        </w:rPr>
        <w:footnoteReference w:id="149"/>
      </w:r>
    </w:p>
    <w:p w14:paraId="414D5F50" w14:textId="77777777" w:rsidR="00D931A8" w:rsidRPr="00D931A8" w:rsidRDefault="00D931A8" w:rsidP="009B0A36">
      <w:pPr>
        <w:pStyle w:val="Prrafodelista"/>
        <w:numPr>
          <w:ilvl w:val="0"/>
          <w:numId w:val="13"/>
        </w:numPr>
        <w:spacing w:before="120" w:after="120" w:line="240" w:lineRule="auto"/>
        <w:contextualSpacing w:val="0"/>
        <w:jc w:val="both"/>
        <w:rPr>
          <w:color w:val="000000" w:themeColor="text1"/>
        </w:rPr>
      </w:pPr>
      <w:r w:rsidRPr="00D931A8">
        <w:rPr>
          <w:color w:val="000000" w:themeColor="text1"/>
        </w:rPr>
        <w:t xml:space="preserve">Desde el punto de vista de la oferta, los servicios locales son complementarios de los de larga distancia, en lugar de sustitutos, ya que el enlace de larga distancia nacional se compone de dos tramos locales más un tramo de larga distancia. Así, por las condiciones técnicas bajo las cuales se ofrece el servicio de arrendamiento de enlaces dedicados, cada tipo de enlace constituye un mercado independiente. </w:t>
      </w:r>
    </w:p>
    <w:p w14:paraId="504E5EB2" w14:textId="77777777" w:rsidR="00D931A8" w:rsidRPr="00D931A8" w:rsidRDefault="00D931A8" w:rsidP="009B0A36">
      <w:pPr>
        <w:pStyle w:val="Prrafodelista"/>
        <w:numPr>
          <w:ilvl w:val="0"/>
          <w:numId w:val="13"/>
        </w:numPr>
        <w:spacing w:before="120" w:after="120" w:line="240" w:lineRule="auto"/>
        <w:contextualSpacing w:val="0"/>
        <w:jc w:val="both"/>
      </w:pPr>
      <w:r w:rsidRPr="00D931A8">
        <w:t>La argumentación antes descrita aplica a la diferencia entre los enlaces dedicados locales en relación con los de larga distancia internacional y de cruce fronterizo. Por otra parte, los enlaces de interconexión, por sus aspectos regulatorios, no son sustitutos de los otros tipos de enlaces dedicados.</w:t>
      </w:r>
    </w:p>
    <w:p w14:paraId="6993BC50" w14:textId="77777777" w:rsidR="00D931A8" w:rsidRPr="00D931A8" w:rsidRDefault="00D931A8" w:rsidP="009B0A36">
      <w:pPr>
        <w:pStyle w:val="Prrafodelista"/>
        <w:numPr>
          <w:ilvl w:val="0"/>
          <w:numId w:val="13"/>
        </w:numPr>
        <w:spacing w:before="120" w:after="120" w:line="240" w:lineRule="auto"/>
        <w:contextualSpacing w:val="0"/>
        <w:jc w:val="both"/>
      </w:pPr>
      <w:r w:rsidRPr="00D931A8">
        <w:rPr>
          <w:color w:val="000000" w:themeColor="text1"/>
        </w:rPr>
        <w:t>Finalmente</w:t>
      </w:r>
      <w:r w:rsidRPr="00D931A8">
        <w:t xml:space="preserve">, de acuerdo con información que obra en el Expediente, </w:t>
      </w:r>
      <w:r w:rsidRPr="00D931A8">
        <w:rPr>
          <w:b/>
        </w:rPr>
        <w:t>las sociedades objeto de la Operación (CFCA Telecomm y Telco) no ofrecen los servicios de arrendamiento de enlaces dedicados de cruce fronterizo ni de interconexión</w:t>
      </w:r>
      <w:r w:rsidRPr="00D931A8">
        <w:t>. Por lo que, en los subsecuentes apartados no se analizan dichos servicios.</w:t>
      </w:r>
    </w:p>
    <w:p w14:paraId="63AC273F" w14:textId="77777777" w:rsidR="00D931A8" w:rsidRPr="00DF695B" w:rsidRDefault="00D931A8" w:rsidP="009B0A36">
      <w:pPr>
        <w:pStyle w:val="Ttulo5"/>
        <w:numPr>
          <w:ilvl w:val="2"/>
          <w:numId w:val="20"/>
        </w:numPr>
        <w:jc w:val="both"/>
        <w:rPr>
          <w:b/>
          <w:i w:val="0"/>
        </w:rPr>
      </w:pPr>
      <w:r w:rsidRPr="00DF695B">
        <w:rPr>
          <w:b/>
          <w:i w:val="0"/>
        </w:rPr>
        <w:t>Sustitución entre los servicios de arrendamiento de enlaces dedicados y otros servicios que permiten proveer conectividad</w:t>
      </w:r>
    </w:p>
    <w:p w14:paraId="5E6A8216"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operadores de RPT poseen diversas opciones, adicionales al servicio de arrendamiento de enlaces dedicados, que les permiten proveer conectividad entre dos o varios puntos. Entre las alternativas disponibles se encuentran el despliegue de red por medios propios y el servicio de acceso a internet dedicado. A continuación, se indica si dichas alternativas pueden considerarse como sustitutos del servicio de arrendamiento de enlaces dedicados.</w:t>
      </w:r>
    </w:p>
    <w:p w14:paraId="370D7CE7" w14:textId="77777777" w:rsidR="00D931A8" w:rsidRPr="00D931A8" w:rsidRDefault="00D931A8" w:rsidP="009B0A36">
      <w:pPr>
        <w:pStyle w:val="Ttulo6"/>
        <w:numPr>
          <w:ilvl w:val="3"/>
          <w:numId w:val="20"/>
        </w:numPr>
        <w:ind w:left="964" w:hanging="964"/>
      </w:pPr>
      <w:r w:rsidRPr="00D931A8">
        <w:t>Despliegue de red propia</w:t>
      </w:r>
    </w:p>
    <w:p w14:paraId="1B7D8DE0" w14:textId="77777777" w:rsidR="00D931A8" w:rsidRPr="00D931A8" w:rsidRDefault="00D931A8" w:rsidP="009B0A36">
      <w:pPr>
        <w:pStyle w:val="Prrafodelista"/>
        <w:numPr>
          <w:ilvl w:val="0"/>
          <w:numId w:val="13"/>
        </w:numPr>
        <w:spacing w:before="120" w:after="120" w:line="240" w:lineRule="auto"/>
        <w:contextualSpacing w:val="0"/>
        <w:jc w:val="both"/>
        <w:rPr>
          <w:rFonts w:ascii="Times New Roman" w:eastAsia="Calibri" w:hAnsi="Times New Roman" w:cs="Times New Roman"/>
        </w:rPr>
      </w:pPr>
      <w:r w:rsidRPr="00D931A8">
        <w:t xml:space="preserve">Como alternativa al servicio de arrendamiento de enlaces dedicados, un operador de RPT podría desplegar con medios propios una red alámbrica o inalámbrica y, posteriormente, adquirir el equipo y los sistemas con la funcionalidad necesaria para establecer enlaces dedicados. Sin embargo, los costos asociados en tiempo </w:t>
      </w:r>
      <w:r w:rsidRPr="00D931A8">
        <w:lastRenderedPageBreak/>
        <w:t>y dinero de poner en funcionamiento esta opción son elevados, por lo que no puede considerarse sustituta del servicio de referencia.</w:t>
      </w:r>
      <w:r w:rsidRPr="00D931A8">
        <w:rPr>
          <w:vertAlign w:val="superscript"/>
        </w:rPr>
        <w:footnoteReference w:id="150"/>
      </w:r>
    </w:p>
    <w:p w14:paraId="3AB889B1" w14:textId="77777777" w:rsidR="00D931A8" w:rsidRPr="00D931A8" w:rsidRDefault="00D931A8" w:rsidP="009B0A36">
      <w:pPr>
        <w:pStyle w:val="Prrafodelista"/>
        <w:numPr>
          <w:ilvl w:val="0"/>
          <w:numId w:val="13"/>
        </w:numPr>
        <w:spacing w:before="120" w:after="120" w:line="240" w:lineRule="auto"/>
        <w:contextualSpacing w:val="0"/>
        <w:jc w:val="both"/>
      </w:pPr>
      <w:r w:rsidRPr="00D931A8">
        <w:t>A fin de establecer una referencia temporal, considérese que, conforme a la Resolución de preponderancia en el sector de telecomunicaciones, las solicitudes del servicio de arrendamiento de enlaces dedicados deben ser atendidas por el AEP en un lapso de 13</w:t>
      </w:r>
      <w:r w:rsidR="00FC48CA">
        <w:t xml:space="preserve"> (trece)</w:t>
      </w:r>
      <w:r w:rsidRPr="00D931A8">
        <w:t xml:space="preserve"> a 60 </w:t>
      </w:r>
      <w:r w:rsidR="00FC48CA">
        <w:t xml:space="preserve">(sesenta) </w:t>
      </w:r>
      <w:r w:rsidRPr="00D931A8">
        <w:t>días hábiles, dependiendo de la capacidad del enlace.</w:t>
      </w:r>
      <w:r w:rsidRPr="00D931A8">
        <w:rPr>
          <w:vertAlign w:val="superscript"/>
        </w:rPr>
        <w:footnoteReference w:id="151"/>
      </w:r>
      <w:r w:rsidRPr="00D931A8">
        <w:t xml:space="preserve"> En contraste, para instalar y poner en funcionamiento una red de telecomunicaciones se requiere la obtención de concesiones, licencias y/o permisos a nivel local (estatal y municipal) y/o federal, cuyo plazo de respuesta es extenso y variable según la normatividad aplicable, además de la realización de estudios técnico-económicos, del despliegue de infraestructura pasiva, de la instalación de equipos y realización de pruebas, entre otros. </w:t>
      </w:r>
    </w:p>
    <w:p w14:paraId="5487116F" w14:textId="77777777" w:rsidR="00D931A8" w:rsidRPr="00D931A8" w:rsidRDefault="00D931A8" w:rsidP="009B0A36">
      <w:pPr>
        <w:pStyle w:val="Prrafodelista"/>
        <w:numPr>
          <w:ilvl w:val="0"/>
          <w:numId w:val="13"/>
        </w:numPr>
        <w:spacing w:before="120" w:after="120" w:line="240" w:lineRule="auto"/>
        <w:contextualSpacing w:val="0"/>
        <w:jc w:val="both"/>
      </w:pPr>
      <w:r w:rsidRPr="00D931A8">
        <w:t>Dado que la instalación y operación de una red de telecomunicaciones es una alternativa que solo puede concretarse en un lapso de tiempo considerable, no será capaz de restringir los precios en el presente, por lo que no puede formar parte del mercado relevante.</w:t>
      </w:r>
    </w:p>
    <w:p w14:paraId="5CB4A9C3" w14:textId="77777777" w:rsidR="00D931A8" w:rsidRPr="00D931A8" w:rsidRDefault="00D931A8" w:rsidP="009B0A36">
      <w:pPr>
        <w:pStyle w:val="Ttulo6"/>
        <w:numPr>
          <w:ilvl w:val="3"/>
          <w:numId w:val="20"/>
        </w:numPr>
        <w:ind w:left="964" w:hanging="964"/>
      </w:pPr>
      <w:r w:rsidRPr="00D931A8">
        <w:t>Servicio de acceso a internet dedicado</w:t>
      </w:r>
    </w:p>
    <w:p w14:paraId="19E180E6"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Otra posible alternativa al servicio de referencia es el servicio de acceso a internet dedicado, el cual ofrece al usuario un acceso dedicado, sin sobresuscripción y de alta capacidad a la red </w:t>
      </w:r>
      <w:r w:rsidR="008F4532">
        <w:t xml:space="preserve">mundial </w:t>
      </w:r>
      <w:r w:rsidRPr="00D931A8">
        <w:t>de internet, es decir, el ancho de banda es exclusivo del usuario. Este tipo de servicio utiliza un enlace o circuito de acceso en la última milla como insumo.</w:t>
      </w:r>
      <w:r w:rsidRPr="00D931A8">
        <w:rPr>
          <w:vertAlign w:val="superscript"/>
          <w:lang w:val="en-US"/>
        </w:rPr>
        <w:footnoteReference w:id="152"/>
      </w:r>
      <w:r w:rsidRPr="00D931A8">
        <w:t xml:space="preserve"> </w:t>
      </w:r>
    </w:p>
    <w:p w14:paraId="7B1AAFF9"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El servicio de acceso a internet dedicado permite </w:t>
      </w:r>
      <w:r w:rsidR="0014280D">
        <w:t>al usuario</w:t>
      </w:r>
      <w:r w:rsidRPr="00D931A8">
        <w:t xml:space="preserve"> enviar y recibir información a través de internet, por lo que </w:t>
      </w:r>
      <w:r w:rsidR="0014280D">
        <w:t>este</w:t>
      </w:r>
      <w:r w:rsidRPr="00D931A8">
        <w:t xml:space="preserve"> tiene la opción de pagar solo por el ancho de banda que consume, a diferencia del servicio de arrendamiento de </w:t>
      </w:r>
      <w:r w:rsidRPr="00D931A8">
        <w:lastRenderedPageBreak/>
        <w:t>enlaces dedicados, en el cual debe pagar por la capacidad contratada independientemente del uso que haga de ella.</w:t>
      </w:r>
      <w:r w:rsidRPr="00D931A8">
        <w:rPr>
          <w:vertAlign w:val="superscript"/>
        </w:rPr>
        <w:footnoteReference w:id="153"/>
      </w:r>
    </w:p>
    <w:p w14:paraId="49DDDB0B" w14:textId="77777777" w:rsidR="00D931A8" w:rsidRPr="00D931A8" w:rsidRDefault="00D931A8" w:rsidP="009B0A36">
      <w:pPr>
        <w:pStyle w:val="Prrafodelista"/>
        <w:numPr>
          <w:ilvl w:val="0"/>
          <w:numId w:val="13"/>
        </w:numPr>
        <w:spacing w:before="120" w:after="120" w:line="240" w:lineRule="auto"/>
        <w:contextualSpacing w:val="0"/>
        <w:jc w:val="both"/>
      </w:pPr>
      <w:r w:rsidRPr="00D931A8">
        <w:t>Dada la funcionalidad o el uso previsto por el demandante del servicio de acceso a internet dedicado, este servicio no se considera sustituto del servicio de arrendamiento de enlaces dedicados, pues el fin último que busca una empresa o corporativo cuando arrienda un enlace dedicado es la conectividad entre sus instalaciones, de forma confidencial y segura, mientras que cuando una empresa contrata el servicio de acceso a internet dedicado lo que busca es un acceso dedicado a la red</w:t>
      </w:r>
      <w:r w:rsidR="008F4532">
        <w:t xml:space="preserve"> mundial</w:t>
      </w:r>
      <w:r w:rsidRPr="00D931A8">
        <w:t xml:space="preserve"> de internet. Además, cuando el usuario adquiere el servicio de acceso a internet dedicado, este solo contrata un acceso, mientras que en el servicio de arrendamiento de enlaces para conectar dos o más instalaciones se necesita por lo menos arrendar dos circuitos dedicados.</w:t>
      </w:r>
    </w:p>
    <w:p w14:paraId="5F290AF0" w14:textId="77777777" w:rsidR="00D931A8" w:rsidRPr="00D931A8" w:rsidRDefault="00D931A8" w:rsidP="009B0A36">
      <w:pPr>
        <w:pStyle w:val="Ttulo4"/>
        <w:numPr>
          <w:ilvl w:val="1"/>
          <w:numId w:val="20"/>
        </w:numPr>
        <w:ind w:left="567" w:hanging="567"/>
      </w:pPr>
      <w:bookmarkStart w:id="41" w:name="_Toc463297866"/>
      <w:bookmarkStart w:id="42" w:name="_Toc463624323"/>
      <w:r w:rsidRPr="00D931A8">
        <w:t>Dimensión geográfica</w:t>
      </w:r>
      <w:bookmarkEnd w:id="41"/>
      <w:bookmarkEnd w:id="42"/>
    </w:p>
    <w:p w14:paraId="44958024" w14:textId="77777777" w:rsidR="00D931A8" w:rsidRPr="00D931A8" w:rsidRDefault="00D931A8" w:rsidP="009B0A36">
      <w:pPr>
        <w:pStyle w:val="Prrafodelista"/>
        <w:numPr>
          <w:ilvl w:val="0"/>
          <w:numId w:val="13"/>
        </w:numPr>
        <w:spacing w:before="120" w:after="120" w:line="240" w:lineRule="auto"/>
        <w:contextualSpacing w:val="0"/>
        <w:jc w:val="both"/>
        <w:rPr>
          <w:lang w:eastAsia="es-MX"/>
        </w:rPr>
      </w:pPr>
      <w:r w:rsidRPr="00D931A8">
        <w:rPr>
          <w:lang w:eastAsia="es-MX"/>
        </w:rPr>
        <w:t xml:space="preserve">Para </w:t>
      </w:r>
      <w:r w:rsidRPr="00D931A8">
        <w:t>la</w:t>
      </w:r>
      <w:r w:rsidRPr="00D931A8">
        <w:rPr>
          <w:lang w:eastAsia="es-MX"/>
        </w:rPr>
        <w:t xml:space="preserve"> delimitación de la dimensión geográfica del mercado relevante se utilizan los criterios </w:t>
      </w:r>
      <w:r w:rsidR="00BE3422">
        <w:rPr>
          <w:lang w:eastAsia="es-MX"/>
        </w:rPr>
        <w:t xml:space="preserve">establecidos </w:t>
      </w:r>
      <w:r w:rsidRPr="00D931A8">
        <w:rPr>
          <w:lang w:eastAsia="es-MX"/>
        </w:rPr>
        <w:t>en las fracciones II y III del artículo 58 de la LFCE, las cuales señalan lo siguiente:</w:t>
      </w:r>
    </w:p>
    <w:p w14:paraId="3661AE95" w14:textId="77777777" w:rsidR="00D931A8" w:rsidRPr="00D931A8" w:rsidRDefault="00955543" w:rsidP="00955543">
      <w:pPr>
        <w:ind w:left="567" w:right="567"/>
        <w:jc w:val="both"/>
        <w:rPr>
          <w:i/>
          <w:sz w:val="20"/>
          <w:szCs w:val="20"/>
        </w:rPr>
      </w:pPr>
      <w:r>
        <w:rPr>
          <w:i/>
          <w:sz w:val="20"/>
          <w:szCs w:val="20"/>
        </w:rPr>
        <w:t xml:space="preserve">II. </w:t>
      </w:r>
      <w:r w:rsidR="00D931A8" w:rsidRPr="00D931A8">
        <w:rPr>
          <w:i/>
          <w:sz w:val="20"/>
          <w:szCs w:val="20"/>
        </w:rPr>
        <w:t>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5C736B3C" w14:textId="77777777" w:rsidR="00D931A8" w:rsidRPr="00D931A8" w:rsidRDefault="00955543" w:rsidP="00955543">
      <w:pPr>
        <w:ind w:left="567" w:right="567"/>
        <w:jc w:val="both"/>
        <w:rPr>
          <w:i/>
          <w:sz w:val="20"/>
          <w:szCs w:val="20"/>
        </w:rPr>
      </w:pPr>
      <w:r>
        <w:rPr>
          <w:i/>
          <w:sz w:val="20"/>
          <w:szCs w:val="20"/>
        </w:rPr>
        <w:t xml:space="preserve">III. </w:t>
      </w:r>
      <w:r w:rsidR="00D931A8" w:rsidRPr="00D931A8">
        <w:rPr>
          <w:i/>
          <w:sz w:val="20"/>
          <w:szCs w:val="20"/>
        </w:rPr>
        <w:t>Los costos y las probabilidades que tienen los usuarios o consumidores para acudir a otros mercados;</w:t>
      </w:r>
    </w:p>
    <w:p w14:paraId="52E5C638"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lo sucesivo, el análisis de la dimensión geográfica, tanto desde la perspectiva de la demanda como de la oferta, se basa en las disposiciones citadas.</w:t>
      </w:r>
    </w:p>
    <w:p w14:paraId="53F241FC" w14:textId="77777777" w:rsidR="00D931A8" w:rsidRPr="00D931A8" w:rsidRDefault="00D931A8" w:rsidP="009B0A36">
      <w:pPr>
        <w:pStyle w:val="Prrafodelista"/>
        <w:numPr>
          <w:ilvl w:val="0"/>
          <w:numId w:val="13"/>
        </w:numPr>
        <w:spacing w:before="120" w:after="120" w:line="240" w:lineRule="auto"/>
        <w:contextualSpacing w:val="0"/>
        <w:jc w:val="both"/>
      </w:pPr>
      <w:r w:rsidRPr="00D931A8">
        <w:t>Desde el punto de vista de la demanda, un usuario que requiere contratar el servicio de arrendamiento de enlaces dedicados dentro de una localidad específica no puede satisfacer sus necesidades de conectividad con la contratación de este servicio en otra localidad distinta. Asimismo, un usuario que requiere contratar un enlace de larga distancia nacional entre dos localidades (A y B) no puede sustituirlo por un enlace cuyos extremos se ubiquen en otras localidades diferentes (C y D), sin que pierda la funcionalidad requerida.</w:t>
      </w:r>
    </w:p>
    <w:p w14:paraId="0FDA531E" w14:textId="77777777" w:rsidR="00D931A8" w:rsidRPr="00D931A8" w:rsidRDefault="00D931A8" w:rsidP="009B0A36">
      <w:pPr>
        <w:pStyle w:val="Prrafodelista"/>
        <w:numPr>
          <w:ilvl w:val="0"/>
          <w:numId w:val="13"/>
        </w:numPr>
        <w:spacing w:before="120" w:after="120" w:line="240" w:lineRule="auto"/>
        <w:contextualSpacing w:val="0"/>
        <w:jc w:val="both"/>
      </w:pPr>
      <w:r w:rsidRPr="00D931A8">
        <w:lastRenderedPageBreak/>
        <w:t xml:space="preserve">Desde la perspectiva de la oferta, los operadores de RPT poseen concesiones que les permiten ofrecer el servicio de arrendamiento de enlaces dedicados con cobertura nacional y disponen de distintas alternativas para proveer el servicio: pueden utilizar su propia red, arrendar fibra oscura o capacidad, o arrendar enlaces dedicados a otros concesionarios. En este sentido, los costos de distribución asociados a la provisión de este servicio son los costos asociados a instalar una RPT, a contratar el servicio de arrendamiento de capacidad o fibra oscura y habilitar su funcionamiento, o </w:t>
      </w:r>
      <w:r w:rsidR="006A55C4">
        <w:t xml:space="preserve">a </w:t>
      </w:r>
      <w:r w:rsidRPr="00D931A8">
        <w:t>las tarifas del servicio de arrendamiento de enlaces dedicados.</w:t>
      </w:r>
    </w:p>
    <w:p w14:paraId="45B34EF6"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relación con lo anterior, de la información que obra en el Expediente es posible advertir que diversos oferentes del servicio arriendan, a su vez, enlaces dedicados, así como tramos de sus redes a terceros.</w:t>
      </w:r>
      <w:r w:rsidR="008B7674">
        <w:rPr>
          <w:rStyle w:val="Refdenotaalpie"/>
        </w:rPr>
        <w:footnoteReference w:id="154"/>
      </w:r>
      <w:r w:rsidRPr="00D931A8">
        <w:t xml:space="preserve"> </w:t>
      </w:r>
      <w:r w:rsidR="001A7D7F">
        <w:t>En diversos</w:t>
      </w:r>
      <w:r w:rsidRPr="00D931A8">
        <w:t xml:space="preserve"> contratos se observa que los plazos de entrega del servicio son reducidos.</w:t>
      </w:r>
      <w:r w:rsidR="00C83275">
        <w:rPr>
          <w:rStyle w:val="Refdenotaalpie"/>
        </w:rPr>
        <w:footnoteReference w:id="155"/>
      </w:r>
      <w:r w:rsidRPr="00D931A8">
        <w:t xml:space="preserve"> Adicionalmente, derivado de la regulación de preponderancia sobre el servicio mayorista de arrendamiento de enlaces dedicados, los gastos de instalación y la renta mensual del servicio han decrecido;</w:t>
      </w:r>
      <w:r w:rsidR="004746A6">
        <w:rPr>
          <w:rStyle w:val="Refdenotaalpie"/>
        </w:rPr>
        <w:footnoteReference w:id="156"/>
      </w:r>
      <w:r w:rsidRPr="00D931A8">
        <w:t xml:space="preserve"> y el proceso de negociación se ha agilizado.</w:t>
      </w:r>
      <w:r w:rsidR="004746A6">
        <w:rPr>
          <w:rStyle w:val="Refdenotaalpie"/>
        </w:rPr>
        <w:footnoteReference w:id="157"/>
      </w:r>
      <w:r w:rsidRPr="00D931A8">
        <w:t xml:space="preserve"> Estos son indicios que permiten concluir que, aun cuando la red de un oferente no tenga cobertura nacional, existen alternativas factibles, en el corto plazo, para proporcionar el servicio en aquellas áreas geográficas donde el operador no posee cobertura.</w:t>
      </w:r>
    </w:p>
    <w:p w14:paraId="0AE8FB87" w14:textId="77777777" w:rsidR="00D931A8" w:rsidRPr="00FC5386" w:rsidRDefault="00D931A8" w:rsidP="009B0A36">
      <w:pPr>
        <w:pStyle w:val="Prrafodelista"/>
        <w:numPr>
          <w:ilvl w:val="0"/>
          <w:numId w:val="13"/>
        </w:numPr>
        <w:spacing w:before="120" w:after="120" w:line="240" w:lineRule="auto"/>
        <w:contextualSpacing w:val="0"/>
        <w:jc w:val="both"/>
      </w:pPr>
      <w:r w:rsidRPr="00FC5386">
        <w:t>Aunado a lo anterior, se observa que, independientemente de la ubicación geográfica de los enlaces dedicados locales y de larga distancia nacional, los oferentes aplican una política de precios homogénea a nivel nacional.</w:t>
      </w:r>
      <w:r w:rsidR="008B7674" w:rsidRPr="00FC5386">
        <w:rPr>
          <w:rStyle w:val="Refdenotaalpie"/>
        </w:rPr>
        <w:footnoteReference w:id="158"/>
      </w:r>
    </w:p>
    <w:p w14:paraId="27061A73" w14:textId="77777777" w:rsidR="00D931A8" w:rsidRPr="00D931A8" w:rsidRDefault="00D931A8" w:rsidP="00386239">
      <w:pPr>
        <w:pStyle w:val="Prrafodelista"/>
        <w:numPr>
          <w:ilvl w:val="0"/>
          <w:numId w:val="13"/>
        </w:numPr>
        <w:spacing w:before="120" w:after="120" w:line="240" w:lineRule="auto"/>
        <w:contextualSpacing w:val="0"/>
        <w:jc w:val="both"/>
      </w:pPr>
      <w:r w:rsidRPr="00FC5386">
        <w:t xml:space="preserve">Por consiguiente, desde la perspectiva de la demanda la dimensión geográfica de los servicios de arrendamiento de enlaces dedicados locales es local y la de los </w:t>
      </w:r>
      <w:r w:rsidRPr="00FC5386">
        <w:lastRenderedPageBreak/>
        <w:t>servicios de arrendamiento de enlaces de larga distancia nacional es por ruta (cada par de localidades configuraría un mercado)</w:t>
      </w:r>
      <w:r w:rsidR="00386239" w:rsidRPr="00FC5386">
        <w:t>. Sin embargo</w:t>
      </w:r>
      <w:r w:rsidRPr="00FC5386">
        <w:t xml:space="preserve">, </w:t>
      </w:r>
      <w:r w:rsidR="00386239" w:rsidRPr="00FC5386">
        <w:t xml:space="preserve">para el caso de los servicios minoristas de arrendamiento de enlaces dedicados </w:t>
      </w:r>
      <w:r w:rsidRPr="00FC5386">
        <w:t>existen consideraciones de</w:t>
      </w:r>
      <w:r w:rsidR="001A7D7F" w:rsidRPr="00FC5386">
        <w:t>sde la perspectiva de la</w:t>
      </w:r>
      <w:r w:rsidRPr="00FC5386">
        <w:t xml:space="preserve"> oferta que permiten definir</w:t>
      </w:r>
      <w:r w:rsidRPr="00D931A8">
        <w:t xml:space="preserve"> la dimensión geográfica como nacional, ya </w:t>
      </w:r>
      <w:r w:rsidRPr="00FC5386">
        <w:t xml:space="preserve">que los concesionarios </w:t>
      </w:r>
      <w:r w:rsidR="006D739D" w:rsidRPr="00FC5386">
        <w:t xml:space="preserve">y autorizados </w:t>
      </w:r>
      <w:r w:rsidRPr="00FC5386">
        <w:t>cuentan con alternativas viables para ofrecer los servicios</w:t>
      </w:r>
      <w:r w:rsidR="00386239" w:rsidRPr="00FC5386">
        <w:t xml:space="preserve"> a sus usuarios</w:t>
      </w:r>
      <w:r w:rsidR="009A2E25" w:rsidRPr="00FC5386">
        <w:t xml:space="preserve"> finales</w:t>
      </w:r>
      <w:r w:rsidRPr="00FC5386">
        <w:t>, en el corto plazo, en zonas geográficas donde no tienen cobertura de red.</w:t>
      </w:r>
      <w:r w:rsidR="00386239" w:rsidRPr="00FC5386">
        <w:t xml:space="preserve"> </w:t>
      </w:r>
      <w:r w:rsidR="009A2E25" w:rsidRPr="00FC5386">
        <w:t>E</w:t>
      </w:r>
      <w:r w:rsidR="001C3466" w:rsidRPr="00FC5386">
        <w:t>sto no ocurre</w:t>
      </w:r>
      <w:r w:rsidR="009A2E25" w:rsidRPr="00FC5386">
        <w:t xml:space="preserve"> en el caso de</w:t>
      </w:r>
      <w:r w:rsidR="00386239" w:rsidRPr="00FC5386">
        <w:t xml:space="preserve"> los servicios mayoristas de arrendamiento de enlaces dedicados, </w:t>
      </w:r>
      <w:r w:rsidR="009A2E25" w:rsidRPr="00FC5386">
        <w:t xml:space="preserve">ya que </w:t>
      </w:r>
      <w:r w:rsidR="00386239" w:rsidRPr="00FC5386">
        <w:t xml:space="preserve">para tener una oferta competitiva </w:t>
      </w:r>
      <w:r w:rsidR="009A2E25" w:rsidRPr="00FC5386">
        <w:t>en las áreas en las que los operadores no tienen cobertura</w:t>
      </w:r>
      <w:r w:rsidR="000406B1" w:rsidRPr="00FC5386">
        <w:t>,</w:t>
      </w:r>
      <w:r w:rsidR="00386239" w:rsidRPr="00FC5386">
        <w:t xml:space="preserve"> requieren </w:t>
      </w:r>
      <w:r w:rsidR="009A2E25" w:rsidRPr="00FC5386">
        <w:t>desplegar</w:t>
      </w:r>
      <w:r w:rsidR="00386239" w:rsidRPr="00FC5386">
        <w:t xml:space="preserve"> infraestructura </w:t>
      </w:r>
      <w:r w:rsidR="009A2E25" w:rsidRPr="00FC5386">
        <w:t>propia, lo cual conlleva costos elevados y no puede realizarse en el corto plazo.</w:t>
      </w:r>
      <w:r w:rsidR="009A2E25">
        <w:t xml:space="preserve"> </w:t>
      </w:r>
    </w:p>
    <w:p w14:paraId="30316E4B"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el caso de los enlaces dedicados de larga distancia internacional, si bien el usuario no puede sustituir un enlace dedicado que conecta dos instalaciones ubicadas en determinadas ciudades (A y B) por otro que conecta otras ciudades (C y D), para el tramo nacional del enlace existen múltiples alternativas que permiten realizar la conexión entre una localidad ubicada en territorio nacional y otra en el extranjero.</w:t>
      </w:r>
      <w:r w:rsidR="004746A6">
        <w:rPr>
          <w:rStyle w:val="Refdenotaalpie"/>
        </w:rPr>
        <w:footnoteReference w:id="159"/>
      </w:r>
      <w:r w:rsidRPr="00D931A8">
        <w:t xml:space="preserve"> De esta manera, el segmento nacional de la ruta internacional no se puede anclar a una ruta específica. Por estas consideraciones, el mercado de enlaces dedicados de larga distancia internacional tiene una dimensión geográfica nacional.</w:t>
      </w:r>
    </w:p>
    <w:p w14:paraId="7360F5C8" w14:textId="77777777" w:rsidR="00D931A8" w:rsidRPr="002336DA" w:rsidRDefault="00D931A8" w:rsidP="009B0A36">
      <w:pPr>
        <w:pStyle w:val="Prrafodelista"/>
        <w:numPr>
          <w:ilvl w:val="0"/>
          <w:numId w:val="13"/>
        </w:numPr>
        <w:spacing w:before="120" w:after="120" w:line="240" w:lineRule="auto"/>
        <w:contextualSpacing w:val="0"/>
        <w:jc w:val="both"/>
      </w:pPr>
      <w:r w:rsidRPr="00D931A8">
        <w:t xml:space="preserve">Por último, en el caso del servicio de arrendamiento de enlaces MPLS, la dimensión geográfica se considera nacional, toda vez que no existe una oferta comercial por </w:t>
      </w:r>
      <w:r w:rsidRPr="002336DA">
        <w:t>cobertura geográfica y la política de precios es homogénea en todo el país.</w:t>
      </w:r>
    </w:p>
    <w:p w14:paraId="69C1DEE2" w14:textId="77777777" w:rsidR="00D931A8" w:rsidRPr="002336DA" w:rsidRDefault="00D931A8" w:rsidP="009B0A36">
      <w:pPr>
        <w:pStyle w:val="Prrafodelista"/>
        <w:numPr>
          <w:ilvl w:val="0"/>
          <w:numId w:val="13"/>
        </w:numPr>
        <w:spacing w:before="120" w:after="120" w:line="240" w:lineRule="auto"/>
        <w:contextualSpacing w:val="0"/>
        <w:jc w:val="both"/>
      </w:pPr>
      <w:r w:rsidRPr="002336DA">
        <w:t xml:space="preserve">En suma, para efectos de la presente investigación, se considerará que los servicios </w:t>
      </w:r>
      <w:r w:rsidR="009A2E25" w:rsidRPr="002336DA">
        <w:rPr>
          <w:u w:val="single"/>
        </w:rPr>
        <w:t>minoristas</w:t>
      </w:r>
      <w:r w:rsidR="009A2E25" w:rsidRPr="002336DA">
        <w:t xml:space="preserve"> </w:t>
      </w:r>
      <w:r w:rsidR="00FC5386" w:rsidRPr="002336DA">
        <w:t>de arrendamiento de enlaces dedicados, provistos a través de las tecnologías TDM y Ethernet, con tipo de cobertura</w:t>
      </w:r>
      <w:r w:rsidRPr="002336DA">
        <w:t xml:space="preserve"> local, de larga distancia nacional </w:t>
      </w:r>
      <w:r w:rsidR="002336DA" w:rsidRPr="002336DA">
        <w:t>y de larga distancia</w:t>
      </w:r>
      <w:r w:rsidRPr="002336DA">
        <w:t xml:space="preserve"> internacional, </w:t>
      </w:r>
      <w:r w:rsidR="00FC5386" w:rsidRPr="002336DA">
        <w:t>poseen una dimensión geográfica nacional.</w:t>
      </w:r>
      <w:r w:rsidR="009A2E25" w:rsidRPr="002336DA">
        <w:t xml:space="preserve"> En tanto, los servicios </w:t>
      </w:r>
      <w:r w:rsidR="009A2E25" w:rsidRPr="002336DA">
        <w:rPr>
          <w:u w:val="single"/>
        </w:rPr>
        <w:t>mayoristas</w:t>
      </w:r>
      <w:r w:rsidR="009A2E25" w:rsidRPr="002336DA">
        <w:t xml:space="preserve"> de arrendamiento de enlaces</w:t>
      </w:r>
      <w:r w:rsidR="00FC5386" w:rsidRPr="002336DA">
        <w:t xml:space="preserve"> dedicados,</w:t>
      </w:r>
      <w:r w:rsidR="009A2E25" w:rsidRPr="002336DA">
        <w:t xml:space="preserve"> </w:t>
      </w:r>
      <w:r w:rsidR="00FC5386" w:rsidRPr="002336DA">
        <w:t xml:space="preserve">provistos a través de las tecnologías TDM y Ethernet, con tipo de cobertura: i) </w:t>
      </w:r>
      <w:r w:rsidR="009A2E25" w:rsidRPr="002336DA">
        <w:t>local tienen una dimensión geográfica por localidad</w:t>
      </w:r>
      <w:r w:rsidR="00FC5386" w:rsidRPr="002336DA">
        <w:t>, ii)</w:t>
      </w:r>
      <w:r w:rsidR="009A2E25" w:rsidRPr="002336DA">
        <w:t xml:space="preserve"> de larga distancia nacional tienen una dimensión geográfica por ruta (entre cada par de localidades)</w:t>
      </w:r>
      <w:r w:rsidR="00FC5386" w:rsidRPr="002336DA">
        <w:t xml:space="preserve"> y iii) de larga distancia internacional tienen una dimensión geográfica nacional</w:t>
      </w:r>
      <w:r w:rsidR="009A2E25" w:rsidRPr="002336DA">
        <w:t>.</w:t>
      </w:r>
      <w:r w:rsidR="00FC5386" w:rsidRPr="002336DA">
        <w:t xml:space="preserve"> Por último, el servicio de arrendamiento de enlaces MPLS posee una dimensión geográfica nacional.</w:t>
      </w:r>
    </w:p>
    <w:p w14:paraId="4D906D3A" w14:textId="77777777" w:rsidR="00D931A8" w:rsidRPr="00D931A8" w:rsidRDefault="00D931A8" w:rsidP="009B0A36">
      <w:pPr>
        <w:pStyle w:val="Ttulo4"/>
        <w:numPr>
          <w:ilvl w:val="1"/>
          <w:numId w:val="20"/>
        </w:numPr>
        <w:ind w:left="567" w:hanging="567"/>
      </w:pPr>
      <w:bookmarkStart w:id="43" w:name="_Toc463297867"/>
      <w:bookmarkStart w:id="44" w:name="_Toc463624324"/>
      <w:r w:rsidRPr="00D931A8">
        <w:t>Otros aspectos a considerar en la delimitación del mercado relevante</w:t>
      </w:r>
      <w:bookmarkEnd w:id="43"/>
      <w:bookmarkEnd w:id="44"/>
    </w:p>
    <w:p w14:paraId="38BB1DD7" w14:textId="77777777" w:rsidR="00D931A8" w:rsidRPr="00D931A8" w:rsidRDefault="00D931A8" w:rsidP="009B0A36">
      <w:pPr>
        <w:pStyle w:val="Prrafodelista"/>
        <w:numPr>
          <w:ilvl w:val="0"/>
          <w:numId w:val="13"/>
        </w:numPr>
        <w:spacing w:before="120" w:after="120" w:line="240" w:lineRule="auto"/>
        <w:contextualSpacing w:val="0"/>
        <w:jc w:val="both"/>
      </w:pPr>
      <w:r w:rsidRPr="00D931A8">
        <w:t>Otros criterios para la definición de mercado relevante están contenidos en la fracción IV del artículo 58, la cual señala lo siguiente:</w:t>
      </w:r>
    </w:p>
    <w:p w14:paraId="7D749DCA" w14:textId="77777777" w:rsidR="00D931A8" w:rsidRPr="00D931A8" w:rsidRDefault="00955543" w:rsidP="00955543">
      <w:pPr>
        <w:ind w:left="567" w:right="567"/>
        <w:jc w:val="both"/>
        <w:rPr>
          <w:i/>
          <w:sz w:val="20"/>
          <w:szCs w:val="20"/>
        </w:rPr>
      </w:pPr>
      <w:r>
        <w:rPr>
          <w:i/>
          <w:sz w:val="20"/>
          <w:szCs w:val="20"/>
        </w:rPr>
        <w:lastRenderedPageBreak/>
        <w:t xml:space="preserve">IV. </w:t>
      </w:r>
      <w:r w:rsidR="00D931A8" w:rsidRPr="00D931A8">
        <w:rPr>
          <w:i/>
          <w:sz w:val="20"/>
          <w:szCs w:val="20"/>
        </w:rPr>
        <w:t>Las restricciones normativas de carácter federal, local o internacional que limiten el acceso de usuarios o consumidores a fuentes de abasto alternativas, o el acceso de los proveedores a clientes alternativos;</w:t>
      </w:r>
    </w:p>
    <w:p w14:paraId="7DD642AB" w14:textId="77777777" w:rsidR="00594138" w:rsidRDefault="0086797C" w:rsidP="009B0A36">
      <w:pPr>
        <w:pStyle w:val="Prrafodelista"/>
        <w:numPr>
          <w:ilvl w:val="0"/>
          <w:numId w:val="13"/>
        </w:numPr>
        <w:spacing w:before="120" w:after="120" w:line="240" w:lineRule="auto"/>
        <w:contextualSpacing w:val="0"/>
        <w:jc w:val="both"/>
      </w:pPr>
      <w:r>
        <w:t>N</w:t>
      </w:r>
      <w:r w:rsidR="00D931A8" w:rsidRPr="00D931A8">
        <w:t xml:space="preserve">o </w:t>
      </w:r>
      <w:r w:rsidR="00594138" w:rsidRPr="00A8373C">
        <w:t>se identificaron</w:t>
      </w:r>
      <w:r w:rsidR="00594138" w:rsidRPr="00D931A8">
        <w:t xml:space="preserve"> </w:t>
      </w:r>
      <w:r w:rsidR="00D931A8" w:rsidRPr="00D931A8">
        <w:t xml:space="preserve">restricciones normativas de carácter federal o local que limiten el acceso de los usuarios finales a fuentes de abasto alternativas. </w:t>
      </w:r>
    </w:p>
    <w:p w14:paraId="1FC896BB" w14:textId="77777777" w:rsidR="00FA3726" w:rsidRDefault="0086797C" w:rsidP="009B0A36">
      <w:pPr>
        <w:pStyle w:val="Prrafodelista"/>
        <w:numPr>
          <w:ilvl w:val="0"/>
          <w:numId w:val="13"/>
        </w:numPr>
        <w:spacing w:before="120" w:after="120" w:line="240" w:lineRule="auto"/>
        <w:contextualSpacing w:val="0"/>
        <w:jc w:val="both"/>
      </w:pPr>
      <w:r>
        <w:t>Únicamente</w:t>
      </w:r>
      <w:r w:rsidR="00D931A8" w:rsidRPr="00D931A8">
        <w:t xml:space="preserve">, </w:t>
      </w:r>
      <w:r>
        <w:t xml:space="preserve">cabe precisar que </w:t>
      </w:r>
      <w:r w:rsidR="00863330" w:rsidRPr="00863330">
        <w:t xml:space="preserve">los usuarios no pueden solicitar el servicio a oferentes extranjeros, pues solo aquellos con una concesión para explotar una RPT o con una autorización para brindar servicios de telecomunicaciones en </w:t>
      </w:r>
      <w:r>
        <w:t xml:space="preserve">el </w:t>
      </w:r>
      <w:r w:rsidR="00863330" w:rsidRPr="00863330">
        <w:t>territorio nacional pueden proveer estos servicios, por lo que las opciones de los usuarios se circunscriben al territorio nacional.</w:t>
      </w:r>
    </w:p>
    <w:p w14:paraId="6D4B3A1B" w14:textId="77777777" w:rsidR="004B2E72" w:rsidRPr="00D931A8" w:rsidRDefault="00FA3726" w:rsidP="009B0A36">
      <w:pPr>
        <w:pStyle w:val="Prrafodelista"/>
        <w:numPr>
          <w:ilvl w:val="0"/>
          <w:numId w:val="13"/>
        </w:numPr>
        <w:spacing w:before="120" w:after="120" w:line="240" w:lineRule="auto"/>
        <w:contextualSpacing w:val="0"/>
        <w:jc w:val="both"/>
      </w:pPr>
      <w:r w:rsidRPr="00A8373C">
        <w:t xml:space="preserve">Por otro lado, </w:t>
      </w:r>
      <w:r w:rsidR="00594138" w:rsidRPr="00A8373C">
        <w:t>no se observan restricciones normativas relevantes que limiten el acceso de los proveedores a clientes alternativos</w:t>
      </w:r>
      <w:r w:rsidR="00AF6F4A">
        <w:t>, pues</w:t>
      </w:r>
      <w:r w:rsidR="00594138" w:rsidRPr="00A8373C">
        <w:t xml:space="preserve"> </w:t>
      </w:r>
      <w:r w:rsidR="00A8373C">
        <w:t xml:space="preserve">la mayoría de los </w:t>
      </w:r>
      <w:r w:rsidR="00594138" w:rsidRPr="00A8373C">
        <w:t xml:space="preserve">operadores </w:t>
      </w:r>
      <w:r w:rsidR="00A8373C">
        <w:t>c</w:t>
      </w:r>
      <w:r w:rsidR="00594138" w:rsidRPr="00A8373C">
        <w:t>uentan con concesiones que les permiten prestar este servicio con una cobertura nacional</w:t>
      </w:r>
      <w:r w:rsidR="00AF6F4A">
        <w:t xml:space="preserve"> y, en aquellos casos en que </w:t>
      </w:r>
      <w:r w:rsidR="000056CB">
        <w:t xml:space="preserve">los operadores </w:t>
      </w:r>
      <w:r w:rsidR="00AF6F4A">
        <w:t xml:space="preserve">cuenten con una cobertura geográfica restringida, podrían </w:t>
      </w:r>
      <w:r w:rsidR="00A8373C" w:rsidRPr="00A8373C">
        <w:t>transitar</w:t>
      </w:r>
      <w:r w:rsidR="008639C3" w:rsidRPr="00A8373C">
        <w:t xml:space="preserve"> </w:t>
      </w:r>
      <w:r w:rsidR="00AF6F4A">
        <w:t xml:space="preserve">fácilmente </w:t>
      </w:r>
      <w:r w:rsidR="008639C3" w:rsidRPr="00A8373C">
        <w:t>al régimen de concesión única, con cobertura nacional, previsto en las disposiciones aplicables</w:t>
      </w:r>
      <w:r w:rsidR="00A8373C">
        <w:t>.</w:t>
      </w:r>
      <w:r w:rsidR="00A8373C">
        <w:rPr>
          <w:rStyle w:val="Refdenotaalpie"/>
        </w:rPr>
        <w:footnoteReference w:id="160"/>
      </w:r>
    </w:p>
    <w:p w14:paraId="7A010428" w14:textId="77777777" w:rsidR="00D931A8" w:rsidRPr="00D931A8" w:rsidRDefault="00D931A8" w:rsidP="009B0A36">
      <w:pPr>
        <w:pStyle w:val="Prrafodelista"/>
        <w:numPr>
          <w:ilvl w:val="0"/>
          <w:numId w:val="13"/>
        </w:numPr>
        <w:spacing w:before="120" w:after="120" w:line="240" w:lineRule="auto"/>
        <w:contextualSpacing w:val="0"/>
        <w:jc w:val="both"/>
      </w:pPr>
      <w:r w:rsidRPr="00D931A8">
        <w:t>Adicionalmente, para la delimitación del mercado relevante en su dimensión producto y geográfica, la fracción V del artículo 58 señala lo siguiente:</w:t>
      </w:r>
    </w:p>
    <w:p w14:paraId="14097788" w14:textId="77777777" w:rsidR="00D931A8" w:rsidRPr="00D931A8" w:rsidRDefault="00955543" w:rsidP="00955543">
      <w:pPr>
        <w:ind w:left="567" w:right="567"/>
        <w:jc w:val="both"/>
        <w:rPr>
          <w:i/>
          <w:sz w:val="20"/>
          <w:szCs w:val="20"/>
        </w:rPr>
      </w:pPr>
      <w:r>
        <w:rPr>
          <w:i/>
          <w:sz w:val="20"/>
          <w:szCs w:val="20"/>
        </w:rPr>
        <w:t xml:space="preserve">V. </w:t>
      </w:r>
      <w:r w:rsidR="00D931A8" w:rsidRPr="00D931A8">
        <w:rPr>
          <w:i/>
          <w:sz w:val="20"/>
          <w:szCs w:val="20"/>
        </w:rPr>
        <w:t>Los demás que se establezcan en las Disposiciones Regulatorias, así como los criterios técnicos que para tal efecto emita la Comisión.</w:t>
      </w:r>
    </w:p>
    <w:p w14:paraId="4A3B5FC4" w14:textId="77777777" w:rsidR="00D931A8" w:rsidRPr="00D931A8" w:rsidRDefault="00D931A8" w:rsidP="009B0A36">
      <w:pPr>
        <w:pStyle w:val="Prrafodelista"/>
        <w:numPr>
          <w:ilvl w:val="0"/>
          <w:numId w:val="13"/>
        </w:numPr>
        <w:spacing w:before="120" w:after="120" w:line="240" w:lineRule="auto"/>
        <w:contextualSpacing w:val="0"/>
        <w:jc w:val="both"/>
      </w:pPr>
      <w:r w:rsidRPr="00D931A8">
        <w:t>Con relación a la fracción antes citada, el artículo 5 de las D</w:t>
      </w:r>
      <w:r w:rsidR="00BE3422">
        <w:t xml:space="preserve">isposiciones </w:t>
      </w:r>
      <w:r w:rsidRPr="00D931A8">
        <w:t>R</w:t>
      </w:r>
      <w:r w:rsidR="00BE3422">
        <w:t>egulatorias</w:t>
      </w:r>
      <w:r w:rsidRPr="00D931A8">
        <w:t xml:space="preserve"> establece lo siguiente:</w:t>
      </w:r>
    </w:p>
    <w:p w14:paraId="62D5C75B" w14:textId="77777777" w:rsidR="00D931A8" w:rsidRPr="00D931A8" w:rsidRDefault="00D931A8" w:rsidP="00D931A8">
      <w:pPr>
        <w:spacing w:before="200"/>
        <w:ind w:left="567" w:right="567"/>
        <w:jc w:val="both"/>
        <w:rPr>
          <w:i/>
          <w:iCs/>
          <w:sz w:val="20"/>
          <w:szCs w:val="20"/>
        </w:rPr>
      </w:pPr>
      <w:r w:rsidRPr="00955543">
        <w:rPr>
          <w:i/>
          <w:iCs/>
          <w:sz w:val="20"/>
          <w:szCs w:val="20"/>
        </w:rPr>
        <w:t>Artículo 5. Para</w:t>
      </w:r>
      <w:r w:rsidRPr="00D931A8">
        <w:rPr>
          <w:i/>
          <w:iCs/>
          <w:sz w:val="20"/>
          <w:szCs w:val="20"/>
        </w:rPr>
        <w:t xml:space="preserve"> la determinación del mercado relevante se deben analizar las circunstancias particulares de cada caso, identificar los bienes o servicios producidos, distribuidos, adquiridos, comercializados u ofrecidos y aquellos que los sustituyan o puedan sustituirlos oportunamente. Asimismo, se debe delimitar el área geográfica en la que se ofrecen o demandan dichos bienes o servicios, y si en la misma existe la opción de acudir indistintamente a los proveedores o clientes sin incurrir en costos significativos.</w:t>
      </w:r>
    </w:p>
    <w:p w14:paraId="3E4DD024" w14:textId="77777777" w:rsidR="00D931A8" w:rsidRDefault="00D931A8" w:rsidP="009B0A36">
      <w:pPr>
        <w:pStyle w:val="Prrafodelista"/>
        <w:numPr>
          <w:ilvl w:val="0"/>
          <w:numId w:val="13"/>
        </w:numPr>
        <w:spacing w:before="120" w:after="120" w:line="240" w:lineRule="auto"/>
        <w:contextualSpacing w:val="0"/>
        <w:jc w:val="both"/>
      </w:pPr>
      <w:r w:rsidRPr="00D931A8">
        <w:t xml:space="preserve">Las </w:t>
      </w:r>
      <w:r w:rsidRPr="00132E7B">
        <w:t xml:space="preserve">consideraciones del artículo antes citado fueron analizadas en los párrafos </w:t>
      </w:r>
      <w:r w:rsidR="00775711" w:rsidRPr="00132E7B">
        <w:t xml:space="preserve">74 </w:t>
      </w:r>
      <w:r w:rsidRPr="00132E7B">
        <w:t xml:space="preserve">al </w:t>
      </w:r>
      <w:r w:rsidR="00955543" w:rsidRPr="00132E7B">
        <w:t>12</w:t>
      </w:r>
      <w:r w:rsidR="006505DE" w:rsidRPr="00132E7B">
        <w:t>8</w:t>
      </w:r>
      <w:r w:rsidRPr="00132E7B">
        <w:t>.</w:t>
      </w:r>
    </w:p>
    <w:p w14:paraId="4A36C600" w14:textId="77777777" w:rsidR="00D931A8" w:rsidRPr="00132E7B" w:rsidRDefault="00D931A8" w:rsidP="009B0A36">
      <w:pPr>
        <w:pStyle w:val="Prrafodelista"/>
        <w:keepNext/>
        <w:keepLines/>
        <w:numPr>
          <w:ilvl w:val="0"/>
          <w:numId w:val="13"/>
        </w:numPr>
        <w:spacing w:before="120" w:after="120" w:line="240" w:lineRule="auto"/>
        <w:contextualSpacing w:val="0"/>
        <w:jc w:val="both"/>
      </w:pPr>
      <w:r w:rsidRPr="00132E7B">
        <w:lastRenderedPageBreak/>
        <w:t>La Tabla 6 resume los mercados identificados, y aquellos en los que participan las partes:</w:t>
      </w:r>
    </w:p>
    <w:p w14:paraId="3256CE6F" w14:textId="77777777" w:rsidR="00D931A8" w:rsidRPr="00D931A8" w:rsidRDefault="00D931A8" w:rsidP="003118A8">
      <w:pPr>
        <w:keepNext/>
        <w:keepLines/>
        <w:spacing w:after="0"/>
        <w:jc w:val="center"/>
        <w:rPr>
          <w:b/>
          <w:sz w:val="18"/>
          <w:szCs w:val="18"/>
        </w:rPr>
      </w:pPr>
      <w:r w:rsidRPr="00132E7B">
        <w:rPr>
          <w:b/>
          <w:sz w:val="18"/>
          <w:szCs w:val="18"/>
        </w:rPr>
        <w:t>Tabla 6. Mercados relevantes</w:t>
      </w:r>
      <w:r w:rsidRPr="00D931A8">
        <w:rPr>
          <w:b/>
          <w:sz w:val="18"/>
          <w:szCs w:val="18"/>
        </w:rPr>
        <w:t xml:space="preserve"> identificados en los que participan las partes</w:t>
      </w:r>
    </w:p>
    <w:tbl>
      <w:tblPr>
        <w:tblW w:w="8075" w:type="dxa"/>
        <w:jc w:val="center"/>
        <w:tblCellMar>
          <w:left w:w="70" w:type="dxa"/>
          <w:right w:w="70" w:type="dxa"/>
        </w:tblCellMar>
        <w:tblLook w:val="04A0" w:firstRow="1" w:lastRow="0" w:firstColumn="1" w:lastColumn="0" w:noHBand="0" w:noVBand="1"/>
        <w:tblCaption w:val="Tabla 6. Mercados relevantes identificados en los que participan las partes"/>
        <w:tblDescription w:val="Tabla que identifica los mercados relevantes identificando por tipo de tecnología, cobertura y usuario; así como la identifiación de los mercados donde las partes participan"/>
      </w:tblPr>
      <w:tblGrid>
        <w:gridCol w:w="1843"/>
        <w:gridCol w:w="2500"/>
        <w:gridCol w:w="1322"/>
        <w:gridCol w:w="2410"/>
      </w:tblGrid>
      <w:tr w:rsidR="00D931A8" w:rsidRPr="00D931A8" w14:paraId="00BDDAD2" w14:textId="77777777" w:rsidTr="00D931A8">
        <w:trPr>
          <w:trHeight w:val="113"/>
          <w:jc w:val="center"/>
        </w:trPr>
        <w:tc>
          <w:tcPr>
            <w:tcW w:w="184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73A4966" w14:textId="77777777" w:rsidR="00D931A8" w:rsidRPr="00D931A8" w:rsidRDefault="00D931A8" w:rsidP="003118A8">
            <w:pPr>
              <w:keepNext/>
              <w:keepLines/>
              <w:spacing w:after="0"/>
              <w:jc w:val="center"/>
              <w:rPr>
                <w:rFonts w:eastAsia="Times New Roman" w:cs="Times New Roman"/>
                <w:b/>
                <w:bCs/>
                <w:color w:val="FFFFFF"/>
                <w:sz w:val="16"/>
                <w:szCs w:val="16"/>
                <w:lang w:eastAsia="es-MX"/>
              </w:rPr>
            </w:pPr>
            <w:r w:rsidRPr="00D931A8">
              <w:rPr>
                <w:rFonts w:eastAsia="Times New Roman" w:cs="Times New Roman"/>
                <w:b/>
                <w:bCs/>
                <w:color w:val="FFFFFF"/>
                <w:sz w:val="16"/>
                <w:szCs w:val="16"/>
                <w:lang w:eastAsia="es-MX"/>
              </w:rPr>
              <w:t>Tipo de tecnología</w:t>
            </w:r>
          </w:p>
        </w:tc>
        <w:tc>
          <w:tcPr>
            <w:tcW w:w="2500" w:type="dxa"/>
            <w:tcBorders>
              <w:top w:val="single" w:sz="4" w:space="0" w:color="auto"/>
              <w:left w:val="nil"/>
              <w:bottom w:val="single" w:sz="4" w:space="0" w:color="auto"/>
              <w:right w:val="single" w:sz="4" w:space="0" w:color="auto"/>
            </w:tcBorders>
            <w:shd w:val="clear" w:color="000000" w:fill="002060"/>
            <w:vAlign w:val="center"/>
            <w:hideMark/>
          </w:tcPr>
          <w:p w14:paraId="221E9610" w14:textId="77777777" w:rsidR="00D931A8" w:rsidRPr="00D931A8" w:rsidRDefault="00D931A8" w:rsidP="003118A8">
            <w:pPr>
              <w:keepNext/>
              <w:keepLines/>
              <w:spacing w:after="0"/>
              <w:jc w:val="center"/>
              <w:rPr>
                <w:rFonts w:eastAsia="Times New Roman" w:cs="Times New Roman"/>
                <w:b/>
                <w:bCs/>
                <w:color w:val="FFFFFF"/>
                <w:sz w:val="16"/>
                <w:szCs w:val="16"/>
                <w:lang w:eastAsia="es-MX"/>
              </w:rPr>
            </w:pPr>
            <w:r w:rsidRPr="00D931A8">
              <w:rPr>
                <w:rFonts w:eastAsia="Times New Roman" w:cs="Times New Roman"/>
                <w:b/>
                <w:bCs/>
                <w:color w:val="FFFFFF"/>
                <w:sz w:val="16"/>
                <w:szCs w:val="16"/>
                <w:lang w:eastAsia="es-MX"/>
              </w:rPr>
              <w:t>Tipo de cobertura</w:t>
            </w:r>
          </w:p>
        </w:tc>
        <w:tc>
          <w:tcPr>
            <w:tcW w:w="1322" w:type="dxa"/>
            <w:tcBorders>
              <w:top w:val="single" w:sz="4" w:space="0" w:color="auto"/>
              <w:left w:val="nil"/>
              <w:bottom w:val="single" w:sz="4" w:space="0" w:color="auto"/>
              <w:right w:val="single" w:sz="4" w:space="0" w:color="auto"/>
            </w:tcBorders>
            <w:shd w:val="clear" w:color="000000" w:fill="002060"/>
            <w:vAlign w:val="center"/>
            <w:hideMark/>
          </w:tcPr>
          <w:p w14:paraId="0A6FACA5" w14:textId="77777777" w:rsidR="00D931A8" w:rsidRPr="00D931A8" w:rsidRDefault="00D931A8" w:rsidP="003118A8">
            <w:pPr>
              <w:keepNext/>
              <w:keepLines/>
              <w:spacing w:after="0"/>
              <w:jc w:val="center"/>
              <w:rPr>
                <w:rFonts w:eastAsia="Times New Roman" w:cs="Times New Roman"/>
                <w:b/>
                <w:bCs/>
                <w:color w:val="FFFFFF"/>
                <w:sz w:val="16"/>
                <w:szCs w:val="16"/>
                <w:lang w:eastAsia="es-MX"/>
              </w:rPr>
            </w:pPr>
            <w:r w:rsidRPr="00D931A8">
              <w:rPr>
                <w:rFonts w:eastAsia="Times New Roman" w:cs="Times New Roman"/>
                <w:b/>
                <w:bCs/>
                <w:color w:val="FFFFFF"/>
                <w:sz w:val="16"/>
                <w:szCs w:val="16"/>
                <w:lang w:eastAsia="es-MX"/>
              </w:rPr>
              <w:t>Tipo de usuario</w:t>
            </w:r>
          </w:p>
        </w:tc>
        <w:tc>
          <w:tcPr>
            <w:tcW w:w="2410" w:type="dxa"/>
            <w:tcBorders>
              <w:top w:val="single" w:sz="4" w:space="0" w:color="auto"/>
              <w:left w:val="nil"/>
              <w:bottom w:val="single" w:sz="4" w:space="0" w:color="auto"/>
              <w:right w:val="single" w:sz="4" w:space="0" w:color="auto"/>
            </w:tcBorders>
            <w:shd w:val="clear" w:color="000000" w:fill="002060"/>
            <w:noWrap/>
            <w:vAlign w:val="bottom"/>
            <w:hideMark/>
          </w:tcPr>
          <w:p w14:paraId="793EFEB2" w14:textId="77777777" w:rsidR="00D931A8" w:rsidRPr="00D931A8" w:rsidRDefault="00D931A8" w:rsidP="003118A8">
            <w:pPr>
              <w:keepNext/>
              <w:keepLines/>
              <w:spacing w:after="0"/>
              <w:jc w:val="center"/>
              <w:rPr>
                <w:rFonts w:eastAsia="Times New Roman" w:cs="Times New Roman"/>
                <w:b/>
                <w:bCs/>
                <w:color w:val="FFFFFF"/>
                <w:sz w:val="16"/>
                <w:szCs w:val="16"/>
                <w:lang w:eastAsia="es-MX"/>
              </w:rPr>
            </w:pPr>
            <w:r w:rsidRPr="00D931A8">
              <w:rPr>
                <w:rFonts w:eastAsia="Times New Roman" w:cs="Times New Roman"/>
                <w:b/>
                <w:bCs/>
                <w:color w:val="FFFFFF"/>
                <w:sz w:val="16"/>
                <w:szCs w:val="16"/>
                <w:lang w:eastAsia="es-MX"/>
              </w:rPr>
              <w:t>Las partes ofrecen el servicio</w:t>
            </w:r>
          </w:p>
        </w:tc>
      </w:tr>
      <w:tr w:rsidR="00D931A8" w:rsidRPr="00D931A8" w14:paraId="60B68C73" w14:textId="77777777" w:rsidTr="00D931A8">
        <w:trPr>
          <w:trHeight w:val="113"/>
          <w:jc w:val="center"/>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E8049FD" w14:textId="77777777" w:rsidR="00D931A8" w:rsidRPr="00D931A8" w:rsidRDefault="00D931A8" w:rsidP="003118A8">
            <w:pPr>
              <w:keepNext/>
              <w:keepLines/>
              <w:spacing w:after="0"/>
              <w:rPr>
                <w:rFonts w:eastAsia="Times New Roman" w:cs="Times New Roman"/>
                <w:color w:val="000000"/>
                <w:sz w:val="16"/>
                <w:szCs w:val="16"/>
                <w:lang w:eastAsia="es-MX"/>
              </w:rPr>
            </w:pPr>
            <w:r w:rsidRPr="00D931A8">
              <w:rPr>
                <w:rFonts w:eastAsia="Times New Roman" w:cs="Times New Roman"/>
                <w:color w:val="000000"/>
                <w:sz w:val="16"/>
                <w:szCs w:val="16"/>
                <w:lang w:eastAsia="es-MX"/>
              </w:rPr>
              <w:t>TDM</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14:paraId="6AA31C04" w14:textId="77777777" w:rsidR="00D931A8" w:rsidRPr="00D931A8" w:rsidRDefault="00D931A8" w:rsidP="003118A8">
            <w:pPr>
              <w:keepNext/>
              <w:keepLines/>
              <w:spacing w:after="0"/>
              <w:rPr>
                <w:rFonts w:eastAsia="Times New Roman" w:cs="Times New Roman"/>
                <w:color w:val="000000"/>
                <w:sz w:val="16"/>
                <w:szCs w:val="16"/>
                <w:lang w:eastAsia="es-MX"/>
              </w:rPr>
            </w:pPr>
            <w:r w:rsidRPr="00D931A8">
              <w:rPr>
                <w:rFonts w:eastAsia="Times New Roman" w:cs="Times New Roman"/>
                <w:color w:val="000000"/>
                <w:sz w:val="16"/>
                <w:szCs w:val="16"/>
                <w:lang w:eastAsia="es-MX"/>
              </w:rPr>
              <w:t>Enlaces locales</w:t>
            </w:r>
          </w:p>
        </w:tc>
        <w:tc>
          <w:tcPr>
            <w:tcW w:w="1322" w:type="dxa"/>
            <w:tcBorders>
              <w:top w:val="nil"/>
              <w:left w:val="nil"/>
              <w:bottom w:val="single" w:sz="4" w:space="0" w:color="auto"/>
              <w:right w:val="single" w:sz="4" w:space="0" w:color="auto"/>
            </w:tcBorders>
            <w:shd w:val="clear" w:color="auto" w:fill="auto"/>
            <w:vAlign w:val="center"/>
            <w:hideMark/>
          </w:tcPr>
          <w:p w14:paraId="0E76B822"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Mayorista</w:t>
            </w:r>
          </w:p>
        </w:tc>
        <w:tc>
          <w:tcPr>
            <w:tcW w:w="2410" w:type="dxa"/>
            <w:tcBorders>
              <w:top w:val="nil"/>
              <w:left w:val="nil"/>
              <w:bottom w:val="single" w:sz="4" w:space="0" w:color="auto"/>
              <w:right w:val="single" w:sz="4" w:space="0" w:color="auto"/>
            </w:tcBorders>
            <w:shd w:val="clear" w:color="auto" w:fill="BDD6EE" w:themeFill="accent1" w:themeFillTint="66"/>
            <w:noWrap/>
            <w:vAlign w:val="bottom"/>
            <w:hideMark/>
          </w:tcPr>
          <w:p w14:paraId="7B82B715"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Sí</w:t>
            </w:r>
          </w:p>
        </w:tc>
      </w:tr>
      <w:tr w:rsidR="00D931A8" w:rsidRPr="00D931A8" w14:paraId="044B0704"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5637004D"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tcBorders>
              <w:top w:val="nil"/>
              <w:left w:val="single" w:sz="4" w:space="0" w:color="auto"/>
              <w:bottom w:val="single" w:sz="4" w:space="0" w:color="auto"/>
              <w:right w:val="single" w:sz="4" w:space="0" w:color="auto"/>
            </w:tcBorders>
            <w:vAlign w:val="center"/>
            <w:hideMark/>
          </w:tcPr>
          <w:p w14:paraId="171372BA"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1322" w:type="dxa"/>
            <w:tcBorders>
              <w:top w:val="nil"/>
              <w:left w:val="nil"/>
              <w:bottom w:val="single" w:sz="4" w:space="0" w:color="auto"/>
              <w:right w:val="single" w:sz="4" w:space="0" w:color="auto"/>
            </w:tcBorders>
            <w:shd w:val="clear" w:color="auto" w:fill="auto"/>
            <w:vAlign w:val="center"/>
            <w:hideMark/>
          </w:tcPr>
          <w:p w14:paraId="6024FA7F"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Minorista</w:t>
            </w:r>
          </w:p>
        </w:tc>
        <w:tc>
          <w:tcPr>
            <w:tcW w:w="2410" w:type="dxa"/>
            <w:tcBorders>
              <w:top w:val="nil"/>
              <w:left w:val="nil"/>
              <w:bottom w:val="single" w:sz="4" w:space="0" w:color="auto"/>
              <w:right w:val="single" w:sz="4" w:space="0" w:color="auto"/>
            </w:tcBorders>
            <w:shd w:val="clear" w:color="auto" w:fill="BDD6EE" w:themeFill="accent1" w:themeFillTint="66"/>
            <w:noWrap/>
            <w:vAlign w:val="bottom"/>
            <w:hideMark/>
          </w:tcPr>
          <w:p w14:paraId="05AACB6F"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Sí</w:t>
            </w:r>
          </w:p>
        </w:tc>
      </w:tr>
      <w:tr w:rsidR="00D931A8" w:rsidRPr="00D931A8" w14:paraId="20FAAC15"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4D58E5F1"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14:paraId="667A1EF2" w14:textId="77777777" w:rsidR="00D931A8" w:rsidRPr="00D931A8" w:rsidRDefault="00D931A8" w:rsidP="003118A8">
            <w:pPr>
              <w:keepNext/>
              <w:keepLines/>
              <w:spacing w:after="0"/>
              <w:rPr>
                <w:rFonts w:eastAsia="Times New Roman" w:cs="Times New Roman"/>
                <w:color w:val="000000"/>
                <w:sz w:val="16"/>
                <w:szCs w:val="16"/>
                <w:lang w:eastAsia="es-MX"/>
              </w:rPr>
            </w:pPr>
            <w:r w:rsidRPr="00D931A8">
              <w:rPr>
                <w:rFonts w:eastAsia="Times New Roman" w:cs="Times New Roman"/>
                <w:color w:val="000000"/>
                <w:sz w:val="16"/>
                <w:szCs w:val="16"/>
                <w:lang w:eastAsia="es-MX"/>
              </w:rPr>
              <w:t>Larga distancia nacional</w:t>
            </w:r>
          </w:p>
        </w:tc>
        <w:tc>
          <w:tcPr>
            <w:tcW w:w="1322" w:type="dxa"/>
            <w:tcBorders>
              <w:top w:val="nil"/>
              <w:left w:val="nil"/>
              <w:bottom w:val="single" w:sz="4" w:space="0" w:color="auto"/>
              <w:right w:val="single" w:sz="4" w:space="0" w:color="auto"/>
            </w:tcBorders>
            <w:shd w:val="clear" w:color="auto" w:fill="auto"/>
            <w:vAlign w:val="center"/>
            <w:hideMark/>
          </w:tcPr>
          <w:p w14:paraId="7602264B"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Mayorista</w:t>
            </w:r>
          </w:p>
        </w:tc>
        <w:tc>
          <w:tcPr>
            <w:tcW w:w="2410" w:type="dxa"/>
            <w:tcBorders>
              <w:top w:val="nil"/>
              <w:left w:val="nil"/>
              <w:bottom w:val="single" w:sz="4" w:space="0" w:color="auto"/>
              <w:right w:val="single" w:sz="4" w:space="0" w:color="auto"/>
            </w:tcBorders>
            <w:shd w:val="clear" w:color="auto" w:fill="BDD6EE" w:themeFill="accent1" w:themeFillTint="66"/>
            <w:noWrap/>
            <w:vAlign w:val="bottom"/>
            <w:hideMark/>
          </w:tcPr>
          <w:p w14:paraId="4B83F92A"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Sí</w:t>
            </w:r>
          </w:p>
        </w:tc>
      </w:tr>
      <w:tr w:rsidR="00D931A8" w:rsidRPr="00D931A8" w14:paraId="6463B3B1"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4BA863B7"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tcBorders>
              <w:top w:val="nil"/>
              <w:left w:val="single" w:sz="4" w:space="0" w:color="auto"/>
              <w:bottom w:val="single" w:sz="4" w:space="0" w:color="auto"/>
              <w:right w:val="single" w:sz="4" w:space="0" w:color="auto"/>
            </w:tcBorders>
            <w:vAlign w:val="center"/>
            <w:hideMark/>
          </w:tcPr>
          <w:p w14:paraId="16064544"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1322" w:type="dxa"/>
            <w:tcBorders>
              <w:top w:val="nil"/>
              <w:left w:val="nil"/>
              <w:bottom w:val="single" w:sz="4" w:space="0" w:color="auto"/>
              <w:right w:val="single" w:sz="4" w:space="0" w:color="auto"/>
            </w:tcBorders>
            <w:shd w:val="clear" w:color="auto" w:fill="auto"/>
            <w:vAlign w:val="center"/>
            <w:hideMark/>
          </w:tcPr>
          <w:p w14:paraId="099BF6C2"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Minorista</w:t>
            </w:r>
          </w:p>
        </w:tc>
        <w:tc>
          <w:tcPr>
            <w:tcW w:w="2410" w:type="dxa"/>
            <w:tcBorders>
              <w:top w:val="nil"/>
              <w:left w:val="nil"/>
              <w:bottom w:val="single" w:sz="4" w:space="0" w:color="auto"/>
              <w:right w:val="single" w:sz="4" w:space="0" w:color="auto"/>
            </w:tcBorders>
            <w:shd w:val="clear" w:color="auto" w:fill="auto"/>
            <w:noWrap/>
            <w:vAlign w:val="bottom"/>
            <w:hideMark/>
          </w:tcPr>
          <w:p w14:paraId="3F5614AB"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No</w:t>
            </w:r>
          </w:p>
        </w:tc>
      </w:tr>
      <w:tr w:rsidR="00D931A8" w:rsidRPr="00D931A8" w14:paraId="61ADAB90"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5FF189C1"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14:paraId="503EA600" w14:textId="77777777" w:rsidR="00D931A8" w:rsidRPr="00D931A8" w:rsidRDefault="00D931A8" w:rsidP="003118A8">
            <w:pPr>
              <w:keepNext/>
              <w:keepLines/>
              <w:spacing w:after="0"/>
              <w:rPr>
                <w:rFonts w:eastAsia="Times New Roman" w:cs="Times New Roman"/>
                <w:color w:val="000000"/>
                <w:sz w:val="16"/>
                <w:szCs w:val="16"/>
                <w:lang w:eastAsia="es-MX"/>
              </w:rPr>
            </w:pPr>
            <w:r w:rsidRPr="00D931A8">
              <w:rPr>
                <w:rFonts w:eastAsia="Times New Roman" w:cs="Times New Roman"/>
                <w:color w:val="000000"/>
                <w:sz w:val="16"/>
                <w:szCs w:val="16"/>
                <w:lang w:eastAsia="es-MX"/>
              </w:rPr>
              <w:t>Larga distancia internacional</w:t>
            </w:r>
          </w:p>
        </w:tc>
        <w:tc>
          <w:tcPr>
            <w:tcW w:w="1322" w:type="dxa"/>
            <w:tcBorders>
              <w:top w:val="nil"/>
              <w:left w:val="nil"/>
              <w:bottom w:val="single" w:sz="4" w:space="0" w:color="auto"/>
              <w:right w:val="single" w:sz="4" w:space="0" w:color="auto"/>
            </w:tcBorders>
            <w:shd w:val="clear" w:color="auto" w:fill="auto"/>
            <w:vAlign w:val="center"/>
            <w:hideMark/>
          </w:tcPr>
          <w:p w14:paraId="0E7335A1"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Mayorista</w:t>
            </w:r>
          </w:p>
        </w:tc>
        <w:tc>
          <w:tcPr>
            <w:tcW w:w="2410" w:type="dxa"/>
            <w:tcBorders>
              <w:top w:val="nil"/>
              <w:left w:val="nil"/>
              <w:bottom w:val="single" w:sz="4" w:space="0" w:color="auto"/>
              <w:right w:val="single" w:sz="4" w:space="0" w:color="auto"/>
            </w:tcBorders>
            <w:shd w:val="clear" w:color="auto" w:fill="auto"/>
            <w:noWrap/>
            <w:vAlign w:val="bottom"/>
            <w:hideMark/>
          </w:tcPr>
          <w:p w14:paraId="74DD1CFA"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No</w:t>
            </w:r>
          </w:p>
        </w:tc>
      </w:tr>
      <w:tr w:rsidR="00D931A8" w:rsidRPr="00D931A8" w14:paraId="6712EC69"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5E9BA02F"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tcBorders>
              <w:top w:val="nil"/>
              <w:left w:val="single" w:sz="4" w:space="0" w:color="auto"/>
              <w:bottom w:val="single" w:sz="4" w:space="0" w:color="auto"/>
              <w:right w:val="single" w:sz="4" w:space="0" w:color="auto"/>
            </w:tcBorders>
            <w:vAlign w:val="center"/>
            <w:hideMark/>
          </w:tcPr>
          <w:p w14:paraId="135D01FE"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1322" w:type="dxa"/>
            <w:tcBorders>
              <w:top w:val="nil"/>
              <w:left w:val="nil"/>
              <w:bottom w:val="single" w:sz="4" w:space="0" w:color="auto"/>
              <w:right w:val="single" w:sz="4" w:space="0" w:color="auto"/>
            </w:tcBorders>
            <w:shd w:val="clear" w:color="auto" w:fill="auto"/>
            <w:vAlign w:val="center"/>
            <w:hideMark/>
          </w:tcPr>
          <w:p w14:paraId="72223BB8"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Minorista</w:t>
            </w:r>
          </w:p>
        </w:tc>
        <w:tc>
          <w:tcPr>
            <w:tcW w:w="2410" w:type="dxa"/>
            <w:tcBorders>
              <w:top w:val="nil"/>
              <w:left w:val="nil"/>
              <w:bottom w:val="single" w:sz="4" w:space="0" w:color="auto"/>
              <w:right w:val="single" w:sz="4" w:space="0" w:color="auto"/>
            </w:tcBorders>
            <w:shd w:val="clear" w:color="auto" w:fill="auto"/>
            <w:noWrap/>
            <w:vAlign w:val="bottom"/>
            <w:hideMark/>
          </w:tcPr>
          <w:p w14:paraId="265A08DE"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No</w:t>
            </w:r>
          </w:p>
        </w:tc>
      </w:tr>
      <w:tr w:rsidR="00D931A8" w:rsidRPr="00D931A8" w14:paraId="7DAFCF5B" w14:textId="77777777" w:rsidTr="00D931A8">
        <w:trPr>
          <w:trHeight w:val="113"/>
          <w:jc w:val="center"/>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C046816" w14:textId="77777777" w:rsidR="00D931A8" w:rsidRPr="00D931A8" w:rsidRDefault="00D931A8" w:rsidP="003118A8">
            <w:pPr>
              <w:keepNext/>
              <w:keepLines/>
              <w:spacing w:after="0"/>
              <w:rPr>
                <w:rFonts w:eastAsia="Times New Roman" w:cs="Times New Roman"/>
                <w:color w:val="000000"/>
                <w:sz w:val="16"/>
                <w:szCs w:val="16"/>
                <w:lang w:eastAsia="es-MX"/>
              </w:rPr>
            </w:pPr>
            <w:r w:rsidRPr="00D931A8">
              <w:rPr>
                <w:rFonts w:eastAsia="Times New Roman" w:cs="Times New Roman"/>
                <w:color w:val="000000"/>
                <w:sz w:val="16"/>
                <w:szCs w:val="16"/>
                <w:lang w:eastAsia="es-MX"/>
              </w:rPr>
              <w:t>Ethernet</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14:paraId="3019FC12" w14:textId="77777777" w:rsidR="00D931A8" w:rsidRPr="00D931A8" w:rsidRDefault="00D931A8" w:rsidP="003118A8">
            <w:pPr>
              <w:keepNext/>
              <w:keepLines/>
              <w:spacing w:after="0"/>
              <w:rPr>
                <w:rFonts w:eastAsia="Times New Roman" w:cs="Times New Roman"/>
                <w:color w:val="000000"/>
                <w:sz w:val="16"/>
                <w:szCs w:val="16"/>
                <w:lang w:eastAsia="es-MX"/>
              </w:rPr>
            </w:pPr>
            <w:r w:rsidRPr="00D931A8">
              <w:rPr>
                <w:rFonts w:eastAsia="Times New Roman" w:cs="Times New Roman"/>
                <w:color w:val="000000"/>
                <w:sz w:val="16"/>
                <w:szCs w:val="16"/>
                <w:lang w:eastAsia="es-MX"/>
              </w:rPr>
              <w:t>Enlaces locales</w:t>
            </w:r>
          </w:p>
        </w:tc>
        <w:tc>
          <w:tcPr>
            <w:tcW w:w="1322" w:type="dxa"/>
            <w:tcBorders>
              <w:top w:val="nil"/>
              <w:left w:val="nil"/>
              <w:bottom w:val="single" w:sz="4" w:space="0" w:color="auto"/>
              <w:right w:val="single" w:sz="4" w:space="0" w:color="auto"/>
            </w:tcBorders>
            <w:shd w:val="clear" w:color="auto" w:fill="auto"/>
            <w:vAlign w:val="center"/>
            <w:hideMark/>
          </w:tcPr>
          <w:p w14:paraId="6FE7FD7A"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Mayorista</w:t>
            </w:r>
          </w:p>
        </w:tc>
        <w:tc>
          <w:tcPr>
            <w:tcW w:w="2410" w:type="dxa"/>
            <w:tcBorders>
              <w:top w:val="nil"/>
              <w:left w:val="nil"/>
              <w:bottom w:val="single" w:sz="4" w:space="0" w:color="auto"/>
              <w:right w:val="single" w:sz="4" w:space="0" w:color="auto"/>
            </w:tcBorders>
            <w:shd w:val="clear" w:color="auto" w:fill="BDD6EE" w:themeFill="accent1" w:themeFillTint="66"/>
            <w:noWrap/>
            <w:vAlign w:val="bottom"/>
            <w:hideMark/>
          </w:tcPr>
          <w:p w14:paraId="31F42157"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Sí</w:t>
            </w:r>
          </w:p>
        </w:tc>
      </w:tr>
      <w:tr w:rsidR="00D931A8" w:rsidRPr="00D931A8" w14:paraId="6D038047"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5CB2E492"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tcBorders>
              <w:top w:val="nil"/>
              <w:left w:val="single" w:sz="4" w:space="0" w:color="auto"/>
              <w:bottom w:val="single" w:sz="4" w:space="0" w:color="auto"/>
              <w:right w:val="single" w:sz="4" w:space="0" w:color="auto"/>
            </w:tcBorders>
            <w:vAlign w:val="center"/>
            <w:hideMark/>
          </w:tcPr>
          <w:p w14:paraId="55F7A176"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1322" w:type="dxa"/>
            <w:tcBorders>
              <w:top w:val="nil"/>
              <w:left w:val="nil"/>
              <w:bottom w:val="single" w:sz="4" w:space="0" w:color="auto"/>
              <w:right w:val="single" w:sz="4" w:space="0" w:color="auto"/>
            </w:tcBorders>
            <w:shd w:val="clear" w:color="auto" w:fill="auto"/>
            <w:vAlign w:val="center"/>
            <w:hideMark/>
          </w:tcPr>
          <w:p w14:paraId="17F9FF57"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Minorista</w:t>
            </w:r>
          </w:p>
        </w:tc>
        <w:tc>
          <w:tcPr>
            <w:tcW w:w="2410" w:type="dxa"/>
            <w:tcBorders>
              <w:top w:val="nil"/>
              <w:left w:val="nil"/>
              <w:bottom w:val="single" w:sz="4" w:space="0" w:color="auto"/>
              <w:right w:val="single" w:sz="4" w:space="0" w:color="auto"/>
            </w:tcBorders>
            <w:shd w:val="clear" w:color="auto" w:fill="BDD6EE" w:themeFill="accent1" w:themeFillTint="66"/>
            <w:noWrap/>
            <w:vAlign w:val="bottom"/>
            <w:hideMark/>
          </w:tcPr>
          <w:p w14:paraId="6CC56D6B"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Sí</w:t>
            </w:r>
          </w:p>
        </w:tc>
      </w:tr>
      <w:tr w:rsidR="00D931A8" w:rsidRPr="00D931A8" w14:paraId="67CD6611"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3A5D1EE7"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14:paraId="2177482E" w14:textId="77777777" w:rsidR="00D931A8" w:rsidRPr="00D931A8" w:rsidRDefault="00D931A8" w:rsidP="003118A8">
            <w:pPr>
              <w:keepNext/>
              <w:keepLines/>
              <w:spacing w:after="0"/>
              <w:rPr>
                <w:rFonts w:eastAsia="Times New Roman" w:cs="Times New Roman"/>
                <w:color w:val="000000"/>
                <w:sz w:val="16"/>
                <w:szCs w:val="16"/>
                <w:lang w:eastAsia="es-MX"/>
              </w:rPr>
            </w:pPr>
            <w:r w:rsidRPr="00D931A8">
              <w:rPr>
                <w:rFonts w:eastAsia="Times New Roman" w:cs="Times New Roman"/>
                <w:color w:val="000000"/>
                <w:sz w:val="16"/>
                <w:szCs w:val="16"/>
                <w:lang w:eastAsia="es-MX"/>
              </w:rPr>
              <w:t>Larga distancia nacional</w:t>
            </w:r>
          </w:p>
        </w:tc>
        <w:tc>
          <w:tcPr>
            <w:tcW w:w="1322" w:type="dxa"/>
            <w:tcBorders>
              <w:top w:val="nil"/>
              <w:left w:val="nil"/>
              <w:bottom w:val="single" w:sz="4" w:space="0" w:color="auto"/>
              <w:right w:val="single" w:sz="4" w:space="0" w:color="auto"/>
            </w:tcBorders>
            <w:shd w:val="clear" w:color="auto" w:fill="auto"/>
            <w:vAlign w:val="center"/>
            <w:hideMark/>
          </w:tcPr>
          <w:p w14:paraId="7818D264"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Mayorista</w:t>
            </w:r>
          </w:p>
        </w:tc>
        <w:tc>
          <w:tcPr>
            <w:tcW w:w="2410" w:type="dxa"/>
            <w:tcBorders>
              <w:top w:val="nil"/>
              <w:left w:val="nil"/>
              <w:bottom w:val="single" w:sz="4" w:space="0" w:color="auto"/>
              <w:right w:val="single" w:sz="4" w:space="0" w:color="auto"/>
            </w:tcBorders>
            <w:shd w:val="clear" w:color="auto" w:fill="BDD6EE" w:themeFill="accent1" w:themeFillTint="66"/>
            <w:noWrap/>
            <w:vAlign w:val="bottom"/>
            <w:hideMark/>
          </w:tcPr>
          <w:p w14:paraId="6B4C43AE"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Sí</w:t>
            </w:r>
          </w:p>
        </w:tc>
      </w:tr>
      <w:tr w:rsidR="00D931A8" w:rsidRPr="00D931A8" w14:paraId="2E31DFCE"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4DD17DC1"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tcBorders>
              <w:top w:val="nil"/>
              <w:left w:val="single" w:sz="4" w:space="0" w:color="auto"/>
              <w:bottom w:val="single" w:sz="4" w:space="0" w:color="auto"/>
              <w:right w:val="single" w:sz="4" w:space="0" w:color="auto"/>
            </w:tcBorders>
            <w:vAlign w:val="center"/>
            <w:hideMark/>
          </w:tcPr>
          <w:p w14:paraId="78D23E4F"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1322" w:type="dxa"/>
            <w:tcBorders>
              <w:top w:val="nil"/>
              <w:left w:val="nil"/>
              <w:bottom w:val="single" w:sz="4" w:space="0" w:color="auto"/>
              <w:right w:val="single" w:sz="4" w:space="0" w:color="auto"/>
            </w:tcBorders>
            <w:shd w:val="clear" w:color="auto" w:fill="auto"/>
            <w:vAlign w:val="center"/>
            <w:hideMark/>
          </w:tcPr>
          <w:p w14:paraId="34AD5DCD"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Minorista</w:t>
            </w:r>
          </w:p>
        </w:tc>
        <w:tc>
          <w:tcPr>
            <w:tcW w:w="2410" w:type="dxa"/>
            <w:tcBorders>
              <w:top w:val="nil"/>
              <w:left w:val="nil"/>
              <w:bottom w:val="single" w:sz="4" w:space="0" w:color="auto"/>
              <w:right w:val="single" w:sz="4" w:space="0" w:color="auto"/>
            </w:tcBorders>
            <w:shd w:val="clear" w:color="auto" w:fill="BDD6EE" w:themeFill="accent1" w:themeFillTint="66"/>
            <w:noWrap/>
            <w:vAlign w:val="bottom"/>
            <w:hideMark/>
          </w:tcPr>
          <w:p w14:paraId="79F45A1C"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Sí</w:t>
            </w:r>
          </w:p>
        </w:tc>
      </w:tr>
      <w:tr w:rsidR="00D931A8" w:rsidRPr="00D931A8" w14:paraId="2B697F32"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4A63B096"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14:paraId="6D7A40A8" w14:textId="77777777" w:rsidR="00D931A8" w:rsidRPr="00D931A8" w:rsidRDefault="00D931A8" w:rsidP="003118A8">
            <w:pPr>
              <w:keepNext/>
              <w:keepLines/>
              <w:spacing w:after="0"/>
              <w:rPr>
                <w:rFonts w:eastAsia="Times New Roman" w:cs="Times New Roman"/>
                <w:color w:val="000000"/>
                <w:sz w:val="16"/>
                <w:szCs w:val="16"/>
                <w:lang w:eastAsia="es-MX"/>
              </w:rPr>
            </w:pPr>
            <w:r w:rsidRPr="00D931A8">
              <w:rPr>
                <w:rFonts w:eastAsia="Times New Roman" w:cs="Times New Roman"/>
                <w:color w:val="000000"/>
                <w:sz w:val="16"/>
                <w:szCs w:val="16"/>
                <w:lang w:eastAsia="es-MX"/>
              </w:rPr>
              <w:t>Larga distancia internacional</w:t>
            </w:r>
          </w:p>
        </w:tc>
        <w:tc>
          <w:tcPr>
            <w:tcW w:w="1322" w:type="dxa"/>
            <w:tcBorders>
              <w:top w:val="nil"/>
              <w:left w:val="nil"/>
              <w:bottom w:val="single" w:sz="4" w:space="0" w:color="auto"/>
              <w:right w:val="single" w:sz="4" w:space="0" w:color="auto"/>
            </w:tcBorders>
            <w:shd w:val="clear" w:color="auto" w:fill="auto"/>
            <w:vAlign w:val="center"/>
            <w:hideMark/>
          </w:tcPr>
          <w:p w14:paraId="060F68E4"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Mayorista</w:t>
            </w:r>
          </w:p>
        </w:tc>
        <w:tc>
          <w:tcPr>
            <w:tcW w:w="2410" w:type="dxa"/>
            <w:tcBorders>
              <w:top w:val="nil"/>
              <w:left w:val="nil"/>
              <w:bottom w:val="single" w:sz="4" w:space="0" w:color="auto"/>
              <w:right w:val="single" w:sz="4" w:space="0" w:color="auto"/>
            </w:tcBorders>
            <w:shd w:val="clear" w:color="auto" w:fill="BDD6EE" w:themeFill="accent1" w:themeFillTint="66"/>
            <w:noWrap/>
            <w:vAlign w:val="bottom"/>
            <w:hideMark/>
          </w:tcPr>
          <w:p w14:paraId="1837B00C"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Sí</w:t>
            </w:r>
          </w:p>
        </w:tc>
      </w:tr>
      <w:tr w:rsidR="00D931A8" w:rsidRPr="00D931A8" w14:paraId="4F7139F1" w14:textId="77777777" w:rsidTr="00D931A8">
        <w:trPr>
          <w:trHeight w:val="113"/>
          <w:jc w:val="center"/>
        </w:trPr>
        <w:tc>
          <w:tcPr>
            <w:tcW w:w="1843" w:type="dxa"/>
            <w:vMerge/>
            <w:tcBorders>
              <w:top w:val="nil"/>
              <w:left w:val="single" w:sz="4" w:space="0" w:color="auto"/>
              <w:bottom w:val="single" w:sz="4" w:space="0" w:color="auto"/>
              <w:right w:val="single" w:sz="4" w:space="0" w:color="auto"/>
            </w:tcBorders>
            <w:vAlign w:val="center"/>
            <w:hideMark/>
          </w:tcPr>
          <w:p w14:paraId="09417BE8"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2500" w:type="dxa"/>
            <w:vMerge/>
            <w:tcBorders>
              <w:top w:val="nil"/>
              <w:left w:val="single" w:sz="4" w:space="0" w:color="auto"/>
              <w:bottom w:val="single" w:sz="4" w:space="0" w:color="auto"/>
              <w:right w:val="single" w:sz="4" w:space="0" w:color="auto"/>
            </w:tcBorders>
            <w:vAlign w:val="center"/>
            <w:hideMark/>
          </w:tcPr>
          <w:p w14:paraId="303B257C" w14:textId="77777777" w:rsidR="00D931A8" w:rsidRPr="00D931A8" w:rsidRDefault="00D931A8" w:rsidP="003118A8">
            <w:pPr>
              <w:keepNext/>
              <w:keepLines/>
              <w:spacing w:after="0"/>
              <w:rPr>
                <w:rFonts w:eastAsia="Times New Roman" w:cs="Times New Roman"/>
                <w:color w:val="000000"/>
                <w:sz w:val="16"/>
                <w:szCs w:val="16"/>
                <w:lang w:eastAsia="es-MX"/>
              </w:rPr>
            </w:pPr>
          </w:p>
        </w:tc>
        <w:tc>
          <w:tcPr>
            <w:tcW w:w="1322" w:type="dxa"/>
            <w:tcBorders>
              <w:top w:val="nil"/>
              <w:left w:val="nil"/>
              <w:bottom w:val="single" w:sz="4" w:space="0" w:color="auto"/>
              <w:right w:val="single" w:sz="4" w:space="0" w:color="auto"/>
            </w:tcBorders>
            <w:shd w:val="clear" w:color="auto" w:fill="auto"/>
            <w:vAlign w:val="center"/>
            <w:hideMark/>
          </w:tcPr>
          <w:p w14:paraId="6819D458" w14:textId="77777777" w:rsidR="00D931A8" w:rsidRPr="00D931A8" w:rsidRDefault="00D931A8" w:rsidP="003118A8">
            <w:pPr>
              <w:keepNext/>
              <w:keepLines/>
              <w:spacing w:after="0"/>
              <w:jc w:val="both"/>
              <w:rPr>
                <w:rFonts w:eastAsia="Times New Roman" w:cs="Times New Roman"/>
                <w:color w:val="000000"/>
                <w:sz w:val="16"/>
                <w:szCs w:val="16"/>
                <w:lang w:eastAsia="es-MX"/>
              </w:rPr>
            </w:pPr>
            <w:r w:rsidRPr="00D931A8">
              <w:rPr>
                <w:rFonts w:eastAsia="Times New Roman" w:cs="Times New Roman"/>
                <w:color w:val="000000"/>
                <w:sz w:val="16"/>
                <w:szCs w:val="16"/>
                <w:lang w:eastAsia="es-MX"/>
              </w:rPr>
              <w:t>Minorista</w:t>
            </w:r>
          </w:p>
        </w:tc>
        <w:tc>
          <w:tcPr>
            <w:tcW w:w="2410" w:type="dxa"/>
            <w:tcBorders>
              <w:top w:val="nil"/>
              <w:left w:val="nil"/>
              <w:bottom w:val="single" w:sz="4" w:space="0" w:color="auto"/>
              <w:right w:val="single" w:sz="4" w:space="0" w:color="auto"/>
            </w:tcBorders>
            <w:shd w:val="clear" w:color="auto" w:fill="auto"/>
            <w:noWrap/>
            <w:vAlign w:val="bottom"/>
            <w:hideMark/>
          </w:tcPr>
          <w:p w14:paraId="41F42D0E"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No</w:t>
            </w:r>
          </w:p>
        </w:tc>
      </w:tr>
      <w:tr w:rsidR="00D931A8" w:rsidRPr="00D931A8" w14:paraId="7F80AE90" w14:textId="77777777" w:rsidTr="00D931A8">
        <w:trPr>
          <w:trHeight w:val="113"/>
          <w:jc w:val="center"/>
        </w:trPr>
        <w:tc>
          <w:tcPr>
            <w:tcW w:w="56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C8B3CF" w14:textId="77777777" w:rsidR="00D931A8" w:rsidRPr="00D931A8" w:rsidRDefault="00D931A8" w:rsidP="003118A8">
            <w:pPr>
              <w:keepNext/>
              <w:keepLines/>
              <w:spacing w:after="0"/>
              <w:rPr>
                <w:rFonts w:eastAsia="Times New Roman" w:cs="Times New Roman"/>
                <w:color w:val="000000"/>
                <w:sz w:val="16"/>
                <w:szCs w:val="16"/>
                <w:lang w:eastAsia="es-MX"/>
              </w:rPr>
            </w:pPr>
            <w:r w:rsidRPr="00D931A8">
              <w:rPr>
                <w:rFonts w:eastAsia="Times New Roman" w:cs="Times New Roman"/>
                <w:color w:val="000000"/>
                <w:sz w:val="16"/>
                <w:szCs w:val="16"/>
                <w:lang w:eastAsia="es-MX"/>
              </w:rPr>
              <w:t>MPLS</w:t>
            </w:r>
          </w:p>
        </w:tc>
        <w:tc>
          <w:tcPr>
            <w:tcW w:w="2410" w:type="dxa"/>
            <w:tcBorders>
              <w:top w:val="nil"/>
              <w:left w:val="nil"/>
              <w:bottom w:val="single" w:sz="4" w:space="0" w:color="auto"/>
              <w:right w:val="single" w:sz="4" w:space="0" w:color="auto"/>
            </w:tcBorders>
            <w:shd w:val="clear" w:color="auto" w:fill="BDD6EE" w:themeFill="accent1" w:themeFillTint="66"/>
            <w:noWrap/>
            <w:vAlign w:val="bottom"/>
            <w:hideMark/>
          </w:tcPr>
          <w:p w14:paraId="3FA6DD32" w14:textId="77777777" w:rsidR="00D931A8" w:rsidRPr="00D931A8" w:rsidRDefault="00D931A8" w:rsidP="003118A8">
            <w:pPr>
              <w:keepNext/>
              <w:keepLines/>
              <w:spacing w:after="0"/>
              <w:jc w:val="center"/>
              <w:rPr>
                <w:rFonts w:eastAsia="Times New Roman" w:cs="Times New Roman"/>
                <w:color w:val="000000"/>
                <w:sz w:val="16"/>
                <w:szCs w:val="16"/>
                <w:lang w:eastAsia="es-MX"/>
              </w:rPr>
            </w:pPr>
            <w:r w:rsidRPr="00D931A8">
              <w:rPr>
                <w:rFonts w:eastAsia="Times New Roman" w:cs="Times New Roman"/>
                <w:color w:val="000000"/>
                <w:sz w:val="16"/>
                <w:szCs w:val="16"/>
                <w:lang w:eastAsia="es-MX"/>
              </w:rPr>
              <w:t>Sí</w:t>
            </w:r>
          </w:p>
        </w:tc>
      </w:tr>
    </w:tbl>
    <w:p w14:paraId="06B5BDA2"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Finalmente, de lo expuesto en los </w:t>
      </w:r>
      <w:r w:rsidRPr="00132E7B">
        <w:t xml:space="preserve">párrafos </w:t>
      </w:r>
      <w:r w:rsidR="00775711" w:rsidRPr="005F1025">
        <w:t xml:space="preserve">74 </w:t>
      </w:r>
      <w:r w:rsidRPr="005F1025">
        <w:t xml:space="preserve">al </w:t>
      </w:r>
      <w:r w:rsidR="003E766D" w:rsidRPr="005F1025">
        <w:t>13</w:t>
      </w:r>
      <w:r w:rsidR="006505DE" w:rsidRPr="005F1025">
        <w:t>2</w:t>
      </w:r>
      <w:r w:rsidRPr="00132E7B">
        <w:t xml:space="preserve">, para efectos </w:t>
      </w:r>
      <w:r w:rsidR="00D2793F" w:rsidRPr="00132E7B">
        <w:t>de la</w:t>
      </w:r>
      <w:r w:rsidRPr="00132E7B">
        <w:t xml:space="preserve"> presente </w:t>
      </w:r>
      <w:r w:rsidR="00D2793F" w:rsidRPr="00132E7B">
        <w:t>investigación</w:t>
      </w:r>
      <w:r w:rsidRPr="00132E7B">
        <w:t>, se identificaron nueve mercados</w:t>
      </w:r>
      <w:r w:rsidRPr="00D931A8">
        <w:t xml:space="preserve"> relevantes </w:t>
      </w:r>
      <w:r w:rsidR="00D2793F">
        <w:t>que se listan a continuación</w:t>
      </w:r>
      <w:r w:rsidRPr="00D931A8">
        <w:t>:</w:t>
      </w:r>
    </w:p>
    <w:p w14:paraId="053891F3" w14:textId="77777777" w:rsidR="00D931A8" w:rsidRPr="002336DA" w:rsidRDefault="00D931A8" w:rsidP="009B0A36">
      <w:pPr>
        <w:numPr>
          <w:ilvl w:val="0"/>
          <w:numId w:val="15"/>
        </w:numPr>
        <w:ind w:left="851" w:hanging="709"/>
        <w:jc w:val="both"/>
      </w:pPr>
      <w:r w:rsidRPr="00D931A8">
        <w:t xml:space="preserve">servicio </w:t>
      </w:r>
      <w:r w:rsidRPr="00D931A8">
        <w:rPr>
          <w:u w:val="single"/>
        </w:rPr>
        <w:t>minorista</w:t>
      </w:r>
      <w:r w:rsidRPr="00D931A8">
        <w:t xml:space="preserve"> de arrendamiento de enlaces dedicados </w:t>
      </w:r>
      <w:r w:rsidRPr="00D931A8">
        <w:rPr>
          <w:u w:val="single"/>
        </w:rPr>
        <w:t>locales</w:t>
      </w:r>
      <w:r w:rsidRPr="00D931A8">
        <w:t xml:space="preserve"> con tecnología </w:t>
      </w:r>
      <w:r w:rsidRPr="00D931A8">
        <w:rPr>
          <w:u w:val="single"/>
        </w:rPr>
        <w:t>TDM</w:t>
      </w:r>
      <w:r w:rsidRPr="00D931A8">
        <w:t xml:space="preserve">, entregados por cualquier medio de transmisión, excepto </w:t>
      </w:r>
      <w:r w:rsidRPr="002336DA">
        <w:t>satélite, con dimensión geográfica nacional;</w:t>
      </w:r>
    </w:p>
    <w:p w14:paraId="6643BD30" w14:textId="77777777" w:rsidR="002336DA" w:rsidRPr="002336DA" w:rsidRDefault="002336DA" w:rsidP="002336DA">
      <w:pPr>
        <w:numPr>
          <w:ilvl w:val="0"/>
          <w:numId w:val="15"/>
        </w:numPr>
        <w:ind w:left="851" w:hanging="709"/>
        <w:jc w:val="both"/>
      </w:pPr>
      <w:r w:rsidRPr="002336DA">
        <w:t xml:space="preserve">servicio </w:t>
      </w:r>
      <w:r w:rsidRPr="002336DA">
        <w:rPr>
          <w:u w:val="single"/>
        </w:rPr>
        <w:t>minorista</w:t>
      </w:r>
      <w:r w:rsidRPr="002336DA">
        <w:t xml:space="preserve"> de arrendamiento de enlaces dedicados </w:t>
      </w:r>
      <w:r w:rsidRPr="002336DA">
        <w:rPr>
          <w:u w:val="single"/>
        </w:rPr>
        <w:t>locales</w:t>
      </w:r>
      <w:r w:rsidRPr="002336DA">
        <w:t xml:space="preserve"> con tecnología </w:t>
      </w:r>
      <w:r w:rsidRPr="002336DA">
        <w:rPr>
          <w:u w:val="single"/>
        </w:rPr>
        <w:t>Ethernet</w:t>
      </w:r>
      <w:r w:rsidRPr="002336DA">
        <w:t>, entregados por cualquier medio de transmisión, excepto satélite, con dimensión geográfica nacional;</w:t>
      </w:r>
    </w:p>
    <w:p w14:paraId="4FBDD731" w14:textId="77777777" w:rsidR="002336DA" w:rsidRPr="002336DA" w:rsidRDefault="002336DA" w:rsidP="002336DA">
      <w:pPr>
        <w:numPr>
          <w:ilvl w:val="0"/>
          <w:numId w:val="15"/>
        </w:numPr>
        <w:ind w:left="851" w:hanging="709"/>
        <w:jc w:val="both"/>
      </w:pPr>
      <w:r w:rsidRPr="002336DA">
        <w:t xml:space="preserve">servicio </w:t>
      </w:r>
      <w:r w:rsidRPr="002336DA">
        <w:rPr>
          <w:u w:val="single"/>
        </w:rPr>
        <w:t>minorista</w:t>
      </w:r>
      <w:r w:rsidRPr="002336DA">
        <w:t xml:space="preserve"> de arrendamiento de enlaces dedicados de</w:t>
      </w:r>
      <w:r w:rsidRPr="002336DA">
        <w:rPr>
          <w:u w:val="single"/>
        </w:rPr>
        <w:t xml:space="preserve"> larga distancia nacional</w:t>
      </w:r>
      <w:r w:rsidRPr="002336DA">
        <w:t xml:space="preserve"> con tecnología </w:t>
      </w:r>
      <w:r w:rsidRPr="002336DA">
        <w:rPr>
          <w:u w:val="single"/>
        </w:rPr>
        <w:t>Ethernet</w:t>
      </w:r>
      <w:r w:rsidRPr="002336DA">
        <w:t>, entregados por cualquier medio de transmisión, excepto satélite, con dimensión geográfica nacional;</w:t>
      </w:r>
    </w:p>
    <w:p w14:paraId="40F55D33" w14:textId="77777777" w:rsidR="002336DA" w:rsidRPr="002336DA" w:rsidRDefault="002336DA" w:rsidP="002336DA">
      <w:pPr>
        <w:numPr>
          <w:ilvl w:val="0"/>
          <w:numId w:val="15"/>
        </w:numPr>
        <w:ind w:left="851" w:hanging="709"/>
        <w:jc w:val="both"/>
      </w:pPr>
      <w:r w:rsidRPr="002336DA">
        <w:t xml:space="preserve">servicio </w:t>
      </w:r>
      <w:r w:rsidRPr="002336DA">
        <w:rPr>
          <w:u w:val="single"/>
        </w:rPr>
        <w:t>mayorista</w:t>
      </w:r>
      <w:r w:rsidRPr="002336DA">
        <w:t xml:space="preserve"> de arrendamiento de enlaces dedicados </w:t>
      </w:r>
      <w:r w:rsidRPr="002336DA">
        <w:rPr>
          <w:u w:val="single"/>
        </w:rPr>
        <w:t>locales</w:t>
      </w:r>
      <w:r w:rsidRPr="002336DA">
        <w:t xml:space="preserve"> con tecnología </w:t>
      </w:r>
      <w:r w:rsidRPr="002336DA">
        <w:rPr>
          <w:u w:val="single"/>
        </w:rPr>
        <w:t>TDM</w:t>
      </w:r>
      <w:r w:rsidRPr="002336DA">
        <w:t xml:space="preserve">, entregados por cualquier medio de transmisión, excepto satélite, con dimensión geográfica por localidad; </w:t>
      </w:r>
    </w:p>
    <w:p w14:paraId="200544AC" w14:textId="77777777" w:rsidR="002336DA" w:rsidRPr="002336DA" w:rsidRDefault="002336DA" w:rsidP="002336DA">
      <w:pPr>
        <w:numPr>
          <w:ilvl w:val="0"/>
          <w:numId w:val="15"/>
        </w:numPr>
        <w:ind w:left="851" w:hanging="709"/>
        <w:jc w:val="both"/>
      </w:pPr>
      <w:r w:rsidRPr="002336DA">
        <w:t xml:space="preserve">servicio </w:t>
      </w:r>
      <w:r w:rsidRPr="002336DA">
        <w:rPr>
          <w:u w:val="single"/>
        </w:rPr>
        <w:t>mayorista</w:t>
      </w:r>
      <w:r w:rsidRPr="002336DA">
        <w:t xml:space="preserve"> de arrendamiento de enlaces dedicados de </w:t>
      </w:r>
      <w:r w:rsidRPr="002336DA">
        <w:rPr>
          <w:u w:val="single"/>
        </w:rPr>
        <w:t>locales</w:t>
      </w:r>
      <w:r w:rsidRPr="002336DA">
        <w:t xml:space="preserve"> con tecnología </w:t>
      </w:r>
      <w:r w:rsidRPr="002336DA">
        <w:rPr>
          <w:u w:val="single"/>
        </w:rPr>
        <w:t>Ethernet</w:t>
      </w:r>
      <w:r w:rsidRPr="002336DA">
        <w:t>, entregados por cualquier medio de transmisión, excepto satélite, con dimensión geográfica por localidad;</w:t>
      </w:r>
    </w:p>
    <w:p w14:paraId="0528377B" w14:textId="77777777" w:rsidR="00D931A8" w:rsidRPr="002336DA" w:rsidRDefault="00D931A8" w:rsidP="009B0A36">
      <w:pPr>
        <w:numPr>
          <w:ilvl w:val="0"/>
          <w:numId w:val="15"/>
        </w:numPr>
        <w:ind w:left="851" w:hanging="709"/>
        <w:jc w:val="both"/>
      </w:pPr>
      <w:r w:rsidRPr="002336DA">
        <w:t xml:space="preserve">servicio </w:t>
      </w:r>
      <w:r w:rsidRPr="002336DA">
        <w:rPr>
          <w:u w:val="single"/>
        </w:rPr>
        <w:t xml:space="preserve">mayorista </w:t>
      </w:r>
      <w:r w:rsidRPr="002336DA">
        <w:t xml:space="preserve">de arrendamiento de enlaces dedicados de </w:t>
      </w:r>
      <w:r w:rsidRPr="002336DA">
        <w:rPr>
          <w:u w:val="single"/>
        </w:rPr>
        <w:t>larga distancia nacional</w:t>
      </w:r>
      <w:r w:rsidRPr="002336DA">
        <w:t xml:space="preserve"> con tecnología </w:t>
      </w:r>
      <w:r w:rsidRPr="002336DA">
        <w:rPr>
          <w:u w:val="single"/>
        </w:rPr>
        <w:t>TDM</w:t>
      </w:r>
      <w:r w:rsidRPr="002336DA">
        <w:t xml:space="preserve">, entregados por cualquier medio de transmisión, excepto satélite, con dimensión geográfica </w:t>
      </w:r>
      <w:r w:rsidR="001C3466" w:rsidRPr="002336DA">
        <w:t>por ruta (entre cada par de localidades)</w:t>
      </w:r>
      <w:r w:rsidRPr="002336DA">
        <w:t>;</w:t>
      </w:r>
    </w:p>
    <w:p w14:paraId="72E5179D" w14:textId="77777777" w:rsidR="001C3466" w:rsidRPr="002336DA" w:rsidRDefault="00D931A8" w:rsidP="001C3466">
      <w:pPr>
        <w:numPr>
          <w:ilvl w:val="0"/>
          <w:numId w:val="15"/>
        </w:numPr>
        <w:ind w:left="851" w:hanging="709"/>
        <w:jc w:val="both"/>
      </w:pPr>
      <w:r w:rsidRPr="002336DA">
        <w:t xml:space="preserve">servicio </w:t>
      </w:r>
      <w:r w:rsidRPr="002336DA">
        <w:rPr>
          <w:u w:val="single"/>
        </w:rPr>
        <w:t>mayorista</w:t>
      </w:r>
      <w:r w:rsidRPr="002336DA">
        <w:t xml:space="preserve"> de arrendamiento de enlaces dedicados de</w:t>
      </w:r>
      <w:r w:rsidRPr="002336DA">
        <w:rPr>
          <w:u w:val="single"/>
        </w:rPr>
        <w:t xml:space="preserve"> larga distancia nacional</w:t>
      </w:r>
      <w:r w:rsidRPr="002336DA">
        <w:t xml:space="preserve"> con tecnología </w:t>
      </w:r>
      <w:r w:rsidRPr="002336DA">
        <w:rPr>
          <w:u w:val="single"/>
        </w:rPr>
        <w:t>Ethernet</w:t>
      </w:r>
      <w:r w:rsidRPr="002336DA">
        <w:t xml:space="preserve">, entregados por cualquier medio de transmisión, excepto satélite, </w:t>
      </w:r>
      <w:r w:rsidR="001C3466" w:rsidRPr="002336DA">
        <w:t>con dimensión geográfica por ruta (entre cada par de localidades);</w:t>
      </w:r>
    </w:p>
    <w:p w14:paraId="59C7C923" w14:textId="77777777" w:rsidR="00D931A8" w:rsidRPr="00D931A8" w:rsidRDefault="00D931A8" w:rsidP="009B0A36">
      <w:pPr>
        <w:numPr>
          <w:ilvl w:val="0"/>
          <w:numId w:val="15"/>
        </w:numPr>
        <w:ind w:left="851" w:hanging="709"/>
        <w:jc w:val="both"/>
      </w:pPr>
      <w:r w:rsidRPr="002336DA">
        <w:lastRenderedPageBreak/>
        <w:t xml:space="preserve">servicio </w:t>
      </w:r>
      <w:r w:rsidRPr="002336DA">
        <w:rPr>
          <w:u w:val="single"/>
        </w:rPr>
        <w:t>mayorista</w:t>
      </w:r>
      <w:r w:rsidRPr="002336DA">
        <w:t xml:space="preserve"> de arrendamiento de enlaces dedicados de</w:t>
      </w:r>
      <w:r w:rsidRPr="002336DA">
        <w:rPr>
          <w:u w:val="single"/>
        </w:rPr>
        <w:t xml:space="preserve"> larga distancia internacional</w:t>
      </w:r>
      <w:r w:rsidRPr="002336DA">
        <w:t xml:space="preserve"> con tecnología </w:t>
      </w:r>
      <w:r w:rsidRPr="002336DA">
        <w:rPr>
          <w:u w:val="single"/>
        </w:rPr>
        <w:t>Ethernet</w:t>
      </w:r>
      <w:r w:rsidRPr="002336DA">
        <w:t>, entregados por cualquier medio de transmisión, excepto satélite</w:t>
      </w:r>
      <w:r w:rsidRPr="00D931A8">
        <w:t>, con dimensión geográfica nacional</w:t>
      </w:r>
      <w:r w:rsidR="000406B1">
        <w:t>, y</w:t>
      </w:r>
    </w:p>
    <w:p w14:paraId="607C1B28" w14:textId="77777777" w:rsidR="00D931A8" w:rsidRPr="00D931A8" w:rsidRDefault="00D931A8" w:rsidP="009B0A36">
      <w:pPr>
        <w:numPr>
          <w:ilvl w:val="0"/>
          <w:numId w:val="15"/>
        </w:numPr>
        <w:ind w:left="851" w:hanging="709"/>
        <w:jc w:val="both"/>
      </w:pPr>
      <w:r w:rsidRPr="00D931A8">
        <w:t xml:space="preserve">servicio de arrendamiento de enlaces </w:t>
      </w:r>
      <w:r w:rsidRPr="00D931A8">
        <w:rPr>
          <w:u w:val="single"/>
        </w:rPr>
        <w:t>MPLS</w:t>
      </w:r>
      <w:r w:rsidRPr="00D931A8">
        <w:t>, entregados por cualquier medio de transmisión, excepto satélite, con dimensión geográfica nacional.</w:t>
      </w:r>
    </w:p>
    <w:p w14:paraId="142AA666" w14:textId="77777777" w:rsidR="00D931A8" w:rsidRPr="00D931A8" w:rsidRDefault="00430A36" w:rsidP="009B0A36">
      <w:pPr>
        <w:pStyle w:val="Ttulo3"/>
        <w:numPr>
          <w:ilvl w:val="2"/>
          <w:numId w:val="11"/>
        </w:numPr>
        <w:ind w:left="397" w:hanging="397"/>
      </w:pPr>
      <w:r w:rsidRPr="00D931A8">
        <w:t xml:space="preserve">Servicio </w:t>
      </w:r>
      <w:r w:rsidRPr="00F15E17">
        <w:t>de</w:t>
      </w:r>
      <w:r w:rsidRPr="00D931A8">
        <w:t xml:space="preserve"> acceso a internet dedicado</w:t>
      </w:r>
      <w:r w:rsidRPr="00D931A8" w:rsidDel="00430A36">
        <w:t xml:space="preserve"> </w:t>
      </w:r>
    </w:p>
    <w:p w14:paraId="433E5ADD" w14:textId="77777777" w:rsidR="00D931A8" w:rsidRPr="00D931A8" w:rsidRDefault="00D931A8" w:rsidP="009B0A36">
      <w:pPr>
        <w:pStyle w:val="Ttulo4"/>
        <w:numPr>
          <w:ilvl w:val="1"/>
          <w:numId w:val="24"/>
        </w:numPr>
        <w:ind w:left="567" w:hanging="567"/>
      </w:pPr>
      <w:r w:rsidRPr="00F15E17">
        <w:t>Descripción</w:t>
      </w:r>
      <w:r w:rsidRPr="00D931A8">
        <w:t xml:space="preserve"> del servicio</w:t>
      </w:r>
    </w:p>
    <w:p w14:paraId="4A30B8E2" w14:textId="77777777" w:rsidR="00D931A8" w:rsidRPr="00D931A8" w:rsidRDefault="00D931A8" w:rsidP="009B0A36">
      <w:pPr>
        <w:pStyle w:val="Prrafodelista"/>
        <w:numPr>
          <w:ilvl w:val="0"/>
          <w:numId w:val="13"/>
        </w:numPr>
        <w:spacing w:before="120" w:after="120" w:line="240" w:lineRule="auto"/>
        <w:contextualSpacing w:val="0"/>
        <w:jc w:val="both"/>
      </w:pPr>
      <w:r w:rsidRPr="00D931A8">
        <w:t>El servicio de acceso a internet</w:t>
      </w:r>
      <w:r w:rsidRPr="00D931A8">
        <w:rPr>
          <w:vertAlign w:val="superscript"/>
        </w:rPr>
        <w:footnoteReference w:id="161"/>
      </w:r>
      <w:r w:rsidRPr="00D931A8">
        <w:t xml:space="preserve"> dedicado es un servicio público de telecomunicaciones,</w:t>
      </w:r>
      <w:r w:rsidRPr="00D931A8">
        <w:rPr>
          <w:vertAlign w:val="superscript"/>
        </w:rPr>
        <w:footnoteReference w:id="162"/>
      </w:r>
      <w:r w:rsidRPr="00D931A8">
        <w:t xml:space="preserve"> ofrecido al amparo de una concesión única</w:t>
      </w:r>
      <w:r w:rsidR="00BE3422" w:rsidRPr="00BE3422">
        <w:t xml:space="preserve"> </w:t>
      </w:r>
      <w:r w:rsidR="00BE3422" w:rsidRPr="00D931A8">
        <w:t xml:space="preserve">o </w:t>
      </w:r>
      <w:r w:rsidR="0054381A">
        <w:t>de una autorización</w:t>
      </w:r>
      <w:r w:rsidRPr="00D931A8">
        <w:t>,</w:t>
      </w:r>
      <w:r w:rsidRPr="00D931A8">
        <w:rPr>
          <w:vertAlign w:val="superscript"/>
        </w:rPr>
        <w:footnoteReference w:id="163"/>
      </w:r>
      <w:r w:rsidRPr="00D931A8">
        <w:t xml:space="preserve"> que se caracteriza por otorgar un acceso dedicado, simétrico, sin sobresuscripción y de alta capacidad a la red mundial de internet, así como por garantizar niveles de servicio usualmente cuantificables y atención técnica especializada.</w:t>
      </w:r>
      <w:r w:rsidRPr="00D931A8">
        <w:rPr>
          <w:vertAlign w:val="superscript"/>
        </w:rPr>
        <w:footnoteReference w:id="164"/>
      </w:r>
    </w:p>
    <w:p w14:paraId="4A31A5D2" w14:textId="77777777" w:rsidR="00D931A8" w:rsidRPr="00D931A8" w:rsidRDefault="00D931A8" w:rsidP="009B0A36">
      <w:pPr>
        <w:pStyle w:val="Prrafodelista"/>
        <w:numPr>
          <w:ilvl w:val="0"/>
          <w:numId w:val="13"/>
        </w:numPr>
        <w:spacing w:before="120" w:after="120" w:line="240" w:lineRule="auto"/>
        <w:contextualSpacing w:val="0"/>
        <w:jc w:val="both"/>
      </w:pPr>
      <w:r w:rsidRPr="00D931A8">
        <w:t>El servicio de acceso a internet dedicado provee una conexión directa a la red mundial de internet a través de puertos dedicados. El cliente accede a internet por medio de un enlace dedicado de última milla que conecta el equipo de ruteo</w:t>
      </w:r>
      <w:r w:rsidRPr="00D931A8">
        <w:rPr>
          <w:i/>
        </w:rPr>
        <w:t xml:space="preserve"> </w:t>
      </w:r>
      <w:r w:rsidRPr="00D931A8">
        <w:t>en el sitio del cliente (</w:t>
      </w:r>
      <w:r w:rsidRPr="00D931A8">
        <w:rPr>
          <w:i/>
        </w:rPr>
        <w:t>Customer Premise Equipment</w:t>
      </w:r>
      <w:r w:rsidRPr="00D931A8">
        <w:t>) con un punto de presencia del proveedor. De ahí, el operador administra el tráfico del cliente, de forma que se mantengan la capacidad, la velocidad y los niveles de servicio contratados por el usuario final,</w:t>
      </w:r>
      <w:r w:rsidRPr="00D931A8">
        <w:rPr>
          <w:vertAlign w:val="superscript"/>
        </w:rPr>
        <w:footnoteReference w:id="165"/>
      </w:r>
      <w:r w:rsidRPr="00D931A8">
        <w:t xml:space="preserve"> hasta llegar a las conexiones directas con la red mundial de internet.</w:t>
      </w:r>
    </w:p>
    <w:p w14:paraId="6DB33C75" w14:textId="77777777" w:rsidR="00D931A8" w:rsidRPr="00132E7B" w:rsidRDefault="00D931A8" w:rsidP="009B0A36">
      <w:pPr>
        <w:pStyle w:val="Prrafodelista"/>
        <w:numPr>
          <w:ilvl w:val="0"/>
          <w:numId w:val="13"/>
        </w:numPr>
        <w:spacing w:before="120" w:after="120" w:line="240" w:lineRule="auto"/>
        <w:contextualSpacing w:val="0"/>
        <w:jc w:val="both"/>
      </w:pPr>
      <w:r w:rsidRPr="00D931A8">
        <w:t>Los principales insumos requeridos para ofrecer este servicio son un router frontera o punto de demarcación en el sitio del cliente,</w:t>
      </w:r>
      <w:r w:rsidRPr="00D931A8">
        <w:rPr>
          <w:vertAlign w:val="superscript"/>
        </w:rPr>
        <w:footnoteReference w:id="166"/>
      </w:r>
      <w:r w:rsidRPr="00D931A8">
        <w:t xml:space="preserve"> enlaces dedicados de última milla, una red de transporte de alta capacidad y conexiones directas a la red mundial de internet. Estas últimas se adquieren mediante la conexión con operadores </w:t>
      </w:r>
      <w:r w:rsidRPr="00132E7B">
        <w:t xml:space="preserve">internacionales Tier-1 y/o mediante el intercambio de tráfico entre </w:t>
      </w:r>
      <w:r w:rsidRPr="00132E7B">
        <w:lastRenderedPageBreak/>
        <w:t>operadores nacionales</w:t>
      </w:r>
      <w:r w:rsidRPr="00132E7B">
        <w:rPr>
          <w:i/>
        </w:rPr>
        <w:t>.</w:t>
      </w:r>
      <w:r w:rsidRPr="00132E7B">
        <w:rPr>
          <w:vertAlign w:val="superscript"/>
        </w:rPr>
        <w:footnoteReference w:id="167"/>
      </w:r>
      <w:r w:rsidRPr="00132E7B">
        <w:rPr>
          <w:i/>
        </w:rPr>
        <w:t xml:space="preserve"> </w:t>
      </w:r>
      <w:r w:rsidRPr="00132E7B">
        <w:t>La Figura 1 representa la estructura de red para otorgar el servicio.</w:t>
      </w:r>
    </w:p>
    <w:p w14:paraId="1023462C" w14:textId="77777777" w:rsidR="00D931A8" w:rsidRPr="00D931A8" w:rsidRDefault="00D931A8" w:rsidP="00D931A8">
      <w:pPr>
        <w:keepNext/>
        <w:spacing w:after="0"/>
        <w:jc w:val="center"/>
        <w:rPr>
          <w:b/>
          <w:sz w:val="18"/>
          <w:szCs w:val="18"/>
        </w:rPr>
      </w:pPr>
      <w:r w:rsidRPr="00132E7B">
        <w:rPr>
          <w:b/>
          <w:sz w:val="18"/>
          <w:szCs w:val="18"/>
        </w:rPr>
        <w:t>Figura 1. Representación de</w:t>
      </w:r>
      <w:r w:rsidRPr="00D931A8">
        <w:rPr>
          <w:b/>
          <w:sz w:val="18"/>
          <w:szCs w:val="18"/>
        </w:rPr>
        <w:t xml:space="preserve"> la arquitectura de red del servicio de acceso a internet dedicado</w:t>
      </w:r>
    </w:p>
    <w:p w14:paraId="3447CE97" w14:textId="77777777" w:rsidR="00D931A8" w:rsidRPr="00D931A8" w:rsidRDefault="00E12A8B" w:rsidP="00E12A8B">
      <w:pPr>
        <w:spacing w:after="0"/>
        <w:jc w:val="center"/>
      </w:pPr>
      <w:r>
        <w:rPr>
          <w:noProof/>
          <w:lang w:eastAsia="es-MX"/>
        </w:rPr>
        <w:drawing>
          <wp:inline distT="0" distB="0" distL="0" distR="0" wp14:anchorId="51CAA72F" wp14:editId="667CA0C5">
            <wp:extent cx="4096385" cy="2643612"/>
            <wp:effectExtent l="0" t="0" r="0" b="0"/>
            <wp:docPr id="3" name="Imagen 3" descr="Representación de la arquitectura de red del servicio de acceso a internet dedicado" title="Figura 1. Representación de la arquitectura de red del servicio de acceso a internet ded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1143" cy="2653136"/>
                    </a:xfrm>
                    <a:prstGeom prst="rect">
                      <a:avLst/>
                    </a:prstGeom>
                    <a:noFill/>
                    <a:ln w="3175">
                      <a:noFill/>
                    </a:ln>
                  </pic:spPr>
                </pic:pic>
              </a:graphicData>
            </a:graphic>
          </wp:inline>
        </w:drawing>
      </w:r>
    </w:p>
    <w:p w14:paraId="41CD5112" w14:textId="63EE1A94" w:rsidR="00D931A8" w:rsidRPr="00D931A8" w:rsidRDefault="00D931A8" w:rsidP="00D931A8">
      <w:pPr>
        <w:jc w:val="both"/>
        <w:rPr>
          <w:sz w:val="16"/>
          <w:szCs w:val="16"/>
        </w:rPr>
      </w:pPr>
      <w:r w:rsidRPr="00D931A8">
        <w:rPr>
          <w:sz w:val="16"/>
          <w:szCs w:val="16"/>
        </w:rPr>
        <w:t>Fuente: Elaboración propia con base en contratos del servicio d</w:t>
      </w:r>
      <w:r w:rsidR="00801A02">
        <w:rPr>
          <w:sz w:val="16"/>
          <w:szCs w:val="16"/>
        </w:rPr>
        <w:t xml:space="preserve">e acceso a internet dedicado </w:t>
      </w:r>
      <w:r w:rsidR="00FB169D" w:rsidRPr="008720D8">
        <w:rPr>
          <w:b/>
          <w:bCs/>
          <w:color w:val="0000CC"/>
          <w:sz w:val="16"/>
          <w:szCs w:val="16"/>
        </w:rPr>
        <w:t>“CONFIDENCIAL POR LEY”</w:t>
      </w:r>
      <w:r w:rsidRPr="00D931A8">
        <w:rPr>
          <w:sz w:val="16"/>
          <w:szCs w:val="16"/>
        </w:rPr>
        <w:t xml:space="preserve">. Fojas </w:t>
      </w:r>
      <w:r w:rsidR="00F77575">
        <w:rPr>
          <w:sz w:val="16"/>
          <w:szCs w:val="16"/>
        </w:rPr>
        <w:t xml:space="preserve">3267 y 3285-3385 </w:t>
      </w:r>
      <w:r w:rsidRPr="00D931A8">
        <w:rPr>
          <w:sz w:val="16"/>
          <w:szCs w:val="16"/>
        </w:rPr>
        <w:t>del Expediente.</w:t>
      </w:r>
    </w:p>
    <w:p w14:paraId="7CABEDB0" w14:textId="77777777" w:rsidR="00D931A8" w:rsidRPr="00D931A8" w:rsidRDefault="00D931A8" w:rsidP="009B0A36">
      <w:pPr>
        <w:pStyle w:val="Prrafodelista"/>
        <w:numPr>
          <w:ilvl w:val="0"/>
          <w:numId w:val="13"/>
        </w:numPr>
        <w:spacing w:before="120" w:after="120" w:line="240" w:lineRule="auto"/>
        <w:contextualSpacing w:val="0"/>
        <w:jc w:val="both"/>
      </w:pPr>
      <w:r w:rsidRPr="00D931A8">
        <w:t>Este servicio se provee en dos modalidades, acceso dedicado ilimitado y acceso dedicado bajo demanda. El primero asegura un consumo ilimitado del ancho de banda contratado, mientras el segundo establece un pago conforme al ancho de banda utilizado, definiendo un consumo mínimo comprometido (piso) y un máximo (techo). Para ambas modalidades, el cliente debe incurrir en gastos de instalación y/o activación del servicio, así como pagar una renta mensual.</w:t>
      </w:r>
      <w:r w:rsidRPr="00D931A8">
        <w:rPr>
          <w:vertAlign w:val="superscript"/>
        </w:rPr>
        <w:footnoteReference w:id="168"/>
      </w:r>
    </w:p>
    <w:p w14:paraId="6ACA6415"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cargos de instalación varían conforme al plazo de contratación y el ancho de banda contratado o utilizado, según sea la modalidad. En tanto, la renta mensual es fija para el internet dedicado con consumo ilimitado y variable para el internet dedicado con consumo bajo demanda, en cuyo caso varía en función del ancho de banda efectivamente usado.</w:t>
      </w:r>
      <w:r w:rsidRPr="00D931A8">
        <w:rPr>
          <w:vertAlign w:val="superscript"/>
        </w:rPr>
        <w:footnoteReference w:id="169"/>
      </w:r>
    </w:p>
    <w:p w14:paraId="716E703D" w14:textId="77777777" w:rsidR="00D931A8" w:rsidRPr="00D931A8" w:rsidRDefault="00D931A8" w:rsidP="009B0A36">
      <w:pPr>
        <w:pStyle w:val="Prrafodelista"/>
        <w:numPr>
          <w:ilvl w:val="0"/>
          <w:numId w:val="13"/>
        </w:numPr>
        <w:spacing w:before="120" w:after="120" w:line="240" w:lineRule="auto"/>
        <w:contextualSpacing w:val="0"/>
        <w:jc w:val="both"/>
      </w:pPr>
      <w:r w:rsidRPr="00D931A8">
        <w:lastRenderedPageBreak/>
        <w:t>Los oferentes del servicio establecen plazos mínimos de contratación que abarcan de uno a cuatro años.</w:t>
      </w:r>
      <w:r w:rsidRPr="00D931A8">
        <w:rPr>
          <w:vertAlign w:val="superscript"/>
        </w:rPr>
        <w:footnoteReference w:id="170"/>
      </w:r>
      <w:r w:rsidRPr="00D931A8">
        <w:t xml:space="preserve"> Además, las ofertas comerciales pueden incluir servicios adicionales como la renta del equipo de ruteo en el sitio del cliente, servicios de resolución y publicación de dominios particulares, servicios de tecnologías de la información, soluciones de seguridad, administración de tráfico, entre otros.</w:t>
      </w:r>
      <w:r w:rsidRPr="00D931A8">
        <w:rPr>
          <w:vertAlign w:val="superscript"/>
        </w:rPr>
        <w:footnoteReference w:id="171"/>
      </w:r>
      <w:r w:rsidRPr="00D931A8">
        <w:t xml:space="preserve"> </w:t>
      </w:r>
    </w:p>
    <w:p w14:paraId="34D4C2AE" w14:textId="77777777" w:rsidR="00D931A8" w:rsidRPr="00D931A8" w:rsidRDefault="00D931A8" w:rsidP="009B0A36">
      <w:pPr>
        <w:pStyle w:val="Prrafodelista"/>
        <w:numPr>
          <w:ilvl w:val="0"/>
          <w:numId w:val="13"/>
        </w:numPr>
        <w:spacing w:before="120" w:after="120" w:line="240" w:lineRule="auto"/>
        <w:contextualSpacing w:val="0"/>
        <w:jc w:val="both"/>
      </w:pPr>
      <w:r w:rsidRPr="00D931A8">
        <w:t>El principal canal de comercialización es a través de la fuerza de ventas directa, pues al ser un servicio dirigido al segmento corporativo e institucional, los concesionarios se concentran en capturar clientes asignando personal especializado a la atención y servicio para este tipo de usuarios.</w:t>
      </w:r>
      <w:r w:rsidRPr="00D931A8">
        <w:rPr>
          <w:vertAlign w:val="superscript"/>
        </w:rPr>
        <w:footnoteReference w:id="172"/>
      </w:r>
      <w:r w:rsidRPr="00D931A8">
        <w:rPr>
          <w:vertAlign w:val="superscript"/>
        </w:rPr>
        <w:t>,</w:t>
      </w:r>
      <w:r w:rsidRPr="00D931A8">
        <w:rPr>
          <w:vertAlign w:val="superscript"/>
        </w:rPr>
        <w:footnoteReference w:id="173"/>
      </w:r>
    </w:p>
    <w:p w14:paraId="613D640D" w14:textId="77777777" w:rsidR="00D931A8" w:rsidRPr="00D931A8" w:rsidRDefault="00D931A8" w:rsidP="009B0A36">
      <w:pPr>
        <w:pStyle w:val="Ttulo4"/>
        <w:numPr>
          <w:ilvl w:val="1"/>
          <w:numId w:val="24"/>
        </w:numPr>
        <w:ind w:left="567" w:hanging="567"/>
      </w:pPr>
      <w:r w:rsidRPr="00D931A8">
        <w:t>Oferentes y demandantes del servicio</w:t>
      </w:r>
    </w:p>
    <w:p w14:paraId="0B343492"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oferentes del servicio de acceso a internet dedicado son concesionarios</w:t>
      </w:r>
      <w:r w:rsidR="008F2612">
        <w:t xml:space="preserve"> y autorizados</w:t>
      </w:r>
      <w:r w:rsidRPr="00D931A8">
        <w:t xml:space="preserve"> de servicios públicos de telecomunicaciones que cuentan con la infraestructura y capacidad para ofrecer una conexión dedicada y directa a la red mundial de internet, con velocidades de transmisión que abarcan de 64 Kbps a 10 Gbps.</w:t>
      </w:r>
      <w:r w:rsidRPr="00D931A8">
        <w:rPr>
          <w:vertAlign w:val="superscript"/>
        </w:rPr>
        <w:footnoteReference w:id="174"/>
      </w:r>
      <w:r w:rsidRPr="00D931A8">
        <w:rPr>
          <w:vertAlign w:val="superscript"/>
        </w:rPr>
        <w:t xml:space="preserve"> </w:t>
      </w:r>
      <w:r w:rsidRPr="00D931A8">
        <w:t>Además, aseguran estándares de calidad cuantificables sobre el servicio, tales como cotas sobre el grado de latencia o retardo, la disponibilidad del servicio y la pérdida de paquetes; asimismo, proporcionan soporte técnico y atención especializada.</w:t>
      </w:r>
      <w:r w:rsidRPr="00D931A8">
        <w:rPr>
          <w:vertAlign w:val="superscript"/>
        </w:rPr>
        <w:footnoteReference w:id="175"/>
      </w:r>
    </w:p>
    <w:p w14:paraId="6CD18374"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usuarios del servicio son empresas, corporativos y organismos públicos que requieren de una conexión a internet con un ancho de banda exclusivo, confiable y de alta capacidad que les permita manejar grandes volúmenes de información, contar con una conexión permanente a la red</w:t>
      </w:r>
      <w:r w:rsidR="008F4532">
        <w:t xml:space="preserve"> mundial</w:t>
      </w:r>
      <w:r w:rsidRPr="00D931A8">
        <w:t xml:space="preserve"> de internet y soportar aplicaciones y soluciones de tecnologías de la información sobre internet.</w:t>
      </w:r>
      <w:r w:rsidRPr="00D931A8">
        <w:rPr>
          <w:vertAlign w:val="superscript"/>
        </w:rPr>
        <w:footnoteReference w:id="176"/>
      </w:r>
      <w:r w:rsidRPr="00D931A8">
        <w:t xml:space="preserve"> </w:t>
      </w:r>
    </w:p>
    <w:p w14:paraId="3CACDEBE" w14:textId="77777777" w:rsidR="00D931A8" w:rsidRPr="00D931A8" w:rsidRDefault="00D931A8" w:rsidP="009B0A36">
      <w:pPr>
        <w:pStyle w:val="Prrafodelista"/>
        <w:numPr>
          <w:ilvl w:val="0"/>
          <w:numId w:val="13"/>
        </w:numPr>
        <w:spacing w:before="120" w:after="120" w:line="240" w:lineRule="auto"/>
        <w:contextualSpacing w:val="0"/>
        <w:jc w:val="both"/>
        <w:rPr>
          <w:lang w:val="es-ES_tradnl"/>
        </w:rPr>
      </w:pPr>
      <w:r w:rsidRPr="00D931A8">
        <w:t>Los usuarios</w:t>
      </w:r>
      <w:r w:rsidRPr="00D931A8">
        <w:rPr>
          <w:lang w:val="es-ES_tradnl"/>
        </w:rPr>
        <w:t xml:space="preserve"> negocian directamente con los oferentes la capacidad y </w:t>
      </w:r>
      <w:r w:rsidR="006D78EE">
        <w:rPr>
          <w:lang w:val="es-ES_tradnl"/>
        </w:rPr>
        <w:t xml:space="preserve">el nivel de </w:t>
      </w:r>
      <w:r w:rsidRPr="00D931A8">
        <w:rPr>
          <w:lang w:val="es-ES_tradnl"/>
        </w:rPr>
        <w:t xml:space="preserve">calidad del </w:t>
      </w:r>
      <w:r w:rsidR="006D78EE">
        <w:rPr>
          <w:lang w:val="es-ES_tradnl"/>
        </w:rPr>
        <w:t>servicio</w:t>
      </w:r>
      <w:r w:rsidRPr="00D931A8">
        <w:rPr>
          <w:lang w:val="es-ES_tradnl"/>
        </w:rPr>
        <w:t xml:space="preserve"> que requieren para el acceso a internet, mediante contratos que especifican los niveles de servicio, las tarifas y los posibles descuentos. En la </w:t>
      </w:r>
      <w:r w:rsidRPr="00D931A8">
        <w:rPr>
          <w:lang w:val="es-ES_tradnl"/>
        </w:rPr>
        <w:lastRenderedPageBreak/>
        <w:t>negociación se establecen las condiciones de provisión del servicio y las condiciones técnicas que debe cumplir el sitio y equipo de ruteo del cliente.</w:t>
      </w:r>
      <w:r w:rsidRPr="00D931A8">
        <w:rPr>
          <w:vertAlign w:val="superscript"/>
          <w:lang w:val="es-ES_tradnl"/>
        </w:rPr>
        <w:footnoteReference w:id="177"/>
      </w:r>
      <w:r w:rsidRPr="00D931A8">
        <w:rPr>
          <w:lang w:val="es-ES_tradnl"/>
        </w:rPr>
        <w:t xml:space="preserve"> En ese sentido, los demandantes suelen contar con un nivel mínimo de conocimiento técnico para adquirir el servicio, ya sea que dicho conocimiento provenga de un área interna o de la subcontratación de un tercero.</w:t>
      </w:r>
    </w:p>
    <w:p w14:paraId="4EEA048D" w14:textId="77777777" w:rsidR="00D931A8" w:rsidRPr="00D931A8" w:rsidRDefault="00D931A8" w:rsidP="009B0A36">
      <w:pPr>
        <w:pStyle w:val="Prrafodelista"/>
        <w:numPr>
          <w:ilvl w:val="0"/>
          <w:numId w:val="13"/>
        </w:numPr>
        <w:spacing w:before="120" w:after="120" w:line="240" w:lineRule="auto"/>
        <w:contextualSpacing w:val="0"/>
        <w:jc w:val="both"/>
      </w:pPr>
      <w:r w:rsidRPr="00D931A8">
        <w:rPr>
          <w:lang w:val="es-ES_tradnl"/>
        </w:rPr>
        <w:t xml:space="preserve">Por </w:t>
      </w:r>
      <w:r w:rsidRPr="00661E1C">
        <w:t>último</w:t>
      </w:r>
      <w:r w:rsidRPr="00D931A8">
        <w:rPr>
          <w:lang w:val="es-ES_tradnl"/>
        </w:rPr>
        <w:t xml:space="preserve">, </w:t>
      </w:r>
      <w:r w:rsidRPr="00D931A8">
        <w:t xml:space="preserve">dependiendo de las necesidades de comunicación y tecnológicas de una empresa, el servicio de acceso a internet dedicado puede ser demandado junto con otros servicios de telecomunicaciones, así como en conjunto con otros servicios adicionales, tales como </w:t>
      </w:r>
      <w:r w:rsidRPr="00D931A8">
        <w:rPr>
          <w:lang w:val="es-ES_tradnl"/>
        </w:rPr>
        <w:t>servicios de las tecnologías de la información, soluciones de redes, soluciones de seguridad, asesoramiento, provisión de dominios fijos, mantenimiento de equipo, monitoreo, entre otros</w:t>
      </w:r>
      <w:r w:rsidRPr="00D931A8">
        <w:t>.</w:t>
      </w:r>
      <w:r w:rsidRPr="00D931A8">
        <w:rPr>
          <w:vertAlign w:val="superscript"/>
        </w:rPr>
        <w:footnoteReference w:id="178"/>
      </w:r>
    </w:p>
    <w:p w14:paraId="02BD73C9" w14:textId="77777777" w:rsidR="00D931A8" w:rsidRPr="00D931A8" w:rsidRDefault="00D931A8" w:rsidP="009B0A36">
      <w:pPr>
        <w:pStyle w:val="Ttulo4"/>
        <w:numPr>
          <w:ilvl w:val="1"/>
          <w:numId w:val="24"/>
        </w:numPr>
        <w:ind w:left="567" w:hanging="567"/>
      </w:pPr>
      <w:r w:rsidRPr="00D931A8">
        <w:t>Servicios sustitutos</w:t>
      </w:r>
    </w:p>
    <w:p w14:paraId="390FA256" w14:textId="77777777" w:rsidR="00D931A8" w:rsidRPr="00D931A8" w:rsidRDefault="00D931A8" w:rsidP="009B0A36">
      <w:pPr>
        <w:pStyle w:val="Prrafodelista"/>
        <w:numPr>
          <w:ilvl w:val="0"/>
          <w:numId w:val="13"/>
        </w:numPr>
        <w:spacing w:before="120" w:after="120" w:line="240" w:lineRule="auto"/>
        <w:contextualSpacing w:val="0"/>
        <w:jc w:val="both"/>
      </w:pPr>
      <w:r w:rsidRPr="00D931A8">
        <w:t>Para delimitar la dimensión producto del mercado relevante se debe tomar en consideración la fracción I del artículo 58 de la LFCE, la cual señala lo siguiente:</w:t>
      </w:r>
    </w:p>
    <w:p w14:paraId="27D39F8D" w14:textId="77777777" w:rsidR="00D931A8" w:rsidRPr="00D931A8" w:rsidRDefault="00955543" w:rsidP="00955543">
      <w:pPr>
        <w:ind w:left="567" w:right="567"/>
        <w:jc w:val="both"/>
        <w:rPr>
          <w:i/>
          <w:sz w:val="20"/>
          <w:szCs w:val="20"/>
        </w:rPr>
      </w:pPr>
      <w:r>
        <w:rPr>
          <w:i/>
          <w:sz w:val="20"/>
          <w:szCs w:val="20"/>
        </w:rPr>
        <w:t xml:space="preserve">I. </w:t>
      </w:r>
      <w:r w:rsidR="00D931A8" w:rsidRPr="00D931A8">
        <w:rPr>
          <w:i/>
          <w:sz w:val="20"/>
          <w:szCs w:val="20"/>
        </w:rPr>
        <w:t>Las posibilidades de sustituir el bien o servicio de que se trate por otros, tanto de origen nacional como extranjero, considerando las posibilidades tecnológicas, en qué medida los consumidores cuentan con sustitutos y el tiempo requerido para tal sustitución;</w:t>
      </w:r>
    </w:p>
    <w:p w14:paraId="7C9CBAB0" w14:textId="77777777" w:rsidR="00D931A8" w:rsidRPr="00DF695B" w:rsidRDefault="00D931A8" w:rsidP="009B0A36">
      <w:pPr>
        <w:pStyle w:val="Ttulo5"/>
        <w:numPr>
          <w:ilvl w:val="2"/>
          <w:numId w:val="24"/>
        </w:numPr>
        <w:jc w:val="both"/>
        <w:rPr>
          <w:b/>
          <w:i w:val="0"/>
        </w:rPr>
      </w:pPr>
      <w:r w:rsidRPr="00DF695B">
        <w:rPr>
          <w:b/>
          <w:i w:val="0"/>
        </w:rPr>
        <w:t>Sustitución entre los servicios de acceso a internet dedicado provistos por distintos medios de transmisión</w:t>
      </w:r>
    </w:p>
    <w:p w14:paraId="23B2E34E" w14:textId="77777777" w:rsidR="00D931A8" w:rsidRPr="00D931A8" w:rsidRDefault="00D931A8" w:rsidP="009B0A36">
      <w:pPr>
        <w:pStyle w:val="Prrafodelista"/>
        <w:numPr>
          <w:ilvl w:val="0"/>
          <w:numId w:val="13"/>
        </w:numPr>
        <w:spacing w:before="120" w:after="120" w:line="240" w:lineRule="auto"/>
        <w:contextualSpacing w:val="0"/>
        <w:jc w:val="both"/>
      </w:pPr>
      <w:r w:rsidRPr="00D931A8">
        <w:t>El servicio de acceso a internet dedicado puede ser provisto a través de medios de transmisión alámbricos (par de cobre, cable coaxial y fibra óptica) e inalá</w:t>
      </w:r>
      <w:r w:rsidR="003A62C6">
        <w:t>mbricos (microondas terrestre).</w:t>
      </w:r>
    </w:p>
    <w:p w14:paraId="20C6FA6F"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Desde la perspectiva de la demanda, los usuarios buscan una solución que se ajuste a sus necesidades de conectividad, por lo que el medio de transmisión es irrelevante siempre y cuando cumpla los estándares de calidad del servicio. </w:t>
      </w:r>
    </w:p>
    <w:p w14:paraId="0C8238AA" w14:textId="77777777" w:rsidR="00D931A8" w:rsidRPr="00D931A8" w:rsidRDefault="00D931A8" w:rsidP="009B0A36">
      <w:pPr>
        <w:pStyle w:val="Prrafodelista"/>
        <w:numPr>
          <w:ilvl w:val="0"/>
          <w:numId w:val="13"/>
        </w:numPr>
        <w:spacing w:before="120" w:after="120" w:line="240" w:lineRule="auto"/>
        <w:contextualSpacing w:val="0"/>
        <w:jc w:val="both"/>
      </w:pPr>
      <w:r w:rsidRPr="00D931A8">
        <w:t>Desde la perspectiva de la oferta, los operadores presentan propuestas comerciales similares en términos de velocidad, niveles de servicio y plazos de contratación, independientemente del medio de transmisión utilizado,</w:t>
      </w:r>
      <w:r w:rsidRPr="00D931A8">
        <w:rPr>
          <w:vertAlign w:val="superscript"/>
        </w:rPr>
        <w:footnoteReference w:id="179"/>
      </w:r>
      <w:r w:rsidRPr="00D931A8">
        <w:t xml:space="preserve"> y no diferencian precios en función de este.</w:t>
      </w:r>
      <w:r w:rsidRPr="00D931A8">
        <w:rPr>
          <w:vertAlign w:val="superscript"/>
          <w:lang w:eastAsia="es-MX"/>
        </w:rPr>
        <w:footnoteReference w:id="180"/>
      </w:r>
    </w:p>
    <w:p w14:paraId="7AC4780B" w14:textId="77777777" w:rsidR="00D931A8" w:rsidRPr="00D931A8" w:rsidRDefault="00D931A8" w:rsidP="009B0A36">
      <w:pPr>
        <w:pStyle w:val="Prrafodelista"/>
        <w:numPr>
          <w:ilvl w:val="0"/>
          <w:numId w:val="13"/>
        </w:numPr>
        <w:spacing w:before="120" w:after="120" w:line="240" w:lineRule="auto"/>
        <w:contextualSpacing w:val="0"/>
        <w:jc w:val="both"/>
        <w:rPr>
          <w:lang w:eastAsia="es-MX"/>
        </w:rPr>
      </w:pPr>
      <w:r w:rsidRPr="00D931A8">
        <w:lastRenderedPageBreak/>
        <w:t xml:space="preserve">Adicionalmente, </w:t>
      </w:r>
      <w:r w:rsidRPr="00D931A8">
        <w:rPr>
          <w:lang w:eastAsia="es-MX"/>
        </w:rPr>
        <w:t>las redes de los concesionarios están conformadas por una mezcla de los diversos medios de transmisión,</w:t>
      </w:r>
      <w:r w:rsidRPr="00D931A8">
        <w:rPr>
          <w:vertAlign w:val="superscript"/>
          <w:lang w:eastAsia="es-MX"/>
        </w:rPr>
        <w:footnoteReference w:id="181"/>
      </w:r>
      <w:r w:rsidRPr="00D931A8">
        <w:rPr>
          <w:lang w:eastAsia="es-MX"/>
        </w:rPr>
        <w:t xml:space="preserve"> </w:t>
      </w:r>
      <w:r w:rsidRPr="00D931A8">
        <w:t>por lo que la decisión del medio a utilizar en el enlace de acceso para ofrecer el servicio de acceso a internet dedicado depende de la evaluación respecto a qué medio de transmisión optimiza los costos y asegura el servicio contratado por el cliente.</w:t>
      </w:r>
      <w:r w:rsidRPr="00D931A8">
        <w:rPr>
          <w:vertAlign w:val="superscript"/>
        </w:rPr>
        <w:footnoteReference w:id="182"/>
      </w:r>
      <w:r w:rsidRPr="00D931A8">
        <w:t xml:space="preserve"> </w:t>
      </w:r>
      <w:r w:rsidRPr="00D931A8">
        <w:rPr>
          <w:lang w:eastAsia="es-MX"/>
        </w:rPr>
        <w:t>Por tanto, desde la perspectiva de la oferta, los distintos medios de transmisión son opciones tecnológicas que tienen los oferentes para satisfacer las necesidades de conexión a internet de los usuarios.</w:t>
      </w:r>
    </w:p>
    <w:p w14:paraId="5E3E373B" w14:textId="77777777" w:rsidR="00D931A8" w:rsidRPr="00D931A8" w:rsidRDefault="00D931A8" w:rsidP="009B0A36">
      <w:pPr>
        <w:pStyle w:val="Prrafodelista"/>
        <w:numPr>
          <w:ilvl w:val="0"/>
          <w:numId w:val="13"/>
        </w:numPr>
        <w:spacing w:before="120" w:after="120" w:line="240" w:lineRule="auto"/>
        <w:contextualSpacing w:val="0"/>
        <w:jc w:val="both"/>
        <w:rPr>
          <w:lang w:eastAsia="es-MX"/>
        </w:rPr>
      </w:pPr>
      <w:r w:rsidRPr="00D931A8">
        <w:t>Cabe señalar que en ubicaciones remotas el servicio de acceso a internet puede proveerse utilizando enlaces satelitales. Sin embargo, la provisión del servicio a través de este tipo de enlaces está sujeta a deficiencias por la latencia en aplicaciones interactivas, de manera que la disponibilidad, fiabilidad y continuidad del servicio no están garantizadas con el mismo nivel que lo permiten otros medios de transmisión.</w:t>
      </w:r>
      <w:r w:rsidRPr="00D931A8">
        <w:rPr>
          <w:vertAlign w:val="superscript"/>
        </w:rPr>
        <w:footnoteReference w:id="183"/>
      </w:r>
      <w:r w:rsidRPr="00D931A8">
        <w:t xml:space="preserve"> Además, </w:t>
      </w:r>
      <w:r w:rsidRPr="00D931A8">
        <w:rPr>
          <w:lang w:eastAsia="es-MX"/>
        </w:rPr>
        <w:t>se observa que el rango de velocidades del acceso a internet mediante enlaces satelitales es inferior y menos diverso.</w:t>
      </w:r>
      <w:r w:rsidRPr="00D931A8">
        <w:rPr>
          <w:vertAlign w:val="superscript"/>
          <w:lang w:eastAsia="es-MX"/>
        </w:rPr>
        <w:footnoteReference w:id="184"/>
      </w:r>
      <w:r w:rsidRPr="00D931A8">
        <w:rPr>
          <w:lang w:eastAsia="es-MX"/>
        </w:rPr>
        <w:t xml:space="preserve"> Por tanto, para el usuario, el servicio de acceso a internet mediante enlaces satelitales no constituye una alternativa equiparable al servicio de acceso a internet dedicado entregado a través de otros medios de transmisión.</w:t>
      </w:r>
    </w:p>
    <w:p w14:paraId="13D9A861" w14:textId="77777777" w:rsidR="00D931A8" w:rsidRPr="00D931A8" w:rsidRDefault="00D931A8" w:rsidP="009B0A36">
      <w:pPr>
        <w:pStyle w:val="Prrafodelista"/>
        <w:numPr>
          <w:ilvl w:val="0"/>
          <w:numId w:val="13"/>
        </w:numPr>
        <w:spacing w:before="120" w:after="120" w:line="240" w:lineRule="auto"/>
        <w:contextualSpacing w:val="0"/>
        <w:jc w:val="both"/>
        <w:rPr>
          <w:lang w:eastAsia="es-MX"/>
        </w:rPr>
      </w:pPr>
      <w:r w:rsidRPr="00D931A8">
        <w:t>Todo</w:t>
      </w:r>
      <w:r w:rsidRPr="00D931A8">
        <w:rPr>
          <w:lang w:eastAsia="es-MX"/>
        </w:rPr>
        <w:t xml:space="preserve"> lo anterior es indicativo de que los servicios de acceso a internet dedicado provistos a través de distintos medios de transmisión son sustitutos tanto por el lado de la oferta como de la demanda, a excepción del internet provisto a través de enlaces satelitales.</w:t>
      </w:r>
    </w:p>
    <w:p w14:paraId="201D51D4" w14:textId="77777777" w:rsidR="00D931A8" w:rsidRPr="00DF695B" w:rsidRDefault="00D931A8" w:rsidP="009B0A36">
      <w:pPr>
        <w:pStyle w:val="Ttulo5"/>
        <w:numPr>
          <w:ilvl w:val="2"/>
          <w:numId w:val="24"/>
        </w:numPr>
        <w:jc w:val="both"/>
        <w:rPr>
          <w:b/>
          <w:i w:val="0"/>
          <w:vertAlign w:val="superscript"/>
        </w:rPr>
      </w:pPr>
      <w:r w:rsidRPr="00DF695B">
        <w:rPr>
          <w:b/>
          <w:i w:val="0"/>
        </w:rPr>
        <w:t>Sustitución entre el servicio de acceso a internet dedicado y el servicio de acceso a internet de banda ancha fija (SBAF)</w:t>
      </w:r>
      <w:r w:rsidRPr="00DF695B">
        <w:rPr>
          <w:b/>
          <w:i w:val="0"/>
          <w:vertAlign w:val="superscript"/>
        </w:rPr>
        <w:footnoteReference w:id="185"/>
      </w:r>
    </w:p>
    <w:p w14:paraId="1FD8FB86"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El </w:t>
      </w:r>
      <w:r w:rsidRPr="00D931A8">
        <w:rPr>
          <w:lang w:eastAsia="es-MX"/>
        </w:rPr>
        <w:t>SBAF</w:t>
      </w:r>
      <w:r w:rsidRPr="00D931A8">
        <w:t xml:space="preserve"> es un servicio que ofrece conexión a la red mundial de internet, pero no es exclusivo, no garantiza niveles de servicio cuantificables y, en la mayoría de las ofertas comerciales, es asimétrico, es decir, ofrece una mayor velocidad de bajada </w:t>
      </w:r>
      <w:r w:rsidRPr="00D931A8">
        <w:lastRenderedPageBreak/>
        <w:t>(descarga de datos) que de subida (envío de datos). En este sentido, el SBAF es un servicio notoriamente distinto al servicio de acceso a internet dedicado.</w:t>
      </w:r>
    </w:p>
    <w:p w14:paraId="6235FE6C"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El </w:t>
      </w:r>
      <w:r w:rsidRPr="00D931A8">
        <w:rPr>
          <w:lang w:eastAsia="es-MX"/>
        </w:rPr>
        <w:t>público</w:t>
      </w:r>
      <w:r w:rsidRPr="00D931A8">
        <w:t xml:space="preserve"> objetivo al que están dirigidos estos servicios tampoco es el mismo. Como se mencionó antes, el servicio de acceso a internet dedicado atiende a usuarios corporativos, mientras el SBAF está dirigido a usuarios residenciales y empresas de menor tamaño que requieren una conexión a la red </w:t>
      </w:r>
      <w:r w:rsidR="00EF5D50">
        <w:t xml:space="preserve">mundial </w:t>
      </w:r>
      <w:r w:rsidRPr="00D931A8">
        <w:t>de internet con fines, primordialmente, de comunicación (llamadas, video llamadas, correo electrónico, chat o mensajería instantánea) y de entretenimiento (redes sociales, videos y música).</w:t>
      </w:r>
      <w:r w:rsidRPr="00D931A8">
        <w:rPr>
          <w:vertAlign w:val="superscript"/>
        </w:rPr>
        <w:footnoteReference w:id="186"/>
      </w:r>
      <w:r w:rsidRPr="00D931A8">
        <w:t xml:space="preserve"> </w:t>
      </w:r>
    </w:p>
    <w:p w14:paraId="4C6E5EA8" w14:textId="77777777" w:rsidR="00D931A8" w:rsidRPr="00D931A8" w:rsidRDefault="00D931A8" w:rsidP="009B0A36">
      <w:pPr>
        <w:pStyle w:val="Prrafodelista"/>
        <w:numPr>
          <w:ilvl w:val="0"/>
          <w:numId w:val="13"/>
        </w:numPr>
        <w:spacing w:before="120" w:after="120" w:line="240" w:lineRule="auto"/>
        <w:contextualSpacing w:val="0"/>
        <w:jc w:val="both"/>
      </w:pPr>
      <w:r w:rsidRPr="00603FD0">
        <w:rPr>
          <w:spacing w:val="-4"/>
        </w:rPr>
        <w:t>A diferencia del acceso a internet dedicado,</w:t>
      </w:r>
      <w:r w:rsidRPr="00603FD0" w:rsidDel="00062536">
        <w:rPr>
          <w:spacing w:val="-4"/>
        </w:rPr>
        <w:t xml:space="preserve"> </w:t>
      </w:r>
      <w:r w:rsidRPr="00603FD0">
        <w:rPr>
          <w:spacing w:val="-4"/>
        </w:rPr>
        <w:t>el SBAF se provee siguiendo el mecanismo del “mejor esfuerzo”, es decir, los usuarios reciben el mejor servicio posible en ese momento, por lo que los operadores no garantizan la velocidad, los tiempos de respuesta, la capacidad y la calidad de la conexión contratada.</w:t>
      </w:r>
      <w:r w:rsidRPr="00603FD0">
        <w:rPr>
          <w:spacing w:val="-4"/>
          <w:vertAlign w:val="superscript"/>
        </w:rPr>
        <w:footnoteReference w:id="187"/>
      </w:r>
      <w:r w:rsidRPr="00603FD0">
        <w:rPr>
          <w:spacing w:val="-4"/>
          <w:vertAlign w:val="superscript"/>
        </w:rPr>
        <w:t>,</w:t>
      </w:r>
      <w:r w:rsidRPr="00603FD0">
        <w:rPr>
          <w:spacing w:val="-4"/>
          <w:vertAlign w:val="superscript"/>
        </w:rPr>
        <w:footnoteReference w:id="188"/>
      </w:r>
      <w:r w:rsidRPr="00603FD0">
        <w:rPr>
          <w:spacing w:val="-4"/>
        </w:rPr>
        <w:t xml:space="preserve"> Además, las velocidades </w:t>
      </w:r>
      <w:r w:rsidR="00603FD0" w:rsidRPr="00603FD0">
        <w:rPr>
          <w:spacing w:val="-4"/>
        </w:rPr>
        <w:t xml:space="preserve">ofrecidas </w:t>
      </w:r>
      <w:r w:rsidRPr="00603FD0">
        <w:rPr>
          <w:spacing w:val="-4"/>
        </w:rPr>
        <w:t>del SBAF son limitadas (máximo 500 Mbps), mientras que el servicio de internet dedicado ofrece velocidades de hasta 10 Gbps</w:t>
      </w:r>
      <w:r w:rsidRPr="00D931A8">
        <w:t>.</w:t>
      </w:r>
      <w:r w:rsidRPr="00D931A8">
        <w:rPr>
          <w:vertAlign w:val="superscript"/>
        </w:rPr>
        <w:footnoteReference w:id="189"/>
      </w:r>
    </w:p>
    <w:p w14:paraId="413242AD" w14:textId="77777777" w:rsidR="00D931A8" w:rsidRPr="00D931A8" w:rsidRDefault="00D931A8" w:rsidP="009B0A36">
      <w:pPr>
        <w:pStyle w:val="Prrafodelista"/>
        <w:numPr>
          <w:ilvl w:val="0"/>
          <w:numId w:val="13"/>
        </w:numPr>
        <w:spacing w:before="120" w:after="120" w:line="240" w:lineRule="auto"/>
        <w:contextualSpacing w:val="0"/>
        <w:jc w:val="both"/>
      </w:pPr>
      <w:r w:rsidRPr="00D931A8">
        <w:t>Otra diferencia son los requisitos de instalación en el sitio del cliente. Para el SBAF, únicamente se necesita instalar un router que tenga conexión a la energía eléctrica; en contraste, los usuarios del servicio de acceso a internet dedicado requieren adecuar un espacio físico para la instalación de los equipos de telecomunicaciones, así como contar con el cableado interno que permita la conexión entre los dispositivos del usuario y</w:t>
      </w:r>
      <w:r w:rsidR="00103EEF">
        <w:t>,</w:t>
      </w:r>
      <w:r w:rsidRPr="00D931A8">
        <w:t xml:space="preserve"> de estos, con el equipo frontera, el cual, es el punto </w:t>
      </w:r>
      <w:r w:rsidRPr="00132E7B">
        <w:t>de conexión de la red interna del cliente con la red del proveedor del servicio (véase Figura 1).</w:t>
      </w:r>
      <w:r w:rsidRPr="00132E7B">
        <w:rPr>
          <w:vertAlign w:val="superscript"/>
        </w:rPr>
        <w:footnoteReference w:id="190"/>
      </w:r>
    </w:p>
    <w:p w14:paraId="4034B30D"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Los canales de comercialización también son distintos entre el SBAF y el servicio de acceso a internet dedicado. En el SBAF se utilizan puntos de venta, ventas telefónicas o en línea y cambaceo; en cambio, en el servicio de acceso a internet dedicado se realizan negociaciones uno a uno, o se demanda el servicio mediante </w:t>
      </w:r>
      <w:r w:rsidRPr="00D931A8">
        <w:lastRenderedPageBreak/>
        <w:t>un proceso de licitación.</w:t>
      </w:r>
      <w:r w:rsidRPr="00D931A8">
        <w:rPr>
          <w:vertAlign w:val="superscript"/>
        </w:rPr>
        <w:footnoteReference w:id="191"/>
      </w:r>
      <w:r w:rsidRPr="00D931A8">
        <w:t xml:space="preserve"> En ese sentido, los usuarios del servicio de acceso a internet dedicado pueden lograr descuentos significativos o atención a necesidades específicas (i.e. soluciones a la medida),</w:t>
      </w:r>
      <w:r w:rsidRPr="00D931A8">
        <w:rPr>
          <w:vertAlign w:val="superscript"/>
        </w:rPr>
        <w:footnoteReference w:id="192"/>
      </w:r>
      <w:r w:rsidRPr="00D931A8">
        <w:t xml:space="preserve"> mientras que los usuarios del SBAF solo acceden a promociones y descuentos generales. Adicionalmente, los plazos de contratación del servicio de acceso a internet dedicado son forzosos y más extensos que en el caso del SBAF, y existen penas convencionales en caso de terminación anticipada del contrato.</w:t>
      </w:r>
      <w:r w:rsidRPr="00D931A8">
        <w:rPr>
          <w:vertAlign w:val="superscript"/>
        </w:rPr>
        <w:footnoteReference w:id="193"/>
      </w:r>
      <w:r w:rsidRPr="00D931A8">
        <w:t xml:space="preserve"> </w:t>
      </w:r>
    </w:p>
    <w:p w14:paraId="40C5C926" w14:textId="77777777" w:rsidR="00D931A8" w:rsidRPr="00D931A8" w:rsidRDefault="00D931A8" w:rsidP="009B0A36">
      <w:pPr>
        <w:pStyle w:val="Prrafodelista"/>
        <w:numPr>
          <w:ilvl w:val="0"/>
          <w:numId w:val="13"/>
        </w:numPr>
        <w:spacing w:before="120" w:after="120" w:line="240" w:lineRule="auto"/>
        <w:contextualSpacing w:val="0"/>
        <w:jc w:val="both"/>
      </w:pPr>
      <w:r w:rsidRPr="00D931A8">
        <w:t>Otra distinción es la modalidad de contratación, pues el SBAF se consume, mayoritariamente, empaquetado con otros servicios de telecomunicaciones bajo las modalidades de doble o triple play. Por ejemplo, al primer trimestre de dos mil dieciocho, el 60.7% de los suscriptores del SBAF lo consumió en la modalidad de doble play con el servicio de telefonía fija (STF), el 13.8% con el servicio de televisión y audio restringidos (STAR), y el 19.8% en modalidad de triple play.</w:t>
      </w:r>
      <w:r w:rsidRPr="00D931A8">
        <w:rPr>
          <w:vertAlign w:val="superscript"/>
        </w:rPr>
        <w:footnoteReference w:id="194"/>
      </w:r>
      <w:r w:rsidRPr="00D931A8">
        <w:t xml:space="preserve"> En el caso del servicio de acceso a internet dedicado, si bien puede consumirse de manera conjunta con otros servicios de telecomunicaciones, tales como troncales digitales, redes privadas virtuales y enlaces dedicados; no se ofrecen empaquetamientos estándar, sino que son soluciones a la medida dependiendo de las necesidades de los clientes.</w:t>
      </w:r>
    </w:p>
    <w:p w14:paraId="7EC27EF5" w14:textId="77777777" w:rsidR="00514DE6" w:rsidRDefault="00D931A8" w:rsidP="00AE4FA3">
      <w:pPr>
        <w:pStyle w:val="Prrafodelista"/>
        <w:numPr>
          <w:ilvl w:val="0"/>
          <w:numId w:val="13"/>
        </w:numPr>
        <w:spacing w:before="120" w:after="120" w:line="240" w:lineRule="auto"/>
        <w:contextualSpacing w:val="0"/>
        <w:jc w:val="both"/>
      </w:pPr>
      <w:r w:rsidRPr="00D931A8">
        <w:t xml:space="preserve">Además, </w:t>
      </w:r>
      <w:r w:rsidRPr="00132E7B">
        <w:t>de las diferencias antes señaladas, el precio implícito mensual por Mbps promedio es significativamente mayor para el servicio de acceso a internet dedicado en comparación con el SBAF. En promedio, el precio implícito mensual por Mbps del servicio de acceso a internet dedicado fue 14</w:t>
      </w:r>
      <w:r w:rsidR="00132E7B" w:rsidRPr="00132E7B">
        <w:t xml:space="preserve"> </w:t>
      </w:r>
      <w:r w:rsidR="00132E7B">
        <w:t>(</w:t>
      </w:r>
      <w:r w:rsidR="00132E7B" w:rsidRPr="00132E7B">
        <w:t>catorce</w:t>
      </w:r>
      <w:r w:rsidRPr="00132E7B">
        <w:t>) veces mayor al del SBAF. El Gráfico 6 ilustra la diferencia en el costo mensual por Mbps de ambos servicios para el periodo dos mil dieciséis al primer trimestre de dos mil dieciocho:</w:t>
      </w:r>
    </w:p>
    <w:p w14:paraId="068D7A23" w14:textId="77777777" w:rsidR="00D931A8" w:rsidRPr="00D931A8" w:rsidRDefault="00D931A8" w:rsidP="00BC3D81">
      <w:pPr>
        <w:keepNext/>
        <w:keepLines/>
        <w:spacing w:after="0"/>
        <w:jc w:val="center"/>
        <w:rPr>
          <w:b/>
          <w:sz w:val="18"/>
          <w:szCs w:val="18"/>
        </w:rPr>
      </w:pPr>
      <w:r w:rsidRPr="00132E7B">
        <w:rPr>
          <w:b/>
          <w:sz w:val="18"/>
          <w:szCs w:val="18"/>
        </w:rPr>
        <w:lastRenderedPageBreak/>
        <w:t xml:space="preserve">Gráfico 6. </w:t>
      </w:r>
      <w:r w:rsidRPr="00132E7B">
        <w:rPr>
          <w:b/>
          <w:sz w:val="18"/>
          <w:szCs w:val="20"/>
        </w:rPr>
        <w:t>Precios implícitos mensuales</w:t>
      </w:r>
      <w:r w:rsidRPr="00D931A8">
        <w:rPr>
          <w:b/>
          <w:sz w:val="18"/>
          <w:szCs w:val="20"/>
        </w:rPr>
        <w:t xml:space="preserve"> por Mbps promedio</w:t>
      </w:r>
      <w:r w:rsidRPr="00D931A8">
        <w:rPr>
          <w:b/>
          <w:sz w:val="18"/>
          <w:szCs w:val="20"/>
          <w:vertAlign w:val="superscript"/>
        </w:rPr>
        <w:t>\a</w:t>
      </w:r>
      <w:r w:rsidRPr="00D931A8">
        <w:rPr>
          <w:b/>
          <w:sz w:val="18"/>
          <w:szCs w:val="18"/>
          <w:vertAlign w:val="superscript"/>
        </w:rPr>
        <w:t xml:space="preserve"> </w:t>
      </w:r>
      <w:r w:rsidRPr="00D931A8">
        <w:rPr>
          <w:b/>
          <w:sz w:val="18"/>
          <w:szCs w:val="18"/>
        </w:rPr>
        <w:t>de los servicios de acceso a internet dedicado y SBAF, 2016-1T2018</w:t>
      </w:r>
    </w:p>
    <w:p w14:paraId="7C935160" w14:textId="77777777" w:rsidR="00D931A8" w:rsidRPr="00D931A8" w:rsidRDefault="00D931A8" w:rsidP="00BC3D81">
      <w:pPr>
        <w:keepNext/>
        <w:keepLines/>
        <w:spacing w:after="0"/>
        <w:jc w:val="center"/>
        <w:rPr>
          <w:b/>
          <w:sz w:val="18"/>
          <w:szCs w:val="18"/>
        </w:rPr>
      </w:pPr>
      <w:r w:rsidRPr="00D931A8">
        <w:rPr>
          <w:noProof/>
          <w:lang w:eastAsia="es-MX"/>
        </w:rPr>
        <w:drawing>
          <wp:inline distT="0" distB="0" distL="0" distR="0" wp14:anchorId="56309895" wp14:editId="215A5F00">
            <wp:extent cx="4082415" cy="1472119"/>
            <wp:effectExtent l="0" t="0" r="0" b="0"/>
            <wp:docPr id="12" name="Gráfico 12" descr="Precios implícitos mensuales por Mbps promedio de los servicios de acceso a internet dedicado, periodo del 2016 al primer trimestre del 2018. " title="Gráfico 6. Precios implícitos mensuales por Mbps promedio\a de los servicios de acceso a internet dedicado y SBAF, 2016-1T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A5C6B6" w14:textId="77777777" w:rsidR="00D931A8" w:rsidRPr="00D931A8" w:rsidRDefault="00D931A8" w:rsidP="00BC3D81">
      <w:pPr>
        <w:keepNext/>
        <w:keepLines/>
        <w:spacing w:after="0"/>
        <w:jc w:val="both"/>
        <w:rPr>
          <w:sz w:val="16"/>
          <w:szCs w:val="16"/>
        </w:rPr>
      </w:pPr>
      <w:r w:rsidRPr="00D931A8">
        <w:rPr>
          <w:sz w:val="16"/>
          <w:szCs w:val="16"/>
        </w:rPr>
        <w:t>Notas:</w:t>
      </w:r>
    </w:p>
    <w:p w14:paraId="04C51142" w14:textId="77777777" w:rsidR="00D931A8" w:rsidRPr="007C5BFD" w:rsidRDefault="00D931A8" w:rsidP="00BC3D81">
      <w:pPr>
        <w:keepNext/>
        <w:keepLines/>
        <w:spacing w:after="0"/>
        <w:jc w:val="both"/>
        <w:rPr>
          <w:spacing w:val="-2"/>
          <w:sz w:val="16"/>
          <w:szCs w:val="16"/>
        </w:rPr>
      </w:pPr>
      <w:r w:rsidRPr="007C5BFD">
        <w:rPr>
          <w:spacing w:val="-2"/>
          <w:sz w:val="16"/>
          <w:szCs w:val="16"/>
          <w:vertAlign w:val="superscript"/>
        </w:rPr>
        <w:t>\a</w:t>
      </w:r>
      <w:r w:rsidRPr="007C5BFD">
        <w:rPr>
          <w:spacing w:val="-2"/>
          <w:sz w:val="16"/>
          <w:szCs w:val="16"/>
        </w:rPr>
        <w:t xml:space="preserve"> Los precios implícitos mensuales por Mbps promedio se obtuvieron de dividir el ingreso mensual entre el número de accesos del SBAF y del servicio de acceso a internet dedicado, en términos de 2 Mbps, y el resultado entre 2 Mbps.</w:t>
      </w:r>
    </w:p>
    <w:p w14:paraId="1733BBFD" w14:textId="77777777" w:rsidR="00D931A8" w:rsidRPr="00603FD0" w:rsidRDefault="00D931A8" w:rsidP="00BC3D81">
      <w:pPr>
        <w:keepNext/>
        <w:keepLines/>
        <w:spacing w:after="0"/>
        <w:jc w:val="both"/>
        <w:rPr>
          <w:spacing w:val="-2"/>
          <w:sz w:val="16"/>
          <w:szCs w:val="16"/>
        </w:rPr>
      </w:pPr>
      <w:r w:rsidRPr="00603FD0">
        <w:rPr>
          <w:spacing w:val="-2"/>
          <w:sz w:val="16"/>
          <w:szCs w:val="16"/>
          <w:vertAlign w:val="superscript"/>
        </w:rPr>
        <w:t xml:space="preserve">\b </w:t>
      </w:r>
      <w:r w:rsidRPr="00603FD0">
        <w:rPr>
          <w:spacing w:val="-2"/>
          <w:sz w:val="16"/>
          <w:szCs w:val="16"/>
        </w:rPr>
        <w:t xml:space="preserve">Los accesos del SBAF de </w:t>
      </w:r>
      <w:r w:rsidR="00E237C2" w:rsidRPr="008720D8">
        <w:rPr>
          <w:b/>
          <w:bCs/>
          <w:color w:val="0000CC"/>
          <w:sz w:val="16"/>
          <w:szCs w:val="16"/>
        </w:rPr>
        <w:t>“CONFIDENCIAL POR LEY”</w:t>
      </w:r>
      <w:r w:rsidRPr="00603FD0">
        <w:rPr>
          <w:spacing w:val="-2"/>
          <w:sz w:val="16"/>
          <w:szCs w:val="16"/>
        </w:rPr>
        <w:t xml:space="preserve"> se estimaron con base en el número de accesos por velocidad anunciada.</w:t>
      </w:r>
    </w:p>
    <w:p w14:paraId="36BF966D" w14:textId="77777777" w:rsidR="00D931A8" w:rsidRPr="00603FD0" w:rsidRDefault="00D931A8" w:rsidP="00BC3D81">
      <w:pPr>
        <w:keepNext/>
        <w:keepLines/>
        <w:jc w:val="both"/>
        <w:rPr>
          <w:spacing w:val="-2"/>
          <w:sz w:val="16"/>
          <w:szCs w:val="16"/>
        </w:rPr>
      </w:pPr>
      <w:r w:rsidRPr="00603FD0">
        <w:rPr>
          <w:spacing w:val="-2"/>
          <w:sz w:val="16"/>
          <w:szCs w:val="16"/>
        </w:rPr>
        <w:t>Fuente: Elaboración propia con información de</w:t>
      </w:r>
      <w:r w:rsidR="00CD29E3" w:rsidRPr="00603FD0">
        <w:rPr>
          <w:spacing w:val="-2"/>
          <w:sz w:val="16"/>
          <w:szCs w:val="16"/>
        </w:rPr>
        <w:t xml:space="preserve"> ingresos y número de accesos en términos de 2 Mbps o por velocidad </w:t>
      </w:r>
      <w:r w:rsidR="00E559B0" w:rsidRPr="00603FD0">
        <w:rPr>
          <w:spacing w:val="-2"/>
          <w:sz w:val="16"/>
          <w:szCs w:val="16"/>
        </w:rPr>
        <w:t>anunciada</w:t>
      </w:r>
      <w:r w:rsidR="00CD29E3" w:rsidRPr="00603FD0">
        <w:rPr>
          <w:spacing w:val="-2"/>
          <w:sz w:val="16"/>
          <w:szCs w:val="16"/>
        </w:rPr>
        <w:t xml:space="preserve"> proporcionada por</w:t>
      </w:r>
      <w:r w:rsidRPr="00603FD0">
        <w:rPr>
          <w:spacing w:val="-2"/>
          <w:sz w:val="16"/>
          <w:szCs w:val="16"/>
        </w:rPr>
        <w:t xml:space="preserve"> </w:t>
      </w:r>
      <w:r w:rsidR="00AE4FA3" w:rsidRPr="008720D8">
        <w:rPr>
          <w:b/>
          <w:bCs/>
          <w:color w:val="0000CC"/>
          <w:sz w:val="16"/>
          <w:szCs w:val="16"/>
        </w:rPr>
        <w:t>“CONFIDENCIAL POR LEY”</w:t>
      </w:r>
      <w:r w:rsidRPr="00603FD0">
        <w:rPr>
          <w:spacing w:val="-2"/>
          <w:sz w:val="16"/>
          <w:szCs w:val="16"/>
        </w:rPr>
        <w:t xml:space="preserve">. Fojas </w:t>
      </w:r>
      <w:r w:rsidR="00CC12AF" w:rsidRPr="00603FD0">
        <w:rPr>
          <w:spacing w:val="-2"/>
          <w:sz w:val="16"/>
          <w:szCs w:val="16"/>
        </w:rPr>
        <w:t xml:space="preserve">217, 321, 3520, </w:t>
      </w:r>
      <w:r w:rsidR="00BD01F4" w:rsidRPr="00603FD0">
        <w:rPr>
          <w:spacing w:val="-2"/>
          <w:sz w:val="16"/>
          <w:szCs w:val="16"/>
        </w:rPr>
        <w:t xml:space="preserve">3523, </w:t>
      </w:r>
      <w:r w:rsidR="00CC12AF" w:rsidRPr="00603FD0">
        <w:rPr>
          <w:spacing w:val="-2"/>
          <w:sz w:val="16"/>
          <w:szCs w:val="16"/>
        </w:rPr>
        <w:t xml:space="preserve">3553, </w:t>
      </w:r>
      <w:r w:rsidR="00D22E84" w:rsidRPr="00603FD0">
        <w:rPr>
          <w:spacing w:val="-2"/>
          <w:sz w:val="16"/>
          <w:szCs w:val="16"/>
        </w:rPr>
        <w:t xml:space="preserve">3257 a </w:t>
      </w:r>
      <w:r w:rsidR="00BD01F4" w:rsidRPr="00603FD0">
        <w:rPr>
          <w:spacing w:val="-2"/>
          <w:sz w:val="16"/>
          <w:szCs w:val="16"/>
        </w:rPr>
        <w:t xml:space="preserve">3259, </w:t>
      </w:r>
      <w:r w:rsidR="00CC12AF" w:rsidRPr="00603FD0">
        <w:rPr>
          <w:spacing w:val="-2"/>
          <w:sz w:val="16"/>
          <w:szCs w:val="16"/>
        </w:rPr>
        <w:t xml:space="preserve">3702, </w:t>
      </w:r>
      <w:r w:rsidR="00BD01F4" w:rsidRPr="00603FD0">
        <w:rPr>
          <w:spacing w:val="-2"/>
          <w:sz w:val="16"/>
          <w:szCs w:val="16"/>
        </w:rPr>
        <w:t xml:space="preserve">3710, </w:t>
      </w:r>
      <w:r w:rsidR="00CC12AF" w:rsidRPr="00603FD0">
        <w:rPr>
          <w:spacing w:val="-2"/>
          <w:sz w:val="16"/>
          <w:szCs w:val="16"/>
        </w:rPr>
        <w:t xml:space="preserve">3756, </w:t>
      </w:r>
      <w:r w:rsidR="00BD01F4" w:rsidRPr="00603FD0">
        <w:rPr>
          <w:spacing w:val="-2"/>
          <w:sz w:val="16"/>
          <w:szCs w:val="16"/>
        </w:rPr>
        <w:t xml:space="preserve">4792, 5058, 5084, </w:t>
      </w:r>
      <w:r w:rsidR="00CC12AF" w:rsidRPr="00603FD0">
        <w:rPr>
          <w:spacing w:val="-2"/>
          <w:sz w:val="16"/>
          <w:szCs w:val="16"/>
        </w:rPr>
        <w:t xml:space="preserve">5462, </w:t>
      </w:r>
      <w:r w:rsidR="00D22E84" w:rsidRPr="00603FD0">
        <w:rPr>
          <w:spacing w:val="-2"/>
          <w:sz w:val="16"/>
          <w:szCs w:val="16"/>
        </w:rPr>
        <w:t>5466,</w:t>
      </w:r>
      <w:r w:rsidR="00201CF3" w:rsidRPr="00603FD0">
        <w:rPr>
          <w:spacing w:val="-2"/>
          <w:sz w:val="16"/>
          <w:szCs w:val="16"/>
        </w:rPr>
        <w:t xml:space="preserve"> 5851, 5978 a 5980, 6005, 6009,</w:t>
      </w:r>
      <w:r w:rsidR="00D22E84" w:rsidRPr="00603FD0">
        <w:rPr>
          <w:spacing w:val="-2"/>
          <w:sz w:val="16"/>
          <w:szCs w:val="16"/>
        </w:rPr>
        <w:t xml:space="preserve"> </w:t>
      </w:r>
      <w:r w:rsidR="00BD01F4" w:rsidRPr="00603FD0">
        <w:rPr>
          <w:spacing w:val="-2"/>
          <w:sz w:val="16"/>
          <w:szCs w:val="16"/>
        </w:rPr>
        <w:t xml:space="preserve">6010, </w:t>
      </w:r>
      <w:r w:rsidR="00CC12AF" w:rsidRPr="00603FD0">
        <w:rPr>
          <w:spacing w:val="-2"/>
          <w:sz w:val="16"/>
          <w:szCs w:val="16"/>
        </w:rPr>
        <w:t xml:space="preserve">6073, </w:t>
      </w:r>
      <w:r w:rsidR="00BD01F4" w:rsidRPr="00603FD0">
        <w:rPr>
          <w:spacing w:val="-2"/>
          <w:sz w:val="16"/>
          <w:szCs w:val="16"/>
        </w:rPr>
        <w:t xml:space="preserve">6089, </w:t>
      </w:r>
      <w:r w:rsidR="00CC12AF" w:rsidRPr="00603FD0">
        <w:rPr>
          <w:spacing w:val="-2"/>
          <w:sz w:val="16"/>
          <w:szCs w:val="16"/>
        </w:rPr>
        <w:t xml:space="preserve">6188, </w:t>
      </w:r>
      <w:r w:rsidR="00F443A5" w:rsidRPr="00603FD0">
        <w:rPr>
          <w:spacing w:val="-2"/>
          <w:sz w:val="16"/>
          <w:szCs w:val="16"/>
        </w:rPr>
        <w:t>6</w:t>
      </w:r>
      <w:r w:rsidR="00BD01F4" w:rsidRPr="00603FD0">
        <w:rPr>
          <w:spacing w:val="-2"/>
          <w:sz w:val="16"/>
          <w:szCs w:val="16"/>
        </w:rPr>
        <w:t xml:space="preserve">204, </w:t>
      </w:r>
      <w:r w:rsidR="00D22E84" w:rsidRPr="00603FD0">
        <w:rPr>
          <w:spacing w:val="-2"/>
          <w:sz w:val="16"/>
          <w:szCs w:val="16"/>
        </w:rPr>
        <w:t xml:space="preserve">6507, 6445 a </w:t>
      </w:r>
      <w:r w:rsidR="00BD01F4" w:rsidRPr="00603FD0">
        <w:rPr>
          <w:spacing w:val="-2"/>
          <w:sz w:val="16"/>
          <w:szCs w:val="16"/>
        </w:rPr>
        <w:t xml:space="preserve">6453, 6459, </w:t>
      </w:r>
      <w:r w:rsidR="00201CF3" w:rsidRPr="00603FD0">
        <w:rPr>
          <w:spacing w:val="-2"/>
          <w:sz w:val="16"/>
          <w:szCs w:val="16"/>
        </w:rPr>
        <w:t xml:space="preserve">6917, </w:t>
      </w:r>
      <w:r w:rsidR="00CC12AF" w:rsidRPr="00603FD0">
        <w:rPr>
          <w:spacing w:val="-2"/>
          <w:sz w:val="16"/>
          <w:szCs w:val="16"/>
        </w:rPr>
        <w:t xml:space="preserve">6918, </w:t>
      </w:r>
      <w:r w:rsidR="00BD01F4" w:rsidRPr="00603FD0">
        <w:rPr>
          <w:spacing w:val="-2"/>
          <w:sz w:val="16"/>
          <w:szCs w:val="16"/>
        </w:rPr>
        <w:t>6920, 71</w:t>
      </w:r>
      <w:r w:rsidR="00CC12AF" w:rsidRPr="00603FD0">
        <w:rPr>
          <w:spacing w:val="-2"/>
          <w:sz w:val="16"/>
          <w:szCs w:val="16"/>
        </w:rPr>
        <w:t>42</w:t>
      </w:r>
      <w:r w:rsidR="00D22E84" w:rsidRPr="00603FD0">
        <w:rPr>
          <w:spacing w:val="-2"/>
          <w:sz w:val="16"/>
          <w:szCs w:val="16"/>
        </w:rPr>
        <w:t xml:space="preserve">, </w:t>
      </w:r>
      <w:r w:rsidR="00BD01F4" w:rsidRPr="00603FD0">
        <w:rPr>
          <w:spacing w:val="-2"/>
          <w:sz w:val="16"/>
          <w:szCs w:val="16"/>
        </w:rPr>
        <w:t xml:space="preserve">7143, 7157, </w:t>
      </w:r>
      <w:r w:rsidR="00201CF3" w:rsidRPr="00603FD0">
        <w:rPr>
          <w:spacing w:val="-2"/>
          <w:sz w:val="16"/>
          <w:szCs w:val="16"/>
        </w:rPr>
        <w:t>7798,</w:t>
      </w:r>
      <w:r w:rsidR="00D22E84" w:rsidRPr="00603FD0">
        <w:rPr>
          <w:spacing w:val="-2"/>
          <w:sz w:val="16"/>
          <w:szCs w:val="16"/>
        </w:rPr>
        <w:t xml:space="preserve"> 7799, 7810, 7818, 7872 a </w:t>
      </w:r>
      <w:r w:rsidR="00BD01F4" w:rsidRPr="00603FD0">
        <w:rPr>
          <w:spacing w:val="-2"/>
          <w:sz w:val="16"/>
          <w:szCs w:val="16"/>
        </w:rPr>
        <w:t>7875, 7883, 8737</w:t>
      </w:r>
      <w:r w:rsidR="00201CF3" w:rsidRPr="00603FD0">
        <w:rPr>
          <w:spacing w:val="-2"/>
          <w:sz w:val="16"/>
          <w:szCs w:val="16"/>
        </w:rPr>
        <w:t>,</w:t>
      </w:r>
      <w:r w:rsidR="00D22E84" w:rsidRPr="00603FD0">
        <w:rPr>
          <w:spacing w:val="-2"/>
          <w:sz w:val="16"/>
          <w:szCs w:val="16"/>
        </w:rPr>
        <w:t xml:space="preserve"> </w:t>
      </w:r>
      <w:r w:rsidR="00BD01F4" w:rsidRPr="00603FD0">
        <w:rPr>
          <w:spacing w:val="-2"/>
          <w:sz w:val="16"/>
          <w:szCs w:val="16"/>
        </w:rPr>
        <w:t xml:space="preserve">8738 y 8471 </w:t>
      </w:r>
      <w:r w:rsidRPr="00603FD0">
        <w:rPr>
          <w:spacing w:val="-2"/>
          <w:sz w:val="16"/>
          <w:szCs w:val="16"/>
        </w:rPr>
        <w:t>del Expediente.</w:t>
      </w:r>
    </w:p>
    <w:p w14:paraId="6EFAB24E" w14:textId="77777777" w:rsidR="00D931A8" w:rsidRPr="00D931A8" w:rsidRDefault="00D931A8" w:rsidP="009B0A36">
      <w:pPr>
        <w:pStyle w:val="Prrafodelista"/>
        <w:numPr>
          <w:ilvl w:val="0"/>
          <w:numId w:val="13"/>
        </w:numPr>
        <w:spacing w:before="120" w:after="120" w:line="240" w:lineRule="auto"/>
        <w:contextualSpacing w:val="0"/>
        <w:jc w:val="both"/>
      </w:pPr>
      <w:r w:rsidRPr="00D931A8">
        <w:t>Por tanto, el SBAF presenta características distintas al servicio de acceso a internet dedicado en cuanto a velocidad, capacidad, calidad, fiabilidad, modalidades de contratación y precio, que permiten concluir que, desde la perspectiva de la demanda, ambos servicios no son sustitutos.</w:t>
      </w:r>
    </w:p>
    <w:p w14:paraId="22974AF5" w14:textId="77777777" w:rsidR="00D931A8" w:rsidRPr="00DF695B" w:rsidRDefault="00D931A8" w:rsidP="009B0A36">
      <w:pPr>
        <w:pStyle w:val="Ttulo5"/>
        <w:numPr>
          <w:ilvl w:val="2"/>
          <w:numId w:val="24"/>
        </w:numPr>
        <w:jc w:val="both"/>
        <w:rPr>
          <w:b/>
          <w:i w:val="0"/>
        </w:rPr>
      </w:pPr>
      <w:r w:rsidRPr="00DF695B">
        <w:rPr>
          <w:b/>
          <w:i w:val="0"/>
        </w:rPr>
        <w:t>Sustitución entre el servicio de acceso a internet dedicado y el arrendamiento de enlaces dedicados</w:t>
      </w:r>
    </w:p>
    <w:p w14:paraId="21234CC8" w14:textId="77777777" w:rsidR="00D931A8" w:rsidRPr="00D931A8" w:rsidRDefault="00D931A8" w:rsidP="009B0A36">
      <w:pPr>
        <w:pStyle w:val="Prrafodelista"/>
        <w:numPr>
          <w:ilvl w:val="0"/>
          <w:numId w:val="13"/>
        </w:numPr>
        <w:spacing w:before="120" w:after="120" w:line="240" w:lineRule="auto"/>
        <w:contextualSpacing w:val="0"/>
        <w:jc w:val="both"/>
      </w:pPr>
      <w:r w:rsidRPr="00D931A8">
        <w:t>El servicio de arrendamiento de enlaces dedicados permite a las empresas establecer conectividad entre dos puntos para transmitir todo tipo de señales (voz, datos y video) de manera permanente, exclusiva y preestablecida. Por su parte, el servicio de acceso a internet dedicado utiliza enlaces de última milla como insumo</w:t>
      </w:r>
      <w:r w:rsidRPr="00D931A8">
        <w:rPr>
          <w:vertAlign w:val="superscript"/>
        </w:rPr>
        <w:footnoteReference w:id="195"/>
      </w:r>
      <w:r w:rsidRPr="00D931A8">
        <w:t xml:space="preserve"> y ofrece una conexión exclusiva y permanente a la red mundial de internet. Así pues, la provisión de este último involucra no solo la provisión del enlace, sino también la conectividad con la red mundial a internet y la administración del tráfico de internet que genera y solicita el usuario.</w:t>
      </w:r>
      <w:r w:rsidRPr="00D931A8">
        <w:rPr>
          <w:vertAlign w:val="superscript"/>
        </w:rPr>
        <w:footnoteReference w:id="196"/>
      </w:r>
      <w:r w:rsidRPr="00D931A8">
        <w:t xml:space="preserve"> Por consiguiente, el servicio de arrendamiento de enlaces no constituye un sustituto al no proporcionar conectividad a la red </w:t>
      </w:r>
      <w:r w:rsidR="001A7D7F">
        <w:t xml:space="preserve">mundial </w:t>
      </w:r>
      <w:r w:rsidRPr="00D931A8">
        <w:t>de internet.</w:t>
      </w:r>
    </w:p>
    <w:p w14:paraId="62455BD6" w14:textId="77777777" w:rsidR="00D931A8" w:rsidRPr="00DF695B" w:rsidRDefault="00D931A8" w:rsidP="009B0A36">
      <w:pPr>
        <w:pStyle w:val="Ttulo5"/>
        <w:numPr>
          <w:ilvl w:val="2"/>
          <w:numId w:val="24"/>
        </w:numPr>
        <w:jc w:val="both"/>
        <w:rPr>
          <w:b/>
          <w:i w:val="0"/>
        </w:rPr>
      </w:pPr>
      <w:r w:rsidRPr="00DF695B">
        <w:rPr>
          <w:b/>
          <w:i w:val="0"/>
        </w:rPr>
        <w:t>Sustitución entre el servicio de acceso a internet dedicado y el SBAM</w:t>
      </w:r>
    </w:p>
    <w:p w14:paraId="19E11003"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El servicio de acceso a internet de banda ancha móvil (SBAM) también ofrece a los usuarios finales acceso a la red </w:t>
      </w:r>
      <w:r w:rsidR="00EF5D50">
        <w:t xml:space="preserve">mundial </w:t>
      </w:r>
      <w:r w:rsidRPr="00D931A8">
        <w:t xml:space="preserve">de internet. Sin embargo, este servicio </w:t>
      </w:r>
      <w:r w:rsidRPr="00D931A8">
        <w:lastRenderedPageBreak/>
        <w:t>no es equiparable al servicio de acceso a internet dedicado. El SBAM no tiene la capacidad para otorgar los mismos niveles de servicio ni para garantizar la fiabilidad, disponibilidad y continuidad del servicio de acceso a internet dedicado. Con el SBAM, los usuarios se exponen con mayor frecuencia a desconexiones, congestionamiento, saturación y riesgos de seguridad.</w:t>
      </w:r>
      <w:r w:rsidRPr="00D931A8">
        <w:rPr>
          <w:vertAlign w:val="superscript"/>
        </w:rPr>
        <w:footnoteReference w:id="197"/>
      </w:r>
      <w:r w:rsidRPr="00D931A8">
        <w:t xml:space="preserve"> Asimismo, las ofertas del SBAM, por lo general, no promocionan una velocidad de conexión a internet, sino la provisión de un límite de uso de datos, el cual se integra por un rango de 1 MB a 30 GB.</w:t>
      </w:r>
      <w:r w:rsidRPr="00D931A8">
        <w:rPr>
          <w:vertAlign w:val="superscript"/>
        </w:rPr>
        <w:footnoteReference w:id="198"/>
      </w:r>
      <w:r w:rsidRPr="00D931A8">
        <w:t xml:space="preserve"> En contraste, el servicio de acceso a internet dedicado permite un uso ilimitado de datos, o bien permite una mayor escalabilidad, de tal forma que el consumo de datos no está restringido.</w:t>
      </w:r>
      <w:r w:rsidRPr="00D931A8">
        <w:rPr>
          <w:vertAlign w:val="superscript"/>
        </w:rPr>
        <w:footnoteReference w:id="199"/>
      </w:r>
      <w:r w:rsidRPr="00D931A8">
        <w:t xml:space="preserve"> </w:t>
      </w:r>
    </w:p>
    <w:p w14:paraId="6A3012D0" w14:textId="77777777" w:rsidR="00D931A8" w:rsidRPr="00D931A8" w:rsidRDefault="00D931A8" w:rsidP="009B0A36">
      <w:pPr>
        <w:pStyle w:val="Prrafodelista"/>
        <w:numPr>
          <w:ilvl w:val="0"/>
          <w:numId w:val="13"/>
        </w:numPr>
        <w:spacing w:before="120" w:after="120" w:line="240" w:lineRule="auto"/>
        <w:contextualSpacing w:val="0"/>
        <w:jc w:val="both"/>
      </w:pPr>
      <w:r w:rsidRPr="00D931A8">
        <w:t>Por el lado de la oferta, un operador del SBAM que pretenda comenzar a ofrecer el servicio de acceso a internet dedicado, enfrenta obstáculos que impiden su entrada en el corto plazo, por lo que no tendría la capacidad de ejercer una presión competitiva sobre los actuales oferentes del servicio de acceso a internet dedicado. La principal limitante consiste en que la infraestructura de red de acceso requerida para ofrecer el SBAM se compone de elementos técnica y funcionalmente distintos a los elementos de red requeridos para ofrecer el servicio de acceso a internet dedicado.</w:t>
      </w:r>
      <w:r w:rsidRPr="00D931A8">
        <w:rPr>
          <w:vertAlign w:val="superscript"/>
        </w:rPr>
        <w:footnoteReference w:id="200"/>
      </w:r>
    </w:p>
    <w:p w14:paraId="514E9997"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conclusión, tanto desde la perspectiva de la demanda como de la oferta, el SBAM no se considera sustituto del servicio de acceso a internet dedicado.</w:t>
      </w:r>
    </w:p>
    <w:p w14:paraId="4F672280" w14:textId="77777777" w:rsidR="00D931A8" w:rsidRPr="00D931A8" w:rsidRDefault="00D931A8" w:rsidP="009B0A36">
      <w:pPr>
        <w:pStyle w:val="Ttulo4"/>
        <w:numPr>
          <w:ilvl w:val="1"/>
          <w:numId w:val="24"/>
        </w:numPr>
        <w:ind w:left="567" w:hanging="567"/>
      </w:pPr>
      <w:r w:rsidRPr="00D931A8">
        <w:t>Dimensión geográfica</w:t>
      </w:r>
    </w:p>
    <w:p w14:paraId="42A370E0" w14:textId="77777777" w:rsidR="00D931A8" w:rsidRPr="00D931A8" w:rsidRDefault="00D931A8" w:rsidP="009B0A36">
      <w:pPr>
        <w:pStyle w:val="Prrafodelista"/>
        <w:numPr>
          <w:ilvl w:val="0"/>
          <w:numId w:val="13"/>
        </w:numPr>
        <w:spacing w:before="120" w:after="120" w:line="240" w:lineRule="auto"/>
        <w:contextualSpacing w:val="0"/>
        <w:jc w:val="both"/>
        <w:rPr>
          <w:lang w:eastAsia="es-MX"/>
        </w:rPr>
      </w:pPr>
      <w:r w:rsidRPr="00D931A8">
        <w:t>Para</w:t>
      </w:r>
      <w:r w:rsidRPr="00D931A8">
        <w:rPr>
          <w:lang w:eastAsia="es-MX"/>
        </w:rPr>
        <w:t xml:space="preserve"> la delimitación de la dimensión geográfica del mercado relevante se utilizan los criterios </w:t>
      </w:r>
      <w:r w:rsidR="00A55D37">
        <w:rPr>
          <w:lang w:eastAsia="es-MX"/>
        </w:rPr>
        <w:t>establecidos</w:t>
      </w:r>
      <w:r w:rsidR="00A55D37" w:rsidRPr="00D931A8">
        <w:rPr>
          <w:lang w:eastAsia="es-MX"/>
        </w:rPr>
        <w:t xml:space="preserve"> </w:t>
      </w:r>
      <w:r w:rsidRPr="00D931A8">
        <w:rPr>
          <w:lang w:eastAsia="es-MX"/>
        </w:rPr>
        <w:t>en las fracciones II y III del artículo 58 de la LFCE, las cuales señalan lo siguiente:</w:t>
      </w:r>
    </w:p>
    <w:p w14:paraId="132E1C31" w14:textId="77777777" w:rsidR="00D931A8" w:rsidRPr="00D931A8" w:rsidRDefault="00955543" w:rsidP="00955543">
      <w:pPr>
        <w:ind w:left="567" w:right="567"/>
        <w:jc w:val="both"/>
        <w:rPr>
          <w:i/>
          <w:sz w:val="20"/>
          <w:szCs w:val="20"/>
        </w:rPr>
      </w:pPr>
      <w:r>
        <w:rPr>
          <w:i/>
          <w:sz w:val="20"/>
          <w:szCs w:val="20"/>
        </w:rPr>
        <w:t xml:space="preserve">II. </w:t>
      </w:r>
      <w:r w:rsidR="00D931A8" w:rsidRPr="00D931A8">
        <w:rPr>
          <w:i/>
          <w:sz w:val="20"/>
          <w:szCs w:val="20"/>
        </w:rPr>
        <w:t>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6AFC3CF8" w14:textId="77777777" w:rsidR="00D931A8" w:rsidRPr="00D931A8" w:rsidRDefault="00955543" w:rsidP="00955543">
      <w:pPr>
        <w:ind w:left="567" w:right="567"/>
        <w:jc w:val="both"/>
        <w:rPr>
          <w:i/>
          <w:sz w:val="20"/>
          <w:szCs w:val="20"/>
        </w:rPr>
      </w:pPr>
      <w:r>
        <w:rPr>
          <w:i/>
          <w:sz w:val="20"/>
          <w:szCs w:val="20"/>
        </w:rPr>
        <w:t xml:space="preserve">III. </w:t>
      </w:r>
      <w:r w:rsidR="00D931A8" w:rsidRPr="00D931A8">
        <w:rPr>
          <w:i/>
          <w:sz w:val="20"/>
          <w:szCs w:val="20"/>
        </w:rPr>
        <w:t>Los costos y las probabilidades que tienen los usuarios o consumidores para acudir a otros mercados;</w:t>
      </w:r>
    </w:p>
    <w:p w14:paraId="69BBE6A2" w14:textId="77777777" w:rsidR="00D931A8" w:rsidRPr="00D931A8" w:rsidRDefault="00D931A8" w:rsidP="009B0A36">
      <w:pPr>
        <w:pStyle w:val="Prrafodelista"/>
        <w:numPr>
          <w:ilvl w:val="0"/>
          <w:numId w:val="13"/>
        </w:numPr>
        <w:spacing w:before="120" w:after="120" w:line="240" w:lineRule="auto"/>
        <w:contextualSpacing w:val="0"/>
        <w:jc w:val="both"/>
      </w:pPr>
      <w:r w:rsidRPr="00D931A8">
        <w:rPr>
          <w:lang w:eastAsia="es-MX"/>
        </w:rPr>
        <w:lastRenderedPageBreak/>
        <w:t xml:space="preserve">En lo </w:t>
      </w:r>
      <w:r w:rsidRPr="00D931A8">
        <w:t>sucesivo</w:t>
      </w:r>
      <w:r w:rsidRPr="00D931A8">
        <w:rPr>
          <w:lang w:eastAsia="es-MX"/>
        </w:rPr>
        <w:t>, el análisis de la dimensión geográfica, tanto desde la perspectiva de la demanda como de la oferta, se basa en las disposiciones citadas</w:t>
      </w:r>
      <w:r w:rsidRPr="00D931A8">
        <w:t>.</w:t>
      </w:r>
    </w:p>
    <w:p w14:paraId="688BCE75" w14:textId="77777777" w:rsidR="00D931A8" w:rsidRPr="00D931A8" w:rsidRDefault="00D931A8" w:rsidP="009B0A36">
      <w:pPr>
        <w:pStyle w:val="Prrafodelista"/>
        <w:numPr>
          <w:ilvl w:val="0"/>
          <w:numId w:val="13"/>
        </w:numPr>
        <w:spacing w:before="120" w:after="120" w:line="240" w:lineRule="auto"/>
        <w:contextualSpacing w:val="0"/>
        <w:jc w:val="both"/>
      </w:pPr>
      <w:r w:rsidRPr="00D931A8">
        <w:t>Desde el punto de vista de la demanda, los usuarios del servicio de acceso a internet dedicado son organizaciones con necesidades complejas, que pueden contar con una sola sede o con un número de sedes dispersas geográficamente.</w:t>
      </w:r>
      <w:r w:rsidRPr="00D931A8">
        <w:rPr>
          <w:vertAlign w:val="superscript"/>
        </w:rPr>
        <w:footnoteReference w:id="201"/>
      </w:r>
      <w:r w:rsidRPr="00D931A8">
        <w:t xml:space="preserve"> Debido a su diversidad en tamaño y complejidad, este tipo de usuarios pueden demandar soluciones con cobertura nacional, o al menos, más extensa que un área local (por ejemplo, una zona metropolitana).</w:t>
      </w:r>
    </w:p>
    <w:p w14:paraId="567C5723" w14:textId="77777777" w:rsidR="00D931A8" w:rsidRPr="00D931A8" w:rsidRDefault="00D931A8" w:rsidP="009B0A36">
      <w:pPr>
        <w:pStyle w:val="Prrafodelista"/>
        <w:numPr>
          <w:ilvl w:val="0"/>
          <w:numId w:val="13"/>
        </w:numPr>
        <w:spacing w:before="120" w:after="120" w:line="240" w:lineRule="auto"/>
        <w:contextualSpacing w:val="0"/>
        <w:jc w:val="both"/>
      </w:pPr>
      <w:r w:rsidRPr="00D931A8">
        <w:t>Además, los usuarios de este servicio, en general, enfrentan las mismas condiciones en términos de precio, velocidad, capacidad y calidad, independientemente de su ubicación geográfica, dado que la mayoría de los oferentes del servicio de acceso a internet dedicado cuentan con una oferta homogénea a nivel nacional.</w:t>
      </w:r>
      <w:r w:rsidRPr="00D931A8">
        <w:rPr>
          <w:vertAlign w:val="superscript"/>
        </w:rPr>
        <w:footnoteReference w:id="202"/>
      </w:r>
    </w:p>
    <w:p w14:paraId="7B27C47C" w14:textId="77777777" w:rsidR="00D931A8" w:rsidRPr="00D931A8" w:rsidRDefault="00D931A8" w:rsidP="009B0A36">
      <w:pPr>
        <w:pStyle w:val="Prrafodelista"/>
        <w:numPr>
          <w:ilvl w:val="0"/>
          <w:numId w:val="13"/>
        </w:numPr>
        <w:spacing w:before="120" w:after="120" w:line="240" w:lineRule="auto"/>
        <w:contextualSpacing w:val="0"/>
        <w:jc w:val="both"/>
        <w:rPr>
          <w:lang w:eastAsia="es-MX"/>
        </w:rPr>
      </w:pPr>
      <w:r w:rsidRPr="00D931A8">
        <w:t>Desde</w:t>
      </w:r>
      <w:r w:rsidRPr="00D931A8">
        <w:rPr>
          <w:lang w:eastAsia="es-MX"/>
        </w:rPr>
        <w:t xml:space="preserve"> la perspectiva de la oferta, para proveer el servicio de acceso a internet dedicado, un </w:t>
      </w:r>
      <w:r w:rsidR="00AC495A">
        <w:rPr>
          <w:lang w:eastAsia="es-MX"/>
        </w:rPr>
        <w:t>oferente</w:t>
      </w:r>
      <w:r w:rsidRPr="00D931A8">
        <w:rPr>
          <w:lang w:eastAsia="es-MX"/>
        </w:rPr>
        <w:t xml:space="preserve"> puede utilizar su propia RPT para conectar al usuario final a la red </w:t>
      </w:r>
      <w:r w:rsidR="001A7D7F">
        <w:rPr>
          <w:lang w:eastAsia="es-MX"/>
        </w:rPr>
        <w:t xml:space="preserve">mundial </w:t>
      </w:r>
      <w:r w:rsidRPr="00D931A8">
        <w:rPr>
          <w:lang w:eastAsia="es-MX"/>
        </w:rPr>
        <w:t>de internet o adquirir en el mercado mayorista distintos servicios que complementen su infraestructura; por ejemplo, puede arrendar enlaces dedicados, contratar el servicio de provisión de capacidad, entre otros. Por tanto, los costos de distribución asociados a la provisión de este servicio son los costos asociados a instalar una RPT o al acceso a servicios mayoristas que complementen la infraestructura del concesionario.</w:t>
      </w:r>
    </w:p>
    <w:p w14:paraId="3FA9C308" w14:textId="77777777" w:rsidR="00D931A8" w:rsidRPr="00D931A8" w:rsidRDefault="00D931A8" w:rsidP="009B0A36">
      <w:pPr>
        <w:pStyle w:val="Prrafodelista"/>
        <w:numPr>
          <w:ilvl w:val="0"/>
          <w:numId w:val="13"/>
        </w:numPr>
        <w:spacing w:before="120" w:after="120" w:line="240" w:lineRule="auto"/>
        <w:contextualSpacing w:val="0"/>
        <w:jc w:val="both"/>
        <w:rPr>
          <w:lang w:eastAsia="es-MX"/>
        </w:rPr>
      </w:pPr>
      <w:r w:rsidRPr="00D931A8">
        <w:rPr>
          <w:lang w:eastAsia="es-MX"/>
        </w:rPr>
        <w:t>Dado que, para la provisión del servicio de acceso a internet dedicado, no es necesario contar con una gran cantidad de usuarios del servicio en una determinada localidad donde no posee cobertura de red,</w:t>
      </w:r>
      <w:r w:rsidRPr="00D931A8">
        <w:rPr>
          <w:vertAlign w:val="superscript"/>
          <w:lang w:eastAsia="es-MX"/>
        </w:rPr>
        <w:footnoteReference w:id="203"/>
      </w:r>
      <w:r w:rsidRPr="00D931A8">
        <w:rPr>
          <w:lang w:eastAsia="es-MX"/>
        </w:rPr>
        <w:t xml:space="preserve"> la capacidad de un oferente de entrar a dicha zona geográfica depende en gran medida de la factibilidad de desplegar</w:t>
      </w:r>
      <w:r w:rsidR="00C31D6D">
        <w:rPr>
          <w:lang w:eastAsia="es-MX"/>
        </w:rPr>
        <w:t xml:space="preserve"> su propia infraestructura de red</w:t>
      </w:r>
      <w:r w:rsidRPr="00D931A8">
        <w:rPr>
          <w:lang w:eastAsia="es-MX"/>
        </w:rPr>
        <w:t xml:space="preserve">, acceder al servicio </w:t>
      </w:r>
      <w:r w:rsidR="001A7D7F">
        <w:rPr>
          <w:lang w:eastAsia="es-MX"/>
        </w:rPr>
        <w:t xml:space="preserve">mayorista </w:t>
      </w:r>
      <w:r w:rsidRPr="00D931A8">
        <w:rPr>
          <w:lang w:eastAsia="es-MX"/>
        </w:rPr>
        <w:t>de arrendamiento de enlaces dedicados o a esquemas de intercambio de enlaces dedicados.</w:t>
      </w:r>
    </w:p>
    <w:p w14:paraId="6EABD8A7" w14:textId="77777777" w:rsidR="00D931A8" w:rsidRPr="004E0B1C" w:rsidRDefault="00D931A8" w:rsidP="00174372">
      <w:pPr>
        <w:pStyle w:val="Prrafodelista"/>
        <w:numPr>
          <w:ilvl w:val="0"/>
          <w:numId w:val="13"/>
        </w:numPr>
        <w:spacing w:before="120" w:after="120" w:line="240" w:lineRule="auto"/>
        <w:contextualSpacing w:val="0"/>
        <w:jc w:val="both"/>
      </w:pPr>
      <w:r w:rsidRPr="00D931A8">
        <w:t xml:space="preserve">En relación con el párrafo anterior, de la información que obra en el Expediente, es </w:t>
      </w:r>
      <w:r w:rsidRPr="004E0B1C">
        <w:t>posible advertir que diversos oferentes del servicio arriendan enlaces a terceros. La Tabla 7 presenta</w:t>
      </w:r>
      <w:r w:rsidRPr="00D931A8">
        <w:t xml:space="preserve"> los cinco principales proveedores de enlaces, en términos del </w:t>
      </w:r>
      <w:r w:rsidRPr="004E0B1C">
        <w:lastRenderedPageBreak/>
        <w:t>gasto que representan, para los oferentes del servicio de acceso a internet dedicado:</w:t>
      </w:r>
    </w:p>
    <w:p w14:paraId="51A37B33" w14:textId="77777777" w:rsidR="00D931A8" w:rsidRPr="00D931A8" w:rsidRDefault="00D931A8" w:rsidP="00EB66CA">
      <w:pPr>
        <w:keepNext/>
        <w:keepLines/>
        <w:autoSpaceDE w:val="0"/>
        <w:autoSpaceDN w:val="0"/>
        <w:adjustRightInd w:val="0"/>
        <w:spacing w:after="0"/>
        <w:ind w:right="49"/>
        <w:jc w:val="center"/>
        <w:rPr>
          <w:b/>
          <w:spacing w:val="-2"/>
          <w:sz w:val="18"/>
          <w:szCs w:val="18"/>
        </w:rPr>
      </w:pPr>
      <w:r w:rsidRPr="004E0B1C">
        <w:rPr>
          <w:b/>
          <w:spacing w:val="-2"/>
          <w:sz w:val="18"/>
          <w:szCs w:val="18"/>
        </w:rPr>
        <w:t>Tabla 7. Principales</w:t>
      </w:r>
      <w:r w:rsidRPr="00D931A8">
        <w:rPr>
          <w:b/>
          <w:spacing w:val="-2"/>
          <w:sz w:val="18"/>
          <w:szCs w:val="18"/>
        </w:rPr>
        <w:t xml:space="preserve"> proveedores del servicio de arrendamiento de enlaces dedicados para los oferentes del servicio de acceso a internet dedicado, 2017</w:t>
      </w:r>
    </w:p>
    <w:tbl>
      <w:tblPr>
        <w:tblW w:w="8784" w:type="dxa"/>
        <w:jc w:val="center"/>
        <w:tblCellMar>
          <w:left w:w="70" w:type="dxa"/>
          <w:right w:w="70" w:type="dxa"/>
        </w:tblCellMar>
        <w:tblLook w:val="04A0" w:firstRow="1" w:lastRow="0" w:firstColumn="1" w:lastColumn="0" w:noHBand="0" w:noVBand="1"/>
        <w:tblCaption w:val="Tabla 7. Principales proveedores del servicio de arrendamiento de enlaces dedicados para los oferentes del servicio de acceso a internet dedicado, 2017"/>
        <w:tblDescription w:val="Principales proveedores del servicio de arrendamiento de enlaces dedicados para los oferentes del servicio de acceso a internet dedicado, para el año 2017"/>
      </w:tblPr>
      <w:tblGrid>
        <w:gridCol w:w="1200"/>
        <w:gridCol w:w="2018"/>
        <w:gridCol w:w="5566"/>
      </w:tblGrid>
      <w:tr w:rsidR="00C54358" w:rsidRPr="00D931A8" w14:paraId="040A0316" w14:textId="77777777" w:rsidTr="00971E9E">
        <w:trPr>
          <w:trHeight w:val="170"/>
          <w:jc w:val="center"/>
        </w:trPr>
        <w:tc>
          <w:tcPr>
            <w:tcW w:w="120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7BA292D" w14:textId="77777777" w:rsidR="00C54358" w:rsidRPr="00D931A8" w:rsidRDefault="00C54358" w:rsidP="00EB66CA">
            <w:pPr>
              <w:keepNext/>
              <w:keepLines/>
              <w:spacing w:after="0"/>
              <w:jc w:val="center"/>
              <w:rPr>
                <w:rFonts w:eastAsia="Times New Roman" w:cs="Times New Roman"/>
                <w:b/>
                <w:bCs/>
                <w:color w:val="FFFFFF"/>
                <w:sz w:val="16"/>
                <w:szCs w:val="16"/>
                <w:lang w:eastAsia="es-MX"/>
              </w:rPr>
            </w:pPr>
            <w:r w:rsidRPr="00D931A8">
              <w:rPr>
                <w:rFonts w:eastAsia="Times New Roman" w:cs="Times New Roman"/>
                <w:b/>
                <w:bCs/>
                <w:color w:val="FFFFFF"/>
                <w:sz w:val="16"/>
                <w:szCs w:val="16"/>
                <w:lang w:eastAsia="es-MX"/>
              </w:rPr>
              <w:t>GIE</w:t>
            </w:r>
          </w:p>
        </w:tc>
        <w:tc>
          <w:tcPr>
            <w:tcW w:w="2018" w:type="dxa"/>
            <w:tcBorders>
              <w:top w:val="single" w:sz="4" w:space="0" w:color="auto"/>
              <w:left w:val="nil"/>
              <w:bottom w:val="single" w:sz="4" w:space="0" w:color="auto"/>
              <w:right w:val="single" w:sz="4" w:space="0" w:color="auto"/>
            </w:tcBorders>
            <w:shd w:val="clear" w:color="000000" w:fill="002060"/>
            <w:noWrap/>
            <w:vAlign w:val="center"/>
            <w:hideMark/>
          </w:tcPr>
          <w:p w14:paraId="0BCA4811" w14:textId="77777777" w:rsidR="00C54358" w:rsidRPr="00D931A8" w:rsidRDefault="00C54358" w:rsidP="00EB66CA">
            <w:pPr>
              <w:keepNext/>
              <w:keepLines/>
              <w:spacing w:after="0"/>
              <w:jc w:val="center"/>
              <w:rPr>
                <w:rFonts w:eastAsia="Times New Roman" w:cs="Times New Roman"/>
                <w:b/>
                <w:bCs/>
                <w:color w:val="FFFFFF"/>
                <w:sz w:val="16"/>
                <w:szCs w:val="16"/>
                <w:lang w:eastAsia="es-MX"/>
              </w:rPr>
            </w:pPr>
            <w:r w:rsidRPr="00D931A8">
              <w:rPr>
                <w:rFonts w:eastAsia="Times New Roman" w:cs="Times New Roman"/>
                <w:b/>
                <w:bCs/>
                <w:color w:val="FFFFFF"/>
                <w:sz w:val="16"/>
                <w:szCs w:val="16"/>
                <w:lang w:eastAsia="es-MX"/>
              </w:rPr>
              <w:t>Proveedores del servicio de acceso a internet dedicado</w:t>
            </w:r>
          </w:p>
        </w:tc>
        <w:tc>
          <w:tcPr>
            <w:tcW w:w="5566" w:type="dxa"/>
            <w:tcBorders>
              <w:top w:val="single" w:sz="4" w:space="0" w:color="auto"/>
              <w:left w:val="nil"/>
              <w:bottom w:val="single" w:sz="4" w:space="0" w:color="auto"/>
              <w:right w:val="single" w:sz="4" w:space="0" w:color="auto"/>
            </w:tcBorders>
            <w:shd w:val="clear" w:color="000000" w:fill="002060"/>
            <w:noWrap/>
            <w:vAlign w:val="center"/>
            <w:hideMark/>
          </w:tcPr>
          <w:p w14:paraId="6A3B67CD" w14:textId="77777777" w:rsidR="00C54358" w:rsidRPr="00D931A8" w:rsidRDefault="00C54358" w:rsidP="00EB66CA">
            <w:pPr>
              <w:keepNext/>
              <w:keepLines/>
              <w:spacing w:after="0"/>
              <w:jc w:val="center"/>
              <w:rPr>
                <w:rFonts w:eastAsia="Times New Roman" w:cs="Times New Roman"/>
                <w:b/>
                <w:bCs/>
                <w:color w:val="FFFFFF"/>
                <w:sz w:val="16"/>
                <w:szCs w:val="16"/>
                <w:lang w:eastAsia="es-MX"/>
              </w:rPr>
            </w:pPr>
            <w:r w:rsidRPr="00D931A8">
              <w:rPr>
                <w:rFonts w:eastAsia="Times New Roman" w:cs="Times New Roman"/>
                <w:b/>
                <w:bCs/>
                <w:color w:val="FFFFFF"/>
                <w:sz w:val="16"/>
                <w:szCs w:val="16"/>
                <w:lang w:eastAsia="es-MX"/>
              </w:rPr>
              <w:t>Proveedor del servicio de arrendamiento de enlaces dedicados</w:t>
            </w:r>
            <w:r w:rsidRPr="00D931A8">
              <w:rPr>
                <w:rFonts w:eastAsia="Times New Roman" w:cs="Times New Roman"/>
                <w:b/>
                <w:bCs/>
                <w:color w:val="FFFFFF"/>
                <w:sz w:val="16"/>
                <w:szCs w:val="16"/>
                <w:vertAlign w:val="superscript"/>
                <w:lang w:eastAsia="es-MX"/>
              </w:rPr>
              <w:t>\a</w:t>
            </w:r>
          </w:p>
        </w:tc>
      </w:tr>
      <w:tr w:rsidR="006408C9" w:rsidRPr="00D931A8" w14:paraId="41C8146C" w14:textId="77777777" w:rsidTr="00F12437">
        <w:trPr>
          <w:trHeight w:val="170"/>
          <w:jc w:val="center"/>
        </w:trPr>
        <w:tc>
          <w:tcPr>
            <w:tcW w:w="1200" w:type="dxa"/>
            <w:tcBorders>
              <w:top w:val="nil"/>
              <w:left w:val="single" w:sz="4" w:space="0" w:color="auto"/>
              <w:bottom w:val="single" w:sz="4" w:space="0" w:color="auto"/>
              <w:right w:val="single" w:sz="4" w:space="0" w:color="auto"/>
            </w:tcBorders>
            <w:shd w:val="clear" w:color="auto" w:fill="auto"/>
            <w:noWrap/>
          </w:tcPr>
          <w:p w14:paraId="0F250DC8" w14:textId="63124E1C" w:rsidR="006408C9" w:rsidRPr="0054042C" w:rsidRDefault="0054042C" w:rsidP="000165F8">
            <w:pPr>
              <w:spacing w:after="0"/>
              <w:rPr>
                <w:b/>
                <w:sz w:val="12"/>
                <w:szCs w:val="12"/>
              </w:rPr>
            </w:pPr>
            <w:r w:rsidRPr="0054042C">
              <w:rPr>
                <w:b/>
                <w:bCs/>
                <w:color w:val="0000CC"/>
                <w:sz w:val="12"/>
                <w:szCs w:val="12"/>
              </w:rPr>
              <w:t>“CONFIDENCIAL POR LEY”</w:t>
            </w:r>
          </w:p>
        </w:tc>
        <w:tc>
          <w:tcPr>
            <w:tcW w:w="2018" w:type="dxa"/>
            <w:tcBorders>
              <w:top w:val="nil"/>
              <w:left w:val="nil"/>
              <w:bottom w:val="single" w:sz="4" w:space="0" w:color="auto"/>
              <w:right w:val="single" w:sz="4" w:space="0" w:color="auto"/>
            </w:tcBorders>
            <w:shd w:val="clear" w:color="auto" w:fill="auto"/>
            <w:noWrap/>
          </w:tcPr>
          <w:p w14:paraId="1B8E5A45" w14:textId="3FBF6E2A" w:rsidR="006408C9" w:rsidRPr="0054042C" w:rsidRDefault="0054042C" w:rsidP="000165F8">
            <w:pPr>
              <w:spacing w:after="0"/>
              <w:rPr>
                <w:b/>
                <w:sz w:val="12"/>
                <w:szCs w:val="12"/>
              </w:rPr>
            </w:pPr>
            <w:r w:rsidRPr="0054042C">
              <w:rPr>
                <w:b/>
                <w:bCs/>
                <w:color w:val="0000CC"/>
                <w:sz w:val="12"/>
                <w:szCs w:val="12"/>
              </w:rPr>
              <w:t>“CONFIDENCIAL POR LEY”</w:t>
            </w:r>
          </w:p>
        </w:tc>
        <w:tc>
          <w:tcPr>
            <w:tcW w:w="5566" w:type="dxa"/>
            <w:tcBorders>
              <w:top w:val="nil"/>
              <w:left w:val="nil"/>
              <w:bottom w:val="single" w:sz="4" w:space="0" w:color="auto"/>
              <w:right w:val="single" w:sz="4" w:space="0" w:color="auto"/>
            </w:tcBorders>
            <w:shd w:val="clear" w:color="auto" w:fill="auto"/>
          </w:tcPr>
          <w:p w14:paraId="3F29CDC7" w14:textId="15F97533" w:rsidR="006408C9" w:rsidRPr="0054042C" w:rsidRDefault="0054042C" w:rsidP="000165F8">
            <w:pPr>
              <w:spacing w:after="0"/>
              <w:rPr>
                <w:b/>
                <w:sz w:val="12"/>
                <w:szCs w:val="12"/>
              </w:rPr>
            </w:pPr>
            <w:r w:rsidRPr="0054042C">
              <w:rPr>
                <w:b/>
                <w:bCs/>
                <w:color w:val="0000CC"/>
                <w:sz w:val="12"/>
                <w:szCs w:val="12"/>
              </w:rPr>
              <w:t>“CONFIDENCIAL POR LEY”</w:t>
            </w:r>
          </w:p>
        </w:tc>
      </w:tr>
      <w:tr w:rsidR="006408C9" w:rsidRPr="00CE172A" w14:paraId="7ACFB22B" w14:textId="77777777" w:rsidTr="00F12437">
        <w:trPr>
          <w:trHeight w:val="170"/>
          <w:jc w:val="center"/>
        </w:trPr>
        <w:tc>
          <w:tcPr>
            <w:tcW w:w="1200" w:type="dxa"/>
            <w:vMerge w:val="restart"/>
            <w:tcBorders>
              <w:top w:val="nil"/>
              <w:left w:val="single" w:sz="4" w:space="0" w:color="auto"/>
              <w:right w:val="single" w:sz="4" w:space="0" w:color="auto"/>
            </w:tcBorders>
            <w:shd w:val="clear" w:color="auto" w:fill="auto"/>
            <w:noWrap/>
            <w:hideMark/>
          </w:tcPr>
          <w:p w14:paraId="33C457DD" w14:textId="2DA5D1C3" w:rsidR="006408C9" w:rsidRPr="0054042C" w:rsidRDefault="0054042C" w:rsidP="000165F8">
            <w:pPr>
              <w:spacing w:after="0"/>
              <w:rPr>
                <w:b/>
                <w:sz w:val="12"/>
                <w:szCs w:val="12"/>
              </w:rPr>
            </w:pPr>
            <w:r w:rsidRPr="0054042C">
              <w:rPr>
                <w:b/>
                <w:bCs/>
                <w:color w:val="0000CC"/>
                <w:sz w:val="12"/>
                <w:szCs w:val="12"/>
              </w:rPr>
              <w:t>“CONFIDENCIAL POR LEY”</w:t>
            </w:r>
          </w:p>
        </w:tc>
        <w:tc>
          <w:tcPr>
            <w:tcW w:w="2018" w:type="dxa"/>
            <w:tcBorders>
              <w:top w:val="nil"/>
              <w:left w:val="nil"/>
              <w:bottom w:val="single" w:sz="4" w:space="0" w:color="auto"/>
              <w:right w:val="single" w:sz="4" w:space="0" w:color="auto"/>
            </w:tcBorders>
            <w:shd w:val="clear" w:color="auto" w:fill="auto"/>
            <w:noWrap/>
            <w:hideMark/>
          </w:tcPr>
          <w:p w14:paraId="0E6B90F4" w14:textId="3D46FCAE" w:rsidR="006408C9" w:rsidRPr="0054042C" w:rsidRDefault="0054042C" w:rsidP="000165F8">
            <w:pPr>
              <w:spacing w:after="0"/>
              <w:rPr>
                <w:b/>
                <w:sz w:val="12"/>
                <w:szCs w:val="12"/>
              </w:rPr>
            </w:pPr>
            <w:r w:rsidRPr="0054042C">
              <w:rPr>
                <w:b/>
                <w:bCs/>
                <w:color w:val="0000CC"/>
                <w:sz w:val="12"/>
                <w:szCs w:val="12"/>
              </w:rPr>
              <w:t>“CONFIDENCIAL POR LEY”</w:t>
            </w:r>
          </w:p>
        </w:tc>
        <w:tc>
          <w:tcPr>
            <w:tcW w:w="5566" w:type="dxa"/>
            <w:tcBorders>
              <w:top w:val="nil"/>
              <w:left w:val="nil"/>
              <w:bottom w:val="single" w:sz="4" w:space="0" w:color="auto"/>
              <w:right w:val="single" w:sz="4" w:space="0" w:color="auto"/>
            </w:tcBorders>
            <w:shd w:val="clear" w:color="auto" w:fill="auto"/>
            <w:hideMark/>
          </w:tcPr>
          <w:p w14:paraId="4FA4A80C" w14:textId="690E1180" w:rsidR="006408C9" w:rsidRPr="0054042C" w:rsidRDefault="0054042C" w:rsidP="000165F8">
            <w:pPr>
              <w:spacing w:after="0"/>
              <w:rPr>
                <w:b/>
                <w:sz w:val="12"/>
                <w:szCs w:val="12"/>
              </w:rPr>
            </w:pPr>
            <w:r w:rsidRPr="0054042C">
              <w:rPr>
                <w:b/>
                <w:bCs/>
                <w:color w:val="0000CC"/>
                <w:sz w:val="12"/>
                <w:szCs w:val="12"/>
              </w:rPr>
              <w:t>“CONFIDENCIAL POR LEY”</w:t>
            </w:r>
          </w:p>
        </w:tc>
      </w:tr>
      <w:tr w:rsidR="006408C9" w:rsidRPr="00D931A8" w14:paraId="686B0BC8" w14:textId="77777777" w:rsidTr="00F12437">
        <w:trPr>
          <w:trHeight w:val="170"/>
          <w:jc w:val="center"/>
        </w:trPr>
        <w:tc>
          <w:tcPr>
            <w:tcW w:w="1200" w:type="dxa"/>
            <w:vMerge/>
            <w:tcBorders>
              <w:left w:val="single" w:sz="4" w:space="0" w:color="auto"/>
              <w:right w:val="single" w:sz="4" w:space="0" w:color="auto"/>
            </w:tcBorders>
            <w:hideMark/>
          </w:tcPr>
          <w:p w14:paraId="0CF30559" w14:textId="77777777" w:rsidR="006408C9" w:rsidRPr="0054042C" w:rsidRDefault="006408C9" w:rsidP="000165F8">
            <w:pPr>
              <w:keepNext/>
              <w:keepLines/>
              <w:spacing w:after="0"/>
              <w:rPr>
                <w:rFonts w:eastAsia="Times New Roman" w:cs="Times New Roman"/>
                <w:b/>
                <w:color w:val="000000"/>
                <w:sz w:val="12"/>
                <w:szCs w:val="12"/>
                <w:lang w:val="en-US" w:eastAsia="es-MX"/>
              </w:rPr>
            </w:pPr>
          </w:p>
        </w:tc>
        <w:tc>
          <w:tcPr>
            <w:tcW w:w="2018" w:type="dxa"/>
            <w:tcBorders>
              <w:top w:val="nil"/>
              <w:left w:val="nil"/>
              <w:bottom w:val="single" w:sz="4" w:space="0" w:color="auto"/>
              <w:right w:val="single" w:sz="4" w:space="0" w:color="auto"/>
            </w:tcBorders>
            <w:shd w:val="clear" w:color="auto" w:fill="auto"/>
            <w:noWrap/>
            <w:hideMark/>
          </w:tcPr>
          <w:p w14:paraId="6220E632" w14:textId="7FB7B54C" w:rsidR="006408C9" w:rsidRPr="0054042C" w:rsidRDefault="0054042C" w:rsidP="000165F8">
            <w:pPr>
              <w:spacing w:after="0"/>
              <w:rPr>
                <w:b/>
                <w:sz w:val="12"/>
                <w:szCs w:val="12"/>
              </w:rPr>
            </w:pPr>
            <w:r w:rsidRPr="0054042C">
              <w:rPr>
                <w:b/>
                <w:bCs/>
                <w:color w:val="0000CC"/>
                <w:sz w:val="12"/>
                <w:szCs w:val="12"/>
              </w:rPr>
              <w:t>“CONFIDENCIAL POR LEY”</w:t>
            </w:r>
          </w:p>
        </w:tc>
        <w:tc>
          <w:tcPr>
            <w:tcW w:w="5566" w:type="dxa"/>
            <w:tcBorders>
              <w:top w:val="nil"/>
              <w:left w:val="nil"/>
              <w:bottom w:val="single" w:sz="4" w:space="0" w:color="auto"/>
              <w:right w:val="single" w:sz="4" w:space="0" w:color="auto"/>
            </w:tcBorders>
            <w:shd w:val="clear" w:color="auto" w:fill="auto"/>
            <w:hideMark/>
          </w:tcPr>
          <w:p w14:paraId="232BF537" w14:textId="4D72F24F" w:rsidR="006408C9" w:rsidRPr="0054042C" w:rsidRDefault="0054042C" w:rsidP="000165F8">
            <w:pPr>
              <w:spacing w:after="0"/>
              <w:rPr>
                <w:b/>
                <w:sz w:val="12"/>
                <w:szCs w:val="12"/>
              </w:rPr>
            </w:pPr>
            <w:r w:rsidRPr="0054042C">
              <w:rPr>
                <w:b/>
                <w:bCs/>
                <w:color w:val="0000CC"/>
                <w:sz w:val="12"/>
                <w:szCs w:val="12"/>
              </w:rPr>
              <w:t>“CONFIDENCIAL POR LEY”</w:t>
            </w:r>
          </w:p>
        </w:tc>
      </w:tr>
      <w:tr w:rsidR="006408C9" w:rsidRPr="00D931A8" w14:paraId="28B08DCF" w14:textId="77777777" w:rsidTr="00F12437">
        <w:trPr>
          <w:trHeight w:val="170"/>
          <w:jc w:val="center"/>
        </w:trPr>
        <w:tc>
          <w:tcPr>
            <w:tcW w:w="1200" w:type="dxa"/>
            <w:vMerge/>
            <w:tcBorders>
              <w:left w:val="single" w:sz="4" w:space="0" w:color="auto"/>
              <w:right w:val="single" w:sz="4" w:space="0" w:color="auto"/>
            </w:tcBorders>
            <w:hideMark/>
          </w:tcPr>
          <w:p w14:paraId="6DAFD876" w14:textId="77777777" w:rsidR="006408C9" w:rsidRPr="0054042C" w:rsidRDefault="006408C9" w:rsidP="000165F8">
            <w:pPr>
              <w:keepNext/>
              <w:keepLines/>
              <w:spacing w:after="0"/>
              <w:rPr>
                <w:rFonts w:eastAsia="Times New Roman" w:cs="Times New Roman"/>
                <w:b/>
                <w:color w:val="000000"/>
                <w:sz w:val="12"/>
                <w:szCs w:val="12"/>
                <w:lang w:eastAsia="es-MX"/>
              </w:rPr>
            </w:pPr>
          </w:p>
        </w:tc>
        <w:tc>
          <w:tcPr>
            <w:tcW w:w="2018" w:type="dxa"/>
            <w:tcBorders>
              <w:top w:val="nil"/>
              <w:left w:val="nil"/>
              <w:bottom w:val="single" w:sz="4" w:space="0" w:color="auto"/>
              <w:right w:val="single" w:sz="4" w:space="0" w:color="auto"/>
            </w:tcBorders>
            <w:shd w:val="clear" w:color="auto" w:fill="auto"/>
            <w:noWrap/>
            <w:hideMark/>
          </w:tcPr>
          <w:p w14:paraId="0E101AC9" w14:textId="67F142DE" w:rsidR="006408C9" w:rsidRPr="0054042C" w:rsidRDefault="0054042C" w:rsidP="000165F8">
            <w:pPr>
              <w:spacing w:after="0"/>
              <w:rPr>
                <w:b/>
                <w:sz w:val="12"/>
                <w:szCs w:val="12"/>
              </w:rPr>
            </w:pPr>
            <w:r w:rsidRPr="0054042C">
              <w:rPr>
                <w:b/>
                <w:bCs/>
                <w:color w:val="0000CC"/>
                <w:sz w:val="12"/>
                <w:szCs w:val="12"/>
              </w:rPr>
              <w:t>“CONFIDENCIAL POR LEY”</w:t>
            </w:r>
          </w:p>
        </w:tc>
        <w:tc>
          <w:tcPr>
            <w:tcW w:w="5566" w:type="dxa"/>
            <w:tcBorders>
              <w:top w:val="nil"/>
              <w:left w:val="nil"/>
              <w:bottom w:val="single" w:sz="4" w:space="0" w:color="auto"/>
              <w:right w:val="single" w:sz="4" w:space="0" w:color="auto"/>
            </w:tcBorders>
            <w:shd w:val="clear" w:color="auto" w:fill="auto"/>
            <w:hideMark/>
          </w:tcPr>
          <w:p w14:paraId="1AE0447F" w14:textId="3ECA0DC3" w:rsidR="006408C9" w:rsidRPr="0054042C" w:rsidRDefault="0054042C" w:rsidP="000165F8">
            <w:pPr>
              <w:spacing w:after="0"/>
              <w:rPr>
                <w:b/>
                <w:sz w:val="12"/>
                <w:szCs w:val="12"/>
              </w:rPr>
            </w:pPr>
            <w:r w:rsidRPr="0054042C">
              <w:rPr>
                <w:b/>
                <w:bCs/>
                <w:color w:val="0000CC"/>
                <w:sz w:val="12"/>
                <w:szCs w:val="12"/>
              </w:rPr>
              <w:t>“CONFIDENCIAL POR LEY”</w:t>
            </w:r>
          </w:p>
        </w:tc>
      </w:tr>
      <w:tr w:rsidR="006408C9" w:rsidRPr="00D931A8" w14:paraId="3E9AA2A7" w14:textId="77777777" w:rsidTr="00F12437">
        <w:trPr>
          <w:trHeight w:val="170"/>
          <w:jc w:val="center"/>
        </w:trPr>
        <w:tc>
          <w:tcPr>
            <w:tcW w:w="1200" w:type="dxa"/>
            <w:vMerge/>
            <w:tcBorders>
              <w:left w:val="single" w:sz="4" w:space="0" w:color="auto"/>
              <w:right w:val="single" w:sz="4" w:space="0" w:color="auto"/>
            </w:tcBorders>
            <w:shd w:val="clear" w:color="auto" w:fill="auto"/>
            <w:noWrap/>
          </w:tcPr>
          <w:p w14:paraId="183D1797" w14:textId="77777777" w:rsidR="006408C9" w:rsidRPr="0054042C" w:rsidRDefault="006408C9" w:rsidP="000165F8">
            <w:pPr>
              <w:keepNext/>
              <w:keepLines/>
              <w:spacing w:after="0"/>
              <w:rPr>
                <w:rFonts w:eastAsia="Times New Roman" w:cs="Times New Roman"/>
                <w:b/>
                <w:color w:val="000000"/>
                <w:sz w:val="12"/>
                <w:szCs w:val="12"/>
                <w:lang w:eastAsia="es-MX"/>
              </w:rPr>
            </w:pPr>
          </w:p>
        </w:tc>
        <w:tc>
          <w:tcPr>
            <w:tcW w:w="2018" w:type="dxa"/>
            <w:tcBorders>
              <w:top w:val="nil"/>
              <w:left w:val="nil"/>
              <w:bottom w:val="single" w:sz="4" w:space="0" w:color="auto"/>
              <w:right w:val="single" w:sz="4" w:space="0" w:color="auto"/>
            </w:tcBorders>
            <w:shd w:val="clear" w:color="auto" w:fill="auto"/>
            <w:noWrap/>
          </w:tcPr>
          <w:p w14:paraId="7ABECA14" w14:textId="1A414A6D" w:rsidR="006408C9" w:rsidRPr="0054042C" w:rsidRDefault="0054042C" w:rsidP="000165F8">
            <w:pPr>
              <w:spacing w:after="0"/>
              <w:rPr>
                <w:b/>
                <w:sz w:val="12"/>
                <w:szCs w:val="12"/>
              </w:rPr>
            </w:pPr>
            <w:r w:rsidRPr="0054042C">
              <w:rPr>
                <w:b/>
                <w:bCs/>
                <w:color w:val="0000CC"/>
                <w:sz w:val="12"/>
                <w:szCs w:val="12"/>
              </w:rPr>
              <w:t>“CONFIDENCIAL POR LEY”</w:t>
            </w:r>
          </w:p>
        </w:tc>
        <w:tc>
          <w:tcPr>
            <w:tcW w:w="5566" w:type="dxa"/>
            <w:vMerge w:val="restart"/>
            <w:tcBorders>
              <w:top w:val="nil"/>
              <w:left w:val="nil"/>
              <w:right w:val="single" w:sz="4" w:space="0" w:color="auto"/>
            </w:tcBorders>
            <w:shd w:val="clear" w:color="auto" w:fill="auto"/>
          </w:tcPr>
          <w:p w14:paraId="045B5363" w14:textId="550C4582" w:rsidR="006408C9" w:rsidRPr="0054042C" w:rsidRDefault="0054042C" w:rsidP="000165F8">
            <w:pPr>
              <w:spacing w:after="0"/>
              <w:rPr>
                <w:b/>
                <w:sz w:val="12"/>
                <w:szCs w:val="12"/>
              </w:rPr>
            </w:pPr>
            <w:r w:rsidRPr="0054042C">
              <w:rPr>
                <w:b/>
                <w:bCs/>
                <w:color w:val="0000CC"/>
                <w:sz w:val="12"/>
                <w:szCs w:val="12"/>
              </w:rPr>
              <w:t>“CONFIDENCIAL POR LEY”</w:t>
            </w:r>
          </w:p>
        </w:tc>
      </w:tr>
      <w:tr w:rsidR="006408C9" w:rsidRPr="00D931A8" w14:paraId="14A1060F" w14:textId="77777777" w:rsidTr="00F12437">
        <w:trPr>
          <w:trHeight w:val="170"/>
          <w:jc w:val="center"/>
        </w:trPr>
        <w:tc>
          <w:tcPr>
            <w:tcW w:w="1200" w:type="dxa"/>
            <w:vMerge/>
            <w:tcBorders>
              <w:left w:val="single" w:sz="4" w:space="0" w:color="auto"/>
              <w:bottom w:val="single" w:sz="4" w:space="0" w:color="auto"/>
              <w:right w:val="single" w:sz="4" w:space="0" w:color="auto"/>
            </w:tcBorders>
            <w:shd w:val="clear" w:color="auto" w:fill="auto"/>
            <w:noWrap/>
          </w:tcPr>
          <w:p w14:paraId="4D5EC885" w14:textId="77777777" w:rsidR="006408C9" w:rsidRPr="0054042C" w:rsidRDefault="006408C9" w:rsidP="000165F8">
            <w:pPr>
              <w:keepNext/>
              <w:keepLines/>
              <w:spacing w:after="0"/>
              <w:rPr>
                <w:rFonts w:eastAsia="Times New Roman" w:cs="Times New Roman"/>
                <w:b/>
                <w:color w:val="000000"/>
                <w:sz w:val="12"/>
                <w:szCs w:val="12"/>
                <w:lang w:eastAsia="es-MX"/>
              </w:rPr>
            </w:pPr>
          </w:p>
        </w:tc>
        <w:tc>
          <w:tcPr>
            <w:tcW w:w="2018" w:type="dxa"/>
            <w:tcBorders>
              <w:top w:val="nil"/>
              <w:left w:val="nil"/>
              <w:bottom w:val="single" w:sz="4" w:space="0" w:color="auto"/>
              <w:right w:val="single" w:sz="4" w:space="0" w:color="auto"/>
            </w:tcBorders>
            <w:shd w:val="clear" w:color="auto" w:fill="auto"/>
            <w:noWrap/>
          </w:tcPr>
          <w:p w14:paraId="483F66B7" w14:textId="35BA90A5" w:rsidR="006408C9" w:rsidRPr="0054042C" w:rsidRDefault="0054042C" w:rsidP="000165F8">
            <w:pPr>
              <w:spacing w:after="0"/>
              <w:rPr>
                <w:b/>
                <w:sz w:val="12"/>
                <w:szCs w:val="12"/>
              </w:rPr>
            </w:pPr>
            <w:r w:rsidRPr="0054042C">
              <w:rPr>
                <w:b/>
                <w:bCs/>
                <w:color w:val="0000CC"/>
                <w:sz w:val="12"/>
                <w:szCs w:val="12"/>
              </w:rPr>
              <w:t>“CONFIDENCIAL POR LEY”</w:t>
            </w:r>
          </w:p>
        </w:tc>
        <w:tc>
          <w:tcPr>
            <w:tcW w:w="5566" w:type="dxa"/>
            <w:vMerge/>
            <w:tcBorders>
              <w:left w:val="nil"/>
              <w:bottom w:val="single" w:sz="4" w:space="0" w:color="auto"/>
              <w:right w:val="single" w:sz="4" w:space="0" w:color="auto"/>
            </w:tcBorders>
            <w:shd w:val="clear" w:color="auto" w:fill="auto"/>
          </w:tcPr>
          <w:p w14:paraId="43545080" w14:textId="77777777" w:rsidR="006408C9" w:rsidRPr="0054042C" w:rsidRDefault="006408C9" w:rsidP="000165F8">
            <w:pPr>
              <w:keepNext/>
              <w:keepLines/>
              <w:spacing w:after="0"/>
              <w:jc w:val="both"/>
              <w:rPr>
                <w:rFonts w:eastAsia="Times New Roman" w:cs="Times New Roman"/>
                <w:b/>
                <w:color w:val="000000"/>
                <w:sz w:val="12"/>
                <w:szCs w:val="12"/>
                <w:lang w:eastAsia="es-MX"/>
              </w:rPr>
            </w:pPr>
          </w:p>
        </w:tc>
      </w:tr>
      <w:tr w:rsidR="006408C9" w:rsidRPr="00D931A8" w14:paraId="55B6F427" w14:textId="77777777" w:rsidTr="00F12437">
        <w:trPr>
          <w:trHeight w:val="170"/>
          <w:jc w:val="center"/>
        </w:trPr>
        <w:tc>
          <w:tcPr>
            <w:tcW w:w="1200" w:type="dxa"/>
            <w:vMerge w:val="restart"/>
            <w:tcBorders>
              <w:top w:val="nil"/>
              <w:left w:val="single" w:sz="4" w:space="0" w:color="auto"/>
              <w:right w:val="single" w:sz="4" w:space="0" w:color="auto"/>
            </w:tcBorders>
            <w:shd w:val="clear" w:color="auto" w:fill="auto"/>
            <w:noWrap/>
            <w:hideMark/>
          </w:tcPr>
          <w:p w14:paraId="007232D6" w14:textId="49451D5B" w:rsidR="006408C9" w:rsidRPr="0054042C" w:rsidRDefault="0054042C" w:rsidP="000165F8">
            <w:pPr>
              <w:spacing w:after="0"/>
              <w:rPr>
                <w:b/>
                <w:sz w:val="12"/>
                <w:szCs w:val="12"/>
              </w:rPr>
            </w:pPr>
            <w:r w:rsidRPr="0054042C">
              <w:rPr>
                <w:b/>
                <w:bCs/>
                <w:color w:val="0000CC"/>
                <w:sz w:val="12"/>
                <w:szCs w:val="12"/>
              </w:rPr>
              <w:t>“CONFIDENCIAL POR LEY”</w:t>
            </w:r>
          </w:p>
        </w:tc>
        <w:tc>
          <w:tcPr>
            <w:tcW w:w="2018" w:type="dxa"/>
            <w:tcBorders>
              <w:top w:val="nil"/>
              <w:left w:val="nil"/>
              <w:bottom w:val="single" w:sz="4" w:space="0" w:color="auto"/>
              <w:right w:val="single" w:sz="4" w:space="0" w:color="auto"/>
            </w:tcBorders>
            <w:shd w:val="clear" w:color="auto" w:fill="auto"/>
            <w:noWrap/>
            <w:hideMark/>
          </w:tcPr>
          <w:p w14:paraId="3814F6DD" w14:textId="0FD8E25B" w:rsidR="006408C9" w:rsidRPr="0054042C" w:rsidRDefault="0054042C" w:rsidP="000165F8">
            <w:pPr>
              <w:spacing w:after="0"/>
              <w:rPr>
                <w:b/>
                <w:sz w:val="12"/>
                <w:szCs w:val="12"/>
              </w:rPr>
            </w:pPr>
            <w:r w:rsidRPr="0054042C">
              <w:rPr>
                <w:b/>
                <w:bCs/>
                <w:color w:val="0000CC"/>
                <w:sz w:val="12"/>
                <w:szCs w:val="12"/>
              </w:rPr>
              <w:t>“CONFIDENCIAL POR LEY”</w:t>
            </w:r>
          </w:p>
        </w:tc>
        <w:tc>
          <w:tcPr>
            <w:tcW w:w="5566" w:type="dxa"/>
            <w:tcBorders>
              <w:top w:val="nil"/>
              <w:left w:val="nil"/>
              <w:bottom w:val="single" w:sz="4" w:space="0" w:color="auto"/>
              <w:right w:val="single" w:sz="4" w:space="0" w:color="auto"/>
            </w:tcBorders>
            <w:shd w:val="clear" w:color="auto" w:fill="auto"/>
            <w:hideMark/>
          </w:tcPr>
          <w:p w14:paraId="174F3BD4" w14:textId="54D92AD9" w:rsidR="006408C9" w:rsidRPr="0054042C" w:rsidRDefault="0054042C" w:rsidP="000165F8">
            <w:pPr>
              <w:spacing w:after="0"/>
              <w:rPr>
                <w:b/>
                <w:sz w:val="12"/>
                <w:szCs w:val="12"/>
              </w:rPr>
            </w:pPr>
            <w:r w:rsidRPr="0054042C">
              <w:rPr>
                <w:b/>
                <w:bCs/>
                <w:color w:val="0000CC"/>
                <w:sz w:val="12"/>
                <w:szCs w:val="12"/>
              </w:rPr>
              <w:t>“CONFIDENCIAL POR LEY”</w:t>
            </w:r>
          </w:p>
        </w:tc>
      </w:tr>
      <w:tr w:rsidR="006408C9" w:rsidRPr="00D931A8" w14:paraId="10B92BEE" w14:textId="77777777" w:rsidTr="00F12437">
        <w:trPr>
          <w:trHeight w:val="170"/>
          <w:jc w:val="center"/>
        </w:trPr>
        <w:tc>
          <w:tcPr>
            <w:tcW w:w="1200" w:type="dxa"/>
            <w:vMerge/>
            <w:tcBorders>
              <w:left w:val="single" w:sz="4" w:space="0" w:color="auto"/>
              <w:bottom w:val="single" w:sz="4" w:space="0" w:color="auto"/>
              <w:right w:val="single" w:sz="4" w:space="0" w:color="auto"/>
            </w:tcBorders>
            <w:shd w:val="clear" w:color="auto" w:fill="auto"/>
            <w:noWrap/>
          </w:tcPr>
          <w:p w14:paraId="66C16896" w14:textId="77777777" w:rsidR="006408C9" w:rsidRPr="0054042C" w:rsidRDefault="006408C9" w:rsidP="000165F8">
            <w:pPr>
              <w:keepNext/>
              <w:keepLines/>
              <w:spacing w:after="0"/>
              <w:rPr>
                <w:rFonts w:eastAsia="Times New Roman" w:cs="Times New Roman"/>
                <w:b/>
                <w:color w:val="000000"/>
                <w:sz w:val="12"/>
                <w:szCs w:val="12"/>
                <w:lang w:eastAsia="es-MX"/>
              </w:rPr>
            </w:pPr>
          </w:p>
        </w:tc>
        <w:tc>
          <w:tcPr>
            <w:tcW w:w="2018" w:type="dxa"/>
            <w:tcBorders>
              <w:top w:val="nil"/>
              <w:left w:val="nil"/>
              <w:bottom w:val="single" w:sz="4" w:space="0" w:color="auto"/>
              <w:right w:val="single" w:sz="4" w:space="0" w:color="auto"/>
            </w:tcBorders>
            <w:shd w:val="clear" w:color="auto" w:fill="auto"/>
            <w:noWrap/>
          </w:tcPr>
          <w:p w14:paraId="24D63C54" w14:textId="146765C8" w:rsidR="006408C9" w:rsidRPr="0054042C" w:rsidRDefault="0054042C" w:rsidP="000165F8">
            <w:pPr>
              <w:spacing w:after="0"/>
              <w:rPr>
                <w:b/>
                <w:sz w:val="12"/>
                <w:szCs w:val="12"/>
              </w:rPr>
            </w:pPr>
            <w:r w:rsidRPr="0054042C">
              <w:rPr>
                <w:b/>
                <w:bCs/>
                <w:color w:val="0000CC"/>
                <w:sz w:val="12"/>
                <w:szCs w:val="12"/>
              </w:rPr>
              <w:t>“CONFIDENCIAL POR LEY”</w:t>
            </w:r>
          </w:p>
        </w:tc>
        <w:tc>
          <w:tcPr>
            <w:tcW w:w="5566" w:type="dxa"/>
            <w:tcBorders>
              <w:top w:val="nil"/>
              <w:left w:val="nil"/>
              <w:bottom w:val="single" w:sz="4" w:space="0" w:color="auto"/>
              <w:right w:val="single" w:sz="4" w:space="0" w:color="auto"/>
            </w:tcBorders>
            <w:shd w:val="clear" w:color="auto" w:fill="auto"/>
          </w:tcPr>
          <w:p w14:paraId="49D52354" w14:textId="56680766" w:rsidR="006408C9" w:rsidRPr="0054042C" w:rsidRDefault="0054042C" w:rsidP="000165F8">
            <w:pPr>
              <w:spacing w:after="0"/>
              <w:rPr>
                <w:b/>
                <w:sz w:val="12"/>
                <w:szCs w:val="12"/>
              </w:rPr>
            </w:pPr>
            <w:r w:rsidRPr="0054042C">
              <w:rPr>
                <w:b/>
                <w:bCs/>
                <w:color w:val="0000CC"/>
                <w:sz w:val="12"/>
                <w:szCs w:val="12"/>
              </w:rPr>
              <w:t>“CONFIDENCIAL POR LEY”</w:t>
            </w:r>
          </w:p>
        </w:tc>
      </w:tr>
    </w:tbl>
    <w:p w14:paraId="2AD6F7D8" w14:textId="77777777" w:rsidR="00D931A8" w:rsidRPr="00D931A8" w:rsidRDefault="00D931A8" w:rsidP="00EB66CA">
      <w:pPr>
        <w:keepNext/>
        <w:keepLines/>
        <w:autoSpaceDE w:val="0"/>
        <w:autoSpaceDN w:val="0"/>
        <w:adjustRightInd w:val="0"/>
        <w:spacing w:after="0"/>
        <w:jc w:val="both"/>
        <w:rPr>
          <w:sz w:val="16"/>
          <w:szCs w:val="16"/>
        </w:rPr>
      </w:pPr>
      <w:r w:rsidRPr="00D931A8">
        <w:rPr>
          <w:sz w:val="16"/>
          <w:szCs w:val="16"/>
        </w:rPr>
        <w:t xml:space="preserve">Nota: </w:t>
      </w:r>
    </w:p>
    <w:p w14:paraId="13EEDDA8" w14:textId="77777777" w:rsidR="00D931A8" w:rsidRPr="00D931A8" w:rsidRDefault="00D931A8" w:rsidP="00EB66CA">
      <w:pPr>
        <w:keepNext/>
        <w:keepLines/>
        <w:autoSpaceDE w:val="0"/>
        <w:autoSpaceDN w:val="0"/>
        <w:adjustRightInd w:val="0"/>
        <w:spacing w:after="0"/>
        <w:jc w:val="both"/>
        <w:rPr>
          <w:sz w:val="16"/>
          <w:szCs w:val="16"/>
        </w:rPr>
      </w:pPr>
      <w:r w:rsidRPr="00D931A8">
        <w:rPr>
          <w:sz w:val="16"/>
          <w:szCs w:val="16"/>
          <w:vertAlign w:val="superscript"/>
        </w:rPr>
        <w:t>\a</w:t>
      </w:r>
      <w:r w:rsidRPr="00D931A8">
        <w:rPr>
          <w:sz w:val="16"/>
          <w:szCs w:val="16"/>
        </w:rPr>
        <w:t xml:space="preserve"> En esta columna se ilustran, en orden de importancia, los cinco principales proveedores del servicio de arrendamiento de enlaces dedicados para cada proveedor del servicio de acceso a internet dedicado. </w:t>
      </w:r>
    </w:p>
    <w:p w14:paraId="4DBA34BF" w14:textId="77777777" w:rsidR="00D931A8" w:rsidRPr="00D931A8" w:rsidRDefault="00D931A8" w:rsidP="00EB66CA">
      <w:pPr>
        <w:keepNext/>
        <w:keepLines/>
        <w:jc w:val="both"/>
        <w:rPr>
          <w:sz w:val="16"/>
          <w:szCs w:val="16"/>
        </w:rPr>
      </w:pPr>
      <w:r w:rsidRPr="00D931A8">
        <w:rPr>
          <w:sz w:val="16"/>
          <w:szCs w:val="16"/>
        </w:rPr>
        <w:t>Fuente: Elaboración propia con base en información sobre costos por el arrendamiento de enlaces a terceros proporcionada por los operadores</w:t>
      </w:r>
      <w:r w:rsidR="00CD29E3">
        <w:rPr>
          <w:sz w:val="16"/>
          <w:szCs w:val="16"/>
        </w:rPr>
        <w:t xml:space="preserve"> proporcionada por </w:t>
      </w:r>
      <w:r w:rsidR="006408C9" w:rsidRPr="008720D8">
        <w:rPr>
          <w:b/>
          <w:bCs/>
          <w:color w:val="0000CC"/>
          <w:sz w:val="16"/>
          <w:szCs w:val="16"/>
        </w:rPr>
        <w:t>“CONFIDENCIAL POR LEY”</w:t>
      </w:r>
      <w:r w:rsidRPr="00670AAB">
        <w:rPr>
          <w:sz w:val="16"/>
          <w:szCs w:val="16"/>
        </w:rPr>
        <w:t xml:space="preserve">. Fojas </w:t>
      </w:r>
      <w:r w:rsidR="00E37613">
        <w:rPr>
          <w:sz w:val="16"/>
          <w:szCs w:val="16"/>
        </w:rPr>
        <w:t xml:space="preserve">3436 a 3439, 3756 y 6511 a </w:t>
      </w:r>
      <w:r w:rsidR="00670AAB">
        <w:rPr>
          <w:sz w:val="16"/>
          <w:szCs w:val="16"/>
        </w:rPr>
        <w:t xml:space="preserve">6516 </w:t>
      </w:r>
      <w:r w:rsidRPr="00D931A8">
        <w:rPr>
          <w:sz w:val="16"/>
          <w:szCs w:val="16"/>
        </w:rPr>
        <w:t>del Expediente.</w:t>
      </w:r>
    </w:p>
    <w:p w14:paraId="7B865E7F"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este sentido, los oferentes del servicio de acceso a internet dedicado tienen opciones disponibles en los mercados mayoristas de arrendamiento de enlaces dedicados para poder acceder a la infraestructura de telecomunicaciones que complemente su RPT en las zonas geográficas donde no tienen una RPT desplegada y</w:t>
      </w:r>
      <w:r w:rsidR="00EF11A4">
        <w:t>,</w:t>
      </w:r>
      <w:r w:rsidRPr="00D931A8">
        <w:t xml:space="preserve"> de esta forma, poder entrar a dicha zona en el corto plazo. Incluso, derivado de la regulación en preponderancia sobre el servicio mayorista de arrendamiento de enlaces dedicados, los gastos de instalación y la renta mensual del servicio han decrecido.</w:t>
      </w:r>
      <w:r w:rsidRPr="00D931A8">
        <w:rPr>
          <w:vertAlign w:val="superscript"/>
        </w:rPr>
        <w:footnoteReference w:id="204"/>
      </w:r>
      <w:r w:rsidRPr="00D931A8">
        <w:t xml:space="preserve"> Asimismo, dicha regulación ha permitido un proceso de negociación más ágil para adquirir enlaces dedicados mayoristas de AMX</w:t>
      </w:r>
      <w:r w:rsidR="00124ED0">
        <w:t>/Telesites</w:t>
      </w:r>
      <w:r w:rsidRPr="00D931A8">
        <w:t>.</w:t>
      </w:r>
      <w:r w:rsidRPr="00D931A8">
        <w:rPr>
          <w:vertAlign w:val="superscript"/>
        </w:rPr>
        <w:footnoteReference w:id="205"/>
      </w:r>
    </w:p>
    <w:p w14:paraId="6CE4298B" w14:textId="77777777" w:rsidR="00D931A8" w:rsidRPr="00D931A8" w:rsidRDefault="00D931A8" w:rsidP="009B0A36">
      <w:pPr>
        <w:pStyle w:val="Prrafodelista"/>
        <w:numPr>
          <w:ilvl w:val="0"/>
          <w:numId w:val="13"/>
        </w:numPr>
        <w:spacing w:before="120" w:after="120" w:line="240" w:lineRule="auto"/>
        <w:contextualSpacing w:val="0"/>
        <w:jc w:val="both"/>
      </w:pPr>
      <w:r w:rsidRPr="00D931A8">
        <w:t>Por tanto, la disminución en los costos de enlaces mayoristas, así como la reducción de obstáculos para acceder al servicio, hacen más probable que operadores sin cobertura en determinada área geográfica puedan incursionar al mercado de manera rentable. Por último, los principales oferentes del servicio de acceso a internet dedicado cuentan con títulos de concesión con cobertura nacional, por lo que no tienen impedimentos jurídicos para entrar en determinada zona geográfica a ofrecer el servicio.</w:t>
      </w:r>
    </w:p>
    <w:p w14:paraId="081A99A2" w14:textId="77777777" w:rsidR="00D931A8" w:rsidRPr="00D931A8" w:rsidRDefault="00D931A8" w:rsidP="009B0A36">
      <w:pPr>
        <w:pStyle w:val="Prrafodelista"/>
        <w:numPr>
          <w:ilvl w:val="0"/>
          <w:numId w:val="13"/>
        </w:numPr>
        <w:spacing w:before="120" w:after="120" w:line="240" w:lineRule="auto"/>
        <w:contextualSpacing w:val="0"/>
        <w:jc w:val="both"/>
      </w:pPr>
      <w:r w:rsidRPr="00D931A8">
        <w:lastRenderedPageBreak/>
        <w:t xml:space="preserve">En resumen, si bien el despliegue de redes no es inmediato y requiere de importantes plazos y erogaciones de recursos financieros, dadas las tarifas que se cobran por el servicio de acceso a internet dedicado, comenzar a proveerlo en otra zona a través de la contratación de servicios mayoristas de arrendamiento de enlaces dedicados o esquemas de intercambio resulta factible en el corto plazo. </w:t>
      </w:r>
    </w:p>
    <w:p w14:paraId="7F84911F" w14:textId="77777777" w:rsidR="00D931A8" w:rsidRPr="00D931A8" w:rsidRDefault="00D931A8" w:rsidP="009B0A36">
      <w:pPr>
        <w:pStyle w:val="Prrafodelista"/>
        <w:numPr>
          <w:ilvl w:val="0"/>
          <w:numId w:val="13"/>
        </w:numPr>
        <w:spacing w:before="120" w:after="120" w:line="240" w:lineRule="auto"/>
        <w:contextualSpacing w:val="0"/>
        <w:jc w:val="both"/>
      </w:pPr>
      <w:r w:rsidRPr="00D931A8">
        <w:t>Por todo lo anterior, es posible concluir que la dimensión geográfica del mercado relevante es nacional.</w:t>
      </w:r>
    </w:p>
    <w:p w14:paraId="1BC05816" w14:textId="77777777" w:rsidR="00D931A8" w:rsidRPr="00D931A8" w:rsidRDefault="00D931A8" w:rsidP="009B0A36">
      <w:pPr>
        <w:pStyle w:val="Ttulo4"/>
        <w:numPr>
          <w:ilvl w:val="1"/>
          <w:numId w:val="24"/>
        </w:numPr>
        <w:ind w:left="567" w:hanging="567"/>
        <w:jc w:val="both"/>
      </w:pPr>
      <w:bookmarkStart w:id="45" w:name="_Toc463297852"/>
      <w:bookmarkStart w:id="46" w:name="_Toc463624341"/>
      <w:r w:rsidRPr="00D931A8">
        <w:t>Otros aspectos a considerar en la delimitación del mercado relevante</w:t>
      </w:r>
      <w:bookmarkEnd w:id="45"/>
      <w:bookmarkEnd w:id="46"/>
    </w:p>
    <w:p w14:paraId="3D00075A" w14:textId="77777777" w:rsidR="00D931A8" w:rsidRPr="00D931A8" w:rsidRDefault="00D931A8" w:rsidP="009B0A36">
      <w:pPr>
        <w:pStyle w:val="Prrafodelista"/>
        <w:numPr>
          <w:ilvl w:val="0"/>
          <w:numId w:val="13"/>
        </w:numPr>
        <w:spacing w:before="120" w:after="120" w:line="240" w:lineRule="auto"/>
        <w:contextualSpacing w:val="0"/>
        <w:jc w:val="both"/>
      </w:pPr>
      <w:r w:rsidRPr="00D931A8">
        <w:t>Finalmente, la LFCE establece otros criterios para la definición de mercado relevante contenidos en la fracción IV del artículo 58:</w:t>
      </w:r>
    </w:p>
    <w:p w14:paraId="4526ECD9" w14:textId="77777777" w:rsidR="00D931A8" w:rsidRPr="00D931A8" w:rsidRDefault="00955543" w:rsidP="00955543">
      <w:pPr>
        <w:ind w:left="567" w:right="567"/>
        <w:jc w:val="both"/>
        <w:rPr>
          <w:i/>
          <w:sz w:val="20"/>
          <w:szCs w:val="20"/>
        </w:rPr>
      </w:pPr>
      <w:r>
        <w:rPr>
          <w:i/>
          <w:sz w:val="20"/>
          <w:szCs w:val="20"/>
        </w:rPr>
        <w:t xml:space="preserve">IV. </w:t>
      </w:r>
      <w:r w:rsidR="00D931A8" w:rsidRPr="00D931A8">
        <w:rPr>
          <w:i/>
          <w:sz w:val="20"/>
          <w:szCs w:val="20"/>
        </w:rPr>
        <w:t>Las restricciones normativas de carácter federal, local o internacional que limiten el acceso de usuarios o consumidores a fuentes de abasto alternativas, o el acceso de los proveedores a clientes alternativos;</w:t>
      </w:r>
    </w:p>
    <w:p w14:paraId="015922EB" w14:textId="77777777" w:rsidR="00D931A8" w:rsidRPr="00D931A8" w:rsidRDefault="00D931A8" w:rsidP="009B0A36">
      <w:pPr>
        <w:pStyle w:val="Prrafodelista"/>
        <w:numPr>
          <w:ilvl w:val="0"/>
          <w:numId w:val="13"/>
        </w:numPr>
        <w:spacing w:before="120" w:after="120" w:line="240" w:lineRule="auto"/>
        <w:contextualSpacing w:val="0"/>
        <w:jc w:val="both"/>
      </w:pPr>
      <w:r w:rsidRPr="00D931A8">
        <w:t>Al respecto, no existen restricciones normativas de carácter federal o local que limiten el acceso de los usuarios a fuentes de abasto alternativas o el acceso de los proveedores de este servicio a clientes alternativos. No obstante, los usuarios no pueden solicitar el servicio a oferentes extranjeros, pues solo aquellos con una concesión para explotar una RPT o con una autorización para brindar servicios de telecomunicaciones en territorio nacional pueden proveer estos servicios, por lo que las opciones de los usuarios se circunscriben al territorio nacional.</w:t>
      </w:r>
      <w:r w:rsidRPr="00D931A8">
        <w:rPr>
          <w:vertAlign w:val="superscript"/>
        </w:rPr>
        <w:footnoteReference w:id="206"/>
      </w:r>
    </w:p>
    <w:p w14:paraId="539D3BEE" w14:textId="77777777" w:rsidR="00D931A8" w:rsidRPr="00D931A8" w:rsidRDefault="00D931A8" w:rsidP="009B0A36">
      <w:pPr>
        <w:pStyle w:val="Prrafodelista"/>
        <w:numPr>
          <w:ilvl w:val="0"/>
          <w:numId w:val="13"/>
        </w:numPr>
        <w:spacing w:before="120" w:after="120" w:line="240" w:lineRule="auto"/>
        <w:contextualSpacing w:val="0"/>
        <w:jc w:val="both"/>
      </w:pPr>
      <w:r w:rsidRPr="00D931A8">
        <w:t>Adicionalmente, la fracción V del artículo 58 de la LFCE señala que se deberán considerar:</w:t>
      </w:r>
    </w:p>
    <w:p w14:paraId="5210F9E5" w14:textId="77777777" w:rsidR="00D931A8" w:rsidRPr="00955543" w:rsidRDefault="00955543" w:rsidP="00955543">
      <w:pPr>
        <w:ind w:left="567" w:right="567"/>
        <w:jc w:val="both"/>
        <w:rPr>
          <w:i/>
          <w:sz w:val="20"/>
          <w:szCs w:val="20"/>
        </w:rPr>
      </w:pPr>
      <w:r w:rsidRPr="00955543">
        <w:rPr>
          <w:i/>
          <w:sz w:val="20"/>
          <w:szCs w:val="20"/>
        </w:rPr>
        <w:t xml:space="preserve">V. </w:t>
      </w:r>
      <w:r w:rsidR="00D931A8" w:rsidRPr="00955543">
        <w:rPr>
          <w:i/>
          <w:sz w:val="20"/>
          <w:szCs w:val="20"/>
        </w:rPr>
        <w:t>Los demás que se establezcan en las Disposiciones Regulatorias, así como los criterios técnicos que para tal efecto emita la Comisión.</w:t>
      </w:r>
    </w:p>
    <w:p w14:paraId="704FA2BA"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relación con esta fracción, el artículo 5 de las Disposiciones Regulatorias estable</w:t>
      </w:r>
      <w:r w:rsidR="00A55D37">
        <w:t>ce</w:t>
      </w:r>
      <w:r w:rsidRPr="00D931A8">
        <w:t xml:space="preserve"> lo siguiente:</w:t>
      </w:r>
    </w:p>
    <w:p w14:paraId="3A229FEC" w14:textId="77777777" w:rsidR="00D931A8" w:rsidRPr="00D931A8" w:rsidRDefault="00D931A8" w:rsidP="00D931A8">
      <w:pPr>
        <w:ind w:left="567" w:right="567"/>
        <w:jc w:val="both"/>
        <w:rPr>
          <w:i/>
          <w:sz w:val="20"/>
          <w:szCs w:val="20"/>
        </w:rPr>
      </w:pPr>
      <w:r w:rsidRPr="00955543">
        <w:rPr>
          <w:i/>
          <w:sz w:val="20"/>
          <w:szCs w:val="20"/>
        </w:rPr>
        <w:t>Artículo 5.</w:t>
      </w:r>
      <w:r w:rsidRPr="00D931A8">
        <w:rPr>
          <w:i/>
          <w:sz w:val="20"/>
          <w:szCs w:val="20"/>
        </w:rPr>
        <w:t xml:space="preserve"> Para la determinación del mercado relevante se deben analizar las circunstancias particulares de cada caso, identificar los bienes o servicios producidos, distribuidos, adquiridos, comercializados u ofrecidos y aquellos que los sustituyan o puedan sustituirlos oportunamente. Asimismo, se debe delimitar el área geográfica en la que se ofrecen o demandan dichos bienes o servicios, y si en la misma existe la opción de acudir indistintamente a los proveedores o clientes sin incurrir en costos significativos.</w:t>
      </w:r>
    </w:p>
    <w:p w14:paraId="5D5DFF5E" w14:textId="77777777" w:rsidR="00D931A8" w:rsidRPr="004E0B1C" w:rsidRDefault="00D931A8" w:rsidP="009B0A36">
      <w:pPr>
        <w:pStyle w:val="Prrafodelista"/>
        <w:numPr>
          <w:ilvl w:val="0"/>
          <w:numId w:val="13"/>
        </w:numPr>
        <w:spacing w:before="120" w:after="120" w:line="240" w:lineRule="auto"/>
        <w:contextualSpacing w:val="0"/>
        <w:jc w:val="both"/>
      </w:pPr>
      <w:r w:rsidRPr="00D931A8">
        <w:t xml:space="preserve">Al respecto, se </w:t>
      </w:r>
      <w:r w:rsidRPr="004E0B1C">
        <w:t xml:space="preserve">advierte que las consideraciones de este artículo ya están incorporadas en los párrafos </w:t>
      </w:r>
      <w:r w:rsidR="003E766D" w:rsidRPr="004E0B1C">
        <w:t>14</w:t>
      </w:r>
      <w:r w:rsidR="006505DE" w:rsidRPr="004E0B1C">
        <w:t>5</w:t>
      </w:r>
      <w:r w:rsidR="003E766D" w:rsidRPr="004E0B1C">
        <w:t xml:space="preserve"> </w:t>
      </w:r>
      <w:r w:rsidR="00955543" w:rsidRPr="004E0B1C">
        <w:t xml:space="preserve">a </w:t>
      </w:r>
      <w:r w:rsidR="003E766D" w:rsidRPr="004E0B1C">
        <w:t>1</w:t>
      </w:r>
      <w:r w:rsidR="006505DE" w:rsidRPr="004E0B1C">
        <w:t>76</w:t>
      </w:r>
      <w:r w:rsidR="00E96366" w:rsidRPr="004E0B1C">
        <w:t>.</w:t>
      </w:r>
    </w:p>
    <w:p w14:paraId="7A1AA2CB" w14:textId="77777777" w:rsidR="00D931A8" w:rsidRPr="00D931A8" w:rsidRDefault="00382BBB" w:rsidP="009B0A36">
      <w:pPr>
        <w:pStyle w:val="Prrafodelista"/>
        <w:numPr>
          <w:ilvl w:val="0"/>
          <w:numId w:val="13"/>
        </w:numPr>
        <w:spacing w:before="120" w:after="120" w:line="240" w:lineRule="auto"/>
        <w:contextualSpacing w:val="0"/>
        <w:jc w:val="both"/>
      </w:pPr>
      <w:r w:rsidRPr="004E0B1C">
        <w:t>De</w:t>
      </w:r>
      <w:r w:rsidR="00D931A8" w:rsidRPr="004E0B1C">
        <w:t xml:space="preserve"> lo expuesto en los párrafos </w:t>
      </w:r>
      <w:r w:rsidR="00955543" w:rsidRPr="004E0B1C">
        <w:t>14</w:t>
      </w:r>
      <w:r w:rsidR="006505DE" w:rsidRPr="004E0B1C">
        <w:t>5</w:t>
      </w:r>
      <w:r w:rsidR="00955543" w:rsidRPr="004E0B1C">
        <w:t xml:space="preserve"> a 17</w:t>
      </w:r>
      <w:r w:rsidR="006505DE" w:rsidRPr="004E0B1C">
        <w:t>9</w:t>
      </w:r>
      <w:r w:rsidR="00D931A8" w:rsidRPr="004E0B1C">
        <w:t>, se concluye que el mercado relevante corresponde a la provisión del servicio de acceso</w:t>
      </w:r>
      <w:r w:rsidR="00D931A8" w:rsidRPr="00D931A8">
        <w:t xml:space="preserve"> a internet dedicado</w:t>
      </w:r>
      <w:r>
        <w:t>,</w:t>
      </w:r>
      <w:r w:rsidR="00D931A8" w:rsidRPr="00D931A8">
        <w:t xml:space="preserve"> </w:t>
      </w:r>
      <w:r>
        <w:t xml:space="preserve">provisto </w:t>
      </w:r>
      <w:r w:rsidR="00D931A8" w:rsidRPr="00D931A8">
        <w:t xml:space="preserve">a </w:t>
      </w:r>
      <w:r w:rsidR="00D931A8" w:rsidRPr="00D931A8">
        <w:lastRenderedPageBreak/>
        <w:t>través de cualquier medio de transmisión (excepto satelital)</w:t>
      </w:r>
      <w:r>
        <w:t>,</w:t>
      </w:r>
      <w:r w:rsidR="00D2793F">
        <w:t xml:space="preserve"> con una </w:t>
      </w:r>
      <w:r w:rsidR="00D931A8" w:rsidRPr="00D931A8">
        <w:t>dimensión geográfica nacional.</w:t>
      </w:r>
    </w:p>
    <w:p w14:paraId="6AE44A4B" w14:textId="77777777" w:rsidR="00D931A8" w:rsidRPr="00D931A8" w:rsidRDefault="00430A36" w:rsidP="009B0A36">
      <w:pPr>
        <w:pStyle w:val="Ttulo3"/>
        <w:numPr>
          <w:ilvl w:val="2"/>
          <w:numId w:val="11"/>
        </w:numPr>
        <w:ind w:left="397" w:hanging="397"/>
      </w:pPr>
      <w:r w:rsidRPr="00D931A8">
        <w:t>Servicio de arrendamiento de sitios de telecomunicaciones</w:t>
      </w:r>
      <w:r w:rsidRPr="00D931A8" w:rsidDel="00430A36">
        <w:t xml:space="preserve"> </w:t>
      </w:r>
      <w:r w:rsidR="00D931A8" w:rsidRPr="00D931A8">
        <w:t xml:space="preserve"> </w:t>
      </w:r>
    </w:p>
    <w:p w14:paraId="53030586" w14:textId="77777777" w:rsidR="00D931A8" w:rsidRPr="00D931A8" w:rsidRDefault="00D931A8" w:rsidP="009B0A36">
      <w:pPr>
        <w:pStyle w:val="Ttulo4"/>
        <w:numPr>
          <w:ilvl w:val="1"/>
          <w:numId w:val="26"/>
        </w:numPr>
        <w:ind w:left="567" w:hanging="567"/>
      </w:pPr>
      <w:r w:rsidRPr="00D931A8">
        <w:t>Descripción del servicio</w:t>
      </w:r>
    </w:p>
    <w:p w14:paraId="35F7BD46" w14:textId="77777777" w:rsidR="00514DE6" w:rsidRDefault="00D931A8" w:rsidP="00514DE6">
      <w:pPr>
        <w:pStyle w:val="Prrafodelista"/>
        <w:numPr>
          <w:ilvl w:val="0"/>
          <w:numId w:val="13"/>
        </w:numPr>
        <w:spacing w:before="120" w:after="120" w:line="240" w:lineRule="auto"/>
        <w:contextualSpacing w:val="0"/>
        <w:jc w:val="both"/>
      </w:pPr>
      <w:r w:rsidRPr="004415B0">
        <w:t xml:space="preserve">El servicio de arrendamiento de sitios de telecomunicaciones corresponde al arrendamiento de espacios físicos en bienes inmuebles, </w:t>
      </w:r>
      <w:r w:rsidR="00BE6D8A">
        <w:t>que incluye tanto el</w:t>
      </w:r>
      <w:r w:rsidR="002072CF">
        <w:t xml:space="preserve"> espacio en </w:t>
      </w:r>
      <w:r w:rsidR="00BE6D8A">
        <w:t xml:space="preserve">la </w:t>
      </w:r>
      <w:r w:rsidR="002072CF">
        <w:t xml:space="preserve">torre como en el piso del sitio. En dichos espacios </w:t>
      </w:r>
      <w:r w:rsidRPr="004415B0">
        <w:t xml:space="preserve">el proveedor del servicio </w:t>
      </w:r>
      <w:r w:rsidR="00B74A17">
        <w:t>puede colocar</w:t>
      </w:r>
      <w:r w:rsidR="00B74A17" w:rsidRPr="004415B0">
        <w:t xml:space="preserve"> </w:t>
      </w:r>
      <w:r w:rsidRPr="004415B0">
        <w:t>elementos tales como torres, edificaciones, gabinetes, cobertizos, estructuras y otros bienes accesorios, para que los usuarios del servicio (</w:t>
      </w:r>
      <w:r w:rsidRPr="004E0B1C">
        <w:t xml:space="preserve">principalmente, operadores de redes de telecomunicaciones para servicios móviles) puedan instalar equipos de su propiedad para la provisión de servicios </w:t>
      </w:r>
      <w:r w:rsidR="004415B0" w:rsidRPr="004E0B1C">
        <w:t>d</w:t>
      </w:r>
      <w:r w:rsidRPr="004E0B1C">
        <w:t>e telecomunicaciones</w:t>
      </w:r>
      <w:r w:rsidR="007C3AE2" w:rsidRPr="004E0B1C">
        <w:t>.</w:t>
      </w:r>
      <w:r w:rsidRPr="004E0B1C">
        <w:rPr>
          <w:vertAlign w:val="superscript"/>
        </w:rPr>
        <w:footnoteReference w:id="207"/>
      </w:r>
      <w:r w:rsidR="005A0EB1" w:rsidRPr="004E0B1C">
        <w:rPr>
          <w:vertAlign w:val="superscript"/>
        </w:rPr>
        <w:t>,</w:t>
      </w:r>
      <w:r w:rsidR="005A0EB1" w:rsidRPr="004E0B1C">
        <w:rPr>
          <w:rStyle w:val="Refdenotaalpie"/>
        </w:rPr>
        <w:footnoteReference w:id="208"/>
      </w:r>
      <w:r w:rsidRPr="004E0B1C">
        <w:t xml:space="preserve"> </w:t>
      </w:r>
    </w:p>
    <w:p w14:paraId="7C24E6DD" w14:textId="77777777" w:rsidR="007D733C" w:rsidRDefault="00D931A8" w:rsidP="009B0A36">
      <w:pPr>
        <w:pStyle w:val="Prrafodelista"/>
        <w:keepNext/>
        <w:keepLines/>
        <w:numPr>
          <w:ilvl w:val="0"/>
          <w:numId w:val="13"/>
        </w:numPr>
        <w:spacing w:before="120" w:after="120" w:line="240" w:lineRule="auto"/>
        <w:contextualSpacing w:val="0"/>
        <w:jc w:val="both"/>
      </w:pPr>
      <w:r w:rsidRPr="004E0B1C">
        <w:t xml:space="preserve">La </w:t>
      </w:r>
      <w:r w:rsidR="00F90F23" w:rsidRPr="004E0B1C">
        <w:t>Figura 2</w:t>
      </w:r>
      <w:r w:rsidRPr="004E0B1C">
        <w:t xml:space="preserve"> muestra los principales elementos que convergen en los sitios de telecomunicaciones</w:t>
      </w:r>
      <w:r w:rsidRPr="00D931A8">
        <w:t>.</w:t>
      </w:r>
    </w:p>
    <w:p w14:paraId="2EB9B495" w14:textId="77777777" w:rsidR="00D931A8" w:rsidRDefault="00D931A8" w:rsidP="00A461C9">
      <w:pPr>
        <w:keepNext/>
        <w:keepLines/>
        <w:spacing w:after="0"/>
        <w:jc w:val="center"/>
        <w:rPr>
          <w:rFonts w:eastAsiaTheme="minorEastAsia"/>
          <w:b/>
          <w:sz w:val="18"/>
        </w:rPr>
      </w:pPr>
      <w:r w:rsidRPr="004E0B1C">
        <w:rPr>
          <w:rFonts w:eastAsiaTheme="minorEastAsia"/>
          <w:b/>
          <w:sz w:val="18"/>
        </w:rPr>
        <w:t>F</w:t>
      </w:r>
      <w:r w:rsidR="003A62C6" w:rsidRPr="004E0B1C">
        <w:rPr>
          <w:rFonts w:eastAsiaTheme="minorEastAsia"/>
          <w:b/>
          <w:sz w:val="18"/>
        </w:rPr>
        <w:t>igura 2.</w:t>
      </w:r>
      <w:r w:rsidRPr="004E0B1C">
        <w:rPr>
          <w:rFonts w:eastAsiaTheme="minorEastAsia"/>
          <w:b/>
          <w:sz w:val="18"/>
        </w:rPr>
        <w:t xml:space="preserve"> Principales</w:t>
      </w:r>
      <w:r w:rsidRPr="00D931A8">
        <w:rPr>
          <w:rFonts w:eastAsiaTheme="minorEastAsia"/>
          <w:b/>
          <w:sz w:val="18"/>
        </w:rPr>
        <w:t xml:space="preserve"> elementos que convergen en un sitio de telecomunicaciones</w:t>
      </w:r>
    </w:p>
    <w:p w14:paraId="25517B31" w14:textId="1F83AF1D" w:rsidR="00200079" w:rsidRPr="00D931A8" w:rsidRDefault="008C5AA7" w:rsidP="00A461C9">
      <w:pPr>
        <w:keepNext/>
        <w:keepLines/>
        <w:spacing w:after="0"/>
        <w:jc w:val="center"/>
      </w:pPr>
      <w:r w:rsidRPr="008C5AA7">
        <w:rPr>
          <w:noProof/>
          <w:sz w:val="16"/>
          <w:szCs w:val="20"/>
          <w:lang w:eastAsia="es-MX"/>
        </w:rPr>
        <mc:AlternateContent>
          <mc:Choice Requires="wps">
            <w:drawing>
              <wp:inline distT="0" distB="0" distL="0" distR="0" wp14:anchorId="23D182F5" wp14:editId="5C815E03">
                <wp:extent cx="3789274" cy="2106778"/>
                <wp:effectExtent l="0" t="0" r="20955" b="27305"/>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274" cy="2106778"/>
                        </a:xfrm>
                        <a:prstGeom prst="rect">
                          <a:avLst/>
                        </a:prstGeom>
                        <a:solidFill>
                          <a:srgbClr val="FFFFFF"/>
                        </a:solidFill>
                        <a:ln w="9525">
                          <a:solidFill>
                            <a:srgbClr val="000000"/>
                          </a:solidFill>
                          <a:miter lim="800000"/>
                          <a:headEnd/>
                          <a:tailEnd/>
                        </a:ln>
                      </wps:spPr>
                      <wps:txbx>
                        <w:txbxContent>
                          <w:p w14:paraId="1CF17023" w14:textId="77777777" w:rsidR="0006497B" w:rsidRPr="00850642" w:rsidRDefault="0006497B" w:rsidP="008C5AA7">
                            <w:pPr>
                              <w:jc w:val="center"/>
                              <w:rPr>
                                <w:sz w:val="36"/>
                                <w:szCs w:val="36"/>
                              </w:rPr>
                            </w:pPr>
                            <w:r w:rsidRPr="00850642">
                              <w:rPr>
                                <w:b/>
                                <w:bCs/>
                                <w:color w:val="0000CC"/>
                                <w:sz w:val="36"/>
                                <w:szCs w:val="36"/>
                              </w:rPr>
                              <w:t>“CONFIDENCIAL POR LEY”</w:t>
                            </w:r>
                          </w:p>
                        </w:txbxContent>
                      </wps:txbx>
                      <wps:bodyPr rot="0" vert="horz" wrap="square" lIns="91440" tIns="45720" rIns="91440" bIns="45720" anchor="t" anchorCtr="0">
                        <a:noAutofit/>
                      </wps:bodyPr>
                    </wps:wsp>
                  </a:graphicData>
                </a:graphic>
              </wp:inline>
            </w:drawing>
          </mc:Choice>
          <mc:Fallback>
            <w:pict>
              <v:shape w14:anchorId="23D182F5" id="_x0000_s1027" type="#_x0000_t202" style="width:298.35pt;height:1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">
                <v:textbox>
                  <w:txbxContent>
                    <w:p w14:paraId="1CF17023" w14:textId="77777777" w:rsidR="0006497B" w:rsidRPr="00850642" w:rsidRDefault="0006497B" w:rsidP="008C5AA7">
                      <w:pPr>
                        <w:jc w:val="center"/>
                        <w:rPr>
                          <w:sz w:val="36"/>
                          <w:szCs w:val="36"/>
                        </w:rPr>
                      </w:pPr>
                      <w:r w:rsidRPr="00850642">
                        <w:rPr>
                          <w:b/>
                          <w:bCs/>
                          <w:color w:val="0000CC"/>
                          <w:sz w:val="36"/>
                          <w:szCs w:val="36"/>
                        </w:rPr>
                        <w:t>“CONFIDENCIAL POR LEY”</w:t>
                      </w:r>
                    </w:p>
                  </w:txbxContent>
                </v:textbox>
                <w10:anchorlock/>
              </v:shape>
            </w:pict>
          </mc:Fallback>
        </mc:AlternateContent>
      </w:r>
    </w:p>
    <w:p w14:paraId="41EFD015" w14:textId="2CC72263" w:rsidR="00D931A8" w:rsidRPr="00D931A8" w:rsidRDefault="00D931A8" w:rsidP="00A461C9">
      <w:pPr>
        <w:keepNext/>
        <w:keepLines/>
        <w:jc w:val="both"/>
        <w:rPr>
          <w:sz w:val="16"/>
          <w:szCs w:val="20"/>
        </w:rPr>
      </w:pPr>
      <w:r w:rsidRPr="00D931A8">
        <w:rPr>
          <w:sz w:val="16"/>
          <w:szCs w:val="20"/>
        </w:rPr>
        <w:t xml:space="preserve">Fuente: Elaboración propia con base </w:t>
      </w:r>
      <w:r w:rsidR="00D1580E">
        <w:rPr>
          <w:sz w:val="16"/>
          <w:szCs w:val="20"/>
        </w:rPr>
        <w:t>en información</w:t>
      </w:r>
      <w:r w:rsidRPr="00D931A8">
        <w:rPr>
          <w:sz w:val="16"/>
          <w:szCs w:val="20"/>
        </w:rPr>
        <w:t xml:space="preserve"> </w:t>
      </w:r>
      <w:r w:rsidR="00631C9F" w:rsidRPr="008720D8">
        <w:rPr>
          <w:b/>
          <w:bCs/>
          <w:color w:val="0000CC"/>
          <w:sz w:val="16"/>
          <w:szCs w:val="16"/>
        </w:rPr>
        <w:t>“CONFIDENCIAL POR LEY”</w:t>
      </w:r>
      <w:r w:rsidRPr="00D931A8">
        <w:rPr>
          <w:sz w:val="16"/>
          <w:szCs w:val="20"/>
        </w:rPr>
        <w:t>. Fojas 2689 a 2709; 4222, 4223, 4224 y 4228 del Expediente.</w:t>
      </w:r>
    </w:p>
    <w:p w14:paraId="280E81D5"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Una torre es una estructura vertical (autosoportada, arriostrada, monopolo, mástil o soporte) construida sobre un predio o techo de edificio, diseñada para soportar antenas de telecomunicaciones de uno o varios operadores de RPT. Su instalación </w:t>
      </w:r>
      <w:r w:rsidRPr="00D931A8">
        <w:lastRenderedPageBreak/>
        <w:t>incluye una estructura de acero, cuya altura se encuentra, generalmente, en el rango de 20 (veinte) a 60 (sesenta) metros.</w:t>
      </w:r>
      <w:r w:rsidRPr="00D931A8">
        <w:rPr>
          <w:vertAlign w:val="superscript"/>
        </w:rPr>
        <w:footnoteReference w:id="209"/>
      </w:r>
    </w:p>
    <w:p w14:paraId="4F9797CD" w14:textId="2F1DAFA0" w:rsidR="00D931A8" w:rsidRPr="00D931A8" w:rsidRDefault="00D931A8" w:rsidP="009B0A36">
      <w:pPr>
        <w:pStyle w:val="Prrafodelista"/>
        <w:numPr>
          <w:ilvl w:val="0"/>
          <w:numId w:val="13"/>
        </w:numPr>
        <w:spacing w:before="120" w:after="120" w:line="240" w:lineRule="auto"/>
        <w:contextualSpacing w:val="0"/>
        <w:jc w:val="both"/>
      </w:pPr>
      <w:r w:rsidRPr="00D931A8">
        <w:t xml:space="preserve">Otros </w:t>
      </w:r>
      <w:r w:rsidRPr="004415B0">
        <w:t xml:space="preserve">componentes que suministra el oferente en los sitios de telecomunicaciones son los siguientes: i) </w:t>
      </w:r>
      <w:r w:rsidR="00D1580E" w:rsidRPr="006C0533">
        <w:rPr>
          <w:b/>
          <w:bCs/>
          <w:color w:val="0000CC"/>
        </w:rPr>
        <w:t>“CONFIDENCIAL POR LEY”</w:t>
      </w:r>
      <w:r w:rsidRPr="00D931A8">
        <w:t>.</w:t>
      </w:r>
      <w:r w:rsidRPr="00D931A8">
        <w:rPr>
          <w:vertAlign w:val="superscript"/>
        </w:rPr>
        <w:footnoteReference w:id="210"/>
      </w:r>
    </w:p>
    <w:p w14:paraId="05A781FF" w14:textId="3C930FA5" w:rsidR="00D931A8" w:rsidRPr="00D931A8" w:rsidRDefault="00D931A8" w:rsidP="009B0A36">
      <w:pPr>
        <w:pStyle w:val="Prrafodelista"/>
        <w:numPr>
          <w:ilvl w:val="0"/>
          <w:numId w:val="13"/>
        </w:numPr>
        <w:spacing w:before="120" w:after="120" w:line="240" w:lineRule="auto"/>
        <w:contextualSpacing w:val="0"/>
        <w:jc w:val="both"/>
      </w:pPr>
      <w:r w:rsidRPr="00D931A8">
        <w:t>Las antenas son el medio empleado para transmitir y recibir energía de naturaleza electromagnética.</w:t>
      </w:r>
      <w:r w:rsidRPr="00D931A8">
        <w:rPr>
          <w:vertAlign w:val="superscript"/>
        </w:rPr>
        <w:footnoteReference w:id="211"/>
      </w:r>
      <w:r w:rsidRPr="00D931A8">
        <w:t xml:space="preserve"> A través de estas, y de otros elementos de infraestructura activa, los concesionarios de RPT proveen servicios de telecomunicaciones. Las antenas y el resto de la infraestructura activa instalada en el sitio, generalmente, son propiedad del operador de RPT que arrienda el sitio, </w:t>
      </w:r>
      <w:r w:rsidR="006C0533" w:rsidRPr="006C0533">
        <w:rPr>
          <w:b/>
          <w:bCs/>
          <w:color w:val="0000CC"/>
        </w:rPr>
        <w:t>“CONFIDENCIAL POR LEY”</w:t>
      </w:r>
      <w:r w:rsidRPr="00D931A8">
        <w:t>.</w:t>
      </w:r>
      <w:r w:rsidRPr="00D931A8">
        <w:rPr>
          <w:vertAlign w:val="superscript"/>
        </w:rPr>
        <w:footnoteReference w:id="212"/>
      </w:r>
    </w:p>
    <w:p w14:paraId="0632C40B" w14:textId="77777777" w:rsidR="00D931A8" w:rsidRPr="00D931A8" w:rsidRDefault="00D931A8" w:rsidP="009B0A36">
      <w:pPr>
        <w:pStyle w:val="Prrafodelista"/>
        <w:numPr>
          <w:ilvl w:val="0"/>
          <w:numId w:val="13"/>
        </w:numPr>
        <w:spacing w:before="120" w:after="120" w:line="240" w:lineRule="auto"/>
        <w:contextualSpacing w:val="0"/>
        <w:jc w:val="both"/>
      </w:pPr>
      <w:r w:rsidRPr="00D931A8">
        <w:t>El servicio de arrendamiento de sitios de telecomunicaciones, por lo general, se acompaña de servicios complementarios, tales como estudios de factibilidad, gestión de proyectos de obra civil, adecuaciones al sitio, entre otros, los cuales facilitan la correcta prestación del servicio.</w:t>
      </w:r>
      <w:r w:rsidRPr="00D931A8">
        <w:rPr>
          <w:vertAlign w:val="superscript"/>
        </w:rPr>
        <w:footnoteReference w:id="213"/>
      </w:r>
    </w:p>
    <w:p w14:paraId="64979A82" w14:textId="77777777" w:rsidR="00D931A8" w:rsidRPr="004E0B1C" w:rsidRDefault="00D931A8" w:rsidP="009B0A36">
      <w:pPr>
        <w:pStyle w:val="Prrafodelista"/>
        <w:numPr>
          <w:ilvl w:val="0"/>
          <w:numId w:val="13"/>
        </w:numPr>
        <w:spacing w:before="120" w:after="120" w:line="240" w:lineRule="auto"/>
        <w:contextualSpacing w:val="0"/>
        <w:jc w:val="both"/>
      </w:pPr>
      <w:r w:rsidRPr="00D931A8">
        <w:t xml:space="preserve">Las solicitudes de acceso a sitios pueden ser de dos tipos: i) solicitud de acceso a un sitio existente (o coubicación) y ii) solicitud de desarrollo de un sitio de acuerdo a necesidades específicas de un cliente (o </w:t>
      </w:r>
      <w:r w:rsidRPr="00D931A8">
        <w:rPr>
          <w:i/>
        </w:rPr>
        <w:t>built-to-suit</w:t>
      </w:r>
      <w:r w:rsidRPr="00D931A8">
        <w:t xml:space="preserve">). </w:t>
      </w:r>
      <w:r w:rsidRPr="004E0B1C">
        <w:t xml:space="preserve">La </w:t>
      </w:r>
      <w:r w:rsidR="00F90F23" w:rsidRPr="004E0B1C">
        <w:t>T</w:t>
      </w:r>
      <w:r w:rsidRPr="004E0B1C">
        <w:t>abla</w:t>
      </w:r>
      <w:r w:rsidR="00F90F23" w:rsidRPr="004E0B1C">
        <w:t xml:space="preserve"> 8</w:t>
      </w:r>
      <w:r w:rsidRPr="004E0B1C">
        <w:t xml:space="preserve"> muestra el procedimiento general para dar trámite a una solicitud.</w:t>
      </w:r>
    </w:p>
    <w:p w14:paraId="270F5621" w14:textId="77777777" w:rsidR="00D931A8" w:rsidRPr="00D931A8" w:rsidRDefault="003A62C6" w:rsidP="004415B0">
      <w:pPr>
        <w:keepNext/>
        <w:numPr>
          <w:ilvl w:val="1"/>
          <w:numId w:val="0"/>
        </w:numPr>
        <w:spacing w:after="0"/>
        <w:jc w:val="center"/>
        <w:rPr>
          <w:rFonts w:eastAsiaTheme="minorEastAsia"/>
          <w:b/>
          <w:sz w:val="18"/>
        </w:rPr>
      </w:pPr>
      <w:r w:rsidRPr="004E0B1C">
        <w:rPr>
          <w:rFonts w:eastAsiaTheme="minorEastAsia"/>
          <w:b/>
          <w:sz w:val="18"/>
        </w:rPr>
        <w:t>Tabla 8</w:t>
      </w:r>
      <w:r w:rsidR="00D931A8" w:rsidRPr="004E0B1C">
        <w:rPr>
          <w:rFonts w:eastAsiaTheme="minorEastAsia"/>
          <w:b/>
          <w:sz w:val="18"/>
        </w:rPr>
        <w:t xml:space="preserve">. Trámite de acuerdo al tipo de solicitud: coubicación y </w:t>
      </w:r>
      <w:r w:rsidR="00D931A8" w:rsidRPr="004E0B1C">
        <w:rPr>
          <w:rFonts w:eastAsiaTheme="minorEastAsia"/>
          <w:b/>
          <w:i/>
          <w:sz w:val="18"/>
        </w:rPr>
        <w:t>built-to-suit</w:t>
      </w:r>
    </w:p>
    <w:tbl>
      <w:tblPr>
        <w:tblStyle w:val="Tablaconcuadrcula7"/>
        <w:tblW w:w="8788" w:type="dxa"/>
        <w:tblLook w:val="04A0" w:firstRow="1" w:lastRow="0" w:firstColumn="1" w:lastColumn="0" w:noHBand="0" w:noVBand="1"/>
        <w:tblCaption w:val="Tabla 8. Trámite de acuerdo al tipo de solicitud: coubicación y built-to-suit"/>
        <w:tblDescription w:val="Tabla que describe los principales trámites que se requieren de acuerdo al tipo de solicitud de acceso al sitio de telecomunicaciones"/>
      </w:tblPr>
      <w:tblGrid>
        <w:gridCol w:w="4394"/>
        <w:gridCol w:w="4394"/>
      </w:tblGrid>
      <w:tr w:rsidR="00D931A8" w:rsidRPr="00D931A8" w14:paraId="7EECDFAF" w14:textId="77777777" w:rsidTr="00201152">
        <w:trPr>
          <w:trHeight w:val="20"/>
          <w:tblHeader/>
        </w:trPr>
        <w:tc>
          <w:tcPr>
            <w:tcW w:w="4394" w:type="dxa"/>
            <w:shd w:val="clear" w:color="auto" w:fill="1F3864" w:themeFill="accent5" w:themeFillShade="80"/>
          </w:tcPr>
          <w:p w14:paraId="1267EEDB" w14:textId="77777777" w:rsidR="00D931A8" w:rsidRPr="00D931A8" w:rsidRDefault="00D931A8" w:rsidP="004415B0">
            <w:pPr>
              <w:keepNext/>
              <w:spacing w:after="0"/>
              <w:ind w:left="171"/>
              <w:jc w:val="center"/>
              <w:rPr>
                <w:sz w:val="18"/>
                <w:szCs w:val="18"/>
              </w:rPr>
            </w:pPr>
            <w:r w:rsidRPr="00D931A8">
              <w:rPr>
                <w:sz w:val="18"/>
                <w:szCs w:val="18"/>
              </w:rPr>
              <w:t>Solicitud de sitio existente (o coubicación)</w:t>
            </w:r>
          </w:p>
        </w:tc>
        <w:tc>
          <w:tcPr>
            <w:tcW w:w="4394" w:type="dxa"/>
            <w:shd w:val="clear" w:color="auto" w:fill="1F3864" w:themeFill="accent5" w:themeFillShade="80"/>
          </w:tcPr>
          <w:p w14:paraId="38430A3F" w14:textId="77777777" w:rsidR="00D931A8" w:rsidRPr="00D931A8" w:rsidRDefault="00D931A8" w:rsidP="004415B0">
            <w:pPr>
              <w:keepNext/>
              <w:spacing w:after="0"/>
              <w:ind w:left="133"/>
              <w:jc w:val="center"/>
              <w:rPr>
                <w:sz w:val="18"/>
                <w:szCs w:val="18"/>
              </w:rPr>
            </w:pPr>
            <w:r w:rsidRPr="00D931A8">
              <w:rPr>
                <w:sz w:val="18"/>
                <w:szCs w:val="18"/>
              </w:rPr>
              <w:t xml:space="preserve">Solicitud de sitio a la medida (o </w:t>
            </w:r>
            <w:r w:rsidRPr="00D931A8">
              <w:rPr>
                <w:i/>
                <w:sz w:val="18"/>
                <w:szCs w:val="18"/>
              </w:rPr>
              <w:t>built-to-suit)</w:t>
            </w:r>
          </w:p>
        </w:tc>
      </w:tr>
      <w:tr w:rsidR="00631C9F" w:rsidRPr="00D931A8" w14:paraId="012EA7F5" w14:textId="77777777" w:rsidTr="004415B0">
        <w:trPr>
          <w:trHeight w:val="2752"/>
        </w:trPr>
        <w:tc>
          <w:tcPr>
            <w:tcW w:w="4394" w:type="dxa"/>
          </w:tcPr>
          <w:p w14:paraId="604E43BE" w14:textId="77777777" w:rsidR="00631C9F" w:rsidRDefault="00631C9F" w:rsidP="00631C9F">
            <w:r w:rsidRPr="008B2ECA">
              <w:rPr>
                <w:b/>
                <w:bCs/>
                <w:color w:val="0000CC"/>
                <w:sz w:val="16"/>
                <w:szCs w:val="16"/>
              </w:rPr>
              <w:t>“CONFIDENCIAL POR LEY”</w:t>
            </w:r>
          </w:p>
        </w:tc>
        <w:tc>
          <w:tcPr>
            <w:tcW w:w="4394" w:type="dxa"/>
          </w:tcPr>
          <w:p w14:paraId="3589C3F0" w14:textId="77777777" w:rsidR="00631C9F" w:rsidRDefault="00631C9F" w:rsidP="00631C9F">
            <w:r w:rsidRPr="008B2ECA">
              <w:rPr>
                <w:b/>
                <w:bCs/>
                <w:color w:val="0000CC"/>
                <w:sz w:val="16"/>
                <w:szCs w:val="16"/>
              </w:rPr>
              <w:t>“CONFIDENCIAL POR LEY”</w:t>
            </w:r>
          </w:p>
        </w:tc>
      </w:tr>
    </w:tbl>
    <w:p w14:paraId="75EE0657" w14:textId="77777777" w:rsidR="00D931A8" w:rsidRPr="00D931A8" w:rsidRDefault="00D931A8" w:rsidP="00D931A8">
      <w:pPr>
        <w:tabs>
          <w:tab w:val="left" w:pos="4962"/>
        </w:tabs>
        <w:jc w:val="both"/>
        <w:rPr>
          <w:sz w:val="16"/>
          <w:szCs w:val="20"/>
        </w:rPr>
      </w:pPr>
      <w:r w:rsidRPr="00D931A8">
        <w:rPr>
          <w:sz w:val="16"/>
          <w:szCs w:val="20"/>
        </w:rPr>
        <w:t xml:space="preserve">Fuente: Elaboración propia con base en información proporcionada por </w:t>
      </w:r>
      <w:r w:rsidR="00631C9F" w:rsidRPr="008720D8">
        <w:rPr>
          <w:b/>
          <w:bCs/>
          <w:color w:val="0000CC"/>
          <w:sz w:val="16"/>
          <w:szCs w:val="16"/>
        </w:rPr>
        <w:t>“CONFIDENCIAL POR LEY”</w:t>
      </w:r>
      <w:r w:rsidRPr="00D931A8">
        <w:rPr>
          <w:sz w:val="16"/>
          <w:szCs w:val="20"/>
        </w:rPr>
        <w:t>. Fojas 7182 y 7183 del Expediente.</w:t>
      </w:r>
    </w:p>
    <w:p w14:paraId="47763B7B" w14:textId="77777777" w:rsidR="00D931A8" w:rsidRDefault="00D931A8" w:rsidP="009B0A36">
      <w:pPr>
        <w:pStyle w:val="Prrafodelista"/>
        <w:numPr>
          <w:ilvl w:val="0"/>
          <w:numId w:val="13"/>
        </w:numPr>
        <w:spacing w:before="120" w:after="120" w:line="240" w:lineRule="auto"/>
        <w:contextualSpacing w:val="0"/>
        <w:jc w:val="both"/>
      </w:pPr>
      <w:r w:rsidRPr="00D931A8">
        <w:lastRenderedPageBreak/>
        <w:t>El precio del servicio de arrendamiento de sitios de telecomunicaciones incluye dos cobros: uno por el espacio en la torre y otro por el espacio en el piso. El servicio se cobra de manera mensual y se ajusta anualmente, tomando en cuenta la inflación.</w:t>
      </w:r>
    </w:p>
    <w:p w14:paraId="1DD4B713" w14:textId="296AD8C7" w:rsidR="00D931A8" w:rsidRPr="00D931A8" w:rsidRDefault="006C0533" w:rsidP="009B0A36">
      <w:pPr>
        <w:pStyle w:val="Prrafodelista"/>
        <w:numPr>
          <w:ilvl w:val="0"/>
          <w:numId w:val="13"/>
        </w:numPr>
        <w:spacing w:before="120" w:after="120" w:line="240" w:lineRule="auto"/>
        <w:contextualSpacing w:val="0"/>
        <w:jc w:val="both"/>
      </w:pPr>
      <w:r w:rsidRPr="006C0533">
        <w:rPr>
          <w:b/>
          <w:bCs/>
          <w:color w:val="0000CC"/>
        </w:rPr>
        <w:t>“CONFIDENCIAL POR LEY”</w:t>
      </w:r>
      <w:r w:rsidR="00D931A8" w:rsidRPr="00D931A8">
        <w:t>.</w:t>
      </w:r>
      <w:r w:rsidR="00D931A8" w:rsidRPr="00D931A8">
        <w:rPr>
          <w:vertAlign w:val="superscript"/>
        </w:rPr>
        <w:footnoteReference w:id="214"/>
      </w:r>
      <w:r w:rsidR="00D931A8" w:rsidRPr="00D931A8">
        <w:rPr>
          <w:vertAlign w:val="superscript"/>
        </w:rPr>
        <w:t>,</w:t>
      </w:r>
      <w:r w:rsidR="00D931A8" w:rsidRPr="00D931A8">
        <w:rPr>
          <w:vertAlign w:val="superscript"/>
        </w:rPr>
        <w:footnoteReference w:id="215"/>
      </w:r>
    </w:p>
    <w:p w14:paraId="04802222" w14:textId="0EDB20F7" w:rsidR="00D931A8" w:rsidRPr="00D931A8" w:rsidRDefault="006C0533" w:rsidP="009B0A36">
      <w:pPr>
        <w:pStyle w:val="Prrafodelista"/>
        <w:numPr>
          <w:ilvl w:val="0"/>
          <w:numId w:val="13"/>
        </w:numPr>
        <w:spacing w:before="120" w:after="120" w:line="240" w:lineRule="auto"/>
        <w:contextualSpacing w:val="0"/>
        <w:jc w:val="both"/>
      </w:pPr>
      <w:r w:rsidRPr="006C0533">
        <w:rPr>
          <w:b/>
          <w:bCs/>
          <w:color w:val="0000CC"/>
        </w:rPr>
        <w:t>“CONFIDENCIAL POR LEY”</w:t>
      </w:r>
      <w:r w:rsidR="00D931A8" w:rsidRPr="00D931A8">
        <w:t>.</w:t>
      </w:r>
    </w:p>
    <w:p w14:paraId="42AA17BE" w14:textId="77777777" w:rsidR="00D931A8" w:rsidRPr="00D931A8" w:rsidRDefault="00D931A8" w:rsidP="009B0A36">
      <w:pPr>
        <w:pStyle w:val="Ttulo4"/>
        <w:numPr>
          <w:ilvl w:val="1"/>
          <w:numId w:val="26"/>
        </w:numPr>
        <w:ind w:left="567" w:hanging="567"/>
      </w:pPr>
      <w:r w:rsidRPr="00D931A8">
        <w:t>Oferentes y demandantes del servicio</w:t>
      </w:r>
    </w:p>
    <w:p w14:paraId="125DA001" w14:textId="77777777" w:rsidR="00D931A8" w:rsidRPr="00E53BB7" w:rsidRDefault="00D931A8" w:rsidP="009B0A36">
      <w:pPr>
        <w:pStyle w:val="Prrafodelista"/>
        <w:numPr>
          <w:ilvl w:val="0"/>
          <w:numId w:val="13"/>
        </w:numPr>
        <w:spacing w:before="120" w:after="120" w:line="240" w:lineRule="auto"/>
        <w:contextualSpacing w:val="0"/>
        <w:jc w:val="both"/>
      </w:pPr>
      <w:r w:rsidRPr="00D931A8">
        <w:t xml:space="preserve">Los oferentes del servicio de arrendamiento de sitios de telecomunicaciones pueden ser concesionarios </w:t>
      </w:r>
      <w:r w:rsidRPr="00E53BB7">
        <w:t xml:space="preserve">de RPT o empresas especializadas en la provisión de sitios que no operan redes de telecomunicaciones. </w:t>
      </w:r>
    </w:p>
    <w:p w14:paraId="2CD000E2" w14:textId="77777777" w:rsidR="00D931A8" w:rsidRPr="00E219B7" w:rsidRDefault="00D931A8" w:rsidP="009B0A36">
      <w:pPr>
        <w:pStyle w:val="Prrafodelista"/>
        <w:numPr>
          <w:ilvl w:val="0"/>
          <w:numId w:val="13"/>
        </w:numPr>
        <w:spacing w:before="120" w:after="120" w:line="240" w:lineRule="auto"/>
        <w:contextualSpacing w:val="0"/>
        <w:jc w:val="both"/>
      </w:pPr>
      <w:r w:rsidRPr="00D931A8">
        <w:t>Por un lado, existen concesionarios de RPT, verticalmente integrados, que son propietarios, administradores y usuarios de sus propios sitios de telecomunicaciones, y que podrían ofrecer el servicio de arrendamiento de sitios a otros operadores. No obstante, a partir de la información que obra en el Expediente, se advierte que, generalmente, los operadores de RPT verticalmente integrados no proveen este servicio a sus competidores,</w:t>
      </w:r>
      <w:r w:rsidRPr="00D931A8">
        <w:rPr>
          <w:vertAlign w:val="superscript"/>
        </w:rPr>
        <w:footnoteReference w:id="216"/>
      </w:r>
      <w:r w:rsidRPr="00D931A8">
        <w:t xml:space="preserve"> con excepción del AEP, el cual está obligado a </w:t>
      </w:r>
      <w:r w:rsidRPr="00E219B7">
        <w:t>prestarlo.</w:t>
      </w:r>
      <w:r w:rsidRPr="00E219B7">
        <w:rPr>
          <w:vertAlign w:val="superscript"/>
        </w:rPr>
        <w:footnoteReference w:id="217"/>
      </w:r>
    </w:p>
    <w:p w14:paraId="42BEB29F" w14:textId="77777777" w:rsidR="00D931A8" w:rsidRPr="00E219B7" w:rsidRDefault="00D931A8" w:rsidP="009B0A36">
      <w:pPr>
        <w:pStyle w:val="Prrafodelista"/>
        <w:numPr>
          <w:ilvl w:val="0"/>
          <w:numId w:val="13"/>
        </w:numPr>
        <w:spacing w:before="120" w:after="120" w:line="240" w:lineRule="auto"/>
        <w:contextualSpacing w:val="0"/>
        <w:jc w:val="both"/>
      </w:pPr>
      <w:r w:rsidRPr="00E219B7">
        <w:t>Por otro lado, en la provisión del servicio también participan empresas que no cuentan con títulos de concesión y que tienen como principal actividad el desarrollo y administración de sitios de telecomunicaciones, los cuales arriendan a los operadores de RPT; tal es el caso de ATC (hasta antes de la Operación) y MTP.</w:t>
      </w:r>
    </w:p>
    <w:p w14:paraId="28D75368" w14:textId="74102B09" w:rsidR="00CE1963" w:rsidRDefault="00D931A8" w:rsidP="009B0A36">
      <w:pPr>
        <w:pStyle w:val="Prrafodelista"/>
        <w:numPr>
          <w:ilvl w:val="0"/>
          <w:numId w:val="13"/>
        </w:numPr>
        <w:spacing w:before="120" w:after="120" w:line="240" w:lineRule="auto"/>
        <w:contextualSpacing w:val="0"/>
        <w:jc w:val="both"/>
      </w:pPr>
      <w:r w:rsidRPr="00E219B7">
        <w:t>De acuerdo con la información que consta en el Expediente, en los últimos años, algunos operadores de RPT han cedido parcialmente, a empresas especializa</w:t>
      </w:r>
      <w:r w:rsidR="00E219B7" w:rsidRPr="00E219B7">
        <w:t>das</w:t>
      </w:r>
      <w:r w:rsidRPr="00E219B7">
        <w:t xml:space="preserve"> en la provisión de sitios, las tareas de desarrollar, administrar y dar mantenimiento a los sitios de telecomunicaciones.</w:t>
      </w:r>
      <w:r w:rsidRPr="00E219B7">
        <w:rPr>
          <w:vertAlign w:val="superscript"/>
        </w:rPr>
        <w:footnoteReference w:id="218"/>
      </w:r>
      <w:r w:rsidRPr="00E219B7">
        <w:t xml:space="preserve"> En este contexto, se reconocen varias operaciones previas entre operadores de RPT y ATC, mediante las cuales los </w:t>
      </w:r>
      <w:r w:rsidRPr="00E219B7">
        <w:lastRenderedPageBreak/>
        <w:t>primeros vendieron sus sitios de telecomunicaciones a ATC.</w:t>
      </w:r>
      <w:r w:rsidRPr="00E219B7">
        <w:rPr>
          <w:vertAlign w:val="superscript"/>
        </w:rPr>
        <w:footnoteReference w:id="219"/>
      </w:r>
      <w:r w:rsidRPr="00E219B7">
        <w:t xml:space="preserve"> Ello se</w:t>
      </w:r>
      <w:r w:rsidRPr="00D931A8">
        <w:t xml:space="preserve"> explica por </w:t>
      </w:r>
      <w:r w:rsidR="00A159F9" w:rsidRPr="00A159F9">
        <w:rPr>
          <w:b/>
          <w:bCs/>
          <w:color w:val="0000CC"/>
        </w:rPr>
        <w:t>“CONFIDENCIAL POR LEY”</w:t>
      </w:r>
      <w:r w:rsidRPr="00D931A8">
        <w:t>,</w:t>
      </w:r>
      <w:r w:rsidR="00530EC0" w:rsidRPr="00530EC0">
        <w:rPr>
          <w:vertAlign w:val="superscript"/>
        </w:rPr>
        <w:t xml:space="preserve"> </w:t>
      </w:r>
      <w:r w:rsidR="00530EC0" w:rsidRPr="00D931A8">
        <w:rPr>
          <w:vertAlign w:val="superscript"/>
        </w:rPr>
        <w:footnoteReference w:id="220"/>
      </w:r>
      <w:r w:rsidR="00530EC0" w:rsidRPr="00D931A8">
        <w:t xml:space="preserve"> </w:t>
      </w:r>
      <w:r w:rsidR="00A159F9" w:rsidRPr="00A159F9">
        <w:rPr>
          <w:b/>
          <w:bCs/>
          <w:color w:val="0000CC"/>
        </w:rPr>
        <w:t>“CONFIDENCIAL POR LEY”</w:t>
      </w:r>
      <w:r w:rsidRPr="00D931A8">
        <w:t>.</w:t>
      </w:r>
      <w:r w:rsidRPr="00D931A8">
        <w:rPr>
          <w:vertAlign w:val="superscript"/>
        </w:rPr>
        <w:footnoteReference w:id="221"/>
      </w:r>
    </w:p>
    <w:p w14:paraId="67A787DB" w14:textId="0D137ECA" w:rsidR="00D931A8" w:rsidRPr="00CE1963" w:rsidRDefault="00D931A8" w:rsidP="009B0A36">
      <w:pPr>
        <w:pStyle w:val="Prrafodelista"/>
        <w:numPr>
          <w:ilvl w:val="0"/>
          <w:numId w:val="13"/>
        </w:numPr>
        <w:spacing w:before="120" w:after="120" w:line="240" w:lineRule="auto"/>
        <w:contextualSpacing w:val="0"/>
        <w:jc w:val="both"/>
      </w:pPr>
      <w:r w:rsidRPr="00D931A8">
        <w:t xml:space="preserve">Los principales oferentes del servicio cuentan con un amplio portafolio de sitios distribuidos en todo el territorio nacional y arriendan los sitios en forma no exclusiva a uno o más operadores de RPT. Los oferentes </w:t>
      </w:r>
      <w:r w:rsidR="00297CA2" w:rsidRPr="00A159F9">
        <w:rPr>
          <w:b/>
          <w:bCs/>
          <w:color w:val="0000CC"/>
        </w:rPr>
        <w:t>“CONFIDENCIAL POR LEY”</w:t>
      </w:r>
      <w:r w:rsidRPr="00D931A8">
        <w:t>.</w:t>
      </w:r>
      <w:r w:rsidRPr="00D931A8">
        <w:rPr>
          <w:vertAlign w:val="superscript"/>
        </w:rPr>
        <w:footnoteReference w:id="222"/>
      </w:r>
    </w:p>
    <w:p w14:paraId="2113DCEA"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principales demandantes del servicio de arrendamiento de sitios de telecomunicaciones son los operadores que proveen servicios móviles.</w:t>
      </w:r>
      <w:r w:rsidRPr="00D931A8">
        <w:rPr>
          <w:vertAlign w:val="superscript"/>
        </w:rPr>
        <w:footnoteReference w:id="223"/>
      </w:r>
      <w:r w:rsidRPr="00D931A8">
        <w:t xml:space="preserve"> Otros demandantes de menor importancia son: operadores que proveen servicios de telecomunicaciones fijos (a través de medios inalámbricos), operadores de redes de radiodifusión y usuarios de frecuencias libres.</w:t>
      </w:r>
    </w:p>
    <w:p w14:paraId="120EB642"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operadores de RPT móviles demandan el servicio con el fin de incrementar la cobertura y la capacidad de sus redes.</w:t>
      </w:r>
      <w:r w:rsidRPr="00D931A8">
        <w:rPr>
          <w:vertAlign w:val="superscript"/>
        </w:rPr>
        <w:footnoteReference w:id="224"/>
      </w:r>
      <w:r w:rsidRPr="00D931A8">
        <w:t xml:space="preserve"> En este sentido, la demanda por sitios de telecomunicaciones es una demanda derivada de los servicios de telecomunicaciones para usuarios finales. Por lo anterior, conforme se incrementa la demanda del servicio de telefonía móvil (STM) y del servicio de banda ancha móvil (SBAM) en nuevas localidades, o se incrementa la demanda por aplicaciones que requieren un mayor ancho de banda o mayor calidad del servicio, los operadores de RPT móviles requieren invertir en redes más extensas y densas, por lo cual su demanda por sitios también se incrementa.</w:t>
      </w:r>
    </w:p>
    <w:p w14:paraId="5972ACC2" w14:textId="77777777" w:rsidR="00D931A8" w:rsidRPr="00D931A8" w:rsidRDefault="00D931A8" w:rsidP="009B0A36">
      <w:pPr>
        <w:pStyle w:val="Prrafodelista"/>
        <w:numPr>
          <w:ilvl w:val="0"/>
          <w:numId w:val="13"/>
        </w:numPr>
        <w:spacing w:before="120" w:after="120" w:line="240" w:lineRule="auto"/>
        <w:contextualSpacing w:val="0"/>
        <w:jc w:val="both"/>
      </w:pPr>
      <w:r w:rsidRPr="00D931A8">
        <w:t>Dado que los operadores de RPT móviles más importantes proveen servicios a nivel nacional, demandan el servicio de arrendamiento de sitios de telecomunicaciones en todo el país o gran parte de este.</w:t>
      </w:r>
    </w:p>
    <w:p w14:paraId="1F5A83D1" w14:textId="77777777" w:rsidR="00D931A8" w:rsidRPr="00D931A8" w:rsidRDefault="00D931A8" w:rsidP="009B0A36">
      <w:pPr>
        <w:pStyle w:val="Ttulo4"/>
        <w:numPr>
          <w:ilvl w:val="1"/>
          <w:numId w:val="26"/>
        </w:numPr>
        <w:ind w:left="567" w:hanging="567"/>
      </w:pPr>
      <w:r w:rsidRPr="00D931A8">
        <w:t xml:space="preserve">Servicios sustitutos </w:t>
      </w:r>
    </w:p>
    <w:p w14:paraId="6E7FADA2"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De acuerdo con el artículo 58, fracción I de la LFCE, para la determinación del mercado relevante deberá considerarse lo siguiente: </w:t>
      </w:r>
    </w:p>
    <w:p w14:paraId="33350F59" w14:textId="77777777" w:rsidR="00D931A8" w:rsidRPr="00D931A8" w:rsidRDefault="00D931A8" w:rsidP="00D931A8">
      <w:pPr>
        <w:ind w:left="567" w:right="567"/>
        <w:jc w:val="both"/>
        <w:rPr>
          <w:i/>
          <w:iCs/>
          <w:sz w:val="20"/>
        </w:rPr>
      </w:pPr>
      <w:r w:rsidRPr="00D931A8">
        <w:rPr>
          <w:i/>
          <w:iCs/>
          <w:sz w:val="20"/>
        </w:rPr>
        <w:lastRenderedPageBreak/>
        <w:t xml:space="preserve">I. Las posibilidades de sustituir el bien o servicio de que se trate por otros, tanto de origen nacional como extranjero, considerando las posibilidades tecnológicas, en qué medida los consumidores cuentan con sustitutos y el tiempo requerido para tal sustitución; </w:t>
      </w:r>
    </w:p>
    <w:p w14:paraId="159A879A" w14:textId="77777777" w:rsidR="00D931A8" w:rsidRPr="00DF695B" w:rsidRDefault="00D931A8" w:rsidP="009B0A36">
      <w:pPr>
        <w:pStyle w:val="Ttulo5"/>
        <w:numPr>
          <w:ilvl w:val="2"/>
          <w:numId w:val="26"/>
        </w:numPr>
        <w:jc w:val="both"/>
        <w:rPr>
          <w:b/>
          <w:i w:val="0"/>
        </w:rPr>
      </w:pPr>
      <w:r w:rsidRPr="00DF695B">
        <w:rPr>
          <w:b/>
          <w:i w:val="0"/>
        </w:rPr>
        <w:t>Sustitución entre sitios de telecomunicaciones y sitios de radiodifusión</w:t>
      </w:r>
    </w:p>
    <w:p w14:paraId="6450D03F" w14:textId="77777777" w:rsidR="00D931A8" w:rsidRPr="00D931A8" w:rsidRDefault="00D931A8" w:rsidP="009B0A36">
      <w:pPr>
        <w:pStyle w:val="Prrafodelista"/>
        <w:numPr>
          <w:ilvl w:val="0"/>
          <w:numId w:val="13"/>
        </w:numPr>
        <w:spacing w:before="120" w:after="120" w:line="240" w:lineRule="auto"/>
        <w:contextualSpacing w:val="0"/>
        <w:jc w:val="both"/>
      </w:pPr>
      <w:r w:rsidRPr="00D931A8">
        <w:t>Las redes de telecomunicaciones y las redes de radiodifusión requieren de sitios para soportar su infraestructura activa. No obstante, dependiendo del tipo de red, los requerimientos del sitio suelen ser distintos.</w:t>
      </w:r>
    </w:p>
    <w:p w14:paraId="0B51EEA9"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sitios de radiodifusión son, por lo general, estructuras elevadas, construidas en lugares altos que tienen una gran potencia de transmisión (</w:t>
      </w:r>
      <w:r w:rsidRPr="00D931A8">
        <w:rPr>
          <w:u w:val="single"/>
        </w:rPr>
        <w:t>decenas de kilovatios</w:t>
      </w:r>
      <w:r w:rsidRPr="00D931A8">
        <w:t>); de manera que, con un número limitado de sitios o emplazamientos, pueden alcanzar una cobertura geográfica muy superior a la requerida por las redes a través de las que se proveen los servicios de telecomunicaciones móviles.</w:t>
      </w:r>
      <w:r w:rsidRPr="00D931A8">
        <w:rPr>
          <w:vertAlign w:val="superscript"/>
        </w:rPr>
        <w:footnoteReference w:id="225"/>
      </w:r>
    </w:p>
    <w:p w14:paraId="613D80D7" w14:textId="77777777" w:rsidR="00D931A8" w:rsidRPr="00D931A8" w:rsidRDefault="00D931A8" w:rsidP="009B0A36">
      <w:pPr>
        <w:pStyle w:val="Prrafodelista"/>
        <w:numPr>
          <w:ilvl w:val="0"/>
          <w:numId w:val="13"/>
        </w:numPr>
        <w:spacing w:before="120" w:after="120" w:line="240" w:lineRule="auto"/>
        <w:contextualSpacing w:val="0"/>
        <w:jc w:val="both"/>
      </w:pPr>
      <w:r w:rsidRPr="00D931A8">
        <w:t>Por consideraciones técnicas, las redes móviles se configuran en sistemas de “celdas” o “células”.</w:t>
      </w:r>
      <w:r w:rsidRPr="00D931A8">
        <w:rPr>
          <w:vertAlign w:val="superscript"/>
        </w:rPr>
        <w:footnoteReference w:id="226"/>
      </w:r>
      <w:r w:rsidRPr="00D931A8">
        <w:t xml:space="preserve"> Este tipo de sistemas requieren de una cantidad de sitios mucho mayor a la que requieren las redes de radiodifusión; la potencia de los equipos de una red móvil es de tan solo de </w:t>
      </w:r>
      <w:r w:rsidRPr="00D931A8">
        <w:rPr>
          <w:u w:val="single"/>
        </w:rPr>
        <w:t>decenas de vatios,</w:t>
      </w:r>
      <w:r w:rsidRPr="00D931A8">
        <w:t xml:space="preserve"> muy inferior a la de los equipos de una red de radiodifusión.</w:t>
      </w:r>
      <w:r w:rsidRPr="00D931A8">
        <w:rPr>
          <w:vertAlign w:val="superscript"/>
        </w:rPr>
        <w:footnoteReference w:id="227"/>
      </w:r>
      <w:r w:rsidRPr="00D931A8">
        <w:t xml:space="preserve"> El número de sitios, la potencia de transmisión de los equipos y el número de células dependerá del nivel de capacidad de red que se necesite en cada zona geográfica.</w:t>
      </w:r>
      <w:r w:rsidRPr="00D931A8">
        <w:rPr>
          <w:vertAlign w:val="superscript"/>
        </w:rPr>
        <w:footnoteReference w:id="228"/>
      </w:r>
      <w:r w:rsidRPr="00D931A8">
        <w:t xml:space="preserve"> </w:t>
      </w:r>
    </w:p>
    <w:p w14:paraId="0F84A1D5" w14:textId="77777777" w:rsidR="00D931A8" w:rsidRPr="00D931A8" w:rsidRDefault="00D931A8" w:rsidP="009B0A36">
      <w:pPr>
        <w:pStyle w:val="Prrafodelista"/>
        <w:numPr>
          <w:ilvl w:val="0"/>
          <w:numId w:val="13"/>
        </w:numPr>
        <w:spacing w:before="120" w:after="120" w:line="240" w:lineRule="auto"/>
        <w:contextualSpacing w:val="0"/>
        <w:jc w:val="both"/>
      </w:pPr>
      <w:r w:rsidRPr="00D931A8">
        <w:t>Estas diferencias técnicas sugieren que los sitios de radiodifusión no son sustitutos de los sitios de telecomunicaciones.</w:t>
      </w:r>
    </w:p>
    <w:p w14:paraId="6E41272B"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Desde el punto de vista de la oferta, los operadores de redes de radiodifusión tienen poca capacidad para incrementar la oferta de sitios de telecomunicaciones, ya que, como se señaló anteriormente, estos operadores requieren de pocos sitios para cubrir una zona geográfica amplia, en comparación con el número de sitios que necesitan los operadores de RPT móviles. </w:t>
      </w:r>
    </w:p>
    <w:p w14:paraId="54887EB4" w14:textId="77777777" w:rsidR="00D931A8" w:rsidRPr="00D931A8" w:rsidRDefault="00D931A8" w:rsidP="009B0A36">
      <w:pPr>
        <w:pStyle w:val="Prrafodelista"/>
        <w:numPr>
          <w:ilvl w:val="0"/>
          <w:numId w:val="13"/>
        </w:numPr>
        <w:spacing w:before="120" w:after="120" w:line="240" w:lineRule="auto"/>
        <w:contextualSpacing w:val="0"/>
        <w:jc w:val="both"/>
      </w:pPr>
      <w:r w:rsidRPr="00D931A8">
        <w:t>Desde el punto de vista de la demanda, las torres de radiodifusión, por su ubicación y características, no resultan adecuadas y/o suficientes para satisfacer las necesidades de los operadores de RPT móviles.</w:t>
      </w:r>
    </w:p>
    <w:p w14:paraId="13719064" w14:textId="77777777" w:rsidR="00D931A8" w:rsidRPr="00D931A8" w:rsidRDefault="00D931A8" w:rsidP="009B0A36">
      <w:pPr>
        <w:pStyle w:val="Prrafodelista"/>
        <w:numPr>
          <w:ilvl w:val="0"/>
          <w:numId w:val="13"/>
        </w:numPr>
        <w:spacing w:before="120" w:after="120" w:line="240" w:lineRule="auto"/>
        <w:contextualSpacing w:val="0"/>
        <w:jc w:val="both"/>
      </w:pPr>
      <w:r w:rsidRPr="00D931A8">
        <w:lastRenderedPageBreak/>
        <w:t>Adicionalmente, de la información que consta en el expediente, se advierte que los concesionarios de redes de telecomunicaciones, en general, no recurren a concesionarios de redes de radiodifusión para solicitar acceso a sus sitios, y en su lugar, recurren a la auto provisión y a oferentes especializados en sitios de telecomunicaciones como Opsimex, ATC y MTP.</w:t>
      </w:r>
      <w:r w:rsidRPr="00D931A8">
        <w:rPr>
          <w:vertAlign w:val="superscript"/>
        </w:rPr>
        <w:footnoteReference w:id="229"/>
      </w:r>
      <w:r w:rsidRPr="00D931A8">
        <w:t xml:space="preserve"> </w:t>
      </w:r>
    </w:p>
    <w:p w14:paraId="06BD0D5F" w14:textId="77777777" w:rsidR="00C01097" w:rsidRPr="00D931A8" w:rsidRDefault="00D931A8" w:rsidP="00C01097">
      <w:pPr>
        <w:pStyle w:val="Prrafodelista"/>
        <w:numPr>
          <w:ilvl w:val="0"/>
          <w:numId w:val="13"/>
        </w:numPr>
        <w:spacing w:before="120" w:after="120" w:line="240" w:lineRule="auto"/>
        <w:contextualSpacing w:val="0"/>
        <w:jc w:val="both"/>
      </w:pPr>
      <w:r w:rsidRPr="00D931A8">
        <w:t>En conclusión, se considera que los oferentes de sitios aptos para la radiodifusión tienen una capacidad limitada para restringir competitivamente a los oferentes de sitios de telecomunicaciones, razón por la cual, los sitios de radiodifusión no forman parte del mismo mercado relevante que los sitios de telecomunicaciones.</w:t>
      </w:r>
    </w:p>
    <w:p w14:paraId="1DB69C1A" w14:textId="77777777" w:rsidR="00D931A8" w:rsidRPr="00D931A8" w:rsidRDefault="00D931A8" w:rsidP="009B0A36">
      <w:pPr>
        <w:pStyle w:val="Ttulo4"/>
        <w:numPr>
          <w:ilvl w:val="1"/>
          <w:numId w:val="26"/>
        </w:numPr>
        <w:ind w:left="567" w:hanging="567"/>
      </w:pPr>
      <w:r w:rsidRPr="00D931A8">
        <w:t>Dimensión geográfica</w:t>
      </w:r>
    </w:p>
    <w:p w14:paraId="018F59D5" w14:textId="77777777" w:rsidR="00D931A8" w:rsidRPr="00D931A8" w:rsidRDefault="00D931A8" w:rsidP="009B0A36">
      <w:pPr>
        <w:pStyle w:val="Prrafodelista"/>
        <w:numPr>
          <w:ilvl w:val="0"/>
          <w:numId w:val="13"/>
        </w:numPr>
        <w:spacing w:before="120" w:after="120" w:line="240" w:lineRule="auto"/>
        <w:contextualSpacing w:val="0"/>
        <w:jc w:val="both"/>
        <w:rPr>
          <w:lang w:eastAsia="es-MX"/>
        </w:rPr>
      </w:pPr>
      <w:r w:rsidRPr="00D931A8">
        <w:rPr>
          <w:lang w:eastAsia="es-MX"/>
        </w:rPr>
        <w:t xml:space="preserve">Para la delimitación de la dimensión geográfica del mercado relevante se utilizan los </w:t>
      </w:r>
      <w:r w:rsidRPr="00D931A8">
        <w:t>criterios</w:t>
      </w:r>
      <w:r w:rsidRPr="00D931A8">
        <w:rPr>
          <w:lang w:eastAsia="es-MX"/>
        </w:rPr>
        <w:t xml:space="preserve"> </w:t>
      </w:r>
      <w:r w:rsidR="009B3D9B">
        <w:rPr>
          <w:lang w:eastAsia="es-MX"/>
        </w:rPr>
        <w:t>establecidos</w:t>
      </w:r>
      <w:r w:rsidR="009B3D9B" w:rsidRPr="00D931A8">
        <w:rPr>
          <w:lang w:eastAsia="es-MX"/>
        </w:rPr>
        <w:t xml:space="preserve"> </w:t>
      </w:r>
      <w:r w:rsidRPr="00D931A8">
        <w:rPr>
          <w:lang w:eastAsia="es-MX"/>
        </w:rPr>
        <w:t>en las fracciones II y III del artículo 58 de la LFCE, las cuales señalan lo siguiente:</w:t>
      </w:r>
    </w:p>
    <w:p w14:paraId="7375DF52" w14:textId="77777777" w:rsidR="00D931A8" w:rsidRPr="00D931A8" w:rsidRDefault="00D931A8" w:rsidP="00D931A8">
      <w:pPr>
        <w:ind w:left="567" w:right="567"/>
        <w:jc w:val="both"/>
        <w:rPr>
          <w:i/>
          <w:iCs/>
          <w:sz w:val="20"/>
        </w:rPr>
      </w:pPr>
      <w:r w:rsidRPr="00D931A8">
        <w:rPr>
          <w:i/>
          <w:iCs/>
          <w:sz w:val="20"/>
        </w:rPr>
        <w:t>II. 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0C054DAC" w14:textId="77777777" w:rsidR="00D931A8" w:rsidRPr="00D931A8" w:rsidRDefault="00D931A8" w:rsidP="00D931A8">
      <w:pPr>
        <w:ind w:left="567" w:right="567"/>
        <w:jc w:val="both"/>
        <w:rPr>
          <w:i/>
          <w:iCs/>
          <w:sz w:val="20"/>
        </w:rPr>
      </w:pPr>
      <w:r w:rsidRPr="00D931A8">
        <w:rPr>
          <w:i/>
          <w:iCs/>
          <w:sz w:val="20"/>
        </w:rPr>
        <w:t>III. Los costos y las probabilidades que tienen los usuarios o consumidores para acudir a otros mercados;</w:t>
      </w:r>
    </w:p>
    <w:p w14:paraId="42816852"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Los costos en los que incurre un oferente de sitios para comenzar a proveer el servicio en una zona geográfica determinada incluyen la compra o arrendamiento del </w:t>
      </w:r>
      <w:r w:rsidR="00E219B7">
        <w:t xml:space="preserve">bien </w:t>
      </w:r>
      <w:r w:rsidRPr="00D931A8">
        <w:t>inmueble</w:t>
      </w:r>
      <w:r w:rsidR="009B3D9B">
        <w:t>;</w:t>
      </w:r>
      <w:r w:rsidRPr="00D931A8">
        <w:t xml:space="preserve"> la construcción, mantenimiento, renovación o aumento en la capacidad de las torres</w:t>
      </w:r>
      <w:r w:rsidR="009B3D9B">
        <w:t>, así como</w:t>
      </w:r>
      <w:r w:rsidRPr="00D931A8">
        <w:t xml:space="preserve"> los costos </w:t>
      </w:r>
      <w:r w:rsidR="00E219B7">
        <w:t>relativos a</w:t>
      </w:r>
      <w:r w:rsidRPr="00D931A8">
        <w:t xml:space="preserve"> la obtención de permisos y licencias necesarias para la adecuación de los inmuebles</w:t>
      </w:r>
      <w:r w:rsidR="009B3D9B">
        <w:t>,</w:t>
      </w:r>
      <w:r w:rsidRPr="00D931A8">
        <w:t xml:space="preserve"> entr</w:t>
      </w:r>
      <w:r w:rsidR="00E219B7">
        <w:t>e</w:t>
      </w:r>
      <w:r w:rsidRPr="00D931A8">
        <w:t xml:space="preserve"> otros. En este sentido, los costos de distribución asociados a la provisión de este servicio son los costos asociados a conformar un portafolio de inmuebles que cuenten con las condiciones necesarias para soportar los equipos de los operadores de RPT.</w:t>
      </w:r>
    </w:p>
    <w:p w14:paraId="798BEB66" w14:textId="77777777" w:rsidR="00D931A8" w:rsidRPr="00D931A8" w:rsidRDefault="00D931A8" w:rsidP="009B0A36">
      <w:pPr>
        <w:pStyle w:val="Prrafodelista"/>
        <w:numPr>
          <w:ilvl w:val="0"/>
          <w:numId w:val="13"/>
        </w:numPr>
        <w:spacing w:before="120" w:after="120" w:line="240" w:lineRule="auto"/>
        <w:contextualSpacing w:val="0"/>
        <w:jc w:val="both"/>
      </w:pPr>
      <w:r w:rsidRPr="00D931A8">
        <w:t>Los principales oferentes del servicio en México (Opsimex, ATC, AT&amp;T y MTP)</w:t>
      </w:r>
      <w:r w:rsidRPr="00D931A8">
        <w:rPr>
          <w:vertAlign w:val="superscript"/>
        </w:rPr>
        <w:footnoteReference w:id="230"/>
      </w:r>
      <w:r w:rsidRPr="00D931A8">
        <w:t xml:space="preserve"> cuentan con un portafolio de sitios que se distribuye en todo el territorio nacional.</w:t>
      </w:r>
      <w:r w:rsidRPr="00D931A8">
        <w:rPr>
          <w:vertAlign w:val="superscript"/>
        </w:rPr>
        <w:footnoteReference w:id="231"/>
      </w:r>
      <w:r w:rsidRPr="00D931A8">
        <w:t xml:space="preserve"> Ello representa una ventaja competitiva, ya que los usuarios del servicio prefieren </w:t>
      </w:r>
      <w:r w:rsidRPr="00D931A8">
        <w:lastRenderedPageBreak/>
        <w:t>recurrir a oferentes que cuenten con mayores portafolios de sitios, con la finalidad de reducir los costos de búsqueda y de transacción.</w:t>
      </w:r>
      <w:r w:rsidRPr="00D931A8">
        <w:rPr>
          <w:vertAlign w:val="superscript"/>
        </w:rPr>
        <w:footnoteReference w:id="232"/>
      </w:r>
    </w:p>
    <w:p w14:paraId="07D2B18D" w14:textId="77777777" w:rsidR="00D931A8" w:rsidRPr="00D931A8" w:rsidRDefault="00D931A8" w:rsidP="009B0A36">
      <w:pPr>
        <w:pStyle w:val="Prrafodelista"/>
        <w:numPr>
          <w:ilvl w:val="0"/>
          <w:numId w:val="13"/>
        </w:numPr>
        <w:spacing w:before="120" w:after="120" w:line="240" w:lineRule="auto"/>
        <w:contextualSpacing w:val="0"/>
        <w:jc w:val="both"/>
      </w:pPr>
      <w:r w:rsidRPr="00D931A8">
        <w:t xml:space="preserve">Según lo manifestado por </w:t>
      </w:r>
      <w:r w:rsidR="00CF1004" w:rsidRPr="00CF1004">
        <w:rPr>
          <w:b/>
          <w:bCs/>
          <w:color w:val="0000CC"/>
        </w:rPr>
        <w:t>“CONFIDENCIAL POR LEY”</w:t>
      </w:r>
      <w:r w:rsidRPr="00D931A8">
        <w:t>, la zona geográfica en la cual se encuentra el sitio no es una variable relevante para determinar la tarifa, ya que los precios ofertados son los mismos en todo el territorio nacional.</w:t>
      </w:r>
      <w:r w:rsidRPr="00D931A8">
        <w:rPr>
          <w:vertAlign w:val="superscript"/>
        </w:rPr>
        <w:footnoteReference w:id="233"/>
      </w:r>
      <w:r w:rsidRPr="00D931A8">
        <w:t xml:space="preserve"> En el caso de Opsimex, su oferta pública de referencia sí establece diferencias en los precios de acuerdo con las características socioeconómicas de la localidad donde se encuentre el sitio.</w:t>
      </w:r>
      <w:r w:rsidRPr="00D931A8">
        <w:rPr>
          <w:vertAlign w:val="superscript"/>
        </w:rPr>
        <w:footnoteReference w:id="234"/>
      </w:r>
      <w:r w:rsidRPr="00D931A8">
        <w:t xml:space="preserve"> Por su parte, </w:t>
      </w:r>
      <w:r w:rsidR="007C50B4" w:rsidRPr="007C50B4">
        <w:rPr>
          <w:b/>
          <w:bCs/>
          <w:color w:val="0000CC"/>
        </w:rPr>
        <w:t>“CONFIDENCIAL POR LEY”</w:t>
      </w:r>
      <w:r w:rsidRPr="00D931A8">
        <w:t xml:space="preserve"> considera, para la determinación de las tarifas de los sitios, </w:t>
      </w:r>
      <w:r w:rsidR="007C50B4" w:rsidRPr="007C50B4">
        <w:rPr>
          <w:b/>
          <w:bCs/>
          <w:color w:val="0000CC"/>
        </w:rPr>
        <w:t>“CONFIDENCIAL POR LEY”</w:t>
      </w:r>
      <w:r w:rsidRPr="00D931A8">
        <w:t>.</w:t>
      </w:r>
      <w:r w:rsidRPr="00D931A8">
        <w:rPr>
          <w:vertAlign w:val="superscript"/>
        </w:rPr>
        <w:footnoteReference w:id="235"/>
      </w:r>
      <w:r w:rsidRPr="00D931A8">
        <w:t xml:space="preserve"> </w:t>
      </w:r>
    </w:p>
    <w:p w14:paraId="38F22DB0" w14:textId="77777777" w:rsidR="00D931A8" w:rsidRPr="00D931A8" w:rsidRDefault="00CC50FC" w:rsidP="009B0A36">
      <w:pPr>
        <w:pStyle w:val="Prrafodelista"/>
        <w:numPr>
          <w:ilvl w:val="0"/>
          <w:numId w:val="13"/>
        </w:numPr>
        <w:spacing w:before="120" w:after="120" w:line="240" w:lineRule="auto"/>
        <w:contextualSpacing w:val="0"/>
        <w:jc w:val="both"/>
      </w:pPr>
      <w:r>
        <w:t>Adicionalmente</w:t>
      </w:r>
      <w:r w:rsidR="00D931A8" w:rsidRPr="00D931A8">
        <w:t xml:space="preserve">, de la información que obra en el Expediente se advierte que oferentes y demandantes negocian las condiciones del servicio tomando en cuenta un conjunto de sitios, y no cada sitio de manera individual. Así, </w:t>
      </w:r>
      <w:r w:rsidR="00530EC0">
        <w:t xml:space="preserve">por ejemplo, Opsimex, </w:t>
      </w:r>
      <w:r w:rsidR="004E0058" w:rsidRPr="007C50B4">
        <w:rPr>
          <w:b/>
          <w:bCs/>
          <w:color w:val="0000CC"/>
        </w:rPr>
        <w:t>“CONFIDENCIAL POR LEY”</w:t>
      </w:r>
      <w:r w:rsidR="00D931A8" w:rsidRPr="00D931A8">
        <w:t xml:space="preserve"> establecen un </w:t>
      </w:r>
      <w:r w:rsidR="004E0058" w:rsidRPr="007C50B4">
        <w:rPr>
          <w:b/>
          <w:bCs/>
          <w:color w:val="0000CC"/>
        </w:rPr>
        <w:t>“CONFIDENCIAL POR LEY”</w:t>
      </w:r>
      <w:r w:rsidR="00D931A8" w:rsidRPr="00D931A8">
        <w:t>.</w:t>
      </w:r>
      <w:r w:rsidR="00D931A8" w:rsidRPr="00D931A8">
        <w:rPr>
          <w:vertAlign w:val="superscript"/>
        </w:rPr>
        <w:footnoteReference w:id="236"/>
      </w:r>
      <w:r w:rsidR="00326249">
        <w:t xml:space="preserve"> Asimismo, se determinó que es común el</w:t>
      </w:r>
      <w:r w:rsidR="00D931A8" w:rsidRPr="00D931A8">
        <w:t xml:space="preserve"> </w:t>
      </w:r>
      <w:r w:rsidR="004E0058" w:rsidRPr="007C50B4">
        <w:rPr>
          <w:b/>
          <w:bCs/>
          <w:color w:val="0000CC"/>
        </w:rPr>
        <w:t>“CONFIDENCIAL POR LEY”</w:t>
      </w:r>
      <w:r w:rsidR="00D931A8" w:rsidRPr="00D931A8">
        <w:t>.</w:t>
      </w:r>
      <w:r w:rsidR="00D931A8" w:rsidRPr="00D931A8">
        <w:rPr>
          <w:vertAlign w:val="superscript"/>
        </w:rPr>
        <w:footnoteReference w:id="237"/>
      </w:r>
    </w:p>
    <w:p w14:paraId="3DCF8D02" w14:textId="77777777" w:rsidR="00D931A8" w:rsidRPr="00D931A8" w:rsidRDefault="00D931A8" w:rsidP="009B0A36">
      <w:pPr>
        <w:pStyle w:val="Prrafodelista"/>
        <w:numPr>
          <w:ilvl w:val="0"/>
          <w:numId w:val="13"/>
        </w:numPr>
        <w:spacing w:before="120" w:after="120" w:line="240" w:lineRule="auto"/>
        <w:contextualSpacing w:val="0"/>
        <w:jc w:val="both"/>
      </w:pPr>
      <w:r w:rsidRPr="00D931A8">
        <w:t>De lo anterior, se concluye que los oferentes negocian los términos de acceso al servicio y compiten en una dimensión nacional.</w:t>
      </w:r>
      <w:r w:rsidRPr="00D931A8">
        <w:rPr>
          <w:vertAlign w:val="superscript"/>
        </w:rPr>
        <w:footnoteReference w:id="238"/>
      </w:r>
    </w:p>
    <w:p w14:paraId="5E6157EC" w14:textId="77777777" w:rsidR="00D931A8" w:rsidRPr="00CC50FC" w:rsidRDefault="00D931A8" w:rsidP="009B0A36">
      <w:pPr>
        <w:pStyle w:val="Prrafodelista"/>
        <w:numPr>
          <w:ilvl w:val="0"/>
          <w:numId w:val="13"/>
        </w:numPr>
        <w:spacing w:before="120" w:after="120" w:line="240" w:lineRule="auto"/>
        <w:contextualSpacing w:val="0"/>
        <w:jc w:val="both"/>
      </w:pPr>
      <w:r w:rsidRPr="00D931A8">
        <w:t xml:space="preserve">Por </w:t>
      </w:r>
      <w:r w:rsidR="00CC50FC">
        <w:t>su parte</w:t>
      </w:r>
      <w:r w:rsidRPr="00D931A8">
        <w:t>, los principales demandantes del servicio de arrendamiento de sitios, los operadores de RPT móviles,</w:t>
      </w:r>
      <w:r w:rsidRPr="00D931A8">
        <w:rPr>
          <w:vertAlign w:val="superscript"/>
        </w:rPr>
        <w:footnoteReference w:id="239"/>
      </w:r>
      <w:r w:rsidRPr="00D931A8">
        <w:t xml:space="preserve"> proveen servicios a sus usuarios a nivel nacional, por lo cual, requieren de acceso a sitios de telecomunicaciones distribuidos en todo el </w:t>
      </w:r>
      <w:r w:rsidRPr="00CC50FC">
        <w:t>territorio nacional para poder desplegar redes integrales y robustas.</w:t>
      </w:r>
      <w:r w:rsidRPr="00CC50FC">
        <w:rPr>
          <w:vertAlign w:val="superscript"/>
        </w:rPr>
        <w:footnoteReference w:id="240"/>
      </w:r>
      <w:r w:rsidRPr="00CC50FC">
        <w:t xml:space="preserve"> La evidencia que consta en el expediente señala que los operadores de RPT demandan los sitios a lo largo de todo el territorio nacional; lo anterior se observa </w:t>
      </w:r>
      <w:r w:rsidR="004E0058" w:rsidRPr="004E0058">
        <w:rPr>
          <w:b/>
          <w:bCs/>
          <w:color w:val="0000CC"/>
        </w:rPr>
        <w:t>“CONFIDENCIAL POR LEY”</w:t>
      </w:r>
      <w:r w:rsidRPr="00CC50FC">
        <w:t>.</w:t>
      </w:r>
      <w:r w:rsidRPr="00CC50FC">
        <w:rPr>
          <w:vertAlign w:val="superscript"/>
        </w:rPr>
        <w:footnoteReference w:id="241"/>
      </w:r>
      <w:r w:rsidRPr="00CC50FC">
        <w:rPr>
          <w:vertAlign w:val="superscript"/>
        </w:rPr>
        <w:t>,</w:t>
      </w:r>
      <w:r w:rsidRPr="00CC50FC">
        <w:rPr>
          <w:vertAlign w:val="superscript"/>
        </w:rPr>
        <w:footnoteReference w:id="242"/>
      </w:r>
    </w:p>
    <w:p w14:paraId="5776DC8A" w14:textId="77777777" w:rsidR="00D931A8" w:rsidRPr="00CC50FC" w:rsidRDefault="00D931A8" w:rsidP="009B0A36">
      <w:pPr>
        <w:pStyle w:val="Prrafodelista"/>
        <w:numPr>
          <w:ilvl w:val="0"/>
          <w:numId w:val="13"/>
        </w:numPr>
        <w:spacing w:before="120" w:after="120" w:line="240" w:lineRule="auto"/>
        <w:contextualSpacing w:val="0"/>
        <w:jc w:val="both"/>
      </w:pPr>
      <w:r w:rsidRPr="00CC50FC">
        <w:lastRenderedPageBreak/>
        <w:t>De lo anterior se puede concluir que los oferentes y demandantes del servicio de arrendamiento de sitios de telecomunicaciones llevan a cabo las negociaciones correspondientes en una dimensión geográfica nacional.</w:t>
      </w:r>
    </w:p>
    <w:p w14:paraId="05F771E1" w14:textId="77777777" w:rsidR="00D931A8" w:rsidRPr="00D931A8" w:rsidRDefault="00D931A8" w:rsidP="009B0A36">
      <w:pPr>
        <w:pStyle w:val="Ttulo4"/>
        <w:numPr>
          <w:ilvl w:val="1"/>
          <w:numId w:val="26"/>
        </w:numPr>
        <w:ind w:left="567" w:hanging="567"/>
      </w:pPr>
      <w:r w:rsidRPr="00D931A8">
        <w:t>Otros aspectos a considerar en la delimitación del mercado relevante</w:t>
      </w:r>
    </w:p>
    <w:p w14:paraId="00D86CC1" w14:textId="77777777" w:rsidR="00D931A8" w:rsidRPr="00D931A8" w:rsidRDefault="00D931A8" w:rsidP="009B0A36">
      <w:pPr>
        <w:pStyle w:val="Prrafodelista"/>
        <w:numPr>
          <w:ilvl w:val="0"/>
          <w:numId w:val="13"/>
        </w:numPr>
        <w:spacing w:before="120" w:after="120" w:line="240" w:lineRule="auto"/>
        <w:contextualSpacing w:val="0"/>
        <w:jc w:val="both"/>
      </w:pPr>
      <w:r w:rsidRPr="00D931A8">
        <w:t>Finalmente, la LFCE establece otros criterios para la definición de mercado relevante contenidos en la fracción IV del artículo 58:</w:t>
      </w:r>
    </w:p>
    <w:p w14:paraId="09D0DB71" w14:textId="77777777" w:rsidR="00D931A8" w:rsidRPr="00D931A8" w:rsidRDefault="00D931A8" w:rsidP="00D931A8">
      <w:pPr>
        <w:ind w:left="567" w:right="567"/>
        <w:jc w:val="both"/>
        <w:rPr>
          <w:i/>
          <w:iCs/>
          <w:sz w:val="20"/>
        </w:rPr>
      </w:pPr>
      <w:r w:rsidRPr="00D931A8">
        <w:rPr>
          <w:i/>
          <w:iCs/>
          <w:sz w:val="20"/>
        </w:rPr>
        <w:t>IV. Las restricciones normativas de carácter federal, local o internacional que limiten el acceso de usuarios o consumidores a fuentes de abasto alternativas, o el acceso de los proveedores a clientes alterativos.</w:t>
      </w:r>
    </w:p>
    <w:p w14:paraId="2C7F41CA" w14:textId="77777777" w:rsidR="00D931A8" w:rsidRPr="005F1025" w:rsidRDefault="00CC50FC" w:rsidP="009B0A36">
      <w:pPr>
        <w:pStyle w:val="Prrafodelista"/>
        <w:numPr>
          <w:ilvl w:val="0"/>
          <w:numId w:val="13"/>
        </w:numPr>
        <w:spacing w:before="120" w:after="120" w:line="240" w:lineRule="auto"/>
        <w:contextualSpacing w:val="0"/>
        <w:jc w:val="both"/>
        <w:rPr>
          <w:iCs/>
        </w:rPr>
      </w:pPr>
      <w:r w:rsidRPr="005F1025">
        <w:t xml:space="preserve">Para proveer </w:t>
      </w:r>
      <w:r w:rsidR="00D931A8" w:rsidRPr="005F1025">
        <w:rPr>
          <w:iCs/>
        </w:rPr>
        <w:t xml:space="preserve">el servicio de arrendamiento de sitios </w:t>
      </w:r>
      <w:r w:rsidRPr="005F1025">
        <w:rPr>
          <w:iCs/>
        </w:rPr>
        <w:t>de</w:t>
      </w:r>
      <w:r w:rsidR="00D931A8" w:rsidRPr="005F1025">
        <w:rPr>
          <w:iCs/>
        </w:rPr>
        <w:t xml:space="preserve"> telecomunicaciones no </w:t>
      </w:r>
      <w:r w:rsidRPr="005F1025">
        <w:rPr>
          <w:iCs/>
        </w:rPr>
        <w:t xml:space="preserve">se </w:t>
      </w:r>
      <w:r w:rsidR="00D931A8" w:rsidRPr="005F1025">
        <w:rPr>
          <w:iCs/>
        </w:rPr>
        <w:t>requiere un título de concesión</w:t>
      </w:r>
      <w:r w:rsidR="009B3D9B" w:rsidRPr="005F1025">
        <w:rPr>
          <w:iCs/>
        </w:rPr>
        <w:t xml:space="preserve"> ni autorización</w:t>
      </w:r>
      <w:r w:rsidR="00D931A8" w:rsidRPr="005F1025">
        <w:rPr>
          <w:iCs/>
        </w:rPr>
        <w:t xml:space="preserve">. </w:t>
      </w:r>
      <w:r w:rsidR="00CD2996" w:rsidRPr="005F1025">
        <w:rPr>
          <w:iCs/>
        </w:rPr>
        <w:t>Sin embargo</w:t>
      </w:r>
      <w:r w:rsidR="00D931A8" w:rsidRPr="005F1025">
        <w:rPr>
          <w:iCs/>
        </w:rPr>
        <w:t>, para el desarrollo de un sitio se necesita la obtención de permisos y autorizaciones de orden federal (tales como los otorgados por la Dirección General de Aeronáutica Civil o el Instituto Nacional de Antropología e Historia) y de orden estatal o municipal (tales como licencias de uso de suelo y permisos de construcción), los cuales pueden variar de acuerdo al lugar en el que se encuentre el sitio y las características técnicas específicas.</w:t>
      </w:r>
      <w:r w:rsidR="00D931A8" w:rsidRPr="005F1025">
        <w:rPr>
          <w:iCs/>
          <w:vertAlign w:val="superscript"/>
        </w:rPr>
        <w:footnoteReference w:id="243"/>
      </w:r>
      <w:r w:rsidR="00D931A8" w:rsidRPr="005F1025">
        <w:rPr>
          <w:iCs/>
        </w:rPr>
        <w:t xml:space="preserve"> </w:t>
      </w:r>
    </w:p>
    <w:p w14:paraId="290BA928" w14:textId="77777777" w:rsidR="00D931A8" w:rsidRPr="00D931A8" w:rsidRDefault="00D931A8" w:rsidP="009B0A36">
      <w:pPr>
        <w:pStyle w:val="Prrafodelista"/>
        <w:numPr>
          <w:ilvl w:val="0"/>
          <w:numId w:val="13"/>
        </w:numPr>
        <w:spacing w:before="120" w:after="120" w:line="240" w:lineRule="auto"/>
        <w:contextualSpacing w:val="0"/>
        <w:jc w:val="both"/>
      </w:pPr>
      <w:r w:rsidRPr="00D931A8">
        <w:t>Adicionalmente, la fracción V del artículo 58 señala que, para determinar el mercado relevante deberá considerarse:</w:t>
      </w:r>
    </w:p>
    <w:p w14:paraId="3F65194B" w14:textId="77777777" w:rsidR="00D931A8" w:rsidRPr="00D931A8" w:rsidRDefault="00D931A8" w:rsidP="00C77A9D">
      <w:pPr>
        <w:ind w:left="567"/>
        <w:jc w:val="both"/>
        <w:rPr>
          <w:i/>
          <w:iCs/>
          <w:sz w:val="20"/>
        </w:rPr>
      </w:pPr>
      <w:r w:rsidRPr="00D931A8">
        <w:rPr>
          <w:i/>
          <w:iCs/>
          <w:sz w:val="20"/>
        </w:rPr>
        <w:t>V. Los demás que se establezcan en las Disposiciones Regulatorias, así como los criterios técnicos que para tal efecto emita la Comisión.</w:t>
      </w:r>
    </w:p>
    <w:p w14:paraId="24882575" w14:textId="77777777" w:rsidR="00D931A8" w:rsidRPr="00D931A8" w:rsidRDefault="00D931A8" w:rsidP="009B0A36">
      <w:pPr>
        <w:pStyle w:val="Prrafodelista"/>
        <w:numPr>
          <w:ilvl w:val="0"/>
          <w:numId w:val="13"/>
        </w:numPr>
        <w:spacing w:before="120" w:after="120" w:line="240" w:lineRule="auto"/>
        <w:contextualSpacing w:val="0"/>
        <w:jc w:val="both"/>
      </w:pPr>
      <w:r w:rsidRPr="00D931A8">
        <w:t>En relación con esta fracción, el artículo 5 de las Disposiciones Regulatorias establece lo siguiente:</w:t>
      </w:r>
    </w:p>
    <w:p w14:paraId="1611B526" w14:textId="77777777" w:rsidR="00D931A8" w:rsidRPr="00D931A8" w:rsidRDefault="00D931A8" w:rsidP="00C77A9D">
      <w:pPr>
        <w:ind w:left="567"/>
        <w:jc w:val="both"/>
        <w:rPr>
          <w:i/>
          <w:iCs/>
          <w:sz w:val="20"/>
        </w:rPr>
      </w:pPr>
      <w:r w:rsidRPr="00D931A8">
        <w:rPr>
          <w:i/>
          <w:iCs/>
          <w:sz w:val="20"/>
        </w:rPr>
        <w:t>Artículo 5. Para la determinación del mercado relevante se deben analizar las circunstancias particulares de cada caso, identificar los bienes o servicios producidos, distribuidos, adquiridos, comercializados u ofrecidos y aquellos que los sustituyan o puedan sustituirlos oportunamente. Asimismo, se debe delimitar el área geográfica en la que se ofrecen o demandan dichos bienes o servicios, y si en la misma existe la opción de acudir indistintamente a los proveedores o clientes sin incurrir en costos significativos.</w:t>
      </w:r>
    </w:p>
    <w:p w14:paraId="405F3CC2" w14:textId="77777777" w:rsidR="00D931A8" w:rsidRPr="009D60D7" w:rsidRDefault="00D931A8" w:rsidP="009B0A36">
      <w:pPr>
        <w:pStyle w:val="Prrafodelista"/>
        <w:numPr>
          <w:ilvl w:val="0"/>
          <w:numId w:val="13"/>
        </w:numPr>
        <w:spacing w:before="120" w:after="120" w:line="240" w:lineRule="auto"/>
        <w:contextualSpacing w:val="0"/>
        <w:jc w:val="both"/>
      </w:pPr>
      <w:r w:rsidRPr="00D931A8">
        <w:t xml:space="preserve">Al respecto, se advierte que las </w:t>
      </w:r>
      <w:r w:rsidRPr="009D60D7">
        <w:t xml:space="preserve">consideraciones de este artículo ya están incorporadas en el análisis presentado en los párrafos </w:t>
      </w:r>
      <w:r w:rsidR="003E766D" w:rsidRPr="009D60D7">
        <w:t>19</w:t>
      </w:r>
      <w:r w:rsidR="006505DE" w:rsidRPr="009D60D7">
        <w:t>9</w:t>
      </w:r>
      <w:r w:rsidR="003E766D" w:rsidRPr="009D60D7">
        <w:t xml:space="preserve"> </w:t>
      </w:r>
      <w:r w:rsidRPr="009D60D7">
        <w:t xml:space="preserve">a </w:t>
      </w:r>
      <w:r w:rsidR="00C77A9D" w:rsidRPr="009D60D7">
        <w:t>21</w:t>
      </w:r>
      <w:r w:rsidR="006505DE" w:rsidRPr="009D60D7">
        <w:t>7</w:t>
      </w:r>
      <w:r w:rsidR="007B5B43" w:rsidRPr="009D60D7">
        <w:t>.</w:t>
      </w:r>
    </w:p>
    <w:p w14:paraId="20AAC308" w14:textId="77777777" w:rsidR="00086510" w:rsidRDefault="00382BBB" w:rsidP="009B0A36">
      <w:pPr>
        <w:pStyle w:val="Prrafodelista"/>
        <w:numPr>
          <w:ilvl w:val="0"/>
          <w:numId w:val="13"/>
        </w:numPr>
        <w:spacing w:before="120" w:after="120" w:line="240" w:lineRule="auto"/>
        <w:contextualSpacing w:val="0"/>
        <w:jc w:val="both"/>
      </w:pPr>
      <w:r>
        <w:t>De</w:t>
      </w:r>
      <w:r w:rsidR="00D931A8" w:rsidRPr="00D931A8">
        <w:t xml:space="preserve"> expuesto en los </w:t>
      </w:r>
      <w:r w:rsidR="00D931A8" w:rsidRPr="00271B8E">
        <w:t xml:space="preserve">párrafos </w:t>
      </w:r>
      <w:r w:rsidR="003E766D" w:rsidRPr="00271B8E">
        <w:t>19</w:t>
      </w:r>
      <w:r w:rsidR="006505DE" w:rsidRPr="00271B8E">
        <w:t>9</w:t>
      </w:r>
      <w:r w:rsidR="003E766D" w:rsidRPr="00271B8E">
        <w:t xml:space="preserve"> </w:t>
      </w:r>
      <w:r w:rsidR="00C77A9D" w:rsidRPr="00271B8E">
        <w:t>a 2</w:t>
      </w:r>
      <w:r w:rsidR="006505DE" w:rsidRPr="00271B8E">
        <w:t>20</w:t>
      </w:r>
      <w:r w:rsidR="00D2793F" w:rsidRPr="00271B8E">
        <w:t>, se</w:t>
      </w:r>
      <w:r w:rsidR="00D2793F">
        <w:t xml:space="preserve"> concluye </w:t>
      </w:r>
      <w:r>
        <w:t>que</w:t>
      </w:r>
      <w:r w:rsidR="00D931A8" w:rsidRPr="00D931A8">
        <w:t xml:space="preserve"> el mercado relevante corresponde a la provisión del servicio de arrendamiento de sitios de telecomunicaciones</w:t>
      </w:r>
      <w:r w:rsidR="00CD2996">
        <w:t xml:space="preserve"> con</w:t>
      </w:r>
      <w:r w:rsidR="00D931A8" w:rsidRPr="00D931A8">
        <w:t xml:space="preserve"> </w:t>
      </w:r>
      <w:r w:rsidR="00CD2996">
        <w:t xml:space="preserve">una </w:t>
      </w:r>
      <w:r w:rsidR="00D931A8" w:rsidRPr="00D931A8">
        <w:t>dimensión ge</w:t>
      </w:r>
      <w:r w:rsidR="00661E1C">
        <w:t>ográfica</w:t>
      </w:r>
      <w:r w:rsidR="00D2793F">
        <w:t xml:space="preserve"> nacional</w:t>
      </w:r>
      <w:r w:rsidR="00661E1C">
        <w:t>.</w:t>
      </w:r>
    </w:p>
    <w:p w14:paraId="5208DA9A" w14:textId="77777777" w:rsidR="00086510" w:rsidRPr="007C2B85" w:rsidRDefault="007C2B85" w:rsidP="007C2B85">
      <w:pPr>
        <w:pStyle w:val="Ttulo2"/>
        <w:numPr>
          <w:ilvl w:val="0"/>
          <w:numId w:val="0"/>
        </w:numPr>
        <w:ind w:left="576" w:hanging="576"/>
        <w:rPr>
          <w:b w:val="0"/>
        </w:rPr>
      </w:pPr>
      <w:bookmarkStart w:id="47" w:name="_Toc463624326"/>
      <w:r w:rsidRPr="007C2B85">
        <w:rPr>
          <w:smallCaps/>
        </w:rPr>
        <w:lastRenderedPageBreak/>
        <w:t>Octava.-</w:t>
      </w:r>
      <w:r>
        <w:t xml:space="preserve"> </w:t>
      </w:r>
      <w:r w:rsidR="00430A36" w:rsidRPr="007C2B85">
        <w:rPr>
          <w:b w:val="0"/>
        </w:rPr>
        <w:t>Poder sustancial</w:t>
      </w:r>
    </w:p>
    <w:p w14:paraId="38B737D6" w14:textId="77777777" w:rsidR="00430A36" w:rsidRPr="009941C6" w:rsidRDefault="00430A36" w:rsidP="009B0A36">
      <w:pPr>
        <w:pStyle w:val="Prrafodelista"/>
        <w:numPr>
          <w:ilvl w:val="0"/>
          <w:numId w:val="13"/>
        </w:numPr>
        <w:spacing w:before="120" w:after="120" w:line="240" w:lineRule="auto"/>
        <w:contextualSpacing w:val="0"/>
        <w:jc w:val="both"/>
      </w:pPr>
      <w:r w:rsidRPr="00570DAF">
        <w:t xml:space="preserve">El poder sustancial en </w:t>
      </w:r>
      <w:r>
        <w:t>los</w:t>
      </w:r>
      <w:r w:rsidRPr="00570DAF">
        <w:t xml:space="preserve"> mercado</w:t>
      </w:r>
      <w:r>
        <w:t>s</w:t>
      </w:r>
      <w:r w:rsidRPr="00570DAF">
        <w:t xml:space="preserve"> relevante</w:t>
      </w:r>
      <w:r>
        <w:t>s</w:t>
      </w:r>
      <w:r w:rsidRPr="00570DAF">
        <w:t xml:space="preserve"> se determina con fundamento en el artículo 59 de la LFCE, en correspondencia con lo establecido en los artículos 7 y 8 de las Disposiciones Regulatorias.</w:t>
      </w:r>
    </w:p>
    <w:p w14:paraId="67E5EA2D" w14:textId="77777777" w:rsidR="00086510" w:rsidRDefault="00430A36" w:rsidP="009B0A36">
      <w:pPr>
        <w:pStyle w:val="Ttulo3"/>
        <w:numPr>
          <w:ilvl w:val="2"/>
          <w:numId w:val="23"/>
        </w:numPr>
        <w:ind w:left="397" w:hanging="397"/>
      </w:pPr>
      <w:r w:rsidRPr="00971E9E">
        <w:t xml:space="preserve">Servicios de </w:t>
      </w:r>
      <w:r w:rsidRPr="0090759C">
        <w:rPr>
          <w:rStyle w:val="Ttulo1Car"/>
          <w:b/>
        </w:rPr>
        <w:t>arrendamiento</w:t>
      </w:r>
      <w:r w:rsidRPr="00D931A8">
        <w:t xml:space="preserve"> de enlaces dedicados</w:t>
      </w:r>
      <w:r w:rsidRPr="0059553F" w:rsidDel="00430A36">
        <w:t xml:space="preserve"> </w:t>
      </w:r>
      <w:bookmarkEnd w:id="47"/>
    </w:p>
    <w:p w14:paraId="7A55AD97" w14:textId="77777777" w:rsidR="00086510" w:rsidRPr="00570DAF" w:rsidRDefault="00086510" w:rsidP="009B0A36">
      <w:pPr>
        <w:pStyle w:val="Ttulo4"/>
        <w:numPr>
          <w:ilvl w:val="3"/>
          <w:numId w:val="23"/>
        </w:numPr>
        <w:ind w:left="567" w:hanging="567"/>
        <w:jc w:val="both"/>
      </w:pPr>
      <w:bookmarkStart w:id="48" w:name="_Toc463297870"/>
      <w:bookmarkStart w:id="49" w:name="_Toc463624327"/>
      <w:r w:rsidRPr="00570DAF">
        <w:t>Participaciones de mercado</w:t>
      </w:r>
      <w:bookmarkEnd w:id="48"/>
      <w:bookmarkEnd w:id="49"/>
      <w:r>
        <w:t xml:space="preserve"> </w:t>
      </w:r>
      <w:r w:rsidRPr="007976E6">
        <w:t>y capacidad de fijar precios o restringir el abasto</w:t>
      </w:r>
      <w:r>
        <w:t xml:space="preserve"> </w:t>
      </w:r>
    </w:p>
    <w:p w14:paraId="43F1739D" w14:textId="77777777" w:rsidR="00086510" w:rsidRDefault="00086510" w:rsidP="009B0A36">
      <w:pPr>
        <w:pStyle w:val="Prrafodelista"/>
        <w:numPr>
          <w:ilvl w:val="0"/>
          <w:numId w:val="13"/>
        </w:numPr>
        <w:spacing w:before="120" w:after="120" w:line="240" w:lineRule="auto"/>
        <w:contextualSpacing w:val="0"/>
        <w:jc w:val="both"/>
      </w:pPr>
      <w:r w:rsidRPr="006C29F6">
        <w:t>Conforme a la fracción I del artículo 59 de la LFCE</w:t>
      </w:r>
      <w:r>
        <w:t>,</w:t>
      </w:r>
      <w:r w:rsidRPr="006C29F6">
        <w:t xml:space="preserve"> p</w:t>
      </w:r>
      <w:r w:rsidR="00E30EEF">
        <w:t>ara determinar si uno o varios a</w:t>
      </w:r>
      <w:r w:rsidRPr="006C29F6">
        <w:t xml:space="preserve">gentes </w:t>
      </w:r>
      <w:r w:rsidR="00E30EEF">
        <w:t>e</w:t>
      </w:r>
      <w:r w:rsidRPr="006C29F6">
        <w:t>conómicos tienen poder sust</w:t>
      </w:r>
      <w:r>
        <w:t>ancial en los mercados relevantes</w:t>
      </w:r>
      <w:r w:rsidRPr="006C29F6">
        <w:t xml:space="preserve"> deberá considerarse, entre otros elementos, lo </w:t>
      </w:r>
      <w:r w:rsidRPr="009E6D61">
        <w:t>siguiente:</w:t>
      </w:r>
    </w:p>
    <w:p w14:paraId="20ED2E52" w14:textId="77777777" w:rsidR="00086510" w:rsidRPr="00182DF0" w:rsidRDefault="00086510" w:rsidP="00086510">
      <w:pPr>
        <w:ind w:left="567" w:right="567"/>
        <w:jc w:val="both"/>
        <w:rPr>
          <w:i/>
          <w:iCs/>
          <w:sz w:val="20"/>
        </w:rPr>
      </w:pPr>
      <w:r w:rsidRPr="00182DF0">
        <w:rPr>
          <w:i/>
          <w:iCs/>
          <w:sz w:val="20"/>
        </w:rPr>
        <w:t>I. Su participación en dicho mercado y si pueden fijar precios o restringir el abasto en el mercado relevante por sí mismos, sin que los agentes competidores puedan, actual o potencialmente, contrarrestar dicho poder.</w:t>
      </w:r>
    </w:p>
    <w:p w14:paraId="4616C2ED" w14:textId="77777777" w:rsidR="00086510" w:rsidRPr="005859C9" w:rsidRDefault="00086510" w:rsidP="00086510">
      <w:pPr>
        <w:ind w:left="567" w:right="567"/>
        <w:jc w:val="both"/>
        <w:rPr>
          <w:i/>
          <w:sz w:val="20"/>
        </w:rPr>
      </w:pPr>
      <w:r w:rsidRPr="00182DF0">
        <w:rPr>
          <w:i/>
          <w:iCs/>
          <w:sz w:val="20"/>
        </w:rPr>
        <w:t xml:space="preserve">Para determinar la participación de mercado, la Comisión </w:t>
      </w:r>
      <w:r>
        <w:rPr>
          <w:iCs/>
          <w:sz w:val="20"/>
        </w:rPr>
        <w:t>[</w:t>
      </w:r>
      <w:r w:rsidRPr="000760C1">
        <w:rPr>
          <w:iCs/>
          <w:sz w:val="20"/>
          <w:u w:val="single"/>
        </w:rPr>
        <w:t>en este caso, el Instituto</w:t>
      </w:r>
      <w:r w:rsidRPr="000760C1">
        <w:rPr>
          <w:iCs/>
          <w:sz w:val="20"/>
        </w:rPr>
        <w:t>]</w:t>
      </w:r>
      <w:r w:rsidRPr="00182DF0">
        <w:rPr>
          <w:i/>
          <w:iCs/>
          <w:sz w:val="20"/>
        </w:rPr>
        <w:t xml:space="preserve"> podrá tener en cuenta indicadores de ventas, número de clientes, capacidad productiva, así como cualquier otro f</w:t>
      </w:r>
      <w:r>
        <w:rPr>
          <w:i/>
          <w:iCs/>
          <w:sz w:val="20"/>
        </w:rPr>
        <w:t xml:space="preserve">actor que considere pertinente; </w:t>
      </w:r>
      <w:r>
        <w:rPr>
          <w:iCs/>
          <w:sz w:val="20"/>
        </w:rPr>
        <w:t>[</w:t>
      </w:r>
      <w:r w:rsidRPr="00546111">
        <w:rPr>
          <w:iCs/>
          <w:sz w:val="20"/>
        </w:rPr>
        <w:t>Énfasis añadido</w:t>
      </w:r>
      <w:r>
        <w:rPr>
          <w:iCs/>
          <w:sz w:val="20"/>
        </w:rPr>
        <w:t>]</w:t>
      </w:r>
      <w:r w:rsidRPr="00546111">
        <w:rPr>
          <w:iCs/>
          <w:sz w:val="20"/>
        </w:rPr>
        <w:t>.</w:t>
      </w:r>
    </w:p>
    <w:p w14:paraId="7240CE58" w14:textId="77777777" w:rsidR="00086510" w:rsidRDefault="00086510" w:rsidP="009B0A36">
      <w:pPr>
        <w:pStyle w:val="Prrafodelista"/>
        <w:numPr>
          <w:ilvl w:val="0"/>
          <w:numId w:val="13"/>
        </w:numPr>
        <w:spacing w:before="120" w:after="120" w:line="240" w:lineRule="auto"/>
        <w:contextualSpacing w:val="0"/>
        <w:jc w:val="both"/>
      </w:pPr>
      <w:r>
        <w:rPr>
          <w:spacing w:val="-2"/>
        </w:rPr>
        <w:t xml:space="preserve">Como se señaló en el </w:t>
      </w:r>
      <w:r w:rsidRPr="009D60D7">
        <w:rPr>
          <w:spacing w:val="-2"/>
        </w:rPr>
        <w:t xml:space="preserve">párrafo 55, previo a la Operación, el grupo de interés económico al que pertenecen los </w:t>
      </w:r>
      <w:r w:rsidR="00BE43B7">
        <w:rPr>
          <w:spacing w:val="-2"/>
        </w:rPr>
        <w:t>c</w:t>
      </w:r>
      <w:r w:rsidRPr="009D60D7">
        <w:rPr>
          <w:spacing w:val="-2"/>
        </w:rPr>
        <w:t>ompradores</w:t>
      </w:r>
      <w:r>
        <w:rPr>
          <w:spacing w:val="-2"/>
        </w:rPr>
        <w:t xml:space="preserve"> (ATC) no participaba en los mercados relevantes de arrendamiento de enlaces. Con la adquisición de CFCA Telecomm y Telco, ATC incursiona en estos mercados, por lo que el efecto de l</w:t>
      </w:r>
      <w:r w:rsidRPr="001B19B0">
        <w:rPr>
          <w:spacing w:val="-2"/>
        </w:rPr>
        <w:t xml:space="preserve">a Operación </w:t>
      </w:r>
      <w:r>
        <w:rPr>
          <w:spacing w:val="-2"/>
        </w:rPr>
        <w:t>es</w:t>
      </w:r>
      <w:r w:rsidRPr="001B19B0">
        <w:rPr>
          <w:spacing w:val="-2"/>
        </w:rPr>
        <w:t xml:space="preserve"> la sustitución de un </w:t>
      </w:r>
      <w:r w:rsidR="00E30EEF">
        <w:rPr>
          <w:spacing w:val="-2"/>
        </w:rPr>
        <w:t>a</w:t>
      </w:r>
      <w:r w:rsidRPr="001B19B0">
        <w:rPr>
          <w:spacing w:val="-2"/>
        </w:rPr>
        <w:t xml:space="preserve">gente </w:t>
      </w:r>
      <w:r w:rsidR="00E30EEF">
        <w:rPr>
          <w:spacing w:val="-2"/>
        </w:rPr>
        <w:t>e</w:t>
      </w:r>
      <w:r>
        <w:rPr>
          <w:spacing w:val="-2"/>
        </w:rPr>
        <w:t xml:space="preserve">conómico </w:t>
      </w:r>
      <w:r w:rsidRPr="001B19B0">
        <w:rPr>
          <w:spacing w:val="-2"/>
        </w:rPr>
        <w:t xml:space="preserve">por otro </w:t>
      </w:r>
      <w:r>
        <w:rPr>
          <w:spacing w:val="-2"/>
        </w:rPr>
        <w:t>y no hay</w:t>
      </w:r>
      <w:r w:rsidRPr="001B19B0">
        <w:rPr>
          <w:spacing w:val="-2"/>
        </w:rPr>
        <w:t xml:space="preserve"> un cambio en la estructura de </w:t>
      </w:r>
      <w:r>
        <w:rPr>
          <w:spacing w:val="-2"/>
        </w:rPr>
        <w:t>l</w:t>
      </w:r>
      <w:r w:rsidRPr="001B19B0">
        <w:rPr>
          <w:spacing w:val="-2"/>
        </w:rPr>
        <w:t>os mercados.</w:t>
      </w:r>
      <w:r>
        <w:rPr>
          <w:spacing w:val="-2"/>
        </w:rPr>
        <w:t xml:space="preserve"> No obstante, se analizarán las participaciones de mercado y la capacidad de fijar precios o restringir abasto de ATC en los mercados relevantes.</w:t>
      </w:r>
    </w:p>
    <w:p w14:paraId="3B38F46A" w14:textId="77777777" w:rsidR="00086510" w:rsidRPr="0080222E" w:rsidRDefault="00086510" w:rsidP="009B0A36">
      <w:pPr>
        <w:pStyle w:val="Prrafodelista"/>
        <w:numPr>
          <w:ilvl w:val="0"/>
          <w:numId w:val="13"/>
        </w:numPr>
        <w:spacing w:before="120" w:after="120" w:line="240" w:lineRule="auto"/>
        <w:contextualSpacing w:val="0"/>
        <w:jc w:val="both"/>
      </w:pPr>
      <w:r w:rsidRPr="00E9565C">
        <w:t xml:space="preserve">La información aportada por los </w:t>
      </w:r>
      <w:r w:rsidR="00E30EEF">
        <w:t>a</w:t>
      </w:r>
      <w:r w:rsidRPr="00E9565C">
        <w:t xml:space="preserve">gentes </w:t>
      </w:r>
      <w:r w:rsidR="00E30EEF">
        <w:t>e</w:t>
      </w:r>
      <w:r w:rsidRPr="00E9565C">
        <w:t xml:space="preserve">conómicos que proveen </w:t>
      </w:r>
      <w:r>
        <w:t xml:space="preserve">los </w:t>
      </w:r>
      <w:r w:rsidRPr="00E9565C">
        <w:t>servicio</w:t>
      </w:r>
      <w:r>
        <w:t>s</w:t>
      </w:r>
      <w:r w:rsidRPr="00E9565C">
        <w:t xml:space="preserve"> de </w:t>
      </w:r>
      <w:r>
        <w:t xml:space="preserve">arrendamiento de </w:t>
      </w:r>
      <w:r w:rsidRPr="00E9565C">
        <w:t xml:space="preserve">enlaces permitió estimar las participaciones de mercado y </w:t>
      </w:r>
      <w:r>
        <w:t>el índice de concentración (IH</w:t>
      </w:r>
      <w:r w:rsidRPr="00854B98">
        <w:t>),</w:t>
      </w:r>
      <w:r>
        <w:t xml:space="preserve"> </w:t>
      </w:r>
      <w:r w:rsidRPr="00854B98">
        <w:t>en términos de ingresos, a nivel nacional</w:t>
      </w:r>
      <w:r>
        <w:t>.</w:t>
      </w:r>
      <w:r w:rsidR="005C7C17">
        <w:rPr>
          <w:rStyle w:val="Refdenotaalpie"/>
        </w:rPr>
        <w:footnoteReference w:id="244"/>
      </w:r>
      <w:r>
        <w:t xml:space="preserve"> A continuación, se presentan </w:t>
      </w:r>
      <w:r w:rsidRPr="0080222E">
        <w:t>los indicadores mencionados para los mercados relevantes especificados en el párrafo 13</w:t>
      </w:r>
      <w:r w:rsidR="006505DE" w:rsidRPr="0080222E">
        <w:t>3</w:t>
      </w:r>
      <w:r w:rsidRPr="0080222E">
        <w:t>, ordenados por tipo de tecnología: TDM, Ethernet y MPLS.</w:t>
      </w:r>
    </w:p>
    <w:p w14:paraId="13055676" w14:textId="77777777" w:rsidR="00086510" w:rsidRPr="00DF695B" w:rsidRDefault="00086510" w:rsidP="009B0A36">
      <w:pPr>
        <w:pStyle w:val="Ttulo5"/>
        <w:numPr>
          <w:ilvl w:val="2"/>
          <w:numId w:val="25"/>
        </w:numPr>
        <w:rPr>
          <w:b/>
          <w:i w:val="0"/>
        </w:rPr>
      </w:pPr>
      <w:r w:rsidRPr="00DF695B">
        <w:rPr>
          <w:b/>
          <w:i w:val="0"/>
        </w:rPr>
        <w:t>Enlaces TDM</w:t>
      </w:r>
    </w:p>
    <w:p w14:paraId="4ED29913" w14:textId="77777777" w:rsidR="00086510" w:rsidRDefault="00086510" w:rsidP="009B0A36">
      <w:pPr>
        <w:pStyle w:val="Prrafodelista"/>
        <w:numPr>
          <w:ilvl w:val="0"/>
          <w:numId w:val="13"/>
        </w:numPr>
        <w:spacing w:before="120" w:after="120" w:line="240" w:lineRule="auto"/>
        <w:contextualSpacing w:val="0"/>
        <w:jc w:val="both"/>
      </w:pPr>
      <w:r>
        <w:t xml:space="preserve">En la Tabla 9, se muestran las participaciones de mercado de los principales </w:t>
      </w:r>
      <w:r w:rsidR="00E30EEF">
        <w:t>a</w:t>
      </w:r>
      <w:r>
        <w:t xml:space="preserve">gentes </w:t>
      </w:r>
      <w:r w:rsidR="00E30EEF">
        <w:t>e</w:t>
      </w:r>
      <w:r>
        <w:t xml:space="preserve">conómicos de los servicios minoristas de arrendamiento de enlaces dedicados TDM locales y de los servicios mayoristas de arrendamiento de enlaces </w:t>
      </w:r>
      <w:r>
        <w:lastRenderedPageBreak/>
        <w:t>dedicados TDM locales y de larga distancia nacional para el año dos mil diecisiete,</w:t>
      </w:r>
      <w:r w:rsidRPr="00854B98">
        <w:rPr>
          <w:iCs/>
          <w:vertAlign w:val="superscript"/>
        </w:rPr>
        <w:footnoteReference w:id="245"/>
      </w:r>
      <w:r>
        <w:t xml:space="preserve"> en los cuales participan las sociedades adquiridas.</w:t>
      </w:r>
    </w:p>
    <w:p w14:paraId="00474E30" w14:textId="77777777" w:rsidR="00086510" w:rsidRPr="00AD6B88" w:rsidRDefault="00086510" w:rsidP="00490093">
      <w:pPr>
        <w:keepNext/>
        <w:keepLines/>
        <w:spacing w:after="0"/>
        <w:jc w:val="center"/>
        <w:rPr>
          <w:b/>
          <w:sz w:val="18"/>
        </w:rPr>
      </w:pPr>
      <w:r w:rsidRPr="00AD6B88">
        <w:rPr>
          <w:b/>
          <w:sz w:val="18"/>
        </w:rPr>
        <w:t xml:space="preserve">Tabla </w:t>
      </w:r>
      <w:r>
        <w:rPr>
          <w:b/>
          <w:sz w:val="18"/>
        </w:rPr>
        <w:t>9</w:t>
      </w:r>
      <w:r w:rsidRPr="00AD6B88">
        <w:rPr>
          <w:b/>
          <w:sz w:val="18"/>
        </w:rPr>
        <w:t xml:space="preserve">. Participaciones de mercado </w:t>
      </w:r>
      <w:r w:rsidRPr="00DF212B">
        <w:rPr>
          <w:b/>
          <w:sz w:val="18"/>
        </w:rPr>
        <w:t xml:space="preserve">e índices de concentración </w:t>
      </w:r>
      <w:r w:rsidRPr="00AD6B88">
        <w:rPr>
          <w:b/>
          <w:sz w:val="18"/>
        </w:rPr>
        <w:t xml:space="preserve">del servicio de arrendamiento de enlaces </w:t>
      </w:r>
      <w:r>
        <w:rPr>
          <w:b/>
          <w:sz w:val="18"/>
        </w:rPr>
        <w:t xml:space="preserve">dedicados </w:t>
      </w:r>
      <w:r w:rsidRPr="00AD6B88">
        <w:rPr>
          <w:b/>
          <w:sz w:val="18"/>
        </w:rPr>
        <w:t>TDM</w:t>
      </w:r>
      <w:r>
        <w:rPr>
          <w:b/>
          <w:sz w:val="18"/>
        </w:rPr>
        <w:t xml:space="preserve">, </w:t>
      </w:r>
      <w:r w:rsidRPr="00AD6B88">
        <w:rPr>
          <w:b/>
          <w:sz w:val="18"/>
        </w:rPr>
        <w:t>a nivel nacional</w:t>
      </w:r>
      <w:r>
        <w:rPr>
          <w:b/>
          <w:sz w:val="18"/>
        </w:rPr>
        <w:t>,</w:t>
      </w:r>
      <w:r w:rsidRPr="00AD6B88">
        <w:rPr>
          <w:b/>
          <w:sz w:val="18"/>
        </w:rPr>
        <w:t xml:space="preserve"> por tipo de cobertura geográfica</w:t>
      </w:r>
      <w:r>
        <w:rPr>
          <w:b/>
          <w:sz w:val="18"/>
        </w:rPr>
        <w:t xml:space="preserve"> y cliente, 2017</w:t>
      </w:r>
    </w:p>
    <w:tbl>
      <w:tblPr>
        <w:tblW w:w="6114" w:type="dxa"/>
        <w:jc w:val="center"/>
        <w:tblCellMar>
          <w:left w:w="70" w:type="dxa"/>
          <w:right w:w="70" w:type="dxa"/>
        </w:tblCellMar>
        <w:tblLook w:val="04A0" w:firstRow="1" w:lastRow="0" w:firstColumn="1" w:lastColumn="0" w:noHBand="0" w:noVBand="1"/>
      </w:tblPr>
      <w:tblGrid>
        <w:gridCol w:w="1325"/>
        <w:gridCol w:w="575"/>
        <w:gridCol w:w="275"/>
        <w:gridCol w:w="1364"/>
        <w:gridCol w:w="610"/>
        <w:gridCol w:w="6"/>
        <w:gridCol w:w="1369"/>
        <w:gridCol w:w="590"/>
      </w:tblGrid>
      <w:tr w:rsidR="00086510" w:rsidRPr="000C6885" w14:paraId="6B5393DE" w14:textId="77777777" w:rsidTr="00086510">
        <w:trPr>
          <w:jc w:val="center"/>
        </w:trPr>
        <w:tc>
          <w:tcPr>
            <w:tcW w:w="1900"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A8F4A93" w14:textId="77777777" w:rsidR="00086510" w:rsidRPr="000C6885" w:rsidRDefault="00086510" w:rsidP="00490093">
            <w:pPr>
              <w:keepNext/>
              <w:keepLines/>
              <w:spacing w:after="0"/>
              <w:jc w:val="center"/>
              <w:rPr>
                <w:rFonts w:eastAsia="Times New Roman" w:cs="Calibri"/>
                <w:b/>
                <w:bCs/>
                <w:color w:val="FFFFFF"/>
                <w:sz w:val="16"/>
                <w:szCs w:val="16"/>
                <w:lang w:eastAsia="es-MX"/>
              </w:rPr>
            </w:pPr>
            <w:r w:rsidRPr="000C6885">
              <w:rPr>
                <w:rFonts w:eastAsia="Times New Roman" w:cs="Calibri"/>
                <w:b/>
                <w:bCs/>
                <w:color w:val="FFFFFF"/>
                <w:sz w:val="16"/>
                <w:szCs w:val="16"/>
                <w:lang w:eastAsia="es-MX"/>
              </w:rPr>
              <w:t>Minorista</w:t>
            </w:r>
          </w:p>
        </w:tc>
        <w:tc>
          <w:tcPr>
            <w:tcW w:w="275" w:type="dxa"/>
            <w:tcBorders>
              <w:top w:val="nil"/>
              <w:left w:val="nil"/>
              <w:bottom w:val="nil"/>
              <w:right w:val="single" w:sz="4" w:space="0" w:color="auto"/>
            </w:tcBorders>
            <w:shd w:val="clear" w:color="auto" w:fill="auto"/>
            <w:noWrap/>
            <w:vAlign w:val="bottom"/>
            <w:hideMark/>
          </w:tcPr>
          <w:p w14:paraId="762CB9A6" w14:textId="77777777" w:rsidR="00086510" w:rsidRPr="000C6885" w:rsidRDefault="00086510" w:rsidP="00490093">
            <w:pPr>
              <w:keepNext/>
              <w:keepLines/>
              <w:spacing w:after="0"/>
              <w:jc w:val="center"/>
              <w:rPr>
                <w:rFonts w:eastAsia="Times New Roman" w:cs="Calibri"/>
                <w:b/>
                <w:bCs/>
                <w:color w:val="FFFFFF"/>
                <w:sz w:val="16"/>
                <w:szCs w:val="16"/>
                <w:lang w:eastAsia="es-MX"/>
              </w:rPr>
            </w:pPr>
          </w:p>
        </w:tc>
        <w:tc>
          <w:tcPr>
            <w:tcW w:w="3939" w:type="dxa"/>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CDB1223" w14:textId="77777777" w:rsidR="00086510" w:rsidRPr="000C6885" w:rsidRDefault="00086510" w:rsidP="00490093">
            <w:pPr>
              <w:keepNext/>
              <w:keepLines/>
              <w:spacing w:after="0"/>
              <w:jc w:val="center"/>
              <w:rPr>
                <w:rFonts w:eastAsia="Times New Roman" w:cs="Calibri"/>
                <w:b/>
                <w:bCs/>
                <w:color w:val="FFFFFF"/>
                <w:sz w:val="16"/>
                <w:szCs w:val="16"/>
                <w:lang w:eastAsia="es-MX"/>
              </w:rPr>
            </w:pPr>
            <w:r w:rsidRPr="000C6885">
              <w:rPr>
                <w:rFonts w:eastAsia="Times New Roman" w:cs="Calibri"/>
                <w:b/>
                <w:bCs/>
                <w:color w:val="FFFFFF"/>
                <w:sz w:val="16"/>
                <w:szCs w:val="16"/>
                <w:lang w:eastAsia="es-MX"/>
              </w:rPr>
              <w:t>Mayorista</w:t>
            </w:r>
          </w:p>
        </w:tc>
      </w:tr>
      <w:tr w:rsidR="00086510" w:rsidRPr="000C6885" w14:paraId="4A230861" w14:textId="77777777" w:rsidTr="00086510">
        <w:trPr>
          <w:jc w:val="center"/>
        </w:trPr>
        <w:tc>
          <w:tcPr>
            <w:tcW w:w="1900"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05C8C9C" w14:textId="77777777" w:rsidR="00086510" w:rsidRPr="000C6885" w:rsidRDefault="00086510" w:rsidP="00490093">
            <w:pPr>
              <w:keepNext/>
              <w:keepLines/>
              <w:spacing w:after="0"/>
              <w:jc w:val="center"/>
              <w:rPr>
                <w:rFonts w:eastAsia="Times New Roman" w:cs="Calibri"/>
                <w:b/>
                <w:bCs/>
                <w:color w:val="FFFFFF"/>
                <w:sz w:val="16"/>
                <w:szCs w:val="16"/>
                <w:lang w:eastAsia="es-MX"/>
              </w:rPr>
            </w:pPr>
            <w:r w:rsidRPr="000C6885">
              <w:rPr>
                <w:rFonts w:eastAsia="Times New Roman" w:cs="Calibri"/>
                <w:b/>
                <w:bCs/>
                <w:color w:val="FFFFFF"/>
                <w:sz w:val="16"/>
                <w:szCs w:val="16"/>
                <w:lang w:eastAsia="es-MX"/>
              </w:rPr>
              <w:t>Local</w:t>
            </w:r>
          </w:p>
        </w:tc>
        <w:tc>
          <w:tcPr>
            <w:tcW w:w="275" w:type="dxa"/>
            <w:tcBorders>
              <w:top w:val="nil"/>
              <w:left w:val="nil"/>
              <w:bottom w:val="nil"/>
              <w:right w:val="single" w:sz="4" w:space="0" w:color="auto"/>
            </w:tcBorders>
            <w:shd w:val="clear" w:color="auto" w:fill="auto"/>
            <w:noWrap/>
            <w:vAlign w:val="bottom"/>
            <w:hideMark/>
          </w:tcPr>
          <w:p w14:paraId="798AF1F1" w14:textId="77777777" w:rsidR="00086510" w:rsidRPr="000C6885" w:rsidRDefault="00086510" w:rsidP="00490093">
            <w:pPr>
              <w:keepNext/>
              <w:keepLines/>
              <w:spacing w:after="0"/>
              <w:jc w:val="center"/>
              <w:rPr>
                <w:rFonts w:eastAsia="Times New Roman" w:cs="Calibri"/>
                <w:b/>
                <w:bCs/>
                <w:color w:val="FFFFFF"/>
                <w:sz w:val="16"/>
                <w:szCs w:val="16"/>
                <w:lang w:eastAsia="es-MX"/>
              </w:rPr>
            </w:pPr>
          </w:p>
        </w:tc>
        <w:tc>
          <w:tcPr>
            <w:tcW w:w="1980" w:type="dxa"/>
            <w:gridSpan w:val="3"/>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270B05F" w14:textId="77777777" w:rsidR="00086510" w:rsidRPr="000C6885" w:rsidRDefault="00086510" w:rsidP="00490093">
            <w:pPr>
              <w:keepNext/>
              <w:keepLines/>
              <w:spacing w:after="0"/>
              <w:jc w:val="center"/>
              <w:rPr>
                <w:rFonts w:eastAsia="Times New Roman" w:cs="Calibri"/>
                <w:b/>
                <w:bCs/>
                <w:color w:val="FFFFFF"/>
                <w:sz w:val="16"/>
                <w:szCs w:val="16"/>
                <w:lang w:eastAsia="es-MX"/>
              </w:rPr>
            </w:pPr>
            <w:r w:rsidRPr="000C6885">
              <w:rPr>
                <w:rFonts w:eastAsia="Times New Roman" w:cs="Calibri"/>
                <w:b/>
                <w:bCs/>
                <w:color w:val="FFFFFF"/>
                <w:sz w:val="16"/>
                <w:szCs w:val="16"/>
                <w:lang w:eastAsia="es-MX"/>
              </w:rPr>
              <w:t>Local</w:t>
            </w:r>
          </w:p>
        </w:tc>
        <w:tc>
          <w:tcPr>
            <w:tcW w:w="1959" w:type="dxa"/>
            <w:gridSpan w:val="2"/>
            <w:tcBorders>
              <w:top w:val="single" w:sz="4" w:space="0" w:color="auto"/>
              <w:left w:val="nil"/>
              <w:bottom w:val="single" w:sz="4" w:space="0" w:color="auto"/>
              <w:right w:val="single" w:sz="4" w:space="0" w:color="auto"/>
            </w:tcBorders>
            <w:shd w:val="clear" w:color="000000" w:fill="002060"/>
            <w:noWrap/>
            <w:vAlign w:val="bottom"/>
            <w:hideMark/>
          </w:tcPr>
          <w:p w14:paraId="182B247A" w14:textId="77777777" w:rsidR="00086510" w:rsidRPr="000C6885" w:rsidRDefault="00086510" w:rsidP="00490093">
            <w:pPr>
              <w:keepNext/>
              <w:keepLines/>
              <w:spacing w:after="0"/>
              <w:jc w:val="center"/>
              <w:rPr>
                <w:rFonts w:eastAsia="Times New Roman" w:cs="Calibri"/>
                <w:b/>
                <w:bCs/>
                <w:color w:val="FFFFFF"/>
                <w:sz w:val="16"/>
                <w:szCs w:val="16"/>
                <w:lang w:eastAsia="es-MX"/>
              </w:rPr>
            </w:pPr>
            <w:r w:rsidRPr="000C6885">
              <w:rPr>
                <w:rFonts w:eastAsia="Times New Roman" w:cs="Calibri"/>
                <w:b/>
                <w:bCs/>
                <w:color w:val="FFFFFF"/>
                <w:sz w:val="16"/>
                <w:szCs w:val="16"/>
                <w:lang w:eastAsia="es-MX"/>
              </w:rPr>
              <w:t>LDN</w:t>
            </w:r>
          </w:p>
        </w:tc>
      </w:tr>
      <w:tr w:rsidR="00086510" w:rsidRPr="000C6885" w14:paraId="696AF5BC" w14:textId="77777777" w:rsidTr="00086510">
        <w:trPr>
          <w:jc w:val="center"/>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3D054396"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AMX</w:t>
            </w:r>
            <w:r>
              <w:rPr>
                <w:rFonts w:eastAsia="Times New Roman" w:cs="Calibri"/>
                <w:color w:val="000000"/>
                <w:sz w:val="16"/>
                <w:szCs w:val="16"/>
                <w:lang w:eastAsia="es-MX"/>
              </w:rPr>
              <w:t>/Telesites</w:t>
            </w:r>
            <w:r w:rsidRPr="00E85247">
              <w:rPr>
                <w:rFonts w:eastAsia="Times New Roman" w:cs="Calibri"/>
                <w:color w:val="000000"/>
                <w:sz w:val="16"/>
                <w:szCs w:val="16"/>
                <w:vertAlign w:val="superscript"/>
                <w:lang w:eastAsia="es-MX"/>
              </w:rPr>
              <w:t>\b</w:t>
            </w:r>
          </w:p>
        </w:tc>
        <w:tc>
          <w:tcPr>
            <w:tcW w:w="575" w:type="dxa"/>
            <w:tcBorders>
              <w:top w:val="nil"/>
              <w:left w:val="nil"/>
              <w:bottom w:val="single" w:sz="4" w:space="0" w:color="auto"/>
              <w:right w:val="single" w:sz="4" w:space="0" w:color="auto"/>
            </w:tcBorders>
            <w:shd w:val="clear" w:color="auto" w:fill="auto"/>
            <w:noWrap/>
            <w:vAlign w:val="bottom"/>
            <w:hideMark/>
          </w:tcPr>
          <w:p w14:paraId="0DFE9CE0"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53.8%</w:t>
            </w:r>
          </w:p>
        </w:tc>
        <w:tc>
          <w:tcPr>
            <w:tcW w:w="275" w:type="dxa"/>
            <w:tcBorders>
              <w:top w:val="nil"/>
              <w:left w:val="nil"/>
              <w:bottom w:val="nil"/>
              <w:right w:val="single" w:sz="4" w:space="0" w:color="auto"/>
            </w:tcBorders>
            <w:shd w:val="clear" w:color="auto" w:fill="auto"/>
            <w:noWrap/>
            <w:vAlign w:val="bottom"/>
            <w:hideMark/>
          </w:tcPr>
          <w:p w14:paraId="7BD4E682" w14:textId="77777777" w:rsidR="00086510" w:rsidRPr="000C6885" w:rsidRDefault="00086510" w:rsidP="00490093">
            <w:pPr>
              <w:keepNext/>
              <w:keepLines/>
              <w:spacing w:after="0"/>
              <w:jc w:val="right"/>
              <w:rPr>
                <w:rFonts w:eastAsia="Times New Roman" w:cs="Calibri"/>
                <w:color w:val="000000"/>
                <w:sz w:val="16"/>
                <w:szCs w:val="16"/>
                <w:lang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319BFEB7"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AMX</w:t>
            </w:r>
            <w:r>
              <w:rPr>
                <w:rFonts w:eastAsia="Times New Roman" w:cs="Calibri"/>
                <w:color w:val="000000"/>
                <w:sz w:val="16"/>
                <w:szCs w:val="16"/>
                <w:lang w:eastAsia="es-MX"/>
              </w:rPr>
              <w:t>/Telesites</w:t>
            </w:r>
            <w:r w:rsidRPr="00E85247">
              <w:rPr>
                <w:rFonts w:eastAsia="Times New Roman" w:cs="Calibri"/>
                <w:color w:val="000000"/>
                <w:sz w:val="16"/>
                <w:szCs w:val="16"/>
                <w:vertAlign w:val="superscript"/>
                <w:lang w:eastAsia="es-MX"/>
              </w:rPr>
              <w:t>\b</w:t>
            </w:r>
          </w:p>
        </w:tc>
        <w:tc>
          <w:tcPr>
            <w:tcW w:w="610" w:type="dxa"/>
            <w:tcBorders>
              <w:top w:val="nil"/>
              <w:left w:val="nil"/>
              <w:bottom w:val="single" w:sz="4" w:space="0" w:color="auto"/>
              <w:right w:val="single" w:sz="4" w:space="0" w:color="auto"/>
            </w:tcBorders>
            <w:shd w:val="clear" w:color="auto" w:fill="auto"/>
            <w:noWrap/>
            <w:vAlign w:val="bottom"/>
            <w:hideMark/>
          </w:tcPr>
          <w:p w14:paraId="48878520"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76.2%</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120B03E1"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AMX</w:t>
            </w:r>
            <w:r>
              <w:rPr>
                <w:rFonts w:eastAsia="Times New Roman" w:cs="Calibri"/>
                <w:color w:val="000000"/>
                <w:sz w:val="16"/>
                <w:szCs w:val="16"/>
                <w:lang w:eastAsia="es-MX"/>
              </w:rPr>
              <w:t>/Telesites</w:t>
            </w:r>
            <w:r w:rsidRPr="00E85247">
              <w:rPr>
                <w:rFonts w:eastAsia="Times New Roman" w:cs="Calibri"/>
                <w:color w:val="000000"/>
                <w:sz w:val="16"/>
                <w:szCs w:val="16"/>
                <w:vertAlign w:val="superscript"/>
                <w:lang w:eastAsia="es-MX"/>
              </w:rPr>
              <w:t>\b</w:t>
            </w:r>
          </w:p>
        </w:tc>
        <w:tc>
          <w:tcPr>
            <w:tcW w:w="576" w:type="dxa"/>
            <w:tcBorders>
              <w:top w:val="nil"/>
              <w:left w:val="nil"/>
              <w:bottom w:val="single" w:sz="4" w:space="0" w:color="auto"/>
              <w:right w:val="single" w:sz="4" w:space="0" w:color="auto"/>
            </w:tcBorders>
            <w:shd w:val="clear" w:color="auto" w:fill="auto"/>
            <w:noWrap/>
            <w:vAlign w:val="bottom"/>
            <w:hideMark/>
          </w:tcPr>
          <w:p w14:paraId="4BA08DC1"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64.9%</w:t>
            </w:r>
          </w:p>
        </w:tc>
      </w:tr>
      <w:tr w:rsidR="00086510" w:rsidRPr="000C6885" w14:paraId="7BAA527C" w14:textId="77777777" w:rsidTr="00086510">
        <w:trPr>
          <w:jc w:val="center"/>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47621838"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Axtel</w:t>
            </w:r>
          </w:p>
        </w:tc>
        <w:tc>
          <w:tcPr>
            <w:tcW w:w="575" w:type="dxa"/>
            <w:tcBorders>
              <w:top w:val="nil"/>
              <w:left w:val="nil"/>
              <w:bottom w:val="single" w:sz="4" w:space="0" w:color="auto"/>
              <w:right w:val="single" w:sz="4" w:space="0" w:color="auto"/>
            </w:tcBorders>
            <w:shd w:val="clear" w:color="auto" w:fill="auto"/>
            <w:noWrap/>
            <w:vAlign w:val="bottom"/>
            <w:hideMark/>
          </w:tcPr>
          <w:p w14:paraId="1947FDE7"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39.2%</w:t>
            </w:r>
          </w:p>
        </w:tc>
        <w:tc>
          <w:tcPr>
            <w:tcW w:w="275" w:type="dxa"/>
            <w:tcBorders>
              <w:top w:val="nil"/>
              <w:left w:val="nil"/>
              <w:bottom w:val="nil"/>
              <w:right w:val="single" w:sz="4" w:space="0" w:color="auto"/>
            </w:tcBorders>
            <w:shd w:val="clear" w:color="auto" w:fill="auto"/>
            <w:noWrap/>
            <w:vAlign w:val="bottom"/>
            <w:hideMark/>
          </w:tcPr>
          <w:p w14:paraId="79E44D6C" w14:textId="77777777" w:rsidR="00086510" w:rsidRPr="000C6885" w:rsidRDefault="00086510" w:rsidP="00490093">
            <w:pPr>
              <w:keepNext/>
              <w:keepLines/>
              <w:spacing w:after="0"/>
              <w:jc w:val="right"/>
              <w:rPr>
                <w:rFonts w:eastAsia="Times New Roman" w:cs="Calibri"/>
                <w:color w:val="000000"/>
                <w:sz w:val="16"/>
                <w:szCs w:val="16"/>
                <w:lang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467B2584"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Axtel</w:t>
            </w:r>
          </w:p>
        </w:tc>
        <w:tc>
          <w:tcPr>
            <w:tcW w:w="610" w:type="dxa"/>
            <w:tcBorders>
              <w:top w:val="nil"/>
              <w:left w:val="nil"/>
              <w:bottom w:val="single" w:sz="4" w:space="0" w:color="auto"/>
              <w:right w:val="single" w:sz="4" w:space="0" w:color="auto"/>
            </w:tcBorders>
            <w:shd w:val="clear" w:color="auto" w:fill="auto"/>
            <w:noWrap/>
            <w:vAlign w:val="bottom"/>
            <w:hideMark/>
          </w:tcPr>
          <w:p w14:paraId="7D5B0766"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18.5%</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2837DB14"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GTAC</w:t>
            </w:r>
          </w:p>
        </w:tc>
        <w:tc>
          <w:tcPr>
            <w:tcW w:w="576" w:type="dxa"/>
            <w:tcBorders>
              <w:top w:val="nil"/>
              <w:left w:val="nil"/>
              <w:bottom w:val="single" w:sz="4" w:space="0" w:color="auto"/>
              <w:right w:val="single" w:sz="4" w:space="0" w:color="auto"/>
            </w:tcBorders>
            <w:shd w:val="clear" w:color="auto" w:fill="auto"/>
            <w:noWrap/>
            <w:vAlign w:val="bottom"/>
            <w:hideMark/>
          </w:tcPr>
          <w:p w14:paraId="01DC4E09"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17.2%</w:t>
            </w:r>
          </w:p>
        </w:tc>
      </w:tr>
      <w:tr w:rsidR="00086510" w:rsidRPr="000C6885" w14:paraId="635AFC09" w14:textId="77777777" w:rsidTr="00086510">
        <w:trPr>
          <w:jc w:val="center"/>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502B4720"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Pegaso</w:t>
            </w:r>
          </w:p>
        </w:tc>
        <w:tc>
          <w:tcPr>
            <w:tcW w:w="575" w:type="dxa"/>
            <w:tcBorders>
              <w:top w:val="nil"/>
              <w:left w:val="nil"/>
              <w:bottom w:val="single" w:sz="4" w:space="0" w:color="auto"/>
              <w:right w:val="single" w:sz="4" w:space="0" w:color="auto"/>
            </w:tcBorders>
            <w:shd w:val="clear" w:color="auto" w:fill="auto"/>
            <w:noWrap/>
            <w:vAlign w:val="bottom"/>
            <w:hideMark/>
          </w:tcPr>
          <w:p w14:paraId="27546C92"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5.5%</w:t>
            </w:r>
          </w:p>
        </w:tc>
        <w:tc>
          <w:tcPr>
            <w:tcW w:w="275" w:type="dxa"/>
            <w:tcBorders>
              <w:top w:val="nil"/>
              <w:left w:val="nil"/>
              <w:bottom w:val="nil"/>
              <w:right w:val="single" w:sz="4" w:space="0" w:color="auto"/>
            </w:tcBorders>
            <w:shd w:val="clear" w:color="auto" w:fill="auto"/>
            <w:noWrap/>
            <w:vAlign w:val="bottom"/>
            <w:hideMark/>
          </w:tcPr>
          <w:p w14:paraId="6CD5DDA0" w14:textId="77777777" w:rsidR="00086510" w:rsidRPr="000C6885" w:rsidRDefault="00086510" w:rsidP="00490093">
            <w:pPr>
              <w:keepNext/>
              <w:keepLines/>
              <w:spacing w:after="0"/>
              <w:jc w:val="right"/>
              <w:rPr>
                <w:rFonts w:eastAsia="Times New Roman" w:cs="Calibri"/>
                <w:color w:val="000000"/>
                <w:sz w:val="16"/>
                <w:szCs w:val="16"/>
                <w:lang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63A432FE" w14:textId="77777777" w:rsidR="00086510" w:rsidRPr="000C6885" w:rsidRDefault="00086510" w:rsidP="00490093">
            <w:pPr>
              <w:keepNext/>
              <w:keepLines/>
              <w:spacing w:after="0"/>
              <w:rPr>
                <w:rFonts w:eastAsia="Times New Roman" w:cs="Calibri"/>
                <w:b/>
                <w:bCs/>
                <w:color w:val="000000"/>
                <w:sz w:val="16"/>
                <w:szCs w:val="16"/>
                <w:lang w:eastAsia="es-MX"/>
              </w:rPr>
            </w:pPr>
            <w:r>
              <w:rPr>
                <w:rFonts w:eastAsia="Times New Roman" w:cs="Calibri"/>
                <w:b/>
                <w:color w:val="000000"/>
                <w:sz w:val="16"/>
                <w:szCs w:val="16"/>
                <w:lang w:eastAsia="es-MX"/>
              </w:rPr>
              <w:t>ATC</w:t>
            </w:r>
            <w:r w:rsidRPr="00B71F2B">
              <w:rPr>
                <w:rFonts w:eastAsia="Times New Roman" w:cs="Calibri"/>
                <w:b/>
                <w:bCs/>
                <w:color w:val="000000"/>
                <w:sz w:val="16"/>
                <w:szCs w:val="16"/>
                <w:vertAlign w:val="superscript"/>
                <w:lang w:eastAsia="es-MX"/>
              </w:rPr>
              <w:t>\a</w:t>
            </w:r>
          </w:p>
        </w:tc>
        <w:tc>
          <w:tcPr>
            <w:tcW w:w="610" w:type="dxa"/>
            <w:tcBorders>
              <w:top w:val="nil"/>
              <w:left w:val="nil"/>
              <w:bottom w:val="single" w:sz="4" w:space="0" w:color="auto"/>
              <w:right w:val="single" w:sz="4" w:space="0" w:color="auto"/>
            </w:tcBorders>
            <w:shd w:val="clear" w:color="auto" w:fill="auto"/>
            <w:noWrap/>
            <w:vAlign w:val="bottom"/>
            <w:hideMark/>
          </w:tcPr>
          <w:p w14:paraId="2D451B75" w14:textId="77777777" w:rsidR="00086510" w:rsidRPr="000C6885" w:rsidRDefault="00086510" w:rsidP="00490093">
            <w:pPr>
              <w:keepNext/>
              <w:keepLines/>
              <w:spacing w:after="0"/>
              <w:jc w:val="right"/>
              <w:rPr>
                <w:rFonts w:eastAsia="Times New Roman" w:cs="Calibri"/>
                <w:b/>
                <w:bCs/>
                <w:color w:val="000000"/>
                <w:sz w:val="16"/>
                <w:szCs w:val="16"/>
                <w:lang w:eastAsia="es-MX"/>
              </w:rPr>
            </w:pPr>
            <w:r w:rsidRPr="000C6885">
              <w:rPr>
                <w:rFonts w:eastAsia="Times New Roman" w:cs="Calibri"/>
                <w:b/>
                <w:bCs/>
                <w:color w:val="000000"/>
                <w:sz w:val="16"/>
                <w:szCs w:val="16"/>
                <w:lang w:eastAsia="es-MX"/>
              </w:rPr>
              <w:t>2.9%</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4F3B2188"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Axtel</w:t>
            </w:r>
          </w:p>
        </w:tc>
        <w:tc>
          <w:tcPr>
            <w:tcW w:w="576" w:type="dxa"/>
            <w:tcBorders>
              <w:top w:val="nil"/>
              <w:left w:val="nil"/>
              <w:bottom w:val="single" w:sz="4" w:space="0" w:color="auto"/>
              <w:right w:val="single" w:sz="4" w:space="0" w:color="auto"/>
            </w:tcBorders>
            <w:shd w:val="clear" w:color="auto" w:fill="auto"/>
            <w:noWrap/>
            <w:vAlign w:val="bottom"/>
            <w:hideMark/>
          </w:tcPr>
          <w:p w14:paraId="2A8249EE"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14.0%</w:t>
            </w:r>
          </w:p>
        </w:tc>
      </w:tr>
      <w:tr w:rsidR="00086510" w:rsidRPr="000C6885" w14:paraId="70AEB3B5" w14:textId="77777777" w:rsidTr="00086510">
        <w:trPr>
          <w:jc w:val="center"/>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3483D789"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GTV</w:t>
            </w:r>
            <w:r>
              <w:rPr>
                <w:rFonts w:eastAsia="Times New Roman" w:cs="Calibri"/>
                <w:color w:val="000000"/>
                <w:sz w:val="16"/>
                <w:szCs w:val="16"/>
                <w:vertAlign w:val="superscript"/>
                <w:lang w:eastAsia="es-MX"/>
              </w:rPr>
              <w:t>\c</w:t>
            </w:r>
          </w:p>
        </w:tc>
        <w:tc>
          <w:tcPr>
            <w:tcW w:w="575" w:type="dxa"/>
            <w:tcBorders>
              <w:top w:val="nil"/>
              <w:left w:val="nil"/>
              <w:bottom w:val="single" w:sz="4" w:space="0" w:color="auto"/>
              <w:right w:val="single" w:sz="4" w:space="0" w:color="auto"/>
            </w:tcBorders>
            <w:shd w:val="clear" w:color="auto" w:fill="auto"/>
            <w:noWrap/>
            <w:vAlign w:val="bottom"/>
            <w:hideMark/>
          </w:tcPr>
          <w:p w14:paraId="40F07CAF"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1.3%</w:t>
            </w:r>
          </w:p>
        </w:tc>
        <w:tc>
          <w:tcPr>
            <w:tcW w:w="275" w:type="dxa"/>
            <w:tcBorders>
              <w:top w:val="nil"/>
              <w:left w:val="nil"/>
              <w:bottom w:val="nil"/>
              <w:right w:val="single" w:sz="4" w:space="0" w:color="auto"/>
            </w:tcBorders>
            <w:shd w:val="clear" w:color="auto" w:fill="auto"/>
            <w:noWrap/>
            <w:vAlign w:val="bottom"/>
            <w:hideMark/>
          </w:tcPr>
          <w:p w14:paraId="64EC1E36" w14:textId="77777777" w:rsidR="00086510" w:rsidRPr="000C6885" w:rsidRDefault="00086510" w:rsidP="00490093">
            <w:pPr>
              <w:keepNext/>
              <w:keepLines/>
              <w:spacing w:after="0"/>
              <w:jc w:val="right"/>
              <w:rPr>
                <w:rFonts w:eastAsia="Times New Roman" w:cs="Calibri"/>
                <w:color w:val="000000"/>
                <w:sz w:val="16"/>
                <w:szCs w:val="16"/>
                <w:lang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514FF940"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Megacable</w:t>
            </w:r>
          </w:p>
        </w:tc>
        <w:tc>
          <w:tcPr>
            <w:tcW w:w="610" w:type="dxa"/>
            <w:tcBorders>
              <w:top w:val="nil"/>
              <w:left w:val="nil"/>
              <w:bottom w:val="single" w:sz="4" w:space="0" w:color="auto"/>
              <w:right w:val="single" w:sz="4" w:space="0" w:color="auto"/>
            </w:tcBorders>
            <w:shd w:val="clear" w:color="auto" w:fill="auto"/>
            <w:noWrap/>
            <w:vAlign w:val="bottom"/>
            <w:hideMark/>
          </w:tcPr>
          <w:p w14:paraId="0419DADB"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1.0%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6EEDA56C"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GTV</w:t>
            </w:r>
            <w:r w:rsidRPr="00F83937">
              <w:rPr>
                <w:rFonts w:eastAsia="Times New Roman" w:cs="Calibri"/>
                <w:color w:val="000000"/>
                <w:sz w:val="16"/>
                <w:szCs w:val="16"/>
                <w:vertAlign w:val="superscript"/>
                <w:lang w:eastAsia="es-MX"/>
              </w:rPr>
              <w:t>\</w:t>
            </w:r>
            <w:r>
              <w:rPr>
                <w:rFonts w:eastAsia="Times New Roman" w:cs="Calibri"/>
                <w:color w:val="000000"/>
                <w:sz w:val="16"/>
                <w:szCs w:val="16"/>
                <w:vertAlign w:val="superscript"/>
                <w:lang w:eastAsia="es-MX"/>
              </w:rPr>
              <w:t>d</w:t>
            </w:r>
          </w:p>
        </w:tc>
        <w:tc>
          <w:tcPr>
            <w:tcW w:w="576" w:type="dxa"/>
            <w:tcBorders>
              <w:top w:val="nil"/>
              <w:left w:val="nil"/>
              <w:bottom w:val="single" w:sz="4" w:space="0" w:color="auto"/>
              <w:right w:val="single" w:sz="4" w:space="0" w:color="auto"/>
            </w:tcBorders>
            <w:shd w:val="clear" w:color="auto" w:fill="auto"/>
            <w:noWrap/>
            <w:vAlign w:val="bottom"/>
            <w:hideMark/>
          </w:tcPr>
          <w:p w14:paraId="2DF02456"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2.5%</w:t>
            </w:r>
          </w:p>
        </w:tc>
      </w:tr>
      <w:tr w:rsidR="00086510" w:rsidRPr="000C6885" w14:paraId="7EA3B477" w14:textId="77777777" w:rsidTr="00086510">
        <w:trPr>
          <w:jc w:val="center"/>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793116FE" w14:textId="77777777" w:rsidR="00086510" w:rsidRPr="000C6885" w:rsidRDefault="00086510" w:rsidP="00490093">
            <w:pPr>
              <w:keepNext/>
              <w:keepLines/>
              <w:spacing w:after="0"/>
              <w:rPr>
                <w:rFonts w:eastAsia="Times New Roman" w:cs="Calibri"/>
                <w:b/>
                <w:bCs/>
                <w:color w:val="000000"/>
                <w:sz w:val="16"/>
                <w:szCs w:val="16"/>
                <w:lang w:eastAsia="es-MX"/>
              </w:rPr>
            </w:pPr>
            <w:r>
              <w:rPr>
                <w:rFonts w:eastAsia="Times New Roman" w:cs="Calibri"/>
                <w:b/>
                <w:color w:val="000000"/>
                <w:sz w:val="16"/>
                <w:szCs w:val="16"/>
                <w:lang w:eastAsia="es-MX"/>
              </w:rPr>
              <w:t>ATC</w:t>
            </w:r>
            <w:r w:rsidRPr="00B71F2B">
              <w:rPr>
                <w:rFonts w:eastAsia="Times New Roman" w:cs="Calibri"/>
                <w:b/>
                <w:bCs/>
                <w:color w:val="000000"/>
                <w:sz w:val="16"/>
                <w:szCs w:val="16"/>
                <w:vertAlign w:val="superscript"/>
                <w:lang w:eastAsia="es-MX"/>
              </w:rPr>
              <w:t>\a</w:t>
            </w:r>
          </w:p>
        </w:tc>
        <w:tc>
          <w:tcPr>
            <w:tcW w:w="575" w:type="dxa"/>
            <w:tcBorders>
              <w:top w:val="nil"/>
              <w:left w:val="nil"/>
              <w:bottom w:val="single" w:sz="4" w:space="0" w:color="auto"/>
              <w:right w:val="single" w:sz="4" w:space="0" w:color="auto"/>
            </w:tcBorders>
            <w:shd w:val="clear" w:color="auto" w:fill="auto"/>
            <w:noWrap/>
            <w:vAlign w:val="bottom"/>
            <w:hideMark/>
          </w:tcPr>
          <w:p w14:paraId="6B4C125F" w14:textId="77777777" w:rsidR="00086510" w:rsidRPr="000C6885" w:rsidRDefault="00086510" w:rsidP="00490093">
            <w:pPr>
              <w:keepNext/>
              <w:keepLines/>
              <w:spacing w:after="0"/>
              <w:jc w:val="right"/>
              <w:rPr>
                <w:rFonts w:eastAsia="Times New Roman" w:cs="Calibri"/>
                <w:b/>
                <w:bCs/>
                <w:color w:val="000000"/>
                <w:sz w:val="16"/>
                <w:szCs w:val="16"/>
                <w:lang w:eastAsia="es-MX"/>
              </w:rPr>
            </w:pPr>
            <w:r w:rsidRPr="000C6885">
              <w:rPr>
                <w:rFonts w:eastAsia="Times New Roman" w:cs="Calibri"/>
                <w:b/>
                <w:bCs/>
                <w:color w:val="000000"/>
                <w:sz w:val="16"/>
                <w:szCs w:val="16"/>
                <w:lang w:eastAsia="es-MX"/>
              </w:rPr>
              <w:t>0.1%</w:t>
            </w:r>
          </w:p>
        </w:tc>
        <w:tc>
          <w:tcPr>
            <w:tcW w:w="275" w:type="dxa"/>
            <w:tcBorders>
              <w:top w:val="nil"/>
              <w:left w:val="nil"/>
              <w:bottom w:val="nil"/>
              <w:right w:val="single" w:sz="4" w:space="0" w:color="auto"/>
            </w:tcBorders>
            <w:shd w:val="clear" w:color="auto" w:fill="auto"/>
            <w:noWrap/>
            <w:vAlign w:val="bottom"/>
            <w:hideMark/>
          </w:tcPr>
          <w:p w14:paraId="6069A957" w14:textId="77777777" w:rsidR="00086510" w:rsidRPr="000C6885" w:rsidRDefault="00086510" w:rsidP="00490093">
            <w:pPr>
              <w:keepNext/>
              <w:keepLines/>
              <w:spacing w:after="0"/>
              <w:jc w:val="right"/>
              <w:rPr>
                <w:rFonts w:eastAsia="Times New Roman" w:cs="Calibri"/>
                <w:b/>
                <w:bCs/>
                <w:color w:val="000000"/>
                <w:sz w:val="16"/>
                <w:szCs w:val="16"/>
                <w:lang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50925EEC"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Pegaso</w:t>
            </w:r>
          </w:p>
        </w:tc>
        <w:tc>
          <w:tcPr>
            <w:tcW w:w="610" w:type="dxa"/>
            <w:tcBorders>
              <w:top w:val="nil"/>
              <w:left w:val="nil"/>
              <w:bottom w:val="single" w:sz="4" w:space="0" w:color="auto"/>
              <w:right w:val="single" w:sz="4" w:space="0" w:color="auto"/>
            </w:tcBorders>
            <w:shd w:val="clear" w:color="auto" w:fill="auto"/>
            <w:noWrap/>
            <w:vAlign w:val="bottom"/>
            <w:hideMark/>
          </w:tcPr>
          <w:p w14:paraId="1A50684A"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0.7%</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19BDAF95" w14:textId="77777777" w:rsidR="00086510" w:rsidRPr="000C6885" w:rsidRDefault="00086510" w:rsidP="00490093">
            <w:pPr>
              <w:keepNext/>
              <w:keepLines/>
              <w:spacing w:after="0"/>
              <w:rPr>
                <w:rFonts w:eastAsia="Times New Roman" w:cs="Calibri"/>
                <w:b/>
                <w:bCs/>
                <w:color w:val="000000"/>
                <w:sz w:val="16"/>
                <w:szCs w:val="16"/>
                <w:lang w:eastAsia="es-MX"/>
              </w:rPr>
            </w:pPr>
            <w:r>
              <w:rPr>
                <w:rFonts w:eastAsia="Times New Roman" w:cs="Calibri"/>
                <w:b/>
                <w:color w:val="000000"/>
                <w:sz w:val="16"/>
                <w:szCs w:val="16"/>
                <w:lang w:eastAsia="es-MX"/>
              </w:rPr>
              <w:t>ATC</w:t>
            </w:r>
            <w:r w:rsidRPr="00B71F2B">
              <w:rPr>
                <w:rFonts w:eastAsia="Times New Roman" w:cs="Calibri"/>
                <w:b/>
                <w:bCs/>
                <w:color w:val="000000"/>
                <w:sz w:val="16"/>
                <w:szCs w:val="16"/>
                <w:vertAlign w:val="superscript"/>
                <w:lang w:eastAsia="es-MX"/>
              </w:rPr>
              <w:t>\a</w:t>
            </w:r>
          </w:p>
        </w:tc>
        <w:tc>
          <w:tcPr>
            <w:tcW w:w="576" w:type="dxa"/>
            <w:tcBorders>
              <w:top w:val="nil"/>
              <w:left w:val="nil"/>
              <w:bottom w:val="single" w:sz="4" w:space="0" w:color="auto"/>
              <w:right w:val="single" w:sz="4" w:space="0" w:color="auto"/>
            </w:tcBorders>
            <w:shd w:val="clear" w:color="auto" w:fill="auto"/>
            <w:noWrap/>
            <w:vAlign w:val="bottom"/>
            <w:hideMark/>
          </w:tcPr>
          <w:p w14:paraId="1D05B2A9" w14:textId="77777777" w:rsidR="00086510" w:rsidRPr="000C6885" w:rsidRDefault="00086510" w:rsidP="00490093">
            <w:pPr>
              <w:keepNext/>
              <w:keepLines/>
              <w:spacing w:after="0"/>
              <w:jc w:val="right"/>
              <w:rPr>
                <w:rFonts w:eastAsia="Times New Roman" w:cs="Calibri"/>
                <w:b/>
                <w:bCs/>
                <w:color w:val="000000"/>
                <w:sz w:val="16"/>
                <w:szCs w:val="16"/>
                <w:lang w:eastAsia="es-MX"/>
              </w:rPr>
            </w:pPr>
            <w:r w:rsidRPr="000C6885">
              <w:rPr>
                <w:rFonts w:eastAsia="Times New Roman" w:cs="Calibri"/>
                <w:b/>
                <w:bCs/>
                <w:color w:val="000000"/>
                <w:sz w:val="16"/>
                <w:szCs w:val="16"/>
                <w:lang w:eastAsia="es-MX"/>
              </w:rPr>
              <w:t>0.6%</w:t>
            </w:r>
          </w:p>
        </w:tc>
      </w:tr>
      <w:tr w:rsidR="00086510" w:rsidRPr="000C6885" w14:paraId="3654BF47" w14:textId="77777777" w:rsidTr="00086510">
        <w:trPr>
          <w:jc w:val="center"/>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694F2679"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IP Matrix</w:t>
            </w:r>
          </w:p>
        </w:tc>
        <w:tc>
          <w:tcPr>
            <w:tcW w:w="575" w:type="dxa"/>
            <w:tcBorders>
              <w:top w:val="nil"/>
              <w:left w:val="nil"/>
              <w:bottom w:val="single" w:sz="4" w:space="0" w:color="auto"/>
              <w:right w:val="single" w:sz="4" w:space="0" w:color="auto"/>
            </w:tcBorders>
            <w:shd w:val="clear" w:color="auto" w:fill="auto"/>
            <w:noWrap/>
            <w:vAlign w:val="bottom"/>
            <w:hideMark/>
          </w:tcPr>
          <w:p w14:paraId="1C83E9DE"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0.1%</w:t>
            </w:r>
          </w:p>
        </w:tc>
        <w:tc>
          <w:tcPr>
            <w:tcW w:w="275" w:type="dxa"/>
            <w:tcBorders>
              <w:top w:val="nil"/>
              <w:left w:val="nil"/>
              <w:bottom w:val="nil"/>
              <w:right w:val="single" w:sz="4" w:space="0" w:color="auto"/>
            </w:tcBorders>
            <w:shd w:val="clear" w:color="auto" w:fill="auto"/>
            <w:noWrap/>
            <w:vAlign w:val="bottom"/>
            <w:hideMark/>
          </w:tcPr>
          <w:p w14:paraId="0BAFB16F" w14:textId="77777777" w:rsidR="00086510" w:rsidRPr="000C6885" w:rsidRDefault="00086510" w:rsidP="00490093">
            <w:pPr>
              <w:keepNext/>
              <w:keepLines/>
              <w:spacing w:after="0"/>
              <w:jc w:val="right"/>
              <w:rPr>
                <w:rFonts w:eastAsia="Times New Roman" w:cs="Calibri"/>
                <w:color w:val="000000"/>
                <w:sz w:val="16"/>
                <w:szCs w:val="16"/>
                <w:lang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6E36A33F"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GTV</w:t>
            </w:r>
            <w:r w:rsidRPr="00F83937">
              <w:rPr>
                <w:rFonts w:eastAsia="Times New Roman" w:cs="Calibri"/>
                <w:color w:val="000000"/>
                <w:sz w:val="16"/>
                <w:szCs w:val="16"/>
                <w:vertAlign w:val="superscript"/>
                <w:lang w:eastAsia="es-MX"/>
              </w:rPr>
              <w:t>\</w:t>
            </w:r>
            <w:r>
              <w:rPr>
                <w:rFonts w:eastAsia="Times New Roman" w:cs="Calibri"/>
                <w:color w:val="000000"/>
                <w:sz w:val="16"/>
                <w:szCs w:val="16"/>
                <w:vertAlign w:val="superscript"/>
                <w:lang w:eastAsia="es-MX"/>
              </w:rPr>
              <w:t>d</w:t>
            </w:r>
          </w:p>
        </w:tc>
        <w:tc>
          <w:tcPr>
            <w:tcW w:w="610" w:type="dxa"/>
            <w:tcBorders>
              <w:top w:val="nil"/>
              <w:left w:val="nil"/>
              <w:bottom w:val="single" w:sz="4" w:space="0" w:color="auto"/>
              <w:right w:val="single" w:sz="4" w:space="0" w:color="auto"/>
            </w:tcBorders>
            <w:shd w:val="clear" w:color="auto" w:fill="auto"/>
            <w:noWrap/>
            <w:vAlign w:val="bottom"/>
            <w:hideMark/>
          </w:tcPr>
          <w:p w14:paraId="4121A35E"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0.5%</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4285342D"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IP Matrix</w:t>
            </w:r>
          </w:p>
        </w:tc>
        <w:tc>
          <w:tcPr>
            <w:tcW w:w="576" w:type="dxa"/>
            <w:tcBorders>
              <w:top w:val="nil"/>
              <w:left w:val="nil"/>
              <w:bottom w:val="single" w:sz="4" w:space="0" w:color="auto"/>
              <w:right w:val="single" w:sz="4" w:space="0" w:color="auto"/>
            </w:tcBorders>
            <w:shd w:val="clear" w:color="auto" w:fill="auto"/>
            <w:noWrap/>
            <w:vAlign w:val="bottom"/>
            <w:hideMark/>
          </w:tcPr>
          <w:p w14:paraId="0B2F72D3"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0.5%</w:t>
            </w:r>
          </w:p>
        </w:tc>
      </w:tr>
      <w:tr w:rsidR="00086510" w:rsidRPr="000C6885" w14:paraId="462DE398" w14:textId="77777777" w:rsidTr="00086510">
        <w:trPr>
          <w:jc w:val="center"/>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6C3ACA3A"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 </w:t>
            </w:r>
          </w:p>
        </w:tc>
        <w:tc>
          <w:tcPr>
            <w:tcW w:w="575" w:type="dxa"/>
            <w:tcBorders>
              <w:top w:val="nil"/>
              <w:left w:val="nil"/>
              <w:bottom w:val="single" w:sz="4" w:space="0" w:color="auto"/>
              <w:right w:val="single" w:sz="4" w:space="0" w:color="auto"/>
            </w:tcBorders>
            <w:shd w:val="clear" w:color="auto" w:fill="auto"/>
            <w:noWrap/>
            <w:vAlign w:val="bottom"/>
            <w:hideMark/>
          </w:tcPr>
          <w:p w14:paraId="266CFF32"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 </w:t>
            </w:r>
          </w:p>
        </w:tc>
        <w:tc>
          <w:tcPr>
            <w:tcW w:w="275" w:type="dxa"/>
            <w:tcBorders>
              <w:top w:val="nil"/>
              <w:left w:val="nil"/>
              <w:bottom w:val="nil"/>
              <w:right w:val="single" w:sz="4" w:space="0" w:color="auto"/>
            </w:tcBorders>
            <w:shd w:val="clear" w:color="auto" w:fill="auto"/>
            <w:noWrap/>
            <w:vAlign w:val="bottom"/>
            <w:hideMark/>
          </w:tcPr>
          <w:p w14:paraId="3E86D8D6" w14:textId="77777777" w:rsidR="00086510" w:rsidRPr="000C6885" w:rsidRDefault="00086510" w:rsidP="00490093">
            <w:pPr>
              <w:keepNext/>
              <w:keepLines/>
              <w:spacing w:after="0"/>
              <w:rPr>
                <w:rFonts w:eastAsia="Times New Roman" w:cs="Calibri"/>
                <w:color w:val="000000"/>
                <w:sz w:val="16"/>
                <w:szCs w:val="16"/>
                <w:lang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56396202"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IP Matrix</w:t>
            </w:r>
          </w:p>
        </w:tc>
        <w:tc>
          <w:tcPr>
            <w:tcW w:w="610" w:type="dxa"/>
            <w:tcBorders>
              <w:top w:val="nil"/>
              <w:left w:val="nil"/>
              <w:bottom w:val="single" w:sz="4" w:space="0" w:color="auto"/>
              <w:right w:val="single" w:sz="4" w:space="0" w:color="auto"/>
            </w:tcBorders>
            <w:shd w:val="clear" w:color="auto" w:fill="auto"/>
            <w:noWrap/>
            <w:vAlign w:val="bottom"/>
            <w:hideMark/>
          </w:tcPr>
          <w:p w14:paraId="7271BF84"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0.2%</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10CD0E29" w14:textId="77777777" w:rsidR="00086510" w:rsidRPr="000C6885" w:rsidRDefault="00086510" w:rsidP="00490093">
            <w:pPr>
              <w:keepNext/>
              <w:keepLines/>
              <w:spacing w:after="0"/>
              <w:rPr>
                <w:rFonts w:eastAsia="Times New Roman" w:cs="Calibri"/>
                <w:color w:val="000000"/>
                <w:sz w:val="16"/>
                <w:szCs w:val="16"/>
                <w:lang w:eastAsia="es-MX"/>
              </w:rPr>
            </w:pPr>
            <w:r w:rsidRPr="000C6885">
              <w:rPr>
                <w:rFonts w:eastAsia="Times New Roman" w:cs="Calibri"/>
                <w:color w:val="000000"/>
                <w:sz w:val="16"/>
                <w:szCs w:val="16"/>
                <w:lang w:eastAsia="es-MX"/>
              </w:rPr>
              <w:t>Megacable</w:t>
            </w:r>
          </w:p>
        </w:tc>
        <w:tc>
          <w:tcPr>
            <w:tcW w:w="576" w:type="dxa"/>
            <w:tcBorders>
              <w:top w:val="nil"/>
              <w:left w:val="nil"/>
              <w:bottom w:val="single" w:sz="4" w:space="0" w:color="auto"/>
              <w:right w:val="single" w:sz="4" w:space="0" w:color="auto"/>
            </w:tcBorders>
            <w:shd w:val="clear" w:color="auto" w:fill="auto"/>
            <w:noWrap/>
            <w:vAlign w:val="bottom"/>
            <w:hideMark/>
          </w:tcPr>
          <w:p w14:paraId="25A50141" w14:textId="77777777" w:rsidR="00086510" w:rsidRPr="000C6885" w:rsidRDefault="00086510" w:rsidP="00490093">
            <w:pPr>
              <w:keepNext/>
              <w:keepLines/>
              <w:spacing w:after="0"/>
              <w:jc w:val="right"/>
              <w:rPr>
                <w:rFonts w:eastAsia="Times New Roman" w:cs="Calibri"/>
                <w:color w:val="000000"/>
                <w:sz w:val="16"/>
                <w:szCs w:val="16"/>
                <w:lang w:eastAsia="es-MX"/>
              </w:rPr>
            </w:pPr>
            <w:r w:rsidRPr="000C6885">
              <w:rPr>
                <w:rFonts w:eastAsia="Times New Roman" w:cs="Calibri"/>
                <w:color w:val="000000"/>
                <w:sz w:val="16"/>
                <w:szCs w:val="16"/>
                <w:lang w:eastAsia="es-MX"/>
              </w:rPr>
              <w:t>0.2%</w:t>
            </w:r>
          </w:p>
        </w:tc>
      </w:tr>
      <w:tr w:rsidR="00086510" w:rsidRPr="000C6885" w14:paraId="75E168DD" w14:textId="77777777" w:rsidTr="00086510">
        <w:trPr>
          <w:jc w:val="center"/>
        </w:trPr>
        <w:tc>
          <w:tcPr>
            <w:tcW w:w="1325" w:type="dxa"/>
            <w:tcBorders>
              <w:top w:val="nil"/>
              <w:left w:val="single" w:sz="4" w:space="0" w:color="auto"/>
              <w:bottom w:val="single" w:sz="4" w:space="0" w:color="auto"/>
              <w:right w:val="single" w:sz="4" w:space="0" w:color="auto"/>
            </w:tcBorders>
            <w:shd w:val="clear" w:color="auto" w:fill="auto"/>
            <w:noWrap/>
            <w:vAlign w:val="bottom"/>
          </w:tcPr>
          <w:p w14:paraId="698114E9"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575" w:type="dxa"/>
            <w:tcBorders>
              <w:top w:val="nil"/>
              <w:left w:val="nil"/>
              <w:bottom w:val="single" w:sz="4" w:space="0" w:color="auto"/>
              <w:right w:val="single" w:sz="4" w:space="0" w:color="auto"/>
            </w:tcBorders>
            <w:shd w:val="clear" w:color="auto" w:fill="auto"/>
            <w:noWrap/>
            <w:vAlign w:val="bottom"/>
          </w:tcPr>
          <w:p w14:paraId="180C0E8E"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100%</w:t>
            </w:r>
          </w:p>
        </w:tc>
        <w:tc>
          <w:tcPr>
            <w:tcW w:w="275" w:type="dxa"/>
            <w:tcBorders>
              <w:top w:val="nil"/>
              <w:left w:val="nil"/>
              <w:bottom w:val="nil"/>
              <w:right w:val="single" w:sz="4" w:space="0" w:color="auto"/>
            </w:tcBorders>
            <w:shd w:val="clear" w:color="auto" w:fill="auto"/>
            <w:noWrap/>
            <w:vAlign w:val="bottom"/>
          </w:tcPr>
          <w:p w14:paraId="2197243F" w14:textId="77777777" w:rsidR="00086510" w:rsidRPr="000C6885" w:rsidRDefault="00086510" w:rsidP="00490093">
            <w:pPr>
              <w:keepNext/>
              <w:keepLines/>
              <w:spacing w:after="0"/>
              <w:jc w:val="center"/>
              <w:rPr>
                <w:rFonts w:eastAsia="Times New Roman" w:cs="Calibri"/>
                <w:b/>
                <w:bCs/>
                <w:color w:val="000000"/>
                <w:sz w:val="16"/>
                <w:szCs w:val="16"/>
                <w:lang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tcPr>
          <w:p w14:paraId="3E564361"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610" w:type="dxa"/>
            <w:tcBorders>
              <w:top w:val="nil"/>
              <w:left w:val="nil"/>
              <w:bottom w:val="single" w:sz="4" w:space="0" w:color="auto"/>
              <w:right w:val="single" w:sz="4" w:space="0" w:color="auto"/>
            </w:tcBorders>
            <w:shd w:val="clear" w:color="auto" w:fill="auto"/>
            <w:noWrap/>
            <w:vAlign w:val="bottom"/>
          </w:tcPr>
          <w:p w14:paraId="0E63A673"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100%</w:t>
            </w:r>
          </w:p>
        </w:tc>
        <w:tc>
          <w:tcPr>
            <w:tcW w:w="1375" w:type="dxa"/>
            <w:gridSpan w:val="2"/>
            <w:tcBorders>
              <w:top w:val="nil"/>
              <w:left w:val="nil"/>
              <w:bottom w:val="single" w:sz="4" w:space="0" w:color="auto"/>
              <w:right w:val="single" w:sz="4" w:space="0" w:color="auto"/>
            </w:tcBorders>
            <w:shd w:val="clear" w:color="auto" w:fill="auto"/>
            <w:noWrap/>
            <w:vAlign w:val="bottom"/>
          </w:tcPr>
          <w:p w14:paraId="1FF544D3"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576" w:type="dxa"/>
            <w:tcBorders>
              <w:top w:val="nil"/>
              <w:left w:val="nil"/>
              <w:bottom w:val="single" w:sz="4" w:space="0" w:color="auto"/>
              <w:right w:val="single" w:sz="4" w:space="0" w:color="auto"/>
            </w:tcBorders>
            <w:shd w:val="clear" w:color="auto" w:fill="auto"/>
            <w:noWrap/>
            <w:vAlign w:val="bottom"/>
          </w:tcPr>
          <w:p w14:paraId="1F5E0B3A"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100%</w:t>
            </w:r>
          </w:p>
        </w:tc>
      </w:tr>
      <w:tr w:rsidR="00086510" w:rsidRPr="000C6885" w14:paraId="094CFB46" w14:textId="77777777" w:rsidTr="00086510">
        <w:trPr>
          <w:jc w:val="center"/>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6380DA59"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sidRPr="000C6885">
              <w:rPr>
                <w:rFonts w:eastAsia="Times New Roman" w:cs="Calibri"/>
                <w:b/>
                <w:bCs/>
                <w:color w:val="000000"/>
                <w:sz w:val="16"/>
                <w:szCs w:val="16"/>
                <w:lang w:eastAsia="es-MX"/>
              </w:rPr>
              <w:t>IH</w:t>
            </w:r>
          </w:p>
        </w:tc>
        <w:tc>
          <w:tcPr>
            <w:tcW w:w="575" w:type="dxa"/>
            <w:tcBorders>
              <w:top w:val="nil"/>
              <w:left w:val="nil"/>
              <w:bottom w:val="single" w:sz="4" w:space="0" w:color="auto"/>
              <w:right w:val="single" w:sz="4" w:space="0" w:color="auto"/>
            </w:tcBorders>
            <w:shd w:val="clear" w:color="auto" w:fill="auto"/>
            <w:noWrap/>
            <w:vAlign w:val="bottom"/>
            <w:hideMark/>
          </w:tcPr>
          <w:p w14:paraId="6145701B"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sidRPr="000C6885">
              <w:rPr>
                <w:rFonts w:eastAsia="Times New Roman" w:cs="Calibri"/>
                <w:b/>
                <w:bCs/>
                <w:color w:val="000000"/>
                <w:sz w:val="16"/>
                <w:szCs w:val="16"/>
                <w:lang w:eastAsia="es-MX"/>
              </w:rPr>
              <w:t>4,458</w:t>
            </w:r>
          </w:p>
        </w:tc>
        <w:tc>
          <w:tcPr>
            <w:tcW w:w="275" w:type="dxa"/>
            <w:tcBorders>
              <w:top w:val="nil"/>
              <w:left w:val="nil"/>
              <w:bottom w:val="nil"/>
              <w:right w:val="single" w:sz="4" w:space="0" w:color="auto"/>
            </w:tcBorders>
            <w:shd w:val="clear" w:color="auto" w:fill="auto"/>
            <w:noWrap/>
            <w:vAlign w:val="bottom"/>
            <w:hideMark/>
          </w:tcPr>
          <w:p w14:paraId="3FEAAB9A" w14:textId="77777777" w:rsidR="00086510" w:rsidRPr="000C6885" w:rsidRDefault="00086510" w:rsidP="00490093">
            <w:pPr>
              <w:keepNext/>
              <w:keepLines/>
              <w:spacing w:after="0"/>
              <w:jc w:val="center"/>
              <w:rPr>
                <w:rFonts w:eastAsia="Times New Roman" w:cs="Calibri"/>
                <w:b/>
                <w:bCs/>
                <w:color w:val="000000"/>
                <w:sz w:val="16"/>
                <w:szCs w:val="16"/>
                <w:lang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28C60D16"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sidRPr="000C6885">
              <w:rPr>
                <w:rFonts w:eastAsia="Times New Roman" w:cs="Calibri"/>
                <w:b/>
                <w:bCs/>
                <w:color w:val="000000"/>
                <w:sz w:val="16"/>
                <w:szCs w:val="16"/>
                <w:lang w:eastAsia="es-MX"/>
              </w:rPr>
              <w:t>IH</w:t>
            </w:r>
          </w:p>
        </w:tc>
        <w:tc>
          <w:tcPr>
            <w:tcW w:w="610" w:type="dxa"/>
            <w:tcBorders>
              <w:top w:val="nil"/>
              <w:left w:val="nil"/>
              <w:bottom w:val="single" w:sz="4" w:space="0" w:color="auto"/>
              <w:right w:val="single" w:sz="4" w:space="0" w:color="auto"/>
            </w:tcBorders>
            <w:shd w:val="clear" w:color="auto" w:fill="auto"/>
            <w:noWrap/>
            <w:vAlign w:val="bottom"/>
            <w:hideMark/>
          </w:tcPr>
          <w:p w14:paraId="50F0CC2C"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sidRPr="000C6885">
              <w:rPr>
                <w:rFonts w:eastAsia="Times New Roman" w:cs="Calibri"/>
                <w:b/>
                <w:bCs/>
                <w:color w:val="000000"/>
                <w:sz w:val="16"/>
                <w:szCs w:val="16"/>
                <w:lang w:eastAsia="es-MX"/>
              </w:rPr>
              <w:t>6,154</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40D5A341"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sidRPr="000C6885">
              <w:rPr>
                <w:rFonts w:eastAsia="Times New Roman" w:cs="Calibri"/>
                <w:b/>
                <w:bCs/>
                <w:color w:val="000000"/>
                <w:sz w:val="16"/>
                <w:szCs w:val="16"/>
                <w:lang w:eastAsia="es-MX"/>
              </w:rPr>
              <w:t>IH</w:t>
            </w:r>
          </w:p>
        </w:tc>
        <w:tc>
          <w:tcPr>
            <w:tcW w:w="576" w:type="dxa"/>
            <w:tcBorders>
              <w:top w:val="nil"/>
              <w:left w:val="nil"/>
              <w:bottom w:val="single" w:sz="4" w:space="0" w:color="auto"/>
              <w:right w:val="single" w:sz="4" w:space="0" w:color="auto"/>
            </w:tcBorders>
            <w:shd w:val="clear" w:color="auto" w:fill="auto"/>
            <w:noWrap/>
            <w:vAlign w:val="bottom"/>
            <w:hideMark/>
          </w:tcPr>
          <w:p w14:paraId="5EE4C456" w14:textId="77777777" w:rsidR="00086510" w:rsidRPr="000C6885" w:rsidRDefault="00086510" w:rsidP="00490093">
            <w:pPr>
              <w:keepNext/>
              <w:keepLines/>
              <w:spacing w:after="0"/>
              <w:jc w:val="center"/>
              <w:rPr>
                <w:rFonts w:eastAsia="Times New Roman" w:cs="Calibri"/>
                <w:b/>
                <w:bCs/>
                <w:color w:val="000000"/>
                <w:sz w:val="16"/>
                <w:szCs w:val="16"/>
                <w:lang w:eastAsia="es-MX"/>
              </w:rPr>
            </w:pPr>
            <w:r w:rsidRPr="000C6885">
              <w:rPr>
                <w:rFonts w:eastAsia="Times New Roman" w:cs="Calibri"/>
                <w:b/>
                <w:bCs/>
                <w:color w:val="000000"/>
                <w:sz w:val="16"/>
                <w:szCs w:val="16"/>
                <w:lang w:eastAsia="es-MX"/>
              </w:rPr>
              <w:t>4,703</w:t>
            </w:r>
          </w:p>
        </w:tc>
      </w:tr>
    </w:tbl>
    <w:p w14:paraId="695072B6" w14:textId="77777777" w:rsidR="00086510" w:rsidRDefault="00086510" w:rsidP="00490093">
      <w:pPr>
        <w:keepNext/>
        <w:keepLines/>
        <w:spacing w:after="0"/>
        <w:jc w:val="both"/>
        <w:rPr>
          <w:sz w:val="16"/>
          <w:szCs w:val="16"/>
        </w:rPr>
      </w:pPr>
      <w:r>
        <w:rPr>
          <w:sz w:val="16"/>
          <w:szCs w:val="16"/>
        </w:rPr>
        <w:t>Notas:</w:t>
      </w:r>
    </w:p>
    <w:p w14:paraId="4E4D987E" w14:textId="77777777" w:rsidR="00086510" w:rsidRDefault="00086510" w:rsidP="00490093">
      <w:pPr>
        <w:pStyle w:val="Prrafodelista"/>
        <w:keepNext/>
        <w:keepLines/>
        <w:spacing w:after="0" w:line="240" w:lineRule="auto"/>
        <w:ind w:left="0"/>
        <w:contextualSpacing w:val="0"/>
        <w:jc w:val="both"/>
        <w:rPr>
          <w:sz w:val="16"/>
          <w:szCs w:val="16"/>
        </w:rPr>
      </w:pPr>
      <w:r w:rsidRPr="00CF4243">
        <w:rPr>
          <w:sz w:val="16"/>
          <w:szCs w:val="16"/>
          <w:vertAlign w:val="superscript"/>
        </w:rPr>
        <w:t>\a</w:t>
      </w:r>
      <w:r w:rsidRPr="00A022F6">
        <w:rPr>
          <w:sz w:val="16"/>
          <w:szCs w:val="16"/>
        </w:rPr>
        <w:t xml:space="preserve"> </w:t>
      </w:r>
      <w:r>
        <w:rPr>
          <w:sz w:val="16"/>
          <w:szCs w:val="16"/>
        </w:rPr>
        <w:t>Los ingresos de ATC i</w:t>
      </w:r>
      <w:r w:rsidRPr="00673243">
        <w:rPr>
          <w:sz w:val="16"/>
          <w:szCs w:val="16"/>
        </w:rPr>
        <w:t>ncluye</w:t>
      </w:r>
      <w:r>
        <w:rPr>
          <w:sz w:val="16"/>
          <w:szCs w:val="16"/>
        </w:rPr>
        <w:t>n</w:t>
      </w:r>
      <w:r w:rsidRPr="00673243">
        <w:rPr>
          <w:sz w:val="16"/>
          <w:szCs w:val="16"/>
        </w:rPr>
        <w:t xml:space="preserve"> los ingresos de Metro Net de enero a octubre de dos mil diecisiete y de </w:t>
      </w:r>
      <w:r>
        <w:rPr>
          <w:sz w:val="16"/>
          <w:szCs w:val="16"/>
        </w:rPr>
        <w:t>CFCA Telecomm</w:t>
      </w:r>
      <w:r w:rsidRPr="00673243">
        <w:rPr>
          <w:sz w:val="16"/>
          <w:szCs w:val="16"/>
        </w:rPr>
        <w:t xml:space="preserve"> </w:t>
      </w:r>
      <w:r>
        <w:rPr>
          <w:sz w:val="16"/>
          <w:szCs w:val="16"/>
        </w:rPr>
        <w:t xml:space="preserve">de </w:t>
      </w:r>
      <w:r w:rsidRPr="00673243">
        <w:rPr>
          <w:sz w:val="16"/>
          <w:szCs w:val="16"/>
        </w:rPr>
        <w:t xml:space="preserve">noviembre a diciembre de dos </w:t>
      </w:r>
      <w:r>
        <w:rPr>
          <w:sz w:val="16"/>
          <w:szCs w:val="16"/>
        </w:rPr>
        <w:t>mil diecisiete.</w:t>
      </w:r>
    </w:p>
    <w:p w14:paraId="11DFF497" w14:textId="77777777" w:rsidR="00086510" w:rsidRDefault="00086510" w:rsidP="00490093">
      <w:pPr>
        <w:pStyle w:val="Prrafodelista"/>
        <w:keepNext/>
        <w:keepLines/>
        <w:spacing w:after="0" w:line="240" w:lineRule="auto"/>
        <w:ind w:left="0"/>
        <w:contextualSpacing w:val="0"/>
        <w:jc w:val="both"/>
        <w:rPr>
          <w:sz w:val="16"/>
          <w:szCs w:val="16"/>
        </w:rPr>
      </w:pPr>
      <w:r w:rsidRPr="00CF4243">
        <w:rPr>
          <w:sz w:val="16"/>
          <w:szCs w:val="16"/>
          <w:vertAlign w:val="superscript"/>
        </w:rPr>
        <w:t>\b</w:t>
      </w:r>
      <w:r w:rsidRPr="00884AD8">
        <w:rPr>
          <w:sz w:val="16"/>
          <w:szCs w:val="16"/>
        </w:rPr>
        <w:t xml:space="preserve"> </w:t>
      </w:r>
      <w:r w:rsidRPr="00B20DC1">
        <w:rPr>
          <w:sz w:val="16"/>
          <w:szCs w:val="16"/>
        </w:rPr>
        <w:t xml:space="preserve">Los </w:t>
      </w:r>
      <w:r>
        <w:rPr>
          <w:sz w:val="16"/>
          <w:szCs w:val="16"/>
        </w:rPr>
        <w:t>i</w:t>
      </w:r>
      <w:r w:rsidRPr="00B20DC1">
        <w:rPr>
          <w:sz w:val="16"/>
          <w:szCs w:val="16"/>
        </w:rPr>
        <w:t>ngresos de AMX</w:t>
      </w:r>
      <w:r>
        <w:rPr>
          <w:sz w:val="16"/>
          <w:szCs w:val="16"/>
        </w:rPr>
        <w:t>/Telesites</w:t>
      </w:r>
      <w:r w:rsidRPr="00B20DC1">
        <w:rPr>
          <w:sz w:val="16"/>
          <w:szCs w:val="16"/>
        </w:rPr>
        <w:t xml:space="preserve"> desagregados por tipo de cliente </w:t>
      </w:r>
      <w:r>
        <w:rPr>
          <w:sz w:val="16"/>
          <w:szCs w:val="16"/>
        </w:rPr>
        <w:t xml:space="preserve">se estimaron a partir de </w:t>
      </w:r>
      <w:r w:rsidRPr="00B20DC1">
        <w:rPr>
          <w:sz w:val="16"/>
          <w:szCs w:val="16"/>
        </w:rPr>
        <w:t>los ingresos provenientes de partes relacionadas</w:t>
      </w:r>
      <w:r>
        <w:rPr>
          <w:sz w:val="16"/>
          <w:szCs w:val="16"/>
        </w:rPr>
        <w:t xml:space="preserve"> del grupo</w:t>
      </w:r>
      <w:r w:rsidRPr="00B20DC1">
        <w:rPr>
          <w:sz w:val="16"/>
          <w:szCs w:val="16"/>
        </w:rPr>
        <w:t>.</w:t>
      </w:r>
      <w:r>
        <w:rPr>
          <w:sz w:val="16"/>
          <w:szCs w:val="16"/>
        </w:rPr>
        <w:t xml:space="preserve"> Fojas 7911, 7912 y </w:t>
      </w:r>
      <w:r w:rsidRPr="00C15DE4">
        <w:rPr>
          <w:sz w:val="16"/>
          <w:szCs w:val="16"/>
        </w:rPr>
        <w:t>8738</w:t>
      </w:r>
      <w:r>
        <w:rPr>
          <w:sz w:val="16"/>
          <w:szCs w:val="16"/>
        </w:rPr>
        <w:t xml:space="preserve"> del Expediente.</w:t>
      </w:r>
    </w:p>
    <w:p w14:paraId="57B6FE06" w14:textId="77777777" w:rsidR="00086510" w:rsidRDefault="00086510" w:rsidP="00490093">
      <w:pPr>
        <w:pStyle w:val="Prrafodelista"/>
        <w:keepNext/>
        <w:keepLines/>
        <w:spacing w:after="0" w:line="240" w:lineRule="auto"/>
        <w:ind w:left="0"/>
        <w:contextualSpacing w:val="0"/>
        <w:jc w:val="both"/>
        <w:rPr>
          <w:sz w:val="16"/>
          <w:szCs w:val="16"/>
        </w:rPr>
      </w:pPr>
      <w:r w:rsidRPr="00CF4243">
        <w:rPr>
          <w:sz w:val="16"/>
          <w:szCs w:val="16"/>
          <w:vertAlign w:val="superscript"/>
        </w:rPr>
        <w:t>\c</w:t>
      </w:r>
      <w:r>
        <w:rPr>
          <w:sz w:val="16"/>
          <w:szCs w:val="16"/>
        </w:rPr>
        <w:t xml:space="preserve"> </w:t>
      </w:r>
      <w:r w:rsidRPr="00F83937">
        <w:rPr>
          <w:sz w:val="16"/>
          <w:szCs w:val="16"/>
        </w:rPr>
        <w:t>Los ingresos de TVI y Cablemás</w:t>
      </w:r>
      <w:r>
        <w:rPr>
          <w:sz w:val="16"/>
          <w:szCs w:val="16"/>
        </w:rPr>
        <w:t>,</w:t>
      </w:r>
      <w:r w:rsidRPr="00F83937">
        <w:rPr>
          <w:sz w:val="16"/>
          <w:szCs w:val="16"/>
        </w:rPr>
        <w:t xml:space="preserve"> </w:t>
      </w:r>
      <w:r>
        <w:rPr>
          <w:sz w:val="16"/>
          <w:szCs w:val="16"/>
        </w:rPr>
        <w:t>desagregados por tipo de cobertura, se estimaron con base en la distribución de los ingresos del resto de las sociedades de GTV.</w:t>
      </w:r>
    </w:p>
    <w:p w14:paraId="223C1CB9" w14:textId="77777777" w:rsidR="00086510" w:rsidRPr="00A022F6" w:rsidRDefault="00086510" w:rsidP="00490093">
      <w:pPr>
        <w:pStyle w:val="Prrafodelista"/>
        <w:keepNext/>
        <w:keepLines/>
        <w:spacing w:after="0" w:line="240" w:lineRule="auto"/>
        <w:ind w:left="0"/>
        <w:contextualSpacing w:val="0"/>
        <w:jc w:val="both"/>
        <w:rPr>
          <w:sz w:val="16"/>
          <w:szCs w:val="16"/>
        </w:rPr>
      </w:pPr>
      <w:r w:rsidRPr="00CF4243">
        <w:rPr>
          <w:sz w:val="16"/>
          <w:szCs w:val="16"/>
          <w:vertAlign w:val="superscript"/>
        </w:rPr>
        <w:t>\d</w:t>
      </w:r>
      <w:r>
        <w:rPr>
          <w:sz w:val="16"/>
          <w:szCs w:val="16"/>
        </w:rPr>
        <w:t xml:space="preserve"> Las participaciones de GTV se calcularon con información de Bestel, Metrored y Telecable.</w:t>
      </w:r>
    </w:p>
    <w:p w14:paraId="7726B84D" w14:textId="77777777" w:rsidR="00086510" w:rsidRDefault="00086510" w:rsidP="00490093">
      <w:pPr>
        <w:pStyle w:val="Prrafodelista"/>
        <w:keepNext/>
        <w:keepLines/>
        <w:spacing w:after="0" w:line="240" w:lineRule="auto"/>
        <w:ind w:left="0"/>
        <w:contextualSpacing w:val="0"/>
        <w:jc w:val="both"/>
        <w:rPr>
          <w:sz w:val="16"/>
          <w:szCs w:val="16"/>
        </w:rPr>
      </w:pPr>
      <w:r w:rsidRPr="00CF4243">
        <w:rPr>
          <w:sz w:val="16"/>
          <w:szCs w:val="16"/>
          <w:vertAlign w:val="superscript"/>
        </w:rPr>
        <w:t>\e</w:t>
      </w:r>
      <w:r w:rsidRPr="00A022F6">
        <w:rPr>
          <w:sz w:val="16"/>
          <w:szCs w:val="16"/>
        </w:rPr>
        <w:t xml:space="preserve"> </w:t>
      </w:r>
      <w:r>
        <w:rPr>
          <w:sz w:val="16"/>
          <w:szCs w:val="16"/>
        </w:rPr>
        <w:t>Cifras redondeadas.</w:t>
      </w:r>
    </w:p>
    <w:p w14:paraId="23794CAC" w14:textId="77777777" w:rsidR="00086510" w:rsidRDefault="00086510" w:rsidP="00490093">
      <w:pPr>
        <w:pStyle w:val="Prrafodelista"/>
        <w:keepNext/>
        <w:keepLines/>
        <w:spacing w:after="0" w:line="240" w:lineRule="auto"/>
        <w:ind w:left="0"/>
        <w:contextualSpacing w:val="0"/>
        <w:jc w:val="both"/>
        <w:rPr>
          <w:sz w:val="16"/>
          <w:szCs w:val="16"/>
        </w:rPr>
      </w:pPr>
      <w:r w:rsidRPr="00CF4243">
        <w:rPr>
          <w:sz w:val="16"/>
          <w:szCs w:val="16"/>
          <w:vertAlign w:val="superscript"/>
        </w:rPr>
        <w:t>\f</w:t>
      </w:r>
      <w:r>
        <w:rPr>
          <w:sz w:val="16"/>
          <w:szCs w:val="16"/>
        </w:rPr>
        <w:t xml:space="preserve"> Local: servicio de arrendamiento de enlaces dedicados locales.</w:t>
      </w:r>
    </w:p>
    <w:p w14:paraId="7F7F2F22" w14:textId="77777777" w:rsidR="00086510" w:rsidRPr="00A022F6" w:rsidRDefault="00086510" w:rsidP="00490093">
      <w:pPr>
        <w:pStyle w:val="Prrafodelista"/>
        <w:keepNext/>
        <w:keepLines/>
        <w:spacing w:after="0" w:line="240" w:lineRule="auto"/>
        <w:ind w:left="0"/>
        <w:contextualSpacing w:val="0"/>
        <w:jc w:val="both"/>
        <w:rPr>
          <w:sz w:val="16"/>
          <w:szCs w:val="16"/>
        </w:rPr>
      </w:pPr>
      <w:r w:rsidRPr="00CF4243">
        <w:rPr>
          <w:sz w:val="16"/>
          <w:szCs w:val="16"/>
          <w:vertAlign w:val="superscript"/>
        </w:rPr>
        <w:t>\g</w:t>
      </w:r>
      <w:r>
        <w:rPr>
          <w:sz w:val="16"/>
          <w:szCs w:val="16"/>
        </w:rPr>
        <w:t xml:space="preserve"> LDN: servicio de arrendamiento de enlaces dedicados de larga distancia nacional.</w:t>
      </w:r>
    </w:p>
    <w:p w14:paraId="4D402496" w14:textId="77777777" w:rsidR="00086510" w:rsidRPr="00396750" w:rsidRDefault="00086510" w:rsidP="00490093">
      <w:pPr>
        <w:keepNext/>
        <w:keepLines/>
        <w:spacing w:after="0"/>
        <w:jc w:val="both"/>
        <w:rPr>
          <w:spacing w:val="-10"/>
          <w:sz w:val="16"/>
          <w:szCs w:val="16"/>
        </w:rPr>
      </w:pPr>
      <w:r w:rsidRPr="00396750">
        <w:rPr>
          <w:spacing w:val="-6"/>
          <w:sz w:val="16"/>
          <w:szCs w:val="16"/>
        </w:rPr>
        <w:t xml:space="preserve">Fuente: Elaboración propia con base en información sobre ingresos por arrendamiento de enlaces proporcionada por AMX/Telesites, Axtel, CFCA Telecomm (o Telco), GTAC, GTV, IP Matrix, Megacable, Metro Net, Pegaso y Total Play. Fojas 321, 3238, 3411, 3414, 3417, 3472, 3556, 3559, 3756, 4870, 4899, 4901, 4918, 5084, 5462, 5538, 5539, 5620, 5969 a 5973, 7174, 6096, </w:t>
      </w:r>
      <w:r w:rsidRPr="00396750">
        <w:rPr>
          <w:spacing w:val="-10"/>
          <w:sz w:val="16"/>
          <w:szCs w:val="16"/>
        </w:rPr>
        <w:t xml:space="preserve">6097, 6128, 6459, 6507, 6748, 6856, 6858, 6860, 6917, 6924, 6927, 6928, 6972, 7883, 8077, 8080, 8083, 8113, 8741 y 8746 del </w:t>
      </w:r>
      <w:r w:rsidRPr="00396750">
        <w:rPr>
          <w:spacing w:val="-6"/>
          <w:sz w:val="16"/>
          <w:szCs w:val="16"/>
        </w:rPr>
        <w:t>Expediente</w:t>
      </w:r>
      <w:r w:rsidRPr="00396750">
        <w:rPr>
          <w:spacing w:val="-10"/>
          <w:sz w:val="16"/>
          <w:szCs w:val="16"/>
        </w:rPr>
        <w:t>.</w:t>
      </w:r>
    </w:p>
    <w:p w14:paraId="30C86470" w14:textId="77777777" w:rsidR="00086510" w:rsidRDefault="00086510" w:rsidP="009B0A36">
      <w:pPr>
        <w:pStyle w:val="Prrafodelista"/>
        <w:numPr>
          <w:ilvl w:val="0"/>
          <w:numId w:val="13"/>
        </w:numPr>
        <w:spacing w:before="120" w:after="120" w:line="240" w:lineRule="auto"/>
        <w:contextualSpacing w:val="0"/>
        <w:jc w:val="both"/>
      </w:pPr>
      <w:r w:rsidRPr="00F05B62">
        <w:t xml:space="preserve">Los mercados </w:t>
      </w:r>
      <w:r>
        <w:t xml:space="preserve">relevantes </w:t>
      </w:r>
      <w:r w:rsidRPr="00F05B62">
        <w:t xml:space="preserve">de arrendamiento de enlaces dedicados TDM referidos en la Tabla </w:t>
      </w:r>
      <w:r>
        <w:t>9</w:t>
      </w:r>
      <w:r w:rsidRPr="00F05B62">
        <w:t xml:space="preserve"> presentan índices de concentración</w:t>
      </w:r>
      <w:r>
        <w:t xml:space="preserve"> </w:t>
      </w:r>
      <w:r w:rsidRPr="00F05B62">
        <w:t>superiores</w:t>
      </w:r>
      <w:r>
        <w:t xml:space="preserve"> a los 2,000 puntos.</w:t>
      </w:r>
      <w:r>
        <w:rPr>
          <w:rStyle w:val="Refdenotaalpie"/>
        </w:rPr>
        <w:footnoteReference w:id="246"/>
      </w:r>
      <w:r w:rsidRPr="00F05B62">
        <w:t xml:space="preserve"> </w:t>
      </w:r>
      <w:r>
        <w:t xml:space="preserve">Un IH por debajo de este umbral indica que es poco probable </w:t>
      </w:r>
      <w:r w:rsidRPr="00F05B62">
        <w:t>que una concentración tenga por objeto o efecto obstaculizar, disminuir, dañar o impedir</w:t>
      </w:r>
      <w:r>
        <w:t xml:space="preserve"> </w:t>
      </w:r>
      <w:r w:rsidRPr="00F05B62">
        <w:t>la competencia y libre concurrencia.</w:t>
      </w:r>
      <w:r w:rsidRPr="00F05B62">
        <w:rPr>
          <w:rStyle w:val="Refdenotaalpie"/>
          <w:spacing w:val="-2"/>
        </w:rPr>
        <w:footnoteReference w:id="247"/>
      </w:r>
      <w:r w:rsidRPr="00E55936">
        <w:t xml:space="preserve"> </w:t>
      </w:r>
      <w:r>
        <w:t>Los altos niveles de concentración en estos mercados (entre 4,458 puntos y 6,154 puntos) responden a</w:t>
      </w:r>
      <w:r w:rsidRPr="00E55936">
        <w:t xml:space="preserve"> la presencia de un operador principal (AMX/Telesites) cuya participación es superior al 50%</w:t>
      </w:r>
      <w:r>
        <w:t xml:space="preserve"> en todos los casos</w:t>
      </w:r>
      <w:r w:rsidRPr="00E55936">
        <w:t xml:space="preserve">. </w:t>
      </w:r>
      <w:r>
        <w:t>Por su parte</w:t>
      </w:r>
      <w:r w:rsidRPr="00E55936">
        <w:t>, ATC</w:t>
      </w:r>
      <w:r>
        <w:t xml:space="preserve">, a través de la Operación, </w:t>
      </w:r>
      <w:r w:rsidRPr="00E55936">
        <w:t xml:space="preserve">adquiere una participación marginal </w:t>
      </w:r>
      <w:r>
        <w:t xml:space="preserve">(entre 0.1 y 2.9%) </w:t>
      </w:r>
      <w:r w:rsidRPr="00E55936">
        <w:t xml:space="preserve">en todos los </w:t>
      </w:r>
      <w:r>
        <w:t>mercados relevantes analizados</w:t>
      </w:r>
      <w:r w:rsidRPr="00E55936">
        <w:t>.</w:t>
      </w:r>
    </w:p>
    <w:p w14:paraId="12C1DD47" w14:textId="77777777" w:rsidR="00086510" w:rsidRPr="00DF695B" w:rsidRDefault="00086510" w:rsidP="009B0A36">
      <w:pPr>
        <w:pStyle w:val="Ttulo5"/>
        <w:numPr>
          <w:ilvl w:val="2"/>
          <w:numId w:val="25"/>
        </w:numPr>
        <w:rPr>
          <w:b/>
          <w:i w:val="0"/>
        </w:rPr>
      </w:pPr>
      <w:r w:rsidRPr="00DF695B">
        <w:rPr>
          <w:b/>
          <w:i w:val="0"/>
        </w:rPr>
        <w:lastRenderedPageBreak/>
        <w:t>Enlaces Ethernet</w:t>
      </w:r>
    </w:p>
    <w:p w14:paraId="3252B64C" w14:textId="77777777" w:rsidR="006F0E45" w:rsidRPr="00AC308D" w:rsidRDefault="00086510" w:rsidP="006F0E45">
      <w:pPr>
        <w:pStyle w:val="Prrafodelista"/>
        <w:numPr>
          <w:ilvl w:val="0"/>
          <w:numId w:val="13"/>
        </w:numPr>
        <w:spacing w:before="120" w:after="120" w:line="240" w:lineRule="auto"/>
        <w:contextualSpacing w:val="0"/>
        <w:jc w:val="both"/>
      </w:pPr>
      <w:r>
        <w:t xml:space="preserve">La </w:t>
      </w:r>
      <w:r w:rsidRPr="00AC308D">
        <w:t xml:space="preserve">Tabla 10 muestra las participaciones de mercado de los principales </w:t>
      </w:r>
      <w:r w:rsidR="00E30EEF" w:rsidRPr="00AC308D">
        <w:t>a</w:t>
      </w:r>
      <w:r w:rsidRPr="00AC308D">
        <w:t xml:space="preserve">gentes </w:t>
      </w:r>
      <w:r w:rsidR="00E30EEF" w:rsidRPr="00AC308D">
        <w:t>e</w:t>
      </w:r>
      <w:r w:rsidRPr="00AC308D">
        <w:t>conómicos que prestan servicios minoristas de arrendamiento de enlaces dedicados Ethernet locales y larga distancia nacional, así como servicios mayoristas de arrendamiento de enlaces dedicados Ethernet locales, de larga distancia nacional y de larga distancia internacional para el año dos mil diecisiete, en los cuales participan las sociedades adquiridas.</w:t>
      </w:r>
    </w:p>
    <w:p w14:paraId="2A2862B8" w14:textId="77777777" w:rsidR="00086510" w:rsidRPr="000C6885" w:rsidRDefault="00086510" w:rsidP="00CE4576">
      <w:pPr>
        <w:pStyle w:val="Prrafodelista"/>
        <w:keepNext/>
        <w:keepLines/>
        <w:spacing w:after="0"/>
        <w:ind w:left="0"/>
        <w:jc w:val="center"/>
        <w:rPr>
          <w:b/>
          <w:sz w:val="18"/>
        </w:rPr>
      </w:pPr>
      <w:r w:rsidRPr="00AC308D">
        <w:rPr>
          <w:b/>
          <w:sz w:val="18"/>
        </w:rPr>
        <w:t>Tabla 10. Participaciones de mercado</w:t>
      </w:r>
      <w:r w:rsidRPr="000C6885">
        <w:rPr>
          <w:b/>
          <w:sz w:val="18"/>
        </w:rPr>
        <w:t xml:space="preserve"> </w:t>
      </w:r>
      <w:r w:rsidRPr="00DF212B">
        <w:rPr>
          <w:b/>
          <w:sz w:val="18"/>
        </w:rPr>
        <w:t xml:space="preserve">e índices de concentración </w:t>
      </w:r>
      <w:r w:rsidRPr="000C6885">
        <w:rPr>
          <w:b/>
          <w:sz w:val="18"/>
        </w:rPr>
        <w:t xml:space="preserve">del servicio de arrendamiento de enlaces dedicados </w:t>
      </w:r>
      <w:r>
        <w:rPr>
          <w:b/>
          <w:sz w:val="18"/>
        </w:rPr>
        <w:t>Ethernet</w:t>
      </w:r>
      <w:r w:rsidRPr="000C6885">
        <w:rPr>
          <w:b/>
          <w:sz w:val="18"/>
        </w:rPr>
        <w:t>, a nivel nacional, por tipo de cobertura geográfica y cliente, 2017</w:t>
      </w:r>
    </w:p>
    <w:tbl>
      <w:tblPr>
        <w:tblW w:w="8835" w:type="dxa"/>
        <w:jc w:val="center"/>
        <w:tblCellMar>
          <w:left w:w="70" w:type="dxa"/>
          <w:right w:w="70" w:type="dxa"/>
        </w:tblCellMar>
        <w:tblLook w:val="04A0" w:firstRow="1" w:lastRow="0" w:firstColumn="1" w:lastColumn="0" w:noHBand="0" w:noVBand="1"/>
      </w:tblPr>
      <w:tblGrid>
        <w:gridCol w:w="1325"/>
        <w:gridCol w:w="575"/>
        <w:gridCol w:w="1325"/>
        <w:gridCol w:w="575"/>
        <w:gridCol w:w="277"/>
        <w:gridCol w:w="1325"/>
        <w:gridCol w:w="592"/>
        <w:gridCol w:w="1329"/>
        <w:gridCol w:w="575"/>
        <w:gridCol w:w="7"/>
        <w:gridCol w:w="793"/>
        <w:gridCol w:w="575"/>
      </w:tblGrid>
      <w:tr w:rsidR="00086510" w:rsidRPr="00F10940" w14:paraId="3AE3D774" w14:textId="77777777" w:rsidTr="00086510">
        <w:trPr>
          <w:trHeight w:val="20"/>
          <w:jc w:val="center"/>
        </w:trPr>
        <w:tc>
          <w:tcPr>
            <w:tcW w:w="3518" w:type="dxa"/>
            <w:gridSpan w:val="4"/>
            <w:tcBorders>
              <w:top w:val="single" w:sz="4" w:space="0" w:color="auto"/>
              <w:left w:val="single" w:sz="4" w:space="0" w:color="auto"/>
              <w:bottom w:val="single" w:sz="4" w:space="0" w:color="auto"/>
              <w:right w:val="single" w:sz="4" w:space="0" w:color="000000"/>
            </w:tcBorders>
            <w:shd w:val="clear" w:color="000000" w:fill="002060"/>
            <w:noWrap/>
            <w:vAlign w:val="bottom"/>
            <w:hideMark/>
          </w:tcPr>
          <w:p w14:paraId="6A5FEFE7" w14:textId="77777777" w:rsidR="00086510" w:rsidRPr="00F10940" w:rsidRDefault="00086510" w:rsidP="00CE4576">
            <w:pPr>
              <w:keepNext/>
              <w:keepLines/>
              <w:spacing w:after="0"/>
              <w:jc w:val="center"/>
              <w:rPr>
                <w:rFonts w:eastAsia="Times New Roman" w:cs="Calibri"/>
                <w:b/>
                <w:bCs/>
                <w:color w:val="FFFFFF"/>
                <w:sz w:val="16"/>
                <w:szCs w:val="16"/>
                <w:lang w:eastAsia="es-MX"/>
              </w:rPr>
            </w:pPr>
            <w:r w:rsidRPr="00F10940">
              <w:rPr>
                <w:rFonts w:eastAsia="Times New Roman" w:cs="Calibri"/>
                <w:b/>
                <w:bCs/>
                <w:color w:val="FFFFFF"/>
                <w:sz w:val="16"/>
                <w:szCs w:val="16"/>
                <w:lang w:eastAsia="es-MX"/>
              </w:rPr>
              <w:t>Minorista</w:t>
            </w:r>
          </w:p>
        </w:tc>
        <w:tc>
          <w:tcPr>
            <w:tcW w:w="277" w:type="dxa"/>
            <w:tcBorders>
              <w:top w:val="nil"/>
              <w:left w:val="nil"/>
              <w:bottom w:val="nil"/>
              <w:right w:val="single" w:sz="4" w:space="0" w:color="auto"/>
            </w:tcBorders>
            <w:shd w:val="clear" w:color="auto" w:fill="auto"/>
            <w:noWrap/>
            <w:vAlign w:val="bottom"/>
            <w:hideMark/>
          </w:tcPr>
          <w:p w14:paraId="7D83608F" w14:textId="77777777" w:rsidR="00086510" w:rsidRPr="00F10940" w:rsidRDefault="00086510" w:rsidP="00CE4576">
            <w:pPr>
              <w:keepNext/>
              <w:keepLines/>
              <w:spacing w:after="0"/>
              <w:jc w:val="center"/>
              <w:rPr>
                <w:rFonts w:eastAsia="Times New Roman" w:cs="Calibri"/>
                <w:b/>
                <w:bCs/>
                <w:color w:val="FFFFFF"/>
                <w:sz w:val="16"/>
                <w:szCs w:val="16"/>
                <w:lang w:eastAsia="es-MX"/>
              </w:rPr>
            </w:pPr>
          </w:p>
        </w:tc>
        <w:tc>
          <w:tcPr>
            <w:tcW w:w="5040" w:type="dxa"/>
            <w:gridSpan w:val="7"/>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41C4084" w14:textId="77777777" w:rsidR="00086510" w:rsidRPr="00F10940" w:rsidRDefault="00086510" w:rsidP="00CE4576">
            <w:pPr>
              <w:keepNext/>
              <w:keepLines/>
              <w:spacing w:after="0"/>
              <w:jc w:val="center"/>
              <w:rPr>
                <w:rFonts w:eastAsia="Times New Roman" w:cs="Calibri"/>
                <w:b/>
                <w:bCs/>
                <w:color w:val="FFFFFF"/>
                <w:sz w:val="16"/>
                <w:szCs w:val="16"/>
                <w:lang w:eastAsia="es-MX"/>
              </w:rPr>
            </w:pPr>
            <w:r w:rsidRPr="00F10940">
              <w:rPr>
                <w:rFonts w:eastAsia="Times New Roman" w:cs="Calibri"/>
                <w:b/>
                <w:bCs/>
                <w:color w:val="FFFFFF"/>
                <w:sz w:val="16"/>
                <w:szCs w:val="16"/>
                <w:lang w:eastAsia="es-MX"/>
              </w:rPr>
              <w:t>Mayorista</w:t>
            </w:r>
          </w:p>
        </w:tc>
      </w:tr>
      <w:tr w:rsidR="00086510" w:rsidRPr="00F10940" w14:paraId="735C20AB" w14:textId="77777777" w:rsidTr="00086510">
        <w:trPr>
          <w:trHeight w:val="20"/>
          <w:jc w:val="center"/>
        </w:trPr>
        <w:tc>
          <w:tcPr>
            <w:tcW w:w="1871"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1CD4C44" w14:textId="77777777" w:rsidR="00086510" w:rsidRPr="00F10940" w:rsidRDefault="00086510" w:rsidP="00CE4576">
            <w:pPr>
              <w:keepNext/>
              <w:keepLines/>
              <w:spacing w:after="0"/>
              <w:jc w:val="center"/>
              <w:rPr>
                <w:rFonts w:eastAsia="Times New Roman" w:cs="Calibri"/>
                <w:b/>
                <w:bCs/>
                <w:color w:val="FFFFFF"/>
                <w:sz w:val="16"/>
                <w:szCs w:val="16"/>
                <w:lang w:eastAsia="es-MX"/>
              </w:rPr>
            </w:pPr>
            <w:r w:rsidRPr="00F10940">
              <w:rPr>
                <w:rFonts w:eastAsia="Times New Roman" w:cs="Calibri"/>
                <w:b/>
                <w:bCs/>
                <w:color w:val="FFFFFF"/>
                <w:sz w:val="16"/>
                <w:szCs w:val="16"/>
                <w:lang w:eastAsia="es-MX"/>
              </w:rPr>
              <w:t>Local</w:t>
            </w:r>
          </w:p>
        </w:tc>
        <w:tc>
          <w:tcPr>
            <w:tcW w:w="1647" w:type="dxa"/>
            <w:gridSpan w:val="2"/>
            <w:tcBorders>
              <w:top w:val="single" w:sz="4" w:space="0" w:color="auto"/>
              <w:left w:val="nil"/>
              <w:bottom w:val="single" w:sz="4" w:space="0" w:color="auto"/>
              <w:right w:val="single" w:sz="4" w:space="0" w:color="auto"/>
            </w:tcBorders>
            <w:shd w:val="clear" w:color="000000" w:fill="002060"/>
            <w:noWrap/>
            <w:vAlign w:val="bottom"/>
            <w:hideMark/>
          </w:tcPr>
          <w:p w14:paraId="4BF39F59" w14:textId="77777777" w:rsidR="00086510" w:rsidRPr="00F10940" w:rsidRDefault="00086510" w:rsidP="00CE4576">
            <w:pPr>
              <w:keepNext/>
              <w:keepLines/>
              <w:spacing w:after="0"/>
              <w:jc w:val="center"/>
              <w:rPr>
                <w:rFonts w:eastAsia="Times New Roman" w:cs="Calibri"/>
                <w:b/>
                <w:bCs/>
                <w:color w:val="FFFFFF"/>
                <w:sz w:val="16"/>
                <w:szCs w:val="16"/>
                <w:lang w:eastAsia="es-MX"/>
              </w:rPr>
            </w:pPr>
            <w:r w:rsidRPr="00F10940">
              <w:rPr>
                <w:rFonts w:eastAsia="Times New Roman" w:cs="Calibri"/>
                <w:b/>
                <w:bCs/>
                <w:color w:val="FFFFFF"/>
                <w:sz w:val="16"/>
                <w:szCs w:val="16"/>
                <w:lang w:eastAsia="es-MX"/>
              </w:rPr>
              <w:t>LDN</w:t>
            </w:r>
          </w:p>
        </w:tc>
        <w:tc>
          <w:tcPr>
            <w:tcW w:w="277" w:type="dxa"/>
            <w:tcBorders>
              <w:top w:val="nil"/>
              <w:left w:val="nil"/>
              <w:bottom w:val="nil"/>
              <w:right w:val="nil"/>
            </w:tcBorders>
            <w:shd w:val="clear" w:color="auto" w:fill="auto"/>
            <w:noWrap/>
            <w:vAlign w:val="bottom"/>
            <w:hideMark/>
          </w:tcPr>
          <w:p w14:paraId="5C350095" w14:textId="77777777" w:rsidR="00086510" w:rsidRPr="00F10940" w:rsidRDefault="00086510" w:rsidP="00CE4576">
            <w:pPr>
              <w:keepNext/>
              <w:keepLines/>
              <w:spacing w:after="0"/>
              <w:jc w:val="center"/>
              <w:rPr>
                <w:rFonts w:eastAsia="Times New Roman" w:cs="Calibri"/>
                <w:b/>
                <w:bCs/>
                <w:color w:val="FFFFFF"/>
                <w:sz w:val="16"/>
                <w:szCs w:val="16"/>
                <w:lang w:eastAsia="es-MX"/>
              </w:rPr>
            </w:pPr>
          </w:p>
        </w:tc>
        <w:tc>
          <w:tcPr>
            <w:tcW w:w="1770"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8643981" w14:textId="77777777" w:rsidR="00086510" w:rsidRPr="00F10940" w:rsidRDefault="00086510" w:rsidP="00CE4576">
            <w:pPr>
              <w:keepNext/>
              <w:keepLines/>
              <w:spacing w:after="0"/>
              <w:jc w:val="center"/>
              <w:rPr>
                <w:rFonts w:eastAsia="Times New Roman" w:cs="Calibri"/>
                <w:b/>
                <w:bCs/>
                <w:color w:val="FFFFFF"/>
                <w:sz w:val="16"/>
                <w:szCs w:val="16"/>
                <w:lang w:eastAsia="es-MX"/>
              </w:rPr>
            </w:pPr>
            <w:r w:rsidRPr="00F10940">
              <w:rPr>
                <w:rFonts w:eastAsia="Times New Roman" w:cs="Calibri"/>
                <w:b/>
                <w:bCs/>
                <w:color w:val="FFFFFF"/>
                <w:sz w:val="16"/>
                <w:szCs w:val="16"/>
                <w:lang w:eastAsia="es-MX"/>
              </w:rPr>
              <w:t>Local</w:t>
            </w:r>
          </w:p>
        </w:tc>
        <w:tc>
          <w:tcPr>
            <w:tcW w:w="1903" w:type="dxa"/>
            <w:gridSpan w:val="3"/>
            <w:tcBorders>
              <w:top w:val="single" w:sz="4" w:space="0" w:color="auto"/>
              <w:left w:val="nil"/>
              <w:bottom w:val="single" w:sz="4" w:space="0" w:color="auto"/>
              <w:right w:val="single" w:sz="4" w:space="0" w:color="auto"/>
            </w:tcBorders>
            <w:shd w:val="clear" w:color="000000" w:fill="002060"/>
            <w:noWrap/>
            <w:vAlign w:val="bottom"/>
            <w:hideMark/>
          </w:tcPr>
          <w:p w14:paraId="37FF00DA" w14:textId="77777777" w:rsidR="00086510" w:rsidRPr="00F10940" w:rsidRDefault="00086510" w:rsidP="00CE4576">
            <w:pPr>
              <w:keepNext/>
              <w:keepLines/>
              <w:spacing w:after="0"/>
              <w:jc w:val="center"/>
              <w:rPr>
                <w:rFonts w:eastAsia="Times New Roman" w:cs="Calibri"/>
                <w:b/>
                <w:bCs/>
                <w:color w:val="FFFFFF"/>
                <w:sz w:val="16"/>
                <w:szCs w:val="16"/>
                <w:lang w:eastAsia="es-MX"/>
              </w:rPr>
            </w:pPr>
            <w:r w:rsidRPr="00F10940">
              <w:rPr>
                <w:rFonts w:eastAsia="Times New Roman" w:cs="Calibri"/>
                <w:b/>
                <w:bCs/>
                <w:color w:val="FFFFFF"/>
                <w:sz w:val="16"/>
                <w:szCs w:val="16"/>
                <w:lang w:eastAsia="es-MX"/>
              </w:rPr>
              <w:t>LDN</w:t>
            </w:r>
          </w:p>
        </w:tc>
        <w:tc>
          <w:tcPr>
            <w:tcW w:w="1367" w:type="dxa"/>
            <w:gridSpan w:val="2"/>
            <w:tcBorders>
              <w:top w:val="single" w:sz="4" w:space="0" w:color="auto"/>
              <w:left w:val="nil"/>
              <w:bottom w:val="single" w:sz="4" w:space="0" w:color="auto"/>
              <w:right w:val="single" w:sz="4" w:space="0" w:color="auto"/>
            </w:tcBorders>
            <w:shd w:val="clear" w:color="000000" w:fill="002060"/>
            <w:noWrap/>
            <w:vAlign w:val="bottom"/>
            <w:hideMark/>
          </w:tcPr>
          <w:p w14:paraId="4CD06FC1" w14:textId="77777777" w:rsidR="00086510" w:rsidRPr="00F10940" w:rsidRDefault="00086510" w:rsidP="00CE4576">
            <w:pPr>
              <w:keepNext/>
              <w:keepLines/>
              <w:spacing w:after="0"/>
              <w:jc w:val="center"/>
              <w:rPr>
                <w:rFonts w:eastAsia="Times New Roman" w:cs="Calibri"/>
                <w:b/>
                <w:bCs/>
                <w:color w:val="FFFFFF"/>
                <w:sz w:val="16"/>
                <w:szCs w:val="16"/>
                <w:lang w:eastAsia="es-MX"/>
              </w:rPr>
            </w:pPr>
            <w:r w:rsidRPr="00F10940">
              <w:rPr>
                <w:rFonts w:eastAsia="Times New Roman" w:cs="Calibri"/>
                <w:b/>
                <w:bCs/>
                <w:color w:val="FFFFFF"/>
                <w:sz w:val="16"/>
                <w:szCs w:val="16"/>
                <w:lang w:eastAsia="es-MX"/>
              </w:rPr>
              <w:t>LDI</w:t>
            </w:r>
          </w:p>
        </w:tc>
      </w:tr>
      <w:tr w:rsidR="00086510" w:rsidRPr="00F10940" w14:paraId="69A17DCE"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305E2CFE"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AMX</w:t>
            </w:r>
            <w:r>
              <w:rPr>
                <w:rFonts w:eastAsia="Times New Roman" w:cs="Calibri"/>
                <w:color w:val="000000"/>
                <w:sz w:val="16"/>
                <w:szCs w:val="16"/>
                <w:lang w:eastAsia="es-MX"/>
              </w:rPr>
              <w:t>/Telesites</w:t>
            </w:r>
            <w:r w:rsidRPr="00E85247">
              <w:rPr>
                <w:rFonts w:eastAsia="Times New Roman" w:cs="Calibri"/>
                <w:color w:val="000000"/>
                <w:sz w:val="16"/>
                <w:szCs w:val="16"/>
                <w:vertAlign w:val="superscript"/>
                <w:lang w:eastAsia="es-MX"/>
              </w:rPr>
              <w:t>\b</w:t>
            </w:r>
          </w:p>
        </w:tc>
        <w:tc>
          <w:tcPr>
            <w:tcW w:w="567" w:type="dxa"/>
            <w:tcBorders>
              <w:top w:val="nil"/>
              <w:left w:val="nil"/>
              <w:bottom w:val="single" w:sz="4" w:space="0" w:color="auto"/>
              <w:right w:val="single" w:sz="4" w:space="0" w:color="auto"/>
            </w:tcBorders>
            <w:shd w:val="clear" w:color="auto" w:fill="auto"/>
            <w:noWrap/>
            <w:vAlign w:val="bottom"/>
            <w:hideMark/>
          </w:tcPr>
          <w:p w14:paraId="27F0E344"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41.3%</w:t>
            </w:r>
          </w:p>
        </w:tc>
        <w:tc>
          <w:tcPr>
            <w:tcW w:w="1080" w:type="dxa"/>
            <w:tcBorders>
              <w:top w:val="nil"/>
              <w:left w:val="nil"/>
              <w:bottom w:val="single" w:sz="4" w:space="0" w:color="auto"/>
              <w:right w:val="single" w:sz="4" w:space="0" w:color="auto"/>
            </w:tcBorders>
            <w:shd w:val="clear" w:color="auto" w:fill="auto"/>
            <w:noWrap/>
            <w:vAlign w:val="bottom"/>
            <w:hideMark/>
          </w:tcPr>
          <w:p w14:paraId="5F4B7D1F"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Total Play</w:t>
            </w:r>
            <w:r w:rsidRPr="00E85247">
              <w:rPr>
                <w:rFonts w:eastAsia="Times New Roman" w:cs="Calibri"/>
                <w:color w:val="000000"/>
                <w:sz w:val="16"/>
                <w:szCs w:val="16"/>
                <w:vertAlign w:val="superscript"/>
                <w:lang w:eastAsia="es-MX"/>
              </w:rPr>
              <w:t>\c</w:t>
            </w:r>
          </w:p>
        </w:tc>
        <w:tc>
          <w:tcPr>
            <w:tcW w:w="567" w:type="dxa"/>
            <w:tcBorders>
              <w:top w:val="nil"/>
              <w:left w:val="nil"/>
              <w:bottom w:val="single" w:sz="4" w:space="0" w:color="auto"/>
              <w:right w:val="single" w:sz="4" w:space="0" w:color="auto"/>
            </w:tcBorders>
            <w:shd w:val="clear" w:color="auto" w:fill="auto"/>
            <w:noWrap/>
            <w:vAlign w:val="bottom"/>
            <w:hideMark/>
          </w:tcPr>
          <w:p w14:paraId="6E0BEACC"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69.2%</w:t>
            </w:r>
          </w:p>
        </w:tc>
        <w:tc>
          <w:tcPr>
            <w:tcW w:w="277" w:type="dxa"/>
            <w:tcBorders>
              <w:top w:val="nil"/>
              <w:left w:val="nil"/>
              <w:bottom w:val="nil"/>
              <w:right w:val="nil"/>
            </w:tcBorders>
            <w:shd w:val="clear" w:color="auto" w:fill="auto"/>
            <w:noWrap/>
            <w:vAlign w:val="bottom"/>
            <w:hideMark/>
          </w:tcPr>
          <w:p w14:paraId="5A3B7A76" w14:textId="77777777" w:rsidR="00086510" w:rsidRPr="00F10940" w:rsidRDefault="00086510" w:rsidP="00CE4576">
            <w:pPr>
              <w:keepNext/>
              <w:keepLines/>
              <w:spacing w:after="0"/>
              <w:jc w:val="right"/>
              <w:rPr>
                <w:rFonts w:eastAsia="Times New Roman" w:cs="Calibri"/>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36D5DF81"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AMX</w:t>
            </w:r>
            <w:r>
              <w:rPr>
                <w:rFonts w:eastAsia="Times New Roman" w:cs="Calibri"/>
                <w:color w:val="000000"/>
                <w:sz w:val="16"/>
                <w:szCs w:val="16"/>
                <w:lang w:eastAsia="es-MX"/>
              </w:rPr>
              <w:t>/Telesites</w:t>
            </w:r>
            <w:r w:rsidRPr="002E7F90">
              <w:rPr>
                <w:rFonts w:eastAsia="Times New Roman" w:cs="Calibri"/>
                <w:color w:val="000000"/>
                <w:sz w:val="16"/>
                <w:szCs w:val="16"/>
                <w:vertAlign w:val="superscript"/>
                <w:lang w:eastAsia="es-MX"/>
              </w:rPr>
              <w:t>\b</w:t>
            </w:r>
          </w:p>
        </w:tc>
        <w:tc>
          <w:tcPr>
            <w:tcW w:w="567" w:type="dxa"/>
            <w:tcBorders>
              <w:top w:val="nil"/>
              <w:left w:val="nil"/>
              <w:bottom w:val="single" w:sz="4" w:space="0" w:color="auto"/>
              <w:right w:val="single" w:sz="4" w:space="0" w:color="auto"/>
            </w:tcBorders>
            <w:shd w:val="clear" w:color="auto" w:fill="auto"/>
            <w:noWrap/>
            <w:vAlign w:val="bottom"/>
            <w:hideMark/>
          </w:tcPr>
          <w:p w14:paraId="45EC1B26"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53.6%</w:t>
            </w:r>
          </w:p>
        </w:tc>
        <w:tc>
          <w:tcPr>
            <w:tcW w:w="1329" w:type="dxa"/>
            <w:tcBorders>
              <w:top w:val="nil"/>
              <w:left w:val="nil"/>
              <w:bottom w:val="single" w:sz="4" w:space="0" w:color="auto"/>
              <w:right w:val="single" w:sz="4" w:space="0" w:color="auto"/>
            </w:tcBorders>
            <w:shd w:val="clear" w:color="auto" w:fill="auto"/>
            <w:noWrap/>
            <w:vAlign w:val="bottom"/>
            <w:hideMark/>
          </w:tcPr>
          <w:p w14:paraId="0DDA5EFE"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GTV</w:t>
            </w:r>
            <w:r w:rsidRPr="00F83937">
              <w:rPr>
                <w:rFonts w:eastAsia="Times New Roman" w:cs="Calibri"/>
                <w:color w:val="000000"/>
                <w:sz w:val="16"/>
                <w:szCs w:val="16"/>
                <w:vertAlign w:val="superscript"/>
                <w:lang w:eastAsia="es-MX"/>
              </w:rPr>
              <w:t>\</w:t>
            </w:r>
            <w:r>
              <w:rPr>
                <w:rFonts w:eastAsia="Times New Roman" w:cs="Calibri"/>
                <w:color w:val="000000"/>
                <w:sz w:val="16"/>
                <w:szCs w:val="16"/>
                <w:vertAlign w:val="superscript"/>
                <w:lang w:eastAsia="es-MX"/>
              </w:rPr>
              <w:t>d</w:t>
            </w:r>
          </w:p>
        </w:tc>
        <w:tc>
          <w:tcPr>
            <w:tcW w:w="567" w:type="dxa"/>
            <w:tcBorders>
              <w:top w:val="nil"/>
              <w:left w:val="nil"/>
              <w:bottom w:val="single" w:sz="4" w:space="0" w:color="auto"/>
              <w:right w:val="single" w:sz="4" w:space="0" w:color="auto"/>
            </w:tcBorders>
            <w:shd w:val="clear" w:color="auto" w:fill="auto"/>
            <w:noWrap/>
            <w:vAlign w:val="bottom"/>
            <w:hideMark/>
          </w:tcPr>
          <w:p w14:paraId="0D7AF61E"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37.4%</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41408715"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GTV</w:t>
            </w:r>
            <w:r w:rsidRPr="00F83937">
              <w:rPr>
                <w:rFonts w:eastAsia="Times New Roman" w:cs="Calibri"/>
                <w:color w:val="000000"/>
                <w:sz w:val="16"/>
                <w:szCs w:val="16"/>
                <w:vertAlign w:val="superscript"/>
                <w:lang w:eastAsia="es-MX"/>
              </w:rPr>
              <w:t>\</w:t>
            </w:r>
            <w:r>
              <w:rPr>
                <w:rFonts w:eastAsia="Times New Roman" w:cs="Calibri"/>
                <w:color w:val="000000"/>
                <w:sz w:val="16"/>
                <w:szCs w:val="16"/>
                <w:vertAlign w:val="superscript"/>
                <w:lang w:eastAsia="es-MX"/>
              </w:rPr>
              <w:t>d</w:t>
            </w:r>
          </w:p>
        </w:tc>
        <w:tc>
          <w:tcPr>
            <w:tcW w:w="567" w:type="dxa"/>
            <w:tcBorders>
              <w:top w:val="nil"/>
              <w:left w:val="nil"/>
              <w:bottom w:val="single" w:sz="4" w:space="0" w:color="auto"/>
              <w:right w:val="single" w:sz="4" w:space="0" w:color="auto"/>
            </w:tcBorders>
            <w:shd w:val="clear" w:color="auto" w:fill="auto"/>
            <w:noWrap/>
            <w:vAlign w:val="bottom"/>
            <w:hideMark/>
          </w:tcPr>
          <w:p w14:paraId="638B1495"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73.7%</w:t>
            </w:r>
          </w:p>
        </w:tc>
      </w:tr>
      <w:tr w:rsidR="00086510" w:rsidRPr="00F10940" w14:paraId="2FA1B433"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73643454"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Axtel</w:t>
            </w:r>
          </w:p>
        </w:tc>
        <w:tc>
          <w:tcPr>
            <w:tcW w:w="567" w:type="dxa"/>
            <w:tcBorders>
              <w:top w:val="nil"/>
              <w:left w:val="nil"/>
              <w:bottom w:val="single" w:sz="4" w:space="0" w:color="auto"/>
              <w:right w:val="single" w:sz="4" w:space="0" w:color="auto"/>
            </w:tcBorders>
            <w:shd w:val="clear" w:color="auto" w:fill="auto"/>
            <w:noWrap/>
            <w:vAlign w:val="bottom"/>
            <w:hideMark/>
          </w:tcPr>
          <w:p w14:paraId="66387B51"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26.0%</w:t>
            </w:r>
          </w:p>
        </w:tc>
        <w:tc>
          <w:tcPr>
            <w:tcW w:w="1080" w:type="dxa"/>
            <w:tcBorders>
              <w:top w:val="nil"/>
              <w:left w:val="nil"/>
              <w:bottom w:val="single" w:sz="4" w:space="0" w:color="auto"/>
              <w:right w:val="single" w:sz="4" w:space="0" w:color="auto"/>
            </w:tcBorders>
            <w:shd w:val="clear" w:color="auto" w:fill="auto"/>
            <w:noWrap/>
            <w:vAlign w:val="bottom"/>
            <w:hideMark/>
          </w:tcPr>
          <w:p w14:paraId="1FDFB58F"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GTV</w:t>
            </w:r>
            <w:r>
              <w:rPr>
                <w:rFonts w:eastAsia="Times New Roman" w:cs="Calibri"/>
                <w:color w:val="000000"/>
                <w:sz w:val="16"/>
                <w:szCs w:val="16"/>
                <w:vertAlign w:val="superscript"/>
                <w:lang w:eastAsia="es-MX"/>
              </w:rPr>
              <w:t>\d</w:t>
            </w:r>
          </w:p>
        </w:tc>
        <w:tc>
          <w:tcPr>
            <w:tcW w:w="567" w:type="dxa"/>
            <w:tcBorders>
              <w:top w:val="nil"/>
              <w:left w:val="nil"/>
              <w:bottom w:val="single" w:sz="4" w:space="0" w:color="auto"/>
              <w:right w:val="single" w:sz="4" w:space="0" w:color="auto"/>
            </w:tcBorders>
            <w:shd w:val="clear" w:color="auto" w:fill="auto"/>
            <w:noWrap/>
            <w:vAlign w:val="bottom"/>
            <w:hideMark/>
          </w:tcPr>
          <w:p w14:paraId="6444EE56"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17.1%</w:t>
            </w:r>
          </w:p>
        </w:tc>
        <w:tc>
          <w:tcPr>
            <w:tcW w:w="277" w:type="dxa"/>
            <w:tcBorders>
              <w:top w:val="nil"/>
              <w:left w:val="nil"/>
              <w:bottom w:val="nil"/>
              <w:right w:val="nil"/>
            </w:tcBorders>
            <w:shd w:val="clear" w:color="auto" w:fill="auto"/>
            <w:noWrap/>
            <w:vAlign w:val="bottom"/>
            <w:hideMark/>
          </w:tcPr>
          <w:p w14:paraId="43784CB5" w14:textId="77777777" w:rsidR="00086510" w:rsidRPr="00F10940" w:rsidRDefault="00086510" w:rsidP="00CE4576">
            <w:pPr>
              <w:keepNext/>
              <w:keepLines/>
              <w:spacing w:after="0"/>
              <w:jc w:val="right"/>
              <w:rPr>
                <w:rFonts w:eastAsia="Times New Roman" w:cs="Calibri"/>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9239211" w14:textId="77777777" w:rsidR="00086510" w:rsidRPr="00F10940" w:rsidRDefault="00086510" w:rsidP="00CE4576">
            <w:pPr>
              <w:keepNext/>
              <w:keepLines/>
              <w:spacing w:after="0"/>
              <w:rPr>
                <w:rFonts w:eastAsia="Times New Roman" w:cs="Calibri"/>
                <w:b/>
                <w:bCs/>
                <w:color w:val="000000"/>
                <w:sz w:val="16"/>
                <w:szCs w:val="16"/>
                <w:lang w:eastAsia="es-MX"/>
              </w:rPr>
            </w:pPr>
            <w:r>
              <w:rPr>
                <w:rFonts w:eastAsia="Times New Roman" w:cs="Calibri"/>
                <w:b/>
                <w:color w:val="000000"/>
                <w:sz w:val="16"/>
                <w:szCs w:val="16"/>
                <w:lang w:eastAsia="es-MX"/>
              </w:rPr>
              <w:t>ATC</w:t>
            </w:r>
            <w:r w:rsidRPr="00B71F2B">
              <w:rPr>
                <w:rFonts w:eastAsia="Times New Roman" w:cs="Calibri"/>
                <w:b/>
                <w:bCs/>
                <w:color w:val="000000"/>
                <w:sz w:val="16"/>
                <w:szCs w:val="16"/>
                <w:vertAlign w:val="superscript"/>
                <w:lang w:eastAsia="es-MX"/>
              </w:rPr>
              <w:t>\a</w:t>
            </w:r>
          </w:p>
        </w:tc>
        <w:tc>
          <w:tcPr>
            <w:tcW w:w="567" w:type="dxa"/>
            <w:tcBorders>
              <w:top w:val="nil"/>
              <w:left w:val="nil"/>
              <w:bottom w:val="single" w:sz="4" w:space="0" w:color="auto"/>
              <w:right w:val="single" w:sz="4" w:space="0" w:color="auto"/>
            </w:tcBorders>
            <w:shd w:val="clear" w:color="auto" w:fill="auto"/>
            <w:noWrap/>
            <w:vAlign w:val="bottom"/>
            <w:hideMark/>
          </w:tcPr>
          <w:p w14:paraId="64A79FF8" w14:textId="77777777" w:rsidR="00086510" w:rsidRPr="00F10940" w:rsidRDefault="00086510" w:rsidP="00CE4576">
            <w:pPr>
              <w:keepNext/>
              <w:keepLines/>
              <w:spacing w:after="0"/>
              <w:jc w:val="right"/>
              <w:rPr>
                <w:rFonts w:eastAsia="Times New Roman" w:cs="Calibri"/>
                <w:b/>
                <w:bCs/>
                <w:color w:val="000000"/>
                <w:sz w:val="16"/>
                <w:szCs w:val="16"/>
                <w:lang w:eastAsia="es-MX"/>
              </w:rPr>
            </w:pPr>
            <w:r w:rsidRPr="00F10940">
              <w:rPr>
                <w:rFonts w:eastAsia="Times New Roman" w:cs="Calibri"/>
                <w:b/>
                <w:bCs/>
                <w:color w:val="000000"/>
                <w:sz w:val="16"/>
                <w:szCs w:val="16"/>
                <w:lang w:eastAsia="es-MX"/>
              </w:rPr>
              <w:t>19.6%</w:t>
            </w:r>
          </w:p>
        </w:tc>
        <w:tc>
          <w:tcPr>
            <w:tcW w:w="1329" w:type="dxa"/>
            <w:tcBorders>
              <w:top w:val="nil"/>
              <w:left w:val="nil"/>
              <w:bottom w:val="single" w:sz="4" w:space="0" w:color="auto"/>
              <w:right w:val="single" w:sz="4" w:space="0" w:color="auto"/>
            </w:tcBorders>
            <w:shd w:val="clear" w:color="auto" w:fill="auto"/>
            <w:noWrap/>
            <w:vAlign w:val="bottom"/>
            <w:hideMark/>
          </w:tcPr>
          <w:p w14:paraId="0DB0C86F"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AMX</w:t>
            </w:r>
            <w:r>
              <w:rPr>
                <w:rFonts w:eastAsia="Times New Roman" w:cs="Calibri"/>
                <w:color w:val="000000"/>
                <w:sz w:val="16"/>
                <w:szCs w:val="16"/>
                <w:lang w:eastAsia="es-MX"/>
              </w:rPr>
              <w:t>/Telesites</w:t>
            </w:r>
            <w:r w:rsidRPr="00E85247">
              <w:rPr>
                <w:rFonts w:eastAsia="Times New Roman" w:cs="Calibri"/>
                <w:color w:val="000000"/>
                <w:sz w:val="16"/>
                <w:szCs w:val="16"/>
                <w:vertAlign w:val="superscript"/>
                <w:lang w:eastAsia="es-MX"/>
              </w:rPr>
              <w:t>\b</w:t>
            </w:r>
          </w:p>
        </w:tc>
        <w:tc>
          <w:tcPr>
            <w:tcW w:w="567" w:type="dxa"/>
            <w:tcBorders>
              <w:top w:val="nil"/>
              <w:left w:val="nil"/>
              <w:bottom w:val="single" w:sz="4" w:space="0" w:color="auto"/>
              <w:right w:val="single" w:sz="4" w:space="0" w:color="auto"/>
            </w:tcBorders>
            <w:shd w:val="clear" w:color="auto" w:fill="auto"/>
            <w:noWrap/>
            <w:vAlign w:val="bottom"/>
            <w:hideMark/>
          </w:tcPr>
          <w:p w14:paraId="52060DE9"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28.8%</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4D507757"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IP Matrix</w:t>
            </w:r>
          </w:p>
        </w:tc>
        <w:tc>
          <w:tcPr>
            <w:tcW w:w="567" w:type="dxa"/>
            <w:tcBorders>
              <w:top w:val="nil"/>
              <w:left w:val="nil"/>
              <w:bottom w:val="single" w:sz="4" w:space="0" w:color="auto"/>
              <w:right w:val="single" w:sz="4" w:space="0" w:color="auto"/>
            </w:tcBorders>
            <w:shd w:val="clear" w:color="auto" w:fill="auto"/>
            <w:noWrap/>
            <w:vAlign w:val="bottom"/>
            <w:hideMark/>
          </w:tcPr>
          <w:p w14:paraId="22FF1A53"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11.1%</w:t>
            </w:r>
          </w:p>
        </w:tc>
      </w:tr>
      <w:tr w:rsidR="00086510" w:rsidRPr="00F10940" w14:paraId="00B18F20"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698ADE65"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GTV</w:t>
            </w:r>
            <w:r>
              <w:rPr>
                <w:rFonts w:eastAsia="Times New Roman" w:cs="Calibri"/>
                <w:color w:val="000000"/>
                <w:sz w:val="16"/>
                <w:szCs w:val="16"/>
                <w:vertAlign w:val="superscript"/>
                <w:lang w:eastAsia="es-MX"/>
              </w:rPr>
              <w:t>\d</w:t>
            </w:r>
          </w:p>
        </w:tc>
        <w:tc>
          <w:tcPr>
            <w:tcW w:w="567" w:type="dxa"/>
            <w:tcBorders>
              <w:top w:val="nil"/>
              <w:left w:val="nil"/>
              <w:bottom w:val="single" w:sz="4" w:space="0" w:color="auto"/>
              <w:right w:val="single" w:sz="4" w:space="0" w:color="auto"/>
            </w:tcBorders>
            <w:shd w:val="clear" w:color="auto" w:fill="auto"/>
            <w:noWrap/>
            <w:vAlign w:val="bottom"/>
            <w:hideMark/>
          </w:tcPr>
          <w:p w14:paraId="0F82A8AE"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21.2%</w:t>
            </w:r>
          </w:p>
        </w:tc>
        <w:tc>
          <w:tcPr>
            <w:tcW w:w="1080" w:type="dxa"/>
            <w:tcBorders>
              <w:top w:val="nil"/>
              <w:left w:val="nil"/>
              <w:bottom w:val="single" w:sz="4" w:space="0" w:color="auto"/>
              <w:right w:val="single" w:sz="4" w:space="0" w:color="auto"/>
            </w:tcBorders>
            <w:shd w:val="clear" w:color="auto" w:fill="auto"/>
            <w:noWrap/>
            <w:vAlign w:val="bottom"/>
            <w:hideMark/>
          </w:tcPr>
          <w:p w14:paraId="228DC27A"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AMX</w:t>
            </w:r>
            <w:r>
              <w:rPr>
                <w:rFonts w:eastAsia="Times New Roman" w:cs="Calibri"/>
                <w:color w:val="000000"/>
                <w:sz w:val="16"/>
                <w:szCs w:val="16"/>
                <w:lang w:eastAsia="es-MX"/>
              </w:rPr>
              <w:t>/Telesites</w:t>
            </w:r>
            <w:r w:rsidRPr="00E85247">
              <w:rPr>
                <w:rFonts w:eastAsia="Times New Roman" w:cs="Calibri"/>
                <w:color w:val="000000"/>
                <w:sz w:val="16"/>
                <w:szCs w:val="16"/>
                <w:vertAlign w:val="superscript"/>
                <w:lang w:eastAsia="es-MX"/>
              </w:rPr>
              <w:t>\b</w:t>
            </w:r>
          </w:p>
        </w:tc>
        <w:tc>
          <w:tcPr>
            <w:tcW w:w="567" w:type="dxa"/>
            <w:tcBorders>
              <w:top w:val="nil"/>
              <w:left w:val="nil"/>
              <w:bottom w:val="single" w:sz="4" w:space="0" w:color="auto"/>
              <w:right w:val="single" w:sz="4" w:space="0" w:color="auto"/>
            </w:tcBorders>
            <w:shd w:val="clear" w:color="auto" w:fill="auto"/>
            <w:noWrap/>
            <w:vAlign w:val="bottom"/>
            <w:hideMark/>
          </w:tcPr>
          <w:p w14:paraId="336A7CB1"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6.4%</w:t>
            </w:r>
          </w:p>
        </w:tc>
        <w:tc>
          <w:tcPr>
            <w:tcW w:w="277" w:type="dxa"/>
            <w:tcBorders>
              <w:top w:val="nil"/>
              <w:left w:val="nil"/>
              <w:bottom w:val="nil"/>
              <w:right w:val="nil"/>
            </w:tcBorders>
            <w:shd w:val="clear" w:color="auto" w:fill="auto"/>
            <w:noWrap/>
            <w:vAlign w:val="bottom"/>
            <w:hideMark/>
          </w:tcPr>
          <w:p w14:paraId="173E58E3" w14:textId="77777777" w:rsidR="00086510" w:rsidRPr="00F10940" w:rsidRDefault="00086510" w:rsidP="00CE4576">
            <w:pPr>
              <w:keepNext/>
              <w:keepLines/>
              <w:spacing w:after="0"/>
              <w:jc w:val="right"/>
              <w:rPr>
                <w:rFonts w:eastAsia="Times New Roman" w:cs="Calibri"/>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DE4B3FC"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GTV</w:t>
            </w:r>
            <w:r w:rsidRPr="00F83937">
              <w:rPr>
                <w:rFonts w:eastAsia="Times New Roman" w:cs="Calibri"/>
                <w:color w:val="000000"/>
                <w:sz w:val="16"/>
                <w:szCs w:val="16"/>
                <w:vertAlign w:val="superscript"/>
                <w:lang w:eastAsia="es-MX"/>
              </w:rPr>
              <w:t>\</w:t>
            </w:r>
            <w:r>
              <w:rPr>
                <w:rFonts w:eastAsia="Times New Roman" w:cs="Calibri"/>
                <w:color w:val="000000"/>
                <w:sz w:val="16"/>
                <w:szCs w:val="16"/>
                <w:vertAlign w:val="superscript"/>
                <w:lang w:eastAsia="es-MX"/>
              </w:rPr>
              <w:t>d</w:t>
            </w:r>
          </w:p>
        </w:tc>
        <w:tc>
          <w:tcPr>
            <w:tcW w:w="567" w:type="dxa"/>
            <w:tcBorders>
              <w:top w:val="nil"/>
              <w:left w:val="nil"/>
              <w:bottom w:val="single" w:sz="4" w:space="0" w:color="auto"/>
              <w:right w:val="single" w:sz="4" w:space="0" w:color="auto"/>
            </w:tcBorders>
            <w:shd w:val="clear" w:color="auto" w:fill="auto"/>
            <w:noWrap/>
            <w:vAlign w:val="bottom"/>
            <w:hideMark/>
          </w:tcPr>
          <w:p w14:paraId="59D9BB3D"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11.8%</w:t>
            </w:r>
          </w:p>
        </w:tc>
        <w:tc>
          <w:tcPr>
            <w:tcW w:w="1329" w:type="dxa"/>
            <w:tcBorders>
              <w:top w:val="nil"/>
              <w:left w:val="nil"/>
              <w:bottom w:val="single" w:sz="4" w:space="0" w:color="auto"/>
              <w:right w:val="single" w:sz="4" w:space="0" w:color="auto"/>
            </w:tcBorders>
            <w:shd w:val="clear" w:color="auto" w:fill="auto"/>
            <w:noWrap/>
            <w:vAlign w:val="bottom"/>
            <w:hideMark/>
          </w:tcPr>
          <w:p w14:paraId="10F0F432"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Axtel</w:t>
            </w:r>
          </w:p>
        </w:tc>
        <w:tc>
          <w:tcPr>
            <w:tcW w:w="567" w:type="dxa"/>
            <w:tcBorders>
              <w:top w:val="nil"/>
              <w:left w:val="nil"/>
              <w:bottom w:val="single" w:sz="4" w:space="0" w:color="auto"/>
              <w:right w:val="single" w:sz="4" w:space="0" w:color="auto"/>
            </w:tcBorders>
            <w:shd w:val="clear" w:color="auto" w:fill="auto"/>
            <w:noWrap/>
            <w:vAlign w:val="bottom"/>
            <w:hideMark/>
          </w:tcPr>
          <w:p w14:paraId="06D4DE43"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16.1%</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2F5F5761" w14:textId="77777777" w:rsidR="00086510" w:rsidRPr="00F10940" w:rsidRDefault="00086510" w:rsidP="00CE4576">
            <w:pPr>
              <w:keepNext/>
              <w:keepLines/>
              <w:spacing w:after="0"/>
              <w:rPr>
                <w:rFonts w:eastAsia="Times New Roman" w:cs="Calibri"/>
                <w:b/>
                <w:bCs/>
                <w:color w:val="000000"/>
                <w:sz w:val="16"/>
                <w:szCs w:val="16"/>
                <w:lang w:eastAsia="es-MX"/>
              </w:rPr>
            </w:pPr>
            <w:r>
              <w:rPr>
                <w:rFonts w:eastAsia="Times New Roman" w:cs="Calibri"/>
                <w:b/>
                <w:color w:val="000000"/>
                <w:sz w:val="16"/>
                <w:szCs w:val="16"/>
                <w:lang w:eastAsia="es-MX"/>
              </w:rPr>
              <w:t>ATC</w:t>
            </w:r>
            <w:r w:rsidRPr="00B71F2B">
              <w:rPr>
                <w:rFonts w:eastAsia="Times New Roman" w:cs="Calibri"/>
                <w:b/>
                <w:bCs/>
                <w:color w:val="000000"/>
                <w:sz w:val="16"/>
                <w:szCs w:val="16"/>
                <w:vertAlign w:val="superscript"/>
                <w:lang w:eastAsia="es-MX"/>
              </w:rPr>
              <w:t>\a</w:t>
            </w:r>
          </w:p>
        </w:tc>
        <w:tc>
          <w:tcPr>
            <w:tcW w:w="567" w:type="dxa"/>
            <w:tcBorders>
              <w:top w:val="nil"/>
              <w:left w:val="nil"/>
              <w:bottom w:val="single" w:sz="4" w:space="0" w:color="auto"/>
              <w:right w:val="single" w:sz="4" w:space="0" w:color="auto"/>
            </w:tcBorders>
            <w:shd w:val="clear" w:color="auto" w:fill="auto"/>
            <w:noWrap/>
            <w:vAlign w:val="bottom"/>
            <w:hideMark/>
          </w:tcPr>
          <w:p w14:paraId="77A7F010" w14:textId="77777777" w:rsidR="00086510" w:rsidRPr="00F10940" w:rsidRDefault="00086510" w:rsidP="00CE4576">
            <w:pPr>
              <w:keepNext/>
              <w:keepLines/>
              <w:spacing w:after="0"/>
              <w:jc w:val="right"/>
              <w:rPr>
                <w:rFonts w:eastAsia="Times New Roman" w:cs="Calibri"/>
                <w:b/>
                <w:bCs/>
                <w:color w:val="000000"/>
                <w:sz w:val="16"/>
                <w:szCs w:val="16"/>
                <w:lang w:eastAsia="es-MX"/>
              </w:rPr>
            </w:pPr>
            <w:r w:rsidRPr="00F10940">
              <w:rPr>
                <w:rFonts w:eastAsia="Times New Roman" w:cs="Calibri"/>
                <w:b/>
                <w:bCs/>
                <w:color w:val="000000"/>
                <w:sz w:val="16"/>
                <w:szCs w:val="16"/>
                <w:lang w:eastAsia="es-MX"/>
              </w:rPr>
              <w:t>9.2%</w:t>
            </w:r>
          </w:p>
        </w:tc>
      </w:tr>
      <w:tr w:rsidR="00086510" w:rsidRPr="00F10940" w14:paraId="736D8889"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36CC7519"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Megacable</w:t>
            </w:r>
          </w:p>
        </w:tc>
        <w:tc>
          <w:tcPr>
            <w:tcW w:w="567" w:type="dxa"/>
            <w:tcBorders>
              <w:top w:val="nil"/>
              <w:left w:val="nil"/>
              <w:bottom w:val="single" w:sz="4" w:space="0" w:color="auto"/>
              <w:right w:val="single" w:sz="4" w:space="0" w:color="auto"/>
            </w:tcBorders>
            <w:shd w:val="clear" w:color="auto" w:fill="auto"/>
            <w:noWrap/>
            <w:vAlign w:val="bottom"/>
            <w:hideMark/>
          </w:tcPr>
          <w:p w14:paraId="5CB51BF2"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6.6%</w:t>
            </w:r>
          </w:p>
        </w:tc>
        <w:tc>
          <w:tcPr>
            <w:tcW w:w="1080" w:type="dxa"/>
            <w:tcBorders>
              <w:top w:val="nil"/>
              <w:left w:val="nil"/>
              <w:bottom w:val="single" w:sz="4" w:space="0" w:color="auto"/>
              <w:right w:val="single" w:sz="4" w:space="0" w:color="auto"/>
            </w:tcBorders>
            <w:shd w:val="clear" w:color="auto" w:fill="auto"/>
            <w:noWrap/>
            <w:vAlign w:val="bottom"/>
            <w:hideMark/>
          </w:tcPr>
          <w:p w14:paraId="2AFDEC61"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Axtel</w:t>
            </w:r>
          </w:p>
        </w:tc>
        <w:tc>
          <w:tcPr>
            <w:tcW w:w="567" w:type="dxa"/>
            <w:tcBorders>
              <w:top w:val="nil"/>
              <w:left w:val="nil"/>
              <w:bottom w:val="single" w:sz="4" w:space="0" w:color="auto"/>
              <w:right w:val="single" w:sz="4" w:space="0" w:color="auto"/>
            </w:tcBorders>
            <w:shd w:val="clear" w:color="auto" w:fill="auto"/>
            <w:noWrap/>
            <w:vAlign w:val="bottom"/>
            <w:hideMark/>
          </w:tcPr>
          <w:p w14:paraId="6A621A6E"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6.0%</w:t>
            </w:r>
          </w:p>
        </w:tc>
        <w:tc>
          <w:tcPr>
            <w:tcW w:w="277" w:type="dxa"/>
            <w:tcBorders>
              <w:top w:val="nil"/>
              <w:left w:val="nil"/>
              <w:bottom w:val="nil"/>
              <w:right w:val="nil"/>
            </w:tcBorders>
            <w:shd w:val="clear" w:color="auto" w:fill="auto"/>
            <w:noWrap/>
            <w:vAlign w:val="bottom"/>
            <w:hideMark/>
          </w:tcPr>
          <w:p w14:paraId="509CDBF4" w14:textId="77777777" w:rsidR="00086510" w:rsidRPr="00F10940" w:rsidRDefault="00086510" w:rsidP="00CE4576">
            <w:pPr>
              <w:keepNext/>
              <w:keepLines/>
              <w:spacing w:after="0"/>
              <w:jc w:val="right"/>
              <w:rPr>
                <w:rFonts w:eastAsia="Times New Roman" w:cs="Calibri"/>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2CAF125B"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Megacable</w:t>
            </w:r>
          </w:p>
        </w:tc>
        <w:tc>
          <w:tcPr>
            <w:tcW w:w="567" w:type="dxa"/>
            <w:tcBorders>
              <w:top w:val="nil"/>
              <w:left w:val="nil"/>
              <w:bottom w:val="single" w:sz="4" w:space="0" w:color="auto"/>
              <w:right w:val="single" w:sz="4" w:space="0" w:color="auto"/>
            </w:tcBorders>
            <w:shd w:val="clear" w:color="auto" w:fill="auto"/>
            <w:noWrap/>
            <w:vAlign w:val="bottom"/>
            <w:hideMark/>
          </w:tcPr>
          <w:p w14:paraId="53600A6B"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6.7%</w:t>
            </w:r>
          </w:p>
        </w:tc>
        <w:tc>
          <w:tcPr>
            <w:tcW w:w="1329" w:type="dxa"/>
            <w:tcBorders>
              <w:top w:val="nil"/>
              <w:left w:val="nil"/>
              <w:bottom w:val="single" w:sz="4" w:space="0" w:color="auto"/>
              <w:right w:val="single" w:sz="4" w:space="0" w:color="auto"/>
            </w:tcBorders>
            <w:shd w:val="clear" w:color="auto" w:fill="auto"/>
            <w:noWrap/>
            <w:vAlign w:val="bottom"/>
            <w:hideMark/>
          </w:tcPr>
          <w:p w14:paraId="267C9126"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Total Play</w:t>
            </w:r>
          </w:p>
        </w:tc>
        <w:tc>
          <w:tcPr>
            <w:tcW w:w="567" w:type="dxa"/>
            <w:tcBorders>
              <w:top w:val="nil"/>
              <w:left w:val="nil"/>
              <w:bottom w:val="single" w:sz="4" w:space="0" w:color="auto"/>
              <w:right w:val="single" w:sz="4" w:space="0" w:color="auto"/>
            </w:tcBorders>
            <w:shd w:val="clear" w:color="auto" w:fill="auto"/>
            <w:noWrap/>
            <w:vAlign w:val="bottom"/>
            <w:hideMark/>
          </w:tcPr>
          <w:p w14:paraId="13D93653"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9.3%</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0F05C7A0"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Axtel</w:t>
            </w:r>
          </w:p>
        </w:tc>
        <w:tc>
          <w:tcPr>
            <w:tcW w:w="567" w:type="dxa"/>
            <w:tcBorders>
              <w:top w:val="nil"/>
              <w:left w:val="nil"/>
              <w:bottom w:val="single" w:sz="4" w:space="0" w:color="auto"/>
              <w:right w:val="single" w:sz="4" w:space="0" w:color="auto"/>
            </w:tcBorders>
            <w:shd w:val="clear" w:color="auto" w:fill="auto"/>
            <w:noWrap/>
            <w:vAlign w:val="bottom"/>
            <w:hideMark/>
          </w:tcPr>
          <w:p w14:paraId="6BC804D0"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5.9%</w:t>
            </w:r>
          </w:p>
        </w:tc>
      </w:tr>
      <w:tr w:rsidR="00086510" w:rsidRPr="00F10940" w14:paraId="5C77E260"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4C1BDC0A"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IP Matrix</w:t>
            </w:r>
          </w:p>
        </w:tc>
        <w:tc>
          <w:tcPr>
            <w:tcW w:w="567" w:type="dxa"/>
            <w:tcBorders>
              <w:top w:val="nil"/>
              <w:left w:val="nil"/>
              <w:bottom w:val="single" w:sz="4" w:space="0" w:color="auto"/>
              <w:right w:val="single" w:sz="4" w:space="0" w:color="auto"/>
            </w:tcBorders>
            <w:shd w:val="clear" w:color="auto" w:fill="auto"/>
            <w:noWrap/>
            <w:vAlign w:val="bottom"/>
            <w:hideMark/>
          </w:tcPr>
          <w:p w14:paraId="63D5579A"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2.6%</w:t>
            </w:r>
          </w:p>
        </w:tc>
        <w:tc>
          <w:tcPr>
            <w:tcW w:w="1080" w:type="dxa"/>
            <w:tcBorders>
              <w:top w:val="nil"/>
              <w:left w:val="nil"/>
              <w:bottom w:val="single" w:sz="4" w:space="0" w:color="auto"/>
              <w:right w:val="single" w:sz="4" w:space="0" w:color="auto"/>
            </w:tcBorders>
            <w:shd w:val="clear" w:color="auto" w:fill="auto"/>
            <w:noWrap/>
            <w:vAlign w:val="bottom"/>
            <w:hideMark/>
          </w:tcPr>
          <w:p w14:paraId="0A8EA556"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Megacable</w:t>
            </w:r>
          </w:p>
        </w:tc>
        <w:tc>
          <w:tcPr>
            <w:tcW w:w="567" w:type="dxa"/>
            <w:tcBorders>
              <w:top w:val="nil"/>
              <w:left w:val="nil"/>
              <w:bottom w:val="single" w:sz="4" w:space="0" w:color="auto"/>
              <w:right w:val="single" w:sz="4" w:space="0" w:color="auto"/>
            </w:tcBorders>
            <w:shd w:val="clear" w:color="auto" w:fill="auto"/>
            <w:noWrap/>
            <w:vAlign w:val="bottom"/>
            <w:hideMark/>
          </w:tcPr>
          <w:p w14:paraId="1D69876C"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0.6%</w:t>
            </w:r>
          </w:p>
        </w:tc>
        <w:tc>
          <w:tcPr>
            <w:tcW w:w="277" w:type="dxa"/>
            <w:tcBorders>
              <w:top w:val="nil"/>
              <w:left w:val="nil"/>
              <w:bottom w:val="nil"/>
              <w:right w:val="nil"/>
            </w:tcBorders>
            <w:shd w:val="clear" w:color="auto" w:fill="auto"/>
            <w:noWrap/>
            <w:vAlign w:val="bottom"/>
            <w:hideMark/>
          </w:tcPr>
          <w:p w14:paraId="747CF008" w14:textId="77777777" w:rsidR="00086510" w:rsidRPr="00F10940" w:rsidRDefault="00086510" w:rsidP="00CE4576">
            <w:pPr>
              <w:keepNext/>
              <w:keepLines/>
              <w:spacing w:after="0"/>
              <w:jc w:val="right"/>
              <w:rPr>
                <w:rFonts w:eastAsia="Times New Roman" w:cs="Calibri"/>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8114CC7"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Axtel</w:t>
            </w:r>
          </w:p>
        </w:tc>
        <w:tc>
          <w:tcPr>
            <w:tcW w:w="567" w:type="dxa"/>
            <w:tcBorders>
              <w:top w:val="nil"/>
              <w:left w:val="nil"/>
              <w:bottom w:val="single" w:sz="4" w:space="0" w:color="auto"/>
              <w:right w:val="single" w:sz="4" w:space="0" w:color="auto"/>
            </w:tcBorders>
            <w:shd w:val="clear" w:color="auto" w:fill="auto"/>
            <w:noWrap/>
            <w:vAlign w:val="bottom"/>
            <w:hideMark/>
          </w:tcPr>
          <w:p w14:paraId="4ABB6175"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6.6%</w:t>
            </w:r>
          </w:p>
        </w:tc>
        <w:tc>
          <w:tcPr>
            <w:tcW w:w="1329" w:type="dxa"/>
            <w:tcBorders>
              <w:top w:val="nil"/>
              <w:left w:val="nil"/>
              <w:bottom w:val="single" w:sz="4" w:space="0" w:color="auto"/>
              <w:right w:val="single" w:sz="4" w:space="0" w:color="auto"/>
            </w:tcBorders>
            <w:shd w:val="clear" w:color="auto" w:fill="auto"/>
            <w:noWrap/>
            <w:vAlign w:val="bottom"/>
            <w:hideMark/>
          </w:tcPr>
          <w:p w14:paraId="1196A664" w14:textId="77777777" w:rsidR="00086510" w:rsidRPr="00F10940" w:rsidRDefault="00086510" w:rsidP="00CE4576">
            <w:pPr>
              <w:keepNext/>
              <w:keepLines/>
              <w:spacing w:after="0"/>
              <w:rPr>
                <w:rFonts w:eastAsia="Times New Roman" w:cs="Calibri"/>
                <w:b/>
                <w:bCs/>
                <w:color w:val="000000"/>
                <w:sz w:val="16"/>
                <w:szCs w:val="16"/>
                <w:lang w:eastAsia="es-MX"/>
              </w:rPr>
            </w:pPr>
            <w:r>
              <w:rPr>
                <w:rFonts w:eastAsia="Times New Roman" w:cs="Calibri"/>
                <w:b/>
                <w:color w:val="000000"/>
                <w:sz w:val="16"/>
                <w:szCs w:val="16"/>
                <w:lang w:eastAsia="es-MX"/>
              </w:rPr>
              <w:t>ATC</w:t>
            </w:r>
            <w:r w:rsidRPr="00B71F2B">
              <w:rPr>
                <w:rFonts w:eastAsia="Times New Roman" w:cs="Calibri"/>
                <w:b/>
                <w:bCs/>
                <w:color w:val="000000"/>
                <w:sz w:val="16"/>
                <w:szCs w:val="16"/>
                <w:vertAlign w:val="superscript"/>
                <w:lang w:eastAsia="es-MX"/>
              </w:rPr>
              <w:t>\a</w:t>
            </w:r>
          </w:p>
        </w:tc>
        <w:tc>
          <w:tcPr>
            <w:tcW w:w="567" w:type="dxa"/>
            <w:tcBorders>
              <w:top w:val="nil"/>
              <w:left w:val="nil"/>
              <w:bottom w:val="single" w:sz="4" w:space="0" w:color="auto"/>
              <w:right w:val="single" w:sz="4" w:space="0" w:color="auto"/>
            </w:tcBorders>
            <w:shd w:val="clear" w:color="auto" w:fill="auto"/>
            <w:noWrap/>
            <w:vAlign w:val="bottom"/>
            <w:hideMark/>
          </w:tcPr>
          <w:p w14:paraId="5B79F87C" w14:textId="77777777" w:rsidR="00086510" w:rsidRPr="00F10940" w:rsidRDefault="00086510" w:rsidP="00CE4576">
            <w:pPr>
              <w:keepNext/>
              <w:keepLines/>
              <w:spacing w:after="0"/>
              <w:jc w:val="right"/>
              <w:rPr>
                <w:rFonts w:eastAsia="Times New Roman" w:cs="Calibri"/>
                <w:b/>
                <w:bCs/>
                <w:color w:val="000000"/>
                <w:sz w:val="16"/>
                <w:szCs w:val="16"/>
                <w:lang w:eastAsia="es-MX"/>
              </w:rPr>
            </w:pPr>
            <w:r w:rsidRPr="00F10940">
              <w:rPr>
                <w:rFonts w:eastAsia="Times New Roman" w:cs="Calibri"/>
                <w:b/>
                <w:bCs/>
                <w:color w:val="000000"/>
                <w:sz w:val="16"/>
                <w:szCs w:val="16"/>
                <w:lang w:eastAsia="es-MX"/>
              </w:rPr>
              <w:t>5.3%</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713E82B0"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Pegaso</w:t>
            </w:r>
          </w:p>
        </w:tc>
        <w:tc>
          <w:tcPr>
            <w:tcW w:w="567" w:type="dxa"/>
            <w:tcBorders>
              <w:top w:val="nil"/>
              <w:left w:val="nil"/>
              <w:bottom w:val="single" w:sz="4" w:space="0" w:color="auto"/>
              <w:right w:val="single" w:sz="4" w:space="0" w:color="auto"/>
            </w:tcBorders>
            <w:shd w:val="clear" w:color="auto" w:fill="auto"/>
            <w:noWrap/>
            <w:vAlign w:val="bottom"/>
            <w:hideMark/>
          </w:tcPr>
          <w:p w14:paraId="06288B62"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0.1%</w:t>
            </w:r>
          </w:p>
        </w:tc>
      </w:tr>
      <w:tr w:rsidR="00086510" w:rsidRPr="00F10940" w14:paraId="216A6F3D"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7E346A6B" w14:textId="77777777" w:rsidR="00086510" w:rsidRPr="00F10940" w:rsidRDefault="00086510" w:rsidP="00CE4576">
            <w:pPr>
              <w:keepNext/>
              <w:keepLines/>
              <w:spacing w:after="0"/>
              <w:rPr>
                <w:rFonts w:eastAsia="Times New Roman" w:cs="Calibri"/>
                <w:b/>
                <w:bCs/>
                <w:color w:val="000000"/>
                <w:sz w:val="16"/>
                <w:szCs w:val="16"/>
                <w:lang w:eastAsia="es-MX"/>
              </w:rPr>
            </w:pPr>
            <w:r>
              <w:rPr>
                <w:rFonts w:eastAsia="Times New Roman" w:cs="Calibri"/>
                <w:b/>
                <w:color w:val="000000"/>
                <w:sz w:val="16"/>
                <w:szCs w:val="16"/>
                <w:lang w:eastAsia="es-MX"/>
              </w:rPr>
              <w:t>ATC</w:t>
            </w:r>
            <w:r w:rsidRPr="00B71F2B">
              <w:rPr>
                <w:rFonts w:eastAsia="Times New Roman" w:cs="Calibri"/>
                <w:b/>
                <w:bCs/>
                <w:color w:val="000000"/>
                <w:sz w:val="16"/>
                <w:szCs w:val="16"/>
                <w:vertAlign w:val="superscript"/>
                <w:lang w:eastAsia="es-MX"/>
              </w:rPr>
              <w:t>\a</w:t>
            </w:r>
          </w:p>
        </w:tc>
        <w:tc>
          <w:tcPr>
            <w:tcW w:w="567" w:type="dxa"/>
            <w:tcBorders>
              <w:top w:val="nil"/>
              <w:left w:val="nil"/>
              <w:bottom w:val="single" w:sz="4" w:space="0" w:color="auto"/>
              <w:right w:val="single" w:sz="4" w:space="0" w:color="auto"/>
            </w:tcBorders>
            <w:shd w:val="clear" w:color="auto" w:fill="auto"/>
            <w:noWrap/>
            <w:vAlign w:val="bottom"/>
            <w:hideMark/>
          </w:tcPr>
          <w:p w14:paraId="3BE37A24" w14:textId="77777777" w:rsidR="00086510" w:rsidRPr="00F10940" w:rsidRDefault="00086510" w:rsidP="00CE4576">
            <w:pPr>
              <w:keepNext/>
              <w:keepLines/>
              <w:spacing w:after="0"/>
              <w:jc w:val="right"/>
              <w:rPr>
                <w:rFonts w:eastAsia="Times New Roman" w:cs="Calibri"/>
                <w:b/>
                <w:bCs/>
                <w:color w:val="000000"/>
                <w:sz w:val="16"/>
                <w:szCs w:val="16"/>
                <w:lang w:eastAsia="es-MX"/>
              </w:rPr>
            </w:pPr>
            <w:r w:rsidRPr="00F10940">
              <w:rPr>
                <w:rFonts w:eastAsia="Times New Roman" w:cs="Calibri"/>
                <w:b/>
                <w:bCs/>
                <w:color w:val="000000"/>
                <w:sz w:val="16"/>
                <w:szCs w:val="16"/>
                <w:lang w:eastAsia="es-MX"/>
              </w:rPr>
              <w:t>2.2%</w:t>
            </w:r>
          </w:p>
        </w:tc>
        <w:tc>
          <w:tcPr>
            <w:tcW w:w="1080" w:type="dxa"/>
            <w:tcBorders>
              <w:top w:val="nil"/>
              <w:left w:val="nil"/>
              <w:bottom w:val="single" w:sz="4" w:space="0" w:color="auto"/>
              <w:right w:val="single" w:sz="4" w:space="0" w:color="auto"/>
            </w:tcBorders>
            <w:shd w:val="clear" w:color="auto" w:fill="auto"/>
            <w:noWrap/>
            <w:vAlign w:val="bottom"/>
            <w:hideMark/>
          </w:tcPr>
          <w:p w14:paraId="20D186E1"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IP Matrix</w:t>
            </w:r>
          </w:p>
        </w:tc>
        <w:tc>
          <w:tcPr>
            <w:tcW w:w="567" w:type="dxa"/>
            <w:tcBorders>
              <w:top w:val="nil"/>
              <w:left w:val="nil"/>
              <w:bottom w:val="single" w:sz="4" w:space="0" w:color="auto"/>
              <w:right w:val="single" w:sz="4" w:space="0" w:color="auto"/>
            </w:tcBorders>
            <w:shd w:val="clear" w:color="auto" w:fill="auto"/>
            <w:noWrap/>
            <w:vAlign w:val="bottom"/>
            <w:hideMark/>
          </w:tcPr>
          <w:p w14:paraId="21302A60"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0.6%</w:t>
            </w:r>
          </w:p>
        </w:tc>
        <w:tc>
          <w:tcPr>
            <w:tcW w:w="277" w:type="dxa"/>
            <w:tcBorders>
              <w:top w:val="nil"/>
              <w:left w:val="nil"/>
              <w:bottom w:val="nil"/>
              <w:right w:val="nil"/>
            </w:tcBorders>
            <w:shd w:val="clear" w:color="auto" w:fill="auto"/>
            <w:noWrap/>
            <w:vAlign w:val="bottom"/>
            <w:hideMark/>
          </w:tcPr>
          <w:p w14:paraId="4FD66709" w14:textId="77777777" w:rsidR="00086510" w:rsidRPr="00F10940" w:rsidRDefault="00086510" w:rsidP="00CE4576">
            <w:pPr>
              <w:keepNext/>
              <w:keepLines/>
              <w:spacing w:after="0"/>
              <w:jc w:val="right"/>
              <w:rPr>
                <w:rFonts w:eastAsia="Times New Roman" w:cs="Calibri"/>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6F3BAD04"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IP Matrix</w:t>
            </w:r>
          </w:p>
        </w:tc>
        <w:tc>
          <w:tcPr>
            <w:tcW w:w="567" w:type="dxa"/>
            <w:tcBorders>
              <w:top w:val="nil"/>
              <w:left w:val="nil"/>
              <w:bottom w:val="single" w:sz="4" w:space="0" w:color="auto"/>
              <w:right w:val="single" w:sz="4" w:space="0" w:color="auto"/>
            </w:tcBorders>
            <w:shd w:val="clear" w:color="auto" w:fill="auto"/>
            <w:noWrap/>
            <w:vAlign w:val="bottom"/>
            <w:hideMark/>
          </w:tcPr>
          <w:p w14:paraId="5F69701B"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1.3%</w:t>
            </w:r>
          </w:p>
        </w:tc>
        <w:tc>
          <w:tcPr>
            <w:tcW w:w="1329" w:type="dxa"/>
            <w:tcBorders>
              <w:top w:val="nil"/>
              <w:left w:val="nil"/>
              <w:bottom w:val="single" w:sz="4" w:space="0" w:color="auto"/>
              <w:right w:val="single" w:sz="4" w:space="0" w:color="auto"/>
            </w:tcBorders>
            <w:shd w:val="clear" w:color="auto" w:fill="auto"/>
            <w:noWrap/>
            <w:vAlign w:val="bottom"/>
            <w:hideMark/>
          </w:tcPr>
          <w:p w14:paraId="6AFEAD2C"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IP Matrix</w:t>
            </w:r>
          </w:p>
        </w:tc>
        <w:tc>
          <w:tcPr>
            <w:tcW w:w="567" w:type="dxa"/>
            <w:tcBorders>
              <w:top w:val="nil"/>
              <w:left w:val="nil"/>
              <w:bottom w:val="single" w:sz="4" w:space="0" w:color="auto"/>
              <w:right w:val="single" w:sz="4" w:space="0" w:color="auto"/>
            </w:tcBorders>
            <w:shd w:val="clear" w:color="auto" w:fill="auto"/>
            <w:noWrap/>
            <w:vAlign w:val="bottom"/>
            <w:hideMark/>
          </w:tcPr>
          <w:p w14:paraId="47466A5E"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2.5%</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736B7BE0"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7D7C3782"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r>
      <w:tr w:rsidR="00086510" w:rsidRPr="00F10940" w14:paraId="1EC97CE9"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0B3A3820"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Pegaso</w:t>
            </w:r>
          </w:p>
        </w:tc>
        <w:tc>
          <w:tcPr>
            <w:tcW w:w="567" w:type="dxa"/>
            <w:tcBorders>
              <w:top w:val="nil"/>
              <w:left w:val="nil"/>
              <w:bottom w:val="single" w:sz="4" w:space="0" w:color="auto"/>
              <w:right w:val="single" w:sz="4" w:space="0" w:color="auto"/>
            </w:tcBorders>
            <w:shd w:val="clear" w:color="auto" w:fill="auto"/>
            <w:noWrap/>
            <w:vAlign w:val="bottom"/>
            <w:hideMark/>
          </w:tcPr>
          <w:p w14:paraId="5387E99B"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0.1%</w:t>
            </w:r>
          </w:p>
        </w:tc>
        <w:tc>
          <w:tcPr>
            <w:tcW w:w="1080" w:type="dxa"/>
            <w:tcBorders>
              <w:top w:val="nil"/>
              <w:left w:val="nil"/>
              <w:bottom w:val="single" w:sz="4" w:space="0" w:color="auto"/>
              <w:right w:val="single" w:sz="4" w:space="0" w:color="auto"/>
            </w:tcBorders>
            <w:shd w:val="clear" w:color="auto" w:fill="auto"/>
            <w:noWrap/>
            <w:vAlign w:val="bottom"/>
            <w:hideMark/>
          </w:tcPr>
          <w:p w14:paraId="2019D22D" w14:textId="77777777" w:rsidR="00086510" w:rsidRPr="00F10940" w:rsidRDefault="00086510" w:rsidP="00CE4576">
            <w:pPr>
              <w:keepNext/>
              <w:keepLines/>
              <w:spacing w:after="0"/>
              <w:rPr>
                <w:rFonts w:eastAsia="Times New Roman" w:cs="Calibri"/>
                <w:b/>
                <w:bCs/>
                <w:color w:val="000000"/>
                <w:sz w:val="16"/>
                <w:szCs w:val="16"/>
                <w:lang w:eastAsia="es-MX"/>
              </w:rPr>
            </w:pPr>
            <w:r>
              <w:rPr>
                <w:rFonts w:eastAsia="Times New Roman" w:cs="Calibri"/>
                <w:b/>
                <w:color w:val="000000"/>
                <w:sz w:val="16"/>
                <w:szCs w:val="16"/>
                <w:lang w:eastAsia="es-MX"/>
              </w:rPr>
              <w:t>ATC</w:t>
            </w:r>
            <w:r w:rsidRPr="00B71F2B">
              <w:rPr>
                <w:rFonts w:eastAsia="Times New Roman" w:cs="Calibri"/>
                <w:b/>
                <w:bCs/>
                <w:color w:val="000000"/>
                <w:sz w:val="16"/>
                <w:szCs w:val="16"/>
                <w:vertAlign w:val="superscript"/>
                <w:lang w:eastAsia="es-MX"/>
              </w:rPr>
              <w:t>\a</w:t>
            </w:r>
          </w:p>
        </w:tc>
        <w:tc>
          <w:tcPr>
            <w:tcW w:w="567" w:type="dxa"/>
            <w:tcBorders>
              <w:top w:val="nil"/>
              <w:left w:val="nil"/>
              <w:bottom w:val="single" w:sz="4" w:space="0" w:color="auto"/>
              <w:right w:val="single" w:sz="4" w:space="0" w:color="auto"/>
            </w:tcBorders>
            <w:shd w:val="clear" w:color="auto" w:fill="auto"/>
            <w:noWrap/>
            <w:vAlign w:val="bottom"/>
            <w:hideMark/>
          </w:tcPr>
          <w:p w14:paraId="19A0CD49" w14:textId="77777777" w:rsidR="00086510" w:rsidRPr="00F10940" w:rsidRDefault="00086510" w:rsidP="00CE4576">
            <w:pPr>
              <w:keepNext/>
              <w:keepLines/>
              <w:spacing w:after="0"/>
              <w:jc w:val="right"/>
              <w:rPr>
                <w:rFonts w:eastAsia="Times New Roman" w:cs="Calibri"/>
                <w:b/>
                <w:bCs/>
                <w:color w:val="000000"/>
                <w:sz w:val="16"/>
                <w:szCs w:val="16"/>
                <w:lang w:eastAsia="es-MX"/>
              </w:rPr>
            </w:pPr>
            <w:r w:rsidRPr="00F10940">
              <w:rPr>
                <w:rFonts w:eastAsia="Times New Roman" w:cs="Calibri"/>
                <w:b/>
                <w:bCs/>
                <w:color w:val="000000"/>
                <w:sz w:val="16"/>
                <w:szCs w:val="16"/>
                <w:lang w:eastAsia="es-MX"/>
              </w:rPr>
              <w:t>0.1%</w:t>
            </w:r>
          </w:p>
        </w:tc>
        <w:tc>
          <w:tcPr>
            <w:tcW w:w="277" w:type="dxa"/>
            <w:tcBorders>
              <w:top w:val="nil"/>
              <w:left w:val="nil"/>
              <w:bottom w:val="nil"/>
              <w:right w:val="nil"/>
            </w:tcBorders>
            <w:shd w:val="clear" w:color="auto" w:fill="auto"/>
            <w:noWrap/>
            <w:vAlign w:val="bottom"/>
            <w:hideMark/>
          </w:tcPr>
          <w:p w14:paraId="48F02131" w14:textId="77777777" w:rsidR="00086510" w:rsidRPr="00F10940" w:rsidRDefault="00086510" w:rsidP="00CE4576">
            <w:pPr>
              <w:keepNext/>
              <w:keepLines/>
              <w:spacing w:after="0"/>
              <w:jc w:val="right"/>
              <w:rPr>
                <w:rFonts w:eastAsia="Times New Roman" w:cs="Calibri"/>
                <w:b/>
                <w:bCs/>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3F362D11"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Pegaso</w:t>
            </w:r>
          </w:p>
        </w:tc>
        <w:tc>
          <w:tcPr>
            <w:tcW w:w="567" w:type="dxa"/>
            <w:tcBorders>
              <w:top w:val="nil"/>
              <w:left w:val="nil"/>
              <w:bottom w:val="single" w:sz="4" w:space="0" w:color="auto"/>
              <w:right w:val="single" w:sz="4" w:space="0" w:color="auto"/>
            </w:tcBorders>
            <w:shd w:val="clear" w:color="auto" w:fill="auto"/>
            <w:noWrap/>
            <w:vAlign w:val="bottom"/>
            <w:hideMark/>
          </w:tcPr>
          <w:p w14:paraId="1C6BBDF8"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0.4%</w:t>
            </w:r>
          </w:p>
        </w:tc>
        <w:tc>
          <w:tcPr>
            <w:tcW w:w="1329" w:type="dxa"/>
            <w:tcBorders>
              <w:top w:val="nil"/>
              <w:left w:val="nil"/>
              <w:bottom w:val="single" w:sz="4" w:space="0" w:color="auto"/>
              <w:right w:val="single" w:sz="4" w:space="0" w:color="auto"/>
            </w:tcBorders>
            <w:shd w:val="clear" w:color="auto" w:fill="auto"/>
            <w:noWrap/>
            <w:vAlign w:val="bottom"/>
            <w:hideMark/>
          </w:tcPr>
          <w:p w14:paraId="6C638FEF"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Megacable</w:t>
            </w:r>
          </w:p>
        </w:tc>
        <w:tc>
          <w:tcPr>
            <w:tcW w:w="567" w:type="dxa"/>
            <w:tcBorders>
              <w:top w:val="nil"/>
              <w:left w:val="nil"/>
              <w:bottom w:val="single" w:sz="4" w:space="0" w:color="auto"/>
              <w:right w:val="single" w:sz="4" w:space="0" w:color="auto"/>
            </w:tcBorders>
            <w:shd w:val="clear" w:color="auto" w:fill="auto"/>
            <w:noWrap/>
            <w:vAlign w:val="bottom"/>
            <w:hideMark/>
          </w:tcPr>
          <w:p w14:paraId="4295B08C"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0.4%</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03A2B3EB"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13DCF5AC"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r>
      <w:tr w:rsidR="00086510" w:rsidRPr="00F10940" w14:paraId="09737E14"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32C9BDAD"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007E772F"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AEF7AE"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Pegaso</w:t>
            </w:r>
          </w:p>
        </w:tc>
        <w:tc>
          <w:tcPr>
            <w:tcW w:w="567" w:type="dxa"/>
            <w:tcBorders>
              <w:top w:val="nil"/>
              <w:left w:val="nil"/>
              <w:bottom w:val="single" w:sz="4" w:space="0" w:color="auto"/>
              <w:right w:val="single" w:sz="4" w:space="0" w:color="auto"/>
            </w:tcBorders>
            <w:shd w:val="clear" w:color="auto" w:fill="auto"/>
            <w:noWrap/>
            <w:vAlign w:val="bottom"/>
            <w:hideMark/>
          </w:tcPr>
          <w:p w14:paraId="69608B20"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0.01%</w:t>
            </w:r>
          </w:p>
        </w:tc>
        <w:tc>
          <w:tcPr>
            <w:tcW w:w="277" w:type="dxa"/>
            <w:tcBorders>
              <w:top w:val="nil"/>
              <w:left w:val="nil"/>
              <w:bottom w:val="nil"/>
              <w:right w:val="nil"/>
            </w:tcBorders>
            <w:shd w:val="clear" w:color="auto" w:fill="auto"/>
            <w:noWrap/>
            <w:vAlign w:val="bottom"/>
            <w:hideMark/>
          </w:tcPr>
          <w:p w14:paraId="37C649D1" w14:textId="77777777" w:rsidR="00086510" w:rsidRPr="00F10940" w:rsidRDefault="00086510" w:rsidP="00CE4576">
            <w:pPr>
              <w:keepNext/>
              <w:keepLines/>
              <w:spacing w:after="0"/>
              <w:jc w:val="right"/>
              <w:rPr>
                <w:rFonts w:eastAsia="Times New Roman" w:cs="Calibri"/>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D0AAA65"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2D37CBDE"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14:paraId="5094E20F"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Pegaso</w:t>
            </w:r>
          </w:p>
        </w:tc>
        <w:tc>
          <w:tcPr>
            <w:tcW w:w="567" w:type="dxa"/>
            <w:tcBorders>
              <w:top w:val="nil"/>
              <w:left w:val="nil"/>
              <w:bottom w:val="single" w:sz="4" w:space="0" w:color="auto"/>
              <w:right w:val="single" w:sz="4" w:space="0" w:color="auto"/>
            </w:tcBorders>
            <w:shd w:val="clear" w:color="auto" w:fill="auto"/>
            <w:noWrap/>
            <w:vAlign w:val="bottom"/>
            <w:hideMark/>
          </w:tcPr>
          <w:p w14:paraId="7AB12E31" w14:textId="77777777" w:rsidR="00086510" w:rsidRPr="00F10940" w:rsidRDefault="00086510" w:rsidP="00CE4576">
            <w:pPr>
              <w:keepNext/>
              <w:keepLines/>
              <w:spacing w:after="0"/>
              <w:jc w:val="right"/>
              <w:rPr>
                <w:rFonts w:eastAsia="Times New Roman" w:cs="Calibri"/>
                <w:color w:val="000000"/>
                <w:sz w:val="16"/>
                <w:szCs w:val="16"/>
                <w:lang w:eastAsia="es-MX"/>
              </w:rPr>
            </w:pPr>
            <w:r w:rsidRPr="00F10940">
              <w:rPr>
                <w:rFonts w:eastAsia="Times New Roman" w:cs="Calibri"/>
                <w:color w:val="000000"/>
                <w:sz w:val="16"/>
                <w:szCs w:val="16"/>
                <w:lang w:eastAsia="es-MX"/>
              </w:rPr>
              <w:t>0.05%</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7A45F858"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6955538F" w14:textId="77777777" w:rsidR="00086510" w:rsidRPr="00F10940" w:rsidRDefault="00086510" w:rsidP="00CE4576">
            <w:pPr>
              <w:keepNext/>
              <w:keepLines/>
              <w:spacing w:after="0"/>
              <w:rPr>
                <w:rFonts w:eastAsia="Times New Roman" w:cs="Calibri"/>
                <w:color w:val="000000"/>
                <w:sz w:val="16"/>
                <w:szCs w:val="16"/>
                <w:lang w:eastAsia="es-MX"/>
              </w:rPr>
            </w:pPr>
            <w:r w:rsidRPr="00F10940">
              <w:rPr>
                <w:rFonts w:eastAsia="Times New Roman" w:cs="Calibri"/>
                <w:color w:val="000000"/>
                <w:sz w:val="16"/>
                <w:szCs w:val="16"/>
                <w:lang w:eastAsia="es-MX"/>
              </w:rPr>
              <w:t> </w:t>
            </w:r>
          </w:p>
        </w:tc>
      </w:tr>
      <w:tr w:rsidR="00086510" w:rsidRPr="00F10940" w14:paraId="2F8F861D"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tcPr>
          <w:p w14:paraId="2EB872AC"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567" w:type="dxa"/>
            <w:tcBorders>
              <w:top w:val="nil"/>
              <w:left w:val="nil"/>
              <w:bottom w:val="single" w:sz="4" w:space="0" w:color="auto"/>
              <w:right w:val="single" w:sz="4" w:space="0" w:color="auto"/>
            </w:tcBorders>
            <w:shd w:val="clear" w:color="auto" w:fill="auto"/>
            <w:noWrap/>
            <w:vAlign w:val="bottom"/>
          </w:tcPr>
          <w:p w14:paraId="75140D2B"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100%</w:t>
            </w:r>
          </w:p>
        </w:tc>
        <w:tc>
          <w:tcPr>
            <w:tcW w:w="1080" w:type="dxa"/>
            <w:tcBorders>
              <w:top w:val="nil"/>
              <w:left w:val="nil"/>
              <w:bottom w:val="single" w:sz="4" w:space="0" w:color="auto"/>
              <w:right w:val="single" w:sz="4" w:space="0" w:color="auto"/>
            </w:tcBorders>
            <w:shd w:val="clear" w:color="auto" w:fill="auto"/>
            <w:noWrap/>
            <w:vAlign w:val="bottom"/>
          </w:tcPr>
          <w:p w14:paraId="1D4A1EEA"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567" w:type="dxa"/>
            <w:tcBorders>
              <w:top w:val="nil"/>
              <w:left w:val="nil"/>
              <w:bottom w:val="single" w:sz="4" w:space="0" w:color="auto"/>
              <w:right w:val="single" w:sz="4" w:space="0" w:color="auto"/>
            </w:tcBorders>
            <w:shd w:val="clear" w:color="auto" w:fill="auto"/>
            <w:noWrap/>
            <w:vAlign w:val="bottom"/>
          </w:tcPr>
          <w:p w14:paraId="3F90A6E3"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100%</w:t>
            </w:r>
          </w:p>
        </w:tc>
        <w:tc>
          <w:tcPr>
            <w:tcW w:w="277" w:type="dxa"/>
            <w:tcBorders>
              <w:top w:val="nil"/>
              <w:left w:val="nil"/>
              <w:bottom w:val="nil"/>
              <w:right w:val="nil"/>
            </w:tcBorders>
            <w:shd w:val="clear" w:color="auto" w:fill="auto"/>
            <w:noWrap/>
            <w:vAlign w:val="bottom"/>
          </w:tcPr>
          <w:p w14:paraId="2B5F2EEE" w14:textId="77777777" w:rsidR="00086510" w:rsidRPr="00F10940" w:rsidRDefault="00086510" w:rsidP="00CE4576">
            <w:pPr>
              <w:keepNext/>
              <w:keepLines/>
              <w:spacing w:after="0"/>
              <w:jc w:val="center"/>
              <w:rPr>
                <w:rFonts w:eastAsia="Times New Roman" w:cs="Calibri"/>
                <w:b/>
                <w:bCs/>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7D98197A"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567" w:type="dxa"/>
            <w:tcBorders>
              <w:top w:val="nil"/>
              <w:left w:val="nil"/>
              <w:bottom w:val="single" w:sz="4" w:space="0" w:color="auto"/>
              <w:right w:val="single" w:sz="4" w:space="0" w:color="auto"/>
            </w:tcBorders>
            <w:shd w:val="clear" w:color="auto" w:fill="auto"/>
            <w:noWrap/>
            <w:vAlign w:val="bottom"/>
          </w:tcPr>
          <w:p w14:paraId="4F16664A"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100%</w:t>
            </w:r>
          </w:p>
        </w:tc>
        <w:tc>
          <w:tcPr>
            <w:tcW w:w="1329" w:type="dxa"/>
            <w:tcBorders>
              <w:top w:val="nil"/>
              <w:left w:val="nil"/>
              <w:bottom w:val="single" w:sz="4" w:space="0" w:color="auto"/>
              <w:right w:val="single" w:sz="4" w:space="0" w:color="auto"/>
            </w:tcBorders>
            <w:shd w:val="clear" w:color="auto" w:fill="auto"/>
            <w:noWrap/>
            <w:vAlign w:val="bottom"/>
          </w:tcPr>
          <w:p w14:paraId="295F0039"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567" w:type="dxa"/>
            <w:tcBorders>
              <w:top w:val="nil"/>
              <w:left w:val="nil"/>
              <w:bottom w:val="single" w:sz="4" w:space="0" w:color="auto"/>
              <w:right w:val="single" w:sz="4" w:space="0" w:color="auto"/>
            </w:tcBorders>
            <w:shd w:val="clear" w:color="auto" w:fill="auto"/>
            <w:noWrap/>
            <w:vAlign w:val="bottom"/>
          </w:tcPr>
          <w:p w14:paraId="3C984E4B"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100%</w:t>
            </w:r>
          </w:p>
        </w:tc>
        <w:tc>
          <w:tcPr>
            <w:tcW w:w="800" w:type="dxa"/>
            <w:gridSpan w:val="2"/>
            <w:tcBorders>
              <w:top w:val="nil"/>
              <w:left w:val="nil"/>
              <w:bottom w:val="single" w:sz="4" w:space="0" w:color="auto"/>
              <w:right w:val="single" w:sz="4" w:space="0" w:color="auto"/>
            </w:tcBorders>
            <w:shd w:val="clear" w:color="auto" w:fill="auto"/>
            <w:noWrap/>
            <w:vAlign w:val="bottom"/>
          </w:tcPr>
          <w:p w14:paraId="3A0066F1"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567" w:type="dxa"/>
            <w:tcBorders>
              <w:top w:val="nil"/>
              <w:left w:val="nil"/>
              <w:bottom w:val="single" w:sz="4" w:space="0" w:color="auto"/>
              <w:right w:val="single" w:sz="4" w:space="0" w:color="auto"/>
            </w:tcBorders>
            <w:shd w:val="clear" w:color="auto" w:fill="auto"/>
            <w:noWrap/>
            <w:vAlign w:val="bottom"/>
          </w:tcPr>
          <w:p w14:paraId="3C7A0145"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100%</w:t>
            </w:r>
          </w:p>
        </w:tc>
      </w:tr>
      <w:tr w:rsidR="00086510" w:rsidRPr="00F10940" w14:paraId="3CBECBB8" w14:textId="77777777" w:rsidTr="00086510">
        <w:trPr>
          <w:trHeight w:val="2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3018DC67"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IH</w:t>
            </w:r>
          </w:p>
        </w:tc>
        <w:tc>
          <w:tcPr>
            <w:tcW w:w="567" w:type="dxa"/>
            <w:tcBorders>
              <w:top w:val="nil"/>
              <w:left w:val="nil"/>
              <w:bottom w:val="single" w:sz="4" w:space="0" w:color="auto"/>
              <w:right w:val="single" w:sz="4" w:space="0" w:color="auto"/>
            </w:tcBorders>
            <w:shd w:val="clear" w:color="auto" w:fill="auto"/>
            <w:noWrap/>
            <w:vAlign w:val="bottom"/>
            <w:hideMark/>
          </w:tcPr>
          <w:p w14:paraId="44CC3B67"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2,883</w:t>
            </w:r>
          </w:p>
        </w:tc>
        <w:tc>
          <w:tcPr>
            <w:tcW w:w="1080" w:type="dxa"/>
            <w:tcBorders>
              <w:top w:val="nil"/>
              <w:left w:val="nil"/>
              <w:bottom w:val="single" w:sz="4" w:space="0" w:color="auto"/>
              <w:right w:val="single" w:sz="4" w:space="0" w:color="auto"/>
            </w:tcBorders>
            <w:shd w:val="clear" w:color="auto" w:fill="auto"/>
            <w:noWrap/>
            <w:vAlign w:val="bottom"/>
            <w:hideMark/>
          </w:tcPr>
          <w:p w14:paraId="6A0FAC0B"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IH</w:t>
            </w:r>
          </w:p>
        </w:tc>
        <w:tc>
          <w:tcPr>
            <w:tcW w:w="567" w:type="dxa"/>
            <w:tcBorders>
              <w:top w:val="nil"/>
              <w:left w:val="nil"/>
              <w:bottom w:val="single" w:sz="4" w:space="0" w:color="auto"/>
              <w:right w:val="single" w:sz="4" w:space="0" w:color="auto"/>
            </w:tcBorders>
            <w:shd w:val="clear" w:color="auto" w:fill="auto"/>
            <w:noWrap/>
            <w:vAlign w:val="bottom"/>
            <w:hideMark/>
          </w:tcPr>
          <w:p w14:paraId="764802BA"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5,161</w:t>
            </w:r>
          </w:p>
        </w:tc>
        <w:tc>
          <w:tcPr>
            <w:tcW w:w="277" w:type="dxa"/>
            <w:tcBorders>
              <w:top w:val="nil"/>
              <w:left w:val="nil"/>
              <w:bottom w:val="nil"/>
              <w:right w:val="nil"/>
            </w:tcBorders>
            <w:shd w:val="clear" w:color="auto" w:fill="auto"/>
            <w:noWrap/>
            <w:vAlign w:val="bottom"/>
            <w:hideMark/>
          </w:tcPr>
          <w:p w14:paraId="439D8684" w14:textId="77777777" w:rsidR="00086510" w:rsidRPr="00F10940" w:rsidRDefault="00086510" w:rsidP="00CE4576">
            <w:pPr>
              <w:keepNext/>
              <w:keepLines/>
              <w:spacing w:after="0"/>
              <w:jc w:val="center"/>
              <w:rPr>
                <w:rFonts w:eastAsia="Times New Roman" w:cs="Calibri"/>
                <w:b/>
                <w:bCs/>
                <w:color w:val="000000"/>
                <w:sz w:val="16"/>
                <w:szCs w:val="16"/>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0D3E53FE"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IH</w:t>
            </w:r>
          </w:p>
        </w:tc>
        <w:tc>
          <w:tcPr>
            <w:tcW w:w="567" w:type="dxa"/>
            <w:tcBorders>
              <w:top w:val="nil"/>
              <w:left w:val="nil"/>
              <w:bottom w:val="single" w:sz="4" w:space="0" w:color="auto"/>
              <w:right w:val="single" w:sz="4" w:space="0" w:color="auto"/>
            </w:tcBorders>
            <w:shd w:val="clear" w:color="auto" w:fill="auto"/>
            <w:noWrap/>
            <w:vAlign w:val="bottom"/>
            <w:hideMark/>
          </w:tcPr>
          <w:p w14:paraId="2B28E92D"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3,490</w:t>
            </w:r>
          </w:p>
        </w:tc>
        <w:tc>
          <w:tcPr>
            <w:tcW w:w="1329" w:type="dxa"/>
            <w:tcBorders>
              <w:top w:val="nil"/>
              <w:left w:val="nil"/>
              <w:bottom w:val="single" w:sz="4" w:space="0" w:color="auto"/>
              <w:right w:val="single" w:sz="4" w:space="0" w:color="auto"/>
            </w:tcBorders>
            <w:shd w:val="clear" w:color="auto" w:fill="auto"/>
            <w:noWrap/>
            <w:vAlign w:val="bottom"/>
            <w:hideMark/>
          </w:tcPr>
          <w:p w14:paraId="5B863C23"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IH</w:t>
            </w:r>
          </w:p>
        </w:tc>
        <w:tc>
          <w:tcPr>
            <w:tcW w:w="567" w:type="dxa"/>
            <w:tcBorders>
              <w:top w:val="nil"/>
              <w:left w:val="nil"/>
              <w:bottom w:val="single" w:sz="4" w:space="0" w:color="auto"/>
              <w:right w:val="single" w:sz="4" w:space="0" w:color="auto"/>
            </w:tcBorders>
            <w:shd w:val="clear" w:color="auto" w:fill="auto"/>
            <w:noWrap/>
            <w:vAlign w:val="bottom"/>
            <w:hideMark/>
          </w:tcPr>
          <w:p w14:paraId="47BDEDEB"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2,614</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5C5D3D17"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IH</w:t>
            </w:r>
          </w:p>
        </w:tc>
        <w:tc>
          <w:tcPr>
            <w:tcW w:w="567" w:type="dxa"/>
            <w:tcBorders>
              <w:top w:val="nil"/>
              <w:left w:val="nil"/>
              <w:bottom w:val="single" w:sz="4" w:space="0" w:color="auto"/>
              <w:right w:val="single" w:sz="4" w:space="0" w:color="auto"/>
            </w:tcBorders>
            <w:shd w:val="clear" w:color="auto" w:fill="auto"/>
            <w:noWrap/>
            <w:vAlign w:val="bottom"/>
            <w:hideMark/>
          </w:tcPr>
          <w:p w14:paraId="7FFD8AB2" w14:textId="77777777" w:rsidR="00086510" w:rsidRPr="00F10940" w:rsidRDefault="00086510" w:rsidP="00CE4576">
            <w:pPr>
              <w:keepNext/>
              <w:keepLines/>
              <w:spacing w:after="0"/>
              <w:jc w:val="center"/>
              <w:rPr>
                <w:rFonts w:eastAsia="Times New Roman" w:cs="Calibri"/>
                <w:b/>
                <w:bCs/>
                <w:color w:val="000000"/>
                <w:sz w:val="16"/>
                <w:szCs w:val="16"/>
                <w:lang w:eastAsia="es-MX"/>
              </w:rPr>
            </w:pPr>
            <w:r w:rsidRPr="00F10940">
              <w:rPr>
                <w:rFonts w:eastAsia="Times New Roman" w:cs="Calibri"/>
                <w:b/>
                <w:bCs/>
                <w:color w:val="000000"/>
                <w:sz w:val="16"/>
                <w:szCs w:val="16"/>
                <w:lang w:eastAsia="es-MX"/>
              </w:rPr>
              <w:t>5,679</w:t>
            </w:r>
          </w:p>
        </w:tc>
      </w:tr>
    </w:tbl>
    <w:p w14:paraId="7E9A31D3" w14:textId="77777777" w:rsidR="00086510" w:rsidRDefault="00086510" w:rsidP="00CE4576">
      <w:pPr>
        <w:pStyle w:val="Prrafodelista"/>
        <w:keepNext/>
        <w:keepLines/>
        <w:spacing w:after="0" w:line="240" w:lineRule="auto"/>
        <w:ind w:left="0"/>
        <w:contextualSpacing w:val="0"/>
        <w:jc w:val="both"/>
        <w:rPr>
          <w:sz w:val="16"/>
          <w:szCs w:val="16"/>
        </w:rPr>
      </w:pPr>
      <w:r>
        <w:rPr>
          <w:sz w:val="16"/>
          <w:szCs w:val="16"/>
        </w:rPr>
        <w:t>Notas:</w:t>
      </w:r>
    </w:p>
    <w:p w14:paraId="7C765FA3" w14:textId="77777777" w:rsidR="00086510"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\a</w:t>
      </w:r>
      <w:r w:rsidRPr="00A022F6">
        <w:rPr>
          <w:sz w:val="16"/>
          <w:szCs w:val="16"/>
        </w:rPr>
        <w:t xml:space="preserve"> </w:t>
      </w:r>
      <w:r>
        <w:rPr>
          <w:sz w:val="16"/>
          <w:szCs w:val="16"/>
        </w:rPr>
        <w:t>Los ingresos de ATC i</w:t>
      </w:r>
      <w:r w:rsidRPr="00673243">
        <w:rPr>
          <w:sz w:val="16"/>
          <w:szCs w:val="16"/>
        </w:rPr>
        <w:t>ncluye</w:t>
      </w:r>
      <w:r>
        <w:rPr>
          <w:sz w:val="16"/>
          <w:szCs w:val="16"/>
        </w:rPr>
        <w:t>n</w:t>
      </w:r>
      <w:r w:rsidRPr="00673243">
        <w:rPr>
          <w:sz w:val="16"/>
          <w:szCs w:val="16"/>
        </w:rPr>
        <w:t xml:space="preserve"> los ingresos de Metro Net de enero a octubre de dos mil diecisiete y de </w:t>
      </w:r>
      <w:r>
        <w:rPr>
          <w:sz w:val="16"/>
          <w:szCs w:val="16"/>
        </w:rPr>
        <w:t>CFCA Telecomm</w:t>
      </w:r>
      <w:r w:rsidRPr="00673243">
        <w:rPr>
          <w:sz w:val="16"/>
          <w:szCs w:val="16"/>
        </w:rPr>
        <w:t xml:space="preserve"> </w:t>
      </w:r>
      <w:r>
        <w:rPr>
          <w:sz w:val="16"/>
          <w:szCs w:val="16"/>
        </w:rPr>
        <w:t xml:space="preserve">de </w:t>
      </w:r>
      <w:r w:rsidRPr="00673243">
        <w:rPr>
          <w:sz w:val="16"/>
          <w:szCs w:val="16"/>
        </w:rPr>
        <w:t xml:space="preserve">noviembre a diciembre de dos </w:t>
      </w:r>
      <w:r>
        <w:rPr>
          <w:sz w:val="16"/>
          <w:szCs w:val="16"/>
        </w:rPr>
        <w:t>mil diecisiete.</w:t>
      </w:r>
    </w:p>
    <w:p w14:paraId="643FF74F" w14:textId="77777777" w:rsidR="00086510"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\b</w:t>
      </w:r>
      <w:r w:rsidRPr="00884AD8">
        <w:rPr>
          <w:sz w:val="16"/>
          <w:szCs w:val="16"/>
        </w:rPr>
        <w:t xml:space="preserve"> </w:t>
      </w:r>
      <w:r w:rsidRPr="00B20DC1">
        <w:rPr>
          <w:sz w:val="16"/>
          <w:szCs w:val="16"/>
        </w:rPr>
        <w:t xml:space="preserve">Los </w:t>
      </w:r>
      <w:r>
        <w:rPr>
          <w:sz w:val="16"/>
          <w:szCs w:val="16"/>
        </w:rPr>
        <w:t>i</w:t>
      </w:r>
      <w:r w:rsidRPr="00B20DC1">
        <w:rPr>
          <w:sz w:val="16"/>
          <w:szCs w:val="16"/>
        </w:rPr>
        <w:t>ngresos de AMX</w:t>
      </w:r>
      <w:r>
        <w:rPr>
          <w:sz w:val="16"/>
          <w:szCs w:val="16"/>
        </w:rPr>
        <w:t>/Telesites</w:t>
      </w:r>
      <w:r w:rsidRPr="00B20DC1">
        <w:rPr>
          <w:sz w:val="16"/>
          <w:szCs w:val="16"/>
        </w:rPr>
        <w:t xml:space="preserve"> desagregados por tipo de cliente </w:t>
      </w:r>
      <w:r>
        <w:rPr>
          <w:sz w:val="16"/>
          <w:szCs w:val="16"/>
        </w:rPr>
        <w:t xml:space="preserve">se estimaron a partir de </w:t>
      </w:r>
      <w:r w:rsidRPr="00B20DC1">
        <w:rPr>
          <w:sz w:val="16"/>
          <w:szCs w:val="16"/>
        </w:rPr>
        <w:t>los ingresos provenientes de partes relacionadas</w:t>
      </w:r>
      <w:r>
        <w:rPr>
          <w:sz w:val="16"/>
          <w:szCs w:val="16"/>
        </w:rPr>
        <w:t xml:space="preserve"> del grupo</w:t>
      </w:r>
      <w:r w:rsidRPr="00B20DC1">
        <w:rPr>
          <w:sz w:val="16"/>
          <w:szCs w:val="16"/>
        </w:rPr>
        <w:t>.</w:t>
      </w:r>
      <w:r>
        <w:rPr>
          <w:sz w:val="16"/>
          <w:szCs w:val="16"/>
        </w:rPr>
        <w:t xml:space="preserve"> Fojas 7911, 7912 y </w:t>
      </w:r>
      <w:r w:rsidRPr="00C15DE4">
        <w:rPr>
          <w:sz w:val="16"/>
          <w:szCs w:val="16"/>
        </w:rPr>
        <w:t>8738</w:t>
      </w:r>
      <w:r>
        <w:rPr>
          <w:sz w:val="16"/>
          <w:szCs w:val="16"/>
        </w:rPr>
        <w:t xml:space="preserve"> del Expediente.</w:t>
      </w:r>
    </w:p>
    <w:p w14:paraId="04FF7EB9" w14:textId="77777777" w:rsidR="00086510" w:rsidRPr="002E7F90"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\c</w:t>
      </w:r>
      <w:r w:rsidRPr="0049687A">
        <w:rPr>
          <w:sz w:val="16"/>
          <w:szCs w:val="16"/>
        </w:rPr>
        <w:t xml:space="preserve"> </w:t>
      </w:r>
      <w:r w:rsidRPr="00396750">
        <w:rPr>
          <w:spacing w:val="-4"/>
          <w:sz w:val="16"/>
          <w:szCs w:val="16"/>
        </w:rPr>
        <w:t xml:space="preserve">Los ingresos de Total Play podrían estar sobre estimados, </w:t>
      </w:r>
      <w:r w:rsidR="00F12437" w:rsidRPr="004E0058">
        <w:rPr>
          <w:b/>
          <w:bCs/>
          <w:color w:val="0000CC"/>
          <w:sz w:val="16"/>
          <w:szCs w:val="16"/>
        </w:rPr>
        <w:t>“CONFIDENCIAL POR LEY”</w:t>
      </w:r>
      <w:r w:rsidRPr="00396750">
        <w:rPr>
          <w:spacing w:val="-4"/>
          <w:sz w:val="16"/>
          <w:szCs w:val="16"/>
        </w:rPr>
        <w:t>. Fojas 321, 6466 a 6468 y 6472 a 6475 del Expediente.</w:t>
      </w:r>
    </w:p>
    <w:p w14:paraId="58AD3DB2" w14:textId="77777777" w:rsidR="00086510" w:rsidRDefault="00086510" w:rsidP="00CE4576">
      <w:pPr>
        <w:pStyle w:val="Prrafodelista"/>
        <w:keepNext/>
        <w:keepLines/>
        <w:spacing w:after="0" w:line="240" w:lineRule="auto"/>
        <w:ind w:left="0"/>
        <w:contextualSpacing w:val="0"/>
        <w:jc w:val="both"/>
        <w:rPr>
          <w:sz w:val="16"/>
          <w:szCs w:val="16"/>
        </w:rPr>
      </w:pPr>
      <w:r>
        <w:rPr>
          <w:sz w:val="16"/>
          <w:szCs w:val="16"/>
          <w:vertAlign w:val="superscript"/>
        </w:rPr>
        <w:t>\d</w:t>
      </w:r>
      <w:r>
        <w:rPr>
          <w:sz w:val="16"/>
          <w:szCs w:val="16"/>
        </w:rPr>
        <w:t xml:space="preserve"> </w:t>
      </w:r>
      <w:r w:rsidRPr="00F83937">
        <w:rPr>
          <w:sz w:val="16"/>
          <w:szCs w:val="16"/>
        </w:rPr>
        <w:t xml:space="preserve">Los ingresos de TVI y Cablemás </w:t>
      </w:r>
      <w:r>
        <w:rPr>
          <w:sz w:val="16"/>
          <w:szCs w:val="16"/>
        </w:rPr>
        <w:t>desagregados por tipo de cobertura se estimaron con base en la distribución de los ingresos del resto de las sociedades de GTV.</w:t>
      </w:r>
    </w:p>
    <w:p w14:paraId="0924C23D" w14:textId="77777777" w:rsidR="00086510"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\d</w:t>
      </w:r>
      <w:r>
        <w:rPr>
          <w:sz w:val="16"/>
          <w:szCs w:val="16"/>
        </w:rPr>
        <w:t xml:space="preserve"> Las participaciones de GTV se calcularon con información de Bestel, Metrored y Telecable.</w:t>
      </w:r>
    </w:p>
    <w:p w14:paraId="623C5934" w14:textId="77777777" w:rsidR="00086510" w:rsidRDefault="00086510" w:rsidP="00CE4576">
      <w:pPr>
        <w:keepNext/>
        <w:keepLines/>
        <w:spacing w:after="0"/>
        <w:jc w:val="both"/>
        <w:rPr>
          <w:sz w:val="16"/>
          <w:szCs w:val="16"/>
        </w:rPr>
      </w:pPr>
      <w:r w:rsidRPr="00CF4243">
        <w:rPr>
          <w:sz w:val="16"/>
          <w:szCs w:val="16"/>
          <w:vertAlign w:val="superscript"/>
        </w:rPr>
        <w:t>\</w:t>
      </w:r>
      <w:r>
        <w:rPr>
          <w:sz w:val="16"/>
          <w:szCs w:val="16"/>
          <w:vertAlign w:val="superscript"/>
        </w:rPr>
        <w:t>e</w:t>
      </w:r>
      <w:r w:rsidRPr="00884AD8">
        <w:rPr>
          <w:sz w:val="16"/>
          <w:szCs w:val="16"/>
        </w:rPr>
        <w:t xml:space="preserve"> </w:t>
      </w:r>
      <w:r>
        <w:rPr>
          <w:sz w:val="16"/>
          <w:szCs w:val="16"/>
        </w:rPr>
        <w:t>Cifras redondeadas.</w:t>
      </w:r>
    </w:p>
    <w:p w14:paraId="4036FED3" w14:textId="77777777" w:rsidR="00086510"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w:t>
      </w:r>
      <w:r>
        <w:rPr>
          <w:sz w:val="16"/>
          <w:szCs w:val="16"/>
          <w:vertAlign w:val="superscript"/>
        </w:rPr>
        <w:t>f</w:t>
      </w:r>
      <w:r>
        <w:rPr>
          <w:sz w:val="16"/>
          <w:szCs w:val="16"/>
        </w:rPr>
        <w:t xml:space="preserve"> Local: servicio de arrendamiento de enlaces dedicados locales.</w:t>
      </w:r>
    </w:p>
    <w:p w14:paraId="18DAC3D0" w14:textId="77777777" w:rsidR="00086510"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w:t>
      </w:r>
      <w:r>
        <w:rPr>
          <w:sz w:val="16"/>
          <w:szCs w:val="16"/>
          <w:vertAlign w:val="superscript"/>
        </w:rPr>
        <w:t>g</w:t>
      </w:r>
      <w:r>
        <w:rPr>
          <w:sz w:val="16"/>
          <w:szCs w:val="16"/>
        </w:rPr>
        <w:t xml:space="preserve"> LDN: servicio de arrendamiento de enlaces dedicados de larga distancia nacional.</w:t>
      </w:r>
    </w:p>
    <w:p w14:paraId="1B96D044" w14:textId="77777777" w:rsidR="00086510" w:rsidRPr="00A022F6"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w:t>
      </w:r>
      <w:r>
        <w:rPr>
          <w:sz w:val="16"/>
          <w:szCs w:val="16"/>
          <w:vertAlign w:val="superscript"/>
        </w:rPr>
        <w:t>h</w:t>
      </w:r>
      <w:r>
        <w:rPr>
          <w:sz w:val="16"/>
          <w:szCs w:val="16"/>
        </w:rPr>
        <w:t xml:space="preserve"> LDI: servicio de arrendamiento de enlaces dedicados de larga distancia internacional.</w:t>
      </w:r>
    </w:p>
    <w:p w14:paraId="03C0820B" w14:textId="77777777" w:rsidR="00086510" w:rsidRPr="00396750" w:rsidRDefault="00086510" w:rsidP="00CE4576">
      <w:pPr>
        <w:keepNext/>
        <w:keepLines/>
        <w:spacing w:after="0"/>
        <w:jc w:val="both"/>
        <w:rPr>
          <w:spacing w:val="-2"/>
          <w:sz w:val="16"/>
          <w:szCs w:val="16"/>
        </w:rPr>
      </w:pPr>
      <w:r w:rsidRPr="00396750">
        <w:rPr>
          <w:spacing w:val="-2"/>
          <w:sz w:val="16"/>
          <w:szCs w:val="16"/>
        </w:rPr>
        <w:t>Fuente: Elaboración propia con base en información sobre ingresos por arrendamiento de enlaces proporcionada por AMX/Telesites, Axtel, CFCA Telecomm (o Telco), GTV, IP Matrix, Megacable, Metro Net, Pegaso y Total Play. Fojas 321, 3238, 3411, 3414, 3417, 3472, 3556, 3559, 3756, 5084, 5462, 5538-5539, 5620, 5969 a 5973, 7174, 6096, 6097, 6128, 6459, 6507, 6748, 6856, 6858, 6860, 6917, 6924, 6927, 6928, 6972, 7883, 8077, 8080, 8083, 8113, 8741 y 8746 del Expediente.</w:t>
      </w:r>
    </w:p>
    <w:p w14:paraId="0B49A276" w14:textId="77777777" w:rsidR="00086510" w:rsidRDefault="00086510" w:rsidP="009B0A36">
      <w:pPr>
        <w:pStyle w:val="Prrafodelista"/>
        <w:numPr>
          <w:ilvl w:val="0"/>
          <w:numId w:val="13"/>
        </w:numPr>
        <w:spacing w:before="120" w:after="120" w:line="240" w:lineRule="auto"/>
        <w:contextualSpacing w:val="0"/>
        <w:jc w:val="both"/>
      </w:pPr>
      <w:r>
        <w:t>De acuerdo con l</w:t>
      </w:r>
      <w:r w:rsidRPr="001B19B0">
        <w:t xml:space="preserve">a </w:t>
      </w:r>
      <w:r w:rsidRPr="00AC308D">
        <w:t>Tabla 10, los mercados</w:t>
      </w:r>
      <w:r>
        <w:t xml:space="preserve"> relevantes de arrendamiento de enlaces dedicados Ethernet analizados poseen altos niveles de concentración (entre 2,614 puntos y 5,679 puntos). Sin embargo, en todos los casos ATC adquiere una baja participación de mercado como resultado de la Operación (entre 0.1% y 19.6%). Además, ATC enfrenta, en todos los mercados, a operadores con una presencia significativa, tales como </w:t>
      </w:r>
      <w:r w:rsidRPr="001B19B0">
        <w:t>AMX</w:t>
      </w:r>
      <w:r>
        <w:t>/Telesites</w:t>
      </w:r>
      <w:r w:rsidRPr="001B19B0">
        <w:t>, GTV, Total Play</w:t>
      </w:r>
      <w:r w:rsidRPr="006F0F23">
        <w:t xml:space="preserve"> </w:t>
      </w:r>
      <w:r>
        <w:t xml:space="preserve">y </w:t>
      </w:r>
      <w:r w:rsidRPr="001B19B0">
        <w:t>Axtel</w:t>
      </w:r>
      <w:r>
        <w:t>.</w:t>
      </w:r>
    </w:p>
    <w:p w14:paraId="22EA40C4" w14:textId="77777777" w:rsidR="00086510" w:rsidRPr="00DF695B" w:rsidRDefault="00086510" w:rsidP="009B0A36">
      <w:pPr>
        <w:pStyle w:val="Ttulo5"/>
        <w:numPr>
          <w:ilvl w:val="2"/>
          <w:numId w:val="25"/>
        </w:numPr>
        <w:rPr>
          <w:b/>
          <w:i w:val="0"/>
        </w:rPr>
      </w:pPr>
      <w:r w:rsidRPr="00DF695B">
        <w:rPr>
          <w:b/>
          <w:i w:val="0"/>
        </w:rPr>
        <w:t>Enlaces MPLS</w:t>
      </w:r>
    </w:p>
    <w:p w14:paraId="0FC36603" w14:textId="77777777" w:rsidR="006F0E45" w:rsidRDefault="00086510" w:rsidP="006F0E45">
      <w:pPr>
        <w:pStyle w:val="Prrafodelista"/>
        <w:numPr>
          <w:ilvl w:val="0"/>
          <w:numId w:val="13"/>
        </w:numPr>
        <w:spacing w:before="120" w:after="120" w:line="240" w:lineRule="auto"/>
        <w:contextualSpacing w:val="0"/>
        <w:jc w:val="both"/>
      </w:pPr>
      <w:r>
        <w:t xml:space="preserve">La </w:t>
      </w:r>
      <w:r w:rsidRPr="00AC308D">
        <w:t xml:space="preserve">Tabla 11 muestra las participaciones de mercado de los principales </w:t>
      </w:r>
      <w:r w:rsidR="00E30EEF" w:rsidRPr="00AC308D">
        <w:t>a</w:t>
      </w:r>
      <w:r w:rsidRPr="00AC308D">
        <w:t xml:space="preserve">gentes </w:t>
      </w:r>
      <w:r w:rsidR="00E30EEF" w:rsidRPr="00AC308D">
        <w:t>e</w:t>
      </w:r>
      <w:r w:rsidRPr="00AC308D">
        <w:t>conómicos del servicio de arrendamiento de enlaces MPLS, para el año dos mil diecisiete.</w:t>
      </w:r>
    </w:p>
    <w:p w14:paraId="562D4D84" w14:textId="77777777" w:rsidR="00086510" w:rsidRPr="00DF212B" w:rsidRDefault="00086510" w:rsidP="00CE4576">
      <w:pPr>
        <w:pStyle w:val="Prrafodelista"/>
        <w:keepNext/>
        <w:spacing w:after="0" w:line="240" w:lineRule="auto"/>
        <w:jc w:val="center"/>
        <w:rPr>
          <w:b/>
          <w:sz w:val="18"/>
        </w:rPr>
      </w:pPr>
      <w:r w:rsidRPr="00AC308D">
        <w:rPr>
          <w:b/>
          <w:sz w:val="18"/>
        </w:rPr>
        <w:lastRenderedPageBreak/>
        <w:t>Tabla 11. Participaciones</w:t>
      </w:r>
      <w:r w:rsidRPr="00DF212B">
        <w:rPr>
          <w:b/>
          <w:sz w:val="18"/>
        </w:rPr>
        <w:t xml:space="preserve"> de mercado e índices de concentración del servicio de arrendamiento de enlaces</w:t>
      </w:r>
      <w:r>
        <w:rPr>
          <w:b/>
          <w:sz w:val="18"/>
        </w:rPr>
        <w:t xml:space="preserve"> MPLS</w:t>
      </w:r>
      <w:r w:rsidRPr="00DF212B">
        <w:rPr>
          <w:b/>
          <w:sz w:val="18"/>
        </w:rPr>
        <w:t>, a nivel nacional, 2017</w:t>
      </w:r>
    </w:p>
    <w:tbl>
      <w:tblPr>
        <w:tblW w:w="2277" w:type="dxa"/>
        <w:jc w:val="center"/>
        <w:tblCellMar>
          <w:left w:w="70" w:type="dxa"/>
          <w:right w:w="70" w:type="dxa"/>
        </w:tblCellMar>
        <w:tblLook w:val="04A0" w:firstRow="1" w:lastRow="0" w:firstColumn="1" w:lastColumn="0" w:noHBand="0" w:noVBand="1"/>
      </w:tblPr>
      <w:tblGrid>
        <w:gridCol w:w="1696"/>
        <w:gridCol w:w="581"/>
      </w:tblGrid>
      <w:tr w:rsidR="00086510" w:rsidRPr="00920DBF" w14:paraId="5DE89D50" w14:textId="77777777" w:rsidTr="00086510">
        <w:trPr>
          <w:trHeight w:val="20"/>
          <w:jc w:val="center"/>
        </w:trPr>
        <w:tc>
          <w:tcPr>
            <w:tcW w:w="2277"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2303A549" w14:textId="77777777" w:rsidR="00086510" w:rsidRPr="00E5118D" w:rsidRDefault="00086510" w:rsidP="00CE4576">
            <w:pPr>
              <w:keepNext/>
              <w:spacing w:after="0"/>
              <w:jc w:val="center"/>
              <w:rPr>
                <w:rFonts w:eastAsia="Times New Roman" w:cs="Calibri"/>
                <w:b/>
                <w:color w:val="000000"/>
                <w:sz w:val="16"/>
                <w:szCs w:val="16"/>
                <w:lang w:eastAsia="es-MX"/>
              </w:rPr>
            </w:pPr>
            <w:r w:rsidRPr="00E5118D">
              <w:rPr>
                <w:rFonts w:eastAsia="Times New Roman" w:cs="Calibri"/>
                <w:b/>
                <w:color w:val="FFFFFF" w:themeColor="background1"/>
                <w:sz w:val="16"/>
                <w:szCs w:val="16"/>
                <w:lang w:eastAsia="es-MX"/>
              </w:rPr>
              <w:t>MPLS</w:t>
            </w:r>
          </w:p>
        </w:tc>
      </w:tr>
      <w:tr w:rsidR="00086510" w:rsidRPr="00920DBF" w14:paraId="10632317" w14:textId="77777777" w:rsidTr="00086510">
        <w:trPr>
          <w:trHeight w:val="2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DDF4" w14:textId="77777777" w:rsidR="00086510" w:rsidRPr="00920DBF" w:rsidRDefault="00086510" w:rsidP="00CE4576">
            <w:pPr>
              <w:keepNext/>
              <w:spacing w:after="0"/>
              <w:rPr>
                <w:rFonts w:eastAsia="Times New Roman" w:cs="Calibri"/>
                <w:color w:val="000000"/>
                <w:sz w:val="16"/>
                <w:szCs w:val="16"/>
                <w:lang w:eastAsia="es-MX"/>
              </w:rPr>
            </w:pPr>
            <w:r w:rsidRPr="00920DBF">
              <w:rPr>
                <w:rFonts w:eastAsia="Times New Roman" w:cs="Calibri"/>
                <w:color w:val="000000"/>
                <w:sz w:val="16"/>
                <w:szCs w:val="16"/>
                <w:lang w:eastAsia="es-MX"/>
              </w:rPr>
              <w:t>AMX</w:t>
            </w:r>
            <w:r>
              <w:rPr>
                <w:rFonts w:eastAsia="Times New Roman" w:cs="Calibri"/>
                <w:color w:val="000000"/>
                <w:sz w:val="16"/>
                <w:szCs w:val="16"/>
                <w:lang w:eastAsia="es-MX"/>
              </w:rPr>
              <w:t>/Telesites</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3D3AB5F4" w14:textId="77777777" w:rsidR="00086510" w:rsidRPr="00920DBF" w:rsidRDefault="00086510" w:rsidP="00CE4576">
            <w:pPr>
              <w:keepNext/>
              <w:spacing w:after="0"/>
              <w:jc w:val="right"/>
              <w:rPr>
                <w:rFonts w:eastAsia="Times New Roman" w:cs="Calibri"/>
                <w:color w:val="000000"/>
                <w:sz w:val="16"/>
                <w:szCs w:val="16"/>
                <w:lang w:eastAsia="es-MX"/>
              </w:rPr>
            </w:pPr>
            <w:r w:rsidRPr="00920DBF">
              <w:rPr>
                <w:rFonts w:eastAsia="Times New Roman" w:cs="Calibri"/>
                <w:color w:val="000000"/>
                <w:sz w:val="16"/>
                <w:szCs w:val="16"/>
                <w:lang w:eastAsia="es-MX"/>
              </w:rPr>
              <w:t>74.0%</w:t>
            </w:r>
          </w:p>
        </w:tc>
      </w:tr>
      <w:tr w:rsidR="00086510" w:rsidRPr="00920DBF" w14:paraId="4B13164B" w14:textId="77777777" w:rsidTr="00086510">
        <w:trPr>
          <w:trHeight w:val="2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45EDD7" w14:textId="77777777" w:rsidR="00086510" w:rsidRPr="00920DBF" w:rsidRDefault="00086510" w:rsidP="00CE4576">
            <w:pPr>
              <w:keepNext/>
              <w:spacing w:after="0"/>
              <w:rPr>
                <w:rFonts w:eastAsia="Times New Roman" w:cs="Calibri"/>
                <w:color w:val="000000"/>
                <w:sz w:val="16"/>
                <w:szCs w:val="16"/>
                <w:lang w:eastAsia="es-MX"/>
              </w:rPr>
            </w:pPr>
            <w:r w:rsidRPr="00920DBF">
              <w:rPr>
                <w:rFonts w:eastAsia="Times New Roman" w:cs="Calibri"/>
                <w:color w:val="000000"/>
                <w:sz w:val="16"/>
                <w:szCs w:val="16"/>
                <w:lang w:eastAsia="es-MX"/>
              </w:rPr>
              <w:t>Axtel</w:t>
            </w:r>
          </w:p>
        </w:tc>
        <w:tc>
          <w:tcPr>
            <w:tcW w:w="581" w:type="dxa"/>
            <w:tcBorders>
              <w:top w:val="nil"/>
              <w:left w:val="nil"/>
              <w:bottom w:val="single" w:sz="4" w:space="0" w:color="auto"/>
              <w:right w:val="single" w:sz="4" w:space="0" w:color="auto"/>
            </w:tcBorders>
            <w:shd w:val="clear" w:color="auto" w:fill="auto"/>
            <w:noWrap/>
            <w:vAlign w:val="center"/>
            <w:hideMark/>
          </w:tcPr>
          <w:p w14:paraId="03C22BB3" w14:textId="77777777" w:rsidR="00086510" w:rsidRPr="00920DBF" w:rsidRDefault="00086510" w:rsidP="00CE4576">
            <w:pPr>
              <w:keepNext/>
              <w:spacing w:after="0"/>
              <w:jc w:val="right"/>
              <w:rPr>
                <w:rFonts w:eastAsia="Times New Roman" w:cs="Calibri"/>
                <w:color w:val="000000"/>
                <w:sz w:val="16"/>
                <w:szCs w:val="16"/>
                <w:lang w:eastAsia="es-MX"/>
              </w:rPr>
            </w:pPr>
            <w:r w:rsidRPr="00920DBF">
              <w:rPr>
                <w:rFonts w:eastAsia="Times New Roman" w:cs="Calibri"/>
                <w:color w:val="000000"/>
                <w:sz w:val="16"/>
                <w:szCs w:val="16"/>
                <w:lang w:eastAsia="es-MX"/>
              </w:rPr>
              <w:t>14.6%</w:t>
            </w:r>
          </w:p>
        </w:tc>
      </w:tr>
      <w:tr w:rsidR="00086510" w:rsidRPr="00920DBF" w14:paraId="1AA925F6" w14:textId="77777777" w:rsidTr="00086510">
        <w:trPr>
          <w:trHeight w:val="2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64B11CA" w14:textId="77777777" w:rsidR="00086510" w:rsidRPr="00920DBF" w:rsidRDefault="00086510" w:rsidP="00CE4576">
            <w:pPr>
              <w:keepNext/>
              <w:spacing w:after="0"/>
              <w:rPr>
                <w:rFonts w:eastAsia="Times New Roman" w:cs="Calibri"/>
                <w:color w:val="000000"/>
                <w:sz w:val="16"/>
                <w:szCs w:val="16"/>
                <w:lang w:eastAsia="es-MX"/>
              </w:rPr>
            </w:pPr>
            <w:r w:rsidRPr="00920DBF">
              <w:rPr>
                <w:rFonts w:eastAsia="Times New Roman" w:cs="Calibri"/>
                <w:color w:val="000000"/>
                <w:sz w:val="16"/>
                <w:szCs w:val="16"/>
                <w:lang w:eastAsia="es-MX"/>
              </w:rPr>
              <w:t>GTV</w:t>
            </w:r>
          </w:p>
        </w:tc>
        <w:tc>
          <w:tcPr>
            <w:tcW w:w="581" w:type="dxa"/>
            <w:tcBorders>
              <w:top w:val="nil"/>
              <w:left w:val="nil"/>
              <w:bottom w:val="single" w:sz="4" w:space="0" w:color="auto"/>
              <w:right w:val="single" w:sz="4" w:space="0" w:color="auto"/>
            </w:tcBorders>
            <w:shd w:val="clear" w:color="auto" w:fill="auto"/>
            <w:noWrap/>
            <w:vAlign w:val="center"/>
            <w:hideMark/>
          </w:tcPr>
          <w:p w14:paraId="78F6445A" w14:textId="77777777" w:rsidR="00086510" w:rsidRPr="00920DBF" w:rsidRDefault="00086510" w:rsidP="00CE4576">
            <w:pPr>
              <w:keepNext/>
              <w:spacing w:after="0"/>
              <w:jc w:val="right"/>
              <w:rPr>
                <w:rFonts w:eastAsia="Times New Roman" w:cs="Calibri"/>
                <w:color w:val="000000"/>
                <w:sz w:val="16"/>
                <w:szCs w:val="16"/>
                <w:lang w:eastAsia="es-MX"/>
              </w:rPr>
            </w:pPr>
            <w:r w:rsidRPr="00920DBF">
              <w:rPr>
                <w:rFonts w:eastAsia="Times New Roman" w:cs="Calibri"/>
                <w:color w:val="000000"/>
                <w:sz w:val="16"/>
                <w:szCs w:val="16"/>
                <w:lang w:eastAsia="es-MX"/>
              </w:rPr>
              <w:t>7.2%</w:t>
            </w:r>
          </w:p>
        </w:tc>
      </w:tr>
      <w:tr w:rsidR="00086510" w:rsidRPr="00920DBF" w14:paraId="2C018C61" w14:textId="77777777" w:rsidTr="00086510">
        <w:trPr>
          <w:trHeight w:val="2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6220C2E" w14:textId="77777777" w:rsidR="00086510" w:rsidRPr="00920DBF" w:rsidRDefault="00086510" w:rsidP="00CE4576">
            <w:pPr>
              <w:keepNext/>
              <w:spacing w:after="0"/>
              <w:rPr>
                <w:rFonts w:eastAsia="Times New Roman" w:cs="Calibri"/>
                <w:color w:val="000000"/>
                <w:sz w:val="16"/>
                <w:szCs w:val="16"/>
                <w:lang w:eastAsia="es-MX"/>
              </w:rPr>
            </w:pPr>
            <w:r w:rsidRPr="00920DBF">
              <w:rPr>
                <w:rFonts w:eastAsia="Times New Roman" w:cs="Calibri"/>
                <w:color w:val="000000"/>
                <w:sz w:val="16"/>
                <w:szCs w:val="16"/>
                <w:lang w:eastAsia="es-MX"/>
              </w:rPr>
              <w:t>Pegaso</w:t>
            </w:r>
          </w:p>
        </w:tc>
        <w:tc>
          <w:tcPr>
            <w:tcW w:w="581" w:type="dxa"/>
            <w:tcBorders>
              <w:top w:val="nil"/>
              <w:left w:val="nil"/>
              <w:bottom w:val="single" w:sz="4" w:space="0" w:color="auto"/>
              <w:right w:val="single" w:sz="4" w:space="0" w:color="auto"/>
            </w:tcBorders>
            <w:shd w:val="clear" w:color="auto" w:fill="auto"/>
            <w:noWrap/>
            <w:vAlign w:val="center"/>
            <w:hideMark/>
          </w:tcPr>
          <w:p w14:paraId="433A3B4B" w14:textId="77777777" w:rsidR="00086510" w:rsidRPr="00920DBF" w:rsidRDefault="00086510" w:rsidP="00CE4576">
            <w:pPr>
              <w:keepNext/>
              <w:spacing w:after="0"/>
              <w:jc w:val="right"/>
              <w:rPr>
                <w:rFonts w:eastAsia="Times New Roman" w:cs="Calibri"/>
                <w:color w:val="000000"/>
                <w:sz w:val="16"/>
                <w:szCs w:val="16"/>
                <w:lang w:eastAsia="es-MX"/>
              </w:rPr>
            </w:pPr>
            <w:r w:rsidRPr="00920DBF">
              <w:rPr>
                <w:rFonts w:eastAsia="Times New Roman" w:cs="Calibri"/>
                <w:color w:val="000000"/>
                <w:sz w:val="16"/>
                <w:szCs w:val="16"/>
                <w:lang w:eastAsia="es-MX"/>
              </w:rPr>
              <w:t>2.8%</w:t>
            </w:r>
          </w:p>
        </w:tc>
      </w:tr>
      <w:tr w:rsidR="00086510" w:rsidRPr="00920DBF" w14:paraId="04225B11" w14:textId="77777777" w:rsidTr="00086510">
        <w:trPr>
          <w:trHeight w:val="2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7340CD" w14:textId="77777777" w:rsidR="00086510" w:rsidRPr="00920DBF" w:rsidRDefault="00086510" w:rsidP="00CE4576">
            <w:pPr>
              <w:keepNext/>
              <w:spacing w:after="0"/>
              <w:rPr>
                <w:rFonts w:eastAsia="Times New Roman" w:cs="Calibri"/>
                <w:color w:val="000000"/>
                <w:sz w:val="16"/>
                <w:szCs w:val="16"/>
                <w:lang w:eastAsia="es-MX"/>
              </w:rPr>
            </w:pPr>
            <w:r w:rsidRPr="00920DBF">
              <w:rPr>
                <w:rFonts w:eastAsia="Times New Roman" w:cs="Calibri"/>
                <w:color w:val="000000"/>
                <w:sz w:val="16"/>
                <w:szCs w:val="16"/>
                <w:lang w:eastAsia="es-MX"/>
              </w:rPr>
              <w:t>Total Play</w:t>
            </w:r>
          </w:p>
        </w:tc>
        <w:tc>
          <w:tcPr>
            <w:tcW w:w="581" w:type="dxa"/>
            <w:tcBorders>
              <w:top w:val="nil"/>
              <w:left w:val="nil"/>
              <w:bottom w:val="single" w:sz="4" w:space="0" w:color="auto"/>
              <w:right w:val="single" w:sz="4" w:space="0" w:color="auto"/>
            </w:tcBorders>
            <w:shd w:val="clear" w:color="auto" w:fill="auto"/>
            <w:noWrap/>
            <w:vAlign w:val="center"/>
            <w:hideMark/>
          </w:tcPr>
          <w:p w14:paraId="2A89D0F7" w14:textId="77777777" w:rsidR="00086510" w:rsidRPr="00920DBF" w:rsidRDefault="00086510" w:rsidP="00CE4576">
            <w:pPr>
              <w:keepNext/>
              <w:spacing w:after="0"/>
              <w:jc w:val="right"/>
              <w:rPr>
                <w:rFonts w:eastAsia="Times New Roman" w:cs="Calibri"/>
                <w:color w:val="000000"/>
                <w:sz w:val="16"/>
                <w:szCs w:val="16"/>
                <w:lang w:eastAsia="es-MX"/>
              </w:rPr>
            </w:pPr>
            <w:r w:rsidRPr="00920DBF">
              <w:rPr>
                <w:rFonts w:eastAsia="Times New Roman" w:cs="Calibri"/>
                <w:color w:val="000000"/>
                <w:sz w:val="16"/>
                <w:szCs w:val="16"/>
                <w:lang w:eastAsia="es-MX"/>
              </w:rPr>
              <w:t>0.9%</w:t>
            </w:r>
          </w:p>
        </w:tc>
      </w:tr>
      <w:tr w:rsidR="00086510" w:rsidRPr="00920DBF" w14:paraId="49280D5E" w14:textId="77777777" w:rsidTr="00086510">
        <w:trPr>
          <w:trHeight w:val="2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50C4BA8" w14:textId="77777777" w:rsidR="00086510" w:rsidRPr="00920DBF" w:rsidRDefault="00086510" w:rsidP="00CE4576">
            <w:pPr>
              <w:keepNext/>
              <w:spacing w:after="0"/>
              <w:rPr>
                <w:rFonts w:eastAsia="Times New Roman" w:cs="Calibri"/>
                <w:color w:val="000000"/>
                <w:sz w:val="16"/>
                <w:szCs w:val="16"/>
                <w:lang w:eastAsia="es-MX"/>
              </w:rPr>
            </w:pPr>
            <w:r w:rsidRPr="00920DBF">
              <w:rPr>
                <w:rFonts w:eastAsia="Times New Roman" w:cs="Calibri"/>
                <w:color w:val="000000"/>
                <w:sz w:val="16"/>
                <w:szCs w:val="16"/>
                <w:lang w:eastAsia="es-MX"/>
              </w:rPr>
              <w:t>IP Matrix</w:t>
            </w:r>
          </w:p>
        </w:tc>
        <w:tc>
          <w:tcPr>
            <w:tcW w:w="581" w:type="dxa"/>
            <w:tcBorders>
              <w:top w:val="nil"/>
              <w:left w:val="nil"/>
              <w:bottom w:val="single" w:sz="4" w:space="0" w:color="auto"/>
              <w:right w:val="single" w:sz="4" w:space="0" w:color="auto"/>
            </w:tcBorders>
            <w:shd w:val="clear" w:color="auto" w:fill="auto"/>
            <w:noWrap/>
            <w:vAlign w:val="center"/>
            <w:hideMark/>
          </w:tcPr>
          <w:p w14:paraId="33BF3384" w14:textId="77777777" w:rsidR="00086510" w:rsidRPr="00920DBF" w:rsidRDefault="00086510" w:rsidP="00CE4576">
            <w:pPr>
              <w:keepNext/>
              <w:spacing w:after="0"/>
              <w:jc w:val="right"/>
              <w:rPr>
                <w:rFonts w:eastAsia="Times New Roman" w:cs="Calibri"/>
                <w:color w:val="000000"/>
                <w:sz w:val="16"/>
                <w:szCs w:val="16"/>
                <w:lang w:eastAsia="es-MX"/>
              </w:rPr>
            </w:pPr>
            <w:r w:rsidRPr="00920DBF">
              <w:rPr>
                <w:rFonts w:eastAsia="Times New Roman" w:cs="Calibri"/>
                <w:color w:val="000000"/>
                <w:sz w:val="16"/>
                <w:szCs w:val="16"/>
                <w:lang w:eastAsia="es-MX"/>
              </w:rPr>
              <w:t>0.3%</w:t>
            </w:r>
          </w:p>
        </w:tc>
      </w:tr>
      <w:tr w:rsidR="00086510" w:rsidRPr="00920DBF" w14:paraId="100AF55B" w14:textId="77777777" w:rsidTr="00086510">
        <w:trPr>
          <w:trHeight w:val="2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95B4C1" w14:textId="77777777" w:rsidR="00086510" w:rsidRPr="00B71F2B" w:rsidRDefault="00086510" w:rsidP="00CE4576">
            <w:pPr>
              <w:keepNext/>
              <w:spacing w:after="0"/>
              <w:rPr>
                <w:rFonts w:eastAsia="Times New Roman" w:cs="Calibri"/>
                <w:b/>
                <w:bCs/>
                <w:color w:val="000000"/>
                <w:sz w:val="16"/>
                <w:szCs w:val="16"/>
                <w:lang w:eastAsia="es-MX"/>
              </w:rPr>
            </w:pPr>
            <w:r>
              <w:rPr>
                <w:rFonts w:eastAsia="Times New Roman" w:cs="Calibri"/>
                <w:b/>
                <w:color w:val="000000"/>
                <w:sz w:val="16"/>
                <w:szCs w:val="16"/>
                <w:lang w:eastAsia="es-MX"/>
              </w:rPr>
              <w:t>ATC</w:t>
            </w:r>
            <w:r w:rsidRPr="00B71F2B">
              <w:rPr>
                <w:rFonts w:eastAsia="Times New Roman" w:cs="Calibri"/>
                <w:b/>
                <w:bCs/>
                <w:color w:val="000000"/>
                <w:sz w:val="16"/>
                <w:szCs w:val="16"/>
                <w:vertAlign w:val="superscript"/>
                <w:lang w:eastAsia="es-MX"/>
              </w:rPr>
              <w:t>\a</w:t>
            </w:r>
          </w:p>
        </w:tc>
        <w:tc>
          <w:tcPr>
            <w:tcW w:w="581" w:type="dxa"/>
            <w:tcBorders>
              <w:top w:val="nil"/>
              <w:left w:val="nil"/>
              <w:bottom w:val="single" w:sz="4" w:space="0" w:color="auto"/>
              <w:right w:val="single" w:sz="4" w:space="0" w:color="auto"/>
            </w:tcBorders>
            <w:shd w:val="clear" w:color="auto" w:fill="auto"/>
            <w:noWrap/>
            <w:vAlign w:val="center"/>
            <w:hideMark/>
          </w:tcPr>
          <w:p w14:paraId="2A440F48" w14:textId="77777777" w:rsidR="00086510" w:rsidRPr="00B71F2B" w:rsidRDefault="00086510" w:rsidP="00CE4576">
            <w:pPr>
              <w:keepNext/>
              <w:spacing w:after="0"/>
              <w:jc w:val="right"/>
              <w:rPr>
                <w:rFonts w:eastAsia="Times New Roman" w:cs="Calibri"/>
                <w:b/>
                <w:bCs/>
                <w:color w:val="000000"/>
                <w:sz w:val="16"/>
                <w:szCs w:val="16"/>
                <w:lang w:eastAsia="es-MX"/>
              </w:rPr>
            </w:pPr>
            <w:r w:rsidRPr="00B71F2B">
              <w:rPr>
                <w:rFonts w:eastAsia="Times New Roman" w:cs="Calibri"/>
                <w:b/>
                <w:bCs/>
                <w:color w:val="000000"/>
                <w:sz w:val="16"/>
                <w:szCs w:val="16"/>
                <w:lang w:eastAsia="es-MX"/>
              </w:rPr>
              <w:t>0.2%</w:t>
            </w:r>
          </w:p>
        </w:tc>
      </w:tr>
      <w:tr w:rsidR="00086510" w:rsidRPr="00920DBF" w14:paraId="6FB03B89" w14:textId="77777777" w:rsidTr="00086510">
        <w:trPr>
          <w:trHeight w:val="2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736061" w14:textId="77777777" w:rsidR="00086510" w:rsidRPr="00920DBF" w:rsidRDefault="00086510" w:rsidP="00CE4576">
            <w:pPr>
              <w:keepNext/>
              <w:spacing w:after="0"/>
              <w:rPr>
                <w:rFonts w:eastAsia="Times New Roman" w:cs="Calibri"/>
                <w:color w:val="000000"/>
                <w:sz w:val="16"/>
                <w:szCs w:val="16"/>
                <w:lang w:eastAsia="es-MX"/>
              </w:rPr>
            </w:pPr>
            <w:r w:rsidRPr="00920DBF">
              <w:rPr>
                <w:rFonts w:eastAsia="Times New Roman" w:cs="Calibri"/>
                <w:color w:val="000000"/>
                <w:sz w:val="16"/>
                <w:szCs w:val="16"/>
                <w:lang w:eastAsia="es-MX"/>
              </w:rPr>
              <w:t>Megacable</w:t>
            </w:r>
          </w:p>
        </w:tc>
        <w:tc>
          <w:tcPr>
            <w:tcW w:w="581" w:type="dxa"/>
            <w:tcBorders>
              <w:top w:val="nil"/>
              <w:left w:val="nil"/>
              <w:bottom w:val="single" w:sz="4" w:space="0" w:color="auto"/>
              <w:right w:val="single" w:sz="4" w:space="0" w:color="auto"/>
            </w:tcBorders>
            <w:shd w:val="clear" w:color="auto" w:fill="auto"/>
            <w:noWrap/>
            <w:vAlign w:val="center"/>
            <w:hideMark/>
          </w:tcPr>
          <w:p w14:paraId="5845252E" w14:textId="77777777" w:rsidR="00086510" w:rsidRPr="00920DBF" w:rsidRDefault="00086510" w:rsidP="00CE4576">
            <w:pPr>
              <w:keepNext/>
              <w:spacing w:after="0"/>
              <w:jc w:val="right"/>
              <w:rPr>
                <w:rFonts w:eastAsia="Times New Roman" w:cs="Calibri"/>
                <w:color w:val="000000"/>
                <w:sz w:val="16"/>
                <w:szCs w:val="16"/>
                <w:lang w:eastAsia="es-MX"/>
              </w:rPr>
            </w:pPr>
            <w:r w:rsidRPr="00920DBF">
              <w:rPr>
                <w:rFonts w:eastAsia="Times New Roman" w:cs="Calibri"/>
                <w:color w:val="000000"/>
                <w:sz w:val="16"/>
                <w:szCs w:val="16"/>
                <w:lang w:eastAsia="es-MX"/>
              </w:rPr>
              <w:t>0.1%</w:t>
            </w:r>
          </w:p>
        </w:tc>
      </w:tr>
      <w:tr w:rsidR="00086510" w:rsidRPr="00920DBF" w14:paraId="06B3318B" w14:textId="77777777" w:rsidTr="00086510">
        <w:trPr>
          <w:trHeight w:val="20"/>
          <w:jc w:val="center"/>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56E8F134" w14:textId="77777777" w:rsidR="00086510" w:rsidRPr="00920DBF" w:rsidRDefault="00086510" w:rsidP="00CE4576">
            <w:pPr>
              <w:keepNext/>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Total</w:t>
            </w:r>
          </w:p>
        </w:tc>
        <w:tc>
          <w:tcPr>
            <w:tcW w:w="581" w:type="dxa"/>
            <w:tcBorders>
              <w:top w:val="nil"/>
              <w:left w:val="nil"/>
              <w:bottom w:val="single" w:sz="4" w:space="0" w:color="auto"/>
              <w:right w:val="single" w:sz="4" w:space="0" w:color="auto"/>
            </w:tcBorders>
            <w:shd w:val="clear" w:color="auto" w:fill="auto"/>
            <w:noWrap/>
            <w:vAlign w:val="bottom"/>
          </w:tcPr>
          <w:p w14:paraId="417A2A3D" w14:textId="77777777" w:rsidR="00086510" w:rsidRPr="00920DBF" w:rsidRDefault="00086510" w:rsidP="00CE4576">
            <w:pPr>
              <w:keepNext/>
              <w:spacing w:after="0"/>
              <w:jc w:val="center"/>
              <w:rPr>
                <w:rFonts w:eastAsia="Times New Roman" w:cs="Calibri"/>
                <w:b/>
                <w:bCs/>
                <w:color w:val="000000"/>
                <w:sz w:val="16"/>
                <w:szCs w:val="16"/>
                <w:lang w:eastAsia="es-MX"/>
              </w:rPr>
            </w:pPr>
            <w:r>
              <w:rPr>
                <w:rFonts w:eastAsia="Times New Roman" w:cs="Calibri"/>
                <w:b/>
                <w:bCs/>
                <w:color w:val="000000"/>
                <w:sz w:val="16"/>
                <w:szCs w:val="16"/>
                <w:lang w:eastAsia="es-MX"/>
              </w:rPr>
              <w:t>100%</w:t>
            </w:r>
          </w:p>
        </w:tc>
      </w:tr>
      <w:tr w:rsidR="00086510" w:rsidRPr="00920DBF" w14:paraId="45250477" w14:textId="77777777" w:rsidTr="00086510">
        <w:trPr>
          <w:trHeight w:val="2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804AA2" w14:textId="77777777" w:rsidR="00086510" w:rsidRPr="00920DBF" w:rsidRDefault="00086510" w:rsidP="00CE4576">
            <w:pPr>
              <w:keepNext/>
              <w:spacing w:after="0"/>
              <w:jc w:val="center"/>
              <w:rPr>
                <w:rFonts w:eastAsia="Times New Roman" w:cs="Calibri"/>
                <w:b/>
                <w:bCs/>
                <w:color w:val="000000"/>
                <w:sz w:val="16"/>
                <w:szCs w:val="16"/>
                <w:lang w:eastAsia="es-MX"/>
              </w:rPr>
            </w:pPr>
            <w:r w:rsidRPr="00920DBF">
              <w:rPr>
                <w:rFonts w:eastAsia="Times New Roman" w:cs="Calibri"/>
                <w:b/>
                <w:bCs/>
                <w:color w:val="000000"/>
                <w:sz w:val="16"/>
                <w:szCs w:val="16"/>
                <w:lang w:eastAsia="es-MX"/>
              </w:rPr>
              <w:t>IH</w:t>
            </w:r>
          </w:p>
        </w:tc>
        <w:tc>
          <w:tcPr>
            <w:tcW w:w="581" w:type="dxa"/>
            <w:tcBorders>
              <w:top w:val="nil"/>
              <w:left w:val="nil"/>
              <w:bottom w:val="single" w:sz="4" w:space="0" w:color="auto"/>
              <w:right w:val="single" w:sz="4" w:space="0" w:color="auto"/>
            </w:tcBorders>
            <w:shd w:val="clear" w:color="auto" w:fill="auto"/>
            <w:noWrap/>
            <w:vAlign w:val="bottom"/>
            <w:hideMark/>
          </w:tcPr>
          <w:p w14:paraId="0BBBF7FB" w14:textId="77777777" w:rsidR="00086510" w:rsidRPr="00920DBF" w:rsidRDefault="00086510" w:rsidP="00CE4576">
            <w:pPr>
              <w:keepNext/>
              <w:spacing w:after="0"/>
              <w:jc w:val="center"/>
              <w:rPr>
                <w:rFonts w:eastAsia="Times New Roman" w:cs="Calibri"/>
                <w:b/>
                <w:bCs/>
                <w:color w:val="000000"/>
                <w:sz w:val="16"/>
                <w:szCs w:val="16"/>
                <w:lang w:eastAsia="es-MX"/>
              </w:rPr>
            </w:pPr>
            <w:r w:rsidRPr="00920DBF">
              <w:rPr>
                <w:rFonts w:eastAsia="Times New Roman" w:cs="Calibri"/>
                <w:b/>
                <w:bCs/>
                <w:color w:val="000000"/>
                <w:sz w:val="16"/>
                <w:szCs w:val="16"/>
                <w:lang w:eastAsia="es-MX"/>
              </w:rPr>
              <w:t>5,752</w:t>
            </w:r>
          </w:p>
        </w:tc>
      </w:tr>
    </w:tbl>
    <w:p w14:paraId="3829307C" w14:textId="77777777" w:rsidR="00086510" w:rsidRPr="00E87E85" w:rsidRDefault="00086510" w:rsidP="00CE4576">
      <w:pPr>
        <w:keepNext/>
        <w:spacing w:after="0"/>
        <w:jc w:val="both"/>
        <w:rPr>
          <w:sz w:val="16"/>
          <w:szCs w:val="16"/>
        </w:rPr>
      </w:pPr>
      <w:r w:rsidRPr="00E87E85">
        <w:rPr>
          <w:sz w:val="16"/>
          <w:szCs w:val="16"/>
        </w:rPr>
        <w:t>Notas:</w:t>
      </w:r>
    </w:p>
    <w:p w14:paraId="1F35C410" w14:textId="77777777" w:rsidR="00086510" w:rsidRPr="00E87E85" w:rsidRDefault="00086510" w:rsidP="00CE4576">
      <w:pPr>
        <w:keepNext/>
        <w:spacing w:after="0"/>
        <w:jc w:val="both"/>
        <w:rPr>
          <w:sz w:val="16"/>
          <w:szCs w:val="16"/>
        </w:rPr>
      </w:pPr>
      <w:r w:rsidRPr="00E87E85">
        <w:rPr>
          <w:sz w:val="16"/>
          <w:szCs w:val="16"/>
          <w:vertAlign w:val="superscript"/>
        </w:rPr>
        <w:t>\a</w:t>
      </w:r>
      <w:r w:rsidRPr="00E87E85">
        <w:rPr>
          <w:sz w:val="16"/>
          <w:szCs w:val="16"/>
        </w:rPr>
        <w:t xml:space="preserve"> Los ingresos de ATC incluyen los ingresos de Metro Net de enero a octubre de dos mil diecisiete y de CFCA Telecomm de noviembre a diciembre de dos mil diecisiete.</w:t>
      </w:r>
    </w:p>
    <w:p w14:paraId="6CAF6A6F" w14:textId="77777777" w:rsidR="00086510" w:rsidRPr="00E87E85" w:rsidRDefault="00086510" w:rsidP="00CE4576">
      <w:pPr>
        <w:keepNext/>
        <w:spacing w:after="0"/>
        <w:jc w:val="both"/>
        <w:rPr>
          <w:sz w:val="16"/>
          <w:szCs w:val="16"/>
        </w:rPr>
      </w:pPr>
      <w:r w:rsidRPr="00E87E85">
        <w:rPr>
          <w:sz w:val="16"/>
          <w:szCs w:val="16"/>
          <w:vertAlign w:val="superscript"/>
        </w:rPr>
        <w:t>\</w:t>
      </w:r>
      <w:r>
        <w:rPr>
          <w:sz w:val="16"/>
          <w:szCs w:val="16"/>
          <w:vertAlign w:val="superscript"/>
        </w:rPr>
        <w:t>b</w:t>
      </w:r>
      <w:r w:rsidRPr="00E87E85">
        <w:rPr>
          <w:sz w:val="16"/>
          <w:szCs w:val="16"/>
        </w:rPr>
        <w:t xml:space="preserve"> </w:t>
      </w:r>
      <w:r>
        <w:rPr>
          <w:sz w:val="16"/>
          <w:szCs w:val="16"/>
        </w:rPr>
        <w:t>Cifras redondeadas.</w:t>
      </w:r>
    </w:p>
    <w:p w14:paraId="20930F40" w14:textId="77777777" w:rsidR="00086510" w:rsidRPr="00E87E85" w:rsidRDefault="00086510" w:rsidP="00CE4576">
      <w:pPr>
        <w:keepNext/>
        <w:spacing w:after="0"/>
        <w:jc w:val="both"/>
        <w:rPr>
          <w:sz w:val="16"/>
          <w:szCs w:val="16"/>
        </w:rPr>
      </w:pPr>
      <w:r w:rsidRPr="00E87E85">
        <w:rPr>
          <w:sz w:val="16"/>
          <w:szCs w:val="16"/>
        </w:rPr>
        <w:t>Fuente: Elaboración propia con base en información sobre ingresos por arrendamiento de enlaces proporcionada por AMX/Telesites, Axtel, CFCA Telecomm (o Telco), GTV, IP Matrix, Megacable, Metro</w:t>
      </w:r>
      <w:r>
        <w:rPr>
          <w:sz w:val="16"/>
          <w:szCs w:val="16"/>
        </w:rPr>
        <w:t xml:space="preserve"> Net, Pegaso y Total Play. Fojas</w:t>
      </w:r>
      <w:r w:rsidRPr="00E87E85">
        <w:rPr>
          <w:sz w:val="16"/>
          <w:szCs w:val="16"/>
        </w:rPr>
        <w:t xml:space="preserve"> 321, 3238, 3411, 3414, 3417, 3472, 355</w:t>
      </w:r>
      <w:r>
        <w:rPr>
          <w:sz w:val="16"/>
          <w:szCs w:val="16"/>
        </w:rPr>
        <w:t xml:space="preserve">6, 3559, 3756, 5084, 5462, 5538, </w:t>
      </w:r>
      <w:r w:rsidRPr="00E87E85">
        <w:rPr>
          <w:sz w:val="16"/>
          <w:szCs w:val="16"/>
        </w:rPr>
        <w:t>5539, 5620, 5969</w:t>
      </w:r>
      <w:r>
        <w:rPr>
          <w:sz w:val="16"/>
          <w:szCs w:val="16"/>
        </w:rPr>
        <w:t xml:space="preserve"> a </w:t>
      </w:r>
      <w:r w:rsidRPr="00E87E85">
        <w:rPr>
          <w:sz w:val="16"/>
          <w:szCs w:val="16"/>
        </w:rPr>
        <w:t>5973, 7174, 6096, 6097, 6128, 6459, 6507, 6748, 6856, 6858, 6860, 6917, 6924, 6927, 6928, 6972, 7883, 8077, 8080, 8083, 8113, 8741 y 8746 del Expediente.</w:t>
      </w:r>
    </w:p>
    <w:p w14:paraId="44BCC585" w14:textId="77777777" w:rsidR="00086510" w:rsidRPr="00AC308D" w:rsidRDefault="00086510" w:rsidP="009B0A36">
      <w:pPr>
        <w:pStyle w:val="Prrafodelista"/>
        <w:numPr>
          <w:ilvl w:val="0"/>
          <w:numId w:val="13"/>
        </w:numPr>
        <w:spacing w:before="120" w:after="120" w:line="240" w:lineRule="auto"/>
        <w:contextualSpacing w:val="0"/>
        <w:jc w:val="both"/>
      </w:pPr>
      <w:r w:rsidRPr="00BD4D15">
        <w:rPr>
          <w:spacing w:val="-2"/>
        </w:rPr>
        <w:t>A partir de la tabla ant</w:t>
      </w:r>
      <w:r>
        <w:rPr>
          <w:spacing w:val="-2"/>
        </w:rPr>
        <w:t xml:space="preserve">erior, se advierte que </w:t>
      </w:r>
      <w:r w:rsidRPr="00BD4D15">
        <w:t xml:space="preserve">el </w:t>
      </w:r>
      <w:r>
        <w:t>mercado relevante</w:t>
      </w:r>
      <w:r w:rsidRPr="00BD4D15">
        <w:t xml:space="preserve"> de arrendamiento de enlaces MPLS</w:t>
      </w:r>
      <w:r>
        <w:t xml:space="preserve"> presenta</w:t>
      </w:r>
      <w:r w:rsidRPr="00BD4D15">
        <w:t xml:space="preserve"> un </w:t>
      </w:r>
      <w:r>
        <w:t>elevado</w:t>
      </w:r>
      <w:r w:rsidRPr="00BD4D15">
        <w:t xml:space="preserve"> </w:t>
      </w:r>
      <w:r>
        <w:t xml:space="preserve">índice de </w:t>
      </w:r>
      <w:r w:rsidRPr="00BD4D15">
        <w:t>concentración</w:t>
      </w:r>
      <w:r>
        <w:t xml:space="preserve"> (</w:t>
      </w:r>
      <w:r w:rsidRPr="00BD4D15">
        <w:t>5,752 puntos</w:t>
      </w:r>
      <w:r>
        <w:t>),</w:t>
      </w:r>
      <w:r w:rsidRPr="00BD4D15">
        <w:t xml:space="preserve"> debido a la alta participación de AMX</w:t>
      </w:r>
      <w:r>
        <w:t>/Telesites, la cual es superior al 70%.</w:t>
      </w:r>
      <w:r w:rsidRPr="00BD4D15">
        <w:t xml:space="preserve"> Por su parte, la participación </w:t>
      </w:r>
      <w:r w:rsidRPr="00AC308D">
        <w:t>de ATC es de 0.2%.</w:t>
      </w:r>
    </w:p>
    <w:p w14:paraId="47D33999" w14:textId="3FF3D15E" w:rsidR="00B77B6D" w:rsidRDefault="00086510" w:rsidP="001809A9">
      <w:pPr>
        <w:pStyle w:val="Prrafodelista"/>
        <w:numPr>
          <w:ilvl w:val="0"/>
          <w:numId w:val="13"/>
        </w:numPr>
        <w:spacing w:before="120" w:after="120" w:line="240" w:lineRule="auto"/>
        <w:contextualSpacing w:val="0"/>
        <w:jc w:val="both"/>
      </w:pPr>
      <w:r w:rsidRPr="00AC308D">
        <w:rPr>
          <w:spacing w:val="-2"/>
        </w:rPr>
        <w:t xml:space="preserve">En </w:t>
      </w:r>
      <w:r w:rsidRPr="00AC308D">
        <w:t>resumen</w:t>
      </w:r>
      <w:r w:rsidRPr="00AC308D">
        <w:rPr>
          <w:spacing w:val="-2"/>
        </w:rPr>
        <w:t>, de las Tablas 9 a 11, se observa</w:t>
      </w:r>
      <w:r>
        <w:rPr>
          <w:spacing w:val="-2"/>
        </w:rPr>
        <w:t xml:space="preserve"> que,</w:t>
      </w:r>
      <w:r w:rsidRPr="001B19B0">
        <w:rPr>
          <w:spacing w:val="-2"/>
        </w:rPr>
        <w:t xml:space="preserve"> </w:t>
      </w:r>
      <w:r w:rsidRPr="001B19B0">
        <w:t>en todos los mercados relevantes, ATC</w:t>
      </w:r>
      <w:r>
        <w:t xml:space="preserve"> posee participaciones reducidas (entre 0.1% y 19.6%) y que</w:t>
      </w:r>
      <w:r w:rsidRPr="001B19B0">
        <w:t xml:space="preserve"> existen otros competidores con una presencia importante </w:t>
      </w:r>
      <w:r>
        <w:t>que podrían</w:t>
      </w:r>
      <w:r w:rsidRPr="001B19B0">
        <w:t xml:space="preserve"> restring</w:t>
      </w:r>
      <w:r>
        <w:t>ir</w:t>
      </w:r>
      <w:r w:rsidRPr="001B19B0">
        <w:t xml:space="preserve"> la capacidad de ATC de fijar precios o limitar el acceso </w:t>
      </w:r>
      <w:r>
        <w:t>a</w:t>
      </w:r>
      <w:r w:rsidRPr="001B19B0">
        <w:t xml:space="preserve"> los servicios de arrendamiento de </w:t>
      </w:r>
      <w:r w:rsidR="007B377C">
        <w:t>enlaces. En particular,</w:t>
      </w:r>
      <w:r w:rsidR="00297CA2">
        <w:t xml:space="preserve"> </w:t>
      </w:r>
      <w:r w:rsidR="00F12437" w:rsidRPr="00F12437">
        <w:rPr>
          <w:b/>
          <w:bCs/>
          <w:color w:val="0000CC"/>
        </w:rPr>
        <w:t>“CONFIDENCIAL POR LEY”</w:t>
      </w:r>
      <w:r w:rsidRPr="00AC308D">
        <w:t>, tal como se aprecia en la Tabla 12.</w:t>
      </w:r>
      <w:r w:rsidR="007B377C">
        <w:br w:type="page"/>
      </w:r>
    </w:p>
    <w:p w14:paraId="2278DA8B" w14:textId="77777777" w:rsidR="00086510" w:rsidRDefault="00086510" w:rsidP="006F0E45">
      <w:pPr>
        <w:keepNext/>
        <w:keepLines/>
        <w:spacing w:after="0"/>
        <w:jc w:val="center"/>
        <w:rPr>
          <w:b/>
          <w:sz w:val="18"/>
          <w:szCs w:val="18"/>
        </w:rPr>
      </w:pPr>
      <w:r w:rsidRPr="00AC308D">
        <w:rPr>
          <w:b/>
          <w:sz w:val="18"/>
          <w:szCs w:val="18"/>
        </w:rPr>
        <w:lastRenderedPageBreak/>
        <w:t>Tabla 12. Precios</w:t>
      </w:r>
      <w:r w:rsidRPr="004308C1">
        <w:rPr>
          <w:b/>
          <w:sz w:val="18"/>
          <w:szCs w:val="18"/>
        </w:rPr>
        <w:t xml:space="preserve"> implícitos promedio de los servicios de arre</w:t>
      </w:r>
      <w:r>
        <w:rPr>
          <w:b/>
          <w:sz w:val="18"/>
          <w:szCs w:val="18"/>
        </w:rPr>
        <w:t xml:space="preserve">ndamiento </w:t>
      </w:r>
    </w:p>
    <w:p w14:paraId="1164D553" w14:textId="77777777" w:rsidR="00086510" w:rsidRPr="004308C1" w:rsidRDefault="00086510" w:rsidP="006F0E45">
      <w:pPr>
        <w:keepNext/>
        <w:keepLines/>
        <w:spacing w:after="0"/>
        <w:jc w:val="center"/>
        <w:rPr>
          <w:b/>
          <w:sz w:val="18"/>
          <w:szCs w:val="18"/>
        </w:rPr>
      </w:pPr>
      <w:r>
        <w:rPr>
          <w:b/>
          <w:sz w:val="18"/>
          <w:szCs w:val="18"/>
        </w:rPr>
        <w:t xml:space="preserve">de enlaces dedicados, por tipo de tecnología, </w:t>
      </w:r>
      <w:r w:rsidRPr="005A4871">
        <w:rPr>
          <w:b/>
          <w:sz w:val="18"/>
          <w:szCs w:val="18"/>
        </w:rPr>
        <w:t>pesos corrientes sin IVA</w:t>
      </w:r>
      <w:r>
        <w:rPr>
          <w:b/>
          <w:sz w:val="18"/>
          <w:szCs w:val="18"/>
        </w:rPr>
        <w:t>,1T</w:t>
      </w:r>
      <w:r w:rsidRPr="004308C1">
        <w:rPr>
          <w:b/>
          <w:sz w:val="18"/>
          <w:szCs w:val="18"/>
        </w:rPr>
        <w:t>2018</w:t>
      </w:r>
    </w:p>
    <w:tbl>
      <w:tblPr>
        <w:tblW w:w="6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la 12. Precios implícitos promedio de los servicios de arrendamiento de enlaces dedicados, por tipo de tecnología, pesos corrientes sin IVA, 1T2018"/>
        <w:tblDescription w:val="Tabla con los precios implícitos promedio de los servicios de arrendamiento de enlaces dedicados, por tipo de tecnología, pesos corrientes sin IVA, al primer trimestre del año 2018."/>
      </w:tblPr>
      <w:tblGrid>
        <w:gridCol w:w="1196"/>
        <w:gridCol w:w="1209"/>
        <w:gridCol w:w="1089"/>
        <w:gridCol w:w="1179"/>
        <w:gridCol w:w="1106"/>
        <w:gridCol w:w="1089"/>
        <w:gridCol w:w="12"/>
      </w:tblGrid>
      <w:tr w:rsidR="00086510" w:rsidRPr="004308C1" w14:paraId="615663AA" w14:textId="77777777" w:rsidTr="00490093">
        <w:trPr>
          <w:trHeight w:val="20"/>
          <w:jc w:val="center"/>
        </w:trPr>
        <w:tc>
          <w:tcPr>
            <w:tcW w:w="2405" w:type="dxa"/>
            <w:gridSpan w:val="2"/>
            <w:shd w:val="clear" w:color="000000" w:fill="002060"/>
            <w:noWrap/>
            <w:vAlign w:val="bottom"/>
            <w:hideMark/>
          </w:tcPr>
          <w:p w14:paraId="645887EC" w14:textId="77777777" w:rsidR="00086510" w:rsidRPr="004308C1" w:rsidRDefault="00086510" w:rsidP="006F0E45">
            <w:pPr>
              <w:keepNext/>
              <w:keepLines/>
              <w:spacing w:after="0"/>
              <w:jc w:val="center"/>
              <w:rPr>
                <w:rFonts w:eastAsia="Times New Roman" w:cs="Calibri"/>
                <w:b/>
                <w:bCs/>
                <w:color w:val="FFFFFF"/>
                <w:sz w:val="16"/>
                <w:szCs w:val="16"/>
                <w:lang w:eastAsia="es-MX"/>
              </w:rPr>
            </w:pPr>
            <w:r w:rsidRPr="004308C1">
              <w:rPr>
                <w:rFonts w:eastAsia="Times New Roman" w:cs="Calibri"/>
                <w:b/>
                <w:bCs/>
                <w:color w:val="FFFFFF"/>
                <w:sz w:val="16"/>
                <w:szCs w:val="16"/>
                <w:lang w:eastAsia="es-MX"/>
              </w:rPr>
              <w:t>TDM</w:t>
            </w:r>
          </w:p>
        </w:tc>
        <w:tc>
          <w:tcPr>
            <w:tcW w:w="2268" w:type="dxa"/>
            <w:gridSpan w:val="2"/>
            <w:shd w:val="clear" w:color="000000" w:fill="002060"/>
            <w:noWrap/>
            <w:vAlign w:val="bottom"/>
            <w:hideMark/>
          </w:tcPr>
          <w:p w14:paraId="33636079" w14:textId="77777777" w:rsidR="00086510" w:rsidRPr="004308C1" w:rsidRDefault="00086510" w:rsidP="006F0E45">
            <w:pPr>
              <w:keepNext/>
              <w:keepLines/>
              <w:spacing w:after="0"/>
              <w:jc w:val="center"/>
              <w:rPr>
                <w:rFonts w:eastAsia="Times New Roman" w:cs="Calibri"/>
                <w:b/>
                <w:bCs/>
                <w:color w:val="FFFFFF"/>
                <w:sz w:val="16"/>
                <w:szCs w:val="16"/>
                <w:lang w:eastAsia="es-MX"/>
              </w:rPr>
            </w:pPr>
            <w:r w:rsidRPr="004308C1">
              <w:rPr>
                <w:rFonts w:eastAsia="Times New Roman" w:cs="Calibri"/>
                <w:b/>
                <w:bCs/>
                <w:color w:val="FFFFFF"/>
                <w:sz w:val="16"/>
                <w:szCs w:val="16"/>
                <w:lang w:eastAsia="es-MX"/>
              </w:rPr>
              <w:t>Ethernet</w:t>
            </w:r>
          </w:p>
        </w:tc>
        <w:tc>
          <w:tcPr>
            <w:tcW w:w="2207" w:type="dxa"/>
            <w:gridSpan w:val="3"/>
            <w:shd w:val="clear" w:color="000000" w:fill="002060"/>
            <w:noWrap/>
            <w:vAlign w:val="bottom"/>
            <w:hideMark/>
          </w:tcPr>
          <w:p w14:paraId="0678BF7A" w14:textId="77777777" w:rsidR="00086510" w:rsidRPr="004308C1" w:rsidRDefault="00086510" w:rsidP="006F0E45">
            <w:pPr>
              <w:keepNext/>
              <w:keepLines/>
              <w:spacing w:after="0"/>
              <w:jc w:val="center"/>
              <w:rPr>
                <w:rFonts w:eastAsia="Times New Roman" w:cs="Calibri"/>
                <w:b/>
                <w:bCs/>
                <w:color w:val="FFFFFF"/>
                <w:sz w:val="16"/>
                <w:szCs w:val="16"/>
                <w:lang w:eastAsia="es-MX"/>
              </w:rPr>
            </w:pPr>
            <w:r w:rsidRPr="004308C1">
              <w:rPr>
                <w:rFonts w:eastAsia="Times New Roman" w:cs="Calibri"/>
                <w:b/>
                <w:bCs/>
                <w:color w:val="FFFFFF"/>
                <w:sz w:val="16"/>
                <w:szCs w:val="16"/>
                <w:lang w:eastAsia="es-MX"/>
              </w:rPr>
              <w:t>MPLS</w:t>
            </w:r>
          </w:p>
        </w:tc>
      </w:tr>
      <w:tr w:rsidR="00F12437" w:rsidRPr="004308C1" w14:paraId="1E41D025" w14:textId="77777777" w:rsidTr="00490093">
        <w:trPr>
          <w:gridAfter w:val="1"/>
          <w:wAfter w:w="12" w:type="dxa"/>
          <w:trHeight w:val="20"/>
          <w:jc w:val="center"/>
        </w:trPr>
        <w:tc>
          <w:tcPr>
            <w:tcW w:w="1196" w:type="dxa"/>
            <w:shd w:val="clear" w:color="auto" w:fill="auto"/>
            <w:noWrap/>
            <w:hideMark/>
          </w:tcPr>
          <w:p w14:paraId="4A3A6160"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209" w:type="dxa"/>
            <w:shd w:val="clear" w:color="auto" w:fill="auto"/>
            <w:noWrap/>
            <w:hideMark/>
          </w:tcPr>
          <w:p w14:paraId="3CB679F0"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089" w:type="dxa"/>
            <w:shd w:val="clear" w:color="auto" w:fill="auto"/>
            <w:noWrap/>
            <w:hideMark/>
          </w:tcPr>
          <w:p w14:paraId="3F70D2C4"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179" w:type="dxa"/>
            <w:shd w:val="clear" w:color="auto" w:fill="auto"/>
            <w:noWrap/>
            <w:hideMark/>
          </w:tcPr>
          <w:p w14:paraId="6652763A"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106" w:type="dxa"/>
            <w:shd w:val="clear" w:color="auto" w:fill="auto"/>
            <w:noWrap/>
            <w:hideMark/>
          </w:tcPr>
          <w:p w14:paraId="048E84C9"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089" w:type="dxa"/>
            <w:shd w:val="clear" w:color="auto" w:fill="auto"/>
            <w:noWrap/>
            <w:hideMark/>
          </w:tcPr>
          <w:p w14:paraId="6A88D434" w14:textId="77777777" w:rsidR="00F12437" w:rsidRPr="00F12437" w:rsidRDefault="00F12437" w:rsidP="00490093">
            <w:pPr>
              <w:spacing w:after="0"/>
              <w:rPr>
                <w:sz w:val="12"/>
                <w:szCs w:val="12"/>
              </w:rPr>
            </w:pPr>
            <w:r w:rsidRPr="00F12437">
              <w:rPr>
                <w:b/>
                <w:bCs/>
                <w:color w:val="0000CC"/>
                <w:sz w:val="12"/>
                <w:szCs w:val="12"/>
              </w:rPr>
              <w:t>“CONFIDENCIAL POR LEY”</w:t>
            </w:r>
          </w:p>
        </w:tc>
      </w:tr>
      <w:tr w:rsidR="00F12437" w:rsidRPr="004308C1" w14:paraId="231A074D" w14:textId="77777777" w:rsidTr="00490093">
        <w:trPr>
          <w:gridAfter w:val="1"/>
          <w:wAfter w:w="12" w:type="dxa"/>
          <w:trHeight w:val="20"/>
          <w:jc w:val="center"/>
        </w:trPr>
        <w:tc>
          <w:tcPr>
            <w:tcW w:w="1196" w:type="dxa"/>
            <w:shd w:val="clear" w:color="auto" w:fill="auto"/>
            <w:noWrap/>
            <w:hideMark/>
          </w:tcPr>
          <w:p w14:paraId="5DDADB94"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209" w:type="dxa"/>
            <w:shd w:val="clear" w:color="auto" w:fill="auto"/>
            <w:noWrap/>
            <w:hideMark/>
          </w:tcPr>
          <w:p w14:paraId="3026A930"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089" w:type="dxa"/>
            <w:shd w:val="clear" w:color="auto" w:fill="auto"/>
            <w:noWrap/>
            <w:hideMark/>
          </w:tcPr>
          <w:p w14:paraId="563569E8"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179" w:type="dxa"/>
            <w:shd w:val="clear" w:color="auto" w:fill="auto"/>
            <w:noWrap/>
            <w:hideMark/>
          </w:tcPr>
          <w:p w14:paraId="5A2CD075"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106" w:type="dxa"/>
            <w:shd w:val="clear" w:color="auto" w:fill="auto"/>
            <w:noWrap/>
            <w:hideMark/>
          </w:tcPr>
          <w:p w14:paraId="0445F6EB"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089" w:type="dxa"/>
            <w:shd w:val="clear" w:color="auto" w:fill="auto"/>
            <w:noWrap/>
            <w:hideMark/>
          </w:tcPr>
          <w:p w14:paraId="0B1E43C1" w14:textId="77777777" w:rsidR="00F12437" w:rsidRPr="00F12437" w:rsidRDefault="00F12437" w:rsidP="00490093">
            <w:pPr>
              <w:spacing w:after="0"/>
              <w:rPr>
                <w:sz w:val="12"/>
                <w:szCs w:val="12"/>
              </w:rPr>
            </w:pPr>
            <w:r w:rsidRPr="00F12437">
              <w:rPr>
                <w:b/>
                <w:bCs/>
                <w:color w:val="0000CC"/>
                <w:sz w:val="12"/>
                <w:szCs w:val="12"/>
              </w:rPr>
              <w:t>“CONFIDENCIAL POR LEY”</w:t>
            </w:r>
          </w:p>
        </w:tc>
      </w:tr>
      <w:tr w:rsidR="00F12437" w:rsidRPr="004308C1" w14:paraId="1D7989D1" w14:textId="77777777" w:rsidTr="00490093">
        <w:trPr>
          <w:gridAfter w:val="1"/>
          <w:wAfter w:w="12" w:type="dxa"/>
          <w:trHeight w:val="20"/>
          <w:jc w:val="center"/>
        </w:trPr>
        <w:tc>
          <w:tcPr>
            <w:tcW w:w="1196" w:type="dxa"/>
            <w:shd w:val="clear" w:color="auto" w:fill="auto"/>
            <w:noWrap/>
            <w:hideMark/>
          </w:tcPr>
          <w:p w14:paraId="3896D3B0"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209" w:type="dxa"/>
            <w:shd w:val="clear" w:color="auto" w:fill="auto"/>
            <w:noWrap/>
            <w:hideMark/>
          </w:tcPr>
          <w:p w14:paraId="0D43E20E"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089" w:type="dxa"/>
            <w:shd w:val="clear" w:color="auto" w:fill="auto"/>
            <w:noWrap/>
            <w:hideMark/>
          </w:tcPr>
          <w:p w14:paraId="0043E1C5"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179" w:type="dxa"/>
            <w:shd w:val="clear" w:color="auto" w:fill="auto"/>
            <w:noWrap/>
            <w:hideMark/>
          </w:tcPr>
          <w:p w14:paraId="4738FC43"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106" w:type="dxa"/>
            <w:shd w:val="clear" w:color="auto" w:fill="auto"/>
            <w:noWrap/>
            <w:hideMark/>
          </w:tcPr>
          <w:p w14:paraId="70326AEF" w14:textId="77777777" w:rsidR="00F12437" w:rsidRPr="00F12437" w:rsidRDefault="00F12437" w:rsidP="00490093">
            <w:pPr>
              <w:spacing w:after="0"/>
              <w:rPr>
                <w:sz w:val="12"/>
                <w:szCs w:val="12"/>
              </w:rPr>
            </w:pPr>
            <w:r w:rsidRPr="00F12437">
              <w:rPr>
                <w:b/>
                <w:bCs/>
                <w:color w:val="0000CC"/>
                <w:sz w:val="12"/>
                <w:szCs w:val="12"/>
              </w:rPr>
              <w:t>“CONFIDENCIAL POR LEY”</w:t>
            </w:r>
          </w:p>
        </w:tc>
        <w:tc>
          <w:tcPr>
            <w:tcW w:w="1089" w:type="dxa"/>
            <w:shd w:val="clear" w:color="auto" w:fill="auto"/>
            <w:noWrap/>
            <w:hideMark/>
          </w:tcPr>
          <w:p w14:paraId="593D3DD2" w14:textId="77777777" w:rsidR="00F12437" w:rsidRPr="00F12437" w:rsidRDefault="00F12437" w:rsidP="00490093">
            <w:pPr>
              <w:spacing w:after="0"/>
              <w:rPr>
                <w:sz w:val="12"/>
                <w:szCs w:val="12"/>
              </w:rPr>
            </w:pPr>
            <w:r w:rsidRPr="00F12437">
              <w:rPr>
                <w:b/>
                <w:bCs/>
                <w:color w:val="0000CC"/>
                <w:sz w:val="12"/>
                <w:szCs w:val="12"/>
              </w:rPr>
              <w:t>“CONFIDENCIAL POR LEY”</w:t>
            </w:r>
          </w:p>
        </w:tc>
      </w:tr>
    </w:tbl>
    <w:p w14:paraId="5AA8D950" w14:textId="77777777" w:rsidR="00086510" w:rsidRPr="004308C1" w:rsidRDefault="00086510" w:rsidP="006F0E45">
      <w:pPr>
        <w:keepNext/>
        <w:keepLines/>
        <w:spacing w:after="0"/>
        <w:jc w:val="both"/>
        <w:rPr>
          <w:sz w:val="16"/>
          <w:szCs w:val="16"/>
        </w:rPr>
      </w:pPr>
      <w:r>
        <w:rPr>
          <w:sz w:val="16"/>
          <w:szCs w:val="16"/>
        </w:rPr>
        <w:t>Nota</w:t>
      </w:r>
      <w:r w:rsidRPr="004308C1">
        <w:rPr>
          <w:sz w:val="16"/>
          <w:szCs w:val="16"/>
        </w:rPr>
        <w:t>:</w:t>
      </w:r>
    </w:p>
    <w:p w14:paraId="1AA5A95B" w14:textId="77777777" w:rsidR="00086510" w:rsidRPr="004308C1" w:rsidRDefault="00086510" w:rsidP="006F0E45">
      <w:pPr>
        <w:keepNext/>
        <w:keepLines/>
        <w:spacing w:after="0"/>
        <w:jc w:val="both"/>
        <w:rPr>
          <w:spacing w:val="-4"/>
          <w:sz w:val="16"/>
          <w:szCs w:val="16"/>
        </w:rPr>
      </w:pPr>
      <w:r w:rsidRPr="00B76975">
        <w:rPr>
          <w:sz w:val="16"/>
          <w:szCs w:val="16"/>
          <w:vertAlign w:val="superscript"/>
        </w:rPr>
        <w:t>\a</w:t>
      </w:r>
      <w:r w:rsidRPr="004308C1">
        <w:rPr>
          <w:sz w:val="16"/>
          <w:szCs w:val="16"/>
        </w:rPr>
        <w:t xml:space="preserve"> </w:t>
      </w:r>
      <w:r w:rsidRPr="004308C1">
        <w:rPr>
          <w:spacing w:val="-4"/>
          <w:sz w:val="16"/>
          <w:szCs w:val="16"/>
        </w:rPr>
        <w:t>Los precios implícitos mensuales por Mbps promedio se obtuvieron al dividir el ingreso mensual entre el número de enlaces en términos de E1 o 2 Mbps,</w:t>
      </w:r>
      <w:r>
        <w:rPr>
          <w:spacing w:val="-4"/>
          <w:sz w:val="16"/>
          <w:szCs w:val="16"/>
        </w:rPr>
        <w:t xml:space="preserve"> y</w:t>
      </w:r>
      <w:r w:rsidRPr="004308C1">
        <w:rPr>
          <w:spacing w:val="-4"/>
          <w:sz w:val="16"/>
          <w:szCs w:val="16"/>
        </w:rPr>
        <w:t xml:space="preserve"> el resultado entre 2.048</w:t>
      </w:r>
      <w:r>
        <w:rPr>
          <w:spacing w:val="-4"/>
          <w:sz w:val="16"/>
          <w:szCs w:val="16"/>
        </w:rPr>
        <w:t>.</w:t>
      </w:r>
    </w:p>
    <w:p w14:paraId="605ED2FC" w14:textId="710FFFF9" w:rsidR="00086510" w:rsidRPr="004308C1" w:rsidRDefault="00086510" w:rsidP="006F0E45">
      <w:pPr>
        <w:keepNext/>
        <w:keepLines/>
        <w:jc w:val="both"/>
        <w:rPr>
          <w:sz w:val="16"/>
          <w:szCs w:val="16"/>
        </w:rPr>
      </w:pPr>
      <w:r w:rsidRPr="004308C1">
        <w:rPr>
          <w:spacing w:val="-4"/>
          <w:sz w:val="16"/>
          <w:szCs w:val="16"/>
        </w:rPr>
        <w:t xml:space="preserve">Fuente: Elaboración propia con información </w:t>
      </w:r>
      <w:r>
        <w:rPr>
          <w:spacing w:val="-4"/>
          <w:sz w:val="16"/>
          <w:szCs w:val="16"/>
        </w:rPr>
        <w:t xml:space="preserve">de ingresos por arrendamiento de enlaces y número de enlaces en términos de 2 Mbps o E1 (2.048 Mbps) proporcionada por </w:t>
      </w:r>
      <w:r w:rsidR="006A1598" w:rsidRPr="004E0058">
        <w:rPr>
          <w:b/>
          <w:bCs/>
          <w:color w:val="0000CC"/>
          <w:sz w:val="16"/>
          <w:szCs w:val="16"/>
        </w:rPr>
        <w:t>“CONFIDENCIAL POR LEY”</w:t>
      </w:r>
      <w:r>
        <w:rPr>
          <w:spacing w:val="-4"/>
          <w:sz w:val="16"/>
          <w:szCs w:val="16"/>
        </w:rPr>
        <w:t>. F</w:t>
      </w:r>
      <w:r w:rsidRPr="004308C1">
        <w:rPr>
          <w:spacing w:val="-4"/>
          <w:sz w:val="16"/>
          <w:szCs w:val="16"/>
        </w:rPr>
        <w:t xml:space="preserve">ojas </w:t>
      </w:r>
      <w:r>
        <w:rPr>
          <w:spacing w:val="-4"/>
          <w:sz w:val="16"/>
          <w:szCs w:val="16"/>
        </w:rPr>
        <w:t>3238, 3411, 3414, 3417</w:t>
      </w:r>
      <w:r w:rsidRPr="005A0ED9">
        <w:rPr>
          <w:spacing w:val="-4"/>
          <w:sz w:val="16"/>
          <w:szCs w:val="16"/>
        </w:rPr>
        <w:t xml:space="preserve"> </w:t>
      </w:r>
      <w:r w:rsidRPr="00BB3358">
        <w:rPr>
          <w:spacing w:val="-4"/>
          <w:sz w:val="16"/>
          <w:szCs w:val="16"/>
        </w:rPr>
        <w:t>3421, 3422, 3424, 3426</w:t>
      </w:r>
      <w:r>
        <w:rPr>
          <w:spacing w:val="-4"/>
          <w:sz w:val="16"/>
          <w:szCs w:val="16"/>
        </w:rPr>
        <w:t xml:space="preserve">, 3472, </w:t>
      </w:r>
      <w:r w:rsidRPr="004308C1">
        <w:rPr>
          <w:spacing w:val="-4"/>
          <w:sz w:val="16"/>
          <w:szCs w:val="16"/>
        </w:rPr>
        <w:t>3556, 3559, 3560</w:t>
      </w:r>
      <w:r>
        <w:rPr>
          <w:spacing w:val="-4"/>
          <w:sz w:val="16"/>
          <w:szCs w:val="16"/>
        </w:rPr>
        <w:t xml:space="preserve">, </w:t>
      </w:r>
      <w:r w:rsidRPr="004308C1">
        <w:rPr>
          <w:spacing w:val="-4"/>
          <w:sz w:val="16"/>
          <w:szCs w:val="16"/>
        </w:rPr>
        <w:t>5084,</w:t>
      </w:r>
      <w:r>
        <w:rPr>
          <w:spacing w:val="-4"/>
          <w:sz w:val="16"/>
          <w:szCs w:val="16"/>
        </w:rPr>
        <w:t xml:space="preserve"> 5969 a 5973, 6096, 6097, 6099, 6100, 6128,</w:t>
      </w:r>
      <w:r w:rsidRPr="004308C1">
        <w:rPr>
          <w:spacing w:val="-4"/>
          <w:sz w:val="16"/>
          <w:szCs w:val="16"/>
        </w:rPr>
        <w:t xml:space="preserve"> </w:t>
      </w:r>
      <w:r>
        <w:rPr>
          <w:spacing w:val="-4"/>
          <w:sz w:val="16"/>
          <w:szCs w:val="16"/>
        </w:rPr>
        <w:t xml:space="preserve">7157, </w:t>
      </w:r>
      <w:r w:rsidRPr="004308C1">
        <w:rPr>
          <w:spacing w:val="-4"/>
          <w:sz w:val="16"/>
          <w:szCs w:val="16"/>
        </w:rPr>
        <w:t>8077, 8080, 8083, 8086, 8089, 8113, 874</w:t>
      </w:r>
      <w:r>
        <w:rPr>
          <w:spacing w:val="-4"/>
          <w:sz w:val="16"/>
          <w:szCs w:val="16"/>
        </w:rPr>
        <w:t>1 y</w:t>
      </w:r>
      <w:r w:rsidRPr="004308C1">
        <w:rPr>
          <w:spacing w:val="-4"/>
          <w:sz w:val="16"/>
          <w:szCs w:val="16"/>
        </w:rPr>
        <w:t xml:space="preserve"> </w:t>
      </w:r>
      <w:r w:rsidRPr="001464C5">
        <w:rPr>
          <w:spacing w:val="-4"/>
          <w:sz w:val="16"/>
          <w:szCs w:val="16"/>
        </w:rPr>
        <w:t>8746</w:t>
      </w:r>
      <w:r w:rsidRPr="004308C1">
        <w:rPr>
          <w:spacing w:val="-4"/>
          <w:sz w:val="16"/>
          <w:szCs w:val="16"/>
        </w:rPr>
        <w:t xml:space="preserve"> del Expediente.</w:t>
      </w:r>
    </w:p>
    <w:p w14:paraId="30D0FFF7" w14:textId="77777777" w:rsidR="00086510" w:rsidRDefault="00086510" w:rsidP="009B0A36">
      <w:pPr>
        <w:pStyle w:val="Prrafodelista"/>
        <w:numPr>
          <w:ilvl w:val="0"/>
          <w:numId w:val="13"/>
        </w:numPr>
        <w:spacing w:before="120" w:after="120" w:line="240" w:lineRule="auto"/>
        <w:contextualSpacing w:val="0"/>
        <w:jc w:val="both"/>
      </w:pPr>
      <w:r w:rsidRPr="00464E5F">
        <w:t xml:space="preserve">Adicionalmente, </w:t>
      </w:r>
      <w:r>
        <w:t xml:space="preserve">de la información proporcionada por ATC, se advierte que el </w:t>
      </w:r>
      <w:r w:rsidR="006A1598" w:rsidRPr="006A1598">
        <w:rPr>
          <w:b/>
          <w:bCs/>
          <w:color w:val="0000CC"/>
        </w:rPr>
        <w:t>“CONFIDENCIAL POR LEY”</w:t>
      </w:r>
      <w:r w:rsidRPr="00464E5F">
        <w:rPr>
          <w:rStyle w:val="Refdenotaalpie"/>
        </w:rPr>
        <w:footnoteReference w:id="248"/>
      </w:r>
      <w:r>
        <w:t xml:space="preserve"> de sus ingresos por servicios de telecomunicaciones fijos es generado por </w:t>
      </w:r>
      <w:r w:rsidR="00490093" w:rsidRPr="006A1598">
        <w:rPr>
          <w:b/>
          <w:bCs/>
          <w:color w:val="0000CC"/>
        </w:rPr>
        <w:t>“CONFIDENCIAL POR LEY”</w:t>
      </w:r>
      <w:r>
        <w:t xml:space="preserve"> clientes, lo cual es indicativo de la existencia de </w:t>
      </w:r>
      <w:r w:rsidR="006A1598" w:rsidRPr="006A1598">
        <w:rPr>
          <w:b/>
          <w:bCs/>
          <w:color w:val="0000CC"/>
        </w:rPr>
        <w:t>“CONFIDENCIAL POR LEY”</w:t>
      </w:r>
      <w:r w:rsidR="00427D3B" w:rsidRPr="00427D3B">
        <w:rPr>
          <w:bCs/>
        </w:rPr>
        <w:t>.</w:t>
      </w:r>
    </w:p>
    <w:p w14:paraId="5CF86837" w14:textId="77777777" w:rsidR="00086510" w:rsidRDefault="00086510" w:rsidP="009B0A36">
      <w:pPr>
        <w:pStyle w:val="Prrafodelista"/>
        <w:numPr>
          <w:ilvl w:val="0"/>
          <w:numId w:val="13"/>
        </w:numPr>
        <w:spacing w:before="120" w:after="120" w:line="240" w:lineRule="auto"/>
        <w:contextualSpacing w:val="0"/>
        <w:jc w:val="both"/>
      </w:pPr>
      <w:r w:rsidRPr="00464E5F">
        <w:t xml:space="preserve">En conclusión, es poco probable que, derivado de la transacción, ATC adquiera </w:t>
      </w:r>
      <w:r>
        <w:t xml:space="preserve">la </w:t>
      </w:r>
      <w:r w:rsidRPr="00464E5F">
        <w:t xml:space="preserve">capacidad de fijar precios o restringir el abasto </w:t>
      </w:r>
      <w:r>
        <w:t xml:space="preserve">de manera unilateral </w:t>
      </w:r>
      <w:r w:rsidRPr="00464E5F">
        <w:t xml:space="preserve">en los mercados relevantes referentes a los servicios </w:t>
      </w:r>
      <w:r>
        <w:t xml:space="preserve">de </w:t>
      </w:r>
      <w:r w:rsidRPr="00464E5F">
        <w:t>arrendamiento de enlaces dedicados.</w:t>
      </w:r>
    </w:p>
    <w:p w14:paraId="40C2FCBE" w14:textId="77777777" w:rsidR="00086510" w:rsidRPr="00570DAF" w:rsidRDefault="00086510" w:rsidP="009B0A36">
      <w:pPr>
        <w:pStyle w:val="Ttulo4"/>
        <w:numPr>
          <w:ilvl w:val="3"/>
          <w:numId w:val="23"/>
        </w:numPr>
        <w:ind w:left="567" w:hanging="567"/>
        <w:jc w:val="both"/>
      </w:pPr>
      <w:bookmarkStart w:id="50" w:name="_Toc463297872"/>
      <w:bookmarkStart w:id="51" w:name="_Toc463624329"/>
      <w:r w:rsidRPr="00570DAF">
        <w:t xml:space="preserve">Existencia </w:t>
      </w:r>
      <w:r>
        <w:t xml:space="preserve">y poder </w:t>
      </w:r>
      <w:r w:rsidRPr="00570DAF">
        <w:t>de</w:t>
      </w:r>
      <w:r>
        <w:t xml:space="preserve"> sus</w:t>
      </w:r>
      <w:r w:rsidRPr="00570DAF">
        <w:t xml:space="preserve"> competidores</w:t>
      </w:r>
      <w:bookmarkEnd w:id="50"/>
      <w:bookmarkEnd w:id="51"/>
    </w:p>
    <w:p w14:paraId="1366DB0B" w14:textId="77777777" w:rsidR="00086510" w:rsidRDefault="00086510" w:rsidP="009B0A36">
      <w:pPr>
        <w:pStyle w:val="Prrafodelista"/>
        <w:numPr>
          <w:ilvl w:val="0"/>
          <w:numId w:val="13"/>
        </w:numPr>
        <w:spacing w:before="120" w:after="120" w:line="240" w:lineRule="auto"/>
        <w:contextualSpacing w:val="0"/>
        <w:jc w:val="both"/>
      </w:pPr>
      <w:r w:rsidRPr="00BA1721">
        <w:t xml:space="preserve">De acuerdo con el artículo 59, </w:t>
      </w:r>
      <w:r>
        <w:t>f</w:t>
      </w:r>
      <w:r w:rsidRPr="00BA1721">
        <w:t xml:space="preserve">racción III, de la LFCE, para determinar </w:t>
      </w:r>
      <w:r>
        <w:t xml:space="preserve">si uno o varios </w:t>
      </w:r>
      <w:r w:rsidR="00E30EEF">
        <w:t>a</w:t>
      </w:r>
      <w:r>
        <w:t xml:space="preserve">gentes </w:t>
      </w:r>
      <w:r w:rsidR="00E30EEF">
        <w:t>e</w:t>
      </w:r>
      <w:r w:rsidRPr="00876071">
        <w:t xml:space="preserve">conómicos tienen poder sustancial en </w:t>
      </w:r>
      <w:r>
        <w:t>los</w:t>
      </w:r>
      <w:r w:rsidRPr="00876071">
        <w:t xml:space="preserve"> mercado</w:t>
      </w:r>
      <w:r>
        <w:t>s</w:t>
      </w:r>
      <w:r w:rsidRPr="00876071">
        <w:t xml:space="preserve"> relevante</w:t>
      </w:r>
      <w:r>
        <w:t>s</w:t>
      </w:r>
      <w:r w:rsidRPr="00876071">
        <w:t xml:space="preserve">, se </w:t>
      </w:r>
      <w:r w:rsidRPr="00BA1721">
        <w:t>deberá considerar:</w:t>
      </w:r>
    </w:p>
    <w:p w14:paraId="6BEDFC8D" w14:textId="77777777" w:rsidR="00086510" w:rsidRPr="00495A28" w:rsidRDefault="00086510" w:rsidP="00086510">
      <w:pPr>
        <w:ind w:left="567" w:right="567"/>
        <w:jc w:val="both"/>
        <w:rPr>
          <w:i/>
        </w:rPr>
      </w:pPr>
      <w:r w:rsidRPr="00D12D87">
        <w:rPr>
          <w:i/>
          <w:sz w:val="20"/>
        </w:rPr>
        <w:t>III. La existencia y poder de sus competidores</w:t>
      </w:r>
      <w:r>
        <w:rPr>
          <w:i/>
        </w:rPr>
        <w:t>;</w:t>
      </w:r>
    </w:p>
    <w:p w14:paraId="23FE98F9" w14:textId="77777777" w:rsidR="00086510" w:rsidRDefault="00086510" w:rsidP="009B0A36">
      <w:pPr>
        <w:pStyle w:val="Prrafodelista"/>
        <w:numPr>
          <w:ilvl w:val="0"/>
          <w:numId w:val="13"/>
        </w:numPr>
        <w:spacing w:before="120" w:after="120" w:line="240" w:lineRule="auto"/>
        <w:contextualSpacing w:val="0"/>
        <w:jc w:val="both"/>
        <w:rPr>
          <w:spacing w:val="-2"/>
        </w:rPr>
      </w:pPr>
      <w:r>
        <w:rPr>
          <w:spacing w:val="-2"/>
        </w:rPr>
        <w:t xml:space="preserve">ATC enfrenta la presencia de competidores importantes en todos los mercados relevantes analizados, siendo los principales AMX/Telesites, GTV, Total Play y Axtel. </w:t>
      </w:r>
    </w:p>
    <w:p w14:paraId="793F43B9" w14:textId="77777777" w:rsidR="00086510" w:rsidRDefault="00086510" w:rsidP="009B0A36">
      <w:pPr>
        <w:pStyle w:val="Prrafodelista"/>
        <w:numPr>
          <w:ilvl w:val="0"/>
          <w:numId w:val="13"/>
        </w:numPr>
        <w:spacing w:before="120" w:after="120" w:line="240" w:lineRule="auto"/>
        <w:contextualSpacing w:val="0"/>
        <w:jc w:val="both"/>
        <w:rPr>
          <w:spacing w:val="-2"/>
        </w:rPr>
      </w:pPr>
      <w:r>
        <w:rPr>
          <w:spacing w:val="-2"/>
        </w:rPr>
        <w:t>En el</w:t>
      </w:r>
      <w:r>
        <w:t xml:space="preserve"> </w:t>
      </w:r>
      <w:r w:rsidRPr="00AC308D">
        <w:t>Gráfico 7</w:t>
      </w:r>
      <w:r w:rsidR="00EF11A4" w:rsidRPr="00AC308D">
        <w:t>,</w:t>
      </w:r>
      <w:r w:rsidRPr="00AC308D">
        <w:t xml:space="preserve"> se</w:t>
      </w:r>
      <w:r>
        <w:t xml:space="preserve"> muestran las participaciones de mercado, para el año dos mil diecisiete, ordenadas de mayor a menor, de los principales </w:t>
      </w:r>
      <w:r w:rsidR="00E30EEF">
        <w:t>a</w:t>
      </w:r>
      <w:r>
        <w:t xml:space="preserve">gentes </w:t>
      </w:r>
      <w:r w:rsidR="00E30EEF">
        <w:t>e</w:t>
      </w:r>
      <w:r>
        <w:t>conómicos, en los mercados relevantes: por tipo de tecnología (TDM, Ethernet y MPLS), así como por tipo de cliente (minorista y mayorista) y por tipo de cobertura (local, larga distancia nacional y larga distancia internacional) para el caso de los enlaces entregados con tecnología TDM y Ethernet.</w:t>
      </w:r>
    </w:p>
    <w:p w14:paraId="0B16040D" w14:textId="77777777" w:rsidR="00086510" w:rsidRDefault="00086510" w:rsidP="00CE4576">
      <w:pPr>
        <w:keepNext/>
        <w:keepLines/>
        <w:spacing w:after="0"/>
        <w:jc w:val="center"/>
        <w:rPr>
          <w:b/>
          <w:sz w:val="18"/>
        </w:rPr>
      </w:pPr>
      <w:r w:rsidRPr="00AC308D">
        <w:rPr>
          <w:b/>
          <w:sz w:val="18"/>
        </w:rPr>
        <w:lastRenderedPageBreak/>
        <w:t>Gráfico 7. Participaciones</w:t>
      </w:r>
      <w:r>
        <w:rPr>
          <w:b/>
          <w:sz w:val="18"/>
        </w:rPr>
        <w:t xml:space="preserve"> de</w:t>
      </w:r>
      <w:r w:rsidRPr="00AD6B88">
        <w:rPr>
          <w:b/>
          <w:sz w:val="18"/>
        </w:rPr>
        <w:t xml:space="preserve"> mercado de</w:t>
      </w:r>
      <w:r>
        <w:rPr>
          <w:b/>
          <w:sz w:val="18"/>
        </w:rPr>
        <w:t xml:space="preserve"> </w:t>
      </w:r>
      <w:r w:rsidRPr="00AD6B88">
        <w:rPr>
          <w:b/>
          <w:sz w:val="18"/>
        </w:rPr>
        <w:t>l</w:t>
      </w:r>
      <w:r>
        <w:rPr>
          <w:b/>
          <w:sz w:val="18"/>
        </w:rPr>
        <w:t>os</w:t>
      </w:r>
      <w:r w:rsidRPr="00AD6B88">
        <w:rPr>
          <w:b/>
          <w:sz w:val="18"/>
        </w:rPr>
        <w:t xml:space="preserve"> servicio</w:t>
      </w:r>
      <w:r>
        <w:rPr>
          <w:b/>
          <w:sz w:val="18"/>
        </w:rPr>
        <w:t xml:space="preserve">s de </w:t>
      </w:r>
    </w:p>
    <w:p w14:paraId="66A6134E" w14:textId="77777777" w:rsidR="00086510" w:rsidRDefault="00086510" w:rsidP="00CE4576">
      <w:pPr>
        <w:keepNext/>
        <w:keepLines/>
        <w:spacing w:after="0"/>
        <w:jc w:val="center"/>
        <w:rPr>
          <w:b/>
          <w:sz w:val="18"/>
        </w:rPr>
      </w:pPr>
      <w:r>
        <w:rPr>
          <w:b/>
          <w:sz w:val="18"/>
        </w:rPr>
        <w:t>arrendamiento de enlaces, a nivel nacional, 2017</w:t>
      </w:r>
    </w:p>
    <w:p w14:paraId="0C3F741A" w14:textId="77777777" w:rsidR="00086510" w:rsidRDefault="003E1382" w:rsidP="00CE4576">
      <w:pPr>
        <w:keepNext/>
        <w:keepLines/>
        <w:spacing w:after="0"/>
        <w:jc w:val="both"/>
        <w:rPr>
          <w:sz w:val="16"/>
          <w:szCs w:val="16"/>
        </w:rPr>
      </w:pPr>
      <w:r>
        <w:rPr>
          <w:noProof/>
          <w:lang w:eastAsia="es-MX"/>
        </w:rPr>
        <w:drawing>
          <wp:inline distT="0" distB="0" distL="0" distR="0" wp14:anchorId="1549D697" wp14:editId="4CBA18D9">
            <wp:extent cx="5612130" cy="4434205"/>
            <wp:effectExtent l="0" t="0" r="7620" b="0"/>
            <wp:docPr id="2123" name="Imagen 2122" descr="Gráficos que contienen las participaciones de mercado de los servicios de arrendamiento de enlaces, a nivel nacional, para el año 2017." title="Gráfico 7. Participaciones de mercado de los servicios de arrendamiento de enlaces, a nivel naciona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 name="Imagen 2122"/>
                    <pic:cNvPicPr>
                      <a:picLocks noChangeAspect="1"/>
                    </pic:cNvPicPr>
                  </pic:nvPicPr>
                  <pic:blipFill>
                    <a:blip r:embed="rId15"/>
                    <a:stretch>
                      <a:fillRect/>
                    </a:stretch>
                  </pic:blipFill>
                  <pic:spPr>
                    <a:xfrm>
                      <a:off x="0" y="0"/>
                      <a:ext cx="5612130" cy="4434205"/>
                    </a:xfrm>
                    <a:prstGeom prst="rect">
                      <a:avLst/>
                    </a:prstGeom>
                  </pic:spPr>
                </pic:pic>
              </a:graphicData>
            </a:graphic>
          </wp:inline>
        </w:drawing>
      </w:r>
      <w:r w:rsidR="00086510">
        <w:rPr>
          <w:sz w:val="16"/>
          <w:szCs w:val="16"/>
        </w:rPr>
        <w:t>Notas:</w:t>
      </w:r>
    </w:p>
    <w:p w14:paraId="7955B7F9" w14:textId="77777777" w:rsidR="00086510"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\a</w:t>
      </w:r>
      <w:r w:rsidRPr="00A022F6">
        <w:rPr>
          <w:sz w:val="16"/>
          <w:szCs w:val="16"/>
        </w:rPr>
        <w:t xml:space="preserve"> </w:t>
      </w:r>
      <w:r>
        <w:rPr>
          <w:sz w:val="16"/>
          <w:szCs w:val="16"/>
        </w:rPr>
        <w:t>Los ingresos de ATC i</w:t>
      </w:r>
      <w:r w:rsidRPr="00673243">
        <w:rPr>
          <w:sz w:val="16"/>
          <w:szCs w:val="16"/>
        </w:rPr>
        <w:t>ncluye</w:t>
      </w:r>
      <w:r>
        <w:rPr>
          <w:sz w:val="16"/>
          <w:szCs w:val="16"/>
        </w:rPr>
        <w:t>n</w:t>
      </w:r>
      <w:r w:rsidRPr="00673243">
        <w:rPr>
          <w:sz w:val="16"/>
          <w:szCs w:val="16"/>
        </w:rPr>
        <w:t xml:space="preserve"> los ingresos de Metro Net de enero a octubre de dos mil diecisiete y de </w:t>
      </w:r>
      <w:r>
        <w:rPr>
          <w:sz w:val="16"/>
          <w:szCs w:val="16"/>
        </w:rPr>
        <w:t>CFCA Telecomm</w:t>
      </w:r>
      <w:r w:rsidRPr="00673243">
        <w:rPr>
          <w:sz w:val="16"/>
          <w:szCs w:val="16"/>
        </w:rPr>
        <w:t xml:space="preserve"> </w:t>
      </w:r>
      <w:r>
        <w:rPr>
          <w:sz w:val="16"/>
          <w:szCs w:val="16"/>
        </w:rPr>
        <w:t xml:space="preserve">de </w:t>
      </w:r>
      <w:r w:rsidRPr="00673243">
        <w:rPr>
          <w:sz w:val="16"/>
          <w:szCs w:val="16"/>
        </w:rPr>
        <w:t xml:space="preserve">noviembre a diciembre de dos </w:t>
      </w:r>
      <w:r>
        <w:rPr>
          <w:sz w:val="16"/>
          <w:szCs w:val="16"/>
        </w:rPr>
        <w:t>mil diecisiete.</w:t>
      </w:r>
    </w:p>
    <w:p w14:paraId="687FC3F1" w14:textId="77777777" w:rsidR="00086510"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\b</w:t>
      </w:r>
      <w:r w:rsidRPr="00884AD8">
        <w:rPr>
          <w:sz w:val="16"/>
          <w:szCs w:val="16"/>
        </w:rPr>
        <w:t xml:space="preserve"> </w:t>
      </w:r>
      <w:r w:rsidRPr="00B20DC1">
        <w:rPr>
          <w:sz w:val="16"/>
          <w:szCs w:val="16"/>
        </w:rPr>
        <w:t xml:space="preserve">Los </w:t>
      </w:r>
      <w:r>
        <w:rPr>
          <w:sz w:val="16"/>
          <w:szCs w:val="16"/>
        </w:rPr>
        <w:t>i</w:t>
      </w:r>
      <w:r w:rsidRPr="00B20DC1">
        <w:rPr>
          <w:sz w:val="16"/>
          <w:szCs w:val="16"/>
        </w:rPr>
        <w:t>ngresos de AMX</w:t>
      </w:r>
      <w:r>
        <w:rPr>
          <w:sz w:val="16"/>
          <w:szCs w:val="16"/>
        </w:rPr>
        <w:t>/Telesites</w:t>
      </w:r>
      <w:r w:rsidRPr="00B20DC1">
        <w:rPr>
          <w:sz w:val="16"/>
          <w:szCs w:val="16"/>
        </w:rPr>
        <w:t xml:space="preserve"> desagregados por tipo de cliente </w:t>
      </w:r>
      <w:r>
        <w:rPr>
          <w:sz w:val="16"/>
          <w:szCs w:val="16"/>
        </w:rPr>
        <w:t xml:space="preserve">se estimaron a partir de </w:t>
      </w:r>
      <w:r w:rsidRPr="00B20DC1">
        <w:rPr>
          <w:sz w:val="16"/>
          <w:szCs w:val="16"/>
        </w:rPr>
        <w:t>los ingresos provenientes de partes relacionadas</w:t>
      </w:r>
      <w:r>
        <w:rPr>
          <w:sz w:val="16"/>
          <w:szCs w:val="16"/>
        </w:rPr>
        <w:t xml:space="preserve"> del grupo</w:t>
      </w:r>
      <w:r w:rsidRPr="00B20DC1">
        <w:rPr>
          <w:sz w:val="16"/>
          <w:szCs w:val="16"/>
        </w:rPr>
        <w:t>.</w:t>
      </w:r>
      <w:r>
        <w:rPr>
          <w:sz w:val="16"/>
          <w:szCs w:val="16"/>
        </w:rPr>
        <w:t xml:space="preserve"> Fojas 7911, 7912 y </w:t>
      </w:r>
      <w:r w:rsidRPr="00C15DE4">
        <w:rPr>
          <w:sz w:val="16"/>
          <w:szCs w:val="16"/>
        </w:rPr>
        <w:t>8738</w:t>
      </w:r>
      <w:r>
        <w:rPr>
          <w:sz w:val="16"/>
          <w:szCs w:val="16"/>
        </w:rPr>
        <w:t xml:space="preserve"> del Expediente.</w:t>
      </w:r>
    </w:p>
    <w:p w14:paraId="088CD164" w14:textId="77777777" w:rsidR="00086510" w:rsidRPr="002E7F90"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\c</w:t>
      </w:r>
      <w:r w:rsidRPr="0049687A">
        <w:rPr>
          <w:sz w:val="16"/>
          <w:szCs w:val="16"/>
        </w:rPr>
        <w:t xml:space="preserve"> </w:t>
      </w:r>
      <w:r w:rsidRPr="003E0D85">
        <w:rPr>
          <w:spacing w:val="-4"/>
          <w:sz w:val="16"/>
          <w:szCs w:val="16"/>
        </w:rPr>
        <w:t xml:space="preserve">Los ingresos de Total Play podrían estar sobre estimados, </w:t>
      </w:r>
      <w:r w:rsidR="005870A1" w:rsidRPr="006A1598">
        <w:rPr>
          <w:b/>
          <w:bCs/>
          <w:color w:val="0000CC"/>
          <w:sz w:val="16"/>
          <w:szCs w:val="16"/>
        </w:rPr>
        <w:t>“CONFIDENCIAL POR LEY”</w:t>
      </w:r>
      <w:r w:rsidRPr="003E0D85">
        <w:rPr>
          <w:spacing w:val="-4"/>
          <w:sz w:val="16"/>
          <w:szCs w:val="16"/>
        </w:rPr>
        <w:t xml:space="preserve">. Fojas 321, 6466 a 6468 y 6472 a </w:t>
      </w:r>
      <w:r w:rsidR="003E0D85" w:rsidRPr="003E0D85">
        <w:rPr>
          <w:spacing w:val="-4"/>
          <w:sz w:val="16"/>
          <w:szCs w:val="16"/>
        </w:rPr>
        <w:t>6475 del Expediente.</w:t>
      </w:r>
    </w:p>
    <w:p w14:paraId="1D499ED4" w14:textId="77777777" w:rsidR="00086510" w:rsidRDefault="00086510" w:rsidP="00CE4576">
      <w:pPr>
        <w:pStyle w:val="Prrafodelista"/>
        <w:keepNext/>
        <w:keepLines/>
        <w:spacing w:after="0" w:line="240" w:lineRule="auto"/>
        <w:ind w:left="0"/>
        <w:contextualSpacing w:val="0"/>
        <w:jc w:val="both"/>
        <w:rPr>
          <w:sz w:val="16"/>
          <w:szCs w:val="16"/>
        </w:rPr>
      </w:pPr>
      <w:r>
        <w:rPr>
          <w:sz w:val="16"/>
          <w:szCs w:val="16"/>
          <w:vertAlign w:val="superscript"/>
        </w:rPr>
        <w:t>\d</w:t>
      </w:r>
      <w:r>
        <w:rPr>
          <w:sz w:val="16"/>
          <w:szCs w:val="16"/>
        </w:rPr>
        <w:t xml:space="preserve"> </w:t>
      </w:r>
      <w:r w:rsidRPr="00F83937">
        <w:rPr>
          <w:sz w:val="16"/>
          <w:szCs w:val="16"/>
        </w:rPr>
        <w:t>Los ingresos de TVI y Cablemás</w:t>
      </w:r>
      <w:r>
        <w:rPr>
          <w:sz w:val="16"/>
          <w:szCs w:val="16"/>
        </w:rPr>
        <w:t>,</w:t>
      </w:r>
      <w:r w:rsidRPr="00F83937">
        <w:rPr>
          <w:sz w:val="16"/>
          <w:szCs w:val="16"/>
        </w:rPr>
        <w:t xml:space="preserve"> </w:t>
      </w:r>
      <w:r>
        <w:rPr>
          <w:sz w:val="16"/>
          <w:szCs w:val="16"/>
        </w:rPr>
        <w:t>desagregados por tipo de cobertura, se estimaron con base en la distribución de los ingresos del resto de las sociedades de GTV.</w:t>
      </w:r>
    </w:p>
    <w:p w14:paraId="2C5EF904" w14:textId="77777777" w:rsidR="00086510" w:rsidRDefault="00086510" w:rsidP="00CE4576">
      <w:pPr>
        <w:pStyle w:val="Prrafodelista"/>
        <w:keepNext/>
        <w:keepLines/>
        <w:spacing w:after="0" w:line="240" w:lineRule="auto"/>
        <w:ind w:left="0"/>
        <w:contextualSpacing w:val="0"/>
        <w:jc w:val="both"/>
        <w:rPr>
          <w:sz w:val="16"/>
          <w:szCs w:val="16"/>
        </w:rPr>
      </w:pPr>
      <w:r w:rsidRPr="00FD0906">
        <w:rPr>
          <w:sz w:val="16"/>
          <w:szCs w:val="16"/>
          <w:vertAlign w:val="superscript"/>
        </w:rPr>
        <w:t>\</w:t>
      </w:r>
      <w:r>
        <w:rPr>
          <w:sz w:val="16"/>
          <w:szCs w:val="16"/>
          <w:vertAlign w:val="superscript"/>
        </w:rPr>
        <w:t>e</w:t>
      </w:r>
      <w:r w:rsidRPr="00FD0906">
        <w:rPr>
          <w:sz w:val="16"/>
          <w:szCs w:val="16"/>
        </w:rPr>
        <w:t xml:space="preserve"> </w:t>
      </w:r>
      <w:r>
        <w:rPr>
          <w:sz w:val="16"/>
          <w:szCs w:val="16"/>
        </w:rPr>
        <w:t>Las participaciones de GTV se calcularon con información de Bestel, Metrored y Telecable.</w:t>
      </w:r>
    </w:p>
    <w:p w14:paraId="5283EBAA" w14:textId="77777777" w:rsidR="00086510" w:rsidRDefault="00086510" w:rsidP="00CE4576">
      <w:pPr>
        <w:pStyle w:val="Prrafodelista"/>
        <w:keepNext/>
        <w:keepLines/>
        <w:spacing w:after="0" w:line="240" w:lineRule="auto"/>
        <w:ind w:left="0"/>
        <w:contextualSpacing w:val="0"/>
        <w:jc w:val="both"/>
        <w:rPr>
          <w:sz w:val="16"/>
          <w:szCs w:val="16"/>
        </w:rPr>
      </w:pPr>
      <w:r>
        <w:rPr>
          <w:sz w:val="16"/>
          <w:szCs w:val="16"/>
          <w:vertAlign w:val="superscript"/>
        </w:rPr>
        <w:t>\f</w:t>
      </w:r>
      <w:r>
        <w:rPr>
          <w:sz w:val="16"/>
          <w:szCs w:val="16"/>
        </w:rPr>
        <w:t xml:space="preserve"> Local: servicio de arrendamiento de enlaces dedicados locales.</w:t>
      </w:r>
    </w:p>
    <w:p w14:paraId="29F4B11A" w14:textId="77777777" w:rsidR="00086510" w:rsidRDefault="00086510" w:rsidP="00CE4576">
      <w:pPr>
        <w:pStyle w:val="Prrafodelista"/>
        <w:keepNext/>
        <w:keepLines/>
        <w:spacing w:after="0" w:line="240" w:lineRule="auto"/>
        <w:ind w:left="0"/>
        <w:contextualSpacing w:val="0"/>
        <w:jc w:val="both"/>
        <w:rPr>
          <w:sz w:val="16"/>
          <w:szCs w:val="16"/>
        </w:rPr>
      </w:pPr>
      <w:r>
        <w:rPr>
          <w:sz w:val="16"/>
          <w:szCs w:val="16"/>
          <w:vertAlign w:val="superscript"/>
        </w:rPr>
        <w:t>\g</w:t>
      </w:r>
      <w:r>
        <w:rPr>
          <w:sz w:val="16"/>
          <w:szCs w:val="16"/>
        </w:rPr>
        <w:t xml:space="preserve"> LDN: servicio de arrendamiento de enlaces dedicados de larga distancia nacional.</w:t>
      </w:r>
    </w:p>
    <w:p w14:paraId="2B3AEBD8" w14:textId="77777777" w:rsidR="00086510" w:rsidRPr="00A022F6" w:rsidRDefault="00086510" w:rsidP="00CE4576">
      <w:pPr>
        <w:pStyle w:val="Prrafodelista"/>
        <w:keepNext/>
        <w:keepLines/>
        <w:spacing w:after="0" w:line="240" w:lineRule="auto"/>
        <w:ind w:left="0"/>
        <w:contextualSpacing w:val="0"/>
        <w:jc w:val="both"/>
        <w:rPr>
          <w:sz w:val="16"/>
          <w:szCs w:val="16"/>
        </w:rPr>
      </w:pPr>
      <w:r w:rsidRPr="00CF4243">
        <w:rPr>
          <w:sz w:val="16"/>
          <w:szCs w:val="16"/>
          <w:vertAlign w:val="superscript"/>
        </w:rPr>
        <w:t>\</w:t>
      </w:r>
      <w:r>
        <w:rPr>
          <w:sz w:val="16"/>
          <w:szCs w:val="16"/>
          <w:vertAlign w:val="superscript"/>
        </w:rPr>
        <w:t>h</w:t>
      </w:r>
      <w:r>
        <w:rPr>
          <w:sz w:val="16"/>
          <w:szCs w:val="16"/>
        </w:rPr>
        <w:t xml:space="preserve"> LDI: servicio de arrendamiento de enlaces dedicados de larga distancia internacional.</w:t>
      </w:r>
    </w:p>
    <w:p w14:paraId="0E767631" w14:textId="77777777" w:rsidR="00086510" w:rsidRDefault="00086510" w:rsidP="00CE4576">
      <w:pPr>
        <w:keepNext/>
        <w:keepLines/>
        <w:spacing w:after="0"/>
        <w:jc w:val="both"/>
        <w:rPr>
          <w:sz w:val="16"/>
          <w:szCs w:val="16"/>
        </w:rPr>
      </w:pPr>
      <w:r w:rsidRPr="00DD0617">
        <w:rPr>
          <w:sz w:val="16"/>
          <w:szCs w:val="16"/>
        </w:rPr>
        <w:t xml:space="preserve">Fuente: </w:t>
      </w:r>
      <w:r>
        <w:rPr>
          <w:sz w:val="16"/>
          <w:szCs w:val="16"/>
        </w:rPr>
        <w:t xml:space="preserve">Elaboración propia con base en información sobre ingresos por arrendamiento de enlaces proporcionada por AMX/Telesites, Axtel, CFCA Telecomm (o Telco), GTAC, GTV, IP Matrix, Megacable, Metro Net, Pegaso, Total Play. Fojas: 321, </w:t>
      </w:r>
      <w:r w:rsidRPr="001464C5">
        <w:rPr>
          <w:sz w:val="16"/>
          <w:szCs w:val="16"/>
        </w:rPr>
        <w:t>3238, 3411, 3414, 3417, 3472,</w:t>
      </w:r>
      <w:r>
        <w:rPr>
          <w:sz w:val="16"/>
          <w:szCs w:val="16"/>
        </w:rPr>
        <w:t xml:space="preserve"> 3556, 3559, 3756, </w:t>
      </w:r>
      <w:r w:rsidRPr="006F0935">
        <w:rPr>
          <w:sz w:val="16"/>
          <w:szCs w:val="16"/>
        </w:rPr>
        <w:t>4870, 4899, 4901, 4918</w:t>
      </w:r>
      <w:r>
        <w:rPr>
          <w:sz w:val="16"/>
          <w:szCs w:val="16"/>
        </w:rPr>
        <w:t>,</w:t>
      </w:r>
      <w:r w:rsidRPr="006F0935">
        <w:rPr>
          <w:sz w:val="16"/>
          <w:szCs w:val="16"/>
        </w:rPr>
        <w:t xml:space="preserve"> </w:t>
      </w:r>
      <w:r>
        <w:rPr>
          <w:sz w:val="16"/>
          <w:szCs w:val="16"/>
        </w:rPr>
        <w:t xml:space="preserve">5084, </w:t>
      </w:r>
      <w:r w:rsidRPr="00871D0D">
        <w:rPr>
          <w:sz w:val="16"/>
          <w:szCs w:val="16"/>
        </w:rPr>
        <w:t>5462, 5538</w:t>
      </w:r>
      <w:r>
        <w:rPr>
          <w:sz w:val="16"/>
          <w:szCs w:val="16"/>
        </w:rPr>
        <w:t xml:space="preserve"> a </w:t>
      </w:r>
      <w:r w:rsidRPr="00871D0D">
        <w:rPr>
          <w:sz w:val="16"/>
          <w:szCs w:val="16"/>
        </w:rPr>
        <w:t>5539, 5620</w:t>
      </w:r>
      <w:r>
        <w:rPr>
          <w:sz w:val="16"/>
          <w:szCs w:val="16"/>
        </w:rPr>
        <w:t xml:space="preserve">, 5969 a 5973, 7174, 6096, 6097, 6128, 6459, 6507, </w:t>
      </w:r>
      <w:r w:rsidRPr="00871D0D">
        <w:rPr>
          <w:sz w:val="16"/>
          <w:szCs w:val="16"/>
        </w:rPr>
        <w:t>6748, 6856, 6858, 6860</w:t>
      </w:r>
      <w:r>
        <w:rPr>
          <w:sz w:val="16"/>
          <w:szCs w:val="16"/>
        </w:rPr>
        <w:t>, 6917, 6924, 6927, 6928, 6972, 7883, 8077, 8080, 8083, 8113, 8741 y</w:t>
      </w:r>
      <w:r w:rsidRPr="00871D0D">
        <w:rPr>
          <w:sz w:val="16"/>
          <w:szCs w:val="16"/>
        </w:rPr>
        <w:t xml:space="preserve"> </w:t>
      </w:r>
      <w:r w:rsidRPr="00A71CEF">
        <w:rPr>
          <w:sz w:val="16"/>
          <w:szCs w:val="16"/>
        </w:rPr>
        <w:t>8746</w:t>
      </w:r>
      <w:r w:rsidRPr="00871D0D">
        <w:rPr>
          <w:sz w:val="16"/>
          <w:szCs w:val="16"/>
        </w:rPr>
        <w:t xml:space="preserve"> </w:t>
      </w:r>
      <w:r>
        <w:rPr>
          <w:sz w:val="16"/>
          <w:szCs w:val="16"/>
        </w:rPr>
        <w:t>del Expediente.</w:t>
      </w:r>
    </w:p>
    <w:p w14:paraId="71A0FC88" w14:textId="77777777" w:rsidR="00086510" w:rsidRDefault="00086510" w:rsidP="009B0A36">
      <w:pPr>
        <w:pStyle w:val="Prrafodelista"/>
        <w:numPr>
          <w:ilvl w:val="0"/>
          <w:numId w:val="13"/>
        </w:numPr>
        <w:spacing w:before="120" w:after="120" w:line="240" w:lineRule="auto"/>
        <w:contextualSpacing w:val="0"/>
        <w:jc w:val="both"/>
        <w:rPr>
          <w:szCs w:val="16"/>
        </w:rPr>
      </w:pPr>
      <w:r w:rsidRPr="00464E5F">
        <w:rPr>
          <w:szCs w:val="16"/>
        </w:rPr>
        <w:t xml:space="preserve">Del </w:t>
      </w:r>
      <w:r>
        <w:rPr>
          <w:szCs w:val="16"/>
        </w:rPr>
        <w:t>G</w:t>
      </w:r>
      <w:r w:rsidRPr="00464E5F">
        <w:rPr>
          <w:szCs w:val="16"/>
        </w:rPr>
        <w:t xml:space="preserve">ráfico </w:t>
      </w:r>
      <w:r>
        <w:rPr>
          <w:szCs w:val="16"/>
        </w:rPr>
        <w:t>7</w:t>
      </w:r>
      <w:r w:rsidRPr="00464E5F">
        <w:rPr>
          <w:szCs w:val="16"/>
        </w:rPr>
        <w:t xml:space="preserve">, se advierte que, en la mayoría de los mercados relevantes, ATC posee </w:t>
      </w:r>
      <w:r>
        <w:rPr>
          <w:szCs w:val="16"/>
        </w:rPr>
        <w:t>participaciones</w:t>
      </w:r>
      <w:r w:rsidRPr="00464E5F">
        <w:rPr>
          <w:szCs w:val="16"/>
        </w:rPr>
        <w:t xml:space="preserve"> de mercado marginales (</w:t>
      </w:r>
      <w:r>
        <w:rPr>
          <w:szCs w:val="16"/>
        </w:rPr>
        <w:t>entre 0.1% y</w:t>
      </w:r>
      <w:r w:rsidRPr="00464E5F">
        <w:rPr>
          <w:szCs w:val="16"/>
        </w:rPr>
        <w:t xml:space="preserve"> 2.9%) y ocupa el quinto, sexto </w:t>
      </w:r>
      <w:r>
        <w:rPr>
          <w:szCs w:val="16"/>
        </w:rPr>
        <w:t>y</w:t>
      </w:r>
      <w:r w:rsidRPr="00464E5F">
        <w:rPr>
          <w:szCs w:val="16"/>
        </w:rPr>
        <w:t xml:space="preserve"> séptimo lugar en importancia. Solo en los mercados mayoristas de arrendamiento de enlaces dedicados Ethernet, la participación de mercado de ATC supera el 5%. En estos mercados, ATC ocupa la segunda, tercera</w:t>
      </w:r>
      <w:r>
        <w:rPr>
          <w:szCs w:val="16"/>
        </w:rPr>
        <w:t xml:space="preserve"> y</w:t>
      </w:r>
      <w:r w:rsidRPr="00464E5F">
        <w:rPr>
          <w:szCs w:val="16"/>
        </w:rPr>
        <w:t xml:space="preserve"> quinta </w:t>
      </w:r>
      <w:r w:rsidRPr="00464E5F">
        <w:rPr>
          <w:szCs w:val="16"/>
        </w:rPr>
        <w:lastRenderedPageBreak/>
        <w:t xml:space="preserve">posición en importancia con </w:t>
      </w:r>
      <w:r>
        <w:rPr>
          <w:szCs w:val="16"/>
        </w:rPr>
        <w:t>participaciones de mercado de 19.6%, 9.2% y</w:t>
      </w:r>
      <w:r w:rsidRPr="00464E5F">
        <w:rPr>
          <w:szCs w:val="16"/>
        </w:rPr>
        <w:t xml:space="preserve"> 5.3%</w:t>
      </w:r>
      <w:r>
        <w:rPr>
          <w:szCs w:val="16"/>
        </w:rPr>
        <w:t>,</w:t>
      </w:r>
      <w:r w:rsidRPr="00464E5F">
        <w:rPr>
          <w:szCs w:val="16"/>
        </w:rPr>
        <w:t xml:space="preserve"> en los servicios de arrendamiento de enlaces dedicados Ethernet locales, de larga distancia internacional</w:t>
      </w:r>
      <w:r>
        <w:rPr>
          <w:szCs w:val="16"/>
        </w:rPr>
        <w:t xml:space="preserve"> y</w:t>
      </w:r>
      <w:r w:rsidRPr="00464E5F">
        <w:rPr>
          <w:szCs w:val="16"/>
        </w:rPr>
        <w:t xml:space="preserve"> </w:t>
      </w:r>
      <w:r>
        <w:rPr>
          <w:szCs w:val="16"/>
        </w:rPr>
        <w:t>de larga distancia nacional</w:t>
      </w:r>
      <w:r w:rsidRPr="00464E5F">
        <w:rPr>
          <w:szCs w:val="16"/>
        </w:rPr>
        <w:t>, respectivamente. En este sentido, existen operadores mejor posicionados que ATC en cada uno de estos mercados, como AMX</w:t>
      </w:r>
      <w:r>
        <w:rPr>
          <w:szCs w:val="16"/>
        </w:rPr>
        <w:t>/Telesites,</w:t>
      </w:r>
      <w:r w:rsidRPr="00464E5F">
        <w:rPr>
          <w:szCs w:val="16"/>
        </w:rPr>
        <w:t xml:space="preserve"> quien es líder en la mayoría de ellos.</w:t>
      </w:r>
    </w:p>
    <w:p w14:paraId="4804D93A" w14:textId="77777777" w:rsidR="00086510" w:rsidRDefault="00086510" w:rsidP="009B0A36">
      <w:pPr>
        <w:pStyle w:val="Prrafodelista"/>
        <w:numPr>
          <w:ilvl w:val="0"/>
          <w:numId w:val="13"/>
        </w:numPr>
        <w:spacing w:before="120" w:after="120" w:line="240" w:lineRule="auto"/>
        <w:contextualSpacing w:val="0"/>
        <w:jc w:val="both"/>
      </w:pPr>
      <w:r w:rsidRPr="00B9381C">
        <w:rPr>
          <w:szCs w:val="16"/>
        </w:rPr>
        <w:t>Adicionalmente</w:t>
      </w:r>
      <w:r w:rsidRPr="00816141">
        <w:t>, para proveer los servicios de arrendamiento de enlaces dedicados es necesario contar con una red de telecomunicaciones propia, arrendar capacidad o arrendar infraestructura de terceros. En México, en dos mil diecisiete</w:t>
      </w:r>
      <w:r>
        <w:t>,</w:t>
      </w:r>
      <w:r w:rsidRPr="00816141">
        <w:t xml:space="preserve"> AMX</w:t>
      </w:r>
      <w:r>
        <w:t>/Telesites</w:t>
      </w:r>
      <w:r w:rsidRPr="00816141">
        <w:t xml:space="preserve"> </w:t>
      </w:r>
      <w:r>
        <w:t>poseía</w:t>
      </w:r>
      <w:r w:rsidRPr="00816141">
        <w:t xml:space="preserve"> la red </w:t>
      </w:r>
      <w:r>
        <w:t xml:space="preserve">de </w:t>
      </w:r>
      <w:r w:rsidRPr="00816141">
        <w:t xml:space="preserve">fibra óptica más extensa del país con </w:t>
      </w:r>
      <w:r w:rsidR="005870A1" w:rsidRPr="005870A1">
        <w:rPr>
          <w:b/>
          <w:bCs/>
          <w:color w:val="0000CC"/>
        </w:rPr>
        <w:t>“CONFIDENCIAL POR LEY”</w:t>
      </w:r>
      <w:r w:rsidRPr="00816141">
        <w:t xml:space="preserve"> </w:t>
      </w:r>
      <w:r>
        <w:t>del</w:t>
      </w:r>
      <w:r w:rsidRPr="00816141">
        <w:t xml:space="preserve"> total</w:t>
      </w:r>
      <w:r>
        <w:t xml:space="preserve"> de kilómetros de red</w:t>
      </w:r>
      <w:r w:rsidRPr="00816141">
        <w:t xml:space="preserve">, seguido de otros operadores como Total Play, Axtel y </w:t>
      </w:r>
      <w:r>
        <w:t>Megacable</w:t>
      </w:r>
      <w:r w:rsidRPr="00816141">
        <w:t>, los cuales pose</w:t>
      </w:r>
      <w:r>
        <w:t>ían</w:t>
      </w:r>
      <w:r w:rsidRPr="00816141">
        <w:t xml:space="preserve"> </w:t>
      </w:r>
      <w:r w:rsidR="005870A1" w:rsidRPr="005870A1">
        <w:rPr>
          <w:b/>
          <w:bCs/>
          <w:color w:val="0000CC"/>
        </w:rPr>
        <w:t>“CONFIDENCIAL POR LEY”</w:t>
      </w:r>
      <w:r w:rsidRPr="00816141">
        <w:t xml:space="preserve"> de la red de fibra óptica, respectivamente. Por su parte, ATC poseía</w:t>
      </w:r>
      <w:r>
        <w:t xml:space="preserve"> solamente</w:t>
      </w:r>
      <w:r w:rsidRPr="00816141">
        <w:t xml:space="preserve"> </w:t>
      </w:r>
      <w:r w:rsidR="005870A1" w:rsidRPr="005870A1">
        <w:rPr>
          <w:b/>
          <w:bCs/>
          <w:color w:val="0000CC"/>
        </w:rPr>
        <w:t>“CONFIDENCIAL POR LEY”</w:t>
      </w:r>
      <w:r w:rsidRPr="00816141">
        <w:t xml:space="preserve"> del total de la red de fibra óptica</w:t>
      </w:r>
      <w:r>
        <w:t>,</w:t>
      </w:r>
      <w:r w:rsidRPr="00816141">
        <w:rPr>
          <w:rStyle w:val="Refdenotaalpie"/>
        </w:rPr>
        <w:footnoteReference w:id="249"/>
      </w:r>
      <w:r w:rsidRPr="00816141">
        <w:t xml:space="preserve"> </w:t>
      </w:r>
      <w:r>
        <w:t>p</w:t>
      </w:r>
      <w:r w:rsidRPr="00816141">
        <w:t>or lo q</w:t>
      </w:r>
      <w:r>
        <w:t>ue no acapara este insumo.</w:t>
      </w:r>
    </w:p>
    <w:p w14:paraId="7D0E6E98" w14:textId="77777777" w:rsidR="00086510" w:rsidRPr="00F14AED" w:rsidRDefault="00086510" w:rsidP="009B0A36">
      <w:pPr>
        <w:pStyle w:val="Prrafodelista"/>
        <w:numPr>
          <w:ilvl w:val="0"/>
          <w:numId w:val="13"/>
        </w:numPr>
        <w:spacing w:before="120" w:after="120" w:line="240" w:lineRule="auto"/>
        <w:contextualSpacing w:val="0"/>
        <w:jc w:val="both"/>
      </w:pPr>
      <w:r w:rsidRPr="00816141">
        <w:t xml:space="preserve">En </w:t>
      </w:r>
      <w:r w:rsidRPr="00B9381C">
        <w:rPr>
          <w:szCs w:val="16"/>
        </w:rPr>
        <w:t>lo</w:t>
      </w:r>
      <w:r w:rsidRPr="00816141">
        <w:t xml:space="preserve"> que respecta a infraestructura</w:t>
      </w:r>
      <w:r>
        <w:t xml:space="preserve"> pasiva</w:t>
      </w:r>
      <w:r w:rsidRPr="00816141">
        <w:t xml:space="preserve"> propia</w:t>
      </w:r>
      <w:r>
        <w:t>,</w:t>
      </w:r>
      <w:r w:rsidRPr="00816141">
        <w:t xml:space="preserve"> en dos mil diecisiete</w:t>
      </w:r>
      <w:r>
        <w:t>,</w:t>
      </w:r>
      <w:r w:rsidRPr="00816141">
        <w:t xml:space="preserve"> ATC pose</w:t>
      </w:r>
      <w:r>
        <w:t>ía</w:t>
      </w:r>
      <w:r w:rsidRPr="00816141">
        <w:t xml:space="preserve"> </w:t>
      </w:r>
      <w:r w:rsidR="005870A1" w:rsidRPr="005870A1">
        <w:rPr>
          <w:b/>
          <w:bCs/>
          <w:color w:val="0000CC"/>
        </w:rPr>
        <w:t>“CONFIDENCIAL POR LEY”</w:t>
      </w:r>
      <w:r w:rsidRPr="00816141">
        <w:t xml:space="preserve"> del total de postes del país, </w:t>
      </w:r>
      <w:r w:rsidR="005870A1" w:rsidRPr="005870A1">
        <w:rPr>
          <w:b/>
          <w:bCs/>
          <w:color w:val="0000CC"/>
        </w:rPr>
        <w:t>“CONFIDENCIAL POR LEY”</w:t>
      </w:r>
      <w:r w:rsidRPr="00816141">
        <w:t xml:space="preserve"> del total de kilómetros de ductos y </w:t>
      </w:r>
      <w:r w:rsidR="005870A1" w:rsidRPr="005870A1">
        <w:rPr>
          <w:b/>
          <w:bCs/>
          <w:color w:val="0000CC"/>
        </w:rPr>
        <w:t>“CONFIDENCIAL POR LEY”</w:t>
      </w:r>
      <w:r w:rsidRPr="00816141">
        <w:t xml:space="preserve"> del total de registros, mientras que la postería de CFE </w:t>
      </w:r>
      <w:r w:rsidR="00FC57D6">
        <w:t xml:space="preserve">Distribución </w:t>
      </w:r>
      <w:r w:rsidRPr="00816141">
        <w:t>representa</w:t>
      </w:r>
      <w:r>
        <w:t>ba</w:t>
      </w:r>
      <w:r w:rsidRPr="00816141">
        <w:t xml:space="preserve"> </w:t>
      </w:r>
      <w:r w:rsidR="008603BC" w:rsidRPr="005870A1">
        <w:rPr>
          <w:b/>
          <w:bCs/>
          <w:color w:val="0000CC"/>
        </w:rPr>
        <w:t>“CONFIDENCIAL POR LEY”</w:t>
      </w:r>
      <w:r w:rsidRPr="00816141">
        <w:t xml:space="preserve"> del total de postes del país, y la de AMX</w:t>
      </w:r>
      <w:r>
        <w:t>/Telesites</w:t>
      </w:r>
      <w:r w:rsidRPr="00816141">
        <w:t xml:space="preserve"> </w:t>
      </w:r>
      <w:r w:rsidR="008603BC" w:rsidRPr="005870A1">
        <w:rPr>
          <w:b/>
          <w:bCs/>
          <w:color w:val="0000CC"/>
        </w:rPr>
        <w:t>“CONFIDENCIAL POR LEY”</w:t>
      </w:r>
      <w:r w:rsidRPr="00816141">
        <w:t>.</w:t>
      </w:r>
      <w:r w:rsidR="008603BC">
        <w:t xml:space="preserve"> </w:t>
      </w:r>
      <w:r w:rsidRPr="00816141">
        <w:t>Asimismo, AMX</w:t>
      </w:r>
      <w:r>
        <w:t>/Telesites</w:t>
      </w:r>
      <w:r w:rsidRPr="00816141">
        <w:t xml:space="preserve"> pose</w:t>
      </w:r>
      <w:r>
        <w:t>ía</w:t>
      </w:r>
      <w:r w:rsidRPr="00816141">
        <w:t xml:space="preserve"> el </w:t>
      </w:r>
      <w:r w:rsidR="008603BC" w:rsidRPr="005870A1">
        <w:rPr>
          <w:b/>
          <w:bCs/>
          <w:color w:val="0000CC"/>
        </w:rPr>
        <w:t>“CONFIDENCIAL POR LEY”</w:t>
      </w:r>
      <w:r w:rsidRPr="00816141">
        <w:t xml:space="preserve"> del total de kilómetros de ductos de país y el </w:t>
      </w:r>
      <w:r w:rsidR="008603BC" w:rsidRPr="005870A1">
        <w:rPr>
          <w:b/>
          <w:bCs/>
          <w:color w:val="0000CC"/>
        </w:rPr>
        <w:t>“CONFIDENCIAL POR LEY”</w:t>
      </w:r>
      <w:r w:rsidRPr="00816141">
        <w:t xml:space="preserve"> del total de registros.</w:t>
      </w:r>
      <w:r w:rsidRPr="00816141">
        <w:rPr>
          <w:rStyle w:val="Refdenotaalpie"/>
        </w:rPr>
        <w:footnoteReference w:id="250"/>
      </w:r>
      <w:r w:rsidRPr="00816141">
        <w:t xml:space="preserve"> En este sentido, es posible concluir que ATC tampoco a</w:t>
      </w:r>
      <w:r>
        <w:t>ca</w:t>
      </w:r>
      <w:r w:rsidRPr="00816141">
        <w:t>para dichos insumos.</w:t>
      </w:r>
    </w:p>
    <w:p w14:paraId="2DB5A5F8" w14:textId="77777777" w:rsidR="00086510" w:rsidRDefault="00086510" w:rsidP="009B0A36">
      <w:pPr>
        <w:pStyle w:val="Prrafodelista"/>
        <w:numPr>
          <w:ilvl w:val="0"/>
          <w:numId w:val="13"/>
        </w:numPr>
        <w:spacing w:before="120" w:after="120" w:line="240" w:lineRule="auto"/>
        <w:contextualSpacing w:val="0"/>
        <w:jc w:val="both"/>
      </w:pPr>
      <w:r>
        <w:t xml:space="preserve">De lo </w:t>
      </w:r>
      <w:r w:rsidRPr="00B9381C">
        <w:rPr>
          <w:szCs w:val="16"/>
        </w:rPr>
        <w:t>señalado</w:t>
      </w:r>
      <w:r>
        <w:t xml:space="preserve"> en los </w:t>
      </w:r>
      <w:r w:rsidRPr="00AC308D">
        <w:t xml:space="preserve">párrafos </w:t>
      </w:r>
      <w:r w:rsidR="00BD3666" w:rsidRPr="00AC308D">
        <w:t>23</w:t>
      </w:r>
      <w:r w:rsidR="006505DE" w:rsidRPr="00AC308D">
        <w:t>5</w:t>
      </w:r>
      <w:r w:rsidRPr="00AC308D">
        <w:t xml:space="preserve"> a </w:t>
      </w:r>
      <w:r w:rsidR="006505DE" w:rsidRPr="00AC308D">
        <w:t>240</w:t>
      </w:r>
      <w:r w:rsidRPr="00AC308D">
        <w:t>, se desprende</w:t>
      </w:r>
      <w:r>
        <w:t xml:space="preserve"> que, en todos los mercados relevantes, existen competidores mejor posicionados capaces de ejercer presión competitiva </w:t>
      </w:r>
      <w:r w:rsidRPr="00816141">
        <w:t>sobre ATC.</w:t>
      </w:r>
    </w:p>
    <w:p w14:paraId="2CACF289" w14:textId="77777777" w:rsidR="00086510" w:rsidRDefault="00086510" w:rsidP="009B0A36">
      <w:pPr>
        <w:pStyle w:val="Ttulo4"/>
        <w:numPr>
          <w:ilvl w:val="3"/>
          <w:numId w:val="23"/>
        </w:numPr>
        <w:ind w:left="567" w:hanging="567"/>
        <w:jc w:val="both"/>
      </w:pPr>
      <w:bookmarkStart w:id="52" w:name="_Toc463297873"/>
      <w:bookmarkStart w:id="53" w:name="_Toc463624330"/>
      <w:r w:rsidRPr="00570DAF">
        <w:t xml:space="preserve">El comportamiento reciente del o los </w:t>
      </w:r>
      <w:r w:rsidR="00E30EEF">
        <w:t>a</w:t>
      </w:r>
      <w:r w:rsidRPr="00570DAF">
        <w:t xml:space="preserve">gentes </w:t>
      </w:r>
      <w:r w:rsidR="00E30EEF">
        <w:t>e</w:t>
      </w:r>
      <w:r w:rsidRPr="00570DAF">
        <w:t xml:space="preserve">conómicos </w:t>
      </w:r>
      <w:r>
        <w:t>que participan en dicho mercado</w:t>
      </w:r>
      <w:bookmarkEnd w:id="52"/>
      <w:bookmarkEnd w:id="53"/>
    </w:p>
    <w:p w14:paraId="01E14AA3" w14:textId="77777777" w:rsidR="00086510" w:rsidRDefault="00086510" w:rsidP="009B0A36">
      <w:pPr>
        <w:pStyle w:val="Prrafodelista"/>
        <w:numPr>
          <w:ilvl w:val="0"/>
          <w:numId w:val="13"/>
        </w:numPr>
        <w:spacing w:before="120" w:after="120" w:line="240" w:lineRule="auto"/>
        <w:contextualSpacing w:val="0"/>
        <w:jc w:val="both"/>
      </w:pPr>
      <w:r w:rsidRPr="009D03D4">
        <w:t xml:space="preserve">La fracción V del artículo 59 de la LFCE establece que para determinar si uno o varios </w:t>
      </w:r>
      <w:r w:rsidR="00E30EEF">
        <w:t>a</w:t>
      </w:r>
      <w:r w:rsidRPr="009D03D4">
        <w:t xml:space="preserve">gentes </w:t>
      </w:r>
      <w:r w:rsidR="00E30EEF">
        <w:t>e</w:t>
      </w:r>
      <w:r w:rsidRPr="009D03D4">
        <w:t>conómicos tienen poder sustancial en el mercado relevante, se debe analizar:</w:t>
      </w:r>
    </w:p>
    <w:p w14:paraId="3AF91307" w14:textId="77777777" w:rsidR="00086510" w:rsidRPr="00570DAF" w:rsidRDefault="00086510" w:rsidP="00086510">
      <w:pPr>
        <w:ind w:left="567" w:right="567"/>
        <w:jc w:val="both"/>
        <w:rPr>
          <w:i/>
          <w:sz w:val="20"/>
        </w:rPr>
      </w:pPr>
      <w:r w:rsidRPr="00570DAF">
        <w:rPr>
          <w:i/>
          <w:sz w:val="20"/>
        </w:rPr>
        <w:t xml:space="preserve">V. El comportamiento reciente del o los Agentes Económicos que </w:t>
      </w:r>
      <w:r>
        <w:rPr>
          <w:i/>
          <w:sz w:val="20"/>
        </w:rPr>
        <w:t>participan en dicho mercado,</w:t>
      </w:r>
    </w:p>
    <w:p w14:paraId="005BB5C9" w14:textId="77777777" w:rsidR="00086510" w:rsidRDefault="00086510" w:rsidP="009B0A36">
      <w:pPr>
        <w:pStyle w:val="Prrafodelista"/>
        <w:numPr>
          <w:ilvl w:val="0"/>
          <w:numId w:val="13"/>
        </w:numPr>
        <w:spacing w:before="120" w:after="120" w:line="240" w:lineRule="auto"/>
        <w:contextualSpacing w:val="0"/>
        <w:jc w:val="both"/>
      </w:pPr>
      <w:r>
        <w:t>En relación con lo anterior</w:t>
      </w:r>
      <w:r w:rsidRPr="00570DAF">
        <w:t>, esta Autoridad Investigadora no encontró antecedentes que hayan causado estado respecto a</w:t>
      </w:r>
      <w:r>
        <w:t xml:space="preserve">l comportamiento reciente </w:t>
      </w:r>
      <w:r w:rsidRPr="00A71CEF">
        <w:t>de ATC</w:t>
      </w:r>
      <w:r>
        <w:t>, que permitan señalar que este</w:t>
      </w:r>
      <w:r w:rsidRPr="00570DAF">
        <w:t xml:space="preserve"> ha realizado conductas anticompetiti</w:t>
      </w:r>
      <w:r w:rsidR="00C40AB1">
        <w:t xml:space="preserve">vas </w:t>
      </w:r>
      <w:r w:rsidR="00C40AB1">
        <w:lastRenderedPageBreak/>
        <w:t>en los mercados relevantes de los servicios de arrendamiento de enlaces dedicados</w:t>
      </w:r>
      <w:r w:rsidRPr="00570DAF">
        <w:t>.</w:t>
      </w:r>
    </w:p>
    <w:p w14:paraId="59599A03" w14:textId="77777777" w:rsidR="00086510" w:rsidRDefault="00086510" w:rsidP="009B0A36">
      <w:pPr>
        <w:pStyle w:val="Prrafodelista"/>
        <w:numPr>
          <w:ilvl w:val="0"/>
          <w:numId w:val="13"/>
        </w:numPr>
        <w:spacing w:before="120" w:after="120" w:line="240" w:lineRule="auto"/>
        <w:contextualSpacing w:val="0"/>
        <w:jc w:val="both"/>
      </w:pPr>
      <w:r w:rsidRPr="00797101">
        <w:t xml:space="preserve">Del </w:t>
      </w:r>
      <w:r w:rsidRPr="00970E1A">
        <w:t xml:space="preserve">análisis de las fracciones I, III y V del artículo 59 de la LFCE, presentado en los párrafos </w:t>
      </w:r>
      <w:r w:rsidR="00BD3666" w:rsidRPr="00970E1A">
        <w:t>22</w:t>
      </w:r>
      <w:r w:rsidR="006505DE" w:rsidRPr="00970E1A">
        <w:t>3</w:t>
      </w:r>
      <w:r w:rsidRPr="00970E1A">
        <w:t xml:space="preserve"> a </w:t>
      </w:r>
      <w:r w:rsidR="00BD3666" w:rsidRPr="00970E1A">
        <w:t>24</w:t>
      </w:r>
      <w:r w:rsidR="006505DE" w:rsidRPr="00970E1A">
        <w:t>3</w:t>
      </w:r>
      <w:r w:rsidRPr="00970E1A">
        <w:t>, se desprende que</w:t>
      </w:r>
      <w:r>
        <w:t xml:space="preserve"> </w:t>
      </w:r>
      <w:r w:rsidRPr="00B41A56">
        <w:t xml:space="preserve">no existen elementos suficientes para determinar que, derivado de la </w:t>
      </w:r>
      <w:r>
        <w:t>Operación</w:t>
      </w:r>
      <w:r w:rsidRPr="00B41A56">
        <w:t>, A</w:t>
      </w:r>
      <w:r>
        <w:t>TC</w:t>
      </w:r>
      <w:r w:rsidRPr="00B41A56">
        <w:t xml:space="preserve"> adquiera poder sustancial en los mercados relevantes de arrendamiento de enlaces. </w:t>
      </w:r>
      <w:r>
        <w:t xml:space="preserve">Esto debido a que obtiene una participación poco significativa en </w:t>
      </w:r>
      <w:r w:rsidRPr="00B41A56">
        <w:t xml:space="preserve">los </w:t>
      </w:r>
      <w:r>
        <w:t xml:space="preserve">mercados relevantes analizados y </w:t>
      </w:r>
      <w:r w:rsidRPr="00B41A56">
        <w:t>existe</w:t>
      </w:r>
      <w:r>
        <w:t xml:space="preserve">n </w:t>
      </w:r>
      <w:r w:rsidRPr="00B41A56">
        <w:t>competidor</w:t>
      </w:r>
      <w:r>
        <w:t>es</w:t>
      </w:r>
      <w:r w:rsidRPr="00B41A56">
        <w:t xml:space="preserve"> mejor posicionado</w:t>
      </w:r>
      <w:r>
        <w:t>s (como AMX/Telesites) que restringirían su</w:t>
      </w:r>
      <w:r w:rsidRPr="00B41A56">
        <w:t xml:space="preserve"> capacidad de fijar precios o restringir el abasto</w:t>
      </w:r>
      <w:r>
        <w:t>.</w:t>
      </w:r>
    </w:p>
    <w:p w14:paraId="5D76558F" w14:textId="77777777" w:rsidR="00086510" w:rsidRPr="00AF1A3B" w:rsidRDefault="00086510" w:rsidP="009B0A36">
      <w:pPr>
        <w:pStyle w:val="Prrafodelista"/>
        <w:numPr>
          <w:ilvl w:val="0"/>
          <w:numId w:val="13"/>
        </w:numPr>
        <w:spacing w:before="120" w:after="120" w:line="240" w:lineRule="auto"/>
        <w:contextualSpacing w:val="0"/>
        <w:jc w:val="both"/>
      </w:pPr>
      <w:r w:rsidRPr="00797101">
        <w:t>En este sentido, esta autoridad estima que resulta innecesario profundizar en el análisis de poder sustancial conforme a las fracciones II, IV y VI del artículo 59 de la LFCE,</w:t>
      </w:r>
      <w:r w:rsidRPr="00465F87">
        <w:t xml:space="preserve"> en correspondencia con lo establecido en los artículos 7 y 8 de las Disposiciones Regulatorias</w:t>
      </w:r>
      <w:r>
        <w:t>,</w:t>
      </w:r>
      <w:r w:rsidRPr="00797101">
        <w:t xml:space="preserve"> pues dicho análisis no conduciría a un resultado distinto.</w:t>
      </w:r>
    </w:p>
    <w:p w14:paraId="1FBD2977" w14:textId="77777777" w:rsidR="00086510" w:rsidRDefault="00430A36" w:rsidP="009B0A36">
      <w:pPr>
        <w:pStyle w:val="Ttulo3"/>
        <w:numPr>
          <w:ilvl w:val="2"/>
          <w:numId w:val="23"/>
        </w:numPr>
        <w:ind w:left="397" w:hanging="397"/>
      </w:pPr>
      <w:bookmarkStart w:id="54" w:name="_Toc463624342"/>
      <w:r w:rsidRPr="00D931A8">
        <w:t>Servicio</w:t>
      </w:r>
      <w:r>
        <w:t xml:space="preserve"> de acceso a internet dedicado</w:t>
      </w:r>
      <w:r w:rsidRPr="005B7297" w:rsidDel="00430A36">
        <w:t xml:space="preserve"> </w:t>
      </w:r>
      <w:bookmarkEnd w:id="54"/>
    </w:p>
    <w:p w14:paraId="36EC7DE4" w14:textId="77777777" w:rsidR="00086510" w:rsidRPr="00B43F19" w:rsidRDefault="00086510" w:rsidP="009B0A36">
      <w:pPr>
        <w:pStyle w:val="Ttulo4"/>
        <w:numPr>
          <w:ilvl w:val="3"/>
          <w:numId w:val="23"/>
        </w:numPr>
        <w:ind w:left="567" w:hanging="567"/>
        <w:jc w:val="both"/>
      </w:pPr>
      <w:bookmarkStart w:id="55" w:name="_Toc463297854"/>
      <w:bookmarkStart w:id="56" w:name="_Toc463624343"/>
      <w:r>
        <w:t>Participación</w:t>
      </w:r>
      <w:r w:rsidRPr="00B43F19">
        <w:t xml:space="preserve"> de mercado</w:t>
      </w:r>
      <w:bookmarkEnd w:id="55"/>
      <w:bookmarkEnd w:id="56"/>
      <w:r>
        <w:t xml:space="preserve"> y capacidad de fijar precios o restringir el abasto</w:t>
      </w:r>
    </w:p>
    <w:p w14:paraId="29A66E7E" w14:textId="77777777" w:rsidR="00086510" w:rsidRDefault="00086510" w:rsidP="009B0A36">
      <w:pPr>
        <w:pStyle w:val="Prrafodelista"/>
        <w:numPr>
          <w:ilvl w:val="0"/>
          <w:numId w:val="13"/>
        </w:numPr>
        <w:spacing w:before="120" w:after="120" w:line="240" w:lineRule="auto"/>
        <w:contextualSpacing w:val="0"/>
        <w:jc w:val="both"/>
      </w:pPr>
      <w:r w:rsidRPr="006C29F6">
        <w:t xml:space="preserve">Conforme a la fracción I del artículo 59 de la LFCE para determinar si uno o varios </w:t>
      </w:r>
      <w:r w:rsidR="00E30EEF">
        <w:t>a</w:t>
      </w:r>
      <w:r w:rsidRPr="006C29F6">
        <w:t xml:space="preserve">gentes </w:t>
      </w:r>
      <w:r w:rsidR="00E30EEF">
        <w:t>e</w:t>
      </w:r>
      <w:r w:rsidRPr="006C29F6">
        <w:t>conómicos tienen poder sust</w:t>
      </w:r>
      <w:r>
        <w:t>ancial en el mercado relevante</w:t>
      </w:r>
      <w:r w:rsidRPr="006C29F6">
        <w:t xml:space="preserve">, deberá considerarse, entre otros elementos, </w:t>
      </w:r>
      <w:r>
        <w:t>lo siguiente:</w:t>
      </w:r>
    </w:p>
    <w:p w14:paraId="70E9A95E" w14:textId="77777777" w:rsidR="00086510" w:rsidRDefault="00086510" w:rsidP="00086510">
      <w:pPr>
        <w:ind w:left="567" w:right="567"/>
        <w:jc w:val="both"/>
        <w:rPr>
          <w:i/>
          <w:sz w:val="20"/>
          <w:szCs w:val="20"/>
        </w:rPr>
      </w:pPr>
      <w:r>
        <w:rPr>
          <w:i/>
          <w:sz w:val="20"/>
          <w:szCs w:val="20"/>
        </w:rPr>
        <w:t xml:space="preserve">I. </w:t>
      </w:r>
      <w:r w:rsidRPr="000E0AAF">
        <w:rPr>
          <w:i/>
          <w:sz w:val="20"/>
          <w:szCs w:val="20"/>
        </w:rPr>
        <w:t>Su participación en dicho mercado y si pueden fijar precios o restringir el abasto en el mercado relevante por sí mismos, sin que los agentes competidores puedan, actual o potencialme</w:t>
      </w:r>
      <w:r>
        <w:rPr>
          <w:i/>
          <w:sz w:val="20"/>
          <w:szCs w:val="20"/>
        </w:rPr>
        <w:t>nte, contrarrestar dicho poder.</w:t>
      </w:r>
    </w:p>
    <w:p w14:paraId="4F1373EF" w14:textId="77777777" w:rsidR="00086510" w:rsidRPr="00486580" w:rsidRDefault="00086510" w:rsidP="00086510">
      <w:pPr>
        <w:ind w:left="567" w:right="567"/>
        <w:jc w:val="both"/>
        <w:rPr>
          <w:sz w:val="20"/>
          <w:szCs w:val="20"/>
        </w:rPr>
      </w:pPr>
      <w:r w:rsidRPr="000E0AAF">
        <w:rPr>
          <w:i/>
          <w:sz w:val="20"/>
          <w:szCs w:val="20"/>
        </w:rPr>
        <w:t>Para determinar la participación de mercado, la Comisión</w:t>
      </w:r>
      <w:r>
        <w:rPr>
          <w:i/>
          <w:sz w:val="20"/>
          <w:szCs w:val="20"/>
        </w:rPr>
        <w:t xml:space="preserve"> </w:t>
      </w:r>
      <w:r w:rsidRPr="00832792">
        <w:rPr>
          <w:sz w:val="20"/>
          <w:szCs w:val="20"/>
        </w:rPr>
        <w:t>[</w:t>
      </w:r>
      <w:r w:rsidRPr="00832792">
        <w:rPr>
          <w:sz w:val="20"/>
          <w:szCs w:val="20"/>
          <w:u w:val="single"/>
        </w:rPr>
        <w:t>en este caso, el Instituto</w:t>
      </w:r>
      <w:r w:rsidRPr="00832792">
        <w:rPr>
          <w:sz w:val="20"/>
          <w:szCs w:val="20"/>
        </w:rPr>
        <w:t>]</w:t>
      </w:r>
      <w:r w:rsidRPr="000E0AAF">
        <w:rPr>
          <w:i/>
          <w:sz w:val="20"/>
          <w:szCs w:val="20"/>
        </w:rPr>
        <w:t xml:space="preserve"> podrá tener en cuenta indicadores de ventas, número de clientes, capacidad productiva, así como cualquier otro factor que considere pertinente;</w:t>
      </w:r>
      <w:r>
        <w:rPr>
          <w:i/>
          <w:sz w:val="20"/>
          <w:szCs w:val="20"/>
        </w:rPr>
        <w:t xml:space="preserve"> </w:t>
      </w:r>
      <w:r>
        <w:rPr>
          <w:sz w:val="20"/>
          <w:szCs w:val="20"/>
        </w:rPr>
        <w:t>[Énfasis añadido].</w:t>
      </w:r>
    </w:p>
    <w:p w14:paraId="38536A2C" w14:textId="77777777" w:rsidR="00086510" w:rsidRDefault="00086510" w:rsidP="009B0A36">
      <w:pPr>
        <w:pStyle w:val="Prrafodelista"/>
        <w:numPr>
          <w:ilvl w:val="0"/>
          <w:numId w:val="13"/>
        </w:numPr>
        <w:spacing w:before="120" w:after="120" w:line="240" w:lineRule="auto"/>
        <w:contextualSpacing w:val="0"/>
        <w:jc w:val="both"/>
      </w:pPr>
      <w:r w:rsidRPr="00B9381C">
        <w:t>Como</w:t>
      </w:r>
      <w:r>
        <w:rPr>
          <w:spacing w:val="-2"/>
        </w:rPr>
        <w:t xml:space="preserve"> se señaló en el </w:t>
      </w:r>
      <w:r w:rsidRPr="00970E1A">
        <w:rPr>
          <w:spacing w:val="-2"/>
        </w:rPr>
        <w:t xml:space="preserve">párrafo 55, antes de la Operación, el grupo de interés económico al que pertenecen los </w:t>
      </w:r>
      <w:r w:rsidR="00727313">
        <w:rPr>
          <w:spacing w:val="-2"/>
        </w:rPr>
        <w:t>c</w:t>
      </w:r>
      <w:r w:rsidRPr="00970E1A">
        <w:rPr>
          <w:spacing w:val="-2"/>
        </w:rPr>
        <w:t>ompradores (ATC) no participaba en el mercado relevante de acceso a internet dedicado</w:t>
      </w:r>
      <w:r>
        <w:rPr>
          <w:spacing w:val="-2"/>
        </w:rPr>
        <w:t>, es a través de la adquisición de CFCA Telecomm y Telco que ATC incursiona en este mercado. En este sentido, l</w:t>
      </w:r>
      <w:r w:rsidRPr="001B19B0">
        <w:rPr>
          <w:spacing w:val="-2"/>
        </w:rPr>
        <w:t xml:space="preserve">a Operación implicó la sustitución de un </w:t>
      </w:r>
      <w:r w:rsidR="00122983">
        <w:rPr>
          <w:spacing w:val="-2"/>
        </w:rPr>
        <w:t>a</w:t>
      </w:r>
      <w:r w:rsidRPr="001B19B0">
        <w:rPr>
          <w:spacing w:val="-2"/>
        </w:rPr>
        <w:t xml:space="preserve">gente </w:t>
      </w:r>
      <w:r w:rsidR="00122983">
        <w:rPr>
          <w:spacing w:val="-2"/>
        </w:rPr>
        <w:t>e</w:t>
      </w:r>
      <w:r>
        <w:rPr>
          <w:spacing w:val="-2"/>
        </w:rPr>
        <w:t xml:space="preserve">conómico </w:t>
      </w:r>
      <w:r w:rsidRPr="001B19B0">
        <w:rPr>
          <w:spacing w:val="-2"/>
        </w:rPr>
        <w:t xml:space="preserve">por otro; </w:t>
      </w:r>
      <w:r>
        <w:rPr>
          <w:spacing w:val="-2"/>
        </w:rPr>
        <w:t>por lo</w:t>
      </w:r>
      <w:r w:rsidRPr="001B19B0">
        <w:rPr>
          <w:spacing w:val="-2"/>
        </w:rPr>
        <w:t xml:space="preserve"> que no se genera un cambio en la estructura de est</w:t>
      </w:r>
      <w:r>
        <w:rPr>
          <w:spacing w:val="-2"/>
        </w:rPr>
        <w:t>e</w:t>
      </w:r>
      <w:r w:rsidRPr="001B19B0">
        <w:rPr>
          <w:spacing w:val="-2"/>
        </w:rPr>
        <w:t xml:space="preserve"> mercado.</w:t>
      </w:r>
      <w:r>
        <w:rPr>
          <w:spacing w:val="-2"/>
        </w:rPr>
        <w:t xml:space="preserve"> No obstante, se analizarán las participaciones de mercado y la capacidad de fijar precios o restringir abasto de ATC en el mercado relevante.</w:t>
      </w:r>
    </w:p>
    <w:p w14:paraId="731CE55C" w14:textId="77777777" w:rsidR="00086510" w:rsidRPr="00970E1A" w:rsidRDefault="00086510" w:rsidP="009B0A36">
      <w:pPr>
        <w:pStyle w:val="Prrafodelista"/>
        <w:numPr>
          <w:ilvl w:val="0"/>
          <w:numId w:val="13"/>
        </w:numPr>
        <w:spacing w:before="120" w:after="120" w:line="240" w:lineRule="auto"/>
        <w:contextualSpacing w:val="0"/>
        <w:jc w:val="both"/>
      </w:pPr>
      <w:r w:rsidRPr="0015372C">
        <w:t xml:space="preserve">Las participaciones de los </w:t>
      </w:r>
      <w:r w:rsidR="00122983">
        <w:t>a</w:t>
      </w:r>
      <w:r w:rsidRPr="0015372C">
        <w:t xml:space="preserve">gentes </w:t>
      </w:r>
      <w:r w:rsidR="00122983">
        <w:t>e</w:t>
      </w:r>
      <w:r w:rsidRPr="0015372C">
        <w:t xml:space="preserve">conómicos que concurren en el mercado relevante de acceso a internet dedicado </w:t>
      </w:r>
      <w:r>
        <w:t xml:space="preserve">a nivel nacional, </w:t>
      </w:r>
      <w:r w:rsidRPr="0015372C">
        <w:t xml:space="preserve">se </w:t>
      </w:r>
      <w:r>
        <w:t>calcularon</w:t>
      </w:r>
      <w:r w:rsidRPr="0015372C">
        <w:t xml:space="preserve"> con base en los ingresos derivados de la provisión de dicho servicio</w:t>
      </w:r>
      <w:r w:rsidRPr="000627FC">
        <w:t xml:space="preserve"> </w:t>
      </w:r>
      <w:r w:rsidRPr="0015372C">
        <w:t xml:space="preserve">de los principales </w:t>
      </w:r>
      <w:r>
        <w:t>oferentes</w:t>
      </w:r>
      <w:r w:rsidRPr="0015372C">
        <w:t xml:space="preserve">. En la </w:t>
      </w:r>
      <w:r w:rsidRPr="00970E1A">
        <w:t>Tabla 13 se detallan las participaciones de mercado y el IH, para el año dos mil diecisiete:</w:t>
      </w:r>
    </w:p>
    <w:p w14:paraId="3697F049" w14:textId="77777777" w:rsidR="00086510" w:rsidRPr="00970E1A" w:rsidRDefault="00086510" w:rsidP="00086510">
      <w:pPr>
        <w:keepNext/>
        <w:autoSpaceDE w:val="0"/>
        <w:autoSpaceDN w:val="0"/>
        <w:adjustRightInd w:val="0"/>
        <w:spacing w:after="0"/>
        <w:jc w:val="center"/>
        <w:rPr>
          <w:b/>
          <w:sz w:val="18"/>
          <w:szCs w:val="18"/>
        </w:rPr>
      </w:pPr>
      <w:r w:rsidRPr="00970E1A">
        <w:rPr>
          <w:b/>
          <w:sz w:val="18"/>
          <w:szCs w:val="18"/>
        </w:rPr>
        <w:lastRenderedPageBreak/>
        <w:t xml:space="preserve">Tabla 13. Participaciones de mercado e índice de concentración </w:t>
      </w:r>
    </w:p>
    <w:p w14:paraId="7DE9EFB7" w14:textId="77777777" w:rsidR="00086510" w:rsidRDefault="00086510" w:rsidP="00086510">
      <w:pPr>
        <w:keepNext/>
        <w:autoSpaceDE w:val="0"/>
        <w:autoSpaceDN w:val="0"/>
        <w:adjustRightInd w:val="0"/>
        <w:spacing w:after="0"/>
        <w:jc w:val="center"/>
        <w:rPr>
          <w:b/>
          <w:sz w:val="18"/>
          <w:szCs w:val="18"/>
        </w:rPr>
      </w:pPr>
      <w:r w:rsidRPr="00970E1A">
        <w:rPr>
          <w:b/>
          <w:sz w:val="18"/>
          <w:szCs w:val="18"/>
        </w:rPr>
        <w:t>para el servicio de acceso</w:t>
      </w:r>
      <w:r w:rsidRPr="00652A98">
        <w:rPr>
          <w:b/>
          <w:sz w:val="18"/>
          <w:szCs w:val="18"/>
        </w:rPr>
        <w:t xml:space="preserve"> a internet dedicado, </w:t>
      </w:r>
      <w:r>
        <w:rPr>
          <w:b/>
          <w:sz w:val="18"/>
          <w:szCs w:val="18"/>
        </w:rPr>
        <w:t xml:space="preserve">a nivel nacional, </w:t>
      </w:r>
      <w:r w:rsidRPr="00652A98">
        <w:rPr>
          <w:b/>
          <w:sz w:val="18"/>
          <w:szCs w:val="18"/>
        </w:rPr>
        <w:t>2017</w:t>
      </w:r>
    </w:p>
    <w:tbl>
      <w:tblPr>
        <w:tblW w:w="3686" w:type="dxa"/>
        <w:jc w:val="center"/>
        <w:tblCellMar>
          <w:left w:w="70" w:type="dxa"/>
          <w:right w:w="70" w:type="dxa"/>
        </w:tblCellMar>
        <w:tblLook w:val="04A0" w:firstRow="1" w:lastRow="0" w:firstColumn="1" w:lastColumn="0" w:noHBand="0" w:noVBand="1"/>
      </w:tblPr>
      <w:tblGrid>
        <w:gridCol w:w="1838"/>
        <w:gridCol w:w="1848"/>
      </w:tblGrid>
      <w:tr w:rsidR="00086510" w:rsidRPr="00F276DA" w14:paraId="6CD6829A" w14:textId="77777777" w:rsidTr="00086510">
        <w:trPr>
          <w:trHeight w:val="20"/>
          <w:jc w:val="center"/>
        </w:trPr>
        <w:tc>
          <w:tcPr>
            <w:tcW w:w="183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29E3F76" w14:textId="77777777" w:rsidR="00086510" w:rsidRPr="00F276DA" w:rsidRDefault="00086510" w:rsidP="00122983">
            <w:pPr>
              <w:spacing w:after="0"/>
              <w:jc w:val="center"/>
              <w:rPr>
                <w:rFonts w:eastAsia="Times New Roman" w:cs="Calibri"/>
                <w:b/>
                <w:bCs/>
                <w:color w:val="FFFFFF"/>
                <w:sz w:val="16"/>
                <w:szCs w:val="16"/>
                <w:lang w:eastAsia="es-MX"/>
              </w:rPr>
            </w:pPr>
            <w:r>
              <w:rPr>
                <w:rFonts w:eastAsia="Times New Roman" w:cs="Calibri"/>
                <w:b/>
                <w:bCs/>
                <w:color w:val="FFFFFF"/>
                <w:sz w:val="16"/>
                <w:szCs w:val="16"/>
                <w:lang w:eastAsia="es-MX"/>
              </w:rPr>
              <w:t xml:space="preserve">Agente </w:t>
            </w:r>
            <w:r w:rsidR="00122983">
              <w:rPr>
                <w:rFonts w:eastAsia="Times New Roman" w:cs="Calibri"/>
                <w:b/>
                <w:bCs/>
                <w:color w:val="FFFFFF"/>
                <w:sz w:val="16"/>
                <w:szCs w:val="16"/>
                <w:lang w:eastAsia="es-MX"/>
              </w:rPr>
              <w:t>e</w:t>
            </w:r>
            <w:r>
              <w:rPr>
                <w:rFonts w:eastAsia="Times New Roman" w:cs="Calibri"/>
                <w:b/>
                <w:bCs/>
                <w:color w:val="FFFFFF"/>
                <w:sz w:val="16"/>
                <w:szCs w:val="16"/>
                <w:lang w:eastAsia="es-MX"/>
              </w:rPr>
              <w:t>conómico</w:t>
            </w:r>
          </w:p>
        </w:tc>
        <w:tc>
          <w:tcPr>
            <w:tcW w:w="1848" w:type="dxa"/>
            <w:tcBorders>
              <w:top w:val="single" w:sz="4" w:space="0" w:color="auto"/>
              <w:left w:val="nil"/>
              <w:bottom w:val="single" w:sz="4" w:space="0" w:color="auto"/>
              <w:right w:val="single" w:sz="4" w:space="0" w:color="auto"/>
            </w:tcBorders>
            <w:shd w:val="clear" w:color="000000" w:fill="002060"/>
            <w:vAlign w:val="center"/>
            <w:hideMark/>
          </w:tcPr>
          <w:p w14:paraId="5BF54EA2" w14:textId="77777777" w:rsidR="00086510" w:rsidRPr="00F276DA" w:rsidRDefault="00086510" w:rsidP="00086510">
            <w:pPr>
              <w:spacing w:after="0"/>
              <w:jc w:val="center"/>
              <w:rPr>
                <w:rFonts w:eastAsia="Times New Roman" w:cs="Calibri"/>
                <w:b/>
                <w:bCs/>
                <w:color w:val="FFFFFF"/>
                <w:sz w:val="16"/>
                <w:szCs w:val="16"/>
                <w:lang w:eastAsia="es-MX"/>
              </w:rPr>
            </w:pPr>
            <w:r>
              <w:rPr>
                <w:rFonts w:eastAsia="Times New Roman" w:cs="Calibri"/>
                <w:b/>
                <w:bCs/>
                <w:color w:val="FFFFFF"/>
                <w:sz w:val="16"/>
                <w:szCs w:val="16"/>
                <w:lang w:eastAsia="es-MX"/>
              </w:rPr>
              <w:t>Participación de mercado</w:t>
            </w:r>
          </w:p>
        </w:tc>
      </w:tr>
      <w:tr w:rsidR="00086510" w:rsidRPr="00F276DA" w14:paraId="2F63853E" w14:textId="77777777" w:rsidTr="00086510">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C5D4168" w14:textId="77777777" w:rsidR="00086510" w:rsidRPr="00F276DA" w:rsidRDefault="00086510" w:rsidP="00086510">
            <w:pPr>
              <w:spacing w:after="0"/>
              <w:rPr>
                <w:rFonts w:eastAsia="Times New Roman" w:cs="Calibri"/>
                <w:color w:val="000000"/>
                <w:sz w:val="16"/>
                <w:szCs w:val="16"/>
                <w:lang w:eastAsia="es-MX"/>
              </w:rPr>
            </w:pPr>
            <w:r w:rsidRPr="00F276DA">
              <w:rPr>
                <w:rFonts w:eastAsia="Times New Roman" w:cs="Calibri"/>
                <w:color w:val="000000"/>
                <w:sz w:val="16"/>
                <w:szCs w:val="16"/>
                <w:lang w:eastAsia="es-MX"/>
              </w:rPr>
              <w:t>AMX</w:t>
            </w:r>
            <w:r>
              <w:rPr>
                <w:rFonts w:eastAsia="Times New Roman" w:cs="Calibri"/>
                <w:color w:val="000000"/>
                <w:sz w:val="16"/>
                <w:szCs w:val="16"/>
                <w:lang w:eastAsia="es-MX"/>
              </w:rPr>
              <w:t>/Telesites</w:t>
            </w:r>
          </w:p>
        </w:tc>
        <w:tc>
          <w:tcPr>
            <w:tcW w:w="1848" w:type="dxa"/>
            <w:tcBorders>
              <w:top w:val="nil"/>
              <w:left w:val="nil"/>
              <w:bottom w:val="single" w:sz="4" w:space="0" w:color="auto"/>
              <w:right w:val="single" w:sz="4" w:space="0" w:color="auto"/>
            </w:tcBorders>
            <w:shd w:val="clear" w:color="auto" w:fill="auto"/>
            <w:noWrap/>
            <w:vAlign w:val="center"/>
            <w:hideMark/>
          </w:tcPr>
          <w:p w14:paraId="20A32F8A" w14:textId="77777777" w:rsidR="00086510" w:rsidRPr="00F276DA" w:rsidRDefault="00086510" w:rsidP="00086510">
            <w:pPr>
              <w:spacing w:after="0"/>
              <w:jc w:val="center"/>
              <w:rPr>
                <w:rFonts w:eastAsia="Times New Roman" w:cs="Calibri"/>
                <w:color w:val="000000"/>
                <w:sz w:val="16"/>
                <w:szCs w:val="16"/>
                <w:lang w:eastAsia="es-MX"/>
              </w:rPr>
            </w:pPr>
            <w:r w:rsidRPr="00F276DA">
              <w:rPr>
                <w:rFonts w:eastAsia="Times New Roman" w:cs="Calibri"/>
                <w:color w:val="000000"/>
                <w:sz w:val="16"/>
                <w:szCs w:val="16"/>
                <w:lang w:eastAsia="es-MX"/>
              </w:rPr>
              <w:t>39.3%</w:t>
            </w:r>
          </w:p>
        </w:tc>
      </w:tr>
      <w:tr w:rsidR="00086510" w:rsidRPr="00F276DA" w14:paraId="3EF9EFA9" w14:textId="77777777" w:rsidTr="00086510">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7FB79A3" w14:textId="77777777" w:rsidR="00086510" w:rsidRPr="00F276DA" w:rsidRDefault="00086510" w:rsidP="00086510">
            <w:pPr>
              <w:spacing w:after="0"/>
              <w:rPr>
                <w:rFonts w:eastAsia="Times New Roman" w:cs="Calibri"/>
                <w:color w:val="000000"/>
                <w:sz w:val="16"/>
                <w:szCs w:val="16"/>
                <w:lang w:eastAsia="es-MX"/>
              </w:rPr>
            </w:pPr>
            <w:r w:rsidRPr="00F276DA">
              <w:rPr>
                <w:rFonts w:eastAsia="Times New Roman" w:cs="Calibri"/>
                <w:color w:val="000000"/>
                <w:sz w:val="16"/>
                <w:szCs w:val="16"/>
                <w:lang w:eastAsia="es-MX"/>
              </w:rPr>
              <w:t>Axtel</w:t>
            </w:r>
          </w:p>
        </w:tc>
        <w:tc>
          <w:tcPr>
            <w:tcW w:w="1848" w:type="dxa"/>
            <w:tcBorders>
              <w:top w:val="nil"/>
              <w:left w:val="nil"/>
              <w:bottom w:val="single" w:sz="4" w:space="0" w:color="auto"/>
              <w:right w:val="single" w:sz="4" w:space="0" w:color="auto"/>
            </w:tcBorders>
            <w:shd w:val="clear" w:color="auto" w:fill="auto"/>
            <w:noWrap/>
            <w:vAlign w:val="center"/>
            <w:hideMark/>
          </w:tcPr>
          <w:p w14:paraId="25761B16" w14:textId="77777777" w:rsidR="00086510" w:rsidRPr="00F276DA" w:rsidRDefault="00086510" w:rsidP="00086510">
            <w:pPr>
              <w:spacing w:after="0"/>
              <w:jc w:val="center"/>
              <w:rPr>
                <w:rFonts w:eastAsia="Times New Roman" w:cs="Calibri"/>
                <w:color w:val="000000"/>
                <w:sz w:val="16"/>
                <w:szCs w:val="16"/>
                <w:lang w:eastAsia="es-MX"/>
              </w:rPr>
            </w:pPr>
            <w:r w:rsidRPr="00F276DA">
              <w:rPr>
                <w:rFonts w:eastAsia="Times New Roman" w:cs="Calibri"/>
                <w:color w:val="000000"/>
                <w:sz w:val="16"/>
                <w:szCs w:val="16"/>
                <w:lang w:eastAsia="es-MX"/>
              </w:rPr>
              <w:t>19.4%</w:t>
            </w:r>
          </w:p>
        </w:tc>
      </w:tr>
      <w:tr w:rsidR="00086510" w:rsidRPr="00F276DA" w14:paraId="3C52CDC5" w14:textId="77777777" w:rsidTr="00086510">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56C09FA" w14:textId="77777777" w:rsidR="00086510" w:rsidRPr="00F276DA" w:rsidRDefault="00086510" w:rsidP="00086510">
            <w:pPr>
              <w:spacing w:after="0"/>
              <w:rPr>
                <w:rFonts w:eastAsia="Times New Roman" w:cs="Calibri"/>
                <w:color w:val="000000"/>
                <w:sz w:val="16"/>
                <w:szCs w:val="16"/>
                <w:lang w:eastAsia="es-MX"/>
              </w:rPr>
            </w:pPr>
            <w:r w:rsidRPr="00F276DA">
              <w:rPr>
                <w:rFonts w:eastAsia="Times New Roman" w:cs="Calibri"/>
                <w:color w:val="000000"/>
                <w:sz w:val="16"/>
                <w:szCs w:val="16"/>
                <w:lang w:eastAsia="es-MX"/>
              </w:rPr>
              <w:t>Total Play</w:t>
            </w:r>
          </w:p>
        </w:tc>
        <w:tc>
          <w:tcPr>
            <w:tcW w:w="1848" w:type="dxa"/>
            <w:tcBorders>
              <w:top w:val="nil"/>
              <w:left w:val="nil"/>
              <w:bottom w:val="single" w:sz="4" w:space="0" w:color="auto"/>
              <w:right w:val="single" w:sz="4" w:space="0" w:color="auto"/>
            </w:tcBorders>
            <w:shd w:val="clear" w:color="auto" w:fill="auto"/>
            <w:noWrap/>
            <w:vAlign w:val="center"/>
            <w:hideMark/>
          </w:tcPr>
          <w:p w14:paraId="6CC77EA7" w14:textId="77777777" w:rsidR="00086510" w:rsidRPr="00F276DA" w:rsidRDefault="00086510" w:rsidP="00086510">
            <w:pPr>
              <w:spacing w:after="0"/>
              <w:jc w:val="center"/>
              <w:rPr>
                <w:rFonts w:eastAsia="Times New Roman" w:cs="Calibri"/>
                <w:color w:val="000000"/>
                <w:sz w:val="16"/>
                <w:szCs w:val="16"/>
                <w:lang w:eastAsia="es-MX"/>
              </w:rPr>
            </w:pPr>
            <w:r w:rsidRPr="00F276DA">
              <w:rPr>
                <w:rFonts w:eastAsia="Times New Roman" w:cs="Calibri"/>
                <w:color w:val="000000"/>
                <w:sz w:val="16"/>
                <w:szCs w:val="16"/>
                <w:lang w:eastAsia="es-MX"/>
              </w:rPr>
              <w:t>15.4%</w:t>
            </w:r>
          </w:p>
        </w:tc>
      </w:tr>
      <w:tr w:rsidR="00086510" w:rsidRPr="00F276DA" w14:paraId="1980A048" w14:textId="77777777" w:rsidTr="00086510">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FACD735" w14:textId="77777777" w:rsidR="00086510" w:rsidRPr="00F276DA" w:rsidRDefault="00086510" w:rsidP="00086510">
            <w:pPr>
              <w:spacing w:after="0"/>
              <w:rPr>
                <w:rFonts w:eastAsia="Times New Roman" w:cs="Calibri"/>
                <w:color w:val="000000"/>
                <w:sz w:val="16"/>
                <w:szCs w:val="16"/>
                <w:lang w:eastAsia="es-MX"/>
              </w:rPr>
            </w:pPr>
            <w:r w:rsidRPr="00F276DA">
              <w:rPr>
                <w:rFonts w:eastAsia="Times New Roman" w:cs="Calibri"/>
                <w:color w:val="000000"/>
                <w:sz w:val="16"/>
                <w:szCs w:val="16"/>
                <w:lang w:eastAsia="es-MX"/>
              </w:rPr>
              <w:t>GTV</w:t>
            </w:r>
          </w:p>
        </w:tc>
        <w:tc>
          <w:tcPr>
            <w:tcW w:w="1848" w:type="dxa"/>
            <w:tcBorders>
              <w:top w:val="nil"/>
              <w:left w:val="nil"/>
              <w:bottom w:val="single" w:sz="4" w:space="0" w:color="auto"/>
              <w:right w:val="single" w:sz="4" w:space="0" w:color="auto"/>
            </w:tcBorders>
            <w:shd w:val="clear" w:color="auto" w:fill="auto"/>
            <w:noWrap/>
            <w:vAlign w:val="center"/>
            <w:hideMark/>
          </w:tcPr>
          <w:p w14:paraId="34C8E186" w14:textId="77777777" w:rsidR="00086510" w:rsidRPr="00F276DA" w:rsidRDefault="00086510" w:rsidP="00086510">
            <w:pPr>
              <w:spacing w:after="0"/>
              <w:jc w:val="center"/>
              <w:rPr>
                <w:rFonts w:eastAsia="Times New Roman" w:cs="Calibri"/>
                <w:color w:val="000000"/>
                <w:sz w:val="16"/>
                <w:szCs w:val="16"/>
                <w:lang w:eastAsia="es-MX"/>
              </w:rPr>
            </w:pPr>
            <w:r w:rsidRPr="00F276DA">
              <w:rPr>
                <w:rFonts w:eastAsia="Times New Roman" w:cs="Calibri"/>
                <w:color w:val="000000"/>
                <w:sz w:val="16"/>
                <w:szCs w:val="16"/>
                <w:lang w:eastAsia="es-MX"/>
              </w:rPr>
              <w:t>11.2%</w:t>
            </w:r>
          </w:p>
        </w:tc>
      </w:tr>
      <w:tr w:rsidR="00086510" w:rsidRPr="00F276DA" w14:paraId="07987EDD" w14:textId="77777777" w:rsidTr="00086510">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691B262" w14:textId="77777777" w:rsidR="00086510" w:rsidRPr="00F276DA" w:rsidRDefault="00086510" w:rsidP="00086510">
            <w:pPr>
              <w:spacing w:after="0"/>
              <w:rPr>
                <w:rFonts w:eastAsia="Times New Roman" w:cs="Calibri"/>
                <w:color w:val="000000"/>
                <w:sz w:val="16"/>
                <w:szCs w:val="16"/>
                <w:lang w:eastAsia="es-MX"/>
              </w:rPr>
            </w:pPr>
            <w:r w:rsidRPr="00F276DA">
              <w:rPr>
                <w:rFonts w:eastAsia="Times New Roman" w:cs="Calibri"/>
                <w:color w:val="000000"/>
                <w:sz w:val="16"/>
                <w:szCs w:val="16"/>
                <w:lang w:eastAsia="es-MX"/>
              </w:rPr>
              <w:t>Megacable</w:t>
            </w:r>
          </w:p>
        </w:tc>
        <w:tc>
          <w:tcPr>
            <w:tcW w:w="1848" w:type="dxa"/>
            <w:tcBorders>
              <w:top w:val="nil"/>
              <w:left w:val="nil"/>
              <w:bottom w:val="single" w:sz="4" w:space="0" w:color="auto"/>
              <w:right w:val="single" w:sz="4" w:space="0" w:color="auto"/>
            </w:tcBorders>
            <w:shd w:val="clear" w:color="auto" w:fill="auto"/>
            <w:noWrap/>
            <w:vAlign w:val="center"/>
            <w:hideMark/>
          </w:tcPr>
          <w:p w14:paraId="4E755DB3" w14:textId="77777777" w:rsidR="00086510" w:rsidRPr="00F276DA" w:rsidRDefault="00086510" w:rsidP="00086510">
            <w:pPr>
              <w:spacing w:after="0"/>
              <w:jc w:val="center"/>
              <w:rPr>
                <w:rFonts w:eastAsia="Times New Roman" w:cs="Calibri"/>
                <w:color w:val="000000"/>
                <w:sz w:val="16"/>
                <w:szCs w:val="16"/>
                <w:lang w:eastAsia="es-MX"/>
              </w:rPr>
            </w:pPr>
            <w:r w:rsidRPr="00F276DA">
              <w:rPr>
                <w:rFonts w:eastAsia="Times New Roman" w:cs="Calibri"/>
                <w:color w:val="000000"/>
                <w:sz w:val="16"/>
                <w:szCs w:val="16"/>
                <w:lang w:eastAsia="es-MX"/>
              </w:rPr>
              <w:t>9.6%</w:t>
            </w:r>
          </w:p>
        </w:tc>
      </w:tr>
      <w:tr w:rsidR="00086510" w:rsidRPr="00F276DA" w14:paraId="31FC9145" w14:textId="77777777" w:rsidTr="00086510">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04787CE" w14:textId="77777777" w:rsidR="00086510" w:rsidRPr="00F276DA" w:rsidRDefault="00086510" w:rsidP="00086510">
            <w:pPr>
              <w:spacing w:after="0"/>
              <w:rPr>
                <w:rFonts w:eastAsia="Times New Roman" w:cs="Calibri"/>
                <w:color w:val="000000"/>
                <w:sz w:val="16"/>
                <w:szCs w:val="16"/>
                <w:lang w:eastAsia="es-MX"/>
              </w:rPr>
            </w:pPr>
            <w:r w:rsidRPr="00F276DA">
              <w:rPr>
                <w:rFonts w:eastAsia="Times New Roman" w:cs="Calibri"/>
                <w:color w:val="000000"/>
                <w:sz w:val="16"/>
                <w:szCs w:val="16"/>
                <w:lang w:eastAsia="es-MX"/>
              </w:rPr>
              <w:t>IP Matrix</w:t>
            </w:r>
          </w:p>
        </w:tc>
        <w:tc>
          <w:tcPr>
            <w:tcW w:w="1848" w:type="dxa"/>
            <w:tcBorders>
              <w:top w:val="nil"/>
              <w:left w:val="nil"/>
              <w:bottom w:val="single" w:sz="4" w:space="0" w:color="auto"/>
              <w:right w:val="single" w:sz="4" w:space="0" w:color="auto"/>
            </w:tcBorders>
            <w:shd w:val="clear" w:color="auto" w:fill="auto"/>
            <w:noWrap/>
            <w:vAlign w:val="center"/>
            <w:hideMark/>
          </w:tcPr>
          <w:p w14:paraId="5331A10F" w14:textId="77777777" w:rsidR="00086510" w:rsidRPr="00F276DA" w:rsidRDefault="00086510" w:rsidP="00086510">
            <w:pPr>
              <w:spacing w:after="0"/>
              <w:jc w:val="center"/>
              <w:rPr>
                <w:rFonts w:eastAsia="Times New Roman" w:cs="Calibri"/>
                <w:color w:val="000000"/>
                <w:sz w:val="16"/>
                <w:szCs w:val="16"/>
                <w:lang w:eastAsia="es-MX"/>
              </w:rPr>
            </w:pPr>
            <w:r w:rsidRPr="00F276DA">
              <w:rPr>
                <w:rFonts w:eastAsia="Times New Roman" w:cs="Calibri"/>
                <w:color w:val="000000"/>
                <w:sz w:val="16"/>
                <w:szCs w:val="16"/>
                <w:lang w:eastAsia="es-MX"/>
              </w:rPr>
              <w:t>2.8%</w:t>
            </w:r>
          </w:p>
        </w:tc>
      </w:tr>
      <w:tr w:rsidR="00086510" w:rsidRPr="00F276DA" w14:paraId="545A6877" w14:textId="77777777" w:rsidTr="00086510">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15DDD9B" w14:textId="77777777" w:rsidR="00086510" w:rsidRPr="00F276DA" w:rsidRDefault="00086510" w:rsidP="00086510">
            <w:pPr>
              <w:spacing w:after="0"/>
              <w:rPr>
                <w:rFonts w:eastAsia="Times New Roman" w:cs="Calibri"/>
                <w:color w:val="000000"/>
                <w:sz w:val="16"/>
                <w:szCs w:val="16"/>
                <w:lang w:eastAsia="es-MX"/>
              </w:rPr>
            </w:pPr>
            <w:r>
              <w:rPr>
                <w:rFonts w:eastAsia="Times New Roman" w:cs="Calibri"/>
                <w:color w:val="000000"/>
                <w:sz w:val="16"/>
                <w:szCs w:val="16"/>
                <w:lang w:eastAsia="es-MX"/>
              </w:rPr>
              <w:t>Pegaso</w:t>
            </w:r>
          </w:p>
        </w:tc>
        <w:tc>
          <w:tcPr>
            <w:tcW w:w="1848" w:type="dxa"/>
            <w:tcBorders>
              <w:top w:val="nil"/>
              <w:left w:val="nil"/>
              <w:bottom w:val="single" w:sz="4" w:space="0" w:color="auto"/>
              <w:right w:val="single" w:sz="4" w:space="0" w:color="auto"/>
            </w:tcBorders>
            <w:shd w:val="clear" w:color="auto" w:fill="auto"/>
            <w:noWrap/>
            <w:vAlign w:val="center"/>
            <w:hideMark/>
          </w:tcPr>
          <w:p w14:paraId="490B5F78" w14:textId="77777777" w:rsidR="00086510" w:rsidRPr="00F276DA" w:rsidRDefault="00086510" w:rsidP="00086510">
            <w:pPr>
              <w:spacing w:after="0"/>
              <w:jc w:val="center"/>
              <w:rPr>
                <w:rFonts w:eastAsia="Times New Roman" w:cs="Calibri"/>
                <w:color w:val="000000"/>
                <w:sz w:val="16"/>
                <w:szCs w:val="16"/>
                <w:lang w:eastAsia="es-MX"/>
              </w:rPr>
            </w:pPr>
            <w:r w:rsidRPr="00F276DA">
              <w:rPr>
                <w:rFonts w:eastAsia="Times New Roman" w:cs="Calibri"/>
                <w:color w:val="000000"/>
                <w:sz w:val="16"/>
                <w:szCs w:val="16"/>
                <w:lang w:eastAsia="es-MX"/>
              </w:rPr>
              <w:t>1.6%</w:t>
            </w:r>
          </w:p>
        </w:tc>
      </w:tr>
      <w:tr w:rsidR="00086510" w:rsidRPr="00F276DA" w14:paraId="6A4FB928" w14:textId="77777777" w:rsidTr="00086510">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B669052" w14:textId="77777777" w:rsidR="00086510" w:rsidRPr="00F276DA" w:rsidRDefault="00086510" w:rsidP="00086510">
            <w:pPr>
              <w:spacing w:after="0"/>
              <w:rPr>
                <w:rFonts w:eastAsia="Times New Roman" w:cs="Calibri"/>
                <w:color w:val="000000"/>
                <w:sz w:val="16"/>
                <w:szCs w:val="16"/>
                <w:lang w:eastAsia="es-MX"/>
              </w:rPr>
            </w:pPr>
            <w:r>
              <w:rPr>
                <w:rFonts w:eastAsia="Times New Roman" w:cs="Calibri"/>
                <w:color w:val="000000"/>
                <w:sz w:val="16"/>
                <w:szCs w:val="16"/>
                <w:lang w:eastAsia="es-MX"/>
              </w:rPr>
              <w:t>ATC</w:t>
            </w:r>
            <w:r w:rsidRPr="008B356E">
              <w:rPr>
                <w:rFonts w:eastAsia="Times New Roman" w:cs="Calibri"/>
                <w:color w:val="000000"/>
                <w:sz w:val="16"/>
                <w:szCs w:val="16"/>
                <w:vertAlign w:val="superscript"/>
                <w:lang w:eastAsia="es-MX"/>
              </w:rPr>
              <w:t>\</w:t>
            </w:r>
            <w:r>
              <w:rPr>
                <w:rFonts w:eastAsia="Times New Roman" w:cs="Calibri"/>
                <w:color w:val="000000"/>
                <w:sz w:val="16"/>
                <w:szCs w:val="16"/>
                <w:vertAlign w:val="superscript"/>
                <w:lang w:eastAsia="es-MX"/>
              </w:rPr>
              <w:t>a</w:t>
            </w:r>
          </w:p>
        </w:tc>
        <w:tc>
          <w:tcPr>
            <w:tcW w:w="1848" w:type="dxa"/>
            <w:tcBorders>
              <w:top w:val="nil"/>
              <w:left w:val="nil"/>
              <w:bottom w:val="single" w:sz="4" w:space="0" w:color="auto"/>
              <w:right w:val="single" w:sz="4" w:space="0" w:color="auto"/>
            </w:tcBorders>
            <w:shd w:val="clear" w:color="auto" w:fill="auto"/>
            <w:noWrap/>
            <w:vAlign w:val="center"/>
            <w:hideMark/>
          </w:tcPr>
          <w:p w14:paraId="18BB73A1" w14:textId="77777777" w:rsidR="00086510" w:rsidRPr="00F276DA" w:rsidRDefault="00086510" w:rsidP="00086510">
            <w:pPr>
              <w:spacing w:after="0"/>
              <w:jc w:val="center"/>
              <w:rPr>
                <w:rFonts w:eastAsia="Times New Roman" w:cs="Calibri"/>
                <w:color w:val="000000"/>
                <w:sz w:val="16"/>
                <w:szCs w:val="16"/>
                <w:lang w:eastAsia="es-MX"/>
              </w:rPr>
            </w:pPr>
            <w:r w:rsidRPr="00F276DA">
              <w:rPr>
                <w:rFonts w:eastAsia="Times New Roman" w:cs="Calibri"/>
                <w:color w:val="000000"/>
                <w:sz w:val="16"/>
                <w:szCs w:val="16"/>
                <w:lang w:eastAsia="es-MX"/>
              </w:rPr>
              <w:t>0.7%</w:t>
            </w:r>
          </w:p>
        </w:tc>
      </w:tr>
      <w:tr w:rsidR="00086510" w:rsidRPr="00E201FC" w14:paraId="19837C24" w14:textId="77777777" w:rsidTr="00086510">
        <w:trPr>
          <w:trHeight w:val="2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F334A" w14:textId="77777777" w:rsidR="00086510" w:rsidRPr="00E201FC" w:rsidRDefault="00086510" w:rsidP="00086510">
            <w:pPr>
              <w:spacing w:after="0"/>
              <w:jc w:val="center"/>
              <w:rPr>
                <w:rFonts w:eastAsia="Times New Roman" w:cs="Calibri"/>
                <w:b/>
                <w:color w:val="000000"/>
                <w:sz w:val="16"/>
                <w:szCs w:val="16"/>
                <w:lang w:eastAsia="es-MX"/>
              </w:rPr>
            </w:pPr>
            <w:r w:rsidRPr="00E201FC">
              <w:rPr>
                <w:rFonts w:eastAsia="Times New Roman" w:cs="Calibri"/>
                <w:b/>
                <w:color w:val="000000"/>
                <w:sz w:val="16"/>
                <w:szCs w:val="16"/>
                <w:lang w:eastAsia="es-MX"/>
              </w:rPr>
              <w:t>Total</w:t>
            </w: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1DDF45BF" w14:textId="77777777" w:rsidR="00086510" w:rsidRPr="00E201FC" w:rsidRDefault="00086510" w:rsidP="00086510">
            <w:pPr>
              <w:spacing w:after="0"/>
              <w:jc w:val="center"/>
              <w:rPr>
                <w:rFonts w:eastAsia="Times New Roman" w:cs="Calibri"/>
                <w:b/>
                <w:color w:val="000000"/>
                <w:sz w:val="16"/>
                <w:szCs w:val="16"/>
                <w:lang w:eastAsia="es-MX"/>
              </w:rPr>
            </w:pPr>
            <w:r w:rsidRPr="00E201FC">
              <w:rPr>
                <w:rFonts w:eastAsia="Times New Roman" w:cs="Calibri"/>
                <w:b/>
                <w:color w:val="000000"/>
                <w:sz w:val="16"/>
                <w:szCs w:val="16"/>
                <w:lang w:eastAsia="es-MX"/>
              </w:rPr>
              <w:t>100%</w:t>
            </w:r>
          </w:p>
        </w:tc>
      </w:tr>
      <w:tr w:rsidR="00086510" w:rsidRPr="00E201FC" w14:paraId="537F589D" w14:textId="77777777" w:rsidTr="00086510">
        <w:trPr>
          <w:trHeight w:val="2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E3D0E" w14:textId="77777777" w:rsidR="00086510" w:rsidRPr="00E201FC" w:rsidRDefault="00086510" w:rsidP="00086510">
            <w:pPr>
              <w:spacing w:after="0"/>
              <w:jc w:val="center"/>
              <w:rPr>
                <w:rFonts w:eastAsia="Times New Roman" w:cs="Calibri"/>
                <w:b/>
                <w:color w:val="000000"/>
                <w:sz w:val="16"/>
                <w:szCs w:val="16"/>
                <w:lang w:eastAsia="es-MX"/>
              </w:rPr>
            </w:pPr>
            <w:r>
              <w:rPr>
                <w:rFonts w:eastAsia="Times New Roman" w:cs="Calibri"/>
                <w:b/>
                <w:color w:val="000000"/>
                <w:sz w:val="16"/>
                <w:szCs w:val="16"/>
                <w:lang w:eastAsia="es-MX"/>
              </w:rPr>
              <w:t>IH</w:t>
            </w: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2B922F8" w14:textId="77777777" w:rsidR="00086510" w:rsidRPr="00E201FC" w:rsidRDefault="00086510" w:rsidP="00086510">
            <w:pPr>
              <w:spacing w:after="0"/>
              <w:jc w:val="center"/>
              <w:rPr>
                <w:rFonts w:eastAsia="Times New Roman" w:cs="Calibri"/>
                <w:b/>
                <w:color w:val="000000"/>
                <w:sz w:val="16"/>
                <w:szCs w:val="16"/>
                <w:lang w:eastAsia="es-MX"/>
              </w:rPr>
            </w:pPr>
            <w:r>
              <w:rPr>
                <w:rFonts w:eastAsia="Times New Roman" w:cs="Calibri"/>
                <w:b/>
                <w:color w:val="000000"/>
                <w:sz w:val="16"/>
                <w:szCs w:val="16"/>
                <w:lang w:eastAsia="es-MX"/>
              </w:rPr>
              <w:t>2,385</w:t>
            </w:r>
          </w:p>
        </w:tc>
      </w:tr>
    </w:tbl>
    <w:p w14:paraId="577754AD" w14:textId="77777777" w:rsidR="00086510" w:rsidRDefault="00086510" w:rsidP="00086510">
      <w:pPr>
        <w:spacing w:after="0"/>
        <w:jc w:val="both"/>
        <w:rPr>
          <w:sz w:val="16"/>
          <w:szCs w:val="16"/>
        </w:rPr>
      </w:pPr>
      <w:r>
        <w:rPr>
          <w:sz w:val="16"/>
          <w:szCs w:val="16"/>
        </w:rPr>
        <w:t>Notas:</w:t>
      </w:r>
    </w:p>
    <w:p w14:paraId="17F8624B" w14:textId="77777777" w:rsidR="00086510" w:rsidRDefault="00086510" w:rsidP="00086510">
      <w:pPr>
        <w:spacing w:after="0"/>
        <w:jc w:val="both"/>
        <w:rPr>
          <w:sz w:val="16"/>
          <w:szCs w:val="16"/>
        </w:rPr>
      </w:pPr>
      <w:r w:rsidRPr="00F11597">
        <w:rPr>
          <w:sz w:val="16"/>
          <w:szCs w:val="16"/>
          <w:vertAlign w:val="superscript"/>
        </w:rPr>
        <w:t>\</w:t>
      </w:r>
      <w:r>
        <w:rPr>
          <w:sz w:val="16"/>
          <w:szCs w:val="16"/>
          <w:vertAlign w:val="superscript"/>
        </w:rPr>
        <w:t>a</w:t>
      </w:r>
      <w:r w:rsidRPr="00673243">
        <w:rPr>
          <w:sz w:val="16"/>
          <w:szCs w:val="16"/>
        </w:rPr>
        <w:t xml:space="preserve"> </w:t>
      </w:r>
      <w:r>
        <w:rPr>
          <w:sz w:val="16"/>
          <w:szCs w:val="16"/>
        </w:rPr>
        <w:t xml:space="preserve">Los ingresos de ATC </w:t>
      </w:r>
      <w:r w:rsidRPr="00673243">
        <w:rPr>
          <w:sz w:val="16"/>
          <w:szCs w:val="16"/>
        </w:rPr>
        <w:t>Incluye</w:t>
      </w:r>
      <w:r>
        <w:rPr>
          <w:sz w:val="16"/>
          <w:szCs w:val="16"/>
        </w:rPr>
        <w:t>n</w:t>
      </w:r>
      <w:r w:rsidRPr="00673243">
        <w:rPr>
          <w:sz w:val="16"/>
          <w:szCs w:val="16"/>
        </w:rPr>
        <w:t xml:space="preserve"> los ingresos de Metro Net de enero a octubre de dos mil diecisiete y </w:t>
      </w:r>
      <w:r>
        <w:rPr>
          <w:sz w:val="16"/>
          <w:szCs w:val="16"/>
        </w:rPr>
        <w:t xml:space="preserve">de CFCA Telecomm </w:t>
      </w:r>
      <w:r w:rsidRPr="00673243">
        <w:rPr>
          <w:sz w:val="16"/>
          <w:szCs w:val="16"/>
        </w:rPr>
        <w:t>de noviembre a diciembre de dos mil diecisiete</w:t>
      </w:r>
      <w:r>
        <w:rPr>
          <w:sz w:val="16"/>
          <w:szCs w:val="16"/>
        </w:rPr>
        <w:t>.</w:t>
      </w:r>
    </w:p>
    <w:p w14:paraId="2EDF8AE0" w14:textId="77777777" w:rsidR="00086510" w:rsidRPr="00B1657F" w:rsidRDefault="00086510" w:rsidP="00086510">
      <w:pPr>
        <w:spacing w:after="0"/>
        <w:jc w:val="both"/>
        <w:rPr>
          <w:sz w:val="16"/>
          <w:szCs w:val="16"/>
        </w:rPr>
      </w:pPr>
      <w:r w:rsidRPr="002A7996">
        <w:rPr>
          <w:sz w:val="16"/>
          <w:szCs w:val="16"/>
          <w:vertAlign w:val="superscript"/>
        </w:rPr>
        <w:t>\b</w:t>
      </w:r>
      <w:r>
        <w:rPr>
          <w:sz w:val="16"/>
          <w:szCs w:val="16"/>
          <w:vertAlign w:val="superscript"/>
        </w:rPr>
        <w:t xml:space="preserve"> </w:t>
      </w:r>
      <w:r>
        <w:rPr>
          <w:sz w:val="16"/>
          <w:szCs w:val="16"/>
        </w:rPr>
        <w:t>Cifras redondeadas.</w:t>
      </w:r>
    </w:p>
    <w:p w14:paraId="50DF6C9F" w14:textId="77777777" w:rsidR="00086510" w:rsidRPr="00F276DA" w:rsidRDefault="00086510" w:rsidP="00086510">
      <w:pPr>
        <w:jc w:val="both"/>
        <w:rPr>
          <w:sz w:val="16"/>
          <w:szCs w:val="16"/>
        </w:rPr>
      </w:pPr>
      <w:r w:rsidRPr="00F13D0A">
        <w:rPr>
          <w:sz w:val="16"/>
          <w:szCs w:val="16"/>
        </w:rPr>
        <w:t>Fuente: Elaboración propia con base en</w:t>
      </w:r>
      <w:r>
        <w:rPr>
          <w:sz w:val="16"/>
          <w:szCs w:val="16"/>
        </w:rPr>
        <w:t xml:space="preserve"> la información de ingresos proporciona</w:t>
      </w:r>
      <w:r w:rsidRPr="0018086F">
        <w:rPr>
          <w:sz w:val="16"/>
          <w:szCs w:val="16"/>
        </w:rPr>
        <w:t xml:space="preserve">da por </w:t>
      </w:r>
      <w:r>
        <w:rPr>
          <w:sz w:val="16"/>
          <w:szCs w:val="16"/>
        </w:rPr>
        <w:t>AMX/Telesites, Axtel, ATC, GTV, IP Matrix, Megacable, Pegaso y Total Play. F</w:t>
      </w:r>
      <w:r w:rsidRPr="0018086F">
        <w:rPr>
          <w:sz w:val="16"/>
          <w:szCs w:val="16"/>
        </w:rPr>
        <w:t xml:space="preserve">ojas 3520, 3553, 3702, 3756, 5462, </w:t>
      </w:r>
      <w:r>
        <w:rPr>
          <w:sz w:val="16"/>
          <w:szCs w:val="16"/>
        </w:rPr>
        <w:t xml:space="preserve">6445 a 6451, 6459, 6073, 6188, 6507, 6917, 6918, 7142, </w:t>
      </w:r>
      <w:r w:rsidRPr="0018086F">
        <w:rPr>
          <w:sz w:val="16"/>
          <w:szCs w:val="16"/>
        </w:rPr>
        <w:t>7143, 7157, 7872</w:t>
      </w:r>
      <w:r>
        <w:rPr>
          <w:sz w:val="16"/>
          <w:szCs w:val="16"/>
        </w:rPr>
        <w:t xml:space="preserve"> a </w:t>
      </w:r>
      <w:r w:rsidRPr="0018086F">
        <w:rPr>
          <w:sz w:val="16"/>
          <w:szCs w:val="16"/>
        </w:rPr>
        <w:t>7875, 7883, 7798, 7810</w:t>
      </w:r>
      <w:r>
        <w:rPr>
          <w:sz w:val="16"/>
          <w:szCs w:val="16"/>
        </w:rPr>
        <w:t>, 8737, 8738 y 8741 del Expediente</w:t>
      </w:r>
      <w:r w:rsidRPr="00A74105">
        <w:rPr>
          <w:sz w:val="16"/>
          <w:szCs w:val="16"/>
        </w:rPr>
        <w:t>.</w:t>
      </w:r>
    </w:p>
    <w:p w14:paraId="2656E0E9" w14:textId="77777777" w:rsidR="00086510" w:rsidRDefault="00086510" w:rsidP="009B0A36">
      <w:pPr>
        <w:pStyle w:val="Prrafodelista"/>
        <w:numPr>
          <w:ilvl w:val="0"/>
          <w:numId w:val="13"/>
        </w:numPr>
        <w:spacing w:before="120" w:after="120" w:line="240" w:lineRule="auto"/>
        <w:contextualSpacing w:val="0"/>
        <w:jc w:val="both"/>
      </w:pPr>
      <w:r>
        <w:t>E</w:t>
      </w:r>
      <w:r w:rsidRPr="00E201FC">
        <w:t>l nivel de concentración de</w:t>
      </w:r>
      <w:r>
        <w:t>l mercado relevante asciende a</w:t>
      </w:r>
      <w:r w:rsidRPr="00E201FC">
        <w:t xml:space="preserve"> 2,385 puntos</w:t>
      </w:r>
      <w:r>
        <w:t xml:space="preserve">. </w:t>
      </w:r>
      <w:r w:rsidRPr="00E201FC">
        <w:t>AMX</w:t>
      </w:r>
      <w:r>
        <w:t>/Telesites figura como</w:t>
      </w:r>
      <w:r w:rsidRPr="00E201FC">
        <w:t xml:space="preserve"> el competidor con la mayor participación de mercado (39.3%), seguido de Axtel (19.4</w:t>
      </w:r>
      <w:r>
        <w:t xml:space="preserve">%); mientras </w:t>
      </w:r>
      <w:r w:rsidRPr="00F53989">
        <w:t>que ATC</w:t>
      </w:r>
      <w:r>
        <w:t xml:space="preserve"> tiene una participación menor a 1.0%. Dado que la Operación implica la sustitución de un </w:t>
      </w:r>
      <w:r w:rsidR="00122983">
        <w:t>a</w:t>
      </w:r>
      <w:r>
        <w:t xml:space="preserve">gente </w:t>
      </w:r>
      <w:r w:rsidR="00122983">
        <w:t>e</w:t>
      </w:r>
      <w:r>
        <w:t>conómico por otro en el mercado relevante, el IH no sufre modificación alguna.</w:t>
      </w:r>
    </w:p>
    <w:p w14:paraId="6E86AD78" w14:textId="1AFBCFBA" w:rsidR="00086510" w:rsidRPr="00970E1A" w:rsidRDefault="00086510" w:rsidP="00C73613">
      <w:pPr>
        <w:pStyle w:val="Prrafodelista"/>
        <w:numPr>
          <w:ilvl w:val="0"/>
          <w:numId w:val="13"/>
        </w:numPr>
        <w:spacing w:before="120" w:after="120" w:line="240" w:lineRule="auto"/>
        <w:contextualSpacing w:val="0"/>
        <w:jc w:val="both"/>
      </w:pPr>
      <w:r>
        <w:t xml:space="preserve">De la </w:t>
      </w:r>
      <w:r w:rsidRPr="00970E1A">
        <w:t>Tabla 13, se observa</w:t>
      </w:r>
      <w:r>
        <w:t xml:space="preserve"> que existen </w:t>
      </w:r>
      <w:r w:rsidRPr="00182DF0">
        <w:t xml:space="preserve">otros </w:t>
      </w:r>
      <w:r>
        <w:t>competidores con mayor presencia como AMX/Telesites, Axtel, Total Play y GTV, los cuales podrían</w:t>
      </w:r>
      <w:r w:rsidRPr="00182DF0">
        <w:t xml:space="preserve"> restring</w:t>
      </w:r>
      <w:r>
        <w:t xml:space="preserve">ir la </w:t>
      </w:r>
      <w:r w:rsidRPr="00182DF0">
        <w:t xml:space="preserve">capacidad </w:t>
      </w:r>
      <w:r>
        <w:t xml:space="preserve">de ATC para </w:t>
      </w:r>
      <w:r w:rsidRPr="00182DF0">
        <w:t xml:space="preserve">fijar precios o </w:t>
      </w:r>
      <w:r>
        <w:t>limitar el abasto de</w:t>
      </w:r>
      <w:r w:rsidRPr="00182DF0">
        <w:t xml:space="preserve">l </w:t>
      </w:r>
      <w:r>
        <w:t>servicio de acceso a internet dedicado. En particular, r</w:t>
      </w:r>
      <w:r w:rsidRPr="00182DF0">
        <w:t xml:space="preserve">esalta </w:t>
      </w:r>
      <w:r w:rsidRPr="00F53989">
        <w:t xml:space="preserve">que </w:t>
      </w:r>
      <w:r w:rsidR="001809A9" w:rsidRPr="005870A1">
        <w:rPr>
          <w:b/>
          <w:bCs/>
          <w:color w:val="0000CC"/>
        </w:rPr>
        <w:t>“CONFIDENCIAL POR LEY”</w:t>
      </w:r>
      <w:r>
        <w:t xml:space="preserve"> que el cobrado por </w:t>
      </w:r>
      <w:r w:rsidR="008603BC" w:rsidRPr="005870A1">
        <w:rPr>
          <w:b/>
          <w:bCs/>
          <w:color w:val="0000CC"/>
        </w:rPr>
        <w:t>“CONFIDENCIAL POR LEY”</w:t>
      </w:r>
      <w:r w:rsidRPr="00970E1A">
        <w:t>, como se observa en el Gráfico 8:</w:t>
      </w:r>
      <w:r w:rsidR="00B77B6D">
        <w:br w:type="page"/>
      </w:r>
    </w:p>
    <w:p w14:paraId="3FB9C42A" w14:textId="386E1A1E" w:rsidR="00086510" w:rsidRDefault="00086510" w:rsidP="00086510">
      <w:pPr>
        <w:keepNext/>
        <w:spacing w:after="0"/>
        <w:jc w:val="center"/>
      </w:pPr>
      <w:r w:rsidRPr="00970E1A">
        <w:rPr>
          <w:b/>
          <w:sz w:val="18"/>
          <w:szCs w:val="20"/>
        </w:rPr>
        <w:lastRenderedPageBreak/>
        <w:t>Gráfico 8. Precios</w:t>
      </w:r>
      <w:r w:rsidRPr="00017F36">
        <w:rPr>
          <w:b/>
          <w:sz w:val="18"/>
          <w:szCs w:val="20"/>
        </w:rPr>
        <w:t xml:space="preserve"> implícitos </w:t>
      </w:r>
      <w:r>
        <w:rPr>
          <w:b/>
          <w:sz w:val="18"/>
          <w:szCs w:val="20"/>
        </w:rPr>
        <w:t>promedio</w:t>
      </w:r>
      <w:r w:rsidRPr="00017F36">
        <w:rPr>
          <w:b/>
          <w:sz w:val="18"/>
          <w:szCs w:val="20"/>
        </w:rPr>
        <w:t xml:space="preserve"> </w:t>
      </w:r>
      <w:r>
        <w:rPr>
          <w:b/>
          <w:sz w:val="18"/>
          <w:szCs w:val="20"/>
        </w:rPr>
        <w:t>por Mbps</w:t>
      </w:r>
      <w:r w:rsidRPr="00017F36">
        <w:rPr>
          <w:b/>
          <w:sz w:val="18"/>
          <w:szCs w:val="20"/>
          <w:vertAlign w:val="superscript"/>
        </w:rPr>
        <w:t>\a</w:t>
      </w:r>
      <w:r w:rsidRPr="00017F36">
        <w:rPr>
          <w:b/>
          <w:sz w:val="18"/>
          <w:szCs w:val="20"/>
        </w:rPr>
        <w:t xml:space="preserve"> del servicio de</w:t>
      </w:r>
      <w:r>
        <w:rPr>
          <w:b/>
          <w:sz w:val="18"/>
          <w:szCs w:val="20"/>
        </w:rPr>
        <w:t xml:space="preserve"> acceso a internet dedicado, para </w:t>
      </w:r>
      <w:r w:rsidR="001809A9" w:rsidRPr="008603BC">
        <w:rPr>
          <w:b/>
          <w:bCs/>
          <w:color w:val="0000CC"/>
          <w:sz w:val="18"/>
          <w:szCs w:val="18"/>
        </w:rPr>
        <w:t>“CONFIDENCIAL POR LEY”</w:t>
      </w:r>
      <w:r>
        <w:rPr>
          <w:b/>
          <w:sz w:val="18"/>
          <w:szCs w:val="20"/>
        </w:rPr>
        <w:t xml:space="preserve">, </w:t>
      </w:r>
      <w:r w:rsidR="008603BC" w:rsidRPr="008603BC">
        <w:rPr>
          <w:b/>
          <w:bCs/>
          <w:color w:val="0000CC"/>
          <w:sz w:val="18"/>
          <w:szCs w:val="18"/>
        </w:rPr>
        <w:t>“CONFIDENCIAL POR LEY”</w:t>
      </w:r>
      <w:r>
        <w:rPr>
          <w:b/>
          <w:sz w:val="18"/>
          <w:szCs w:val="20"/>
        </w:rPr>
        <w:t>, pesos corrientes sin IVA, 2016-1T2018</w:t>
      </w:r>
      <w:r w:rsidR="00BE0179" w:rsidRPr="009400CD">
        <w:rPr>
          <w:noProof/>
          <w:sz w:val="16"/>
          <w:szCs w:val="20"/>
          <w:lang w:eastAsia="es-MX"/>
        </w:rPr>
        <mc:AlternateContent>
          <mc:Choice Requires="wps">
            <w:drawing>
              <wp:inline distT="0" distB="0" distL="0" distR="0" wp14:anchorId="1A582D4D" wp14:editId="43CEAF1A">
                <wp:extent cx="2448560" cy="1502410"/>
                <wp:effectExtent l="0" t="0" r="27940" b="21590"/>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502410"/>
                        </a:xfrm>
                        <a:prstGeom prst="rect">
                          <a:avLst/>
                        </a:prstGeom>
                        <a:solidFill>
                          <a:srgbClr val="FFFFFF"/>
                        </a:solidFill>
                        <a:ln w="9525">
                          <a:solidFill>
                            <a:srgbClr val="000000"/>
                          </a:solidFill>
                          <a:miter lim="800000"/>
                          <a:headEnd/>
                          <a:tailEnd/>
                        </a:ln>
                      </wps:spPr>
                      <wps:txbx>
                        <w:txbxContent>
                          <w:p w14:paraId="4C9E7687" w14:textId="77777777" w:rsidR="0006497B" w:rsidRPr="00850642" w:rsidRDefault="0006497B" w:rsidP="00BE0179">
                            <w:pPr>
                              <w:jc w:val="center"/>
                              <w:rPr>
                                <w:sz w:val="36"/>
                                <w:szCs w:val="36"/>
                              </w:rPr>
                            </w:pPr>
                            <w:r w:rsidRPr="00850642">
                              <w:rPr>
                                <w:b/>
                                <w:bCs/>
                                <w:color w:val="0000CC"/>
                                <w:sz w:val="36"/>
                                <w:szCs w:val="36"/>
                              </w:rPr>
                              <w:t>“CONFIDENCIAL POR LEY”</w:t>
                            </w:r>
                          </w:p>
                        </w:txbxContent>
                      </wps:txbx>
                      <wps:bodyPr rot="0" vert="horz" wrap="square" lIns="91440" tIns="45720" rIns="91440" bIns="45720" anchor="t" anchorCtr="0">
                        <a:noAutofit/>
                      </wps:bodyPr>
                    </wps:wsp>
                  </a:graphicData>
                </a:graphic>
              </wp:inline>
            </w:drawing>
          </mc:Choice>
          <mc:Fallback>
            <w:pict>
              <v:shape w14:anchorId="1A582D4D" id="_x0000_s1028" type="#_x0000_t202" style="width:192.8pt;height:1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">
                <v:textbox>
                  <w:txbxContent>
                    <w:p w14:paraId="4C9E7687" w14:textId="77777777" w:rsidR="0006497B" w:rsidRPr="00850642" w:rsidRDefault="0006497B" w:rsidP="00BE0179">
                      <w:pPr>
                        <w:jc w:val="center"/>
                        <w:rPr>
                          <w:sz w:val="36"/>
                          <w:szCs w:val="36"/>
                        </w:rPr>
                      </w:pPr>
                      <w:r w:rsidRPr="00850642">
                        <w:rPr>
                          <w:b/>
                          <w:bCs/>
                          <w:color w:val="0000CC"/>
                          <w:sz w:val="36"/>
                          <w:szCs w:val="36"/>
                        </w:rPr>
                        <w:t>“CONFIDENCIAL POR LEY”</w:t>
                      </w:r>
                    </w:p>
                  </w:txbxContent>
                </v:textbox>
                <w10:anchorlock/>
              </v:shape>
            </w:pict>
          </mc:Fallback>
        </mc:AlternateContent>
      </w:r>
    </w:p>
    <w:p w14:paraId="54A74491" w14:textId="77777777" w:rsidR="00086510" w:rsidRDefault="00086510" w:rsidP="00086510">
      <w:pPr>
        <w:spacing w:after="0"/>
        <w:jc w:val="center"/>
        <w:rPr>
          <w:vertAlign w:val="superscript"/>
        </w:rPr>
      </w:pPr>
    </w:p>
    <w:p w14:paraId="2FFE4931" w14:textId="77777777" w:rsidR="00086510" w:rsidRPr="00017F36" w:rsidRDefault="00086510" w:rsidP="003E0D85">
      <w:pPr>
        <w:pStyle w:val="Prrafodelista"/>
        <w:spacing w:after="0" w:line="240" w:lineRule="auto"/>
        <w:ind w:left="0"/>
        <w:contextualSpacing w:val="0"/>
        <w:rPr>
          <w:sz w:val="16"/>
        </w:rPr>
      </w:pPr>
      <w:r>
        <w:rPr>
          <w:sz w:val="16"/>
        </w:rPr>
        <w:t>Notas:</w:t>
      </w:r>
    </w:p>
    <w:p w14:paraId="494AA076" w14:textId="77777777" w:rsidR="00086510" w:rsidRDefault="00086510" w:rsidP="00970E1A">
      <w:pPr>
        <w:pStyle w:val="Prrafodelista"/>
        <w:spacing w:after="0" w:line="240" w:lineRule="auto"/>
        <w:ind w:left="0"/>
        <w:contextualSpacing w:val="0"/>
        <w:jc w:val="both"/>
        <w:rPr>
          <w:sz w:val="16"/>
          <w:szCs w:val="16"/>
        </w:rPr>
      </w:pPr>
      <w:r w:rsidRPr="00017F36">
        <w:rPr>
          <w:sz w:val="16"/>
          <w:szCs w:val="16"/>
          <w:vertAlign w:val="superscript"/>
        </w:rPr>
        <w:t>\a</w:t>
      </w:r>
      <w:r w:rsidRPr="00017F36">
        <w:rPr>
          <w:sz w:val="16"/>
          <w:szCs w:val="16"/>
        </w:rPr>
        <w:t xml:space="preserve"> Los precios implícitos </w:t>
      </w:r>
      <w:r>
        <w:rPr>
          <w:sz w:val="16"/>
          <w:szCs w:val="16"/>
        </w:rPr>
        <w:t>promedio</w:t>
      </w:r>
      <w:r w:rsidRPr="00017F36">
        <w:rPr>
          <w:sz w:val="16"/>
          <w:szCs w:val="16"/>
        </w:rPr>
        <w:t xml:space="preserve"> </w:t>
      </w:r>
      <w:r>
        <w:rPr>
          <w:sz w:val="16"/>
          <w:szCs w:val="16"/>
        </w:rPr>
        <w:t xml:space="preserve">por Mbps </w:t>
      </w:r>
      <w:r w:rsidRPr="00017F36">
        <w:rPr>
          <w:sz w:val="16"/>
          <w:szCs w:val="16"/>
        </w:rPr>
        <w:t xml:space="preserve">se obtuvieron </w:t>
      </w:r>
      <w:r>
        <w:rPr>
          <w:sz w:val="16"/>
          <w:szCs w:val="16"/>
        </w:rPr>
        <w:t xml:space="preserve">de </w:t>
      </w:r>
      <w:r w:rsidRPr="00017F36">
        <w:rPr>
          <w:sz w:val="16"/>
          <w:szCs w:val="16"/>
        </w:rPr>
        <w:t xml:space="preserve">dividir el ingreso mensual </w:t>
      </w:r>
      <w:r>
        <w:rPr>
          <w:sz w:val="16"/>
          <w:szCs w:val="16"/>
        </w:rPr>
        <w:t>entre el</w:t>
      </w:r>
      <w:r w:rsidRPr="00017F36">
        <w:rPr>
          <w:sz w:val="16"/>
          <w:szCs w:val="16"/>
        </w:rPr>
        <w:t xml:space="preserve"> número de </w:t>
      </w:r>
      <w:r>
        <w:rPr>
          <w:sz w:val="16"/>
          <w:szCs w:val="16"/>
        </w:rPr>
        <w:t xml:space="preserve">accesos </w:t>
      </w:r>
      <w:r w:rsidRPr="00017F36">
        <w:rPr>
          <w:sz w:val="16"/>
          <w:szCs w:val="16"/>
        </w:rPr>
        <w:t>en términos de</w:t>
      </w:r>
      <w:r>
        <w:rPr>
          <w:sz w:val="16"/>
          <w:szCs w:val="16"/>
        </w:rPr>
        <w:t xml:space="preserve"> </w:t>
      </w:r>
      <w:r w:rsidRPr="00017F36">
        <w:rPr>
          <w:sz w:val="16"/>
          <w:szCs w:val="16"/>
        </w:rPr>
        <w:t>2 Mbps</w:t>
      </w:r>
      <w:r>
        <w:rPr>
          <w:sz w:val="16"/>
          <w:szCs w:val="16"/>
        </w:rPr>
        <w:t>, y el resultado entre 2 Mbps</w:t>
      </w:r>
      <w:r w:rsidRPr="00017F36">
        <w:rPr>
          <w:sz w:val="16"/>
          <w:szCs w:val="16"/>
        </w:rPr>
        <w:t>.</w:t>
      </w:r>
    </w:p>
    <w:p w14:paraId="4EFAA988" w14:textId="1BD95606" w:rsidR="00086510" w:rsidRDefault="00086510" w:rsidP="00970E1A">
      <w:pPr>
        <w:spacing w:after="0"/>
        <w:jc w:val="both"/>
        <w:rPr>
          <w:sz w:val="16"/>
          <w:szCs w:val="16"/>
        </w:rPr>
      </w:pPr>
      <w:r w:rsidRPr="00F11597">
        <w:rPr>
          <w:sz w:val="16"/>
          <w:szCs w:val="16"/>
          <w:vertAlign w:val="superscript"/>
        </w:rPr>
        <w:t>\b</w:t>
      </w:r>
      <w:r w:rsidRPr="00673243">
        <w:rPr>
          <w:sz w:val="16"/>
          <w:szCs w:val="16"/>
        </w:rPr>
        <w:t xml:space="preserve"> </w:t>
      </w:r>
      <w:r>
        <w:rPr>
          <w:sz w:val="16"/>
          <w:szCs w:val="16"/>
        </w:rPr>
        <w:t xml:space="preserve">Los ingresos </w:t>
      </w:r>
      <w:r w:rsidRPr="00F53989">
        <w:rPr>
          <w:sz w:val="16"/>
          <w:szCs w:val="16"/>
        </w:rPr>
        <w:t xml:space="preserve">de </w:t>
      </w:r>
      <w:r w:rsidR="00CD2BD7" w:rsidRPr="00525D12">
        <w:rPr>
          <w:b/>
          <w:bCs/>
          <w:color w:val="0000CC"/>
          <w:sz w:val="16"/>
          <w:szCs w:val="16"/>
        </w:rPr>
        <w:t>“CONFIDENCIAL POR LEY”</w:t>
      </w:r>
      <w:r w:rsidRPr="00F53989">
        <w:rPr>
          <w:sz w:val="16"/>
          <w:szCs w:val="16"/>
        </w:rPr>
        <w:t xml:space="preserve"> incluyen</w:t>
      </w:r>
      <w:r w:rsidRPr="00673243">
        <w:rPr>
          <w:sz w:val="16"/>
          <w:szCs w:val="16"/>
        </w:rPr>
        <w:t xml:space="preserve"> los ingresos de </w:t>
      </w:r>
      <w:r w:rsidR="00CD2BD7" w:rsidRPr="00525D12">
        <w:rPr>
          <w:b/>
          <w:bCs/>
          <w:color w:val="0000CC"/>
          <w:sz w:val="16"/>
          <w:szCs w:val="16"/>
        </w:rPr>
        <w:t>“CONFIDENCIAL POR LEY”</w:t>
      </w:r>
      <w:r w:rsidRPr="00673243">
        <w:rPr>
          <w:sz w:val="16"/>
          <w:szCs w:val="16"/>
        </w:rPr>
        <w:t xml:space="preserve"> de enero </w:t>
      </w:r>
      <w:r>
        <w:rPr>
          <w:sz w:val="16"/>
          <w:szCs w:val="16"/>
        </w:rPr>
        <w:t xml:space="preserve">de dos mil dieciséis </w:t>
      </w:r>
      <w:r w:rsidRPr="00673243">
        <w:rPr>
          <w:sz w:val="16"/>
          <w:szCs w:val="16"/>
        </w:rPr>
        <w:t xml:space="preserve">a octubre de dos mil diecisiete y de </w:t>
      </w:r>
      <w:r w:rsidR="00CD2BD7" w:rsidRPr="00525D12">
        <w:rPr>
          <w:b/>
          <w:bCs/>
          <w:color w:val="0000CC"/>
          <w:sz w:val="16"/>
          <w:szCs w:val="16"/>
        </w:rPr>
        <w:t>“CONFIDENCIAL POR LEY”</w:t>
      </w:r>
      <w:r w:rsidRPr="00673243">
        <w:rPr>
          <w:sz w:val="16"/>
          <w:szCs w:val="16"/>
        </w:rPr>
        <w:t xml:space="preserve"> </w:t>
      </w:r>
      <w:r>
        <w:rPr>
          <w:sz w:val="16"/>
          <w:szCs w:val="16"/>
        </w:rPr>
        <w:t xml:space="preserve">de </w:t>
      </w:r>
      <w:r w:rsidRPr="00673243">
        <w:rPr>
          <w:sz w:val="16"/>
          <w:szCs w:val="16"/>
        </w:rPr>
        <w:t xml:space="preserve">noviembre a diciembre de dos mil diecisiete </w:t>
      </w:r>
      <w:r>
        <w:rPr>
          <w:sz w:val="16"/>
          <w:szCs w:val="16"/>
        </w:rPr>
        <w:t>y primer trimestre de dos mil dieciocho.</w:t>
      </w:r>
    </w:p>
    <w:p w14:paraId="01469802" w14:textId="616F7F25" w:rsidR="00086510" w:rsidRPr="00182DF0" w:rsidRDefault="00086510" w:rsidP="00970E1A">
      <w:pPr>
        <w:spacing w:after="0"/>
        <w:jc w:val="both"/>
        <w:rPr>
          <w:vertAlign w:val="superscript"/>
        </w:rPr>
      </w:pPr>
      <w:r w:rsidRPr="00017F36">
        <w:rPr>
          <w:sz w:val="16"/>
          <w:szCs w:val="16"/>
        </w:rPr>
        <w:t>Fuente:</w:t>
      </w:r>
      <w:r>
        <w:rPr>
          <w:sz w:val="16"/>
          <w:szCs w:val="16"/>
        </w:rPr>
        <w:t xml:space="preserve"> Elaboración propia con base en información de ingresos y número de accesos de internet dedicado de </w:t>
      </w:r>
      <w:r w:rsidR="00525D12" w:rsidRPr="00525D12">
        <w:rPr>
          <w:b/>
          <w:bCs/>
          <w:color w:val="0000CC"/>
          <w:sz w:val="16"/>
          <w:szCs w:val="16"/>
        </w:rPr>
        <w:t>“CONFIDENCIAL POR LEY”</w:t>
      </w:r>
      <w:r>
        <w:rPr>
          <w:sz w:val="16"/>
          <w:szCs w:val="16"/>
        </w:rPr>
        <w:t>. Fojas 3520, 3523, 3553, 4792, 5058, 5084, 6073, 6089, 6188, 6204, 6917, 6918, 6920, 8737, 8738 y 8741 del Expediente.</w:t>
      </w:r>
    </w:p>
    <w:p w14:paraId="0C4230CA" w14:textId="77777777" w:rsidR="00086510" w:rsidRDefault="00086510" w:rsidP="009B0A36">
      <w:pPr>
        <w:pStyle w:val="Prrafodelista"/>
        <w:numPr>
          <w:ilvl w:val="0"/>
          <w:numId w:val="13"/>
        </w:numPr>
        <w:spacing w:before="120" w:after="120" w:line="240" w:lineRule="auto"/>
        <w:contextualSpacing w:val="0"/>
        <w:jc w:val="both"/>
      </w:pPr>
      <w:r w:rsidRPr="00E1749B">
        <w:t xml:space="preserve">En resumen, </w:t>
      </w:r>
      <w:r>
        <w:t>de</w:t>
      </w:r>
      <w:r w:rsidR="00C40AB1">
        <w:t xml:space="preserve"> los elementos expuestos en este</w:t>
      </w:r>
      <w:r>
        <w:t xml:space="preserve"> </w:t>
      </w:r>
      <w:r w:rsidR="00C40AB1">
        <w:t>apartado</w:t>
      </w:r>
      <w:r>
        <w:t xml:space="preserve">, se considera que, derivado de la Operación, </w:t>
      </w:r>
      <w:r w:rsidRPr="00F53989">
        <w:t>ATC no adquiere</w:t>
      </w:r>
      <w:r>
        <w:t xml:space="preserve"> la capacidad de restringir el abasto o de fijar precios en el mercado de acceso a internet dedicado a nivel nacional.</w:t>
      </w:r>
    </w:p>
    <w:p w14:paraId="6256615D" w14:textId="77777777" w:rsidR="00086510" w:rsidRPr="00F7229D" w:rsidRDefault="00086510" w:rsidP="009B0A36">
      <w:pPr>
        <w:pStyle w:val="Ttulo4"/>
        <w:numPr>
          <w:ilvl w:val="3"/>
          <w:numId w:val="23"/>
        </w:numPr>
        <w:ind w:left="567" w:hanging="567"/>
      </w:pPr>
      <w:bookmarkStart w:id="57" w:name="_Toc463297856"/>
      <w:bookmarkStart w:id="58" w:name="_Toc463624345"/>
      <w:r w:rsidRPr="00F7229D">
        <w:t xml:space="preserve">Existencia </w:t>
      </w:r>
      <w:r>
        <w:t xml:space="preserve">y poder </w:t>
      </w:r>
      <w:r w:rsidRPr="00F7229D">
        <w:t xml:space="preserve">de </w:t>
      </w:r>
      <w:r>
        <w:t>sus</w:t>
      </w:r>
      <w:r w:rsidRPr="00F7229D">
        <w:t xml:space="preserve"> competidores</w:t>
      </w:r>
      <w:bookmarkEnd w:id="57"/>
      <w:bookmarkEnd w:id="58"/>
    </w:p>
    <w:p w14:paraId="26E22A08" w14:textId="77777777" w:rsidR="00086510" w:rsidRDefault="00086510" w:rsidP="009B0A36">
      <w:pPr>
        <w:pStyle w:val="Prrafodelista"/>
        <w:numPr>
          <w:ilvl w:val="0"/>
          <w:numId w:val="13"/>
        </w:numPr>
        <w:spacing w:before="120" w:after="120" w:line="240" w:lineRule="auto"/>
        <w:contextualSpacing w:val="0"/>
        <w:jc w:val="both"/>
      </w:pPr>
      <w:r>
        <w:t xml:space="preserve">De acuerdo con el artículo 59, fracción III, de la LFCE, para determinar si uno o varios </w:t>
      </w:r>
      <w:r w:rsidR="00122983">
        <w:t>a</w:t>
      </w:r>
      <w:r>
        <w:t xml:space="preserve">gentes </w:t>
      </w:r>
      <w:r w:rsidR="00122983">
        <w:t>e</w:t>
      </w:r>
      <w:r>
        <w:t>conómicos tienen poder sustancial en el mercado relevante, se deberá considerar:</w:t>
      </w:r>
    </w:p>
    <w:p w14:paraId="4D732CA7" w14:textId="77777777" w:rsidR="00086510" w:rsidRPr="00011489" w:rsidRDefault="00086510" w:rsidP="00086510">
      <w:pPr>
        <w:ind w:left="567" w:right="567"/>
        <w:jc w:val="both"/>
        <w:rPr>
          <w:i/>
          <w:sz w:val="20"/>
          <w:szCs w:val="20"/>
        </w:rPr>
      </w:pPr>
      <w:r>
        <w:rPr>
          <w:i/>
          <w:sz w:val="20"/>
          <w:szCs w:val="20"/>
        </w:rPr>
        <w:t xml:space="preserve">III. </w:t>
      </w:r>
      <w:r w:rsidRPr="00011489">
        <w:rPr>
          <w:i/>
          <w:sz w:val="20"/>
          <w:szCs w:val="20"/>
        </w:rPr>
        <w:t>La existencia y poder de sus competidores;</w:t>
      </w:r>
    </w:p>
    <w:p w14:paraId="5684E1E7" w14:textId="77777777" w:rsidR="00086510" w:rsidRDefault="00086510" w:rsidP="009B0A36">
      <w:pPr>
        <w:pStyle w:val="Prrafodelista"/>
        <w:numPr>
          <w:ilvl w:val="0"/>
          <w:numId w:val="13"/>
        </w:numPr>
        <w:spacing w:before="120" w:after="120" w:line="240" w:lineRule="auto"/>
        <w:contextualSpacing w:val="0"/>
        <w:jc w:val="both"/>
      </w:pPr>
      <w:r>
        <w:t>Los principales competidores de ATC en el mercado relevante de acceso a internet dedicado son</w:t>
      </w:r>
      <w:r w:rsidRPr="00BF749D">
        <w:t xml:space="preserve"> AMX</w:t>
      </w:r>
      <w:r>
        <w:t>/Telesites</w:t>
      </w:r>
      <w:r w:rsidRPr="00BF749D">
        <w:t xml:space="preserve"> con una participación de 39.3%, y Axtel </w:t>
      </w:r>
      <w:r>
        <w:t>con</w:t>
      </w:r>
      <w:r w:rsidRPr="00BF749D">
        <w:t xml:space="preserve"> 19.4%.</w:t>
      </w:r>
      <w:r>
        <w:t xml:space="preserve"> </w:t>
      </w:r>
    </w:p>
    <w:p w14:paraId="42DB2F96" w14:textId="77777777" w:rsidR="00086510" w:rsidRDefault="00086510" w:rsidP="009B0A36">
      <w:pPr>
        <w:pStyle w:val="Prrafodelista"/>
        <w:numPr>
          <w:ilvl w:val="0"/>
          <w:numId w:val="13"/>
        </w:numPr>
        <w:spacing w:before="120" w:after="120" w:line="240" w:lineRule="auto"/>
        <w:contextualSpacing w:val="0"/>
        <w:jc w:val="both"/>
      </w:pPr>
      <w:r>
        <w:t xml:space="preserve">Asimismo, existen otros operadores mejor posicionados que ATC, en términos de la extensión de su red propia de fibra óptica. En dos mil diecisiete, AMX/Telesites acumulaba </w:t>
      </w:r>
      <w:r w:rsidR="00525D12" w:rsidRPr="005870A1">
        <w:rPr>
          <w:b/>
          <w:bCs/>
          <w:color w:val="0000CC"/>
        </w:rPr>
        <w:t>“CONFIDENCIAL POR LEY”</w:t>
      </w:r>
      <w:r>
        <w:t xml:space="preserve"> del total de kilómetros de red de fibra óptica del país; </w:t>
      </w:r>
      <w:r w:rsidRPr="00816141">
        <w:t xml:space="preserve">seguido de Total Play, Axtel y </w:t>
      </w:r>
      <w:r>
        <w:t>Megacable</w:t>
      </w:r>
      <w:r w:rsidRPr="00816141">
        <w:t>, los cuales pose</w:t>
      </w:r>
      <w:r>
        <w:t>ía</w:t>
      </w:r>
      <w:r w:rsidRPr="00816141">
        <w:t xml:space="preserve">n </w:t>
      </w:r>
      <w:r w:rsidR="00525D12" w:rsidRPr="005870A1">
        <w:rPr>
          <w:b/>
          <w:bCs/>
          <w:color w:val="0000CC"/>
        </w:rPr>
        <w:t>“CONFIDENCIAL POR LEY”</w:t>
      </w:r>
      <w:r>
        <w:t xml:space="preserve">, respectivamente. En contraste, la red de </w:t>
      </w:r>
      <w:r w:rsidRPr="00832792">
        <w:t>ATC</w:t>
      </w:r>
      <w:r>
        <w:t xml:space="preserve"> representaba solo </w:t>
      </w:r>
      <w:r w:rsidR="00525D12" w:rsidRPr="005870A1">
        <w:rPr>
          <w:b/>
          <w:bCs/>
          <w:color w:val="0000CC"/>
        </w:rPr>
        <w:t>“CONFIDENCIAL POR LEY”</w:t>
      </w:r>
      <w:r>
        <w:t xml:space="preserve"> del total.</w:t>
      </w:r>
      <w:r>
        <w:rPr>
          <w:rStyle w:val="Refdenotaalpie"/>
        </w:rPr>
        <w:footnoteReference w:id="251"/>
      </w:r>
    </w:p>
    <w:p w14:paraId="6DBD7112" w14:textId="77777777" w:rsidR="00086510" w:rsidRPr="00970E1A" w:rsidRDefault="00086510" w:rsidP="009B0A36">
      <w:pPr>
        <w:pStyle w:val="Prrafodelista"/>
        <w:numPr>
          <w:ilvl w:val="0"/>
          <w:numId w:val="13"/>
        </w:numPr>
        <w:spacing w:before="120" w:after="120" w:line="240" w:lineRule="auto"/>
        <w:contextualSpacing w:val="0"/>
        <w:jc w:val="both"/>
      </w:pPr>
      <w:r w:rsidRPr="00816141">
        <w:t xml:space="preserve">En lo que respecta a infraestructura </w:t>
      </w:r>
      <w:r>
        <w:t xml:space="preserve">pasiva </w:t>
      </w:r>
      <w:r w:rsidRPr="00816141">
        <w:t>propia</w:t>
      </w:r>
      <w:r>
        <w:t>,</w:t>
      </w:r>
      <w:r w:rsidRPr="00816141">
        <w:t xml:space="preserve"> </w:t>
      </w:r>
      <w:r>
        <w:t xml:space="preserve">en dos mil diecisiete, </w:t>
      </w:r>
      <w:r w:rsidRPr="00816141">
        <w:t>ATC pose</w:t>
      </w:r>
      <w:r>
        <w:t>ía</w:t>
      </w:r>
      <w:r w:rsidRPr="00816141">
        <w:t xml:space="preserve"> </w:t>
      </w:r>
      <w:r w:rsidR="00E41560" w:rsidRPr="005870A1">
        <w:rPr>
          <w:b/>
          <w:bCs/>
          <w:color w:val="0000CC"/>
        </w:rPr>
        <w:t>“CONFIDENCIAL POR LEY”</w:t>
      </w:r>
      <w:r w:rsidRPr="00816141">
        <w:t xml:space="preserve"> del total de postes del país, </w:t>
      </w:r>
      <w:r w:rsidR="00E41560" w:rsidRPr="005870A1">
        <w:rPr>
          <w:b/>
          <w:bCs/>
          <w:color w:val="0000CC"/>
        </w:rPr>
        <w:t>“CONFIDENCIAL POR LEY”</w:t>
      </w:r>
      <w:r w:rsidRPr="00816141">
        <w:t xml:space="preserve"> del total de kilómetros de ductos y </w:t>
      </w:r>
      <w:r w:rsidR="00E41560" w:rsidRPr="005870A1">
        <w:rPr>
          <w:b/>
          <w:bCs/>
          <w:color w:val="0000CC"/>
        </w:rPr>
        <w:t>“CONFIDENCIAL POR LEY”</w:t>
      </w:r>
      <w:r w:rsidRPr="00816141">
        <w:t xml:space="preserve"> del total de registros, mientras que la postería de CFE </w:t>
      </w:r>
      <w:r w:rsidR="00FC57D6">
        <w:t xml:space="preserve">Distribución </w:t>
      </w:r>
      <w:r w:rsidRPr="00816141">
        <w:t>representa</w:t>
      </w:r>
      <w:r>
        <w:t>ba</w:t>
      </w:r>
      <w:r w:rsidRPr="00816141">
        <w:t xml:space="preserve"> </w:t>
      </w:r>
      <w:r w:rsidR="00E41560" w:rsidRPr="005870A1">
        <w:rPr>
          <w:b/>
          <w:bCs/>
          <w:color w:val="0000CC"/>
        </w:rPr>
        <w:t>“CONFIDENCIAL POR LEY”</w:t>
      </w:r>
      <w:r w:rsidRPr="00816141">
        <w:t xml:space="preserve"> </w:t>
      </w:r>
      <w:r w:rsidRPr="00816141">
        <w:lastRenderedPageBreak/>
        <w:t>del total de postes del país, y la de AMX</w:t>
      </w:r>
      <w:r>
        <w:t>/Telesites,</w:t>
      </w:r>
      <w:r w:rsidRPr="00816141">
        <w:t xml:space="preserve"> </w:t>
      </w:r>
      <w:r w:rsidR="00E41560" w:rsidRPr="005870A1">
        <w:rPr>
          <w:b/>
          <w:bCs/>
          <w:color w:val="0000CC"/>
        </w:rPr>
        <w:t>“CONFIDENCIAL POR LEY”</w:t>
      </w:r>
      <w:r w:rsidRPr="00816141">
        <w:t>. Asimismo, AMX</w:t>
      </w:r>
      <w:r>
        <w:t>/Telesites</w:t>
      </w:r>
      <w:r w:rsidRPr="00816141">
        <w:t xml:space="preserve"> pose</w:t>
      </w:r>
      <w:r>
        <w:t>ía</w:t>
      </w:r>
      <w:r w:rsidRPr="00816141">
        <w:t xml:space="preserve"> </w:t>
      </w:r>
      <w:r w:rsidR="00E41560" w:rsidRPr="005870A1">
        <w:rPr>
          <w:b/>
          <w:bCs/>
          <w:color w:val="0000CC"/>
        </w:rPr>
        <w:t>“CONFIDENCIAL POR LEY”</w:t>
      </w:r>
      <w:r w:rsidRPr="00816141">
        <w:t xml:space="preserve"> del total de kilómetros de ductos de país y </w:t>
      </w:r>
      <w:r w:rsidR="00E41560" w:rsidRPr="005870A1">
        <w:rPr>
          <w:b/>
          <w:bCs/>
          <w:color w:val="0000CC"/>
        </w:rPr>
        <w:t>“CONFIDENCIAL POR LEY”</w:t>
      </w:r>
      <w:r w:rsidRPr="00816141">
        <w:t xml:space="preserve"> del total de registros.</w:t>
      </w:r>
      <w:r w:rsidRPr="00816141">
        <w:rPr>
          <w:rStyle w:val="Refdenotaalpie"/>
        </w:rPr>
        <w:footnoteReference w:id="252"/>
      </w:r>
      <w:r>
        <w:t xml:space="preserve"> </w:t>
      </w:r>
      <w:r w:rsidRPr="00816141">
        <w:t xml:space="preserve">En este sentido, es posible concluir que ATC tampoco </w:t>
      </w:r>
      <w:r>
        <w:t>controla</w:t>
      </w:r>
      <w:r w:rsidRPr="00816141">
        <w:t xml:space="preserve"> insumos</w:t>
      </w:r>
      <w:r>
        <w:t xml:space="preserve"> que son necesarios para la </w:t>
      </w:r>
      <w:r w:rsidRPr="00970E1A">
        <w:t>provisión del servicio.</w:t>
      </w:r>
    </w:p>
    <w:p w14:paraId="17A7A8BE" w14:textId="77777777" w:rsidR="00086510" w:rsidRDefault="00086510" w:rsidP="009B0A36">
      <w:pPr>
        <w:pStyle w:val="Prrafodelista"/>
        <w:numPr>
          <w:ilvl w:val="0"/>
          <w:numId w:val="13"/>
        </w:numPr>
        <w:spacing w:before="120" w:after="120" w:line="240" w:lineRule="auto"/>
        <w:contextualSpacing w:val="0"/>
        <w:jc w:val="both"/>
      </w:pPr>
      <w:r w:rsidRPr="00970E1A">
        <w:t xml:space="preserve">De lo señalado en los párrafos </w:t>
      </w:r>
      <w:r w:rsidR="00BD3666" w:rsidRPr="00970E1A">
        <w:t>24</w:t>
      </w:r>
      <w:r w:rsidR="006505DE" w:rsidRPr="00970E1A">
        <w:t>6</w:t>
      </w:r>
      <w:r w:rsidR="00BD3666" w:rsidRPr="00970E1A">
        <w:t xml:space="preserve"> a 25</w:t>
      </w:r>
      <w:r w:rsidR="006505DE" w:rsidRPr="00970E1A">
        <w:t>5</w:t>
      </w:r>
      <w:r w:rsidRPr="00970E1A">
        <w:t>, se desprende que, en el mercado relevante del servicio de acceso a internet</w:t>
      </w:r>
      <w:r>
        <w:t xml:space="preserve"> dedicado, existen otros competidores que tienen mayor presencia, y tienen la capacidad de ejercer presión competitiva ante </w:t>
      </w:r>
      <w:r w:rsidRPr="001D3BC0">
        <w:t xml:space="preserve">cualquier </w:t>
      </w:r>
      <w:r w:rsidRPr="00BE763C">
        <w:t>intento de ATC</w:t>
      </w:r>
      <w:r w:rsidRPr="001D3BC0">
        <w:t xml:space="preserve"> de fijar precios o restringir abasto de manera unilateral</w:t>
      </w:r>
      <w:r>
        <w:t>.</w:t>
      </w:r>
    </w:p>
    <w:p w14:paraId="16013567" w14:textId="77777777" w:rsidR="00086510" w:rsidRDefault="00086510" w:rsidP="009B0A36">
      <w:pPr>
        <w:pStyle w:val="Ttulo4"/>
        <w:numPr>
          <w:ilvl w:val="3"/>
          <w:numId w:val="23"/>
        </w:numPr>
        <w:ind w:left="567" w:hanging="567"/>
        <w:jc w:val="both"/>
      </w:pPr>
      <w:bookmarkStart w:id="59" w:name="_Toc463297857"/>
      <w:bookmarkStart w:id="60" w:name="_Toc463624346"/>
      <w:r w:rsidRPr="00570DAF">
        <w:t xml:space="preserve">El comportamiento reciente del o los </w:t>
      </w:r>
      <w:r w:rsidR="00122983">
        <w:t>a</w:t>
      </w:r>
      <w:r w:rsidRPr="00570DAF">
        <w:t xml:space="preserve">gentes </w:t>
      </w:r>
      <w:r w:rsidR="00122983">
        <w:t>e</w:t>
      </w:r>
      <w:r w:rsidRPr="00570DAF">
        <w:t xml:space="preserve">conómicos </w:t>
      </w:r>
      <w:r>
        <w:t>que participan en dicho mercado</w:t>
      </w:r>
      <w:bookmarkEnd w:id="59"/>
      <w:bookmarkEnd w:id="60"/>
    </w:p>
    <w:p w14:paraId="476A629F" w14:textId="77777777" w:rsidR="00086510" w:rsidRPr="00570DAF" w:rsidRDefault="00086510" w:rsidP="009B0A36">
      <w:pPr>
        <w:pStyle w:val="Prrafodelista"/>
        <w:numPr>
          <w:ilvl w:val="0"/>
          <w:numId w:val="13"/>
        </w:numPr>
        <w:spacing w:before="120" w:after="120" w:line="240" w:lineRule="auto"/>
        <w:contextualSpacing w:val="0"/>
        <w:jc w:val="both"/>
      </w:pPr>
      <w:r>
        <w:rPr>
          <w:rFonts w:cs="Times New Roman"/>
          <w:lang w:eastAsia="es-MX"/>
        </w:rPr>
        <w:t xml:space="preserve">La </w:t>
      </w:r>
      <w:r w:rsidRPr="00B9381C">
        <w:t>fracción</w:t>
      </w:r>
      <w:r>
        <w:rPr>
          <w:rFonts w:cs="Times New Roman"/>
          <w:lang w:eastAsia="es-MX"/>
        </w:rPr>
        <w:t xml:space="preserve"> V del artículo 59 de la LFCE establece que </w:t>
      </w:r>
      <w:r>
        <w:t xml:space="preserve">para determinar si uno o varios </w:t>
      </w:r>
      <w:r w:rsidR="007F0A59">
        <w:t>a</w:t>
      </w:r>
      <w:r>
        <w:t xml:space="preserve">gentes </w:t>
      </w:r>
      <w:r w:rsidR="007F0A59">
        <w:t>e</w:t>
      </w:r>
      <w:r>
        <w:t>conómicos tienen poder sustancial en el mercado relevante,</w:t>
      </w:r>
      <w:r>
        <w:rPr>
          <w:rFonts w:cs="Times New Roman"/>
          <w:lang w:eastAsia="es-MX"/>
        </w:rPr>
        <w:t xml:space="preserve"> se debe analizar:</w:t>
      </w:r>
    </w:p>
    <w:p w14:paraId="57563C10" w14:textId="77777777" w:rsidR="00086510" w:rsidRPr="004C53C8" w:rsidRDefault="00086510" w:rsidP="00086510">
      <w:pPr>
        <w:ind w:left="567" w:right="567"/>
        <w:jc w:val="both"/>
        <w:rPr>
          <w:i/>
          <w:sz w:val="20"/>
          <w:szCs w:val="20"/>
        </w:rPr>
      </w:pPr>
      <w:r>
        <w:rPr>
          <w:i/>
          <w:sz w:val="20"/>
          <w:szCs w:val="20"/>
        </w:rPr>
        <w:t xml:space="preserve">V. </w:t>
      </w:r>
      <w:r w:rsidRPr="004C53C8">
        <w:rPr>
          <w:i/>
          <w:sz w:val="20"/>
          <w:szCs w:val="20"/>
        </w:rPr>
        <w:t>El comportamiento reciente del o los Agentes Económicos que participan en dicho mercado,</w:t>
      </w:r>
    </w:p>
    <w:p w14:paraId="224B0489" w14:textId="77777777" w:rsidR="00086510" w:rsidRDefault="00086510" w:rsidP="009B0A36">
      <w:pPr>
        <w:pStyle w:val="Prrafodelista"/>
        <w:numPr>
          <w:ilvl w:val="0"/>
          <w:numId w:val="13"/>
        </w:numPr>
        <w:spacing w:before="120" w:after="120" w:line="240" w:lineRule="auto"/>
        <w:contextualSpacing w:val="0"/>
        <w:jc w:val="both"/>
      </w:pPr>
      <w:r>
        <w:t>Al respecto,</w:t>
      </w:r>
      <w:r w:rsidRPr="00570DAF">
        <w:t xml:space="preserve"> esta Autoridad Investigadora no encontró antecedentes que hayan causado estado respecto a</w:t>
      </w:r>
      <w:r>
        <w:t xml:space="preserve">l comportamiento reciente de </w:t>
      </w:r>
      <w:r w:rsidRPr="00BE763C">
        <w:t>ATC,</w:t>
      </w:r>
      <w:r>
        <w:t xml:space="preserve"> que permitan señalar que </w:t>
      </w:r>
      <w:r w:rsidRPr="00570DAF">
        <w:t xml:space="preserve">ha realizado conductas anticompetitivas en </w:t>
      </w:r>
      <w:r>
        <w:t xml:space="preserve">el mercado relevante </w:t>
      </w:r>
      <w:r w:rsidR="00C40AB1">
        <w:t>del servicio de acceso a internet dedicado</w:t>
      </w:r>
      <w:r w:rsidRPr="00570DAF">
        <w:t>.</w:t>
      </w:r>
    </w:p>
    <w:p w14:paraId="32F9C3A0" w14:textId="77777777" w:rsidR="00086510" w:rsidRPr="00994247" w:rsidRDefault="00086510" w:rsidP="009B0A36">
      <w:pPr>
        <w:pStyle w:val="Prrafodelista"/>
        <w:numPr>
          <w:ilvl w:val="0"/>
          <w:numId w:val="13"/>
        </w:numPr>
        <w:spacing w:before="120" w:after="120" w:line="240" w:lineRule="auto"/>
        <w:contextualSpacing w:val="0"/>
        <w:jc w:val="both"/>
      </w:pPr>
      <w:r w:rsidRPr="00797101">
        <w:t xml:space="preserve">Del </w:t>
      </w:r>
      <w:r w:rsidRPr="00970E1A">
        <w:t xml:space="preserve">análisis de las fracciones I, III y V del artículo 59 de la LFCE, presentado en los párrafos </w:t>
      </w:r>
      <w:r w:rsidR="00B9381C" w:rsidRPr="00970E1A">
        <w:t>24</w:t>
      </w:r>
      <w:r w:rsidR="006505DE" w:rsidRPr="00970E1A">
        <w:t>6</w:t>
      </w:r>
      <w:r w:rsidRPr="00970E1A">
        <w:t xml:space="preserve"> a </w:t>
      </w:r>
      <w:r w:rsidR="00B9381C" w:rsidRPr="00970E1A">
        <w:t>25</w:t>
      </w:r>
      <w:r w:rsidR="006505DE" w:rsidRPr="00970E1A">
        <w:t>8</w:t>
      </w:r>
      <w:r w:rsidR="00B9381C" w:rsidRPr="00970E1A">
        <w:t>,</w:t>
      </w:r>
      <w:r w:rsidRPr="00970E1A">
        <w:t xml:space="preserve"> se desprende</w:t>
      </w:r>
      <w:r>
        <w:t xml:space="preserve"> que </w:t>
      </w:r>
      <w:r w:rsidRPr="005E5AA2">
        <w:t>no existen elementos para determinar que</w:t>
      </w:r>
      <w:r>
        <w:t>, como resultado de la O</w:t>
      </w:r>
      <w:r w:rsidRPr="005E5AA2">
        <w:t>peración</w:t>
      </w:r>
      <w:r w:rsidRPr="00BE763C">
        <w:t>, ATC posea</w:t>
      </w:r>
      <w:r w:rsidRPr="005E5AA2">
        <w:t xml:space="preserve"> la capacidad para fijar precios o restringir el abasto, de manera unilateral, en el mercado relevante del servicio de acceso a internet dedicado. </w:t>
      </w:r>
      <w:r>
        <w:t xml:space="preserve">Lo anterior, en razón de que la Operación tuvo por efecto la sustitución de un </w:t>
      </w:r>
      <w:r w:rsidR="007F0A59">
        <w:t>a</w:t>
      </w:r>
      <w:r>
        <w:t xml:space="preserve">gente </w:t>
      </w:r>
      <w:r w:rsidR="007F0A59">
        <w:t>e</w:t>
      </w:r>
      <w:r>
        <w:t xml:space="preserve">conómico por otro, que alcanza una participación </w:t>
      </w:r>
      <w:r w:rsidRPr="00BF749D">
        <w:t>menor a 1</w:t>
      </w:r>
      <w:r>
        <w:t xml:space="preserve">.0%, y que enfrenta la competencia de operadores con mejor posicionamiento, en términos de su </w:t>
      </w:r>
      <w:r w:rsidRPr="00994247">
        <w:t>participación de mercado</w:t>
      </w:r>
      <w:r>
        <w:t xml:space="preserve"> y</w:t>
      </w:r>
      <w:r w:rsidRPr="00994247">
        <w:t xml:space="preserve"> extensión de </w:t>
      </w:r>
      <w:r>
        <w:t>su</w:t>
      </w:r>
      <w:r w:rsidRPr="00994247">
        <w:t xml:space="preserve"> red </w:t>
      </w:r>
      <w:r>
        <w:t>de fibra óptica</w:t>
      </w:r>
      <w:r w:rsidRPr="00994247">
        <w:t>.</w:t>
      </w:r>
    </w:p>
    <w:p w14:paraId="32D2B262" w14:textId="77777777" w:rsidR="00086510" w:rsidRDefault="00086510" w:rsidP="009B0A36">
      <w:pPr>
        <w:pStyle w:val="Prrafodelista"/>
        <w:numPr>
          <w:ilvl w:val="0"/>
          <w:numId w:val="13"/>
        </w:numPr>
        <w:spacing w:before="120" w:after="120" w:line="240" w:lineRule="auto"/>
        <w:contextualSpacing w:val="0"/>
        <w:jc w:val="both"/>
      </w:pPr>
      <w:r w:rsidRPr="00994247">
        <w:t>En este sentido, esta</w:t>
      </w:r>
      <w:r w:rsidRPr="005E5AA2">
        <w:t xml:space="preserve"> autoridad </w:t>
      </w:r>
      <w:r>
        <w:t>considera</w:t>
      </w:r>
      <w:r w:rsidRPr="005E5AA2">
        <w:t xml:space="preserve"> que resulta innecesario profundizar en el análisis de poder sustancial conforme </w:t>
      </w:r>
      <w:r w:rsidRPr="007319B5">
        <w:t>a las fracciones II</w:t>
      </w:r>
      <w:r>
        <w:t>, IV</w:t>
      </w:r>
      <w:r w:rsidRPr="007319B5">
        <w:t xml:space="preserve"> y VI</w:t>
      </w:r>
      <w:r w:rsidRPr="005E5AA2">
        <w:t xml:space="preserve"> del artículo 59 de la LFCE,</w:t>
      </w:r>
      <w:r w:rsidRPr="00465F87">
        <w:t xml:space="preserve"> en correspondencia con lo establecido en los artículos 7 y 8 de las Disposiciones Regulatorias</w:t>
      </w:r>
      <w:r>
        <w:t>,</w:t>
      </w:r>
      <w:r w:rsidRPr="005E5AA2">
        <w:t xml:space="preserve"> pues dicho análisis no conduciría a un resultado distinto.</w:t>
      </w:r>
    </w:p>
    <w:p w14:paraId="58122A99" w14:textId="77777777" w:rsidR="00086510" w:rsidRDefault="00430A36" w:rsidP="009B0A36">
      <w:pPr>
        <w:pStyle w:val="Ttulo3"/>
        <w:numPr>
          <w:ilvl w:val="2"/>
          <w:numId w:val="23"/>
        </w:numPr>
        <w:ind w:left="397" w:hanging="397"/>
        <w:rPr>
          <w:rFonts w:eastAsiaTheme="minorHAnsi"/>
          <w:szCs w:val="32"/>
        </w:rPr>
      </w:pPr>
      <w:r w:rsidRPr="00924E8C">
        <w:lastRenderedPageBreak/>
        <w:t xml:space="preserve">Servicio de </w:t>
      </w:r>
      <w:r>
        <w:t>a</w:t>
      </w:r>
      <w:r w:rsidRPr="00924E8C">
        <w:t>rrendamiento de sitios de telecomunicaciones</w:t>
      </w:r>
    </w:p>
    <w:p w14:paraId="4BF916FC" w14:textId="77777777" w:rsidR="00086510" w:rsidRPr="007F1C5D" w:rsidRDefault="00086510" w:rsidP="009B0A36">
      <w:pPr>
        <w:pStyle w:val="Ttulo4"/>
        <w:numPr>
          <w:ilvl w:val="3"/>
          <w:numId w:val="23"/>
        </w:numPr>
        <w:ind w:left="567" w:hanging="567"/>
        <w:jc w:val="both"/>
      </w:pPr>
      <w:bookmarkStart w:id="61" w:name="_Toc428872212"/>
      <w:r w:rsidRPr="007F1C5D">
        <w:t>Participación de mercado</w:t>
      </w:r>
      <w:bookmarkEnd w:id="61"/>
      <w:r>
        <w:t xml:space="preserve"> </w:t>
      </w:r>
      <w:r w:rsidRPr="007976E6">
        <w:t>y capacidad de fijar precios o restringir el abasto</w:t>
      </w:r>
    </w:p>
    <w:p w14:paraId="2DF38E80" w14:textId="77777777" w:rsidR="00086510" w:rsidRDefault="00086510" w:rsidP="009B0A36">
      <w:pPr>
        <w:pStyle w:val="Prrafodelista"/>
        <w:numPr>
          <w:ilvl w:val="0"/>
          <w:numId w:val="13"/>
        </w:numPr>
        <w:spacing w:before="120" w:after="120" w:line="240" w:lineRule="auto"/>
        <w:contextualSpacing w:val="0"/>
        <w:jc w:val="both"/>
        <w:rPr>
          <w:rFonts w:cs="Times New Roman"/>
        </w:rPr>
      </w:pPr>
      <w:r w:rsidRPr="007976E6">
        <w:t>Conforme</w:t>
      </w:r>
      <w:r w:rsidRPr="009D03D4">
        <w:rPr>
          <w:rFonts w:cs="Times New Roman"/>
        </w:rPr>
        <w:t xml:space="preserve"> a la fracción I del artículo 59 de la LFCE para determinar si uno o varios </w:t>
      </w:r>
      <w:r w:rsidR="003D654B">
        <w:rPr>
          <w:rFonts w:cs="Times New Roman"/>
        </w:rPr>
        <w:t>a</w:t>
      </w:r>
      <w:r w:rsidRPr="009D03D4">
        <w:rPr>
          <w:rFonts w:cs="Times New Roman"/>
        </w:rPr>
        <w:t xml:space="preserve">gentes </w:t>
      </w:r>
      <w:r w:rsidR="003D654B">
        <w:rPr>
          <w:rFonts w:cs="Times New Roman"/>
        </w:rPr>
        <w:t>e</w:t>
      </w:r>
      <w:r w:rsidRPr="009D03D4">
        <w:rPr>
          <w:rFonts w:cs="Times New Roman"/>
        </w:rPr>
        <w:t xml:space="preserve">conómicos tienen </w:t>
      </w:r>
      <w:r>
        <w:rPr>
          <w:rFonts w:cs="Times New Roman"/>
        </w:rPr>
        <w:t xml:space="preserve">poder sustancial en </w:t>
      </w:r>
      <w:r w:rsidR="0065446F">
        <w:rPr>
          <w:rFonts w:cs="Times New Roman"/>
        </w:rPr>
        <w:t>el</w:t>
      </w:r>
      <w:r>
        <w:rPr>
          <w:rFonts w:cs="Times New Roman"/>
        </w:rPr>
        <w:t xml:space="preserve"> mercado relevante</w:t>
      </w:r>
      <w:r w:rsidRPr="009D03D4">
        <w:rPr>
          <w:rFonts w:cs="Times New Roman"/>
        </w:rPr>
        <w:t>, deberá considerarse, entre otros elementos, lo siguiente:</w:t>
      </w:r>
    </w:p>
    <w:p w14:paraId="73AE8CE1" w14:textId="77777777" w:rsidR="00086510" w:rsidRPr="00FA2E15" w:rsidRDefault="00086510" w:rsidP="00086510">
      <w:pPr>
        <w:ind w:left="567" w:right="567"/>
        <w:jc w:val="both"/>
        <w:rPr>
          <w:i/>
          <w:sz w:val="20"/>
          <w:szCs w:val="20"/>
        </w:rPr>
      </w:pPr>
      <w:r w:rsidRPr="00FA2E15">
        <w:rPr>
          <w:i/>
          <w:sz w:val="20"/>
          <w:szCs w:val="20"/>
        </w:rPr>
        <w:t>I. Su participación en dicho mercado y si pueden fijar precios o restringir el abasto en el mercado relevante por sí mismos, sin que los agentes competidores puedan, actual o potencialmente, contrarrestar dicho poder.</w:t>
      </w:r>
    </w:p>
    <w:p w14:paraId="0A5F7F6A" w14:textId="77777777" w:rsidR="00086510" w:rsidRPr="00FA2E15" w:rsidRDefault="00086510" w:rsidP="00086510">
      <w:pPr>
        <w:ind w:left="567" w:right="567"/>
        <w:jc w:val="both"/>
        <w:rPr>
          <w:i/>
          <w:sz w:val="20"/>
          <w:szCs w:val="20"/>
        </w:rPr>
      </w:pPr>
      <w:r w:rsidRPr="00FA2E15">
        <w:rPr>
          <w:i/>
          <w:sz w:val="20"/>
          <w:szCs w:val="20"/>
        </w:rPr>
        <w:t xml:space="preserve">Para determinar la participación de mercado, la Comisión </w:t>
      </w:r>
      <w:r w:rsidRPr="00FA2E15">
        <w:rPr>
          <w:sz w:val="20"/>
          <w:szCs w:val="20"/>
        </w:rPr>
        <w:t>[</w:t>
      </w:r>
      <w:r w:rsidRPr="00FA2E15">
        <w:rPr>
          <w:sz w:val="20"/>
          <w:szCs w:val="20"/>
          <w:u w:val="single"/>
        </w:rPr>
        <w:t>en este caso el Instituto</w:t>
      </w:r>
      <w:r w:rsidRPr="00FA2E15">
        <w:rPr>
          <w:sz w:val="20"/>
          <w:szCs w:val="20"/>
        </w:rPr>
        <w:t>]</w:t>
      </w:r>
      <w:r w:rsidRPr="00FA2E15">
        <w:rPr>
          <w:i/>
          <w:sz w:val="20"/>
          <w:szCs w:val="20"/>
        </w:rPr>
        <w:t xml:space="preserve"> podrá tener en cuenta indicadores de ventas, número de clientes, capacidad productiva, así como cualquier otro factor que considere pertinente; </w:t>
      </w:r>
      <w:r w:rsidRPr="00FA2E15">
        <w:rPr>
          <w:sz w:val="20"/>
          <w:szCs w:val="20"/>
        </w:rPr>
        <w:t>[Énfasis añadido]</w:t>
      </w:r>
      <w:r>
        <w:rPr>
          <w:sz w:val="20"/>
          <w:szCs w:val="20"/>
        </w:rPr>
        <w:t>.</w:t>
      </w:r>
    </w:p>
    <w:p w14:paraId="0CA7B9BC" w14:textId="77777777" w:rsidR="00086510" w:rsidRDefault="00086510" w:rsidP="009B0A36">
      <w:pPr>
        <w:pStyle w:val="Prrafodelista"/>
        <w:numPr>
          <w:ilvl w:val="0"/>
          <w:numId w:val="13"/>
        </w:numPr>
        <w:spacing w:before="120" w:after="120" w:line="240" w:lineRule="auto"/>
        <w:contextualSpacing w:val="0"/>
        <w:jc w:val="both"/>
      </w:pPr>
      <w:r>
        <w:t>Previo a la Operación,</w:t>
      </w:r>
      <w:r w:rsidRPr="00F87DB0">
        <w:t xml:space="preserve"> </w:t>
      </w:r>
      <w:r>
        <w:t xml:space="preserve">las sociedades adquiridas (CFCA </w:t>
      </w:r>
      <w:r w:rsidRPr="007D7F22">
        <w:t>Telecomm</w:t>
      </w:r>
      <w:r>
        <w:t xml:space="preserve"> y </w:t>
      </w:r>
      <w:r w:rsidRPr="00EC7052">
        <w:t>Telco</w:t>
      </w:r>
      <w:r>
        <w:t xml:space="preserve">) no proveían el servicio de arrendamiento de sitios de telecomunicaciones, solamente el </w:t>
      </w:r>
      <w:r w:rsidR="00970E1A">
        <w:t>GIE</w:t>
      </w:r>
      <w:r>
        <w:t xml:space="preserve"> al que pertenecen los </w:t>
      </w:r>
      <w:r w:rsidR="00970E1A">
        <w:t>c</w:t>
      </w:r>
      <w:r>
        <w:t xml:space="preserve">ompradores (ATC) participaba en este mercado. </w:t>
      </w:r>
      <w:r w:rsidRPr="00730569">
        <w:t xml:space="preserve">De esta manera, </w:t>
      </w:r>
      <w:r>
        <w:t>la estructura de</w:t>
      </w:r>
      <w:r w:rsidRPr="00C31B24">
        <w:t xml:space="preserve"> mercado </w:t>
      </w:r>
      <w:r>
        <w:t>no se altera como resultado de la Operación</w:t>
      </w:r>
      <w:r w:rsidRPr="00C31B24">
        <w:t>.</w:t>
      </w:r>
      <w:r w:rsidR="00970E1A">
        <w:t xml:space="preserve"> No obstante, a continuación</w:t>
      </w:r>
      <w:r>
        <w:t xml:space="preserve"> se analizan las participaciones de mercado y la capacidad de fijar precios o restringir el abasto de ATC.</w:t>
      </w:r>
    </w:p>
    <w:p w14:paraId="198D2BEE" w14:textId="77777777" w:rsidR="00B77B6D" w:rsidRDefault="00086510" w:rsidP="009B0A36">
      <w:pPr>
        <w:pStyle w:val="Prrafodelista"/>
        <w:numPr>
          <w:ilvl w:val="0"/>
          <w:numId w:val="13"/>
        </w:numPr>
        <w:spacing w:before="120" w:after="120" w:line="240" w:lineRule="auto"/>
        <w:contextualSpacing w:val="0"/>
        <w:jc w:val="both"/>
      </w:pPr>
      <w:r>
        <w:t>De l</w:t>
      </w:r>
      <w:r w:rsidRPr="007F1C5D">
        <w:t xml:space="preserve">a información aportada por los </w:t>
      </w:r>
      <w:r w:rsidR="003D654B">
        <w:t>a</w:t>
      </w:r>
      <w:r>
        <w:t xml:space="preserve">gentes </w:t>
      </w:r>
      <w:r w:rsidR="003D654B">
        <w:t>e</w:t>
      </w:r>
      <w:r>
        <w:t xml:space="preserve">conómicos, se determinó que existen aproximadamente </w:t>
      </w:r>
      <w:r w:rsidR="0007118E" w:rsidRPr="005870A1">
        <w:rPr>
          <w:b/>
          <w:bCs/>
          <w:color w:val="0000CC"/>
        </w:rPr>
        <w:t>“CONFIDENCIAL POR LEY”</w:t>
      </w:r>
      <w:r w:rsidR="0007118E" w:rsidRPr="00816141">
        <w:t xml:space="preserve"> </w:t>
      </w:r>
      <w:r>
        <w:t>sitios de telecomunicaciones en el país</w:t>
      </w:r>
      <w:r w:rsidRPr="007F1C5D">
        <w:t>.</w:t>
      </w:r>
      <w:r>
        <w:t xml:space="preserve"> En la </w:t>
      </w:r>
      <w:r w:rsidRPr="00BE5B49">
        <w:t>Tabla 14, se muestran</w:t>
      </w:r>
      <w:r w:rsidRPr="007F1C5D">
        <w:t xml:space="preserve"> las participaciones de mercado de los principales </w:t>
      </w:r>
      <w:r>
        <w:t>oferentes, en términos de número de sitios, así como el IH,</w:t>
      </w:r>
      <w:r w:rsidRPr="000627FC">
        <w:t xml:space="preserve"> </w:t>
      </w:r>
      <w:r>
        <w:t>para el año dos mil diecisiete</w:t>
      </w:r>
      <w:r w:rsidRPr="007F1C5D">
        <w:t>.</w:t>
      </w:r>
      <w:r w:rsidRPr="007F1C5D">
        <w:rPr>
          <w:iCs/>
          <w:vertAlign w:val="superscript"/>
        </w:rPr>
        <w:footnoteReference w:id="253"/>
      </w:r>
    </w:p>
    <w:p w14:paraId="57DAF9A4" w14:textId="77777777" w:rsidR="00B9381C" w:rsidRPr="00B9381C" w:rsidRDefault="00086510" w:rsidP="003E0D85">
      <w:pPr>
        <w:pStyle w:val="Subttulo"/>
        <w:keepNext/>
        <w:spacing w:after="0"/>
        <w:jc w:val="center"/>
        <w:rPr>
          <w:b/>
          <w:color w:val="auto"/>
          <w:spacing w:val="0"/>
          <w:sz w:val="18"/>
          <w:szCs w:val="18"/>
        </w:rPr>
      </w:pPr>
      <w:r w:rsidRPr="00BE5B49">
        <w:rPr>
          <w:b/>
          <w:color w:val="auto"/>
          <w:spacing w:val="0"/>
          <w:sz w:val="18"/>
          <w:szCs w:val="18"/>
        </w:rPr>
        <w:lastRenderedPageBreak/>
        <w:t>Tabla 14. Participaciones</w:t>
      </w:r>
      <w:r w:rsidRPr="00B9381C">
        <w:rPr>
          <w:b/>
          <w:color w:val="auto"/>
          <w:spacing w:val="0"/>
          <w:sz w:val="18"/>
          <w:szCs w:val="18"/>
        </w:rPr>
        <w:t xml:space="preserve"> de mercado e índice de concentración del servicio de </w:t>
      </w:r>
    </w:p>
    <w:p w14:paraId="06A7DA8E" w14:textId="77777777" w:rsidR="00086510" w:rsidRPr="00B9381C" w:rsidRDefault="00086510" w:rsidP="003E0D85">
      <w:pPr>
        <w:pStyle w:val="Subttulo"/>
        <w:keepNext/>
        <w:spacing w:after="0"/>
        <w:jc w:val="center"/>
        <w:rPr>
          <w:b/>
          <w:color w:val="auto"/>
          <w:spacing w:val="0"/>
          <w:sz w:val="18"/>
          <w:szCs w:val="18"/>
        </w:rPr>
      </w:pPr>
      <w:r w:rsidRPr="00B9381C">
        <w:rPr>
          <w:b/>
          <w:color w:val="auto"/>
          <w:spacing w:val="0"/>
          <w:sz w:val="18"/>
          <w:szCs w:val="18"/>
        </w:rPr>
        <w:t>arrendamiento de sitios de telecomunicaciones, a nivel nacional, 2017</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la 14. Participaciones de mercado e índice de concentración del servicio de arrendamiento de sitios de telecomunicaciones, a nivel nacional, 2017"/>
        <w:tblDescription w:val="Tabla con las participaciones de mercado e índice de concentración del servicio de arrendamiento de sitios de telecomunicaciones, a nivel nacional, para el año 2017."/>
      </w:tblPr>
      <w:tblGrid>
        <w:gridCol w:w="1838"/>
        <w:gridCol w:w="1938"/>
        <w:gridCol w:w="1889"/>
      </w:tblGrid>
      <w:tr w:rsidR="00086510" w:rsidRPr="009F7863" w14:paraId="6E64DF4E" w14:textId="77777777" w:rsidTr="00871C8C">
        <w:trPr>
          <w:trHeight w:val="20"/>
          <w:jc w:val="center"/>
        </w:trPr>
        <w:tc>
          <w:tcPr>
            <w:tcW w:w="1838" w:type="dxa"/>
            <w:shd w:val="clear" w:color="auto" w:fill="002060"/>
            <w:vAlign w:val="center"/>
            <w:hideMark/>
          </w:tcPr>
          <w:p w14:paraId="7078221F" w14:textId="77777777" w:rsidR="00086510" w:rsidRPr="009F7863" w:rsidRDefault="00086510" w:rsidP="003D654B">
            <w:pPr>
              <w:keepNext/>
              <w:spacing w:after="0"/>
              <w:jc w:val="center"/>
              <w:rPr>
                <w:rFonts w:eastAsia="Times New Roman" w:cs="Calibri"/>
                <w:b/>
                <w:bCs/>
                <w:color w:val="FFFFFF"/>
                <w:sz w:val="16"/>
                <w:szCs w:val="16"/>
                <w:lang w:eastAsia="es-MX"/>
              </w:rPr>
            </w:pPr>
            <w:r w:rsidRPr="009F7863">
              <w:rPr>
                <w:rFonts w:eastAsia="Times New Roman" w:cs="Calibri"/>
                <w:b/>
                <w:bCs/>
                <w:color w:val="FFFFFF"/>
                <w:sz w:val="16"/>
                <w:szCs w:val="16"/>
                <w:lang w:eastAsia="es-MX"/>
              </w:rPr>
              <w:t xml:space="preserve">Agente </w:t>
            </w:r>
            <w:r w:rsidR="003D654B">
              <w:rPr>
                <w:rFonts w:eastAsia="Times New Roman" w:cs="Calibri"/>
                <w:b/>
                <w:bCs/>
                <w:color w:val="FFFFFF"/>
                <w:sz w:val="16"/>
                <w:szCs w:val="16"/>
                <w:lang w:eastAsia="es-MX"/>
              </w:rPr>
              <w:t>e</w:t>
            </w:r>
            <w:r w:rsidRPr="009F7863">
              <w:rPr>
                <w:rFonts w:eastAsia="Times New Roman" w:cs="Calibri"/>
                <w:b/>
                <w:bCs/>
                <w:color w:val="FFFFFF"/>
                <w:sz w:val="16"/>
                <w:szCs w:val="16"/>
                <w:lang w:eastAsia="es-MX"/>
              </w:rPr>
              <w:t>conómico</w:t>
            </w:r>
          </w:p>
        </w:tc>
        <w:tc>
          <w:tcPr>
            <w:tcW w:w="1938" w:type="dxa"/>
            <w:shd w:val="clear" w:color="auto" w:fill="002060"/>
            <w:vAlign w:val="center"/>
            <w:hideMark/>
          </w:tcPr>
          <w:p w14:paraId="4BC1E35E" w14:textId="77777777" w:rsidR="00086510" w:rsidRPr="009F7863" w:rsidRDefault="00086510" w:rsidP="003E0D85">
            <w:pPr>
              <w:keepNext/>
              <w:spacing w:after="0"/>
              <w:jc w:val="center"/>
              <w:rPr>
                <w:rFonts w:eastAsia="Times New Roman" w:cs="Calibri"/>
                <w:b/>
                <w:bCs/>
                <w:color w:val="FFFFFF"/>
                <w:sz w:val="16"/>
                <w:szCs w:val="16"/>
                <w:lang w:eastAsia="es-MX"/>
              </w:rPr>
            </w:pPr>
            <w:r w:rsidRPr="009F7863">
              <w:rPr>
                <w:rFonts w:eastAsia="Times New Roman" w:cs="Calibri"/>
                <w:b/>
                <w:bCs/>
                <w:color w:val="FFFFFF"/>
                <w:sz w:val="16"/>
                <w:szCs w:val="16"/>
                <w:lang w:eastAsia="es-MX"/>
              </w:rPr>
              <w:t>Número de sitios de telecomunicaciones</w:t>
            </w:r>
          </w:p>
        </w:tc>
        <w:tc>
          <w:tcPr>
            <w:tcW w:w="1889" w:type="dxa"/>
            <w:shd w:val="clear" w:color="auto" w:fill="002060"/>
            <w:vAlign w:val="center"/>
            <w:hideMark/>
          </w:tcPr>
          <w:p w14:paraId="683C5A66" w14:textId="77777777" w:rsidR="00086510" w:rsidRPr="009F7863" w:rsidRDefault="00086510" w:rsidP="003E0D85">
            <w:pPr>
              <w:keepNext/>
              <w:spacing w:after="0"/>
              <w:jc w:val="center"/>
              <w:rPr>
                <w:rFonts w:eastAsia="Times New Roman" w:cs="Calibri"/>
                <w:b/>
                <w:bCs/>
                <w:color w:val="FFFFFF"/>
                <w:sz w:val="16"/>
                <w:szCs w:val="16"/>
                <w:lang w:eastAsia="es-MX"/>
              </w:rPr>
            </w:pPr>
            <w:r w:rsidRPr="009F7863">
              <w:rPr>
                <w:rFonts w:eastAsia="Times New Roman" w:cs="Calibri"/>
                <w:b/>
                <w:bCs/>
                <w:color w:val="FFFFFF"/>
                <w:sz w:val="16"/>
                <w:szCs w:val="16"/>
                <w:lang w:eastAsia="es-MX"/>
              </w:rPr>
              <w:t>Participación</w:t>
            </w:r>
            <w:r>
              <w:rPr>
                <w:rFonts w:eastAsia="Times New Roman" w:cs="Calibri"/>
                <w:b/>
                <w:bCs/>
                <w:color w:val="FFFFFF"/>
                <w:sz w:val="16"/>
                <w:szCs w:val="16"/>
                <w:lang w:eastAsia="es-MX"/>
              </w:rPr>
              <w:t xml:space="preserve"> de mercado</w:t>
            </w:r>
          </w:p>
        </w:tc>
      </w:tr>
      <w:tr w:rsidR="00086510" w:rsidRPr="009F7863" w14:paraId="61099AD6" w14:textId="77777777" w:rsidTr="00871C8C">
        <w:trPr>
          <w:trHeight w:val="20"/>
          <w:jc w:val="center"/>
        </w:trPr>
        <w:tc>
          <w:tcPr>
            <w:tcW w:w="1838" w:type="dxa"/>
            <w:shd w:val="clear" w:color="auto" w:fill="auto"/>
            <w:noWrap/>
            <w:vAlign w:val="bottom"/>
            <w:hideMark/>
          </w:tcPr>
          <w:p w14:paraId="2ED7B4E3" w14:textId="77777777" w:rsidR="00086510" w:rsidRPr="009F7863" w:rsidRDefault="00086510" w:rsidP="003E0D85">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AMX/Telesites</w:t>
            </w:r>
          </w:p>
        </w:tc>
        <w:tc>
          <w:tcPr>
            <w:tcW w:w="1938" w:type="dxa"/>
            <w:shd w:val="clear" w:color="auto" w:fill="auto"/>
            <w:noWrap/>
            <w:vAlign w:val="bottom"/>
            <w:hideMark/>
          </w:tcPr>
          <w:p w14:paraId="2443448E" w14:textId="77777777" w:rsidR="00086510" w:rsidRPr="00A829B9" w:rsidRDefault="0007118E" w:rsidP="003E0D85">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43A9B821" w14:textId="7EFB49DF" w:rsidR="00086510" w:rsidRPr="009F7863" w:rsidRDefault="00CD2BD7" w:rsidP="003E0D85">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6338667F" w14:textId="77777777" w:rsidTr="00871C8C">
        <w:trPr>
          <w:trHeight w:val="20"/>
          <w:jc w:val="center"/>
        </w:trPr>
        <w:tc>
          <w:tcPr>
            <w:tcW w:w="1838" w:type="dxa"/>
            <w:shd w:val="clear" w:color="auto" w:fill="auto"/>
            <w:noWrap/>
            <w:vAlign w:val="bottom"/>
            <w:hideMark/>
          </w:tcPr>
          <w:p w14:paraId="4885DD35" w14:textId="77777777" w:rsidR="00CD2BD7" w:rsidRPr="009F7863" w:rsidRDefault="00CD2BD7" w:rsidP="00CD2BD7">
            <w:pPr>
              <w:keepNext/>
              <w:spacing w:after="0"/>
              <w:rPr>
                <w:rFonts w:eastAsia="Times New Roman" w:cs="Calibri"/>
                <w:b/>
                <w:bCs/>
                <w:color w:val="000000"/>
                <w:sz w:val="16"/>
                <w:szCs w:val="16"/>
                <w:lang w:eastAsia="es-MX"/>
              </w:rPr>
            </w:pPr>
            <w:r w:rsidRPr="009F7863">
              <w:rPr>
                <w:rFonts w:eastAsia="Times New Roman" w:cs="Calibri"/>
                <w:b/>
                <w:bCs/>
                <w:color w:val="000000"/>
                <w:sz w:val="16"/>
                <w:szCs w:val="16"/>
                <w:lang w:eastAsia="es-MX"/>
              </w:rPr>
              <w:t>ATC</w:t>
            </w:r>
          </w:p>
        </w:tc>
        <w:tc>
          <w:tcPr>
            <w:tcW w:w="1938" w:type="dxa"/>
            <w:shd w:val="clear" w:color="auto" w:fill="auto"/>
            <w:noWrap/>
            <w:vAlign w:val="bottom"/>
            <w:hideMark/>
          </w:tcPr>
          <w:p w14:paraId="52840F72" w14:textId="77777777" w:rsidR="00CD2BD7" w:rsidRPr="00A829B9" w:rsidRDefault="00CD2BD7" w:rsidP="00CD2BD7">
            <w:pPr>
              <w:keepNext/>
              <w:spacing w:after="0"/>
              <w:jc w:val="center"/>
              <w:rPr>
                <w:rFonts w:eastAsia="Times New Roman" w:cs="Calibri"/>
                <w:b/>
                <w:bCs/>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2F517669" w14:textId="2ECA8BC1" w:rsidR="00CD2BD7" w:rsidRPr="009F7863" w:rsidRDefault="00CD2BD7" w:rsidP="00CD2BD7">
            <w:pPr>
              <w:keepNext/>
              <w:spacing w:after="0"/>
              <w:jc w:val="center"/>
              <w:rPr>
                <w:rFonts w:eastAsia="Times New Roman" w:cs="Calibri"/>
                <w:b/>
                <w:bCs/>
                <w:color w:val="000000"/>
                <w:sz w:val="16"/>
                <w:szCs w:val="16"/>
                <w:lang w:eastAsia="es-MX"/>
              </w:rPr>
            </w:pPr>
            <w:r w:rsidRPr="00A829B9">
              <w:rPr>
                <w:b/>
                <w:bCs/>
                <w:color w:val="0000CC"/>
                <w:sz w:val="12"/>
                <w:szCs w:val="12"/>
              </w:rPr>
              <w:t>“CONFIDENCIAL POR LEY”</w:t>
            </w:r>
          </w:p>
        </w:tc>
      </w:tr>
      <w:tr w:rsidR="00CD2BD7" w:rsidRPr="009F7863" w14:paraId="4C7DF503" w14:textId="77777777" w:rsidTr="00871C8C">
        <w:trPr>
          <w:trHeight w:val="20"/>
          <w:jc w:val="center"/>
        </w:trPr>
        <w:tc>
          <w:tcPr>
            <w:tcW w:w="1838" w:type="dxa"/>
            <w:shd w:val="clear" w:color="auto" w:fill="auto"/>
            <w:noWrap/>
            <w:vAlign w:val="bottom"/>
            <w:hideMark/>
          </w:tcPr>
          <w:p w14:paraId="05C0F380" w14:textId="77777777" w:rsidR="00CD2BD7" w:rsidRPr="009F7863" w:rsidRDefault="00CD2BD7" w:rsidP="00CD2BD7">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AT&amp;T</w:t>
            </w:r>
          </w:p>
        </w:tc>
        <w:tc>
          <w:tcPr>
            <w:tcW w:w="1938" w:type="dxa"/>
            <w:shd w:val="clear" w:color="auto" w:fill="auto"/>
            <w:noWrap/>
            <w:vAlign w:val="bottom"/>
            <w:hideMark/>
          </w:tcPr>
          <w:p w14:paraId="564A356A" w14:textId="77777777" w:rsidR="00CD2BD7" w:rsidRPr="00A829B9" w:rsidRDefault="00CD2BD7" w:rsidP="00CD2BD7">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77EFFB05" w14:textId="1733782B" w:rsidR="00CD2BD7" w:rsidRPr="009F7863" w:rsidRDefault="00CD2BD7" w:rsidP="00CD2BD7">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2EFF1281" w14:textId="77777777" w:rsidTr="00871C8C">
        <w:trPr>
          <w:trHeight w:val="20"/>
          <w:jc w:val="center"/>
        </w:trPr>
        <w:tc>
          <w:tcPr>
            <w:tcW w:w="1838" w:type="dxa"/>
            <w:shd w:val="clear" w:color="auto" w:fill="auto"/>
            <w:noWrap/>
            <w:vAlign w:val="bottom"/>
            <w:hideMark/>
          </w:tcPr>
          <w:p w14:paraId="172D5A38" w14:textId="77777777" w:rsidR="00CD2BD7" w:rsidRPr="009F7863" w:rsidRDefault="00CD2BD7" w:rsidP="00CD2BD7">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MTP</w:t>
            </w:r>
          </w:p>
        </w:tc>
        <w:tc>
          <w:tcPr>
            <w:tcW w:w="1938" w:type="dxa"/>
            <w:shd w:val="clear" w:color="auto" w:fill="auto"/>
            <w:noWrap/>
            <w:vAlign w:val="bottom"/>
            <w:hideMark/>
          </w:tcPr>
          <w:p w14:paraId="41EADFEC" w14:textId="77777777" w:rsidR="00CD2BD7" w:rsidRPr="00A829B9" w:rsidRDefault="00CD2BD7" w:rsidP="00CD2BD7">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6A9D48CF" w14:textId="33C0E4A4" w:rsidR="00CD2BD7" w:rsidRPr="009F7863" w:rsidRDefault="00CD2BD7" w:rsidP="00CD2BD7">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66BECB51" w14:textId="77777777" w:rsidTr="00871C8C">
        <w:trPr>
          <w:trHeight w:val="20"/>
          <w:jc w:val="center"/>
        </w:trPr>
        <w:tc>
          <w:tcPr>
            <w:tcW w:w="1838" w:type="dxa"/>
            <w:shd w:val="clear" w:color="auto" w:fill="auto"/>
            <w:noWrap/>
            <w:vAlign w:val="bottom"/>
            <w:hideMark/>
          </w:tcPr>
          <w:p w14:paraId="0A75A885" w14:textId="77777777" w:rsidR="00CD2BD7" w:rsidRPr="009F7863" w:rsidRDefault="00CD2BD7" w:rsidP="00CD2BD7">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Total</w:t>
            </w:r>
            <w:r>
              <w:rPr>
                <w:rFonts w:eastAsia="Times New Roman" w:cs="Calibri"/>
                <w:color w:val="000000"/>
                <w:sz w:val="16"/>
                <w:szCs w:val="16"/>
                <w:lang w:eastAsia="es-MX"/>
              </w:rPr>
              <w:t xml:space="preserve"> P</w:t>
            </w:r>
            <w:r w:rsidRPr="009F7863">
              <w:rPr>
                <w:rFonts w:eastAsia="Times New Roman" w:cs="Calibri"/>
                <w:color w:val="000000"/>
                <w:sz w:val="16"/>
                <w:szCs w:val="16"/>
                <w:lang w:eastAsia="es-MX"/>
              </w:rPr>
              <w:t>lay</w:t>
            </w:r>
          </w:p>
        </w:tc>
        <w:tc>
          <w:tcPr>
            <w:tcW w:w="1938" w:type="dxa"/>
            <w:shd w:val="clear" w:color="auto" w:fill="auto"/>
            <w:noWrap/>
            <w:vAlign w:val="bottom"/>
            <w:hideMark/>
          </w:tcPr>
          <w:p w14:paraId="5ECEBEFF" w14:textId="77777777" w:rsidR="00CD2BD7" w:rsidRPr="00A829B9" w:rsidRDefault="00CD2BD7" w:rsidP="00CD2BD7">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3C821DD2" w14:textId="5359A492" w:rsidR="00CD2BD7" w:rsidRPr="009F7863" w:rsidRDefault="00CD2BD7" w:rsidP="00CD2BD7">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625DF8C8" w14:textId="77777777" w:rsidTr="00871C8C">
        <w:trPr>
          <w:trHeight w:val="20"/>
          <w:jc w:val="center"/>
        </w:trPr>
        <w:tc>
          <w:tcPr>
            <w:tcW w:w="1838" w:type="dxa"/>
            <w:shd w:val="clear" w:color="auto" w:fill="auto"/>
            <w:noWrap/>
            <w:vAlign w:val="bottom"/>
            <w:hideMark/>
          </w:tcPr>
          <w:p w14:paraId="408ACDF3" w14:textId="77777777" w:rsidR="00CD2BD7" w:rsidRPr="009F7863" w:rsidRDefault="00CD2BD7" w:rsidP="00CD2BD7">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Uniti Towers</w:t>
            </w:r>
          </w:p>
        </w:tc>
        <w:tc>
          <w:tcPr>
            <w:tcW w:w="1938" w:type="dxa"/>
            <w:shd w:val="clear" w:color="auto" w:fill="auto"/>
            <w:noWrap/>
            <w:vAlign w:val="bottom"/>
            <w:hideMark/>
          </w:tcPr>
          <w:p w14:paraId="280BAFDB" w14:textId="77777777" w:rsidR="00CD2BD7" w:rsidRPr="00A829B9" w:rsidRDefault="00CD2BD7" w:rsidP="00CD2BD7">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63663076" w14:textId="2C89C80C" w:rsidR="00CD2BD7" w:rsidRPr="009F7863" w:rsidRDefault="00CD2BD7" w:rsidP="00CD2BD7">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2DDE04EA" w14:textId="77777777" w:rsidTr="00871C8C">
        <w:trPr>
          <w:trHeight w:val="20"/>
          <w:jc w:val="center"/>
        </w:trPr>
        <w:tc>
          <w:tcPr>
            <w:tcW w:w="1838" w:type="dxa"/>
            <w:shd w:val="clear" w:color="auto" w:fill="auto"/>
            <w:noWrap/>
            <w:vAlign w:val="bottom"/>
            <w:hideMark/>
          </w:tcPr>
          <w:p w14:paraId="4A1DE94C" w14:textId="77777777" w:rsidR="00CD2BD7" w:rsidRPr="009F7863" w:rsidRDefault="00CD2BD7" w:rsidP="00CD2BD7">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Telefónica</w:t>
            </w:r>
          </w:p>
        </w:tc>
        <w:tc>
          <w:tcPr>
            <w:tcW w:w="1938" w:type="dxa"/>
            <w:shd w:val="clear" w:color="auto" w:fill="auto"/>
            <w:noWrap/>
            <w:vAlign w:val="bottom"/>
            <w:hideMark/>
          </w:tcPr>
          <w:p w14:paraId="788BDDE0" w14:textId="77777777" w:rsidR="00CD2BD7" w:rsidRPr="00A829B9" w:rsidRDefault="00CD2BD7" w:rsidP="00CD2BD7">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28CBCF57" w14:textId="29E45CB8" w:rsidR="00CD2BD7" w:rsidRPr="009F7863" w:rsidRDefault="00CD2BD7" w:rsidP="00CD2BD7">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15E7A393" w14:textId="77777777" w:rsidTr="00871C8C">
        <w:trPr>
          <w:trHeight w:val="20"/>
          <w:jc w:val="center"/>
        </w:trPr>
        <w:tc>
          <w:tcPr>
            <w:tcW w:w="1838" w:type="dxa"/>
            <w:shd w:val="clear" w:color="auto" w:fill="auto"/>
            <w:noWrap/>
            <w:vAlign w:val="bottom"/>
            <w:hideMark/>
          </w:tcPr>
          <w:p w14:paraId="396F4359" w14:textId="77777777" w:rsidR="00CD2BD7" w:rsidRPr="009F7863" w:rsidRDefault="00CD2BD7" w:rsidP="00CD2BD7">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Megacable</w:t>
            </w:r>
          </w:p>
        </w:tc>
        <w:tc>
          <w:tcPr>
            <w:tcW w:w="1938" w:type="dxa"/>
            <w:shd w:val="clear" w:color="auto" w:fill="auto"/>
            <w:noWrap/>
            <w:vAlign w:val="bottom"/>
            <w:hideMark/>
          </w:tcPr>
          <w:p w14:paraId="7C778BF7" w14:textId="77777777" w:rsidR="00CD2BD7" w:rsidRPr="00A829B9" w:rsidRDefault="00CD2BD7" w:rsidP="00CD2BD7">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11416C62" w14:textId="56675EB3" w:rsidR="00CD2BD7" w:rsidRPr="009F7863" w:rsidRDefault="00CD2BD7" w:rsidP="00CD2BD7">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0DA3941D" w14:textId="77777777" w:rsidTr="00871C8C">
        <w:trPr>
          <w:trHeight w:val="20"/>
          <w:jc w:val="center"/>
        </w:trPr>
        <w:tc>
          <w:tcPr>
            <w:tcW w:w="1838" w:type="dxa"/>
            <w:shd w:val="clear" w:color="auto" w:fill="auto"/>
            <w:noWrap/>
            <w:vAlign w:val="bottom"/>
            <w:hideMark/>
          </w:tcPr>
          <w:p w14:paraId="727B0C2D" w14:textId="77777777" w:rsidR="00CD2BD7" w:rsidRPr="009F7863" w:rsidRDefault="00CD2BD7" w:rsidP="00CD2BD7">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Axtel</w:t>
            </w:r>
          </w:p>
        </w:tc>
        <w:tc>
          <w:tcPr>
            <w:tcW w:w="1938" w:type="dxa"/>
            <w:shd w:val="clear" w:color="auto" w:fill="auto"/>
            <w:noWrap/>
            <w:vAlign w:val="bottom"/>
            <w:hideMark/>
          </w:tcPr>
          <w:p w14:paraId="758F0904" w14:textId="77777777" w:rsidR="00CD2BD7" w:rsidRPr="00A829B9" w:rsidRDefault="00CD2BD7" w:rsidP="00CD2BD7">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0B59C33C" w14:textId="61B6F9EE" w:rsidR="00CD2BD7" w:rsidRPr="009F7863" w:rsidRDefault="00CD2BD7" w:rsidP="00CD2BD7">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61AFA625" w14:textId="77777777" w:rsidTr="00871C8C">
        <w:trPr>
          <w:trHeight w:val="20"/>
          <w:jc w:val="center"/>
        </w:trPr>
        <w:tc>
          <w:tcPr>
            <w:tcW w:w="1838" w:type="dxa"/>
            <w:shd w:val="clear" w:color="auto" w:fill="auto"/>
            <w:noWrap/>
            <w:vAlign w:val="bottom"/>
            <w:hideMark/>
          </w:tcPr>
          <w:p w14:paraId="5775E2AB" w14:textId="77777777" w:rsidR="00CD2BD7" w:rsidRPr="009F7863" w:rsidRDefault="00CD2BD7" w:rsidP="00CD2BD7">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GTV</w:t>
            </w:r>
          </w:p>
        </w:tc>
        <w:tc>
          <w:tcPr>
            <w:tcW w:w="1938" w:type="dxa"/>
            <w:shd w:val="clear" w:color="auto" w:fill="auto"/>
            <w:noWrap/>
            <w:vAlign w:val="bottom"/>
            <w:hideMark/>
          </w:tcPr>
          <w:p w14:paraId="6085948F" w14:textId="77777777" w:rsidR="00CD2BD7" w:rsidRPr="00A829B9" w:rsidRDefault="00CD2BD7" w:rsidP="00CD2BD7">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7FA11500" w14:textId="575E439E" w:rsidR="00CD2BD7" w:rsidRPr="009F7863" w:rsidRDefault="00CD2BD7" w:rsidP="00CD2BD7">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63D6ACB5" w14:textId="77777777" w:rsidTr="00871C8C">
        <w:trPr>
          <w:trHeight w:val="20"/>
          <w:jc w:val="center"/>
        </w:trPr>
        <w:tc>
          <w:tcPr>
            <w:tcW w:w="1838" w:type="dxa"/>
            <w:shd w:val="clear" w:color="auto" w:fill="auto"/>
            <w:noWrap/>
            <w:vAlign w:val="bottom"/>
            <w:hideMark/>
          </w:tcPr>
          <w:p w14:paraId="2A85D11B" w14:textId="77777777" w:rsidR="00CD2BD7" w:rsidRPr="009F7863" w:rsidRDefault="00CD2BD7" w:rsidP="00CD2BD7">
            <w:pPr>
              <w:keepNext/>
              <w:spacing w:after="0"/>
              <w:rPr>
                <w:rFonts w:eastAsia="Times New Roman" w:cs="Calibri"/>
                <w:color w:val="000000"/>
                <w:sz w:val="16"/>
                <w:szCs w:val="16"/>
                <w:lang w:eastAsia="es-MX"/>
              </w:rPr>
            </w:pPr>
            <w:r w:rsidRPr="009F7863">
              <w:rPr>
                <w:rFonts w:eastAsia="Times New Roman" w:cs="Calibri"/>
                <w:color w:val="000000"/>
                <w:sz w:val="16"/>
                <w:szCs w:val="16"/>
                <w:lang w:eastAsia="es-MX"/>
              </w:rPr>
              <w:t>IP Matrix</w:t>
            </w:r>
          </w:p>
        </w:tc>
        <w:tc>
          <w:tcPr>
            <w:tcW w:w="1938" w:type="dxa"/>
            <w:shd w:val="clear" w:color="auto" w:fill="auto"/>
            <w:noWrap/>
            <w:vAlign w:val="bottom"/>
            <w:hideMark/>
          </w:tcPr>
          <w:p w14:paraId="6AB3AF5B" w14:textId="77777777" w:rsidR="00CD2BD7" w:rsidRPr="00A829B9" w:rsidRDefault="00CD2BD7" w:rsidP="00CD2BD7">
            <w:pPr>
              <w:keepNext/>
              <w:spacing w:after="0"/>
              <w:jc w:val="center"/>
              <w:rPr>
                <w:rFonts w:eastAsia="Times New Roman" w:cs="Calibri"/>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0A5B18E5" w14:textId="6CD6EADD" w:rsidR="00CD2BD7" w:rsidRPr="009F7863" w:rsidRDefault="00CD2BD7" w:rsidP="00CD2BD7">
            <w:pPr>
              <w:keepNext/>
              <w:spacing w:after="0"/>
              <w:jc w:val="center"/>
              <w:rPr>
                <w:rFonts w:eastAsia="Times New Roman" w:cs="Calibri"/>
                <w:color w:val="000000"/>
                <w:sz w:val="16"/>
                <w:szCs w:val="16"/>
                <w:lang w:eastAsia="es-MX"/>
              </w:rPr>
            </w:pPr>
            <w:r w:rsidRPr="00A829B9">
              <w:rPr>
                <w:b/>
                <w:bCs/>
                <w:color w:val="0000CC"/>
                <w:sz w:val="12"/>
                <w:szCs w:val="12"/>
              </w:rPr>
              <w:t>“CONFIDENCIAL POR LEY”</w:t>
            </w:r>
          </w:p>
        </w:tc>
      </w:tr>
      <w:tr w:rsidR="00CD2BD7" w:rsidRPr="009F7863" w14:paraId="7799F1B4" w14:textId="77777777" w:rsidTr="00871C8C">
        <w:trPr>
          <w:trHeight w:val="20"/>
          <w:jc w:val="center"/>
        </w:trPr>
        <w:tc>
          <w:tcPr>
            <w:tcW w:w="1838" w:type="dxa"/>
            <w:shd w:val="clear" w:color="auto" w:fill="auto"/>
            <w:noWrap/>
            <w:vAlign w:val="bottom"/>
            <w:hideMark/>
          </w:tcPr>
          <w:p w14:paraId="3DAC7957" w14:textId="77777777" w:rsidR="00CD2BD7" w:rsidRPr="009F7863" w:rsidRDefault="00CD2BD7" w:rsidP="00CD2BD7">
            <w:pPr>
              <w:keepNext/>
              <w:spacing w:after="0"/>
              <w:jc w:val="center"/>
              <w:rPr>
                <w:rFonts w:eastAsia="Times New Roman" w:cs="Calibri"/>
                <w:b/>
                <w:bCs/>
                <w:color w:val="000000"/>
                <w:sz w:val="16"/>
                <w:szCs w:val="16"/>
                <w:lang w:eastAsia="es-MX"/>
              </w:rPr>
            </w:pPr>
            <w:r w:rsidRPr="009F7863">
              <w:rPr>
                <w:rFonts w:eastAsia="Times New Roman" w:cs="Calibri"/>
                <w:b/>
                <w:bCs/>
                <w:color w:val="000000"/>
                <w:sz w:val="16"/>
                <w:szCs w:val="16"/>
                <w:lang w:eastAsia="es-MX"/>
              </w:rPr>
              <w:t>Total</w:t>
            </w:r>
          </w:p>
        </w:tc>
        <w:tc>
          <w:tcPr>
            <w:tcW w:w="1938" w:type="dxa"/>
            <w:shd w:val="clear" w:color="auto" w:fill="auto"/>
            <w:noWrap/>
            <w:vAlign w:val="bottom"/>
            <w:hideMark/>
          </w:tcPr>
          <w:p w14:paraId="1CB7D36D" w14:textId="77777777" w:rsidR="00CD2BD7" w:rsidRPr="00A829B9" w:rsidRDefault="00CD2BD7" w:rsidP="00CD2BD7">
            <w:pPr>
              <w:keepNext/>
              <w:spacing w:after="0"/>
              <w:jc w:val="center"/>
              <w:rPr>
                <w:rFonts w:eastAsia="Times New Roman" w:cs="Calibri"/>
                <w:b/>
                <w:bCs/>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hideMark/>
          </w:tcPr>
          <w:p w14:paraId="5336C7C0" w14:textId="1F638349" w:rsidR="00CD2BD7" w:rsidRPr="009F7863" w:rsidRDefault="0006497B" w:rsidP="00CD2BD7">
            <w:pPr>
              <w:keepNext/>
              <w:spacing w:after="0"/>
              <w:jc w:val="center"/>
              <w:rPr>
                <w:rFonts w:eastAsia="Times New Roman" w:cs="Calibri"/>
                <w:b/>
                <w:bCs/>
                <w:color w:val="000000"/>
                <w:sz w:val="16"/>
                <w:szCs w:val="16"/>
                <w:lang w:eastAsia="es-MX"/>
              </w:rPr>
            </w:pPr>
            <w:r w:rsidRPr="0006497B">
              <w:rPr>
                <w:rFonts w:eastAsia="Times New Roman" w:cs="Calibri"/>
                <w:b/>
                <w:bCs/>
                <w:color w:val="000000"/>
                <w:sz w:val="16"/>
                <w:szCs w:val="16"/>
                <w:lang w:eastAsia="es-MX"/>
              </w:rPr>
              <w:t>100%</w:t>
            </w:r>
          </w:p>
        </w:tc>
      </w:tr>
      <w:tr w:rsidR="00CD2BD7" w:rsidRPr="009F7863" w14:paraId="5CB5EAEB" w14:textId="77777777" w:rsidTr="00871C8C">
        <w:trPr>
          <w:trHeight w:val="20"/>
          <w:jc w:val="center"/>
        </w:trPr>
        <w:tc>
          <w:tcPr>
            <w:tcW w:w="1838" w:type="dxa"/>
            <w:shd w:val="clear" w:color="auto" w:fill="auto"/>
            <w:noWrap/>
            <w:vAlign w:val="bottom"/>
          </w:tcPr>
          <w:p w14:paraId="67DA883D" w14:textId="77777777" w:rsidR="00CD2BD7" w:rsidRPr="009F7863" w:rsidRDefault="00CD2BD7" w:rsidP="00CD2BD7">
            <w:pPr>
              <w:keepNext/>
              <w:spacing w:after="0"/>
              <w:jc w:val="center"/>
              <w:rPr>
                <w:rFonts w:eastAsia="Times New Roman" w:cs="Calibri"/>
                <w:b/>
                <w:bCs/>
                <w:color w:val="000000"/>
                <w:sz w:val="16"/>
                <w:szCs w:val="16"/>
                <w:lang w:eastAsia="es-MX"/>
              </w:rPr>
            </w:pPr>
            <w:r w:rsidRPr="009F7863">
              <w:rPr>
                <w:rFonts w:eastAsia="Times New Roman" w:cs="Calibri"/>
                <w:b/>
                <w:bCs/>
                <w:color w:val="000000"/>
                <w:sz w:val="16"/>
                <w:szCs w:val="16"/>
                <w:lang w:eastAsia="es-MX"/>
              </w:rPr>
              <w:t>IH</w:t>
            </w:r>
          </w:p>
        </w:tc>
        <w:tc>
          <w:tcPr>
            <w:tcW w:w="1938" w:type="dxa"/>
            <w:shd w:val="clear" w:color="auto" w:fill="auto"/>
            <w:noWrap/>
            <w:vAlign w:val="bottom"/>
          </w:tcPr>
          <w:p w14:paraId="45A9841F" w14:textId="77777777" w:rsidR="00CD2BD7" w:rsidRPr="00A829B9" w:rsidRDefault="00CD2BD7" w:rsidP="00CD2BD7">
            <w:pPr>
              <w:keepNext/>
              <w:spacing w:after="0"/>
              <w:jc w:val="center"/>
              <w:rPr>
                <w:rFonts w:eastAsia="Times New Roman" w:cs="Calibri"/>
                <w:b/>
                <w:bCs/>
                <w:color w:val="000000"/>
                <w:sz w:val="12"/>
                <w:szCs w:val="12"/>
                <w:lang w:eastAsia="es-MX"/>
              </w:rPr>
            </w:pPr>
            <w:r w:rsidRPr="00A829B9">
              <w:rPr>
                <w:b/>
                <w:bCs/>
                <w:color w:val="0000CC"/>
                <w:sz w:val="12"/>
                <w:szCs w:val="12"/>
              </w:rPr>
              <w:t>“CONFIDENCIAL POR LEY”</w:t>
            </w:r>
          </w:p>
        </w:tc>
        <w:tc>
          <w:tcPr>
            <w:tcW w:w="1889" w:type="dxa"/>
            <w:shd w:val="clear" w:color="auto" w:fill="auto"/>
            <w:noWrap/>
            <w:vAlign w:val="bottom"/>
          </w:tcPr>
          <w:p w14:paraId="133E6BB0" w14:textId="77777777" w:rsidR="00CD2BD7" w:rsidRPr="009F7863" w:rsidRDefault="00CD2BD7" w:rsidP="00CD2BD7">
            <w:pPr>
              <w:keepNext/>
              <w:spacing w:after="0"/>
              <w:jc w:val="center"/>
              <w:rPr>
                <w:rFonts w:eastAsia="Times New Roman" w:cs="Calibri"/>
                <w:b/>
                <w:bCs/>
                <w:color w:val="000000"/>
                <w:sz w:val="16"/>
                <w:szCs w:val="16"/>
                <w:lang w:eastAsia="es-MX"/>
              </w:rPr>
            </w:pPr>
            <w:r w:rsidRPr="009F7863">
              <w:rPr>
                <w:rFonts w:eastAsia="Times New Roman" w:cs="Calibri"/>
                <w:b/>
                <w:bCs/>
                <w:color w:val="000000"/>
                <w:sz w:val="16"/>
                <w:szCs w:val="16"/>
                <w:lang w:eastAsia="es-MX"/>
              </w:rPr>
              <w:t>4,060</w:t>
            </w:r>
          </w:p>
        </w:tc>
      </w:tr>
    </w:tbl>
    <w:p w14:paraId="4A022B1D" w14:textId="77777777" w:rsidR="00086510" w:rsidRPr="003E0D85" w:rsidRDefault="00086510" w:rsidP="003E0D85">
      <w:pPr>
        <w:pStyle w:val="Textonotapie"/>
        <w:keepNext/>
        <w:jc w:val="both"/>
        <w:rPr>
          <w:sz w:val="16"/>
          <w:szCs w:val="16"/>
        </w:rPr>
      </w:pPr>
      <w:r w:rsidRPr="003E0D85">
        <w:rPr>
          <w:sz w:val="16"/>
          <w:szCs w:val="16"/>
        </w:rPr>
        <w:t>Notas:</w:t>
      </w:r>
    </w:p>
    <w:p w14:paraId="503CC709" w14:textId="5F7B4FFB" w:rsidR="00086510" w:rsidRPr="003E0D85" w:rsidRDefault="00086510" w:rsidP="003E0D85">
      <w:pPr>
        <w:pStyle w:val="Textonotapie"/>
        <w:keepNext/>
        <w:jc w:val="both"/>
        <w:rPr>
          <w:sz w:val="16"/>
          <w:szCs w:val="16"/>
        </w:rPr>
      </w:pPr>
      <w:r w:rsidRPr="003E0D85">
        <w:rPr>
          <w:sz w:val="16"/>
          <w:szCs w:val="16"/>
          <w:vertAlign w:val="superscript"/>
        </w:rPr>
        <w:t>\a</w:t>
      </w:r>
      <w:r w:rsidRPr="003E0D85">
        <w:rPr>
          <w:sz w:val="16"/>
          <w:szCs w:val="16"/>
        </w:rPr>
        <w:t xml:space="preserve"> El total de sitios de AMX/Telesites incluye los sitios reportados por Opsimex, 15,066 (quince mil sesenta y seis), así como los de Telmex y Telnor, </w:t>
      </w:r>
      <w:r w:rsidR="002640AE" w:rsidRPr="002640AE">
        <w:rPr>
          <w:b/>
          <w:bCs/>
          <w:color w:val="0000CC"/>
          <w:sz w:val="16"/>
          <w:szCs w:val="16"/>
        </w:rPr>
        <w:t>“CONFIDENCIAL POR LEY”</w:t>
      </w:r>
      <w:r w:rsidRPr="003E0D85">
        <w:rPr>
          <w:sz w:val="16"/>
          <w:szCs w:val="16"/>
        </w:rPr>
        <w:t>.</w:t>
      </w:r>
    </w:p>
    <w:p w14:paraId="46AC7365" w14:textId="50FCBB4F" w:rsidR="00086510" w:rsidRPr="003E0D85" w:rsidRDefault="00086510" w:rsidP="003E0D85">
      <w:pPr>
        <w:keepNext/>
        <w:spacing w:after="0"/>
        <w:jc w:val="both"/>
        <w:rPr>
          <w:sz w:val="16"/>
          <w:szCs w:val="16"/>
        </w:rPr>
      </w:pPr>
      <w:r w:rsidRPr="003E0D85">
        <w:rPr>
          <w:sz w:val="16"/>
          <w:szCs w:val="16"/>
          <w:vertAlign w:val="superscript"/>
        </w:rPr>
        <w:t>\b</w:t>
      </w:r>
      <w:r w:rsidRPr="003E0D85">
        <w:rPr>
          <w:sz w:val="16"/>
          <w:szCs w:val="16"/>
        </w:rPr>
        <w:t xml:space="preserve"> No se consideraron otros proveedores del servicio como Centenial, Conex (QMC), IIMT, Intelli Site Solutions y MX Towers, ya que no se cuenta con información de los mismos para el año de dos mil diecisiete.</w:t>
      </w:r>
      <w:r w:rsidRPr="003E0D85">
        <w:rPr>
          <w:rStyle w:val="Refdenotaalpie"/>
          <w:sz w:val="16"/>
          <w:szCs w:val="16"/>
        </w:rPr>
        <w:footnoteReference w:id="254"/>
      </w:r>
      <w:r w:rsidRPr="003E0D85">
        <w:rPr>
          <w:sz w:val="16"/>
          <w:szCs w:val="16"/>
        </w:rPr>
        <w:t xml:space="preserve"> En el año de dos mil dieciséis, estos operadores representaban solo el </w:t>
      </w:r>
      <w:r w:rsidR="002640AE" w:rsidRPr="002640AE">
        <w:rPr>
          <w:b/>
          <w:bCs/>
          <w:color w:val="0000CC"/>
          <w:sz w:val="16"/>
          <w:szCs w:val="16"/>
        </w:rPr>
        <w:t>“CONFIDENCIAL POR LEY”</w:t>
      </w:r>
      <w:r w:rsidRPr="003E0D85">
        <w:rPr>
          <w:sz w:val="16"/>
          <w:szCs w:val="16"/>
        </w:rPr>
        <w:t xml:space="preserve"> del total de sitios.</w:t>
      </w:r>
      <w:r w:rsidRPr="003E0D85">
        <w:rPr>
          <w:rStyle w:val="Refdenotaalpie"/>
          <w:sz w:val="16"/>
          <w:szCs w:val="16"/>
        </w:rPr>
        <w:footnoteReference w:id="255"/>
      </w:r>
    </w:p>
    <w:p w14:paraId="60D3BC56" w14:textId="77777777" w:rsidR="00086510" w:rsidRPr="003E0D85" w:rsidRDefault="00086510" w:rsidP="003E0D85">
      <w:pPr>
        <w:keepNext/>
        <w:spacing w:after="0"/>
        <w:jc w:val="both"/>
        <w:rPr>
          <w:sz w:val="16"/>
          <w:szCs w:val="16"/>
        </w:rPr>
      </w:pPr>
      <w:r w:rsidRPr="003E0D85">
        <w:rPr>
          <w:sz w:val="16"/>
          <w:szCs w:val="16"/>
          <w:vertAlign w:val="superscript"/>
        </w:rPr>
        <w:t>\c</w:t>
      </w:r>
      <w:r w:rsidRPr="003E0D85">
        <w:rPr>
          <w:sz w:val="16"/>
          <w:szCs w:val="16"/>
        </w:rPr>
        <w:t xml:space="preserve"> Cifras redondeadas.</w:t>
      </w:r>
    </w:p>
    <w:p w14:paraId="35ED167F" w14:textId="77777777" w:rsidR="00086510" w:rsidRPr="003E0D85" w:rsidRDefault="00086510" w:rsidP="003E0D85">
      <w:pPr>
        <w:pStyle w:val="Textonotapie"/>
        <w:keepNext/>
        <w:jc w:val="both"/>
        <w:rPr>
          <w:sz w:val="16"/>
          <w:szCs w:val="16"/>
        </w:rPr>
      </w:pPr>
      <w:r w:rsidRPr="003E0D85">
        <w:rPr>
          <w:sz w:val="16"/>
          <w:szCs w:val="16"/>
        </w:rPr>
        <w:t>Fuente: Elaboración propia con información proporcionada por ATC, AT&amp;T, AMX/Telesites, Axtel, GTV, IP Matrix, Megacable, MTP, Telefónica y Total Play, así como del Reporte Anual Opsimex 2017, (pp. 44 y 45) e información pública de Uniti Tower. Fojas 3400 a 3403, 3471, 3534 a 3537, 3804, 3840, 5100, 5167, 5168, 5169, 5530 a 5534, 5620, 7163, 7188, 7189, 7230, 7299, 7301, 7303, 7800, 7821, 7822, 7875, 7876, 7883, 8073, 8074, 8113, 8724, 8727 y 8729 del Expediente.</w:t>
      </w:r>
    </w:p>
    <w:p w14:paraId="6384C526" w14:textId="4834B528" w:rsidR="00086510" w:rsidRDefault="00086510" w:rsidP="009B0A36">
      <w:pPr>
        <w:pStyle w:val="Prrafodelista"/>
        <w:numPr>
          <w:ilvl w:val="0"/>
          <w:numId w:val="13"/>
        </w:numPr>
        <w:spacing w:before="120" w:after="120" w:line="240" w:lineRule="auto"/>
        <w:contextualSpacing w:val="0"/>
        <w:jc w:val="both"/>
      </w:pPr>
      <w:r>
        <w:t xml:space="preserve">De la </w:t>
      </w:r>
      <w:r w:rsidRPr="00BE5B49">
        <w:t>Tabla 14, se observa</w:t>
      </w:r>
      <w:r>
        <w:t xml:space="preserve"> que el mercado de arrendamiento de sitios de telecomunicaciones presenta un nivel de concentración elevado (4,060 puntos),</w:t>
      </w:r>
      <w:r>
        <w:rPr>
          <w:rStyle w:val="Refdenotaalpie"/>
        </w:rPr>
        <w:footnoteReference w:id="256"/>
      </w:r>
      <w:r>
        <w:t xml:space="preserve"> debido, principalmente, a la alta participación de mercado de AMX/Telesites, el cual </w:t>
      </w:r>
      <w:r w:rsidRPr="007F1962">
        <w:t xml:space="preserve">reúne </w:t>
      </w:r>
      <w:r w:rsidR="00871C8C" w:rsidRPr="00871C8C">
        <w:rPr>
          <w:b/>
          <w:bCs/>
          <w:color w:val="0000CC"/>
        </w:rPr>
        <w:t>“CONFIDENCIAL POR LEY”</w:t>
      </w:r>
      <w:r w:rsidR="00871C8C">
        <w:rPr>
          <w:b/>
          <w:bCs/>
          <w:color w:val="0000CC"/>
          <w:sz w:val="16"/>
          <w:szCs w:val="16"/>
        </w:rPr>
        <w:t xml:space="preserve"> </w:t>
      </w:r>
      <w:r w:rsidRPr="007F1962">
        <w:t xml:space="preserve">de los sitios a nivel nacional. Dentro de este grupo de interés económico, se incluyen los sitios de telecomunicaciones operados por Opsimex, Telmex y Telnor, sociedades que forman parte del AEP. El segundo participante en orden de importancia es ATC con </w:t>
      </w:r>
      <w:r w:rsidR="00871C8C" w:rsidRPr="00871C8C">
        <w:rPr>
          <w:b/>
          <w:bCs/>
          <w:color w:val="0000CC"/>
        </w:rPr>
        <w:t>“CONFIDENCIAL POR LEY”</w:t>
      </w:r>
      <w:r w:rsidRPr="007F1962">
        <w:t xml:space="preserve"> del total</w:t>
      </w:r>
      <w:r>
        <w:t xml:space="preserve"> de los sitios de telecomunicaciones, seguido por AT&amp;T con </w:t>
      </w:r>
      <w:r w:rsidR="00871C8C" w:rsidRPr="00871C8C">
        <w:rPr>
          <w:b/>
          <w:bCs/>
          <w:color w:val="0000CC"/>
        </w:rPr>
        <w:t>“CONFIDENCIAL POR LEY”</w:t>
      </w:r>
      <w:r>
        <w:t>.</w:t>
      </w:r>
    </w:p>
    <w:p w14:paraId="778C39CA" w14:textId="77777777" w:rsidR="00086510" w:rsidRDefault="00086510" w:rsidP="009B0A36">
      <w:pPr>
        <w:pStyle w:val="Prrafodelista"/>
        <w:numPr>
          <w:ilvl w:val="0"/>
          <w:numId w:val="13"/>
        </w:numPr>
        <w:spacing w:before="120" w:after="120" w:line="240" w:lineRule="auto"/>
        <w:contextualSpacing w:val="0"/>
        <w:jc w:val="both"/>
      </w:pPr>
      <w:r>
        <w:t xml:space="preserve">Cabe señalar que el AEP está obligado a </w:t>
      </w:r>
      <w:r w:rsidRPr="00D96705">
        <w:t xml:space="preserve">brindar el </w:t>
      </w:r>
      <w:r>
        <w:t>S</w:t>
      </w:r>
      <w:r w:rsidRPr="00D96705">
        <w:t xml:space="preserve">ervicio de </w:t>
      </w:r>
      <w:r>
        <w:t>A</w:t>
      </w:r>
      <w:r w:rsidRPr="00D96705">
        <w:t xml:space="preserve">cceso </w:t>
      </w:r>
      <w:r>
        <w:t xml:space="preserve">y Uso Compartido de Infraestructura Pasiva, dentro de la cual se incluyen los </w:t>
      </w:r>
      <w:r w:rsidRPr="00D96705">
        <w:t xml:space="preserve">sitios </w:t>
      </w:r>
      <w:r>
        <w:t>de telecomunicaciones,</w:t>
      </w:r>
      <w:r>
        <w:rPr>
          <w:rStyle w:val="Refdenotaalpie"/>
        </w:rPr>
        <w:footnoteReference w:id="257"/>
      </w:r>
      <w:r>
        <w:t xml:space="preserve"> </w:t>
      </w:r>
      <w:r w:rsidRPr="00D96705">
        <w:t>a cualq</w:t>
      </w:r>
      <w:r>
        <w:t xml:space="preserve">uier concesionario de RPT que lo solicite, sobre </w:t>
      </w:r>
      <w:r>
        <w:lastRenderedPageBreak/>
        <w:t xml:space="preserve">bases no discriminatorias, </w:t>
      </w:r>
      <w:r w:rsidRPr="00C71DBC">
        <w:t>considerando las condiciones ofrecidas a sus propias operaciones</w:t>
      </w:r>
      <w:r>
        <w:t xml:space="preserve"> y sin otorgar derechos de exclusividad.</w:t>
      </w:r>
      <w:r>
        <w:rPr>
          <w:rStyle w:val="Refdenotaalpie"/>
        </w:rPr>
        <w:footnoteReference w:id="258"/>
      </w:r>
      <w:r>
        <w:t xml:space="preserve"> </w:t>
      </w:r>
    </w:p>
    <w:p w14:paraId="5991E54E" w14:textId="77777777" w:rsidR="00086510" w:rsidRDefault="00086510" w:rsidP="009B0A36">
      <w:pPr>
        <w:pStyle w:val="Prrafodelista"/>
        <w:numPr>
          <w:ilvl w:val="0"/>
          <w:numId w:val="13"/>
        </w:numPr>
        <w:spacing w:before="120" w:after="120" w:line="240" w:lineRule="auto"/>
        <w:contextualSpacing w:val="0"/>
        <w:jc w:val="both"/>
      </w:pPr>
      <w:r>
        <w:t>El AEP también está obligado a publicar una Oferta de Referencia para la prestación del Servicio de Acceso y Uso Compartido de Infraestructura Pasiva,</w:t>
      </w:r>
      <w:r>
        <w:rPr>
          <w:rStyle w:val="Refdenotaalpie"/>
        </w:rPr>
        <w:footnoteReference w:id="259"/>
      </w:r>
      <w:r>
        <w:t xml:space="preserve"> la cual debe incluir un anexo con los precios y tarifas.</w:t>
      </w:r>
      <w:r>
        <w:rPr>
          <w:rStyle w:val="Refdenotaalpie"/>
        </w:rPr>
        <w:footnoteReference w:id="260"/>
      </w:r>
      <w:r>
        <w:t xml:space="preserve"> Las tarifas publicadas son únicamente d</w:t>
      </w:r>
      <w:r w:rsidRPr="005A4142">
        <w:t>e referencia</w:t>
      </w:r>
      <w:r>
        <w:t>, ya que l</w:t>
      </w:r>
      <w:r w:rsidRPr="005A4142">
        <w:t xml:space="preserve">os concesionarios solicitantes pueden negociar con </w:t>
      </w:r>
      <w:r>
        <w:t>el AEP</w:t>
      </w:r>
      <w:r w:rsidRPr="005A4142">
        <w:t xml:space="preserve"> </w:t>
      </w:r>
      <w:r>
        <w:t xml:space="preserve">nuevas </w:t>
      </w:r>
      <w:r w:rsidRPr="005A4142">
        <w:t>tarifas</w:t>
      </w:r>
      <w:r>
        <w:t xml:space="preserve"> y</w:t>
      </w:r>
      <w:r w:rsidRPr="005A4142">
        <w:t xml:space="preserve">, en caso </w:t>
      </w:r>
      <w:r>
        <w:t>de no haber acuerdo</w:t>
      </w:r>
      <w:r w:rsidRPr="005A4142">
        <w:t xml:space="preserve"> </w:t>
      </w:r>
      <w:r>
        <w:t xml:space="preserve">o a petición de ambas partes, </w:t>
      </w:r>
      <w:r w:rsidRPr="005A4142">
        <w:t>el Instituto determinará las tarifas pertinentes con base en una metodología de costos incrementales promedio de largo plazo.</w:t>
      </w:r>
      <w:r>
        <w:rPr>
          <w:rStyle w:val="Refdenotaalpie"/>
        </w:rPr>
        <w:footnoteReference w:id="261"/>
      </w:r>
    </w:p>
    <w:p w14:paraId="4D16C2F8" w14:textId="77777777" w:rsidR="00086510" w:rsidRDefault="00086510" w:rsidP="009B0A36">
      <w:pPr>
        <w:pStyle w:val="Prrafodelista"/>
        <w:numPr>
          <w:ilvl w:val="0"/>
          <w:numId w:val="13"/>
        </w:numPr>
        <w:spacing w:before="120" w:after="120" w:line="240" w:lineRule="auto"/>
        <w:contextualSpacing w:val="0"/>
        <w:jc w:val="both"/>
      </w:pPr>
      <w:r>
        <w:t>De lo anterior, se concluye que ATC enfrenta a un competidor que está obligado a prestar el servicio en términos no discriminatorios y cuyas tarifas están sujetas a regulación del Instituto, lo cual contrarresta cualquier intento de ATC de fijar precios o restringir el abasto de manera unilateral en el mercado de arrendamiento de sitios de telecomunicaciones.</w:t>
      </w:r>
    </w:p>
    <w:p w14:paraId="7D427191" w14:textId="77777777" w:rsidR="00B77B6D" w:rsidRDefault="00086510" w:rsidP="009B0A36">
      <w:pPr>
        <w:pStyle w:val="Prrafodelista"/>
        <w:numPr>
          <w:ilvl w:val="0"/>
          <w:numId w:val="13"/>
        </w:numPr>
        <w:spacing w:before="120" w:after="120" w:line="240" w:lineRule="auto"/>
        <w:contextualSpacing w:val="0"/>
        <w:jc w:val="both"/>
      </w:pPr>
      <w:r w:rsidRPr="00A739F3">
        <w:t xml:space="preserve">Adicionalmente, </w:t>
      </w:r>
      <w:r w:rsidRPr="00D55A29">
        <w:t>el mercado</w:t>
      </w:r>
      <w:r w:rsidRPr="00A739F3">
        <w:t xml:space="preserve"> </w:t>
      </w:r>
      <w:r>
        <w:t>relevante</w:t>
      </w:r>
      <w:r w:rsidRPr="00A739F3">
        <w:t xml:space="preserve"> </w:t>
      </w:r>
      <w:r w:rsidRPr="00D55A29">
        <w:t xml:space="preserve">se caracteriza por la presencia de </w:t>
      </w:r>
      <w:r w:rsidR="004775CB" w:rsidRPr="004775CB">
        <w:rPr>
          <w:b/>
          <w:bCs/>
          <w:color w:val="0000CC"/>
        </w:rPr>
        <w:t>“CONFIDENCIAL POR LEY”</w:t>
      </w:r>
      <w:r w:rsidRPr="007435DD">
        <w:t xml:space="preserve"> volúmenes de compra, </w:t>
      </w:r>
      <w:r w:rsidR="004775CB" w:rsidRPr="004775CB">
        <w:rPr>
          <w:b/>
          <w:bCs/>
          <w:color w:val="0000CC"/>
        </w:rPr>
        <w:t>“CONFIDENCIAL POR LEY”</w:t>
      </w:r>
      <w:r w:rsidRPr="006715F8">
        <w:t xml:space="preserve">. </w:t>
      </w:r>
      <w:r w:rsidRPr="00743DAD">
        <w:t xml:space="preserve">En </w:t>
      </w:r>
      <w:r>
        <w:t xml:space="preserve">la </w:t>
      </w:r>
      <w:r w:rsidRPr="00BE5B49">
        <w:t>Tabla 15 se presentan</w:t>
      </w:r>
      <w:r>
        <w:t xml:space="preserve"> los principales clientes de ATC, así como el porcentaje que cada uno representa respecto a los ingresos totales para los años de dos mil dieciséis y diecisiete.</w:t>
      </w:r>
    </w:p>
    <w:p w14:paraId="790BC0D5" w14:textId="77777777" w:rsidR="00086510" w:rsidRPr="00B9381C" w:rsidRDefault="00086510" w:rsidP="0065446F">
      <w:pPr>
        <w:pStyle w:val="Subttulo"/>
        <w:keepNext/>
        <w:spacing w:after="0"/>
        <w:jc w:val="center"/>
        <w:rPr>
          <w:b/>
          <w:color w:val="auto"/>
          <w:spacing w:val="0"/>
          <w:sz w:val="18"/>
          <w:szCs w:val="18"/>
        </w:rPr>
      </w:pPr>
      <w:r w:rsidRPr="00BE5B49">
        <w:rPr>
          <w:b/>
          <w:color w:val="auto"/>
          <w:spacing w:val="0"/>
          <w:sz w:val="18"/>
          <w:szCs w:val="18"/>
        </w:rPr>
        <w:t>Tabla 15. Principales</w:t>
      </w:r>
      <w:r w:rsidRPr="00B9381C">
        <w:rPr>
          <w:b/>
          <w:color w:val="auto"/>
          <w:spacing w:val="0"/>
          <w:sz w:val="18"/>
          <w:szCs w:val="18"/>
        </w:rPr>
        <w:t xml:space="preserve"> clientes de ATC, 2017</w:t>
      </w: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la 15. Principales clientes de ATC, 2017"/>
        <w:tblDescription w:val="Tabla con el porcentaje que representan los principales clientes respecto a los ingresos totales de ATC en los años 2016 y 2017."/>
      </w:tblPr>
      <w:tblGrid>
        <w:gridCol w:w="1555"/>
        <w:gridCol w:w="1348"/>
        <w:gridCol w:w="1345"/>
      </w:tblGrid>
      <w:tr w:rsidR="00086510" w:rsidRPr="007F00D9" w14:paraId="6A46C1B2" w14:textId="77777777" w:rsidTr="00F11F3B">
        <w:trPr>
          <w:trHeight w:val="20"/>
          <w:jc w:val="center"/>
        </w:trPr>
        <w:tc>
          <w:tcPr>
            <w:tcW w:w="1555" w:type="dxa"/>
            <w:vMerge w:val="restart"/>
            <w:shd w:val="clear" w:color="auto" w:fill="002060"/>
            <w:vAlign w:val="center"/>
            <w:hideMark/>
          </w:tcPr>
          <w:p w14:paraId="52F1A0A4" w14:textId="77777777" w:rsidR="00086510" w:rsidRPr="007F00D9" w:rsidRDefault="00086510" w:rsidP="0065446F">
            <w:pPr>
              <w:keepNext/>
              <w:spacing w:after="0"/>
              <w:jc w:val="center"/>
              <w:rPr>
                <w:rFonts w:eastAsia="Times New Roman" w:cs="Calibri"/>
                <w:b/>
                <w:bCs/>
                <w:color w:val="FFFFFF"/>
                <w:sz w:val="16"/>
                <w:szCs w:val="18"/>
                <w:lang w:eastAsia="es-MX"/>
              </w:rPr>
            </w:pPr>
            <w:r w:rsidRPr="007F00D9">
              <w:rPr>
                <w:rFonts w:eastAsia="Times New Roman" w:cs="Calibri"/>
                <w:b/>
                <w:bCs/>
                <w:color w:val="FFFFFF"/>
                <w:sz w:val="16"/>
                <w:szCs w:val="18"/>
                <w:lang w:eastAsia="es-MX"/>
              </w:rPr>
              <w:t>Cliente</w:t>
            </w:r>
          </w:p>
        </w:tc>
        <w:tc>
          <w:tcPr>
            <w:tcW w:w="2693" w:type="dxa"/>
            <w:gridSpan w:val="2"/>
            <w:shd w:val="clear" w:color="auto" w:fill="002060"/>
            <w:vAlign w:val="center"/>
            <w:hideMark/>
          </w:tcPr>
          <w:p w14:paraId="1AAC97C3" w14:textId="77777777" w:rsidR="00086510" w:rsidRPr="007F00D9" w:rsidRDefault="00086510" w:rsidP="0065446F">
            <w:pPr>
              <w:keepNext/>
              <w:spacing w:after="0"/>
              <w:jc w:val="center"/>
              <w:rPr>
                <w:rFonts w:eastAsia="Times New Roman" w:cs="Calibri"/>
                <w:b/>
                <w:bCs/>
                <w:color w:val="FFFFFF"/>
                <w:sz w:val="16"/>
                <w:szCs w:val="18"/>
                <w:lang w:eastAsia="es-MX"/>
              </w:rPr>
            </w:pPr>
            <w:r w:rsidRPr="007F00D9">
              <w:rPr>
                <w:rFonts w:eastAsia="Times New Roman" w:cs="Calibri"/>
                <w:b/>
                <w:bCs/>
                <w:color w:val="FFFFFF"/>
                <w:sz w:val="16"/>
                <w:szCs w:val="18"/>
                <w:lang w:eastAsia="es-MX"/>
              </w:rPr>
              <w:t>Porcentaje que representan los principales clientes respecto a los ingresos totales de ATC</w:t>
            </w:r>
          </w:p>
        </w:tc>
      </w:tr>
      <w:tr w:rsidR="00086510" w:rsidRPr="007F00D9" w14:paraId="17CF8628" w14:textId="77777777" w:rsidTr="00F11F3B">
        <w:trPr>
          <w:trHeight w:val="20"/>
          <w:jc w:val="center"/>
        </w:trPr>
        <w:tc>
          <w:tcPr>
            <w:tcW w:w="1555" w:type="dxa"/>
            <w:vMerge/>
            <w:shd w:val="clear" w:color="auto" w:fill="002060"/>
            <w:vAlign w:val="center"/>
            <w:hideMark/>
          </w:tcPr>
          <w:p w14:paraId="3781A9CC" w14:textId="77777777" w:rsidR="00086510" w:rsidRPr="007F00D9" w:rsidRDefault="00086510" w:rsidP="0065446F">
            <w:pPr>
              <w:keepNext/>
              <w:spacing w:after="0"/>
              <w:rPr>
                <w:rFonts w:eastAsia="Times New Roman" w:cs="Calibri"/>
                <w:b/>
                <w:bCs/>
                <w:color w:val="FFFFFF"/>
                <w:sz w:val="16"/>
                <w:szCs w:val="18"/>
                <w:lang w:eastAsia="es-MX"/>
              </w:rPr>
            </w:pPr>
          </w:p>
        </w:tc>
        <w:tc>
          <w:tcPr>
            <w:tcW w:w="1348" w:type="dxa"/>
            <w:shd w:val="clear" w:color="auto" w:fill="002060"/>
            <w:noWrap/>
            <w:vAlign w:val="bottom"/>
            <w:hideMark/>
          </w:tcPr>
          <w:p w14:paraId="045BD2AD" w14:textId="77777777" w:rsidR="00086510" w:rsidRPr="007F00D9" w:rsidRDefault="00086510" w:rsidP="0065446F">
            <w:pPr>
              <w:keepNext/>
              <w:spacing w:after="0"/>
              <w:jc w:val="center"/>
              <w:rPr>
                <w:rFonts w:eastAsia="Times New Roman" w:cs="Calibri"/>
                <w:b/>
                <w:bCs/>
                <w:color w:val="FFFFFF"/>
                <w:sz w:val="16"/>
                <w:szCs w:val="18"/>
                <w:lang w:eastAsia="es-MX"/>
              </w:rPr>
            </w:pPr>
            <w:r w:rsidRPr="007F00D9">
              <w:rPr>
                <w:rFonts w:eastAsia="Times New Roman" w:cs="Calibri"/>
                <w:b/>
                <w:bCs/>
                <w:color w:val="FFFFFF"/>
                <w:sz w:val="16"/>
                <w:szCs w:val="18"/>
                <w:lang w:eastAsia="es-MX"/>
              </w:rPr>
              <w:t>2016</w:t>
            </w:r>
          </w:p>
        </w:tc>
        <w:tc>
          <w:tcPr>
            <w:tcW w:w="1345" w:type="dxa"/>
            <w:shd w:val="clear" w:color="auto" w:fill="002060"/>
            <w:noWrap/>
            <w:vAlign w:val="bottom"/>
            <w:hideMark/>
          </w:tcPr>
          <w:p w14:paraId="51ADE8F9" w14:textId="77777777" w:rsidR="00086510" w:rsidRPr="007F00D9" w:rsidRDefault="00086510" w:rsidP="0065446F">
            <w:pPr>
              <w:keepNext/>
              <w:spacing w:after="0"/>
              <w:jc w:val="center"/>
              <w:rPr>
                <w:rFonts w:eastAsia="Times New Roman" w:cs="Calibri"/>
                <w:b/>
                <w:bCs/>
                <w:color w:val="FFFFFF"/>
                <w:sz w:val="16"/>
                <w:szCs w:val="18"/>
                <w:lang w:eastAsia="es-MX"/>
              </w:rPr>
            </w:pPr>
            <w:r w:rsidRPr="007F00D9">
              <w:rPr>
                <w:rFonts w:eastAsia="Times New Roman" w:cs="Calibri"/>
                <w:b/>
                <w:bCs/>
                <w:color w:val="FFFFFF"/>
                <w:sz w:val="16"/>
                <w:szCs w:val="18"/>
                <w:lang w:eastAsia="es-MX"/>
              </w:rPr>
              <w:t>2017</w:t>
            </w:r>
          </w:p>
        </w:tc>
      </w:tr>
      <w:tr w:rsidR="00F11F3B" w:rsidRPr="007F00D9" w14:paraId="73AC2387" w14:textId="77777777" w:rsidTr="00F11F3B">
        <w:trPr>
          <w:trHeight w:val="20"/>
          <w:jc w:val="center"/>
        </w:trPr>
        <w:tc>
          <w:tcPr>
            <w:tcW w:w="1555" w:type="dxa"/>
            <w:shd w:val="clear" w:color="auto" w:fill="auto"/>
            <w:noWrap/>
            <w:vAlign w:val="bottom"/>
            <w:hideMark/>
          </w:tcPr>
          <w:p w14:paraId="0F5A5D03"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8" w:type="dxa"/>
            <w:shd w:val="clear" w:color="auto" w:fill="auto"/>
            <w:noWrap/>
            <w:vAlign w:val="bottom"/>
            <w:hideMark/>
          </w:tcPr>
          <w:p w14:paraId="18AF0393"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5" w:type="dxa"/>
            <w:shd w:val="clear" w:color="auto" w:fill="auto"/>
            <w:noWrap/>
            <w:vAlign w:val="bottom"/>
            <w:hideMark/>
          </w:tcPr>
          <w:p w14:paraId="0D28DCD2"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r>
      <w:tr w:rsidR="00F11F3B" w:rsidRPr="007F00D9" w14:paraId="06CE108A" w14:textId="77777777" w:rsidTr="00F11F3B">
        <w:trPr>
          <w:trHeight w:val="20"/>
          <w:jc w:val="center"/>
        </w:trPr>
        <w:tc>
          <w:tcPr>
            <w:tcW w:w="1555" w:type="dxa"/>
            <w:shd w:val="clear" w:color="auto" w:fill="auto"/>
            <w:noWrap/>
            <w:vAlign w:val="bottom"/>
            <w:hideMark/>
          </w:tcPr>
          <w:p w14:paraId="2DDBD792"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8" w:type="dxa"/>
            <w:shd w:val="clear" w:color="auto" w:fill="auto"/>
            <w:noWrap/>
            <w:vAlign w:val="bottom"/>
            <w:hideMark/>
          </w:tcPr>
          <w:p w14:paraId="65E9DAAC"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5" w:type="dxa"/>
            <w:shd w:val="clear" w:color="auto" w:fill="auto"/>
            <w:noWrap/>
            <w:vAlign w:val="bottom"/>
            <w:hideMark/>
          </w:tcPr>
          <w:p w14:paraId="5776E222"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r>
      <w:tr w:rsidR="00F11F3B" w:rsidRPr="007F00D9" w14:paraId="4C84C51A" w14:textId="77777777" w:rsidTr="00F11F3B">
        <w:trPr>
          <w:trHeight w:val="20"/>
          <w:jc w:val="center"/>
        </w:trPr>
        <w:tc>
          <w:tcPr>
            <w:tcW w:w="1555" w:type="dxa"/>
            <w:shd w:val="clear" w:color="auto" w:fill="auto"/>
            <w:noWrap/>
            <w:vAlign w:val="bottom"/>
            <w:hideMark/>
          </w:tcPr>
          <w:p w14:paraId="2A5D3DF9"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8" w:type="dxa"/>
            <w:shd w:val="clear" w:color="auto" w:fill="auto"/>
            <w:noWrap/>
            <w:vAlign w:val="bottom"/>
            <w:hideMark/>
          </w:tcPr>
          <w:p w14:paraId="561F4A01"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5" w:type="dxa"/>
            <w:shd w:val="clear" w:color="auto" w:fill="auto"/>
            <w:noWrap/>
            <w:vAlign w:val="bottom"/>
            <w:hideMark/>
          </w:tcPr>
          <w:p w14:paraId="0966EC52"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r>
      <w:tr w:rsidR="00F11F3B" w:rsidRPr="007F00D9" w14:paraId="40FED784" w14:textId="77777777" w:rsidTr="00F11F3B">
        <w:trPr>
          <w:trHeight w:val="20"/>
          <w:jc w:val="center"/>
        </w:trPr>
        <w:tc>
          <w:tcPr>
            <w:tcW w:w="1555" w:type="dxa"/>
            <w:shd w:val="clear" w:color="auto" w:fill="auto"/>
            <w:noWrap/>
            <w:vAlign w:val="bottom"/>
            <w:hideMark/>
          </w:tcPr>
          <w:p w14:paraId="1C8A62F2"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8" w:type="dxa"/>
            <w:shd w:val="clear" w:color="auto" w:fill="auto"/>
            <w:noWrap/>
            <w:vAlign w:val="bottom"/>
            <w:hideMark/>
          </w:tcPr>
          <w:p w14:paraId="040291FE"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5" w:type="dxa"/>
            <w:shd w:val="clear" w:color="auto" w:fill="auto"/>
            <w:noWrap/>
            <w:vAlign w:val="bottom"/>
            <w:hideMark/>
          </w:tcPr>
          <w:p w14:paraId="71A779F6"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r>
      <w:tr w:rsidR="00F11F3B" w:rsidRPr="007F00D9" w14:paraId="3B1ACC73" w14:textId="77777777" w:rsidTr="00F11F3B">
        <w:trPr>
          <w:trHeight w:val="20"/>
          <w:jc w:val="center"/>
        </w:trPr>
        <w:tc>
          <w:tcPr>
            <w:tcW w:w="1555" w:type="dxa"/>
            <w:shd w:val="clear" w:color="auto" w:fill="auto"/>
            <w:noWrap/>
            <w:vAlign w:val="bottom"/>
          </w:tcPr>
          <w:p w14:paraId="0B9EB441"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8" w:type="dxa"/>
            <w:shd w:val="clear" w:color="auto" w:fill="auto"/>
            <w:noWrap/>
            <w:vAlign w:val="bottom"/>
          </w:tcPr>
          <w:p w14:paraId="6275D829"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5" w:type="dxa"/>
            <w:shd w:val="clear" w:color="auto" w:fill="auto"/>
            <w:noWrap/>
            <w:vAlign w:val="bottom"/>
          </w:tcPr>
          <w:p w14:paraId="5DF27FB9"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r>
      <w:tr w:rsidR="00F11F3B" w:rsidRPr="007F00D9" w14:paraId="45BD4DD3" w14:textId="77777777" w:rsidTr="00F11F3B">
        <w:trPr>
          <w:trHeight w:val="20"/>
          <w:jc w:val="center"/>
        </w:trPr>
        <w:tc>
          <w:tcPr>
            <w:tcW w:w="1555" w:type="dxa"/>
            <w:shd w:val="clear" w:color="auto" w:fill="auto"/>
            <w:noWrap/>
            <w:vAlign w:val="bottom"/>
            <w:hideMark/>
          </w:tcPr>
          <w:p w14:paraId="0E22355E"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8" w:type="dxa"/>
            <w:shd w:val="clear" w:color="auto" w:fill="auto"/>
            <w:noWrap/>
            <w:vAlign w:val="bottom"/>
            <w:hideMark/>
          </w:tcPr>
          <w:p w14:paraId="5166059A"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c>
          <w:tcPr>
            <w:tcW w:w="1345" w:type="dxa"/>
            <w:shd w:val="clear" w:color="auto" w:fill="auto"/>
            <w:noWrap/>
            <w:vAlign w:val="bottom"/>
            <w:hideMark/>
          </w:tcPr>
          <w:p w14:paraId="51F1D676" w14:textId="77777777" w:rsidR="00F11F3B" w:rsidRPr="00F11F3B" w:rsidRDefault="00F11F3B" w:rsidP="00F11F3B">
            <w:pPr>
              <w:keepNext/>
              <w:spacing w:after="0"/>
              <w:rPr>
                <w:rFonts w:eastAsia="Times New Roman" w:cs="Calibri"/>
                <w:b/>
                <w:color w:val="000000"/>
                <w:sz w:val="12"/>
                <w:szCs w:val="12"/>
                <w:lang w:eastAsia="es-MX"/>
              </w:rPr>
            </w:pPr>
            <w:r w:rsidRPr="00F11F3B">
              <w:rPr>
                <w:b/>
                <w:bCs/>
                <w:color w:val="0000CC"/>
                <w:sz w:val="12"/>
                <w:szCs w:val="12"/>
              </w:rPr>
              <w:t>“CONFIDENCIAL POR LEY”</w:t>
            </w:r>
          </w:p>
        </w:tc>
      </w:tr>
    </w:tbl>
    <w:p w14:paraId="0A5F7325" w14:textId="77777777" w:rsidR="00086510" w:rsidRPr="00B9381C" w:rsidRDefault="00086510" w:rsidP="0065446F">
      <w:pPr>
        <w:pStyle w:val="Textonotapie"/>
        <w:keepNext/>
        <w:jc w:val="both"/>
        <w:rPr>
          <w:sz w:val="16"/>
          <w:szCs w:val="16"/>
        </w:rPr>
      </w:pPr>
      <w:r w:rsidRPr="00B9381C">
        <w:rPr>
          <w:sz w:val="16"/>
          <w:szCs w:val="16"/>
        </w:rPr>
        <w:t>Nota:</w:t>
      </w:r>
    </w:p>
    <w:p w14:paraId="0AD0FD9B" w14:textId="77777777" w:rsidR="00086510" w:rsidRPr="00F11F3B" w:rsidRDefault="00086510" w:rsidP="00F11F3B">
      <w:pPr>
        <w:keepNext/>
        <w:spacing w:after="0"/>
        <w:jc w:val="both"/>
        <w:rPr>
          <w:rFonts w:eastAsia="Times New Roman" w:cs="Calibri"/>
          <w:b/>
          <w:color w:val="000000"/>
          <w:sz w:val="12"/>
          <w:szCs w:val="12"/>
          <w:lang w:eastAsia="es-MX"/>
        </w:rPr>
      </w:pPr>
      <w:r w:rsidRPr="00B9381C">
        <w:rPr>
          <w:sz w:val="16"/>
          <w:szCs w:val="16"/>
          <w:vertAlign w:val="superscript"/>
        </w:rPr>
        <w:t>\a</w:t>
      </w:r>
      <w:r w:rsidRPr="00B9381C">
        <w:rPr>
          <w:sz w:val="16"/>
          <w:szCs w:val="16"/>
        </w:rPr>
        <w:t xml:space="preserve"> Incluye clientes como: </w:t>
      </w:r>
      <w:r w:rsidR="00F11F3B" w:rsidRPr="00F11F3B">
        <w:rPr>
          <w:b/>
          <w:bCs/>
          <w:color w:val="0000CC"/>
          <w:sz w:val="16"/>
          <w:szCs w:val="16"/>
        </w:rPr>
        <w:t>“CONFIDENCIAL POR LEY”</w:t>
      </w:r>
      <w:r w:rsidR="00427D3B" w:rsidRPr="00427D3B">
        <w:rPr>
          <w:bCs/>
          <w:sz w:val="16"/>
          <w:szCs w:val="16"/>
        </w:rPr>
        <w:t>.</w:t>
      </w:r>
    </w:p>
    <w:p w14:paraId="0E9DC867" w14:textId="77777777" w:rsidR="00086510" w:rsidRPr="00B9381C" w:rsidRDefault="00086510" w:rsidP="0065446F">
      <w:pPr>
        <w:pStyle w:val="Textonotapie"/>
        <w:keepNext/>
        <w:jc w:val="both"/>
        <w:rPr>
          <w:sz w:val="16"/>
          <w:szCs w:val="16"/>
        </w:rPr>
      </w:pPr>
      <w:r w:rsidRPr="00B9381C">
        <w:rPr>
          <w:sz w:val="16"/>
          <w:szCs w:val="16"/>
        </w:rPr>
        <w:t>Fuente: Elaboración propia con base en información proporcionada por ATC. Fojas 5100, 5157, 7045, 7053, 7054 y 7058 del Expediente.</w:t>
      </w:r>
    </w:p>
    <w:p w14:paraId="561DC785" w14:textId="200D197F" w:rsidR="00086510" w:rsidRDefault="00086510" w:rsidP="009B0A36">
      <w:pPr>
        <w:pStyle w:val="Prrafodelista"/>
        <w:numPr>
          <w:ilvl w:val="0"/>
          <w:numId w:val="13"/>
        </w:numPr>
        <w:spacing w:before="120" w:after="120" w:line="240" w:lineRule="auto"/>
        <w:contextualSpacing w:val="0"/>
        <w:jc w:val="both"/>
      </w:pPr>
      <w:r w:rsidRPr="00B9381C">
        <w:t xml:space="preserve">De la </w:t>
      </w:r>
      <w:r w:rsidRPr="00BE5B49">
        <w:t xml:space="preserve">Tabla 15, se advierte que el </w:t>
      </w:r>
      <w:r w:rsidR="002D0345" w:rsidRPr="002D0345">
        <w:rPr>
          <w:b/>
          <w:bCs/>
          <w:color w:val="0000CC"/>
        </w:rPr>
        <w:t>“CONFIDENCIAL POR LEY”</w:t>
      </w:r>
      <w:r w:rsidRPr="00BE5B49">
        <w:t xml:space="preserve"> cliente de ATC representa casi </w:t>
      </w:r>
      <w:r w:rsidR="008743CD">
        <w:t xml:space="preserve">la </w:t>
      </w:r>
      <w:r w:rsidR="002D0345" w:rsidRPr="002D0345">
        <w:rPr>
          <w:b/>
          <w:bCs/>
          <w:color w:val="0000CC"/>
        </w:rPr>
        <w:t>“CONFIDENCIAL POR LEY”</w:t>
      </w:r>
      <w:r w:rsidRPr="00BE5B49">
        <w:t xml:space="preserve"> de sus ingresos; y los </w:t>
      </w:r>
      <w:r w:rsidR="002D0345" w:rsidRPr="002D0345">
        <w:rPr>
          <w:b/>
          <w:bCs/>
          <w:color w:val="0000CC"/>
        </w:rPr>
        <w:t xml:space="preserve">“CONFIDENCIAL </w:t>
      </w:r>
      <w:r w:rsidR="002D0345" w:rsidRPr="002D0345">
        <w:rPr>
          <w:b/>
          <w:bCs/>
          <w:color w:val="0000CC"/>
        </w:rPr>
        <w:lastRenderedPageBreak/>
        <w:t>POR LEY”</w:t>
      </w:r>
      <w:r w:rsidRPr="00B9381C">
        <w:t xml:space="preserve"> principales, en conjunto, constituyen casi </w:t>
      </w:r>
      <w:r w:rsidR="002D0345" w:rsidRPr="002D0345">
        <w:rPr>
          <w:b/>
          <w:bCs/>
          <w:color w:val="0000CC"/>
        </w:rPr>
        <w:t>“CONFIDENCIAL POR LEY”</w:t>
      </w:r>
      <w:r>
        <w:t xml:space="preserve"> de sus ingresos totales, por lo que ATC enfrenta demandantes </w:t>
      </w:r>
      <w:r w:rsidR="002D0345" w:rsidRPr="002D0345">
        <w:rPr>
          <w:b/>
          <w:bCs/>
          <w:color w:val="0000CC"/>
        </w:rPr>
        <w:t>“CONFIDENCIAL POR LEY”</w:t>
      </w:r>
      <w:r>
        <w:t xml:space="preserve">, situación que limita aún </w:t>
      </w:r>
      <w:r w:rsidRPr="00A739F3">
        <w:t xml:space="preserve">más la </w:t>
      </w:r>
      <w:r w:rsidRPr="006715F8">
        <w:t>capacidad de</w:t>
      </w:r>
      <w:r w:rsidRPr="00743DAD">
        <w:t xml:space="preserve"> ATC de fijar de precios o restringir el abasto de manera unilateral</w:t>
      </w:r>
      <w:r w:rsidRPr="007435DD">
        <w:t>.</w:t>
      </w:r>
    </w:p>
    <w:p w14:paraId="4F7C2AAF" w14:textId="77777777" w:rsidR="00086510" w:rsidRPr="007F1C5D" w:rsidRDefault="00086510" w:rsidP="009B0A36">
      <w:pPr>
        <w:pStyle w:val="Ttulo4"/>
        <w:numPr>
          <w:ilvl w:val="3"/>
          <w:numId w:val="23"/>
        </w:numPr>
        <w:ind w:left="567" w:hanging="567"/>
      </w:pPr>
      <w:r w:rsidRPr="007F1C5D">
        <w:t>Existencia y poder de sus competidores</w:t>
      </w:r>
    </w:p>
    <w:p w14:paraId="697E4E98" w14:textId="77777777" w:rsidR="00086510" w:rsidRPr="00BA1721" w:rsidRDefault="00086510" w:rsidP="009B0A36">
      <w:pPr>
        <w:pStyle w:val="Prrafodelista"/>
        <w:numPr>
          <w:ilvl w:val="0"/>
          <w:numId w:val="13"/>
        </w:numPr>
        <w:spacing w:before="120" w:after="120" w:line="240" w:lineRule="auto"/>
        <w:contextualSpacing w:val="0"/>
        <w:jc w:val="both"/>
      </w:pPr>
      <w:r w:rsidRPr="00BA1721">
        <w:t xml:space="preserve">De acuerdo con el artículo 59, </w:t>
      </w:r>
      <w:r>
        <w:t>f</w:t>
      </w:r>
      <w:r w:rsidRPr="00BA1721">
        <w:t xml:space="preserve">racción III, de la LFCE, para determinar </w:t>
      </w:r>
      <w:r>
        <w:t xml:space="preserve">si uno o varios </w:t>
      </w:r>
      <w:r w:rsidR="003D654B">
        <w:t>a</w:t>
      </w:r>
      <w:r>
        <w:t xml:space="preserve">gentes </w:t>
      </w:r>
      <w:r w:rsidR="003D654B">
        <w:t>e</w:t>
      </w:r>
      <w:r w:rsidRPr="00876071">
        <w:t xml:space="preserve">conómicos tienen poder sustancial en el mercado relevante, se </w:t>
      </w:r>
      <w:r w:rsidRPr="00BA1721">
        <w:t>deberá considerar:</w:t>
      </w:r>
    </w:p>
    <w:p w14:paraId="2D9A00F3" w14:textId="77777777" w:rsidR="00086510" w:rsidRPr="00FA2E15" w:rsidRDefault="00086510" w:rsidP="00086510">
      <w:pPr>
        <w:ind w:firstLine="708"/>
        <w:rPr>
          <w:i/>
          <w:sz w:val="20"/>
          <w:szCs w:val="20"/>
        </w:rPr>
      </w:pPr>
      <w:r w:rsidRPr="00FA2E15">
        <w:rPr>
          <w:i/>
          <w:sz w:val="20"/>
          <w:szCs w:val="20"/>
        </w:rPr>
        <w:t>III. La existencia y poder de sus competidores</w:t>
      </w:r>
      <w:r>
        <w:rPr>
          <w:i/>
          <w:sz w:val="20"/>
          <w:szCs w:val="20"/>
        </w:rPr>
        <w:t>;</w:t>
      </w:r>
    </w:p>
    <w:p w14:paraId="08233B0E" w14:textId="77777777" w:rsidR="00086510" w:rsidRDefault="00086510" w:rsidP="009B0A36">
      <w:pPr>
        <w:pStyle w:val="Prrafodelista"/>
        <w:numPr>
          <w:ilvl w:val="0"/>
          <w:numId w:val="13"/>
        </w:numPr>
        <w:spacing w:before="120" w:after="120" w:line="240" w:lineRule="auto"/>
        <w:contextualSpacing w:val="0"/>
        <w:jc w:val="both"/>
      </w:pPr>
      <w:r>
        <w:t>El principal competidor de ATC es AMX/Telesites que cuenta con una participación de 57.1% del total de sitios de telecomunicaciones en el país. La gran mayoría de estos sitios posee la capacidad de albergar al menos a un operador adicional.</w:t>
      </w:r>
      <w:r>
        <w:rPr>
          <w:rStyle w:val="Refdenotaalpie"/>
        </w:rPr>
        <w:footnoteReference w:id="262"/>
      </w:r>
    </w:p>
    <w:p w14:paraId="4A9D3438" w14:textId="77777777" w:rsidR="00B77B6D" w:rsidRDefault="00086510" w:rsidP="00B77B6D">
      <w:pPr>
        <w:pStyle w:val="Prrafodelista"/>
        <w:numPr>
          <w:ilvl w:val="0"/>
          <w:numId w:val="13"/>
        </w:numPr>
        <w:spacing w:before="120" w:after="120" w:line="240" w:lineRule="auto"/>
        <w:contextualSpacing w:val="0"/>
        <w:jc w:val="both"/>
      </w:pPr>
      <w:r>
        <w:t xml:space="preserve">Asimismo, </w:t>
      </w:r>
      <w:r w:rsidR="002D0345" w:rsidRPr="002D0345">
        <w:rPr>
          <w:b/>
          <w:bCs/>
          <w:color w:val="0000CC"/>
        </w:rPr>
        <w:t>“CONFIDENCIAL POR LEY”</w:t>
      </w:r>
      <w:r>
        <w:t xml:space="preserve"> ha realizado mayores inversiones que ATC en </w:t>
      </w:r>
      <w:r w:rsidRPr="0044243C">
        <w:t xml:space="preserve">la adquisición, despliegue, ampliación y mantenimiento </w:t>
      </w:r>
      <w:r>
        <w:t>de sitios de telecomunicaciones, como se advierte en el siguiente gráfico:</w:t>
      </w:r>
    </w:p>
    <w:p w14:paraId="0BE921A9" w14:textId="77777777" w:rsidR="000D7B71" w:rsidRPr="00B77B6D" w:rsidRDefault="00B77B6D" w:rsidP="00B77B6D">
      <w:pPr>
        <w:spacing w:after="160" w:line="259" w:lineRule="auto"/>
      </w:pPr>
      <w:r>
        <w:br w:type="page"/>
      </w:r>
    </w:p>
    <w:p w14:paraId="09BD17A8" w14:textId="77777777" w:rsidR="00086510" w:rsidRDefault="00086510" w:rsidP="00842A95">
      <w:pPr>
        <w:pStyle w:val="Subttulo"/>
        <w:spacing w:after="0"/>
        <w:jc w:val="center"/>
        <w:rPr>
          <w:b/>
          <w:color w:val="auto"/>
          <w:spacing w:val="0"/>
          <w:sz w:val="18"/>
          <w:szCs w:val="18"/>
        </w:rPr>
      </w:pPr>
      <w:r w:rsidRPr="00BE5B49">
        <w:rPr>
          <w:b/>
          <w:color w:val="auto"/>
          <w:spacing w:val="0"/>
          <w:sz w:val="18"/>
          <w:szCs w:val="18"/>
        </w:rPr>
        <w:lastRenderedPageBreak/>
        <w:t xml:space="preserve">Gráfico 9. ATC y </w:t>
      </w:r>
      <w:r w:rsidR="00C77BEB" w:rsidRPr="00C77BEB">
        <w:rPr>
          <w:b/>
          <w:bCs/>
          <w:color w:val="0000CC"/>
          <w:sz w:val="18"/>
          <w:szCs w:val="18"/>
        </w:rPr>
        <w:t>“CONFIDENCIAL POR LEY”</w:t>
      </w:r>
      <w:r w:rsidRPr="00BE5B49">
        <w:rPr>
          <w:b/>
          <w:color w:val="auto"/>
          <w:spacing w:val="0"/>
          <w:sz w:val="18"/>
          <w:szCs w:val="18"/>
        </w:rPr>
        <w:t>: Inversión anual en adquisición, despliegue, ampliación y mantenimiento</w:t>
      </w:r>
      <w:r w:rsidRPr="00B9381C">
        <w:rPr>
          <w:b/>
          <w:color w:val="auto"/>
          <w:spacing w:val="0"/>
          <w:sz w:val="18"/>
          <w:szCs w:val="18"/>
        </w:rPr>
        <w:t xml:space="preserve"> de sitios, a nivel nacional,</w:t>
      </w:r>
      <w:r w:rsidRPr="00B9381C">
        <w:rPr>
          <w:b/>
          <w:color w:val="auto"/>
          <w:spacing w:val="0"/>
          <w:sz w:val="18"/>
          <w:szCs w:val="18"/>
          <w:vertAlign w:val="superscript"/>
        </w:rPr>
        <w:t>\a</w:t>
      </w:r>
      <w:r w:rsidRPr="00B9381C">
        <w:rPr>
          <w:b/>
          <w:color w:val="auto"/>
          <w:spacing w:val="0"/>
          <w:sz w:val="18"/>
          <w:szCs w:val="18"/>
        </w:rPr>
        <w:t xml:space="preserve"> 2014-2017 (millones de </w:t>
      </w:r>
      <w:r w:rsidR="00842A95">
        <w:rPr>
          <w:b/>
          <w:color w:val="auto"/>
          <w:spacing w:val="0"/>
          <w:sz w:val="18"/>
          <w:szCs w:val="18"/>
        </w:rPr>
        <w:t>pesos)</w:t>
      </w:r>
      <w:r w:rsidR="00BE0179" w:rsidRPr="00BE0179">
        <w:rPr>
          <w:noProof/>
          <w:sz w:val="16"/>
          <w:szCs w:val="20"/>
          <w:lang w:eastAsia="es-MX"/>
        </w:rPr>
        <w:t xml:space="preserve"> </w:t>
      </w:r>
      <w:r w:rsidR="00BE0179" w:rsidRPr="00850642">
        <w:rPr>
          <w:noProof/>
          <w:sz w:val="16"/>
          <w:szCs w:val="20"/>
          <w:lang w:eastAsia="es-MX"/>
        </w:rPr>
        <mc:AlternateContent>
          <mc:Choice Requires="wps">
            <w:drawing>
              <wp:inline distT="0" distB="0" distL="0" distR="0" wp14:anchorId="6B2040E6" wp14:editId="4F66AA32">
                <wp:extent cx="2448560" cy="1502410"/>
                <wp:effectExtent l="0" t="0" r="27940" b="2159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502410"/>
                        </a:xfrm>
                        <a:prstGeom prst="rect">
                          <a:avLst/>
                        </a:prstGeom>
                        <a:solidFill>
                          <a:srgbClr val="FFFFFF"/>
                        </a:solidFill>
                        <a:ln w="9525">
                          <a:solidFill>
                            <a:srgbClr val="000000"/>
                          </a:solidFill>
                          <a:miter lim="800000"/>
                          <a:headEnd/>
                          <a:tailEnd/>
                        </a:ln>
                      </wps:spPr>
                      <wps:txbx>
                        <w:txbxContent>
                          <w:p w14:paraId="0DD083FE" w14:textId="77777777" w:rsidR="0006497B" w:rsidRPr="00850642" w:rsidRDefault="0006497B" w:rsidP="00BE0179">
                            <w:pPr>
                              <w:jc w:val="center"/>
                              <w:rPr>
                                <w:sz w:val="36"/>
                                <w:szCs w:val="36"/>
                              </w:rPr>
                            </w:pPr>
                            <w:r w:rsidRPr="00850642">
                              <w:rPr>
                                <w:b/>
                                <w:bCs/>
                                <w:color w:val="0000CC"/>
                                <w:sz w:val="36"/>
                                <w:szCs w:val="36"/>
                              </w:rPr>
                              <w:t>“CONFIDENCIAL POR LEY”</w:t>
                            </w:r>
                          </w:p>
                        </w:txbxContent>
                      </wps:txbx>
                      <wps:bodyPr rot="0" vert="horz" wrap="square" lIns="91440" tIns="45720" rIns="91440" bIns="45720" anchor="t" anchorCtr="0">
                        <a:noAutofit/>
                      </wps:bodyPr>
                    </wps:wsp>
                  </a:graphicData>
                </a:graphic>
              </wp:inline>
            </w:drawing>
          </mc:Choice>
          <mc:Fallback>
            <w:pict>
              <v:shape w14:anchorId="6B2040E6" id="_x0000_s1029" type="#_x0000_t202" style="width:192.8pt;height:1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">
                <v:textbox>
                  <w:txbxContent>
                    <w:p w14:paraId="0DD083FE" w14:textId="77777777" w:rsidR="0006497B" w:rsidRPr="00850642" w:rsidRDefault="0006497B" w:rsidP="00BE0179">
                      <w:pPr>
                        <w:jc w:val="center"/>
                        <w:rPr>
                          <w:sz w:val="36"/>
                          <w:szCs w:val="36"/>
                        </w:rPr>
                      </w:pPr>
                      <w:r w:rsidRPr="00850642">
                        <w:rPr>
                          <w:b/>
                          <w:bCs/>
                          <w:color w:val="0000CC"/>
                          <w:sz w:val="36"/>
                          <w:szCs w:val="36"/>
                        </w:rPr>
                        <w:t>“CONFIDENCIAL POR LEY”</w:t>
                      </w:r>
                    </w:p>
                  </w:txbxContent>
                </v:textbox>
                <w10:anchorlock/>
              </v:shape>
            </w:pict>
          </mc:Fallback>
        </mc:AlternateContent>
      </w:r>
    </w:p>
    <w:p w14:paraId="3641318B" w14:textId="77777777" w:rsidR="00086510" w:rsidRDefault="00086510" w:rsidP="00086510">
      <w:pPr>
        <w:spacing w:after="0"/>
        <w:jc w:val="both"/>
        <w:rPr>
          <w:sz w:val="16"/>
          <w:szCs w:val="20"/>
        </w:rPr>
      </w:pPr>
      <w:r w:rsidRPr="006A1CBC">
        <w:rPr>
          <w:sz w:val="16"/>
          <w:szCs w:val="20"/>
        </w:rPr>
        <w:t>Nota:</w:t>
      </w:r>
    </w:p>
    <w:p w14:paraId="7E166D18" w14:textId="77777777" w:rsidR="00086510" w:rsidRDefault="00086510" w:rsidP="00086510">
      <w:pPr>
        <w:spacing w:after="0"/>
        <w:jc w:val="both"/>
      </w:pPr>
      <w:r w:rsidRPr="0041278A">
        <w:rPr>
          <w:sz w:val="16"/>
          <w:szCs w:val="16"/>
          <w:vertAlign w:val="superscript"/>
        </w:rPr>
        <w:t>\a</w:t>
      </w:r>
      <w:r>
        <w:t xml:space="preserve"> </w:t>
      </w:r>
      <w:r w:rsidRPr="006A1CBC">
        <w:rPr>
          <w:sz w:val="16"/>
          <w:szCs w:val="20"/>
        </w:rPr>
        <w:t>L</w:t>
      </w:r>
      <w:r>
        <w:rPr>
          <w:sz w:val="16"/>
          <w:szCs w:val="20"/>
        </w:rPr>
        <w:t>a</w:t>
      </w:r>
      <w:r w:rsidRPr="006A1CBC">
        <w:rPr>
          <w:sz w:val="16"/>
          <w:szCs w:val="20"/>
        </w:rPr>
        <w:t xml:space="preserve"> </w:t>
      </w:r>
      <w:r>
        <w:rPr>
          <w:sz w:val="16"/>
          <w:szCs w:val="20"/>
        </w:rPr>
        <w:t xml:space="preserve">inversión </w:t>
      </w:r>
      <w:r w:rsidRPr="006A1CBC">
        <w:rPr>
          <w:sz w:val="16"/>
          <w:szCs w:val="20"/>
        </w:rPr>
        <w:t xml:space="preserve">de </w:t>
      </w:r>
      <w:r w:rsidR="008133E4" w:rsidRPr="008133E4">
        <w:rPr>
          <w:b/>
          <w:bCs/>
          <w:color w:val="0000CC"/>
          <w:sz w:val="16"/>
          <w:szCs w:val="16"/>
        </w:rPr>
        <w:t>“CONFIDENCIAL POR LEY”</w:t>
      </w:r>
      <w:r w:rsidRPr="006A1CBC">
        <w:rPr>
          <w:sz w:val="16"/>
          <w:szCs w:val="20"/>
        </w:rPr>
        <w:t xml:space="preserve"> </w:t>
      </w:r>
      <w:r>
        <w:rPr>
          <w:sz w:val="16"/>
          <w:szCs w:val="20"/>
        </w:rPr>
        <w:t>considera</w:t>
      </w:r>
      <w:r w:rsidRPr="006A1CBC">
        <w:rPr>
          <w:sz w:val="16"/>
          <w:szCs w:val="20"/>
        </w:rPr>
        <w:t xml:space="preserve"> </w:t>
      </w:r>
      <w:r>
        <w:rPr>
          <w:sz w:val="16"/>
          <w:szCs w:val="20"/>
        </w:rPr>
        <w:t xml:space="preserve">la información de </w:t>
      </w:r>
      <w:r w:rsidR="008133E4" w:rsidRPr="008133E4">
        <w:rPr>
          <w:b/>
          <w:bCs/>
          <w:color w:val="0000CC"/>
          <w:sz w:val="16"/>
          <w:szCs w:val="16"/>
        </w:rPr>
        <w:t>“CONFIDENCIAL POR LEY”</w:t>
      </w:r>
      <w:r>
        <w:rPr>
          <w:sz w:val="16"/>
          <w:szCs w:val="20"/>
        </w:rPr>
        <w:t>.</w:t>
      </w:r>
    </w:p>
    <w:p w14:paraId="3D643C7D" w14:textId="77777777" w:rsidR="00086510" w:rsidRDefault="00086510" w:rsidP="00086510">
      <w:pPr>
        <w:spacing w:after="0"/>
        <w:jc w:val="both"/>
        <w:rPr>
          <w:sz w:val="16"/>
          <w:szCs w:val="20"/>
        </w:rPr>
      </w:pPr>
      <w:r>
        <w:rPr>
          <w:sz w:val="16"/>
          <w:szCs w:val="20"/>
        </w:rPr>
        <w:t>Fuente: E</w:t>
      </w:r>
      <w:r w:rsidRPr="008063A2">
        <w:rPr>
          <w:sz w:val="16"/>
          <w:szCs w:val="20"/>
        </w:rPr>
        <w:t xml:space="preserve">laboración propia </w:t>
      </w:r>
      <w:r>
        <w:rPr>
          <w:sz w:val="16"/>
          <w:szCs w:val="20"/>
        </w:rPr>
        <w:t>con información</w:t>
      </w:r>
      <w:r w:rsidRPr="008063A2">
        <w:rPr>
          <w:sz w:val="16"/>
          <w:szCs w:val="20"/>
        </w:rPr>
        <w:t xml:space="preserve"> </w:t>
      </w:r>
      <w:r w:rsidRPr="00507528">
        <w:rPr>
          <w:sz w:val="16"/>
          <w:szCs w:val="20"/>
        </w:rPr>
        <w:t xml:space="preserve">proporcionada por </w:t>
      </w:r>
      <w:r w:rsidR="008133E4" w:rsidRPr="008133E4">
        <w:rPr>
          <w:b/>
          <w:bCs/>
          <w:color w:val="0000CC"/>
          <w:sz w:val="16"/>
          <w:szCs w:val="16"/>
        </w:rPr>
        <w:t>“CONFIDENCIAL POR LEY”</w:t>
      </w:r>
      <w:r w:rsidRPr="00507528">
        <w:rPr>
          <w:sz w:val="16"/>
          <w:szCs w:val="20"/>
        </w:rPr>
        <w:t xml:space="preserve"> </w:t>
      </w:r>
      <w:r>
        <w:rPr>
          <w:sz w:val="16"/>
          <w:szCs w:val="20"/>
        </w:rPr>
        <w:t>y ATC</w:t>
      </w:r>
      <w:r w:rsidRPr="00507528">
        <w:rPr>
          <w:sz w:val="16"/>
          <w:szCs w:val="20"/>
        </w:rPr>
        <w:t>. Fojas</w:t>
      </w:r>
      <w:r>
        <w:rPr>
          <w:sz w:val="16"/>
          <w:szCs w:val="20"/>
        </w:rPr>
        <w:t xml:space="preserve"> 4092, 4235, 4236,</w:t>
      </w:r>
      <w:r w:rsidRPr="00507528">
        <w:rPr>
          <w:sz w:val="16"/>
          <w:szCs w:val="20"/>
        </w:rPr>
        <w:t xml:space="preserve"> 4792, 5032, 5065 y 5084</w:t>
      </w:r>
      <w:r>
        <w:rPr>
          <w:sz w:val="16"/>
          <w:szCs w:val="20"/>
        </w:rPr>
        <w:t xml:space="preserve"> del Expediente</w:t>
      </w:r>
      <w:r w:rsidRPr="00507528">
        <w:rPr>
          <w:sz w:val="16"/>
          <w:szCs w:val="20"/>
        </w:rPr>
        <w:t>.</w:t>
      </w:r>
    </w:p>
    <w:p w14:paraId="49714A2C" w14:textId="77777777" w:rsidR="00086510" w:rsidRDefault="00086510" w:rsidP="009B0A36">
      <w:pPr>
        <w:pStyle w:val="Prrafodelista"/>
        <w:numPr>
          <w:ilvl w:val="0"/>
          <w:numId w:val="13"/>
        </w:numPr>
        <w:spacing w:before="120" w:after="120" w:line="240" w:lineRule="auto"/>
        <w:contextualSpacing w:val="0"/>
        <w:jc w:val="both"/>
      </w:pPr>
      <w:r>
        <w:t xml:space="preserve">Por otro lado, se debe considerar que AMX/Telesites es un </w:t>
      </w:r>
      <w:r w:rsidR="003D654B">
        <w:t>a</w:t>
      </w:r>
      <w:r>
        <w:t xml:space="preserve">gente </w:t>
      </w:r>
      <w:r w:rsidR="003D654B">
        <w:t>e</w:t>
      </w:r>
      <w:r>
        <w:t xml:space="preserve">conómico integrado verticalmente y que es el principal participante </w:t>
      </w:r>
      <w:r w:rsidR="00BE5B49">
        <w:t xml:space="preserve">en la provisión de servicios </w:t>
      </w:r>
      <w:r>
        <w:t xml:space="preserve">móviles en el país (a través de Telcel), </w:t>
      </w:r>
      <w:r w:rsidRPr="00E870D4">
        <w:t>con participaciones de 65.2% en término de líneas telefónicas móviles y 70.0% en líneas con acceso al servicio de banda ancha móvil</w:t>
      </w:r>
      <w:r>
        <w:t>.</w:t>
      </w:r>
      <w:r>
        <w:rPr>
          <w:rStyle w:val="Refdenotaalpie"/>
        </w:rPr>
        <w:footnoteReference w:id="263"/>
      </w:r>
      <w:r>
        <w:t xml:space="preserve"> Esto resulta relevante toda vez que </w:t>
      </w:r>
      <w:r w:rsidRPr="00833CBF">
        <w:t>la demanda por sitios de telecomunicaciones es una demanda derivada de los servicios de telecomunicaciones</w:t>
      </w:r>
      <w:r>
        <w:t xml:space="preserve"> dirigidos a</w:t>
      </w:r>
      <w:r w:rsidRPr="00833CBF">
        <w:t xml:space="preserve"> usuarios finales. </w:t>
      </w:r>
      <w:r w:rsidRPr="00E870D4">
        <w:t>De esta manera, el principal oferente de servicios móviles al usuario final, y principal demandante del servicio de arrendamiento de sitios, puede cubrir la mayor</w:t>
      </w:r>
      <w:r>
        <w:t xml:space="preserve"> parte </w:t>
      </w:r>
      <w:r w:rsidRPr="00E870D4">
        <w:t xml:space="preserve">de su demanda con sitios </w:t>
      </w:r>
      <w:r>
        <w:t>propios</w:t>
      </w:r>
      <w:r w:rsidRPr="00E870D4">
        <w:t xml:space="preserve"> </w:t>
      </w:r>
      <w:r>
        <w:t>y recurrir</w:t>
      </w:r>
      <w:r w:rsidRPr="00E870D4">
        <w:t xml:space="preserve"> a otros proveedores, como ATC, en menor medida.</w:t>
      </w:r>
      <w:r>
        <w:t xml:space="preserve"> </w:t>
      </w:r>
      <w:r w:rsidR="008133E4" w:rsidRPr="008133E4">
        <w:rPr>
          <w:b/>
          <w:bCs/>
          <w:color w:val="0000CC"/>
        </w:rPr>
        <w:t>“CONFIDENCIAL POR LEY”</w:t>
      </w:r>
      <w:r w:rsidRPr="00BE5B49">
        <w:t>.</w:t>
      </w:r>
    </w:p>
    <w:p w14:paraId="1A374DC2" w14:textId="77777777" w:rsidR="00086510" w:rsidRPr="00B17B5E" w:rsidRDefault="00086510" w:rsidP="009B0A36">
      <w:pPr>
        <w:pStyle w:val="Prrafodelista"/>
        <w:numPr>
          <w:ilvl w:val="0"/>
          <w:numId w:val="13"/>
        </w:numPr>
        <w:spacing w:before="120" w:after="120" w:line="240" w:lineRule="auto"/>
        <w:contextualSpacing w:val="0"/>
        <w:jc w:val="both"/>
      </w:pPr>
      <w:r>
        <w:t>En resumen, se observa que existe al menos un competidor mejor posicionado en el mercado de arrendamiento de sitios de telecomunicaciones, que es capaz de ejercer presión competitiva a ATC.</w:t>
      </w:r>
    </w:p>
    <w:p w14:paraId="56AEC1CC" w14:textId="77777777" w:rsidR="00086510" w:rsidRPr="007F1C5D" w:rsidRDefault="00086510" w:rsidP="009B0A36">
      <w:pPr>
        <w:pStyle w:val="Ttulo4"/>
        <w:numPr>
          <w:ilvl w:val="3"/>
          <w:numId w:val="23"/>
        </w:numPr>
        <w:ind w:left="567" w:hanging="567"/>
        <w:jc w:val="both"/>
      </w:pPr>
      <w:r>
        <w:t>El c</w:t>
      </w:r>
      <w:r w:rsidRPr="007F1C5D">
        <w:t>omportamie</w:t>
      </w:r>
      <w:r>
        <w:t xml:space="preserve">nto reciente del o los </w:t>
      </w:r>
      <w:r w:rsidR="003D654B">
        <w:t>a</w:t>
      </w:r>
      <w:r>
        <w:t xml:space="preserve">gentes </w:t>
      </w:r>
      <w:r w:rsidR="003D654B">
        <w:t>e</w:t>
      </w:r>
      <w:r w:rsidRPr="007F1C5D">
        <w:t>conómicos que participan en dicho mercado</w:t>
      </w:r>
    </w:p>
    <w:p w14:paraId="094DA367" w14:textId="77777777" w:rsidR="00086510" w:rsidRPr="00BA1721" w:rsidRDefault="00086510" w:rsidP="009B0A36">
      <w:pPr>
        <w:pStyle w:val="Prrafodelista"/>
        <w:numPr>
          <w:ilvl w:val="0"/>
          <w:numId w:val="13"/>
        </w:numPr>
        <w:spacing w:before="120" w:after="120" w:line="240" w:lineRule="auto"/>
        <w:contextualSpacing w:val="0"/>
        <w:jc w:val="both"/>
        <w:rPr>
          <w:rFonts w:cs="Times New Roman"/>
          <w:lang w:eastAsia="es-MX"/>
        </w:rPr>
      </w:pPr>
      <w:r w:rsidRPr="00BA1721">
        <w:rPr>
          <w:rFonts w:cs="Times New Roman"/>
          <w:lang w:eastAsia="es-MX"/>
        </w:rPr>
        <w:t xml:space="preserve">La </w:t>
      </w:r>
      <w:r w:rsidRPr="00B9381C">
        <w:t>fracción</w:t>
      </w:r>
      <w:r w:rsidRPr="00BA1721">
        <w:rPr>
          <w:rFonts w:cs="Times New Roman"/>
          <w:lang w:eastAsia="es-MX"/>
        </w:rPr>
        <w:t xml:space="preserve"> V del artículo 59 de la LFCE establece que</w:t>
      </w:r>
      <w:r>
        <w:rPr>
          <w:rFonts w:cs="Times New Roman"/>
          <w:lang w:eastAsia="es-MX"/>
        </w:rPr>
        <w:t xml:space="preserve"> </w:t>
      </w:r>
      <w:r w:rsidRPr="00BA1721">
        <w:t xml:space="preserve">para determinar </w:t>
      </w:r>
      <w:r>
        <w:t xml:space="preserve">si uno o varios </w:t>
      </w:r>
      <w:r w:rsidR="003D654B">
        <w:t>a</w:t>
      </w:r>
      <w:r>
        <w:t xml:space="preserve">gentes </w:t>
      </w:r>
      <w:r w:rsidR="003D654B">
        <w:t>e</w:t>
      </w:r>
      <w:r w:rsidRPr="00876071">
        <w:t>conómicos tienen poder sustancial en el mercado relevante,</w:t>
      </w:r>
      <w:r w:rsidRPr="00BA1721">
        <w:rPr>
          <w:rFonts w:cs="Times New Roman"/>
          <w:lang w:eastAsia="es-MX"/>
        </w:rPr>
        <w:t xml:space="preserve"> se debe analizar:</w:t>
      </w:r>
    </w:p>
    <w:p w14:paraId="0282564D" w14:textId="77777777" w:rsidR="00086510" w:rsidRDefault="00086510" w:rsidP="00086510">
      <w:pPr>
        <w:ind w:left="567" w:right="567"/>
        <w:jc w:val="both"/>
        <w:rPr>
          <w:rFonts w:cs="Times New Roman"/>
          <w:i/>
          <w:sz w:val="20"/>
          <w:szCs w:val="20"/>
          <w:lang w:eastAsia="es-MX"/>
        </w:rPr>
      </w:pPr>
      <w:r w:rsidRPr="00FA2E15">
        <w:rPr>
          <w:rFonts w:cs="Times New Roman"/>
          <w:i/>
          <w:sz w:val="20"/>
          <w:szCs w:val="20"/>
          <w:lang w:eastAsia="es-MX"/>
        </w:rPr>
        <w:t>V. El comportamiento reciente del o los Agentes Económicos que participan en dicho mercado</w:t>
      </w:r>
      <w:r>
        <w:rPr>
          <w:rFonts w:cs="Times New Roman"/>
          <w:i/>
          <w:sz w:val="20"/>
          <w:szCs w:val="20"/>
          <w:lang w:eastAsia="es-MX"/>
        </w:rPr>
        <w:t>,</w:t>
      </w:r>
    </w:p>
    <w:p w14:paraId="5D357E12" w14:textId="77777777" w:rsidR="00086510" w:rsidRPr="00C77E62" w:rsidRDefault="00086510" w:rsidP="009B0A36">
      <w:pPr>
        <w:pStyle w:val="Prrafodelista"/>
        <w:numPr>
          <w:ilvl w:val="0"/>
          <w:numId w:val="13"/>
        </w:numPr>
        <w:spacing w:before="120" w:after="120" w:line="240" w:lineRule="auto"/>
        <w:contextualSpacing w:val="0"/>
        <w:jc w:val="both"/>
        <w:rPr>
          <w:rFonts w:cs="Times New Roman"/>
          <w:bCs/>
          <w:color w:val="000000"/>
          <w:lang w:eastAsia="es-MX"/>
        </w:rPr>
      </w:pPr>
      <w:r w:rsidRPr="00BA1721">
        <w:rPr>
          <w:rFonts w:cs="Times New Roman"/>
          <w:lang w:eastAsia="es-MX"/>
        </w:rPr>
        <w:t xml:space="preserve">En relación con </w:t>
      </w:r>
      <w:r>
        <w:rPr>
          <w:rFonts w:cs="Times New Roman"/>
          <w:lang w:eastAsia="es-MX"/>
        </w:rPr>
        <w:t>lo anterior</w:t>
      </w:r>
      <w:r w:rsidRPr="00BA1721">
        <w:rPr>
          <w:rFonts w:cs="Times New Roman"/>
          <w:lang w:eastAsia="es-MX"/>
        </w:rPr>
        <w:t xml:space="preserve">, esta Autoridad Investigadora no encontró </w:t>
      </w:r>
      <w:r w:rsidRPr="00B9381C">
        <w:t>antecedentes</w:t>
      </w:r>
      <w:r w:rsidRPr="00BA1721">
        <w:rPr>
          <w:rFonts w:cs="Times New Roman"/>
          <w:lang w:eastAsia="es-MX"/>
        </w:rPr>
        <w:t xml:space="preserve"> que hayan causado estado respecto al comportamiento reciente de</w:t>
      </w:r>
      <w:r>
        <w:rPr>
          <w:rFonts w:cs="Times New Roman"/>
          <w:bCs/>
          <w:color w:val="000000"/>
          <w:lang w:eastAsia="es-MX"/>
        </w:rPr>
        <w:t xml:space="preserve"> ATC</w:t>
      </w:r>
      <w:r w:rsidRPr="00BA1721">
        <w:rPr>
          <w:rFonts w:cs="Times New Roman"/>
          <w:bCs/>
          <w:color w:val="000000"/>
          <w:lang w:eastAsia="es-MX"/>
        </w:rPr>
        <w:t xml:space="preserve">, que permitan señalar que </w:t>
      </w:r>
      <w:r>
        <w:rPr>
          <w:rFonts w:cs="Times New Roman"/>
          <w:bCs/>
          <w:color w:val="000000"/>
          <w:lang w:eastAsia="es-MX"/>
        </w:rPr>
        <w:t>e</w:t>
      </w:r>
      <w:r w:rsidRPr="00BA1721">
        <w:rPr>
          <w:rFonts w:cs="Times New Roman"/>
          <w:bCs/>
          <w:color w:val="000000"/>
          <w:lang w:eastAsia="es-MX"/>
        </w:rPr>
        <w:t xml:space="preserve">ste ha realizado conductas anticompetitivas en </w:t>
      </w:r>
      <w:r>
        <w:rPr>
          <w:rFonts w:cs="Times New Roman"/>
          <w:bCs/>
          <w:color w:val="000000"/>
          <w:lang w:eastAsia="es-MX"/>
        </w:rPr>
        <w:t>el mercado de arrendamiento de sitios de telecomunicaciones a nivel nacional</w:t>
      </w:r>
      <w:r w:rsidRPr="00BA1721">
        <w:rPr>
          <w:rFonts w:cs="Times New Roman"/>
          <w:bCs/>
          <w:color w:val="000000"/>
          <w:lang w:eastAsia="es-MX"/>
        </w:rPr>
        <w:t>.</w:t>
      </w:r>
    </w:p>
    <w:p w14:paraId="683257EC" w14:textId="77777777" w:rsidR="00086510" w:rsidRPr="00797101" w:rsidRDefault="00086510" w:rsidP="009B0A36">
      <w:pPr>
        <w:pStyle w:val="Prrafodelista"/>
        <w:numPr>
          <w:ilvl w:val="0"/>
          <w:numId w:val="13"/>
        </w:numPr>
        <w:spacing w:before="120" w:after="120" w:line="240" w:lineRule="auto"/>
        <w:contextualSpacing w:val="0"/>
        <w:jc w:val="both"/>
      </w:pPr>
      <w:r w:rsidRPr="00797101">
        <w:t xml:space="preserve">Del </w:t>
      </w:r>
      <w:r w:rsidRPr="00447A3B">
        <w:t xml:space="preserve">análisis de las fracciones I, III y V del artículo 59 de la LFCE, presentado en los párrafos </w:t>
      </w:r>
      <w:r w:rsidR="00B9381C" w:rsidRPr="00447A3B">
        <w:t>2</w:t>
      </w:r>
      <w:r w:rsidR="004F7E24" w:rsidRPr="00447A3B">
        <w:t>6</w:t>
      </w:r>
      <w:r w:rsidR="006505DE" w:rsidRPr="00447A3B">
        <w:t>1</w:t>
      </w:r>
      <w:r w:rsidRPr="00447A3B">
        <w:t xml:space="preserve"> a </w:t>
      </w:r>
      <w:r w:rsidR="006505DE" w:rsidRPr="00447A3B">
        <w:t>276</w:t>
      </w:r>
      <w:r w:rsidRPr="00447A3B">
        <w:t>, se desprende</w:t>
      </w:r>
      <w:r w:rsidRPr="00797101">
        <w:t xml:space="preserve"> que no existen elementos para determ</w:t>
      </w:r>
      <w:r>
        <w:t xml:space="preserve">inar que, </w:t>
      </w:r>
      <w:r>
        <w:lastRenderedPageBreak/>
        <w:t>como resultado de la O</w:t>
      </w:r>
      <w:r w:rsidRPr="00797101">
        <w:t xml:space="preserve">peración, ATC posea la capacidad para fijar precios o restringir el abasto, de manera unilateral, en el mercado relevante del servicio de arrendamiento de sitios de telecomunicaciones. Lo anterior, en razón de que enfrenta la competencia de </w:t>
      </w:r>
      <w:r>
        <w:t xml:space="preserve">AMX/Telesites, un </w:t>
      </w:r>
      <w:r w:rsidR="003D654B">
        <w:t>a</w:t>
      </w:r>
      <w:r>
        <w:t xml:space="preserve">gente </w:t>
      </w:r>
      <w:r w:rsidR="003D654B">
        <w:t>e</w:t>
      </w:r>
      <w:r w:rsidR="00C83EE1">
        <w:t>conómico</w:t>
      </w:r>
      <w:r>
        <w:t xml:space="preserve"> con una elevada participación de mercado y amplia capacidad de inversión para incrementar su portafolio de sitios de telecomunicaciones, el cual además se encuentra obligado a prestar el servicio con tarifas reguladas por el Instituto.</w:t>
      </w:r>
    </w:p>
    <w:p w14:paraId="6E63F257" w14:textId="77777777" w:rsidR="00086510" w:rsidRDefault="00086510" w:rsidP="009B0A36">
      <w:pPr>
        <w:pStyle w:val="Prrafodelista"/>
        <w:numPr>
          <w:ilvl w:val="0"/>
          <w:numId w:val="13"/>
        </w:numPr>
        <w:spacing w:before="120" w:after="120" w:line="240" w:lineRule="auto"/>
        <w:contextualSpacing w:val="0"/>
        <w:jc w:val="both"/>
      </w:pPr>
      <w:r w:rsidRPr="00797101">
        <w:t xml:space="preserve">En este sentido, esta autoridad estima que resulta innecesario profundizar en el análisis de poder sustancial conforme a las fracciones II, IV y VI del artículo 59 de la LFCE, </w:t>
      </w:r>
      <w:r w:rsidRPr="00465F87">
        <w:t>en correspondencia con lo establecido en los artículos 7 y 8 de las Disposiciones Regulatorias</w:t>
      </w:r>
      <w:r>
        <w:t>,</w:t>
      </w:r>
      <w:r w:rsidRPr="00465F87">
        <w:t xml:space="preserve"> </w:t>
      </w:r>
      <w:r w:rsidRPr="00797101">
        <w:t>pues dicho análisis no conduciría a un resultado distinto.</w:t>
      </w:r>
    </w:p>
    <w:p w14:paraId="0B54EC3E" w14:textId="77777777" w:rsidR="00923F1B" w:rsidRPr="003D169D" w:rsidRDefault="00923F1B" w:rsidP="005F1025">
      <w:pPr>
        <w:pStyle w:val="Prrafodelista"/>
        <w:spacing w:before="120" w:after="120" w:line="240" w:lineRule="auto"/>
        <w:ind w:left="0"/>
        <w:contextualSpacing w:val="0"/>
        <w:jc w:val="both"/>
        <w:rPr>
          <w:b/>
          <w:smallCaps/>
          <w:u w:val="words"/>
        </w:rPr>
      </w:pPr>
      <w:r w:rsidRPr="003D169D">
        <w:rPr>
          <w:b/>
          <w:smallCaps/>
          <w:u w:val="words"/>
        </w:rPr>
        <w:t>Propuesta de la Autoridad Investigadora</w:t>
      </w:r>
    </w:p>
    <w:p w14:paraId="53F7CB15" w14:textId="77777777" w:rsidR="000D7B71" w:rsidRPr="00B77B6D" w:rsidRDefault="00B33269" w:rsidP="000D7B71">
      <w:pPr>
        <w:pStyle w:val="Prrafodelista"/>
        <w:numPr>
          <w:ilvl w:val="0"/>
          <w:numId w:val="13"/>
        </w:numPr>
        <w:spacing w:before="120" w:after="120" w:line="240" w:lineRule="auto"/>
        <w:contextualSpacing w:val="0"/>
        <w:jc w:val="both"/>
        <w:rPr>
          <w:rFonts w:eastAsia="Calibri" w:cs="Times New Roman"/>
        </w:rPr>
      </w:pPr>
      <w:r w:rsidRPr="0090759C">
        <w:t>Por</w:t>
      </w:r>
      <w:r w:rsidRPr="000E30E0">
        <w:rPr>
          <w:rFonts w:eastAsia="Calibri" w:cs="Times New Roman"/>
        </w:rPr>
        <w:t xml:space="preserve"> todo lo antes expuesto y con fundamento en los artículos </w:t>
      </w:r>
      <w:r w:rsidR="00923F1B">
        <w:rPr>
          <w:rFonts w:eastAsia="Calibri" w:cs="Times New Roman"/>
        </w:rPr>
        <w:t xml:space="preserve">28, párrafos décimo quinto y décimo sexto de la Constitución Política de los Estados Unidos Mexicanos; </w:t>
      </w:r>
      <w:r w:rsidR="00923F1B" w:rsidRPr="000E30E0">
        <w:rPr>
          <w:rFonts w:eastAsia="Calibri" w:cs="Times New Roman"/>
        </w:rPr>
        <w:t>Noveno Transitorio</w:t>
      </w:r>
      <w:r w:rsidR="00923F1B">
        <w:rPr>
          <w:rFonts w:eastAsia="Calibri" w:cs="Times New Roman"/>
        </w:rPr>
        <w:t xml:space="preserve">, párrafo quinto, </w:t>
      </w:r>
      <w:r w:rsidR="00923F1B" w:rsidRPr="004118A2">
        <w:rPr>
          <w:rFonts w:eastAsia="Calibri" w:cs="Times New Roman"/>
        </w:rPr>
        <w:t>del</w:t>
      </w:r>
      <w:r w:rsidR="00923F1B" w:rsidRPr="00F82243">
        <w:rPr>
          <w:rFonts w:eastAsia="Calibri" w:cs="Times New Roman"/>
          <w:i/>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w:t>
      </w:r>
      <w:r w:rsidR="00923F1B" w:rsidRPr="000E30E0">
        <w:rPr>
          <w:rFonts w:eastAsia="Calibri" w:cs="Times New Roman"/>
        </w:rPr>
        <w:t>, publicad</w:t>
      </w:r>
      <w:r w:rsidR="00923F1B">
        <w:rPr>
          <w:rFonts w:eastAsia="Calibri" w:cs="Times New Roman"/>
        </w:rPr>
        <w:t>o</w:t>
      </w:r>
      <w:r w:rsidR="00923F1B" w:rsidRPr="000E30E0">
        <w:rPr>
          <w:rFonts w:eastAsia="Calibri" w:cs="Times New Roman"/>
        </w:rPr>
        <w:t xml:space="preserve"> en el D</w:t>
      </w:r>
      <w:r w:rsidR="00923F1B">
        <w:rPr>
          <w:rFonts w:eastAsia="Calibri" w:cs="Times New Roman"/>
        </w:rPr>
        <w:t xml:space="preserve">OF </w:t>
      </w:r>
      <w:r w:rsidR="00923F1B" w:rsidRPr="000E30E0">
        <w:rPr>
          <w:rFonts w:eastAsia="Calibri" w:cs="Times New Roman"/>
        </w:rPr>
        <w:t>el catorce de julio de dos mil catorce;</w:t>
      </w:r>
      <w:r w:rsidR="00923F1B">
        <w:rPr>
          <w:rFonts w:eastAsia="Calibri" w:cs="Times New Roman"/>
        </w:rPr>
        <w:t xml:space="preserve"> </w:t>
      </w:r>
      <w:r w:rsidRPr="000E30E0">
        <w:rPr>
          <w:rFonts w:eastAsia="Calibri" w:cs="Times New Roman"/>
        </w:rPr>
        <w:t>7</w:t>
      </w:r>
      <w:r w:rsidR="00923F1B">
        <w:rPr>
          <w:rFonts w:eastAsia="Calibri" w:cs="Times New Roman"/>
        </w:rPr>
        <w:t>,</w:t>
      </w:r>
      <w:r w:rsidRPr="000E30E0">
        <w:rPr>
          <w:rFonts w:eastAsia="Calibri" w:cs="Times New Roman"/>
        </w:rPr>
        <w:t xml:space="preserve"> párrafo tercero, 15, fracción XX, 26, 28, fracción V, 264, </w:t>
      </w:r>
      <w:r w:rsidRPr="00AE0CBD">
        <w:rPr>
          <w:rFonts w:eastAsia="Calibri" w:cs="Times New Roman"/>
        </w:rPr>
        <w:t>279</w:t>
      </w:r>
      <w:r>
        <w:rPr>
          <w:rFonts w:eastAsia="Calibri" w:cs="Times New Roman"/>
        </w:rPr>
        <w:t xml:space="preserve"> </w:t>
      </w:r>
      <w:r w:rsidR="00DA2520">
        <w:rPr>
          <w:rFonts w:eastAsia="Calibri" w:cs="Times New Roman"/>
        </w:rPr>
        <w:t xml:space="preserve">y </w:t>
      </w:r>
      <w:r w:rsidRPr="000E30E0">
        <w:rPr>
          <w:rFonts w:eastAsia="Calibri" w:cs="Times New Roman"/>
        </w:rPr>
        <w:t>280</w:t>
      </w:r>
      <w:r w:rsidR="00DA2520">
        <w:rPr>
          <w:rFonts w:eastAsia="Calibri" w:cs="Times New Roman"/>
        </w:rPr>
        <w:t xml:space="preserve"> de la Ley Federal de Telecomunicaciones y Radiodifusión</w:t>
      </w:r>
      <w:r w:rsidR="00923F1B">
        <w:rPr>
          <w:rFonts w:eastAsia="Calibri" w:cs="Times New Roman"/>
        </w:rPr>
        <w:t>;</w:t>
      </w:r>
      <w:r w:rsidR="00DA2520" w:rsidRPr="000E30E0">
        <w:rPr>
          <w:rFonts w:eastAsia="Calibri" w:cs="Times New Roman"/>
        </w:rPr>
        <w:t xml:space="preserve"> </w:t>
      </w:r>
      <w:r w:rsidRPr="000E30E0">
        <w:rPr>
          <w:rFonts w:eastAsia="Calibri" w:cs="Times New Roman"/>
        </w:rPr>
        <w:t>5, párrafo primero, 26, 58, 59 y 96, fracci</w:t>
      </w:r>
      <w:r w:rsidR="00DA2520">
        <w:rPr>
          <w:rFonts w:eastAsia="Calibri" w:cs="Times New Roman"/>
        </w:rPr>
        <w:t>ó</w:t>
      </w:r>
      <w:r w:rsidRPr="000E30E0">
        <w:rPr>
          <w:rFonts w:eastAsia="Calibri" w:cs="Times New Roman"/>
        </w:rPr>
        <w:t xml:space="preserve">n V, de la Ley Federal de Competencia Económica; </w:t>
      </w:r>
      <w:r>
        <w:rPr>
          <w:rFonts w:eastAsia="Calibri" w:cs="Times New Roman"/>
        </w:rPr>
        <w:t xml:space="preserve">5, </w:t>
      </w:r>
      <w:r w:rsidRPr="000E30E0">
        <w:rPr>
          <w:rFonts w:eastAsia="Calibri" w:cs="Times New Roman"/>
        </w:rPr>
        <w:t xml:space="preserve">7, </w:t>
      </w:r>
      <w:r>
        <w:rPr>
          <w:rFonts w:eastAsia="Calibri" w:cs="Times New Roman"/>
        </w:rPr>
        <w:t xml:space="preserve">8, </w:t>
      </w:r>
      <w:r w:rsidRPr="00E03B54">
        <w:rPr>
          <w:rFonts w:eastAsia="Calibri" w:cs="Times New Roman"/>
        </w:rPr>
        <w:t>64, 68 y 120, fracción II</w:t>
      </w:r>
      <w:r w:rsidR="00923F1B">
        <w:rPr>
          <w:rFonts w:eastAsia="Calibri" w:cs="Times New Roman"/>
        </w:rPr>
        <w:t>,</w:t>
      </w:r>
      <w:r w:rsidRPr="00E03B54">
        <w:rPr>
          <w:rFonts w:eastAsia="Calibri" w:cs="Times New Roman"/>
        </w:rPr>
        <w:t xml:space="preserve"> de las Disposiciones Regulatorias de la Ley Federal de Competencia Económica para los sectores de telecomunicaciones y radiodifusión</w:t>
      </w:r>
      <w:r w:rsidR="00E81A5E">
        <w:rPr>
          <w:rFonts w:eastAsia="Calibri" w:cs="Times New Roman"/>
        </w:rPr>
        <w:t>,</w:t>
      </w:r>
      <w:r w:rsidR="00A20C28">
        <w:rPr>
          <w:rFonts w:eastAsia="Calibri" w:cs="Times New Roman"/>
        </w:rPr>
        <w:t xml:space="preserve"> </w:t>
      </w:r>
      <w:r w:rsidR="00E81A5E">
        <w:rPr>
          <w:rFonts w:eastAsia="Calibri" w:cs="Times New Roman"/>
        </w:rPr>
        <w:t>así como</w:t>
      </w:r>
      <w:r w:rsidRPr="000E30E0">
        <w:rPr>
          <w:rFonts w:eastAsia="Calibri" w:cs="Times New Roman"/>
        </w:rPr>
        <w:t xml:space="preserve"> 4</w:t>
      </w:r>
      <w:r w:rsidR="00A20C28">
        <w:rPr>
          <w:rFonts w:eastAsia="Calibri" w:cs="Times New Roman"/>
        </w:rPr>
        <w:t>,</w:t>
      </w:r>
      <w:r w:rsidRPr="000E30E0">
        <w:rPr>
          <w:rFonts w:eastAsia="Calibri" w:cs="Times New Roman"/>
        </w:rPr>
        <w:t xml:space="preserve"> fracción VI, </w:t>
      </w:r>
      <w:r w:rsidR="00E81A5E">
        <w:rPr>
          <w:rFonts w:eastAsia="Calibri" w:cs="Times New Roman"/>
        </w:rPr>
        <w:t xml:space="preserve">y </w:t>
      </w:r>
      <w:r w:rsidRPr="000E30E0">
        <w:rPr>
          <w:rFonts w:eastAsia="Calibri" w:cs="Times New Roman"/>
        </w:rPr>
        <w:t>62</w:t>
      </w:r>
      <w:r w:rsidR="004118A2">
        <w:rPr>
          <w:rFonts w:eastAsia="Calibri" w:cs="Times New Roman"/>
        </w:rPr>
        <w:t>,</w:t>
      </w:r>
      <w:r w:rsidRPr="000E30E0">
        <w:rPr>
          <w:rFonts w:eastAsia="Calibri" w:cs="Times New Roman"/>
        </w:rPr>
        <w:t xml:space="preserve"> fracción XXIV, del Estatuto Orgánico del Instituto Federal de Telecomunicaciones</w:t>
      </w:r>
      <w:r w:rsidR="00E81A5E">
        <w:rPr>
          <w:rFonts w:eastAsia="Calibri" w:cs="Times New Roman"/>
        </w:rPr>
        <w:t>,</w:t>
      </w:r>
      <w:r w:rsidR="00A20C28" w:rsidRPr="000E30E0">
        <w:rPr>
          <w:rFonts w:eastAsia="Calibri" w:cs="Times New Roman"/>
        </w:rPr>
        <w:t xml:space="preserve"> </w:t>
      </w:r>
      <w:r w:rsidRPr="000E30E0">
        <w:rPr>
          <w:rFonts w:eastAsia="Calibri" w:cs="Times New Roman"/>
        </w:rPr>
        <w:t xml:space="preserve">la Autoridad Investigadora </w:t>
      </w:r>
      <w:r w:rsidR="00F84B9D">
        <w:rPr>
          <w:rFonts w:eastAsia="Calibri" w:cs="Times New Roman"/>
        </w:rPr>
        <w:t xml:space="preserve">propone al Pleno </w:t>
      </w:r>
      <w:r w:rsidRPr="000E30E0">
        <w:rPr>
          <w:rFonts w:eastAsia="Calibri" w:cs="Times New Roman"/>
        </w:rPr>
        <w:t>del Institut</w:t>
      </w:r>
      <w:r w:rsidR="0065446F">
        <w:rPr>
          <w:rFonts w:eastAsia="Calibri" w:cs="Times New Roman"/>
        </w:rPr>
        <w:t>o Federal de Telecomunicaciones</w:t>
      </w:r>
      <w:r w:rsidR="001561FE">
        <w:rPr>
          <w:rFonts w:eastAsia="Calibri" w:cs="Times New Roman"/>
        </w:rPr>
        <w:t xml:space="preserve"> el cierre del Expediente, toda vez que</w:t>
      </w:r>
      <w:r w:rsidR="00C52BA6">
        <w:rPr>
          <w:rFonts w:eastAsia="Calibri" w:cs="Times New Roman"/>
        </w:rPr>
        <w:t>:</w:t>
      </w:r>
    </w:p>
    <w:p w14:paraId="6436C62F" w14:textId="77777777" w:rsidR="00F82243" w:rsidRDefault="00F82243" w:rsidP="00F82243">
      <w:pPr>
        <w:jc w:val="both"/>
        <w:rPr>
          <w:noProof/>
        </w:rPr>
      </w:pPr>
      <w:r w:rsidRPr="002C6A82">
        <w:rPr>
          <w:b/>
          <w:smallCaps/>
          <w:noProof/>
        </w:rPr>
        <w:t>Primero.</w:t>
      </w:r>
      <w:r w:rsidRPr="002C6A82">
        <w:rPr>
          <w:b/>
          <w:noProof/>
        </w:rPr>
        <w:t>-</w:t>
      </w:r>
      <w:r w:rsidRPr="002C6A82">
        <w:rPr>
          <w:noProof/>
        </w:rPr>
        <w:t xml:space="preserve"> </w:t>
      </w:r>
      <w:r w:rsidRPr="0036798D">
        <w:rPr>
          <w:noProof/>
        </w:rPr>
        <w:t xml:space="preserve">Para efectos del presente </w:t>
      </w:r>
      <w:r>
        <w:rPr>
          <w:noProof/>
        </w:rPr>
        <w:t xml:space="preserve">procedimiento, </w:t>
      </w:r>
      <w:r>
        <w:t xml:space="preserve">American Tower Corporation, en su carácter de controlador, </w:t>
      </w:r>
      <w:r w:rsidRPr="00DC1EE9">
        <w:t>MATC Digital, S. de R.L. de C.V.</w:t>
      </w:r>
      <w:r>
        <w:t>, MATC Infraestructura, S. de R.L. de C.V., ATC Holding Fibra México, S. de R.L. de C.V., CFCA Telecomm, S.A.P.I. de C.V. y</w:t>
      </w:r>
      <w:r w:rsidRPr="00DC1EE9">
        <w:t xml:space="preserve"> Tecnologías Especializadas en Líneas de Cone</w:t>
      </w:r>
      <w:r>
        <w:t>xión Óptica, S.A.P.I. de C.V.</w:t>
      </w:r>
      <w:r>
        <w:rPr>
          <w:noProof/>
        </w:rPr>
        <w:t xml:space="preserve">, </w:t>
      </w:r>
      <w:r w:rsidRPr="0036798D">
        <w:rPr>
          <w:noProof/>
        </w:rPr>
        <w:t xml:space="preserve">integran un </w:t>
      </w:r>
      <w:r>
        <w:rPr>
          <w:noProof/>
        </w:rPr>
        <w:t>G</w:t>
      </w:r>
      <w:r w:rsidRPr="0036798D">
        <w:rPr>
          <w:noProof/>
        </w:rPr>
        <w:t xml:space="preserve">rupo de </w:t>
      </w:r>
      <w:r>
        <w:rPr>
          <w:noProof/>
        </w:rPr>
        <w:t>I</w:t>
      </w:r>
      <w:r w:rsidRPr="0036798D">
        <w:rPr>
          <w:noProof/>
        </w:rPr>
        <w:t xml:space="preserve">nterés </w:t>
      </w:r>
      <w:r>
        <w:rPr>
          <w:noProof/>
        </w:rPr>
        <w:t>E</w:t>
      </w:r>
      <w:r w:rsidRPr="0036798D">
        <w:rPr>
          <w:noProof/>
        </w:rPr>
        <w:t>conómico</w:t>
      </w:r>
      <w:r>
        <w:rPr>
          <w:noProof/>
        </w:rPr>
        <w:t>, que para efectos del presente Dictamen Preliminar se denomina ATC</w:t>
      </w:r>
      <w:r w:rsidRPr="0036798D">
        <w:rPr>
          <w:noProof/>
        </w:rPr>
        <w:t xml:space="preserve">, </w:t>
      </w:r>
      <w:r>
        <w:rPr>
          <w:noProof/>
        </w:rPr>
        <w:t>en términos d</w:t>
      </w:r>
      <w:r w:rsidRPr="0036798D">
        <w:rPr>
          <w:noProof/>
        </w:rPr>
        <w:t>el Anexo II.</w:t>
      </w:r>
    </w:p>
    <w:p w14:paraId="245DE5F2" w14:textId="77777777" w:rsidR="00F82243" w:rsidRPr="002336DA" w:rsidRDefault="00F82243" w:rsidP="00F82243">
      <w:pPr>
        <w:jc w:val="both"/>
      </w:pPr>
      <w:r w:rsidRPr="00596252">
        <w:rPr>
          <w:b/>
          <w:smallCaps/>
          <w:noProof/>
        </w:rPr>
        <w:t>Segundo.</w:t>
      </w:r>
      <w:r w:rsidRPr="00596252">
        <w:rPr>
          <w:b/>
          <w:noProof/>
        </w:rPr>
        <w:t xml:space="preserve">- </w:t>
      </w:r>
      <w:r w:rsidRPr="00121EEA">
        <w:rPr>
          <w:noProof/>
        </w:rPr>
        <w:t>No existen elementos suficientes para determinar que</w:t>
      </w:r>
      <w:r>
        <w:rPr>
          <w:noProof/>
        </w:rPr>
        <w:t>,</w:t>
      </w:r>
      <w:r w:rsidRPr="00121EEA">
        <w:rPr>
          <w:noProof/>
        </w:rPr>
        <w:t xml:space="preserve"> </w:t>
      </w:r>
      <w:r>
        <w:rPr>
          <w:noProof/>
        </w:rPr>
        <w:t>d</w:t>
      </w:r>
      <w:r w:rsidRPr="00B72095">
        <w:rPr>
          <w:noProof/>
        </w:rPr>
        <w:t xml:space="preserve">erivado de la </w:t>
      </w:r>
      <w:r>
        <w:rPr>
          <w:noProof/>
        </w:rPr>
        <w:t xml:space="preserve">transacción que originó la presente </w:t>
      </w:r>
      <w:r w:rsidRPr="00B72095">
        <w:rPr>
          <w:noProof/>
        </w:rPr>
        <w:t>investigación</w:t>
      </w:r>
      <w:r>
        <w:rPr>
          <w:noProof/>
        </w:rPr>
        <w:t>, e</w:t>
      </w:r>
      <w:r w:rsidRPr="00DB5CD3">
        <w:rPr>
          <w:noProof/>
        </w:rPr>
        <w:t xml:space="preserve">l </w:t>
      </w:r>
      <w:r>
        <w:rPr>
          <w:noProof/>
        </w:rPr>
        <w:t>G</w:t>
      </w:r>
      <w:r w:rsidRPr="00DB5CD3">
        <w:rPr>
          <w:noProof/>
        </w:rPr>
        <w:t xml:space="preserve">rupo de </w:t>
      </w:r>
      <w:r>
        <w:rPr>
          <w:noProof/>
        </w:rPr>
        <w:t>I</w:t>
      </w:r>
      <w:r w:rsidRPr="00DB5CD3">
        <w:rPr>
          <w:noProof/>
        </w:rPr>
        <w:t xml:space="preserve">nterés </w:t>
      </w:r>
      <w:r>
        <w:rPr>
          <w:noProof/>
        </w:rPr>
        <w:t>E</w:t>
      </w:r>
      <w:r w:rsidRPr="00DB5CD3">
        <w:rPr>
          <w:noProof/>
        </w:rPr>
        <w:t xml:space="preserve">conómico </w:t>
      </w:r>
      <w:r w:rsidRPr="002336DA">
        <w:rPr>
          <w:noProof/>
        </w:rPr>
        <w:t xml:space="preserve">ATC adquiera poder sustancial en </w:t>
      </w:r>
      <w:r w:rsidRPr="002336DA">
        <w:t>los mercados relevantes de los servicios de arrendamiento de enlaces dedicados</w:t>
      </w:r>
      <w:r w:rsidR="00DB269D" w:rsidRPr="002336DA">
        <w:t xml:space="preserve"> </w:t>
      </w:r>
      <w:r w:rsidR="002336DA" w:rsidRPr="002336DA">
        <w:t>identificados en el presente Dictamen Preliminar</w:t>
      </w:r>
      <w:r w:rsidRPr="002336DA">
        <w:t>.</w:t>
      </w:r>
    </w:p>
    <w:p w14:paraId="414B4BD5" w14:textId="77777777" w:rsidR="00F82243" w:rsidRPr="002336DA" w:rsidRDefault="00F82243" w:rsidP="00F82243">
      <w:pPr>
        <w:jc w:val="both"/>
        <w:rPr>
          <w:b/>
          <w:noProof/>
        </w:rPr>
      </w:pPr>
      <w:r w:rsidRPr="002336DA">
        <w:rPr>
          <w:b/>
          <w:smallCaps/>
          <w:noProof/>
        </w:rPr>
        <w:t>Tercero.-</w:t>
      </w:r>
      <w:r w:rsidRPr="002336DA">
        <w:rPr>
          <w:noProof/>
        </w:rPr>
        <w:t xml:space="preserve"> No existen elementos suficientes para determinar que, derivado de la transacción que originó la presente investigación, el Grupo de Interés Económico ATC adquiera poder sustancial en el mercado relevante del servicio de acceso a internet dedicado </w:t>
      </w:r>
      <w:r w:rsidR="002336DA" w:rsidRPr="002336DA">
        <w:t>identificado en el presente Dictamen Preliminar</w:t>
      </w:r>
      <w:r w:rsidRPr="002336DA">
        <w:rPr>
          <w:noProof/>
        </w:rPr>
        <w:t>.</w:t>
      </w:r>
    </w:p>
    <w:p w14:paraId="00A8F8D5" w14:textId="77777777" w:rsidR="00F82243" w:rsidRDefault="00F82243" w:rsidP="00B33269">
      <w:pPr>
        <w:jc w:val="both"/>
      </w:pPr>
      <w:r w:rsidRPr="002336DA">
        <w:rPr>
          <w:b/>
          <w:smallCaps/>
          <w:noProof/>
        </w:rPr>
        <w:lastRenderedPageBreak/>
        <w:t>Cuarto.-</w:t>
      </w:r>
      <w:r w:rsidRPr="002336DA">
        <w:rPr>
          <w:noProof/>
        </w:rPr>
        <w:t xml:space="preserve"> No existen elementos suficientes para determinar que, derivado de la transacción que originó la presente investigación, e</w:t>
      </w:r>
      <w:r w:rsidR="005E7CE4" w:rsidRPr="002336DA">
        <w:rPr>
          <w:noProof/>
        </w:rPr>
        <w:t>l Grupo de Interés E</w:t>
      </w:r>
      <w:r w:rsidRPr="002336DA">
        <w:rPr>
          <w:noProof/>
        </w:rPr>
        <w:t xml:space="preserve">conómico ATC adquiera poder sustancial en </w:t>
      </w:r>
      <w:r w:rsidRPr="002336DA">
        <w:t xml:space="preserve">el mercado relevante del servicio de arrendamiento de sitios de telecomunicaciones </w:t>
      </w:r>
      <w:r w:rsidR="002336DA" w:rsidRPr="002336DA">
        <w:t>identificado en el presente Dictamen Preliminar</w:t>
      </w:r>
      <w:r w:rsidRPr="002336DA">
        <w:t>.</w:t>
      </w:r>
    </w:p>
    <w:p w14:paraId="6D5EBDAC" w14:textId="77777777" w:rsidR="00B33269" w:rsidRDefault="008133E4" w:rsidP="00B33269">
      <w:pPr>
        <w:spacing w:after="0"/>
        <w:jc w:val="center"/>
      </w:pPr>
      <w:r w:rsidRPr="00B24D1B">
        <w:rPr>
          <w:b/>
          <w:color w:val="000000" w:themeColor="text1"/>
          <w:lang w:val="es-ES"/>
        </w:rPr>
        <w:t xml:space="preserve">(Espacio </w:t>
      </w:r>
      <w:r>
        <w:rPr>
          <w:b/>
          <w:color w:val="000000" w:themeColor="text1"/>
          <w:lang w:val="es-ES"/>
        </w:rPr>
        <w:t>para</w:t>
      </w:r>
      <w:r w:rsidR="00CE7A45">
        <w:rPr>
          <w:b/>
          <w:color w:val="000000" w:themeColor="text1"/>
          <w:lang w:val="es-ES"/>
        </w:rPr>
        <w:t xml:space="preserve"> firma</w:t>
      </w:r>
      <w:r w:rsidRPr="00B24D1B">
        <w:rPr>
          <w:b/>
          <w:color w:val="000000" w:themeColor="text1"/>
          <w:lang w:val="es-ES"/>
        </w:rPr>
        <w:t xml:space="preserve"> de </w:t>
      </w:r>
      <w:r>
        <w:rPr>
          <w:b/>
          <w:color w:val="000000" w:themeColor="text1"/>
          <w:lang w:val="es-ES"/>
        </w:rPr>
        <w:t>la Titular de la Autoridad Investigadora</w:t>
      </w:r>
      <w:r w:rsidRPr="00B24D1B">
        <w:rPr>
          <w:b/>
          <w:color w:val="000000" w:themeColor="text1"/>
          <w:lang w:val="es-ES"/>
        </w:rPr>
        <w:t xml:space="preserve"> del Instituto Federal de Telecomunicaciones)</w:t>
      </w:r>
    </w:p>
    <w:p w14:paraId="669F5576" w14:textId="77777777" w:rsidR="00086510" w:rsidRPr="00673243" w:rsidRDefault="00086510" w:rsidP="00293C93">
      <w:pPr>
        <w:spacing w:after="0"/>
        <w:ind w:left="709" w:hanging="709"/>
        <w:jc w:val="center"/>
      </w:pPr>
    </w:p>
    <w:sectPr w:rsidR="00086510" w:rsidRPr="00673243" w:rsidSect="00063DF1">
      <w:headerReference w:type="default" r:id="rId16"/>
      <w:pgSz w:w="12240" w:h="15840" w:code="1"/>
      <w:pgMar w:top="198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980F0" w14:textId="77777777" w:rsidR="001B7327" w:rsidRDefault="001B7327" w:rsidP="00BC336F">
      <w:pPr>
        <w:spacing w:after="0"/>
      </w:pPr>
      <w:r>
        <w:separator/>
      </w:r>
    </w:p>
  </w:endnote>
  <w:endnote w:type="continuationSeparator" w:id="0">
    <w:p w14:paraId="08B793C1" w14:textId="77777777" w:rsidR="001B7327" w:rsidRDefault="001B7327" w:rsidP="00BC33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722BA" w14:textId="77777777" w:rsidR="001B7327" w:rsidRDefault="001B7327" w:rsidP="00BC336F">
      <w:pPr>
        <w:spacing w:after="0"/>
      </w:pPr>
      <w:r>
        <w:separator/>
      </w:r>
    </w:p>
  </w:footnote>
  <w:footnote w:type="continuationSeparator" w:id="0">
    <w:p w14:paraId="048EBC36" w14:textId="77777777" w:rsidR="001B7327" w:rsidRDefault="001B7327" w:rsidP="00BC336F">
      <w:pPr>
        <w:spacing w:after="0"/>
      </w:pPr>
      <w:r>
        <w:continuationSeparator/>
      </w:r>
    </w:p>
  </w:footnote>
  <w:footnote w:id="1">
    <w:p w14:paraId="304B9093" w14:textId="77777777" w:rsidR="0006497B" w:rsidRPr="002667A2" w:rsidRDefault="0006497B" w:rsidP="00EE2895">
      <w:pPr>
        <w:pStyle w:val="Ttulo2"/>
        <w:keepNext w:val="0"/>
        <w:keepLines w:val="0"/>
        <w:numPr>
          <w:ilvl w:val="0"/>
          <w:numId w:val="0"/>
        </w:numPr>
        <w:spacing w:before="0" w:after="0"/>
        <w:jc w:val="both"/>
        <w:rPr>
          <w:rFonts w:eastAsia="Calibri" w:cs="Calibri"/>
          <w:b w:val="0"/>
          <w:sz w:val="16"/>
          <w:szCs w:val="16"/>
        </w:rPr>
      </w:pPr>
      <w:r w:rsidRPr="002667A2">
        <w:rPr>
          <w:rStyle w:val="Refdenotaalpie"/>
          <w:b w:val="0"/>
          <w:sz w:val="16"/>
          <w:szCs w:val="16"/>
        </w:rPr>
        <w:footnoteRef/>
      </w:r>
      <w:r w:rsidRPr="002667A2">
        <w:rPr>
          <w:b w:val="0"/>
          <w:sz w:val="16"/>
          <w:szCs w:val="16"/>
        </w:rPr>
        <w:t xml:space="preserve"> </w:t>
      </w:r>
      <w:r>
        <w:rPr>
          <w:rFonts w:eastAsia="Calibri" w:cs="Calibri"/>
          <w:b w:val="0"/>
          <w:sz w:val="16"/>
          <w:szCs w:val="16"/>
        </w:rPr>
        <w:t>E</w:t>
      </w:r>
      <w:r w:rsidRPr="002667A2">
        <w:rPr>
          <w:rFonts w:eastAsia="Calibri" w:cs="Calibri"/>
          <w:b w:val="0"/>
          <w:sz w:val="16"/>
          <w:szCs w:val="16"/>
        </w:rPr>
        <w:t>l veintisiete de febrero de dos mil diecisiete</w:t>
      </w:r>
      <w:r>
        <w:rPr>
          <w:rFonts w:eastAsia="Calibri" w:cs="Calibri"/>
          <w:b w:val="0"/>
          <w:sz w:val="16"/>
          <w:szCs w:val="16"/>
        </w:rPr>
        <w:t>,</w:t>
      </w:r>
      <w:r w:rsidRPr="002667A2">
        <w:rPr>
          <w:rFonts w:eastAsia="Calibri" w:cs="Calibri"/>
          <w:b w:val="0"/>
          <w:sz w:val="16"/>
          <w:szCs w:val="16"/>
        </w:rPr>
        <w:t xml:space="preserve"> las medidas referidas fueron suprimidas, modificadas y adicionadas mediante la </w:t>
      </w:r>
      <w:r>
        <w:rPr>
          <w:rFonts w:eastAsia="Calibri" w:cs="Calibri"/>
          <w:b w:val="0"/>
          <w:sz w:val="16"/>
          <w:szCs w:val="16"/>
        </w:rPr>
        <w:t>r</w:t>
      </w:r>
      <w:r w:rsidRPr="002667A2">
        <w:rPr>
          <w:rFonts w:eastAsia="Calibri" w:cs="Calibri"/>
          <w:b w:val="0"/>
          <w:sz w:val="16"/>
          <w:szCs w:val="16"/>
        </w:rPr>
        <w:t>evisión bienal acordada por el Pleno del Instituto.</w:t>
      </w:r>
    </w:p>
  </w:footnote>
  <w:footnote w:id="2">
    <w:p w14:paraId="5DF62148" w14:textId="77777777" w:rsidR="0006497B" w:rsidRPr="002667A2" w:rsidRDefault="0006497B" w:rsidP="002667A2">
      <w:pPr>
        <w:pStyle w:val="Textonotapie"/>
        <w:jc w:val="both"/>
        <w:rPr>
          <w:sz w:val="16"/>
          <w:szCs w:val="16"/>
        </w:rPr>
      </w:pPr>
      <w:r w:rsidRPr="004F5D4F">
        <w:rPr>
          <w:rStyle w:val="Refdenotaalpie"/>
          <w:sz w:val="16"/>
          <w:szCs w:val="16"/>
        </w:rPr>
        <w:footnoteRef/>
      </w:r>
      <w:r w:rsidRPr="004F5D4F">
        <w:rPr>
          <w:sz w:val="16"/>
          <w:szCs w:val="16"/>
        </w:rPr>
        <w:t xml:space="preserve"> Fojas </w:t>
      </w:r>
      <w:r>
        <w:rPr>
          <w:sz w:val="16"/>
          <w:szCs w:val="16"/>
        </w:rPr>
        <w:t xml:space="preserve">2146 a 2178 </w:t>
      </w:r>
      <w:r w:rsidRPr="002667A2">
        <w:rPr>
          <w:rFonts w:eastAsia="Calibri" w:cs="Times New Roman"/>
          <w:sz w:val="16"/>
          <w:szCs w:val="16"/>
        </w:rPr>
        <w:t xml:space="preserve">del Expediente AI/DC-003-2018. En adelante, cualquier referencia a fojas o folios, deberá entenderse referida a dicho Expediente, salvo que se señale lo contrario. </w:t>
      </w:r>
    </w:p>
  </w:footnote>
  <w:footnote w:id="3">
    <w:p w14:paraId="4667A4BE" w14:textId="77777777" w:rsidR="0006497B" w:rsidRPr="002667A2" w:rsidRDefault="0006497B" w:rsidP="002667A2">
      <w:pPr>
        <w:pStyle w:val="Textonotapie"/>
        <w:jc w:val="both"/>
        <w:rPr>
          <w:sz w:val="16"/>
          <w:szCs w:val="16"/>
        </w:rPr>
      </w:pPr>
      <w:r w:rsidRPr="002667A2">
        <w:rPr>
          <w:rStyle w:val="Refdenotaalpie"/>
          <w:sz w:val="16"/>
          <w:szCs w:val="16"/>
        </w:rPr>
        <w:footnoteRef/>
      </w:r>
      <w:r w:rsidRPr="002667A2">
        <w:rPr>
          <w:sz w:val="16"/>
          <w:szCs w:val="16"/>
        </w:rPr>
        <w:t>Fojas</w:t>
      </w:r>
      <w:r>
        <w:rPr>
          <w:sz w:val="16"/>
          <w:szCs w:val="16"/>
        </w:rPr>
        <w:t xml:space="preserve"> 2265 a 2275</w:t>
      </w:r>
      <w:r w:rsidRPr="002667A2">
        <w:rPr>
          <w:sz w:val="16"/>
          <w:szCs w:val="16"/>
        </w:rPr>
        <w:t xml:space="preserve"> del </w:t>
      </w:r>
      <w:r w:rsidRPr="002667A2">
        <w:rPr>
          <w:rFonts w:eastAsia="Calibri" w:cs="Times New Roman"/>
          <w:sz w:val="16"/>
          <w:szCs w:val="16"/>
        </w:rPr>
        <w:t>Expediente.</w:t>
      </w:r>
    </w:p>
  </w:footnote>
  <w:footnote w:id="4">
    <w:p w14:paraId="1127E1D8" w14:textId="77777777" w:rsidR="0006497B" w:rsidRPr="002667A2" w:rsidRDefault="0006497B" w:rsidP="002667A2">
      <w:pPr>
        <w:pStyle w:val="Textonotapie"/>
        <w:jc w:val="both"/>
        <w:rPr>
          <w:sz w:val="16"/>
          <w:szCs w:val="16"/>
          <w:highlight w:val="yellow"/>
        </w:rPr>
      </w:pPr>
      <w:r w:rsidRPr="002667A2">
        <w:rPr>
          <w:rStyle w:val="Refdenotaalpie"/>
          <w:sz w:val="16"/>
          <w:szCs w:val="16"/>
        </w:rPr>
        <w:footnoteRef/>
      </w:r>
      <w:r w:rsidRPr="002667A2">
        <w:rPr>
          <w:sz w:val="16"/>
          <w:szCs w:val="16"/>
        </w:rPr>
        <w:t xml:space="preserve"> Foja </w:t>
      </w:r>
      <w:r>
        <w:rPr>
          <w:sz w:val="16"/>
          <w:szCs w:val="16"/>
        </w:rPr>
        <w:t>2373</w:t>
      </w:r>
      <w:r w:rsidRPr="002667A2">
        <w:rPr>
          <w:sz w:val="16"/>
          <w:szCs w:val="16"/>
        </w:rPr>
        <w:t xml:space="preserve"> </w:t>
      </w:r>
      <w:r w:rsidRPr="002667A2">
        <w:rPr>
          <w:rFonts w:eastAsia="Calibri" w:cs="Times New Roman"/>
          <w:sz w:val="16"/>
          <w:szCs w:val="16"/>
        </w:rPr>
        <w:t>del Expediente.</w:t>
      </w:r>
    </w:p>
  </w:footnote>
  <w:footnote w:id="5">
    <w:p w14:paraId="420FE69F" w14:textId="77777777" w:rsidR="0006497B" w:rsidRPr="002667A2" w:rsidRDefault="0006497B" w:rsidP="002667A2">
      <w:pPr>
        <w:pStyle w:val="Sinespaciado"/>
        <w:jc w:val="both"/>
        <w:rPr>
          <w:rFonts w:ascii="ITC Avant Garde" w:hAnsi="ITC Avant Garde" w:cs="Calibri"/>
          <w:sz w:val="16"/>
          <w:szCs w:val="16"/>
        </w:rPr>
      </w:pPr>
      <w:r w:rsidRPr="004F5D4F">
        <w:rPr>
          <w:rStyle w:val="Refdenotaalpie"/>
          <w:rFonts w:ascii="ITC Avant Garde" w:hAnsi="ITC Avant Garde" w:cs="Calibri"/>
          <w:sz w:val="16"/>
          <w:szCs w:val="16"/>
        </w:rPr>
        <w:footnoteRef/>
      </w:r>
      <w:r w:rsidRPr="004F5D4F">
        <w:rPr>
          <w:rFonts w:ascii="ITC Avant Garde" w:hAnsi="ITC Avant Garde" w:cs="Calibri"/>
          <w:sz w:val="16"/>
          <w:szCs w:val="16"/>
        </w:rPr>
        <w:t xml:space="preserve"> Fojas</w:t>
      </w:r>
      <w:r>
        <w:rPr>
          <w:rFonts w:ascii="ITC Avant Garde" w:hAnsi="ITC Avant Garde" w:cs="Calibri"/>
          <w:sz w:val="16"/>
          <w:szCs w:val="16"/>
        </w:rPr>
        <w:t xml:space="preserve"> </w:t>
      </w:r>
      <w:r>
        <w:rPr>
          <w:rFonts w:ascii="ITC Avant Garde" w:hAnsi="ITC Avant Garde"/>
          <w:sz w:val="16"/>
          <w:szCs w:val="16"/>
        </w:rPr>
        <w:t xml:space="preserve">28 a </w:t>
      </w:r>
      <w:r w:rsidRPr="00C230CF">
        <w:rPr>
          <w:rFonts w:ascii="ITC Avant Garde" w:hAnsi="ITC Avant Garde"/>
          <w:sz w:val="16"/>
          <w:szCs w:val="16"/>
        </w:rPr>
        <w:t>31</w:t>
      </w:r>
      <w:r w:rsidRPr="00C230CF">
        <w:rPr>
          <w:rFonts w:ascii="ITC Avant Garde" w:hAnsi="ITC Avant Garde" w:cs="Calibri"/>
          <w:sz w:val="16"/>
          <w:szCs w:val="16"/>
        </w:rPr>
        <w:t xml:space="preserve"> </w:t>
      </w:r>
      <w:r w:rsidRPr="004F5D4F">
        <w:rPr>
          <w:rFonts w:ascii="ITC Avant Garde" w:hAnsi="ITC Avant Garde" w:cs="Calibri"/>
          <w:sz w:val="16"/>
          <w:szCs w:val="16"/>
        </w:rPr>
        <w:t>del Expediente.</w:t>
      </w:r>
    </w:p>
  </w:footnote>
  <w:footnote w:id="6">
    <w:p w14:paraId="770F42B7"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C230CF">
        <w:rPr>
          <w:rFonts w:eastAsia="Calibri" w:cs="Times New Roman"/>
          <w:sz w:val="16"/>
          <w:szCs w:val="16"/>
        </w:rPr>
        <w:t>32 a 47 del Expediente.</w:t>
      </w:r>
    </w:p>
  </w:footnote>
  <w:footnote w:id="7">
    <w:p w14:paraId="1F7F6855"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8A3631">
        <w:rPr>
          <w:sz w:val="16"/>
          <w:szCs w:val="16"/>
        </w:rPr>
        <w:t xml:space="preserve">7884 a 7886 </w:t>
      </w:r>
      <w:r w:rsidRPr="00C230CF">
        <w:rPr>
          <w:rFonts w:eastAsia="Calibri" w:cs="Times New Roman"/>
          <w:sz w:val="16"/>
          <w:szCs w:val="16"/>
        </w:rPr>
        <w:t>del Expediente.</w:t>
      </w:r>
    </w:p>
  </w:footnote>
  <w:footnote w:id="8">
    <w:p w14:paraId="75D25679"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CB56A0">
        <w:rPr>
          <w:sz w:val="16"/>
          <w:szCs w:val="16"/>
        </w:rPr>
        <w:t xml:space="preserve">49 a 64 </w:t>
      </w:r>
      <w:r w:rsidRPr="00C230CF">
        <w:rPr>
          <w:sz w:val="16"/>
          <w:szCs w:val="16"/>
        </w:rPr>
        <w:t>del Expediente.</w:t>
      </w:r>
    </w:p>
  </w:footnote>
  <w:footnote w:id="9">
    <w:p w14:paraId="214C58BE"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Pr>
          <w:rFonts w:eastAsia="Calibri" w:cs="Times New Roman"/>
          <w:sz w:val="16"/>
          <w:szCs w:val="16"/>
        </w:rPr>
        <w:t>6836 a 6838</w:t>
      </w:r>
      <w:r w:rsidRPr="00CB56A0">
        <w:rPr>
          <w:rFonts w:eastAsia="Calibri" w:cs="Times New Roman"/>
          <w:sz w:val="16"/>
          <w:szCs w:val="16"/>
        </w:rPr>
        <w:t xml:space="preserve"> </w:t>
      </w:r>
      <w:r w:rsidRPr="00C230CF">
        <w:rPr>
          <w:rFonts w:eastAsia="Calibri" w:cs="Times New Roman"/>
          <w:sz w:val="16"/>
          <w:szCs w:val="16"/>
        </w:rPr>
        <w:t>del Expediente.</w:t>
      </w:r>
    </w:p>
  </w:footnote>
  <w:footnote w:id="10">
    <w:p w14:paraId="08F54360"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CB56A0">
        <w:rPr>
          <w:sz w:val="16"/>
          <w:szCs w:val="16"/>
        </w:rPr>
        <w:t xml:space="preserve">66 a 81 </w:t>
      </w:r>
      <w:r w:rsidRPr="00C230CF">
        <w:rPr>
          <w:sz w:val="16"/>
          <w:szCs w:val="16"/>
        </w:rPr>
        <w:t>del Expediente.</w:t>
      </w:r>
    </w:p>
  </w:footnote>
  <w:footnote w:id="11">
    <w:p w14:paraId="44265EE4" w14:textId="77777777" w:rsidR="0006497B" w:rsidRPr="002667A2" w:rsidRDefault="0006497B" w:rsidP="002667A2">
      <w:pPr>
        <w:pStyle w:val="Textonotapie"/>
        <w:jc w:val="both"/>
        <w:rPr>
          <w:sz w:val="16"/>
          <w:szCs w:val="16"/>
          <w:highlight w:val="yellow"/>
        </w:rPr>
      </w:pPr>
      <w:r w:rsidRPr="00C230CF">
        <w:rPr>
          <w:rStyle w:val="Refdenotaalpie"/>
          <w:sz w:val="16"/>
          <w:szCs w:val="16"/>
        </w:rPr>
        <w:footnoteRef/>
      </w:r>
      <w:r w:rsidRPr="00C230CF">
        <w:rPr>
          <w:sz w:val="16"/>
          <w:szCs w:val="16"/>
        </w:rPr>
        <w:t xml:space="preserve"> Fojas </w:t>
      </w:r>
      <w:r w:rsidRPr="00CB56A0">
        <w:rPr>
          <w:rFonts w:eastAsia="Calibri" w:cs="Times New Roman"/>
          <w:sz w:val="16"/>
          <w:szCs w:val="16"/>
        </w:rPr>
        <w:t xml:space="preserve">6839 a 6844 </w:t>
      </w:r>
      <w:r w:rsidRPr="00C230CF">
        <w:rPr>
          <w:rFonts w:eastAsia="Calibri" w:cs="Times New Roman"/>
          <w:sz w:val="16"/>
          <w:szCs w:val="16"/>
        </w:rPr>
        <w:t>del Expediente.</w:t>
      </w:r>
    </w:p>
  </w:footnote>
  <w:footnote w:id="12">
    <w:p w14:paraId="0F132055"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CB56A0">
        <w:rPr>
          <w:sz w:val="16"/>
          <w:szCs w:val="16"/>
        </w:rPr>
        <w:t xml:space="preserve">91 a 107 </w:t>
      </w:r>
      <w:r w:rsidRPr="00C230CF">
        <w:rPr>
          <w:sz w:val="16"/>
          <w:szCs w:val="16"/>
        </w:rPr>
        <w:t>del Expediente.</w:t>
      </w:r>
    </w:p>
  </w:footnote>
  <w:footnote w:id="13">
    <w:p w14:paraId="6BCC05A3"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B826BB">
        <w:rPr>
          <w:rFonts w:eastAsia="Calibri" w:cs="Times New Roman"/>
          <w:sz w:val="16"/>
          <w:szCs w:val="16"/>
        </w:rPr>
        <w:t xml:space="preserve">7112 a 7113 </w:t>
      </w:r>
      <w:r w:rsidRPr="00C230CF">
        <w:rPr>
          <w:rFonts w:eastAsia="Calibri" w:cs="Times New Roman"/>
          <w:sz w:val="16"/>
          <w:szCs w:val="16"/>
        </w:rPr>
        <w:t>del Expediente.</w:t>
      </w:r>
    </w:p>
  </w:footnote>
  <w:footnote w:id="14">
    <w:p w14:paraId="0D01373A"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B826BB">
        <w:rPr>
          <w:sz w:val="16"/>
          <w:szCs w:val="16"/>
        </w:rPr>
        <w:t xml:space="preserve">108 a 120 </w:t>
      </w:r>
      <w:r w:rsidRPr="00C230CF">
        <w:rPr>
          <w:sz w:val="16"/>
          <w:szCs w:val="16"/>
        </w:rPr>
        <w:t>del Expediente.</w:t>
      </w:r>
    </w:p>
  </w:footnote>
  <w:footnote w:id="15">
    <w:p w14:paraId="02B06D0A"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D53018">
        <w:rPr>
          <w:rFonts w:eastAsia="Calibri" w:cs="Times New Roman"/>
          <w:sz w:val="16"/>
          <w:szCs w:val="16"/>
        </w:rPr>
        <w:t xml:space="preserve">8730 a 8732 </w:t>
      </w:r>
      <w:r w:rsidRPr="00C230CF">
        <w:rPr>
          <w:rFonts w:eastAsia="Calibri" w:cs="Times New Roman"/>
          <w:sz w:val="16"/>
          <w:szCs w:val="16"/>
        </w:rPr>
        <w:t>del Expediente.</w:t>
      </w:r>
    </w:p>
  </w:footnote>
  <w:footnote w:id="16">
    <w:p w14:paraId="4553B841"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D53018">
        <w:rPr>
          <w:sz w:val="16"/>
          <w:szCs w:val="16"/>
        </w:rPr>
        <w:t xml:space="preserve">121 a 138 </w:t>
      </w:r>
      <w:r w:rsidRPr="00C230CF">
        <w:rPr>
          <w:sz w:val="16"/>
          <w:szCs w:val="16"/>
        </w:rPr>
        <w:t>del Expediente.</w:t>
      </w:r>
    </w:p>
  </w:footnote>
  <w:footnote w:id="17">
    <w:p w14:paraId="37D0621E"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 </w:t>
      </w:r>
      <w:r w:rsidRPr="00D53018">
        <w:rPr>
          <w:rFonts w:eastAsia="Calibri" w:cs="Times New Roman"/>
          <w:sz w:val="16"/>
          <w:szCs w:val="16"/>
        </w:rPr>
        <w:t xml:space="preserve">8733 a 8735 </w:t>
      </w:r>
      <w:r w:rsidRPr="00C230CF">
        <w:rPr>
          <w:rFonts w:eastAsia="Calibri" w:cs="Times New Roman"/>
          <w:sz w:val="16"/>
          <w:szCs w:val="16"/>
        </w:rPr>
        <w:t>del Expediente.</w:t>
      </w:r>
    </w:p>
  </w:footnote>
  <w:footnote w:id="18">
    <w:p w14:paraId="5050F4D6"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D53018">
        <w:rPr>
          <w:sz w:val="16"/>
          <w:szCs w:val="16"/>
        </w:rPr>
        <w:t xml:space="preserve">139 a 154 </w:t>
      </w:r>
      <w:r w:rsidRPr="00C230CF">
        <w:rPr>
          <w:sz w:val="16"/>
          <w:szCs w:val="16"/>
        </w:rPr>
        <w:t>del Expediente.</w:t>
      </w:r>
    </w:p>
  </w:footnote>
  <w:footnote w:id="19">
    <w:p w14:paraId="4CCD8AB6"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D53018">
        <w:rPr>
          <w:rFonts w:eastAsia="Calibri" w:cs="Times New Roman"/>
          <w:sz w:val="16"/>
          <w:szCs w:val="16"/>
        </w:rPr>
        <w:t xml:space="preserve">7231 a 7233 </w:t>
      </w:r>
      <w:r w:rsidRPr="00C230CF">
        <w:rPr>
          <w:rFonts w:eastAsia="Calibri" w:cs="Times New Roman"/>
          <w:sz w:val="16"/>
          <w:szCs w:val="16"/>
        </w:rPr>
        <w:t>del Expediente.</w:t>
      </w:r>
    </w:p>
  </w:footnote>
  <w:footnote w:id="20">
    <w:p w14:paraId="044F4136"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E84B7C">
        <w:rPr>
          <w:sz w:val="16"/>
          <w:szCs w:val="16"/>
        </w:rPr>
        <w:t xml:space="preserve">155 a 169 </w:t>
      </w:r>
      <w:r w:rsidRPr="00C230CF">
        <w:rPr>
          <w:sz w:val="16"/>
          <w:szCs w:val="16"/>
        </w:rPr>
        <w:t>del Expediente.</w:t>
      </w:r>
    </w:p>
  </w:footnote>
  <w:footnote w:id="21">
    <w:p w14:paraId="6F8566F7"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E84B7C">
        <w:rPr>
          <w:rFonts w:eastAsia="Calibri" w:cs="Times New Roman"/>
          <w:sz w:val="16"/>
          <w:szCs w:val="16"/>
        </w:rPr>
        <w:t xml:space="preserve">7234 a 7235 </w:t>
      </w:r>
      <w:r w:rsidRPr="00C230CF">
        <w:rPr>
          <w:rFonts w:eastAsia="Calibri" w:cs="Times New Roman"/>
          <w:sz w:val="16"/>
          <w:szCs w:val="16"/>
        </w:rPr>
        <w:t>del Expediente.</w:t>
      </w:r>
    </w:p>
  </w:footnote>
  <w:footnote w:id="22">
    <w:p w14:paraId="6BCC1454" w14:textId="77777777" w:rsidR="0006497B" w:rsidRPr="002667A2"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E84B7C">
        <w:rPr>
          <w:rFonts w:eastAsia="Calibri" w:cs="Times New Roman"/>
          <w:sz w:val="16"/>
          <w:szCs w:val="16"/>
        </w:rPr>
        <w:t>175 a 193</w:t>
      </w:r>
      <w:r w:rsidRPr="00E84B7C">
        <w:rPr>
          <w:sz w:val="16"/>
          <w:szCs w:val="16"/>
        </w:rPr>
        <w:t xml:space="preserve"> </w:t>
      </w:r>
      <w:r w:rsidRPr="00C230CF">
        <w:rPr>
          <w:sz w:val="16"/>
          <w:szCs w:val="16"/>
        </w:rPr>
        <w:t>del Expediente</w:t>
      </w:r>
      <w:r w:rsidRPr="00C230CF">
        <w:rPr>
          <w:rFonts w:eastAsia="Calibri" w:cs="Times New Roman"/>
          <w:sz w:val="16"/>
          <w:szCs w:val="16"/>
        </w:rPr>
        <w:t>.</w:t>
      </w:r>
    </w:p>
  </w:footnote>
  <w:footnote w:id="23">
    <w:p w14:paraId="0F34CB70"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E84B7C">
        <w:rPr>
          <w:rFonts w:eastAsia="Calibri" w:cs="Times New Roman"/>
          <w:sz w:val="16"/>
          <w:szCs w:val="16"/>
        </w:rPr>
        <w:t xml:space="preserve">8747 a 8754 </w:t>
      </w:r>
      <w:r w:rsidRPr="00C230CF">
        <w:rPr>
          <w:rFonts w:eastAsia="Calibri" w:cs="Times New Roman"/>
          <w:sz w:val="16"/>
          <w:szCs w:val="16"/>
        </w:rPr>
        <w:t>del Expediente.</w:t>
      </w:r>
    </w:p>
  </w:footnote>
  <w:footnote w:id="24">
    <w:p w14:paraId="776D30F8"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sidRPr="00E91C3A">
        <w:rPr>
          <w:sz w:val="16"/>
          <w:szCs w:val="16"/>
        </w:rPr>
        <w:t xml:space="preserve">787 a 802 </w:t>
      </w:r>
      <w:r w:rsidRPr="00C230CF">
        <w:rPr>
          <w:sz w:val="16"/>
          <w:szCs w:val="16"/>
        </w:rPr>
        <w:t>del Expediente.</w:t>
      </w:r>
    </w:p>
  </w:footnote>
  <w:footnote w:id="25">
    <w:p w14:paraId="32FC9D85"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w:t>
      </w:r>
      <w:r>
        <w:rPr>
          <w:sz w:val="16"/>
          <w:szCs w:val="16"/>
        </w:rPr>
        <w:t xml:space="preserve"> </w:t>
      </w:r>
      <w:r w:rsidRPr="00853089">
        <w:rPr>
          <w:rFonts w:eastAsia="Calibri" w:cs="Times New Roman"/>
          <w:sz w:val="16"/>
          <w:szCs w:val="16"/>
        </w:rPr>
        <w:t xml:space="preserve">7887 a 7892 </w:t>
      </w:r>
      <w:r w:rsidRPr="00C230CF">
        <w:rPr>
          <w:rFonts w:eastAsia="Calibri" w:cs="Times New Roman"/>
          <w:sz w:val="16"/>
          <w:szCs w:val="16"/>
        </w:rPr>
        <w:t>del Expediente.</w:t>
      </w:r>
    </w:p>
  </w:footnote>
  <w:footnote w:id="26">
    <w:p w14:paraId="2033C1DF" w14:textId="77777777" w:rsidR="0006497B" w:rsidRPr="00C230CF" w:rsidRDefault="0006497B" w:rsidP="002667A2">
      <w:pPr>
        <w:pStyle w:val="Textonotapie"/>
        <w:jc w:val="both"/>
        <w:rPr>
          <w:sz w:val="16"/>
          <w:szCs w:val="16"/>
        </w:rPr>
      </w:pPr>
      <w:r w:rsidRPr="00C230CF">
        <w:rPr>
          <w:rStyle w:val="Refdenotaalpie"/>
          <w:sz w:val="16"/>
          <w:szCs w:val="16"/>
        </w:rPr>
        <w:footnoteRef/>
      </w:r>
      <w:r>
        <w:rPr>
          <w:sz w:val="16"/>
          <w:szCs w:val="16"/>
        </w:rPr>
        <w:t xml:space="preserve"> Fojas</w:t>
      </w:r>
      <w:r w:rsidRPr="00C230CF">
        <w:rPr>
          <w:sz w:val="16"/>
          <w:szCs w:val="16"/>
        </w:rPr>
        <w:t xml:space="preserve"> </w:t>
      </w:r>
      <w:r>
        <w:rPr>
          <w:rFonts w:eastAsia="Calibri" w:cs="Times New Roman"/>
          <w:sz w:val="16"/>
          <w:szCs w:val="16"/>
        </w:rPr>
        <w:t>803 a</w:t>
      </w:r>
      <w:r w:rsidRPr="00F12203">
        <w:rPr>
          <w:rFonts w:eastAsia="Calibri" w:cs="Times New Roman"/>
          <w:sz w:val="16"/>
          <w:szCs w:val="16"/>
        </w:rPr>
        <w:t xml:space="preserve"> 805</w:t>
      </w:r>
      <w:r w:rsidRPr="00C230CF">
        <w:rPr>
          <w:rFonts w:eastAsia="Calibri" w:cs="Times New Roman"/>
          <w:sz w:val="16"/>
          <w:szCs w:val="16"/>
        </w:rPr>
        <w:t xml:space="preserve"> </w:t>
      </w:r>
      <w:r w:rsidRPr="00C230CF">
        <w:rPr>
          <w:sz w:val="16"/>
          <w:szCs w:val="16"/>
        </w:rPr>
        <w:t>del Expediente</w:t>
      </w:r>
      <w:r w:rsidRPr="00C230CF">
        <w:rPr>
          <w:rFonts w:eastAsia="Calibri" w:cs="Times New Roman"/>
          <w:sz w:val="16"/>
          <w:szCs w:val="16"/>
        </w:rPr>
        <w:t>.</w:t>
      </w:r>
    </w:p>
  </w:footnote>
  <w:footnote w:id="27">
    <w:p w14:paraId="7CA15795" w14:textId="77777777" w:rsidR="0006497B" w:rsidRPr="00C230CF" w:rsidRDefault="0006497B" w:rsidP="002667A2">
      <w:pPr>
        <w:pStyle w:val="Textonotapie"/>
        <w:jc w:val="both"/>
        <w:rPr>
          <w:sz w:val="16"/>
          <w:szCs w:val="16"/>
        </w:rPr>
      </w:pPr>
      <w:r w:rsidRPr="00C230CF">
        <w:rPr>
          <w:rStyle w:val="Refdenotaalpie"/>
          <w:sz w:val="16"/>
          <w:szCs w:val="16"/>
        </w:rPr>
        <w:footnoteRef/>
      </w:r>
      <w:r>
        <w:rPr>
          <w:sz w:val="16"/>
          <w:szCs w:val="16"/>
        </w:rPr>
        <w:t xml:space="preserve"> Foja</w:t>
      </w:r>
      <w:r w:rsidRPr="00C230CF">
        <w:rPr>
          <w:sz w:val="16"/>
          <w:szCs w:val="16"/>
        </w:rPr>
        <w:t xml:space="preserve"> </w:t>
      </w:r>
      <w:r w:rsidRPr="00F12203">
        <w:rPr>
          <w:sz w:val="16"/>
          <w:szCs w:val="16"/>
        </w:rPr>
        <w:t>5804</w:t>
      </w:r>
      <w:r w:rsidRPr="00C230CF">
        <w:rPr>
          <w:rFonts w:eastAsia="Calibri" w:cs="Times New Roman"/>
          <w:sz w:val="16"/>
          <w:szCs w:val="16"/>
        </w:rPr>
        <w:t xml:space="preserve"> del Expediente.</w:t>
      </w:r>
    </w:p>
  </w:footnote>
  <w:footnote w:id="28">
    <w:p w14:paraId="54A9EB95"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Pr>
          <w:rFonts w:eastAsia="Calibri" w:cs="Times New Roman"/>
          <w:sz w:val="16"/>
          <w:szCs w:val="16"/>
        </w:rPr>
        <w:t>3039 a</w:t>
      </w:r>
      <w:r w:rsidRPr="00F12203">
        <w:rPr>
          <w:rFonts w:eastAsia="Calibri" w:cs="Times New Roman"/>
          <w:sz w:val="16"/>
          <w:szCs w:val="16"/>
        </w:rPr>
        <w:t xml:space="preserve"> 3044</w:t>
      </w:r>
      <w:r w:rsidRPr="00F12203">
        <w:rPr>
          <w:sz w:val="16"/>
          <w:szCs w:val="16"/>
        </w:rPr>
        <w:t xml:space="preserve"> </w:t>
      </w:r>
      <w:r w:rsidRPr="00C230CF">
        <w:rPr>
          <w:sz w:val="16"/>
          <w:szCs w:val="16"/>
        </w:rPr>
        <w:t>del Expediente</w:t>
      </w:r>
      <w:r w:rsidRPr="00C230CF">
        <w:rPr>
          <w:rFonts w:eastAsia="Calibri" w:cs="Times New Roman"/>
          <w:sz w:val="16"/>
          <w:szCs w:val="16"/>
        </w:rPr>
        <w:t>.</w:t>
      </w:r>
    </w:p>
  </w:footnote>
  <w:footnote w:id="29">
    <w:p w14:paraId="15BFA818"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Pr>
          <w:rFonts w:eastAsia="Calibri" w:cs="Times New Roman"/>
          <w:sz w:val="16"/>
          <w:szCs w:val="16"/>
        </w:rPr>
        <w:t>7687 a 7688</w:t>
      </w:r>
      <w:r w:rsidRPr="00C230CF">
        <w:rPr>
          <w:rFonts w:eastAsia="Calibri" w:cs="Times New Roman"/>
          <w:sz w:val="16"/>
          <w:szCs w:val="16"/>
        </w:rPr>
        <w:t xml:space="preserve"> del Expediente.</w:t>
      </w:r>
    </w:p>
  </w:footnote>
  <w:footnote w:id="30">
    <w:p w14:paraId="74A068F2"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Pr>
          <w:sz w:val="16"/>
          <w:szCs w:val="16"/>
        </w:rPr>
        <w:t>3602 a</w:t>
      </w:r>
      <w:r w:rsidRPr="00F12203">
        <w:rPr>
          <w:sz w:val="16"/>
          <w:szCs w:val="16"/>
        </w:rPr>
        <w:t xml:space="preserve"> 3605</w:t>
      </w:r>
      <w:r w:rsidRPr="00C230CF">
        <w:rPr>
          <w:sz w:val="16"/>
          <w:szCs w:val="16"/>
        </w:rPr>
        <w:t xml:space="preserve"> del Expediente.</w:t>
      </w:r>
    </w:p>
  </w:footnote>
  <w:footnote w:id="31">
    <w:p w14:paraId="48E71003"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 </w:t>
      </w:r>
      <w:r w:rsidRPr="00F12203">
        <w:rPr>
          <w:rFonts w:eastAsia="Calibri" w:cs="Times New Roman"/>
          <w:sz w:val="16"/>
          <w:szCs w:val="16"/>
        </w:rPr>
        <w:t xml:space="preserve">5243 </w:t>
      </w:r>
      <w:r w:rsidRPr="00C230CF">
        <w:rPr>
          <w:rFonts w:eastAsia="Calibri" w:cs="Times New Roman"/>
          <w:sz w:val="16"/>
          <w:szCs w:val="16"/>
        </w:rPr>
        <w:t>del Expediente.</w:t>
      </w:r>
    </w:p>
  </w:footnote>
  <w:footnote w:id="32">
    <w:p w14:paraId="635E25EB" w14:textId="77777777" w:rsidR="0006497B" w:rsidRPr="00C230CF" w:rsidRDefault="0006497B" w:rsidP="002667A2">
      <w:pPr>
        <w:pStyle w:val="Textonotapie"/>
        <w:jc w:val="both"/>
        <w:rPr>
          <w:sz w:val="16"/>
          <w:szCs w:val="16"/>
        </w:rPr>
      </w:pPr>
      <w:r w:rsidRPr="00C230CF">
        <w:rPr>
          <w:rStyle w:val="Refdenotaalpie"/>
          <w:sz w:val="16"/>
          <w:szCs w:val="16"/>
        </w:rPr>
        <w:footnoteRef/>
      </w:r>
      <w:r w:rsidRPr="00C230CF">
        <w:rPr>
          <w:sz w:val="16"/>
          <w:szCs w:val="16"/>
        </w:rPr>
        <w:t xml:space="preserve"> Fojas </w:t>
      </w:r>
      <w:r>
        <w:rPr>
          <w:sz w:val="16"/>
          <w:szCs w:val="16"/>
        </w:rPr>
        <w:t>3606 a</w:t>
      </w:r>
      <w:r w:rsidRPr="00F12203">
        <w:rPr>
          <w:sz w:val="16"/>
          <w:szCs w:val="16"/>
        </w:rPr>
        <w:t xml:space="preserve"> 3609 </w:t>
      </w:r>
      <w:r w:rsidRPr="00C230CF">
        <w:rPr>
          <w:sz w:val="16"/>
          <w:szCs w:val="16"/>
        </w:rPr>
        <w:t>del Expediente.</w:t>
      </w:r>
    </w:p>
  </w:footnote>
  <w:footnote w:id="33">
    <w:p w14:paraId="2DE1989D" w14:textId="77777777" w:rsidR="0006497B" w:rsidRPr="002667A2" w:rsidRDefault="0006497B" w:rsidP="002667A2">
      <w:pPr>
        <w:pStyle w:val="Textonotapie"/>
        <w:jc w:val="both"/>
        <w:rPr>
          <w:sz w:val="16"/>
          <w:szCs w:val="16"/>
        </w:rPr>
      </w:pPr>
      <w:r w:rsidRPr="00C230CF">
        <w:rPr>
          <w:rStyle w:val="Refdenotaalpie"/>
          <w:sz w:val="16"/>
          <w:szCs w:val="16"/>
        </w:rPr>
        <w:footnoteRef/>
      </w:r>
      <w:r>
        <w:rPr>
          <w:sz w:val="16"/>
          <w:szCs w:val="16"/>
        </w:rPr>
        <w:t xml:space="preserve"> Foja</w:t>
      </w:r>
      <w:r w:rsidRPr="00C230CF">
        <w:rPr>
          <w:sz w:val="16"/>
          <w:szCs w:val="16"/>
        </w:rPr>
        <w:t xml:space="preserve"> </w:t>
      </w:r>
      <w:r w:rsidRPr="00F12203">
        <w:rPr>
          <w:sz w:val="16"/>
          <w:szCs w:val="16"/>
        </w:rPr>
        <w:t>5244</w:t>
      </w:r>
      <w:r w:rsidRPr="00F12203">
        <w:rPr>
          <w:rFonts w:eastAsia="Calibri" w:cs="Times New Roman"/>
          <w:sz w:val="16"/>
          <w:szCs w:val="16"/>
        </w:rPr>
        <w:t xml:space="preserve"> </w:t>
      </w:r>
      <w:r w:rsidRPr="00C230CF">
        <w:rPr>
          <w:rFonts w:eastAsia="Calibri" w:cs="Times New Roman"/>
          <w:sz w:val="16"/>
          <w:szCs w:val="16"/>
        </w:rPr>
        <w:t>del Expediente.</w:t>
      </w:r>
    </w:p>
  </w:footnote>
  <w:footnote w:id="34">
    <w:p w14:paraId="42A89C9F"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F12203">
        <w:rPr>
          <w:sz w:val="16"/>
          <w:szCs w:val="16"/>
        </w:rPr>
        <w:t xml:space="preserve">3610 a 3614 </w:t>
      </w:r>
      <w:r w:rsidRPr="002878F9">
        <w:rPr>
          <w:sz w:val="16"/>
          <w:szCs w:val="16"/>
        </w:rPr>
        <w:t>del Expediente.</w:t>
      </w:r>
    </w:p>
  </w:footnote>
  <w:footnote w:id="35">
    <w:p w14:paraId="598D5494"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117A59">
        <w:rPr>
          <w:sz w:val="16"/>
          <w:szCs w:val="16"/>
        </w:rPr>
        <w:t>7114 a 7115</w:t>
      </w:r>
      <w:r w:rsidRPr="00117A59">
        <w:rPr>
          <w:rFonts w:eastAsia="Calibri" w:cs="Times New Roman"/>
          <w:sz w:val="16"/>
          <w:szCs w:val="16"/>
        </w:rPr>
        <w:t xml:space="preserve"> </w:t>
      </w:r>
      <w:r w:rsidRPr="002878F9">
        <w:rPr>
          <w:rFonts w:eastAsia="Calibri" w:cs="Times New Roman"/>
          <w:sz w:val="16"/>
          <w:szCs w:val="16"/>
        </w:rPr>
        <w:t>del Expediente.</w:t>
      </w:r>
    </w:p>
  </w:footnote>
  <w:footnote w:id="36">
    <w:p w14:paraId="1DF2A349"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117A59">
        <w:rPr>
          <w:sz w:val="16"/>
          <w:szCs w:val="16"/>
        </w:rPr>
        <w:t xml:space="preserve">3615 a 3625 </w:t>
      </w:r>
      <w:r w:rsidRPr="002878F9">
        <w:rPr>
          <w:sz w:val="16"/>
          <w:szCs w:val="16"/>
        </w:rPr>
        <w:t>del Expediente.</w:t>
      </w:r>
    </w:p>
  </w:footnote>
  <w:footnote w:id="37">
    <w:p w14:paraId="006EE21E"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w:t>
      </w:r>
      <w:r>
        <w:rPr>
          <w:sz w:val="16"/>
          <w:szCs w:val="16"/>
        </w:rPr>
        <w:t>s</w:t>
      </w:r>
      <w:r w:rsidRPr="002878F9">
        <w:rPr>
          <w:sz w:val="16"/>
          <w:szCs w:val="16"/>
        </w:rPr>
        <w:t xml:space="preserve"> </w:t>
      </w:r>
      <w:r w:rsidRPr="00117A59">
        <w:rPr>
          <w:rFonts w:eastAsia="Calibri" w:cs="Times New Roman"/>
          <w:sz w:val="16"/>
          <w:szCs w:val="16"/>
        </w:rPr>
        <w:t xml:space="preserve">7689 a 7692 </w:t>
      </w:r>
      <w:r w:rsidRPr="002878F9">
        <w:rPr>
          <w:rFonts w:eastAsia="Calibri" w:cs="Times New Roman"/>
          <w:sz w:val="16"/>
          <w:szCs w:val="16"/>
        </w:rPr>
        <w:t>del Expediente.</w:t>
      </w:r>
    </w:p>
  </w:footnote>
  <w:footnote w:id="38">
    <w:p w14:paraId="38E54E06"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117A59">
        <w:rPr>
          <w:sz w:val="16"/>
          <w:szCs w:val="16"/>
        </w:rPr>
        <w:t xml:space="preserve">3651 a 3656 </w:t>
      </w:r>
      <w:r w:rsidRPr="002878F9">
        <w:rPr>
          <w:sz w:val="16"/>
          <w:szCs w:val="16"/>
        </w:rPr>
        <w:t>del Expediente.</w:t>
      </w:r>
    </w:p>
  </w:footnote>
  <w:footnote w:id="39">
    <w:p w14:paraId="4FEF0DB4"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117A59">
        <w:rPr>
          <w:sz w:val="16"/>
          <w:szCs w:val="16"/>
        </w:rPr>
        <w:t>7116 a 7117</w:t>
      </w:r>
      <w:r w:rsidRPr="00117A59">
        <w:rPr>
          <w:rFonts w:eastAsia="Calibri" w:cs="Times New Roman"/>
          <w:sz w:val="16"/>
          <w:szCs w:val="16"/>
        </w:rPr>
        <w:t xml:space="preserve"> </w:t>
      </w:r>
      <w:r w:rsidRPr="002878F9">
        <w:rPr>
          <w:rFonts w:eastAsia="Calibri" w:cs="Times New Roman"/>
          <w:sz w:val="16"/>
          <w:szCs w:val="16"/>
        </w:rPr>
        <w:t>del Expediente.</w:t>
      </w:r>
    </w:p>
  </w:footnote>
  <w:footnote w:id="40">
    <w:p w14:paraId="20ED894F"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117A59">
        <w:rPr>
          <w:rFonts w:eastAsia="Calibri" w:cs="Times New Roman"/>
          <w:sz w:val="16"/>
          <w:szCs w:val="16"/>
        </w:rPr>
        <w:t xml:space="preserve">3765 a 3771 </w:t>
      </w:r>
      <w:r w:rsidRPr="002878F9">
        <w:rPr>
          <w:rFonts w:eastAsia="Calibri" w:cs="Times New Roman"/>
          <w:sz w:val="16"/>
          <w:szCs w:val="16"/>
        </w:rPr>
        <w:t>del Expediente.</w:t>
      </w:r>
    </w:p>
  </w:footnote>
  <w:footnote w:id="41">
    <w:p w14:paraId="53B96A26"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117A59">
        <w:rPr>
          <w:rFonts w:eastAsia="Calibri" w:cs="Times New Roman"/>
          <w:sz w:val="16"/>
          <w:szCs w:val="16"/>
        </w:rPr>
        <w:t xml:space="preserve">7893 a 7895 </w:t>
      </w:r>
      <w:r w:rsidRPr="002878F9">
        <w:rPr>
          <w:rFonts w:eastAsia="Calibri" w:cs="Times New Roman"/>
          <w:sz w:val="16"/>
          <w:szCs w:val="16"/>
        </w:rPr>
        <w:t>del Expediente.</w:t>
      </w:r>
    </w:p>
  </w:footnote>
  <w:footnote w:id="42">
    <w:p w14:paraId="0B2A1477"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117A59">
        <w:rPr>
          <w:rFonts w:eastAsia="Calibri" w:cs="Times New Roman"/>
          <w:sz w:val="16"/>
          <w:szCs w:val="16"/>
        </w:rPr>
        <w:t xml:space="preserve">3772 a 3781 </w:t>
      </w:r>
      <w:r w:rsidRPr="002878F9">
        <w:rPr>
          <w:rFonts w:eastAsia="Calibri" w:cs="Times New Roman"/>
          <w:sz w:val="16"/>
          <w:szCs w:val="16"/>
        </w:rPr>
        <w:t>del Expediente.</w:t>
      </w:r>
    </w:p>
  </w:footnote>
  <w:footnote w:id="43">
    <w:p w14:paraId="685FD8D8"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117A59">
        <w:rPr>
          <w:rFonts w:eastAsia="Calibri" w:cs="Times New Roman"/>
          <w:sz w:val="16"/>
          <w:szCs w:val="16"/>
        </w:rPr>
        <w:t xml:space="preserve">7238 a 7240 </w:t>
      </w:r>
      <w:r w:rsidRPr="002878F9">
        <w:rPr>
          <w:rFonts w:eastAsia="Calibri" w:cs="Times New Roman"/>
          <w:sz w:val="16"/>
          <w:szCs w:val="16"/>
        </w:rPr>
        <w:t>del Expediente.</w:t>
      </w:r>
    </w:p>
  </w:footnote>
  <w:footnote w:id="44">
    <w:p w14:paraId="400EB87A" w14:textId="77777777" w:rsidR="0006497B" w:rsidRPr="002667A2" w:rsidRDefault="0006497B" w:rsidP="002667A2">
      <w:pPr>
        <w:pStyle w:val="Textonotapie"/>
        <w:jc w:val="both"/>
        <w:rPr>
          <w:sz w:val="16"/>
          <w:szCs w:val="16"/>
          <w:highlight w:val="yellow"/>
        </w:rPr>
      </w:pPr>
      <w:r w:rsidRPr="002878F9">
        <w:rPr>
          <w:rStyle w:val="Refdenotaalpie"/>
          <w:sz w:val="16"/>
          <w:szCs w:val="16"/>
        </w:rPr>
        <w:footnoteRef/>
      </w:r>
      <w:r w:rsidRPr="002878F9">
        <w:rPr>
          <w:sz w:val="16"/>
          <w:szCs w:val="16"/>
        </w:rPr>
        <w:t xml:space="preserve"> Fojas </w:t>
      </w:r>
      <w:r w:rsidRPr="00117A59">
        <w:rPr>
          <w:sz w:val="16"/>
          <w:szCs w:val="16"/>
        </w:rPr>
        <w:t xml:space="preserve">3929 a 3940 </w:t>
      </w:r>
      <w:r w:rsidRPr="002878F9">
        <w:rPr>
          <w:sz w:val="16"/>
          <w:szCs w:val="16"/>
        </w:rPr>
        <w:t>del Expediente.</w:t>
      </w:r>
    </w:p>
  </w:footnote>
  <w:footnote w:id="45">
    <w:p w14:paraId="0FC7EA47"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w:t>
      </w:r>
      <w:r>
        <w:rPr>
          <w:sz w:val="16"/>
          <w:szCs w:val="16"/>
        </w:rPr>
        <w:t>s</w:t>
      </w:r>
      <w:r w:rsidRPr="002878F9">
        <w:rPr>
          <w:sz w:val="16"/>
          <w:szCs w:val="16"/>
        </w:rPr>
        <w:t xml:space="preserve"> </w:t>
      </w:r>
      <w:r w:rsidRPr="00D72764">
        <w:rPr>
          <w:sz w:val="16"/>
          <w:szCs w:val="16"/>
        </w:rPr>
        <w:t>7794 a 7796</w:t>
      </w:r>
      <w:r w:rsidRPr="00D72764">
        <w:rPr>
          <w:rFonts w:eastAsia="Calibri" w:cs="Times New Roman"/>
          <w:sz w:val="16"/>
          <w:szCs w:val="16"/>
        </w:rPr>
        <w:t xml:space="preserve"> </w:t>
      </w:r>
      <w:r w:rsidRPr="002878F9">
        <w:rPr>
          <w:rFonts w:eastAsia="Calibri" w:cs="Times New Roman"/>
          <w:sz w:val="16"/>
          <w:szCs w:val="16"/>
        </w:rPr>
        <w:t>del Expediente.</w:t>
      </w:r>
    </w:p>
  </w:footnote>
  <w:footnote w:id="46">
    <w:p w14:paraId="037363FD"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D72764">
        <w:rPr>
          <w:sz w:val="16"/>
          <w:szCs w:val="16"/>
        </w:rPr>
        <w:t xml:space="preserve">3941 a 3952 </w:t>
      </w:r>
      <w:r w:rsidRPr="002878F9">
        <w:rPr>
          <w:sz w:val="16"/>
          <w:szCs w:val="16"/>
        </w:rPr>
        <w:t>del Expediente.</w:t>
      </w:r>
    </w:p>
  </w:footnote>
  <w:footnote w:id="47">
    <w:p w14:paraId="7CCF8B3E"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w:t>
      </w:r>
      <w:r>
        <w:rPr>
          <w:sz w:val="16"/>
          <w:szCs w:val="16"/>
        </w:rPr>
        <w:t>s</w:t>
      </w:r>
      <w:r w:rsidRPr="002878F9">
        <w:rPr>
          <w:sz w:val="16"/>
          <w:szCs w:val="16"/>
        </w:rPr>
        <w:t xml:space="preserve"> </w:t>
      </w:r>
      <w:r w:rsidRPr="00D72764">
        <w:rPr>
          <w:sz w:val="16"/>
          <w:szCs w:val="16"/>
        </w:rPr>
        <w:t>7693 a 7695</w:t>
      </w:r>
      <w:r w:rsidRPr="002878F9">
        <w:rPr>
          <w:sz w:val="16"/>
          <w:szCs w:val="16"/>
        </w:rPr>
        <w:t xml:space="preserve"> </w:t>
      </w:r>
      <w:r w:rsidRPr="002878F9">
        <w:rPr>
          <w:rFonts w:eastAsia="Calibri" w:cs="Times New Roman"/>
          <w:sz w:val="16"/>
          <w:szCs w:val="16"/>
        </w:rPr>
        <w:t>del Expediente.</w:t>
      </w:r>
    </w:p>
  </w:footnote>
  <w:footnote w:id="48">
    <w:p w14:paraId="411DBB6A"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D72764">
        <w:rPr>
          <w:sz w:val="16"/>
          <w:szCs w:val="16"/>
        </w:rPr>
        <w:t xml:space="preserve">4017 a 4027 </w:t>
      </w:r>
      <w:r w:rsidRPr="002878F9">
        <w:rPr>
          <w:sz w:val="16"/>
          <w:szCs w:val="16"/>
        </w:rPr>
        <w:t>del Expediente.</w:t>
      </w:r>
    </w:p>
  </w:footnote>
  <w:footnote w:id="49">
    <w:p w14:paraId="2CABAEF2"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w:t>
      </w:r>
      <w:r>
        <w:rPr>
          <w:sz w:val="16"/>
          <w:szCs w:val="16"/>
        </w:rPr>
        <w:t>s</w:t>
      </w:r>
      <w:r w:rsidRPr="002878F9">
        <w:rPr>
          <w:sz w:val="16"/>
          <w:szCs w:val="16"/>
        </w:rPr>
        <w:t xml:space="preserve"> </w:t>
      </w:r>
      <w:r w:rsidRPr="00D72764">
        <w:rPr>
          <w:rFonts w:eastAsia="Calibri" w:cs="Times New Roman"/>
          <w:sz w:val="16"/>
          <w:szCs w:val="16"/>
        </w:rPr>
        <w:t xml:space="preserve">7696 a 7699 </w:t>
      </w:r>
      <w:r w:rsidRPr="002878F9">
        <w:rPr>
          <w:rFonts w:eastAsia="Calibri" w:cs="Times New Roman"/>
          <w:sz w:val="16"/>
          <w:szCs w:val="16"/>
        </w:rPr>
        <w:t>del Expediente.</w:t>
      </w:r>
    </w:p>
  </w:footnote>
  <w:footnote w:id="50">
    <w:p w14:paraId="516340CC"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D72764">
        <w:rPr>
          <w:sz w:val="16"/>
          <w:szCs w:val="16"/>
        </w:rPr>
        <w:t xml:space="preserve">4679 a 4689 </w:t>
      </w:r>
      <w:r w:rsidRPr="002878F9">
        <w:rPr>
          <w:sz w:val="16"/>
          <w:szCs w:val="16"/>
        </w:rPr>
        <w:t>del Expediente.</w:t>
      </w:r>
    </w:p>
  </w:footnote>
  <w:footnote w:id="51">
    <w:p w14:paraId="67B9A581"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w:t>
      </w:r>
      <w:r>
        <w:rPr>
          <w:sz w:val="16"/>
          <w:szCs w:val="16"/>
        </w:rPr>
        <w:t>s</w:t>
      </w:r>
      <w:r w:rsidRPr="002878F9">
        <w:rPr>
          <w:sz w:val="16"/>
          <w:szCs w:val="16"/>
        </w:rPr>
        <w:t xml:space="preserve"> </w:t>
      </w:r>
      <w:r w:rsidRPr="002878F9">
        <w:rPr>
          <w:rFonts w:eastAsia="Calibri" w:cs="Times New Roman"/>
          <w:sz w:val="16"/>
          <w:szCs w:val="16"/>
        </w:rPr>
        <w:t>8719 a 8723 del Expediente.</w:t>
      </w:r>
    </w:p>
  </w:footnote>
  <w:footnote w:id="52">
    <w:p w14:paraId="580F2612" w14:textId="77777777" w:rsidR="0006497B" w:rsidRPr="002667A2" w:rsidRDefault="0006497B" w:rsidP="002667A2">
      <w:pPr>
        <w:pStyle w:val="Textonotapie"/>
        <w:jc w:val="both"/>
        <w:rPr>
          <w:sz w:val="16"/>
          <w:szCs w:val="16"/>
          <w:highlight w:val="yellow"/>
        </w:rPr>
      </w:pPr>
      <w:r w:rsidRPr="002878F9">
        <w:rPr>
          <w:rStyle w:val="Refdenotaalpie"/>
          <w:sz w:val="16"/>
          <w:szCs w:val="16"/>
        </w:rPr>
        <w:footnoteRef/>
      </w:r>
      <w:r w:rsidRPr="002878F9">
        <w:rPr>
          <w:sz w:val="16"/>
          <w:szCs w:val="16"/>
        </w:rPr>
        <w:t xml:space="preserve"> Fojas </w:t>
      </w:r>
      <w:r w:rsidRPr="002A1536">
        <w:rPr>
          <w:sz w:val="16"/>
          <w:szCs w:val="16"/>
        </w:rPr>
        <w:t xml:space="preserve">2540 y 2541 </w:t>
      </w:r>
      <w:r w:rsidRPr="002878F9">
        <w:rPr>
          <w:sz w:val="16"/>
          <w:szCs w:val="16"/>
        </w:rPr>
        <w:t>del Expediente.</w:t>
      </w:r>
    </w:p>
  </w:footnote>
  <w:footnote w:id="53">
    <w:p w14:paraId="58346312"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2A1536">
        <w:rPr>
          <w:sz w:val="16"/>
          <w:szCs w:val="16"/>
        </w:rPr>
        <w:t xml:space="preserve">2747 a 2858 </w:t>
      </w:r>
      <w:r w:rsidRPr="002878F9">
        <w:rPr>
          <w:sz w:val="16"/>
          <w:szCs w:val="16"/>
        </w:rPr>
        <w:t>del Expediente.</w:t>
      </w:r>
    </w:p>
  </w:footnote>
  <w:footnote w:id="54">
    <w:p w14:paraId="6CC97DE8"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2A1536">
        <w:rPr>
          <w:sz w:val="16"/>
          <w:szCs w:val="16"/>
        </w:rPr>
        <w:t xml:space="preserve">3626 a 3648 </w:t>
      </w:r>
      <w:r w:rsidRPr="002878F9">
        <w:rPr>
          <w:sz w:val="16"/>
          <w:szCs w:val="16"/>
        </w:rPr>
        <w:t>del Expediente.</w:t>
      </w:r>
    </w:p>
  </w:footnote>
  <w:footnote w:id="55">
    <w:p w14:paraId="08F01B5B"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2A1536">
        <w:rPr>
          <w:sz w:val="16"/>
          <w:szCs w:val="16"/>
        </w:rPr>
        <w:t xml:space="preserve">4797 a 4811 </w:t>
      </w:r>
      <w:r w:rsidRPr="002878F9">
        <w:rPr>
          <w:sz w:val="16"/>
          <w:szCs w:val="16"/>
        </w:rPr>
        <w:t>del Expediente.</w:t>
      </w:r>
    </w:p>
  </w:footnote>
  <w:footnote w:id="56">
    <w:p w14:paraId="7E561F16"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2A1536">
        <w:rPr>
          <w:sz w:val="16"/>
          <w:szCs w:val="16"/>
        </w:rPr>
        <w:t xml:space="preserve">5823 a 5826 </w:t>
      </w:r>
      <w:r w:rsidRPr="002878F9">
        <w:rPr>
          <w:sz w:val="16"/>
          <w:szCs w:val="16"/>
        </w:rPr>
        <w:t>del Expediente.</w:t>
      </w:r>
    </w:p>
  </w:footnote>
  <w:footnote w:id="57">
    <w:p w14:paraId="48F39590" w14:textId="77777777" w:rsidR="0006497B" w:rsidRPr="002667A2"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2A37CD">
        <w:rPr>
          <w:sz w:val="16"/>
          <w:szCs w:val="16"/>
        </w:rPr>
        <w:t xml:space="preserve">7554 a 7647 </w:t>
      </w:r>
      <w:r w:rsidRPr="002878F9">
        <w:rPr>
          <w:sz w:val="16"/>
          <w:szCs w:val="16"/>
        </w:rPr>
        <w:t>del Expediente.</w:t>
      </w:r>
    </w:p>
  </w:footnote>
  <w:footnote w:id="58">
    <w:p w14:paraId="43BD97D8" w14:textId="77777777" w:rsidR="0006497B" w:rsidRPr="002878F9"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Pr>
          <w:sz w:val="16"/>
          <w:szCs w:val="16"/>
        </w:rPr>
        <w:t>7648 a 7686</w:t>
      </w:r>
      <w:r w:rsidRPr="002878F9">
        <w:rPr>
          <w:sz w:val="16"/>
          <w:szCs w:val="16"/>
        </w:rPr>
        <w:t xml:space="preserve"> del Expediente.</w:t>
      </w:r>
    </w:p>
  </w:footnote>
  <w:footnote w:id="59">
    <w:p w14:paraId="5B770DD6" w14:textId="77777777" w:rsidR="0006497B" w:rsidRPr="002667A2" w:rsidRDefault="0006497B" w:rsidP="002667A2">
      <w:pPr>
        <w:pStyle w:val="Textonotapie"/>
        <w:jc w:val="both"/>
        <w:rPr>
          <w:sz w:val="16"/>
          <w:szCs w:val="16"/>
        </w:rPr>
      </w:pPr>
      <w:r w:rsidRPr="002878F9">
        <w:rPr>
          <w:rStyle w:val="Refdenotaalpie"/>
          <w:sz w:val="16"/>
          <w:szCs w:val="16"/>
        </w:rPr>
        <w:footnoteRef/>
      </w:r>
      <w:r w:rsidRPr="002878F9">
        <w:rPr>
          <w:sz w:val="16"/>
          <w:szCs w:val="16"/>
        </w:rPr>
        <w:t xml:space="preserve"> Fojas </w:t>
      </w:r>
      <w:r w:rsidRPr="002A1536">
        <w:rPr>
          <w:sz w:val="16"/>
          <w:szCs w:val="16"/>
        </w:rPr>
        <w:t xml:space="preserve">7298 a 7303 </w:t>
      </w:r>
      <w:r w:rsidRPr="002878F9">
        <w:rPr>
          <w:sz w:val="16"/>
          <w:szCs w:val="16"/>
        </w:rPr>
        <w:t>del Expediente.</w:t>
      </w:r>
    </w:p>
  </w:footnote>
  <w:footnote w:id="60">
    <w:p w14:paraId="015AB8D1" w14:textId="77777777" w:rsidR="0006497B" w:rsidRPr="002667A2" w:rsidRDefault="0006497B" w:rsidP="002667A2">
      <w:pPr>
        <w:pStyle w:val="Textonotapie"/>
        <w:jc w:val="both"/>
        <w:rPr>
          <w:sz w:val="16"/>
          <w:szCs w:val="16"/>
        </w:rPr>
      </w:pPr>
      <w:r w:rsidRPr="001B5D1F">
        <w:rPr>
          <w:rStyle w:val="Refdenotaalpie"/>
          <w:sz w:val="16"/>
          <w:szCs w:val="16"/>
        </w:rPr>
        <w:footnoteRef/>
      </w:r>
      <w:r w:rsidRPr="001B5D1F">
        <w:rPr>
          <w:sz w:val="16"/>
          <w:szCs w:val="16"/>
        </w:rPr>
        <w:t xml:space="preserve"> Fojas </w:t>
      </w:r>
      <w:r w:rsidRPr="002A1536">
        <w:rPr>
          <w:sz w:val="16"/>
          <w:szCs w:val="16"/>
        </w:rPr>
        <w:t xml:space="preserve">7304 a 7553 </w:t>
      </w:r>
      <w:r w:rsidRPr="001B5D1F">
        <w:rPr>
          <w:sz w:val="16"/>
          <w:szCs w:val="16"/>
        </w:rPr>
        <w:t>del Expediente.</w:t>
      </w:r>
    </w:p>
  </w:footnote>
  <w:footnote w:id="61">
    <w:p w14:paraId="1070D6E3" w14:textId="77777777" w:rsidR="0006497B" w:rsidRPr="002667A2" w:rsidRDefault="0006497B" w:rsidP="002667A2">
      <w:pPr>
        <w:pStyle w:val="Textonotapie"/>
        <w:jc w:val="both"/>
        <w:rPr>
          <w:sz w:val="16"/>
          <w:szCs w:val="16"/>
        </w:rPr>
      </w:pPr>
      <w:r w:rsidRPr="001B5D1F">
        <w:rPr>
          <w:rStyle w:val="Refdenotaalpie"/>
          <w:sz w:val="16"/>
          <w:szCs w:val="16"/>
        </w:rPr>
        <w:footnoteRef/>
      </w:r>
      <w:r>
        <w:rPr>
          <w:sz w:val="16"/>
          <w:szCs w:val="16"/>
        </w:rPr>
        <w:t xml:space="preserve"> Fojas 9011 a 9013</w:t>
      </w:r>
      <w:r w:rsidRPr="001B5D1F">
        <w:rPr>
          <w:sz w:val="16"/>
          <w:szCs w:val="16"/>
        </w:rPr>
        <w:t xml:space="preserve"> del Expediente.</w:t>
      </w:r>
    </w:p>
  </w:footnote>
  <w:footnote w:id="62">
    <w:p w14:paraId="53F07557" w14:textId="77777777" w:rsidR="0006497B" w:rsidRPr="002667A2" w:rsidRDefault="0006497B" w:rsidP="001277A9">
      <w:pPr>
        <w:pStyle w:val="Textonotapie"/>
        <w:jc w:val="both"/>
        <w:rPr>
          <w:sz w:val="16"/>
          <w:szCs w:val="16"/>
        </w:rPr>
      </w:pPr>
      <w:r w:rsidRPr="002667A2">
        <w:rPr>
          <w:rStyle w:val="Refdenotaalpie"/>
          <w:sz w:val="16"/>
          <w:szCs w:val="16"/>
        </w:rPr>
        <w:footnoteRef/>
      </w:r>
      <w:r>
        <w:rPr>
          <w:sz w:val="16"/>
          <w:szCs w:val="16"/>
        </w:rPr>
        <w:t xml:space="preserve"> </w:t>
      </w:r>
      <w:r w:rsidRPr="002667A2">
        <w:rPr>
          <w:sz w:val="16"/>
          <w:szCs w:val="16"/>
        </w:rPr>
        <w:t>Dictamen de las Comisiones Unidas de Comunicaciones y Transportes, de Radio, Televisión y Cinematografía, y de Estudios Legislativos</w:t>
      </w:r>
      <w:r>
        <w:rPr>
          <w:sz w:val="16"/>
          <w:szCs w:val="16"/>
        </w:rPr>
        <w:t xml:space="preserve"> del Senado de la República</w:t>
      </w:r>
      <w:r w:rsidRPr="002667A2">
        <w:rPr>
          <w:sz w:val="16"/>
          <w:szCs w:val="16"/>
        </w:rPr>
        <w:t xml:space="preserve">, con proyecto de Decreto por el que se expiden la Ley Federal de Telecomunicaciones y Radiodifusión, y la Ley del Sistema Público de Radiodifusión del Estado Mexicano; y se reforman, adicionan y derogan diversas disposiciones en materia de telecomunicaciones y radiodifusión; </w:t>
      </w:r>
      <w:r>
        <w:rPr>
          <w:sz w:val="16"/>
          <w:szCs w:val="16"/>
        </w:rPr>
        <w:t>p.</w:t>
      </w:r>
      <w:r w:rsidRPr="002667A2">
        <w:rPr>
          <w:sz w:val="16"/>
          <w:szCs w:val="16"/>
        </w:rPr>
        <w:t xml:space="preserve"> 34</w:t>
      </w:r>
      <w:r>
        <w:rPr>
          <w:sz w:val="16"/>
          <w:szCs w:val="16"/>
        </w:rPr>
        <w:t>6</w:t>
      </w:r>
      <w:r w:rsidRPr="002667A2">
        <w:rPr>
          <w:sz w:val="16"/>
          <w:szCs w:val="16"/>
        </w:rPr>
        <w:t xml:space="preserve">. Consultable en: </w:t>
      </w:r>
      <w:r w:rsidRPr="007744B8">
        <w:rPr>
          <w:sz w:val="16"/>
          <w:szCs w:val="16"/>
        </w:rPr>
        <w:t>http://infosen.senado.gob.mx/sgsp/gaceta/62/2/2014-07-04-1/assets/documentos/DICTAMEN_MATERIA_TELECOMUNICACIONES.pdf</w:t>
      </w:r>
      <w:r w:rsidRPr="002667A2">
        <w:rPr>
          <w:sz w:val="16"/>
          <w:szCs w:val="16"/>
        </w:rPr>
        <w:t>.</w:t>
      </w:r>
    </w:p>
  </w:footnote>
  <w:footnote w:id="63">
    <w:p w14:paraId="4AD27CC2" w14:textId="77777777" w:rsidR="0006497B" w:rsidRPr="002667A2" w:rsidRDefault="0006497B" w:rsidP="002667A2">
      <w:pPr>
        <w:pStyle w:val="Textonotapie"/>
        <w:jc w:val="both"/>
        <w:rPr>
          <w:spacing w:val="-2"/>
          <w:sz w:val="16"/>
          <w:szCs w:val="16"/>
        </w:rPr>
      </w:pPr>
      <w:r w:rsidRPr="002667A2">
        <w:rPr>
          <w:rStyle w:val="Refdenotaalpie"/>
          <w:sz w:val="16"/>
          <w:szCs w:val="16"/>
        </w:rPr>
        <w:footnoteRef/>
      </w:r>
      <w:r w:rsidRPr="002667A2">
        <w:rPr>
          <w:sz w:val="16"/>
          <w:szCs w:val="16"/>
        </w:rPr>
        <w:t xml:space="preserve"> Tesis de </w:t>
      </w:r>
      <w:r>
        <w:rPr>
          <w:sz w:val="16"/>
          <w:szCs w:val="16"/>
        </w:rPr>
        <w:t>j</w:t>
      </w:r>
      <w:r w:rsidRPr="002667A2">
        <w:rPr>
          <w:sz w:val="16"/>
          <w:szCs w:val="16"/>
        </w:rPr>
        <w:t>urisprudencia I.4o.A. J/75</w:t>
      </w:r>
      <w:r>
        <w:rPr>
          <w:sz w:val="16"/>
          <w:szCs w:val="16"/>
        </w:rPr>
        <w:t xml:space="preserve">, </w:t>
      </w:r>
      <w:r w:rsidRPr="002667A2">
        <w:rPr>
          <w:sz w:val="16"/>
          <w:szCs w:val="16"/>
        </w:rPr>
        <w:t>emitida por el Cuarto Tribunal Colegiado en Materia Administrativa del Primer Circuito, localizable bajo en la página 2225, del Tomo XXVIII de octubre de 2008, Novena Época del Semanario Judicial de la Federación y su Gaceta.</w:t>
      </w:r>
    </w:p>
  </w:footnote>
  <w:footnote w:id="64">
    <w:p w14:paraId="08090116" w14:textId="77777777" w:rsidR="0006497B" w:rsidRPr="002667A2" w:rsidRDefault="0006497B" w:rsidP="002667A2">
      <w:pPr>
        <w:pStyle w:val="Textonotapie"/>
        <w:jc w:val="both"/>
        <w:rPr>
          <w:sz w:val="16"/>
          <w:szCs w:val="16"/>
        </w:rPr>
      </w:pPr>
      <w:r w:rsidRPr="002667A2">
        <w:rPr>
          <w:rStyle w:val="Refdenotaalpie"/>
          <w:sz w:val="16"/>
          <w:szCs w:val="16"/>
        </w:rPr>
        <w:footnoteRef/>
      </w:r>
      <w:r w:rsidRPr="002667A2">
        <w:rPr>
          <w:sz w:val="16"/>
          <w:szCs w:val="16"/>
        </w:rPr>
        <w:t xml:space="preserve"> Tesis aislada I.2o.A.E.5 A (10a.) emitida por el Segundo Tribunal Colegiado en Materia Administrativa especializado en Competencia Económica, Radiodifusión y Telecomunicaciones, con residencia en el Distrito Federal y jurisdicción en toda la República Mexicana, localizable en la página 1176, Libro 8, Julio de 2014, Tomo II, Décima Época del Semanario Judicial de la Federación. </w:t>
      </w:r>
    </w:p>
  </w:footnote>
  <w:footnote w:id="65">
    <w:p w14:paraId="5C7B5DF7" w14:textId="77777777" w:rsidR="0006497B" w:rsidRPr="002667A2" w:rsidRDefault="0006497B" w:rsidP="002667A2">
      <w:pPr>
        <w:pStyle w:val="Textonotapie"/>
        <w:jc w:val="both"/>
        <w:rPr>
          <w:sz w:val="16"/>
          <w:szCs w:val="16"/>
        </w:rPr>
      </w:pPr>
      <w:r w:rsidRPr="002667A2">
        <w:rPr>
          <w:rStyle w:val="Refdenotaalpie"/>
          <w:sz w:val="16"/>
          <w:szCs w:val="16"/>
        </w:rPr>
        <w:footnoteRef/>
      </w:r>
      <w:r w:rsidRPr="002667A2">
        <w:rPr>
          <w:sz w:val="16"/>
          <w:szCs w:val="16"/>
        </w:rPr>
        <w:t xml:space="preserve"> Tesis de </w:t>
      </w:r>
      <w:r>
        <w:rPr>
          <w:sz w:val="16"/>
          <w:szCs w:val="16"/>
        </w:rPr>
        <w:t>j</w:t>
      </w:r>
      <w:r w:rsidRPr="002667A2">
        <w:rPr>
          <w:sz w:val="16"/>
          <w:szCs w:val="16"/>
        </w:rPr>
        <w:t xml:space="preserve">urisprudencia P./J. 61/2007 emitida por el Pleno de la Suprema Corte de Justicia de la Nación, localizable en la página 1098, Tomo XXVI, Diciembre de 2007 del Semanario Judicial de la Federación. </w:t>
      </w:r>
    </w:p>
  </w:footnote>
  <w:footnote w:id="66">
    <w:p w14:paraId="03D0B6AF" w14:textId="77777777" w:rsidR="0006497B" w:rsidRPr="001B5D1F" w:rsidRDefault="0006497B" w:rsidP="005B6C4D">
      <w:pPr>
        <w:pStyle w:val="Textonotapie"/>
        <w:jc w:val="both"/>
        <w:rPr>
          <w:sz w:val="16"/>
          <w:szCs w:val="16"/>
        </w:rPr>
      </w:pPr>
      <w:r w:rsidRPr="001B5D1F">
        <w:rPr>
          <w:rStyle w:val="Refdenotaalpie"/>
          <w:sz w:val="16"/>
          <w:szCs w:val="16"/>
        </w:rPr>
        <w:footnoteRef/>
      </w:r>
      <w:r w:rsidRPr="001B5D1F">
        <w:rPr>
          <w:sz w:val="16"/>
          <w:szCs w:val="16"/>
        </w:rPr>
        <w:t xml:space="preserve"> Tesis de jurisprudencia I.4o.A. J/66, emitida por el Cuarto Tribunal Colegiado en Materia Administrativa del Primer Circuito, localizable en el Semanario Judicial de la Federación y su Gaceta, Novena Época, Tomo XXVIII, noviembre de 2008, p. 1244.</w:t>
      </w:r>
    </w:p>
  </w:footnote>
  <w:footnote w:id="67">
    <w:p w14:paraId="78FD04E7" w14:textId="77777777" w:rsidR="0006497B" w:rsidRPr="004821DF" w:rsidRDefault="0006497B" w:rsidP="005B6C4D">
      <w:pPr>
        <w:spacing w:after="0"/>
        <w:jc w:val="both"/>
        <w:rPr>
          <w:sz w:val="16"/>
          <w:szCs w:val="16"/>
        </w:rPr>
      </w:pPr>
      <w:r w:rsidRPr="004821DF">
        <w:rPr>
          <w:rStyle w:val="Refdenotaalpie"/>
          <w:sz w:val="16"/>
          <w:szCs w:val="16"/>
        </w:rPr>
        <w:footnoteRef/>
      </w:r>
      <w:r w:rsidRPr="004821DF">
        <w:rPr>
          <w:sz w:val="16"/>
          <w:szCs w:val="16"/>
        </w:rPr>
        <w:t xml:space="preserve"> En el caso de GTAC, a pesar de que diversos agentes económicos participan en su capital social, </w:t>
      </w:r>
      <w:r w:rsidRPr="00BF666F">
        <w:rPr>
          <w:b/>
          <w:bCs/>
          <w:color w:val="0000CC"/>
          <w:sz w:val="16"/>
          <w:szCs w:val="16"/>
        </w:rPr>
        <w:t>“CONFIDENCIAL POR LEY”</w:t>
      </w:r>
      <w:r w:rsidRPr="004821DF">
        <w:rPr>
          <w:sz w:val="16"/>
          <w:szCs w:val="16"/>
        </w:rPr>
        <w:t>, tal y como se explica en los Anexos III y V del presente Dictamen Preliminar.</w:t>
      </w:r>
    </w:p>
  </w:footnote>
  <w:footnote w:id="68">
    <w:p w14:paraId="1DB20E00" w14:textId="77777777" w:rsidR="0006497B" w:rsidRPr="002667A2" w:rsidRDefault="0006497B" w:rsidP="006435D0">
      <w:pPr>
        <w:pStyle w:val="Textonotapie"/>
        <w:jc w:val="both"/>
        <w:rPr>
          <w:sz w:val="16"/>
          <w:szCs w:val="16"/>
        </w:rPr>
      </w:pPr>
      <w:r w:rsidRPr="002667A2">
        <w:rPr>
          <w:rStyle w:val="Refdenotaalpie"/>
          <w:sz w:val="16"/>
          <w:szCs w:val="16"/>
        </w:rPr>
        <w:footnoteRef/>
      </w:r>
      <w:r>
        <w:rPr>
          <w:sz w:val="16"/>
          <w:szCs w:val="16"/>
        </w:rPr>
        <w:t xml:space="preserve"> Fojas 7, 10 y 2149 del Expediente.</w:t>
      </w:r>
    </w:p>
  </w:footnote>
  <w:footnote w:id="69">
    <w:p w14:paraId="52CFE80C"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KIO posee el </w:t>
      </w:r>
      <w:r w:rsidRPr="00BF666F">
        <w:rPr>
          <w:b/>
          <w:bCs/>
          <w:color w:val="0000CC"/>
          <w:sz w:val="16"/>
          <w:szCs w:val="16"/>
        </w:rPr>
        <w:t>“CONFIDENCIAL POR LEY”</w:t>
      </w:r>
      <w:r w:rsidRPr="00444600">
        <w:rPr>
          <w:sz w:val="16"/>
          <w:szCs w:val="16"/>
        </w:rPr>
        <w:t xml:space="preserve"> de las acciones representativas del capital social de WIngu, mientras que </w:t>
      </w:r>
      <w:r w:rsidRPr="00BF666F">
        <w:rPr>
          <w:b/>
          <w:bCs/>
          <w:color w:val="0000CC"/>
          <w:sz w:val="16"/>
          <w:szCs w:val="16"/>
        </w:rPr>
        <w:t>“CONFIDENCIAL POR LEY”</w:t>
      </w:r>
      <w:r w:rsidRPr="00444600">
        <w:rPr>
          <w:sz w:val="16"/>
          <w:szCs w:val="16"/>
        </w:rPr>
        <w:t xml:space="preserve"> es propietario del </w:t>
      </w:r>
      <w:r w:rsidRPr="00BF666F">
        <w:rPr>
          <w:b/>
          <w:bCs/>
          <w:color w:val="0000CC"/>
          <w:sz w:val="16"/>
          <w:szCs w:val="16"/>
        </w:rPr>
        <w:t>“CONFIDENCIAL POR LEY”</w:t>
      </w:r>
      <w:r w:rsidRPr="00444600">
        <w:rPr>
          <w:sz w:val="16"/>
          <w:szCs w:val="16"/>
        </w:rPr>
        <w:t xml:space="preserve"> restante. Fojas 8, 1089 y 2166 del Expediente.</w:t>
      </w:r>
    </w:p>
  </w:footnote>
  <w:footnote w:id="70">
    <w:p w14:paraId="0D05EA3B"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KIO posee el 99.99% de las acciones representativas del capital social de Metro Net, mientras que Wingu es propietario del 0.01% restante. Fojas 9 y 1300 del Expediente.</w:t>
      </w:r>
    </w:p>
  </w:footnote>
  <w:footnote w:id="71">
    <w:p w14:paraId="36F7930E"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De conformidad con información del Registro Público de Concesiones e información que obra en el Expediente. Fojas 8 y 9 del Expediente.</w:t>
      </w:r>
    </w:p>
  </w:footnote>
  <w:footnote w:id="72">
    <w:p w14:paraId="52D14DB6"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ATC Mexico Holding, LLC posee el </w:t>
      </w:r>
      <w:r w:rsidRPr="00BF666F">
        <w:rPr>
          <w:b/>
          <w:bCs/>
          <w:color w:val="0000CC"/>
          <w:sz w:val="16"/>
          <w:szCs w:val="16"/>
        </w:rPr>
        <w:t>“CONFIDENCIAL POR LEY”</w:t>
      </w:r>
      <w:r w:rsidRPr="00444600">
        <w:rPr>
          <w:sz w:val="16"/>
          <w:szCs w:val="16"/>
        </w:rPr>
        <w:t xml:space="preserve"> de la participación en el capital social de ATC MexHold; a su vez</w:t>
      </w:r>
      <w:r w:rsidRPr="00846F16">
        <w:rPr>
          <w:sz w:val="16"/>
          <w:szCs w:val="16"/>
        </w:rPr>
        <w:t>, ATC Mexico Holding, LLC, a través de las empresas American Tower International, Inc. y American Towers, LLC, es subsidiaria indirecta de American Tower Corporation</w:t>
      </w:r>
      <w:r w:rsidRPr="00444600">
        <w:rPr>
          <w:sz w:val="16"/>
          <w:szCs w:val="16"/>
        </w:rPr>
        <w:t>. Fojas 13, 2484 y 2580 del Expediente.</w:t>
      </w:r>
    </w:p>
  </w:footnote>
  <w:footnote w:id="73">
    <w:p w14:paraId="429F1FDA"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Fojas 13, 2484 y 2580 del Expediente.</w:t>
      </w:r>
    </w:p>
  </w:footnote>
  <w:footnote w:id="74">
    <w:p w14:paraId="6D95B4C6"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De conformidad con información del Registro Público de Concesiones e información que obra en el Expediente. </w:t>
      </w:r>
      <w:r>
        <w:rPr>
          <w:sz w:val="16"/>
          <w:szCs w:val="16"/>
        </w:rPr>
        <w:t>Foja</w:t>
      </w:r>
      <w:r w:rsidRPr="00444600">
        <w:rPr>
          <w:sz w:val="16"/>
          <w:szCs w:val="16"/>
        </w:rPr>
        <w:t xml:space="preserve"> 2670 del Expediente.</w:t>
      </w:r>
    </w:p>
  </w:footnote>
  <w:footnote w:id="75">
    <w:p w14:paraId="2345142E"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Fojas 11, 1172 y 4136 del Expediente.</w:t>
      </w:r>
    </w:p>
  </w:footnote>
  <w:footnote w:id="76">
    <w:p w14:paraId="2C23F31E" w14:textId="77777777" w:rsidR="0006497B" w:rsidRPr="002667A2"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Conforme a la cláusula cuarta de sus estatutos sociales vigentes. Foja 2632 del Expediente.</w:t>
      </w:r>
      <w:r w:rsidRPr="002667A2">
        <w:rPr>
          <w:sz w:val="16"/>
          <w:szCs w:val="16"/>
        </w:rPr>
        <w:t xml:space="preserve"> </w:t>
      </w:r>
    </w:p>
  </w:footnote>
  <w:footnote w:id="77">
    <w:p w14:paraId="7A328788"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De conformidad con información disponible en el Registro Público de Concesiones, y según la información que obra en el Expediente. Foja 2699 del Expediente.</w:t>
      </w:r>
    </w:p>
  </w:footnote>
  <w:footnote w:id="78">
    <w:p w14:paraId="7F86711A"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Fojas 12, 1194 a 1208, 2307 y 2590 a 2604 del Expediente.</w:t>
      </w:r>
    </w:p>
  </w:footnote>
  <w:footnote w:id="79">
    <w:p w14:paraId="63ADE6A8"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De conformidad con información disponible en el Registro Público de Concesiones, y según la información que obra en el Expediente. Foja 2699 del Expediente.</w:t>
      </w:r>
    </w:p>
  </w:footnote>
  <w:footnote w:id="80">
    <w:p w14:paraId="2176B0BF"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La escisión de Metro Net quedó protocolizada el catorce de agosto de dos mil diecisiete mediante instrumento número 80,698 (ochenta mil seiscientos noventa y ocho), otorgado ante la fe del Licenciado Roberto Núñez y Bandera, Titular de la Notaría Pública número uno de la Ciudad de México; misma, que surtió efectos plenos el tres de octubre de dos mil diecisiete. Fojas 12 y 2656 a 2663 del Expediente.</w:t>
      </w:r>
    </w:p>
  </w:footnote>
  <w:footnote w:id="81">
    <w:p w14:paraId="61675093"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Concesión con cobertura en poblaciones en el Estado de México, Jalisco, Nuevo León, Baja California, Querétaro, Guanajuato, Aguascalientes y Ciudad de México, que habilita a Metro Net para prestar los servicios de acceso a internet, enlaces dedicados y transmisión de datos. Fojas 10 y 969 a 978 del Expediente.</w:t>
      </w:r>
    </w:p>
  </w:footnote>
  <w:footnote w:id="82">
    <w:p w14:paraId="538AF24A"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Foja 9 del Expediente. </w:t>
      </w:r>
    </w:p>
  </w:footnote>
  <w:footnote w:id="83">
    <w:p w14:paraId="147DE763"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Fojas 9, 2156 y 2332 del Expediente.</w:t>
      </w:r>
    </w:p>
  </w:footnote>
  <w:footnote w:id="84">
    <w:p w14:paraId="3D228706" w14:textId="77777777" w:rsidR="0006497B" w:rsidRPr="002667A2"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Foja 6945 del Expediente.</w:t>
      </w:r>
    </w:p>
  </w:footnote>
  <w:footnote w:id="85">
    <w:p w14:paraId="70A2C4A6"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Antes de la Operación, Metro Net poseía </w:t>
      </w:r>
      <w:r w:rsidRPr="002F27A1">
        <w:rPr>
          <w:b/>
          <w:bCs/>
          <w:color w:val="0000CC"/>
          <w:sz w:val="16"/>
          <w:szCs w:val="16"/>
        </w:rPr>
        <w:t>“CONFIDENCIAL POR LEY”</w:t>
      </w:r>
      <w:r w:rsidRPr="00444600">
        <w:rPr>
          <w:sz w:val="16"/>
          <w:szCs w:val="16"/>
        </w:rPr>
        <w:t xml:space="preserve"> accesos a internet dedicado y aproximadamente </w:t>
      </w:r>
      <w:r w:rsidRPr="002F27A1">
        <w:rPr>
          <w:b/>
          <w:bCs/>
          <w:color w:val="0000CC"/>
          <w:sz w:val="16"/>
          <w:szCs w:val="16"/>
        </w:rPr>
        <w:t>“CONFIDENCIAL POR LEY”</w:t>
      </w:r>
      <w:r w:rsidRPr="00444600">
        <w:rPr>
          <w:sz w:val="16"/>
          <w:szCs w:val="16"/>
        </w:rPr>
        <w:t xml:space="preserve"> enlaces en términos de 2 Mbps. Foja 6945 del Expediente.</w:t>
      </w:r>
    </w:p>
  </w:footnote>
  <w:footnote w:id="86">
    <w:p w14:paraId="2F5EFB7B" w14:textId="6AA9A552"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Estos contratos fueron celebrados con </w:t>
      </w:r>
      <w:r w:rsidRPr="002F27A1">
        <w:rPr>
          <w:b/>
          <w:bCs/>
          <w:color w:val="0000CC"/>
          <w:sz w:val="16"/>
          <w:szCs w:val="16"/>
        </w:rPr>
        <w:t>“CONFIDENCIAL POR LEY”</w:t>
      </w:r>
      <w:r w:rsidRPr="00444600">
        <w:rPr>
          <w:sz w:val="16"/>
          <w:szCs w:val="16"/>
        </w:rPr>
        <w:t xml:space="preserve">, y tienen una vigencia de </w:t>
      </w:r>
      <w:r w:rsidRPr="002F27A1">
        <w:rPr>
          <w:b/>
          <w:bCs/>
          <w:color w:val="0000CC"/>
          <w:sz w:val="16"/>
          <w:szCs w:val="16"/>
        </w:rPr>
        <w:t>“CONFIDENCIAL POR LEY”</w:t>
      </w:r>
      <w:r w:rsidRPr="00444600">
        <w:rPr>
          <w:sz w:val="16"/>
          <w:szCs w:val="16"/>
        </w:rPr>
        <w:t xml:space="preserve"> contados a partir del </w:t>
      </w:r>
      <w:r w:rsidRPr="002F27A1">
        <w:rPr>
          <w:b/>
          <w:bCs/>
          <w:color w:val="0000CC"/>
          <w:sz w:val="16"/>
          <w:szCs w:val="16"/>
        </w:rPr>
        <w:t>“CONFIDENCIAL POR LEY”</w:t>
      </w:r>
      <w:r>
        <w:rPr>
          <w:b/>
          <w:bCs/>
          <w:color w:val="0000CC"/>
          <w:sz w:val="16"/>
          <w:szCs w:val="16"/>
        </w:rPr>
        <w:t xml:space="preserve"> </w:t>
      </w:r>
      <w:r w:rsidRPr="00801A02">
        <w:rPr>
          <w:sz w:val="16"/>
          <w:szCs w:val="16"/>
        </w:rPr>
        <w:t>respectivamente</w:t>
      </w:r>
      <w:r w:rsidRPr="00444600">
        <w:rPr>
          <w:sz w:val="16"/>
          <w:szCs w:val="16"/>
        </w:rPr>
        <w:t>. Fojas 6, 10, 2332, 2333 y 2334 del Expediente.</w:t>
      </w:r>
    </w:p>
  </w:footnote>
  <w:footnote w:id="87">
    <w:p w14:paraId="69E27C2A"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w:t>
      </w:r>
      <w:r w:rsidRPr="009A028D">
        <w:rPr>
          <w:spacing w:val="-6"/>
          <w:sz w:val="16"/>
          <w:szCs w:val="16"/>
        </w:rPr>
        <w:t xml:space="preserve">KIO con una participación en el capital social de Telco del </w:t>
      </w:r>
      <w:r w:rsidRPr="002F27A1">
        <w:rPr>
          <w:b/>
          <w:bCs/>
          <w:color w:val="0000CC"/>
          <w:sz w:val="16"/>
          <w:szCs w:val="16"/>
        </w:rPr>
        <w:t>“CONFIDENCIAL POR LEY”</w:t>
      </w:r>
      <w:r w:rsidRPr="009A028D">
        <w:rPr>
          <w:spacing w:val="-6"/>
          <w:sz w:val="16"/>
          <w:szCs w:val="16"/>
        </w:rPr>
        <w:t xml:space="preserve"> y Wingu del </w:t>
      </w:r>
      <w:r w:rsidRPr="002F27A1">
        <w:rPr>
          <w:b/>
          <w:bCs/>
          <w:color w:val="0000CC"/>
          <w:sz w:val="16"/>
          <w:szCs w:val="16"/>
        </w:rPr>
        <w:t>“CONFIDENCIAL POR LEY”</w:t>
      </w:r>
      <w:r w:rsidRPr="009A028D">
        <w:rPr>
          <w:spacing w:val="-6"/>
          <w:sz w:val="16"/>
          <w:szCs w:val="16"/>
        </w:rPr>
        <w:t>. Fojas 2590 a 2604 del Expediente.</w:t>
      </w:r>
    </w:p>
  </w:footnote>
  <w:footnote w:id="88">
    <w:p w14:paraId="30C25956"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w:t>
      </w:r>
      <w:r w:rsidRPr="009A028D">
        <w:rPr>
          <w:spacing w:val="-6"/>
          <w:sz w:val="16"/>
          <w:szCs w:val="16"/>
        </w:rPr>
        <w:t>De conformidad con información disponible en el Registro Público de Concesiones, dicha autorización cuenta con cobertura nacional, tiene una vigencia al dieciocho de octubre de dos mil veintisiete y habilita a Telco para comercializar los servicios de acceso a internet, enlaces dedicados y transmisión de datos. Fojas 2669 y 2670 del Expediente.</w:t>
      </w:r>
    </w:p>
  </w:footnote>
  <w:footnote w:id="89">
    <w:p w14:paraId="2AE9F84F" w14:textId="77777777" w:rsidR="0006497B" w:rsidRPr="005C401F"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w:t>
      </w:r>
      <w:r w:rsidRPr="005C401F">
        <w:rPr>
          <w:sz w:val="16"/>
          <w:szCs w:val="16"/>
        </w:rPr>
        <w:t>Fojas 6 y 2185 a 2290 del Expediente.</w:t>
      </w:r>
    </w:p>
  </w:footnote>
  <w:footnote w:id="90">
    <w:p w14:paraId="6CE7ADC9" w14:textId="77777777" w:rsidR="0006497B" w:rsidRPr="005C401F" w:rsidRDefault="0006497B" w:rsidP="002667A2">
      <w:pPr>
        <w:pStyle w:val="Textonotapie"/>
        <w:jc w:val="both"/>
        <w:rPr>
          <w:sz w:val="16"/>
          <w:szCs w:val="16"/>
        </w:rPr>
      </w:pPr>
      <w:r w:rsidRPr="005C401F">
        <w:rPr>
          <w:rStyle w:val="Refdenotaalpie"/>
          <w:sz w:val="16"/>
          <w:szCs w:val="16"/>
        </w:rPr>
        <w:footnoteRef/>
      </w:r>
      <w:r w:rsidRPr="005C401F">
        <w:rPr>
          <w:sz w:val="16"/>
          <w:szCs w:val="16"/>
        </w:rPr>
        <w:t xml:space="preserve"> Foja 2268 del Expediente.</w:t>
      </w:r>
    </w:p>
  </w:footnote>
  <w:footnote w:id="91">
    <w:p w14:paraId="0F02F5FA" w14:textId="77777777" w:rsidR="0006497B" w:rsidRPr="00497FA3" w:rsidRDefault="0006497B">
      <w:pPr>
        <w:pStyle w:val="Textonotapie"/>
        <w:rPr>
          <w:sz w:val="16"/>
          <w:szCs w:val="16"/>
        </w:rPr>
      </w:pPr>
      <w:r w:rsidRPr="00497FA3">
        <w:rPr>
          <w:rStyle w:val="Refdenotaalpie"/>
          <w:sz w:val="16"/>
          <w:szCs w:val="16"/>
        </w:rPr>
        <w:footnoteRef/>
      </w:r>
      <w:r w:rsidRPr="00497FA3">
        <w:rPr>
          <w:sz w:val="16"/>
          <w:szCs w:val="16"/>
        </w:rPr>
        <w:t xml:space="preserve"> Fojas 1793 a 1796 del Expediente.</w:t>
      </w:r>
    </w:p>
  </w:footnote>
  <w:footnote w:id="92">
    <w:p w14:paraId="7FA33854" w14:textId="77777777" w:rsidR="0006497B" w:rsidRPr="005C401F" w:rsidRDefault="0006497B" w:rsidP="002667A2">
      <w:pPr>
        <w:pStyle w:val="Textonotapie"/>
        <w:jc w:val="both"/>
        <w:rPr>
          <w:sz w:val="16"/>
          <w:szCs w:val="16"/>
        </w:rPr>
      </w:pPr>
      <w:r w:rsidRPr="005C401F">
        <w:rPr>
          <w:rStyle w:val="Refdenotaalpie"/>
          <w:sz w:val="16"/>
          <w:szCs w:val="16"/>
        </w:rPr>
        <w:footnoteRef/>
      </w:r>
      <w:r w:rsidRPr="005C401F">
        <w:rPr>
          <w:sz w:val="16"/>
          <w:szCs w:val="16"/>
        </w:rPr>
        <w:t xml:space="preserve"> De conformidad con información disponible en el Registro Público de Concesiones, así como a foja 11 del Expediente.</w:t>
      </w:r>
    </w:p>
  </w:footnote>
  <w:footnote w:id="93">
    <w:p w14:paraId="33B4FDC8" w14:textId="77777777" w:rsidR="0006497B" w:rsidRPr="005C401F" w:rsidRDefault="0006497B" w:rsidP="00DB20EC">
      <w:pPr>
        <w:pStyle w:val="Textonotapie"/>
        <w:jc w:val="both"/>
        <w:rPr>
          <w:sz w:val="16"/>
          <w:szCs w:val="16"/>
        </w:rPr>
      </w:pPr>
      <w:r w:rsidRPr="005C401F">
        <w:rPr>
          <w:rStyle w:val="Refdenotaalpie"/>
          <w:sz w:val="16"/>
          <w:szCs w:val="16"/>
        </w:rPr>
        <w:footnoteRef/>
      </w:r>
      <w:r w:rsidRPr="005C401F">
        <w:rPr>
          <w:sz w:val="16"/>
          <w:szCs w:val="16"/>
        </w:rPr>
        <w:t xml:space="preserve"> Fojas 6 y 222 a 2291 del Expediente.</w:t>
      </w:r>
    </w:p>
  </w:footnote>
  <w:footnote w:id="94">
    <w:p w14:paraId="4178A085" w14:textId="77777777" w:rsidR="0006497B" w:rsidRPr="005C401F" w:rsidRDefault="0006497B">
      <w:pPr>
        <w:pStyle w:val="Textonotapie"/>
        <w:rPr>
          <w:sz w:val="16"/>
          <w:szCs w:val="16"/>
        </w:rPr>
      </w:pPr>
      <w:r w:rsidRPr="005C401F">
        <w:rPr>
          <w:rStyle w:val="Refdenotaalpie"/>
          <w:sz w:val="16"/>
          <w:szCs w:val="16"/>
        </w:rPr>
        <w:footnoteRef/>
      </w:r>
      <w:r w:rsidRPr="005C401F">
        <w:rPr>
          <w:sz w:val="16"/>
          <w:szCs w:val="16"/>
        </w:rPr>
        <w:t xml:space="preserve"> Fojas 2299 a 2233 del Expediente.</w:t>
      </w:r>
    </w:p>
  </w:footnote>
  <w:footnote w:id="95">
    <w:p w14:paraId="4BB2F75E" w14:textId="77777777" w:rsidR="0006497B" w:rsidRPr="005C401F" w:rsidRDefault="0006497B" w:rsidP="002667A2">
      <w:pPr>
        <w:pStyle w:val="Textonotapie"/>
        <w:jc w:val="both"/>
        <w:rPr>
          <w:sz w:val="16"/>
          <w:szCs w:val="16"/>
        </w:rPr>
      </w:pPr>
      <w:r w:rsidRPr="005C401F">
        <w:rPr>
          <w:rStyle w:val="Refdenotaalpie"/>
          <w:sz w:val="16"/>
          <w:szCs w:val="16"/>
        </w:rPr>
        <w:footnoteRef/>
      </w:r>
      <w:r w:rsidRPr="005C401F">
        <w:rPr>
          <w:sz w:val="16"/>
          <w:szCs w:val="16"/>
        </w:rPr>
        <w:t xml:space="preserve"> Fojas 20, 2148, 2150, 2160 y 2292 a 2314 del Expediente.</w:t>
      </w:r>
    </w:p>
  </w:footnote>
  <w:footnote w:id="96">
    <w:p w14:paraId="2BC89DF4" w14:textId="77777777" w:rsidR="0006497B" w:rsidRPr="005C401F" w:rsidRDefault="0006497B" w:rsidP="002667A2">
      <w:pPr>
        <w:pStyle w:val="Textonotapie"/>
        <w:jc w:val="both"/>
        <w:rPr>
          <w:sz w:val="16"/>
          <w:szCs w:val="16"/>
        </w:rPr>
      </w:pPr>
      <w:r w:rsidRPr="005C401F">
        <w:rPr>
          <w:rStyle w:val="Refdenotaalpie"/>
          <w:sz w:val="16"/>
          <w:szCs w:val="16"/>
        </w:rPr>
        <w:footnoteRef/>
      </w:r>
      <w:r w:rsidRPr="005C401F">
        <w:rPr>
          <w:sz w:val="16"/>
          <w:szCs w:val="16"/>
        </w:rPr>
        <w:t xml:space="preserve"> Foja 11 del Expediente.</w:t>
      </w:r>
    </w:p>
  </w:footnote>
  <w:footnote w:id="97">
    <w:p w14:paraId="4A605416" w14:textId="77777777" w:rsidR="0006497B" w:rsidRPr="002667A2"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Fojas 6, 2148 y 2277 a 2290 del Expediente.</w:t>
      </w:r>
    </w:p>
  </w:footnote>
  <w:footnote w:id="98">
    <w:p w14:paraId="6C869D8A" w14:textId="77777777" w:rsidR="0006497B" w:rsidRPr="00444600" w:rsidRDefault="0006497B" w:rsidP="006804D1">
      <w:pPr>
        <w:pStyle w:val="Textonotapie"/>
        <w:jc w:val="both"/>
        <w:rPr>
          <w:sz w:val="16"/>
          <w:szCs w:val="16"/>
        </w:rPr>
      </w:pPr>
      <w:r w:rsidRPr="00444600">
        <w:rPr>
          <w:rStyle w:val="Refdenotaalpie"/>
          <w:sz w:val="16"/>
          <w:szCs w:val="16"/>
        </w:rPr>
        <w:footnoteRef/>
      </w:r>
      <w:r w:rsidRPr="00444600">
        <w:rPr>
          <w:sz w:val="16"/>
          <w:szCs w:val="16"/>
        </w:rPr>
        <w:t xml:space="preserve"> American Tower Corporation presta estos servicios en México</w:t>
      </w:r>
      <w:r>
        <w:rPr>
          <w:sz w:val="16"/>
          <w:szCs w:val="16"/>
        </w:rPr>
        <w:t>,</w:t>
      </w:r>
      <w:r w:rsidRPr="00444600">
        <w:rPr>
          <w:sz w:val="16"/>
          <w:szCs w:val="16"/>
        </w:rPr>
        <w:t xml:space="preserve"> a través de American Tower Corporation de México, S. de R.L. de C.V. y sus subsidiarias, mismas que se identifican y describen en el ANEXO II. GIE 1 ATC del presente Dictamen.</w:t>
      </w:r>
    </w:p>
  </w:footnote>
  <w:footnote w:id="99">
    <w:p w14:paraId="0356B744" w14:textId="77777777" w:rsidR="0006497B" w:rsidRPr="00444600" w:rsidRDefault="0006497B" w:rsidP="006804D1">
      <w:pPr>
        <w:pStyle w:val="Textonotapie"/>
        <w:jc w:val="both"/>
        <w:rPr>
          <w:sz w:val="16"/>
          <w:szCs w:val="16"/>
        </w:rPr>
      </w:pPr>
      <w:r w:rsidRPr="00444600">
        <w:rPr>
          <w:rStyle w:val="Refdenotaalpie"/>
          <w:sz w:val="16"/>
          <w:szCs w:val="16"/>
        </w:rPr>
        <w:footnoteRef/>
      </w:r>
      <w:r w:rsidRPr="00444600">
        <w:rPr>
          <w:sz w:val="16"/>
          <w:szCs w:val="16"/>
        </w:rPr>
        <w:t xml:space="preserve"> Al primer trimestre de dos mil dieciocho</w:t>
      </w:r>
      <w:r>
        <w:rPr>
          <w:sz w:val="16"/>
          <w:szCs w:val="16"/>
        </w:rPr>
        <w:t>,</w:t>
      </w:r>
      <w:r w:rsidRPr="00444600">
        <w:rPr>
          <w:sz w:val="16"/>
          <w:szCs w:val="16"/>
        </w:rPr>
        <w:t xml:space="preserve"> American Tower Corporation poseía en México </w:t>
      </w:r>
      <w:r w:rsidRPr="008720D8">
        <w:rPr>
          <w:b/>
          <w:bCs/>
          <w:color w:val="0000CC"/>
          <w:sz w:val="16"/>
          <w:szCs w:val="16"/>
        </w:rPr>
        <w:t>“CONFIDENCIAL POR LEY”</w:t>
      </w:r>
      <w:r w:rsidRPr="00444600">
        <w:rPr>
          <w:sz w:val="16"/>
          <w:szCs w:val="16"/>
        </w:rPr>
        <w:t xml:space="preserve"> torres, mástiles y/o sitios. Foja 6560 del Expediente.</w:t>
      </w:r>
    </w:p>
  </w:footnote>
  <w:footnote w:id="100">
    <w:p w14:paraId="30C15032" w14:textId="5EC51F80" w:rsidR="0006497B" w:rsidRDefault="0006497B" w:rsidP="006804D1">
      <w:pPr>
        <w:pStyle w:val="Textonotapie"/>
        <w:jc w:val="both"/>
      </w:pPr>
      <w:r w:rsidRPr="00444600">
        <w:rPr>
          <w:rStyle w:val="Refdenotaalpie"/>
          <w:sz w:val="16"/>
          <w:szCs w:val="16"/>
        </w:rPr>
        <w:footnoteRef/>
      </w:r>
      <w:r w:rsidRPr="00444600">
        <w:rPr>
          <w:sz w:val="16"/>
          <w:szCs w:val="16"/>
        </w:rPr>
        <w:t xml:space="preserve"> En dos mil diecisiete, los diez principales clientes de American Tower Corporation, que representaban el </w:t>
      </w:r>
      <w:r w:rsidRPr="008720D8">
        <w:rPr>
          <w:b/>
          <w:bCs/>
          <w:color w:val="0000CC"/>
          <w:sz w:val="16"/>
          <w:szCs w:val="16"/>
        </w:rPr>
        <w:t>“CONFIDENCIAL POR LEY”</w:t>
      </w:r>
      <w:r w:rsidRPr="00444600">
        <w:rPr>
          <w:sz w:val="16"/>
          <w:szCs w:val="16"/>
        </w:rPr>
        <w:t xml:space="preserve"> del total de sus ingresos, eran </w:t>
      </w:r>
      <w:r w:rsidRPr="008720D8">
        <w:rPr>
          <w:b/>
          <w:bCs/>
          <w:color w:val="0000CC"/>
          <w:sz w:val="16"/>
          <w:szCs w:val="16"/>
        </w:rPr>
        <w:t>“CONFIDENCIAL POR LEY”</w:t>
      </w:r>
      <w:r w:rsidRPr="00801A02">
        <w:rPr>
          <w:sz w:val="16"/>
          <w:szCs w:val="16"/>
        </w:rPr>
        <w:t>.</w:t>
      </w:r>
      <w:r w:rsidRPr="00444600">
        <w:rPr>
          <w:sz w:val="16"/>
          <w:szCs w:val="16"/>
        </w:rPr>
        <w:t xml:space="preserve"> En el primer trimestre de dos mil dieciocho, el </w:t>
      </w:r>
      <w:r w:rsidRPr="008720D8">
        <w:rPr>
          <w:b/>
          <w:bCs/>
          <w:color w:val="0000CC"/>
          <w:sz w:val="16"/>
          <w:szCs w:val="16"/>
        </w:rPr>
        <w:t>“CONFIDENCIAL POR LEY”</w:t>
      </w:r>
      <w:r w:rsidRPr="00444600">
        <w:rPr>
          <w:sz w:val="16"/>
          <w:szCs w:val="16"/>
        </w:rPr>
        <w:t xml:space="preserve"> de los ingresos de CFCA Telecomm provenían de los servicios de arrendamiento de enlaces dedicados provistos </w:t>
      </w:r>
      <w:r w:rsidRPr="008720D8">
        <w:rPr>
          <w:b/>
          <w:bCs/>
          <w:color w:val="0000CC"/>
          <w:sz w:val="16"/>
          <w:szCs w:val="16"/>
        </w:rPr>
        <w:t>“CONFIDENCIAL POR LEY”</w:t>
      </w:r>
      <w:r w:rsidRPr="00444600">
        <w:rPr>
          <w:sz w:val="16"/>
          <w:szCs w:val="16"/>
        </w:rPr>
        <w:t>.</w:t>
      </w:r>
    </w:p>
  </w:footnote>
  <w:footnote w:id="101">
    <w:p w14:paraId="032E5341" w14:textId="77777777" w:rsidR="0006497B" w:rsidRPr="00444600" w:rsidRDefault="0006497B" w:rsidP="00DE5EB3">
      <w:pPr>
        <w:pStyle w:val="Textonotapie"/>
        <w:jc w:val="both"/>
        <w:rPr>
          <w:sz w:val="16"/>
          <w:szCs w:val="16"/>
        </w:rPr>
      </w:pPr>
      <w:r w:rsidRPr="00444600">
        <w:rPr>
          <w:rStyle w:val="Refdenotaalpie"/>
          <w:sz w:val="16"/>
          <w:szCs w:val="16"/>
        </w:rPr>
        <w:footnoteRef/>
      </w:r>
      <w:r w:rsidRPr="00444600">
        <w:rPr>
          <w:sz w:val="16"/>
          <w:szCs w:val="16"/>
        </w:rPr>
        <w:t xml:space="preserve"> Fojas 2333 a 2335 del Expediente.</w:t>
      </w:r>
    </w:p>
  </w:footnote>
  <w:footnote w:id="102">
    <w:p w14:paraId="233C83DC" w14:textId="77777777" w:rsidR="0006497B" w:rsidRPr="00444600" w:rsidRDefault="0006497B" w:rsidP="00DE5EB3">
      <w:pPr>
        <w:pStyle w:val="Textonotapie"/>
        <w:jc w:val="both"/>
        <w:rPr>
          <w:sz w:val="16"/>
          <w:szCs w:val="16"/>
        </w:rPr>
      </w:pPr>
      <w:r w:rsidRPr="00444600">
        <w:rPr>
          <w:rStyle w:val="Refdenotaalpie"/>
          <w:sz w:val="16"/>
          <w:szCs w:val="16"/>
        </w:rPr>
        <w:footnoteRef/>
      </w:r>
      <w:r w:rsidRPr="00444600">
        <w:rPr>
          <w:sz w:val="16"/>
          <w:szCs w:val="16"/>
        </w:rPr>
        <w:t xml:space="preserve"> Foja 6023 del Expediente.</w:t>
      </w:r>
    </w:p>
  </w:footnote>
  <w:footnote w:id="103">
    <w:p w14:paraId="639B5EF2" w14:textId="77777777" w:rsidR="0006497B" w:rsidRPr="00444600" w:rsidRDefault="0006497B">
      <w:pPr>
        <w:pStyle w:val="Textonotapie"/>
        <w:rPr>
          <w:sz w:val="16"/>
          <w:szCs w:val="16"/>
        </w:rPr>
      </w:pPr>
      <w:r w:rsidRPr="00444600">
        <w:rPr>
          <w:rStyle w:val="Refdenotaalpie"/>
          <w:sz w:val="16"/>
          <w:szCs w:val="16"/>
        </w:rPr>
        <w:footnoteRef/>
      </w:r>
      <w:r w:rsidRPr="00444600">
        <w:rPr>
          <w:sz w:val="16"/>
          <w:szCs w:val="16"/>
        </w:rPr>
        <w:t xml:space="preserve"> Fojas 4135 y 4136 del Expediente.</w:t>
      </w:r>
    </w:p>
  </w:footnote>
  <w:footnote w:id="104">
    <w:p w14:paraId="5A965A74" w14:textId="77777777" w:rsidR="0006497B" w:rsidRPr="00444600" w:rsidRDefault="0006497B" w:rsidP="002667A2">
      <w:pPr>
        <w:pStyle w:val="Textonotapie"/>
        <w:jc w:val="both"/>
        <w:rPr>
          <w:sz w:val="16"/>
          <w:szCs w:val="16"/>
        </w:rPr>
      </w:pPr>
      <w:r w:rsidRPr="00444600">
        <w:rPr>
          <w:rStyle w:val="Refdenotaalpie"/>
          <w:sz w:val="16"/>
          <w:szCs w:val="16"/>
        </w:rPr>
        <w:footnoteRef/>
      </w:r>
      <w:r w:rsidRPr="00444600">
        <w:rPr>
          <w:sz w:val="16"/>
          <w:szCs w:val="16"/>
        </w:rPr>
        <w:t xml:space="preserve"> Fojas 4558, 5157, 5158 y 6073 del Expediente.</w:t>
      </w:r>
    </w:p>
  </w:footnote>
  <w:footnote w:id="105">
    <w:p w14:paraId="55190D99" w14:textId="77777777" w:rsidR="0006497B" w:rsidRPr="002667A2" w:rsidRDefault="0006497B" w:rsidP="00904F3E">
      <w:pPr>
        <w:pStyle w:val="Textonotapie"/>
        <w:jc w:val="both"/>
        <w:rPr>
          <w:sz w:val="16"/>
          <w:szCs w:val="16"/>
        </w:rPr>
      </w:pPr>
      <w:r w:rsidRPr="00444600">
        <w:rPr>
          <w:rStyle w:val="Refdenotaalpie"/>
          <w:sz w:val="16"/>
          <w:szCs w:val="16"/>
        </w:rPr>
        <w:footnoteRef/>
      </w:r>
      <w:r w:rsidRPr="00444600">
        <w:rPr>
          <w:sz w:val="16"/>
          <w:szCs w:val="16"/>
        </w:rPr>
        <w:t xml:space="preserve"> </w:t>
      </w:r>
      <w:r w:rsidRPr="008720D8">
        <w:rPr>
          <w:b/>
          <w:bCs/>
          <w:color w:val="0000CC"/>
          <w:sz w:val="16"/>
          <w:szCs w:val="16"/>
        </w:rPr>
        <w:t>“CONFIDENCIAL POR LEY”</w:t>
      </w:r>
      <w:r w:rsidRPr="00C82B1B">
        <w:rPr>
          <w:bCs/>
          <w:sz w:val="16"/>
          <w:szCs w:val="16"/>
        </w:rPr>
        <w:t>.</w:t>
      </w:r>
      <w:r w:rsidRPr="00444600">
        <w:rPr>
          <w:sz w:val="16"/>
          <w:szCs w:val="16"/>
        </w:rPr>
        <w:t xml:space="preserve"> Fojas 4664 a 4666 del Expediente.</w:t>
      </w:r>
    </w:p>
  </w:footnote>
  <w:footnote w:id="106">
    <w:p w14:paraId="3D2B9148" w14:textId="77777777" w:rsidR="0006497B" w:rsidRPr="00661E1C" w:rsidRDefault="0006497B" w:rsidP="00661E1C">
      <w:pPr>
        <w:pStyle w:val="Textonotapie"/>
        <w:jc w:val="both"/>
        <w:rPr>
          <w:sz w:val="16"/>
          <w:szCs w:val="16"/>
        </w:rPr>
      </w:pPr>
      <w:r w:rsidRPr="00661E1C">
        <w:rPr>
          <w:rStyle w:val="Refdenotaalpie"/>
          <w:sz w:val="16"/>
          <w:szCs w:val="16"/>
        </w:rPr>
        <w:footnoteRef/>
      </w:r>
      <w:r w:rsidRPr="00661E1C">
        <w:rPr>
          <w:sz w:val="16"/>
          <w:szCs w:val="16"/>
        </w:rPr>
        <w:t xml:space="preserve"> Fojas 4664 a 4666 del Expediente.</w:t>
      </w:r>
    </w:p>
  </w:footnote>
  <w:footnote w:id="107">
    <w:p w14:paraId="4B7143CF" w14:textId="77777777" w:rsidR="0006497B" w:rsidRPr="00661E1C" w:rsidRDefault="0006497B" w:rsidP="00661E1C">
      <w:pPr>
        <w:pStyle w:val="Textonotapie"/>
        <w:jc w:val="both"/>
        <w:rPr>
          <w:sz w:val="16"/>
          <w:szCs w:val="16"/>
        </w:rPr>
      </w:pPr>
      <w:r w:rsidRPr="00661E1C">
        <w:rPr>
          <w:rStyle w:val="Refdenotaalpie"/>
          <w:sz w:val="16"/>
          <w:szCs w:val="16"/>
        </w:rPr>
        <w:footnoteRef/>
      </w:r>
      <w:r w:rsidRPr="00661E1C">
        <w:rPr>
          <w:sz w:val="16"/>
          <w:szCs w:val="16"/>
        </w:rPr>
        <w:t xml:space="preserve"> Se requiere una RPT para proveerlo y se presta al público en general con fines comerciales. Artículo 3, fracciones LVIII y LXV, de la LFTyR.</w:t>
      </w:r>
    </w:p>
  </w:footnote>
  <w:footnote w:id="108">
    <w:p w14:paraId="53432F12" w14:textId="77777777" w:rsidR="0006497B" w:rsidRPr="00661E1C" w:rsidRDefault="0006497B" w:rsidP="00661E1C">
      <w:pPr>
        <w:pStyle w:val="Textonotapie"/>
        <w:jc w:val="both"/>
        <w:rPr>
          <w:sz w:val="16"/>
          <w:szCs w:val="16"/>
        </w:rPr>
      </w:pPr>
      <w:r w:rsidRPr="00661E1C">
        <w:rPr>
          <w:rStyle w:val="Refdenotaalpie"/>
          <w:sz w:val="16"/>
          <w:szCs w:val="16"/>
        </w:rPr>
        <w:footnoteRef/>
      </w:r>
      <w:r w:rsidRPr="00661E1C">
        <w:rPr>
          <w:sz w:val="16"/>
          <w:szCs w:val="16"/>
        </w:rPr>
        <w:t xml:space="preserve"> Artículo</w:t>
      </w:r>
      <w:r>
        <w:rPr>
          <w:sz w:val="16"/>
          <w:szCs w:val="16"/>
        </w:rPr>
        <w:t>s</w:t>
      </w:r>
      <w:r w:rsidRPr="00661E1C">
        <w:rPr>
          <w:sz w:val="16"/>
          <w:szCs w:val="16"/>
        </w:rPr>
        <w:t xml:space="preserve"> 66 </w:t>
      </w:r>
      <w:r>
        <w:rPr>
          <w:sz w:val="16"/>
          <w:szCs w:val="16"/>
        </w:rPr>
        <w:t xml:space="preserve">y 145 </w:t>
      </w:r>
      <w:r w:rsidRPr="00661E1C">
        <w:rPr>
          <w:sz w:val="16"/>
          <w:szCs w:val="16"/>
        </w:rPr>
        <w:t>de la LFTyR.</w:t>
      </w:r>
    </w:p>
  </w:footnote>
  <w:footnote w:id="109">
    <w:p w14:paraId="53719B55" w14:textId="77777777" w:rsidR="0006497B" w:rsidRPr="00661E1C" w:rsidRDefault="0006497B" w:rsidP="00661E1C">
      <w:pPr>
        <w:pStyle w:val="Textonotapie"/>
        <w:jc w:val="both"/>
        <w:rPr>
          <w:sz w:val="16"/>
          <w:szCs w:val="16"/>
        </w:rPr>
      </w:pPr>
      <w:r w:rsidRPr="00661E1C">
        <w:rPr>
          <w:rStyle w:val="Refdenotaalpie"/>
          <w:sz w:val="16"/>
          <w:szCs w:val="16"/>
        </w:rPr>
        <w:footnoteRef/>
      </w:r>
      <w:r w:rsidRPr="00661E1C">
        <w:rPr>
          <w:sz w:val="16"/>
          <w:szCs w:val="16"/>
        </w:rPr>
        <w:t xml:space="preserve"> “Transparente”, significa que la transmisión de señales se puede dar a través de cualquier medio de transmisión y tecnología o protocolo. “Específica”, se refiere a que la transmisión de señales y datos ocurre entre puntos de conexión asignados. “Permanente”, denota que la conexión o transmisión de señales está disponible en todo momento (365x7x24). “Preestablecida”, significa que la capacidad de transmisión de señales se asigna o está determinada independientemente de su uso.</w:t>
      </w:r>
    </w:p>
  </w:footnote>
  <w:footnote w:id="110">
    <w:p w14:paraId="4860E4E5" w14:textId="77777777" w:rsidR="0006497B" w:rsidRPr="00661E1C" w:rsidRDefault="0006497B" w:rsidP="00661E1C">
      <w:pPr>
        <w:pStyle w:val="Textonotapie"/>
        <w:jc w:val="both"/>
        <w:rPr>
          <w:sz w:val="16"/>
          <w:szCs w:val="16"/>
        </w:rPr>
      </w:pPr>
      <w:r w:rsidRPr="00661E1C">
        <w:rPr>
          <w:rStyle w:val="Refdenotaalpie"/>
          <w:sz w:val="16"/>
          <w:szCs w:val="16"/>
        </w:rPr>
        <w:footnoteRef/>
      </w:r>
      <w:r w:rsidRPr="00661E1C">
        <w:rPr>
          <w:sz w:val="16"/>
          <w:szCs w:val="16"/>
        </w:rPr>
        <w:t xml:space="preserve"> Simétrica y bidireccional significa que el enlace dedicado cuenta con la capacidad de transportar señales en ambos sentidos con el mismo nivel de desempeño.</w:t>
      </w:r>
    </w:p>
  </w:footnote>
  <w:footnote w:id="111">
    <w:p w14:paraId="4839F6F0" w14:textId="77777777" w:rsidR="0006497B" w:rsidRDefault="0006497B" w:rsidP="00C40B54">
      <w:pPr>
        <w:spacing w:after="0"/>
        <w:jc w:val="both"/>
        <w:rPr>
          <w:sz w:val="16"/>
          <w:szCs w:val="16"/>
        </w:rPr>
      </w:pPr>
      <w:r w:rsidRPr="00661E1C">
        <w:rPr>
          <w:rStyle w:val="Refdenotaalpie"/>
          <w:sz w:val="16"/>
          <w:szCs w:val="16"/>
        </w:rPr>
        <w:footnoteRef/>
      </w:r>
      <w:r w:rsidRPr="00661E1C">
        <w:rPr>
          <w:sz w:val="16"/>
          <w:szCs w:val="16"/>
        </w:rPr>
        <w:t xml:space="preserve"> </w:t>
      </w:r>
      <w:r>
        <w:rPr>
          <w:sz w:val="16"/>
          <w:szCs w:val="16"/>
        </w:rPr>
        <w:t xml:space="preserve">Esta </w:t>
      </w:r>
      <w:r w:rsidRPr="00661E1C">
        <w:rPr>
          <w:sz w:val="16"/>
          <w:szCs w:val="16"/>
        </w:rPr>
        <w:t xml:space="preserve">descripción </w:t>
      </w:r>
      <w:r>
        <w:rPr>
          <w:sz w:val="16"/>
          <w:szCs w:val="16"/>
        </w:rPr>
        <w:t xml:space="preserve">considera las definiciones </w:t>
      </w:r>
      <w:r w:rsidRPr="00661E1C">
        <w:rPr>
          <w:sz w:val="16"/>
          <w:szCs w:val="16"/>
        </w:rPr>
        <w:t>de los servicios de telecomunicaciones que ofrecen operadores</w:t>
      </w:r>
      <w:r>
        <w:rPr>
          <w:sz w:val="16"/>
          <w:szCs w:val="16"/>
        </w:rPr>
        <w:t xml:space="preserve"> como </w:t>
      </w:r>
      <w:r w:rsidRPr="00331AB1">
        <w:rPr>
          <w:sz w:val="16"/>
          <w:szCs w:val="16"/>
        </w:rPr>
        <w:t>AMX/</w:t>
      </w:r>
      <w:r>
        <w:rPr>
          <w:sz w:val="16"/>
          <w:szCs w:val="16"/>
        </w:rPr>
        <w:t>Telesites,</w:t>
      </w:r>
      <w:r w:rsidRPr="00661E1C">
        <w:rPr>
          <w:sz w:val="16"/>
          <w:szCs w:val="16"/>
        </w:rPr>
        <w:t xml:space="preserve"> GTV</w:t>
      </w:r>
      <w:r>
        <w:rPr>
          <w:sz w:val="16"/>
          <w:szCs w:val="16"/>
        </w:rPr>
        <w:t>, Megacable, y CFCA Telecomm en sus contratos;</w:t>
      </w:r>
      <w:r w:rsidRPr="00661E1C">
        <w:rPr>
          <w:sz w:val="16"/>
          <w:szCs w:val="16"/>
        </w:rPr>
        <w:t xml:space="preserve"> </w:t>
      </w:r>
      <w:r>
        <w:rPr>
          <w:sz w:val="16"/>
          <w:szCs w:val="16"/>
        </w:rPr>
        <w:t xml:space="preserve">la señalada en </w:t>
      </w:r>
      <w:r w:rsidRPr="00661E1C">
        <w:rPr>
          <w:sz w:val="16"/>
          <w:szCs w:val="16"/>
        </w:rPr>
        <w:t>el Reglamento de Telecomunicaciones publicado en el DOF el veintinueve de octubre de mil novecientos noventa</w:t>
      </w:r>
      <w:r>
        <w:rPr>
          <w:sz w:val="16"/>
          <w:szCs w:val="16"/>
        </w:rPr>
        <w:t xml:space="preserve"> y en la Resolución DC-02-2007, p</w:t>
      </w:r>
      <w:r w:rsidRPr="006C2237">
        <w:rPr>
          <w:sz w:val="16"/>
          <w:szCs w:val="16"/>
        </w:rPr>
        <w:t>. 303</w:t>
      </w:r>
      <w:r>
        <w:rPr>
          <w:sz w:val="16"/>
          <w:szCs w:val="16"/>
        </w:rPr>
        <w:t>, así como la contemplada en la Revisión bienal. Esta última, en su Anexo 2, medida Tercera, define los conceptos de enlace dedicado, enlace digital y enlace Ethernet, como sigue: Enlace Dedicado es un “</w:t>
      </w:r>
      <w:r>
        <w:rPr>
          <w:i/>
          <w:iCs/>
          <w:sz w:val="16"/>
          <w:szCs w:val="16"/>
        </w:rPr>
        <w:t>medio que permite el transporte de información entre dos puntos con un ancho de banda comprometido, independientemente de la tecnología que sea empleada en el transporte de la misma, donde el Concesionario Solicitante o el Autorizado Solicitante tiene pleno control sobre el tipo de señales que se transporta</w:t>
      </w:r>
      <w:r>
        <w:rPr>
          <w:sz w:val="16"/>
          <w:szCs w:val="16"/>
        </w:rPr>
        <w:t xml:space="preserve">. Enlace Digital es un enlace </w:t>
      </w:r>
      <w:r>
        <w:rPr>
          <w:i/>
          <w:iCs/>
          <w:sz w:val="16"/>
          <w:szCs w:val="16"/>
        </w:rPr>
        <w:t>“… de transmisión entre redes y puertos de acceso asociados, que deberán establecerse de manera digital utilizando el formato TDM (Multiplexación por División de Tiempo)</w:t>
      </w:r>
      <w:r>
        <w:rPr>
          <w:sz w:val="16"/>
          <w:szCs w:val="16"/>
        </w:rPr>
        <w:t>”. Enlace Ethernet es un “</w:t>
      </w:r>
      <w:r>
        <w:rPr>
          <w:i/>
          <w:iCs/>
          <w:sz w:val="16"/>
          <w:szCs w:val="16"/>
        </w:rPr>
        <w:t>enlace de transmisión que utiliza el estándar de transmisión Ethernet</w:t>
      </w:r>
      <w:r>
        <w:rPr>
          <w:sz w:val="16"/>
          <w:szCs w:val="16"/>
        </w:rPr>
        <w:t>”.</w:t>
      </w:r>
    </w:p>
    <w:p w14:paraId="72C3358B" w14:textId="77777777" w:rsidR="0006497B" w:rsidRPr="00E864D9" w:rsidRDefault="0006497B" w:rsidP="00FF4986">
      <w:pPr>
        <w:spacing w:after="0"/>
        <w:jc w:val="both"/>
        <w:rPr>
          <w:sz w:val="16"/>
          <w:szCs w:val="16"/>
        </w:rPr>
      </w:pPr>
      <w:r w:rsidRPr="00661E1C">
        <w:rPr>
          <w:sz w:val="16"/>
          <w:szCs w:val="16"/>
        </w:rPr>
        <w:t>Fojas</w:t>
      </w:r>
      <w:r>
        <w:rPr>
          <w:sz w:val="16"/>
          <w:szCs w:val="16"/>
        </w:rPr>
        <w:t xml:space="preserve"> </w:t>
      </w:r>
      <w:r w:rsidRPr="00A533F3">
        <w:rPr>
          <w:sz w:val="16"/>
          <w:szCs w:val="16"/>
        </w:rPr>
        <w:t>3224-3229, 3440-3443, 3756, 5024, 5025, 6655, 6659, 6660, 7303</w:t>
      </w:r>
      <w:r>
        <w:rPr>
          <w:sz w:val="16"/>
          <w:szCs w:val="16"/>
        </w:rPr>
        <w:t xml:space="preserve">, </w:t>
      </w:r>
      <w:r w:rsidRPr="00E864D9">
        <w:rPr>
          <w:sz w:val="16"/>
          <w:szCs w:val="16"/>
        </w:rPr>
        <w:t>7320 y 7545</w:t>
      </w:r>
      <w:r w:rsidRPr="00A533F3">
        <w:rPr>
          <w:sz w:val="16"/>
          <w:szCs w:val="16"/>
        </w:rPr>
        <w:t xml:space="preserve"> </w:t>
      </w:r>
      <w:r w:rsidRPr="00661E1C">
        <w:rPr>
          <w:sz w:val="16"/>
          <w:szCs w:val="16"/>
        </w:rPr>
        <w:t>del Expediente</w:t>
      </w:r>
      <w:r>
        <w:rPr>
          <w:sz w:val="16"/>
          <w:szCs w:val="16"/>
        </w:rPr>
        <w:t>.</w:t>
      </w:r>
    </w:p>
  </w:footnote>
  <w:footnote w:id="112">
    <w:p w14:paraId="45EA05F7" w14:textId="77777777" w:rsidR="0006497B" w:rsidRPr="006C2237" w:rsidRDefault="0006497B" w:rsidP="006C2237">
      <w:pPr>
        <w:pStyle w:val="Textonotapie"/>
        <w:jc w:val="both"/>
        <w:rPr>
          <w:sz w:val="16"/>
          <w:szCs w:val="16"/>
        </w:rPr>
      </w:pPr>
      <w:r w:rsidRPr="006C2237">
        <w:rPr>
          <w:rStyle w:val="Refdenotaalpie"/>
          <w:sz w:val="16"/>
          <w:szCs w:val="16"/>
        </w:rPr>
        <w:footnoteRef/>
      </w:r>
      <w:r w:rsidRPr="006C2237">
        <w:rPr>
          <w:sz w:val="16"/>
          <w:szCs w:val="16"/>
        </w:rPr>
        <w:t xml:space="preserve"> De acuerdo con la descripción de los servicios fijos de telecomunicaciones proporcionada por AMX</w:t>
      </w:r>
      <w:r>
        <w:rPr>
          <w:sz w:val="16"/>
          <w:szCs w:val="16"/>
        </w:rPr>
        <w:t xml:space="preserve">/Telesites y </w:t>
      </w:r>
      <w:r w:rsidRPr="008720D8">
        <w:rPr>
          <w:b/>
          <w:bCs/>
          <w:color w:val="0000CC"/>
          <w:sz w:val="16"/>
          <w:szCs w:val="16"/>
        </w:rPr>
        <w:t>“CONFIDENCIAL POR LEY”</w:t>
      </w:r>
      <w:r w:rsidRPr="00C82B1B">
        <w:rPr>
          <w:bCs/>
          <w:sz w:val="16"/>
          <w:szCs w:val="16"/>
        </w:rPr>
        <w:t>.</w:t>
      </w:r>
      <w:r>
        <w:rPr>
          <w:sz w:val="16"/>
          <w:szCs w:val="16"/>
        </w:rPr>
        <w:t xml:space="preserve"> Fojas 3224 a 3228, 5024 y 5025 del Expediente.</w:t>
      </w:r>
    </w:p>
  </w:footnote>
  <w:footnote w:id="113">
    <w:p w14:paraId="3DF3A0EF" w14:textId="77777777" w:rsidR="0006497B" w:rsidRPr="00D11D44" w:rsidRDefault="0006497B" w:rsidP="00D11D44">
      <w:pPr>
        <w:spacing w:after="0"/>
        <w:jc w:val="both"/>
        <w:rPr>
          <w:i/>
          <w:iCs/>
          <w:sz w:val="16"/>
          <w:szCs w:val="16"/>
        </w:rPr>
      </w:pPr>
      <w:r w:rsidRPr="00316E9D">
        <w:rPr>
          <w:rStyle w:val="Refdenotaalpie"/>
          <w:sz w:val="16"/>
          <w:szCs w:val="16"/>
        </w:rPr>
        <w:footnoteRef/>
      </w:r>
      <w:r>
        <w:rPr>
          <w:sz w:val="16"/>
          <w:szCs w:val="16"/>
        </w:rPr>
        <w:t xml:space="preserve"> Adicionalmente, el Anexo 2, medida Tercera, de la Revisión bienal, define los distintos servicios mayoristas de arrendamiento de enlaces dedicados por tipo de cobertura como sigue: El servicio mayorista de arrendamiento de enlaces dedicados de Interconexión es el "</w:t>
      </w:r>
      <w:r>
        <w:rPr>
          <w:i/>
          <w:iCs/>
          <w:sz w:val="16"/>
          <w:szCs w:val="16"/>
        </w:rPr>
        <w:t>(…) servicio de arrendamiento de enlaces de transmisión, al amparo de los convenios de interconexión;</w:t>
      </w:r>
      <w:r>
        <w:rPr>
          <w:sz w:val="16"/>
          <w:szCs w:val="16"/>
        </w:rPr>
        <w:t xml:space="preserve">”. El servicio mayorista de arrendamiento de enlaces dedicados de larga distancia internacional es el </w:t>
      </w:r>
      <w:r>
        <w:rPr>
          <w:i/>
          <w:iCs/>
          <w:sz w:val="16"/>
          <w:szCs w:val="16"/>
        </w:rPr>
        <w:t>“(…) servicio de arrendamiento de enlaces de transmisión, en los cuales una de las puntas se ubica en alguna localidad del territorio nacional, excepto ciudades fronterizas, y otra en el extranjero, este servicio tiene un ámbito geográfico nacional, prestado a otros concesionarios solicitantes y autorizados solicitantes de telecomunicaciones;”.</w:t>
      </w:r>
      <w:r>
        <w:rPr>
          <w:sz w:val="16"/>
          <w:szCs w:val="16"/>
        </w:rPr>
        <w:t xml:space="preserve"> El servicio mayorista de arrendamiento de enlaces dedicados entre localidades o de larga distancia nacional es el </w:t>
      </w:r>
      <w:r>
        <w:rPr>
          <w:i/>
          <w:iCs/>
          <w:sz w:val="16"/>
          <w:szCs w:val="16"/>
        </w:rPr>
        <w:t>“(…) servicio de arrendamiento de enlaces de transmisión, cuyas puntas se ubican en localidades distintas del territorio nacional, prestado a otros concesionarios solicitantes y autorizados solicitantes de telecomunicaciones;”.</w:t>
      </w:r>
      <w:r>
        <w:rPr>
          <w:sz w:val="16"/>
          <w:szCs w:val="16"/>
        </w:rPr>
        <w:t xml:space="preserve"> Por último, el servicio mayorista de arrendamiento de enlaces dedicados locales es el </w:t>
      </w:r>
      <w:r>
        <w:rPr>
          <w:i/>
          <w:iCs/>
          <w:sz w:val="16"/>
          <w:szCs w:val="16"/>
        </w:rPr>
        <w:t>“(…) servicio de arrendamiento de enlaces de transmisión, cuyas puntas se ubican en una misma localidad del territorio nacional, prestado a otros concesionarios solicitantes y autorizados solicitantes de telecomunicaciones.”</w:t>
      </w:r>
    </w:p>
  </w:footnote>
  <w:footnote w:id="114">
    <w:p w14:paraId="4671C040" w14:textId="77777777" w:rsidR="0006497B" w:rsidRPr="00661E1C" w:rsidRDefault="0006497B" w:rsidP="00661E1C">
      <w:pPr>
        <w:pStyle w:val="Textonotapie"/>
        <w:jc w:val="both"/>
        <w:rPr>
          <w:sz w:val="16"/>
          <w:szCs w:val="16"/>
        </w:rPr>
      </w:pPr>
      <w:r w:rsidRPr="00661E1C">
        <w:rPr>
          <w:rStyle w:val="Refdenotaalpie"/>
          <w:sz w:val="16"/>
          <w:szCs w:val="16"/>
        </w:rPr>
        <w:footnoteRef/>
      </w:r>
      <w:r w:rsidRPr="00661E1C">
        <w:rPr>
          <w:sz w:val="16"/>
          <w:szCs w:val="16"/>
        </w:rPr>
        <w:t xml:space="preserve"> Información obtenida de la descripción de la política de precios de los servicios de arrendamiento de enlaces dedicados y de los contratos, facturas y órdenes de servicio proporcionadas por </w:t>
      </w:r>
      <w:r w:rsidRPr="008720D8">
        <w:rPr>
          <w:b/>
          <w:bCs/>
          <w:color w:val="0000CC"/>
          <w:sz w:val="16"/>
          <w:szCs w:val="16"/>
        </w:rPr>
        <w:t>“CONFIDENCIAL POR LEY”</w:t>
      </w:r>
      <w:r>
        <w:rPr>
          <w:sz w:val="16"/>
          <w:szCs w:val="16"/>
        </w:rPr>
        <w:t xml:space="preserve"> (en el expediente AI/DC-002-2016)</w:t>
      </w:r>
      <w:r w:rsidRPr="00661E1C">
        <w:rPr>
          <w:sz w:val="16"/>
          <w:szCs w:val="16"/>
        </w:rPr>
        <w:t xml:space="preserve">. Fojas </w:t>
      </w:r>
      <w:r w:rsidRPr="00E216CC">
        <w:rPr>
          <w:sz w:val="16"/>
          <w:szCs w:val="16"/>
        </w:rPr>
        <w:t xml:space="preserve">3432, 3472, 3561, 3562, 3756, </w:t>
      </w:r>
      <w:r>
        <w:rPr>
          <w:sz w:val="16"/>
          <w:szCs w:val="16"/>
        </w:rPr>
        <w:t xml:space="preserve">3739, 3740, 5033 a 5035, 5846 a </w:t>
      </w:r>
      <w:r w:rsidRPr="00E216CC">
        <w:rPr>
          <w:sz w:val="16"/>
          <w:szCs w:val="16"/>
        </w:rPr>
        <w:t xml:space="preserve">5848 </w:t>
      </w:r>
      <w:r>
        <w:rPr>
          <w:sz w:val="16"/>
          <w:szCs w:val="16"/>
        </w:rPr>
        <w:t>y 7552 del Expediente.</w:t>
      </w:r>
    </w:p>
  </w:footnote>
  <w:footnote w:id="115">
    <w:p w14:paraId="14E91F69" w14:textId="77777777" w:rsidR="0006497B" w:rsidRPr="00661E1C" w:rsidRDefault="0006497B" w:rsidP="00661E1C">
      <w:pPr>
        <w:pStyle w:val="Textonotapie"/>
        <w:jc w:val="both"/>
        <w:rPr>
          <w:sz w:val="16"/>
          <w:szCs w:val="16"/>
        </w:rPr>
      </w:pPr>
      <w:r w:rsidRPr="00661E1C">
        <w:rPr>
          <w:rStyle w:val="Refdenotaalpie"/>
          <w:sz w:val="16"/>
          <w:szCs w:val="16"/>
        </w:rPr>
        <w:footnoteRef/>
      </w:r>
      <w:r w:rsidRPr="00661E1C">
        <w:rPr>
          <w:sz w:val="16"/>
          <w:szCs w:val="16"/>
        </w:rPr>
        <w:t xml:space="preserve"> De facturas aportadas por operadores tales como </w:t>
      </w:r>
      <w:r w:rsidRPr="008720D8">
        <w:rPr>
          <w:b/>
          <w:bCs/>
          <w:color w:val="0000CC"/>
          <w:sz w:val="16"/>
          <w:szCs w:val="16"/>
        </w:rPr>
        <w:t>“CONFIDENCIAL POR LEY”</w:t>
      </w:r>
      <w:r w:rsidRPr="00661E1C">
        <w:rPr>
          <w:sz w:val="16"/>
          <w:szCs w:val="16"/>
        </w:rPr>
        <w:t xml:space="preserve"> se observa que los cobros no difieren por medio de transmisión. Fojas </w:t>
      </w:r>
      <w:r w:rsidRPr="00E216CC">
        <w:rPr>
          <w:sz w:val="16"/>
          <w:szCs w:val="16"/>
        </w:rPr>
        <w:t xml:space="preserve">3472, 3756, 5084, 3561, 3562, </w:t>
      </w:r>
      <w:r>
        <w:rPr>
          <w:sz w:val="16"/>
          <w:szCs w:val="16"/>
        </w:rPr>
        <w:t xml:space="preserve">5846 a </w:t>
      </w:r>
      <w:r w:rsidRPr="00E216CC">
        <w:rPr>
          <w:sz w:val="16"/>
          <w:szCs w:val="16"/>
        </w:rPr>
        <w:t>5848 y 7303 del Exp</w:t>
      </w:r>
      <w:r>
        <w:rPr>
          <w:sz w:val="16"/>
          <w:szCs w:val="16"/>
        </w:rPr>
        <w:t>ediente.</w:t>
      </w:r>
    </w:p>
  </w:footnote>
  <w:footnote w:id="116">
    <w:p w14:paraId="4E66AF8C" w14:textId="77777777" w:rsidR="0006497B" w:rsidRPr="00661E1C" w:rsidRDefault="0006497B" w:rsidP="00661E1C">
      <w:pPr>
        <w:pStyle w:val="Textonotapie"/>
        <w:jc w:val="both"/>
        <w:rPr>
          <w:sz w:val="16"/>
          <w:szCs w:val="16"/>
        </w:rPr>
      </w:pPr>
      <w:r w:rsidRPr="00661E1C">
        <w:rPr>
          <w:rStyle w:val="Refdenotaalpie"/>
          <w:sz w:val="16"/>
          <w:szCs w:val="16"/>
        </w:rPr>
        <w:footnoteRef/>
      </w:r>
      <w:r w:rsidRPr="00661E1C">
        <w:rPr>
          <w:sz w:val="16"/>
          <w:szCs w:val="16"/>
        </w:rPr>
        <w:t xml:space="preserve"> Información obtenida de la descripción de la política de precios de los servicios de arrendamiento de enlaces dedicados proporcionada por </w:t>
      </w:r>
      <w:r w:rsidRPr="008720D8">
        <w:rPr>
          <w:b/>
          <w:bCs/>
          <w:color w:val="0000CC"/>
          <w:sz w:val="16"/>
          <w:szCs w:val="16"/>
        </w:rPr>
        <w:t>“CONFIDENCIAL POR LEY”</w:t>
      </w:r>
      <w:r>
        <w:rPr>
          <w:sz w:val="16"/>
          <w:szCs w:val="16"/>
        </w:rPr>
        <w:t xml:space="preserve"> (en el Expediente AI/DC-002-2016)</w:t>
      </w:r>
      <w:r w:rsidRPr="00661E1C">
        <w:rPr>
          <w:sz w:val="16"/>
          <w:szCs w:val="16"/>
        </w:rPr>
        <w:t xml:space="preserve">. Fojas </w:t>
      </w:r>
      <w:r>
        <w:rPr>
          <w:sz w:val="16"/>
          <w:szCs w:val="16"/>
        </w:rPr>
        <w:t>3739, 3740,</w:t>
      </w:r>
      <w:r w:rsidRPr="00661E1C">
        <w:rPr>
          <w:sz w:val="16"/>
          <w:szCs w:val="16"/>
        </w:rPr>
        <w:t xml:space="preserve"> </w:t>
      </w:r>
      <w:r>
        <w:rPr>
          <w:sz w:val="16"/>
          <w:szCs w:val="16"/>
        </w:rPr>
        <w:t xml:space="preserve">5033, 5034 y 7552 </w:t>
      </w:r>
      <w:r w:rsidRPr="00661E1C">
        <w:rPr>
          <w:sz w:val="16"/>
          <w:szCs w:val="16"/>
        </w:rPr>
        <w:t>del Expediente.</w:t>
      </w:r>
    </w:p>
  </w:footnote>
  <w:footnote w:id="117">
    <w:p w14:paraId="546974BC" w14:textId="77777777" w:rsidR="0006497B" w:rsidRPr="00661E1C" w:rsidRDefault="0006497B" w:rsidP="00661E1C">
      <w:pPr>
        <w:pStyle w:val="Textonotapie"/>
        <w:jc w:val="both"/>
        <w:rPr>
          <w:sz w:val="16"/>
          <w:szCs w:val="16"/>
        </w:rPr>
      </w:pPr>
      <w:r w:rsidRPr="00661E1C">
        <w:rPr>
          <w:rStyle w:val="Refdenotaalpie"/>
          <w:sz w:val="16"/>
          <w:szCs w:val="16"/>
        </w:rPr>
        <w:footnoteRef/>
      </w:r>
      <w:r w:rsidRPr="00661E1C">
        <w:rPr>
          <w:sz w:val="16"/>
          <w:szCs w:val="16"/>
        </w:rPr>
        <w:t xml:space="preserve"> Por ejemplo, en las facturas de</w:t>
      </w:r>
      <w:r>
        <w:rPr>
          <w:sz w:val="16"/>
          <w:szCs w:val="16"/>
        </w:rPr>
        <w:t xml:space="preserve"> </w:t>
      </w:r>
      <w:r w:rsidRPr="008720D8">
        <w:rPr>
          <w:b/>
          <w:bCs/>
          <w:color w:val="0000CC"/>
          <w:sz w:val="16"/>
          <w:szCs w:val="16"/>
        </w:rPr>
        <w:t>“CONFIDENCIAL POR LEY”</w:t>
      </w:r>
      <w:r w:rsidRPr="00661E1C">
        <w:rPr>
          <w:sz w:val="16"/>
          <w:szCs w:val="16"/>
        </w:rPr>
        <w:t xml:space="preserve"> se observan cobros distintos dependiendo del tipo de tecnología de transmisión. Fojas </w:t>
      </w:r>
      <w:r>
        <w:rPr>
          <w:sz w:val="16"/>
          <w:szCs w:val="16"/>
        </w:rPr>
        <w:t>3756 del Expediente.</w:t>
      </w:r>
    </w:p>
  </w:footnote>
  <w:footnote w:id="118">
    <w:p w14:paraId="6CB03932"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Información obtenida de los contratos</w:t>
      </w:r>
      <w:r>
        <w:rPr>
          <w:sz w:val="16"/>
          <w:szCs w:val="16"/>
        </w:rPr>
        <w:t xml:space="preserve"> y política comercial</w:t>
      </w:r>
      <w:r w:rsidRPr="003A62C6">
        <w:rPr>
          <w:sz w:val="16"/>
          <w:szCs w:val="16"/>
        </w:rPr>
        <w:t xml:space="preserve"> de </w:t>
      </w:r>
      <w:r w:rsidRPr="008720D8">
        <w:rPr>
          <w:b/>
          <w:bCs/>
          <w:color w:val="0000CC"/>
          <w:sz w:val="16"/>
          <w:szCs w:val="16"/>
        </w:rPr>
        <w:t>“CONFIDENCIAL POR LEY”</w:t>
      </w:r>
      <w:r w:rsidRPr="003A62C6">
        <w:rPr>
          <w:sz w:val="16"/>
          <w:szCs w:val="16"/>
        </w:rPr>
        <w:t xml:space="preserve">, así como de la descripción de los servicios de telecomunicaciones provistos por </w:t>
      </w:r>
      <w:r w:rsidRPr="008720D8">
        <w:rPr>
          <w:b/>
          <w:bCs/>
          <w:color w:val="0000CC"/>
          <w:sz w:val="16"/>
          <w:szCs w:val="16"/>
        </w:rPr>
        <w:t>“CONFIDENCIAL POR LEY”</w:t>
      </w:r>
      <w:r w:rsidRPr="003A62C6">
        <w:rPr>
          <w:sz w:val="16"/>
          <w:szCs w:val="16"/>
        </w:rPr>
        <w:t xml:space="preserve">. Fojas </w:t>
      </w:r>
      <w:r w:rsidRPr="006230E4">
        <w:rPr>
          <w:sz w:val="16"/>
          <w:szCs w:val="16"/>
        </w:rPr>
        <w:t>3432, 3433, 3472, 3513, 3514, 3561,3562, 3756</w:t>
      </w:r>
      <w:r>
        <w:rPr>
          <w:sz w:val="16"/>
          <w:szCs w:val="16"/>
        </w:rPr>
        <w:t xml:space="preserve"> y 5846 a </w:t>
      </w:r>
      <w:r w:rsidRPr="006230E4">
        <w:rPr>
          <w:sz w:val="16"/>
          <w:szCs w:val="16"/>
        </w:rPr>
        <w:t>5848</w:t>
      </w:r>
      <w:r>
        <w:rPr>
          <w:sz w:val="16"/>
          <w:szCs w:val="16"/>
        </w:rPr>
        <w:t xml:space="preserve"> del Expediente.</w:t>
      </w:r>
    </w:p>
  </w:footnote>
  <w:footnote w:id="119">
    <w:p w14:paraId="3F8F1864" w14:textId="77777777" w:rsidR="0006497B" w:rsidRPr="003A62C6" w:rsidRDefault="0006497B" w:rsidP="00875EE6">
      <w:pPr>
        <w:pStyle w:val="Textonotapie"/>
        <w:tabs>
          <w:tab w:val="left" w:pos="2835"/>
        </w:tabs>
        <w:jc w:val="both"/>
        <w:rPr>
          <w:sz w:val="16"/>
          <w:szCs w:val="16"/>
        </w:rPr>
      </w:pPr>
      <w:r w:rsidRPr="003A62C6">
        <w:rPr>
          <w:rStyle w:val="Refdenotaalpie"/>
          <w:sz w:val="16"/>
          <w:szCs w:val="16"/>
        </w:rPr>
        <w:footnoteRef/>
      </w:r>
      <w:r w:rsidRPr="003A62C6">
        <w:rPr>
          <w:sz w:val="16"/>
          <w:szCs w:val="16"/>
        </w:rPr>
        <w:t xml:space="preserve"> Integradores se refiere a una forma de comercialización que consiste en la reventa de productos de terceros integrados en una solución. </w:t>
      </w:r>
      <w:r w:rsidRPr="006230E4">
        <w:rPr>
          <w:sz w:val="16"/>
          <w:szCs w:val="16"/>
        </w:rPr>
        <w:t xml:space="preserve">Información proporcionada por </w:t>
      </w:r>
      <w:r w:rsidRPr="008720D8">
        <w:rPr>
          <w:b/>
          <w:bCs/>
          <w:color w:val="0000CC"/>
          <w:sz w:val="16"/>
          <w:szCs w:val="16"/>
        </w:rPr>
        <w:t>“CONFIDENCIAL POR LEY”</w:t>
      </w:r>
      <w:r w:rsidRPr="006230E4">
        <w:rPr>
          <w:sz w:val="16"/>
          <w:szCs w:val="16"/>
        </w:rPr>
        <w:t xml:space="preserve"> en el Expediente AI/DC-002-2016</w:t>
      </w:r>
      <w:r>
        <w:rPr>
          <w:sz w:val="16"/>
          <w:szCs w:val="16"/>
        </w:rPr>
        <w:t xml:space="preserve"> y del documento titulado </w:t>
      </w:r>
      <w:r w:rsidRPr="00875EE6">
        <w:rPr>
          <w:i/>
          <w:sz w:val="16"/>
          <w:szCs w:val="16"/>
        </w:rPr>
        <w:t>“Sistemas: La eterna decisión en el camino de las TI’s”</w:t>
      </w:r>
      <w:r w:rsidRPr="006230E4">
        <w:rPr>
          <w:sz w:val="16"/>
          <w:szCs w:val="16"/>
        </w:rPr>
        <w:t xml:space="preserve">. </w:t>
      </w:r>
      <w:r w:rsidRPr="003A62C6">
        <w:rPr>
          <w:sz w:val="16"/>
          <w:szCs w:val="16"/>
        </w:rPr>
        <w:t xml:space="preserve">Fojas </w:t>
      </w:r>
      <w:r>
        <w:rPr>
          <w:sz w:val="16"/>
          <w:szCs w:val="16"/>
        </w:rPr>
        <w:t>7309, 7311, 7312</w:t>
      </w:r>
      <w:r w:rsidRPr="003A62C6">
        <w:rPr>
          <w:sz w:val="16"/>
          <w:szCs w:val="16"/>
        </w:rPr>
        <w:t xml:space="preserve"> </w:t>
      </w:r>
      <w:r>
        <w:rPr>
          <w:sz w:val="16"/>
          <w:szCs w:val="16"/>
        </w:rPr>
        <w:t xml:space="preserve">y 7364 a 7539 </w:t>
      </w:r>
      <w:r w:rsidRPr="003A62C6">
        <w:rPr>
          <w:sz w:val="16"/>
          <w:szCs w:val="16"/>
        </w:rPr>
        <w:t>del Expediente.</w:t>
      </w:r>
    </w:p>
  </w:footnote>
  <w:footnote w:id="120">
    <w:p w14:paraId="6FA79D73"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Información obtenida de la descripción de los servicios de telecomunicaciones que proveen </w:t>
      </w:r>
      <w:r w:rsidRPr="008720D8">
        <w:rPr>
          <w:b/>
          <w:bCs/>
          <w:color w:val="0000CC"/>
          <w:sz w:val="16"/>
          <w:szCs w:val="16"/>
        </w:rPr>
        <w:t>“CONFIDENCIAL POR LEY”</w:t>
      </w:r>
      <w:r w:rsidRPr="003A62C6">
        <w:rPr>
          <w:sz w:val="16"/>
          <w:szCs w:val="16"/>
        </w:rPr>
        <w:t xml:space="preserve">. Fojas </w:t>
      </w:r>
      <w:r w:rsidRPr="006230E4">
        <w:rPr>
          <w:sz w:val="16"/>
          <w:szCs w:val="16"/>
        </w:rPr>
        <w:t>5034, 5458</w:t>
      </w:r>
      <w:r>
        <w:rPr>
          <w:sz w:val="16"/>
          <w:szCs w:val="16"/>
        </w:rPr>
        <w:t>, 6390 y 6391</w:t>
      </w:r>
      <w:r w:rsidRPr="006230E4">
        <w:rPr>
          <w:sz w:val="16"/>
          <w:szCs w:val="16"/>
        </w:rPr>
        <w:t xml:space="preserve"> </w:t>
      </w:r>
      <w:r w:rsidRPr="003A62C6">
        <w:rPr>
          <w:sz w:val="16"/>
          <w:szCs w:val="16"/>
        </w:rPr>
        <w:t>del Expedi</w:t>
      </w:r>
      <w:r>
        <w:rPr>
          <w:sz w:val="16"/>
          <w:szCs w:val="16"/>
        </w:rPr>
        <w:t>ente.</w:t>
      </w:r>
    </w:p>
  </w:footnote>
  <w:footnote w:id="121">
    <w:p w14:paraId="0C503EEA"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Esto se observa en diversas facturas y contratos presentados por </w:t>
      </w:r>
      <w:r w:rsidRPr="008720D8">
        <w:rPr>
          <w:b/>
          <w:bCs/>
          <w:color w:val="0000CC"/>
          <w:sz w:val="16"/>
          <w:szCs w:val="16"/>
        </w:rPr>
        <w:t>“CONFIDENCIAL POR LEY”</w:t>
      </w:r>
      <w:r w:rsidRPr="004C7710">
        <w:rPr>
          <w:sz w:val="16"/>
          <w:szCs w:val="16"/>
        </w:rPr>
        <w:t xml:space="preserve"> </w:t>
      </w:r>
      <w:r w:rsidRPr="003A62C6">
        <w:rPr>
          <w:sz w:val="16"/>
          <w:szCs w:val="16"/>
        </w:rPr>
        <w:t xml:space="preserve">y </w:t>
      </w:r>
      <w:r>
        <w:rPr>
          <w:sz w:val="16"/>
          <w:szCs w:val="16"/>
        </w:rPr>
        <w:t xml:space="preserve">en la </w:t>
      </w:r>
      <w:r w:rsidRPr="003A62C6">
        <w:rPr>
          <w:sz w:val="16"/>
          <w:szCs w:val="16"/>
        </w:rPr>
        <w:t>Res</w:t>
      </w:r>
      <w:r>
        <w:rPr>
          <w:sz w:val="16"/>
          <w:szCs w:val="16"/>
        </w:rPr>
        <w:t>olución DC-02-2007, p</w:t>
      </w:r>
      <w:r w:rsidRPr="003A62C6">
        <w:rPr>
          <w:sz w:val="16"/>
          <w:szCs w:val="16"/>
        </w:rPr>
        <w:t xml:space="preserve">. 304. Fojas </w:t>
      </w:r>
      <w:r w:rsidRPr="00094A74">
        <w:rPr>
          <w:sz w:val="16"/>
          <w:szCs w:val="16"/>
        </w:rPr>
        <w:t>3472, 3561, 3562, 3756, 5846, 5848, 66</w:t>
      </w:r>
      <w:r>
        <w:rPr>
          <w:sz w:val="16"/>
          <w:szCs w:val="16"/>
        </w:rPr>
        <w:t xml:space="preserve">63 a </w:t>
      </w:r>
      <w:r w:rsidRPr="00094A74">
        <w:rPr>
          <w:sz w:val="16"/>
          <w:szCs w:val="16"/>
        </w:rPr>
        <w:t xml:space="preserve">6675, 7094 y 7303 </w:t>
      </w:r>
      <w:r>
        <w:rPr>
          <w:sz w:val="16"/>
          <w:szCs w:val="16"/>
        </w:rPr>
        <w:t>del Expediente.</w:t>
      </w:r>
    </w:p>
  </w:footnote>
  <w:footnote w:id="122">
    <w:p w14:paraId="7D8A4D7A"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Por ejemplo, </w:t>
      </w:r>
      <w:r w:rsidRPr="008720D8">
        <w:rPr>
          <w:b/>
          <w:bCs/>
          <w:color w:val="0000CC"/>
          <w:sz w:val="16"/>
          <w:szCs w:val="16"/>
        </w:rPr>
        <w:t>“CONFIDENCIAL POR LEY”</w:t>
      </w:r>
      <w:r w:rsidRPr="003A62C6">
        <w:rPr>
          <w:sz w:val="16"/>
          <w:szCs w:val="16"/>
        </w:rPr>
        <w:t xml:space="preserve"> utilizan tanto fibra óptica como enlaces microondas para entregar el servicio. </w:t>
      </w:r>
      <w:r>
        <w:rPr>
          <w:sz w:val="16"/>
          <w:szCs w:val="16"/>
        </w:rPr>
        <w:t xml:space="preserve">Asimismo, </w:t>
      </w:r>
      <w:r w:rsidRPr="008720D8">
        <w:rPr>
          <w:b/>
          <w:bCs/>
          <w:color w:val="0000CC"/>
          <w:sz w:val="16"/>
          <w:szCs w:val="16"/>
        </w:rPr>
        <w:t>“CONFIDENCIAL POR LEY”</w:t>
      </w:r>
      <w:r w:rsidRPr="00094A74">
        <w:rPr>
          <w:sz w:val="16"/>
          <w:szCs w:val="16"/>
        </w:rPr>
        <w:t xml:space="preserve"> señala que utiliza cualquier medio de transmisión, excepto satélite. Fojas </w:t>
      </w:r>
      <w:r>
        <w:rPr>
          <w:sz w:val="16"/>
          <w:szCs w:val="16"/>
        </w:rPr>
        <w:t xml:space="preserve">3223 a </w:t>
      </w:r>
      <w:r w:rsidRPr="00094A74">
        <w:rPr>
          <w:sz w:val="16"/>
          <w:szCs w:val="16"/>
        </w:rPr>
        <w:t>3229, 3513, 3514 y 5458, del Expediente.</w:t>
      </w:r>
    </w:p>
  </w:footnote>
  <w:footnote w:id="123">
    <w:p w14:paraId="3DCB438C"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William Stallings (2004) </w:t>
      </w:r>
      <w:r w:rsidRPr="003A62C6">
        <w:rPr>
          <w:i/>
          <w:sz w:val="16"/>
          <w:szCs w:val="16"/>
        </w:rPr>
        <w:t>Comunicaciones y Redes de Computadores</w:t>
      </w:r>
      <w:r w:rsidRPr="003A62C6">
        <w:rPr>
          <w:sz w:val="16"/>
          <w:szCs w:val="16"/>
        </w:rPr>
        <w:t>, Pearson Pr</w:t>
      </w:r>
      <w:r>
        <w:rPr>
          <w:sz w:val="16"/>
          <w:szCs w:val="16"/>
        </w:rPr>
        <w:t>en</w:t>
      </w:r>
      <w:r w:rsidRPr="003A62C6">
        <w:rPr>
          <w:sz w:val="16"/>
          <w:szCs w:val="16"/>
        </w:rPr>
        <w:t>tice Hall, Séptima edición, p. 117.</w:t>
      </w:r>
    </w:p>
  </w:footnote>
  <w:footnote w:id="124">
    <w:p w14:paraId="39EB2003" w14:textId="77777777" w:rsidR="0006497B" w:rsidRPr="003A62C6" w:rsidRDefault="0006497B" w:rsidP="003A62C6">
      <w:pPr>
        <w:pStyle w:val="Textonotapie"/>
        <w:jc w:val="both"/>
        <w:rPr>
          <w:rStyle w:val="Refdenotaalpie"/>
          <w:sz w:val="16"/>
          <w:szCs w:val="16"/>
        </w:rPr>
      </w:pPr>
      <w:r w:rsidRPr="003A62C6">
        <w:rPr>
          <w:rStyle w:val="Refdenotaalpie"/>
          <w:sz w:val="16"/>
          <w:szCs w:val="16"/>
        </w:rPr>
        <w:footnoteRef/>
      </w:r>
      <w:r w:rsidRPr="003A62C6">
        <w:rPr>
          <w:sz w:val="16"/>
          <w:szCs w:val="16"/>
        </w:rPr>
        <w:t xml:space="preserve"> Comisión Económica para América Latina (2010) </w:t>
      </w:r>
      <w:r w:rsidRPr="003A62C6">
        <w:rPr>
          <w:i/>
          <w:sz w:val="16"/>
          <w:szCs w:val="16"/>
        </w:rPr>
        <w:t>Acelerando la revolución digital: banda ancha para América Latina y el Caribe</w:t>
      </w:r>
      <w:r w:rsidRPr="003A62C6">
        <w:rPr>
          <w:sz w:val="16"/>
          <w:szCs w:val="16"/>
        </w:rPr>
        <w:t>, CEPAL, p. 46 y Resolución DC-02-2007, p. 324.</w:t>
      </w:r>
      <w:r>
        <w:rPr>
          <w:sz w:val="16"/>
          <w:szCs w:val="16"/>
        </w:rPr>
        <w:t xml:space="preserve"> Foja 7303 del Expediente.</w:t>
      </w:r>
    </w:p>
  </w:footnote>
  <w:footnote w:id="125">
    <w:p w14:paraId="0C37D7E1" w14:textId="77777777" w:rsidR="0006497B" w:rsidRPr="003A62C6" w:rsidRDefault="0006497B" w:rsidP="003A62C6">
      <w:pPr>
        <w:pStyle w:val="Textonotapie"/>
        <w:jc w:val="both"/>
        <w:rPr>
          <w:rStyle w:val="Refdenotaalpie"/>
          <w:sz w:val="16"/>
          <w:szCs w:val="16"/>
        </w:rPr>
      </w:pPr>
      <w:r w:rsidRPr="003A62C6">
        <w:rPr>
          <w:rStyle w:val="Refdenotaalpie"/>
          <w:sz w:val="16"/>
          <w:szCs w:val="16"/>
        </w:rPr>
        <w:footnoteRef/>
      </w:r>
      <w:r w:rsidRPr="003A62C6">
        <w:rPr>
          <w:rStyle w:val="Refdenotaalpie"/>
          <w:sz w:val="16"/>
          <w:szCs w:val="16"/>
        </w:rPr>
        <w:t xml:space="preserve"> </w:t>
      </w:r>
      <w:r w:rsidRPr="003A62C6">
        <w:rPr>
          <w:sz w:val="16"/>
          <w:szCs w:val="16"/>
        </w:rPr>
        <w:t xml:space="preserve">Contratos de </w:t>
      </w:r>
      <w:r w:rsidRPr="008720D8">
        <w:rPr>
          <w:b/>
          <w:bCs/>
          <w:color w:val="0000CC"/>
          <w:sz w:val="16"/>
          <w:szCs w:val="16"/>
        </w:rPr>
        <w:t>“CONFIDENCIAL POR LEY”</w:t>
      </w:r>
      <w:r w:rsidRPr="003A62C6">
        <w:rPr>
          <w:sz w:val="16"/>
          <w:szCs w:val="16"/>
        </w:rPr>
        <w:t xml:space="preserve"> y Resolución DC-02-2007, pp. 323 y 324. </w:t>
      </w:r>
      <w:r w:rsidRPr="003F1CBE">
        <w:rPr>
          <w:rStyle w:val="Refdenotaalpie"/>
          <w:sz w:val="16"/>
          <w:szCs w:val="16"/>
          <w:vertAlign w:val="baseline"/>
        </w:rPr>
        <w:t>Foj</w:t>
      </w:r>
      <w:r w:rsidRPr="003A62C6">
        <w:rPr>
          <w:sz w:val="16"/>
          <w:szCs w:val="16"/>
        </w:rPr>
        <w:t xml:space="preserve">as </w:t>
      </w:r>
      <w:r>
        <w:rPr>
          <w:sz w:val="16"/>
          <w:szCs w:val="16"/>
        </w:rPr>
        <w:t xml:space="preserve">3561, 3562, 5846 a </w:t>
      </w:r>
      <w:r w:rsidRPr="00094A74">
        <w:rPr>
          <w:sz w:val="16"/>
          <w:szCs w:val="16"/>
        </w:rPr>
        <w:t xml:space="preserve">5848 y 7303 </w:t>
      </w:r>
      <w:r>
        <w:rPr>
          <w:sz w:val="16"/>
          <w:szCs w:val="16"/>
        </w:rPr>
        <w:t>del Expediente.</w:t>
      </w:r>
    </w:p>
  </w:footnote>
  <w:footnote w:id="126">
    <w:p w14:paraId="55617C79"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Por ejemplo, Axtel, en su programa tarifario de acceso dedicado, establece que </w:t>
      </w:r>
      <w:r w:rsidRPr="008F2ADE">
        <w:rPr>
          <w:i/>
          <w:sz w:val="16"/>
          <w:szCs w:val="16"/>
        </w:rPr>
        <w:t>“[e]l acceso dedicado es el elemento clave para la entrega de servicios de voz y datos. Este puede ser entregado por una diversidad de opciones de acuerdo a la tecnología seleccionada por AXTEL para dicho cliente y servicio”</w:t>
      </w:r>
      <w:r w:rsidRPr="003A62C6">
        <w:rPr>
          <w:sz w:val="16"/>
          <w:szCs w:val="16"/>
        </w:rPr>
        <w:t xml:space="preserve">. </w:t>
      </w:r>
      <w:r w:rsidRPr="008720D8">
        <w:rPr>
          <w:b/>
          <w:bCs/>
          <w:color w:val="0000CC"/>
          <w:sz w:val="16"/>
          <w:szCs w:val="16"/>
        </w:rPr>
        <w:t>“CONFIDENCIAL POR LEY”</w:t>
      </w:r>
      <w:r>
        <w:rPr>
          <w:sz w:val="16"/>
          <w:szCs w:val="16"/>
        </w:rPr>
        <w:t xml:space="preserve"> </w:t>
      </w:r>
      <w:r w:rsidRPr="003A62C6">
        <w:rPr>
          <w:sz w:val="16"/>
          <w:szCs w:val="16"/>
        </w:rPr>
        <w:t xml:space="preserve">Fojas </w:t>
      </w:r>
      <w:r>
        <w:rPr>
          <w:sz w:val="16"/>
          <w:szCs w:val="16"/>
        </w:rPr>
        <w:t xml:space="preserve">3561, 3562, 5846 a </w:t>
      </w:r>
      <w:r w:rsidRPr="00094A74">
        <w:rPr>
          <w:sz w:val="16"/>
          <w:szCs w:val="16"/>
        </w:rPr>
        <w:t>5848</w:t>
      </w:r>
      <w:r>
        <w:rPr>
          <w:sz w:val="16"/>
          <w:szCs w:val="16"/>
        </w:rPr>
        <w:t xml:space="preserve"> y 7303 del Expediente.</w:t>
      </w:r>
    </w:p>
  </w:footnote>
  <w:footnote w:id="127">
    <w:p w14:paraId="17F10E78" w14:textId="77777777" w:rsidR="0006497B" w:rsidRPr="00690D01"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Sin embargo, dependiendo de la velocidad del enlace requerida por el cliente</w:t>
      </w:r>
      <w:r>
        <w:rPr>
          <w:sz w:val="16"/>
          <w:szCs w:val="16"/>
        </w:rPr>
        <w:t>,</w:t>
      </w:r>
      <w:r w:rsidRPr="003A62C6">
        <w:rPr>
          <w:sz w:val="16"/>
          <w:szCs w:val="16"/>
        </w:rPr>
        <w:t xml:space="preserve"> un medio de transmisión podría ser más idóneo que otro. Por ejemplo, para enlaces de alta capacidad o velocidad </w:t>
      </w:r>
      <w:r>
        <w:rPr>
          <w:sz w:val="16"/>
          <w:szCs w:val="16"/>
        </w:rPr>
        <w:t xml:space="preserve">y de larga distancia </w:t>
      </w:r>
      <w:r w:rsidRPr="003A62C6">
        <w:rPr>
          <w:sz w:val="16"/>
          <w:szCs w:val="16"/>
        </w:rPr>
        <w:t>se</w:t>
      </w:r>
      <w:r>
        <w:rPr>
          <w:sz w:val="16"/>
          <w:szCs w:val="16"/>
        </w:rPr>
        <w:t xml:space="preserve"> recomienda,</w:t>
      </w:r>
      <w:r w:rsidRPr="003A62C6">
        <w:rPr>
          <w:sz w:val="16"/>
          <w:szCs w:val="16"/>
        </w:rPr>
        <w:t xml:space="preserve"> </w:t>
      </w:r>
      <w:r>
        <w:rPr>
          <w:sz w:val="16"/>
          <w:szCs w:val="16"/>
        </w:rPr>
        <w:t>principalmente,</w:t>
      </w:r>
      <w:r w:rsidRPr="003A62C6">
        <w:rPr>
          <w:sz w:val="16"/>
          <w:szCs w:val="16"/>
        </w:rPr>
        <w:t xml:space="preserve"> utiliza</w:t>
      </w:r>
      <w:r>
        <w:rPr>
          <w:sz w:val="16"/>
          <w:szCs w:val="16"/>
        </w:rPr>
        <w:t>r la fibra óptica. Información obtenida del documento titulado “</w:t>
      </w:r>
      <w:r w:rsidRPr="00690D01">
        <w:rPr>
          <w:i/>
          <w:sz w:val="16"/>
          <w:szCs w:val="16"/>
        </w:rPr>
        <w:t>Sistemas: La eterna decisión en el camino de las TI’s</w:t>
      </w:r>
      <w:r>
        <w:rPr>
          <w:i/>
          <w:sz w:val="16"/>
          <w:szCs w:val="16"/>
        </w:rPr>
        <w:t xml:space="preserve">”. </w:t>
      </w:r>
      <w:r>
        <w:rPr>
          <w:sz w:val="16"/>
          <w:szCs w:val="16"/>
        </w:rPr>
        <w:t>Fojas 7364 a 7539 del Expediente.</w:t>
      </w:r>
    </w:p>
  </w:footnote>
  <w:footnote w:id="128">
    <w:p w14:paraId="15C4C346" w14:textId="77777777" w:rsidR="0006497B" w:rsidRPr="003A62C6" w:rsidRDefault="0006497B" w:rsidP="003A62C6">
      <w:pPr>
        <w:pStyle w:val="Textonotapie"/>
        <w:jc w:val="both"/>
        <w:rPr>
          <w:rStyle w:val="Refdenotaalpie"/>
          <w:sz w:val="16"/>
          <w:szCs w:val="16"/>
        </w:rPr>
      </w:pPr>
      <w:r w:rsidRPr="003A62C6">
        <w:rPr>
          <w:rStyle w:val="Refdenotaalpie"/>
          <w:sz w:val="16"/>
          <w:szCs w:val="16"/>
        </w:rPr>
        <w:footnoteRef/>
      </w:r>
      <w:r w:rsidRPr="003A62C6">
        <w:rPr>
          <w:sz w:val="16"/>
          <w:szCs w:val="16"/>
        </w:rPr>
        <w:t xml:space="preserve"> De diversas facturas de operadores, como </w:t>
      </w:r>
      <w:r w:rsidRPr="008720D8">
        <w:rPr>
          <w:b/>
          <w:bCs/>
          <w:color w:val="0000CC"/>
          <w:sz w:val="16"/>
          <w:szCs w:val="16"/>
        </w:rPr>
        <w:t>“CONFIDENCIAL POR LEY”</w:t>
      </w:r>
      <w:r w:rsidRPr="003A62C6">
        <w:rPr>
          <w:sz w:val="16"/>
          <w:szCs w:val="16"/>
        </w:rPr>
        <w:t xml:space="preserve"> no se observa</w:t>
      </w:r>
      <w:r>
        <w:rPr>
          <w:sz w:val="16"/>
          <w:szCs w:val="16"/>
        </w:rPr>
        <w:t>n</w:t>
      </w:r>
      <w:r w:rsidRPr="003A62C6">
        <w:rPr>
          <w:sz w:val="16"/>
          <w:szCs w:val="16"/>
        </w:rPr>
        <w:t xml:space="preserve"> cobros distintos por medio de transmisión. Resolución DC-02-2007, pp. 323 y 324. Fojas </w:t>
      </w:r>
      <w:r w:rsidRPr="00BB33D0">
        <w:rPr>
          <w:sz w:val="16"/>
          <w:szCs w:val="16"/>
        </w:rPr>
        <w:t>347</w:t>
      </w:r>
      <w:r>
        <w:rPr>
          <w:sz w:val="16"/>
          <w:szCs w:val="16"/>
        </w:rPr>
        <w:t xml:space="preserve">2, 3561, 3562, 3756, 5084, 5846 a </w:t>
      </w:r>
      <w:r w:rsidRPr="00BB33D0">
        <w:rPr>
          <w:sz w:val="16"/>
          <w:szCs w:val="16"/>
        </w:rPr>
        <w:t xml:space="preserve">5848 y 7303 </w:t>
      </w:r>
      <w:r>
        <w:rPr>
          <w:sz w:val="16"/>
          <w:szCs w:val="16"/>
        </w:rPr>
        <w:t>del Expediente.</w:t>
      </w:r>
    </w:p>
  </w:footnote>
  <w:footnote w:id="129">
    <w:p w14:paraId="38841851" w14:textId="77777777" w:rsidR="0006497B" w:rsidRPr="003A62C6" w:rsidRDefault="0006497B" w:rsidP="003A62C6">
      <w:pPr>
        <w:spacing w:after="0"/>
        <w:jc w:val="both"/>
        <w:rPr>
          <w:sz w:val="16"/>
          <w:szCs w:val="16"/>
        </w:rPr>
      </w:pPr>
      <w:r w:rsidRPr="003A62C6">
        <w:rPr>
          <w:rStyle w:val="Refdenotaalpie"/>
          <w:sz w:val="16"/>
          <w:szCs w:val="16"/>
        </w:rPr>
        <w:footnoteRef/>
      </w:r>
      <w:r w:rsidRPr="003A62C6">
        <w:rPr>
          <w:sz w:val="16"/>
          <w:szCs w:val="16"/>
        </w:rPr>
        <w:t xml:space="preserve"> La última tecnología de transmisión ha sido la multiplexación por división de longitud de onda (WDM), la cual se caracteriza por sus altísimas capacidades de transmisión, su transparencia sobre los datos de jerarquías inferiores, y por una transmisión totalmente óptica. Es una tecnología que multiplexa varias señales sobre una sola fibra óptica mediante portadoras ópticas de diferente longitud de onda, usando luz procedente de un láser o un LED. Este tipo de tecnología suele utilizarse en las redes de transporte como señala Megacable </w:t>
      </w:r>
      <w:r w:rsidRPr="008720D8">
        <w:rPr>
          <w:b/>
          <w:bCs/>
          <w:color w:val="0000CC"/>
          <w:sz w:val="16"/>
          <w:szCs w:val="16"/>
        </w:rPr>
        <w:t>“CONFIDENCIAL POR LEY”</w:t>
      </w:r>
      <w:r w:rsidRPr="00C82B1B">
        <w:rPr>
          <w:bCs/>
          <w:sz w:val="16"/>
          <w:szCs w:val="16"/>
        </w:rPr>
        <w:t>.</w:t>
      </w:r>
      <w:r>
        <w:rPr>
          <w:b/>
          <w:bCs/>
          <w:color w:val="0000CC"/>
          <w:sz w:val="16"/>
          <w:szCs w:val="16"/>
        </w:rPr>
        <w:t xml:space="preserve"> </w:t>
      </w:r>
      <w:r>
        <w:rPr>
          <w:sz w:val="16"/>
          <w:szCs w:val="16"/>
        </w:rPr>
        <w:t xml:space="preserve">Información proporcionada por </w:t>
      </w:r>
      <w:r w:rsidRPr="008720D8">
        <w:rPr>
          <w:b/>
          <w:bCs/>
          <w:color w:val="0000CC"/>
          <w:sz w:val="16"/>
          <w:szCs w:val="16"/>
        </w:rPr>
        <w:t>“CONFIDENCIAL POR LEY”</w:t>
      </w:r>
      <w:r>
        <w:rPr>
          <w:sz w:val="16"/>
          <w:szCs w:val="16"/>
        </w:rPr>
        <w:t xml:space="preserve"> y páginas web de</w:t>
      </w:r>
      <w:r w:rsidRPr="003A62C6">
        <w:rPr>
          <w:sz w:val="16"/>
          <w:szCs w:val="16"/>
        </w:rPr>
        <w:t xml:space="preserve"> </w:t>
      </w:r>
      <w:r>
        <w:rPr>
          <w:sz w:val="16"/>
          <w:szCs w:val="16"/>
        </w:rPr>
        <w:t xml:space="preserve">GTAC y de la marca comercial Metrocarrier de Megacable, así como del documento titulado </w:t>
      </w:r>
      <w:r w:rsidRPr="0012037B">
        <w:rPr>
          <w:i/>
          <w:sz w:val="16"/>
          <w:szCs w:val="16"/>
        </w:rPr>
        <w:t>“Redes Ópticas DWDM: Diseño e implementación”</w:t>
      </w:r>
      <w:r>
        <w:rPr>
          <w:sz w:val="16"/>
          <w:szCs w:val="16"/>
        </w:rPr>
        <w:t xml:space="preserve"> publicado por Visión Eléctrica. </w:t>
      </w:r>
      <w:r w:rsidRPr="003A62C6">
        <w:rPr>
          <w:sz w:val="16"/>
          <w:szCs w:val="16"/>
        </w:rPr>
        <w:t>Fojas</w:t>
      </w:r>
      <w:r>
        <w:rPr>
          <w:sz w:val="16"/>
          <w:szCs w:val="16"/>
        </w:rPr>
        <w:t xml:space="preserve"> </w:t>
      </w:r>
      <w:r w:rsidRPr="00BB33D0">
        <w:rPr>
          <w:sz w:val="16"/>
          <w:szCs w:val="16"/>
        </w:rPr>
        <w:t>4866</w:t>
      </w:r>
      <w:r>
        <w:rPr>
          <w:sz w:val="16"/>
          <w:szCs w:val="16"/>
        </w:rPr>
        <w:t xml:space="preserve">, 7303, 7348 a 7353, 7585 y 7593 </w:t>
      </w:r>
      <w:r w:rsidRPr="003A62C6">
        <w:rPr>
          <w:sz w:val="16"/>
          <w:szCs w:val="16"/>
        </w:rPr>
        <w:t>del Expediente.</w:t>
      </w:r>
    </w:p>
  </w:footnote>
  <w:footnote w:id="130">
    <w:p w14:paraId="3EA5A4A2"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TDM está definida de conformidad con la jerarquía digital plesiócrona (PDH) y con la jerarquía digital síncrona (SDH). La jerarquía digital plesiócrona o PDH (</w:t>
      </w:r>
      <w:r w:rsidRPr="003A62C6">
        <w:rPr>
          <w:i/>
          <w:sz w:val="16"/>
          <w:szCs w:val="16"/>
        </w:rPr>
        <w:t>Plesiochronous Digital Hierarchy</w:t>
      </w:r>
      <w:r w:rsidRPr="003A62C6">
        <w:rPr>
          <w:sz w:val="16"/>
          <w:szCs w:val="16"/>
        </w:rPr>
        <w:t>) es una tecnología para transportar grandes cantidades de información mediante equipos digitales de transmisión que funcionan sobre fibra óptica, cable coaxial o radio de microondas. La jerarquía digital sincrónica o SDH (</w:t>
      </w:r>
      <w:r w:rsidRPr="003A62C6">
        <w:rPr>
          <w:i/>
          <w:sz w:val="16"/>
          <w:szCs w:val="16"/>
        </w:rPr>
        <w:t>Synchronous Digital Hierarchy</w:t>
      </w:r>
      <w:r w:rsidRPr="003A62C6">
        <w:rPr>
          <w:sz w:val="16"/>
          <w:szCs w:val="16"/>
        </w:rPr>
        <w:t>) es un conjunto de protocolos de transmisión de datos, el cual está estandarizado por la ITU-T G.803. Utiliza medios de transmisión como fibra óptica bajo el estándar G.957 y cobre bajo el estándar G.703, además puede soportar anchos de banda elevados.</w:t>
      </w:r>
      <w:r>
        <w:rPr>
          <w:sz w:val="16"/>
          <w:szCs w:val="16"/>
        </w:rPr>
        <w:t xml:space="preserve"> Información proveniente de la presentación titulada </w:t>
      </w:r>
      <w:r w:rsidRPr="0012037B">
        <w:rPr>
          <w:i/>
          <w:sz w:val="16"/>
          <w:szCs w:val="16"/>
        </w:rPr>
        <w:t>“Tecnología de Telecomunicaciones PDH, SDH y DWDM”</w:t>
      </w:r>
      <w:r>
        <w:rPr>
          <w:sz w:val="16"/>
          <w:szCs w:val="16"/>
        </w:rPr>
        <w:t xml:space="preserve"> y</w:t>
      </w:r>
      <w:r w:rsidRPr="003A62C6">
        <w:rPr>
          <w:sz w:val="16"/>
          <w:szCs w:val="16"/>
        </w:rPr>
        <w:t xml:space="preserve"> </w:t>
      </w:r>
      <w:r>
        <w:rPr>
          <w:sz w:val="16"/>
          <w:szCs w:val="16"/>
        </w:rPr>
        <w:t xml:space="preserve">documento referente a los sistemas de transmisión SONET y SDH. </w:t>
      </w:r>
      <w:r w:rsidRPr="003A62C6">
        <w:rPr>
          <w:sz w:val="16"/>
          <w:szCs w:val="16"/>
        </w:rPr>
        <w:t xml:space="preserve">Fojas </w:t>
      </w:r>
      <w:r>
        <w:rPr>
          <w:sz w:val="16"/>
          <w:szCs w:val="16"/>
        </w:rPr>
        <w:t>7324 a 7346 y 7355 a 7362 del Expediente.</w:t>
      </w:r>
    </w:p>
  </w:footnote>
  <w:footnote w:id="131">
    <w:p w14:paraId="73A9A015" w14:textId="77777777" w:rsidR="0006497B" w:rsidRPr="003A62C6" w:rsidRDefault="0006497B" w:rsidP="003A62C6">
      <w:pPr>
        <w:spacing w:after="0"/>
        <w:jc w:val="both"/>
        <w:rPr>
          <w:rFonts w:eastAsia="Times New Roman" w:cs="Segoe UI"/>
          <w:sz w:val="16"/>
          <w:szCs w:val="16"/>
          <w:u w:val="single"/>
          <w:lang w:eastAsia="es-MX"/>
        </w:rPr>
      </w:pPr>
      <w:r w:rsidRPr="003A62C6">
        <w:rPr>
          <w:rStyle w:val="Refdenotaalpie"/>
          <w:sz w:val="16"/>
          <w:szCs w:val="16"/>
        </w:rPr>
        <w:footnoteRef/>
      </w:r>
      <w:r w:rsidRPr="003A62C6">
        <w:rPr>
          <w:sz w:val="16"/>
          <w:szCs w:val="16"/>
        </w:rPr>
        <w:t xml:space="preserve"> El nombre correcto para el Ethernet es IEEE 802.3 CMSA/CD o acceso múltiple con detección de portadora y detección de colisiones</w:t>
      </w:r>
      <w:r w:rsidRPr="003A62C6">
        <w:rPr>
          <w:i/>
          <w:sz w:val="16"/>
          <w:szCs w:val="16"/>
        </w:rPr>
        <w:t xml:space="preserve"> (carrier sense multiple access with collision detection)</w:t>
      </w:r>
      <w:r w:rsidRPr="003A62C6">
        <w:rPr>
          <w:sz w:val="16"/>
          <w:szCs w:val="16"/>
        </w:rPr>
        <w:t>. Actualmente, existen cuatro estándares de Ethernet que varían de acuerdo con su velocidad: Ethernet, Ethernet veloz o Fast Ethernet, Gigabit Ethernet y 10</w:t>
      </w:r>
      <w:r>
        <w:rPr>
          <w:sz w:val="16"/>
          <w:szCs w:val="16"/>
        </w:rPr>
        <w:t xml:space="preserve"> </w:t>
      </w:r>
      <w:r w:rsidRPr="003A62C6">
        <w:rPr>
          <w:sz w:val="16"/>
          <w:szCs w:val="16"/>
        </w:rPr>
        <w:t xml:space="preserve">Gigabit Ethernet. </w:t>
      </w:r>
      <w:r>
        <w:rPr>
          <w:sz w:val="16"/>
          <w:szCs w:val="16"/>
        </w:rPr>
        <w:t xml:space="preserve">Información proveniente del documento titulado </w:t>
      </w:r>
      <w:r w:rsidRPr="00D536E0">
        <w:rPr>
          <w:i/>
          <w:sz w:val="16"/>
          <w:szCs w:val="16"/>
        </w:rPr>
        <w:t>“Diferencias entre Ethernet y IEEE 802.3”</w:t>
      </w:r>
      <w:r>
        <w:rPr>
          <w:sz w:val="16"/>
          <w:szCs w:val="16"/>
        </w:rPr>
        <w:t>. Foja</w:t>
      </w:r>
      <w:r w:rsidRPr="003A62C6">
        <w:rPr>
          <w:sz w:val="16"/>
          <w:szCs w:val="16"/>
        </w:rPr>
        <w:t xml:space="preserve"> </w:t>
      </w:r>
      <w:r>
        <w:rPr>
          <w:sz w:val="16"/>
          <w:szCs w:val="16"/>
        </w:rPr>
        <w:t>7303</w:t>
      </w:r>
      <w:r w:rsidRPr="003A62C6">
        <w:rPr>
          <w:sz w:val="16"/>
          <w:szCs w:val="16"/>
        </w:rPr>
        <w:t xml:space="preserve"> del Expediente.</w:t>
      </w:r>
    </w:p>
  </w:footnote>
  <w:footnote w:id="132">
    <w:p w14:paraId="4D6F3F89" w14:textId="77777777" w:rsidR="0006497B" w:rsidRPr="003A62C6" w:rsidRDefault="0006497B" w:rsidP="003A62C6">
      <w:pPr>
        <w:pStyle w:val="Textonotapie"/>
        <w:jc w:val="both"/>
        <w:rPr>
          <w:sz w:val="16"/>
          <w:szCs w:val="16"/>
        </w:rPr>
      </w:pPr>
      <w:r w:rsidRPr="003A62C6">
        <w:rPr>
          <w:rStyle w:val="Refdenotaalpie"/>
          <w:sz w:val="16"/>
          <w:szCs w:val="16"/>
        </w:rPr>
        <w:footnoteRef/>
      </w:r>
      <w:r>
        <w:rPr>
          <w:sz w:val="16"/>
          <w:szCs w:val="16"/>
        </w:rPr>
        <w:t xml:space="preserve"> Resolución DC-</w:t>
      </w:r>
      <w:r w:rsidRPr="003A62C6">
        <w:rPr>
          <w:sz w:val="16"/>
          <w:szCs w:val="16"/>
        </w:rPr>
        <w:t xml:space="preserve">02-2007, pp. 216 a 219., Laura Muñoz (2013) </w:t>
      </w:r>
      <w:r w:rsidRPr="003A62C6">
        <w:rPr>
          <w:i/>
          <w:sz w:val="16"/>
          <w:szCs w:val="16"/>
        </w:rPr>
        <w:t>Evolución de la red de transmisión de acceso móvil desde TDM a All-IP</w:t>
      </w:r>
      <w:r w:rsidRPr="003A62C6">
        <w:rPr>
          <w:sz w:val="16"/>
          <w:szCs w:val="16"/>
        </w:rPr>
        <w:t xml:space="preserve">, Ingeniería en Telecomunicaciones, Universitat Politècnica de València, España, pp. 125 a 129, y Ángel Báez (2013) </w:t>
      </w:r>
      <w:r w:rsidRPr="003A62C6">
        <w:rPr>
          <w:i/>
          <w:sz w:val="16"/>
          <w:szCs w:val="16"/>
        </w:rPr>
        <w:t>Estudio sobre la tecnología “carrier Ethernet” para la creación de redes privadas virtuales</w:t>
      </w:r>
      <w:r w:rsidRPr="003A62C6">
        <w:rPr>
          <w:sz w:val="16"/>
          <w:szCs w:val="16"/>
        </w:rPr>
        <w:t>. Maestría en Ingeniería de Sistemas Telemáticos, Universidad Politécnica de Madrid, España, pp. 16 a 21.</w:t>
      </w:r>
    </w:p>
  </w:footnote>
  <w:footnote w:id="133">
    <w:p w14:paraId="3FE558FD" w14:textId="77777777" w:rsidR="0006497B" w:rsidRPr="003A62C6" w:rsidRDefault="0006497B" w:rsidP="008C773D">
      <w:pPr>
        <w:spacing w:after="0"/>
        <w:jc w:val="both"/>
        <w:rPr>
          <w:sz w:val="16"/>
          <w:szCs w:val="16"/>
        </w:rPr>
      </w:pPr>
      <w:r w:rsidRPr="003A62C6">
        <w:rPr>
          <w:rStyle w:val="Refdenotaalpie"/>
          <w:sz w:val="16"/>
          <w:szCs w:val="16"/>
        </w:rPr>
        <w:footnoteRef/>
      </w:r>
      <w:r w:rsidRPr="003A62C6">
        <w:rPr>
          <w:sz w:val="16"/>
          <w:szCs w:val="16"/>
        </w:rPr>
        <w:t xml:space="preserve"> Cálculos obtenidos a partir de la información de los ingresos por concepto de arrendamiento de enlaces dedicados por tipo de tecnología</w:t>
      </w:r>
      <w:r>
        <w:rPr>
          <w:sz w:val="16"/>
          <w:szCs w:val="16"/>
        </w:rPr>
        <w:t xml:space="preserve"> proporcionada </w:t>
      </w:r>
      <w:r w:rsidRPr="008720D8">
        <w:rPr>
          <w:b/>
          <w:bCs/>
          <w:color w:val="0000CC"/>
          <w:sz w:val="16"/>
          <w:szCs w:val="16"/>
        </w:rPr>
        <w:t>“CONFIDENCIAL POR LEY”</w:t>
      </w:r>
      <w:r>
        <w:rPr>
          <w:sz w:val="16"/>
          <w:szCs w:val="16"/>
        </w:rPr>
        <w:t xml:space="preserve">. Fojas: 321, </w:t>
      </w:r>
      <w:r w:rsidRPr="001464C5">
        <w:rPr>
          <w:sz w:val="16"/>
          <w:szCs w:val="16"/>
        </w:rPr>
        <w:t>3238, 3411, 3414, 3417, 3472,</w:t>
      </w:r>
      <w:r>
        <w:rPr>
          <w:sz w:val="16"/>
          <w:szCs w:val="16"/>
        </w:rPr>
        <w:t xml:space="preserve"> 3556, 3559, 3756, </w:t>
      </w:r>
      <w:r w:rsidRPr="006F0935">
        <w:rPr>
          <w:sz w:val="16"/>
          <w:szCs w:val="16"/>
        </w:rPr>
        <w:t>4870, 4899, 4901, 4918</w:t>
      </w:r>
      <w:r>
        <w:rPr>
          <w:sz w:val="16"/>
          <w:szCs w:val="16"/>
        </w:rPr>
        <w:t>,</w:t>
      </w:r>
      <w:r w:rsidRPr="006F0935">
        <w:rPr>
          <w:sz w:val="16"/>
          <w:szCs w:val="16"/>
        </w:rPr>
        <w:t xml:space="preserve"> </w:t>
      </w:r>
      <w:r>
        <w:rPr>
          <w:sz w:val="16"/>
          <w:szCs w:val="16"/>
        </w:rPr>
        <w:t xml:space="preserve">5084, </w:t>
      </w:r>
      <w:r w:rsidRPr="00871D0D">
        <w:rPr>
          <w:sz w:val="16"/>
          <w:szCs w:val="16"/>
        </w:rPr>
        <w:t>5462, 5538-5539, 5620</w:t>
      </w:r>
      <w:r>
        <w:rPr>
          <w:sz w:val="16"/>
          <w:szCs w:val="16"/>
        </w:rPr>
        <w:t xml:space="preserve">, 5969-5973, 7174, 6096, 6097, 6128, 6459, 6507, </w:t>
      </w:r>
      <w:r w:rsidRPr="00871D0D">
        <w:rPr>
          <w:sz w:val="16"/>
          <w:szCs w:val="16"/>
        </w:rPr>
        <w:t>6748, 6856, 6858, 6860</w:t>
      </w:r>
      <w:r>
        <w:rPr>
          <w:sz w:val="16"/>
          <w:szCs w:val="16"/>
        </w:rPr>
        <w:t>, 6917, 6924, 6927, 6928, 6972, 7883, 8077, 8080, 8083, 8113, 8741 y</w:t>
      </w:r>
      <w:r w:rsidRPr="00871D0D">
        <w:rPr>
          <w:sz w:val="16"/>
          <w:szCs w:val="16"/>
        </w:rPr>
        <w:t xml:space="preserve"> </w:t>
      </w:r>
      <w:r w:rsidRPr="00A71CEF">
        <w:rPr>
          <w:sz w:val="16"/>
          <w:szCs w:val="16"/>
        </w:rPr>
        <w:t>8746</w:t>
      </w:r>
      <w:r w:rsidRPr="00871D0D">
        <w:rPr>
          <w:sz w:val="16"/>
          <w:szCs w:val="16"/>
        </w:rPr>
        <w:t xml:space="preserve"> </w:t>
      </w:r>
      <w:r>
        <w:rPr>
          <w:sz w:val="16"/>
          <w:szCs w:val="16"/>
        </w:rPr>
        <w:t>del Expediente.</w:t>
      </w:r>
    </w:p>
  </w:footnote>
  <w:footnote w:id="134">
    <w:p w14:paraId="5C93C32A"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Cálculos obtenidos a partir de la información del número de enlaces TDM y Ethernet en términos de E1 y 2 Mbps, respectivamente</w:t>
      </w:r>
      <w:r>
        <w:rPr>
          <w:sz w:val="16"/>
          <w:szCs w:val="16"/>
        </w:rPr>
        <w:t xml:space="preserve"> </w:t>
      </w:r>
      <w:r w:rsidRPr="00C720DA">
        <w:rPr>
          <w:sz w:val="16"/>
          <w:szCs w:val="16"/>
        </w:rPr>
        <w:t xml:space="preserve">proporcionada por </w:t>
      </w:r>
      <w:r w:rsidRPr="008720D8">
        <w:rPr>
          <w:b/>
          <w:bCs/>
          <w:color w:val="0000CC"/>
          <w:sz w:val="16"/>
          <w:szCs w:val="16"/>
        </w:rPr>
        <w:t>“CONFIDENCIAL POR LEY”</w:t>
      </w:r>
      <w:r w:rsidRPr="00C720DA">
        <w:rPr>
          <w:sz w:val="16"/>
          <w:szCs w:val="16"/>
        </w:rPr>
        <w:t>. Fojas 3421, 3422, 3424, 3426, 3560, 4907, 5084, 5540, 5541, 5620, 6099, 6100, 7826, 7828, 7834, 8089 y 8113 del Expediente.</w:t>
      </w:r>
    </w:p>
  </w:footnote>
  <w:footnote w:id="135">
    <w:p w14:paraId="2BB3199F"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La conmutación de etiquetas multiprotocolos MPLS, (</w:t>
      </w:r>
      <w:r w:rsidRPr="003A62C6">
        <w:rPr>
          <w:i/>
          <w:sz w:val="16"/>
          <w:szCs w:val="16"/>
        </w:rPr>
        <w:t>Multiprotocol Label Switching</w:t>
      </w:r>
      <w:r w:rsidRPr="003A62C6">
        <w:rPr>
          <w:sz w:val="16"/>
          <w:szCs w:val="16"/>
        </w:rPr>
        <w:t>) es un estándar IP de conmutación de paquetes definida por el IETF (Grupo de Trabajo de Ingeniería de Internet). Una red MPLS consiste en un conjunto de enrutadores de conmutación por etiquetas que conmuta y rutea paquetes con base en una etiqueta que se asigna a cada paquete.</w:t>
      </w:r>
      <w:r>
        <w:rPr>
          <w:sz w:val="16"/>
          <w:szCs w:val="16"/>
        </w:rPr>
        <w:t xml:space="preserve"> Información proveniente del documento titulado </w:t>
      </w:r>
      <w:r w:rsidRPr="00D536E0">
        <w:rPr>
          <w:i/>
          <w:sz w:val="16"/>
          <w:szCs w:val="16"/>
        </w:rPr>
        <w:t>“Qué es el MPLS”</w:t>
      </w:r>
      <w:r>
        <w:rPr>
          <w:sz w:val="16"/>
          <w:szCs w:val="16"/>
        </w:rPr>
        <w:t>.</w:t>
      </w:r>
      <w:r w:rsidRPr="00D536E0">
        <w:rPr>
          <w:sz w:val="16"/>
          <w:szCs w:val="16"/>
        </w:rPr>
        <w:t xml:space="preserve"> </w:t>
      </w:r>
      <w:r w:rsidRPr="003A62C6">
        <w:rPr>
          <w:sz w:val="16"/>
          <w:szCs w:val="16"/>
        </w:rPr>
        <w:t xml:space="preserve">Foja </w:t>
      </w:r>
      <w:r>
        <w:rPr>
          <w:sz w:val="16"/>
          <w:szCs w:val="16"/>
        </w:rPr>
        <w:t>7303</w:t>
      </w:r>
      <w:r w:rsidRPr="003A62C6">
        <w:rPr>
          <w:sz w:val="16"/>
          <w:szCs w:val="16"/>
        </w:rPr>
        <w:t xml:space="preserve"> del Expedi</w:t>
      </w:r>
      <w:r>
        <w:rPr>
          <w:sz w:val="16"/>
          <w:szCs w:val="16"/>
        </w:rPr>
        <w:t>ente.</w:t>
      </w:r>
    </w:p>
  </w:footnote>
  <w:footnote w:id="136">
    <w:p w14:paraId="10EAA9CD"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También existen los enlaces por conmutación de circuitos; sin embargo, estos no se consideran como parte del servicio de arrendamiento de enlaces dedicados, ya que no ofrecen una conexión permanente, sino esporádica, y requieren el establecimiento previo de una conexión. Entre los enlaces de comunicación por circuitos se encuentran el acceso telefónico analógico e ISDN. ISDN o RDSI, también conocida como Red Integrada de Servicios Integrados, es una red que transporta señales digitales, la cual es capaz de ofrecer varios servicios como voz y datos. William Stallings (2004) </w:t>
      </w:r>
      <w:r w:rsidRPr="003A62C6">
        <w:rPr>
          <w:i/>
          <w:sz w:val="16"/>
          <w:szCs w:val="16"/>
        </w:rPr>
        <w:t>Comunicaciones y Redes de Computadores</w:t>
      </w:r>
      <w:r w:rsidRPr="003A62C6">
        <w:rPr>
          <w:sz w:val="16"/>
          <w:szCs w:val="16"/>
        </w:rPr>
        <w:t xml:space="preserve">, Pearson </w:t>
      </w:r>
      <w:r>
        <w:rPr>
          <w:sz w:val="16"/>
          <w:szCs w:val="16"/>
        </w:rPr>
        <w:t>Prentice</w:t>
      </w:r>
      <w:r w:rsidRPr="003A62C6">
        <w:rPr>
          <w:sz w:val="16"/>
          <w:szCs w:val="16"/>
        </w:rPr>
        <w:t xml:space="preserve"> Hall, Séptima edición, pp. 206 a 209.</w:t>
      </w:r>
    </w:p>
  </w:footnote>
  <w:footnote w:id="137">
    <w:p w14:paraId="1580EA6D" w14:textId="77777777" w:rsidR="0006497B" w:rsidRPr="003A62C6" w:rsidRDefault="0006497B" w:rsidP="003A62C6">
      <w:pPr>
        <w:pStyle w:val="Textonotapie"/>
        <w:jc w:val="both"/>
        <w:rPr>
          <w:sz w:val="16"/>
          <w:szCs w:val="16"/>
        </w:rPr>
      </w:pPr>
      <w:r w:rsidRPr="003A62C6">
        <w:rPr>
          <w:rStyle w:val="Refdenotaalpie"/>
          <w:sz w:val="16"/>
          <w:szCs w:val="16"/>
        </w:rPr>
        <w:footnoteRef/>
      </w:r>
      <w:r>
        <w:rPr>
          <w:sz w:val="16"/>
          <w:szCs w:val="16"/>
        </w:rPr>
        <w:t xml:space="preserve"> Información proveniente del documento titulado </w:t>
      </w:r>
      <w:r w:rsidRPr="00D536E0">
        <w:rPr>
          <w:i/>
          <w:sz w:val="16"/>
          <w:szCs w:val="16"/>
        </w:rPr>
        <w:t>“Qué es el MPLS”</w:t>
      </w:r>
      <w:r>
        <w:rPr>
          <w:i/>
          <w:sz w:val="16"/>
          <w:szCs w:val="16"/>
        </w:rPr>
        <w:t>.</w:t>
      </w:r>
      <w:r w:rsidRPr="003A62C6">
        <w:rPr>
          <w:sz w:val="16"/>
          <w:szCs w:val="16"/>
        </w:rPr>
        <w:t xml:space="preserve"> Foja </w:t>
      </w:r>
      <w:r>
        <w:rPr>
          <w:sz w:val="16"/>
          <w:szCs w:val="16"/>
        </w:rPr>
        <w:t>7303</w:t>
      </w:r>
      <w:r w:rsidRPr="003A62C6">
        <w:rPr>
          <w:sz w:val="16"/>
          <w:szCs w:val="16"/>
        </w:rPr>
        <w:t xml:space="preserve"> del Expediente.</w:t>
      </w:r>
    </w:p>
  </w:footnote>
  <w:footnote w:id="138">
    <w:p w14:paraId="0DAE1FFB" w14:textId="77777777" w:rsidR="0006497B" w:rsidRPr="003A62C6" w:rsidRDefault="0006497B" w:rsidP="003A62C6">
      <w:pPr>
        <w:pStyle w:val="Textonotapie"/>
        <w:jc w:val="both"/>
        <w:rPr>
          <w:sz w:val="16"/>
          <w:szCs w:val="16"/>
        </w:rPr>
      </w:pPr>
      <w:r w:rsidRPr="003A62C6">
        <w:rPr>
          <w:rStyle w:val="Refdenotaalpie"/>
          <w:sz w:val="16"/>
          <w:szCs w:val="16"/>
        </w:rPr>
        <w:footnoteRef/>
      </w:r>
      <w:r>
        <w:rPr>
          <w:sz w:val="16"/>
          <w:szCs w:val="16"/>
        </w:rPr>
        <w:t xml:space="preserve"> Información proveniente de la descripción de los servicios de telecomunicaciones proporcionada por </w:t>
      </w:r>
      <w:r w:rsidRPr="008720D8">
        <w:rPr>
          <w:b/>
          <w:bCs/>
          <w:color w:val="0000CC"/>
          <w:sz w:val="16"/>
          <w:szCs w:val="16"/>
        </w:rPr>
        <w:t>“CONFIDENCIAL POR LEY”</w:t>
      </w:r>
      <w:r>
        <w:rPr>
          <w:sz w:val="16"/>
          <w:szCs w:val="16"/>
        </w:rPr>
        <w:t xml:space="preserve"> así como de las páginas web de Alestra sobre la oferta comercial denominada “</w:t>
      </w:r>
      <w:r w:rsidRPr="003E1565">
        <w:rPr>
          <w:i/>
          <w:sz w:val="16"/>
          <w:szCs w:val="16"/>
        </w:rPr>
        <w:t>EVPN Red MPLS de Alestra</w:t>
      </w:r>
      <w:r>
        <w:rPr>
          <w:sz w:val="16"/>
          <w:szCs w:val="16"/>
        </w:rPr>
        <w:t>” y de Telmex sobre la oferta comercial denominada “</w:t>
      </w:r>
      <w:r w:rsidRPr="004D3BD5">
        <w:rPr>
          <w:i/>
          <w:sz w:val="16"/>
          <w:szCs w:val="16"/>
        </w:rPr>
        <w:t>Red Privada Virtual de Telmex</w:t>
      </w:r>
      <w:r>
        <w:rPr>
          <w:sz w:val="16"/>
          <w:szCs w:val="16"/>
        </w:rPr>
        <w:t>” y de los documentos titulados “</w:t>
      </w:r>
      <w:r w:rsidRPr="004D3BD5">
        <w:rPr>
          <w:i/>
          <w:sz w:val="16"/>
          <w:szCs w:val="16"/>
        </w:rPr>
        <w:t>Redes Privadas Virtuales</w:t>
      </w:r>
      <w:r>
        <w:rPr>
          <w:i/>
          <w:sz w:val="16"/>
          <w:szCs w:val="16"/>
        </w:rPr>
        <w:t xml:space="preserve"> (VPN)</w:t>
      </w:r>
      <w:r>
        <w:rPr>
          <w:sz w:val="16"/>
          <w:szCs w:val="16"/>
        </w:rPr>
        <w:t>” y “</w:t>
      </w:r>
      <w:r w:rsidRPr="00690D01">
        <w:rPr>
          <w:i/>
          <w:sz w:val="16"/>
          <w:szCs w:val="16"/>
        </w:rPr>
        <w:t>Sistemas: La eterna decisión en el camino de las TI’s</w:t>
      </w:r>
      <w:r>
        <w:rPr>
          <w:i/>
          <w:sz w:val="16"/>
          <w:szCs w:val="16"/>
        </w:rPr>
        <w:t>”.</w:t>
      </w:r>
      <w:r>
        <w:rPr>
          <w:sz w:val="16"/>
          <w:szCs w:val="16"/>
        </w:rPr>
        <w:t xml:space="preserve"> </w:t>
      </w:r>
      <w:r w:rsidRPr="003A62C6">
        <w:rPr>
          <w:sz w:val="16"/>
          <w:szCs w:val="16"/>
        </w:rPr>
        <w:t xml:space="preserve">Fojas </w:t>
      </w:r>
      <w:r>
        <w:rPr>
          <w:sz w:val="16"/>
          <w:szCs w:val="16"/>
        </w:rPr>
        <w:t>3513, 3514, 5025, 7303, 7320, 7364 a 7539 y 7584.</w:t>
      </w:r>
    </w:p>
  </w:footnote>
  <w:footnote w:id="139">
    <w:p w14:paraId="6C0DA57D" w14:textId="77777777" w:rsidR="0006497B" w:rsidRPr="003A62C6" w:rsidRDefault="0006497B" w:rsidP="003A62C6">
      <w:pPr>
        <w:pStyle w:val="Textonotapie"/>
        <w:jc w:val="both"/>
        <w:rPr>
          <w:sz w:val="16"/>
          <w:szCs w:val="16"/>
        </w:rPr>
      </w:pPr>
      <w:r w:rsidRPr="00F711FD">
        <w:rPr>
          <w:rStyle w:val="Refdenotaalpie"/>
          <w:sz w:val="16"/>
          <w:szCs w:val="16"/>
        </w:rPr>
        <w:footnoteRef/>
      </w:r>
      <w:r w:rsidRPr="00F711FD">
        <w:rPr>
          <w:sz w:val="16"/>
          <w:szCs w:val="16"/>
        </w:rPr>
        <w:t xml:space="preserve"> Aproximadamente, el 93.5% de los ingresos por arrendamiento de enlaces MPLS provenían de usuarios finales en el año dos mil diecisiete y en el primer trimestre de dos mil dieciocho este porcentaje se había incrementado a 94.2%.</w:t>
      </w:r>
      <w:r w:rsidRPr="003A62C6">
        <w:rPr>
          <w:sz w:val="16"/>
          <w:szCs w:val="16"/>
        </w:rPr>
        <w:t xml:space="preserve"> Cálculos realizados con base en información de los ingresos por concepto de enlaces dedicados, por tipo de tecnología y cliente</w:t>
      </w:r>
      <w:r>
        <w:rPr>
          <w:sz w:val="16"/>
          <w:szCs w:val="16"/>
        </w:rPr>
        <w:t xml:space="preserve"> proporcionada por </w:t>
      </w:r>
      <w:r w:rsidRPr="008720D8">
        <w:rPr>
          <w:b/>
          <w:bCs/>
          <w:color w:val="0000CC"/>
          <w:sz w:val="16"/>
          <w:szCs w:val="16"/>
        </w:rPr>
        <w:t>“CONFIDENCIAL POR LEY”</w:t>
      </w:r>
      <w:r w:rsidRPr="00C82B1B">
        <w:rPr>
          <w:bCs/>
          <w:sz w:val="16"/>
          <w:szCs w:val="16"/>
        </w:rPr>
        <w:t>.</w:t>
      </w:r>
      <w:r w:rsidRPr="003A62C6">
        <w:rPr>
          <w:sz w:val="16"/>
          <w:szCs w:val="16"/>
        </w:rPr>
        <w:t xml:space="preserve"> </w:t>
      </w:r>
      <w:r>
        <w:rPr>
          <w:sz w:val="16"/>
          <w:szCs w:val="16"/>
        </w:rPr>
        <w:t>F</w:t>
      </w:r>
      <w:r w:rsidRPr="003A62C6">
        <w:rPr>
          <w:sz w:val="16"/>
          <w:szCs w:val="16"/>
        </w:rPr>
        <w:t xml:space="preserve">ojas </w:t>
      </w:r>
      <w:r>
        <w:rPr>
          <w:sz w:val="16"/>
          <w:szCs w:val="16"/>
        </w:rPr>
        <w:t xml:space="preserve">321, </w:t>
      </w:r>
      <w:r w:rsidRPr="001464C5">
        <w:rPr>
          <w:sz w:val="16"/>
          <w:szCs w:val="16"/>
        </w:rPr>
        <w:t>3238, 3411, 3414, 3417, 3472,</w:t>
      </w:r>
      <w:r>
        <w:rPr>
          <w:sz w:val="16"/>
          <w:szCs w:val="16"/>
        </w:rPr>
        <w:t xml:space="preserve"> 3556, 3559, 3756, </w:t>
      </w:r>
      <w:r w:rsidRPr="006F0935">
        <w:rPr>
          <w:sz w:val="16"/>
          <w:szCs w:val="16"/>
        </w:rPr>
        <w:t>4870, 4899, 4901, 4918</w:t>
      </w:r>
      <w:r>
        <w:rPr>
          <w:sz w:val="16"/>
          <w:szCs w:val="16"/>
        </w:rPr>
        <w:t>,</w:t>
      </w:r>
      <w:r w:rsidRPr="006F0935">
        <w:rPr>
          <w:sz w:val="16"/>
          <w:szCs w:val="16"/>
        </w:rPr>
        <w:t xml:space="preserve"> </w:t>
      </w:r>
      <w:r>
        <w:rPr>
          <w:sz w:val="16"/>
          <w:szCs w:val="16"/>
        </w:rPr>
        <w:t xml:space="preserve">5084, 5462, 5538, </w:t>
      </w:r>
      <w:r w:rsidRPr="00871D0D">
        <w:rPr>
          <w:sz w:val="16"/>
          <w:szCs w:val="16"/>
        </w:rPr>
        <w:t>5539, 5620</w:t>
      </w:r>
      <w:r>
        <w:rPr>
          <w:sz w:val="16"/>
          <w:szCs w:val="16"/>
        </w:rPr>
        <w:t xml:space="preserve">, 5969 a 5973, 7174, 6096, 6097, 6128, 6459, 6507, </w:t>
      </w:r>
      <w:r w:rsidRPr="00871D0D">
        <w:rPr>
          <w:sz w:val="16"/>
          <w:szCs w:val="16"/>
        </w:rPr>
        <w:t>6748, 6856, 6858, 6860</w:t>
      </w:r>
      <w:r>
        <w:rPr>
          <w:sz w:val="16"/>
          <w:szCs w:val="16"/>
        </w:rPr>
        <w:t>, 6917, 6924, 6927, 6928, 6972, 7883, 8077, 8080, 8083, 8113, 8741 y</w:t>
      </w:r>
      <w:r w:rsidRPr="00871D0D">
        <w:rPr>
          <w:sz w:val="16"/>
          <w:szCs w:val="16"/>
        </w:rPr>
        <w:t xml:space="preserve"> </w:t>
      </w:r>
      <w:r w:rsidRPr="00A71CEF">
        <w:rPr>
          <w:sz w:val="16"/>
          <w:szCs w:val="16"/>
        </w:rPr>
        <w:t>8746</w:t>
      </w:r>
      <w:r w:rsidRPr="00871D0D">
        <w:rPr>
          <w:sz w:val="16"/>
          <w:szCs w:val="16"/>
        </w:rPr>
        <w:t xml:space="preserve"> </w:t>
      </w:r>
      <w:r w:rsidRPr="003A62C6">
        <w:rPr>
          <w:sz w:val="16"/>
          <w:szCs w:val="16"/>
        </w:rPr>
        <w:t>del Expediente.</w:t>
      </w:r>
    </w:p>
  </w:footnote>
  <w:footnote w:id="140">
    <w:p w14:paraId="6292AD49"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Por ejemplo, </w:t>
      </w:r>
      <w:r w:rsidRPr="008720D8">
        <w:rPr>
          <w:b/>
          <w:bCs/>
          <w:color w:val="0000CC"/>
          <w:sz w:val="16"/>
          <w:szCs w:val="16"/>
        </w:rPr>
        <w:t>“CONFIDENCIAL POR LEY”</w:t>
      </w:r>
      <w:r w:rsidRPr="00CE0714">
        <w:rPr>
          <w:sz w:val="16"/>
          <w:szCs w:val="16"/>
        </w:rPr>
        <w:t xml:space="preserve"> </w:t>
      </w:r>
      <w:r w:rsidRPr="003A62C6">
        <w:rPr>
          <w:sz w:val="16"/>
          <w:szCs w:val="16"/>
        </w:rPr>
        <w:t>no especifica</w:t>
      </w:r>
      <w:r w:rsidRPr="00CE0714">
        <w:rPr>
          <w:sz w:val="16"/>
          <w:szCs w:val="16"/>
        </w:rPr>
        <w:t xml:space="preserve"> </w:t>
      </w:r>
      <w:r w:rsidRPr="003A62C6">
        <w:rPr>
          <w:sz w:val="16"/>
          <w:szCs w:val="16"/>
        </w:rPr>
        <w:t>diversas coberturas</w:t>
      </w:r>
      <w:r>
        <w:rPr>
          <w:sz w:val="16"/>
          <w:szCs w:val="16"/>
        </w:rPr>
        <w:t xml:space="preserve"> geográficas</w:t>
      </w:r>
      <w:r w:rsidRPr="003A62C6">
        <w:rPr>
          <w:sz w:val="16"/>
          <w:szCs w:val="16"/>
        </w:rPr>
        <w:t xml:space="preserve"> en </w:t>
      </w:r>
      <w:r>
        <w:rPr>
          <w:sz w:val="16"/>
          <w:szCs w:val="16"/>
        </w:rPr>
        <w:t>su oferta comercial de</w:t>
      </w:r>
      <w:r w:rsidRPr="003A62C6">
        <w:rPr>
          <w:sz w:val="16"/>
          <w:szCs w:val="16"/>
        </w:rPr>
        <w:t xml:space="preserve"> enlaces MPLS, a diferencia de </w:t>
      </w:r>
      <w:r>
        <w:rPr>
          <w:sz w:val="16"/>
          <w:szCs w:val="16"/>
        </w:rPr>
        <w:t xml:space="preserve">la oferta comercial de </w:t>
      </w:r>
      <w:r w:rsidRPr="003A62C6">
        <w:rPr>
          <w:sz w:val="16"/>
          <w:szCs w:val="16"/>
        </w:rPr>
        <w:t>los enlaces TDM y Ethernet</w:t>
      </w:r>
      <w:r>
        <w:rPr>
          <w:sz w:val="16"/>
          <w:szCs w:val="16"/>
        </w:rPr>
        <w:t>, en la cual sí ofrece distintas</w:t>
      </w:r>
      <w:r w:rsidRPr="003A62C6">
        <w:rPr>
          <w:sz w:val="16"/>
          <w:szCs w:val="16"/>
        </w:rPr>
        <w:t xml:space="preserve"> coberturas geográficas. Por su parte, </w:t>
      </w:r>
      <w:r w:rsidRPr="008720D8">
        <w:rPr>
          <w:b/>
          <w:bCs/>
          <w:color w:val="0000CC"/>
          <w:sz w:val="16"/>
          <w:szCs w:val="16"/>
        </w:rPr>
        <w:t>“CONFIDENCIAL POR LEY”</w:t>
      </w:r>
      <w:r w:rsidRPr="003A62C6">
        <w:rPr>
          <w:sz w:val="16"/>
          <w:szCs w:val="16"/>
        </w:rPr>
        <w:t xml:space="preserve"> señala que el servicio </w:t>
      </w:r>
      <w:r>
        <w:rPr>
          <w:sz w:val="16"/>
          <w:szCs w:val="16"/>
        </w:rPr>
        <w:t xml:space="preserve">MPLS </w:t>
      </w:r>
      <w:r w:rsidRPr="003A62C6">
        <w:rPr>
          <w:sz w:val="16"/>
          <w:szCs w:val="16"/>
        </w:rPr>
        <w:t xml:space="preserve">tiene cobertura nacional y no cobra por tramos de larga distancia. Fojas </w:t>
      </w:r>
      <w:r>
        <w:rPr>
          <w:sz w:val="16"/>
          <w:szCs w:val="16"/>
        </w:rPr>
        <w:t>3739, 3740 y 5025 del Expediente.</w:t>
      </w:r>
    </w:p>
  </w:footnote>
  <w:footnote w:id="141">
    <w:p w14:paraId="300EB38B"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Contratos de </w:t>
      </w:r>
      <w:r w:rsidRPr="008720D8">
        <w:rPr>
          <w:b/>
          <w:bCs/>
          <w:color w:val="0000CC"/>
          <w:sz w:val="16"/>
          <w:szCs w:val="16"/>
        </w:rPr>
        <w:t>“CONFIDENCIAL POR LEY”</w:t>
      </w:r>
      <w:r w:rsidRPr="003A62C6">
        <w:rPr>
          <w:sz w:val="16"/>
          <w:szCs w:val="16"/>
        </w:rPr>
        <w:t xml:space="preserve">. Fojas </w:t>
      </w:r>
      <w:r>
        <w:rPr>
          <w:sz w:val="16"/>
          <w:szCs w:val="16"/>
        </w:rPr>
        <w:t>3561, 3562 y 4846 a 5848 del Expediente.</w:t>
      </w:r>
    </w:p>
  </w:footnote>
  <w:footnote w:id="142">
    <w:p w14:paraId="3F0AB629" w14:textId="77777777" w:rsidR="0006497B" w:rsidRPr="003A62C6" w:rsidRDefault="0006497B" w:rsidP="003A62C6">
      <w:pPr>
        <w:pStyle w:val="Textonotapie"/>
        <w:jc w:val="both"/>
        <w:rPr>
          <w:sz w:val="16"/>
          <w:szCs w:val="16"/>
        </w:rPr>
      </w:pPr>
      <w:r w:rsidRPr="00F711FD">
        <w:rPr>
          <w:rStyle w:val="Refdenotaalpie"/>
          <w:sz w:val="16"/>
          <w:szCs w:val="16"/>
        </w:rPr>
        <w:footnoteRef/>
      </w:r>
      <w:r w:rsidRPr="00F711FD">
        <w:rPr>
          <w:sz w:val="16"/>
          <w:szCs w:val="16"/>
        </w:rPr>
        <w:t xml:space="preserve"> </w:t>
      </w:r>
      <w:r w:rsidRPr="003A62C6">
        <w:rPr>
          <w:sz w:val="16"/>
          <w:szCs w:val="16"/>
        </w:rPr>
        <w:t xml:space="preserve">Cálculos obtenidos de los ingresos por tipo de tecnología y tipo de cliente de </w:t>
      </w:r>
      <w:r w:rsidRPr="008720D8">
        <w:rPr>
          <w:b/>
          <w:bCs/>
          <w:color w:val="0000CC"/>
          <w:sz w:val="16"/>
          <w:szCs w:val="16"/>
        </w:rPr>
        <w:t>“CONFIDENCIAL POR LEY”</w:t>
      </w:r>
      <w:r w:rsidRPr="003A62C6">
        <w:rPr>
          <w:sz w:val="16"/>
          <w:szCs w:val="16"/>
        </w:rPr>
        <w:t xml:space="preserve">. Fojas </w:t>
      </w:r>
      <w:r>
        <w:rPr>
          <w:sz w:val="16"/>
          <w:szCs w:val="16"/>
        </w:rPr>
        <w:t>3556, 3559, 3756, 5084, 6459, 7883, 8077, 8080, 8083, 8113, 8741 y</w:t>
      </w:r>
      <w:r w:rsidRPr="00871D0D">
        <w:rPr>
          <w:sz w:val="16"/>
          <w:szCs w:val="16"/>
        </w:rPr>
        <w:t xml:space="preserve"> </w:t>
      </w:r>
      <w:r w:rsidRPr="00A71CEF">
        <w:rPr>
          <w:sz w:val="16"/>
          <w:szCs w:val="16"/>
        </w:rPr>
        <w:t>8746</w:t>
      </w:r>
      <w:r w:rsidRPr="00871D0D">
        <w:rPr>
          <w:sz w:val="16"/>
          <w:szCs w:val="16"/>
        </w:rPr>
        <w:t xml:space="preserve"> </w:t>
      </w:r>
      <w:r w:rsidRPr="003A62C6">
        <w:rPr>
          <w:sz w:val="16"/>
          <w:szCs w:val="16"/>
        </w:rPr>
        <w:t>del Expediente.</w:t>
      </w:r>
    </w:p>
  </w:footnote>
  <w:footnote w:id="143">
    <w:p w14:paraId="18FB147F"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Resolución DC-02-2007, pp. 316 a 320.</w:t>
      </w:r>
      <w:r>
        <w:rPr>
          <w:sz w:val="16"/>
          <w:szCs w:val="16"/>
        </w:rPr>
        <w:t xml:space="preserve"> </w:t>
      </w:r>
    </w:p>
  </w:footnote>
  <w:footnote w:id="144">
    <w:p w14:paraId="734DF831" w14:textId="77777777" w:rsidR="0006497B" w:rsidRDefault="0006497B" w:rsidP="00D51E65">
      <w:pPr>
        <w:pStyle w:val="Textonotapie"/>
        <w:jc w:val="both"/>
      </w:pPr>
      <w:r w:rsidRPr="00C40B54">
        <w:rPr>
          <w:rStyle w:val="Refdenotaalpie"/>
          <w:sz w:val="16"/>
          <w:szCs w:val="16"/>
        </w:rPr>
        <w:footnoteRef/>
      </w:r>
      <w:r w:rsidRPr="00C40B54">
        <w:rPr>
          <w:sz w:val="16"/>
          <w:szCs w:val="16"/>
        </w:rPr>
        <w:t xml:space="preserve"> </w:t>
      </w:r>
      <w:r>
        <w:rPr>
          <w:sz w:val="16"/>
          <w:szCs w:val="16"/>
        </w:rPr>
        <w:t xml:space="preserve">El </w:t>
      </w:r>
      <w:r w:rsidRPr="00CC65C6">
        <w:rPr>
          <w:i/>
          <w:sz w:val="16"/>
          <w:szCs w:val="16"/>
        </w:rPr>
        <w:t>“Acuerdo mediante el cual el Pleno del Instituto Federal de Telecomunicaciones aprueba el modelo de co</w:t>
      </w:r>
      <w:r>
        <w:rPr>
          <w:i/>
          <w:sz w:val="16"/>
          <w:szCs w:val="16"/>
        </w:rPr>
        <w:t>s</w:t>
      </w:r>
      <w:r w:rsidRPr="00CC65C6">
        <w:rPr>
          <w:i/>
          <w:sz w:val="16"/>
          <w:szCs w:val="16"/>
        </w:rPr>
        <w:t>tos del servicio mayorista de arrendamiento de enlaces locales, entre localidades y de larga distancia internacional que prestará Teléfonos de México, S.A.B. de C.V. y Teléfonos del Noreste, S.A. de C.V. y hace del conocimiento público las tarifas aplicables al 31 de diciembre de 2016”</w:t>
      </w:r>
      <w:r>
        <w:rPr>
          <w:sz w:val="16"/>
          <w:szCs w:val="16"/>
        </w:rPr>
        <w:t xml:space="preserve"> señala (p. 13) que el AEP deja de incurrir en diversos costos al realizar la venta del servicio a nivel mayorista, como los gastos de facturación, los gastos por deudas incobrables, los gastos de atención y apoyo al cliente, entre otros. Fojas </w:t>
      </w:r>
      <w:r w:rsidRPr="008B7674">
        <w:rPr>
          <w:sz w:val="16"/>
          <w:szCs w:val="16"/>
        </w:rPr>
        <w:t>7301</w:t>
      </w:r>
      <w:r>
        <w:rPr>
          <w:sz w:val="16"/>
          <w:szCs w:val="16"/>
        </w:rPr>
        <w:t xml:space="preserve"> a 7303 del Expediente.</w:t>
      </w:r>
    </w:p>
  </w:footnote>
  <w:footnote w:id="145">
    <w:p w14:paraId="11376883"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Por ejemplo, en el primer trimestre de dos mil dieciocho, </w:t>
      </w:r>
      <w:r>
        <w:rPr>
          <w:sz w:val="16"/>
          <w:szCs w:val="16"/>
        </w:rPr>
        <w:t xml:space="preserve">el </w:t>
      </w:r>
      <w:r w:rsidRPr="003A62C6">
        <w:rPr>
          <w:sz w:val="16"/>
          <w:szCs w:val="16"/>
        </w:rPr>
        <w:t xml:space="preserve">63.3% del </w:t>
      </w:r>
      <w:r>
        <w:rPr>
          <w:sz w:val="16"/>
          <w:szCs w:val="16"/>
        </w:rPr>
        <w:t xml:space="preserve">número </w:t>
      </w:r>
      <w:r w:rsidRPr="003A62C6">
        <w:rPr>
          <w:sz w:val="16"/>
          <w:szCs w:val="16"/>
        </w:rPr>
        <w:t xml:space="preserve">total de enlaces TDM y Ethernet </w:t>
      </w:r>
      <w:r>
        <w:rPr>
          <w:sz w:val="16"/>
          <w:szCs w:val="16"/>
        </w:rPr>
        <w:t xml:space="preserve">eran </w:t>
      </w:r>
      <w:r w:rsidRPr="003A62C6">
        <w:rPr>
          <w:sz w:val="16"/>
          <w:szCs w:val="16"/>
        </w:rPr>
        <w:t xml:space="preserve">demandados por </w:t>
      </w:r>
      <w:r>
        <w:rPr>
          <w:sz w:val="16"/>
          <w:szCs w:val="16"/>
        </w:rPr>
        <w:t>usuarios</w:t>
      </w:r>
      <w:r w:rsidRPr="003A62C6">
        <w:rPr>
          <w:sz w:val="16"/>
          <w:szCs w:val="16"/>
        </w:rPr>
        <w:t xml:space="preserve"> minorista</w:t>
      </w:r>
      <w:r>
        <w:rPr>
          <w:sz w:val="16"/>
          <w:szCs w:val="16"/>
        </w:rPr>
        <w:t>s</w:t>
      </w:r>
      <w:r w:rsidRPr="003A62C6">
        <w:rPr>
          <w:sz w:val="16"/>
          <w:szCs w:val="16"/>
        </w:rPr>
        <w:t xml:space="preserve"> </w:t>
      </w:r>
      <w:r>
        <w:rPr>
          <w:sz w:val="16"/>
          <w:szCs w:val="16"/>
        </w:rPr>
        <w:t>(con</w:t>
      </w:r>
      <w:r w:rsidRPr="003A62C6">
        <w:rPr>
          <w:sz w:val="16"/>
          <w:szCs w:val="16"/>
        </w:rPr>
        <w:t xml:space="preserve"> velocidades de transmisión inferiores a 2 Mbps</w:t>
      </w:r>
      <w:r>
        <w:rPr>
          <w:sz w:val="16"/>
          <w:szCs w:val="16"/>
        </w:rPr>
        <w:t xml:space="preserve">); no obstante, en términos de ingresos estos generaban solamente el 34.7% del total de ingresos por concepto de arrendamiento de este tipo de enlaces. </w:t>
      </w:r>
      <w:r w:rsidRPr="003A62C6">
        <w:rPr>
          <w:sz w:val="16"/>
          <w:szCs w:val="16"/>
        </w:rPr>
        <w:t>Cálculos obtenidos a partir del número de enlaces por rangos de velocidad de transmisión</w:t>
      </w:r>
      <w:r>
        <w:rPr>
          <w:sz w:val="16"/>
          <w:szCs w:val="16"/>
        </w:rPr>
        <w:t xml:space="preserve"> </w:t>
      </w:r>
      <w:r w:rsidRPr="00D536E0">
        <w:rPr>
          <w:sz w:val="16"/>
          <w:szCs w:val="16"/>
        </w:rPr>
        <w:t xml:space="preserve">proporcionados por </w:t>
      </w:r>
      <w:r w:rsidRPr="008720D8">
        <w:rPr>
          <w:b/>
          <w:bCs/>
          <w:color w:val="0000CC"/>
          <w:sz w:val="16"/>
          <w:szCs w:val="16"/>
        </w:rPr>
        <w:t>“CONFIDENCIAL POR LEY”</w:t>
      </w:r>
      <w:r w:rsidRPr="00424D5B">
        <w:rPr>
          <w:bCs/>
          <w:sz w:val="16"/>
          <w:szCs w:val="16"/>
        </w:rPr>
        <w:t>,</w:t>
      </w:r>
      <w:r>
        <w:rPr>
          <w:sz w:val="16"/>
          <w:szCs w:val="16"/>
        </w:rPr>
        <w:t xml:space="preserve"> así como del monto de ingresos por concepto de arrendamiento de enlaces TDM y Ethernet</w:t>
      </w:r>
      <w:r w:rsidRPr="003A62C6">
        <w:rPr>
          <w:sz w:val="16"/>
          <w:szCs w:val="16"/>
        </w:rPr>
        <w:t xml:space="preserve"> </w:t>
      </w:r>
      <w:r>
        <w:rPr>
          <w:sz w:val="16"/>
          <w:szCs w:val="16"/>
        </w:rPr>
        <w:t xml:space="preserve">proporcionados por </w:t>
      </w:r>
      <w:r w:rsidRPr="008720D8">
        <w:rPr>
          <w:b/>
          <w:bCs/>
          <w:color w:val="0000CC"/>
          <w:sz w:val="16"/>
          <w:szCs w:val="16"/>
        </w:rPr>
        <w:t>“CONFIDENCIAL POR LEY”</w:t>
      </w:r>
      <w:r w:rsidRPr="00C82B1B">
        <w:rPr>
          <w:sz w:val="16"/>
          <w:szCs w:val="16"/>
        </w:rPr>
        <w:t>.</w:t>
      </w:r>
      <w:r w:rsidRPr="003A62C6">
        <w:rPr>
          <w:sz w:val="16"/>
          <w:szCs w:val="16"/>
        </w:rPr>
        <w:t xml:space="preserve"> </w:t>
      </w:r>
      <w:r w:rsidRPr="00D536E0">
        <w:rPr>
          <w:sz w:val="16"/>
          <w:szCs w:val="16"/>
        </w:rPr>
        <w:t>Fojas 321, 3238, 3411, 3414, 3417, 3428, 3430, 3472, 3556, 3559, 3560, 3756, 4870, 4899, 4901, 4918, 5084, 5462, 5538, 5539, 5541, 5542,</w:t>
      </w:r>
      <w:r>
        <w:rPr>
          <w:sz w:val="16"/>
          <w:szCs w:val="16"/>
        </w:rPr>
        <w:t xml:space="preserve"> 5620, 5969 a </w:t>
      </w:r>
      <w:r w:rsidRPr="00D536E0">
        <w:rPr>
          <w:sz w:val="16"/>
          <w:szCs w:val="16"/>
        </w:rPr>
        <w:t xml:space="preserve">5973, 6096, 6097, 6101, 6128, 6459, </w:t>
      </w:r>
      <w:r w:rsidRPr="00F6111F">
        <w:rPr>
          <w:sz w:val="16"/>
          <w:szCs w:val="16"/>
        </w:rPr>
        <w:t>6472 a 6475</w:t>
      </w:r>
      <w:r>
        <w:rPr>
          <w:sz w:val="16"/>
          <w:szCs w:val="16"/>
        </w:rPr>
        <w:t>,</w:t>
      </w:r>
      <w:r w:rsidRPr="00F6111F">
        <w:rPr>
          <w:sz w:val="16"/>
          <w:szCs w:val="16"/>
        </w:rPr>
        <w:t xml:space="preserve"> </w:t>
      </w:r>
      <w:r w:rsidRPr="00D536E0">
        <w:rPr>
          <w:sz w:val="16"/>
          <w:szCs w:val="16"/>
        </w:rPr>
        <w:t>6507, 6748, 6856, 6858, 6860, 6917, 6924, 6927, 6928, 6972, 7157,</w:t>
      </w:r>
      <w:r>
        <w:rPr>
          <w:sz w:val="16"/>
          <w:szCs w:val="16"/>
        </w:rPr>
        <w:t xml:space="preserve"> </w:t>
      </w:r>
      <w:r w:rsidRPr="00D536E0">
        <w:rPr>
          <w:sz w:val="16"/>
          <w:szCs w:val="16"/>
        </w:rPr>
        <w:t xml:space="preserve">7883, 8077, 8080, 8083, 8086, 8089, 8113, </w:t>
      </w:r>
      <w:r>
        <w:rPr>
          <w:sz w:val="16"/>
          <w:szCs w:val="16"/>
        </w:rPr>
        <w:t>8741 y 8746</w:t>
      </w:r>
      <w:r w:rsidRPr="00D536E0">
        <w:rPr>
          <w:sz w:val="16"/>
          <w:szCs w:val="16"/>
        </w:rPr>
        <w:t xml:space="preserve"> del Expediente.</w:t>
      </w:r>
    </w:p>
  </w:footnote>
  <w:footnote w:id="146">
    <w:p w14:paraId="15B1350C"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Pr>
          <w:sz w:val="16"/>
          <w:szCs w:val="16"/>
        </w:rPr>
        <w:t xml:space="preserve">La clasificación de los enlaces por tipo de cobertura geográfica se observa en la oferta comercial de AMX/Telesites </w:t>
      </w:r>
      <w:r w:rsidRPr="00E813DA">
        <w:rPr>
          <w:sz w:val="16"/>
          <w:szCs w:val="16"/>
        </w:rPr>
        <w:t xml:space="preserve">y </w:t>
      </w:r>
      <w:r>
        <w:rPr>
          <w:sz w:val="16"/>
          <w:szCs w:val="16"/>
        </w:rPr>
        <w:t>en</w:t>
      </w:r>
      <w:r w:rsidRPr="00E813DA">
        <w:rPr>
          <w:sz w:val="16"/>
          <w:szCs w:val="16"/>
        </w:rPr>
        <w:t xml:space="preserve"> la</w:t>
      </w:r>
      <w:r>
        <w:rPr>
          <w:sz w:val="16"/>
          <w:szCs w:val="16"/>
        </w:rPr>
        <w:t>s</w:t>
      </w:r>
      <w:r w:rsidRPr="00E813DA">
        <w:rPr>
          <w:i/>
          <w:sz w:val="16"/>
          <w:szCs w:val="16"/>
        </w:rPr>
        <w:t xml:space="preserve"> </w:t>
      </w:r>
      <w:r w:rsidRPr="00A23FF9">
        <w:rPr>
          <w:sz w:val="16"/>
          <w:szCs w:val="16"/>
        </w:rPr>
        <w:t>Ofertas de referencia de enlaces dedicados mayoristas</w:t>
      </w:r>
      <w:r w:rsidRPr="00E813DA">
        <w:rPr>
          <w:sz w:val="16"/>
          <w:szCs w:val="16"/>
        </w:rPr>
        <w:t>.</w:t>
      </w:r>
      <w:r w:rsidRPr="00D536E0">
        <w:rPr>
          <w:sz w:val="16"/>
          <w:szCs w:val="16"/>
        </w:rPr>
        <w:t xml:space="preserve"> </w:t>
      </w:r>
      <w:r>
        <w:rPr>
          <w:sz w:val="16"/>
          <w:szCs w:val="16"/>
        </w:rPr>
        <w:t xml:space="preserve">Otros operadores también diferencian su oferta comercial de enlaces por tipo de cobertura geográfica. Por ejemplo, </w:t>
      </w:r>
      <w:r w:rsidRPr="008720D8">
        <w:rPr>
          <w:b/>
          <w:bCs/>
          <w:color w:val="0000CC"/>
          <w:sz w:val="16"/>
          <w:szCs w:val="16"/>
        </w:rPr>
        <w:t>“CONFIDENCIAL POR LEY”</w:t>
      </w:r>
      <w:r w:rsidRPr="00424D5B">
        <w:rPr>
          <w:bCs/>
          <w:sz w:val="16"/>
          <w:szCs w:val="16"/>
        </w:rPr>
        <w:t xml:space="preserve"> </w:t>
      </w:r>
      <w:r>
        <w:rPr>
          <w:sz w:val="16"/>
          <w:szCs w:val="16"/>
        </w:rPr>
        <w:t xml:space="preserve">ofrecen enlaces locales, de larga distancia nacional y algunos de larga distancia internacional. En tanto, </w:t>
      </w:r>
      <w:r w:rsidRPr="008720D8">
        <w:rPr>
          <w:b/>
          <w:bCs/>
          <w:color w:val="0000CC"/>
          <w:sz w:val="16"/>
          <w:szCs w:val="16"/>
        </w:rPr>
        <w:t>“CONFIDENCIAL POR LEY”</w:t>
      </w:r>
      <w:r>
        <w:rPr>
          <w:sz w:val="16"/>
          <w:szCs w:val="16"/>
        </w:rPr>
        <w:t xml:space="preserve"> solo ofrecen enlaces de larga distancia nacional. </w:t>
      </w:r>
      <w:r w:rsidRPr="00D536E0">
        <w:rPr>
          <w:sz w:val="16"/>
          <w:szCs w:val="16"/>
        </w:rPr>
        <w:t xml:space="preserve">Fojas </w:t>
      </w:r>
      <w:r>
        <w:rPr>
          <w:sz w:val="16"/>
          <w:szCs w:val="16"/>
        </w:rPr>
        <w:t xml:space="preserve">3223, 3224 a 3229, 3432, 3433, 3440 a </w:t>
      </w:r>
      <w:r w:rsidRPr="003B03EE">
        <w:rPr>
          <w:sz w:val="16"/>
          <w:szCs w:val="16"/>
        </w:rPr>
        <w:t>3443</w:t>
      </w:r>
      <w:r>
        <w:rPr>
          <w:sz w:val="16"/>
          <w:szCs w:val="16"/>
        </w:rPr>
        <w:t xml:space="preserve">, </w:t>
      </w:r>
      <w:r w:rsidRPr="00D536E0">
        <w:rPr>
          <w:sz w:val="16"/>
          <w:szCs w:val="16"/>
        </w:rPr>
        <w:t>35</w:t>
      </w:r>
      <w:r>
        <w:rPr>
          <w:sz w:val="16"/>
          <w:szCs w:val="16"/>
        </w:rPr>
        <w:t xml:space="preserve">13, 3514, 3808, 5024, 4607, 4870, 4899, 4901, 4918, 5024, 5025,5033 a 5035, 6648, 7144, 7301 a </w:t>
      </w:r>
      <w:r w:rsidRPr="008B7674">
        <w:rPr>
          <w:sz w:val="16"/>
          <w:szCs w:val="16"/>
        </w:rPr>
        <w:t>7303</w:t>
      </w:r>
      <w:r>
        <w:rPr>
          <w:sz w:val="16"/>
          <w:szCs w:val="16"/>
        </w:rPr>
        <w:t>, 7311 y 7312</w:t>
      </w:r>
      <w:r w:rsidRPr="008B7674">
        <w:rPr>
          <w:sz w:val="16"/>
          <w:szCs w:val="16"/>
        </w:rPr>
        <w:t xml:space="preserve"> </w:t>
      </w:r>
      <w:r w:rsidRPr="00D536E0">
        <w:rPr>
          <w:sz w:val="16"/>
          <w:szCs w:val="16"/>
        </w:rPr>
        <w:t>del Expediente</w:t>
      </w:r>
      <w:r w:rsidRPr="003A62C6">
        <w:rPr>
          <w:sz w:val="16"/>
          <w:szCs w:val="16"/>
        </w:rPr>
        <w:t>.</w:t>
      </w:r>
    </w:p>
  </w:footnote>
  <w:footnote w:id="147">
    <w:p w14:paraId="4A4CBD77"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El servicio de arrendamiento de enlaces de interconexión es un servicio que se proporciona solo entre operadores de RPT, al amparo de los convenios de interconexión </w:t>
      </w:r>
      <w:r>
        <w:rPr>
          <w:sz w:val="16"/>
          <w:szCs w:val="16"/>
        </w:rPr>
        <w:t>previstos</w:t>
      </w:r>
      <w:r w:rsidRPr="003A62C6">
        <w:rPr>
          <w:sz w:val="16"/>
          <w:szCs w:val="16"/>
        </w:rPr>
        <w:t xml:space="preserve"> en el artículo 128 de la LFTyR, para cursar tráfico público conmutado entre dos RPT. Asimismo, los enlaces de interconexión se distinguen por utilizar la tecnología TDM, poseer una cobertura geográfica local y una capacidad de 2.048 Mbps.</w:t>
      </w:r>
    </w:p>
  </w:footnote>
  <w:footnote w:id="148">
    <w:p w14:paraId="7D0D493B"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Un usuario podría técnicamente recrear la funcionalidad de un enlace dedicado local con enlaces de larga distancia, pero ello no resultaría económicamente viable. </w:t>
      </w:r>
      <w:r>
        <w:rPr>
          <w:sz w:val="16"/>
          <w:szCs w:val="16"/>
        </w:rPr>
        <w:t>Lo anterior, en virtud de que,</w:t>
      </w:r>
      <w:r w:rsidRPr="003A62C6">
        <w:rPr>
          <w:sz w:val="16"/>
          <w:szCs w:val="16"/>
        </w:rPr>
        <w:t xml:space="preserve"> si un usuario desea conectar dos puntos A y B ubicados en una misma población, podría contratar dos enlaces de larga distancia, uno que vaya del punto A al punto C, este último ubicado en una tercera localidad, y del punto C al punto B ubicado en la primera localidad. Sin embargo, para hacerlo, se requieren dos enlaces dedicados de larga distancia, cada uno de los cuales se integra de dos tramos de acceso local y un tramo de larga distancia. Para el enlace local deseado sólo se requieren dos tramos de acceso local, por lo que recrear un enlace local con enlaces de larga distancia es mucho más costoso e ineficiente.</w:t>
      </w:r>
    </w:p>
  </w:footnote>
  <w:footnote w:id="149">
    <w:p w14:paraId="01BF55D2" w14:textId="77777777" w:rsidR="0006497B" w:rsidRPr="00FC7A82" w:rsidRDefault="0006497B" w:rsidP="00FC7A82">
      <w:pPr>
        <w:spacing w:after="0"/>
        <w:jc w:val="both"/>
        <w:rPr>
          <w:sz w:val="16"/>
          <w:szCs w:val="16"/>
        </w:rPr>
      </w:pPr>
      <w:r w:rsidRPr="00FC7A82">
        <w:rPr>
          <w:rStyle w:val="Refdenotaalpie"/>
          <w:sz w:val="16"/>
          <w:szCs w:val="16"/>
        </w:rPr>
        <w:footnoteRef/>
      </w:r>
      <w:r w:rsidRPr="00FC7A82">
        <w:rPr>
          <w:sz w:val="16"/>
          <w:szCs w:val="16"/>
        </w:rPr>
        <w:t xml:space="preserve"> Información obtenida de la descripción de la política de precios de los servicios de arrendamiento de enlaces dedicados proporcionada por </w:t>
      </w:r>
      <w:r w:rsidRPr="008720D8">
        <w:rPr>
          <w:b/>
          <w:bCs/>
          <w:color w:val="0000CC"/>
          <w:sz w:val="16"/>
          <w:szCs w:val="16"/>
        </w:rPr>
        <w:t>“CONFIDENCIAL POR LEY”</w:t>
      </w:r>
      <w:r w:rsidRPr="00FC7A82">
        <w:rPr>
          <w:sz w:val="16"/>
          <w:szCs w:val="16"/>
        </w:rPr>
        <w:t xml:space="preserve"> (en el E</w:t>
      </w:r>
      <w:r w:rsidRPr="00FA3726">
        <w:rPr>
          <w:sz w:val="16"/>
          <w:szCs w:val="16"/>
        </w:rPr>
        <w:t>xpediente AI/DC-002-2016), así como de facturas proporcionada</w:t>
      </w:r>
      <w:r>
        <w:rPr>
          <w:sz w:val="16"/>
          <w:szCs w:val="16"/>
        </w:rPr>
        <w:t>s</w:t>
      </w:r>
      <w:r w:rsidRPr="00FA3726">
        <w:rPr>
          <w:sz w:val="16"/>
          <w:szCs w:val="16"/>
        </w:rPr>
        <w:t xml:space="preserve"> por </w:t>
      </w:r>
      <w:r w:rsidRPr="008720D8">
        <w:rPr>
          <w:b/>
          <w:bCs/>
          <w:color w:val="0000CC"/>
          <w:sz w:val="16"/>
          <w:szCs w:val="16"/>
        </w:rPr>
        <w:t>“CONFIDENCIAL POR LEY”</w:t>
      </w:r>
      <w:r w:rsidRPr="00C82B1B">
        <w:rPr>
          <w:bCs/>
          <w:sz w:val="16"/>
          <w:szCs w:val="16"/>
        </w:rPr>
        <w:t>.</w:t>
      </w:r>
      <w:r w:rsidRPr="008F143D">
        <w:rPr>
          <w:sz w:val="16"/>
          <w:szCs w:val="16"/>
        </w:rPr>
        <w:t xml:space="preserve"> Fojas 3739, 3740, </w:t>
      </w:r>
      <w:r w:rsidRPr="00C230CF">
        <w:rPr>
          <w:sz w:val="16"/>
          <w:szCs w:val="16"/>
        </w:rPr>
        <w:t xml:space="preserve">3756, </w:t>
      </w:r>
      <w:r w:rsidRPr="001B5D1F">
        <w:rPr>
          <w:sz w:val="16"/>
          <w:szCs w:val="16"/>
        </w:rPr>
        <w:t xml:space="preserve">4607, </w:t>
      </w:r>
      <w:r w:rsidRPr="005833BD">
        <w:rPr>
          <w:sz w:val="16"/>
          <w:szCs w:val="16"/>
        </w:rPr>
        <w:t>5033</w:t>
      </w:r>
      <w:r>
        <w:rPr>
          <w:sz w:val="16"/>
          <w:szCs w:val="16"/>
        </w:rPr>
        <w:t xml:space="preserve"> a </w:t>
      </w:r>
      <w:r w:rsidRPr="005833BD">
        <w:rPr>
          <w:sz w:val="16"/>
          <w:szCs w:val="16"/>
        </w:rPr>
        <w:t xml:space="preserve">5035, </w:t>
      </w:r>
      <w:r w:rsidRPr="0037264B">
        <w:rPr>
          <w:sz w:val="16"/>
          <w:szCs w:val="16"/>
        </w:rPr>
        <w:t>6106, 6648 y 7552 del Expediente</w:t>
      </w:r>
      <w:r w:rsidRPr="00FC7A82">
        <w:rPr>
          <w:sz w:val="16"/>
          <w:szCs w:val="16"/>
        </w:rPr>
        <w:t>.</w:t>
      </w:r>
    </w:p>
  </w:footnote>
  <w:footnote w:id="150">
    <w:p w14:paraId="244C16A8"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La inversión en el despliegue de infraestructura representó </w:t>
      </w:r>
      <w:r>
        <w:rPr>
          <w:sz w:val="16"/>
          <w:szCs w:val="16"/>
        </w:rPr>
        <w:t>entre</w:t>
      </w:r>
      <w:r w:rsidRPr="003A62C6">
        <w:rPr>
          <w:sz w:val="16"/>
          <w:szCs w:val="16"/>
        </w:rPr>
        <w:t xml:space="preserve"> el </w:t>
      </w:r>
      <w:r w:rsidRPr="008720D8">
        <w:rPr>
          <w:b/>
          <w:bCs/>
          <w:color w:val="0000CC"/>
          <w:sz w:val="16"/>
          <w:szCs w:val="16"/>
        </w:rPr>
        <w:t>“CONFIDENCIAL POR LEY”</w:t>
      </w:r>
      <w:r w:rsidRPr="00D0113C">
        <w:rPr>
          <w:sz w:val="16"/>
          <w:szCs w:val="16"/>
        </w:rPr>
        <w:t xml:space="preserve"> </w:t>
      </w:r>
      <w:r>
        <w:rPr>
          <w:sz w:val="16"/>
          <w:szCs w:val="16"/>
        </w:rPr>
        <w:t>y e</w:t>
      </w:r>
      <w:r w:rsidRPr="00D0113C">
        <w:rPr>
          <w:sz w:val="16"/>
          <w:szCs w:val="16"/>
        </w:rPr>
        <w:t xml:space="preserve">l </w:t>
      </w:r>
      <w:r w:rsidRPr="008720D8">
        <w:rPr>
          <w:b/>
          <w:bCs/>
          <w:color w:val="0000CC"/>
          <w:sz w:val="16"/>
          <w:szCs w:val="16"/>
        </w:rPr>
        <w:t>“CONFIDENCIAL POR LEY”</w:t>
      </w:r>
      <w:r w:rsidRPr="003A62C6">
        <w:rPr>
          <w:sz w:val="16"/>
          <w:szCs w:val="16"/>
        </w:rPr>
        <w:t xml:space="preserve"> de los ingresos de los </w:t>
      </w:r>
      <w:r>
        <w:rPr>
          <w:sz w:val="16"/>
          <w:szCs w:val="16"/>
        </w:rPr>
        <w:t>servicios fijos de telecomunicaciones</w:t>
      </w:r>
      <w:r w:rsidRPr="003A62C6">
        <w:rPr>
          <w:sz w:val="16"/>
          <w:szCs w:val="16"/>
        </w:rPr>
        <w:t xml:space="preserve"> </w:t>
      </w:r>
      <w:r>
        <w:rPr>
          <w:sz w:val="16"/>
          <w:szCs w:val="16"/>
        </w:rPr>
        <w:t xml:space="preserve">de los </w:t>
      </w:r>
      <w:r w:rsidRPr="003A62C6">
        <w:rPr>
          <w:sz w:val="16"/>
          <w:szCs w:val="16"/>
        </w:rPr>
        <w:t>operadores</w:t>
      </w:r>
      <w:r>
        <w:rPr>
          <w:sz w:val="16"/>
          <w:szCs w:val="16"/>
        </w:rPr>
        <w:t xml:space="preserve"> </w:t>
      </w:r>
      <w:r w:rsidRPr="003A62C6">
        <w:rPr>
          <w:sz w:val="16"/>
          <w:szCs w:val="16"/>
        </w:rPr>
        <w:t>en dos mil diecisiete. Cálculos obtenidos</w:t>
      </w:r>
      <w:r>
        <w:rPr>
          <w:sz w:val="16"/>
          <w:szCs w:val="16"/>
        </w:rPr>
        <w:t xml:space="preserve"> con base en información</w:t>
      </w:r>
      <w:r w:rsidRPr="003A62C6">
        <w:rPr>
          <w:sz w:val="16"/>
          <w:szCs w:val="16"/>
        </w:rPr>
        <w:t xml:space="preserve"> de la inversión en el despliegue de infraestructura de redes y de los ingresos </w:t>
      </w:r>
      <w:r>
        <w:rPr>
          <w:sz w:val="16"/>
          <w:szCs w:val="16"/>
        </w:rPr>
        <w:t xml:space="preserve">totales </w:t>
      </w:r>
      <w:r w:rsidRPr="003A62C6">
        <w:rPr>
          <w:sz w:val="16"/>
          <w:szCs w:val="16"/>
        </w:rPr>
        <w:t xml:space="preserve">de </w:t>
      </w:r>
      <w:r w:rsidRPr="008A46DD">
        <w:rPr>
          <w:sz w:val="16"/>
          <w:szCs w:val="16"/>
        </w:rPr>
        <w:t xml:space="preserve">los servicios de telecomunicaciones fijos proporcionada por </w:t>
      </w:r>
      <w:r w:rsidRPr="008720D8">
        <w:rPr>
          <w:b/>
          <w:bCs/>
          <w:color w:val="0000CC"/>
          <w:sz w:val="16"/>
          <w:szCs w:val="16"/>
        </w:rPr>
        <w:t>“CONFIDENCIAL POR LEY”</w:t>
      </w:r>
      <w:r w:rsidRPr="008A46DD">
        <w:rPr>
          <w:sz w:val="16"/>
          <w:szCs w:val="16"/>
        </w:rPr>
        <w:t>. Fojas 4870, 4876, 4918, 5462, 5535 y 5620 del Expediente.</w:t>
      </w:r>
    </w:p>
  </w:footnote>
  <w:footnote w:id="151">
    <w:p w14:paraId="160DFBCF"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Plazos máximos de entrega establecidos en la “</w:t>
      </w:r>
      <w:r w:rsidRPr="003A62C6">
        <w:rPr>
          <w:i/>
          <w:sz w:val="16"/>
          <w:szCs w:val="16"/>
        </w:rPr>
        <w:t>Oferta de referencia para la prestación del servicio de arrendamiento de enlaces dedicados locales, entre localidades y de larga distancia internacional para concesionarios de redes públicas de telecomunicaciones y autorizados de telecomunicaciones”</w:t>
      </w:r>
      <w:r w:rsidRPr="003A62C6">
        <w:rPr>
          <w:sz w:val="16"/>
          <w:szCs w:val="16"/>
        </w:rPr>
        <w:t xml:space="preserve"> correspondiente </w:t>
      </w:r>
      <w:r>
        <w:rPr>
          <w:sz w:val="16"/>
          <w:szCs w:val="16"/>
        </w:rPr>
        <w:t>al año dos mil dieciocho. Foja 7303</w:t>
      </w:r>
      <w:r w:rsidRPr="003A62C6">
        <w:rPr>
          <w:sz w:val="16"/>
          <w:szCs w:val="16"/>
        </w:rPr>
        <w:t xml:space="preserve"> del Expediente.</w:t>
      </w:r>
    </w:p>
  </w:footnote>
  <w:footnote w:id="152">
    <w:p w14:paraId="3181F756"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Las líneas privadas o enlaces dedicados son un medio para la conexión a Internet. Debido a su mayor velocidad de transferencia de datos, este tipo de conexión a internet resulta rentable para aquellas empresas que utilizan intensamente internet, o que desean una conexión a internet de forma continua e ininterrumpida. En otras palabras, el internet dedicado es un servicio que contratan las empresas que son intensivas en el uso de aplicaciones alojadas en la web o depende</w:t>
      </w:r>
      <w:r>
        <w:rPr>
          <w:sz w:val="16"/>
          <w:szCs w:val="16"/>
        </w:rPr>
        <w:t>n</w:t>
      </w:r>
      <w:r w:rsidRPr="003A62C6">
        <w:rPr>
          <w:sz w:val="16"/>
          <w:szCs w:val="16"/>
        </w:rPr>
        <w:t xml:space="preserve"> de las mismas para ofrecer sus productos, utilizan el acceso remoto a redes privadas como extranet, portales web o cualquier otra aplicación basada en web, por lo que requieren una garantía de servicio continuo e ininterrumpido. El servicio de acceso a internet dedicado se puede proveer a través de tecnologías como el Ethernet sobre fibra óptica o cobre, enlaces E1, entre otros. Dados los volúmenes de tráfico que se ofrecen, los operadores</w:t>
      </w:r>
      <w:r>
        <w:rPr>
          <w:sz w:val="16"/>
          <w:szCs w:val="16"/>
        </w:rPr>
        <w:t xml:space="preserve"> que</w:t>
      </w:r>
      <w:r w:rsidRPr="003A62C6">
        <w:rPr>
          <w:sz w:val="16"/>
          <w:szCs w:val="16"/>
        </w:rPr>
        <w:t xml:space="preserve"> presta</w:t>
      </w:r>
      <w:r>
        <w:rPr>
          <w:sz w:val="16"/>
          <w:szCs w:val="16"/>
        </w:rPr>
        <w:t>n</w:t>
      </w:r>
      <w:r w:rsidRPr="003A62C6">
        <w:rPr>
          <w:sz w:val="16"/>
          <w:szCs w:val="16"/>
        </w:rPr>
        <w:t xml:space="preserve"> el servicio de internet dedicado necesitan tener acuerdos de interconexión</w:t>
      </w:r>
      <w:r>
        <w:rPr>
          <w:sz w:val="16"/>
          <w:szCs w:val="16"/>
        </w:rPr>
        <w:t>, a nivel</w:t>
      </w:r>
      <w:r w:rsidRPr="003A62C6">
        <w:rPr>
          <w:sz w:val="16"/>
          <w:szCs w:val="16"/>
        </w:rPr>
        <w:t xml:space="preserve"> nacional o internacional</w:t>
      </w:r>
      <w:r>
        <w:rPr>
          <w:sz w:val="16"/>
          <w:szCs w:val="16"/>
        </w:rPr>
        <w:t>,</w:t>
      </w:r>
      <w:r w:rsidRPr="003A62C6">
        <w:rPr>
          <w:sz w:val="16"/>
          <w:szCs w:val="16"/>
        </w:rPr>
        <w:t xml:space="preserve"> para el intercambio de tráfico. </w:t>
      </w:r>
      <w:r>
        <w:rPr>
          <w:sz w:val="16"/>
          <w:szCs w:val="16"/>
        </w:rPr>
        <w:t>Información proveniente de la d</w:t>
      </w:r>
      <w:r w:rsidRPr="00FC7A82">
        <w:rPr>
          <w:sz w:val="16"/>
          <w:szCs w:val="16"/>
        </w:rPr>
        <w:t>escripción de los servicios de acceso a internet dedicado de AMX</w:t>
      </w:r>
      <w:r>
        <w:rPr>
          <w:sz w:val="16"/>
          <w:szCs w:val="16"/>
        </w:rPr>
        <w:t>/Telesites</w:t>
      </w:r>
      <w:r w:rsidRPr="00FC7A82">
        <w:rPr>
          <w:sz w:val="16"/>
          <w:szCs w:val="16"/>
        </w:rPr>
        <w:t xml:space="preserve">, GTV y Megacable, así como contratos de </w:t>
      </w:r>
      <w:r w:rsidRPr="008720D8">
        <w:rPr>
          <w:b/>
          <w:bCs/>
          <w:color w:val="0000CC"/>
          <w:sz w:val="16"/>
          <w:szCs w:val="16"/>
        </w:rPr>
        <w:t>“CONFIDENCIAL POR LEY”</w:t>
      </w:r>
      <w:r w:rsidRPr="00FC7A82">
        <w:rPr>
          <w:sz w:val="16"/>
          <w:szCs w:val="16"/>
        </w:rPr>
        <w:t>. Fojas 3228, 3231, 3286 a 3385, 3693, 3697, 3756, 5028, del Expediente</w:t>
      </w:r>
      <w:r w:rsidRPr="003A62C6">
        <w:rPr>
          <w:sz w:val="16"/>
          <w:szCs w:val="16"/>
        </w:rPr>
        <w:t>.</w:t>
      </w:r>
    </w:p>
  </w:footnote>
  <w:footnote w:id="153">
    <w:p w14:paraId="61FA6E7D" w14:textId="77777777" w:rsidR="0006497B" w:rsidRPr="003A62C6" w:rsidRDefault="0006497B" w:rsidP="003A62C6">
      <w:pPr>
        <w:pStyle w:val="Textonotapie"/>
        <w:jc w:val="both"/>
        <w:rPr>
          <w:sz w:val="16"/>
          <w:szCs w:val="16"/>
          <w:highlight w:val="green"/>
        </w:rPr>
      </w:pPr>
      <w:r w:rsidRPr="003A62C6">
        <w:rPr>
          <w:rStyle w:val="Refdenotaalpie"/>
          <w:sz w:val="16"/>
          <w:szCs w:val="16"/>
        </w:rPr>
        <w:footnoteRef/>
      </w:r>
      <w:r w:rsidRPr="003A62C6">
        <w:rPr>
          <w:sz w:val="16"/>
          <w:szCs w:val="16"/>
        </w:rPr>
        <w:t xml:space="preserve"> Asimismo, el precio</w:t>
      </w:r>
      <w:r>
        <w:rPr>
          <w:sz w:val="16"/>
          <w:szCs w:val="16"/>
        </w:rPr>
        <w:t xml:space="preserve"> implícito</w:t>
      </w:r>
      <w:r w:rsidRPr="003A62C6">
        <w:rPr>
          <w:sz w:val="16"/>
          <w:szCs w:val="16"/>
        </w:rPr>
        <w:t xml:space="preserve"> mensual promedio por Mbps del servicio de acceso a internet dedicado es superior al del servicio de arrendamiento de enlaces dedicados Ethernet</w:t>
      </w:r>
      <w:r w:rsidRPr="00D0113C">
        <w:rPr>
          <w:sz w:val="16"/>
          <w:szCs w:val="16"/>
        </w:rPr>
        <w:t>, $3</w:t>
      </w:r>
      <w:r>
        <w:rPr>
          <w:sz w:val="16"/>
          <w:szCs w:val="16"/>
        </w:rPr>
        <w:t>07.</w:t>
      </w:r>
      <w:r w:rsidRPr="00D0113C">
        <w:rPr>
          <w:sz w:val="16"/>
          <w:szCs w:val="16"/>
        </w:rPr>
        <w:t>2</w:t>
      </w:r>
      <w:r>
        <w:rPr>
          <w:sz w:val="16"/>
          <w:szCs w:val="16"/>
        </w:rPr>
        <w:t>0</w:t>
      </w:r>
      <w:r w:rsidRPr="00D0113C">
        <w:rPr>
          <w:sz w:val="16"/>
          <w:szCs w:val="16"/>
        </w:rPr>
        <w:t xml:space="preserve"> (trecientos </w:t>
      </w:r>
      <w:r>
        <w:rPr>
          <w:sz w:val="16"/>
          <w:szCs w:val="16"/>
        </w:rPr>
        <w:t xml:space="preserve">siete pesos con </w:t>
      </w:r>
      <w:r w:rsidRPr="00D0113C">
        <w:rPr>
          <w:sz w:val="16"/>
          <w:szCs w:val="16"/>
        </w:rPr>
        <w:t>2</w:t>
      </w:r>
      <w:r>
        <w:rPr>
          <w:sz w:val="16"/>
          <w:szCs w:val="16"/>
        </w:rPr>
        <w:t>0</w:t>
      </w:r>
      <w:r w:rsidRPr="00D0113C">
        <w:rPr>
          <w:sz w:val="16"/>
          <w:szCs w:val="16"/>
        </w:rPr>
        <w:t>/100 M.N.) versus $1</w:t>
      </w:r>
      <w:r>
        <w:rPr>
          <w:sz w:val="16"/>
          <w:szCs w:val="16"/>
        </w:rPr>
        <w:t>50.32</w:t>
      </w:r>
      <w:r w:rsidRPr="00D0113C">
        <w:rPr>
          <w:sz w:val="16"/>
          <w:szCs w:val="16"/>
        </w:rPr>
        <w:t xml:space="preserve"> (ciento </w:t>
      </w:r>
      <w:r>
        <w:rPr>
          <w:sz w:val="16"/>
          <w:szCs w:val="16"/>
        </w:rPr>
        <w:t>cincuenta pesos con 32</w:t>
      </w:r>
      <w:r w:rsidRPr="00D0113C">
        <w:rPr>
          <w:sz w:val="16"/>
          <w:szCs w:val="16"/>
        </w:rPr>
        <w:t>/100 M.N.), en</w:t>
      </w:r>
      <w:r w:rsidRPr="003A62C6">
        <w:rPr>
          <w:sz w:val="16"/>
          <w:szCs w:val="16"/>
        </w:rPr>
        <w:t xml:space="preserve"> el primer trimestre de dos mil dieciocho. </w:t>
      </w:r>
      <w:r w:rsidRPr="004308C1">
        <w:rPr>
          <w:spacing w:val="-4"/>
          <w:sz w:val="16"/>
          <w:szCs w:val="16"/>
        </w:rPr>
        <w:t>Los precios implícitos mensuales por Mbps promedio se obtuvieron al dividir el ingreso mensual entre el número de enlaces en términos de E1 o 2 Mbps, el resultado entre 2.048</w:t>
      </w:r>
      <w:r>
        <w:rPr>
          <w:spacing w:val="-4"/>
          <w:sz w:val="16"/>
          <w:szCs w:val="16"/>
        </w:rPr>
        <w:t>.</w:t>
      </w:r>
      <w:r w:rsidRPr="003A62C6">
        <w:rPr>
          <w:sz w:val="16"/>
          <w:szCs w:val="16"/>
        </w:rPr>
        <w:t xml:space="preserve"> </w:t>
      </w:r>
      <w:r>
        <w:rPr>
          <w:sz w:val="16"/>
          <w:szCs w:val="16"/>
        </w:rPr>
        <w:t xml:space="preserve">Cálculos obtenidos de información proporcionada por </w:t>
      </w:r>
      <w:r w:rsidRPr="008720D8">
        <w:rPr>
          <w:b/>
          <w:bCs/>
          <w:color w:val="0000CC"/>
          <w:sz w:val="16"/>
          <w:szCs w:val="16"/>
        </w:rPr>
        <w:t>“CONFIDENCIAL POR LEY”</w:t>
      </w:r>
      <w:r w:rsidRPr="003A62C6">
        <w:rPr>
          <w:sz w:val="16"/>
          <w:szCs w:val="16"/>
        </w:rPr>
        <w:t xml:space="preserve"> </w:t>
      </w:r>
      <w:r>
        <w:rPr>
          <w:sz w:val="16"/>
          <w:szCs w:val="16"/>
        </w:rPr>
        <w:t xml:space="preserve">para el caso de los precios implícitos de los servicios de arrendamiento de enlaces dedicados y de </w:t>
      </w:r>
      <w:r w:rsidRPr="008720D8">
        <w:rPr>
          <w:b/>
          <w:bCs/>
          <w:color w:val="0000CC"/>
          <w:sz w:val="16"/>
          <w:szCs w:val="16"/>
        </w:rPr>
        <w:t>“CONFIDENCIAL POR LEY”</w:t>
      </w:r>
      <w:r>
        <w:rPr>
          <w:sz w:val="16"/>
          <w:szCs w:val="16"/>
        </w:rPr>
        <w:t xml:space="preserve"> para el caso de los precios implícitos del servicio de acceso a internet dedicado. </w:t>
      </w:r>
      <w:r w:rsidRPr="00FA3726">
        <w:rPr>
          <w:sz w:val="16"/>
          <w:szCs w:val="16"/>
        </w:rPr>
        <w:t>Fojas 217, 321, 3238, 3257-3259, 3411, 3414, 3417, 3421, 3422, 3424, 3426, 3472, 3520, 3523, 3553, 3556, 3559, 3560, 3702, 375</w:t>
      </w:r>
      <w:r>
        <w:rPr>
          <w:sz w:val="16"/>
          <w:szCs w:val="16"/>
        </w:rPr>
        <w:t xml:space="preserve">6, 4792, 5058, 5084, 5462, 5538 a 5541, 5620, 5851, 5969 a 5973, 5978 a </w:t>
      </w:r>
      <w:r w:rsidRPr="00FA3726">
        <w:rPr>
          <w:sz w:val="16"/>
          <w:szCs w:val="16"/>
        </w:rPr>
        <w:t>5980, 5984, 6073, 6089, 6096, 6097, 609</w:t>
      </w:r>
      <w:r>
        <w:rPr>
          <w:sz w:val="16"/>
          <w:szCs w:val="16"/>
        </w:rPr>
        <w:t xml:space="preserve">9, 6100, 6128, 6445 a </w:t>
      </w:r>
      <w:r w:rsidRPr="00FA3726">
        <w:rPr>
          <w:sz w:val="16"/>
          <w:szCs w:val="16"/>
        </w:rPr>
        <w:t>6453, 6459, 6917, 6924, 6927, 6928, 6930, 6933, 6934, 6972, 7157, 7872</w:t>
      </w:r>
      <w:r>
        <w:rPr>
          <w:sz w:val="16"/>
          <w:szCs w:val="16"/>
        </w:rPr>
        <w:t xml:space="preserve"> a </w:t>
      </w:r>
      <w:r w:rsidRPr="00FA3726">
        <w:rPr>
          <w:sz w:val="16"/>
          <w:szCs w:val="16"/>
        </w:rPr>
        <w:t>7875, 7883, 8077, 8080, 8089, 8113, 8741 y 8746</w:t>
      </w:r>
      <w:r w:rsidRPr="003A62C6">
        <w:rPr>
          <w:sz w:val="16"/>
          <w:szCs w:val="16"/>
        </w:rPr>
        <w:t>.</w:t>
      </w:r>
    </w:p>
  </w:footnote>
  <w:footnote w:id="154">
    <w:p w14:paraId="5F6D9FDA" w14:textId="77777777" w:rsidR="0006497B" w:rsidRPr="008B7674" w:rsidRDefault="0006497B" w:rsidP="00A8373C">
      <w:pPr>
        <w:spacing w:after="0"/>
        <w:jc w:val="both"/>
        <w:rPr>
          <w:sz w:val="16"/>
          <w:szCs w:val="16"/>
        </w:rPr>
      </w:pPr>
      <w:r w:rsidRPr="008B7674">
        <w:rPr>
          <w:rStyle w:val="Refdenotaalpie"/>
          <w:sz w:val="16"/>
          <w:szCs w:val="16"/>
        </w:rPr>
        <w:footnoteRef/>
      </w:r>
      <w:r w:rsidRPr="008B7674">
        <w:rPr>
          <w:sz w:val="16"/>
          <w:szCs w:val="16"/>
        </w:rPr>
        <w:t xml:space="preserve"> </w:t>
      </w:r>
      <w:r>
        <w:rPr>
          <w:sz w:val="16"/>
          <w:szCs w:val="16"/>
        </w:rPr>
        <w:t>A partir de</w:t>
      </w:r>
      <w:r w:rsidRPr="008B7674">
        <w:rPr>
          <w:sz w:val="16"/>
          <w:szCs w:val="16"/>
        </w:rPr>
        <w:t xml:space="preserve"> la información que obra en el Expediente se observa que todos los operadores de RPT</w:t>
      </w:r>
      <w:r>
        <w:rPr>
          <w:sz w:val="16"/>
          <w:szCs w:val="16"/>
        </w:rPr>
        <w:t xml:space="preserve"> </w:t>
      </w:r>
      <w:r w:rsidRPr="008B7674">
        <w:rPr>
          <w:sz w:val="16"/>
          <w:szCs w:val="16"/>
        </w:rPr>
        <w:t xml:space="preserve">que ofrecen los servicios de arrendamiento de enlaces dedicados </w:t>
      </w:r>
      <w:r>
        <w:rPr>
          <w:sz w:val="16"/>
          <w:szCs w:val="16"/>
        </w:rPr>
        <w:t xml:space="preserve">(a excepción de </w:t>
      </w:r>
      <w:r w:rsidRPr="008720D8">
        <w:rPr>
          <w:b/>
          <w:bCs/>
          <w:color w:val="0000CC"/>
          <w:sz w:val="16"/>
          <w:szCs w:val="16"/>
        </w:rPr>
        <w:t>“CONFIDENCIAL POR LEY”</w:t>
      </w:r>
      <w:r>
        <w:rPr>
          <w:sz w:val="16"/>
          <w:szCs w:val="16"/>
        </w:rPr>
        <w:t xml:space="preserve">, </w:t>
      </w:r>
      <w:r w:rsidRPr="008B7674">
        <w:rPr>
          <w:sz w:val="16"/>
          <w:szCs w:val="16"/>
        </w:rPr>
        <w:t>demandan enlaces dedicados a otros operadores de RPT. Asimismo, la mayoría de los operadores tiene tramos de su</w:t>
      </w:r>
      <w:r>
        <w:rPr>
          <w:sz w:val="16"/>
          <w:szCs w:val="16"/>
        </w:rPr>
        <w:t>s</w:t>
      </w:r>
      <w:r w:rsidRPr="008B7674">
        <w:rPr>
          <w:sz w:val="16"/>
          <w:szCs w:val="16"/>
        </w:rPr>
        <w:t xml:space="preserve"> red</w:t>
      </w:r>
      <w:r>
        <w:rPr>
          <w:sz w:val="16"/>
          <w:szCs w:val="16"/>
        </w:rPr>
        <w:t>es</w:t>
      </w:r>
      <w:r w:rsidRPr="008B7674">
        <w:rPr>
          <w:sz w:val="16"/>
          <w:szCs w:val="16"/>
        </w:rPr>
        <w:t xml:space="preserve"> arrendados de terceros. </w:t>
      </w:r>
      <w:r>
        <w:rPr>
          <w:sz w:val="16"/>
          <w:szCs w:val="16"/>
        </w:rPr>
        <w:t xml:space="preserve">Información proporcionada por </w:t>
      </w:r>
      <w:r w:rsidRPr="008720D8">
        <w:rPr>
          <w:b/>
          <w:bCs/>
          <w:color w:val="0000CC"/>
          <w:sz w:val="16"/>
          <w:szCs w:val="16"/>
        </w:rPr>
        <w:t>“CONFIDENCIAL POR LEY”</w:t>
      </w:r>
      <w:r>
        <w:rPr>
          <w:sz w:val="16"/>
          <w:szCs w:val="16"/>
        </w:rPr>
        <w:t>.</w:t>
      </w:r>
      <w:r w:rsidRPr="008B7674">
        <w:rPr>
          <w:sz w:val="16"/>
          <w:szCs w:val="16"/>
        </w:rPr>
        <w:t xml:space="preserve"> </w:t>
      </w:r>
      <w:r>
        <w:rPr>
          <w:sz w:val="16"/>
          <w:szCs w:val="16"/>
        </w:rPr>
        <w:t xml:space="preserve">Fojas 3438, 3439, 3472, 3549 a </w:t>
      </w:r>
      <w:r w:rsidRPr="002D2EDB">
        <w:rPr>
          <w:sz w:val="16"/>
          <w:szCs w:val="16"/>
        </w:rPr>
        <w:t>355</w:t>
      </w:r>
      <w:r>
        <w:rPr>
          <w:sz w:val="16"/>
          <w:szCs w:val="16"/>
        </w:rPr>
        <w:t xml:space="preserve">1, 3756, 4056, 4057, 4066, 6511 a </w:t>
      </w:r>
      <w:r w:rsidRPr="002D2EDB">
        <w:rPr>
          <w:sz w:val="16"/>
          <w:szCs w:val="16"/>
        </w:rPr>
        <w:t>6516, 6523, 4661, 4792, 5618, 5619, 6</w:t>
      </w:r>
      <w:r>
        <w:rPr>
          <w:sz w:val="16"/>
          <w:szCs w:val="16"/>
        </w:rPr>
        <w:t xml:space="preserve">106, 6936 a </w:t>
      </w:r>
      <w:r w:rsidRPr="002D2EDB">
        <w:rPr>
          <w:sz w:val="16"/>
          <w:szCs w:val="16"/>
        </w:rPr>
        <w:t>6943, 7838 del Expediente</w:t>
      </w:r>
      <w:r>
        <w:rPr>
          <w:sz w:val="16"/>
          <w:szCs w:val="16"/>
        </w:rPr>
        <w:t>.</w:t>
      </w:r>
    </w:p>
  </w:footnote>
  <w:footnote w:id="155">
    <w:p w14:paraId="0B9A645C" w14:textId="77777777" w:rsidR="0006497B" w:rsidRPr="00C83275" w:rsidRDefault="0006497B" w:rsidP="00FA3726">
      <w:pPr>
        <w:spacing w:after="0"/>
        <w:jc w:val="both"/>
        <w:rPr>
          <w:sz w:val="16"/>
          <w:szCs w:val="16"/>
        </w:rPr>
      </w:pPr>
      <w:r w:rsidRPr="00C83275">
        <w:rPr>
          <w:rStyle w:val="Refdenotaalpie"/>
          <w:sz w:val="16"/>
          <w:szCs w:val="16"/>
        </w:rPr>
        <w:footnoteRef/>
      </w:r>
      <w:r w:rsidRPr="00C83275">
        <w:rPr>
          <w:sz w:val="16"/>
          <w:szCs w:val="16"/>
        </w:rPr>
        <w:t xml:space="preserve"> </w:t>
      </w:r>
      <w:r w:rsidRPr="006B641D">
        <w:rPr>
          <w:spacing w:val="-4"/>
          <w:sz w:val="16"/>
          <w:szCs w:val="16"/>
        </w:rPr>
        <w:t xml:space="preserve">Por ejemplo, en algunos contratos de </w:t>
      </w:r>
      <w:r w:rsidRPr="008720D8">
        <w:rPr>
          <w:b/>
          <w:bCs/>
          <w:color w:val="0000CC"/>
          <w:sz w:val="16"/>
          <w:szCs w:val="16"/>
        </w:rPr>
        <w:t>“CONFIDENCIAL POR LEY”</w:t>
      </w:r>
      <w:r w:rsidRPr="006B641D">
        <w:rPr>
          <w:spacing w:val="-4"/>
          <w:sz w:val="16"/>
          <w:szCs w:val="16"/>
        </w:rPr>
        <w:t xml:space="preserve"> con clientes mayoristas se establecen plazos de entrega de cinco semanas. Otros contratos de </w:t>
      </w:r>
      <w:r w:rsidRPr="008720D8">
        <w:rPr>
          <w:b/>
          <w:bCs/>
          <w:color w:val="0000CC"/>
          <w:sz w:val="16"/>
          <w:szCs w:val="16"/>
        </w:rPr>
        <w:t>“CONFIDENCIAL POR LEY”</w:t>
      </w:r>
      <w:r w:rsidRPr="006B641D">
        <w:rPr>
          <w:spacing w:val="-4"/>
          <w:sz w:val="16"/>
          <w:szCs w:val="16"/>
        </w:rPr>
        <w:t xml:space="preserve"> establecen plazos de entrega de tres a ocho semanas. Información proveniente de contratos proporcionaos por </w:t>
      </w:r>
      <w:r w:rsidRPr="008720D8">
        <w:rPr>
          <w:b/>
          <w:bCs/>
          <w:color w:val="0000CC"/>
          <w:sz w:val="16"/>
          <w:szCs w:val="16"/>
        </w:rPr>
        <w:t>“CONFIDENCIAL POR LEY”</w:t>
      </w:r>
      <w:r w:rsidRPr="006B641D">
        <w:rPr>
          <w:spacing w:val="-4"/>
          <w:sz w:val="16"/>
          <w:szCs w:val="16"/>
        </w:rPr>
        <w:t>. Fojas 3756, 6532, 6651 a 6725 y 7094del Expediente.</w:t>
      </w:r>
    </w:p>
  </w:footnote>
  <w:footnote w:id="156">
    <w:p w14:paraId="3D08E20F" w14:textId="77777777" w:rsidR="0006497B" w:rsidRPr="008B7674" w:rsidRDefault="0006497B" w:rsidP="004746A6">
      <w:pPr>
        <w:pStyle w:val="Textonotapie"/>
        <w:jc w:val="both"/>
        <w:rPr>
          <w:sz w:val="16"/>
          <w:szCs w:val="16"/>
        </w:rPr>
      </w:pPr>
      <w:r w:rsidRPr="008B7674">
        <w:rPr>
          <w:rStyle w:val="Refdenotaalpie"/>
          <w:sz w:val="16"/>
          <w:szCs w:val="16"/>
        </w:rPr>
        <w:footnoteRef/>
      </w:r>
      <w:r w:rsidRPr="008B7674">
        <w:rPr>
          <w:sz w:val="16"/>
          <w:szCs w:val="16"/>
        </w:rPr>
        <w:t xml:space="preserve"> Durante el periodo dos mil dieciséis a dos mil dieciocho, la tasa promedio de decrecimiento de la renta mensual de enlaces TDM y Ethernet fue de 71.8% y 85.3%, respectivamente. También los gastos de instalación se redujeron en más de la mitad (81.1% y 67.0%, respectivamente). Estimaciones propias con base en </w:t>
      </w:r>
      <w:r>
        <w:rPr>
          <w:sz w:val="16"/>
          <w:szCs w:val="16"/>
        </w:rPr>
        <w:t xml:space="preserve">el </w:t>
      </w:r>
      <w:r w:rsidRPr="00CC65C6">
        <w:rPr>
          <w:i/>
          <w:sz w:val="16"/>
          <w:szCs w:val="16"/>
        </w:rPr>
        <w:t>“Acuerdo mediante el cual el Pleno del Instituto Federal de Telecomunicaciones aprueba el modelo de co</w:t>
      </w:r>
      <w:r>
        <w:rPr>
          <w:i/>
          <w:sz w:val="16"/>
          <w:szCs w:val="16"/>
        </w:rPr>
        <w:t>s</w:t>
      </w:r>
      <w:r w:rsidRPr="00CC65C6">
        <w:rPr>
          <w:i/>
          <w:sz w:val="16"/>
          <w:szCs w:val="16"/>
        </w:rPr>
        <w:t>tos del servicio mayorista de arrendamiento de enlaces locales, entre localidades y de larga distancia internacional que prestará Teléfonos de México, S.A.B. de C.V. y Teléfonos del Noreste, S.A. de C.V. y hace del conocimiento público las tarifas aplicables al 31 de diciembre de 2016”</w:t>
      </w:r>
      <w:r>
        <w:rPr>
          <w:sz w:val="16"/>
          <w:szCs w:val="16"/>
        </w:rPr>
        <w:t xml:space="preserve"> </w:t>
      </w:r>
      <w:r w:rsidRPr="008B7674">
        <w:rPr>
          <w:sz w:val="16"/>
          <w:szCs w:val="16"/>
        </w:rPr>
        <w:t>y la</w:t>
      </w:r>
      <w:r>
        <w:rPr>
          <w:sz w:val="16"/>
          <w:szCs w:val="16"/>
        </w:rPr>
        <w:t>s</w:t>
      </w:r>
      <w:r w:rsidRPr="008B7674">
        <w:rPr>
          <w:sz w:val="16"/>
          <w:szCs w:val="16"/>
        </w:rPr>
        <w:t xml:space="preserve"> </w:t>
      </w:r>
      <w:r>
        <w:rPr>
          <w:sz w:val="16"/>
          <w:szCs w:val="16"/>
        </w:rPr>
        <w:t>Ofertas de referencia de enlaces dedicados mayoristas.</w:t>
      </w:r>
    </w:p>
  </w:footnote>
  <w:footnote w:id="157">
    <w:p w14:paraId="18D51B9D" w14:textId="77777777" w:rsidR="0006497B" w:rsidRPr="004746A6" w:rsidRDefault="0006497B" w:rsidP="004746A6">
      <w:pPr>
        <w:pStyle w:val="Textonotapie"/>
        <w:jc w:val="both"/>
        <w:rPr>
          <w:sz w:val="16"/>
          <w:szCs w:val="16"/>
        </w:rPr>
      </w:pPr>
      <w:r w:rsidRPr="004746A6">
        <w:rPr>
          <w:rStyle w:val="Refdenotaalpie"/>
          <w:sz w:val="16"/>
          <w:szCs w:val="16"/>
        </w:rPr>
        <w:footnoteRef/>
      </w:r>
      <w:r w:rsidRPr="004746A6">
        <w:rPr>
          <w:sz w:val="16"/>
          <w:szCs w:val="16"/>
        </w:rPr>
        <w:t xml:space="preserve"> El promedio de días laborables desde la fecha de solicitud hasta la fecha de notificación del servicio listo para su entrega es de </w:t>
      </w:r>
      <w:r w:rsidRPr="008720D8">
        <w:rPr>
          <w:b/>
          <w:bCs/>
          <w:color w:val="0000CC"/>
          <w:sz w:val="16"/>
          <w:szCs w:val="16"/>
        </w:rPr>
        <w:t>“CONFIDENCIAL POR LEY”</w:t>
      </w:r>
      <w:r w:rsidRPr="004746A6">
        <w:rPr>
          <w:sz w:val="16"/>
          <w:szCs w:val="16"/>
        </w:rPr>
        <w:t>. Los días laborables promedio se estimaron tomando en cuenta las solicitudes de alta y/o entrega, y contando los días de lunes a viernes</w:t>
      </w:r>
      <w:r>
        <w:rPr>
          <w:sz w:val="16"/>
          <w:szCs w:val="16"/>
        </w:rPr>
        <w:t>,</w:t>
      </w:r>
      <w:r w:rsidRPr="004746A6">
        <w:rPr>
          <w:sz w:val="16"/>
          <w:szCs w:val="16"/>
        </w:rPr>
        <w:t xml:space="preserve"> entre la fecha de solicitud y la fecha de entrega del servicio. Estimaciones propias con base en datos proporcionados por la UC. Fojas 7305 y 7546 del Expediente.</w:t>
      </w:r>
    </w:p>
  </w:footnote>
  <w:footnote w:id="158">
    <w:p w14:paraId="4291186C" w14:textId="77777777" w:rsidR="0006497B" w:rsidRPr="008B7674" w:rsidRDefault="0006497B" w:rsidP="008B7674">
      <w:pPr>
        <w:pStyle w:val="Textonotapie"/>
        <w:jc w:val="both"/>
        <w:rPr>
          <w:sz w:val="16"/>
          <w:szCs w:val="16"/>
        </w:rPr>
      </w:pPr>
      <w:r w:rsidRPr="008B7674">
        <w:rPr>
          <w:rStyle w:val="Refdenotaalpie"/>
          <w:sz w:val="16"/>
          <w:szCs w:val="16"/>
        </w:rPr>
        <w:footnoteRef/>
      </w:r>
      <w:r>
        <w:rPr>
          <w:sz w:val="16"/>
          <w:szCs w:val="16"/>
        </w:rPr>
        <w:t xml:space="preserve"> </w:t>
      </w:r>
      <w:r w:rsidRPr="00FA3726">
        <w:rPr>
          <w:sz w:val="16"/>
          <w:szCs w:val="16"/>
        </w:rPr>
        <w:t xml:space="preserve">Las negociaciones de los principales clientes minoristas y mayoristas incluyen enlaces dedicados en varias localidades y rutas del país, dispersas geográficamente, por lo que una política de precios homogénea contribuye a generar ahorros tanto a oferentes como demandantes. Esto se observa en diversas facturas y en la política comercial de operadores como </w:t>
      </w:r>
      <w:r w:rsidRPr="008720D8">
        <w:rPr>
          <w:b/>
          <w:bCs/>
          <w:color w:val="0000CC"/>
          <w:sz w:val="16"/>
          <w:szCs w:val="16"/>
        </w:rPr>
        <w:t>“CONFIDENCIAL POR LEY”</w:t>
      </w:r>
      <w:r w:rsidRPr="00FA3726">
        <w:rPr>
          <w:sz w:val="16"/>
          <w:szCs w:val="16"/>
        </w:rPr>
        <w:t>, información proporcionada por la UC</w:t>
      </w:r>
      <w:r w:rsidRPr="008F143D">
        <w:rPr>
          <w:sz w:val="16"/>
          <w:szCs w:val="16"/>
        </w:rPr>
        <w:t xml:space="preserve">. </w:t>
      </w:r>
      <w:r w:rsidRPr="00FA3726">
        <w:rPr>
          <w:sz w:val="16"/>
          <w:szCs w:val="16"/>
        </w:rPr>
        <w:t>Fojas 3432, 3433, 3472, 3756, 3808, 4066, 4607, 4608, 4621</w:t>
      </w:r>
      <w:r>
        <w:rPr>
          <w:sz w:val="16"/>
          <w:szCs w:val="16"/>
        </w:rPr>
        <w:t xml:space="preserve"> a 4639, 4642 a 4645, 4647, 4649 a 4652, 4654 a </w:t>
      </w:r>
      <w:r w:rsidRPr="00FA3726">
        <w:rPr>
          <w:sz w:val="16"/>
          <w:szCs w:val="16"/>
        </w:rPr>
        <w:t>4658, 4792, 5033</w:t>
      </w:r>
      <w:r>
        <w:rPr>
          <w:sz w:val="16"/>
          <w:szCs w:val="16"/>
        </w:rPr>
        <w:t xml:space="preserve">, </w:t>
      </w:r>
      <w:r w:rsidRPr="00FA3726">
        <w:rPr>
          <w:sz w:val="16"/>
          <w:szCs w:val="16"/>
        </w:rPr>
        <w:t>5034, 5084, 6532, 7144, 7305 y 7546 del Expediente.</w:t>
      </w:r>
    </w:p>
  </w:footnote>
  <w:footnote w:id="159">
    <w:p w14:paraId="5362BE86" w14:textId="77777777" w:rsidR="0006497B" w:rsidRPr="004746A6" w:rsidRDefault="0006497B" w:rsidP="004746A6">
      <w:pPr>
        <w:pStyle w:val="Textonotapie"/>
        <w:jc w:val="both"/>
        <w:rPr>
          <w:sz w:val="16"/>
          <w:szCs w:val="16"/>
        </w:rPr>
      </w:pPr>
      <w:r w:rsidRPr="004746A6">
        <w:rPr>
          <w:rStyle w:val="Refdenotaalpie"/>
          <w:sz w:val="16"/>
          <w:szCs w:val="16"/>
        </w:rPr>
        <w:footnoteRef/>
      </w:r>
      <w:r w:rsidRPr="004746A6">
        <w:rPr>
          <w:sz w:val="16"/>
          <w:szCs w:val="16"/>
        </w:rPr>
        <w:t xml:space="preserve"> Considérese por ejemplo un enlace dedicado entre una localidad en territorio nacional (Ciudad de México) y alguna ciudad de Estados Unidos (Chicago). El tramo nacional puede ser configurado con enlaces hacia varios cruces fronterizos (Laredo, Reynosa, Matamoros, etc.) y de ahí ser llevados a la ciudad en el extranjero.</w:t>
      </w:r>
    </w:p>
  </w:footnote>
  <w:footnote w:id="160">
    <w:p w14:paraId="0E340BFA" w14:textId="77777777" w:rsidR="0006497B" w:rsidRPr="00A8373C" w:rsidRDefault="0006497B" w:rsidP="00A8373C">
      <w:pPr>
        <w:pStyle w:val="Textonotapie"/>
        <w:jc w:val="both"/>
        <w:rPr>
          <w:sz w:val="16"/>
          <w:szCs w:val="16"/>
        </w:rPr>
      </w:pPr>
      <w:r w:rsidRPr="00A8373C">
        <w:rPr>
          <w:rStyle w:val="Refdenotaalpie"/>
          <w:sz w:val="16"/>
          <w:szCs w:val="16"/>
        </w:rPr>
        <w:footnoteRef/>
      </w:r>
      <w:r w:rsidRPr="00A8373C">
        <w:rPr>
          <w:sz w:val="16"/>
          <w:szCs w:val="16"/>
        </w:rPr>
        <w:t xml:space="preserve"> Conforme a los Lineamientos Generales para el Otorgamiento de las concesiones a que se refiere el Título Cuarto de la ley Federal de Telecomunicaciones y Radiodifusión, publicados en el DOF el catorce de julio de dos mil catorce.</w:t>
      </w:r>
    </w:p>
  </w:footnote>
  <w:footnote w:id="161">
    <w:p w14:paraId="7DBC1B81"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3118A8">
        <w:rPr>
          <w:spacing w:val="-2"/>
          <w:sz w:val="16"/>
          <w:szCs w:val="16"/>
        </w:rPr>
        <w:t xml:space="preserve">El internet se define como el </w:t>
      </w:r>
      <w:r w:rsidRPr="003118A8">
        <w:rPr>
          <w:i/>
          <w:spacing w:val="-2"/>
          <w:sz w:val="16"/>
          <w:szCs w:val="16"/>
        </w:rPr>
        <w:t>“[…] Conjunto descentralizado de redes de telecomunicaciones en todo el mundo, interconectadas entre sí, que proporciona diversos servicios de comunicación y que utiliza protocolos y direccionamiento coordinados internacionalmente para el enrutamiento y procesamiento de los paquetes de datos de cada uno de los servicios. Estos protocolos y direccionamiento garantizan que las redes físicas que en conjunto componen Internet funcionen como una red lógica única; […]”</w:t>
      </w:r>
      <w:r w:rsidRPr="003118A8">
        <w:rPr>
          <w:spacing w:val="-2"/>
          <w:sz w:val="16"/>
          <w:szCs w:val="16"/>
        </w:rPr>
        <w:t>. Véase el artículo 3, fracción XXXII, de la LFTyR.</w:t>
      </w:r>
    </w:p>
  </w:footnote>
  <w:footnote w:id="162">
    <w:p w14:paraId="34783214"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Se requiere una RPT para proveerlo y se presta al público en general con fines comerciales. Artículo 3, fracciones LVIII y LXV, de la LFTyR.</w:t>
      </w:r>
    </w:p>
  </w:footnote>
  <w:footnote w:id="163">
    <w:p w14:paraId="0225F9D1"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Artículo</w:t>
      </w:r>
      <w:r>
        <w:rPr>
          <w:sz w:val="16"/>
          <w:szCs w:val="16"/>
        </w:rPr>
        <w:t>s</w:t>
      </w:r>
      <w:r w:rsidRPr="003A62C6">
        <w:rPr>
          <w:sz w:val="16"/>
          <w:szCs w:val="16"/>
        </w:rPr>
        <w:t xml:space="preserve"> 66</w:t>
      </w:r>
      <w:r>
        <w:rPr>
          <w:sz w:val="16"/>
          <w:szCs w:val="16"/>
        </w:rPr>
        <w:t xml:space="preserve"> y 145</w:t>
      </w:r>
      <w:r w:rsidRPr="003A62C6">
        <w:rPr>
          <w:sz w:val="16"/>
          <w:szCs w:val="16"/>
        </w:rPr>
        <w:t xml:space="preserve"> de la LFTyR.</w:t>
      </w:r>
    </w:p>
  </w:footnote>
  <w:footnote w:id="164">
    <w:p w14:paraId="05ED8485"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Respuestas y definiciones en contratos provistos por los operadores. Fojas </w:t>
      </w:r>
      <w:r>
        <w:rPr>
          <w:sz w:val="16"/>
          <w:szCs w:val="16"/>
        </w:rPr>
        <w:t>321, 3223 a 32</w:t>
      </w:r>
      <w:r w:rsidRPr="003A62C6">
        <w:rPr>
          <w:sz w:val="16"/>
          <w:szCs w:val="16"/>
        </w:rPr>
        <w:t xml:space="preserve">29, </w:t>
      </w:r>
      <w:r>
        <w:rPr>
          <w:sz w:val="16"/>
          <w:szCs w:val="16"/>
        </w:rPr>
        <w:t xml:space="preserve">3258, 3267, 3285 a 3385, 3513 a </w:t>
      </w:r>
      <w:r w:rsidRPr="003A62C6">
        <w:rPr>
          <w:sz w:val="16"/>
          <w:szCs w:val="16"/>
        </w:rPr>
        <w:t xml:space="preserve">3517, </w:t>
      </w:r>
      <w:r>
        <w:rPr>
          <w:sz w:val="16"/>
          <w:szCs w:val="16"/>
        </w:rPr>
        <w:t xml:space="preserve">3557, 3558, 3691, 3692 a </w:t>
      </w:r>
      <w:r w:rsidRPr="003A62C6">
        <w:rPr>
          <w:sz w:val="16"/>
          <w:szCs w:val="16"/>
        </w:rPr>
        <w:t xml:space="preserve">3695, </w:t>
      </w:r>
      <w:r>
        <w:rPr>
          <w:sz w:val="16"/>
          <w:szCs w:val="16"/>
        </w:rPr>
        <w:t xml:space="preserve">3716, 3756, 5024, </w:t>
      </w:r>
      <w:r w:rsidRPr="003A62C6">
        <w:rPr>
          <w:sz w:val="16"/>
          <w:szCs w:val="16"/>
        </w:rPr>
        <w:t xml:space="preserve">5025, 5028, </w:t>
      </w:r>
      <w:r>
        <w:rPr>
          <w:sz w:val="16"/>
          <w:szCs w:val="16"/>
        </w:rPr>
        <w:t xml:space="preserve">5031, 5084, 5481 a 5524, 5842, 5847, </w:t>
      </w:r>
      <w:r w:rsidRPr="003A62C6">
        <w:rPr>
          <w:sz w:val="16"/>
          <w:szCs w:val="16"/>
        </w:rPr>
        <w:t>6319</w:t>
      </w:r>
      <w:r>
        <w:rPr>
          <w:sz w:val="16"/>
          <w:szCs w:val="16"/>
        </w:rPr>
        <w:t xml:space="preserve">, 6325, 6454, 6459, 6580 a 6646, 6851, 6863, 7710 y 7716 a 7736 </w:t>
      </w:r>
      <w:r w:rsidRPr="003A62C6">
        <w:rPr>
          <w:sz w:val="16"/>
          <w:szCs w:val="16"/>
        </w:rPr>
        <w:t>del Expediente.</w:t>
      </w:r>
    </w:p>
  </w:footnote>
  <w:footnote w:id="165">
    <w:p w14:paraId="0401A1A3"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w:t>
      </w:r>
      <w:r w:rsidRPr="008720D8">
        <w:rPr>
          <w:b/>
          <w:bCs/>
          <w:color w:val="0000CC"/>
          <w:sz w:val="16"/>
          <w:szCs w:val="16"/>
        </w:rPr>
        <w:t>“CONFIDENCIAL POR LEY”</w:t>
      </w:r>
      <w:r w:rsidRPr="003A62C6">
        <w:rPr>
          <w:sz w:val="16"/>
          <w:szCs w:val="16"/>
        </w:rPr>
        <w:t xml:space="preserve">, la capacidad instalada del servicio de acceso a internet dedicado es por lo menos igual a la capacidad </w:t>
      </w:r>
      <w:r w:rsidRPr="00D00D63">
        <w:rPr>
          <w:sz w:val="16"/>
          <w:szCs w:val="16"/>
        </w:rPr>
        <w:t>contratada</w:t>
      </w:r>
      <w:r w:rsidRPr="00D00D63">
        <w:rPr>
          <w:i/>
          <w:sz w:val="16"/>
          <w:szCs w:val="16"/>
        </w:rPr>
        <w:t>.</w:t>
      </w:r>
      <w:r w:rsidRPr="00D00D63">
        <w:rPr>
          <w:sz w:val="16"/>
          <w:szCs w:val="16"/>
        </w:rPr>
        <w:t xml:space="preserve"> Descripciones</w:t>
      </w:r>
      <w:r w:rsidRPr="003A62C6">
        <w:rPr>
          <w:sz w:val="16"/>
          <w:szCs w:val="16"/>
        </w:rPr>
        <w:t xml:space="preserve"> del servicio y contratos provistos por los operadores. Fojas </w:t>
      </w:r>
      <w:r>
        <w:rPr>
          <w:sz w:val="16"/>
          <w:szCs w:val="16"/>
        </w:rPr>
        <w:t xml:space="preserve">321, </w:t>
      </w:r>
      <w:r w:rsidRPr="003A62C6">
        <w:rPr>
          <w:sz w:val="16"/>
          <w:szCs w:val="16"/>
        </w:rPr>
        <w:t>3223</w:t>
      </w:r>
      <w:r>
        <w:rPr>
          <w:sz w:val="16"/>
          <w:szCs w:val="16"/>
        </w:rPr>
        <w:t xml:space="preserve"> a </w:t>
      </w:r>
      <w:r w:rsidRPr="003A62C6">
        <w:rPr>
          <w:sz w:val="16"/>
          <w:szCs w:val="16"/>
        </w:rPr>
        <w:t xml:space="preserve">3231, </w:t>
      </w:r>
      <w:r>
        <w:rPr>
          <w:sz w:val="16"/>
          <w:szCs w:val="16"/>
        </w:rPr>
        <w:t xml:space="preserve">3258, 3267, 3285 a 3385, 3513 a </w:t>
      </w:r>
      <w:r w:rsidRPr="003A62C6">
        <w:rPr>
          <w:sz w:val="16"/>
          <w:szCs w:val="16"/>
        </w:rPr>
        <w:t xml:space="preserve">3517, </w:t>
      </w:r>
      <w:r>
        <w:rPr>
          <w:sz w:val="16"/>
          <w:szCs w:val="16"/>
        </w:rPr>
        <w:t xml:space="preserve">3557, 3558, </w:t>
      </w:r>
      <w:r w:rsidRPr="003A62C6">
        <w:rPr>
          <w:sz w:val="16"/>
          <w:szCs w:val="16"/>
        </w:rPr>
        <w:t>3691,</w:t>
      </w:r>
      <w:r>
        <w:rPr>
          <w:sz w:val="16"/>
          <w:szCs w:val="16"/>
        </w:rPr>
        <w:t xml:space="preserve"> 3692 a </w:t>
      </w:r>
      <w:r w:rsidRPr="003A62C6">
        <w:rPr>
          <w:sz w:val="16"/>
          <w:szCs w:val="16"/>
        </w:rPr>
        <w:t>3698</w:t>
      </w:r>
      <w:r>
        <w:rPr>
          <w:sz w:val="16"/>
          <w:szCs w:val="16"/>
        </w:rPr>
        <w:t xml:space="preserve">, 3716, 3756, 5024, </w:t>
      </w:r>
      <w:r w:rsidRPr="003A62C6">
        <w:rPr>
          <w:sz w:val="16"/>
          <w:szCs w:val="16"/>
        </w:rPr>
        <w:t xml:space="preserve">5025, 5028, </w:t>
      </w:r>
      <w:r>
        <w:rPr>
          <w:sz w:val="16"/>
          <w:szCs w:val="16"/>
        </w:rPr>
        <w:t xml:space="preserve">5031, 5084, 5481 a 5524, 5842, 5847, 6454, 6459, 6580 a 6646, 6851, 6883, 7710 y 7716 a 7736 </w:t>
      </w:r>
      <w:r w:rsidRPr="003A62C6">
        <w:rPr>
          <w:sz w:val="16"/>
          <w:szCs w:val="16"/>
        </w:rPr>
        <w:t>del Expediente.</w:t>
      </w:r>
    </w:p>
  </w:footnote>
  <w:footnote w:id="166">
    <w:p w14:paraId="4DA2A0FA"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El equipo en el sitio del cliente puede ser suministrado o arrendado por el proveedor del servicio de acceso a internet dedicado o por terceros.</w:t>
      </w:r>
    </w:p>
  </w:footnote>
  <w:footnote w:id="167">
    <w:p w14:paraId="73067F4C"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A nivel global, los proveedores de internet nivel Tier 1 son aquellos que tienen acceso a la red mundial de internet a través de acuerdos bilaterales de interconexión con otros operadores de capacidades, tamaño y costos similares (otros Tier 1). Para conectarse a la red mundial de internet, los proveedores de internet regionales o nacionales (Tier 2) requieren de los servicios de tránsito (entrada y salida de tráfico), proporcionados por los proveedores nivel Tier 1. Asimismo, los proveedores nivel Tier 2 pueden realizar acuerdos bilaterales de interconexión entre ellos para conectar el tráfico de sus bases de clientes. UIT. (2013). “</w:t>
      </w:r>
      <w:r w:rsidRPr="00651DD1">
        <w:rPr>
          <w:i/>
          <w:sz w:val="16"/>
          <w:szCs w:val="16"/>
        </w:rPr>
        <w:t>Estudio de la Conectividad Internacional de Internet en América Latina y el Caribe</w:t>
      </w:r>
      <w:r w:rsidRPr="003A62C6">
        <w:rPr>
          <w:sz w:val="16"/>
          <w:szCs w:val="16"/>
        </w:rPr>
        <w:t>”. Fojas 7299 y 7303 del Expediente.</w:t>
      </w:r>
    </w:p>
  </w:footnote>
  <w:footnote w:id="168">
    <w:p w14:paraId="5B4E6FCF"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Algunos operadores que ofrecen el servicio de acceso a internet dedicado en estas modalidades son: </w:t>
      </w:r>
      <w:r w:rsidRPr="008720D8">
        <w:rPr>
          <w:b/>
          <w:bCs/>
          <w:color w:val="0000CC"/>
          <w:sz w:val="16"/>
          <w:szCs w:val="16"/>
        </w:rPr>
        <w:t>“CONFIDENCIAL POR LEY”</w:t>
      </w:r>
      <w:r w:rsidRPr="003A62C6">
        <w:rPr>
          <w:sz w:val="16"/>
          <w:szCs w:val="16"/>
        </w:rPr>
        <w:t xml:space="preserve">. Ofertas comerciales y definiciones en los contratos. Fojas </w:t>
      </w:r>
      <w:r>
        <w:rPr>
          <w:sz w:val="16"/>
          <w:szCs w:val="16"/>
        </w:rPr>
        <w:t xml:space="preserve">321, 3258, 3557, 3558, 3716, 3756, 5031, 5084, 5842, 5847, 6454, 6459 y 7299, 7300, 7303, 7563, 7565 a </w:t>
      </w:r>
      <w:r w:rsidRPr="003A62C6">
        <w:rPr>
          <w:sz w:val="16"/>
          <w:szCs w:val="16"/>
        </w:rPr>
        <w:t>7568 del Expediente.</w:t>
      </w:r>
    </w:p>
  </w:footnote>
  <w:footnote w:id="169">
    <w:p w14:paraId="6B2432EF"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Respuestas de los operadores, ofertas comerciales y contratos. Fojas </w:t>
      </w:r>
      <w:r>
        <w:rPr>
          <w:sz w:val="16"/>
          <w:szCs w:val="16"/>
        </w:rPr>
        <w:t xml:space="preserve">321, 3258, 3267, 3285 a 3385, 3557, 3558, 3716, 3756, 5031, 5084, 5481 a 5524, 5842, 5847, 6454, 6459, 6580 a 6646, 6851, 6863, </w:t>
      </w:r>
      <w:r w:rsidRPr="003A62C6">
        <w:rPr>
          <w:sz w:val="16"/>
          <w:szCs w:val="16"/>
        </w:rPr>
        <w:t>7299</w:t>
      </w:r>
      <w:r>
        <w:rPr>
          <w:sz w:val="16"/>
          <w:szCs w:val="16"/>
        </w:rPr>
        <w:t xml:space="preserve">, </w:t>
      </w:r>
      <w:r w:rsidRPr="003A62C6">
        <w:rPr>
          <w:sz w:val="16"/>
          <w:szCs w:val="16"/>
        </w:rPr>
        <w:t>7300, 73</w:t>
      </w:r>
      <w:r>
        <w:rPr>
          <w:sz w:val="16"/>
          <w:szCs w:val="16"/>
        </w:rPr>
        <w:t>03, 7554, 7565 a 7568, 7648 a 7659,</w:t>
      </w:r>
      <w:r w:rsidRPr="003A62C6">
        <w:rPr>
          <w:sz w:val="16"/>
          <w:szCs w:val="16"/>
        </w:rPr>
        <w:t xml:space="preserve"> 7681</w:t>
      </w:r>
      <w:r>
        <w:rPr>
          <w:sz w:val="16"/>
          <w:szCs w:val="16"/>
        </w:rPr>
        <w:t>,</w:t>
      </w:r>
      <w:r w:rsidRPr="003A62C6">
        <w:rPr>
          <w:sz w:val="16"/>
          <w:szCs w:val="16"/>
        </w:rPr>
        <w:t xml:space="preserve"> </w:t>
      </w:r>
      <w:r>
        <w:rPr>
          <w:sz w:val="16"/>
          <w:szCs w:val="16"/>
        </w:rPr>
        <w:t>7710 y 7716 a 7736</w:t>
      </w:r>
      <w:r w:rsidRPr="003A62C6">
        <w:rPr>
          <w:sz w:val="16"/>
          <w:szCs w:val="16"/>
        </w:rPr>
        <w:t xml:space="preserve"> del Expediente.</w:t>
      </w:r>
    </w:p>
  </w:footnote>
  <w:footnote w:id="170">
    <w:p w14:paraId="66C2F9C0" w14:textId="77777777" w:rsidR="0006497B" w:rsidRPr="003A62C6" w:rsidRDefault="0006497B" w:rsidP="003A62C6">
      <w:pPr>
        <w:autoSpaceDE w:val="0"/>
        <w:autoSpaceDN w:val="0"/>
        <w:adjustRightInd w:val="0"/>
        <w:spacing w:after="0"/>
        <w:jc w:val="both"/>
        <w:rPr>
          <w:sz w:val="16"/>
          <w:szCs w:val="16"/>
        </w:rPr>
      </w:pPr>
      <w:r w:rsidRPr="003A62C6">
        <w:rPr>
          <w:rStyle w:val="Refdenotaalpie"/>
          <w:sz w:val="16"/>
          <w:szCs w:val="16"/>
        </w:rPr>
        <w:footnoteRef/>
      </w:r>
      <w:r w:rsidRPr="003A62C6">
        <w:rPr>
          <w:sz w:val="16"/>
          <w:szCs w:val="16"/>
        </w:rPr>
        <w:t xml:space="preserve"> Contratos provistos por los operadores. Fojas </w:t>
      </w:r>
      <w:r>
        <w:rPr>
          <w:sz w:val="16"/>
          <w:szCs w:val="16"/>
        </w:rPr>
        <w:t>321, 3258, 3267, 3285 a 3385, 3557, 3558, 3716, 3756, 5031, 5084, 5481 a 5524, 5842, 5847, 6454, 6459, 6580 a 6646, 6851, 6863, 7710 y 7716 a 7736</w:t>
      </w:r>
      <w:r w:rsidRPr="003A62C6">
        <w:rPr>
          <w:sz w:val="16"/>
          <w:szCs w:val="16"/>
        </w:rPr>
        <w:t xml:space="preserve"> del Expediente.</w:t>
      </w:r>
    </w:p>
  </w:footnote>
  <w:footnote w:id="171">
    <w:p w14:paraId="60F42F90"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A461C9">
        <w:rPr>
          <w:spacing w:val="-4"/>
          <w:sz w:val="16"/>
          <w:szCs w:val="16"/>
        </w:rPr>
        <w:t xml:space="preserve">Respuesta de </w:t>
      </w:r>
      <w:r w:rsidRPr="008720D8">
        <w:rPr>
          <w:b/>
          <w:bCs/>
          <w:color w:val="0000CC"/>
          <w:sz w:val="16"/>
          <w:szCs w:val="16"/>
        </w:rPr>
        <w:t>“CONFIDENCIAL POR LEY”</w:t>
      </w:r>
      <w:r w:rsidRPr="00A461C9">
        <w:rPr>
          <w:spacing w:val="-4"/>
          <w:sz w:val="16"/>
          <w:szCs w:val="16"/>
        </w:rPr>
        <w:t xml:space="preserve"> y contratos provistos por los operadores. Fojas 321, 3258, 3267, 3285 a 3385, 3557, 3558, 3691 a 3698, 3716, 3756, 5031, 5084, 5481 a 5524, 5842, 5847, 6454, 6459, 6580 a 6646, 6851, 6863, 7710 y 7716 a 7736 del Expediente.</w:t>
      </w:r>
    </w:p>
  </w:footnote>
  <w:footnote w:id="172">
    <w:p w14:paraId="12D187F9" w14:textId="77777777" w:rsidR="0006497B" w:rsidRPr="003A62C6" w:rsidRDefault="0006497B" w:rsidP="003A62C6">
      <w:pPr>
        <w:autoSpaceDE w:val="0"/>
        <w:autoSpaceDN w:val="0"/>
        <w:adjustRightInd w:val="0"/>
        <w:spacing w:after="0"/>
        <w:jc w:val="both"/>
        <w:rPr>
          <w:sz w:val="16"/>
          <w:szCs w:val="16"/>
        </w:rPr>
      </w:pPr>
      <w:r w:rsidRPr="003A62C6">
        <w:rPr>
          <w:rStyle w:val="Refdenotaalpie"/>
          <w:sz w:val="16"/>
          <w:szCs w:val="16"/>
        </w:rPr>
        <w:footnoteRef/>
      </w:r>
      <w:r w:rsidRPr="003A62C6">
        <w:rPr>
          <w:sz w:val="16"/>
          <w:szCs w:val="16"/>
        </w:rPr>
        <w:t xml:space="preserve"> </w:t>
      </w:r>
      <w:r w:rsidRPr="003A62C6">
        <w:rPr>
          <w:spacing w:val="-2"/>
          <w:sz w:val="16"/>
          <w:szCs w:val="16"/>
        </w:rPr>
        <w:t>Por ejemplo, AMX</w:t>
      </w:r>
      <w:r>
        <w:rPr>
          <w:spacing w:val="-2"/>
          <w:sz w:val="16"/>
          <w:szCs w:val="16"/>
        </w:rPr>
        <w:t>/Telesites</w:t>
      </w:r>
      <w:r w:rsidRPr="003A62C6">
        <w:rPr>
          <w:spacing w:val="-2"/>
          <w:sz w:val="16"/>
          <w:szCs w:val="16"/>
        </w:rPr>
        <w:t xml:space="preserve"> indica en el Reporte Anual 2017 a la BMV de Telmex, S.A.B. de C.V. que a sus clientes corporativos les asigna personal dedicado a su atención y servicio. Asimismo, </w:t>
      </w:r>
      <w:r w:rsidRPr="008720D8">
        <w:rPr>
          <w:b/>
          <w:bCs/>
          <w:color w:val="0000CC"/>
          <w:sz w:val="16"/>
          <w:szCs w:val="16"/>
        </w:rPr>
        <w:t>“CONFIDENCIAL POR LEY”</w:t>
      </w:r>
      <w:r>
        <w:rPr>
          <w:spacing w:val="-2"/>
          <w:sz w:val="16"/>
          <w:szCs w:val="16"/>
        </w:rPr>
        <w:t xml:space="preserve">. Fojas 3691 a 3698, 3756, 7683 y </w:t>
      </w:r>
      <w:r w:rsidRPr="003A62C6">
        <w:rPr>
          <w:spacing w:val="-2"/>
          <w:sz w:val="16"/>
          <w:szCs w:val="16"/>
        </w:rPr>
        <w:t xml:space="preserve">7684 del Expediente. </w:t>
      </w:r>
    </w:p>
  </w:footnote>
  <w:footnote w:id="173">
    <w:p w14:paraId="0B5A1B13"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Descripción de los canales de comercialización de </w:t>
      </w:r>
      <w:r w:rsidRPr="008720D8">
        <w:rPr>
          <w:b/>
          <w:bCs/>
          <w:color w:val="0000CC"/>
          <w:sz w:val="16"/>
          <w:szCs w:val="16"/>
        </w:rPr>
        <w:t>“CONFIDENCIAL POR LEY”</w:t>
      </w:r>
      <w:r>
        <w:rPr>
          <w:sz w:val="16"/>
          <w:szCs w:val="16"/>
        </w:rPr>
        <w:t xml:space="preserve">. Fojas 7304 a 7319, 7322 a 7323, 7541 a 7544, 7547, </w:t>
      </w:r>
      <w:r w:rsidRPr="003A62C6">
        <w:rPr>
          <w:sz w:val="16"/>
          <w:szCs w:val="16"/>
        </w:rPr>
        <w:t>7548 y 7553 del Expediente.</w:t>
      </w:r>
    </w:p>
  </w:footnote>
  <w:footnote w:id="174">
    <w:p w14:paraId="1ACD638C"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Las velocidades ofrecidas para el servicio pueden ser incluso mayores; por ejemplo</w:t>
      </w:r>
      <w:r>
        <w:rPr>
          <w:sz w:val="16"/>
          <w:szCs w:val="16"/>
        </w:rPr>
        <w:t xml:space="preserve"> </w:t>
      </w:r>
      <w:r w:rsidRPr="008720D8">
        <w:rPr>
          <w:b/>
          <w:bCs/>
          <w:color w:val="0000CC"/>
          <w:sz w:val="16"/>
          <w:szCs w:val="16"/>
        </w:rPr>
        <w:t>“CONFIDENCIAL POR LEY”</w:t>
      </w:r>
      <w:r>
        <w:rPr>
          <w:b/>
          <w:bCs/>
          <w:color w:val="0000CC"/>
          <w:sz w:val="16"/>
          <w:szCs w:val="16"/>
        </w:rPr>
        <w:t xml:space="preserve"> </w:t>
      </w:r>
      <w:r w:rsidRPr="003A62C6">
        <w:rPr>
          <w:sz w:val="16"/>
          <w:szCs w:val="16"/>
        </w:rPr>
        <w:t xml:space="preserve">ofrece velocidades desde 1 Mbps hasta 100 Gbps. </w:t>
      </w:r>
      <w:r w:rsidRPr="008720D8">
        <w:rPr>
          <w:b/>
          <w:bCs/>
          <w:color w:val="0000CC"/>
          <w:sz w:val="16"/>
          <w:szCs w:val="16"/>
        </w:rPr>
        <w:t>“CONFIDENCIAL POR LEY”</w:t>
      </w:r>
      <w:r w:rsidRPr="003A62C6">
        <w:rPr>
          <w:sz w:val="16"/>
          <w:szCs w:val="16"/>
        </w:rPr>
        <w:t>, por su parte, provee velocidades desde 2 Mbps hasta múltiplos de 10 Gbps. Ofertas comerciales de los operadores. Fojas 3223</w:t>
      </w:r>
      <w:r>
        <w:rPr>
          <w:sz w:val="16"/>
          <w:szCs w:val="16"/>
        </w:rPr>
        <w:t xml:space="preserve"> a </w:t>
      </w:r>
      <w:r w:rsidRPr="003A62C6">
        <w:rPr>
          <w:sz w:val="16"/>
          <w:szCs w:val="16"/>
        </w:rPr>
        <w:t>3229, 5458, 7299</w:t>
      </w:r>
      <w:r>
        <w:rPr>
          <w:sz w:val="16"/>
          <w:szCs w:val="16"/>
        </w:rPr>
        <w:t xml:space="preserve"> a </w:t>
      </w:r>
      <w:r w:rsidRPr="003A62C6">
        <w:rPr>
          <w:sz w:val="16"/>
          <w:szCs w:val="16"/>
        </w:rPr>
        <w:t>73</w:t>
      </w:r>
      <w:r>
        <w:rPr>
          <w:sz w:val="16"/>
          <w:szCs w:val="16"/>
        </w:rPr>
        <w:t xml:space="preserve">00, 7303, 7554 a 7556 y 7561 a </w:t>
      </w:r>
      <w:r w:rsidRPr="003A62C6">
        <w:rPr>
          <w:sz w:val="16"/>
          <w:szCs w:val="16"/>
        </w:rPr>
        <w:t>7564 del Expediente.</w:t>
      </w:r>
    </w:p>
  </w:footnote>
  <w:footnote w:id="175">
    <w:p w14:paraId="5470BBD0"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Respuestas de los operadores de telecomunicaciones y contratos provistos. Fojas </w:t>
      </w:r>
      <w:r>
        <w:rPr>
          <w:sz w:val="16"/>
          <w:szCs w:val="16"/>
        </w:rPr>
        <w:t xml:space="preserve">321, 3258, 3267, 3285 a 3385, 3515 a </w:t>
      </w:r>
      <w:r w:rsidRPr="003A62C6">
        <w:rPr>
          <w:sz w:val="16"/>
          <w:szCs w:val="16"/>
        </w:rPr>
        <w:t xml:space="preserve">3517, </w:t>
      </w:r>
      <w:r>
        <w:rPr>
          <w:sz w:val="16"/>
          <w:szCs w:val="16"/>
        </w:rPr>
        <w:t xml:space="preserve">3557 a 3558, </w:t>
      </w:r>
      <w:r w:rsidRPr="003A62C6">
        <w:rPr>
          <w:sz w:val="16"/>
          <w:szCs w:val="16"/>
        </w:rPr>
        <w:t>3692</w:t>
      </w:r>
      <w:r>
        <w:rPr>
          <w:sz w:val="16"/>
          <w:szCs w:val="16"/>
        </w:rPr>
        <w:t xml:space="preserve"> a </w:t>
      </w:r>
      <w:r w:rsidRPr="003A62C6">
        <w:rPr>
          <w:sz w:val="16"/>
          <w:szCs w:val="16"/>
        </w:rPr>
        <w:t>3698</w:t>
      </w:r>
      <w:r>
        <w:rPr>
          <w:sz w:val="16"/>
          <w:szCs w:val="16"/>
        </w:rPr>
        <w:t xml:space="preserve">, 3716, 3756, </w:t>
      </w:r>
      <w:r w:rsidRPr="003A62C6">
        <w:rPr>
          <w:sz w:val="16"/>
          <w:szCs w:val="16"/>
        </w:rPr>
        <w:t>5028</w:t>
      </w:r>
      <w:r>
        <w:rPr>
          <w:sz w:val="16"/>
          <w:szCs w:val="16"/>
        </w:rPr>
        <w:t>, 5031, 5084, 5481-5524, 5842, 5847, 6454, 6459, 6580 a 6646, 6851, 6863, 7710 y 7716 a 7736</w:t>
      </w:r>
      <w:r w:rsidRPr="003A62C6">
        <w:rPr>
          <w:sz w:val="16"/>
          <w:szCs w:val="16"/>
        </w:rPr>
        <w:t xml:space="preserve"> del Expediente.</w:t>
      </w:r>
    </w:p>
  </w:footnote>
  <w:footnote w:id="176">
    <w:p w14:paraId="03E1FF1F"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Por ejemplo, soporta aplicaciones de voz sobre IP, video conferencias, intranet, manejo de aplicaciones empresariales, video vigilancia, transacciones financieras y bancarización, </w:t>
      </w:r>
      <w:r>
        <w:rPr>
          <w:sz w:val="16"/>
          <w:szCs w:val="16"/>
        </w:rPr>
        <w:t>entre otros</w:t>
      </w:r>
      <w:r w:rsidRPr="003A62C6">
        <w:rPr>
          <w:sz w:val="16"/>
          <w:szCs w:val="16"/>
        </w:rPr>
        <w:t xml:space="preserve">. En ese sentido, </w:t>
      </w:r>
      <w:r w:rsidRPr="008720D8">
        <w:rPr>
          <w:b/>
          <w:bCs/>
          <w:color w:val="0000CC"/>
          <w:sz w:val="16"/>
          <w:szCs w:val="16"/>
        </w:rPr>
        <w:t>“CONFIDENCIAL POR LEY”</w:t>
      </w:r>
      <w:r w:rsidRPr="003A62C6">
        <w:rPr>
          <w:sz w:val="16"/>
          <w:szCs w:val="16"/>
        </w:rPr>
        <w:t xml:space="preserve"> manifestó que el servicio de acceso a internet dedicado es eficiente en </w:t>
      </w:r>
      <w:r w:rsidRPr="008720D8">
        <w:rPr>
          <w:b/>
          <w:bCs/>
          <w:color w:val="0000CC"/>
          <w:sz w:val="16"/>
          <w:szCs w:val="16"/>
        </w:rPr>
        <w:t>“CONFIDENCIAL POR LEY”</w:t>
      </w:r>
      <w:r w:rsidRPr="003A62C6">
        <w:rPr>
          <w:i/>
          <w:sz w:val="16"/>
          <w:szCs w:val="16"/>
        </w:rPr>
        <w:t>.</w:t>
      </w:r>
      <w:r>
        <w:rPr>
          <w:sz w:val="16"/>
          <w:szCs w:val="16"/>
        </w:rPr>
        <w:t xml:space="preserve"> Fojas 3692 a </w:t>
      </w:r>
      <w:r w:rsidRPr="003A62C6">
        <w:rPr>
          <w:sz w:val="16"/>
          <w:szCs w:val="16"/>
        </w:rPr>
        <w:t>3695 del Expediente.</w:t>
      </w:r>
    </w:p>
  </w:footnote>
  <w:footnote w:id="177">
    <w:p w14:paraId="1004F299"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9529BA">
        <w:rPr>
          <w:spacing w:val="-4"/>
          <w:sz w:val="16"/>
          <w:szCs w:val="16"/>
        </w:rPr>
        <w:t>Facturas y contratos provistos por los operadores. Fojas 321, 3258, 3267 a 3385, 3557 a 3558, 3715, 3716, 3756, 4043, 4066, 5031, 5084, 5470 a 5524, 5842, 5847, 6454, 6459, 6580 a 6646, 6566 a 6567, 6851, 6863, 7710 y 7716 a 7736 del Expediente.</w:t>
      </w:r>
    </w:p>
  </w:footnote>
  <w:footnote w:id="178">
    <w:p w14:paraId="28DBA31D"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Respuesta de </w:t>
      </w:r>
      <w:r w:rsidRPr="008720D8">
        <w:rPr>
          <w:b/>
          <w:bCs/>
          <w:color w:val="0000CC"/>
          <w:sz w:val="16"/>
          <w:szCs w:val="16"/>
        </w:rPr>
        <w:t>“CONFIDENCIAL POR LEY”</w:t>
      </w:r>
      <w:r w:rsidRPr="003A62C6">
        <w:rPr>
          <w:sz w:val="16"/>
          <w:szCs w:val="16"/>
        </w:rPr>
        <w:t xml:space="preserve"> y contratos provistos por los operadores Fojas </w:t>
      </w:r>
      <w:r>
        <w:rPr>
          <w:sz w:val="16"/>
          <w:szCs w:val="16"/>
        </w:rPr>
        <w:t xml:space="preserve">321, 3258, 3267, 3285 a 3385, 3557, 3558, </w:t>
      </w:r>
      <w:r w:rsidRPr="003A62C6">
        <w:rPr>
          <w:sz w:val="16"/>
          <w:szCs w:val="16"/>
        </w:rPr>
        <w:t>3692</w:t>
      </w:r>
      <w:r>
        <w:rPr>
          <w:sz w:val="16"/>
          <w:szCs w:val="16"/>
        </w:rPr>
        <w:t xml:space="preserve"> a </w:t>
      </w:r>
      <w:r w:rsidRPr="003A62C6">
        <w:rPr>
          <w:sz w:val="16"/>
          <w:szCs w:val="16"/>
        </w:rPr>
        <w:t>3695</w:t>
      </w:r>
      <w:r>
        <w:rPr>
          <w:sz w:val="16"/>
          <w:szCs w:val="16"/>
        </w:rPr>
        <w:t>, 3716, 3756, 5031, 5084, 5481 a 5524, 5842, 5847, 6454, 6459, 6566, 6567, 6580 a 6646, 6851, 6863, 7710 y 7716 a 7736</w:t>
      </w:r>
      <w:r w:rsidRPr="003A62C6">
        <w:rPr>
          <w:sz w:val="16"/>
          <w:szCs w:val="16"/>
        </w:rPr>
        <w:t xml:space="preserve"> del Expediente.</w:t>
      </w:r>
    </w:p>
  </w:footnote>
  <w:footnote w:id="179">
    <w:p w14:paraId="0D0D469C"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Descripción de las ofertas comerciales de </w:t>
      </w:r>
      <w:r w:rsidRPr="008720D8">
        <w:rPr>
          <w:b/>
          <w:bCs/>
          <w:color w:val="0000CC"/>
          <w:sz w:val="16"/>
          <w:szCs w:val="16"/>
        </w:rPr>
        <w:t>“CONFIDENCIAL POR LEY”</w:t>
      </w:r>
      <w:r w:rsidRPr="003A62C6">
        <w:rPr>
          <w:sz w:val="16"/>
          <w:szCs w:val="16"/>
        </w:rPr>
        <w:t>.</w:t>
      </w:r>
      <w:r>
        <w:rPr>
          <w:sz w:val="16"/>
          <w:szCs w:val="16"/>
        </w:rPr>
        <w:t xml:space="preserve"> Fojas 218-219, 3266, 3267, 3513, </w:t>
      </w:r>
      <w:r w:rsidRPr="003A62C6">
        <w:rPr>
          <w:sz w:val="16"/>
          <w:szCs w:val="16"/>
        </w:rPr>
        <w:t>3514, 3527-3528, 3712</w:t>
      </w:r>
      <w:r>
        <w:rPr>
          <w:sz w:val="16"/>
          <w:szCs w:val="16"/>
        </w:rPr>
        <w:t xml:space="preserve"> a </w:t>
      </w:r>
      <w:r w:rsidRPr="003A62C6">
        <w:rPr>
          <w:sz w:val="16"/>
          <w:szCs w:val="16"/>
        </w:rPr>
        <w:t>3716, 5031, 5</w:t>
      </w:r>
      <w:r>
        <w:rPr>
          <w:sz w:val="16"/>
          <w:szCs w:val="16"/>
        </w:rPr>
        <w:t xml:space="preserve">469, 7648 a 7659, 3223 a 3229, 3266, 3267, 3513. 3514, 3527, </w:t>
      </w:r>
      <w:r w:rsidRPr="003A62C6">
        <w:rPr>
          <w:sz w:val="16"/>
          <w:szCs w:val="16"/>
        </w:rPr>
        <w:t>3528, 369</w:t>
      </w:r>
      <w:r>
        <w:rPr>
          <w:sz w:val="16"/>
          <w:szCs w:val="16"/>
        </w:rPr>
        <w:t xml:space="preserve">1, 3756, 4092, 5458, 5469, 7299, </w:t>
      </w:r>
      <w:r w:rsidRPr="003A62C6">
        <w:rPr>
          <w:sz w:val="16"/>
          <w:szCs w:val="16"/>
        </w:rPr>
        <w:t>7300, 7303,</w:t>
      </w:r>
      <w:r>
        <w:rPr>
          <w:sz w:val="16"/>
          <w:szCs w:val="16"/>
        </w:rPr>
        <w:t xml:space="preserve"> 7304, 7550, 7554, 7555, 7557 a 7568 y 7648 a </w:t>
      </w:r>
      <w:r w:rsidRPr="003A62C6">
        <w:rPr>
          <w:sz w:val="16"/>
          <w:szCs w:val="16"/>
        </w:rPr>
        <w:t>7659 del Expediente.</w:t>
      </w:r>
    </w:p>
  </w:footnote>
  <w:footnote w:id="180">
    <w:p w14:paraId="515A958E"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Respuestas de </w:t>
      </w:r>
      <w:r w:rsidRPr="008720D8">
        <w:rPr>
          <w:b/>
          <w:bCs/>
          <w:color w:val="0000CC"/>
          <w:sz w:val="16"/>
          <w:szCs w:val="16"/>
        </w:rPr>
        <w:t>“CONFIDENCIAL POR LEY”</w:t>
      </w:r>
      <w:r w:rsidRPr="003A62C6">
        <w:rPr>
          <w:sz w:val="16"/>
          <w:szCs w:val="16"/>
        </w:rPr>
        <w:t>, así como detalle de las</w:t>
      </w:r>
      <w:r>
        <w:rPr>
          <w:sz w:val="16"/>
          <w:szCs w:val="16"/>
        </w:rPr>
        <w:t xml:space="preserve"> ofertas comerciales. Fojas 218, 219, 3266, </w:t>
      </w:r>
      <w:r w:rsidRPr="003A62C6">
        <w:rPr>
          <w:sz w:val="16"/>
          <w:szCs w:val="16"/>
        </w:rPr>
        <w:t>3</w:t>
      </w:r>
      <w:r>
        <w:rPr>
          <w:sz w:val="16"/>
          <w:szCs w:val="16"/>
        </w:rPr>
        <w:t xml:space="preserve">267, 3513, 3514, 3527, 3528, 3712 a 3716, 5031, 5469 y 7648 a </w:t>
      </w:r>
      <w:r w:rsidRPr="003A62C6">
        <w:rPr>
          <w:sz w:val="16"/>
          <w:szCs w:val="16"/>
        </w:rPr>
        <w:t>7659 del Expediente.</w:t>
      </w:r>
    </w:p>
  </w:footnote>
  <w:footnote w:id="181">
    <w:p w14:paraId="1B283BFC"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Descripción de los principales activos en los Reportes anuales a la BMV 2017 de Axtel, Cablevisión,</w:t>
      </w:r>
      <w:r>
        <w:rPr>
          <w:sz w:val="16"/>
          <w:szCs w:val="16"/>
        </w:rPr>
        <w:t xml:space="preserve"> Telmex y Megacable. Fojas 7299 a </w:t>
      </w:r>
      <w:r w:rsidRPr="003A62C6">
        <w:rPr>
          <w:sz w:val="16"/>
          <w:szCs w:val="16"/>
        </w:rPr>
        <w:t>7301, 7303 y 7683</w:t>
      </w:r>
      <w:r>
        <w:rPr>
          <w:sz w:val="16"/>
          <w:szCs w:val="16"/>
        </w:rPr>
        <w:t xml:space="preserve"> a </w:t>
      </w:r>
      <w:r w:rsidRPr="003A62C6">
        <w:rPr>
          <w:sz w:val="16"/>
          <w:szCs w:val="16"/>
        </w:rPr>
        <w:t>7686 del Expediente.</w:t>
      </w:r>
    </w:p>
  </w:footnote>
  <w:footnote w:id="182">
    <w:p w14:paraId="7191EC64"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Por ejemplo, la oferta comercial de Axtel advierte que la elección del medio de trasmisión en la última milla para ofrecer el servicio de acceso a internet dedicado es a su discreción. Fojas 7648 y 7651 del Expediente.</w:t>
      </w:r>
    </w:p>
  </w:footnote>
  <w:footnote w:id="183">
    <w:p w14:paraId="06269ADD"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En particular, la disponibilidad y desempeño óptimo dependen de que la línea de vista entre el satélite y la antena en el sitio del cliente esté libre de obstáculos (techos, árboles, construcciones, etc.). Además, condiciones climáticas como alta nubosidad, lluvia y granizo, pueden afectar el rendimiento de la conexión. Por otro lado, la latencia del servicio satelital es más elevada, pues el tiempo que tarda en enviar y recibir paquetes de datos es mayor. Contratos provistos de los operadores y descripción del</w:t>
      </w:r>
      <w:r>
        <w:rPr>
          <w:sz w:val="16"/>
          <w:szCs w:val="16"/>
        </w:rPr>
        <w:t xml:space="preserve"> servicio de Axesat. Fojas 3693 a 3695, 7554, 7594 y </w:t>
      </w:r>
      <w:r w:rsidRPr="003A62C6">
        <w:rPr>
          <w:sz w:val="16"/>
          <w:szCs w:val="16"/>
        </w:rPr>
        <w:t>7595 del Expediente.</w:t>
      </w:r>
    </w:p>
  </w:footnote>
  <w:footnote w:id="184">
    <w:p w14:paraId="120FBE5F"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la información disponible, se advierte que en el servicio de acceso a internet por medio de enlaces satelitales se ofrecen velocidades máximas de 4 Mbps. Satpro ofrece velocidades de descarga de 20 y 25 Mbps para corporativos, gobierno y empresas; no obstante, estas velocidades no son simétricas y pueden estar sujetas a límites en la capacidad de tráfico. Ofertas comerciales de proveedores satelitale</w:t>
      </w:r>
      <w:r>
        <w:rPr>
          <w:sz w:val="16"/>
          <w:szCs w:val="16"/>
        </w:rPr>
        <w:t xml:space="preserve">s. Fojas 7305, 7353, 7554, 7569 a 7573, 7648 y 7660 a </w:t>
      </w:r>
      <w:r w:rsidRPr="003A62C6">
        <w:rPr>
          <w:sz w:val="16"/>
          <w:szCs w:val="16"/>
        </w:rPr>
        <w:t>7663 del Expediente.</w:t>
      </w:r>
    </w:p>
  </w:footnote>
  <w:footnote w:id="185">
    <w:p w14:paraId="0106EAD4"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Banda ancha se refiere a una velocidad mayor o igual a 256Kbps de descarga para las redes de acceso fijas. “Manual de definiciones de los indicadores estadísticos de telecomunicaciones” de este Instituto, p. 12. Fojas 7301 y 7303 del Expediente.</w:t>
      </w:r>
    </w:p>
  </w:footnote>
  <w:footnote w:id="186">
    <w:p w14:paraId="016B6FDB"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la Cuarta Encuesta Soy Usuario, 2017 del IFT, otros usos mencionados por los usuarios encuestados fueron compras por internet y transacciones bancarias. Por su parte, GTV señaló que para el SBAF </w:t>
      </w:r>
      <w:r w:rsidRPr="008720D8">
        <w:rPr>
          <w:b/>
          <w:bCs/>
          <w:color w:val="0000CC"/>
          <w:sz w:val="16"/>
          <w:szCs w:val="16"/>
        </w:rPr>
        <w:t>“CONFIDENCIAL POR LEY”</w:t>
      </w:r>
      <w:r w:rsidRPr="003A62C6">
        <w:rPr>
          <w:i/>
          <w:sz w:val="16"/>
          <w:szCs w:val="16"/>
        </w:rPr>
        <w:t>.</w:t>
      </w:r>
      <w:r>
        <w:rPr>
          <w:sz w:val="16"/>
          <w:szCs w:val="16"/>
        </w:rPr>
        <w:t xml:space="preserve"> Fojas 3693 a </w:t>
      </w:r>
      <w:r w:rsidRPr="003A62C6">
        <w:rPr>
          <w:sz w:val="16"/>
          <w:szCs w:val="16"/>
        </w:rPr>
        <w:t>3695, 7301 y 7303 del Expediente.</w:t>
      </w:r>
    </w:p>
  </w:footnote>
  <w:footnote w:id="187">
    <w:p w14:paraId="11AED7D0"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Bajo este esquema, la red trata de manera equitativa a todos los paquetes de datos, sin dar prioridad a algún tipo de tráfico. Por tanto, no existen garantías sobre la calidad de la conexión a internet. Notas sobre “Calidad de Servicio (QoS)”, Pontificia Universidad Javeriana, Colombia. Fojas 7301 y 7303 del Expediente.</w:t>
      </w:r>
    </w:p>
  </w:footnote>
  <w:footnote w:id="188">
    <w:p w14:paraId="7B9A0ED3"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Diversos contratos de los operadores del servicio de acceso a internet dedicado incluyen cláusulas con niveles de servicio (disponibilidad, p</w:t>
      </w:r>
      <w:r>
        <w:rPr>
          <w:sz w:val="16"/>
          <w:szCs w:val="16"/>
        </w:rPr>
        <w:t>é</w:t>
      </w:r>
      <w:r w:rsidRPr="003A62C6">
        <w:rPr>
          <w:sz w:val="16"/>
          <w:szCs w:val="16"/>
        </w:rPr>
        <w:t xml:space="preserve">rdida de paquetes, latencia, tiempos promedio de reparación, </w:t>
      </w:r>
      <w:r>
        <w:rPr>
          <w:sz w:val="16"/>
          <w:szCs w:val="16"/>
        </w:rPr>
        <w:t>entre otros</w:t>
      </w:r>
      <w:r w:rsidRPr="003A62C6">
        <w:rPr>
          <w:sz w:val="16"/>
          <w:szCs w:val="16"/>
        </w:rPr>
        <w:t xml:space="preserve">); en contraste, el SBAF incluye un desistimiento, advirtiendo que las velocidades de conexión dependen de diversos factores (capacidad de los equipos del cliente, saturación de la red, interferencias, ubicación y entorno del cliente, </w:t>
      </w:r>
      <w:r>
        <w:rPr>
          <w:sz w:val="16"/>
          <w:szCs w:val="16"/>
        </w:rPr>
        <w:t>entre otros</w:t>
      </w:r>
      <w:r w:rsidRPr="003A62C6">
        <w:rPr>
          <w:sz w:val="16"/>
          <w:szCs w:val="16"/>
        </w:rPr>
        <w:t xml:space="preserve">), por lo que la velocidad de la conexión a internet no corresponde en todo momento a la contratada. Contratos de acceso a internet dedicado, contratos de adhesión y términos y condiciones del SBAF. Fojas </w:t>
      </w:r>
      <w:r>
        <w:rPr>
          <w:sz w:val="16"/>
          <w:szCs w:val="16"/>
        </w:rPr>
        <w:t xml:space="preserve">321, 3258, 3267, 3285 a 3385, 3557, 3558, 3716, 3756, 5031, 5084, 5481 a 5524, 5842, 5847, 6454, 6459, 6580 a 6646, 6851, 6863, </w:t>
      </w:r>
      <w:r w:rsidRPr="003A62C6">
        <w:rPr>
          <w:sz w:val="16"/>
          <w:szCs w:val="16"/>
        </w:rPr>
        <w:t>73</w:t>
      </w:r>
      <w:r>
        <w:rPr>
          <w:sz w:val="16"/>
          <w:szCs w:val="16"/>
        </w:rPr>
        <w:t xml:space="preserve">01, 7303, 7648 a 7659, 7664 a 7669, 7672 a </w:t>
      </w:r>
      <w:r w:rsidRPr="003A62C6">
        <w:rPr>
          <w:sz w:val="16"/>
          <w:szCs w:val="16"/>
        </w:rPr>
        <w:t>7682</w:t>
      </w:r>
      <w:r>
        <w:rPr>
          <w:sz w:val="16"/>
          <w:szCs w:val="16"/>
        </w:rPr>
        <w:t>,</w:t>
      </w:r>
      <w:r w:rsidRPr="003A62C6">
        <w:rPr>
          <w:sz w:val="16"/>
          <w:szCs w:val="16"/>
        </w:rPr>
        <w:t xml:space="preserve"> </w:t>
      </w:r>
      <w:r>
        <w:rPr>
          <w:sz w:val="16"/>
          <w:szCs w:val="16"/>
        </w:rPr>
        <w:t xml:space="preserve">7710 y 7716 a 7736 </w:t>
      </w:r>
      <w:r w:rsidRPr="003A62C6">
        <w:rPr>
          <w:sz w:val="16"/>
          <w:szCs w:val="16"/>
        </w:rPr>
        <w:t>del Expediente</w:t>
      </w:r>
      <w:r>
        <w:rPr>
          <w:sz w:val="16"/>
          <w:szCs w:val="16"/>
        </w:rPr>
        <w:t>.</w:t>
      </w:r>
    </w:p>
  </w:footnote>
  <w:footnote w:id="189">
    <w:p w14:paraId="6037B86A"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Ofertas comerciales de los principales operadores del SBAF y el servicio de acceso </w:t>
      </w:r>
      <w:r>
        <w:rPr>
          <w:sz w:val="16"/>
          <w:szCs w:val="16"/>
        </w:rPr>
        <w:t xml:space="preserve">a internet dedicado. Fojas 3223 a 3229, 5459, 7299, 7300, 7302, </w:t>
      </w:r>
      <w:r w:rsidRPr="003A62C6">
        <w:rPr>
          <w:sz w:val="16"/>
          <w:szCs w:val="16"/>
        </w:rPr>
        <w:t>7303, 7554</w:t>
      </w:r>
      <w:r>
        <w:rPr>
          <w:sz w:val="16"/>
          <w:szCs w:val="16"/>
        </w:rPr>
        <w:t xml:space="preserve"> a 7556 y 7561 a </w:t>
      </w:r>
      <w:r w:rsidRPr="003A62C6">
        <w:rPr>
          <w:sz w:val="16"/>
          <w:szCs w:val="16"/>
        </w:rPr>
        <w:t>7588 del Expediente.</w:t>
      </w:r>
    </w:p>
  </w:footnote>
  <w:footnote w:id="190">
    <w:p w14:paraId="54AA9133" w14:textId="77777777" w:rsidR="0006497B" w:rsidRPr="00603FD0" w:rsidRDefault="0006497B" w:rsidP="003A62C6">
      <w:pPr>
        <w:pStyle w:val="Textonotapie"/>
        <w:jc w:val="both"/>
        <w:rPr>
          <w:spacing w:val="-2"/>
          <w:kern w:val="16"/>
          <w:sz w:val="16"/>
          <w:szCs w:val="16"/>
        </w:rPr>
      </w:pPr>
      <w:r w:rsidRPr="00603FD0">
        <w:rPr>
          <w:rStyle w:val="Refdenotaalpie"/>
          <w:spacing w:val="-2"/>
          <w:kern w:val="16"/>
          <w:sz w:val="16"/>
          <w:szCs w:val="16"/>
        </w:rPr>
        <w:footnoteRef/>
      </w:r>
      <w:r w:rsidRPr="00603FD0">
        <w:rPr>
          <w:spacing w:val="-2"/>
          <w:kern w:val="16"/>
          <w:sz w:val="16"/>
          <w:szCs w:val="16"/>
        </w:rPr>
        <w:t xml:space="preserve"> A mayor abundamiento, de diversos contratos de los proveedores del servicio de acceso a internet dedicado con clientes, se advierten especificaciones que deben tener los espacios físicos dedicados a los equipos de telecomunicaciones, tales como mínimo de m</w:t>
      </w:r>
      <w:r w:rsidRPr="00603FD0">
        <w:rPr>
          <w:spacing w:val="-2"/>
          <w:kern w:val="16"/>
          <w:sz w:val="16"/>
          <w:szCs w:val="16"/>
          <w:vertAlign w:val="superscript"/>
        </w:rPr>
        <w:t>2</w:t>
      </w:r>
      <w:r w:rsidRPr="00603FD0">
        <w:rPr>
          <w:spacing w:val="-2"/>
          <w:kern w:val="16"/>
          <w:sz w:val="16"/>
          <w:szCs w:val="16"/>
        </w:rPr>
        <w:t>, de altura, especificaciones de la alimentación eléctrica, del ambiente, entre otros. Contratos con proveedores del servicio de acceso a internet dedicado y contratos de adhesión del SBAF. Fojas 321, 3258, 3267, 3285 a 3385, 3557, 3558, 3716, 3756, 5031, 5084, 5481 a 5524, 5842, 5847, 6454, 6459, 6580 a 6646, 6851, 6863, 7710 y 7716 a 7736 del Expediente.</w:t>
      </w:r>
    </w:p>
  </w:footnote>
  <w:footnote w:id="191">
    <w:p w14:paraId="2E913170" w14:textId="77777777" w:rsidR="0006497B" w:rsidRPr="00603FD0" w:rsidRDefault="0006497B" w:rsidP="003A62C6">
      <w:pPr>
        <w:pStyle w:val="Textonotapie"/>
        <w:jc w:val="both"/>
        <w:rPr>
          <w:spacing w:val="-2"/>
          <w:kern w:val="16"/>
          <w:sz w:val="16"/>
          <w:szCs w:val="16"/>
        </w:rPr>
      </w:pPr>
      <w:r w:rsidRPr="00603FD0">
        <w:rPr>
          <w:rStyle w:val="Refdenotaalpie"/>
          <w:spacing w:val="-2"/>
          <w:kern w:val="16"/>
          <w:sz w:val="16"/>
          <w:szCs w:val="16"/>
        </w:rPr>
        <w:footnoteRef/>
      </w:r>
      <w:r w:rsidRPr="00603FD0">
        <w:rPr>
          <w:spacing w:val="-2"/>
          <w:kern w:val="16"/>
          <w:sz w:val="16"/>
          <w:szCs w:val="16"/>
        </w:rPr>
        <w:t xml:space="preserve"> </w:t>
      </w:r>
      <w:r w:rsidRPr="00603FD0">
        <w:rPr>
          <w:spacing w:val="-6"/>
          <w:kern w:val="16"/>
          <w:sz w:val="16"/>
          <w:szCs w:val="16"/>
        </w:rPr>
        <w:t xml:space="preserve">Contratos del servicio de acceso a internet dedicado de </w:t>
      </w:r>
      <w:r w:rsidRPr="008720D8">
        <w:rPr>
          <w:b/>
          <w:bCs/>
          <w:color w:val="0000CC"/>
          <w:sz w:val="16"/>
          <w:szCs w:val="16"/>
        </w:rPr>
        <w:t>“CONFIDENCIAL POR LEY”</w:t>
      </w:r>
      <w:r w:rsidRPr="00603FD0">
        <w:rPr>
          <w:spacing w:val="-6"/>
          <w:kern w:val="16"/>
          <w:sz w:val="16"/>
          <w:szCs w:val="16"/>
        </w:rPr>
        <w:t xml:space="preserve"> y descripción de los canales de</w:t>
      </w:r>
      <w:r>
        <w:rPr>
          <w:spacing w:val="-6"/>
          <w:kern w:val="16"/>
          <w:sz w:val="16"/>
          <w:szCs w:val="16"/>
        </w:rPr>
        <w:t xml:space="preserve"> comercialización de</w:t>
      </w:r>
      <w:r w:rsidRPr="00603FD0">
        <w:rPr>
          <w:spacing w:val="-6"/>
          <w:kern w:val="16"/>
          <w:sz w:val="16"/>
          <w:szCs w:val="16"/>
        </w:rPr>
        <w:t xml:space="preserve"> </w:t>
      </w:r>
      <w:r w:rsidRPr="008720D8">
        <w:rPr>
          <w:b/>
          <w:bCs/>
          <w:color w:val="0000CC"/>
          <w:sz w:val="16"/>
          <w:szCs w:val="16"/>
        </w:rPr>
        <w:t>“CONFIDENCIAL POR LEY”</w:t>
      </w:r>
      <w:r w:rsidRPr="00603FD0">
        <w:rPr>
          <w:spacing w:val="-6"/>
          <w:kern w:val="16"/>
          <w:sz w:val="16"/>
          <w:szCs w:val="16"/>
        </w:rPr>
        <w:t>. Fojas 4043, 4066, 7304 a 7319, 7322, 7323, 7541 a 7544, 7547, 7548 y 7553 del Expediente.</w:t>
      </w:r>
    </w:p>
  </w:footnote>
  <w:footnote w:id="192">
    <w:p w14:paraId="13225C59"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Los usuarios de internet dedicado pueden obtener descuentos de</w:t>
      </w:r>
      <w:r>
        <w:rPr>
          <w:sz w:val="16"/>
          <w:szCs w:val="16"/>
        </w:rPr>
        <w:t>, por ejemplo,</w:t>
      </w:r>
      <w:r w:rsidRPr="003A62C6">
        <w:rPr>
          <w:sz w:val="16"/>
          <w:szCs w:val="16"/>
        </w:rPr>
        <w:t xml:space="preserve"> </w:t>
      </w:r>
      <w:r>
        <w:rPr>
          <w:sz w:val="16"/>
          <w:szCs w:val="16"/>
        </w:rPr>
        <w:t xml:space="preserve">25.0%, 66.8% y </w:t>
      </w:r>
      <w:r w:rsidRPr="003A62C6">
        <w:rPr>
          <w:sz w:val="16"/>
          <w:szCs w:val="16"/>
        </w:rPr>
        <w:t xml:space="preserve">hasta </w:t>
      </w:r>
      <w:r>
        <w:rPr>
          <w:sz w:val="16"/>
          <w:szCs w:val="16"/>
        </w:rPr>
        <w:t>del 100.0%</w:t>
      </w:r>
      <w:r w:rsidRPr="003A62C6">
        <w:rPr>
          <w:sz w:val="16"/>
          <w:szCs w:val="16"/>
        </w:rPr>
        <w:t xml:space="preserve"> sobre el servicio cuando lo adquieren para diversos sitios. Asimismo, los operadores pueden diseñar la solución técnica idónea para el cliente conforme a sus necesidades. Contratos provistos por </w:t>
      </w:r>
      <w:r w:rsidRPr="008720D8">
        <w:rPr>
          <w:b/>
          <w:bCs/>
          <w:color w:val="0000CC"/>
          <w:sz w:val="16"/>
          <w:szCs w:val="16"/>
        </w:rPr>
        <w:t>“CONFIDENCIAL POR LEY”</w:t>
      </w:r>
      <w:r w:rsidRPr="003A62C6">
        <w:rPr>
          <w:sz w:val="16"/>
          <w:szCs w:val="16"/>
        </w:rPr>
        <w:t xml:space="preserve">. Fojas </w:t>
      </w:r>
      <w:r>
        <w:rPr>
          <w:sz w:val="16"/>
          <w:szCs w:val="16"/>
        </w:rPr>
        <w:t xml:space="preserve">3258, 3267, 3285 a 3385, 3557, </w:t>
      </w:r>
      <w:r w:rsidRPr="0072740A">
        <w:rPr>
          <w:sz w:val="16"/>
          <w:szCs w:val="16"/>
        </w:rPr>
        <w:t>3558, 3716</w:t>
      </w:r>
      <w:r>
        <w:rPr>
          <w:sz w:val="16"/>
          <w:szCs w:val="16"/>
        </w:rPr>
        <w:t xml:space="preserve">, 3756, 5842, 5847, 6454 y 6459 </w:t>
      </w:r>
      <w:r w:rsidRPr="003A62C6">
        <w:rPr>
          <w:sz w:val="16"/>
          <w:szCs w:val="16"/>
        </w:rPr>
        <w:t>del Expediente.</w:t>
      </w:r>
    </w:p>
  </w:footnote>
  <w:footnote w:id="193">
    <w:p w14:paraId="283D80D3"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los contratos provistos por los operadores, los plazos de contratación del servicio de acceso a internet dedicado van de uno a cuatro años, mientras los del SBAF son de uno a dos años.</w:t>
      </w:r>
    </w:p>
  </w:footnote>
  <w:footnote w:id="194">
    <w:p w14:paraId="5A83E4DC" w14:textId="77777777" w:rsidR="0006497B" w:rsidRPr="003A62C6" w:rsidRDefault="0006497B" w:rsidP="003A62C6">
      <w:pPr>
        <w:pStyle w:val="Textonotapie"/>
        <w:jc w:val="both"/>
        <w:rPr>
          <w:sz w:val="16"/>
          <w:szCs w:val="16"/>
          <w:highlight w:val="yellow"/>
        </w:rPr>
      </w:pPr>
      <w:r w:rsidRPr="003A62C6">
        <w:rPr>
          <w:rStyle w:val="Refdenotaalpie"/>
          <w:sz w:val="16"/>
          <w:szCs w:val="16"/>
        </w:rPr>
        <w:footnoteRef/>
      </w:r>
      <w:r w:rsidRPr="003A62C6">
        <w:rPr>
          <w:sz w:val="16"/>
          <w:szCs w:val="16"/>
        </w:rPr>
        <w:t xml:space="preserve"> </w:t>
      </w:r>
      <w:r w:rsidRPr="003C7BC3">
        <w:rPr>
          <w:sz w:val="16"/>
          <w:szCs w:val="16"/>
        </w:rPr>
        <w:t xml:space="preserve">Fojas </w:t>
      </w:r>
      <w:r>
        <w:rPr>
          <w:sz w:val="16"/>
          <w:szCs w:val="16"/>
        </w:rPr>
        <w:t>3251 a 3256, 4814 a 4818, 4927 a 4929, 5031, 5084, 5228 a 5238, 7860, 7861 y 7863</w:t>
      </w:r>
      <w:r w:rsidRPr="003C7BC3">
        <w:rPr>
          <w:sz w:val="16"/>
          <w:szCs w:val="16"/>
        </w:rPr>
        <w:t xml:space="preserve"> del</w:t>
      </w:r>
      <w:r w:rsidRPr="003A62C6">
        <w:rPr>
          <w:sz w:val="16"/>
          <w:szCs w:val="16"/>
        </w:rPr>
        <w:t xml:space="preserve"> Expediente.</w:t>
      </w:r>
    </w:p>
  </w:footnote>
  <w:footnote w:id="195">
    <w:p w14:paraId="10EFAD55"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Al </w:t>
      </w:r>
      <w:r w:rsidRPr="007D733C">
        <w:rPr>
          <w:sz w:val="16"/>
          <w:szCs w:val="16"/>
        </w:rPr>
        <w:t xml:space="preserve">respecto, </w:t>
      </w:r>
      <w:r>
        <w:rPr>
          <w:sz w:val="16"/>
          <w:szCs w:val="16"/>
        </w:rPr>
        <w:t xml:space="preserve">en dos mil diecisiete, </w:t>
      </w:r>
      <w:r w:rsidRPr="007D733C">
        <w:rPr>
          <w:sz w:val="16"/>
          <w:szCs w:val="16"/>
        </w:rPr>
        <w:t>76.0%</w:t>
      </w:r>
      <w:r w:rsidRPr="003A62C6">
        <w:rPr>
          <w:sz w:val="16"/>
          <w:szCs w:val="16"/>
        </w:rPr>
        <w:t xml:space="preserve"> de los ingresos del servicio de arrendamiento de enlaces dedicados locales correspond</w:t>
      </w:r>
      <w:r>
        <w:rPr>
          <w:sz w:val="16"/>
          <w:szCs w:val="16"/>
        </w:rPr>
        <w:t>ían</w:t>
      </w:r>
      <w:r w:rsidRPr="003A62C6">
        <w:rPr>
          <w:sz w:val="16"/>
          <w:szCs w:val="16"/>
        </w:rPr>
        <w:t xml:space="preserve"> a servicios mayoristas; es decir, diversos concesionarios usan este servicio como un insumo para proveer otros servicios minoristas de telecomunicaciones.</w:t>
      </w:r>
    </w:p>
  </w:footnote>
  <w:footnote w:id="196">
    <w:p w14:paraId="55D94E73"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401F78">
        <w:rPr>
          <w:spacing w:val="-4"/>
          <w:sz w:val="16"/>
          <w:szCs w:val="16"/>
        </w:rPr>
        <w:t xml:space="preserve">De hecho, en el primer trimestre de dos mil </w:t>
      </w:r>
      <w:r>
        <w:rPr>
          <w:spacing w:val="-4"/>
          <w:sz w:val="16"/>
          <w:szCs w:val="16"/>
        </w:rPr>
        <w:t>diecio</w:t>
      </w:r>
      <w:r w:rsidRPr="00401F78">
        <w:rPr>
          <w:spacing w:val="-4"/>
          <w:sz w:val="16"/>
          <w:szCs w:val="16"/>
        </w:rPr>
        <w:t>cho, el precio implícito por Mbps del servicio de acceso a internet dedicado es de $307.20 (trescientos siete pesos con 20/100 M.N.), mientras que el del servicio de arrendamiento enlaces dedicados es de $150.3</w:t>
      </w:r>
      <w:r>
        <w:rPr>
          <w:spacing w:val="-4"/>
          <w:sz w:val="16"/>
          <w:szCs w:val="16"/>
        </w:rPr>
        <w:t>2</w:t>
      </w:r>
      <w:r w:rsidRPr="00401F78">
        <w:rPr>
          <w:spacing w:val="-4"/>
          <w:sz w:val="16"/>
          <w:szCs w:val="16"/>
        </w:rPr>
        <w:t xml:space="preserve"> (ciento cincuenta pesos con 3</w:t>
      </w:r>
      <w:r>
        <w:rPr>
          <w:spacing w:val="-4"/>
          <w:sz w:val="16"/>
          <w:szCs w:val="16"/>
        </w:rPr>
        <w:t>2</w:t>
      </w:r>
      <w:r w:rsidRPr="00401F78">
        <w:rPr>
          <w:spacing w:val="-4"/>
          <w:sz w:val="16"/>
          <w:szCs w:val="16"/>
        </w:rPr>
        <w:t xml:space="preserve">/100 M.N.) para enlaces Ethernet. </w:t>
      </w:r>
      <w:r w:rsidRPr="00132E7B">
        <w:rPr>
          <w:spacing w:val="-4"/>
          <w:sz w:val="16"/>
          <w:szCs w:val="16"/>
        </w:rPr>
        <w:t>Véanse Gráficos 3 y 6.</w:t>
      </w:r>
    </w:p>
  </w:footnote>
  <w:footnote w:id="197">
    <w:p w14:paraId="0CA370F1"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El SBAM no puede garantizar un canal dedicado a la red </w:t>
      </w:r>
      <w:r>
        <w:rPr>
          <w:sz w:val="16"/>
          <w:szCs w:val="16"/>
        </w:rPr>
        <w:t xml:space="preserve">mundial </w:t>
      </w:r>
      <w:r w:rsidRPr="003A62C6">
        <w:rPr>
          <w:sz w:val="16"/>
          <w:szCs w:val="16"/>
        </w:rPr>
        <w:t xml:space="preserve">de internet porque las redes móviles están conformadas por segmentos que comparten recursos entre diversos usuarios; más aún, utilizan el mecanismo </w:t>
      </w:r>
      <w:r w:rsidRPr="003A62C6">
        <w:rPr>
          <w:i/>
          <w:sz w:val="16"/>
          <w:szCs w:val="16"/>
        </w:rPr>
        <w:t>“</w:t>
      </w:r>
      <w:r w:rsidRPr="003A62C6">
        <w:rPr>
          <w:sz w:val="16"/>
          <w:szCs w:val="16"/>
        </w:rPr>
        <w:t>mejor esfuerzo”. GSMA. (2013). “La calidad de servicio de acceso a internet móvil: Una oportunidad para promover la competencia y la innovación”, p</w:t>
      </w:r>
      <w:r>
        <w:rPr>
          <w:sz w:val="16"/>
          <w:szCs w:val="16"/>
        </w:rPr>
        <w:t>p</w:t>
      </w:r>
      <w:r w:rsidRPr="003A62C6">
        <w:rPr>
          <w:sz w:val="16"/>
          <w:szCs w:val="16"/>
        </w:rPr>
        <w:t>. 8</w:t>
      </w:r>
      <w:r>
        <w:rPr>
          <w:sz w:val="16"/>
          <w:szCs w:val="16"/>
        </w:rPr>
        <w:t xml:space="preserve"> a </w:t>
      </w:r>
      <w:r w:rsidRPr="003A62C6">
        <w:rPr>
          <w:sz w:val="16"/>
          <w:szCs w:val="16"/>
        </w:rPr>
        <w:t>11. Fojas 7301 y 7303 de Expediente.</w:t>
      </w:r>
    </w:p>
  </w:footnote>
  <w:footnote w:id="198">
    <w:p w14:paraId="753074E3"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Páginas web de AT&amp;T, Telcel y Movistar. Fojas 7554, 7579</w:t>
      </w:r>
      <w:r>
        <w:rPr>
          <w:sz w:val="16"/>
          <w:szCs w:val="16"/>
        </w:rPr>
        <w:t xml:space="preserve"> a 7583 y 7586 a </w:t>
      </w:r>
      <w:r w:rsidRPr="003A62C6">
        <w:rPr>
          <w:sz w:val="16"/>
          <w:szCs w:val="16"/>
        </w:rPr>
        <w:t>7588 del Expediente.</w:t>
      </w:r>
    </w:p>
  </w:footnote>
  <w:footnote w:id="199">
    <w:p w14:paraId="5F01102A"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Si bien la tecnología 5G promete mayor calidad y velocidad, de acuerdo con proyecciones de GSMA Latinoamérica, en México, esta tecnología alcanzará 17 millones de conexiones hasta 2025. GSMA. (2017). “Economía Móvil: América Latina y Caribe”, p</w:t>
      </w:r>
      <w:r>
        <w:rPr>
          <w:sz w:val="16"/>
          <w:szCs w:val="16"/>
        </w:rPr>
        <w:t xml:space="preserve">p. 3, 15 y </w:t>
      </w:r>
      <w:r w:rsidRPr="003A62C6">
        <w:rPr>
          <w:sz w:val="16"/>
          <w:szCs w:val="16"/>
        </w:rPr>
        <w:t>16. Fojas 7301 y 7303 del Expediente.</w:t>
      </w:r>
    </w:p>
  </w:footnote>
  <w:footnote w:id="200">
    <w:p w14:paraId="46D60415"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En el SBAM, cada célula cuenta con una banda de frecuencia y una estación base (transmisor, receptor y centro o unidad de control), que permite asignar un canal radioeléctrico a diversas células y re-usar las frecuencias para maximizar el número de usuarios que acceden al servicio en una célula. Por su parte, las microondas terrestres utilizan estaciones terminales y repetidoras intermedias, con equipos transceptores, antenas y elementos de supervisión y reserva, que permiten establecer una comunicación bidireccional entre dos puntos. Información proporcionada en el Expediente AI/DC-002-2016. Fojas 7305 y 7553 del Expediente.</w:t>
      </w:r>
    </w:p>
  </w:footnote>
  <w:footnote w:id="201">
    <w:p w14:paraId="1B6777E4"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8720D8">
        <w:rPr>
          <w:b/>
          <w:bCs/>
          <w:color w:val="0000CC"/>
          <w:sz w:val="16"/>
          <w:szCs w:val="16"/>
        </w:rPr>
        <w:t>“CONFIDENCIAL POR LEY”</w:t>
      </w:r>
      <w:r w:rsidRPr="003A62C6">
        <w:rPr>
          <w:sz w:val="16"/>
          <w:szCs w:val="16"/>
        </w:rPr>
        <w:t xml:space="preserve"> proporcionaron contratos con clientes a los que proveen el servicio en diversas localidades del país. Además, organismos públicos pueden someter la prestación del servicio a procesos de licitación. Dado que la participación en dichos procesos es abierta, en principio, cualquier </w:t>
      </w:r>
      <w:r>
        <w:rPr>
          <w:sz w:val="16"/>
          <w:szCs w:val="16"/>
        </w:rPr>
        <w:t xml:space="preserve">oferente </w:t>
      </w:r>
      <w:r w:rsidRPr="003A62C6">
        <w:rPr>
          <w:sz w:val="16"/>
          <w:szCs w:val="16"/>
        </w:rPr>
        <w:t xml:space="preserve">que asegure la conexión a la red mundial de internet desde el sitio del cliente puede participar. Contratos provistos por los agentes económico. </w:t>
      </w:r>
      <w:r>
        <w:rPr>
          <w:sz w:val="16"/>
          <w:szCs w:val="16"/>
        </w:rPr>
        <w:t>Fojas 321, 3258, 3267,</w:t>
      </w:r>
      <w:r w:rsidRPr="003A62C6">
        <w:rPr>
          <w:sz w:val="16"/>
          <w:szCs w:val="16"/>
        </w:rPr>
        <w:t xml:space="preserve"> </w:t>
      </w:r>
      <w:r>
        <w:rPr>
          <w:sz w:val="16"/>
          <w:szCs w:val="16"/>
        </w:rPr>
        <w:t xml:space="preserve">3285 a 3385, 3557, 3558, 3716, 3756, 5031, 5084, 5842, 5847, 6454 y 6459 </w:t>
      </w:r>
      <w:r w:rsidRPr="003A62C6">
        <w:rPr>
          <w:sz w:val="16"/>
          <w:szCs w:val="16"/>
        </w:rPr>
        <w:t>del Expediente.</w:t>
      </w:r>
    </w:p>
  </w:footnote>
  <w:footnote w:id="202">
    <w:p w14:paraId="6B6F2CA2" w14:textId="5C54A9CE"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8720D8">
        <w:rPr>
          <w:b/>
          <w:bCs/>
          <w:color w:val="0000CC"/>
          <w:sz w:val="16"/>
          <w:szCs w:val="16"/>
        </w:rPr>
        <w:t>“CONFIDENCIAL POR LEY”</w:t>
      </w:r>
      <w:r w:rsidRPr="003A62C6">
        <w:rPr>
          <w:sz w:val="16"/>
          <w:szCs w:val="16"/>
        </w:rPr>
        <w:t xml:space="preserve"> manifestaron que su política de precios es n</w:t>
      </w:r>
      <w:r>
        <w:rPr>
          <w:sz w:val="16"/>
          <w:szCs w:val="16"/>
        </w:rPr>
        <w:t>a</w:t>
      </w:r>
      <w:r w:rsidRPr="003A62C6">
        <w:rPr>
          <w:sz w:val="16"/>
          <w:szCs w:val="16"/>
        </w:rPr>
        <w:t xml:space="preserve">cional. Por su parte, </w:t>
      </w:r>
      <w:r w:rsidRPr="008720D8">
        <w:rPr>
          <w:b/>
          <w:bCs/>
          <w:color w:val="0000CC"/>
          <w:sz w:val="16"/>
          <w:szCs w:val="16"/>
        </w:rPr>
        <w:t>“CONFIDENCIAL POR LEY”</w:t>
      </w:r>
      <w:r w:rsidRPr="003A62C6">
        <w:rPr>
          <w:sz w:val="16"/>
          <w:szCs w:val="16"/>
        </w:rPr>
        <w:t xml:space="preserve"> una política de precios homogénea, aunque el cobro varía si el sitio del cliente no está dentro de la cobertura de </w:t>
      </w:r>
      <w:r w:rsidRPr="008720D8">
        <w:rPr>
          <w:b/>
          <w:bCs/>
          <w:color w:val="0000CC"/>
          <w:sz w:val="16"/>
          <w:szCs w:val="16"/>
        </w:rPr>
        <w:t>“CONFIDENCIAL POR LEY”</w:t>
      </w:r>
      <w:r w:rsidRPr="003A62C6">
        <w:rPr>
          <w:sz w:val="16"/>
          <w:szCs w:val="16"/>
        </w:rPr>
        <w:t xml:space="preserve"> con facilidades locales, ya que se agrega el cobro por concepto de tramo nacional. Respuestas sobre la política de precios de los conc</w:t>
      </w:r>
      <w:r>
        <w:rPr>
          <w:sz w:val="16"/>
          <w:szCs w:val="16"/>
        </w:rPr>
        <w:t xml:space="preserve">esionarios. Fojas 218, 219, 3266, 3267, 3527, </w:t>
      </w:r>
      <w:r w:rsidRPr="003A62C6">
        <w:rPr>
          <w:sz w:val="16"/>
          <w:szCs w:val="16"/>
        </w:rPr>
        <w:t>3528, 4069, 4092, 50</w:t>
      </w:r>
      <w:r>
        <w:rPr>
          <w:sz w:val="16"/>
          <w:szCs w:val="16"/>
        </w:rPr>
        <w:t xml:space="preserve">31, 5469 y 6762 a </w:t>
      </w:r>
      <w:r w:rsidRPr="003A62C6">
        <w:rPr>
          <w:sz w:val="16"/>
          <w:szCs w:val="16"/>
        </w:rPr>
        <w:t>6768 del Expediente.</w:t>
      </w:r>
    </w:p>
  </w:footnote>
  <w:footnote w:id="203">
    <w:p w14:paraId="231035A5"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Esto debido a que los clientes del servicio de acceso a internet dedicado poseen una alta disposición de pago por obtener una conexión exclusiva y fiable, por lo que no se requiere alcanzar una escala mínima de usuarios para que sea rentable comenzar a ofrecer este servicio en un área geográfica determinada.</w:t>
      </w:r>
    </w:p>
  </w:footnote>
  <w:footnote w:id="204">
    <w:p w14:paraId="3FE6B8E8"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Durante el periodo dos mil dieciséis a dos mil dieciocho, la tasa promedio de decrecimiento de la renta mensual de enlaces TDM y Ethernet fue de 71.8% y 85.3%, respectivamente. También los gastos de instalación se redujeron en más de la mitad (81.1% y 67.0%, respectivamente). Estimaciones propias con base en </w:t>
      </w:r>
      <w:r w:rsidRPr="001A7760">
        <w:rPr>
          <w:sz w:val="16"/>
          <w:szCs w:val="16"/>
        </w:rPr>
        <w:t>“</w:t>
      </w:r>
      <w:r w:rsidRPr="007D733C">
        <w:rPr>
          <w:i/>
          <w:sz w:val="16"/>
          <w:szCs w:val="16"/>
        </w:rPr>
        <w:t>Acuerdo mediante el cual el Pleno del Instituto Federal de Telecomunicaciones aprueba el modelo de costos del servicio mayorista de arrendamiento de enlaces locales, entre localidades y de larga distancia internacional que prestará Teléfonos de México, S.A.B. de C.V. y Teléfonos del Noreste, S.A. de C.V. y hace del conocimiento público las tarifas aplicables al 31 de diciembre de 2016</w:t>
      </w:r>
      <w:r w:rsidRPr="001A7760">
        <w:rPr>
          <w:sz w:val="16"/>
          <w:szCs w:val="16"/>
        </w:rPr>
        <w:t>” y la</w:t>
      </w:r>
      <w:r>
        <w:rPr>
          <w:sz w:val="16"/>
          <w:szCs w:val="16"/>
        </w:rPr>
        <w:t>s Ofertas de referencia de enlaces dedicados mayoristas.</w:t>
      </w:r>
      <w:r w:rsidRPr="001A7760">
        <w:rPr>
          <w:sz w:val="16"/>
          <w:szCs w:val="16"/>
        </w:rPr>
        <w:t xml:space="preserve"> </w:t>
      </w:r>
    </w:p>
  </w:footnote>
  <w:footnote w:id="205">
    <w:p w14:paraId="11507E71"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El promedio de días laborables desde la fecha de solicitud hasta la fecha de notificación del servicio listo para su entrega es de </w:t>
      </w:r>
      <w:r w:rsidRPr="008720D8">
        <w:rPr>
          <w:b/>
          <w:bCs/>
          <w:color w:val="0000CC"/>
          <w:sz w:val="16"/>
          <w:szCs w:val="16"/>
        </w:rPr>
        <w:t>“CONFIDENCIAL POR LEY”</w:t>
      </w:r>
      <w:r w:rsidRPr="003A62C6">
        <w:rPr>
          <w:sz w:val="16"/>
          <w:szCs w:val="16"/>
        </w:rPr>
        <w:t>. Los días laborables promedio se estimaron tomando en cuenta las solicitudes de alta y/o entrega, y contando los días de lunes a viernes entre la fecha de solicitud y la fecha de entrega del servicio. Estimaciones propias con base en datos proporcionados por la UC. Fojas 7305 y 7546 del Expediente.</w:t>
      </w:r>
    </w:p>
  </w:footnote>
  <w:footnote w:id="206">
    <w:p w14:paraId="580F6694"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Cabe precisar que la figura de autorización únicamente permite comercializar el servicio, por lo que los oferentes con este título deben acceder a diversos servicios mayoristas para proveer el servicio.</w:t>
      </w:r>
    </w:p>
  </w:footnote>
  <w:footnote w:id="207">
    <w:p w14:paraId="61DF1813" w14:textId="2E2B2785" w:rsidR="0006497B" w:rsidRPr="003A62C6" w:rsidRDefault="0006497B" w:rsidP="004E0B1C">
      <w:pPr>
        <w:pStyle w:val="Textonotapie"/>
        <w:jc w:val="both"/>
        <w:rPr>
          <w:sz w:val="16"/>
          <w:szCs w:val="16"/>
        </w:rPr>
      </w:pPr>
      <w:r w:rsidRPr="003A62C6">
        <w:rPr>
          <w:rStyle w:val="Refdenotaalpie"/>
          <w:sz w:val="16"/>
          <w:szCs w:val="16"/>
        </w:rPr>
        <w:footnoteRef/>
      </w:r>
      <w:r w:rsidRPr="003A62C6">
        <w:rPr>
          <w:sz w:val="16"/>
          <w:szCs w:val="16"/>
        </w:rPr>
        <w:t xml:space="preserve"> Se consideran las definiciones de sitios de telecomunicaciones establecidas en la resolución</w:t>
      </w:r>
      <w:r>
        <w:rPr>
          <w:sz w:val="16"/>
          <w:szCs w:val="16"/>
        </w:rPr>
        <w:t xml:space="preserve"> del Pleno P/IFT/100418/245 (p. 35), </w:t>
      </w:r>
      <w:r w:rsidRPr="008720D8">
        <w:rPr>
          <w:b/>
          <w:bCs/>
          <w:color w:val="0000CC"/>
          <w:sz w:val="16"/>
          <w:szCs w:val="16"/>
        </w:rPr>
        <w:t>“CONFIDENCIAL POR LEY”</w:t>
      </w:r>
      <w:r w:rsidRPr="003A62C6">
        <w:rPr>
          <w:sz w:val="16"/>
          <w:szCs w:val="16"/>
        </w:rPr>
        <w:t xml:space="preserve">; y la Oferta de </w:t>
      </w:r>
      <w:r>
        <w:rPr>
          <w:sz w:val="16"/>
          <w:szCs w:val="16"/>
        </w:rPr>
        <w:t>r</w:t>
      </w:r>
      <w:r w:rsidRPr="003A62C6">
        <w:rPr>
          <w:sz w:val="16"/>
          <w:szCs w:val="16"/>
        </w:rPr>
        <w:t xml:space="preserve">eferencia Opsimex (p. 35). Fojas 2691, 7298 y 7303 </w:t>
      </w:r>
      <w:r w:rsidRPr="003A62C6">
        <w:rPr>
          <w:rStyle w:val="TextonotapieCar"/>
          <w:sz w:val="16"/>
          <w:szCs w:val="16"/>
        </w:rPr>
        <w:t>del Expediente</w:t>
      </w:r>
      <w:r w:rsidRPr="003A62C6">
        <w:rPr>
          <w:sz w:val="16"/>
          <w:szCs w:val="16"/>
        </w:rPr>
        <w:t>.</w:t>
      </w:r>
    </w:p>
  </w:footnote>
  <w:footnote w:id="208">
    <w:p w14:paraId="46AB88B6" w14:textId="77777777" w:rsidR="0006497B" w:rsidRDefault="0006497B" w:rsidP="004E0B1C">
      <w:pPr>
        <w:pStyle w:val="Textonotapie"/>
        <w:jc w:val="both"/>
      </w:pPr>
      <w:r w:rsidRPr="004E0B1C">
        <w:rPr>
          <w:rStyle w:val="Refdenotaalpie"/>
          <w:sz w:val="16"/>
          <w:szCs w:val="16"/>
        </w:rPr>
        <w:footnoteRef/>
      </w:r>
      <w:r w:rsidRPr="004E0B1C">
        <w:rPr>
          <w:sz w:val="16"/>
          <w:szCs w:val="16"/>
        </w:rPr>
        <w:t xml:space="preserve"> </w:t>
      </w:r>
      <w:r w:rsidRPr="008E722E">
        <w:rPr>
          <w:sz w:val="16"/>
          <w:szCs w:val="16"/>
        </w:rPr>
        <w:t xml:space="preserve">Los sitios, torres y demás aditamentos se encuentran contemplados dentro de la definición de infraestructura pasiva establecida en el </w:t>
      </w:r>
      <w:r>
        <w:rPr>
          <w:sz w:val="16"/>
          <w:szCs w:val="16"/>
        </w:rPr>
        <w:t>a</w:t>
      </w:r>
      <w:r w:rsidRPr="008E722E">
        <w:rPr>
          <w:sz w:val="16"/>
          <w:szCs w:val="16"/>
        </w:rPr>
        <w:t>rtículo 3, fracción XXVII de la LFTyR: “</w:t>
      </w:r>
      <w:r w:rsidRPr="008E722E">
        <w:rPr>
          <w:i/>
          <w:sz w:val="16"/>
          <w:szCs w:val="16"/>
        </w:rPr>
        <w:t xml:space="preserve">Infraestructura </w:t>
      </w:r>
      <w:r>
        <w:rPr>
          <w:i/>
          <w:sz w:val="16"/>
          <w:szCs w:val="16"/>
        </w:rPr>
        <w:t>p</w:t>
      </w:r>
      <w:r w:rsidRPr="008E722E">
        <w:rPr>
          <w:i/>
          <w:sz w:val="16"/>
          <w:szCs w:val="16"/>
        </w:rPr>
        <w:t xml:space="preserve">asiva: Elementos accesorios que proporcionan soporte a la infraestructura activa, entre otros, bastidores, cableado subterráneo y aéreo, canalizaciones, construcciones, ductos, obras, postes, sistemas de suministro y respaldo de energía eléctrica, sistemas de climatización, </w:t>
      </w:r>
      <w:r w:rsidRPr="00736E6B">
        <w:rPr>
          <w:b/>
          <w:i/>
          <w:sz w:val="16"/>
          <w:szCs w:val="16"/>
        </w:rPr>
        <w:t>sitios, torres y demás aditamentos</w:t>
      </w:r>
      <w:r w:rsidRPr="008E722E">
        <w:rPr>
          <w:i/>
          <w:sz w:val="16"/>
          <w:szCs w:val="16"/>
        </w:rPr>
        <w:t>, incluyendo derechos de vía, que sean necesarios para la instalación y operación de las redes, así como para la prestación de servicios de telecomunicaciones y radiodifusión;”</w:t>
      </w:r>
      <w:r w:rsidRPr="008E722E">
        <w:rPr>
          <w:sz w:val="16"/>
          <w:szCs w:val="16"/>
        </w:rPr>
        <w:t>.  [Énfasis añadido].</w:t>
      </w:r>
    </w:p>
  </w:footnote>
  <w:footnote w:id="209">
    <w:p w14:paraId="3DA898F7"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información de la resolución</w:t>
      </w:r>
      <w:r>
        <w:rPr>
          <w:sz w:val="16"/>
          <w:szCs w:val="16"/>
        </w:rPr>
        <w:t xml:space="preserve"> del Pleno P/IFT/181017/651 (p</w:t>
      </w:r>
      <w:r w:rsidRPr="003A62C6">
        <w:rPr>
          <w:sz w:val="16"/>
          <w:szCs w:val="16"/>
        </w:rPr>
        <w:t>. 21), la Of</w:t>
      </w:r>
      <w:r>
        <w:rPr>
          <w:sz w:val="16"/>
          <w:szCs w:val="16"/>
        </w:rPr>
        <w:t>erta de referencia Opsimex (p</w:t>
      </w:r>
      <w:r w:rsidRPr="003A62C6">
        <w:rPr>
          <w:sz w:val="16"/>
          <w:szCs w:val="16"/>
        </w:rPr>
        <w:t>. 12) y el Anexo “III” Normativa técnica: Capítulo 1, Normas, características y acabados para torres Telesites (NCATT) (pp. 2 y 3). Fojas 7298, 7299 y 7303</w:t>
      </w:r>
      <w:r w:rsidRPr="003A62C6">
        <w:rPr>
          <w:rStyle w:val="TextonotapieCar"/>
          <w:sz w:val="16"/>
          <w:szCs w:val="16"/>
        </w:rPr>
        <w:t xml:space="preserve"> del Expediente</w:t>
      </w:r>
      <w:r w:rsidRPr="003A62C6">
        <w:rPr>
          <w:sz w:val="16"/>
          <w:szCs w:val="16"/>
        </w:rPr>
        <w:t>.</w:t>
      </w:r>
    </w:p>
  </w:footnote>
  <w:footnote w:id="210">
    <w:p w14:paraId="08011653" w14:textId="1A7D8AC1"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w:t>
      </w:r>
      <w:r>
        <w:rPr>
          <w:sz w:val="16"/>
          <w:szCs w:val="16"/>
        </w:rPr>
        <w:t>on información proporcionada</w:t>
      </w:r>
      <w:r w:rsidRPr="003A62C6">
        <w:rPr>
          <w:sz w:val="16"/>
          <w:szCs w:val="16"/>
        </w:rPr>
        <w:t xml:space="preserve"> </w:t>
      </w:r>
      <w:r w:rsidRPr="008720D8">
        <w:rPr>
          <w:b/>
          <w:bCs/>
          <w:color w:val="0000CC"/>
          <w:sz w:val="16"/>
          <w:szCs w:val="16"/>
        </w:rPr>
        <w:t>“CONFIDENCIAL POR LEY”</w:t>
      </w:r>
      <w:r w:rsidRPr="003A62C6">
        <w:rPr>
          <w:sz w:val="16"/>
          <w:szCs w:val="16"/>
        </w:rPr>
        <w:t xml:space="preserve"> y a la Oferta de </w:t>
      </w:r>
      <w:r>
        <w:rPr>
          <w:sz w:val="16"/>
          <w:szCs w:val="16"/>
        </w:rPr>
        <w:t>r</w:t>
      </w:r>
      <w:r w:rsidRPr="003A62C6">
        <w:rPr>
          <w:sz w:val="16"/>
          <w:szCs w:val="16"/>
        </w:rPr>
        <w:t>eferencia Opsimex,</w:t>
      </w:r>
      <w:r>
        <w:rPr>
          <w:sz w:val="16"/>
          <w:szCs w:val="16"/>
        </w:rPr>
        <w:t xml:space="preserve"> Anexo “IV”: Modelo de Convenio</w:t>
      </w:r>
      <w:r w:rsidRPr="003A62C6">
        <w:rPr>
          <w:sz w:val="16"/>
          <w:szCs w:val="16"/>
        </w:rPr>
        <w:t xml:space="preserve"> y el Anexo “B”: Formato de acuerdo de sitio. Fojas 2693, 2694, 2695, 2696, 7298, 7299 y 7303 </w:t>
      </w:r>
      <w:r w:rsidRPr="003A62C6">
        <w:rPr>
          <w:rStyle w:val="TextonotapieCar"/>
          <w:sz w:val="16"/>
          <w:szCs w:val="16"/>
        </w:rPr>
        <w:t>del Expediente</w:t>
      </w:r>
      <w:r w:rsidRPr="003A62C6">
        <w:rPr>
          <w:sz w:val="16"/>
          <w:szCs w:val="16"/>
        </w:rPr>
        <w:t>.</w:t>
      </w:r>
    </w:p>
  </w:footnote>
  <w:footnote w:id="211">
    <w:p w14:paraId="2CC2126B"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Perales Benito</w:t>
      </w:r>
      <w:r>
        <w:rPr>
          <w:sz w:val="16"/>
          <w:szCs w:val="16"/>
        </w:rPr>
        <w:t>, Tomás</w:t>
      </w:r>
      <w:r w:rsidRPr="003A62C6">
        <w:rPr>
          <w:sz w:val="16"/>
          <w:szCs w:val="16"/>
        </w:rPr>
        <w:t xml:space="preserve">. </w:t>
      </w:r>
      <w:r w:rsidRPr="003A62C6">
        <w:rPr>
          <w:i/>
          <w:sz w:val="16"/>
          <w:szCs w:val="16"/>
        </w:rPr>
        <w:t>Infraestructuras comunes de telecomunicación (ICT) y radiocomunicaciones</w:t>
      </w:r>
      <w:r w:rsidRPr="003A62C6">
        <w:rPr>
          <w:sz w:val="16"/>
          <w:szCs w:val="16"/>
        </w:rPr>
        <w:t>. México. Alfaomega, 2014, p. 23.</w:t>
      </w:r>
    </w:p>
  </w:footnote>
  <w:footnote w:id="212">
    <w:p w14:paraId="2C49696A"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información del </w:t>
      </w:r>
      <w:r w:rsidRPr="008720D8">
        <w:rPr>
          <w:b/>
          <w:bCs/>
          <w:color w:val="0000CC"/>
          <w:sz w:val="16"/>
          <w:szCs w:val="16"/>
        </w:rPr>
        <w:t>“CONFIDENCIAL POR LEY”</w:t>
      </w:r>
      <w:r w:rsidRPr="003A62C6">
        <w:rPr>
          <w:sz w:val="16"/>
          <w:szCs w:val="16"/>
        </w:rPr>
        <w:t xml:space="preserve"> proporcionado por </w:t>
      </w:r>
      <w:r w:rsidRPr="008720D8">
        <w:rPr>
          <w:b/>
          <w:bCs/>
          <w:color w:val="0000CC"/>
          <w:sz w:val="16"/>
          <w:szCs w:val="16"/>
        </w:rPr>
        <w:t>“CONFIDENCIAL POR LEY”</w:t>
      </w:r>
      <w:r w:rsidRPr="003A62C6">
        <w:rPr>
          <w:sz w:val="16"/>
          <w:szCs w:val="16"/>
        </w:rPr>
        <w:t>. Fojas 2693 y 2694 del Expediente.</w:t>
      </w:r>
    </w:p>
  </w:footnote>
  <w:footnote w:id="213">
    <w:p w14:paraId="175DD97B"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información de la Oferta de </w:t>
      </w:r>
      <w:r>
        <w:rPr>
          <w:sz w:val="16"/>
          <w:szCs w:val="16"/>
        </w:rPr>
        <w:t>r</w:t>
      </w:r>
      <w:r w:rsidRPr="003A62C6">
        <w:rPr>
          <w:sz w:val="16"/>
          <w:szCs w:val="16"/>
        </w:rPr>
        <w:t>eferencia Opsimex (definición d</w:t>
      </w:r>
      <w:r>
        <w:rPr>
          <w:sz w:val="16"/>
          <w:szCs w:val="16"/>
        </w:rPr>
        <w:t>e servicios complementarios, p.</w:t>
      </w:r>
      <w:r w:rsidRPr="003A62C6">
        <w:rPr>
          <w:sz w:val="16"/>
          <w:szCs w:val="16"/>
        </w:rPr>
        <w:t xml:space="preserve"> 10). Fojas 7298 y 7303 del Expediente.</w:t>
      </w:r>
    </w:p>
  </w:footnote>
  <w:footnote w:id="214">
    <w:p w14:paraId="066D1296"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al </w:t>
      </w:r>
      <w:r w:rsidRPr="008720D8">
        <w:rPr>
          <w:b/>
          <w:bCs/>
          <w:color w:val="0000CC"/>
          <w:sz w:val="16"/>
          <w:szCs w:val="16"/>
        </w:rPr>
        <w:t>“CONFIDENCIAL POR LEY”</w:t>
      </w:r>
      <w:r w:rsidRPr="003A62C6">
        <w:rPr>
          <w:sz w:val="16"/>
          <w:szCs w:val="16"/>
        </w:rPr>
        <w:t xml:space="preserve"> pr</w:t>
      </w:r>
      <w:r>
        <w:rPr>
          <w:sz w:val="16"/>
          <w:szCs w:val="16"/>
        </w:rPr>
        <w:t xml:space="preserve">oporcionado por </w:t>
      </w:r>
      <w:r w:rsidRPr="008720D8">
        <w:rPr>
          <w:b/>
          <w:bCs/>
          <w:color w:val="0000CC"/>
          <w:sz w:val="16"/>
          <w:szCs w:val="16"/>
        </w:rPr>
        <w:t>“CONFIDENCIAL POR LEY”</w:t>
      </w:r>
      <w:r>
        <w:rPr>
          <w:sz w:val="16"/>
          <w:szCs w:val="16"/>
        </w:rPr>
        <w:t xml:space="preserve"> (pp</w:t>
      </w:r>
      <w:r w:rsidRPr="003A62C6">
        <w:rPr>
          <w:sz w:val="16"/>
          <w:szCs w:val="16"/>
        </w:rPr>
        <w:t xml:space="preserve">. 14, 17, 18, 19, 36 y 37); el Modelo de convenio Opsimex (pp. 10 y 26), el Anexo “B”: Formato de acuerdo de sitio (pp. 13, 29 y 30), y el Anexo “A”: Precios y tarifas (pp. 3 a 6); y los estados financieros e información proporcionada por </w:t>
      </w:r>
      <w:r w:rsidRPr="008720D8">
        <w:rPr>
          <w:b/>
          <w:bCs/>
          <w:color w:val="0000CC"/>
          <w:sz w:val="16"/>
          <w:szCs w:val="16"/>
        </w:rPr>
        <w:t>“CONFIDENCIAL POR LEY”</w:t>
      </w:r>
      <w:r w:rsidRPr="003A62C6">
        <w:rPr>
          <w:sz w:val="16"/>
          <w:szCs w:val="16"/>
        </w:rPr>
        <w:t>. Fojas. 2695, 2697, 2698, 2706, 2708, 4988, 5019, 7183, 7299 y 7303 del Expediente.</w:t>
      </w:r>
    </w:p>
  </w:footnote>
  <w:footnote w:id="215">
    <w:p w14:paraId="216EC23C" w14:textId="67443530"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El contrato del servicio establece, entre otros aspectos, los siguientes: </w:t>
      </w:r>
      <w:r w:rsidRPr="008720D8">
        <w:rPr>
          <w:b/>
          <w:bCs/>
          <w:color w:val="0000CC"/>
          <w:sz w:val="16"/>
          <w:szCs w:val="16"/>
        </w:rPr>
        <w:t>“CONFIDENCIAL POR LEY”</w:t>
      </w:r>
      <w:r w:rsidRPr="003A62C6">
        <w:rPr>
          <w:sz w:val="16"/>
          <w:szCs w:val="16"/>
        </w:rPr>
        <w:t>. Fojas. 2695, 2697, 2698, 2706, 2708, 4988, 5019, 7183, 7299 y 7303 del Expediente.</w:t>
      </w:r>
    </w:p>
  </w:footnote>
  <w:footnote w:id="216">
    <w:p w14:paraId="311E450D"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información proporcionada por </w:t>
      </w:r>
      <w:r w:rsidRPr="008720D8">
        <w:rPr>
          <w:b/>
          <w:bCs/>
          <w:color w:val="0000CC"/>
          <w:sz w:val="16"/>
          <w:szCs w:val="16"/>
        </w:rPr>
        <w:t>“CONFIDENCIAL POR LEY”</w:t>
      </w:r>
      <w:r w:rsidRPr="003A62C6">
        <w:rPr>
          <w:sz w:val="16"/>
          <w:szCs w:val="16"/>
        </w:rPr>
        <w:t xml:space="preserve">, así como el </w:t>
      </w:r>
      <w:r>
        <w:rPr>
          <w:sz w:val="16"/>
          <w:szCs w:val="16"/>
        </w:rPr>
        <w:t>Reporte Anual Opsimex, 2017 (p</w:t>
      </w:r>
      <w:r w:rsidRPr="003A62C6">
        <w:rPr>
          <w:sz w:val="16"/>
          <w:szCs w:val="16"/>
        </w:rPr>
        <w:t>. 17). Fojas 5711, 6793, 6796, 7299 y 7303 del Expediente.</w:t>
      </w:r>
    </w:p>
  </w:footnote>
  <w:footnote w:id="217">
    <w:p w14:paraId="714BC19C"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A461C9">
        <w:rPr>
          <w:sz w:val="16"/>
          <w:szCs w:val="16"/>
        </w:rPr>
        <w:t xml:space="preserve"> Véase Resolución bienal, Anexo 1, medida Decimoquinta y Anexo 2 medida Vigésima Tercera, en las que se establece que dicho AEP se encuentra obligado a prestar los servicios de Acceso y Uso Compartido de Infraestructura Pasiva.</w:t>
      </w:r>
      <w:r>
        <w:rPr>
          <w:sz w:val="16"/>
          <w:szCs w:val="16"/>
        </w:rPr>
        <w:t xml:space="preserve"> </w:t>
      </w:r>
    </w:p>
  </w:footnote>
  <w:footnote w:id="218">
    <w:p w14:paraId="024F7F3A"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A461C9">
        <w:rPr>
          <w:spacing w:val="-2"/>
          <w:sz w:val="16"/>
          <w:szCs w:val="16"/>
        </w:rPr>
        <w:t xml:space="preserve">De acuerdo con información proporcionada por </w:t>
      </w:r>
      <w:r w:rsidRPr="008720D8">
        <w:rPr>
          <w:b/>
          <w:bCs/>
          <w:color w:val="0000CC"/>
          <w:sz w:val="16"/>
          <w:szCs w:val="16"/>
        </w:rPr>
        <w:t>“CONFIDENCIAL POR LEY”</w:t>
      </w:r>
      <w:r w:rsidRPr="00A461C9">
        <w:rPr>
          <w:spacing w:val="-2"/>
          <w:sz w:val="16"/>
          <w:szCs w:val="16"/>
        </w:rPr>
        <w:t xml:space="preserve"> y al Reporte Anual de Opsimex, 2017 (p. 17), el cual señala lo siguiente: </w:t>
      </w:r>
      <w:r w:rsidRPr="00A461C9">
        <w:rPr>
          <w:i/>
          <w:spacing w:val="-2"/>
          <w:sz w:val="16"/>
          <w:szCs w:val="16"/>
        </w:rPr>
        <w:t>“Durante los últimos años la tendencia global en la industria de las telecomunicaciones era la expansión simultánea de clientes y redes. En particular, se consideraba que el desarrollo de una infraestructura propia era una actividad estratégica para las empresas participantes, puesto que se estaba en los inicios del despliegue de redes móviles, y la cobertura era el gran factor diferenciador. Sin embargo, la evolución en el mercado de las telecomunicaciones móviles ha llevado a que … los operadores de telecomunicaciones redefinan su estrategia hacia diferenciación en servicio y despliegue de Infraestructura de Sitios. Dichas condiciones, aunadas a los crecientes requerimientos de inversión para atender el volumen de tráfico de datos, han requerido adecuaciones a las estrategias de compañías de telecomunicaciones, las cuales han recurrido a (i) la compartición de torres y los sitios donde éstas se ubican o (ii) la venta a un tercero para que éste los comercialice y explote con mayor eficiencia.”</w:t>
      </w:r>
      <w:r w:rsidRPr="00A461C9">
        <w:rPr>
          <w:spacing w:val="-2"/>
          <w:sz w:val="16"/>
          <w:szCs w:val="16"/>
        </w:rPr>
        <w:t xml:space="preserve"> Fojas 2171, 7299 y 7303 del Expediente.</w:t>
      </w:r>
    </w:p>
  </w:footnote>
  <w:footnote w:id="219">
    <w:p w14:paraId="3ED089CB"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Véase resolución del Pleno del Instituto P/IFT/181017/651; así como las resoluciones CNT-121-2003, CNT-099-2011, CNT-082-2013, CNT-079-2012 y CNT-075-2012 de la extinta Comisión Federal de Competencia. Fojas 7298 y 7303 del Expediente.</w:t>
      </w:r>
    </w:p>
  </w:footnote>
  <w:footnote w:id="220">
    <w:p w14:paraId="614313A7" w14:textId="4B22F386" w:rsidR="0006497B" w:rsidRPr="003A62C6" w:rsidRDefault="0006497B" w:rsidP="00530EC0">
      <w:pPr>
        <w:pStyle w:val="Textonotapie"/>
        <w:jc w:val="both"/>
        <w:rPr>
          <w:sz w:val="16"/>
          <w:szCs w:val="16"/>
        </w:rPr>
      </w:pPr>
      <w:r w:rsidRPr="003A62C6">
        <w:rPr>
          <w:rStyle w:val="Refdenotaalpie"/>
          <w:sz w:val="16"/>
          <w:szCs w:val="16"/>
        </w:rPr>
        <w:footnoteRef/>
      </w:r>
      <w:r w:rsidRPr="003A62C6">
        <w:rPr>
          <w:sz w:val="16"/>
          <w:szCs w:val="16"/>
        </w:rPr>
        <w:t xml:space="preserve"> De acuerdo con lo señalado por </w:t>
      </w:r>
      <w:r w:rsidRPr="008720D8">
        <w:rPr>
          <w:b/>
          <w:bCs/>
          <w:color w:val="0000CC"/>
          <w:sz w:val="16"/>
          <w:szCs w:val="16"/>
        </w:rPr>
        <w:t>“CONFIDENCIAL POR LEY”</w:t>
      </w:r>
      <w:r w:rsidRPr="003A62C6">
        <w:rPr>
          <w:sz w:val="16"/>
          <w:szCs w:val="16"/>
        </w:rPr>
        <w:t xml:space="preserve">, algunos costos como la renta del terreno </w:t>
      </w:r>
      <w:r w:rsidRPr="008720D8">
        <w:rPr>
          <w:b/>
          <w:bCs/>
          <w:color w:val="0000CC"/>
          <w:sz w:val="16"/>
          <w:szCs w:val="16"/>
        </w:rPr>
        <w:t>“CONFIDENCIAL POR LEY”</w:t>
      </w:r>
      <w:r w:rsidRPr="003A62C6">
        <w:rPr>
          <w:sz w:val="16"/>
          <w:szCs w:val="16"/>
        </w:rPr>
        <w:t xml:space="preserve">. Lo mismo se advierte de contratos proporcionados por </w:t>
      </w:r>
      <w:r w:rsidRPr="008720D8">
        <w:rPr>
          <w:b/>
          <w:bCs/>
          <w:color w:val="0000CC"/>
          <w:sz w:val="16"/>
          <w:szCs w:val="16"/>
        </w:rPr>
        <w:t>“CONFIDENCIAL POR LEY”</w:t>
      </w:r>
      <w:r w:rsidRPr="003A62C6">
        <w:rPr>
          <w:sz w:val="16"/>
          <w:szCs w:val="16"/>
        </w:rPr>
        <w:t xml:space="preserve"> y de la Oferta de referencia Opsimex y sus respectivos anexos. Fojas 2691, 2696, 2707, 7203, 7204, 7230, 7299 y 7303 del Expediente.</w:t>
      </w:r>
    </w:p>
  </w:footnote>
  <w:footnote w:id="221">
    <w:p w14:paraId="6555D584"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lo señalado por </w:t>
      </w:r>
      <w:r w:rsidRPr="008720D8">
        <w:rPr>
          <w:b/>
          <w:bCs/>
          <w:color w:val="0000CC"/>
          <w:sz w:val="16"/>
          <w:szCs w:val="16"/>
        </w:rPr>
        <w:t>“CONFIDENCIAL POR LEY”</w:t>
      </w:r>
      <w:r w:rsidRPr="003A62C6">
        <w:rPr>
          <w:sz w:val="16"/>
          <w:szCs w:val="16"/>
        </w:rPr>
        <w:t xml:space="preserve">, los plazos para proveer el servicio varían dependiendo de si el sitio ya existe o se debe desarrollar uno a la medida: en el primer caso el tiempo aproximado para proveer el servicio es de </w:t>
      </w:r>
      <w:r w:rsidRPr="008720D8">
        <w:rPr>
          <w:b/>
          <w:bCs/>
          <w:color w:val="0000CC"/>
          <w:sz w:val="16"/>
          <w:szCs w:val="16"/>
        </w:rPr>
        <w:t>“CONFIDENCIAL POR LEY”</w:t>
      </w:r>
      <w:r w:rsidRPr="003A62C6">
        <w:rPr>
          <w:sz w:val="16"/>
          <w:szCs w:val="16"/>
        </w:rPr>
        <w:t xml:space="preserve">, mientras que en el segundo caso puede ser de hasta </w:t>
      </w:r>
      <w:r w:rsidRPr="008720D8">
        <w:rPr>
          <w:b/>
          <w:bCs/>
          <w:color w:val="0000CC"/>
          <w:sz w:val="16"/>
          <w:szCs w:val="16"/>
        </w:rPr>
        <w:t>“CONFIDENCIAL POR LEY”</w:t>
      </w:r>
      <w:r w:rsidRPr="003A62C6">
        <w:rPr>
          <w:sz w:val="16"/>
          <w:szCs w:val="16"/>
        </w:rPr>
        <w:t xml:space="preserve">; por su parte, </w:t>
      </w:r>
      <w:r w:rsidRPr="008720D8">
        <w:rPr>
          <w:b/>
          <w:bCs/>
          <w:color w:val="0000CC"/>
          <w:sz w:val="16"/>
          <w:szCs w:val="16"/>
        </w:rPr>
        <w:t>“CONFIDENCIAL POR LEY”</w:t>
      </w:r>
      <w:r w:rsidRPr="003A62C6">
        <w:rPr>
          <w:sz w:val="16"/>
          <w:szCs w:val="16"/>
        </w:rPr>
        <w:t xml:space="preserve"> señala que los plazos son de </w:t>
      </w:r>
      <w:r w:rsidRPr="008720D8">
        <w:rPr>
          <w:b/>
          <w:bCs/>
          <w:color w:val="0000CC"/>
          <w:sz w:val="16"/>
          <w:szCs w:val="16"/>
        </w:rPr>
        <w:t>“CONFIDENCIAL POR LEY”</w:t>
      </w:r>
      <w:r w:rsidRPr="003A62C6">
        <w:rPr>
          <w:sz w:val="16"/>
          <w:szCs w:val="16"/>
        </w:rPr>
        <w:t xml:space="preserve"> en el primer caso, y de </w:t>
      </w:r>
      <w:r w:rsidRPr="008720D8">
        <w:rPr>
          <w:b/>
          <w:bCs/>
          <w:color w:val="0000CC"/>
          <w:sz w:val="16"/>
          <w:szCs w:val="16"/>
        </w:rPr>
        <w:t>“CONFIDENCIAL POR LEY”</w:t>
      </w:r>
      <w:r w:rsidRPr="003A62C6">
        <w:rPr>
          <w:sz w:val="16"/>
          <w:szCs w:val="16"/>
        </w:rPr>
        <w:t xml:space="preserve"> en el segundo. Fojas 4225 y 7184 del Expediente.</w:t>
      </w:r>
    </w:p>
  </w:footnote>
  <w:footnote w:id="222">
    <w:p w14:paraId="28ED1FB7" w14:textId="77777777" w:rsidR="0006497B" w:rsidRPr="003A62C6" w:rsidRDefault="0006497B" w:rsidP="003A62C6">
      <w:pPr>
        <w:pStyle w:val="Textonotapie"/>
        <w:jc w:val="both"/>
        <w:rPr>
          <w:sz w:val="16"/>
          <w:szCs w:val="16"/>
          <w:highlight w:val="yellow"/>
        </w:rPr>
      </w:pPr>
      <w:r w:rsidRPr="003A62C6">
        <w:rPr>
          <w:rStyle w:val="Refdenotaalpie"/>
          <w:sz w:val="16"/>
          <w:szCs w:val="16"/>
        </w:rPr>
        <w:footnoteRef/>
      </w:r>
      <w:r w:rsidRPr="003A62C6">
        <w:rPr>
          <w:sz w:val="16"/>
          <w:szCs w:val="16"/>
        </w:rPr>
        <w:t xml:space="preserve"> En el Reporte Anual Opsimex, 2017, (</w:t>
      </w:r>
      <w:r>
        <w:rPr>
          <w:sz w:val="16"/>
          <w:szCs w:val="16"/>
        </w:rPr>
        <w:t>p.</w:t>
      </w:r>
      <w:r w:rsidRPr="003A62C6">
        <w:rPr>
          <w:sz w:val="16"/>
          <w:szCs w:val="16"/>
        </w:rPr>
        <w:t xml:space="preserve"> 40) se señala que la mayoría de sus torres tienen la capacidad de acomodar al menos </w:t>
      </w:r>
      <w:r>
        <w:rPr>
          <w:sz w:val="16"/>
          <w:szCs w:val="16"/>
        </w:rPr>
        <w:t>tres</w:t>
      </w:r>
      <w:r w:rsidRPr="003A62C6">
        <w:rPr>
          <w:sz w:val="16"/>
          <w:szCs w:val="16"/>
        </w:rPr>
        <w:t xml:space="preserve"> operadores, y en algunos casos hasta </w:t>
      </w:r>
      <w:r>
        <w:rPr>
          <w:sz w:val="16"/>
          <w:szCs w:val="16"/>
        </w:rPr>
        <w:t>cinco</w:t>
      </w:r>
      <w:r w:rsidRPr="003A62C6">
        <w:rPr>
          <w:sz w:val="16"/>
          <w:szCs w:val="16"/>
        </w:rPr>
        <w:t xml:space="preserve">, mientras que en el caso de azoteas pueden ser incluso más, dependiendo de si hay suficiente área de piso disponible para instalar mástiles adicionales. Por su parte, ATC señala que, actualmente, en cada uno de sus sitios de telecomunicaciones albergan en promedio </w:t>
      </w:r>
      <w:r w:rsidRPr="008720D8">
        <w:rPr>
          <w:b/>
          <w:bCs/>
          <w:color w:val="0000CC"/>
          <w:sz w:val="16"/>
          <w:szCs w:val="16"/>
        </w:rPr>
        <w:t>“CONFIDENCIAL POR LEY”</w:t>
      </w:r>
      <w:r w:rsidRPr="003A62C6">
        <w:rPr>
          <w:sz w:val="16"/>
          <w:szCs w:val="16"/>
        </w:rPr>
        <w:t xml:space="preserve"> usuarios. Fojas 2539, 7299 y 7303 del Expediente.</w:t>
      </w:r>
    </w:p>
  </w:footnote>
  <w:footnote w:id="223">
    <w:p w14:paraId="2BE68580" w14:textId="4FC1A403"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En el caso de </w:t>
      </w:r>
      <w:r w:rsidRPr="008720D8">
        <w:rPr>
          <w:b/>
          <w:bCs/>
          <w:color w:val="0000CC"/>
          <w:sz w:val="16"/>
          <w:szCs w:val="16"/>
        </w:rPr>
        <w:t>“CONFIDENCIAL POR LEY”</w:t>
      </w:r>
      <w:r>
        <w:rPr>
          <w:sz w:val="16"/>
          <w:szCs w:val="16"/>
        </w:rPr>
        <w:t xml:space="preserve"> </w:t>
      </w:r>
      <w:r w:rsidRPr="003A62C6">
        <w:rPr>
          <w:sz w:val="16"/>
          <w:szCs w:val="16"/>
        </w:rPr>
        <w:t xml:space="preserve">representan aproximadamente el </w:t>
      </w:r>
      <w:r w:rsidRPr="008720D8">
        <w:rPr>
          <w:b/>
          <w:bCs/>
          <w:color w:val="0000CC"/>
          <w:sz w:val="16"/>
          <w:szCs w:val="16"/>
        </w:rPr>
        <w:t>“CONFIDENCIAL POR LEY”</w:t>
      </w:r>
      <w:r>
        <w:rPr>
          <w:b/>
          <w:bCs/>
          <w:color w:val="0000CC"/>
          <w:sz w:val="16"/>
          <w:szCs w:val="16"/>
        </w:rPr>
        <w:t xml:space="preserve"> </w:t>
      </w:r>
      <w:r w:rsidRPr="003A62C6">
        <w:rPr>
          <w:sz w:val="16"/>
          <w:szCs w:val="16"/>
        </w:rPr>
        <w:t xml:space="preserve">del total de los ingresos del servicio de arrendamiento de sitios de telecomunicaciones. </w:t>
      </w:r>
      <w:r w:rsidRPr="00292B99">
        <w:rPr>
          <w:sz w:val="16"/>
          <w:szCs w:val="16"/>
        </w:rPr>
        <w:t>Fojas 5100, 5157, 7045, 7053, 7054 y 7058 del Expediente.</w:t>
      </w:r>
    </w:p>
  </w:footnote>
  <w:footnote w:id="224">
    <w:p w14:paraId="459C470E"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información provista en Aviso de Concentración (</w:t>
      </w:r>
      <w:r>
        <w:rPr>
          <w:sz w:val="16"/>
          <w:szCs w:val="16"/>
        </w:rPr>
        <w:t>p.</w:t>
      </w:r>
      <w:r w:rsidRPr="003A62C6">
        <w:rPr>
          <w:sz w:val="16"/>
          <w:szCs w:val="16"/>
        </w:rPr>
        <w:t xml:space="preserve"> 10). Foja 2155 del Expediente.</w:t>
      </w:r>
    </w:p>
  </w:footnote>
  <w:footnote w:id="225">
    <w:p w14:paraId="175ECFD6"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Véase el Asunto COMP/ 38.370 — O2 UK Limited/T-Mobile UK Limited (párrafo 49). Comisión Europea. 2003.</w:t>
      </w:r>
      <w:r w:rsidRPr="003A62C6">
        <w:rPr>
          <w:color w:val="FF0000"/>
          <w:sz w:val="16"/>
          <w:szCs w:val="16"/>
        </w:rPr>
        <w:t xml:space="preserve"> </w:t>
      </w:r>
      <w:r w:rsidRPr="003A62C6">
        <w:rPr>
          <w:sz w:val="16"/>
          <w:szCs w:val="16"/>
        </w:rPr>
        <w:t>Fojas 7289 y 7303 del Expediente.</w:t>
      </w:r>
    </w:p>
  </w:footnote>
  <w:footnote w:id="226">
    <w:p w14:paraId="2B57FFDD"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En una red celular, las sub-bandas del espectro radioeléctrico utilizadas en celdas adyacentes deben ser diferentes para evitar interferencia. Por otro lado, el sistema admite l</w:t>
      </w:r>
      <w:r>
        <w:rPr>
          <w:sz w:val="16"/>
          <w:szCs w:val="16"/>
        </w:rPr>
        <w:t>a</w:t>
      </w:r>
      <w:r w:rsidRPr="003A62C6">
        <w:rPr>
          <w:sz w:val="16"/>
          <w:szCs w:val="16"/>
        </w:rPr>
        <w:t xml:space="preserve"> reutilización de las sub-bandas en celdas convenientemente separadas. El procedimiento celular aprovecha así, al máximo, la banda del espectro asignada al operador. Véase Perales </w:t>
      </w:r>
      <w:r w:rsidRPr="00D00D63">
        <w:rPr>
          <w:sz w:val="16"/>
          <w:szCs w:val="16"/>
        </w:rPr>
        <w:t>Benito, Tomás</w:t>
      </w:r>
      <w:r w:rsidRPr="003A62C6">
        <w:rPr>
          <w:i/>
          <w:sz w:val="16"/>
          <w:szCs w:val="16"/>
        </w:rPr>
        <w:t>. Infraestructuras comunes de telecomunicación (ICT) y radiocomunicaciones</w:t>
      </w:r>
      <w:r w:rsidRPr="003A62C6">
        <w:rPr>
          <w:sz w:val="16"/>
          <w:szCs w:val="16"/>
        </w:rPr>
        <w:t>. México. Alfaomega, 2014, pp. 123 a 131.</w:t>
      </w:r>
    </w:p>
  </w:footnote>
  <w:footnote w:id="227">
    <w:p w14:paraId="69FF80D2"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Véase Asunto COMP/ 38.370 — O2 UK Limited/T-Mobile UK Limited (párrafo 49). Comisión Europea. 2003. Fojas 7289 y 7303 del Expediente.</w:t>
      </w:r>
    </w:p>
  </w:footnote>
  <w:footnote w:id="228">
    <w:p w14:paraId="09FDF9B2"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Si en una celda aumenta el número de usuarios sin que queden disponibles frecuencias, la celda se divide en unidades más pequeñas mediante un eficaz proceso de fragmentación. Dependiendo de la potencia y el alcance de los equipos instalados en los sitios, estos pueden configurar: macroceldas, microceldas o picoceldas. Véase</w:t>
      </w:r>
      <w:r>
        <w:rPr>
          <w:sz w:val="16"/>
          <w:szCs w:val="16"/>
        </w:rPr>
        <w:t>:</w:t>
      </w:r>
      <w:r w:rsidRPr="003A62C6">
        <w:rPr>
          <w:sz w:val="16"/>
          <w:szCs w:val="16"/>
        </w:rPr>
        <w:t xml:space="preserve"> Perales Benito</w:t>
      </w:r>
      <w:r>
        <w:rPr>
          <w:sz w:val="16"/>
          <w:szCs w:val="16"/>
        </w:rPr>
        <w:t>, Tomás</w:t>
      </w:r>
      <w:r w:rsidRPr="003A62C6">
        <w:rPr>
          <w:sz w:val="16"/>
          <w:szCs w:val="16"/>
        </w:rPr>
        <w:t xml:space="preserve">. </w:t>
      </w:r>
      <w:r w:rsidRPr="003A62C6">
        <w:rPr>
          <w:i/>
          <w:sz w:val="16"/>
          <w:szCs w:val="16"/>
        </w:rPr>
        <w:t>Infraestructuras comunes de telecomunicación (ICT) y radiocomunicaciones</w:t>
      </w:r>
      <w:r w:rsidRPr="003A62C6">
        <w:rPr>
          <w:sz w:val="16"/>
          <w:szCs w:val="16"/>
        </w:rPr>
        <w:t>. México. Alfaomega, 2014, pp. 123 a 131.</w:t>
      </w:r>
    </w:p>
  </w:footnote>
  <w:footnote w:id="229">
    <w:p w14:paraId="6F60C960"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8720D8">
        <w:rPr>
          <w:b/>
          <w:bCs/>
          <w:color w:val="0000CC"/>
          <w:sz w:val="16"/>
          <w:szCs w:val="16"/>
        </w:rPr>
        <w:t>“CONFIDENCIAL POR LEY”</w:t>
      </w:r>
      <w:r w:rsidRPr="003A62C6">
        <w:rPr>
          <w:sz w:val="16"/>
          <w:szCs w:val="16"/>
        </w:rPr>
        <w:t xml:space="preserve">, son de las pocas empresas </w:t>
      </w:r>
      <w:r>
        <w:rPr>
          <w:sz w:val="16"/>
          <w:szCs w:val="16"/>
        </w:rPr>
        <w:t>de</w:t>
      </w:r>
      <w:r w:rsidRPr="003A62C6">
        <w:rPr>
          <w:sz w:val="16"/>
          <w:szCs w:val="16"/>
        </w:rPr>
        <w:t xml:space="preserve"> radiodifusión que fueron mencionadas como proveedoras del servicio de arrendamiento de </w:t>
      </w:r>
      <w:r>
        <w:rPr>
          <w:sz w:val="16"/>
          <w:szCs w:val="16"/>
        </w:rPr>
        <w:t xml:space="preserve">sitios </w:t>
      </w:r>
      <w:r w:rsidRPr="003A62C6">
        <w:rPr>
          <w:sz w:val="16"/>
          <w:szCs w:val="16"/>
        </w:rPr>
        <w:t>por parte de operadores de RPT</w:t>
      </w:r>
      <w:r>
        <w:rPr>
          <w:sz w:val="16"/>
          <w:szCs w:val="16"/>
        </w:rPr>
        <w:t>. Estas</w:t>
      </w:r>
      <w:r w:rsidRPr="003A62C6">
        <w:rPr>
          <w:sz w:val="16"/>
          <w:szCs w:val="16"/>
        </w:rPr>
        <w:t xml:space="preserve"> </w:t>
      </w:r>
      <w:r w:rsidRPr="008720D8">
        <w:rPr>
          <w:b/>
          <w:bCs/>
          <w:color w:val="0000CC"/>
          <w:sz w:val="16"/>
          <w:szCs w:val="16"/>
        </w:rPr>
        <w:t>“CONFIDENCIAL POR LEY”</w:t>
      </w:r>
      <w:r w:rsidRPr="003A62C6">
        <w:rPr>
          <w:sz w:val="16"/>
          <w:szCs w:val="16"/>
        </w:rPr>
        <w:t xml:space="preserve"> empresas proveyeron </w:t>
      </w:r>
      <w:r>
        <w:rPr>
          <w:sz w:val="16"/>
          <w:szCs w:val="16"/>
        </w:rPr>
        <w:t>un</w:t>
      </w:r>
      <w:r w:rsidRPr="003A62C6">
        <w:rPr>
          <w:sz w:val="16"/>
          <w:szCs w:val="16"/>
        </w:rPr>
        <w:t xml:space="preserve"> total </w:t>
      </w:r>
      <w:r>
        <w:rPr>
          <w:sz w:val="16"/>
          <w:szCs w:val="16"/>
        </w:rPr>
        <w:t>de</w:t>
      </w:r>
      <w:r w:rsidRPr="003A62C6">
        <w:rPr>
          <w:sz w:val="16"/>
          <w:szCs w:val="16"/>
        </w:rPr>
        <w:t xml:space="preserve"> </w:t>
      </w:r>
      <w:r w:rsidRPr="008720D8">
        <w:rPr>
          <w:b/>
          <w:bCs/>
          <w:color w:val="0000CC"/>
          <w:sz w:val="16"/>
          <w:szCs w:val="16"/>
        </w:rPr>
        <w:t>“CONFIDENCIAL POR LEY”</w:t>
      </w:r>
      <w:r w:rsidRPr="003A62C6">
        <w:rPr>
          <w:sz w:val="16"/>
          <w:szCs w:val="16"/>
        </w:rPr>
        <w:t xml:space="preserve"> a operadores de RPT en 2017. </w:t>
      </w:r>
      <w:r w:rsidRPr="00292B99">
        <w:rPr>
          <w:sz w:val="16"/>
          <w:szCs w:val="16"/>
        </w:rPr>
        <w:t>Fojas 222, 251, 463, 464, 3539, 4092, 4239 a 4242, 4792, 5032, 5071, 5084, 5100, 5172, 5173, 5536, 5537, 5620, 5850, 5851, 5989 a 5993, 6455, 6459, 6739, 6794, 6795, 6796, 6835, 7123, 7124, 7130, 7244, 7294 y 7295 del Expediente.</w:t>
      </w:r>
    </w:p>
  </w:footnote>
  <w:footnote w:id="230">
    <w:p w14:paraId="6F1A4C0D" w14:textId="77777777" w:rsidR="0006497B" w:rsidRPr="00530EC0"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31018D">
        <w:rPr>
          <w:sz w:val="16"/>
          <w:szCs w:val="16"/>
        </w:rPr>
        <w:t xml:space="preserve">Estos proveedores agrupan el 96.7% del total de sitios en el país. Para </w:t>
      </w:r>
      <w:r w:rsidRPr="00530EC0">
        <w:rPr>
          <w:sz w:val="16"/>
          <w:szCs w:val="16"/>
        </w:rPr>
        <w:t>mayor referencia véase Tabla 14.</w:t>
      </w:r>
    </w:p>
  </w:footnote>
  <w:footnote w:id="231">
    <w:p w14:paraId="5EE48961" w14:textId="77777777" w:rsidR="0006497B" w:rsidRPr="003A62C6" w:rsidRDefault="0006497B" w:rsidP="003A62C6">
      <w:pPr>
        <w:pStyle w:val="Textonotapie"/>
        <w:jc w:val="both"/>
        <w:rPr>
          <w:sz w:val="16"/>
          <w:szCs w:val="16"/>
        </w:rPr>
      </w:pPr>
      <w:r w:rsidRPr="00530EC0">
        <w:rPr>
          <w:rStyle w:val="Refdenotaalpie"/>
          <w:sz w:val="16"/>
          <w:szCs w:val="16"/>
        </w:rPr>
        <w:footnoteRef/>
      </w:r>
      <w:r w:rsidRPr="00530EC0">
        <w:rPr>
          <w:sz w:val="16"/>
          <w:szCs w:val="16"/>
        </w:rPr>
        <w:t xml:space="preserve"> AMX/Telesites, ATC, AT&amp;T y MTP cuentan con sitios en las 32 (treinta y dos) entidades federativas del país. Incluso, Uniti Towers, un oferente cuya participación es marginal (alrededor de 1%), tiene cobertura en 21 (veinte un) entidades federativas. Para mayor referencia véase Tabla 14 e información pública</w:t>
      </w:r>
      <w:r>
        <w:rPr>
          <w:sz w:val="16"/>
          <w:szCs w:val="16"/>
        </w:rPr>
        <w:t xml:space="preserve"> </w:t>
      </w:r>
      <w:r w:rsidRPr="003A62C6">
        <w:rPr>
          <w:sz w:val="16"/>
          <w:szCs w:val="16"/>
        </w:rPr>
        <w:t>de Uniti Towers. Fojas 7301 y</w:t>
      </w:r>
      <w:r>
        <w:rPr>
          <w:sz w:val="16"/>
          <w:szCs w:val="16"/>
        </w:rPr>
        <w:t xml:space="preserve"> </w:t>
      </w:r>
      <w:r w:rsidRPr="003A62C6">
        <w:rPr>
          <w:sz w:val="16"/>
          <w:szCs w:val="16"/>
        </w:rPr>
        <w:t>7303 del Expediente.</w:t>
      </w:r>
    </w:p>
  </w:footnote>
  <w:footnote w:id="232">
    <w:p w14:paraId="0077356B"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Véase Asunto COMP/ 38.370 — O2 UK Limited/T-Mobile UK Limited (párrafo 48). Comisión Europea. 2003. Fojas 7289 y 7303 del Expediente.</w:t>
      </w:r>
    </w:p>
  </w:footnote>
  <w:footnote w:id="233">
    <w:p w14:paraId="784901EA"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sidRPr="008720D8">
        <w:rPr>
          <w:b/>
          <w:bCs/>
          <w:color w:val="0000CC"/>
          <w:sz w:val="16"/>
          <w:szCs w:val="16"/>
        </w:rPr>
        <w:t>“CONFIDENCIAL POR LEY”</w:t>
      </w:r>
      <w:r w:rsidRPr="003A62C6">
        <w:rPr>
          <w:sz w:val="16"/>
          <w:szCs w:val="16"/>
        </w:rPr>
        <w:t>; entre otros. Fojas 4245 y 4246 del Expediente.</w:t>
      </w:r>
    </w:p>
  </w:footnote>
  <w:footnote w:id="234">
    <w:p w14:paraId="23DB691E"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Véase Oferta de </w:t>
      </w:r>
      <w:r>
        <w:rPr>
          <w:sz w:val="16"/>
          <w:szCs w:val="16"/>
        </w:rPr>
        <w:t>r</w:t>
      </w:r>
      <w:r w:rsidRPr="003A62C6">
        <w:rPr>
          <w:sz w:val="16"/>
          <w:szCs w:val="16"/>
        </w:rPr>
        <w:t>eferencia Opsimex, Anexo “IV” Modelo de convenio, Anexo “A”: Precios y tarifas. Fojas 7299 y 7303 del Expediente.</w:t>
      </w:r>
    </w:p>
  </w:footnote>
  <w:footnote w:id="235">
    <w:p w14:paraId="335C73B3"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información proporcionada por </w:t>
      </w:r>
      <w:r w:rsidRPr="004E0058">
        <w:rPr>
          <w:b/>
          <w:bCs/>
          <w:color w:val="0000CC"/>
          <w:sz w:val="16"/>
          <w:szCs w:val="16"/>
        </w:rPr>
        <w:t>“CONFIDENCIAL POR LEY”</w:t>
      </w:r>
      <w:r w:rsidRPr="003A62C6">
        <w:rPr>
          <w:sz w:val="16"/>
          <w:szCs w:val="16"/>
        </w:rPr>
        <w:t>. Fojas 7200, 7201 y 7202 del Expediente.</w:t>
      </w:r>
    </w:p>
  </w:footnote>
  <w:footnote w:id="236">
    <w:p w14:paraId="7CCF5EA9"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Oferta de </w:t>
      </w:r>
      <w:r>
        <w:rPr>
          <w:sz w:val="16"/>
          <w:szCs w:val="16"/>
        </w:rPr>
        <w:t>r</w:t>
      </w:r>
      <w:r w:rsidRPr="003A62C6">
        <w:rPr>
          <w:sz w:val="16"/>
          <w:szCs w:val="16"/>
        </w:rPr>
        <w:t xml:space="preserve">eferencia Opsimex, Anexo “IV”: Modelo de Convenio, el Anexo “B”, Formato de Acuerdo de sitio (pp. 3 y 5) e información proporcionada por </w:t>
      </w:r>
      <w:r w:rsidRPr="004E0058">
        <w:rPr>
          <w:b/>
          <w:bCs/>
          <w:color w:val="0000CC"/>
          <w:sz w:val="16"/>
          <w:szCs w:val="16"/>
        </w:rPr>
        <w:t>“CONFIDENCIAL POR LEY”</w:t>
      </w:r>
      <w:r w:rsidRPr="003A62C6">
        <w:rPr>
          <w:sz w:val="16"/>
          <w:szCs w:val="16"/>
        </w:rPr>
        <w:t>. Fojas 2693, 7203, 7204, 7230, 7299 y 7303 del Expediente.</w:t>
      </w:r>
    </w:p>
  </w:footnote>
  <w:footnote w:id="237">
    <w:p w14:paraId="3A6F61EC"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De acuerdo con información proporcionada por </w:t>
      </w:r>
      <w:r w:rsidRPr="004E0058">
        <w:rPr>
          <w:b/>
          <w:bCs/>
          <w:color w:val="0000CC"/>
          <w:sz w:val="16"/>
          <w:szCs w:val="16"/>
        </w:rPr>
        <w:t>“CONFIDENCIAL POR LEY”</w:t>
      </w:r>
      <w:r w:rsidRPr="003A62C6">
        <w:rPr>
          <w:sz w:val="16"/>
          <w:szCs w:val="16"/>
        </w:rPr>
        <w:t xml:space="preserve">. Por su parte, la Oferta de </w:t>
      </w:r>
      <w:r>
        <w:rPr>
          <w:sz w:val="16"/>
          <w:szCs w:val="16"/>
        </w:rPr>
        <w:t>r</w:t>
      </w:r>
      <w:r w:rsidRPr="003A62C6">
        <w:rPr>
          <w:sz w:val="16"/>
          <w:szCs w:val="16"/>
        </w:rPr>
        <w:t>eferencia Opsimex, Anexo “IV”: Modelo de Convenio, Anexo “A”: Precios y tarifas (</w:t>
      </w:r>
      <w:r>
        <w:rPr>
          <w:sz w:val="16"/>
          <w:szCs w:val="16"/>
        </w:rPr>
        <w:t>p.</w:t>
      </w:r>
      <w:r w:rsidRPr="003A62C6">
        <w:rPr>
          <w:sz w:val="16"/>
          <w:szCs w:val="16"/>
        </w:rPr>
        <w:t xml:space="preserve"> 3) deja abierta la posibilidad </w:t>
      </w:r>
      <w:r>
        <w:rPr>
          <w:sz w:val="16"/>
          <w:szCs w:val="16"/>
        </w:rPr>
        <w:t>de</w:t>
      </w:r>
      <w:r w:rsidRPr="003A62C6">
        <w:rPr>
          <w:sz w:val="16"/>
          <w:szCs w:val="16"/>
        </w:rPr>
        <w:t xml:space="preserve"> que los concesionarios solicitantes del servicio obtengan descuentos sobre los precios de referencia publicados. Fojas 4245, 4246, 7202, 7399 y 7303 del Expediente.</w:t>
      </w:r>
    </w:p>
  </w:footnote>
  <w:footnote w:id="238">
    <w:p w14:paraId="5E0C5D32"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Véase acuerdo del Pleno P/IFT/181017/651 (</w:t>
      </w:r>
      <w:r>
        <w:rPr>
          <w:sz w:val="16"/>
          <w:szCs w:val="16"/>
        </w:rPr>
        <w:t>p.</w:t>
      </w:r>
      <w:r w:rsidRPr="003A62C6">
        <w:rPr>
          <w:sz w:val="16"/>
          <w:szCs w:val="16"/>
        </w:rPr>
        <w:t xml:space="preserve"> 25). Fojas 7298 y 7303 del Expediente.</w:t>
      </w:r>
    </w:p>
  </w:footnote>
  <w:footnote w:id="239">
    <w:p w14:paraId="1B60256D"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Telcel es el operador móvil más importante (con 65.2% de participación en término de líneas telefónicas y 70.0% en líneas con acceso al servicio de banda ancha móvil); le siguen Telefónica (21.4% y 14.1%) y AT&amp;T (12.2% y 14.1%). El resto de líneas de telefonía móvil y líneas con acceso al servicio de banda ancha móvil está en manos de Operadores Móviles Virtuales (1.2% y 1.8%, respectivamente). De acuerdo con información del Tercer informe trimestral estadístico 2017 (p. 19). Fojas 7302 y 7303 del Expediente.</w:t>
      </w:r>
    </w:p>
  </w:footnote>
  <w:footnote w:id="240">
    <w:p w14:paraId="52888D67" w14:textId="77777777" w:rsidR="0006497B" w:rsidRPr="00CD299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Véase acuerdo del Pleno P/IFT/181017/651 (</w:t>
      </w:r>
      <w:r>
        <w:rPr>
          <w:sz w:val="16"/>
          <w:szCs w:val="16"/>
        </w:rPr>
        <w:t>p.</w:t>
      </w:r>
      <w:r w:rsidRPr="003A62C6">
        <w:rPr>
          <w:sz w:val="16"/>
          <w:szCs w:val="16"/>
        </w:rPr>
        <w:t xml:space="preserve"> 25). </w:t>
      </w:r>
      <w:r w:rsidRPr="00CD2996">
        <w:rPr>
          <w:sz w:val="16"/>
          <w:szCs w:val="16"/>
        </w:rPr>
        <w:t>Fojas 7298 y 7303 del Expediente.</w:t>
      </w:r>
    </w:p>
  </w:footnote>
  <w:footnote w:id="241">
    <w:p w14:paraId="5BA59B35" w14:textId="77777777" w:rsidR="0006497B" w:rsidRPr="003A62C6" w:rsidRDefault="0006497B" w:rsidP="003A62C6">
      <w:pPr>
        <w:pStyle w:val="Textonotapie"/>
        <w:jc w:val="both"/>
        <w:rPr>
          <w:sz w:val="16"/>
          <w:szCs w:val="16"/>
        </w:rPr>
      </w:pPr>
      <w:r w:rsidRPr="00CD2996">
        <w:rPr>
          <w:rStyle w:val="Refdenotaalpie"/>
          <w:sz w:val="16"/>
          <w:szCs w:val="16"/>
        </w:rPr>
        <w:footnoteRef/>
      </w:r>
      <w:r w:rsidRPr="00CD2996">
        <w:rPr>
          <w:sz w:val="16"/>
          <w:szCs w:val="16"/>
        </w:rPr>
        <w:t xml:space="preserve"> Por ejemplo, de los </w:t>
      </w:r>
      <w:r w:rsidRPr="004E0058">
        <w:rPr>
          <w:b/>
          <w:bCs/>
          <w:color w:val="0000CC"/>
          <w:sz w:val="16"/>
          <w:szCs w:val="16"/>
        </w:rPr>
        <w:t>“CONFIDENCIAL POR LEY”</w:t>
      </w:r>
      <w:r w:rsidRPr="00CD2996">
        <w:rPr>
          <w:sz w:val="16"/>
          <w:szCs w:val="16"/>
        </w:rPr>
        <w:t xml:space="preserve"> sitios con los que cuenta </w:t>
      </w:r>
      <w:r w:rsidRPr="004E0058">
        <w:rPr>
          <w:b/>
          <w:bCs/>
          <w:color w:val="0000CC"/>
          <w:sz w:val="16"/>
          <w:szCs w:val="16"/>
        </w:rPr>
        <w:t>“CONFIDENCIAL POR LEY”</w:t>
      </w:r>
      <w:r w:rsidRPr="00CD2996">
        <w:rPr>
          <w:sz w:val="16"/>
          <w:szCs w:val="16"/>
        </w:rPr>
        <w:t xml:space="preserve"> distribuidos en los </w:t>
      </w:r>
      <w:r w:rsidRPr="004E0058">
        <w:rPr>
          <w:b/>
          <w:bCs/>
          <w:color w:val="0000CC"/>
          <w:sz w:val="16"/>
          <w:szCs w:val="16"/>
        </w:rPr>
        <w:t>“CONFIDENCIAL POR LEY”</w:t>
      </w:r>
      <w:r w:rsidRPr="00CD2996">
        <w:rPr>
          <w:sz w:val="16"/>
          <w:szCs w:val="16"/>
        </w:rPr>
        <w:t xml:space="preserve"> </w:t>
      </w:r>
      <w:r>
        <w:rPr>
          <w:sz w:val="16"/>
          <w:szCs w:val="16"/>
        </w:rPr>
        <w:t>entidades federativas</w:t>
      </w:r>
      <w:r w:rsidRPr="00CD2996">
        <w:rPr>
          <w:sz w:val="16"/>
          <w:szCs w:val="16"/>
        </w:rPr>
        <w:t xml:space="preserve"> del país, los principales operadores de RPT móviles demandan las siguientes cantidades: </w:t>
      </w:r>
      <w:r w:rsidRPr="004E0058">
        <w:rPr>
          <w:b/>
          <w:bCs/>
          <w:color w:val="0000CC"/>
          <w:sz w:val="16"/>
          <w:szCs w:val="16"/>
        </w:rPr>
        <w:t>“CONFIDENCIAL POR LEY”</w:t>
      </w:r>
      <w:r w:rsidRPr="00CD2996">
        <w:rPr>
          <w:sz w:val="16"/>
          <w:szCs w:val="16"/>
        </w:rPr>
        <w:t xml:space="preserve">. Cabe recordar que puede haber más de un operador en cada sitio. Fojas </w:t>
      </w:r>
      <w:r w:rsidRPr="003A62C6">
        <w:rPr>
          <w:sz w:val="16"/>
          <w:szCs w:val="16"/>
        </w:rPr>
        <w:t>5100, 5168, 7054, 7058 7184 del Expediente.</w:t>
      </w:r>
    </w:p>
  </w:footnote>
  <w:footnote w:id="242">
    <w:p w14:paraId="7B402494"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w:t>
      </w:r>
      <w:r>
        <w:rPr>
          <w:sz w:val="16"/>
          <w:szCs w:val="16"/>
        </w:rPr>
        <w:t>A</w:t>
      </w:r>
      <w:r w:rsidRPr="003A62C6">
        <w:rPr>
          <w:sz w:val="16"/>
          <w:szCs w:val="16"/>
        </w:rPr>
        <w:t xml:space="preserve"> diciembre de </w:t>
      </w:r>
      <w:r>
        <w:rPr>
          <w:sz w:val="16"/>
          <w:szCs w:val="16"/>
        </w:rPr>
        <w:t xml:space="preserve">dos mil diecisiete, </w:t>
      </w:r>
      <w:r w:rsidRPr="004E0058">
        <w:rPr>
          <w:b/>
          <w:bCs/>
          <w:color w:val="0000CC"/>
          <w:sz w:val="16"/>
          <w:szCs w:val="16"/>
        </w:rPr>
        <w:t>“CONFIDENCIAL POR LEY”</w:t>
      </w:r>
      <w:r w:rsidRPr="003A62C6">
        <w:rPr>
          <w:sz w:val="16"/>
          <w:szCs w:val="16"/>
        </w:rPr>
        <w:t xml:space="preserve"> sitios propios</w:t>
      </w:r>
      <w:r>
        <w:rPr>
          <w:sz w:val="16"/>
          <w:szCs w:val="16"/>
        </w:rPr>
        <w:t xml:space="preserve"> distribuidos</w:t>
      </w:r>
      <w:r w:rsidRPr="003A62C6">
        <w:rPr>
          <w:sz w:val="16"/>
          <w:szCs w:val="16"/>
        </w:rPr>
        <w:t xml:space="preserve"> en </w:t>
      </w:r>
      <w:r w:rsidRPr="004E0058">
        <w:rPr>
          <w:b/>
          <w:bCs/>
          <w:color w:val="0000CC"/>
          <w:sz w:val="16"/>
          <w:szCs w:val="16"/>
        </w:rPr>
        <w:t>“CONFIDENCIAL POR LEY”</w:t>
      </w:r>
      <w:r w:rsidRPr="003A62C6">
        <w:rPr>
          <w:sz w:val="16"/>
          <w:szCs w:val="16"/>
        </w:rPr>
        <w:t xml:space="preserve"> entidades fed</w:t>
      </w:r>
      <w:r>
        <w:rPr>
          <w:sz w:val="16"/>
          <w:szCs w:val="16"/>
        </w:rPr>
        <w:t xml:space="preserve">erativas; </w:t>
      </w:r>
      <w:r w:rsidRPr="004E0058">
        <w:rPr>
          <w:b/>
          <w:bCs/>
          <w:color w:val="0000CC"/>
          <w:sz w:val="16"/>
          <w:szCs w:val="16"/>
        </w:rPr>
        <w:t>“CONFIDENCIAL POR LEY”</w:t>
      </w:r>
      <w:r>
        <w:rPr>
          <w:sz w:val="16"/>
          <w:szCs w:val="16"/>
        </w:rPr>
        <w:t xml:space="preserve"> con </w:t>
      </w:r>
      <w:r w:rsidRPr="004E0058">
        <w:rPr>
          <w:b/>
          <w:bCs/>
          <w:color w:val="0000CC"/>
          <w:sz w:val="16"/>
          <w:szCs w:val="16"/>
        </w:rPr>
        <w:t>“CONFIDENCIAL POR LEY”</w:t>
      </w:r>
      <w:r>
        <w:rPr>
          <w:sz w:val="16"/>
          <w:szCs w:val="16"/>
        </w:rPr>
        <w:t xml:space="preserve"> sitios</w:t>
      </w:r>
      <w:r w:rsidRPr="003A62C6">
        <w:rPr>
          <w:sz w:val="16"/>
          <w:szCs w:val="16"/>
        </w:rPr>
        <w:t xml:space="preserve"> di</w:t>
      </w:r>
      <w:r>
        <w:rPr>
          <w:sz w:val="16"/>
          <w:szCs w:val="16"/>
        </w:rPr>
        <w:t xml:space="preserve">stribuidos en </w:t>
      </w:r>
      <w:r w:rsidRPr="004E0058">
        <w:rPr>
          <w:b/>
          <w:bCs/>
          <w:color w:val="0000CC"/>
          <w:sz w:val="16"/>
          <w:szCs w:val="16"/>
        </w:rPr>
        <w:t>“CONFIDENCIAL POR LEY”</w:t>
      </w:r>
      <w:r>
        <w:rPr>
          <w:sz w:val="16"/>
          <w:szCs w:val="16"/>
        </w:rPr>
        <w:t xml:space="preserve"> entidades federativas,</w:t>
      </w:r>
      <w:r w:rsidRPr="003A62C6">
        <w:rPr>
          <w:sz w:val="16"/>
          <w:szCs w:val="16"/>
        </w:rPr>
        <w:t xml:space="preserve"> y Opsimex, empresa constituida mediante la escisión de Telcel para brindar el servicio de acceso a los sitios de Telcel a cualquier operador de RPT en el país, con 15,066</w:t>
      </w:r>
      <w:r>
        <w:rPr>
          <w:sz w:val="16"/>
          <w:szCs w:val="16"/>
        </w:rPr>
        <w:t xml:space="preserve"> (quince mil sesenta y seis)</w:t>
      </w:r>
      <w:r w:rsidRPr="003A62C6">
        <w:rPr>
          <w:sz w:val="16"/>
          <w:szCs w:val="16"/>
        </w:rPr>
        <w:t xml:space="preserve"> sitios distribuidos en las </w:t>
      </w:r>
      <w:r>
        <w:rPr>
          <w:sz w:val="16"/>
          <w:szCs w:val="16"/>
        </w:rPr>
        <w:t>32 (treinta y dos)</w:t>
      </w:r>
      <w:r w:rsidRPr="003A62C6">
        <w:rPr>
          <w:sz w:val="16"/>
          <w:szCs w:val="16"/>
        </w:rPr>
        <w:t xml:space="preserve"> entidades federativas. Fojas </w:t>
      </w:r>
      <w:r w:rsidRPr="006263A4">
        <w:rPr>
          <w:sz w:val="16"/>
          <w:szCs w:val="16"/>
        </w:rPr>
        <w:t>7299, 7303, 7800, 7821, 7822, 8</w:t>
      </w:r>
      <w:r>
        <w:rPr>
          <w:sz w:val="16"/>
          <w:szCs w:val="16"/>
        </w:rPr>
        <w:t>724, 8727 y 8729</w:t>
      </w:r>
      <w:r w:rsidRPr="003A62C6">
        <w:rPr>
          <w:sz w:val="16"/>
          <w:szCs w:val="16"/>
        </w:rPr>
        <w:t xml:space="preserve"> del Expediente.</w:t>
      </w:r>
    </w:p>
  </w:footnote>
  <w:footnote w:id="243">
    <w:p w14:paraId="66C84A48" w14:textId="77777777" w:rsidR="0006497B" w:rsidRPr="003A62C6" w:rsidRDefault="0006497B" w:rsidP="003A62C6">
      <w:pPr>
        <w:pStyle w:val="Textonotapie"/>
        <w:jc w:val="both"/>
        <w:rPr>
          <w:sz w:val="16"/>
          <w:szCs w:val="16"/>
        </w:rPr>
      </w:pPr>
      <w:r w:rsidRPr="003A62C6">
        <w:rPr>
          <w:rStyle w:val="Refdenotaalpie"/>
          <w:sz w:val="16"/>
          <w:szCs w:val="16"/>
        </w:rPr>
        <w:footnoteRef/>
      </w:r>
      <w:r w:rsidRPr="003A62C6">
        <w:rPr>
          <w:sz w:val="16"/>
          <w:szCs w:val="16"/>
        </w:rPr>
        <w:t xml:space="preserve"> Véase acuerdos del Pleno P/IFT/160414/92 (</w:t>
      </w:r>
      <w:r>
        <w:rPr>
          <w:sz w:val="16"/>
          <w:szCs w:val="16"/>
        </w:rPr>
        <w:t>p.</w:t>
      </w:r>
      <w:r w:rsidRPr="003A62C6">
        <w:rPr>
          <w:sz w:val="16"/>
          <w:szCs w:val="16"/>
        </w:rPr>
        <w:t xml:space="preserve"> 9) y P/IFT/181017/651 (</w:t>
      </w:r>
      <w:r>
        <w:rPr>
          <w:sz w:val="16"/>
          <w:szCs w:val="16"/>
        </w:rPr>
        <w:t>p.</w:t>
      </w:r>
      <w:r w:rsidRPr="003A62C6">
        <w:rPr>
          <w:sz w:val="16"/>
          <w:szCs w:val="16"/>
        </w:rPr>
        <w:t xml:space="preserve"> 22). Fojas 7298 y 7303 del Expediente.</w:t>
      </w:r>
    </w:p>
  </w:footnote>
  <w:footnote w:id="244">
    <w:p w14:paraId="2CD6AA90" w14:textId="77777777" w:rsidR="0006497B" w:rsidRPr="005C7C17" w:rsidRDefault="0006497B" w:rsidP="005C7C17">
      <w:pPr>
        <w:pStyle w:val="Textonotapie"/>
        <w:jc w:val="both"/>
        <w:rPr>
          <w:sz w:val="16"/>
          <w:szCs w:val="16"/>
        </w:rPr>
      </w:pPr>
      <w:r w:rsidRPr="002336DA">
        <w:rPr>
          <w:rStyle w:val="Refdenotaalpie"/>
          <w:sz w:val="16"/>
          <w:szCs w:val="16"/>
        </w:rPr>
        <w:footnoteRef/>
      </w:r>
      <w:r w:rsidRPr="002336DA">
        <w:rPr>
          <w:sz w:val="16"/>
          <w:szCs w:val="16"/>
        </w:rPr>
        <w:t xml:space="preserve"> En el caso de los servicios mayoristas de arrendamiento de enlaces dedicados locales y de larga distancia nacional, si bien la dimensión geográfica se determinó por localidad y por ruta, </w:t>
      </w:r>
      <w:r>
        <w:rPr>
          <w:sz w:val="16"/>
          <w:szCs w:val="16"/>
        </w:rPr>
        <w:t xml:space="preserve">respectivamente, </w:t>
      </w:r>
      <w:r w:rsidRPr="002336DA">
        <w:rPr>
          <w:sz w:val="16"/>
          <w:szCs w:val="16"/>
        </w:rPr>
        <w:t>se cuenta con información agregada a nivel nacional.</w:t>
      </w:r>
    </w:p>
  </w:footnote>
  <w:footnote w:id="245">
    <w:p w14:paraId="425A1A33" w14:textId="77777777" w:rsidR="0006497B" w:rsidRPr="00086510" w:rsidRDefault="0006497B" w:rsidP="00086510">
      <w:pPr>
        <w:pStyle w:val="Textonotapie"/>
        <w:jc w:val="both"/>
        <w:rPr>
          <w:sz w:val="16"/>
          <w:szCs w:val="16"/>
        </w:rPr>
      </w:pPr>
      <w:r w:rsidRPr="00086510">
        <w:rPr>
          <w:rStyle w:val="Refdenotaalpie"/>
          <w:sz w:val="16"/>
          <w:szCs w:val="16"/>
        </w:rPr>
        <w:footnoteRef/>
      </w:r>
      <w:r w:rsidRPr="00086510">
        <w:rPr>
          <w:sz w:val="16"/>
          <w:szCs w:val="16"/>
        </w:rPr>
        <w:t xml:space="preserve"> </w:t>
      </w:r>
      <w:r w:rsidRPr="00086510">
        <w:rPr>
          <w:noProof/>
          <w:sz w:val="16"/>
          <w:szCs w:val="16"/>
        </w:rPr>
        <w:t>El artículo 120 de la LFCE establece que las resoluciones (en este caso, el DP) deben adoptarse con base en los hechos de los que se tenga conocimiento, así como la información y medios de convicción disponibles.</w:t>
      </w:r>
    </w:p>
  </w:footnote>
  <w:footnote w:id="246">
    <w:p w14:paraId="15ABDFBC" w14:textId="77777777" w:rsidR="0006497B" w:rsidRPr="00086510" w:rsidRDefault="0006497B" w:rsidP="00086510">
      <w:pPr>
        <w:pStyle w:val="Textonotapie"/>
        <w:jc w:val="both"/>
        <w:rPr>
          <w:sz w:val="16"/>
          <w:szCs w:val="16"/>
        </w:rPr>
      </w:pPr>
      <w:r w:rsidRPr="00086510">
        <w:rPr>
          <w:rStyle w:val="Refdenotaalpie"/>
          <w:sz w:val="16"/>
          <w:szCs w:val="16"/>
        </w:rPr>
        <w:footnoteRef/>
      </w:r>
      <w:r w:rsidRPr="00086510">
        <w:rPr>
          <w:sz w:val="16"/>
          <w:szCs w:val="16"/>
        </w:rPr>
        <w:t xml:space="preserve"> Los índices de concentración no se modifican como resultado de la Operación, debido a que no existe coincidencia entre las actividades de las partes involucradas.</w:t>
      </w:r>
    </w:p>
  </w:footnote>
  <w:footnote w:id="247">
    <w:p w14:paraId="7DB2F487" w14:textId="77777777" w:rsidR="0006497B" w:rsidRPr="00396750" w:rsidRDefault="0006497B" w:rsidP="00086510">
      <w:pPr>
        <w:pStyle w:val="Textonotapie"/>
        <w:jc w:val="both"/>
        <w:rPr>
          <w:spacing w:val="-6"/>
          <w:sz w:val="16"/>
          <w:szCs w:val="16"/>
        </w:rPr>
      </w:pPr>
      <w:r w:rsidRPr="00086510">
        <w:rPr>
          <w:rStyle w:val="Refdenotaalpie"/>
          <w:sz w:val="16"/>
          <w:szCs w:val="16"/>
        </w:rPr>
        <w:footnoteRef/>
      </w:r>
      <w:r w:rsidRPr="00086510">
        <w:rPr>
          <w:sz w:val="16"/>
          <w:szCs w:val="16"/>
        </w:rPr>
        <w:t xml:space="preserve"> </w:t>
      </w:r>
      <w:r w:rsidRPr="00396750">
        <w:rPr>
          <w:spacing w:val="-6"/>
          <w:sz w:val="16"/>
          <w:szCs w:val="16"/>
        </w:rPr>
        <w:t xml:space="preserve">Se considera poco probable que una concentración tenga por objeto o efecto obstaculizar, disminuir, dañar o impedir la competencia y libre concurrencia, cuando posterior a esta suceda alguna de las siguientes situaciones: i) el IH sea menor o igual a 2,000 puntos, ii) el IH esté por encima de 2,000 y sea menor o igual a 3,000 puntos y la variación sea menor o igual a 150 puntos, o bien, iii) el índice sea superior a 3,000 puntos y la variación menor o igual a 100 puntos. Lo anterior, de conformidad con el artículo 6 del </w:t>
      </w:r>
      <w:r w:rsidRPr="00396750">
        <w:rPr>
          <w:i/>
          <w:iCs/>
          <w:spacing w:val="-6"/>
          <w:sz w:val="16"/>
          <w:szCs w:val="16"/>
        </w:rPr>
        <w:t>ACUERDO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w:t>
      </w:r>
      <w:r w:rsidRPr="00396750">
        <w:rPr>
          <w:spacing w:val="-6"/>
          <w:sz w:val="16"/>
          <w:szCs w:val="16"/>
        </w:rPr>
        <w:t xml:space="preserve">, publicado en el DOF el once de </w:t>
      </w:r>
      <w:r w:rsidRPr="00396750">
        <w:rPr>
          <w:sz w:val="16"/>
          <w:szCs w:val="16"/>
        </w:rPr>
        <w:t>abril</w:t>
      </w:r>
      <w:r w:rsidRPr="00396750">
        <w:rPr>
          <w:spacing w:val="-2"/>
          <w:sz w:val="16"/>
          <w:szCs w:val="16"/>
        </w:rPr>
        <w:t xml:space="preserve"> de dos mil dieciséis</w:t>
      </w:r>
      <w:r w:rsidRPr="00396750">
        <w:rPr>
          <w:spacing w:val="-6"/>
          <w:sz w:val="16"/>
          <w:szCs w:val="16"/>
        </w:rPr>
        <w:t>.</w:t>
      </w:r>
    </w:p>
  </w:footnote>
  <w:footnote w:id="248">
    <w:p w14:paraId="555BD8F3"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El principal cliente de ATC por servicios de telecomunicaciones fijos es </w:t>
      </w:r>
      <w:r w:rsidRPr="006A1598">
        <w:rPr>
          <w:b/>
          <w:bCs/>
          <w:color w:val="0000CC"/>
          <w:sz w:val="16"/>
          <w:szCs w:val="16"/>
        </w:rPr>
        <w:t>“CONFIDENCIAL POR LEY”</w:t>
      </w:r>
      <w:r w:rsidRPr="00B9381C">
        <w:rPr>
          <w:sz w:val="16"/>
          <w:szCs w:val="16"/>
        </w:rPr>
        <w:t xml:space="preserve">, el cual representó </w:t>
      </w:r>
      <w:r w:rsidRPr="006A1598">
        <w:rPr>
          <w:b/>
          <w:bCs/>
          <w:color w:val="0000CC"/>
          <w:sz w:val="16"/>
          <w:szCs w:val="16"/>
        </w:rPr>
        <w:t>“CONFIDENCIAL POR LEY”</w:t>
      </w:r>
      <w:r>
        <w:rPr>
          <w:b/>
          <w:bCs/>
          <w:color w:val="0000CC"/>
          <w:sz w:val="16"/>
          <w:szCs w:val="16"/>
        </w:rPr>
        <w:t xml:space="preserve"> </w:t>
      </w:r>
      <w:r w:rsidRPr="00B9381C">
        <w:rPr>
          <w:sz w:val="16"/>
          <w:szCs w:val="16"/>
        </w:rPr>
        <w:t>de sus ingresos en el primer trimestre de dos mil dieciocho. Cálculos obtenidos de información de principales clientes e ingresos por tipo de servicio fijo de telecomunicaciones proporcionada por CFCA Telecomm (o Telco). Fojas 6073, 6128, 7071 y 7083 del Expediente.</w:t>
      </w:r>
    </w:p>
  </w:footnote>
  <w:footnote w:id="249">
    <w:p w14:paraId="3F9ED07F"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Cálculos obtenidos con base en información sobre los kilómetros de red de fibra óptica propia proporcionada por AMX/Telesites, Total Play, Axtel, GTV, Megacable, Telefónica, CFCA Telecomm (o Telco), GTAC, AT&amp;T e IP Matrix. Fojas 220, 221, 321, 3530 a 3533, 3553, 3390 a 3393, 3721 a 3723, 3756, 4877 a 4886, 5062, 5084, 5701 a 5704, 6077, 6192, 6773 a 6774, 7710, 7711, 7737, 7793, 7914, 8071 y 8113 del Expediente.</w:t>
      </w:r>
    </w:p>
  </w:footnote>
  <w:footnote w:id="250">
    <w:p w14:paraId="4AB17965"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Cálculos obtenidos con base en información sobre infraestructura pasiva propia proporcionada por AMX/Telesites, GTV, Axtel, GTAC, Megacable, IP Matrix, Total Play, Metro Net, AT&amp;T y Comisión Federal de Electricidad (CFE Distribución). Fojas 3402, 3403, 3472, 3534 a 3537, 3756, 3840 4413 a 4719, 4789, 5620, 6945, 6972, 7700, 8074, 8113 y 8724 a 8729 del Expediente.</w:t>
      </w:r>
    </w:p>
  </w:footnote>
  <w:footnote w:id="251">
    <w:p w14:paraId="158AE8B1"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Cálculos obtenidos con base en información sobre los kilómetros de red de fibra óptica propia proporcionada por AMX/Telesites, Total Play, Axtel, GTV, Megacable, Telefónica, CFCA Telecomm (o Telco), GTAC, AT&amp;T e IP Matrix. Fojas 220, 221, 321, 3530 a 3533, 3553, 3390 a 3393, 3721 a 3723, 3756, 4877 a 4886, 5062, 5084, 5701 a 5704, 6077, 6192, 6773 a 6774, 7710, 7711, 7737, 7793, 7914, 8071 y 8113 del Expediente.</w:t>
      </w:r>
    </w:p>
  </w:footnote>
  <w:footnote w:id="252">
    <w:p w14:paraId="0D0D8F58" w14:textId="77777777" w:rsidR="0006497B" w:rsidRPr="00B9381C" w:rsidRDefault="0006497B" w:rsidP="00B9381C">
      <w:pPr>
        <w:jc w:val="both"/>
        <w:rPr>
          <w:sz w:val="16"/>
          <w:szCs w:val="16"/>
        </w:rPr>
      </w:pPr>
      <w:r w:rsidRPr="00B9381C">
        <w:rPr>
          <w:rStyle w:val="Refdenotaalpie"/>
          <w:sz w:val="16"/>
          <w:szCs w:val="16"/>
        </w:rPr>
        <w:footnoteRef/>
      </w:r>
      <w:r w:rsidRPr="00B9381C">
        <w:rPr>
          <w:sz w:val="16"/>
          <w:szCs w:val="16"/>
        </w:rPr>
        <w:t xml:space="preserve"> Cálculos obtenidos con base en información sobre infraestructura pasiva propia proporcionada por AMX/Telesites, GTV, Axtel, GTAC, Megacable, IP Matrix, Total Play, Metro Net, AT&amp;T y Comisión Federal de Electricidad (CFE Distribución). Fojas 3402, 3403, 3472, 3534 a 3537, 3756, 3840 4413 a 4719, 4789, 5620, 6945, 6972, 7700, 8074, 8113 y 8724 a 8729 del Expediente.</w:t>
      </w:r>
    </w:p>
  </w:footnote>
  <w:footnote w:id="253">
    <w:p w14:paraId="5C40C98E"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w:t>
      </w:r>
      <w:r w:rsidRPr="00B9381C">
        <w:rPr>
          <w:noProof/>
          <w:sz w:val="16"/>
          <w:szCs w:val="16"/>
        </w:rPr>
        <w:t>El artículo 120 de la LFCE establece que las resoluciones (en este caso, el DP) deben adoptarse con base en los hechos de los que se tenga conocimiento, así como la información y medios de convicción disponibles.</w:t>
      </w:r>
    </w:p>
  </w:footnote>
  <w:footnote w:id="254">
    <w:p w14:paraId="3C813B55"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Al no incluir los sitios de estos proveedores en el cálculo de las participaciones, se considera el escenario más adverso a la competencia, ya que, si las participaciones de las partes involucradas en la Operación no representan un riesgo para el proceso de competencia y libre concurrencia tomando en cuenta únicamente a algunos de los participantes en el mercado del servicio, tampoco lo serían si se tomara en cuenta a la totalidad de participantes.</w:t>
      </w:r>
    </w:p>
  </w:footnote>
  <w:footnote w:id="255">
    <w:p w14:paraId="44CDF130" w14:textId="77777777" w:rsidR="0006497B" w:rsidRPr="008F1D2C" w:rsidRDefault="0006497B" w:rsidP="00B9381C">
      <w:pPr>
        <w:pStyle w:val="Textonotapie"/>
        <w:jc w:val="both"/>
      </w:pPr>
      <w:r w:rsidRPr="00B9381C">
        <w:rPr>
          <w:rStyle w:val="Refdenotaalpie"/>
          <w:sz w:val="16"/>
          <w:szCs w:val="16"/>
        </w:rPr>
        <w:footnoteRef/>
      </w:r>
      <w:r w:rsidRPr="00B9381C">
        <w:rPr>
          <w:sz w:val="16"/>
          <w:szCs w:val="16"/>
        </w:rPr>
        <w:t xml:space="preserve"> Véase Aviso de Concentración (p. 27) e información desahogada por ATC. Fojas 2172, 4092, 4225 y 4226 del Expediente.</w:t>
      </w:r>
    </w:p>
  </w:footnote>
  <w:footnote w:id="256">
    <w:p w14:paraId="2BAA98F4"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El IH no se modifica como resultado de la Operación.</w:t>
      </w:r>
    </w:p>
  </w:footnote>
  <w:footnote w:id="257">
    <w:p w14:paraId="4ABA8C4D"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De acuerdo con el artículo 3, fracción XXVII de la LFTyR se entiende por “</w:t>
      </w:r>
      <w:r w:rsidRPr="00B9381C">
        <w:rPr>
          <w:i/>
          <w:sz w:val="16"/>
          <w:szCs w:val="16"/>
        </w:rPr>
        <w:t xml:space="preserve">Infraestructura </w:t>
      </w:r>
      <w:r>
        <w:rPr>
          <w:i/>
          <w:sz w:val="16"/>
          <w:szCs w:val="16"/>
        </w:rPr>
        <w:t>p</w:t>
      </w:r>
      <w:r w:rsidRPr="00B9381C">
        <w:rPr>
          <w:i/>
          <w:sz w:val="16"/>
          <w:szCs w:val="16"/>
        </w:rPr>
        <w:t xml:space="preserve">asiva: Elementos accesorios que proporcionan soporte a la infraestructura activa, entre otros, bastidores, cableado subterráneo y aéreo, canalizaciones, construcciones, ductos, obras, postes, sistemas de suministro y respaldo de energía eléctrica, sistemas de climatización, </w:t>
      </w:r>
      <w:r w:rsidRPr="00B9381C">
        <w:rPr>
          <w:b/>
          <w:i/>
          <w:sz w:val="16"/>
          <w:szCs w:val="16"/>
        </w:rPr>
        <w:t>sitios, torres y demás aditamentos</w:t>
      </w:r>
      <w:r w:rsidRPr="00B9381C">
        <w:rPr>
          <w:i/>
          <w:sz w:val="16"/>
          <w:szCs w:val="16"/>
        </w:rPr>
        <w:t xml:space="preserve">, incluyendo derechos de vía, que sean necesarios para la instalación y operación de las redes, así como para la prestación de servicios de telecomunicaciones y radiodifusión;”. </w:t>
      </w:r>
      <w:r w:rsidRPr="00B9381C">
        <w:rPr>
          <w:sz w:val="16"/>
          <w:szCs w:val="16"/>
        </w:rPr>
        <w:t>[Énfasis añadido].</w:t>
      </w:r>
    </w:p>
  </w:footnote>
  <w:footnote w:id="258">
    <w:p w14:paraId="71A540A2"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Revisión bienal, Anexo 1, medida Decimoquinta y Anexo 2, medida Vigésima Tercera.</w:t>
      </w:r>
    </w:p>
  </w:footnote>
  <w:footnote w:id="259">
    <w:p w14:paraId="6BAD7ECF"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Revisión bienal, Anexo 1, medida Decimosexta, y Anexo 2, medida Cuadragésima Primera.</w:t>
      </w:r>
    </w:p>
  </w:footnote>
  <w:footnote w:id="260">
    <w:p w14:paraId="79E6C40E"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En la </w:t>
      </w:r>
      <w:r w:rsidRPr="00B9381C">
        <w:rPr>
          <w:i/>
          <w:sz w:val="16"/>
          <w:szCs w:val="16"/>
        </w:rPr>
        <w:t>"Resolución mediante la cual el Pleno del Instituto Federal de Telecomunicaciones modifica y autoriza al agente económico preponderante los términos y condiciones de la Oferta de referencia para el Acceso y Uso Compartido de Infraestructura Pasiva, presentada por Operadora de Sites Mexicanos, S.A. de C.V., aplicables de 1 de enero al 31 de diciembre de 2018",</w:t>
      </w:r>
      <w:r w:rsidRPr="00B9381C">
        <w:rPr>
          <w:sz w:val="16"/>
          <w:szCs w:val="16"/>
        </w:rPr>
        <w:t xml:space="preserve"> aprobada mediante acuerdo P/IFT/131217/198, el Pleno del Instituto determinó, en el resolutivo tercero, que </w:t>
      </w:r>
      <w:r w:rsidRPr="00B9381C">
        <w:rPr>
          <w:i/>
          <w:sz w:val="16"/>
          <w:szCs w:val="16"/>
        </w:rPr>
        <w:t>"Operadora de Sites Mexicanos, S.A. de C.V. deberá incluir dentro del Anexo "A" Precios y Tarifas de la Oferta de Referencia para la prestación del Servicio de Acceso y Uso Compartido de Infraestructura Pasiva, las tarifas aplicables de conformidad con la estructura y clasificación tarifaria determinada en la presente Resolución".</w:t>
      </w:r>
    </w:p>
  </w:footnote>
  <w:footnote w:id="261">
    <w:p w14:paraId="24FC4CD7" w14:textId="77777777" w:rsidR="0006497B" w:rsidRPr="00B9381C" w:rsidRDefault="0006497B" w:rsidP="00B9381C">
      <w:pPr>
        <w:pStyle w:val="Textonotapie"/>
        <w:jc w:val="both"/>
        <w:rPr>
          <w:sz w:val="16"/>
          <w:szCs w:val="16"/>
        </w:rPr>
      </w:pPr>
      <w:r w:rsidRPr="00B9381C">
        <w:rPr>
          <w:rStyle w:val="Refdenotaalpie"/>
          <w:sz w:val="16"/>
          <w:szCs w:val="16"/>
        </w:rPr>
        <w:footnoteRef/>
      </w:r>
      <w:r w:rsidRPr="00B9381C">
        <w:rPr>
          <w:sz w:val="16"/>
          <w:szCs w:val="16"/>
        </w:rPr>
        <w:t xml:space="preserve"> Revisión bienal, Anexo 1, medida Sexagésima Segunda.</w:t>
      </w:r>
    </w:p>
  </w:footnote>
  <w:footnote w:id="262">
    <w:p w14:paraId="7E1CA267" w14:textId="77777777" w:rsidR="0006497B" w:rsidRPr="00B33269" w:rsidRDefault="0006497B" w:rsidP="00B33269">
      <w:pPr>
        <w:pStyle w:val="Textonotapie"/>
        <w:jc w:val="both"/>
        <w:rPr>
          <w:sz w:val="16"/>
          <w:szCs w:val="16"/>
        </w:rPr>
      </w:pPr>
      <w:r w:rsidRPr="00B33269">
        <w:rPr>
          <w:rStyle w:val="Refdenotaalpie"/>
          <w:sz w:val="16"/>
          <w:szCs w:val="16"/>
        </w:rPr>
        <w:footnoteRef/>
      </w:r>
      <w:r w:rsidRPr="00B33269">
        <w:rPr>
          <w:sz w:val="16"/>
          <w:szCs w:val="16"/>
        </w:rPr>
        <w:t xml:space="preserve"> De los </w:t>
      </w:r>
      <w:r w:rsidRPr="00296334">
        <w:rPr>
          <w:b/>
          <w:bCs/>
          <w:color w:val="0000CC"/>
          <w:sz w:val="16"/>
          <w:szCs w:val="16"/>
        </w:rPr>
        <w:t>“CONFIDENCIAL POR LEY”</w:t>
      </w:r>
      <w:r w:rsidRPr="00B33269">
        <w:rPr>
          <w:sz w:val="16"/>
          <w:szCs w:val="16"/>
        </w:rPr>
        <w:t xml:space="preserve">, el </w:t>
      </w:r>
      <w:r w:rsidRPr="00296334">
        <w:rPr>
          <w:b/>
          <w:bCs/>
          <w:color w:val="0000CC"/>
          <w:sz w:val="16"/>
          <w:szCs w:val="16"/>
        </w:rPr>
        <w:t>“CONFIDENCIAL POR LEY”</w:t>
      </w:r>
      <w:r w:rsidRPr="00B33269">
        <w:rPr>
          <w:sz w:val="16"/>
          <w:szCs w:val="16"/>
        </w:rPr>
        <w:t xml:space="preserve"> tiene capacidad excedente. Los 15,066 (quince mil sesenta y seis) sitios de Opsimex, tienen la capacidad de albergar de tres a cinco operadores, y el número de sitios de telecomunicaciones de Opsimex arrendados actualmente por otros operadores es bajo; por ejemplo, durante el año de dos mil diecisiete, </w:t>
      </w:r>
      <w:r w:rsidRPr="00296334">
        <w:rPr>
          <w:b/>
          <w:bCs/>
          <w:color w:val="0000CC"/>
          <w:sz w:val="16"/>
          <w:szCs w:val="16"/>
        </w:rPr>
        <w:t>“CONFIDENCIAL POR LEY”</w:t>
      </w:r>
      <w:r w:rsidRPr="00B33269">
        <w:rPr>
          <w:sz w:val="16"/>
          <w:szCs w:val="16"/>
        </w:rPr>
        <w:t xml:space="preserve">, </w:t>
      </w:r>
      <w:r>
        <w:rPr>
          <w:sz w:val="16"/>
          <w:szCs w:val="16"/>
        </w:rPr>
        <w:t xml:space="preserve">arrendaron </w:t>
      </w:r>
      <w:r w:rsidRPr="00296334">
        <w:rPr>
          <w:b/>
          <w:bCs/>
          <w:color w:val="0000CC"/>
          <w:sz w:val="16"/>
          <w:szCs w:val="16"/>
        </w:rPr>
        <w:t>“CONFIDENCIAL POR LEY”</w:t>
      </w:r>
      <w:r w:rsidRPr="00B33269">
        <w:rPr>
          <w:sz w:val="16"/>
          <w:szCs w:val="16"/>
        </w:rPr>
        <w:t xml:space="preserve"> sitios a Opsimex, respectivamente. Dado lo anterior, se concluye que la gran mayoría de los sitios de Opsimex, estarían en condiciones de aceptar al menos a un operador de RPT adicional. De acuerdo con información de capacidad de sitios de Telmex y Telnor provista por AMX/Telesites del Reporte Anual Opsimex 2017 (p. 40), e información de sitios arrendados a terceros proporcionada por Altán Redes, S.A.P.I. de C.V., AT&amp;T y Telefónica. Fojas 5032, 5066, 5084, 6739, 6794, 6795, 6796, 6835, 7244, 7294, 7295 7299 y 7303 del Expediente.</w:t>
      </w:r>
    </w:p>
  </w:footnote>
  <w:footnote w:id="263">
    <w:p w14:paraId="2B8F4281" w14:textId="77777777" w:rsidR="0006497B" w:rsidRPr="00BE5B49" w:rsidRDefault="0006497B" w:rsidP="00086510">
      <w:pPr>
        <w:pStyle w:val="Textonotapie"/>
        <w:rPr>
          <w:sz w:val="16"/>
          <w:szCs w:val="16"/>
        </w:rPr>
      </w:pPr>
      <w:r w:rsidRPr="00BE5B49">
        <w:rPr>
          <w:rStyle w:val="Refdenotaalpie"/>
          <w:sz w:val="16"/>
          <w:szCs w:val="16"/>
        </w:rPr>
        <w:footnoteRef/>
      </w:r>
      <w:r w:rsidRPr="00BE5B49">
        <w:rPr>
          <w:sz w:val="16"/>
          <w:szCs w:val="16"/>
        </w:rPr>
        <w:t xml:space="preserve"> Fojas 7302 y 7303 del Expediente.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7949" w14:textId="77777777" w:rsidR="0006497B" w:rsidRDefault="0006497B" w:rsidP="009908C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789CF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E6DAC2"/>
    <w:lvl w:ilvl="0">
      <w:start w:val="1"/>
      <w:numFmt w:val="bullet"/>
      <w:pStyle w:val="Listaconvietas1"/>
      <w:lvlText w:val=""/>
      <w:lvlJc w:val="left"/>
      <w:pPr>
        <w:tabs>
          <w:tab w:val="num" w:pos="360"/>
        </w:tabs>
        <w:ind w:left="360" w:hanging="360"/>
      </w:pPr>
      <w:rPr>
        <w:rFonts w:ascii="Symbol" w:hAnsi="Symbol" w:hint="default"/>
      </w:rPr>
    </w:lvl>
  </w:abstractNum>
  <w:abstractNum w:abstractNumId="2" w15:restartNumberingAfterBreak="0">
    <w:nsid w:val="025C3A3C"/>
    <w:multiLevelType w:val="multilevel"/>
    <w:tmpl w:val="7E4ED630"/>
    <w:lvl w:ilvl="0">
      <w:start w:val="1"/>
      <w:numFmt w:val="upperRoman"/>
      <w:pStyle w:val="Ttulo1"/>
      <w:lvlText w:val="%1."/>
      <w:lvlJc w:val="left"/>
      <w:pPr>
        <w:ind w:left="432" w:hanging="432"/>
      </w:pPr>
      <w:rPr>
        <w:rFonts w:hint="default"/>
        <w:sz w:val="22"/>
      </w:rPr>
    </w:lvl>
    <w:lvl w:ilvl="1">
      <w:start w:val="1"/>
      <w:numFmt w:val="none"/>
      <w:pStyle w:val="Ttulo2"/>
      <w:lvlText w:val="%1.%2"/>
      <w:lvlJc w:val="left"/>
      <w:pPr>
        <w:ind w:left="576" w:hanging="576"/>
      </w:pPr>
      <w:rPr>
        <w:rFonts w:hint="default"/>
      </w:rPr>
    </w:lvl>
    <w:lvl w:ilvl="2">
      <w:start w:val="1"/>
      <w:numFmt w:val="decimal"/>
      <w:pStyle w:val="Ttulo3"/>
      <w:lvlText w:val="%3."/>
      <w:lvlJc w:val="left"/>
      <w:pPr>
        <w:ind w:left="720" w:hanging="720"/>
      </w:pPr>
      <w:rPr>
        <w:rFonts w:hint="default"/>
      </w:rPr>
    </w:lvl>
    <w:lvl w:ilvl="3">
      <w:start w:val="1"/>
      <w:numFmt w:val="decimal"/>
      <w:pStyle w:val="Ttulo4"/>
      <w:lvlText w:val="%3.%4."/>
      <w:lvlJc w:val="left"/>
      <w:pPr>
        <w:ind w:left="864" w:hanging="864"/>
      </w:pPr>
      <w:rPr>
        <w:rFonts w:hint="default"/>
        <w:sz w:val="22"/>
      </w:rPr>
    </w:lvl>
    <w:lvl w:ilvl="4">
      <w:start w:val="1"/>
      <w:numFmt w:val="decimal"/>
      <w:pStyle w:val="Ttulo5"/>
      <w:lvlText w:val="%3.%4.%5"/>
      <w:lvlJc w:val="left"/>
      <w:pPr>
        <w:ind w:left="1008" w:hanging="1008"/>
      </w:pPr>
      <w:rPr>
        <w:rFonts w:hint="default"/>
      </w:rPr>
    </w:lvl>
    <w:lvl w:ilvl="5">
      <w:start w:val="1"/>
      <w:numFmt w:val="decimal"/>
      <w:pStyle w:val="Ttulo6"/>
      <w:lvlText w:val="%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9367B58"/>
    <w:multiLevelType w:val="multilevel"/>
    <w:tmpl w:val="54BAD53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4C6908"/>
    <w:multiLevelType w:val="hybridMultilevel"/>
    <w:tmpl w:val="7FA45C6C"/>
    <w:lvl w:ilvl="0" w:tplc="D2A6E21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0B577D8"/>
    <w:multiLevelType w:val="hybridMultilevel"/>
    <w:tmpl w:val="BDB8C38E"/>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8A54C1"/>
    <w:multiLevelType w:val="hybridMultilevel"/>
    <w:tmpl w:val="39DE6BCC"/>
    <w:lvl w:ilvl="0" w:tplc="0D6A19A0">
      <w:start w:val="1"/>
      <w:numFmt w:val="lowerRoman"/>
      <w:lvlText w:val="(%1)"/>
      <w:lvlJc w:val="left"/>
      <w:pPr>
        <w:ind w:left="1080" w:hanging="72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87024D"/>
    <w:multiLevelType w:val="hybridMultilevel"/>
    <w:tmpl w:val="E116ADAA"/>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EB91A0C"/>
    <w:multiLevelType w:val="hybridMultilevel"/>
    <w:tmpl w:val="09AEC2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136ECC"/>
    <w:multiLevelType w:val="hybridMultilevel"/>
    <w:tmpl w:val="8BF839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D80156"/>
    <w:multiLevelType w:val="multilevel"/>
    <w:tmpl w:val="8034F12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466071"/>
    <w:multiLevelType w:val="multilevel"/>
    <w:tmpl w:val="EC5C1510"/>
    <w:lvl w:ilvl="0">
      <w:start w:val="1"/>
      <w:numFmt w:val="decimal"/>
      <w:lvlText w:val="%1."/>
      <w:lvlJc w:val="left"/>
      <w:pPr>
        <w:ind w:left="360" w:hanging="360"/>
      </w:pPr>
    </w:lvl>
    <w:lvl w:ilvl="1">
      <w:start w:val="1"/>
      <w:numFmt w:val="decimal"/>
      <w:pStyle w:val="Normalnumerado"/>
      <w:lvlText w:val="%2."/>
      <w:lvlJc w:val="left"/>
      <w:pPr>
        <w:ind w:left="1425"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7B57BE"/>
    <w:multiLevelType w:val="multilevel"/>
    <w:tmpl w:val="30BAD61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133174"/>
    <w:multiLevelType w:val="hybridMultilevel"/>
    <w:tmpl w:val="F6523E72"/>
    <w:lvl w:ilvl="0" w:tplc="111CA9D0">
      <w:start w:val="1"/>
      <w:numFmt w:val="lowerLetter"/>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293C5A"/>
    <w:multiLevelType w:val="hybridMultilevel"/>
    <w:tmpl w:val="5776DCFE"/>
    <w:lvl w:ilvl="0" w:tplc="B158192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D43280"/>
    <w:multiLevelType w:val="hybridMultilevel"/>
    <w:tmpl w:val="42287B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1F603D"/>
    <w:multiLevelType w:val="hybridMultilevel"/>
    <w:tmpl w:val="0A98B418"/>
    <w:lvl w:ilvl="0" w:tplc="9E523DF6">
      <w:start w:val="1"/>
      <w:numFmt w:val="decimal"/>
      <w:lvlText w:val="[%1]"/>
      <w:lvlJc w:val="left"/>
      <w:pPr>
        <w:ind w:left="0" w:hanging="992"/>
      </w:pPr>
      <w:rPr>
        <w:rFonts w:ascii="ITC Avant Garde" w:hAnsi="ITC Avant Garde"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497903"/>
    <w:multiLevelType w:val="hybridMultilevel"/>
    <w:tmpl w:val="44F25A16"/>
    <w:lvl w:ilvl="0" w:tplc="080A0017">
      <w:start w:val="1"/>
      <w:numFmt w:val="lowerLetter"/>
      <w:lvlText w:val="%1)"/>
      <w:lvlJc w:val="left"/>
      <w:pPr>
        <w:ind w:left="720" w:hanging="360"/>
      </w:pPr>
      <w:rPr>
        <w:rFonts w:hint="default"/>
      </w:rPr>
    </w:lvl>
    <w:lvl w:ilvl="1" w:tplc="E7789752">
      <w:numFmt w:val="bullet"/>
      <w:lvlText w:val=""/>
      <w:lvlJc w:val="left"/>
      <w:pPr>
        <w:ind w:left="1440" w:hanging="360"/>
      </w:pPr>
      <w:rPr>
        <w:rFonts w:ascii="Symbol" w:eastAsiaTheme="minorHAnsi" w:hAnsi="Symbol" w:cstheme="minorBidi" w:hint="default"/>
      </w:rPr>
    </w:lvl>
    <w:lvl w:ilvl="2" w:tplc="727A17F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B152A0"/>
    <w:multiLevelType w:val="hybridMultilevel"/>
    <w:tmpl w:val="FD50A8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AE08B8"/>
    <w:multiLevelType w:val="hybridMultilevel"/>
    <w:tmpl w:val="5F28F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834E98"/>
    <w:multiLevelType w:val="hybridMultilevel"/>
    <w:tmpl w:val="E5ACA5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51162A"/>
    <w:multiLevelType w:val="multilevel"/>
    <w:tmpl w:val="080A001D"/>
    <w:styleLink w:val="Estilo3"/>
    <w:lvl w:ilvl="0">
      <w:start w:val="1"/>
      <w:numFmt w:val="upperRoman"/>
      <w:lvlText w:val="%1)"/>
      <w:lvlJc w:val="left"/>
      <w:pPr>
        <w:ind w:left="360" w:hanging="360"/>
      </w:pPr>
      <w:rPr>
        <w:rFonts w:ascii="ITC Avant Garde" w:hAnsi="ITC Avant Garde"/>
        <w:sz w:val="22"/>
      </w:rPr>
    </w:lvl>
    <w:lvl w:ilvl="1">
      <w:start w:val="1"/>
      <w:numFmt w:val="none"/>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rPr>
        <w:rFonts w:ascii="ITC Avant Garde" w:hAnsi="ITC Avant Garde"/>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B610463"/>
    <w:multiLevelType w:val="hybridMultilevel"/>
    <w:tmpl w:val="CCBCF2C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EF5A08"/>
    <w:multiLevelType w:val="hybridMultilevel"/>
    <w:tmpl w:val="63E22CD0"/>
    <w:lvl w:ilvl="0" w:tplc="080A0001">
      <w:start w:val="1"/>
      <w:numFmt w:val="bullet"/>
      <w:lvlText w:val=""/>
      <w:lvlJc w:val="left"/>
      <w:pPr>
        <w:ind w:left="720" w:hanging="360"/>
      </w:pPr>
      <w:rPr>
        <w:rFonts w:ascii="Symbol" w:hAnsi="Symbol" w:hint="default"/>
      </w:rPr>
    </w:lvl>
    <w:lvl w:ilvl="1" w:tplc="080A001B">
      <w:start w:val="1"/>
      <w:numFmt w:val="lowerRoman"/>
      <w:lvlText w:val="%2."/>
      <w:lvlJc w:val="righ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071058"/>
    <w:multiLevelType w:val="multilevel"/>
    <w:tmpl w:val="4B1275B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0"/>
  </w:num>
  <w:num w:numId="4">
    <w:abstractNumId w:val="18"/>
  </w:num>
  <w:num w:numId="5">
    <w:abstractNumId w:val="9"/>
  </w:num>
  <w:num w:numId="6">
    <w:abstractNumId w:val="22"/>
  </w:num>
  <w:num w:numId="7">
    <w:abstractNumId w:val="8"/>
  </w:num>
  <w:num w:numId="8">
    <w:abstractNumId w:val="15"/>
  </w:num>
  <w:num w:numId="9">
    <w:abstractNumId w:val="19"/>
  </w:num>
  <w:num w:numId="10">
    <w:abstractNumId w:val="5"/>
  </w:num>
  <w:num w:numId="11">
    <w:abstractNumId w:val="17"/>
  </w:num>
  <w:num w:numId="12">
    <w:abstractNumId w:val="14"/>
  </w:num>
  <w:num w:numId="13">
    <w:abstractNumId w:val="16"/>
  </w:num>
  <w:num w:numId="14">
    <w:abstractNumId w:val="13"/>
  </w:num>
  <w:num w:numId="15">
    <w:abstractNumId w:val="6"/>
  </w:num>
  <w:num w:numId="16">
    <w:abstractNumId w:val="20"/>
  </w:num>
  <w:num w:numId="17">
    <w:abstractNumId w:val="4"/>
  </w:num>
  <w:num w:numId="18">
    <w:abstractNumId w:val="23"/>
  </w:num>
  <w:num w:numId="19">
    <w:abstractNumId w:val="7"/>
  </w:num>
  <w:num w:numId="20">
    <w:abstractNumId w:val="12"/>
  </w:num>
  <w:num w:numId="21">
    <w:abstractNumId w:val="21"/>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4"/>
  </w:num>
  <w:num w:numId="26">
    <w:abstractNumId w:val="3"/>
  </w:num>
  <w:num w:numId="2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6F"/>
    <w:rsid w:val="0000035A"/>
    <w:rsid w:val="0000083C"/>
    <w:rsid w:val="00000DF5"/>
    <w:rsid w:val="00001453"/>
    <w:rsid w:val="00001E69"/>
    <w:rsid w:val="00002064"/>
    <w:rsid w:val="000028C0"/>
    <w:rsid w:val="00002F25"/>
    <w:rsid w:val="00003AA0"/>
    <w:rsid w:val="000040E8"/>
    <w:rsid w:val="000044C3"/>
    <w:rsid w:val="00004763"/>
    <w:rsid w:val="0000476C"/>
    <w:rsid w:val="00004E6A"/>
    <w:rsid w:val="000056CB"/>
    <w:rsid w:val="00005877"/>
    <w:rsid w:val="00006DA9"/>
    <w:rsid w:val="000141EF"/>
    <w:rsid w:val="000151F0"/>
    <w:rsid w:val="00015A5B"/>
    <w:rsid w:val="00015B8E"/>
    <w:rsid w:val="00015F30"/>
    <w:rsid w:val="000165F8"/>
    <w:rsid w:val="00017A5B"/>
    <w:rsid w:val="00017AA6"/>
    <w:rsid w:val="00017F17"/>
    <w:rsid w:val="00020214"/>
    <w:rsid w:val="00021D15"/>
    <w:rsid w:val="0002203A"/>
    <w:rsid w:val="00022B9D"/>
    <w:rsid w:val="00024487"/>
    <w:rsid w:val="00024AF9"/>
    <w:rsid w:val="00024FA7"/>
    <w:rsid w:val="000250FC"/>
    <w:rsid w:val="000252B0"/>
    <w:rsid w:val="000254FF"/>
    <w:rsid w:val="000259EB"/>
    <w:rsid w:val="000276E5"/>
    <w:rsid w:val="00030449"/>
    <w:rsid w:val="000313B3"/>
    <w:rsid w:val="00031568"/>
    <w:rsid w:val="0003158B"/>
    <w:rsid w:val="000323E9"/>
    <w:rsid w:val="00032DA1"/>
    <w:rsid w:val="000339EB"/>
    <w:rsid w:val="00033EC2"/>
    <w:rsid w:val="000349B9"/>
    <w:rsid w:val="0003546B"/>
    <w:rsid w:val="00035B7E"/>
    <w:rsid w:val="00035D73"/>
    <w:rsid w:val="0004016F"/>
    <w:rsid w:val="000406B1"/>
    <w:rsid w:val="00040B00"/>
    <w:rsid w:val="000414E6"/>
    <w:rsid w:val="00042016"/>
    <w:rsid w:val="00042633"/>
    <w:rsid w:val="0004263D"/>
    <w:rsid w:val="00042709"/>
    <w:rsid w:val="00042B84"/>
    <w:rsid w:val="00042D23"/>
    <w:rsid w:val="00042E23"/>
    <w:rsid w:val="00042FB5"/>
    <w:rsid w:val="00043FEC"/>
    <w:rsid w:val="000443E3"/>
    <w:rsid w:val="00044474"/>
    <w:rsid w:val="00044B3D"/>
    <w:rsid w:val="0004656C"/>
    <w:rsid w:val="000514DF"/>
    <w:rsid w:val="00051A41"/>
    <w:rsid w:val="0005212C"/>
    <w:rsid w:val="000532C2"/>
    <w:rsid w:val="00053B75"/>
    <w:rsid w:val="000543F8"/>
    <w:rsid w:val="00054764"/>
    <w:rsid w:val="00055E31"/>
    <w:rsid w:val="00056AD4"/>
    <w:rsid w:val="00056F08"/>
    <w:rsid w:val="000574CD"/>
    <w:rsid w:val="000606A0"/>
    <w:rsid w:val="00060C53"/>
    <w:rsid w:val="00062ED2"/>
    <w:rsid w:val="00062F51"/>
    <w:rsid w:val="00063625"/>
    <w:rsid w:val="0006394F"/>
    <w:rsid w:val="00063DF1"/>
    <w:rsid w:val="0006419D"/>
    <w:rsid w:val="000644CB"/>
    <w:rsid w:val="00064912"/>
    <w:rsid w:val="0006497B"/>
    <w:rsid w:val="0006565F"/>
    <w:rsid w:val="000677FC"/>
    <w:rsid w:val="000707A5"/>
    <w:rsid w:val="000708A8"/>
    <w:rsid w:val="00070EBD"/>
    <w:rsid w:val="0007118E"/>
    <w:rsid w:val="00071A9F"/>
    <w:rsid w:val="00071B7D"/>
    <w:rsid w:val="00071EA6"/>
    <w:rsid w:val="000721CE"/>
    <w:rsid w:val="000728CD"/>
    <w:rsid w:val="0007422A"/>
    <w:rsid w:val="00074871"/>
    <w:rsid w:val="0007573B"/>
    <w:rsid w:val="00075883"/>
    <w:rsid w:val="000774EA"/>
    <w:rsid w:val="00077626"/>
    <w:rsid w:val="0007764B"/>
    <w:rsid w:val="00081340"/>
    <w:rsid w:val="0008290E"/>
    <w:rsid w:val="00082C39"/>
    <w:rsid w:val="00082CD9"/>
    <w:rsid w:val="000830B7"/>
    <w:rsid w:val="00083AEA"/>
    <w:rsid w:val="00084F73"/>
    <w:rsid w:val="000856BE"/>
    <w:rsid w:val="00085BB9"/>
    <w:rsid w:val="00086510"/>
    <w:rsid w:val="0008670F"/>
    <w:rsid w:val="000878AF"/>
    <w:rsid w:val="00090D80"/>
    <w:rsid w:val="00090F42"/>
    <w:rsid w:val="00091008"/>
    <w:rsid w:val="00091223"/>
    <w:rsid w:val="000914EA"/>
    <w:rsid w:val="000915F2"/>
    <w:rsid w:val="00092499"/>
    <w:rsid w:val="000927D6"/>
    <w:rsid w:val="000930A6"/>
    <w:rsid w:val="000936E0"/>
    <w:rsid w:val="0009384A"/>
    <w:rsid w:val="000945B9"/>
    <w:rsid w:val="0009481D"/>
    <w:rsid w:val="00094A74"/>
    <w:rsid w:val="00095CC9"/>
    <w:rsid w:val="00095CEC"/>
    <w:rsid w:val="00095FE9"/>
    <w:rsid w:val="00096444"/>
    <w:rsid w:val="000A0E32"/>
    <w:rsid w:val="000A120B"/>
    <w:rsid w:val="000A1724"/>
    <w:rsid w:val="000A1D3E"/>
    <w:rsid w:val="000A27DA"/>
    <w:rsid w:val="000A3147"/>
    <w:rsid w:val="000A3D6E"/>
    <w:rsid w:val="000A51F0"/>
    <w:rsid w:val="000A5645"/>
    <w:rsid w:val="000A57D9"/>
    <w:rsid w:val="000A654A"/>
    <w:rsid w:val="000A6981"/>
    <w:rsid w:val="000B109B"/>
    <w:rsid w:val="000B22EB"/>
    <w:rsid w:val="000B28E3"/>
    <w:rsid w:val="000B54C9"/>
    <w:rsid w:val="000B598F"/>
    <w:rsid w:val="000B5D73"/>
    <w:rsid w:val="000B6498"/>
    <w:rsid w:val="000B6940"/>
    <w:rsid w:val="000C01A2"/>
    <w:rsid w:val="000C1042"/>
    <w:rsid w:val="000C105B"/>
    <w:rsid w:val="000C3D5F"/>
    <w:rsid w:val="000C44C7"/>
    <w:rsid w:val="000C584B"/>
    <w:rsid w:val="000C59D4"/>
    <w:rsid w:val="000C69D2"/>
    <w:rsid w:val="000C69F0"/>
    <w:rsid w:val="000C7124"/>
    <w:rsid w:val="000D0CFA"/>
    <w:rsid w:val="000D1FD6"/>
    <w:rsid w:val="000D3B24"/>
    <w:rsid w:val="000D3F5E"/>
    <w:rsid w:val="000D45B7"/>
    <w:rsid w:val="000D4ECA"/>
    <w:rsid w:val="000D5C91"/>
    <w:rsid w:val="000D6FE2"/>
    <w:rsid w:val="000D7B71"/>
    <w:rsid w:val="000D7E28"/>
    <w:rsid w:val="000E0172"/>
    <w:rsid w:val="000E0C29"/>
    <w:rsid w:val="000E1524"/>
    <w:rsid w:val="000E1682"/>
    <w:rsid w:val="000E260A"/>
    <w:rsid w:val="000E2A67"/>
    <w:rsid w:val="000E3A53"/>
    <w:rsid w:val="000E3FBE"/>
    <w:rsid w:val="000E4D77"/>
    <w:rsid w:val="000E6582"/>
    <w:rsid w:val="000E727C"/>
    <w:rsid w:val="000E7C73"/>
    <w:rsid w:val="000F01F4"/>
    <w:rsid w:val="000F038F"/>
    <w:rsid w:val="000F048A"/>
    <w:rsid w:val="000F062D"/>
    <w:rsid w:val="000F0684"/>
    <w:rsid w:val="000F07B6"/>
    <w:rsid w:val="000F0984"/>
    <w:rsid w:val="000F1404"/>
    <w:rsid w:val="000F203A"/>
    <w:rsid w:val="000F2241"/>
    <w:rsid w:val="000F3B93"/>
    <w:rsid w:val="000F563E"/>
    <w:rsid w:val="000F59B4"/>
    <w:rsid w:val="000F5E25"/>
    <w:rsid w:val="000F7816"/>
    <w:rsid w:val="000F7875"/>
    <w:rsid w:val="001004E2"/>
    <w:rsid w:val="00102B5B"/>
    <w:rsid w:val="001030C8"/>
    <w:rsid w:val="00103638"/>
    <w:rsid w:val="00103EEF"/>
    <w:rsid w:val="00104FF8"/>
    <w:rsid w:val="00105BC7"/>
    <w:rsid w:val="00105E59"/>
    <w:rsid w:val="00106E5A"/>
    <w:rsid w:val="00110644"/>
    <w:rsid w:val="001106F5"/>
    <w:rsid w:val="00110A54"/>
    <w:rsid w:val="001113FB"/>
    <w:rsid w:val="00111689"/>
    <w:rsid w:val="00111E01"/>
    <w:rsid w:val="00113AA5"/>
    <w:rsid w:val="001141E9"/>
    <w:rsid w:val="00114663"/>
    <w:rsid w:val="00114933"/>
    <w:rsid w:val="00114D80"/>
    <w:rsid w:val="001153A2"/>
    <w:rsid w:val="0011608A"/>
    <w:rsid w:val="001173B7"/>
    <w:rsid w:val="00117771"/>
    <w:rsid w:val="0012027F"/>
    <w:rsid w:val="0012037B"/>
    <w:rsid w:val="0012069A"/>
    <w:rsid w:val="00121012"/>
    <w:rsid w:val="00121298"/>
    <w:rsid w:val="001217B1"/>
    <w:rsid w:val="00122007"/>
    <w:rsid w:val="001221E6"/>
    <w:rsid w:val="00122983"/>
    <w:rsid w:val="0012412F"/>
    <w:rsid w:val="00124571"/>
    <w:rsid w:val="0012491A"/>
    <w:rsid w:val="00124A39"/>
    <w:rsid w:val="00124ED0"/>
    <w:rsid w:val="001250F3"/>
    <w:rsid w:val="001255EA"/>
    <w:rsid w:val="00125885"/>
    <w:rsid w:val="00125BD9"/>
    <w:rsid w:val="001269C9"/>
    <w:rsid w:val="001277A9"/>
    <w:rsid w:val="00127BF4"/>
    <w:rsid w:val="00127FAA"/>
    <w:rsid w:val="001308C4"/>
    <w:rsid w:val="00130BD0"/>
    <w:rsid w:val="00130CB8"/>
    <w:rsid w:val="0013100C"/>
    <w:rsid w:val="0013179C"/>
    <w:rsid w:val="001322CF"/>
    <w:rsid w:val="00132BA6"/>
    <w:rsid w:val="00132E7B"/>
    <w:rsid w:val="001331A7"/>
    <w:rsid w:val="001339A9"/>
    <w:rsid w:val="00134313"/>
    <w:rsid w:val="00134662"/>
    <w:rsid w:val="001349FA"/>
    <w:rsid w:val="00135AFA"/>
    <w:rsid w:val="00135EFC"/>
    <w:rsid w:val="00136030"/>
    <w:rsid w:val="00136A50"/>
    <w:rsid w:val="0013715E"/>
    <w:rsid w:val="00140C9F"/>
    <w:rsid w:val="00140CC2"/>
    <w:rsid w:val="00141B42"/>
    <w:rsid w:val="0014280D"/>
    <w:rsid w:val="00143D56"/>
    <w:rsid w:val="00146F90"/>
    <w:rsid w:val="00147FB6"/>
    <w:rsid w:val="00150004"/>
    <w:rsid w:val="00150B35"/>
    <w:rsid w:val="00150BFD"/>
    <w:rsid w:val="001531B3"/>
    <w:rsid w:val="0015372C"/>
    <w:rsid w:val="00153B90"/>
    <w:rsid w:val="00154633"/>
    <w:rsid w:val="001551D5"/>
    <w:rsid w:val="00155805"/>
    <w:rsid w:val="001561FE"/>
    <w:rsid w:val="0015626C"/>
    <w:rsid w:val="0015647C"/>
    <w:rsid w:val="00156595"/>
    <w:rsid w:val="00156645"/>
    <w:rsid w:val="00156F74"/>
    <w:rsid w:val="00157EB4"/>
    <w:rsid w:val="001604EE"/>
    <w:rsid w:val="0016067E"/>
    <w:rsid w:val="00160786"/>
    <w:rsid w:val="001608B7"/>
    <w:rsid w:val="0016118E"/>
    <w:rsid w:val="00161B3C"/>
    <w:rsid w:val="00161DF9"/>
    <w:rsid w:val="00162734"/>
    <w:rsid w:val="00162A29"/>
    <w:rsid w:val="00162EEB"/>
    <w:rsid w:val="001631E4"/>
    <w:rsid w:val="001632AD"/>
    <w:rsid w:val="00164163"/>
    <w:rsid w:val="0016430F"/>
    <w:rsid w:val="00164445"/>
    <w:rsid w:val="00164913"/>
    <w:rsid w:val="0016583B"/>
    <w:rsid w:val="00165968"/>
    <w:rsid w:val="00166318"/>
    <w:rsid w:val="00166B1E"/>
    <w:rsid w:val="0016704D"/>
    <w:rsid w:val="0016758A"/>
    <w:rsid w:val="00170D56"/>
    <w:rsid w:val="0017121E"/>
    <w:rsid w:val="001728DA"/>
    <w:rsid w:val="00172F31"/>
    <w:rsid w:val="00174372"/>
    <w:rsid w:val="0017466E"/>
    <w:rsid w:val="001746DD"/>
    <w:rsid w:val="00174B8D"/>
    <w:rsid w:val="00175D6E"/>
    <w:rsid w:val="0017635B"/>
    <w:rsid w:val="00176A5B"/>
    <w:rsid w:val="0017795B"/>
    <w:rsid w:val="0018074C"/>
    <w:rsid w:val="001809A9"/>
    <w:rsid w:val="00181867"/>
    <w:rsid w:val="0018256F"/>
    <w:rsid w:val="001842B5"/>
    <w:rsid w:val="001842F2"/>
    <w:rsid w:val="0018443E"/>
    <w:rsid w:val="00184679"/>
    <w:rsid w:val="00186C75"/>
    <w:rsid w:val="0018734C"/>
    <w:rsid w:val="001901D4"/>
    <w:rsid w:val="001901E2"/>
    <w:rsid w:val="00190D61"/>
    <w:rsid w:val="00190FE0"/>
    <w:rsid w:val="001919F2"/>
    <w:rsid w:val="00192E26"/>
    <w:rsid w:val="001936A4"/>
    <w:rsid w:val="00193C36"/>
    <w:rsid w:val="00193C77"/>
    <w:rsid w:val="00194A84"/>
    <w:rsid w:val="00195234"/>
    <w:rsid w:val="00195AC9"/>
    <w:rsid w:val="00196060"/>
    <w:rsid w:val="001966C7"/>
    <w:rsid w:val="00197D5B"/>
    <w:rsid w:val="001A03D7"/>
    <w:rsid w:val="001A1DC1"/>
    <w:rsid w:val="001A1ED0"/>
    <w:rsid w:val="001A2015"/>
    <w:rsid w:val="001A2E4F"/>
    <w:rsid w:val="001A334F"/>
    <w:rsid w:val="001A5113"/>
    <w:rsid w:val="001A5586"/>
    <w:rsid w:val="001A5AC1"/>
    <w:rsid w:val="001A5EF4"/>
    <w:rsid w:val="001A603F"/>
    <w:rsid w:val="001A6597"/>
    <w:rsid w:val="001A7760"/>
    <w:rsid w:val="001A7A6B"/>
    <w:rsid w:val="001A7BF3"/>
    <w:rsid w:val="001A7D7F"/>
    <w:rsid w:val="001B0600"/>
    <w:rsid w:val="001B0A82"/>
    <w:rsid w:val="001B0CC9"/>
    <w:rsid w:val="001B2793"/>
    <w:rsid w:val="001B3000"/>
    <w:rsid w:val="001B367C"/>
    <w:rsid w:val="001B3D8F"/>
    <w:rsid w:val="001B52F9"/>
    <w:rsid w:val="001B56E5"/>
    <w:rsid w:val="001B5D1F"/>
    <w:rsid w:val="001B62A4"/>
    <w:rsid w:val="001B6667"/>
    <w:rsid w:val="001B7327"/>
    <w:rsid w:val="001B76D6"/>
    <w:rsid w:val="001B7D9A"/>
    <w:rsid w:val="001C1530"/>
    <w:rsid w:val="001C175C"/>
    <w:rsid w:val="001C3466"/>
    <w:rsid w:val="001C395E"/>
    <w:rsid w:val="001C39B5"/>
    <w:rsid w:val="001C59AD"/>
    <w:rsid w:val="001C59E3"/>
    <w:rsid w:val="001C7994"/>
    <w:rsid w:val="001C7F0D"/>
    <w:rsid w:val="001D1221"/>
    <w:rsid w:val="001D1253"/>
    <w:rsid w:val="001D1638"/>
    <w:rsid w:val="001D1895"/>
    <w:rsid w:val="001D1A41"/>
    <w:rsid w:val="001D1F33"/>
    <w:rsid w:val="001D2955"/>
    <w:rsid w:val="001D316F"/>
    <w:rsid w:val="001D3651"/>
    <w:rsid w:val="001D3B8F"/>
    <w:rsid w:val="001D3DA8"/>
    <w:rsid w:val="001D4842"/>
    <w:rsid w:val="001D5816"/>
    <w:rsid w:val="001D5A39"/>
    <w:rsid w:val="001D5ECF"/>
    <w:rsid w:val="001D6CAC"/>
    <w:rsid w:val="001E029C"/>
    <w:rsid w:val="001E05A8"/>
    <w:rsid w:val="001E19F6"/>
    <w:rsid w:val="001E1BF2"/>
    <w:rsid w:val="001E38CD"/>
    <w:rsid w:val="001E506E"/>
    <w:rsid w:val="001E51A0"/>
    <w:rsid w:val="001E55DB"/>
    <w:rsid w:val="001E5FC4"/>
    <w:rsid w:val="001E7CD6"/>
    <w:rsid w:val="001F0450"/>
    <w:rsid w:val="001F0AD0"/>
    <w:rsid w:val="001F1711"/>
    <w:rsid w:val="001F1FEF"/>
    <w:rsid w:val="001F2890"/>
    <w:rsid w:val="001F4020"/>
    <w:rsid w:val="001F485A"/>
    <w:rsid w:val="001F4B67"/>
    <w:rsid w:val="001F5290"/>
    <w:rsid w:val="001F55C9"/>
    <w:rsid w:val="001F58CF"/>
    <w:rsid w:val="001F6AC4"/>
    <w:rsid w:val="001F7453"/>
    <w:rsid w:val="001F751B"/>
    <w:rsid w:val="001F7D59"/>
    <w:rsid w:val="00200079"/>
    <w:rsid w:val="002009B1"/>
    <w:rsid w:val="00200F10"/>
    <w:rsid w:val="00201152"/>
    <w:rsid w:val="00201CF3"/>
    <w:rsid w:val="00202CAC"/>
    <w:rsid w:val="0020355F"/>
    <w:rsid w:val="002042C9"/>
    <w:rsid w:val="00204650"/>
    <w:rsid w:val="002046DC"/>
    <w:rsid w:val="00204B91"/>
    <w:rsid w:val="002051C0"/>
    <w:rsid w:val="0020684B"/>
    <w:rsid w:val="00206FF4"/>
    <w:rsid w:val="002072CF"/>
    <w:rsid w:val="002078D5"/>
    <w:rsid w:val="00207CE6"/>
    <w:rsid w:val="00207F1A"/>
    <w:rsid w:val="00210EF7"/>
    <w:rsid w:val="00212B57"/>
    <w:rsid w:val="00213132"/>
    <w:rsid w:val="00213ABF"/>
    <w:rsid w:val="002140E5"/>
    <w:rsid w:val="002164DC"/>
    <w:rsid w:val="00217297"/>
    <w:rsid w:val="00220191"/>
    <w:rsid w:val="00220D1B"/>
    <w:rsid w:val="002224B3"/>
    <w:rsid w:val="00222CAA"/>
    <w:rsid w:val="00224353"/>
    <w:rsid w:val="00224620"/>
    <w:rsid w:val="00224B97"/>
    <w:rsid w:val="00224F40"/>
    <w:rsid w:val="00226A7E"/>
    <w:rsid w:val="00227123"/>
    <w:rsid w:val="00227645"/>
    <w:rsid w:val="00230771"/>
    <w:rsid w:val="0023252F"/>
    <w:rsid w:val="0023274B"/>
    <w:rsid w:val="00232813"/>
    <w:rsid w:val="002336DA"/>
    <w:rsid w:val="002338CB"/>
    <w:rsid w:val="00234E60"/>
    <w:rsid w:val="00235ED7"/>
    <w:rsid w:val="00235F15"/>
    <w:rsid w:val="0023636D"/>
    <w:rsid w:val="002366D5"/>
    <w:rsid w:val="00237F8F"/>
    <w:rsid w:val="00240997"/>
    <w:rsid w:val="00241C2E"/>
    <w:rsid w:val="00242550"/>
    <w:rsid w:val="00242C22"/>
    <w:rsid w:val="0024480F"/>
    <w:rsid w:val="00245C66"/>
    <w:rsid w:val="002461C9"/>
    <w:rsid w:val="0024789C"/>
    <w:rsid w:val="002503BE"/>
    <w:rsid w:val="002505AD"/>
    <w:rsid w:val="00250897"/>
    <w:rsid w:val="002509DE"/>
    <w:rsid w:val="00250E6E"/>
    <w:rsid w:val="00251705"/>
    <w:rsid w:val="0025172D"/>
    <w:rsid w:val="002518CA"/>
    <w:rsid w:val="0025214D"/>
    <w:rsid w:val="00252427"/>
    <w:rsid w:val="002542D7"/>
    <w:rsid w:val="00254AA3"/>
    <w:rsid w:val="00254DA1"/>
    <w:rsid w:val="00255CBE"/>
    <w:rsid w:val="00255CDD"/>
    <w:rsid w:val="00255F32"/>
    <w:rsid w:val="002561B6"/>
    <w:rsid w:val="00256890"/>
    <w:rsid w:val="00256DF1"/>
    <w:rsid w:val="00256E96"/>
    <w:rsid w:val="0025756B"/>
    <w:rsid w:val="002577FC"/>
    <w:rsid w:val="00262373"/>
    <w:rsid w:val="00262EDB"/>
    <w:rsid w:val="002640AE"/>
    <w:rsid w:val="002642A0"/>
    <w:rsid w:val="00264514"/>
    <w:rsid w:val="00265FC6"/>
    <w:rsid w:val="00266599"/>
    <w:rsid w:val="002667A2"/>
    <w:rsid w:val="00266A98"/>
    <w:rsid w:val="00270102"/>
    <w:rsid w:val="00271B8E"/>
    <w:rsid w:val="00271ED9"/>
    <w:rsid w:val="00272085"/>
    <w:rsid w:val="00273157"/>
    <w:rsid w:val="002734FA"/>
    <w:rsid w:val="0027372E"/>
    <w:rsid w:val="00274037"/>
    <w:rsid w:val="00275178"/>
    <w:rsid w:val="00275533"/>
    <w:rsid w:val="002755A2"/>
    <w:rsid w:val="002768A7"/>
    <w:rsid w:val="00276DD0"/>
    <w:rsid w:val="002774D7"/>
    <w:rsid w:val="00277BA7"/>
    <w:rsid w:val="00281C69"/>
    <w:rsid w:val="00282F96"/>
    <w:rsid w:val="002830F9"/>
    <w:rsid w:val="002833AE"/>
    <w:rsid w:val="0028465D"/>
    <w:rsid w:val="00284760"/>
    <w:rsid w:val="00284C36"/>
    <w:rsid w:val="002851B3"/>
    <w:rsid w:val="00285312"/>
    <w:rsid w:val="002855F4"/>
    <w:rsid w:val="002863C3"/>
    <w:rsid w:val="0028681C"/>
    <w:rsid w:val="002878F9"/>
    <w:rsid w:val="00287FB5"/>
    <w:rsid w:val="00290610"/>
    <w:rsid w:val="00290673"/>
    <w:rsid w:val="002913F4"/>
    <w:rsid w:val="002914E8"/>
    <w:rsid w:val="002923C2"/>
    <w:rsid w:val="00292B99"/>
    <w:rsid w:val="00293C93"/>
    <w:rsid w:val="002954B2"/>
    <w:rsid w:val="00295D3E"/>
    <w:rsid w:val="00295F34"/>
    <w:rsid w:val="00296054"/>
    <w:rsid w:val="00296334"/>
    <w:rsid w:val="002966BB"/>
    <w:rsid w:val="00297A02"/>
    <w:rsid w:val="00297CA2"/>
    <w:rsid w:val="002A15AA"/>
    <w:rsid w:val="002A207F"/>
    <w:rsid w:val="002A23BA"/>
    <w:rsid w:val="002A47AF"/>
    <w:rsid w:val="002A4AEA"/>
    <w:rsid w:val="002A52A0"/>
    <w:rsid w:val="002A5576"/>
    <w:rsid w:val="002A55AF"/>
    <w:rsid w:val="002A56AD"/>
    <w:rsid w:val="002A686A"/>
    <w:rsid w:val="002A6902"/>
    <w:rsid w:val="002A6E43"/>
    <w:rsid w:val="002A71E6"/>
    <w:rsid w:val="002A73F3"/>
    <w:rsid w:val="002A7D07"/>
    <w:rsid w:val="002B018A"/>
    <w:rsid w:val="002B0DED"/>
    <w:rsid w:val="002B215F"/>
    <w:rsid w:val="002B2318"/>
    <w:rsid w:val="002B267C"/>
    <w:rsid w:val="002B3468"/>
    <w:rsid w:val="002B3BB2"/>
    <w:rsid w:val="002B3F1C"/>
    <w:rsid w:val="002B4A38"/>
    <w:rsid w:val="002B5FCC"/>
    <w:rsid w:val="002B69EA"/>
    <w:rsid w:val="002B6DB2"/>
    <w:rsid w:val="002B759E"/>
    <w:rsid w:val="002B7E5D"/>
    <w:rsid w:val="002C1B11"/>
    <w:rsid w:val="002C2182"/>
    <w:rsid w:val="002C2E12"/>
    <w:rsid w:val="002C327E"/>
    <w:rsid w:val="002C3B0C"/>
    <w:rsid w:val="002C4967"/>
    <w:rsid w:val="002C5795"/>
    <w:rsid w:val="002C64DD"/>
    <w:rsid w:val="002C6BF7"/>
    <w:rsid w:val="002C7275"/>
    <w:rsid w:val="002C77A7"/>
    <w:rsid w:val="002D0169"/>
    <w:rsid w:val="002D0345"/>
    <w:rsid w:val="002D17E4"/>
    <w:rsid w:val="002D1CD9"/>
    <w:rsid w:val="002D2B7A"/>
    <w:rsid w:val="002D2F1B"/>
    <w:rsid w:val="002D33C5"/>
    <w:rsid w:val="002D4029"/>
    <w:rsid w:val="002D5ECE"/>
    <w:rsid w:val="002D679A"/>
    <w:rsid w:val="002D713C"/>
    <w:rsid w:val="002D763B"/>
    <w:rsid w:val="002E0140"/>
    <w:rsid w:val="002E0424"/>
    <w:rsid w:val="002E050F"/>
    <w:rsid w:val="002E0C55"/>
    <w:rsid w:val="002E189F"/>
    <w:rsid w:val="002E201A"/>
    <w:rsid w:val="002E237D"/>
    <w:rsid w:val="002E238F"/>
    <w:rsid w:val="002E3C22"/>
    <w:rsid w:val="002E45C1"/>
    <w:rsid w:val="002E4D5C"/>
    <w:rsid w:val="002E54EB"/>
    <w:rsid w:val="002E58BE"/>
    <w:rsid w:val="002E6592"/>
    <w:rsid w:val="002E681C"/>
    <w:rsid w:val="002E79D0"/>
    <w:rsid w:val="002F0132"/>
    <w:rsid w:val="002F0D2A"/>
    <w:rsid w:val="002F27A1"/>
    <w:rsid w:val="002F27D4"/>
    <w:rsid w:val="002F2C10"/>
    <w:rsid w:val="002F3D9B"/>
    <w:rsid w:val="002F3F4F"/>
    <w:rsid w:val="002F49B5"/>
    <w:rsid w:val="002F4C2C"/>
    <w:rsid w:val="002F5E79"/>
    <w:rsid w:val="002F7639"/>
    <w:rsid w:val="002F77FD"/>
    <w:rsid w:val="003004F2"/>
    <w:rsid w:val="00301DD3"/>
    <w:rsid w:val="00302232"/>
    <w:rsid w:val="003036E1"/>
    <w:rsid w:val="003042B4"/>
    <w:rsid w:val="00304C71"/>
    <w:rsid w:val="00305771"/>
    <w:rsid w:val="00305888"/>
    <w:rsid w:val="00305A04"/>
    <w:rsid w:val="00305AB0"/>
    <w:rsid w:val="0031018D"/>
    <w:rsid w:val="00310BB3"/>
    <w:rsid w:val="003118A8"/>
    <w:rsid w:val="00312026"/>
    <w:rsid w:val="00312D36"/>
    <w:rsid w:val="00312E6E"/>
    <w:rsid w:val="003131F9"/>
    <w:rsid w:val="00313EFE"/>
    <w:rsid w:val="00314D0B"/>
    <w:rsid w:val="0031516F"/>
    <w:rsid w:val="00315846"/>
    <w:rsid w:val="00315DDA"/>
    <w:rsid w:val="00315EDD"/>
    <w:rsid w:val="00316E9D"/>
    <w:rsid w:val="0031740C"/>
    <w:rsid w:val="00317BDF"/>
    <w:rsid w:val="00317E21"/>
    <w:rsid w:val="003206C2"/>
    <w:rsid w:val="00320A0E"/>
    <w:rsid w:val="00321F54"/>
    <w:rsid w:val="003231CC"/>
    <w:rsid w:val="00325002"/>
    <w:rsid w:val="0032567A"/>
    <w:rsid w:val="0032582B"/>
    <w:rsid w:val="003261BA"/>
    <w:rsid w:val="00326249"/>
    <w:rsid w:val="00326264"/>
    <w:rsid w:val="00327BF3"/>
    <w:rsid w:val="003302F4"/>
    <w:rsid w:val="00330EFB"/>
    <w:rsid w:val="00331AB1"/>
    <w:rsid w:val="00332E9E"/>
    <w:rsid w:val="00333CAA"/>
    <w:rsid w:val="00333E96"/>
    <w:rsid w:val="003343F3"/>
    <w:rsid w:val="0033699A"/>
    <w:rsid w:val="00336E7A"/>
    <w:rsid w:val="003371C2"/>
    <w:rsid w:val="00337347"/>
    <w:rsid w:val="0034095A"/>
    <w:rsid w:val="00340A3E"/>
    <w:rsid w:val="00340EF4"/>
    <w:rsid w:val="00341FD1"/>
    <w:rsid w:val="00342136"/>
    <w:rsid w:val="0034356E"/>
    <w:rsid w:val="0034377F"/>
    <w:rsid w:val="00343EB1"/>
    <w:rsid w:val="003442E9"/>
    <w:rsid w:val="0034459C"/>
    <w:rsid w:val="00344E34"/>
    <w:rsid w:val="00344E72"/>
    <w:rsid w:val="00345258"/>
    <w:rsid w:val="003453D1"/>
    <w:rsid w:val="003458A3"/>
    <w:rsid w:val="00345C47"/>
    <w:rsid w:val="00346B5D"/>
    <w:rsid w:val="00346D3A"/>
    <w:rsid w:val="00347187"/>
    <w:rsid w:val="00347435"/>
    <w:rsid w:val="00347E30"/>
    <w:rsid w:val="003503D5"/>
    <w:rsid w:val="00350803"/>
    <w:rsid w:val="00351701"/>
    <w:rsid w:val="0035257A"/>
    <w:rsid w:val="00352E55"/>
    <w:rsid w:val="00352EA2"/>
    <w:rsid w:val="0035405B"/>
    <w:rsid w:val="0035427C"/>
    <w:rsid w:val="003549C7"/>
    <w:rsid w:val="00355766"/>
    <w:rsid w:val="00356E2C"/>
    <w:rsid w:val="003575B1"/>
    <w:rsid w:val="00360BEC"/>
    <w:rsid w:val="00360DDB"/>
    <w:rsid w:val="00361D1A"/>
    <w:rsid w:val="00361F0F"/>
    <w:rsid w:val="00362B42"/>
    <w:rsid w:val="003637E2"/>
    <w:rsid w:val="003657C2"/>
    <w:rsid w:val="00365BD5"/>
    <w:rsid w:val="00366580"/>
    <w:rsid w:val="00366D3D"/>
    <w:rsid w:val="0036798D"/>
    <w:rsid w:val="00370B51"/>
    <w:rsid w:val="0037264B"/>
    <w:rsid w:val="00372976"/>
    <w:rsid w:val="00372CB4"/>
    <w:rsid w:val="00372DCD"/>
    <w:rsid w:val="003732E2"/>
    <w:rsid w:val="0037418A"/>
    <w:rsid w:val="00374592"/>
    <w:rsid w:val="003758B4"/>
    <w:rsid w:val="003774CD"/>
    <w:rsid w:val="0037786C"/>
    <w:rsid w:val="0037799B"/>
    <w:rsid w:val="00377C75"/>
    <w:rsid w:val="0038187D"/>
    <w:rsid w:val="00382403"/>
    <w:rsid w:val="003827A9"/>
    <w:rsid w:val="00382AAD"/>
    <w:rsid w:val="00382BBB"/>
    <w:rsid w:val="003837BD"/>
    <w:rsid w:val="00386239"/>
    <w:rsid w:val="00386788"/>
    <w:rsid w:val="00386A88"/>
    <w:rsid w:val="00386C5B"/>
    <w:rsid w:val="00387864"/>
    <w:rsid w:val="00387C61"/>
    <w:rsid w:val="0039177E"/>
    <w:rsid w:val="00391828"/>
    <w:rsid w:val="003918BA"/>
    <w:rsid w:val="0039220E"/>
    <w:rsid w:val="00392318"/>
    <w:rsid w:val="0039376C"/>
    <w:rsid w:val="00393E84"/>
    <w:rsid w:val="003947EF"/>
    <w:rsid w:val="00395747"/>
    <w:rsid w:val="003963E0"/>
    <w:rsid w:val="00396750"/>
    <w:rsid w:val="0039765C"/>
    <w:rsid w:val="00397F5C"/>
    <w:rsid w:val="003A0004"/>
    <w:rsid w:val="003A098F"/>
    <w:rsid w:val="003A0D55"/>
    <w:rsid w:val="003A19B7"/>
    <w:rsid w:val="003A1A16"/>
    <w:rsid w:val="003A1BB0"/>
    <w:rsid w:val="003A31FB"/>
    <w:rsid w:val="003A3DDE"/>
    <w:rsid w:val="003A4CD0"/>
    <w:rsid w:val="003A53E2"/>
    <w:rsid w:val="003A558B"/>
    <w:rsid w:val="003A5975"/>
    <w:rsid w:val="003A62C6"/>
    <w:rsid w:val="003A6608"/>
    <w:rsid w:val="003A7C25"/>
    <w:rsid w:val="003B0375"/>
    <w:rsid w:val="003B03EE"/>
    <w:rsid w:val="003B0D54"/>
    <w:rsid w:val="003B0F77"/>
    <w:rsid w:val="003B1634"/>
    <w:rsid w:val="003B1A21"/>
    <w:rsid w:val="003B1DDC"/>
    <w:rsid w:val="003B302C"/>
    <w:rsid w:val="003B312E"/>
    <w:rsid w:val="003B31C1"/>
    <w:rsid w:val="003B34F3"/>
    <w:rsid w:val="003B3823"/>
    <w:rsid w:val="003B413D"/>
    <w:rsid w:val="003B4B45"/>
    <w:rsid w:val="003B5077"/>
    <w:rsid w:val="003B51EF"/>
    <w:rsid w:val="003B5CE8"/>
    <w:rsid w:val="003B6433"/>
    <w:rsid w:val="003B69E4"/>
    <w:rsid w:val="003B75FD"/>
    <w:rsid w:val="003C06B4"/>
    <w:rsid w:val="003C1E63"/>
    <w:rsid w:val="003C2342"/>
    <w:rsid w:val="003C2B0E"/>
    <w:rsid w:val="003C30FE"/>
    <w:rsid w:val="003C3C8F"/>
    <w:rsid w:val="003C3D85"/>
    <w:rsid w:val="003C3DC4"/>
    <w:rsid w:val="003C432A"/>
    <w:rsid w:val="003C44EC"/>
    <w:rsid w:val="003C4986"/>
    <w:rsid w:val="003C54F2"/>
    <w:rsid w:val="003C591A"/>
    <w:rsid w:val="003C60D0"/>
    <w:rsid w:val="003C6605"/>
    <w:rsid w:val="003C7793"/>
    <w:rsid w:val="003C77C8"/>
    <w:rsid w:val="003C7BC3"/>
    <w:rsid w:val="003D0282"/>
    <w:rsid w:val="003D066C"/>
    <w:rsid w:val="003D0FFF"/>
    <w:rsid w:val="003D137F"/>
    <w:rsid w:val="003D169D"/>
    <w:rsid w:val="003D2361"/>
    <w:rsid w:val="003D28A9"/>
    <w:rsid w:val="003D4FF6"/>
    <w:rsid w:val="003D53B7"/>
    <w:rsid w:val="003D62A6"/>
    <w:rsid w:val="003D654B"/>
    <w:rsid w:val="003D7D89"/>
    <w:rsid w:val="003E021D"/>
    <w:rsid w:val="003E0A58"/>
    <w:rsid w:val="003E0D85"/>
    <w:rsid w:val="003E1382"/>
    <w:rsid w:val="003E1565"/>
    <w:rsid w:val="003E33EA"/>
    <w:rsid w:val="003E3DC5"/>
    <w:rsid w:val="003E58B2"/>
    <w:rsid w:val="003E5A2A"/>
    <w:rsid w:val="003E5D94"/>
    <w:rsid w:val="003E66E8"/>
    <w:rsid w:val="003E766D"/>
    <w:rsid w:val="003F00EE"/>
    <w:rsid w:val="003F1CBE"/>
    <w:rsid w:val="003F28CA"/>
    <w:rsid w:val="003F3E7B"/>
    <w:rsid w:val="003F54ED"/>
    <w:rsid w:val="003F6027"/>
    <w:rsid w:val="003F61F3"/>
    <w:rsid w:val="003F68A6"/>
    <w:rsid w:val="004006ED"/>
    <w:rsid w:val="00400752"/>
    <w:rsid w:val="00400E42"/>
    <w:rsid w:val="0040164B"/>
    <w:rsid w:val="00401F78"/>
    <w:rsid w:val="00402061"/>
    <w:rsid w:val="00402F40"/>
    <w:rsid w:val="0040304E"/>
    <w:rsid w:val="0040453A"/>
    <w:rsid w:val="004048E2"/>
    <w:rsid w:val="00404E15"/>
    <w:rsid w:val="0040656E"/>
    <w:rsid w:val="00406BB5"/>
    <w:rsid w:val="00406FA3"/>
    <w:rsid w:val="004103FB"/>
    <w:rsid w:val="00410FF3"/>
    <w:rsid w:val="0041160E"/>
    <w:rsid w:val="00411675"/>
    <w:rsid w:val="00411743"/>
    <w:rsid w:val="004118A2"/>
    <w:rsid w:val="00411AF3"/>
    <w:rsid w:val="00412B72"/>
    <w:rsid w:val="00412D0F"/>
    <w:rsid w:val="00413961"/>
    <w:rsid w:val="00413B47"/>
    <w:rsid w:val="00414137"/>
    <w:rsid w:val="004144C0"/>
    <w:rsid w:val="004149D7"/>
    <w:rsid w:val="00414E99"/>
    <w:rsid w:val="00415A5C"/>
    <w:rsid w:val="00415B3A"/>
    <w:rsid w:val="00416AD1"/>
    <w:rsid w:val="00417EE0"/>
    <w:rsid w:val="00420F5A"/>
    <w:rsid w:val="00421F2A"/>
    <w:rsid w:val="00422231"/>
    <w:rsid w:val="004223F1"/>
    <w:rsid w:val="004227E8"/>
    <w:rsid w:val="00422A1F"/>
    <w:rsid w:val="00422C88"/>
    <w:rsid w:val="004238CA"/>
    <w:rsid w:val="00424970"/>
    <w:rsid w:val="00424D5B"/>
    <w:rsid w:val="0042548C"/>
    <w:rsid w:val="00425BB9"/>
    <w:rsid w:val="00426851"/>
    <w:rsid w:val="00426BEC"/>
    <w:rsid w:val="004279E6"/>
    <w:rsid w:val="00427C78"/>
    <w:rsid w:val="00427D3B"/>
    <w:rsid w:val="00427FA1"/>
    <w:rsid w:val="00430206"/>
    <w:rsid w:val="004308E5"/>
    <w:rsid w:val="00430A36"/>
    <w:rsid w:val="00432C89"/>
    <w:rsid w:val="00434244"/>
    <w:rsid w:val="00434E12"/>
    <w:rsid w:val="00435FFF"/>
    <w:rsid w:val="00436E35"/>
    <w:rsid w:val="004374BE"/>
    <w:rsid w:val="00437993"/>
    <w:rsid w:val="00437A64"/>
    <w:rsid w:val="004415B0"/>
    <w:rsid w:val="00441B35"/>
    <w:rsid w:val="00441E24"/>
    <w:rsid w:val="00442845"/>
    <w:rsid w:val="00442B52"/>
    <w:rsid w:val="00442EE3"/>
    <w:rsid w:val="00443C90"/>
    <w:rsid w:val="00443E63"/>
    <w:rsid w:val="00444600"/>
    <w:rsid w:val="00445034"/>
    <w:rsid w:val="004457E1"/>
    <w:rsid w:val="004459FE"/>
    <w:rsid w:val="00446494"/>
    <w:rsid w:val="00446D7F"/>
    <w:rsid w:val="00446EC4"/>
    <w:rsid w:val="0044755E"/>
    <w:rsid w:val="004476F0"/>
    <w:rsid w:val="004477CE"/>
    <w:rsid w:val="00447A3B"/>
    <w:rsid w:val="0045104E"/>
    <w:rsid w:val="004510A9"/>
    <w:rsid w:val="0045170E"/>
    <w:rsid w:val="00452075"/>
    <w:rsid w:val="004521A6"/>
    <w:rsid w:val="00452231"/>
    <w:rsid w:val="00452C37"/>
    <w:rsid w:val="004534B1"/>
    <w:rsid w:val="004537AF"/>
    <w:rsid w:val="004539C1"/>
    <w:rsid w:val="0045670F"/>
    <w:rsid w:val="00456B47"/>
    <w:rsid w:val="00456CC1"/>
    <w:rsid w:val="00460330"/>
    <w:rsid w:val="0046071C"/>
    <w:rsid w:val="00460CA7"/>
    <w:rsid w:val="00460EC2"/>
    <w:rsid w:val="004618ED"/>
    <w:rsid w:val="00462EE9"/>
    <w:rsid w:val="004633DE"/>
    <w:rsid w:val="004635C2"/>
    <w:rsid w:val="00463A60"/>
    <w:rsid w:val="004645B7"/>
    <w:rsid w:val="0046551C"/>
    <w:rsid w:val="004655D7"/>
    <w:rsid w:val="00465712"/>
    <w:rsid w:val="00465E2D"/>
    <w:rsid w:val="00466B08"/>
    <w:rsid w:val="004713E0"/>
    <w:rsid w:val="00472002"/>
    <w:rsid w:val="00472172"/>
    <w:rsid w:val="004721CF"/>
    <w:rsid w:val="0047257A"/>
    <w:rsid w:val="00473386"/>
    <w:rsid w:val="0047350B"/>
    <w:rsid w:val="004746A6"/>
    <w:rsid w:val="00475154"/>
    <w:rsid w:val="00475C95"/>
    <w:rsid w:val="004766C7"/>
    <w:rsid w:val="00476C15"/>
    <w:rsid w:val="004775CB"/>
    <w:rsid w:val="00477655"/>
    <w:rsid w:val="004776CD"/>
    <w:rsid w:val="0047782E"/>
    <w:rsid w:val="00477FC7"/>
    <w:rsid w:val="0048014E"/>
    <w:rsid w:val="004806CB"/>
    <w:rsid w:val="004807FB"/>
    <w:rsid w:val="00481C2B"/>
    <w:rsid w:val="0048204E"/>
    <w:rsid w:val="004821DF"/>
    <w:rsid w:val="00483356"/>
    <w:rsid w:val="004834A0"/>
    <w:rsid w:val="00483735"/>
    <w:rsid w:val="00484313"/>
    <w:rsid w:val="00484FB8"/>
    <w:rsid w:val="0048571D"/>
    <w:rsid w:val="00487ACE"/>
    <w:rsid w:val="00490093"/>
    <w:rsid w:val="004904CA"/>
    <w:rsid w:val="004919DE"/>
    <w:rsid w:val="00491CCF"/>
    <w:rsid w:val="004922AB"/>
    <w:rsid w:val="0049289F"/>
    <w:rsid w:val="00492C3E"/>
    <w:rsid w:val="00492D09"/>
    <w:rsid w:val="00493449"/>
    <w:rsid w:val="00493C99"/>
    <w:rsid w:val="00493D15"/>
    <w:rsid w:val="00494EB6"/>
    <w:rsid w:val="00495D84"/>
    <w:rsid w:val="004965EB"/>
    <w:rsid w:val="00496964"/>
    <w:rsid w:val="00497FA3"/>
    <w:rsid w:val="004A036E"/>
    <w:rsid w:val="004A05D9"/>
    <w:rsid w:val="004A0734"/>
    <w:rsid w:val="004A0848"/>
    <w:rsid w:val="004A154F"/>
    <w:rsid w:val="004A2451"/>
    <w:rsid w:val="004A2A40"/>
    <w:rsid w:val="004A2BA8"/>
    <w:rsid w:val="004A32A8"/>
    <w:rsid w:val="004A441F"/>
    <w:rsid w:val="004A458E"/>
    <w:rsid w:val="004A4AB7"/>
    <w:rsid w:val="004A4F88"/>
    <w:rsid w:val="004A5AFE"/>
    <w:rsid w:val="004A6112"/>
    <w:rsid w:val="004A7F05"/>
    <w:rsid w:val="004B020B"/>
    <w:rsid w:val="004B0D69"/>
    <w:rsid w:val="004B22E8"/>
    <w:rsid w:val="004B2486"/>
    <w:rsid w:val="004B2610"/>
    <w:rsid w:val="004B2E72"/>
    <w:rsid w:val="004B4F5D"/>
    <w:rsid w:val="004B5E22"/>
    <w:rsid w:val="004B65E9"/>
    <w:rsid w:val="004B6A89"/>
    <w:rsid w:val="004C0184"/>
    <w:rsid w:val="004C0583"/>
    <w:rsid w:val="004C08F0"/>
    <w:rsid w:val="004C0EDA"/>
    <w:rsid w:val="004C15AE"/>
    <w:rsid w:val="004C2DB0"/>
    <w:rsid w:val="004C33E9"/>
    <w:rsid w:val="004C350B"/>
    <w:rsid w:val="004C3A7C"/>
    <w:rsid w:val="004C40A2"/>
    <w:rsid w:val="004C4398"/>
    <w:rsid w:val="004C48C5"/>
    <w:rsid w:val="004C49A4"/>
    <w:rsid w:val="004C57F2"/>
    <w:rsid w:val="004C6072"/>
    <w:rsid w:val="004C7177"/>
    <w:rsid w:val="004C7710"/>
    <w:rsid w:val="004C779F"/>
    <w:rsid w:val="004D09DD"/>
    <w:rsid w:val="004D0B8E"/>
    <w:rsid w:val="004D1123"/>
    <w:rsid w:val="004D1565"/>
    <w:rsid w:val="004D25F8"/>
    <w:rsid w:val="004D283D"/>
    <w:rsid w:val="004D2AE2"/>
    <w:rsid w:val="004D3BD5"/>
    <w:rsid w:val="004D4964"/>
    <w:rsid w:val="004D53E5"/>
    <w:rsid w:val="004D6BEE"/>
    <w:rsid w:val="004D76E7"/>
    <w:rsid w:val="004E0058"/>
    <w:rsid w:val="004E0B1C"/>
    <w:rsid w:val="004E1422"/>
    <w:rsid w:val="004E2390"/>
    <w:rsid w:val="004E2689"/>
    <w:rsid w:val="004E4230"/>
    <w:rsid w:val="004E4242"/>
    <w:rsid w:val="004E6EFF"/>
    <w:rsid w:val="004E7A58"/>
    <w:rsid w:val="004E7DA8"/>
    <w:rsid w:val="004F0408"/>
    <w:rsid w:val="004F1661"/>
    <w:rsid w:val="004F178C"/>
    <w:rsid w:val="004F1A33"/>
    <w:rsid w:val="004F1C41"/>
    <w:rsid w:val="004F2A7D"/>
    <w:rsid w:val="004F2D6C"/>
    <w:rsid w:val="004F3A85"/>
    <w:rsid w:val="004F3B77"/>
    <w:rsid w:val="004F3E2E"/>
    <w:rsid w:val="004F51EB"/>
    <w:rsid w:val="004F5457"/>
    <w:rsid w:val="004F554D"/>
    <w:rsid w:val="004F5D4F"/>
    <w:rsid w:val="004F7E24"/>
    <w:rsid w:val="00500039"/>
    <w:rsid w:val="005006AE"/>
    <w:rsid w:val="00500906"/>
    <w:rsid w:val="00501A24"/>
    <w:rsid w:val="00501ADC"/>
    <w:rsid w:val="00501DA0"/>
    <w:rsid w:val="0050224B"/>
    <w:rsid w:val="0050271A"/>
    <w:rsid w:val="00502A59"/>
    <w:rsid w:val="00507028"/>
    <w:rsid w:val="00507FB5"/>
    <w:rsid w:val="005104B1"/>
    <w:rsid w:val="0051079E"/>
    <w:rsid w:val="0051108A"/>
    <w:rsid w:val="005122DC"/>
    <w:rsid w:val="00512BFD"/>
    <w:rsid w:val="005130CA"/>
    <w:rsid w:val="0051355E"/>
    <w:rsid w:val="00513C28"/>
    <w:rsid w:val="005147D2"/>
    <w:rsid w:val="00514DE6"/>
    <w:rsid w:val="00515246"/>
    <w:rsid w:val="005157A9"/>
    <w:rsid w:val="00515ED6"/>
    <w:rsid w:val="00515FF8"/>
    <w:rsid w:val="00521682"/>
    <w:rsid w:val="005216A1"/>
    <w:rsid w:val="00521726"/>
    <w:rsid w:val="00521FBD"/>
    <w:rsid w:val="00522173"/>
    <w:rsid w:val="00522762"/>
    <w:rsid w:val="00523A53"/>
    <w:rsid w:val="005244F9"/>
    <w:rsid w:val="00525553"/>
    <w:rsid w:val="00525A7F"/>
    <w:rsid w:val="00525D12"/>
    <w:rsid w:val="00530EC0"/>
    <w:rsid w:val="005315AA"/>
    <w:rsid w:val="00531CA6"/>
    <w:rsid w:val="00532BEA"/>
    <w:rsid w:val="00533219"/>
    <w:rsid w:val="0053399F"/>
    <w:rsid w:val="00533D8A"/>
    <w:rsid w:val="00536EBB"/>
    <w:rsid w:val="00537A0B"/>
    <w:rsid w:val="0054042C"/>
    <w:rsid w:val="00540707"/>
    <w:rsid w:val="00540FF1"/>
    <w:rsid w:val="00541154"/>
    <w:rsid w:val="00541623"/>
    <w:rsid w:val="00541D10"/>
    <w:rsid w:val="00542A08"/>
    <w:rsid w:val="00542BEE"/>
    <w:rsid w:val="005433F1"/>
    <w:rsid w:val="0054381A"/>
    <w:rsid w:val="00543A47"/>
    <w:rsid w:val="005442B9"/>
    <w:rsid w:val="005459C5"/>
    <w:rsid w:val="00546111"/>
    <w:rsid w:val="0054653C"/>
    <w:rsid w:val="0054766A"/>
    <w:rsid w:val="0054798C"/>
    <w:rsid w:val="00547EEE"/>
    <w:rsid w:val="00550424"/>
    <w:rsid w:val="0055289A"/>
    <w:rsid w:val="00552A94"/>
    <w:rsid w:val="00554B83"/>
    <w:rsid w:val="00555214"/>
    <w:rsid w:val="00555516"/>
    <w:rsid w:val="00556840"/>
    <w:rsid w:val="00556ED7"/>
    <w:rsid w:val="00557691"/>
    <w:rsid w:val="00560E18"/>
    <w:rsid w:val="00560E96"/>
    <w:rsid w:val="0056112B"/>
    <w:rsid w:val="00562C4A"/>
    <w:rsid w:val="0056349F"/>
    <w:rsid w:val="005638F6"/>
    <w:rsid w:val="00563EBD"/>
    <w:rsid w:val="00564104"/>
    <w:rsid w:val="00564141"/>
    <w:rsid w:val="0056589B"/>
    <w:rsid w:val="00566379"/>
    <w:rsid w:val="00566855"/>
    <w:rsid w:val="00567154"/>
    <w:rsid w:val="00567B70"/>
    <w:rsid w:val="00567CB4"/>
    <w:rsid w:val="00570547"/>
    <w:rsid w:val="005711D7"/>
    <w:rsid w:val="005719CC"/>
    <w:rsid w:val="00571CE6"/>
    <w:rsid w:val="005727F7"/>
    <w:rsid w:val="00573656"/>
    <w:rsid w:val="00574CF1"/>
    <w:rsid w:val="0058059E"/>
    <w:rsid w:val="005807F4"/>
    <w:rsid w:val="00580D07"/>
    <w:rsid w:val="00580EA9"/>
    <w:rsid w:val="00581006"/>
    <w:rsid w:val="00581318"/>
    <w:rsid w:val="00581D5A"/>
    <w:rsid w:val="00581F37"/>
    <w:rsid w:val="005821E4"/>
    <w:rsid w:val="005822AB"/>
    <w:rsid w:val="0058240D"/>
    <w:rsid w:val="005824A6"/>
    <w:rsid w:val="00582BC7"/>
    <w:rsid w:val="00582D05"/>
    <w:rsid w:val="00582FD9"/>
    <w:rsid w:val="00583281"/>
    <w:rsid w:val="005833BD"/>
    <w:rsid w:val="005843B0"/>
    <w:rsid w:val="005849BA"/>
    <w:rsid w:val="00584ACC"/>
    <w:rsid w:val="00584DAE"/>
    <w:rsid w:val="005870A1"/>
    <w:rsid w:val="005900CC"/>
    <w:rsid w:val="005914BA"/>
    <w:rsid w:val="00591A56"/>
    <w:rsid w:val="00592C89"/>
    <w:rsid w:val="00593B89"/>
    <w:rsid w:val="00593DF2"/>
    <w:rsid w:val="00593E0D"/>
    <w:rsid w:val="00594138"/>
    <w:rsid w:val="00594771"/>
    <w:rsid w:val="005953BE"/>
    <w:rsid w:val="00595C46"/>
    <w:rsid w:val="00597063"/>
    <w:rsid w:val="00597509"/>
    <w:rsid w:val="005A0EB1"/>
    <w:rsid w:val="005A1E86"/>
    <w:rsid w:val="005A3D80"/>
    <w:rsid w:val="005A4576"/>
    <w:rsid w:val="005A47A3"/>
    <w:rsid w:val="005A5111"/>
    <w:rsid w:val="005A5929"/>
    <w:rsid w:val="005B0896"/>
    <w:rsid w:val="005B3CC3"/>
    <w:rsid w:val="005B40E3"/>
    <w:rsid w:val="005B4330"/>
    <w:rsid w:val="005B43F7"/>
    <w:rsid w:val="005B6301"/>
    <w:rsid w:val="005B685F"/>
    <w:rsid w:val="005B6C4D"/>
    <w:rsid w:val="005B711D"/>
    <w:rsid w:val="005C1D11"/>
    <w:rsid w:val="005C2327"/>
    <w:rsid w:val="005C30C7"/>
    <w:rsid w:val="005C367E"/>
    <w:rsid w:val="005C3EA3"/>
    <w:rsid w:val="005C401F"/>
    <w:rsid w:val="005C4852"/>
    <w:rsid w:val="005C5181"/>
    <w:rsid w:val="005C618A"/>
    <w:rsid w:val="005C66FB"/>
    <w:rsid w:val="005C6D05"/>
    <w:rsid w:val="005C7060"/>
    <w:rsid w:val="005C70C4"/>
    <w:rsid w:val="005C74B1"/>
    <w:rsid w:val="005C7ADE"/>
    <w:rsid w:val="005C7C17"/>
    <w:rsid w:val="005D0BFF"/>
    <w:rsid w:val="005D163B"/>
    <w:rsid w:val="005D1F8B"/>
    <w:rsid w:val="005D1FC5"/>
    <w:rsid w:val="005D22C9"/>
    <w:rsid w:val="005D2DC2"/>
    <w:rsid w:val="005D2F78"/>
    <w:rsid w:val="005D349A"/>
    <w:rsid w:val="005D37F9"/>
    <w:rsid w:val="005D4426"/>
    <w:rsid w:val="005D5479"/>
    <w:rsid w:val="005D561C"/>
    <w:rsid w:val="005D6B39"/>
    <w:rsid w:val="005E097A"/>
    <w:rsid w:val="005E0EE3"/>
    <w:rsid w:val="005E115B"/>
    <w:rsid w:val="005E1A16"/>
    <w:rsid w:val="005E1D31"/>
    <w:rsid w:val="005E1F05"/>
    <w:rsid w:val="005E23C0"/>
    <w:rsid w:val="005E2BAF"/>
    <w:rsid w:val="005E2C0E"/>
    <w:rsid w:val="005E34C2"/>
    <w:rsid w:val="005E3671"/>
    <w:rsid w:val="005E3E5B"/>
    <w:rsid w:val="005E482B"/>
    <w:rsid w:val="005E53BC"/>
    <w:rsid w:val="005E5438"/>
    <w:rsid w:val="005E54F5"/>
    <w:rsid w:val="005E65E6"/>
    <w:rsid w:val="005E6A21"/>
    <w:rsid w:val="005E6CF3"/>
    <w:rsid w:val="005E78D6"/>
    <w:rsid w:val="005E7CE4"/>
    <w:rsid w:val="005E7EBF"/>
    <w:rsid w:val="005F04A4"/>
    <w:rsid w:val="005F0668"/>
    <w:rsid w:val="005F07C7"/>
    <w:rsid w:val="005F1025"/>
    <w:rsid w:val="005F17E1"/>
    <w:rsid w:val="005F261D"/>
    <w:rsid w:val="005F2BF7"/>
    <w:rsid w:val="005F324D"/>
    <w:rsid w:val="005F346D"/>
    <w:rsid w:val="005F39A8"/>
    <w:rsid w:val="005F39BA"/>
    <w:rsid w:val="005F3B8E"/>
    <w:rsid w:val="005F4192"/>
    <w:rsid w:val="005F41B6"/>
    <w:rsid w:val="005F49C8"/>
    <w:rsid w:val="005F4BB7"/>
    <w:rsid w:val="005F4C04"/>
    <w:rsid w:val="005F70AF"/>
    <w:rsid w:val="005F7A4E"/>
    <w:rsid w:val="00600318"/>
    <w:rsid w:val="0060080B"/>
    <w:rsid w:val="00600D5B"/>
    <w:rsid w:val="00600FDD"/>
    <w:rsid w:val="00601407"/>
    <w:rsid w:val="00601AC4"/>
    <w:rsid w:val="00601D3E"/>
    <w:rsid w:val="006022DA"/>
    <w:rsid w:val="00602987"/>
    <w:rsid w:val="00602FBD"/>
    <w:rsid w:val="006031E3"/>
    <w:rsid w:val="00603FD0"/>
    <w:rsid w:val="006049BA"/>
    <w:rsid w:val="006054F1"/>
    <w:rsid w:val="006069A6"/>
    <w:rsid w:val="00606B5C"/>
    <w:rsid w:val="0060796B"/>
    <w:rsid w:val="00611F15"/>
    <w:rsid w:val="00612546"/>
    <w:rsid w:val="006126BB"/>
    <w:rsid w:val="00613915"/>
    <w:rsid w:val="00613BFB"/>
    <w:rsid w:val="00614719"/>
    <w:rsid w:val="00614990"/>
    <w:rsid w:val="00615C40"/>
    <w:rsid w:val="00615E37"/>
    <w:rsid w:val="006202A8"/>
    <w:rsid w:val="00620B46"/>
    <w:rsid w:val="0062126F"/>
    <w:rsid w:val="006213FF"/>
    <w:rsid w:val="0062190B"/>
    <w:rsid w:val="00621989"/>
    <w:rsid w:val="00621CD5"/>
    <w:rsid w:val="006230E4"/>
    <w:rsid w:val="006243F2"/>
    <w:rsid w:val="0062629D"/>
    <w:rsid w:val="00630576"/>
    <w:rsid w:val="00630B5D"/>
    <w:rsid w:val="00630B7B"/>
    <w:rsid w:val="00631C68"/>
    <w:rsid w:val="00631C9F"/>
    <w:rsid w:val="00631FEE"/>
    <w:rsid w:val="00632404"/>
    <w:rsid w:val="00634905"/>
    <w:rsid w:val="00634996"/>
    <w:rsid w:val="00634A22"/>
    <w:rsid w:val="00636987"/>
    <w:rsid w:val="00636DDA"/>
    <w:rsid w:val="006408C9"/>
    <w:rsid w:val="00640FF8"/>
    <w:rsid w:val="00641E37"/>
    <w:rsid w:val="006435D0"/>
    <w:rsid w:val="00643A32"/>
    <w:rsid w:val="0064415C"/>
    <w:rsid w:val="00644A1A"/>
    <w:rsid w:val="0064564C"/>
    <w:rsid w:val="00645ABC"/>
    <w:rsid w:val="0064735D"/>
    <w:rsid w:val="00647E10"/>
    <w:rsid w:val="00647FCD"/>
    <w:rsid w:val="006505DE"/>
    <w:rsid w:val="0065071C"/>
    <w:rsid w:val="006508B6"/>
    <w:rsid w:val="00651824"/>
    <w:rsid w:val="00651DD1"/>
    <w:rsid w:val="00652F60"/>
    <w:rsid w:val="0065311F"/>
    <w:rsid w:val="0065312E"/>
    <w:rsid w:val="00654197"/>
    <w:rsid w:val="0065423A"/>
    <w:rsid w:val="0065443A"/>
    <w:rsid w:val="0065446F"/>
    <w:rsid w:val="006548A6"/>
    <w:rsid w:val="00654A43"/>
    <w:rsid w:val="00654E0B"/>
    <w:rsid w:val="006553EE"/>
    <w:rsid w:val="00656506"/>
    <w:rsid w:val="00656B1A"/>
    <w:rsid w:val="00656E10"/>
    <w:rsid w:val="0065773E"/>
    <w:rsid w:val="00657818"/>
    <w:rsid w:val="00657B24"/>
    <w:rsid w:val="006610C9"/>
    <w:rsid w:val="006611A1"/>
    <w:rsid w:val="00661564"/>
    <w:rsid w:val="00661E1C"/>
    <w:rsid w:val="00662F11"/>
    <w:rsid w:val="00662F66"/>
    <w:rsid w:val="00663693"/>
    <w:rsid w:val="00664CA4"/>
    <w:rsid w:val="006661BA"/>
    <w:rsid w:val="00666545"/>
    <w:rsid w:val="00667412"/>
    <w:rsid w:val="0067022E"/>
    <w:rsid w:val="0067043E"/>
    <w:rsid w:val="00670AAB"/>
    <w:rsid w:val="00670E77"/>
    <w:rsid w:val="006722CE"/>
    <w:rsid w:val="00673243"/>
    <w:rsid w:val="006759A5"/>
    <w:rsid w:val="00675F1F"/>
    <w:rsid w:val="00676439"/>
    <w:rsid w:val="006804D1"/>
    <w:rsid w:val="0068158B"/>
    <w:rsid w:val="0068277C"/>
    <w:rsid w:val="00683DAF"/>
    <w:rsid w:val="00683DC2"/>
    <w:rsid w:val="0068423F"/>
    <w:rsid w:val="00684C0C"/>
    <w:rsid w:val="00684CD6"/>
    <w:rsid w:val="006863DB"/>
    <w:rsid w:val="0068652C"/>
    <w:rsid w:val="0068744A"/>
    <w:rsid w:val="00687598"/>
    <w:rsid w:val="00690D01"/>
    <w:rsid w:val="006929AE"/>
    <w:rsid w:val="0069379B"/>
    <w:rsid w:val="00693E56"/>
    <w:rsid w:val="00694695"/>
    <w:rsid w:val="00694EE1"/>
    <w:rsid w:val="00694FB1"/>
    <w:rsid w:val="0069509F"/>
    <w:rsid w:val="00695B21"/>
    <w:rsid w:val="00696199"/>
    <w:rsid w:val="00696AA4"/>
    <w:rsid w:val="00696B9E"/>
    <w:rsid w:val="00696C57"/>
    <w:rsid w:val="00697D84"/>
    <w:rsid w:val="006A0EC8"/>
    <w:rsid w:val="006A140B"/>
    <w:rsid w:val="006A1598"/>
    <w:rsid w:val="006A2987"/>
    <w:rsid w:val="006A2F7E"/>
    <w:rsid w:val="006A3B96"/>
    <w:rsid w:val="006A3F67"/>
    <w:rsid w:val="006A46A6"/>
    <w:rsid w:val="006A51ED"/>
    <w:rsid w:val="006A55C4"/>
    <w:rsid w:val="006A59F3"/>
    <w:rsid w:val="006A6217"/>
    <w:rsid w:val="006A693C"/>
    <w:rsid w:val="006A7925"/>
    <w:rsid w:val="006B0370"/>
    <w:rsid w:val="006B06CD"/>
    <w:rsid w:val="006B0AF2"/>
    <w:rsid w:val="006B19F7"/>
    <w:rsid w:val="006B2432"/>
    <w:rsid w:val="006B2B00"/>
    <w:rsid w:val="006B2D82"/>
    <w:rsid w:val="006B3349"/>
    <w:rsid w:val="006B350E"/>
    <w:rsid w:val="006B44EF"/>
    <w:rsid w:val="006B4F34"/>
    <w:rsid w:val="006B5D8A"/>
    <w:rsid w:val="006B6272"/>
    <w:rsid w:val="006B641D"/>
    <w:rsid w:val="006B6B9E"/>
    <w:rsid w:val="006B6E1B"/>
    <w:rsid w:val="006B7197"/>
    <w:rsid w:val="006C0533"/>
    <w:rsid w:val="006C08E4"/>
    <w:rsid w:val="006C2237"/>
    <w:rsid w:val="006C309E"/>
    <w:rsid w:val="006C35AC"/>
    <w:rsid w:val="006C3848"/>
    <w:rsid w:val="006C3A9A"/>
    <w:rsid w:val="006C5057"/>
    <w:rsid w:val="006C54BC"/>
    <w:rsid w:val="006C567E"/>
    <w:rsid w:val="006C5C33"/>
    <w:rsid w:val="006C650B"/>
    <w:rsid w:val="006C6C00"/>
    <w:rsid w:val="006C6E36"/>
    <w:rsid w:val="006C7956"/>
    <w:rsid w:val="006C7C44"/>
    <w:rsid w:val="006C7D73"/>
    <w:rsid w:val="006D04B9"/>
    <w:rsid w:val="006D0B20"/>
    <w:rsid w:val="006D1A42"/>
    <w:rsid w:val="006D1DCC"/>
    <w:rsid w:val="006D1ECF"/>
    <w:rsid w:val="006D20A7"/>
    <w:rsid w:val="006D45C5"/>
    <w:rsid w:val="006D4E57"/>
    <w:rsid w:val="006D5328"/>
    <w:rsid w:val="006D54BB"/>
    <w:rsid w:val="006D5840"/>
    <w:rsid w:val="006D6E3A"/>
    <w:rsid w:val="006D6F3D"/>
    <w:rsid w:val="006D739D"/>
    <w:rsid w:val="006D78EE"/>
    <w:rsid w:val="006E33A6"/>
    <w:rsid w:val="006E33B5"/>
    <w:rsid w:val="006E4788"/>
    <w:rsid w:val="006E485B"/>
    <w:rsid w:val="006E4DFE"/>
    <w:rsid w:val="006E57B4"/>
    <w:rsid w:val="006E5FC0"/>
    <w:rsid w:val="006E6A1C"/>
    <w:rsid w:val="006F00CA"/>
    <w:rsid w:val="006F0189"/>
    <w:rsid w:val="006F06A1"/>
    <w:rsid w:val="006F0924"/>
    <w:rsid w:val="006F0E45"/>
    <w:rsid w:val="006F1A9B"/>
    <w:rsid w:val="006F1C75"/>
    <w:rsid w:val="006F261A"/>
    <w:rsid w:val="006F2C5A"/>
    <w:rsid w:val="006F35B3"/>
    <w:rsid w:val="006F3BBB"/>
    <w:rsid w:val="006F428A"/>
    <w:rsid w:val="006F4380"/>
    <w:rsid w:val="006F5C39"/>
    <w:rsid w:val="006F5F02"/>
    <w:rsid w:val="0070012B"/>
    <w:rsid w:val="007002F6"/>
    <w:rsid w:val="00700475"/>
    <w:rsid w:val="007010D3"/>
    <w:rsid w:val="00701E4F"/>
    <w:rsid w:val="00701FB6"/>
    <w:rsid w:val="0070378D"/>
    <w:rsid w:val="00704E03"/>
    <w:rsid w:val="007050EE"/>
    <w:rsid w:val="0070609D"/>
    <w:rsid w:val="00706445"/>
    <w:rsid w:val="00706C20"/>
    <w:rsid w:val="00707735"/>
    <w:rsid w:val="00710449"/>
    <w:rsid w:val="007108BA"/>
    <w:rsid w:val="00710D99"/>
    <w:rsid w:val="00711E58"/>
    <w:rsid w:val="007120C2"/>
    <w:rsid w:val="007121DA"/>
    <w:rsid w:val="007146CB"/>
    <w:rsid w:val="00714848"/>
    <w:rsid w:val="007148F4"/>
    <w:rsid w:val="0071496A"/>
    <w:rsid w:val="00715414"/>
    <w:rsid w:val="00715A01"/>
    <w:rsid w:val="00715A57"/>
    <w:rsid w:val="00716094"/>
    <w:rsid w:val="007167A5"/>
    <w:rsid w:val="007201E3"/>
    <w:rsid w:val="00720581"/>
    <w:rsid w:val="0072107B"/>
    <w:rsid w:val="00721087"/>
    <w:rsid w:val="007215D9"/>
    <w:rsid w:val="00723280"/>
    <w:rsid w:val="007233BA"/>
    <w:rsid w:val="00726306"/>
    <w:rsid w:val="00726F0A"/>
    <w:rsid w:val="0072717E"/>
    <w:rsid w:val="0072719E"/>
    <w:rsid w:val="00727313"/>
    <w:rsid w:val="0072740A"/>
    <w:rsid w:val="0072768B"/>
    <w:rsid w:val="00730299"/>
    <w:rsid w:val="00730559"/>
    <w:rsid w:val="007306D0"/>
    <w:rsid w:val="007313CC"/>
    <w:rsid w:val="007314A9"/>
    <w:rsid w:val="00731680"/>
    <w:rsid w:val="00731FFF"/>
    <w:rsid w:val="00733653"/>
    <w:rsid w:val="00735E37"/>
    <w:rsid w:val="007373FE"/>
    <w:rsid w:val="0073779F"/>
    <w:rsid w:val="00737D7F"/>
    <w:rsid w:val="00740816"/>
    <w:rsid w:val="007411D0"/>
    <w:rsid w:val="00741324"/>
    <w:rsid w:val="007416D1"/>
    <w:rsid w:val="00741FBB"/>
    <w:rsid w:val="007421D6"/>
    <w:rsid w:val="007433AC"/>
    <w:rsid w:val="00744697"/>
    <w:rsid w:val="007454EF"/>
    <w:rsid w:val="00745783"/>
    <w:rsid w:val="00751E0B"/>
    <w:rsid w:val="00752721"/>
    <w:rsid w:val="00754E0B"/>
    <w:rsid w:val="007565AB"/>
    <w:rsid w:val="00756C07"/>
    <w:rsid w:val="00756CFD"/>
    <w:rsid w:val="00756F61"/>
    <w:rsid w:val="00757F99"/>
    <w:rsid w:val="00760F65"/>
    <w:rsid w:val="00761F60"/>
    <w:rsid w:val="00762C84"/>
    <w:rsid w:val="007641CF"/>
    <w:rsid w:val="007641F2"/>
    <w:rsid w:val="00765BF9"/>
    <w:rsid w:val="007665EB"/>
    <w:rsid w:val="00766931"/>
    <w:rsid w:val="00770AA2"/>
    <w:rsid w:val="00773286"/>
    <w:rsid w:val="00773400"/>
    <w:rsid w:val="00773BB2"/>
    <w:rsid w:val="00773D79"/>
    <w:rsid w:val="0077403D"/>
    <w:rsid w:val="00774432"/>
    <w:rsid w:val="007744B8"/>
    <w:rsid w:val="00775711"/>
    <w:rsid w:val="007761BB"/>
    <w:rsid w:val="0077624E"/>
    <w:rsid w:val="00776C86"/>
    <w:rsid w:val="00777C40"/>
    <w:rsid w:val="0078022F"/>
    <w:rsid w:val="00781AC9"/>
    <w:rsid w:val="00781D89"/>
    <w:rsid w:val="00782DE6"/>
    <w:rsid w:val="00783032"/>
    <w:rsid w:val="007832B9"/>
    <w:rsid w:val="0078355F"/>
    <w:rsid w:val="00783CDF"/>
    <w:rsid w:val="00784450"/>
    <w:rsid w:val="00785452"/>
    <w:rsid w:val="00786C3F"/>
    <w:rsid w:val="007872AF"/>
    <w:rsid w:val="007873FB"/>
    <w:rsid w:val="00787770"/>
    <w:rsid w:val="00790530"/>
    <w:rsid w:val="007907EC"/>
    <w:rsid w:val="00790868"/>
    <w:rsid w:val="007913E7"/>
    <w:rsid w:val="007913FE"/>
    <w:rsid w:val="00791442"/>
    <w:rsid w:val="007925E1"/>
    <w:rsid w:val="0079460B"/>
    <w:rsid w:val="00794E79"/>
    <w:rsid w:val="0079593A"/>
    <w:rsid w:val="00796F73"/>
    <w:rsid w:val="0079719A"/>
    <w:rsid w:val="0079727A"/>
    <w:rsid w:val="00797302"/>
    <w:rsid w:val="007A02AD"/>
    <w:rsid w:val="007A0453"/>
    <w:rsid w:val="007A054C"/>
    <w:rsid w:val="007A0C03"/>
    <w:rsid w:val="007A1154"/>
    <w:rsid w:val="007A2098"/>
    <w:rsid w:val="007A4E3F"/>
    <w:rsid w:val="007A675A"/>
    <w:rsid w:val="007B0218"/>
    <w:rsid w:val="007B1388"/>
    <w:rsid w:val="007B1C2C"/>
    <w:rsid w:val="007B26B5"/>
    <w:rsid w:val="007B29E4"/>
    <w:rsid w:val="007B2D9D"/>
    <w:rsid w:val="007B377C"/>
    <w:rsid w:val="007B3A05"/>
    <w:rsid w:val="007B5726"/>
    <w:rsid w:val="007B5B43"/>
    <w:rsid w:val="007B6624"/>
    <w:rsid w:val="007B6693"/>
    <w:rsid w:val="007B6C92"/>
    <w:rsid w:val="007B6D10"/>
    <w:rsid w:val="007B6F61"/>
    <w:rsid w:val="007B7213"/>
    <w:rsid w:val="007B7278"/>
    <w:rsid w:val="007B7444"/>
    <w:rsid w:val="007B7834"/>
    <w:rsid w:val="007B7C5B"/>
    <w:rsid w:val="007C0631"/>
    <w:rsid w:val="007C0986"/>
    <w:rsid w:val="007C0C46"/>
    <w:rsid w:val="007C110C"/>
    <w:rsid w:val="007C11D5"/>
    <w:rsid w:val="007C11DD"/>
    <w:rsid w:val="007C2B85"/>
    <w:rsid w:val="007C30E0"/>
    <w:rsid w:val="007C3AE2"/>
    <w:rsid w:val="007C448B"/>
    <w:rsid w:val="007C49AD"/>
    <w:rsid w:val="007C50B4"/>
    <w:rsid w:val="007C5BFD"/>
    <w:rsid w:val="007C62D4"/>
    <w:rsid w:val="007C6450"/>
    <w:rsid w:val="007C796D"/>
    <w:rsid w:val="007C7AD8"/>
    <w:rsid w:val="007C7AE4"/>
    <w:rsid w:val="007C7BC3"/>
    <w:rsid w:val="007D1194"/>
    <w:rsid w:val="007D1833"/>
    <w:rsid w:val="007D3263"/>
    <w:rsid w:val="007D384F"/>
    <w:rsid w:val="007D4448"/>
    <w:rsid w:val="007D58EF"/>
    <w:rsid w:val="007D5CDA"/>
    <w:rsid w:val="007D6667"/>
    <w:rsid w:val="007D6E16"/>
    <w:rsid w:val="007D733C"/>
    <w:rsid w:val="007E00A2"/>
    <w:rsid w:val="007E1294"/>
    <w:rsid w:val="007E13D1"/>
    <w:rsid w:val="007E28AB"/>
    <w:rsid w:val="007E2A94"/>
    <w:rsid w:val="007E5EFB"/>
    <w:rsid w:val="007E6954"/>
    <w:rsid w:val="007E6D81"/>
    <w:rsid w:val="007E7778"/>
    <w:rsid w:val="007E7F85"/>
    <w:rsid w:val="007F08F9"/>
    <w:rsid w:val="007F0A59"/>
    <w:rsid w:val="007F3EFB"/>
    <w:rsid w:val="007F4350"/>
    <w:rsid w:val="007F45FA"/>
    <w:rsid w:val="007F5503"/>
    <w:rsid w:val="007F580B"/>
    <w:rsid w:val="007F7AA9"/>
    <w:rsid w:val="00800844"/>
    <w:rsid w:val="00801707"/>
    <w:rsid w:val="00801A02"/>
    <w:rsid w:val="008021B3"/>
    <w:rsid w:val="0080222E"/>
    <w:rsid w:val="00803893"/>
    <w:rsid w:val="0080516B"/>
    <w:rsid w:val="008052DE"/>
    <w:rsid w:val="00805813"/>
    <w:rsid w:val="00805DF8"/>
    <w:rsid w:val="00806E54"/>
    <w:rsid w:val="0080761C"/>
    <w:rsid w:val="00810234"/>
    <w:rsid w:val="00810515"/>
    <w:rsid w:val="00811B06"/>
    <w:rsid w:val="00811B0B"/>
    <w:rsid w:val="00811B86"/>
    <w:rsid w:val="00812DC1"/>
    <w:rsid w:val="00812F18"/>
    <w:rsid w:val="008133E4"/>
    <w:rsid w:val="008137C7"/>
    <w:rsid w:val="0081390D"/>
    <w:rsid w:val="008140A9"/>
    <w:rsid w:val="008143E7"/>
    <w:rsid w:val="0081504B"/>
    <w:rsid w:val="008155B7"/>
    <w:rsid w:val="008155F1"/>
    <w:rsid w:val="00815B24"/>
    <w:rsid w:val="0081630B"/>
    <w:rsid w:val="00820BE1"/>
    <w:rsid w:val="00821430"/>
    <w:rsid w:val="00821708"/>
    <w:rsid w:val="00821A34"/>
    <w:rsid w:val="00821E11"/>
    <w:rsid w:val="00821EAA"/>
    <w:rsid w:val="00822996"/>
    <w:rsid w:val="00822C74"/>
    <w:rsid w:val="00822F37"/>
    <w:rsid w:val="00822FE3"/>
    <w:rsid w:val="0082356F"/>
    <w:rsid w:val="00823C15"/>
    <w:rsid w:val="00823F51"/>
    <w:rsid w:val="008241AD"/>
    <w:rsid w:val="008249E5"/>
    <w:rsid w:val="00824D85"/>
    <w:rsid w:val="008250D4"/>
    <w:rsid w:val="00825139"/>
    <w:rsid w:val="00825246"/>
    <w:rsid w:val="00825258"/>
    <w:rsid w:val="008272EE"/>
    <w:rsid w:val="00827973"/>
    <w:rsid w:val="008304AB"/>
    <w:rsid w:val="00830755"/>
    <w:rsid w:val="0083093A"/>
    <w:rsid w:val="00830D19"/>
    <w:rsid w:val="00831CDE"/>
    <w:rsid w:val="00832518"/>
    <w:rsid w:val="008326B6"/>
    <w:rsid w:val="008334C3"/>
    <w:rsid w:val="00833B33"/>
    <w:rsid w:val="00835630"/>
    <w:rsid w:val="00837A69"/>
    <w:rsid w:val="00837B33"/>
    <w:rsid w:val="00837F37"/>
    <w:rsid w:val="00840777"/>
    <w:rsid w:val="008409C2"/>
    <w:rsid w:val="008410CF"/>
    <w:rsid w:val="00841F2B"/>
    <w:rsid w:val="00842A95"/>
    <w:rsid w:val="00843C17"/>
    <w:rsid w:val="00843D0D"/>
    <w:rsid w:val="00844137"/>
    <w:rsid w:val="0084468E"/>
    <w:rsid w:val="00844A8B"/>
    <w:rsid w:val="008462D1"/>
    <w:rsid w:val="0084662A"/>
    <w:rsid w:val="00846F16"/>
    <w:rsid w:val="00847469"/>
    <w:rsid w:val="00850642"/>
    <w:rsid w:val="00851FBB"/>
    <w:rsid w:val="008526F4"/>
    <w:rsid w:val="00852A79"/>
    <w:rsid w:val="00852BFE"/>
    <w:rsid w:val="00852EFD"/>
    <w:rsid w:val="00852F11"/>
    <w:rsid w:val="00853D68"/>
    <w:rsid w:val="008561D2"/>
    <w:rsid w:val="008562E2"/>
    <w:rsid w:val="00856AB7"/>
    <w:rsid w:val="008570E3"/>
    <w:rsid w:val="008600C1"/>
    <w:rsid w:val="008603BC"/>
    <w:rsid w:val="0086062F"/>
    <w:rsid w:val="00860DCA"/>
    <w:rsid w:val="00860EF5"/>
    <w:rsid w:val="00861494"/>
    <w:rsid w:val="00861545"/>
    <w:rsid w:val="00861774"/>
    <w:rsid w:val="0086199D"/>
    <w:rsid w:val="00862187"/>
    <w:rsid w:val="00862467"/>
    <w:rsid w:val="0086262E"/>
    <w:rsid w:val="008629F0"/>
    <w:rsid w:val="00862ADC"/>
    <w:rsid w:val="00863330"/>
    <w:rsid w:val="00863567"/>
    <w:rsid w:val="008639C3"/>
    <w:rsid w:val="00863ABA"/>
    <w:rsid w:val="00864133"/>
    <w:rsid w:val="00864333"/>
    <w:rsid w:val="008644F6"/>
    <w:rsid w:val="00864B27"/>
    <w:rsid w:val="00865303"/>
    <w:rsid w:val="00867042"/>
    <w:rsid w:val="008675E5"/>
    <w:rsid w:val="008676CD"/>
    <w:rsid w:val="0086797C"/>
    <w:rsid w:val="00870F3E"/>
    <w:rsid w:val="00871C8C"/>
    <w:rsid w:val="008720D8"/>
    <w:rsid w:val="008724EA"/>
    <w:rsid w:val="008725F9"/>
    <w:rsid w:val="00872FC9"/>
    <w:rsid w:val="0087371B"/>
    <w:rsid w:val="00873B8B"/>
    <w:rsid w:val="00873BD9"/>
    <w:rsid w:val="008743CD"/>
    <w:rsid w:val="00874724"/>
    <w:rsid w:val="00874D7D"/>
    <w:rsid w:val="00875AA9"/>
    <w:rsid w:val="00875EE6"/>
    <w:rsid w:val="008760F0"/>
    <w:rsid w:val="0087625F"/>
    <w:rsid w:val="00880B7E"/>
    <w:rsid w:val="00883414"/>
    <w:rsid w:val="00883AC6"/>
    <w:rsid w:val="00883D68"/>
    <w:rsid w:val="008849B8"/>
    <w:rsid w:val="00884DAC"/>
    <w:rsid w:val="0088509A"/>
    <w:rsid w:val="008859B6"/>
    <w:rsid w:val="0088679F"/>
    <w:rsid w:val="00886811"/>
    <w:rsid w:val="00887151"/>
    <w:rsid w:val="008900FD"/>
    <w:rsid w:val="00890D9D"/>
    <w:rsid w:val="00891A75"/>
    <w:rsid w:val="00891D65"/>
    <w:rsid w:val="00891F61"/>
    <w:rsid w:val="00891F8F"/>
    <w:rsid w:val="008937DD"/>
    <w:rsid w:val="0089561C"/>
    <w:rsid w:val="00895E0E"/>
    <w:rsid w:val="0089635B"/>
    <w:rsid w:val="0089713D"/>
    <w:rsid w:val="008A04BB"/>
    <w:rsid w:val="008A093C"/>
    <w:rsid w:val="008A0F1F"/>
    <w:rsid w:val="008A19EB"/>
    <w:rsid w:val="008A1A54"/>
    <w:rsid w:val="008A1B28"/>
    <w:rsid w:val="008A2ADB"/>
    <w:rsid w:val="008A3AC3"/>
    <w:rsid w:val="008A46DD"/>
    <w:rsid w:val="008A4CD7"/>
    <w:rsid w:val="008A4F98"/>
    <w:rsid w:val="008A50CC"/>
    <w:rsid w:val="008A5378"/>
    <w:rsid w:val="008A6647"/>
    <w:rsid w:val="008A6AA7"/>
    <w:rsid w:val="008A70E5"/>
    <w:rsid w:val="008B02B9"/>
    <w:rsid w:val="008B1FE3"/>
    <w:rsid w:val="008B340F"/>
    <w:rsid w:val="008B3B93"/>
    <w:rsid w:val="008B40D1"/>
    <w:rsid w:val="008B4702"/>
    <w:rsid w:val="008B48A4"/>
    <w:rsid w:val="008B6791"/>
    <w:rsid w:val="008B6A39"/>
    <w:rsid w:val="008B6A7E"/>
    <w:rsid w:val="008B6F69"/>
    <w:rsid w:val="008B7012"/>
    <w:rsid w:val="008B7674"/>
    <w:rsid w:val="008B7D56"/>
    <w:rsid w:val="008C0FB8"/>
    <w:rsid w:val="008C107E"/>
    <w:rsid w:val="008C114B"/>
    <w:rsid w:val="008C147E"/>
    <w:rsid w:val="008C1962"/>
    <w:rsid w:val="008C234B"/>
    <w:rsid w:val="008C23E9"/>
    <w:rsid w:val="008C2EC8"/>
    <w:rsid w:val="008C3A78"/>
    <w:rsid w:val="008C4A60"/>
    <w:rsid w:val="008C4B36"/>
    <w:rsid w:val="008C4EF6"/>
    <w:rsid w:val="008C5AA7"/>
    <w:rsid w:val="008C694C"/>
    <w:rsid w:val="008C7148"/>
    <w:rsid w:val="008C773D"/>
    <w:rsid w:val="008D045D"/>
    <w:rsid w:val="008D0466"/>
    <w:rsid w:val="008D054C"/>
    <w:rsid w:val="008D0D68"/>
    <w:rsid w:val="008D1CB4"/>
    <w:rsid w:val="008D22D1"/>
    <w:rsid w:val="008D34B9"/>
    <w:rsid w:val="008D437E"/>
    <w:rsid w:val="008D4598"/>
    <w:rsid w:val="008D4ADA"/>
    <w:rsid w:val="008D4C16"/>
    <w:rsid w:val="008D6469"/>
    <w:rsid w:val="008D6B27"/>
    <w:rsid w:val="008D6D76"/>
    <w:rsid w:val="008D798B"/>
    <w:rsid w:val="008D7E16"/>
    <w:rsid w:val="008E1667"/>
    <w:rsid w:val="008E296A"/>
    <w:rsid w:val="008E4313"/>
    <w:rsid w:val="008E6A2C"/>
    <w:rsid w:val="008E6CE3"/>
    <w:rsid w:val="008E74F5"/>
    <w:rsid w:val="008E7FF5"/>
    <w:rsid w:val="008F0A5A"/>
    <w:rsid w:val="008F0E9F"/>
    <w:rsid w:val="008F12BA"/>
    <w:rsid w:val="008F13BA"/>
    <w:rsid w:val="008F143D"/>
    <w:rsid w:val="008F149D"/>
    <w:rsid w:val="008F2612"/>
    <w:rsid w:val="008F2672"/>
    <w:rsid w:val="008F2ADE"/>
    <w:rsid w:val="008F3277"/>
    <w:rsid w:val="008F395F"/>
    <w:rsid w:val="008F42BF"/>
    <w:rsid w:val="008F4532"/>
    <w:rsid w:val="008F46EB"/>
    <w:rsid w:val="008F4C5C"/>
    <w:rsid w:val="008F7326"/>
    <w:rsid w:val="008F7A2E"/>
    <w:rsid w:val="0090006E"/>
    <w:rsid w:val="00900183"/>
    <w:rsid w:val="00900308"/>
    <w:rsid w:val="00900658"/>
    <w:rsid w:val="00900F2A"/>
    <w:rsid w:val="00901B2B"/>
    <w:rsid w:val="00901F45"/>
    <w:rsid w:val="00902171"/>
    <w:rsid w:val="009023C5"/>
    <w:rsid w:val="009026A1"/>
    <w:rsid w:val="0090324A"/>
    <w:rsid w:val="00903B7D"/>
    <w:rsid w:val="0090468A"/>
    <w:rsid w:val="009048D5"/>
    <w:rsid w:val="00904F3E"/>
    <w:rsid w:val="00906F42"/>
    <w:rsid w:val="0090759C"/>
    <w:rsid w:val="0090771D"/>
    <w:rsid w:val="00907F9C"/>
    <w:rsid w:val="00910A69"/>
    <w:rsid w:val="00911AA5"/>
    <w:rsid w:val="00911D14"/>
    <w:rsid w:val="00912C1C"/>
    <w:rsid w:val="00915627"/>
    <w:rsid w:val="0091742D"/>
    <w:rsid w:val="009177BA"/>
    <w:rsid w:val="009209A8"/>
    <w:rsid w:val="00920B37"/>
    <w:rsid w:val="00921B2B"/>
    <w:rsid w:val="009228BB"/>
    <w:rsid w:val="00922C93"/>
    <w:rsid w:val="00923032"/>
    <w:rsid w:val="0092307A"/>
    <w:rsid w:val="00923F1B"/>
    <w:rsid w:val="00924570"/>
    <w:rsid w:val="0092466E"/>
    <w:rsid w:val="009247D5"/>
    <w:rsid w:val="0092610F"/>
    <w:rsid w:val="009272BF"/>
    <w:rsid w:val="00927460"/>
    <w:rsid w:val="00927985"/>
    <w:rsid w:val="00927AED"/>
    <w:rsid w:val="00927C91"/>
    <w:rsid w:val="00930939"/>
    <w:rsid w:val="00931808"/>
    <w:rsid w:val="00931E44"/>
    <w:rsid w:val="00932C5B"/>
    <w:rsid w:val="00932C80"/>
    <w:rsid w:val="009330D5"/>
    <w:rsid w:val="009331A1"/>
    <w:rsid w:val="00933CF7"/>
    <w:rsid w:val="009350FC"/>
    <w:rsid w:val="00935C24"/>
    <w:rsid w:val="00935CAD"/>
    <w:rsid w:val="00937021"/>
    <w:rsid w:val="009400CD"/>
    <w:rsid w:val="00941132"/>
    <w:rsid w:val="009412CA"/>
    <w:rsid w:val="009419CE"/>
    <w:rsid w:val="00941BE4"/>
    <w:rsid w:val="0094322D"/>
    <w:rsid w:val="0094361B"/>
    <w:rsid w:val="00944D67"/>
    <w:rsid w:val="00944E56"/>
    <w:rsid w:val="0094506F"/>
    <w:rsid w:val="0094561C"/>
    <w:rsid w:val="00946A70"/>
    <w:rsid w:val="00947FD9"/>
    <w:rsid w:val="009504B1"/>
    <w:rsid w:val="00950CB9"/>
    <w:rsid w:val="00951FBE"/>
    <w:rsid w:val="00952916"/>
    <w:rsid w:val="009529BA"/>
    <w:rsid w:val="00955543"/>
    <w:rsid w:val="0095634B"/>
    <w:rsid w:val="00956C26"/>
    <w:rsid w:val="00956E6D"/>
    <w:rsid w:val="00957E2C"/>
    <w:rsid w:val="009609DA"/>
    <w:rsid w:val="0096208B"/>
    <w:rsid w:val="009641D5"/>
    <w:rsid w:val="00964556"/>
    <w:rsid w:val="009654A7"/>
    <w:rsid w:val="0096697F"/>
    <w:rsid w:val="00966B0B"/>
    <w:rsid w:val="00966D15"/>
    <w:rsid w:val="00970A59"/>
    <w:rsid w:val="00970E1A"/>
    <w:rsid w:val="00971DDD"/>
    <w:rsid w:val="00971E9E"/>
    <w:rsid w:val="00974071"/>
    <w:rsid w:val="00974D41"/>
    <w:rsid w:val="00974F52"/>
    <w:rsid w:val="00975FE3"/>
    <w:rsid w:val="0097721E"/>
    <w:rsid w:val="009774CE"/>
    <w:rsid w:val="009777B9"/>
    <w:rsid w:val="009804BF"/>
    <w:rsid w:val="00980D66"/>
    <w:rsid w:val="00980D78"/>
    <w:rsid w:val="00980FBB"/>
    <w:rsid w:val="00980FF4"/>
    <w:rsid w:val="00980FFB"/>
    <w:rsid w:val="009811A0"/>
    <w:rsid w:val="00981E06"/>
    <w:rsid w:val="009832CD"/>
    <w:rsid w:val="00986A23"/>
    <w:rsid w:val="00987D41"/>
    <w:rsid w:val="009907DA"/>
    <w:rsid w:val="009908C8"/>
    <w:rsid w:val="009916A9"/>
    <w:rsid w:val="0099230F"/>
    <w:rsid w:val="0099468C"/>
    <w:rsid w:val="009956D0"/>
    <w:rsid w:val="00996083"/>
    <w:rsid w:val="00996D21"/>
    <w:rsid w:val="00997093"/>
    <w:rsid w:val="009970BA"/>
    <w:rsid w:val="009A028D"/>
    <w:rsid w:val="009A04C4"/>
    <w:rsid w:val="009A0872"/>
    <w:rsid w:val="009A08D8"/>
    <w:rsid w:val="009A0B90"/>
    <w:rsid w:val="009A0CB2"/>
    <w:rsid w:val="009A11AB"/>
    <w:rsid w:val="009A1631"/>
    <w:rsid w:val="009A1B89"/>
    <w:rsid w:val="009A1E2A"/>
    <w:rsid w:val="009A27CE"/>
    <w:rsid w:val="009A29CC"/>
    <w:rsid w:val="009A2C12"/>
    <w:rsid w:val="009A2E25"/>
    <w:rsid w:val="009A4BD6"/>
    <w:rsid w:val="009A4F6F"/>
    <w:rsid w:val="009A4FE1"/>
    <w:rsid w:val="009A5E13"/>
    <w:rsid w:val="009A7FF1"/>
    <w:rsid w:val="009B0924"/>
    <w:rsid w:val="009B0A36"/>
    <w:rsid w:val="009B1587"/>
    <w:rsid w:val="009B18CE"/>
    <w:rsid w:val="009B1A97"/>
    <w:rsid w:val="009B1D6F"/>
    <w:rsid w:val="009B242A"/>
    <w:rsid w:val="009B29F1"/>
    <w:rsid w:val="009B2E12"/>
    <w:rsid w:val="009B2EE4"/>
    <w:rsid w:val="009B3049"/>
    <w:rsid w:val="009B3118"/>
    <w:rsid w:val="009B33F8"/>
    <w:rsid w:val="009B37F1"/>
    <w:rsid w:val="009B3D9B"/>
    <w:rsid w:val="009B4656"/>
    <w:rsid w:val="009B4B79"/>
    <w:rsid w:val="009B686D"/>
    <w:rsid w:val="009B78F2"/>
    <w:rsid w:val="009B79E4"/>
    <w:rsid w:val="009C0159"/>
    <w:rsid w:val="009C01BE"/>
    <w:rsid w:val="009C0316"/>
    <w:rsid w:val="009C09DB"/>
    <w:rsid w:val="009C0D7D"/>
    <w:rsid w:val="009C3308"/>
    <w:rsid w:val="009C43BB"/>
    <w:rsid w:val="009C4824"/>
    <w:rsid w:val="009C4BF7"/>
    <w:rsid w:val="009C5863"/>
    <w:rsid w:val="009C6B0C"/>
    <w:rsid w:val="009C7B9B"/>
    <w:rsid w:val="009D0170"/>
    <w:rsid w:val="009D0209"/>
    <w:rsid w:val="009D0D0F"/>
    <w:rsid w:val="009D1B61"/>
    <w:rsid w:val="009D20CA"/>
    <w:rsid w:val="009D23C1"/>
    <w:rsid w:val="009D3276"/>
    <w:rsid w:val="009D36FA"/>
    <w:rsid w:val="009D37A9"/>
    <w:rsid w:val="009D383E"/>
    <w:rsid w:val="009D3CFA"/>
    <w:rsid w:val="009D4260"/>
    <w:rsid w:val="009D42AA"/>
    <w:rsid w:val="009D4CB7"/>
    <w:rsid w:val="009D4D07"/>
    <w:rsid w:val="009D5567"/>
    <w:rsid w:val="009D5B83"/>
    <w:rsid w:val="009D5EB5"/>
    <w:rsid w:val="009D60D7"/>
    <w:rsid w:val="009D7119"/>
    <w:rsid w:val="009D7D7D"/>
    <w:rsid w:val="009D7E96"/>
    <w:rsid w:val="009E0751"/>
    <w:rsid w:val="009E1194"/>
    <w:rsid w:val="009E175D"/>
    <w:rsid w:val="009E1D13"/>
    <w:rsid w:val="009E3858"/>
    <w:rsid w:val="009E48FF"/>
    <w:rsid w:val="009E525C"/>
    <w:rsid w:val="009E54AE"/>
    <w:rsid w:val="009E7512"/>
    <w:rsid w:val="009E7915"/>
    <w:rsid w:val="009E7B5D"/>
    <w:rsid w:val="009E7D5E"/>
    <w:rsid w:val="009F027D"/>
    <w:rsid w:val="009F0B0C"/>
    <w:rsid w:val="009F11B3"/>
    <w:rsid w:val="009F1678"/>
    <w:rsid w:val="009F18A1"/>
    <w:rsid w:val="009F2822"/>
    <w:rsid w:val="009F2E9E"/>
    <w:rsid w:val="009F3586"/>
    <w:rsid w:val="009F3B0E"/>
    <w:rsid w:val="009F3C0D"/>
    <w:rsid w:val="009F3DB7"/>
    <w:rsid w:val="009F44EC"/>
    <w:rsid w:val="009F46AB"/>
    <w:rsid w:val="009F4FDD"/>
    <w:rsid w:val="009F5496"/>
    <w:rsid w:val="009F5F82"/>
    <w:rsid w:val="009F6733"/>
    <w:rsid w:val="009F6CD9"/>
    <w:rsid w:val="009F6F6C"/>
    <w:rsid w:val="009F7729"/>
    <w:rsid w:val="00A0238F"/>
    <w:rsid w:val="00A0272E"/>
    <w:rsid w:val="00A02BB2"/>
    <w:rsid w:val="00A04339"/>
    <w:rsid w:val="00A0494A"/>
    <w:rsid w:val="00A05CB9"/>
    <w:rsid w:val="00A064A0"/>
    <w:rsid w:val="00A07421"/>
    <w:rsid w:val="00A077DD"/>
    <w:rsid w:val="00A07BFC"/>
    <w:rsid w:val="00A1073D"/>
    <w:rsid w:val="00A10CAB"/>
    <w:rsid w:val="00A11546"/>
    <w:rsid w:val="00A11A1E"/>
    <w:rsid w:val="00A14350"/>
    <w:rsid w:val="00A14EED"/>
    <w:rsid w:val="00A159F9"/>
    <w:rsid w:val="00A20C28"/>
    <w:rsid w:val="00A212F7"/>
    <w:rsid w:val="00A23FF9"/>
    <w:rsid w:val="00A24CA5"/>
    <w:rsid w:val="00A25200"/>
    <w:rsid w:val="00A254B4"/>
    <w:rsid w:val="00A25E4F"/>
    <w:rsid w:val="00A264DA"/>
    <w:rsid w:val="00A26728"/>
    <w:rsid w:val="00A27EFC"/>
    <w:rsid w:val="00A30D7A"/>
    <w:rsid w:val="00A3189C"/>
    <w:rsid w:val="00A318E1"/>
    <w:rsid w:val="00A34222"/>
    <w:rsid w:val="00A34580"/>
    <w:rsid w:val="00A34980"/>
    <w:rsid w:val="00A3548D"/>
    <w:rsid w:val="00A359CC"/>
    <w:rsid w:val="00A3744E"/>
    <w:rsid w:val="00A40899"/>
    <w:rsid w:val="00A41679"/>
    <w:rsid w:val="00A41C67"/>
    <w:rsid w:val="00A4291C"/>
    <w:rsid w:val="00A43152"/>
    <w:rsid w:val="00A453A0"/>
    <w:rsid w:val="00A458C1"/>
    <w:rsid w:val="00A45E2C"/>
    <w:rsid w:val="00A461C9"/>
    <w:rsid w:val="00A4633F"/>
    <w:rsid w:val="00A46BCE"/>
    <w:rsid w:val="00A46FEA"/>
    <w:rsid w:val="00A50496"/>
    <w:rsid w:val="00A51ADD"/>
    <w:rsid w:val="00A51B0A"/>
    <w:rsid w:val="00A51BED"/>
    <w:rsid w:val="00A51DBD"/>
    <w:rsid w:val="00A523AC"/>
    <w:rsid w:val="00A533F3"/>
    <w:rsid w:val="00A53AAE"/>
    <w:rsid w:val="00A54E48"/>
    <w:rsid w:val="00A55106"/>
    <w:rsid w:val="00A5525E"/>
    <w:rsid w:val="00A5583F"/>
    <w:rsid w:val="00A55888"/>
    <w:rsid w:val="00A55906"/>
    <w:rsid w:val="00A55CEB"/>
    <w:rsid w:val="00A55D37"/>
    <w:rsid w:val="00A565E0"/>
    <w:rsid w:val="00A57B93"/>
    <w:rsid w:val="00A61900"/>
    <w:rsid w:val="00A628A3"/>
    <w:rsid w:val="00A628F6"/>
    <w:rsid w:val="00A62E51"/>
    <w:rsid w:val="00A631EE"/>
    <w:rsid w:val="00A64B20"/>
    <w:rsid w:val="00A65010"/>
    <w:rsid w:val="00A65EFC"/>
    <w:rsid w:val="00A663C2"/>
    <w:rsid w:val="00A66919"/>
    <w:rsid w:val="00A66A27"/>
    <w:rsid w:val="00A678B2"/>
    <w:rsid w:val="00A67C43"/>
    <w:rsid w:val="00A7024D"/>
    <w:rsid w:val="00A70345"/>
    <w:rsid w:val="00A70BF7"/>
    <w:rsid w:val="00A71293"/>
    <w:rsid w:val="00A717F6"/>
    <w:rsid w:val="00A72B0A"/>
    <w:rsid w:val="00A736E4"/>
    <w:rsid w:val="00A74105"/>
    <w:rsid w:val="00A742AC"/>
    <w:rsid w:val="00A74589"/>
    <w:rsid w:val="00A751A2"/>
    <w:rsid w:val="00A764F2"/>
    <w:rsid w:val="00A76851"/>
    <w:rsid w:val="00A76D97"/>
    <w:rsid w:val="00A77128"/>
    <w:rsid w:val="00A77F16"/>
    <w:rsid w:val="00A80172"/>
    <w:rsid w:val="00A802DF"/>
    <w:rsid w:val="00A8055F"/>
    <w:rsid w:val="00A807B1"/>
    <w:rsid w:val="00A81296"/>
    <w:rsid w:val="00A81C5C"/>
    <w:rsid w:val="00A82267"/>
    <w:rsid w:val="00A829B9"/>
    <w:rsid w:val="00A82CAF"/>
    <w:rsid w:val="00A82EF8"/>
    <w:rsid w:val="00A83535"/>
    <w:rsid w:val="00A8373C"/>
    <w:rsid w:val="00A8487C"/>
    <w:rsid w:val="00A84E86"/>
    <w:rsid w:val="00A85AAF"/>
    <w:rsid w:val="00A87AE9"/>
    <w:rsid w:val="00A87E79"/>
    <w:rsid w:val="00A902A2"/>
    <w:rsid w:val="00A90718"/>
    <w:rsid w:val="00A925C8"/>
    <w:rsid w:val="00A9419D"/>
    <w:rsid w:val="00A955AD"/>
    <w:rsid w:val="00A95835"/>
    <w:rsid w:val="00A962E8"/>
    <w:rsid w:val="00A96C4A"/>
    <w:rsid w:val="00A974BB"/>
    <w:rsid w:val="00A97EC4"/>
    <w:rsid w:val="00AA0B7B"/>
    <w:rsid w:val="00AA352E"/>
    <w:rsid w:val="00AA6078"/>
    <w:rsid w:val="00AA6540"/>
    <w:rsid w:val="00AB05D5"/>
    <w:rsid w:val="00AB119D"/>
    <w:rsid w:val="00AB18B0"/>
    <w:rsid w:val="00AB29C1"/>
    <w:rsid w:val="00AB309D"/>
    <w:rsid w:val="00AB44D4"/>
    <w:rsid w:val="00AB53FD"/>
    <w:rsid w:val="00AB63EB"/>
    <w:rsid w:val="00AB6924"/>
    <w:rsid w:val="00AB7342"/>
    <w:rsid w:val="00AB771C"/>
    <w:rsid w:val="00AB7FF9"/>
    <w:rsid w:val="00AC0633"/>
    <w:rsid w:val="00AC1EAA"/>
    <w:rsid w:val="00AC308D"/>
    <w:rsid w:val="00AC3E5F"/>
    <w:rsid w:val="00AC43C8"/>
    <w:rsid w:val="00AC495A"/>
    <w:rsid w:val="00AC5393"/>
    <w:rsid w:val="00AC6162"/>
    <w:rsid w:val="00AC672E"/>
    <w:rsid w:val="00AC7692"/>
    <w:rsid w:val="00AD1805"/>
    <w:rsid w:val="00AD22B1"/>
    <w:rsid w:val="00AD3214"/>
    <w:rsid w:val="00AD3471"/>
    <w:rsid w:val="00AD376E"/>
    <w:rsid w:val="00AD3975"/>
    <w:rsid w:val="00AD4FCF"/>
    <w:rsid w:val="00AD5154"/>
    <w:rsid w:val="00AD6658"/>
    <w:rsid w:val="00AD6CBF"/>
    <w:rsid w:val="00AD7019"/>
    <w:rsid w:val="00AD76DF"/>
    <w:rsid w:val="00AD7E6C"/>
    <w:rsid w:val="00AE0186"/>
    <w:rsid w:val="00AE0807"/>
    <w:rsid w:val="00AE1092"/>
    <w:rsid w:val="00AE3FE8"/>
    <w:rsid w:val="00AE40C5"/>
    <w:rsid w:val="00AE40FD"/>
    <w:rsid w:val="00AE4CC3"/>
    <w:rsid w:val="00AE4FA3"/>
    <w:rsid w:val="00AE6014"/>
    <w:rsid w:val="00AE6273"/>
    <w:rsid w:val="00AE68EB"/>
    <w:rsid w:val="00AE725B"/>
    <w:rsid w:val="00AE7446"/>
    <w:rsid w:val="00AE7889"/>
    <w:rsid w:val="00AF01BB"/>
    <w:rsid w:val="00AF03E9"/>
    <w:rsid w:val="00AF09C6"/>
    <w:rsid w:val="00AF0BC0"/>
    <w:rsid w:val="00AF1336"/>
    <w:rsid w:val="00AF2D83"/>
    <w:rsid w:val="00AF3112"/>
    <w:rsid w:val="00AF3363"/>
    <w:rsid w:val="00AF4423"/>
    <w:rsid w:val="00AF49B8"/>
    <w:rsid w:val="00AF5296"/>
    <w:rsid w:val="00AF57A7"/>
    <w:rsid w:val="00AF6875"/>
    <w:rsid w:val="00AF6F43"/>
    <w:rsid w:val="00AF6F4A"/>
    <w:rsid w:val="00AF7921"/>
    <w:rsid w:val="00AF7DA4"/>
    <w:rsid w:val="00B00065"/>
    <w:rsid w:val="00B02BD5"/>
    <w:rsid w:val="00B02D4F"/>
    <w:rsid w:val="00B02E49"/>
    <w:rsid w:val="00B02FAF"/>
    <w:rsid w:val="00B03F06"/>
    <w:rsid w:val="00B04388"/>
    <w:rsid w:val="00B0544C"/>
    <w:rsid w:val="00B0604A"/>
    <w:rsid w:val="00B07169"/>
    <w:rsid w:val="00B10A8F"/>
    <w:rsid w:val="00B1154E"/>
    <w:rsid w:val="00B11D01"/>
    <w:rsid w:val="00B1260A"/>
    <w:rsid w:val="00B12C15"/>
    <w:rsid w:val="00B132F4"/>
    <w:rsid w:val="00B13A06"/>
    <w:rsid w:val="00B13AAF"/>
    <w:rsid w:val="00B14AC4"/>
    <w:rsid w:val="00B15FAA"/>
    <w:rsid w:val="00B16307"/>
    <w:rsid w:val="00B17AC0"/>
    <w:rsid w:val="00B20CBF"/>
    <w:rsid w:val="00B230E3"/>
    <w:rsid w:val="00B237FD"/>
    <w:rsid w:val="00B24D60"/>
    <w:rsid w:val="00B25A12"/>
    <w:rsid w:val="00B27307"/>
    <w:rsid w:val="00B27AE7"/>
    <w:rsid w:val="00B27EF2"/>
    <w:rsid w:val="00B3010E"/>
    <w:rsid w:val="00B32912"/>
    <w:rsid w:val="00B32FC7"/>
    <w:rsid w:val="00B33269"/>
    <w:rsid w:val="00B33491"/>
    <w:rsid w:val="00B349CC"/>
    <w:rsid w:val="00B34AFC"/>
    <w:rsid w:val="00B35140"/>
    <w:rsid w:val="00B35869"/>
    <w:rsid w:val="00B3607B"/>
    <w:rsid w:val="00B3702B"/>
    <w:rsid w:val="00B3774B"/>
    <w:rsid w:val="00B37D0F"/>
    <w:rsid w:val="00B402CB"/>
    <w:rsid w:val="00B40687"/>
    <w:rsid w:val="00B40A5A"/>
    <w:rsid w:val="00B40BFA"/>
    <w:rsid w:val="00B4120E"/>
    <w:rsid w:val="00B41F84"/>
    <w:rsid w:val="00B4606E"/>
    <w:rsid w:val="00B46E38"/>
    <w:rsid w:val="00B47764"/>
    <w:rsid w:val="00B47A88"/>
    <w:rsid w:val="00B50FB7"/>
    <w:rsid w:val="00B51840"/>
    <w:rsid w:val="00B51C5E"/>
    <w:rsid w:val="00B51F4A"/>
    <w:rsid w:val="00B531E6"/>
    <w:rsid w:val="00B5330D"/>
    <w:rsid w:val="00B54502"/>
    <w:rsid w:val="00B546EC"/>
    <w:rsid w:val="00B55B4C"/>
    <w:rsid w:val="00B55D35"/>
    <w:rsid w:val="00B5763C"/>
    <w:rsid w:val="00B57E16"/>
    <w:rsid w:val="00B61C1F"/>
    <w:rsid w:val="00B640EA"/>
    <w:rsid w:val="00B64D8A"/>
    <w:rsid w:val="00B654B0"/>
    <w:rsid w:val="00B66476"/>
    <w:rsid w:val="00B66A64"/>
    <w:rsid w:val="00B6758A"/>
    <w:rsid w:val="00B700E1"/>
    <w:rsid w:val="00B71060"/>
    <w:rsid w:val="00B715F8"/>
    <w:rsid w:val="00B73D45"/>
    <w:rsid w:val="00B73F9B"/>
    <w:rsid w:val="00B74A17"/>
    <w:rsid w:val="00B755AE"/>
    <w:rsid w:val="00B75F2B"/>
    <w:rsid w:val="00B773F3"/>
    <w:rsid w:val="00B774CC"/>
    <w:rsid w:val="00B77B6D"/>
    <w:rsid w:val="00B8031D"/>
    <w:rsid w:val="00B80756"/>
    <w:rsid w:val="00B80E3B"/>
    <w:rsid w:val="00B81555"/>
    <w:rsid w:val="00B81A44"/>
    <w:rsid w:val="00B81BE4"/>
    <w:rsid w:val="00B82298"/>
    <w:rsid w:val="00B82724"/>
    <w:rsid w:val="00B83EC4"/>
    <w:rsid w:val="00B844AC"/>
    <w:rsid w:val="00B85000"/>
    <w:rsid w:val="00B855BA"/>
    <w:rsid w:val="00B857B3"/>
    <w:rsid w:val="00B85E15"/>
    <w:rsid w:val="00B86115"/>
    <w:rsid w:val="00B875FE"/>
    <w:rsid w:val="00B87824"/>
    <w:rsid w:val="00B90034"/>
    <w:rsid w:val="00B904AB"/>
    <w:rsid w:val="00B9057F"/>
    <w:rsid w:val="00B905D3"/>
    <w:rsid w:val="00B909A3"/>
    <w:rsid w:val="00B90BE4"/>
    <w:rsid w:val="00B91BBA"/>
    <w:rsid w:val="00B92DCF"/>
    <w:rsid w:val="00B92E1D"/>
    <w:rsid w:val="00B92F1C"/>
    <w:rsid w:val="00B9381C"/>
    <w:rsid w:val="00B93C69"/>
    <w:rsid w:val="00B93C86"/>
    <w:rsid w:val="00B9443F"/>
    <w:rsid w:val="00B94665"/>
    <w:rsid w:val="00B9661C"/>
    <w:rsid w:val="00B968A0"/>
    <w:rsid w:val="00B96CA1"/>
    <w:rsid w:val="00B97D26"/>
    <w:rsid w:val="00BA051A"/>
    <w:rsid w:val="00BA1258"/>
    <w:rsid w:val="00BA200F"/>
    <w:rsid w:val="00BA65CA"/>
    <w:rsid w:val="00BA6E47"/>
    <w:rsid w:val="00BA71A5"/>
    <w:rsid w:val="00BB096B"/>
    <w:rsid w:val="00BB14AC"/>
    <w:rsid w:val="00BB1C69"/>
    <w:rsid w:val="00BB33D0"/>
    <w:rsid w:val="00BB443F"/>
    <w:rsid w:val="00BB4684"/>
    <w:rsid w:val="00BB46E0"/>
    <w:rsid w:val="00BB470B"/>
    <w:rsid w:val="00BB5121"/>
    <w:rsid w:val="00BB5C68"/>
    <w:rsid w:val="00BB707C"/>
    <w:rsid w:val="00BC1766"/>
    <w:rsid w:val="00BC177B"/>
    <w:rsid w:val="00BC2857"/>
    <w:rsid w:val="00BC336F"/>
    <w:rsid w:val="00BC349A"/>
    <w:rsid w:val="00BC3A70"/>
    <w:rsid w:val="00BC3D81"/>
    <w:rsid w:val="00BC4B12"/>
    <w:rsid w:val="00BC4E3F"/>
    <w:rsid w:val="00BC6F35"/>
    <w:rsid w:val="00BC708D"/>
    <w:rsid w:val="00BC7800"/>
    <w:rsid w:val="00BD01F4"/>
    <w:rsid w:val="00BD0809"/>
    <w:rsid w:val="00BD0A4D"/>
    <w:rsid w:val="00BD157D"/>
    <w:rsid w:val="00BD16E2"/>
    <w:rsid w:val="00BD22E7"/>
    <w:rsid w:val="00BD22FC"/>
    <w:rsid w:val="00BD250E"/>
    <w:rsid w:val="00BD2E79"/>
    <w:rsid w:val="00BD330B"/>
    <w:rsid w:val="00BD3666"/>
    <w:rsid w:val="00BD36BF"/>
    <w:rsid w:val="00BD3A99"/>
    <w:rsid w:val="00BD53BA"/>
    <w:rsid w:val="00BD6780"/>
    <w:rsid w:val="00BD7B66"/>
    <w:rsid w:val="00BD7FDA"/>
    <w:rsid w:val="00BE0179"/>
    <w:rsid w:val="00BE3247"/>
    <w:rsid w:val="00BE333F"/>
    <w:rsid w:val="00BE3422"/>
    <w:rsid w:val="00BE43B7"/>
    <w:rsid w:val="00BE4A24"/>
    <w:rsid w:val="00BE5706"/>
    <w:rsid w:val="00BE5B49"/>
    <w:rsid w:val="00BE625E"/>
    <w:rsid w:val="00BE6315"/>
    <w:rsid w:val="00BE67FC"/>
    <w:rsid w:val="00BE6A3C"/>
    <w:rsid w:val="00BE6D8A"/>
    <w:rsid w:val="00BE72A0"/>
    <w:rsid w:val="00BE7536"/>
    <w:rsid w:val="00BF1CE7"/>
    <w:rsid w:val="00BF1EF2"/>
    <w:rsid w:val="00BF363F"/>
    <w:rsid w:val="00BF445A"/>
    <w:rsid w:val="00BF5548"/>
    <w:rsid w:val="00BF5B75"/>
    <w:rsid w:val="00BF6577"/>
    <w:rsid w:val="00BF658A"/>
    <w:rsid w:val="00BF666F"/>
    <w:rsid w:val="00BF7ABE"/>
    <w:rsid w:val="00C00247"/>
    <w:rsid w:val="00C00457"/>
    <w:rsid w:val="00C0061D"/>
    <w:rsid w:val="00C01097"/>
    <w:rsid w:val="00C02E87"/>
    <w:rsid w:val="00C03219"/>
    <w:rsid w:val="00C05148"/>
    <w:rsid w:val="00C05203"/>
    <w:rsid w:val="00C05D1E"/>
    <w:rsid w:val="00C064A1"/>
    <w:rsid w:val="00C066D4"/>
    <w:rsid w:val="00C06936"/>
    <w:rsid w:val="00C0737F"/>
    <w:rsid w:val="00C103A1"/>
    <w:rsid w:val="00C108AE"/>
    <w:rsid w:val="00C11578"/>
    <w:rsid w:val="00C11786"/>
    <w:rsid w:val="00C11792"/>
    <w:rsid w:val="00C12658"/>
    <w:rsid w:val="00C12B85"/>
    <w:rsid w:val="00C13985"/>
    <w:rsid w:val="00C13FC4"/>
    <w:rsid w:val="00C14DE0"/>
    <w:rsid w:val="00C15365"/>
    <w:rsid w:val="00C16A71"/>
    <w:rsid w:val="00C177F5"/>
    <w:rsid w:val="00C17C8C"/>
    <w:rsid w:val="00C17CF4"/>
    <w:rsid w:val="00C20D95"/>
    <w:rsid w:val="00C20F27"/>
    <w:rsid w:val="00C212A9"/>
    <w:rsid w:val="00C21994"/>
    <w:rsid w:val="00C21AB0"/>
    <w:rsid w:val="00C21DFA"/>
    <w:rsid w:val="00C22A8D"/>
    <w:rsid w:val="00C22E43"/>
    <w:rsid w:val="00C230CF"/>
    <w:rsid w:val="00C24225"/>
    <w:rsid w:val="00C2430E"/>
    <w:rsid w:val="00C243C0"/>
    <w:rsid w:val="00C24BBD"/>
    <w:rsid w:val="00C24DCB"/>
    <w:rsid w:val="00C25BEF"/>
    <w:rsid w:val="00C2696E"/>
    <w:rsid w:val="00C27046"/>
    <w:rsid w:val="00C2742B"/>
    <w:rsid w:val="00C27B63"/>
    <w:rsid w:val="00C27C33"/>
    <w:rsid w:val="00C30418"/>
    <w:rsid w:val="00C30EAE"/>
    <w:rsid w:val="00C31D6D"/>
    <w:rsid w:val="00C31FA7"/>
    <w:rsid w:val="00C325F5"/>
    <w:rsid w:val="00C32BE6"/>
    <w:rsid w:val="00C32D1E"/>
    <w:rsid w:val="00C32D28"/>
    <w:rsid w:val="00C33FE1"/>
    <w:rsid w:val="00C34C3C"/>
    <w:rsid w:val="00C34CE8"/>
    <w:rsid w:val="00C36476"/>
    <w:rsid w:val="00C3771E"/>
    <w:rsid w:val="00C37E17"/>
    <w:rsid w:val="00C40AB1"/>
    <w:rsid w:val="00C40AD8"/>
    <w:rsid w:val="00C40B54"/>
    <w:rsid w:val="00C41480"/>
    <w:rsid w:val="00C41B9A"/>
    <w:rsid w:val="00C41DE8"/>
    <w:rsid w:val="00C42A11"/>
    <w:rsid w:val="00C42C10"/>
    <w:rsid w:val="00C4300E"/>
    <w:rsid w:val="00C43F8A"/>
    <w:rsid w:val="00C45048"/>
    <w:rsid w:val="00C46CC8"/>
    <w:rsid w:val="00C47563"/>
    <w:rsid w:val="00C478A6"/>
    <w:rsid w:val="00C50FFF"/>
    <w:rsid w:val="00C5172E"/>
    <w:rsid w:val="00C5175F"/>
    <w:rsid w:val="00C51DC7"/>
    <w:rsid w:val="00C522BD"/>
    <w:rsid w:val="00C52BA6"/>
    <w:rsid w:val="00C54151"/>
    <w:rsid w:val="00C541BD"/>
    <w:rsid w:val="00C542B3"/>
    <w:rsid w:val="00C54358"/>
    <w:rsid w:val="00C55F00"/>
    <w:rsid w:val="00C56283"/>
    <w:rsid w:val="00C5685F"/>
    <w:rsid w:val="00C56949"/>
    <w:rsid w:val="00C56CFD"/>
    <w:rsid w:val="00C574D2"/>
    <w:rsid w:val="00C57740"/>
    <w:rsid w:val="00C61152"/>
    <w:rsid w:val="00C63479"/>
    <w:rsid w:val="00C6427E"/>
    <w:rsid w:val="00C64398"/>
    <w:rsid w:val="00C643E5"/>
    <w:rsid w:val="00C64B41"/>
    <w:rsid w:val="00C65A2F"/>
    <w:rsid w:val="00C663E4"/>
    <w:rsid w:val="00C668A8"/>
    <w:rsid w:val="00C67421"/>
    <w:rsid w:val="00C71860"/>
    <w:rsid w:val="00C72092"/>
    <w:rsid w:val="00C720DA"/>
    <w:rsid w:val="00C73613"/>
    <w:rsid w:val="00C7400C"/>
    <w:rsid w:val="00C740A9"/>
    <w:rsid w:val="00C74ABC"/>
    <w:rsid w:val="00C75654"/>
    <w:rsid w:val="00C75B10"/>
    <w:rsid w:val="00C77A9D"/>
    <w:rsid w:val="00C77BEB"/>
    <w:rsid w:val="00C80639"/>
    <w:rsid w:val="00C8104D"/>
    <w:rsid w:val="00C8150B"/>
    <w:rsid w:val="00C81A31"/>
    <w:rsid w:val="00C81F94"/>
    <w:rsid w:val="00C8236F"/>
    <w:rsid w:val="00C82B1B"/>
    <w:rsid w:val="00C83275"/>
    <w:rsid w:val="00C83EE1"/>
    <w:rsid w:val="00C8446C"/>
    <w:rsid w:val="00C84EC1"/>
    <w:rsid w:val="00C8522B"/>
    <w:rsid w:val="00C864CE"/>
    <w:rsid w:val="00C86EF2"/>
    <w:rsid w:val="00C87857"/>
    <w:rsid w:val="00C90538"/>
    <w:rsid w:val="00C910EC"/>
    <w:rsid w:val="00C911B6"/>
    <w:rsid w:val="00C9188F"/>
    <w:rsid w:val="00C92456"/>
    <w:rsid w:val="00C92706"/>
    <w:rsid w:val="00C92F9F"/>
    <w:rsid w:val="00C95407"/>
    <w:rsid w:val="00C9548A"/>
    <w:rsid w:val="00C96705"/>
    <w:rsid w:val="00CA00FC"/>
    <w:rsid w:val="00CA1490"/>
    <w:rsid w:val="00CA23DA"/>
    <w:rsid w:val="00CA36BA"/>
    <w:rsid w:val="00CA406F"/>
    <w:rsid w:val="00CA487E"/>
    <w:rsid w:val="00CA48C7"/>
    <w:rsid w:val="00CA58A1"/>
    <w:rsid w:val="00CA6823"/>
    <w:rsid w:val="00CA7BF9"/>
    <w:rsid w:val="00CB0CE8"/>
    <w:rsid w:val="00CB17F7"/>
    <w:rsid w:val="00CB2094"/>
    <w:rsid w:val="00CB2659"/>
    <w:rsid w:val="00CB29A3"/>
    <w:rsid w:val="00CB2E89"/>
    <w:rsid w:val="00CB31B7"/>
    <w:rsid w:val="00CB3E93"/>
    <w:rsid w:val="00CB431A"/>
    <w:rsid w:val="00CB4724"/>
    <w:rsid w:val="00CB6691"/>
    <w:rsid w:val="00CB6D40"/>
    <w:rsid w:val="00CC013D"/>
    <w:rsid w:val="00CC023D"/>
    <w:rsid w:val="00CC12AF"/>
    <w:rsid w:val="00CC13E4"/>
    <w:rsid w:val="00CC1850"/>
    <w:rsid w:val="00CC1D85"/>
    <w:rsid w:val="00CC2325"/>
    <w:rsid w:val="00CC2367"/>
    <w:rsid w:val="00CC3163"/>
    <w:rsid w:val="00CC33B8"/>
    <w:rsid w:val="00CC33C9"/>
    <w:rsid w:val="00CC35CE"/>
    <w:rsid w:val="00CC40BD"/>
    <w:rsid w:val="00CC4238"/>
    <w:rsid w:val="00CC424B"/>
    <w:rsid w:val="00CC4795"/>
    <w:rsid w:val="00CC49A8"/>
    <w:rsid w:val="00CC50FC"/>
    <w:rsid w:val="00CC5359"/>
    <w:rsid w:val="00CC7DB4"/>
    <w:rsid w:val="00CD00A3"/>
    <w:rsid w:val="00CD08E2"/>
    <w:rsid w:val="00CD0C45"/>
    <w:rsid w:val="00CD2996"/>
    <w:rsid w:val="00CD29E3"/>
    <w:rsid w:val="00CD2AE3"/>
    <w:rsid w:val="00CD2BD7"/>
    <w:rsid w:val="00CD480C"/>
    <w:rsid w:val="00CD4AB1"/>
    <w:rsid w:val="00CD59B0"/>
    <w:rsid w:val="00CD6B46"/>
    <w:rsid w:val="00CD6C77"/>
    <w:rsid w:val="00CD712D"/>
    <w:rsid w:val="00CD7460"/>
    <w:rsid w:val="00CD7843"/>
    <w:rsid w:val="00CD78F7"/>
    <w:rsid w:val="00CE0714"/>
    <w:rsid w:val="00CE0BBF"/>
    <w:rsid w:val="00CE10C1"/>
    <w:rsid w:val="00CE11CE"/>
    <w:rsid w:val="00CE1664"/>
    <w:rsid w:val="00CE172A"/>
    <w:rsid w:val="00CE1779"/>
    <w:rsid w:val="00CE1963"/>
    <w:rsid w:val="00CE3F8D"/>
    <w:rsid w:val="00CE3F98"/>
    <w:rsid w:val="00CE4576"/>
    <w:rsid w:val="00CE680D"/>
    <w:rsid w:val="00CE6BB7"/>
    <w:rsid w:val="00CE7A45"/>
    <w:rsid w:val="00CE7A95"/>
    <w:rsid w:val="00CF0178"/>
    <w:rsid w:val="00CF06FE"/>
    <w:rsid w:val="00CF0A96"/>
    <w:rsid w:val="00CF0CAE"/>
    <w:rsid w:val="00CF1004"/>
    <w:rsid w:val="00CF3E09"/>
    <w:rsid w:val="00CF4256"/>
    <w:rsid w:val="00CF4C82"/>
    <w:rsid w:val="00CF4F33"/>
    <w:rsid w:val="00CF5C55"/>
    <w:rsid w:val="00CF64A6"/>
    <w:rsid w:val="00CF6A71"/>
    <w:rsid w:val="00CF770F"/>
    <w:rsid w:val="00CF7BF6"/>
    <w:rsid w:val="00D00D63"/>
    <w:rsid w:val="00D0113C"/>
    <w:rsid w:val="00D0193D"/>
    <w:rsid w:val="00D0254E"/>
    <w:rsid w:val="00D036C4"/>
    <w:rsid w:val="00D0475B"/>
    <w:rsid w:val="00D04811"/>
    <w:rsid w:val="00D0488E"/>
    <w:rsid w:val="00D04D77"/>
    <w:rsid w:val="00D061B6"/>
    <w:rsid w:val="00D0641F"/>
    <w:rsid w:val="00D076D3"/>
    <w:rsid w:val="00D07E07"/>
    <w:rsid w:val="00D1119F"/>
    <w:rsid w:val="00D11D44"/>
    <w:rsid w:val="00D125B6"/>
    <w:rsid w:val="00D128E9"/>
    <w:rsid w:val="00D12D87"/>
    <w:rsid w:val="00D13357"/>
    <w:rsid w:val="00D137D0"/>
    <w:rsid w:val="00D1393E"/>
    <w:rsid w:val="00D13EEE"/>
    <w:rsid w:val="00D1415A"/>
    <w:rsid w:val="00D1580E"/>
    <w:rsid w:val="00D164E0"/>
    <w:rsid w:val="00D16622"/>
    <w:rsid w:val="00D17138"/>
    <w:rsid w:val="00D20331"/>
    <w:rsid w:val="00D21279"/>
    <w:rsid w:val="00D21E0A"/>
    <w:rsid w:val="00D22981"/>
    <w:rsid w:val="00D22B5D"/>
    <w:rsid w:val="00D22BB2"/>
    <w:rsid w:val="00D22E84"/>
    <w:rsid w:val="00D2527C"/>
    <w:rsid w:val="00D25A6C"/>
    <w:rsid w:val="00D26351"/>
    <w:rsid w:val="00D26C5F"/>
    <w:rsid w:val="00D2731E"/>
    <w:rsid w:val="00D27798"/>
    <w:rsid w:val="00D2793F"/>
    <w:rsid w:val="00D309DB"/>
    <w:rsid w:val="00D30BEA"/>
    <w:rsid w:val="00D30F47"/>
    <w:rsid w:val="00D30F69"/>
    <w:rsid w:val="00D31E61"/>
    <w:rsid w:val="00D33340"/>
    <w:rsid w:val="00D33CF3"/>
    <w:rsid w:val="00D346AC"/>
    <w:rsid w:val="00D34F65"/>
    <w:rsid w:val="00D35FED"/>
    <w:rsid w:val="00D36264"/>
    <w:rsid w:val="00D36296"/>
    <w:rsid w:val="00D37184"/>
    <w:rsid w:val="00D372E2"/>
    <w:rsid w:val="00D37688"/>
    <w:rsid w:val="00D37A75"/>
    <w:rsid w:val="00D42E9F"/>
    <w:rsid w:val="00D432E5"/>
    <w:rsid w:val="00D43563"/>
    <w:rsid w:val="00D4382E"/>
    <w:rsid w:val="00D43E78"/>
    <w:rsid w:val="00D45310"/>
    <w:rsid w:val="00D45E0D"/>
    <w:rsid w:val="00D4678D"/>
    <w:rsid w:val="00D46B92"/>
    <w:rsid w:val="00D47028"/>
    <w:rsid w:val="00D47526"/>
    <w:rsid w:val="00D47B96"/>
    <w:rsid w:val="00D50324"/>
    <w:rsid w:val="00D5045C"/>
    <w:rsid w:val="00D50694"/>
    <w:rsid w:val="00D51300"/>
    <w:rsid w:val="00D51E65"/>
    <w:rsid w:val="00D5365F"/>
    <w:rsid w:val="00D536E0"/>
    <w:rsid w:val="00D53FA6"/>
    <w:rsid w:val="00D55F5C"/>
    <w:rsid w:val="00D564A8"/>
    <w:rsid w:val="00D603D5"/>
    <w:rsid w:val="00D60503"/>
    <w:rsid w:val="00D610D5"/>
    <w:rsid w:val="00D631E5"/>
    <w:rsid w:val="00D6392F"/>
    <w:rsid w:val="00D63E4E"/>
    <w:rsid w:val="00D64088"/>
    <w:rsid w:val="00D656AD"/>
    <w:rsid w:val="00D65C39"/>
    <w:rsid w:val="00D661A2"/>
    <w:rsid w:val="00D66449"/>
    <w:rsid w:val="00D66604"/>
    <w:rsid w:val="00D67BC2"/>
    <w:rsid w:val="00D72822"/>
    <w:rsid w:val="00D73E4F"/>
    <w:rsid w:val="00D75250"/>
    <w:rsid w:val="00D7690C"/>
    <w:rsid w:val="00D76CAF"/>
    <w:rsid w:val="00D76CCC"/>
    <w:rsid w:val="00D7754D"/>
    <w:rsid w:val="00D77760"/>
    <w:rsid w:val="00D80DCC"/>
    <w:rsid w:val="00D812B8"/>
    <w:rsid w:val="00D81A32"/>
    <w:rsid w:val="00D82D7E"/>
    <w:rsid w:val="00D83E6C"/>
    <w:rsid w:val="00D85C88"/>
    <w:rsid w:val="00D860E6"/>
    <w:rsid w:val="00D865B6"/>
    <w:rsid w:val="00D86B7D"/>
    <w:rsid w:val="00D87A8B"/>
    <w:rsid w:val="00D901C1"/>
    <w:rsid w:val="00D90AA6"/>
    <w:rsid w:val="00D90BC2"/>
    <w:rsid w:val="00D918E1"/>
    <w:rsid w:val="00D919FB"/>
    <w:rsid w:val="00D91C33"/>
    <w:rsid w:val="00D91D34"/>
    <w:rsid w:val="00D91F63"/>
    <w:rsid w:val="00D92389"/>
    <w:rsid w:val="00D931A8"/>
    <w:rsid w:val="00D93E64"/>
    <w:rsid w:val="00D947BF"/>
    <w:rsid w:val="00D9489C"/>
    <w:rsid w:val="00D94D1B"/>
    <w:rsid w:val="00DA0E56"/>
    <w:rsid w:val="00DA19DA"/>
    <w:rsid w:val="00DA1ADE"/>
    <w:rsid w:val="00DA2520"/>
    <w:rsid w:val="00DA2664"/>
    <w:rsid w:val="00DA2D9B"/>
    <w:rsid w:val="00DA2DB0"/>
    <w:rsid w:val="00DA3B2D"/>
    <w:rsid w:val="00DA3CCE"/>
    <w:rsid w:val="00DA4C0D"/>
    <w:rsid w:val="00DA51CA"/>
    <w:rsid w:val="00DA564F"/>
    <w:rsid w:val="00DA5F40"/>
    <w:rsid w:val="00DA6518"/>
    <w:rsid w:val="00DA78A3"/>
    <w:rsid w:val="00DB0274"/>
    <w:rsid w:val="00DB065F"/>
    <w:rsid w:val="00DB0754"/>
    <w:rsid w:val="00DB0AF5"/>
    <w:rsid w:val="00DB1A9F"/>
    <w:rsid w:val="00DB20EC"/>
    <w:rsid w:val="00DB269D"/>
    <w:rsid w:val="00DB2A51"/>
    <w:rsid w:val="00DB3F6A"/>
    <w:rsid w:val="00DB46E1"/>
    <w:rsid w:val="00DB486F"/>
    <w:rsid w:val="00DB5774"/>
    <w:rsid w:val="00DB5DB6"/>
    <w:rsid w:val="00DB7D34"/>
    <w:rsid w:val="00DC0D76"/>
    <w:rsid w:val="00DC154E"/>
    <w:rsid w:val="00DC275A"/>
    <w:rsid w:val="00DC3C09"/>
    <w:rsid w:val="00DC4703"/>
    <w:rsid w:val="00DC5750"/>
    <w:rsid w:val="00DC5D5F"/>
    <w:rsid w:val="00DC5FA4"/>
    <w:rsid w:val="00DC6026"/>
    <w:rsid w:val="00DC6468"/>
    <w:rsid w:val="00DC72C9"/>
    <w:rsid w:val="00DC7437"/>
    <w:rsid w:val="00DC7F64"/>
    <w:rsid w:val="00DD0473"/>
    <w:rsid w:val="00DD0AF3"/>
    <w:rsid w:val="00DD0C55"/>
    <w:rsid w:val="00DD19E7"/>
    <w:rsid w:val="00DD26AA"/>
    <w:rsid w:val="00DD2E48"/>
    <w:rsid w:val="00DD41C9"/>
    <w:rsid w:val="00DD5ABF"/>
    <w:rsid w:val="00DD5F51"/>
    <w:rsid w:val="00DD65C3"/>
    <w:rsid w:val="00DE076D"/>
    <w:rsid w:val="00DE0DEE"/>
    <w:rsid w:val="00DE1944"/>
    <w:rsid w:val="00DE1E2C"/>
    <w:rsid w:val="00DE1F14"/>
    <w:rsid w:val="00DE25ED"/>
    <w:rsid w:val="00DE2F7D"/>
    <w:rsid w:val="00DE3458"/>
    <w:rsid w:val="00DE3D53"/>
    <w:rsid w:val="00DE53AF"/>
    <w:rsid w:val="00DE53B4"/>
    <w:rsid w:val="00DE5735"/>
    <w:rsid w:val="00DE584A"/>
    <w:rsid w:val="00DE5ACB"/>
    <w:rsid w:val="00DE5B9E"/>
    <w:rsid w:val="00DE5EB3"/>
    <w:rsid w:val="00DE704C"/>
    <w:rsid w:val="00DE77A8"/>
    <w:rsid w:val="00DE7904"/>
    <w:rsid w:val="00DE7A72"/>
    <w:rsid w:val="00DE7D7E"/>
    <w:rsid w:val="00DF0259"/>
    <w:rsid w:val="00DF0F15"/>
    <w:rsid w:val="00DF10A5"/>
    <w:rsid w:val="00DF1ACE"/>
    <w:rsid w:val="00DF311D"/>
    <w:rsid w:val="00DF3D19"/>
    <w:rsid w:val="00DF49DB"/>
    <w:rsid w:val="00DF4AE6"/>
    <w:rsid w:val="00DF4F06"/>
    <w:rsid w:val="00DF691F"/>
    <w:rsid w:val="00DF695B"/>
    <w:rsid w:val="00DF6C97"/>
    <w:rsid w:val="00E0045D"/>
    <w:rsid w:val="00E0126B"/>
    <w:rsid w:val="00E02846"/>
    <w:rsid w:val="00E033F9"/>
    <w:rsid w:val="00E0381F"/>
    <w:rsid w:val="00E03F19"/>
    <w:rsid w:val="00E042CC"/>
    <w:rsid w:val="00E05D68"/>
    <w:rsid w:val="00E068C4"/>
    <w:rsid w:val="00E07F2D"/>
    <w:rsid w:val="00E10B45"/>
    <w:rsid w:val="00E10C86"/>
    <w:rsid w:val="00E111AB"/>
    <w:rsid w:val="00E1166C"/>
    <w:rsid w:val="00E118BA"/>
    <w:rsid w:val="00E126D3"/>
    <w:rsid w:val="00E12A8B"/>
    <w:rsid w:val="00E13256"/>
    <w:rsid w:val="00E1338B"/>
    <w:rsid w:val="00E13559"/>
    <w:rsid w:val="00E135FB"/>
    <w:rsid w:val="00E1367F"/>
    <w:rsid w:val="00E14D51"/>
    <w:rsid w:val="00E15AE2"/>
    <w:rsid w:val="00E15AE3"/>
    <w:rsid w:val="00E15C3F"/>
    <w:rsid w:val="00E15E31"/>
    <w:rsid w:val="00E16654"/>
    <w:rsid w:val="00E16C2D"/>
    <w:rsid w:val="00E1790F"/>
    <w:rsid w:val="00E17BE8"/>
    <w:rsid w:val="00E20191"/>
    <w:rsid w:val="00E20B21"/>
    <w:rsid w:val="00E20C6A"/>
    <w:rsid w:val="00E216CC"/>
    <w:rsid w:val="00E219B7"/>
    <w:rsid w:val="00E235CB"/>
    <w:rsid w:val="00E237C2"/>
    <w:rsid w:val="00E24916"/>
    <w:rsid w:val="00E24AF9"/>
    <w:rsid w:val="00E2549B"/>
    <w:rsid w:val="00E26579"/>
    <w:rsid w:val="00E2789B"/>
    <w:rsid w:val="00E301A4"/>
    <w:rsid w:val="00E3055E"/>
    <w:rsid w:val="00E30EEF"/>
    <w:rsid w:val="00E3295C"/>
    <w:rsid w:val="00E331F9"/>
    <w:rsid w:val="00E33B47"/>
    <w:rsid w:val="00E35F57"/>
    <w:rsid w:val="00E3636F"/>
    <w:rsid w:val="00E36A85"/>
    <w:rsid w:val="00E37613"/>
    <w:rsid w:val="00E40761"/>
    <w:rsid w:val="00E41560"/>
    <w:rsid w:val="00E41D23"/>
    <w:rsid w:val="00E41D57"/>
    <w:rsid w:val="00E421FA"/>
    <w:rsid w:val="00E42715"/>
    <w:rsid w:val="00E42AF0"/>
    <w:rsid w:val="00E43109"/>
    <w:rsid w:val="00E435D2"/>
    <w:rsid w:val="00E438CF"/>
    <w:rsid w:val="00E44076"/>
    <w:rsid w:val="00E457E6"/>
    <w:rsid w:val="00E459FA"/>
    <w:rsid w:val="00E45FA2"/>
    <w:rsid w:val="00E46386"/>
    <w:rsid w:val="00E47D15"/>
    <w:rsid w:val="00E5104A"/>
    <w:rsid w:val="00E5162E"/>
    <w:rsid w:val="00E51843"/>
    <w:rsid w:val="00E52E53"/>
    <w:rsid w:val="00E53BB7"/>
    <w:rsid w:val="00E54973"/>
    <w:rsid w:val="00E549AA"/>
    <w:rsid w:val="00E549FC"/>
    <w:rsid w:val="00E54E6F"/>
    <w:rsid w:val="00E55813"/>
    <w:rsid w:val="00E559B0"/>
    <w:rsid w:val="00E56840"/>
    <w:rsid w:val="00E56BE0"/>
    <w:rsid w:val="00E57220"/>
    <w:rsid w:val="00E57996"/>
    <w:rsid w:val="00E57B0D"/>
    <w:rsid w:val="00E57F30"/>
    <w:rsid w:val="00E600B8"/>
    <w:rsid w:val="00E60360"/>
    <w:rsid w:val="00E60977"/>
    <w:rsid w:val="00E60CCB"/>
    <w:rsid w:val="00E6277B"/>
    <w:rsid w:val="00E62983"/>
    <w:rsid w:val="00E6599A"/>
    <w:rsid w:val="00E666A2"/>
    <w:rsid w:val="00E72E63"/>
    <w:rsid w:val="00E73C1F"/>
    <w:rsid w:val="00E74051"/>
    <w:rsid w:val="00E7458D"/>
    <w:rsid w:val="00E74B7E"/>
    <w:rsid w:val="00E75BE5"/>
    <w:rsid w:val="00E7628C"/>
    <w:rsid w:val="00E77C2C"/>
    <w:rsid w:val="00E77D9C"/>
    <w:rsid w:val="00E801B8"/>
    <w:rsid w:val="00E80661"/>
    <w:rsid w:val="00E81339"/>
    <w:rsid w:val="00E813DA"/>
    <w:rsid w:val="00E8199F"/>
    <w:rsid w:val="00E81A5E"/>
    <w:rsid w:val="00E81EE8"/>
    <w:rsid w:val="00E83233"/>
    <w:rsid w:val="00E8476E"/>
    <w:rsid w:val="00E86320"/>
    <w:rsid w:val="00E864D9"/>
    <w:rsid w:val="00E86C09"/>
    <w:rsid w:val="00E87978"/>
    <w:rsid w:val="00E90A8C"/>
    <w:rsid w:val="00E9207E"/>
    <w:rsid w:val="00E925C0"/>
    <w:rsid w:val="00E9402E"/>
    <w:rsid w:val="00E9408D"/>
    <w:rsid w:val="00E94320"/>
    <w:rsid w:val="00E944F3"/>
    <w:rsid w:val="00E94CB5"/>
    <w:rsid w:val="00E956B5"/>
    <w:rsid w:val="00E962B5"/>
    <w:rsid w:val="00E96366"/>
    <w:rsid w:val="00E96419"/>
    <w:rsid w:val="00E968AE"/>
    <w:rsid w:val="00E96A5C"/>
    <w:rsid w:val="00E971A5"/>
    <w:rsid w:val="00E97216"/>
    <w:rsid w:val="00E9747D"/>
    <w:rsid w:val="00E97E1A"/>
    <w:rsid w:val="00EA1569"/>
    <w:rsid w:val="00EA18ED"/>
    <w:rsid w:val="00EA20CF"/>
    <w:rsid w:val="00EA2966"/>
    <w:rsid w:val="00EA2A6C"/>
    <w:rsid w:val="00EA3269"/>
    <w:rsid w:val="00EA401D"/>
    <w:rsid w:val="00EA4380"/>
    <w:rsid w:val="00EA52FC"/>
    <w:rsid w:val="00EA58CD"/>
    <w:rsid w:val="00EA5CCF"/>
    <w:rsid w:val="00EA5D02"/>
    <w:rsid w:val="00EA608F"/>
    <w:rsid w:val="00EA62F5"/>
    <w:rsid w:val="00EA659E"/>
    <w:rsid w:val="00EA7847"/>
    <w:rsid w:val="00EB09A8"/>
    <w:rsid w:val="00EB0C6D"/>
    <w:rsid w:val="00EB103F"/>
    <w:rsid w:val="00EB243D"/>
    <w:rsid w:val="00EB2848"/>
    <w:rsid w:val="00EB2B4D"/>
    <w:rsid w:val="00EB3322"/>
    <w:rsid w:val="00EB4338"/>
    <w:rsid w:val="00EB4862"/>
    <w:rsid w:val="00EB5535"/>
    <w:rsid w:val="00EB570D"/>
    <w:rsid w:val="00EB6188"/>
    <w:rsid w:val="00EB6379"/>
    <w:rsid w:val="00EB66CA"/>
    <w:rsid w:val="00EC00EA"/>
    <w:rsid w:val="00EC12D2"/>
    <w:rsid w:val="00EC1C28"/>
    <w:rsid w:val="00EC20F8"/>
    <w:rsid w:val="00EC2782"/>
    <w:rsid w:val="00EC28BE"/>
    <w:rsid w:val="00EC393C"/>
    <w:rsid w:val="00EC3AA0"/>
    <w:rsid w:val="00EC53B1"/>
    <w:rsid w:val="00EC5434"/>
    <w:rsid w:val="00EC69C6"/>
    <w:rsid w:val="00EC72BB"/>
    <w:rsid w:val="00ED0210"/>
    <w:rsid w:val="00ED146A"/>
    <w:rsid w:val="00ED193A"/>
    <w:rsid w:val="00ED1982"/>
    <w:rsid w:val="00ED1F0A"/>
    <w:rsid w:val="00ED2700"/>
    <w:rsid w:val="00ED386A"/>
    <w:rsid w:val="00ED5F33"/>
    <w:rsid w:val="00ED6076"/>
    <w:rsid w:val="00ED7608"/>
    <w:rsid w:val="00ED7BA6"/>
    <w:rsid w:val="00ED7CFB"/>
    <w:rsid w:val="00EE0BFA"/>
    <w:rsid w:val="00EE1102"/>
    <w:rsid w:val="00EE16E0"/>
    <w:rsid w:val="00EE2895"/>
    <w:rsid w:val="00EE2EEE"/>
    <w:rsid w:val="00EE30DE"/>
    <w:rsid w:val="00EE37CF"/>
    <w:rsid w:val="00EE441F"/>
    <w:rsid w:val="00EE55BA"/>
    <w:rsid w:val="00EE5A91"/>
    <w:rsid w:val="00EE6CFB"/>
    <w:rsid w:val="00EE702F"/>
    <w:rsid w:val="00EE7978"/>
    <w:rsid w:val="00EE7EA5"/>
    <w:rsid w:val="00EF11A4"/>
    <w:rsid w:val="00EF303C"/>
    <w:rsid w:val="00EF340A"/>
    <w:rsid w:val="00EF4389"/>
    <w:rsid w:val="00EF456A"/>
    <w:rsid w:val="00EF530F"/>
    <w:rsid w:val="00EF5413"/>
    <w:rsid w:val="00EF5515"/>
    <w:rsid w:val="00EF5D50"/>
    <w:rsid w:val="00EF70FF"/>
    <w:rsid w:val="00EF75CF"/>
    <w:rsid w:val="00EF7EED"/>
    <w:rsid w:val="00F0077A"/>
    <w:rsid w:val="00F013F6"/>
    <w:rsid w:val="00F01959"/>
    <w:rsid w:val="00F020ED"/>
    <w:rsid w:val="00F021B6"/>
    <w:rsid w:val="00F0256D"/>
    <w:rsid w:val="00F02984"/>
    <w:rsid w:val="00F02DDB"/>
    <w:rsid w:val="00F0319F"/>
    <w:rsid w:val="00F03E61"/>
    <w:rsid w:val="00F0494B"/>
    <w:rsid w:val="00F04F33"/>
    <w:rsid w:val="00F05DA9"/>
    <w:rsid w:val="00F06BAF"/>
    <w:rsid w:val="00F071D9"/>
    <w:rsid w:val="00F072A9"/>
    <w:rsid w:val="00F10335"/>
    <w:rsid w:val="00F108AC"/>
    <w:rsid w:val="00F10E57"/>
    <w:rsid w:val="00F11545"/>
    <w:rsid w:val="00F1198F"/>
    <w:rsid w:val="00F11DE9"/>
    <w:rsid w:val="00F11F3B"/>
    <w:rsid w:val="00F12026"/>
    <w:rsid w:val="00F12437"/>
    <w:rsid w:val="00F136DB"/>
    <w:rsid w:val="00F13F3F"/>
    <w:rsid w:val="00F15CAD"/>
    <w:rsid w:val="00F15E17"/>
    <w:rsid w:val="00F16179"/>
    <w:rsid w:val="00F16186"/>
    <w:rsid w:val="00F168D7"/>
    <w:rsid w:val="00F16E08"/>
    <w:rsid w:val="00F171A5"/>
    <w:rsid w:val="00F175C0"/>
    <w:rsid w:val="00F176B6"/>
    <w:rsid w:val="00F21AB2"/>
    <w:rsid w:val="00F21C75"/>
    <w:rsid w:val="00F22ABF"/>
    <w:rsid w:val="00F22E16"/>
    <w:rsid w:val="00F22F3D"/>
    <w:rsid w:val="00F23782"/>
    <w:rsid w:val="00F246EA"/>
    <w:rsid w:val="00F2553B"/>
    <w:rsid w:val="00F25CE8"/>
    <w:rsid w:val="00F27C74"/>
    <w:rsid w:val="00F3011D"/>
    <w:rsid w:val="00F305B2"/>
    <w:rsid w:val="00F32619"/>
    <w:rsid w:val="00F32F26"/>
    <w:rsid w:val="00F33700"/>
    <w:rsid w:val="00F33CFC"/>
    <w:rsid w:val="00F3516C"/>
    <w:rsid w:val="00F3588A"/>
    <w:rsid w:val="00F3768B"/>
    <w:rsid w:val="00F37A8B"/>
    <w:rsid w:val="00F37E86"/>
    <w:rsid w:val="00F4069B"/>
    <w:rsid w:val="00F40C0D"/>
    <w:rsid w:val="00F42D12"/>
    <w:rsid w:val="00F43D1F"/>
    <w:rsid w:val="00F44076"/>
    <w:rsid w:val="00F440A2"/>
    <w:rsid w:val="00F4420E"/>
    <w:rsid w:val="00F442DA"/>
    <w:rsid w:val="00F443A5"/>
    <w:rsid w:val="00F4549A"/>
    <w:rsid w:val="00F45E05"/>
    <w:rsid w:val="00F46D9A"/>
    <w:rsid w:val="00F47093"/>
    <w:rsid w:val="00F47C5E"/>
    <w:rsid w:val="00F50832"/>
    <w:rsid w:val="00F5163A"/>
    <w:rsid w:val="00F526FF"/>
    <w:rsid w:val="00F53413"/>
    <w:rsid w:val="00F545D9"/>
    <w:rsid w:val="00F55C34"/>
    <w:rsid w:val="00F5621F"/>
    <w:rsid w:val="00F56537"/>
    <w:rsid w:val="00F56F1A"/>
    <w:rsid w:val="00F576F9"/>
    <w:rsid w:val="00F57F0A"/>
    <w:rsid w:val="00F6076A"/>
    <w:rsid w:val="00F6111F"/>
    <w:rsid w:val="00F62758"/>
    <w:rsid w:val="00F62FEF"/>
    <w:rsid w:val="00F633CF"/>
    <w:rsid w:val="00F63651"/>
    <w:rsid w:val="00F64014"/>
    <w:rsid w:val="00F645F5"/>
    <w:rsid w:val="00F6491F"/>
    <w:rsid w:val="00F65CB5"/>
    <w:rsid w:val="00F65DC9"/>
    <w:rsid w:val="00F7011F"/>
    <w:rsid w:val="00F7101B"/>
    <w:rsid w:val="00F711FD"/>
    <w:rsid w:val="00F7186F"/>
    <w:rsid w:val="00F748A2"/>
    <w:rsid w:val="00F74B48"/>
    <w:rsid w:val="00F771D7"/>
    <w:rsid w:val="00F77575"/>
    <w:rsid w:val="00F809FA"/>
    <w:rsid w:val="00F81FC6"/>
    <w:rsid w:val="00F82243"/>
    <w:rsid w:val="00F822E2"/>
    <w:rsid w:val="00F8248B"/>
    <w:rsid w:val="00F83209"/>
    <w:rsid w:val="00F8408E"/>
    <w:rsid w:val="00F84B9D"/>
    <w:rsid w:val="00F85EA6"/>
    <w:rsid w:val="00F86238"/>
    <w:rsid w:val="00F86EED"/>
    <w:rsid w:val="00F87744"/>
    <w:rsid w:val="00F9007F"/>
    <w:rsid w:val="00F90C53"/>
    <w:rsid w:val="00F90F23"/>
    <w:rsid w:val="00F91224"/>
    <w:rsid w:val="00F918FA"/>
    <w:rsid w:val="00F91F05"/>
    <w:rsid w:val="00F92382"/>
    <w:rsid w:val="00F92A38"/>
    <w:rsid w:val="00F92D94"/>
    <w:rsid w:val="00F9310C"/>
    <w:rsid w:val="00F94D5E"/>
    <w:rsid w:val="00F94DB3"/>
    <w:rsid w:val="00F9534C"/>
    <w:rsid w:val="00F955B1"/>
    <w:rsid w:val="00F95ABE"/>
    <w:rsid w:val="00F95CDD"/>
    <w:rsid w:val="00F95D02"/>
    <w:rsid w:val="00F95EEF"/>
    <w:rsid w:val="00F965FC"/>
    <w:rsid w:val="00F96E80"/>
    <w:rsid w:val="00F97622"/>
    <w:rsid w:val="00F9767F"/>
    <w:rsid w:val="00FA1145"/>
    <w:rsid w:val="00FA1275"/>
    <w:rsid w:val="00FA1483"/>
    <w:rsid w:val="00FA1881"/>
    <w:rsid w:val="00FA1C4C"/>
    <w:rsid w:val="00FA2305"/>
    <w:rsid w:val="00FA3726"/>
    <w:rsid w:val="00FA3E36"/>
    <w:rsid w:val="00FA40FC"/>
    <w:rsid w:val="00FA41AE"/>
    <w:rsid w:val="00FA68E9"/>
    <w:rsid w:val="00FA6C97"/>
    <w:rsid w:val="00FA6FC7"/>
    <w:rsid w:val="00FB0A4D"/>
    <w:rsid w:val="00FB11E2"/>
    <w:rsid w:val="00FB169D"/>
    <w:rsid w:val="00FB1E6E"/>
    <w:rsid w:val="00FB1E95"/>
    <w:rsid w:val="00FB3442"/>
    <w:rsid w:val="00FB4277"/>
    <w:rsid w:val="00FB435C"/>
    <w:rsid w:val="00FB45B2"/>
    <w:rsid w:val="00FB4C71"/>
    <w:rsid w:val="00FB50D2"/>
    <w:rsid w:val="00FB5332"/>
    <w:rsid w:val="00FB53AA"/>
    <w:rsid w:val="00FB5CA8"/>
    <w:rsid w:val="00FB6246"/>
    <w:rsid w:val="00FB63F1"/>
    <w:rsid w:val="00FC0224"/>
    <w:rsid w:val="00FC12B1"/>
    <w:rsid w:val="00FC1BC3"/>
    <w:rsid w:val="00FC26A8"/>
    <w:rsid w:val="00FC48CA"/>
    <w:rsid w:val="00FC508A"/>
    <w:rsid w:val="00FC5386"/>
    <w:rsid w:val="00FC57D6"/>
    <w:rsid w:val="00FC5912"/>
    <w:rsid w:val="00FC5B9D"/>
    <w:rsid w:val="00FC633D"/>
    <w:rsid w:val="00FC6871"/>
    <w:rsid w:val="00FC7650"/>
    <w:rsid w:val="00FC7A82"/>
    <w:rsid w:val="00FC7DC3"/>
    <w:rsid w:val="00FD1552"/>
    <w:rsid w:val="00FD18DD"/>
    <w:rsid w:val="00FD2283"/>
    <w:rsid w:val="00FD254D"/>
    <w:rsid w:val="00FD324B"/>
    <w:rsid w:val="00FD3C8E"/>
    <w:rsid w:val="00FD4846"/>
    <w:rsid w:val="00FD4C56"/>
    <w:rsid w:val="00FD50F3"/>
    <w:rsid w:val="00FD58B2"/>
    <w:rsid w:val="00FD5E2A"/>
    <w:rsid w:val="00FD6370"/>
    <w:rsid w:val="00FD6BC2"/>
    <w:rsid w:val="00FD7A2D"/>
    <w:rsid w:val="00FE00FC"/>
    <w:rsid w:val="00FE0AE5"/>
    <w:rsid w:val="00FE4687"/>
    <w:rsid w:val="00FE4D27"/>
    <w:rsid w:val="00FE5173"/>
    <w:rsid w:val="00FE5B50"/>
    <w:rsid w:val="00FE7194"/>
    <w:rsid w:val="00FE7712"/>
    <w:rsid w:val="00FF020D"/>
    <w:rsid w:val="00FF17CA"/>
    <w:rsid w:val="00FF1AE6"/>
    <w:rsid w:val="00FF34EA"/>
    <w:rsid w:val="00FF366D"/>
    <w:rsid w:val="00FF39F1"/>
    <w:rsid w:val="00FF3CA1"/>
    <w:rsid w:val="00FF4986"/>
    <w:rsid w:val="00FF4994"/>
    <w:rsid w:val="00FF4F1B"/>
    <w:rsid w:val="00FF5EDB"/>
    <w:rsid w:val="00FF621E"/>
    <w:rsid w:val="00FF64CB"/>
    <w:rsid w:val="00FF76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FE1B8"/>
  <w15:chartTrackingRefBased/>
  <w15:docId w15:val="{3C49DDD2-BAA2-4969-BBD4-EE04460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E30"/>
    <w:pPr>
      <w:spacing w:after="120" w:line="240" w:lineRule="auto"/>
    </w:pPr>
    <w:rPr>
      <w:rFonts w:ascii="ITC Avant Garde" w:hAnsi="ITC Avant Garde"/>
    </w:rPr>
  </w:style>
  <w:style w:type="paragraph" w:styleId="Ttulo1">
    <w:name w:val="heading 1"/>
    <w:basedOn w:val="Normal"/>
    <w:next w:val="Normal"/>
    <w:link w:val="Ttulo1Car"/>
    <w:uiPriority w:val="9"/>
    <w:qFormat/>
    <w:rsid w:val="0024789C"/>
    <w:pPr>
      <w:numPr>
        <w:numId w:val="22"/>
      </w:numPr>
      <w:spacing w:before="240" w:after="240"/>
      <w:outlineLvl w:val="0"/>
    </w:pPr>
    <w:rPr>
      <w:b/>
    </w:rPr>
  </w:style>
  <w:style w:type="paragraph" w:styleId="Ttulo2">
    <w:name w:val="heading 2"/>
    <w:basedOn w:val="Normal"/>
    <w:next w:val="Normal"/>
    <w:link w:val="Ttulo2Car"/>
    <w:uiPriority w:val="9"/>
    <w:unhideWhenUsed/>
    <w:qFormat/>
    <w:rsid w:val="00CC35CE"/>
    <w:pPr>
      <w:keepNext/>
      <w:keepLines/>
      <w:numPr>
        <w:ilvl w:val="1"/>
        <w:numId w:val="22"/>
      </w:numPr>
      <w:spacing w:before="240" w:after="24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C2B85"/>
    <w:pPr>
      <w:keepNext/>
      <w:keepLines/>
      <w:numPr>
        <w:ilvl w:val="2"/>
        <w:numId w:val="22"/>
      </w:numPr>
      <w:spacing w:before="240" w:after="24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AE6014"/>
    <w:pPr>
      <w:keepNext/>
      <w:keepLines/>
      <w:numPr>
        <w:ilvl w:val="3"/>
        <w:numId w:val="22"/>
      </w:numPr>
      <w:spacing w:before="240" w:after="240"/>
      <w:outlineLvl w:val="3"/>
    </w:pPr>
    <w:rPr>
      <w:rFonts w:eastAsiaTheme="majorEastAsia" w:cstheme="majorBidi"/>
      <w:b/>
      <w:iCs/>
    </w:rPr>
  </w:style>
  <w:style w:type="paragraph" w:styleId="Ttulo5">
    <w:name w:val="heading 5"/>
    <w:basedOn w:val="Normal"/>
    <w:next w:val="Normal"/>
    <w:link w:val="Ttulo5Car"/>
    <w:uiPriority w:val="9"/>
    <w:unhideWhenUsed/>
    <w:qFormat/>
    <w:rsid w:val="004C779F"/>
    <w:pPr>
      <w:keepNext/>
      <w:keepLines/>
      <w:numPr>
        <w:ilvl w:val="4"/>
        <w:numId w:val="22"/>
      </w:numPr>
      <w:spacing w:before="240" w:after="240"/>
      <w:outlineLvl w:val="4"/>
    </w:pPr>
    <w:rPr>
      <w:rFonts w:eastAsiaTheme="majorEastAsia" w:cstheme="majorBidi"/>
      <w:i/>
    </w:rPr>
  </w:style>
  <w:style w:type="paragraph" w:styleId="Ttulo6">
    <w:name w:val="heading 6"/>
    <w:basedOn w:val="Normal"/>
    <w:next w:val="Normal"/>
    <w:link w:val="Ttulo6Car"/>
    <w:uiPriority w:val="9"/>
    <w:unhideWhenUsed/>
    <w:qFormat/>
    <w:rsid w:val="00BC336F"/>
    <w:pPr>
      <w:keepNext/>
      <w:keepLines/>
      <w:numPr>
        <w:ilvl w:val="5"/>
        <w:numId w:val="22"/>
      </w:numPr>
      <w:outlineLvl w:val="5"/>
    </w:pPr>
    <w:rPr>
      <w:rFonts w:eastAsiaTheme="majorEastAsia" w:cstheme="majorBidi"/>
      <w:i/>
    </w:rPr>
  </w:style>
  <w:style w:type="paragraph" w:styleId="Ttulo7">
    <w:name w:val="heading 7"/>
    <w:basedOn w:val="Normal"/>
    <w:next w:val="Normal"/>
    <w:link w:val="Ttulo7Car"/>
    <w:uiPriority w:val="9"/>
    <w:unhideWhenUsed/>
    <w:qFormat/>
    <w:rsid w:val="00BC336F"/>
    <w:pPr>
      <w:keepNext/>
      <w:keepLines/>
      <w:numPr>
        <w:ilvl w:val="6"/>
        <w:numId w:val="22"/>
      </w:numPr>
      <w:jc w:val="both"/>
      <w:outlineLvl w:val="6"/>
    </w:pPr>
    <w:rPr>
      <w:rFonts w:eastAsiaTheme="majorEastAsia" w:cstheme="majorBidi"/>
      <w:i/>
      <w:iCs/>
      <w:color w:val="404040" w:themeColor="text1" w:themeTint="BF"/>
      <w:u w:val="single"/>
    </w:rPr>
  </w:style>
  <w:style w:type="paragraph" w:styleId="Ttulo8">
    <w:name w:val="heading 8"/>
    <w:basedOn w:val="Normal"/>
    <w:next w:val="Normal"/>
    <w:link w:val="Ttulo8Car"/>
    <w:uiPriority w:val="9"/>
    <w:semiHidden/>
    <w:unhideWhenUsed/>
    <w:qFormat/>
    <w:rsid w:val="00BC336F"/>
    <w:pPr>
      <w:keepNext/>
      <w:keepLines/>
      <w:numPr>
        <w:ilvl w:val="7"/>
        <w:numId w:val="22"/>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C336F"/>
    <w:pPr>
      <w:keepNext/>
      <w:keepLines/>
      <w:numPr>
        <w:ilvl w:val="8"/>
        <w:numId w:val="22"/>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789C"/>
    <w:rPr>
      <w:rFonts w:ascii="ITC Avant Garde" w:hAnsi="ITC Avant Garde"/>
      <w:b/>
    </w:rPr>
  </w:style>
  <w:style w:type="character" w:customStyle="1" w:styleId="Ttulo2Car">
    <w:name w:val="Título 2 Car"/>
    <w:basedOn w:val="Fuentedeprrafopredeter"/>
    <w:link w:val="Ttulo2"/>
    <w:uiPriority w:val="9"/>
    <w:rsid w:val="00CC35CE"/>
    <w:rPr>
      <w:rFonts w:ascii="ITC Avant Garde" w:eastAsiaTheme="majorEastAsia" w:hAnsi="ITC Avant Garde" w:cstheme="majorBidi"/>
      <w:b/>
      <w:szCs w:val="26"/>
    </w:rPr>
  </w:style>
  <w:style w:type="character" w:customStyle="1" w:styleId="Ttulo3Car">
    <w:name w:val="Título 3 Car"/>
    <w:basedOn w:val="Fuentedeprrafopredeter"/>
    <w:link w:val="Ttulo3"/>
    <w:uiPriority w:val="9"/>
    <w:rsid w:val="007C2B85"/>
    <w:rPr>
      <w:rFonts w:ascii="ITC Avant Garde" w:eastAsiaTheme="majorEastAsia" w:hAnsi="ITC Avant Garde" w:cstheme="majorBidi"/>
      <w:b/>
      <w:szCs w:val="24"/>
    </w:rPr>
  </w:style>
  <w:style w:type="character" w:customStyle="1" w:styleId="Ttulo4Car">
    <w:name w:val="Título 4 Car"/>
    <w:basedOn w:val="Fuentedeprrafopredeter"/>
    <w:link w:val="Ttulo4"/>
    <w:uiPriority w:val="9"/>
    <w:rsid w:val="00AE6014"/>
    <w:rPr>
      <w:rFonts w:ascii="ITC Avant Garde" w:eastAsiaTheme="majorEastAsia" w:hAnsi="ITC Avant Garde" w:cstheme="majorBidi"/>
      <w:b/>
      <w:iCs/>
    </w:rPr>
  </w:style>
  <w:style w:type="character" w:customStyle="1" w:styleId="Ttulo5Car">
    <w:name w:val="Título 5 Car"/>
    <w:basedOn w:val="Fuentedeprrafopredeter"/>
    <w:link w:val="Ttulo5"/>
    <w:uiPriority w:val="9"/>
    <w:rsid w:val="004C779F"/>
    <w:rPr>
      <w:rFonts w:ascii="ITC Avant Garde" w:eastAsiaTheme="majorEastAsia" w:hAnsi="ITC Avant Garde" w:cstheme="majorBidi"/>
      <w:i/>
    </w:rPr>
  </w:style>
  <w:style w:type="character" w:customStyle="1" w:styleId="Ttulo6Car">
    <w:name w:val="Título 6 Car"/>
    <w:basedOn w:val="Fuentedeprrafopredeter"/>
    <w:link w:val="Ttulo6"/>
    <w:uiPriority w:val="9"/>
    <w:rsid w:val="00BC336F"/>
    <w:rPr>
      <w:rFonts w:ascii="ITC Avant Garde" w:eastAsiaTheme="majorEastAsia" w:hAnsi="ITC Avant Garde" w:cstheme="majorBidi"/>
      <w:i/>
    </w:rPr>
  </w:style>
  <w:style w:type="character" w:customStyle="1" w:styleId="Ttulo7Car">
    <w:name w:val="Título 7 Car"/>
    <w:basedOn w:val="Fuentedeprrafopredeter"/>
    <w:link w:val="Ttulo7"/>
    <w:uiPriority w:val="9"/>
    <w:rsid w:val="00BC336F"/>
    <w:rPr>
      <w:rFonts w:ascii="ITC Avant Garde" w:eastAsiaTheme="majorEastAsia" w:hAnsi="ITC Avant Garde" w:cstheme="majorBidi"/>
      <w:i/>
      <w:iCs/>
      <w:color w:val="404040" w:themeColor="text1" w:themeTint="BF"/>
      <w:u w:val="single"/>
    </w:rPr>
  </w:style>
  <w:style w:type="character" w:customStyle="1" w:styleId="Ttulo8Car">
    <w:name w:val="Título 8 Car"/>
    <w:basedOn w:val="Fuentedeprrafopredeter"/>
    <w:link w:val="Ttulo8"/>
    <w:uiPriority w:val="9"/>
    <w:semiHidden/>
    <w:rsid w:val="00BC336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C336F"/>
    <w:rPr>
      <w:rFonts w:asciiTheme="majorHAnsi" w:eastAsiaTheme="majorEastAsia" w:hAnsiTheme="majorHAnsi" w:cstheme="majorBidi"/>
      <w:i/>
      <w:iCs/>
      <w:color w:val="404040" w:themeColor="text1" w:themeTint="BF"/>
      <w:sz w:val="20"/>
      <w:szCs w:val="20"/>
    </w:rPr>
  </w:style>
  <w:style w:type="numbering" w:customStyle="1" w:styleId="Sinlista1">
    <w:name w:val="Sin lista1"/>
    <w:next w:val="Sinlista"/>
    <w:uiPriority w:val="99"/>
    <w:semiHidden/>
    <w:unhideWhenUsed/>
    <w:rsid w:val="00BC336F"/>
  </w:style>
  <w:style w:type="numbering" w:customStyle="1" w:styleId="Sinlista11">
    <w:name w:val="Sin lista11"/>
    <w:next w:val="Sinlista"/>
    <w:uiPriority w:val="99"/>
    <w:semiHidden/>
    <w:unhideWhenUsed/>
    <w:rsid w:val="00BC336F"/>
  </w:style>
  <w:style w:type="table" w:styleId="Tablaconcuadrcula">
    <w:name w:val="Table Grid"/>
    <w:basedOn w:val="Tablanormal"/>
    <w:uiPriority w:val="39"/>
    <w:rsid w:val="00BC336F"/>
    <w:pPr>
      <w:spacing w:after="0" w:line="240" w:lineRule="auto"/>
    </w:p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FFFFFF" w:themeFill="background1"/>
    </w:tcPr>
  </w:style>
  <w:style w:type="paragraph" w:styleId="Prrafodelista">
    <w:name w:val="List Paragraph"/>
    <w:basedOn w:val="Normal"/>
    <w:link w:val="PrrafodelistaCar"/>
    <w:uiPriority w:val="34"/>
    <w:qFormat/>
    <w:rsid w:val="00BC336F"/>
    <w:pPr>
      <w:spacing w:after="200" w:line="276" w:lineRule="auto"/>
      <w:ind w:left="720"/>
      <w:contextualSpacing/>
    </w:pPr>
  </w:style>
  <w:style w:type="character" w:customStyle="1" w:styleId="PrrafodelistaCar">
    <w:name w:val="Párrafo de lista Car"/>
    <w:basedOn w:val="Fuentedeprrafopredeter"/>
    <w:link w:val="Prrafodelista"/>
    <w:uiPriority w:val="34"/>
    <w:rsid w:val="00BC336F"/>
    <w:rPr>
      <w:rFonts w:ascii="ITC Avant Garde" w:hAnsi="ITC Avant Garde"/>
    </w:rPr>
  </w:style>
  <w:style w:type="character" w:styleId="Refdenotaalpie">
    <w:name w:val="footnote reference"/>
    <w:aliases w:val="Ref,de nota al pie,(NECG) Footnote Reference,o,fr,Style 3,Appel note de bas de p,Style 12,Style 124,Style 13,FR,Style 17,Style 6,Footnote Reference/,Ref. de nota al pie 2,Footnotes refss,Texto de nota al pie,Appel note de bas de page"/>
    <w:basedOn w:val="Fuentedeprrafopredeter"/>
    <w:uiPriority w:val="99"/>
    <w:qFormat/>
    <w:rsid w:val="00BC336F"/>
    <w:rPr>
      <w:vertAlign w:val="superscript"/>
    </w:rPr>
  </w:style>
  <w:style w:type="paragraph" w:styleId="Sinespaciado">
    <w:name w:val="No Spacing"/>
    <w:link w:val="SinespaciadoCar"/>
    <w:uiPriority w:val="1"/>
    <w:qFormat/>
    <w:rsid w:val="00BC336F"/>
    <w:pPr>
      <w:spacing w:after="0" w:line="240" w:lineRule="auto"/>
    </w:pPr>
  </w:style>
  <w:style w:type="table" w:customStyle="1" w:styleId="Sombreadomedio110">
    <w:name w:val="Sombreado medio 110"/>
    <w:basedOn w:val="Tablanormal"/>
    <w:next w:val="Tablanormal"/>
    <w:uiPriority w:val="63"/>
    <w:rsid w:val="00BC336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No"/>
    <w:basedOn w:val="Normal"/>
    <w:link w:val="TextonotapieCar"/>
    <w:uiPriority w:val="99"/>
    <w:unhideWhenUsed/>
    <w:qFormat/>
    <w:rsid w:val="00BC336F"/>
    <w:pPr>
      <w:spacing w:after="0"/>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BC336F"/>
    <w:rPr>
      <w:rFonts w:ascii="ITC Avant Garde" w:hAnsi="ITC Avant Garde"/>
      <w:sz w:val="20"/>
      <w:szCs w:val="20"/>
    </w:rPr>
  </w:style>
  <w:style w:type="paragraph" w:customStyle="1" w:styleId="Listaconvietas1">
    <w:name w:val="Lista con viñetas1"/>
    <w:basedOn w:val="Normal"/>
    <w:next w:val="Listaconvietas"/>
    <w:uiPriority w:val="99"/>
    <w:unhideWhenUsed/>
    <w:rsid w:val="00BC336F"/>
    <w:pPr>
      <w:numPr>
        <w:numId w:val="1"/>
      </w:numPr>
      <w:contextualSpacing/>
      <w:jc w:val="both"/>
    </w:pPr>
    <w:rPr>
      <w:rFonts w:cs="Calibri"/>
    </w:rPr>
  </w:style>
  <w:style w:type="paragraph" w:customStyle="1" w:styleId="Subttulo1">
    <w:name w:val="Subtítulo 1"/>
    <w:basedOn w:val="Prrafodelista"/>
    <w:link w:val="Subttulo1Car"/>
    <w:qFormat/>
    <w:rsid w:val="00BC336F"/>
    <w:pPr>
      <w:spacing w:after="120" w:line="240" w:lineRule="auto"/>
      <w:ind w:left="1800" w:hanging="360"/>
      <w:contextualSpacing w:val="0"/>
    </w:pPr>
    <w:rPr>
      <w:rFonts w:eastAsia="Times" w:cs="Arial"/>
      <w:b/>
      <w:color w:val="C00000"/>
    </w:rPr>
  </w:style>
  <w:style w:type="character" w:customStyle="1" w:styleId="Subttulo1Car">
    <w:name w:val="Subtítulo 1 Car"/>
    <w:basedOn w:val="Fuentedeprrafopredeter"/>
    <w:link w:val="Subttulo1"/>
    <w:rsid w:val="00BC336F"/>
    <w:rPr>
      <w:rFonts w:ascii="ITC Avant Garde" w:eastAsia="Times" w:hAnsi="ITC Avant Garde" w:cs="Arial"/>
      <w:b/>
      <w:color w:val="C00000"/>
    </w:rPr>
  </w:style>
  <w:style w:type="paragraph" w:styleId="Encabezado">
    <w:name w:val="header"/>
    <w:aliases w:val="Encabezado1,.üG·,Guideline,Lista con viñetas 1"/>
    <w:basedOn w:val="Normal"/>
    <w:link w:val="EncabezadoCar"/>
    <w:uiPriority w:val="99"/>
    <w:unhideWhenUsed/>
    <w:rsid w:val="00BC336F"/>
    <w:pPr>
      <w:tabs>
        <w:tab w:val="center" w:pos="4419"/>
        <w:tab w:val="right" w:pos="8838"/>
      </w:tabs>
      <w:spacing w:after="0"/>
    </w:pPr>
  </w:style>
  <w:style w:type="character" w:customStyle="1" w:styleId="EncabezadoCar">
    <w:name w:val="Encabezado Car"/>
    <w:aliases w:val="Encabezado1 Car,.üG· Car,Guideline Car,Lista con viñetas 1 Car"/>
    <w:basedOn w:val="Fuentedeprrafopredeter"/>
    <w:link w:val="Encabezado"/>
    <w:uiPriority w:val="99"/>
    <w:rsid w:val="00BC336F"/>
    <w:rPr>
      <w:rFonts w:ascii="ITC Avant Garde" w:hAnsi="ITC Avant Garde"/>
    </w:rPr>
  </w:style>
  <w:style w:type="paragraph" w:styleId="Piedepgina">
    <w:name w:val="footer"/>
    <w:basedOn w:val="Normal"/>
    <w:link w:val="PiedepginaCar"/>
    <w:uiPriority w:val="99"/>
    <w:unhideWhenUsed/>
    <w:rsid w:val="00BC336F"/>
    <w:pPr>
      <w:tabs>
        <w:tab w:val="center" w:pos="4419"/>
        <w:tab w:val="right" w:pos="8838"/>
      </w:tabs>
      <w:spacing w:after="0"/>
    </w:pPr>
  </w:style>
  <w:style w:type="character" w:customStyle="1" w:styleId="PiedepginaCar">
    <w:name w:val="Pie de página Car"/>
    <w:basedOn w:val="Fuentedeprrafopredeter"/>
    <w:link w:val="Piedepgina"/>
    <w:uiPriority w:val="99"/>
    <w:rsid w:val="00BC336F"/>
    <w:rPr>
      <w:rFonts w:ascii="ITC Avant Garde" w:hAnsi="ITC Avant Garde"/>
    </w:rPr>
  </w:style>
  <w:style w:type="table" w:customStyle="1" w:styleId="Tabladelista41">
    <w:name w:val="Tabla de lista 41"/>
    <w:basedOn w:val="Tablanormal"/>
    <w:next w:val="Tabladelista42"/>
    <w:uiPriority w:val="49"/>
    <w:rsid w:val="00BC336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next w:val="Tabladecuadrcula42"/>
    <w:uiPriority w:val="49"/>
    <w:rsid w:val="00BC336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ormalnumerado">
    <w:name w:val="Normal numerado"/>
    <w:basedOn w:val="Normal"/>
    <w:qFormat/>
    <w:rsid w:val="00BC336F"/>
    <w:pPr>
      <w:numPr>
        <w:ilvl w:val="1"/>
        <w:numId w:val="2"/>
      </w:numPr>
      <w:spacing w:after="200"/>
      <w:jc w:val="both"/>
    </w:pPr>
    <w:rPr>
      <w:rFonts w:ascii="Times New Roman" w:eastAsia="Calibri" w:hAnsi="Times New Roman" w:cs="Times New Roman"/>
    </w:rPr>
  </w:style>
  <w:style w:type="character" w:styleId="Refdecomentario">
    <w:name w:val="annotation reference"/>
    <w:basedOn w:val="Fuentedeprrafopredeter"/>
    <w:uiPriority w:val="99"/>
    <w:unhideWhenUsed/>
    <w:rsid w:val="00BC336F"/>
    <w:rPr>
      <w:sz w:val="16"/>
      <w:szCs w:val="16"/>
    </w:rPr>
  </w:style>
  <w:style w:type="paragraph" w:styleId="Textocomentario">
    <w:name w:val="annotation text"/>
    <w:basedOn w:val="Normal"/>
    <w:link w:val="TextocomentarioCar"/>
    <w:uiPriority w:val="99"/>
    <w:unhideWhenUsed/>
    <w:rsid w:val="00BC336F"/>
    <w:pPr>
      <w:spacing w:after="200"/>
    </w:pPr>
    <w:rPr>
      <w:sz w:val="20"/>
      <w:szCs w:val="20"/>
    </w:rPr>
  </w:style>
  <w:style w:type="character" w:customStyle="1" w:styleId="TextocomentarioCar">
    <w:name w:val="Texto comentario Car"/>
    <w:basedOn w:val="Fuentedeprrafopredeter"/>
    <w:link w:val="Textocomentario"/>
    <w:uiPriority w:val="99"/>
    <w:rsid w:val="00BC336F"/>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BC336F"/>
    <w:rPr>
      <w:b/>
      <w:bCs/>
    </w:rPr>
  </w:style>
  <w:style w:type="character" w:customStyle="1" w:styleId="AsuntodelcomentarioCar">
    <w:name w:val="Asunto del comentario Car"/>
    <w:basedOn w:val="TextocomentarioCar"/>
    <w:link w:val="Asuntodelcomentario"/>
    <w:uiPriority w:val="99"/>
    <w:semiHidden/>
    <w:rsid w:val="00BC336F"/>
    <w:rPr>
      <w:rFonts w:ascii="ITC Avant Garde" w:hAnsi="ITC Avant Garde"/>
      <w:b/>
      <w:bCs/>
      <w:sz w:val="20"/>
      <w:szCs w:val="20"/>
    </w:rPr>
  </w:style>
  <w:style w:type="paragraph" w:styleId="Textodeglobo">
    <w:name w:val="Balloon Text"/>
    <w:basedOn w:val="Normal"/>
    <w:link w:val="TextodegloboCar"/>
    <w:uiPriority w:val="99"/>
    <w:semiHidden/>
    <w:unhideWhenUsed/>
    <w:rsid w:val="00BC336F"/>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36F"/>
    <w:rPr>
      <w:rFonts w:ascii="Segoe UI" w:hAnsi="Segoe UI" w:cs="Segoe UI"/>
      <w:sz w:val="18"/>
      <w:szCs w:val="18"/>
    </w:rPr>
  </w:style>
  <w:style w:type="paragraph" w:styleId="Listaconvietas">
    <w:name w:val="List Bullet"/>
    <w:basedOn w:val="Normal"/>
    <w:uiPriority w:val="99"/>
    <w:unhideWhenUsed/>
    <w:rsid w:val="00BC336F"/>
    <w:pPr>
      <w:tabs>
        <w:tab w:val="num" w:pos="360"/>
      </w:tabs>
      <w:ind w:left="360" w:hanging="360"/>
      <w:contextualSpacing/>
    </w:pPr>
  </w:style>
  <w:style w:type="table" w:customStyle="1" w:styleId="Tabladelista42">
    <w:name w:val="Tabla de lista 42"/>
    <w:basedOn w:val="Tablanormal"/>
    <w:uiPriority w:val="49"/>
    <w:rsid w:val="00BC33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2">
    <w:name w:val="Tabla de cuadrícula 42"/>
    <w:basedOn w:val="Tablanormal"/>
    <w:uiPriority w:val="49"/>
    <w:rsid w:val="00BC33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anormal"/>
    <w:next w:val="Tablaconcuadrcula"/>
    <w:uiPriority w:val="39"/>
    <w:rsid w:val="00BC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C336F"/>
    <w:pPr>
      <w:spacing w:after="0" w:line="240" w:lineRule="auto"/>
    </w:pPr>
  </w:style>
  <w:style w:type="table" w:customStyle="1" w:styleId="Estilo1">
    <w:name w:val="Estilo1"/>
    <w:basedOn w:val="Tablanormal"/>
    <w:uiPriority w:val="99"/>
    <w:rsid w:val="00BC336F"/>
    <w:pPr>
      <w:spacing w:after="0" w:line="240" w:lineRule="auto"/>
    </w:pPr>
    <w:tblPr/>
    <w:tcPr>
      <w:shd w:val="clear" w:color="auto" w:fill="FFFFFF" w:themeFill="background1"/>
    </w:tcPr>
  </w:style>
  <w:style w:type="paragraph" w:customStyle="1" w:styleId="estilo30">
    <w:name w:val="estilo30"/>
    <w:basedOn w:val="Normal"/>
    <w:rsid w:val="00BC336F"/>
    <w:pPr>
      <w:spacing w:before="100" w:beforeAutospacing="1" w:after="100" w:afterAutospacing="1"/>
    </w:pPr>
    <w:rPr>
      <w:rFonts w:ascii="Times New Roman" w:eastAsia="Times New Roman" w:hAnsi="Times New Roman" w:cs="Times New Roman"/>
      <w:sz w:val="24"/>
      <w:szCs w:val="24"/>
      <w:lang w:eastAsia="es-MX"/>
    </w:rPr>
  </w:style>
  <w:style w:type="paragraph" w:styleId="TtuloTDC">
    <w:name w:val="TOC Heading"/>
    <w:basedOn w:val="Ttulo1"/>
    <w:next w:val="Normal"/>
    <w:uiPriority w:val="39"/>
    <w:unhideWhenUsed/>
    <w:qFormat/>
    <w:rsid w:val="00BC336F"/>
    <w:pPr>
      <w:keepNext/>
      <w:keepLines/>
      <w:outlineLvl w:val="9"/>
    </w:pPr>
    <w:rPr>
      <w:rFonts w:asciiTheme="majorHAnsi" w:eastAsiaTheme="majorEastAsia" w:hAnsiTheme="majorHAnsi" w:cstheme="majorBidi"/>
      <w:b w:val="0"/>
      <w:smallCaps/>
      <w:color w:val="2E74B5" w:themeColor="accent1" w:themeShade="BF"/>
      <w:sz w:val="32"/>
      <w:szCs w:val="32"/>
      <w:lang w:eastAsia="es-MX"/>
    </w:rPr>
  </w:style>
  <w:style w:type="paragraph" w:styleId="TDC1">
    <w:name w:val="toc 1"/>
    <w:basedOn w:val="Normal"/>
    <w:next w:val="Normal"/>
    <w:autoRedefine/>
    <w:uiPriority w:val="39"/>
    <w:unhideWhenUsed/>
    <w:rsid w:val="002E237D"/>
    <w:pPr>
      <w:tabs>
        <w:tab w:val="left" w:pos="426"/>
        <w:tab w:val="right" w:leader="dot" w:pos="8828"/>
      </w:tabs>
    </w:pPr>
    <w:rPr>
      <w:bCs/>
      <w:caps/>
      <w:smallCaps/>
      <w:noProof/>
    </w:rPr>
  </w:style>
  <w:style w:type="paragraph" w:styleId="TDC2">
    <w:name w:val="toc 2"/>
    <w:basedOn w:val="Normal"/>
    <w:next w:val="Normal"/>
    <w:autoRedefine/>
    <w:uiPriority w:val="39"/>
    <w:unhideWhenUsed/>
    <w:rsid w:val="00BC336F"/>
    <w:pPr>
      <w:tabs>
        <w:tab w:val="right" w:leader="dot" w:pos="8828"/>
      </w:tabs>
      <w:ind w:left="220"/>
    </w:pPr>
    <w:rPr>
      <w:rFonts w:eastAsia="Calibri" w:cs="Calibri"/>
      <w:smallCaps/>
      <w:noProof/>
    </w:rPr>
  </w:style>
  <w:style w:type="paragraph" w:styleId="TDC3">
    <w:name w:val="toc 3"/>
    <w:basedOn w:val="Normal"/>
    <w:next w:val="Normal"/>
    <w:autoRedefine/>
    <w:uiPriority w:val="39"/>
    <w:unhideWhenUsed/>
    <w:rsid w:val="00BC336F"/>
    <w:pPr>
      <w:spacing w:after="0"/>
      <w:ind w:left="440"/>
    </w:pPr>
    <w:rPr>
      <w:i/>
      <w:iCs/>
      <w:sz w:val="20"/>
      <w:szCs w:val="20"/>
    </w:rPr>
  </w:style>
  <w:style w:type="character" w:styleId="Hipervnculo">
    <w:name w:val="Hyperlink"/>
    <w:basedOn w:val="Fuentedeprrafopredeter"/>
    <w:uiPriority w:val="99"/>
    <w:unhideWhenUsed/>
    <w:rsid w:val="00BC336F"/>
    <w:rPr>
      <w:color w:val="0563C1" w:themeColor="hyperlink"/>
      <w:u w:val="single"/>
    </w:rPr>
  </w:style>
  <w:style w:type="paragraph" w:styleId="TDC4">
    <w:name w:val="toc 4"/>
    <w:basedOn w:val="Normal"/>
    <w:next w:val="Normal"/>
    <w:autoRedefine/>
    <w:uiPriority w:val="39"/>
    <w:unhideWhenUsed/>
    <w:rsid w:val="00BC336F"/>
    <w:pPr>
      <w:spacing w:after="0"/>
      <w:ind w:left="660"/>
    </w:pPr>
    <w:rPr>
      <w:sz w:val="18"/>
      <w:szCs w:val="18"/>
    </w:rPr>
  </w:style>
  <w:style w:type="paragraph" w:customStyle="1" w:styleId="Default">
    <w:name w:val="Default"/>
    <w:rsid w:val="00BC336F"/>
    <w:pPr>
      <w:autoSpaceDE w:val="0"/>
      <w:autoSpaceDN w:val="0"/>
      <w:adjustRightInd w:val="0"/>
      <w:spacing w:after="0" w:line="240" w:lineRule="auto"/>
    </w:pPr>
    <w:rPr>
      <w:rFonts w:ascii="Arial" w:hAnsi="Arial" w:cs="Arial"/>
      <w:color w:val="000000"/>
      <w:sz w:val="24"/>
      <w:szCs w:val="24"/>
    </w:rPr>
  </w:style>
  <w:style w:type="paragraph" w:styleId="TDC5">
    <w:name w:val="toc 5"/>
    <w:basedOn w:val="Normal"/>
    <w:next w:val="Normal"/>
    <w:autoRedefine/>
    <w:uiPriority w:val="39"/>
    <w:unhideWhenUsed/>
    <w:rsid w:val="00BC336F"/>
    <w:pPr>
      <w:spacing w:after="0"/>
      <w:ind w:left="880"/>
    </w:pPr>
    <w:rPr>
      <w:sz w:val="18"/>
      <w:szCs w:val="18"/>
    </w:rPr>
  </w:style>
  <w:style w:type="paragraph" w:styleId="TDC6">
    <w:name w:val="toc 6"/>
    <w:basedOn w:val="Normal"/>
    <w:next w:val="Normal"/>
    <w:autoRedefine/>
    <w:uiPriority w:val="39"/>
    <w:unhideWhenUsed/>
    <w:rsid w:val="00BC336F"/>
    <w:pPr>
      <w:spacing w:after="0"/>
      <w:ind w:left="1100"/>
    </w:pPr>
    <w:rPr>
      <w:sz w:val="18"/>
      <w:szCs w:val="18"/>
    </w:rPr>
  </w:style>
  <w:style w:type="paragraph" w:styleId="TDC7">
    <w:name w:val="toc 7"/>
    <w:basedOn w:val="Normal"/>
    <w:next w:val="Normal"/>
    <w:autoRedefine/>
    <w:uiPriority w:val="39"/>
    <w:unhideWhenUsed/>
    <w:rsid w:val="00BC336F"/>
    <w:pPr>
      <w:spacing w:after="0"/>
      <w:ind w:left="1320"/>
    </w:pPr>
    <w:rPr>
      <w:sz w:val="18"/>
      <w:szCs w:val="18"/>
    </w:rPr>
  </w:style>
  <w:style w:type="paragraph" w:styleId="TDC8">
    <w:name w:val="toc 8"/>
    <w:basedOn w:val="Normal"/>
    <w:next w:val="Normal"/>
    <w:autoRedefine/>
    <w:uiPriority w:val="39"/>
    <w:unhideWhenUsed/>
    <w:rsid w:val="00BC336F"/>
    <w:pPr>
      <w:spacing w:after="0"/>
      <w:ind w:left="1540"/>
    </w:pPr>
    <w:rPr>
      <w:sz w:val="18"/>
      <w:szCs w:val="18"/>
    </w:rPr>
  </w:style>
  <w:style w:type="paragraph" w:styleId="TDC9">
    <w:name w:val="toc 9"/>
    <w:basedOn w:val="Normal"/>
    <w:next w:val="Normal"/>
    <w:autoRedefine/>
    <w:uiPriority w:val="39"/>
    <w:unhideWhenUsed/>
    <w:rsid w:val="00BC336F"/>
    <w:pPr>
      <w:spacing w:after="0"/>
      <w:ind w:left="1760"/>
    </w:pPr>
    <w:rPr>
      <w:sz w:val="18"/>
      <w:szCs w:val="18"/>
    </w:rPr>
  </w:style>
  <w:style w:type="table" w:customStyle="1" w:styleId="Cuadrculadetablaclara1">
    <w:name w:val="Cuadrícula de tabla clara1"/>
    <w:basedOn w:val="Tablanormal"/>
    <w:uiPriority w:val="40"/>
    <w:rsid w:val="00BC33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31">
    <w:name w:val="Tabla normal 31"/>
    <w:basedOn w:val="Tablanormal"/>
    <w:uiPriority w:val="43"/>
    <w:rsid w:val="00BC33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exto">
    <w:name w:val="Texto"/>
    <w:basedOn w:val="Normal"/>
    <w:link w:val="TextoCar"/>
    <w:rsid w:val="00BC336F"/>
    <w:pPr>
      <w:spacing w:after="101" w:line="216" w:lineRule="exact"/>
      <w:ind w:firstLine="288"/>
      <w:jc w:val="both"/>
    </w:pPr>
    <w:rPr>
      <w:rFonts w:ascii="Arial" w:eastAsia="Times New Roman" w:hAnsi="Arial" w:cs="Arial"/>
      <w:sz w:val="18"/>
      <w:szCs w:val="18"/>
      <w:lang w:eastAsia="es-MX"/>
    </w:rPr>
  </w:style>
  <w:style w:type="table" w:customStyle="1" w:styleId="Tabladecuadrcula7concolores-nfasis31">
    <w:name w:val="Tabla de cuadrícula 7 con colores - Énfasis 31"/>
    <w:basedOn w:val="Tablanormal"/>
    <w:uiPriority w:val="52"/>
    <w:rsid w:val="00BC336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Textoennegrita">
    <w:name w:val="Strong"/>
    <w:basedOn w:val="Fuentedeprrafopredeter"/>
    <w:uiPriority w:val="22"/>
    <w:qFormat/>
    <w:rsid w:val="00BC336F"/>
    <w:rPr>
      <w:b/>
      <w:bCs/>
    </w:rPr>
  </w:style>
  <w:style w:type="character" w:customStyle="1" w:styleId="apple-converted-space">
    <w:name w:val="apple-converted-space"/>
    <w:basedOn w:val="Fuentedeprrafopredeter"/>
    <w:rsid w:val="00BC336F"/>
  </w:style>
  <w:style w:type="table" w:customStyle="1" w:styleId="Tabladecuadrcula1clara1">
    <w:name w:val="Tabla de cuadrícula 1 clara1"/>
    <w:basedOn w:val="Tablanormal"/>
    <w:uiPriority w:val="46"/>
    <w:rsid w:val="00BC33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C336F"/>
    <w:pPr>
      <w:spacing w:before="100" w:beforeAutospacing="1" w:after="100" w:afterAutospacing="1"/>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BC336F"/>
    <w:pPr>
      <w:spacing w:after="0"/>
    </w:pPr>
    <w:rPr>
      <w:sz w:val="20"/>
      <w:szCs w:val="20"/>
    </w:rPr>
  </w:style>
  <w:style w:type="character" w:customStyle="1" w:styleId="TextonotaalfinalCar">
    <w:name w:val="Texto nota al final Car"/>
    <w:basedOn w:val="Fuentedeprrafopredeter"/>
    <w:link w:val="Textonotaalfinal"/>
    <w:uiPriority w:val="99"/>
    <w:semiHidden/>
    <w:rsid w:val="00BC336F"/>
    <w:rPr>
      <w:rFonts w:ascii="ITC Avant Garde" w:hAnsi="ITC Avant Garde"/>
      <w:sz w:val="20"/>
      <w:szCs w:val="20"/>
    </w:rPr>
  </w:style>
  <w:style w:type="character" w:styleId="Refdenotaalfinal">
    <w:name w:val="endnote reference"/>
    <w:basedOn w:val="Fuentedeprrafopredeter"/>
    <w:uiPriority w:val="99"/>
    <w:semiHidden/>
    <w:unhideWhenUsed/>
    <w:rsid w:val="00BC336F"/>
    <w:rPr>
      <w:vertAlign w:val="superscript"/>
    </w:rPr>
  </w:style>
  <w:style w:type="character" w:styleId="Hipervnculovisitado">
    <w:name w:val="FollowedHyperlink"/>
    <w:basedOn w:val="Fuentedeprrafopredeter"/>
    <w:uiPriority w:val="99"/>
    <w:semiHidden/>
    <w:unhideWhenUsed/>
    <w:rsid w:val="00BC336F"/>
    <w:rPr>
      <w:color w:val="954F72"/>
      <w:u w:val="single"/>
    </w:rPr>
  </w:style>
  <w:style w:type="paragraph" w:customStyle="1" w:styleId="xl63">
    <w:name w:val="xl63"/>
    <w:basedOn w:val="Normal"/>
    <w:rsid w:val="00BC33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64">
    <w:name w:val="xl64"/>
    <w:basedOn w:val="Normal"/>
    <w:rsid w:val="00BC336F"/>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pPr>
    <w:rPr>
      <w:rFonts w:ascii="Times New Roman" w:eastAsia="Times New Roman" w:hAnsi="Times New Roman" w:cs="Times New Roman"/>
      <w:color w:val="FFFFFF"/>
      <w:sz w:val="24"/>
      <w:szCs w:val="24"/>
      <w:lang w:eastAsia="es-MX"/>
    </w:rPr>
  </w:style>
  <w:style w:type="paragraph" w:customStyle="1" w:styleId="xl65">
    <w:name w:val="xl65"/>
    <w:basedOn w:val="Normal"/>
    <w:rsid w:val="00BC33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66">
    <w:name w:val="xl66"/>
    <w:basedOn w:val="Normal"/>
    <w:rsid w:val="00BC336F"/>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pPr>
    <w:rPr>
      <w:rFonts w:ascii="Times New Roman" w:eastAsia="Times New Roman" w:hAnsi="Times New Roman" w:cs="Times New Roman"/>
      <w:color w:val="FFFFFF"/>
      <w:sz w:val="24"/>
      <w:szCs w:val="24"/>
      <w:lang w:eastAsia="es-MX"/>
    </w:rPr>
  </w:style>
  <w:style w:type="paragraph" w:customStyle="1" w:styleId="xl67">
    <w:name w:val="xl67"/>
    <w:basedOn w:val="Normal"/>
    <w:rsid w:val="00BC336F"/>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pPr>
    <w:rPr>
      <w:rFonts w:ascii="Times New Roman" w:eastAsia="Times New Roman" w:hAnsi="Times New Roman" w:cs="Times New Roman"/>
      <w:color w:val="FFFFFF"/>
      <w:sz w:val="24"/>
      <w:szCs w:val="24"/>
      <w:lang w:eastAsia="es-MX"/>
    </w:rPr>
  </w:style>
  <w:style w:type="paragraph" w:customStyle="1" w:styleId="xl68">
    <w:name w:val="xl68"/>
    <w:basedOn w:val="Normal"/>
    <w:rsid w:val="00BC33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69">
    <w:name w:val="xl69"/>
    <w:basedOn w:val="Normal"/>
    <w:rsid w:val="00BC33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70">
    <w:name w:val="xl70"/>
    <w:basedOn w:val="Normal"/>
    <w:rsid w:val="00BC336F"/>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pPr>
    <w:rPr>
      <w:rFonts w:ascii="Times New Roman" w:eastAsia="Times New Roman" w:hAnsi="Times New Roman" w:cs="Times New Roman"/>
      <w:color w:val="FFFFFF"/>
      <w:sz w:val="24"/>
      <w:szCs w:val="24"/>
      <w:lang w:eastAsia="es-MX"/>
    </w:rPr>
  </w:style>
  <w:style w:type="character" w:styleId="Textodelmarcadordeposicin">
    <w:name w:val="Placeholder Text"/>
    <w:basedOn w:val="Fuentedeprrafopredeter"/>
    <w:uiPriority w:val="99"/>
    <w:semiHidden/>
    <w:rsid w:val="00BC336F"/>
    <w:rPr>
      <w:color w:val="808080"/>
    </w:rPr>
  </w:style>
  <w:style w:type="paragraph" w:styleId="Ttulo">
    <w:name w:val="Title"/>
    <w:basedOn w:val="Normal"/>
    <w:next w:val="Normal"/>
    <w:link w:val="TtuloCar"/>
    <w:uiPriority w:val="10"/>
    <w:qFormat/>
    <w:rsid w:val="00BC336F"/>
    <w:pPr>
      <w:spacing w:after="0"/>
      <w:contextualSpacing/>
    </w:pPr>
    <w:rPr>
      <w:rFonts w:asciiTheme="majorHAnsi" w:eastAsiaTheme="majorEastAsia" w:hAnsiTheme="majorHAnsi" w:cstheme="majorBidi"/>
      <w:color w:val="000000" w:themeColor="text1"/>
      <w:sz w:val="56"/>
      <w:szCs w:val="56"/>
      <w:lang w:eastAsia="ja-JP"/>
    </w:rPr>
  </w:style>
  <w:style w:type="character" w:customStyle="1" w:styleId="TtuloCar">
    <w:name w:val="Título Car"/>
    <w:basedOn w:val="Fuentedeprrafopredeter"/>
    <w:link w:val="Ttulo"/>
    <w:uiPriority w:val="10"/>
    <w:rsid w:val="00BC336F"/>
    <w:rPr>
      <w:rFonts w:asciiTheme="majorHAnsi" w:eastAsiaTheme="majorEastAsia" w:hAnsiTheme="majorHAnsi" w:cstheme="majorBidi"/>
      <w:color w:val="000000" w:themeColor="text1"/>
      <w:sz w:val="56"/>
      <w:szCs w:val="56"/>
      <w:lang w:eastAsia="ja-JP"/>
    </w:rPr>
  </w:style>
  <w:style w:type="paragraph" w:styleId="Subttulo">
    <w:name w:val="Subtitle"/>
    <w:aliases w:val="Tabla"/>
    <w:basedOn w:val="Normal"/>
    <w:next w:val="Normal"/>
    <w:link w:val="SubttuloCar"/>
    <w:uiPriority w:val="11"/>
    <w:qFormat/>
    <w:rsid w:val="00BC336F"/>
    <w:pPr>
      <w:numPr>
        <w:ilvl w:val="1"/>
      </w:numPr>
    </w:pPr>
    <w:rPr>
      <w:rFonts w:eastAsiaTheme="minorEastAsia"/>
      <w:color w:val="5A5A5A" w:themeColor="text1" w:themeTint="A5"/>
      <w:spacing w:val="10"/>
      <w:lang w:eastAsia="ja-JP"/>
    </w:rPr>
  </w:style>
  <w:style w:type="character" w:customStyle="1" w:styleId="SubttuloCar">
    <w:name w:val="Subtítulo Car"/>
    <w:aliases w:val="Tabla Car"/>
    <w:basedOn w:val="Fuentedeprrafopredeter"/>
    <w:link w:val="Subttulo"/>
    <w:uiPriority w:val="11"/>
    <w:rsid w:val="00BC336F"/>
    <w:rPr>
      <w:rFonts w:ascii="ITC Avant Garde" w:eastAsiaTheme="minorEastAsia" w:hAnsi="ITC Avant Garde"/>
      <w:color w:val="5A5A5A" w:themeColor="text1" w:themeTint="A5"/>
      <w:spacing w:val="10"/>
      <w:lang w:eastAsia="ja-JP"/>
    </w:rPr>
  </w:style>
  <w:style w:type="character" w:styleId="nfasissutil">
    <w:name w:val="Subtle Emphasis"/>
    <w:basedOn w:val="Fuentedeprrafopredeter"/>
    <w:uiPriority w:val="19"/>
    <w:qFormat/>
    <w:rsid w:val="00BC336F"/>
    <w:rPr>
      <w:i/>
      <w:iCs/>
      <w:color w:val="404040" w:themeColor="text1" w:themeTint="BF"/>
    </w:rPr>
  </w:style>
  <w:style w:type="character" w:styleId="nfasis">
    <w:name w:val="Emphasis"/>
    <w:basedOn w:val="Fuentedeprrafopredeter"/>
    <w:uiPriority w:val="20"/>
    <w:qFormat/>
    <w:rsid w:val="00BC336F"/>
    <w:rPr>
      <w:i/>
      <w:iCs/>
      <w:color w:val="auto"/>
    </w:rPr>
  </w:style>
  <w:style w:type="character" w:styleId="nfasisintenso">
    <w:name w:val="Intense Emphasis"/>
    <w:basedOn w:val="Fuentedeprrafopredeter"/>
    <w:uiPriority w:val="21"/>
    <w:qFormat/>
    <w:rsid w:val="00BC336F"/>
    <w:rPr>
      <w:b/>
      <w:bCs/>
      <w:i/>
      <w:iCs/>
      <w:caps/>
    </w:rPr>
  </w:style>
  <w:style w:type="paragraph" w:styleId="Cita">
    <w:name w:val="Quote"/>
    <w:basedOn w:val="Normal"/>
    <w:next w:val="Normal"/>
    <w:link w:val="CitaCar"/>
    <w:uiPriority w:val="29"/>
    <w:qFormat/>
    <w:rsid w:val="00BC336F"/>
    <w:pPr>
      <w:spacing w:before="160"/>
      <w:ind w:left="720" w:right="720"/>
    </w:pPr>
    <w:rPr>
      <w:rFonts w:eastAsiaTheme="minorEastAsia"/>
      <w:i/>
      <w:iCs/>
      <w:color w:val="000000" w:themeColor="text1"/>
      <w:lang w:eastAsia="ja-JP"/>
    </w:rPr>
  </w:style>
  <w:style w:type="character" w:customStyle="1" w:styleId="CitaCar">
    <w:name w:val="Cita Car"/>
    <w:basedOn w:val="Fuentedeprrafopredeter"/>
    <w:link w:val="Cita"/>
    <w:uiPriority w:val="29"/>
    <w:rsid w:val="00BC336F"/>
    <w:rPr>
      <w:rFonts w:ascii="ITC Avant Garde" w:eastAsiaTheme="minorEastAsia" w:hAnsi="ITC Avant Garde"/>
      <w:i/>
      <w:iCs/>
      <w:color w:val="000000" w:themeColor="text1"/>
      <w:lang w:eastAsia="ja-JP"/>
    </w:rPr>
  </w:style>
  <w:style w:type="paragraph" w:styleId="Citadestacada">
    <w:name w:val="Intense Quote"/>
    <w:basedOn w:val="Normal"/>
    <w:next w:val="Normal"/>
    <w:link w:val="CitadestacadaCar"/>
    <w:uiPriority w:val="30"/>
    <w:qFormat/>
    <w:rsid w:val="00BC336F"/>
    <w:pPr>
      <w:pBdr>
        <w:top w:val="single" w:sz="24" w:space="1" w:color="F2F2F2" w:themeColor="background1" w:themeShade="F2"/>
        <w:bottom w:val="single" w:sz="24" w:space="1" w:color="F2F2F2" w:themeColor="background1" w:themeShade="F2"/>
      </w:pBdr>
      <w:shd w:val="clear" w:color="auto" w:fill="F2F2F2" w:themeFill="background1" w:themeFillShade="F2"/>
      <w:ind w:left="936" w:right="936"/>
      <w:jc w:val="center"/>
    </w:pPr>
    <w:rPr>
      <w:rFonts w:eastAsiaTheme="minorEastAsia"/>
      <w:color w:val="000000" w:themeColor="text1"/>
      <w:lang w:eastAsia="ja-JP"/>
    </w:rPr>
  </w:style>
  <w:style w:type="character" w:customStyle="1" w:styleId="CitadestacadaCar">
    <w:name w:val="Cita destacada Car"/>
    <w:basedOn w:val="Fuentedeprrafopredeter"/>
    <w:link w:val="Citadestacada"/>
    <w:uiPriority w:val="30"/>
    <w:rsid w:val="00BC336F"/>
    <w:rPr>
      <w:rFonts w:ascii="ITC Avant Garde" w:eastAsiaTheme="minorEastAsia" w:hAnsi="ITC Avant Garde"/>
      <w:color w:val="000000" w:themeColor="text1"/>
      <w:shd w:val="clear" w:color="auto" w:fill="F2F2F2" w:themeFill="background1" w:themeFillShade="F2"/>
      <w:lang w:eastAsia="ja-JP"/>
    </w:rPr>
  </w:style>
  <w:style w:type="character" w:styleId="Referenciasutil">
    <w:name w:val="Subtle Reference"/>
    <w:basedOn w:val="Fuentedeprrafopredeter"/>
    <w:uiPriority w:val="31"/>
    <w:qFormat/>
    <w:rsid w:val="00BC336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BC336F"/>
    <w:rPr>
      <w:b/>
      <w:bCs/>
      <w:smallCaps/>
      <w:u w:val="single"/>
    </w:rPr>
  </w:style>
  <w:style w:type="character" w:styleId="Ttulodellibro">
    <w:name w:val="Book Title"/>
    <w:basedOn w:val="Fuentedeprrafopredeter"/>
    <w:uiPriority w:val="33"/>
    <w:qFormat/>
    <w:rsid w:val="00BC336F"/>
    <w:rPr>
      <w:b w:val="0"/>
      <w:bCs w:val="0"/>
      <w:smallCaps/>
      <w:spacing w:val="5"/>
    </w:rPr>
  </w:style>
  <w:style w:type="numbering" w:customStyle="1" w:styleId="Sinlista2">
    <w:name w:val="Sin lista2"/>
    <w:next w:val="Sinlista"/>
    <w:uiPriority w:val="99"/>
    <w:semiHidden/>
    <w:unhideWhenUsed/>
    <w:rsid w:val="00BC336F"/>
  </w:style>
  <w:style w:type="paragraph" w:styleId="Continuarlista">
    <w:name w:val="List Continue"/>
    <w:basedOn w:val="Normal"/>
    <w:uiPriority w:val="99"/>
    <w:unhideWhenUsed/>
    <w:rsid w:val="00BC336F"/>
    <w:pPr>
      <w:ind w:left="283"/>
      <w:contextualSpacing/>
      <w:jc w:val="both"/>
    </w:pPr>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BC336F"/>
  </w:style>
  <w:style w:type="table" w:customStyle="1" w:styleId="Tablaconcuadrcula2">
    <w:name w:val="Tabla con cuadrícula2"/>
    <w:basedOn w:val="Tablanormal"/>
    <w:next w:val="Tablaconcuadrcula"/>
    <w:uiPriority w:val="59"/>
    <w:rsid w:val="00BC336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C336F"/>
    <w:pPr>
      <w:spacing w:after="0"/>
      <w:ind w:left="283" w:hanging="283"/>
      <w:contextualSpacing/>
    </w:pPr>
    <w:rPr>
      <w:rFonts w:ascii="Times New Roman" w:hAnsi="Times New Roman" w:cs="Times New Roman"/>
      <w:sz w:val="24"/>
      <w:szCs w:val="24"/>
      <w:lang w:eastAsia="es-MX"/>
    </w:rPr>
  </w:style>
  <w:style w:type="paragraph" w:styleId="Lista2">
    <w:name w:val="List 2"/>
    <w:basedOn w:val="Normal"/>
    <w:uiPriority w:val="99"/>
    <w:unhideWhenUsed/>
    <w:rsid w:val="00BC336F"/>
    <w:pPr>
      <w:spacing w:after="0"/>
      <w:ind w:left="566" w:hanging="283"/>
      <w:contextualSpacing/>
    </w:pPr>
    <w:rPr>
      <w:rFonts w:ascii="Times New Roman" w:hAnsi="Times New Roman" w:cs="Times New Roman"/>
      <w:sz w:val="24"/>
      <w:szCs w:val="24"/>
      <w:lang w:eastAsia="es-MX"/>
    </w:rPr>
  </w:style>
  <w:style w:type="paragraph" w:styleId="Saludo">
    <w:name w:val="Salutation"/>
    <w:basedOn w:val="Normal"/>
    <w:next w:val="Normal"/>
    <w:link w:val="SaludoCar"/>
    <w:uiPriority w:val="99"/>
    <w:unhideWhenUsed/>
    <w:rsid w:val="00BC336F"/>
    <w:pPr>
      <w:spacing w:after="0"/>
    </w:pPr>
    <w:rPr>
      <w:rFonts w:ascii="Times New Roman" w:hAnsi="Times New Roman" w:cs="Times New Roman"/>
      <w:sz w:val="24"/>
      <w:szCs w:val="24"/>
      <w:lang w:eastAsia="es-MX"/>
    </w:rPr>
  </w:style>
  <w:style w:type="character" w:customStyle="1" w:styleId="SaludoCar">
    <w:name w:val="Saludo Car"/>
    <w:basedOn w:val="Fuentedeprrafopredeter"/>
    <w:link w:val="Saludo"/>
    <w:uiPriority w:val="99"/>
    <w:rsid w:val="00BC336F"/>
    <w:rPr>
      <w:rFonts w:ascii="Times New Roman" w:hAnsi="Times New Roman" w:cs="Times New Roman"/>
      <w:sz w:val="24"/>
      <w:szCs w:val="24"/>
      <w:lang w:eastAsia="es-MX"/>
    </w:rPr>
  </w:style>
  <w:style w:type="paragraph" w:styleId="Listaconvietas2">
    <w:name w:val="List Bullet 2"/>
    <w:basedOn w:val="Normal"/>
    <w:uiPriority w:val="99"/>
    <w:unhideWhenUsed/>
    <w:rsid w:val="00BC336F"/>
    <w:pPr>
      <w:numPr>
        <w:numId w:val="3"/>
      </w:numPr>
      <w:spacing w:after="0"/>
      <w:contextualSpacing/>
    </w:pPr>
    <w:rPr>
      <w:rFonts w:ascii="Times New Roman" w:hAnsi="Times New Roman" w:cs="Times New Roman"/>
      <w:sz w:val="24"/>
      <w:szCs w:val="24"/>
      <w:lang w:eastAsia="es-MX"/>
    </w:rPr>
  </w:style>
  <w:style w:type="paragraph" w:styleId="Descripcin">
    <w:name w:val="caption"/>
    <w:basedOn w:val="Normal"/>
    <w:next w:val="Normal"/>
    <w:uiPriority w:val="35"/>
    <w:unhideWhenUsed/>
    <w:qFormat/>
    <w:rsid w:val="00BC336F"/>
    <w:pPr>
      <w:spacing w:after="200"/>
    </w:pPr>
    <w:rPr>
      <w:rFonts w:ascii="Times New Roman" w:hAnsi="Times New Roman" w:cs="Times New Roman"/>
      <w:i/>
      <w:iCs/>
      <w:color w:val="44546A" w:themeColor="text2"/>
      <w:sz w:val="18"/>
      <w:szCs w:val="18"/>
      <w:lang w:eastAsia="es-MX"/>
    </w:rPr>
  </w:style>
  <w:style w:type="paragraph" w:styleId="Textoindependiente">
    <w:name w:val="Body Text"/>
    <w:basedOn w:val="Normal"/>
    <w:link w:val="TextoindependienteCar"/>
    <w:uiPriority w:val="99"/>
    <w:unhideWhenUsed/>
    <w:rsid w:val="00BC336F"/>
    <w:rPr>
      <w:rFonts w:ascii="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rsid w:val="00BC336F"/>
    <w:rPr>
      <w:rFonts w:ascii="Times New Roman" w:hAnsi="Times New Roman" w:cs="Times New Roman"/>
      <w:sz w:val="24"/>
      <w:szCs w:val="24"/>
      <w:lang w:eastAsia="es-MX"/>
    </w:rPr>
  </w:style>
  <w:style w:type="paragraph" w:customStyle="1" w:styleId="font5">
    <w:name w:val="font5"/>
    <w:basedOn w:val="Normal"/>
    <w:rsid w:val="00BC336F"/>
    <w:pPr>
      <w:spacing w:before="100" w:beforeAutospacing="1" w:after="100" w:afterAutospacing="1"/>
    </w:pPr>
    <w:rPr>
      <w:rFonts w:eastAsia="Times New Roman" w:cs="Times New Roman"/>
      <w:b/>
      <w:bCs/>
      <w:color w:val="FFFFFF"/>
      <w:sz w:val="16"/>
      <w:szCs w:val="16"/>
      <w:lang w:eastAsia="es-MX"/>
    </w:rPr>
  </w:style>
  <w:style w:type="paragraph" w:customStyle="1" w:styleId="font6">
    <w:name w:val="font6"/>
    <w:basedOn w:val="Normal"/>
    <w:rsid w:val="00BC336F"/>
    <w:pPr>
      <w:spacing w:before="100" w:beforeAutospacing="1" w:after="100" w:afterAutospacing="1"/>
    </w:pPr>
    <w:rPr>
      <w:rFonts w:ascii="Symbol" w:eastAsia="Times New Roman" w:hAnsi="Symbol" w:cs="Times New Roman"/>
      <w:b/>
      <w:bCs/>
      <w:color w:val="FFFFFF"/>
      <w:sz w:val="16"/>
      <w:szCs w:val="16"/>
      <w:lang w:eastAsia="es-MX"/>
    </w:rPr>
  </w:style>
  <w:style w:type="paragraph" w:customStyle="1" w:styleId="xl71">
    <w:name w:val="xl71"/>
    <w:basedOn w:val="Normal"/>
    <w:rsid w:val="00BC336F"/>
    <w:pPr>
      <w:pBdr>
        <w:bottom w:val="single" w:sz="8" w:space="0" w:color="auto"/>
      </w:pBdr>
      <w:shd w:val="clear" w:color="000000" w:fill="002060"/>
      <w:spacing w:before="100" w:beforeAutospacing="1" w:after="100" w:afterAutospacing="1"/>
      <w:jc w:val="center"/>
      <w:textAlignment w:val="center"/>
    </w:pPr>
    <w:rPr>
      <w:rFonts w:eastAsia="Times New Roman" w:cs="Times New Roman"/>
      <w:b/>
      <w:bCs/>
      <w:color w:val="FFFFFF"/>
      <w:sz w:val="16"/>
      <w:szCs w:val="16"/>
      <w:lang w:eastAsia="es-MX"/>
    </w:rPr>
  </w:style>
  <w:style w:type="paragraph" w:customStyle="1" w:styleId="xl72">
    <w:name w:val="xl72"/>
    <w:basedOn w:val="Normal"/>
    <w:rsid w:val="00BC336F"/>
    <w:pPr>
      <w:pBdr>
        <w:bottom w:val="single" w:sz="8" w:space="0" w:color="auto"/>
        <w:right w:val="single" w:sz="8" w:space="0" w:color="auto"/>
      </w:pBdr>
      <w:shd w:val="clear" w:color="000000" w:fill="002060"/>
      <w:spacing w:before="100" w:beforeAutospacing="1" w:after="100" w:afterAutospacing="1"/>
      <w:jc w:val="center"/>
      <w:textAlignment w:val="center"/>
    </w:pPr>
    <w:rPr>
      <w:rFonts w:eastAsia="Times New Roman" w:cs="Times New Roman"/>
      <w:b/>
      <w:bCs/>
      <w:color w:val="FFFFFF"/>
      <w:sz w:val="16"/>
      <w:szCs w:val="16"/>
      <w:lang w:eastAsia="es-MX"/>
    </w:rPr>
  </w:style>
  <w:style w:type="paragraph" w:customStyle="1" w:styleId="xl73">
    <w:name w:val="xl73"/>
    <w:basedOn w:val="Normal"/>
    <w:rsid w:val="00BC336F"/>
    <w:pPr>
      <w:pBdr>
        <w:top w:val="single" w:sz="8" w:space="0" w:color="auto"/>
        <w:left w:val="single" w:sz="8" w:space="0" w:color="auto"/>
        <w:right w:val="single" w:sz="8" w:space="0" w:color="auto"/>
      </w:pBdr>
      <w:shd w:val="clear" w:color="000000" w:fill="002060"/>
      <w:spacing w:before="100" w:beforeAutospacing="1" w:after="100" w:afterAutospacing="1"/>
      <w:jc w:val="center"/>
      <w:textAlignment w:val="center"/>
    </w:pPr>
    <w:rPr>
      <w:rFonts w:eastAsia="Times New Roman" w:cs="Times New Roman"/>
      <w:b/>
      <w:bCs/>
      <w:color w:val="FFFFFF"/>
      <w:sz w:val="16"/>
      <w:szCs w:val="16"/>
      <w:lang w:eastAsia="es-MX"/>
    </w:rPr>
  </w:style>
  <w:style w:type="paragraph" w:customStyle="1" w:styleId="xl74">
    <w:name w:val="xl74"/>
    <w:basedOn w:val="Normal"/>
    <w:rsid w:val="00BC336F"/>
    <w:pPr>
      <w:pBdr>
        <w:top w:val="single" w:sz="8" w:space="0" w:color="auto"/>
        <w:right w:val="single" w:sz="8" w:space="0" w:color="auto"/>
      </w:pBdr>
      <w:shd w:val="clear" w:color="000000" w:fill="002060"/>
      <w:spacing w:before="100" w:beforeAutospacing="1" w:after="100" w:afterAutospacing="1"/>
      <w:jc w:val="center"/>
      <w:textAlignment w:val="center"/>
    </w:pPr>
    <w:rPr>
      <w:rFonts w:eastAsia="Times New Roman" w:cs="Times New Roman"/>
      <w:b/>
      <w:bCs/>
      <w:color w:val="FFFFFF"/>
      <w:sz w:val="16"/>
      <w:szCs w:val="16"/>
      <w:lang w:eastAsia="es-MX"/>
    </w:rPr>
  </w:style>
  <w:style w:type="paragraph" w:customStyle="1" w:styleId="xl75">
    <w:name w:val="xl75"/>
    <w:basedOn w:val="Normal"/>
    <w:rsid w:val="00BC336F"/>
    <w:pPr>
      <w:pBdr>
        <w:right w:val="single" w:sz="8" w:space="0" w:color="auto"/>
      </w:pBdr>
      <w:shd w:val="clear" w:color="000000" w:fill="002060"/>
      <w:spacing w:before="100" w:beforeAutospacing="1" w:after="100" w:afterAutospacing="1"/>
      <w:jc w:val="center"/>
      <w:textAlignment w:val="center"/>
    </w:pPr>
    <w:rPr>
      <w:rFonts w:eastAsia="Times New Roman" w:cs="Times New Roman"/>
      <w:b/>
      <w:bCs/>
      <w:color w:val="FFFFFF"/>
      <w:sz w:val="16"/>
      <w:szCs w:val="16"/>
      <w:lang w:eastAsia="es-MX"/>
    </w:rPr>
  </w:style>
  <w:style w:type="paragraph" w:customStyle="1" w:styleId="xl76">
    <w:name w:val="xl76"/>
    <w:basedOn w:val="Normal"/>
    <w:rsid w:val="00BC336F"/>
    <w:pPr>
      <w:pBdr>
        <w:left w:val="single" w:sz="8" w:space="0" w:color="auto"/>
        <w:right w:val="single" w:sz="8" w:space="0" w:color="auto"/>
      </w:pBdr>
      <w:shd w:val="clear" w:color="000000" w:fill="002060"/>
      <w:spacing w:before="100" w:beforeAutospacing="1" w:after="100" w:afterAutospacing="1"/>
      <w:jc w:val="center"/>
      <w:textAlignment w:val="center"/>
    </w:pPr>
    <w:rPr>
      <w:rFonts w:eastAsia="Times New Roman" w:cs="Times New Roman"/>
      <w:b/>
      <w:bCs/>
      <w:color w:val="FFFFFF"/>
      <w:sz w:val="16"/>
      <w:szCs w:val="16"/>
      <w:lang w:eastAsia="es-MX"/>
    </w:rPr>
  </w:style>
  <w:style w:type="paragraph" w:customStyle="1" w:styleId="xl77">
    <w:name w:val="xl77"/>
    <w:basedOn w:val="Normal"/>
    <w:rsid w:val="00BC336F"/>
    <w:pPr>
      <w:spacing w:before="100" w:beforeAutospacing="1" w:after="100" w:afterAutospacing="1"/>
    </w:pPr>
    <w:rPr>
      <w:rFonts w:eastAsia="Times New Roman" w:cs="Times New Roman"/>
      <w:sz w:val="16"/>
      <w:szCs w:val="16"/>
      <w:lang w:eastAsia="es-MX"/>
    </w:rPr>
  </w:style>
  <w:style w:type="paragraph" w:customStyle="1" w:styleId="xl78">
    <w:name w:val="xl78"/>
    <w:basedOn w:val="Normal"/>
    <w:rsid w:val="00BC336F"/>
    <w:pPr>
      <w:spacing w:before="100" w:beforeAutospacing="1" w:after="100" w:afterAutospacing="1"/>
    </w:pPr>
    <w:rPr>
      <w:rFonts w:eastAsia="Times New Roman" w:cs="Times New Roman"/>
      <w:sz w:val="16"/>
      <w:szCs w:val="16"/>
      <w:lang w:eastAsia="es-MX"/>
    </w:rPr>
  </w:style>
  <w:style w:type="paragraph" w:customStyle="1" w:styleId="xl79">
    <w:name w:val="xl79"/>
    <w:basedOn w:val="Normal"/>
    <w:rsid w:val="00BC336F"/>
    <w:pPr>
      <w:pBdr>
        <w:top w:val="single" w:sz="8" w:space="0" w:color="auto"/>
        <w:left w:val="single" w:sz="8" w:space="0" w:color="auto"/>
      </w:pBdr>
      <w:shd w:val="clear" w:color="000000" w:fill="002060"/>
      <w:spacing w:before="100" w:beforeAutospacing="1" w:after="100" w:afterAutospacing="1"/>
      <w:jc w:val="center"/>
      <w:textAlignment w:val="center"/>
    </w:pPr>
    <w:rPr>
      <w:rFonts w:eastAsia="Times New Roman" w:cs="Times New Roman"/>
      <w:b/>
      <w:bCs/>
      <w:color w:val="FFFFFF"/>
      <w:sz w:val="16"/>
      <w:szCs w:val="16"/>
      <w:lang w:eastAsia="es-MX"/>
    </w:rPr>
  </w:style>
  <w:style w:type="paragraph" w:customStyle="1" w:styleId="xl80">
    <w:name w:val="xl80"/>
    <w:basedOn w:val="Normal"/>
    <w:rsid w:val="00BC33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16"/>
      <w:szCs w:val="16"/>
      <w:lang w:eastAsia="es-MX"/>
    </w:rPr>
  </w:style>
  <w:style w:type="paragraph" w:customStyle="1" w:styleId="xl81">
    <w:name w:val="xl81"/>
    <w:basedOn w:val="Normal"/>
    <w:rsid w:val="00BC336F"/>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Times New Roman"/>
      <w:sz w:val="16"/>
      <w:szCs w:val="16"/>
      <w:lang w:eastAsia="es-MX"/>
    </w:rPr>
  </w:style>
  <w:style w:type="paragraph" w:customStyle="1" w:styleId="xl82">
    <w:name w:val="xl82"/>
    <w:basedOn w:val="Normal"/>
    <w:rsid w:val="00BC33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16"/>
      <w:szCs w:val="16"/>
      <w:lang w:eastAsia="es-MX"/>
    </w:rPr>
  </w:style>
  <w:style w:type="paragraph" w:customStyle="1" w:styleId="xl83">
    <w:name w:val="xl83"/>
    <w:basedOn w:val="Normal"/>
    <w:rsid w:val="00BC33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16"/>
      <w:szCs w:val="16"/>
      <w:lang w:eastAsia="es-MX"/>
    </w:rPr>
  </w:style>
  <w:style w:type="paragraph" w:customStyle="1" w:styleId="xl84">
    <w:name w:val="xl84"/>
    <w:basedOn w:val="Normal"/>
    <w:rsid w:val="00BC33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16"/>
      <w:szCs w:val="16"/>
      <w:lang w:eastAsia="es-MX"/>
    </w:rPr>
  </w:style>
  <w:style w:type="paragraph" w:customStyle="1" w:styleId="xl85">
    <w:name w:val="xl85"/>
    <w:basedOn w:val="Normal"/>
    <w:rsid w:val="00BC33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rFonts w:eastAsia="Times New Roman" w:cs="Times New Roman"/>
      <w:sz w:val="16"/>
      <w:szCs w:val="16"/>
      <w:lang w:eastAsia="es-MX"/>
    </w:rPr>
  </w:style>
  <w:style w:type="paragraph" w:customStyle="1" w:styleId="xl86">
    <w:name w:val="xl86"/>
    <w:basedOn w:val="Normal"/>
    <w:rsid w:val="00BC33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pPr>
    <w:rPr>
      <w:rFonts w:eastAsia="Times New Roman" w:cs="Times New Roman"/>
      <w:sz w:val="16"/>
      <w:szCs w:val="16"/>
      <w:lang w:eastAsia="es-MX"/>
    </w:rPr>
  </w:style>
  <w:style w:type="paragraph" w:customStyle="1" w:styleId="xl87">
    <w:name w:val="xl87"/>
    <w:basedOn w:val="Normal"/>
    <w:rsid w:val="00BC33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rFonts w:eastAsia="Times New Roman" w:cs="Times New Roman"/>
      <w:sz w:val="16"/>
      <w:szCs w:val="16"/>
      <w:lang w:eastAsia="es-MX"/>
    </w:rPr>
  </w:style>
  <w:style w:type="paragraph" w:customStyle="1" w:styleId="xl88">
    <w:name w:val="xl88"/>
    <w:basedOn w:val="Normal"/>
    <w:rsid w:val="00BC33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rFonts w:eastAsia="Times New Roman" w:cs="Times New Roman"/>
      <w:sz w:val="16"/>
      <w:szCs w:val="16"/>
      <w:lang w:eastAsia="es-MX"/>
    </w:rPr>
  </w:style>
  <w:style w:type="paragraph" w:customStyle="1" w:styleId="xl89">
    <w:name w:val="xl89"/>
    <w:basedOn w:val="Normal"/>
    <w:rsid w:val="00BC33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rFonts w:eastAsia="Times New Roman" w:cs="Times New Roman"/>
      <w:sz w:val="16"/>
      <w:szCs w:val="16"/>
      <w:lang w:eastAsia="es-MX"/>
    </w:rPr>
  </w:style>
  <w:style w:type="table" w:customStyle="1" w:styleId="Tablaconcuadrcula11">
    <w:name w:val="Tabla con cuadrícula11"/>
    <w:basedOn w:val="Tablanormal"/>
    <w:next w:val="Tablaconcuadrcula"/>
    <w:uiPriority w:val="59"/>
    <w:rsid w:val="00BC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BC336F"/>
    <w:pPr>
      <w:spacing w:after="101" w:line="216" w:lineRule="atLeast"/>
      <w:ind w:firstLine="288"/>
      <w:jc w:val="both"/>
    </w:pPr>
    <w:rPr>
      <w:rFonts w:ascii="Arial" w:eastAsia="Times New Roman" w:hAnsi="Arial" w:cs="Arial"/>
      <w:sz w:val="18"/>
      <w:szCs w:val="20"/>
      <w:lang w:val="es-ES_tradnl" w:eastAsia="es-MX"/>
    </w:rPr>
  </w:style>
  <w:style w:type="table" w:customStyle="1" w:styleId="Tabladelista411">
    <w:name w:val="Tabla de lista 411"/>
    <w:basedOn w:val="Tablanormal"/>
    <w:next w:val="Tabladelista42"/>
    <w:uiPriority w:val="49"/>
    <w:rsid w:val="00BC336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themeColor="background1"/>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medio1101">
    <w:name w:val="Sombreado medio 1101"/>
    <w:basedOn w:val="Tablanormal"/>
    <w:next w:val="Tablanormal"/>
    <w:uiPriority w:val="63"/>
    <w:rsid w:val="00BC336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adelista3-nfasis51">
    <w:name w:val="Tabla de lista 3 - Énfasis 51"/>
    <w:basedOn w:val="Tablanormal"/>
    <w:uiPriority w:val="48"/>
    <w:rsid w:val="00BC336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adecuadrcula4-nfasis11">
    <w:name w:val="Tabla de cuadrícula 4 - Énfasis 11"/>
    <w:basedOn w:val="Tablanormal"/>
    <w:uiPriority w:val="49"/>
    <w:rsid w:val="00BC336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BC336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5oscura-nfasis11">
    <w:name w:val="Tabla de cuadrícula 5 oscura - Énfasis 11"/>
    <w:basedOn w:val="Tablanormal"/>
    <w:uiPriority w:val="50"/>
    <w:rsid w:val="00BC33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lista4111">
    <w:name w:val="Tabla de lista 4111"/>
    <w:basedOn w:val="Tablanormal"/>
    <w:next w:val="Tabladelista42"/>
    <w:uiPriority w:val="49"/>
    <w:rsid w:val="00BC336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themeColor="background1"/>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
    <w:name w:val="Tabla con cuadrícula3"/>
    <w:basedOn w:val="Tablanormal"/>
    <w:next w:val="Tablaconcuadrcula"/>
    <w:uiPriority w:val="39"/>
    <w:rsid w:val="00BC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BC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BC336F"/>
  </w:style>
  <w:style w:type="character" w:customStyle="1" w:styleId="SinespaciadoCar">
    <w:name w:val="Sin espaciado Car"/>
    <w:basedOn w:val="Fuentedeprrafopredeter"/>
    <w:link w:val="Sinespaciado"/>
    <w:uiPriority w:val="1"/>
    <w:rsid w:val="00BC336F"/>
  </w:style>
  <w:style w:type="paragraph" w:styleId="ndice1">
    <w:name w:val="index 1"/>
    <w:basedOn w:val="Normal"/>
    <w:next w:val="Normal"/>
    <w:autoRedefine/>
    <w:uiPriority w:val="99"/>
    <w:semiHidden/>
    <w:unhideWhenUsed/>
    <w:rsid w:val="00BC336F"/>
    <w:pPr>
      <w:spacing w:after="0"/>
      <w:ind w:left="220" w:hanging="220"/>
    </w:pPr>
  </w:style>
  <w:style w:type="character" w:customStyle="1" w:styleId="TextoCar">
    <w:name w:val="Texto Car"/>
    <w:link w:val="Texto"/>
    <w:locked/>
    <w:rsid w:val="00B96CA1"/>
    <w:rPr>
      <w:rFonts w:ascii="Arial" w:eastAsia="Times New Roman" w:hAnsi="Arial" w:cs="Arial"/>
      <w:sz w:val="18"/>
      <w:szCs w:val="18"/>
      <w:lang w:eastAsia="es-MX"/>
    </w:rPr>
  </w:style>
  <w:style w:type="table" w:customStyle="1" w:styleId="Tablaconcuadrcula5">
    <w:name w:val="Tabla con cuadrícula5"/>
    <w:basedOn w:val="Tablanormal"/>
    <w:next w:val="Tablaconcuadrcula"/>
    <w:uiPriority w:val="39"/>
    <w:rsid w:val="00C8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semiHidden/>
    <w:unhideWhenUsed/>
    <w:rsid w:val="00F87744"/>
    <w:pPr>
      <w:spacing w:before="120" w:after="0"/>
      <w:jc w:val="both"/>
    </w:pPr>
    <w:rPr>
      <w:rFonts w:asciiTheme="minorHAnsi" w:hAnsiTheme="minorHAnsi"/>
    </w:rPr>
  </w:style>
  <w:style w:type="table" w:customStyle="1" w:styleId="ContenidoTabla">
    <w:name w:val="Contenido Tabla"/>
    <w:basedOn w:val="Tablanormal"/>
    <w:uiPriority w:val="99"/>
    <w:rsid w:val="00F87744"/>
    <w:pPr>
      <w:spacing w:after="0" w:line="240" w:lineRule="auto"/>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Contenidotabla0">
    <w:name w:val="Contenido tabla"/>
    <w:basedOn w:val="Tablanormal"/>
    <w:uiPriority w:val="99"/>
    <w:rsid w:val="00F87744"/>
    <w:pPr>
      <w:spacing w:after="0" w:line="240" w:lineRule="auto"/>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Estilo2">
    <w:name w:val="Estilo2"/>
    <w:basedOn w:val="Tablaconcuadrcula"/>
    <w:uiPriority w:val="99"/>
    <w:rsid w:val="00F87744"/>
    <w:pPr>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style>
  <w:style w:type="table" w:customStyle="1" w:styleId="ContenidoTabla1">
    <w:name w:val="Contenido Tabla1"/>
    <w:basedOn w:val="Tablanormal"/>
    <w:uiPriority w:val="99"/>
    <w:rsid w:val="005900CC"/>
    <w:pPr>
      <w:spacing w:after="0" w:line="240" w:lineRule="auto"/>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Estilo11">
    <w:name w:val="Estilo11"/>
    <w:basedOn w:val="Tablanormal"/>
    <w:uiPriority w:val="99"/>
    <w:rsid w:val="005900CC"/>
    <w:pPr>
      <w:spacing w:after="0" w:line="240" w:lineRule="auto"/>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Contenidotabla10">
    <w:name w:val="Contenido tabla1"/>
    <w:basedOn w:val="Tablanormal"/>
    <w:uiPriority w:val="99"/>
    <w:rsid w:val="005900CC"/>
    <w:pPr>
      <w:spacing w:after="0" w:line="240" w:lineRule="auto"/>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Estilo21">
    <w:name w:val="Estilo21"/>
    <w:basedOn w:val="Tablaconcuadrcula"/>
    <w:uiPriority w:val="99"/>
    <w:rsid w:val="005900CC"/>
    <w:pPr>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style>
  <w:style w:type="paragraph" w:styleId="HTMLconformatoprevio">
    <w:name w:val="HTML Preformatted"/>
    <w:basedOn w:val="Normal"/>
    <w:link w:val="HTMLconformatoprevioCar"/>
    <w:uiPriority w:val="99"/>
    <w:semiHidden/>
    <w:unhideWhenUsed/>
    <w:rsid w:val="002D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D763B"/>
    <w:rPr>
      <w:rFonts w:ascii="Courier New" w:eastAsia="Times New Roman" w:hAnsi="Courier New" w:cs="Courier New"/>
      <w:sz w:val="20"/>
      <w:szCs w:val="20"/>
      <w:lang w:eastAsia="es-MX"/>
    </w:rPr>
  </w:style>
  <w:style w:type="numbering" w:customStyle="1" w:styleId="Sinlista4">
    <w:name w:val="Sin lista4"/>
    <w:next w:val="Sinlista"/>
    <w:uiPriority w:val="99"/>
    <w:semiHidden/>
    <w:unhideWhenUsed/>
    <w:rsid w:val="00D931A8"/>
  </w:style>
  <w:style w:type="table" w:customStyle="1" w:styleId="Tablaconcuadrcula6">
    <w:name w:val="Tabla con cuadrícula6"/>
    <w:basedOn w:val="Tablanormal"/>
    <w:next w:val="Tablaconcuadrcula"/>
    <w:uiPriority w:val="39"/>
    <w:rsid w:val="00D93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ntenidoTabla2">
    <w:name w:val="Contenido Tabla2"/>
    <w:basedOn w:val="Tablanormal"/>
    <w:uiPriority w:val="99"/>
    <w:rsid w:val="00D931A8"/>
    <w:pPr>
      <w:spacing w:after="0" w:line="240" w:lineRule="auto"/>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Estilo12">
    <w:name w:val="Estilo12"/>
    <w:basedOn w:val="Tablanormal"/>
    <w:uiPriority w:val="99"/>
    <w:rsid w:val="00D931A8"/>
    <w:pPr>
      <w:spacing w:after="0" w:line="240" w:lineRule="auto"/>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Contenidotabla20">
    <w:name w:val="Contenido tabla2"/>
    <w:basedOn w:val="Tablanormal"/>
    <w:uiPriority w:val="99"/>
    <w:rsid w:val="00D931A8"/>
    <w:pPr>
      <w:spacing w:after="0" w:line="240" w:lineRule="auto"/>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Estilo22">
    <w:name w:val="Estilo22"/>
    <w:basedOn w:val="Tablaconcuadrcula"/>
    <w:uiPriority w:val="99"/>
    <w:rsid w:val="00D931A8"/>
    <w:pPr>
      <w:jc w:val="center"/>
    </w:pPr>
    <w:rPr>
      <w:rFonts w:ascii="ITC Avant Garde" w:hAnsi="ITC Avant Garde"/>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style>
  <w:style w:type="table" w:customStyle="1" w:styleId="Tablaconcuadrcula7">
    <w:name w:val="Tabla con cuadrícula7"/>
    <w:basedOn w:val="Tablanormal"/>
    <w:next w:val="Tablaconcuadrcula"/>
    <w:uiPriority w:val="39"/>
    <w:rsid w:val="00D93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BB1C6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3903">
      <w:bodyDiv w:val="1"/>
      <w:marLeft w:val="0"/>
      <w:marRight w:val="0"/>
      <w:marTop w:val="0"/>
      <w:marBottom w:val="0"/>
      <w:divBdr>
        <w:top w:val="none" w:sz="0" w:space="0" w:color="auto"/>
        <w:left w:val="none" w:sz="0" w:space="0" w:color="auto"/>
        <w:bottom w:val="none" w:sz="0" w:space="0" w:color="auto"/>
        <w:right w:val="none" w:sz="0" w:space="0" w:color="auto"/>
      </w:divBdr>
    </w:div>
    <w:div w:id="360472830">
      <w:bodyDiv w:val="1"/>
      <w:marLeft w:val="0"/>
      <w:marRight w:val="0"/>
      <w:marTop w:val="0"/>
      <w:marBottom w:val="0"/>
      <w:divBdr>
        <w:top w:val="none" w:sz="0" w:space="0" w:color="auto"/>
        <w:left w:val="none" w:sz="0" w:space="0" w:color="auto"/>
        <w:bottom w:val="none" w:sz="0" w:space="0" w:color="auto"/>
        <w:right w:val="none" w:sz="0" w:space="0" w:color="auto"/>
      </w:divBdr>
      <w:divsChild>
        <w:div w:id="44838672">
          <w:marLeft w:val="0"/>
          <w:marRight w:val="0"/>
          <w:marTop w:val="0"/>
          <w:marBottom w:val="0"/>
          <w:divBdr>
            <w:top w:val="none" w:sz="0" w:space="0" w:color="auto"/>
            <w:left w:val="none" w:sz="0" w:space="0" w:color="auto"/>
            <w:bottom w:val="none" w:sz="0" w:space="0" w:color="auto"/>
            <w:right w:val="none" w:sz="0" w:space="0" w:color="auto"/>
          </w:divBdr>
          <w:divsChild>
            <w:div w:id="121770701">
              <w:marLeft w:val="0"/>
              <w:marRight w:val="0"/>
              <w:marTop w:val="0"/>
              <w:marBottom w:val="0"/>
              <w:divBdr>
                <w:top w:val="none" w:sz="0" w:space="0" w:color="auto"/>
                <w:left w:val="none" w:sz="0" w:space="0" w:color="auto"/>
                <w:bottom w:val="none" w:sz="0" w:space="0" w:color="auto"/>
                <w:right w:val="none" w:sz="0" w:space="0" w:color="auto"/>
              </w:divBdr>
            </w:div>
            <w:div w:id="1383867948">
              <w:marLeft w:val="0"/>
              <w:marRight w:val="0"/>
              <w:marTop w:val="0"/>
              <w:marBottom w:val="0"/>
              <w:divBdr>
                <w:top w:val="none" w:sz="0" w:space="0" w:color="auto"/>
                <w:left w:val="none" w:sz="0" w:space="0" w:color="auto"/>
                <w:bottom w:val="none" w:sz="0" w:space="0" w:color="auto"/>
                <w:right w:val="none" w:sz="0" w:space="0" w:color="auto"/>
              </w:divBdr>
            </w:div>
          </w:divsChild>
        </w:div>
        <w:div w:id="2125541846">
          <w:marLeft w:val="0"/>
          <w:marRight w:val="0"/>
          <w:marTop w:val="0"/>
          <w:marBottom w:val="0"/>
          <w:divBdr>
            <w:top w:val="none" w:sz="0" w:space="0" w:color="auto"/>
            <w:left w:val="none" w:sz="0" w:space="0" w:color="auto"/>
            <w:bottom w:val="none" w:sz="0" w:space="0" w:color="auto"/>
            <w:right w:val="none" w:sz="0" w:space="0" w:color="auto"/>
          </w:divBdr>
          <w:divsChild>
            <w:div w:id="584920567">
              <w:marLeft w:val="0"/>
              <w:marRight w:val="0"/>
              <w:marTop w:val="0"/>
              <w:marBottom w:val="0"/>
              <w:divBdr>
                <w:top w:val="none" w:sz="0" w:space="0" w:color="auto"/>
                <w:left w:val="none" w:sz="0" w:space="0" w:color="auto"/>
                <w:bottom w:val="none" w:sz="0" w:space="0" w:color="auto"/>
                <w:right w:val="none" w:sz="0" w:space="0" w:color="auto"/>
              </w:divBdr>
              <w:divsChild>
                <w:div w:id="15671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76962">
      <w:bodyDiv w:val="1"/>
      <w:marLeft w:val="0"/>
      <w:marRight w:val="0"/>
      <w:marTop w:val="0"/>
      <w:marBottom w:val="0"/>
      <w:divBdr>
        <w:top w:val="none" w:sz="0" w:space="0" w:color="auto"/>
        <w:left w:val="none" w:sz="0" w:space="0" w:color="auto"/>
        <w:bottom w:val="none" w:sz="0" w:space="0" w:color="auto"/>
        <w:right w:val="none" w:sz="0" w:space="0" w:color="auto"/>
      </w:divBdr>
      <w:divsChild>
        <w:div w:id="1684934262">
          <w:marLeft w:val="0"/>
          <w:marRight w:val="0"/>
          <w:marTop w:val="0"/>
          <w:marBottom w:val="0"/>
          <w:divBdr>
            <w:top w:val="none" w:sz="0" w:space="0" w:color="auto"/>
            <w:left w:val="none" w:sz="0" w:space="0" w:color="auto"/>
            <w:bottom w:val="none" w:sz="0" w:space="0" w:color="auto"/>
            <w:right w:val="none" w:sz="0" w:space="0" w:color="auto"/>
          </w:divBdr>
          <w:divsChild>
            <w:div w:id="2026787311">
              <w:marLeft w:val="0"/>
              <w:marRight w:val="0"/>
              <w:marTop w:val="0"/>
              <w:marBottom w:val="0"/>
              <w:divBdr>
                <w:top w:val="none" w:sz="0" w:space="0" w:color="auto"/>
                <w:left w:val="none" w:sz="0" w:space="0" w:color="auto"/>
                <w:bottom w:val="none" w:sz="0" w:space="0" w:color="auto"/>
                <w:right w:val="none" w:sz="0" w:space="0" w:color="auto"/>
              </w:divBdr>
              <w:divsChild>
                <w:div w:id="15274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0200">
          <w:marLeft w:val="0"/>
          <w:marRight w:val="0"/>
          <w:marTop w:val="0"/>
          <w:marBottom w:val="0"/>
          <w:divBdr>
            <w:top w:val="none" w:sz="0" w:space="0" w:color="auto"/>
            <w:left w:val="none" w:sz="0" w:space="0" w:color="auto"/>
            <w:bottom w:val="none" w:sz="0" w:space="0" w:color="auto"/>
            <w:right w:val="none" w:sz="0" w:space="0" w:color="auto"/>
          </w:divBdr>
          <w:divsChild>
            <w:div w:id="1141920983">
              <w:marLeft w:val="0"/>
              <w:marRight w:val="0"/>
              <w:marTop w:val="0"/>
              <w:marBottom w:val="0"/>
              <w:divBdr>
                <w:top w:val="none" w:sz="0" w:space="0" w:color="auto"/>
                <w:left w:val="none" w:sz="0" w:space="0" w:color="auto"/>
                <w:bottom w:val="none" w:sz="0" w:space="0" w:color="auto"/>
                <w:right w:val="none" w:sz="0" w:space="0" w:color="auto"/>
              </w:divBdr>
            </w:div>
            <w:div w:id="12992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5304">
      <w:bodyDiv w:val="1"/>
      <w:marLeft w:val="0"/>
      <w:marRight w:val="0"/>
      <w:marTop w:val="0"/>
      <w:marBottom w:val="0"/>
      <w:divBdr>
        <w:top w:val="none" w:sz="0" w:space="0" w:color="auto"/>
        <w:left w:val="none" w:sz="0" w:space="0" w:color="auto"/>
        <w:bottom w:val="none" w:sz="0" w:space="0" w:color="auto"/>
        <w:right w:val="none" w:sz="0" w:space="0" w:color="auto"/>
      </w:divBdr>
      <w:divsChild>
        <w:div w:id="280305854">
          <w:marLeft w:val="0"/>
          <w:marRight w:val="0"/>
          <w:marTop w:val="0"/>
          <w:marBottom w:val="0"/>
          <w:divBdr>
            <w:top w:val="none" w:sz="0" w:space="0" w:color="auto"/>
            <w:left w:val="none" w:sz="0" w:space="0" w:color="auto"/>
            <w:bottom w:val="none" w:sz="0" w:space="0" w:color="auto"/>
            <w:right w:val="none" w:sz="0" w:space="0" w:color="auto"/>
          </w:divBdr>
          <w:divsChild>
            <w:div w:id="953098700">
              <w:marLeft w:val="0"/>
              <w:marRight w:val="0"/>
              <w:marTop w:val="0"/>
              <w:marBottom w:val="0"/>
              <w:divBdr>
                <w:top w:val="none" w:sz="0" w:space="0" w:color="auto"/>
                <w:left w:val="none" w:sz="0" w:space="0" w:color="auto"/>
                <w:bottom w:val="none" w:sz="0" w:space="0" w:color="auto"/>
                <w:right w:val="none" w:sz="0" w:space="0" w:color="auto"/>
              </w:divBdr>
              <w:divsChild>
                <w:div w:id="1217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3615">
      <w:bodyDiv w:val="1"/>
      <w:marLeft w:val="0"/>
      <w:marRight w:val="0"/>
      <w:marTop w:val="0"/>
      <w:marBottom w:val="0"/>
      <w:divBdr>
        <w:top w:val="none" w:sz="0" w:space="0" w:color="auto"/>
        <w:left w:val="none" w:sz="0" w:space="0" w:color="auto"/>
        <w:bottom w:val="none" w:sz="0" w:space="0" w:color="auto"/>
        <w:right w:val="none" w:sz="0" w:space="0" w:color="auto"/>
      </w:divBdr>
    </w:div>
    <w:div w:id="588660024">
      <w:bodyDiv w:val="1"/>
      <w:marLeft w:val="0"/>
      <w:marRight w:val="0"/>
      <w:marTop w:val="0"/>
      <w:marBottom w:val="0"/>
      <w:divBdr>
        <w:top w:val="none" w:sz="0" w:space="0" w:color="auto"/>
        <w:left w:val="none" w:sz="0" w:space="0" w:color="auto"/>
        <w:bottom w:val="none" w:sz="0" w:space="0" w:color="auto"/>
        <w:right w:val="none" w:sz="0" w:space="0" w:color="auto"/>
      </w:divBdr>
    </w:div>
    <w:div w:id="796992653">
      <w:bodyDiv w:val="1"/>
      <w:marLeft w:val="0"/>
      <w:marRight w:val="0"/>
      <w:marTop w:val="0"/>
      <w:marBottom w:val="0"/>
      <w:divBdr>
        <w:top w:val="none" w:sz="0" w:space="0" w:color="auto"/>
        <w:left w:val="none" w:sz="0" w:space="0" w:color="auto"/>
        <w:bottom w:val="none" w:sz="0" w:space="0" w:color="auto"/>
        <w:right w:val="none" w:sz="0" w:space="0" w:color="auto"/>
      </w:divBdr>
      <w:divsChild>
        <w:div w:id="1237589869">
          <w:marLeft w:val="0"/>
          <w:marRight w:val="0"/>
          <w:marTop w:val="0"/>
          <w:marBottom w:val="0"/>
          <w:divBdr>
            <w:top w:val="none" w:sz="0" w:space="0" w:color="auto"/>
            <w:left w:val="none" w:sz="0" w:space="0" w:color="auto"/>
            <w:bottom w:val="none" w:sz="0" w:space="0" w:color="auto"/>
            <w:right w:val="none" w:sz="0" w:space="0" w:color="auto"/>
          </w:divBdr>
          <w:divsChild>
            <w:div w:id="33510243">
              <w:marLeft w:val="0"/>
              <w:marRight w:val="0"/>
              <w:marTop w:val="0"/>
              <w:marBottom w:val="0"/>
              <w:divBdr>
                <w:top w:val="none" w:sz="0" w:space="0" w:color="auto"/>
                <w:left w:val="none" w:sz="0" w:space="0" w:color="auto"/>
                <w:bottom w:val="none" w:sz="0" w:space="0" w:color="auto"/>
                <w:right w:val="none" w:sz="0" w:space="0" w:color="auto"/>
              </w:divBdr>
            </w:div>
            <w:div w:id="390858371">
              <w:marLeft w:val="0"/>
              <w:marRight w:val="0"/>
              <w:marTop w:val="0"/>
              <w:marBottom w:val="0"/>
              <w:divBdr>
                <w:top w:val="none" w:sz="0" w:space="0" w:color="auto"/>
                <w:left w:val="none" w:sz="0" w:space="0" w:color="auto"/>
                <w:bottom w:val="none" w:sz="0" w:space="0" w:color="auto"/>
                <w:right w:val="none" w:sz="0" w:space="0" w:color="auto"/>
              </w:divBdr>
            </w:div>
          </w:divsChild>
        </w:div>
        <w:div w:id="1369455063">
          <w:marLeft w:val="0"/>
          <w:marRight w:val="0"/>
          <w:marTop w:val="0"/>
          <w:marBottom w:val="0"/>
          <w:divBdr>
            <w:top w:val="none" w:sz="0" w:space="0" w:color="auto"/>
            <w:left w:val="none" w:sz="0" w:space="0" w:color="auto"/>
            <w:bottom w:val="none" w:sz="0" w:space="0" w:color="auto"/>
            <w:right w:val="none" w:sz="0" w:space="0" w:color="auto"/>
          </w:divBdr>
          <w:divsChild>
            <w:div w:id="521020247">
              <w:marLeft w:val="0"/>
              <w:marRight w:val="0"/>
              <w:marTop w:val="0"/>
              <w:marBottom w:val="0"/>
              <w:divBdr>
                <w:top w:val="none" w:sz="0" w:space="0" w:color="auto"/>
                <w:left w:val="none" w:sz="0" w:space="0" w:color="auto"/>
                <w:bottom w:val="none" w:sz="0" w:space="0" w:color="auto"/>
                <w:right w:val="none" w:sz="0" w:space="0" w:color="auto"/>
              </w:divBdr>
              <w:divsChild>
                <w:div w:id="5531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5990">
      <w:bodyDiv w:val="1"/>
      <w:marLeft w:val="0"/>
      <w:marRight w:val="0"/>
      <w:marTop w:val="0"/>
      <w:marBottom w:val="0"/>
      <w:divBdr>
        <w:top w:val="none" w:sz="0" w:space="0" w:color="auto"/>
        <w:left w:val="none" w:sz="0" w:space="0" w:color="auto"/>
        <w:bottom w:val="none" w:sz="0" w:space="0" w:color="auto"/>
        <w:right w:val="none" w:sz="0" w:space="0" w:color="auto"/>
      </w:divBdr>
    </w:div>
    <w:div w:id="1071393083">
      <w:bodyDiv w:val="1"/>
      <w:marLeft w:val="0"/>
      <w:marRight w:val="0"/>
      <w:marTop w:val="0"/>
      <w:marBottom w:val="0"/>
      <w:divBdr>
        <w:top w:val="none" w:sz="0" w:space="0" w:color="auto"/>
        <w:left w:val="none" w:sz="0" w:space="0" w:color="auto"/>
        <w:bottom w:val="none" w:sz="0" w:space="0" w:color="auto"/>
        <w:right w:val="none" w:sz="0" w:space="0" w:color="auto"/>
      </w:divBdr>
      <w:divsChild>
        <w:div w:id="113988155">
          <w:marLeft w:val="0"/>
          <w:marRight w:val="0"/>
          <w:marTop w:val="0"/>
          <w:marBottom w:val="0"/>
          <w:divBdr>
            <w:top w:val="none" w:sz="0" w:space="0" w:color="auto"/>
            <w:left w:val="none" w:sz="0" w:space="0" w:color="auto"/>
            <w:bottom w:val="none" w:sz="0" w:space="0" w:color="auto"/>
            <w:right w:val="none" w:sz="0" w:space="0" w:color="auto"/>
          </w:divBdr>
          <w:divsChild>
            <w:div w:id="1353337044">
              <w:marLeft w:val="0"/>
              <w:marRight w:val="0"/>
              <w:marTop w:val="0"/>
              <w:marBottom w:val="0"/>
              <w:divBdr>
                <w:top w:val="none" w:sz="0" w:space="0" w:color="auto"/>
                <w:left w:val="none" w:sz="0" w:space="0" w:color="auto"/>
                <w:bottom w:val="none" w:sz="0" w:space="0" w:color="auto"/>
                <w:right w:val="none" w:sz="0" w:space="0" w:color="auto"/>
              </w:divBdr>
              <w:divsChild>
                <w:div w:id="3041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6206">
      <w:bodyDiv w:val="1"/>
      <w:marLeft w:val="0"/>
      <w:marRight w:val="0"/>
      <w:marTop w:val="0"/>
      <w:marBottom w:val="0"/>
      <w:divBdr>
        <w:top w:val="none" w:sz="0" w:space="0" w:color="auto"/>
        <w:left w:val="none" w:sz="0" w:space="0" w:color="auto"/>
        <w:bottom w:val="none" w:sz="0" w:space="0" w:color="auto"/>
        <w:right w:val="none" w:sz="0" w:space="0" w:color="auto"/>
      </w:divBdr>
    </w:div>
    <w:div w:id="1636636728">
      <w:bodyDiv w:val="1"/>
      <w:marLeft w:val="0"/>
      <w:marRight w:val="0"/>
      <w:marTop w:val="0"/>
      <w:marBottom w:val="0"/>
      <w:divBdr>
        <w:top w:val="none" w:sz="0" w:space="0" w:color="auto"/>
        <w:left w:val="none" w:sz="0" w:space="0" w:color="auto"/>
        <w:bottom w:val="none" w:sz="0" w:space="0" w:color="auto"/>
        <w:right w:val="none" w:sz="0" w:space="0" w:color="auto"/>
      </w:divBdr>
    </w:div>
    <w:div w:id="1638533556">
      <w:bodyDiv w:val="1"/>
      <w:marLeft w:val="0"/>
      <w:marRight w:val="0"/>
      <w:marTop w:val="0"/>
      <w:marBottom w:val="0"/>
      <w:divBdr>
        <w:top w:val="none" w:sz="0" w:space="0" w:color="auto"/>
        <w:left w:val="none" w:sz="0" w:space="0" w:color="auto"/>
        <w:bottom w:val="none" w:sz="0" w:space="0" w:color="auto"/>
        <w:right w:val="none" w:sz="0" w:space="0" w:color="auto"/>
      </w:divBdr>
    </w:div>
    <w:div w:id="1756130917">
      <w:bodyDiv w:val="1"/>
      <w:marLeft w:val="0"/>
      <w:marRight w:val="0"/>
      <w:marTop w:val="0"/>
      <w:marBottom w:val="0"/>
      <w:divBdr>
        <w:top w:val="none" w:sz="0" w:space="0" w:color="auto"/>
        <w:left w:val="none" w:sz="0" w:space="0" w:color="auto"/>
        <w:bottom w:val="none" w:sz="0" w:space="0" w:color="auto"/>
        <w:right w:val="none" w:sz="0" w:space="0" w:color="auto"/>
      </w:divBdr>
    </w:div>
    <w:div w:id="1924097267">
      <w:bodyDiv w:val="1"/>
      <w:marLeft w:val="0"/>
      <w:marRight w:val="0"/>
      <w:marTop w:val="0"/>
      <w:marBottom w:val="0"/>
      <w:divBdr>
        <w:top w:val="none" w:sz="0" w:space="0" w:color="auto"/>
        <w:left w:val="none" w:sz="0" w:space="0" w:color="auto"/>
        <w:bottom w:val="none" w:sz="0" w:space="0" w:color="auto"/>
        <w:right w:val="none" w:sz="0" w:space="0" w:color="auto"/>
      </w:divBdr>
    </w:div>
    <w:div w:id="1941529096">
      <w:bodyDiv w:val="1"/>
      <w:marLeft w:val="0"/>
      <w:marRight w:val="0"/>
      <w:marTop w:val="0"/>
      <w:marBottom w:val="0"/>
      <w:divBdr>
        <w:top w:val="none" w:sz="0" w:space="0" w:color="auto"/>
        <w:left w:val="none" w:sz="0" w:space="0" w:color="auto"/>
        <w:bottom w:val="none" w:sz="0" w:space="0" w:color="auto"/>
        <w:right w:val="none" w:sz="0" w:space="0" w:color="auto"/>
      </w:divBdr>
      <w:divsChild>
        <w:div w:id="2088260944">
          <w:marLeft w:val="0"/>
          <w:marRight w:val="0"/>
          <w:marTop w:val="0"/>
          <w:marBottom w:val="0"/>
          <w:divBdr>
            <w:top w:val="none" w:sz="0" w:space="0" w:color="auto"/>
            <w:left w:val="none" w:sz="0" w:space="0" w:color="auto"/>
            <w:bottom w:val="none" w:sz="0" w:space="0" w:color="auto"/>
            <w:right w:val="none" w:sz="0" w:space="0" w:color="auto"/>
          </w:divBdr>
        </w:div>
      </w:divsChild>
    </w:div>
    <w:div w:id="1950552435">
      <w:bodyDiv w:val="1"/>
      <w:marLeft w:val="0"/>
      <w:marRight w:val="0"/>
      <w:marTop w:val="0"/>
      <w:marBottom w:val="0"/>
      <w:divBdr>
        <w:top w:val="none" w:sz="0" w:space="0" w:color="auto"/>
        <w:left w:val="none" w:sz="0" w:space="0" w:color="auto"/>
        <w:bottom w:val="none" w:sz="0" w:space="0" w:color="auto"/>
        <w:right w:val="none" w:sz="0" w:space="0" w:color="auto"/>
      </w:divBdr>
    </w:div>
    <w:div w:id="20956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sayuri.koike\Documents\DC-003-2018%20KIO-American%20Tower\BASE%20ED%20Preci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sayuri.koike\Documents\DC-003-2018%20KIO-American%20Tower\BASE%20ED%20Precio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Users\sayuri.koike\Documents\DC-003-2018%20KIO-American%20Tower\BASE%20ED%20Preci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sayuri.koike\Documents\DC-003-2018%20KIO-American%20Tower\BASE%20ED%20Precio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Users\sayuri.koike\Documents\DC-003-2018%20KIO-American%20Tower\BASE%20ED%20Precio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Users\brenda.lopez\Documents\AI-DC-003-2018\Bases\Version%2017.07.2018\Precios%20impl&#237;ci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Hoja6!$D$24</c:f>
              <c:strCache>
                <c:ptCount val="1"/>
                <c:pt idx="0">
                  <c:v>TDM</c:v>
                </c:pt>
              </c:strCache>
            </c:strRef>
          </c:tx>
          <c:spPr>
            <a:solidFill>
              <a:schemeClr val="accent5">
                <a:lumMod val="60000"/>
                <a:lumOff val="40000"/>
              </a:schemeClr>
            </a:solidFill>
            <a:ln>
              <a:noFill/>
            </a:ln>
            <a:effectLst/>
          </c:spPr>
          <c:invertIfNegative val="0"/>
          <c:cat>
            <c:strRef>
              <c:f>Hoja6!$C$25:$C$27</c:f>
              <c:strCache>
                <c:ptCount val="3"/>
                <c:pt idx="0">
                  <c:v>2016</c:v>
                </c:pt>
                <c:pt idx="1">
                  <c:v>2017</c:v>
                </c:pt>
                <c:pt idx="2">
                  <c:v>1T2018</c:v>
                </c:pt>
              </c:strCache>
            </c:strRef>
          </c:cat>
          <c:val>
            <c:numRef>
              <c:f>Hoja6!$D$25:$D$27</c:f>
              <c:numCache>
                <c:formatCode>"$"#,##0.00</c:formatCode>
                <c:ptCount val="3"/>
                <c:pt idx="0">
                  <c:v>510.23439784535555</c:v>
                </c:pt>
                <c:pt idx="1">
                  <c:v>386.71883694621738</c:v>
                </c:pt>
                <c:pt idx="2">
                  <c:v>457.92486876731692</c:v>
                </c:pt>
              </c:numCache>
            </c:numRef>
          </c:val>
          <c:extLst>
            <c:ext xmlns:c16="http://schemas.microsoft.com/office/drawing/2014/chart" uri="{C3380CC4-5D6E-409C-BE32-E72D297353CC}">
              <c16:uniqueId val="{00000000-F698-44D3-BC27-023EA6DC4FC2}"/>
            </c:ext>
          </c:extLst>
        </c:ser>
        <c:ser>
          <c:idx val="1"/>
          <c:order val="1"/>
          <c:tx>
            <c:strRef>
              <c:f>Hoja6!$E$24</c:f>
              <c:strCache>
                <c:ptCount val="1"/>
                <c:pt idx="0">
                  <c:v>Ethernet</c:v>
                </c:pt>
              </c:strCache>
            </c:strRef>
          </c:tx>
          <c:spPr>
            <a:solidFill>
              <a:srgbClr val="002060"/>
            </a:solidFill>
            <a:ln>
              <a:noFill/>
            </a:ln>
            <a:effectLst/>
          </c:spPr>
          <c:invertIfNegative val="0"/>
          <c:cat>
            <c:strRef>
              <c:f>Hoja6!$C$25:$C$27</c:f>
              <c:strCache>
                <c:ptCount val="3"/>
                <c:pt idx="0">
                  <c:v>2016</c:v>
                </c:pt>
                <c:pt idx="1">
                  <c:v>2017</c:v>
                </c:pt>
                <c:pt idx="2">
                  <c:v>1T2018</c:v>
                </c:pt>
              </c:strCache>
            </c:strRef>
          </c:cat>
          <c:val>
            <c:numRef>
              <c:f>Hoja6!$E$25:$E$27</c:f>
              <c:numCache>
                <c:formatCode>"$"#,##0.00</c:formatCode>
                <c:ptCount val="3"/>
                <c:pt idx="0">
                  <c:v>127.05865361281501</c:v>
                </c:pt>
                <c:pt idx="1">
                  <c:v>116.45029085408532</c:v>
                </c:pt>
                <c:pt idx="2">
                  <c:v>150.32214792318268</c:v>
                </c:pt>
              </c:numCache>
            </c:numRef>
          </c:val>
          <c:extLst>
            <c:ext xmlns:c16="http://schemas.microsoft.com/office/drawing/2014/chart" uri="{C3380CC4-5D6E-409C-BE32-E72D297353CC}">
              <c16:uniqueId val="{00000001-F698-44D3-BC27-023EA6DC4FC2}"/>
            </c:ext>
          </c:extLst>
        </c:ser>
        <c:dLbls>
          <c:showLegendKey val="0"/>
          <c:showVal val="0"/>
          <c:showCatName val="0"/>
          <c:showSerName val="0"/>
          <c:showPercent val="0"/>
          <c:showBubbleSize val="0"/>
        </c:dLbls>
        <c:gapWidth val="219"/>
        <c:overlap val="-27"/>
        <c:axId val="596855480"/>
        <c:axId val="596852736"/>
      </c:barChart>
      <c:catAx>
        <c:axId val="596855480"/>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crossAx val="596852736"/>
        <c:crosses val="autoZero"/>
        <c:auto val="1"/>
        <c:lblAlgn val="ctr"/>
        <c:lblOffset val="100"/>
        <c:noMultiLvlLbl val="0"/>
      </c:catAx>
      <c:valAx>
        <c:axId val="596852736"/>
        <c:scaling>
          <c:orientation val="minMax"/>
        </c:scaling>
        <c:delete val="0"/>
        <c:axPos val="l"/>
        <c:majorGridlines>
          <c:spPr>
            <a:ln w="6350"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crossAx val="596855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ITC Avant Garde" panose="020B0402020203020304" pitchFamily="34" charset="0"/>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829729617131195"/>
          <c:y val="6.5476190476190479E-2"/>
          <c:w val="0.74451286181819876"/>
          <c:h val="0.68256514810648672"/>
        </c:manualLayout>
      </c:layout>
      <c:barChart>
        <c:barDir val="bar"/>
        <c:grouping val="stacked"/>
        <c:varyColors val="0"/>
        <c:ser>
          <c:idx val="0"/>
          <c:order val="0"/>
          <c:tx>
            <c:strRef>
              <c:f>Hoja6!$O$1</c:f>
              <c:strCache>
                <c:ptCount val="1"/>
                <c:pt idx="0">
                  <c:v>Hasta 2 Mbps</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Hoja6!$M$2:$N$7</c:f>
              <c:multiLvlStrCache>
                <c:ptCount val="6"/>
                <c:lvl>
                  <c:pt idx="0">
                    <c:v>1T2018</c:v>
                  </c:pt>
                  <c:pt idx="1">
                    <c:v>2017</c:v>
                  </c:pt>
                  <c:pt idx="2">
                    <c:v>2016</c:v>
                  </c:pt>
                  <c:pt idx="3">
                    <c:v>1T2018</c:v>
                  </c:pt>
                  <c:pt idx="4">
                    <c:v>2017</c:v>
                  </c:pt>
                  <c:pt idx="5">
                    <c:v>2016</c:v>
                  </c:pt>
                </c:lvl>
                <c:lvl>
                  <c:pt idx="0">
                    <c:v>TDM</c:v>
                  </c:pt>
                  <c:pt idx="3">
                    <c:v>Ethernet</c:v>
                  </c:pt>
                </c:lvl>
              </c:multiLvlStrCache>
            </c:multiLvlStrRef>
          </c:cat>
          <c:val>
            <c:numRef>
              <c:f>Hoja6!$O$2:$O$7</c:f>
              <c:numCache>
                <c:formatCode>0.0%</c:formatCode>
                <c:ptCount val="6"/>
                <c:pt idx="0">
                  <c:v>0.98868851942486846</c:v>
                </c:pt>
                <c:pt idx="1">
                  <c:v>0.98853777801146225</c:v>
                </c:pt>
                <c:pt idx="2">
                  <c:v>0.98794849890163539</c:v>
                </c:pt>
                <c:pt idx="3">
                  <c:v>0.23578277583845167</c:v>
                </c:pt>
                <c:pt idx="4">
                  <c:v>0.24248262574829699</c:v>
                </c:pt>
                <c:pt idx="5">
                  <c:v>0.2126009485963338</c:v>
                </c:pt>
              </c:numCache>
            </c:numRef>
          </c:val>
          <c:extLst>
            <c:ext xmlns:c16="http://schemas.microsoft.com/office/drawing/2014/chart" uri="{C3380CC4-5D6E-409C-BE32-E72D297353CC}">
              <c16:uniqueId val="{00000000-B5CF-4DD6-955A-20E4F9F41F35}"/>
            </c:ext>
          </c:extLst>
        </c:ser>
        <c:ser>
          <c:idx val="1"/>
          <c:order val="1"/>
          <c:tx>
            <c:strRef>
              <c:f>Hoja6!$P$1</c:f>
              <c:strCache>
                <c:ptCount val="1"/>
                <c:pt idx="0">
                  <c:v>Más de 2 Mbps</c:v>
                </c:pt>
              </c:strCache>
            </c:strRef>
          </c:tx>
          <c:spPr>
            <a:solidFill>
              <a:srgbClr val="002060"/>
            </a:solidFill>
            <a:ln>
              <a:noFill/>
            </a:ln>
            <a:effectLst/>
          </c:spPr>
          <c:invertIfNegative val="0"/>
          <c:dLbls>
            <c:dLbl>
              <c:idx val="0"/>
              <c:layout>
                <c:manualLayout>
                  <c:x val="3.5273368606701938E-2"/>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CF-4DD6-955A-20E4F9F41F35}"/>
                </c:ext>
              </c:extLst>
            </c:dLbl>
            <c:dLbl>
              <c:idx val="1"/>
              <c:layout>
                <c:manualLayout>
                  <c:x val="3.7624926513815229E-2"/>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CF-4DD6-955A-20E4F9F41F35}"/>
                </c:ext>
              </c:extLst>
            </c:dLbl>
            <c:dLbl>
              <c:idx val="2"/>
              <c:layout>
                <c:manualLayout>
                  <c:x val="3.0570252792474842E-2"/>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CF-4DD6-955A-20E4F9F41F3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Hoja6!$M$2:$N$7</c:f>
              <c:multiLvlStrCache>
                <c:ptCount val="6"/>
                <c:lvl>
                  <c:pt idx="0">
                    <c:v>1T2018</c:v>
                  </c:pt>
                  <c:pt idx="1">
                    <c:v>2017</c:v>
                  </c:pt>
                  <c:pt idx="2">
                    <c:v>2016</c:v>
                  </c:pt>
                  <c:pt idx="3">
                    <c:v>1T2018</c:v>
                  </c:pt>
                  <c:pt idx="4">
                    <c:v>2017</c:v>
                  </c:pt>
                  <c:pt idx="5">
                    <c:v>2016</c:v>
                  </c:pt>
                </c:lvl>
                <c:lvl>
                  <c:pt idx="0">
                    <c:v>TDM</c:v>
                  </c:pt>
                  <c:pt idx="3">
                    <c:v>Ethernet</c:v>
                  </c:pt>
                </c:lvl>
              </c:multiLvlStrCache>
            </c:multiLvlStrRef>
          </c:cat>
          <c:val>
            <c:numRef>
              <c:f>Hoja6!$P$2:$P$7</c:f>
              <c:numCache>
                <c:formatCode>0.0%</c:formatCode>
                <c:ptCount val="6"/>
                <c:pt idx="0">
                  <c:v>1.1311480575131538E-2</c:v>
                </c:pt>
                <c:pt idx="1">
                  <c:v>1.1462221988537746E-2</c:v>
                </c:pt>
                <c:pt idx="2">
                  <c:v>1.2051501098364614E-2</c:v>
                </c:pt>
                <c:pt idx="3">
                  <c:v>0.76421722416154836</c:v>
                </c:pt>
                <c:pt idx="4">
                  <c:v>0.75751737425170296</c:v>
                </c:pt>
                <c:pt idx="5">
                  <c:v>0.78739905140366617</c:v>
                </c:pt>
              </c:numCache>
            </c:numRef>
          </c:val>
          <c:extLst>
            <c:ext xmlns:c16="http://schemas.microsoft.com/office/drawing/2014/chart" uri="{C3380CC4-5D6E-409C-BE32-E72D297353CC}">
              <c16:uniqueId val="{00000004-B5CF-4DD6-955A-20E4F9F41F35}"/>
            </c:ext>
          </c:extLst>
        </c:ser>
        <c:dLbls>
          <c:dLblPos val="ctr"/>
          <c:showLegendKey val="0"/>
          <c:showVal val="1"/>
          <c:showCatName val="0"/>
          <c:showSerName val="0"/>
          <c:showPercent val="0"/>
          <c:showBubbleSize val="0"/>
        </c:dLbls>
        <c:gapWidth val="100"/>
        <c:overlap val="100"/>
        <c:axId val="596856656"/>
        <c:axId val="596849992"/>
      </c:barChart>
      <c:catAx>
        <c:axId val="596856656"/>
        <c:scaling>
          <c:orientation val="minMax"/>
        </c:scaling>
        <c:delete val="0"/>
        <c:axPos val="l"/>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crossAx val="596849992"/>
        <c:crosses val="autoZero"/>
        <c:auto val="1"/>
        <c:lblAlgn val="ctr"/>
        <c:lblOffset val="100"/>
        <c:noMultiLvlLbl val="0"/>
      </c:catAx>
      <c:valAx>
        <c:axId val="596849992"/>
        <c:scaling>
          <c:orientation val="minMax"/>
          <c:max val="1"/>
        </c:scaling>
        <c:delete val="0"/>
        <c:axPos val="b"/>
        <c:majorGridlines>
          <c:spPr>
            <a:ln w="6350"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crossAx val="596856656"/>
        <c:crosses val="autoZero"/>
        <c:crossBetween val="between"/>
        <c:majorUnit val="0.2"/>
      </c:valAx>
      <c:spPr>
        <a:noFill/>
        <a:ln>
          <a:noFill/>
        </a:ln>
        <a:effectLst/>
      </c:spPr>
    </c:plotArea>
    <c:legend>
      <c:legendPos val="b"/>
      <c:layout>
        <c:manualLayout>
          <c:xMode val="edge"/>
          <c:yMode val="edge"/>
          <c:x val="0.29845783792522207"/>
          <c:y val="0.86165505270307663"/>
          <c:w val="0.40308411821217521"/>
          <c:h val="0.1223705064023546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ITC Avant Garde" panose="020B0402020203020304" pitchFamily="34" charset="0"/>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Hoja6!$D$34</c:f>
              <c:strCache>
                <c:ptCount val="1"/>
                <c:pt idx="0">
                  <c:v>TDM</c:v>
                </c:pt>
              </c:strCache>
            </c:strRef>
          </c:tx>
          <c:spPr>
            <a:solidFill>
              <a:schemeClr val="accent5">
                <a:lumMod val="60000"/>
                <a:lumOff val="40000"/>
              </a:schemeClr>
            </a:solidFill>
            <a:ln>
              <a:noFill/>
            </a:ln>
            <a:effectLst/>
          </c:spPr>
          <c:invertIfNegative val="0"/>
          <c:cat>
            <c:strRef>
              <c:f>Hoja6!$C$35:$C$37</c:f>
              <c:strCache>
                <c:ptCount val="3"/>
                <c:pt idx="0">
                  <c:v>2016</c:v>
                </c:pt>
                <c:pt idx="1">
                  <c:v>2017</c:v>
                </c:pt>
                <c:pt idx="2">
                  <c:v>1T2018</c:v>
                </c:pt>
              </c:strCache>
            </c:strRef>
          </c:cat>
          <c:val>
            <c:numRef>
              <c:f>Hoja6!$D$35:$D$37</c:f>
              <c:numCache>
                <c:formatCode>"$"#,##0.0</c:formatCode>
                <c:ptCount val="3"/>
                <c:pt idx="0">
                  <c:v>474.4091121387217</c:v>
                </c:pt>
                <c:pt idx="1">
                  <c:v>399.70732874611497</c:v>
                </c:pt>
                <c:pt idx="2">
                  <c:v>435.87740159991773</c:v>
                </c:pt>
              </c:numCache>
            </c:numRef>
          </c:val>
          <c:extLst>
            <c:ext xmlns:c16="http://schemas.microsoft.com/office/drawing/2014/chart" uri="{C3380CC4-5D6E-409C-BE32-E72D297353CC}">
              <c16:uniqueId val="{00000000-E651-44D4-8CCC-42F6CA3C0860}"/>
            </c:ext>
          </c:extLst>
        </c:ser>
        <c:ser>
          <c:idx val="1"/>
          <c:order val="1"/>
          <c:tx>
            <c:strRef>
              <c:f>Hoja6!$E$34</c:f>
              <c:strCache>
                <c:ptCount val="1"/>
                <c:pt idx="0">
                  <c:v>Ethernet</c:v>
                </c:pt>
              </c:strCache>
            </c:strRef>
          </c:tx>
          <c:spPr>
            <a:solidFill>
              <a:srgbClr val="002060"/>
            </a:solidFill>
            <a:ln>
              <a:noFill/>
            </a:ln>
            <a:effectLst/>
          </c:spPr>
          <c:invertIfNegative val="0"/>
          <c:cat>
            <c:strRef>
              <c:f>Hoja6!$C$35:$C$37</c:f>
              <c:strCache>
                <c:ptCount val="3"/>
                <c:pt idx="0">
                  <c:v>2016</c:v>
                </c:pt>
                <c:pt idx="1">
                  <c:v>2017</c:v>
                </c:pt>
                <c:pt idx="2">
                  <c:v>1T2018</c:v>
                </c:pt>
              </c:strCache>
            </c:strRef>
          </c:cat>
          <c:val>
            <c:numRef>
              <c:f>Hoja6!$E$35:$E$37</c:f>
              <c:numCache>
                <c:formatCode>"$"#,##0.0</c:formatCode>
                <c:ptCount val="3"/>
                <c:pt idx="0">
                  <c:v>133.69373140141715</c:v>
                </c:pt>
                <c:pt idx="1">
                  <c:v>133.87420329678076</c:v>
                </c:pt>
                <c:pt idx="2">
                  <c:v>168.68384857633527</c:v>
                </c:pt>
              </c:numCache>
            </c:numRef>
          </c:val>
          <c:extLst>
            <c:ext xmlns:c16="http://schemas.microsoft.com/office/drawing/2014/chart" uri="{C3380CC4-5D6E-409C-BE32-E72D297353CC}">
              <c16:uniqueId val="{00000001-E651-44D4-8CCC-42F6CA3C0860}"/>
            </c:ext>
          </c:extLst>
        </c:ser>
        <c:ser>
          <c:idx val="2"/>
          <c:order val="2"/>
          <c:tx>
            <c:strRef>
              <c:f>Hoja6!$F$34</c:f>
              <c:strCache>
                <c:ptCount val="1"/>
                <c:pt idx="0">
                  <c:v>MPLS</c:v>
                </c:pt>
              </c:strCache>
            </c:strRef>
          </c:tx>
          <c:spPr>
            <a:solidFill>
              <a:schemeClr val="accent1">
                <a:lumMod val="20000"/>
                <a:lumOff val="80000"/>
              </a:schemeClr>
            </a:solidFill>
            <a:ln w="6350">
              <a:solidFill>
                <a:schemeClr val="accent5">
                  <a:lumMod val="50000"/>
                </a:schemeClr>
              </a:solidFill>
            </a:ln>
            <a:effectLst/>
          </c:spPr>
          <c:invertIfNegative val="0"/>
          <c:cat>
            <c:strRef>
              <c:f>Hoja6!$C$35:$C$37</c:f>
              <c:strCache>
                <c:ptCount val="3"/>
                <c:pt idx="0">
                  <c:v>2016</c:v>
                </c:pt>
                <c:pt idx="1">
                  <c:v>2017</c:v>
                </c:pt>
                <c:pt idx="2">
                  <c:v>1T2018</c:v>
                </c:pt>
              </c:strCache>
            </c:strRef>
          </c:cat>
          <c:val>
            <c:numRef>
              <c:f>Hoja6!$F$35:$F$37</c:f>
              <c:numCache>
                <c:formatCode>"$"#,##0.0</c:formatCode>
                <c:ptCount val="3"/>
                <c:pt idx="0">
                  <c:v>1374.7377634670552</c:v>
                </c:pt>
                <c:pt idx="1">
                  <c:v>1336.9243279080704</c:v>
                </c:pt>
                <c:pt idx="2">
                  <c:v>1225.9930565809404</c:v>
                </c:pt>
              </c:numCache>
            </c:numRef>
          </c:val>
          <c:extLst>
            <c:ext xmlns:c16="http://schemas.microsoft.com/office/drawing/2014/chart" uri="{C3380CC4-5D6E-409C-BE32-E72D297353CC}">
              <c16:uniqueId val="{00000002-E651-44D4-8CCC-42F6CA3C0860}"/>
            </c:ext>
          </c:extLst>
        </c:ser>
        <c:dLbls>
          <c:showLegendKey val="0"/>
          <c:showVal val="0"/>
          <c:showCatName val="0"/>
          <c:showSerName val="0"/>
          <c:showPercent val="0"/>
          <c:showBubbleSize val="0"/>
        </c:dLbls>
        <c:gapWidth val="219"/>
        <c:overlap val="-27"/>
        <c:axId val="596850384"/>
        <c:axId val="596851560"/>
      </c:barChart>
      <c:catAx>
        <c:axId val="596850384"/>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crossAx val="596851560"/>
        <c:crosses val="autoZero"/>
        <c:auto val="1"/>
        <c:lblAlgn val="ctr"/>
        <c:lblOffset val="100"/>
        <c:noMultiLvlLbl val="0"/>
      </c:catAx>
      <c:valAx>
        <c:axId val="596851560"/>
        <c:scaling>
          <c:orientation val="minMax"/>
        </c:scaling>
        <c:delete val="0"/>
        <c:axPos val="l"/>
        <c:majorGridlines>
          <c:spPr>
            <a:ln w="6350" cap="flat" cmpd="sng" algn="ctr">
              <a:solidFill>
                <a:schemeClr val="tx1">
                  <a:lumMod val="15000"/>
                  <a:lumOff val="85000"/>
                </a:schemeClr>
              </a:solidFill>
              <a:round/>
            </a:ln>
            <a:effectLst/>
          </c:spPr>
        </c:majorGridlines>
        <c:numFmt formatCode="&quot;$&quot;#,##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crossAx val="596850384"/>
        <c:crosses val="autoZero"/>
        <c:crossBetween val="between"/>
        <c:majorUnit val="250"/>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ITC Avant Garde" panose="020B0402020203020304" pitchFamily="34" charset="0"/>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72637839821958"/>
          <c:y val="6.8571428571428575E-2"/>
          <c:w val="0.82765420615702057"/>
          <c:h val="0.62020247469066359"/>
        </c:manualLayout>
      </c:layout>
      <c:barChart>
        <c:barDir val="bar"/>
        <c:grouping val="stacked"/>
        <c:varyColors val="0"/>
        <c:ser>
          <c:idx val="0"/>
          <c:order val="0"/>
          <c:tx>
            <c:strRef>
              <c:f>Hoja2!$D$2</c:f>
              <c:strCache>
                <c:ptCount val="1"/>
                <c:pt idx="0">
                  <c:v>Hasta un E1</c:v>
                </c:pt>
              </c:strCache>
            </c:strRef>
          </c:tx>
          <c:spPr>
            <a:solidFill>
              <a:schemeClr val="accent5">
                <a:lumMod val="60000"/>
                <a:lumOff val="40000"/>
              </a:schemeClr>
            </a:solidFill>
            <a:ln w="6350">
              <a:solidFill>
                <a:schemeClr val="accent5">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Hoja2!$B$3:$C$8</c:f>
              <c:multiLvlStrCache>
                <c:ptCount val="6"/>
                <c:lvl>
                  <c:pt idx="0">
                    <c:v>1T2018</c:v>
                  </c:pt>
                  <c:pt idx="1">
                    <c:v>2017</c:v>
                  </c:pt>
                  <c:pt idx="2">
                    <c:v>2016</c:v>
                  </c:pt>
                  <c:pt idx="3">
                    <c:v>1T2018</c:v>
                  </c:pt>
                  <c:pt idx="4">
                    <c:v>2017</c:v>
                  </c:pt>
                  <c:pt idx="5">
                    <c:v>2016</c:v>
                  </c:pt>
                </c:lvl>
                <c:lvl>
                  <c:pt idx="0">
                    <c:v>Minorista</c:v>
                  </c:pt>
                  <c:pt idx="3">
                    <c:v>Mayorista</c:v>
                  </c:pt>
                </c:lvl>
              </c:multiLvlStrCache>
            </c:multiLvlStrRef>
          </c:cat>
          <c:val>
            <c:numRef>
              <c:f>Hoja2!$D$3:$D$8</c:f>
              <c:numCache>
                <c:formatCode>0.0%</c:formatCode>
                <c:ptCount val="6"/>
                <c:pt idx="0">
                  <c:v>0.9929595860336099</c:v>
                </c:pt>
                <c:pt idx="1">
                  <c:v>0.99278275730638244</c:v>
                </c:pt>
                <c:pt idx="2">
                  <c:v>0.99123320380167612</c:v>
                </c:pt>
                <c:pt idx="3">
                  <c:v>0.96380284712783459</c:v>
                </c:pt>
                <c:pt idx="4">
                  <c:v>0.96318657046090417</c:v>
                </c:pt>
                <c:pt idx="5">
                  <c:v>0.96618057710207883</c:v>
                </c:pt>
              </c:numCache>
            </c:numRef>
          </c:val>
          <c:extLst>
            <c:ext xmlns:c16="http://schemas.microsoft.com/office/drawing/2014/chart" uri="{C3380CC4-5D6E-409C-BE32-E72D297353CC}">
              <c16:uniqueId val="{00000000-9675-498B-B04E-2CB57FE2E0F3}"/>
            </c:ext>
          </c:extLst>
        </c:ser>
        <c:ser>
          <c:idx val="1"/>
          <c:order val="1"/>
          <c:tx>
            <c:strRef>
              <c:f>Hoja2!$E$2</c:f>
              <c:strCache>
                <c:ptCount val="1"/>
                <c:pt idx="0">
                  <c:v>Más E1 a STM-1</c:v>
                </c:pt>
              </c:strCache>
            </c:strRef>
          </c:tx>
          <c:spPr>
            <a:solidFill>
              <a:srgbClr val="002060"/>
            </a:solidFill>
            <a:ln w="6350">
              <a:solidFill>
                <a:srgbClr val="002060"/>
              </a:solidFill>
            </a:ln>
            <a:effectLst/>
          </c:spPr>
          <c:invertIfNegative val="0"/>
          <c:dLbls>
            <c:spPr>
              <a:noFill/>
              <a:ln>
                <a:noFill/>
              </a:ln>
              <a:effectLst/>
            </c:spPr>
            <c:txPr>
              <a:bodyPr rot="0" spcFirstLastPara="1" vertOverflow="ellipsis" vert="horz" wrap="square" anchor="ctr" anchorCtr="1"/>
              <a:lstStyle/>
              <a:p>
                <a:pPr>
                  <a:defRPr sz="750" b="0" i="0" u="none" strike="noStrike" kern="1200" baseline="0">
                    <a:solidFill>
                      <a:schemeClr val="bg1"/>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Hoja2!$B$3:$C$8</c:f>
              <c:multiLvlStrCache>
                <c:ptCount val="6"/>
                <c:lvl>
                  <c:pt idx="0">
                    <c:v>1T2018</c:v>
                  </c:pt>
                  <c:pt idx="1">
                    <c:v>2017</c:v>
                  </c:pt>
                  <c:pt idx="2">
                    <c:v>2016</c:v>
                  </c:pt>
                  <c:pt idx="3">
                    <c:v>1T2018</c:v>
                  </c:pt>
                  <c:pt idx="4">
                    <c:v>2017</c:v>
                  </c:pt>
                  <c:pt idx="5">
                    <c:v>2016</c:v>
                  </c:pt>
                </c:lvl>
                <c:lvl>
                  <c:pt idx="0">
                    <c:v>Minorista</c:v>
                  </c:pt>
                  <c:pt idx="3">
                    <c:v>Mayorista</c:v>
                  </c:pt>
                </c:lvl>
              </c:multiLvlStrCache>
            </c:multiLvlStrRef>
          </c:cat>
          <c:val>
            <c:numRef>
              <c:f>Hoja2!$E$3:$E$8</c:f>
              <c:numCache>
                <c:formatCode>0.0%</c:formatCode>
                <c:ptCount val="6"/>
                <c:pt idx="0">
                  <c:v>5.4855522246961804E-3</c:v>
                </c:pt>
                <c:pt idx="1">
                  <c:v>5.6803511489801192E-3</c:v>
                </c:pt>
                <c:pt idx="2">
                  <c:v>6.437567301839974E-3</c:v>
                </c:pt>
                <c:pt idx="3">
                  <c:v>2.4536805207811718E-2</c:v>
                </c:pt>
                <c:pt idx="4">
                  <c:v>2.4664997791194229E-2</c:v>
                </c:pt>
                <c:pt idx="5">
                  <c:v>2.5597269624573378E-2</c:v>
                </c:pt>
              </c:numCache>
            </c:numRef>
          </c:val>
          <c:extLst>
            <c:ext xmlns:c16="http://schemas.microsoft.com/office/drawing/2014/chart" uri="{C3380CC4-5D6E-409C-BE32-E72D297353CC}">
              <c16:uniqueId val="{00000001-9675-498B-B04E-2CB57FE2E0F3}"/>
            </c:ext>
          </c:extLst>
        </c:ser>
        <c:ser>
          <c:idx val="2"/>
          <c:order val="2"/>
          <c:tx>
            <c:strRef>
              <c:f>Hoja2!$F$2</c:f>
              <c:strCache>
                <c:ptCount val="1"/>
                <c:pt idx="0">
                  <c:v>Más de STM-1 a STM-4</c:v>
                </c:pt>
              </c:strCache>
            </c:strRef>
          </c:tx>
          <c:spPr>
            <a:solidFill>
              <a:schemeClr val="accent1">
                <a:lumMod val="20000"/>
                <a:lumOff val="80000"/>
              </a:schemeClr>
            </a:solidFill>
            <a:ln w="6350">
              <a:solidFill>
                <a:schemeClr val="accent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9675-498B-B04E-2CB57FE2E0F3}"/>
                </c:ext>
              </c:extLst>
            </c:dLbl>
            <c:dLbl>
              <c:idx val="1"/>
              <c:delete val="1"/>
              <c:extLst>
                <c:ext xmlns:c15="http://schemas.microsoft.com/office/drawing/2012/chart" uri="{CE6537A1-D6FC-4f65-9D91-7224C49458BB}"/>
                <c:ext xmlns:c16="http://schemas.microsoft.com/office/drawing/2014/chart" uri="{C3380CC4-5D6E-409C-BE32-E72D297353CC}">
                  <c16:uniqueId val="{00000003-9675-498B-B04E-2CB57FE2E0F3}"/>
                </c:ext>
              </c:extLst>
            </c:dLbl>
            <c:dLbl>
              <c:idx val="2"/>
              <c:delete val="1"/>
              <c:extLst>
                <c:ext xmlns:c15="http://schemas.microsoft.com/office/drawing/2012/chart" uri="{CE6537A1-D6FC-4f65-9D91-7224C49458BB}"/>
                <c:ext xmlns:c16="http://schemas.microsoft.com/office/drawing/2014/chart" uri="{C3380CC4-5D6E-409C-BE32-E72D297353CC}">
                  <c16:uniqueId val="{00000004-9675-498B-B04E-2CB57FE2E0F3}"/>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Hoja2!$B$3:$C$8</c:f>
              <c:multiLvlStrCache>
                <c:ptCount val="6"/>
                <c:lvl>
                  <c:pt idx="0">
                    <c:v>1T2018</c:v>
                  </c:pt>
                  <c:pt idx="1">
                    <c:v>2017</c:v>
                  </c:pt>
                  <c:pt idx="2">
                    <c:v>2016</c:v>
                  </c:pt>
                  <c:pt idx="3">
                    <c:v>1T2018</c:v>
                  </c:pt>
                  <c:pt idx="4">
                    <c:v>2017</c:v>
                  </c:pt>
                  <c:pt idx="5">
                    <c:v>2016</c:v>
                  </c:pt>
                </c:lvl>
                <c:lvl>
                  <c:pt idx="0">
                    <c:v>Minorista</c:v>
                  </c:pt>
                  <c:pt idx="3">
                    <c:v>Mayorista</c:v>
                  </c:pt>
                </c:lvl>
              </c:multiLvlStrCache>
            </c:multiLvlStrRef>
          </c:cat>
          <c:val>
            <c:numRef>
              <c:f>Hoja2!$F$3:$F$8</c:f>
              <c:numCache>
                <c:formatCode>0.0%</c:formatCode>
                <c:ptCount val="6"/>
                <c:pt idx="0">
                  <c:v>5.5975022700981429E-4</c:v>
                </c:pt>
                <c:pt idx="1">
                  <c:v>5.5328095606949209E-4</c:v>
                </c:pt>
                <c:pt idx="2">
                  <c:v>4.4477737721803457E-4</c:v>
                </c:pt>
                <c:pt idx="3">
                  <c:v>7.5112669003505259E-3</c:v>
                </c:pt>
                <c:pt idx="4">
                  <c:v>7.583566485053748E-3</c:v>
                </c:pt>
                <c:pt idx="5">
                  <c:v>3.5681042506981076E-3</c:v>
                </c:pt>
              </c:numCache>
            </c:numRef>
          </c:val>
          <c:extLst>
            <c:ext xmlns:c16="http://schemas.microsoft.com/office/drawing/2014/chart" uri="{C3380CC4-5D6E-409C-BE32-E72D297353CC}">
              <c16:uniqueId val="{00000005-9675-498B-B04E-2CB57FE2E0F3}"/>
            </c:ext>
          </c:extLst>
        </c:ser>
        <c:ser>
          <c:idx val="3"/>
          <c:order val="3"/>
          <c:tx>
            <c:strRef>
              <c:f>Hoja2!$G$2</c:f>
              <c:strCache>
                <c:ptCount val="1"/>
                <c:pt idx="0">
                  <c:v>Más de STM-4</c:v>
                </c:pt>
              </c:strCache>
            </c:strRef>
          </c:tx>
          <c:spPr>
            <a:solidFill>
              <a:schemeClr val="accent1"/>
            </a:solidFill>
            <a:ln w="6350">
              <a:solidFill>
                <a:schemeClr val="accent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9675-498B-B04E-2CB57FE2E0F3}"/>
                </c:ext>
              </c:extLst>
            </c:dLbl>
            <c:dLbl>
              <c:idx val="1"/>
              <c:delete val="1"/>
              <c:extLst>
                <c:ext xmlns:c15="http://schemas.microsoft.com/office/drawing/2012/chart" uri="{CE6537A1-D6FC-4f65-9D91-7224C49458BB}"/>
                <c:ext xmlns:c16="http://schemas.microsoft.com/office/drawing/2014/chart" uri="{C3380CC4-5D6E-409C-BE32-E72D297353CC}">
                  <c16:uniqueId val="{00000007-9675-498B-B04E-2CB57FE2E0F3}"/>
                </c:ext>
              </c:extLst>
            </c:dLbl>
            <c:dLbl>
              <c:idx val="2"/>
              <c:delete val="1"/>
              <c:extLst>
                <c:ext xmlns:c15="http://schemas.microsoft.com/office/drawing/2012/chart" uri="{CE6537A1-D6FC-4f65-9D91-7224C49458BB}"/>
                <c:ext xmlns:c16="http://schemas.microsoft.com/office/drawing/2014/chart" uri="{C3380CC4-5D6E-409C-BE32-E72D297353CC}">
                  <c16:uniqueId val="{00000008-9675-498B-B04E-2CB57FE2E0F3}"/>
                </c:ext>
              </c:extLst>
            </c:dLbl>
            <c:dLbl>
              <c:idx val="3"/>
              <c:layout>
                <c:manualLayout>
                  <c:x val="4.416403785488943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75-498B-B04E-2CB57FE2E0F3}"/>
                </c:ext>
              </c:extLst>
            </c:dLbl>
            <c:dLbl>
              <c:idx val="4"/>
              <c:layout>
                <c:manualLayout>
                  <c:x val="3.7854889589905363E-2"/>
                  <c:y val="-2.504524801577703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675-498B-B04E-2CB57FE2E0F3}"/>
                </c:ext>
              </c:extLst>
            </c:dLbl>
            <c:dLbl>
              <c:idx val="5"/>
              <c:layout>
                <c:manualLayout>
                  <c:x val="3.575184016824380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675-498B-B04E-2CB57FE2E0F3}"/>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Hoja2!$B$3:$C$8</c:f>
              <c:multiLvlStrCache>
                <c:ptCount val="6"/>
                <c:lvl>
                  <c:pt idx="0">
                    <c:v>1T2018</c:v>
                  </c:pt>
                  <c:pt idx="1">
                    <c:v>2017</c:v>
                  </c:pt>
                  <c:pt idx="2">
                    <c:v>2016</c:v>
                  </c:pt>
                  <c:pt idx="3">
                    <c:v>1T2018</c:v>
                  </c:pt>
                  <c:pt idx="4">
                    <c:v>2017</c:v>
                  </c:pt>
                  <c:pt idx="5">
                    <c:v>2016</c:v>
                  </c:pt>
                </c:lvl>
                <c:lvl>
                  <c:pt idx="0">
                    <c:v>Minorista</c:v>
                  </c:pt>
                  <c:pt idx="3">
                    <c:v>Mayorista</c:v>
                  </c:pt>
                </c:lvl>
              </c:multiLvlStrCache>
            </c:multiLvlStrRef>
          </c:cat>
          <c:val>
            <c:numRef>
              <c:f>Hoja2!$G$3:$G$8</c:f>
              <c:numCache>
                <c:formatCode>0.0%</c:formatCode>
                <c:ptCount val="6"/>
                <c:pt idx="0">
                  <c:v>9.826726207505629E-4</c:v>
                </c:pt>
                <c:pt idx="1">
                  <c:v>9.8361058856798601E-4</c:v>
                </c:pt>
                <c:pt idx="2">
                  <c:v>1.8844515192658832E-3</c:v>
                </c:pt>
                <c:pt idx="3">
                  <c:v>4.1490807640031475E-3</c:v>
                </c:pt>
                <c:pt idx="4">
                  <c:v>4.5648652628478871E-3</c:v>
                </c:pt>
                <c:pt idx="5">
                  <c:v>4.6540490226497054E-3</c:v>
                </c:pt>
              </c:numCache>
            </c:numRef>
          </c:val>
          <c:extLst>
            <c:ext xmlns:c16="http://schemas.microsoft.com/office/drawing/2014/chart" uri="{C3380CC4-5D6E-409C-BE32-E72D297353CC}">
              <c16:uniqueId val="{0000000C-9675-498B-B04E-2CB57FE2E0F3}"/>
            </c:ext>
          </c:extLst>
        </c:ser>
        <c:dLbls>
          <c:dLblPos val="ctr"/>
          <c:showLegendKey val="0"/>
          <c:showVal val="1"/>
          <c:showCatName val="0"/>
          <c:showSerName val="0"/>
          <c:showPercent val="0"/>
          <c:showBubbleSize val="0"/>
        </c:dLbls>
        <c:gapWidth val="80"/>
        <c:overlap val="100"/>
        <c:axId val="468373376"/>
        <c:axId val="468371416"/>
      </c:barChart>
      <c:catAx>
        <c:axId val="468373376"/>
        <c:scaling>
          <c:orientation val="minMax"/>
        </c:scaling>
        <c:delete val="0"/>
        <c:axPos val="l"/>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crossAx val="468371416"/>
        <c:crosses val="autoZero"/>
        <c:auto val="1"/>
        <c:lblAlgn val="ctr"/>
        <c:lblOffset val="100"/>
        <c:noMultiLvlLbl val="0"/>
      </c:catAx>
      <c:valAx>
        <c:axId val="468371416"/>
        <c:scaling>
          <c:orientation val="minMax"/>
          <c:max val="1"/>
          <c:min val="0.9"/>
        </c:scaling>
        <c:delete val="0"/>
        <c:axPos val="b"/>
        <c:majorGridlines>
          <c:spPr>
            <a:ln w="6350"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crossAx val="46837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750">
          <a:solidFill>
            <a:sysClr val="windowText" lastClr="000000"/>
          </a:solidFill>
          <a:latin typeface="ITC Avant Garde" panose="020B0402020203020304" pitchFamily="34" charset="0"/>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72637839821958"/>
          <c:y val="7.8375489846811544E-2"/>
          <c:w val="0.83470340138236288"/>
          <c:h val="0.64310595838861773"/>
        </c:manualLayout>
      </c:layout>
      <c:barChart>
        <c:barDir val="bar"/>
        <c:grouping val="percentStacked"/>
        <c:varyColors val="0"/>
        <c:ser>
          <c:idx val="0"/>
          <c:order val="0"/>
          <c:tx>
            <c:strRef>
              <c:f>Hoja2!$J$2</c:f>
              <c:strCache>
                <c:ptCount val="1"/>
                <c:pt idx="0">
                  <c:v>Hasta 2 Mbps</c:v>
                </c:pt>
              </c:strCache>
            </c:strRef>
          </c:tx>
          <c:spPr>
            <a:solidFill>
              <a:schemeClr val="accent5">
                <a:lumMod val="60000"/>
                <a:lumOff val="40000"/>
              </a:schemeClr>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Hoja2!$H$3:$I$8</c:f>
              <c:multiLvlStrCache>
                <c:ptCount val="6"/>
                <c:lvl>
                  <c:pt idx="0">
                    <c:v>1T2018</c:v>
                  </c:pt>
                  <c:pt idx="1">
                    <c:v>2017</c:v>
                  </c:pt>
                  <c:pt idx="2">
                    <c:v>2016</c:v>
                  </c:pt>
                  <c:pt idx="3">
                    <c:v>1T2018</c:v>
                  </c:pt>
                  <c:pt idx="4">
                    <c:v>2017</c:v>
                  </c:pt>
                  <c:pt idx="5">
                    <c:v>2016</c:v>
                  </c:pt>
                </c:lvl>
                <c:lvl>
                  <c:pt idx="0">
                    <c:v>Minorista</c:v>
                  </c:pt>
                  <c:pt idx="3">
                    <c:v>Mayorista</c:v>
                  </c:pt>
                </c:lvl>
              </c:multiLvlStrCache>
            </c:multiLvlStrRef>
          </c:cat>
          <c:val>
            <c:numRef>
              <c:f>Hoja2!$J$3:$J$8</c:f>
              <c:numCache>
                <c:formatCode>0.0%</c:formatCode>
                <c:ptCount val="6"/>
                <c:pt idx="0">
                  <c:v>0.27007941087571785</c:v>
                </c:pt>
                <c:pt idx="1">
                  <c:v>0.27236493759636926</c:v>
                </c:pt>
                <c:pt idx="2">
                  <c:v>0.22708772987639433</c:v>
                </c:pt>
                <c:pt idx="3">
                  <c:v>0.11722155244366132</c:v>
                </c:pt>
                <c:pt idx="4">
                  <c:v>0.13403003246753248</c:v>
                </c:pt>
                <c:pt idx="5">
                  <c:v>0.13024850042844902</c:v>
                </c:pt>
              </c:numCache>
            </c:numRef>
          </c:val>
          <c:extLst>
            <c:ext xmlns:c16="http://schemas.microsoft.com/office/drawing/2014/chart" uri="{C3380CC4-5D6E-409C-BE32-E72D297353CC}">
              <c16:uniqueId val="{00000000-01BD-47A5-AFF4-CE5182F5DAA1}"/>
            </c:ext>
          </c:extLst>
        </c:ser>
        <c:ser>
          <c:idx val="1"/>
          <c:order val="1"/>
          <c:tx>
            <c:strRef>
              <c:f>Hoja2!$K$2</c:f>
              <c:strCache>
                <c:ptCount val="1"/>
                <c:pt idx="0">
                  <c:v>Más de 2 a 10 Mbps</c:v>
                </c:pt>
              </c:strCache>
            </c:strRef>
          </c:tx>
          <c:spPr>
            <a:solidFill>
              <a:srgbClr val="002060"/>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sz="750" b="0" i="0" u="none" strike="noStrike" kern="1200" baseline="0">
                    <a:solidFill>
                      <a:schemeClr val="bg1"/>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Hoja2!$H$3:$I$8</c:f>
              <c:multiLvlStrCache>
                <c:ptCount val="6"/>
                <c:lvl>
                  <c:pt idx="0">
                    <c:v>1T2018</c:v>
                  </c:pt>
                  <c:pt idx="1">
                    <c:v>2017</c:v>
                  </c:pt>
                  <c:pt idx="2">
                    <c:v>2016</c:v>
                  </c:pt>
                  <c:pt idx="3">
                    <c:v>1T2018</c:v>
                  </c:pt>
                  <c:pt idx="4">
                    <c:v>2017</c:v>
                  </c:pt>
                  <c:pt idx="5">
                    <c:v>2016</c:v>
                  </c:pt>
                </c:lvl>
                <c:lvl>
                  <c:pt idx="0">
                    <c:v>Minorista</c:v>
                  </c:pt>
                  <c:pt idx="3">
                    <c:v>Mayorista</c:v>
                  </c:pt>
                </c:lvl>
              </c:multiLvlStrCache>
            </c:multiLvlStrRef>
          </c:cat>
          <c:val>
            <c:numRef>
              <c:f>Hoja2!$K$3:$K$8</c:f>
              <c:numCache>
                <c:formatCode>0.0%</c:formatCode>
                <c:ptCount val="6"/>
                <c:pt idx="0">
                  <c:v>0.44816310829005579</c:v>
                </c:pt>
                <c:pt idx="1">
                  <c:v>0.44985890088150582</c:v>
                </c:pt>
                <c:pt idx="2">
                  <c:v>0.49532710280373832</c:v>
                </c:pt>
                <c:pt idx="3">
                  <c:v>0.32245200779003985</c:v>
                </c:pt>
                <c:pt idx="4">
                  <c:v>0.32000811688311687</c:v>
                </c:pt>
                <c:pt idx="5">
                  <c:v>0.3898886032562125</c:v>
                </c:pt>
              </c:numCache>
            </c:numRef>
          </c:val>
          <c:extLst>
            <c:ext xmlns:c16="http://schemas.microsoft.com/office/drawing/2014/chart" uri="{C3380CC4-5D6E-409C-BE32-E72D297353CC}">
              <c16:uniqueId val="{00000001-01BD-47A5-AFF4-CE5182F5DAA1}"/>
            </c:ext>
          </c:extLst>
        </c:ser>
        <c:ser>
          <c:idx val="2"/>
          <c:order val="2"/>
          <c:tx>
            <c:strRef>
              <c:f>Hoja2!$L$2</c:f>
              <c:strCache>
                <c:ptCount val="1"/>
                <c:pt idx="0">
                  <c:v>Más de 10  a 100 Mbps</c:v>
                </c:pt>
              </c:strCache>
            </c:strRef>
          </c:tx>
          <c:spPr>
            <a:solidFill>
              <a:schemeClr val="accent1">
                <a:lumMod val="20000"/>
                <a:lumOff val="80000"/>
              </a:schemeClr>
            </a:solidFill>
            <a:ln w="6350">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Hoja2!$H$3:$I$8</c:f>
              <c:multiLvlStrCache>
                <c:ptCount val="6"/>
                <c:lvl>
                  <c:pt idx="0">
                    <c:v>1T2018</c:v>
                  </c:pt>
                  <c:pt idx="1">
                    <c:v>2017</c:v>
                  </c:pt>
                  <c:pt idx="2">
                    <c:v>2016</c:v>
                  </c:pt>
                  <c:pt idx="3">
                    <c:v>1T2018</c:v>
                  </c:pt>
                  <c:pt idx="4">
                    <c:v>2017</c:v>
                  </c:pt>
                  <c:pt idx="5">
                    <c:v>2016</c:v>
                  </c:pt>
                </c:lvl>
                <c:lvl>
                  <c:pt idx="0">
                    <c:v>Minorista</c:v>
                  </c:pt>
                  <c:pt idx="3">
                    <c:v>Mayorista</c:v>
                  </c:pt>
                </c:lvl>
              </c:multiLvlStrCache>
            </c:multiLvlStrRef>
          </c:cat>
          <c:val>
            <c:numRef>
              <c:f>Hoja2!$L$3:$L$8</c:f>
              <c:numCache>
                <c:formatCode>0.0%</c:formatCode>
                <c:ptCount val="6"/>
                <c:pt idx="0">
                  <c:v>0.25188909955211169</c:v>
                </c:pt>
                <c:pt idx="1">
                  <c:v>0.24923631920402642</c:v>
                </c:pt>
                <c:pt idx="2">
                  <c:v>0.24898251432016882</c:v>
                </c:pt>
                <c:pt idx="3">
                  <c:v>0.30640823518501342</c:v>
                </c:pt>
                <c:pt idx="4">
                  <c:v>0.29941152597402598</c:v>
                </c:pt>
                <c:pt idx="5">
                  <c:v>0.23800342759211654</c:v>
                </c:pt>
              </c:numCache>
            </c:numRef>
          </c:val>
          <c:extLst>
            <c:ext xmlns:c16="http://schemas.microsoft.com/office/drawing/2014/chart" uri="{C3380CC4-5D6E-409C-BE32-E72D297353CC}">
              <c16:uniqueId val="{00000002-01BD-47A5-AFF4-CE5182F5DAA1}"/>
            </c:ext>
          </c:extLst>
        </c:ser>
        <c:ser>
          <c:idx val="3"/>
          <c:order val="3"/>
          <c:tx>
            <c:strRef>
              <c:f>Hoja2!$M$2</c:f>
              <c:strCache>
                <c:ptCount val="1"/>
                <c:pt idx="0">
                  <c:v>Más de 100 a 1000 Mbps</c:v>
                </c:pt>
              </c:strCache>
            </c:strRef>
          </c:tx>
          <c:spPr>
            <a:solidFill>
              <a:schemeClr val="accent1"/>
            </a:solidFill>
            <a:ln w="6350">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Hoja2!$H$3:$I$8</c:f>
              <c:multiLvlStrCache>
                <c:ptCount val="6"/>
                <c:lvl>
                  <c:pt idx="0">
                    <c:v>1T2018</c:v>
                  </c:pt>
                  <c:pt idx="1">
                    <c:v>2017</c:v>
                  </c:pt>
                  <c:pt idx="2">
                    <c:v>2016</c:v>
                  </c:pt>
                  <c:pt idx="3">
                    <c:v>1T2018</c:v>
                  </c:pt>
                  <c:pt idx="4">
                    <c:v>2017</c:v>
                  </c:pt>
                  <c:pt idx="5">
                    <c:v>2016</c:v>
                  </c:pt>
                </c:lvl>
                <c:lvl>
                  <c:pt idx="0">
                    <c:v>Minorista</c:v>
                  </c:pt>
                  <c:pt idx="3">
                    <c:v>Mayorista</c:v>
                  </c:pt>
                </c:lvl>
              </c:multiLvlStrCache>
            </c:multiLvlStrRef>
          </c:cat>
          <c:val>
            <c:numRef>
              <c:f>Hoja2!$M$3:$M$8</c:f>
              <c:numCache>
                <c:formatCode>0.0%</c:formatCode>
                <c:ptCount val="6"/>
                <c:pt idx="0">
                  <c:v>2.6763388563734784E-2</c:v>
                </c:pt>
                <c:pt idx="1">
                  <c:v>2.5165100514939052E-2</c:v>
                </c:pt>
                <c:pt idx="2">
                  <c:v>2.5097980102502263E-2</c:v>
                </c:pt>
                <c:pt idx="3">
                  <c:v>0.17944913289437076</c:v>
                </c:pt>
                <c:pt idx="4">
                  <c:v>0.17197646103896103</c:v>
                </c:pt>
                <c:pt idx="5">
                  <c:v>0.11932305055698372</c:v>
                </c:pt>
              </c:numCache>
            </c:numRef>
          </c:val>
          <c:extLst>
            <c:ext xmlns:c16="http://schemas.microsoft.com/office/drawing/2014/chart" uri="{C3380CC4-5D6E-409C-BE32-E72D297353CC}">
              <c16:uniqueId val="{00000003-01BD-47A5-AFF4-CE5182F5DAA1}"/>
            </c:ext>
          </c:extLst>
        </c:ser>
        <c:ser>
          <c:idx val="4"/>
          <c:order val="4"/>
          <c:tx>
            <c:strRef>
              <c:f>Hoja2!$N$2</c:f>
              <c:strCache>
                <c:ptCount val="1"/>
                <c:pt idx="0">
                  <c:v>Más de 1000 Mbps</c:v>
                </c:pt>
              </c:strCache>
            </c:strRef>
          </c:tx>
          <c:spPr>
            <a:solidFill>
              <a:schemeClr val="tx2">
                <a:lumMod val="60000"/>
                <a:lumOff val="40000"/>
              </a:schemeClr>
            </a:solidFill>
            <a:ln w="6350">
              <a:solidFill>
                <a:schemeClr val="tx2">
                  <a:lumMod val="50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01BD-47A5-AFF4-CE5182F5DAA1}"/>
                </c:ext>
              </c:extLst>
            </c:dLbl>
            <c:dLbl>
              <c:idx val="1"/>
              <c:delete val="1"/>
              <c:extLst>
                <c:ext xmlns:c15="http://schemas.microsoft.com/office/drawing/2012/chart" uri="{CE6537A1-D6FC-4f65-9D91-7224C49458BB}"/>
                <c:ext xmlns:c16="http://schemas.microsoft.com/office/drawing/2014/chart" uri="{C3380CC4-5D6E-409C-BE32-E72D297353CC}">
                  <c16:uniqueId val="{00000005-01BD-47A5-AFF4-CE5182F5DAA1}"/>
                </c:ext>
              </c:extLst>
            </c:dLbl>
            <c:dLbl>
              <c:idx val="2"/>
              <c:delete val="1"/>
              <c:extLst>
                <c:ext xmlns:c15="http://schemas.microsoft.com/office/drawing/2012/chart" uri="{CE6537A1-D6FC-4f65-9D91-7224C49458BB}"/>
                <c:ext xmlns:c16="http://schemas.microsoft.com/office/drawing/2014/chart" uri="{C3380CC4-5D6E-409C-BE32-E72D297353CC}">
                  <c16:uniqueId val="{00000006-01BD-47A5-AFF4-CE5182F5DAA1}"/>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Hoja2!$H$3:$I$8</c:f>
              <c:multiLvlStrCache>
                <c:ptCount val="6"/>
                <c:lvl>
                  <c:pt idx="0">
                    <c:v>1T2018</c:v>
                  </c:pt>
                  <c:pt idx="1">
                    <c:v>2017</c:v>
                  </c:pt>
                  <c:pt idx="2">
                    <c:v>2016</c:v>
                  </c:pt>
                  <c:pt idx="3">
                    <c:v>1T2018</c:v>
                  </c:pt>
                  <c:pt idx="4">
                    <c:v>2017</c:v>
                  </c:pt>
                  <c:pt idx="5">
                    <c:v>2016</c:v>
                  </c:pt>
                </c:lvl>
                <c:lvl>
                  <c:pt idx="0">
                    <c:v>Minorista</c:v>
                  </c:pt>
                  <c:pt idx="3">
                    <c:v>Mayorista</c:v>
                  </c:pt>
                </c:lvl>
              </c:multiLvlStrCache>
            </c:multiLvlStrRef>
          </c:cat>
          <c:val>
            <c:numRef>
              <c:f>Hoja2!$N$3:$N$8</c:f>
              <c:numCache>
                <c:formatCode>0.0%</c:formatCode>
                <c:ptCount val="6"/>
                <c:pt idx="0">
                  <c:v>3.1049927183799081E-3</c:v>
                </c:pt>
                <c:pt idx="1">
                  <c:v>3.3747418031594566E-3</c:v>
                </c:pt>
                <c:pt idx="2">
                  <c:v>3.5046728971962616E-3</c:v>
                </c:pt>
                <c:pt idx="3">
                  <c:v>7.4469071686914592E-2</c:v>
                </c:pt>
                <c:pt idx="4">
                  <c:v>7.4573863636363633E-2</c:v>
                </c:pt>
                <c:pt idx="5">
                  <c:v>0.12253641816623821</c:v>
                </c:pt>
              </c:numCache>
            </c:numRef>
          </c:val>
          <c:extLst>
            <c:ext xmlns:c16="http://schemas.microsoft.com/office/drawing/2014/chart" uri="{C3380CC4-5D6E-409C-BE32-E72D297353CC}">
              <c16:uniqueId val="{00000007-01BD-47A5-AFF4-CE5182F5DAA1}"/>
            </c:ext>
          </c:extLst>
        </c:ser>
        <c:dLbls>
          <c:dLblPos val="ctr"/>
          <c:showLegendKey val="0"/>
          <c:showVal val="1"/>
          <c:showCatName val="0"/>
          <c:showSerName val="0"/>
          <c:showPercent val="0"/>
          <c:showBubbleSize val="0"/>
        </c:dLbls>
        <c:gapWidth val="80"/>
        <c:overlap val="100"/>
        <c:axId val="468371808"/>
        <c:axId val="468372200"/>
      </c:barChart>
      <c:catAx>
        <c:axId val="468371808"/>
        <c:scaling>
          <c:orientation val="minMax"/>
        </c:scaling>
        <c:delete val="0"/>
        <c:axPos val="l"/>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crossAx val="468372200"/>
        <c:crosses val="autoZero"/>
        <c:auto val="1"/>
        <c:lblAlgn val="ctr"/>
        <c:lblOffset val="100"/>
        <c:noMultiLvlLbl val="0"/>
      </c:catAx>
      <c:valAx>
        <c:axId val="468372200"/>
        <c:scaling>
          <c:orientation val="minMax"/>
        </c:scaling>
        <c:delete val="0"/>
        <c:axPos val="b"/>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crossAx val="468371808"/>
        <c:crosses val="autoZero"/>
        <c:crossBetween val="between"/>
      </c:valAx>
      <c:spPr>
        <a:noFill/>
        <a:ln>
          <a:noFill/>
        </a:ln>
        <a:effectLst/>
      </c:spPr>
    </c:plotArea>
    <c:legend>
      <c:legendPos val="b"/>
      <c:layout>
        <c:manualLayout>
          <c:xMode val="edge"/>
          <c:yMode val="edge"/>
          <c:x val="0"/>
          <c:y val="0.85366673305487684"/>
          <c:w val="0.99503985117949867"/>
          <c:h val="0.10935765198926195"/>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ITC Avant Garde" panose="020B0402020203020304"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750">
          <a:solidFill>
            <a:sysClr val="windowText" lastClr="000000"/>
          </a:solidFill>
          <a:latin typeface="ITC Avant Garde" panose="020B0402020203020304" pitchFamily="34" charset="0"/>
        </a:defRPr>
      </a:pPr>
      <a:endParaRPr lang="es-MX"/>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97025371828523"/>
          <c:y val="4.4942038495188102E-2"/>
          <c:w val="0.66280752405949261"/>
          <c:h val="0.79370329704802833"/>
        </c:manualLayout>
      </c:layout>
      <c:barChart>
        <c:barDir val="col"/>
        <c:grouping val="clustered"/>
        <c:varyColors val="0"/>
        <c:ser>
          <c:idx val="0"/>
          <c:order val="0"/>
          <c:tx>
            <c:strRef>
              <c:f>Base2!$P$2</c:f>
              <c:strCache>
                <c:ptCount val="1"/>
                <c:pt idx="0">
                  <c:v>SBAF</c:v>
                </c:pt>
              </c:strCache>
            </c:strRef>
          </c:tx>
          <c:spPr>
            <a:solidFill>
              <a:srgbClr val="002060"/>
            </a:solidFill>
            <a:ln>
              <a:noFill/>
            </a:ln>
            <a:effectLst/>
          </c:spPr>
          <c:invertIfNegative val="0"/>
          <c:cat>
            <c:strRef>
              <c:f>Base2!$O$3:$O$5</c:f>
              <c:strCache>
                <c:ptCount val="3"/>
                <c:pt idx="0">
                  <c:v>2016</c:v>
                </c:pt>
                <c:pt idx="1">
                  <c:v>2017</c:v>
                </c:pt>
                <c:pt idx="2">
                  <c:v>1T2018</c:v>
                </c:pt>
              </c:strCache>
            </c:strRef>
          </c:cat>
          <c:val>
            <c:numRef>
              <c:f>Base2!$P$3:$P$5</c:f>
              <c:numCache>
                <c:formatCode>0.0</c:formatCode>
                <c:ptCount val="3"/>
                <c:pt idx="0">
                  <c:v>26.055687055334751</c:v>
                </c:pt>
                <c:pt idx="1">
                  <c:v>19.458998466443212</c:v>
                </c:pt>
                <c:pt idx="2">
                  <c:v>18.544073162648722</c:v>
                </c:pt>
              </c:numCache>
            </c:numRef>
          </c:val>
          <c:extLst>
            <c:ext xmlns:c16="http://schemas.microsoft.com/office/drawing/2014/chart" uri="{C3380CC4-5D6E-409C-BE32-E72D297353CC}">
              <c16:uniqueId val="{00000000-DF5F-4B9C-876C-E8BF2D9DFD7C}"/>
            </c:ext>
          </c:extLst>
        </c:ser>
        <c:ser>
          <c:idx val="1"/>
          <c:order val="1"/>
          <c:tx>
            <c:strRef>
              <c:f>Base2!$Q$2</c:f>
              <c:strCache>
                <c:ptCount val="1"/>
                <c:pt idx="0">
                  <c:v>Internet dedicado</c:v>
                </c:pt>
              </c:strCache>
            </c:strRef>
          </c:tx>
          <c:spPr>
            <a:solidFill>
              <a:schemeClr val="accent5">
                <a:lumMod val="60000"/>
                <a:lumOff val="40000"/>
              </a:schemeClr>
            </a:solidFill>
            <a:ln>
              <a:noFill/>
            </a:ln>
            <a:effectLst/>
          </c:spPr>
          <c:invertIfNegative val="0"/>
          <c:cat>
            <c:strRef>
              <c:f>Base2!$O$3:$O$5</c:f>
              <c:strCache>
                <c:ptCount val="3"/>
                <c:pt idx="0">
                  <c:v>2016</c:v>
                </c:pt>
                <c:pt idx="1">
                  <c:v>2017</c:v>
                </c:pt>
                <c:pt idx="2">
                  <c:v>1T2018</c:v>
                </c:pt>
              </c:strCache>
            </c:strRef>
          </c:cat>
          <c:val>
            <c:numRef>
              <c:f>Base2!$Q$3:$Q$5</c:f>
              <c:numCache>
                <c:formatCode>0.0</c:formatCode>
                <c:ptCount val="3"/>
                <c:pt idx="0">
                  <c:v>311.38162671258414</c:v>
                </c:pt>
                <c:pt idx="1">
                  <c:v>290.14919550137654</c:v>
                </c:pt>
                <c:pt idx="2">
                  <c:v>307.24890710240049</c:v>
                </c:pt>
              </c:numCache>
            </c:numRef>
          </c:val>
          <c:extLst>
            <c:ext xmlns:c16="http://schemas.microsoft.com/office/drawing/2014/chart" uri="{C3380CC4-5D6E-409C-BE32-E72D297353CC}">
              <c16:uniqueId val="{00000001-DF5F-4B9C-876C-E8BF2D9DFD7C}"/>
            </c:ext>
          </c:extLst>
        </c:ser>
        <c:dLbls>
          <c:showLegendKey val="0"/>
          <c:showVal val="0"/>
          <c:showCatName val="0"/>
          <c:showSerName val="0"/>
          <c:showPercent val="0"/>
          <c:showBubbleSize val="0"/>
        </c:dLbls>
        <c:gapWidth val="219"/>
        <c:overlap val="-27"/>
        <c:axId val="462078368"/>
        <c:axId val="462079936"/>
      </c:barChart>
      <c:catAx>
        <c:axId val="462078368"/>
        <c:scaling>
          <c:orientation val="minMax"/>
        </c:scaling>
        <c:delete val="0"/>
        <c:axPos val="b"/>
        <c:numFmt formatCode="General" sourceLinked="1"/>
        <c:majorTickMark val="none"/>
        <c:minorTickMark val="none"/>
        <c:tickLblPos val="nextTo"/>
        <c:spPr>
          <a:noFill/>
          <a:ln w="6350"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crossAx val="462079936"/>
        <c:crosses val="autoZero"/>
        <c:auto val="1"/>
        <c:lblAlgn val="ctr"/>
        <c:lblOffset val="100"/>
        <c:noMultiLvlLbl val="0"/>
      </c:catAx>
      <c:valAx>
        <c:axId val="462079936"/>
        <c:scaling>
          <c:orientation val="minMax"/>
        </c:scaling>
        <c:delete val="0"/>
        <c:axPos val="l"/>
        <c:majorGridlines>
          <c:spPr>
            <a:ln w="6350"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crossAx val="462078368"/>
        <c:crosses val="autoZero"/>
        <c:crossBetween val="between"/>
      </c:valAx>
      <c:spPr>
        <a:noFill/>
        <a:ln>
          <a:noFill/>
        </a:ln>
        <a:effectLst/>
      </c:spPr>
    </c:plotArea>
    <c:legend>
      <c:legendPos val="r"/>
      <c:layout>
        <c:manualLayout>
          <c:xMode val="edge"/>
          <c:yMode val="edge"/>
          <c:x val="0.80876809437551056"/>
          <c:y val="0.33184820647419067"/>
          <c:w val="0.18012083533888643"/>
          <c:h val="0.3472967970637137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ITC Avant Garde" panose="020B0402020203020304" pitchFamily="34"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ITC Avant Garde" panose="020B0402020203020304" pitchFamily="34" charset="0"/>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3147-62D4-4A0C-8B1A-E0A9BB40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29881</Words>
  <Characters>164348</Characters>
  <Application>Microsoft Office Word</Application>
  <DocSecurity>0</DocSecurity>
  <Lines>1369</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Rocio Valdes Miramontes</dc:creator>
  <cp:keywords/>
  <dc:description/>
  <cp:lastModifiedBy>Gabriela Mazmela Gaveiras</cp:lastModifiedBy>
  <cp:revision>2</cp:revision>
  <cp:lastPrinted>2018-09-25T20:45:00Z</cp:lastPrinted>
  <dcterms:created xsi:type="dcterms:W3CDTF">2018-10-17T21:50:00Z</dcterms:created>
  <dcterms:modified xsi:type="dcterms:W3CDTF">2018-10-17T21:50:00Z</dcterms:modified>
</cp:coreProperties>
</file>