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5C2" w:rsidRPr="002E1686" w:rsidRDefault="00BA35C2" w:rsidP="00BA35C2">
      <w:pPr>
        <w:pStyle w:val="estilo30"/>
        <w:spacing w:before="0" w:beforeAutospacing="0" w:after="0" w:afterAutospacing="0"/>
        <w:jc w:val="right"/>
        <w:rPr>
          <w:rFonts w:ascii="ITC Avant Garde" w:hAnsi="ITC Avant Garde"/>
          <w:b/>
          <w:bCs/>
          <w:sz w:val="22"/>
          <w:szCs w:val="22"/>
        </w:rPr>
      </w:pPr>
      <w:r w:rsidRPr="002E1686">
        <w:rPr>
          <w:rFonts w:ascii="ITC Avant Garde" w:hAnsi="ITC Avant Garde"/>
          <w:b/>
          <w:bCs/>
          <w:sz w:val="22"/>
          <w:szCs w:val="22"/>
        </w:rPr>
        <w:t>INSTITUTO FEDERAL DE TELECOMUNICACIONES</w:t>
      </w:r>
    </w:p>
    <w:p w:rsidR="00BA35C2" w:rsidRPr="002E1686" w:rsidRDefault="00BA35C2" w:rsidP="00BA35C2">
      <w:pPr>
        <w:pStyle w:val="estilo30"/>
        <w:spacing w:before="0" w:beforeAutospacing="0" w:after="0" w:afterAutospacing="0"/>
        <w:jc w:val="right"/>
        <w:rPr>
          <w:rFonts w:ascii="ITC Avant Garde" w:hAnsi="ITC Avant Garde"/>
          <w:b/>
          <w:bCs/>
          <w:sz w:val="22"/>
          <w:szCs w:val="22"/>
        </w:rPr>
      </w:pPr>
      <w:r w:rsidRPr="002E1686">
        <w:rPr>
          <w:rFonts w:ascii="ITC Avant Garde" w:hAnsi="ITC Avant Garde"/>
          <w:b/>
          <w:bCs/>
          <w:sz w:val="22"/>
          <w:szCs w:val="22"/>
        </w:rPr>
        <w:t>UNIDAD</w:t>
      </w:r>
      <w:r w:rsidR="00387AC6" w:rsidRPr="002E1686">
        <w:rPr>
          <w:rFonts w:ascii="ITC Avant Garde" w:hAnsi="ITC Avant Garde"/>
          <w:b/>
          <w:bCs/>
          <w:sz w:val="22"/>
          <w:szCs w:val="22"/>
        </w:rPr>
        <w:t xml:space="preserve"> DE ADMINISTRACIÓN</w:t>
      </w:r>
    </w:p>
    <w:p w:rsidR="00BA35C2" w:rsidRPr="002E1686" w:rsidRDefault="00BA35C2" w:rsidP="00BA35C2">
      <w:pPr>
        <w:pStyle w:val="estilo30"/>
        <w:spacing w:before="0" w:beforeAutospacing="0" w:after="0" w:afterAutospacing="0"/>
        <w:jc w:val="right"/>
        <w:rPr>
          <w:rFonts w:ascii="ITC Avant Garde" w:hAnsi="ITC Avant Garde"/>
          <w:b/>
          <w:bCs/>
          <w:sz w:val="22"/>
          <w:szCs w:val="22"/>
        </w:rPr>
      </w:pPr>
    </w:p>
    <w:p w:rsidR="00BA35C2" w:rsidRPr="002E1686" w:rsidRDefault="00387AC6" w:rsidP="00BA35C2">
      <w:pPr>
        <w:pStyle w:val="estilo30"/>
        <w:spacing w:before="0" w:beforeAutospacing="0" w:after="0" w:afterAutospacing="0"/>
        <w:jc w:val="right"/>
        <w:rPr>
          <w:rFonts w:ascii="ITC Avant Garde" w:hAnsi="ITC Avant Garde"/>
          <w:b/>
          <w:bCs/>
          <w:sz w:val="20"/>
          <w:szCs w:val="20"/>
        </w:rPr>
      </w:pPr>
      <w:r w:rsidRPr="002E1686">
        <w:rPr>
          <w:rFonts w:ascii="ITC Avant Garde" w:hAnsi="ITC Avant Garde"/>
          <w:b/>
          <w:bCs/>
          <w:sz w:val="20"/>
          <w:szCs w:val="20"/>
        </w:rPr>
        <w:t xml:space="preserve">México, Distrito Federal a  </w:t>
      </w:r>
      <w:r w:rsidR="00D20151" w:rsidRPr="002E1686">
        <w:rPr>
          <w:rFonts w:ascii="ITC Avant Garde" w:hAnsi="ITC Avant Garde"/>
          <w:b/>
          <w:bCs/>
          <w:sz w:val="20"/>
          <w:szCs w:val="20"/>
        </w:rPr>
        <w:t>24</w:t>
      </w:r>
      <w:r w:rsidRPr="002E1686">
        <w:rPr>
          <w:rFonts w:ascii="ITC Avant Garde" w:hAnsi="ITC Avant Garde"/>
          <w:b/>
          <w:bCs/>
          <w:sz w:val="20"/>
          <w:szCs w:val="20"/>
        </w:rPr>
        <w:t xml:space="preserve"> de  </w:t>
      </w:r>
      <w:r w:rsidR="00D20151" w:rsidRPr="002E1686">
        <w:rPr>
          <w:rFonts w:ascii="ITC Avant Garde" w:hAnsi="ITC Avant Garde"/>
          <w:b/>
          <w:bCs/>
          <w:sz w:val="20"/>
          <w:szCs w:val="20"/>
        </w:rPr>
        <w:t>octubre</w:t>
      </w:r>
      <w:r w:rsidRPr="002E1686">
        <w:rPr>
          <w:rFonts w:ascii="ITC Avant Garde" w:hAnsi="ITC Avant Garde"/>
          <w:b/>
          <w:bCs/>
          <w:sz w:val="20"/>
          <w:szCs w:val="20"/>
        </w:rPr>
        <w:t xml:space="preserve"> </w:t>
      </w:r>
      <w:r w:rsidR="00BA35C2" w:rsidRPr="002E1686">
        <w:rPr>
          <w:rFonts w:ascii="ITC Avant Garde" w:hAnsi="ITC Avant Garde"/>
          <w:b/>
          <w:bCs/>
          <w:sz w:val="20"/>
          <w:szCs w:val="20"/>
        </w:rPr>
        <w:t>de 2014</w:t>
      </w:r>
    </w:p>
    <w:p w:rsidR="00BA35C2" w:rsidRPr="002E1686" w:rsidRDefault="00BA35C2" w:rsidP="00BA35C2">
      <w:pPr>
        <w:pStyle w:val="estilo30"/>
        <w:spacing w:before="0" w:beforeAutospacing="0" w:after="0" w:afterAutospacing="0"/>
        <w:rPr>
          <w:rFonts w:ascii="ITC Avant Garde" w:hAnsi="ITC Avant Garde"/>
          <w:b/>
          <w:bCs/>
          <w:sz w:val="22"/>
          <w:szCs w:val="22"/>
        </w:rPr>
      </w:pPr>
    </w:p>
    <w:p w:rsidR="00BA35C2" w:rsidRPr="002E1686" w:rsidRDefault="00BA35C2" w:rsidP="00BA35C2">
      <w:pPr>
        <w:tabs>
          <w:tab w:val="center" w:pos="4419"/>
          <w:tab w:val="right" w:pos="8838"/>
        </w:tabs>
        <w:spacing w:after="0" w:line="240" w:lineRule="auto"/>
        <w:jc w:val="both"/>
        <w:rPr>
          <w:rFonts w:ascii="ITC Avant Garde" w:hAnsi="ITC Avant Garde" w:cs="Arial"/>
        </w:rPr>
      </w:pPr>
    </w:p>
    <w:p w:rsidR="00BA35C2" w:rsidRPr="002E1686" w:rsidRDefault="00BA35C2" w:rsidP="00BA35C2">
      <w:pPr>
        <w:spacing w:after="0" w:line="240" w:lineRule="auto"/>
        <w:ind w:left="360"/>
        <w:jc w:val="center"/>
        <w:rPr>
          <w:rFonts w:ascii="ITC Avant Garde" w:eastAsia="Times New Roman" w:hAnsi="ITC Avant Garde"/>
          <w:b/>
          <w:bCs/>
          <w:lang w:eastAsia="es-MX"/>
        </w:rPr>
      </w:pPr>
      <w:bookmarkStart w:id="0" w:name="_Toc172968742"/>
      <w:r w:rsidRPr="002E1686">
        <w:rPr>
          <w:rFonts w:ascii="ITC Avant Garde" w:eastAsia="Times New Roman" w:hAnsi="ITC Avant Garde"/>
          <w:b/>
          <w:bCs/>
          <w:lang w:eastAsia="es-MX"/>
        </w:rPr>
        <w:t>ANEXO TÉCNICO</w:t>
      </w:r>
    </w:p>
    <w:p w:rsidR="00BA35C2" w:rsidRPr="002E1686" w:rsidRDefault="00BA35C2" w:rsidP="00BA35C2">
      <w:pPr>
        <w:spacing w:after="0" w:line="240" w:lineRule="auto"/>
        <w:jc w:val="both"/>
        <w:rPr>
          <w:rFonts w:ascii="ITC Avant Garde" w:hAnsi="ITC Avant Garde" w:cs="Arial"/>
          <w:b/>
          <w:bCs/>
        </w:rPr>
      </w:pPr>
    </w:p>
    <w:p w:rsidR="00BA35C2" w:rsidRPr="002E1686" w:rsidRDefault="00BA35C2" w:rsidP="00BA35C2">
      <w:pPr>
        <w:spacing w:after="0" w:line="240" w:lineRule="auto"/>
        <w:jc w:val="both"/>
        <w:rPr>
          <w:rFonts w:ascii="ITC Avant Garde" w:hAnsi="ITC Avant Garde" w:cs="Arial"/>
          <w:b/>
          <w:bCs/>
        </w:rPr>
      </w:pPr>
    </w:p>
    <w:p w:rsidR="00BB51D9" w:rsidRPr="002E1686" w:rsidRDefault="00BB51D9" w:rsidP="00BB51D9">
      <w:pPr>
        <w:jc w:val="both"/>
        <w:rPr>
          <w:rFonts w:ascii="ITC Avant Garde" w:eastAsia="Times New Roman" w:hAnsi="ITC Avant Garde"/>
          <w:bCs/>
          <w:lang w:eastAsia="es-MX"/>
        </w:rPr>
      </w:pPr>
      <w:r w:rsidRPr="002E1686">
        <w:rPr>
          <w:rFonts w:ascii="ITC Avant Garde" w:eastAsia="Times New Roman" w:hAnsi="ITC Avant Garde"/>
          <w:bCs/>
          <w:lang w:eastAsia="es-MX"/>
        </w:rPr>
        <w:t>De conformidad con lo dispuesto por el artículo 24 quinto párrafo de las Normas en materia de adquisiciones, arrendamientos y servicios del Instituto Federal de Telecomunicaciones</w:t>
      </w:r>
      <w:r w:rsidR="008C34B0" w:rsidRPr="002E1686">
        <w:rPr>
          <w:rFonts w:ascii="ITC Avant Garde" w:eastAsia="Times New Roman" w:hAnsi="ITC Avant Garde"/>
          <w:bCs/>
          <w:lang w:eastAsia="es-MX"/>
        </w:rPr>
        <w:t xml:space="preserve"> (Normas)</w:t>
      </w:r>
      <w:r w:rsidRPr="002E1686">
        <w:rPr>
          <w:rFonts w:ascii="ITC Avant Garde" w:eastAsia="Times New Roman" w:hAnsi="ITC Avant Garde"/>
          <w:bCs/>
          <w:lang w:eastAsia="es-MX"/>
        </w:rPr>
        <w:t xml:space="preserve">, la </w:t>
      </w:r>
      <w:r w:rsidR="0039420A" w:rsidRPr="002E1686">
        <w:rPr>
          <w:rFonts w:ascii="ITC Avant Garde" w:eastAsia="Times New Roman" w:hAnsi="ITC Avant Garde"/>
          <w:bCs/>
          <w:lang w:eastAsia="es-MX"/>
        </w:rPr>
        <w:t>Unidad</w:t>
      </w:r>
      <w:r w:rsidRPr="002E1686">
        <w:rPr>
          <w:rFonts w:ascii="ITC Avant Garde" w:eastAsia="Times New Roman" w:hAnsi="ITC Avant Garde"/>
          <w:bCs/>
          <w:lang w:eastAsia="es-MX"/>
        </w:rPr>
        <w:t xml:space="preserve"> de Administración del Instituto Federal de Telecomunicaciones a través de la Dirección </w:t>
      </w:r>
      <w:r w:rsidR="00823F91" w:rsidRPr="002E1686">
        <w:rPr>
          <w:rFonts w:ascii="ITC Avant Garde" w:eastAsia="Times New Roman" w:hAnsi="ITC Avant Garde"/>
          <w:bCs/>
          <w:lang w:eastAsia="es-MX"/>
        </w:rPr>
        <w:t>General de Finanzas, Presupuesto y Contabilidad</w:t>
      </w:r>
      <w:r w:rsidRPr="002E1686">
        <w:rPr>
          <w:rFonts w:ascii="ITC Avant Garde" w:eastAsia="Times New Roman" w:hAnsi="ITC Avant Garde"/>
          <w:bCs/>
          <w:lang w:eastAsia="es-MX"/>
        </w:rPr>
        <w:t xml:space="preserve">, emite el presente Anexo Técnico para establecer los </w:t>
      </w:r>
      <w:r w:rsidR="00333A43" w:rsidRPr="002E1686">
        <w:rPr>
          <w:rFonts w:ascii="ITC Avant Garde" w:eastAsia="Times New Roman" w:hAnsi="ITC Avant Garde"/>
          <w:bCs/>
          <w:lang w:eastAsia="es-MX"/>
        </w:rPr>
        <w:t xml:space="preserve">mismos </w:t>
      </w:r>
      <w:r w:rsidRPr="002E1686">
        <w:rPr>
          <w:rFonts w:ascii="ITC Avant Garde" w:eastAsia="Times New Roman" w:hAnsi="ITC Avant Garde"/>
          <w:bCs/>
          <w:lang w:eastAsia="es-MX"/>
        </w:rPr>
        <w:t>requisitos</w:t>
      </w:r>
      <w:r w:rsidR="00333A43" w:rsidRPr="002E1686">
        <w:rPr>
          <w:rFonts w:ascii="ITC Avant Garde" w:eastAsia="Times New Roman" w:hAnsi="ITC Avant Garde"/>
          <w:bCs/>
          <w:lang w:eastAsia="es-MX"/>
        </w:rPr>
        <w:t>,</w:t>
      </w:r>
      <w:r w:rsidRPr="002E1686">
        <w:rPr>
          <w:rFonts w:ascii="ITC Avant Garde" w:eastAsia="Times New Roman" w:hAnsi="ITC Avant Garde"/>
          <w:bCs/>
          <w:lang w:eastAsia="es-MX"/>
        </w:rPr>
        <w:t xml:space="preserve">  especificaciones y condiciones para el procedimiento</w:t>
      </w:r>
      <w:r w:rsidR="00823F91" w:rsidRPr="002E1686">
        <w:rPr>
          <w:rFonts w:ascii="ITC Avant Garde" w:eastAsia="Times New Roman" w:hAnsi="ITC Avant Garde"/>
          <w:bCs/>
          <w:lang w:eastAsia="es-MX"/>
        </w:rPr>
        <w:t xml:space="preserve"> de invitación a cuando menos tres personas para la</w:t>
      </w:r>
      <w:r w:rsidRPr="002E1686">
        <w:rPr>
          <w:rFonts w:ascii="ITC Avant Garde" w:eastAsia="Times New Roman" w:hAnsi="ITC Avant Garde"/>
          <w:bCs/>
          <w:lang w:eastAsia="es-MX"/>
        </w:rPr>
        <w:t xml:space="preserve">  contratación </w:t>
      </w:r>
      <w:r w:rsidR="00C637FA" w:rsidRPr="002E1686">
        <w:rPr>
          <w:rFonts w:ascii="ITC Avant Garde" w:eastAsia="Times New Roman" w:hAnsi="ITC Avant Garde"/>
          <w:bCs/>
          <w:lang w:eastAsia="es-MX"/>
        </w:rPr>
        <w:t xml:space="preserve">de </w:t>
      </w:r>
      <w:r w:rsidR="00F56C2B" w:rsidRPr="002E1686">
        <w:rPr>
          <w:rFonts w:ascii="ITC Avant Garde" w:eastAsia="Times New Roman" w:hAnsi="ITC Avant Garde"/>
          <w:bCs/>
          <w:lang w:eastAsia="es-MX"/>
        </w:rPr>
        <w:t>un D</w:t>
      </w:r>
      <w:r w:rsidR="00C637FA" w:rsidRPr="002E1686">
        <w:rPr>
          <w:rFonts w:ascii="ITC Avant Garde" w:eastAsia="Times New Roman" w:hAnsi="ITC Avant Garde"/>
          <w:bCs/>
          <w:lang w:eastAsia="es-MX"/>
        </w:rPr>
        <w:t>esp</w:t>
      </w:r>
      <w:r w:rsidR="00F56C2B" w:rsidRPr="002E1686">
        <w:rPr>
          <w:rFonts w:ascii="ITC Avant Garde" w:eastAsia="Times New Roman" w:hAnsi="ITC Avant Garde"/>
          <w:bCs/>
          <w:lang w:eastAsia="es-MX"/>
        </w:rPr>
        <w:t>acho de Auditores E</w:t>
      </w:r>
      <w:r w:rsidR="00C637FA" w:rsidRPr="002E1686">
        <w:rPr>
          <w:rFonts w:ascii="ITC Avant Garde" w:eastAsia="Times New Roman" w:hAnsi="ITC Avant Garde"/>
          <w:bCs/>
          <w:lang w:eastAsia="es-MX"/>
        </w:rPr>
        <w:t xml:space="preserve">xternos </w:t>
      </w:r>
      <w:r w:rsidR="00F56C2B" w:rsidRPr="002E1686">
        <w:rPr>
          <w:rFonts w:ascii="ITC Avant Garde" w:eastAsia="Times New Roman" w:hAnsi="ITC Avant Garde"/>
          <w:bCs/>
          <w:lang w:eastAsia="es-MX"/>
        </w:rPr>
        <w:t>(Despacho)</w:t>
      </w:r>
      <w:r w:rsidR="00333A43" w:rsidRPr="002E1686">
        <w:rPr>
          <w:rFonts w:ascii="ITC Avant Garde" w:eastAsia="Times New Roman" w:hAnsi="ITC Avant Garde"/>
          <w:bCs/>
          <w:lang w:eastAsia="es-MX"/>
        </w:rPr>
        <w:t xml:space="preserve">, relativo a </w:t>
      </w:r>
      <w:r w:rsidRPr="002E1686">
        <w:rPr>
          <w:rFonts w:ascii="ITC Avant Garde" w:eastAsia="Times New Roman" w:hAnsi="ITC Avant Garde"/>
          <w:bCs/>
          <w:lang w:eastAsia="es-MX"/>
        </w:rPr>
        <w:t>la PRESTACIÓN DE SERVICIOS PARA LA REALIZACIÓN DE LA AUDITORÍA</w:t>
      </w:r>
      <w:r w:rsidR="00333A43" w:rsidRPr="002E1686">
        <w:rPr>
          <w:rFonts w:ascii="ITC Avant Garde" w:eastAsia="Times New Roman" w:hAnsi="ITC Avant Garde"/>
          <w:bCs/>
          <w:lang w:eastAsia="es-MX"/>
        </w:rPr>
        <w:t xml:space="preserve"> CON CIFRAS</w:t>
      </w:r>
      <w:r w:rsidRPr="002E1686">
        <w:rPr>
          <w:rFonts w:ascii="ITC Avant Garde" w:eastAsia="Times New Roman" w:hAnsi="ITC Avant Garde"/>
          <w:bCs/>
          <w:lang w:eastAsia="es-MX"/>
        </w:rPr>
        <w:t xml:space="preserve"> AL 31 DE DICIEMBRE DE 2014 EN MATERIA FINANCIERA – PRESUPUESTARIA.</w:t>
      </w:r>
      <w:r w:rsidR="00D20151" w:rsidRPr="002E1686">
        <w:rPr>
          <w:rFonts w:ascii="ITC Avant Garde" w:eastAsia="Times New Roman" w:hAnsi="ITC Avant Garde"/>
          <w:bCs/>
          <w:lang w:eastAsia="es-MX"/>
        </w:rPr>
        <w:t xml:space="preserve"> </w:t>
      </w:r>
    </w:p>
    <w:bookmarkEnd w:id="0"/>
    <w:p w:rsidR="0003227E" w:rsidRPr="002E1686" w:rsidRDefault="0003227E" w:rsidP="0003227E">
      <w:pPr>
        <w:jc w:val="both"/>
        <w:rPr>
          <w:rFonts w:ascii="ITC Avant Garde" w:eastAsia="Times New Roman" w:hAnsi="ITC Avant Garde"/>
          <w:b/>
          <w:bCs/>
          <w:lang w:eastAsia="es-MX"/>
        </w:rPr>
      </w:pPr>
      <w:r w:rsidRPr="002E1686">
        <w:rPr>
          <w:rFonts w:ascii="ITC Avant Garde" w:eastAsia="Times New Roman" w:hAnsi="ITC Avant Garde"/>
          <w:b/>
          <w:bCs/>
          <w:lang w:eastAsia="es-MX"/>
        </w:rPr>
        <w:t xml:space="preserve">Necesidades de servicios </w:t>
      </w:r>
    </w:p>
    <w:p w:rsidR="00F06221" w:rsidRPr="002E1686" w:rsidRDefault="00F06221" w:rsidP="00B549B7">
      <w:pPr>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Derivado </w:t>
      </w:r>
      <w:r w:rsidR="001D7869" w:rsidRPr="002E1686">
        <w:rPr>
          <w:rFonts w:ascii="ITC Avant Garde" w:eastAsia="Times New Roman" w:hAnsi="ITC Avant Garde"/>
          <w:bCs/>
          <w:lang w:eastAsia="es-MX"/>
        </w:rPr>
        <w:t xml:space="preserve">de las atribuciones que le confiere el estatuto orgánico </w:t>
      </w:r>
      <w:r w:rsidR="00B549B7" w:rsidRPr="002E1686">
        <w:rPr>
          <w:rFonts w:ascii="ITC Avant Garde" w:eastAsia="Times New Roman" w:hAnsi="ITC Avant Garde"/>
          <w:bCs/>
          <w:lang w:eastAsia="es-MX"/>
        </w:rPr>
        <w:t xml:space="preserve">del Instituto en el Artículo 60 Fracción VII el cual fue publicado el 4 de septiembre de 2014, </w:t>
      </w:r>
      <w:r w:rsidR="006F3CE0" w:rsidRPr="002E1686">
        <w:rPr>
          <w:rFonts w:ascii="ITC Avant Garde" w:eastAsia="Times New Roman" w:hAnsi="ITC Avant Garde"/>
          <w:bCs/>
          <w:lang w:eastAsia="es-MX"/>
        </w:rPr>
        <w:t>mismo que se encuentra vigente</w:t>
      </w:r>
      <w:r w:rsidR="00B549B7" w:rsidRPr="002E1686">
        <w:rPr>
          <w:rFonts w:ascii="ITC Avant Garde" w:eastAsia="Times New Roman" w:hAnsi="ITC Avant Garde"/>
          <w:bCs/>
          <w:lang w:eastAsia="es-MX"/>
        </w:rPr>
        <w:t>, la Unidad de Administración a través de la Dirección General de Finanzas, Presupuesto y Contabilidad</w:t>
      </w:r>
      <w:r w:rsidR="001D7869" w:rsidRPr="002E1686">
        <w:rPr>
          <w:rFonts w:ascii="ITC Avant Garde" w:eastAsia="Times New Roman" w:hAnsi="ITC Avant Garde"/>
          <w:bCs/>
          <w:lang w:eastAsia="es-MX"/>
        </w:rPr>
        <w:t xml:space="preserve">, </w:t>
      </w:r>
      <w:r w:rsidR="00B549B7" w:rsidRPr="002E1686">
        <w:rPr>
          <w:rFonts w:ascii="ITC Avant Garde" w:eastAsia="Times New Roman" w:hAnsi="ITC Avant Garde"/>
          <w:bCs/>
          <w:lang w:eastAsia="es-MX"/>
        </w:rPr>
        <w:t>deberá: Administrar el sistema de contabilidad del Instituto, así como preparar los estados financieros y los informes de rendición de la Cuenta de la Hacienda Pública Federal, en cumplimiento a</w:t>
      </w:r>
      <w:r w:rsidR="00823F91" w:rsidRPr="002E1686">
        <w:rPr>
          <w:rFonts w:ascii="ITC Avant Garde" w:eastAsia="Times New Roman" w:hAnsi="ITC Avant Garde"/>
          <w:bCs/>
          <w:lang w:eastAsia="es-MX"/>
        </w:rPr>
        <w:t xml:space="preserve">l artículo 87 de las Normas en materia presupuestaria del Instituto Federal de Telecomunicaciones y </w:t>
      </w:r>
      <w:r w:rsidR="00B549B7" w:rsidRPr="002E1686">
        <w:rPr>
          <w:rFonts w:ascii="ITC Avant Garde" w:eastAsia="Times New Roman" w:hAnsi="ITC Avant Garde"/>
          <w:bCs/>
          <w:lang w:eastAsia="es-MX"/>
        </w:rPr>
        <w:t>la normatividad aplicable.</w:t>
      </w:r>
      <w:r w:rsidR="00823F91" w:rsidRPr="002E1686">
        <w:rPr>
          <w:rFonts w:ascii="ITC Avant Garde" w:eastAsia="Times New Roman" w:hAnsi="ITC Avant Garde"/>
          <w:bCs/>
          <w:lang w:eastAsia="es-MX"/>
        </w:rPr>
        <w:t xml:space="preserve"> </w:t>
      </w:r>
    </w:p>
    <w:p w:rsidR="0003227E" w:rsidRPr="002E1686" w:rsidRDefault="0003227E" w:rsidP="0003227E">
      <w:pPr>
        <w:spacing w:after="0" w:line="240" w:lineRule="auto"/>
        <w:jc w:val="both"/>
        <w:rPr>
          <w:rFonts w:ascii="ITC Avant Garde" w:eastAsia="Times New Roman" w:hAnsi="ITC Avant Garde"/>
          <w:b/>
          <w:bCs/>
          <w:lang w:eastAsia="es-MX"/>
        </w:rPr>
      </w:pPr>
      <w:r w:rsidRPr="002E1686">
        <w:rPr>
          <w:rFonts w:ascii="ITC Avant Garde" w:eastAsia="Times New Roman" w:hAnsi="ITC Avant Garde"/>
          <w:b/>
          <w:bCs/>
          <w:lang w:eastAsia="es-MX"/>
        </w:rPr>
        <w:t>Objeto de la contratación:</w:t>
      </w:r>
    </w:p>
    <w:p w:rsidR="003D64F4" w:rsidRPr="002E1686" w:rsidRDefault="003D64F4" w:rsidP="003D64F4">
      <w:pPr>
        <w:spacing w:after="0" w:line="240" w:lineRule="auto"/>
        <w:jc w:val="both"/>
        <w:rPr>
          <w:rFonts w:ascii="ITC Avant Garde" w:eastAsia="Times New Roman" w:hAnsi="ITC Avant Garde"/>
          <w:bCs/>
          <w:lang w:eastAsia="es-MX"/>
        </w:rPr>
      </w:pPr>
    </w:p>
    <w:p w:rsidR="003D64F4" w:rsidRPr="002E1686" w:rsidRDefault="00D20151" w:rsidP="003D64F4">
      <w:pPr>
        <w:jc w:val="both"/>
        <w:rPr>
          <w:rFonts w:ascii="ITC Avant Garde" w:eastAsia="Times New Roman" w:hAnsi="ITC Avant Garde"/>
          <w:bCs/>
          <w:lang w:eastAsia="es-MX"/>
        </w:rPr>
      </w:pPr>
      <w:r w:rsidRPr="002E1686">
        <w:rPr>
          <w:rFonts w:ascii="ITC Avant Garde" w:eastAsia="Times New Roman" w:hAnsi="ITC Avant Garde"/>
          <w:bCs/>
          <w:lang w:eastAsia="es-MX"/>
        </w:rPr>
        <w:t>Los Servicios para la realización de la</w:t>
      </w:r>
      <w:r w:rsidR="003D64F4" w:rsidRPr="002E1686">
        <w:rPr>
          <w:rFonts w:ascii="ITC Avant Garde" w:eastAsia="Times New Roman" w:hAnsi="ITC Avant Garde"/>
          <w:bCs/>
          <w:lang w:eastAsia="es-MX"/>
        </w:rPr>
        <w:t xml:space="preserve"> auditoría externa en materia financiera-presupuestaria tiene por objeto examinar las operaciones que ha realizado el Instituto Federal de Telecomunicaciones (Instituto), cualquiera que sea su naturaleza, con el propósito de verificar si los estados financieros presentan razonablemente la información, si los estados presupuestales cumplen con las aseveraciones mencionadas por la entidad; si el ente público cumple con sus obligaciones fiscales federales y estatales, si está apegado a la normatividad vigente en materia de adquisiciones, arrendamientos, servicios y obra pública, y si en el desarrollo de sus actividades se han cumplido las disposiciones normativas aplicables en materia financiera, pr</w:t>
      </w:r>
      <w:r w:rsidR="00C03984" w:rsidRPr="002E1686">
        <w:rPr>
          <w:rFonts w:ascii="ITC Avant Garde" w:eastAsia="Times New Roman" w:hAnsi="ITC Avant Garde"/>
          <w:bCs/>
          <w:lang w:eastAsia="es-MX"/>
        </w:rPr>
        <w:t>esupuestal y de control interno, por el ejercicio terminado al 31 de diciembre de 2014.</w:t>
      </w:r>
    </w:p>
    <w:p w:rsidR="004458C2" w:rsidRPr="002E1686" w:rsidRDefault="004458C2" w:rsidP="003D64F4">
      <w:pPr>
        <w:jc w:val="both"/>
        <w:rPr>
          <w:rFonts w:ascii="ITC Avant Garde" w:eastAsia="Times New Roman" w:hAnsi="ITC Avant Garde"/>
          <w:bCs/>
          <w:lang w:eastAsia="es-MX"/>
        </w:rPr>
      </w:pPr>
    </w:p>
    <w:p w:rsidR="00D046E1" w:rsidRPr="002E1686" w:rsidRDefault="00D046E1" w:rsidP="00DB4FA1">
      <w:pPr>
        <w:spacing w:after="0" w:line="240" w:lineRule="auto"/>
        <w:jc w:val="both"/>
        <w:rPr>
          <w:rFonts w:ascii="ITC Avant Garde" w:eastAsia="Times New Roman" w:hAnsi="ITC Avant Garde"/>
          <w:b/>
          <w:bCs/>
          <w:lang w:eastAsia="es-MX"/>
        </w:rPr>
      </w:pPr>
      <w:r w:rsidRPr="002E1686">
        <w:rPr>
          <w:rFonts w:ascii="ITC Avant Garde" w:eastAsia="Times New Roman" w:hAnsi="ITC Avant Garde"/>
          <w:b/>
          <w:bCs/>
          <w:lang w:eastAsia="es-MX"/>
        </w:rPr>
        <w:t>Plazo de ejecución</w:t>
      </w:r>
    </w:p>
    <w:p w:rsidR="00CD77A0" w:rsidRPr="001E7171" w:rsidRDefault="00CD77A0" w:rsidP="002E1686">
      <w:pPr>
        <w:jc w:val="both"/>
        <w:rPr>
          <w:rFonts w:ascii="ITC Avant Garde" w:hAnsi="ITC Avant Garde"/>
        </w:rPr>
      </w:pPr>
      <w:r w:rsidRPr="001E7171">
        <w:rPr>
          <w:rFonts w:ascii="ITC Avant Garde" w:hAnsi="ITC Avant Garde"/>
        </w:rPr>
        <w:t xml:space="preserve">La contratación abarcará más de un ejercicio fiscal, el plazo de ejecución será a partir del primer día hábil siguiente a la notificación del fallo y hasta el </w:t>
      </w:r>
      <w:r w:rsidRPr="001E7171">
        <w:rPr>
          <w:rFonts w:ascii="ITC Avant Garde" w:hAnsi="ITC Avant Garde"/>
        </w:rPr>
        <w:t>5</w:t>
      </w:r>
      <w:r w:rsidRPr="001E7171">
        <w:rPr>
          <w:rFonts w:ascii="ITC Avant Garde" w:hAnsi="ITC Avant Garde"/>
        </w:rPr>
        <w:t xml:space="preserve"> de </w:t>
      </w:r>
      <w:r w:rsidRPr="001E7171">
        <w:rPr>
          <w:rFonts w:ascii="ITC Avant Garde" w:hAnsi="ITC Avant Garde"/>
        </w:rPr>
        <w:t>junio</w:t>
      </w:r>
      <w:r w:rsidRPr="001E7171">
        <w:rPr>
          <w:rFonts w:ascii="ITC Avant Garde" w:hAnsi="ITC Avant Garde"/>
        </w:rPr>
        <w:t xml:space="preserve"> de 2015, la vigencia del contrato será a partir de su formalización y hasta el </w:t>
      </w:r>
      <w:r w:rsidRPr="001E7171">
        <w:rPr>
          <w:rFonts w:ascii="ITC Avant Garde" w:hAnsi="ITC Avant Garde"/>
        </w:rPr>
        <w:t>30</w:t>
      </w:r>
      <w:r w:rsidRPr="001E7171">
        <w:rPr>
          <w:rFonts w:ascii="ITC Avant Garde" w:hAnsi="ITC Avant Garde"/>
        </w:rPr>
        <w:t xml:space="preserve"> de </w:t>
      </w:r>
      <w:r w:rsidRPr="001E7171">
        <w:rPr>
          <w:rFonts w:ascii="ITC Avant Garde" w:hAnsi="ITC Avant Garde"/>
        </w:rPr>
        <w:t>junio</w:t>
      </w:r>
      <w:r w:rsidRPr="001E7171">
        <w:rPr>
          <w:rFonts w:ascii="ITC Avant Garde" w:hAnsi="ITC Avant Garde"/>
        </w:rPr>
        <w:t xml:space="preserve"> de 2015</w:t>
      </w:r>
      <w:r w:rsidR="001E7171">
        <w:rPr>
          <w:rFonts w:ascii="ITC Avant Garde" w:hAnsi="ITC Avant Garde"/>
        </w:rPr>
        <w:t>.</w:t>
      </w:r>
    </w:p>
    <w:p w:rsidR="00BA35C2" w:rsidRPr="002E1686" w:rsidRDefault="00DB4FA1" w:rsidP="002E1686">
      <w:pPr>
        <w:rPr>
          <w:rFonts w:ascii="ITC Avant Garde" w:eastAsia="Times New Roman" w:hAnsi="ITC Avant Garde"/>
          <w:b/>
          <w:bCs/>
          <w:lang w:eastAsia="es-MX"/>
        </w:rPr>
      </w:pPr>
      <w:r w:rsidRPr="002E1686">
        <w:rPr>
          <w:rFonts w:ascii="ITC Avant Garde" w:eastAsia="Times New Roman" w:hAnsi="ITC Avant Garde"/>
          <w:b/>
          <w:bCs/>
          <w:lang w:eastAsia="es-MX"/>
        </w:rPr>
        <w:t>Especificaciones de los</w:t>
      </w:r>
      <w:r w:rsidR="00BA35C2" w:rsidRPr="002E1686">
        <w:rPr>
          <w:rFonts w:ascii="ITC Avant Garde" w:eastAsia="Times New Roman" w:hAnsi="ITC Avant Garde"/>
          <w:b/>
          <w:bCs/>
          <w:lang w:eastAsia="es-MX"/>
        </w:rPr>
        <w:t xml:space="preserve"> </w:t>
      </w:r>
      <w:r w:rsidR="0003227E" w:rsidRPr="002E1686">
        <w:rPr>
          <w:rFonts w:ascii="ITC Avant Garde" w:eastAsia="Times New Roman" w:hAnsi="ITC Avant Garde"/>
          <w:b/>
          <w:bCs/>
          <w:lang w:eastAsia="es-MX"/>
        </w:rPr>
        <w:t>Servicios</w:t>
      </w:r>
    </w:p>
    <w:p w:rsidR="00214A6A" w:rsidRPr="002E1686" w:rsidRDefault="0003227E" w:rsidP="00214A6A">
      <w:pPr>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El Instituto </w:t>
      </w:r>
      <w:r w:rsidR="00C637FA" w:rsidRPr="002E1686">
        <w:rPr>
          <w:rFonts w:ascii="ITC Avant Garde" w:eastAsia="Times New Roman" w:hAnsi="ITC Avant Garde"/>
          <w:bCs/>
          <w:lang w:eastAsia="es-MX"/>
        </w:rPr>
        <w:t xml:space="preserve">requiere que el auditor externo emita los siguientes </w:t>
      </w:r>
      <w:r w:rsidRPr="002E1686">
        <w:rPr>
          <w:rFonts w:ascii="ITC Avant Garde" w:eastAsia="Times New Roman" w:hAnsi="ITC Avant Garde"/>
          <w:bCs/>
          <w:lang w:eastAsia="es-MX"/>
        </w:rPr>
        <w:t>Dictámenes e informes</w:t>
      </w:r>
      <w:r w:rsidR="00C637FA" w:rsidRPr="002E1686">
        <w:rPr>
          <w:rFonts w:ascii="ITC Avant Garde" w:eastAsia="Times New Roman" w:hAnsi="ITC Avant Garde"/>
          <w:bCs/>
          <w:lang w:eastAsia="es-MX"/>
        </w:rPr>
        <w:t xml:space="preserve">, con el fin de otorgar seguridad a la administración </w:t>
      </w:r>
      <w:r w:rsidR="00214A6A" w:rsidRPr="002E1686">
        <w:rPr>
          <w:rFonts w:ascii="ITC Avant Garde" w:eastAsia="Times New Roman" w:hAnsi="ITC Avant Garde"/>
          <w:bCs/>
          <w:lang w:eastAsia="es-MX"/>
        </w:rPr>
        <w:t xml:space="preserve">y al público en general </w:t>
      </w:r>
      <w:r w:rsidR="00C637FA" w:rsidRPr="002E1686">
        <w:rPr>
          <w:rFonts w:ascii="ITC Avant Garde" w:eastAsia="Times New Roman" w:hAnsi="ITC Avant Garde"/>
          <w:bCs/>
          <w:lang w:eastAsia="es-MX"/>
        </w:rPr>
        <w:t xml:space="preserve">de que las cifras </w:t>
      </w:r>
      <w:r w:rsidR="00214A6A" w:rsidRPr="002E1686">
        <w:rPr>
          <w:rFonts w:ascii="ITC Avant Garde" w:eastAsia="Times New Roman" w:hAnsi="ITC Avant Garde"/>
          <w:bCs/>
          <w:lang w:eastAsia="es-MX"/>
        </w:rPr>
        <w:t xml:space="preserve">contables y presupuestales </w:t>
      </w:r>
      <w:r w:rsidR="00C637FA" w:rsidRPr="002E1686">
        <w:rPr>
          <w:rFonts w:ascii="ITC Avant Garde" w:eastAsia="Times New Roman" w:hAnsi="ITC Avant Garde"/>
          <w:bCs/>
          <w:lang w:eastAsia="es-MX"/>
        </w:rPr>
        <w:t xml:space="preserve">son correctas, </w:t>
      </w:r>
      <w:r w:rsidR="00214A6A" w:rsidRPr="002E1686">
        <w:rPr>
          <w:rFonts w:ascii="ITC Avant Garde" w:eastAsia="Times New Roman" w:hAnsi="ITC Avant Garde"/>
          <w:bCs/>
          <w:lang w:eastAsia="es-MX"/>
        </w:rPr>
        <w:t>así como asegurarse de que las operaciones en materia de adquisiciones, arrendamientos, servicios y obra pública, se han realizado con apego a las disposiciones normativas aplicables.</w:t>
      </w:r>
    </w:p>
    <w:p w:rsidR="0003227E" w:rsidRPr="002E1686" w:rsidRDefault="0003227E" w:rsidP="00214A6A">
      <w:pPr>
        <w:pStyle w:val="Prrafodelista"/>
        <w:numPr>
          <w:ilvl w:val="0"/>
          <w:numId w:val="3"/>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Informe de</w:t>
      </w:r>
      <w:r w:rsidR="004458C2" w:rsidRPr="002E1686">
        <w:rPr>
          <w:rFonts w:ascii="ITC Avant Garde" w:eastAsia="Times New Roman" w:hAnsi="ITC Avant Garde"/>
          <w:bCs/>
          <w:sz w:val="22"/>
          <w:szCs w:val="22"/>
          <w:lang w:eastAsia="es-MX"/>
        </w:rPr>
        <w:t>l Auditor</w:t>
      </w:r>
      <w:r w:rsidRPr="002E1686">
        <w:rPr>
          <w:rFonts w:ascii="ITC Avant Garde" w:eastAsia="Times New Roman" w:hAnsi="ITC Avant Garde"/>
          <w:bCs/>
          <w:sz w:val="22"/>
          <w:szCs w:val="22"/>
          <w:lang w:eastAsia="es-MX"/>
        </w:rPr>
        <w:t xml:space="preserve"> Independiente,</w:t>
      </w:r>
      <w:r w:rsidR="00A71432" w:rsidRPr="002E1686">
        <w:rPr>
          <w:rFonts w:ascii="ITC Avant Garde" w:eastAsia="Times New Roman" w:hAnsi="ITC Avant Garde"/>
          <w:bCs/>
          <w:sz w:val="22"/>
          <w:szCs w:val="22"/>
          <w:lang w:eastAsia="es-MX"/>
        </w:rPr>
        <w:t xml:space="preserve"> </w:t>
      </w:r>
    </w:p>
    <w:p w:rsidR="0003227E" w:rsidRPr="002E1686" w:rsidRDefault="0003227E" w:rsidP="0003227E">
      <w:pPr>
        <w:pStyle w:val="Prrafodelista"/>
        <w:numPr>
          <w:ilvl w:val="0"/>
          <w:numId w:val="3"/>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Dictamen presupuestal,</w:t>
      </w:r>
    </w:p>
    <w:p w:rsidR="0003227E" w:rsidRPr="002E1686" w:rsidRDefault="0003227E" w:rsidP="0003227E">
      <w:pPr>
        <w:pStyle w:val="Prrafodelista"/>
        <w:numPr>
          <w:ilvl w:val="0"/>
          <w:numId w:val="3"/>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Informe sobre la revisión de las operaciones relacionadas con adquisiciones, arrendamientos y servicios del sector público, y de obras públicas y servicios relacionados con las mismas,</w:t>
      </w:r>
    </w:p>
    <w:p w:rsidR="0003227E" w:rsidRPr="002E1686" w:rsidRDefault="0003227E" w:rsidP="0003227E">
      <w:pPr>
        <w:pStyle w:val="Prrafodelista"/>
        <w:numPr>
          <w:ilvl w:val="0"/>
          <w:numId w:val="3"/>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Informe de irregularidades,</w:t>
      </w:r>
    </w:p>
    <w:p w:rsidR="00CD764D" w:rsidRPr="002E1686" w:rsidRDefault="00CD764D" w:rsidP="0003227E">
      <w:pPr>
        <w:pStyle w:val="Prrafodelista"/>
        <w:numPr>
          <w:ilvl w:val="0"/>
          <w:numId w:val="3"/>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Carta de observaciones (preliminar y definitiva)</w:t>
      </w:r>
    </w:p>
    <w:p w:rsidR="0003227E" w:rsidRPr="002E1686" w:rsidRDefault="0003227E" w:rsidP="0003227E">
      <w:pPr>
        <w:pStyle w:val="Prrafodelista"/>
        <w:numPr>
          <w:ilvl w:val="0"/>
          <w:numId w:val="3"/>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Dictamen sobre el cumplimiento de obligaciones fiscales establecidas en el Código Financiero del Distrito Federal,</w:t>
      </w:r>
    </w:p>
    <w:p w:rsidR="0003227E" w:rsidRPr="002E1686" w:rsidRDefault="0003227E" w:rsidP="0003227E">
      <w:pPr>
        <w:pStyle w:val="Prrafodelista"/>
        <w:numPr>
          <w:ilvl w:val="0"/>
          <w:numId w:val="3"/>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Informe Ejecutivo y Propuestas de Mejora.</w:t>
      </w:r>
    </w:p>
    <w:p w:rsidR="0003227E" w:rsidRPr="002E1686" w:rsidRDefault="0003227E" w:rsidP="00BA35C2">
      <w:pPr>
        <w:spacing w:after="0" w:line="240" w:lineRule="auto"/>
        <w:ind w:left="360"/>
        <w:jc w:val="both"/>
        <w:rPr>
          <w:rFonts w:ascii="ITC Avant Garde" w:eastAsia="Times New Roman" w:hAnsi="ITC Avant Garde"/>
          <w:b/>
          <w:bCs/>
          <w:lang w:eastAsia="es-MX"/>
        </w:rPr>
      </w:pPr>
    </w:p>
    <w:p w:rsidR="008B1F87" w:rsidRPr="002E1686" w:rsidRDefault="008B1F87"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CD764D" w:rsidRPr="002E1686" w:rsidRDefault="00CD764D" w:rsidP="00BA35C2">
      <w:pPr>
        <w:spacing w:after="0" w:line="240" w:lineRule="auto"/>
        <w:ind w:left="360"/>
        <w:jc w:val="both"/>
        <w:rPr>
          <w:rFonts w:ascii="ITC Avant Garde" w:eastAsia="Times New Roman" w:hAnsi="ITC Avant Garde"/>
          <w:b/>
          <w:bCs/>
          <w:lang w:eastAsia="es-MX"/>
        </w:rPr>
      </w:pPr>
    </w:p>
    <w:p w:rsidR="00CD764D" w:rsidRPr="002E1686" w:rsidRDefault="00CD764D" w:rsidP="00BA35C2">
      <w:pPr>
        <w:spacing w:after="0" w:line="240" w:lineRule="auto"/>
        <w:ind w:left="360"/>
        <w:jc w:val="both"/>
        <w:rPr>
          <w:rFonts w:ascii="ITC Avant Garde" w:eastAsia="Times New Roman" w:hAnsi="ITC Avant Garde"/>
          <w:b/>
          <w:bCs/>
          <w:lang w:eastAsia="es-MX"/>
        </w:rPr>
      </w:pPr>
    </w:p>
    <w:p w:rsidR="00CD764D" w:rsidRPr="002E1686" w:rsidRDefault="00CD764D"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Default="005C6396" w:rsidP="00BA35C2">
      <w:pPr>
        <w:spacing w:after="0" w:line="240" w:lineRule="auto"/>
        <w:ind w:left="360"/>
        <w:jc w:val="both"/>
        <w:rPr>
          <w:rFonts w:ascii="ITC Avant Garde" w:eastAsia="Times New Roman" w:hAnsi="ITC Avant Garde"/>
          <w:b/>
          <w:bCs/>
          <w:lang w:eastAsia="es-MX"/>
        </w:rPr>
      </w:pPr>
    </w:p>
    <w:p w:rsidR="00EB37EF" w:rsidRPr="002E1686" w:rsidRDefault="00EB37EF"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8B1F87" w:rsidRPr="002E1686" w:rsidRDefault="008B1F87"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lastRenderedPageBreak/>
        <w:t>Información General del Instituto</w:t>
      </w:r>
    </w:p>
    <w:p w:rsidR="008B1F87" w:rsidRPr="002E1686" w:rsidRDefault="008B1F87" w:rsidP="00BA35C2">
      <w:pPr>
        <w:spacing w:after="0" w:line="240" w:lineRule="auto"/>
        <w:ind w:left="360"/>
        <w:jc w:val="both"/>
        <w:rPr>
          <w:rFonts w:ascii="ITC Avant Garde" w:eastAsia="Times New Roman" w:hAnsi="ITC Avant Garde"/>
          <w:b/>
          <w:bCs/>
          <w:lang w:eastAsia="es-MX"/>
        </w:rPr>
      </w:pPr>
    </w:p>
    <w:p w:rsidR="005C6396" w:rsidRPr="002E1686" w:rsidRDefault="005C6396"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ESTADO DEL EJERCICIO AL 31 DE AGOSTO DE 2014</w:t>
      </w:r>
    </w:p>
    <w:p w:rsidR="005C6396" w:rsidRPr="002E1686" w:rsidRDefault="00DF208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(Cifras en Millones de pesos)</w:t>
      </w:r>
    </w:p>
    <w:tbl>
      <w:tblPr>
        <w:tblStyle w:val="Tablaconcuadrcula"/>
        <w:tblW w:w="0" w:type="auto"/>
        <w:tblInd w:w="360" w:type="dxa"/>
        <w:tblLook w:val="04A0" w:firstRow="1" w:lastRow="0" w:firstColumn="1" w:lastColumn="0" w:noHBand="0" w:noVBand="1"/>
      </w:tblPr>
      <w:tblGrid>
        <w:gridCol w:w="1630"/>
        <w:gridCol w:w="1802"/>
        <w:gridCol w:w="1710"/>
        <w:gridCol w:w="1710"/>
        <w:gridCol w:w="1616"/>
      </w:tblGrid>
      <w:tr w:rsidR="008F433A" w:rsidRPr="002E1686" w:rsidTr="008F433A">
        <w:tc>
          <w:tcPr>
            <w:tcW w:w="1765" w:type="dxa"/>
          </w:tcPr>
          <w:p w:rsidR="008F433A" w:rsidRPr="002E1686" w:rsidRDefault="008F433A" w:rsidP="008F433A">
            <w:pPr>
              <w:spacing w:after="0" w:line="240" w:lineRule="auto"/>
              <w:jc w:val="center"/>
              <w:rPr>
                <w:rFonts w:ascii="ITC Avant Garde" w:eastAsia="Times New Roman" w:hAnsi="ITC Avant Garde"/>
                <w:b/>
                <w:bCs/>
                <w:lang w:eastAsia="es-MX"/>
              </w:rPr>
            </w:pPr>
            <w:r w:rsidRPr="002E1686">
              <w:rPr>
                <w:rFonts w:ascii="ITC Avant Garde" w:eastAsia="Times New Roman" w:hAnsi="ITC Avant Garde"/>
                <w:b/>
                <w:bCs/>
                <w:lang w:eastAsia="es-MX"/>
              </w:rPr>
              <w:t>Capítulo</w:t>
            </w:r>
          </w:p>
        </w:tc>
        <w:tc>
          <w:tcPr>
            <w:tcW w:w="1765" w:type="dxa"/>
          </w:tcPr>
          <w:p w:rsidR="008F433A" w:rsidRPr="002E1686" w:rsidRDefault="008F433A" w:rsidP="008F433A">
            <w:pPr>
              <w:spacing w:after="0" w:line="240" w:lineRule="auto"/>
              <w:jc w:val="center"/>
              <w:rPr>
                <w:rFonts w:ascii="ITC Avant Garde" w:eastAsia="Times New Roman" w:hAnsi="ITC Avant Garde"/>
                <w:b/>
                <w:bCs/>
                <w:lang w:eastAsia="es-MX"/>
              </w:rPr>
            </w:pPr>
            <w:r w:rsidRPr="002E1686">
              <w:rPr>
                <w:rFonts w:ascii="ITC Avant Garde" w:eastAsia="Times New Roman" w:hAnsi="ITC Avant Garde"/>
                <w:b/>
                <w:bCs/>
                <w:lang w:eastAsia="es-MX"/>
              </w:rPr>
              <w:t>Denominación</w:t>
            </w:r>
          </w:p>
        </w:tc>
        <w:tc>
          <w:tcPr>
            <w:tcW w:w="1766" w:type="dxa"/>
          </w:tcPr>
          <w:p w:rsidR="008F433A" w:rsidRPr="002E1686" w:rsidRDefault="008F433A" w:rsidP="008F433A">
            <w:pPr>
              <w:spacing w:after="0" w:line="240" w:lineRule="auto"/>
              <w:jc w:val="center"/>
              <w:rPr>
                <w:rFonts w:ascii="ITC Avant Garde" w:eastAsia="Times New Roman" w:hAnsi="ITC Avant Garde"/>
                <w:b/>
                <w:bCs/>
                <w:lang w:eastAsia="es-MX"/>
              </w:rPr>
            </w:pPr>
            <w:r w:rsidRPr="002E1686">
              <w:rPr>
                <w:rFonts w:ascii="ITC Avant Garde" w:eastAsia="Times New Roman" w:hAnsi="ITC Avant Garde"/>
                <w:b/>
                <w:bCs/>
                <w:lang w:eastAsia="es-MX"/>
              </w:rPr>
              <w:t>Presupuesto Original</w:t>
            </w:r>
          </w:p>
        </w:tc>
        <w:tc>
          <w:tcPr>
            <w:tcW w:w="1766" w:type="dxa"/>
          </w:tcPr>
          <w:p w:rsidR="008F433A" w:rsidRPr="002E1686" w:rsidRDefault="008F433A" w:rsidP="008F433A">
            <w:pPr>
              <w:spacing w:after="0" w:line="240" w:lineRule="auto"/>
              <w:jc w:val="center"/>
              <w:rPr>
                <w:rFonts w:ascii="ITC Avant Garde" w:eastAsia="Times New Roman" w:hAnsi="ITC Avant Garde"/>
                <w:b/>
                <w:bCs/>
                <w:lang w:eastAsia="es-MX"/>
              </w:rPr>
            </w:pPr>
            <w:r w:rsidRPr="002E1686">
              <w:rPr>
                <w:rFonts w:ascii="ITC Avant Garde" w:eastAsia="Times New Roman" w:hAnsi="ITC Avant Garde"/>
                <w:b/>
                <w:bCs/>
                <w:lang w:eastAsia="es-MX"/>
              </w:rPr>
              <w:t>Presupuesto Modificado</w:t>
            </w:r>
          </w:p>
        </w:tc>
        <w:tc>
          <w:tcPr>
            <w:tcW w:w="1766" w:type="dxa"/>
          </w:tcPr>
          <w:p w:rsidR="008F433A" w:rsidRPr="002E1686" w:rsidRDefault="008F433A" w:rsidP="008F433A">
            <w:pPr>
              <w:spacing w:after="0" w:line="240" w:lineRule="auto"/>
              <w:jc w:val="center"/>
              <w:rPr>
                <w:rFonts w:ascii="ITC Avant Garde" w:eastAsia="Times New Roman" w:hAnsi="ITC Avant Garde"/>
                <w:b/>
                <w:bCs/>
                <w:lang w:eastAsia="es-MX"/>
              </w:rPr>
            </w:pPr>
            <w:r w:rsidRPr="002E1686">
              <w:rPr>
                <w:rFonts w:ascii="ITC Avant Garde" w:eastAsia="Times New Roman" w:hAnsi="ITC Avant Garde"/>
                <w:b/>
                <w:bCs/>
                <w:lang w:eastAsia="es-MX"/>
              </w:rPr>
              <w:t>Ejercido al 31 de agosto de 2014</w:t>
            </w:r>
          </w:p>
        </w:tc>
      </w:tr>
      <w:tr w:rsidR="008F433A" w:rsidRPr="002E1686" w:rsidTr="008F433A">
        <w:tc>
          <w:tcPr>
            <w:tcW w:w="1765" w:type="dxa"/>
          </w:tcPr>
          <w:p w:rsidR="008F433A" w:rsidRPr="002E1686" w:rsidRDefault="008F433A"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1000</w:t>
            </w:r>
          </w:p>
        </w:tc>
        <w:tc>
          <w:tcPr>
            <w:tcW w:w="1765" w:type="dxa"/>
          </w:tcPr>
          <w:p w:rsidR="008F433A" w:rsidRPr="002E1686" w:rsidRDefault="008F433A"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Servicios Personales</w:t>
            </w:r>
          </w:p>
        </w:tc>
        <w:tc>
          <w:tcPr>
            <w:tcW w:w="1766" w:type="dxa"/>
          </w:tcPr>
          <w:p w:rsidR="008F433A"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w:t>
            </w:r>
            <w:r w:rsidR="008F433A" w:rsidRPr="002E1686">
              <w:rPr>
                <w:rFonts w:ascii="ITC Avant Garde" w:eastAsia="Times New Roman" w:hAnsi="ITC Avant Garde"/>
                <w:bCs/>
                <w:lang w:eastAsia="es-MX"/>
              </w:rPr>
              <w:t>714.0</w:t>
            </w:r>
          </w:p>
        </w:tc>
        <w:tc>
          <w:tcPr>
            <w:tcW w:w="1766" w:type="dxa"/>
          </w:tcPr>
          <w:p w:rsidR="008F433A"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w:t>
            </w:r>
            <w:r w:rsidR="008F433A" w:rsidRPr="002E1686">
              <w:rPr>
                <w:rFonts w:ascii="ITC Avant Garde" w:eastAsia="Times New Roman" w:hAnsi="ITC Avant Garde"/>
                <w:bCs/>
                <w:lang w:eastAsia="es-MX"/>
              </w:rPr>
              <w:t>710.5</w:t>
            </w:r>
          </w:p>
        </w:tc>
        <w:tc>
          <w:tcPr>
            <w:tcW w:w="1766" w:type="dxa"/>
          </w:tcPr>
          <w:p w:rsidR="008F433A"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w:t>
            </w:r>
            <w:r w:rsidR="008F433A" w:rsidRPr="002E1686">
              <w:rPr>
                <w:rFonts w:ascii="ITC Avant Garde" w:eastAsia="Times New Roman" w:hAnsi="ITC Avant Garde"/>
                <w:bCs/>
                <w:lang w:eastAsia="es-MX"/>
              </w:rPr>
              <w:t>289</w:t>
            </w:r>
          </w:p>
        </w:tc>
      </w:tr>
      <w:tr w:rsidR="008F433A" w:rsidRPr="002E1686" w:rsidTr="008F433A">
        <w:tc>
          <w:tcPr>
            <w:tcW w:w="1765" w:type="dxa"/>
          </w:tcPr>
          <w:p w:rsidR="008F433A" w:rsidRPr="002E1686" w:rsidRDefault="00173ECB"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2000</w:t>
            </w:r>
          </w:p>
        </w:tc>
        <w:tc>
          <w:tcPr>
            <w:tcW w:w="1765" w:type="dxa"/>
          </w:tcPr>
          <w:p w:rsidR="008F433A" w:rsidRPr="002E1686" w:rsidRDefault="00173ECB"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Materiales y Suministros</w:t>
            </w:r>
          </w:p>
        </w:tc>
        <w:tc>
          <w:tcPr>
            <w:tcW w:w="1766" w:type="dxa"/>
          </w:tcPr>
          <w:p w:rsidR="008F433A" w:rsidRPr="002E1686" w:rsidRDefault="00173ECB"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24.8</w:t>
            </w:r>
          </w:p>
        </w:tc>
        <w:tc>
          <w:tcPr>
            <w:tcW w:w="1766" w:type="dxa"/>
          </w:tcPr>
          <w:p w:rsidR="008F433A" w:rsidRPr="002E1686" w:rsidRDefault="00173ECB"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23.5</w:t>
            </w:r>
          </w:p>
        </w:tc>
        <w:tc>
          <w:tcPr>
            <w:tcW w:w="1766" w:type="dxa"/>
          </w:tcPr>
          <w:p w:rsidR="008F433A" w:rsidRPr="002E1686" w:rsidRDefault="00173ECB"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3.1</w:t>
            </w:r>
          </w:p>
        </w:tc>
      </w:tr>
      <w:tr w:rsidR="00173ECB" w:rsidRPr="002E1686" w:rsidTr="008F433A">
        <w:tc>
          <w:tcPr>
            <w:tcW w:w="1765" w:type="dxa"/>
          </w:tcPr>
          <w:p w:rsidR="00173ECB" w:rsidRPr="002E1686" w:rsidRDefault="00173ECB"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3000</w:t>
            </w:r>
          </w:p>
        </w:tc>
        <w:tc>
          <w:tcPr>
            <w:tcW w:w="1765" w:type="dxa"/>
          </w:tcPr>
          <w:p w:rsidR="00173ECB" w:rsidRPr="002E1686" w:rsidRDefault="00173ECB"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Servicios Generales</w:t>
            </w:r>
          </w:p>
        </w:tc>
        <w:tc>
          <w:tcPr>
            <w:tcW w:w="1766" w:type="dxa"/>
          </w:tcPr>
          <w:p w:rsidR="00173ECB" w:rsidRPr="002E1686" w:rsidRDefault="00173ECB"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861.3</w:t>
            </w:r>
          </w:p>
        </w:tc>
        <w:tc>
          <w:tcPr>
            <w:tcW w:w="1766" w:type="dxa"/>
          </w:tcPr>
          <w:p w:rsidR="00173ECB" w:rsidRPr="002E1686" w:rsidRDefault="00173ECB"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792</w:t>
            </w:r>
          </w:p>
        </w:tc>
        <w:tc>
          <w:tcPr>
            <w:tcW w:w="1766" w:type="dxa"/>
          </w:tcPr>
          <w:p w:rsidR="00173ECB" w:rsidRPr="002E1686" w:rsidRDefault="00173ECB"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78.2</w:t>
            </w:r>
          </w:p>
        </w:tc>
      </w:tr>
      <w:tr w:rsidR="00173ECB" w:rsidRPr="002E1686" w:rsidTr="008F433A">
        <w:tc>
          <w:tcPr>
            <w:tcW w:w="1765" w:type="dxa"/>
          </w:tcPr>
          <w:p w:rsidR="00173ECB" w:rsidRPr="002E1686" w:rsidRDefault="00173ECB"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4000</w:t>
            </w:r>
          </w:p>
        </w:tc>
        <w:tc>
          <w:tcPr>
            <w:tcW w:w="1765" w:type="dxa"/>
          </w:tcPr>
          <w:p w:rsidR="00173ECB" w:rsidRPr="002E1686" w:rsidRDefault="005C6396"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Transferencias, Asignaciones, Subsidios y otras Ayudas</w:t>
            </w:r>
          </w:p>
        </w:tc>
        <w:tc>
          <w:tcPr>
            <w:tcW w:w="1766" w:type="dxa"/>
          </w:tcPr>
          <w:p w:rsidR="00173ECB"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1</w:t>
            </w:r>
            <w:r w:rsidR="0036566D" w:rsidRPr="002E1686">
              <w:rPr>
                <w:rFonts w:ascii="ITC Avant Garde" w:eastAsia="Times New Roman" w:hAnsi="ITC Avant Garde"/>
                <w:bCs/>
                <w:lang w:eastAsia="es-MX"/>
              </w:rPr>
              <w:t>.0</w:t>
            </w:r>
          </w:p>
        </w:tc>
        <w:tc>
          <w:tcPr>
            <w:tcW w:w="1766" w:type="dxa"/>
          </w:tcPr>
          <w:p w:rsidR="00173ECB"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1</w:t>
            </w:r>
            <w:r w:rsidR="0036566D" w:rsidRPr="002E1686">
              <w:rPr>
                <w:rFonts w:ascii="ITC Avant Garde" w:eastAsia="Times New Roman" w:hAnsi="ITC Avant Garde"/>
                <w:bCs/>
                <w:lang w:eastAsia="es-MX"/>
              </w:rPr>
              <w:t>.0</w:t>
            </w:r>
          </w:p>
        </w:tc>
        <w:tc>
          <w:tcPr>
            <w:tcW w:w="1766" w:type="dxa"/>
          </w:tcPr>
          <w:p w:rsidR="00173ECB"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.04</w:t>
            </w:r>
          </w:p>
        </w:tc>
      </w:tr>
      <w:tr w:rsidR="005C6396" w:rsidRPr="002E1686" w:rsidTr="008F433A">
        <w:tc>
          <w:tcPr>
            <w:tcW w:w="1765" w:type="dxa"/>
          </w:tcPr>
          <w:p w:rsidR="005C6396" w:rsidRPr="002E1686" w:rsidRDefault="005C6396"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5000</w:t>
            </w:r>
          </w:p>
        </w:tc>
        <w:tc>
          <w:tcPr>
            <w:tcW w:w="1765" w:type="dxa"/>
          </w:tcPr>
          <w:p w:rsidR="005C6396" w:rsidRPr="002E1686" w:rsidRDefault="005C6396"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Bienes Muebles e Inmuebles</w:t>
            </w:r>
          </w:p>
        </w:tc>
        <w:tc>
          <w:tcPr>
            <w:tcW w:w="1766" w:type="dxa"/>
          </w:tcPr>
          <w:p w:rsidR="005C6396"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373.8</w:t>
            </w:r>
          </w:p>
        </w:tc>
        <w:tc>
          <w:tcPr>
            <w:tcW w:w="1766" w:type="dxa"/>
          </w:tcPr>
          <w:p w:rsidR="005C6396"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447.9</w:t>
            </w:r>
          </w:p>
        </w:tc>
        <w:tc>
          <w:tcPr>
            <w:tcW w:w="1766" w:type="dxa"/>
          </w:tcPr>
          <w:p w:rsidR="005C6396"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21.5</w:t>
            </w:r>
          </w:p>
        </w:tc>
      </w:tr>
      <w:tr w:rsidR="005C6396" w:rsidRPr="002E1686" w:rsidTr="008F433A">
        <w:tc>
          <w:tcPr>
            <w:tcW w:w="1765" w:type="dxa"/>
          </w:tcPr>
          <w:p w:rsidR="005C6396" w:rsidRPr="002E1686" w:rsidRDefault="005C6396"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6000</w:t>
            </w:r>
          </w:p>
        </w:tc>
        <w:tc>
          <w:tcPr>
            <w:tcW w:w="1765" w:type="dxa"/>
          </w:tcPr>
          <w:p w:rsidR="005C6396" w:rsidRPr="002E1686" w:rsidRDefault="005C6396" w:rsidP="00BA35C2">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Inversión Pública</w:t>
            </w:r>
          </w:p>
        </w:tc>
        <w:tc>
          <w:tcPr>
            <w:tcW w:w="1766" w:type="dxa"/>
          </w:tcPr>
          <w:p w:rsidR="005C6396"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25.0</w:t>
            </w:r>
          </w:p>
        </w:tc>
        <w:tc>
          <w:tcPr>
            <w:tcW w:w="1766" w:type="dxa"/>
          </w:tcPr>
          <w:p w:rsidR="005C6396"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25.0</w:t>
            </w:r>
          </w:p>
        </w:tc>
        <w:tc>
          <w:tcPr>
            <w:tcW w:w="1766" w:type="dxa"/>
          </w:tcPr>
          <w:p w:rsidR="005C6396" w:rsidRPr="002E1686" w:rsidRDefault="005C6396" w:rsidP="005C6396">
            <w:pPr>
              <w:spacing w:after="0" w:line="240" w:lineRule="auto"/>
              <w:jc w:val="right"/>
              <w:rPr>
                <w:rFonts w:ascii="ITC Avant Garde" w:eastAsia="Times New Roman" w:hAnsi="ITC Avant Garde"/>
                <w:bCs/>
                <w:lang w:eastAsia="es-MX"/>
              </w:rPr>
            </w:pPr>
            <w:r w:rsidRPr="002E1686">
              <w:rPr>
                <w:rFonts w:ascii="ITC Avant Garde" w:eastAsia="Times New Roman" w:hAnsi="ITC Avant Garde"/>
                <w:bCs/>
                <w:lang w:eastAsia="es-MX"/>
              </w:rPr>
              <w:t>3.3</w:t>
            </w:r>
          </w:p>
        </w:tc>
      </w:tr>
      <w:tr w:rsidR="005C6396" w:rsidRPr="002E1686" w:rsidTr="008F433A">
        <w:tc>
          <w:tcPr>
            <w:tcW w:w="1765" w:type="dxa"/>
          </w:tcPr>
          <w:p w:rsidR="005C6396" w:rsidRPr="002E1686" w:rsidRDefault="005C6396" w:rsidP="00BA35C2">
            <w:pPr>
              <w:spacing w:after="0" w:line="240" w:lineRule="auto"/>
              <w:jc w:val="both"/>
              <w:rPr>
                <w:rFonts w:ascii="ITC Avant Garde" w:eastAsia="Times New Roman" w:hAnsi="ITC Avant Garde"/>
                <w:bCs/>
                <w:lang w:eastAsia="es-MX"/>
              </w:rPr>
            </w:pPr>
          </w:p>
        </w:tc>
        <w:tc>
          <w:tcPr>
            <w:tcW w:w="1765" w:type="dxa"/>
          </w:tcPr>
          <w:p w:rsidR="005C6396" w:rsidRPr="002E1686" w:rsidRDefault="005C6396" w:rsidP="00BA35C2">
            <w:pPr>
              <w:spacing w:after="0" w:line="240" w:lineRule="auto"/>
              <w:jc w:val="both"/>
              <w:rPr>
                <w:rFonts w:ascii="ITC Avant Garde" w:eastAsia="Times New Roman" w:hAnsi="ITC Avant Garde"/>
                <w:b/>
                <w:bCs/>
                <w:lang w:eastAsia="es-MX"/>
              </w:rPr>
            </w:pPr>
            <w:r w:rsidRPr="002E1686">
              <w:rPr>
                <w:rFonts w:ascii="ITC Avant Garde" w:eastAsia="Times New Roman" w:hAnsi="ITC Avant Garde"/>
                <w:b/>
                <w:bCs/>
                <w:lang w:eastAsia="es-MX"/>
              </w:rPr>
              <w:t>TOTAL</w:t>
            </w:r>
          </w:p>
        </w:tc>
        <w:tc>
          <w:tcPr>
            <w:tcW w:w="1766" w:type="dxa"/>
          </w:tcPr>
          <w:p w:rsidR="005C6396" w:rsidRPr="002E1686" w:rsidRDefault="005C6396" w:rsidP="005C6396">
            <w:pPr>
              <w:spacing w:after="0" w:line="240" w:lineRule="auto"/>
              <w:jc w:val="right"/>
              <w:rPr>
                <w:rFonts w:ascii="ITC Avant Garde" w:eastAsia="Times New Roman" w:hAnsi="ITC Avant Garde"/>
                <w:b/>
                <w:bCs/>
                <w:lang w:eastAsia="es-MX"/>
              </w:rPr>
            </w:pPr>
            <w:r w:rsidRPr="002E1686">
              <w:rPr>
                <w:rFonts w:ascii="ITC Avant Garde" w:eastAsia="Times New Roman" w:hAnsi="ITC Avant Garde"/>
                <w:b/>
                <w:bCs/>
                <w:lang w:eastAsia="es-MX"/>
              </w:rPr>
              <w:t>$2,000</w:t>
            </w:r>
          </w:p>
        </w:tc>
        <w:tc>
          <w:tcPr>
            <w:tcW w:w="1766" w:type="dxa"/>
          </w:tcPr>
          <w:p w:rsidR="005C6396" w:rsidRPr="002E1686" w:rsidRDefault="005C6396" w:rsidP="005C6396">
            <w:pPr>
              <w:spacing w:after="0" w:line="240" w:lineRule="auto"/>
              <w:jc w:val="right"/>
              <w:rPr>
                <w:rFonts w:ascii="ITC Avant Garde" w:eastAsia="Times New Roman" w:hAnsi="ITC Avant Garde"/>
                <w:b/>
                <w:bCs/>
                <w:lang w:eastAsia="es-MX"/>
              </w:rPr>
            </w:pPr>
            <w:r w:rsidRPr="002E1686">
              <w:rPr>
                <w:rFonts w:ascii="ITC Avant Garde" w:eastAsia="Times New Roman" w:hAnsi="ITC Avant Garde"/>
                <w:b/>
                <w:bCs/>
                <w:lang w:eastAsia="es-MX"/>
              </w:rPr>
              <w:t>$2,000</w:t>
            </w:r>
          </w:p>
        </w:tc>
        <w:tc>
          <w:tcPr>
            <w:tcW w:w="1766" w:type="dxa"/>
          </w:tcPr>
          <w:p w:rsidR="005C6396" w:rsidRPr="002E1686" w:rsidRDefault="005C6396" w:rsidP="005C6396">
            <w:pPr>
              <w:spacing w:after="0" w:line="240" w:lineRule="auto"/>
              <w:jc w:val="right"/>
              <w:rPr>
                <w:rFonts w:ascii="ITC Avant Garde" w:eastAsia="Times New Roman" w:hAnsi="ITC Avant Garde"/>
                <w:b/>
                <w:bCs/>
                <w:lang w:eastAsia="es-MX"/>
              </w:rPr>
            </w:pPr>
            <w:r w:rsidRPr="002E1686">
              <w:rPr>
                <w:rFonts w:ascii="ITC Avant Garde" w:eastAsia="Times New Roman" w:hAnsi="ITC Avant Garde"/>
                <w:b/>
                <w:bCs/>
                <w:lang w:eastAsia="es-MX"/>
              </w:rPr>
              <w:t>$395.2</w:t>
            </w:r>
          </w:p>
        </w:tc>
      </w:tr>
    </w:tbl>
    <w:p w:rsidR="008B1F87" w:rsidRPr="002E1686" w:rsidRDefault="008B1F87" w:rsidP="00BA35C2">
      <w:pPr>
        <w:spacing w:after="0" w:line="240" w:lineRule="auto"/>
        <w:ind w:left="360"/>
        <w:jc w:val="both"/>
        <w:rPr>
          <w:rFonts w:ascii="ITC Avant Garde" w:eastAsia="Times New Roman" w:hAnsi="ITC Avant Garde"/>
          <w:b/>
          <w:bCs/>
          <w:lang w:eastAsia="es-MX"/>
        </w:rPr>
      </w:pPr>
    </w:p>
    <w:p w:rsidR="000F168B" w:rsidRPr="002E1686" w:rsidRDefault="000F168B" w:rsidP="00BA35C2">
      <w:pPr>
        <w:spacing w:after="0" w:line="240" w:lineRule="auto"/>
        <w:ind w:left="360"/>
        <w:jc w:val="both"/>
        <w:rPr>
          <w:rFonts w:ascii="ITC Avant Garde" w:eastAsia="Times New Roman" w:hAnsi="ITC Avant Garde"/>
          <w:b/>
          <w:bCs/>
          <w:lang w:eastAsia="es-MX"/>
        </w:rPr>
      </w:pPr>
    </w:p>
    <w:p w:rsidR="008B1F87" w:rsidRPr="002E1686" w:rsidRDefault="005C6396"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Número de Pólizas</w:t>
      </w:r>
    </w:p>
    <w:p w:rsidR="005C6396" w:rsidRPr="002E1686" w:rsidRDefault="005C6396" w:rsidP="00BA35C2">
      <w:pPr>
        <w:spacing w:after="0" w:line="240" w:lineRule="auto"/>
        <w:ind w:left="360"/>
        <w:jc w:val="both"/>
        <w:rPr>
          <w:rFonts w:ascii="ITC Avant Garde" w:eastAsia="Times New Roman" w:hAnsi="ITC Avant Garde"/>
          <w:b/>
          <w:bCs/>
          <w:lang w:eastAsia="es-MX"/>
        </w:rPr>
      </w:pPr>
    </w:p>
    <w:p w:rsidR="005C6396" w:rsidRPr="002E1686" w:rsidRDefault="000F168B" w:rsidP="00BA35C2">
      <w:pPr>
        <w:spacing w:after="0" w:line="240" w:lineRule="auto"/>
        <w:ind w:left="360"/>
        <w:jc w:val="both"/>
        <w:rPr>
          <w:rFonts w:ascii="ITC Avant Garde" w:eastAsia="Times New Roman" w:hAnsi="ITC Avant Garde"/>
          <w:b/>
          <w:bCs/>
          <w:lang w:eastAsia="es-MX"/>
        </w:rPr>
      </w:pPr>
      <w:r w:rsidRPr="002E1686">
        <w:rPr>
          <w:noProof/>
          <w:lang w:eastAsia="es-MX"/>
        </w:rPr>
        <w:drawing>
          <wp:inline distT="0" distB="0" distL="0" distR="0" wp14:anchorId="291C5F62" wp14:editId="4083EF5E">
            <wp:extent cx="3819525" cy="15335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9525" cy="1533525"/>
                    </a:xfrm>
                    <a:prstGeom prst="rect">
                      <a:avLst/>
                    </a:prstGeom>
                    <a:noFill/>
                    <a:ln>
                      <a:noFill/>
                    </a:ln>
                  </pic:spPr>
                </pic:pic>
              </a:graphicData>
            </a:graphic>
          </wp:inline>
        </w:drawing>
      </w:r>
    </w:p>
    <w:p w:rsidR="008B1F87" w:rsidRPr="002E1686" w:rsidRDefault="008B1F87" w:rsidP="00BA35C2">
      <w:pPr>
        <w:spacing w:after="0" w:line="240" w:lineRule="auto"/>
        <w:ind w:left="360"/>
        <w:jc w:val="both"/>
        <w:rPr>
          <w:rFonts w:ascii="ITC Avant Garde" w:eastAsia="Times New Roman" w:hAnsi="ITC Avant Garde"/>
          <w:b/>
          <w:bCs/>
          <w:lang w:eastAsia="es-MX"/>
        </w:rPr>
      </w:pPr>
    </w:p>
    <w:p w:rsidR="000F168B" w:rsidRPr="002E1686" w:rsidRDefault="000F168B"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
          <w:bCs/>
          <w:lang w:eastAsia="es-MX"/>
        </w:rPr>
        <w:t xml:space="preserve">Número de empleados en el </w:t>
      </w:r>
      <w:r w:rsidR="0064388F" w:rsidRPr="002E1686">
        <w:rPr>
          <w:rFonts w:ascii="ITC Avant Garde" w:eastAsia="Times New Roman" w:hAnsi="ITC Avant Garde"/>
          <w:b/>
          <w:bCs/>
          <w:lang w:eastAsia="es-MX"/>
        </w:rPr>
        <w:t>Instituto</w:t>
      </w:r>
      <w:r w:rsidRPr="002E1686">
        <w:rPr>
          <w:rFonts w:ascii="ITC Avant Garde" w:eastAsia="Times New Roman" w:hAnsi="ITC Avant Garde"/>
          <w:b/>
          <w:bCs/>
          <w:lang w:eastAsia="es-MX"/>
        </w:rPr>
        <w:t xml:space="preserve">: </w:t>
      </w:r>
      <w:r w:rsidR="00DF2082" w:rsidRPr="002E1686">
        <w:rPr>
          <w:rFonts w:ascii="ITC Avant Garde" w:eastAsia="Times New Roman" w:hAnsi="ITC Avant Garde"/>
          <w:bCs/>
          <w:lang w:eastAsia="es-MX"/>
        </w:rPr>
        <w:t>905</w:t>
      </w:r>
    </w:p>
    <w:p w:rsidR="000F168B" w:rsidRPr="002E1686" w:rsidRDefault="000F168B" w:rsidP="00BA35C2">
      <w:pPr>
        <w:spacing w:after="0" w:line="240" w:lineRule="auto"/>
        <w:ind w:left="360"/>
        <w:jc w:val="both"/>
        <w:rPr>
          <w:rFonts w:ascii="ITC Avant Garde" w:eastAsia="Times New Roman" w:hAnsi="ITC Avant Garde"/>
          <w:b/>
          <w:bCs/>
          <w:lang w:eastAsia="es-MX"/>
        </w:rPr>
      </w:pPr>
    </w:p>
    <w:p w:rsidR="008B1F87" w:rsidRPr="002E1686" w:rsidRDefault="008B1F87" w:rsidP="00BA35C2">
      <w:pPr>
        <w:spacing w:after="0" w:line="240" w:lineRule="auto"/>
        <w:ind w:left="360"/>
        <w:jc w:val="both"/>
        <w:rPr>
          <w:rFonts w:ascii="ITC Avant Garde" w:eastAsia="Times New Roman" w:hAnsi="ITC Avant Garde"/>
          <w:b/>
          <w:bCs/>
          <w:lang w:eastAsia="es-MX"/>
        </w:rPr>
      </w:pPr>
    </w:p>
    <w:p w:rsidR="0064388F" w:rsidRPr="002E1686" w:rsidRDefault="0064388F" w:rsidP="00BA35C2">
      <w:pPr>
        <w:spacing w:after="0" w:line="240" w:lineRule="auto"/>
        <w:ind w:left="360"/>
        <w:jc w:val="both"/>
        <w:rPr>
          <w:rFonts w:ascii="ITC Avant Garde" w:eastAsia="Times New Roman" w:hAnsi="ITC Avant Garde"/>
          <w:b/>
          <w:bCs/>
          <w:lang w:eastAsia="es-MX"/>
        </w:rPr>
      </w:pPr>
    </w:p>
    <w:p w:rsidR="000F168B" w:rsidRPr="002E1686" w:rsidRDefault="000F168B" w:rsidP="00BA35C2">
      <w:pPr>
        <w:spacing w:after="0" w:line="240" w:lineRule="auto"/>
        <w:ind w:left="360"/>
        <w:jc w:val="both"/>
        <w:rPr>
          <w:rFonts w:ascii="ITC Avant Garde" w:eastAsia="Times New Roman" w:hAnsi="ITC Avant Garde"/>
          <w:b/>
          <w:bCs/>
          <w:lang w:eastAsia="es-MX"/>
        </w:rPr>
      </w:pPr>
    </w:p>
    <w:p w:rsidR="000F168B" w:rsidRPr="002E1686" w:rsidRDefault="000F168B" w:rsidP="00BA35C2">
      <w:pPr>
        <w:spacing w:after="0" w:line="240" w:lineRule="auto"/>
        <w:ind w:left="360"/>
        <w:jc w:val="both"/>
        <w:rPr>
          <w:rFonts w:ascii="ITC Avant Garde" w:eastAsia="Times New Roman" w:hAnsi="ITC Avant Garde"/>
          <w:b/>
          <w:bCs/>
          <w:lang w:eastAsia="es-MX"/>
        </w:rPr>
      </w:pPr>
    </w:p>
    <w:p w:rsidR="000F168B" w:rsidRPr="002E1686" w:rsidRDefault="000F168B" w:rsidP="00BA35C2">
      <w:pPr>
        <w:spacing w:after="0" w:line="240" w:lineRule="auto"/>
        <w:ind w:left="360"/>
        <w:jc w:val="both"/>
        <w:rPr>
          <w:rFonts w:ascii="ITC Avant Garde" w:eastAsia="Times New Roman" w:hAnsi="ITC Avant Garde"/>
          <w:b/>
          <w:bCs/>
          <w:lang w:eastAsia="es-MX"/>
        </w:rPr>
      </w:pPr>
    </w:p>
    <w:p w:rsidR="000F168B" w:rsidRPr="002E1686" w:rsidRDefault="000F168B" w:rsidP="00BA35C2">
      <w:pPr>
        <w:spacing w:after="0" w:line="240" w:lineRule="auto"/>
        <w:ind w:left="360"/>
        <w:jc w:val="both"/>
        <w:rPr>
          <w:rFonts w:ascii="ITC Avant Garde" w:eastAsia="Times New Roman" w:hAnsi="ITC Avant Garde"/>
          <w:b/>
          <w:bCs/>
          <w:lang w:eastAsia="es-MX"/>
        </w:rPr>
      </w:pPr>
    </w:p>
    <w:p w:rsidR="000F168B" w:rsidRPr="002E1686" w:rsidRDefault="000F168B" w:rsidP="00BA35C2">
      <w:pPr>
        <w:spacing w:after="0" w:line="240" w:lineRule="auto"/>
        <w:ind w:left="360"/>
        <w:jc w:val="both"/>
        <w:rPr>
          <w:rFonts w:ascii="ITC Avant Garde" w:eastAsia="Times New Roman" w:hAnsi="ITC Avant Garde"/>
          <w:b/>
          <w:bCs/>
          <w:lang w:eastAsia="es-MX"/>
        </w:rPr>
      </w:pPr>
    </w:p>
    <w:p w:rsidR="00BA35C2" w:rsidRPr="002E1686" w:rsidRDefault="00BA35C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lastRenderedPageBreak/>
        <w:t>F</w:t>
      </w:r>
      <w:r w:rsidR="00F56C2B" w:rsidRPr="002E1686">
        <w:rPr>
          <w:rFonts w:ascii="ITC Avant Garde" w:eastAsia="Times New Roman" w:hAnsi="ITC Avant Garde"/>
          <w:b/>
          <w:bCs/>
          <w:lang w:eastAsia="es-MX"/>
        </w:rPr>
        <w:t xml:space="preserve">echa </w:t>
      </w:r>
      <w:r w:rsidR="000F7E95" w:rsidRPr="002E1686">
        <w:rPr>
          <w:rFonts w:ascii="ITC Avant Garde" w:eastAsia="Times New Roman" w:hAnsi="ITC Avant Garde"/>
          <w:b/>
          <w:bCs/>
          <w:lang w:eastAsia="es-MX"/>
        </w:rPr>
        <w:t>para la entrega de los Servicios</w:t>
      </w:r>
      <w:r w:rsidRPr="002E1686">
        <w:rPr>
          <w:rFonts w:ascii="ITC Avant Garde" w:eastAsia="Times New Roman" w:hAnsi="ITC Avant Garde"/>
          <w:b/>
          <w:bCs/>
          <w:lang w:eastAsia="es-MX"/>
        </w:rPr>
        <w:t>:</w:t>
      </w:r>
      <w:r w:rsidR="006F3CE0" w:rsidRPr="002E1686">
        <w:rPr>
          <w:rFonts w:ascii="ITC Avant Garde" w:eastAsia="Times New Roman" w:hAnsi="ITC Avant Garde"/>
          <w:b/>
          <w:bCs/>
          <w:lang w:eastAsia="es-MX"/>
        </w:rPr>
        <w:t xml:space="preserve"> </w:t>
      </w:r>
    </w:p>
    <w:p w:rsidR="00553434" w:rsidRPr="002E1686" w:rsidRDefault="00553434" w:rsidP="00BA35C2">
      <w:pPr>
        <w:spacing w:after="0" w:line="240" w:lineRule="auto"/>
        <w:ind w:left="360"/>
        <w:jc w:val="both"/>
        <w:rPr>
          <w:rFonts w:ascii="ITC Avant Garde" w:eastAsia="Times New Roman" w:hAnsi="ITC Avant Garde"/>
          <w:bCs/>
          <w:lang w:eastAsia="es-MX"/>
        </w:rPr>
      </w:pPr>
    </w:p>
    <w:tbl>
      <w:tblPr>
        <w:tblW w:w="74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3"/>
        <w:gridCol w:w="2835"/>
      </w:tblGrid>
      <w:tr w:rsidR="00A71432" w:rsidRPr="002E1686" w:rsidTr="00A71432">
        <w:trPr>
          <w:cantSplit/>
        </w:trPr>
        <w:tc>
          <w:tcPr>
            <w:tcW w:w="4603" w:type="dxa"/>
            <w:tcBorders>
              <w:top w:val="single" w:sz="4" w:space="0" w:color="auto"/>
              <w:bottom w:val="single" w:sz="4" w:space="0" w:color="auto"/>
            </w:tcBorders>
          </w:tcPr>
          <w:p w:rsidR="00A71432" w:rsidRPr="002E1686" w:rsidRDefault="00A71432" w:rsidP="00A71432">
            <w:pPr>
              <w:spacing w:before="40" w:after="40"/>
              <w:jc w:val="center"/>
              <w:rPr>
                <w:rFonts w:ascii="Arial" w:eastAsia="Times New Roman" w:hAnsi="Arial" w:cs="Arial"/>
                <w:b/>
                <w:lang w:eastAsia="es-ES"/>
              </w:rPr>
            </w:pPr>
            <w:r w:rsidRPr="002E1686">
              <w:rPr>
                <w:rFonts w:ascii="Arial" w:eastAsia="Times New Roman" w:hAnsi="Arial" w:cs="Arial"/>
                <w:b/>
                <w:lang w:eastAsia="es-ES"/>
              </w:rPr>
              <w:t>NOMBRE DEL INFORME O DICTAMEN</w:t>
            </w:r>
          </w:p>
        </w:tc>
        <w:tc>
          <w:tcPr>
            <w:tcW w:w="2835" w:type="dxa"/>
          </w:tcPr>
          <w:p w:rsidR="00A71432" w:rsidRPr="002E1686" w:rsidRDefault="00A71432" w:rsidP="00A71432">
            <w:pPr>
              <w:jc w:val="center"/>
              <w:rPr>
                <w:rFonts w:ascii="Arial" w:eastAsia="Times New Roman" w:hAnsi="Arial" w:cs="Arial"/>
                <w:b/>
                <w:lang w:eastAsia="es-ES"/>
              </w:rPr>
            </w:pPr>
            <w:r w:rsidRPr="002E1686">
              <w:rPr>
                <w:rFonts w:ascii="Arial" w:eastAsia="Times New Roman" w:hAnsi="Arial" w:cs="Arial"/>
                <w:b/>
                <w:lang w:eastAsia="es-ES"/>
              </w:rPr>
              <w:t>FECHA DE ENTREGA</w:t>
            </w:r>
          </w:p>
        </w:tc>
      </w:tr>
      <w:tr w:rsidR="00553434" w:rsidRPr="002E1686" w:rsidTr="00A71432">
        <w:trPr>
          <w:cantSplit/>
        </w:trPr>
        <w:tc>
          <w:tcPr>
            <w:tcW w:w="4603" w:type="dxa"/>
            <w:tcBorders>
              <w:top w:val="single" w:sz="4" w:space="0" w:color="auto"/>
              <w:bottom w:val="single" w:sz="4" w:space="0" w:color="auto"/>
            </w:tcBorders>
          </w:tcPr>
          <w:p w:rsidR="00553434" w:rsidRPr="002E1686" w:rsidRDefault="00553434" w:rsidP="00001949">
            <w:pPr>
              <w:rPr>
                <w:rFonts w:ascii="ITC Avant Garde" w:eastAsia="Times New Roman" w:hAnsi="ITC Avant Garde"/>
                <w:bCs/>
                <w:lang w:eastAsia="es-MX"/>
              </w:rPr>
            </w:pPr>
            <w:r w:rsidRPr="002E1686">
              <w:rPr>
                <w:rFonts w:ascii="ITC Avant Garde" w:eastAsia="Times New Roman" w:hAnsi="ITC Avant Garde"/>
                <w:bCs/>
                <w:lang w:eastAsia="es-MX"/>
              </w:rPr>
              <w:t>Carta de observaciones preliminar</w:t>
            </w:r>
          </w:p>
        </w:tc>
        <w:tc>
          <w:tcPr>
            <w:tcW w:w="2835" w:type="dxa"/>
          </w:tcPr>
          <w:p w:rsidR="00553434" w:rsidRPr="002E1686" w:rsidRDefault="00553434" w:rsidP="00D4054E">
            <w:pPr>
              <w:rPr>
                <w:rFonts w:ascii="ITC Avant Garde" w:eastAsia="Times New Roman" w:hAnsi="ITC Avant Garde"/>
                <w:bCs/>
                <w:lang w:eastAsia="es-MX"/>
              </w:rPr>
            </w:pPr>
            <w:r w:rsidRPr="002E1686">
              <w:rPr>
                <w:rFonts w:ascii="ITC Avant Garde" w:eastAsia="Times New Roman" w:hAnsi="ITC Avant Garde"/>
                <w:bCs/>
                <w:lang w:eastAsia="es-MX"/>
              </w:rPr>
              <w:t>11 diciembre de 2014.</w:t>
            </w:r>
          </w:p>
        </w:tc>
      </w:tr>
      <w:tr w:rsidR="00A71432" w:rsidRPr="002E1686" w:rsidTr="00A71432">
        <w:trPr>
          <w:cantSplit/>
        </w:trPr>
        <w:tc>
          <w:tcPr>
            <w:tcW w:w="4603" w:type="dxa"/>
            <w:tcBorders>
              <w:top w:val="single" w:sz="4" w:space="0" w:color="auto"/>
              <w:bottom w:val="single" w:sz="4" w:space="0" w:color="auto"/>
            </w:tcBorders>
          </w:tcPr>
          <w:p w:rsidR="00A71432" w:rsidRPr="002E1686" w:rsidRDefault="00BC473C" w:rsidP="00001949">
            <w:pPr>
              <w:rPr>
                <w:rFonts w:ascii="ITC Avant Garde" w:eastAsia="Times New Roman" w:hAnsi="ITC Avant Garde"/>
                <w:bCs/>
                <w:lang w:eastAsia="es-MX"/>
              </w:rPr>
            </w:pPr>
            <w:r w:rsidRPr="002E1686">
              <w:rPr>
                <w:rFonts w:ascii="ITC Avant Garde" w:eastAsia="Times New Roman" w:hAnsi="ITC Avant Garde"/>
                <w:bCs/>
                <w:lang w:eastAsia="es-MX"/>
              </w:rPr>
              <w:t xml:space="preserve">Informe </w:t>
            </w:r>
            <w:r w:rsidR="006468C0" w:rsidRPr="002E1686">
              <w:rPr>
                <w:rFonts w:ascii="ITC Avant Garde" w:eastAsia="Times New Roman" w:hAnsi="ITC Avant Garde"/>
                <w:bCs/>
                <w:lang w:eastAsia="es-MX"/>
              </w:rPr>
              <w:t>del Auditor Independiente</w:t>
            </w:r>
            <w:r w:rsidR="00A71432" w:rsidRPr="002E1686">
              <w:rPr>
                <w:rFonts w:ascii="ITC Avant Garde" w:eastAsia="Times New Roman" w:hAnsi="ITC Avant Garde"/>
                <w:bCs/>
                <w:lang w:eastAsia="es-MX"/>
              </w:rPr>
              <w:t xml:space="preserve"> </w:t>
            </w:r>
          </w:p>
        </w:tc>
        <w:tc>
          <w:tcPr>
            <w:tcW w:w="2835" w:type="dxa"/>
          </w:tcPr>
          <w:p w:rsidR="00A71432" w:rsidRPr="002E1686" w:rsidRDefault="00D4054E" w:rsidP="00D4054E">
            <w:pPr>
              <w:rPr>
                <w:rFonts w:ascii="ITC Avant Garde" w:eastAsia="Times New Roman" w:hAnsi="ITC Avant Garde"/>
                <w:bCs/>
                <w:lang w:eastAsia="es-MX"/>
              </w:rPr>
            </w:pPr>
            <w:r w:rsidRPr="002E1686">
              <w:rPr>
                <w:rFonts w:ascii="ITC Avant Garde" w:eastAsia="Times New Roman" w:hAnsi="ITC Avant Garde"/>
                <w:bCs/>
                <w:lang w:eastAsia="es-MX"/>
              </w:rPr>
              <w:t xml:space="preserve">27 </w:t>
            </w:r>
            <w:r w:rsidR="000F7E95" w:rsidRPr="002E1686">
              <w:rPr>
                <w:rFonts w:ascii="ITC Avant Garde" w:eastAsia="Times New Roman" w:hAnsi="ITC Avant Garde"/>
                <w:bCs/>
                <w:lang w:eastAsia="es-MX"/>
              </w:rPr>
              <w:t xml:space="preserve">de </w:t>
            </w:r>
            <w:r w:rsidRPr="002E1686">
              <w:rPr>
                <w:rFonts w:ascii="ITC Avant Garde" w:eastAsia="Times New Roman" w:hAnsi="ITC Avant Garde"/>
                <w:bCs/>
                <w:lang w:eastAsia="es-MX"/>
              </w:rPr>
              <w:t xml:space="preserve">febrero </w:t>
            </w:r>
            <w:r w:rsidR="000F7E95" w:rsidRPr="002E1686">
              <w:rPr>
                <w:rFonts w:ascii="ITC Avant Garde" w:eastAsia="Times New Roman" w:hAnsi="ITC Avant Garde"/>
                <w:bCs/>
                <w:lang w:eastAsia="es-MX"/>
              </w:rPr>
              <w:t>de 2015</w:t>
            </w:r>
          </w:p>
        </w:tc>
      </w:tr>
      <w:tr w:rsidR="00553434" w:rsidRPr="002E1686" w:rsidTr="00A71432">
        <w:trPr>
          <w:cantSplit/>
          <w:trHeight w:val="289"/>
        </w:trPr>
        <w:tc>
          <w:tcPr>
            <w:tcW w:w="4603" w:type="dxa"/>
            <w:tcBorders>
              <w:bottom w:val="single" w:sz="4" w:space="0" w:color="auto"/>
            </w:tcBorders>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Informe sobre la Revisión de las Operaciones Reportables Relacionadas con Adquisiciones, Arrendamientos y Servicios del Sector Público, y de Obras Públicas y Servicios Relacionados con las Mismas</w:t>
            </w:r>
          </w:p>
        </w:tc>
        <w:tc>
          <w:tcPr>
            <w:tcW w:w="2835" w:type="dxa"/>
            <w:tcBorders>
              <w:bottom w:val="single" w:sz="4" w:space="0" w:color="auto"/>
            </w:tcBorders>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15 de abril de 2015</w:t>
            </w:r>
          </w:p>
        </w:tc>
      </w:tr>
      <w:tr w:rsidR="00553434" w:rsidRPr="002E1686" w:rsidTr="00A71432">
        <w:trPr>
          <w:cantSplit/>
          <w:trHeight w:val="289"/>
        </w:trPr>
        <w:tc>
          <w:tcPr>
            <w:tcW w:w="4603" w:type="dxa"/>
            <w:tcBorders>
              <w:bottom w:val="single" w:sz="4" w:space="0" w:color="auto"/>
            </w:tcBorders>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Dictamen Presupuestal</w:t>
            </w:r>
          </w:p>
        </w:tc>
        <w:tc>
          <w:tcPr>
            <w:tcW w:w="2835" w:type="dxa"/>
            <w:tcBorders>
              <w:bottom w:val="single" w:sz="4" w:space="0" w:color="auto"/>
            </w:tcBorders>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15 de mayo de 2015</w:t>
            </w:r>
          </w:p>
        </w:tc>
      </w:tr>
      <w:tr w:rsidR="00553434" w:rsidRPr="002E1686" w:rsidTr="00A71432">
        <w:trPr>
          <w:cantSplit/>
        </w:trPr>
        <w:tc>
          <w:tcPr>
            <w:tcW w:w="4603" w:type="dxa"/>
            <w:tcBorders>
              <w:top w:val="single" w:sz="4" w:space="0" w:color="auto"/>
              <w:bottom w:val="single" w:sz="4" w:space="0" w:color="auto"/>
            </w:tcBorders>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Carta de observaciones definitiva</w:t>
            </w:r>
          </w:p>
        </w:tc>
        <w:tc>
          <w:tcPr>
            <w:tcW w:w="2835" w:type="dxa"/>
            <w:tcBorders>
              <w:top w:val="single" w:sz="4" w:space="0" w:color="auto"/>
              <w:bottom w:val="single" w:sz="4" w:space="0" w:color="auto"/>
            </w:tcBorders>
            <w:shd w:val="clear" w:color="auto" w:fill="auto"/>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29 de mayo de 2015.</w:t>
            </w:r>
          </w:p>
        </w:tc>
      </w:tr>
      <w:tr w:rsidR="00553434" w:rsidRPr="002E1686" w:rsidTr="000F7E95">
        <w:trPr>
          <w:cantSplit/>
        </w:trPr>
        <w:tc>
          <w:tcPr>
            <w:tcW w:w="4603" w:type="dxa"/>
            <w:tcBorders>
              <w:top w:val="single" w:sz="4" w:space="0" w:color="auto"/>
              <w:bottom w:val="single" w:sz="4" w:space="0" w:color="auto"/>
            </w:tcBorders>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 xml:space="preserve">Informe de Irregularidades </w:t>
            </w:r>
          </w:p>
          <w:p w:rsidR="00553434" w:rsidRPr="002E1686" w:rsidRDefault="00553434" w:rsidP="00553434">
            <w:pPr>
              <w:rPr>
                <w:rFonts w:ascii="ITC Avant Garde" w:eastAsia="Times New Roman" w:hAnsi="ITC Avant Garde"/>
                <w:bCs/>
                <w:lang w:eastAsia="es-MX"/>
              </w:rPr>
            </w:pPr>
          </w:p>
        </w:tc>
        <w:tc>
          <w:tcPr>
            <w:tcW w:w="2835" w:type="dxa"/>
            <w:tcBorders>
              <w:top w:val="single" w:sz="4" w:space="0" w:color="auto"/>
              <w:bottom w:val="single" w:sz="4" w:space="0" w:color="auto"/>
            </w:tcBorders>
            <w:shd w:val="clear" w:color="auto" w:fill="auto"/>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29 de mayo de 2015.</w:t>
            </w:r>
          </w:p>
        </w:tc>
      </w:tr>
      <w:tr w:rsidR="00553434" w:rsidRPr="002E1686" w:rsidTr="009C559B">
        <w:trPr>
          <w:cantSplit/>
        </w:trPr>
        <w:tc>
          <w:tcPr>
            <w:tcW w:w="4603" w:type="dxa"/>
            <w:tcBorders>
              <w:top w:val="single" w:sz="4" w:space="0" w:color="auto"/>
              <w:bottom w:val="single" w:sz="4" w:space="0" w:color="auto"/>
            </w:tcBorders>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Dictamen sobre el cumplimiento de obligaciones fiscales establecidas en el Código Financiero del Distrito Federal</w:t>
            </w:r>
          </w:p>
        </w:tc>
        <w:tc>
          <w:tcPr>
            <w:tcW w:w="2835" w:type="dxa"/>
          </w:tcPr>
          <w:p w:rsidR="00553434" w:rsidRPr="002E1686" w:rsidRDefault="00553434" w:rsidP="00553434">
            <w:pPr>
              <w:rPr>
                <w:rFonts w:ascii="Arial" w:eastAsia="Times New Roman" w:hAnsi="Arial" w:cs="Arial"/>
                <w:lang w:eastAsia="es-ES"/>
              </w:rPr>
            </w:pPr>
            <w:r w:rsidRPr="002E1686">
              <w:rPr>
                <w:rFonts w:ascii="ITC Avant Garde" w:eastAsia="Times New Roman" w:hAnsi="ITC Avant Garde"/>
                <w:bCs/>
                <w:lang w:eastAsia="es-MX"/>
              </w:rPr>
              <w:t>Una vez presentado el dictamen ante las  autoridades competentes, se tendrán 3 días hábiles para entregarlo al Instituto.</w:t>
            </w:r>
          </w:p>
        </w:tc>
      </w:tr>
      <w:tr w:rsidR="00553434" w:rsidRPr="002E1686" w:rsidTr="009C559B">
        <w:trPr>
          <w:cantSplit/>
        </w:trPr>
        <w:tc>
          <w:tcPr>
            <w:tcW w:w="4603" w:type="dxa"/>
            <w:tcBorders>
              <w:top w:val="single" w:sz="4" w:space="0" w:color="auto"/>
              <w:bottom w:val="single" w:sz="4" w:space="0" w:color="auto"/>
            </w:tcBorders>
          </w:tcPr>
          <w:p w:rsidR="00553434" w:rsidRPr="002E1686" w:rsidRDefault="00553434" w:rsidP="00553434">
            <w:pPr>
              <w:rPr>
                <w:rFonts w:ascii="ITC Avant Garde" w:eastAsia="Times New Roman" w:hAnsi="ITC Avant Garde"/>
                <w:bCs/>
                <w:lang w:eastAsia="es-MX"/>
              </w:rPr>
            </w:pPr>
            <w:r w:rsidRPr="002E1686">
              <w:rPr>
                <w:rFonts w:ascii="ITC Avant Garde" w:eastAsia="Times New Roman" w:hAnsi="ITC Avant Garde"/>
                <w:bCs/>
                <w:lang w:eastAsia="es-MX"/>
              </w:rPr>
              <w:t>Informe Ejecutivo y Propuestas de Mejora.</w:t>
            </w:r>
          </w:p>
        </w:tc>
        <w:tc>
          <w:tcPr>
            <w:tcW w:w="2835" w:type="dxa"/>
          </w:tcPr>
          <w:p w:rsidR="00553434" w:rsidRPr="002E1686" w:rsidRDefault="00553434" w:rsidP="00553434">
            <w:pPr>
              <w:rPr>
                <w:rFonts w:ascii="Arial" w:eastAsia="Times New Roman" w:hAnsi="Arial" w:cs="Arial"/>
                <w:lang w:eastAsia="es-ES"/>
              </w:rPr>
            </w:pPr>
            <w:r w:rsidRPr="002E1686">
              <w:rPr>
                <w:rFonts w:ascii="ITC Avant Garde" w:eastAsia="Times New Roman" w:hAnsi="ITC Avant Garde"/>
                <w:bCs/>
                <w:lang w:eastAsia="es-MX"/>
              </w:rPr>
              <w:t>5 de junio de 2015.</w:t>
            </w:r>
          </w:p>
        </w:tc>
      </w:tr>
    </w:tbl>
    <w:p w:rsidR="00F56C2B" w:rsidRPr="002E1686" w:rsidRDefault="00F56C2B" w:rsidP="00EB1CA5">
      <w:pPr>
        <w:spacing w:after="0" w:line="240" w:lineRule="auto"/>
        <w:ind w:left="142"/>
        <w:jc w:val="both"/>
        <w:rPr>
          <w:rFonts w:ascii="ITC Avant Garde" w:eastAsia="Times New Roman" w:hAnsi="ITC Avant Garde"/>
          <w:b/>
          <w:bCs/>
          <w:lang w:eastAsia="es-MX"/>
        </w:rPr>
      </w:pPr>
    </w:p>
    <w:p w:rsidR="00F56C2B" w:rsidRPr="002E1686" w:rsidRDefault="00F56C2B" w:rsidP="00EB1CA5">
      <w:pPr>
        <w:spacing w:after="0" w:line="240" w:lineRule="auto"/>
        <w:ind w:left="142"/>
        <w:jc w:val="both"/>
        <w:rPr>
          <w:rFonts w:ascii="ITC Avant Garde" w:eastAsia="Times New Roman" w:hAnsi="ITC Avant Garde"/>
          <w:b/>
          <w:bCs/>
          <w:lang w:eastAsia="es-MX"/>
        </w:rPr>
      </w:pPr>
    </w:p>
    <w:p w:rsidR="00F56C2B" w:rsidRPr="002E1686" w:rsidRDefault="00F56C2B" w:rsidP="00EB1CA5">
      <w:pPr>
        <w:spacing w:after="0" w:line="240" w:lineRule="auto"/>
        <w:ind w:left="142"/>
        <w:jc w:val="both"/>
        <w:rPr>
          <w:rFonts w:ascii="ITC Avant Garde" w:eastAsia="Times New Roman" w:hAnsi="ITC Avant Garde"/>
          <w:b/>
          <w:bCs/>
          <w:lang w:eastAsia="es-MX"/>
        </w:rPr>
      </w:pPr>
    </w:p>
    <w:p w:rsidR="00CD764D" w:rsidRPr="002E1686" w:rsidRDefault="00CD764D" w:rsidP="00EB1CA5">
      <w:pPr>
        <w:spacing w:after="0" w:line="240" w:lineRule="auto"/>
        <w:ind w:left="142"/>
        <w:jc w:val="both"/>
        <w:rPr>
          <w:rFonts w:ascii="ITC Avant Garde" w:eastAsia="Times New Roman" w:hAnsi="ITC Avant Garde"/>
          <w:b/>
          <w:bCs/>
          <w:lang w:eastAsia="es-MX"/>
        </w:rPr>
      </w:pPr>
    </w:p>
    <w:p w:rsidR="00CD764D" w:rsidRPr="002E1686" w:rsidRDefault="00CD764D" w:rsidP="00EB1CA5">
      <w:pPr>
        <w:spacing w:after="0" w:line="240" w:lineRule="auto"/>
        <w:ind w:left="142"/>
        <w:jc w:val="both"/>
        <w:rPr>
          <w:rFonts w:ascii="ITC Avant Garde" w:eastAsia="Times New Roman" w:hAnsi="ITC Avant Garde"/>
          <w:b/>
          <w:bCs/>
          <w:lang w:eastAsia="es-MX"/>
        </w:rPr>
      </w:pPr>
    </w:p>
    <w:p w:rsidR="00CD764D" w:rsidRDefault="00CD764D" w:rsidP="00EB1CA5">
      <w:pPr>
        <w:spacing w:after="0" w:line="240" w:lineRule="auto"/>
        <w:ind w:left="142"/>
        <w:jc w:val="both"/>
        <w:rPr>
          <w:rFonts w:ascii="ITC Avant Garde" w:eastAsia="Times New Roman" w:hAnsi="ITC Avant Garde"/>
          <w:b/>
          <w:bCs/>
          <w:lang w:eastAsia="es-MX"/>
        </w:rPr>
      </w:pPr>
    </w:p>
    <w:p w:rsidR="002E1686" w:rsidRDefault="002E1686" w:rsidP="00EB1CA5">
      <w:pPr>
        <w:spacing w:after="0" w:line="240" w:lineRule="auto"/>
        <w:ind w:left="142"/>
        <w:jc w:val="both"/>
        <w:rPr>
          <w:rFonts w:ascii="ITC Avant Garde" w:eastAsia="Times New Roman" w:hAnsi="ITC Avant Garde"/>
          <w:b/>
          <w:bCs/>
          <w:lang w:eastAsia="es-MX"/>
        </w:rPr>
      </w:pPr>
    </w:p>
    <w:p w:rsidR="002E1686" w:rsidRPr="002E1686" w:rsidRDefault="002E1686" w:rsidP="00EB1CA5">
      <w:pPr>
        <w:spacing w:after="0" w:line="240" w:lineRule="auto"/>
        <w:ind w:left="142"/>
        <w:jc w:val="both"/>
        <w:rPr>
          <w:rFonts w:ascii="ITC Avant Garde" w:eastAsia="Times New Roman" w:hAnsi="ITC Avant Garde"/>
          <w:b/>
          <w:bCs/>
          <w:lang w:eastAsia="es-MX"/>
        </w:rPr>
      </w:pPr>
    </w:p>
    <w:p w:rsidR="00CD764D" w:rsidRPr="002E1686" w:rsidRDefault="00CD764D" w:rsidP="00EB1CA5">
      <w:pPr>
        <w:spacing w:after="0" w:line="240" w:lineRule="auto"/>
        <w:ind w:left="142"/>
        <w:jc w:val="both"/>
        <w:rPr>
          <w:rFonts w:ascii="ITC Avant Garde" w:eastAsia="Times New Roman" w:hAnsi="ITC Avant Garde"/>
          <w:b/>
          <w:bCs/>
          <w:lang w:eastAsia="es-MX"/>
        </w:rPr>
      </w:pPr>
    </w:p>
    <w:p w:rsidR="00B40030" w:rsidRPr="002E1686" w:rsidRDefault="00B40030" w:rsidP="00EB1CA5">
      <w:pPr>
        <w:spacing w:after="0" w:line="240" w:lineRule="auto"/>
        <w:ind w:left="142"/>
        <w:jc w:val="both"/>
        <w:rPr>
          <w:rFonts w:ascii="ITC Avant Garde" w:eastAsia="Times New Roman" w:hAnsi="ITC Avant Garde"/>
          <w:b/>
          <w:bCs/>
          <w:lang w:eastAsia="es-MX"/>
        </w:rPr>
      </w:pPr>
    </w:p>
    <w:p w:rsidR="00CD764D" w:rsidRPr="002E1686" w:rsidRDefault="00CD764D" w:rsidP="00EB1CA5">
      <w:pPr>
        <w:spacing w:after="0" w:line="240" w:lineRule="auto"/>
        <w:ind w:left="142"/>
        <w:jc w:val="both"/>
        <w:rPr>
          <w:rFonts w:ascii="ITC Avant Garde" w:eastAsia="Times New Roman" w:hAnsi="ITC Avant Garde"/>
          <w:b/>
          <w:bCs/>
          <w:lang w:eastAsia="es-MX"/>
        </w:rPr>
      </w:pPr>
    </w:p>
    <w:p w:rsidR="00F56C2B" w:rsidRPr="002E1686" w:rsidRDefault="00F56C2B" w:rsidP="00EB1CA5">
      <w:pPr>
        <w:spacing w:after="0" w:line="240" w:lineRule="auto"/>
        <w:ind w:left="142"/>
        <w:jc w:val="both"/>
        <w:rPr>
          <w:rFonts w:ascii="ITC Avant Garde" w:eastAsia="Times New Roman" w:hAnsi="ITC Avant Garde"/>
          <w:b/>
          <w:bCs/>
          <w:lang w:eastAsia="es-MX"/>
        </w:rPr>
      </w:pPr>
    </w:p>
    <w:p w:rsidR="00EB1CA5" w:rsidRPr="002E1686" w:rsidRDefault="00EB1CA5" w:rsidP="00EB1CA5">
      <w:pPr>
        <w:spacing w:after="0" w:line="240" w:lineRule="auto"/>
        <w:ind w:left="142"/>
        <w:jc w:val="both"/>
        <w:rPr>
          <w:rFonts w:ascii="ITC Avant Garde" w:eastAsia="Times New Roman" w:hAnsi="ITC Avant Garde"/>
          <w:b/>
          <w:bCs/>
          <w:lang w:eastAsia="es-MX"/>
        </w:rPr>
      </w:pPr>
      <w:r w:rsidRPr="002E1686">
        <w:rPr>
          <w:rFonts w:ascii="ITC Avant Garde" w:eastAsia="Times New Roman" w:hAnsi="ITC Avant Garde"/>
          <w:b/>
          <w:bCs/>
          <w:lang w:eastAsia="es-MX"/>
        </w:rPr>
        <w:lastRenderedPageBreak/>
        <w:t>Condiciones para la prestación de los servicios</w:t>
      </w:r>
    </w:p>
    <w:p w:rsidR="00EB1CA5" w:rsidRPr="002E1686" w:rsidRDefault="00EB1CA5" w:rsidP="00EB1CA5">
      <w:pPr>
        <w:spacing w:after="0" w:line="240" w:lineRule="auto"/>
        <w:ind w:left="142"/>
        <w:jc w:val="both"/>
        <w:rPr>
          <w:rFonts w:ascii="ITC Avant Garde" w:eastAsia="Times New Roman" w:hAnsi="ITC Avant Garde"/>
          <w:b/>
          <w:bCs/>
          <w:lang w:eastAsia="es-MX"/>
        </w:rPr>
      </w:pPr>
    </w:p>
    <w:p w:rsidR="00EB1CA5" w:rsidRPr="002E1686" w:rsidRDefault="00EB1CA5" w:rsidP="00EB1CA5">
      <w:pPr>
        <w:spacing w:after="0" w:line="240" w:lineRule="auto"/>
        <w:ind w:left="142"/>
        <w:jc w:val="both"/>
        <w:rPr>
          <w:rFonts w:ascii="ITC Avant Garde" w:eastAsia="Times New Roman" w:hAnsi="ITC Avant Garde"/>
          <w:bCs/>
          <w:lang w:eastAsia="es-MX"/>
        </w:rPr>
      </w:pPr>
      <w:r w:rsidRPr="002E1686">
        <w:rPr>
          <w:rFonts w:ascii="ITC Avant Garde" w:eastAsia="Times New Roman" w:hAnsi="ITC Avant Garde"/>
          <w:bCs/>
          <w:lang w:eastAsia="es-MX"/>
        </w:rPr>
        <w:t>El Despacho prestará los Servicios conforme a los siguientes requerimientos y especificaciones:</w:t>
      </w:r>
    </w:p>
    <w:p w:rsidR="00EB1CA5" w:rsidRPr="002E1686" w:rsidRDefault="00EB1CA5" w:rsidP="00EB1CA5">
      <w:pPr>
        <w:spacing w:after="0" w:line="240" w:lineRule="auto"/>
        <w:ind w:left="142"/>
        <w:jc w:val="both"/>
        <w:rPr>
          <w:rFonts w:ascii="ITC Avant Garde" w:eastAsia="Times New Roman" w:hAnsi="ITC Avant Garde"/>
          <w:bCs/>
          <w:lang w:eastAsia="es-MX"/>
        </w:rPr>
      </w:pPr>
    </w:p>
    <w:p w:rsidR="00EB1CA5" w:rsidRPr="002E1686" w:rsidRDefault="00EB1CA5" w:rsidP="00EB1CA5">
      <w:pPr>
        <w:spacing w:after="0" w:line="240" w:lineRule="auto"/>
        <w:ind w:left="142"/>
        <w:jc w:val="both"/>
        <w:rPr>
          <w:rFonts w:ascii="ITC Avant Garde" w:eastAsia="Times New Roman" w:hAnsi="ITC Avant Garde"/>
          <w:bCs/>
          <w:lang w:eastAsia="es-MX"/>
        </w:rPr>
      </w:pPr>
      <w:r w:rsidRPr="002E1686">
        <w:rPr>
          <w:rFonts w:ascii="ITC Avant Garde" w:eastAsia="Times New Roman" w:hAnsi="ITC Avant Garde"/>
          <w:bCs/>
          <w:lang w:eastAsia="es-MX"/>
        </w:rPr>
        <w:t>Al día hábil siguiente a la notificación de la adjudicación, el Despacho deberá presentar su requerimiento inicial de información.</w:t>
      </w:r>
    </w:p>
    <w:p w:rsidR="00EB1CA5" w:rsidRPr="002E1686" w:rsidRDefault="00EB1CA5" w:rsidP="00EB1CA5">
      <w:pPr>
        <w:spacing w:after="0" w:line="240" w:lineRule="auto"/>
        <w:ind w:left="142"/>
        <w:jc w:val="both"/>
        <w:rPr>
          <w:rFonts w:ascii="ITC Avant Garde" w:eastAsia="Times New Roman" w:hAnsi="ITC Avant Garde"/>
          <w:bCs/>
          <w:lang w:eastAsia="es-MX"/>
        </w:rPr>
      </w:pPr>
    </w:p>
    <w:p w:rsidR="00EB1CA5" w:rsidRPr="002E1686" w:rsidRDefault="00EB1CA5" w:rsidP="00EB1CA5">
      <w:pPr>
        <w:spacing w:after="0" w:line="240" w:lineRule="auto"/>
        <w:ind w:left="142"/>
        <w:jc w:val="both"/>
        <w:rPr>
          <w:rFonts w:ascii="ITC Avant Garde" w:eastAsia="Times New Roman" w:hAnsi="ITC Avant Garde"/>
          <w:bCs/>
          <w:lang w:eastAsia="es-MX"/>
        </w:rPr>
      </w:pPr>
      <w:r w:rsidRPr="002E1686">
        <w:rPr>
          <w:rFonts w:ascii="ITC Avant Garde" w:eastAsia="Times New Roman" w:hAnsi="ITC Avant Garde"/>
          <w:bCs/>
          <w:lang w:eastAsia="es-MX"/>
        </w:rPr>
        <w:t>El Despacho deberá contar con el personal e infraestructura necesaria para la prestación de los Servicios, por lo cual el Instituto no cubrirá de manera alguna, ningún concepto adicional a los honorarios que se pacten para la prestación de los mismos.</w:t>
      </w:r>
    </w:p>
    <w:p w:rsidR="00EB1CA5" w:rsidRPr="002E1686" w:rsidRDefault="00EB1CA5" w:rsidP="00EB1CA5">
      <w:pPr>
        <w:spacing w:after="0" w:line="240" w:lineRule="auto"/>
        <w:ind w:left="142"/>
        <w:jc w:val="both"/>
        <w:rPr>
          <w:rFonts w:ascii="ITC Avant Garde" w:eastAsia="Times New Roman" w:hAnsi="ITC Avant Garde"/>
          <w:bCs/>
          <w:lang w:eastAsia="es-MX"/>
        </w:rPr>
      </w:pPr>
    </w:p>
    <w:p w:rsidR="00EB1CA5" w:rsidRPr="002E1686" w:rsidRDefault="00EB1CA5" w:rsidP="00EB1CA5">
      <w:pPr>
        <w:spacing w:after="0" w:line="240" w:lineRule="auto"/>
        <w:ind w:left="142"/>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El Instituto, por conducto de la Dirección </w:t>
      </w:r>
      <w:r w:rsidR="00823F91" w:rsidRPr="002E1686">
        <w:rPr>
          <w:rFonts w:ascii="ITC Avant Garde" w:eastAsia="Times New Roman" w:hAnsi="ITC Avant Garde"/>
          <w:bCs/>
          <w:lang w:eastAsia="es-MX"/>
        </w:rPr>
        <w:t xml:space="preserve">General de Finanzas, Presupuesto y Contabilidad </w:t>
      </w:r>
      <w:r w:rsidRPr="002E1686">
        <w:rPr>
          <w:rFonts w:ascii="ITC Avant Garde" w:eastAsia="Times New Roman" w:hAnsi="ITC Avant Garde"/>
          <w:bCs/>
          <w:lang w:eastAsia="es-MX"/>
        </w:rPr>
        <w:t>y su personal adscrito, proporcionará al Despacho cuando éste lo requiera por escrito, la información necesaria para e</w:t>
      </w:r>
      <w:r w:rsidR="006F3CE0" w:rsidRPr="002E1686">
        <w:rPr>
          <w:rFonts w:ascii="ITC Avant Garde" w:eastAsia="Times New Roman" w:hAnsi="ITC Avant Garde"/>
          <w:bCs/>
          <w:lang w:eastAsia="es-MX"/>
        </w:rPr>
        <w:t>l cumplimiento de los Servicios</w:t>
      </w:r>
      <w:r w:rsidRPr="002E1686">
        <w:rPr>
          <w:rFonts w:ascii="ITC Avant Garde" w:eastAsia="Times New Roman" w:hAnsi="ITC Avant Garde"/>
          <w:bCs/>
          <w:lang w:eastAsia="es-MX"/>
        </w:rPr>
        <w:t>.</w:t>
      </w:r>
    </w:p>
    <w:p w:rsidR="00EB1CA5" w:rsidRPr="002E1686" w:rsidRDefault="00EB1CA5" w:rsidP="00EB1CA5">
      <w:pPr>
        <w:spacing w:after="0" w:line="240" w:lineRule="auto"/>
        <w:ind w:left="360"/>
        <w:jc w:val="both"/>
        <w:rPr>
          <w:rFonts w:ascii="ITC Avant Garde" w:eastAsia="Times New Roman" w:hAnsi="ITC Avant Garde"/>
          <w:bCs/>
          <w:lang w:eastAsia="es-MX"/>
        </w:rPr>
      </w:pPr>
    </w:p>
    <w:p w:rsidR="00EB1CA5" w:rsidRPr="002E1686" w:rsidRDefault="00EB1CA5" w:rsidP="000F168B">
      <w:pPr>
        <w:spacing w:after="0" w:line="240" w:lineRule="auto"/>
        <w:ind w:left="142"/>
        <w:jc w:val="both"/>
        <w:rPr>
          <w:rFonts w:ascii="ITC Avant Garde" w:eastAsia="Times New Roman" w:hAnsi="ITC Avant Garde"/>
          <w:bCs/>
          <w:lang w:eastAsia="es-MX"/>
        </w:rPr>
      </w:pPr>
      <w:r w:rsidRPr="002E1686">
        <w:rPr>
          <w:rFonts w:ascii="ITC Avant Garde" w:eastAsia="Times New Roman" w:hAnsi="ITC Avant Garde"/>
          <w:bCs/>
          <w:lang w:eastAsia="es-MX"/>
        </w:rPr>
        <w:t>La información proporcionada por el Instituto tendrá el carácter de confidencial, quedando bajo la entera responsabilidad del Despacho el manejo de la misma, debiendo firmar la respectiva carta de confidencialidad para estos efectos.</w:t>
      </w:r>
    </w:p>
    <w:p w:rsidR="00EB1CA5" w:rsidRPr="002E1686" w:rsidRDefault="00EB1CA5" w:rsidP="000F168B">
      <w:pPr>
        <w:spacing w:after="0" w:line="240" w:lineRule="auto"/>
        <w:ind w:left="142"/>
        <w:jc w:val="both"/>
        <w:rPr>
          <w:rFonts w:ascii="ITC Avant Garde" w:eastAsia="Times New Roman" w:hAnsi="ITC Avant Garde"/>
          <w:bCs/>
          <w:lang w:eastAsia="es-MX"/>
        </w:rPr>
      </w:pPr>
    </w:p>
    <w:p w:rsidR="00EB1CA5" w:rsidRPr="002E1686" w:rsidRDefault="00EB1CA5" w:rsidP="000F168B">
      <w:pPr>
        <w:spacing w:after="0" w:line="240" w:lineRule="auto"/>
        <w:ind w:left="142"/>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El Instituto determinará la información que, por su naturaleza, el Despacho sólo podrá consultar en las instalaciones del Instituto, sin que pueda recibir copia de ella o de cualquier modo reproducirla para sacarla de las instalaciones del propio </w:t>
      </w:r>
      <w:r w:rsidR="00DB4FA1" w:rsidRPr="002E1686">
        <w:rPr>
          <w:rFonts w:ascii="ITC Avant Garde" w:eastAsia="Times New Roman" w:hAnsi="ITC Avant Garde"/>
          <w:bCs/>
          <w:lang w:eastAsia="es-MX"/>
        </w:rPr>
        <w:t>Instituto</w:t>
      </w:r>
      <w:r w:rsidRPr="002E1686">
        <w:rPr>
          <w:rFonts w:ascii="ITC Avant Garde" w:eastAsia="Times New Roman" w:hAnsi="ITC Avant Garde"/>
          <w:bCs/>
          <w:lang w:eastAsia="es-MX"/>
        </w:rPr>
        <w:t xml:space="preserve">. </w:t>
      </w:r>
    </w:p>
    <w:p w:rsidR="00EB1CA5" w:rsidRPr="002E1686" w:rsidRDefault="00EB1CA5" w:rsidP="00EB1CA5">
      <w:pPr>
        <w:spacing w:after="0" w:line="240" w:lineRule="auto"/>
        <w:ind w:left="360"/>
        <w:jc w:val="both"/>
        <w:rPr>
          <w:rFonts w:ascii="ITC Avant Garde" w:eastAsia="Times New Roman" w:hAnsi="ITC Avant Garde"/>
          <w:bCs/>
          <w:lang w:eastAsia="es-MX"/>
        </w:rPr>
      </w:pPr>
    </w:p>
    <w:p w:rsidR="00DB4FA1" w:rsidRPr="002E1686" w:rsidRDefault="00DB4FA1" w:rsidP="000F168B">
      <w:pPr>
        <w:spacing w:after="0" w:line="240" w:lineRule="auto"/>
        <w:ind w:left="142"/>
        <w:jc w:val="both"/>
        <w:rPr>
          <w:rFonts w:ascii="ITC Avant Garde" w:eastAsia="Times New Roman" w:hAnsi="ITC Avant Garde"/>
          <w:b/>
          <w:bCs/>
          <w:lang w:eastAsia="es-MX"/>
        </w:rPr>
      </w:pPr>
      <w:r w:rsidRPr="002E1686">
        <w:rPr>
          <w:rFonts w:ascii="ITC Avant Garde" w:eastAsia="Times New Roman" w:hAnsi="ITC Avant Garde"/>
          <w:b/>
          <w:bCs/>
          <w:lang w:eastAsia="es-MX"/>
        </w:rPr>
        <w:t>Condiciones de entrega</w:t>
      </w:r>
    </w:p>
    <w:p w:rsidR="00DB4FA1" w:rsidRPr="002E1686" w:rsidRDefault="00DB4FA1" w:rsidP="000F168B">
      <w:pPr>
        <w:spacing w:after="0" w:line="240" w:lineRule="auto"/>
        <w:ind w:left="142"/>
        <w:jc w:val="both"/>
        <w:rPr>
          <w:rFonts w:ascii="ITC Avant Garde" w:eastAsia="Times New Roman" w:hAnsi="ITC Avant Garde"/>
          <w:b/>
          <w:bCs/>
          <w:lang w:eastAsia="es-MX"/>
        </w:rPr>
      </w:pPr>
    </w:p>
    <w:p w:rsidR="00DB4FA1" w:rsidRPr="002E1686" w:rsidRDefault="00DB4FA1" w:rsidP="000F168B">
      <w:pPr>
        <w:spacing w:after="0" w:line="240" w:lineRule="auto"/>
        <w:ind w:left="142"/>
        <w:jc w:val="both"/>
        <w:rPr>
          <w:rFonts w:ascii="ITC Avant Garde" w:eastAsia="Times New Roman" w:hAnsi="ITC Avant Garde"/>
          <w:bCs/>
          <w:lang w:eastAsia="es-MX"/>
        </w:rPr>
      </w:pPr>
      <w:r w:rsidRPr="002E1686">
        <w:rPr>
          <w:rFonts w:ascii="ITC Avant Garde" w:eastAsia="Times New Roman" w:hAnsi="ITC Avant Garde"/>
          <w:bCs/>
          <w:lang w:eastAsia="es-MX"/>
        </w:rPr>
        <w:t>Como resultado de la auditoria en materia financiera presupuestaria, el Despacho deberá entregar los informes finales por escrito, en idioma español, con las características mencionadas en el apartado anterior denominado Especificaciones de los Servicios.</w:t>
      </w:r>
    </w:p>
    <w:p w:rsidR="00DB4FA1" w:rsidRPr="002E1686" w:rsidRDefault="00DB4FA1" w:rsidP="00DB4FA1">
      <w:pPr>
        <w:spacing w:after="0" w:line="240" w:lineRule="auto"/>
        <w:ind w:left="360"/>
        <w:jc w:val="both"/>
        <w:rPr>
          <w:rFonts w:ascii="ITC Avant Garde" w:eastAsia="Times New Roman" w:hAnsi="ITC Avant Garde"/>
          <w:bCs/>
          <w:lang w:eastAsia="es-MX"/>
        </w:rPr>
      </w:pPr>
    </w:p>
    <w:p w:rsidR="00DB4FA1" w:rsidRPr="002E1686" w:rsidRDefault="00DB4FA1" w:rsidP="00DB4FA1">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Lugar para la entrega de la prestación de “Los Servicios”:</w:t>
      </w:r>
    </w:p>
    <w:p w:rsidR="00DB4FA1" w:rsidRPr="002E1686" w:rsidRDefault="00DB4FA1" w:rsidP="00DB4FA1">
      <w:pPr>
        <w:spacing w:after="0" w:line="240" w:lineRule="auto"/>
        <w:ind w:left="360"/>
        <w:jc w:val="both"/>
        <w:rPr>
          <w:rFonts w:ascii="ITC Avant Garde" w:eastAsia="Times New Roman" w:hAnsi="ITC Avant Garde"/>
          <w:bCs/>
          <w:lang w:eastAsia="es-MX"/>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6981"/>
      </w:tblGrid>
      <w:tr w:rsidR="00DB4FA1" w:rsidRPr="002E1686" w:rsidTr="009C559B">
        <w:tc>
          <w:tcPr>
            <w:tcW w:w="1744" w:type="dxa"/>
            <w:tcBorders>
              <w:top w:val="single" w:sz="4" w:space="0" w:color="FFFFFF"/>
              <w:left w:val="nil"/>
              <w:bottom w:val="single" w:sz="4" w:space="0" w:color="FFFFFF"/>
              <w:right w:val="nil"/>
            </w:tcBorders>
            <w:shd w:val="pct12" w:color="auto" w:fill="D9D9D9"/>
          </w:tcPr>
          <w:p w:rsidR="00DB4FA1" w:rsidRPr="002E1686" w:rsidRDefault="00DB4FA1" w:rsidP="009C559B">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Lugar:</w:t>
            </w:r>
          </w:p>
        </w:tc>
        <w:tc>
          <w:tcPr>
            <w:tcW w:w="6981" w:type="dxa"/>
            <w:tcBorders>
              <w:left w:val="nil"/>
            </w:tcBorders>
            <w:shd w:val="clear" w:color="auto" w:fill="auto"/>
          </w:tcPr>
          <w:p w:rsidR="00DB4FA1" w:rsidRPr="002E1686" w:rsidRDefault="00DB4FA1" w:rsidP="009C559B">
            <w:pPr>
              <w:spacing w:after="0" w:line="240" w:lineRule="auto"/>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Edificio Torre </w:t>
            </w:r>
            <w:proofErr w:type="spellStart"/>
            <w:r w:rsidRPr="002E1686">
              <w:rPr>
                <w:rFonts w:ascii="ITC Avant Garde" w:eastAsia="Times New Roman" w:hAnsi="ITC Avant Garde"/>
                <w:bCs/>
                <w:lang w:eastAsia="es-MX"/>
              </w:rPr>
              <w:t>Rouz</w:t>
            </w:r>
            <w:proofErr w:type="spellEnd"/>
            <w:r w:rsidRPr="002E1686">
              <w:rPr>
                <w:rFonts w:ascii="ITC Avant Garde" w:eastAsia="Times New Roman" w:hAnsi="ITC Avant Garde"/>
                <w:bCs/>
                <w:lang w:eastAsia="es-MX"/>
              </w:rPr>
              <w:t xml:space="preserve"> II ubicado en Insurgentes Sur 838, Piso 5 Col del Valle, México, Distrito Federal.</w:t>
            </w:r>
          </w:p>
        </w:tc>
      </w:tr>
      <w:tr w:rsidR="00DB4FA1" w:rsidRPr="002E1686" w:rsidTr="009C559B">
        <w:tc>
          <w:tcPr>
            <w:tcW w:w="1744" w:type="dxa"/>
            <w:tcBorders>
              <w:top w:val="single" w:sz="4" w:space="0" w:color="FFFFFF"/>
              <w:left w:val="nil"/>
              <w:bottom w:val="single" w:sz="4" w:space="0" w:color="FFFFFF"/>
              <w:right w:val="nil"/>
            </w:tcBorders>
            <w:shd w:val="pct12" w:color="auto" w:fill="D9D9D9"/>
          </w:tcPr>
          <w:p w:rsidR="00DB4FA1" w:rsidRPr="002E1686" w:rsidRDefault="00DB4FA1" w:rsidP="009C559B">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Horario:</w:t>
            </w:r>
          </w:p>
        </w:tc>
        <w:tc>
          <w:tcPr>
            <w:tcW w:w="6981" w:type="dxa"/>
            <w:tcBorders>
              <w:left w:val="nil"/>
            </w:tcBorders>
            <w:shd w:val="clear" w:color="auto" w:fill="auto"/>
          </w:tcPr>
          <w:p w:rsidR="00DB4FA1" w:rsidRPr="002E1686" w:rsidRDefault="00DB4FA1" w:rsidP="009C559B">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9:00 a.m. a 18:00 pm</w:t>
            </w:r>
          </w:p>
        </w:tc>
      </w:tr>
    </w:tbl>
    <w:p w:rsidR="00DB4FA1" w:rsidRPr="002E1686" w:rsidRDefault="00DB4FA1" w:rsidP="00BA35C2">
      <w:pPr>
        <w:spacing w:after="0" w:line="240" w:lineRule="auto"/>
        <w:ind w:left="360"/>
        <w:jc w:val="both"/>
        <w:rPr>
          <w:rFonts w:ascii="ITC Avant Garde" w:eastAsia="Times New Roman" w:hAnsi="ITC Avant Garde"/>
          <w:b/>
          <w:bCs/>
          <w:lang w:eastAsia="es-MX"/>
        </w:rPr>
      </w:pPr>
    </w:p>
    <w:p w:rsidR="00E60599" w:rsidRPr="002E1686" w:rsidRDefault="00E60599" w:rsidP="00BA35C2">
      <w:pPr>
        <w:spacing w:after="0" w:line="240" w:lineRule="auto"/>
        <w:ind w:left="360"/>
        <w:jc w:val="both"/>
        <w:rPr>
          <w:rFonts w:ascii="ITC Avant Garde" w:eastAsia="Times New Roman" w:hAnsi="ITC Avant Garde"/>
          <w:b/>
          <w:bCs/>
          <w:lang w:eastAsia="es-MX"/>
        </w:rPr>
      </w:pPr>
    </w:p>
    <w:p w:rsidR="00E60599" w:rsidRPr="002E1686" w:rsidRDefault="00E60599" w:rsidP="00BA35C2">
      <w:pPr>
        <w:spacing w:after="0" w:line="240" w:lineRule="auto"/>
        <w:ind w:left="360"/>
        <w:jc w:val="both"/>
        <w:rPr>
          <w:rFonts w:ascii="ITC Avant Garde" w:eastAsia="Times New Roman" w:hAnsi="ITC Avant Garde"/>
          <w:b/>
          <w:bCs/>
          <w:lang w:eastAsia="es-MX"/>
        </w:rPr>
      </w:pPr>
    </w:p>
    <w:p w:rsidR="00B40030" w:rsidRPr="002E1686" w:rsidRDefault="00B40030" w:rsidP="00BA35C2">
      <w:pPr>
        <w:spacing w:after="0" w:line="240" w:lineRule="auto"/>
        <w:ind w:left="360"/>
        <w:jc w:val="both"/>
        <w:rPr>
          <w:rFonts w:ascii="ITC Avant Garde" w:eastAsia="Times New Roman" w:hAnsi="ITC Avant Garde"/>
          <w:b/>
          <w:bCs/>
          <w:lang w:eastAsia="es-MX"/>
        </w:rPr>
      </w:pPr>
    </w:p>
    <w:p w:rsidR="00D046E1" w:rsidRPr="002E1686" w:rsidRDefault="00D046E1" w:rsidP="00BA35C2">
      <w:pPr>
        <w:spacing w:after="0" w:line="240" w:lineRule="auto"/>
        <w:ind w:left="360"/>
        <w:jc w:val="both"/>
        <w:rPr>
          <w:rFonts w:ascii="ITC Avant Garde" w:eastAsia="Times New Roman" w:hAnsi="ITC Avant Garde"/>
          <w:b/>
          <w:bCs/>
          <w:lang w:eastAsia="es-MX"/>
        </w:rPr>
      </w:pPr>
    </w:p>
    <w:p w:rsidR="00B40030" w:rsidRPr="002E1686" w:rsidRDefault="00B40030" w:rsidP="00BA35C2">
      <w:pPr>
        <w:spacing w:after="0" w:line="240" w:lineRule="auto"/>
        <w:ind w:left="360"/>
        <w:jc w:val="both"/>
        <w:rPr>
          <w:rFonts w:ascii="ITC Avant Garde" w:eastAsia="Times New Roman" w:hAnsi="ITC Avant Garde"/>
          <w:b/>
          <w:bCs/>
          <w:lang w:eastAsia="es-MX"/>
        </w:rPr>
      </w:pPr>
    </w:p>
    <w:p w:rsidR="00E60599" w:rsidRPr="002E1686" w:rsidRDefault="00E60599" w:rsidP="00BA35C2">
      <w:pPr>
        <w:spacing w:after="0" w:line="240" w:lineRule="auto"/>
        <w:ind w:left="360"/>
        <w:jc w:val="both"/>
        <w:rPr>
          <w:rFonts w:ascii="ITC Avant Garde" w:eastAsia="Times New Roman" w:hAnsi="ITC Avant Garde"/>
          <w:b/>
          <w:bCs/>
          <w:lang w:eastAsia="es-MX"/>
        </w:rPr>
      </w:pPr>
    </w:p>
    <w:p w:rsidR="008B1F87" w:rsidRPr="002E1686" w:rsidRDefault="008B1F87" w:rsidP="008B1F87">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lastRenderedPageBreak/>
        <w:t>Área encargada de la administración del contrato y verificación de la prestación de “Los Servicios”:</w:t>
      </w:r>
    </w:p>
    <w:p w:rsidR="008B1F87" w:rsidRPr="002E1686" w:rsidRDefault="008B1F87" w:rsidP="008B1F87">
      <w:pPr>
        <w:spacing w:after="0" w:line="240" w:lineRule="auto"/>
        <w:ind w:left="360"/>
        <w:jc w:val="both"/>
        <w:rPr>
          <w:rFonts w:ascii="ITC Avant Garde" w:eastAsia="Times New Roman" w:hAnsi="ITC Avant Garde"/>
          <w:bCs/>
          <w:lang w:eastAsia="es-MX"/>
        </w:rPr>
      </w:pPr>
    </w:p>
    <w:p w:rsidR="008B1F87" w:rsidRPr="002E1686" w:rsidRDefault="008B1F87" w:rsidP="008B1F87">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La </w:t>
      </w:r>
      <w:r w:rsidR="0030626D" w:rsidRPr="002E1686">
        <w:rPr>
          <w:rFonts w:ascii="ITC Avant Garde" w:eastAsia="Times New Roman" w:hAnsi="ITC Avant Garde"/>
          <w:bCs/>
          <w:lang w:eastAsia="es-MX"/>
        </w:rPr>
        <w:t>Unidad</w:t>
      </w:r>
      <w:r w:rsidRPr="002E1686">
        <w:rPr>
          <w:rFonts w:ascii="ITC Avant Garde" w:eastAsia="Times New Roman" w:hAnsi="ITC Avant Garde"/>
          <w:bCs/>
          <w:lang w:eastAsia="es-MX"/>
        </w:rPr>
        <w:t xml:space="preserve"> de Administración del Instituto Federal de Telecomunicaciones, a través de la Dirección</w:t>
      </w:r>
      <w:r w:rsidR="0030626D" w:rsidRPr="002E1686">
        <w:rPr>
          <w:rFonts w:ascii="ITC Avant Garde" w:eastAsia="Times New Roman" w:hAnsi="ITC Avant Garde"/>
          <w:bCs/>
          <w:lang w:eastAsia="es-MX"/>
        </w:rPr>
        <w:t xml:space="preserve"> General </w:t>
      </w:r>
      <w:r w:rsidRPr="002E1686">
        <w:rPr>
          <w:rFonts w:ascii="ITC Avant Garde" w:eastAsia="Times New Roman" w:hAnsi="ITC Avant Garde"/>
          <w:bCs/>
          <w:lang w:eastAsia="es-MX"/>
        </w:rPr>
        <w:t>de Finan</w:t>
      </w:r>
      <w:r w:rsidR="0030626D" w:rsidRPr="002E1686">
        <w:rPr>
          <w:rFonts w:ascii="ITC Avant Garde" w:eastAsia="Times New Roman" w:hAnsi="ITC Avant Garde"/>
          <w:bCs/>
          <w:lang w:eastAsia="es-MX"/>
        </w:rPr>
        <w:t>zas</w:t>
      </w:r>
      <w:r w:rsidRPr="002E1686">
        <w:rPr>
          <w:rFonts w:ascii="ITC Avant Garde" w:eastAsia="Times New Roman" w:hAnsi="ITC Avant Garde"/>
          <w:bCs/>
          <w:lang w:eastAsia="es-MX"/>
        </w:rPr>
        <w:t>,</w:t>
      </w:r>
      <w:r w:rsidR="0030626D" w:rsidRPr="002E1686">
        <w:rPr>
          <w:rFonts w:ascii="ITC Avant Garde" w:eastAsia="Times New Roman" w:hAnsi="ITC Avant Garde"/>
          <w:bCs/>
          <w:lang w:eastAsia="es-MX"/>
        </w:rPr>
        <w:t xml:space="preserve"> Presupuesto y Contabilidad, será</w:t>
      </w:r>
      <w:r w:rsidRPr="002E1686">
        <w:rPr>
          <w:rFonts w:ascii="ITC Avant Garde" w:eastAsia="Times New Roman" w:hAnsi="ITC Avant Garde"/>
          <w:bCs/>
          <w:lang w:eastAsia="es-MX"/>
        </w:rPr>
        <w:t xml:space="preserve"> </w:t>
      </w:r>
      <w:r w:rsidR="0030626D" w:rsidRPr="002E1686">
        <w:rPr>
          <w:rFonts w:ascii="ITC Avant Garde" w:eastAsia="Times New Roman" w:hAnsi="ITC Avant Garde"/>
          <w:bCs/>
          <w:lang w:eastAsia="es-MX"/>
        </w:rPr>
        <w:t>e</w:t>
      </w:r>
      <w:r w:rsidRPr="002E1686">
        <w:rPr>
          <w:rFonts w:ascii="ITC Avant Garde" w:eastAsia="Times New Roman" w:hAnsi="ITC Avant Garde"/>
          <w:bCs/>
          <w:lang w:eastAsia="es-MX"/>
        </w:rPr>
        <w:t>l área responsable de la administración del contrato, quien tendrá en todo tiempo el derecho de verificar cualquier asunto relacionado con la prestación de “Los Servicios”, la cual est</w:t>
      </w:r>
      <w:r w:rsidR="0030626D" w:rsidRPr="002E1686">
        <w:rPr>
          <w:rFonts w:ascii="ITC Avant Garde" w:eastAsia="Times New Roman" w:hAnsi="ITC Avant Garde"/>
          <w:bCs/>
          <w:lang w:eastAsia="es-MX"/>
        </w:rPr>
        <w:t>ará</w:t>
      </w:r>
      <w:r w:rsidRPr="002E1686">
        <w:rPr>
          <w:rFonts w:ascii="ITC Avant Garde" w:eastAsia="Times New Roman" w:hAnsi="ITC Avant Garde"/>
          <w:bCs/>
          <w:lang w:eastAsia="es-MX"/>
        </w:rPr>
        <w:t xml:space="preserve"> ubicada en Edificio Torre </w:t>
      </w:r>
      <w:proofErr w:type="spellStart"/>
      <w:r w:rsidRPr="002E1686">
        <w:rPr>
          <w:rFonts w:ascii="ITC Avant Garde" w:eastAsia="Times New Roman" w:hAnsi="ITC Avant Garde"/>
          <w:bCs/>
          <w:lang w:eastAsia="es-MX"/>
        </w:rPr>
        <w:t>Rouz</w:t>
      </w:r>
      <w:proofErr w:type="spellEnd"/>
      <w:r w:rsidRPr="002E1686">
        <w:rPr>
          <w:rFonts w:ascii="ITC Avant Garde" w:eastAsia="Times New Roman" w:hAnsi="ITC Avant Garde"/>
          <w:bCs/>
          <w:lang w:eastAsia="es-MX"/>
        </w:rPr>
        <w:t xml:space="preserve"> II ubicado en Insurgentes Sur 838, Piso 5 Col del Valle, México, México, Distrito Federal.</w:t>
      </w:r>
    </w:p>
    <w:p w:rsidR="008B1F87" w:rsidRPr="002E1686" w:rsidRDefault="008B1F87" w:rsidP="008B1F87">
      <w:pPr>
        <w:spacing w:after="0" w:line="240" w:lineRule="auto"/>
        <w:ind w:left="360"/>
        <w:jc w:val="both"/>
        <w:rPr>
          <w:rFonts w:ascii="ITC Avant Garde" w:eastAsia="Times New Roman" w:hAnsi="ITC Avant Garde"/>
          <w:bCs/>
          <w:lang w:eastAsia="es-MX"/>
        </w:rPr>
      </w:pPr>
    </w:p>
    <w:p w:rsidR="008B1F87" w:rsidRPr="002E1686" w:rsidRDefault="008B1F87" w:rsidP="008B1F87">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Responsabilidad de “El Proveedor”:</w:t>
      </w:r>
    </w:p>
    <w:p w:rsidR="008B1F87" w:rsidRPr="002E1686" w:rsidRDefault="008B1F87" w:rsidP="008B1F87">
      <w:pPr>
        <w:spacing w:after="0" w:line="240" w:lineRule="auto"/>
        <w:ind w:left="360"/>
        <w:jc w:val="both"/>
        <w:rPr>
          <w:rFonts w:ascii="ITC Avant Garde" w:eastAsia="Times New Roman" w:hAnsi="ITC Avant Garde"/>
          <w:b/>
          <w:bCs/>
          <w:lang w:eastAsia="es-MX"/>
        </w:rPr>
      </w:pPr>
    </w:p>
    <w:p w:rsidR="008B1F87" w:rsidRPr="002E1686" w:rsidRDefault="008B1F87" w:rsidP="008B1F87">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“El </w:t>
      </w:r>
      <w:r w:rsidR="00CD764D" w:rsidRPr="002E1686">
        <w:rPr>
          <w:rFonts w:ascii="ITC Avant Garde" w:eastAsia="Times New Roman" w:hAnsi="ITC Avant Garde"/>
          <w:bCs/>
          <w:lang w:eastAsia="es-MX"/>
        </w:rPr>
        <w:t>Despacho</w:t>
      </w:r>
      <w:r w:rsidRPr="002E1686">
        <w:rPr>
          <w:rFonts w:ascii="ITC Avant Garde" w:eastAsia="Times New Roman" w:hAnsi="ITC Avant Garde"/>
          <w:bCs/>
          <w:lang w:eastAsia="es-MX"/>
        </w:rPr>
        <w:t>” será el único responsable por la prestación en tiempo y forma de Servicios”, ajustándose a las especificaciones, cantidades y condiciones requeridas por el presente Anexo Técnico, y en su caso a las indicaciones que al respecto reciba del “Área Administradora del contrato y verificación de “Los Servicios”.</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F56C2B"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 xml:space="preserve">Precios de “los </w:t>
      </w:r>
      <w:r w:rsidR="00BA35C2" w:rsidRPr="002E1686">
        <w:rPr>
          <w:rFonts w:ascii="ITC Avant Garde" w:eastAsia="Times New Roman" w:hAnsi="ITC Avant Garde"/>
          <w:b/>
          <w:bCs/>
          <w:lang w:eastAsia="es-MX"/>
        </w:rPr>
        <w:t>Servicios”:</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La propuesta económica d</w:t>
      </w:r>
      <w:r w:rsidR="00823F91" w:rsidRPr="002E1686">
        <w:rPr>
          <w:rFonts w:ascii="ITC Avant Garde" w:eastAsia="Times New Roman" w:hAnsi="ITC Avant Garde"/>
          <w:bCs/>
          <w:lang w:eastAsia="es-MX"/>
        </w:rPr>
        <w:t>eberá</w:t>
      </w:r>
      <w:r w:rsidR="00680107" w:rsidRPr="002E1686">
        <w:rPr>
          <w:rFonts w:ascii="ITC Avant Garde" w:eastAsia="Times New Roman" w:hAnsi="ITC Avant Garde"/>
          <w:bCs/>
          <w:lang w:eastAsia="es-MX"/>
        </w:rPr>
        <w:t xml:space="preserve"> presentarse en </w:t>
      </w:r>
      <w:r w:rsidR="00D20151" w:rsidRPr="002E1686">
        <w:rPr>
          <w:rFonts w:ascii="ITC Avant Garde" w:eastAsia="Times New Roman" w:hAnsi="ITC Avant Garde"/>
          <w:bCs/>
          <w:lang w:eastAsia="es-MX"/>
        </w:rPr>
        <w:t xml:space="preserve">el </w:t>
      </w:r>
      <w:r w:rsidR="00680107" w:rsidRPr="002E1686">
        <w:rPr>
          <w:rFonts w:ascii="ITC Avant Garde" w:eastAsia="Times New Roman" w:hAnsi="ITC Avant Garde"/>
          <w:bCs/>
          <w:lang w:eastAsia="es-MX"/>
        </w:rPr>
        <w:t xml:space="preserve">formato </w:t>
      </w:r>
      <w:r w:rsidR="00D20151" w:rsidRPr="002E1686">
        <w:rPr>
          <w:rFonts w:ascii="ITC Avant Garde" w:eastAsia="Times New Roman" w:hAnsi="ITC Avant Garde"/>
          <w:bCs/>
          <w:lang w:eastAsia="es-MX"/>
        </w:rPr>
        <w:t>que se adjunta</w:t>
      </w:r>
      <w:r w:rsidRPr="002E1686">
        <w:rPr>
          <w:rFonts w:ascii="ITC Avant Garde" w:eastAsia="Times New Roman" w:hAnsi="ITC Avant Garde"/>
          <w:bCs/>
          <w:lang w:eastAsia="es-MX"/>
        </w:rPr>
        <w:t>, desglosando</w:t>
      </w:r>
      <w:r w:rsidR="00D20151" w:rsidRPr="002E1686">
        <w:rPr>
          <w:rFonts w:ascii="ITC Avant Garde" w:eastAsia="Times New Roman" w:hAnsi="ITC Avant Garde"/>
          <w:bCs/>
          <w:lang w:eastAsia="es-MX"/>
        </w:rPr>
        <w:t xml:space="preserve"> el importe</w:t>
      </w:r>
      <w:r w:rsidRPr="002E1686">
        <w:rPr>
          <w:rFonts w:ascii="ITC Avant Garde" w:eastAsia="Times New Roman" w:hAnsi="ITC Avant Garde"/>
          <w:bCs/>
          <w:lang w:eastAsia="es-MX"/>
        </w:rPr>
        <w:t xml:space="preserve"> </w:t>
      </w:r>
      <w:r w:rsidR="00D20151" w:rsidRPr="002E1686">
        <w:rPr>
          <w:rFonts w:ascii="ITC Avant Garde" w:eastAsia="Times New Roman" w:hAnsi="ITC Avant Garde"/>
          <w:bCs/>
          <w:lang w:eastAsia="es-MX"/>
        </w:rPr>
        <w:t>mínimo y máximo, el Impuesto al Valor Agregado, total y los descuentos que en su caso otorguen a la Convocante</w:t>
      </w:r>
      <w:r w:rsidRPr="002E1686">
        <w:rPr>
          <w:rFonts w:ascii="ITC Avant Garde" w:eastAsia="Times New Roman" w:hAnsi="ITC Avant Garde"/>
          <w:bCs/>
          <w:lang w:eastAsia="es-MX"/>
        </w:rPr>
        <w:t xml:space="preserve">. La oferta será </w:t>
      </w:r>
      <w:r w:rsidR="00D20151" w:rsidRPr="002E1686">
        <w:rPr>
          <w:rFonts w:ascii="ITC Avant Garde" w:eastAsia="Times New Roman" w:hAnsi="ITC Avant Garde"/>
          <w:bCs/>
          <w:lang w:eastAsia="es-MX"/>
        </w:rPr>
        <w:t xml:space="preserve">a </w:t>
      </w:r>
      <w:r w:rsidRPr="002E1686">
        <w:rPr>
          <w:rFonts w:ascii="ITC Avant Garde" w:eastAsia="Times New Roman" w:hAnsi="ITC Avant Garde"/>
          <w:bCs/>
          <w:lang w:eastAsia="es-MX"/>
        </w:rPr>
        <w:t>precios fijos e incondicionados y en Moneda Nacional.</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Forma de pago:</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36566D" w:rsidRPr="002E1686" w:rsidRDefault="0036566D" w:rsidP="0036566D">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El Despacho tendrá derecho a recibir los honorarios que se pacten en el contrato y se pagarán en las etapas siguientes:</w:t>
      </w:r>
    </w:p>
    <w:p w:rsidR="0036566D" w:rsidRPr="002E1686" w:rsidRDefault="0036566D" w:rsidP="0036566D">
      <w:pPr>
        <w:spacing w:after="0" w:line="240" w:lineRule="auto"/>
        <w:ind w:left="360"/>
        <w:jc w:val="both"/>
        <w:rPr>
          <w:rFonts w:ascii="ITC Avant Garde" w:eastAsia="Times New Roman" w:hAnsi="ITC Avant Garde"/>
          <w:bCs/>
          <w:lang w:eastAsia="es-MX"/>
        </w:rPr>
      </w:pPr>
    </w:p>
    <w:p w:rsidR="0036566D" w:rsidRPr="002E1686" w:rsidRDefault="0036566D" w:rsidP="0036566D">
      <w:pPr>
        <w:pStyle w:val="Prrafodelista"/>
        <w:numPr>
          <w:ilvl w:val="0"/>
          <w:numId w:val="7"/>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20% de los honorarios contra la entrega de la Carta de Observaciones Preliminar</w:t>
      </w:r>
      <w:r w:rsidR="0064388F" w:rsidRPr="002E1686">
        <w:rPr>
          <w:rFonts w:ascii="ITC Avant Garde" w:eastAsia="Times New Roman" w:hAnsi="ITC Avant Garde"/>
          <w:bCs/>
          <w:sz w:val="22"/>
          <w:szCs w:val="22"/>
          <w:lang w:eastAsia="es-MX"/>
        </w:rPr>
        <w:t>.</w:t>
      </w:r>
    </w:p>
    <w:p w:rsidR="003F5465" w:rsidRPr="002E1686" w:rsidRDefault="006468C0" w:rsidP="004A6254">
      <w:pPr>
        <w:pStyle w:val="Prrafodelista"/>
        <w:numPr>
          <w:ilvl w:val="0"/>
          <w:numId w:val="7"/>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 xml:space="preserve">30% de los honorarios contra la entrega de </w:t>
      </w:r>
      <w:r w:rsidR="003F5465" w:rsidRPr="002E1686">
        <w:rPr>
          <w:rFonts w:ascii="ITC Avant Garde" w:eastAsia="Times New Roman" w:hAnsi="ITC Avant Garde"/>
          <w:bCs/>
          <w:sz w:val="22"/>
          <w:szCs w:val="22"/>
          <w:lang w:eastAsia="es-MX"/>
        </w:rPr>
        <w:t xml:space="preserve">Informe del Auditor Independiente. </w:t>
      </w:r>
    </w:p>
    <w:p w:rsidR="0036566D" w:rsidRPr="002E1686" w:rsidRDefault="006468C0" w:rsidP="004A6254">
      <w:pPr>
        <w:pStyle w:val="Prrafodelista"/>
        <w:numPr>
          <w:ilvl w:val="0"/>
          <w:numId w:val="7"/>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 xml:space="preserve">25% de los honorarios contra la entrega del </w:t>
      </w:r>
      <w:r w:rsidR="003F5465" w:rsidRPr="002E1686">
        <w:rPr>
          <w:rFonts w:ascii="ITC Avant Garde" w:eastAsia="Times New Roman" w:hAnsi="ITC Avant Garde"/>
          <w:bCs/>
          <w:sz w:val="22"/>
          <w:szCs w:val="22"/>
          <w:lang w:eastAsia="es-MX"/>
        </w:rPr>
        <w:t>Dictamen Presupuestal</w:t>
      </w:r>
    </w:p>
    <w:p w:rsidR="006468C0" w:rsidRPr="002E1686" w:rsidRDefault="006468C0" w:rsidP="006468C0">
      <w:pPr>
        <w:pStyle w:val="Prrafodelista"/>
        <w:numPr>
          <w:ilvl w:val="0"/>
          <w:numId w:val="7"/>
        </w:numPr>
        <w:rPr>
          <w:rFonts w:ascii="ITC Avant Garde" w:eastAsia="Times New Roman" w:hAnsi="ITC Avant Garde"/>
          <w:bCs/>
          <w:sz w:val="22"/>
          <w:szCs w:val="22"/>
          <w:lang w:eastAsia="es-MX"/>
        </w:rPr>
      </w:pPr>
      <w:r w:rsidRPr="002E1686">
        <w:rPr>
          <w:rFonts w:ascii="ITC Avant Garde" w:eastAsia="Times New Roman" w:hAnsi="ITC Avant Garde"/>
          <w:bCs/>
          <w:sz w:val="22"/>
          <w:szCs w:val="22"/>
          <w:lang w:eastAsia="es-MX"/>
        </w:rPr>
        <w:t>25%</w:t>
      </w:r>
      <w:r w:rsidR="00C428A2" w:rsidRPr="002E1686">
        <w:rPr>
          <w:rFonts w:ascii="ITC Avant Garde" w:eastAsia="Times New Roman" w:hAnsi="ITC Avant Garde"/>
          <w:bCs/>
          <w:sz w:val="22"/>
          <w:szCs w:val="22"/>
          <w:lang w:eastAsia="es-MX"/>
        </w:rPr>
        <w:t xml:space="preserve"> </w:t>
      </w:r>
      <w:r w:rsidR="0064388F" w:rsidRPr="002E1686">
        <w:rPr>
          <w:rFonts w:ascii="ITC Avant Garde" w:eastAsia="Times New Roman" w:hAnsi="ITC Avant Garde"/>
          <w:bCs/>
          <w:sz w:val="22"/>
          <w:szCs w:val="22"/>
          <w:lang w:eastAsia="es-MX"/>
        </w:rPr>
        <w:t xml:space="preserve">de los honorarios contra la entrega </w:t>
      </w:r>
      <w:r w:rsidR="003F5465" w:rsidRPr="002E1686">
        <w:rPr>
          <w:rFonts w:ascii="ITC Avant Garde" w:eastAsia="Times New Roman" w:hAnsi="ITC Avant Garde"/>
          <w:bCs/>
          <w:sz w:val="22"/>
          <w:szCs w:val="22"/>
          <w:lang w:eastAsia="es-MX"/>
        </w:rPr>
        <w:t>Informe Ejecutivo y Propuestas de Mejora.</w:t>
      </w:r>
    </w:p>
    <w:p w:rsidR="0036566D" w:rsidRPr="002E1686" w:rsidRDefault="0036566D"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El costo de “Los Servicios” se cubrirá una vez recibidos los </w:t>
      </w:r>
      <w:r w:rsidR="00234E2D" w:rsidRPr="002E1686">
        <w:rPr>
          <w:rFonts w:ascii="ITC Avant Garde" w:eastAsia="Times New Roman" w:hAnsi="ITC Avant Garde"/>
          <w:bCs/>
          <w:lang w:eastAsia="es-MX"/>
        </w:rPr>
        <w:t xml:space="preserve">servicios </w:t>
      </w:r>
      <w:r w:rsidRPr="002E1686">
        <w:rPr>
          <w:rFonts w:ascii="ITC Avant Garde" w:eastAsia="Times New Roman" w:hAnsi="ITC Avant Garde"/>
          <w:bCs/>
          <w:lang w:eastAsia="es-MX"/>
        </w:rPr>
        <w:t>a entera satisfacción</w:t>
      </w:r>
      <w:r w:rsidR="00234E2D" w:rsidRPr="002E1686">
        <w:rPr>
          <w:rFonts w:ascii="ITC Avant Garde" w:eastAsia="Times New Roman" w:hAnsi="ITC Avant Garde"/>
          <w:bCs/>
          <w:lang w:eastAsia="es-MX"/>
        </w:rPr>
        <w:t xml:space="preserve"> </w:t>
      </w:r>
      <w:r w:rsidRPr="002E1686">
        <w:rPr>
          <w:rFonts w:ascii="ITC Avant Garde" w:eastAsia="Times New Roman" w:hAnsi="ITC Avant Garde"/>
          <w:bCs/>
          <w:lang w:eastAsia="es-MX"/>
        </w:rPr>
        <w:t>dentro de los 20 (veinte) días naturales posteriores a la aceptación formal de las facturas, a través de transferencia electrónica a la cuenta bancaria que para tal efecto proporcione el proveedor</w:t>
      </w:r>
      <w:r w:rsidR="00234E2D" w:rsidRPr="002E1686">
        <w:rPr>
          <w:rFonts w:ascii="ITC Avant Garde" w:eastAsia="Times New Roman" w:hAnsi="ITC Avant Garde"/>
          <w:bCs/>
          <w:lang w:eastAsia="es-MX"/>
        </w:rPr>
        <w:t>, de acuerdo con los siguientes datos:</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TITULAR</w:t>
      </w:r>
    </w:p>
    <w:p w:rsidR="00BA35C2" w:rsidRPr="002E1686" w:rsidRDefault="00BA35C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RFC</w:t>
      </w:r>
    </w:p>
    <w:p w:rsidR="00BA35C2" w:rsidRPr="002E1686" w:rsidRDefault="00BA35C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INSTITUCIÓN BANCARIA</w:t>
      </w:r>
    </w:p>
    <w:p w:rsidR="00BA35C2" w:rsidRPr="002E1686" w:rsidRDefault="00BA35C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lastRenderedPageBreak/>
        <w:t>PLAZA</w:t>
      </w:r>
    </w:p>
    <w:p w:rsidR="00BA35C2" w:rsidRPr="002E1686" w:rsidRDefault="00BA35C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SUCURSAL</w:t>
      </w:r>
    </w:p>
    <w:p w:rsidR="00BA35C2" w:rsidRPr="002E1686" w:rsidRDefault="00BA35C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NÚMERO DE CUENTA</w:t>
      </w:r>
    </w:p>
    <w:p w:rsidR="00BA35C2" w:rsidRPr="002E1686" w:rsidRDefault="00BA35C2" w:rsidP="00BA35C2">
      <w:pPr>
        <w:spacing w:after="0" w:line="240" w:lineRule="auto"/>
        <w:ind w:left="360"/>
        <w:jc w:val="both"/>
        <w:rPr>
          <w:rFonts w:ascii="ITC Avant Garde" w:eastAsia="Times New Roman" w:hAnsi="ITC Avant Garde"/>
          <w:b/>
          <w:bCs/>
          <w:lang w:eastAsia="es-MX"/>
        </w:rPr>
      </w:pPr>
      <w:r w:rsidRPr="002E1686">
        <w:rPr>
          <w:rFonts w:ascii="ITC Avant Garde" w:eastAsia="Times New Roman" w:hAnsi="ITC Avant Garde"/>
          <w:b/>
          <w:bCs/>
          <w:lang w:eastAsia="es-MX"/>
        </w:rPr>
        <w:t>CLABE</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Para el pago de “Los Servicios” “El </w:t>
      </w:r>
      <w:r w:rsidR="00CD764D" w:rsidRPr="002E1686">
        <w:rPr>
          <w:rFonts w:ascii="ITC Avant Garde" w:eastAsia="Times New Roman" w:hAnsi="ITC Avant Garde"/>
          <w:bCs/>
          <w:lang w:eastAsia="es-MX"/>
        </w:rPr>
        <w:t>Despacho</w:t>
      </w:r>
      <w:r w:rsidRPr="002E1686">
        <w:rPr>
          <w:rFonts w:ascii="ITC Avant Garde" w:eastAsia="Times New Roman" w:hAnsi="ITC Avant Garde"/>
          <w:bCs/>
          <w:lang w:eastAsia="es-MX"/>
        </w:rPr>
        <w:t xml:space="preserve">” presentará ante la </w:t>
      </w:r>
      <w:r w:rsidR="00234E2D" w:rsidRPr="002E1686">
        <w:rPr>
          <w:rFonts w:ascii="ITC Avant Garde" w:eastAsia="Times New Roman" w:hAnsi="ITC Avant Garde"/>
          <w:bCs/>
          <w:lang w:eastAsia="es-MX"/>
        </w:rPr>
        <w:t>Dirección General de Finanzas, Presupuesto y Contabilidad</w:t>
      </w:r>
      <w:r w:rsidRPr="002E1686">
        <w:rPr>
          <w:rFonts w:ascii="ITC Avant Garde" w:eastAsia="Times New Roman" w:hAnsi="ITC Avant Garde"/>
          <w:bCs/>
          <w:lang w:eastAsia="es-MX"/>
        </w:rPr>
        <w:t xml:space="preserve"> del Instituto Federal de Telecomunicaciones, las facturas y el acta de entrega recepción de </w:t>
      </w:r>
      <w:r w:rsidR="00F56C2B" w:rsidRPr="002E1686">
        <w:rPr>
          <w:rFonts w:ascii="ITC Avant Garde" w:eastAsia="Times New Roman" w:hAnsi="ITC Avant Garde"/>
          <w:bCs/>
          <w:lang w:eastAsia="es-MX"/>
        </w:rPr>
        <w:t>“</w:t>
      </w:r>
      <w:r w:rsidRPr="002E1686">
        <w:rPr>
          <w:rFonts w:ascii="ITC Avant Garde" w:eastAsia="Times New Roman" w:hAnsi="ITC Avant Garde"/>
          <w:bCs/>
          <w:lang w:eastAsia="es-MX"/>
        </w:rPr>
        <w:t>Los Servicios”, para que ésta a su vez, los revise y firme a entera satisfacción de conformidad con lo establecido en el Contrato respectivo y a su Anexo Único, dando por recibidas las facturas para su pago dentro de los 20 (veinte) días naturales siguientes a la recepción de “</w:t>
      </w:r>
      <w:r w:rsidR="00F56C2B" w:rsidRPr="002E1686">
        <w:rPr>
          <w:rFonts w:ascii="ITC Avant Garde" w:eastAsia="Times New Roman" w:hAnsi="ITC Avant Garde"/>
          <w:bCs/>
          <w:lang w:eastAsia="es-MX"/>
        </w:rPr>
        <w:t xml:space="preserve">Los </w:t>
      </w:r>
      <w:r w:rsidRPr="002E1686">
        <w:rPr>
          <w:rFonts w:ascii="ITC Avant Garde" w:eastAsia="Times New Roman" w:hAnsi="ITC Avant Garde"/>
          <w:bCs/>
          <w:lang w:eastAsia="es-MX"/>
        </w:rPr>
        <w:t>Servicios”.</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Para el caso del pago por la entrega de </w:t>
      </w:r>
      <w:r w:rsidR="00F56C2B" w:rsidRPr="002E1686">
        <w:rPr>
          <w:rFonts w:ascii="ITC Avant Garde" w:eastAsia="Times New Roman" w:hAnsi="ITC Avant Garde"/>
          <w:bCs/>
          <w:lang w:eastAsia="es-MX"/>
        </w:rPr>
        <w:t xml:space="preserve">la </w:t>
      </w:r>
      <w:r w:rsidRPr="002E1686">
        <w:rPr>
          <w:rFonts w:ascii="ITC Avant Garde" w:eastAsia="Times New Roman" w:hAnsi="ITC Avant Garde"/>
          <w:bCs/>
          <w:lang w:eastAsia="es-MX"/>
        </w:rPr>
        <w:t>prestación del servicio correspondientes al mes de diciembre se observará lo dispuesto en los lineamientos para el cierre presupuestal que resulten aplicables.</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Si las facturas o los documentos presentan algún error </w:t>
      </w:r>
      <w:r w:rsidR="00234E2D" w:rsidRPr="002E1686">
        <w:rPr>
          <w:rFonts w:ascii="ITC Avant Garde" w:eastAsia="Times New Roman" w:hAnsi="ITC Avant Garde"/>
          <w:bCs/>
          <w:lang w:eastAsia="es-MX"/>
        </w:rPr>
        <w:t>e</w:t>
      </w:r>
      <w:r w:rsidRPr="002E1686">
        <w:rPr>
          <w:rFonts w:ascii="ITC Avant Garde" w:eastAsia="Times New Roman" w:hAnsi="ITC Avant Garde"/>
          <w:bCs/>
          <w:lang w:eastAsia="es-MX"/>
        </w:rPr>
        <w:t>l Área Administradora del Contrato, en un plazo no mayor a 3 (tres) días hábiles, indicará por escrito a "El Proveedor" las deficiencias que deberá corregir. El periodo que transcurra a partir del citado escrito y hasta que "El Proveedor" presente las correcciones, no se computará para efectos del plazo previsto en el artículo 53 de las Normas en materia de Adquisiciones, Arrendamientos y Servicios del Instituto Federal de Telecomunicaciones, 78 y 79 de los Lineamientos en materia de adquisiciones, arrendamientos y servicios del Instituto Federal de Telecomunicaciones.</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En caso de que "El </w:t>
      </w:r>
      <w:r w:rsidR="00CD764D" w:rsidRPr="002E1686">
        <w:rPr>
          <w:rFonts w:ascii="ITC Avant Garde" w:eastAsia="Times New Roman" w:hAnsi="ITC Avant Garde"/>
          <w:bCs/>
          <w:lang w:eastAsia="es-MX"/>
        </w:rPr>
        <w:t>Despacho</w:t>
      </w:r>
      <w:r w:rsidRPr="002E1686">
        <w:rPr>
          <w:rFonts w:ascii="ITC Avant Garde" w:eastAsia="Times New Roman" w:hAnsi="ITC Avant Garde"/>
          <w:bCs/>
          <w:lang w:eastAsia="es-MX"/>
        </w:rPr>
        <w:t>" no presente en el tiempo señalado la documentación requerida para el trámite de pago, la fecha de pago se correrá el mismo número de días que dure el retraso.</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En el caso de que el Instituto Federal de Telecomunicaciones no cumpla con el pago de las facturas correctas dentro de los 20 (veinte) días posteriores a la entrega de las mismas, "El </w:t>
      </w:r>
      <w:r w:rsidR="00CD764D" w:rsidRPr="002E1686">
        <w:rPr>
          <w:rFonts w:ascii="ITC Avant Garde" w:eastAsia="Times New Roman" w:hAnsi="ITC Avant Garde"/>
          <w:bCs/>
          <w:lang w:eastAsia="es-MX"/>
        </w:rPr>
        <w:t>Despacho</w:t>
      </w:r>
      <w:r w:rsidRPr="002E1686">
        <w:rPr>
          <w:rFonts w:ascii="ITC Avant Garde" w:eastAsia="Times New Roman" w:hAnsi="ITC Avant Garde"/>
          <w:bCs/>
          <w:lang w:eastAsia="es-MX"/>
        </w:rPr>
        <w:t>" podrá solicitar el pago de los gastos financieros conforme a lo establecido por el segundo párrafo del artículo 53 de las Normas en materia de Adquisiciones, Arrendamientos y Servicios del Instituto Federal de Telecomunicaciones.</w:t>
      </w:r>
    </w:p>
    <w:p w:rsidR="0064388F" w:rsidRPr="002E1686" w:rsidRDefault="0064388F" w:rsidP="00BA35C2">
      <w:pPr>
        <w:spacing w:after="0" w:line="240" w:lineRule="auto"/>
        <w:ind w:left="360"/>
        <w:jc w:val="both"/>
        <w:rPr>
          <w:rFonts w:ascii="ITC Avant Garde" w:eastAsia="Times New Roman" w:hAnsi="ITC Avant Garde"/>
          <w:bCs/>
          <w:lang w:eastAsia="es-MX"/>
        </w:rPr>
      </w:pPr>
    </w:p>
    <w:p w:rsidR="00B40030" w:rsidRPr="002E1686" w:rsidRDefault="00B40030" w:rsidP="00BA35C2">
      <w:pPr>
        <w:spacing w:after="0" w:line="240" w:lineRule="auto"/>
        <w:ind w:left="360"/>
        <w:jc w:val="both"/>
        <w:rPr>
          <w:rFonts w:ascii="ITC Avant Garde" w:eastAsia="Times New Roman" w:hAnsi="ITC Avant Garde"/>
          <w:bCs/>
          <w:lang w:eastAsia="es-MX"/>
        </w:rPr>
      </w:pPr>
    </w:p>
    <w:p w:rsidR="00B40030" w:rsidRPr="002E1686" w:rsidRDefault="00B40030" w:rsidP="00BA35C2">
      <w:pPr>
        <w:spacing w:after="0" w:line="240" w:lineRule="auto"/>
        <w:ind w:left="360"/>
        <w:jc w:val="both"/>
        <w:rPr>
          <w:rFonts w:ascii="ITC Avant Garde" w:eastAsia="Times New Roman" w:hAnsi="ITC Avant Garde"/>
          <w:bCs/>
          <w:lang w:eastAsia="es-MX"/>
        </w:rPr>
      </w:pPr>
    </w:p>
    <w:p w:rsidR="006A0E4C" w:rsidRDefault="006A0E4C" w:rsidP="00BA35C2">
      <w:pPr>
        <w:spacing w:after="0" w:line="240" w:lineRule="auto"/>
        <w:ind w:left="360"/>
        <w:jc w:val="both"/>
        <w:rPr>
          <w:rFonts w:ascii="ITC Avant Garde" w:eastAsia="Times New Roman" w:hAnsi="ITC Avant Garde"/>
          <w:bCs/>
          <w:lang w:eastAsia="es-MX"/>
        </w:rPr>
      </w:pPr>
    </w:p>
    <w:p w:rsidR="002E1686" w:rsidRDefault="002E1686" w:rsidP="00BA35C2">
      <w:pPr>
        <w:spacing w:after="0" w:line="240" w:lineRule="auto"/>
        <w:ind w:left="360"/>
        <w:jc w:val="both"/>
        <w:rPr>
          <w:rFonts w:ascii="ITC Avant Garde" w:eastAsia="Times New Roman" w:hAnsi="ITC Avant Garde"/>
          <w:bCs/>
          <w:lang w:eastAsia="es-MX"/>
        </w:rPr>
      </w:pPr>
    </w:p>
    <w:p w:rsidR="002E1686" w:rsidRDefault="002E1686" w:rsidP="00BA35C2">
      <w:pPr>
        <w:spacing w:after="0" w:line="240" w:lineRule="auto"/>
        <w:ind w:left="360"/>
        <w:jc w:val="both"/>
        <w:rPr>
          <w:rFonts w:ascii="ITC Avant Garde" w:eastAsia="Times New Roman" w:hAnsi="ITC Avant Garde"/>
          <w:bCs/>
          <w:lang w:eastAsia="es-MX"/>
        </w:rPr>
      </w:pPr>
    </w:p>
    <w:p w:rsidR="002E1686" w:rsidRDefault="002E1686" w:rsidP="00BA35C2">
      <w:pPr>
        <w:spacing w:after="0" w:line="240" w:lineRule="auto"/>
        <w:ind w:left="360"/>
        <w:jc w:val="both"/>
        <w:rPr>
          <w:rFonts w:ascii="ITC Avant Garde" w:eastAsia="Times New Roman" w:hAnsi="ITC Avant Garde"/>
          <w:bCs/>
          <w:lang w:eastAsia="es-MX"/>
        </w:rPr>
      </w:pPr>
    </w:p>
    <w:p w:rsidR="002E1686" w:rsidRDefault="002E1686" w:rsidP="00BA35C2">
      <w:pPr>
        <w:spacing w:after="0" w:line="240" w:lineRule="auto"/>
        <w:ind w:left="360"/>
        <w:jc w:val="both"/>
        <w:rPr>
          <w:rFonts w:ascii="ITC Avant Garde" w:eastAsia="Times New Roman" w:hAnsi="ITC Avant Garde"/>
          <w:bCs/>
          <w:lang w:eastAsia="es-MX"/>
        </w:rPr>
      </w:pPr>
    </w:p>
    <w:p w:rsidR="002E1686" w:rsidRDefault="002E1686" w:rsidP="00BA35C2">
      <w:pPr>
        <w:spacing w:after="0" w:line="240" w:lineRule="auto"/>
        <w:ind w:left="360"/>
        <w:jc w:val="both"/>
        <w:rPr>
          <w:rFonts w:ascii="ITC Avant Garde" w:eastAsia="Times New Roman" w:hAnsi="ITC Avant Garde"/>
          <w:bCs/>
          <w:lang w:eastAsia="es-MX"/>
        </w:rPr>
      </w:pPr>
    </w:p>
    <w:p w:rsidR="002E1686" w:rsidRPr="002E1686" w:rsidRDefault="002E1686" w:rsidP="00BA35C2">
      <w:pPr>
        <w:spacing w:after="0" w:line="240" w:lineRule="auto"/>
        <w:ind w:left="360"/>
        <w:jc w:val="both"/>
        <w:rPr>
          <w:rFonts w:ascii="ITC Avant Garde" w:eastAsia="Times New Roman" w:hAnsi="ITC Avant Garde"/>
          <w:bCs/>
          <w:lang w:eastAsia="es-MX"/>
        </w:rPr>
      </w:pPr>
    </w:p>
    <w:p w:rsidR="006A0E4C" w:rsidRPr="002E1686" w:rsidRDefault="006A0E4C"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
          <w:bCs/>
          <w:lang w:eastAsia="es-MX"/>
        </w:rPr>
        <w:lastRenderedPageBreak/>
        <w:t>Pena Convencional y/o Deducciones</w:t>
      </w:r>
      <w:r w:rsidRPr="002E1686">
        <w:rPr>
          <w:rFonts w:ascii="ITC Avant Garde" w:eastAsia="Times New Roman" w:hAnsi="ITC Avant Garde"/>
          <w:bCs/>
          <w:lang w:eastAsia="es-MX"/>
        </w:rPr>
        <w:t>:</w:t>
      </w:r>
    </w:p>
    <w:p w:rsidR="000F168B" w:rsidRPr="002E1686" w:rsidRDefault="000F168B" w:rsidP="00BA35C2">
      <w:pPr>
        <w:spacing w:after="0" w:line="240" w:lineRule="auto"/>
        <w:ind w:left="360"/>
        <w:jc w:val="both"/>
        <w:rPr>
          <w:rFonts w:ascii="ITC Avant Garde" w:eastAsia="Times New Roman" w:hAnsi="ITC Avant Garde"/>
          <w:bCs/>
          <w:lang w:eastAsia="es-MX"/>
        </w:rPr>
      </w:pPr>
    </w:p>
    <w:tbl>
      <w:tblPr>
        <w:tblW w:w="9582" w:type="dxa"/>
        <w:tblInd w:w="55" w:type="dxa"/>
        <w:tblCellMar>
          <w:left w:w="70" w:type="dxa"/>
          <w:right w:w="70" w:type="dxa"/>
        </w:tblCellMar>
        <w:tblLook w:val="04A0" w:firstRow="1" w:lastRow="0" w:firstColumn="1" w:lastColumn="0" w:noHBand="0" w:noVBand="1"/>
      </w:tblPr>
      <w:tblGrid>
        <w:gridCol w:w="4835"/>
        <w:gridCol w:w="4747"/>
      </w:tblGrid>
      <w:tr w:rsidR="00BA35C2" w:rsidRPr="002E1686" w:rsidTr="00FD687A">
        <w:trPr>
          <w:trHeight w:val="300"/>
        </w:trPr>
        <w:tc>
          <w:tcPr>
            <w:tcW w:w="4835" w:type="dxa"/>
            <w:tcBorders>
              <w:top w:val="single" w:sz="4" w:space="0" w:color="FFFFFF"/>
              <w:left w:val="single" w:sz="4" w:space="0" w:color="auto"/>
              <w:bottom w:val="single" w:sz="4" w:space="0" w:color="auto"/>
              <w:right w:val="single" w:sz="4" w:space="0" w:color="FFFFFF"/>
            </w:tcBorders>
            <w:shd w:val="solid" w:color="auto" w:fill="auto"/>
            <w:noWrap/>
            <w:vAlign w:val="center"/>
          </w:tcPr>
          <w:p w:rsidR="00BA35C2" w:rsidRPr="002E1686" w:rsidRDefault="00BA35C2" w:rsidP="00FD687A">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PENA CONVENCIONAL</w:t>
            </w:r>
          </w:p>
        </w:tc>
        <w:tc>
          <w:tcPr>
            <w:tcW w:w="4747" w:type="dxa"/>
            <w:tcBorders>
              <w:top w:val="single" w:sz="4" w:space="0" w:color="FFFFFF"/>
              <w:left w:val="single" w:sz="4" w:space="0" w:color="FFFFFF"/>
              <w:bottom w:val="single" w:sz="4" w:space="0" w:color="auto"/>
              <w:right w:val="single" w:sz="4" w:space="0" w:color="FFFFFF"/>
            </w:tcBorders>
            <w:shd w:val="solid" w:color="auto" w:fill="auto"/>
          </w:tcPr>
          <w:p w:rsidR="00BA35C2" w:rsidRPr="002E1686" w:rsidRDefault="00BA35C2" w:rsidP="00FD687A">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DEDUCCIONES</w:t>
            </w:r>
          </w:p>
        </w:tc>
      </w:tr>
      <w:tr w:rsidR="00BA35C2" w:rsidRPr="002E1686" w:rsidTr="00FD687A">
        <w:trPr>
          <w:trHeight w:val="300"/>
        </w:trPr>
        <w:tc>
          <w:tcPr>
            <w:tcW w:w="4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35C2" w:rsidRPr="002E1686" w:rsidRDefault="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Se aplicará una pena convencional del 0.5% (cero punto cinco por ciento) sobre el monto de “Los Servicios” no entregados oportunamente por causas imputables al Proveedor, por cada día natural de atraso, de conformidad con lo dispuesto por el artículo 55 de las Normas en materia de Adquisiciones, Arrendamientos y Servicios del Instituto Federal de Telecomunicaciones, l</w:t>
            </w:r>
            <w:r w:rsidRPr="002E1686">
              <w:rPr>
                <w:rFonts w:ascii="ITC Avant Garde" w:eastAsia="Times New Roman" w:hAnsi="ITC Avant Garde" w:cs="Arial"/>
                <w:bCs/>
                <w:lang w:eastAsia="es-ES"/>
              </w:rPr>
              <w:t>a penalización máxima a aplicar es del 10% (diez por ciento) del valor de los bienes y/o servicios entregados con atraso</w:t>
            </w:r>
            <w:r w:rsidRPr="002E1686">
              <w:rPr>
                <w:rFonts w:ascii="ITC Avant Garde" w:eastAsia="Times New Roman" w:hAnsi="ITC Avant Garde"/>
                <w:bCs/>
                <w:lang w:eastAsia="es-MX"/>
              </w:rPr>
              <w:t>. La suma de las penas convencionales no deberá exceder del importe de la garantía de cumplimiento del contrato, en el entendido de que si el contrato es rescindido no procederá el cobro de dichas penas ni la contabilización de las mismas al hacer efectiva la garantía de cumplimiento.</w:t>
            </w:r>
          </w:p>
        </w:tc>
        <w:tc>
          <w:tcPr>
            <w:tcW w:w="4747" w:type="dxa"/>
            <w:tcBorders>
              <w:top w:val="single" w:sz="4" w:space="0" w:color="auto"/>
              <w:left w:val="single" w:sz="4" w:space="0" w:color="auto"/>
              <w:bottom w:val="single" w:sz="4" w:space="0" w:color="auto"/>
              <w:right w:val="single" w:sz="4" w:space="0" w:color="auto"/>
            </w:tcBorders>
          </w:tcPr>
          <w:p w:rsidR="00BA35C2" w:rsidRPr="002E1686" w:rsidRDefault="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Las deducciones serán equivalentes al 0.5% (cero punto cinco por ciento), en función del incumplimiento parcial o deficiente en la prestación de  “Los Servicios”, las cuales se harán efectivas sobre la factura que se presente para su pago hasta por un 10% (diez por ciento); en caso de que se supere dicho porcentaje se podrá cancelar parcial o totalmente la partida o concepto, o bien podrá rescindir administrativamente el contrato correspondiente, en términos del artículo 56 de las Normas en materia de Adquisiciones, Arrendamientos y Servicios del Instituto Federal de Telecomunicaciones y el artículo 86 de los  Lineamientos en materia de adquisiciones, arrendamientos y servicios del Instituto Federal de Telecomunicaciones.</w:t>
            </w:r>
          </w:p>
        </w:tc>
      </w:tr>
    </w:tbl>
    <w:p w:rsidR="00BA35C2" w:rsidRPr="002E1686" w:rsidRDefault="00BA35C2" w:rsidP="00BA35C2">
      <w:pPr>
        <w:spacing w:after="0" w:line="240" w:lineRule="auto"/>
        <w:ind w:left="360"/>
        <w:jc w:val="both"/>
        <w:rPr>
          <w:rFonts w:ascii="ITC Avant Garde" w:eastAsia="Times New Roman" w:hAnsi="ITC Avant Garde"/>
          <w:bCs/>
          <w:lang w:eastAsia="es-MX"/>
        </w:rPr>
      </w:pPr>
    </w:p>
    <w:p w:rsidR="00BA35C2" w:rsidRPr="002E1686" w:rsidRDefault="00BA35C2" w:rsidP="00BA35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
          <w:bCs/>
          <w:lang w:eastAsia="es-MX"/>
        </w:rPr>
        <w:t>Garantía de Cumplimiento</w:t>
      </w:r>
      <w:r w:rsidRPr="002E1686">
        <w:rPr>
          <w:rFonts w:ascii="ITC Avant Garde" w:eastAsia="Times New Roman" w:hAnsi="ITC Avant Garde"/>
          <w:bCs/>
          <w:lang w:eastAsia="es-MX"/>
        </w:rPr>
        <w:t>:</w:t>
      </w:r>
      <w:r w:rsidR="006F3CE0" w:rsidRPr="002E1686">
        <w:rPr>
          <w:rFonts w:ascii="ITC Avant Garde" w:eastAsia="Times New Roman" w:hAnsi="ITC Avant Garde"/>
          <w:bCs/>
          <w:lang w:eastAsia="es-MX"/>
        </w:rPr>
        <w:t xml:space="preserve"> </w:t>
      </w:r>
    </w:p>
    <w:p w:rsidR="00BA35C2" w:rsidRPr="002E1686" w:rsidRDefault="00BA35C2" w:rsidP="00BA35C2">
      <w:pPr>
        <w:spacing w:after="0" w:line="240" w:lineRule="auto"/>
        <w:ind w:left="360"/>
        <w:jc w:val="both"/>
        <w:rPr>
          <w:rFonts w:ascii="ITC Avant Garde" w:eastAsia="Times New Roman" w:hAnsi="ITC Avant Garde"/>
          <w:bCs/>
          <w:lang w:eastAsia="es-MX"/>
        </w:rPr>
      </w:pPr>
    </w:p>
    <w:p w:rsidR="00792E50" w:rsidRPr="002E1686" w:rsidRDefault="00792E50" w:rsidP="00792E50">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El proveedor para garantizar el cumplimiento de sus obligaciones y de conformidad con el artículo 50 de las Normas en materia de adquisiciones, arrendamientos y servicios del Instituto Federal de Telecomunicaciones y el artículo 92 de los Lineamientos en materia de adquisiciones, arrendamientos y servicios del Instituto Federal de Telecomunicaciones, se obliga a entregar al IFT, dentro de los 10 (diez) días naturales siguientes a la fecha de firma del contrato, una garantía por un valor igual al 10% (diez por ciento) del monto total del mismo, antes del Impuesto al Valor Agregado, bajo cualquiera de las siguientes formas: depósito de dinero constituido a través de certificado o billete de depósito expedido por Institución de crédito autorizada; fianza otorgada por Institución Autorizada; depósito de dinero constituido ante la Tesorería del Instituto; carta de crédito irrevocable expedida por Institución de crédito autorizada; cheque certificado o de caja expedido a favor del Instituto y cualquier otra que, en su caso, autorice la Unidad de Administración. La cual se hará efectiva de manera proporcional al monto de las obligaciones incumplidas. Queda establecido que la obligación garantizada es divisible.</w:t>
      </w:r>
    </w:p>
    <w:p w:rsidR="00792E50" w:rsidRPr="002E1686" w:rsidRDefault="00792E50" w:rsidP="00792E50">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w:t>
      </w:r>
    </w:p>
    <w:p w:rsidR="00792E50" w:rsidRDefault="00792E50" w:rsidP="00792E50">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w:t>
      </w:r>
    </w:p>
    <w:p w:rsidR="002E1686" w:rsidRPr="002E1686" w:rsidRDefault="002E1686" w:rsidP="00792E50">
      <w:pPr>
        <w:spacing w:after="0" w:line="240" w:lineRule="auto"/>
        <w:ind w:left="360"/>
        <w:jc w:val="both"/>
        <w:rPr>
          <w:rFonts w:ascii="ITC Avant Garde" w:eastAsia="Times New Roman" w:hAnsi="ITC Avant Garde"/>
          <w:bCs/>
          <w:lang w:eastAsia="es-MX"/>
        </w:rPr>
      </w:pPr>
    </w:p>
    <w:p w:rsidR="00792E50" w:rsidRPr="002E1686" w:rsidRDefault="00792E50" w:rsidP="00792E50">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lastRenderedPageBreak/>
        <w:t>La garantía de cumplimiento, podrá ser por el porcentaje que corresponda del monto total por erogar en el ejercicio fiscal de que se trate, debiendo en este caso renovarse cada ejercicio fiscal por el monto que se ejercerá en el mismo, de conformidad con lo establecido en el artículo 76 Lineamientos en materia de adquisiciones, arrendamientos y servicios del Instituto Federal de Telecomunicaciones.</w:t>
      </w:r>
    </w:p>
    <w:p w:rsidR="00521D1D" w:rsidRPr="002E1686" w:rsidRDefault="00521D1D" w:rsidP="004458C2">
      <w:pPr>
        <w:spacing w:after="0" w:line="240" w:lineRule="auto"/>
        <w:ind w:left="360"/>
        <w:jc w:val="both"/>
        <w:rPr>
          <w:rFonts w:ascii="ITC Avant Garde" w:eastAsia="Times New Roman" w:hAnsi="ITC Avant Garde"/>
          <w:bCs/>
          <w:lang w:eastAsia="es-MX"/>
        </w:rPr>
      </w:pPr>
    </w:p>
    <w:p w:rsidR="0064388F" w:rsidRPr="002E1686" w:rsidRDefault="008C34B0" w:rsidP="004458C2">
      <w:pPr>
        <w:spacing w:after="0" w:line="240" w:lineRule="auto"/>
        <w:ind w:left="360"/>
        <w:jc w:val="both"/>
        <w:rPr>
          <w:rFonts w:ascii="ITC Avant Garde" w:eastAsia="Times New Roman" w:hAnsi="ITC Avant Garde"/>
          <w:bCs/>
          <w:lang w:eastAsia="es-MX"/>
        </w:rPr>
      </w:pPr>
      <w:r w:rsidRPr="002E1686">
        <w:rPr>
          <w:rFonts w:ascii="ITC Avant Garde" w:eastAsia="Times New Roman" w:hAnsi="ITC Avant Garde"/>
          <w:bCs/>
          <w:lang w:eastAsia="es-MX"/>
        </w:rPr>
        <w:t xml:space="preserve">La </w:t>
      </w:r>
      <w:r w:rsidR="00C16BA7" w:rsidRPr="002E1686">
        <w:rPr>
          <w:rFonts w:ascii="ITC Avant Garde" w:eastAsia="Times New Roman" w:hAnsi="ITC Avant Garde"/>
          <w:bCs/>
          <w:lang w:eastAsia="es-MX"/>
        </w:rPr>
        <w:t>garantía</w:t>
      </w:r>
      <w:r w:rsidRPr="002E1686">
        <w:rPr>
          <w:rFonts w:ascii="ITC Avant Garde" w:eastAsia="Times New Roman" w:hAnsi="ITC Avant Garde"/>
          <w:bCs/>
          <w:lang w:eastAsia="es-MX"/>
        </w:rPr>
        <w:t xml:space="preserve"> respectiva</w:t>
      </w:r>
      <w:r w:rsidR="00C16BA7" w:rsidRPr="002E1686">
        <w:rPr>
          <w:rFonts w:ascii="ITC Avant Garde" w:eastAsia="Times New Roman" w:hAnsi="ITC Avant Garde"/>
          <w:bCs/>
          <w:lang w:eastAsia="es-MX"/>
        </w:rPr>
        <w:t xml:space="preserve"> deberá presentarse en la Dirección </w:t>
      </w:r>
      <w:r w:rsidR="00EB37EF">
        <w:rPr>
          <w:rFonts w:ascii="ITC Avant Garde" w:eastAsia="Times New Roman" w:hAnsi="ITC Avant Garde"/>
          <w:bCs/>
          <w:lang w:eastAsia="es-MX"/>
        </w:rPr>
        <w:t>General de Adquisiciones,</w:t>
      </w:r>
      <w:r w:rsidR="00C16BA7" w:rsidRPr="002E1686">
        <w:rPr>
          <w:rFonts w:ascii="ITC Avant Garde" w:eastAsia="Times New Roman" w:hAnsi="ITC Avant Garde"/>
          <w:bCs/>
          <w:lang w:eastAsia="es-MX"/>
        </w:rPr>
        <w:t xml:space="preserve"> Recursos Materiales y Servicios Generales de la </w:t>
      </w:r>
      <w:r w:rsidR="00692094" w:rsidRPr="002E1686">
        <w:rPr>
          <w:rFonts w:ascii="ITC Avant Garde" w:eastAsia="Times New Roman" w:hAnsi="ITC Avant Garde"/>
          <w:bCs/>
          <w:lang w:eastAsia="es-MX"/>
        </w:rPr>
        <w:t>Unidad</w:t>
      </w:r>
      <w:r w:rsidR="00C16BA7" w:rsidRPr="002E1686">
        <w:rPr>
          <w:rFonts w:ascii="ITC Avant Garde" w:eastAsia="Times New Roman" w:hAnsi="ITC Avant Garde"/>
          <w:bCs/>
          <w:lang w:eastAsia="es-MX"/>
        </w:rPr>
        <w:t xml:space="preserve"> de Administración sita en Edificio Torre </w:t>
      </w:r>
      <w:proofErr w:type="spellStart"/>
      <w:r w:rsidR="00C16BA7" w:rsidRPr="002E1686">
        <w:rPr>
          <w:rFonts w:ascii="ITC Avant Garde" w:eastAsia="Times New Roman" w:hAnsi="ITC Avant Garde"/>
          <w:bCs/>
          <w:lang w:eastAsia="es-MX"/>
        </w:rPr>
        <w:t>Rouz</w:t>
      </w:r>
      <w:proofErr w:type="spellEnd"/>
      <w:r w:rsidR="00C16BA7" w:rsidRPr="002E1686">
        <w:rPr>
          <w:rFonts w:ascii="ITC Avant Garde" w:eastAsia="Times New Roman" w:hAnsi="ITC Avant Garde"/>
          <w:bCs/>
          <w:lang w:eastAsia="es-MX"/>
        </w:rPr>
        <w:t xml:space="preserve"> II ubicado en Insurgentes Sur 838, Piso 5 Col del Valle, México, Distrito Federal. México, dentro de los 10 días naturales posteriores a la firma del contrato correspondiente.</w:t>
      </w:r>
    </w:p>
    <w:p w:rsidR="006F3CE0" w:rsidRPr="002E1686" w:rsidRDefault="006F3CE0" w:rsidP="004458C2">
      <w:pPr>
        <w:spacing w:after="0" w:line="240" w:lineRule="auto"/>
        <w:ind w:left="360"/>
        <w:jc w:val="both"/>
        <w:rPr>
          <w:rFonts w:ascii="ITC Avant Garde" w:eastAsia="Times New Roman" w:hAnsi="ITC Avant Garde"/>
          <w:bCs/>
          <w:lang w:eastAsia="es-MX"/>
        </w:rPr>
      </w:pPr>
    </w:p>
    <w:p w:rsidR="006A0E4C" w:rsidRPr="002E1686" w:rsidRDefault="006A0E4C" w:rsidP="004458C2">
      <w:pPr>
        <w:spacing w:after="0" w:line="240" w:lineRule="auto"/>
        <w:ind w:left="360"/>
        <w:jc w:val="both"/>
        <w:rPr>
          <w:rFonts w:ascii="ITC Avant Garde" w:eastAsia="Times New Roman" w:hAnsi="ITC Avant Garde"/>
          <w:bCs/>
          <w:lang w:eastAsia="es-MX"/>
        </w:rPr>
      </w:pPr>
      <w:bookmarkStart w:id="1" w:name="_GoBack"/>
      <w:bookmarkEnd w:id="1"/>
    </w:p>
    <w:tbl>
      <w:tblPr>
        <w:tblStyle w:val="Tablaconcuadrcul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6"/>
        <w:gridCol w:w="4232"/>
      </w:tblGrid>
      <w:tr w:rsidR="006A0E4C" w:rsidRPr="002E1686" w:rsidTr="006A0E4C">
        <w:tc>
          <w:tcPr>
            <w:tcW w:w="4236" w:type="dxa"/>
          </w:tcPr>
          <w:p w:rsidR="006A0E4C" w:rsidRPr="002E1686" w:rsidRDefault="006A0E4C" w:rsidP="006A0E4C">
            <w:pPr>
              <w:spacing w:after="0" w:line="240" w:lineRule="auto"/>
              <w:jc w:val="center"/>
              <w:rPr>
                <w:rFonts w:ascii="ITC Avant Garde" w:eastAsia="Times New Roman" w:hAnsi="ITC Avant Garde"/>
                <w:bCs/>
                <w:lang w:eastAsia="es-MX"/>
              </w:rPr>
            </w:pPr>
            <w:r w:rsidRPr="002E1686">
              <w:rPr>
                <w:rFonts w:ascii="ITC Avant Garde" w:eastAsia="Times New Roman" w:hAnsi="ITC Avant Garde"/>
                <w:bCs/>
                <w:lang w:eastAsia="es-MX"/>
              </w:rPr>
              <w:t>Elaboró</w:t>
            </w:r>
          </w:p>
          <w:p w:rsidR="006A0E4C" w:rsidRPr="002E1686" w:rsidRDefault="006A0E4C" w:rsidP="006A0E4C">
            <w:pPr>
              <w:spacing w:after="0" w:line="240" w:lineRule="auto"/>
              <w:jc w:val="center"/>
              <w:rPr>
                <w:rFonts w:ascii="ITC Avant Garde" w:eastAsia="Times New Roman" w:hAnsi="ITC Avant Garde"/>
                <w:bCs/>
                <w:lang w:eastAsia="es-MX"/>
              </w:rPr>
            </w:pPr>
          </w:p>
          <w:p w:rsidR="006A0E4C" w:rsidRPr="002E1686" w:rsidRDefault="006A0E4C" w:rsidP="006A0E4C">
            <w:pPr>
              <w:spacing w:after="0" w:line="240" w:lineRule="auto"/>
              <w:jc w:val="center"/>
              <w:rPr>
                <w:rFonts w:ascii="ITC Avant Garde" w:eastAsia="Times New Roman" w:hAnsi="ITC Avant Garde"/>
                <w:bCs/>
                <w:lang w:eastAsia="es-MX"/>
              </w:rPr>
            </w:pPr>
          </w:p>
          <w:p w:rsidR="006A0E4C" w:rsidRPr="002E1686" w:rsidRDefault="006A0E4C" w:rsidP="006A0E4C">
            <w:pPr>
              <w:spacing w:after="0" w:line="240" w:lineRule="auto"/>
              <w:jc w:val="center"/>
              <w:rPr>
                <w:rFonts w:ascii="ITC Avant Garde" w:eastAsia="Times New Roman" w:hAnsi="ITC Avant Garde"/>
                <w:bCs/>
                <w:lang w:eastAsia="es-MX"/>
              </w:rPr>
            </w:pPr>
            <w:r w:rsidRPr="002E1686">
              <w:rPr>
                <w:rFonts w:ascii="ITC Avant Garde" w:eastAsia="Times New Roman" w:hAnsi="ITC Avant Garde"/>
                <w:bCs/>
                <w:lang w:eastAsia="es-MX"/>
              </w:rPr>
              <w:t>C.P. Martha Alicia Gutiérrez González</w:t>
            </w:r>
          </w:p>
          <w:p w:rsidR="006A0E4C" w:rsidRPr="002E1686" w:rsidRDefault="006A0E4C" w:rsidP="006A0E4C">
            <w:pPr>
              <w:spacing w:after="0" w:line="240" w:lineRule="auto"/>
              <w:jc w:val="center"/>
              <w:rPr>
                <w:rFonts w:ascii="ITC Avant Garde" w:eastAsia="Times New Roman" w:hAnsi="ITC Avant Garde"/>
                <w:bCs/>
                <w:lang w:eastAsia="es-MX"/>
              </w:rPr>
            </w:pPr>
            <w:r w:rsidRPr="002E1686">
              <w:rPr>
                <w:rFonts w:ascii="ITC Avant Garde" w:eastAsia="Times New Roman" w:hAnsi="ITC Avant Garde"/>
                <w:bCs/>
                <w:lang w:eastAsia="es-MX"/>
              </w:rPr>
              <w:t>Directora de Contabilidad Financiera</w:t>
            </w:r>
          </w:p>
          <w:p w:rsidR="006A0E4C" w:rsidRPr="002E1686" w:rsidRDefault="006A0E4C" w:rsidP="006A0E4C">
            <w:pPr>
              <w:spacing w:after="0" w:line="240" w:lineRule="auto"/>
              <w:jc w:val="center"/>
              <w:rPr>
                <w:rFonts w:ascii="ITC Avant Garde" w:eastAsia="Times New Roman" w:hAnsi="ITC Avant Garde"/>
                <w:bCs/>
                <w:lang w:eastAsia="es-MX"/>
              </w:rPr>
            </w:pPr>
          </w:p>
        </w:tc>
        <w:tc>
          <w:tcPr>
            <w:tcW w:w="4232" w:type="dxa"/>
          </w:tcPr>
          <w:p w:rsidR="006A0E4C" w:rsidRPr="002E1686" w:rsidRDefault="006A0E4C" w:rsidP="006A0E4C">
            <w:pPr>
              <w:pStyle w:val="Default"/>
              <w:jc w:val="center"/>
              <w:rPr>
                <w:rFonts w:ascii="ITC Avant Garde" w:hAnsi="ITC Avant Garde" w:cs="Arial"/>
                <w:sz w:val="22"/>
                <w:szCs w:val="22"/>
                <w:shd w:val="clear" w:color="auto" w:fill="FFFFFF"/>
              </w:rPr>
            </w:pPr>
            <w:r w:rsidRPr="002E1686">
              <w:rPr>
                <w:rFonts w:ascii="ITC Avant Garde" w:hAnsi="ITC Avant Garde" w:cs="Arial"/>
                <w:sz w:val="22"/>
                <w:szCs w:val="22"/>
                <w:shd w:val="clear" w:color="auto" w:fill="FFFFFF"/>
              </w:rPr>
              <w:t>Revisó</w:t>
            </w:r>
          </w:p>
          <w:p w:rsidR="006A0E4C" w:rsidRPr="002E1686" w:rsidRDefault="006A0E4C" w:rsidP="006A0E4C">
            <w:pPr>
              <w:pStyle w:val="Default"/>
              <w:jc w:val="center"/>
              <w:rPr>
                <w:rFonts w:ascii="ITC Avant Garde" w:hAnsi="ITC Avant Garde" w:cs="Arial"/>
                <w:sz w:val="22"/>
                <w:szCs w:val="22"/>
                <w:shd w:val="clear" w:color="auto" w:fill="FFFFFF"/>
              </w:rPr>
            </w:pPr>
          </w:p>
          <w:p w:rsidR="006A0E4C" w:rsidRPr="002E1686" w:rsidRDefault="006A0E4C" w:rsidP="006A0E4C">
            <w:pPr>
              <w:pStyle w:val="Default"/>
              <w:jc w:val="center"/>
              <w:rPr>
                <w:rFonts w:ascii="ITC Avant Garde" w:hAnsi="ITC Avant Garde" w:cs="Arial"/>
                <w:sz w:val="22"/>
                <w:szCs w:val="22"/>
                <w:shd w:val="clear" w:color="auto" w:fill="FFFFFF"/>
              </w:rPr>
            </w:pPr>
          </w:p>
          <w:p w:rsidR="006A0E4C" w:rsidRPr="002E1686" w:rsidRDefault="006A0E4C" w:rsidP="006A0E4C">
            <w:pPr>
              <w:pStyle w:val="Default"/>
              <w:jc w:val="center"/>
              <w:rPr>
                <w:rFonts w:ascii="ITC Avant Garde" w:hAnsi="ITC Avant Garde" w:cs="Arial"/>
                <w:sz w:val="22"/>
                <w:szCs w:val="22"/>
                <w:shd w:val="clear" w:color="auto" w:fill="FFFFFF"/>
              </w:rPr>
            </w:pPr>
            <w:r w:rsidRPr="002E1686">
              <w:rPr>
                <w:rFonts w:ascii="ITC Avant Garde" w:hAnsi="ITC Avant Garde" w:cs="Arial"/>
                <w:sz w:val="22"/>
                <w:szCs w:val="22"/>
                <w:shd w:val="clear" w:color="auto" w:fill="FFFFFF"/>
              </w:rPr>
              <w:t xml:space="preserve">Mtra. Dimpna Gisela Morales González </w:t>
            </w:r>
          </w:p>
          <w:p w:rsidR="006A0E4C" w:rsidRPr="002E1686" w:rsidRDefault="006A0E4C" w:rsidP="006A0E4C">
            <w:pPr>
              <w:pStyle w:val="Default"/>
              <w:jc w:val="center"/>
              <w:rPr>
                <w:rFonts w:ascii="ITC Avant Garde" w:hAnsi="ITC Avant Garde" w:cs="Arial"/>
                <w:sz w:val="22"/>
                <w:szCs w:val="22"/>
                <w:shd w:val="clear" w:color="auto" w:fill="FFFFFF"/>
              </w:rPr>
            </w:pPr>
            <w:r w:rsidRPr="002E1686">
              <w:rPr>
                <w:rFonts w:ascii="ITC Avant Garde" w:hAnsi="ITC Avant Garde" w:cs="Arial"/>
                <w:sz w:val="22"/>
                <w:szCs w:val="22"/>
                <w:shd w:val="clear" w:color="auto" w:fill="FFFFFF"/>
              </w:rPr>
              <w:t>Directora de Programación y Presupuesto</w:t>
            </w:r>
          </w:p>
          <w:p w:rsidR="006A0E4C" w:rsidRPr="002E1686" w:rsidRDefault="006A0E4C" w:rsidP="006A0E4C">
            <w:pPr>
              <w:pStyle w:val="Default"/>
              <w:jc w:val="center"/>
              <w:rPr>
                <w:rFonts w:ascii="ITC Avant Garde" w:hAnsi="ITC Avant Garde" w:cs="Arial"/>
                <w:sz w:val="16"/>
                <w:szCs w:val="16"/>
                <w:shd w:val="clear" w:color="auto" w:fill="FFFFFF"/>
              </w:rPr>
            </w:pPr>
            <w:r w:rsidRPr="002E1686">
              <w:rPr>
                <w:rFonts w:ascii="ITC Avant Garde" w:hAnsi="ITC Avant Garde" w:cs="Arial"/>
                <w:sz w:val="16"/>
                <w:szCs w:val="16"/>
                <w:shd w:val="clear" w:color="auto" w:fill="FFFFFF"/>
              </w:rPr>
              <w:t>En suplencia por ausencia del Director General de Finanzas, Presupuesto y Contabilidad</w:t>
            </w:r>
          </w:p>
          <w:p w:rsidR="006F3CE0" w:rsidRPr="002E1686" w:rsidRDefault="006A0E4C" w:rsidP="006F3CE0">
            <w:pPr>
              <w:pStyle w:val="Default"/>
              <w:jc w:val="center"/>
              <w:rPr>
                <w:rFonts w:ascii="ITC Avant Garde" w:hAnsi="ITC Avant Garde" w:cs="Arial"/>
                <w:sz w:val="16"/>
                <w:szCs w:val="16"/>
                <w:shd w:val="clear" w:color="auto" w:fill="FFFFFF"/>
              </w:rPr>
            </w:pPr>
            <w:r w:rsidRPr="002E1686">
              <w:rPr>
                <w:rFonts w:ascii="ITC Avant Garde" w:hAnsi="ITC Avant Garde" w:cs="Arial"/>
                <w:sz w:val="16"/>
                <w:szCs w:val="16"/>
                <w:shd w:val="clear" w:color="auto" w:fill="FFFFFF"/>
              </w:rPr>
              <w:t>Con fundamento en lo dispuesto por los artículos 4, fracción V, inciso viii), 5, último párrafo, y 57</w:t>
            </w:r>
            <w:r w:rsidR="006F3CE0" w:rsidRPr="002E1686">
              <w:rPr>
                <w:rFonts w:ascii="ITC Avant Garde" w:hAnsi="ITC Avant Garde" w:cs="Arial"/>
                <w:sz w:val="16"/>
                <w:szCs w:val="16"/>
                <w:shd w:val="clear" w:color="auto" w:fill="FFFFFF"/>
              </w:rPr>
              <w:t xml:space="preserve"> </w:t>
            </w:r>
            <w:r w:rsidRPr="002E1686">
              <w:rPr>
                <w:rFonts w:ascii="ITC Avant Garde" w:hAnsi="ITC Avant Garde" w:cs="Arial"/>
                <w:sz w:val="16"/>
                <w:szCs w:val="16"/>
                <w:shd w:val="clear" w:color="auto" w:fill="FFFFFF"/>
              </w:rPr>
              <w:t>del Estatuto Orgánico del Instituto Federal de Telecomunicaciones.</w:t>
            </w:r>
          </w:p>
          <w:p w:rsidR="006A0E4C" w:rsidRPr="002E1686" w:rsidRDefault="006A0E4C" w:rsidP="006A0E4C">
            <w:pPr>
              <w:pStyle w:val="Default"/>
              <w:jc w:val="center"/>
              <w:rPr>
                <w:rFonts w:ascii="ITC Avant Garde" w:hAnsi="ITC Avant Garde" w:cs="Arial"/>
                <w:sz w:val="22"/>
                <w:szCs w:val="22"/>
                <w:shd w:val="clear" w:color="auto" w:fill="FFFFFF"/>
              </w:rPr>
            </w:pPr>
          </w:p>
          <w:p w:rsidR="006A0E4C" w:rsidRPr="002E1686" w:rsidRDefault="006A0E4C" w:rsidP="004458C2">
            <w:pPr>
              <w:spacing w:after="0" w:line="240" w:lineRule="auto"/>
              <w:jc w:val="both"/>
              <w:rPr>
                <w:rFonts w:ascii="ITC Avant Garde" w:eastAsia="Times New Roman" w:hAnsi="ITC Avant Garde"/>
                <w:bCs/>
                <w:lang w:eastAsia="es-MX"/>
              </w:rPr>
            </w:pPr>
          </w:p>
          <w:p w:rsidR="006A0E4C" w:rsidRPr="002E1686" w:rsidRDefault="006A0E4C" w:rsidP="004458C2">
            <w:pPr>
              <w:spacing w:after="0" w:line="240" w:lineRule="auto"/>
              <w:jc w:val="both"/>
              <w:rPr>
                <w:rFonts w:ascii="ITC Avant Garde" w:eastAsia="Times New Roman" w:hAnsi="ITC Avant Garde"/>
                <w:bCs/>
                <w:lang w:eastAsia="es-MX"/>
              </w:rPr>
            </w:pPr>
          </w:p>
          <w:p w:rsidR="006A0E4C" w:rsidRPr="002E1686" w:rsidRDefault="006A0E4C" w:rsidP="004458C2">
            <w:pPr>
              <w:spacing w:after="0" w:line="240" w:lineRule="auto"/>
              <w:jc w:val="both"/>
              <w:rPr>
                <w:rFonts w:ascii="ITC Avant Garde" w:eastAsia="Times New Roman" w:hAnsi="ITC Avant Garde"/>
                <w:bCs/>
                <w:lang w:eastAsia="es-MX"/>
              </w:rPr>
            </w:pPr>
          </w:p>
        </w:tc>
      </w:tr>
      <w:tr w:rsidR="006A0E4C" w:rsidTr="006A0E4C">
        <w:tc>
          <w:tcPr>
            <w:tcW w:w="8468" w:type="dxa"/>
            <w:gridSpan w:val="2"/>
          </w:tcPr>
          <w:p w:rsidR="006A0E4C" w:rsidRPr="002E1686" w:rsidRDefault="006A0E4C" w:rsidP="006A0E4C">
            <w:pPr>
              <w:spacing w:after="0" w:line="240" w:lineRule="auto"/>
              <w:jc w:val="center"/>
              <w:rPr>
                <w:rFonts w:ascii="ITC Avant Garde" w:eastAsia="Times New Roman" w:hAnsi="ITC Avant Garde"/>
                <w:bCs/>
                <w:lang w:eastAsia="es-MX"/>
              </w:rPr>
            </w:pPr>
            <w:r w:rsidRPr="002E1686">
              <w:rPr>
                <w:rFonts w:ascii="ITC Avant Garde" w:eastAsia="Times New Roman" w:hAnsi="ITC Avant Garde"/>
                <w:bCs/>
                <w:lang w:eastAsia="es-MX"/>
              </w:rPr>
              <w:t>Autorizó</w:t>
            </w:r>
          </w:p>
          <w:p w:rsidR="006A0E4C" w:rsidRPr="002E1686" w:rsidRDefault="006A0E4C" w:rsidP="006A0E4C">
            <w:pPr>
              <w:spacing w:after="0" w:line="240" w:lineRule="auto"/>
              <w:jc w:val="center"/>
              <w:rPr>
                <w:rFonts w:ascii="ITC Avant Garde" w:eastAsia="Times New Roman" w:hAnsi="ITC Avant Garde"/>
                <w:bCs/>
                <w:lang w:eastAsia="es-MX"/>
              </w:rPr>
            </w:pPr>
          </w:p>
          <w:p w:rsidR="006A0E4C" w:rsidRPr="002E1686" w:rsidRDefault="006A0E4C" w:rsidP="006A0E4C">
            <w:pPr>
              <w:spacing w:after="0" w:line="240" w:lineRule="auto"/>
              <w:jc w:val="center"/>
              <w:rPr>
                <w:rFonts w:ascii="ITC Avant Garde" w:eastAsia="Times New Roman" w:hAnsi="ITC Avant Garde"/>
                <w:bCs/>
                <w:lang w:eastAsia="es-MX"/>
              </w:rPr>
            </w:pPr>
          </w:p>
          <w:p w:rsidR="006A0E4C" w:rsidRPr="002E1686" w:rsidRDefault="006A0E4C" w:rsidP="006A0E4C">
            <w:pPr>
              <w:spacing w:after="0" w:line="240" w:lineRule="auto"/>
              <w:jc w:val="center"/>
              <w:rPr>
                <w:rFonts w:ascii="ITC Avant Garde" w:eastAsia="Times New Roman" w:hAnsi="ITC Avant Garde"/>
                <w:bCs/>
                <w:lang w:eastAsia="es-MX"/>
              </w:rPr>
            </w:pPr>
            <w:r w:rsidRPr="002E1686">
              <w:rPr>
                <w:rFonts w:ascii="ITC Avant Garde" w:eastAsia="Times New Roman" w:hAnsi="ITC Avant Garde"/>
                <w:bCs/>
                <w:lang w:eastAsia="es-MX"/>
              </w:rPr>
              <w:t>Lic. Mario A. Fócil Ortega</w:t>
            </w:r>
          </w:p>
          <w:p w:rsidR="006A0E4C" w:rsidRDefault="006A0E4C" w:rsidP="002E1686">
            <w:pPr>
              <w:spacing w:after="0" w:line="240" w:lineRule="auto"/>
              <w:jc w:val="center"/>
              <w:rPr>
                <w:rFonts w:ascii="ITC Avant Garde" w:eastAsia="Times New Roman" w:hAnsi="ITC Avant Garde"/>
                <w:bCs/>
                <w:lang w:eastAsia="es-MX"/>
              </w:rPr>
            </w:pPr>
            <w:r w:rsidRPr="002E1686">
              <w:rPr>
                <w:rFonts w:ascii="ITC Avant Garde" w:eastAsia="Times New Roman" w:hAnsi="ITC Avant Garde"/>
                <w:bCs/>
                <w:lang w:eastAsia="es-MX"/>
              </w:rPr>
              <w:t>Titular de la Unidad de Administración</w:t>
            </w:r>
          </w:p>
        </w:tc>
      </w:tr>
    </w:tbl>
    <w:p w:rsidR="006A0E4C" w:rsidRDefault="006A0E4C" w:rsidP="002E1686">
      <w:pPr>
        <w:spacing w:after="0" w:line="240" w:lineRule="auto"/>
        <w:jc w:val="both"/>
        <w:rPr>
          <w:rFonts w:ascii="ITC Avant Garde" w:eastAsia="Times New Roman" w:hAnsi="ITC Avant Garde"/>
          <w:bCs/>
          <w:lang w:eastAsia="es-MX"/>
        </w:rPr>
      </w:pPr>
    </w:p>
    <w:sectPr w:rsidR="006A0E4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3D74E0"/>
    <w:multiLevelType w:val="hybridMultilevel"/>
    <w:tmpl w:val="E4DAFD1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3A284455"/>
    <w:multiLevelType w:val="hybridMultilevel"/>
    <w:tmpl w:val="7B0AC2BC"/>
    <w:lvl w:ilvl="0" w:tplc="DC08D166">
      <w:start w:val="1"/>
      <w:numFmt w:val="bullet"/>
      <w:lvlText w:val=""/>
      <w:lvlJc w:val="left"/>
      <w:pPr>
        <w:ind w:left="720" w:hanging="360"/>
      </w:pPr>
      <w:rPr>
        <w:rFonts w:ascii="Symbol" w:hAnsi="Symbol"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C3445E9"/>
    <w:multiLevelType w:val="hybridMultilevel"/>
    <w:tmpl w:val="B7CCBC5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59DE6B1F"/>
    <w:multiLevelType w:val="hybridMultilevel"/>
    <w:tmpl w:val="B12EE21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59F26541"/>
    <w:multiLevelType w:val="hybridMultilevel"/>
    <w:tmpl w:val="9C9C9C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8B47E34"/>
    <w:multiLevelType w:val="singleLevel"/>
    <w:tmpl w:val="0C0A0005"/>
    <w:lvl w:ilvl="0">
      <w:start w:val="1"/>
      <w:numFmt w:val="bullet"/>
      <w:lvlText w:val=""/>
      <w:lvlJc w:val="left"/>
      <w:pPr>
        <w:tabs>
          <w:tab w:val="num" w:pos="720"/>
        </w:tabs>
        <w:ind w:left="720" w:hanging="360"/>
      </w:pPr>
      <w:rPr>
        <w:rFonts w:ascii="Wingdings" w:hAnsi="Wingdings" w:hint="default"/>
      </w:rPr>
    </w:lvl>
  </w:abstractNum>
  <w:abstractNum w:abstractNumId="6">
    <w:nsid w:val="72073D7F"/>
    <w:multiLevelType w:val="hybridMultilevel"/>
    <w:tmpl w:val="03AE7C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5"/>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5C2"/>
    <w:rsid w:val="00001949"/>
    <w:rsid w:val="00026503"/>
    <w:rsid w:val="0003227E"/>
    <w:rsid w:val="00053426"/>
    <w:rsid w:val="000A2AAA"/>
    <w:rsid w:val="000F168B"/>
    <w:rsid w:val="000F7E95"/>
    <w:rsid w:val="001479FC"/>
    <w:rsid w:val="0015080B"/>
    <w:rsid w:val="00173ECB"/>
    <w:rsid w:val="001D7869"/>
    <w:rsid w:val="001E2D39"/>
    <w:rsid w:val="001E7171"/>
    <w:rsid w:val="00214A6A"/>
    <w:rsid w:val="00234E2D"/>
    <w:rsid w:val="002E1686"/>
    <w:rsid w:val="0030334E"/>
    <w:rsid w:val="0030626D"/>
    <w:rsid w:val="00333A43"/>
    <w:rsid w:val="00360CD6"/>
    <w:rsid w:val="0036566D"/>
    <w:rsid w:val="00387AC6"/>
    <w:rsid w:val="0039420A"/>
    <w:rsid w:val="003D64F4"/>
    <w:rsid w:val="003E289F"/>
    <w:rsid w:val="003F5465"/>
    <w:rsid w:val="004433B1"/>
    <w:rsid w:val="004458C2"/>
    <w:rsid w:val="00521D1D"/>
    <w:rsid w:val="005278FB"/>
    <w:rsid w:val="00553434"/>
    <w:rsid w:val="0058185C"/>
    <w:rsid w:val="005C6396"/>
    <w:rsid w:val="00635C3F"/>
    <w:rsid w:val="0064388F"/>
    <w:rsid w:val="006468C0"/>
    <w:rsid w:val="00680107"/>
    <w:rsid w:val="00681A04"/>
    <w:rsid w:val="00692094"/>
    <w:rsid w:val="00694387"/>
    <w:rsid w:val="006A0E4C"/>
    <w:rsid w:val="006F1F4A"/>
    <w:rsid w:val="006F3CE0"/>
    <w:rsid w:val="00792E50"/>
    <w:rsid w:val="00823F91"/>
    <w:rsid w:val="0084498E"/>
    <w:rsid w:val="0088550D"/>
    <w:rsid w:val="00885912"/>
    <w:rsid w:val="008B1F87"/>
    <w:rsid w:val="008C34B0"/>
    <w:rsid w:val="008D2F37"/>
    <w:rsid w:val="008D3C9D"/>
    <w:rsid w:val="008F433A"/>
    <w:rsid w:val="00991910"/>
    <w:rsid w:val="009C46CD"/>
    <w:rsid w:val="00A128EA"/>
    <w:rsid w:val="00A71432"/>
    <w:rsid w:val="00AA0623"/>
    <w:rsid w:val="00AD26B3"/>
    <w:rsid w:val="00B40030"/>
    <w:rsid w:val="00B549B7"/>
    <w:rsid w:val="00B670F9"/>
    <w:rsid w:val="00B852F2"/>
    <w:rsid w:val="00BA35C2"/>
    <w:rsid w:val="00BB51D9"/>
    <w:rsid w:val="00BC473C"/>
    <w:rsid w:val="00C03984"/>
    <w:rsid w:val="00C16BA7"/>
    <w:rsid w:val="00C428A2"/>
    <w:rsid w:val="00C637FA"/>
    <w:rsid w:val="00CD764D"/>
    <w:rsid w:val="00CD77A0"/>
    <w:rsid w:val="00D046E1"/>
    <w:rsid w:val="00D13BC2"/>
    <w:rsid w:val="00D20151"/>
    <w:rsid w:val="00D4054E"/>
    <w:rsid w:val="00D83728"/>
    <w:rsid w:val="00DA18CD"/>
    <w:rsid w:val="00DB4FA1"/>
    <w:rsid w:val="00DF2082"/>
    <w:rsid w:val="00DF7CF6"/>
    <w:rsid w:val="00E005C7"/>
    <w:rsid w:val="00E60599"/>
    <w:rsid w:val="00EB1CA5"/>
    <w:rsid w:val="00EB37EF"/>
    <w:rsid w:val="00F06221"/>
    <w:rsid w:val="00F56C2B"/>
    <w:rsid w:val="00F6250B"/>
    <w:rsid w:val="00FF197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CDCFA1-B962-4633-9A26-AB290875C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5C2"/>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BA35C2"/>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basedOn w:val="Normal"/>
    <w:uiPriority w:val="34"/>
    <w:qFormat/>
    <w:rsid w:val="003D64F4"/>
    <w:pPr>
      <w:spacing w:after="0" w:line="240" w:lineRule="auto"/>
      <w:ind w:left="708"/>
      <w:jc w:val="both"/>
    </w:pPr>
    <w:rPr>
      <w:rFonts w:ascii="Garamond" w:eastAsia="Batang" w:hAnsi="Garamond"/>
      <w:kern w:val="18"/>
      <w:sz w:val="20"/>
      <w:szCs w:val="20"/>
      <w:lang w:val="es-ES"/>
    </w:rPr>
  </w:style>
  <w:style w:type="paragraph" w:customStyle="1" w:styleId="summary">
    <w:name w:val="summary"/>
    <w:basedOn w:val="Normal"/>
    <w:rsid w:val="00C637FA"/>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semiHidden/>
    <w:unhideWhenUsed/>
    <w:rsid w:val="00C637FA"/>
    <w:pPr>
      <w:spacing w:before="100" w:beforeAutospacing="1" w:after="100" w:afterAutospacing="1" w:line="240" w:lineRule="auto"/>
    </w:pPr>
    <w:rPr>
      <w:rFonts w:ascii="Times New Roman" w:eastAsia="Times New Roman" w:hAnsi="Times New Roman"/>
      <w:sz w:val="24"/>
      <w:szCs w:val="24"/>
      <w:lang w:eastAsia="es-MX"/>
    </w:rPr>
  </w:style>
  <w:style w:type="table" w:styleId="Tablaconcuadrcula">
    <w:name w:val="Table Grid"/>
    <w:basedOn w:val="Tablanormal"/>
    <w:uiPriority w:val="39"/>
    <w:rsid w:val="008F4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uiPriority w:val="99"/>
    <w:semiHidden/>
    <w:unhideWhenUsed/>
    <w:rsid w:val="0036566D"/>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6566D"/>
    <w:rPr>
      <w:rFonts w:ascii="Calibri" w:eastAsia="Calibri" w:hAnsi="Calibri" w:cs="Times New Roman"/>
      <w:sz w:val="16"/>
      <w:szCs w:val="16"/>
    </w:rPr>
  </w:style>
  <w:style w:type="character" w:styleId="Refdecomentario">
    <w:name w:val="annotation reference"/>
    <w:basedOn w:val="Fuentedeprrafopredeter"/>
    <w:uiPriority w:val="99"/>
    <w:semiHidden/>
    <w:unhideWhenUsed/>
    <w:rsid w:val="004433B1"/>
    <w:rPr>
      <w:sz w:val="16"/>
      <w:szCs w:val="16"/>
    </w:rPr>
  </w:style>
  <w:style w:type="paragraph" w:styleId="Textocomentario">
    <w:name w:val="annotation text"/>
    <w:basedOn w:val="Normal"/>
    <w:link w:val="TextocomentarioCar"/>
    <w:uiPriority w:val="99"/>
    <w:semiHidden/>
    <w:unhideWhenUsed/>
    <w:rsid w:val="004433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33B1"/>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4433B1"/>
    <w:rPr>
      <w:b/>
      <w:bCs/>
    </w:rPr>
  </w:style>
  <w:style w:type="character" w:customStyle="1" w:styleId="AsuntodelcomentarioCar">
    <w:name w:val="Asunto del comentario Car"/>
    <w:basedOn w:val="TextocomentarioCar"/>
    <w:link w:val="Asuntodelcomentario"/>
    <w:uiPriority w:val="99"/>
    <w:semiHidden/>
    <w:rsid w:val="004433B1"/>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4433B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33B1"/>
    <w:rPr>
      <w:rFonts w:ascii="Segoe UI" w:eastAsia="Calibri" w:hAnsi="Segoe UI" w:cs="Segoe UI"/>
      <w:sz w:val="18"/>
      <w:szCs w:val="18"/>
    </w:rPr>
  </w:style>
  <w:style w:type="paragraph" w:customStyle="1" w:styleId="Default">
    <w:name w:val="Default"/>
    <w:rsid w:val="006A0E4C"/>
    <w:pPr>
      <w:autoSpaceDE w:val="0"/>
      <w:autoSpaceDN w:val="0"/>
      <w:adjustRightInd w:val="0"/>
      <w:spacing w:after="0" w:line="240" w:lineRule="auto"/>
    </w:pPr>
    <w:rPr>
      <w:rFonts w:ascii="Tahoma" w:eastAsia="Calibri" w:hAnsi="Tahoma" w:cs="Tahoma"/>
      <w:color w:val="000000"/>
      <w:sz w:val="24"/>
      <w:szCs w:val="24"/>
      <w:lang w:eastAsia="es-MX"/>
    </w:rPr>
  </w:style>
  <w:style w:type="paragraph" w:styleId="Textoindependiente">
    <w:name w:val="Body Text"/>
    <w:basedOn w:val="Normal"/>
    <w:link w:val="TextoindependienteCar"/>
    <w:uiPriority w:val="99"/>
    <w:semiHidden/>
    <w:unhideWhenUsed/>
    <w:rsid w:val="00792E50"/>
    <w:pPr>
      <w:spacing w:after="120"/>
    </w:pPr>
  </w:style>
  <w:style w:type="character" w:customStyle="1" w:styleId="TextoindependienteCar">
    <w:name w:val="Texto independiente Car"/>
    <w:basedOn w:val="Fuentedeprrafopredeter"/>
    <w:link w:val="Textoindependiente"/>
    <w:uiPriority w:val="99"/>
    <w:semiHidden/>
    <w:rsid w:val="00792E5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395652">
      <w:bodyDiv w:val="1"/>
      <w:marLeft w:val="0"/>
      <w:marRight w:val="0"/>
      <w:marTop w:val="0"/>
      <w:marBottom w:val="0"/>
      <w:divBdr>
        <w:top w:val="none" w:sz="0" w:space="0" w:color="auto"/>
        <w:left w:val="none" w:sz="0" w:space="0" w:color="auto"/>
        <w:bottom w:val="none" w:sz="0" w:space="0" w:color="auto"/>
        <w:right w:val="none" w:sz="0" w:space="0" w:color="auto"/>
      </w:divBdr>
    </w:div>
    <w:div w:id="874318198">
      <w:bodyDiv w:val="1"/>
      <w:marLeft w:val="0"/>
      <w:marRight w:val="0"/>
      <w:marTop w:val="0"/>
      <w:marBottom w:val="0"/>
      <w:divBdr>
        <w:top w:val="none" w:sz="0" w:space="0" w:color="auto"/>
        <w:left w:val="none" w:sz="0" w:space="0" w:color="auto"/>
        <w:bottom w:val="none" w:sz="0" w:space="0" w:color="auto"/>
        <w:right w:val="none" w:sz="0" w:space="0" w:color="auto"/>
      </w:divBdr>
    </w:div>
    <w:div w:id="177670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66E3F-F1E0-4E81-9F78-68EB0518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2308</Words>
  <Characters>12700</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Jimenez Angeles</dc:creator>
  <cp:keywords/>
  <dc:description/>
  <cp:lastModifiedBy>Laura Berenice Venegas Luna</cp:lastModifiedBy>
  <cp:revision>10</cp:revision>
  <cp:lastPrinted>2014-10-13T23:59:00Z</cp:lastPrinted>
  <dcterms:created xsi:type="dcterms:W3CDTF">2014-10-27T16:49:00Z</dcterms:created>
  <dcterms:modified xsi:type="dcterms:W3CDTF">2014-10-29T01:17:00Z</dcterms:modified>
</cp:coreProperties>
</file>