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27" w:rsidRDefault="0033344E" w:rsidP="004B0A27">
      <w:pPr>
        <w:pStyle w:val="Prrafodelista"/>
        <w:numPr>
          <w:ilvl w:val="0"/>
          <w:numId w:val="9"/>
        </w:numPr>
        <w:rPr>
          <w:sz w:val="24"/>
          <w:szCs w:val="24"/>
        </w:rPr>
      </w:pPr>
      <w:bookmarkStart w:id="0" w:name="_GoBack"/>
      <w:bookmarkEnd w:id="0"/>
      <w:r w:rsidRPr="004A6AEC">
        <w:rPr>
          <w:sz w:val="24"/>
          <w:szCs w:val="24"/>
        </w:rPr>
        <w:t xml:space="preserve">Expedientes </w:t>
      </w:r>
      <w:r w:rsidRPr="004A6AEC">
        <w:rPr>
          <w:b/>
          <w:sz w:val="24"/>
          <w:szCs w:val="24"/>
          <w:u w:val="single"/>
        </w:rPr>
        <w:t>c</w:t>
      </w:r>
      <w:r w:rsidR="004B0A27" w:rsidRPr="004A6AEC">
        <w:rPr>
          <w:b/>
          <w:sz w:val="24"/>
          <w:szCs w:val="24"/>
          <w:u w:val="single"/>
        </w:rPr>
        <w:t>lasificados</w:t>
      </w:r>
      <w:r w:rsidR="004B0A27" w:rsidRPr="004A6AEC">
        <w:rPr>
          <w:sz w:val="24"/>
          <w:szCs w:val="24"/>
        </w:rPr>
        <w:t xml:space="preserve"> como reservados</w:t>
      </w:r>
      <w:r w:rsidR="004A6AEC">
        <w:rPr>
          <w:sz w:val="24"/>
          <w:szCs w:val="24"/>
        </w:rPr>
        <w:t>:</w:t>
      </w: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1418"/>
        <w:gridCol w:w="709"/>
        <w:gridCol w:w="1417"/>
        <w:gridCol w:w="1276"/>
        <w:gridCol w:w="1417"/>
        <w:gridCol w:w="993"/>
        <w:gridCol w:w="1984"/>
        <w:gridCol w:w="1418"/>
        <w:gridCol w:w="1701"/>
      </w:tblGrid>
      <w:tr w:rsidR="00995A1A" w:rsidRPr="00995A1A" w:rsidTr="00631CE4">
        <w:trPr>
          <w:trHeight w:val="499"/>
        </w:trPr>
        <w:tc>
          <w:tcPr>
            <w:tcW w:w="14596" w:type="dxa"/>
            <w:gridSpan w:val="12"/>
            <w:shd w:val="clear" w:color="auto" w:fill="D9D9D9" w:themeFill="background1" w:themeFillShade="D9"/>
          </w:tcPr>
          <w:p w:rsidR="004A6AEC" w:rsidRDefault="004A6AEC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  <w:p w:rsidR="00995A1A" w:rsidRDefault="00E479B0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  <w:r>
              <w:rPr>
                <w:rFonts w:ascii="ITC Avant Garde" w:hAnsi="ITC Avant Garde"/>
                <w:b/>
                <w:sz w:val="20"/>
                <w:szCs w:val="20"/>
              </w:rPr>
              <w:t>UNIDAD</w:t>
            </w:r>
            <w:r w:rsidR="004A6AEC" w:rsidRPr="004A6AEC">
              <w:rPr>
                <w:rFonts w:ascii="ITC Avant Garde" w:hAnsi="ITC Avant Garde"/>
                <w:b/>
                <w:sz w:val="20"/>
                <w:szCs w:val="20"/>
              </w:rPr>
              <w:t xml:space="preserve"> </w:t>
            </w:r>
            <w:r>
              <w:rPr>
                <w:rFonts w:ascii="ITC Avant Garde" w:hAnsi="ITC Avant Garde"/>
                <w:b/>
                <w:sz w:val="20"/>
                <w:szCs w:val="20"/>
              </w:rPr>
              <w:t xml:space="preserve">DE </w:t>
            </w:r>
            <w:r w:rsidR="004A6AEC" w:rsidRPr="004A6AEC">
              <w:rPr>
                <w:rFonts w:ascii="ITC Avant Garde" w:hAnsi="ITC Avant Garde"/>
                <w:b/>
                <w:sz w:val="20"/>
                <w:szCs w:val="20"/>
              </w:rPr>
              <w:t>MEDIOS Y CONTENIDOS AUDIOVISUALES</w:t>
            </w:r>
          </w:p>
          <w:p w:rsidR="004A6AEC" w:rsidRPr="004A6AEC" w:rsidRDefault="004A6AEC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</w:tr>
      <w:tr w:rsidR="00006DD6" w:rsidRPr="00995A1A" w:rsidTr="00434FEC">
        <w:trPr>
          <w:trHeight w:val="4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N°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Unidad Administrativa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No. de Unidad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Atribución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Rubro</w:t>
            </w:r>
          </w:p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Temático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Expediente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Fecha de Clasificación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Fecha de Desclasificación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Número de años de Reserva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Fundamento Legal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06DD6" w:rsidRPr="00995A1A" w:rsidRDefault="00006DD6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Parte del expediente que se reserva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06DD6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Justificación o motivación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1418"/>
        <w:gridCol w:w="709"/>
        <w:gridCol w:w="1417"/>
        <w:gridCol w:w="1276"/>
        <w:gridCol w:w="1417"/>
        <w:gridCol w:w="993"/>
        <w:gridCol w:w="1984"/>
        <w:gridCol w:w="1418"/>
        <w:gridCol w:w="1701"/>
      </w:tblGrid>
      <w:tr w:rsidR="00283866" w:rsidRPr="00995A1A" w:rsidTr="00496746">
        <w:trPr>
          <w:trHeight w:val="1384"/>
        </w:trPr>
        <w:tc>
          <w:tcPr>
            <w:tcW w:w="421" w:type="dxa"/>
            <w:vAlign w:val="center"/>
          </w:tcPr>
          <w:p w:rsidR="00283866" w:rsidRPr="00995A1A" w:rsidRDefault="00BB6237" w:rsidP="00006DD6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>
              <w:rPr>
                <w:rFonts w:ascii="ITC Avant Garde" w:hAnsi="ITC Avant Garde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83866" w:rsidRPr="00995A1A" w:rsidRDefault="00283866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850" w:type="dxa"/>
            <w:vAlign w:val="center"/>
          </w:tcPr>
          <w:p w:rsidR="00283866" w:rsidRPr="00995A1A" w:rsidRDefault="00283866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283866" w:rsidRPr="00995A1A" w:rsidRDefault="00283866" w:rsidP="0028386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 xml:space="preserve">Dirección General </w:t>
            </w:r>
            <w:r>
              <w:rPr>
                <w:rFonts w:ascii="ITC Avant Garde" w:hAnsi="ITC Avant Garde"/>
                <w:sz w:val="16"/>
                <w:szCs w:val="16"/>
              </w:rPr>
              <w:t>Adjunta para la transición a la Televisión Digital Terrestre</w:t>
            </w:r>
          </w:p>
          <w:p w:rsidR="00283866" w:rsidRPr="00995A1A" w:rsidRDefault="00BB6237" w:rsidP="00AA781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 xml:space="preserve">(artículo 40 Estatuto Orgánico </w:t>
            </w:r>
            <w:r w:rsidR="00AA781B">
              <w:rPr>
                <w:rFonts w:ascii="ITC Avant Garde" w:hAnsi="ITC Avant Garde"/>
                <w:sz w:val="16"/>
                <w:szCs w:val="16"/>
              </w:rPr>
              <w:t>IFT</w:t>
            </w:r>
            <w:r>
              <w:rPr>
                <w:rFonts w:ascii="ITC Avant Garde" w:hAnsi="ITC Avant Garde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283866" w:rsidRPr="00995A1A" w:rsidRDefault="00283866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1417" w:type="dxa"/>
            <w:vAlign w:val="center"/>
          </w:tcPr>
          <w:p w:rsidR="00283866" w:rsidRPr="00995A1A" w:rsidRDefault="00283866" w:rsidP="0028386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 xml:space="preserve">Programa de Trabajo para estaciones de Baja Potencia (artículo  19 transitorio de la </w:t>
            </w:r>
            <w:proofErr w:type="spellStart"/>
            <w:r>
              <w:rPr>
                <w:rFonts w:ascii="ITC Avant Garde" w:hAnsi="ITC Avant Garde"/>
                <w:sz w:val="16"/>
                <w:szCs w:val="16"/>
              </w:rPr>
              <w:t>LFTyR</w:t>
            </w:r>
            <w:proofErr w:type="spellEnd"/>
            <w:r>
              <w:rPr>
                <w:rFonts w:ascii="ITC Avant Garde" w:hAnsi="ITC Avant Garde"/>
                <w:sz w:val="16"/>
                <w:szCs w:val="16"/>
              </w:rPr>
              <w:t>) e información relativa a su integración o implementación</w:t>
            </w:r>
          </w:p>
          <w:p w:rsidR="00283866" w:rsidRPr="00995A1A" w:rsidRDefault="00283866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83866" w:rsidRPr="00995A1A" w:rsidRDefault="00283866" w:rsidP="0028386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15</w:t>
            </w:r>
            <w:r w:rsidRPr="00995A1A">
              <w:rPr>
                <w:rFonts w:ascii="ITC Avant Garde" w:hAnsi="ITC Avant Garde"/>
                <w:sz w:val="16"/>
                <w:szCs w:val="16"/>
              </w:rPr>
              <w:t xml:space="preserve"> de diciembre de 201</w:t>
            </w:r>
            <w:r>
              <w:rPr>
                <w:rFonts w:ascii="ITC Avant Garde" w:hAnsi="ITC Avant Garde"/>
                <w:sz w:val="16"/>
                <w:szCs w:val="16"/>
              </w:rPr>
              <w:t>5</w:t>
            </w:r>
          </w:p>
          <w:p w:rsidR="00283866" w:rsidRPr="00995A1A" w:rsidRDefault="00283866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83866" w:rsidRDefault="00283866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15 de diciembre de 2017</w:t>
            </w:r>
          </w:p>
          <w:p w:rsidR="00BB7002" w:rsidRPr="00995A1A" w:rsidRDefault="00BB7002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(o en el momento en el que se adopte la decisión definitiva, con fundamento en el artículo 101 fracción I)</w:t>
            </w:r>
          </w:p>
        </w:tc>
        <w:tc>
          <w:tcPr>
            <w:tcW w:w="993" w:type="dxa"/>
            <w:vAlign w:val="center"/>
          </w:tcPr>
          <w:p w:rsidR="00283866" w:rsidRPr="00995A1A" w:rsidRDefault="00BF2D99" w:rsidP="00006DD6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83866" w:rsidRPr="00995A1A" w:rsidRDefault="00283866" w:rsidP="00283866">
            <w:pPr>
              <w:pStyle w:val="Prrafodelista"/>
              <w:numPr>
                <w:ilvl w:val="0"/>
                <w:numId w:val="12"/>
              </w:numPr>
              <w:ind w:left="317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Artículos 4, párrafo segundo; 24, fracción VI; 100, párrafo tercero; 101; 102</w:t>
            </w:r>
            <w:r>
              <w:rPr>
                <w:sz w:val="16"/>
                <w:szCs w:val="16"/>
              </w:rPr>
              <w:t xml:space="preserve">; 108; 113, fracción </w:t>
            </w:r>
            <w:r w:rsidRPr="0023158F">
              <w:rPr>
                <w:sz w:val="16"/>
                <w:szCs w:val="16"/>
              </w:rPr>
              <w:t>VIII.</w:t>
            </w:r>
          </w:p>
          <w:p w:rsidR="00283866" w:rsidRPr="00995A1A" w:rsidRDefault="00283866" w:rsidP="00283866">
            <w:pPr>
              <w:pStyle w:val="Prrafodelista"/>
              <w:numPr>
                <w:ilvl w:val="0"/>
                <w:numId w:val="12"/>
              </w:numPr>
              <w:ind w:left="317"/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Artículo 20, fracción XXIX del Estatuto Orgánico del Instituto Federal de Telecomunicaciones.</w:t>
            </w:r>
          </w:p>
        </w:tc>
        <w:tc>
          <w:tcPr>
            <w:tcW w:w="1418" w:type="dxa"/>
          </w:tcPr>
          <w:p w:rsidR="00350741" w:rsidRDefault="00350741" w:rsidP="00350741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350741" w:rsidRDefault="00350741" w:rsidP="00350741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350741" w:rsidRDefault="00350741" w:rsidP="00350741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350741" w:rsidRDefault="00350741" w:rsidP="00350741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350741" w:rsidRDefault="00350741" w:rsidP="00350741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350741" w:rsidRDefault="00350741" w:rsidP="00350741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283866" w:rsidRPr="00995A1A" w:rsidRDefault="00350741" w:rsidP="00350741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Completo</w:t>
            </w:r>
          </w:p>
        </w:tc>
        <w:tc>
          <w:tcPr>
            <w:tcW w:w="1701" w:type="dxa"/>
          </w:tcPr>
          <w:p w:rsidR="00283866" w:rsidRDefault="0023158F" w:rsidP="000850C9">
            <w:pPr>
              <w:ind w:left="-43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En razón de que contiene opiniones, recomendaciones o puntos de vista que forman parte del proceso deliberativo de los servidores públicos, y no ha sido adoptada la decisión definitiva</w:t>
            </w:r>
          </w:p>
        </w:tc>
      </w:tr>
    </w:tbl>
    <w:p w:rsidR="004B0A27" w:rsidRPr="00995A1A" w:rsidRDefault="004B0A27">
      <w:pPr>
        <w:rPr>
          <w:rFonts w:ascii="ITC Avant Garde" w:hAnsi="ITC Avant Garde"/>
          <w:b/>
          <w:sz w:val="16"/>
          <w:szCs w:val="16"/>
        </w:rPr>
      </w:pPr>
      <w:r w:rsidRPr="00995A1A">
        <w:rPr>
          <w:b/>
          <w:sz w:val="16"/>
          <w:szCs w:val="16"/>
        </w:rPr>
        <w:br w:type="page"/>
      </w:r>
    </w:p>
    <w:p w:rsidR="004B0A27" w:rsidRDefault="004B0A27" w:rsidP="004B0A27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4A6AEC">
        <w:rPr>
          <w:sz w:val="24"/>
          <w:szCs w:val="24"/>
        </w:rPr>
        <w:lastRenderedPageBreak/>
        <w:t xml:space="preserve">Expedientes que se </w:t>
      </w:r>
      <w:r w:rsidRPr="004A6AEC">
        <w:rPr>
          <w:b/>
          <w:sz w:val="24"/>
          <w:szCs w:val="24"/>
          <w:u w:val="single"/>
        </w:rPr>
        <w:t>desclasifican</w:t>
      </w:r>
      <w:r w:rsidRPr="004A6AEC">
        <w:rPr>
          <w:sz w:val="24"/>
          <w:szCs w:val="24"/>
        </w:rPr>
        <w:t xml:space="preserve"> como reservados</w:t>
      </w:r>
      <w:r w:rsidR="004A6AEC">
        <w:rPr>
          <w:sz w:val="24"/>
          <w:szCs w:val="24"/>
        </w:rPr>
        <w:t>:</w:t>
      </w: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134"/>
        <w:gridCol w:w="992"/>
        <w:gridCol w:w="2693"/>
        <w:gridCol w:w="1276"/>
        <w:gridCol w:w="1418"/>
        <w:gridCol w:w="1984"/>
        <w:gridCol w:w="2552"/>
      </w:tblGrid>
      <w:tr w:rsidR="00995A1A" w:rsidRPr="00995A1A" w:rsidTr="00FB20E7">
        <w:trPr>
          <w:trHeight w:val="499"/>
        </w:trPr>
        <w:tc>
          <w:tcPr>
            <w:tcW w:w="14596" w:type="dxa"/>
            <w:gridSpan w:val="10"/>
            <w:shd w:val="clear" w:color="auto" w:fill="D9D9D9" w:themeFill="background1" w:themeFillShade="D9"/>
          </w:tcPr>
          <w:p w:rsidR="004A6AEC" w:rsidRDefault="004A6AEC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  <w:p w:rsidR="00995A1A" w:rsidRDefault="00E479B0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  <w:r>
              <w:rPr>
                <w:rFonts w:ascii="ITC Avant Garde" w:hAnsi="ITC Avant Garde"/>
                <w:b/>
                <w:sz w:val="20"/>
                <w:szCs w:val="20"/>
              </w:rPr>
              <w:t>UNIDAD</w:t>
            </w:r>
            <w:r w:rsidR="004A6AEC" w:rsidRPr="004A6AEC">
              <w:rPr>
                <w:rFonts w:ascii="ITC Avant Garde" w:hAnsi="ITC Avant Garde"/>
                <w:b/>
                <w:sz w:val="20"/>
                <w:szCs w:val="20"/>
              </w:rPr>
              <w:t xml:space="preserve"> </w:t>
            </w:r>
            <w:r>
              <w:rPr>
                <w:rFonts w:ascii="ITC Avant Garde" w:hAnsi="ITC Avant Garde"/>
                <w:b/>
                <w:sz w:val="20"/>
                <w:szCs w:val="20"/>
              </w:rPr>
              <w:t>DE</w:t>
            </w:r>
            <w:r w:rsidR="00995A1A" w:rsidRPr="004A6AEC">
              <w:rPr>
                <w:rFonts w:ascii="ITC Avant Garde" w:hAnsi="ITC Avant Garde"/>
                <w:b/>
                <w:sz w:val="20"/>
                <w:szCs w:val="20"/>
              </w:rPr>
              <w:t xml:space="preserve"> MEDIOS Y CONTENIDOS AUDIOVISUALES</w:t>
            </w:r>
          </w:p>
          <w:p w:rsidR="004A6AEC" w:rsidRPr="004A6AEC" w:rsidRDefault="004A6AEC" w:rsidP="002047EB">
            <w:pPr>
              <w:jc w:val="center"/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</w:tr>
      <w:tr w:rsidR="00995A1A" w:rsidRPr="00995A1A" w:rsidTr="006D0AA6">
        <w:trPr>
          <w:trHeight w:val="4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N°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Unidad Administrativa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95A1A" w:rsidRPr="00995A1A" w:rsidRDefault="000850C9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>
              <w:rPr>
                <w:rFonts w:ascii="ITC Avant Garde" w:hAnsi="ITC Avant Garde"/>
                <w:b/>
                <w:sz w:val="16"/>
                <w:szCs w:val="16"/>
              </w:rPr>
              <w:t>No. d</w:t>
            </w:r>
            <w:r w:rsidR="00995A1A" w:rsidRPr="00995A1A">
              <w:rPr>
                <w:rFonts w:ascii="ITC Avant Garde" w:hAnsi="ITC Avant Garde"/>
                <w:b/>
                <w:sz w:val="16"/>
                <w:szCs w:val="16"/>
              </w:rPr>
              <w:t>e Unidad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Atribución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Rubro</w:t>
            </w:r>
          </w:p>
          <w:p w:rsidR="00995A1A" w:rsidRPr="00995A1A" w:rsidRDefault="00995A1A" w:rsidP="00626D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Expediente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Fecha de Clasificación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Fecha de Desclasificación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Fundamento Legal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34FEC" w:rsidRDefault="00434FEC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</w:p>
          <w:p w:rsidR="00995A1A" w:rsidRPr="00995A1A" w:rsidRDefault="00995A1A" w:rsidP="00434FEC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Justificación o motivación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134"/>
        <w:gridCol w:w="992"/>
        <w:gridCol w:w="2693"/>
        <w:gridCol w:w="1276"/>
        <w:gridCol w:w="1418"/>
        <w:gridCol w:w="1984"/>
        <w:gridCol w:w="2552"/>
      </w:tblGrid>
      <w:tr w:rsidR="00995A1A" w:rsidRPr="00995A1A" w:rsidTr="006D0AA6">
        <w:trPr>
          <w:trHeight w:val="3109"/>
        </w:trPr>
        <w:tc>
          <w:tcPr>
            <w:tcW w:w="421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 w:rsidRPr="00995A1A">
              <w:rPr>
                <w:rFonts w:ascii="ITC Avant Garde" w:hAnsi="ITC Avant Garde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851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  <w:r w:rsidR="00564077">
              <w:rPr>
                <w:rFonts w:ascii="ITC Avant Garde" w:hAnsi="ITC Avant Garde"/>
                <w:sz w:val="16"/>
                <w:szCs w:val="16"/>
              </w:rPr>
              <w:t xml:space="preserve"> (artículo 38 Estatuto Orgánico IFT)</w:t>
            </w: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2693" w:type="dxa"/>
            <w:vAlign w:val="center"/>
          </w:tcPr>
          <w:p w:rsidR="00D0254E" w:rsidRPr="00995A1A" w:rsidRDefault="00D0254E" w:rsidP="00D0254E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Lineamientos Generales sobre Concesiones de Uso Social Comunitarias e Indígenas</w:t>
            </w: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5A1A" w:rsidRPr="00995A1A" w:rsidRDefault="00995A1A" w:rsidP="0033344E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31 de diciembre de 2014</w:t>
            </w: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0254E" w:rsidRPr="00995A1A" w:rsidRDefault="003D6EB5" w:rsidP="00D0254E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24 de julio de 2015</w:t>
            </w: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95A1A" w:rsidRPr="00995A1A" w:rsidRDefault="00496746" w:rsidP="00D0254E">
            <w:pPr>
              <w:pStyle w:val="Prrafodelist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Art. 101, fracciones I y IV LGTAIP</w:t>
            </w:r>
          </w:p>
        </w:tc>
        <w:tc>
          <w:tcPr>
            <w:tcW w:w="2552" w:type="dxa"/>
          </w:tcPr>
          <w:p w:rsidR="00995A1A" w:rsidRPr="00995A1A" w:rsidRDefault="00995A1A" w:rsidP="002047EB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995A1A" w:rsidRPr="00995A1A" w:rsidRDefault="00995A1A" w:rsidP="002047EB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995A1A" w:rsidRPr="00995A1A" w:rsidRDefault="00995A1A" w:rsidP="002047EB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995A1A" w:rsidRPr="00995A1A" w:rsidRDefault="004D7337" w:rsidP="004D7337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Aun</w:t>
            </w:r>
            <w:r w:rsidR="00D0254E">
              <w:rPr>
                <w:rFonts w:ascii="ITC Avant Garde" w:hAnsi="ITC Avant Garde"/>
                <w:sz w:val="16"/>
                <w:szCs w:val="16"/>
              </w:rPr>
              <w:t xml:space="preserve"> estando </w:t>
            </w:r>
            <w:r>
              <w:rPr>
                <w:rFonts w:ascii="ITC Avant Garde" w:hAnsi="ITC Avant Garde"/>
                <w:sz w:val="16"/>
                <w:szCs w:val="16"/>
              </w:rPr>
              <w:t xml:space="preserve">dentro del </w:t>
            </w:r>
            <w:r w:rsidR="00D0254E">
              <w:rPr>
                <w:rFonts w:ascii="ITC Avant Garde" w:hAnsi="ITC Avant Garde"/>
                <w:sz w:val="16"/>
                <w:szCs w:val="16"/>
              </w:rPr>
              <w:t xml:space="preserve"> periodo de reserva, han desaparecido </w:t>
            </w:r>
            <w:r w:rsidR="00995A1A" w:rsidRPr="00995A1A">
              <w:rPr>
                <w:rFonts w:ascii="ITC Avant Garde" w:hAnsi="ITC Avant Garde"/>
                <w:sz w:val="16"/>
                <w:szCs w:val="16"/>
              </w:rPr>
              <w:t xml:space="preserve">las causas que dieron origen a la clasificación como </w:t>
            </w:r>
            <w:r w:rsidR="00496746">
              <w:rPr>
                <w:rFonts w:ascii="ITC Avant Garde" w:hAnsi="ITC Avant Garde"/>
                <w:sz w:val="16"/>
                <w:szCs w:val="16"/>
              </w:rPr>
              <w:t>expediente</w:t>
            </w:r>
            <w:r w:rsidR="000850C9">
              <w:rPr>
                <w:rFonts w:ascii="ITC Avant Garde" w:hAnsi="ITC Avant Garde"/>
                <w:sz w:val="16"/>
                <w:szCs w:val="16"/>
              </w:rPr>
              <w:t xml:space="preserve"> </w:t>
            </w:r>
            <w:r w:rsidR="00496746">
              <w:rPr>
                <w:rFonts w:ascii="ITC Avant Garde" w:hAnsi="ITC Avant Garde"/>
                <w:sz w:val="16"/>
                <w:szCs w:val="16"/>
              </w:rPr>
              <w:t>reservado</w:t>
            </w:r>
            <w:r w:rsidR="00995A1A" w:rsidRPr="00995A1A">
              <w:rPr>
                <w:rFonts w:ascii="ITC Avant Garde" w:hAnsi="ITC Avant Garde"/>
                <w:sz w:val="16"/>
                <w:szCs w:val="16"/>
              </w:rPr>
              <w:t>.</w:t>
            </w:r>
          </w:p>
        </w:tc>
      </w:tr>
      <w:tr w:rsidR="00626DEC" w:rsidRPr="00995A1A" w:rsidTr="006D0AA6">
        <w:trPr>
          <w:trHeight w:val="3109"/>
        </w:trPr>
        <w:tc>
          <w:tcPr>
            <w:tcW w:w="421" w:type="dxa"/>
            <w:vAlign w:val="center"/>
          </w:tcPr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b/>
                <w:sz w:val="16"/>
                <w:szCs w:val="16"/>
              </w:rPr>
            </w:pPr>
            <w:r>
              <w:rPr>
                <w:rFonts w:ascii="ITC Avant Garde" w:hAnsi="ITC Avant Garde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Unidad de Medios y Contenidos Audiovisuales</w:t>
            </w:r>
          </w:p>
        </w:tc>
        <w:tc>
          <w:tcPr>
            <w:tcW w:w="851" w:type="dxa"/>
            <w:vAlign w:val="center"/>
          </w:tcPr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Dirección General de Política y Procedimientos Regulatorios en Medios y Contenidos Audiovisuales</w:t>
            </w:r>
          </w:p>
          <w:p w:rsidR="00626DEC" w:rsidRPr="00995A1A" w:rsidRDefault="00564077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(Artículo 38  Estatuto Orgánico IFT)</w:t>
            </w:r>
          </w:p>
        </w:tc>
        <w:tc>
          <w:tcPr>
            <w:tcW w:w="992" w:type="dxa"/>
            <w:vAlign w:val="center"/>
          </w:tcPr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 w:rsidRPr="00995A1A">
              <w:rPr>
                <w:rFonts w:ascii="ITC Avant Garde" w:hAnsi="ITC Avant Garde"/>
                <w:sz w:val="16"/>
                <w:szCs w:val="16"/>
              </w:rPr>
              <w:t>D.15.1</w:t>
            </w:r>
          </w:p>
        </w:tc>
        <w:tc>
          <w:tcPr>
            <w:tcW w:w="2693" w:type="dxa"/>
            <w:vAlign w:val="center"/>
          </w:tcPr>
          <w:p w:rsidR="00626DEC" w:rsidRDefault="00626DEC" w:rsidP="00626DEC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Procedimiento de desacuerdo de retransmisión de señales</w:t>
            </w:r>
          </w:p>
          <w:p w:rsidR="00626DEC" w:rsidRDefault="00626DEC" w:rsidP="00626DEC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626DEC" w:rsidRPr="00995A1A" w:rsidRDefault="00626DEC" w:rsidP="00626DEC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001/2015</w:t>
            </w:r>
          </w:p>
        </w:tc>
        <w:tc>
          <w:tcPr>
            <w:tcW w:w="1276" w:type="dxa"/>
            <w:vAlign w:val="center"/>
          </w:tcPr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09 de julio de 2015</w:t>
            </w:r>
          </w:p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26DEC" w:rsidRPr="00995A1A" w:rsidRDefault="003D6EB5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2 de octubre de 2015</w:t>
            </w:r>
          </w:p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26DEC" w:rsidRPr="00995A1A" w:rsidRDefault="00626DEC" w:rsidP="000570E5">
            <w:pPr>
              <w:pStyle w:val="Prrafodelist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995A1A">
              <w:rPr>
                <w:sz w:val="16"/>
                <w:szCs w:val="16"/>
              </w:rPr>
              <w:t>Art. 101, fracciones I y IV LGTAIP</w:t>
            </w:r>
          </w:p>
        </w:tc>
        <w:tc>
          <w:tcPr>
            <w:tcW w:w="2552" w:type="dxa"/>
          </w:tcPr>
          <w:p w:rsidR="00626DEC" w:rsidRPr="00995A1A" w:rsidRDefault="00626DEC" w:rsidP="000570E5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626DEC" w:rsidRPr="00995A1A" w:rsidRDefault="00626DEC" w:rsidP="000570E5">
            <w:pPr>
              <w:rPr>
                <w:rFonts w:ascii="ITC Avant Garde" w:hAnsi="ITC Avant Garde"/>
                <w:sz w:val="16"/>
                <w:szCs w:val="16"/>
              </w:rPr>
            </w:pPr>
          </w:p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</w:p>
          <w:p w:rsidR="00626DEC" w:rsidRPr="00995A1A" w:rsidRDefault="00626DEC" w:rsidP="000570E5">
            <w:pPr>
              <w:jc w:val="center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 xml:space="preserve">Aun estando dentro del  periodo de reserva, han desaparecido </w:t>
            </w:r>
            <w:r w:rsidRPr="00995A1A">
              <w:rPr>
                <w:rFonts w:ascii="ITC Avant Garde" w:hAnsi="ITC Avant Garde"/>
                <w:sz w:val="16"/>
                <w:szCs w:val="16"/>
              </w:rPr>
              <w:t xml:space="preserve"> las causas que dieron origen a la clasificación como </w:t>
            </w:r>
            <w:r>
              <w:rPr>
                <w:rFonts w:ascii="ITC Avant Garde" w:hAnsi="ITC Avant Garde"/>
                <w:sz w:val="16"/>
                <w:szCs w:val="16"/>
              </w:rPr>
              <w:t>expediente reservado</w:t>
            </w:r>
            <w:r w:rsidRPr="00995A1A">
              <w:rPr>
                <w:rFonts w:ascii="ITC Avant Garde" w:hAnsi="ITC Avant Garde"/>
                <w:sz w:val="16"/>
                <w:szCs w:val="16"/>
              </w:rPr>
              <w:t>.</w:t>
            </w:r>
          </w:p>
        </w:tc>
      </w:tr>
    </w:tbl>
    <w:p w:rsidR="000313DF" w:rsidRPr="00995A1A" w:rsidRDefault="000313DF" w:rsidP="000313DF">
      <w:pPr>
        <w:jc w:val="center"/>
        <w:rPr>
          <w:rFonts w:ascii="ITC Avant Garde" w:hAnsi="ITC Avant Garde"/>
          <w:sz w:val="16"/>
          <w:szCs w:val="16"/>
        </w:rPr>
      </w:pPr>
    </w:p>
    <w:sectPr w:rsidR="000313DF" w:rsidRPr="00995A1A" w:rsidSect="00E15528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AA" w:rsidRDefault="00890FAA" w:rsidP="00926E7D">
      <w:pPr>
        <w:spacing w:after="0" w:line="240" w:lineRule="auto"/>
      </w:pPr>
      <w:r>
        <w:separator/>
      </w:r>
    </w:p>
  </w:endnote>
  <w:endnote w:type="continuationSeparator" w:id="0">
    <w:p w:rsidR="00890FAA" w:rsidRDefault="00890FAA" w:rsidP="0092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AA" w:rsidRDefault="00890FAA" w:rsidP="00926E7D">
      <w:pPr>
        <w:spacing w:after="0" w:line="240" w:lineRule="auto"/>
      </w:pPr>
      <w:r>
        <w:separator/>
      </w:r>
    </w:p>
  </w:footnote>
  <w:footnote w:type="continuationSeparator" w:id="0">
    <w:p w:rsidR="00890FAA" w:rsidRDefault="00890FAA" w:rsidP="0092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6C" w:rsidRDefault="0068106C">
    <w:pPr>
      <w:pStyle w:val="Encabezado"/>
    </w:pPr>
    <w:r>
      <w:rPr>
        <w:noProof/>
        <w:lang w:eastAsia="es-MX"/>
      </w:rPr>
      <w:drawing>
        <wp:inline distT="0" distB="0" distL="0" distR="0" wp14:anchorId="62E3AC98" wp14:editId="53612260">
          <wp:extent cx="1695450" cy="809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703592">
      <w:rPr>
        <w:rFonts w:ascii="ITC Avant Garde" w:hAnsi="ITC Avant Garde"/>
        <w:b/>
        <w:sz w:val="24"/>
        <w:szCs w:val="24"/>
      </w:rPr>
      <w:t>ÍNDICE DE EXPEDIENTES CLASIFICADOS COMO RESERVADOS</w:t>
    </w:r>
  </w:p>
  <w:p w:rsidR="0068106C" w:rsidRDefault="0068106C">
    <w:pPr>
      <w:pStyle w:val="Encabezado"/>
    </w:pPr>
  </w:p>
  <w:p w:rsidR="0068106C" w:rsidRDefault="0068106C">
    <w:pPr>
      <w:pStyle w:val="Encabezado"/>
    </w:pPr>
  </w:p>
  <w:p w:rsidR="00C62484" w:rsidRDefault="00C62484" w:rsidP="006810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40D7"/>
    <w:multiLevelType w:val="hybridMultilevel"/>
    <w:tmpl w:val="96D4BF82"/>
    <w:lvl w:ilvl="0" w:tplc="8F808D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1EA7"/>
    <w:multiLevelType w:val="hybridMultilevel"/>
    <w:tmpl w:val="E09C5C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72353"/>
    <w:multiLevelType w:val="hybridMultilevel"/>
    <w:tmpl w:val="91DE73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7D89"/>
    <w:multiLevelType w:val="hybridMultilevel"/>
    <w:tmpl w:val="BE4E6638"/>
    <w:lvl w:ilvl="0" w:tplc="3C46B2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2E0"/>
    <w:multiLevelType w:val="hybridMultilevel"/>
    <w:tmpl w:val="D1FE7A32"/>
    <w:lvl w:ilvl="0" w:tplc="38E40D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2F8A"/>
    <w:multiLevelType w:val="hybridMultilevel"/>
    <w:tmpl w:val="F4A60BBC"/>
    <w:lvl w:ilvl="0" w:tplc="EB1E8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5F7C"/>
    <w:multiLevelType w:val="hybridMultilevel"/>
    <w:tmpl w:val="1338D13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C2DE1"/>
    <w:multiLevelType w:val="hybridMultilevel"/>
    <w:tmpl w:val="811C72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A6206"/>
    <w:multiLevelType w:val="hybridMultilevel"/>
    <w:tmpl w:val="82A8EE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174E"/>
    <w:multiLevelType w:val="hybridMultilevel"/>
    <w:tmpl w:val="91DE73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62D0"/>
    <w:multiLevelType w:val="hybridMultilevel"/>
    <w:tmpl w:val="A664C92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646DF"/>
    <w:multiLevelType w:val="hybridMultilevel"/>
    <w:tmpl w:val="52482F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7D"/>
    <w:rsid w:val="00006DD6"/>
    <w:rsid w:val="000313DF"/>
    <w:rsid w:val="0004555A"/>
    <w:rsid w:val="00080392"/>
    <w:rsid w:val="000850C9"/>
    <w:rsid w:val="00107883"/>
    <w:rsid w:val="00151264"/>
    <w:rsid w:val="0015663E"/>
    <w:rsid w:val="001F6F88"/>
    <w:rsid w:val="0023158F"/>
    <w:rsid w:val="002764E1"/>
    <w:rsid w:val="00283866"/>
    <w:rsid w:val="002D3330"/>
    <w:rsid w:val="0033073A"/>
    <w:rsid w:val="0033344E"/>
    <w:rsid w:val="00350741"/>
    <w:rsid w:val="00373354"/>
    <w:rsid w:val="00373486"/>
    <w:rsid w:val="00391AB5"/>
    <w:rsid w:val="003D6EB5"/>
    <w:rsid w:val="00402984"/>
    <w:rsid w:val="00404C33"/>
    <w:rsid w:val="00434FEC"/>
    <w:rsid w:val="00496746"/>
    <w:rsid w:val="004A6AEC"/>
    <w:rsid w:val="004B0A27"/>
    <w:rsid w:val="004D7337"/>
    <w:rsid w:val="0052276C"/>
    <w:rsid w:val="0052525E"/>
    <w:rsid w:val="00564077"/>
    <w:rsid w:val="00565DCF"/>
    <w:rsid w:val="005A10E3"/>
    <w:rsid w:val="005B2C9A"/>
    <w:rsid w:val="005D0AEF"/>
    <w:rsid w:val="005D2079"/>
    <w:rsid w:val="005D7C6C"/>
    <w:rsid w:val="005F34A3"/>
    <w:rsid w:val="0062533E"/>
    <w:rsid w:val="00625A40"/>
    <w:rsid w:val="00626DEC"/>
    <w:rsid w:val="0068106C"/>
    <w:rsid w:val="006C366F"/>
    <w:rsid w:val="006C3DD1"/>
    <w:rsid w:val="006C6524"/>
    <w:rsid w:val="006D0AA6"/>
    <w:rsid w:val="006E0F04"/>
    <w:rsid w:val="00707689"/>
    <w:rsid w:val="00724ACB"/>
    <w:rsid w:val="007B495C"/>
    <w:rsid w:val="007D5484"/>
    <w:rsid w:val="007E52F4"/>
    <w:rsid w:val="00832450"/>
    <w:rsid w:val="00885872"/>
    <w:rsid w:val="00890FAA"/>
    <w:rsid w:val="00925292"/>
    <w:rsid w:val="00926E7D"/>
    <w:rsid w:val="00945B09"/>
    <w:rsid w:val="0097354E"/>
    <w:rsid w:val="00995A1A"/>
    <w:rsid w:val="00A34CEB"/>
    <w:rsid w:val="00A4314B"/>
    <w:rsid w:val="00A92375"/>
    <w:rsid w:val="00AA781B"/>
    <w:rsid w:val="00AB53F2"/>
    <w:rsid w:val="00AE58BD"/>
    <w:rsid w:val="00B427E2"/>
    <w:rsid w:val="00BB6237"/>
    <w:rsid w:val="00BB7002"/>
    <w:rsid w:val="00BF2D99"/>
    <w:rsid w:val="00C56FB0"/>
    <w:rsid w:val="00C62484"/>
    <w:rsid w:val="00C62F7F"/>
    <w:rsid w:val="00C85D2C"/>
    <w:rsid w:val="00D0254E"/>
    <w:rsid w:val="00D60FB0"/>
    <w:rsid w:val="00D924A3"/>
    <w:rsid w:val="00E01955"/>
    <w:rsid w:val="00E027CB"/>
    <w:rsid w:val="00E051B5"/>
    <w:rsid w:val="00E15528"/>
    <w:rsid w:val="00E15D9C"/>
    <w:rsid w:val="00E479B0"/>
    <w:rsid w:val="00E6248E"/>
    <w:rsid w:val="00E630D1"/>
    <w:rsid w:val="00E82465"/>
    <w:rsid w:val="00E947CF"/>
    <w:rsid w:val="00EA5B9D"/>
    <w:rsid w:val="00F178D6"/>
    <w:rsid w:val="00F4619A"/>
    <w:rsid w:val="00F50403"/>
    <w:rsid w:val="00F6044A"/>
    <w:rsid w:val="00F7211E"/>
    <w:rsid w:val="00FB5591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450B8C-411F-40F2-8F22-B3B857B3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6E7D"/>
    <w:pPr>
      <w:ind w:left="720"/>
      <w:contextualSpacing/>
    </w:pPr>
    <w:rPr>
      <w:rFonts w:ascii="ITC Avant Garde" w:hAnsi="ITC Avant Gard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6E7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6E7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6E7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52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4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64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64E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2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484"/>
  </w:style>
  <w:style w:type="paragraph" w:styleId="Piedepgina">
    <w:name w:val="footer"/>
    <w:basedOn w:val="Normal"/>
    <w:link w:val="PiedepginaCar"/>
    <w:uiPriority w:val="99"/>
    <w:unhideWhenUsed/>
    <w:rsid w:val="00C62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0855-8C48-47EE-A0DC-6FED8B04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Ortiz</dc:creator>
  <cp:lastModifiedBy>Mariel Alejandra Mondragon Bustos</cp:lastModifiedBy>
  <cp:revision>2</cp:revision>
  <cp:lastPrinted>2015-12-15T23:19:00Z</cp:lastPrinted>
  <dcterms:created xsi:type="dcterms:W3CDTF">2016-02-02T19:18:00Z</dcterms:created>
  <dcterms:modified xsi:type="dcterms:W3CDTF">2016-02-02T19:18:00Z</dcterms:modified>
</cp:coreProperties>
</file>