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56B9" w14:textId="18135721" w:rsidR="006344BB" w:rsidRPr="00CB1F89" w:rsidRDefault="007D6A4B" w:rsidP="00CB1F89">
      <w:pPr>
        <w:pStyle w:val="Ttulo1"/>
      </w:pPr>
      <w:r>
        <w:t>XIX</w:t>
      </w:r>
      <w:r w:rsidR="006344BB" w:rsidRPr="007418E4">
        <w:t xml:space="preserve"> SESIÓN </w:t>
      </w:r>
      <w:r>
        <w:t>EXTRA</w:t>
      </w:r>
      <w:r w:rsidR="006344BB" w:rsidRPr="007418E4">
        <w:t>ORDINARIA DEL PLENO DEL</w:t>
      </w:r>
      <w:r w:rsidR="00CB1F89">
        <w:t xml:space="preserve"> </w:t>
      </w:r>
      <w:r w:rsidR="006344BB" w:rsidRPr="007418E4">
        <w:t>INSTITUTO FEDERAL DE TELECOMUNICACIONES</w:t>
      </w:r>
    </w:p>
    <w:p w14:paraId="6761BCBF" w14:textId="19259F89" w:rsidR="006344BB" w:rsidRPr="00CB1F89" w:rsidRDefault="007D6A4B" w:rsidP="00CB1F89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CB1F89">
        <w:rPr>
          <w:rFonts w:ascii="ITC Avant Garde" w:hAnsi="ITC Avant Garde"/>
          <w:b/>
          <w:color w:val="000000" w:themeColor="text1"/>
          <w:sz w:val="24"/>
          <w:szCs w:val="24"/>
        </w:rPr>
        <w:t>22</w:t>
      </w:r>
      <w:r w:rsidR="006344BB" w:rsidRPr="00CB1F89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NOVIEMBRE DE 2016</w:t>
      </w:r>
    </w:p>
    <w:p w14:paraId="3CB2C50E" w14:textId="77777777" w:rsidR="006344BB" w:rsidRPr="00CB1F89" w:rsidRDefault="006344BB" w:rsidP="00CB1F89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CB1F89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478B7EEE" w14:textId="77777777" w:rsidR="006344BB" w:rsidRPr="00CB1F89" w:rsidRDefault="006344BB" w:rsidP="00CB1F8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B1F89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B37CEC" w14:textId="77777777" w:rsidR="006344BB" w:rsidRPr="00CB1F89" w:rsidRDefault="006344BB" w:rsidP="00CB1F8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B1F89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77F21A67" w14:textId="77777777" w:rsidR="006344BB" w:rsidRPr="00CB1F89" w:rsidRDefault="006344BB" w:rsidP="00CB1F8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B1F89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</w:t>
      </w:r>
      <w:bookmarkStart w:id="0" w:name="_GoBack"/>
      <w:bookmarkEnd w:id="0"/>
      <w:r w:rsidRPr="00CB1F89">
        <w:rPr>
          <w:rFonts w:ascii="ITC Avant Garde" w:hAnsi="ITC Avant Garde"/>
          <w:b/>
          <w:color w:val="000000" w:themeColor="text1"/>
          <w:sz w:val="22"/>
          <w:szCs w:val="22"/>
        </w:rPr>
        <w:t>METEN A CONSIDERACIÓN DEL PLENO.</w:t>
      </w:r>
    </w:p>
    <w:p w14:paraId="4838D5B4" w14:textId="77777777" w:rsidR="00FE611D" w:rsidRDefault="00FE611D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iCs/>
          <w:lang w:eastAsia="es-ES"/>
        </w:rPr>
      </w:pPr>
      <w:r w:rsidRPr="00C45C02">
        <w:rPr>
          <w:rFonts w:ascii="ITC Avant Garde" w:eastAsia="Times New Roman" w:hAnsi="ITC Avant Garde" w:cs="Times New Roman"/>
          <w:b/>
          <w:bCs/>
          <w:lang w:val="es-ES" w:eastAsia="es-ES"/>
        </w:rPr>
        <w:t>III.1.-</w:t>
      </w:r>
      <w:r>
        <w:rPr>
          <w:rFonts w:ascii="ITC Avant Garde" w:eastAsia="Times New Roman" w:hAnsi="ITC Avant Garde" w:cs="Times New Roman"/>
          <w:bCs/>
          <w:lang w:val="es-ES" w:eastAsia="es-ES"/>
        </w:rPr>
        <w:t xml:space="preserve"> Resolución mediante la cual el Pleno del Instituto Federal de T</w:t>
      </w:r>
      <w:r w:rsidRPr="00A4390C">
        <w:rPr>
          <w:rFonts w:ascii="ITC Avant Garde" w:eastAsia="Times New Roman" w:hAnsi="ITC Avant Garde" w:cs="Times New Roman"/>
          <w:bCs/>
          <w:lang w:val="es-ES" w:eastAsia="es-ES"/>
        </w:rPr>
        <w:t xml:space="preserve">elecomunicaciones determina las condiciones de interconexión no convenidas </w:t>
      </w:r>
      <w:r>
        <w:rPr>
          <w:rFonts w:ascii="ITC Avant Garde" w:eastAsia="Calibri" w:hAnsi="ITC Avant Garde" w:cs="Helvetica"/>
          <w:lang w:eastAsia="es-MX"/>
        </w:rPr>
        <w:t>entre Radiomóvil D</w:t>
      </w:r>
      <w:r w:rsidRPr="00A4390C">
        <w:rPr>
          <w:rFonts w:ascii="ITC Avant Garde" w:eastAsia="Calibri" w:hAnsi="ITC Avant Garde" w:cs="Helvetica"/>
          <w:lang w:eastAsia="es-MX"/>
        </w:rPr>
        <w:t xml:space="preserve">ipsa, S.A.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C.V. y las empresas AT&amp;T </w:t>
      </w:r>
      <w:r>
        <w:rPr>
          <w:rFonts w:ascii="ITC Avant Garde" w:eastAsia="Calibri" w:hAnsi="ITC Avant Garde" w:cs="Helvetica"/>
          <w:lang w:eastAsia="es-MX"/>
        </w:rPr>
        <w:t>N</w:t>
      </w:r>
      <w:r w:rsidRPr="00A4390C">
        <w:rPr>
          <w:rFonts w:ascii="ITC Avant Garde" w:eastAsia="Calibri" w:hAnsi="ITC Avant Garde" w:cs="Helvetica"/>
          <w:lang w:eastAsia="es-MX"/>
        </w:rPr>
        <w:t xml:space="preserve">orte, </w:t>
      </w:r>
      <w:r>
        <w:rPr>
          <w:rFonts w:ascii="ITC Avant Garde" w:eastAsia="Calibri" w:hAnsi="ITC Avant Garde" w:cs="Helvetica"/>
          <w:lang w:eastAsia="es-MX"/>
        </w:rPr>
        <w:t>S. de</w:t>
      </w:r>
      <w:r w:rsidRPr="00A4390C">
        <w:rPr>
          <w:rFonts w:ascii="ITC Avant Garde" w:eastAsia="Calibri" w:hAnsi="ITC Avant Garde" w:cs="Helvetica"/>
          <w:lang w:eastAsia="es-MX"/>
        </w:rPr>
        <w:t xml:space="preserve"> R.L.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C.V.,</w:t>
      </w:r>
      <w:r>
        <w:rPr>
          <w:rFonts w:ascii="ITC Avant Garde" w:eastAsia="Calibri" w:hAnsi="ITC Avant Garde" w:cs="Helvetica"/>
          <w:lang w:eastAsia="es-MX"/>
        </w:rPr>
        <w:t xml:space="preserve"> G</w:t>
      </w:r>
      <w:r w:rsidRPr="00A4390C">
        <w:rPr>
          <w:rFonts w:ascii="ITC Avant Garde" w:eastAsia="Calibri" w:hAnsi="ITC Avant Garde" w:cs="Helvetica"/>
          <w:lang w:eastAsia="es-MX"/>
        </w:rPr>
        <w:t xml:space="preserve">rupo AT&amp;T </w:t>
      </w:r>
      <w:r>
        <w:rPr>
          <w:rFonts w:ascii="ITC Avant Garde" w:eastAsia="Calibri" w:hAnsi="ITC Avant Garde" w:cs="Helvetica"/>
          <w:lang w:eastAsia="es-MX"/>
        </w:rPr>
        <w:t>C</w:t>
      </w:r>
      <w:r w:rsidRPr="00A4390C">
        <w:rPr>
          <w:rFonts w:ascii="ITC Avant Garde" w:eastAsia="Calibri" w:hAnsi="ITC Avant Garde" w:cs="Helvetica"/>
          <w:lang w:eastAsia="es-MX"/>
        </w:rPr>
        <w:t xml:space="preserve">elullar, S.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R.L.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C.V., AT&amp;T</w:t>
      </w:r>
      <w:r>
        <w:rPr>
          <w:rFonts w:ascii="ITC Avant Garde" w:eastAsia="Calibri" w:hAnsi="ITC Avant Garde" w:cs="Helvetica"/>
          <w:lang w:eastAsia="es-MX"/>
        </w:rPr>
        <w:t xml:space="preserve"> Comercialización M</w:t>
      </w:r>
      <w:r w:rsidRPr="00A4390C">
        <w:rPr>
          <w:rFonts w:ascii="ITC Avant Garde" w:eastAsia="Calibri" w:hAnsi="ITC Avant Garde" w:cs="Helvetica"/>
          <w:lang w:eastAsia="es-MX"/>
        </w:rPr>
        <w:t xml:space="preserve">óvil, S.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R.L.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C.V., AT&amp;T </w:t>
      </w:r>
      <w:r>
        <w:rPr>
          <w:rFonts w:ascii="ITC Avant Garde" w:eastAsia="Calibri" w:hAnsi="ITC Avant Garde" w:cs="Helvetica"/>
          <w:lang w:eastAsia="es-MX"/>
        </w:rPr>
        <w:t>Desarrollo en Comunicaciones de M</w:t>
      </w:r>
      <w:r w:rsidRPr="00A4390C">
        <w:rPr>
          <w:rFonts w:ascii="ITC Avant Garde" w:eastAsia="Calibri" w:hAnsi="ITC Avant Garde" w:cs="Helvetica"/>
          <w:lang w:eastAsia="es-MX"/>
        </w:rPr>
        <w:t xml:space="preserve">éxico, S.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R.L.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C.V. </w:t>
      </w:r>
      <w:r>
        <w:rPr>
          <w:rFonts w:ascii="ITC Avant Garde" w:eastAsia="Calibri" w:hAnsi="ITC Avant Garde" w:cs="Helvetica"/>
          <w:lang w:eastAsia="es-MX"/>
        </w:rPr>
        <w:t xml:space="preserve">y </w:t>
      </w:r>
      <w:r w:rsidRPr="00A4390C">
        <w:rPr>
          <w:rFonts w:ascii="ITC Avant Garde" w:eastAsia="Calibri" w:hAnsi="ITC Avant Garde" w:cs="Helvetica"/>
          <w:lang w:eastAsia="es-MX"/>
        </w:rPr>
        <w:t>AT&amp;T C</w:t>
      </w:r>
      <w:r>
        <w:rPr>
          <w:rFonts w:ascii="ITC Avant Garde" w:eastAsia="Calibri" w:hAnsi="ITC Avant Garde" w:cs="Helvetica"/>
          <w:lang w:eastAsia="es-MX"/>
        </w:rPr>
        <w:t>omunicaciones D</w:t>
      </w:r>
      <w:r w:rsidRPr="00A4390C">
        <w:rPr>
          <w:rFonts w:ascii="ITC Avant Garde" w:eastAsia="Calibri" w:hAnsi="ITC Avant Garde" w:cs="Helvetica"/>
          <w:lang w:eastAsia="es-MX"/>
        </w:rPr>
        <w:t xml:space="preserve">igitales, S.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R.L. </w:t>
      </w:r>
      <w:r>
        <w:rPr>
          <w:rFonts w:ascii="ITC Avant Garde" w:eastAsia="Calibri" w:hAnsi="ITC Avant Garde" w:cs="Helvetica"/>
          <w:lang w:eastAsia="es-MX"/>
        </w:rPr>
        <w:t>de</w:t>
      </w:r>
      <w:r w:rsidRPr="00A4390C">
        <w:rPr>
          <w:rFonts w:ascii="ITC Avant Garde" w:eastAsia="Calibri" w:hAnsi="ITC Avant Garde" w:cs="Helvetica"/>
          <w:lang w:eastAsia="es-MX"/>
        </w:rPr>
        <w:t xml:space="preserve"> C.V., </w:t>
      </w:r>
      <w:r w:rsidRPr="00A4390C">
        <w:rPr>
          <w:rFonts w:ascii="ITC Avant Garde" w:eastAsia="Times New Roman" w:hAnsi="ITC Avant Garde" w:cs="Times New Roman"/>
          <w:bCs/>
          <w:iCs/>
          <w:lang w:eastAsia="es-ES"/>
        </w:rPr>
        <w:t>aplicables del 1 de enero al 31 de diciembre de 2017.</w:t>
      </w:r>
    </w:p>
    <w:p w14:paraId="04F0DC85" w14:textId="25BC5330" w:rsidR="00C45C02" w:rsidRPr="00A4390C" w:rsidRDefault="00C45C02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i/>
          <w:lang w:eastAsia="es-ES"/>
        </w:rPr>
      </w:pPr>
      <w:r w:rsidRPr="00C45C02">
        <w:rPr>
          <w:rFonts w:ascii="ITC Avant Garde" w:eastAsia="Times New Roman" w:hAnsi="ITC Avant Garde" w:cs="Times New Roman"/>
          <w:bCs/>
          <w:i/>
          <w:iCs/>
          <w:lang w:eastAsia="es-ES"/>
        </w:rPr>
        <w:t>(Unidad de Política Regulatoria)</w:t>
      </w:r>
    </w:p>
    <w:p w14:paraId="52CDF5BB" w14:textId="77777777" w:rsidR="00FE611D" w:rsidRDefault="00FE611D" w:rsidP="003D5DC7">
      <w:pPr>
        <w:pStyle w:val="Prrafodelista"/>
        <w:spacing w:after="0" w:line="276" w:lineRule="auto"/>
        <w:ind w:left="0"/>
        <w:jc w:val="both"/>
        <w:rPr>
          <w:rFonts w:ascii="ITC Avant Garde" w:hAnsi="ITC Avant Garde"/>
        </w:rPr>
      </w:pPr>
    </w:p>
    <w:p w14:paraId="25F98DF2" w14:textId="5B22536A" w:rsidR="00FE611D" w:rsidRDefault="00FE611D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lang w:eastAsia="es-MX"/>
        </w:rPr>
      </w:pPr>
      <w:r w:rsidRPr="00C45C02">
        <w:rPr>
          <w:rFonts w:ascii="ITC Avant Garde" w:eastAsia="Times New Roman" w:hAnsi="ITC Avant Garde"/>
          <w:b/>
          <w:bCs/>
          <w:lang w:val="es-ES" w:eastAsia="es-ES"/>
        </w:rPr>
        <w:t>III.2.-</w:t>
      </w:r>
      <w:r>
        <w:rPr>
          <w:rFonts w:ascii="ITC Avant Garde" w:eastAsia="Times New Roman" w:hAnsi="ITC Avant Garde"/>
          <w:bCs/>
          <w:lang w:val="es-ES" w:eastAsia="es-ES"/>
        </w:rPr>
        <w:t xml:space="preserve"> R</w:t>
      </w:r>
      <w:r w:rsidRPr="00A4390C">
        <w:rPr>
          <w:rFonts w:ascii="ITC Avant Garde" w:eastAsia="Times New Roman" w:hAnsi="ITC Avant Garde"/>
          <w:bCs/>
          <w:lang w:val="es-ES" w:eastAsia="es-ES"/>
        </w:rPr>
        <w:t xml:space="preserve">esolución mediante la cual el </w:t>
      </w:r>
      <w:r>
        <w:rPr>
          <w:rFonts w:ascii="ITC Avant Garde" w:eastAsia="Times New Roman" w:hAnsi="ITC Avant Garde"/>
          <w:bCs/>
          <w:lang w:val="es-ES" w:eastAsia="es-ES"/>
        </w:rPr>
        <w:t>P</w:t>
      </w:r>
      <w:r w:rsidRPr="00A4390C">
        <w:rPr>
          <w:rFonts w:ascii="ITC Avant Garde" w:eastAsia="Times New Roman" w:hAnsi="ITC Avant Garde"/>
          <w:bCs/>
          <w:lang w:val="es-ES" w:eastAsia="es-ES"/>
        </w:rPr>
        <w:t>leno del</w:t>
      </w:r>
      <w:r>
        <w:rPr>
          <w:rFonts w:ascii="ITC Avant Garde" w:eastAsia="Times New Roman" w:hAnsi="ITC Avant Garde"/>
          <w:bCs/>
          <w:lang w:val="es-ES" w:eastAsia="es-ES"/>
        </w:rPr>
        <w:t xml:space="preserve"> Instituto Federal de T</w:t>
      </w:r>
      <w:r w:rsidRPr="00A4390C">
        <w:rPr>
          <w:rFonts w:ascii="ITC Avant Garde" w:eastAsia="Times New Roman" w:hAnsi="ITC Avant Garde"/>
          <w:bCs/>
          <w:lang w:val="es-ES" w:eastAsia="es-ES"/>
        </w:rPr>
        <w:t xml:space="preserve">elecomunicaciones determina las condiciones de interconexión no convenidas </w:t>
      </w:r>
      <w:r w:rsidRPr="00A4390C">
        <w:rPr>
          <w:rFonts w:ascii="ITC Avant Garde" w:hAnsi="ITC Avant Garde" w:cs="Helvetica"/>
          <w:lang w:eastAsia="es-MX"/>
        </w:rPr>
        <w:t xml:space="preserve">entre las empresas </w:t>
      </w:r>
      <w:r>
        <w:rPr>
          <w:rFonts w:ascii="ITC Avant Garde" w:hAnsi="ITC Avant Garde" w:cs="Helvetica"/>
          <w:lang w:eastAsia="es-MX"/>
        </w:rPr>
        <w:t>Teléfonos de M</w:t>
      </w:r>
      <w:r w:rsidRPr="00A4390C">
        <w:rPr>
          <w:rFonts w:ascii="ITC Avant Garde" w:hAnsi="ITC Avant Garde" w:cs="Helvetica"/>
          <w:lang w:eastAsia="es-MX"/>
        </w:rPr>
        <w:t xml:space="preserve">éxico, S.A.B.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C.V. </w:t>
      </w:r>
      <w:r>
        <w:rPr>
          <w:rFonts w:ascii="ITC Avant Garde" w:hAnsi="ITC Avant Garde" w:cs="Helvetica"/>
          <w:lang w:eastAsia="es-MX"/>
        </w:rPr>
        <w:t>y</w:t>
      </w:r>
      <w:r w:rsidRPr="00A4390C">
        <w:rPr>
          <w:rFonts w:ascii="ITC Avant Garde" w:hAnsi="ITC Avant Garde" w:cs="Helvetica"/>
          <w:lang w:eastAsia="es-MX"/>
        </w:rPr>
        <w:t xml:space="preserve"> Teléfonos del noroeste, S.A.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C.V.</w:t>
      </w:r>
      <w:r>
        <w:rPr>
          <w:rFonts w:ascii="ITC Avant Garde" w:hAnsi="ITC Avant Garde" w:cs="Helvetica"/>
          <w:lang w:eastAsia="es-MX"/>
        </w:rPr>
        <w:t xml:space="preserve"> y las empresas A</w:t>
      </w:r>
      <w:r w:rsidRPr="00A4390C">
        <w:rPr>
          <w:rFonts w:ascii="ITC Avant Garde" w:hAnsi="ITC Avant Garde" w:cs="Helvetica"/>
          <w:lang w:eastAsia="es-MX"/>
        </w:rPr>
        <w:t xml:space="preserve">vantel, S.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R.L.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C.V. </w:t>
      </w:r>
      <w:r>
        <w:rPr>
          <w:rFonts w:ascii="ITC Avant Garde" w:hAnsi="ITC Avant Garde" w:cs="Helvetica"/>
          <w:lang w:eastAsia="es-MX"/>
        </w:rPr>
        <w:t>y</w:t>
      </w:r>
      <w:r w:rsidRPr="00A4390C">
        <w:rPr>
          <w:rFonts w:ascii="ITC Avant Garde" w:hAnsi="ITC Avant Garde" w:cs="Helvetica"/>
          <w:lang w:eastAsia="es-MX"/>
        </w:rPr>
        <w:t xml:space="preserve"> </w:t>
      </w:r>
      <w:r w:rsidR="00DC7EC2" w:rsidRPr="00A4390C">
        <w:rPr>
          <w:rFonts w:ascii="ITC Avant Garde" w:hAnsi="ITC Avant Garde" w:cs="Helvetica"/>
          <w:lang w:eastAsia="es-MX"/>
        </w:rPr>
        <w:t>Axtel</w:t>
      </w:r>
      <w:r w:rsidRPr="00A4390C">
        <w:rPr>
          <w:rFonts w:ascii="ITC Avant Garde" w:hAnsi="ITC Avant Garde" w:cs="Helvetica"/>
          <w:lang w:eastAsia="es-MX"/>
        </w:rPr>
        <w:t xml:space="preserve">, S.A.B.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C.V. aplicables del 1 de enero al 31 de diciembre de 2017</w:t>
      </w:r>
      <w:r>
        <w:rPr>
          <w:rFonts w:ascii="ITC Avant Garde" w:hAnsi="ITC Avant Garde" w:cs="Helvetica"/>
          <w:lang w:eastAsia="es-MX"/>
        </w:rPr>
        <w:t>.</w:t>
      </w:r>
    </w:p>
    <w:p w14:paraId="3031C6A8" w14:textId="77777777" w:rsidR="00C45C02" w:rsidRPr="00A4390C" w:rsidRDefault="00C45C02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i/>
          <w:lang w:eastAsia="es-ES"/>
        </w:rPr>
      </w:pPr>
      <w:r w:rsidRPr="00C45C02">
        <w:rPr>
          <w:rFonts w:ascii="ITC Avant Garde" w:eastAsia="Times New Roman" w:hAnsi="ITC Avant Garde" w:cs="Times New Roman"/>
          <w:bCs/>
          <w:i/>
          <w:iCs/>
          <w:lang w:eastAsia="es-ES"/>
        </w:rPr>
        <w:t>(Unidad de Política Regulatoria)</w:t>
      </w:r>
    </w:p>
    <w:p w14:paraId="75219FBA" w14:textId="77777777" w:rsidR="00FE611D" w:rsidRDefault="00FE611D" w:rsidP="003D5DC7">
      <w:pPr>
        <w:pStyle w:val="Prrafodelista"/>
        <w:spacing w:after="0" w:line="276" w:lineRule="auto"/>
        <w:ind w:left="0"/>
        <w:jc w:val="both"/>
        <w:rPr>
          <w:rFonts w:ascii="ITC Avant Garde" w:hAnsi="ITC Avant Garde"/>
        </w:rPr>
      </w:pPr>
    </w:p>
    <w:p w14:paraId="292954B1" w14:textId="77777777" w:rsidR="00FE611D" w:rsidRDefault="00FE611D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lang w:eastAsia="es-MX"/>
        </w:rPr>
      </w:pPr>
      <w:r w:rsidRPr="00C45C02">
        <w:rPr>
          <w:rFonts w:ascii="ITC Avant Garde" w:eastAsia="Times New Roman" w:hAnsi="ITC Avant Garde"/>
          <w:b/>
          <w:bCs/>
          <w:lang w:val="es-ES" w:eastAsia="es-ES"/>
        </w:rPr>
        <w:t>III.3.-</w:t>
      </w:r>
      <w:r>
        <w:rPr>
          <w:rFonts w:ascii="ITC Avant Garde" w:eastAsia="Times New Roman" w:hAnsi="ITC Avant Garde"/>
          <w:bCs/>
          <w:lang w:val="es-ES" w:eastAsia="es-ES"/>
        </w:rPr>
        <w:t xml:space="preserve"> Resolución mediante la cual el Pleno del Instituto Federal de T</w:t>
      </w:r>
      <w:r w:rsidRPr="00A4390C">
        <w:rPr>
          <w:rFonts w:ascii="ITC Avant Garde" w:eastAsia="Times New Roman" w:hAnsi="ITC Avant Garde"/>
          <w:bCs/>
          <w:lang w:val="es-ES" w:eastAsia="es-ES"/>
        </w:rPr>
        <w:t xml:space="preserve">elecomunicaciones determina las condiciones de interconexión no convenidas </w:t>
      </w:r>
      <w:r>
        <w:rPr>
          <w:rFonts w:ascii="ITC Avant Garde" w:hAnsi="ITC Avant Garde" w:cs="Helvetica"/>
          <w:lang w:eastAsia="es-MX"/>
        </w:rPr>
        <w:t>entre las empresas Teléfonos de M</w:t>
      </w:r>
      <w:r w:rsidRPr="00A4390C">
        <w:rPr>
          <w:rFonts w:ascii="ITC Avant Garde" w:hAnsi="ITC Avant Garde" w:cs="Helvetica"/>
          <w:lang w:eastAsia="es-MX"/>
        </w:rPr>
        <w:t xml:space="preserve">éxico, </w:t>
      </w:r>
      <w:r>
        <w:rPr>
          <w:rFonts w:ascii="ITC Avant Garde" w:hAnsi="ITC Avant Garde" w:cs="Helvetica"/>
          <w:lang w:eastAsia="es-MX"/>
        </w:rPr>
        <w:t>S.A.B. de</w:t>
      </w:r>
      <w:r w:rsidRPr="00A4390C">
        <w:rPr>
          <w:rFonts w:ascii="ITC Avant Garde" w:hAnsi="ITC Avant Garde" w:cs="Helvetica"/>
          <w:lang w:eastAsia="es-MX"/>
        </w:rPr>
        <w:t xml:space="preserve"> C.V. </w:t>
      </w:r>
      <w:r>
        <w:rPr>
          <w:rFonts w:ascii="ITC Avant Garde" w:hAnsi="ITC Avant Garde" w:cs="Helvetica"/>
          <w:lang w:eastAsia="es-MX"/>
        </w:rPr>
        <w:t>y</w:t>
      </w:r>
      <w:r w:rsidRPr="00A4390C">
        <w:rPr>
          <w:rFonts w:ascii="ITC Avant Garde" w:hAnsi="ITC Avant Garde" w:cs="Helvetica"/>
          <w:lang w:eastAsia="es-MX"/>
        </w:rPr>
        <w:t xml:space="preserve"> T</w:t>
      </w:r>
      <w:r>
        <w:rPr>
          <w:rFonts w:ascii="ITC Avant Garde" w:hAnsi="ITC Avant Garde" w:cs="Helvetica"/>
          <w:lang w:eastAsia="es-MX"/>
        </w:rPr>
        <w:t>eléfonos del N</w:t>
      </w:r>
      <w:r w:rsidRPr="00A4390C">
        <w:rPr>
          <w:rFonts w:ascii="ITC Avant Garde" w:hAnsi="ITC Avant Garde" w:cs="Helvetica"/>
          <w:lang w:eastAsia="es-MX"/>
        </w:rPr>
        <w:t xml:space="preserve">oroeste, S.A.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C.V. </w:t>
      </w:r>
      <w:r>
        <w:rPr>
          <w:rFonts w:ascii="ITC Avant Garde" w:hAnsi="ITC Avant Garde" w:cs="Helvetica"/>
          <w:lang w:eastAsia="es-MX"/>
        </w:rPr>
        <w:t>y</w:t>
      </w:r>
      <w:r w:rsidRPr="00A4390C">
        <w:rPr>
          <w:rFonts w:ascii="ITC Avant Garde" w:hAnsi="ITC Avant Garde" w:cs="Helvetica"/>
          <w:lang w:eastAsia="es-MX"/>
        </w:rPr>
        <w:t xml:space="preserve"> Alestra, S.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R.L. </w:t>
      </w:r>
      <w:r>
        <w:rPr>
          <w:rFonts w:ascii="ITC Avant Garde" w:hAnsi="ITC Avant Garde" w:cs="Helvetica"/>
          <w:lang w:eastAsia="es-MX"/>
        </w:rPr>
        <w:t>de</w:t>
      </w:r>
      <w:r w:rsidRPr="00A4390C">
        <w:rPr>
          <w:rFonts w:ascii="ITC Avant Garde" w:hAnsi="ITC Avant Garde" w:cs="Helvetica"/>
          <w:lang w:eastAsia="es-MX"/>
        </w:rPr>
        <w:t xml:space="preserve"> C.V., aplicables del 1 de enero al 31 de diciembre de 2017</w:t>
      </w:r>
      <w:r>
        <w:rPr>
          <w:rFonts w:ascii="ITC Avant Garde" w:hAnsi="ITC Avant Garde" w:cs="Helvetica"/>
          <w:lang w:eastAsia="es-MX"/>
        </w:rPr>
        <w:t>.</w:t>
      </w:r>
    </w:p>
    <w:p w14:paraId="689B94EE" w14:textId="77777777" w:rsidR="00C45C02" w:rsidRPr="00A4390C" w:rsidRDefault="00C45C02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i/>
          <w:lang w:eastAsia="es-ES"/>
        </w:rPr>
      </w:pPr>
      <w:r w:rsidRPr="00C45C02">
        <w:rPr>
          <w:rFonts w:ascii="ITC Avant Garde" w:eastAsia="Times New Roman" w:hAnsi="ITC Avant Garde" w:cs="Times New Roman"/>
          <w:bCs/>
          <w:i/>
          <w:iCs/>
          <w:lang w:eastAsia="es-ES"/>
        </w:rPr>
        <w:t>(Unidad de Política Regulatoria)</w:t>
      </w:r>
    </w:p>
    <w:p w14:paraId="1B07D682" w14:textId="77777777" w:rsidR="003D5DC7" w:rsidRDefault="003D5DC7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/>
          <w:bCs/>
          <w:lang w:val="es-ES" w:eastAsia="es-ES"/>
        </w:rPr>
      </w:pPr>
    </w:p>
    <w:p w14:paraId="223387A3" w14:textId="401ADA4B" w:rsidR="00786D8A" w:rsidRPr="009F5E6C" w:rsidRDefault="00786D8A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III.4.</w:t>
      </w:r>
      <w:r w:rsidR="00FE611D" w:rsidRPr="00C45C02">
        <w:rPr>
          <w:rFonts w:ascii="ITC Avant Garde" w:eastAsia="Times New Roman" w:hAnsi="ITC Avant Garde"/>
          <w:b/>
          <w:bCs/>
          <w:lang w:val="es-ES" w:eastAsia="es-ES"/>
        </w:rPr>
        <w:t>-</w:t>
      </w:r>
      <w:r w:rsidR="00FE611D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B534E3" w:rsidRPr="00B534E3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del Instituto Federal de Telecomunicaciones determina las condiciones de interconexión no convenidas </w:t>
      </w:r>
      <w:r w:rsidR="00B534E3" w:rsidRPr="009F5E6C">
        <w:rPr>
          <w:rFonts w:ascii="ITC Avant Garde" w:eastAsia="Times New Roman" w:hAnsi="ITC Avant Garde"/>
          <w:bCs/>
          <w:lang w:val="es-ES" w:eastAsia="es-ES"/>
        </w:rPr>
        <w:t>entre Teléfonos del Noroeste, S.A. de C.V. y Alestra Comunicación, S. de R.L. de C.V., aplicables del 1 de enero al 31 de diciembre de 2017.</w:t>
      </w:r>
    </w:p>
    <w:p w14:paraId="389D0272" w14:textId="77777777" w:rsidR="00B534E3" w:rsidRPr="00A4390C" w:rsidRDefault="00B534E3" w:rsidP="003D5DC7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Times New Roman"/>
          <w:bCs/>
          <w:i/>
          <w:lang w:eastAsia="es-ES"/>
        </w:rPr>
      </w:pPr>
      <w:r w:rsidRPr="00C45C02">
        <w:rPr>
          <w:rFonts w:ascii="ITC Avant Garde" w:eastAsia="Times New Roman" w:hAnsi="ITC Avant Garde" w:cs="Times New Roman"/>
          <w:bCs/>
          <w:i/>
          <w:iCs/>
          <w:lang w:eastAsia="es-ES"/>
        </w:rPr>
        <w:t>(Unidad de Política Regulatoria)</w:t>
      </w:r>
    </w:p>
    <w:p w14:paraId="58F2C1FA" w14:textId="77777777" w:rsidR="00A4390C" w:rsidRPr="00A4390C" w:rsidRDefault="00A4390C" w:rsidP="003D5DC7">
      <w:pPr>
        <w:spacing w:after="0" w:line="276" w:lineRule="auto"/>
      </w:pPr>
    </w:p>
    <w:p w14:paraId="7A73A235" w14:textId="61355333" w:rsidR="00B534E3" w:rsidRPr="00CB1F89" w:rsidRDefault="00303A5B" w:rsidP="00CB1F8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B1F89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B534E3" w:rsidRPr="00CB1F89" w:rsidSect="00C940E2">
      <w:footerReference w:type="default" r:id="rId7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7BE79" w14:textId="77777777" w:rsidR="00746DBB" w:rsidRDefault="00746DBB">
      <w:pPr>
        <w:spacing w:after="0" w:line="240" w:lineRule="auto"/>
      </w:pPr>
      <w:r>
        <w:separator/>
      </w:r>
    </w:p>
  </w:endnote>
  <w:endnote w:type="continuationSeparator" w:id="0">
    <w:p w14:paraId="62E09325" w14:textId="77777777" w:rsidR="00746DBB" w:rsidRDefault="0074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4772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CB1F89" w:rsidRPr="00CB1F89">
          <w:rPr>
            <w:rFonts w:ascii="ITC Avant Garde" w:hAnsi="ITC Avant Garde"/>
            <w:noProof/>
            <w:sz w:val="14"/>
            <w:szCs w:val="14"/>
            <w:lang w:val="es-ES"/>
          </w:rPr>
          <w:t>2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746D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5F9F" w14:textId="77777777" w:rsidR="00746DBB" w:rsidRDefault="00746DBB">
      <w:pPr>
        <w:spacing w:after="0" w:line="240" w:lineRule="auto"/>
      </w:pPr>
      <w:r>
        <w:separator/>
      </w:r>
    </w:p>
  </w:footnote>
  <w:footnote w:type="continuationSeparator" w:id="0">
    <w:p w14:paraId="3C901EDC" w14:textId="77777777" w:rsidR="00746DBB" w:rsidRDefault="0074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7713A"/>
    <w:rsid w:val="000F7B51"/>
    <w:rsid w:val="00146DFC"/>
    <w:rsid w:val="00171FDD"/>
    <w:rsid w:val="0020751B"/>
    <w:rsid w:val="002C445D"/>
    <w:rsid w:val="002D5B58"/>
    <w:rsid w:val="002E2FC1"/>
    <w:rsid w:val="00303A5B"/>
    <w:rsid w:val="003D5DC7"/>
    <w:rsid w:val="004431C5"/>
    <w:rsid w:val="004C2EB7"/>
    <w:rsid w:val="005B21BE"/>
    <w:rsid w:val="005D7A8B"/>
    <w:rsid w:val="006344BB"/>
    <w:rsid w:val="006B5F8F"/>
    <w:rsid w:val="00746DBB"/>
    <w:rsid w:val="00786D8A"/>
    <w:rsid w:val="007D6A4B"/>
    <w:rsid w:val="00916CC5"/>
    <w:rsid w:val="0097332F"/>
    <w:rsid w:val="009B1BC4"/>
    <w:rsid w:val="009F5E6C"/>
    <w:rsid w:val="009F72FD"/>
    <w:rsid w:val="00A4390C"/>
    <w:rsid w:val="00A73223"/>
    <w:rsid w:val="00B534E3"/>
    <w:rsid w:val="00BC7FED"/>
    <w:rsid w:val="00BE5E41"/>
    <w:rsid w:val="00C05F15"/>
    <w:rsid w:val="00C45C02"/>
    <w:rsid w:val="00C54E3C"/>
    <w:rsid w:val="00CB1F89"/>
    <w:rsid w:val="00CF2865"/>
    <w:rsid w:val="00D66978"/>
    <w:rsid w:val="00DB5F99"/>
    <w:rsid w:val="00DC7EC2"/>
    <w:rsid w:val="00E22191"/>
    <w:rsid w:val="00E82D32"/>
    <w:rsid w:val="00EF23D3"/>
    <w:rsid w:val="00FE39EE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B1F89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B1F89"/>
    <w:rPr>
      <w:rFonts w:ascii="ITC Avant Garde" w:eastAsiaTheme="majorEastAsia" w:hAnsi="ITC Avant Garde" w:cstheme="majorBidi"/>
      <w:b/>
      <w:color w:val="000000" w:themeColor="text1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B1F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B1F89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22</cp:revision>
  <cp:lastPrinted>2016-11-14T15:53:00Z</cp:lastPrinted>
  <dcterms:created xsi:type="dcterms:W3CDTF">2016-11-16T17:58:00Z</dcterms:created>
  <dcterms:modified xsi:type="dcterms:W3CDTF">2016-12-08T16:27:00Z</dcterms:modified>
</cp:coreProperties>
</file>