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40CF9" w14:textId="77777777" w:rsidR="007D2CEB" w:rsidRPr="007D2CEB" w:rsidRDefault="00285A69" w:rsidP="007D2CEB">
      <w:pPr>
        <w:pStyle w:val="Ttulo1"/>
        <w:keepLines/>
        <w:spacing w:before="240" w:after="240"/>
        <w:jc w:val="both"/>
        <w:rPr>
          <w:rFonts w:ascii="ITC Avant Garde" w:eastAsiaTheme="majorEastAsia" w:hAnsi="ITC Avant Garde" w:cstheme="majorBidi"/>
          <w:color w:val="000000" w:themeColor="text1"/>
          <w:szCs w:val="22"/>
          <w:lang w:eastAsia="es-MX"/>
        </w:rPr>
      </w:pPr>
      <w:r w:rsidRPr="007D2CEB">
        <w:rPr>
          <w:rFonts w:ascii="ITC Avant Garde" w:eastAsiaTheme="majorEastAsia" w:hAnsi="ITC Avant Garde" w:cstheme="majorBidi"/>
          <w:color w:val="000000" w:themeColor="text1"/>
          <w:szCs w:val="22"/>
          <w:lang w:eastAsia="es-MX"/>
        </w:rPr>
        <w:t xml:space="preserve">RESOLUCIÓN MEDIANTE LA CUAL EL PLENO DEL INSTITUTO FEDERAL DE TELECOMUNICACIONES </w:t>
      </w:r>
      <w:r w:rsidR="00856192" w:rsidRPr="007D2CEB">
        <w:rPr>
          <w:rFonts w:ascii="ITC Avant Garde" w:eastAsiaTheme="majorEastAsia" w:hAnsi="ITC Avant Garde" w:cstheme="majorBidi"/>
          <w:color w:val="000000" w:themeColor="text1"/>
          <w:szCs w:val="22"/>
          <w:lang w:eastAsia="es-MX"/>
        </w:rPr>
        <w:t xml:space="preserve">EN CUMPLIMIENTO A LA EJECUTORIA DEL AMPARO EN REVISIÓN R.A. 165/2016 DEJA INSUBSISTENTE LA RESOLUCIÓN P/IFT/080616/242 Y DESECHA LA SOLICITUD DE RESOLUCIÓN DE CONDICIONES DE INTERCONEXIÓN NO CONVENIDAS ENTRE </w:t>
      </w:r>
      <w:r w:rsidR="00F62E69" w:rsidRPr="007D2CEB">
        <w:rPr>
          <w:rFonts w:ascii="ITC Avant Garde" w:eastAsiaTheme="majorEastAsia" w:hAnsi="ITC Avant Garde" w:cstheme="majorBidi"/>
          <w:color w:val="000000" w:themeColor="text1"/>
          <w:szCs w:val="22"/>
          <w:lang w:eastAsia="es-MX"/>
        </w:rPr>
        <w:t>MAXCOM TELECOMUNICACIONES, S.A.B. DE C.V.</w:t>
      </w:r>
      <w:r w:rsidR="00EB69A3" w:rsidRPr="007D2CEB">
        <w:rPr>
          <w:rFonts w:ascii="ITC Avant Garde" w:eastAsiaTheme="majorEastAsia" w:hAnsi="ITC Avant Garde" w:cstheme="majorBidi"/>
          <w:color w:val="000000" w:themeColor="text1"/>
          <w:szCs w:val="22"/>
          <w:lang w:eastAsia="es-MX"/>
        </w:rPr>
        <w:t>,</w:t>
      </w:r>
      <w:r w:rsidRPr="007D2CEB">
        <w:rPr>
          <w:rFonts w:ascii="ITC Avant Garde" w:eastAsiaTheme="majorEastAsia" w:hAnsi="ITC Avant Garde" w:cstheme="majorBidi"/>
          <w:color w:val="000000" w:themeColor="text1"/>
          <w:szCs w:val="22"/>
          <w:lang w:eastAsia="es-MX"/>
        </w:rPr>
        <w:t xml:space="preserve"> Y LAS EMPRESAS </w:t>
      </w:r>
      <w:r w:rsidR="00AD372A" w:rsidRPr="007D2CEB">
        <w:rPr>
          <w:rFonts w:ascii="ITC Avant Garde" w:eastAsiaTheme="majorEastAsia" w:hAnsi="ITC Avant Garde" w:cstheme="majorBidi"/>
          <w:color w:val="000000" w:themeColor="text1"/>
          <w:szCs w:val="22"/>
          <w:lang w:eastAsia="es-MX"/>
        </w:rPr>
        <w:t xml:space="preserve">GRUPO AT&amp;T CELULLAR, S. DE R.L. DE C.V., AT&amp;T COMERCIALIZACIÓN MÓVIL, S. DE R.L. DE C.V., AT&amp;T NORTE, S. DE R.L. DE C.V. Y AT&amp;T DESARROLLO EN COMUNICACIONES DE MÉXICO, S. DE R.L. DE C.V., </w:t>
      </w:r>
      <w:r w:rsidRPr="007D2CEB">
        <w:rPr>
          <w:rFonts w:ascii="ITC Avant Garde" w:eastAsiaTheme="majorEastAsia" w:hAnsi="ITC Avant Garde" w:cstheme="majorBidi"/>
          <w:color w:val="000000" w:themeColor="text1"/>
          <w:szCs w:val="22"/>
          <w:lang w:eastAsia="es-MX"/>
        </w:rPr>
        <w:t>APLICABLES DEL 1 DE ENERO AL 31 DE DICIEMBRE DE 2016.</w:t>
      </w:r>
    </w:p>
    <w:p w14:paraId="735B5657" w14:textId="567DE055" w:rsidR="007D2CEB" w:rsidRPr="007D2CEB" w:rsidRDefault="00C25F00" w:rsidP="007D2CEB">
      <w:pPr>
        <w:pStyle w:val="Ttulo2"/>
        <w:keepLines/>
        <w:spacing w:before="40" w:after="240" w:line="276" w:lineRule="auto"/>
        <w:jc w:val="center"/>
        <w:rPr>
          <w:rFonts w:ascii="ITC Avant Garde" w:eastAsiaTheme="majorEastAsia" w:hAnsi="ITC Avant Garde" w:cstheme="majorBidi"/>
          <w:color w:val="000000" w:themeColor="text1"/>
          <w:szCs w:val="22"/>
        </w:rPr>
      </w:pPr>
      <w:r w:rsidRPr="007D2CEB">
        <w:rPr>
          <w:rFonts w:ascii="ITC Avant Garde" w:eastAsiaTheme="majorEastAsia" w:hAnsi="ITC Avant Garde" w:cstheme="majorBidi"/>
          <w:color w:val="000000" w:themeColor="text1"/>
          <w:szCs w:val="22"/>
        </w:rPr>
        <w:t>ANTECEDENTES</w:t>
      </w:r>
    </w:p>
    <w:p w14:paraId="34F78BA5" w14:textId="256D762D" w:rsidR="00A51E10" w:rsidRPr="007D2CEB" w:rsidRDefault="00F62E69" w:rsidP="007D2CEB">
      <w:pPr>
        <w:pStyle w:val="Prrafodelista"/>
        <w:numPr>
          <w:ilvl w:val="0"/>
          <w:numId w:val="1"/>
        </w:numPr>
        <w:spacing w:before="240" w:after="200" w:line="276" w:lineRule="auto"/>
        <w:rPr>
          <w:rFonts w:ascii="ITC Avant Garde" w:hAnsi="ITC Avant Garde" w:cs="Arial"/>
          <w:b/>
          <w:bCs/>
        </w:rPr>
      </w:pPr>
      <w:r w:rsidRPr="007D2CEB">
        <w:rPr>
          <w:rFonts w:ascii="ITC Avant Garde" w:hAnsi="ITC Avant Garde" w:cs="Arial"/>
          <w:b/>
          <w:bCs/>
        </w:rPr>
        <w:t xml:space="preserve">Concesión de </w:t>
      </w:r>
      <w:proofErr w:type="spellStart"/>
      <w:r w:rsidRPr="007D2CEB">
        <w:rPr>
          <w:rFonts w:ascii="ITC Avant Garde" w:hAnsi="ITC Avant Garde" w:cs="Arial"/>
          <w:b/>
          <w:bCs/>
        </w:rPr>
        <w:t>Maxcom</w:t>
      </w:r>
      <w:proofErr w:type="spellEnd"/>
      <w:r w:rsidRPr="007D2CEB">
        <w:rPr>
          <w:rFonts w:ascii="ITC Avant Garde" w:hAnsi="ITC Avant Garde" w:cs="Arial"/>
          <w:b/>
          <w:bCs/>
        </w:rPr>
        <w:t xml:space="preserve"> Telecomunicaciones, S.A.B. de C.V.</w:t>
      </w:r>
      <w:r w:rsidR="0019627B" w:rsidRPr="007D2CEB">
        <w:rPr>
          <w:rFonts w:ascii="ITC Avant Garde" w:hAnsi="ITC Avant Garde" w:cs="Arial"/>
          <w:b/>
          <w:bCs/>
        </w:rPr>
        <w:t>,</w:t>
      </w:r>
      <w:r w:rsidR="00A51E10" w:rsidRPr="007D2CEB">
        <w:rPr>
          <w:rFonts w:ascii="ITC Avant Garde" w:hAnsi="ITC Avant Garde" w:cs="Arial"/>
          <w:b/>
          <w:bCs/>
        </w:rPr>
        <w:t xml:space="preserve"> (en lo sucesivo, "</w:t>
      </w:r>
      <w:proofErr w:type="spellStart"/>
      <w:r w:rsidRPr="007D2CEB">
        <w:rPr>
          <w:rFonts w:ascii="ITC Avant Garde" w:hAnsi="ITC Avant Garde" w:cs="Arial"/>
          <w:b/>
          <w:bCs/>
        </w:rPr>
        <w:t>Maxcom</w:t>
      </w:r>
      <w:proofErr w:type="spellEnd"/>
      <w:r w:rsidR="00A51E10" w:rsidRPr="007D2CEB">
        <w:rPr>
          <w:rFonts w:ascii="ITC Avant Garde" w:hAnsi="ITC Avant Garde" w:cs="Arial"/>
          <w:b/>
          <w:bCs/>
        </w:rPr>
        <w:t>")</w:t>
      </w:r>
      <w:r w:rsidR="0019627B" w:rsidRPr="007D2CEB">
        <w:rPr>
          <w:rFonts w:ascii="ITC Avant Garde" w:hAnsi="ITC Avant Garde" w:cs="Arial"/>
          <w:bCs/>
        </w:rPr>
        <w:t xml:space="preserve">, es un </w:t>
      </w:r>
      <w:r w:rsidR="00545682" w:rsidRPr="007D2CEB">
        <w:rPr>
          <w:rFonts w:ascii="ITC Avant Garde" w:hAnsi="ITC Avant Garde" w:cs="Arial"/>
          <w:bCs/>
        </w:rPr>
        <w:t xml:space="preserve">Operador  </w:t>
      </w:r>
      <w:r w:rsidR="0019627B" w:rsidRPr="007D2CEB">
        <w:rPr>
          <w:rFonts w:ascii="ITC Avant Garde" w:hAnsi="ITC Avant Garde" w:cs="Arial"/>
          <w:bCs/>
        </w:rPr>
        <w:t xml:space="preserve">que cuenta </w:t>
      </w:r>
      <w:r w:rsidR="0019627B" w:rsidRPr="007D2CEB">
        <w:rPr>
          <w:rFonts w:ascii="ITC Avant Garde" w:hAnsi="ITC Avant Garde" w:cs="Arial"/>
          <w:bCs/>
          <w:snapToGrid w:val="0"/>
        </w:rPr>
        <w:t xml:space="preserve">con </w:t>
      </w:r>
      <w:r w:rsidR="00545682" w:rsidRPr="007D2CEB">
        <w:rPr>
          <w:rFonts w:ascii="ITC Avant Garde" w:hAnsi="ITC Avant Garde" w:cs="Arial"/>
          <w:bCs/>
          <w:snapToGrid w:val="0"/>
        </w:rPr>
        <w:t>una concesión</w:t>
      </w:r>
      <w:r w:rsidR="0019627B" w:rsidRPr="007D2CEB">
        <w:rPr>
          <w:rFonts w:ascii="ITC Avant Garde" w:hAnsi="ITC Avant Garde" w:cs="Arial"/>
          <w:bCs/>
          <w:snapToGrid w:val="0"/>
        </w:rPr>
        <w:t xml:space="preserve"> p</w:t>
      </w:r>
      <w:r w:rsidR="0019627B" w:rsidRPr="007D2CEB">
        <w:rPr>
          <w:rFonts w:ascii="ITC Avant Garde" w:hAnsi="ITC Avant Garde"/>
        </w:rPr>
        <w:t>ara instalar, operar y explotar una red pública de telecomunicaciones</w:t>
      </w:r>
      <w:r w:rsidR="0019627B" w:rsidRPr="007D2CEB">
        <w:rPr>
          <w:rFonts w:ascii="ITC Avant Garde" w:hAnsi="ITC Avant Garde" w:cs="Arial"/>
          <w:bCs/>
        </w:rPr>
        <w:t xml:space="preserve"> al amparo de los títulos de concesión otorgados conforme a la legislación aplicable e inscritos en el Registro Público de Concesiones del Instituto Federal de Telecomunicaciones (en lo sucesivo, el “Instituto”).</w:t>
      </w:r>
    </w:p>
    <w:p w14:paraId="1490A305" w14:textId="77777777" w:rsidR="0019627B" w:rsidRPr="007D2CEB" w:rsidRDefault="0019627B" w:rsidP="007D2CEB">
      <w:pPr>
        <w:numPr>
          <w:ilvl w:val="0"/>
          <w:numId w:val="1"/>
        </w:numPr>
        <w:spacing w:before="240"/>
        <w:jc w:val="both"/>
        <w:rPr>
          <w:rFonts w:ascii="ITC Avant Garde" w:eastAsia="Times New Roman" w:hAnsi="ITC Avant Garde" w:cs="Arial"/>
          <w:bCs/>
          <w:lang w:eastAsia="es-ES"/>
        </w:rPr>
      </w:pPr>
      <w:r w:rsidRPr="007D2CEB">
        <w:rPr>
          <w:rFonts w:ascii="ITC Avant Garde" w:eastAsia="Times New Roman" w:hAnsi="ITC Avant Garde" w:cs="Arial"/>
          <w:b/>
          <w:bCs/>
          <w:lang w:eastAsia="es-ES"/>
        </w:rPr>
        <w:t>Concesiones</w:t>
      </w:r>
      <w:r w:rsidRPr="007D2CEB">
        <w:rPr>
          <w:rFonts w:ascii="ITC Avant Garde" w:hAnsi="ITC Avant Garde" w:cs="Arial"/>
          <w:b/>
          <w:bCs/>
          <w:snapToGrid w:val="0"/>
        </w:rPr>
        <w:t xml:space="preserve"> de las empresas </w:t>
      </w:r>
      <w:r w:rsidR="00854576" w:rsidRPr="007D2CEB">
        <w:rPr>
          <w:rFonts w:ascii="ITC Avant Garde" w:hAnsi="ITC Avant Garde" w:cs="Arial"/>
          <w:b/>
          <w:bCs/>
          <w:snapToGrid w:val="0"/>
        </w:rPr>
        <w:t xml:space="preserve">Grupo AT&amp;T </w:t>
      </w:r>
      <w:proofErr w:type="spellStart"/>
      <w:r w:rsidR="00854576" w:rsidRPr="007D2CEB">
        <w:rPr>
          <w:rFonts w:ascii="ITC Avant Garde" w:hAnsi="ITC Avant Garde" w:cs="Arial"/>
          <w:b/>
          <w:bCs/>
          <w:snapToGrid w:val="0"/>
        </w:rPr>
        <w:t>Celullar</w:t>
      </w:r>
      <w:proofErr w:type="spellEnd"/>
      <w:r w:rsidR="00854576" w:rsidRPr="007D2CEB">
        <w:rPr>
          <w:rFonts w:ascii="ITC Avant Garde" w:hAnsi="ITC Avant Garde" w:cs="Arial"/>
          <w:b/>
          <w:bCs/>
          <w:snapToGrid w:val="0"/>
        </w:rPr>
        <w:t>, S. de R.L. de C.V., AT&amp;T Comercialización Móvil, S. de R.L. de C.V., AT&amp;T Norte, S. de R.L. de C.V. y AT&amp;T Desarrollo en Comunicaciones de México, S. de R.L. de C.V.</w:t>
      </w:r>
      <w:r w:rsidRPr="007D2CEB">
        <w:rPr>
          <w:rFonts w:ascii="ITC Avant Garde" w:eastAsia="Times New Roman" w:hAnsi="ITC Avant Garde" w:cs="Arial"/>
          <w:b/>
          <w:bCs/>
          <w:lang w:eastAsia="es-ES"/>
        </w:rPr>
        <w:t>, (en los sucesivo, “</w:t>
      </w:r>
      <w:r w:rsidR="00854576" w:rsidRPr="007D2CEB">
        <w:rPr>
          <w:rFonts w:ascii="ITC Avant Garde" w:eastAsia="Times New Roman" w:hAnsi="ITC Avant Garde" w:cs="Arial"/>
          <w:b/>
          <w:bCs/>
          <w:lang w:eastAsia="es-ES"/>
        </w:rPr>
        <w:t xml:space="preserve"> Grupo </w:t>
      </w:r>
      <w:r w:rsidRPr="007D2CEB">
        <w:rPr>
          <w:rFonts w:ascii="ITC Avant Garde" w:eastAsia="Times New Roman" w:hAnsi="ITC Avant Garde" w:cs="Arial"/>
          <w:b/>
          <w:bCs/>
          <w:lang w:eastAsia="es-ES"/>
        </w:rPr>
        <w:t>AT&amp;T)</w:t>
      </w:r>
      <w:r w:rsidR="00534E20" w:rsidRPr="007D2CEB">
        <w:rPr>
          <w:rFonts w:ascii="ITC Avant Garde" w:eastAsia="Times New Roman" w:hAnsi="ITC Avant Garde" w:cs="Arial"/>
          <w:bCs/>
          <w:lang w:eastAsia="es-ES"/>
        </w:rPr>
        <w:t>,</w:t>
      </w:r>
      <w:r w:rsidRPr="007D2CEB">
        <w:rPr>
          <w:rFonts w:ascii="ITC Avant Garde" w:eastAsia="Times New Roman" w:hAnsi="ITC Avant Garde" w:cs="Arial"/>
          <w:b/>
          <w:bCs/>
          <w:lang w:eastAsia="es-ES"/>
        </w:rPr>
        <w:t xml:space="preserve"> </w:t>
      </w:r>
      <w:r w:rsidR="006927AA" w:rsidRPr="007D2CEB">
        <w:rPr>
          <w:rFonts w:ascii="ITC Avant Garde" w:eastAsia="Times New Roman" w:hAnsi="ITC Avant Garde" w:cs="Arial"/>
          <w:bCs/>
          <w:lang w:eastAsia="es-ES"/>
        </w:rPr>
        <w:t xml:space="preserve">Grupo AT&amp;T </w:t>
      </w:r>
      <w:r w:rsidRPr="007D2CEB">
        <w:rPr>
          <w:rFonts w:ascii="ITC Avant Garde" w:eastAsia="Times New Roman" w:hAnsi="ITC Avant Garde" w:cs="Arial"/>
          <w:bCs/>
          <w:lang w:eastAsia="es-ES"/>
        </w:rPr>
        <w:t xml:space="preserve">son </w:t>
      </w:r>
      <w:r w:rsidR="00F9361A" w:rsidRPr="007D2CEB">
        <w:rPr>
          <w:rFonts w:ascii="ITC Avant Garde" w:eastAsia="Times New Roman" w:hAnsi="ITC Avant Garde" w:cs="Arial"/>
          <w:bCs/>
          <w:lang w:eastAsia="es-ES"/>
        </w:rPr>
        <w:t>o</w:t>
      </w:r>
      <w:r w:rsidR="00545682" w:rsidRPr="007D2CEB">
        <w:rPr>
          <w:rFonts w:ascii="ITC Avant Garde" w:eastAsia="Times New Roman" w:hAnsi="ITC Avant Garde" w:cs="Arial"/>
          <w:bCs/>
          <w:lang w:eastAsia="es-ES"/>
        </w:rPr>
        <w:t xml:space="preserve">peradores </w:t>
      </w:r>
      <w:r w:rsidRPr="007D2CEB">
        <w:rPr>
          <w:rFonts w:ascii="ITC Avant Garde" w:eastAsia="Times New Roman" w:hAnsi="ITC Avant Garde" w:cs="Arial"/>
          <w:bCs/>
          <w:lang w:eastAsia="es-ES"/>
        </w:rPr>
        <w:t xml:space="preserve">que </w:t>
      </w:r>
      <w:r w:rsidRPr="007D2CEB">
        <w:rPr>
          <w:rFonts w:ascii="ITC Avant Garde" w:hAnsi="ITC Avant Garde" w:cs="Arial"/>
          <w:bCs/>
          <w:snapToGrid w:val="0"/>
        </w:rPr>
        <w:t xml:space="preserve">cuentan con </w:t>
      </w:r>
      <w:r w:rsidR="00545682" w:rsidRPr="007D2CEB">
        <w:rPr>
          <w:rFonts w:ascii="ITC Avant Garde" w:hAnsi="ITC Avant Garde" w:cs="Arial"/>
          <w:bCs/>
          <w:snapToGrid w:val="0"/>
        </w:rPr>
        <w:t>una concesión</w:t>
      </w:r>
      <w:r w:rsidRPr="007D2CEB">
        <w:rPr>
          <w:rFonts w:ascii="ITC Avant Garde" w:hAnsi="ITC Avant Garde" w:cs="Arial"/>
          <w:bCs/>
          <w:snapToGrid w:val="0"/>
        </w:rPr>
        <w:t xml:space="preserve"> p</w:t>
      </w:r>
      <w:r w:rsidRPr="007D2CEB">
        <w:rPr>
          <w:rFonts w:ascii="ITC Avant Garde" w:eastAsia="Times New Roman" w:hAnsi="ITC Avant Garde"/>
          <w:lang w:eastAsia="es-ES"/>
        </w:rPr>
        <w:t>ara instalar, operar y explotar una red pública de telecomunicaciones</w:t>
      </w:r>
      <w:r w:rsidRPr="007D2CEB">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w:t>
      </w:r>
    </w:p>
    <w:p w14:paraId="3D84DF16" w14:textId="5D6F1156" w:rsidR="00A7512D" w:rsidRPr="007D2CEB" w:rsidRDefault="00A7512D" w:rsidP="007D2CEB">
      <w:pPr>
        <w:numPr>
          <w:ilvl w:val="0"/>
          <w:numId w:val="1"/>
        </w:numPr>
        <w:spacing w:before="240"/>
        <w:jc w:val="both"/>
        <w:rPr>
          <w:rFonts w:ascii="ITC Avant Garde" w:hAnsi="ITC Avant Garde" w:cs="Arial"/>
          <w:b/>
        </w:rPr>
      </w:pPr>
      <w:r w:rsidRPr="007D2CEB">
        <w:rPr>
          <w:rFonts w:ascii="ITC Avant Garde" w:hAnsi="ITC Avant Garde"/>
          <w:b/>
          <w:bCs/>
          <w:lang w:val="es-ES" w:eastAsia="es-ES"/>
        </w:rPr>
        <w:t>Sistema Electrónico de Solicitudes de Interconexión.</w:t>
      </w:r>
      <w:r w:rsidRPr="007D2CEB">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w:t>
      </w:r>
      <w:r w:rsidR="005160CE" w:rsidRPr="007D2CEB">
        <w:rPr>
          <w:rFonts w:ascii="ITC Avant Garde" w:hAnsi="ITC Avant Garde"/>
          <w:bCs/>
          <w:lang w:val="es-ES" w:eastAsia="es-ES"/>
        </w:rPr>
        <w:t xml:space="preserve"> el Sistema Electrónico de Solicitudes de Interconexión, (en lo sucesivo, el “SESI”).</w:t>
      </w:r>
      <w:r w:rsidR="008E7935" w:rsidRPr="007D2CEB">
        <w:rPr>
          <w:rFonts w:ascii="ITC Avant Garde" w:hAnsi="ITC Avant Garde"/>
          <w:bCs/>
          <w:lang w:val="es-ES" w:eastAsia="es-ES"/>
        </w:rPr>
        <w:t xml:space="preserve"> </w:t>
      </w:r>
    </w:p>
    <w:p w14:paraId="30E1E7A7" w14:textId="77777777" w:rsidR="00394255" w:rsidRPr="007D2CEB" w:rsidRDefault="00922ED3" w:rsidP="007D2CEB">
      <w:pPr>
        <w:numPr>
          <w:ilvl w:val="0"/>
          <w:numId w:val="1"/>
        </w:numPr>
        <w:spacing w:before="240"/>
        <w:jc w:val="both"/>
        <w:rPr>
          <w:rFonts w:ascii="ITC Avant Garde" w:eastAsia="Times New Roman" w:hAnsi="ITC Avant Garde"/>
          <w:bCs/>
          <w:lang w:val="es-ES" w:eastAsia="es-ES"/>
        </w:rPr>
      </w:pPr>
      <w:r w:rsidRPr="007D2CEB">
        <w:rPr>
          <w:rFonts w:ascii="ITC Avant Garde" w:eastAsia="Times New Roman" w:hAnsi="ITC Avant Garde"/>
          <w:b/>
          <w:bCs/>
          <w:lang w:val="es-ES" w:eastAsia="es-ES"/>
        </w:rPr>
        <w:t>Procedimiento de resolución de condiciones de interconexión no convenidas</w:t>
      </w:r>
      <w:r w:rsidR="001A04C4" w:rsidRPr="007D2CEB">
        <w:rPr>
          <w:rFonts w:ascii="ITC Avant Garde" w:eastAsia="Times New Roman" w:hAnsi="ITC Avant Garde"/>
          <w:lang w:val="es-ES" w:eastAsia="es-ES"/>
        </w:rPr>
        <w:t xml:space="preserve"> El </w:t>
      </w:r>
      <w:r w:rsidR="00FF2DF1" w:rsidRPr="007D2CEB">
        <w:rPr>
          <w:rFonts w:ascii="ITC Avant Garde" w:eastAsia="Times New Roman" w:hAnsi="ITC Avant Garde"/>
          <w:lang w:val="es-ES" w:eastAsia="es-ES"/>
        </w:rPr>
        <w:t>2</w:t>
      </w:r>
      <w:r w:rsidR="001A04C4" w:rsidRPr="007D2CEB">
        <w:rPr>
          <w:rFonts w:ascii="ITC Avant Garde" w:eastAsia="Times New Roman" w:hAnsi="ITC Avant Garde"/>
          <w:lang w:val="es-ES" w:eastAsia="es-ES"/>
        </w:rPr>
        <w:t xml:space="preserve">5 de </w:t>
      </w:r>
      <w:r w:rsidR="00FF2DF1" w:rsidRPr="007D2CEB">
        <w:rPr>
          <w:rFonts w:ascii="ITC Avant Garde" w:eastAsia="Times New Roman" w:hAnsi="ITC Avant Garde"/>
          <w:lang w:val="es-ES" w:eastAsia="es-ES"/>
        </w:rPr>
        <w:t>febrero</w:t>
      </w:r>
      <w:r w:rsidR="001A04C4" w:rsidRPr="007D2CEB">
        <w:rPr>
          <w:rFonts w:ascii="ITC Avant Garde" w:eastAsia="Times New Roman" w:hAnsi="ITC Avant Garde"/>
          <w:lang w:val="es-ES" w:eastAsia="es-ES"/>
        </w:rPr>
        <w:t xml:space="preserve"> de 2016, l</w:t>
      </w:r>
      <w:r w:rsidR="00B577BE" w:rsidRPr="007D2CEB">
        <w:rPr>
          <w:rFonts w:ascii="ITC Avant Garde" w:eastAsia="Times New Roman" w:hAnsi="ITC Avant Garde"/>
          <w:lang w:val="es-ES" w:eastAsia="es-ES"/>
        </w:rPr>
        <w:t>a</w:t>
      </w:r>
      <w:r w:rsidR="001A04C4" w:rsidRPr="007D2CEB">
        <w:rPr>
          <w:rFonts w:ascii="ITC Avant Garde" w:eastAsia="Times New Roman" w:hAnsi="ITC Avant Garde"/>
          <w:lang w:val="es-ES" w:eastAsia="es-ES"/>
        </w:rPr>
        <w:t xml:space="preserve"> representante legal de </w:t>
      </w:r>
      <w:proofErr w:type="spellStart"/>
      <w:r w:rsidR="00B577BE" w:rsidRPr="007D2CEB">
        <w:rPr>
          <w:rFonts w:ascii="ITC Avant Garde" w:eastAsia="Times New Roman" w:hAnsi="ITC Avant Garde" w:cs="Arial"/>
          <w:bCs/>
          <w:lang w:eastAsia="es-ES"/>
        </w:rPr>
        <w:t>Maxcom</w:t>
      </w:r>
      <w:proofErr w:type="spellEnd"/>
      <w:r w:rsidR="00FB3BD2" w:rsidRPr="007D2CEB">
        <w:rPr>
          <w:rFonts w:ascii="ITC Avant Garde" w:eastAsia="Times New Roman" w:hAnsi="ITC Avant Garde"/>
          <w:lang w:val="es-ES" w:eastAsia="es-ES"/>
        </w:rPr>
        <w:t xml:space="preserve">, </w:t>
      </w:r>
      <w:r w:rsidR="00B577BE" w:rsidRPr="007D2CEB">
        <w:rPr>
          <w:rFonts w:ascii="ITC Avant Garde" w:eastAsia="Times New Roman" w:hAnsi="ITC Avant Garde"/>
          <w:lang w:val="es-ES" w:eastAsia="es-ES"/>
        </w:rPr>
        <w:t>presentó ante el Instituto, escrito mediante el cual solicitó su intervención para resolver los términos, condiciones y tarifas que no pudo convenir con Grupo AT&amp;T</w:t>
      </w:r>
      <w:r w:rsidR="00B81DDD" w:rsidRPr="007D2CEB">
        <w:rPr>
          <w:rFonts w:ascii="ITC Avant Garde" w:eastAsia="Times New Roman" w:hAnsi="ITC Avant Garde"/>
          <w:lang w:val="es-ES" w:eastAsia="es-ES"/>
        </w:rPr>
        <w:t>,</w:t>
      </w:r>
      <w:r w:rsidR="00FE5895" w:rsidRPr="007D2CEB">
        <w:rPr>
          <w:rFonts w:ascii="ITC Avant Garde" w:eastAsia="Times New Roman" w:hAnsi="ITC Avant Garde"/>
          <w:lang w:val="es-ES" w:eastAsia="es-ES"/>
        </w:rPr>
        <w:t xml:space="preserve"> </w:t>
      </w:r>
      <w:r w:rsidR="00B81DDD" w:rsidRPr="007D2CEB">
        <w:rPr>
          <w:rFonts w:ascii="ITC Avant Garde" w:eastAsia="Times New Roman" w:hAnsi="ITC Avant Garde"/>
          <w:lang w:val="es-ES" w:eastAsia="es-ES"/>
        </w:rPr>
        <w:t xml:space="preserve">aplicables para el periodo </w:t>
      </w:r>
      <w:r w:rsidR="004511A0" w:rsidRPr="007D2CEB">
        <w:rPr>
          <w:rFonts w:ascii="ITC Avant Garde" w:eastAsia="Times New Roman" w:hAnsi="ITC Avant Garde"/>
          <w:lang w:val="es-ES" w:eastAsia="es-ES"/>
        </w:rPr>
        <w:t>201</w:t>
      </w:r>
      <w:r w:rsidR="00CA797A" w:rsidRPr="007D2CEB">
        <w:rPr>
          <w:rFonts w:ascii="ITC Avant Garde" w:eastAsia="Times New Roman" w:hAnsi="ITC Avant Garde"/>
          <w:lang w:val="es-ES" w:eastAsia="es-ES"/>
        </w:rPr>
        <w:t>6</w:t>
      </w:r>
      <w:r w:rsidR="00394255" w:rsidRPr="007D2CEB">
        <w:rPr>
          <w:rFonts w:ascii="ITC Avant Garde" w:eastAsia="Times New Roman" w:hAnsi="ITC Avant Garde"/>
          <w:lang w:val="es-ES" w:eastAsia="es-ES"/>
        </w:rPr>
        <w:t xml:space="preserve"> (en lo sucesivo, la “Solicitud de Resolución”).</w:t>
      </w:r>
    </w:p>
    <w:p w14:paraId="150CB9F1" w14:textId="4DB315D2" w:rsidR="00B577BE" w:rsidRPr="007D2CEB" w:rsidRDefault="00B577BE" w:rsidP="007D2CEB">
      <w:pPr>
        <w:spacing w:before="240"/>
        <w:ind w:left="284"/>
        <w:jc w:val="both"/>
        <w:rPr>
          <w:rFonts w:ascii="ITC Avant Garde" w:eastAsia="Times New Roman" w:hAnsi="ITC Avant Garde"/>
          <w:bCs/>
          <w:lang w:val="es-ES" w:eastAsia="es-ES"/>
        </w:rPr>
      </w:pPr>
      <w:r w:rsidRPr="007D2CEB">
        <w:rPr>
          <w:rFonts w:ascii="ITC Avant Garde" w:eastAsia="Times New Roman" w:hAnsi="ITC Avant Garde"/>
          <w:bCs/>
          <w:lang w:val="es-ES" w:eastAsia="es-ES"/>
        </w:rPr>
        <w:t xml:space="preserve">La Solicitud de Resolución se admitió a trámite, asignándole el número de expediente </w:t>
      </w:r>
      <w:r w:rsidRPr="007D2CEB">
        <w:rPr>
          <w:rFonts w:ascii="ITC Avant Garde" w:eastAsia="Times New Roman" w:hAnsi="ITC Avant Garde"/>
          <w:b/>
          <w:bCs/>
          <w:lang w:val="es-ES" w:eastAsia="es-ES"/>
        </w:rPr>
        <w:t>IFT/221/UPR/DG-RIRST/010.250216/ITX.</w:t>
      </w:r>
      <w:r w:rsidRPr="007D2CEB">
        <w:rPr>
          <w:rFonts w:ascii="ITC Avant Garde" w:eastAsia="Times New Roman" w:hAnsi="ITC Avant Garde"/>
          <w:bCs/>
          <w:lang w:val="es-ES" w:eastAsia="es-ES"/>
        </w:rPr>
        <w:t xml:space="preserve"> El procedimiento fue sustanciado en todas y cada una de sus etapas en estricto apego a lo establecido en el artículo 129 de la Ley Federal de Telecomunicaciones y Radiodi</w:t>
      </w:r>
      <w:r w:rsidR="009A2C72" w:rsidRPr="007D2CEB">
        <w:rPr>
          <w:rFonts w:ascii="ITC Avant Garde" w:eastAsia="Times New Roman" w:hAnsi="ITC Avant Garde"/>
          <w:bCs/>
          <w:lang w:val="es-ES" w:eastAsia="es-ES"/>
        </w:rPr>
        <w:t>fusión (en lo sucesivo, la “LFT</w:t>
      </w:r>
      <w:r w:rsidRPr="007D2CEB">
        <w:rPr>
          <w:rFonts w:ascii="ITC Avant Garde" w:eastAsia="Times New Roman" w:hAnsi="ITC Avant Garde"/>
          <w:bCs/>
          <w:lang w:val="es-ES" w:eastAsia="es-ES"/>
        </w:rPr>
        <w:t xml:space="preserve">R”). Lo cual </w:t>
      </w:r>
      <w:r w:rsidRPr="007D2CEB">
        <w:rPr>
          <w:rFonts w:ascii="ITC Avant Garde" w:eastAsia="Times New Roman" w:hAnsi="ITC Avant Garde"/>
          <w:bCs/>
          <w:lang w:val="es-ES" w:eastAsia="es-ES"/>
        </w:rPr>
        <w:lastRenderedPageBreak/>
        <w:t>se encuentra plenamente documentado en las constancias que integran el expediente administrativo en comento, mismo que ha estado en todo momento a disposición de las partes, las cuales tienen pleno conocimiento de su contenido.</w:t>
      </w:r>
    </w:p>
    <w:p w14:paraId="79CFFD1A" w14:textId="77777777" w:rsidR="007D2CEB" w:rsidRPr="007D2CEB" w:rsidRDefault="00081CF8" w:rsidP="007D2CEB">
      <w:pPr>
        <w:spacing w:before="240"/>
        <w:ind w:left="284"/>
        <w:jc w:val="both"/>
        <w:rPr>
          <w:rFonts w:ascii="ITC Avant Garde" w:eastAsia="Times New Roman" w:hAnsi="ITC Avant Garde"/>
          <w:bCs/>
          <w:lang w:val="es-ES" w:eastAsia="es-ES"/>
        </w:rPr>
      </w:pPr>
      <w:r w:rsidRPr="007D2CEB">
        <w:rPr>
          <w:rFonts w:ascii="ITC Avant Garde" w:eastAsia="Times New Roman" w:hAnsi="ITC Avant Garde"/>
          <w:bCs/>
          <w:lang w:val="es-ES" w:eastAsia="es-ES"/>
        </w:rPr>
        <w:t>Es así que con fecha 10</w:t>
      </w:r>
      <w:r w:rsidR="00B577BE" w:rsidRPr="007D2CEB">
        <w:rPr>
          <w:rFonts w:ascii="ITC Avant Garde" w:eastAsia="Times New Roman" w:hAnsi="ITC Avant Garde"/>
          <w:bCs/>
          <w:lang w:val="es-ES" w:eastAsia="es-ES"/>
        </w:rPr>
        <w:t xml:space="preserve"> de mayo de 2016 el Instituto notificó a las partes, que el procedimiento guardaba estado para que el Pleno del Instituto dictase la resolución correspondiente.</w:t>
      </w:r>
    </w:p>
    <w:p w14:paraId="65CDF9F3" w14:textId="77777777" w:rsidR="007D2CEB" w:rsidRPr="007D2CEB" w:rsidRDefault="008B7F47" w:rsidP="007D2CEB">
      <w:pPr>
        <w:numPr>
          <w:ilvl w:val="0"/>
          <w:numId w:val="1"/>
        </w:numPr>
        <w:spacing w:before="240"/>
        <w:jc w:val="both"/>
        <w:rPr>
          <w:rFonts w:ascii="ITC Avant Garde" w:hAnsi="ITC Avant Garde" w:cs="Arial"/>
          <w:bCs/>
        </w:rPr>
      </w:pPr>
      <w:r w:rsidRPr="007D2CEB">
        <w:rPr>
          <w:rFonts w:ascii="ITC Avant Garde" w:hAnsi="ITC Avant Garde"/>
          <w:b/>
          <w:bCs/>
          <w:lang w:val="es-ES"/>
        </w:rPr>
        <w:t>Emisión</w:t>
      </w:r>
      <w:r w:rsidRPr="007D2CEB">
        <w:rPr>
          <w:rFonts w:ascii="ITC Avant Garde" w:hAnsi="ITC Avant Garde" w:cs="Arial"/>
          <w:b/>
        </w:rPr>
        <w:t xml:space="preserve"> del </w:t>
      </w:r>
      <w:r w:rsidRPr="007D2CEB">
        <w:rPr>
          <w:rFonts w:ascii="ITC Avant Garde" w:hAnsi="ITC Avant Garde"/>
          <w:b/>
          <w:lang w:val="es-ES"/>
        </w:rPr>
        <w:t>Acuerdo</w:t>
      </w:r>
      <w:r w:rsidRPr="007D2CEB">
        <w:rPr>
          <w:rFonts w:ascii="ITC Avant Garde" w:hAnsi="ITC Avant Garde" w:cs="Arial"/>
          <w:b/>
        </w:rPr>
        <w:t xml:space="preserve"> P/IFT/080616/242. </w:t>
      </w:r>
      <w:r w:rsidRPr="007D2CEB">
        <w:rPr>
          <w:rFonts w:ascii="ITC Avant Garde" w:hAnsi="ITC Avant Garde" w:cs="Arial"/>
        </w:rPr>
        <w:t>El 8 de junio de 2016, el Pleno del Instituto, en su IV Sesión Ordinaria, mediante Acuerdo</w:t>
      </w:r>
      <w:r w:rsidRPr="007D2CEB">
        <w:rPr>
          <w:rFonts w:ascii="ITC Avant Garde" w:hAnsi="ITC Avant Garde" w:cs="Arial"/>
          <w:b/>
        </w:rPr>
        <w:t xml:space="preserve"> </w:t>
      </w:r>
      <w:r w:rsidRPr="007D2CEB">
        <w:rPr>
          <w:rFonts w:ascii="ITC Avant Garde" w:hAnsi="ITC Avant Garde" w:cs="Arial"/>
        </w:rPr>
        <w:t>P/IFT/</w:t>
      </w:r>
      <w:r w:rsidR="00AA14A8" w:rsidRPr="007D2CEB">
        <w:rPr>
          <w:rFonts w:ascii="ITC Avant Garde" w:hAnsi="ITC Avant Garde" w:cs="Arial"/>
        </w:rPr>
        <w:t>080616</w:t>
      </w:r>
      <w:r w:rsidRPr="007D2CEB">
        <w:rPr>
          <w:rFonts w:ascii="ITC Avant Garde" w:hAnsi="ITC Avant Garde" w:cs="Arial"/>
        </w:rPr>
        <w:t>/</w:t>
      </w:r>
      <w:r w:rsidR="00AA14A8" w:rsidRPr="007D2CEB">
        <w:rPr>
          <w:rFonts w:ascii="ITC Avant Garde" w:hAnsi="ITC Avant Garde" w:cs="Arial"/>
        </w:rPr>
        <w:t>242</w:t>
      </w:r>
      <w:r w:rsidRPr="007D2CEB">
        <w:rPr>
          <w:rFonts w:ascii="ITC Avant Garde" w:hAnsi="ITC Avant Garde" w:cs="Arial"/>
        </w:rPr>
        <w:t xml:space="preserve">, </w:t>
      </w:r>
      <w:r w:rsidRPr="007D2CEB">
        <w:rPr>
          <w:rFonts w:ascii="ITC Avant Garde" w:hAnsi="ITC Avant Garde" w:cs="Arial"/>
          <w:bCs/>
        </w:rPr>
        <w:t>emitió la “</w:t>
      </w:r>
      <w:r w:rsidR="00AA14A8" w:rsidRPr="007D2CEB">
        <w:rPr>
          <w:rFonts w:ascii="ITC Avant Garde" w:hAnsi="ITC Avant Garde" w:cs="Arial"/>
          <w:bCs/>
          <w:lang w:val="es-ES"/>
        </w:rPr>
        <w:t>RESOLUCIÓN MEDIANTE LA CUAL EL PLENO DEL INSTITUTO FEDERAL DE TELECOMUNICACIONES DETERMINA LAS CONDICIONES DE INTERCONEXIÓN NO CONVENIDAS ENTRE LA EMPRESA MAXCOM TELECOMUNICACIONES, S.A.B. DE C.V., Y LAS EMPRESAS GRUPO AT&amp;T CELULLAR, S. DE R.L. DE C.V., AT&amp;T COMERCIALIZACIÓN MÓVIL, S. DE R.L. DE C.V., AT&amp;T NORTE, S. DE R.L. DE C.V. Y AT&amp;T DESARROLLO EN COMUNICACIONES DE MÉXICO, S. DE R.L. DE C.V., APLICABLES DEL 1 DE ENERO AL 31 DE DICIEMBRE DE 2016</w:t>
      </w:r>
      <w:r w:rsidRPr="007D2CEB">
        <w:rPr>
          <w:rFonts w:ascii="ITC Avant Garde" w:hAnsi="ITC Avant Garde" w:cs="Arial"/>
          <w:bCs/>
          <w:lang w:val="es-ES"/>
        </w:rPr>
        <w:t>”</w:t>
      </w:r>
      <w:r w:rsidRPr="007D2CEB">
        <w:rPr>
          <w:rFonts w:ascii="ITC Avant Garde" w:hAnsi="ITC Avant Garde" w:cs="Arial"/>
          <w:bCs/>
        </w:rPr>
        <w:t>.</w:t>
      </w:r>
    </w:p>
    <w:p w14:paraId="239FF4DF" w14:textId="77777777" w:rsidR="007D2CEB" w:rsidRPr="007D2CEB" w:rsidRDefault="008B7F47" w:rsidP="007D2CEB">
      <w:pPr>
        <w:numPr>
          <w:ilvl w:val="0"/>
          <w:numId w:val="1"/>
        </w:numPr>
        <w:spacing w:before="240"/>
        <w:jc w:val="both"/>
        <w:rPr>
          <w:rFonts w:ascii="ITC Avant Garde" w:hAnsi="ITC Avant Garde"/>
          <w:b/>
          <w:bCs/>
          <w:lang w:val="es-ES"/>
        </w:rPr>
      </w:pPr>
      <w:r w:rsidRPr="007D2CEB">
        <w:rPr>
          <w:rFonts w:ascii="ITC Avant Garde" w:hAnsi="ITC Avant Garde"/>
          <w:b/>
          <w:bCs/>
          <w:lang w:val="es-ES"/>
        </w:rPr>
        <w:t xml:space="preserve">Cumplimento a la ejecutoria del amparo en revisión R.A. </w:t>
      </w:r>
      <w:r w:rsidR="00AA14A8" w:rsidRPr="007D2CEB">
        <w:rPr>
          <w:rFonts w:ascii="ITC Avant Garde" w:hAnsi="ITC Avant Garde"/>
          <w:b/>
          <w:bCs/>
          <w:lang w:val="es-ES"/>
        </w:rPr>
        <w:t>165</w:t>
      </w:r>
      <w:r w:rsidRPr="007D2CEB">
        <w:rPr>
          <w:rFonts w:ascii="ITC Avant Garde" w:hAnsi="ITC Avant Garde"/>
          <w:b/>
          <w:bCs/>
          <w:lang w:val="es-ES"/>
        </w:rPr>
        <w:t xml:space="preserve">/2016. </w:t>
      </w:r>
      <w:r w:rsidRPr="007D2CEB">
        <w:rPr>
          <w:rFonts w:ascii="ITC Avant Garde" w:hAnsi="ITC Avant Garde"/>
          <w:bCs/>
          <w:lang w:val="es-ES"/>
        </w:rPr>
        <w:t xml:space="preserve">Mediante ejecutoria de fecha </w:t>
      </w:r>
      <w:r w:rsidR="00AA14A8" w:rsidRPr="007D2CEB">
        <w:rPr>
          <w:rFonts w:ascii="ITC Avant Garde" w:hAnsi="ITC Avant Garde"/>
          <w:bCs/>
          <w:lang w:val="es-ES"/>
        </w:rPr>
        <w:t>25</w:t>
      </w:r>
      <w:r w:rsidRPr="007D2CEB">
        <w:rPr>
          <w:rFonts w:ascii="ITC Avant Garde" w:hAnsi="ITC Avant Garde"/>
          <w:bCs/>
          <w:lang w:val="es-ES"/>
        </w:rPr>
        <w:t xml:space="preserve"> de mayo de 2017 correspondiente al amparo</w:t>
      </w:r>
      <w:r w:rsidR="00AA14A8" w:rsidRPr="007D2CEB">
        <w:rPr>
          <w:rFonts w:ascii="ITC Avant Garde" w:hAnsi="ITC Avant Garde"/>
          <w:bCs/>
          <w:lang w:val="es-ES"/>
        </w:rPr>
        <w:t xml:space="preserve"> en revisión R.A. 165</w:t>
      </w:r>
      <w:r w:rsidRPr="007D2CEB">
        <w:rPr>
          <w:rFonts w:ascii="ITC Avant Garde" w:hAnsi="ITC Avant Garde"/>
          <w:bCs/>
          <w:lang w:val="es-ES"/>
        </w:rPr>
        <w:t>/2016, el Primer Tribunal Colegiado en Materia Administrativa Especializado en Competencia Económica, Radiodifusión y Telecomunicaciones, r</w:t>
      </w:r>
      <w:r w:rsidR="00AA14A8" w:rsidRPr="007D2CEB">
        <w:rPr>
          <w:rFonts w:ascii="ITC Avant Garde" w:hAnsi="ITC Avant Garde"/>
          <w:bCs/>
          <w:lang w:val="es-ES"/>
        </w:rPr>
        <w:t>evocó la sentencia del amparo 99</w:t>
      </w:r>
      <w:r w:rsidRPr="007D2CEB">
        <w:rPr>
          <w:rFonts w:ascii="ITC Avant Garde" w:hAnsi="ITC Avant Garde"/>
          <w:bCs/>
          <w:lang w:val="es-ES"/>
        </w:rPr>
        <w:t xml:space="preserve">/2016 del índice del Juzgado Segundo de Distrito en Materia Administrativa Especializado en Competencia Económica, Radiodifusión y Telecomunicaciones, y concedió el amparo a </w:t>
      </w:r>
      <w:r w:rsidR="00AA14A8" w:rsidRPr="007D2CEB">
        <w:rPr>
          <w:rFonts w:ascii="ITC Avant Garde" w:hAnsi="ITC Avant Garde"/>
          <w:bCs/>
          <w:lang w:val="es-ES"/>
        </w:rPr>
        <w:t>Grupo AT&amp;T</w:t>
      </w:r>
      <w:r w:rsidRPr="007D2CEB">
        <w:rPr>
          <w:rFonts w:ascii="ITC Avant Garde" w:hAnsi="ITC Avant Garde"/>
          <w:bCs/>
          <w:lang w:val="es-ES"/>
        </w:rPr>
        <w:t xml:space="preserve">, para efectos de que el Instituto deje insubsistente la Resolución </w:t>
      </w:r>
      <w:r w:rsidR="00963538" w:rsidRPr="007D2CEB">
        <w:rPr>
          <w:rFonts w:ascii="ITC Avant Garde" w:hAnsi="ITC Avant Garde"/>
          <w:bCs/>
        </w:rPr>
        <w:t>P/IFT/080616/242</w:t>
      </w:r>
      <w:r w:rsidR="0025523F" w:rsidRPr="007D2CEB">
        <w:rPr>
          <w:rFonts w:ascii="ITC Avant Garde" w:hAnsi="ITC Avant Garde"/>
          <w:bCs/>
        </w:rPr>
        <w:t xml:space="preserve"> </w:t>
      </w:r>
      <w:r w:rsidRPr="007D2CEB">
        <w:rPr>
          <w:rFonts w:ascii="ITC Avant Garde" w:hAnsi="ITC Avant Garde"/>
          <w:bCs/>
          <w:lang w:val="es-ES"/>
        </w:rPr>
        <w:t xml:space="preserve">y en su lugar, emita otra en la que deseche la solicitud de </w:t>
      </w:r>
      <w:r w:rsidR="0025523F" w:rsidRPr="007D2CEB">
        <w:rPr>
          <w:rFonts w:ascii="ITC Avant Garde" w:hAnsi="ITC Avant Garde"/>
          <w:bCs/>
          <w:lang w:val="es-ES"/>
        </w:rPr>
        <w:t xml:space="preserve">resolución al </w:t>
      </w:r>
      <w:r w:rsidRPr="007D2CEB">
        <w:rPr>
          <w:rFonts w:ascii="ITC Avant Garde" w:hAnsi="ITC Avant Garde"/>
          <w:bCs/>
          <w:lang w:val="es-ES"/>
        </w:rPr>
        <w:t>desacuerdo de interconexión promovido</w:t>
      </w:r>
      <w:r w:rsidR="0025523F" w:rsidRPr="007D2CEB">
        <w:rPr>
          <w:rFonts w:ascii="ITC Avant Garde" w:hAnsi="ITC Avant Garde"/>
          <w:bCs/>
          <w:lang w:val="es-ES"/>
        </w:rPr>
        <w:t xml:space="preserve"> por </w:t>
      </w:r>
      <w:proofErr w:type="spellStart"/>
      <w:r w:rsidR="0025523F" w:rsidRPr="007D2CEB">
        <w:rPr>
          <w:rFonts w:ascii="ITC Avant Garde" w:hAnsi="ITC Avant Garde"/>
          <w:bCs/>
          <w:lang w:val="es-ES"/>
        </w:rPr>
        <w:t>Maxcom</w:t>
      </w:r>
      <w:proofErr w:type="spellEnd"/>
      <w:r w:rsidR="0025523F" w:rsidRPr="007D2CEB">
        <w:rPr>
          <w:rFonts w:ascii="ITC Avant Garde" w:hAnsi="ITC Avant Garde"/>
          <w:bCs/>
          <w:lang w:val="es-ES"/>
        </w:rPr>
        <w:t>.</w:t>
      </w:r>
    </w:p>
    <w:p w14:paraId="00A18B8A" w14:textId="77777777" w:rsidR="007D2CEB" w:rsidRPr="007D2CEB" w:rsidRDefault="00B577BE" w:rsidP="007D2CEB">
      <w:pPr>
        <w:spacing w:before="240"/>
        <w:jc w:val="both"/>
        <w:rPr>
          <w:rFonts w:ascii="ITC Avant Garde" w:hAnsi="ITC Avant Garde"/>
          <w:lang w:val="es-ES" w:eastAsia="es-ES"/>
        </w:rPr>
      </w:pPr>
      <w:r w:rsidRPr="007D2CEB">
        <w:rPr>
          <w:rFonts w:ascii="ITC Avant Garde" w:eastAsia="Times New Roman" w:hAnsi="ITC Avant Garde"/>
          <w:bCs/>
          <w:lang w:val="es-ES" w:eastAsia="es-ES"/>
        </w:rPr>
        <w:t>En virtud de los referidos Antecedentes, y</w:t>
      </w:r>
    </w:p>
    <w:p w14:paraId="24CAD5AB" w14:textId="5D7C3246" w:rsidR="007D2CEB" w:rsidRPr="007D2CEB" w:rsidRDefault="00F15A38" w:rsidP="007D2CEB">
      <w:pPr>
        <w:pStyle w:val="Ttulo2"/>
        <w:keepLines/>
        <w:spacing w:before="40" w:after="240" w:line="276" w:lineRule="auto"/>
        <w:jc w:val="center"/>
        <w:rPr>
          <w:rFonts w:ascii="ITC Avant Garde" w:eastAsiaTheme="majorEastAsia" w:hAnsi="ITC Avant Garde" w:cstheme="majorBidi"/>
          <w:color w:val="000000" w:themeColor="text1"/>
          <w:szCs w:val="22"/>
        </w:rPr>
      </w:pPr>
      <w:bookmarkStart w:id="0" w:name="HipótesisNormativa"/>
      <w:r w:rsidRPr="007D2CEB">
        <w:rPr>
          <w:rFonts w:ascii="ITC Avant Garde" w:eastAsiaTheme="majorEastAsia" w:hAnsi="ITC Avant Garde" w:cstheme="majorBidi"/>
          <w:color w:val="000000" w:themeColor="text1"/>
          <w:szCs w:val="22"/>
        </w:rPr>
        <w:t>CONSIDERANDO</w:t>
      </w:r>
    </w:p>
    <w:p w14:paraId="3AEBE951" w14:textId="77777777" w:rsidR="007D2CEB" w:rsidRPr="007D2CEB" w:rsidRDefault="00263D02" w:rsidP="007D2CEB">
      <w:pPr>
        <w:widowControl w:val="0"/>
        <w:tabs>
          <w:tab w:val="left" w:pos="720"/>
          <w:tab w:val="center" w:pos="4419"/>
          <w:tab w:val="right" w:pos="8838"/>
        </w:tabs>
        <w:spacing w:before="240"/>
        <w:jc w:val="both"/>
        <w:rPr>
          <w:rFonts w:ascii="ITC Avant Garde" w:eastAsia="Times New Roman" w:hAnsi="ITC Avant Garde"/>
          <w:szCs w:val="20"/>
        </w:rPr>
      </w:pPr>
      <w:bookmarkStart w:id="1" w:name="primero"/>
      <w:r w:rsidRPr="007D2CEB">
        <w:rPr>
          <w:rFonts w:ascii="ITC Avant Garde" w:hAnsi="ITC Avant Garde" w:cs="Arial"/>
          <w:b/>
          <w:bCs/>
          <w:lang w:val="es-ES"/>
        </w:rPr>
        <w:t xml:space="preserve">PRIMERO.- </w:t>
      </w:r>
      <w:r w:rsidR="003D4847" w:rsidRPr="007D2CEB">
        <w:rPr>
          <w:rFonts w:ascii="ITC Avant Garde" w:eastAsia="Times New Roman" w:hAnsi="ITC Avant Garde" w:cs="Arial"/>
          <w:b/>
          <w:szCs w:val="20"/>
        </w:rPr>
        <w:t xml:space="preserve">Cumplimiento a la ejecutoria </w:t>
      </w:r>
      <w:r w:rsidR="003D4847" w:rsidRPr="007D2CEB">
        <w:rPr>
          <w:rFonts w:ascii="ITC Avant Garde" w:hAnsi="ITC Avant Garde"/>
          <w:b/>
          <w:lang w:val="es-ES"/>
        </w:rPr>
        <w:t>del amparo en revisión R.A. 165/2016</w:t>
      </w:r>
      <w:r w:rsidR="003D4847" w:rsidRPr="007D2CEB">
        <w:rPr>
          <w:rFonts w:ascii="ITC Avant Garde" w:eastAsia="Times New Roman" w:hAnsi="ITC Avant Garde" w:cs="Arial"/>
          <w:b/>
          <w:szCs w:val="20"/>
        </w:rPr>
        <w:t xml:space="preserve">. </w:t>
      </w:r>
      <w:r w:rsidR="003D4847" w:rsidRPr="007D2CEB">
        <w:rPr>
          <w:rFonts w:ascii="ITC Avant Garde" w:eastAsia="Times New Roman" w:hAnsi="ITC Avant Garde" w:cs="Arial"/>
          <w:szCs w:val="20"/>
        </w:rPr>
        <w:t xml:space="preserve">Con </w:t>
      </w:r>
      <w:r w:rsidR="003D4847" w:rsidRPr="007D2CEB">
        <w:rPr>
          <w:rFonts w:ascii="ITC Avant Garde" w:eastAsia="Times New Roman" w:hAnsi="ITC Avant Garde"/>
          <w:szCs w:val="20"/>
        </w:rPr>
        <w:t>fecha 8 de junio de 2016, el Pleno del Instituto emitió la “</w:t>
      </w:r>
      <w:r w:rsidR="003D4847" w:rsidRPr="007D2CEB">
        <w:rPr>
          <w:rFonts w:ascii="ITC Avant Garde" w:hAnsi="ITC Avant Garde" w:cs="Arial"/>
          <w:bCs/>
          <w:lang w:val="es-ES"/>
        </w:rPr>
        <w:t>RESOLUCIÓN MEDIANTE LA CUAL EL PLENO DEL INSTITUTO FEDERAL DE TELECOMUNICACIONES DETERMINA LAS CONDICIONES DE INTERCONEXIÓN NO CONVENIDAS ENTRE LA EMPRESA MAXCOM TELECOMUNICACIONES, S.A.B. DE C.V., Y LAS EMPRESAS GRUPO AT&amp;T CELULLAR, S. DE R.L. DE C.V., AT&amp;T COMERCIALIZACIÓN MÓVIL, S. DE R.L. DE C.V., AT&amp;T NORTE, S. DE R.L. DE C.V. Y AT&amp;T DESARROLLO EN COMUNICACIONES DE MÉXICO, S. DE R.L. DE C.V., APLICABLES DEL 1 DE ENERO AL 31 DE DICIEMBRE DE 2016</w:t>
      </w:r>
      <w:r w:rsidR="003D4847" w:rsidRPr="007D2CEB">
        <w:rPr>
          <w:rFonts w:ascii="ITC Avant Garde" w:eastAsia="Times New Roman" w:hAnsi="ITC Avant Garde"/>
          <w:szCs w:val="20"/>
        </w:rPr>
        <w:t>”, aprobada en su XIV Sesión Ordinaria, mediante Acuerdo P/IFT/080616/242.</w:t>
      </w:r>
    </w:p>
    <w:p w14:paraId="6D2EA56D" w14:textId="77777777" w:rsidR="007D2CEB" w:rsidRPr="007D2CEB" w:rsidRDefault="003D4847" w:rsidP="007D2CEB">
      <w:pPr>
        <w:pStyle w:val="Piedepgina"/>
        <w:widowControl w:val="0"/>
        <w:tabs>
          <w:tab w:val="left" w:pos="720"/>
        </w:tabs>
        <w:spacing w:before="240" w:after="200" w:line="276" w:lineRule="auto"/>
        <w:jc w:val="both"/>
        <w:rPr>
          <w:rFonts w:ascii="ITC Avant Garde" w:hAnsi="ITC Avant Garde"/>
        </w:rPr>
      </w:pPr>
      <w:r w:rsidRPr="007D2CEB">
        <w:rPr>
          <w:rFonts w:ascii="ITC Avant Garde" w:hAnsi="ITC Avant Garde"/>
        </w:rPr>
        <w:t xml:space="preserve">En consecuencia, el </w:t>
      </w:r>
      <w:r w:rsidR="00D70FB1" w:rsidRPr="007D2CEB">
        <w:rPr>
          <w:rFonts w:ascii="ITC Avant Garde" w:hAnsi="ITC Avant Garde"/>
        </w:rPr>
        <w:t>13 de julio</w:t>
      </w:r>
      <w:r w:rsidRPr="007D2CEB">
        <w:rPr>
          <w:rFonts w:ascii="ITC Avant Garde" w:hAnsi="ITC Avant Garde"/>
        </w:rPr>
        <w:t xml:space="preserve"> de 2016, el representante legal de </w:t>
      </w:r>
      <w:r w:rsidR="00D70FB1" w:rsidRPr="007D2CEB">
        <w:rPr>
          <w:rFonts w:ascii="ITC Avant Garde" w:hAnsi="ITC Avant Garde"/>
        </w:rPr>
        <w:t>Grupo AT&amp;T</w:t>
      </w:r>
      <w:r w:rsidRPr="007D2CEB">
        <w:rPr>
          <w:rFonts w:ascii="ITC Avant Garde" w:hAnsi="ITC Avant Garde"/>
        </w:rPr>
        <w:t xml:space="preserve"> presentó </w:t>
      </w:r>
      <w:r w:rsidRPr="007D2CEB">
        <w:rPr>
          <w:rFonts w:ascii="ITC Avant Garde" w:hAnsi="ITC Avant Garde"/>
        </w:rPr>
        <w:lastRenderedPageBreak/>
        <w:t>en la Oficina de Correspondencia Común de los Juzgados de Distrito y Tribunales Colegiados en Materia Administrativa Especializados en Competencia Económica, Radiodifusión y Telecomunicaciones, escrito mediante el cual demandó el amparo y protección de la justicia federal, señalando entre otros, como acto reclamado la resolución citada en el párrafo anterior.</w:t>
      </w:r>
    </w:p>
    <w:p w14:paraId="110D98D0" w14:textId="77777777" w:rsidR="007D2CEB" w:rsidRPr="007D2CEB" w:rsidRDefault="003D4847" w:rsidP="007D2CEB">
      <w:pPr>
        <w:pStyle w:val="Textoindependiente"/>
        <w:widowControl w:val="0"/>
        <w:tabs>
          <w:tab w:val="left" w:pos="720"/>
          <w:tab w:val="center" w:pos="4419"/>
          <w:tab w:val="right" w:pos="8838"/>
        </w:tabs>
        <w:spacing w:before="240" w:after="200" w:line="276" w:lineRule="auto"/>
        <w:rPr>
          <w:rFonts w:ascii="ITC Avant Garde" w:hAnsi="ITC Avant Garde" w:cs="Arial"/>
        </w:rPr>
      </w:pPr>
      <w:r w:rsidRPr="007D2CEB">
        <w:rPr>
          <w:rFonts w:ascii="ITC Avant Garde" w:hAnsi="ITC Avant Garde" w:cs="Arial"/>
        </w:rPr>
        <w:t xml:space="preserve">Mediante Acuerdo de fecha </w:t>
      </w:r>
      <w:r w:rsidR="002B7E59" w:rsidRPr="007D2CEB">
        <w:rPr>
          <w:rFonts w:ascii="ITC Avant Garde" w:hAnsi="ITC Avant Garde" w:cs="Arial"/>
        </w:rPr>
        <w:t>14 de julio</w:t>
      </w:r>
      <w:r w:rsidRPr="007D2CEB">
        <w:rPr>
          <w:rFonts w:ascii="ITC Avant Garde" w:hAnsi="ITC Avant Garde" w:cs="Arial"/>
        </w:rPr>
        <w:t xml:space="preserve"> de 2016, la Juez Segundo de Distrito en Materia Administrativa especializada en Competencia Económica, Radiodifusión y Telecomunicaciones con residencia en la Ciudad de México y jurisdicción en toda la República, a quien por turno correspondió conocer del asunto, radicó la demanda con el número de expediente </w:t>
      </w:r>
      <w:r w:rsidR="002B7E59" w:rsidRPr="007D2CEB">
        <w:rPr>
          <w:rFonts w:ascii="ITC Avant Garde" w:hAnsi="ITC Avant Garde" w:cs="Arial"/>
        </w:rPr>
        <w:t>99</w:t>
      </w:r>
      <w:r w:rsidRPr="007D2CEB">
        <w:rPr>
          <w:rFonts w:ascii="ITC Avant Garde" w:hAnsi="ITC Avant Garde" w:cs="Arial"/>
        </w:rPr>
        <w:t xml:space="preserve">/2016 admitió a trámite la demanda de amparo, solicitó a las autoridades señaladas como responsables su informe justificado, dio </w:t>
      </w:r>
      <w:r w:rsidR="002B7E59" w:rsidRPr="007D2CEB">
        <w:rPr>
          <w:rFonts w:ascii="ITC Avant Garde" w:hAnsi="ITC Avant Garde" w:cs="Arial"/>
        </w:rPr>
        <w:t>intervención que legalmente corresponde al</w:t>
      </w:r>
      <w:r w:rsidRPr="007D2CEB">
        <w:rPr>
          <w:rFonts w:ascii="ITC Avant Garde" w:hAnsi="ITC Avant Garde" w:cs="Arial"/>
        </w:rPr>
        <w:t xml:space="preserve"> Agente del Ministerio Público de la Federación; y seguidos los trámites de ley, el </w:t>
      </w:r>
      <w:r w:rsidR="002B7E59" w:rsidRPr="007D2CEB">
        <w:rPr>
          <w:rFonts w:ascii="ITC Avant Garde" w:hAnsi="ITC Avant Garde" w:cs="Arial"/>
        </w:rPr>
        <w:t>5 de octubre de</w:t>
      </w:r>
      <w:r w:rsidRPr="007D2CEB">
        <w:rPr>
          <w:rFonts w:ascii="ITC Avant Garde" w:hAnsi="ITC Avant Garde" w:cs="Arial"/>
        </w:rPr>
        <w:t xml:space="preserve"> 2016 dictó sentencia a través de la cual negó la protección constitucional a </w:t>
      </w:r>
      <w:r w:rsidR="00BD344A" w:rsidRPr="007D2CEB">
        <w:rPr>
          <w:rFonts w:ascii="ITC Avant Garde" w:hAnsi="ITC Avant Garde" w:cs="Arial"/>
        </w:rPr>
        <w:t>Grupo AT&amp;T</w:t>
      </w:r>
      <w:r w:rsidRPr="007D2CEB">
        <w:rPr>
          <w:rFonts w:ascii="ITC Avant Garde" w:hAnsi="ITC Avant Garde" w:cs="Arial"/>
        </w:rPr>
        <w:t>.</w:t>
      </w:r>
    </w:p>
    <w:p w14:paraId="535E3C66" w14:textId="77777777" w:rsidR="007D2CEB" w:rsidRPr="007D2CEB" w:rsidRDefault="003D4847" w:rsidP="007D2CEB">
      <w:pPr>
        <w:widowControl w:val="0"/>
        <w:tabs>
          <w:tab w:val="left" w:pos="720"/>
          <w:tab w:val="center" w:pos="4419"/>
          <w:tab w:val="right" w:pos="8838"/>
        </w:tabs>
        <w:spacing w:before="240"/>
        <w:jc w:val="both"/>
        <w:rPr>
          <w:rFonts w:ascii="ITC Avant Garde" w:eastAsia="Times New Roman" w:hAnsi="ITC Avant Garde" w:cs="Arial"/>
          <w:szCs w:val="20"/>
        </w:rPr>
      </w:pPr>
      <w:r w:rsidRPr="007D2CEB">
        <w:rPr>
          <w:rFonts w:ascii="ITC Avant Garde" w:eastAsia="Times New Roman" w:hAnsi="ITC Avant Garde" w:cs="Arial"/>
          <w:szCs w:val="20"/>
        </w:rPr>
        <w:t xml:space="preserve">Ahora bien, dado que </w:t>
      </w:r>
      <w:r w:rsidR="00BD344A" w:rsidRPr="007D2CEB">
        <w:rPr>
          <w:rFonts w:ascii="ITC Avant Garde" w:eastAsia="Times New Roman" w:hAnsi="ITC Avant Garde" w:cs="Arial"/>
          <w:szCs w:val="20"/>
        </w:rPr>
        <w:t>Grupo AT&amp;T</w:t>
      </w:r>
      <w:r w:rsidRPr="007D2CEB">
        <w:rPr>
          <w:rFonts w:ascii="ITC Avant Garde" w:eastAsia="Times New Roman" w:hAnsi="ITC Avant Garde" w:cs="Arial"/>
          <w:szCs w:val="20"/>
        </w:rPr>
        <w:t xml:space="preserve"> qued</w:t>
      </w:r>
      <w:r w:rsidR="00BD344A" w:rsidRPr="007D2CEB">
        <w:rPr>
          <w:rFonts w:ascii="ITC Avant Garde" w:eastAsia="Times New Roman" w:hAnsi="ITC Avant Garde" w:cs="Arial"/>
          <w:szCs w:val="20"/>
        </w:rPr>
        <w:t>ó</w:t>
      </w:r>
      <w:r w:rsidRPr="007D2CEB">
        <w:rPr>
          <w:rFonts w:ascii="ITC Avant Garde" w:eastAsia="Times New Roman" w:hAnsi="ITC Avant Garde" w:cs="Arial"/>
          <w:szCs w:val="20"/>
        </w:rPr>
        <w:t xml:space="preserve"> inconforme con la sentencia, el 2</w:t>
      </w:r>
      <w:r w:rsidR="00BD344A" w:rsidRPr="007D2CEB">
        <w:rPr>
          <w:rFonts w:ascii="ITC Avant Garde" w:eastAsia="Times New Roman" w:hAnsi="ITC Avant Garde" w:cs="Arial"/>
          <w:szCs w:val="20"/>
        </w:rPr>
        <w:t>7</w:t>
      </w:r>
      <w:r w:rsidRPr="007D2CEB">
        <w:rPr>
          <w:rFonts w:ascii="ITC Avant Garde" w:eastAsia="Times New Roman" w:hAnsi="ITC Avant Garde" w:cs="Arial"/>
          <w:szCs w:val="20"/>
        </w:rPr>
        <w:t xml:space="preserve"> de </w:t>
      </w:r>
      <w:r w:rsidR="00BD344A" w:rsidRPr="007D2CEB">
        <w:rPr>
          <w:rFonts w:ascii="ITC Avant Garde" w:eastAsia="Times New Roman" w:hAnsi="ITC Avant Garde" w:cs="Arial"/>
          <w:szCs w:val="20"/>
        </w:rPr>
        <w:t>noviembre</w:t>
      </w:r>
      <w:r w:rsidRPr="007D2CEB">
        <w:rPr>
          <w:rFonts w:ascii="ITC Avant Garde" w:eastAsia="Times New Roman" w:hAnsi="ITC Avant Garde" w:cs="Arial"/>
          <w:szCs w:val="20"/>
        </w:rPr>
        <w:t xml:space="preserve"> de 2016, interpus</w:t>
      </w:r>
      <w:r w:rsidR="00BD344A" w:rsidRPr="007D2CEB">
        <w:rPr>
          <w:rFonts w:ascii="ITC Avant Garde" w:eastAsia="Times New Roman" w:hAnsi="ITC Avant Garde" w:cs="Arial"/>
          <w:szCs w:val="20"/>
        </w:rPr>
        <w:t xml:space="preserve">o </w:t>
      </w:r>
      <w:r w:rsidRPr="007D2CEB">
        <w:rPr>
          <w:rFonts w:ascii="ITC Avant Garde" w:eastAsia="Times New Roman" w:hAnsi="ITC Avant Garde" w:cs="Arial"/>
          <w:szCs w:val="20"/>
        </w:rPr>
        <w:t xml:space="preserve">recurso de revisión, el cual fue turnado al Primer Tribunal Colegiado de Circuito </w:t>
      </w:r>
      <w:r w:rsidRPr="007D2CEB">
        <w:rPr>
          <w:rFonts w:ascii="ITC Avant Garde" w:eastAsia="Times New Roman" w:hAnsi="ITC Avant Garde"/>
          <w:szCs w:val="20"/>
        </w:rPr>
        <w:t xml:space="preserve">en Materia Administrativa especializado en Competencia Económica, Radiodifusión y Telecomunicaciones </w:t>
      </w:r>
      <w:r w:rsidRPr="007D2CEB">
        <w:rPr>
          <w:rFonts w:ascii="ITC Avant Garde" w:eastAsia="Times New Roman" w:hAnsi="ITC Avant Garde" w:cs="Arial"/>
          <w:szCs w:val="20"/>
        </w:rPr>
        <w:t>con residencia en la Ciudad de México y jurisdicción en toda la República, el cual, se admitió a trámite y se registr</w:t>
      </w:r>
      <w:r w:rsidR="00BD344A" w:rsidRPr="007D2CEB">
        <w:rPr>
          <w:rFonts w:ascii="ITC Avant Garde" w:eastAsia="Times New Roman" w:hAnsi="ITC Avant Garde" w:cs="Arial"/>
          <w:szCs w:val="20"/>
        </w:rPr>
        <w:t>ó bajo el toca R.A. 165</w:t>
      </w:r>
      <w:r w:rsidRPr="007D2CEB">
        <w:rPr>
          <w:rFonts w:ascii="ITC Avant Garde" w:eastAsia="Times New Roman" w:hAnsi="ITC Avant Garde" w:cs="Arial"/>
          <w:szCs w:val="20"/>
        </w:rPr>
        <w:t xml:space="preserve">/2016, y en cuya ejecutoria de fecha </w:t>
      </w:r>
      <w:r w:rsidR="00BD344A" w:rsidRPr="007D2CEB">
        <w:rPr>
          <w:rFonts w:ascii="ITC Avant Garde" w:eastAsia="Times New Roman" w:hAnsi="ITC Avant Garde" w:cs="Arial"/>
          <w:szCs w:val="20"/>
        </w:rPr>
        <w:t>25</w:t>
      </w:r>
      <w:r w:rsidRPr="007D2CEB">
        <w:rPr>
          <w:rFonts w:ascii="ITC Avant Garde" w:eastAsia="Times New Roman" w:hAnsi="ITC Avant Garde" w:cs="Arial"/>
          <w:szCs w:val="20"/>
        </w:rPr>
        <w:t xml:space="preserve"> de mayo de 2017, consideró lo siguiente:</w:t>
      </w:r>
    </w:p>
    <w:p w14:paraId="6B7207BC" w14:textId="77777777" w:rsidR="007D2CEB" w:rsidRPr="007D2CEB" w:rsidRDefault="00BD344A" w:rsidP="007D2CEB">
      <w:pPr>
        <w:spacing w:before="240"/>
        <w:ind w:left="567" w:right="567"/>
        <w:jc w:val="both"/>
        <w:rPr>
          <w:rFonts w:ascii="ITC Avant Garde" w:eastAsia="Times New Roman" w:hAnsi="ITC Avant Garde"/>
          <w:b/>
          <w:iCs/>
          <w:sz w:val="18"/>
          <w:szCs w:val="18"/>
          <w:lang w:val="es-ES" w:eastAsia="es-ES"/>
        </w:rPr>
      </w:pPr>
      <w:r w:rsidRPr="007D2CEB">
        <w:rPr>
          <w:rFonts w:ascii="ITC Avant Garde" w:eastAsia="Times New Roman" w:hAnsi="ITC Avant Garde"/>
          <w:iCs/>
          <w:sz w:val="18"/>
          <w:szCs w:val="18"/>
          <w:lang w:val="es-ES" w:eastAsia="es-ES"/>
        </w:rPr>
        <w:t>«</w:t>
      </w:r>
      <w:r w:rsidRPr="007D2CEB">
        <w:rPr>
          <w:rFonts w:ascii="ITC Avant Garde" w:eastAsia="Times New Roman" w:hAnsi="ITC Avant Garde"/>
          <w:b/>
          <w:iCs/>
          <w:sz w:val="18"/>
          <w:szCs w:val="18"/>
          <w:lang w:val="es-ES" w:eastAsia="es-ES"/>
        </w:rPr>
        <w:t>Análisis de los agravios restantes, vinculados con la resolución que decidió la resolución del desacuerdo de interconexión entre las quejosas y la tercero interesada.</w:t>
      </w:r>
    </w:p>
    <w:p w14:paraId="5686C6E7" w14:textId="77777777" w:rsidR="007D2CEB" w:rsidRPr="007D2CEB" w:rsidRDefault="00BD344A" w:rsidP="007D2CEB">
      <w:pPr>
        <w:spacing w:before="240"/>
        <w:ind w:left="567"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 xml:space="preserve">En el </w:t>
      </w:r>
      <w:r w:rsidR="005A32F4" w:rsidRPr="007D2CEB">
        <w:rPr>
          <w:rFonts w:ascii="ITC Avant Garde" w:eastAsia="Times New Roman" w:hAnsi="ITC Avant Garde"/>
          <w:iCs/>
          <w:sz w:val="18"/>
          <w:szCs w:val="18"/>
          <w:lang w:val="es-ES" w:eastAsia="es-ES"/>
        </w:rPr>
        <w:t>octavo</w:t>
      </w:r>
      <w:r w:rsidRPr="007D2CEB">
        <w:rPr>
          <w:rFonts w:ascii="ITC Avant Garde" w:eastAsia="Times New Roman" w:hAnsi="ITC Avant Garde"/>
          <w:iCs/>
          <w:sz w:val="18"/>
          <w:szCs w:val="18"/>
          <w:lang w:val="es-ES" w:eastAsia="es-ES"/>
        </w:rPr>
        <w:t xml:space="preserve"> agravio, la recurrente </w:t>
      </w:r>
      <w:r w:rsidR="005A32F4" w:rsidRPr="007D2CEB">
        <w:rPr>
          <w:rFonts w:ascii="ITC Avant Garde" w:eastAsia="Times New Roman" w:hAnsi="ITC Avant Garde"/>
          <w:iCs/>
          <w:sz w:val="18"/>
          <w:szCs w:val="18"/>
          <w:lang w:val="es-ES" w:eastAsia="es-ES"/>
        </w:rPr>
        <w:t xml:space="preserve">toralmente </w:t>
      </w:r>
      <w:r w:rsidRPr="007D2CEB">
        <w:rPr>
          <w:rFonts w:ascii="ITC Avant Garde" w:eastAsia="Times New Roman" w:hAnsi="ITC Avant Garde"/>
          <w:iCs/>
          <w:sz w:val="18"/>
          <w:szCs w:val="18"/>
          <w:lang w:val="es-ES" w:eastAsia="es-ES"/>
        </w:rPr>
        <w:t xml:space="preserve">alega </w:t>
      </w:r>
      <w:r w:rsidR="005A32F4" w:rsidRPr="007D2CEB">
        <w:rPr>
          <w:rFonts w:ascii="ITC Avant Garde" w:eastAsia="Times New Roman" w:hAnsi="ITC Avant Garde"/>
          <w:iCs/>
          <w:sz w:val="18"/>
          <w:szCs w:val="18"/>
          <w:lang w:val="es-ES" w:eastAsia="es-ES"/>
        </w:rPr>
        <w:t xml:space="preserve">que, la juez de Distrito realizó un estudio inadecuado del artículo 129 de la de la (sic) </w:t>
      </w:r>
      <w:proofErr w:type="spellStart"/>
      <w:r w:rsidR="005A32F4" w:rsidRPr="007D2CEB">
        <w:rPr>
          <w:rFonts w:ascii="ITC Avant Garde" w:eastAsia="Times New Roman" w:hAnsi="ITC Avant Garde"/>
          <w:iCs/>
          <w:sz w:val="18"/>
          <w:szCs w:val="18"/>
          <w:lang w:val="es-ES" w:eastAsia="es-ES"/>
        </w:rPr>
        <w:t>LFTyR</w:t>
      </w:r>
      <w:proofErr w:type="spellEnd"/>
      <w:r w:rsidR="005A32F4" w:rsidRPr="007D2CEB">
        <w:rPr>
          <w:rFonts w:ascii="ITC Avant Garde" w:eastAsia="Times New Roman" w:hAnsi="ITC Avant Garde"/>
          <w:iCs/>
          <w:sz w:val="18"/>
          <w:szCs w:val="18"/>
          <w:lang w:val="es-ES" w:eastAsia="es-ES"/>
        </w:rPr>
        <w:t>, al hacer realizado una interpretación literal y pobre, al partir que la única función del término para iniciar negociaciones constituye únicamente una guía, más no de observancia obligatoria para el regulador.</w:t>
      </w:r>
    </w:p>
    <w:p w14:paraId="343F108D" w14:textId="77777777" w:rsidR="007D2CEB" w:rsidRPr="007D2CEB" w:rsidRDefault="005A32F4" w:rsidP="007D2CEB">
      <w:pPr>
        <w:spacing w:before="240"/>
        <w:ind w:left="567"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w:t>
      </w:r>
    </w:p>
    <w:p w14:paraId="039E71C7" w14:textId="77777777" w:rsidR="007D2CEB" w:rsidRPr="007D2CEB" w:rsidRDefault="005A32F4" w:rsidP="007D2CEB">
      <w:pPr>
        <w:spacing w:before="240"/>
        <w:ind w:left="567"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 xml:space="preserve">Que la violación conlleva que se apliquen tarifas respecto de periodos pasados en perjuicio de su seguridad jurídica, pues de conformidad con el artículo 129 de la de la (sic) </w:t>
      </w:r>
      <w:proofErr w:type="spellStart"/>
      <w:r w:rsidRPr="007D2CEB">
        <w:rPr>
          <w:rFonts w:ascii="ITC Avant Garde" w:eastAsia="Times New Roman" w:hAnsi="ITC Avant Garde"/>
          <w:iCs/>
          <w:sz w:val="18"/>
          <w:szCs w:val="18"/>
          <w:lang w:val="es-ES" w:eastAsia="es-ES"/>
        </w:rPr>
        <w:t>LFTyR</w:t>
      </w:r>
      <w:proofErr w:type="spellEnd"/>
      <w:r w:rsidRPr="007D2CEB">
        <w:rPr>
          <w:rFonts w:ascii="ITC Avant Garde" w:eastAsia="Times New Roman" w:hAnsi="ITC Avant Garde"/>
          <w:iCs/>
          <w:sz w:val="18"/>
          <w:szCs w:val="18"/>
          <w:lang w:val="es-ES" w:eastAsia="es-ES"/>
        </w:rPr>
        <w:t xml:space="preserve">, el Instituto solamente puede resolver periodos completos cuando el desacuerdo </w:t>
      </w:r>
      <w:r w:rsidR="000E12BA" w:rsidRPr="007D2CEB">
        <w:rPr>
          <w:rFonts w:ascii="ITC Avant Garde" w:eastAsia="Times New Roman" w:hAnsi="ITC Avant Garde"/>
          <w:iCs/>
          <w:sz w:val="18"/>
          <w:szCs w:val="18"/>
          <w:lang w:val="es-ES" w:eastAsia="es-ES"/>
        </w:rPr>
        <w:t>se solicite a más tardar el quince de julio del año inmediato anterior -2015- lo cual no aconteció en el caso.</w:t>
      </w:r>
    </w:p>
    <w:p w14:paraId="673477FF" w14:textId="77777777" w:rsidR="007D2CEB" w:rsidRPr="007D2CEB" w:rsidRDefault="00BD344A" w:rsidP="007D2CEB">
      <w:pPr>
        <w:spacing w:before="240"/>
        <w:ind w:left="567"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w:t>
      </w:r>
    </w:p>
    <w:p w14:paraId="23429D81" w14:textId="77777777" w:rsidR="007D2CEB" w:rsidRPr="007D2CEB" w:rsidRDefault="00BD344A" w:rsidP="007D2CEB">
      <w:pPr>
        <w:spacing w:before="240"/>
        <w:ind w:left="567"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 xml:space="preserve">Para resolver el anterior planteamiento, conviene traer a colación, el texto del artículo 129 de la </w:t>
      </w:r>
      <w:proofErr w:type="spellStart"/>
      <w:r w:rsidRPr="007D2CEB">
        <w:rPr>
          <w:rFonts w:ascii="ITC Avant Garde" w:eastAsia="Times New Roman" w:hAnsi="ITC Avant Garde"/>
          <w:iCs/>
          <w:sz w:val="18"/>
          <w:szCs w:val="18"/>
          <w:lang w:val="es-ES" w:eastAsia="es-ES"/>
        </w:rPr>
        <w:t>LFTyR</w:t>
      </w:r>
      <w:proofErr w:type="spellEnd"/>
      <w:r w:rsidRPr="007D2CEB">
        <w:rPr>
          <w:rFonts w:ascii="ITC Avant Garde" w:eastAsia="Times New Roman" w:hAnsi="ITC Avant Garde"/>
          <w:iCs/>
          <w:sz w:val="18"/>
          <w:szCs w:val="18"/>
          <w:lang w:val="es-ES" w:eastAsia="es-ES"/>
        </w:rPr>
        <w:t>, que dice:</w:t>
      </w:r>
    </w:p>
    <w:p w14:paraId="3A702242" w14:textId="77777777" w:rsidR="007D2CEB" w:rsidRPr="007D2CEB" w:rsidRDefault="00BD344A" w:rsidP="007D2CEB">
      <w:pPr>
        <w:spacing w:before="240"/>
        <w:ind w:left="851" w:right="899"/>
        <w:jc w:val="both"/>
        <w:rPr>
          <w:rFonts w:ascii="ITC Avant Garde" w:eastAsia="Times New Roman" w:hAnsi="ITC Avant Garde"/>
          <w:iCs/>
          <w:sz w:val="18"/>
          <w:szCs w:val="18"/>
          <w:lang w:eastAsia="es-ES"/>
        </w:rPr>
      </w:pPr>
      <w:r w:rsidRPr="007D2CEB">
        <w:rPr>
          <w:rFonts w:ascii="ITC Avant Garde" w:eastAsia="Times New Roman" w:hAnsi="ITC Avant Garde"/>
          <w:b/>
          <w:iCs/>
          <w:sz w:val="18"/>
          <w:szCs w:val="18"/>
          <w:lang w:eastAsia="es-ES"/>
        </w:rPr>
        <w:t>“Artículo 129.</w:t>
      </w:r>
      <w:r w:rsidRPr="007D2CEB">
        <w:rPr>
          <w:rFonts w:ascii="ITC Avant Garde" w:eastAsia="Times New Roman" w:hAnsi="ITC Avant Garde"/>
          <w:iCs/>
          <w:sz w:val="18"/>
          <w:szCs w:val="18"/>
          <w:lang w:eastAsia="es-ES"/>
        </w:rPr>
        <w:t xml:space="preserve"> Los concesionarios que operen redes públicas de telecomunicaciones deberán interconectar sus redes, y a tal efecto, suscribirán un convenio en un plazo no mayor de sesenta días naturales contados a partir de que alguno de ellos lo solicite. Para </w:t>
      </w:r>
      <w:r w:rsidRPr="007D2CEB">
        <w:rPr>
          <w:rFonts w:ascii="ITC Avant Garde" w:eastAsia="Times New Roman" w:hAnsi="ITC Avant Garde"/>
          <w:iCs/>
          <w:sz w:val="18"/>
          <w:szCs w:val="18"/>
          <w:lang w:eastAsia="es-ES"/>
        </w:rPr>
        <w:lastRenderedPageBreak/>
        <w:t>tal efecto, el Instituto establecerá un sistema electrónico a través del cual los concesionarios interesados en interconectar sus redes, tramitarán entre sí las solicitudes de suscripción de los convenios respectivos.</w:t>
      </w:r>
    </w:p>
    <w:p w14:paraId="5837A5E9" w14:textId="77777777" w:rsidR="007D2CEB" w:rsidRPr="007D2CEB" w:rsidRDefault="00BD344A" w:rsidP="007D2CEB">
      <w:pPr>
        <w:spacing w:before="240"/>
        <w:ind w:left="851" w:right="899"/>
        <w:jc w:val="both"/>
        <w:rPr>
          <w:rFonts w:ascii="ITC Avant Garde" w:eastAsia="Times New Roman" w:hAnsi="ITC Avant Garde"/>
          <w:iCs/>
          <w:sz w:val="18"/>
          <w:szCs w:val="18"/>
          <w:lang w:eastAsia="es-ES"/>
        </w:rPr>
      </w:pPr>
      <w:r w:rsidRPr="007D2CEB">
        <w:rPr>
          <w:rFonts w:ascii="ITC Avant Garde" w:eastAsia="Times New Roman" w:hAnsi="ITC Avant Garde"/>
          <w:iCs/>
          <w:sz w:val="18"/>
          <w:szCs w:val="18"/>
          <w:lang w:eastAsia="es-ES"/>
        </w:rPr>
        <w:t>Transcurrido dicho plazo sin que se hubiere celebrado el convenio, la parte interesada deberá solicitar al Instituto que resuelva sobre las condiciones, términos y tarifas que no haya podido convenir con la otra parte, conforme al siguiente procedimiento:</w:t>
      </w:r>
    </w:p>
    <w:p w14:paraId="1A06F424" w14:textId="7ADF0109" w:rsidR="00BD344A" w:rsidRPr="007D2CEB" w:rsidRDefault="00BD344A" w:rsidP="007D2CEB">
      <w:pPr>
        <w:spacing w:before="240"/>
        <w:ind w:left="851" w:right="899"/>
        <w:jc w:val="both"/>
        <w:rPr>
          <w:rFonts w:ascii="ITC Avant Garde" w:eastAsia="Times New Roman" w:hAnsi="ITC Avant Garde"/>
          <w:iCs/>
          <w:sz w:val="18"/>
          <w:szCs w:val="18"/>
          <w:lang w:eastAsia="es-ES"/>
        </w:rPr>
      </w:pPr>
      <w:r w:rsidRPr="007D2CEB">
        <w:rPr>
          <w:rFonts w:ascii="ITC Avant Garde" w:eastAsia="Times New Roman" w:hAnsi="ITC Avant Garde"/>
          <w:b/>
          <w:iCs/>
          <w:sz w:val="18"/>
          <w:szCs w:val="18"/>
          <w:lang w:eastAsia="es-ES"/>
        </w:rPr>
        <w:t>I.</w:t>
      </w:r>
      <w:r w:rsidRPr="007D2CEB">
        <w:rPr>
          <w:rFonts w:ascii="ITC Avant Garde" w:eastAsia="Times New Roman" w:hAnsi="ITC Avant Garde"/>
          <w:iCs/>
          <w:sz w:val="18"/>
          <w:szCs w:val="18"/>
          <w:lang w:eastAsia="es-ES"/>
        </w:rPr>
        <w:t xml:space="preserve"> Cualquiera de las partes deberá solicitar al Instituto la resolución del desacuerdo de interconexión dentro de los cuarenta y cinco días hábiles contados a partir del día hábil siguiente al en que hubiere concluido el plazo señalado en el primer párrafo de este artículo;</w:t>
      </w:r>
    </w:p>
    <w:p w14:paraId="17D0CE8A" w14:textId="77777777" w:rsidR="00BD344A" w:rsidRPr="007D2CEB" w:rsidRDefault="00BD344A" w:rsidP="007D2CEB">
      <w:pPr>
        <w:spacing w:before="240"/>
        <w:ind w:left="851" w:right="899"/>
        <w:jc w:val="both"/>
        <w:rPr>
          <w:rFonts w:ascii="ITC Avant Garde" w:eastAsia="Times New Roman" w:hAnsi="ITC Avant Garde"/>
          <w:iCs/>
          <w:sz w:val="18"/>
          <w:szCs w:val="18"/>
          <w:lang w:eastAsia="es-ES"/>
        </w:rPr>
      </w:pPr>
      <w:r w:rsidRPr="007D2CEB">
        <w:rPr>
          <w:rFonts w:ascii="ITC Avant Garde" w:eastAsia="Times New Roman" w:hAnsi="ITC Avant Garde"/>
          <w:b/>
          <w:iCs/>
          <w:sz w:val="18"/>
          <w:szCs w:val="18"/>
          <w:lang w:eastAsia="es-ES"/>
        </w:rPr>
        <w:t>II.</w:t>
      </w:r>
      <w:r w:rsidRPr="007D2CEB">
        <w:rPr>
          <w:rFonts w:ascii="ITC Avant Garde" w:eastAsia="Times New Roman" w:hAnsi="ITC Avant Garde"/>
          <w:iCs/>
          <w:sz w:val="18"/>
          <w:szCs w:val="18"/>
          <w:lang w:eastAsia="es-ES"/>
        </w:rPr>
        <w:t xml:space="preserve"> Dentro de los cinco días hábiles siguientes, el Instituto deberá pronunciarse sobre la procedencia y admisión de la solicitud, en caso de considerarlo necesario podrá requerir al solicitante;</w:t>
      </w:r>
    </w:p>
    <w:p w14:paraId="40904638" w14:textId="77777777" w:rsidR="00BD344A" w:rsidRPr="007D2CEB" w:rsidRDefault="00BD344A" w:rsidP="007D2CEB">
      <w:pPr>
        <w:spacing w:before="240"/>
        <w:ind w:left="851" w:right="899"/>
        <w:jc w:val="both"/>
        <w:rPr>
          <w:rFonts w:ascii="ITC Avant Garde" w:eastAsia="Times New Roman" w:hAnsi="ITC Avant Garde"/>
          <w:iCs/>
          <w:sz w:val="18"/>
          <w:szCs w:val="18"/>
          <w:lang w:eastAsia="es-ES"/>
        </w:rPr>
      </w:pPr>
      <w:r w:rsidRPr="007D2CEB">
        <w:rPr>
          <w:rFonts w:ascii="ITC Avant Garde" w:eastAsia="Times New Roman" w:hAnsi="ITC Avant Garde"/>
          <w:b/>
          <w:iCs/>
          <w:sz w:val="18"/>
          <w:szCs w:val="18"/>
          <w:lang w:eastAsia="es-ES"/>
        </w:rPr>
        <w:t>III.</w:t>
      </w:r>
      <w:r w:rsidRPr="007D2CEB">
        <w:rPr>
          <w:rFonts w:ascii="ITC Avant Garde" w:eastAsia="Times New Roman" w:hAnsi="ITC Avant Garde"/>
          <w:iCs/>
          <w:sz w:val="18"/>
          <w:szCs w:val="18"/>
          <w:lang w:eastAsia="es-ES"/>
        </w:rPr>
        <w:t xml:space="preserve"> Admitida la solicitud, el Instituto notificará a la otra parte, a efecto de que manifieste lo que a su derecho convenga y ofrezca las pruebas que estime pertinentes, dentro de un plazo de cinco días hábiles contados a partir del día hábil siguiente al en que hubiere sido notificado del desacuerdo;</w:t>
      </w:r>
    </w:p>
    <w:p w14:paraId="79E2B41F" w14:textId="77777777" w:rsidR="00BD344A" w:rsidRPr="007D2CEB" w:rsidRDefault="00BD344A" w:rsidP="007D2CEB">
      <w:pPr>
        <w:spacing w:before="240"/>
        <w:ind w:left="851" w:right="899"/>
        <w:jc w:val="both"/>
        <w:rPr>
          <w:rFonts w:ascii="ITC Avant Garde" w:eastAsia="Times New Roman" w:hAnsi="ITC Avant Garde"/>
          <w:iCs/>
          <w:sz w:val="18"/>
          <w:szCs w:val="18"/>
          <w:lang w:eastAsia="es-ES"/>
        </w:rPr>
      </w:pPr>
      <w:r w:rsidRPr="007D2CEB">
        <w:rPr>
          <w:rFonts w:ascii="ITC Avant Garde" w:eastAsia="Times New Roman" w:hAnsi="ITC Avant Garde"/>
          <w:b/>
          <w:iCs/>
          <w:sz w:val="18"/>
          <w:szCs w:val="18"/>
          <w:lang w:eastAsia="es-ES"/>
        </w:rPr>
        <w:t>IV.</w:t>
      </w:r>
      <w:r w:rsidRPr="007D2CEB">
        <w:rPr>
          <w:rFonts w:ascii="ITC Avant Garde" w:eastAsia="Times New Roman" w:hAnsi="ITC Avant Garde"/>
          <w:iCs/>
          <w:sz w:val="18"/>
          <w:szCs w:val="18"/>
          <w:lang w:eastAsia="es-ES"/>
        </w:rPr>
        <w:t xml:space="preserve"> Concluido el plazo a que se refiere la fracción anterior, el Instituto con o sin manifestaciones, acordará sobre la admisión de las pruebas que se hubieren ofrecido y ordenará su desahogo dentro de los quince días hábiles;</w:t>
      </w:r>
    </w:p>
    <w:p w14:paraId="09250B0B" w14:textId="77777777" w:rsidR="00BD344A" w:rsidRPr="007D2CEB" w:rsidRDefault="00BD344A" w:rsidP="007D2CEB">
      <w:pPr>
        <w:spacing w:before="240"/>
        <w:ind w:left="851" w:right="899"/>
        <w:jc w:val="both"/>
        <w:rPr>
          <w:rFonts w:ascii="ITC Avant Garde" w:eastAsia="Times New Roman" w:hAnsi="ITC Avant Garde"/>
          <w:iCs/>
          <w:sz w:val="18"/>
          <w:szCs w:val="18"/>
          <w:lang w:eastAsia="es-ES"/>
        </w:rPr>
      </w:pPr>
      <w:r w:rsidRPr="007D2CEB">
        <w:rPr>
          <w:rFonts w:ascii="ITC Avant Garde" w:eastAsia="Times New Roman" w:hAnsi="ITC Avant Garde"/>
          <w:b/>
          <w:iCs/>
          <w:sz w:val="18"/>
          <w:szCs w:val="18"/>
          <w:lang w:eastAsia="es-ES"/>
        </w:rPr>
        <w:t>V.</w:t>
      </w:r>
      <w:r w:rsidRPr="007D2CEB">
        <w:rPr>
          <w:rFonts w:ascii="ITC Avant Garde" w:eastAsia="Times New Roman" w:hAnsi="ITC Avant Garde"/>
          <w:iCs/>
          <w:sz w:val="18"/>
          <w:szCs w:val="18"/>
          <w:lang w:eastAsia="es-ES"/>
        </w:rPr>
        <w:t xml:space="preserve"> Desahogadas las pruebas, el Instituto otorgará un plazo de dos días hábiles para que las partes formulen sus alegatos;</w:t>
      </w:r>
    </w:p>
    <w:p w14:paraId="6D25492F" w14:textId="77777777" w:rsidR="00BD344A" w:rsidRPr="007D2CEB" w:rsidRDefault="00BD344A" w:rsidP="007D2CEB">
      <w:pPr>
        <w:spacing w:before="240"/>
        <w:ind w:left="851" w:right="899"/>
        <w:jc w:val="both"/>
        <w:rPr>
          <w:rFonts w:ascii="ITC Avant Garde" w:eastAsia="Times New Roman" w:hAnsi="ITC Avant Garde"/>
          <w:iCs/>
          <w:sz w:val="18"/>
          <w:szCs w:val="18"/>
          <w:lang w:eastAsia="es-ES"/>
        </w:rPr>
      </w:pPr>
      <w:r w:rsidRPr="007D2CEB">
        <w:rPr>
          <w:rFonts w:ascii="ITC Avant Garde" w:eastAsia="Times New Roman" w:hAnsi="ITC Avant Garde"/>
          <w:b/>
          <w:iCs/>
          <w:sz w:val="18"/>
          <w:szCs w:val="18"/>
          <w:lang w:eastAsia="es-ES"/>
        </w:rPr>
        <w:t>VI.</w:t>
      </w:r>
      <w:r w:rsidRPr="007D2CEB">
        <w:rPr>
          <w:rFonts w:ascii="ITC Avant Garde" w:eastAsia="Times New Roman" w:hAnsi="ITC Avant Garde"/>
          <w:iCs/>
          <w:sz w:val="18"/>
          <w:szCs w:val="18"/>
          <w:lang w:eastAsia="es-ES"/>
        </w:rPr>
        <w:t xml:space="preserve"> Una vez desahogado el periodo probatorio y hasta antes del plazo para que se emita resolución, si las partes presentan un convenio y lo ratifican ante el Instituto, se dará por concluido el procedimiento;</w:t>
      </w:r>
    </w:p>
    <w:p w14:paraId="4A758603" w14:textId="77777777" w:rsidR="00BD344A" w:rsidRPr="007D2CEB" w:rsidRDefault="00BD344A" w:rsidP="007D2CEB">
      <w:pPr>
        <w:spacing w:before="240"/>
        <w:ind w:left="851" w:right="899"/>
        <w:jc w:val="both"/>
        <w:rPr>
          <w:rFonts w:ascii="ITC Avant Garde" w:eastAsia="Times New Roman" w:hAnsi="ITC Avant Garde"/>
          <w:iCs/>
          <w:sz w:val="18"/>
          <w:szCs w:val="18"/>
          <w:lang w:eastAsia="es-ES"/>
        </w:rPr>
      </w:pPr>
      <w:r w:rsidRPr="007D2CEB">
        <w:rPr>
          <w:rFonts w:ascii="ITC Avant Garde" w:eastAsia="Times New Roman" w:hAnsi="ITC Avant Garde"/>
          <w:b/>
          <w:iCs/>
          <w:sz w:val="18"/>
          <w:szCs w:val="18"/>
          <w:lang w:eastAsia="es-ES"/>
        </w:rPr>
        <w:t>VII.</w:t>
      </w:r>
      <w:r w:rsidRPr="007D2CEB">
        <w:rPr>
          <w:rFonts w:ascii="ITC Avant Garde" w:eastAsia="Times New Roman" w:hAnsi="ITC Avant Garde"/>
          <w:iCs/>
          <w:sz w:val="18"/>
          <w:szCs w:val="18"/>
          <w:lang w:eastAsia="es-ES"/>
        </w:rPr>
        <w:t xml:space="preserve"> Concluido el plazo para formular alegatos, el Instituto con o sin alegatos, deberá emitir resolución en un plazo no mayor a treinta días hábiles;</w:t>
      </w:r>
    </w:p>
    <w:p w14:paraId="19A2F756" w14:textId="77777777" w:rsidR="00BD344A" w:rsidRPr="007D2CEB" w:rsidRDefault="00BD344A" w:rsidP="007D2CEB">
      <w:pPr>
        <w:spacing w:before="240"/>
        <w:ind w:left="851" w:right="899"/>
        <w:jc w:val="both"/>
        <w:rPr>
          <w:rFonts w:ascii="ITC Avant Garde" w:eastAsia="Times New Roman" w:hAnsi="ITC Avant Garde"/>
          <w:iCs/>
          <w:sz w:val="18"/>
          <w:szCs w:val="18"/>
          <w:lang w:eastAsia="es-ES"/>
        </w:rPr>
      </w:pPr>
      <w:r w:rsidRPr="007D2CEB">
        <w:rPr>
          <w:rFonts w:ascii="ITC Avant Garde" w:eastAsia="Times New Roman" w:hAnsi="ITC Avant Garde"/>
          <w:b/>
          <w:iCs/>
          <w:sz w:val="18"/>
          <w:szCs w:val="18"/>
          <w:lang w:eastAsia="es-ES"/>
        </w:rPr>
        <w:t>VIII.</w:t>
      </w:r>
      <w:r w:rsidRPr="007D2CEB">
        <w:rPr>
          <w:rFonts w:ascii="ITC Avant Garde" w:eastAsia="Times New Roman" w:hAnsi="ITC Avant Garde"/>
          <w:iCs/>
          <w:sz w:val="18"/>
          <w:szCs w:val="18"/>
          <w:lang w:eastAsia="es-ES"/>
        </w:rPr>
        <w:t xml:space="preserve"> Emitida la resolución, el Instituto deberá notificarla a las partes dentro de los diez días hábiles siguientes, y</w:t>
      </w:r>
    </w:p>
    <w:p w14:paraId="09CD7CC9" w14:textId="77777777" w:rsidR="007D2CEB" w:rsidRPr="007D2CEB" w:rsidRDefault="00BD344A" w:rsidP="007D2CEB">
      <w:pPr>
        <w:spacing w:before="240"/>
        <w:ind w:left="851" w:right="899"/>
        <w:jc w:val="both"/>
        <w:rPr>
          <w:rFonts w:ascii="ITC Avant Garde" w:eastAsia="Times New Roman" w:hAnsi="ITC Avant Garde"/>
          <w:iCs/>
          <w:sz w:val="18"/>
          <w:szCs w:val="18"/>
          <w:lang w:eastAsia="es-ES"/>
        </w:rPr>
      </w:pPr>
      <w:r w:rsidRPr="007D2CEB">
        <w:rPr>
          <w:rFonts w:ascii="ITC Avant Garde" w:eastAsia="Times New Roman" w:hAnsi="ITC Avant Garde"/>
          <w:b/>
          <w:iCs/>
          <w:sz w:val="18"/>
          <w:szCs w:val="18"/>
          <w:lang w:eastAsia="es-ES"/>
        </w:rPr>
        <w:t>IX.</w:t>
      </w:r>
      <w:r w:rsidRPr="007D2CEB">
        <w:rPr>
          <w:rFonts w:ascii="ITC Avant Garde" w:eastAsia="Times New Roman" w:hAnsi="ITC Avant Garde"/>
          <w:iCs/>
          <w:sz w:val="18"/>
          <w:szCs w:val="18"/>
          <w:lang w:eastAsia="es-ES"/>
        </w:rPr>
        <w:t xml:space="preserve"> La resolución que expida el Instituto se inscribirá en el Registro Público de Telecomunicaciones dentro de los diez días hábiles siguientes a su notificación y la interconexión efectiva entre redes y el intercambio de tráfico deberá iniciar a más tardar dentro de los treinta días naturales, contados a partir del día siguiente a la notificación de la resolución o, en su caso, de la celebración del convenio respectivo.</w:t>
      </w:r>
    </w:p>
    <w:p w14:paraId="4199AA57" w14:textId="77777777" w:rsidR="007D2CEB" w:rsidRPr="007D2CEB" w:rsidRDefault="00BD344A" w:rsidP="007D2CEB">
      <w:pPr>
        <w:spacing w:before="240"/>
        <w:ind w:left="851" w:right="899"/>
        <w:jc w:val="both"/>
        <w:rPr>
          <w:rFonts w:ascii="ITC Avant Garde" w:eastAsia="Times New Roman" w:hAnsi="ITC Avant Garde"/>
          <w:iCs/>
          <w:sz w:val="18"/>
          <w:szCs w:val="18"/>
          <w:lang w:eastAsia="es-ES"/>
        </w:rPr>
      </w:pPr>
      <w:r w:rsidRPr="007D2CEB">
        <w:rPr>
          <w:rFonts w:ascii="ITC Avant Garde" w:eastAsia="Times New Roman" w:hAnsi="ITC Avant Garde"/>
          <w:iCs/>
          <w:sz w:val="18"/>
          <w:szCs w:val="18"/>
          <w:lang w:eastAsia="es-ES"/>
        </w:rPr>
        <w:t>La solicitud de resolución sobre condiciones, términos y tarifas de interconexión que no hayan podido convenirse, podrá solicitarse al Instituto antes de que hubiere concluido el plazo a que se refiere el párrafo primero de este artículo si así lo solicitan ambas partes.</w:t>
      </w:r>
    </w:p>
    <w:p w14:paraId="1645CDBE" w14:textId="77777777" w:rsidR="007D2CEB" w:rsidRPr="007D2CEB" w:rsidRDefault="00BD344A" w:rsidP="007D2CEB">
      <w:pPr>
        <w:spacing w:before="240"/>
        <w:ind w:left="851" w:right="899"/>
        <w:jc w:val="both"/>
        <w:rPr>
          <w:rFonts w:ascii="ITC Avant Garde" w:eastAsia="Times New Roman" w:hAnsi="ITC Avant Garde"/>
          <w:iCs/>
          <w:sz w:val="18"/>
          <w:szCs w:val="18"/>
          <w:u w:val="single"/>
          <w:lang w:eastAsia="es-ES"/>
        </w:rPr>
      </w:pPr>
      <w:r w:rsidRPr="007D2CEB">
        <w:rPr>
          <w:rFonts w:ascii="ITC Avant Garde" w:eastAsia="Times New Roman" w:hAnsi="ITC Avant Garde"/>
          <w:iCs/>
          <w:sz w:val="18"/>
          <w:szCs w:val="18"/>
          <w:u w:val="single"/>
          <w:lang w:eastAsia="es-ES"/>
        </w:rPr>
        <w:t xml:space="preserve">En el caso de concesionarios cuyas redes públicas de telecomunicaciones se encuentren interconectadas y con motivo de la terminación de la vigencia de sus </w:t>
      </w:r>
      <w:r w:rsidRPr="007D2CEB">
        <w:rPr>
          <w:rFonts w:ascii="ITC Avant Garde" w:eastAsia="Times New Roman" w:hAnsi="ITC Avant Garde"/>
          <w:iCs/>
          <w:sz w:val="18"/>
          <w:szCs w:val="18"/>
          <w:u w:val="single"/>
          <w:lang w:eastAsia="es-ES"/>
        </w:rPr>
        <w:lastRenderedPageBreak/>
        <w:t>convenios puedan acordar nuevas condiciones de interconexión y no exista acuerdo entre las partes deberán presentar ante el Instituto su solicitud de resolución sobre el desacuerdo de interconexión, a más tardar el 15 de julio de cada año, a fin de que resuelva, conforme al procedimiento administrativo previsto en el presente artículo, las condiciones de interconexión no convenidas entre concesionarios, incluyendo las tarifas, antes del 15 de diciembre para que las nuevas condiciones de interconexión inicien su vigencia el 1 de enero del siguiente año.</w:t>
      </w:r>
    </w:p>
    <w:p w14:paraId="1008970D" w14:textId="77777777" w:rsidR="007D2CEB" w:rsidRPr="007D2CEB" w:rsidRDefault="00BD344A" w:rsidP="007D2CEB">
      <w:pPr>
        <w:spacing w:before="240"/>
        <w:ind w:left="851" w:right="899"/>
        <w:jc w:val="both"/>
        <w:rPr>
          <w:rFonts w:ascii="ITC Avant Garde" w:eastAsia="Times New Roman" w:hAnsi="ITC Avant Garde"/>
          <w:iCs/>
          <w:sz w:val="18"/>
          <w:szCs w:val="18"/>
          <w:lang w:eastAsia="es-ES"/>
        </w:rPr>
      </w:pPr>
      <w:r w:rsidRPr="007D2CEB">
        <w:rPr>
          <w:rFonts w:ascii="ITC Avant Garde" w:eastAsia="Times New Roman" w:hAnsi="ITC Avant Garde"/>
          <w:iCs/>
          <w:sz w:val="18"/>
          <w:szCs w:val="18"/>
          <w:lang w:eastAsia="es-ES"/>
        </w:rPr>
        <w:t>El Instituto favorecerá la pronta y efectiva interconexión entre redes públicas de telecomunicaciones por lo que los procedimientos administrativos correspondientes deberán desahogarse en forma transparente, pronta, expedita y deberán evitarse actuaciones procesales que tengan como consecuencia retrasar la interconexión efectiva entre redes públicas de telecomunicaciones o las condiciones no convenidas que permitan la prestación de los servicios públicos de telecomunicaciones.”</w:t>
      </w:r>
    </w:p>
    <w:p w14:paraId="34EDC00F" w14:textId="77777777" w:rsidR="007D2CEB" w:rsidRPr="007D2CEB" w:rsidRDefault="00BD344A" w:rsidP="007D2CEB">
      <w:pPr>
        <w:spacing w:before="240"/>
        <w:ind w:left="567"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Tal disposición prevé como regla general la obligación de los concesionarios que operen redes públicas de telecomunicaciones de interconectar éstas, para lo cual deben suscribir entre ellos un convenio, en un plazo no mayor de setenta días naturales contados a partir de que alguno lo solicite, y en caso de que transcurra dicho plazo sin que esto hubiese acontecido, cualquiera de las partes deberá solicitar al IFT su intervención, dentro de los cuarenta y cinco días hábiles siguientes a aquél en que haya fenecido el primero de los términos señalados, para que resuelva sobre las condiciones, términos y tarifas que no se hayan podido convenir.</w:t>
      </w:r>
    </w:p>
    <w:p w14:paraId="0339F79C" w14:textId="77777777" w:rsidR="007D2CEB" w:rsidRPr="007D2CEB" w:rsidRDefault="00BD344A" w:rsidP="007D2CEB">
      <w:pPr>
        <w:spacing w:before="240"/>
        <w:ind w:left="567"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Asimismo, en el penúltimo párrafo regula, como regla especial</w:t>
      </w:r>
      <w:r w:rsidR="00A46DCF" w:rsidRPr="007D2CEB">
        <w:rPr>
          <w:rFonts w:ascii="ITC Avant Garde" w:eastAsia="Times New Roman" w:hAnsi="ITC Avant Garde"/>
          <w:iCs/>
          <w:sz w:val="18"/>
          <w:szCs w:val="18"/>
          <w:lang w:val="es-ES" w:eastAsia="es-ES"/>
        </w:rPr>
        <w:t xml:space="preserve"> que</w:t>
      </w:r>
      <w:r w:rsidRPr="007D2CEB">
        <w:rPr>
          <w:rFonts w:ascii="ITC Avant Garde" w:eastAsia="Times New Roman" w:hAnsi="ITC Avant Garde"/>
          <w:iCs/>
          <w:sz w:val="18"/>
          <w:szCs w:val="18"/>
          <w:lang w:val="es-ES" w:eastAsia="es-ES"/>
        </w:rPr>
        <w:t xml:space="preserve">, </w:t>
      </w:r>
      <w:r w:rsidR="00A46DCF" w:rsidRPr="007D2CEB">
        <w:rPr>
          <w:rFonts w:ascii="ITC Avant Garde" w:eastAsia="Times New Roman" w:hAnsi="ITC Avant Garde"/>
          <w:iCs/>
          <w:sz w:val="18"/>
          <w:szCs w:val="18"/>
          <w:lang w:val="es-ES" w:eastAsia="es-ES"/>
        </w:rPr>
        <w:t xml:space="preserve">en el caso de concesionarios cuyas </w:t>
      </w:r>
      <w:r w:rsidRPr="007D2CEB">
        <w:rPr>
          <w:rFonts w:ascii="ITC Avant Garde" w:eastAsia="Times New Roman" w:hAnsi="ITC Avant Garde"/>
          <w:iCs/>
          <w:sz w:val="18"/>
          <w:szCs w:val="18"/>
          <w:lang w:val="es-ES" w:eastAsia="es-ES"/>
        </w:rPr>
        <w:t xml:space="preserve">redes públicas de telecomunicaciones </w:t>
      </w:r>
      <w:r w:rsidR="00A46DCF" w:rsidRPr="007D2CEB">
        <w:rPr>
          <w:rFonts w:ascii="ITC Avant Garde" w:eastAsia="Times New Roman" w:hAnsi="ITC Avant Garde"/>
          <w:iCs/>
          <w:sz w:val="18"/>
          <w:szCs w:val="18"/>
          <w:lang w:val="es-ES" w:eastAsia="es-ES"/>
        </w:rPr>
        <w:t xml:space="preserve">se encuentren </w:t>
      </w:r>
      <w:r w:rsidRPr="007D2CEB">
        <w:rPr>
          <w:rFonts w:ascii="ITC Avant Garde" w:eastAsia="Times New Roman" w:hAnsi="ITC Avant Garde"/>
          <w:iCs/>
          <w:sz w:val="18"/>
          <w:szCs w:val="18"/>
          <w:lang w:val="es-ES" w:eastAsia="es-ES"/>
        </w:rPr>
        <w:t xml:space="preserve">interconectadas y con motivo de la terminación de la vigencia de sus convenios </w:t>
      </w:r>
      <w:r w:rsidR="00A46DCF" w:rsidRPr="007D2CEB">
        <w:rPr>
          <w:rFonts w:ascii="ITC Avant Garde" w:eastAsia="Times New Roman" w:hAnsi="ITC Avant Garde"/>
          <w:iCs/>
          <w:sz w:val="18"/>
          <w:szCs w:val="18"/>
          <w:lang w:val="es-ES" w:eastAsia="es-ES"/>
        </w:rPr>
        <w:t>puedan</w:t>
      </w:r>
      <w:r w:rsidRPr="007D2CEB">
        <w:rPr>
          <w:rFonts w:ascii="ITC Avant Garde" w:eastAsia="Times New Roman" w:hAnsi="ITC Avant Garde"/>
          <w:iCs/>
          <w:sz w:val="18"/>
          <w:szCs w:val="18"/>
          <w:lang w:val="es-ES" w:eastAsia="es-ES"/>
        </w:rPr>
        <w:t xml:space="preserve"> acordar nuevas condiciones </w:t>
      </w:r>
      <w:r w:rsidR="00A46DCF" w:rsidRPr="007D2CEB">
        <w:rPr>
          <w:rFonts w:ascii="ITC Avant Garde" w:eastAsia="Times New Roman" w:hAnsi="ITC Avant Garde"/>
          <w:iCs/>
          <w:sz w:val="18"/>
          <w:szCs w:val="18"/>
          <w:lang w:val="es-ES" w:eastAsia="es-ES"/>
        </w:rPr>
        <w:t xml:space="preserve">de interconexión y no exista acuerdo entre las partes, éstos deben presentar ante el IFT su solicitud de resolución sobre el desacuerdo de interconexión, </w:t>
      </w:r>
      <w:r w:rsidR="00A46DCF" w:rsidRPr="007D2CEB">
        <w:rPr>
          <w:rFonts w:ascii="ITC Avant Garde" w:eastAsia="Times New Roman" w:hAnsi="ITC Avant Garde"/>
          <w:iCs/>
          <w:sz w:val="18"/>
          <w:szCs w:val="18"/>
          <w:u w:val="single"/>
          <w:lang w:val="es-ES" w:eastAsia="es-ES"/>
        </w:rPr>
        <w:t>a más tardar el quince de julio de cada año</w:t>
      </w:r>
      <w:r w:rsidR="00A46DCF" w:rsidRPr="007D2CEB">
        <w:rPr>
          <w:rFonts w:ascii="ITC Avant Garde" w:eastAsia="Times New Roman" w:hAnsi="ITC Avant Garde"/>
          <w:iCs/>
          <w:sz w:val="18"/>
          <w:szCs w:val="18"/>
          <w:lang w:val="es-ES" w:eastAsia="es-ES"/>
        </w:rPr>
        <w:t xml:space="preserve">, </w:t>
      </w:r>
      <w:r w:rsidRPr="007D2CEB">
        <w:rPr>
          <w:rFonts w:ascii="ITC Avant Garde" w:eastAsia="Times New Roman" w:hAnsi="ITC Avant Garde"/>
          <w:iCs/>
          <w:sz w:val="18"/>
          <w:szCs w:val="18"/>
          <w:lang w:val="es-ES" w:eastAsia="es-ES"/>
        </w:rPr>
        <w:t xml:space="preserve">a fin de que </w:t>
      </w:r>
      <w:r w:rsidR="00A46DCF" w:rsidRPr="007D2CEB">
        <w:rPr>
          <w:rFonts w:ascii="ITC Avant Garde" w:eastAsia="Times New Roman" w:hAnsi="ITC Avant Garde"/>
          <w:iCs/>
          <w:sz w:val="18"/>
          <w:szCs w:val="18"/>
          <w:lang w:val="es-ES" w:eastAsia="es-ES"/>
        </w:rPr>
        <w:t xml:space="preserve">resuelvan las condiciones de interconexión no convenidas entre concesionarios, incluyendo las tarifas, </w:t>
      </w:r>
      <w:r w:rsidRPr="007D2CEB">
        <w:rPr>
          <w:rFonts w:ascii="ITC Avant Garde" w:eastAsia="Times New Roman" w:hAnsi="ITC Avant Garde"/>
          <w:iCs/>
          <w:sz w:val="18"/>
          <w:szCs w:val="18"/>
          <w:lang w:val="es-ES" w:eastAsia="es-ES"/>
        </w:rPr>
        <w:t>antes del quince de diciembre para que las nuevas condiciones de interconexión inicien su vigencia e</w:t>
      </w:r>
      <w:r w:rsidR="00A46DCF" w:rsidRPr="007D2CEB">
        <w:rPr>
          <w:rFonts w:ascii="ITC Avant Garde" w:eastAsia="Times New Roman" w:hAnsi="ITC Avant Garde"/>
          <w:iCs/>
          <w:sz w:val="18"/>
          <w:szCs w:val="18"/>
          <w:lang w:val="es-ES" w:eastAsia="es-ES"/>
        </w:rPr>
        <w:t>l</w:t>
      </w:r>
      <w:r w:rsidRPr="007D2CEB">
        <w:rPr>
          <w:rFonts w:ascii="ITC Avant Garde" w:eastAsia="Times New Roman" w:hAnsi="ITC Avant Garde"/>
          <w:iCs/>
          <w:sz w:val="18"/>
          <w:szCs w:val="18"/>
          <w:lang w:val="es-ES" w:eastAsia="es-ES"/>
        </w:rPr>
        <w:t xml:space="preserve"> primero de enero del siguiente año.</w:t>
      </w:r>
    </w:p>
    <w:p w14:paraId="6F48B35F" w14:textId="77777777" w:rsidR="007D2CEB" w:rsidRPr="007D2CEB" w:rsidRDefault="00BD344A" w:rsidP="007D2CEB">
      <w:pPr>
        <w:spacing w:before="240"/>
        <w:ind w:left="567"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Así, deben distinguirse los dos supuestos para someter un desacuerdo al IFT, a saber:</w:t>
      </w:r>
    </w:p>
    <w:p w14:paraId="183EF482" w14:textId="77777777" w:rsidR="007D2CEB" w:rsidRPr="007D2CEB" w:rsidRDefault="00BD344A" w:rsidP="007D2CEB">
      <w:pPr>
        <w:spacing w:before="240"/>
        <w:ind w:left="851"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i) Concesionarios  no interconectados deben iniciar negociaciones y, de no llegar a un consenso, deben cometer el desacuerdo a la autoridad pública, sin que para ello exista plazo, porque impera el interés general en que las redes públicas de telecomunicaciones se interconecten.</w:t>
      </w:r>
    </w:p>
    <w:p w14:paraId="4ED61730" w14:textId="77777777" w:rsidR="007D2CEB" w:rsidRPr="007D2CEB" w:rsidRDefault="00BD344A" w:rsidP="007D2CEB">
      <w:pPr>
        <w:spacing w:before="240"/>
        <w:ind w:left="851"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 xml:space="preserve">ii) Concesionarios ya interconectados pero, con motivo de la terminación de la vigencia </w:t>
      </w:r>
      <w:r w:rsidR="009B1D31" w:rsidRPr="007D2CEB">
        <w:rPr>
          <w:rFonts w:ascii="ITC Avant Garde" w:eastAsia="Times New Roman" w:hAnsi="ITC Avant Garde"/>
          <w:iCs/>
          <w:sz w:val="18"/>
          <w:szCs w:val="18"/>
          <w:lang w:val="es-ES" w:eastAsia="es-ES"/>
        </w:rPr>
        <w:t>en sus contratos,</w:t>
      </w:r>
      <w:r w:rsidRPr="007D2CEB">
        <w:rPr>
          <w:rFonts w:ascii="ITC Avant Garde" w:eastAsia="Times New Roman" w:hAnsi="ITC Avant Garde"/>
          <w:iCs/>
          <w:sz w:val="18"/>
          <w:szCs w:val="18"/>
          <w:lang w:val="es-ES" w:eastAsia="es-ES"/>
        </w:rPr>
        <w:t xml:space="preserve"> desean acordar nuevas condiciones y, en caso de no convenir, deben someter el desacuerdo a la autoridad reguladora hasta el quince de julio de cada año, caso en el que</w:t>
      </w:r>
      <w:r w:rsidR="009B1D31" w:rsidRPr="007D2CEB">
        <w:rPr>
          <w:rFonts w:ascii="ITC Avant Garde" w:eastAsia="Times New Roman" w:hAnsi="ITC Avant Garde"/>
          <w:iCs/>
          <w:sz w:val="18"/>
          <w:szCs w:val="18"/>
          <w:lang w:val="es-ES" w:eastAsia="es-ES"/>
        </w:rPr>
        <w:t xml:space="preserve"> </w:t>
      </w:r>
      <w:r w:rsidRPr="007D2CEB">
        <w:rPr>
          <w:rFonts w:ascii="ITC Avant Garde" w:eastAsia="Times New Roman" w:hAnsi="ITC Avant Garde"/>
          <w:iCs/>
          <w:sz w:val="18"/>
          <w:szCs w:val="18"/>
          <w:lang w:val="es-ES" w:eastAsia="es-ES"/>
        </w:rPr>
        <w:t>no peligra la interconexión, sino sólo los intereses de las partes.</w:t>
      </w:r>
    </w:p>
    <w:p w14:paraId="0A1457F5" w14:textId="77777777" w:rsidR="007D2CEB" w:rsidRPr="007D2CEB" w:rsidRDefault="00BD344A" w:rsidP="007D2CEB">
      <w:pPr>
        <w:spacing w:before="240"/>
        <w:ind w:left="567"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El caso sometido a la jurisdicción de este tribunal pertenece al segundo supuesto, pues las redes de telecomunicaciones de las partes en el juicio que se revisa ya están interconectadas y la resolución controvertida consiste únicamente en la determinación de tarifas que deben pagarse mutuamente los concesionarios involucrados por el servicio de terminación de llamadas originadas en sus respectivas redes.</w:t>
      </w:r>
    </w:p>
    <w:p w14:paraId="2B779509" w14:textId="77777777" w:rsidR="007D2CEB" w:rsidRPr="007D2CEB" w:rsidRDefault="00BD344A" w:rsidP="007D2CEB">
      <w:pPr>
        <w:spacing w:before="240"/>
        <w:ind w:left="567"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lastRenderedPageBreak/>
        <w:t>En otras palabras, de las constancias aportadas al sumario constitucional revisado, se desprende que le desacuerdo de interconexión origen de las resolución reclamada, versó únicamente sobre las tarifas que deben pagarse recíprocamente entre los concesionarios parte de esa secuela procesal, por los servicios de interconexión que se prestan, esto es, se trata de intereses meramente particulares cuya satisfacción no deriva en beneficio del interés general.</w:t>
      </w:r>
    </w:p>
    <w:p w14:paraId="1C9A0B69" w14:textId="77777777" w:rsidR="007D2CEB" w:rsidRPr="007D2CEB" w:rsidRDefault="00BD344A" w:rsidP="007D2CEB">
      <w:pPr>
        <w:spacing w:before="240"/>
        <w:ind w:left="567"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Para discernir el punto disenso, conviene traer a colación lo dicho sobre el tema en el Dictamen de las Comisiones Unidas de Comunicación y Transporte, Radio, Televisión y Cinematografía, y de Estudios Legislativos, con proyecto de decreto por el que se expiden la Ley Federal de Tel</w:t>
      </w:r>
      <w:r w:rsidR="005425D2" w:rsidRPr="007D2CEB">
        <w:rPr>
          <w:rFonts w:ascii="ITC Avant Garde" w:eastAsia="Times New Roman" w:hAnsi="ITC Avant Garde"/>
          <w:iCs/>
          <w:sz w:val="18"/>
          <w:szCs w:val="18"/>
          <w:lang w:val="es-ES" w:eastAsia="es-ES"/>
        </w:rPr>
        <w:t>ecomunicaciones y Radiodifusión y la Ley del Sistema Público de Radiodifusión</w:t>
      </w:r>
      <w:r w:rsidRPr="007D2CEB">
        <w:rPr>
          <w:rFonts w:ascii="ITC Avant Garde" w:eastAsia="Times New Roman" w:hAnsi="ITC Avant Garde"/>
          <w:iCs/>
          <w:sz w:val="18"/>
          <w:szCs w:val="18"/>
          <w:lang w:val="es-ES" w:eastAsia="es-ES"/>
        </w:rPr>
        <w:t xml:space="preserve"> del Estado Mexicano; y se reforman, adicionan y derogan diversas disposiciones en materia de telecomunicaciones y radiodifusión, en el que se expresó lo siguiente:</w:t>
      </w:r>
    </w:p>
    <w:p w14:paraId="140F9864" w14:textId="77777777" w:rsidR="007D2CEB" w:rsidRPr="007D2CEB" w:rsidRDefault="00BD344A" w:rsidP="007D2CEB">
      <w:pPr>
        <w:spacing w:before="240"/>
        <w:ind w:left="851" w:right="899"/>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“El procedimiento para la resolución de desacuerdos de interconexión comprende una primera fase en la cual el Instituto tomará co</w:t>
      </w:r>
      <w:r w:rsidR="00B34155" w:rsidRPr="007D2CEB">
        <w:rPr>
          <w:rFonts w:ascii="ITC Avant Garde" w:eastAsia="Times New Roman" w:hAnsi="ITC Avant Garde"/>
          <w:iCs/>
          <w:sz w:val="18"/>
          <w:szCs w:val="18"/>
          <w:lang w:val="es-ES" w:eastAsia="es-ES"/>
        </w:rPr>
        <w:t>nocimiento de las negociaciones</w:t>
      </w:r>
      <w:r w:rsidRPr="007D2CEB">
        <w:rPr>
          <w:rFonts w:ascii="ITC Avant Garde" w:eastAsia="Times New Roman" w:hAnsi="ITC Avant Garde"/>
          <w:iCs/>
          <w:sz w:val="18"/>
          <w:szCs w:val="18"/>
          <w:lang w:val="es-ES" w:eastAsia="es-ES"/>
        </w:rPr>
        <w:t xml:space="preserve"> entre los agentes económicos no preponderantes a través de un sistema electrónico que deberá establecer. El objetivo de esta medida es que exista constancia del inicio de las negociaciones, del desarrollo de las mismas, de las tácticas aplicadas  por las partes, en su caso, de la celebración del convenio o del desacuerdo y del agotamiento del plazo previsto en la Ley para tales efectos.  Como se ha mencionado, la interconexión es un insumo esencial de interés público que debe otorgarse de manera oportuna, de lo contrario se afecta no sólo al servicio sino al usuario mismo, sin embargo, la experiencia en desacuerdos han mostrado que diversos  concesionarios o agentes económicos realizan prácticas dilatorias desde el inicio de las negociaciones, retardando y prolongando la interconexión a la parte  solicitante. En tal virtud, estas Comisiones unidad dictaminadoras estiman que a través del mecanismo que se prevé en el proyecto de Decreto de Ley, </w:t>
      </w:r>
      <w:r w:rsidRPr="007D2CEB">
        <w:rPr>
          <w:rFonts w:ascii="ITC Avant Garde" w:eastAsia="Times New Roman" w:hAnsi="ITC Avant Garde"/>
          <w:iCs/>
          <w:sz w:val="18"/>
          <w:szCs w:val="18"/>
          <w:u w:val="single"/>
          <w:lang w:val="es-ES" w:eastAsia="es-ES"/>
        </w:rPr>
        <w:t>se podrán evitar dichas tácticas y se contribuirá a que fluya con mayor agilidad la resolución de los desacuerdos de interconexión que lleguen a originarse, ya que no se podrá sorprender al Instituto con tácticas dilatorias</w:t>
      </w:r>
      <w:r w:rsidRPr="007D2CEB">
        <w:rPr>
          <w:rFonts w:ascii="ITC Avant Garde" w:eastAsia="Times New Roman" w:hAnsi="ITC Avant Garde"/>
          <w:iCs/>
          <w:sz w:val="18"/>
          <w:szCs w:val="18"/>
          <w:lang w:val="es-ES" w:eastAsia="es-ES"/>
        </w:rPr>
        <w:t>, si este tiene constancia de lo ocurrido en el periodo de negociaciones.</w:t>
      </w:r>
    </w:p>
    <w:p w14:paraId="7D0165B3" w14:textId="5CB482ED" w:rsidR="00BD344A" w:rsidRPr="007D2CEB" w:rsidRDefault="00BD344A" w:rsidP="007D2CEB">
      <w:pPr>
        <w:spacing w:before="240"/>
        <w:ind w:left="851" w:right="899"/>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La segunda fase comienza a partir de que se solicita al Instituto las resoluciones de las condiciones, términos y tarifas que no hubieren podido convenir las partes. Siguiendo la lógica de urgencia e importancia de la interconexión, establece como primer paso que la solicitud se presente dentro de los 45 días hábiles contados a partir de que feneció el plazo establecido en Ley, para que las partes negociaran y alcanzaran un acuerdo, actualmente no existe un plazo y esto contribuye a la dilación de la resolución de los desacuerdos.</w:t>
      </w:r>
    </w:p>
    <w:p w14:paraId="3AF583A8" w14:textId="77777777" w:rsidR="007D2CEB" w:rsidRPr="007D2CEB" w:rsidRDefault="00BD344A" w:rsidP="007D2CEB">
      <w:pPr>
        <w:spacing w:before="240"/>
        <w:ind w:left="851" w:right="899"/>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 xml:space="preserve">Cabe mencionar que si ambas partes lo solicitan, no se requiere agotar el plazo de  60 días previstos para las negociaciones, Una vez recibida la solicitud el Instituto contará con cinco días para pronunciarse sobre la procedencia y admisión de la solicitud, contando con la facultad de formular requerimientos. En esta parte cobra relevancia el conocimiento que el Instituto tomó de las negociaciones previas, ya que le dará luz para solicitar mayor información o para entender con mayor precisión y prontitud  los planteamientos de las partes. </w:t>
      </w:r>
    </w:p>
    <w:p w14:paraId="64F5F5D9" w14:textId="77777777" w:rsidR="007D2CEB" w:rsidRPr="007D2CEB" w:rsidRDefault="00BD344A" w:rsidP="007D2CEB">
      <w:pPr>
        <w:spacing w:before="240"/>
        <w:ind w:left="851" w:right="899"/>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 xml:space="preserve">Admitida la solicitud, se contemplan plazos para el emplazamiento a la contraparte, así como para la admisión  y desahogo de pruebas y alegatos, a fin de que ambas partes </w:t>
      </w:r>
      <w:r w:rsidRPr="007D2CEB">
        <w:rPr>
          <w:rFonts w:ascii="ITC Avant Garde" w:eastAsia="Times New Roman" w:hAnsi="ITC Avant Garde"/>
          <w:iCs/>
          <w:sz w:val="18"/>
          <w:szCs w:val="18"/>
          <w:lang w:val="es-ES" w:eastAsia="es-ES"/>
        </w:rPr>
        <w:lastRenderedPageBreak/>
        <w:t xml:space="preserve">cuenten con debida audiencia para su respectiva defensa. Desahogado lo anterior, se fija plazo para que el Instituto resuelva el desacuerdo, con lo cual se da certeza jurídica en este tema. </w:t>
      </w:r>
    </w:p>
    <w:p w14:paraId="6C712508" w14:textId="77C89480" w:rsidR="00BD344A" w:rsidRPr="007D2CEB" w:rsidRDefault="00BD344A" w:rsidP="007D2CEB">
      <w:pPr>
        <w:spacing w:before="240"/>
        <w:ind w:left="851" w:right="899"/>
        <w:jc w:val="both"/>
        <w:rPr>
          <w:rFonts w:ascii="ITC Avant Garde" w:eastAsia="Times New Roman" w:hAnsi="ITC Avant Garde"/>
          <w:iCs/>
          <w:sz w:val="18"/>
          <w:szCs w:val="18"/>
          <w:u w:val="single"/>
          <w:lang w:val="es-ES" w:eastAsia="es-ES"/>
        </w:rPr>
      </w:pPr>
      <w:r w:rsidRPr="007D2CEB">
        <w:rPr>
          <w:rFonts w:ascii="ITC Avant Garde" w:eastAsia="Times New Roman" w:hAnsi="ITC Avant Garde"/>
          <w:iCs/>
          <w:sz w:val="18"/>
          <w:szCs w:val="18"/>
          <w:lang w:val="es-ES" w:eastAsia="es-ES"/>
        </w:rPr>
        <w:t xml:space="preserve">Es importante señalar que estas Comisiones Unidas Dictaminadoras estimaron necesario contemplar, que aún y cuando se hubiere iniciado un procedimiento de desacuerdo de interconexión, </w:t>
      </w:r>
      <w:r w:rsidRPr="007D2CEB">
        <w:rPr>
          <w:rFonts w:ascii="ITC Avant Garde" w:eastAsia="Times New Roman" w:hAnsi="ITC Avant Garde"/>
          <w:iCs/>
          <w:sz w:val="18"/>
          <w:szCs w:val="18"/>
          <w:u w:val="single"/>
          <w:lang w:val="es-ES" w:eastAsia="es-ES"/>
        </w:rPr>
        <w:t>las partes tengan la posibilidad de alcanzar algún convenio e informarlo al Instituto, para lo cual se señala el momento procesal en que podrán realizarlo, generando la terminación del procedimiento de desacuerdo de interconexión a manera de transacción.</w:t>
      </w:r>
    </w:p>
    <w:p w14:paraId="5EFB3F7B" w14:textId="77777777" w:rsidR="007D2CEB" w:rsidRPr="007D2CEB" w:rsidRDefault="00BD344A" w:rsidP="007D2CEB">
      <w:pPr>
        <w:spacing w:before="240"/>
        <w:ind w:left="851" w:right="899"/>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La resolución del desacuerdo de interconexión o el convenio que se hubiere celebrad deberá registrarse en el Registro Público previsto en la ley para efectos de publicidad dentro de los diez días hábiles siguientes a la notificación de las partes y la interconexión efectiva y el intercambio de tráfico deberá iniciar d</w:t>
      </w:r>
      <w:r w:rsidR="00B34155" w:rsidRPr="007D2CEB">
        <w:rPr>
          <w:rFonts w:ascii="ITC Avant Garde" w:eastAsia="Times New Roman" w:hAnsi="ITC Avant Garde"/>
          <w:iCs/>
          <w:sz w:val="18"/>
          <w:szCs w:val="18"/>
          <w:lang w:val="es-ES" w:eastAsia="es-ES"/>
        </w:rPr>
        <w:t>entro de los 30 días naturales.</w:t>
      </w:r>
    </w:p>
    <w:p w14:paraId="2BF5855A" w14:textId="77777777" w:rsidR="007D2CEB" w:rsidRPr="007D2CEB" w:rsidRDefault="00BD344A" w:rsidP="007D2CEB">
      <w:pPr>
        <w:spacing w:before="240"/>
        <w:ind w:left="851" w:right="899"/>
        <w:jc w:val="both"/>
        <w:rPr>
          <w:rFonts w:ascii="ITC Avant Garde" w:eastAsia="Times New Roman" w:hAnsi="ITC Avant Garde"/>
          <w:iCs/>
          <w:sz w:val="18"/>
          <w:szCs w:val="18"/>
          <w:u w:val="single"/>
          <w:lang w:val="es-ES" w:eastAsia="es-ES"/>
        </w:rPr>
      </w:pPr>
      <w:r w:rsidRPr="007D2CEB">
        <w:rPr>
          <w:rFonts w:ascii="ITC Avant Garde" w:eastAsia="Times New Roman" w:hAnsi="ITC Avant Garde"/>
          <w:iCs/>
          <w:sz w:val="18"/>
          <w:szCs w:val="18"/>
          <w:lang w:val="es-ES" w:eastAsia="es-ES"/>
        </w:rPr>
        <w:t>Tratándose de redes interconectadas  en las que los convenios de interconexión respectivos estén por vencer, estas Comisiones Dictaminadores han considerado necesario prever el momento en que deberá presentarse la solicitud de resolución de desacuerdo de interconexión, es decir, a más tardar el 15 de julio de cada año</w:t>
      </w:r>
      <w:r w:rsidRPr="007D2CEB">
        <w:rPr>
          <w:rFonts w:ascii="ITC Avant Garde" w:eastAsia="Times New Roman" w:hAnsi="ITC Avant Garde"/>
          <w:iCs/>
          <w:sz w:val="18"/>
          <w:szCs w:val="18"/>
          <w:u w:val="single"/>
          <w:lang w:val="es-ES" w:eastAsia="es-ES"/>
        </w:rPr>
        <w:t xml:space="preserve">. De esta manera existirá el espacio de tiempo suficiente para que se desahogue el procedimiento  respectivo y el Instituto resuelva antes del 15 de diciembre de tal manera que las nuevas condiciones de interconexión inicien su vigencia el 1 de enero del siguiente año. </w:t>
      </w:r>
    </w:p>
    <w:p w14:paraId="5E5BC537" w14:textId="77777777" w:rsidR="007D2CEB" w:rsidRPr="007D2CEB" w:rsidRDefault="00BD344A" w:rsidP="007D2CEB">
      <w:pPr>
        <w:spacing w:before="240"/>
        <w:ind w:left="851" w:right="899"/>
        <w:jc w:val="both"/>
        <w:rPr>
          <w:rFonts w:ascii="ITC Avant Garde" w:eastAsia="Times New Roman" w:hAnsi="ITC Avant Garde"/>
          <w:iCs/>
          <w:sz w:val="18"/>
          <w:szCs w:val="18"/>
          <w:u w:val="single"/>
          <w:lang w:val="es-ES" w:eastAsia="es-ES"/>
        </w:rPr>
      </w:pPr>
      <w:r w:rsidRPr="007D2CEB">
        <w:rPr>
          <w:rFonts w:ascii="ITC Avant Garde" w:eastAsia="Times New Roman" w:hAnsi="ITC Avant Garde"/>
          <w:iCs/>
          <w:sz w:val="18"/>
          <w:szCs w:val="18"/>
          <w:u w:val="single"/>
          <w:lang w:val="es-ES" w:eastAsia="es-ES"/>
        </w:rPr>
        <w:t>Los beneficios de esta disposición son importantes, ya que se obliga a los concesionarios con convenios suscritos a iniciar negociaciones previamente  al vencimiento de sus convenios, se reduce la dilación que padecía el sector para la resolución de los asuntos y se evita que os concesionarios tenga  que realizar liquidaciones por periodos anteriores a la fecha de resolución del Instituto en cumplimiento a las cláusulas  de  aplicación continua pactadas en sus respectivos convenios de interconexión, pues el objetivo es que tengan hacia futuro las tarifas y condiciones</w:t>
      </w:r>
      <w:r w:rsidRPr="007D2CEB">
        <w:rPr>
          <w:rFonts w:ascii="ITC Avant Garde" w:eastAsia="Times New Roman" w:hAnsi="ITC Avant Garde"/>
          <w:b/>
          <w:iCs/>
          <w:sz w:val="18"/>
          <w:szCs w:val="18"/>
          <w:u w:val="single"/>
          <w:lang w:val="es-ES" w:eastAsia="es-ES"/>
        </w:rPr>
        <w:t xml:space="preserve"> </w:t>
      </w:r>
      <w:r w:rsidRPr="007D2CEB">
        <w:rPr>
          <w:rFonts w:ascii="ITC Avant Garde" w:eastAsia="Times New Roman" w:hAnsi="ITC Avant Garde"/>
          <w:iCs/>
          <w:sz w:val="18"/>
          <w:szCs w:val="18"/>
          <w:u w:val="single"/>
          <w:lang w:val="es-ES" w:eastAsia="es-ES"/>
        </w:rPr>
        <w:t>de interconexión determinadas.”</w:t>
      </w:r>
    </w:p>
    <w:p w14:paraId="6861A80F" w14:textId="77777777" w:rsidR="007D2CEB" w:rsidRPr="007D2CEB" w:rsidRDefault="00BD344A" w:rsidP="007D2CEB">
      <w:pPr>
        <w:spacing w:before="240"/>
        <w:ind w:left="567"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Como se observa, durante el proceso legislativo, el legislador consideró necesario prever una fecha específica para que los concesionarios de redes presenten ante el IFT la solicitud de resolución de desacuerdo de interconexión –quince de julio de cada año-, lo que permite un tiempo suficiente para desahogar el procedimiento correlativo y que el órgano autónomo pueda resolverlo a más tardar el quince de diciembre. De esa forma las nuevas condiciones y tarifas de interconexión podrían iniciar su vigencia el uno de enero del año siguiente, propiciando al efecto cierto beneficios tales como: a) promover que los concesionaros inicien negociaciones previamente al vencimiento de sus convenios, b) que se reduzca la dilación que padecía el sector para la resolución de los asuntos y c) evite que los concesionarios tengan que realizar liquidaciones por periodos anteriores a la fecha del citado de la resolución por parte del Instituto en cumplimiento a las cláusulas de aplicación continua pactadas en sus respectivos convenios de interconexión, al tener como objetivo que se tengan hacia futuro las tarifas y condiciones de interconexión determinadas.</w:t>
      </w:r>
    </w:p>
    <w:p w14:paraId="140D24DD" w14:textId="77777777" w:rsidR="007D2CEB" w:rsidRPr="007D2CEB" w:rsidRDefault="00BD344A" w:rsidP="007D2CEB">
      <w:pPr>
        <w:spacing w:before="240"/>
        <w:ind w:left="567"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 xml:space="preserve">Lo anterior, pone de manifiesto que uno de los propósitos perseguidos por el legislador con el establecimiento de un plazo límite para la promoción de desacuerdos de interconexión, tratándose de redes interconectadas, se centró en generar certeza jurídica y financiera para </w:t>
      </w:r>
      <w:r w:rsidRPr="007D2CEB">
        <w:rPr>
          <w:rFonts w:ascii="ITC Avant Garde" w:eastAsia="Times New Roman" w:hAnsi="ITC Avant Garde"/>
          <w:iCs/>
          <w:sz w:val="18"/>
          <w:szCs w:val="18"/>
          <w:lang w:val="es-ES" w:eastAsia="es-ES"/>
        </w:rPr>
        <w:lastRenderedPageBreak/>
        <w:t>los concesionarios en relación con las condiciones y tarifas que en ese aspecto debían de regir sus relaciones con otros concesionarios y prever cambios presupuestarios.</w:t>
      </w:r>
    </w:p>
    <w:p w14:paraId="19A56E61" w14:textId="77777777" w:rsidR="007D2CEB" w:rsidRPr="007D2CEB" w:rsidRDefault="00BD344A" w:rsidP="007D2CEB">
      <w:pPr>
        <w:spacing w:before="240"/>
        <w:ind w:left="567"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 xml:space="preserve">En el penúltimo párrafo del artículo 129 de la </w:t>
      </w:r>
      <w:proofErr w:type="spellStart"/>
      <w:r w:rsidRPr="007D2CEB">
        <w:rPr>
          <w:rFonts w:ascii="ITC Avant Garde" w:eastAsia="Times New Roman" w:hAnsi="ITC Avant Garde"/>
          <w:iCs/>
          <w:sz w:val="18"/>
          <w:szCs w:val="18"/>
          <w:lang w:val="es-ES" w:eastAsia="es-ES"/>
        </w:rPr>
        <w:t>LFTyR</w:t>
      </w:r>
      <w:proofErr w:type="spellEnd"/>
      <w:r w:rsidRPr="007D2CEB">
        <w:rPr>
          <w:rFonts w:ascii="ITC Avant Garde" w:eastAsia="Times New Roman" w:hAnsi="ITC Avant Garde"/>
          <w:iCs/>
          <w:sz w:val="18"/>
          <w:szCs w:val="18"/>
          <w:lang w:val="es-ES" w:eastAsia="es-ES"/>
        </w:rPr>
        <w:t>, establece un plazo límite para que los concesionarios estén en aptitud de solicitar la intervención del regulador en la solución de desacuerdos de interconexión, a saber, el quince de julio de cada año, prescripción normativa que genera certeza a aquellos, en relación con la temporalidad en que podrá ser factible instar dicha participación.</w:t>
      </w:r>
    </w:p>
    <w:p w14:paraId="58EB672C" w14:textId="77777777" w:rsidR="007D2CEB" w:rsidRPr="007D2CEB" w:rsidRDefault="00BD344A" w:rsidP="007D2CEB">
      <w:pPr>
        <w:spacing w:before="240"/>
        <w:ind w:left="567"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De tal modo que, si un concesionario está interesado en pactar nuevas condiciones de interconexión de su red, debe prever el plazo legal para negociar (sesenta días naturales) y</w:t>
      </w:r>
      <w:r w:rsidR="00C70F29" w:rsidRPr="007D2CEB">
        <w:rPr>
          <w:rFonts w:ascii="ITC Avant Garde" w:eastAsia="Times New Roman" w:hAnsi="ITC Avant Garde"/>
          <w:iCs/>
          <w:sz w:val="18"/>
          <w:szCs w:val="18"/>
          <w:lang w:val="es-ES" w:eastAsia="es-ES"/>
        </w:rPr>
        <w:t xml:space="preserve"> a más tardar el quince de julio de cada año, solicitar al IFT la resolución de un desacuerdo de esa naturaleza.</w:t>
      </w:r>
    </w:p>
    <w:p w14:paraId="4C50F4C0" w14:textId="77777777" w:rsidR="007D2CEB" w:rsidRPr="007D2CEB" w:rsidRDefault="00BD344A" w:rsidP="007D2CEB">
      <w:pPr>
        <w:spacing w:before="240"/>
        <w:ind w:left="567"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 xml:space="preserve">Correlativamente, aquellos concesionarios cuyas redes estén interconectadas tienen la certeza de que, una vez pasado el quince de julio de cada año sin que su contraparte haya iniciado negociaciones o solicitado al IFT la resolución de un desacuerdo de esa naturaleza, las condiciones y tarifas vigentes en ese momento seguirán rigiendo la interconexión de su red, pues se entenderá que no existe inconformidad con las actuales </w:t>
      </w:r>
      <w:r w:rsidR="00C70F29" w:rsidRPr="007D2CEB">
        <w:rPr>
          <w:rFonts w:ascii="ITC Avant Garde" w:eastAsia="Times New Roman" w:hAnsi="ITC Avant Garde"/>
          <w:iCs/>
          <w:sz w:val="18"/>
          <w:szCs w:val="18"/>
          <w:lang w:val="es-ES" w:eastAsia="es-ES"/>
        </w:rPr>
        <w:t>p</w:t>
      </w:r>
      <w:r w:rsidRPr="007D2CEB">
        <w:rPr>
          <w:rFonts w:ascii="ITC Avant Garde" w:eastAsia="Times New Roman" w:hAnsi="ITC Avant Garde"/>
          <w:iCs/>
          <w:sz w:val="18"/>
          <w:szCs w:val="18"/>
          <w:lang w:val="es-ES" w:eastAsia="es-ES"/>
        </w:rPr>
        <w:t>ara cambiarlas.</w:t>
      </w:r>
    </w:p>
    <w:p w14:paraId="633C41C4" w14:textId="77777777" w:rsidR="007D2CEB" w:rsidRPr="007D2CEB" w:rsidRDefault="00BD344A" w:rsidP="007D2CEB">
      <w:pPr>
        <w:spacing w:before="240"/>
        <w:ind w:left="567"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w:t>
      </w:r>
    </w:p>
    <w:p w14:paraId="264651B8" w14:textId="77777777" w:rsidR="007D2CEB" w:rsidRPr="007D2CEB" w:rsidRDefault="00BD344A" w:rsidP="007D2CEB">
      <w:pPr>
        <w:spacing w:before="240"/>
        <w:ind w:left="567"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De lo hasta a</w:t>
      </w:r>
      <w:r w:rsidR="0014372C" w:rsidRPr="007D2CEB">
        <w:rPr>
          <w:rFonts w:ascii="ITC Avant Garde" w:eastAsia="Times New Roman" w:hAnsi="ITC Avant Garde"/>
          <w:iCs/>
          <w:sz w:val="18"/>
          <w:szCs w:val="18"/>
          <w:lang w:val="es-ES" w:eastAsia="es-ES"/>
        </w:rPr>
        <w:t>quí expuesto, se advierte que el</w:t>
      </w:r>
      <w:r w:rsidRPr="007D2CEB">
        <w:rPr>
          <w:rFonts w:ascii="ITC Avant Garde" w:eastAsia="Times New Roman" w:hAnsi="ITC Avant Garde"/>
          <w:iCs/>
          <w:sz w:val="18"/>
          <w:szCs w:val="18"/>
          <w:lang w:val="es-ES" w:eastAsia="es-ES"/>
        </w:rPr>
        <w:t xml:space="preserve"> plazo que establece el penúltimo párrafo del artículo 129 en cita, para solicitar la intervención del regulador en el desacuerdo de redes interconectadas, no se trata de una vía optativa a la cual puedan acudir o no los concesionarios, sino que por el contrario, se trata de un requisito que debe ser observado a cabalidad tanto por el regulador como por los concesionarios, en la medida que su imposición fue prevista en la </w:t>
      </w:r>
      <w:proofErr w:type="spellStart"/>
      <w:r w:rsidRPr="007D2CEB">
        <w:rPr>
          <w:rFonts w:ascii="ITC Avant Garde" w:eastAsia="Times New Roman" w:hAnsi="ITC Avant Garde"/>
          <w:iCs/>
          <w:sz w:val="18"/>
          <w:szCs w:val="18"/>
          <w:lang w:val="es-ES" w:eastAsia="es-ES"/>
        </w:rPr>
        <w:t>LFTyR</w:t>
      </w:r>
      <w:proofErr w:type="spellEnd"/>
      <w:r w:rsidRPr="007D2CEB">
        <w:rPr>
          <w:rFonts w:ascii="ITC Avant Garde" w:eastAsia="Times New Roman" w:hAnsi="ITC Avant Garde"/>
          <w:iCs/>
          <w:sz w:val="18"/>
          <w:szCs w:val="18"/>
          <w:lang w:val="es-ES" w:eastAsia="es-ES"/>
        </w:rPr>
        <w:t xml:space="preserve"> como uno de los principales elementos definitorios del nuevo esquema de los procedimientos de desacuerdos de interconexión, que se introdujo con motivo de dicha ley, cuya finalidad consiste en que el establecimiento de las nuevas condiciones y tarifas que rijan la interconexión de redes se suscite hacia el futuro, y no al pasado como venía aconteciendo con anterioridad a la legislación de mérito.</w:t>
      </w:r>
    </w:p>
    <w:p w14:paraId="59D91A2F" w14:textId="77777777" w:rsidR="007D2CEB" w:rsidRPr="007D2CEB" w:rsidRDefault="00BD344A" w:rsidP="007D2CEB">
      <w:pPr>
        <w:spacing w:before="240"/>
        <w:ind w:left="567"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w:t>
      </w:r>
    </w:p>
    <w:p w14:paraId="1F9598EC" w14:textId="77777777" w:rsidR="007D2CEB" w:rsidRPr="007D2CEB" w:rsidRDefault="00BD344A" w:rsidP="007D2CEB">
      <w:pPr>
        <w:spacing w:before="240"/>
        <w:ind w:left="567"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Tampoco se vulnera el acceso a la justicia en agravio de los concesionarios, por traer como consecuencia la vigencia de condiciones y tarifas con las que ya no están de acuerdo, en la medida que la observancia del plazo de presentación de sus solicitudes de desacuerdo constituye una carga procesal meramente atribuible a ellos, habida cuenta que se trata de un plazo razonable para colmar los requisitos a fin de activar la intervención del IFT…</w:t>
      </w:r>
    </w:p>
    <w:p w14:paraId="46E24A14" w14:textId="77777777" w:rsidR="007D2CEB" w:rsidRPr="007D2CEB" w:rsidRDefault="00BD344A" w:rsidP="007D2CEB">
      <w:pPr>
        <w:spacing w:before="240"/>
        <w:ind w:left="567"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 xml:space="preserve">Con base en las consideraciones antes expuestas, si en el caso que nos ocupa la presentación de la solicitud de desacuerdo de la que derivó la resolución administrativa impugnada fue presentada hasta el veinticinco </w:t>
      </w:r>
      <w:r w:rsidR="0014372C" w:rsidRPr="007D2CEB">
        <w:rPr>
          <w:rFonts w:ascii="ITC Avant Garde" w:eastAsia="Times New Roman" w:hAnsi="ITC Avant Garde"/>
          <w:iCs/>
          <w:sz w:val="18"/>
          <w:szCs w:val="18"/>
          <w:lang w:val="es-ES" w:eastAsia="es-ES"/>
        </w:rPr>
        <w:t>de febrero</w:t>
      </w:r>
      <w:r w:rsidRPr="007D2CEB">
        <w:rPr>
          <w:rFonts w:ascii="ITC Avant Garde" w:eastAsia="Times New Roman" w:hAnsi="ITC Avant Garde"/>
          <w:iCs/>
          <w:sz w:val="18"/>
          <w:szCs w:val="18"/>
          <w:lang w:val="es-ES" w:eastAsia="es-ES"/>
        </w:rPr>
        <w:t xml:space="preserve"> de dos mil </w:t>
      </w:r>
      <w:r w:rsidR="0014372C" w:rsidRPr="007D2CEB">
        <w:rPr>
          <w:rFonts w:ascii="ITC Avant Garde" w:eastAsia="Times New Roman" w:hAnsi="ITC Avant Garde"/>
          <w:iCs/>
          <w:sz w:val="18"/>
          <w:szCs w:val="18"/>
          <w:lang w:val="es-ES" w:eastAsia="es-ES"/>
        </w:rPr>
        <w:t>dieciséis</w:t>
      </w:r>
      <w:r w:rsidRPr="007D2CEB">
        <w:rPr>
          <w:rFonts w:ascii="ITC Avant Garde" w:eastAsia="Times New Roman" w:hAnsi="ITC Avant Garde"/>
          <w:iCs/>
          <w:sz w:val="18"/>
          <w:szCs w:val="18"/>
          <w:lang w:val="es-ES" w:eastAsia="es-ES"/>
        </w:rPr>
        <w:t xml:space="preserve">, esto es, después del quince de julio de ese año, sin que de autos se desprenda una causa objetiva que justifique tal proceder, es inconcuso que se incumplió con la obligación impuesta en el artículo 129 de la </w:t>
      </w:r>
      <w:proofErr w:type="spellStart"/>
      <w:r w:rsidRPr="007D2CEB">
        <w:rPr>
          <w:rFonts w:ascii="ITC Avant Garde" w:eastAsia="Times New Roman" w:hAnsi="ITC Avant Garde"/>
          <w:iCs/>
          <w:sz w:val="18"/>
          <w:szCs w:val="18"/>
          <w:lang w:val="es-ES" w:eastAsia="es-ES"/>
        </w:rPr>
        <w:t>LFTyR</w:t>
      </w:r>
      <w:proofErr w:type="spellEnd"/>
      <w:r w:rsidRPr="007D2CEB">
        <w:rPr>
          <w:rFonts w:ascii="ITC Avant Garde" w:eastAsia="Times New Roman" w:hAnsi="ITC Avant Garde"/>
          <w:iCs/>
          <w:sz w:val="18"/>
          <w:szCs w:val="18"/>
          <w:lang w:val="es-ES" w:eastAsia="es-ES"/>
        </w:rPr>
        <w:t>, consecuentemente, el IFT no estaba en aptitud de resolver sobre dicha desavenencia, por lo que debió desechar la solicitud de mérito.</w:t>
      </w:r>
    </w:p>
    <w:p w14:paraId="37D2926E" w14:textId="77777777" w:rsidR="007D2CEB" w:rsidRPr="007D2CEB" w:rsidRDefault="00BD344A" w:rsidP="007D2CEB">
      <w:pPr>
        <w:spacing w:before="240"/>
        <w:ind w:left="567" w:right="567"/>
        <w:jc w:val="both"/>
        <w:rPr>
          <w:rFonts w:ascii="ITC Avant Garde" w:eastAsia="Times New Roman" w:hAnsi="ITC Avant Garde"/>
          <w:iCs/>
          <w:sz w:val="18"/>
          <w:szCs w:val="18"/>
          <w:lang w:val="es-ES" w:eastAsia="es-ES"/>
        </w:rPr>
      </w:pPr>
      <w:r w:rsidRPr="007D2CEB">
        <w:rPr>
          <w:rFonts w:ascii="ITC Avant Garde" w:eastAsia="Times New Roman" w:hAnsi="ITC Avant Garde"/>
          <w:iCs/>
          <w:sz w:val="18"/>
          <w:szCs w:val="18"/>
          <w:lang w:val="es-ES" w:eastAsia="es-ES"/>
        </w:rPr>
        <w:t>[…]</w:t>
      </w:r>
    </w:p>
    <w:p w14:paraId="072891CE" w14:textId="528B123E" w:rsidR="007D2CEB" w:rsidRPr="007D2CEB" w:rsidRDefault="00BD344A" w:rsidP="007D2CEB">
      <w:pPr>
        <w:spacing w:before="240"/>
        <w:ind w:left="567" w:right="567"/>
        <w:jc w:val="center"/>
        <w:rPr>
          <w:rFonts w:ascii="ITC Avant Garde" w:eastAsia="Times New Roman" w:hAnsi="ITC Avant Garde"/>
          <w:b/>
          <w:iCs/>
          <w:sz w:val="18"/>
          <w:szCs w:val="18"/>
          <w:lang w:val="es-ES_tradnl" w:eastAsia="es-ES"/>
        </w:rPr>
      </w:pPr>
      <w:r w:rsidRPr="007D2CEB">
        <w:rPr>
          <w:rFonts w:ascii="ITC Avant Garde" w:eastAsia="Times New Roman" w:hAnsi="ITC Avant Garde"/>
          <w:b/>
          <w:iCs/>
          <w:sz w:val="18"/>
          <w:szCs w:val="18"/>
          <w:lang w:val="es-ES_tradnl" w:eastAsia="es-ES"/>
        </w:rPr>
        <w:lastRenderedPageBreak/>
        <w:t>SE RESUELVE:</w:t>
      </w:r>
    </w:p>
    <w:p w14:paraId="31AAFB4E" w14:textId="77777777" w:rsidR="007D2CEB" w:rsidRPr="007D2CEB" w:rsidRDefault="00BD344A" w:rsidP="007D2CEB">
      <w:pPr>
        <w:widowControl w:val="0"/>
        <w:tabs>
          <w:tab w:val="left" w:pos="720"/>
          <w:tab w:val="center" w:pos="4419"/>
          <w:tab w:val="right" w:pos="8838"/>
        </w:tabs>
        <w:spacing w:before="240"/>
        <w:ind w:left="567" w:right="615"/>
        <w:jc w:val="both"/>
        <w:rPr>
          <w:rFonts w:ascii="ITC Avant Garde" w:eastAsia="Times New Roman" w:hAnsi="ITC Avant Garde" w:cs="Arial"/>
          <w:sz w:val="18"/>
          <w:szCs w:val="18"/>
        </w:rPr>
      </w:pPr>
      <w:r w:rsidRPr="007D2CEB">
        <w:rPr>
          <w:rFonts w:ascii="ITC Avant Garde" w:eastAsia="Times New Roman" w:hAnsi="ITC Avant Garde" w:cs="Arial"/>
          <w:b/>
          <w:sz w:val="18"/>
          <w:szCs w:val="18"/>
        </w:rPr>
        <w:t xml:space="preserve">PRIMERO. </w:t>
      </w:r>
      <w:r w:rsidRPr="007D2CEB">
        <w:rPr>
          <w:rFonts w:ascii="ITC Avant Garde" w:eastAsia="Times New Roman" w:hAnsi="ITC Avant Garde" w:cs="Arial"/>
          <w:sz w:val="18"/>
          <w:szCs w:val="18"/>
        </w:rPr>
        <w:t xml:space="preserve">Se </w:t>
      </w:r>
      <w:r w:rsidR="0014372C" w:rsidRPr="007D2CEB">
        <w:rPr>
          <w:rFonts w:ascii="ITC Avant Garde" w:eastAsia="Times New Roman" w:hAnsi="ITC Avant Garde" w:cs="Arial"/>
          <w:b/>
          <w:sz w:val="18"/>
          <w:szCs w:val="18"/>
        </w:rPr>
        <w:t>MODIFICA</w:t>
      </w:r>
      <w:r w:rsidRPr="007D2CEB">
        <w:rPr>
          <w:rFonts w:ascii="ITC Avant Garde" w:eastAsia="Times New Roman" w:hAnsi="ITC Avant Garde" w:cs="Arial"/>
          <w:sz w:val="18"/>
          <w:szCs w:val="18"/>
        </w:rPr>
        <w:t xml:space="preserve"> la sentencia </w:t>
      </w:r>
      <w:r w:rsidR="0014372C" w:rsidRPr="007D2CEB">
        <w:rPr>
          <w:rFonts w:ascii="ITC Avant Garde" w:eastAsia="Times New Roman" w:hAnsi="ITC Avant Garde" w:cs="Arial"/>
          <w:sz w:val="18"/>
          <w:szCs w:val="18"/>
        </w:rPr>
        <w:t>recurrida.</w:t>
      </w:r>
    </w:p>
    <w:p w14:paraId="16ABC929" w14:textId="77777777" w:rsidR="007D2CEB" w:rsidRPr="007D2CEB" w:rsidRDefault="00BD344A" w:rsidP="007D2CEB">
      <w:pPr>
        <w:widowControl w:val="0"/>
        <w:tabs>
          <w:tab w:val="left" w:pos="720"/>
          <w:tab w:val="center" w:pos="4419"/>
          <w:tab w:val="right" w:pos="8838"/>
        </w:tabs>
        <w:spacing w:before="240"/>
        <w:ind w:left="567" w:right="615"/>
        <w:jc w:val="both"/>
        <w:rPr>
          <w:rFonts w:ascii="ITC Avant Garde" w:eastAsia="Times New Roman" w:hAnsi="ITC Avant Garde" w:cs="Arial"/>
          <w:sz w:val="18"/>
          <w:szCs w:val="18"/>
        </w:rPr>
      </w:pPr>
      <w:r w:rsidRPr="007D2CEB">
        <w:rPr>
          <w:rFonts w:ascii="ITC Avant Garde" w:eastAsia="Times New Roman" w:hAnsi="ITC Avant Garde" w:cs="Arial"/>
          <w:b/>
          <w:sz w:val="18"/>
          <w:szCs w:val="18"/>
        </w:rPr>
        <w:t xml:space="preserve">SEGUNDO. </w:t>
      </w:r>
      <w:r w:rsidRPr="007D2CEB">
        <w:rPr>
          <w:rFonts w:ascii="ITC Avant Garde" w:eastAsia="Times New Roman" w:hAnsi="ITC Avant Garde" w:cs="Arial"/>
          <w:sz w:val="18"/>
          <w:szCs w:val="18"/>
        </w:rPr>
        <w:t xml:space="preserve">Se </w:t>
      </w:r>
      <w:r w:rsidR="0014372C" w:rsidRPr="007D2CEB">
        <w:rPr>
          <w:rFonts w:ascii="ITC Avant Garde" w:eastAsia="Times New Roman" w:hAnsi="ITC Avant Garde" w:cs="Arial"/>
          <w:b/>
          <w:sz w:val="18"/>
          <w:szCs w:val="18"/>
        </w:rPr>
        <w:t>SOBRESEE</w:t>
      </w:r>
      <w:r w:rsidR="0014372C" w:rsidRPr="007D2CEB">
        <w:rPr>
          <w:rFonts w:ascii="ITC Avant Garde" w:eastAsia="Times New Roman" w:hAnsi="ITC Avant Garde" w:cs="Arial"/>
          <w:sz w:val="18"/>
          <w:szCs w:val="18"/>
        </w:rPr>
        <w:t xml:space="preserve"> </w:t>
      </w:r>
      <w:r w:rsidRPr="007D2CEB">
        <w:rPr>
          <w:rFonts w:ascii="ITC Avant Garde" w:eastAsia="Times New Roman" w:hAnsi="ITC Avant Garde" w:cs="Arial"/>
          <w:sz w:val="18"/>
          <w:szCs w:val="18"/>
        </w:rPr>
        <w:t xml:space="preserve">en el juicio de amparo </w:t>
      </w:r>
      <w:r w:rsidR="0014372C" w:rsidRPr="007D2CEB">
        <w:rPr>
          <w:rFonts w:ascii="ITC Avant Garde" w:eastAsia="Times New Roman" w:hAnsi="ITC Avant Garde" w:cs="Arial"/>
          <w:sz w:val="18"/>
          <w:szCs w:val="18"/>
        </w:rPr>
        <w:t>respecto de los actos reclamados y la autoridad responsable precisados en el considerando octavo de esta ejecutoria.</w:t>
      </w:r>
    </w:p>
    <w:p w14:paraId="56BBFAFD" w14:textId="77777777" w:rsidR="007D2CEB" w:rsidRPr="007D2CEB" w:rsidRDefault="00BD344A" w:rsidP="007D2CEB">
      <w:pPr>
        <w:widowControl w:val="0"/>
        <w:tabs>
          <w:tab w:val="left" w:pos="720"/>
          <w:tab w:val="center" w:pos="4419"/>
          <w:tab w:val="right" w:pos="8838"/>
        </w:tabs>
        <w:spacing w:before="240"/>
        <w:ind w:left="567" w:right="615"/>
        <w:jc w:val="both"/>
        <w:rPr>
          <w:rFonts w:ascii="ITC Avant Garde" w:eastAsia="Times New Roman" w:hAnsi="ITC Avant Garde" w:cs="Arial"/>
          <w:sz w:val="18"/>
          <w:szCs w:val="18"/>
        </w:rPr>
      </w:pPr>
      <w:r w:rsidRPr="007D2CEB">
        <w:rPr>
          <w:rFonts w:ascii="ITC Avant Garde" w:eastAsia="Times New Roman" w:hAnsi="ITC Avant Garde" w:cs="Arial"/>
          <w:b/>
          <w:sz w:val="18"/>
          <w:szCs w:val="18"/>
        </w:rPr>
        <w:t>TERCERO.</w:t>
      </w:r>
      <w:r w:rsidRPr="007D2CEB">
        <w:rPr>
          <w:rFonts w:ascii="ITC Avant Garde" w:eastAsia="Times New Roman" w:hAnsi="ITC Avant Garde" w:cs="Arial"/>
          <w:sz w:val="18"/>
          <w:szCs w:val="18"/>
        </w:rPr>
        <w:t xml:space="preserve"> La Justicia de la Unión </w:t>
      </w:r>
      <w:r w:rsidR="0014372C" w:rsidRPr="007D2CEB">
        <w:rPr>
          <w:rFonts w:ascii="ITC Avant Garde" w:eastAsia="Times New Roman" w:hAnsi="ITC Avant Garde" w:cs="Arial"/>
          <w:b/>
          <w:sz w:val="18"/>
          <w:szCs w:val="18"/>
        </w:rPr>
        <w:t>AMPARA Y PROTEGE</w:t>
      </w:r>
      <w:r w:rsidR="0014372C" w:rsidRPr="007D2CEB">
        <w:rPr>
          <w:rFonts w:ascii="ITC Avant Garde" w:eastAsia="Times New Roman" w:hAnsi="ITC Avant Garde" w:cs="Arial"/>
          <w:sz w:val="18"/>
          <w:szCs w:val="18"/>
        </w:rPr>
        <w:t xml:space="preserve"> A </w:t>
      </w:r>
      <w:r w:rsidR="0014372C" w:rsidRPr="007D2CEB">
        <w:rPr>
          <w:rFonts w:ascii="ITC Avant Garde" w:eastAsia="Times New Roman" w:hAnsi="ITC Avant Garde" w:cs="Arial"/>
          <w:b/>
          <w:sz w:val="18"/>
          <w:szCs w:val="18"/>
        </w:rPr>
        <w:t>GRUPO AT&amp;T CELULLAR, AT&amp;T DESARROLLO EN COMUNICACIONES DE MÉXICO, AT&amp;T COMERCIALIZACIÓN MÓVIL Y AT&amp;T NORTE, TODAS SOCIEDADES DE RESPONSABILIDAD LIMIDATA DE CAPITAL VARIABLE</w:t>
      </w:r>
      <w:r w:rsidRPr="007D2CEB">
        <w:rPr>
          <w:rFonts w:ascii="ITC Avant Garde" w:eastAsia="Times New Roman" w:hAnsi="ITC Avant Garde" w:cs="Arial"/>
          <w:sz w:val="18"/>
          <w:szCs w:val="18"/>
        </w:rPr>
        <w:t xml:space="preserve">, en contra de la resolución reclamada </w:t>
      </w:r>
      <w:r w:rsidRPr="007D2CEB">
        <w:rPr>
          <w:rFonts w:ascii="ITC Avant Garde" w:eastAsia="Times New Roman" w:hAnsi="ITC Avant Garde" w:cs="Arial"/>
          <w:b/>
          <w:sz w:val="18"/>
          <w:szCs w:val="18"/>
        </w:rPr>
        <w:t>P/IFT/</w:t>
      </w:r>
      <w:r w:rsidR="0014372C" w:rsidRPr="007D2CEB">
        <w:rPr>
          <w:rFonts w:ascii="ITC Avant Garde" w:eastAsia="Times New Roman" w:hAnsi="ITC Avant Garde" w:cs="Arial"/>
          <w:b/>
          <w:sz w:val="18"/>
          <w:szCs w:val="18"/>
        </w:rPr>
        <w:t>080616/242</w:t>
      </w:r>
      <w:r w:rsidRPr="007D2CEB">
        <w:rPr>
          <w:rFonts w:ascii="ITC Avant Garde" w:eastAsia="Times New Roman" w:hAnsi="ITC Avant Garde" w:cs="Arial"/>
          <w:sz w:val="18"/>
          <w:szCs w:val="18"/>
        </w:rPr>
        <w:t xml:space="preserve"> de </w:t>
      </w:r>
      <w:r w:rsidR="0014372C" w:rsidRPr="007D2CEB">
        <w:rPr>
          <w:rFonts w:ascii="ITC Avant Garde" w:eastAsia="Times New Roman" w:hAnsi="ITC Avant Garde" w:cs="Arial"/>
          <w:sz w:val="18"/>
          <w:szCs w:val="18"/>
        </w:rPr>
        <w:t>ocho de junio</w:t>
      </w:r>
      <w:r w:rsidRPr="007D2CEB">
        <w:rPr>
          <w:rFonts w:ascii="ITC Avant Garde" w:eastAsia="Times New Roman" w:hAnsi="ITC Avant Garde" w:cs="Arial"/>
          <w:sz w:val="18"/>
          <w:szCs w:val="18"/>
        </w:rPr>
        <w:t xml:space="preserve"> de dos mil dieciséis, en términos de lo expuesto en este fallo.</w:t>
      </w:r>
    </w:p>
    <w:p w14:paraId="6FFD12A8" w14:textId="77777777" w:rsidR="007D2CEB" w:rsidRPr="007D2CEB" w:rsidRDefault="00BD344A" w:rsidP="007D2CEB">
      <w:pPr>
        <w:widowControl w:val="0"/>
        <w:tabs>
          <w:tab w:val="left" w:pos="720"/>
          <w:tab w:val="center" w:pos="4419"/>
          <w:tab w:val="right" w:pos="8838"/>
        </w:tabs>
        <w:spacing w:before="240"/>
        <w:ind w:left="567" w:right="615"/>
        <w:jc w:val="both"/>
        <w:rPr>
          <w:rFonts w:ascii="ITC Avant Garde" w:eastAsia="Times New Roman" w:hAnsi="ITC Avant Garde" w:cs="Arial"/>
          <w:sz w:val="18"/>
          <w:szCs w:val="18"/>
        </w:rPr>
      </w:pPr>
      <w:r w:rsidRPr="007D2CEB">
        <w:rPr>
          <w:rFonts w:ascii="ITC Avant Garde" w:eastAsia="Times New Roman" w:hAnsi="ITC Avant Garde" w:cs="Arial"/>
          <w:sz w:val="18"/>
          <w:szCs w:val="18"/>
        </w:rPr>
        <w:t>[…]»</w:t>
      </w:r>
    </w:p>
    <w:p w14:paraId="5271A3A2" w14:textId="77777777" w:rsidR="007D2CEB" w:rsidRPr="007D2CEB" w:rsidRDefault="00BD344A" w:rsidP="007D2CEB">
      <w:pPr>
        <w:widowControl w:val="0"/>
        <w:tabs>
          <w:tab w:val="left" w:pos="720"/>
          <w:tab w:val="center" w:pos="4419"/>
          <w:tab w:val="right" w:pos="8838"/>
        </w:tabs>
        <w:spacing w:before="240"/>
        <w:jc w:val="both"/>
        <w:rPr>
          <w:rFonts w:ascii="ITC Avant Garde" w:eastAsia="Times New Roman" w:hAnsi="ITC Avant Garde" w:cs="Arial"/>
          <w:szCs w:val="20"/>
        </w:rPr>
      </w:pPr>
      <w:r w:rsidRPr="007D2CEB">
        <w:rPr>
          <w:rFonts w:ascii="ITC Avant Garde" w:eastAsia="Times New Roman" w:hAnsi="ITC Avant Garde" w:cs="Arial"/>
          <w:szCs w:val="20"/>
        </w:rPr>
        <w:t>En consecuencia, con fecha 06 de junio de 2017, se recibió en la Oficialía de Partes de este Instituto, la ejecutoria correspondiente al amparo en revisión R.A. 1</w:t>
      </w:r>
      <w:r w:rsidR="006B5E33" w:rsidRPr="007D2CEB">
        <w:rPr>
          <w:rFonts w:ascii="ITC Avant Garde" w:eastAsia="Times New Roman" w:hAnsi="ITC Avant Garde" w:cs="Arial"/>
          <w:szCs w:val="20"/>
        </w:rPr>
        <w:t>65</w:t>
      </w:r>
      <w:r w:rsidRPr="007D2CEB">
        <w:rPr>
          <w:rFonts w:ascii="ITC Avant Garde" w:eastAsia="Times New Roman" w:hAnsi="ITC Avant Garde" w:cs="Arial"/>
          <w:szCs w:val="20"/>
        </w:rPr>
        <w:t xml:space="preserve">/2016, de fecha </w:t>
      </w:r>
      <w:r w:rsidR="006B5E33" w:rsidRPr="007D2CEB">
        <w:rPr>
          <w:rFonts w:ascii="ITC Avant Garde" w:eastAsia="Times New Roman" w:hAnsi="ITC Avant Garde" w:cs="Arial"/>
          <w:szCs w:val="20"/>
        </w:rPr>
        <w:t>25</w:t>
      </w:r>
      <w:r w:rsidRPr="007D2CEB">
        <w:rPr>
          <w:rFonts w:ascii="ITC Avant Garde" w:eastAsia="Times New Roman" w:hAnsi="ITC Avant Garde" w:cs="Arial"/>
          <w:szCs w:val="20"/>
        </w:rPr>
        <w:t xml:space="preserve"> de mayo de 2017, emitida por el Primer Tribunal Colegiado de Circuito </w:t>
      </w:r>
      <w:r w:rsidRPr="007D2CEB">
        <w:rPr>
          <w:rFonts w:ascii="ITC Avant Garde" w:eastAsia="Times New Roman" w:hAnsi="ITC Avant Garde"/>
          <w:szCs w:val="20"/>
        </w:rPr>
        <w:t xml:space="preserve">en Materia Administrativa especializado en Competencia Económica, Radiodifusión y Telecomunicaciones </w:t>
      </w:r>
      <w:r w:rsidRPr="007D2CEB">
        <w:rPr>
          <w:rFonts w:ascii="ITC Avant Garde" w:eastAsia="Times New Roman" w:hAnsi="ITC Avant Garde" w:cs="Arial"/>
          <w:szCs w:val="20"/>
        </w:rPr>
        <w:t>con residencia en la Ciudad de México y jurisdicción en toda la República.</w:t>
      </w:r>
    </w:p>
    <w:p w14:paraId="38025254" w14:textId="77777777" w:rsidR="007D2CEB" w:rsidRPr="007D2CEB" w:rsidRDefault="00BD344A" w:rsidP="007D2CEB">
      <w:pPr>
        <w:widowControl w:val="0"/>
        <w:tabs>
          <w:tab w:val="left" w:pos="720"/>
          <w:tab w:val="center" w:pos="4419"/>
          <w:tab w:val="right" w:pos="8838"/>
        </w:tabs>
        <w:spacing w:before="240"/>
        <w:jc w:val="both"/>
        <w:rPr>
          <w:rFonts w:ascii="ITC Avant Garde" w:eastAsia="Times New Roman" w:hAnsi="ITC Avant Garde" w:cs="Arial"/>
          <w:szCs w:val="20"/>
        </w:rPr>
      </w:pPr>
      <w:r w:rsidRPr="007D2CEB">
        <w:rPr>
          <w:rFonts w:ascii="ITC Avant Garde" w:eastAsia="Times New Roman" w:hAnsi="ITC Avant Garde" w:cs="Arial"/>
          <w:szCs w:val="20"/>
        </w:rPr>
        <w:t>En ese sentido, toda vez que de los preceptos citados en el presente Considerando, así como de los razonamientos expuestos por el Tribunal de alzada en la citada ejecutoria, se estimó que “</w:t>
      </w:r>
      <w:r w:rsidR="00C02587" w:rsidRPr="007D2CEB">
        <w:rPr>
          <w:rFonts w:ascii="ITC Avant Garde" w:eastAsia="Times New Roman" w:hAnsi="ITC Avant Garde" w:cs="Arial"/>
          <w:szCs w:val="20"/>
        </w:rPr>
        <w:t xml:space="preserve">la presentación de la solicitud de desacuerdo de la que derivó la resolución administrativa impugnada fue presentada hasta el veinticinco de febrero de dos mil dieciséis, esto es, después del quince de julio de ese año, sin que de autos se desprenda una causa objetiva que justifique tal proceder, es inconcuso que se incumplió con la obligación impuesta en el artículo 129 de la </w:t>
      </w:r>
      <w:proofErr w:type="spellStart"/>
      <w:r w:rsidR="00C02587" w:rsidRPr="007D2CEB">
        <w:rPr>
          <w:rFonts w:ascii="ITC Avant Garde" w:eastAsia="Times New Roman" w:hAnsi="ITC Avant Garde" w:cs="Arial"/>
          <w:szCs w:val="20"/>
        </w:rPr>
        <w:t>LFTyR</w:t>
      </w:r>
      <w:proofErr w:type="spellEnd"/>
      <w:r w:rsidR="00C02587" w:rsidRPr="007D2CEB">
        <w:rPr>
          <w:rFonts w:ascii="ITC Avant Garde" w:eastAsia="Times New Roman" w:hAnsi="ITC Avant Garde" w:cs="Arial"/>
          <w:szCs w:val="20"/>
        </w:rPr>
        <w:t>, consecuentemente, el IFT no estaba en aptitud de resolver sobre dicha desavenencia, por lo que debió desechar la solicitud de mérito</w:t>
      </w:r>
      <w:r w:rsidRPr="007D2CEB">
        <w:rPr>
          <w:rFonts w:ascii="ITC Avant Garde" w:eastAsia="Times New Roman" w:hAnsi="ITC Avant Garde" w:cs="Arial"/>
          <w:szCs w:val="20"/>
        </w:rPr>
        <w:t>”.</w:t>
      </w:r>
    </w:p>
    <w:p w14:paraId="5BE8B09B" w14:textId="77777777" w:rsidR="007D2CEB" w:rsidRPr="007D2CEB" w:rsidRDefault="00BD344A" w:rsidP="007D2CEB">
      <w:pPr>
        <w:pStyle w:val="Textoindependiente"/>
        <w:widowControl w:val="0"/>
        <w:tabs>
          <w:tab w:val="left" w:pos="720"/>
          <w:tab w:val="center" w:pos="4419"/>
          <w:tab w:val="right" w:pos="8838"/>
        </w:tabs>
        <w:spacing w:before="240" w:after="200" w:line="276" w:lineRule="auto"/>
        <w:rPr>
          <w:rFonts w:ascii="ITC Avant Garde" w:hAnsi="ITC Avant Garde" w:cs="Arial"/>
        </w:rPr>
      </w:pPr>
      <w:r w:rsidRPr="007D2CEB">
        <w:rPr>
          <w:rFonts w:ascii="ITC Avant Garde" w:hAnsi="ITC Avant Garde" w:cs="Arial"/>
        </w:rPr>
        <w:t xml:space="preserve">Para efectos de lo anterior, y en cumplimiento a la citada ejecutoria, el Pleno del Instituto </w:t>
      </w:r>
      <w:r w:rsidR="00E560FE" w:rsidRPr="007D2CEB">
        <w:rPr>
          <w:rFonts w:ascii="ITC Avant Garde" w:hAnsi="ITC Avant Garde" w:cs="Arial"/>
        </w:rPr>
        <w:t xml:space="preserve">deja </w:t>
      </w:r>
      <w:r w:rsidRPr="007D2CEB">
        <w:rPr>
          <w:rFonts w:ascii="ITC Avant Garde" w:hAnsi="ITC Avant Garde" w:cs="Arial"/>
        </w:rPr>
        <w:t xml:space="preserve">insubsistente la resolución de fecha </w:t>
      </w:r>
      <w:r w:rsidR="00C02587" w:rsidRPr="007D2CEB">
        <w:rPr>
          <w:rFonts w:ascii="ITC Avant Garde" w:hAnsi="ITC Avant Garde" w:cs="Arial"/>
        </w:rPr>
        <w:t>8 de junio</w:t>
      </w:r>
      <w:r w:rsidRPr="007D2CEB">
        <w:rPr>
          <w:rFonts w:ascii="ITC Avant Garde" w:hAnsi="ITC Avant Garde" w:cs="Arial"/>
        </w:rPr>
        <w:t xml:space="preserve"> de 2016, contenida en el Acuerdo P/IFT/</w:t>
      </w:r>
      <w:r w:rsidR="00C02587" w:rsidRPr="007D2CEB">
        <w:rPr>
          <w:rFonts w:ascii="ITC Avant Garde" w:hAnsi="ITC Avant Garde" w:cs="Arial"/>
        </w:rPr>
        <w:t>080616</w:t>
      </w:r>
      <w:r w:rsidRPr="007D2CEB">
        <w:rPr>
          <w:rFonts w:ascii="ITC Avant Garde" w:hAnsi="ITC Avant Garde" w:cs="Arial"/>
        </w:rPr>
        <w:t>/</w:t>
      </w:r>
      <w:r w:rsidR="00C02587" w:rsidRPr="007D2CEB">
        <w:rPr>
          <w:rFonts w:ascii="ITC Avant Garde" w:hAnsi="ITC Avant Garde" w:cs="Arial"/>
        </w:rPr>
        <w:t>242</w:t>
      </w:r>
      <w:r w:rsidRPr="007D2CEB">
        <w:rPr>
          <w:rFonts w:ascii="ITC Avant Garde" w:hAnsi="ITC Avant Garde" w:cs="Arial"/>
        </w:rPr>
        <w:t xml:space="preserve">, y </w:t>
      </w:r>
      <w:r w:rsidR="00E560FE" w:rsidRPr="007D2CEB">
        <w:rPr>
          <w:rFonts w:ascii="ITC Avant Garde" w:hAnsi="ITC Avant Garde" w:cs="Arial"/>
        </w:rPr>
        <w:t>en éste acto desecha</w:t>
      </w:r>
      <w:r w:rsidRPr="007D2CEB">
        <w:rPr>
          <w:rFonts w:ascii="ITC Avant Garde" w:hAnsi="ITC Avant Garde" w:cs="Arial"/>
        </w:rPr>
        <w:t xml:space="preserve"> la Solicitud de Resolución presentada el 25 de </w:t>
      </w:r>
      <w:r w:rsidR="00C02587" w:rsidRPr="007D2CEB">
        <w:rPr>
          <w:rFonts w:ascii="ITC Avant Garde" w:hAnsi="ITC Avant Garde" w:cs="Arial"/>
        </w:rPr>
        <w:t>febrero de 2016</w:t>
      </w:r>
      <w:r w:rsidRPr="007D2CEB">
        <w:rPr>
          <w:rFonts w:ascii="ITC Avant Garde" w:hAnsi="ITC Avant Garde" w:cs="Arial"/>
        </w:rPr>
        <w:t xml:space="preserve"> por </w:t>
      </w:r>
      <w:proofErr w:type="spellStart"/>
      <w:r w:rsidRPr="007D2CEB">
        <w:rPr>
          <w:rFonts w:ascii="ITC Avant Garde" w:hAnsi="ITC Avant Garde" w:cs="Arial"/>
        </w:rPr>
        <w:t>Ma</w:t>
      </w:r>
      <w:r w:rsidR="00C02587" w:rsidRPr="007D2CEB">
        <w:rPr>
          <w:rFonts w:ascii="ITC Avant Garde" w:hAnsi="ITC Avant Garde" w:cs="Arial"/>
        </w:rPr>
        <w:t>xcom</w:t>
      </w:r>
      <w:proofErr w:type="spellEnd"/>
      <w:r w:rsidR="00E560FE" w:rsidRPr="007D2CEB">
        <w:rPr>
          <w:rFonts w:ascii="ITC Avant Garde" w:hAnsi="ITC Avant Garde" w:cs="Arial"/>
        </w:rPr>
        <w:t xml:space="preserve">, </w:t>
      </w:r>
      <w:r w:rsidR="00E560FE" w:rsidRPr="007D2CEB">
        <w:rPr>
          <w:rFonts w:ascii="ITC Avant Garde" w:hAnsi="ITC Avant Garde" w:cs="Helvetica"/>
          <w:lang w:eastAsia="es-MX"/>
        </w:rPr>
        <w:t>en virtud de que no se actualizó la hipótesis normativa contenida en el penúltimo párrafo del artículo 129 de la Ley Federal de Telecomunicaciones y Radiodifusión, consistente en presentar ante el Instituto Federal de Telecomunicaciones, la solicitud de resolución sobre el desacuerdo de interconexión, a más tardar el 15 de julio de cada año, a fin de que las condiciones de interconexión no convenidas entre concesionarios, incluyendo las tarifas, se resuelvan antes del 15 de diciembre e inicien su vigencia el 1 de enero del siguiente año</w:t>
      </w:r>
      <w:r w:rsidRPr="007D2CEB">
        <w:rPr>
          <w:rFonts w:ascii="ITC Avant Garde" w:hAnsi="ITC Avant Garde" w:cs="Arial"/>
        </w:rPr>
        <w:t>.</w:t>
      </w:r>
    </w:p>
    <w:p w14:paraId="69DFBE9A" w14:textId="44E68E2A" w:rsidR="007D2CEB" w:rsidRPr="007D2CEB" w:rsidRDefault="00EC2FB4" w:rsidP="007D2CEB">
      <w:pPr>
        <w:pStyle w:val="Textoindependiente"/>
        <w:spacing w:before="240" w:after="200" w:line="276" w:lineRule="auto"/>
        <w:rPr>
          <w:rFonts w:ascii="ITC Avant Garde" w:hAnsi="ITC Avant Garde" w:cs="Arial"/>
          <w:bCs/>
          <w:lang w:val="es-ES"/>
        </w:rPr>
      </w:pPr>
      <w:r w:rsidRPr="007D2CEB">
        <w:rPr>
          <w:rFonts w:ascii="ITC Avant Garde" w:hAnsi="ITC Avant Garde" w:cs="Arial"/>
          <w:b/>
          <w:bCs/>
        </w:rPr>
        <w:t xml:space="preserve">SEGUNDO.- </w:t>
      </w:r>
      <w:r w:rsidR="00263D02" w:rsidRPr="007D2CEB">
        <w:rPr>
          <w:rFonts w:ascii="ITC Avant Garde" w:hAnsi="ITC Avant Garde" w:cs="Arial"/>
          <w:b/>
          <w:bCs/>
          <w:lang w:val="es-ES"/>
        </w:rPr>
        <w:t xml:space="preserve">Competencia del Instituto. </w:t>
      </w:r>
      <w:r w:rsidR="00263D02" w:rsidRPr="007D2CEB">
        <w:rPr>
          <w:rFonts w:ascii="ITC Avant Garde" w:hAnsi="ITC Avant Garde" w:cs="Arial"/>
          <w:bCs/>
          <w:lang w:val="es-ES"/>
        </w:rPr>
        <w:t>De conformidad con los artíc</w:t>
      </w:r>
      <w:r w:rsidR="00423CD8" w:rsidRPr="007D2CEB">
        <w:rPr>
          <w:rFonts w:ascii="ITC Avant Garde" w:hAnsi="ITC Avant Garde" w:cs="Arial"/>
          <w:bCs/>
          <w:lang w:val="es-ES"/>
        </w:rPr>
        <w:t>ulos 6, apartado B fracción II y</w:t>
      </w:r>
      <w:r w:rsidR="00263D02" w:rsidRPr="007D2CEB">
        <w:rPr>
          <w:rFonts w:ascii="ITC Avant Garde" w:hAnsi="ITC Avant Garde" w:cs="Arial"/>
          <w:bCs/>
          <w:lang w:val="es-ES"/>
        </w:rPr>
        <w:t xml:space="preserve"> 28, párrafos décimo quinto y décimo sexto de la Constitución Política de los </w:t>
      </w:r>
      <w:r w:rsidR="00263D02" w:rsidRPr="007D2CEB">
        <w:rPr>
          <w:rFonts w:ascii="ITC Avant Garde" w:hAnsi="ITC Avant Garde" w:cs="Arial"/>
          <w:bCs/>
          <w:lang w:val="es-ES"/>
        </w:rPr>
        <w:lastRenderedPageBreak/>
        <w:t xml:space="preserve">Estados Unidos Mexicanos (en lo sucesivo, la “Constitución”) y 7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r w:rsidR="009A2C72" w:rsidRPr="007D2CEB">
        <w:rPr>
          <w:rFonts w:ascii="ITC Avant Garde" w:hAnsi="ITC Avant Garde" w:cs="Arial"/>
          <w:bCs/>
          <w:lang w:val="es-ES"/>
        </w:rPr>
        <w:t>LFTR</w:t>
      </w:r>
      <w:r w:rsidR="00263D02" w:rsidRPr="007D2CEB">
        <w:rPr>
          <w:rFonts w:ascii="ITC Avant Garde" w:hAnsi="ITC Avant Garde" w:cs="Arial"/>
          <w:bCs/>
          <w:lang w:val="es-ES"/>
        </w:rPr>
        <w:t xml:space="preserve"> y demás disposiciones aplicables. </w:t>
      </w:r>
    </w:p>
    <w:p w14:paraId="17D5FFD0" w14:textId="77777777" w:rsidR="007D2CEB" w:rsidRPr="007D2CEB" w:rsidRDefault="00263D02" w:rsidP="007D2CEB">
      <w:pPr>
        <w:pStyle w:val="Textoindependiente"/>
        <w:spacing w:before="240" w:after="200" w:line="276" w:lineRule="auto"/>
        <w:rPr>
          <w:rFonts w:ascii="ITC Avant Garde" w:hAnsi="ITC Avant Garde" w:cs="Arial"/>
          <w:bCs/>
          <w:lang w:val="es-ES"/>
        </w:rPr>
      </w:pPr>
      <w:r w:rsidRPr="007D2CEB">
        <w:rPr>
          <w:rFonts w:ascii="ITC Avant Garde" w:hAnsi="ITC Avant Garde" w:cs="Arial"/>
          <w:bCs/>
          <w:lang w:val="es-ES"/>
        </w:rPr>
        <w:t>Con fundamento en los artículos 7, 15, fracción X, 17, fracción I y 129 de la LFTR, el Pleno del Instituto está facultado, de manera exclusiva e indelegable, para resolver y establecer l</w:t>
      </w:r>
      <w:r w:rsidR="00423CD8" w:rsidRPr="007D2CEB">
        <w:rPr>
          <w:rFonts w:ascii="ITC Avant Garde" w:hAnsi="ITC Avant Garde" w:cs="Arial"/>
          <w:bCs/>
          <w:lang w:val="es-ES"/>
        </w:rPr>
        <w:t xml:space="preserve">os términos, </w:t>
      </w:r>
      <w:r w:rsidRPr="007D2CEB">
        <w:rPr>
          <w:rFonts w:ascii="ITC Avant Garde" w:hAnsi="ITC Avant Garde" w:cs="Arial"/>
          <w:bCs/>
          <w:lang w:val="es-ES"/>
        </w:rPr>
        <w:t xml:space="preserve">condiciones </w:t>
      </w:r>
      <w:r w:rsidR="00423CD8" w:rsidRPr="007D2CEB">
        <w:rPr>
          <w:rFonts w:ascii="ITC Avant Garde" w:hAnsi="ITC Avant Garde" w:cs="Arial"/>
          <w:bCs/>
          <w:lang w:val="es-ES"/>
        </w:rPr>
        <w:t xml:space="preserve">y tarifas </w:t>
      </w:r>
      <w:r w:rsidRPr="007D2CEB">
        <w:rPr>
          <w:rFonts w:ascii="ITC Avant Garde" w:hAnsi="ITC Avant Garde" w:cs="Arial"/>
          <w:bCs/>
          <w:lang w:val="es-ES"/>
        </w:rPr>
        <w:t>de interconexión que no hayan podido convenir los concesionarios respecto de sus redes públicas de telecomunicaciones, una vez que se solicite su intervención.</w:t>
      </w:r>
    </w:p>
    <w:p w14:paraId="6ECA1CA5" w14:textId="08CC11DD" w:rsidR="002D150A" w:rsidRPr="007D2CEB" w:rsidRDefault="00263D02" w:rsidP="007D2CEB">
      <w:pPr>
        <w:pStyle w:val="Textoindependiente"/>
        <w:spacing w:before="240" w:after="200" w:line="276" w:lineRule="auto"/>
        <w:rPr>
          <w:rFonts w:ascii="ITC Avant Garde" w:hAnsi="ITC Avant Garde" w:cs="Arial"/>
          <w:bCs/>
          <w:lang w:val="es-ES"/>
        </w:rPr>
      </w:pPr>
      <w:r w:rsidRPr="007D2CEB">
        <w:rPr>
          <w:rFonts w:ascii="ITC Avant Garde" w:hAnsi="ITC Avant Garde" w:cs="Arial"/>
          <w:bCs/>
          <w:lang w:val="es-ES"/>
        </w:rPr>
        <w:t>Por lo anterior y de conformidad con lo dispuesto en los artículos indicados, el Pleno del Instituto es competente para emitir la presente Resolución</w:t>
      </w:r>
      <w:r w:rsidR="00EC2FB4" w:rsidRPr="007D2CEB">
        <w:rPr>
          <w:rFonts w:ascii="ITC Avant Garde" w:hAnsi="ITC Avant Garde" w:cs="Arial"/>
          <w:bCs/>
          <w:lang w:val="es-ES"/>
        </w:rPr>
        <w:t>.</w:t>
      </w:r>
    </w:p>
    <w:p w14:paraId="44B2E967" w14:textId="77777777" w:rsidR="007D2CEB" w:rsidRPr="007D2CEB" w:rsidRDefault="00B057D7" w:rsidP="007D2CEB">
      <w:pPr>
        <w:spacing w:before="240"/>
        <w:jc w:val="both"/>
        <w:rPr>
          <w:rFonts w:ascii="ITC Avant Garde" w:hAnsi="ITC Avant Garde"/>
        </w:rPr>
      </w:pPr>
      <w:bookmarkStart w:id="2" w:name="fundamentos"/>
      <w:bookmarkEnd w:id="0"/>
      <w:bookmarkEnd w:id="1"/>
      <w:r w:rsidRPr="007D2CEB">
        <w:rPr>
          <w:rFonts w:ascii="ITC Avant Garde" w:hAnsi="ITC Avant Garde"/>
        </w:rPr>
        <w:t xml:space="preserve">Con base en lo anterior y con fundamento en lo dispuesto por los artículos, 28, párrafo décimo </w:t>
      </w:r>
      <w:r w:rsidR="009C1555" w:rsidRPr="007D2CEB">
        <w:rPr>
          <w:rFonts w:ascii="ITC Avant Garde" w:hAnsi="ITC Avant Garde"/>
        </w:rPr>
        <w:t xml:space="preserve">quinto </w:t>
      </w:r>
      <w:r w:rsidRPr="007D2CEB">
        <w:rPr>
          <w:rFonts w:ascii="ITC Avant Garde" w:hAnsi="ITC Avant Garde"/>
        </w:rPr>
        <w:t xml:space="preserve">y décimo </w:t>
      </w:r>
      <w:r w:rsidR="009C1555" w:rsidRPr="007D2CEB">
        <w:rPr>
          <w:rFonts w:ascii="ITC Avant Garde" w:hAnsi="ITC Avant Garde"/>
        </w:rPr>
        <w:t xml:space="preserve">sexto </w:t>
      </w:r>
      <w:r w:rsidRPr="007D2CEB">
        <w:rPr>
          <w:rFonts w:ascii="ITC Avant Garde" w:hAnsi="ITC Avant Garde"/>
        </w:rPr>
        <w:t>de la Constitución Política de los Estados Unidos Mexicanos; 6, fracci</w:t>
      </w:r>
      <w:r w:rsidR="00EC2FB4" w:rsidRPr="007D2CEB">
        <w:rPr>
          <w:rFonts w:ascii="ITC Avant Garde" w:hAnsi="ITC Avant Garde"/>
        </w:rPr>
        <w:t>ón</w:t>
      </w:r>
      <w:r w:rsidRPr="007D2CEB">
        <w:rPr>
          <w:rFonts w:ascii="ITC Avant Garde" w:hAnsi="ITC Avant Garde"/>
        </w:rPr>
        <w:t xml:space="preserve"> IV</w:t>
      </w:r>
      <w:r w:rsidR="00EC2FB4" w:rsidRPr="007D2CEB">
        <w:rPr>
          <w:rFonts w:ascii="ITC Avant Garde" w:hAnsi="ITC Avant Garde"/>
        </w:rPr>
        <w:t>,</w:t>
      </w:r>
      <w:r w:rsidRPr="007D2CEB">
        <w:rPr>
          <w:rFonts w:ascii="ITC Avant Garde" w:hAnsi="ITC Avant Garde"/>
        </w:rPr>
        <w:t xml:space="preserve"> 15, fracción X, 17, fracción I, 129</w:t>
      </w:r>
      <w:r w:rsidR="002356E2" w:rsidRPr="007D2CEB">
        <w:rPr>
          <w:rFonts w:ascii="ITC Avant Garde" w:hAnsi="ITC Avant Garde"/>
        </w:rPr>
        <w:t>,</w:t>
      </w:r>
      <w:r w:rsidRPr="007D2CEB">
        <w:rPr>
          <w:rFonts w:ascii="ITC Avant Garde" w:hAnsi="ITC Avant Garde"/>
        </w:rPr>
        <w:t xml:space="preserve"> 312 y 313 de la Ley Federal de Telecomunicaciones y Radiodifusión; 32, 35, fracción I, 36, 38, 39 y 57 fracción I de la Ley Federal de Procedimiento Administrativo; y 4 fracción I y 6, fracción XXXVII</w:t>
      </w:r>
      <w:r w:rsidR="00EC2FB4" w:rsidRPr="007D2CEB">
        <w:rPr>
          <w:rFonts w:ascii="ITC Avant Garde" w:hAnsi="ITC Avant Garde"/>
        </w:rPr>
        <w:t>I</w:t>
      </w:r>
      <w:r w:rsidRPr="007D2CEB">
        <w:rPr>
          <w:rFonts w:ascii="ITC Avant Garde" w:hAnsi="ITC Avant Garde"/>
        </w:rPr>
        <w:t xml:space="preserve"> del Estatuto Orgánico del Instituto Federal de Telecomunicaciones, el Pleno del Instituto Federal de Telecomunicaciones emite los siguientes:</w:t>
      </w:r>
      <w:bookmarkEnd w:id="2"/>
    </w:p>
    <w:p w14:paraId="03CB3600" w14:textId="77777777" w:rsidR="007D2CEB" w:rsidRPr="007D2CEB" w:rsidRDefault="003F3A78" w:rsidP="007D2CEB">
      <w:pPr>
        <w:pStyle w:val="Ttulo2"/>
        <w:keepLines/>
        <w:spacing w:before="40" w:after="240" w:line="276" w:lineRule="auto"/>
        <w:jc w:val="center"/>
        <w:rPr>
          <w:rFonts w:ascii="ITC Avant Garde" w:eastAsiaTheme="majorEastAsia" w:hAnsi="ITC Avant Garde" w:cstheme="majorBidi"/>
          <w:color w:val="000000" w:themeColor="text1"/>
          <w:szCs w:val="22"/>
        </w:rPr>
      </w:pPr>
      <w:r w:rsidRPr="007D2CEB">
        <w:rPr>
          <w:rFonts w:ascii="ITC Avant Garde" w:eastAsiaTheme="majorEastAsia" w:hAnsi="ITC Avant Garde" w:cstheme="majorBidi"/>
          <w:color w:val="000000" w:themeColor="text1"/>
          <w:szCs w:val="22"/>
        </w:rPr>
        <w:t>RESOLUTIVOS</w:t>
      </w:r>
    </w:p>
    <w:p w14:paraId="161055BC" w14:textId="77777777" w:rsidR="007D2CEB" w:rsidRPr="007D2CEB" w:rsidRDefault="00834517" w:rsidP="007D2CEB">
      <w:pPr>
        <w:spacing w:before="240"/>
        <w:jc w:val="both"/>
        <w:rPr>
          <w:rFonts w:ascii="ITC Avant Garde" w:eastAsia="Times New Roman" w:hAnsi="ITC Avant Garde"/>
          <w:bCs/>
          <w:lang w:eastAsia="es-ES"/>
        </w:rPr>
      </w:pPr>
      <w:r w:rsidRPr="007D2CEB">
        <w:rPr>
          <w:rFonts w:ascii="ITC Avant Garde" w:hAnsi="ITC Avant Garde" w:cs="Arial"/>
          <w:b/>
        </w:rPr>
        <w:t>PRIMERO</w:t>
      </w:r>
      <w:r w:rsidRPr="007D2CEB">
        <w:rPr>
          <w:rFonts w:ascii="ITC Avant Garde" w:hAnsi="ITC Avant Garde" w:cs="Arial"/>
        </w:rPr>
        <w:t xml:space="preserve">.- </w:t>
      </w:r>
      <w:r w:rsidR="00F01B7B" w:rsidRPr="007D2CEB">
        <w:rPr>
          <w:rFonts w:ascii="ITC Avant Garde" w:eastAsia="Times New Roman" w:hAnsi="ITC Avant Garde"/>
          <w:bCs/>
          <w:lang w:eastAsia="es-ES"/>
        </w:rPr>
        <w:t>Se deja insubsistente la RESOLUCIÓN MEDIANTE LA CUAL EL PLENO DEL INSTITUTO FEDERAL DE TELECOMUNICACIONES DETERMINA LAS CONDICIONES DE INTERCONEXIÓN NO CONVENIDAS ENTRE LA EMPRESA MAXCOM TELECOMUNICACIONES, S.A.B. DE C.V., Y LAS EMPRESAS GRUPO AT&amp;T CELULLAR, S. DE R.L. DE C.V., AT&amp;T COMERCIALIZACIÓN MÓVIL, S. DE R.L. DE C.V., AT&amp;T NORTE, S. DE R.L. DE C.V. Y AT&amp;T DESARROLLO EN COMUNICACIONES DE MÉXICO, S. DE R.L. DE C.V., APLICABLES DEL 1 DE ENERO AL 31 DE DICIEMBRE DE 2016., emitida mediante Acuerdo P/IFT/080616/242 en cumplimiento a la ejecutoria de fecha 25 de mayo de 2017, emitida por el Primer Tribunal Colegiado de Circuito en Materia Administrativa Especializado en Competencia Económica, Radiodifusión y Telecomunicaciones correspondiente al amparo en revisión R.A.165/2016.</w:t>
      </w:r>
    </w:p>
    <w:p w14:paraId="56A1D0CA" w14:textId="35B5AF3C" w:rsidR="00FC3E7F" w:rsidRPr="007D2CEB" w:rsidRDefault="00F46DF5" w:rsidP="007D2CEB">
      <w:pPr>
        <w:spacing w:before="240"/>
        <w:jc w:val="both"/>
        <w:rPr>
          <w:rFonts w:ascii="ITC Avant Garde" w:eastAsia="Times New Roman" w:hAnsi="ITC Avant Garde"/>
          <w:iCs/>
          <w:sz w:val="18"/>
          <w:szCs w:val="24"/>
          <w:lang w:eastAsia="es-ES"/>
        </w:rPr>
      </w:pPr>
      <w:r w:rsidRPr="007D2CEB">
        <w:rPr>
          <w:rFonts w:ascii="ITC Avant Garde" w:hAnsi="ITC Avant Garde" w:cs="Arial"/>
          <w:b/>
        </w:rPr>
        <w:t xml:space="preserve">SEGUNDO.- </w:t>
      </w:r>
      <w:r w:rsidR="004C0882" w:rsidRPr="007D2CEB">
        <w:rPr>
          <w:rFonts w:ascii="ITC Avant Garde" w:hAnsi="ITC Avant Garde" w:cs="Arial"/>
        </w:rPr>
        <w:t xml:space="preserve">Se desecha el escrito presentado ante el Instituto Federal de Telecomunicaciones, el 25 de febrero de 2016, por el apoderado legal de </w:t>
      </w:r>
      <w:proofErr w:type="spellStart"/>
      <w:r w:rsidR="004C0882" w:rsidRPr="007D2CEB">
        <w:rPr>
          <w:rFonts w:ascii="ITC Avant Garde" w:hAnsi="ITC Avant Garde" w:cs="Arial"/>
        </w:rPr>
        <w:t>Maxcom</w:t>
      </w:r>
      <w:proofErr w:type="spellEnd"/>
      <w:r w:rsidR="004C0882" w:rsidRPr="007D2CEB">
        <w:rPr>
          <w:rFonts w:ascii="ITC Avant Garde" w:hAnsi="ITC Avant Garde" w:cs="Arial"/>
        </w:rPr>
        <w:t xml:space="preserve"> Telecomunicaciones, S.A.B. de C.V., mediante el cual solicitó su intervención para resolver los términos, tarifas y condiciones que no pudo convenir con las empresas AT&amp;T </w:t>
      </w:r>
      <w:r w:rsidR="004C0882" w:rsidRPr="007D2CEB">
        <w:rPr>
          <w:rFonts w:ascii="ITC Avant Garde" w:hAnsi="ITC Avant Garde" w:cs="Arial"/>
        </w:rPr>
        <w:lastRenderedPageBreak/>
        <w:t xml:space="preserve">Comercialización Móvil, S. de R.L. de C.V., Grupo AT&amp;T </w:t>
      </w:r>
      <w:proofErr w:type="spellStart"/>
      <w:r w:rsidR="004C0882" w:rsidRPr="007D2CEB">
        <w:rPr>
          <w:rFonts w:ascii="ITC Avant Garde" w:hAnsi="ITC Avant Garde" w:cs="Arial"/>
        </w:rPr>
        <w:t>Celullar</w:t>
      </w:r>
      <w:proofErr w:type="spellEnd"/>
      <w:r w:rsidR="004C0882" w:rsidRPr="007D2CEB">
        <w:rPr>
          <w:rFonts w:ascii="ITC Avant Garde" w:hAnsi="ITC Avant Garde" w:cs="Arial"/>
        </w:rPr>
        <w:t>, S. de R.L. de C.V., AT&amp;T Norte, S. de R.L. de C.V. y AT&amp;T Desarrollo en Comunicaciones de México, S. de R.L. de C.V.; en virtud de que no se actualizó la hipótesis normativa contenida en el penúltimo párrafo del artículo 129 de la Ley Federal de Telecomunicaciones y Radiodifusión, consistente en presentar ante el Instituto Federal de Telecomunicaciones, la solicitud de resolución sobre el desacuerdo de interconexión, a más tardar el 15 de julio de cada año, a fin de que las condiciones de interconexión no convenidas entre concesionarios, incluyendo las tarifas, se resuelvan antes del 15 de diciembre e inicien su vigencia el 1 de enero del siguiente año.</w:t>
      </w:r>
    </w:p>
    <w:p w14:paraId="240CE6CB" w14:textId="08EA5810" w:rsidR="00F46DF5" w:rsidRPr="007D2CEB" w:rsidRDefault="00F46DF5" w:rsidP="007D2CEB">
      <w:pPr>
        <w:spacing w:before="240"/>
        <w:jc w:val="both"/>
        <w:rPr>
          <w:rFonts w:ascii="ITC Avant Garde" w:hAnsi="ITC Avant Garde" w:cs="Arial"/>
        </w:rPr>
      </w:pPr>
      <w:r w:rsidRPr="007D2CEB">
        <w:rPr>
          <w:rFonts w:ascii="ITC Avant Garde" w:hAnsi="ITC Avant Garde" w:cs="Arial"/>
          <w:b/>
        </w:rPr>
        <w:t xml:space="preserve">TERCERO.- </w:t>
      </w:r>
      <w:r w:rsidRPr="007D2CEB">
        <w:rPr>
          <w:rFonts w:ascii="ITC Avant Garde" w:hAnsi="ITC Avant Garde" w:cs="Arial"/>
        </w:rPr>
        <w:t xml:space="preserve">Notifíquese personalmente a los representantes legales </w:t>
      </w:r>
      <w:r w:rsidR="004616C0" w:rsidRPr="007D2CEB">
        <w:rPr>
          <w:rFonts w:ascii="ITC Avant Garde" w:hAnsi="ITC Avant Garde"/>
          <w:shd w:val="clear" w:color="auto" w:fill="FFFFFF"/>
        </w:rPr>
        <w:t xml:space="preserve">de la empresa </w:t>
      </w:r>
      <w:proofErr w:type="spellStart"/>
      <w:r w:rsidR="004616C0" w:rsidRPr="007D2CEB">
        <w:rPr>
          <w:rFonts w:ascii="ITC Avant Garde" w:hAnsi="ITC Avant Garde"/>
          <w:shd w:val="clear" w:color="auto" w:fill="FFFFFF"/>
        </w:rPr>
        <w:t>Maxcom</w:t>
      </w:r>
      <w:proofErr w:type="spellEnd"/>
      <w:r w:rsidR="004616C0" w:rsidRPr="007D2CEB">
        <w:rPr>
          <w:rFonts w:ascii="ITC Avant Garde" w:hAnsi="ITC Avant Garde"/>
          <w:shd w:val="clear" w:color="auto" w:fill="FFFFFF"/>
        </w:rPr>
        <w:t xml:space="preserve"> Telecomunicaciones, S.A.B. de C.V. y </w:t>
      </w:r>
      <w:r w:rsidR="004616C0" w:rsidRPr="007D2CEB">
        <w:rPr>
          <w:rFonts w:ascii="ITC Avant Garde" w:hAnsi="ITC Avant Garde"/>
        </w:rPr>
        <w:t xml:space="preserve">las empresas </w:t>
      </w:r>
      <w:r w:rsidR="004616C0" w:rsidRPr="007D2CEB">
        <w:rPr>
          <w:rFonts w:ascii="ITC Avant Garde" w:hAnsi="ITC Avant Garde" w:cs="Helvetica"/>
          <w:lang w:eastAsia="es-MX"/>
        </w:rPr>
        <w:t xml:space="preserve">AT&amp;T Comercialización Móvil, S. de R.L. de C.V., Grupo AT&amp;T </w:t>
      </w:r>
      <w:proofErr w:type="spellStart"/>
      <w:r w:rsidR="004616C0" w:rsidRPr="007D2CEB">
        <w:rPr>
          <w:rFonts w:ascii="ITC Avant Garde" w:hAnsi="ITC Avant Garde" w:cs="Helvetica"/>
          <w:lang w:eastAsia="es-MX"/>
        </w:rPr>
        <w:t>Celullar</w:t>
      </w:r>
      <w:proofErr w:type="spellEnd"/>
      <w:r w:rsidR="004616C0" w:rsidRPr="007D2CEB">
        <w:rPr>
          <w:rFonts w:ascii="ITC Avant Garde" w:hAnsi="ITC Avant Garde" w:cs="Helvetica"/>
          <w:lang w:eastAsia="es-MX"/>
        </w:rPr>
        <w:t>, S. de R.L. de C.V., AT&amp;T Norte, S. de R.L. de C.V. y AT&amp;T Desarrollo en Comunicaciones de México, S. de R.L. de C.V.</w:t>
      </w:r>
      <w:r w:rsidRPr="007D2CEB">
        <w:rPr>
          <w:rFonts w:ascii="ITC Avant Garde" w:eastAsia="Times New Roman" w:hAnsi="ITC Avant Garde"/>
          <w:bCs/>
          <w:lang w:val="es-ES" w:eastAsia="es-ES"/>
        </w:rPr>
        <w:t>,</w:t>
      </w:r>
      <w:r w:rsidRPr="007D2CEB">
        <w:rPr>
          <w:rFonts w:ascii="ITC Avant Garde" w:hAnsi="ITC Avant Garde"/>
        </w:rPr>
        <w:t xml:space="preserve"> </w:t>
      </w:r>
      <w:r w:rsidRPr="007D2CEB">
        <w:rPr>
          <w:rFonts w:ascii="ITC Avant Garde" w:hAnsi="ITC Avant Garde" w:cs="Arial"/>
          <w:bCs/>
        </w:rPr>
        <w:t>el</w:t>
      </w:r>
      <w:r w:rsidRPr="007D2CEB">
        <w:rPr>
          <w:rFonts w:ascii="ITC Avant Garde" w:hAnsi="ITC Avant Garde" w:cs="Arial"/>
        </w:rPr>
        <w:t xml:space="preserve"> contenido de la presente Resolución, en términos de lo establecido en el artículo 129 fracción VIII de la Ley Federal de Telecomunicaciones y Radiodifusión.</w:t>
      </w:r>
    </w:p>
    <w:p w14:paraId="4126021E" w14:textId="77777777" w:rsidR="007D2CEB" w:rsidRPr="007D2CEB" w:rsidRDefault="003063EF" w:rsidP="007D2CEB">
      <w:pPr>
        <w:spacing w:before="240" w:line="240" w:lineRule="auto"/>
        <w:jc w:val="both"/>
        <w:rPr>
          <w:rFonts w:ascii="ITC Avant Garde" w:hAnsi="ITC Avant Garde"/>
          <w:sz w:val="14"/>
          <w:szCs w:val="14"/>
          <w:lang w:val="es-ES"/>
        </w:rPr>
      </w:pPr>
      <w:r w:rsidRPr="007D2CEB">
        <w:rPr>
          <w:rFonts w:ascii="ITC Avant Garde" w:hAnsi="ITC Avant Garde"/>
          <w:sz w:val="14"/>
          <w:szCs w:val="14"/>
          <w:lang w:val="es-ES"/>
        </w:rPr>
        <w:t xml:space="preserve">La presente Resolución fue aprobada por el Pleno del Instituto Federal de Telecomunicaciones en su XXVII Sesión Ordinaria celebrada el 28 de junio de 2017, por </w:t>
      </w:r>
      <w:r w:rsidRPr="007D2CEB">
        <w:rPr>
          <w:rFonts w:ascii="ITC Avant Garde" w:hAnsi="ITC Avant Garde"/>
          <w:bCs/>
          <w:sz w:val="14"/>
          <w:szCs w:val="14"/>
          <w:lang w:val="es-ES"/>
        </w:rPr>
        <w:t>unanimidad</w:t>
      </w:r>
      <w:r w:rsidRPr="007D2CEB">
        <w:rPr>
          <w:rFonts w:ascii="ITC Avant Garde" w:hAnsi="ITC Avant Garde"/>
          <w:sz w:val="14"/>
          <w:szCs w:val="14"/>
          <w:lang w:val="es-ES"/>
        </w:rPr>
        <w:t xml:space="preserve"> de votos de los Comisionados Gabriel Oswaldo Contreras Saldívar, Adriana Sofía </w:t>
      </w:r>
      <w:proofErr w:type="spellStart"/>
      <w:r w:rsidRPr="007D2CEB">
        <w:rPr>
          <w:rFonts w:ascii="ITC Avant Garde" w:hAnsi="ITC Avant Garde"/>
          <w:sz w:val="14"/>
          <w:szCs w:val="14"/>
          <w:lang w:val="es-ES"/>
        </w:rPr>
        <w:t>Labardini</w:t>
      </w:r>
      <w:proofErr w:type="spellEnd"/>
      <w:r w:rsidRPr="007D2CEB">
        <w:rPr>
          <w:rFonts w:ascii="ITC Avant Garde" w:hAnsi="ITC Avant Garde"/>
          <w:sz w:val="14"/>
          <w:szCs w:val="14"/>
          <w:lang w:val="es-ES"/>
        </w:rPr>
        <w:t xml:space="preserve"> </w:t>
      </w:r>
      <w:proofErr w:type="spellStart"/>
      <w:r w:rsidRPr="007D2CEB">
        <w:rPr>
          <w:rFonts w:ascii="ITC Avant Garde" w:hAnsi="ITC Avant Garde"/>
          <w:sz w:val="14"/>
          <w:szCs w:val="14"/>
          <w:lang w:val="es-ES"/>
        </w:rPr>
        <w:t>Inzunza</w:t>
      </w:r>
      <w:proofErr w:type="spellEnd"/>
      <w:r w:rsidRPr="007D2CEB">
        <w:rPr>
          <w:rFonts w:ascii="ITC Avant Garde" w:hAnsi="ITC Avant Garde"/>
          <w:sz w:val="14"/>
          <w:szCs w:val="14"/>
          <w:lang w:val="es-ES"/>
        </w:rPr>
        <w:t xml:space="preserve">, María Elena </w:t>
      </w:r>
      <w:proofErr w:type="spellStart"/>
      <w:r w:rsidRPr="007D2CEB">
        <w:rPr>
          <w:rFonts w:ascii="ITC Avant Garde" w:hAnsi="ITC Avant Garde"/>
          <w:sz w:val="14"/>
          <w:szCs w:val="14"/>
          <w:lang w:val="es-ES"/>
        </w:rPr>
        <w:t>Estavillo</w:t>
      </w:r>
      <w:proofErr w:type="spellEnd"/>
      <w:r w:rsidRPr="007D2CEB">
        <w:rPr>
          <w:rFonts w:ascii="ITC Avant Garde" w:hAnsi="ITC Avant Garde"/>
          <w:sz w:val="14"/>
          <w:szCs w:val="14"/>
          <w:lang w:val="es-ES"/>
        </w:rPr>
        <w:t xml:space="preserve"> Flores, Mario Germán </w:t>
      </w:r>
      <w:proofErr w:type="spellStart"/>
      <w:r w:rsidRPr="007D2CEB">
        <w:rPr>
          <w:rFonts w:ascii="ITC Avant Garde" w:hAnsi="ITC Avant Garde"/>
          <w:sz w:val="14"/>
          <w:szCs w:val="14"/>
          <w:lang w:val="es-ES"/>
        </w:rPr>
        <w:t>Fromow</w:t>
      </w:r>
      <w:proofErr w:type="spellEnd"/>
      <w:r w:rsidRPr="007D2CEB">
        <w:rPr>
          <w:rFonts w:ascii="ITC Avant Garde" w:hAnsi="ITC Avant Garde"/>
          <w:sz w:val="14"/>
          <w:szCs w:val="14"/>
          <w:lang w:val="es-ES"/>
        </w:rPr>
        <w:t xml:space="preserve"> Rangel, Adolfo Cuevas Teja, Javier Juárez Mojica y Arturo Robles </w:t>
      </w:r>
      <w:proofErr w:type="spellStart"/>
      <w:r w:rsidRPr="007D2CEB">
        <w:rPr>
          <w:rFonts w:ascii="ITC Avant Garde" w:hAnsi="ITC Avant Garde"/>
          <w:sz w:val="14"/>
          <w:szCs w:val="14"/>
          <w:lang w:val="es-ES"/>
        </w:rPr>
        <w:t>Rovalo</w:t>
      </w:r>
      <w:proofErr w:type="spellEnd"/>
      <w:r w:rsidRPr="007D2CEB">
        <w:rPr>
          <w:rFonts w:ascii="ITC Avant Garde" w:hAnsi="ITC Avant Garde"/>
          <w:sz w:val="14"/>
          <w:szCs w:val="14"/>
          <w:lang w:val="es-ES"/>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P/IFT/280617/365.</w:t>
      </w:r>
    </w:p>
    <w:p w14:paraId="6ADB26B0" w14:textId="27429A4B" w:rsidR="000D5C9F" w:rsidRPr="007D2CEB" w:rsidRDefault="003063EF" w:rsidP="007D2CEB">
      <w:pPr>
        <w:spacing w:before="240" w:line="240" w:lineRule="auto"/>
        <w:jc w:val="both"/>
        <w:rPr>
          <w:rFonts w:ascii="ITC Avant Garde" w:eastAsia="Times New Roman" w:hAnsi="ITC Avant Garde" w:cs="Arial"/>
          <w:sz w:val="14"/>
          <w:szCs w:val="14"/>
          <w:lang w:eastAsia="es-MX"/>
        </w:rPr>
      </w:pPr>
      <w:r w:rsidRPr="007D2CEB">
        <w:rPr>
          <w:rFonts w:ascii="ITC Avant Garde" w:hAnsi="ITC Avant Garde"/>
          <w:sz w:val="14"/>
          <w:szCs w:val="14"/>
          <w:lang w:val="es-ES"/>
        </w:rPr>
        <w:t xml:space="preserve">El Comisionado Arturo Robles </w:t>
      </w:r>
      <w:proofErr w:type="spellStart"/>
      <w:r w:rsidRPr="007D2CEB">
        <w:rPr>
          <w:rFonts w:ascii="ITC Avant Garde" w:hAnsi="ITC Avant Garde"/>
          <w:sz w:val="14"/>
          <w:szCs w:val="14"/>
          <w:lang w:val="es-ES"/>
        </w:rPr>
        <w:t>Rovalo</w:t>
      </w:r>
      <w:proofErr w:type="spellEnd"/>
      <w:r w:rsidRPr="007D2CEB">
        <w:rPr>
          <w:rFonts w:ascii="ITC Avant Garde" w:hAnsi="ITC Avant Garde"/>
          <w:sz w:val="14"/>
          <w:szCs w:val="14"/>
          <w:lang w:val="es-ES"/>
        </w:rPr>
        <w:t>,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Start w:id="3" w:name="_GoBack"/>
      <w:bookmarkEnd w:id="3"/>
    </w:p>
    <w:sectPr w:rsidR="000D5C9F" w:rsidRPr="007D2CEB" w:rsidSect="002D2CEB">
      <w:headerReference w:type="even" r:id="rId11"/>
      <w:footerReference w:type="default" r:id="rId12"/>
      <w:headerReference w:type="first" r:id="rId13"/>
      <w:pgSz w:w="12240" w:h="15840"/>
      <w:pgMar w:top="1985"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213CC" w14:textId="77777777" w:rsidR="000519C7" w:rsidRDefault="000519C7" w:rsidP="00072BC8">
      <w:pPr>
        <w:spacing w:after="0" w:line="240" w:lineRule="auto"/>
      </w:pPr>
      <w:r>
        <w:separator/>
      </w:r>
    </w:p>
  </w:endnote>
  <w:endnote w:type="continuationSeparator" w:id="0">
    <w:p w14:paraId="23AA2632" w14:textId="77777777" w:rsidR="000519C7" w:rsidRDefault="000519C7" w:rsidP="00072BC8">
      <w:pPr>
        <w:spacing w:after="0" w:line="240" w:lineRule="auto"/>
      </w:pPr>
      <w:r>
        <w:continuationSeparator/>
      </w:r>
    </w:p>
  </w:endnote>
  <w:endnote w:type="continuationNotice" w:id="1">
    <w:p w14:paraId="6992264F" w14:textId="77777777" w:rsidR="000519C7" w:rsidRDefault="000519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5974131"/>
      <w:docPartObj>
        <w:docPartGallery w:val="Page Numbers (Bottom of Page)"/>
        <w:docPartUnique/>
      </w:docPartObj>
    </w:sdtPr>
    <w:sdtEndPr>
      <w:rPr>
        <w:rFonts w:ascii="ITC Avant Garde" w:hAnsi="ITC Avant Garde"/>
        <w:sz w:val="20"/>
        <w:szCs w:val="20"/>
      </w:rPr>
    </w:sdtEndPr>
    <w:sdtContent>
      <w:p w14:paraId="10FF8410" w14:textId="3FF24CC4" w:rsidR="00B81DDD" w:rsidRPr="00CB4A2D" w:rsidRDefault="002B30F0" w:rsidP="007D2CEB">
        <w:pPr>
          <w:pStyle w:val="Piedepgina"/>
          <w:jc w:val="right"/>
          <w:rPr>
            <w:rFonts w:ascii="ITC Avant Garde" w:hAnsi="ITC Avant Garde"/>
            <w:sz w:val="20"/>
            <w:szCs w:val="20"/>
          </w:rPr>
        </w:pPr>
        <w:r w:rsidRPr="002B30F0">
          <w:rPr>
            <w:rFonts w:ascii="ITC Avant Garde" w:hAnsi="ITC Avant Garde"/>
            <w:sz w:val="20"/>
            <w:szCs w:val="20"/>
          </w:rPr>
          <w:fldChar w:fldCharType="begin"/>
        </w:r>
        <w:r w:rsidRPr="002B30F0">
          <w:rPr>
            <w:rFonts w:ascii="ITC Avant Garde" w:hAnsi="ITC Avant Garde"/>
            <w:sz w:val="20"/>
            <w:szCs w:val="20"/>
          </w:rPr>
          <w:instrText>PAGE   \* MERGEFORMAT</w:instrText>
        </w:r>
        <w:r w:rsidRPr="002B30F0">
          <w:rPr>
            <w:rFonts w:ascii="ITC Avant Garde" w:hAnsi="ITC Avant Garde"/>
            <w:sz w:val="20"/>
            <w:szCs w:val="20"/>
          </w:rPr>
          <w:fldChar w:fldCharType="separate"/>
        </w:r>
        <w:r w:rsidR="002D2CEB" w:rsidRPr="002D2CEB">
          <w:rPr>
            <w:rFonts w:ascii="ITC Avant Garde" w:hAnsi="ITC Avant Garde"/>
            <w:noProof/>
            <w:sz w:val="20"/>
            <w:szCs w:val="20"/>
            <w:lang w:val="es-ES"/>
          </w:rPr>
          <w:t>11</w:t>
        </w:r>
        <w:r w:rsidRPr="002B30F0">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88D7A" w14:textId="77777777" w:rsidR="000519C7" w:rsidRDefault="000519C7" w:rsidP="00072BC8">
      <w:pPr>
        <w:spacing w:after="0" w:line="240" w:lineRule="auto"/>
      </w:pPr>
      <w:r>
        <w:separator/>
      </w:r>
    </w:p>
  </w:footnote>
  <w:footnote w:type="continuationSeparator" w:id="0">
    <w:p w14:paraId="5EF3E66A" w14:textId="77777777" w:rsidR="000519C7" w:rsidRDefault="000519C7" w:rsidP="00072BC8">
      <w:pPr>
        <w:spacing w:after="0" w:line="240" w:lineRule="auto"/>
      </w:pPr>
      <w:r>
        <w:continuationSeparator/>
      </w:r>
    </w:p>
  </w:footnote>
  <w:footnote w:type="continuationNotice" w:id="1">
    <w:p w14:paraId="725277E5" w14:textId="77777777" w:rsidR="000519C7" w:rsidRDefault="000519C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7C76E" w14:textId="77777777" w:rsidR="00B81DDD" w:rsidRDefault="000519C7">
    <w:pPr>
      <w:pStyle w:val="Encabezado"/>
    </w:pPr>
    <w:r>
      <w:rPr>
        <w:noProof/>
        <w:lang w:eastAsia="es-MX"/>
      </w:rPr>
      <w:pict w14:anchorId="2A145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CF26D" w14:textId="77777777" w:rsidR="00B81DDD" w:rsidRDefault="000519C7">
    <w:pPr>
      <w:pStyle w:val="Encabezado"/>
    </w:pPr>
    <w:r>
      <w:rPr>
        <w:noProof/>
        <w:lang w:eastAsia="es-MX"/>
      </w:rPr>
      <w:pict w14:anchorId="6A252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AE776AB"/>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D5CC6"/>
    <w:multiLevelType w:val="hybridMultilevel"/>
    <w:tmpl w:val="A7A0564E"/>
    <w:lvl w:ilvl="0" w:tplc="41D2A16E">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912643"/>
    <w:multiLevelType w:val="hybridMultilevel"/>
    <w:tmpl w:val="478AC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7" w15:restartNumberingAfterBreak="0">
    <w:nsid w:val="279E2123"/>
    <w:multiLevelType w:val="hybridMultilevel"/>
    <w:tmpl w:val="CE4A66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491A8F"/>
    <w:multiLevelType w:val="hybridMultilevel"/>
    <w:tmpl w:val="10166A5E"/>
    <w:lvl w:ilvl="0" w:tplc="078612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0"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CB0D24"/>
    <w:multiLevelType w:val="hybridMultilevel"/>
    <w:tmpl w:val="F2E83FC6"/>
    <w:lvl w:ilvl="0" w:tplc="4490DC16">
      <w:start w:val="1"/>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7522131"/>
    <w:multiLevelType w:val="hybridMultilevel"/>
    <w:tmpl w:val="4E1AD56C"/>
    <w:lvl w:ilvl="0" w:tplc="8EEC7DF6">
      <w:start w:val="1"/>
      <w:numFmt w:val="upperRoman"/>
      <w:suff w:val="space"/>
      <w:lvlText w:val="%1.-"/>
      <w:lvlJc w:val="left"/>
      <w:pPr>
        <w:ind w:left="284" w:hanging="284"/>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471AAA"/>
    <w:multiLevelType w:val="hybridMultilevel"/>
    <w:tmpl w:val="1E725B6C"/>
    <w:lvl w:ilvl="0" w:tplc="B9C6687E">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E47B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010AD9"/>
    <w:multiLevelType w:val="hybridMultilevel"/>
    <w:tmpl w:val="16284898"/>
    <w:lvl w:ilvl="0" w:tplc="B35A35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9"/>
  </w:num>
  <w:num w:numId="3">
    <w:abstractNumId w:val="20"/>
  </w:num>
  <w:num w:numId="4">
    <w:abstractNumId w:val="0"/>
  </w:num>
  <w:num w:numId="5">
    <w:abstractNumId w:val="1"/>
  </w:num>
  <w:num w:numId="6">
    <w:abstractNumId w:val="15"/>
  </w:num>
  <w:num w:numId="7">
    <w:abstractNumId w:val="10"/>
  </w:num>
  <w:num w:numId="8">
    <w:abstractNumId w:val="18"/>
  </w:num>
  <w:num w:numId="9">
    <w:abstractNumId w:val="6"/>
  </w:num>
  <w:num w:numId="10">
    <w:abstractNumId w:val="13"/>
  </w:num>
  <w:num w:numId="11">
    <w:abstractNumId w:val="5"/>
  </w:num>
  <w:num w:numId="12">
    <w:abstractNumId w:val="21"/>
  </w:num>
  <w:num w:numId="13">
    <w:abstractNumId w:val="4"/>
  </w:num>
  <w:num w:numId="14">
    <w:abstractNumId w:val="12"/>
  </w:num>
  <w:num w:numId="15">
    <w:abstractNumId w:val="24"/>
  </w:num>
  <w:num w:numId="16">
    <w:abstractNumId w:val="7"/>
  </w:num>
  <w:num w:numId="17">
    <w:abstractNumId w:val="17"/>
  </w:num>
  <w:num w:numId="18">
    <w:abstractNumId w:val="8"/>
  </w:num>
  <w:num w:numId="19">
    <w:abstractNumId w:val="22"/>
  </w:num>
  <w:num w:numId="20">
    <w:abstractNumId w:val="23"/>
  </w:num>
  <w:num w:numId="21">
    <w:abstractNumId w:val="14"/>
  </w:num>
  <w:num w:numId="22">
    <w:abstractNumId w:val="2"/>
  </w:num>
  <w:num w:numId="23">
    <w:abstractNumId w:val="3"/>
  </w:num>
  <w:num w:numId="24">
    <w:abstractNumId w:val="11"/>
  </w:num>
  <w:num w:numId="2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83B"/>
    <w:rsid w:val="00001B0A"/>
    <w:rsid w:val="00002BEE"/>
    <w:rsid w:val="000036B5"/>
    <w:rsid w:val="00003A4B"/>
    <w:rsid w:val="00006174"/>
    <w:rsid w:val="00007AB3"/>
    <w:rsid w:val="0001103B"/>
    <w:rsid w:val="00011447"/>
    <w:rsid w:val="00011EAA"/>
    <w:rsid w:val="000136DC"/>
    <w:rsid w:val="000154B0"/>
    <w:rsid w:val="00020418"/>
    <w:rsid w:val="000208BA"/>
    <w:rsid w:val="000211BE"/>
    <w:rsid w:val="00021B04"/>
    <w:rsid w:val="00021C46"/>
    <w:rsid w:val="0002234C"/>
    <w:rsid w:val="00025077"/>
    <w:rsid w:val="00027F64"/>
    <w:rsid w:val="00030850"/>
    <w:rsid w:val="00031706"/>
    <w:rsid w:val="00031C1F"/>
    <w:rsid w:val="00034EC4"/>
    <w:rsid w:val="000358CA"/>
    <w:rsid w:val="000377C2"/>
    <w:rsid w:val="00037FCD"/>
    <w:rsid w:val="00042E7E"/>
    <w:rsid w:val="0004325F"/>
    <w:rsid w:val="000453C0"/>
    <w:rsid w:val="0004752B"/>
    <w:rsid w:val="000477C5"/>
    <w:rsid w:val="000519C7"/>
    <w:rsid w:val="000528DE"/>
    <w:rsid w:val="00052CBB"/>
    <w:rsid w:val="00052DF6"/>
    <w:rsid w:val="00055DF9"/>
    <w:rsid w:val="000563A7"/>
    <w:rsid w:val="00060D36"/>
    <w:rsid w:val="00062749"/>
    <w:rsid w:val="000637E5"/>
    <w:rsid w:val="00066708"/>
    <w:rsid w:val="00066950"/>
    <w:rsid w:val="00067018"/>
    <w:rsid w:val="00071002"/>
    <w:rsid w:val="00071382"/>
    <w:rsid w:val="000718F8"/>
    <w:rsid w:val="000720EE"/>
    <w:rsid w:val="0007254D"/>
    <w:rsid w:val="00072910"/>
    <w:rsid w:val="00072A16"/>
    <w:rsid w:val="00072B1B"/>
    <w:rsid w:val="00072BC8"/>
    <w:rsid w:val="00073C19"/>
    <w:rsid w:val="00073DDC"/>
    <w:rsid w:val="00074558"/>
    <w:rsid w:val="0007607F"/>
    <w:rsid w:val="0007621B"/>
    <w:rsid w:val="000772A2"/>
    <w:rsid w:val="00081503"/>
    <w:rsid w:val="00081B80"/>
    <w:rsid w:val="00081CF8"/>
    <w:rsid w:val="00081CFB"/>
    <w:rsid w:val="000834C7"/>
    <w:rsid w:val="00083ECA"/>
    <w:rsid w:val="00084C7B"/>
    <w:rsid w:val="00085E22"/>
    <w:rsid w:val="00085EF4"/>
    <w:rsid w:val="000901D2"/>
    <w:rsid w:val="00090BCF"/>
    <w:rsid w:val="000917BD"/>
    <w:rsid w:val="00094753"/>
    <w:rsid w:val="00096D65"/>
    <w:rsid w:val="00096FE1"/>
    <w:rsid w:val="00097822"/>
    <w:rsid w:val="000978F0"/>
    <w:rsid w:val="000A05E5"/>
    <w:rsid w:val="000A1DD2"/>
    <w:rsid w:val="000A2091"/>
    <w:rsid w:val="000A281B"/>
    <w:rsid w:val="000A2AF8"/>
    <w:rsid w:val="000A5E4A"/>
    <w:rsid w:val="000A7797"/>
    <w:rsid w:val="000A7D62"/>
    <w:rsid w:val="000B08AF"/>
    <w:rsid w:val="000B0DC1"/>
    <w:rsid w:val="000B0E30"/>
    <w:rsid w:val="000B1F46"/>
    <w:rsid w:val="000B334C"/>
    <w:rsid w:val="000B34CF"/>
    <w:rsid w:val="000B3735"/>
    <w:rsid w:val="000B48AE"/>
    <w:rsid w:val="000C1E21"/>
    <w:rsid w:val="000C1F38"/>
    <w:rsid w:val="000C27E7"/>
    <w:rsid w:val="000C2CF4"/>
    <w:rsid w:val="000C4877"/>
    <w:rsid w:val="000C6B4B"/>
    <w:rsid w:val="000C6E06"/>
    <w:rsid w:val="000C6FC6"/>
    <w:rsid w:val="000D0335"/>
    <w:rsid w:val="000D04CA"/>
    <w:rsid w:val="000D1A16"/>
    <w:rsid w:val="000D2F82"/>
    <w:rsid w:val="000D3419"/>
    <w:rsid w:val="000D3646"/>
    <w:rsid w:val="000D4354"/>
    <w:rsid w:val="000D4A3A"/>
    <w:rsid w:val="000D5AED"/>
    <w:rsid w:val="000D5C9F"/>
    <w:rsid w:val="000E12BA"/>
    <w:rsid w:val="000E2DBC"/>
    <w:rsid w:val="000E305E"/>
    <w:rsid w:val="000E58A2"/>
    <w:rsid w:val="000E6467"/>
    <w:rsid w:val="000E64BE"/>
    <w:rsid w:val="000E6F53"/>
    <w:rsid w:val="000F0D2D"/>
    <w:rsid w:val="000F3205"/>
    <w:rsid w:val="000F3AAC"/>
    <w:rsid w:val="000F4101"/>
    <w:rsid w:val="000F5BEC"/>
    <w:rsid w:val="000F6FB5"/>
    <w:rsid w:val="00100400"/>
    <w:rsid w:val="001021C6"/>
    <w:rsid w:val="00102C7D"/>
    <w:rsid w:val="00103379"/>
    <w:rsid w:val="00104688"/>
    <w:rsid w:val="00104C74"/>
    <w:rsid w:val="00105069"/>
    <w:rsid w:val="00106523"/>
    <w:rsid w:val="00106D4D"/>
    <w:rsid w:val="001100CF"/>
    <w:rsid w:val="0011030F"/>
    <w:rsid w:val="00110D47"/>
    <w:rsid w:val="00111CD0"/>
    <w:rsid w:val="0011208D"/>
    <w:rsid w:val="00112BB0"/>
    <w:rsid w:val="00113916"/>
    <w:rsid w:val="00114E25"/>
    <w:rsid w:val="001175D7"/>
    <w:rsid w:val="001217B7"/>
    <w:rsid w:val="00121C18"/>
    <w:rsid w:val="0012304B"/>
    <w:rsid w:val="00125208"/>
    <w:rsid w:val="00125F77"/>
    <w:rsid w:val="0012654E"/>
    <w:rsid w:val="001272DB"/>
    <w:rsid w:val="0013021D"/>
    <w:rsid w:val="00132D70"/>
    <w:rsid w:val="00132D7D"/>
    <w:rsid w:val="0013473E"/>
    <w:rsid w:val="0013723A"/>
    <w:rsid w:val="00140622"/>
    <w:rsid w:val="00140E59"/>
    <w:rsid w:val="0014228B"/>
    <w:rsid w:val="0014251D"/>
    <w:rsid w:val="00143296"/>
    <w:rsid w:val="0014372C"/>
    <w:rsid w:val="001456EB"/>
    <w:rsid w:val="00146498"/>
    <w:rsid w:val="001501C1"/>
    <w:rsid w:val="001514AC"/>
    <w:rsid w:val="00153B79"/>
    <w:rsid w:val="00153C43"/>
    <w:rsid w:val="00154701"/>
    <w:rsid w:val="00157BBE"/>
    <w:rsid w:val="001605E3"/>
    <w:rsid w:val="00166B6D"/>
    <w:rsid w:val="00172BEA"/>
    <w:rsid w:val="00173D56"/>
    <w:rsid w:val="00174B84"/>
    <w:rsid w:val="001755FC"/>
    <w:rsid w:val="00175EFA"/>
    <w:rsid w:val="00176F5F"/>
    <w:rsid w:val="001772B3"/>
    <w:rsid w:val="00180940"/>
    <w:rsid w:val="001813C5"/>
    <w:rsid w:val="00182BC0"/>
    <w:rsid w:val="00182DBC"/>
    <w:rsid w:val="00183285"/>
    <w:rsid w:val="00183CC9"/>
    <w:rsid w:val="001840B6"/>
    <w:rsid w:val="00186814"/>
    <w:rsid w:val="00186CD7"/>
    <w:rsid w:val="00191F86"/>
    <w:rsid w:val="001937AA"/>
    <w:rsid w:val="0019438F"/>
    <w:rsid w:val="0019449A"/>
    <w:rsid w:val="00194804"/>
    <w:rsid w:val="00195DC5"/>
    <w:rsid w:val="001960F0"/>
    <w:rsid w:val="0019627B"/>
    <w:rsid w:val="001964FE"/>
    <w:rsid w:val="001A04C4"/>
    <w:rsid w:val="001A0682"/>
    <w:rsid w:val="001A09C0"/>
    <w:rsid w:val="001A129B"/>
    <w:rsid w:val="001A3FAA"/>
    <w:rsid w:val="001A48DD"/>
    <w:rsid w:val="001A49CC"/>
    <w:rsid w:val="001A4C2D"/>
    <w:rsid w:val="001A514B"/>
    <w:rsid w:val="001A5633"/>
    <w:rsid w:val="001A6BE3"/>
    <w:rsid w:val="001A6CF0"/>
    <w:rsid w:val="001A7B3A"/>
    <w:rsid w:val="001A7F98"/>
    <w:rsid w:val="001B16ED"/>
    <w:rsid w:val="001B1C69"/>
    <w:rsid w:val="001B33C4"/>
    <w:rsid w:val="001B3C0C"/>
    <w:rsid w:val="001B48C1"/>
    <w:rsid w:val="001B58A1"/>
    <w:rsid w:val="001B6768"/>
    <w:rsid w:val="001C042C"/>
    <w:rsid w:val="001C0560"/>
    <w:rsid w:val="001C229C"/>
    <w:rsid w:val="001C59F7"/>
    <w:rsid w:val="001C5A3B"/>
    <w:rsid w:val="001C77E7"/>
    <w:rsid w:val="001D0167"/>
    <w:rsid w:val="001D0D90"/>
    <w:rsid w:val="001D169C"/>
    <w:rsid w:val="001D1E90"/>
    <w:rsid w:val="001D1FE8"/>
    <w:rsid w:val="001D2FA2"/>
    <w:rsid w:val="001D5636"/>
    <w:rsid w:val="001D5838"/>
    <w:rsid w:val="001D6BB4"/>
    <w:rsid w:val="001E0251"/>
    <w:rsid w:val="001E2831"/>
    <w:rsid w:val="001E2CA1"/>
    <w:rsid w:val="001E31B2"/>
    <w:rsid w:val="001E38D6"/>
    <w:rsid w:val="001E3CD3"/>
    <w:rsid w:val="001E3E45"/>
    <w:rsid w:val="001E5237"/>
    <w:rsid w:val="001E5B28"/>
    <w:rsid w:val="001E681E"/>
    <w:rsid w:val="001E6CE7"/>
    <w:rsid w:val="001F033F"/>
    <w:rsid w:val="001F113D"/>
    <w:rsid w:val="001F1306"/>
    <w:rsid w:val="001F266E"/>
    <w:rsid w:val="001F28A9"/>
    <w:rsid w:val="001F2F07"/>
    <w:rsid w:val="001F3BC9"/>
    <w:rsid w:val="001F3D39"/>
    <w:rsid w:val="001F42BC"/>
    <w:rsid w:val="001F469E"/>
    <w:rsid w:val="001F6384"/>
    <w:rsid w:val="002007A5"/>
    <w:rsid w:val="002012FB"/>
    <w:rsid w:val="00201488"/>
    <w:rsid w:val="00202379"/>
    <w:rsid w:val="002032A7"/>
    <w:rsid w:val="002034A0"/>
    <w:rsid w:val="0020446D"/>
    <w:rsid w:val="0020508C"/>
    <w:rsid w:val="00205FFD"/>
    <w:rsid w:val="00207B82"/>
    <w:rsid w:val="00207FD9"/>
    <w:rsid w:val="00210F73"/>
    <w:rsid w:val="00211706"/>
    <w:rsid w:val="00217CF8"/>
    <w:rsid w:val="00220A0E"/>
    <w:rsid w:val="00221183"/>
    <w:rsid w:val="00222630"/>
    <w:rsid w:val="00222E01"/>
    <w:rsid w:val="00223B93"/>
    <w:rsid w:val="002250E2"/>
    <w:rsid w:val="00227DDD"/>
    <w:rsid w:val="0023288D"/>
    <w:rsid w:val="00232C04"/>
    <w:rsid w:val="002333E0"/>
    <w:rsid w:val="0023468F"/>
    <w:rsid w:val="002356E2"/>
    <w:rsid w:val="00235714"/>
    <w:rsid w:val="00236A1F"/>
    <w:rsid w:val="0023752B"/>
    <w:rsid w:val="002419C4"/>
    <w:rsid w:val="002429ED"/>
    <w:rsid w:val="00243E2A"/>
    <w:rsid w:val="00244391"/>
    <w:rsid w:val="00244DCF"/>
    <w:rsid w:val="00244F4B"/>
    <w:rsid w:val="0025024B"/>
    <w:rsid w:val="00250617"/>
    <w:rsid w:val="0025109B"/>
    <w:rsid w:val="00252F52"/>
    <w:rsid w:val="00253E94"/>
    <w:rsid w:val="00254946"/>
    <w:rsid w:val="0025523F"/>
    <w:rsid w:val="00255B8E"/>
    <w:rsid w:val="0025629C"/>
    <w:rsid w:val="00262738"/>
    <w:rsid w:val="00262DD5"/>
    <w:rsid w:val="00263240"/>
    <w:rsid w:val="00263D02"/>
    <w:rsid w:val="0026506B"/>
    <w:rsid w:val="002654A8"/>
    <w:rsid w:val="0026647A"/>
    <w:rsid w:val="00266F0A"/>
    <w:rsid w:val="0026701F"/>
    <w:rsid w:val="00270E21"/>
    <w:rsid w:val="00271563"/>
    <w:rsid w:val="00271BEF"/>
    <w:rsid w:val="00272B28"/>
    <w:rsid w:val="00274AEF"/>
    <w:rsid w:val="00275067"/>
    <w:rsid w:val="002803B3"/>
    <w:rsid w:val="00281965"/>
    <w:rsid w:val="00283405"/>
    <w:rsid w:val="0028363B"/>
    <w:rsid w:val="00283C49"/>
    <w:rsid w:val="0028402B"/>
    <w:rsid w:val="00284378"/>
    <w:rsid w:val="00285020"/>
    <w:rsid w:val="00285A69"/>
    <w:rsid w:val="00290A1A"/>
    <w:rsid w:val="0029172A"/>
    <w:rsid w:val="002920C0"/>
    <w:rsid w:val="0029760C"/>
    <w:rsid w:val="002979C3"/>
    <w:rsid w:val="002A0325"/>
    <w:rsid w:val="002A2789"/>
    <w:rsid w:val="002A343D"/>
    <w:rsid w:val="002A3728"/>
    <w:rsid w:val="002A489F"/>
    <w:rsid w:val="002A4A98"/>
    <w:rsid w:val="002A53BC"/>
    <w:rsid w:val="002A5A6D"/>
    <w:rsid w:val="002A7FB1"/>
    <w:rsid w:val="002B20B2"/>
    <w:rsid w:val="002B30F0"/>
    <w:rsid w:val="002B3344"/>
    <w:rsid w:val="002B4382"/>
    <w:rsid w:val="002B5A1F"/>
    <w:rsid w:val="002B603B"/>
    <w:rsid w:val="002B6986"/>
    <w:rsid w:val="002B6BA6"/>
    <w:rsid w:val="002B6CED"/>
    <w:rsid w:val="002B72C8"/>
    <w:rsid w:val="002B7E59"/>
    <w:rsid w:val="002C05D5"/>
    <w:rsid w:val="002C12B0"/>
    <w:rsid w:val="002C21CB"/>
    <w:rsid w:val="002C3971"/>
    <w:rsid w:val="002C3EC8"/>
    <w:rsid w:val="002C50F4"/>
    <w:rsid w:val="002C7E7A"/>
    <w:rsid w:val="002D00D8"/>
    <w:rsid w:val="002D0912"/>
    <w:rsid w:val="002D150A"/>
    <w:rsid w:val="002D1D4B"/>
    <w:rsid w:val="002D2CEB"/>
    <w:rsid w:val="002D2EF5"/>
    <w:rsid w:val="002D2F74"/>
    <w:rsid w:val="002D351E"/>
    <w:rsid w:val="002D36B2"/>
    <w:rsid w:val="002D3B7E"/>
    <w:rsid w:val="002D4C98"/>
    <w:rsid w:val="002D6845"/>
    <w:rsid w:val="002D7FBC"/>
    <w:rsid w:val="002E015C"/>
    <w:rsid w:val="002E08E2"/>
    <w:rsid w:val="002E1682"/>
    <w:rsid w:val="002E19FA"/>
    <w:rsid w:val="002E24A6"/>
    <w:rsid w:val="002E5735"/>
    <w:rsid w:val="002E5C1A"/>
    <w:rsid w:val="002E6217"/>
    <w:rsid w:val="002E6C19"/>
    <w:rsid w:val="002E71F1"/>
    <w:rsid w:val="002F1D43"/>
    <w:rsid w:val="002F2C59"/>
    <w:rsid w:val="002F3BC8"/>
    <w:rsid w:val="002F43AB"/>
    <w:rsid w:val="002F6397"/>
    <w:rsid w:val="002F6D87"/>
    <w:rsid w:val="00302363"/>
    <w:rsid w:val="0030341D"/>
    <w:rsid w:val="00304026"/>
    <w:rsid w:val="00305DF4"/>
    <w:rsid w:val="003063EF"/>
    <w:rsid w:val="00307639"/>
    <w:rsid w:val="00307F97"/>
    <w:rsid w:val="003104DC"/>
    <w:rsid w:val="00311A21"/>
    <w:rsid w:val="0031234A"/>
    <w:rsid w:val="0031277B"/>
    <w:rsid w:val="00314B47"/>
    <w:rsid w:val="00315919"/>
    <w:rsid w:val="00316075"/>
    <w:rsid w:val="003207F3"/>
    <w:rsid w:val="00320B37"/>
    <w:rsid w:val="003216CA"/>
    <w:rsid w:val="00321C60"/>
    <w:rsid w:val="00331467"/>
    <w:rsid w:val="003320EC"/>
    <w:rsid w:val="00335C25"/>
    <w:rsid w:val="00337057"/>
    <w:rsid w:val="003376CA"/>
    <w:rsid w:val="00343316"/>
    <w:rsid w:val="0034433C"/>
    <w:rsid w:val="00346C70"/>
    <w:rsid w:val="0035073C"/>
    <w:rsid w:val="0035286F"/>
    <w:rsid w:val="00353A56"/>
    <w:rsid w:val="00354D70"/>
    <w:rsid w:val="00360EC7"/>
    <w:rsid w:val="00360FFA"/>
    <w:rsid w:val="003617A8"/>
    <w:rsid w:val="0036191B"/>
    <w:rsid w:val="00364168"/>
    <w:rsid w:val="00370258"/>
    <w:rsid w:val="00370A5F"/>
    <w:rsid w:val="00370F9A"/>
    <w:rsid w:val="003719BA"/>
    <w:rsid w:val="00372480"/>
    <w:rsid w:val="003726CF"/>
    <w:rsid w:val="00373118"/>
    <w:rsid w:val="003755B5"/>
    <w:rsid w:val="00381162"/>
    <w:rsid w:val="003823E3"/>
    <w:rsid w:val="00382F45"/>
    <w:rsid w:val="00384051"/>
    <w:rsid w:val="00385C0C"/>
    <w:rsid w:val="00385CAB"/>
    <w:rsid w:val="00386346"/>
    <w:rsid w:val="00386EC4"/>
    <w:rsid w:val="003872FA"/>
    <w:rsid w:val="00390CDA"/>
    <w:rsid w:val="0039193D"/>
    <w:rsid w:val="00393BCB"/>
    <w:rsid w:val="00394255"/>
    <w:rsid w:val="003943C7"/>
    <w:rsid w:val="00394982"/>
    <w:rsid w:val="00394A6D"/>
    <w:rsid w:val="00394CB7"/>
    <w:rsid w:val="00395548"/>
    <w:rsid w:val="003956A4"/>
    <w:rsid w:val="003958C4"/>
    <w:rsid w:val="00395B73"/>
    <w:rsid w:val="00396689"/>
    <w:rsid w:val="00396B7E"/>
    <w:rsid w:val="003A00FE"/>
    <w:rsid w:val="003A06E0"/>
    <w:rsid w:val="003A0DC6"/>
    <w:rsid w:val="003A1BA9"/>
    <w:rsid w:val="003A2FA7"/>
    <w:rsid w:val="003A3C8A"/>
    <w:rsid w:val="003A45BA"/>
    <w:rsid w:val="003A49C5"/>
    <w:rsid w:val="003A4A27"/>
    <w:rsid w:val="003A4D9B"/>
    <w:rsid w:val="003A50BC"/>
    <w:rsid w:val="003A52E2"/>
    <w:rsid w:val="003A5479"/>
    <w:rsid w:val="003A5C87"/>
    <w:rsid w:val="003A7B99"/>
    <w:rsid w:val="003B083D"/>
    <w:rsid w:val="003B19E9"/>
    <w:rsid w:val="003B1E82"/>
    <w:rsid w:val="003B20BE"/>
    <w:rsid w:val="003B255D"/>
    <w:rsid w:val="003B3FCD"/>
    <w:rsid w:val="003B4F28"/>
    <w:rsid w:val="003B62A1"/>
    <w:rsid w:val="003B7C1F"/>
    <w:rsid w:val="003C0C79"/>
    <w:rsid w:val="003C14EB"/>
    <w:rsid w:val="003C3A01"/>
    <w:rsid w:val="003C657A"/>
    <w:rsid w:val="003C674F"/>
    <w:rsid w:val="003C6814"/>
    <w:rsid w:val="003C7D96"/>
    <w:rsid w:val="003D0F61"/>
    <w:rsid w:val="003D1523"/>
    <w:rsid w:val="003D2034"/>
    <w:rsid w:val="003D208C"/>
    <w:rsid w:val="003D2097"/>
    <w:rsid w:val="003D32FB"/>
    <w:rsid w:val="003D4847"/>
    <w:rsid w:val="003D6FF0"/>
    <w:rsid w:val="003D71FA"/>
    <w:rsid w:val="003D7431"/>
    <w:rsid w:val="003D7B8C"/>
    <w:rsid w:val="003E0006"/>
    <w:rsid w:val="003E14D5"/>
    <w:rsid w:val="003E33CD"/>
    <w:rsid w:val="003E53A0"/>
    <w:rsid w:val="003E6836"/>
    <w:rsid w:val="003E75E6"/>
    <w:rsid w:val="003F0531"/>
    <w:rsid w:val="003F0CB6"/>
    <w:rsid w:val="003F1BC1"/>
    <w:rsid w:val="003F2553"/>
    <w:rsid w:val="003F299E"/>
    <w:rsid w:val="003F3A78"/>
    <w:rsid w:val="003F412E"/>
    <w:rsid w:val="003F5270"/>
    <w:rsid w:val="003F5758"/>
    <w:rsid w:val="003F5ABC"/>
    <w:rsid w:val="003F6162"/>
    <w:rsid w:val="004007ED"/>
    <w:rsid w:val="00400C1F"/>
    <w:rsid w:val="00400F9A"/>
    <w:rsid w:val="00401334"/>
    <w:rsid w:val="00402F41"/>
    <w:rsid w:val="0040335C"/>
    <w:rsid w:val="00406494"/>
    <w:rsid w:val="00406CF8"/>
    <w:rsid w:val="004070E4"/>
    <w:rsid w:val="00407F6B"/>
    <w:rsid w:val="00417496"/>
    <w:rsid w:val="004203C8"/>
    <w:rsid w:val="004203FE"/>
    <w:rsid w:val="00422A86"/>
    <w:rsid w:val="00423CD8"/>
    <w:rsid w:val="00425C7A"/>
    <w:rsid w:val="004265EF"/>
    <w:rsid w:val="004272A6"/>
    <w:rsid w:val="00434B05"/>
    <w:rsid w:val="00434BBB"/>
    <w:rsid w:val="00435A68"/>
    <w:rsid w:val="00436827"/>
    <w:rsid w:val="00436B02"/>
    <w:rsid w:val="00437A2F"/>
    <w:rsid w:val="0044004D"/>
    <w:rsid w:val="00440B2B"/>
    <w:rsid w:val="004432CA"/>
    <w:rsid w:val="00443BA6"/>
    <w:rsid w:val="0044628C"/>
    <w:rsid w:val="00446383"/>
    <w:rsid w:val="004476F9"/>
    <w:rsid w:val="004478DF"/>
    <w:rsid w:val="00450F7F"/>
    <w:rsid w:val="004511A0"/>
    <w:rsid w:val="00451230"/>
    <w:rsid w:val="00451FC4"/>
    <w:rsid w:val="004529C2"/>
    <w:rsid w:val="00452BB1"/>
    <w:rsid w:val="0045317D"/>
    <w:rsid w:val="00453707"/>
    <w:rsid w:val="004555DB"/>
    <w:rsid w:val="00455B11"/>
    <w:rsid w:val="0045681D"/>
    <w:rsid w:val="00457370"/>
    <w:rsid w:val="00460408"/>
    <w:rsid w:val="00460F82"/>
    <w:rsid w:val="00461629"/>
    <w:rsid w:val="004616C0"/>
    <w:rsid w:val="0046234C"/>
    <w:rsid w:val="00462BD0"/>
    <w:rsid w:val="00466E9A"/>
    <w:rsid w:val="00472451"/>
    <w:rsid w:val="004732C6"/>
    <w:rsid w:val="00473575"/>
    <w:rsid w:val="0047395B"/>
    <w:rsid w:val="0047400F"/>
    <w:rsid w:val="004766D2"/>
    <w:rsid w:val="004820BE"/>
    <w:rsid w:val="004822A1"/>
    <w:rsid w:val="00482FB8"/>
    <w:rsid w:val="00483036"/>
    <w:rsid w:val="00484CCD"/>
    <w:rsid w:val="00485EE5"/>
    <w:rsid w:val="00485F10"/>
    <w:rsid w:val="00486168"/>
    <w:rsid w:val="00486B6C"/>
    <w:rsid w:val="00492967"/>
    <w:rsid w:val="00492B91"/>
    <w:rsid w:val="00492E37"/>
    <w:rsid w:val="00493B6C"/>
    <w:rsid w:val="00497331"/>
    <w:rsid w:val="00497CA5"/>
    <w:rsid w:val="00497F78"/>
    <w:rsid w:val="004A2179"/>
    <w:rsid w:val="004A2786"/>
    <w:rsid w:val="004A3929"/>
    <w:rsid w:val="004A4AAF"/>
    <w:rsid w:val="004A5E80"/>
    <w:rsid w:val="004A6AA1"/>
    <w:rsid w:val="004A7B00"/>
    <w:rsid w:val="004B14E9"/>
    <w:rsid w:val="004B1E4B"/>
    <w:rsid w:val="004B2CB1"/>
    <w:rsid w:val="004B5C9B"/>
    <w:rsid w:val="004B6248"/>
    <w:rsid w:val="004B6638"/>
    <w:rsid w:val="004B7255"/>
    <w:rsid w:val="004C04C8"/>
    <w:rsid w:val="004C0882"/>
    <w:rsid w:val="004C2199"/>
    <w:rsid w:val="004C417D"/>
    <w:rsid w:val="004C4D9F"/>
    <w:rsid w:val="004C7C5F"/>
    <w:rsid w:val="004D00C9"/>
    <w:rsid w:val="004D5E04"/>
    <w:rsid w:val="004D792B"/>
    <w:rsid w:val="004D7F42"/>
    <w:rsid w:val="004E087E"/>
    <w:rsid w:val="004E1AE6"/>
    <w:rsid w:val="004E20D1"/>
    <w:rsid w:val="004E3B26"/>
    <w:rsid w:val="004E3E69"/>
    <w:rsid w:val="004E41F0"/>
    <w:rsid w:val="004E4767"/>
    <w:rsid w:val="004E5E44"/>
    <w:rsid w:val="004E6845"/>
    <w:rsid w:val="004E6D1A"/>
    <w:rsid w:val="004F2939"/>
    <w:rsid w:val="004F4672"/>
    <w:rsid w:val="004F4A18"/>
    <w:rsid w:val="004F5C77"/>
    <w:rsid w:val="004F6A5F"/>
    <w:rsid w:val="00500269"/>
    <w:rsid w:val="0050145B"/>
    <w:rsid w:val="00504ACA"/>
    <w:rsid w:val="00504FF0"/>
    <w:rsid w:val="00506798"/>
    <w:rsid w:val="00506B6B"/>
    <w:rsid w:val="00507DF9"/>
    <w:rsid w:val="005112D1"/>
    <w:rsid w:val="00511783"/>
    <w:rsid w:val="005123BD"/>
    <w:rsid w:val="00513A64"/>
    <w:rsid w:val="0051432C"/>
    <w:rsid w:val="0051488F"/>
    <w:rsid w:val="005160CE"/>
    <w:rsid w:val="00516539"/>
    <w:rsid w:val="005168E6"/>
    <w:rsid w:val="00516A2D"/>
    <w:rsid w:val="00517770"/>
    <w:rsid w:val="00517C7D"/>
    <w:rsid w:val="00517FC6"/>
    <w:rsid w:val="00521A37"/>
    <w:rsid w:val="005245EB"/>
    <w:rsid w:val="0052481F"/>
    <w:rsid w:val="005265E4"/>
    <w:rsid w:val="00526B1D"/>
    <w:rsid w:val="005306E4"/>
    <w:rsid w:val="00530C27"/>
    <w:rsid w:val="00531974"/>
    <w:rsid w:val="00532D4D"/>
    <w:rsid w:val="00532DC9"/>
    <w:rsid w:val="0053377E"/>
    <w:rsid w:val="005339FC"/>
    <w:rsid w:val="00534DA1"/>
    <w:rsid w:val="00534E20"/>
    <w:rsid w:val="00534E4E"/>
    <w:rsid w:val="005353D5"/>
    <w:rsid w:val="00536328"/>
    <w:rsid w:val="00536AD0"/>
    <w:rsid w:val="00537EAE"/>
    <w:rsid w:val="00540408"/>
    <w:rsid w:val="00541D04"/>
    <w:rsid w:val="005425D2"/>
    <w:rsid w:val="00543D44"/>
    <w:rsid w:val="00545682"/>
    <w:rsid w:val="005470FF"/>
    <w:rsid w:val="0054738F"/>
    <w:rsid w:val="00550BE4"/>
    <w:rsid w:val="005514C4"/>
    <w:rsid w:val="00551C2B"/>
    <w:rsid w:val="005542C8"/>
    <w:rsid w:val="00554CD2"/>
    <w:rsid w:val="00555F4A"/>
    <w:rsid w:val="00560EC9"/>
    <w:rsid w:val="0056152E"/>
    <w:rsid w:val="005618EF"/>
    <w:rsid w:val="00563BF8"/>
    <w:rsid w:val="00563F87"/>
    <w:rsid w:val="00565451"/>
    <w:rsid w:val="0056638E"/>
    <w:rsid w:val="00566E80"/>
    <w:rsid w:val="00571EA1"/>
    <w:rsid w:val="00572386"/>
    <w:rsid w:val="00572734"/>
    <w:rsid w:val="005769DD"/>
    <w:rsid w:val="005811A6"/>
    <w:rsid w:val="00581DAA"/>
    <w:rsid w:val="005839DD"/>
    <w:rsid w:val="00584582"/>
    <w:rsid w:val="00585B2F"/>
    <w:rsid w:val="00585DA2"/>
    <w:rsid w:val="00587A70"/>
    <w:rsid w:val="00590724"/>
    <w:rsid w:val="00590A91"/>
    <w:rsid w:val="00595689"/>
    <w:rsid w:val="00595F33"/>
    <w:rsid w:val="00595F36"/>
    <w:rsid w:val="00596401"/>
    <w:rsid w:val="00596B06"/>
    <w:rsid w:val="00597392"/>
    <w:rsid w:val="0059786F"/>
    <w:rsid w:val="00597908"/>
    <w:rsid w:val="005A076C"/>
    <w:rsid w:val="005A0AFE"/>
    <w:rsid w:val="005A115B"/>
    <w:rsid w:val="005A1685"/>
    <w:rsid w:val="005A2110"/>
    <w:rsid w:val="005A32F4"/>
    <w:rsid w:val="005A43CB"/>
    <w:rsid w:val="005A74A8"/>
    <w:rsid w:val="005A7F63"/>
    <w:rsid w:val="005B0A5C"/>
    <w:rsid w:val="005B0F21"/>
    <w:rsid w:val="005B1A19"/>
    <w:rsid w:val="005B2419"/>
    <w:rsid w:val="005B299D"/>
    <w:rsid w:val="005B3E53"/>
    <w:rsid w:val="005B4394"/>
    <w:rsid w:val="005C00B9"/>
    <w:rsid w:val="005C0CB5"/>
    <w:rsid w:val="005C1F9F"/>
    <w:rsid w:val="005C2DBE"/>
    <w:rsid w:val="005C4D9E"/>
    <w:rsid w:val="005C5461"/>
    <w:rsid w:val="005D02ED"/>
    <w:rsid w:val="005D2CE6"/>
    <w:rsid w:val="005D384C"/>
    <w:rsid w:val="005D3B13"/>
    <w:rsid w:val="005D4C48"/>
    <w:rsid w:val="005D5529"/>
    <w:rsid w:val="005D6448"/>
    <w:rsid w:val="005D64CC"/>
    <w:rsid w:val="005D6BF7"/>
    <w:rsid w:val="005E1461"/>
    <w:rsid w:val="005E2002"/>
    <w:rsid w:val="005E3257"/>
    <w:rsid w:val="005E483A"/>
    <w:rsid w:val="005E4BCB"/>
    <w:rsid w:val="005E5B6F"/>
    <w:rsid w:val="005E5BB3"/>
    <w:rsid w:val="005E6678"/>
    <w:rsid w:val="005E6BB3"/>
    <w:rsid w:val="005E6BF9"/>
    <w:rsid w:val="005F0C9F"/>
    <w:rsid w:val="005F0E25"/>
    <w:rsid w:val="005F0FCA"/>
    <w:rsid w:val="005F2C5B"/>
    <w:rsid w:val="005F5681"/>
    <w:rsid w:val="005F6327"/>
    <w:rsid w:val="005F641C"/>
    <w:rsid w:val="005F793E"/>
    <w:rsid w:val="00603609"/>
    <w:rsid w:val="00604152"/>
    <w:rsid w:val="00604CCB"/>
    <w:rsid w:val="00606476"/>
    <w:rsid w:val="0061043F"/>
    <w:rsid w:val="006106EE"/>
    <w:rsid w:val="00611575"/>
    <w:rsid w:val="006122BE"/>
    <w:rsid w:val="0061237D"/>
    <w:rsid w:val="0061535D"/>
    <w:rsid w:val="00615898"/>
    <w:rsid w:val="0061672B"/>
    <w:rsid w:val="00616B7B"/>
    <w:rsid w:val="00617D3E"/>
    <w:rsid w:val="00621B17"/>
    <w:rsid w:val="00622D5F"/>
    <w:rsid w:val="00623521"/>
    <w:rsid w:val="006245B6"/>
    <w:rsid w:val="00625030"/>
    <w:rsid w:val="006259FF"/>
    <w:rsid w:val="00625D13"/>
    <w:rsid w:val="00625EF6"/>
    <w:rsid w:val="00626396"/>
    <w:rsid w:val="00626E46"/>
    <w:rsid w:val="00631D55"/>
    <w:rsid w:val="006334C6"/>
    <w:rsid w:val="00637473"/>
    <w:rsid w:val="00637594"/>
    <w:rsid w:val="00637785"/>
    <w:rsid w:val="00640D6D"/>
    <w:rsid w:val="00640D86"/>
    <w:rsid w:val="00641BAE"/>
    <w:rsid w:val="00641E19"/>
    <w:rsid w:val="00643238"/>
    <w:rsid w:val="0064398D"/>
    <w:rsid w:val="00644D33"/>
    <w:rsid w:val="006451F4"/>
    <w:rsid w:val="00646E5B"/>
    <w:rsid w:val="00647AB9"/>
    <w:rsid w:val="006514BA"/>
    <w:rsid w:val="00652AF1"/>
    <w:rsid w:val="00653AA8"/>
    <w:rsid w:val="00654805"/>
    <w:rsid w:val="00654BF8"/>
    <w:rsid w:val="00654EC5"/>
    <w:rsid w:val="00655D71"/>
    <w:rsid w:val="00656863"/>
    <w:rsid w:val="00660662"/>
    <w:rsid w:val="00660AE8"/>
    <w:rsid w:val="0066244F"/>
    <w:rsid w:val="006631C7"/>
    <w:rsid w:val="00663F7D"/>
    <w:rsid w:val="006644AA"/>
    <w:rsid w:val="00664521"/>
    <w:rsid w:val="006645DC"/>
    <w:rsid w:val="00664C22"/>
    <w:rsid w:val="00664FF8"/>
    <w:rsid w:val="0066659E"/>
    <w:rsid w:val="0066698C"/>
    <w:rsid w:val="006721FC"/>
    <w:rsid w:val="00673A58"/>
    <w:rsid w:val="00675562"/>
    <w:rsid w:val="00675A7A"/>
    <w:rsid w:val="00676A1B"/>
    <w:rsid w:val="006770AC"/>
    <w:rsid w:val="00677524"/>
    <w:rsid w:val="006827F2"/>
    <w:rsid w:val="00683197"/>
    <w:rsid w:val="0068514D"/>
    <w:rsid w:val="006858B0"/>
    <w:rsid w:val="00685BA6"/>
    <w:rsid w:val="00685FE2"/>
    <w:rsid w:val="006876E0"/>
    <w:rsid w:val="00690651"/>
    <w:rsid w:val="006927AA"/>
    <w:rsid w:val="00692AE5"/>
    <w:rsid w:val="0069339A"/>
    <w:rsid w:val="00696D02"/>
    <w:rsid w:val="006A003F"/>
    <w:rsid w:val="006A0F32"/>
    <w:rsid w:val="006A15A7"/>
    <w:rsid w:val="006A2848"/>
    <w:rsid w:val="006A6728"/>
    <w:rsid w:val="006A718C"/>
    <w:rsid w:val="006B001B"/>
    <w:rsid w:val="006B2B17"/>
    <w:rsid w:val="006B32DB"/>
    <w:rsid w:val="006B41BB"/>
    <w:rsid w:val="006B5E33"/>
    <w:rsid w:val="006B7290"/>
    <w:rsid w:val="006C13BC"/>
    <w:rsid w:val="006C1D5C"/>
    <w:rsid w:val="006C2424"/>
    <w:rsid w:val="006C2B29"/>
    <w:rsid w:val="006C3B66"/>
    <w:rsid w:val="006C64FC"/>
    <w:rsid w:val="006C6BF2"/>
    <w:rsid w:val="006D1131"/>
    <w:rsid w:val="006D1173"/>
    <w:rsid w:val="006D186D"/>
    <w:rsid w:val="006D463B"/>
    <w:rsid w:val="006D67C2"/>
    <w:rsid w:val="006D7C9E"/>
    <w:rsid w:val="006E0829"/>
    <w:rsid w:val="006E176C"/>
    <w:rsid w:val="006E1A55"/>
    <w:rsid w:val="006E1F9B"/>
    <w:rsid w:val="006E20C7"/>
    <w:rsid w:val="006E61A4"/>
    <w:rsid w:val="006E655A"/>
    <w:rsid w:val="006E6F42"/>
    <w:rsid w:val="006E7757"/>
    <w:rsid w:val="006E7803"/>
    <w:rsid w:val="006E7DBD"/>
    <w:rsid w:val="006F16EC"/>
    <w:rsid w:val="006F6004"/>
    <w:rsid w:val="007000A5"/>
    <w:rsid w:val="00700999"/>
    <w:rsid w:val="00700C33"/>
    <w:rsid w:val="00704FE4"/>
    <w:rsid w:val="0070565D"/>
    <w:rsid w:val="007059F3"/>
    <w:rsid w:val="00706D65"/>
    <w:rsid w:val="00706E09"/>
    <w:rsid w:val="007071B6"/>
    <w:rsid w:val="007101A1"/>
    <w:rsid w:val="00711D99"/>
    <w:rsid w:val="00711FEF"/>
    <w:rsid w:val="0071406A"/>
    <w:rsid w:val="00714688"/>
    <w:rsid w:val="00714C80"/>
    <w:rsid w:val="007153DD"/>
    <w:rsid w:val="00715703"/>
    <w:rsid w:val="00715B05"/>
    <w:rsid w:val="007167AC"/>
    <w:rsid w:val="0071769D"/>
    <w:rsid w:val="00720B93"/>
    <w:rsid w:val="007219A5"/>
    <w:rsid w:val="00721E96"/>
    <w:rsid w:val="007226A8"/>
    <w:rsid w:val="00723322"/>
    <w:rsid w:val="00723FE5"/>
    <w:rsid w:val="00730604"/>
    <w:rsid w:val="00731B61"/>
    <w:rsid w:val="00733F2E"/>
    <w:rsid w:val="00737377"/>
    <w:rsid w:val="007415B6"/>
    <w:rsid w:val="007422A3"/>
    <w:rsid w:val="00743404"/>
    <w:rsid w:val="00743530"/>
    <w:rsid w:val="0074416D"/>
    <w:rsid w:val="0074506C"/>
    <w:rsid w:val="00747C81"/>
    <w:rsid w:val="00752CE4"/>
    <w:rsid w:val="0075370D"/>
    <w:rsid w:val="00753991"/>
    <w:rsid w:val="00753E5C"/>
    <w:rsid w:val="007567BB"/>
    <w:rsid w:val="00756AFA"/>
    <w:rsid w:val="00761C83"/>
    <w:rsid w:val="00763D2A"/>
    <w:rsid w:val="00764ADA"/>
    <w:rsid w:val="007660DB"/>
    <w:rsid w:val="00767E7D"/>
    <w:rsid w:val="00770935"/>
    <w:rsid w:val="007711CF"/>
    <w:rsid w:val="007716AB"/>
    <w:rsid w:val="0077341C"/>
    <w:rsid w:val="00773807"/>
    <w:rsid w:val="00774479"/>
    <w:rsid w:val="00775048"/>
    <w:rsid w:val="007750C4"/>
    <w:rsid w:val="0077564F"/>
    <w:rsid w:val="007759EF"/>
    <w:rsid w:val="00775BE7"/>
    <w:rsid w:val="00780CEA"/>
    <w:rsid w:val="00781F67"/>
    <w:rsid w:val="0078390B"/>
    <w:rsid w:val="0078592A"/>
    <w:rsid w:val="00785CB9"/>
    <w:rsid w:val="00785DD8"/>
    <w:rsid w:val="007861BA"/>
    <w:rsid w:val="00786EF1"/>
    <w:rsid w:val="00787AFF"/>
    <w:rsid w:val="00792120"/>
    <w:rsid w:val="00792ACE"/>
    <w:rsid w:val="007946A1"/>
    <w:rsid w:val="00795AF2"/>
    <w:rsid w:val="00795E86"/>
    <w:rsid w:val="007962FF"/>
    <w:rsid w:val="00796567"/>
    <w:rsid w:val="00796F38"/>
    <w:rsid w:val="00797529"/>
    <w:rsid w:val="007A31A5"/>
    <w:rsid w:val="007A6CA2"/>
    <w:rsid w:val="007B1C84"/>
    <w:rsid w:val="007B2A2F"/>
    <w:rsid w:val="007B374C"/>
    <w:rsid w:val="007B3D26"/>
    <w:rsid w:val="007B5B85"/>
    <w:rsid w:val="007B5E80"/>
    <w:rsid w:val="007B613D"/>
    <w:rsid w:val="007C0C30"/>
    <w:rsid w:val="007C1AD4"/>
    <w:rsid w:val="007C1B12"/>
    <w:rsid w:val="007C2603"/>
    <w:rsid w:val="007C3214"/>
    <w:rsid w:val="007C339C"/>
    <w:rsid w:val="007C3CBD"/>
    <w:rsid w:val="007C3E81"/>
    <w:rsid w:val="007C4451"/>
    <w:rsid w:val="007C5607"/>
    <w:rsid w:val="007C5F0F"/>
    <w:rsid w:val="007C715C"/>
    <w:rsid w:val="007C75AA"/>
    <w:rsid w:val="007D13C8"/>
    <w:rsid w:val="007D1A32"/>
    <w:rsid w:val="007D2A03"/>
    <w:rsid w:val="007D2CEB"/>
    <w:rsid w:val="007D3ACF"/>
    <w:rsid w:val="007D7026"/>
    <w:rsid w:val="007D74D8"/>
    <w:rsid w:val="007D7E73"/>
    <w:rsid w:val="007E10F0"/>
    <w:rsid w:val="007E18DA"/>
    <w:rsid w:val="007E1FA7"/>
    <w:rsid w:val="007E2CA1"/>
    <w:rsid w:val="007E3008"/>
    <w:rsid w:val="007E4B6A"/>
    <w:rsid w:val="007E5602"/>
    <w:rsid w:val="007E5BBC"/>
    <w:rsid w:val="007E5F5A"/>
    <w:rsid w:val="007F1C14"/>
    <w:rsid w:val="007F2ED4"/>
    <w:rsid w:val="007F3CB2"/>
    <w:rsid w:val="007F568D"/>
    <w:rsid w:val="00800247"/>
    <w:rsid w:val="00800D9A"/>
    <w:rsid w:val="00804028"/>
    <w:rsid w:val="00806DA5"/>
    <w:rsid w:val="008077E7"/>
    <w:rsid w:val="00811915"/>
    <w:rsid w:val="0081198D"/>
    <w:rsid w:val="00812305"/>
    <w:rsid w:val="00813158"/>
    <w:rsid w:val="00813237"/>
    <w:rsid w:val="00813A32"/>
    <w:rsid w:val="00813D61"/>
    <w:rsid w:val="00814DFF"/>
    <w:rsid w:val="0081546C"/>
    <w:rsid w:val="00821BC8"/>
    <w:rsid w:val="00823B48"/>
    <w:rsid w:val="00830F1E"/>
    <w:rsid w:val="00831745"/>
    <w:rsid w:val="008329A3"/>
    <w:rsid w:val="00832AC6"/>
    <w:rsid w:val="00833151"/>
    <w:rsid w:val="008336BE"/>
    <w:rsid w:val="008339A0"/>
    <w:rsid w:val="00834418"/>
    <w:rsid w:val="00834517"/>
    <w:rsid w:val="0083675D"/>
    <w:rsid w:val="00837A85"/>
    <w:rsid w:val="008429A2"/>
    <w:rsid w:val="00842B3D"/>
    <w:rsid w:val="00846B32"/>
    <w:rsid w:val="00851B4F"/>
    <w:rsid w:val="00852142"/>
    <w:rsid w:val="00852684"/>
    <w:rsid w:val="008526C3"/>
    <w:rsid w:val="00852C0D"/>
    <w:rsid w:val="008533C0"/>
    <w:rsid w:val="00854040"/>
    <w:rsid w:val="00854576"/>
    <w:rsid w:val="008545B1"/>
    <w:rsid w:val="0085566D"/>
    <w:rsid w:val="00855E5E"/>
    <w:rsid w:val="00856192"/>
    <w:rsid w:val="00856C37"/>
    <w:rsid w:val="00857B59"/>
    <w:rsid w:val="008604EC"/>
    <w:rsid w:val="0086084D"/>
    <w:rsid w:val="008609AD"/>
    <w:rsid w:val="008611AA"/>
    <w:rsid w:val="008628B4"/>
    <w:rsid w:val="008648E7"/>
    <w:rsid w:val="00865478"/>
    <w:rsid w:val="008657B9"/>
    <w:rsid w:val="00865A8A"/>
    <w:rsid w:val="00865C99"/>
    <w:rsid w:val="008702DD"/>
    <w:rsid w:val="00877B03"/>
    <w:rsid w:val="00880192"/>
    <w:rsid w:val="008814D3"/>
    <w:rsid w:val="0088257C"/>
    <w:rsid w:val="008837CB"/>
    <w:rsid w:val="00883B29"/>
    <w:rsid w:val="00883BE7"/>
    <w:rsid w:val="00885A60"/>
    <w:rsid w:val="00885A65"/>
    <w:rsid w:val="00890C70"/>
    <w:rsid w:val="00890F67"/>
    <w:rsid w:val="0089262B"/>
    <w:rsid w:val="00892BAB"/>
    <w:rsid w:val="00894574"/>
    <w:rsid w:val="00895C16"/>
    <w:rsid w:val="00897CA4"/>
    <w:rsid w:val="008A0EDD"/>
    <w:rsid w:val="008A1492"/>
    <w:rsid w:val="008A1F1B"/>
    <w:rsid w:val="008A2CCF"/>
    <w:rsid w:val="008A40AA"/>
    <w:rsid w:val="008A4232"/>
    <w:rsid w:val="008A520A"/>
    <w:rsid w:val="008A6AA7"/>
    <w:rsid w:val="008A7B3F"/>
    <w:rsid w:val="008B0299"/>
    <w:rsid w:val="008B0482"/>
    <w:rsid w:val="008B2FB1"/>
    <w:rsid w:val="008B6100"/>
    <w:rsid w:val="008B669F"/>
    <w:rsid w:val="008B738D"/>
    <w:rsid w:val="008B7F47"/>
    <w:rsid w:val="008C0109"/>
    <w:rsid w:val="008C0973"/>
    <w:rsid w:val="008C0990"/>
    <w:rsid w:val="008C130C"/>
    <w:rsid w:val="008C1596"/>
    <w:rsid w:val="008C1661"/>
    <w:rsid w:val="008C1AEA"/>
    <w:rsid w:val="008C1CFF"/>
    <w:rsid w:val="008C2685"/>
    <w:rsid w:val="008C26D2"/>
    <w:rsid w:val="008C2754"/>
    <w:rsid w:val="008C43EB"/>
    <w:rsid w:val="008C4401"/>
    <w:rsid w:val="008C4697"/>
    <w:rsid w:val="008C47C1"/>
    <w:rsid w:val="008C718A"/>
    <w:rsid w:val="008C7D84"/>
    <w:rsid w:val="008C7DA6"/>
    <w:rsid w:val="008D036F"/>
    <w:rsid w:val="008D11E0"/>
    <w:rsid w:val="008D1631"/>
    <w:rsid w:val="008D1A79"/>
    <w:rsid w:val="008D5992"/>
    <w:rsid w:val="008D6659"/>
    <w:rsid w:val="008D7869"/>
    <w:rsid w:val="008E045D"/>
    <w:rsid w:val="008E11FA"/>
    <w:rsid w:val="008E1636"/>
    <w:rsid w:val="008E46F2"/>
    <w:rsid w:val="008E48AC"/>
    <w:rsid w:val="008E4C7B"/>
    <w:rsid w:val="008E4D30"/>
    <w:rsid w:val="008E5006"/>
    <w:rsid w:val="008E68D5"/>
    <w:rsid w:val="008E694E"/>
    <w:rsid w:val="008E6E32"/>
    <w:rsid w:val="008E7682"/>
    <w:rsid w:val="008E7935"/>
    <w:rsid w:val="008E7BFA"/>
    <w:rsid w:val="008F1728"/>
    <w:rsid w:val="008F1F51"/>
    <w:rsid w:val="008F275D"/>
    <w:rsid w:val="009023BA"/>
    <w:rsid w:val="00904329"/>
    <w:rsid w:val="0090537E"/>
    <w:rsid w:val="00905DD1"/>
    <w:rsid w:val="00912230"/>
    <w:rsid w:val="00914050"/>
    <w:rsid w:val="00914D23"/>
    <w:rsid w:val="009158A9"/>
    <w:rsid w:val="0091646C"/>
    <w:rsid w:val="00916A7E"/>
    <w:rsid w:val="00916B56"/>
    <w:rsid w:val="00922AB6"/>
    <w:rsid w:val="00922ED3"/>
    <w:rsid w:val="009230D8"/>
    <w:rsid w:val="00923221"/>
    <w:rsid w:val="00925F61"/>
    <w:rsid w:val="00927DE5"/>
    <w:rsid w:val="00930047"/>
    <w:rsid w:val="00930B28"/>
    <w:rsid w:val="009315C1"/>
    <w:rsid w:val="00932834"/>
    <w:rsid w:val="00932E9A"/>
    <w:rsid w:val="009336D1"/>
    <w:rsid w:val="00935C37"/>
    <w:rsid w:val="009368CE"/>
    <w:rsid w:val="00940F68"/>
    <w:rsid w:val="00941622"/>
    <w:rsid w:val="00941AFF"/>
    <w:rsid w:val="0094254B"/>
    <w:rsid w:val="00942D2F"/>
    <w:rsid w:val="00943265"/>
    <w:rsid w:val="0094426B"/>
    <w:rsid w:val="009448F5"/>
    <w:rsid w:val="00944C3E"/>
    <w:rsid w:val="00944C50"/>
    <w:rsid w:val="00945947"/>
    <w:rsid w:val="00945D02"/>
    <w:rsid w:val="00946933"/>
    <w:rsid w:val="00946B26"/>
    <w:rsid w:val="00946E15"/>
    <w:rsid w:val="00947410"/>
    <w:rsid w:val="00952263"/>
    <w:rsid w:val="009525E3"/>
    <w:rsid w:val="009528FD"/>
    <w:rsid w:val="00952DCB"/>
    <w:rsid w:val="00955093"/>
    <w:rsid w:val="00955A87"/>
    <w:rsid w:val="0095705D"/>
    <w:rsid w:val="009614D5"/>
    <w:rsid w:val="00962602"/>
    <w:rsid w:val="00963538"/>
    <w:rsid w:val="009636E5"/>
    <w:rsid w:val="009659B7"/>
    <w:rsid w:val="00970B9F"/>
    <w:rsid w:val="00970C46"/>
    <w:rsid w:val="0097191E"/>
    <w:rsid w:val="00971FBE"/>
    <w:rsid w:val="00973367"/>
    <w:rsid w:val="00973B10"/>
    <w:rsid w:val="00973D49"/>
    <w:rsid w:val="009770DF"/>
    <w:rsid w:val="009773B4"/>
    <w:rsid w:val="00980C95"/>
    <w:rsid w:val="00980E0D"/>
    <w:rsid w:val="00980E8F"/>
    <w:rsid w:val="0098189F"/>
    <w:rsid w:val="009829A7"/>
    <w:rsid w:val="00982A47"/>
    <w:rsid w:val="00983846"/>
    <w:rsid w:val="00984B49"/>
    <w:rsid w:val="00985EF5"/>
    <w:rsid w:val="00986149"/>
    <w:rsid w:val="009862B2"/>
    <w:rsid w:val="0099057C"/>
    <w:rsid w:val="00991860"/>
    <w:rsid w:val="00991FE7"/>
    <w:rsid w:val="00992CF2"/>
    <w:rsid w:val="009932C8"/>
    <w:rsid w:val="0099404A"/>
    <w:rsid w:val="009950B1"/>
    <w:rsid w:val="009959DA"/>
    <w:rsid w:val="009962F4"/>
    <w:rsid w:val="009973B0"/>
    <w:rsid w:val="009A09FA"/>
    <w:rsid w:val="009A0C5A"/>
    <w:rsid w:val="009A1A86"/>
    <w:rsid w:val="009A1ACE"/>
    <w:rsid w:val="009A2A9F"/>
    <w:rsid w:val="009A2C72"/>
    <w:rsid w:val="009A4640"/>
    <w:rsid w:val="009A52AC"/>
    <w:rsid w:val="009A60B4"/>
    <w:rsid w:val="009A6297"/>
    <w:rsid w:val="009A7612"/>
    <w:rsid w:val="009B07DB"/>
    <w:rsid w:val="009B1D31"/>
    <w:rsid w:val="009B4D17"/>
    <w:rsid w:val="009B7E3F"/>
    <w:rsid w:val="009C08F2"/>
    <w:rsid w:val="009C0D8F"/>
    <w:rsid w:val="009C1555"/>
    <w:rsid w:val="009C16E2"/>
    <w:rsid w:val="009C1AB4"/>
    <w:rsid w:val="009C307B"/>
    <w:rsid w:val="009C3918"/>
    <w:rsid w:val="009C4D51"/>
    <w:rsid w:val="009D02B5"/>
    <w:rsid w:val="009D0466"/>
    <w:rsid w:val="009D0C9B"/>
    <w:rsid w:val="009D116B"/>
    <w:rsid w:val="009D368F"/>
    <w:rsid w:val="009D3ED1"/>
    <w:rsid w:val="009D44D6"/>
    <w:rsid w:val="009D5A07"/>
    <w:rsid w:val="009D668D"/>
    <w:rsid w:val="009D6CC2"/>
    <w:rsid w:val="009D7D03"/>
    <w:rsid w:val="009E086A"/>
    <w:rsid w:val="009E0FE0"/>
    <w:rsid w:val="009E0FF9"/>
    <w:rsid w:val="009E45F3"/>
    <w:rsid w:val="009E4A70"/>
    <w:rsid w:val="009E65BF"/>
    <w:rsid w:val="009E6A7C"/>
    <w:rsid w:val="009F23FB"/>
    <w:rsid w:val="009F3D3D"/>
    <w:rsid w:val="009F6B18"/>
    <w:rsid w:val="009F6ECC"/>
    <w:rsid w:val="00A02052"/>
    <w:rsid w:val="00A0219B"/>
    <w:rsid w:val="00A03A6F"/>
    <w:rsid w:val="00A05816"/>
    <w:rsid w:val="00A06D46"/>
    <w:rsid w:val="00A0722E"/>
    <w:rsid w:val="00A103E7"/>
    <w:rsid w:val="00A10BDB"/>
    <w:rsid w:val="00A15283"/>
    <w:rsid w:val="00A15445"/>
    <w:rsid w:val="00A163F3"/>
    <w:rsid w:val="00A1686D"/>
    <w:rsid w:val="00A16CCF"/>
    <w:rsid w:val="00A17918"/>
    <w:rsid w:val="00A20403"/>
    <w:rsid w:val="00A20EAD"/>
    <w:rsid w:val="00A20F9C"/>
    <w:rsid w:val="00A210F8"/>
    <w:rsid w:val="00A21D83"/>
    <w:rsid w:val="00A22A84"/>
    <w:rsid w:val="00A22D86"/>
    <w:rsid w:val="00A2333F"/>
    <w:rsid w:val="00A258E3"/>
    <w:rsid w:val="00A26337"/>
    <w:rsid w:val="00A264A8"/>
    <w:rsid w:val="00A26563"/>
    <w:rsid w:val="00A26A82"/>
    <w:rsid w:val="00A27E93"/>
    <w:rsid w:val="00A31649"/>
    <w:rsid w:val="00A32112"/>
    <w:rsid w:val="00A321B5"/>
    <w:rsid w:val="00A33134"/>
    <w:rsid w:val="00A33C5D"/>
    <w:rsid w:val="00A34E41"/>
    <w:rsid w:val="00A35CCE"/>
    <w:rsid w:val="00A36073"/>
    <w:rsid w:val="00A37CC8"/>
    <w:rsid w:val="00A4045E"/>
    <w:rsid w:val="00A40995"/>
    <w:rsid w:val="00A41A12"/>
    <w:rsid w:val="00A46086"/>
    <w:rsid w:val="00A4634B"/>
    <w:rsid w:val="00A46662"/>
    <w:rsid w:val="00A46A4D"/>
    <w:rsid w:val="00A46DCF"/>
    <w:rsid w:val="00A478B7"/>
    <w:rsid w:val="00A50269"/>
    <w:rsid w:val="00A50B92"/>
    <w:rsid w:val="00A511EB"/>
    <w:rsid w:val="00A51417"/>
    <w:rsid w:val="00A51E10"/>
    <w:rsid w:val="00A5312F"/>
    <w:rsid w:val="00A53405"/>
    <w:rsid w:val="00A54117"/>
    <w:rsid w:val="00A54818"/>
    <w:rsid w:val="00A54D8E"/>
    <w:rsid w:val="00A60625"/>
    <w:rsid w:val="00A62A6E"/>
    <w:rsid w:val="00A6391A"/>
    <w:rsid w:val="00A645C2"/>
    <w:rsid w:val="00A64B3F"/>
    <w:rsid w:val="00A653AD"/>
    <w:rsid w:val="00A65534"/>
    <w:rsid w:val="00A66049"/>
    <w:rsid w:val="00A67924"/>
    <w:rsid w:val="00A70124"/>
    <w:rsid w:val="00A72952"/>
    <w:rsid w:val="00A74F0A"/>
    <w:rsid w:val="00A7512D"/>
    <w:rsid w:val="00A769C0"/>
    <w:rsid w:val="00A76EF2"/>
    <w:rsid w:val="00A77507"/>
    <w:rsid w:val="00A77EE0"/>
    <w:rsid w:val="00A809E8"/>
    <w:rsid w:val="00A8213D"/>
    <w:rsid w:val="00A82340"/>
    <w:rsid w:val="00A8259B"/>
    <w:rsid w:val="00A8312C"/>
    <w:rsid w:val="00A83A94"/>
    <w:rsid w:val="00A8499D"/>
    <w:rsid w:val="00A850C1"/>
    <w:rsid w:val="00A851BF"/>
    <w:rsid w:val="00A85800"/>
    <w:rsid w:val="00A865D6"/>
    <w:rsid w:val="00A86A0C"/>
    <w:rsid w:val="00A91D02"/>
    <w:rsid w:val="00A91F6F"/>
    <w:rsid w:val="00A92F36"/>
    <w:rsid w:val="00A938F8"/>
    <w:rsid w:val="00A95361"/>
    <w:rsid w:val="00A96234"/>
    <w:rsid w:val="00AA0A9C"/>
    <w:rsid w:val="00AA14A8"/>
    <w:rsid w:val="00AA1914"/>
    <w:rsid w:val="00AA2941"/>
    <w:rsid w:val="00AA53BF"/>
    <w:rsid w:val="00AA6A37"/>
    <w:rsid w:val="00AA6B14"/>
    <w:rsid w:val="00AB04AF"/>
    <w:rsid w:val="00AB195A"/>
    <w:rsid w:val="00AB3AFA"/>
    <w:rsid w:val="00AB510A"/>
    <w:rsid w:val="00AB5312"/>
    <w:rsid w:val="00AB5525"/>
    <w:rsid w:val="00AB6E82"/>
    <w:rsid w:val="00AC035E"/>
    <w:rsid w:val="00AC04A2"/>
    <w:rsid w:val="00AC0AAF"/>
    <w:rsid w:val="00AC0E4E"/>
    <w:rsid w:val="00AC1EA7"/>
    <w:rsid w:val="00AC30E6"/>
    <w:rsid w:val="00AC3858"/>
    <w:rsid w:val="00AC3D4A"/>
    <w:rsid w:val="00AC4A95"/>
    <w:rsid w:val="00AC5611"/>
    <w:rsid w:val="00AC6230"/>
    <w:rsid w:val="00AC759C"/>
    <w:rsid w:val="00AD0379"/>
    <w:rsid w:val="00AD234E"/>
    <w:rsid w:val="00AD2A27"/>
    <w:rsid w:val="00AD34A3"/>
    <w:rsid w:val="00AD372A"/>
    <w:rsid w:val="00AD55B7"/>
    <w:rsid w:val="00AD6EA8"/>
    <w:rsid w:val="00AD7B3F"/>
    <w:rsid w:val="00AE0144"/>
    <w:rsid w:val="00AE1A75"/>
    <w:rsid w:val="00AE29A5"/>
    <w:rsid w:val="00AE39DA"/>
    <w:rsid w:val="00AE4963"/>
    <w:rsid w:val="00AE578F"/>
    <w:rsid w:val="00AE6592"/>
    <w:rsid w:val="00AE7EC9"/>
    <w:rsid w:val="00AF008F"/>
    <w:rsid w:val="00AF0882"/>
    <w:rsid w:val="00AF0992"/>
    <w:rsid w:val="00AF0F90"/>
    <w:rsid w:val="00AF11B8"/>
    <w:rsid w:val="00AF1341"/>
    <w:rsid w:val="00AF2474"/>
    <w:rsid w:val="00AF2E1F"/>
    <w:rsid w:val="00AF3180"/>
    <w:rsid w:val="00AF3F13"/>
    <w:rsid w:val="00AF4164"/>
    <w:rsid w:val="00AF4DD4"/>
    <w:rsid w:val="00AF5566"/>
    <w:rsid w:val="00AF746D"/>
    <w:rsid w:val="00AF7A69"/>
    <w:rsid w:val="00B00254"/>
    <w:rsid w:val="00B016AC"/>
    <w:rsid w:val="00B016B4"/>
    <w:rsid w:val="00B018AF"/>
    <w:rsid w:val="00B01F90"/>
    <w:rsid w:val="00B04D8E"/>
    <w:rsid w:val="00B053F4"/>
    <w:rsid w:val="00B057D7"/>
    <w:rsid w:val="00B110C1"/>
    <w:rsid w:val="00B11341"/>
    <w:rsid w:val="00B114A0"/>
    <w:rsid w:val="00B114F0"/>
    <w:rsid w:val="00B12060"/>
    <w:rsid w:val="00B12634"/>
    <w:rsid w:val="00B12A7B"/>
    <w:rsid w:val="00B1360F"/>
    <w:rsid w:val="00B1374F"/>
    <w:rsid w:val="00B148E6"/>
    <w:rsid w:val="00B14911"/>
    <w:rsid w:val="00B15F09"/>
    <w:rsid w:val="00B20E30"/>
    <w:rsid w:val="00B2111D"/>
    <w:rsid w:val="00B217FC"/>
    <w:rsid w:val="00B2217A"/>
    <w:rsid w:val="00B2233D"/>
    <w:rsid w:val="00B23429"/>
    <w:rsid w:val="00B235B7"/>
    <w:rsid w:val="00B235C6"/>
    <w:rsid w:val="00B24239"/>
    <w:rsid w:val="00B24DB8"/>
    <w:rsid w:val="00B253E9"/>
    <w:rsid w:val="00B2563B"/>
    <w:rsid w:val="00B25AE9"/>
    <w:rsid w:val="00B2639D"/>
    <w:rsid w:val="00B307CF"/>
    <w:rsid w:val="00B31474"/>
    <w:rsid w:val="00B32839"/>
    <w:rsid w:val="00B32EAF"/>
    <w:rsid w:val="00B333E6"/>
    <w:rsid w:val="00B33814"/>
    <w:rsid w:val="00B33D1C"/>
    <w:rsid w:val="00B34155"/>
    <w:rsid w:val="00B35CA3"/>
    <w:rsid w:val="00B35EE2"/>
    <w:rsid w:val="00B36079"/>
    <w:rsid w:val="00B41821"/>
    <w:rsid w:val="00B42022"/>
    <w:rsid w:val="00B42D3E"/>
    <w:rsid w:val="00B43268"/>
    <w:rsid w:val="00B45493"/>
    <w:rsid w:val="00B45C4A"/>
    <w:rsid w:val="00B46022"/>
    <w:rsid w:val="00B46738"/>
    <w:rsid w:val="00B470B3"/>
    <w:rsid w:val="00B50E17"/>
    <w:rsid w:val="00B514ED"/>
    <w:rsid w:val="00B51A8D"/>
    <w:rsid w:val="00B52025"/>
    <w:rsid w:val="00B5241E"/>
    <w:rsid w:val="00B54661"/>
    <w:rsid w:val="00B54DB6"/>
    <w:rsid w:val="00B54F1C"/>
    <w:rsid w:val="00B5560C"/>
    <w:rsid w:val="00B56ACF"/>
    <w:rsid w:val="00B577BE"/>
    <w:rsid w:val="00B6064D"/>
    <w:rsid w:val="00B61388"/>
    <w:rsid w:val="00B61E48"/>
    <w:rsid w:val="00B62BD2"/>
    <w:rsid w:val="00B63ABD"/>
    <w:rsid w:val="00B63D0F"/>
    <w:rsid w:val="00B64751"/>
    <w:rsid w:val="00B647C0"/>
    <w:rsid w:val="00B65A74"/>
    <w:rsid w:val="00B67744"/>
    <w:rsid w:val="00B6794F"/>
    <w:rsid w:val="00B7367D"/>
    <w:rsid w:val="00B74523"/>
    <w:rsid w:val="00B7476A"/>
    <w:rsid w:val="00B7615B"/>
    <w:rsid w:val="00B761D6"/>
    <w:rsid w:val="00B763E3"/>
    <w:rsid w:val="00B76A12"/>
    <w:rsid w:val="00B7725B"/>
    <w:rsid w:val="00B809B8"/>
    <w:rsid w:val="00B814B0"/>
    <w:rsid w:val="00B81DDD"/>
    <w:rsid w:val="00B825DE"/>
    <w:rsid w:val="00B83F5D"/>
    <w:rsid w:val="00B85653"/>
    <w:rsid w:val="00B85774"/>
    <w:rsid w:val="00B90AEA"/>
    <w:rsid w:val="00B928FF"/>
    <w:rsid w:val="00B92AE6"/>
    <w:rsid w:val="00B9335C"/>
    <w:rsid w:val="00B93596"/>
    <w:rsid w:val="00B93D94"/>
    <w:rsid w:val="00B9500F"/>
    <w:rsid w:val="00B954D3"/>
    <w:rsid w:val="00B9618E"/>
    <w:rsid w:val="00B97310"/>
    <w:rsid w:val="00BA6EDA"/>
    <w:rsid w:val="00BA70B9"/>
    <w:rsid w:val="00BA70C1"/>
    <w:rsid w:val="00BA7508"/>
    <w:rsid w:val="00BA7770"/>
    <w:rsid w:val="00BB1103"/>
    <w:rsid w:val="00BB22C6"/>
    <w:rsid w:val="00BB2E7A"/>
    <w:rsid w:val="00BB504D"/>
    <w:rsid w:val="00BB643E"/>
    <w:rsid w:val="00BB71F5"/>
    <w:rsid w:val="00BC290C"/>
    <w:rsid w:val="00BC2CD3"/>
    <w:rsid w:val="00BC6169"/>
    <w:rsid w:val="00BD056B"/>
    <w:rsid w:val="00BD1DF5"/>
    <w:rsid w:val="00BD21C1"/>
    <w:rsid w:val="00BD2C3F"/>
    <w:rsid w:val="00BD344A"/>
    <w:rsid w:val="00BD36B1"/>
    <w:rsid w:val="00BD3E29"/>
    <w:rsid w:val="00BE0D59"/>
    <w:rsid w:val="00BE1367"/>
    <w:rsid w:val="00BE24D2"/>
    <w:rsid w:val="00BE252E"/>
    <w:rsid w:val="00BE26F1"/>
    <w:rsid w:val="00BE4234"/>
    <w:rsid w:val="00BE7E9A"/>
    <w:rsid w:val="00BF0279"/>
    <w:rsid w:val="00BF1CFD"/>
    <w:rsid w:val="00BF25BF"/>
    <w:rsid w:val="00BF30D8"/>
    <w:rsid w:val="00BF55ED"/>
    <w:rsid w:val="00BF5A34"/>
    <w:rsid w:val="00BF7C05"/>
    <w:rsid w:val="00BF7E06"/>
    <w:rsid w:val="00C00AAD"/>
    <w:rsid w:val="00C00B7C"/>
    <w:rsid w:val="00C00E8E"/>
    <w:rsid w:val="00C00F77"/>
    <w:rsid w:val="00C01CF6"/>
    <w:rsid w:val="00C01EF1"/>
    <w:rsid w:val="00C02587"/>
    <w:rsid w:val="00C02EA5"/>
    <w:rsid w:val="00C04C28"/>
    <w:rsid w:val="00C04DC5"/>
    <w:rsid w:val="00C061C1"/>
    <w:rsid w:val="00C062A0"/>
    <w:rsid w:val="00C06664"/>
    <w:rsid w:val="00C10DC1"/>
    <w:rsid w:val="00C11845"/>
    <w:rsid w:val="00C121DE"/>
    <w:rsid w:val="00C16F49"/>
    <w:rsid w:val="00C172FC"/>
    <w:rsid w:val="00C202A9"/>
    <w:rsid w:val="00C207AE"/>
    <w:rsid w:val="00C21F55"/>
    <w:rsid w:val="00C22617"/>
    <w:rsid w:val="00C24065"/>
    <w:rsid w:val="00C25F00"/>
    <w:rsid w:val="00C2605C"/>
    <w:rsid w:val="00C27EC5"/>
    <w:rsid w:val="00C32053"/>
    <w:rsid w:val="00C32E1F"/>
    <w:rsid w:val="00C4002C"/>
    <w:rsid w:val="00C40805"/>
    <w:rsid w:val="00C413F4"/>
    <w:rsid w:val="00C4156C"/>
    <w:rsid w:val="00C41CA6"/>
    <w:rsid w:val="00C41F4D"/>
    <w:rsid w:val="00C42C4B"/>
    <w:rsid w:val="00C43133"/>
    <w:rsid w:val="00C43A28"/>
    <w:rsid w:val="00C44D9D"/>
    <w:rsid w:val="00C44EA4"/>
    <w:rsid w:val="00C5101C"/>
    <w:rsid w:val="00C510F6"/>
    <w:rsid w:val="00C55E9D"/>
    <w:rsid w:val="00C5646A"/>
    <w:rsid w:val="00C62307"/>
    <w:rsid w:val="00C63840"/>
    <w:rsid w:val="00C638BC"/>
    <w:rsid w:val="00C639E3"/>
    <w:rsid w:val="00C648F4"/>
    <w:rsid w:val="00C67C59"/>
    <w:rsid w:val="00C70F29"/>
    <w:rsid w:val="00C72962"/>
    <w:rsid w:val="00C73F82"/>
    <w:rsid w:val="00C745EE"/>
    <w:rsid w:val="00C75ABD"/>
    <w:rsid w:val="00C766C8"/>
    <w:rsid w:val="00C77595"/>
    <w:rsid w:val="00C8065B"/>
    <w:rsid w:val="00C81437"/>
    <w:rsid w:val="00C814A8"/>
    <w:rsid w:val="00C818AC"/>
    <w:rsid w:val="00C82DC6"/>
    <w:rsid w:val="00C8323C"/>
    <w:rsid w:val="00C842DC"/>
    <w:rsid w:val="00C84F33"/>
    <w:rsid w:val="00C857FB"/>
    <w:rsid w:val="00C87F2F"/>
    <w:rsid w:val="00C90862"/>
    <w:rsid w:val="00C91617"/>
    <w:rsid w:val="00C92C0A"/>
    <w:rsid w:val="00C93429"/>
    <w:rsid w:val="00C94B43"/>
    <w:rsid w:val="00C94D87"/>
    <w:rsid w:val="00C95888"/>
    <w:rsid w:val="00C963B7"/>
    <w:rsid w:val="00C969DD"/>
    <w:rsid w:val="00C97244"/>
    <w:rsid w:val="00C976D1"/>
    <w:rsid w:val="00CA02D1"/>
    <w:rsid w:val="00CA0AC3"/>
    <w:rsid w:val="00CA0BA9"/>
    <w:rsid w:val="00CA35FE"/>
    <w:rsid w:val="00CA3788"/>
    <w:rsid w:val="00CA490C"/>
    <w:rsid w:val="00CA5AEA"/>
    <w:rsid w:val="00CA797A"/>
    <w:rsid w:val="00CB006D"/>
    <w:rsid w:val="00CB2D9F"/>
    <w:rsid w:val="00CB33DD"/>
    <w:rsid w:val="00CB45C7"/>
    <w:rsid w:val="00CB4A2D"/>
    <w:rsid w:val="00CB523C"/>
    <w:rsid w:val="00CB598C"/>
    <w:rsid w:val="00CB5B00"/>
    <w:rsid w:val="00CB6ED0"/>
    <w:rsid w:val="00CB7632"/>
    <w:rsid w:val="00CC277D"/>
    <w:rsid w:val="00CC2D59"/>
    <w:rsid w:val="00CC30F2"/>
    <w:rsid w:val="00CC3572"/>
    <w:rsid w:val="00CC3F97"/>
    <w:rsid w:val="00CC4DB6"/>
    <w:rsid w:val="00CC5B6D"/>
    <w:rsid w:val="00CC6021"/>
    <w:rsid w:val="00CC6A85"/>
    <w:rsid w:val="00CC6BAB"/>
    <w:rsid w:val="00CC7A9E"/>
    <w:rsid w:val="00CC7CC7"/>
    <w:rsid w:val="00CC7EB4"/>
    <w:rsid w:val="00CD2AA9"/>
    <w:rsid w:val="00CD3FEF"/>
    <w:rsid w:val="00CD46BA"/>
    <w:rsid w:val="00CD5B38"/>
    <w:rsid w:val="00CD74E9"/>
    <w:rsid w:val="00CE0199"/>
    <w:rsid w:val="00CE0E73"/>
    <w:rsid w:val="00CE1D58"/>
    <w:rsid w:val="00CE26F6"/>
    <w:rsid w:val="00CE4998"/>
    <w:rsid w:val="00CE5029"/>
    <w:rsid w:val="00CE51BA"/>
    <w:rsid w:val="00CE579E"/>
    <w:rsid w:val="00CE712C"/>
    <w:rsid w:val="00CE7422"/>
    <w:rsid w:val="00CF166F"/>
    <w:rsid w:val="00CF23BD"/>
    <w:rsid w:val="00CF31ED"/>
    <w:rsid w:val="00CF35D8"/>
    <w:rsid w:val="00CF37B9"/>
    <w:rsid w:val="00CF4534"/>
    <w:rsid w:val="00CF7111"/>
    <w:rsid w:val="00D03984"/>
    <w:rsid w:val="00D03C94"/>
    <w:rsid w:val="00D03CC3"/>
    <w:rsid w:val="00D064ED"/>
    <w:rsid w:val="00D078F8"/>
    <w:rsid w:val="00D101CD"/>
    <w:rsid w:val="00D1244A"/>
    <w:rsid w:val="00D12B30"/>
    <w:rsid w:val="00D13D09"/>
    <w:rsid w:val="00D15548"/>
    <w:rsid w:val="00D16D16"/>
    <w:rsid w:val="00D17918"/>
    <w:rsid w:val="00D17F3D"/>
    <w:rsid w:val="00D207CB"/>
    <w:rsid w:val="00D20C63"/>
    <w:rsid w:val="00D22574"/>
    <w:rsid w:val="00D2344F"/>
    <w:rsid w:val="00D2366D"/>
    <w:rsid w:val="00D24FEB"/>
    <w:rsid w:val="00D25529"/>
    <w:rsid w:val="00D25C61"/>
    <w:rsid w:val="00D25CA6"/>
    <w:rsid w:val="00D35569"/>
    <w:rsid w:val="00D357C8"/>
    <w:rsid w:val="00D3678E"/>
    <w:rsid w:val="00D37158"/>
    <w:rsid w:val="00D4008B"/>
    <w:rsid w:val="00D402DC"/>
    <w:rsid w:val="00D4466C"/>
    <w:rsid w:val="00D4516C"/>
    <w:rsid w:val="00D46C0A"/>
    <w:rsid w:val="00D508A1"/>
    <w:rsid w:val="00D511D7"/>
    <w:rsid w:val="00D51330"/>
    <w:rsid w:val="00D5250C"/>
    <w:rsid w:val="00D52B22"/>
    <w:rsid w:val="00D53241"/>
    <w:rsid w:val="00D53DB2"/>
    <w:rsid w:val="00D53F28"/>
    <w:rsid w:val="00D57091"/>
    <w:rsid w:val="00D5750C"/>
    <w:rsid w:val="00D62702"/>
    <w:rsid w:val="00D6628E"/>
    <w:rsid w:val="00D70FB1"/>
    <w:rsid w:val="00D723A7"/>
    <w:rsid w:val="00D72466"/>
    <w:rsid w:val="00D73176"/>
    <w:rsid w:val="00D76001"/>
    <w:rsid w:val="00D77175"/>
    <w:rsid w:val="00D813D3"/>
    <w:rsid w:val="00D82CB9"/>
    <w:rsid w:val="00D82DDB"/>
    <w:rsid w:val="00D82FD0"/>
    <w:rsid w:val="00D84EAC"/>
    <w:rsid w:val="00D85DBB"/>
    <w:rsid w:val="00D862E4"/>
    <w:rsid w:val="00D929C5"/>
    <w:rsid w:val="00D92AD3"/>
    <w:rsid w:val="00D92B50"/>
    <w:rsid w:val="00D9361F"/>
    <w:rsid w:val="00D94F14"/>
    <w:rsid w:val="00D94FDF"/>
    <w:rsid w:val="00D95105"/>
    <w:rsid w:val="00D95B28"/>
    <w:rsid w:val="00D96107"/>
    <w:rsid w:val="00D97876"/>
    <w:rsid w:val="00D97E2E"/>
    <w:rsid w:val="00DA1DC1"/>
    <w:rsid w:val="00DA1E2B"/>
    <w:rsid w:val="00DA3A38"/>
    <w:rsid w:val="00DA5497"/>
    <w:rsid w:val="00DA627E"/>
    <w:rsid w:val="00DA6F96"/>
    <w:rsid w:val="00DA7494"/>
    <w:rsid w:val="00DA7F6A"/>
    <w:rsid w:val="00DB1A9F"/>
    <w:rsid w:val="00DB5261"/>
    <w:rsid w:val="00DB57A5"/>
    <w:rsid w:val="00DB5C93"/>
    <w:rsid w:val="00DB7886"/>
    <w:rsid w:val="00DC08AF"/>
    <w:rsid w:val="00DC13AF"/>
    <w:rsid w:val="00DC1D9B"/>
    <w:rsid w:val="00DC21D6"/>
    <w:rsid w:val="00DC4719"/>
    <w:rsid w:val="00DC5C9D"/>
    <w:rsid w:val="00DC5DF9"/>
    <w:rsid w:val="00DC773F"/>
    <w:rsid w:val="00DD0E1B"/>
    <w:rsid w:val="00DD1774"/>
    <w:rsid w:val="00DD33AB"/>
    <w:rsid w:val="00DD42C1"/>
    <w:rsid w:val="00DD5267"/>
    <w:rsid w:val="00DD5863"/>
    <w:rsid w:val="00DE1E21"/>
    <w:rsid w:val="00DE2153"/>
    <w:rsid w:val="00DE3D60"/>
    <w:rsid w:val="00DE45C4"/>
    <w:rsid w:val="00DE512F"/>
    <w:rsid w:val="00DE620E"/>
    <w:rsid w:val="00DE64E6"/>
    <w:rsid w:val="00DE6BF7"/>
    <w:rsid w:val="00DE718B"/>
    <w:rsid w:val="00DE7813"/>
    <w:rsid w:val="00DF0EDF"/>
    <w:rsid w:val="00DF0FA4"/>
    <w:rsid w:val="00DF32FB"/>
    <w:rsid w:val="00DF42AC"/>
    <w:rsid w:val="00DF5BCF"/>
    <w:rsid w:val="00DF679F"/>
    <w:rsid w:val="00DF6C2C"/>
    <w:rsid w:val="00E00A3B"/>
    <w:rsid w:val="00E00D3E"/>
    <w:rsid w:val="00E03733"/>
    <w:rsid w:val="00E0391F"/>
    <w:rsid w:val="00E05FD7"/>
    <w:rsid w:val="00E06A0B"/>
    <w:rsid w:val="00E0705F"/>
    <w:rsid w:val="00E077E3"/>
    <w:rsid w:val="00E07AD3"/>
    <w:rsid w:val="00E116A5"/>
    <w:rsid w:val="00E135BC"/>
    <w:rsid w:val="00E13633"/>
    <w:rsid w:val="00E13E7F"/>
    <w:rsid w:val="00E14195"/>
    <w:rsid w:val="00E14400"/>
    <w:rsid w:val="00E153F3"/>
    <w:rsid w:val="00E17263"/>
    <w:rsid w:val="00E1798D"/>
    <w:rsid w:val="00E2108E"/>
    <w:rsid w:val="00E229D9"/>
    <w:rsid w:val="00E2354C"/>
    <w:rsid w:val="00E26677"/>
    <w:rsid w:val="00E26E97"/>
    <w:rsid w:val="00E279EC"/>
    <w:rsid w:val="00E306CE"/>
    <w:rsid w:val="00E31F63"/>
    <w:rsid w:val="00E3225B"/>
    <w:rsid w:val="00E325DC"/>
    <w:rsid w:val="00E342E5"/>
    <w:rsid w:val="00E3499A"/>
    <w:rsid w:val="00E353AA"/>
    <w:rsid w:val="00E35899"/>
    <w:rsid w:val="00E35DD8"/>
    <w:rsid w:val="00E35FA1"/>
    <w:rsid w:val="00E36E76"/>
    <w:rsid w:val="00E370AF"/>
    <w:rsid w:val="00E370CF"/>
    <w:rsid w:val="00E37E2A"/>
    <w:rsid w:val="00E400B0"/>
    <w:rsid w:val="00E400F1"/>
    <w:rsid w:val="00E40EA9"/>
    <w:rsid w:val="00E41508"/>
    <w:rsid w:val="00E41834"/>
    <w:rsid w:val="00E42FEB"/>
    <w:rsid w:val="00E44093"/>
    <w:rsid w:val="00E44391"/>
    <w:rsid w:val="00E44B15"/>
    <w:rsid w:val="00E45293"/>
    <w:rsid w:val="00E46A95"/>
    <w:rsid w:val="00E47CFA"/>
    <w:rsid w:val="00E50E36"/>
    <w:rsid w:val="00E514D3"/>
    <w:rsid w:val="00E52477"/>
    <w:rsid w:val="00E52655"/>
    <w:rsid w:val="00E5382F"/>
    <w:rsid w:val="00E540F9"/>
    <w:rsid w:val="00E54160"/>
    <w:rsid w:val="00E5440B"/>
    <w:rsid w:val="00E55B28"/>
    <w:rsid w:val="00E560FE"/>
    <w:rsid w:val="00E561B5"/>
    <w:rsid w:val="00E6022C"/>
    <w:rsid w:val="00E61383"/>
    <w:rsid w:val="00E615E7"/>
    <w:rsid w:val="00E62942"/>
    <w:rsid w:val="00E62CC5"/>
    <w:rsid w:val="00E64495"/>
    <w:rsid w:val="00E6488C"/>
    <w:rsid w:val="00E65A36"/>
    <w:rsid w:val="00E65EE4"/>
    <w:rsid w:val="00E66837"/>
    <w:rsid w:val="00E66881"/>
    <w:rsid w:val="00E70613"/>
    <w:rsid w:val="00E70ADB"/>
    <w:rsid w:val="00E747B2"/>
    <w:rsid w:val="00E77A1A"/>
    <w:rsid w:val="00E8115E"/>
    <w:rsid w:val="00E811EC"/>
    <w:rsid w:val="00E81A0D"/>
    <w:rsid w:val="00E82AE2"/>
    <w:rsid w:val="00E8327A"/>
    <w:rsid w:val="00E8371E"/>
    <w:rsid w:val="00E84BAF"/>
    <w:rsid w:val="00E84D1E"/>
    <w:rsid w:val="00E8727E"/>
    <w:rsid w:val="00E87B76"/>
    <w:rsid w:val="00E908F1"/>
    <w:rsid w:val="00E913CD"/>
    <w:rsid w:val="00E92352"/>
    <w:rsid w:val="00E93740"/>
    <w:rsid w:val="00E93764"/>
    <w:rsid w:val="00E95170"/>
    <w:rsid w:val="00E95984"/>
    <w:rsid w:val="00E96C61"/>
    <w:rsid w:val="00E97538"/>
    <w:rsid w:val="00E97A92"/>
    <w:rsid w:val="00EA02D7"/>
    <w:rsid w:val="00EA133E"/>
    <w:rsid w:val="00EA17CB"/>
    <w:rsid w:val="00EA2524"/>
    <w:rsid w:val="00EA2750"/>
    <w:rsid w:val="00EA28DD"/>
    <w:rsid w:val="00EA5460"/>
    <w:rsid w:val="00EA7083"/>
    <w:rsid w:val="00EA7155"/>
    <w:rsid w:val="00EA77F7"/>
    <w:rsid w:val="00EB0186"/>
    <w:rsid w:val="00EB1811"/>
    <w:rsid w:val="00EB20DD"/>
    <w:rsid w:val="00EB25D3"/>
    <w:rsid w:val="00EB4022"/>
    <w:rsid w:val="00EB5F47"/>
    <w:rsid w:val="00EB69A3"/>
    <w:rsid w:val="00EC04BC"/>
    <w:rsid w:val="00EC1223"/>
    <w:rsid w:val="00EC176A"/>
    <w:rsid w:val="00EC2013"/>
    <w:rsid w:val="00EC2FB4"/>
    <w:rsid w:val="00EC4E55"/>
    <w:rsid w:val="00EC575C"/>
    <w:rsid w:val="00EC5A1E"/>
    <w:rsid w:val="00EC5D5F"/>
    <w:rsid w:val="00EC636E"/>
    <w:rsid w:val="00EC766F"/>
    <w:rsid w:val="00EC7FF8"/>
    <w:rsid w:val="00ED1D28"/>
    <w:rsid w:val="00ED312D"/>
    <w:rsid w:val="00ED3460"/>
    <w:rsid w:val="00ED3B54"/>
    <w:rsid w:val="00ED7BAF"/>
    <w:rsid w:val="00EE1126"/>
    <w:rsid w:val="00EE16C1"/>
    <w:rsid w:val="00EE1DEB"/>
    <w:rsid w:val="00EE375E"/>
    <w:rsid w:val="00EE497A"/>
    <w:rsid w:val="00EE555E"/>
    <w:rsid w:val="00EE584A"/>
    <w:rsid w:val="00EE5B70"/>
    <w:rsid w:val="00EE76B2"/>
    <w:rsid w:val="00EE77C6"/>
    <w:rsid w:val="00EE7B4D"/>
    <w:rsid w:val="00EE7C64"/>
    <w:rsid w:val="00EF1077"/>
    <w:rsid w:val="00EF17C0"/>
    <w:rsid w:val="00EF2BE3"/>
    <w:rsid w:val="00EF4F8B"/>
    <w:rsid w:val="00EF6082"/>
    <w:rsid w:val="00EF63A8"/>
    <w:rsid w:val="00EF6AD5"/>
    <w:rsid w:val="00F00350"/>
    <w:rsid w:val="00F007C6"/>
    <w:rsid w:val="00F01996"/>
    <w:rsid w:val="00F01B7B"/>
    <w:rsid w:val="00F03CA2"/>
    <w:rsid w:val="00F05667"/>
    <w:rsid w:val="00F07056"/>
    <w:rsid w:val="00F07759"/>
    <w:rsid w:val="00F10665"/>
    <w:rsid w:val="00F10B0F"/>
    <w:rsid w:val="00F113A9"/>
    <w:rsid w:val="00F11878"/>
    <w:rsid w:val="00F145E2"/>
    <w:rsid w:val="00F14AE8"/>
    <w:rsid w:val="00F15193"/>
    <w:rsid w:val="00F152B1"/>
    <w:rsid w:val="00F15A38"/>
    <w:rsid w:val="00F15A86"/>
    <w:rsid w:val="00F160F2"/>
    <w:rsid w:val="00F20B26"/>
    <w:rsid w:val="00F22A9B"/>
    <w:rsid w:val="00F23C72"/>
    <w:rsid w:val="00F240A6"/>
    <w:rsid w:val="00F2748D"/>
    <w:rsid w:val="00F277D6"/>
    <w:rsid w:val="00F27F9D"/>
    <w:rsid w:val="00F3083F"/>
    <w:rsid w:val="00F31563"/>
    <w:rsid w:val="00F33DD1"/>
    <w:rsid w:val="00F341FA"/>
    <w:rsid w:val="00F351B7"/>
    <w:rsid w:val="00F3569B"/>
    <w:rsid w:val="00F407F3"/>
    <w:rsid w:val="00F413A3"/>
    <w:rsid w:val="00F42A47"/>
    <w:rsid w:val="00F43ED2"/>
    <w:rsid w:val="00F44769"/>
    <w:rsid w:val="00F45468"/>
    <w:rsid w:val="00F46125"/>
    <w:rsid w:val="00F46DF5"/>
    <w:rsid w:val="00F46E23"/>
    <w:rsid w:val="00F47C55"/>
    <w:rsid w:val="00F5075C"/>
    <w:rsid w:val="00F51B2A"/>
    <w:rsid w:val="00F52B88"/>
    <w:rsid w:val="00F53000"/>
    <w:rsid w:val="00F537CA"/>
    <w:rsid w:val="00F538D1"/>
    <w:rsid w:val="00F54259"/>
    <w:rsid w:val="00F55120"/>
    <w:rsid w:val="00F55C0E"/>
    <w:rsid w:val="00F57BDB"/>
    <w:rsid w:val="00F57DFA"/>
    <w:rsid w:val="00F57E3C"/>
    <w:rsid w:val="00F61165"/>
    <w:rsid w:val="00F61CE7"/>
    <w:rsid w:val="00F61E7F"/>
    <w:rsid w:val="00F62BDB"/>
    <w:rsid w:val="00F62E69"/>
    <w:rsid w:val="00F66FD9"/>
    <w:rsid w:val="00F67A5C"/>
    <w:rsid w:val="00F76725"/>
    <w:rsid w:val="00F76BB3"/>
    <w:rsid w:val="00F77E3B"/>
    <w:rsid w:val="00F8182E"/>
    <w:rsid w:val="00F8187C"/>
    <w:rsid w:val="00F81BC3"/>
    <w:rsid w:val="00F82B0A"/>
    <w:rsid w:val="00F837FE"/>
    <w:rsid w:val="00F83954"/>
    <w:rsid w:val="00F84E5E"/>
    <w:rsid w:val="00F86A86"/>
    <w:rsid w:val="00F90964"/>
    <w:rsid w:val="00F90DAD"/>
    <w:rsid w:val="00F9232F"/>
    <w:rsid w:val="00F9242F"/>
    <w:rsid w:val="00F93247"/>
    <w:rsid w:val="00F9361A"/>
    <w:rsid w:val="00F94C2A"/>
    <w:rsid w:val="00F94D64"/>
    <w:rsid w:val="00F95214"/>
    <w:rsid w:val="00F962B0"/>
    <w:rsid w:val="00F96FAC"/>
    <w:rsid w:val="00F971A0"/>
    <w:rsid w:val="00FA07C5"/>
    <w:rsid w:val="00FA2C6E"/>
    <w:rsid w:val="00FA4061"/>
    <w:rsid w:val="00FA4A59"/>
    <w:rsid w:val="00FA4B9E"/>
    <w:rsid w:val="00FA59B5"/>
    <w:rsid w:val="00FA6170"/>
    <w:rsid w:val="00FA7094"/>
    <w:rsid w:val="00FA7C65"/>
    <w:rsid w:val="00FB0035"/>
    <w:rsid w:val="00FB005C"/>
    <w:rsid w:val="00FB0436"/>
    <w:rsid w:val="00FB11A6"/>
    <w:rsid w:val="00FB1CEC"/>
    <w:rsid w:val="00FB29A8"/>
    <w:rsid w:val="00FB2C3D"/>
    <w:rsid w:val="00FB392C"/>
    <w:rsid w:val="00FB3BD2"/>
    <w:rsid w:val="00FB4ADC"/>
    <w:rsid w:val="00FB4D4E"/>
    <w:rsid w:val="00FB6895"/>
    <w:rsid w:val="00FB68E3"/>
    <w:rsid w:val="00FB7CC4"/>
    <w:rsid w:val="00FC0302"/>
    <w:rsid w:val="00FC1370"/>
    <w:rsid w:val="00FC1836"/>
    <w:rsid w:val="00FC1D24"/>
    <w:rsid w:val="00FC266E"/>
    <w:rsid w:val="00FC3E7F"/>
    <w:rsid w:val="00FC4BCC"/>
    <w:rsid w:val="00FC5434"/>
    <w:rsid w:val="00FC561A"/>
    <w:rsid w:val="00FC58B6"/>
    <w:rsid w:val="00FC598D"/>
    <w:rsid w:val="00FC6C36"/>
    <w:rsid w:val="00FC77C8"/>
    <w:rsid w:val="00FD0D43"/>
    <w:rsid w:val="00FD14EB"/>
    <w:rsid w:val="00FD183C"/>
    <w:rsid w:val="00FD26DE"/>
    <w:rsid w:val="00FD6147"/>
    <w:rsid w:val="00FE3B13"/>
    <w:rsid w:val="00FE3FE1"/>
    <w:rsid w:val="00FE4F9D"/>
    <w:rsid w:val="00FE50BF"/>
    <w:rsid w:val="00FE5895"/>
    <w:rsid w:val="00FE648B"/>
    <w:rsid w:val="00FE75D7"/>
    <w:rsid w:val="00FF02BD"/>
    <w:rsid w:val="00FF0BC0"/>
    <w:rsid w:val="00FF2787"/>
    <w:rsid w:val="00FF2DF1"/>
    <w:rsid w:val="00FF3F61"/>
    <w:rsid w:val="00FF5D62"/>
    <w:rsid w:val="00FF61B1"/>
    <w:rsid w:val="00FF67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3437227B"/>
  <w15:docId w15:val="{2B804A96-51A4-4132-9FF0-B6F8349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9C1555"/>
    <w:pPr>
      <w:spacing w:after="0" w:line="240" w:lineRule="auto"/>
    </w:pPr>
    <w:rPr>
      <w:rFonts w:ascii="ITC Avant Garde" w:eastAsia="Times New Roman" w:hAnsi="ITC Avant Garde"/>
      <w:sz w:val="20"/>
      <w:szCs w:val="20"/>
      <w:lang w:val="es-ES" w:eastAsia="es-ES"/>
    </w:rPr>
  </w:style>
  <w:style w:type="character" w:customStyle="1" w:styleId="TextocomentarioCar">
    <w:name w:val="Texto comentario Car"/>
    <w:basedOn w:val="Fuentedeprrafopredeter"/>
    <w:link w:val="Textocomentario"/>
    <w:uiPriority w:val="99"/>
    <w:rsid w:val="009C1555"/>
    <w:rPr>
      <w:rFonts w:ascii="ITC Avant Garde" w:eastAsia="Times New Roman" w:hAnsi="ITC Avant Garde"/>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804028"/>
    <w:rPr>
      <w:sz w:val="22"/>
      <w:szCs w:val="22"/>
      <w:lang w:eastAsia="en-US"/>
    </w:rPr>
  </w:style>
  <w:style w:type="paragraph" w:customStyle="1" w:styleId="Normal1">
    <w:name w:val="Normal1"/>
    <w:basedOn w:val="Normal"/>
    <w:uiPriority w:val="99"/>
    <w:rsid w:val="00804028"/>
    <w:pPr>
      <w:spacing w:after="160" w:line="252" w:lineRule="auto"/>
    </w:pPr>
    <w:rPr>
      <w:rFonts w:eastAsiaTheme="minorHAnsi"/>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47325330">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627052363">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13259772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47527318">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1060219">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66882EFD-FFE0-4BE1-82AA-66420338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5046</Words>
  <Characters>27753</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5</cp:revision>
  <cp:lastPrinted>2015-11-10T16:45:00Z</cp:lastPrinted>
  <dcterms:created xsi:type="dcterms:W3CDTF">2017-06-29T19:29:00Z</dcterms:created>
  <dcterms:modified xsi:type="dcterms:W3CDTF">2017-07-06T18:45:00Z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