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80" w:rsidRPr="00F84180" w:rsidRDefault="00A46617" w:rsidP="00F84180">
      <w:pPr>
        <w:pStyle w:val="Ttulo1"/>
        <w:spacing w:after="240"/>
        <w:jc w:val="both"/>
        <w:rPr>
          <w:rFonts w:ascii="ITC Avant Garde" w:hAnsi="ITC Avant Garde"/>
          <w:b/>
          <w:color w:val="auto"/>
          <w:sz w:val="22"/>
          <w:szCs w:val="22"/>
        </w:rPr>
      </w:pPr>
      <w:r w:rsidRPr="00F84180">
        <w:rPr>
          <w:rFonts w:ascii="ITC Avant Garde" w:hAnsi="ITC Avant Garde"/>
          <w:b/>
          <w:color w:val="auto"/>
          <w:sz w:val="22"/>
          <w:szCs w:val="22"/>
          <w:lang w:eastAsia="es-ES"/>
        </w:rPr>
        <w:t>ACUERDO MEDIANTE EL CUAL EL PLENO DEL INSTITUTO FEDERAL DE TELECOMUNICACIONES</w:t>
      </w:r>
      <w:r w:rsidR="005C3881" w:rsidRPr="00F84180">
        <w:rPr>
          <w:rFonts w:ascii="ITC Avant Garde" w:hAnsi="ITC Avant Garde"/>
          <w:b/>
          <w:color w:val="auto"/>
          <w:sz w:val="22"/>
          <w:szCs w:val="22"/>
          <w:lang w:eastAsia="es-ES"/>
        </w:rPr>
        <w:t xml:space="preserve"> A</w:t>
      </w:r>
      <w:r w:rsidR="0023587A" w:rsidRPr="00F84180">
        <w:rPr>
          <w:rFonts w:ascii="ITC Avant Garde" w:hAnsi="ITC Avant Garde"/>
          <w:b/>
          <w:color w:val="auto"/>
          <w:sz w:val="22"/>
          <w:szCs w:val="22"/>
          <w:lang w:eastAsia="es-ES"/>
        </w:rPr>
        <w:t>UTORIZA</w:t>
      </w:r>
      <w:r w:rsidR="005C3881" w:rsidRPr="00F84180">
        <w:rPr>
          <w:rFonts w:ascii="ITC Avant Garde" w:hAnsi="ITC Avant Garde"/>
          <w:b/>
          <w:color w:val="auto"/>
          <w:sz w:val="22"/>
          <w:szCs w:val="22"/>
          <w:lang w:eastAsia="es-ES"/>
        </w:rPr>
        <w:t xml:space="preserve"> EL </w:t>
      </w:r>
      <w:r w:rsidR="00143AF0" w:rsidRPr="00F84180">
        <w:rPr>
          <w:rFonts w:ascii="ITC Avant Garde" w:hAnsi="ITC Avant Garde"/>
          <w:b/>
          <w:color w:val="auto"/>
          <w:sz w:val="22"/>
          <w:szCs w:val="22"/>
          <w:lang w:eastAsia="es-ES"/>
        </w:rPr>
        <w:t xml:space="preserve">PRIMER </w:t>
      </w:r>
      <w:r w:rsidR="005C3881" w:rsidRPr="00F84180">
        <w:rPr>
          <w:rFonts w:ascii="ITC Avant Garde" w:hAnsi="ITC Avant Garde"/>
          <w:b/>
          <w:color w:val="auto"/>
          <w:sz w:val="22"/>
          <w:szCs w:val="22"/>
          <w:lang w:eastAsia="es-ES"/>
        </w:rPr>
        <w:t>PROGRAMA</w:t>
      </w:r>
      <w:r w:rsidR="00143AF0" w:rsidRPr="00F84180">
        <w:rPr>
          <w:rFonts w:ascii="ITC Avant Garde" w:hAnsi="ITC Avant Garde"/>
          <w:b/>
          <w:color w:val="auto"/>
          <w:sz w:val="22"/>
          <w:szCs w:val="22"/>
          <w:lang w:eastAsia="es-ES"/>
        </w:rPr>
        <w:t xml:space="preserve"> TRIANUAL</w:t>
      </w:r>
      <w:r w:rsidR="005C3881" w:rsidRPr="00F84180">
        <w:rPr>
          <w:rFonts w:ascii="ITC Avant Garde" w:hAnsi="ITC Avant Garde"/>
          <w:b/>
          <w:color w:val="auto"/>
          <w:sz w:val="22"/>
          <w:szCs w:val="22"/>
          <w:lang w:eastAsia="es-ES"/>
        </w:rPr>
        <w:t xml:space="preserve"> </w:t>
      </w:r>
      <w:r w:rsidRPr="00F84180">
        <w:rPr>
          <w:rFonts w:ascii="ITC Avant Garde" w:hAnsi="ITC Avant Garde"/>
          <w:b/>
          <w:color w:val="auto"/>
          <w:sz w:val="22"/>
          <w:szCs w:val="22"/>
        </w:rPr>
        <w:t xml:space="preserve">PARA LA CONSTRUCCIÓN Y CRECIMIENTO DE LA </w:t>
      </w:r>
      <w:r w:rsidR="00811672" w:rsidRPr="00F84180">
        <w:rPr>
          <w:rFonts w:ascii="ITC Avant Garde" w:hAnsi="ITC Avant Garde"/>
          <w:b/>
          <w:color w:val="auto"/>
          <w:sz w:val="22"/>
          <w:szCs w:val="22"/>
        </w:rPr>
        <w:t>RED TRONCAL NACIONAL</w:t>
      </w:r>
    </w:p>
    <w:p w:rsidR="00F84180" w:rsidRPr="00F84180" w:rsidRDefault="00A46617" w:rsidP="00F84180">
      <w:pPr>
        <w:pStyle w:val="Ttulo2"/>
        <w:spacing w:after="240"/>
        <w:jc w:val="center"/>
        <w:rPr>
          <w:rFonts w:ascii="ITC Avant Garde Demi" w:hAnsi="ITC Avant Garde Demi"/>
          <w:b/>
          <w:color w:val="000000" w:themeColor="text1"/>
          <w:sz w:val="22"/>
          <w:szCs w:val="22"/>
        </w:rPr>
      </w:pPr>
      <w:r w:rsidRPr="00F84180">
        <w:rPr>
          <w:rFonts w:ascii="ITC Avant Garde Demi" w:hAnsi="ITC Avant Garde Demi"/>
          <w:b/>
          <w:color w:val="000000" w:themeColor="text1"/>
          <w:sz w:val="22"/>
          <w:szCs w:val="22"/>
        </w:rPr>
        <w:t>ANTECEDENTES</w:t>
      </w:r>
    </w:p>
    <w:p w:rsidR="00F84180" w:rsidRPr="00F84180" w:rsidRDefault="00A46617" w:rsidP="00F84180">
      <w:pPr>
        <w:numPr>
          <w:ilvl w:val="0"/>
          <w:numId w:val="1"/>
        </w:numPr>
        <w:tabs>
          <w:tab w:val="num" w:pos="1940"/>
        </w:tabs>
        <w:spacing w:after="240" w:line="276" w:lineRule="auto"/>
        <w:ind w:left="900" w:hanging="900"/>
        <w:jc w:val="both"/>
        <w:rPr>
          <w:rFonts w:ascii="ITC Avant Garde" w:hAnsi="ITC Avant Garde" w:cs="Arial"/>
          <w:b/>
          <w:bCs/>
          <w:sz w:val="22"/>
          <w:szCs w:val="22"/>
          <w:lang w:val="es-ES_tradnl"/>
        </w:rPr>
      </w:pPr>
      <w:r w:rsidRPr="00F84180">
        <w:rPr>
          <w:rFonts w:ascii="ITC Avant Garde" w:hAnsi="ITC Avant Garde" w:cs="Arial"/>
          <w:b/>
          <w:bCs/>
          <w:sz w:val="22"/>
          <w:szCs w:val="22"/>
          <w:lang w:val="es-ES_tradnl"/>
        </w:rPr>
        <w:t xml:space="preserve">Decreto de Reforma Constitucional en materia de telecomunicaciones. </w:t>
      </w:r>
      <w:r w:rsidRPr="00F84180">
        <w:rPr>
          <w:rFonts w:ascii="ITC Avant Garde" w:hAnsi="ITC Avant Garde" w:cs="Arial"/>
          <w:bCs/>
          <w:sz w:val="22"/>
          <w:szCs w:val="22"/>
          <w:lang w:val="es-ES_tradnl"/>
        </w:rPr>
        <w:t xml:space="preserve">Con fecha 11 de junio de 2013, se publicó en el Diario Oficial de la Federación (en lo sucesivo, </w:t>
      </w:r>
      <w:r w:rsidR="00EA59D7" w:rsidRPr="00F84180">
        <w:rPr>
          <w:rFonts w:ascii="ITC Avant Garde" w:hAnsi="ITC Avant Garde" w:cs="Arial"/>
          <w:bCs/>
          <w:sz w:val="22"/>
          <w:szCs w:val="22"/>
          <w:lang w:val="es-ES_tradnl"/>
        </w:rPr>
        <w:t xml:space="preserve">el </w:t>
      </w:r>
      <w:r w:rsidR="00765BDB"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DOF</w:t>
      </w:r>
      <w:r w:rsidR="001339B8"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 el “Decreto por el que se reforman y adicionan diversas disposiciones de los artículos 6</w:t>
      </w:r>
      <w:r w:rsidR="00484679" w:rsidRPr="00F84180">
        <w:rPr>
          <w:rFonts w:ascii="ITC Avant Garde" w:hAnsi="ITC Avant Garde" w:cs="Arial"/>
          <w:bCs/>
          <w:sz w:val="22"/>
          <w:szCs w:val="22"/>
          <w:lang w:val="es-ES_tradnl"/>
        </w:rPr>
        <w:t>o.</w:t>
      </w:r>
      <w:r w:rsidRPr="00F84180">
        <w:rPr>
          <w:rFonts w:ascii="ITC Avant Garde" w:hAnsi="ITC Avant Garde" w:cs="Arial"/>
          <w:bCs/>
          <w:sz w:val="22"/>
          <w:szCs w:val="22"/>
          <w:lang w:val="es-ES_tradnl"/>
        </w:rPr>
        <w:t>, 7</w:t>
      </w:r>
      <w:r w:rsidR="00484679" w:rsidRPr="00F84180">
        <w:rPr>
          <w:rFonts w:ascii="ITC Avant Garde" w:hAnsi="ITC Avant Garde" w:cs="Arial"/>
          <w:bCs/>
          <w:sz w:val="22"/>
          <w:szCs w:val="22"/>
          <w:lang w:val="es-ES_tradnl"/>
        </w:rPr>
        <w:t>o.</w:t>
      </w:r>
      <w:r w:rsidRPr="00F84180">
        <w:rPr>
          <w:rFonts w:ascii="ITC Avant Garde" w:hAnsi="ITC Avant Garde" w:cs="Arial"/>
          <w:bCs/>
          <w:sz w:val="22"/>
          <w:szCs w:val="22"/>
          <w:lang w:val="es-ES_tradnl"/>
        </w:rPr>
        <w:t xml:space="preserve">, 27, 28, 73, 78, 94 y 105 de la Constitución Política de los Estados Unidos Mexicanos, en materia de telecomunicaciones” (en lo sucesivo, </w:t>
      </w:r>
      <w:r w:rsidR="00EA59D7" w:rsidRPr="00F84180">
        <w:rPr>
          <w:rFonts w:ascii="ITC Avant Garde" w:hAnsi="ITC Avant Garde" w:cs="Arial"/>
          <w:bCs/>
          <w:sz w:val="22"/>
          <w:szCs w:val="22"/>
          <w:lang w:val="es-ES_tradnl"/>
        </w:rPr>
        <w:t xml:space="preserve">el </w:t>
      </w:r>
      <w:r w:rsidR="00DF33CD"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Decreto</w:t>
      </w:r>
      <w:r w:rsidR="00DF33CD"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 xml:space="preserve">), mediante el cual se creó el Instituto Federal de Telecomunicaciones (en lo sucesivo, el </w:t>
      </w:r>
      <w:r w:rsidR="00765BDB"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Instituto</w:t>
      </w:r>
      <w:r w:rsidR="00765BDB" w:rsidRPr="00F84180">
        <w:rPr>
          <w:rFonts w:ascii="ITC Avant Garde" w:hAnsi="ITC Avant Garde" w:cs="Arial"/>
          <w:bCs/>
          <w:sz w:val="22"/>
          <w:szCs w:val="22"/>
          <w:lang w:val="es-ES_tradnl"/>
        </w:rPr>
        <w:t>”</w:t>
      </w:r>
      <w:r w:rsidRPr="00F84180">
        <w:rPr>
          <w:rFonts w:ascii="ITC Avant Garde" w:hAnsi="ITC Avant Garde" w:cs="Arial"/>
          <w:bCs/>
          <w:sz w:val="22"/>
          <w:szCs w:val="22"/>
          <w:lang w:val="es-ES_tradnl"/>
        </w:rPr>
        <w:t>), como un órgano autónomo con personalidad jurídica y patrimonio propio, cuyo objeto es regular, promover y supervisar el uso, aprovechamiento y explotación del espectro radioeléctrico, las redes y la prestación de los servicios de radiodifusión y telecomunicaciones,</w:t>
      </w:r>
      <w:r w:rsidR="005C3881" w:rsidRPr="00F84180">
        <w:rPr>
          <w:rFonts w:ascii="ITC Avant Garde" w:hAnsi="ITC Avant Garde" w:cs="Arial"/>
          <w:bCs/>
          <w:sz w:val="22"/>
          <w:szCs w:val="22"/>
          <w:lang w:val="es-ES_tradnl"/>
        </w:rPr>
        <w:t xml:space="preserve"> </w:t>
      </w:r>
      <w:r w:rsidRPr="00F84180">
        <w:rPr>
          <w:rFonts w:ascii="ITC Avant Garde" w:hAnsi="ITC Avant Garde" w:cs="Arial"/>
          <w:bCs/>
          <w:sz w:val="22"/>
          <w:szCs w:val="22"/>
          <w:lang w:val="es-ES_tradnl"/>
        </w:rPr>
        <w:t>además de ser la autoridad en materia de competencia económica en los sectores de los servicios antes aludidos.</w:t>
      </w:r>
      <w:r w:rsidR="00EB6552" w:rsidRPr="00F84180">
        <w:rPr>
          <w:rFonts w:ascii="ITC Avant Garde" w:hAnsi="ITC Avant Garde" w:cs="Arial"/>
          <w:bCs/>
          <w:sz w:val="22"/>
          <w:szCs w:val="22"/>
          <w:lang w:val="es-ES_tradnl"/>
        </w:rPr>
        <w:t xml:space="preserve"> Asimismo, dicho Decreto establece en su artículo Décimo Quinto Transitorio, que la Comisión Federal de Electricidad </w:t>
      </w:r>
      <w:r w:rsidR="00CF1A9C" w:rsidRPr="00F84180">
        <w:rPr>
          <w:rFonts w:ascii="ITC Avant Garde" w:hAnsi="ITC Avant Garde" w:cs="Arial"/>
          <w:bCs/>
          <w:sz w:val="22"/>
          <w:szCs w:val="22"/>
          <w:lang w:val="es-ES_tradnl"/>
        </w:rPr>
        <w:t xml:space="preserve">(en lo sucesivo, </w:t>
      </w:r>
      <w:r w:rsidR="00DF33CD" w:rsidRPr="00F84180">
        <w:rPr>
          <w:rFonts w:ascii="ITC Avant Garde" w:hAnsi="ITC Avant Garde" w:cs="Arial"/>
          <w:bCs/>
          <w:sz w:val="22"/>
          <w:szCs w:val="22"/>
          <w:lang w:val="es-ES_tradnl"/>
        </w:rPr>
        <w:t xml:space="preserve">la </w:t>
      </w:r>
      <w:r w:rsidR="00CF1A9C" w:rsidRPr="00F84180">
        <w:rPr>
          <w:rFonts w:ascii="ITC Avant Garde" w:hAnsi="ITC Avant Garde" w:cs="Arial"/>
          <w:bCs/>
          <w:sz w:val="22"/>
          <w:szCs w:val="22"/>
          <w:lang w:val="es-ES_tradnl"/>
        </w:rPr>
        <w:t xml:space="preserve">“Comisión”) </w:t>
      </w:r>
      <w:r w:rsidR="00EB6552" w:rsidRPr="00F84180">
        <w:rPr>
          <w:rFonts w:ascii="ITC Avant Garde" w:hAnsi="ITC Avant Garde" w:cs="Arial"/>
          <w:bCs/>
          <w:sz w:val="22"/>
          <w:szCs w:val="22"/>
          <w:lang w:val="es-ES_tradnl"/>
        </w:rPr>
        <w:t>cederá totalmente a Telecomunicaciones de México su concesión para instalar, operar y explotar una red pública de telecomunicaciones</w:t>
      </w:r>
      <w:r w:rsidR="00070CDB" w:rsidRPr="00F84180">
        <w:rPr>
          <w:rFonts w:ascii="ITC Avant Garde" w:hAnsi="ITC Avant Garde" w:cs="Arial"/>
          <w:bCs/>
          <w:sz w:val="22"/>
          <w:szCs w:val="22"/>
          <w:lang w:val="es-ES_tradnl"/>
        </w:rPr>
        <w:t>.</w:t>
      </w:r>
    </w:p>
    <w:p w:rsidR="00F84180" w:rsidRPr="00F84180" w:rsidRDefault="00A46617" w:rsidP="00F84180">
      <w:pPr>
        <w:numPr>
          <w:ilvl w:val="0"/>
          <w:numId w:val="1"/>
        </w:numPr>
        <w:tabs>
          <w:tab w:val="num" w:pos="1940"/>
        </w:tabs>
        <w:spacing w:after="240" w:line="276" w:lineRule="auto"/>
        <w:ind w:left="900" w:hanging="900"/>
        <w:jc w:val="both"/>
        <w:rPr>
          <w:rFonts w:ascii="ITC Avant Garde" w:hAnsi="ITC Avant Garde" w:cs="Arial"/>
          <w:bCs/>
          <w:sz w:val="22"/>
          <w:szCs w:val="22"/>
          <w:lang w:eastAsia="es-ES"/>
        </w:rPr>
      </w:pPr>
      <w:r w:rsidRPr="00F84180">
        <w:rPr>
          <w:rFonts w:ascii="ITC Avant Garde" w:hAnsi="ITC Avant Garde" w:cs="Arial"/>
          <w:b/>
          <w:bCs/>
          <w:sz w:val="22"/>
          <w:szCs w:val="22"/>
          <w:lang w:eastAsia="es-ES"/>
        </w:rPr>
        <w:t>Expedición de la Ley Federal de Telecomunicaciones y Radiodifusión</w:t>
      </w:r>
      <w:r w:rsidRPr="00F84180">
        <w:rPr>
          <w:rFonts w:ascii="ITC Avant Garde" w:hAnsi="ITC Avant Garde" w:cs="Arial"/>
          <w:bCs/>
          <w:sz w:val="22"/>
          <w:szCs w:val="22"/>
          <w:lang w:eastAsia="es-ES"/>
        </w:rPr>
        <w:t xml:space="preserve">. Con fecha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 términos de lo dispuesto </w:t>
      </w:r>
      <w:r w:rsidR="001339B8" w:rsidRPr="00F84180">
        <w:rPr>
          <w:rFonts w:ascii="ITC Avant Garde" w:hAnsi="ITC Avant Garde" w:cs="Arial"/>
          <w:bCs/>
          <w:sz w:val="22"/>
          <w:szCs w:val="22"/>
          <w:lang w:eastAsia="es-ES"/>
        </w:rPr>
        <w:t xml:space="preserve">en </w:t>
      </w:r>
      <w:r w:rsidRPr="00F84180">
        <w:rPr>
          <w:rFonts w:ascii="ITC Avant Garde" w:hAnsi="ITC Avant Garde" w:cs="Arial"/>
          <w:bCs/>
          <w:sz w:val="22"/>
          <w:szCs w:val="22"/>
          <w:lang w:eastAsia="es-ES"/>
        </w:rPr>
        <w:t xml:space="preserve">su </w:t>
      </w:r>
      <w:r w:rsidR="00484679" w:rsidRPr="00F84180">
        <w:rPr>
          <w:rFonts w:ascii="ITC Avant Garde" w:hAnsi="ITC Avant Garde" w:cs="Arial"/>
          <w:bCs/>
          <w:sz w:val="22"/>
          <w:szCs w:val="22"/>
          <w:lang w:eastAsia="es-ES"/>
        </w:rPr>
        <w:t>a</w:t>
      </w:r>
      <w:r w:rsidRPr="00F84180">
        <w:rPr>
          <w:rFonts w:ascii="ITC Avant Garde" w:hAnsi="ITC Avant Garde" w:cs="Arial"/>
          <w:bCs/>
          <w:sz w:val="22"/>
          <w:szCs w:val="22"/>
          <w:lang w:eastAsia="es-ES"/>
        </w:rPr>
        <w:t xml:space="preserve">rtículo Primero </w:t>
      </w:r>
      <w:r w:rsidR="00484679" w:rsidRPr="00F84180">
        <w:rPr>
          <w:rFonts w:ascii="ITC Avant Garde" w:hAnsi="ITC Avant Garde" w:cs="Arial"/>
          <w:bCs/>
          <w:sz w:val="22"/>
          <w:szCs w:val="22"/>
          <w:lang w:eastAsia="es-ES"/>
        </w:rPr>
        <w:t>T</w:t>
      </w:r>
      <w:r w:rsidRPr="00F84180">
        <w:rPr>
          <w:rFonts w:ascii="ITC Avant Garde" w:hAnsi="ITC Avant Garde" w:cs="Arial"/>
          <w:bCs/>
          <w:sz w:val="22"/>
          <w:szCs w:val="22"/>
          <w:lang w:eastAsia="es-ES"/>
        </w:rPr>
        <w:t xml:space="preserve">ransitorio, entró en vigor </w:t>
      </w:r>
      <w:r w:rsidR="000D603C" w:rsidRPr="00F84180">
        <w:rPr>
          <w:rFonts w:ascii="ITC Avant Garde" w:hAnsi="ITC Avant Garde" w:cs="Arial"/>
          <w:bCs/>
          <w:sz w:val="22"/>
          <w:szCs w:val="22"/>
          <w:lang w:eastAsia="es-ES"/>
        </w:rPr>
        <w:t xml:space="preserve">a los </w:t>
      </w:r>
      <w:r w:rsidRPr="00F84180">
        <w:rPr>
          <w:rFonts w:ascii="ITC Avant Garde" w:hAnsi="ITC Avant Garde" w:cs="Arial"/>
          <w:bCs/>
          <w:sz w:val="22"/>
          <w:szCs w:val="22"/>
          <w:lang w:eastAsia="es-ES"/>
        </w:rPr>
        <w:t>treinta días naturales siguientes a su publicación, esto es, el 13 de agosto de 2014.</w:t>
      </w:r>
    </w:p>
    <w:p w:rsidR="00290AB5" w:rsidRPr="00F84180" w:rsidRDefault="00A46617" w:rsidP="00F84180">
      <w:pPr>
        <w:numPr>
          <w:ilvl w:val="0"/>
          <w:numId w:val="1"/>
        </w:numPr>
        <w:tabs>
          <w:tab w:val="num" w:pos="1940"/>
        </w:tabs>
        <w:spacing w:after="240" w:line="276" w:lineRule="auto"/>
        <w:ind w:left="900" w:hanging="900"/>
        <w:jc w:val="both"/>
        <w:rPr>
          <w:rFonts w:ascii="ITC Avant Garde" w:hAnsi="ITC Avant Garde" w:cs="Arial"/>
          <w:bCs/>
          <w:sz w:val="22"/>
          <w:szCs w:val="22"/>
          <w:lang w:eastAsia="es-ES"/>
        </w:rPr>
      </w:pPr>
      <w:r w:rsidRPr="00F84180">
        <w:rPr>
          <w:rFonts w:ascii="ITC Avant Garde" w:hAnsi="ITC Avant Garde" w:cs="Arial"/>
          <w:b/>
          <w:bCs/>
          <w:sz w:val="22"/>
          <w:szCs w:val="22"/>
          <w:lang w:eastAsia="es-ES"/>
        </w:rPr>
        <w:t>Expedición del Estatuto Orgánico del Instituto Federal de Telecomunicaciones.</w:t>
      </w:r>
      <w:r w:rsidRPr="00F84180">
        <w:rPr>
          <w:rFonts w:ascii="ITC Avant Garde" w:hAnsi="ITC Avant Garde" w:cs="Arial"/>
          <w:bCs/>
          <w:sz w:val="22"/>
          <w:szCs w:val="22"/>
          <w:lang w:eastAsia="es-ES"/>
        </w:rPr>
        <w:t xml:space="preserve"> </w:t>
      </w:r>
      <w:r w:rsidR="009B2FEF" w:rsidRPr="00F84180">
        <w:rPr>
          <w:rFonts w:ascii="ITC Avant Garde" w:hAnsi="ITC Avant Garde" w:cs="Arial"/>
          <w:bCs/>
          <w:sz w:val="22"/>
          <w:szCs w:val="22"/>
          <w:lang w:eastAsia="es-ES"/>
        </w:rPr>
        <w:t xml:space="preserve">Con fecha </w:t>
      </w:r>
      <w:r w:rsidRPr="00F84180">
        <w:rPr>
          <w:rFonts w:ascii="ITC Avant Garde" w:hAnsi="ITC Avant Garde" w:cs="Arial"/>
          <w:bCs/>
          <w:sz w:val="22"/>
          <w:szCs w:val="22"/>
          <w:lang w:eastAsia="es-ES"/>
        </w:rPr>
        <w:t>4 de septiembre de 2014</w:t>
      </w:r>
      <w:r w:rsidR="00484679" w:rsidRPr="00F84180">
        <w:rPr>
          <w:rFonts w:ascii="ITC Avant Garde" w:hAnsi="ITC Avant Garde" w:cs="Arial"/>
          <w:bCs/>
          <w:sz w:val="22"/>
          <w:szCs w:val="22"/>
          <w:lang w:eastAsia="es-ES"/>
        </w:rPr>
        <w:t>,</w:t>
      </w:r>
      <w:r w:rsidRPr="00F84180">
        <w:rPr>
          <w:rFonts w:ascii="ITC Avant Garde" w:hAnsi="ITC Avant Garde" w:cs="Arial"/>
          <w:bCs/>
          <w:sz w:val="22"/>
          <w:szCs w:val="22"/>
          <w:lang w:eastAsia="es-ES"/>
        </w:rPr>
        <w:t xml:space="preserve"> se publicó en el DOF el “Estatuto Orgánico del Instituto Federal de Telecomunicaciones” (en lo sucesivo, el </w:t>
      </w:r>
      <w:r w:rsidR="00DF33CD" w:rsidRPr="00F84180">
        <w:rPr>
          <w:rFonts w:ascii="ITC Avant Garde" w:hAnsi="ITC Avant Garde" w:cs="Arial"/>
          <w:bCs/>
          <w:sz w:val="22"/>
          <w:szCs w:val="22"/>
          <w:lang w:eastAsia="es-ES"/>
        </w:rPr>
        <w:t>“</w:t>
      </w:r>
      <w:r w:rsidRPr="00F84180">
        <w:rPr>
          <w:rFonts w:ascii="ITC Avant Garde" w:hAnsi="ITC Avant Garde" w:cs="Arial"/>
          <w:bCs/>
          <w:sz w:val="22"/>
          <w:szCs w:val="22"/>
          <w:lang w:eastAsia="es-ES"/>
        </w:rPr>
        <w:t>Estatuto</w:t>
      </w:r>
      <w:r w:rsidR="00A23F7A" w:rsidRPr="00F84180">
        <w:rPr>
          <w:rFonts w:ascii="ITC Avant Garde" w:hAnsi="ITC Avant Garde" w:cs="Arial"/>
          <w:bCs/>
          <w:sz w:val="22"/>
          <w:szCs w:val="22"/>
          <w:lang w:eastAsia="es-ES"/>
        </w:rPr>
        <w:t xml:space="preserve"> Orgánico</w:t>
      </w:r>
      <w:r w:rsidR="00DF33CD" w:rsidRPr="00F84180">
        <w:rPr>
          <w:rFonts w:ascii="ITC Avant Garde" w:hAnsi="ITC Avant Garde" w:cs="Arial"/>
          <w:bCs/>
          <w:sz w:val="22"/>
          <w:szCs w:val="22"/>
          <w:lang w:eastAsia="es-ES"/>
        </w:rPr>
        <w:t>”</w:t>
      </w:r>
      <w:r w:rsidRPr="00F84180">
        <w:rPr>
          <w:rFonts w:ascii="ITC Avant Garde" w:hAnsi="ITC Avant Garde" w:cs="Arial"/>
          <w:bCs/>
          <w:sz w:val="22"/>
          <w:szCs w:val="22"/>
          <w:lang w:eastAsia="es-ES"/>
        </w:rPr>
        <w:t>), mismo que entró en vigor el 26 de septiembre de 2014</w:t>
      </w:r>
      <w:r w:rsidR="00290AB5" w:rsidRPr="00F84180">
        <w:rPr>
          <w:rFonts w:ascii="ITC Avant Garde" w:hAnsi="ITC Avant Garde" w:cs="Arial"/>
          <w:bCs/>
          <w:sz w:val="22"/>
          <w:szCs w:val="22"/>
          <w:lang w:eastAsia="es-ES"/>
        </w:rPr>
        <w:t xml:space="preserve">; y </w:t>
      </w:r>
      <w:r w:rsidR="0078280A" w:rsidRPr="00F84180">
        <w:rPr>
          <w:rFonts w:ascii="ITC Avant Garde" w:hAnsi="ITC Avant Garde" w:cs="Arial"/>
          <w:bCs/>
          <w:sz w:val="22"/>
          <w:szCs w:val="22"/>
          <w:lang w:eastAsia="es-ES"/>
        </w:rPr>
        <w:t>cuya</w:t>
      </w:r>
      <w:r w:rsidR="00290AB5" w:rsidRPr="00F84180">
        <w:rPr>
          <w:rFonts w:ascii="ITC Avant Garde" w:hAnsi="ITC Avant Garde" w:cs="Arial"/>
          <w:bCs/>
          <w:sz w:val="22"/>
          <w:szCs w:val="22"/>
          <w:lang w:eastAsia="es-ES"/>
        </w:rPr>
        <w:t xml:space="preserve"> </w:t>
      </w:r>
      <w:r w:rsidR="0078280A" w:rsidRPr="00F84180">
        <w:rPr>
          <w:rFonts w:ascii="ITC Avant Garde" w:hAnsi="ITC Avant Garde" w:cs="Arial"/>
          <w:bCs/>
          <w:sz w:val="22"/>
          <w:szCs w:val="22"/>
          <w:lang w:eastAsia="es-ES"/>
        </w:rPr>
        <w:t>última</w:t>
      </w:r>
      <w:r w:rsidR="00290AB5" w:rsidRPr="00F84180">
        <w:rPr>
          <w:rFonts w:ascii="ITC Avant Garde" w:hAnsi="ITC Avant Garde" w:cs="Arial"/>
          <w:bCs/>
          <w:sz w:val="22"/>
          <w:szCs w:val="22"/>
          <w:lang w:eastAsia="es-ES"/>
        </w:rPr>
        <w:t xml:space="preserve"> modific</w:t>
      </w:r>
      <w:r w:rsidR="0078280A" w:rsidRPr="00F84180">
        <w:rPr>
          <w:rFonts w:ascii="ITC Avant Garde" w:hAnsi="ITC Avant Garde" w:cs="Arial"/>
          <w:bCs/>
          <w:sz w:val="22"/>
          <w:szCs w:val="22"/>
          <w:lang w:eastAsia="es-ES"/>
        </w:rPr>
        <w:t>ación</w:t>
      </w:r>
      <w:r w:rsidR="00290AB5" w:rsidRPr="00F84180">
        <w:rPr>
          <w:rFonts w:ascii="ITC Avant Garde" w:hAnsi="ITC Avant Garde" w:cs="Arial"/>
          <w:bCs/>
          <w:sz w:val="22"/>
          <w:szCs w:val="22"/>
          <w:lang w:eastAsia="es-ES"/>
        </w:rPr>
        <w:t xml:space="preserve"> </w:t>
      </w:r>
      <w:r w:rsidR="0078280A" w:rsidRPr="00F84180">
        <w:rPr>
          <w:rFonts w:ascii="ITC Avant Garde" w:hAnsi="ITC Avant Garde" w:cs="Arial"/>
          <w:bCs/>
          <w:sz w:val="22"/>
          <w:szCs w:val="22"/>
          <w:lang w:eastAsia="es-ES"/>
        </w:rPr>
        <w:t xml:space="preserve">se publicó en el DOF </w:t>
      </w:r>
      <w:r w:rsidR="00290AB5" w:rsidRPr="00F84180">
        <w:rPr>
          <w:rFonts w:ascii="ITC Avant Garde" w:hAnsi="ITC Avant Garde" w:cs="Arial"/>
          <w:bCs/>
          <w:sz w:val="22"/>
          <w:szCs w:val="22"/>
          <w:lang w:eastAsia="es-ES"/>
        </w:rPr>
        <w:t>el 17 de octubre de 201</w:t>
      </w:r>
      <w:r w:rsidR="0078280A" w:rsidRPr="00F84180">
        <w:rPr>
          <w:rFonts w:ascii="ITC Avant Garde" w:hAnsi="ITC Avant Garde" w:cs="Arial"/>
          <w:bCs/>
          <w:sz w:val="22"/>
          <w:szCs w:val="22"/>
          <w:lang w:eastAsia="es-ES"/>
        </w:rPr>
        <w:t>6</w:t>
      </w:r>
      <w:r w:rsidR="00290AB5" w:rsidRPr="00F84180">
        <w:rPr>
          <w:rFonts w:ascii="ITC Avant Garde" w:hAnsi="ITC Avant Garde" w:cs="Arial"/>
          <w:bCs/>
          <w:sz w:val="22"/>
          <w:szCs w:val="22"/>
          <w:lang w:eastAsia="es-ES"/>
        </w:rPr>
        <w:t>.</w:t>
      </w:r>
    </w:p>
    <w:p w:rsidR="00F84180" w:rsidRPr="00F84180" w:rsidRDefault="007A0BEC" w:rsidP="00F84180">
      <w:pPr>
        <w:numPr>
          <w:ilvl w:val="0"/>
          <w:numId w:val="1"/>
        </w:numPr>
        <w:tabs>
          <w:tab w:val="num" w:pos="1940"/>
        </w:tabs>
        <w:spacing w:after="240" w:line="276" w:lineRule="auto"/>
        <w:ind w:left="900" w:hanging="900"/>
        <w:jc w:val="both"/>
        <w:rPr>
          <w:rFonts w:ascii="ITC Avant Garde" w:hAnsi="ITC Avant Garde" w:cs="Arial"/>
          <w:bCs/>
          <w:sz w:val="22"/>
          <w:szCs w:val="22"/>
          <w:lang w:eastAsia="es-ES"/>
        </w:rPr>
      </w:pPr>
      <w:r w:rsidRPr="00F84180">
        <w:rPr>
          <w:rFonts w:ascii="ITC Avant Garde" w:hAnsi="ITC Avant Garde" w:cs="Arial"/>
          <w:b/>
          <w:bCs/>
          <w:sz w:val="22"/>
          <w:szCs w:val="22"/>
          <w:lang w:val="es-ES_tradnl" w:eastAsia="es-ES"/>
        </w:rPr>
        <w:lastRenderedPageBreak/>
        <w:t xml:space="preserve">Autorización de la </w:t>
      </w:r>
      <w:r w:rsidRPr="00F84180">
        <w:rPr>
          <w:rFonts w:ascii="ITC Avant Garde" w:hAnsi="ITC Avant Garde" w:cs="Arial"/>
          <w:b/>
          <w:bCs/>
          <w:sz w:val="22"/>
          <w:szCs w:val="22"/>
          <w:lang w:eastAsia="es-ES"/>
        </w:rPr>
        <w:t>c</w:t>
      </w:r>
      <w:r w:rsidR="005C3881" w:rsidRPr="00F84180">
        <w:rPr>
          <w:rFonts w:ascii="ITC Avant Garde" w:hAnsi="ITC Avant Garde" w:cs="Arial"/>
          <w:b/>
          <w:bCs/>
          <w:sz w:val="22"/>
          <w:szCs w:val="22"/>
          <w:lang w:eastAsia="es-ES"/>
        </w:rPr>
        <w:t>esión de derechos y obligaciones derivados de la concesión de la</w:t>
      </w:r>
      <w:r w:rsidR="0025433E" w:rsidRPr="00F84180">
        <w:rPr>
          <w:rFonts w:ascii="ITC Avant Garde" w:hAnsi="ITC Avant Garde" w:cs="Arial"/>
          <w:b/>
          <w:bCs/>
          <w:sz w:val="22"/>
          <w:szCs w:val="22"/>
          <w:lang w:eastAsia="es-ES"/>
        </w:rPr>
        <w:t xml:space="preserve"> </w:t>
      </w:r>
      <w:r w:rsidR="005C3881" w:rsidRPr="00F84180">
        <w:rPr>
          <w:rFonts w:ascii="ITC Avant Garde" w:hAnsi="ITC Avant Garde" w:cs="Arial"/>
          <w:b/>
          <w:bCs/>
          <w:sz w:val="22"/>
          <w:szCs w:val="22"/>
          <w:lang w:eastAsia="es-ES"/>
        </w:rPr>
        <w:t>Comisión Federal de Electricidad a favor de Telecomunicaciones de</w:t>
      </w:r>
      <w:r w:rsidR="0025433E" w:rsidRPr="00F84180">
        <w:rPr>
          <w:rFonts w:ascii="ITC Avant Garde" w:hAnsi="ITC Avant Garde" w:cs="Arial"/>
          <w:b/>
          <w:bCs/>
          <w:sz w:val="22"/>
          <w:szCs w:val="22"/>
          <w:lang w:eastAsia="es-ES"/>
        </w:rPr>
        <w:t xml:space="preserve"> </w:t>
      </w:r>
      <w:r w:rsidR="005C3881" w:rsidRPr="00F84180">
        <w:rPr>
          <w:rFonts w:ascii="ITC Avant Garde" w:hAnsi="ITC Avant Garde" w:cs="Arial"/>
          <w:b/>
          <w:bCs/>
          <w:sz w:val="22"/>
          <w:szCs w:val="22"/>
          <w:lang w:eastAsia="es-ES"/>
        </w:rPr>
        <w:t>México.</w:t>
      </w:r>
      <w:r w:rsidR="005C3881" w:rsidRPr="00F84180">
        <w:rPr>
          <w:rFonts w:ascii="ITC Avant Garde" w:hAnsi="ITC Avant Garde" w:cs="Arial"/>
          <w:bCs/>
          <w:sz w:val="22"/>
          <w:szCs w:val="22"/>
          <w:lang w:eastAsia="es-ES"/>
        </w:rPr>
        <w:t xml:space="preserve"> </w:t>
      </w:r>
      <w:r w:rsidR="009B2FEF" w:rsidRPr="00F84180">
        <w:rPr>
          <w:rFonts w:ascii="ITC Avant Garde" w:hAnsi="ITC Avant Garde" w:cs="Arial"/>
          <w:bCs/>
          <w:sz w:val="22"/>
          <w:szCs w:val="22"/>
          <w:lang w:eastAsia="es-ES"/>
        </w:rPr>
        <w:t>Con fecha</w:t>
      </w:r>
      <w:r w:rsidR="005C3881" w:rsidRPr="00F84180">
        <w:rPr>
          <w:rFonts w:ascii="ITC Avant Garde" w:hAnsi="ITC Avant Garde" w:cs="Arial"/>
          <w:bCs/>
          <w:sz w:val="22"/>
          <w:szCs w:val="22"/>
          <w:lang w:eastAsia="es-ES"/>
        </w:rPr>
        <w:t xml:space="preserve"> 23 de septiembre de 2015, el Instituto, autorizó a la Comisión a llevar a cabo la cesión de derec</w:t>
      </w:r>
      <w:r w:rsidR="0025433E" w:rsidRPr="00F84180">
        <w:rPr>
          <w:rFonts w:ascii="ITC Avant Garde" w:hAnsi="ITC Avant Garde" w:cs="Arial"/>
          <w:bCs/>
          <w:sz w:val="22"/>
          <w:szCs w:val="22"/>
          <w:lang w:eastAsia="es-ES"/>
        </w:rPr>
        <w:t xml:space="preserve">hos </w:t>
      </w:r>
      <w:r w:rsidR="005C3881" w:rsidRPr="00F84180">
        <w:rPr>
          <w:rFonts w:ascii="ITC Avant Garde" w:hAnsi="ITC Avant Garde" w:cs="Arial"/>
          <w:bCs/>
          <w:sz w:val="22"/>
          <w:szCs w:val="22"/>
          <w:lang w:eastAsia="es-ES"/>
        </w:rPr>
        <w:t>y</w:t>
      </w:r>
      <w:r w:rsidR="0025433E" w:rsidRPr="00F84180">
        <w:rPr>
          <w:rFonts w:ascii="ITC Avant Garde" w:hAnsi="ITC Avant Garde" w:cs="Arial"/>
          <w:bCs/>
          <w:sz w:val="22"/>
          <w:szCs w:val="22"/>
          <w:lang w:eastAsia="es-ES"/>
        </w:rPr>
        <w:t xml:space="preserve"> </w:t>
      </w:r>
      <w:r w:rsidR="005C3881" w:rsidRPr="00F84180">
        <w:rPr>
          <w:rFonts w:ascii="ITC Avant Garde" w:hAnsi="ITC Avant Garde" w:cs="Arial"/>
          <w:bCs/>
          <w:sz w:val="22"/>
          <w:szCs w:val="22"/>
          <w:lang w:eastAsia="es-ES"/>
        </w:rPr>
        <w:t>obligaciones del título de concesión para instalar, operar y explotar una</w:t>
      </w:r>
      <w:r w:rsidR="0025433E" w:rsidRPr="00F84180">
        <w:rPr>
          <w:rFonts w:ascii="ITC Avant Garde" w:hAnsi="ITC Avant Garde" w:cs="Arial"/>
          <w:bCs/>
          <w:sz w:val="22"/>
          <w:szCs w:val="22"/>
          <w:lang w:eastAsia="es-ES"/>
        </w:rPr>
        <w:t xml:space="preserve"> </w:t>
      </w:r>
      <w:r w:rsidR="005C3881" w:rsidRPr="00F84180">
        <w:rPr>
          <w:rFonts w:ascii="ITC Avant Garde" w:hAnsi="ITC Avant Garde" w:cs="Arial"/>
          <w:bCs/>
          <w:sz w:val="22"/>
          <w:szCs w:val="22"/>
          <w:lang w:eastAsia="es-ES"/>
        </w:rPr>
        <w:t>red pública de telecomunicaciones con cobertura a nivel nacional, en</w:t>
      </w:r>
      <w:r w:rsidR="0025433E" w:rsidRPr="00F84180">
        <w:rPr>
          <w:rFonts w:ascii="ITC Avant Garde" w:hAnsi="ITC Avant Garde" w:cs="Arial"/>
          <w:bCs/>
          <w:sz w:val="22"/>
          <w:szCs w:val="22"/>
          <w:lang w:eastAsia="es-ES"/>
        </w:rPr>
        <w:t xml:space="preserve"> </w:t>
      </w:r>
      <w:r w:rsidR="005C3881" w:rsidRPr="00F84180">
        <w:rPr>
          <w:rFonts w:ascii="ITC Avant Garde" w:hAnsi="ITC Avant Garde" w:cs="Arial"/>
          <w:bCs/>
          <w:sz w:val="22"/>
          <w:szCs w:val="22"/>
          <w:lang w:eastAsia="es-ES"/>
        </w:rPr>
        <w:t>favor de Telecomunicaciones de México.</w:t>
      </w:r>
    </w:p>
    <w:p w:rsidR="00F84180" w:rsidRPr="00F84180" w:rsidRDefault="009B2FEF" w:rsidP="00F84180">
      <w:pPr>
        <w:numPr>
          <w:ilvl w:val="0"/>
          <w:numId w:val="1"/>
        </w:numPr>
        <w:tabs>
          <w:tab w:val="num" w:pos="1940"/>
        </w:tabs>
        <w:spacing w:after="240" w:line="276" w:lineRule="auto"/>
        <w:ind w:left="900" w:hanging="900"/>
        <w:jc w:val="both"/>
        <w:rPr>
          <w:rFonts w:ascii="ITC Avant Garde" w:hAnsi="ITC Avant Garde" w:cs="Arial"/>
          <w:bCs/>
          <w:sz w:val="22"/>
          <w:szCs w:val="22"/>
          <w:lang w:eastAsia="es-ES"/>
        </w:rPr>
      </w:pPr>
      <w:r w:rsidRPr="00F84180">
        <w:rPr>
          <w:rFonts w:ascii="ITC Avant Garde" w:hAnsi="ITC Avant Garde" w:cs="Arial"/>
          <w:b/>
          <w:bCs/>
          <w:sz w:val="22"/>
          <w:szCs w:val="22"/>
          <w:lang w:val="es-ES_tradnl" w:eastAsia="es-ES"/>
        </w:rPr>
        <w:t>Título de concesión con carácter de Red Compartida Mayorista otorgado a Telecomunicaciones de México.</w:t>
      </w:r>
      <w:r w:rsidRPr="00F84180">
        <w:rPr>
          <w:rFonts w:ascii="ITC Avant Garde" w:hAnsi="ITC Avant Garde" w:cs="Arial"/>
          <w:bCs/>
          <w:sz w:val="22"/>
          <w:szCs w:val="22"/>
          <w:lang w:eastAsia="es-ES"/>
        </w:rPr>
        <w:t xml:space="preserve"> Con fecha 18 de enero de 2016</w:t>
      </w:r>
      <w:r w:rsidR="00484679" w:rsidRPr="00F84180">
        <w:rPr>
          <w:rFonts w:ascii="ITC Avant Garde" w:hAnsi="ITC Avant Garde" w:cs="Arial"/>
          <w:bCs/>
          <w:sz w:val="22"/>
          <w:szCs w:val="22"/>
          <w:lang w:eastAsia="es-ES"/>
        </w:rPr>
        <w:t>,</w:t>
      </w:r>
      <w:r w:rsidRPr="00F84180">
        <w:rPr>
          <w:rFonts w:ascii="ITC Avant Garde" w:hAnsi="ITC Avant Garde" w:cs="Arial"/>
          <w:bCs/>
          <w:sz w:val="22"/>
          <w:szCs w:val="22"/>
          <w:lang w:eastAsia="es-ES"/>
        </w:rPr>
        <w:t xml:space="preserve"> se </w:t>
      </w:r>
      <w:r w:rsidR="00991A32" w:rsidRPr="00F84180">
        <w:rPr>
          <w:rFonts w:ascii="ITC Avant Garde" w:hAnsi="ITC Avant Garde" w:cs="Arial"/>
          <w:bCs/>
          <w:sz w:val="22"/>
          <w:szCs w:val="22"/>
          <w:lang w:eastAsia="es-ES"/>
        </w:rPr>
        <w:t>otorgó</w:t>
      </w:r>
      <w:r w:rsidRPr="00F84180">
        <w:rPr>
          <w:rFonts w:ascii="ITC Avant Garde" w:hAnsi="ITC Avant Garde" w:cs="Arial"/>
          <w:bCs/>
          <w:sz w:val="22"/>
          <w:szCs w:val="22"/>
          <w:lang w:eastAsia="es-ES"/>
        </w:rPr>
        <w:t xml:space="preserve"> a Telecomunicaciones de México el título de concesión con carácter de red compartida mayorista de servicios de telecomunicaciones con una vigencia de 30 años y cobertura nacional (en lo </w:t>
      </w:r>
      <w:r w:rsidR="00991A32" w:rsidRPr="00F84180">
        <w:rPr>
          <w:rFonts w:ascii="ITC Avant Garde" w:hAnsi="ITC Avant Garde" w:cs="Arial"/>
          <w:bCs/>
          <w:sz w:val="22"/>
          <w:szCs w:val="22"/>
          <w:lang w:eastAsia="es-ES"/>
        </w:rPr>
        <w:t>s</w:t>
      </w:r>
      <w:r w:rsidRPr="00F84180">
        <w:rPr>
          <w:rFonts w:ascii="ITC Avant Garde" w:hAnsi="ITC Avant Garde" w:cs="Arial"/>
          <w:bCs/>
          <w:sz w:val="22"/>
          <w:szCs w:val="22"/>
          <w:lang w:eastAsia="es-ES"/>
        </w:rPr>
        <w:t xml:space="preserve">ucesivo, </w:t>
      </w:r>
      <w:r w:rsidR="006D7E3F" w:rsidRPr="00F84180">
        <w:rPr>
          <w:rFonts w:ascii="ITC Avant Garde" w:hAnsi="ITC Avant Garde" w:cs="Arial"/>
          <w:bCs/>
          <w:sz w:val="22"/>
          <w:szCs w:val="22"/>
          <w:lang w:eastAsia="es-ES"/>
        </w:rPr>
        <w:t xml:space="preserve">el </w:t>
      </w:r>
      <w:r w:rsidRPr="00F84180">
        <w:rPr>
          <w:rFonts w:ascii="ITC Avant Garde" w:hAnsi="ITC Avant Garde" w:cs="Arial"/>
          <w:bCs/>
          <w:sz w:val="22"/>
          <w:szCs w:val="22"/>
          <w:lang w:eastAsia="es-ES"/>
        </w:rPr>
        <w:t>“Título de Concesión”)</w:t>
      </w:r>
      <w:r w:rsidR="003B4C61" w:rsidRPr="00F84180">
        <w:rPr>
          <w:rFonts w:ascii="ITC Avant Garde" w:hAnsi="ITC Avant Garde" w:cs="Arial"/>
          <w:bCs/>
          <w:sz w:val="22"/>
          <w:szCs w:val="22"/>
          <w:lang w:eastAsia="es-ES"/>
        </w:rPr>
        <w:t>.</w:t>
      </w:r>
    </w:p>
    <w:p w:rsidR="00F84180" w:rsidRPr="00F84180" w:rsidRDefault="0025433E" w:rsidP="00F84180">
      <w:pPr>
        <w:numPr>
          <w:ilvl w:val="0"/>
          <w:numId w:val="1"/>
        </w:numPr>
        <w:tabs>
          <w:tab w:val="num" w:pos="1940"/>
        </w:tabs>
        <w:spacing w:after="240" w:line="276" w:lineRule="auto"/>
        <w:ind w:left="900" w:hanging="900"/>
        <w:jc w:val="both"/>
        <w:rPr>
          <w:rFonts w:ascii="ITC Avant Garde" w:hAnsi="ITC Avant Garde" w:cs="Arial"/>
          <w:bCs/>
          <w:sz w:val="22"/>
          <w:szCs w:val="22"/>
        </w:rPr>
      </w:pPr>
      <w:r w:rsidRPr="00F84180">
        <w:rPr>
          <w:rFonts w:ascii="ITC Avant Garde" w:hAnsi="ITC Avant Garde" w:cs="Arial"/>
          <w:b/>
          <w:bCs/>
          <w:sz w:val="22"/>
          <w:szCs w:val="22"/>
          <w:lang w:val="es-ES_tradnl"/>
        </w:rPr>
        <w:t>L</w:t>
      </w:r>
      <w:r w:rsidRPr="00F84180">
        <w:rPr>
          <w:rFonts w:ascii="ITC Avant Garde" w:hAnsi="ITC Avant Garde" w:cs="Arial"/>
          <w:b/>
          <w:bCs/>
          <w:sz w:val="22"/>
          <w:szCs w:val="22"/>
        </w:rPr>
        <w:t>ineamientos para el acceso efectivo y compartido</w:t>
      </w:r>
      <w:r w:rsidR="00ED0E1F" w:rsidRPr="00F84180">
        <w:rPr>
          <w:rFonts w:ascii="ITC Avant Garde" w:hAnsi="ITC Avant Garde" w:cs="Arial"/>
          <w:b/>
          <w:bCs/>
          <w:sz w:val="22"/>
          <w:szCs w:val="22"/>
        </w:rPr>
        <w:t xml:space="preserve"> a la infraestructura de la Comisión Federal </w:t>
      </w:r>
      <w:r w:rsidR="0089236C" w:rsidRPr="00F84180">
        <w:rPr>
          <w:rFonts w:ascii="ITC Avant Garde" w:hAnsi="ITC Avant Garde" w:cs="Arial"/>
          <w:b/>
          <w:bCs/>
          <w:sz w:val="22"/>
          <w:szCs w:val="22"/>
        </w:rPr>
        <w:t>d</w:t>
      </w:r>
      <w:r w:rsidR="00ED0E1F" w:rsidRPr="00F84180">
        <w:rPr>
          <w:rFonts w:ascii="ITC Avant Garde" w:hAnsi="ITC Avant Garde" w:cs="Arial"/>
          <w:b/>
          <w:bCs/>
          <w:sz w:val="22"/>
          <w:szCs w:val="22"/>
        </w:rPr>
        <w:t xml:space="preserve">e Electricidad, por parte de Telecomunicaciones </w:t>
      </w:r>
      <w:r w:rsidR="0089236C" w:rsidRPr="00F84180">
        <w:rPr>
          <w:rFonts w:ascii="ITC Avant Garde" w:hAnsi="ITC Avant Garde" w:cs="Arial"/>
          <w:b/>
          <w:bCs/>
          <w:sz w:val="22"/>
          <w:szCs w:val="22"/>
        </w:rPr>
        <w:t>d</w:t>
      </w:r>
      <w:r w:rsidR="00ED0E1F" w:rsidRPr="00F84180">
        <w:rPr>
          <w:rFonts w:ascii="ITC Avant Garde" w:hAnsi="ITC Avant Garde" w:cs="Arial"/>
          <w:b/>
          <w:bCs/>
          <w:sz w:val="22"/>
          <w:szCs w:val="22"/>
        </w:rPr>
        <w:t>e México;</w:t>
      </w:r>
      <w:r w:rsidRPr="00F84180">
        <w:rPr>
          <w:rFonts w:ascii="ITC Avant Garde" w:hAnsi="ITC Avant Garde" w:cs="Arial"/>
          <w:b/>
          <w:bCs/>
          <w:sz w:val="22"/>
          <w:szCs w:val="22"/>
        </w:rPr>
        <w:t xml:space="preserve"> y para la construcción y crecimiento de una </w:t>
      </w:r>
      <w:r w:rsidR="00ED0E1F" w:rsidRPr="00F84180">
        <w:rPr>
          <w:rFonts w:ascii="ITC Avant Garde" w:hAnsi="ITC Avant Garde" w:cs="Arial"/>
          <w:b/>
          <w:bCs/>
          <w:sz w:val="22"/>
          <w:szCs w:val="22"/>
        </w:rPr>
        <w:t>Red Troncal Nacional</w:t>
      </w:r>
      <w:r w:rsidRPr="00F84180">
        <w:rPr>
          <w:rFonts w:ascii="ITC Avant Garde" w:hAnsi="ITC Avant Garde" w:cs="Arial"/>
          <w:b/>
          <w:bCs/>
          <w:sz w:val="22"/>
          <w:szCs w:val="22"/>
        </w:rPr>
        <w:t>.</w:t>
      </w:r>
      <w:r w:rsidRPr="00F84180">
        <w:rPr>
          <w:rFonts w:ascii="ITC Avant Garde" w:hAnsi="ITC Avant Garde" w:cs="Arial"/>
          <w:bCs/>
          <w:sz w:val="22"/>
          <w:szCs w:val="22"/>
          <w:lang w:eastAsia="es-ES"/>
        </w:rPr>
        <w:t xml:space="preserve"> </w:t>
      </w:r>
      <w:r w:rsidR="009B2FEF" w:rsidRPr="00F84180">
        <w:rPr>
          <w:rFonts w:ascii="ITC Avant Garde" w:hAnsi="ITC Avant Garde" w:cs="Arial"/>
          <w:bCs/>
          <w:sz w:val="22"/>
          <w:szCs w:val="22"/>
          <w:lang w:eastAsia="es-ES"/>
        </w:rPr>
        <w:t>Con fecha</w:t>
      </w:r>
      <w:r w:rsidRPr="00F84180">
        <w:rPr>
          <w:rFonts w:ascii="ITC Avant Garde" w:hAnsi="ITC Avant Garde" w:cs="Arial"/>
          <w:bCs/>
          <w:sz w:val="22"/>
          <w:szCs w:val="22"/>
          <w:lang w:eastAsia="es-ES"/>
        </w:rPr>
        <w:t xml:space="preserve"> 17 de agosto de 2016, el Pleno del Instituto</w:t>
      </w:r>
      <w:r w:rsidR="000A6394" w:rsidRPr="00F84180">
        <w:rPr>
          <w:rFonts w:ascii="ITC Avant Garde" w:hAnsi="ITC Avant Garde" w:cs="Arial"/>
          <w:bCs/>
          <w:sz w:val="22"/>
          <w:szCs w:val="22"/>
          <w:lang w:eastAsia="es-ES"/>
        </w:rPr>
        <w:t>,</w:t>
      </w:r>
      <w:r w:rsidRPr="00F84180">
        <w:rPr>
          <w:rFonts w:ascii="ITC Avant Garde" w:hAnsi="ITC Avant Garde" w:cs="Arial"/>
          <w:bCs/>
          <w:sz w:val="22"/>
          <w:szCs w:val="22"/>
          <w:lang w:eastAsia="es-ES"/>
        </w:rPr>
        <w:t xml:space="preserve"> mediante acuerdo P/IFT/170816/429, </w:t>
      </w:r>
      <w:r w:rsidR="000A6394" w:rsidRPr="00F84180">
        <w:rPr>
          <w:rFonts w:ascii="ITC Avant Garde" w:hAnsi="ITC Avant Garde" w:cs="Arial"/>
          <w:bCs/>
          <w:sz w:val="22"/>
          <w:szCs w:val="22"/>
          <w:lang w:eastAsia="es-ES"/>
        </w:rPr>
        <w:t xml:space="preserve">aprobó </w:t>
      </w:r>
      <w:r w:rsidRPr="00F84180">
        <w:rPr>
          <w:rFonts w:ascii="ITC Avant Garde" w:hAnsi="ITC Avant Garde" w:cs="Arial"/>
          <w:bCs/>
          <w:sz w:val="22"/>
          <w:szCs w:val="22"/>
          <w:lang w:eastAsia="es-ES"/>
        </w:rPr>
        <w:t>el “</w:t>
      </w:r>
      <w:r w:rsidRPr="00F84180">
        <w:rPr>
          <w:rFonts w:ascii="ITC Avant Garde" w:hAnsi="ITC Avant Garde" w:cs="Arial"/>
          <w:bCs/>
          <w:sz w:val="22"/>
          <w:szCs w:val="22"/>
        </w:rPr>
        <w:t>ACUERDO MEDIANTE El CUAL EL PLENO DEL INSTITUTO FEDERAL DE TELECOMUNICACIONES EMITE LOS LINEAMIENTOS PARA EL ACCESO EFECTIVO Y COMPARTIDO A LA INFRAESTRUCTURA DE LA COMISIÓN FEDERAL DE ELECTRICIDAD, POR PARTE DE TELECOMUNICACIONES DE MÉXICO; Y PARA LA CONSTRUCCIÓN Y CRECIMIENTO DE UNA RED TRONCAL NACIONAL”</w:t>
      </w:r>
      <w:r w:rsidR="00070CDB" w:rsidRPr="00F84180">
        <w:rPr>
          <w:rFonts w:ascii="ITC Avant Garde" w:hAnsi="ITC Avant Garde" w:cs="Arial"/>
          <w:bCs/>
          <w:sz w:val="22"/>
          <w:szCs w:val="22"/>
        </w:rPr>
        <w:t xml:space="preserve"> (en lo sucesivo, los “Lineamientos”)</w:t>
      </w:r>
      <w:r w:rsidRPr="00F84180">
        <w:rPr>
          <w:rFonts w:ascii="ITC Avant Garde" w:hAnsi="ITC Avant Garde" w:cs="Arial"/>
          <w:bCs/>
          <w:sz w:val="22"/>
          <w:szCs w:val="22"/>
        </w:rPr>
        <w:t>.</w:t>
      </w:r>
    </w:p>
    <w:p w:rsidR="00F84180" w:rsidRPr="00F84180" w:rsidRDefault="00641093" w:rsidP="00F84180">
      <w:pPr>
        <w:numPr>
          <w:ilvl w:val="0"/>
          <w:numId w:val="1"/>
        </w:numPr>
        <w:tabs>
          <w:tab w:val="num" w:pos="1940"/>
        </w:tabs>
        <w:spacing w:after="240" w:line="276" w:lineRule="auto"/>
        <w:ind w:left="900" w:hanging="900"/>
        <w:jc w:val="both"/>
        <w:rPr>
          <w:rFonts w:ascii="ITC Avant Garde" w:hAnsi="ITC Avant Garde" w:cs="Arial"/>
          <w:bCs/>
          <w:sz w:val="22"/>
          <w:szCs w:val="22"/>
        </w:rPr>
      </w:pPr>
      <w:r w:rsidRPr="00F84180">
        <w:rPr>
          <w:rFonts w:ascii="ITC Avant Garde" w:hAnsi="ITC Avant Garde" w:cs="Arial"/>
          <w:b/>
          <w:bCs/>
          <w:sz w:val="22"/>
          <w:szCs w:val="22"/>
        </w:rPr>
        <w:t>Solicitud de prórroga.</w:t>
      </w:r>
      <w:r w:rsidRPr="00F84180">
        <w:rPr>
          <w:rFonts w:ascii="ITC Avant Garde" w:hAnsi="ITC Avant Garde" w:cs="Arial"/>
          <w:bCs/>
          <w:sz w:val="22"/>
          <w:szCs w:val="22"/>
        </w:rPr>
        <w:t xml:space="preserve"> Con fecha 17 de febrero de 2016, Telecomunicaciones de México solicitó al Instituto la ampliación del plazo establecido en la condición 8.3 del Título de Concesión, con el fin de contar con la información necesaria para la adecuada elaboración del programa de construcción y crecimiento de la </w:t>
      </w:r>
      <w:r w:rsidR="00484679" w:rsidRPr="00F84180">
        <w:rPr>
          <w:rFonts w:ascii="ITC Avant Garde" w:hAnsi="ITC Avant Garde" w:cs="Arial"/>
          <w:bCs/>
          <w:sz w:val="22"/>
          <w:szCs w:val="22"/>
        </w:rPr>
        <w:t>R</w:t>
      </w:r>
      <w:r w:rsidRPr="00F84180">
        <w:rPr>
          <w:rFonts w:ascii="ITC Avant Garde" w:hAnsi="ITC Avant Garde" w:cs="Arial"/>
          <w:bCs/>
          <w:sz w:val="22"/>
          <w:szCs w:val="22"/>
        </w:rPr>
        <w:t xml:space="preserve">ed </w:t>
      </w:r>
      <w:r w:rsidR="00484679" w:rsidRPr="00F84180">
        <w:rPr>
          <w:rFonts w:ascii="ITC Avant Garde" w:hAnsi="ITC Avant Garde" w:cs="Arial"/>
          <w:bCs/>
          <w:sz w:val="22"/>
          <w:szCs w:val="22"/>
        </w:rPr>
        <w:t>T</w:t>
      </w:r>
      <w:r w:rsidRPr="00F84180">
        <w:rPr>
          <w:rFonts w:ascii="ITC Avant Garde" w:hAnsi="ITC Avant Garde" w:cs="Arial"/>
          <w:bCs/>
          <w:sz w:val="22"/>
          <w:szCs w:val="22"/>
        </w:rPr>
        <w:t xml:space="preserve">roncal </w:t>
      </w:r>
      <w:r w:rsidR="00484679" w:rsidRPr="00F84180">
        <w:rPr>
          <w:rFonts w:ascii="ITC Avant Garde" w:hAnsi="ITC Avant Garde" w:cs="Arial"/>
          <w:bCs/>
          <w:sz w:val="22"/>
          <w:szCs w:val="22"/>
        </w:rPr>
        <w:t>N</w:t>
      </w:r>
      <w:r w:rsidRPr="00F84180">
        <w:rPr>
          <w:rFonts w:ascii="ITC Avant Garde" w:hAnsi="ITC Avant Garde" w:cs="Arial"/>
          <w:bCs/>
          <w:sz w:val="22"/>
          <w:szCs w:val="22"/>
        </w:rPr>
        <w:t>acional.</w:t>
      </w:r>
    </w:p>
    <w:p w:rsidR="00641093" w:rsidRPr="00F84180" w:rsidRDefault="00641093" w:rsidP="00F84180">
      <w:pPr>
        <w:numPr>
          <w:ilvl w:val="0"/>
          <w:numId w:val="1"/>
        </w:numPr>
        <w:tabs>
          <w:tab w:val="num" w:pos="1940"/>
        </w:tabs>
        <w:spacing w:after="240" w:line="276" w:lineRule="auto"/>
        <w:ind w:left="900" w:hanging="900"/>
        <w:jc w:val="both"/>
        <w:rPr>
          <w:rFonts w:ascii="ITC Avant Garde" w:hAnsi="ITC Avant Garde" w:cs="Arial"/>
          <w:bCs/>
          <w:sz w:val="22"/>
          <w:szCs w:val="22"/>
        </w:rPr>
      </w:pPr>
      <w:r w:rsidRPr="00F84180">
        <w:rPr>
          <w:rFonts w:ascii="ITC Avant Garde" w:hAnsi="ITC Avant Garde" w:cs="Arial"/>
          <w:b/>
          <w:bCs/>
          <w:sz w:val="22"/>
          <w:szCs w:val="22"/>
        </w:rPr>
        <w:t>Autorización de prórroga.</w:t>
      </w:r>
      <w:r w:rsidR="00F11C6D" w:rsidRPr="00F84180">
        <w:rPr>
          <w:rFonts w:ascii="ITC Avant Garde" w:hAnsi="ITC Avant Garde" w:cs="Arial"/>
          <w:bCs/>
          <w:sz w:val="22"/>
          <w:szCs w:val="22"/>
        </w:rPr>
        <w:t xml:space="preserve"> Con fecha</w:t>
      </w:r>
      <w:r w:rsidRPr="00F84180">
        <w:rPr>
          <w:rFonts w:ascii="ITC Avant Garde" w:hAnsi="ITC Avant Garde" w:cs="Arial"/>
          <w:bCs/>
          <w:sz w:val="22"/>
          <w:szCs w:val="22"/>
        </w:rPr>
        <w:t xml:space="preserve"> 20 de septiembre de 2016, la Unidad de Concesiones y Servicios </w:t>
      </w:r>
      <w:r w:rsidR="00F11C6D" w:rsidRPr="00F84180">
        <w:rPr>
          <w:rFonts w:ascii="ITC Avant Garde" w:hAnsi="ITC Avant Garde" w:cs="Arial"/>
          <w:bCs/>
          <w:sz w:val="22"/>
          <w:szCs w:val="22"/>
        </w:rPr>
        <w:t xml:space="preserve">del Instituto, mediante oficio IFT/223/UCS/1692/2016, </w:t>
      </w:r>
      <w:r w:rsidRPr="00F84180">
        <w:rPr>
          <w:rFonts w:ascii="ITC Avant Garde" w:hAnsi="ITC Avant Garde" w:cs="Arial"/>
          <w:bCs/>
          <w:sz w:val="22"/>
          <w:szCs w:val="22"/>
        </w:rPr>
        <w:t xml:space="preserve">autorizó a Telecomunicaciones de México un plazo adicional de 90 días naturales, contados a partir del día siguiente en </w:t>
      </w:r>
      <w:r w:rsidR="001E6B6B" w:rsidRPr="00F84180">
        <w:rPr>
          <w:rFonts w:ascii="ITC Avant Garde" w:hAnsi="ITC Avant Garde" w:cs="Arial"/>
          <w:bCs/>
          <w:sz w:val="22"/>
          <w:szCs w:val="22"/>
        </w:rPr>
        <w:t xml:space="preserve">que </w:t>
      </w:r>
      <w:r w:rsidRPr="00F84180">
        <w:rPr>
          <w:rFonts w:ascii="ITC Avant Garde" w:hAnsi="ITC Avant Garde" w:cs="Arial"/>
          <w:bCs/>
          <w:sz w:val="22"/>
          <w:szCs w:val="22"/>
        </w:rPr>
        <w:t xml:space="preserve">surtió efectos la notificación del </w:t>
      </w:r>
      <w:r w:rsidR="00F11C6D" w:rsidRPr="00F84180">
        <w:rPr>
          <w:rFonts w:ascii="ITC Avant Garde" w:hAnsi="ITC Avant Garde" w:cs="Arial"/>
          <w:bCs/>
          <w:sz w:val="22"/>
          <w:szCs w:val="22"/>
        </w:rPr>
        <w:t xml:space="preserve">referido </w:t>
      </w:r>
      <w:r w:rsidRPr="00F84180">
        <w:rPr>
          <w:rFonts w:ascii="ITC Avant Garde" w:hAnsi="ITC Avant Garde" w:cs="Arial"/>
          <w:bCs/>
          <w:sz w:val="22"/>
          <w:szCs w:val="22"/>
        </w:rPr>
        <w:t>oficio de autorización, para presentar el programa establecido en la condición 8.3 del Título de Concesión.</w:t>
      </w:r>
    </w:p>
    <w:p w:rsidR="00F84180" w:rsidRPr="00F84180" w:rsidRDefault="00BF33D9" w:rsidP="00F84180">
      <w:pPr>
        <w:numPr>
          <w:ilvl w:val="0"/>
          <w:numId w:val="1"/>
        </w:numPr>
        <w:tabs>
          <w:tab w:val="num" w:pos="1940"/>
        </w:tabs>
        <w:spacing w:after="240" w:line="276" w:lineRule="auto"/>
        <w:ind w:left="900" w:hanging="900"/>
        <w:jc w:val="both"/>
        <w:rPr>
          <w:rFonts w:ascii="ITC Avant Garde" w:hAnsi="ITC Avant Garde" w:cs="Arial"/>
          <w:bCs/>
          <w:sz w:val="22"/>
          <w:szCs w:val="22"/>
        </w:rPr>
      </w:pPr>
      <w:r w:rsidRPr="00F84180">
        <w:rPr>
          <w:rFonts w:ascii="ITC Avant Garde" w:hAnsi="ITC Avant Garde" w:cs="Arial"/>
          <w:b/>
          <w:bCs/>
          <w:sz w:val="22"/>
          <w:szCs w:val="22"/>
          <w:lang w:val="es-ES_tradnl"/>
        </w:rPr>
        <w:lastRenderedPageBreak/>
        <w:t>P</w:t>
      </w:r>
      <w:r w:rsidR="00964991" w:rsidRPr="00F84180">
        <w:rPr>
          <w:rFonts w:ascii="ITC Avant Garde" w:hAnsi="ITC Avant Garde" w:cs="Arial"/>
          <w:b/>
          <w:bCs/>
          <w:sz w:val="22"/>
          <w:szCs w:val="22"/>
          <w:lang w:val="es-ES_tradnl"/>
        </w:rPr>
        <w:t>rograma Trianual para la construcción y crecimiento de la Red Troncal remitido por Telecomunicaciones de México</w:t>
      </w:r>
      <w:r w:rsidR="00966A4C" w:rsidRPr="00F84180">
        <w:rPr>
          <w:rFonts w:ascii="ITC Avant Garde" w:hAnsi="ITC Avant Garde" w:cs="Arial"/>
          <w:b/>
          <w:bCs/>
          <w:sz w:val="22"/>
          <w:szCs w:val="22"/>
          <w:lang w:val="es-ES_tradnl"/>
        </w:rPr>
        <w:t xml:space="preserve"> a</w:t>
      </w:r>
      <w:r w:rsidR="00FF478A" w:rsidRPr="00F84180">
        <w:rPr>
          <w:rFonts w:ascii="ITC Avant Garde" w:hAnsi="ITC Avant Garde" w:cs="Arial"/>
          <w:b/>
          <w:bCs/>
          <w:sz w:val="22"/>
          <w:szCs w:val="22"/>
          <w:lang w:val="es-ES_tradnl"/>
        </w:rPr>
        <w:t>l Instituto</w:t>
      </w:r>
      <w:r w:rsidR="00964991" w:rsidRPr="00F84180">
        <w:rPr>
          <w:rFonts w:ascii="ITC Avant Garde" w:hAnsi="ITC Avant Garde" w:cs="Arial"/>
          <w:b/>
          <w:bCs/>
          <w:sz w:val="22"/>
          <w:szCs w:val="22"/>
          <w:lang w:val="es-ES_tradnl"/>
        </w:rPr>
        <w:t>.</w:t>
      </w:r>
      <w:r w:rsidR="00964991" w:rsidRPr="00F84180">
        <w:rPr>
          <w:rFonts w:ascii="ITC Avant Garde" w:hAnsi="ITC Avant Garde" w:cs="Arial"/>
          <w:bCs/>
          <w:sz w:val="22"/>
          <w:szCs w:val="22"/>
          <w:lang w:val="es-ES_tradnl"/>
        </w:rPr>
        <w:t xml:space="preserve"> </w:t>
      </w:r>
      <w:r w:rsidR="009B2FEF" w:rsidRPr="00F84180">
        <w:rPr>
          <w:rFonts w:ascii="ITC Avant Garde" w:hAnsi="ITC Avant Garde" w:cs="Arial"/>
          <w:bCs/>
          <w:sz w:val="22"/>
          <w:szCs w:val="22"/>
          <w:lang w:val="es-ES_tradnl"/>
        </w:rPr>
        <w:t xml:space="preserve">Con fecha </w:t>
      </w:r>
      <w:r w:rsidR="00FC643F" w:rsidRPr="00F84180">
        <w:rPr>
          <w:rFonts w:ascii="ITC Avant Garde" w:hAnsi="ITC Avant Garde" w:cs="Arial"/>
          <w:bCs/>
          <w:sz w:val="22"/>
          <w:szCs w:val="22"/>
          <w:lang w:val="es-ES_tradnl"/>
        </w:rPr>
        <w:t>16 de diciembre de 2016, mediante o</w:t>
      </w:r>
      <w:r w:rsidR="0092676A" w:rsidRPr="00F84180">
        <w:rPr>
          <w:rFonts w:ascii="ITC Avant Garde" w:hAnsi="ITC Avant Garde" w:cs="Arial"/>
          <w:bCs/>
          <w:sz w:val="22"/>
          <w:szCs w:val="22"/>
          <w:lang w:val="es-ES_tradnl"/>
        </w:rPr>
        <w:t>ficio</w:t>
      </w:r>
      <w:r w:rsidR="00FC643F" w:rsidRPr="00F84180">
        <w:rPr>
          <w:rFonts w:ascii="ITC Avant Garde" w:hAnsi="ITC Avant Garde" w:cs="Arial"/>
          <w:bCs/>
          <w:sz w:val="22"/>
          <w:szCs w:val="22"/>
          <w:lang w:val="es-ES_tradnl"/>
        </w:rPr>
        <w:t xml:space="preserve"> </w:t>
      </w:r>
      <w:r w:rsidR="00FD4EC3" w:rsidRPr="00F84180">
        <w:rPr>
          <w:rFonts w:ascii="ITC Avant Garde" w:hAnsi="ITC Avant Garde" w:cs="Arial"/>
          <w:bCs/>
          <w:sz w:val="22"/>
          <w:szCs w:val="22"/>
          <w:lang w:val="es-ES_tradnl"/>
        </w:rPr>
        <w:t>1002.-433</w:t>
      </w:r>
      <w:r w:rsidR="00BE0969" w:rsidRPr="00F84180">
        <w:rPr>
          <w:rFonts w:ascii="ITC Avant Garde" w:hAnsi="ITC Avant Garde" w:cs="Arial"/>
          <w:bCs/>
          <w:sz w:val="22"/>
          <w:szCs w:val="22"/>
          <w:lang w:val="es-ES_tradnl"/>
        </w:rPr>
        <w:t>, Telecomunicaciones de México</w:t>
      </w:r>
      <w:r w:rsidR="00FC643F" w:rsidRPr="00F84180">
        <w:rPr>
          <w:rFonts w:ascii="ITC Avant Garde" w:hAnsi="ITC Avant Garde" w:cs="Arial"/>
          <w:bCs/>
          <w:sz w:val="22"/>
          <w:szCs w:val="22"/>
          <w:lang w:val="es-ES_tradnl"/>
        </w:rPr>
        <w:t xml:space="preserve"> remitió el primer "Programa Trianual para la construcción y crecimiento de la Red Troncal", a fin de resolver lo conducente respecto a </w:t>
      </w:r>
      <w:r w:rsidR="00FD4EC3" w:rsidRPr="00F84180">
        <w:rPr>
          <w:rFonts w:ascii="ITC Avant Garde" w:hAnsi="ITC Avant Garde" w:cs="Arial"/>
          <w:bCs/>
          <w:sz w:val="22"/>
          <w:szCs w:val="22"/>
          <w:lang w:val="es-ES_tradnl"/>
        </w:rPr>
        <w:t>su</w:t>
      </w:r>
      <w:r w:rsidR="00FC643F" w:rsidRPr="00F84180">
        <w:rPr>
          <w:rFonts w:ascii="ITC Avant Garde" w:hAnsi="ITC Avant Garde" w:cs="Arial"/>
          <w:bCs/>
          <w:sz w:val="22"/>
          <w:szCs w:val="22"/>
          <w:lang w:val="es-ES_tradnl"/>
        </w:rPr>
        <w:t xml:space="preserve"> autorización.</w:t>
      </w:r>
      <w:r w:rsidRPr="00F84180">
        <w:t xml:space="preserve"> </w:t>
      </w:r>
      <w:r w:rsidRPr="00F84180">
        <w:rPr>
          <w:rFonts w:ascii="ITC Avant Garde" w:hAnsi="ITC Avant Garde" w:cs="Arial"/>
          <w:bCs/>
          <w:sz w:val="22"/>
          <w:szCs w:val="22"/>
          <w:lang w:val="es-ES_tradnl"/>
        </w:rPr>
        <w:t>El 16 de marzo de 2017, Telecomunicaciones de México, mediante oficio 1002.-</w:t>
      </w:r>
      <w:r w:rsidR="00410CFE" w:rsidRPr="00F84180">
        <w:rPr>
          <w:rFonts w:ascii="ITC Avant Garde" w:hAnsi="ITC Avant Garde" w:cs="Arial"/>
          <w:bCs/>
          <w:sz w:val="22"/>
          <w:szCs w:val="22"/>
          <w:lang w:val="es-ES_tradnl"/>
        </w:rPr>
        <w:t>091</w:t>
      </w:r>
      <w:r w:rsidRPr="00F84180">
        <w:rPr>
          <w:rFonts w:ascii="ITC Avant Garde" w:hAnsi="ITC Avant Garde" w:cs="Arial"/>
          <w:bCs/>
          <w:sz w:val="22"/>
          <w:szCs w:val="22"/>
          <w:lang w:val="es-ES_tradnl"/>
        </w:rPr>
        <w:t>, remitió la segunda versión del "Programa Trianual para la construcción y crecimiento de la Red Troncal", denominada versión 1.1.</w:t>
      </w:r>
      <w:r w:rsidR="00FD4EC3" w:rsidRPr="00F84180">
        <w:rPr>
          <w:rFonts w:ascii="ITC Avant Garde" w:hAnsi="ITC Avant Garde" w:cs="Arial"/>
          <w:bCs/>
          <w:sz w:val="22"/>
          <w:szCs w:val="22"/>
          <w:lang w:val="es-ES_tradnl"/>
        </w:rPr>
        <w:t xml:space="preserve"> </w:t>
      </w:r>
      <w:r w:rsidR="00410CFE" w:rsidRPr="00F84180">
        <w:rPr>
          <w:rFonts w:ascii="ITC Avant Garde" w:hAnsi="ITC Avant Garde" w:cs="Arial"/>
          <w:bCs/>
          <w:sz w:val="22"/>
          <w:szCs w:val="22"/>
          <w:lang w:val="es-ES_tradnl"/>
        </w:rPr>
        <w:t>El 16 de mayo de 2017, Telecomunicaciones de México, mediante oficio 1002.-162</w:t>
      </w:r>
      <w:r w:rsidR="00410CFE" w:rsidRPr="00F84180">
        <w:rPr>
          <w:rFonts w:ascii="ITC Avant Garde" w:hAnsi="ITC Avant Garde" w:cs="Arial"/>
          <w:bCs/>
          <w:sz w:val="22"/>
          <w:szCs w:val="22"/>
        </w:rPr>
        <w:t xml:space="preserve">, remitió </w:t>
      </w:r>
      <w:r w:rsidR="00DB4C31" w:rsidRPr="00F84180">
        <w:rPr>
          <w:rFonts w:ascii="ITC Avant Garde" w:hAnsi="ITC Avant Garde" w:cs="Arial"/>
          <w:bCs/>
          <w:sz w:val="22"/>
          <w:szCs w:val="22"/>
        </w:rPr>
        <w:t>la</w:t>
      </w:r>
      <w:r w:rsidR="00410CFE" w:rsidRPr="00F84180">
        <w:rPr>
          <w:rFonts w:ascii="ITC Avant Garde" w:hAnsi="ITC Avant Garde" w:cs="Arial"/>
          <w:bCs/>
          <w:sz w:val="22"/>
          <w:szCs w:val="22"/>
        </w:rPr>
        <w:t xml:space="preserve"> versión </w:t>
      </w:r>
      <w:r w:rsidR="00DB4C31" w:rsidRPr="00F84180">
        <w:rPr>
          <w:rFonts w:ascii="ITC Avant Garde" w:hAnsi="ITC Avant Garde" w:cs="Arial"/>
          <w:bCs/>
          <w:sz w:val="22"/>
          <w:szCs w:val="22"/>
        </w:rPr>
        <w:t xml:space="preserve">final </w:t>
      </w:r>
      <w:r w:rsidR="00410CFE" w:rsidRPr="00F84180">
        <w:rPr>
          <w:rFonts w:ascii="ITC Avant Garde" w:hAnsi="ITC Avant Garde" w:cs="Arial"/>
          <w:bCs/>
          <w:sz w:val="22"/>
          <w:szCs w:val="22"/>
        </w:rPr>
        <w:t>del "Programa Trianual para la construcción y crecimiento de la Red Troncal", denominada versión 1.2.</w:t>
      </w:r>
    </w:p>
    <w:p w:rsidR="00F84180" w:rsidRPr="00F84180" w:rsidRDefault="00A46617" w:rsidP="00F84180">
      <w:pPr>
        <w:pStyle w:val="Normal1"/>
        <w:tabs>
          <w:tab w:val="left" w:pos="0"/>
        </w:tabs>
        <w:spacing w:after="240" w:line="276" w:lineRule="auto"/>
        <w:jc w:val="both"/>
        <w:rPr>
          <w:lang w:val="es-ES_tradnl"/>
        </w:rPr>
      </w:pPr>
      <w:r w:rsidRPr="00F84180">
        <w:rPr>
          <w:rFonts w:ascii="ITC Avant Garde" w:eastAsia="ITC Avant Garde" w:hAnsi="ITC Avant Garde" w:cs="ITC Avant Garde"/>
          <w:lang w:val="es-ES_tradnl"/>
        </w:rPr>
        <w:t>Derivado de lo anterior y conforme a los siguientes:</w:t>
      </w:r>
    </w:p>
    <w:p w:rsidR="00F84180" w:rsidRPr="00F84180" w:rsidRDefault="00A46617" w:rsidP="00F84180">
      <w:pPr>
        <w:pStyle w:val="Ttulo2"/>
        <w:spacing w:after="240"/>
        <w:jc w:val="center"/>
        <w:rPr>
          <w:rFonts w:ascii="ITC Avant Garde Demi" w:hAnsi="ITC Avant Garde Demi"/>
          <w:b/>
          <w:color w:val="000000" w:themeColor="text1"/>
          <w:sz w:val="22"/>
          <w:szCs w:val="22"/>
        </w:rPr>
      </w:pPr>
      <w:r w:rsidRPr="00F84180">
        <w:rPr>
          <w:rFonts w:ascii="ITC Avant Garde Demi" w:hAnsi="ITC Avant Garde Demi"/>
          <w:b/>
          <w:color w:val="000000" w:themeColor="text1"/>
          <w:sz w:val="22"/>
          <w:szCs w:val="22"/>
        </w:rPr>
        <w:t>CONSIDERANDOS</w:t>
      </w:r>
    </w:p>
    <w:p w:rsidR="00F84180" w:rsidRPr="00F84180" w:rsidRDefault="00A46617" w:rsidP="00F84180">
      <w:pPr>
        <w:tabs>
          <w:tab w:val="num" w:pos="1220"/>
          <w:tab w:val="num" w:pos="1940"/>
        </w:tabs>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PRIMERO.- Competencia del Instituto</w:t>
      </w:r>
      <w:r w:rsidRPr="00F84180">
        <w:rPr>
          <w:rFonts w:ascii="ITC Avant Garde" w:eastAsia="Arial" w:hAnsi="ITC Avant Garde" w:cs="Arial"/>
          <w:sz w:val="22"/>
          <w:szCs w:val="22"/>
          <w:lang w:val="es-ES_tradnl"/>
        </w:rPr>
        <w:t>. De conformidad con lo establecido por el artículo 28 párrafo décimo quinto de la Constitución Política de los Estados Unidos Mexicanos (</w:t>
      </w:r>
      <w:r w:rsidR="00D004F7" w:rsidRPr="00F84180">
        <w:rPr>
          <w:rFonts w:ascii="ITC Avant Garde" w:eastAsia="Arial" w:hAnsi="ITC Avant Garde" w:cs="Arial"/>
          <w:sz w:val="22"/>
          <w:szCs w:val="22"/>
          <w:lang w:val="es-ES_tradnl"/>
        </w:rPr>
        <w:t xml:space="preserve">en lo sucesivo, </w:t>
      </w:r>
      <w:r w:rsidRPr="00F84180">
        <w:rPr>
          <w:rFonts w:ascii="ITC Avant Garde" w:eastAsia="Arial" w:hAnsi="ITC Avant Garde" w:cs="Arial"/>
          <w:sz w:val="22"/>
          <w:szCs w:val="22"/>
          <w:lang w:val="es-ES_tradnl"/>
        </w:rPr>
        <w:t xml:space="preserve">la </w:t>
      </w:r>
      <w:r w:rsidR="00070CDB"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Constitución</w:t>
      </w:r>
      <w:r w:rsidR="00070CDB"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 el Instituto</w:t>
      </w:r>
      <w:r w:rsidR="00D004F7"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tiene por objeto el desarrollo eficiente de la radiodifusión y las telecomunicaciones, conforme a lo dispuesto en la propia Constitución y en los términos que fijen las leyes. Para tal efecto, en términos del precepto constitucional invocado así como de los artículos 1 y 7 de la Ley</w:t>
      </w:r>
      <w:r w:rsidR="00290AB5" w:rsidRPr="00F84180">
        <w:rPr>
          <w:rFonts w:ascii="ITC Avant Garde" w:eastAsia="Arial" w:hAnsi="ITC Avant Garde" w:cs="Arial"/>
          <w:sz w:val="22"/>
          <w:szCs w:val="22"/>
          <w:lang w:val="es-ES_tradnl"/>
        </w:rPr>
        <w:t xml:space="preserve"> Federal de Telecomunicaciones y Radiodifusión (en lo sucesivo, la </w:t>
      </w:r>
      <w:r w:rsidR="006D7E3F" w:rsidRPr="00F84180">
        <w:rPr>
          <w:rFonts w:ascii="ITC Avant Garde" w:eastAsia="Arial" w:hAnsi="ITC Avant Garde" w:cs="Arial"/>
          <w:sz w:val="22"/>
          <w:szCs w:val="22"/>
          <w:lang w:val="es-ES_tradnl"/>
        </w:rPr>
        <w:t>“</w:t>
      </w:r>
      <w:r w:rsidR="00290AB5" w:rsidRPr="00F84180">
        <w:rPr>
          <w:rFonts w:ascii="ITC Avant Garde" w:eastAsia="Arial" w:hAnsi="ITC Avant Garde" w:cs="Arial"/>
          <w:sz w:val="22"/>
          <w:szCs w:val="22"/>
          <w:lang w:val="es-ES_tradnl"/>
        </w:rPr>
        <w:t>Ley</w:t>
      </w:r>
      <w:r w:rsidR="006D7E3F" w:rsidRPr="00F84180">
        <w:rPr>
          <w:rFonts w:ascii="ITC Avant Garde" w:eastAsia="Arial" w:hAnsi="ITC Avant Garde" w:cs="Arial"/>
          <w:sz w:val="22"/>
          <w:szCs w:val="22"/>
          <w:lang w:val="es-ES_tradnl"/>
        </w:rPr>
        <w:t>”</w:t>
      </w:r>
      <w:r w:rsidR="00290AB5"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 el Instituto</w:t>
      </w:r>
      <w:r w:rsidR="00D004F7"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00F710BC" w:rsidRPr="00F84180">
        <w:rPr>
          <w:rFonts w:ascii="ITC Avant Garde" w:eastAsia="Arial" w:hAnsi="ITC Avant Garde" w:cs="Arial"/>
          <w:sz w:val="22"/>
          <w:szCs w:val="22"/>
          <w:lang w:val="es-ES_tradnl"/>
        </w:rPr>
        <w:t xml:space="preserve">contribuyendo a los fines y al ejercicio de los derechos establecidos en </w:t>
      </w:r>
      <w:r w:rsidRPr="00F84180">
        <w:rPr>
          <w:rFonts w:ascii="ITC Avant Garde" w:eastAsia="Arial" w:hAnsi="ITC Avant Garde" w:cs="Arial"/>
          <w:sz w:val="22"/>
          <w:szCs w:val="22"/>
          <w:lang w:val="es-ES_tradnl"/>
        </w:rPr>
        <w:t>los artículos 6o. y 7o. de la Constitución.</w:t>
      </w:r>
      <w:r w:rsidR="00347E0E" w:rsidRPr="00F84180">
        <w:rPr>
          <w:rFonts w:ascii="ITC Avant Garde" w:eastAsia="Arial" w:hAnsi="ITC Avant Garde" w:cs="Arial"/>
          <w:sz w:val="22"/>
          <w:szCs w:val="22"/>
          <w:lang w:val="es-ES_tradnl"/>
        </w:rPr>
        <w:t xml:space="preserve"> Igualmente, es autoridad en materia de competencia económica de los sectores de radiodifusión y telecomunicaciones, por lo que en éstos ejercerá en forma exclusiva las facultades establecidas para la Comisión Federal de Competencia Económica en el artículo 28 de la Constitución, la Ley y la Ley Federal de Competencia Económica.</w:t>
      </w:r>
    </w:p>
    <w:p w:rsidR="00F84180" w:rsidRPr="00F84180" w:rsidRDefault="00C04418" w:rsidP="00F84180">
      <w:pPr>
        <w:tabs>
          <w:tab w:val="num" w:pos="1220"/>
          <w:tab w:val="num" w:pos="1940"/>
        </w:tabs>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Ahora bien, c</w:t>
      </w:r>
      <w:r w:rsidR="00070CDB" w:rsidRPr="00F84180">
        <w:rPr>
          <w:rFonts w:ascii="ITC Avant Garde" w:eastAsia="Arial" w:hAnsi="ITC Avant Garde" w:cs="Arial"/>
          <w:sz w:val="22"/>
          <w:szCs w:val="22"/>
          <w:lang w:val="es-ES_tradnl"/>
        </w:rPr>
        <w:t xml:space="preserve">onforme a lo dispuesto en el artículo 15 de los Lineamientos, </w:t>
      </w:r>
      <w:r w:rsidR="00A1121E" w:rsidRPr="00F84180">
        <w:rPr>
          <w:rFonts w:ascii="ITC Avant Garde" w:eastAsia="Arial" w:hAnsi="ITC Avant Garde" w:cs="Arial"/>
          <w:sz w:val="22"/>
          <w:szCs w:val="22"/>
          <w:lang w:val="es-ES_tradnl"/>
        </w:rPr>
        <w:t>corresponde a</w:t>
      </w:r>
      <w:r w:rsidR="00070CDB" w:rsidRPr="00F84180">
        <w:rPr>
          <w:rFonts w:ascii="ITC Avant Garde" w:eastAsia="Arial" w:hAnsi="ITC Avant Garde" w:cs="Arial"/>
          <w:sz w:val="22"/>
          <w:szCs w:val="22"/>
          <w:lang w:val="es-ES_tradnl"/>
        </w:rPr>
        <w:t xml:space="preserve">l Instituto </w:t>
      </w:r>
      <w:r w:rsidR="00A1121E" w:rsidRPr="00F84180">
        <w:rPr>
          <w:rFonts w:ascii="ITC Avant Garde" w:eastAsia="Arial" w:hAnsi="ITC Avant Garde" w:cs="Arial"/>
          <w:sz w:val="22"/>
          <w:szCs w:val="22"/>
          <w:lang w:val="es-ES_tradnl"/>
        </w:rPr>
        <w:t>la autorización</w:t>
      </w:r>
      <w:r w:rsidR="00070CDB" w:rsidRPr="00F84180">
        <w:rPr>
          <w:rFonts w:ascii="ITC Avant Garde" w:eastAsia="Arial" w:hAnsi="ITC Avant Garde" w:cs="Arial"/>
          <w:sz w:val="22"/>
          <w:szCs w:val="22"/>
          <w:lang w:val="es-ES_tradnl"/>
        </w:rPr>
        <w:t xml:space="preserve"> </w:t>
      </w:r>
      <w:r w:rsidR="00A1121E" w:rsidRPr="00F84180">
        <w:rPr>
          <w:rFonts w:ascii="ITC Avant Garde" w:eastAsia="Arial" w:hAnsi="ITC Avant Garde" w:cs="Arial"/>
          <w:sz w:val="22"/>
          <w:szCs w:val="22"/>
          <w:lang w:val="es-ES_tradnl"/>
        </w:rPr>
        <w:t>de los</w:t>
      </w:r>
      <w:r w:rsidR="008E7627" w:rsidRPr="00F84180">
        <w:rPr>
          <w:rFonts w:ascii="ITC Avant Garde" w:eastAsia="Arial" w:hAnsi="ITC Avant Garde" w:cs="Arial"/>
          <w:sz w:val="22"/>
          <w:szCs w:val="22"/>
          <w:lang w:val="es-ES_tradnl"/>
        </w:rPr>
        <w:t xml:space="preserve"> programa</w:t>
      </w:r>
      <w:r w:rsidR="00A1121E" w:rsidRPr="00F84180">
        <w:rPr>
          <w:rFonts w:ascii="ITC Avant Garde" w:eastAsia="Arial" w:hAnsi="ITC Avant Garde" w:cs="Arial"/>
          <w:sz w:val="22"/>
          <w:szCs w:val="22"/>
          <w:lang w:val="es-ES_tradnl"/>
        </w:rPr>
        <w:t>s</w:t>
      </w:r>
      <w:r w:rsidR="008E7627" w:rsidRPr="00F84180">
        <w:rPr>
          <w:rFonts w:ascii="ITC Avant Garde" w:eastAsia="Arial" w:hAnsi="ITC Avant Garde" w:cs="Arial"/>
          <w:sz w:val="22"/>
          <w:szCs w:val="22"/>
          <w:lang w:val="es-ES_tradnl"/>
        </w:rPr>
        <w:t xml:space="preserve"> de construcción y crecimiento de la </w:t>
      </w:r>
      <w:r w:rsidR="000E44D6" w:rsidRPr="00F84180">
        <w:rPr>
          <w:rFonts w:ascii="ITC Avant Garde" w:eastAsia="Arial" w:hAnsi="ITC Avant Garde" w:cs="Arial"/>
          <w:sz w:val="22"/>
          <w:szCs w:val="22"/>
          <w:lang w:val="es-ES_tradnl"/>
        </w:rPr>
        <w:t xml:space="preserve">red troncal a la que hace referencia el artículo Décimo Quinto </w:t>
      </w:r>
      <w:r w:rsidR="000E44D6" w:rsidRPr="00F84180">
        <w:rPr>
          <w:rFonts w:ascii="ITC Avant Garde" w:eastAsia="Arial" w:hAnsi="ITC Avant Garde" w:cs="Arial"/>
          <w:sz w:val="22"/>
          <w:szCs w:val="22"/>
          <w:lang w:val="es-ES_tradnl"/>
        </w:rPr>
        <w:lastRenderedPageBreak/>
        <w:t xml:space="preserve">Transitorio del Decreto (en lo sucesivo, </w:t>
      </w:r>
      <w:r w:rsidR="009A1251" w:rsidRPr="00F84180">
        <w:rPr>
          <w:rFonts w:ascii="ITC Avant Garde" w:eastAsia="Arial" w:hAnsi="ITC Avant Garde" w:cs="Arial"/>
          <w:sz w:val="22"/>
          <w:szCs w:val="22"/>
          <w:lang w:val="es-ES_tradnl"/>
        </w:rPr>
        <w:t xml:space="preserve">la </w:t>
      </w:r>
      <w:r w:rsidR="000E44D6" w:rsidRPr="00F84180">
        <w:rPr>
          <w:rFonts w:ascii="ITC Avant Garde" w:eastAsia="Arial" w:hAnsi="ITC Avant Garde" w:cs="Arial"/>
          <w:sz w:val="22"/>
          <w:szCs w:val="22"/>
          <w:lang w:val="es-ES_tradnl"/>
        </w:rPr>
        <w:t>“</w:t>
      </w:r>
      <w:r w:rsidR="008E7627" w:rsidRPr="00F84180">
        <w:rPr>
          <w:rFonts w:ascii="ITC Avant Garde" w:eastAsia="Arial" w:hAnsi="ITC Avant Garde" w:cs="Arial"/>
          <w:sz w:val="22"/>
          <w:szCs w:val="22"/>
          <w:lang w:val="es-ES_tradnl"/>
        </w:rPr>
        <w:t>Red Troncal Nacional</w:t>
      </w:r>
      <w:r w:rsidR="000E44D6" w:rsidRPr="00F84180">
        <w:rPr>
          <w:rFonts w:ascii="ITC Avant Garde" w:eastAsia="Arial" w:hAnsi="ITC Avant Garde" w:cs="Arial"/>
          <w:sz w:val="22"/>
          <w:szCs w:val="22"/>
          <w:lang w:val="es-ES_tradnl"/>
        </w:rPr>
        <w:t>”),</w:t>
      </w:r>
      <w:r w:rsidR="0063014E" w:rsidRPr="00F84180">
        <w:rPr>
          <w:rFonts w:ascii="ITC Avant Garde" w:eastAsia="Arial" w:hAnsi="ITC Avant Garde" w:cs="Arial"/>
          <w:sz w:val="22"/>
          <w:szCs w:val="22"/>
          <w:lang w:val="es-ES_tradnl"/>
        </w:rPr>
        <w:t xml:space="preserve"> con duración trianual</w:t>
      </w:r>
      <w:r w:rsidR="008E7627" w:rsidRPr="00F84180">
        <w:rPr>
          <w:rFonts w:ascii="ITC Avant Garde" w:eastAsia="Arial" w:hAnsi="ITC Avant Garde" w:cs="Arial"/>
          <w:sz w:val="22"/>
          <w:szCs w:val="22"/>
          <w:lang w:val="es-ES_tradnl"/>
        </w:rPr>
        <w:t>, en los términos siguientes:</w:t>
      </w:r>
    </w:p>
    <w:p w:rsidR="00F84180" w:rsidRPr="00F84180" w:rsidRDefault="008E7627" w:rsidP="00F84180">
      <w:pPr>
        <w:tabs>
          <w:tab w:val="num" w:pos="1220"/>
          <w:tab w:val="num" w:pos="1940"/>
        </w:tabs>
        <w:spacing w:after="240" w:line="276" w:lineRule="auto"/>
        <w:ind w:left="516" w:right="616"/>
        <w:jc w:val="both"/>
        <w:rPr>
          <w:rFonts w:ascii="ITC Avant Garde" w:eastAsia="Arial" w:hAnsi="ITC Avant Garde" w:cs="Arial"/>
          <w:sz w:val="18"/>
          <w:szCs w:val="18"/>
          <w:lang w:val="es-ES_tradnl"/>
        </w:rPr>
      </w:pPr>
      <w:r w:rsidRPr="00F84180">
        <w:rPr>
          <w:rFonts w:ascii="ITC Avant Garde" w:eastAsia="Arial" w:hAnsi="ITC Avant Garde" w:cs="Arial"/>
          <w:sz w:val="18"/>
          <w:szCs w:val="18"/>
          <w:lang w:val="es-ES_tradnl"/>
        </w:rPr>
        <w:t>“</w:t>
      </w:r>
      <w:r w:rsidR="00070CDB" w:rsidRPr="00F84180">
        <w:rPr>
          <w:rFonts w:ascii="ITC Avant Garde" w:eastAsia="Arial" w:hAnsi="ITC Avant Garde" w:cs="Arial"/>
          <w:b/>
          <w:sz w:val="18"/>
          <w:szCs w:val="18"/>
          <w:lang w:val="es-ES_tradnl"/>
        </w:rPr>
        <w:t>Artículo 15.-</w:t>
      </w:r>
      <w:r w:rsidR="00070CDB" w:rsidRPr="00F84180">
        <w:rPr>
          <w:rFonts w:ascii="ITC Avant Garde" w:eastAsia="Arial" w:hAnsi="ITC Avant Garde" w:cs="Arial"/>
          <w:sz w:val="18"/>
          <w:szCs w:val="18"/>
          <w:lang w:val="es-ES_tradnl"/>
        </w:rPr>
        <w:t xml:space="preserve"> </w:t>
      </w:r>
      <w:r w:rsidR="00070CDB" w:rsidRPr="00F84180">
        <w:rPr>
          <w:rFonts w:ascii="ITC Avant Garde" w:eastAsia="Arial" w:hAnsi="ITC Avant Garde" w:cs="Arial"/>
          <w:b/>
          <w:sz w:val="18"/>
          <w:szCs w:val="18"/>
          <w:u w:val="single"/>
          <w:lang w:val="es-ES_tradnl"/>
        </w:rPr>
        <w:t>Telecomunicaciones de México deberá presentar al Instituto para su autorización, un programa de construcción y crecimiento de la Red Troncal Nacional con duración trianual</w:t>
      </w:r>
      <w:r w:rsidR="00070CDB" w:rsidRPr="00F84180">
        <w:rPr>
          <w:rFonts w:ascii="ITC Avant Garde" w:eastAsia="Arial" w:hAnsi="ITC Avant Garde" w:cs="Arial"/>
          <w:sz w:val="18"/>
          <w:szCs w:val="18"/>
          <w:lang w:val="es-ES_tradnl"/>
        </w:rPr>
        <w:t xml:space="preserve"> con al menos 90 (noventa) días naturales previos al vencimiento del programa vigente</w:t>
      </w:r>
      <w:r w:rsidR="00547949" w:rsidRPr="00F84180">
        <w:rPr>
          <w:rFonts w:ascii="ITC Avant Garde" w:eastAsia="Arial" w:hAnsi="ITC Avant Garde" w:cs="Arial"/>
          <w:sz w:val="18"/>
          <w:szCs w:val="18"/>
          <w:lang w:val="es-ES_tradnl"/>
        </w:rPr>
        <w:t>.</w:t>
      </w:r>
      <w:r w:rsidR="00070CDB" w:rsidRPr="00F84180">
        <w:rPr>
          <w:rFonts w:ascii="ITC Avant Garde" w:eastAsia="Arial" w:hAnsi="ITC Avant Garde" w:cs="Arial"/>
          <w:sz w:val="18"/>
          <w:szCs w:val="18"/>
          <w:lang w:val="es-ES_tradnl"/>
        </w:rPr>
        <w:t xml:space="preserve"> Dicho programa deberá especificar al menos el número de kilómetros de fibra óptica, así como los Puntos de Presencia a instalar, de conformidad con la Condición 8.3 del Título de Concesión.</w:t>
      </w:r>
      <w:r w:rsidRPr="00F84180">
        <w:rPr>
          <w:rFonts w:ascii="ITC Avant Garde" w:eastAsia="Arial" w:hAnsi="ITC Avant Garde" w:cs="Arial"/>
          <w:sz w:val="18"/>
          <w:szCs w:val="18"/>
          <w:lang w:val="es-ES_tradnl"/>
        </w:rPr>
        <w:t>”</w:t>
      </w:r>
      <w:r w:rsidR="00C04418" w:rsidRPr="00F84180">
        <w:rPr>
          <w:rFonts w:ascii="ITC Avant Garde" w:eastAsia="Arial" w:hAnsi="ITC Avant Garde" w:cs="Arial"/>
          <w:sz w:val="18"/>
          <w:szCs w:val="18"/>
          <w:lang w:val="es-ES_tradnl"/>
        </w:rPr>
        <w:t xml:space="preserve"> (Énfasis añadido)</w:t>
      </w:r>
    </w:p>
    <w:p w:rsidR="00F84180" w:rsidRPr="00F84180" w:rsidRDefault="00FA191E" w:rsidP="00F84180">
      <w:pPr>
        <w:tabs>
          <w:tab w:val="num" w:pos="1220"/>
          <w:tab w:val="num" w:pos="1940"/>
        </w:tabs>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Adicionalmente, </w:t>
      </w:r>
      <w:r w:rsidR="0063014E" w:rsidRPr="00F84180">
        <w:rPr>
          <w:rFonts w:ascii="ITC Avant Garde" w:eastAsia="Arial" w:hAnsi="ITC Avant Garde" w:cs="Arial"/>
          <w:sz w:val="22"/>
          <w:szCs w:val="22"/>
          <w:lang w:val="es-ES_tradnl"/>
        </w:rPr>
        <w:t xml:space="preserve">la condición 8.3 del </w:t>
      </w:r>
      <w:r w:rsidR="002C5C7B" w:rsidRPr="00F84180">
        <w:rPr>
          <w:rFonts w:ascii="ITC Avant Garde" w:eastAsia="Arial" w:hAnsi="ITC Avant Garde" w:cs="Arial"/>
          <w:sz w:val="22"/>
          <w:szCs w:val="22"/>
          <w:lang w:val="es-ES_tradnl"/>
        </w:rPr>
        <w:t>T</w:t>
      </w:r>
      <w:r w:rsidR="0063014E" w:rsidRPr="00F84180">
        <w:rPr>
          <w:rFonts w:ascii="ITC Avant Garde" w:eastAsia="Arial" w:hAnsi="ITC Avant Garde" w:cs="Arial"/>
          <w:sz w:val="22"/>
          <w:szCs w:val="22"/>
          <w:lang w:val="es-ES_tradnl"/>
        </w:rPr>
        <w:t xml:space="preserve">ítulo de </w:t>
      </w:r>
      <w:r w:rsidR="002C5C7B" w:rsidRPr="00F84180">
        <w:rPr>
          <w:rFonts w:ascii="ITC Avant Garde" w:eastAsia="Arial" w:hAnsi="ITC Avant Garde" w:cs="Arial"/>
          <w:sz w:val="22"/>
          <w:szCs w:val="22"/>
          <w:lang w:val="es-ES_tradnl"/>
        </w:rPr>
        <w:t>C</w:t>
      </w:r>
      <w:r w:rsidR="0063014E" w:rsidRPr="00F84180">
        <w:rPr>
          <w:rFonts w:ascii="ITC Avant Garde" w:eastAsia="Arial" w:hAnsi="ITC Avant Garde" w:cs="Arial"/>
          <w:sz w:val="22"/>
          <w:szCs w:val="22"/>
          <w:lang w:val="es-ES_tradnl"/>
        </w:rPr>
        <w:t>oncesi</w:t>
      </w:r>
      <w:r w:rsidR="00A031BD" w:rsidRPr="00F84180">
        <w:rPr>
          <w:rFonts w:ascii="ITC Avant Garde" w:eastAsia="Arial" w:hAnsi="ITC Avant Garde" w:cs="Arial"/>
          <w:sz w:val="22"/>
          <w:szCs w:val="22"/>
          <w:lang w:val="es-ES_tradnl"/>
        </w:rPr>
        <w:t>ón</w:t>
      </w:r>
      <w:r w:rsidR="00C04418" w:rsidRPr="00F84180">
        <w:rPr>
          <w:rFonts w:ascii="ITC Avant Garde" w:eastAsia="Arial" w:hAnsi="ITC Avant Garde" w:cs="Arial"/>
          <w:sz w:val="22"/>
          <w:szCs w:val="22"/>
          <w:lang w:val="es-ES_tradnl"/>
        </w:rPr>
        <w:t xml:space="preserve">, </w:t>
      </w:r>
      <w:r w:rsidR="00A031BD" w:rsidRPr="00F84180">
        <w:rPr>
          <w:rFonts w:ascii="ITC Avant Garde" w:eastAsia="Arial" w:hAnsi="ITC Avant Garde" w:cs="Arial"/>
          <w:sz w:val="22"/>
          <w:szCs w:val="22"/>
          <w:lang w:val="es-ES_tradnl"/>
        </w:rPr>
        <w:t xml:space="preserve">establece </w:t>
      </w:r>
      <w:r w:rsidR="00DB4C31" w:rsidRPr="00F84180">
        <w:rPr>
          <w:rFonts w:ascii="ITC Avant Garde" w:eastAsia="Arial" w:hAnsi="ITC Avant Garde" w:cs="Arial"/>
          <w:sz w:val="22"/>
          <w:szCs w:val="22"/>
          <w:lang w:val="es-ES_tradnl"/>
        </w:rPr>
        <w:t xml:space="preserve">como una obligación </w:t>
      </w:r>
      <w:r w:rsidR="00A031BD" w:rsidRPr="00F84180">
        <w:rPr>
          <w:rFonts w:ascii="ITC Avant Garde" w:eastAsia="Arial" w:hAnsi="ITC Avant Garde" w:cs="Arial"/>
          <w:sz w:val="22"/>
          <w:szCs w:val="22"/>
          <w:lang w:val="es-ES_tradnl"/>
        </w:rPr>
        <w:t xml:space="preserve">la planeación, diseño y ejecución de programas para la construcción y crecimiento de la red compartida mayorista, </w:t>
      </w:r>
      <w:r w:rsidR="00C04418" w:rsidRPr="00F84180">
        <w:rPr>
          <w:rFonts w:ascii="ITC Avant Garde" w:eastAsia="Arial" w:hAnsi="ITC Avant Garde" w:cs="Arial"/>
          <w:sz w:val="22"/>
          <w:szCs w:val="22"/>
          <w:lang w:val="es-ES_tradnl"/>
        </w:rPr>
        <w:t xml:space="preserve">y </w:t>
      </w:r>
      <w:r w:rsidR="00DB4C31" w:rsidRPr="00F84180">
        <w:rPr>
          <w:rFonts w:ascii="ITC Avant Garde" w:eastAsia="Arial" w:hAnsi="ITC Avant Garde" w:cs="Arial"/>
          <w:sz w:val="22"/>
          <w:szCs w:val="22"/>
          <w:lang w:val="es-ES_tradnl"/>
        </w:rPr>
        <w:t xml:space="preserve">señala que </w:t>
      </w:r>
      <w:r w:rsidR="00A031BD" w:rsidRPr="00F84180">
        <w:rPr>
          <w:rFonts w:ascii="ITC Avant Garde" w:eastAsia="Arial" w:hAnsi="ITC Avant Garde" w:cs="Arial"/>
          <w:sz w:val="22"/>
          <w:szCs w:val="22"/>
          <w:lang w:val="es-ES_tradnl"/>
        </w:rPr>
        <w:t>la autorización</w:t>
      </w:r>
      <w:r w:rsidR="001162B0" w:rsidRPr="00F84180">
        <w:rPr>
          <w:rFonts w:ascii="ITC Avant Garde" w:eastAsia="Arial" w:hAnsi="ITC Avant Garde" w:cs="Arial"/>
          <w:sz w:val="22"/>
          <w:szCs w:val="22"/>
          <w:lang w:val="es-ES_tradnl"/>
        </w:rPr>
        <w:t xml:space="preserve"> de dichos programas</w:t>
      </w:r>
      <w:r w:rsidR="00A031BD" w:rsidRPr="00F84180">
        <w:rPr>
          <w:rFonts w:ascii="ITC Avant Garde" w:eastAsia="Arial" w:hAnsi="ITC Avant Garde" w:cs="Arial"/>
          <w:sz w:val="22"/>
          <w:szCs w:val="22"/>
          <w:lang w:val="es-ES_tradnl"/>
        </w:rPr>
        <w:t xml:space="preserve"> </w:t>
      </w:r>
      <w:r w:rsidR="00DB4C31" w:rsidRPr="00F84180">
        <w:rPr>
          <w:rFonts w:ascii="ITC Avant Garde" w:eastAsia="Arial" w:hAnsi="ITC Avant Garde" w:cs="Arial"/>
          <w:sz w:val="22"/>
          <w:szCs w:val="22"/>
          <w:lang w:val="es-ES_tradnl"/>
        </w:rPr>
        <w:t xml:space="preserve">se debe realizar </w:t>
      </w:r>
      <w:r w:rsidR="00A031BD" w:rsidRPr="00F84180">
        <w:rPr>
          <w:rFonts w:ascii="ITC Avant Garde" w:eastAsia="Arial" w:hAnsi="ITC Avant Garde" w:cs="Arial"/>
          <w:sz w:val="22"/>
          <w:szCs w:val="22"/>
          <w:lang w:val="es-ES_tradnl"/>
        </w:rPr>
        <w:t>por parte del Instituto</w:t>
      </w:r>
      <w:r w:rsidR="00DB4C31" w:rsidRPr="00F84180">
        <w:rPr>
          <w:rFonts w:ascii="ITC Avant Garde" w:eastAsia="Arial" w:hAnsi="ITC Avant Garde" w:cs="Arial"/>
          <w:sz w:val="22"/>
          <w:szCs w:val="22"/>
          <w:lang w:val="es-ES_tradnl"/>
        </w:rPr>
        <w:t>:</w:t>
      </w:r>
    </w:p>
    <w:p w:rsidR="00F84180" w:rsidRPr="00F84180" w:rsidRDefault="00A031BD" w:rsidP="00F84180">
      <w:pPr>
        <w:tabs>
          <w:tab w:val="num" w:pos="1220"/>
          <w:tab w:val="num" w:pos="1940"/>
        </w:tabs>
        <w:spacing w:after="240" w:line="276" w:lineRule="auto"/>
        <w:ind w:left="516" w:right="616"/>
        <w:jc w:val="both"/>
        <w:rPr>
          <w:rFonts w:ascii="ITC Avant Garde" w:eastAsia="Arial" w:hAnsi="ITC Avant Garde" w:cs="Arial"/>
          <w:sz w:val="18"/>
          <w:szCs w:val="18"/>
          <w:lang w:val="es-ES_tradnl"/>
        </w:rPr>
      </w:pPr>
      <w:r w:rsidRPr="00F84180">
        <w:rPr>
          <w:rFonts w:ascii="ITC Avant Garde" w:eastAsia="Arial" w:hAnsi="ITC Avant Garde" w:cs="Arial"/>
          <w:sz w:val="18"/>
          <w:szCs w:val="18"/>
          <w:lang w:val="es-ES_tradnl"/>
        </w:rPr>
        <w:t>“</w:t>
      </w:r>
      <w:r w:rsidR="0063014E" w:rsidRPr="00F84180">
        <w:rPr>
          <w:rFonts w:ascii="ITC Avant Garde" w:eastAsia="Arial" w:hAnsi="ITC Avant Garde" w:cs="Arial"/>
          <w:b/>
          <w:sz w:val="18"/>
          <w:szCs w:val="18"/>
          <w:lang w:val="es-ES_tradnl"/>
        </w:rPr>
        <w:t>8.3. Compromisos de Cobertura.</w:t>
      </w:r>
      <w:r w:rsidR="0063014E" w:rsidRPr="00F84180">
        <w:rPr>
          <w:rFonts w:ascii="ITC Avant Garde" w:eastAsia="Arial" w:hAnsi="ITC Avant Garde" w:cs="Arial"/>
          <w:sz w:val="18"/>
          <w:szCs w:val="18"/>
          <w:lang w:val="es-ES_tradnl"/>
        </w:rPr>
        <w:t xml:space="preserve"> La presente Concesión habilita a su titular a prestar el Servicio Mayorista de Telecomunicaciones en todo el territorio nacional, observando en todo momento las restricciones inherentes al uso, aprovechamiento y explotación del espectro radioeléctrico, en términos de las concesiones correspondientes.</w:t>
      </w:r>
    </w:p>
    <w:p w:rsidR="00F84180" w:rsidRPr="00F84180" w:rsidRDefault="0063014E" w:rsidP="00F84180">
      <w:pPr>
        <w:tabs>
          <w:tab w:val="num" w:pos="1220"/>
          <w:tab w:val="num" w:pos="1940"/>
        </w:tabs>
        <w:spacing w:after="240" w:line="276" w:lineRule="auto"/>
        <w:ind w:left="516" w:right="616"/>
        <w:jc w:val="both"/>
        <w:rPr>
          <w:rFonts w:ascii="ITC Avant Garde" w:eastAsia="Arial" w:hAnsi="ITC Avant Garde" w:cs="Arial"/>
          <w:sz w:val="18"/>
          <w:szCs w:val="18"/>
          <w:lang w:val="es-ES_tradnl"/>
        </w:rPr>
      </w:pPr>
      <w:r w:rsidRPr="00F84180">
        <w:rPr>
          <w:rFonts w:ascii="ITC Avant Garde" w:eastAsia="Arial" w:hAnsi="ITC Avant Garde" w:cs="Arial"/>
          <w:sz w:val="18"/>
          <w:szCs w:val="18"/>
          <w:lang w:val="es-ES_tradnl"/>
        </w:rPr>
        <w:t>Durante la vigencia de la Concesión,</w:t>
      </w:r>
      <w:r w:rsidRPr="00F84180">
        <w:rPr>
          <w:rFonts w:ascii="ITC Avant Garde" w:eastAsia="Arial" w:hAnsi="ITC Avant Garde" w:cs="Arial"/>
          <w:b/>
          <w:sz w:val="18"/>
          <w:szCs w:val="18"/>
          <w:lang w:val="es-ES_tradnl"/>
        </w:rPr>
        <w:t xml:space="preserve"> </w:t>
      </w:r>
      <w:r w:rsidRPr="00F84180">
        <w:rPr>
          <w:rFonts w:ascii="ITC Avant Garde" w:eastAsia="Arial" w:hAnsi="ITC Avant Garde" w:cs="Arial"/>
          <w:b/>
          <w:sz w:val="18"/>
          <w:szCs w:val="18"/>
          <w:u w:val="single"/>
          <w:lang w:val="es-ES_tradnl"/>
        </w:rPr>
        <w:t>el Concesionario deberá planear, diseñar y ejecutar programas para la construcción y crecimiento de la Red Compartida Mayorista. Al efecto, cada programa tendrá una duración de 3 (tres) años</w:t>
      </w:r>
      <w:r w:rsidRPr="00F84180">
        <w:rPr>
          <w:rFonts w:ascii="ITC Avant Garde" w:eastAsia="Arial" w:hAnsi="ITC Avant Garde" w:cs="Arial"/>
          <w:sz w:val="18"/>
          <w:szCs w:val="18"/>
          <w:lang w:val="es-ES_tradnl"/>
        </w:rPr>
        <w:t>, contados a partir del 1° de enero de 2016.</w:t>
      </w:r>
    </w:p>
    <w:p w:rsidR="00F84180" w:rsidRPr="00F84180" w:rsidRDefault="0063014E" w:rsidP="00F84180">
      <w:pPr>
        <w:tabs>
          <w:tab w:val="num" w:pos="1220"/>
          <w:tab w:val="num" w:pos="1940"/>
        </w:tabs>
        <w:spacing w:after="240" w:line="276" w:lineRule="auto"/>
        <w:ind w:left="516" w:right="616"/>
        <w:jc w:val="both"/>
        <w:rPr>
          <w:rFonts w:ascii="ITC Avant Garde" w:eastAsia="Arial" w:hAnsi="ITC Avant Garde" w:cs="Arial"/>
          <w:sz w:val="18"/>
          <w:szCs w:val="18"/>
          <w:lang w:val="es-ES_tradnl"/>
        </w:rPr>
      </w:pPr>
      <w:r w:rsidRPr="00F84180">
        <w:rPr>
          <w:rFonts w:ascii="ITC Avant Garde" w:eastAsia="Arial" w:hAnsi="ITC Avant Garde" w:cs="Arial"/>
          <w:sz w:val="18"/>
          <w:szCs w:val="18"/>
          <w:lang w:val="es-ES_tradnl"/>
        </w:rPr>
        <w:t xml:space="preserve">Para tal efecto, </w:t>
      </w:r>
      <w:r w:rsidRPr="00F84180">
        <w:rPr>
          <w:rFonts w:ascii="ITC Avant Garde" w:eastAsia="Arial" w:hAnsi="ITC Avant Garde" w:cs="Arial"/>
          <w:b/>
          <w:sz w:val="18"/>
          <w:szCs w:val="18"/>
          <w:u w:val="single"/>
          <w:lang w:val="es-ES_tradnl"/>
        </w:rPr>
        <w:t>el Concesionario deberá presentar para autorización del Instituto, con al menos 90 (noventa) días naturales de anticipación al vencimiento del programa vigente, el nuevo programa para el periodo siguiente</w:t>
      </w:r>
      <w:r w:rsidRPr="00F84180">
        <w:rPr>
          <w:rFonts w:ascii="ITC Avant Garde" w:eastAsia="Arial" w:hAnsi="ITC Avant Garde" w:cs="Arial"/>
          <w:sz w:val="18"/>
          <w:szCs w:val="18"/>
          <w:lang w:val="es-ES_tradnl"/>
        </w:rPr>
        <w:t>.</w:t>
      </w:r>
    </w:p>
    <w:p w:rsidR="00F84180" w:rsidRPr="00F84180" w:rsidRDefault="004413DF" w:rsidP="00F84180">
      <w:pPr>
        <w:tabs>
          <w:tab w:val="num" w:pos="1220"/>
          <w:tab w:val="num" w:pos="1940"/>
        </w:tabs>
        <w:spacing w:after="240" w:line="276" w:lineRule="auto"/>
        <w:ind w:left="516" w:right="616"/>
        <w:jc w:val="both"/>
        <w:rPr>
          <w:rFonts w:ascii="ITC Avant Garde" w:eastAsia="Arial" w:hAnsi="ITC Avant Garde" w:cs="Arial"/>
          <w:sz w:val="18"/>
          <w:szCs w:val="18"/>
          <w:lang w:val="es-ES_tradnl"/>
        </w:rPr>
      </w:pPr>
      <w:r w:rsidRPr="00F84180">
        <w:rPr>
          <w:rFonts w:ascii="ITC Avant Garde" w:eastAsia="Arial" w:hAnsi="ITC Avant Garde" w:cs="Arial"/>
          <w:sz w:val="18"/>
          <w:szCs w:val="18"/>
          <w:lang w:val="es-ES_tradnl"/>
        </w:rPr>
        <w:t>[…]”  [Énfasis añadido]</w:t>
      </w:r>
    </w:p>
    <w:p w:rsidR="00F84180" w:rsidRPr="00F84180" w:rsidRDefault="004413DF"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Por lo anterior, el Instituto es la autoridad regulatoria que autoriza los programas de construcción y crecimiento de la Red Troncal Nacional con duración trianual</w:t>
      </w:r>
      <w:r w:rsidR="00F73873" w:rsidRPr="00F84180">
        <w:rPr>
          <w:rFonts w:ascii="ITC Avant Garde" w:eastAsia="Arial" w:hAnsi="ITC Avant Garde" w:cs="Arial"/>
          <w:sz w:val="22"/>
          <w:szCs w:val="22"/>
          <w:lang w:val="es-ES_tradnl"/>
        </w:rPr>
        <w:t xml:space="preserve"> (en lo sucesivo, “Programa Trianual”)</w:t>
      </w:r>
      <w:r w:rsidRPr="00F84180">
        <w:rPr>
          <w:rFonts w:ascii="ITC Avant Garde" w:eastAsia="Arial" w:hAnsi="ITC Avant Garde" w:cs="Arial"/>
          <w:sz w:val="22"/>
          <w:szCs w:val="22"/>
          <w:lang w:val="es-ES_tradnl"/>
        </w:rPr>
        <w:t>.</w:t>
      </w:r>
    </w:p>
    <w:p w:rsidR="00F84180" w:rsidRPr="00F84180" w:rsidRDefault="00A214D7"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SEGUNDO.- Objetivo del Programa Trianual.</w:t>
      </w:r>
      <w:r w:rsidR="005C4897" w:rsidRPr="00F84180">
        <w:rPr>
          <w:rFonts w:ascii="ITC Avant Garde" w:eastAsia="Arial" w:hAnsi="ITC Avant Garde" w:cs="Arial"/>
          <w:b/>
          <w:sz w:val="22"/>
          <w:szCs w:val="22"/>
          <w:lang w:val="es-ES_tradnl"/>
        </w:rPr>
        <w:t xml:space="preserve"> </w:t>
      </w:r>
      <w:r w:rsidR="005C4897" w:rsidRPr="00F84180">
        <w:rPr>
          <w:rFonts w:ascii="ITC Avant Garde" w:eastAsia="Arial" w:hAnsi="ITC Avant Garde" w:cs="Arial"/>
          <w:sz w:val="22"/>
          <w:szCs w:val="22"/>
          <w:lang w:val="es-ES_tradnl"/>
        </w:rPr>
        <w:t>El</w:t>
      </w:r>
      <w:r w:rsidR="0087295F" w:rsidRPr="00F84180">
        <w:rPr>
          <w:rFonts w:ascii="ITC Avant Garde" w:eastAsia="Arial" w:hAnsi="ITC Avant Garde" w:cs="Arial"/>
          <w:sz w:val="22"/>
          <w:szCs w:val="22"/>
          <w:lang w:val="es-ES_tradnl"/>
        </w:rPr>
        <w:t xml:space="preserve"> </w:t>
      </w:r>
      <w:r w:rsidR="00623696" w:rsidRPr="00F84180">
        <w:rPr>
          <w:rFonts w:ascii="ITC Avant Garde" w:eastAsia="Arial" w:hAnsi="ITC Avant Garde" w:cs="Arial"/>
          <w:sz w:val="22"/>
          <w:szCs w:val="22"/>
          <w:lang w:val="es-ES_tradnl"/>
        </w:rPr>
        <w:t xml:space="preserve">Programa Trianual tiene como objetivo </w:t>
      </w:r>
      <w:r w:rsidR="007D0953" w:rsidRPr="00F84180">
        <w:rPr>
          <w:rFonts w:ascii="ITC Avant Garde" w:eastAsia="Arial" w:hAnsi="ITC Avant Garde" w:cs="Arial"/>
          <w:sz w:val="22"/>
          <w:szCs w:val="22"/>
          <w:lang w:val="es-ES_tradnl"/>
        </w:rPr>
        <w:t xml:space="preserve">que Telecomunicaciones de México pueda planear, diseñar y ejecutar la construcción y el crecimiento de una robusta red troncal de telecomunicaciones de cobertura nacional, y con ello </w:t>
      </w:r>
      <w:r w:rsidR="00535AB3" w:rsidRPr="00F84180">
        <w:rPr>
          <w:rFonts w:ascii="ITC Avant Garde" w:eastAsia="Arial" w:hAnsi="ITC Avant Garde" w:cs="Arial"/>
          <w:sz w:val="22"/>
          <w:szCs w:val="22"/>
          <w:lang w:val="es-ES_tradnl"/>
        </w:rPr>
        <w:t>cumplir</w:t>
      </w:r>
      <w:r w:rsidR="007D0953" w:rsidRPr="00F84180">
        <w:rPr>
          <w:rFonts w:ascii="ITC Avant Garde" w:eastAsia="Arial" w:hAnsi="ITC Avant Garde" w:cs="Arial"/>
          <w:sz w:val="22"/>
          <w:szCs w:val="22"/>
          <w:lang w:val="es-ES_tradnl"/>
        </w:rPr>
        <w:t xml:space="preserve"> con </w:t>
      </w:r>
      <w:r w:rsidR="000E44D6" w:rsidRPr="00F84180">
        <w:rPr>
          <w:rFonts w:ascii="ITC Avant Garde" w:eastAsia="Arial" w:hAnsi="ITC Avant Garde" w:cs="Arial"/>
          <w:sz w:val="22"/>
          <w:szCs w:val="22"/>
          <w:lang w:val="es-ES_tradnl"/>
        </w:rPr>
        <w:t>e</w:t>
      </w:r>
      <w:r w:rsidR="00623696" w:rsidRPr="00F84180">
        <w:rPr>
          <w:rFonts w:ascii="ITC Avant Garde" w:eastAsia="Arial" w:hAnsi="ITC Avant Garde" w:cs="Arial"/>
          <w:sz w:val="22"/>
          <w:szCs w:val="22"/>
          <w:lang w:val="es-ES_tradnl"/>
        </w:rPr>
        <w:t>l mandato constitucional establecido en el artículo Décimo Quinto Transitorio del Decreto,</w:t>
      </w:r>
      <w:r w:rsidR="00535AB3" w:rsidRPr="00F84180">
        <w:rPr>
          <w:rFonts w:ascii="ITC Avant Garde" w:eastAsia="Arial" w:hAnsi="ITC Avant Garde" w:cs="Arial"/>
          <w:sz w:val="22"/>
          <w:szCs w:val="22"/>
          <w:lang w:val="es-ES_tradnl"/>
        </w:rPr>
        <w:t xml:space="preserve"> con las obligaciones de</w:t>
      </w:r>
      <w:r w:rsidR="002C5C7B" w:rsidRPr="00F84180">
        <w:rPr>
          <w:rFonts w:ascii="ITC Avant Garde" w:eastAsia="Arial" w:hAnsi="ITC Avant Garde" w:cs="Arial"/>
          <w:sz w:val="22"/>
          <w:szCs w:val="22"/>
          <w:lang w:val="es-ES_tradnl"/>
        </w:rPr>
        <w:t>l</w:t>
      </w:r>
      <w:r w:rsidR="00535AB3" w:rsidRPr="00F84180">
        <w:rPr>
          <w:rFonts w:ascii="ITC Avant Garde" w:eastAsia="Arial" w:hAnsi="ITC Avant Garde" w:cs="Arial"/>
          <w:sz w:val="22"/>
          <w:szCs w:val="22"/>
          <w:lang w:val="es-ES_tradnl"/>
        </w:rPr>
        <w:t xml:space="preserve">  </w:t>
      </w:r>
      <w:r w:rsidR="002C5C7B" w:rsidRPr="00F84180">
        <w:rPr>
          <w:rFonts w:ascii="ITC Avant Garde" w:eastAsia="Arial" w:hAnsi="ITC Avant Garde" w:cs="Arial"/>
          <w:sz w:val="22"/>
          <w:szCs w:val="22"/>
          <w:lang w:val="es-ES_tradnl"/>
        </w:rPr>
        <w:t>T</w:t>
      </w:r>
      <w:r w:rsidR="00535AB3" w:rsidRPr="00F84180">
        <w:rPr>
          <w:rFonts w:ascii="ITC Avant Garde" w:eastAsia="Arial" w:hAnsi="ITC Avant Garde" w:cs="Arial"/>
          <w:sz w:val="22"/>
          <w:szCs w:val="22"/>
          <w:lang w:val="es-ES_tradnl"/>
        </w:rPr>
        <w:t xml:space="preserve">ítulo de </w:t>
      </w:r>
      <w:r w:rsidR="002C5C7B" w:rsidRPr="00F84180">
        <w:rPr>
          <w:rFonts w:ascii="ITC Avant Garde" w:eastAsia="Arial" w:hAnsi="ITC Avant Garde" w:cs="Arial"/>
          <w:sz w:val="22"/>
          <w:szCs w:val="22"/>
          <w:lang w:val="es-ES_tradnl"/>
        </w:rPr>
        <w:t>C</w:t>
      </w:r>
      <w:r w:rsidR="00535AB3" w:rsidRPr="00F84180">
        <w:rPr>
          <w:rFonts w:ascii="ITC Avant Garde" w:eastAsia="Arial" w:hAnsi="ITC Avant Garde" w:cs="Arial"/>
          <w:sz w:val="22"/>
          <w:szCs w:val="22"/>
          <w:lang w:val="es-ES_tradnl"/>
        </w:rPr>
        <w:t>oncesión, y con las directrices establecidas en los Lineamientos que le resultan aplicables</w:t>
      </w:r>
      <w:r w:rsidR="00623696" w:rsidRPr="00F84180">
        <w:rPr>
          <w:rFonts w:ascii="ITC Avant Garde" w:eastAsia="Arial" w:hAnsi="ITC Avant Garde" w:cs="Arial"/>
          <w:sz w:val="22"/>
          <w:szCs w:val="22"/>
          <w:lang w:val="es-ES_tradnl"/>
        </w:rPr>
        <w:t>.</w:t>
      </w:r>
    </w:p>
    <w:p w:rsidR="00F84180" w:rsidRPr="00F84180" w:rsidRDefault="00692918"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El</w:t>
      </w:r>
      <w:r w:rsidR="0087295F"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P</w:t>
      </w:r>
      <w:r w:rsidR="0087295F" w:rsidRPr="00F84180">
        <w:rPr>
          <w:rFonts w:ascii="ITC Avant Garde" w:eastAsia="Arial" w:hAnsi="ITC Avant Garde" w:cs="Arial"/>
          <w:sz w:val="22"/>
          <w:szCs w:val="22"/>
          <w:lang w:val="es-ES_tradnl"/>
        </w:rPr>
        <w:t>ro</w:t>
      </w:r>
      <w:r w:rsidRPr="00F84180">
        <w:rPr>
          <w:rFonts w:ascii="ITC Avant Garde" w:eastAsia="Arial" w:hAnsi="ITC Avant Garde" w:cs="Arial"/>
          <w:sz w:val="22"/>
          <w:szCs w:val="22"/>
          <w:lang w:val="es-ES_tradnl"/>
        </w:rPr>
        <w:t xml:space="preserve">grama Trianual es un instrumento de planeación que permite determinar plazos, prioridades, estrategias y actividades en función de los objetivos de </w:t>
      </w:r>
      <w:r w:rsidRPr="00F84180">
        <w:rPr>
          <w:rFonts w:ascii="ITC Avant Garde" w:eastAsia="Arial" w:hAnsi="ITC Avant Garde" w:cs="Arial"/>
          <w:sz w:val="22"/>
          <w:szCs w:val="22"/>
          <w:lang w:val="es-ES_tradnl"/>
        </w:rPr>
        <w:lastRenderedPageBreak/>
        <w:t>Telecomunicaciones de México, concesionario que debe promover el acceso a servicios de banda ancha, así como desplegar una red troncal de telecomunicaciones de cobertura nacional.</w:t>
      </w:r>
    </w:p>
    <w:p w:rsidR="00F84180" w:rsidRPr="00F84180" w:rsidRDefault="00535AB3"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Cabe señalar que el Programa Trianual </w:t>
      </w:r>
      <w:r w:rsidR="006D0C28" w:rsidRPr="00F84180">
        <w:rPr>
          <w:rFonts w:ascii="ITC Avant Garde" w:eastAsia="Arial" w:hAnsi="ITC Avant Garde" w:cs="Arial"/>
          <w:sz w:val="22"/>
          <w:szCs w:val="22"/>
          <w:lang w:val="es-ES_tradnl"/>
        </w:rPr>
        <w:t>establece</w:t>
      </w:r>
      <w:r w:rsidRPr="00F84180">
        <w:rPr>
          <w:rFonts w:ascii="ITC Avant Garde" w:eastAsia="Arial" w:hAnsi="ITC Avant Garde" w:cs="Arial"/>
          <w:sz w:val="22"/>
          <w:szCs w:val="22"/>
          <w:lang w:val="es-ES_tradnl"/>
        </w:rPr>
        <w:t xml:space="preserve"> actividades calendarizadas, define responsabilidades, prevé alternativas en función de las necesidades y restricciones de Telecomunicaciones de México, y traza una ruta cr</w:t>
      </w:r>
      <w:r w:rsidR="006D0C28" w:rsidRPr="00F84180">
        <w:rPr>
          <w:rFonts w:ascii="ITC Avant Garde" w:eastAsia="Arial" w:hAnsi="ITC Avant Garde" w:cs="Arial"/>
          <w:sz w:val="22"/>
          <w:szCs w:val="22"/>
          <w:lang w:val="es-ES_tradnl"/>
        </w:rPr>
        <w:t xml:space="preserve">ítica para </w:t>
      </w:r>
      <w:r w:rsidRPr="00F84180">
        <w:rPr>
          <w:rFonts w:ascii="ITC Avant Garde" w:eastAsia="Arial" w:hAnsi="ITC Avant Garde" w:cs="Arial"/>
          <w:sz w:val="22"/>
          <w:szCs w:val="22"/>
          <w:lang w:val="es-ES_tradnl"/>
        </w:rPr>
        <w:t>planear, diseñar y ejecutar la construcción y el crecimiento de una robusta red troncal de telecomunicaciones de cobertura nacional</w:t>
      </w:r>
      <w:r w:rsidR="006D0C28" w:rsidRPr="00F84180">
        <w:rPr>
          <w:rFonts w:ascii="ITC Avant Garde" w:eastAsia="Arial" w:hAnsi="ITC Avant Garde" w:cs="Arial"/>
          <w:sz w:val="22"/>
          <w:szCs w:val="22"/>
          <w:lang w:val="es-ES_tradnl"/>
        </w:rPr>
        <w:t xml:space="preserve"> de forma efectiva y </w:t>
      </w:r>
      <w:r w:rsidR="002342DD" w:rsidRPr="00F84180">
        <w:rPr>
          <w:rFonts w:ascii="ITC Avant Garde" w:eastAsia="Arial" w:hAnsi="ITC Avant Garde" w:cs="Arial"/>
          <w:sz w:val="22"/>
          <w:szCs w:val="22"/>
          <w:lang w:val="es-ES_tradnl"/>
        </w:rPr>
        <w:t>de conformidad con los parámetros de calidad y compromisos de cobertura establecidos</w:t>
      </w:r>
      <w:r w:rsidRPr="00F84180">
        <w:rPr>
          <w:rFonts w:ascii="ITC Avant Garde" w:eastAsia="Arial" w:hAnsi="ITC Avant Garde" w:cs="Arial"/>
          <w:sz w:val="22"/>
          <w:szCs w:val="22"/>
          <w:lang w:val="es-ES_tradnl"/>
        </w:rPr>
        <w:t>.</w:t>
      </w:r>
    </w:p>
    <w:p w:rsidR="00F84180" w:rsidRPr="00F84180" w:rsidRDefault="00535AB3"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El diseño y ejecución de</w:t>
      </w:r>
      <w:r w:rsidR="00490365" w:rsidRPr="00F84180">
        <w:rPr>
          <w:rFonts w:ascii="ITC Avant Garde" w:eastAsia="Arial" w:hAnsi="ITC Avant Garde" w:cs="Arial"/>
          <w:sz w:val="22"/>
          <w:szCs w:val="22"/>
          <w:lang w:val="es-ES_tradnl"/>
        </w:rPr>
        <w:t>l</w:t>
      </w:r>
      <w:r w:rsidRPr="00F84180">
        <w:rPr>
          <w:rFonts w:ascii="ITC Avant Garde" w:eastAsia="Arial" w:hAnsi="ITC Avant Garde" w:cs="Arial"/>
          <w:sz w:val="22"/>
          <w:szCs w:val="22"/>
          <w:lang w:val="es-ES_tradnl"/>
        </w:rPr>
        <w:t xml:space="preserve"> programa otorga</w:t>
      </w:r>
      <w:r w:rsidR="00490365" w:rsidRPr="00F84180">
        <w:rPr>
          <w:rFonts w:ascii="ITC Avant Garde" w:eastAsia="Arial" w:hAnsi="ITC Avant Garde" w:cs="Arial"/>
          <w:sz w:val="22"/>
          <w:szCs w:val="22"/>
          <w:lang w:val="es-ES_tradnl"/>
        </w:rPr>
        <w:t xml:space="preserve"> mayor</w:t>
      </w:r>
      <w:r w:rsidRPr="00F84180">
        <w:rPr>
          <w:rFonts w:ascii="ITC Avant Garde" w:eastAsia="Arial" w:hAnsi="ITC Avant Garde" w:cs="Arial"/>
          <w:sz w:val="22"/>
          <w:szCs w:val="22"/>
          <w:lang w:val="es-ES_tradnl"/>
        </w:rPr>
        <w:t xml:space="preserve"> certidumbre en el desarrollo e implementación de</w:t>
      </w:r>
      <w:r w:rsidR="006D0C28" w:rsidRPr="00F84180">
        <w:rPr>
          <w:rFonts w:ascii="ITC Avant Garde" w:eastAsia="Arial" w:hAnsi="ITC Avant Garde" w:cs="Arial"/>
          <w:sz w:val="22"/>
          <w:szCs w:val="22"/>
          <w:lang w:val="es-ES_tradnl"/>
        </w:rPr>
        <w:t xml:space="preserve"> la Red Troncal N</w:t>
      </w:r>
      <w:r w:rsidR="007B48B0" w:rsidRPr="00F84180">
        <w:rPr>
          <w:rFonts w:ascii="ITC Avant Garde" w:eastAsia="Arial" w:hAnsi="ITC Avant Garde" w:cs="Arial"/>
          <w:sz w:val="22"/>
          <w:szCs w:val="22"/>
          <w:lang w:val="es-ES_tradnl"/>
        </w:rPr>
        <w:t>acional</w:t>
      </w:r>
      <w:r w:rsidR="006D0C28" w:rsidRPr="00F84180">
        <w:rPr>
          <w:rFonts w:ascii="ITC Avant Garde" w:eastAsia="Arial" w:hAnsi="ITC Avant Garde" w:cs="Arial"/>
          <w:sz w:val="22"/>
          <w:szCs w:val="22"/>
          <w:lang w:val="es-ES_tradnl"/>
        </w:rPr>
        <w:t xml:space="preserve">, misma </w:t>
      </w:r>
      <w:r w:rsidR="00CF1A9C" w:rsidRPr="00F84180">
        <w:rPr>
          <w:rFonts w:ascii="ITC Avant Garde" w:eastAsia="Arial" w:hAnsi="ITC Avant Garde" w:cs="Arial"/>
          <w:sz w:val="22"/>
          <w:szCs w:val="22"/>
          <w:lang w:val="es-ES_tradnl"/>
        </w:rPr>
        <w:t xml:space="preserve">que </w:t>
      </w:r>
      <w:r w:rsidR="006D0C28" w:rsidRPr="00F84180">
        <w:rPr>
          <w:rFonts w:ascii="ITC Avant Garde" w:eastAsia="Arial" w:hAnsi="ITC Avant Garde" w:cs="Arial"/>
          <w:sz w:val="22"/>
          <w:szCs w:val="22"/>
          <w:lang w:val="es-ES_tradnl"/>
        </w:rPr>
        <w:t xml:space="preserve">puede concebirse como una red de acceso abierto o esquema de carrier de carriers que opera bajo principios de no discriminación, y que puede llegar a zonas que actualmente son de difícil acceso, con lo que se generan condiciones para promover el desarrollo del sector telecomunicaciones y de la economía en su conjunto, con la participación activa del sector privado, incluso bajo un esquema de asociación público privada. </w:t>
      </w:r>
    </w:p>
    <w:p w:rsidR="00F84180" w:rsidRPr="00F84180" w:rsidRDefault="00535AB3"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Tanto el</w:t>
      </w:r>
      <w:r w:rsidR="00CB73FE" w:rsidRPr="00F84180">
        <w:rPr>
          <w:rFonts w:ascii="ITC Avant Garde" w:eastAsia="Arial" w:hAnsi="ITC Avant Garde" w:cs="Arial"/>
          <w:sz w:val="22"/>
          <w:szCs w:val="22"/>
          <w:lang w:val="es-ES_tradnl"/>
        </w:rPr>
        <w:t xml:space="preserve"> artículo 15 de los Lineamientos </w:t>
      </w:r>
      <w:r w:rsidRPr="00F84180">
        <w:rPr>
          <w:rFonts w:ascii="ITC Avant Garde" w:eastAsia="Arial" w:hAnsi="ITC Avant Garde" w:cs="Arial"/>
          <w:sz w:val="22"/>
          <w:szCs w:val="22"/>
          <w:lang w:val="es-ES_tradnl"/>
        </w:rPr>
        <w:t>como</w:t>
      </w:r>
      <w:r w:rsidR="00CB73FE" w:rsidRPr="00F84180">
        <w:rPr>
          <w:rFonts w:ascii="ITC Avant Garde" w:eastAsia="Arial" w:hAnsi="ITC Avant Garde" w:cs="Arial"/>
          <w:sz w:val="22"/>
          <w:szCs w:val="22"/>
          <w:lang w:val="es-ES_tradnl"/>
        </w:rPr>
        <w:t xml:space="preserve"> la condición 8.3 del Título de Concesión</w:t>
      </w:r>
      <w:r w:rsidRPr="00F84180">
        <w:rPr>
          <w:rFonts w:ascii="ITC Avant Garde" w:eastAsia="Arial" w:hAnsi="ITC Avant Garde" w:cs="Arial"/>
          <w:sz w:val="22"/>
          <w:szCs w:val="22"/>
          <w:lang w:val="es-ES_tradnl"/>
        </w:rPr>
        <w:t>,</w:t>
      </w:r>
      <w:r w:rsidR="00CB73FE" w:rsidRPr="00F84180">
        <w:rPr>
          <w:rFonts w:ascii="ITC Avant Garde" w:eastAsia="Arial" w:hAnsi="ITC Avant Garde" w:cs="Arial"/>
          <w:sz w:val="22"/>
          <w:szCs w:val="22"/>
          <w:lang w:val="es-ES_tradnl"/>
        </w:rPr>
        <w:t xml:space="preserve"> establecen que Telecomunicaciones de México debe presentar</w:t>
      </w:r>
      <w:r w:rsidRPr="00F84180">
        <w:rPr>
          <w:rFonts w:ascii="ITC Avant Garde" w:eastAsia="Arial" w:hAnsi="ITC Avant Garde" w:cs="Arial"/>
          <w:sz w:val="22"/>
          <w:szCs w:val="22"/>
          <w:lang w:val="es-ES_tradnl"/>
        </w:rPr>
        <w:t xml:space="preserve"> al Instituto los</w:t>
      </w:r>
      <w:r w:rsidR="00CB73FE" w:rsidRPr="00F84180">
        <w:rPr>
          <w:rFonts w:ascii="ITC Avant Garde" w:eastAsia="Arial" w:hAnsi="ITC Avant Garde" w:cs="Arial"/>
          <w:sz w:val="22"/>
          <w:szCs w:val="22"/>
          <w:lang w:val="es-ES_tradnl"/>
        </w:rPr>
        <w:t xml:space="preserve"> programas trianuales </w:t>
      </w:r>
      <w:r w:rsidRPr="00F84180">
        <w:rPr>
          <w:rFonts w:ascii="ITC Avant Garde" w:eastAsia="Arial" w:hAnsi="ITC Avant Garde" w:cs="Arial"/>
          <w:sz w:val="22"/>
          <w:szCs w:val="22"/>
          <w:lang w:val="es-ES_tradnl"/>
        </w:rPr>
        <w:t>para su respectiva autorización</w:t>
      </w:r>
      <w:r w:rsidR="00CB73FE" w:rsidRPr="00F84180">
        <w:rPr>
          <w:rFonts w:ascii="ITC Avant Garde" w:eastAsia="Arial" w:hAnsi="ITC Avant Garde" w:cs="Arial"/>
          <w:sz w:val="22"/>
          <w:szCs w:val="22"/>
          <w:lang w:val="es-ES_tradnl"/>
        </w:rPr>
        <w:t>, con la finalidad de que se pueda asegurar que el contenido de dichos programas son con</w:t>
      </w:r>
      <w:r w:rsidR="00047B1C" w:rsidRPr="00F84180">
        <w:rPr>
          <w:rFonts w:ascii="ITC Avant Garde" w:eastAsia="Arial" w:hAnsi="ITC Avant Garde" w:cs="Arial"/>
          <w:sz w:val="22"/>
          <w:szCs w:val="22"/>
          <w:lang w:val="es-ES_tradnl"/>
        </w:rPr>
        <w:t>sistentes con lo establecido en el m</w:t>
      </w:r>
      <w:r w:rsidR="00CB73FE" w:rsidRPr="00F84180">
        <w:rPr>
          <w:rFonts w:ascii="ITC Avant Garde" w:eastAsia="Arial" w:hAnsi="ITC Avant Garde" w:cs="Arial"/>
          <w:sz w:val="22"/>
          <w:szCs w:val="22"/>
          <w:lang w:val="es-ES_tradnl"/>
        </w:rPr>
        <w:t xml:space="preserve">andato </w:t>
      </w:r>
      <w:r w:rsidR="00047B1C" w:rsidRPr="00F84180">
        <w:rPr>
          <w:rFonts w:ascii="ITC Avant Garde" w:eastAsia="Arial" w:hAnsi="ITC Avant Garde" w:cs="Arial"/>
          <w:sz w:val="22"/>
          <w:szCs w:val="22"/>
          <w:lang w:val="es-ES_tradnl"/>
        </w:rPr>
        <w:t xml:space="preserve">constitucional, con las obligaciones establecidas </w:t>
      </w:r>
      <w:r w:rsidRPr="00F84180">
        <w:rPr>
          <w:rFonts w:ascii="ITC Avant Garde" w:eastAsia="Arial" w:hAnsi="ITC Avant Garde" w:cs="Arial"/>
          <w:sz w:val="22"/>
          <w:szCs w:val="22"/>
          <w:lang w:val="es-ES_tradnl"/>
        </w:rPr>
        <w:t xml:space="preserve">en </w:t>
      </w:r>
      <w:r w:rsidR="002C5C7B" w:rsidRPr="00F84180">
        <w:rPr>
          <w:rFonts w:ascii="ITC Avant Garde" w:eastAsia="Arial" w:hAnsi="ITC Avant Garde" w:cs="Arial"/>
          <w:sz w:val="22"/>
          <w:szCs w:val="22"/>
          <w:lang w:val="es-ES_tradnl"/>
        </w:rPr>
        <w:t>el T</w:t>
      </w:r>
      <w:r w:rsidR="00047B1C" w:rsidRPr="00F84180">
        <w:rPr>
          <w:rFonts w:ascii="ITC Avant Garde" w:eastAsia="Arial" w:hAnsi="ITC Avant Garde" w:cs="Arial"/>
          <w:sz w:val="22"/>
          <w:szCs w:val="22"/>
          <w:lang w:val="es-ES_tradnl"/>
        </w:rPr>
        <w:t xml:space="preserve">ítulo de </w:t>
      </w:r>
      <w:r w:rsidR="002C5C7B" w:rsidRPr="00F84180">
        <w:rPr>
          <w:rFonts w:ascii="ITC Avant Garde" w:eastAsia="Arial" w:hAnsi="ITC Avant Garde" w:cs="Arial"/>
          <w:sz w:val="22"/>
          <w:szCs w:val="22"/>
          <w:lang w:val="es-ES_tradnl"/>
        </w:rPr>
        <w:t>C</w:t>
      </w:r>
      <w:r w:rsidR="00047B1C" w:rsidRPr="00F84180">
        <w:rPr>
          <w:rFonts w:ascii="ITC Avant Garde" w:eastAsia="Arial" w:hAnsi="ITC Avant Garde" w:cs="Arial"/>
          <w:sz w:val="22"/>
          <w:szCs w:val="22"/>
          <w:lang w:val="es-ES_tradnl"/>
        </w:rPr>
        <w:t xml:space="preserve">oncesión y </w:t>
      </w:r>
      <w:r w:rsidRPr="00F84180">
        <w:rPr>
          <w:rFonts w:ascii="ITC Avant Garde" w:eastAsia="Arial" w:hAnsi="ITC Avant Garde" w:cs="Arial"/>
          <w:sz w:val="22"/>
          <w:szCs w:val="22"/>
          <w:lang w:val="es-ES_tradnl"/>
        </w:rPr>
        <w:t>con las</w:t>
      </w:r>
      <w:r w:rsidR="00047B1C" w:rsidRPr="00F84180">
        <w:rPr>
          <w:rFonts w:ascii="ITC Avant Garde" w:eastAsia="Arial" w:hAnsi="ITC Avant Garde" w:cs="Arial"/>
          <w:sz w:val="22"/>
          <w:szCs w:val="22"/>
          <w:lang w:val="es-ES_tradnl"/>
        </w:rPr>
        <w:t xml:space="preserve"> directrices contenidas en los Lineamientos.</w:t>
      </w:r>
    </w:p>
    <w:p w:rsidR="000B4DAF" w:rsidRPr="00F84180" w:rsidRDefault="00F04769"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TERCERO.-</w:t>
      </w:r>
      <w:r w:rsidRPr="00F84180">
        <w:rPr>
          <w:rFonts w:ascii="ITC Avant Garde" w:eastAsia="Arial" w:hAnsi="ITC Avant Garde" w:cs="Arial"/>
          <w:sz w:val="22"/>
          <w:szCs w:val="22"/>
          <w:lang w:val="es-ES_tradnl"/>
        </w:rPr>
        <w:t xml:space="preserve"> </w:t>
      </w:r>
      <w:r w:rsidR="00A16A5C" w:rsidRPr="00F84180">
        <w:rPr>
          <w:rFonts w:ascii="ITC Avant Garde" w:eastAsia="Arial" w:hAnsi="ITC Avant Garde" w:cs="Arial"/>
          <w:b/>
          <w:sz w:val="22"/>
          <w:szCs w:val="22"/>
          <w:lang w:val="es-ES_tradnl"/>
        </w:rPr>
        <w:t>Experiencia i</w:t>
      </w:r>
      <w:r w:rsidR="00F47933" w:rsidRPr="00F84180">
        <w:rPr>
          <w:rFonts w:ascii="ITC Avant Garde" w:eastAsia="Arial" w:hAnsi="ITC Avant Garde" w:cs="Arial"/>
          <w:b/>
          <w:sz w:val="22"/>
          <w:szCs w:val="22"/>
          <w:lang w:val="es-ES_tradnl"/>
        </w:rPr>
        <w:t xml:space="preserve">nternacional </w:t>
      </w:r>
      <w:r w:rsidR="00A16A5C" w:rsidRPr="00F84180">
        <w:rPr>
          <w:rFonts w:ascii="ITC Avant Garde" w:eastAsia="Arial" w:hAnsi="ITC Avant Garde" w:cs="Arial"/>
          <w:b/>
          <w:sz w:val="22"/>
          <w:szCs w:val="22"/>
          <w:lang w:val="es-ES_tradnl"/>
        </w:rPr>
        <w:t>en</w:t>
      </w:r>
      <w:r w:rsidRPr="00F84180">
        <w:rPr>
          <w:rFonts w:ascii="ITC Avant Garde" w:eastAsia="Arial" w:hAnsi="ITC Avant Garde" w:cs="Arial"/>
          <w:b/>
          <w:sz w:val="22"/>
          <w:szCs w:val="22"/>
          <w:lang w:val="es-ES_tradnl"/>
        </w:rPr>
        <w:t xml:space="preserve"> la implementación de planes y programas de despliegue</w:t>
      </w:r>
      <w:r w:rsidRPr="00F84180">
        <w:rPr>
          <w:rFonts w:ascii="ITC Avant Garde" w:eastAsia="Arial" w:hAnsi="ITC Avant Garde" w:cs="Arial"/>
          <w:sz w:val="22"/>
          <w:szCs w:val="22"/>
          <w:lang w:val="es-ES_tradnl"/>
        </w:rPr>
        <w:t xml:space="preserve">. En la </w:t>
      </w:r>
      <w:r w:rsidR="007C0088" w:rsidRPr="00F84180">
        <w:rPr>
          <w:rFonts w:ascii="ITC Avant Garde" w:eastAsia="Arial" w:hAnsi="ITC Avant Garde" w:cs="Arial"/>
          <w:sz w:val="22"/>
          <w:szCs w:val="22"/>
          <w:lang w:val="es-ES_tradnl"/>
        </w:rPr>
        <w:t>experiencia</w:t>
      </w:r>
      <w:r w:rsidRPr="00F84180">
        <w:rPr>
          <w:rFonts w:ascii="ITC Avant Garde" w:eastAsia="Arial" w:hAnsi="ITC Avant Garde" w:cs="Arial"/>
          <w:sz w:val="22"/>
          <w:szCs w:val="22"/>
          <w:lang w:val="es-ES_tradnl"/>
        </w:rPr>
        <w:t xml:space="preserve"> internacional, </w:t>
      </w:r>
      <w:r w:rsidR="007C0088" w:rsidRPr="00F84180">
        <w:rPr>
          <w:rFonts w:ascii="ITC Avant Garde" w:eastAsia="Arial" w:hAnsi="ITC Avant Garde" w:cs="Arial"/>
          <w:sz w:val="22"/>
          <w:szCs w:val="22"/>
          <w:lang w:val="es-ES_tradnl"/>
        </w:rPr>
        <w:t xml:space="preserve">la presentación de </w:t>
      </w:r>
      <w:r w:rsidRPr="00F84180">
        <w:rPr>
          <w:rFonts w:ascii="ITC Avant Garde" w:eastAsia="Arial" w:hAnsi="ITC Avant Garde" w:cs="Arial"/>
          <w:sz w:val="22"/>
          <w:szCs w:val="22"/>
          <w:lang w:val="es-ES_tradnl"/>
        </w:rPr>
        <w:t xml:space="preserve">planes y programas de despliegue </w:t>
      </w:r>
      <w:r w:rsidR="007C0088" w:rsidRPr="00F84180">
        <w:rPr>
          <w:rFonts w:ascii="ITC Avant Garde" w:eastAsia="Arial" w:hAnsi="ITC Avant Garde" w:cs="Arial"/>
          <w:sz w:val="22"/>
          <w:szCs w:val="22"/>
          <w:lang w:val="es-ES_tradnl"/>
        </w:rPr>
        <w:t xml:space="preserve">de redes </w:t>
      </w:r>
      <w:r w:rsidR="005A009D" w:rsidRPr="00F84180">
        <w:rPr>
          <w:rFonts w:ascii="ITC Avant Garde" w:eastAsia="Arial" w:hAnsi="ITC Avant Garde" w:cs="Arial"/>
          <w:sz w:val="22"/>
          <w:szCs w:val="22"/>
          <w:lang w:val="es-ES_tradnl"/>
        </w:rPr>
        <w:t xml:space="preserve">de </w:t>
      </w:r>
      <w:r w:rsidR="007C0088" w:rsidRPr="00F84180">
        <w:rPr>
          <w:rFonts w:ascii="ITC Avant Garde" w:eastAsia="Arial" w:hAnsi="ITC Avant Garde" w:cs="Arial"/>
          <w:sz w:val="22"/>
          <w:szCs w:val="22"/>
          <w:lang w:val="es-ES_tradnl"/>
        </w:rPr>
        <w:t xml:space="preserve">fibra </w:t>
      </w:r>
      <w:r w:rsidR="00224552" w:rsidRPr="00F84180">
        <w:rPr>
          <w:rFonts w:ascii="ITC Avant Garde" w:eastAsia="Arial" w:hAnsi="ITC Avant Garde" w:cs="Arial"/>
          <w:sz w:val="22"/>
          <w:szCs w:val="22"/>
          <w:lang w:val="es-ES_tradnl"/>
        </w:rPr>
        <w:t>resulta</w:t>
      </w:r>
      <w:r w:rsidRPr="00F84180">
        <w:rPr>
          <w:rFonts w:ascii="ITC Avant Garde" w:eastAsia="Arial" w:hAnsi="ITC Avant Garde" w:cs="Arial"/>
          <w:sz w:val="22"/>
          <w:szCs w:val="22"/>
          <w:lang w:val="es-ES_tradnl"/>
        </w:rPr>
        <w:t xml:space="preserve"> una práctica común. En dichos planes se establecen </w:t>
      </w:r>
      <w:r w:rsidR="007C0088" w:rsidRPr="00F84180">
        <w:rPr>
          <w:rFonts w:ascii="ITC Avant Garde" w:eastAsia="Arial" w:hAnsi="ITC Avant Garde" w:cs="Arial"/>
          <w:sz w:val="22"/>
          <w:szCs w:val="22"/>
          <w:lang w:val="es-ES_tradnl"/>
        </w:rPr>
        <w:t xml:space="preserve">hitos </w:t>
      </w:r>
      <w:r w:rsidR="00F47933" w:rsidRPr="00F84180">
        <w:rPr>
          <w:rFonts w:ascii="ITC Avant Garde" w:eastAsia="Arial" w:hAnsi="ITC Avant Garde" w:cs="Arial"/>
          <w:sz w:val="22"/>
          <w:szCs w:val="22"/>
          <w:lang w:val="es-ES_tradnl"/>
        </w:rPr>
        <w:t xml:space="preserve">relativos a la construcción y crecimiento de las redes, mismos </w:t>
      </w:r>
      <w:r w:rsidR="007C0088" w:rsidRPr="00F84180">
        <w:rPr>
          <w:rFonts w:ascii="ITC Avant Garde" w:eastAsia="Arial" w:hAnsi="ITC Avant Garde" w:cs="Arial"/>
          <w:sz w:val="22"/>
          <w:szCs w:val="22"/>
          <w:lang w:val="es-ES_tradnl"/>
        </w:rPr>
        <w:t>que se debe</w:t>
      </w:r>
      <w:r w:rsidR="008B444A" w:rsidRPr="00F84180">
        <w:rPr>
          <w:rFonts w:ascii="ITC Avant Garde" w:eastAsia="Arial" w:hAnsi="ITC Avant Garde" w:cs="Arial"/>
          <w:sz w:val="22"/>
          <w:szCs w:val="22"/>
          <w:lang w:val="es-ES_tradnl"/>
        </w:rPr>
        <w:t>n</w:t>
      </w:r>
      <w:r w:rsidR="007C0088" w:rsidRPr="00F84180">
        <w:rPr>
          <w:rFonts w:ascii="ITC Avant Garde" w:eastAsia="Arial" w:hAnsi="ITC Avant Garde" w:cs="Arial"/>
          <w:sz w:val="22"/>
          <w:szCs w:val="22"/>
          <w:lang w:val="es-ES_tradnl"/>
        </w:rPr>
        <w:t xml:space="preserve"> alcanza</w:t>
      </w:r>
      <w:r w:rsidR="008B444A" w:rsidRPr="00F84180">
        <w:rPr>
          <w:rFonts w:ascii="ITC Avant Garde" w:eastAsia="Arial" w:hAnsi="ITC Avant Garde" w:cs="Arial"/>
          <w:sz w:val="22"/>
          <w:szCs w:val="22"/>
          <w:lang w:val="es-ES_tradnl"/>
        </w:rPr>
        <w:t>r</w:t>
      </w:r>
      <w:r w:rsidR="007C0088" w:rsidRPr="00F84180">
        <w:rPr>
          <w:rFonts w:ascii="ITC Avant Garde" w:eastAsia="Arial" w:hAnsi="ITC Avant Garde" w:cs="Arial"/>
          <w:sz w:val="22"/>
          <w:szCs w:val="22"/>
          <w:lang w:val="es-ES_tradnl"/>
        </w:rPr>
        <w:t xml:space="preserve"> con el fin de </w:t>
      </w:r>
      <w:r w:rsidR="008B444A" w:rsidRPr="00F84180">
        <w:rPr>
          <w:rFonts w:ascii="ITC Avant Garde" w:eastAsia="Arial" w:hAnsi="ITC Avant Garde" w:cs="Arial"/>
          <w:sz w:val="22"/>
          <w:szCs w:val="22"/>
          <w:lang w:val="es-ES_tradnl"/>
        </w:rPr>
        <w:t>lograr</w:t>
      </w:r>
      <w:r w:rsidR="007C0088" w:rsidRPr="00F84180">
        <w:rPr>
          <w:rFonts w:ascii="ITC Avant Garde" w:eastAsia="Arial" w:hAnsi="ITC Avant Garde" w:cs="Arial"/>
          <w:sz w:val="22"/>
          <w:szCs w:val="22"/>
          <w:lang w:val="es-ES_tradnl"/>
        </w:rPr>
        <w:t xml:space="preserve"> los objetivos de cobertura </w:t>
      </w:r>
      <w:r w:rsidR="00D77E87" w:rsidRPr="00F84180">
        <w:rPr>
          <w:rFonts w:ascii="ITC Avant Garde" w:eastAsia="Arial" w:hAnsi="ITC Avant Garde" w:cs="Arial"/>
          <w:sz w:val="22"/>
          <w:szCs w:val="22"/>
          <w:lang w:val="es-ES_tradnl"/>
        </w:rPr>
        <w:t>establecidos</w:t>
      </w:r>
      <w:r w:rsidR="007C0088" w:rsidRPr="00F84180">
        <w:rPr>
          <w:rFonts w:ascii="ITC Avant Garde" w:eastAsia="Arial" w:hAnsi="ITC Avant Garde" w:cs="Arial"/>
          <w:sz w:val="22"/>
          <w:szCs w:val="22"/>
          <w:lang w:val="es-ES_tradnl"/>
        </w:rPr>
        <w:t xml:space="preserve">. Asimismo, los planes y programas </w:t>
      </w:r>
      <w:r w:rsidR="000B4DAF" w:rsidRPr="00F84180">
        <w:rPr>
          <w:rFonts w:ascii="ITC Avant Garde" w:eastAsia="Arial" w:hAnsi="ITC Avant Garde" w:cs="Arial"/>
          <w:sz w:val="22"/>
          <w:szCs w:val="22"/>
          <w:lang w:val="es-ES_tradnl"/>
        </w:rPr>
        <w:t>facilitan el seguimiento en la implementación de los proyectos de despliegue de fibra</w:t>
      </w:r>
      <w:r w:rsidR="000B4DAF" w:rsidRPr="00F84180" w:rsidDel="000B4DAF">
        <w:rPr>
          <w:rFonts w:ascii="ITC Avant Garde" w:eastAsia="Arial" w:hAnsi="ITC Avant Garde" w:cs="Arial"/>
          <w:sz w:val="22"/>
          <w:szCs w:val="22"/>
          <w:lang w:val="es-ES_tradnl"/>
        </w:rPr>
        <w:t xml:space="preserve"> </w:t>
      </w:r>
      <w:r w:rsidR="00D756F3" w:rsidRPr="00F84180">
        <w:rPr>
          <w:rFonts w:ascii="ITC Avant Garde" w:eastAsia="Arial" w:hAnsi="ITC Avant Garde" w:cs="Arial"/>
          <w:sz w:val="22"/>
          <w:szCs w:val="22"/>
          <w:lang w:val="es-ES_tradnl"/>
        </w:rPr>
        <w:t xml:space="preserve">a </w:t>
      </w:r>
      <w:r w:rsidR="00727193" w:rsidRPr="00F84180">
        <w:rPr>
          <w:rFonts w:ascii="ITC Avant Garde" w:eastAsia="Arial" w:hAnsi="ITC Avant Garde" w:cs="Arial"/>
          <w:sz w:val="22"/>
          <w:szCs w:val="22"/>
          <w:lang w:val="es-ES_tradnl"/>
        </w:rPr>
        <w:t>la</w:t>
      </w:r>
      <w:r w:rsidR="007C0088" w:rsidRPr="00F84180">
        <w:rPr>
          <w:rFonts w:ascii="ITC Avant Garde" w:eastAsia="Arial" w:hAnsi="ITC Avant Garde" w:cs="Arial"/>
          <w:sz w:val="22"/>
          <w:szCs w:val="22"/>
          <w:lang w:val="es-ES_tradnl"/>
        </w:rPr>
        <w:t xml:space="preserve"> autoridad</w:t>
      </w:r>
      <w:r w:rsidR="00D756F3" w:rsidRPr="00F84180">
        <w:rPr>
          <w:rFonts w:ascii="ITC Avant Garde" w:eastAsia="Arial" w:hAnsi="ITC Avant Garde" w:cs="Arial"/>
          <w:sz w:val="22"/>
          <w:szCs w:val="22"/>
          <w:lang w:val="es-ES_tradnl"/>
        </w:rPr>
        <w:t xml:space="preserve"> </w:t>
      </w:r>
      <w:r w:rsidR="007C0088" w:rsidRPr="00F84180">
        <w:rPr>
          <w:rFonts w:ascii="ITC Avant Garde" w:eastAsia="Arial" w:hAnsi="ITC Avant Garde" w:cs="Arial"/>
          <w:sz w:val="22"/>
          <w:szCs w:val="22"/>
          <w:lang w:val="es-ES_tradnl"/>
        </w:rPr>
        <w:t>competente.</w:t>
      </w:r>
      <w:r w:rsidR="00F47933" w:rsidRPr="00F84180">
        <w:rPr>
          <w:rFonts w:ascii="ITC Avant Garde" w:eastAsia="Arial" w:hAnsi="ITC Avant Garde" w:cs="Arial"/>
          <w:sz w:val="22"/>
          <w:szCs w:val="22"/>
          <w:lang w:val="es-ES_tradnl"/>
        </w:rPr>
        <w:t xml:space="preserve"> </w:t>
      </w:r>
    </w:p>
    <w:p w:rsidR="00F84180" w:rsidRPr="00F84180" w:rsidRDefault="00F47933"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Al respecto, se incluye información de algunos países en los cuales</w:t>
      </w:r>
      <w:r w:rsidR="007C0088" w:rsidRPr="00F84180">
        <w:rPr>
          <w:rFonts w:ascii="ITC Avant Garde" w:eastAsia="Arial" w:hAnsi="ITC Avant Garde" w:cs="Arial"/>
          <w:sz w:val="22"/>
          <w:szCs w:val="22"/>
          <w:lang w:val="es-ES_tradnl"/>
        </w:rPr>
        <w:t xml:space="preserve"> </w:t>
      </w:r>
      <w:r w:rsidR="00224552" w:rsidRPr="00F84180">
        <w:rPr>
          <w:rFonts w:ascii="ITC Avant Garde" w:eastAsia="Arial" w:hAnsi="ITC Avant Garde" w:cs="Arial"/>
          <w:sz w:val="22"/>
          <w:szCs w:val="22"/>
          <w:lang w:val="es-ES_tradnl"/>
        </w:rPr>
        <w:t>se ha establecido la obligación de presentar un programa de despliegue</w:t>
      </w:r>
      <w:r w:rsidR="000B4DAF" w:rsidRPr="00F84180">
        <w:rPr>
          <w:rFonts w:ascii="ITC Avant Garde" w:eastAsia="Arial" w:hAnsi="ITC Avant Garde" w:cs="Arial"/>
          <w:sz w:val="22"/>
          <w:szCs w:val="22"/>
          <w:lang w:val="es-ES_tradnl"/>
        </w:rPr>
        <w:t xml:space="preserve"> al operador</w:t>
      </w:r>
      <w:r w:rsidR="00224552" w:rsidRPr="00F84180">
        <w:rPr>
          <w:rFonts w:ascii="ITC Avant Garde" w:eastAsia="Arial" w:hAnsi="ITC Avant Garde" w:cs="Arial"/>
          <w:sz w:val="22"/>
          <w:szCs w:val="22"/>
          <w:lang w:val="es-ES_tradnl"/>
        </w:rPr>
        <w:t>.</w:t>
      </w:r>
    </w:p>
    <w:p w:rsidR="00F84180" w:rsidRPr="00F84180" w:rsidRDefault="00224552" w:rsidP="00F84180">
      <w:pPr>
        <w:tabs>
          <w:tab w:val="num" w:pos="1220"/>
          <w:tab w:val="num" w:pos="1940"/>
        </w:tabs>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lang w:val="es-ES_tradnl"/>
        </w:rPr>
        <w:lastRenderedPageBreak/>
        <w:t>Sudáfrica.</w:t>
      </w:r>
      <w:r w:rsidRPr="00F84180">
        <w:rPr>
          <w:rFonts w:ascii="ITC Avant Garde" w:eastAsia="Arial" w:hAnsi="ITC Avant Garde" w:cs="Arial"/>
          <w:sz w:val="22"/>
          <w:szCs w:val="22"/>
          <w:lang w:val="es-ES_tradnl"/>
        </w:rPr>
        <w:t xml:space="preserve"> En 2007 se emitió una legislación que transformó a la empresa “Broadband Infraco Limited” en una empresa pública administrada por el Estado. Posteriormente, en 2009 la autoridad regulatoria de Sudáfrica (ICASA - Independent Communication Authority of South Africa) estableció un conjunto de obligaciones al título de concesión asociado a la red de fibra, entre las que se incluía la presentación de un p</w:t>
      </w:r>
      <w:r w:rsidRPr="00F84180">
        <w:rPr>
          <w:rFonts w:ascii="ITC Avant Garde" w:eastAsia="Arial" w:hAnsi="ITC Avant Garde" w:cs="Arial"/>
          <w:sz w:val="22"/>
          <w:szCs w:val="22"/>
        </w:rPr>
        <w:t>lan de implementación</w:t>
      </w:r>
      <w:r w:rsidR="008D6B7F" w:rsidRPr="00F84180">
        <w:rPr>
          <w:rFonts w:ascii="ITC Avant Garde" w:eastAsia="Arial" w:hAnsi="ITC Avant Garde" w:cs="Arial"/>
          <w:sz w:val="22"/>
          <w:szCs w:val="22"/>
        </w:rPr>
        <w:t xml:space="preserve"> ante la autoridad regulatoria. Dicho plan </w:t>
      </w:r>
      <w:r w:rsidRPr="00F84180">
        <w:rPr>
          <w:rFonts w:ascii="ITC Avant Garde" w:eastAsia="Arial" w:hAnsi="ITC Avant Garde" w:cs="Arial"/>
          <w:sz w:val="22"/>
          <w:szCs w:val="22"/>
        </w:rPr>
        <w:t xml:space="preserve">debería contener la localización de los puntos de presencia, las fechas de inicio de instalación de </w:t>
      </w:r>
      <w:r w:rsidR="002D53F5" w:rsidRPr="00F84180">
        <w:rPr>
          <w:rFonts w:ascii="ITC Avant Garde" w:eastAsia="Arial" w:hAnsi="ITC Avant Garde" w:cs="Arial"/>
          <w:sz w:val="22"/>
          <w:szCs w:val="22"/>
        </w:rPr>
        <w:t xml:space="preserve">dichos </w:t>
      </w:r>
      <w:r w:rsidRPr="00F84180">
        <w:rPr>
          <w:rFonts w:ascii="ITC Avant Garde" w:eastAsia="Arial" w:hAnsi="ITC Avant Garde" w:cs="Arial"/>
          <w:sz w:val="22"/>
          <w:szCs w:val="22"/>
        </w:rPr>
        <w:t xml:space="preserve">puntos de presencia (que no debería superar 18 meses después de la fecha de aprobación del plan), entre otros detalles que la autoridad considerara relevantes después de consultarlo con el concesionario. </w:t>
      </w:r>
      <w:r w:rsidR="001409F4" w:rsidRPr="00F84180">
        <w:rPr>
          <w:rFonts w:ascii="ITC Avant Garde" w:eastAsia="Arial" w:hAnsi="ITC Avant Garde" w:cs="Arial"/>
          <w:sz w:val="22"/>
          <w:szCs w:val="22"/>
        </w:rPr>
        <w:t>En e</w:t>
      </w:r>
      <w:r w:rsidRPr="00F84180">
        <w:rPr>
          <w:rFonts w:ascii="ITC Avant Garde" w:eastAsia="Arial" w:hAnsi="ITC Avant Garde" w:cs="Arial"/>
          <w:sz w:val="22"/>
          <w:szCs w:val="22"/>
        </w:rPr>
        <w:t xml:space="preserve">l procedimiento establecido para la presentación del plan </w:t>
      </w:r>
      <w:r w:rsidR="002D53F5" w:rsidRPr="00F84180">
        <w:rPr>
          <w:rFonts w:ascii="ITC Avant Garde" w:eastAsia="Arial" w:hAnsi="ITC Avant Garde" w:cs="Arial"/>
          <w:sz w:val="22"/>
          <w:szCs w:val="22"/>
        </w:rPr>
        <w:t>se indicó</w:t>
      </w:r>
      <w:r w:rsidRPr="00F84180">
        <w:rPr>
          <w:rFonts w:ascii="ITC Avant Garde" w:eastAsia="Arial" w:hAnsi="ITC Avant Garde" w:cs="Arial"/>
          <w:sz w:val="22"/>
          <w:szCs w:val="22"/>
        </w:rPr>
        <w:t xml:space="preserve"> que</w:t>
      </w:r>
      <w:r w:rsidR="002D53F5" w:rsidRPr="00F84180">
        <w:rPr>
          <w:rFonts w:ascii="ITC Avant Garde" w:eastAsia="Arial" w:hAnsi="ITC Avant Garde" w:cs="Arial"/>
          <w:sz w:val="22"/>
          <w:szCs w:val="22"/>
        </w:rPr>
        <w:t xml:space="preserve"> este</w:t>
      </w:r>
      <w:r w:rsidRPr="00F84180">
        <w:rPr>
          <w:rFonts w:ascii="ITC Avant Garde" w:eastAsia="Arial" w:hAnsi="ITC Avant Garde" w:cs="Arial"/>
          <w:sz w:val="22"/>
          <w:szCs w:val="22"/>
        </w:rPr>
        <w:t xml:space="preserve"> debería</w:t>
      </w:r>
      <w:r w:rsidR="002D53F5" w:rsidRPr="00F84180">
        <w:rPr>
          <w:rFonts w:ascii="ITC Avant Garde" w:eastAsia="Arial" w:hAnsi="ITC Avant Garde" w:cs="Arial"/>
          <w:sz w:val="22"/>
          <w:szCs w:val="22"/>
        </w:rPr>
        <w:t xml:space="preserve"> ser presentado en un plazo de ocho</w:t>
      </w:r>
      <w:r w:rsidRPr="00F84180">
        <w:rPr>
          <w:rFonts w:ascii="ITC Avant Garde" w:eastAsia="Arial" w:hAnsi="ITC Avant Garde" w:cs="Arial"/>
          <w:sz w:val="22"/>
          <w:szCs w:val="22"/>
        </w:rPr>
        <w:t xml:space="preserve"> meses o en un periodo mayor a consideración de la autoridad. </w:t>
      </w:r>
      <w:r w:rsidR="008D6B7F" w:rsidRPr="00F84180">
        <w:rPr>
          <w:rFonts w:ascii="ITC Avant Garde" w:eastAsia="Arial" w:hAnsi="ITC Avant Garde" w:cs="Arial"/>
          <w:sz w:val="22"/>
          <w:szCs w:val="22"/>
        </w:rPr>
        <w:t>Asimismo</w:t>
      </w:r>
      <w:r w:rsidRPr="00F84180">
        <w:rPr>
          <w:rFonts w:ascii="ITC Avant Garde" w:eastAsia="Arial" w:hAnsi="ITC Avant Garde" w:cs="Arial"/>
          <w:sz w:val="22"/>
          <w:szCs w:val="22"/>
        </w:rPr>
        <w:t xml:space="preserve">, se estableció que la autoridad debería aprobar el plan de implementación después de consultarlo con el concesionario dentro de un plazo de tres meses posteriores a su presentación. </w:t>
      </w:r>
      <w:r w:rsidRPr="00F84180">
        <w:rPr>
          <w:rStyle w:val="Refdenotaalpie"/>
          <w:rFonts w:ascii="ITC Avant Garde" w:eastAsia="Arial" w:hAnsi="ITC Avant Garde" w:cs="Arial"/>
          <w:sz w:val="22"/>
          <w:szCs w:val="22"/>
        </w:rPr>
        <w:footnoteReference w:id="1"/>
      </w:r>
    </w:p>
    <w:p w:rsidR="00F84180" w:rsidRPr="00F84180" w:rsidRDefault="007206D5"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Colombia.</w:t>
      </w:r>
      <w:r w:rsidRPr="00F84180">
        <w:rPr>
          <w:rFonts w:ascii="ITC Avant Garde" w:eastAsia="Arial" w:hAnsi="ITC Avant Garde" w:cs="Arial"/>
          <w:sz w:val="22"/>
          <w:szCs w:val="22"/>
          <w:lang w:val="es-ES_tradnl"/>
        </w:rPr>
        <w:t xml:space="preserve"> El gobierno colombiano estableció el Proyecto Nacional de Fibra Óptica, para la construcción de una red de fibra con el fin de conectar 700 municipios.</w:t>
      </w:r>
      <w:r w:rsidRPr="00F84180">
        <w:rPr>
          <w:rStyle w:val="Refdenotaalpie"/>
          <w:rFonts w:ascii="ITC Avant Garde" w:eastAsia="Arial" w:hAnsi="ITC Avant Garde" w:cs="Arial"/>
          <w:sz w:val="22"/>
          <w:szCs w:val="22"/>
          <w:lang w:val="es-ES_tradnl"/>
        </w:rPr>
        <w:footnoteReference w:id="2"/>
      </w:r>
      <w:r w:rsidRPr="00F84180">
        <w:rPr>
          <w:rFonts w:ascii="ITC Avant Garde" w:eastAsia="Arial" w:hAnsi="ITC Avant Garde" w:cs="Arial"/>
          <w:sz w:val="22"/>
          <w:szCs w:val="22"/>
          <w:lang w:val="es-ES_tradnl"/>
        </w:rPr>
        <w:t xml:space="preserve"> Al respecto, el Ministerio de Tecnologías de la Información y las Comunicaciones del país impuso obligaciones al concesionario respecto a la planeación, diseño, instalación, puesta en servicio, administración, operación y mantenimiento de la red de transporte óptico. Entre dichas obligaciones se estableció la presentación de un plan de instalación, plan de puesta en servicio y plan de mantenimiento de la infraestructura de la red de transporte, de la red de acceso y del servicio de acceso a Internet de los municipios a cubrir.</w:t>
      </w:r>
    </w:p>
    <w:p w:rsidR="00F84180" w:rsidRPr="00F84180" w:rsidRDefault="00224552" w:rsidP="00F84180">
      <w:pPr>
        <w:tabs>
          <w:tab w:val="num" w:pos="1220"/>
          <w:tab w:val="num" w:pos="1940"/>
        </w:tabs>
        <w:spacing w:after="240" w:line="276" w:lineRule="auto"/>
        <w:ind w:right="49"/>
        <w:jc w:val="both"/>
      </w:pPr>
      <w:r w:rsidRPr="00F84180">
        <w:rPr>
          <w:rFonts w:ascii="ITC Avant Garde" w:eastAsia="Arial" w:hAnsi="ITC Avant Garde" w:cs="Arial"/>
          <w:b/>
          <w:sz w:val="22"/>
          <w:szCs w:val="22"/>
          <w:lang w:val="es-ES_tradnl"/>
        </w:rPr>
        <w:t>Perú.</w:t>
      </w:r>
      <w:r w:rsidRPr="00F84180">
        <w:rPr>
          <w:rFonts w:ascii="ITC Avant Garde" w:eastAsia="Arial" w:hAnsi="ITC Avant Garde" w:cs="Arial"/>
          <w:sz w:val="22"/>
          <w:szCs w:val="22"/>
          <w:lang w:val="es-ES_tradnl"/>
        </w:rPr>
        <w:t xml:space="preserve"> En julio de 2012 el congreso peruano aprobó la ley No. 29904, mediante la cual se determinó la construcción de una red dorsal nacional de fibra óptica, con el objetivo de impulsar el desarrollo, utilización y masificación de la banda ancha. Al efecto, se estableció el mandato de contar con una red de transporte que integrara todas las capitales de las provincias del país, y también el despliegue de redes de alta capacidad que conectara a todos los distritos. Al efecto, s</w:t>
      </w:r>
      <w:r w:rsidR="002D53F5" w:rsidRPr="00F84180">
        <w:rPr>
          <w:rFonts w:ascii="ITC Avant Garde" w:eastAsia="Arial" w:hAnsi="ITC Avant Garde" w:cs="Arial"/>
          <w:sz w:val="22"/>
          <w:szCs w:val="22"/>
          <w:lang w:val="es-ES_tradnl"/>
        </w:rPr>
        <w:t>e le otorgaron siete</w:t>
      </w:r>
      <w:r w:rsidRPr="00F84180">
        <w:rPr>
          <w:rFonts w:ascii="ITC Avant Garde" w:eastAsia="Arial" w:hAnsi="ITC Avant Garde" w:cs="Arial"/>
          <w:sz w:val="22"/>
          <w:szCs w:val="22"/>
          <w:lang w:val="es-ES_tradnl"/>
        </w:rPr>
        <w:t xml:space="preserve"> meses al concesionario para presentar un programa de despliegue </w:t>
      </w:r>
      <w:r w:rsidRPr="00F84180">
        <w:rPr>
          <w:rFonts w:ascii="ITC Avant Garde" w:eastAsia="Arial" w:hAnsi="ITC Avant Garde" w:cs="Arial"/>
          <w:sz w:val="22"/>
          <w:szCs w:val="22"/>
          <w:lang w:val="es-ES_tradnl"/>
        </w:rPr>
        <w:lastRenderedPageBreak/>
        <w:t>que detallara las tareas y actividades a realizar. Asimismo, entre las obligaciones se estableció la presentación de un cronograma de trabajo, que incluía el plan de implementación así como un cronograma de entregas parciales. También, se estableció que el concesionario, debía respetar los plazos máximos, sin alterar o ampliar el alcance, no obstante el concesionario podía realizar modificaciones al programa de despliegue, con la salvedad de que no podía alterar o ampliar los plazos máximos establecidos en el cronograma, y debiendo para tal efecto notificar</w:t>
      </w:r>
      <w:r w:rsidR="002D53F5" w:rsidRPr="00F84180">
        <w:rPr>
          <w:rFonts w:ascii="ITC Avant Garde" w:eastAsia="Arial" w:hAnsi="ITC Avant Garde" w:cs="Arial"/>
          <w:sz w:val="22"/>
          <w:szCs w:val="22"/>
          <w:lang w:val="es-ES_tradnl"/>
        </w:rPr>
        <w:t xml:space="preserve"> a la autoridad dentro de las veinticuatro</w:t>
      </w:r>
      <w:r w:rsidRPr="00F84180">
        <w:rPr>
          <w:rFonts w:ascii="ITC Avant Garde" w:eastAsia="Arial" w:hAnsi="ITC Avant Garde" w:cs="Arial"/>
          <w:sz w:val="22"/>
          <w:szCs w:val="22"/>
          <w:lang w:val="es-ES_tradnl"/>
        </w:rPr>
        <w:t xml:space="preserve"> horas siguientes.</w:t>
      </w:r>
      <w:r w:rsidRPr="00F84180">
        <w:rPr>
          <w:rStyle w:val="Refdenotaalpie"/>
          <w:rFonts w:ascii="ITC Avant Garde" w:eastAsia="Arial" w:hAnsi="ITC Avant Garde" w:cs="Arial"/>
          <w:sz w:val="22"/>
          <w:szCs w:val="22"/>
        </w:rPr>
        <w:footnoteReference w:id="3"/>
      </w:r>
    </w:p>
    <w:p w:rsidR="00F84180" w:rsidRPr="00F84180" w:rsidRDefault="00114695" w:rsidP="00F84180">
      <w:pPr>
        <w:tabs>
          <w:tab w:val="num" w:pos="1220"/>
          <w:tab w:val="num" w:pos="1940"/>
        </w:tabs>
        <w:spacing w:after="240" w:line="276" w:lineRule="auto"/>
        <w:ind w:right="49"/>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CUARTO</w:t>
      </w:r>
      <w:r w:rsidR="00696581" w:rsidRPr="00F84180">
        <w:rPr>
          <w:rFonts w:ascii="ITC Avant Garde" w:eastAsia="Arial" w:hAnsi="ITC Avant Garde" w:cs="Arial"/>
          <w:b/>
          <w:sz w:val="22"/>
          <w:szCs w:val="22"/>
          <w:lang w:val="es-ES_tradnl"/>
        </w:rPr>
        <w:t xml:space="preserve">.- Características del Programa Trianual presentado por Telecomunicaciones de México. </w:t>
      </w:r>
      <w:r w:rsidR="00696581" w:rsidRPr="00F84180">
        <w:rPr>
          <w:rFonts w:ascii="ITC Avant Garde" w:eastAsia="Arial" w:hAnsi="ITC Avant Garde" w:cs="Arial"/>
          <w:sz w:val="22"/>
          <w:szCs w:val="22"/>
          <w:lang w:val="es-ES_tradnl"/>
        </w:rPr>
        <w:t xml:space="preserve">De conformidad con lo establecido en la condición 8.3 del </w:t>
      </w:r>
      <w:r w:rsidR="00991A32" w:rsidRPr="00F84180">
        <w:rPr>
          <w:rFonts w:ascii="ITC Avant Garde" w:eastAsia="Arial" w:hAnsi="ITC Avant Garde" w:cs="Arial"/>
          <w:sz w:val="22"/>
          <w:szCs w:val="22"/>
          <w:lang w:val="es-ES_tradnl"/>
        </w:rPr>
        <w:t>T</w:t>
      </w:r>
      <w:r w:rsidR="00696581" w:rsidRPr="00F84180">
        <w:rPr>
          <w:rFonts w:ascii="ITC Avant Garde" w:eastAsia="Arial" w:hAnsi="ITC Avant Garde" w:cs="Arial"/>
          <w:sz w:val="22"/>
          <w:szCs w:val="22"/>
          <w:lang w:val="es-ES_tradnl"/>
        </w:rPr>
        <w:t xml:space="preserve">ítulo de </w:t>
      </w:r>
      <w:r w:rsidR="00991A32" w:rsidRPr="00F84180">
        <w:rPr>
          <w:rFonts w:ascii="ITC Avant Garde" w:eastAsia="Arial" w:hAnsi="ITC Avant Garde" w:cs="Arial"/>
          <w:sz w:val="22"/>
          <w:szCs w:val="22"/>
          <w:lang w:val="es-ES_tradnl"/>
        </w:rPr>
        <w:t>C</w:t>
      </w:r>
      <w:r w:rsidR="00696581" w:rsidRPr="00F84180">
        <w:rPr>
          <w:rFonts w:ascii="ITC Avant Garde" w:eastAsia="Arial" w:hAnsi="ITC Avant Garde" w:cs="Arial"/>
          <w:sz w:val="22"/>
          <w:szCs w:val="22"/>
          <w:lang w:val="es-ES_tradnl"/>
        </w:rPr>
        <w:t xml:space="preserve">oncesión y en el artículo 15 de los Lineamientos, Telecomunicaciones de México presentó un programa trianual de crecimiento y expansión de la </w:t>
      </w:r>
      <w:r w:rsidR="000A2B10" w:rsidRPr="00F84180">
        <w:rPr>
          <w:rFonts w:ascii="ITC Avant Garde" w:eastAsia="Arial" w:hAnsi="ITC Avant Garde" w:cs="Arial"/>
          <w:sz w:val="22"/>
          <w:szCs w:val="22"/>
          <w:lang w:val="es-ES_tradnl"/>
        </w:rPr>
        <w:t>R</w:t>
      </w:r>
      <w:r w:rsidR="00696581" w:rsidRPr="00F84180">
        <w:rPr>
          <w:rFonts w:ascii="ITC Avant Garde" w:eastAsia="Arial" w:hAnsi="ITC Avant Garde" w:cs="Arial"/>
          <w:sz w:val="22"/>
          <w:szCs w:val="22"/>
          <w:lang w:val="es-ES_tradnl"/>
        </w:rPr>
        <w:t xml:space="preserve">ed </w:t>
      </w:r>
      <w:r w:rsidR="000A2B10" w:rsidRPr="00F84180">
        <w:rPr>
          <w:rFonts w:ascii="ITC Avant Garde" w:eastAsia="Arial" w:hAnsi="ITC Avant Garde" w:cs="Arial"/>
          <w:sz w:val="22"/>
          <w:szCs w:val="22"/>
          <w:lang w:val="es-ES_tradnl"/>
        </w:rPr>
        <w:t>T</w:t>
      </w:r>
      <w:r w:rsidR="00696581" w:rsidRPr="00F84180">
        <w:rPr>
          <w:rFonts w:ascii="ITC Avant Garde" w:eastAsia="Arial" w:hAnsi="ITC Avant Garde" w:cs="Arial"/>
          <w:sz w:val="22"/>
          <w:szCs w:val="22"/>
          <w:lang w:val="es-ES_tradnl"/>
        </w:rPr>
        <w:t xml:space="preserve">roncal </w:t>
      </w:r>
      <w:r w:rsidR="005D2C75" w:rsidRPr="00F84180">
        <w:rPr>
          <w:rFonts w:ascii="ITC Avant Garde" w:eastAsia="Arial" w:hAnsi="ITC Avant Garde" w:cs="Arial"/>
          <w:sz w:val="22"/>
          <w:szCs w:val="22"/>
          <w:lang w:val="es-ES_tradnl"/>
        </w:rPr>
        <w:t>cuya vigencia inicia el 1 de enero de</w:t>
      </w:r>
      <w:r w:rsidR="00696581" w:rsidRPr="00F84180">
        <w:rPr>
          <w:rFonts w:ascii="ITC Avant Garde" w:eastAsia="Arial" w:hAnsi="ITC Avant Garde" w:cs="Arial"/>
          <w:sz w:val="22"/>
          <w:szCs w:val="22"/>
          <w:lang w:val="es-ES_tradnl"/>
        </w:rPr>
        <w:t xml:space="preserve"> 2016 </w:t>
      </w:r>
      <w:r w:rsidR="005D2C75" w:rsidRPr="00F84180">
        <w:rPr>
          <w:rFonts w:ascii="ITC Avant Garde" w:eastAsia="Arial" w:hAnsi="ITC Avant Garde" w:cs="Arial"/>
          <w:sz w:val="22"/>
          <w:szCs w:val="22"/>
          <w:lang w:val="es-ES_tradnl"/>
        </w:rPr>
        <w:t>y concluye el</w:t>
      </w:r>
      <w:r w:rsidR="00696581" w:rsidRPr="00F84180">
        <w:rPr>
          <w:rFonts w:ascii="ITC Avant Garde" w:eastAsia="Arial" w:hAnsi="ITC Avant Garde" w:cs="Arial"/>
          <w:sz w:val="22"/>
          <w:szCs w:val="22"/>
          <w:lang w:val="es-ES_tradnl"/>
        </w:rPr>
        <w:t xml:space="preserve"> </w:t>
      </w:r>
      <w:r w:rsidR="00CE5247" w:rsidRPr="00F84180">
        <w:rPr>
          <w:rFonts w:ascii="ITC Avant Garde" w:eastAsia="Arial" w:hAnsi="ITC Avant Garde" w:cs="Arial"/>
          <w:sz w:val="22"/>
          <w:szCs w:val="22"/>
          <w:lang w:val="es-ES_tradnl"/>
        </w:rPr>
        <w:t>1 de enero de</w:t>
      </w:r>
      <w:r w:rsidR="005D2C75" w:rsidRPr="00F84180">
        <w:rPr>
          <w:rFonts w:ascii="ITC Avant Garde" w:eastAsia="Arial" w:hAnsi="ITC Avant Garde" w:cs="Arial"/>
          <w:sz w:val="22"/>
          <w:szCs w:val="22"/>
          <w:lang w:val="es-ES_tradnl"/>
        </w:rPr>
        <w:t xml:space="preserve"> </w:t>
      </w:r>
      <w:r w:rsidR="00696581" w:rsidRPr="00F84180">
        <w:rPr>
          <w:rFonts w:ascii="ITC Avant Garde" w:eastAsia="Arial" w:hAnsi="ITC Avant Garde" w:cs="Arial"/>
          <w:sz w:val="22"/>
          <w:szCs w:val="22"/>
          <w:lang w:val="es-ES_tradnl"/>
        </w:rPr>
        <w:t xml:space="preserve">2019. Dicho </w:t>
      </w:r>
      <w:r w:rsidR="000A2B10" w:rsidRPr="00F84180">
        <w:rPr>
          <w:rFonts w:ascii="ITC Avant Garde" w:eastAsia="Arial" w:hAnsi="ITC Avant Garde" w:cs="Arial"/>
          <w:sz w:val="22"/>
          <w:szCs w:val="22"/>
          <w:lang w:val="es-ES_tradnl"/>
        </w:rPr>
        <w:t>programa</w:t>
      </w:r>
      <w:r w:rsidR="00696581" w:rsidRPr="00F84180">
        <w:rPr>
          <w:rFonts w:ascii="ITC Avant Garde" w:eastAsia="Arial" w:hAnsi="ITC Avant Garde" w:cs="Arial"/>
          <w:sz w:val="22"/>
          <w:szCs w:val="22"/>
          <w:lang w:val="es-ES_tradnl"/>
        </w:rPr>
        <w:t xml:space="preserve"> consta de cuatro etapas las cuales se describen a continuación.</w:t>
      </w:r>
    </w:p>
    <w:p w:rsidR="00F84180" w:rsidRPr="00F84180" w:rsidRDefault="00696581" w:rsidP="00F84180">
      <w:pPr>
        <w:pStyle w:val="Prrafodelista"/>
        <w:numPr>
          <w:ilvl w:val="0"/>
          <w:numId w:val="2"/>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Etapa I. Continuidad de servicios y aportación de hilos a la red compartida.</w:t>
      </w:r>
    </w:p>
    <w:p w:rsidR="00F84180" w:rsidRPr="00F84180" w:rsidRDefault="009C0457"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La</w:t>
      </w:r>
      <w:r w:rsidR="004F4565" w:rsidRPr="00F84180">
        <w:rPr>
          <w:rFonts w:ascii="ITC Avant Garde" w:eastAsia="Arial" w:hAnsi="ITC Avant Garde" w:cs="Arial"/>
          <w:sz w:val="22"/>
          <w:szCs w:val="22"/>
          <w:lang w:val="es-ES_tradnl"/>
        </w:rPr>
        <w:t xml:space="preserve"> Eta</w:t>
      </w:r>
      <w:r w:rsidRPr="00F84180">
        <w:rPr>
          <w:rFonts w:ascii="ITC Avant Garde" w:eastAsia="Arial" w:hAnsi="ITC Avant Garde" w:cs="Arial"/>
          <w:sz w:val="22"/>
          <w:szCs w:val="22"/>
          <w:lang w:val="es-ES_tradnl"/>
        </w:rPr>
        <w:t>pa I</w:t>
      </w:r>
      <w:r w:rsidR="00DB23A2" w:rsidRPr="00F84180">
        <w:rPr>
          <w:rFonts w:ascii="ITC Avant Garde" w:eastAsia="Arial" w:hAnsi="ITC Avant Garde" w:cs="Arial"/>
          <w:sz w:val="22"/>
          <w:szCs w:val="22"/>
          <w:lang w:val="es-ES_tradnl"/>
        </w:rPr>
        <w:t xml:space="preserve"> inició en</w:t>
      </w:r>
      <w:r w:rsidR="003A02FF" w:rsidRPr="00F84180">
        <w:rPr>
          <w:rFonts w:ascii="ITC Avant Garde" w:eastAsia="Arial" w:hAnsi="ITC Avant Garde" w:cs="Arial"/>
          <w:sz w:val="22"/>
          <w:szCs w:val="22"/>
          <w:lang w:val="es-ES_tradnl"/>
        </w:rPr>
        <w:t xml:space="preserve"> 2016,</w:t>
      </w:r>
      <w:r w:rsidRPr="00F84180">
        <w:rPr>
          <w:rFonts w:ascii="ITC Avant Garde" w:eastAsia="Arial" w:hAnsi="ITC Avant Garde" w:cs="Arial"/>
          <w:sz w:val="22"/>
          <w:szCs w:val="22"/>
          <w:lang w:val="es-ES_tradnl"/>
        </w:rPr>
        <w:t xml:space="preserve"> y</w:t>
      </w:r>
      <w:r w:rsidR="003A02FF" w:rsidRPr="00F84180">
        <w:rPr>
          <w:rFonts w:ascii="ITC Avant Garde" w:eastAsia="Arial" w:hAnsi="ITC Avant Garde" w:cs="Arial"/>
          <w:sz w:val="22"/>
          <w:szCs w:val="22"/>
          <w:lang w:val="es-ES_tradnl"/>
        </w:rPr>
        <w:t xml:space="preserve"> s</w:t>
      </w:r>
      <w:r w:rsidR="004F4565" w:rsidRPr="00F84180">
        <w:rPr>
          <w:rFonts w:ascii="ITC Avant Garde" w:eastAsia="Arial" w:hAnsi="ITC Avant Garde" w:cs="Arial"/>
          <w:sz w:val="22"/>
          <w:szCs w:val="22"/>
          <w:lang w:val="es-ES_tradnl"/>
        </w:rPr>
        <w:t xml:space="preserve">e llevaron a cabo </w:t>
      </w:r>
      <w:r w:rsidR="00C236E6" w:rsidRPr="00F84180">
        <w:rPr>
          <w:rFonts w:ascii="ITC Avant Garde" w:eastAsia="Arial" w:hAnsi="ITC Avant Garde" w:cs="Arial"/>
          <w:sz w:val="22"/>
          <w:szCs w:val="22"/>
          <w:lang w:val="es-ES_tradnl"/>
        </w:rPr>
        <w:t>la</w:t>
      </w:r>
      <w:r w:rsidR="004F4565" w:rsidRPr="00F84180">
        <w:rPr>
          <w:rFonts w:ascii="ITC Avant Garde" w:eastAsia="Arial" w:hAnsi="ITC Avant Garde" w:cs="Arial"/>
          <w:sz w:val="22"/>
          <w:szCs w:val="22"/>
          <w:lang w:val="es-ES_tradnl"/>
        </w:rPr>
        <w:t xml:space="preserve">s principales </w:t>
      </w:r>
      <w:r w:rsidR="00C236E6" w:rsidRPr="00F84180">
        <w:rPr>
          <w:rFonts w:ascii="ITC Avant Garde" w:eastAsia="Arial" w:hAnsi="ITC Avant Garde" w:cs="Arial"/>
          <w:sz w:val="22"/>
          <w:szCs w:val="22"/>
          <w:lang w:val="es-ES_tradnl"/>
        </w:rPr>
        <w:t>actividades p</w:t>
      </w:r>
      <w:r w:rsidR="004F4565" w:rsidRPr="00F84180">
        <w:rPr>
          <w:rFonts w:ascii="ITC Avant Garde" w:eastAsia="Arial" w:hAnsi="ITC Avant Garde" w:cs="Arial"/>
          <w:sz w:val="22"/>
          <w:szCs w:val="22"/>
          <w:lang w:val="es-ES_tradnl"/>
        </w:rPr>
        <w:t>a</w:t>
      </w:r>
      <w:r w:rsidR="00C236E6" w:rsidRPr="00F84180">
        <w:rPr>
          <w:rFonts w:ascii="ITC Avant Garde" w:eastAsia="Arial" w:hAnsi="ITC Avant Garde" w:cs="Arial"/>
          <w:sz w:val="22"/>
          <w:szCs w:val="22"/>
          <w:lang w:val="es-ES_tradnl"/>
        </w:rPr>
        <w:t>ra</w:t>
      </w:r>
      <w:r w:rsidR="004F4565" w:rsidRPr="00F84180">
        <w:rPr>
          <w:rFonts w:ascii="ITC Avant Garde" w:eastAsia="Arial" w:hAnsi="ITC Avant Garde" w:cs="Arial"/>
          <w:sz w:val="22"/>
          <w:szCs w:val="22"/>
          <w:lang w:val="es-ES_tradnl"/>
        </w:rPr>
        <w:t xml:space="preserve"> </w:t>
      </w:r>
      <w:r w:rsidR="00ED0796" w:rsidRPr="00F84180">
        <w:rPr>
          <w:rFonts w:ascii="ITC Avant Garde" w:eastAsia="Arial" w:hAnsi="ITC Avant Garde" w:cs="Arial"/>
          <w:sz w:val="22"/>
          <w:szCs w:val="22"/>
          <w:lang w:val="es-ES_tradnl"/>
        </w:rPr>
        <w:t xml:space="preserve">asegurar </w:t>
      </w:r>
      <w:r w:rsidR="004F4565" w:rsidRPr="00F84180">
        <w:rPr>
          <w:rFonts w:ascii="ITC Avant Garde" w:eastAsia="Arial" w:hAnsi="ITC Avant Garde" w:cs="Arial"/>
          <w:sz w:val="22"/>
          <w:szCs w:val="22"/>
          <w:lang w:val="es-ES_tradnl"/>
        </w:rPr>
        <w:t>la continuidad</w:t>
      </w:r>
      <w:r w:rsidR="00ED0796" w:rsidRPr="00F84180">
        <w:rPr>
          <w:rFonts w:ascii="ITC Avant Garde" w:eastAsia="Arial" w:hAnsi="ITC Avant Garde" w:cs="Arial"/>
          <w:sz w:val="22"/>
          <w:szCs w:val="22"/>
          <w:lang w:val="es-ES_tradnl"/>
        </w:rPr>
        <w:t xml:space="preserve"> de los servicios que anteriormente prestaba la Comisión</w:t>
      </w:r>
      <w:r w:rsidR="00AD15EC" w:rsidRPr="00F84180">
        <w:rPr>
          <w:rFonts w:ascii="ITC Avant Garde" w:eastAsia="Arial" w:hAnsi="ITC Avant Garde" w:cs="Arial"/>
          <w:sz w:val="22"/>
          <w:szCs w:val="22"/>
          <w:lang w:val="es-ES_tradnl"/>
        </w:rPr>
        <w:t xml:space="preserve">. </w:t>
      </w:r>
      <w:r w:rsidR="00696581" w:rsidRPr="00F84180">
        <w:rPr>
          <w:rFonts w:ascii="ITC Avant Garde" w:eastAsia="Arial" w:hAnsi="ITC Avant Garde" w:cs="Arial"/>
          <w:sz w:val="22"/>
          <w:szCs w:val="22"/>
          <w:lang w:val="es-ES_tradnl"/>
        </w:rPr>
        <w:t xml:space="preserve">Telecomunicaciones de México </w:t>
      </w:r>
      <w:r w:rsidR="0075737F" w:rsidRPr="00F84180">
        <w:rPr>
          <w:rFonts w:ascii="ITC Avant Garde" w:eastAsia="Arial" w:hAnsi="ITC Avant Garde" w:cs="Arial"/>
          <w:sz w:val="22"/>
          <w:szCs w:val="22"/>
          <w:lang w:val="es-ES_tradnl"/>
        </w:rPr>
        <w:t xml:space="preserve">señala </w:t>
      </w:r>
      <w:r w:rsidR="00C236E6" w:rsidRPr="00F84180">
        <w:rPr>
          <w:rFonts w:ascii="ITC Avant Garde" w:eastAsia="Arial" w:hAnsi="ITC Avant Garde" w:cs="Arial"/>
          <w:sz w:val="22"/>
          <w:szCs w:val="22"/>
          <w:lang w:val="es-ES_tradnl"/>
        </w:rPr>
        <w:t xml:space="preserve">que </w:t>
      </w:r>
      <w:r w:rsidRPr="00F84180">
        <w:rPr>
          <w:rFonts w:ascii="ITC Avant Garde" w:eastAsia="Arial" w:hAnsi="ITC Avant Garde" w:cs="Arial"/>
          <w:sz w:val="22"/>
          <w:szCs w:val="22"/>
          <w:lang w:val="es-ES_tradnl"/>
        </w:rPr>
        <w:t xml:space="preserve">en </w:t>
      </w:r>
      <w:r w:rsidR="00C236E6" w:rsidRPr="00F84180">
        <w:rPr>
          <w:rFonts w:ascii="ITC Avant Garde" w:eastAsia="Arial" w:hAnsi="ITC Avant Garde" w:cs="Arial"/>
          <w:sz w:val="22"/>
          <w:szCs w:val="22"/>
          <w:lang w:val="es-ES_tradnl"/>
        </w:rPr>
        <w:t>dicha etapa</w:t>
      </w:r>
      <w:r w:rsidR="00144B61"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se </w:t>
      </w:r>
      <w:r w:rsidR="0075737F" w:rsidRPr="00F84180">
        <w:rPr>
          <w:rFonts w:ascii="ITC Avant Garde" w:eastAsia="Arial" w:hAnsi="ITC Avant Garde" w:cs="Arial"/>
          <w:sz w:val="22"/>
          <w:szCs w:val="22"/>
          <w:lang w:val="es-ES_tradnl"/>
        </w:rPr>
        <w:t>incorpora</w:t>
      </w:r>
      <w:r w:rsidR="001C17EC" w:rsidRPr="00F84180">
        <w:rPr>
          <w:rFonts w:ascii="ITC Avant Garde" w:eastAsia="Arial" w:hAnsi="ITC Avant Garde" w:cs="Arial"/>
          <w:sz w:val="22"/>
          <w:szCs w:val="22"/>
          <w:lang w:val="es-ES_tradnl"/>
        </w:rPr>
        <w:t xml:space="preserve">ron </w:t>
      </w:r>
      <w:r w:rsidR="00696581" w:rsidRPr="00F84180">
        <w:rPr>
          <w:rFonts w:ascii="ITC Avant Garde" w:eastAsia="Arial" w:hAnsi="ITC Avant Garde" w:cs="Arial"/>
          <w:sz w:val="22"/>
          <w:szCs w:val="22"/>
          <w:lang w:val="es-ES_tradnl"/>
        </w:rPr>
        <w:t xml:space="preserve">los contratos de servicio cedidos por la Comisión, </w:t>
      </w:r>
      <w:r w:rsidR="001C17EC" w:rsidRPr="00F84180">
        <w:rPr>
          <w:rFonts w:ascii="ITC Avant Garde" w:eastAsia="Arial" w:hAnsi="ITC Avant Garde" w:cs="Arial"/>
          <w:sz w:val="22"/>
          <w:szCs w:val="22"/>
          <w:lang w:val="es-ES_tradnl"/>
        </w:rPr>
        <w:t xml:space="preserve">se llevaron a cabo </w:t>
      </w:r>
      <w:r w:rsidR="00C236E6" w:rsidRPr="00F84180">
        <w:rPr>
          <w:rFonts w:ascii="ITC Avant Garde" w:eastAsia="Arial" w:hAnsi="ITC Avant Garde" w:cs="Arial"/>
          <w:sz w:val="22"/>
          <w:szCs w:val="22"/>
          <w:lang w:val="es-ES_tradnl"/>
        </w:rPr>
        <w:t xml:space="preserve">actividades para </w:t>
      </w:r>
      <w:r w:rsidR="00696581" w:rsidRPr="00F84180">
        <w:rPr>
          <w:rFonts w:ascii="ITC Avant Garde" w:eastAsia="Arial" w:hAnsi="ITC Avant Garde" w:cs="Arial"/>
          <w:sz w:val="22"/>
          <w:szCs w:val="22"/>
          <w:lang w:val="es-ES_tradnl"/>
        </w:rPr>
        <w:t>garant</w:t>
      </w:r>
      <w:r w:rsidR="00C236E6" w:rsidRPr="00F84180">
        <w:rPr>
          <w:rFonts w:ascii="ITC Avant Garde" w:eastAsia="Arial" w:hAnsi="ITC Avant Garde" w:cs="Arial"/>
          <w:sz w:val="22"/>
          <w:szCs w:val="22"/>
          <w:lang w:val="es-ES_tradnl"/>
        </w:rPr>
        <w:t>izar</w:t>
      </w:r>
      <w:r w:rsidR="00696581" w:rsidRPr="00F84180">
        <w:rPr>
          <w:rFonts w:ascii="ITC Avant Garde" w:eastAsia="Arial" w:hAnsi="ITC Avant Garde" w:cs="Arial"/>
          <w:sz w:val="22"/>
          <w:szCs w:val="22"/>
          <w:lang w:val="es-ES_tradnl"/>
        </w:rPr>
        <w:t xml:space="preserve"> la continuidad de los servicios, </w:t>
      </w:r>
      <w:r w:rsidR="001C17EC" w:rsidRPr="00F84180">
        <w:rPr>
          <w:rFonts w:ascii="ITC Avant Garde" w:eastAsia="Arial" w:hAnsi="ITC Avant Garde" w:cs="Arial"/>
          <w:sz w:val="22"/>
          <w:szCs w:val="22"/>
          <w:lang w:val="es-ES_tradnl"/>
        </w:rPr>
        <w:t xml:space="preserve">se inició la </w:t>
      </w:r>
      <w:r w:rsidR="00696581" w:rsidRPr="00F84180">
        <w:rPr>
          <w:rFonts w:ascii="ITC Avant Garde" w:eastAsia="Arial" w:hAnsi="ITC Avant Garde" w:cs="Arial"/>
          <w:sz w:val="22"/>
          <w:szCs w:val="22"/>
          <w:lang w:val="es-ES_tradnl"/>
        </w:rPr>
        <w:t xml:space="preserve">atención a los clientes activos </w:t>
      </w:r>
      <w:r w:rsidR="001C17EC" w:rsidRPr="00F84180">
        <w:rPr>
          <w:rFonts w:ascii="ITC Avant Garde" w:eastAsia="Arial" w:hAnsi="ITC Avant Garde" w:cs="Arial"/>
          <w:sz w:val="22"/>
          <w:szCs w:val="22"/>
          <w:lang w:val="es-ES_tradnl"/>
        </w:rPr>
        <w:t>y</w:t>
      </w:r>
      <w:r w:rsidR="00696581" w:rsidRPr="00F84180">
        <w:rPr>
          <w:rFonts w:ascii="ITC Avant Garde" w:eastAsia="Arial" w:hAnsi="ITC Avant Garde" w:cs="Arial"/>
          <w:sz w:val="22"/>
          <w:szCs w:val="22"/>
          <w:lang w:val="es-ES_tradnl"/>
        </w:rPr>
        <w:t xml:space="preserve"> </w:t>
      </w:r>
      <w:r w:rsidR="001C17EC" w:rsidRPr="00F84180">
        <w:rPr>
          <w:rFonts w:ascii="ITC Avant Garde" w:eastAsia="Arial" w:hAnsi="ITC Avant Garde" w:cs="Arial"/>
          <w:sz w:val="22"/>
          <w:szCs w:val="22"/>
          <w:lang w:val="es-ES_tradnl"/>
        </w:rPr>
        <w:t xml:space="preserve">se implementó </w:t>
      </w:r>
      <w:r w:rsidR="00696581" w:rsidRPr="00F84180">
        <w:rPr>
          <w:rFonts w:ascii="ITC Avant Garde" w:eastAsia="Arial" w:hAnsi="ITC Avant Garde" w:cs="Arial"/>
          <w:sz w:val="22"/>
          <w:szCs w:val="22"/>
          <w:lang w:val="es-ES_tradnl"/>
        </w:rPr>
        <w:t xml:space="preserve">el mecanismo </w:t>
      </w:r>
      <w:r w:rsidR="00C236E6" w:rsidRPr="00F84180">
        <w:rPr>
          <w:rFonts w:ascii="ITC Avant Garde" w:eastAsia="Arial" w:hAnsi="ITC Avant Garde" w:cs="Arial"/>
          <w:sz w:val="22"/>
          <w:szCs w:val="22"/>
          <w:lang w:val="es-ES_tradnl"/>
        </w:rPr>
        <w:t>para</w:t>
      </w:r>
      <w:r w:rsidR="00696581" w:rsidRPr="00F84180">
        <w:rPr>
          <w:rFonts w:ascii="ITC Avant Garde" w:eastAsia="Arial" w:hAnsi="ITC Avant Garde" w:cs="Arial"/>
          <w:sz w:val="22"/>
          <w:szCs w:val="22"/>
          <w:lang w:val="es-ES_tradnl"/>
        </w:rPr>
        <w:t xml:space="preserve"> ceder los contratos de servicio con usuarios finales. Al respecto, en el programa presentado se </w:t>
      </w:r>
      <w:r w:rsidR="0075737F" w:rsidRPr="00F84180">
        <w:rPr>
          <w:rFonts w:ascii="ITC Avant Garde" w:eastAsia="Arial" w:hAnsi="ITC Avant Garde" w:cs="Arial"/>
          <w:sz w:val="22"/>
          <w:szCs w:val="22"/>
          <w:lang w:val="es-ES_tradnl"/>
        </w:rPr>
        <w:t xml:space="preserve">advierte </w:t>
      </w:r>
      <w:r w:rsidR="00696581" w:rsidRPr="00F84180">
        <w:rPr>
          <w:rFonts w:ascii="ITC Avant Garde" w:eastAsia="Arial" w:hAnsi="ITC Avant Garde" w:cs="Arial"/>
          <w:sz w:val="22"/>
          <w:szCs w:val="22"/>
          <w:lang w:val="es-ES_tradnl"/>
        </w:rPr>
        <w:t>que la Comisión cedió a Telecomunicaciones de México 164 contratos, los cuales consist</w:t>
      </w:r>
      <w:r w:rsidR="001C17EC" w:rsidRPr="00F84180">
        <w:rPr>
          <w:rFonts w:ascii="ITC Avant Garde" w:eastAsia="Arial" w:hAnsi="ITC Avant Garde" w:cs="Arial"/>
          <w:sz w:val="22"/>
          <w:szCs w:val="22"/>
          <w:lang w:val="es-ES_tradnl"/>
        </w:rPr>
        <w:t>ieron</w:t>
      </w:r>
      <w:r w:rsidR="00696581" w:rsidRPr="00F84180">
        <w:rPr>
          <w:rFonts w:ascii="ITC Avant Garde" w:eastAsia="Arial" w:hAnsi="ITC Avant Garde" w:cs="Arial"/>
          <w:sz w:val="22"/>
          <w:szCs w:val="22"/>
          <w:lang w:val="es-ES_tradnl"/>
        </w:rPr>
        <w:t xml:space="preserve"> en 93 contratos </w:t>
      </w:r>
      <w:r w:rsidR="00093EB8" w:rsidRPr="00F84180">
        <w:rPr>
          <w:rFonts w:ascii="ITC Avant Garde" w:eastAsia="Arial" w:hAnsi="ITC Avant Garde" w:cs="Arial"/>
          <w:sz w:val="22"/>
          <w:szCs w:val="22"/>
          <w:lang w:val="es-ES_tradnl"/>
        </w:rPr>
        <w:t xml:space="preserve">celebrados </w:t>
      </w:r>
      <w:r w:rsidR="00696581" w:rsidRPr="00F84180">
        <w:rPr>
          <w:rFonts w:ascii="ITC Avant Garde" w:eastAsia="Arial" w:hAnsi="ITC Avant Garde" w:cs="Arial"/>
          <w:sz w:val="22"/>
          <w:szCs w:val="22"/>
          <w:lang w:val="es-ES_tradnl"/>
        </w:rPr>
        <w:t>con usuarios finales y 71 contratos con concesionarios.</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En lo que hace a los contratos con usuarios finales, </w:t>
      </w:r>
      <w:r w:rsidR="00093EB8" w:rsidRPr="00F84180">
        <w:rPr>
          <w:rFonts w:ascii="ITC Avant Garde" w:eastAsia="Arial" w:hAnsi="ITC Avant Garde" w:cs="Arial"/>
          <w:sz w:val="22"/>
          <w:szCs w:val="22"/>
          <w:lang w:val="es-ES_tradnl"/>
        </w:rPr>
        <w:t xml:space="preserve">en el </w:t>
      </w:r>
      <w:r w:rsidR="001E0186" w:rsidRPr="00F84180">
        <w:rPr>
          <w:rFonts w:ascii="ITC Avant Garde" w:eastAsia="Arial" w:hAnsi="ITC Avant Garde" w:cs="Arial"/>
          <w:sz w:val="22"/>
          <w:szCs w:val="22"/>
          <w:lang w:val="es-ES_tradnl"/>
        </w:rPr>
        <w:t>Programa</w:t>
      </w:r>
      <w:r w:rsidR="00093EB8" w:rsidRPr="00F84180">
        <w:rPr>
          <w:rFonts w:ascii="ITC Avant Garde" w:eastAsia="Arial" w:hAnsi="ITC Avant Garde" w:cs="Arial"/>
          <w:sz w:val="22"/>
          <w:szCs w:val="22"/>
          <w:lang w:val="es-ES_tradnl"/>
        </w:rPr>
        <w:t xml:space="preserve"> Trianual</w:t>
      </w:r>
      <w:r w:rsidR="00923ED3" w:rsidRPr="00F84180">
        <w:rPr>
          <w:rFonts w:ascii="ITC Avant Garde" w:eastAsia="Arial" w:hAnsi="ITC Avant Garde" w:cs="Arial"/>
          <w:sz w:val="22"/>
          <w:szCs w:val="22"/>
          <w:lang w:val="es-ES_tradnl"/>
        </w:rPr>
        <w:t xml:space="preserve"> </w:t>
      </w:r>
      <w:r w:rsidR="00093EB8"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se señala que:</w:t>
      </w:r>
    </w:p>
    <w:p w:rsidR="00696581" w:rsidRPr="00F84180" w:rsidRDefault="00696581" w:rsidP="00F84180">
      <w:pPr>
        <w:pStyle w:val="Prrafodelista"/>
        <w:numPr>
          <w:ilvl w:val="0"/>
          <w:numId w:val="3"/>
        </w:numPr>
        <w:spacing w:after="240" w:line="276" w:lineRule="auto"/>
        <w:ind w:left="108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32 contratos </w:t>
      </w:r>
      <w:r w:rsidR="00957F2B" w:rsidRPr="00F84180">
        <w:rPr>
          <w:rFonts w:ascii="ITC Avant Garde" w:eastAsia="Arial" w:hAnsi="ITC Avant Garde" w:cs="Arial"/>
          <w:sz w:val="22"/>
          <w:szCs w:val="22"/>
        </w:rPr>
        <w:t xml:space="preserve">ya </w:t>
      </w:r>
      <w:r w:rsidRPr="00F84180">
        <w:rPr>
          <w:rFonts w:ascii="ITC Avant Garde" w:eastAsia="Arial" w:hAnsi="ITC Avant Garde" w:cs="Arial"/>
          <w:sz w:val="22"/>
          <w:szCs w:val="22"/>
        </w:rPr>
        <w:t>concluyeron su vigencia.</w:t>
      </w:r>
    </w:p>
    <w:p w:rsidR="00696581" w:rsidRPr="00F84180" w:rsidRDefault="00696581" w:rsidP="00F84180">
      <w:pPr>
        <w:pStyle w:val="Prrafodelista"/>
        <w:numPr>
          <w:ilvl w:val="0"/>
          <w:numId w:val="3"/>
        </w:numPr>
        <w:spacing w:after="240" w:line="276" w:lineRule="auto"/>
        <w:ind w:left="1080" w:right="49"/>
        <w:jc w:val="both"/>
        <w:rPr>
          <w:rFonts w:ascii="ITC Avant Garde" w:eastAsia="Arial" w:hAnsi="ITC Avant Garde" w:cs="Arial"/>
          <w:sz w:val="22"/>
          <w:szCs w:val="22"/>
        </w:rPr>
      </w:pPr>
      <w:r w:rsidRPr="00F84180">
        <w:rPr>
          <w:rFonts w:ascii="ITC Avant Garde" w:eastAsia="Arial" w:hAnsi="ITC Avant Garde" w:cs="Arial"/>
          <w:sz w:val="22"/>
          <w:szCs w:val="22"/>
        </w:rPr>
        <w:t>20 contratos han sido cedidos a proveedores de servicios de telecomunicaciones.</w:t>
      </w:r>
    </w:p>
    <w:p w:rsidR="00696581" w:rsidRPr="00F84180" w:rsidRDefault="00684F2C" w:rsidP="00F84180">
      <w:pPr>
        <w:pStyle w:val="Prrafodelista"/>
        <w:numPr>
          <w:ilvl w:val="0"/>
          <w:numId w:val="3"/>
        </w:numPr>
        <w:spacing w:after="240" w:line="276" w:lineRule="auto"/>
        <w:ind w:left="1080"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 xml:space="preserve">En </w:t>
      </w:r>
      <w:r w:rsidR="00696581" w:rsidRPr="00F84180">
        <w:rPr>
          <w:rFonts w:ascii="ITC Avant Garde" w:eastAsia="Arial" w:hAnsi="ITC Avant Garde" w:cs="Arial"/>
          <w:sz w:val="22"/>
          <w:szCs w:val="22"/>
        </w:rPr>
        <w:t>6 contratos, los usuarios finales manifestaron impedimentos</w:t>
      </w:r>
      <w:r w:rsidR="008432B3" w:rsidRPr="00F84180">
        <w:rPr>
          <w:rFonts w:ascii="ITC Avant Garde" w:eastAsia="Arial" w:hAnsi="ITC Avant Garde" w:cs="Arial"/>
          <w:sz w:val="22"/>
          <w:szCs w:val="22"/>
        </w:rPr>
        <w:t xml:space="preserve"> justificados para migrarse</w:t>
      </w:r>
      <w:r w:rsidR="00696581" w:rsidRPr="00F84180">
        <w:rPr>
          <w:rFonts w:ascii="ITC Avant Garde" w:eastAsia="Arial" w:hAnsi="ITC Avant Garde" w:cs="Arial"/>
          <w:sz w:val="22"/>
          <w:szCs w:val="22"/>
        </w:rPr>
        <w:t xml:space="preserve">, por lo que Telecomunicaciones de México </w:t>
      </w:r>
      <w:r w:rsidR="00093EB8" w:rsidRPr="00F84180">
        <w:rPr>
          <w:rFonts w:ascii="ITC Avant Garde" w:eastAsia="Arial" w:hAnsi="ITC Avant Garde" w:cs="Arial"/>
          <w:sz w:val="22"/>
          <w:szCs w:val="22"/>
        </w:rPr>
        <w:t xml:space="preserve">indica que </w:t>
      </w:r>
      <w:r w:rsidR="00696581" w:rsidRPr="00F84180">
        <w:rPr>
          <w:rFonts w:ascii="ITC Avant Garde" w:eastAsia="Arial" w:hAnsi="ITC Avant Garde" w:cs="Arial"/>
          <w:sz w:val="22"/>
          <w:szCs w:val="22"/>
        </w:rPr>
        <w:t>seguirá prestando los servicios hasta su terminación.</w:t>
      </w:r>
    </w:p>
    <w:p w:rsidR="00696581" w:rsidRPr="00F84180" w:rsidRDefault="00684F2C" w:rsidP="00F84180">
      <w:pPr>
        <w:pStyle w:val="Prrafodelista"/>
        <w:numPr>
          <w:ilvl w:val="0"/>
          <w:numId w:val="3"/>
        </w:numPr>
        <w:spacing w:after="240" w:line="276" w:lineRule="auto"/>
        <w:ind w:left="108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En </w:t>
      </w:r>
      <w:r w:rsidR="00696581" w:rsidRPr="00F84180">
        <w:rPr>
          <w:rFonts w:ascii="ITC Avant Garde" w:eastAsia="Arial" w:hAnsi="ITC Avant Garde" w:cs="Arial"/>
          <w:sz w:val="22"/>
          <w:szCs w:val="22"/>
        </w:rPr>
        <w:t>33 contratos</w:t>
      </w:r>
      <w:r w:rsidR="009A1251" w:rsidRPr="00F84180">
        <w:rPr>
          <w:rFonts w:ascii="ITC Avant Garde" w:eastAsia="Arial" w:hAnsi="ITC Avant Garde" w:cs="Arial"/>
          <w:sz w:val="22"/>
          <w:szCs w:val="22"/>
        </w:rPr>
        <w:t>,</w:t>
      </w:r>
      <w:r w:rsidR="00696581" w:rsidRPr="00F84180">
        <w:rPr>
          <w:rFonts w:ascii="ITC Avant Garde" w:eastAsia="Arial" w:hAnsi="ITC Avant Garde" w:cs="Arial"/>
          <w:sz w:val="22"/>
          <w:szCs w:val="22"/>
        </w:rPr>
        <w:t xml:space="preserve"> no hubo manifestaciones de interés y los usuarios no manifestaron impedimentos</w:t>
      </w:r>
      <w:r w:rsidRPr="00F84180">
        <w:rPr>
          <w:rFonts w:ascii="ITC Avant Garde" w:eastAsia="Arial" w:hAnsi="ITC Avant Garde" w:cs="Arial"/>
          <w:sz w:val="22"/>
          <w:szCs w:val="22"/>
        </w:rPr>
        <w:t xml:space="preserve"> para migrarse</w:t>
      </w:r>
      <w:r w:rsidR="00696581" w:rsidRPr="00F84180">
        <w:rPr>
          <w:rFonts w:ascii="ITC Avant Garde" w:eastAsia="Arial" w:hAnsi="ITC Avant Garde" w:cs="Arial"/>
          <w:sz w:val="22"/>
          <w:szCs w:val="22"/>
        </w:rPr>
        <w:t>.</w:t>
      </w:r>
    </w:p>
    <w:p w:rsidR="00F84180" w:rsidRPr="00F84180" w:rsidRDefault="00696581" w:rsidP="00F84180">
      <w:pPr>
        <w:pStyle w:val="Prrafodelista"/>
        <w:numPr>
          <w:ilvl w:val="0"/>
          <w:numId w:val="3"/>
        </w:numPr>
        <w:spacing w:after="240" w:line="276" w:lineRule="auto"/>
        <w:ind w:left="108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2 contratos </w:t>
      </w:r>
      <w:r w:rsidR="008432B3" w:rsidRPr="00F84180">
        <w:rPr>
          <w:rFonts w:ascii="ITC Avant Garde" w:eastAsia="Arial" w:hAnsi="ITC Avant Garde" w:cs="Arial"/>
          <w:sz w:val="22"/>
          <w:szCs w:val="22"/>
        </w:rPr>
        <w:t>serán cedidos</w:t>
      </w:r>
      <w:r w:rsidRPr="00F84180">
        <w:rPr>
          <w:rFonts w:ascii="ITC Avant Garde" w:eastAsia="Arial" w:hAnsi="ITC Avant Garde" w:cs="Arial"/>
          <w:sz w:val="22"/>
          <w:szCs w:val="22"/>
        </w:rPr>
        <w:t xml:space="preserve"> a</w:t>
      </w:r>
      <w:r w:rsidR="00FF11F4" w:rsidRPr="00F84180">
        <w:rPr>
          <w:rFonts w:ascii="ITC Avant Garde" w:eastAsia="Arial" w:hAnsi="ITC Avant Garde" w:cs="Arial"/>
          <w:sz w:val="22"/>
          <w:szCs w:val="22"/>
        </w:rPr>
        <w:t>l</w:t>
      </w:r>
      <w:r w:rsidRPr="00F84180">
        <w:rPr>
          <w:rFonts w:ascii="ITC Avant Garde" w:eastAsia="Arial" w:hAnsi="ITC Avant Garde" w:cs="Arial"/>
          <w:sz w:val="22"/>
          <w:szCs w:val="22"/>
        </w:rPr>
        <w:t xml:space="preserve">  proveedor de servicios </w:t>
      </w:r>
      <w:r w:rsidR="009A1251" w:rsidRPr="00F84180">
        <w:rPr>
          <w:rFonts w:ascii="ITC Avant Garde" w:eastAsia="Arial" w:hAnsi="ITC Avant Garde" w:cs="Arial"/>
          <w:sz w:val="22"/>
          <w:szCs w:val="22"/>
        </w:rPr>
        <w:t xml:space="preserve">de </w:t>
      </w:r>
      <w:r w:rsidRPr="00F84180">
        <w:rPr>
          <w:rFonts w:ascii="ITC Avant Garde" w:eastAsia="Arial" w:hAnsi="ITC Avant Garde" w:cs="Arial"/>
          <w:sz w:val="22"/>
          <w:szCs w:val="22"/>
        </w:rPr>
        <w:t>telecomunicaciones</w:t>
      </w:r>
      <w:r w:rsidR="009A1251" w:rsidRPr="00F84180">
        <w:rPr>
          <w:rFonts w:ascii="ITC Avant Garde" w:eastAsia="Arial" w:hAnsi="ITC Avant Garde" w:cs="Arial"/>
          <w:sz w:val="22"/>
          <w:szCs w:val="22"/>
        </w:rPr>
        <w:t xml:space="preserve"> </w:t>
      </w:r>
      <w:r w:rsidRPr="00F84180">
        <w:rPr>
          <w:rFonts w:ascii="ITC Avant Garde" w:eastAsia="Arial" w:hAnsi="ITC Avant Garde" w:cs="Arial"/>
          <w:sz w:val="22"/>
          <w:szCs w:val="22"/>
        </w:rPr>
        <w:t>que el usuario final design</w:t>
      </w:r>
      <w:r w:rsidR="008432B3" w:rsidRPr="00F84180">
        <w:rPr>
          <w:rFonts w:ascii="ITC Avant Garde" w:eastAsia="Arial" w:hAnsi="ITC Avant Garde" w:cs="Arial"/>
          <w:sz w:val="22"/>
          <w:szCs w:val="22"/>
        </w:rPr>
        <w:t>e</w:t>
      </w:r>
      <w:r w:rsidRPr="00F84180">
        <w:rPr>
          <w:rFonts w:ascii="ITC Avant Garde" w:eastAsia="Arial" w:hAnsi="ITC Avant Garde" w:cs="Arial"/>
          <w:sz w:val="22"/>
          <w:szCs w:val="22"/>
        </w:rPr>
        <w:t>.</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Ahora bien, respecto </w:t>
      </w:r>
      <w:r w:rsidR="00923ED3" w:rsidRPr="00F84180">
        <w:rPr>
          <w:rFonts w:ascii="ITC Avant Garde" w:eastAsia="Arial" w:hAnsi="ITC Avant Garde" w:cs="Arial"/>
          <w:sz w:val="22"/>
          <w:szCs w:val="22"/>
          <w:lang w:val="es-ES_tradnl"/>
        </w:rPr>
        <w:t xml:space="preserve">a </w:t>
      </w:r>
      <w:r w:rsidR="00DC0132" w:rsidRPr="00F84180">
        <w:rPr>
          <w:rFonts w:ascii="ITC Avant Garde" w:eastAsia="Arial" w:hAnsi="ITC Avant Garde" w:cs="Arial"/>
          <w:sz w:val="22"/>
          <w:szCs w:val="22"/>
          <w:lang w:val="es-ES_tradnl"/>
        </w:rPr>
        <w:t xml:space="preserve">la continuidad de </w:t>
      </w:r>
      <w:r w:rsidRPr="00F84180">
        <w:rPr>
          <w:rFonts w:ascii="ITC Avant Garde" w:eastAsia="Arial" w:hAnsi="ITC Avant Garde" w:cs="Arial"/>
          <w:sz w:val="22"/>
          <w:szCs w:val="22"/>
          <w:lang w:val="es-ES_tradnl"/>
        </w:rPr>
        <w:t xml:space="preserve">los servicios en la Etapa I, </w:t>
      </w:r>
      <w:r w:rsidR="00BE2FB8" w:rsidRPr="00F84180">
        <w:rPr>
          <w:rFonts w:ascii="ITC Avant Garde" w:eastAsia="Arial" w:hAnsi="ITC Avant Garde" w:cs="Arial"/>
          <w:sz w:val="22"/>
          <w:szCs w:val="22"/>
          <w:lang w:val="es-ES_tradnl"/>
        </w:rPr>
        <w:t xml:space="preserve">el </w:t>
      </w:r>
      <w:r w:rsidR="0037003E" w:rsidRPr="00F84180">
        <w:rPr>
          <w:rFonts w:ascii="ITC Avant Garde" w:eastAsia="Arial" w:hAnsi="ITC Avant Garde" w:cs="Arial"/>
          <w:sz w:val="22"/>
          <w:szCs w:val="22"/>
          <w:lang w:val="es-ES_tradnl"/>
        </w:rPr>
        <w:t>Programa</w:t>
      </w:r>
      <w:r w:rsidR="00BE2FB8" w:rsidRPr="00F84180">
        <w:rPr>
          <w:rFonts w:ascii="ITC Avant Garde" w:eastAsia="Arial" w:hAnsi="ITC Avant Garde" w:cs="Arial"/>
          <w:sz w:val="22"/>
          <w:szCs w:val="22"/>
          <w:lang w:val="es-ES_tradnl"/>
        </w:rPr>
        <w:t xml:space="preserve"> Trianual </w:t>
      </w:r>
      <w:r w:rsidRPr="00F84180">
        <w:rPr>
          <w:rFonts w:ascii="ITC Avant Garde" w:eastAsia="Arial" w:hAnsi="ITC Avant Garde" w:cs="Arial"/>
          <w:sz w:val="22"/>
          <w:szCs w:val="22"/>
          <w:lang w:val="es-ES_tradnl"/>
        </w:rPr>
        <w:t>indica lo siguiente:</w:t>
      </w:r>
    </w:p>
    <w:p w:rsidR="00696581" w:rsidRPr="00F84180" w:rsidRDefault="00696581" w:rsidP="00F84180">
      <w:pPr>
        <w:pStyle w:val="Prrafodelista"/>
        <w:numPr>
          <w:ilvl w:val="1"/>
          <w:numId w:val="4"/>
        </w:numPr>
        <w:spacing w:after="240" w:line="276" w:lineRule="auto"/>
        <w:ind w:left="1092" w:right="49"/>
        <w:jc w:val="both"/>
        <w:rPr>
          <w:rFonts w:ascii="ITC Avant Garde" w:eastAsia="Arial" w:hAnsi="ITC Avant Garde" w:cs="Arial"/>
          <w:sz w:val="22"/>
          <w:szCs w:val="22"/>
        </w:rPr>
      </w:pPr>
      <w:r w:rsidRPr="00F84180">
        <w:rPr>
          <w:rFonts w:ascii="ITC Avant Garde" w:eastAsia="Arial" w:hAnsi="ITC Avant Garde" w:cs="Arial"/>
          <w:b/>
          <w:sz w:val="22"/>
          <w:szCs w:val="22"/>
        </w:rPr>
        <w:t>Enlaces punto a punto.</w:t>
      </w:r>
      <w:r w:rsidRPr="00F84180">
        <w:rPr>
          <w:rFonts w:ascii="ITC Avant Garde" w:eastAsia="Arial" w:hAnsi="ITC Avant Garde" w:cs="Arial"/>
          <w:sz w:val="22"/>
          <w:szCs w:val="22"/>
        </w:rPr>
        <w:t xml:space="preserve"> Servicio de telecomunicaciones que consiste en la conexión privada entre dos puntos de demarcación para uso exclusivo, en la modalidad Clear Channel.</w:t>
      </w:r>
    </w:p>
    <w:p w:rsidR="00696581" w:rsidRPr="00F84180" w:rsidRDefault="000D5564" w:rsidP="00F84180">
      <w:pPr>
        <w:pStyle w:val="Prrafodelista"/>
        <w:numPr>
          <w:ilvl w:val="1"/>
          <w:numId w:val="4"/>
        </w:numPr>
        <w:spacing w:after="240" w:line="276" w:lineRule="auto"/>
        <w:ind w:left="1092" w:right="49"/>
        <w:jc w:val="both"/>
        <w:rPr>
          <w:rFonts w:ascii="ITC Avant Garde" w:eastAsia="Arial" w:hAnsi="ITC Avant Garde" w:cs="Arial"/>
          <w:sz w:val="22"/>
          <w:szCs w:val="22"/>
        </w:rPr>
      </w:pPr>
      <w:r w:rsidRPr="00F84180">
        <w:rPr>
          <w:rFonts w:ascii="ITC Avant Garde" w:eastAsia="Arial" w:hAnsi="ITC Avant Garde" w:cs="Arial"/>
          <w:b/>
          <w:sz w:val="22"/>
          <w:szCs w:val="22"/>
        </w:rPr>
        <w:t>E</w:t>
      </w:r>
      <w:r w:rsidR="00E86DE2" w:rsidRPr="00F84180">
        <w:rPr>
          <w:rFonts w:ascii="ITC Avant Garde" w:eastAsia="Arial" w:hAnsi="ITC Avant Garde" w:cs="Arial"/>
          <w:b/>
          <w:sz w:val="22"/>
          <w:szCs w:val="22"/>
        </w:rPr>
        <w:t>nlaces con</w:t>
      </w:r>
      <w:r w:rsidRPr="00F84180">
        <w:rPr>
          <w:rFonts w:ascii="ITC Avant Garde" w:eastAsia="Arial" w:hAnsi="ITC Avant Garde" w:cs="Arial"/>
          <w:b/>
          <w:sz w:val="22"/>
          <w:szCs w:val="22"/>
        </w:rPr>
        <w:t xml:space="preserve"> a</w:t>
      </w:r>
      <w:r w:rsidR="00696581" w:rsidRPr="00F84180">
        <w:rPr>
          <w:rFonts w:ascii="ITC Avant Garde" w:eastAsia="Arial" w:hAnsi="ITC Avant Garde" w:cs="Arial"/>
          <w:b/>
          <w:sz w:val="22"/>
          <w:szCs w:val="22"/>
        </w:rPr>
        <w:t>cceso a Internet (IP-MPLS</w:t>
      </w:r>
      <w:r w:rsidR="00696581" w:rsidRPr="00F84180">
        <w:rPr>
          <w:rStyle w:val="Refdenotaalpie"/>
          <w:rFonts w:ascii="ITC Avant Garde" w:eastAsia="Arial" w:hAnsi="ITC Avant Garde" w:cs="Arial"/>
          <w:b/>
          <w:sz w:val="22"/>
          <w:szCs w:val="22"/>
        </w:rPr>
        <w:footnoteReference w:id="4"/>
      </w:r>
      <w:r w:rsidR="00696581" w:rsidRPr="00F84180">
        <w:rPr>
          <w:rFonts w:ascii="ITC Avant Garde" w:eastAsia="Arial" w:hAnsi="ITC Avant Garde" w:cs="Arial"/>
          <w:b/>
          <w:sz w:val="22"/>
          <w:szCs w:val="22"/>
        </w:rPr>
        <w:t>).</w:t>
      </w:r>
      <w:r w:rsidR="00696581" w:rsidRPr="00F84180">
        <w:rPr>
          <w:rFonts w:ascii="ITC Avant Garde" w:eastAsia="Arial" w:hAnsi="ITC Avant Garde" w:cs="Arial"/>
          <w:sz w:val="22"/>
          <w:szCs w:val="22"/>
        </w:rPr>
        <w:t xml:space="preserve"> Servicio para la provisión de conectividad a Internet.</w:t>
      </w:r>
    </w:p>
    <w:p w:rsidR="00696581" w:rsidRPr="00F84180" w:rsidRDefault="00696581" w:rsidP="00F84180">
      <w:pPr>
        <w:pStyle w:val="Prrafodelista"/>
        <w:numPr>
          <w:ilvl w:val="1"/>
          <w:numId w:val="4"/>
        </w:numPr>
        <w:spacing w:after="240" w:line="276" w:lineRule="auto"/>
        <w:ind w:left="1092" w:right="49"/>
        <w:jc w:val="both"/>
        <w:rPr>
          <w:rFonts w:ascii="ITC Avant Garde" w:eastAsia="Arial" w:hAnsi="ITC Avant Garde" w:cs="Arial"/>
          <w:sz w:val="22"/>
          <w:szCs w:val="22"/>
        </w:rPr>
      </w:pPr>
      <w:r w:rsidRPr="00F84180">
        <w:rPr>
          <w:rFonts w:ascii="ITC Avant Garde" w:eastAsia="Arial" w:hAnsi="ITC Avant Garde" w:cs="Arial"/>
          <w:b/>
          <w:sz w:val="22"/>
          <w:szCs w:val="22"/>
        </w:rPr>
        <w:t>Alojamiento.</w:t>
      </w:r>
      <w:r w:rsidRPr="00F84180">
        <w:rPr>
          <w:rFonts w:ascii="ITC Avant Garde" w:eastAsia="Arial" w:hAnsi="ITC Avant Garde" w:cs="Arial"/>
          <w:sz w:val="22"/>
          <w:szCs w:val="22"/>
        </w:rPr>
        <w:t xml:space="preserve"> Servicio complementario de coubicación en hoteles, propiedad de la Comisión, que consiste en la provisión de un espacio asignado a un cliente dentro del sitio para colocar su equipo de telecomunicaciones.</w:t>
      </w:r>
    </w:p>
    <w:p w:rsidR="00696581" w:rsidRPr="00F84180" w:rsidRDefault="00696581" w:rsidP="00F84180">
      <w:pPr>
        <w:pStyle w:val="Prrafodelista"/>
        <w:numPr>
          <w:ilvl w:val="1"/>
          <w:numId w:val="4"/>
        </w:numPr>
        <w:spacing w:after="240" w:line="276" w:lineRule="auto"/>
        <w:ind w:left="1092" w:right="49"/>
        <w:jc w:val="both"/>
        <w:rPr>
          <w:rFonts w:ascii="ITC Avant Garde" w:eastAsia="Arial" w:hAnsi="ITC Avant Garde" w:cs="Arial"/>
          <w:sz w:val="22"/>
          <w:szCs w:val="22"/>
        </w:rPr>
      </w:pPr>
      <w:r w:rsidRPr="00F84180">
        <w:rPr>
          <w:rFonts w:ascii="ITC Avant Garde" w:eastAsia="Arial" w:hAnsi="ITC Avant Garde" w:cs="Arial"/>
          <w:b/>
          <w:sz w:val="22"/>
          <w:szCs w:val="22"/>
        </w:rPr>
        <w:t>Conectividad.</w:t>
      </w:r>
      <w:r w:rsidRPr="00F84180">
        <w:rPr>
          <w:rFonts w:ascii="ITC Avant Garde" w:eastAsia="Arial" w:hAnsi="ITC Avant Garde" w:cs="Arial"/>
          <w:sz w:val="22"/>
          <w:szCs w:val="22"/>
        </w:rPr>
        <w:t xml:space="preserve"> Servicio complementario que consiste en la interconexión de los equipos del cliente con la infraestructura de la Comisión.</w:t>
      </w:r>
    </w:p>
    <w:p w:rsidR="00F84180" w:rsidRPr="00F84180" w:rsidRDefault="00696581" w:rsidP="00F84180">
      <w:pPr>
        <w:pStyle w:val="Prrafodelista"/>
        <w:numPr>
          <w:ilvl w:val="1"/>
          <w:numId w:val="4"/>
        </w:numPr>
        <w:spacing w:after="240" w:line="276" w:lineRule="auto"/>
        <w:ind w:left="1092" w:right="49"/>
        <w:jc w:val="both"/>
        <w:rPr>
          <w:rFonts w:ascii="ITC Avant Garde" w:eastAsia="Arial" w:hAnsi="ITC Avant Garde" w:cs="Arial"/>
          <w:sz w:val="22"/>
          <w:szCs w:val="22"/>
        </w:rPr>
      </w:pPr>
      <w:r w:rsidRPr="00F84180">
        <w:rPr>
          <w:rFonts w:ascii="ITC Avant Garde" w:eastAsia="Arial" w:hAnsi="ITC Avant Garde" w:cs="Arial"/>
          <w:b/>
          <w:sz w:val="22"/>
          <w:szCs w:val="22"/>
        </w:rPr>
        <w:t>Solución Integral de Comunicación (SIC)</w:t>
      </w:r>
      <w:r w:rsidRPr="00F84180">
        <w:rPr>
          <w:rStyle w:val="Refdenotaalpie"/>
          <w:rFonts w:ascii="ITC Avant Garde" w:eastAsia="Arial" w:hAnsi="ITC Avant Garde" w:cs="Arial"/>
          <w:b/>
          <w:sz w:val="22"/>
          <w:szCs w:val="22"/>
        </w:rPr>
        <w:footnoteReference w:id="5"/>
      </w:r>
      <w:r w:rsidRPr="00F84180">
        <w:rPr>
          <w:rFonts w:ascii="ITC Avant Garde" w:eastAsia="Arial" w:hAnsi="ITC Avant Garde" w:cs="Arial"/>
          <w:b/>
          <w:sz w:val="22"/>
          <w:szCs w:val="22"/>
        </w:rPr>
        <w:t>.</w:t>
      </w:r>
      <w:r w:rsidRPr="00F84180">
        <w:rPr>
          <w:rFonts w:ascii="ITC Avant Garde" w:eastAsia="Arial" w:hAnsi="ITC Avant Garde" w:cs="Arial"/>
          <w:sz w:val="22"/>
          <w:szCs w:val="22"/>
        </w:rPr>
        <w:t xml:space="preserve"> Servicio complementario que consiste en ofrecer una solución completa, incluyendo terminales de comunicación además de los enlaces. La prestación de dicho servicio se realiza</w:t>
      </w:r>
      <w:r w:rsidR="00BF0C07" w:rsidRPr="00F84180">
        <w:rPr>
          <w:rFonts w:ascii="ITC Avant Garde" w:eastAsia="Arial" w:hAnsi="ITC Avant Garde" w:cs="Arial"/>
          <w:sz w:val="22"/>
          <w:szCs w:val="22"/>
        </w:rPr>
        <w:t>rá</w:t>
      </w:r>
      <w:r w:rsidRPr="00F84180">
        <w:rPr>
          <w:rFonts w:ascii="ITC Avant Garde" w:eastAsia="Arial" w:hAnsi="ITC Avant Garde" w:cs="Arial"/>
          <w:sz w:val="22"/>
          <w:szCs w:val="22"/>
        </w:rPr>
        <w:t xml:space="preserve"> en tanto concluya el contrato con el cliente, no se planea ofrecerlo en etapas posteriores.</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En lo que hace a los ingresos debido a los servicios, </w:t>
      </w:r>
      <w:r w:rsidR="00984C59" w:rsidRPr="00F84180">
        <w:rPr>
          <w:rFonts w:ascii="ITC Avant Garde" w:eastAsia="Arial" w:hAnsi="ITC Avant Garde" w:cs="Arial"/>
          <w:sz w:val="22"/>
          <w:szCs w:val="22"/>
          <w:lang w:val="es-ES_tradnl"/>
        </w:rPr>
        <w:t xml:space="preserve">el </w:t>
      </w:r>
      <w:r w:rsidR="001E0186" w:rsidRPr="00F84180">
        <w:rPr>
          <w:rFonts w:ascii="ITC Avant Garde" w:eastAsia="Arial" w:hAnsi="ITC Avant Garde" w:cs="Arial"/>
          <w:sz w:val="22"/>
          <w:szCs w:val="22"/>
          <w:lang w:val="es-ES_tradnl"/>
        </w:rPr>
        <w:t>Programa</w:t>
      </w:r>
      <w:r w:rsidR="00984C59" w:rsidRPr="00F84180">
        <w:rPr>
          <w:rFonts w:ascii="ITC Avant Garde" w:eastAsia="Arial" w:hAnsi="ITC Avant Garde" w:cs="Arial"/>
          <w:sz w:val="22"/>
          <w:szCs w:val="22"/>
          <w:lang w:val="es-ES_tradnl"/>
        </w:rPr>
        <w:t xml:space="preserve"> Trianual </w:t>
      </w:r>
      <w:r w:rsidRPr="00F84180">
        <w:rPr>
          <w:rFonts w:ascii="ITC Avant Garde" w:eastAsia="Arial" w:hAnsi="ITC Avant Garde" w:cs="Arial"/>
          <w:sz w:val="22"/>
          <w:szCs w:val="22"/>
          <w:lang w:val="es-ES_tradnl"/>
        </w:rPr>
        <w:t xml:space="preserve">indica que el 46% de ingresos corresponde a los generados por los servicios complementarios </w:t>
      </w:r>
      <w:r w:rsidR="00340EAF" w:rsidRPr="00F84180">
        <w:rPr>
          <w:rFonts w:ascii="ITC Avant Garde" w:eastAsia="Arial" w:hAnsi="ITC Avant Garde" w:cs="Arial"/>
          <w:sz w:val="22"/>
          <w:szCs w:val="22"/>
          <w:lang w:val="es-ES_tradnl"/>
        </w:rPr>
        <w:t xml:space="preserve">de </w:t>
      </w:r>
      <w:r w:rsidRPr="00F84180">
        <w:rPr>
          <w:rFonts w:ascii="ITC Avant Garde" w:eastAsia="Arial" w:hAnsi="ITC Avant Garde" w:cs="Arial"/>
          <w:sz w:val="22"/>
          <w:szCs w:val="22"/>
          <w:lang w:val="es-ES_tradnl"/>
        </w:rPr>
        <w:t>alojamiento, equipo, conectividad y SIC. Si bien se seguirá proveyendo dichos servicios complementarios hasta que concluya</w:t>
      </w:r>
      <w:r w:rsidR="00C1302F" w:rsidRPr="00F84180">
        <w:rPr>
          <w:rFonts w:ascii="ITC Avant Garde" w:eastAsia="Arial" w:hAnsi="ITC Avant Garde" w:cs="Arial"/>
          <w:sz w:val="22"/>
          <w:szCs w:val="22"/>
          <w:lang w:val="es-ES_tradnl"/>
        </w:rPr>
        <w:t>n</w:t>
      </w:r>
      <w:r w:rsidRPr="00F84180">
        <w:rPr>
          <w:rFonts w:ascii="ITC Avant Garde" w:eastAsia="Arial" w:hAnsi="ITC Avant Garde" w:cs="Arial"/>
          <w:sz w:val="22"/>
          <w:szCs w:val="22"/>
          <w:lang w:val="es-ES_tradnl"/>
        </w:rPr>
        <w:t xml:space="preserve"> l</w:t>
      </w:r>
      <w:r w:rsidR="00C1302F" w:rsidRPr="00F84180">
        <w:rPr>
          <w:rFonts w:ascii="ITC Avant Garde" w:eastAsia="Arial" w:hAnsi="ITC Avant Garde" w:cs="Arial"/>
          <w:sz w:val="22"/>
          <w:szCs w:val="22"/>
          <w:lang w:val="es-ES_tradnl"/>
        </w:rPr>
        <w:t>os</w:t>
      </w:r>
      <w:r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lastRenderedPageBreak/>
        <w:t>contrato</w:t>
      </w:r>
      <w:r w:rsidR="00C1302F" w:rsidRPr="00F84180">
        <w:rPr>
          <w:rFonts w:ascii="ITC Avant Garde" w:eastAsia="Arial" w:hAnsi="ITC Avant Garde" w:cs="Arial"/>
          <w:sz w:val="22"/>
          <w:szCs w:val="22"/>
          <w:lang w:val="es-ES_tradnl"/>
        </w:rPr>
        <w:t>s</w:t>
      </w:r>
      <w:r w:rsidRPr="00F84180">
        <w:rPr>
          <w:rFonts w:ascii="ITC Avant Garde" w:eastAsia="Arial" w:hAnsi="ITC Avant Garde" w:cs="Arial"/>
          <w:sz w:val="22"/>
          <w:szCs w:val="22"/>
          <w:lang w:val="es-ES_tradnl"/>
        </w:rPr>
        <w:t xml:space="preserve">, se señala que no formarán parte de la oferta de Telecomunicaciones de México, cuyo enfoque será la provisión de servicios de telecomunicaciones ofreciendo transporte de datos de alta capacidad a los proveedores de servicios de telecomunicaciones a través de la </w:t>
      </w:r>
      <w:r w:rsidR="00DC0132" w:rsidRPr="00F84180">
        <w:rPr>
          <w:rFonts w:ascii="ITC Avant Garde" w:eastAsia="Arial" w:hAnsi="ITC Avant Garde" w:cs="Arial"/>
          <w:sz w:val="22"/>
          <w:szCs w:val="22"/>
          <w:lang w:val="es-ES_tradnl"/>
        </w:rPr>
        <w:t>R</w:t>
      </w:r>
      <w:r w:rsidRPr="00F84180">
        <w:rPr>
          <w:rFonts w:ascii="ITC Avant Garde" w:eastAsia="Arial" w:hAnsi="ITC Avant Garde" w:cs="Arial"/>
          <w:sz w:val="22"/>
          <w:szCs w:val="22"/>
          <w:lang w:val="es-ES_tradnl"/>
        </w:rPr>
        <w:t xml:space="preserve">ed </w:t>
      </w:r>
      <w:r w:rsidR="00DC0132" w:rsidRPr="00F84180">
        <w:rPr>
          <w:rFonts w:ascii="ITC Avant Garde" w:eastAsia="Arial" w:hAnsi="ITC Avant Garde" w:cs="Arial"/>
          <w:sz w:val="22"/>
          <w:szCs w:val="22"/>
          <w:lang w:val="es-ES_tradnl"/>
        </w:rPr>
        <w:t>T</w:t>
      </w:r>
      <w:r w:rsidRPr="00F84180">
        <w:rPr>
          <w:rFonts w:ascii="ITC Avant Garde" w:eastAsia="Arial" w:hAnsi="ITC Avant Garde" w:cs="Arial"/>
          <w:sz w:val="22"/>
          <w:szCs w:val="22"/>
          <w:lang w:val="es-ES_tradnl"/>
        </w:rPr>
        <w:t>roncal</w:t>
      </w:r>
      <w:r w:rsidR="008432B3" w:rsidRPr="00F84180">
        <w:rPr>
          <w:rFonts w:ascii="ITC Avant Garde" w:eastAsia="Arial" w:hAnsi="ITC Avant Garde" w:cs="Arial"/>
          <w:sz w:val="22"/>
          <w:szCs w:val="22"/>
          <w:lang w:val="es-ES_tradnl"/>
        </w:rPr>
        <w:t xml:space="preserve"> Nacional</w:t>
      </w:r>
      <w:r w:rsidRPr="00F84180">
        <w:rPr>
          <w:rFonts w:ascii="ITC Avant Garde" w:eastAsia="Arial" w:hAnsi="ITC Avant Garde" w:cs="Arial"/>
          <w:sz w:val="22"/>
          <w:szCs w:val="22"/>
          <w:lang w:val="es-ES_tradnl"/>
        </w:rPr>
        <w:t>. En virtud de lo anterior, se espera que la mayor parte de los ingresos provengan de enlaces IP-MPLS.</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Adicionalmente, </w:t>
      </w:r>
      <w:r w:rsidR="00844714" w:rsidRPr="00F84180">
        <w:rPr>
          <w:rFonts w:ascii="ITC Avant Garde" w:eastAsia="Arial" w:hAnsi="ITC Avant Garde" w:cs="Arial"/>
          <w:sz w:val="22"/>
          <w:szCs w:val="22"/>
          <w:lang w:val="es-ES_tradnl"/>
        </w:rPr>
        <w:t xml:space="preserve">el Programa Trianual advierte </w:t>
      </w:r>
      <w:r w:rsidRPr="00F84180">
        <w:rPr>
          <w:rFonts w:ascii="ITC Avant Garde" w:eastAsia="Arial" w:hAnsi="ITC Avant Garde" w:cs="Arial"/>
          <w:sz w:val="22"/>
          <w:szCs w:val="22"/>
          <w:lang w:val="es-ES_tradnl"/>
        </w:rPr>
        <w:t>que el 96% de los ingresos generados por la prestación de servicios de telecomunicaciones se destina a la Comisión por concepto de operación y mantenimiento de la red de fibra óptica</w:t>
      </w:r>
      <w:r w:rsidR="009A1251" w:rsidRPr="00F84180">
        <w:rPr>
          <w:rFonts w:ascii="ITC Avant Garde" w:eastAsia="Arial" w:hAnsi="ITC Avant Garde" w:cs="Arial"/>
          <w:sz w:val="22"/>
          <w:szCs w:val="22"/>
          <w:lang w:val="es-ES_tradnl"/>
        </w:rPr>
        <w:t>.</w:t>
      </w:r>
      <w:r w:rsidR="001D2136" w:rsidRPr="00F84180">
        <w:rPr>
          <w:rFonts w:ascii="ITC Avant Garde" w:eastAsia="Arial" w:hAnsi="ITC Avant Garde" w:cs="Arial"/>
          <w:sz w:val="22"/>
          <w:szCs w:val="22"/>
          <w:lang w:val="es-ES_tradnl"/>
        </w:rPr>
        <w:t xml:space="preserve"> </w:t>
      </w:r>
      <w:r w:rsidR="009A1251"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 xml:space="preserve">n este sentido, el margen estimado para Telecomunicaciones de México en 2016, por la prestación de servicios de telecomunicaciones a través de la red de fibra óptica de la Comisión, presentó un mínimo de 1.693 millones de pesos en enero y un máximo de 4.927 millones de pesos en marzo, en tanto que para diciembre de ese mismo año se tuvo un margen estimado de 2.880 millones de pesos. </w:t>
      </w:r>
    </w:p>
    <w:p w:rsidR="00F84180" w:rsidRPr="00F84180" w:rsidRDefault="008432B3"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Telecomunicaciones de México</w:t>
      </w:r>
      <w:r w:rsidR="00696581"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señala </w:t>
      </w:r>
      <w:r w:rsidR="00DC0542" w:rsidRPr="00F84180">
        <w:rPr>
          <w:rFonts w:ascii="ITC Avant Garde" w:eastAsia="Arial" w:hAnsi="ITC Avant Garde" w:cs="Arial"/>
          <w:sz w:val="22"/>
          <w:szCs w:val="22"/>
          <w:lang w:val="es-ES_tradnl"/>
        </w:rPr>
        <w:t xml:space="preserve">que </w:t>
      </w:r>
      <w:r w:rsidR="00696581" w:rsidRPr="00F84180">
        <w:rPr>
          <w:rFonts w:ascii="ITC Avant Garde" w:eastAsia="Arial" w:hAnsi="ITC Avant Garde" w:cs="Arial"/>
          <w:sz w:val="22"/>
          <w:szCs w:val="22"/>
          <w:lang w:val="es-ES_tradnl"/>
        </w:rPr>
        <w:t xml:space="preserve">la operación y mantenimiento </w:t>
      </w:r>
      <w:r w:rsidR="00040689" w:rsidRPr="00F84180">
        <w:rPr>
          <w:rFonts w:ascii="ITC Avant Garde" w:eastAsia="Arial" w:hAnsi="ITC Avant Garde" w:cs="Arial"/>
          <w:sz w:val="22"/>
          <w:szCs w:val="22"/>
          <w:lang w:val="es-ES_tradnl"/>
        </w:rPr>
        <w:t xml:space="preserve">de la red de fibra óptica </w:t>
      </w:r>
      <w:r w:rsidRPr="00F84180">
        <w:rPr>
          <w:rFonts w:ascii="ITC Avant Garde" w:eastAsia="Arial" w:hAnsi="ITC Avant Garde" w:cs="Arial"/>
          <w:sz w:val="22"/>
          <w:szCs w:val="22"/>
          <w:lang w:val="es-ES_tradnl"/>
        </w:rPr>
        <w:t xml:space="preserve">iluminada por la CFE, </w:t>
      </w:r>
      <w:r w:rsidR="00696581" w:rsidRPr="00F84180">
        <w:rPr>
          <w:rFonts w:ascii="ITC Avant Garde" w:eastAsia="Arial" w:hAnsi="ITC Avant Garde" w:cs="Arial"/>
          <w:sz w:val="22"/>
          <w:szCs w:val="22"/>
          <w:lang w:val="es-ES_tradnl"/>
        </w:rPr>
        <w:t xml:space="preserve">representa un costo variable, </w:t>
      </w:r>
      <w:r w:rsidR="009A1251" w:rsidRPr="00F84180">
        <w:rPr>
          <w:rFonts w:ascii="ITC Avant Garde" w:eastAsia="Arial" w:hAnsi="ITC Avant Garde" w:cs="Arial"/>
          <w:sz w:val="22"/>
          <w:szCs w:val="22"/>
          <w:lang w:val="es-ES_tradnl"/>
        </w:rPr>
        <w:t xml:space="preserve">por lo que </w:t>
      </w:r>
      <w:r w:rsidR="00696581" w:rsidRPr="00F84180">
        <w:rPr>
          <w:rFonts w:ascii="ITC Avant Garde" w:eastAsia="Arial" w:hAnsi="ITC Avant Garde" w:cs="Arial"/>
          <w:sz w:val="22"/>
          <w:szCs w:val="22"/>
          <w:lang w:val="es-ES_tradnl"/>
        </w:rPr>
        <w:t xml:space="preserve">se observa necesario emplear un nuevo modelo de negocios y operación, en congruencia con lo establecido en los Lineamientos. Al respecto se requiere adaptar y adecuar las condiciones para la prestación de servicios al mayoreo desagregado de </w:t>
      </w:r>
      <w:r w:rsidR="00A10DC0" w:rsidRPr="00F84180">
        <w:rPr>
          <w:rFonts w:ascii="ITC Avant Garde" w:eastAsia="Arial" w:hAnsi="ITC Avant Garde" w:cs="Arial"/>
          <w:sz w:val="22"/>
          <w:szCs w:val="22"/>
          <w:lang w:val="es-ES_tradnl"/>
        </w:rPr>
        <w:t xml:space="preserve">los </w:t>
      </w:r>
      <w:r w:rsidR="00696581" w:rsidRPr="00F84180">
        <w:rPr>
          <w:rFonts w:ascii="ITC Avant Garde" w:eastAsia="Arial" w:hAnsi="ITC Avant Garde" w:cs="Arial"/>
          <w:sz w:val="22"/>
          <w:szCs w:val="22"/>
          <w:lang w:val="es-ES_tradnl"/>
        </w:rPr>
        <w:t>costos y publicar una oferta de servicios mayoristas que incluya la prestación de servicios de transporte de datos de alta capacidad a los proveedores de servicios de telecomunicaciones.</w:t>
      </w:r>
    </w:p>
    <w:p w:rsidR="00F84180" w:rsidRPr="00F84180" w:rsidRDefault="00696581" w:rsidP="00F84180">
      <w:pPr>
        <w:pStyle w:val="Prrafodelista"/>
        <w:numPr>
          <w:ilvl w:val="0"/>
          <w:numId w:val="2"/>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Etapa II. Nuevos servicios mayoristas sobre la fibra iluminada y acceso a hoteles.</w:t>
      </w:r>
    </w:p>
    <w:p w:rsidR="00F84180" w:rsidRPr="00F84180" w:rsidRDefault="0043181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La</w:t>
      </w:r>
      <w:r w:rsidR="00FC34FB"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Etapa II </w:t>
      </w:r>
      <w:r w:rsidR="00640866" w:rsidRPr="00F84180">
        <w:rPr>
          <w:rFonts w:ascii="ITC Avant Garde" w:eastAsia="Arial" w:hAnsi="ITC Avant Garde" w:cs="Arial"/>
          <w:sz w:val="22"/>
          <w:szCs w:val="22"/>
          <w:lang w:val="es-ES_tradnl"/>
        </w:rPr>
        <w:t>incluye actividades a</w:t>
      </w:r>
      <w:r w:rsidR="00FC34FB" w:rsidRPr="00F84180">
        <w:rPr>
          <w:rFonts w:ascii="ITC Avant Garde" w:eastAsia="Arial" w:hAnsi="ITC Avant Garde" w:cs="Arial"/>
          <w:sz w:val="22"/>
          <w:szCs w:val="22"/>
          <w:lang w:val="es-ES_tradnl"/>
        </w:rPr>
        <w:t xml:space="preserve"> ejecutarse </w:t>
      </w:r>
      <w:r w:rsidR="00DB23A2" w:rsidRPr="00F84180">
        <w:rPr>
          <w:rFonts w:ascii="ITC Avant Garde" w:eastAsia="Arial" w:hAnsi="ITC Avant Garde" w:cs="Arial"/>
          <w:sz w:val="22"/>
          <w:szCs w:val="22"/>
          <w:lang w:val="es-ES_tradnl"/>
        </w:rPr>
        <w:t xml:space="preserve">a partir </w:t>
      </w:r>
      <w:r w:rsidR="008A25BB" w:rsidRPr="00F84180">
        <w:rPr>
          <w:rFonts w:ascii="ITC Avant Garde" w:eastAsia="Arial" w:hAnsi="ITC Avant Garde" w:cs="Arial"/>
          <w:sz w:val="22"/>
          <w:szCs w:val="22"/>
          <w:lang w:val="es-ES_tradnl"/>
        </w:rPr>
        <w:t>d</w:t>
      </w:r>
      <w:r w:rsidR="00FC34FB" w:rsidRPr="00F84180">
        <w:rPr>
          <w:rFonts w:ascii="ITC Avant Garde" w:eastAsia="Arial" w:hAnsi="ITC Avant Garde" w:cs="Arial"/>
          <w:sz w:val="22"/>
          <w:szCs w:val="22"/>
          <w:lang w:val="es-ES_tradnl"/>
        </w:rPr>
        <w:t>e</w:t>
      </w:r>
      <w:r w:rsidR="00DB23A2" w:rsidRPr="00F84180">
        <w:rPr>
          <w:rFonts w:ascii="ITC Avant Garde" w:eastAsia="Arial" w:hAnsi="ITC Avant Garde" w:cs="Arial"/>
          <w:sz w:val="22"/>
          <w:szCs w:val="22"/>
          <w:lang w:val="es-ES_tradnl"/>
        </w:rPr>
        <w:t>l</w:t>
      </w:r>
      <w:r w:rsidRPr="00F84180">
        <w:rPr>
          <w:rFonts w:ascii="ITC Avant Garde" w:eastAsia="Arial" w:hAnsi="ITC Avant Garde" w:cs="Arial"/>
          <w:sz w:val="22"/>
          <w:szCs w:val="22"/>
          <w:lang w:val="es-ES_tradnl"/>
        </w:rPr>
        <w:t xml:space="preserve"> </w:t>
      </w:r>
      <w:r w:rsidR="008A25BB" w:rsidRPr="00F84180">
        <w:rPr>
          <w:rFonts w:ascii="ITC Avant Garde" w:eastAsia="Arial" w:hAnsi="ITC Avant Garde" w:cs="Arial"/>
          <w:sz w:val="22"/>
          <w:szCs w:val="22"/>
          <w:lang w:val="es-ES_tradnl"/>
        </w:rPr>
        <w:t xml:space="preserve">inicio de </w:t>
      </w:r>
      <w:r w:rsidRPr="00F84180">
        <w:rPr>
          <w:rFonts w:ascii="ITC Avant Garde" w:eastAsia="Arial" w:hAnsi="ITC Avant Garde" w:cs="Arial"/>
          <w:sz w:val="22"/>
          <w:szCs w:val="22"/>
          <w:lang w:val="es-ES_tradnl"/>
        </w:rPr>
        <w:t xml:space="preserve">2017. </w:t>
      </w:r>
      <w:r w:rsidR="00696581" w:rsidRPr="00F84180">
        <w:rPr>
          <w:rFonts w:ascii="ITC Avant Garde" w:eastAsia="Arial" w:hAnsi="ITC Avant Garde" w:cs="Arial"/>
          <w:sz w:val="22"/>
          <w:szCs w:val="22"/>
          <w:lang w:val="es-ES_tradnl"/>
        </w:rPr>
        <w:t xml:space="preserve">Conforme al </w:t>
      </w:r>
      <w:r w:rsidR="005D5183" w:rsidRPr="00F84180">
        <w:rPr>
          <w:rFonts w:ascii="ITC Avant Garde" w:eastAsia="Arial" w:hAnsi="ITC Avant Garde" w:cs="Arial"/>
          <w:sz w:val="22"/>
          <w:szCs w:val="22"/>
          <w:lang w:val="es-ES_tradnl"/>
        </w:rPr>
        <w:t>P</w:t>
      </w:r>
      <w:r w:rsidR="00696581" w:rsidRPr="00F84180">
        <w:rPr>
          <w:rFonts w:ascii="ITC Avant Garde" w:eastAsia="Arial" w:hAnsi="ITC Avant Garde" w:cs="Arial"/>
          <w:sz w:val="22"/>
          <w:szCs w:val="22"/>
          <w:lang w:val="es-ES_tradnl"/>
        </w:rPr>
        <w:t xml:space="preserve">rograma </w:t>
      </w:r>
      <w:r w:rsidR="005D5183" w:rsidRPr="00F84180">
        <w:rPr>
          <w:rFonts w:ascii="ITC Avant Garde" w:eastAsia="Arial" w:hAnsi="ITC Avant Garde" w:cs="Arial"/>
          <w:sz w:val="22"/>
          <w:szCs w:val="22"/>
          <w:lang w:val="es-ES_tradnl"/>
        </w:rPr>
        <w:t>Trianual</w:t>
      </w:r>
      <w:r w:rsidR="00696581" w:rsidRPr="00F84180">
        <w:rPr>
          <w:rFonts w:ascii="ITC Avant Garde" w:eastAsia="Arial" w:hAnsi="ITC Avant Garde" w:cs="Arial"/>
          <w:sz w:val="22"/>
          <w:szCs w:val="22"/>
          <w:lang w:val="es-ES_tradnl"/>
        </w:rPr>
        <w:t xml:space="preserve">, en </w:t>
      </w:r>
      <w:r w:rsidRPr="00F84180">
        <w:rPr>
          <w:rFonts w:ascii="ITC Avant Garde" w:eastAsia="Arial" w:hAnsi="ITC Avant Garde" w:cs="Arial"/>
          <w:sz w:val="22"/>
          <w:szCs w:val="22"/>
          <w:lang w:val="es-ES_tradnl"/>
        </w:rPr>
        <w:t xml:space="preserve">dicha </w:t>
      </w:r>
      <w:r w:rsidR="005D5183"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tapa</w:t>
      </w:r>
      <w:r w:rsidR="00696581" w:rsidRPr="00F84180">
        <w:rPr>
          <w:rFonts w:ascii="ITC Avant Garde" w:eastAsia="Arial" w:hAnsi="ITC Avant Garde" w:cs="Arial"/>
          <w:sz w:val="22"/>
          <w:szCs w:val="22"/>
          <w:lang w:val="es-ES_tradnl"/>
        </w:rPr>
        <w:t xml:space="preserve"> </w:t>
      </w:r>
      <w:r w:rsidR="0013311B" w:rsidRPr="00F84180">
        <w:rPr>
          <w:rFonts w:ascii="ITC Avant Garde" w:eastAsia="Arial" w:hAnsi="ITC Avant Garde" w:cs="Arial"/>
          <w:sz w:val="22"/>
          <w:szCs w:val="22"/>
          <w:lang w:val="es-ES_tradnl"/>
        </w:rPr>
        <w:t xml:space="preserve">se advierte que </w:t>
      </w:r>
      <w:r w:rsidR="00696581" w:rsidRPr="00F84180">
        <w:rPr>
          <w:rFonts w:ascii="ITC Avant Garde" w:eastAsia="Arial" w:hAnsi="ITC Avant Garde" w:cs="Arial"/>
          <w:sz w:val="22"/>
          <w:szCs w:val="22"/>
          <w:lang w:val="es-ES_tradnl"/>
        </w:rPr>
        <w:t>Telecomunicaciones de México iniciará la oferta de servicios mayoristas de telecomunicaciones sobre la fibra iluminada de la Comisión en las rutas y nodos en los que sea posible el transporte de datos de alta capacidad. En este sentido, se señala que el propósito de dicha etapa es facilitar el acceso y uso compartido de la infraestructura pasiva de hoteles y con ello aprovechar la capacidad ociosa en caso de existir.</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Al respecto, </w:t>
      </w:r>
      <w:r w:rsidR="00C21EA5" w:rsidRPr="00F84180">
        <w:rPr>
          <w:rFonts w:ascii="ITC Avant Garde" w:eastAsia="Arial" w:hAnsi="ITC Avant Garde" w:cs="Arial"/>
          <w:sz w:val="22"/>
          <w:szCs w:val="22"/>
          <w:lang w:val="es-ES_tradnl"/>
        </w:rPr>
        <w:t xml:space="preserve">el Programa Trianual indica que Telecomunicaciones de México </w:t>
      </w:r>
      <w:r w:rsidRPr="00F84180">
        <w:rPr>
          <w:rFonts w:ascii="ITC Avant Garde" w:eastAsia="Arial" w:hAnsi="ITC Avant Garde" w:cs="Arial"/>
          <w:sz w:val="22"/>
          <w:szCs w:val="22"/>
          <w:lang w:val="es-ES_tradnl"/>
        </w:rPr>
        <w:t>publicará una oferta de referencia</w:t>
      </w:r>
      <w:r w:rsidR="00C21EA5"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 xml:space="preserve"> la cual buscará atender las necesidades a corto y mediano plazo de los posibles solicitantes, en las modalidades Clear Channel e IP-MPLS. Cabe señalar que la provisión de dichos servicios estará </w:t>
      </w:r>
      <w:r w:rsidRPr="00F84180">
        <w:rPr>
          <w:rFonts w:ascii="ITC Avant Garde" w:eastAsia="Arial" w:hAnsi="ITC Avant Garde" w:cs="Arial"/>
          <w:sz w:val="22"/>
          <w:szCs w:val="22"/>
          <w:lang w:val="es-ES_tradnl"/>
        </w:rPr>
        <w:lastRenderedPageBreak/>
        <w:t>sujeta a estudios de factibilidad. La oferta incorporará lo</w:t>
      </w:r>
      <w:r w:rsidR="00A10DC0" w:rsidRPr="00F84180">
        <w:rPr>
          <w:rFonts w:ascii="ITC Avant Garde" w:eastAsia="Arial" w:hAnsi="ITC Avant Garde" w:cs="Arial"/>
          <w:sz w:val="22"/>
          <w:szCs w:val="22"/>
          <w:lang w:val="es-ES_tradnl"/>
        </w:rPr>
        <w:t xml:space="preserve"> establecido en los</w:t>
      </w:r>
      <w:r w:rsidRPr="00F84180">
        <w:rPr>
          <w:rFonts w:ascii="ITC Avant Garde" w:eastAsia="Arial" w:hAnsi="ITC Avant Garde" w:cs="Arial"/>
          <w:sz w:val="22"/>
          <w:szCs w:val="22"/>
          <w:lang w:val="es-ES_tradnl"/>
        </w:rPr>
        <w:t xml:space="preserve"> Lineamientos</w:t>
      </w:r>
      <w:r w:rsidR="00A10DC0"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 xml:space="preserve"> y en la misma se definirán precios desagregados de los servicios mayoristas. </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Asimismo, se señala que Telecomunicaciones de México proveerá el acceso a la infraestructura, en tanto que los clientes deberán suministrarse los enlaces de última milla así como el equipo para conectarse a la infraestructura de iluminación de fibra óptica. En la </w:t>
      </w:r>
      <w:r w:rsidR="00C106F9"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 xml:space="preserve">tapa II, se prestarán los servicios establecidos en los contratos de la </w:t>
      </w:r>
      <w:r w:rsidR="00C106F9"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tapa I y se agregarán servicios mayoristas.</w:t>
      </w:r>
    </w:p>
    <w:p w:rsidR="00F84180" w:rsidRPr="00F84180" w:rsidRDefault="00696581" w:rsidP="00F84180">
      <w:pPr>
        <w:pStyle w:val="Prrafodelista"/>
        <w:numPr>
          <w:ilvl w:val="0"/>
          <w:numId w:val="10"/>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 xml:space="preserve">Nuevos servicios mayoristas. </w:t>
      </w:r>
    </w:p>
    <w:p w:rsidR="00F84180" w:rsidRPr="00F84180" w:rsidRDefault="00063FE6"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El </w:t>
      </w:r>
      <w:r w:rsidR="001E0186" w:rsidRPr="00F84180">
        <w:rPr>
          <w:rFonts w:ascii="ITC Avant Garde" w:eastAsia="Arial" w:hAnsi="ITC Avant Garde" w:cs="Arial"/>
          <w:sz w:val="22"/>
          <w:szCs w:val="22"/>
        </w:rPr>
        <w:t>Programa</w:t>
      </w:r>
      <w:r w:rsidRPr="00F84180">
        <w:rPr>
          <w:rFonts w:ascii="ITC Avant Garde" w:eastAsia="Arial" w:hAnsi="ITC Avant Garde" w:cs="Arial"/>
          <w:sz w:val="22"/>
          <w:szCs w:val="22"/>
        </w:rPr>
        <w:t xml:space="preserve"> Trianual establece que l</w:t>
      </w:r>
      <w:r w:rsidR="00696581" w:rsidRPr="00F84180">
        <w:rPr>
          <w:rFonts w:ascii="ITC Avant Garde" w:eastAsia="Arial" w:hAnsi="ITC Avant Garde" w:cs="Arial"/>
          <w:sz w:val="22"/>
          <w:szCs w:val="22"/>
        </w:rPr>
        <w:t xml:space="preserve">os sitios a los cuales deberán llegar los solicitantes para tener acceso a la infraestructura, y en los que se pondrán a disposición los servicios </w:t>
      </w:r>
      <w:r w:rsidRPr="00F84180">
        <w:rPr>
          <w:rFonts w:ascii="ITC Avant Garde" w:eastAsia="Arial" w:hAnsi="ITC Avant Garde" w:cs="Arial"/>
          <w:sz w:val="22"/>
          <w:szCs w:val="22"/>
        </w:rPr>
        <w:t>mayoristas</w:t>
      </w:r>
      <w:r w:rsidR="00696581" w:rsidRPr="00F84180">
        <w:rPr>
          <w:rFonts w:ascii="ITC Avant Garde" w:eastAsia="Arial" w:hAnsi="ITC Avant Garde" w:cs="Arial"/>
          <w:sz w:val="22"/>
          <w:szCs w:val="22"/>
        </w:rPr>
        <w:t>, corresponden a los 115 hoteles de la Comisión.</w:t>
      </w:r>
    </w:p>
    <w:p w:rsidR="00F84180" w:rsidRPr="00F84180" w:rsidRDefault="00063FE6"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Asimismo, en el </w:t>
      </w:r>
      <w:r w:rsidR="001E0186" w:rsidRPr="00F84180">
        <w:rPr>
          <w:rFonts w:ascii="ITC Avant Garde" w:eastAsia="Arial" w:hAnsi="ITC Avant Garde" w:cs="Arial"/>
          <w:sz w:val="22"/>
          <w:szCs w:val="22"/>
        </w:rPr>
        <w:t>Programa</w:t>
      </w:r>
      <w:r w:rsidRPr="00F84180">
        <w:rPr>
          <w:rFonts w:ascii="ITC Avant Garde" w:eastAsia="Arial" w:hAnsi="ITC Avant Garde" w:cs="Arial"/>
          <w:sz w:val="22"/>
          <w:szCs w:val="22"/>
        </w:rPr>
        <w:t xml:space="preserve"> Trianual se indica que l</w:t>
      </w:r>
      <w:r w:rsidR="003F7E38" w:rsidRPr="00F84180">
        <w:rPr>
          <w:rFonts w:ascii="ITC Avant Garde" w:eastAsia="Arial" w:hAnsi="ITC Avant Garde" w:cs="Arial"/>
          <w:sz w:val="22"/>
          <w:szCs w:val="22"/>
        </w:rPr>
        <w:t>a infraestructura en l</w:t>
      </w:r>
      <w:r w:rsidR="00696581" w:rsidRPr="00F84180">
        <w:rPr>
          <w:rFonts w:ascii="ITC Avant Garde" w:eastAsia="Arial" w:hAnsi="ITC Avant Garde" w:cs="Arial"/>
          <w:sz w:val="22"/>
          <w:szCs w:val="22"/>
        </w:rPr>
        <w:t>os hoteles opera con tecnologías SDH</w:t>
      </w:r>
      <w:r w:rsidR="00696581" w:rsidRPr="00F84180">
        <w:rPr>
          <w:rStyle w:val="Refdenotaalpie"/>
          <w:rFonts w:ascii="ITC Avant Garde" w:eastAsia="Arial" w:hAnsi="ITC Avant Garde" w:cs="Arial"/>
          <w:sz w:val="22"/>
          <w:szCs w:val="22"/>
        </w:rPr>
        <w:footnoteReference w:id="6"/>
      </w:r>
      <w:r w:rsidR="00696581" w:rsidRPr="00F84180">
        <w:rPr>
          <w:rFonts w:ascii="ITC Avant Garde" w:eastAsia="Arial" w:hAnsi="ITC Avant Garde" w:cs="Arial"/>
          <w:sz w:val="22"/>
          <w:szCs w:val="22"/>
        </w:rPr>
        <w:t xml:space="preserve"> y/o DWDM</w:t>
      </w:r>
      <w:r w:rsidR="00696581" w:rsidRPr="00F84180">
        <w:rPr>
          <w:rStyle w:val="Refdenotaalpie"/>
          <w:rFonts w:ascii="ITC Avant Garde" w:eastAsia="Arial" w:hAnsi="ITC Avant Garde" w:cs="Arial"/>
          <w:sz w:val="22"/>
          <w:szCs w:val="22"/>
        </w:rPr>
        <w:footnoteReference w:id="7"/>
      </w:r>
      <w:r w:rsidR="00696581" w:rsidRPr="00F84180">
        <w:rPr>
          <w:rFonts w:ascii="ITC Avant Garde" w:eastAsia="Arial" w:hAnsi="ITC Avant Garde" w:cs="Arial"/>
          <w:sz w:val="22"/>
          <w:szCs w:val="22"/>
        </w:rPr>
        <w:t xml:space="preserve">. Del total de equipos SDH, el 6.42% es empleado para clientes externos de la Comisión, y el porcentaje restante, es decir el 93.58%, es de uso compartido o bien para uso interno. Adicionalmente se emplean convertidores de tráfico IP Ethernet a encapsulamiento SDH o viceversa, lo que permite canalizar el tráfico para su entrega en alguno de los nodos. En ese sentido, si el tráfico del cliente es </w:t>
      </w:r>
      <w:r w:rsidR="003F7E38" w:rsidRPr="00F84180">
        <w:rPr>
          <w:rFonts w:ascii="ITC Avant Garde" w:eastAsia="Arial" w:hAnsi="ITC Avant Garde" w:cs="Arial"/>
          <w:sz w:val="22"/>
          <w:szCs w:val="22"/>
        </w:rPr>
        <w:t>E</w:t>
      </w:r>
      <w:r w:rsidR="00696581" w:rsidRPr="00F84180">
        <w:rPr>
          <w:rFonts w:ascii="ITC Avant Garde" w:eastAsia="Arial" w:hAnsi="ITC Avant Garde" w:cs="Arial"/>
          <w:sz w:val="22"/>
          <w:szCs w:val="22"/>
        </w:rPr>
        <w:t>thernet, el propio cliente deberá encargarse de la provisión de equipos emuladores o convertidores, lo anterior se especificará en el estudio de factibilidad.</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Ahora bien, respecto a los nodos con tecnología DWDM, </w:t>
      </w:r>
      <w:r w:rsidR="00C71EFF" w:rsidRPr="00F84180">
        <w:rPr>
          <w:rFonts w:ascii="ITC Avant Garde" w:eastAsia="Arial" w:hAnsi="ITC Avant Garde" w:cs="Arial"/>
          <w:sz w:val="22"/>
          <w:szCs w:val="22"/>
        </w:rPr>
        <w:t xml:space="preserve">el Programa Trianual indica que </w:t>
      </w:r>
      <w:r w:rsidRPr="00F84180">
        <w:rPr>
          <w:rFonts w:ascii="ITC Avant Garde" w:eastAsia="Arial" w:hAnsi="ITC Avant Garde" w:cs="Arial"/>
          <w:sz w:val="22"/>
          <w:szCs w:val="22"/>
        </w:rPr>
        <w:t xml:space="preserve">se tendrá acceso mediante el protocolo </w:t>
      </w:r>
      <w:r w:rsidR="003F7E38" w:rsidRPr="00F84180">
        <w:rPr>
          <w:rFonts w:ascii="ITC Avant Garde" w:eastAsia="Arial" w:hAnsi="ITC Avant Garde" w:cs="Arial"/>
          <w:sz w:val="22"/>
          <w:szCs w:val="22"/>
        </w:rPr>
        <w:t>E</w:t>
      </w:r>
      <w:r w:rsidRPr="00F84180">
        <w:rPr>
          <w:rFonts w:ascii="ITC Avant Garde" w:eastAsia="Arial" w:hAnsi="ITC Avant Garde" w:cs="Arial"/>
          <w:sz w:val="22"/>
          <w:szCs w:val="22"/>
        </w:rPr>
        <w:t>thernet. Asimismo, se señala que actualmente existen diversos nodos que pueden transmitir y recibir con tecnología DWDM, y que cuentan con equipamiento IP-MPLS</w:t>
      </w:r>
      <w:r w:rsidR="0099428B" w:rsidRPr="00F84180">
        <w:rPr>
          <w:rStyle w:val="Refdenotaalpie"/>
          <w:rFonts w:ascii="ITC Avant Garde" w:eastAsia="Arial" w:hAnsi="ITC Avant Garde" w:cs="Arial"/>
          <w:sz w:val="22"/>
          <w:szCs w:val="22"/>
        </w:rPr>
        <w:footnoteReference w:id="8"/>
      </w:r>
      <w:r w:rsidRPr="00F84180">
        <w:rPr>
          <w:rFonts w:ascii="ITC Avant Garde" w:eastAsia="Arial" w:hAnsi="ITC Avant Garde" w:cs="Arial"/>
          <w:sz w:val="22"/>
          <w:szCs w:val="22"/>
        </w:rPr>
        <w:t xml:space="preserve"> a fin de ofrecer conectividad, sujeto a disponibilidad y</w:t>
      </w:r>
      <w:r w:rsidR="00F37EB8" w:rsidRPr="00F84180">
        <w:rPr>
          <w:rFonts w:ascii="ITC Avant Garde" w:eastAsia="Arial" w:hAnsi="ITC Avant Garde" w:cs="Arial"/>
          <w:sz w:val="22"/>
          <w:szCs w:val="22"/>
        </w:rPr>
        <w:t xml:space="preserve"> a un </w:t>
      </w:r>
      <w:r w:rsidRPr="00F84180">
        <w:rPr>
          <w:rFonts w:ascii="ITC Avant Garde" w:eastAsia="Arial" w:hAnsi="ITC Avant Garde" w:cs="Arial"/>
          <w:sz w:val="22"/>
          <w:szCs w:val="22"/>
        </w:rPr>
        <w:t>estudio de factibilidad.</w:t>
      </w:r>
    </w:p>
    <w:p w:rsidR="00F84180" w:rsidRPr="00F84180" w:rsidRDefault="00696581" w:rsidP="00F84180">
      <w:pPr>
        <w:pStyle w:val="Prrafodelista"/>
        <w:numPr>
          <w:ilvl w:val="0"/>
          <w:numId w:val="8"/>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lastRenderedPageBreak/>
        <w:t xml:space="preserve">Oferta pública de referencia de servicios mayoristas. </w:t>
      </w:r>
    </w:p>
    <w:p w:rsidR="00F84180" w:rsidRPr="00F84180" w:rsidRDefault="009A7277"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Telecomunicaciones de México indica que l</w:t>
      </w:r>
      <w:r w:rsidR="00696581" w:rsidRPr="00F84180">
        <w:rPr>
          <w:rFonts w:ascii="ITC Avant Garde" w:eastAsia="Arial" w:hAnsi="ITC Avant Garde" w:cs="Arial"/>
          <w:sz w:val="22"/>
          <w:szCs w:val="22"/>
        </w:rPr>
        <w:t>os servicios mayoristas incluirán diferentes capacidades con unidades de venta conforme a la factibilidad existente en las rutas ya iluminadas y sus nodos respectivos. En este sentido, se ofrecerán capacidades de 100 Mbps</w:t>
      </w:r>
      <w:r w:rsidR="00B365A4" w:rsidRPr="00F84180">
        <w:rPr>
          <w:rStyle w:val="Refdenotaalpie"/>
          <w:rFonts w:ascii="ITC Avant Garde" w:eastAsia="Arial" w:hAnsi="ITC Avant Garde" w:cs="Arial"/>
          <w:sz w:val="22"/>
          <w:szCs w:val="22"/>
        </w:rPr>
        <w:footnoteReference w:id="9"/>
      </w:r>
      <w:r w:rsidR="00696581" w:rsidRPr="00F84180">
        <w:rPr>
          <w:rFonts w:ascii="ITC Avant Garde" w:eastAsia="Arial" w:hAnsi="ITC Avant Garde" w:cs="Arial"/>
          <w:sz w:val="22"/>
          <w:szCs w:val="22"/>
        </w:rPr>
        <w:t xml:space="preserve"> a 10 Gbps</w:t>
      </w:r>
      <w:r w:rsidR="00B365A4" w:rsidRPr="00F84180">
        <w:rPr>
          <w:rStyle w:val="Refdenotaalpie"/>
          <w:rFonts w:ascii="ITC Avant Garde" w:eastAsia="Arial" w:hAnsi="ITC Avant Garde" w:cs="Arial"/>
          <w:sz w:val="22"/>
          <w:szCs w:val="22"/>
        </w:rPr>
        <w:footnoteReference w:id="10"/>
      </w:r>
      <w:r w:rsidR="00696581" w:rsidRPr="00F84180">
        <w:rPr>
          <w:rFonts w:ascii="ITC Avant Garde" w:eastAsia="Arial" w:hAnsi="ITC Avant Garde" w:cs="Arial"/>
          <w:sz w:val="22"/>
          <w:szCs w:val="22"/>
        </w:rPr>
        <w:t xml:space="preserve"> en las modalidades Clear Channel. Asimismo, se señala que los precios de los servicios estarán incluidos en la oferta de referencia, conforme a las obligaciones </w:t>
      </w:r>
      <w:r w:rsidR="00CF1A9C" w:rsidRPr="00F84180">
        <w:rPr>
          <w:rFonts w:ascii="ITC Avant Garde" w:eastAsia="Arial" w:hAnsi="ITC Avant Garde" w:cs="Arial"/>
          <w:sz w:val="22"/>
          <w:szCs w:val="22"/>
        </w:rPr>
        <w:t>que debe cumplir</w:t>
      </w:r>
      <w:r w:rsidR="00696581" w:rsidRPr="00F84180">
        <w:rPr>
          <w:rFonts w:ascii="ITC Avant Garde" w:eastAsia="Arial" w:hAnsi="ITC Avant Garde" w:cs="Arial"/>
          <w:sz w:val="22"/>
          <w:szCs w:val="22"/>
        </w:rPr>
        <w:t xml:space="preserve"> Telecomunicaciones de México.</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Asimismo, </w:t>
      </w:r>
      <w:r w:rsidR="009656C5" w:rsidRPr="00F84180">
        <w:rPr>
          <w:rFonts w:ascii="ITC Avant Garde" w:eastAsia="Arial" w:hAnsi="ITC Avant Garde" w:cs="Arial"/>
          <w:sz w:val="22"/>
          <w:szCs w:val="22"/>
        </w:rPr>
        <w:t xml:space="preserve">el Programa Trianual </w:t>
      </w:r>
      <w:r w:rsidRPr="00F84180">
        <w:rPr>
          <w:rFonts w:ascii="ITC Avant Garde" w:eastAsia="Arial" w:hAnsi="ITC Avant Garde" w:cs="Arial"/>
          <w:sz w:val="22"/>
          <w:szCs w:val="22"/>
        </w:rPr>
        <w:t xml:space="preserve">señala que la oferta pública de servicios mayoristas </w:t>
      </w:r>
      <w:r w:rsidR="00CF1A9C" w:rsidRPr="00F84180">
        <w:rPr>
          <w:rFonts w:ascii="ITC Avant Garde" w:eastAsia="Arial" w:hAnsi="ITC Avant Garde" w:cs="Arial"/>
          <w:sz w:val="22"/>
          <w:szCs w:val="22"/>
        </w:rPr>
        <w:t xml:space="preserve">incluirá </w:t>
      </w:r>
      <w:r w:rsidRPr="00F84180">
        <w:rPr>
          <w:rFonts w:ascii="ITC Avant Garde" w:eastAsia="Arial" w:hAnsi="ITC Avant Garde" w:cs="Arial"/>
          <w:sz w:val="22"/>
          <w:szCs w:val="22"/>
        </w:rPr>
        <w:t>capacidades, funciones e infraestructura, con las siguientes condiciones: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Descripción de los servicios mayoristas, capacidades, funciones e infraestructura.</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Mecanismos que permitan el uso desagregado de servicios mayoristas.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Tarifas y</w:t>
      </w:r>
      <w:r w:rsidR="00417CE9" w:rsidRPr="00F84180">
        <w:rPr>
          <w:rFonts w:ascii="ITC Avant Garde" w:eastAsia="Arial" w:hAnsi="ITC Avant Garde" w:cs="Arial"/>
          <w:sz w:val="22"/>
          <w:szCs w:val="22"/>
        </w:rPr>
        <w:t>,</w:t>
      </w:r>
      <w:r w:rsidRPr="00F84180">
        <w:rPr>
          <w:rFonts w:ascii="ITC Avant Garde" w:eastAsia="Arial" w:hAnsi="ITC Avant Garde" w:cs="Arial"/>
          <w:sz w:val="22"/>
          <w:szCs w:val="22"/>
        </w:rPr>
        <w:t xml:space="preserve"> en su caso, mecanismos de compensación.</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Especificaciones de calidad de los servicios mayoristas.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Formas y tiempos de medición, tasación, facturación y procedimientos de cobranza de los servicios mayoristas.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Especificaciones técnicas requeridas para la prestación de los servicios mayoristas de </w:t>
      </w:r>
      <w:r w:rsidR="00C90A39" w:rsidRPr="00F84180">
        <w:rPr>
          <w:rFonts w:ascii="ITC Avant Garde" w:eastAsia="Arial" w:hAnsi="ITC Avant Garde" w:cs="Arial"/>
          <w:sz w:val="22"/>
          <w:szCs w:val="22"/>
        </w:rPr>
        <w:t>t</w:t>
      </w:r>
      <w:r w:rsidRPr="00F84180">
        <w:rPr>
          <w:rFonts w:ascii="ITC Avant Garde" w:eastAsia="Arial" w:hAnsi="ITC Avant Garde" w:cs="Arial"/>
          <w:sz w:val="22"/>
          <w:szCs w:val="22"/>
        </w:rPr>
        <w:t>elecomunicaciones.</w:t>
      </w:r>
    </w:p>
    <w:p w:rsidR="006C5600" w:rsidRPr="00F84180" w:rsidRDefault="006C5600"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Sistemas y procedimientos para la atención de fallas e incidencias, trabajos de emergencia, programación de los mantenimientos respectivos, y cualquier otro que asegure la continuidad en la prestación de los servicios mayoristas.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Penalidades y garantías aplicables.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Mecanismos y condiciones para llevar a cabo las tareas de medición y tasación de los servicios mayoristas.</w:t>
      </w:r>
    </w:p>
    <w:p w:rsidR="00696581"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Mecanismos electrónicos para la solicitud y trámites de servicios.</w:t>
      </w:r>
    </w:p>
    <w:p w:rsidR="00F84180" w:rsidRPr="00F84180" w:rsidRDefault="00696581" w:rsidP="00F84180">
      <w:pPr>
        <w:pStyle w:val="Prrafodelista"/>
        <w:numPr>
          <w:ilvl w:val="1"/>
          <w:numId w:val="11"/>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Modelo de convenio.</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Como complemento a la </w:t>
      </w:r>
      <w:r w:rsidR="00C90A39"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 xml:space="preserve">tapa II, se indica que Telecomunicaciones de México </w:t>
      </w:r>
      <w:r w:rsidR="00025A35" w:rsidRPr="00F84180">
        <w:rPr>
          <w:rFonts w:ascii="ITC Avant Garde" w:eastAsia="Arial" w:hAnsi="ITC Avant Garde" w:cs="Arial"/>
          <w:sz w:val="22"/>
          <w:szCs w:val="22"/>
          <w:lang w:val="es-ES_tradnl"/>
        </w:rPr>
        <w:t xml:space="preserve">puso </w:t>
      </w:r>
      <w:r w:rsidRPr="00F84180">
        <w:rPr>
          <w:rFonts w:ascii="ITC Avant Garde" w:eastAsia="Arial" w:hAnsi="ITC Avant Garde" w:cs="Arial"/>
          <w:sz w:val="22"/>
          <w:szCs w:val="22"/>
          <w:lang w:val="es-ES_tradnl"/>
        </w:rPr>
        <w:t>a disposición el Derecho Irrevocable de Uso (IRU)</w:t>
      </w:r>
      <w:r w:rsidR="00417CE9" w:rsidRPr="00F84180">
        <w:rPr>
          <w:rStyle w:val="Refdenotaalpie"/>
          <w:rFonts w:ascii="ITC Avant Garde" w:eastAsia="Arial" w:hAnsi="ITC Avant Garde" w:cs="Arial"/>
          <w:sz w:val="22"/>
          <w:szCs w:val="22"/>
          <w:lang w:val="es-ES_tradnl"/>
        </w:rPr>
        <w:footnoteReference w:id="11"/>
      </w:r>
      <w:r w:rsidRPr="00F84180">
        <w:rPr>
          <w:rFonts w:ascii="ITC Avant Garde" w:eastAsia="Arial" w:hAnsi="ITC Avant Garde" w:cs="Arial"/>
          <w:sz w:val="22"/>
          <w:szCs w:val="22"/>
          <w:lang w:val="es-ES_tradnl"/>
        </w:rPr>
        <w:t xml:space="preserve"> del primer par de hilos de fibra oscura, negociados con la Comisión al consorcio ganador</w:t>
      </w:r>
      <w:r w:rsidR="00A12E96" w:rsidRPr="00F84180">
        <w:rPr>
          <w:rStyle w:val="Refdenotaalpie"/>
          <w:rFonts w:ascii="ITC Avant Garde" w:eastAsia="Arial" w:hAnsi="ITC Avant Garde" w:cs="Arial"/>
          <w:sz w:val="22"/>
          <w:szCs w:val="22"/>
          <w:lang w:val="es-ES_tradnl"/>
        </w:rPr>
        <w:footnoteReference w:id="12"/>
      </w:r>
      <w:r w:rsidRPr="00F84180">
        <w:rPr>
          <w:rFonts w:ascii="ITC Avant Garde" w:eastAsia="Arial" w:hAnsi="ITC Avant Garde" w:cs="Arial"/>
          <w:sz w:val="22"/>
          <w:szCs w:val="22"/>
          <w:lang w:val="es-ES_tradnl"/>
        </w:rPr>
        <w:t xml:space="preserve"> de la licitación de la </w:t>
      </w:r>
      <w:r w:rsidR="0099428B" w:rsidRPr="00F84180">
        <w:rPr>
          <w:rFonts w:ascii="ITC Avant Garde" w:eastAsia="Arial" w:hAnsi="ITC Avant Garde" w:cs="Arial"/>
          <w:sz w:val="22"/>
          <w:szCs w:val="22"/>
          <w:lang w:val="es-ES_tradnl"/>
        </w:rPr>
        <w:t>r</w:t>
      </w:r>
      <w:r w:rsidRPr="00F84180">
        <w:rPr>
          <w:rFonts w:ascii="ITC Avant Garde" w:eastAsia="Arial" w:hAnsi="ITC Avant Garde" w:cs="Arial"/>
          <w:sz w:val="22"/>
          <w:szCs w:val="22"/>
          <w:lang w:val="es-ES_tradnl"/>
        </w:rPr>
        <w:t xml:space="preserve">ed </w:t>
      </w:r>
      <w:r w:rsidR="0099428B" w:rsidRPr="00F84180">
        <w:rPr>
          <w:rFonts w:ascii="ITC Avant Garde" w:eastAsia="Arial" w:hAnsi="ITC Avant Garde" w:cs="Arial"/>
          <w:sz w:val="22"/>
          <w:szCs w:val="22"/>
          <w:lang w:val="es-ES_tradnl"/>
        </w:rPr>
        <w:t>c</w:t>
      </w:r>
      <w:r w:rsidRPr="00F84180">
        <w:rPr>
          <w:rFonts w:ascii="ITC Avant Garde" w:eastAsia="Arial" w:hAnsi="ITC Avant Garde" w:cs="Arial"/>
          <w:sz w:val="22"/>
          <w:szCs w:val="22"/>
          <w:lang w:val="es-ES_tradnl"/>
        </w:rPr>
        <w:t>ompartida</w:t>
      </w:r>
      <w:r w:rsidR="00991A32" w:rsidRPr="00F84180">
        <w:rPr>
          <w:rFonts w:ascii="ITC Avant Garde" w:eastAsia="Arial" w:hAnsi="ITC Avant Garde" w:cs="Arial"/>
          <w:sz w:val="22"/>
          <w:szCs w:val="22"/>
          <w:lang w:val="es-ES_tradnl"/>
        </w:rPr>
        <w:t xml:space="preserve"> </w:t>
      </w:r>
      <w:r w:rsidR="0099428B" w:rsidRPr="00F84180">
        <w:rPr>
          <w:rFonts w:ascii="ITC Avant Garde" w:eastAsia="Arial" w:hAnsi="ITC Avant Garde" w:cs="Arial"/>
          <w:sz w:val="22"/>
          <w:szCs w:val="22"/>
          <w:lang w:val="es-ES_tradnl"/>
        </w:rPr>
        <w:t>m</w:t>
      </w:r>
      <w:r w:rsidR="00991A32" w:rsidRPr="00F84180">
        <w:rPr>
          <w:rFonts w:ascii="ITC Avant Garde" w:eastAsia="Arial" w:hAnsi="ITC Avant Garde" w:cs="Arial"/>
          <w:sz w:val="22"/>
          <w:szCs w:val="22"/>
          <w:lang w:val="es-ES_tradnl"/>
        </w:rPr>
        <w:t>ayorista</w:t>
      </w:r>
      <w:r w:rsidR="00A10DC0" w:rsidRPr="00F84180">
        <w:rPr>
          <w:rFonts w:ascii="ITC Avant Garde" w:eastAsia="Arial" w:hAnsi="ITC Avant Garde" w:cs="Arial"/>
          <w:sz w:val="22"/>
          <w:szCs w:val="22"/>
          <w:lang w:val="es-ES_tradnl"/>
        </w:rPr>
        <w:t xml:space="preserve"> referida en el artículo Décimo Sexto Transitorio del Decreto</w:t>
      </w:r>
      <w:r w:rsidR="0099428B" w:rsidRPr="00F84180">
        <w:rPr>
          <w:rFonts w:ascii="ITC Avant Garde" w:eastAsia="Arial" w:hAnsi="ITC Avant Garde" w:cs="Arial"/>
          <w:sz w:val="22"/>
          <w:szCs w:val="22"/>
          <w:lang w:val="es-ES_tradnl"/>
        </w:rPr>
        <w:t xml:space="preserve"> (en lo sucesivo, </w:t>
      </w:r>
      <w:r w:rsidR="00080C53" w:rsidRPr="00F84180">
        <w:rPr>
          <w:rFonts w:ascii="ITC Avant Garde" w:eastAsia="Arial" w:hAnsi="ITC Avant Garde" w:cs="Arial"/>
          <w:sz w:val="22"/>
          <w:szCs w:val="22"/>
          <w:lang w:val="es-ES_tradnl"/>
        </w:rPr>
        <w:t>la “Red Compartida Mayorista”</w:t>
      </w:r>
      <w:r w:rsidR="0099428B" w:rsidRPr="00F84180">
        <w:rPr>
          <w:rFonts w:ascii="ITC Avant Garde" w:eastAsia="Arial" w:hAnsi="ITC Avant Garde" w:cs="Arial"/>
          <w:sz w:val="22"/>
          <w:szCs w:val="22"/>
          <w:lang w:val="es-ES_tradnl"/>
        </w:rPr>
        <w:t>)</w:t>
      </w:r>
      <w:r w:rsidRPr="00F84180">
        <w:rPr>
          <w:rFonts w:ascii="ITC Avant Garde" w:eastAsia="Arial" w:hAnsi="ITC Avant Garde" w:cs="Arial"/>
          <w:sz w:val="22"/>
          <w:szCs w:val="22"/>
          <w:lang w:val="es-ES_tradnl"/>
        </w:rPr>
        <w:t>. Asimismo,</w:t>
      </w:r>
      <w:r w:rsidR="00CF1A9C" w:rsidRPr="00F84180">
        <w:rPr>
          <w:rFonts w:ascii="ITC Avant Garde" w:eastAsia="Arial" w:hAnsi="ITC Avant Garde" w:cs="Arial"/>
          <w:sz w:val="22"/>
          <w:szCs w:val="22"/>
          <w:lang w:val="es-ES_tradnl"/>
        </w:rPr>
        <w:t xml:space="preserve"> se señala que</w:t>
      </w:r>
      <w:r w:rsidRPr="00F84180">
        <w:rPr>
          <w:rFonts w:ascii="ITC Avant Garde" w:eastAsia="Arial" w:hAnsi="ITC Avant Garde" w:cs="Arial"/>
          <w:sz w:val="22"/>
          <w:szCs w:val="22"/>
          <w:lang w:val="es-ES_tradnl"/>
        </w:rPr>
        <w:t xml:space="preserve"> Telecomunicaciones de México podría explorar sinergias para alinear planes de equipamiento y superar la falta de disponibilidad de hilos en determinados segmentos, lo anterior a solicitud del consorcio ganador.</w:t>
      </w:r>
    </w:p>
    <w:p w:rsidR="00696581"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Respecto a la </w:t>
      </w:r>
      <w:r w:rsidR="00C90A39" w:rsidRPr="00F84180">
        <w:rPr>
          <w:rFonts w:ascii="ITC Avant Garde" w:eastAsia="Arial" w:hAnsi="ITC Avant Garde" w:cs="Arial"/>
          <w:sz w:val="22"/>
          <w:szCs w:val="22"/>
          <w:lang w:val="es-ES_tradnl"/>
        </w:rPr>
        <w:t>E</w:t>
      </w:r>
      <w:r w:rsidRPr="00F84180">
        <w:rPr>
          <w:rFonts w:ascii="ITC Avant Garde" w:eastAsia="Arial" w:hAnsi="ITC Avant Garde" w:cs="Arial"/>
          <w:sz w:val="22"/>
          <w:szCs w:val="22"/>
          <w:lang w:val="es-ES_tradnl"/>
        </w:rPr>
        <w:t xml:space="preserve">tapa II, en la propuesta de Programa Trianual </w:t>
      </w:r>
      <w:r w:rsidR="00B37A8D" w:rsidRPr="00F84180">
        <w:rPr>
          <w:rFonts w:ascii="ITC Avant Garde" w:eastAsia="Arial" w:hAnsi="ITC Avant Garde" w:cs="Arial"/>
          <w:sz w:val="22"/>
          <w:szCs w:val="22"/>
          <w:lang w:val="es-ES_tradnl"/>
        </w:rPr>
        <w:t>resaltan</w:t>
      </w:r>
      <w:r w:rsidRPr="00F84180">
        <w:rPr>
          <w:rFonts w:ascii="ITC Avant Garde" w:eastAsia="Arial" w:hAnsi="ITC Avant Garde" w:cs="Arial"/>
          <w:sz w:val="22"/>
          <w:szCs w:val="22"/>
          <w:lang w:val="es-ES_tradnl"/>
        </w:rPr>
        <w:t xml:space="preserve"> los siguientes hitos:</w:t>
      </w:r>
    </w:p>
    <w:tbl>
      <w:tblPr>
        <w:tblStyle w:val="Tablaconcuadrcula"/>
        <w:tblW w:w="0" w:type="auto"/>
        <w:jc w:val="center"/>
        <w:tblLook w:val="04A0" w:firstRow="1" w:lastRow="0" w:firstColumn="1" w:lastColumn="0" w:noHBand="0" w:noVBand="1"/>
        <w:tblCaption w:val="Tabla"/>
        <w:tblDescription w:val="Hitos del Programa Trianual"/>
      </w:tblPr>
      <w:tblGrid>
        <w:gridCol w:w="4414"/>
        <w:gridCol w:w="4414"/>
      </w:tblGrid>
      <w:tr w:rsidR="00696581" w:rsidRPr="00F84180" w:rsidTr="00F84180">
        <w:trPr>
          <w:tblHeader/>
          <w:jc w:val="center"/>
        </w:trPr>
        <w:tc>
          <w:tcPr>
            <w:tcW w:w="4414" w:type="dxa"/>
            <w:shd w:val="clear" w:color="auto" w:fill="BFBFBF" w:themeFill="background1" w:themeFillShade="BF"/>
          </w:tcPr>
          <w:p w:rsidR="00696581" w:rsidRPr="00F84180" w:rsidRDefault="00696581" w:rsidP="00F84180">
            <w:pPr>
              <w:tabs>
                <w:tab w:val="num" w:pos="1220"/>
                <w:tab w:val="num" w:pos="1940"/>
              </w:tabs>
              <w:spacing w:line="276" w:lineRule="auto"/>
              <w:ind w:right="616"/>
              <w:jc w:val="both"/>
              <w:rPr>
                <w:rFonts w:ascii="ITC Avant Garde" w:eastAsia="Arial" w:hAnsi="ITC Avant Garde" w:cs="Arial"/>
                <w:b/>
                <w:sz w:val="22"/>
                <w:szCs w:val="22"/>
                <w:lang w:val="es-ES_tradnl"/>
              </w:rPr>
            </w:pPr>
            <w:r w:rsidRPr="00F84180">
              <w:rPr>
                <w:rFonts w:ascii="ITC Avant Garde" w:eastAsia="Arial" w:hAnsi="ITC Avant Garde" w:cs="Arial"/>
                <w:b/>
                <w:sz w:val="22"/>
                <w:szCs w:val="22"/>
                <w:lang w:val="es-ES_tradnl"/>
              </w:rPr>
              <w:t>Evento</w:t>
            </w:r>
          </w:p>
        </w:tc>
        <w:tc>
          <w:tcPr>
            <w:tcW w:w="4414" w:type="dxa"/>
            <w:shd w:val="clear" w:color="auto" w:fill="BFBFBF" w:themeFill="background1" w:themeFillShade="BF"/>
          </w:tcPr>
          <w:p w:rsidR="00696581" w:rsidRPr="00F84180" w:rsidRDefault="00696581" w:rsidP="00F84180">
            <w:pPr>
              <w:tabs>
                <w:tab w:val="num" w:pos="1220"/>
                <w:tab w:val="num" w:pos="1940"/>
              </w:tabs>
              <w:spacing w:line="276" w:lineRule="auto"/>
              <w:ind w:right="616"/>
              <w:jc w:val="both"/>
              <w:rPr>
                <w:rFonts w:ascii="ITC Avant Garde" w:eastAsia="Arial" w:hAnsi="ITC Avant Garde" w:cs="Arial"/>
                <w:b/>
                <w:sz w:val="22"/>
                <w:szCs w:val="22"/>
                <w:lang w:val="es-ES_tradnl"/>
              </w:rPr>
            </w:pPr>
            <w:r w:rsidRPr="00F84180">
              <w:rPr>
                <w:rFonts w:ascii="ITC Avant Garde" w:eastAsia="Arial" w:hAnsi="ITC Avant Garde" w:cs="Arial"/>
                <w:b/>
                <w:sz w:val="22"/>
                <w:szCs w:val="22"/>
                <w:lang w:val="es-ES_tradnl"/>
              </w:rPr>
              <w:t>Fecha de ejecución</w:t>
            </w:r>
          </w:p>
        </w:tc>
      </w:tr>
      <w:tr w:rsidR="00696581" w:rsidRPr="00F84180" w:rsidTr="00F84180">
        <w:trPr>
          <w:tblHeader/>
          <w:jc w:val="center"/>
        </w:trPr>
        <w:tc>
          <w:tcPr>
            <w:tcW w:w="4414" w:type="dxa"/>
          </w:tcPr>
          <w:p w:rsidR="00696581" w:rsidRPr="00F84180" w:rsidRDefault="00696581"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 xml:space="preserve">Firma del contrato de aportación de un par de hilos al desarrollador de la </w:t>
            </w:r>
            <w:r w:rsidR="00080C53" w:rsidRPr="00F84180">
              <w:rPr>
                <w:rFonts w:ascii="ITC Avant Garde" w:eastAsia="Arial" w:hAnsi="ITC Avant Garde" w:cs="Arial"/>
                <w:sz w:val="22"/>
                <w:szCs w:val="22"/>
              </w:rPr>
              <w:t>R</w:t>
            </w:r>
            <w:r w:rsidRPr="00F84180">
              <w:rPr>
                <w:rFonts w:ascii="ITC Avant Garde" w:eastAsia="Arial" w:hAnsi="ITC Avant Garde" w:cs="Arial"/>
                <w:sz w:val="22"/>
                <w:szCs w:val="22"/>
              </w:rPr>
              <w:t xml:space="preserve">ed </w:t>
            </w:r>
            <w:r w:rsidR="00080C53" w:rsidRPr="00F84180">
              <w:rPr>
                <w:rFonts w:ascii="ITC Avant Garde" w:eastAsia="Arial" w:hAnsi="ITC Avant Garde" w:cs="Arial"/>
                <w:sz w:val="22"/>
                <w:szCs w:val="22"/>
              </w:rPr>
              <w:t>C</w:t>
            </w:r>
            <w:r w:rsidRPr="00F84180">
              <w:rPr>
                <w:rFonts w:ascii="ITC Avant Garde" w:eastAsia="Arial" w:hAnsi="ITC Avant Garde" w:cs="Arial"/>
                <w:sz w:val="22"/>
                <w:szCs w:val="22"/>
              </w:rPr>
              <w:t xml:space="preserve">ompartida </w:t>
            </w:r>
            <w:r w:rsidR="00080C53" w:rsidRPr="00F84180">
              <w:rPr>
                <w:rFonts w:ascii="ITC Avant Garde" w:eastAsia="Arial" w:hAnsi="ITC Avant Garde" w:cs="Arial"/>
                <w:sz w:val="22"/>
                <w:szCs w:val="22"/>
              </w:rPr>
              <w:t>M</w:t>
            </w:r>
            <w:r w:rsidRPr="00F84180">
              <w:rPr>
                <w:rFonts w:ascii="ITC Avant Garde" w:eastAsia="Arial" w:hAnsi="ITC Avant Garde" w:cs="Arial"/>
                <w:sz w:val="22"/>
                <w:szCs w:val="22"/>
              </w:rPr>
              <w:t>ayorista.</w:t>
            </w:r>
          </w:p>
          <w:p w:rsidR="00696581" w:rsidRPr="00F84180" w:rsidRDefault="00696581" w:rsidP="00F84180">
            <w:pPr>
              <w:tabs>
                <w:tab w:val="num" w:pos="1220"/>
              </w:tabs>
              <w:spacing w:line="276" w:lineRule="auto"/>
              <w:ind w:right="142"/>
              <w:jc w:val="both"/>
              <w:rPr>
                <w:rFonts w:ascii="ITC Avant Garde" w:eastAsia="Arial" w:hAnsi="ITC Avant Garde" w:cs="Arial"/>
                <w:sz w:val="22"/>
                <w:szCs w:val="22"/>
                <w:lang w:val="es-ES_tradnl" w:eastAsia="es-ES"/>
              </w:rPr>
            </w:pPr>
          </w:p>
        </w:tc>
        <w:tc>
          <w:tcPr>
            <w:tcW w:w="4414" w:type="dxa"/>
          </w:tcPr>
          <w:p w:rsidR="00696581" w:rsidRPr="00F84180" w:rsidRDefault="00696581" w:rsidP="00F84180">
            <w:pPr>
              <w:tabs>
                <w:tab w:val="num" w:pos="1220"/>
                <w:tab w:val="num" w:pos="1940"/>
              </w:tabs>
              <w:spacing w:line="276" w:lineRule="auto"/>
              <w:ind w:right="616"/>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Febrero de 2017</w:t>
            </w:r>
          </w:p>
        </w:tc>
      </w:tr>
      <w:tr w:rsidR="00696581" w:rsidRPr="00F84180" w:rsidTr="00F84180">
        <w:trPr>
          <w:tblHeader/>
          <w:jc w:val="center"/>
        </w:trPr>
        <w:tc>
          <w:tcPr>
            <w:tcW w:w="4414" w:type="dxa"/>
          </w:tcPr>
          <w:p w:rsidR="00696581" w:rsidRPr="00F84180" w:rsidRDefault="00696581"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Presentación al Instituto de la oferta pública de referencia de nuevos servicios mayoristas y precios desagregados de acceso a la infraestructura.</w:t>
            </w:r>
          </w:p>
          <w:p w:rsidR="00696581" w:rsidRPr="00F84180" w:rsidRDefault="00696581"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Autorización de la oferta pública de referencia por parte del Instituto.</w:t>
            </w:r>
          </w:p>
        </w:tc>
        <w:tc>
          <w:tcPr>
            <w:tcW w:w="4414" w:type="dxa"/>
          </w:tcPr>
          <w:p w:rsidR="00696581" w:rsidRPr="00F84180" w:rsidRDefault="00696581" w:rsidP="00F84180">
            <w:pPr>
              <w:tabs>
                <w:tab w:val="num" w:pos="1220"/>
                <w:tab w:val="num" w:pos="1940"/>
              </w:tabs>
              <w:spacing w:line="276" w:lineRule="auto"/>
              <w:ind w:right="616"/>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Segundo trimestre de 2017</w:t>
            </w:r>
          </w:p>
          <w:p w:rsidR="00696581" w:rsidRPr="00F84180" w:rsidRDefault="00696581" w:rsidP="00F84180">
            <w:pPr>
              <w:tabs>
                <w:tab w:val="num" w:pos="1220"/>
                <w:tab w:val="num" w:pos="1940"/>
              </w:tabs>
              <w:spacing w:line="276" w:lineRule="auto"/>
              <w:ind w:right="616"/>
              <w:jc w:val="both"/>
              <w:rPr>
                <w:rFonts w:ascii="ITC Avant Garde" w:eastAsia="Arial" w:hAnsi="ITC Avant Garde" w:cs="Arial"/>
                <w:sz w:val="22"/>
                <w:szCs w:val="22"/>
                <w:lang w:val="es-ES_tradnl"/>
              </w:rPr>
            </w:pPr>
          </w:p>
        </w:tc>
      </w:tr>
      <w:tr w:rsidR="00696581" w:rsidRPr="00F84180" w:rsidTr="00F84180">
        <w:trPr>
          <w:tblHeader/>
          <w:jc w:val="center"/>
        </w:trPr>
        <w:tc>
          <w:tcPr>
            <w:tcW w:w="4414" w:type="dxa"/>
          </w:tcPr>
          <w:p w:rsidR="00696581" w:rsidRPr="00F84180" w:rsidRDefault="00696581"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Inicio de la provisión de los servicios mayoristas.</w:t>
            </w:r>
          </w:p>
        </w:tc>
        <w:tc>
          <w:tcPr>
            <w:tcW w:w="4414" w:type="dxa"/>
          </w:tcPr>
          <w:p w:rsidR="00696581" w:rsidRPr="00F84180" w:rsidRDefault="00696581" w:rsidP="00F84180">
            <w:pPr>
              <w:tabs>
                <w:tab w:val="num" w:pos="1220"/>
                <w:tab w:val="num" w:pos="1940"/>
              </w:tabs>
              <w:spacing w:line="276" w:lineRule="auto"/>
              <w:ind w:right="616"/>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Tercer trimestre de 2017</w:t>
            </w:r>
          </w:p>
          <w:p w:rsidR="00696581" w:rsidRPr="00F84180" w:rsidRDefault="00696581" w:rsidP="00F84180">
            <w:pPr>
              <w:tabs>
                <w:tab w:val="num" w:pos="1220"/>
                <w:tab w:val="num" w:pos="1940"/>
              </w:tabs>
              <w:spacing w:line="276" w:lineRule="auto"/>
              <w:ind w:right="616"/>
              <w:jc w:val="both"/>
              <w:rPr>
                <w:rFonts w:ascii="ITC Avant Garde" w:eastAsia="Arial" w:hAnsi="ITC Avant Garde" w:cs="Arial"/>
                <w:sz w:val="22"/>
                <w:szCs w:val="22"/>
                <w:lang w:val="es-ES_tradnl"/>
              </w:rPr>
            </w:pPr>
          </w:p>
        </w:tc>
      </w:tr>
    </w:tbl>
    <w:p w:rsidR="00F84180" w:rsidRPr="00F84180" w:rsidRDefault="001228D1" w:rsidP="00F84180">
      <w:pPr>
        <w:tabs>
          <w:tab w:val="num" w:pos="1220"/>
          <w:tab w:val="num" w:pos="1940"/>
        </w:tabs>
        <w:spacing w:before="240"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Finalmente cabe señalar que los servicios mayoristas serán prestados en los años subsecuentes a la Etapa II</w:t>
      </w:r>
      <w:r w:rsidR="00484679" w:rsidRPr="00F84180">
        <w:rPr>
          <w:rFonts w:ascii="ITC Avant Garde" w:eastAsia="Arial" w:hAnsi="ITC Avant Garde" w:cs="Arial"/>
          <w:sz w:val="22"/>
          <w:szCs w:val="22"/>
          <w:lang w:val="es-ES_tradnl"/>
        </w:rPr>
        <w:t xml:space="preserve"> conforme a la vida útil del título de concesión.</w:t>
      </w:r>
    </w:p>
    <w:p w:rsidR="00F84180" w:rsidRPr="00F84180" w:rsidRDefault="00696581" w:rsidP="00F84180">
      <w:pPr>
        <w:pStyle w:val="Prrafodelista"/>
        <w:numPr>
          <w:ilvl w:val="0"/>
          <w:numId w:val="2"/>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lastRenderedPageBreak/>
        <w:t>Etapa III. Iluminar fibra óptica aprovechando el IRU de Telecomunicaciones de México.</w:t>
      </w:r>
    </w:p>
    <w:p w:rsidR="00696581" w:rsidRPr="00F84180" w:rsidRDefault="00B20610"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La Etapa III </w:t>
      </w:r>
      <w:r w:rsidR="00525952" w:rsidRPr="00F84180">
        <w:rPr>
          <w:rFonts w:ascii="ITC Avant Garde" w:eastAsia="Arial" w:hAnsi="ITC Avant Garde" w:cs="Arial"/>
          <w:sz w:val="22"/>
          <w:szCs w:val="22"/>
          <w:lang w:val="es-ES_tradnl"/>
        </w:rPr>
        <w:t xml:space="preserve">incluye </w:t>
      </w:r>
      <w:r w:rsidR="00A66B43" w:rsidRPr="00F84180">
        <w:rPr>
          <w:rFonts w:ascii="ITC Avant Garde" w:eastAsia="Arial" w:hAnsi="ITC Avant Garde" w:cs="Arial"/>
          <w:sz w:val="22"/>
          <w:szCs w:val="22"/>
          <w:lang w:val="es-ES_tradnl"/>
        </w:rPr>
        <w:t>actividades que inician en</w:t>
      </w:r>
      <w:r w:rsidR="008A25BB" w:rsidRPr="00F84180">
        <w:rPr>
          <w:rFonts w:ascii="ITC Avant Garde" w:eastAsia="Arial" w:hAnsi="ITC Avant Garde" w:cs="Arial"/>
          <w:sz w:val="22"/>
          <w:szCs w:val="22"/>
          <w:lang w:val="es-ES_tradnl"/>
        </w:rPr>
        <w:t xml:space="preserve"> </w:t>
      </w:r>
      <w:r w:rsidR="00640866" w:rsidRPr="00F84180">
        <w:rPr>
          <w:rFonts w:ascii="ITC Avant Garde" w:eastAsia="Arial" w:hAnsi="ITC Avant Garde" w:cs="Arial"/>
          <w:sz w:val="22"/>
          <w:szCs w:val="22"/>
          <w:lang w:val="es-ES_tradnl"/>
        </w:rPr>
        <w:t>el</w:t>
      </w:r>
      <w:r w:rsidR="00A66B43"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2017. </w:t>
      </w:r>
      <w:r w:rsidR="00696581" w:rsidRPr="00F84180">
        <w:rPr>
          <w:rFonts w:ascii="ITC Avant Garde" w:eastAsia="Arial" w:hAnsi="ITC Avant Garde" w:cs="Arial"/>
          <w:sz w:val="22"/>
          <w:szCs w:val="22"/>
          <w:lang w:val="es-ES_tradnl"/>
        </w:rPr>
        <w:t xml:space="preserve">En </w:t>
      </w:r>
      <w:r w:rsidRPr="00F84180">
        <w:rPr>
          <w:rFonts w:ascii="ITC Avant Garde" w:eastAsia="Arial" w:hAnsi="ITC Avant Garde" w:cs="Arial"/>
          <w:sz w:val="22"/>
          <w:szCs w:val="22"/>
          <w:lang w:val="es-ES_tradnl"/>
        </w:rPr>
        <w:t xml:space="preserve">dicha </w:t>
      </w:r>
      <w:r w:rsidR="00736A75" w:rsidRPr="00F84180">
        <w:rPr>
          <w:rFonts w:ascii="ITC Avant Garde" w:eastAsia="Arial" w:hAnsi="ITC Avant Garde" w:cs="Arial"/>
          <w:sz w:val="22"/>
          <w:szCs w:val="22"/>
          <w:lang w:val="es-ES_tradnl"/>
        </w:rPr>
        <w:t>e</w:t>
      </w:r>
      <w:r w:rsidR="00696581" w:rsidRPr="00F84180">
        <w:rPr>
          <w:rFonts w:ascii="ITC Avant Garde" w:eastAsia="Arial" w:hAnsi="ITC Avant Garde" w:cs="Arial"/>
          <w:sz w:val="22"/>
          <w:szCs w:val="22"/>
          <w:lang w:val="es-ES_tradnl"/>
        </w:rPr>
        <w:t xml:space="preserve">tapa </w:t>
      </w:r>
      <w:r w:rsidR="00C90A39" w:rsidRPr="00F84180">
        <w:rPr>
          <w:rFonts w:ascii="ITC Avant Garde" w:eastAsia="Arial" w:hAnsi="ITC Avant Garde" w:cs="Arial"/>
          <w:sz w:val="22"/>
          <w:szCs w:val="22"/>
          <w:lang w:val="es-ES_tradnl"/>
        </w:rPr>
        <w:t xml:space="preserve">se </w:t>
      </w:r>
      <w:r w:rsidR="00696581" w:rsidRPr="00F84180">
        <w:rPr>
          <w:rFonts w:ascii="ITC Avant Garde" w:eastAsia="Arial" w:hAnsi="ITC Avant Garde" w:cs="Arial"/>
          <w:sz w:val="22"/>
          <w:szCs w:val="22"/>
          <w:lang w:val="es-ES_tradnl"/>
        </w:rPr>
        <w:t xml:space="preserve">contempla la definición del modelo de crecimiento de la </w:t>
      </w:r>
      <w:r w:rsidR="00C90A39" w:rsidRPr="00F84180">
        <w:rPr>
          <w:rFonts w:ascii="ITC Avant Garde" w:eastAsia="Arial" w:hAnsi="ITC Avant Garde" w:cs="Arial"/>
          <w:sz w:val="22"/>
          <w:szCs w:val="22"/>
          <w:lang w:val="es-ES_tradnl"/>
        </w:rPr>
        <w:t>R</w:t>
      </w:r>
      <w:r w:rsidR="00696581" w:rsidRPr="00F84180">
        <w:rPr>
          <w:rFonts w:ascii="ITC Avant Garde" w:eastAsia="Arial" w:hAnsi="ITC Avant Garde" w:cs="Arial"/>
          <w:sz w:val="22"/>
          <w:szCs w:val="22"/>
          <w:lang w:val="es-ES_tradnl"/>
        </w:rPr>
        <w:t xml:space="preserve">ed </w:t>
      </w:r>
      <w:r w:rsidR="00C90A39" w:rsidRPr="00F84180">
        <w:rPr>
          <w:rFonts w:ascii="ITC Avant Garde" w:eastAsia="Arial" w:hAnsi="ITC Avant Garde" w:cs="Arial"/>
          <w:sz w:val="22"/>
          <w:szCs w:val="22"/>
          <w:lang w:val="es-ES_tradnl"/>
        </w:rPr>
        <w:t>T</w:t>
      </w:r>
      <w:r w:rsidR="00696581" w:rsidRPr="00F84180">
        <w:rPr>
          <w:rFonts w:ascii="ITC Avant Garde" w:eastAsia="Arial" w:hAnsi="ITC Avant Garde" w:cs="Arial"/>
          <w:sz w:val="22"/>
          <w:szCs w:val="22"/>
          <w:lang w:val="es-ES_tradnl"/>
        </w:rPr>
        <w:t>roncal</w:t>
      </w:r>
      <w:r w:rsidR="00A10DC0" w:rsidRPr="00F84180">
        <w:rPr>
          <w:rFonts w:ascii="ITC Avant Garde" w:eastAsia="Arial" w:hAnsi="ITC Avant Garde" w:cs="Arial"/>
          <w:sz w:val="22"/>
          <w:szCs w:val="22"/>
          <w:lang w:val="es-ES_tradnl"/>
        </w:rPr>
        <w:t xml:space="preserve"> Nacional</w:t>
      </w:r>
      <w:r w:rsidR="00696581" w:rsidRPr="00F84180">
        <w:rPr>
          <w:rFonts w:ascii="ITC Avant Garde" w:eastAsia="Arial" w:hAnsi="ITC Avant Garde" w:cs="Arial"/>
          <w:sz w:val="22"/>
          <w:szCs w:val="22"/>
          <w:lang w:val="es-ES_tradnl"/>
        </w:rPr>
        <w:t xml:space="preserve">, para ello Telecomunicaciones de México </w:t>
      </w:r>
      <w:r w:rsidR="00736A75" w:rsidRPr="00F84180">
        <w:rPr>
          <w:rFonts w:ascii="ITC Avant Garde" w:eastAsia="Arial" w:hAnsi="ITC Avant Garde" w:cs="Arial"/>
          <w:sz w:val="22"/>
          <w:szCs w:val="22"/>
          <w:lang w:val="es-ES_tradnl"/>
        </w:rPr>
        <w:t xml:space="preserve">indica que </w:t>
      </w:r>
      <w:r w:rsidR="00696581" w:rsidRPr="00F84180">
        <w:rPr>
          <w:rFonts w:ascii="ITC Avant Garde" w:eastAsia="Arial" w:hAnsi="ITC Avant Garde" w:cs="Arial"/>
          <w:sz w:val="22"/>
          <w:szCs w:val="22"/>
          <w:lang w:val="es-ES_tradnl"/>
        </w:rPr>
        <w:t>realizará una consulta púb</w:t>
      </w:r>
      <w:r w:rsidR="00640866" w:rsidRPr="00F84180">
        <w:rPr>
          <w:rFonts w:ascii="ITC Avant Garde" w:eastAsia="Arial" w:hAnsi="ITC Avant Garde" w:cs="Arial"/>
          <w:sz w:val="22"/>
          <w:szCs w:val="22"/>
          <w:lang w:val="es-ES_tradnl"/>
        </w:rPr>
        <w:t>l</w:t>
      </w:r>
      <w:r w:rsidR="00696581" w:rsidRPr="00F84180">
        <w:rPr>
          <w:rFonts w:ascii="ITC Avant Garde" w:eastAsia="Arial" w:hAnsi="ITC Avant Garde" w:cs="Arial"/>
          <w:sz w:val="22"/>
          <w:szCs w:val="22"/>
          <w:lang w:val="es-ES_tradnl"/>
        </w:rPr>
        <w:t xml:space="preserve">ica, con la finalidad de analizar la viabilidad de adoptar un esquema, aún no definido, de Asociación Público Privada (APP) así como el posible proceso de licitación pública internacional de APP. </w:t>
      </w:r>
    </w:p>
    <w:p w:rsidR="00F84180" w:rsidRPr="00F84180" w:rsidRDefault="00696581" w:rsidP="00F84180">
      <w:pPr>
        <w:tabs>
          <w:tab w:val="num" w:pos="1220"/>
          <w:tab w:val="num" w:pos="1940"/>
        </w:tabs>
        <w:spacing w:after="240" w:line="276" w:lineRule="auto"/>
        <w:ind w:left="360"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Si resultara viable la implementación del esquema APP, Telecomunicaciones de México </w:t>
      </w:r>
      <w:r w:rsidR="00736A75" w:rsidRPr="00F84180">
        <w:rPr>
          <w:rFonts w:ascii="ITC Avant Garde" w:eastAsia="Arial" w:hAnsi="ITC Avant Garde" w:cs="Arial"/>
          <w:sz w:val="22"/>
          <w:szCs w:val="22"/>
          <w:lang w:val="es-ES_tradnl"/>
        </w:rPr>
        <w:t xml:space="preserve">señala que </w:t>
      </w:r>
      <w:r w:rsidRPr="00F84180">
        <w:rPr>
          <w:rFonts w:ascii="ITC Avant Garde" w:eastAsia="Arial" w:hAnsi="ITC Avant Garde" w:cs="Arial"/>
          <w:sz w:val="22"/>
          <w:szCs w:val="22"/>
          <w:lang w:val="es-ES_tradnl"/>
        </w:rPr>
        <w:t>conformaría un esquema de compartición de infraestructura en el que se fomenten proyectos de inversión privada de proveedores de servicios de telecomunicaciones para iluminar la fibra oscura mediante un esquema de compartición de infraestructura, de manera que la principal contraprestación para Telecomunicaciones de México consistiría en recibir capacidad iluminada y ofrecer servicios a otros proveedores de servicios de telecomunicaciones.</w:t>
      </w:r>
    </w:p>
    <w:p w:rsidR="00F84180" w:rsidRPr="00F84180" w:rsidRDefault="00696581" w:rsidP="00F84180">
      <w:pPr>
        <w:pStyle w:val="Prrafodelista"/>
        <w:numPr>
          <w:ilvl w:val="0"/>
          <w:numId w:val="8"/>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 xml:space="preserve">Estimaciones del consumo de datos. </w:t>
      </w:r>
    </w:p>
    <w:p w:rsidR="00F84180" w:rsidRPr="00F84180" w:rsidRDefault="004630FA"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Telecomunicaciones de México señala que, </w:t>
      </w:r>
      <w:r w:rsidR="003A2460" w:rsidRPr="00F84180">
        <w:rPr>
          <w:rFonts w:ascii="ITC Avant Garde" w:eastAsia="Arial" w:hAnsi="ITC Avant Garde" w:cs="Arial"/>
          <w:sz w:val="22"/>
          <w:szCs w:val="22"/>
        </w:rPr>
        <w:t>considerando información de</w:t>
      </w:r>
      <w:r w:rsidRPr="00F84180">
        <w:rPr>
          <w:rFonts w:ascii="ITC Avant Garde" w:eastAsia="Arial" w:hAnsi="ITC Avant Garde" w:cs="Arial"/>
          <w:sz w:val="22"/>
          <w:szCs w:val="22"/>
        </w:rPr>
        <w:t xml:space="preserve"> analistas del sector</w:t>
      </w:r>
      <w:r w:rsidRPr="00F84180">
        <w:rPr>
          <w:rStyle w:val="Refdenotaalpie"/>
          <w:rFonts w:ascii="ITC Avant Garde" w:eastAsia="Arial" w:hAnsi="ITC Avant Garde" w:cs="Arial"/>
          <w:sz w:val="22"/>
          <w:szCs w:val="22"/>
        </w:rPr>
        <w:footnoteReference w:id="13"/>
      </w:r>
      <w:r w:rsidRPr="00F84180">
        <w:rPr>
          <w:rFonts w:ascii="ITC Avant Garde" w:eastAsia="Arial" w:hAnsi="ITC Avant Garde" w:cs="Arial"/>
          <w:sz w:val="22"/>
          <w:szCs w:val="22"/>
        </w:rPr>
        <w:t>, s</w:t>
      </w:r>
      <w:r w:rsidR="00696581" w:rsidRPr="00F84180">
        <w:rPr>
          <w:rFonts w:ascii="ITC Avant Garde" w:eastAsia="Arial" w:hAnsi="ITC Avant Garde" w:cs="Arial"/>
          <w:sz w:val="22"/>
          <w:szCs w:val="22"/>
        </w:rPr>
        <w:t xml:space="preserve">e espera que en los próximos cinco años se presente un incremento de hasta 2.5 veces </w:t>
      </w:r>
      <w:r w:rsidR="00197A8A" w:rsidRPr="00F84180">
        <w:rPr>
          <w:rFonts w:ascii="ITC Avant Garde" w:eastAsia="Arial" w:hAnsi="ITC Avant Garde" w:cs="Arial"/>
          <w:sz w:val="22"/>
          <w:szCs w:val="22"/>
        </w:rPr>
        <w:t>sobr</w:t>
      </w:r>
      <w:r w:rsidR="00696581" w:rsidRPr="00F84180">
        <w:rPr>
          <w:rFonts w:ascii="ITC Avant Garde" w:eastAsia="Arial" w:hAnsi="ITC Avant Garde" w:cs="Arial"/>
          <w:sz w:val="22"/>
          <w:szCs w:val="22"/>
        </w:rPr>
        <w:t xml:space="preserve">e la demanda actual de tráfico de datos, lo que derivará en la necesidad de contar con enlaces de larga distancia de alta capacidad y nuevas rutas. Al respecto, </w:t>
      </w:r>
      <w:r w:rsidR="003A2460" w:rsidRPr="00F84180">
        <w:rPr>
          <w:rFonts w:ascii="ITC Avant Garde" w:eastAsia="Arial" w:hAnsi="ITC Avant Garde" w:cs="Arial"/>
          <w:sz w:val="22"/>
          <w:szCs w:val="22"/>
        </w:rPr>
        <w:t xml:space="preserve">las cifras presentadas </w:t>
      </w:r>
      <w:r w:rsidR="00696581" w:rsidRPr="00F84180">
        <w:rPr>
          <w:rFonts w:ascii="ITC Avant Garde" w:eastAsia="Arial" w:hAnsi="ITC Avant Garde" w:cs="Arial"/>
          <w:sz w:val="22"/>
          <w:szCs w:val="22"/>
        </w:rPr>
        <w:t>estima</w:t>
      </w:r>
      <w:r w:rsidR="003A2460" w:rsidRPr="00F84180">
        <w:rPr>
          <w:rFonts w:ascii="ITC Avant Garde" w:eastAsia="Arial" w:hAnsi="ITC Avant Garde" w:cs="Arial"/>
          <w:sz w:val="22"/>
          <w:szCs w:val="22"/>
        </w:rPr>
        <w:t>n</w:t>
      </w:r>
      <w:r w:rsidR="00696581" w:rsidRPr="00F84180">
        <w:rPr>
          <w:rFonts w:ascii="ITC Avant Garde" w:eastAsia="Arial" w:hAnsi="ITC Avant Garde" w:cs="Arial"/>
          <w:sz w:val="22"/>
          <w:szCs w:val="22"/>
        </w:rPr>
        <w:t xml:space="preserve"> un crecimiento anual del 13% en el consumo de datos residenciales, 56% en el consumo de datos móviles por usuario y 13% en video bajo demanda. Asimismo, se </w:t>
      </w:r>
      <w:r w:rsidR="003A2460" w:rsidRPr="00F84180">
        <w:rPr>
          <w:rFonts w:ascii="ITC Avant Garde" w:eastAsia="Arial" w:hAnsi="ITC Avant Garde" w:cs="Arial"/>
          <w:sz w:val="22"/>
          <w:szCs w:val="22"/>
        </w:rPr>
        <w:t xml:space="preserve">indica que los analistas del sector </w:t>
      </w:r>
      <w:r w:rsidR="00696581" w:rsidRPr="00F84180">
        <w:rPr>
          <w:rFonts w:ascii="ITC Avant Garde" w:eastAsia="Arial" w:hAnsi="ITC Avant Garde" w:cs="Arial"/>
          <w:sz w:val="22"/>
          <w:szCs w:val="22"/>
        </w:rPr>
        <w:t>estima</w:t>
      </w:r>
      <w:r w:rsidR="003A2460" w:rsidRPr="00F84180">
        <w:rPr>
          <w:rFonts w:ascii="ITC Avant Garde" w:eastAsia="Arial" w:hAnsi="ITC Avant Garde" w:cs="Arial"/>
          <w:sz w:val="22"/>
          <w:szCs w:val="22"/>
        </w:rPr>
        <w:t>n</w:t>
      </w:r>
      <w:r w:rsidR="00696581" w:rsidRPr="00F84180">
        <w:rPr>
          <w:rFonts w:ascii="ITC Avant Garde" w:eastAsia="Arial" w:hAnsi="ITC Avant Garde" w:cs="Arial"/>
          <w:sz w:val="22"/>
          <w:szCs w:val="22"/>
        </w:rPr>
        <w:t xml:space="preserve"> que el volumen de capacidad rentada de transporte se incremente en un 30% al año. </w:t>
      </w:r>
    </w:p>
    <w:p w:rsidR="00F84180" w:rsidRPr="00F84180" w:rsidRDefault="00696581" w:rsidP="00F84180">
      <w:pPr>
        <w:pStyle w:val="Prrafodelista"/>
        <w:numPr>
          <w:ilvl w:val="0"/>
          <w:numId w:val="8"/>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Modelo de operación bajo un esquema APP.</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Telecomunicaciones de México contempla la expansión para iluminar un par de hilos de fibra oscura </w:t>
      </w:r>
      <w:r w:rsidR="00080C53" w:rsidRPr="00F84180">
        <w:rPr>
          <w:rFonts w:ascii="ITC Avant Garde" w:eastAsia="Arial" w:hAnsi="ITC Avant Garde" w:cs="Arial"/>
          <w:sz w:val="22"/>
          <w:szCs w:val="22"/>
        </w:rPr>
        <w:t>sobre el</w:t>
      </w:r>
      <w:r w:rsidRPr="00F84180">
        <w:rPr>
          <w:rFonts w:ascii="ITC Avant Garde" w:eastAsia="Arial" w:hAnsi="ITC Avant Garde" w:cs="Arial"/>
          <w:sz w:val="22"/>
          <w:szCs w:val="22"/>
        </w:rPr>
        <w:t xml:space="preserve"> que tiene el derecho de uso, mediante una consulta pública que permita valorar la viabilidad de un esquema</w:t>
      </w:r>
      <w:r w:rsidR="00810FB2" w:rsidRPr="00F84180">
        <w:rPr>
          <w:rFonts w:ascii="ITC Avant Garde" w:eastAsia="Arial" w:hAnsi="ITC Avant Garde" w:cs="Arial"/>
          <w:sz w:val="22"/>
          <w:szCs w:val="22"/>
        </w:rPr>
        <w:t xml:space="preserve"> de</w:t>
      </w:r>
      <w:r w:rsidRPr="00F84180">
        <w:rPr>
          <w:rFonts w:ascii="ITC Avant Garde" w:eastAsia="Arial" w:hAnsi="ITC Avant Garde" w:cs="Arial"/>
          <w:sz w:val="22"/>
          <w:szCs w:val="22"/>
        </w:rPr>
        <w:t xml:space="preserve"> APP.</w:t>
      </w:r>
    </w:p>
    <w:p w:rsidR="00F84180" w:rsidRPr="00F84180" w:rsidRDefault="00197A8A"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El Programa Trianual</w:t>
      </w:r>
      <w:r w:rsidR="002B2039" w:rsidRPr="00F84180">
        <w:rPr>
          <w:rFonts w:ascii="ITC Avant Garde" w:eastAsia="Arial" w:hAnsi="ITC Avant Garde" w:cs="Arial"/>
          <w:sz w:val="22"/>
          <w:szCs w:val="22"/>
        </w:rPr>
        <w:t xml:space="preserve"> advierte que l</w:t>
      </w:r>
      <w:r w:rsidR="00696581" w:rsidRPr="00F84180">
        <w:rPr>
          <w:rFonts w:ascii="ITC Avant Garde" w:eastAsia="Arial" w:hAnsi="ITC Avant Garde" w:cs="Arial"/>
          <w:sz w:val="22"/>
          <w:szCs w:val="22"/>
        </w:rPr>
        <w:t>a consulta pública tendrá los siguientes objetivos:</w:t>
      </w:r>
    </w:p>
    <w:p w:rsidR="00696581" w:rsidRPr="00F84180" w:rsidRDefault="00696581" w:rsidP="00F84180">
      <w:pPr>
        <w:pStyle w:val="Prrafodelista"/>
        <w:numPr>
          <w:ilvl w:val="1"/>
          <w:numId w:val="12"/>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Conocer los puntos </w:t>
      </w:r>
      <w:r w:rsidR="00CF1A9C" w:rsidRPr="00F84180">
        <w:rPr>
          <w:rFonts w:ascii="ITC Avant Garde" w:eastAsia="Arial" w:hAnsi="ITC Avant Garde" w:cs="Arial"/>
          <w:sz w:val="22"/>
          <w:szCs w:val="22"/>
        </w:rPr>
        <w:t xml:space="preserve">de vista </w:t>
      </w:r>
      <w:r w:rsidRPr="00F84180">
        <w:rPr>
          <w:rFonts w:ascii="ITC Avant Garde" w:eastAsia="Arial" w:hAnsi="ITC Avant Garde" w:cs="Arial"/>
          <w:sz w:val="22"/>
          <w:szCs w:val="22"/>
        </w:rPr>
        <w:t>de los interesados sobre el tema.</w:t>
      </w:r>
    </w:p>
    <w:p w:rsidR="00696581" w:rsidRPr="00F84180" w:rsidRDefault="00696581" w:rsidP="00F84180">
      <w:pPr>
        <w:pStyle w:val="Prrafodelista"/>
        <w:numPr>
          <w:ilvl w:val="1"/>
          <w:numId w:val="12"/>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Dar a conocer y obtener retroalimentación de las acciones realizadas para el desarrollo de la </w:t>
      </w:r>
      <w:r w:rsidR="00CC4E1D" w:rsidRPr="00F84180">
        <w:rPr>
          <w:rFonts w:ascii="ITC Avant Garde" w:eastAsia="Arial" w:hAnsi="ITC Avant Garde" w:cs="Arial"/>
          <w:sz w:val="22"/>
          <w:szCs w:val="22"/>
        </w:rPr>
        <w:t>R</w:t>
      </w:r>
      <w:r w:rsidRPr="00F84180">
        <w:rPr>
          <w:rFonts w:ascii="ITC Avant Garde" w:eastAsia="Arial" w:hAnsi="ITC Avant Garde" w:cs="Arial"/>
          <w:sz w:val="22"/>
          <w:szCs w:val="22"/>
        </w:rPr>
        <w:t xml:space="preserve">ed </w:t>
      </w:r>
      <w:r w:rsidR="00CC4E1D" w:rsidRPr="00F84180">
        <w:rPr>
          <w:rFonts w:ascii="ITC Avant Garde" w:eastAsia="Arial" w:hAnsi="ITC Avant Garde" w:cs="Arial"/>
          <w:sz w:val="22"/>
          <w:szCs w:val="22"/>
        </w:rPr>
        <w:t>T</w:t>
      </w:r>
      <w:r w:rsidRPr="00F84180">
        <w:rPr>
          <w:rFonts w:ascii="ITC Avant Garde" w:eastAsia="Arial" w:hAnsi="ITC Avant Garde" w:cs="Arial"/>
          <w:sz w:val="22"/>
          <w:szCs w:val="22"/>
        </w:rPr>
        <w:t>roncal</w:t>
      </w:r>
      <w:r w:rsidR="00991A32" w:rsidRPr="00F84180">
        <w:rPr>
          <w:rFonts w:ascii="ITC Avant Garde" w:eastAsia="Arial" w:hAnsi="ITC Avant Garde" w:cs="Arial"/>
          <w:sz w:val="22"/>
          <w:szCs w:val="22"/>
        </w:rPr>
        <w:t xml:space="preserve"> Nacional</w:t>
      </w:r>
      <w:r w:rsidRPr="00F84180">
        <w:rPr>
          <w:rFonts w:ascii="ITC Avant Garde" w:eastAsia="Arial" w:hAnsi="ITC Avant Garde" w:cs="Arial"/>
          <w:sz w:val="22"/>
          <w:szCs w:val="22"/>
        </w:rPr>
        <w:t>.</w:t>
      </w:r>
    </w:p>
    <w:p w:rsidR="00F84180" w:rsidRPr="00F84180" w:rsidRDefault="00696581" w:rsidP="00F84180">
      <w:pPr>
        <w:pStyle w:val="Prrafodelista"/>
        <w:numPr>
          <w:ilvl w:val="1"/>
          <w:numId w:val="12"/>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Dar transparencia al proceso de viabilidad para licitar una APP.</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Concluida la consulta pública </w:t>
      </w:r>
      <w:r w:rsidR="002B2039" w:rsidRPr="00F84180">
        <w:rPr>
          <w:rFonts w:ascii="ITC Avant Garde" w:eastAsia="Arial" w:hAnsi="ITC Avant Garde" w:cs="Arial"/>
          <w:sz w:val="22"/>
          <w:szCs w:val="22"/>
        </w:rPr>
        <w:t xml:space="preserve">se indica que </w:t>
      </w:r>
      <w:r w:rsidRPr="00F84180">
        <w:rPr>
          <w:rFonts w:ascii="ITC Avant Garde" w:eastAsia="Arial" w:hAnsi="ITC Avant Garde" w:cs="Arial"/>
          <w:sz w:val="22"/>
          <w:szCs w:val="22"/>
        </w:rPr>
        <w:t xml:space="preserve">Telecomunicaciones de México analizará las participaciones para incorporar o adoptar aquellas que se ajusten mejor a las condiciones económicas, jurídicas, tecnológicas que permitan llevar a cabo el </w:t>
      </w:r>
      <w:r w:rsidR="00080C53" w:rsidRPr="00F84180">
        <w:rPr>
          <w:rFonts w:ascii="ITC Avant Garde" w:eastAsia="Arial" w:hAnsi="ITC Avant Garde" w:cs="Arial"/>
          <w:sz w:val="22"/>
          <w:szCs w:val="22"/>
        </w:rPr>
        <w:t>c</w:t>
      </w:r>
      <w:r w:rsidRPr="00F84180">
        <w:rPr>
          <w:rFonts w:ascii="ITC Avant Garde" w:eastAsia="Arial" w:hAnsi="ITC Avant Garde" w:cs="Arial"/>
          <w:sz w:val="22"/>
          <w:szCs w:val="22"/>
        </w:rPr>
        <w:t xml:space="preserve">oncurso </w:t>
      </w:r>
      <w:r w:rsidR="00080C53" w:rsidRPr="00F84180">
        <w:rPr>
          <w:rFonts w:ascii="ITC Avant Garde" w:eastAsia="Arial" w:hAnsi="ITC Avant Garde" w:cs="Arial"/>
          <w:sz w:val="22"/>
          <w:szCs w:val="22"/>
        </w:rPr>
        <w:t>p</w:t>
      </w:r>
      <w:r w:rsidRPr="00F84180">
        <w:rPr>
          <w:rFonts w:ascii="ITC Avant Garde" w:eastAsia="Arial" w:hAnsi="ITC Avant Garde" w:cs="Arial"/>
          <w:sz w:val="22"/>
          <w:szCs w:val="22"/>
        </w:rPr>
        <w:t xml:space="preserve">úblico </w:t>
      </w:r>
      <w:r w:rsidR="00080C53" w:rsidRPr="00F84180">
        <w:rPr>
          <w:rFonts w:ascii="ITC Avant Garde" w:eastAsia="Arial" w:hAnsi="ITC Avant Garde" w:cs="Arial"/>
          <w:sz w:val="22"/>
          <w:szCs w:val="22"/>
        </w:rPr>
        <w:t>i</w:t>
      </w:r>
      <w:r w:rsidRPr="00F84180">
        <w:rPr>
          <w:rFonts w:ascii="ITC Avant Garde" w:eastAsia="Arial" w:hAnsi="ITC Avant Garde" w:cs="Arial"/>
          <w:sz w:val="22"/>
          <w:szCs w:val="22"/>
        </w:rPr>
        <w:t>nternacional para la implementación de una APP.</w:t>
      </w:r>
    </w:p>
    <w:p w:rsidR="00F84180" w:rsidRPr="00F84180" w:rsidRDefault="00696581" w:rsidP="00F84180">
      <w:pPr>
        <w:pStyle w:val="Prrafodelista"/>
        <w:numPr>
          <w:ilvl w:val="0"/>
          <w:numId w:val="8"/>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 xml:space="preserve">Modelo de operación sin esquema APP. </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En el caso de que en la consulta pública se advierta que la implementación de la APP es inviable, </w:t>
      </w:r>
      <w:r w:rsidR="00A24F21" w:rsidRPr="00F84180">
        <w:rPr>
          <w:rFonts w:ascii="ITC Avant Garde" w:eastAsia="Arial" w:hAnsi="ITC Avant Garde" w:cs="Arial"/>
          <w:sz w:val="22"/>
          <w:szCs w:val="22"/>
        </w:rPr>
        <w:t xml:space="preserve">el Programa Trianual </w:t>
      </w:r>
      <w:r w:rsidR="00B1774C" w:rsidRPr="00F84180">
        <w:rPr>
          <w:rFonts w:ascii="ITC Avant Garde" w:eastAsia="Arial" w:hAnsi="ITC Avant Garde" w:cs="Arial"/>
          <w:sz w:val="22"/>
          <w:szCs w:val="22"/>
        </w:rPr>
        <w:t xml:space="preserve">indica que Telecomunicaciones de México </w:t>
      </w:r>
      <w:r w:rsidRPr="00F84180">
        <w:rPr>
          <w:rFonts w:ascii="ITC Avant Garde" w:eastAsia="Arial" w:hAnsi="ITC Avant Garde" w:cs="Arial"/>
          <w:sz w:val="22"/>
          <w:szCs w:val="22"/>
        </w:rPr>
        <w:t xml:space="preserve">considerará la integración de un esquema de inversión privada sobre infraestructura </w:t>
      </w:r>
      <w:r w:rsidR="00080C53" w:rsidRPr="00F84180">
        <w:rPr>
          <w:rFonts w:ascii="ITC Avant Garde" w:eastAsia="Arial" w:hAnsi="ITC Avant Garde" w:cs="Arial"/>
          <w:sz w:val="22"/>
          <w:szCs w:val="22"/>
        </w:rPr>
        <w:t>e</w:t>
      </w:r>
      <w:r w:rsidRPr="00F84180">
        <w:rPr>
          <w:rFonts w:ascii="ITC Avant Garde" w:eastAsia="Arial" w:hAnsi="ITC Avant Garde" w:cs="Arial"/>
          <w:sz w:val="22"/>
          <w:szCs w:val="22"/>
        </w:rPr>
        <w:t>statal. Para implementar el esquema se contempla la firma de contratos con proveedores de servicios de telecomunicaciones que estén interesados en iluminar alguna de las rutas, e invertir en fibra óptica de mayor capacidad.</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En esta etapa se hará disponible el uso de un par de hilos de fibra oscura instalado a lo largo de todas las redes de transmisión y distribución de la Comisión. Además, si resulta viable, se dispondrá del acceso a los 115 hoteles de interconexión disponibles.</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En esta etapa se planea aumentar los hoteles de interconexión en al menos 35 adicionales, para alcanzar 150 hoteles funcionales en las rutas de la </w:t>
      </w:r>
      <w:r w:rsidR="002531B6" w:rsidRPr="00F84180">
        <w:rPr>
          <w:rFonts w:ascii="ITC Avant Garde" w:eastAsia="Arial" w:hAnsi="ITC Avant Garde" w:cs="Arial"/>
          <w:sz w:val="22"/>
          <w:szCs w:val="22"/>
        </w:rPr>
        <w:t>R</w:t>
      </w:r>
      <w:r w:rsidRPr="00F84180">
        <w:rPr>
          <w:rFonts w:ascii="ITC Avant Garde" w:eastAsia="Arial" w:hAnsi="ITC Avant Garde" w:cs="Arial"/>
          <w:sz w:val="22"/>
          <w:szCs w:val="22"/>
        </w:rPr>
        <w:t xml:space="preserve">ed </w:t>
      </w:r>
      <w:r w:rsidR="002531B6" w:rsidRPr="00F84180">
        <w:rPr>
          <w:rFonts w:ascii="ITC Avant Garde" w:eastAsia="Arial" w:hAnsi="ITC Avant Garde" w:cs="Arial"/>
          <w:sz w:val="22"/>
          <w:szCs w:val="22"/>
        </w:rPr>
        <w:t>T</w:t>
      </w:r>
      <w:r w:rsidRPr="00F84180">
        <w:rPr>
          <w:rFonts w:ascii="ITC Avant Garde" w:eastAsia="Arial" w:hAnsi="ITC Avant Garde" w:cs="Arial"/>
          <w:sz w:val="22"/>
          <w:szCs w:val="22"/>
        </w:rPr>
        <w:t>roncal</w:t>
      </w:r>
      <w:r w:rsidR="002531B6" w:rsidRPr="00F84180">
        <w:rPr>
          <w:rFonts w:ascii="ITC Avant Garde" w:eastAsia="Arial" w:hAnsi="ITC Avant Garde" w:cs="Arial"/>
          <w:sz w:val="22"/>
          <w:szCs w:val="22"/>
        </w:rPr>
        <w:t xml:space="preserve"> Nacional</w:t>
      </w:r>
      <w:r w:rsidRPr="00F84180">
        <w:rPr>
          <w:rFonts w:ascii="ITC Avant Garde" w:eastAsia="Arial" w:hAnsi="ITC Avant Garde" w:cs="Arial"/>
          <w:sz w:val="22"/>
          <w:szCs w:val="22"/>
        </w:rPr>
        <w:t>.</w:t>
      </w:r>
    </w:p>
    <w:p w:rsidR="00F84180" w:rsidRPr="00F84180" w:rsidRDefault="00B1774C"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El Programa Trianual señala que e</w:t>
      </w:r>
      <w:r w:rsidR="00696581" w:rsidRPr="00F84180">
        <w:rPr>
          <w:rFonts w:ascii="ITC Avant Garde" w:eastAsia="Arial" w:hAnsi="ITC Avant Garde" w:cs="Arial"/>
          <w:sz w:val="22"/>
          <w:szCs w:val="22"/>
        </w:rPr>
        <w:t>n el contrato entre Telecomunicaciones de México y la Comisión para el uso irrestricto, irrevocable y exclusivo del par de hilos de fibra óptica oscura, se acordaron inicialmente 155 rutas conformadas por 1,135 segmentos</w:t>
      </w:r>
      <w:r w:rsidR="001C06C6" w:rsidRPr="00F84180">
        <w:rPr>
          <w:rFonts w:ascii="ITC Avant Garde" w:eastAsia="Arial" w:hAnsi="ITC Avant Garde" w:cs="Arial"/>
          <w:sz w:val="22"/>
          <w:szCs w:val="22"/>
        </w:rPr>
        <w:t>,</w:t>
      </w:r>
      <w:r w:rsidR="00696581" w:rsidRPr="00F84180">
        <w:rPr>
          <w:rFonts w:ascii="ITC Avant Garde" w:eastAsia="Arial" w:hAnsi="ITC Avant Garde" w:cs="Arial"/>
          <w:sz w:val="22"/>
          <w:szCs w:val="22"/>
        </w:rPr>
        <w:t xml:space="preserve"> las cuales cubren 25,649 k</w:t>
      </w:r>
      <w:r w:rsidR="001C06C6" w:rsidRPr="00F84180">
        <w:rPr>
          <w:rFonts w:ascii="ITC Avant Garde" w:eastAsia="Arial" w:hAnsi="ITC Avant Garde" w:cs="Arial"/>
          <w:sz w:val="22"/>
          <w:szCs w:val="22"/>
        </w:rPr>
        <w:t>iló</w:t>
      </w:r>
      <w:r w:rsidR="00696581" w:rsidRPr="00F84180">
        <w:rPr>
          <w:rFonts w:ascii="ITC Avant Garde" w:eastAsia="Arial" w:hAnsi="ITC Avant Garde" w:cs="Arial"/>
          <w:sz w:val="22"/>
          <w:szCs w:val="22"/>
        </w:rPr>
        <w:t>m</w:t>
      </w:r>
      <w:r w:rsidR="001C06C6" w:rsidRPr="00F84180">
        <w:rPr>
          <w:rFonts w:ascii="ITC Avant Garde" w:eastAsia="Arial" w:hAnsi="ITC Avant Garde" w:cs="Arial"/>
          <w:sz w:val="22"/>
          <w:szCs w:val="22"/>
        </w:rPr>
        <w:t>etros</w:t>
      </w:r>
      <w:r w:rsidR="00696581" w:rsidRPr="00F84180">
        <w:rPr>
          <w:rFonts w:ascii="ITC Avant Garde" w:eastAsia="Arial" w:hAnsi="ITC Avant Garde" w:cs="Arial"/>
          <w:sz w:val="22"/>
          <w:szCs w:val="22"/>
        </w:rPr>
        <w:t xml:space="preserve">. </w:t>
      </w:r>
    </w:p>
    <w:p w:rsidR="00F84180" w:rsidRPr="00F84180" w:rsidRDefault="00696581"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En esta etapa, se establece complementar o ampliar las rutas en al menos 30% de los kilómetros sin disponibilidad, es decir, se tenderán al menos 2</w:t>
      </w:r>
      <w:r w:rsidR="00B91134" w:rsidRPr="00F84180">
        <w:rPr>
          <w:rFonts w:ascii="ITC Avant Garde" w:eastAsia="Arial" w:hAnsi="ITC Avant Garde" w:cs="Arial"/>
          <w:sz w:val="22"/>
          <w:szCs w:val="22"/>
        </w:rPr>
        <w:t>,</w:t>
      </w:r>
      <w:r w:rsidRPr="00F84180">
        <w:rPr>
          <w:rFonts w:ascii="ITC Avant Garde" w:eastAsia="Arial" w:hAnsi="ITC Avant Garde" w:cs="Arial"/>
          <w:sz w:val="22"/>
          <w:szCs w:val="22"/>
        </w:rPr>
        <w:t>100 k</w:t>
      </w:r>
      <w:r w:rsidR="001C06C6" w:rsidRPr="00F84180">
        <w:rPr>
          <w:rFonts w:ascii="ITC Avant Garde" w:eastAsia="Arial" w:hAnsi="ITC Avant Garde" w:cs="Arial"/>
          <w:sz w:val="22"/>
          <w:szCs w:val="22"/>
        </w:rPr>
        <w:t>iló</w:t>
      </w:r>
      <w:r w:rsidRPr="00F84180">
        <w:rPr>
          <w:rFonts w:ascii="ITC Avant Garde" w:eastAsia="Arial" w:hAnsi="ITC Avant Garde" w:cs="Arial"/>
          <w:sz w:val="22"/>
          <w:szCs w:val="22"/>
        </w:rPr>
        <w:t>m</w:t>
      </w:r>
      <w:r w:rsidR="001C06C6" w:rsidRPr="00F84180">
        <w:rPr>
          <w:rFonts w:ascii="ITC Avant Garde" w:eastAsia="Arial" w:hAnsi="ITC Avant Garde" w:cs="Arial"/>
          <w:sz w:val="22"/>
          <w:szCs w:val="22"/>
        </w:rPr>
        <w:t>etros</w:t>
      </w:r>
      <w:r w:rsidRPr="00F84180">
        <w:rPr>
          <w:rFonts w:ascii="ITC Avant Garde" w:eastAsia="Arial" w:hAnsi="ITC Avant Garde" w:cs="Arial"/>
          <w:sz w:val="22"/>
          <w:szCs w:val="22"/>
        </w:rPr>
        <w:t xml:space="preserve"> de la </w:t>
      </w:r>
      <w:r w:rsidR="00873E34" w:rsidRPr="00F84180">
        <w:rPr>
          <w:rFonts w:ascii="ITC Avant Garde" w:eastAsia="Arial" w:hAnsi="ITC Avant Garde" w:cs="Arial"/>
          <w:sz w:val="22"/>
          <w:szCs w:val="22"/>
        </w:rPr>
        <w:t>R</w:t>
      </w:r>
      <w:r w:rsidRPr="00F84180">
        <w:rPr>
          <w:rFonts w:ascii="ITC Avant Garde" w:eastAsia="Arial" w:hAnsi="ITC Avant Garde" w:cs="Arial"/>
          <w:sz w:val="22"/>
          <w:szCs w:val="22"/>
        </w:rPr>
        <w:t xml:space="preserve">ed </w:t>
      </w:r>
      <w:r w:rsidR="00873E34" w:rsidRPr="00F84180">
        <w:rPr>
          <w:rFonts w:ascii="ITC Avant Garde" w:eastAsia="Arial" w:hAnsi="ITC Avant Garde" w:cs="Arial"/>
          <w:sz w:val="22"/>
          <w:szCs w:val="22"/>
        </w:rPr>
        <w:t>T</w:t>
      </w:r>
      <w:r w:rsidRPr="00F84180">
        <w:rPr>
          <w:rFonts w:ascii="ITC Avant Garde" w:eastAsia="Arial" w:hAnsi="ITC Avant Garde" w:cs="Arial"/>
          <w:sz w:val="22"/>
          <w:szCs w:val="22"/>
        </w:rPr>
        <w:t>roncal</w:t>
      </w:r>
      <w:r w:rsidR="001C06C6" w:rsidRPr="00F84180">
        <w:rPr>
          <w:rFonts w:ascii="ITC Avant Garde" w:eastAsia="Arial" w:hAnsi="ITC Avant Garde" w:cs="Arial"/>
          <w:sz w:val="22"/>
          <w:szCs w:val="22"/>
        </w:rPr>
        <w:t xml:space="preserve"> Nacional</w:t>
      </w:r>
      <w:r w:rsidRPr="00F84180">
        <w:rPr>
          <w:rFonts w:ascii="ITC Avant Garde" w:eastAsia="Arial" w:hAnsi="ITC Avant Garde" w:cs="Arial"/>
          <w:sz w:val="22"/>
          <w:szCs w:val="22"/>
        </w:rPr>
        <w:t>.</w:t>
      </w:r>
    </w:p>
    <w:p w:rsidR="00F84180" w:rsidRPr="00F84180" w:rsidRDefault="00983F65"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La implementación de este modelo, contempla suscribir contratos en los que se busca que la contraprestación de los contratos suscritos sea, en su mayoría, a través de capacidad iluminada, esto es, que el proveedor interesado invierta en equipamiento necesario para iluminar la ruta y como contraprestación otorgue a Telecomunicaciones de México un porcentaje de la capacidad iluminada de la ruta. Lo anterior evitará el uso exclusivo de la ruta por parte del proveedor inversor a la vez que incentivará la competencia.</w:t>
      </w:r>
    </w:p>
    <w:p w:rsidR="00F84180" w:rsidRPr="00F84180" w:rsidRDefault="00983F65"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Se señala además que, la vigencia de los contratos de inversión será de 10 años como mínimo, los precios ofrecidos por Telecomunicaciones de México deberán considerar la recuperación de la inversión realizada, gastos de operación, mantenimiento, utilidad y reemplazo de tecnología al fin de la vida útil, que fomente una competencia razonable en el mercado, y que permita a los proveedores de servicios de telecomunicaciones ofrecer a los usuarios finales, servicios de banda ancha accesibles, acordes a la evolución del mercado. Adicionalmente, se considera que en el caso de que en alguna ruta ya iluminada se requiriera de un equipo complementario para un nodo intermedio, los contratos deberán permitir la inversión de equipamiento nuevo de un segundo proveedor de servicios de telecomunicaciones, con las mismas obligaciones de compartición de infraestructura.</w:t>
      </w:r>
    </w:p>
    <w:p w:rsidR="00F84180" w:rsidRPr="00F84180" w:rsidRDefault="00983F65"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Bajo el esquema descrito, el </w:t>
      </w:r>
      <w:r w:rsidR="00A24F21" w:rsidRPr="00F84180">
        <w:rPr>
          <w:rFonts w:ascii="ITC Avant Garde" w:eastAsia="Arial" w:hAnsi="ITC Avant Garde" w:cs="Arial"/>
          <w:sz w:val="22"/>
          <w:szCs w:val="22"/>
        </w:rPr>
        <w:t>P</w:t>
      </w:r>
      <w:r w:rsidRPr="00F84180">
        <w:rPr>
          <w:rFonts w:ascii="ITC Avant Garde" w:eastAsia="Arial" w:hAnsi="ITC Avant Garde" w:cs="Arial"/>
          <w:sz w:val="22"/>
          <w:szCs w:val="22"/>
        </w:rPr>
        <w:t xml:space="preserve">rograma </w:t>
      </w:r>
      <w:r w:rsidR="00A24F21" w:rsidRPr="00F84180">
        <w:rPr>
          <w:rFonts w:ascii="ITC Avant Garde" w:eastAsia="Arial" w:hAnsi="ITC Avant Garde" w:cs="Arial"/>
          <w:sz w:val="22"/>
          <w:szCs w:val="22"/>
        </w:rPr>
        <w:t>Trianual</w:t>
      </w:r>
      <w:r w:rsidRPr="00F84180">
        <w:rPr>
          <w:rFonts w:ascii="ITC Avant Garde" w:eastAsia="Arial" w:hAnsi="ITC Avant Garde" w:cs="Arial"/>
          <w:sz w:val="22"/>
          <w:szCs w:val="22"/>
        </w:rPr>
        <w:t xml:space="preserve"> indica que Telecomunicaciones de México tendrá la figura de administrador central, quien facilita</w:t>
      </w:r>
      <w:r w:rsidR="00810FB2" w:rsidRPr="00F84180">
        <w:rPr>
          <w:rFonts w:ascii="ITC Avant Garde" w:eastAsia="Arial" w:hAnsi="ITC Avant Garde" w:cs="Arial"/>
          <w:sz w:val="22"/>
          <w:szCs w:val="22"/>
        </w:rPr>
        <w:t>rá</w:t>
      </w:r>
      <w:r w:rsidRPr="00F84180">
        <w:rPr>
          <w:rFonts w:ascii="ITC Avant Garde" w:eastAsia="Arial" w:hAnsi="ITC Avant Garde" w:cs="Arial"/>
          <w:sz w:val="22"/>
          <w:szCs w:val="22"/>
        </w:rPr>
        <w:t xml:space="preserve"> el acceso y garantiza</w:t>
      </w:r>
      <w:r w:rsidR="00810FB2" w:rsidRPr="00F84180">
        <w:rPr>
          <w:rFonts w:ascii="ITC Avant Garde" w:eastAsia="Arial" w:hAnsi="ITC Avant Garde" w:cs="Arial"/>
          <w:sz w:val="22"/>
          <w:szCs w:val="22"/>
        </w:rPr>
        <w:t>rá</w:t>
      </w:r>
      <w:r w:rsidRPr="00F84180">
        <w:rPr>
          <w:rFonts w:ascii="ITC Avant Garde" w:eastAsia="Arial" w:hAnsi="ITC Avant Garde" w:cs="Arial"/>
          <w:sz w:val="22"/>
          <w:szCs w:val="22"/>
        </w:rPr>
        <w:t xml:space="preserve"> la operación así como el trato equitativo y no discriminatorio, hacia los proveedores inversionistas y a los proveedores clientes.</w:t>
      </w:r>
    </w:p>
    <w:p w:rsidR="00F84180" w:rsidRPr="00F84180" w:rsidRDefault="00983F65"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t>La capacidad iluminada recibida como contraprestación será provista como servicios de telecomunicaciones a proveedores de servicios de telecomunicaciones. Una vez cubiertos los gastos, los ingresos podrán reinvertirse en infraestructura, con lo que se podrían completar segmentos que no disponen de hilos de fibra óptica y conformar nuevas rutas.</w:t>
      </w:r>
    </w:p>
    <w:p w:rsidR="00F84180" w:rsidRPr="00F84180" w:rsidRDefault="00983F65" w:rsidP="00F84180">
      <w:pPr>
        <w:pStyle w:val="Prrafodelista"/>
        <w:spacing w:after="240" w:line="276" w:lineRule="auto"/>
        <w:ind w:left="720"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 xml:space="preserve">Para lo anterior, Telecomunicaciones de México planea la implementación de figuras y/o esquemas jurídicos </w:t>
      </w:r>
      <w:r w:rsidR="00602F86" w:rsidRPr="00F84180">
        <w:rPr>
          <w:rFonts w:ascii="ITC Avant Garde" w:eastAsia="Arial" w:hAnsi="ITC Avant Garde" w:cs="Arial"/>
          <w:sz w:val="22"/>
          <w:szCs w:val="22"/>
        </w:rPr>
        <w:t xml:space="preserve">que </w:t>
      </w:r>
      <w:r w:rsidRPr="00F84180">
        <w:rPr>
          <w:rFonts w:ascii="ITC Avant Garde" w:eastAsia="Arial" w:hAnsi="ITC Avant Garde" w:cs="Arial"/>
          <w:sz w:val="22"/>
          <w:szCs w:val="22"/>
        </w:rPr>
        <w:t>describe según se indica a continuación:</w:t>
      </w:r>
    </w:p>
    <w:p w:rsidR="00F84180" w:rsidRPr="00F84180" w:rsidRDefault="00983F65" w:rsidP="00F84180">
      <w:pPr>
        <w:pStyle w:val="Prrafodelista"/>
        <w:numPr>
          <w:ilvl w:val="0"/>
          <w:numId w:val="9"/>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 xml:space="preserve">Contrato de Acceso a Infraestructura. </w:t>
      </w:r>
      <w:r w:rsidRPr="00F84180">
        <w:rPr>
          <w:rFonts w:ascii="ITC Avant Garde" w:eastAsia="Arial" w:hAnsi="ITC Avant Garde" w:cs="Arial"/>
          <w:sz w:val="22"/>
          <w:szCs w:val="22"/>
        </w:rPr>
        <w:t>Telecomunicaciones de México y el proveedor de servicios de telecomunicaciones celebrarían un contrato de 10 años, dicho proveedor invertiría en equipo de iluminación para ingresar ciertos tramos de fibra óptica oscura, donde la mayor contraprestación sería el empleo por parte de Telecomunicaciones de México de un porcentaje de la capacidad iluminada que instale el proveedor. Asimismo, el contrato deberá contener los términos jurídicos a fin de que el equipo instalado no sea retirado por el proveedor, o debido a procesos legales como quiebra, además de que deberá existir una garantía que asegure la extensión de pólizas de garantía para cubrir mantenimientos preventivos y correctivos durante la vigencia del contrato. Adicionalmente, el contrato preverá la opción de inversión por parte de otro proveedor, en el caso de que dicho proveedor quisiera invertir en equipo en una ruta ya iluminada, de tal forma que pueda celebrar contratos de acceso de infraestructura, con lo que se permitirá incrementar la cobertura.</w:t>
      </w:r>
    </w:p>
    <w:p w:rsidR="00F84180" w:rsidRPr="00F84180" w:rsidRDefault="00983F65" w:rsidP="00F84180">
      <w:pPr>
        <w:tabs>
          <w:tab w:val="num" w:pos="1220"/>
          <w:tab w:val="num" w:pos="1940"/>
        </w:tabs>
        <w:spacing w:after="240" w:line="276" w:lineRule="auto"/>
        <w:ind w:left="1416"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Se señala que el esquema planteado, evitará el empleo exclusivo de ciertas rutas por parte del proveedor inversor, y asegura que otros proveedores pueden acceder a la capacidad de transporte de datos en condiciones no discriminatorias.</w:t>
      </w:r>
    </w:p>
    <w:p w:rsidR="00F84180" w:rsidRPr="00F84180" w:rsidRDefault="00983F65" w:rsidP="00F84180">
      <w:pPr>
        <w:pStyle w:val="Prrafodelista"/>
        <w:numPr>
          <w:ilvl w:val="0"/>
          <w:numId w:val="9"/>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 xml:space="preserve">Proceso transparente. </w:t>
      </w:r>
      <w:r w:rsidRPr="00F84180">
        <w:rPr>
          <w:rFonts w:ascii="ITC Avant Garde" w:eastAsia="Arial" w:hAnsi="ITC Avant Garde" w:cs="Arial"/>
          <w:sz w:val="22"/>
          <w:szCs w:val="22"/>
        </w:rPr>
        <w:t>La suscripción de contratos entre Telecomunicaciones y los proveedores inversores se realizará a través de procesos públicos, abiertos y transparentes. En el caso de que existiera más de un interesado en la misma ruta, se considerarán tres criterios para elegir con quien se suscribirán: i) el producto de la capacidad por el número de kilómetros, ii) la cantidad de sitios “Add-drop” (para agregar y entregar tráfico) y iii) los kilómetros de construcción adicional de fibra óptica para incrementar la cobertura.</w:t>
      </w:r>
    </w:p>
    <w:p w:rsidR="00F84180" w:rsidRPr="00F84180" w:rsidRDefault="00983F65" w:rsidP="00F84180">
      <w:pPr>
        <w:pStyle w:val="Prrafodelista"/>
        <w:numPr>
          <w:ilvl w:val="0"/>
          <w:numId w:val="9"/>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 xml:space="preserve">Determinación de equipo. </w:t>
      </w:r>
      <w:r w:rsidRPr="00F84180">
        <w:rPr>
          <w:rFonts w:ascii="ITC Avant Garde" w:eastAsia="Arial" w:hAnsi="ITC Avant Garde" w:cs="Arial"/>
          <w:sz w:val="22"/>
          <w:szCs w:val="22"/>
        </w:rPr>
        <w:t xml:space="preserve">Telecomunicaciones de México definirá lineamientos para implementar las mejores prácticas. Implementará una plataforma de gestión centralizada para garantizar la operación </w:t>
      </w:r>
      <w:r w:rsidRPr="00F84180">
        <w:rPr>
          <w:rFonts w:ascii="ITC Avant Garde" w:eastAsia="Arial" w:hAnsi="ITC Avant Garde" w:cs="Arial"/>
          <w:sz w:val="22"/>
          <w:szCs w:val="22"/>
        </w:rPr>
        <w:lastRenderedPageBreak/>
        <w:t>de la red, y a través de la cual se monitoreará el despliegue e iluminación de rutas, así como la operación, atención de fallas y la coordinación de mantenimiento.</w:t>
      </w:r>
    </w:p>
    <w:p w:rsidR="00F84180" w:rsidRPr="00F84180" w:rsidRDefault="00983F65" w:rsidP="00F84180">
      <w:pPr>
        <w:tabs>
          <w:tab w:val="num" w:pos="1220"/>
          <w:tab w:val="num" w:pos="1940"/>
        </w:tabs>
        <w:spacing w:after="240" w:line="276" w:lineRule="auto"/>
        <w:ind w:left="1416"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Asimismo, Telecomunicaciones de México establecerá lineamientos respecto a los estándares abiertos y de interoperabilidad, lo que permitirá asegurar la operación adecuada de la Red Troncal Nacional, y la interoperabilidad entre los proveedores clientes de dicha red.</w:t>
      </w:r>
    </w:p>
    <w:p w:rsidR="00F84180" w:rsidRPr="00F84180" w:rsidRDefault="00983F65" w:rsidP="00F84180">
      <w:pPr>
        <w:tabs>
          <w:tab w:val="num" w:pos="1220"/>
          <w:tab w:val="num" w:pos="1940"/>
        </w:tabs>
        <w:spacing w:after="240" w:line="276" w:lineRule="auto"/>
        <w:ind w:left="1416"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Además, en el </w:t>
      </w:r>
      <w:r w:rsidR="00602F86" w:rsidRPr="00F84180">
        <w:rPr>
          <w:rFonts w:ascii="ITC Avant Garde" w:eastAsia="Arial" w:hAnsi="ITC Avant Garde" w:cs="Arial"/>
          <w:sz w:val="22"/>
          <w:szCs w:val="22"/>
          <w:lang w:val="es-ES_tradnl"/>
        </w:rPr>
        <w:t>P</w:t>
      </w:r>
      <w:r w:rsidRPr="00F84180">
        <w:rPr>
          <w:rFonts w:ascii="ITC Avant Garde" w:eastAsia="Arial" w:hAnsi="ITC Avant Garde" w:cs="Arial"/>
          <w:sz w:val="22"/>
          <w:szCs w:val="22"/>
          <w:lang w:val="es-ES_tradnl"/>
        </w:rPr>
        <w:t xml:space="preserve">rograma </w:t>
      </w:r>
      <w:r w:rsidR="00602F86" w:rsidRPr="00F84180">
        <w:rPr>
          <w:rFonts w:ascii="ITC Avant Garde" w:eastAsia="Arial" w:hAnsi="ITC Avant Garde" w:cs="Arial"/>
          <w:sz w:val="22"/>
          <w:szCs w:val="22"/>
          <w:lang w:val="es-ES_tradnl"/>
        </w:rPr>
        <w:t>Trianual</w:t>
      </w:r>
      <w:r w:rsidRPr="00F84180">
        <w:rPr>
          <w:rFonts w:ascii="ITC Avant Garde" w:eastAsia="Arial" w:hAnsi="ITC Avant Garde" w:cs="Arial"/>
          <w:sz w:val="22"/>
          <w:szCs w:val="22"/>
          <w:lang w:val="es-ES_tradnl"/>
        </w:rPr>
        <w:t xml:space="preserve"> se indica que el esquema adoptado para desarrollar la Red Troncal Nacional e iluminar las rutas de fibra oscura, incluirá el cumplimiento de niveles de calidad, de conformidad con lo establecido en los Lineamientos:</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Contar con puntos de interconexión internacionales.</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Asegurar que la capacidad de los enlaces soporte la demanda de tráfico de datos, además de gestionar el crecimiento de los enlaces cuando se encuentren a 85% de su capacidad en hora pico.</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Garantizar que los equipos, soporten tecnologías eficientes y escalables, </w:t>
      </w:r>
      <w:proofErr w:type="gramStart"/>
      <w:r w:rsidRPr="00F84180">
        <w:rPr>
          <w:rFonts w:ascii="ITC Avant Garde" w:eastAsia="Arial" w:hAnsi="ITC Avant Garde" w:cs="Arial"/>
          <w:sz w:val="22"/>
          <w:szCs w:val="22"/>
        </w:rPr>
        <w:t>abiertos</w:t>
      </w:r>
      <w:proofErr w:type="gramEnd"/>
      <w:r w:rsidRPr="00F84180">
        <w:rPr>
          <w:rFonts w:ascii="ITC Avant Garde" w:eastAsia="Arial" w:hAnsi="ITC Avant Garde" w:cs="Arial"/>
          <w:sz w:val="22"/>
          <w:szCs w:val="22"/>
        </w:rPr>
        <w:t xml:space="preserve"> y consistentes con los estándares internacionales.</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Diseñar la red con alto nivel de disponibilidad, cumpliendo con una disponibilidad de 99.95% medida de forma mensual (sin contar el tiempo de inactividad programado y previamente aprobado).</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Cumplir con los siguientes parámetros:</w:t>
      </w:r>
    </w:p>
    <w:p w:rsidR="00983F65" w:rsidRPr="00F84180" w:rsidRDefault="00983F65" w:rsidP="00F84180">
      <w:pPr>
        <w:pStyle w:val="Prrafodelista"/>
        <w:numPr>
          <w:ilvl w:val="1"/>
          <w:numId w:val="14"/>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Un promedio de latencia por enlace menor a 30 milisegundos;</w:t>
      </w:r>
    </w:p>
    <w:p w:rsidR="00983F65" w:rsidRPr="00F84180" w:rsidRDefault="00983F65" w:rsidP="00F84180">
      <w:pPr>
        <w:pStyle w:val="Prrafodelista"/>
        <w:numPr>
          <w:ilvl w:val="1"/>
          <w:numId w:val="14"/>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Una pérdida de paquetes end-to-end menor de 0.3%, y</w:t>
      </w:r>
    </w:p>
    <w:p w:rsidR="00983F65" w:rsidRPr="00F84180" w:rsidRDefault="00983F65" w:rsidP="00F84180">
      <w:pPr>
        <w:pStyle w:val="Prrafodelista"/>
        <w:numPr>
          <w:ilvl w:val="1"/>
          <w:numId w:val="14"/>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Un jitter máximo menor a 10 milisegundos.</w:t>
      </w:r>
    </w:p>
    <w:p w:rsidR="00983F65"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Cumplir con los parámetros de calidad establecidos en las disposiciones regulatorias de carácter general del Instituto.</w:t>
      </w:r>
    </w:p>
    <w:p w:rsidR="00F84180" w:rsidRPr="00F84180" w:rsidRDefault="00983F65" w:rsidP="00F84180">
      <w:pPr>
        <w:pStyle w:val="Prrafodelista"/>
        <w:numPr>
          <w:ilvl w:val="0"/>
          <w:numId w:val="13"/>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Desarrollar y aplicar un método estandarizado para actividades de pruebas y puestas en servicio.</w:t>
      </w:r>
    </w:p>
    <w:p w:rsidR="00F84180" w:rsidRPr="00F84180" w:rsidRDefault="00983F65" w:rsidP="00F84180">
      <w:pPr>
        <w:pStyle w:val="Prrafodelista"/>
        <w:numPr>
          <w:ilvl w:val="0"/>
          <w:numId w:val="8"/>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Reto para Telecomunicaciones de México, falta de continuidad y disponibilidad de rutas cedidas.</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En el </w:t>
      </w:r>
      <w:r w:rsidR="00602F86" w:rsidRPr="00F84180">
        <w:rPr>
          <w:rFonts w:ascii="ITC Avant Garde" w:eastAsia="Arial" w:hAnsi="ITC Avant Garde" w:cs="Arial"/>
          <w:sz w:val="22"/>
          <w:szCs w:val="22"/>
          <w:lang w:val="es-ES_tradnl"/>
        </w:rPr>
        <w:t>P</w:t>
      </w:r>
      <w:r w:rsidRPr="00F84180">
        <w:rPr>
          <w:rFonts w:ascii="ITC Avant Garde" w:eastAsia="Arial" w:hAnsi="ITC Avant Garde" w:cs="Arial"/>
          <w:sz w:val="22"/>
          <w:szCs w:val="22"/>
          <w:lang w:val="es-ES_tradnl"/>
        </w:rPr>
        <w:t xml:space="preserve">rograma </w:t>
      </w:r>
      <w:r w:rsidR="00602F86" w:rsidRPr="00F84180">
        <w:rPr>
          <w:rFonts w:ascii="ITC Avant Garde" w:eastAsia="Arial" w:hAnsi="ITC Avant Garde" w:cs="Arial"/>
          <w:sz w:val="22"/>
          <w:szCs w:val="22"/>
          <w:lang w:val="es-ES_tradnl"/>
        </w:rPr>
        <w:t>Trianual</w:t>
      </w:r>
      <w:r w:rsidRPr="00F84180">
        <w:rPr>
          <w:rFonts w:ascii="ITC Avant Garde" w:eastAsia="Arial" w:hAnsi="ITC Avant Garde" w:cs="Arial"/>
          <w:sz w:val="22"/>
          <w:szCs w:val="22"/>
          <w:lang w:val="es-ES_tradnl"/>
        </w:rPr>
        <w:t xml:space="preserve"> se señala que en el esquema de inversión privada sobre infraestructura estatal un reto a superar es la disponibilidad de 7,300 kilómetros de fibra oscura, que actualmente no están disponibles. Para resolver dicho problema, se menciona que Telecomunicaciones de México y la Comisión han acordado algunos procedimientos.</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Asimismo, se señala que la prioridad de disponibilidad de un par de hilos la tiene el consorcio ganador de la licitación de la Red Compartida Mayorista. </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Por otro lado, se indica que algunas rutas carecen de disponibilidad de hilos de fibra, debido a las condiciones actuales de operación de la Comisión. En este sentido, se requiere realizar un análisis y ofrecer una solución de multiplexación para liberar hilos y contar con disponibilidad. Los potenciales proveedores inversionistas podrán evaluar si resulta conveniente invertir en dicha solución o bien en el reemplazo por un cable de fibra óptica con mayor cantidad de hilos.</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Telecomunicaciones de México podrá explotar el segundo par de fibra óptica disponible en cada uno de los segmentos puestos a su disposición, asimismo, se indica que el 72% de las rutas puestas a disposición de Telecomunicaciones de México requieren de inversión para el despliegue de fibra óptica para lograr continuidad a lo largo de la misma.</w:t>
      </w:r>
      <w:r w:rsidR="006E20D4"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 xml:space="preserve">Adicionalmente en el </w:t>
      </w:r>
      <w:r w:rsidR="00B91134" w:rsidRPr="00F84180">
        <w:rPr>
          <w:rFonts w:ascii="ITC Avant Garde" w:eastAsia="Arial" w:hAnsi="ITC Avant Garde" w:cs="Arial"/>
          <w:sz w:val="22"/>
          <w:szCs w:val="22"/>
          <w:lang w:val="es-ES_tradnl"/>
        </w:rPr>
        <w:t>P</w:t>
      </w:r>
      <w:r w:rsidRPr="00F84180">
        <w:rPr>
          <w:rFonts w:ascii="ITC Avant Garde" w:eastAsia="Arial" w:hAnsi="ITC Avant Garde" w:cs="Arial"/>
          <w:sz w:val="22"/>
          <w:szCs w:val="22"/>
          <w:lang w:val="es-ES_tradnl"/>
        </w:rPr>
        <w:t xml:space="preserve">rograma </w:t>
      </w:r>
      <w:r w:rsidR="00B91134" w:rsidRPr="00F84180">
        <w:rPr>
          <w:rFonts w:ascii="ITC Avant Garde" w:eastAsia="Arial" w:hAnsi="ITC Avant Garde" w:cs="Arial"/>
          <w:sz w:val="22"/>
          <w:szCs w:val="22"/>
          <w:lang w:val="es-ES_tradnl"/>
        </w:rPr>
        <w:t>Trianual</w:t>
      </w:r>
      <w:r w:rsidRPr="00F84180">
        <w:rPr>
          <w:rFonts w:ascii="ITC Avant Garde" w:eastAsia="Arial" w:hAnsi="ITC Avant Garde" w:cs="Arial"/>
          <w:sz w:val="22"/>
          <w:szCs w:val="22"/>
          <w:lang w:val="es-ES_tradnl"/>
        </w:rPr>
        <w:t xml:space="preserve"> se indica que conforme al contrato de APP, Telecomunicaciones de México aport</w:t>
      </w:r>
      <w:r w:rsidR="00407107" w:rsidRPr="00F84180">
        <w:rPr>
          <w:rFonts w:ascii="ITC Avant Garde" w:eastAsia="Arial" w:hAnsi="ITC Avant Garde" w:cs="Arial"/>
          <w:sz w:val="22"/>
          <w:szCs w:val="22"/>
          <w:lang w:val="es-ES_tradnl"/>
        </w:rPr>
        <w:t>ó</w:t>
      </w:r>
      <w:r w:rsidRPr="00F84180">
        <w:rPr>
          <w:rFonts w:ascii="ITC Avant Garde" w:eastAsia="Arial" w:hAnsi="ITC Avant Garde" w:cs="Arial"/>
          <w:sz w:val="22"/>
          <w:szCs w:val="22"/>
          <w:lang w:val="es-ES_tradnl"/>
        </w:rPr>
        <w:t xml:space="preserve"> el primer par de hilos a</w:t>
      </w:r>
      <w:r w:rsidR="002506C9" w:rsidRPr="00F84180">
        <w:rPr>
          <w:rFonts w:ascii="ITC Avant Garde" w:eastAsia="Arial" w:hAnsi="ITC Avant Garde" w:cs="Arial"/>
          <w:sz w:val="22"/>
          <w:szCs w:val="22"/>
          <w:lang w:val="es-ES_tradnl"/>
        </w:rPr>
        <w:t xml:space="preserve"> </w:t>
      </w:r>
      <w:r w:rsidRPr="00F84180">
        <w:rPr>
          <w:rFonts w:ascii="ITC Avant Garde" w:eastAsia="Arial" w:hAnsi="ITC Avant Garde" w:cs="Arial"/>
          <w:sz w:val="22"/>
          <w:szCs w:val="22"/>
          <w:lang w:val="es-ES_tradnl"/>
        </w:rPr>
        <w:t>l consorcio ganador de la Red Compartida Mayorista</w:t>
      </w:r>
      <w:proofErr w:type="gramStart"/>
      <w:r w:rsidR="006E4CE2" w:rsidRPr="00F84180">
        <w:rPr>
          <w:rFonts w:ascii="ITC Avant Garde" w:eastAsia="Arial" w:hAnsi="ITC Avant Garde" w:cs="Arial"/>
          <w:sz w:val="22"/>
          <w:szCs w:val="22"/>
          <w:lang w:val="es-ES_tradnl"/>
        </w:rPr>
        <w:t>.</w:t>
      </w:r>
      <w:r w:rsidR="00A12E96" w:rsidRPr="00F84180">
        <w:rPr>
          <w:rFonts w:ascii="ITC Avant Garde" w:eastAsia="Arial" w:hAnsi="ITC Avant Garde" w:cs="Arial"/>
          <w:sz w:val="22"/>
          <w:szCs w:val="22"/>
          <w:lang w:val="es-ES_tradnl"/>
        </w:rPr>
        <w:t>.</w:t>
      </w:r>
      <w:proofErr w:type="gramEnd"/>
    </w:p>
    <w:p w:rsidR="00F84180" w:rsidRPr="00F84180" w:rsidRDefault="00983F65" w:rsidP="00F84180">
      <w:pPr>
        <w:pStyle w:val="Prrafodelista"/>
        <w:numPr>
          <w:ilvl w:val="0"/>
          <w:numId w:val="8"/>
        </w:numPr>
        <w:spacing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Oportunidades detectadas con un potencial proveedor inversionista.</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Telecomunicaciones de México present</w:t>
      </w:r>
      <w:r w:rsidR="00810FB2" w:rsidRPr="00F84180">
        <w:rPr>
          <w:rFonts w:ascii="ITC Avant Garde" w:eastAsia="Arial" w:hAnsi="ITC Avant Garde" w:cs="Arial"/>
          <w:sz w:val="22"/>
          <w:szCs w:val="22"/>
          <w:lang w:val="es-ES_tradnl"/>
        </w:rPr>
        <w:t>ó</w:t>
      </w:r>
      <w:r w:rsidRPr="00F84180">
        <w:rPr>
          <w:rFonts w:ascii="ITC Avant Garde" w:eastAsia="Arial" w:hAnsi="ITC Avant Garde" w:cs="Arial"/>
          <w:sz w:val="22"/>
          <w:szCs w:val="22"/>
          <w:lang w:val="es-ES_tradnl"/>
        </w:rPr>
        <w:t xml:space="preserve"> dos rutas viables que podrían ser incluidas en la Etapa III.</w:t>
      </w:r>
    </w:p>
    <w:p w:rsidR="00F84180" w:rsidRPr="00F84180" w:rsidRDefault="00983F65" w:rsidP="00F84180">
      <w:pPr>
        <w:pStyle w:val="Prrafodelista"/>
        <w:numPr>
          <w:ilvl w:val="2"/>
          <w:numId w:val="2"/>
        </w:numPr>
        <w:spacing w:after="240" w:line="276" w:lineRule="auto"/>
        <w:ind w:left="1068" w:right="49"/>
        <w:jc w:val="both"/>
        <w:rPr>
          <w:rFonts w:ascii="ITC Avant Garde" w:eastAsia="Arial" w:hAnsi="ITC Avant Garde" w:cs="Arial"/>
          <w:sz w:val="22"/>
          <w:szCs w:val="22"/>
        </w:rPr>
      </w:pPr>
      <w:r w:rsidRPr="00F84180">
        <w:rPr>
          <w:rFonts w:ascii="ITC Avant Garde" w:eastAsia="Arial" w:hAnsi="ITC Avant Garde" w:cs="Arial"/>
          <w:b/>
          <w:sz w:val="22"/>
          <w:szCs w:val="22"/>
        </w:rPr>
        <w:t>Ruta Ciudad de México</w:t>
      </w:r>
      <w:r w:rsidR="00810FB2" w:rsidRPr="00F84180">
        <w:rPr>
          <w:rFonts w:ascii="ITC Avant Garde" w:eastAsia="Arial" w:hAnsi="ITC Avant Garde" w:cs="Arial"/>
          <w:b/>
          <w:sz w:val="22"/>
          <w:szCs w:val="22"/>
        </w:rPr>
        <w:t xml:space="preserve"> </w:t>
      </w:r>
      <w:r w:rsidRPr="00F84180">
        <w:rPr>
          <w:rFonts w:ascii="ITC Avant Garde" w:eastAsia="Arial" w:hAnsi="ITC Avant Garde" w:cs="Arial"/>
          <w:b/>
          <w:sz w:val="22"/>
          <w:szCs w:val="22"/>
        </w:rPr>
        <w:t>-</w:t>
      </w:r>
      <w:r w:rsidR="00810FB2" w:rsidRPr="00F84180">
        <w:rPr>
          <w:rFonts w:ascii="ITC Avant Garde" w:eastAsia="Arial" w:hAnsi="ITC Avant Garde" w:cs="Arial"/>
          <w:b/>
          <w:sz w:val="22"/>
          <w:szCs w:val="22"/>
        </w:rPr>
        <w:t xml:space="preserve"> </w:t>
      </w:r>
      <w:r w:rsidRPr="00F84180">
        <w:rPr>
          <w:rFonts w:ascii="ITC Avant Garde" w:eastAsia="Arial" w:hAnsi="ITC Avant Garde" w:cs="Arial"/>
          <w:b/>
          <w:sz w:val="22"/>
          <w:szCs w:val="22"/>
        </w:rPr>
        <w:t>Ciudad Juárez:</w:t>
      </w:r>
      <w:r w:rsidRPr="00F84180">
        <w:rPr>
          <w:rFonts w:ascii="ITC Avant Garde" w:eastAsia="Arial" w:hAnsi="ITC Avant Garde" w:cs="Arial"/>
          <w:sz w:val="22"/>
          <w:szCs w:val="22"/>
        </w:rPr>
        <w:t xml:space="preserve"> La ruta cubre una distancia de 3</w:t>
      </w:r>
      <w:r w:rsidR="00D90861" w:rsidRPr="00F84180">
        <w:rPr>
          <w:rFonts w:ascii="ITC Avant Garde" w:eastAsia="Arial" w:hAnsi="ITC Avant Garde" w:cs="Arial"/>
          <w:sz w:val="22"/>
          <w:szCs w:val="22"/>
        </w:rPr>
        <w:t>,</w:t>
      </w:r>
      <w:r w:rsidRPr="00F84180">
        <w:rPr>
          <w:rFonts w:ascii="ITC Avant Garde" w:eastAsia="Arial" w:hAnsi="ITC Avant Garde" w:cs="Arial"/>
          <w:sz w:val="22"/>
          <w:szCs w:val="22"/>
        </w:rPr>
        <w:t xml:space="preserve">138 kilómetros, con un total de 130 segmentos de los cuales 45 están incompletos. Asimismo, se requiere el despliegue </w:t>
      </w:r>
      <w:r w:rsidR="00D90861" w:rsidRPr="00F84180">
        <w:rPr>
          <w:rFonts w:ascii="ITC Avant Garde" w:eastAsia="Arial" w:hAnsi="ITC Avant Garde" w:cs="Arial"/>
          <w:sz w:val="22"/>
          <w:szCs w:val="22"/>
        </w:rPr>
        <w:t xml:space="preserve">de </w:t>
      </w:r>
      <w:r w:rsidRPr="00F84180">
        <w:rPr>
          <w:rFonts w:ascii="ITC Avant Garde" w:eastAsia="Arial" w:hAnsi="ITC Avant Garde" w:cs="Arial"/>
          <w:sz w:val="22"/>
          <w:szCs w:val="22"/>
        </w:rPr>
        <w:t>1</w:t>
      </w:r>
      <w:r w:rsidR="00D90861" w:rsidRPr="00F84180">
        <w:rPr>
          <w:rFonts w:ascii="ITC Avant Garde" w:eastAsia="Arial" w:hAnsi="ITC Avant Garde" w:cs="Arial"/>
          <w:sz w:val="22"/>
          <w:szCs w:val="22"/>
        </w:rPr>
        <w:t>,</w:t>
      </w:r>
      <w:r w:rsidRPr="00F84180">
        <w:rPr>
          <w:rFonts w:ascii="ITC Avant Garde" w:eastAsia="Arial" w:hAnsi="ITC Avant Garde" w:cs="Arial"/>
          <w:sz w:val="22"/>
          <w:szCs w:val="22"/>
        </w:rPr>
        <w:t xml:space="preserve">016 kilómetros de fibra óptica para tener continuidad en el enlace. (Ciudad de México – </w:t>
      </w:r>
      <w:r w:rsidRPr="00F84180">
        <w:rPr>
          <w:rFonts w:ascii="ITC Avant Garde" w:eastAsia="Arial" w:hAnsi="ITC Avant Garde" w:cs="Arial"/>
          <w:sz w:val="22"/>
          <w:szCs w:val="22"/>
        </w:rPr>
        <w:lastRenderedPageBreak/>
        <w:t>Toluca – Valle de Bravo – Zitácuaro – Ciudad Hidalgo – Zinapécuaro – Morelia – Zamora – Ocotlán – Guadalajara – Tepic – Mazatlán – Durango – Torreón – Parral – Camargo –  Delicias – Chihuahua – Ciudad Juárez).</w:t>
      </w:r>
    </w:p>
    <w:p w:rsidR="00F84180" w:rsidRPr="00F84180" w:rsidRDefault="00983F65" w:rsidP="00F84180">
      <w:pPr>
        <w:pStyle w:val="Prrafodelista"/>
        <w:numPr>
          <w:ilvl w:val="2"/>
          <w:numId w:val="2"/>
        </w:numPr>
        <w:spacing w:after="240" w:line="276" w:lineRule="auto"/>
        <w:ind w:left="1068" w:right="49"/>
        <w:jc w:val="both"/>
        <w:rPr>
          <w:rFonts w:ascii="ITC Avant Garde" w:eastAsia="Arial" w:hAnsi="ITC Avant Garde" w:cs="Arial"/>
          <w:sz w:val="22"/>
          <w:szCs w:val="22"/>
        </w:rPr>
      </w:pPr>
      <w:r w:rsidRPr="00F84180">
        <w:rPr>
          <w:rFonts w:ascii="ITC Avant Garde" w:eastAsia="Arial" w:hAnsi="ITC Avant Garde" w:cs="Arial"/>
          <w:b/>
          <w:sz w:val="22"/>
          <w:szCs w:val="22"/>
        </w:rPr>
        <w:t>Ruta Ciudad de México – Reynosa:</w:t>
      </w:r>
      <w:r w:rsidRPr="00F84180">
        <w:rPr>
          <w:rFonts w:ascii="ITC Avant Garde" w:eastAsia="Arial" w:hAnsi="ITC Avant Garde" w:cs="Arial"/>
          <w:sz w:val="22"/>
          <w:szCs w:val="22"/>
        </w:rPr>
        <w:t xml:space="preserve"> La ruta cubre una distancia de 2</w:t>
      </w:r>
      <w:r w:rsidR="00D90861" w:rsidRPr="00F84180">
        <w:rPr>
          <w:rFonts w:ascii="ITC Avant Garde" w:eastAsia="Arial" w:hAnsi="ITC Avant Garde" w:cs="Arial"/>
          <w:sz w:val="22"/>
          <w:szCs w:val="22"/>
        </w:rPr>
        <w:t>,</w:t>
      </w:r>
      <w:r w:rsidRPr="00F84180">
        <w:rPr>
          <w:rFonts w:ascii="ITC Avant Garde" w:eastAsia="Arial" w:hAnsi="ITC Avant Garde" w:cs="Arial"/>
          <w:sz w:val="22"/>
          <w:szCs w:val="22"/>
        </w:rPr>
        <w:t xml:space="preserve">525 kilómetros, con un total de 134 segmentos de los cuales 39 están incompletos. Asimismo, se requiere el despliegue </w:t>
      </w:r>
      <w:r w:rsidR="00D90861" w:rsidRPr="00F84180">
        <w:rPr>
          <w:rFonts w:ascii="ITC Avant Garde" w:eastAsia="Arial" w:hAnsi="ITC Avant Garde" w:cs="Arial"/>
          <w:sz w:val="22"/>
          <w:szCs w:val="22"/>
        </w:rPr>
        <w:t xml:space="preserve">de </w:t>
      </w:r>
      <w:r w:rsidRPr="00F84180">
        <w:rPr>
          <w:rFonts w:ascii="ITC Avant Garde" w:eastAsia="Arial" w:hAnsi="ITC Avant Garde" w:cs="Arial"/>
          <w:sz w:val="22"/>
          <w:szCs w:val="22"/>
        </w:rPr>
        <w:t>1</w:t>
      </w:r>
      <w:r w:rsidR="00D90861" w:rsidRPr="00F84180">
        <w:rPr>
          <w:rFonts w:ascii="ITC Avant Garde" w:eastAsia="Arial" w:hAnsi="ITC Avant Garde" w:cs="Arial"/>
          <w:sz w:val="22"/>
          <w:szCs w:val="22"/>
        </w:rPr>
        <w:t>,</w:t>
      </w:r>
      <w:r w:rsidRPr="00F84180">
        <w:rPr>
          <w:rFonts w:ascii="ITC Avant Garde" w:eastAsia="Arial" w:hAnsi="ITC Avant Garde" w:cs="Arial"/>
          <w:sz w:val="22"/>
          <w:szCs w:val="22"/>
        </w:rPr>
        <w:t>076 kilómetros de fibra óptica para tener continuidad en el enlace. (Ciudad de México – Toluca – Tula – San Juan del Río – Pedro Escobedo – Querétaro – Celaya – Salamanca – Irapuato – Silao – San Francisco del Rincón – León – Aguascalientes – Zacatecas – Fresnillo – Saltillo – Monterrey – Cadereyta – Reynosa).</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Por otro lado, se señala que Telecomunicaciones de México ha llevado a cabo estudios de mercado en los que se estima que la inversión de equipos de iluminación en las dos rutas ascendería a 10.9 millones de dólares. Lo anterior al considerar 4 lambdas de 100 Gbps, 3 años de garantía, instalación, puesta en marcha y sistemas informáticos necesarios.</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En cada una de las rutas, Telecomunicaciones de México contempla 2 lambdas como contraprestación, para el uso de Telecomunicaciones de México, de manera que dicha entidad recibiría 200 Gbps de capacidad en cada ruta iluminada. Al respecto, se señala que cada lambda podría tener 10 canales de 10 Gbps, con lo que podría ofrecerse capacidad en múltiplos de 1 o 1.25 Gbps, y con ello tener una mayor oferta.</w:t>
      </w:r>
    </w:p>
    <w:p w:rsidR="00F84180" w:rsidRPr="00F84180" w:rsidRDefault="00983F65" w:rsidP="00F84180">
      <w:pPr>
        <w:tabs>
          <w:tab w:val="num" w:pos="1220"/>
          <w:tab w:val="num" w:pos="1940"/>
        </w:tabs>
        <w:spacing w:after="240" w:line="276" w:lineRule="auto"/>
        <w:ind w:left="708" w:right="49"/>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La habilitación de dichas rutas, depende de la demanda de transporte de datos de alta capacidad y de larga distancia del mercado, ofreciendo las rutas primarias o de redundancia a proveedores de servicios de telecomunicaciones que requieran una segunda ruta física alterna.</w:t>
      </w:r>
    </w:p>
    <w:p w:rsidR="00983F65" w:rsidRPr="00F84180" w:rsidRDefault="00983F65" w:rsidP="00F84180">
      <w:pPr>
        <w:tabs>
          <w:tab w:val="num" w:pos="1220"/>
          <w:tab w:val="num" w:pos="1940"/>
        </w:tabs>
        <w:spacing w:after="240" w:line="276" w:lineRule="auto"/>
        <w:ind w:left="360" w:right="49"/>
        <w:jc w:val="both"/>
        <w:rPr>
          <w:rFonts w:ascii="ITC Avant Garde" w:eastAsia="Arial" w:hAnsi="ITC Avant Garde" w:cs="Arial"/>
          <w:lang w:val="es-ES_tradnl"/>
        </w:rPr>
      </w:pPr>
      <w:r w:rsidRPr="00F84180">
        <w:rPr>
          <w:rFonts w:ascii="ITC Avant Garde" w:eastAsia="Arial" w:hAnsi="ITC Avant Garde" w:cs="Arial"/>
          <w:sz w:val="22"/>
          <w:szCs w:val="22"/>
          <w:lang w:val="es-ES_tradnl"/>
        </w:rPr>
        <w:t xml:space="preserve">Para la Etapa III, en el Programa Trianual presentado se indican los siguientes </w:t>
      </w:r>
      <w:r w:rsidRPr="00F84180">
        <w:rPr>
          <w:rFonts w:ascii="ITC Avant Garde" w:eastAsia="Arial" w:hAnsi="ITC Avant Garde" w:cs="Arial"/>
          <w:lang w:val="es-ES_tradnl"/>
        </w:rPr>
        <w:t>hitos:</w:t>
      </w:r>
    </w:p>
    <w:tbl>
      <w:tblPr>
        <w:tblStyle w:val="Tablaconcuadrcula"/>
        <w:tblW w:w="0" w:type="auto"/>
        <w:jc w:val="center"/>
        <w:tblLook w:val="0620" w:firstRow="1" w:lastRow="0" w:firstColumn="0" w:lastColumn="0" w:noHBand="1" w:noVBand="1"/>
        <w:tblCaption w:val="Tabla"/>
        <w:tblDescription w:val="Etapa III, Hitos del Programa Trianual"/>
      </w:tblPr>
      <w:tblGrid>
        <w:gridCol w:w="4280"/>
        <w:gridCol w:w="4188"/>
      </w:tblGrid>
      <w:tr w:rsidR="00983F65" w:rsidRPr="00F84180" w:rsidTr="00F84180">
        <w:trPr>
          <w:tblHeader/>
          <w:jc w:val="center"/>
        </w:trPr>
        <w:tc>
          <w:tcPr>
            <w:tcW w:w="4280" w:type="dxa"/>
            <w:shd w:val="clear" w:color="auto" w:fill="BFBFBF" w:themeFill="background1" w:themeFillShade="BF"/>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b/>
                <w:sz w:val="22"/>
                <w:szCs w:val="22"/>
                <w:lang w:val="es-ES_tradnl"/>
              </w:rPr>
            </w:pPr>
            <w:r w:rsidRPr="00F84180">
              <w:rPr>
                <w:rFonts w:ascii="ITC Avant Garde" w:eastAsia="Arial" w:hAnsi="ITC Avant Garde" w:cs="Arial"/>
                <w:b/>
                <w:sz w:val="22"/>
                <w:szCs w:val="22"/>
                <w:lang w:val="es-ES_tradnl"/>
              </w:rPr>
              <w:t>Evento</w:t>
            </w:r>
          </w:p>
        </w:tc>
        <w:tc>
          <w:tcPr>
            <w:tcW w:w="4188" w:type="dxa"/>
            <w:shd w:val="clear" w:color="auto" w:fill="BFBFBF" w:themeFill="background1" w:themeFillShade="BF"/>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b/>
                <w:sz w:val="22"/>
                <w:szCs w:val="22"/>
                <w:lang w:val="es-ES_tradnl"/>
              </w:rPr>
            </w:pPr>
            <w:r w:rsidRPr="00F84180">
              <w:rPr>
                <w:rFonts w:ascii="ITC Avant Garde" w:eastAsia="Arial" w:hAnsi="ITC Avant Garde" w:cs="Arial"/>
                <w:b/>
                <w:sz w:val="22"/>
                <w:szCs w:val="22"/>
                <w:lang w:val="es-ES_tradnl"/>
              </w:rPr>
              <w:t>Fecha de ejecución</w:t>
            </w:r>
          </w:p>
        </w:tc>
      </w:tr>
      <w:tr w:rsidR="00983F65" w:rsidRPr="00F84180" w:rsidTr="00F84180">
        <w:trPr>
          <w:jc w:val="center"/>
        </w:trPr>
        <w:tc>
          <w:tcPr>
            <w:tcW w:w="4280" w:type="dxa"/>
          </w:tcPr>
          <w:p w:rsidR="00983F65" w:rsidRPr="00F84180" w:rsidRDefault="00983F65"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Consulta pública.</w:t>
            </w:r>
          </w:p>
        </w:tc>
        <w:tc>
          <w:tcPr>
            <w:tcW w:w="4188" w:type="dxa"/>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b/>
                <w:sz w:val="22"/>
                <w:szCs w:val="22"/>
                <w:lang w:val="es-ES_tradnl"/>
              </w:rPr>
            </w:pPr>
            <w:r w:rsidRPr="00F84180">
              <w:rPr>
                <w:rFonts w:ascii="ITC Avant Garde" w:eastAsia="Arial" w:hAnsi="ITC Avant Garde" w:cs="Arial"/>
                <w:sz w:val="22"/>
                <w:szCs w:val="22"/>
              </w:rPr>
              <w:t>Segundo trimestre de 2017.</w:t>
            </w:r>
          </w:p>
        </w:tc>
      </w:tr>
      <w:tr w:rsidR="00983F65" w:rsidRPr="00F84180" w:rsidTr="00F84180">
        <w:trPr>
          <w:jc w:val="center"/>
        </w:trPr>
        <w:tc>
          <w:tcPr>
            <w:tcW w:w="4280" w:type="dxa"/>
          </w:tcPr>
          <w:p w:rsidR="00983F65" w:rsidRPr="00F84180" w:rsidRDefault="00983F65"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En caso de ser viable licitar una APP, se realizaría el concurso público internacional</w:t>
            </w:r>
            <w:r w:rsidR="000B6164" w:rsidRPr="00F84180">
              <w:rPr>
                <w:rFonts w:ascii="ITC Avant Garde" w:eastAsia="Arial" w:hAnsi="ITC Avant Garde" w:cs="Arial"/>
                <w:sz w:val="22"/>
                <w:szCs w:val="22"/>
              </w:rPr>
              <w:t>.</w:t>
            </w:r>
          </w:p>
        </w:tc>
        <w:tc>
          <w:tcPr>
            <w:tcW w:w="4188" w:type="dxa"/>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rPr>
            </w:pPr>
            <w:r w:rsidRPr="00F84180">
              <w:rPr>
                <w:rFonts w:ascii="ITC Avant Garde" w:eastAsia="Arial" w:hAnsi="ITC Avant Garde" w:cs="Arial"/>
                <w:sz w:val="22"/>
                <w:szCs w:val="22"/>
              </w:rPr>
              <w:t>Primero y segundo trimestre de 2018.</w:t>
            </w:r>
          </w:p>
        </w:tc>
      </w:tr>
      <w:tr w:rsidR="00983F65" w:rsidRPr="00F84180" w:rsidTr="00F84180">
        <w:trPr>
          <w:trHeight w:val="2780"/>
          <w:jc w:val="center"/>
        </w:trPr>
        <w:tc>
          <w:tcPr>
            <w:tcW w:w="4280" w:type="dxa"/>
            <w:tcBorders>
              <w:bottom w:val="single" w:sz="4" w:space="0" w:color="auto"/>
            </w:tcBorders>
          </w:tcPr>
          <w:p w:rsidR="00983F65" w:rsidRPr="00F84180" w:rsidRDefault="00983F65" w:rsidP="00F84180">
            <w:pPr>
              <w:pStyle w:val="Prrafodelista"/>
              <w:numPr>
                <w:ilvl w:val="0"/>
                <w:numId w:val="7"/>
              </w:num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En caso de no ser viable una APP, se llevaría a cabo un esquema de inversión privada sobre infraestructura estatal, con lo</w:t>
            </w:r>
            <w:r w:rsidR="000B6164" w:rsidRPr="00F84180">
              <w:rPr>
                <w:rFonts w:ascii="ITC Avant Garde" w:eastAsia="Arial" w:hAnsi="ITC Avant Garde" w:cs="Arial"/>
                <w:sz w:val="22"/>
                <w:szCs w:val="22"/>
              </w:rPr>
              <w:t>s</w:t>
            </w:r>
            <w:r w:rsidRPr="00F84180">
              <w:rPr>
                <w:rFonts w:ascii="ITC Avant Garde" w:eastAsia="Arial" w:hAnsi="ITC Avant Garde" w:cs="Arial"/>
                <w:sz w:val="22"/>
                <w:szCs w:val="22"/>
              </w:rPr>
              <w:t xml:space="preserve"> siguientes puntos:</w:t>
            </w:r>
          </w:p>
          <w:p w:rsidR="00983F65" w:rsidRPr="00F84180" w:rsidRDefault="00983F65" w:rsidP="00F84180">
            <w:pPr>
              <w:pStyle w:val="Prrafodelista"/>
              <w:numPr>
                <w:ilvl w:val="1"/>
                <w:numId w:val="7"/>
              </w:numPr>
              <w:spacing w:line="276" w:lineRule="auto"/>
              <w:ind w:left="1087" w:right="142"/>
              <w:jc w:val="both"/>
              <w:rPr>
                <w:rFonts w:ascii="ITC Avant Garde" w:eastAsia="Arial" w:hAnsi="ITC Avant Garde" w:cs="Arial"/>
                <w:sz w:val="22"/>
                <w:szCs w:val="22"/>
              </w:rPr>
            </w:pPr>
            <w:r w:rsidRPr="00F84180">
              <w:rPr>
                <w:rFonts w:ascii="ITC Avant Garde" w:eastAsia="Arial" w:hAnsi="ITC Avant Garde" w:cs="Arial"/>
                <w:sz w:val="22"/>
                <w:szCs w:val="22"/>
              </w:rPr>
              <w:t>Definición de modelo de negocio para rutas y extensión de rutas.</w:t>
            </w:r>
          </w:p>
        </w:tc>
        <w:tc>
          <w:tcPr>
            <w:tcW w:w="4188" w:type="dxa"/>
            <w:tcBorders>
              <w:bottom w:val="single" w:sz="4" w:space="0" w:color="auto"/>
            </w:tcBorders>
          </w:tcPr>
          <w:p w:rsidR="00983F65" w:rsidRPr="00F84180" w:rsidRDefault="00983F65" w:rsidP="00F84180">
            <w:pPr>
              <w:spacing w:before="1320" w:line="276" w:lineRule="auto"/>
              <w:ind w:right="142"/>
              <w:jc w:val="both"/>
              <w:rPr>
                <w:rFonts w:ascii="ITC Avant Garde" w:eastAsia="Arial" w:hAnsi="ITC Avant Garde" w:cs="Arial"/>
                <w:sz w:val="22"/>
                <w:szCs w:val="22"/>
                <w:lang w:val="es-ES_tradnl"/>
              </w:rPr>
            </w:pPr>
            <w:r w:rsidRPr="00F84180">
              <w:rPr>
                <w:rFonts w:ascii="ITC Avant Garde" w:eastAsia="Arial" w:hAnsi="ITC Avant Garde" w:cs="Arial"/>
                <w:sz w:val="22"/>
                <w:szCs w:val="22"/>
              </w:rPr>
              <w:t>Primer trimestre de 2018.</w:t>
            </w:r>
          </w:p>
        </w:tc>
      </w:tr>
      <w:tr w:rsidR="00983F65" w:rsidRPr="00F84180" w:rsidTr="00F84180">
        <w:trPr>
          <w:trHeight w:val="738"/>
          <w:jc w:val="center"/>
        </w:trPr>
        <w:tc>
          <w:tcPr>
            <w:tcW w:w="4280" w:type="dxa"/>
            <w:tcBorders>
              <w:bottom w:val="single" w:sz="4" w:space="0" w:color="auto"/>
            </w:tcBorders>
          </w:tcPr>
          <w:p w:rsidR="00983F65" w:rsidRPr="00F84180" w:rsidRDefault="00983F65" w:rsidP="00F84180">
            <w:pPr>
              <w:pStyle w:val="Prrafodelista"/>
              <w:numPr>
                <w:ilvl w:val="1"/>
                <w:numId w:val="7"/>
              </w:numPr>
              <w:spacing w:line="276" w:lineRule="auto"/>
              <w:ind w:left="1087" w:right="142"/>
              <w:jc w:val="both"/>
              <w:rPr>
                <w:rFonts w:ascii="ITC Avant Garde" w:eastAsia="Arial" w:hAnsi="ITC Avant Garde" w:cs="Arial"/>
                <w:sz w:val="22"/>
                <w:szCs w:val="22"/>
              </w:rPr>
            </w:pPr>
            <w:r w:rsidRPr="00F84180">
              <w:rPr>
                <w:rFonts w:ascii="ITC Avant Garde" w:eastAsia="Arial" w:hAnsi="ITC Avant Garde" w:cs="Arial"/>
                <w:sz w:val="22"/>
                <w:szCs w:val="22"/>
              </w:rPr>
              <w:t>Definición de equipamiento para rutas.</w:t>
            </w:r>
          </w:p>
        </w:tc>
        <w:tc>
          <w:tcPr>
            <w:tcW w:w="4188" w:type="dxa"/>
            <w:tcBorders>
              <w:bottom w:val="single" w:sz="4" w:space="0" w:color="auto"/>
            </w:tcBorders>
          </w:tcPr>
          <w:p w:rsidR="00983F65" w:rsidRPr="00F84180" w:rsidRDefault="00983F65" w:rsidP="00F84180">
            <w:p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Primer trimestre de 2018.</w:t>
            </w:r>
          </w:p>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rPr>
            </w:pPr>
          </w:p>
        </w:tc>
      </w:tr>
      <w:tr w:rsidR="00983F65" w:rsidRPr="00F84180" w:rsidTr="00F84180">
        <w:trPr>
          <w:trHeight w:val="1126"/>
          <w:jc w:val="center"/>
        </w:trPr>
        <w:tc>
          <w:tcPr>
            <w:tcW w:w="4280" w:type="dxa"/>
            <w:tcBorders>
              <w:bottom w:val="single" w:sz="4" w:space="0" w:color="auto"/>
            </w:tcBorders>
          </w:tcPr>
          <w:p w:rsidR="00983F65" w:rsidRPr="00F84180" w:rsidRDefault="00983F65" w:rsidP="00F84180">
            <w:pPr>
              <w:pStyle w:val="Prrafodelista"/>
              <w:numPr>
                <w:ilvl w:val="1"/>
                <w:numId w:val="7"/>
              </w:numPr>
              <w:spacing w:line="276" w:lineRule="auto"/>
              <w:ind w:left="1087" w:right="142"/>
              <w:jc w:val="both"/>
              <w:rPr>
                <w:rFonts w:eastAsia="Arial"/>
                <w:sz w:val="22"/>
                <w:szCs w:val="22"/>
              </w:rPr>
            </w:pPr>
            <w:r w:rsidRPr="00F84180">
              <w:rPr>
                <w:rFonts w:ascii="ITC Avant Garde" w:eastAsia="Arial" w:hAnsi="ITC Avant Garde" w:cs="Arial"/>
                <w:sz w:val="22"/>
                <w:szCs w:val="22"/>
              </w:rPr>
              <w:t>Definición de equipamiento para extensión de rutas.</w:t>
            </w:r>
          </w:p>
        </w:tc>
        <w:tc>
          <w:tcPr>
            <w:tcW w:w="4188" w:type="dxa"/>
            <w:tcBorders>
              <w:bottom w:val="single" w:sz="4" w:space="0" w:color="auto"/>
            </w:tcBorders>
          </w:tcPr>
          <w:p w:rsidR="00983F65" w:rsidRPr="00F84180" w:rsidRDefault="00983F65" w:rsidP="00F84180">
            <w:p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Primer trimestre de 2018.</w:t>
            </w:r>
          </w:p>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rPr>
            </w:pPr>
          </w:p>
        </w:tc>
      </w:tr>
      <w:tr w:rsidR="00983F65" w:rsidRPr="00F84180" w:rsidTr="00F84180">
        <w:trPr>
          <w:trHeight w:val="980"/>
          <w:jc w:val="center"/>
        </w:trPr>
        <w:tc>
          <w:tcPr>
            <w:tcW w:w="4280" w:type="dxa"/>
            <w:tcBorders>
              <w:bottom w:val="single" w:sz="4" w:space="0" w:color="auto"/>
            </w:tcBorders>
          </w:tcPr>
          <w:p w:rsidR="00983F65" w:rsidRPr="00F84180" w:rsidRDefault="00983F65" w:rsidP="00F84180">
            <w:pPr>
              <w:pStyle w:val="Prrafodelista"/>
              <w:numPr>
                <w:ilvl w:val="1"/>
                <w:numId w:val="7"/>
              </w:numPr>
              <w:spacing w:line="276" w:lineRule="auto"/>
              <w:ind w:left="1087" w:right="142"/>
              <w:jc w:val="both"/>
              <w:rPr>
                <w:rFonts w:ascii="ITC Avant Garde" w:eastAsia="Arial" w:hAnsi="ITC Avant Garde" w:cs="Arial"/>
                <w:sz w:val="22"/>
                <w:szCs w:val="22"/>
              </w:rPr>
            </w:pPr>
            <w:r w:rsidRPr="00F84180">
              <w:rPr>
                <w:rFonts w:ascii="ITC Avant Garde" w:eastAsia="Arial" w:hAnsi="ITC Avant Garde" w:cs="Arial"/>
                <w:sz w:val="22"/>
                <w:szCs w:val="22"/>
              </w:rPr>
              <w:t>Contratos marco para nuevas rutas y extensión de rutas.</w:t>
            </w:r>
          </w:p>
        </w:tc>
        <w:tc>
          <w:tcPr>
            <w:tcW w:w="4188" w:type="dxa"/>
            <w:tcBorders>
              <w:bottom w:val="single" w:sz="4" w:space="0" w:color="auto"/>
            </w:tcBorders>
          </w:tcPr>
          <w:p w:rsidR="00983F65" w:rsidRPr="00F84180" w:rsidRDefault="00983F65" w:rsidP="00F84180">
            <w:pPr>
              <w:spacing w:line="276" w:lineRule="auto"/>
              <w:ind w:right="142"/>
              <w:jc w:val="both"/>
              <w:rPr>
                <w:rFonts w:ascii="ITC Avant Garde" w:eastAsia="Arial" w:hAnsi="ITC Avant Garde" w:cs="Arial"/>
                <w:sz w:val="22"/>
                <w:szCs w:val="22"/>
              </w:rPr>
            </w:pPr>
            <w:r w:rsidRPr="00F84180">
              <w:rPr>
                <w:rFonts w:ascii="ITC Avant Garde" w:eastAsia="Arial" w:hAnsi="ITC Avant Garde" w:cs="Arial"/>
                <w:sz w:val="22"/>
                <w:szCs w:val="22"/>
              </w:rPr>
              <w:t>Primer trimestre de 2018.</w:t>
            </w:r>
          </w:p>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rPr>
            </w:pPr>
          </w:p>
        </w:tc>
      </w:tr>
      <w:tr w:rsidR="00983F65" w:rsidRPr="00F84180" w:rsidTr="00F84180">
        <w:trPr>
          <w:jc w:val="center"/>
        </w:trPr>
        <w:tc>
          <w:tcPr>
            <w:tcW w:w="4280" w:type="dxa"/>
            <w:tcBorders>
              <w:top w:val="single" w:sz="4" w:space="0" w:color="auto"/>
              <w:bottom w:val="single" w:sz="4" w:space="0" w:color="auto"/>
            </w:tcBorders>
          </w:tcPr>
          <w:p w:rsidR="00983F65" w:rsidRPr="00F84180" w:rsidRDefault="00983F65" w:rsidP="00F84180">
            <w:pPr>
              <w:pStyle w:val="Prrafodelista"/>
              <w:numPr>
                <w:ilvl w:val="1"/>
                <w:numId w:val="7"/>
              </w:numPr>
              <w:spacing w:line="276" w:lineRule="auto"/>
              <w:ind w:left="1087" w:right="142"/>
              <w:jc w:val="both"/>
              <w:rPr>
                <w:rFonts w:ascii="ITC Avant Garde" w:eastAsia="Arial" w:hAnsi="ITC Avant Garde" w:cs="Arial"/>
                <w:sz w:val="22"/>
                <w:szCs w:val="22"/>
              </w:rPr>
            </w:pPr>
            <w:r w:rsidRPr="00F84180">
              <w:rPr>
                <w:rFonts w:ascii="ITC Avant Garde" w:eastAsia="Arial" w:hAnsi="ITC Avant Garde" w:cs="Arial"/>
                <w:sz w:val="22"/>
                <w:szCs w:val="22"/>
              </w:rPr>
              <w:t>Publicación y comunicación de los esquemas de negocio a la industria.</w:t>
            </w:r>
          </w:p>
        </w:tc>
        <w:tc>
          <w:tcPr>
            <w:tcW w:w="4188" w:type="dxa"/>
            <w:tcBorders>
              <w:top w:val="single" w:sz="4" w:space="0" w:color="auto"/>
              <w:bottom w:val="single" w:sz="4" w:space="0" w:color="auto"/>
            </w:tcBorders>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Segundo trimestre de 2018.</w:t>
            </w:r>
          </w:p>
        </w:tc>
      </w:tr>
      <w:tr w:rsidR="00983F65" w:rsidRPr="00F84180" w:rsidTr="00F84180">
        <w:trPr>
          <w:jc w:val="center"/>
        </w:trPr>
        <w:tc>
          <w:tcPr>
            <w:tcW w:w="4280" w:type="dxa"/>
            <w:tcBorders>
              <w:top w:val="single" w:sz="4" w:space="0" w:color="auto"/>
            </w:tcBorders>
          </w:tcPr>
          <w:p w:rsidR="00983F65" w:rsidRPr="00F84180" w:rsidRDefault="00983F65" w:rsidP="00F84180">
            <w:pPr>
              <w:pStyle w:val="Prrafodelista"/>
              <w:numPr>
                <w:ilvl w:val="1"/>
                <w:numId w:val="7"/>
              </w:numPr>
              <w:spacing w:line="276" w:lineRule="auto"/>
              <w:ind w:left="1087" w:right="142"/>
              <w:jc w:val="both"/>
              <w:rPr>
                <w:rFonts w:ascii="ITC Avant Garde" w:eastAsia="Arial" w:hAnsi="ITC Avant Garde" w:cs="Arial"/>
                <w:sz w:val="22"/>
                <w:szCs w:val="22"/>
              </w:rPr>
            </w:pPr>
            <w:r w:rsidRPr="00F84180">
              <w:rPr>
                <w:rFonts w:ascii="ITC Avant Garde" w:eastAsia="Arial" w:hAnsi="ITC Avant Garde" w:cs="Arial"/>
                <w:sz w:val="22"/>
                <w:szCs w:val="22"/>
              </w:rPr>
              <w:t>Iluminación de una ruta o extensión.</w:t>
            </w:r>
          </w:p>
        </w:tc>
        <w:tc>
          <w:tcPr>
            <w:tcW w:w="4188" w:type="dxa"/>
            <w:tcBorders>
              <w:top w:val="single" w:sz="4" w:space="0" w:color="auto"/>
            </w:tcBorders>
          </w:tcPr>
          <w:p w:rsidR="00983F65" w:rsidRPr="00F84180" w:rsidRDefault="00983F65" w:rsidP="00F84180">
            <w:pPr>
              <w:tabs>
                <w:tab w:val="num" w:pos="1220"/>
                <w:tab w:val="num" w:pos="1940"/>
              </w:tabs>
              <w:spacing w:line="276" w:lineRule="auto"/>
              <w:ind w:right="616"/>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Segundo trimestre de 2018.</w:t>
            </w:r>
          </w:p>
        </w:tc>
      </w:tr>
    </w:tbl>
    <w:p w:rsidR="00F84180" w:rsidRPr="00F84180" w:rsidRDefault="00983F65" w:rsidP="00F84180">
      <w:pPr>
        <w:pStyle w:val="Prrafodelista"/>
        <w:numPr>
          <w:ilvl w:val="0"/>
          <w:numId w:val="2"/>
        </w:numPr>
        <w:spacing w:before="240" w:after="240" w:line="276" w:lineRule="auto"/>
        <w:ind w:right="49"/>
        <w:jc w:val="both"/>
        <w:rPr>
          <w:rFonts w:ascii="ITC Avant Garde" w:eastAsia="Arial" w:hAnsi="ITC Avant Garde" w:cs="Arial"/>
          <w:b/>
          <w:sz w:val="22"/>
          <w:szCs w:val="22"/>
        </w:rPr>
      </w:pPr>
      <w:r w:rsidRPr="00F84180">
        <w:rPr>
          <w:rFonts w:ascii="ITC Avant Garde" w:eastAsia="Arial" w:hAnsi="ITC Avant Garde" w:cs="Arial"/>
          <w:b/>
          <w:sz w:val="22"/>
          <w:szCs w:val="22"/>
        </w:rPr>
        <w:t>Etapa IV. Despliegue de nuevas rutas de fibra óptica.</w:t>
      </w:r>
    </w:p>
    <w:p w:rsidR="00F84180" w:rsidRPr="00F84180" w:rsidRDefault="00983F65" w:rsidP="00F84180">
      <w:pPr>
        <w:pStyle w:val="Prrafodelista"/>
        <w:spacing w:after="240" w:line="276" w:lineRule="auto"/>
        <w:ind w:left="360"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El programa considera que el inicio de la Etapa IV podría suceder antes del 2018. Para dicha </w:t>
      </w:r>
      <w:r w:rsidR="000B6164" w:rsidRPr="00F84180">
        <w:rPr>
          <w:rFonts w:ascii="ITC Avant Garde" w:eastAsia="Arial" w:hAnsi="ITC Avant Garde" w:cs="Arial"/>
          <w:sz w:val="22"/>
          <w:szCs w:val="22"/>
        </w:rPr>
        <w:t>e</w:t>
      </w:r>
      <w:r w:rsidRPr="00F84180">
        <w:rPr>
          <w:rFonts w:ascii="ITC Avant Garde" w:eastAsia="Arial" w:hAnsi="ITC Avant Garde" w:cs="Arial"/>
          <w:sz w:val="22"/>
          <w:szCs w:val="22"/>
        </w:rPr>
        <w:t>tapa Telecomunicaciones de México establec</w:t>
      </w:r>
      <w:r w:rsidR="007C4FDD" w:rsidRPr="00F84180">
        <w:rPr>
          <w:rFonts w:ascii="ITC Avant Garde" w:eastAsia="Arial" w:hAnsi="ITC Avant Garde" w:cs="Arial"/>
          <w:sz w:val="22"/>
          <w:szCs w:val="22"/>
        </w:rPr>
        <w:t>ió</w:t>
      </w:r>
      <w:r w:rsidRPr="00F84180">
        <w:rPr>
          <w:rFonts w:ascii="ITC Avant Garde" w:eastAsia="Arial" w:hAnsi="ITC Avant Garde" w:cs="Arial"/>
          <w:sz w:val="22"/>
          <w:szCs w:val="22"/>
        </w:rPr>
        <w:t xml:space="preserve"> los siguientes objetivos:</w:t>
      </w:r>
    </w:p>
    <w:p w:rsidR="00983F65" w:rsidRPr="00F84180" w:rsidRDefault="00983F65" w:rsidP="00F84180">
      <w:pPr>
        <w:pStyle w:val="Prrafodelista"/>
        <w:numPr>
          <w:ilvl w:val="0"/>
          <w:numId w:val="5"/>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Robustecer la topología de la fibra desplegada mediante el cierre de anillos de fibra óptica para redundancia.</w:t>
      </w:r>
    </w:p>
    <w:p w:rsidR="00983F65" w:rsidRPr="00F84180" w:rsidRDefault="00983F65" w:rsidP="00F84180">
      <w:pPr>
        <w:pStyle w:val="Prrafodelista"/>
        <w:numPr>
          <w:ilvl w:val="0"/>
          <w:numId w:val="5"/>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Incrementar la cobertura en rutas donde existan fallas de mercado para transporte de datos de alta capacidad.</w:t>
      </w:r>
    </w:p>
    <w:p w:rsidR="00F84180" w:rsidRPr="00F84180" w:rsidRDefault="00983F65" w:rsidP="00F84180">
      <w:pPr>
        <w:pStyle w:val="Prrafodelista"/>
        <w:numPr>
          <w:ilvl w:val="0"/>
          <w:numId w:val="5"/>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Incrementar la cantidad de nodos para el acceso y la entrega de servicios.</w:t>
      </w:r>
    </w:p>
    <w:p w:rsidR="00F84180" w:rsidRPr="00F84180" w:rsidRDefault="00983F65" w:rsidP="00F84180">
      <w:pPr>
        <w:pStyle w:val="Prrafodelista"/>
        <w:spacing w:after="240" w:line="276" w:lineRule="auto"/>
        <w:ind w:left="360"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Se señala que la Etapa IV podría iniciar antes del 2018 si se presentan proveedores interesados en invertir en el despliegue de fibra óptica, incluyendo al consorcio ganador de la Red Compartida Mayorista.</w:t>
      </w:r>
    </w:p>
    <w:p w:rsidR="00F84180" w:rsidRPr="00F84180" w:rsidRDefault="00983F65" w:rsidP="00F84180">
      <w:pPr>
        <w:pStyle w:val="Prrafodelista"/>
        <w:spacing w:after="240" w:line="276" w:lineRule="auto"/>
        <w:ind w:left="360" w:right="49"/>
        <w:jc w:val="both"/>
        <w:rPr>
          <w:rFonts w:ascii="ITC Avant Garde" w:eastAsia="Arial" w:hAnsi="ITC Avant Garde" w:cs="Arial"/>
          <w:sz w:val="22"/>
          <w:szCs w:val="22"/>
        </w:rPr>
      </w:pPr>
      <w:r w:rsidRPr="00F84180">
        <w:rPr>
          <w:rFonts w:ascii="ITC Avant Garde" w:eastAsia="Arial" w:hAnsi="ITC Avant Garde" w:cs="Arial"/>
          <w:sz w:val="22"/>
          <w:szCs w:val="22"/>
        </w:rPr>
        <w:t>Asimismo, Telecomunicaciones de México plante</w:t>
      </w:r>
      <w:r w:rsidR="007C4FDD" w:rsidRPr="00F84180">
        <w:rPr>
          <w:rFonts w:ascii="ITC Avant Garde" w:eastAsia="Arial" w:hAnsi="ITC Avant Garde" w:cs="Arial"/>
          <w:sz w:val="22"/>
          <w:szCs w:val="22"/>
        </w:rPr>
        <w:t>ó</w:t>
      </w:r>
      <w:r w:rsidRPr="00F84180">
        <w:rPr>
          <w:rFonts w:ascii="ITC Avant Garde" w:eastAsia="Arial" w:hAnsi="ITC Avant Garde" w:cs="Arial"/>
          <w:sz w:val="22"/>
          <w:szCs w:val="22"/>
        </w:rPr>
        <w:t xml:space="preserve"> las siguientes alternativas de crecimiento:</w:t>
      </w:r>
    </w:p>
    <w:p w:rsidR="00983F65" w:rsidRPr="00F84180" w:rsidRDefault="00983F65" w:rsidP="00F84180">
      <w:pPr>
        <w:pStyle w:val="Prrafodelista"/>
        <w:numPr>
          <w:ilvl w:val="0"/>
          <w:numId w:val="6"/>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Robustecimiento de la topología.</w:t>
      </w:r>
      <w:r w:rsidRPr="00F84180">
        <w:rPr>
          <w:rFonts w:ascii="ITC Avant Garde" w:eastAsia="Arial" w:hAnsi="ITC Avant Garde" w:cs="Arial"/>
          <w:sz w:val="22"/>
          <w:szCs w:val="22"/>
        </w:rPr>
        <w:t xml:space="preserve"> Considera el cierre de anillos de las rutas Ciudad de México - Ciudad Juárez y Ciudad de México – Reynosa, planteadas en la Etapa III, lo anterior mediante un despliegue de fibra óptica dentro del país, o bien mediante la contratación de un enlace en Estados Unidos de América, a la vez que se robustecerían los cruces fronterizos.</w:t>
      </w:r>
    </w:p>
    <w:p w:rsidR="00F84180" w:rsidRPr="00F84180" w:rsidRDefault="00983F65" w:rsidP="00F84180">
      <w:pPr>
        <w:pStyle w:val="Prrafodelista"/>
        <w:numPr>
          <w:ilvl w:val="0"/>
          <w:numId w:val="6"/>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Incremento de la cobertura.</w:t>
      </w:r>
      <w:r w:rsidRPr="00F84180">
        <w:rPr>
          <w:rFonts w:ascii="ITC Avant Garde" w:eastAsia="Arial" w:hAnsi="ITC Avant Garde" w:cs="Arial"/>
          <w:sz w:val="22"/>
          <w:szCs w:val="22"/>
        </w:rPr>
        <w:t xml:space="preserve"> Consiste en el despliegue de fibra óptica y equipamiento en rutas en las que se requirieran servicios de transporte de la Red Troncal Nacional.</w:t>
      </w:r>
    </w:p>
    <w:p w:rsidR="00F84180" w:rsidRPr="00F84180" w:rsidRDefault="00983F65" w:rsidP="00F84180">
      <w:pPr>
        <w:pStyle w:val="Prrafodelista"/>
        <w:numPr>
          <w:ilvl w:val="0"/>
          <w:numId w:val="6"/>
        </w:num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Incremento en el número de nodos.</w:t>
      </w:r>
      <w:r w:rsidRPr="00F84180">
        <w:rPr>
          <w:rFonts w:ascii="ITC Avant Garde" w:eastAsia="Arial" w:hAnsi="ITC Avant Garde" w:cs="Arial"/>
          <w:sz w:val="22"/>
          <w:szCs w:val="22"/>
        </w:rPr>
        <w:t xml:space="preserve"> Consiste en el aumento en el número de nodos y con ello incrementar el acceso en puntos intermedios en rutas que ya se encuentran iluminadas. Al efecto, se determinarán las localidades con mayor demanda estimada, cuyo beneficio y rentabilidad social sea mayor al instalar el nodo y conectarlo a la Red Troncal Nacional.</w:t>
      </w:r>
    </w:p>
    <w:p w:rsidR="00F84180" w:rsidRPr="00F84180" w:rsidRDefault="00983F6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Adicionalmente en el programa presentado se indica que el crecimiento de la Red Troncal Nacional podría realizarse empleando las rutas de la Comisión, así como a través del empleo de gasoductos, oleoductos, carreteras y caminos federales, estatales o municipales, e infraestructura de particulares que permitan a Telecomunicaciones de México mejoras en la topología y arquitectura de su red.</w:t>
      </w:r>
    </w:p>
    <w:p w:rsidR="00F84180" w:rsidRPr="00F84180" w:rsidRDefault="00983F6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Además, se destaca que pueden existir sinergias con el despliegue de infraestructura del desarrollador de la Red Compartida Mayorista, pudiendo existir coincidencias en las Etapas III o IV del programa, y según el plan de cobertura definido. </w:t>
      </w:r>
    </w:p>
    <w:p w:rsidR="00F84180" w:rsidRPr="00F84180" w:rsidRDefault="00983F6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Finalmente, en la Etapa IV se señala que la coordinación con la Secretaría de Comunicaciones y Transportes continuará, en lo relativo a los programas de cobertura social y de conectividad en sitios públicos.</w:t>
      </w:r>
    </w:p>
    <w:p w:rsidR="00F84180" w:rsidRPr="00F84180" w:rsidRDefault="00114695" w:rsidP="00F84180">
      <w:pPr>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b/>
          <w:sz w:val="22"/>
          <w:szCs w:val="22"/>
          <w:lang w:val="es-ES_tradnl"/>
        </w:rPr>
        <w:t>QUINTO</w:t>
      </w:r>
      <w:r w:rsidR="00A214D7" w:rsidRPr="00F84180">
        <w:rPr>
          <w:rFonts w:ascii="ITC Avant Garde" w:eastAsia="Arial" w:hAnsi="ITC Avant Garde" w:cs="Arial"/>
          <w:b/>
          <w:sz w:val="22"/>
          <w:szCs w:val="22"/>
          <w:lang w:val="es-ES_tradnl"/>
        </w:rPr>
        <w:t>.- Evaluación del Programa Trianual.</w:t>
      </w:r>
      <w:r w:rsidR="00617447" w:rsidRPr="00F84180">
        <w:rPr>
          <w:rFonts w:ascii="ITC Avant Garde" w:eastAsia="Arial" w:hAnsi="ITC Avant Garde" w:cs="Arial"/>
          <w:b/>
          <w:sz w:val="22"/>
          <w:szCs w:val="22"/>
          <w:lang w:val="es-ES_tradnl"/>
        </w:rPr>
        <w:t xml:space="preserve"> </w:t>
      </w:r>
      <w:r w:rsidRPr="00F84180">
        <w:rPr>
          <w:rFonts w:ascii="ITC Avant Garde" w:hAnsi="ITC Avant Garde"/>
          <w:sz w:val="22"/>
          <w:szCs w:val="22"/>
        </w:rPr>
        <w:t xml:space="preserve">Del análisis y evaluación del Programa Trianual presentado por Telecomunicaciones de México, se desprende que dicho </w:t>
      </w:r>
      <w:r w:rsidRPr="00F84180">
        <w:rPr>
          <w:rFonts w:ascii="ITC Avant Garde" w:hAnsi="ITC Avant Garde"/>
          <w:sz w:val="22"/>
          <w:szCs w:val="22"/>
        </w:rPr>
        <w:lastRenderedPageBreak/>
        <w:t xml:space="preserve">programa es consistente con lo establecido en el artículo Décimo Quinto Transitorio del Decreto, </w:t>
      </w:r>
      <w:r w:rsidR="0036773B" w:rsidRPr="00F84180">
        <w:rPr>
          <w:rFonts w:ascii="ITC Avant Garde" w:hAnsi="ITC Avant Garde"/>
          <w:sz w:val="22"/>
          <w:szCs w:val="22"/>
        </w:rPr>
        <w:t>en la condición</w:t>
      </w:r>
      <w:r w:rsidRPr="00F84180">
        <w:rPr>
          <w:rFonts w:ascii="ITC Avant Garde" w:hAnsi="ITC Avant Garde"/>
          <w:sz w:val="22"/>
          <w:szCs w:val="22"/>
        </w:rPr>
        <w:t xml:space="preserve"> </w:t>
      </w:r>
      <w:r w:rsidR="0036773B" w:rsidRPr="00F84180">
        <w:rPr>
          <w:rFonts w:ascii="ITC Avant Garde" w:hAnsi="ITC Avant Garde"/>
          <w:sz w:val="22"/>
          <w:szCs w:val="22"/>
        </w:rPr>
        <w:t xml:space="preserve">8.3 </w:t>
      </w:r>
      <w:r w:rsidRPr="00F84180">
        <w:rPr>
          <w:rFonts w:ascii="ITC Avant Garde" w:hAnsi="ITC Avant Garde"/>
          <w:sz w:val="22"/>
          <w:szCs w:val="22"/>
        </w:rPr>
        <w:t xml:space="preserve">de su </w:t>
      </w:r>
      <w:r w:rsidR="005A2EDB" w:rsidRPr="00F84180">
        <w:rPr>
          <w:rFonts w:ascii="ITC Avant Garde" w:hAnsi="ITC Avant Garde"/>
          <w:sz w:val="22"/>
          <w:szCs w:val="22"/>
        </w:rPr>
        <w:t>T</w:t>
      </w:r>
      <w:r w:rsidRPr="00F84180">
        <w:rPr>
          <w:rFonts w:ascii="ITC Avant Garde" w:hAnsi="ITC Avant Garde"/>
          <w:sz w:val="22"/>
          <w:szCs w:val="22"/>
        </w:rPr>
        <w:t xml:space="preserve">ítulo de </w:t>
      </w:r>
      <w:r w:rsidR="005A2EDB" w:rsidRPr="00F84180">
        <w:rPr>
          <w:rFonts w:ascii="ITC Avant Garde" w:hAnsi="ITC Avant Garde"/>
          <w:sz w:val="22"/>
          <w:szCs w:val="22"/>
        </w:rPr>
        <w:t>C</w:t>
      </w:r>
      <w:r w:rsidRPr="00F84180">
        <w:rPr>
          <w:rFonts w:ascii="ITC Avant Garde" w:hAnsi="ITC Avant Garde"/>
          <w:sz w:val="22"/>
          <w:szCs w:val="22"/>
        </w:rPr>
        <w:t xml:space="preserve">oncesión, y en los Lineamientos, en lo relativo </w:t>
      </w:r>
      <w:r w:rsidR="0036773B" w:rsidRPr="00F84180">
        <w:rPr>
          <w:rFonts w:ascii="ITC Avant Garde" w:hAnsi="ITC Avant Garde"/>
          <w:sz w:val="22"/>
          <w:szCs w:val="22"/>
        </w:rPr>
        <w:t xml:space="preserve">a </w:t>
      </w:r>
      <w:r w:rsidRPr="00F84180">
        <w:rPr>
          <w:rFonts w:ascii="ITC Avant Garde" w:eastAsia="Arial" w:hAnsi="ITC Avant Garde" w:cs="Arial"/>
          <w:sz w:val="22"/>
          <w:szCs w:val="22"/>
          <w:lang w:val="es-ES_tradnl"/>
        </w:rPr>
        <w:t>la construcción y el crecimiento de una robusta red troncal de telecomunicaciones de cobertura nacional.</w:t>
      </w:r>
    </w:p>
    <w:p w:rsidR="00114695" w:rsidRPr="00F84180" w:rsidRDefault="00114695" w:rsidP="00F84180">
      <w:pPr>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 xml:space="preserve">Las cuatro etapas del Programa Trianual permiten transitar de un modelo de operación de corto plazo donde se aprovecha la infraestructura disponible por parte de la Comisión y Telecomunicaciones de México, hacia un modelo de operación de largo plazo donde incluso a través de mecanismos de coinversión, se despliegan kilómetros de fibra óptica y se instalan puntos de presencia que cumplen al menos con </w:t>
      </w:r>
      <w:r w:rsidR="005A2EDB" w:rsidRPr="00F84180">
        <w:rPr>
          <w:rFonts w:ascii="ITC Avant Garde" w:eastAsia="Arial" w:hAnsi="ITC Avant Garde" w:cs="Arial"/>
          <w:sz w:val="22"/>
          <w:szCs w:val="22"/>
          <w:lang w:val="es-ES_tradnl"/>
        </w:rPr>
        <w:t xml:space="preserve">las directrices y </w:t>
      </w:r>
      <w:r w:rsidRPr="00F84180">
        <w:rPr>
          <w:rFonts w:ascii="ITC Avant Garde" w:eastAsia="Arial" w:hAnsi="ITC Avant Garde" w:cs="Arial"/>
          <w:sz w:val="22"/>
          <w:szCs w:val="22"/>
          <w:lang w:val="es-ES_tradnl"/>
        </w:rPr>
        <w:t>parámetros de calidad establecidos en los Lineamientos.</w:t>
      </w:r>
    </w:p>
    <w:p w:rsidR="00F84180" w:rsidRPr="00F84180" w:rsidRDefault="00EE79ED"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De conformidad con </w:t>
      </w:r>
      <w:r w:rsidR="00114695" w:rsidRPr="00F84180">
        <w:rPr>
          <w:rFonts w:ascii="ITC Avant Garde" w:eastAsia="Arial" w:hAnsi="ITC Avant Garde" w:cs="Arial"/>
          <w:sz w:val="22"/>
          <w:szCs w:val="22"/>
        </w:rPr>
        <w:t xml:space="preserve">la </w:t>
      </w:r>
      <w:r w:rsidR="00751913"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tapa III del programa presentado</w:t>
      </w:r>
      <w:r w:rsidRPr="00F84180">
        <w:rPr>
          <w:rFonts w:ascii="ITC Avant Garde" w:eastAsia="Arial" w:hAnsi="ITC Avant Garde" w:cs="Arial"/>
          <w:sz w:val="22"/>
          <w:szCs w:val="22"/>
        </w:rPr>
        <w:t>, se implementarán</w:t>
      </w:r>
      <w:r w:rsidR="00114695" w:rsidRPr="00F84180">
        <w:rPr>
          <w:rFonts w:ascii="ITC Avant Garde" w:eastAsia="Arial" w:hAnsi="ITC Avant Garde" w:cs="Arial"/>
          <w:sz w:val="22"/>
          <w:szCs w:val="22"/>
        </w:rPr>
        <w:t xml:space="preserve"> mecanismos concretos de crecimiento y expansión de la </w:t>
      </w:r>
      <w:r w:rsidR="00751913" w:rsidRPr="00F84180">
        <w:rPr>
          <w:rFonts w:ascii="ITC Avant Garde" w:eastAsia="Arial" w:hAnsi="ITC Avant Garde" w:cs="Arial"/>
          <w:sz w:val="22"/>
          <w:szCs w:val="22"/>
        </w:rPr>
        <w:t>R</w:t>
      </w:r>
      <w:r w:rsidR="00114695" w:rsidRPr="00F84180">
        <w:rPr>
          <w:rFonts w:ascii="ITC Avant Garde" w:eastAsia="Arial" w:hAnsi="ITC Avant Garde" w:cs="Arial"/>
          <w:sz w:val="22"/>
          <w:szCs w:val="22"/>
        </w:rPr>
        <w:t xml:space="preserve">ed </w:t>
      </w:r>
      <w:r w:rsidR="00751913" w:rsidRPr="00F84180">
        <w:rPr>
          <w:rFonts w:ascii="ITC Avant Garde" w:eastAsia="Arial" w:hAnsi="ITC Avant Garde" w:cs="Arial"/>
          <w:sz w:val="22"/>
          <w:szCs w:val="22"/>
        </w:rPr>
        <w:t>T</w:t>
      </w:r>
      <w:r w:rsidR="00114695" w:rsidRPr="00F84180">
        <w:rPr>
          <w:rFonts w:ascii="ITC Avant Garde" w:eastAsia="Arial" w:hAnsi="ITC Avant Garde" w:cs="Arial"/>
          <w:sz w:val="22"/>
          <w:szCs w:val="22"/>
        </w:rPr>
        <w:t xml:space="preserve">roncal </w:t>
      </w:r>
      <w:r w:rsidR="00514CF2" w:rsidRPr="00F84180">
        <w:rPr>
          <w:rFonts w:ascii="ITC Avant Garde" w:eastAsia="Arial" w:hAnsi="ITC Avant Garde" w:cs="Arial"/>
          <w:sz w:val="22"/>
          <w:szCs w:val="22"/>
        </w:rPr>
        <w:t xml:space="preserve">Nacional </w:t>
      </w:r>
      <w:r w:rsidR="00114695" w:rsidRPr="00F84180">
        <w:rPr>
          <w:rFonts w:ascii="ITC Avant Garde" w:eastAsia="Arial" w:hAnsi="ITC Avant Garde" w:cs="Arial"/>
          <w:sz w:val="22"/>
          <w:szCs w:val="22"/>
        </w:rPr>
        <w:t>mediante dos posibilidades</w:t>
      </w:r>
      <w:r w:rsidRPr="00F84180">
        <w:rPr>
          <w:rFonts w:ascii="ITC Avant Garde" w:eastAsia="Arial" w:hAnsi="ITC Avant Garde" w:cs="Arial"/>
          <w:sz w:val="22"/>
          <w:szCs w:val="22"/>
        </w:rPr>
        <w:t>:</w:t>
      </w:r>
      <w:r w:rsidR="00114695" w:rsidRPr="00F84180">
        <w:rPr>
          <w:rFonts w:ascii="ITC Avant Garde" w:eastAsia="Arial" w:hAnsi="ITC Avant Garde" w:cs="Arial"/>
          <w:sz w:val="22"/>
          <w:szCs w:val="22"/>
        </w:rPr>
        <w:t xml:space="preserve"> una mediante un esquema APP y otra sin el esquema APP. </w:t>
      </w:r>
    </w:p>
    <w:p w:rsidR="00F84180" w:rsidRPr="00F84180" w:rsidRDefault="00566C1A"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De la misma forma y en consistencia con el artículo 15 de los Lineamientos, el programa en su</w:t>
      </w:r>
      <w:r w:rsidR="00114695" w:rsidRPr="00F84180">
        <w:rPr>
          <w:rFonts w:ascii="ITC Avant Garde" w:eastAsia="Arial" w:hAnsi="ITC Avant Garde" w:cs="Arial"/>
          <w:sz w:val="22"/>
          <w:szCs w:val="22"/>
        </w:rPr>
        <w:t xml:space="preserve"> </w:t>
      </w:r>
      <w:r w:rsidR="002B621B"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tapa III ofrece el detalle de los puntos de presencia a los que</w:t>
      </w:r>
      <w:r w:rsidRPr="00F84180">
        <w:rPr>
          <w:rFonts w:ascii="ITC Avant Garde" w:eastAsia="Arial" w:hAnsi="ITC Avant Garde" w:cs="Arial"/>
          <w:sz w:val="22"/>
          <w:szCs w:val="22"/>
        </w:rPr>
        <w:t xml:space="preserve"> </w:t>
      </w:r>
      <w:r w:rsidR="00114695" w:rsidRPr="00F84180">
        <w:rPr>
          <w:rFonts w:ascii="ITC Avant Garde" w:eastAsia="Arial" w:hAnsi="ITC Avant Garde" w:cs="Arial"/>
          <w:sz w:val="22"/>
          <w:szCs w:val="22"/>
        </w:rPr>
        <w:t xml:space="preserve">podrían tener acceso los prestadores de servicios de telecomunicaciones, </w:t>
      </w:r>
      <w:r w:rsidRPr="00F84180">
        <w:rPr>
          <w:rFonts w:ascii="ITC Avant Garde" w:eastAsia="Arial" w:hAnsi="ITC Avant Garde" w:cs="Arial"/>
          <w:sz w:val="22"/>
          <w:szCs w:val="22"/>
        </w:rPr>
        <w:t>en los siguientes términos</w:t>
      </w:r>
      <w:r w:rsidR="00114695" w:rsidRPr="00F84180">
        <w:rPr>
          <w:rFonts w:ascii="ITC Avant Garde" w:eastAsia="Arial" w:hAnsi="ITC Avant Garde" w:cs="Arial"/>
          <w:sz w:val="22"/>
          <w:szCs w:val="22"/>
        </w:rPr>
        <w:t>:</w:t>
      </w:r>
    </w:p>
    <w:p w:rsidR="00114695" w:rsidRPr="00F84180" w:rsidRDefault="00114695" w:rsidP="00F84180">
      <w:pPr>
        <w:pStyle w:val="Cita"/>
        <w:spacing w:after="240"/>
        <w:jc w:val="both"/>
        <w:rPr>
          <w:rFonts w:ascii="ITC Avant Garde" w:eastAsia="Arial" w:hAnsi="ITC Avant Garde"/>
          <w:i w:val="0"/>
          <w:color w:val="auto"/>
          <w:sz w:val="20"/>
        </w:rPr>
      </w:pPr>
      <w:r w:rsidRPr="00F84180">
        <w:rPr>
          <w:rFonts w:ascii="ITC Avant Garde" w:eastAsia="Arial" w:hAnsi="ITC Avant Garde"/>
          <w:i w:val="0"/>
          <w:color w:val="auto"/>
          <w:sz w:val="20"/>
        </w:rPr>
        <w:t>“[…]</w:t>
      </w:r>
    </w:p>
    <w:p w:rsidR="00114695" w:rsidRPr="00F84180" w:rsidRDefault="00114695" w:rsidP="00F84180">
      <w:pPr>
        <w:pStyle w:val="Cita"/>
        <w:spacing w:after="240"/>
        <w:jc w:val="both"/>
        <w:rPr>
          <w:rFonts w:ascii="ITC Avant Garde" w:eastAsia="Arial" w:hAnsi="ITC Avant Garde"/>
          <w:i w:val="0"/>
          <w:color w:val="auto"/>
          <w:sz w:val="20"/>
        </w:rPr>
      </w:pPr>
      <w:r w:rsidRPr="00F84180">
        <w:rPr>
          <w:rFonts w:ascii="ITC Avant Garde" w:eastAsia="Arial" w:hAnsi="ITC Avant Garde"/>
          <w:i w:val="0"/>
          <w:color w:val="auto"/>
          <w:sz w:val="20"/>
        </w:rPr>
        <w:t>Se tiene planeado a lo largo de esta etapa aumentar los puntos de demarcación u hoteles de interconexión en al menos 35</w:t>
      </w:r>
      <w:r w:rsidRPr="00F84180">
        <w:rPr>
          <w:rStyle w:val="Refdenotaalpie"/>
          <w:rFonts w:ascii="ITC Avant Garde" w:eastAsia="Arial" w:hAnsi="ITC Avant Garde"/>
          <w:i w:val="0"/>
          <w:color w:val="auto"/>
        </w:rPr>
        <w:footnoteReference w:id="14"/>
      </w:r>
      <w:r w:rsidRPr="00F84180">
        <w:rPr>
          <w:rFonts w:ascii="ITC Avant Garde" w:eastAsia="Arial" w:hAnsi="ITC Avant Garde"/>
          <w:i w:val="0"/>
          <w:color w:val="auto"/>
          <w:sz w:val="20"/>
        </w:rPr>
        <w:t xml:space="preserve"> puntos adicionales para completar 150</w:t>
      </w:r>
      <w:r w:rsidRPr="00F84180">
        <w:rPr>
          <w:rStyle w:val="Refdenotaalpie"/>
          <w:rFonts w:ascii="ITC Avant Garde" w:eastAsia="Arial" w:hAnsi="ITC Avant Garde"/>
          <w:i w:val="0"/>
          <w:color w:val="auto"/>
        </w:rPr>
        <w:footnoteReference w:id="15"/>
      </w:r>
      <w:r w:rsidRPr="00F84180">
        <w:rPr>
          <w:rFonts w:ascii="ITC Avant Garde" w:eastAsia="Arial" w:hAnsi="ITC Avant Garde"/>
          <w:i w:val="0"/>
          <w:color w:val="auto"/>
          <w:sz w:val="20"/>
        </w:rPr>
        <w:t xml:space="preserve"> hoteles funcionales en las rutas de la Red Troncal, de conformidad con lo señalado en el artículo 15 de los Lineamientos y con la condición 8.1 del Título de Concesión de TELECOMM.</w:t>
      </w:r>
    </w:p>
    <w:p w:rsidR="00F84180" w:rsidRPr="00F84180" w:rsidRDefault="00114695" w:rsidP="00F84180">
      <w:pPr>
        <w:pStyle w:val="Cita"/>
        <w:spacing w:after="240"/>
        <w:jc w:val="both"/>
        <w:rPr>
          <w:rFonts w:ascii="ITC Avant Garde" w:eastAsia="Arial" w:hAnsi="ITC Avant Garde"/>
          <w:i w:val="0"/>
          <w:color w:val="auto"/>
          <w:sz w:val="20"/>
        </w:rPr>
      </w:pPr>
      <w:r w:rsidRPr="00F84180">
        <w:rPr>
          <w:rFonts w:ascii="ITC Avant Garde" w:eastAsia="Arial" w:hAnsi="ITC Avant Garde"/>
          <w:i w:val="0"/>
          <w:color w:val="auto"/>
          <w:sz w:val="20"/>
        </w:rPr>
        <w:t>[…]”</w:t>
      </w:r>
    </w:p>
    <w:p w:rsidR="00F84180" w:rsidRPr="00F84180" w:rsidRDefault="0011469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Al respecto, se resalta que la instalación de los 35 hoteles adicionales obedece al esquema sin APP, y mediante la opción del e</w:t>
      </w:r>
      <w:r w:rsidR="00566C1A" w:rsidRPr="00F84180">
        <w:rPr>
          <w:rFonts w:ascii="ITC Avant Garde" w:eastAsia="Arial" w:hAnsi="ITC Avant Garde" w:cs="Arial"/>
          <w:sz w:val="22"/>
          <w:szCs w:val="22"/>
        </w:rPr>
        <w:t>squema de APP se establecerá dicha cifra</w:t>
      </w:r>
      <w:r w:rsidRPr="00F84180">
        <w:rPr>
          <w:rFonts w:ascii="ITC Avant Garde" w:eastAsia="Arial" w:hAnsi="ITC Avant Garde" w:cs="Arial"/>
          <w:sz w:val="22"/>
          <w:szCs w:val="22"/>
        </w:rPr>
        <w:t xml:space="preserve"> </w:t>
      </w:r>
      <w:r w:rsidR="00566C1A" w:rsidRPr="00F84180">
        <w:rPr>
          <w:rFonts w:ascii="ITC Avant Garde" w:eastAsia="Arial" w:hAnsi="ITC Avant Garde" w:cs="Arial"/>
          <w:sz w:val="22"/>
          <w:szCs w:val="22"/>
        </w:rPr>
        <w:t xml:space="preserve">como una </w:t>
      </w:r>
      <w:r w:rsidRPr="00F84180">
        <w:rPr>
          <w:rFonts w:ascii="ITC Avant Garde" w:eastAsia="Arial" w:hAnsi="ITC Avant Garde" w:cs="Arial"/>
          <w:sz w:val="22"/>
          <w:szCs w:val="22"/>
        </w:rPr>
        <w:t>condición mínima</w:t>
      </w:r>
      <w:r w:rsidR="00566C1A" w:rsidRPr="00F84180">
        <w:rPr>
          <w:rFonts w:ascii="ITC Avant Garde" w:eastAsia="Arial" w:hAnsi="ITC Avant Garde" w:cs="Arial"/>
          <w:sz w:val="22"/>
          <w:szCs w:val="22"/>
        </w:rPr>
        <w:t>,</w:t>
      </w:r>
      <w:r w:rsidRPr="00F84180">
        <w:rPr>
          <w:rFonts w:ascii="ITC Avant Garde" w:eastAsia="Arial" w:hAnsi="ITC Avant Garde" w:cs="Arial"/>
          <w:sz w:val="22"/>
          <w:szCs w:val="22"/>
        </w:rPr>
        <w:t xml:space="preserve"> de tal forma que existe la posibilidad </w:t>
      </w:r>
      <w:r w:rsidR="00566C1A" w:rsidRPr="00F84180">
        <w:rPr>
          <w:rFonts w:ascii="ITC Avant Garde" w:eastAsia="Arial" w:hAnsi="ITC Avant Garde" w:cs="Arial"/>
          <w:sz w:val="22"/>
          <w:szCs w:val="22"/>
        </w:rPr>
        <w:t>de superar</w:t>
      </w:r>
      <w:r w:rsidRPr="00F84180">
        <w:rPr>
          <w:rFonts w:ascii="ITC Avant Garde" w:eastAsia="Arial" w:hAnsi="ITC Avant Garde" w:cs="Arial"/>
          <w:sz w:val="22"/>
          <w:szCs w:val="22"/>
        </w:rPr>
        <w:t xml:space="preserve"> </w:t>
      </w:r>
      <w:r w:rsidR="00566C1A" w:rsidRPr="00F84180">
        <w:rPr>
          <w:rFonts w:ascii="ITC Avant Garde" w:eastAsia="Arial" w:hAnsi="ITC Avant Garde" w:cs="Arial"/>
          <w:sz w:val="22"/>
          <w:szCs w:val="22"/>
        </w:rPr>
        <w:t>esta</w:t>
      </w:r>
      <w:r w:rsidRPr="00F84180">
        <w:rPr>
          <w:rFonts w:ascii="ITC Avant Garde" w:eastAsia="Arial" w:hAnsi="ITC Avant Garde" w:cs="Arial"/>
          <w:sz w:val="22"/>
          <w:szCs w:val="22"/>
        </w:rPr>
        <w:t xml:space="preserve"> cantidad de hoteles de interconexión.</w:t>
      </w:r>
    </w:p>
    <w:p w:rsidR="00114695" w:rsidRPr="00F84180" w:rsidRDefault="00196AF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lastRenderedPageBreak/>
        <w:t>Adicionalmente</w:t>
      </w:r>
      <w:r w:rsidR="00114695" w:rsidRPr="00F84180">
        <w:rPr>
          <w:rFonts w:ascii="ITC Avant Garde" w:eastAsia="Arial" w:hAnsi="ITC Avant Garde" w:cs="Arial"/>
          <w:sz w:val="22"/>
          <w:szCs w:val="22"/>
        </w:rPr>
        <w:t xml:space="preserve">, en la </w:t>
      </w:r>
      <w:r w:rsidR="002B621B"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 xml:space="preserve">tapa III </w:t>
      </w:r>
      <w:r w:rsidRPr="00F84180">
        <w:rPr>
          <w:rFonts w:ascii="ITC Avant Garde" w:eastAsia="Arial" w:hAnsi="ITC Avant Garde" w:cs="Arial"/>
          <w:sz w:val="22"/>
          <w:szCs w:val="22"/>
        </w:rPr>
        <w:t>d</w:t>
      </w:r>
      <w:r w:rsidR="00114695" w:rsidRPr="00F84180">
        <w:rPr>
          <w:rFonts w:ascii="ITC Avant Garde" w:eastAsia="Arial" w:hAnsi="ITC Avant Garde" w:cs="Arial"/>
          <w:sz w:val="22"/>
          <w:szCs w:val="22"/>
        </w:rPr>
        <w:t xml:space="preserve">el programa </w:t>
      </w:r>
      <w:r w:rsidRPr="00F84180">
        <w:rPr>
          <w:rFonts w:ascii="ITC Avant Garde" w:eastAsia="Arial" w:hAnsi="ITC Avant Garde" w:cs="Arial"/>
          <w:sz w:val="22"/>
          <w:szCs w:val="22"/>
        </w:rPr>
        <w:t xml:space="preserve">se </w:t>
      </w:r>
      <w:r w:rsidR="00114695" w:rsidRPr="00F84180">
        <w:rPr>
          <w:rFonts w:ascii="ITC Avant Garde" w:eastAsia="Arial" w:hAnsi="ITC Avant Garde" w:cs="Arial"/>
          <w:sz w:val="22"/>
          <w:szCs w:val="22"/>
        </w:rPr>
        <w:t xml:space="preserve">especifica los kilómetros de fibra óptica a desplegarse para la </w:t>
      </w:r>
      <w:r w:rsidR="002B621B" w:rsidRPr="00F84180">
        <w:rPr>
          <w:rFonts w:ascii="ITC Avant Garde" w:eastAsia="Arial" w:hAnsi="ITC Avant Garde" w:cs="Arial"/>
          <w:sz w:val="22"/>
          <w:szCs w:val="22"/>
        </w:rPr>
        <w:t>R</w:t>
      </w:r>
      <w:r w:rsidR="00114695" w:rsidRPr="00F84180">
        <w:rPr>
          <w:rFonts w:ascii="ITC Avant Garde" w:eastAsia="Arial" w:hAnsi="ITC Avant Garde" w:cs="Arial"/>
          <w:sz w:val="22"/>
          <w:szCs w:val="22"/>
        </w:rPr>
        <w:t xml:space="preserve">ed </w:t>
      </w:r>
      <w:r w:rsidR="002B621B" w:rsidRPr="00F84180">
        <w:rPr>
          <w:rFonts w:ascii="ITC Avant Garde" w:eastAsia="Arial" w:hAnsi="ITC Avant Garde" w:cs="Arial"/>
          <w:sz w:val="22"/>
          <w:szCs w:val="22"/>
        </w:rPr>
        <w:t>T</w:t>
      </w:r>
      <w:r w:rsidR="00114695" w:rsidRPr="00F84180">
        <w:rPr>
          <w:rFonts w:ascii="ITC Avant Garde" w:eastAsia="Arial" w:hAnsi="ITC Avant Garde" w:cs="Arial"/>
          <w:sz w:val="22"/>
          <w:szCs w:val="22"/>
        </w:rPr>
        <w:t>roncal</w:t>
      </w:r>
      <w:r w:rsidR="003B24EC" w:rsidRPr="00F84180">
        <w:rPr>
          <w:rFonts w:ascii="ITC Avant Garde" w:eastAsia="Arial" w:hAnsi="ITC Avant Garde" w:cs="Arial"/>
          <w:sz w:val="22"/>
          <w:szCs w:val="22"/>
        </w:rPr>
        <w:t xml:space="preserve"> Nacional</w:t>
      </w:r>
      <w:r w:rsidR="00114695" w:rsidRPr="00F84180">
        <w:rPr>
          <w:rFonts w:ascii="ITC Avant Garde" w:eastAsia="Arial" w:hAnsi="ITC Avant Garde" w:cs="Arial"/>
          <w:sz w:val="22"/>
          <w:szCs w:val="22"/>
        </w:rPr>
        <w:t>. Al respecto se señala:</w:t>
      </w:r>
    </w:p>
    <w:p w:rsidR="00114695" w:rsidRPr="00F84180" w:rsidRDefault="00114695" w:rsidP="00F84180">
      <w:pPr>
        <w:pStyle w:val="Cita"/>
        <w:spacing w:after="240"/>
        <w:jc w:val="both"/>
        <w:rPr>
          <w:rFonts w:ascii="ITC Avant Garde" w:eastAsia="Arial" w:hAnsi="ITC Avant Garde"/>
          <w:i w:val="0"/>
          <w:color w:val="auto"/>
          <w:sz w:val="20"/>
        </w:rPr>
      </w:pPr>
      <w:r w:rsidRPr="00F84180">
        <w:rPr>
          <w:rFonts w:ascii="ITC Avant Garde" w:eastAsia="Arial" w:hAnsi="ITC Avant Garde"/>
          <w:i w:val="0"/>
          <w:color w:val="auto"/>
          <w:sz w:val="20"/>
        </w:rPr>
        <w:t>“[…] se cumplirá con la meta de completar o ampliar, en su caso, las rutas en al menos un 30% de los kilómetros sin disponibilidad, por lo que se estarían tendiendo al menos 2100</w:t>
      </w:r>
      <w:r w:rsidRPr="00F84180">
        <w:rPr>
          <w:rStyle w:val="Refdenotaalpie"/>
          <w:rFonts w:ascii="ITC Avant Garde" w:eastAsia="Arial" w:hAnsi="ITC Avant Garde"/>
          <w:i w:val="0"/>
          <w:color w:val="auto"/>
        </w:rPr>
        <w:footnoteReference w:id="16"/>
      </w:r>
      <w:r w:rsidRPr="00F84180">
        <w:rPr>
          <w:rFonts w:ascii="ITC Avant Garde" w:eastAsia="Arial" w:hAnsi="ITC Avant Garde"/>
          <w:i w:val="0"/>
          <w:color w:val="auto"/>
          <w:sz w:val="20"/>
        </w:rPr>
        <w:t xml:space="preserve"> km para completar las rutas que conforman actualmente la Red Troncal.</w:t>
      </w:r>
    </w:p>
    <w:p w:rsidR="00114695" w:rsidRPr="00F84180" w:rsidRDefault="00114695" w:rsidP="00F84180">
      <w:pPr>
        <w:pStyle w:val="Cita"/>
        <w:spacing w:after="240"/>
        <w:jc w:val="both"/>
        <w:rPr>
          <w:rFonts w:ascii="ITC Avant Garde" w:eastAsia="Arial" w:hAnsi="ITC Avant Garde"/>
          <w:i w:val="0"/>
          <w:color w:val="auto"/>
          <w:sz w:val="20"/>
        </w:rPr>
      </w:pPr>
      <w:r w:rsidRPr="00F84180">
        <w:rPr>
          <w:rFonts w:ascii="ITC Avant Garde" w:eastAsia="Arial" w:hAnsi="ITC Avant Garde"/>
          <w:i w:val="0"/>
          <w:color w:val="auto"/>
          <w:sz w:val="20"/>
        </w:rPr>
        <w:t>[...]”</w:t>
      </w:r>
    </w:p>
    <w:p w:rsidR="00114695" w:rsidRPr="00F84180" w:rsidRDefault="00196AF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S</w:t>
      </w:r>
      <w:r w:rsidR="00114695" w:rsidRPr="00F84180">
        <w:rPr>
          <w:rFonts w:ascii="ITC Avant Garde" w:eastAsia="Arial" w:hAnsi="ITC Avant Garde" w:cs="Arial"/>
          <w:sz w:val="22"/>
          <w:szCs w:val="22"/>
        </w:rPr>
        <w:t>e resalta que el despliegue de los 2</w:t>
      </w:r>
      <w:r w:rsidR="00AB6B6A" w:rsidRPr="00F84180">
        <w:rPr>
          <w:rFonts w:ascii="ITC Avant Garde" w:eastAsia="Arial" w:hAnsi="ITC Avant Garde" w:cs="Arial"/>
          <w:sz w:val="22"/>
          <w:szCs w:val="22"/>
        </w:rPr>
        <w:t>,</w:t>
      </w:r>
      <w:r w:rsidR="00114695" w:rsidRPr="00F84180">
        <w:rPr>
          <w:rFonts w:ascii="ITC Avant Garde" w:eastAsia="Arial" w:hAnsi="ITC Avant Garde" w:cs="Arial"/>
          <w:sz w:val="22"/>
          <w:szCs w:val="22"/>
        </w:rPr>
        <w:t>100 k</w:t>
      </w:r>
      <w:r w:rsidR="001C06C6" w:rsidRPr="00F84180">
        <w:rPr>
          <w:rFonts w:ascii="ITC Avant Garde" w:eastAsia="Arial" w:hAnsi="ITC Avant Garde" w:cs="Arial"/>
          <w:sz w:val="22"/>
          <w:szCs w:val="22"/>
        </w:rPr>
        <w:t>iló</w:t>
      </w:r>
      <w:r w:rsidR="00114695" w:rsidRPr="00F84180">
        <w:rPr>
          <w:rFonts w:ascii="ITC Avant Garde" w:eastAsia="Arial" w:hAnsi="ITC Avant Garde" w:cs="Arial"/>
          <w:sz w:val="22"/>
          <w:szCs w:val="22"/>
        </w:rPr>
        <w:t>m</w:t>
      </w:r>
      <w:r w:rsidR="001C06C6" w:rsidRPr="00F84180">
        <w:rPr>
          <w:rFonts w:ascii="ITC Avant Garde" w:eastAsia="Arial" w:hAnsi="ITC Avant Garde" w:cs="Arial"/>
          <w:sz w:val="22"/>
          <w:szCs w:val="22"/>
        </w:rPr>
        <w:t>etros</w:t>
      </w:r>
      <w:r w:rsidR="00114695" w:rsidRPr="00F84180">
        <w:rPr>
          <w:rFonts w:ascii="ITC Avant Garde" w:eastAsia="Arial" w:hAnsi="ITC Avant Garde" w:cs="Arial"/>
          <w:sz w:val="22"/>
          <w:szCs w:val="22"/>
        </w:rPr>
        <w:t xml:space="preserve"> de fibra óptica obedece al esquema sin APP, y mediante la opción del esquema de APP se establecerá tal condición como mínima.</w:t>
      </w:r>
    </w:p>
    <w:p w:rsidR="00F84180" w:rsidRPr="00F84180" w:rsidRDefault="00196AF5"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El programa establece</w:t>
      </w:r>
      <w:r w:rsidR="00114695" w:rsidRPr="00F84180">
        <w:rPr>
          <w:rFonts w:ascii="ITC Avant Garde" w:eastAsia="Arial" w:hAnsi="ITC Avant Garde" w:cs="Arial"/>
          <w:sz w:val="22"/>
          <w:szCs w:val="22"/>
        </w:rPr>
        <w:t xml:space="preserve"> que mediante el esquema sin APP, los ingresos de Telecomunicaciones de México serán empleados en el robustecimiento de la topología del tendido de fibra, el incremento de cobertura en rutas en las que existan fallas de mercado</w:t>
      </w:r>
      <w:r w:rsidRPr="00F84180">
        <w:rPr>
          <w:rFonts w:ascii="ITC Avant Garde" w:eastAsia="Arial" w:hAnsi="ITC Avant Garde" w:cs="Arial"/>
          <w:sz w:val="22"/>
          <w:szCs w:val="22"/>
        </w:rPr>
        <w:t xml:space="preserve"> y</w:t>
      </w:r>
      <w:r w:rsidR="00114695" w:rsidRPr="00F84180">
        <w:rPr>
          <w:rFonts w:ascii="ITC Avant Garde" w:eastAsia="Arial" w:hAnsi="ITC Avant Garde" w:cs="Arial"/>
          <w:sz w:val="22"/>
          <w:szCs w:val="22"/>
        </w:rPr>
        <w:t xml:space="preserve"> e</w:t>
      </w:r>
      <w:r w:rsidRPr="00F84180">
        <w:rPr>
          <w:rFonts w:ascii="ITC Avant Garde" w:eastAsia="Arial" w:hAnsi="ITC Avant Garde" w:cs="Arial"/>
          <w:sz w:val="22"/>
          <w:szCs w:val="22"/>
        </w:rPr>
        <w:t>l</w:t>
      </w:r>
      <w:r w:rsidR="00114695" w:rsidRPr="00F84180">
        <w:rPr>
          <w:rFonts w:ascii="ITC Avant Garde" w:eastAsia="Arial" w:hAnsi="ITC Avant Garde" w:cs="Arial"/>
          <w:sz w:val="22"/>
          <w:szCs w:val="22"/>
        </w:rPr>
        <w:t xml:space="preserve"> incremento en el número de nodos </w:t>
      </w:r>
      <w:r w:rsidRPr="00F84180">
        <w:rPr>
          <w:rFonts w:ascii="ITC Avant Garde" w:eastAsia="Arial" w:hAnsi="ITC Avant Garde" w:cs="Arial"/>
          <w:sz w:val="22"/>
          <w:szCs w:val="22"/>
        </w:rPr>
        <w:t>de acceso y entrega, lo cual se encuentra alineado</w:t>
      </w:r>
      <w:r w:rsidR="00543355" w:rsidRPr="00F84180">
        <w:rPr>
          <w:rFonts w:ascii="ITC Avant Garde" w:eastAsia="Arial" w:hAnsi="ITC Avant Garde" w:cs="Arial"/>
          <w:sz w:val="22"/>
          <w:szCs w:val="22"/>
        </w:rPr>
        <w:t xml:space="preserve"> con </w:t>
      </w:r>
      <w:r w:rsidR="00114695" w:rsidRPr="00F84180">
        <w:rPr>
          <w:rFonts w:ascii="ITC Avant Garde" w:eastAsia="Arial" w:hAnsi="ITC Avant Garde" w:cs="Arial"/>
          <w:sz w:val="22"/>
          <w:szCs w:val="22"/>
        </w:rPr>
        <w:t>la construcción y crecimiento de la Red Troncal</w:t>
      </w:r>
      <w:r w:rsidR="00543355" w:rsidRPr="00F84180">
        <w:rPr>
          <w:rFonts w:ascii="ITC Avant Garde" w:eastAsia="Arial" w:hAnsi="ITC Avant Garde" w:cs="Arial"/>
          <w:sz w:val="22"/>
          <w:szCs w:val="22"/>
        </w:rPr>
        <w:t xml:space="preserve"> Nacional</w:t>
      </w:r>
      <w:r w:rsidR="00114695" w:rsidRPr="00F84180">
        <w:rPr>
          <w:rFonts w:ascii="ITC Avant Garde" w:eastAsia="Arial" w:hAnsi="ITC Avant Garde" w:cs="Arial"/>
          <w:sz w:val="22"/>
          <w:szCs w:val="22"/>
        </w:rPr>
        <w:t>.</w:t>
      </w:r>
    </w:p>
    <w:p w:rsidR="00F84180" w:rsidRPr="00F84180" w:rsidRDefault="00543355" w:rsidP="00F84180">
      <w:pPr>
        <w:spacing w:after="240" w:line="276" w:lineRule="auto"/>
        <w:jc w:val="both"/>
        <w:rPr>
          <w:rFonts w:ascii="ITC Avant Garde" w:hAnsi="ITC Avant Garde"/>
          <w:sz w:val="22"/>
          <w:szCs w:val="22"/>
        </w:rPr>
      </w:pPr>
      <w:r w:rsidRPr="00F84180">
        <w:rPr>
          <w:rFonts w:ascii="ITC Avant Garde" w:hAnsi="ITC Avant Garde"/>
          <w:sz w:val="22"/>
          <w:szCs w:val="22"/>
        </w:rPr>
        <w:t xml:space="preserve">En esta </w:t>
      </w:r>
      <w:r w:rsidR="002B621B" w:rsidRPr="00F84180">
        <w:rPr>
          <w:rFonts w:ascii="ITC Avant Garde" w:hAnsi="ITC Avant Garde"/>
          <w:sz w:val="22"/>
          <w:szCs w:val="22"/>
        </w:rPr>
        <w:t>E</w:t>
      </w:r>
      <w:r w:rsidRPr="00F84180">
        <w:rPr>
          <w:rFonts w:ascii="ITC Avant Garde" w:hAnsi="ITC Avant Garde"/>
          <w:sz w:val="22"/>
          <w:szCs w:val="22"/>
        </w:rPr>
        <w:t xml:space="preserve">tapa III caracterizada por el despliegue de infraestructura, </w:t>
      </w:r>
      <w:r w:rsidR="00114695" w:rsidRPr="00F84180">
        <w:rPr>
          <w:rFonts w:ascii="ITC Avant Garde" w:hAnsi="ITC Avant Garde"/>
          <w:sz w:val="22"/>
          <w:szCs w:val="22"/>
        </w:rPr>
        <w:t xml:space="preserve">se contempla la instalación de puntos de interconexión internacionales con </w:t>
      </w:r>
      <w:r w:rsidR="001F4BED" w:rsidRPr="00F84180">
        <w:rPr>
          <w:rFonts w:ascii="ITC Avant Garde" w:hAnsi="ITC Avant Garde"/>
          <w:sz w:val="22"/>
          <w:szCs w:val="22"/>
        </w:rPr>
        <w:t xml:space="preserve">el </w:t>
      </w:r>
      <w:r w:rsidR="00114695" w:rsidRPr="00F84180">
        <w:rPr>
          <w:rFonts w:ascii="ITC Avant Garde" w:hAnsi="ITC Avant Garde"/>
          <w:sz w:val="22"/>
          <w:szCs w:val="22"/>
        </w:rPr>
        <w:t>país vecino, los cuales pueden ser propios o de terceros</w:t>
      </w:r>
      <w:r w:rsidRPr="00F84180">
        <w:rPr>
          <w:rFonts w:ascii="ITC Avant Garde" w:hAnsi="ITC Avant Garde"/>
          <w:sz w:val="22"/>
          <w:szCs w:val="22"/>
        </w:rPr>
        <w:t>, y para asegurar la robustez de la red</w:t>
      </w:r>
      <w:r w:rsidR="00114695" w:rsidRPr="00F84180">
        <w:rPr>
          <w:rFonts w:ascii="ITC Avant Garde" w:hAnsi="ITC Avant Garde"/>
          <w:sz w:val="22"/>
          <w:szCs w:val="22"/>
        </w:rPr>
        <w:t xml:space="preserve"> se prevé que la capacidad de los enlaces se ajuste a la demanda de tráfico de datos</w:t>
      </w:r>
      <w:r w:rsidRPr="00F84180">
        <w:rPr>
          <w:rFonts w:ascii="ITC Avant Garde" w:hAnsi="ITC Avant Garde"/>
          <w:sz w:val="22"/>
          <w:szCs w:val="22"/>
        </w:rPr>
        <w:t>, por lo que se</w:t>
      </w:r>
      <w:r w:rsidR="00114695" w:rsidRPr="00F84180">
        <w:rPr>
          <w:rFonts w:ascii="ITC Avant Garde" w:hAnsi="ITC Avant Garde"/>
          <w:sz w:val="22"/>
          <w:szCs w:val="22"/>
        </w:rPr>
        <w:t xml:space="preserve"> prevé un crecimiento de los enlaces cuando éstos alcancen un 85% de su capacidad. De igual forma, se hace referencia a que los equipos empleados van a soportar tecnologías eficientes, escalables y que se apeguen a los estándares internacionales. </w:t>
      </w:r>
      <w:r w:rsidR="00E23EBC" w:rsidRPr="00F84180">
        <w:rPr>
          <w:rFonts w:ascii="ITC Avant Garde" w:hAnsi="ITC Avant Garde"/>
          <w:sz w:val="22"/>
          <w:szCs w:val="22"/>
        </w:rPr>
        <w:t>Lo anterior en consistencia con el artículo 16 de los Lineamientos.</w:t>
      </w:r>
    </w:p>
    <w:p w:rsidR="00F84180" w:rsidRPr="00F84180" w:rsidRDefault="00E23EBC" w:rsidP="00F84180">
      <w:pPr>
        <w:spacing w:after="240" w:line="276" w:lineRule="auto"/>
        <w:jc w:val="both"/>
        <w:rPr>
          <w:rFonts w:ascii="ITC Avant Garde" w:eastAsia="Arial" w:hAnsi="ITC Avant Garde" w:cs="Arial"/>
          <w:sz w:val="22"/>
          <w:szCs w:val="22"/>
          <w:lang w:val="es-ES_tradnl"/>
        </w:rPr>
      </w:pPr>
      <w:r w:rsidRPr="00F84180">
        <w:rPr>
          <w:rFonts w:ascii="ITC Avant Garde" w:eastAsia="Arial" w:hAnsi="ITC Avant Garde" w:cs="Arial"/>
          <w:sz w:val="22"/>
          <w:szCs w:val="22"/>
          <w:lang w:val="es-ES_tradnl"/>
        </w:rPr>
        <w:t>C</w:t>
      </w:r>
      <w:r w:rsidR="00543355" w:rsidRPr="00F84180">
        <w:rPr>
          <w:rFonts w:ascii="ITC Avant Garde" w:eastAsia="Arial" w:hAnsi="ITC Avant Garde" w:cs="Arial"/>
          <w:sz w:val="22"/>
          <w:szCs w:val="22"/>
          <w:lang w:val="es-ES_tradnl"/>
        </w:rPr>
        <w:t xml:space="preserve">on </w:t>
      </w:r>
      <w:r w:rsidRPr="00F84180">
        <w:rPr>
          <w:rFonts w:ascii="ITC Avant Garde" w:eastAsia="Arial" w:hAnsi="ITC Avant Garde" w:cs="Arial"/>
          <w:sz w:val="22"/>
          <w:szCs w:val="22"/>
          <w:lang w:val="es-ES_tradnl"/>
        </w:rPr>
        <w:t xml:space="preserve">relación a </w:t>
      </w:r>
      <w:r w:rsidR="00543355" w:rsidRPr="00F84180">
        <w:rPr>
          <w:rFonts w:ascii="ITC Avant Garde" w:eastAsia="Arial" w:hAnsi="ITC Avant Garde" w:cs="Arial"/>
          <w:sz w:val="22"/>
          <w:szCs w:val="22"/>
          <w:lang w:val="es-ES_tradnl"/>
        </w:rPr>
        <w:t>la robustez de la Red Troncal Nacional</w:t>
      </w:r>
      <w:r w:rsidR="00514CF2" w:rsidRPr="00F84180">
        <w:rPr>
          <w:rFonts w:ascii="ITC Avant Garde" w:eastAsia="Arial" w:hAnsi="ITC Avant Garde" w:cs="Arial"/>
          <w:sz w:val="22"/>
          <w:szCs w:val="22"/>
          <w:lang w:val="es-ES_tradnl"/>
        </w:rPr>
        <w:t>,</w:t>
      </w:r>
      <w:r w:rsidR="00114695" w:rsidRPr="00F84180">
        <w:rPr>
          <w:rFonts w:ascii="ITC Avant Garde" w:eastAsia="Arial" w:hAnsi="ITC Avant Garde" w:cs="Arial"/>
          <w:sz w:val="22"/>
          <w:szCs w:val="22"/>
          <w:lang w:val="es-ES_tradnl"/>
        </w:rPr>
        <w:t xml:space="preserve"> el Programa Trianual </w:t>
      </w:r>
      <w:r w:rsidRPr="00F84180">
        <w:rPr>
          <w:rFonts w:ascii="ITC Avant Garde" w:eastAsia="Arial" w:hAnsi="ITC Avant Garde" w:cs="Arial"/>
          <w:sz w:val="22"/>
          <w:szCs w:val="22"/>
          <w:lang w:val="es-ES_tradnl"/>
        </w:rPr>
        <w:t>y en consistencia con el artículo 17</w:t>
      </w:r>
      <w:r w:rsidR="00514CF2" w:rsidRPr="00F84180">
        <w:rPr>
          <w:rFonts w:ascii="ITC Avant Garde" w:eastAsia="Arial" w:hAnsi="ITC Avant Garde" w:cs="Arial"/>
          <w:sz w:val="22"/>
          <w:szCs w:val="22"/>
          <w:lang w:val="es-ES_tradnl"/>
        </w:rPr>
        <w:t xml:space="preserve"> de los Lineamientos</w:t>
      </w:r>
      <w:r w:rsidRPr="00F84180">
        <w:rPr>
          <w:rFonts w:ascii="ITC Avant Garde" w:eastAsia="Arial" w:hAnsi="ITC Avant Garde" w:cs="Arial"/>
          <w:sz w:val="22"/>
          <w:szCs w:val="22"/>
          <w:lang w:val="es-ES_tradnl"/>
        </w:rPr>
        <w:t xml:space="preserve">, se </w:t>
      </w:r>
      <w:r w:rsidR="00114695" w:rsidRPr="00F84180">
        <w:rPr>
          <w:rFonts w:ascii="ITC Avant Garde" w:eastAsia="Arial" w:hAnsi="ITC Avant Garde" w:cs="Arial"/>
          <w:sz w:val="22"/>
          <w:szCs w:val="22"/>
          <w:lang w:val="es-ES_tradnl"/>
        </w:rPr>
        <w:t xml:space="preserve">establece que a partir de la </w:t>
      </w:r>
      <w:r w:rsidR="001F4BED" w:rsidRPr="00F84180">
        <w:rPr>
          <w:rFonts w:ascii="ITC Avant Garde" w:eastAsia="Arial" w:hAnsi="ITC Avant Garde" w:cs="Arial"/>
          <w:sz w:val="22"/>
          <w:szCs w:val="22"/>
          <w:lang w:val="es-ES_tradnl"/>
        </w:rPr>
        <w:t>E</w:t>
      </w:r>
      <w:r w:rsidR="00114695" w:rsidRPr="00F84180">
        <w:rPr>
          <w:rFonts w:ascii="ITC Avant Garde" w:eastAsia="Arial" w:hAnsi="ITC Avant Garde" w:cs="Arial"/>
          <w:sz w:val="22"/>
          <w:szCs w:val="22"/>
          <w:lang w:val="es-ES_tradnl"/>
        </w:rPr>
        <w:t xml:space="preserve">tapa III esta red </w:t>
      </w:r>
      <w:r w:rsidR="00DE2C79" w:rsidRPr="00F84180">
        <w:rPr>
          <w:rFonts w:ascii="ITC Avant Garde" w:eastAsia="Arial" w:hAnsi="ITC Avant Garde" w:cs="Arial"/>
          <w:sz w:val="22"/>
          <w:szCs w:val="22"/>
          <w:lang w:val="es-ES_tradnl"/>
        </w:rPr>
        <w:t xml:space="preserve">ya </w:t>
      </w:r>
      <w:r w:rsidR="00114695" w:rsidRPr="00F84180">
        <w:rPr>
          <w:rFonts w:ascii="ITC Avant Garde" w:eastAsia="Arial" w:hAnsi="ITC Avant Garde" w:cs="Arial"/>
          <w:sz w:val="22"/>
          <w:szCs w:val="22"/>
          <w:lang w:val="es-ES_tradnl"/>
        </w:rPr>
        <w:t xml:space="preserve">cumplirá con una disponibilidad de 99.95%, medido de forma mensual. Cabe señalar que Telecomunicaciones de México deberá cumplir con el </w:t>
      </w:r>
      <w:r w:rsidR="009445A4" w:rsidRPr="00F84180">
        <w:rPr>
          <w:rFonts w:ascii="ITC Avant Garde" w:eastAsia="Arial" w:hAnsi="ITC Avant Garde" w:cs="Arial"/>
          <w:sz w:val="22"/>
          <w:szCs w:val="22"/>
          <w:lang w:val="es-ES_tradnl"/>
        </w:rPr>
        <w:t xml:space="preserve">referido </w:t>
      </w:r>
      <w:r w:rsidR="00114695" w:rsidRPr="00F84180">
        <w:rPr>
          <w:rFonts w:ascii="ITC Avant Garde" w:eastAsia="Arial" w:hAnsi="ITC Avant Garde" w:cs="Arial"/>
          <w:sz w:val="22"/>
          <w:szCs w:val="22"/>
          <w:lang w:val="es-ES_tradnl"/>
        </w:rPr>
        <w:t xml:space="preserve">nivel de disponibilidad en un periodo máximo de cuatro años a partir de </w:t>
      </w:r>
      <w:r w:rsidR="001F4BED" w:rsidRPr="00F84180">
        <w:rPr>
          <w:rFonts w:ascii="ITC Avant Garde" w:eastAsia="Arial" w:hAnsi="ITC Avant Garde" w:cs="Arial"/>
          <w:sz w:val="22"/>
          <w:szCs w:val="22"/>
          <w:lang w:val="es-ES_tradnl"/>
        </w:rPr>
        <w:t xml:space="preserve">que surtió efectos la </w:t>
      </w:r>
      <w:r w:rsidR="00114695" w:rsidRPr="00F84180">
        <w:rPr>
          <w:rFonts w:ascii="ITC Avant Garde" w:eastAsia="Arial" w:hAnsi="ITC Avant Garde" w:cs="Arial"/>
          <w:sz w:val="22"/>
          <w:szCs w:val="22"/>
          <w:lang w:val="es-ES_tradnl"/>
        </w:rPr>
        <w:t>notifica</w:t>
      </w:r>
      <w:r w:rsidR="001F4BED" w:rsidRPr="00F84180">
        <w:rPr>
          <w:rFonts w:ascii="ITC Avant Garde" w:eastAsia="Arial" w:hAnsi="ITC Avant Garde" w:cs="Arial"/>
          <w:sz w:val="22"/>
          <w:szCs w:val="22"/>
          <w:lang w:val="es-ES_tradnl"/>
        </w:rPr>
        <w:t xml:space="preserve">ción de </w:t>
      </w:r>
      <w:r w:rsidR="00114695" w:rsidRPr="00F84180">
        <w:rPr>
          <w:rFonts w:ascii="ITC Avant Garde" w:eastAsia="Arial" w:hAnsi="ITC Avant Garde" w:cs="Arial"/>
          <w:sz w:val="22"/>
          <w:szCs w:val="22"/>
          <w:lang w:val="es-ES_tradnl"/>
        </w:rPr>
        <w:t>los Lineamientos.</w:t>
      </w:r>
    </w:p>
    <w:p w:rsidR="00F84180" w:rsidRPr="00F84180" w:rsidRDefault="00B7320C" w:rsidP="00F84180">
      <w:pPr>
        <w:spacing w:after="240" w:line="276" w:lineRule="auto"/>
        <w:jc w:val="both"/>
        <w:rPr>
          <w:rFonts w:ascii="ITC Avant Garde" w:hAnsi="ITC Avant Garde"/>
          <w:sz w:val="22"/>
          <w:szCs w:val="22"/>
        </w:rPr>
      </w:pPr>
      <w:r w:rsidRPr="00F84180">
        <w:rPr>
          <w:rFonts w:ascii="ITC Avant Garde" w:hAnsi="ITC Avant Garde"/>
          <w:sz w:val="22"/>
          <w:szCs w:val="22"/>
        </w:rPr>
        <w:t xml:space="preserve">En el momento de desplegar </w:t>
      </w:r>
      <w:r w:rsidR="00114695" w:rsidRPr="00F84180">
        <w:rPr>
          <w:rFonts w:ascii="ITC Avant Garde" w:hAnsi="ITC Avant Garde"/>
          <w:sz w:val="22"/>
          <w:szCs w:val="22"/>
        </w:rPr>
        <w:t>enlaces</w:t>
      </w:r>
      <w:r w:rsidRPr="00F84180">
        <w:rPr>
          <w:rFonts w:ascii="ITC Avant Garde" w:hAnsi="ITC Avant Garde"/>
          <w:sz w:val="22"/>
          <w:szCs w:val="22"/>
        </w:rPr>
        <w:t>,</w:t>
      </w:r>
      <w:r w:rsidR="00114695" w:rsidRPr="00F84180">
        <w:rPr>
          <w:rFonts w:ascii="ITC Avant Garde" w:hAnsi="ITC Avant Garde"/>
          <w:sz w:val="22"/>
          <w:szCs w:val="22"/>
        </w:rPr>
        <w:t xml:space="preserve"> </w:t>
      </w:r>
      <w:r w:rsidR="001F4BED" w:rsidRPr="00F84180">
        <w:rPr>
          <w:rFonts w:ascii="ITC Avant Garde" w:hAnsi="ITC Avant Garde"/>
          <w:sz w:val="22"/>
          <w:szCs w:val="22"/>
        </w:rPr>
        <w:t xml:space="preserve">en </w:t>
      </w:r>
      <w:r w:rsidR="00114695" w:rsidRPr="00F84180">
        <w:rPr>
          <w:rFonts w:ascii="ITC Avant Garde" w:hAnsi="ITC Avant Garde"/>
          <w:sz w:val="22"/>
          <w:szCs w:val="22"/>
        </w:rPr>
        <w:t xml:space="preserve">el programa se prevé el cumplimiento de los parámetros de calidad previstos en los Lineamientos, ya que se ha establecido </w:t>
      </w:r>
      <w:r w:rsidR="00114695" w:rsidRPr="00F84180">
        <w:rPr>
          <w:rFonts w:ascii="ITC Avant Garde" w:hAnsi="ITC Avant Garde"/>
          <w:sz w:val="22"/>
          <w:szCs w:val="22"/>
        </w:rPr>
        <w:lastRenderedPageBreak/>
        <w:t xml:space="preserve">una latencia promedio de cada enlace menor a 30 milisegundos, un porcentaje de pérdida de paquetes end-to-end menor de 0.3%, y un jitter máximo menor a </w:t>
      </w:r>
      <w:r w:rsidR="00514CF2" w:rsidRPr="00F84180">
        <w:rPr>
          <w:rFonts w:ascii="ITC Avant Garde" w:hAnsi="ITC Avant Garde"/>
          <w:sz w:val="22"/>
          <w:szCs w:val="22"/>
        </w:rPr>
        <w:t xml:space="preserve">10 </w:t>
      </w:r>
      <w:r w:rsidR="00114695" w:rsidRPr="00F84180">
        <w:rPr>
          <w:rFonts w:ascii="ITC Avant Garde" w:hAnsi="ITC Avant Garde"/>
          <w:sz w:val="22"/>
          <w:szCs w:val="22"/>
        </w:rPr>
        <w:t xml:space="preserve">milisegundos. </w:t>
      </w:r>
    </w:p>
    <w:p w:rsidR="00F84180" w:rsidRPr="00F84180" w:rsidRDefault="00B7320C" w:rsidP="00F84180">
      <w:pPr>
        <w:spacing w:after="240" w:line="276" w:lineRule="auto"/>
        <w:jc w:val="both"/>
        <w:rPr>
          <w:rFonts w:ascii="ITC Avant Garde" w:hAnsi="ITC Avant Garde"/>
          <w:sz w:val="22"/>
          <w:szCs w:val="22"/>
        </w:rPr>
      </w:pPr>
      <w:r w:rsidRPr="00F84180">
        <w:rPr>
          <w:rFonts w:ascii="ITC Avant Garde" w:hAnsi="ITC Avant Garde"/>
          <w:sz w:val="22"/>
          <w:szCs w:val="22"/>
        </w:rPr>
        <w:t>Además</w:t>
      </w:r>
      <w:r w:rsidR="00114695" w:rsidRPr="00F84180">
        <w:rPr>
          <w:rFonts w:ascii="ITC Avant Garde" w:hAnsi="ITC Avant Garde"/>
          <w:sz w:val="22"/>
          <w:szCs w:val="22"/>
        </w:rPr>
        <w:t>, el programa prevé la aplicación de métodos estandarizados para actividades de pruebas y puestas en servicios, lo cual asegurará la adecuada y eficiente prestación de los servicios.</w:t>
      </w:r>
    </w:p>
    <w:p w:rsidR="00F84180" w:rsidRPr="00F84180" w:rsidRDefault="00B7320C"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lang w:val="es-ES_tradnl"/>
        </w:rPr>
        <w:t>E</w:t>
      </w:r>
      <w:r w:rsidR="00114695" w:rsidRPr="00F84180">
        <w:rPr>
          <w:rFonts w:ascii="ITC Avant Garde" w:eastAsia="Arial" w:hAnsi="ITC Avant Garde" w:cs="Arial"/>
          <w:sz w:val="22"/>
          <w:szCs w:val="22"/>
        </w:rPr>
        <w:t xml:space="preserve">l programa propuesto también es consistente con lo establecido en la condición 8.3 del </w:t>
      </w:r>
      <w:r w:rsidR="00991A32" w:rsidRPr="00F84180">
        <w:rPr>
          <w:rFonts w:ascii="ITC Avant Garde" w:eastAsia="Arial" w:hAnsi="ITC Avant Garde" w:cs="Arial"/>
          <w:sz w:val="22"/>
          <w:szCs w:val="22"/>
        </w:rPr>
        <w:t>T</w:t>
      </w:r>
      <w:r w:rsidR="00114695" w:rsidRPr="00F84180">
        <w:rPr>
          <w:rFonts w:ascii="ITC Avant Garde" w:eastAsia="Arial" w:hAnsi="ITC Avant Garde" w:cs="Arial"/>
          <w:sz w:val="22"/>
          <w:szCs w:val="22"/>
        </w:rPr>
        <w:t xml:space="preserve">ítulo de </w:t>
      </w:r>
      <w:r w:rsidR="00991A32" w:rsidRPr="00F84180">
        <w:rPr>
          <w:rFonts w:ascii="ITC Avant Garde" w:eastAsia="Arial" w:hAnsi="ITC Avant Garde" w:cs="Arial"/>
          <w:sz w:val="22"/>
          <w:szCs w:val="22"/>
        </w:rPr>
        <w:t>C</w:t>
      </w:r>
      <w:r w:rsidR="00114695" w:rsidRPr="00F84180">
        <w:rPr>
          <w:rFonts w:ascii="ITC Avant Garde" w:eastAsia="Arial" w:hAnsi="ITC Avant Garde" w:cs="Arial"/>
          <w:sz w:val="22"/>
          <w:szCs w:val="22"/>
        </w:rPr>
        <w:t xml:space="preserve">oncesión, al </w:t>
      </w:r>
      <w:r w:rsidRPr="00F84180">
        <w:rPr>
          <w:rFonts w:ascii="ITC Avant Garde" w:eastAsia="Arial" w:hAnsi="ITC Avant Garde" w:cs="Arial"/>
          <w:sz w:val="22"/>
          <w:szCs w:val="22"/>
        </w:rPr>
        <w:t xml:space="preserve">hacer referencia a la necesidad de </w:t>
      </w:r>
      <w:r w:rsidR="00114695" w:rsidRPr="00F84180">
        <w:rPr>
          <w:rFonts w:ascii="ITC Avant Garde" w:eastAsia="Arial" w:hAnsi="ITC Avant Garde" w:cs="Arial"/>
          <w:sz w:val="22"/>
          <w:szCs w:val="22"/>
        </w:rPr>
        <w:t xml:space="preserve">coordinación entre Telecomunicaciones de México </w:t>
      </w:r>
      <w:r w:rsidRPr="00F84180">
        <w:rPr>
          <w:rFonts w:ascii="ITC Avant Garde" w:eastAsia="Arial" w:hAnsi="ITC Avant Garde" w:cs="Arial"/>
          <w:sz w:val="22"/>
          <w:szCs w:val="22"/>
        </w:rPr>
        <w:t>y</w:t>
      </w:r>
      <w:r w:rsidR="00114695" w:rsidRPr="00F84180">
        <w:rPr>
          <w:rFonts w:ascii="ITC Avant Garde" w:eastAsia="Arial" w:hAnsi="ITC Avant Garde" w:cs="Arial"/>
          <w:sz w:val="22"/>
          <w:szCs w:val="22"/>
        </w:rPr>
        <w:t xml:space="preserve"> la Secretaría de Comunicaciones y Transportes, a fin de que la instalación y crecimiento de la red troncal de cobertura nacional coadyuve con los programas de cobertura social y de conectividad en sitios públicos que anualmente se publiquen, todo ello conforme a las previsiones de financiamiento. </w:t>
      </w:r>
    </w:p>
    <w:p w:rsidR="00F84180" w:rsidRPr="00F84180" w:rsidRDefault="00B7320C"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Adicionalmente</w:t>
      </w:r>
      <w:r w:rsidR="00114695" w:rsidRPr="00F84180">
        <w:rPr>
          <w:rFonts w:ascii="ITC Avant Garde" w:eastAsia="Arial" w:hAnsi="ITC Avant Garde" w:cs="Arial"/>
          <w:sz w:val="22"/>
          <w:szCs w:val="22"/>
        </w:rPr>
        <w:t>, el programa especifica que Telecomunicaciones de México explorará sinergias con el despliegue de infraestructura de la Red Compartida</w:t>
      </w:r>
      <w:r w:rsidR="00501203" w:rsidRPr="00F84180">
        <w:rPr>
          <w:rFonts w:ascii="ITC Avant Garde" w:eastAsia="Arial" w:hAnsi="ITC Avant Garde" w:cs="Arial"/>
          <w:sz w:val="22"/>
          <w:szCs w:val="22"/>
        </w:rPr>
        <w:t xml:space="preserve"> Mayorista</w:t>
      </w:r>
      <w:r w:rsidR="00114695" w:rsidRPr="00F84180">
        <w:rPr>
          <w:rFonts w:ascii="ITC Avant Garde" w:eastAsia="Arial" w:hAnsi="ITC Avant Garde" w:cs="Arial"/>
          <w:sz w:val="22"/>
          <w:szCs w:val="22"/>
        </w:rPr>
        <w:t xml:space="preserve">, conforme a su plan de cobertura, para estar en condiciones de alinearlo con las </w:t>
      </w:r>
      <w:r w:rsidR="00E0167F"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tapas III y IV</w:t>
      </w:r>
      <w:r w:rsidRPr="00F84180">
        <w:rPr>
          <w:rFonts w:ascii="ITC Avant Garde" w:eastAsia="Arial" w:hAnsi="ITC Avant Garde" w:cs="Arial"/>
          <w:sz w:val="22"/>
          <w:szCs w:val="22"/>
        </w:rPr>
        <w:t xml:space="preserve"> de su</w:t>
      </w:r>
      <w:r w:rsidR="00114695" w:rsidRPr="00F84180">
        <w:rPr>
          <w:rFonts w:ascii="ITC Avant Garde" w:eastAsia="Arial" w:hAnsi="ITC Avant Garde" w:cs="Arial"/>
          <w:sz w:val="22"/>
          <w:szCs w:val="22"/>
        </w:rPr>
        <w:t xml:space="preserve"> programa</w:t>
      </w:r>
      <w:r w:rsidRPr="00F84180">
        <w:rPr>
          <w:rFonts w:ascii="ITC Avant Garde" w:eastAsia="Arial" w:hAnsi="ITC Avant Garde" w:cs="Arial"/>
          <w:sz w:val="22"/>
          <w:szCs w:val="22"/>
        </w:rPr>
        <w:t>.</w:t>
      </w:r>
      <w:r w:rsidR="00B24BE9" w:rsidRPr="00F84180">
        <w:rPr>
          <w:rFonts w:ascii="ITC Avant Garde" w:eastAsia="Arial" w:hAnsi="ITC Avant Garde" w:cs="Arial"/>
          <w:sz w:val="22"/>
          <w:szCs w:val="22"/>
        </w:rPr>
        <w:t xml:space="preserve"> </w:t>
      </w:r>
    </w:p>
    <w:p w:rsidR="00F84180" w:rsidRPr="00F84180" w:rsidRDefault="00B7320C"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Por último e</w:t>
      </w:r>
      <w:r w:rsidR="00114695" w:rsidRPr="00F84180">
        <w:rPr>
          <w:rFonts w:ascii="ITC Avant Garde" w:eastAsia="Arial" w:hAnsi="ITC Avant Garde" w:cs="Arial"/>
          <w:sz w:val="22"/>
          <w:szCs w:val="22"/>
        </w:rPr>
        <w:t>s importante destacar que conforme a la condición 8.3 de</w:t>
      </w:r>
      <w:r w:rsidR="00E23EBC" w:rsidRPr="00F84180">
        <w:rPr>
          <w:rFonts w:ascii="ITC Avant Garde" w:eastAsia="Arial" w:hAnsi="ITC Avant Garde" w:cs="Arial"/>
          <w:sz w:val="22"/>
          <w:szCs w:val="22"/>
        </w:rPr>
        <w:t>l</w:t>
      </w:r>
      <w:r w:rsidR="00114695" w:rsidRPr="00F84180">
        <w:rPr>
          <w:rFonts w:ascii="ITC Avant Garde" w:eastAsia="Arial" w:hAnsi="ITC Avant Garde" w:cs="Arial"/>
          <w:sz w:val="22"/>
          <w:szCs w:val="22"/>
        </w:rPr>
        <w:t xml:space="preserve"> </w:t>
      </w:r>
      <w:r w:rsidR="00E23EBC" w:rsidRPr="00F84180">
        <w:rPr>
          <w:rFonts w:ascii="ITC Avant Garde" w:eastAsia="Arial" w:hAnsi="ITC Avant Garde" w:cs="Arial"/>
          <w:sz w:val="22"/>
          <w:szCs w:val="22"/>
        </w:rPr>
        <w:t>T</w:t>
      </w:r>
      <w:r w:rsidR="00114695" w:rsidRPr="00F84180">
        <w:rPr>
          <w:rFonts w:ascii="ITC Avant Garde" w:eastAsia="Arial" w:hAnsi="ITC Avant Garde" w:cs="Arial"/>
          <w:sz w:val="22"/>
          <w:szCs w:val="22"/>
        </w:rPr>
        <w:t xml:space="preserve">ítulo de </w:t>
      </w:r>
      <w:r w:rsidR="00E23EBC" w:rsidRPr="00F84180">
        <w:rPr>
          <w:rFonts w:ascii="ITC Avant Garde" w:eastAsia="Arial" w:hAnsi="ITC Avant Garde" w:cs="Arial"/>
          <w:sz w:val="22"/>
          <w:szCs w:val="22"/>
        </w:rPr>
        <w:t>C</w:t>
      </w:r>
      <w:r w:rsidR="00114695" w:rsidRPr="00F84180">
        <w:rPr>
          <w:rFonts w:ascii="ITC Avant Garde" w:eastAsia="Arial" w:hAnsi="ITC Avant Garde" w:cs="Arial"/>
          <w:sz w:val="22"/>
          <w:szCs w:val="22"/>
        </w:rPr>
        <w:t xml:space="preserve">oncesión, Telecomunicaciones de México deberá presentar cada tres años un programa para la construcción y crecimiento de la red. </w:t>
      </w:r>
      <w:r w:rsidR="0023587A"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 xml:space="preserve">l próximo programa deberá presentarlo 90 días naturales con anticipación al vencimiento del programa vigente. Esto resulta relevante en virtud de que </w:t>
      </w:r>
      <w:r w:rsidR="00BD736B" w:rsidRPr="00F84180">
        <w:rPr>
          <w:rFonts w:ascii="ITC Avant Garde" w:eastAsia="Arial" w:hAnsi="ITC Avant Garde" w:cs="Arial"/>
          <w:sz w:val="22"/>
          <w:szCs w:val="22"/>
        </w:rPr>
        <w:t xml:space="preserve">en su momento </w:t>
      </w:r>
      <w:r w:rsidR="00114695" w:rsidRPr="00F84180">
        <w:rPr>
          <w:rFonts w:ascii="ITC Avant Garde" w:eastAsia="Arial" w:hAnsi="ITC Avant Garde" w:cs="Arial"/>
          <w:sz w:val="22"/>
          <w:szCs w:val="22"/>
        </w:rPr>
        <w:t>se podr</w:t>
      </w:r>
      <w:r w:rsidR="00AA6101" w:rsidRPr="00F84180">
        <w:rPr>
          <w:rFonts w:ascii="ITC Avant Garde" w:eastAsia="Arial" w:hAnsi="ITC Avant Garde" w:cs="Arial"/>
          <w:sz w:val="22"/>
          <w:szCs w:val="22"/>
        </w:rPr>
        <w:t>á</w:t>
      </w:r>
      <w:r w:rsidR="00114695" w:rsidRPr="00F84180">
        <w:rPr>
          <w:rFonts w:ascii="ITC Avant Garde" w:eastAsia="Arial" w:hAnsi="ITC Avant Garde" w:cs="Arial"/>
          <w:sz w:val="22"/>
          <w:szCs w:val="22"/>
        </w:rPr>
        <w:t xml:space="preserve"> valorar el avance comprometido en e</w:t>
      </w:r>
      <w:r w:rsidR="00BD736B" w:rsidRPr="00F84180">
        <w:rPr>
          <w:rFonts w:ascii="ITC Avant Garde" w:eastAsia="Arial" w:hAnsi="ITC Avant Garde" w:cs="Arial"/>
          <w:sz w:val="22"/>
          <w:szCs w:val="22"/>
        </w:rPr>
        <w:t>ste</w:t>
      </w:r>
      <w:r w:rsidR="00114695" w:rsidRPr="00F84180">
        <w:rPr>
          <w:rFonts w:ascii="ITC Avant Garde" w:eastAsia="Arial" w:hAnsi="ITC Avant Garde" w:cs="Arial"/>
          <w:sz w:val="22"/>
          <w:szCs w:val="22"/>
        </w:rPr>
        <w:t xml:space="preserve"> programa, y en su caso determinar las estrategias, ajustes justificados, </w:t>
      </w:r>
      <w:r w:rsidR="00020F01" w:rsidRPr="00F84180">
        <w:rPr>
          <w:rFonts w:ascii="ITC Avant Garde" w:eastAsia="Arial" w:hAnsi="ITC Avant Garde" w:cs="Arial"/>
          <w:sz w:val="22"/>
          <w:szCs w:val="22"/>
        </w:rPr>
        <w:t>e</w:t>
      </w:r>
      <w:r w:rsidR="00114695" w:rsidRPr="00F84180">
        <w:rPr>
          <w:rFonts w:ascii="ITC Avant Garde" w:eastAsia="Arial" w:hAnsi="ITC Avant Garde" w:cs="Arial"/>
          <w:sz w:val="22"/>
          <w:szCs w:val="22"/>
        </w:rPr>
        <w:t xml:space="preserve"> </w:t>
      </w:r>
      <w:r w:rsidR="00020F01" w:rsidRPr="00F84180">
        <w:rPr>
          <w:rFonts w:ascii="ITC Avant Garde" w:eastAsia="Arial" w:hAnsi="ITC Avant Garde" w:cs="Arial"/>
          <w:sz w:val="22"/>
          <w:szCs w:val="22"/>
        </w:rPr>
        <w:t>hitos</w:t>
      </w:r>
      <w:r w:rsidR="00114695" w:rsidRPr="00F84180">
        <w:rPr>
          <w:rFonts w:ascii="ITC Avant Garde" w:eastAsia="Arial" w:hAnsi="ITC Avant Garde" w:cs="Arial"/>
          <w:sz w:val="22"/>
          <w:szCs w:val="22"/>
        </w:rPr>
        <w:t xml:space="preserve"> </w:t>
      </w:r>
      <w:r w:rsidR="00BD38D1" w:rsidRPr="00F84180">
        <w:rPr>
          <w:rFonts w:ascii="ITC Avant Garde" w:eastAsia="Arial" w:hAnsi="ITC Avant Garde" w:cs="Arial"/>
          <w:sz w:val="22"/>
          <w:szCs w:val="22"/>
        </w:rPr>
        <w:t xml:space="preserve">relevantes </w:t>
      </w:r>
      <w:r w:rsidR="00114695" w:rsidRPr="00F84180">
        <w:rPr>
          <w:rFonts w:ascii="ITC Avant Garde" w:eastAsia="Arial" w:hAnsi="ITC Avant Garde" w:cs="Arial"/>
          <w:sz w:val="22"/>
          <w:szCs w:val="22"/>
        </w:rPr>
        <w:t>para e</w:t>
      </w:r>
      <w:r w:rsidR="00020F01" w:rsidRPr="00F84180">
        <w:rPr>
          <w:rFonts w:ascii="ITC Avant Garde" w:eastAsia="Arial" w:hAnsi="ITC Avant Garde" w:cs="Arial"/>
          <w:sz w:val="22"/>
          <w:szCs w:val="22"/>
        </w:rPr>
        <w:t>l siguiente</w:t>
      </w:r>
      <w:r w:rsidR="00114695" w:rsidRPr="00F84180">
        <w:rPr>
          <w:rFonts w:ascii="ITC Avant Garde" w:eastAsia="Arial" w:hAnsi="ITC Avant Garde" w:cs="Arial"/>
          <w:sz w:val="22"/>
          <w:szCs w:val="22"/>
        </w:rPr>
        <w:t xml:space="preserve"> </w:t>
      </w:r>
      <w:r w:rsidR="00BD736B" w:rsidRPr="00F84180">
        <w:rPr>
          <w:rFonts w:ascii="ITC Avant Garde" w:eastAsia="Arial" w:hAnsi="ITC Avant Garde" w:cs="Arial"/>
          <w:sz w:val="22"/>
          <w:szCs w:val="22"/>
        </w:rPr>
        <w:t xml:space="preserve">programa relativo al </w:t>
      </w:r>
      <w:r w:rsidR="00114695" w:rsidRPr="00F84180">
        <w:rPr>
          <w:rFonts w:ascii="ITC Avant Garde" w:eastAsia="Arial" w:hAnsi="ITC Avant Garde" w:cs="Arial"/>
          <w:sz w:val="22"/>
          <w:szCs w:val="22"/>
        </w:rPr>
        <w:t xml:space="preserve">crecimiento de la Red Troncal Nacional. </w:t>
      </w:r>
    </w:p>
    <w:p w:rsidR="00F84180" w:rsidRPr="00F84180" w:rsidRDefault="0023587A"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Finalmente, c</w:t>
      </w:r>
      <w:r w:rsidR="00A6399C" w:rsidRPr="00F84180">
        <w:rPr>
          <w:rFonts w:ascii="ITC Avant Garde" w:eastAsia="Arial" w:hAnsi="ITC Avant Garde" w:cs="Arial"/>
          <w:sz w:val="22"/>
          <w:szCs w:val="22"/>
        </w:rPr>
        <w:t xml:space="preserve">abe mencionar que la autorización </w:t>
      </w:r>
      <w:r w:rsidRPr="00F84180">
        <w:rPr>
          <w:rFonts w:ascii="ITC Avant Garde" w:eastAsia="Arial" w:hAnsi="ITC Avant Garde" w:cs="Arial"/>
          <w:sz w:val="22"/>
          <w:szCs w:val="22"/>
        </w:rPr>
        <w:t xml:space="preserve">del Programa Trianual materia del presente Acuerdo, </w:t>
      </w:r>
      <w:r w:rsidR="00A6399C" w:rsidRPr="00F84180">
        <w:rPr>
          <w:rFonts w:ascii="ITC Avant Garde" w:eastAsia="Arial" w:hAnsi="ITC Avant Garde" w:cs="Arial"/>
          <w:sz w:val="22"/>
          <w:szCs w:val="22"/>
        </w:rPr>
        <w:t xml:space="preserve">no se manifiesta sobre el cumplimiento de otras condiciones u obligaciones </w:t>
      </w:r>
      <w:r w:rsidRPr="00F84180">
        <w:rPr>
          <w:rFonts w:ascii="ITC Avant Garde" w:eastAsia="Arial" w:hAnsi="ITC Avant Garde" w:cs="Arial"/>
          <w:sz w:val="22"/>
          <w:szCs w:val="22"/>
        </w:rPr>
        <w:t>distinta</w:t>
      </w:r>
      <w:r w:rsidR="00A6399C" w:rsidRPr="00F84180">
        <w:rPr>
          <w:rFonts w:ascii="ITC Avant Garde" w:eastAsia="Arial" w:hAnsi="ITC Avant Garde" w:cs="Arial"/>
          <w:sz w:val="22"/>
          <w:szCs w:val="22"/>
        </w:rPr>
        <w:t>s a las relacionadas con la construcción y crecimiento de la Red Troncal Nacional, conforme a la condici</w:t>
      </w:r>
      <w:r w:rsidRPr="00F84180">
        <w:rPr>
          <w:rFonts w:ascii="ITC Avant Garde" w:eastAsia="Arial" w:hAnsi="ITC Avant Garde" w:cs="Arial"/>
          <w:sz w:val="22"/>
          <w:szCs w:val="22"/>
        </w:rPr>
        <w:t>ón 8.3 del</w:t>
      </w:r>
      <w:r w:rsidR="00A6399C" w:rsidRPr="00F84180">
        <w:rPr>
          <w:rFonts w:ascii="ITC Avant Garde" w:eastAsia="Arial" w:hAnsi="ITC Avant Garde" w:cs="Arial"/>
          <w:sz w:val="22"/>
          <w:szCs w:val="22"/>
        </w:rPr>
        <w:t xml:space="preserve"> Título de Concesión y los Lineamientos.</w:t>
      </w:r>
    </w:p>
    <w:p w:rsidR="00F84180" w:rsidRPr="00F84180" w:rsidRDefault="00AF7581"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sz w:val="22"/>
          <w:szCs w:val="22"/>
        </w:rPr>
        <w:t xml:space="preserve">Por lo antes expuesto y con fundamento en los artículos 6o., apartado B, fracción II y 28, párrafos décimo quinto y décimo sexto de la Constitución Política de los Estados Unidos Mexicanos; Transitorio Décimo Quinto del “Decreto por el que se reforman y adicionan diversas disposiciones de los artículos 6o., 7o., 27, 28, 73, 78, 94 y 105 de la Constitución Política de los Estados Unidos Mexicanos, en materia de </w:t>
      </w:r>
      <w:r w:rsidRPr="00F84180">
        <w:rPr>
          <w:rFonts w:ascii="ITC Avant Garde" w:eastAsia="Arial" w:hAnsi="ITC Avant Garde" w:cs="Arial"/>
          <w:sz w:val="22"/>
          <w:szCs w:val="22"/>
        </w:rPr>
        <w:lastRenderedPageBreak/>
        <w:t>telecomunicaciones”; 1, 2, 6 fracción IV, 7, 15 fracci</w:t>
      </w:r>
      <w:r w:rsidR="00054292" w:rsidRPr="00F84180">
        <w:rPr>
          <w:rFonts w:ascii="ITC Avant Garde" w:eastAsia="Arial" w:hAnsi="ITC Avant Garde" w:cs="Arial"/>
          <w:sz w:val="22"/>
          <w:szCs w:val="22"/>
        </w:rPr>
        <w:t>ó</w:t>
      </w:r>
      <w:r w:rsidRPr="00F84180">
        <w:rPr>
          <w:rFonts w:ascii="ITC Avant Garde" w:eastAsia="Arial" w:hAnsi="ITC Avant Garde" w:cs="Arial"/>
          <w:sz w:val="22"/>
          <w:szCs w:val="22"/>
        </w:rPr>
        <w:t xml:space="preserve">n  XXVII, 16 y 17 fracción I de la Ley Federal de Telecomunicaciones y Radiodifusión; 1, 4 fracción </w:t>
      </w:r>
      <w:r w:rsidR="00E0167F" w:rsidRPr="00F84180">
        <w:rPr>
          <w:rFonts w:ascii="ITC Avant Garde" w:eastAsia="Arial" w:hAnsi="ITC Avant Garde" w:cs="Arial"/>
          <w:sz w:val="22"/>
          <w:szCs w:val="22"/>
        </w:rPr>
        <w:t xml:space="preserve">I </w:t>
      </w:r>
      <w:r w:rsidRPr="00F84180">
        <w:rPr>
          <w:rFonts w:ascii="ITC Avant Garde" w:eastAsia="Arial" w:hAnsi="ITC Avant Garde" w:cs="Arial"/>
          <w:sz w:val="22"/>
          <w:szCs w:val="22"/>
        </w:rPr>
        <w:t xml:space="preserve">, 6 fracción I, del Estatuto Orgánico del Instituto Federal de Telecomunicaciones; </w:t>
      </w:r>
      <w:r w:rsidR="00D82514" w:rsidRPr="00F84180">
        <w:rPr>
          <w:rFonts w:ascii="ITC Avant Garde" w:eastAsia="Arial" w:hAnsi="ITC Avant Garde" w:cs="Arial"/>
          <w:sz w:val="22"/>
          <w:szCs w:val="22"/>
        </w:rPr>
        <w:t xml:space="preserve">3, </w:t>
      </w:r>
      <w:r w:rsidRPr="00F84180">
        <w:rPr>
          <w:rFonts w:ascii="ITC Avant Garde" w:eastAsia="Arial" w:hAnsi="ITC Avant Garde" w:cs="Arial"/>
          <w:sz w:val="22"/>
          <w:szCs w:val="22"/>
        </w:rPr>
        <w:t xml:space="preserve">32, 35, fracción I, 36 y 38 de la Ley Federal de Procedimiento Administrativo y </w:t>
      </w:r>
      <w:r w:rsidR="00501203" w:rsidRPr="00F84180">
        <w:rPr>
          <w:rFonts w:ascii="ITC Avant Garde" w:eastAsia="Arial" w:hAnsi="ITC Avant Garde" w:cs="Arial"/>
          <w:sz w:val="22"/>
          <w:szCs w:val="22"/>
        </w:rPr>
        <w:t xml:space="preserve">en </w:t>
      </w:r>
      <w:r w:rsidRPr="00F84180">
        <w:rPr>
          <w:rFonts w:ascii="ITC Avant Garde" w:eastAsia="Arial" w:hAnsi="ITC Avant Garde" w:cs="Arial"/>
          <w:sz w:val="22"/>
          <w:szCs w:val="22"/>
        </w:rPr>
        <w:t>el “ACUERDO MEDIANTE EL CUAL EL PLENO DEL INSTITUTO FEDERAL DE TELECOMUNICACIONES EMITE LOS LINEAMIENTOS PARA EL ACCESO EFECTIVO Y COMPARTIDO A LA INFRAESTRUCTURA DE LA COMISIÓN FEDERAL DE ELECTRICIDAD, POR PARTE DE TELECOMUNICACIONES DE MÉXICO; Y PARA LA CONSTRUCCIÓN Y CRECIMIENTO DE UNA RED TRONCAL NACIONAL”,</w:t>
      </w:r>
      <w:r w:rsidR="00F92087" w:rsidRPr="00F84180">
        <w:rPr>
          <w:rFonts w:ascii="ITC Avant Garde" w:eastAsia="Arial" w:hAnsi="ITC Avant Garde" w:cs="Arial"/>
          <w:sz w:val="22"/>
          <w:szCs w:val="22"/>
        </w:rPr>
        <w:t xml:space="preserve"> el Pleno del Instituto emite el siguiente</w:t>
      </w:r>
      <w:r w:rsidRPr="00F84180">
        <w:rPr>
          <w:rFonts w:ascii="ITC Avant Garde" w:eastAsia="Arial" w:hAnsi="ITC Avant Garde" w:cs="Arial"/>
          <w:sz w:val="22"/>
          <w:szCs w:val="22"/>
        </w:rPr>
        <w:t>:</w:t>
      </w:r>
      <w:bookmarkStart w:id="0" w:name="_GoBack"/>
      <w:bookmarkEnd w:id="0"/>
    </w:p>
    <w:p w:rsidR="00F84180" w:rsidRPr="00F84180" w:rsidRDefault="00F92087" w:rsidP="00F84180">
      <w:pPr>
        <w:pStyle w:val="Ttulo2"/>
        <w:spacing w:after="240"/>
        <w:jc w:val="center"/>
        <w:rPr>
          <w:rFonts w:ascii="ITC Avant Garde Demi" w:hAnsi="ITC Avant Garde Demi"/>
          <w:b/>
          <w:color w:val="000000" w:themeColor="text1"/>
          <w:sz w:val="22"/>
          <w:szCs w:val="22"/>
        </w:rPr>
      </w:pPr>
      <w:r w:rsidRPr="00F84180">
        <w:rPr>
          <w:rFonts w:ascii="ITC Avant Garde Demi" w:hAnsi="ITC Avant Garde Demi"/>
          <w:b/>
          <w:color w:val="000000" w:themeColor="text1"/>
          <w:sz w:val="22"/>
          <w:szCs w:val="22"/>
        </w:rPr>
        <w:t>ACUERDO</w:t>
      </w:r>
    </w:p>
    <w:p w:rsidR="00F84180" w:rsidRPr="00F84180" w:rsidRDefault="00DB5CEA"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PRIMERO.-</w:t>
      </w:r>
      <w:r w:rsidRPr="00F84180">
        <w:rPr>
          <w:rFonts w:ascii="ITC Avant Garde" w:eastAsia="Arial" w:hAnsi="ITC Avant Garde" w:cs="Arial"/>
          <w:sz w:val="22"/>
          <w:szCs w:val="22"/>
        </w:rPr>
        <w:t xml:space="preserve"> </w:t>
      </w:r>
      <w:r w:rsidR="004923BA" w:rsidRPr="00F84180">
        <w:rPr>
          <w:rFonts w:ascii="ITC Avant Garde" w:eastAsia="Arial" w:hAnsi="ITC Avant Garde" w:cs="Arial"/>
          <w:sz w:val="22"/>
          <w:szCs w:val="22"/>
        </w:rPr>
        <w:t>El Instituto Federal de Telecomunicaciones autoriza e</w:t>
      </w:r>
      <w:r w:rsidR="00617447" w:rsidRPr="00F84180">
        <w:rPr>
          <w:rFonts w:ascii="ITC Avant Garde" w:eastAsia="Arial" w:hAnsi="ITC Avant Garde" w:cs="Arial"/>
          <w:sz w:val="22"/>
          <w:szCs w:val="22"/>
        </w:rPr>
        <w:t>l Programa Trianual presentado por Telecomunicaciones de México</w:t>
      </w:r>
      <w:r w:rsidR="00B80053" w:rsidRPr="00F84180">
        <w:rPr>
          <w:rFonts w:ascii="ITC Avant Garde" w:eastAsia="Arial" w:hAnsi="ITC Avant Garde" w:cs="Arial"/>
          <w:sz w:val="22"/>
          <w:szCs w:val="22"/>
        </w:rPr>
        <w:t xml:space="preserve"> en lo relativo a la construcción y el crecimiento de una robusta red troncal de telecomunicaciones de cobertura</w:t>
      </w:r>
      <w:r w:rsidR="006A4F25" w:rsidRPr="00F84180">
        <w:rPr>
          <w:rFonts w:ascii="ITC Avant Garde" w:eastAsia="Arial" w:hAnsi="ITC Avant Garde" w:cs="Arial"/>
          <w:sz w:val="22"/>
          <w:szCs w:val="22"/>
        </w:rPr>
        <w:t xml:space="preserve"> nacional</w:t>
      </w:r>
      <w:r w:rsidR="00617447" w:rsidRPr="00F84180">
        <w:rPr>
          <w:rFonts w:ascii="ITC Avant Garde" w:eastAsia="Arial" w:hAnsi="ITC Avant Garde" w:cs="Arial"/>
          <w:sz w:val="22"/>
          <w:szCs w:val="22"/>
        </w:rPr>
        <w:t>.</w:t>
      </w:r>
    </w:p>
    <w:p w:rsidR="00E23EBC" w:rsidRPr="00F84180" w:rsidRDefault="006355E2" w:rsidP="00F84180">
      <w:pPr>
        <w:spacing w:after="240" w:line="276" w:lineRule="auto"/>
        <w:ind w:right="49"/>
        <w:jc w:val="both"/>
        <w:rPr>
          <w:rFonts w:ascii="ITC Avant Garde" w:eastAsia="Arial" w:hAnsi="ITC Avant Garde" w:cs="Arial"/>
          <w:sz w:val="22"/>
          <w:szCs w:val="22"/>
        </w:rPr>
      </w:pPr>
      <w:r w:rsidRPr="00F84180">
        <w:rPr>
          <w:rFonts w:ascii="ITC Avant Garde" w:eastAsia="Arial" w:hAnsi="ITC Avant Garde" w:cs="Arial"/>
          <w:b/>
          <w:sz w:val="22"/>
          <w:szCs w:val="22"/>
        </w:rPr>
        <w:t>SEGUNDO</w:t>
      </w:r>
      <w:r w:rsidR="00E23EBC" w:rsidRPr="00F84180">
        <w:rPr>
          <w:rFonts w:ascii="ITC Avant Garde" w:eastAsia="Arial" w:hAnsi="ITC Avant Garde" w:cs="Arial"/>
          <w:b/>
          <w:sz w:val="22"/>
          <w:szCs w:val="22"/>
        </w:rPr>
        <w:t>.-</w:t>
      </w:r>
      <w:r w:rsidR="00E23EBC" w:rsidRPr="00F84180">
        <w:rPr>
          <w:rFonts w:ascii="ITC Avant Garde" w:eastAsia="Arial" w:hAnsi="ITC Avant Garde" w:cs="Arial"/>
          <w:sz w:val="22"/>
          <w:szCs w:val="22"/>
        </w:rPr>
        <w:t xml:space="preserve"> Notifíquese a Telecomunicaciones de México</w:t>
      </w:r>
      <w:r w:rsidR="001F36FD" w:rsidRPr="00F84180">
        <w:rPr>
          <w:rFonts w:ascii="ITC Avant Garde" w:eastAsia="Arial" w:hAnsi="ITC Avant Garde" w:cs="Arial"/>
          <w:sz w:val="22"/>
          <w:szCs w:val="22"/>
        </w:rPr>
        <w:t>.</w:t>
      </w:r>
    </w:p>
    <w:p w:rsidR="00F84180" w:rsidRPr="00F84180" w:rsidRDefault="005A4950" w:rsidP="00F84180">
      <w:pPr>
        <w:jc w:val="both"/>
        <w:rPr>
          <w:rFonts w:ascii="ITC Avant Garde" w:hAnsi="ITC Avant Garde"/>
          <w:sz w:val="14"/>
          <w:szCs w:val="14"/>
          <w:lang w:val="es-ES"/>
        </w:rPr>
      </w:pPr>
      <w:r w:rsidRPr="00F84180">
        <w:rPr>
          <w:rFonts w:ascii="ITC Avant Garde" w:hAnsi="ITC Avant Garde"/>
          <w:sz w:val="14"/>
          <w:szCs w:val="14"/>
          <w:lang w:val="es-ES"/>
        </w:rPr>
        <w:t xml:space="preserve">El presente Acuerdo fue aprobado por el Pleno del Instituto Federal de Telecomunicaciones en su XXVII Sesión Ordinaria celebrada el 28 de junio de 2017, por </w:t>
      </w:r>
      <w:r w:rsidRPr="00F84180">
        <w:rPr>
          <w:rFonts w:ascii="ITC Avant Garde" w:hAnsi="ITC Avant Garde"/>
          <w:bCs/>
          <w:sz w:val="14"/>
          <w:szCs w:val="14"/>
          <w:lang w:val="es-ES"/>
        </w:rPr>
        <w:t>mayoría</w:t>
      </w:r>
      <w:r w:rsidRPr="00F84180">
        <w:rPr>
          <w:rFonts w:ascii="ITC Avant Garde" w:hAnsi="ITC Avant Garde"/>
          <w:sz w:val="14"/>
          <w:szCs w:val="14"/>
          <w:lang w:val="es-ES"/>
        </w:rPr>
        <w:t xml:space="preserve"> 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P/IFT/280617/362.</w:t>
      </w:r>
    </w:p>
    <w:p w:rsidR="00F84180" w:rsidRPr="00F84180" w:rsidRDefault="005A4950" w:rsidP="00F84180">
      <w:pPr>
        <w:jc w:val="both"/>
        <w:rPr>
          <w:rFonts w:ascii="ITC Avant Garde" w:eastAsia="Arial" w:hAnsi="ITC Avant Garde" w:cs="Arial"/>
          <w:sz w:val="14"/>
          <w:szCs w:val="14"/>
        </w:rPr>
      </w:pPr>
      <w:r w:rsidRPr="00F84180">
        <w:rPr>
          <w:rFonts w:ascii="ITC Avant Garde" w:hAnsi="ITC Avant Garde"/>
          <w:sz w:val="14"/>
          <w:szCs w:val="14"/>
          <w:lang w:val="es-ES"/>
        </w:rPr>
        <w:t>El Comisionado Arturo Robles Rovalo,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84180" w:rsidRPr="00F84180" w:rsidSect="005A4950">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8E" w:rsidRDefault="00F71C8E" w:rsidP="00A46617">
      <w:r>
        <w:separator/>
      </w:r>
    </w:p>
  </w:endnote>
  <w:endnote w:type="continuationSeparator" w:id="0">
    <w:p w:rsidR="00F71C8E" w:rsidRDefault="00F71C8E" w:rsidP="00A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ITC Avant Garde Demi">
    <w:panose1 w:val="020B0702020203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2104297664"/>
      <w:docPartObj>
        <w:docPartGallery w:val="Page Numbers (Bottom of Page)"/>
        <w:docPartUnique/>
      </w:docPartObj>
    </w:sdtPr>
    <w:sdtEndPr/>
    <w:sdtContent>
      <w:p w:rsidR="00E318E0" w:rsidRPr="00F84180" w:rsidRDefault="00E318E0" w:rsidP="00F84180">
        <w:pPr>
          <w:pStyle w:val="Piedepgina"/>
          <w:jc w:val="right"/>
          <w:rPr>
            <w:rFonts w:ascii="ITC Avant Garde" w:hAnsi="ITC Avant Garde"/>
          </w:rPr>
        </w:pPr>
        <w:r w:rsidRPr="003B24EC">
          <w:rPr>
            <w:rFonts w:ascii="ITC Avant Garde" w:hAnsi="ITC Avant Garde"/>
          </w:rPr>
          <w:fldChar w:fldCharType="begin"/>
        </w:r>
        <w:r w:rsidRPr="003B24EC">
          <w:rPr>
            <w:rFonts w:ascii="ITC Avant Garde" w:hAnsi="ITC Avant Garde"/>
          </w:rPr>
          <w:instrText>PAGE   \* MERGEFORMAT</w:instrText>
        </w:r>
        <w:r w:rsidRPr="003B24EC">
          <w:rPr>
            <w:rFonts w:ascii="ITC Avant Garde" w:hAnsi="ITC Avant Garde"/>
          </w:rPr>
          <w:fldChar w:fldCharType="separate"/>
        </w:r>
        <w:r w:rsidR="00F84180" w:rsidRPr="00F84180">
          <w:rPr>
            <w:rFonts w:ascii="ITC Avant Garde" w:hAnsi="ITC Avant Garde"/>
            <w:noProof/>
            <w:lang w:val="es-ES"/>
          </w:rPr>
          <w:t>25</w:t>
        </w:r>
        <w:r w:rsidRPr="003B24EC">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8E" w:rsidRDefault="00F71C8E" w:rsidP="00A46617">
      <w:r>
        <w:separator/>
      </w:r>
    </w:p>
  </w:footnote>
  <w:footnote w:type="continuationSeparator" w:id="0">
    <w:p w:rsidR="00F71C8E" w:rsidRDefault="00F71C8E" w:rsidP="00A46617">
      <w:r>
        <w:continuationSeparator/>
      </w:r>
    </w:p>
  </w:footnote>
  <w:footnote w:id="1">
    <w:p w:rsidR="00E318E0" w:rsidRPr="00C92CF6" w:rsidRDefault="00E318E0" w:rsidP="00224552">
      <w:pPr>
        <w:tabs>
          <w:tab w:val="num" w:pos="1220"/>
          <w:tab w:val="num" w:pos="1940"/>
        </w:tabs>
        <w:jc w:val="both"/>
        <w:rPr>
          <w:lang w:val="en-US"/>
        </w:rPr>
      </w:pPr>
      <w:r w:rsidRPr="00553C00">
        <w:rPr>
          <w:rFonts w:ascii="ITC Avant Garde" w:eastAsia="Arial" w:hAnsi="ITC Avant Garde" w:cs="Arial"/>
          <w:sz w:val="16"/>
          <w:szCs w:val="16"/>
          <w:vertAlign w:val="superscript"/>
          <w:lang w:val="es-ES_tradnl"/>
        </w:rPr>
        <w:footnoteRef/>
      </w:r>
      <w:r w:rsidRPr="00C92CF6">
        <w:rPr>
          <w:rFonts w:ascii="ITC Avant Garde" w:eastAsia="Arial" w:hAnsi="ITC Avant Garde" w:cs="Arial"/>
          <w:sz w:val="16"/>
          <w:szCs w:val="16"/>
          <w:lang w:val="en-US"/>
        </w:rPr>
        <w:t xml:space="preserve"> “</w:t>
      </w:r>
      <w:r w:rsidRPr="00C92CF6">
        <w:rPr>
          <w:rFonts w:ascii="ITC Avant Garde" w:eastAsia="Arial" w:hAnsi="ITC Avant Garde" w:cs="Arial"/>
          <w:i/>
          <w:sz w:val="16"/>
          <w:szCs w:val="16"/>
          <w:lang w:val="en-US"/>
        </w:rPr>
        <w:t>Individual Electronic Communications Network Service Licence No: 0455/IECNS/OCT09 Granted and Issued to Broadband Infraco (Pty) Ltd for the Provision of Electronic Communications Network Services”, Independent Communications Authority of South Africa, octubre 2009</w:t>
      </w:r>
      <w:r w:rsidRPr="00C92CF6">
        <w:rPr>
          <w:rFonts w:ascii="ITC Avant Garde" w:eastAsia="Arial" w:hAnsi="ITC Avant Garde" w:cs="Arial"/>
          <w:sz w:val="16"/>
          <w:szCs w:val="16"/>
          <w:lang w:val="en-US"/>
        </w:rPr>
        <w:t>.</w:t>
      </w:r>
    </w:p>
  </w:footnote>
  <w:footnote w:id="2">
    <w:p w:rsidR="00E318E0" w:rsidRPr="00FC4A9F" w:rsidRDefault="00E318E0" w:rsidP="007206D5">
      <w:pPr>
        <w:tabs>
          <w:tab w:val="num" w:pos="1220"/>
          <w:tab w:val="num" w:pos="1940"/>
        </w:tabs>
        <w:jc w:val="both"/>
        <w:rPr>
          <w:rFonts w:ascii="ITC Avant Garde" w:eastAsia="Arial" w:hAnsi="ITC Avant Garde" w:cs="Arial"/>
          <w:sz w:val="16"/>
          <w:szCs w:val="16"/>
          <w:lang w:val="es-ES_tradnl"/>
        </w:rPr>
      </w:pPr>
      <w:r w:rsidRPr="00FC4A9F">
        <w:rPr>
          <w:rStyle w:val="Refdenotaalpie"/>
          <w:rFonts w:ascii="ITC Avant Garde" w:hAnsi="ITC Avant Garde"/>
          <w:sz w:val="16"/>
          <w:szCs w:val="16"/>
        </w:rPr>
        <w:footnoteRef/>
      </w:r>
      <w:r w:rsidRPr="00FC4A9F">
        <w:rPr>
          <w:rFonts w:ascii="ITC Avant Garde" w:hAnsi="ITC Avant Garde"/>
          <w:sz w:val="16"/>
          <w:szCs w:val="16"/>
        </w:rPr>
        <w:t xml:space="preserve"> </w:t>
      </w:r>
      <w:r w:rsidRPr="00FC4A9F">
        <w:rPr>
          <w:rFonts w:ascii="ITC Avant Garde" w:eastAsia="Arial" w:hAnsi="ITC Avant Garde" w:cs="Arial"/>
          <w:sz w:val="16"/>
          <w:szCs w:val="16"/>
          <w:lang w:val="es-ES_tradnl"/>
        </w:rPr>
        <w:t>En 2011 se adjudicó el proyecto a Azteca Comunicaciones Colombia, que adquirió la obligación de instalar la red de fibra óptica en al menos 400 nuevos municipios, que con los 300 municipios ya conectados, se pudiera cumplir la meta del Plan Vive Digital de alcanzar mínimo 700 municipios conectados, es decir, la cobertura de alrededor del 90% de la población colombiana. A inicios de 2013 el concesionario completó el primer grupo de 226 municipios conectados, y al mes de junio de 2013 completó el segundo grupo compuesto por otros 226 municipios.</w:t>
      </w:r>
    </w:p>
  </w:footnote>
  <w:footnote w:id="3">
    <w:p w:rsidR="00E318E0" w:rsidRDefault="00E318E0" w:rsidP="00224552">
      <w:pPr>
        <w:pStyle w:val="Textonotapie"/>
        <w:jc w:val="both"/>
      </w:pPr>
      <w:r>
        <w:rPr>
          <w:rStyle w:val="Refdenotaalpie"/>
        </w:rPr>
        <w:footnoteRef/>
      </w:r>
      <w:r>
        <w:t xml:space="preserve"> </w:t>
      </w:r>
      <w:r w:rsidRPr="006E0895">
        <w:rPr>
          <w:rFonts w:ascii="ITC Avant Garde" w:eastAsia="Arial" w:hAnsi="ITC Avant Garde" w:cs="Arial"/>
          <w:sz w:val="16"/>
          <w:szCs w:val="16"/>
          <w:lang w:val="es-ES_tradnl"/>
        </w:rPr>
        <w:t>Concurso de Proyectos</w:t>
      </w:r>
      <w:r>
        <w:rPr>
          <w:rFonts w:ascii="ITC Avant Garde" w:eastAsia="Arial" w:hAnsi="ITC Avant Garde" w:cs="Arial"/>
          <w:sz w:val="16"/>
          <w:szCs w:val="16"/>
          <w:lang w:val="es-ES_tradnl"/>
        </w:rPr>
        <w:t xml:space="preserve"> I</w:t>
      </w:r>
      <w:r w:rsidRPr="006E0895">
        <w:rPr>
          <w:rFonts w:ascii="ITC Avant Garde" w:eastAsia="Arial" w:hAnsi="ITC Avant Garde" w:cs="Arial"/>
          <w:sz w:val="16"/>
          <w:szCs w:val="16"/>
          <w:lang w:val="es-ES_tradnl"/>
        </w:rPr>
        <w:t xml:space="preserve">ntegrales para el </w:t>
      </w:r>
      <w:r>
        <w:rPr>
          <w:rFonts w:ascii="ITC Avant Garde" w:eastAsia="Arial" w:hAnsi="ITC Avant Garde" w:cs="Arial"/>
          <w:sz w:val="16"/>
          <w:szCs w:val="16"/>
          <w:lang w:val="es-ES_tradnl"/>
        </w:rPr>
        <w:t>O</w:t>
      </w:r>
      <w:r w:rsidRPr="006E0895">
        <w:rPr>
          <w:rFonts w:ascii="ITC Avant Garde" w:eastAsia="Arial" w:hAnsi="ITC Avant Garde" w:cs="Arial"/>
          <w:sz w:val="16"/>
          <w:szCs w:val="16"/>
          <w:lang w:val="es-ES_tradnl"/>
        </w:rPr>
        <w:t xml:space="preserve">torgamiento en </w:t>
      </w:r>
      <w:r>
        <w:rPr>
          <w:rFonts w:ascii="ITC Avant Garde" w:eastAsia="Arial" w:hAnsi="ITC Avant Garde" w:cs="Arial"/>
          <w:sz w:val="16"/>
          <w:szCs w:val="16"/>
          <w:lang w:val="es-ES_tradnl"/>
        </w:rPr>
        <w:t>C</w:t>
      </w:r>
      <w:r w:rsidRPr="006E0895">
        <w:rPr>
          <w:rFonts w:ascii="ITC Avant Garde" w:eastAsia="Arial" w:hAnsi="ITC Avant Garde" w:cs="Arial"/>
          <w:sz w:val="16"/>
          <w:szCs w:val="16"/>
          <w:lang w:val="es-ES_tradnl"/>
        </w:rPr>
        <w:t xml:space="preserve">oncesión </w:t>
      </w:r>
      <w:r>
        <w:rPr>
          <w:rFonts w:ascii="ITC Avant Garde" w:eastAsia="Arial" w:hAnsi="ITC Avant Garde" w:cs="Arial"/>
          <w:sz w:val="16"/>
          <w:szCs w:val="16"/>
          <w:lang w:val="es-ES_tradnl"/>
        </w:rPr>
        <w:t>del P</w:t>
      </w:r>
      <w:r w:rsidRPr="006E0895">
        <w:rPr>
          <w:rFonts w:ascii="ITC Avant Garde" w:eastAsia="Arial" w:hAnsi="ITC Avant Garde" w:cs="Arial"/>
          <w:sz w:val="16"/>
          <w:szCs w:val="16"/>
          <w:lang w:val="es-ES_tradnl"/>
        </w:rPr>
        <w:t xml:space="preserve">royecto: “Red Dorsal Nacional de Fibra Óptica: Cobertura Universal Norte, </w:t>
      </w:r>
      <w:r>
        <w:rPr>
          <w:rFonts w:ascii="ITC Avant Garde" w:eastAsia="Arial" w:hAnsi="ITC Avant Garde" w:cs="Arial"/>
          <w:sz w:val="16"/>
          <w:szCs w:val="16"/>
          <w:lang w:val="es-ES_tradnl"/>
        </w:rPr>
        <w:t>Cobertura Universal Sur y C</w:t>
      </w:r>
      <w:r w:rsidRPr="006E0895">
        <w:rPr>
          <w:rFonts w:ascii="ITC Avant Garde" w:eastAsia="Arial" w:hAnsi="ITC Avant Garde" w:cs="Arial"/>
          <w:sz w:val="16"/>
          <w:szCs w:val="16"/>
          <w:lang w:val="es-ES_tradnl"/>
        </w:rPr>
        <w:t xml:space="preserve">obertura Universal Centro”, </w:t>
      </w:r>
      <w:r>
        <w:rPr>
          <w:rFonts w:ascii="ITC Avant Garde" w:eastAsia="Arial" w:hAnsi="ITC Avant Garde" w:cs="Arial"/>
          <w:sz w:val="16"/>
          <w:szCs w:val="16"/>
          <w:lang w:val="es-ES_tradnl"/>
        </w:rPr>
        <w:t xml:space="preserve">República del Perú, </w:t>
      </w:r>
      <w:r w:rsidRPr="006E0895">
        <w:rPr>
          <w:rFonts w:ascii="ITC Avant Garde" w:eastAsia="Arial" w:hAnsi="ITC Avant Garde" w:cs="Arial"/>
          <w:sz w:val="16"/>
          <w:szCs w:val="16"/>
          <w:lang w:val="es-ES_tradnl"/>
        </w:rPr>
        <w:t xml:space="preserve">diciembre </w:t>
      </w:r>
      <w:r>
        <w:rPr>
          <w:rFonts w:ascii="ITC Avant Garde" w:eastAsia="Arial" w:hAnsi="ITC Avant Garde" w:cs="Arial"/>
          <w:sz w:val="16"/>
          <w:szCs w:val="16"/>
          <w:lang w:val="es-ES_tradnl"/>
        </w:rPr>
        <w:t xml:space="preserve">de </w:t>
      </w:r>
      <w:r w:rsidRPr="006E0895">
        <w:rPr>
          <w:rFonts w:ascii="ITC Avant Garde" w:eastAsia="Arial" w:hAnsi="ITC Avant Garde" w:cs="Arial"/>
          <w:sz w:val="16"/>
          <w:szCs w:val="16"/>
          <w:lang w:val="es-ES_tradnl"/>
        </w:rPr>
        <w:t>2013</w:t>
      </w:r>
      <w:r>
        <w:rPr>
          <w:rFonts w:ascii="ITC Avant Garde" w:eastAsia="Arial" w:hAnsi="ITC Avant Garde" w:cs="Arial"/>
          <w:sz w:val="16"/>
          <w:szCs w:val="16"/>
          <w:lang w:val="es-ES_tradnl"/>
        </w:rPr>
        <w:t>.</w:t>
      </w:r>
    </w:p>
  </w:footnote>
  <w:footnote w:id="4">
    <w:p w:rsidR="00E318E0" w:rsidRPr="000210AC" w:rsidRDefault="00E318E0" w:rsidP="00696581">
      <w:pPr>
        <w:pStyle w:val="Textonotapie"/>
        <w:jc w:val="both"/>
        <w:rPr>
          <w:rFonts w:ascii="ITC Avant Garde" w:hAnsi="ITC Avant Garde"/>
          <w:sz w:val="18"/>
          <w:szCs w:val="18"/>
        </w:rPr>
      </w:pPr>
      <w:r w:rsidRPr="000210AC">
        <w:rPr>
          <w:rStyle w:val="Refdenotaalpie"/>
          <w:rFonts w:ascii="ITC Avant Garde" w:hAnsi="ITC Avant Garde"/>
          <w:sz w:val="18"/>
          <w:szCs w:val="18"/>
        </w:rPr>
        <w:footnoteRef/>
      </w:r>
      <w:r w:rsidRPr="000210AC">
        <w:rPr>
          <w:rFonts w:ascii="ITC Avant Garde" w:hAnsi="ITC Avant Garde"/>
          <w:sz w:val="18"/>
          <w:szCs w:val="18"/>
        </w:rPr>
        <w:t xml:space="preserve"> Multiprotocolo de conmutación de etiquetas, del inglés Internet </w:t>
      </w:r>
      <w:r w:rsidRPr="001B3FB4">
        <w:rPr>
          <w:rFonts w:ascii="ITC Avant Garde" w:hAnsi="ITC Avant Garde"/>
          <w:i/>
          <w:sz w:val="18"/>
          <w:szCs w:val="18"/>
        </w:rPr>
        <w:t>Protocol-Multiprotocol Label Switching</w:t>
      </w:r>
      <w:r w:rsidRPr="000210AC">
        <w:rPr>
          <w:rFonts w:ascii="ITC Avant Garde" w:hAnsi="ITC Avant Garde"/>
          <w:sz w:val="18"/>
          <w:szCs w:val="18"/>
        </w:rPr>
        <w:t>.</w:t>
      </w:r>
    </w:p>
  </w:footnote>
  <w:footnote w:id="5">
    <w:p w:rsidR="00E318E0" w:rsidRPr="000210AC" w:rsidRDefault="00E318E0" w:rsidP="00696581">
      <w:pPr>
        <w:pStyle w:val="Textonotapie"/>
        <w:jc w:val="both"/>
        <w:rPr>
          <w:rFonts w:ascii="ITC Avant Garde" w:hAnsi="ITC Avant Garde"/>
          <w:sz w:val="18"/>
          <w:szCs w:val="18"/>
        </w:rPr>
      </w:pPr>
      <w:r w:rsidRPr="000210AC">
        <w:rPr>
          <w:rStyle w:val="Refdenotaalpie"/>
          <w:rFonts w:ascii="ITC Avant Garde" w:hAnsi="ITC Avant Garde"/>
          <w:sz w:val="18"/>
          <w:szCs w:val="18"/>
        </w:rPr>
        <w:footnoteRef/>
      </w:r>
      <w:r w:rsidRPr="000210AC">
        <w:rPr>
          <w:rFonts w:ascii="ITC Avant Garde" w:hAnsi="ITC Avant Garde"/>
          <w:sz w:val="18"/>
          <w:szCs w:val="18"/>
        </w:rPr>
        <w:t xml:space="preserve"> Servicios </w:t>
      </w:r>
      <w:r>
        <w:rPr>
          <w:rFonts w:ascii="ITC Avant Garde" w:hAnsi="ITC Avant Garde"/>
          <w:sz w:val="18"/>
          <w:szCs w:val="18"/>
        </w:rPr>
        <w:t xml:space="preserve">para necesidades específicas </w:t>
      </w:r>
      <w:r w:rsidRPr="000210AC">
        <w:rPr>
          <w:rFonts w:ascii="ITC Avant Garde" w:hAnsi="ITC Avant Garde"/>
          <w:sz w:val="18"/>
          <w:szCs w:val="18"/>
        </w:rPr>
        <w:t>que integró la Comisión a diversos clientes</w:t>
      </w:r>
      <w:r>
        <w:rPr>
          <w:rFonts w:ascii="ITC Avant Garde" w:hAnsi="ITC Avant Garde"/>
          <w:sz w:val="18"/>
          <w:szCs w:val="18"/>
        </w:rPr>
        <w:t>, por lo que se prestan hasta la terminación del contrato específico</w:t>
      </w:r>
      <w:r w:rsidRPr="000210AC">
        <w:rPr>
          <w:rFonts w:ascii="ITC Avant Garde" w:hAnsi="ITC Avant Garde"/>
          <w:sz w:val="18"/>
          <w:szCs w:val="18"/>
        </w:rPr>
        <w:t>.</w:t>
      </w:r>
    </w:p>
  </w:footnote>
  <w:footnote w:id="6">
    <w:p w:rsidR="00E318E0" w:rsidRPr="009F61B2" w:rsidRDefault="00E318E0" w:rsidP="00696581">
      <w:pPr>
        <w:pStyle w:val="Textonotapie"/>
        <w:jc w:val="both"/>
        <w:rPr>
          <w:rFonts w:ascii="ITC Avant Garde" w:hAnsi="ITC Avant Garde"/>
          <w:sz w:val="18"/>
          <w:szCs w:val="18"/>
        </w:rPr>
      </w:pPr>
      <w:r w:rsidRPr="009F61B2">
        <w:rPr>
          <w:rStyle w:val="Refdenotaalpie"/>
          <w:rFonts w:ascii="ITC Avant Garde" w:hAnsi="ITC Avant Garde"/>
          <w:sz w:val="18"/>
          <w:szCs w:val="18"/>
        </w:rPr>
        <w:footnoteRef/>
      </w:r>
      <w:r w:rsidRPr="009F61B2">
        <w:rPr>
          <w:rFonts w:ascii="ITC Avant Garde" w:hAnsi="ITC Avant Garde"/>
          <w:sz w:val="18"/>
          <w:szCs w:val="18"/>
        </w:rPr>
        <w:t xml:space="preserve"> Jerarquía Digital Síncrona, del inglés, </w:t>
      </w:r>
      <w:r w:rsidRPr="009F61B2">
        <w:rPr>
          <w:rFonts w:ascii="ITC Avant Garde" w:hAnsi="ITC Avant Garde"/>
          <w:i/>
          <w:sz w:val="18"/>
          <w:szCs w:val="18"/>
        </w:rPr>
        <w:t>Synchronous Digital Hierarchy</w:t>
      </w:r>
      <w:r>
        <w:rPr>
          <w:rFonts w:ascii="ITC Avant Garde" w:hAnsi="ITC Avant Garde"/>
          <w:sz w:val="18"/>
          <w:szCs w:val="18"/>
        </w:rPr>
        <w:t>.</w:t>
      </w:r>
    </w:p>
  </w:footnote>
  <w:footnote w:id="7">
    <w:p w:rsidR="00E318E0" w:rsidRPr="0099428B" w:rsidRDefault="00E318E0" w:rsidP="00696581">
      <w:pPr>
        <w:pStyle w:val="Textonotapie"/>
        <w:jc w:val="both"/>
        <w:rPr>
          <w:rFonts w:ascii="ITC Avant Garde" w:hAnsi="ITC Avant Garde"/>
          <w:sz w:val="18"/>
          <w:szCs w:val="18"/>
        </w:rPr>
      </w:pPr>
      <w:r w:rsidRPr="00994068">
        <w:rPr>
          <w:rStyle w:val="Refdenotaalpie"/>
          <w:rFonts w:ascii="ITC Avant Garde" w:hAnsi="ITC Avant Garde"/>
          <w:sz w:val="18"/>
          <w:szCs w:val="18"/>
        </w:rPr>
        <w:footnoteRef/>
      </w:r>
      <w:r w:rsidRPr="00994068">
        <w:rPr>
          <w:rFonts w:ascii="ITC Avant Garde" w:hAnsi="ITC Avant Garde"/>
          <w:sz w:val="18"/>
          <w:szCs w:val="18"/>
        </w:rPr>
        <w:t xml:space="preserve"> Multiplexación por División de Longitud de Onda</w:t>
      </w:r>
      <w:r>
        <w:rPr>
          <w:rFonts w:ascii="ITC Avant Garde" w:hAnsi="ITC Avant Garde"/>
          <w:sz w:val="18"/>
          <w:szCs w:val="18"/>
        </w:rPr>
        <w:t xml:space="preserve"> Densa</w:t>
      </w:r>
      <w:r w:rsidRPr="00994068">
        <w:rPr>
          <w:rFonts w:ascii="ITC Avant Garde" w:hAnsi="ITC Avant Garde"/>
          <w:sz w:val="18"/>
          <w:szCs w:val="18"/>
        </w:rPr>
        <w:t xml:space="preserve">, del inglés, </w:t>
      </w:r>
      <w:r w:rsidRPr="00994068">
        <w:rPr>
          <w:rFonts w:ascii="ITC Avant Garde" w:hAnsi="ITC Avant Garde"/>
          <w:i/>
          <w:sz w:val="18"/>
          <w:szCs w:val="18"/>
        </w:rPr>
        <w:t xml:space="preserve">Dense Wavelenght Division </w:t>
      </w:r>
      <w:r w:rsidRPr="0099428B">
        <w:rPr>
          <w:rFonts w:ascii="ITC Avant Garde" w:hAnsi="ITC Avant Garde"/>
          <w:i/>
          <w:sz w:val="18"/>
          <w:szCs w:val="18"/>
        </w:rPr>
        <w:t>Multiplexing</w:t>
      </w:r>
      <w:r w:rsidRPr="0099428B">
        <w:rPr>
          <w:rFonts w:ascii="ITC Avant Garde" w:hAnsi="ITC Avant Garde"/>
          <w:sz w:val="18"/>
          <w:szCs w:val="18"/>
        </w:rPr>
        <w:t>.</w:t>
      </w:r>
    </w:p>
  </w:footnote>
  <w:footnote w:id="8">
    <w:p w:rsidR="00E318E0" w:rsidRDefault="00E318E0" w:rsidP="0099428B">
      <w:pPr>
        <w:pStyle w:val="Textonotapie"/>
        <w:jc w:val="both"/>
      </w:pPr>
      <w:r w:rsidRPr="0099428B">
        <w:rPr>
          <w:rStyle w:val="Refdenotaalpie"/>
          <w:rFonts w:ascii="ITC Avant Garde" w:hAnsi="ITC Avant Garde"/>
          <w:sz w:val="18"/>
          <w:szCs w:val="18"/>
        </w:rPr>
        <w:footnoteRef/>
      </w:r>
      <w:r w:rsidRPr="0099428B">
        <w:rPr>
          <w:rFonts w:ascii="ITC Avant Garde" w:hAnsi="ITC Avant Garde"/>
          <w:sz w:val="18"/>
          <w:szCs w:val="18"/>
        </w:rPr>
        <w:t xml:space="preserve"> Multiprotocolo de conmutación de etiquetas, del inglés</w:t>
      </w:r>
      <w:r w:rsidRPr="0099428B">
        <w:rPr>
          <w:rFonts w:ascii="ITC Avant Garde" w:hAnsi="ITC Avant Garde"/>
          <w:i/>
          <w:sz w:val="18"/>
          <w:szCs w:val="18"/>
        </w:rPr>
        <w:t>, Internet Protocol-Mulitprotocol Label Switching</w:t>
      </w:r>
      <w:r w:rsidRPr="0099428B">
        <w:rPr>
          <w:rFonts w:ascii="ITC Avant Garde" w:hAnsi="ITC Avant Garde"/>
          <w:sz w:val="18"/>
          <w:szCs w:val="18"/>
        </w:rPr>
        <w:t>.</w:t>
      </w:r>
    </w:p>
  </w:footnote>
  <w:footnote w:id="9">
    <w:p w:rsidR="00E318E0" w:rsidRPr="00B365A4" w:rsidRDefault="00E318E0">
      <w:pPr>
        <w:pStyle w:val="Textonotapie"/>
        <w:rPr>
          <w:rFonts w:ascii="ITC Avant Garde" w:hAnsi="ITC Avant Garde"/>
          <w:sz w:val="18"/>
          <w:szCs w:val="18"/>
        </w:rPr>
      </w:pPr>
      <w:r w:rsidRPr="00B365A4">
        <w:rPr>
          <w:rStyle w:val="Refdenotaalpie"/>
          <w:rFonts w:ascii="ITC Avant Garde" w:hAnsi="ITC Avant Garde"/>
          <w:sz w:val="18"/>
          <w:szCs w:val="18"/>
        </w:rPr>
        <w:footnoteRef/>
      </w:r>
      <w:r w:rsidRPr="00B365A4">
        <w:rPr>
          <w:rFonts w:ascii="ITC Avant Garde" w:hAnsi="ITC Avant Garde"/>
          <w:sz w:val="18"/>
          <w:szCs w:val="18"/>
        </w:rPr>
        <w:t xml:space="preserve"> Megabit por segundo</w:t>
      </w:r>
      <w:r>
        <w:rPr>
          <w:rFonts w:ascii="ITC Avant Garde" w:hAnsi="ITC Avant Garde"/>
          <w:sz w:val="18"/>
          <w:szCs w:val="18"/>
        </w:rPr>
        <w:t>.</w:t>
      </w:r>
    </w:p>
  </w:footnote>
  <w:footnote w:id="10">
    <w:p w:rsidR="00E318E0" w:rsidRPr="00B365A4" w:rsidRDefault="00E318E0">
      <w:pPr>
        <w:pStyle w:val="Textonotapie"/>
        <w:rPr>
          <w:rFonts w:ascii="ITC Avant Garde" w:hAnsi="ITC Avant Garde"/>
          <w:sz w:val="18"/>
          <w:szCs w:val="18"/>
        </w:rPr>
      </w:pPr>
      <w:r w:rsidRPr="00B365A4">
        <w:rPr>
          <w:rStyle w:val="Refdenotaalpie"/>
          <w:rFonts w:ascii="ITC Avant Garde" w:hAnsi="ITC Avant Garde"/>
          <w:sz w:val="18"/>
          <w:szCs w:val="18"/>
        </w:rPr>
        <w:footnoteRef/>
      </w:r>
      <w:r w:rsidRPr="00B365A4">
        <w:rPr>
          <w:rFonts w:ascii="ITC Avant Garde" w:hAnsi="ITC Avant Garde"/>
          <w:sz w:val="18"/>
          <w:szCs w:val="18"/>
        </w:rPr>
        <w:t xml:space="preserve"> Gigabit por segundo</w:t>
      </w:r>
      <w:r>
        <w:rPr>
          <w:rFonts w:ascii="ITC Avant Garde" w:hAnsi="ITC Avant Garde"/>
          <w:sz w:val="18"/>
          <w:szCs w:val="18"/>
        </w:rPr>
        <w:t>.</w:t>
      </w:r>
    </w:p>
  </w:footnote>
  <w:footnote w:id="11">
    <w:p w:rsidR="00E318E0" w:rsidRPr="00417CE9" w:rsidRDefault="00E318E0">
      <w:pPr>
        <w:pStyle w:val="Textonotapie"/>
        <w:rPr>
          <w:rFonts w:ascii="ITC Avant Garde" w:hAnsi="ITC Avant Garde"/>
          <w:lang w:val="en-US"/>
        </w:rPr>
      </w:pPr>
      <w:r w:rsidRPr="00417CE9">
        <w:rPr>
          <w:rStyle w:val="Refdenotaalpie"/>
          <w:rFonts w:ascii="ITC Avant Garde" w:hAnsi="ITC Avant Garde"/>
        </w:rPr>
        <w:footnoteRef/>
      </w:r>
      <w:r w:rsidRPr="00417CE9">
        <w:rPr>
          <w:rFonts w:ascii="ITC Avant Garde" w:hAnsi="ITC Avant Garde"/>
          <w:lang w:val="en-US"/>
        </w:rPr>
        <w:t xml:space="preserve"> </w:t>
      </w:r>
      <w:r w:rsidRPr="006D15FE">
        <w:rPr>
          <w:rFonts w:ascii="ITC Avant Garde" w:hAnsi="ITC Avant Garde"/>
          <w:sz w:val="18"/>
          <w:szCs w:val="18"/>
          <w:lang w:val="en-US"/>
        </w:rPr>
        <w:t xml:space="preserve">Del inglés, </w:t>
      </w:r>
      <w:r w:rsidRPr="006D15FE">
        <w:rPr>
          <w:rFonts w:ascii="ITC Avant Garde" w:hAnsi="ITC Avant Garde"/>
          <w:i/>
          <w:sz w:val="18"/>
          <w:szCs w:val="18"/>
          <w:lang w:val="en-US"/>
        </w:rPr>
        <w:t>Indefeasible Right of Use</w:t>
      </w:r>
      <w:r w:rsidRPr="006D15FE">
        <w:rPr>
          <w:rFonts w:ascii="ITC Avant Garde" w:hAnsi="ITC Avant Garde"/>
          <w:sz w:val="18"/>
          <w:szCs w:val="18"/>
          <w:lang w:val="en-US"/>
        </w:rPr>
        <w:t>.</w:t>
      </w:r>
    </w:p>
  </w:footnote>
  <w:footnote w:id="12">
    <w:p w:rsidR="00E318E0" w:rsidRDefault="00E318E0">
      <w:pPr>
        <w:pStyle w:val="Textonotapie"/>
      </w:pPr>
      <w:r w:rsidRPr="00367811">
        <w:rPr>
          <w:rStyle w:val="Refdenotaalpie"/>
          <w:rFonts w:ascii="ITC Avant Garde" w:hAnsi="ITC Avant Garde"/>
          <w:sz w:val="18"/>
        </w:rPr>
        <w:footnoteRef/>
      </w:r>
      <w:r w:rsidRPr="00367811">
        <w:rPr>
          <w:rFonts w:ascii="ITC Avant Garde" w:hAnsi="ITC Avant Garde"/>
          <w:sz w:val="18"/>
        </w:rPr>
        <w:t xml:space="preserve"> Altán Redes S.A.P.I. de C.V.</w:t>
      </w:r>
    </w:p>
  </w:footnote>
  <w:footnote w:id="13">
    <w:p w:rsidR="00E318E0" w:rsidRPr="004630FA" w:rsidRDefault="00E318E0">
      <w:pPr>
        <w:pStyle w:val="Textonotapie"/>
        <w:rPr>
          <w:rFonts w:ascii="ITC Avant Garde" w:hAnsi="ITC Avant Garde"/>
        </w:rPr>
      </w:pPr>
      <w:r w:rsidRPr="004630FA">
        <w:rPr>
          <w:rStyle w:val="Refdenotaalpie"/>
          <w:rFonts w:ascii="ITC Avant Garde" w:hAnsi="ITC Avant Garde"/>
        </w:rPr>
        <w:footnoteRef/>
      </w:r>
      <w:r w:rsidRPr="004630FA">
        <w:rPr>
          <w:rFonts w:ascii="ITC Avant Garde" w:hAnsi="ITC Avant Garde"/>
        </w:rPr>
        <w:t xml:space="preserve"> </w:t>
      </w:r>
      <w:r w:rsidRPr="006D15FE">
        <w:rPr>
          <w:rFonts w:ascii="ITC Avant Garde" w:hAnsi="ITC Avant Garde"/>
          <w:sz w:val="18"/>
          <w:szCs w:val="18"/>
        </w:rPr>
        <w:t xml:space="preserve">Telecomunicaciones de México refirió información de </w:t>
      </w:r>
      <w:r w:rsidRPr="006D15FE">
        <w:rPr>
          <w:rFonts w:ascii="ITC Avant Garde" w:hAnsi="ITC Avant Garde"/>
          <w:i/>
          <w:sz w:val="18"/>
          <w:szCs w:val="18"/>
        </w:rPr>
        <w:t>Cisco Visual Network Index: 2015-2020</w:t>
      </w:r>
      <w:r w:rsidRPr="006D15FE">
        <w:rPr>
          <w:rFonts w:ascii="ITC Avant Garde" w:hAnsi="ITC Avant Garde"/>
          <w:sz w:val="18"/>
          <w:szCs w:val="18"/>
        </w:rPr>
        <w:t>.</w:t>
      </w:r>
    </w:p>
  </w:footnote>
  <w:footnote w:id="14">
    <w:p w:rsidR="00E318E0" w:rsidRDefault="00E318E0" w:rsidP="00114695">
      <w:pPr>
        <w:pStyle w:val="Textonotapie"/>
        <w:jc w:val="both"/>
      </w:pPr>
      <w:r w:rsidRPr="00626934">
        <w:rPr>
          <w:rStyle w:val="Refdenotaalpie"/>
          <w:rFonts w:ascii="ITC Avant Garde" w:hAnsi="ITC Avant Garde"/>
          <w:sz w:val="16"/>
        </w:rPr>
        <w:footnoteRef/>
      </w:r>
      <w:r w:rsidRPr="00626934">
        <w:rPr>
          <w:rFonts w:ascii="ITC Avant Garde" w:hAnsi="ITC Avant Garde"/>
          <w:sz w:val="16"/>
        </w:rPr>
        <w:t xml:space="preserve"> Si se implementa una APP, dicho compromiso será establecido como una obligación mínima para el</w:t>
      </w:r>
      <w:r>
        <w:rPr>
          <w:rFonts w:ascii="ITC Avant Garde" w:hAnsi="ITC Avant Garde"/>
          <w:sz w:val="16"/>
        </w:rPr>
        <w:t xml:space="preserve"> </w:t>
      </w:r>
      <w:r w:rsidRPr="00626934">
        <w:rPr>
          <w:rFonts w:ascii="ITC Avant Garde" w:hAnsi="ITC Avant Garde"/>
          <w:sz w:val="16"/>
        </w:rPr>
        <w:t>Licitante Ganador</w:t>
      </w:r>
      <w:r w:rsidR="007C4FDD">
        <w:rPr>
          <w:rFonts w:ascii="ITC Avant Garde" w:hAnsi="ITC Avant Garde"/>
          <w:sz w:val="16"/>
        </w:rPr>
        <w:t>.</w:t>
      </w:r>
    </w:p>
  </w:footnote>
  <w:footnote w:id="15">
    <w:p w:rsidR="00E318E0" w:rsidRDefault="00E318E0" w:rsidP="003B24EC">
      <w:pPr>
        <w:pStyle w:val="Textonotapie"/>
        <w:jc w:val="both"/>
      </w:pPr>
      <w:r w:rsidRPr="00626934">
        <w:rPr>
          <w:rStyle w:val="Refdenotaalpie"/>
          <w:rFonts w:ascii="ITC Avant Garde" w:hAnsi="ITC Avant Garde"/>
          <w:sz w:val="16"/>
        </w:rPr>
        <w:footnoteRef/>
      </w:r>
      <w:r w:rsidRPr="00626934">
        <w:rPr>
          <w:rFonts w:ascii="ITC Avant Garde" w:hAnsi="ITC Avant Garde"/>
          <w:sz w:val="16"/>
        </w:rPr>
        <w:t xml:space="preserve"> Si se implementa una APP, dicho compromiso será establecido como una obligación mínima para el</w:t>
      </w:r>
      <w:r>
        <w:rPr>
          <w:rFonts w:ascii="ITC Avant Garde" w:hAnsi="ITC Avant Garde"/>
          <w:sz w:val="16"/>
        </w:rPr>
        <w:t xml:space="preserve"> </w:t>
      </w:r>
      <w:r w:rsidRPr="00626934">
        <w:rPr>
          <w:rFonts w:ascii="ITC Avant Garde" w:hAnsi="ITC Avant Garde"/>
          <w:sz w:val="16"/>
        </w:rPr>
        <w:t>Licitante Ganador</w:t>
      </w:r>
      <w:r w:rsidR="007C4FDD">
        <w:rPr>
          <w:rFonts w:ascii="ITC Avant Garde" w:hAnsi="ITC Avant Garde"/>
          <w:sz w:val="16"/>
        </w:rPr>
        <w:t>.</w:t>
      </w:r>
    </w:p>
  </w:footnote>
  <w:footnote w:id="16">
    <w:p w:rsidR="00E318E0" w:rsidRPr="00626934" w:rsidRDefault="00E318E0" w:rsidP="00114695">
      <w:pPr>
        <w:pStyle w:val="Textonotapie"/>
        <w:jc w:val="both"/>
        <w:rPr>
          <w:rFonts w:ascii="ITC Avant Garde" w:hAnsi="ITC Avant Garde"/>
          <w:sz w:val="16"/>
          <w:szCs w:val="16"/>
        </w:rPr>
      </w:pPr>
      <w:r w:rsidRPr="00626934">
        <w:rPr>
          <w:rStyle w:val="Refdenotaalpie"/>
          <w:rFonts w:ascii="ITC Avant Garde" w:hAnsi="ITC Avant Garde"/>
          <w:sz w:val="16"/>
          <w:szCs w:val="16"/>
        </w:rPr>
        <w:footnoteRef/>
      </w:r>
      <w:r w:rsidRPr="00626934">
        <w:rPr>
          <w:rFonts w:ascii="ITC Avant Garde" w:hAnsi="ITC Avant Garde"/>
          <w:sz w:val="16"/>
          <w:szCs w:val="16"/>
        </w:rPr>
        <w:t xml:space="preserve"> Si se implementa una APP, dicho compromiso será establecido como una obligación mínima para el</w:t>
      </w:r>
    </w:p>
    <w:p w:rsidR="00E318E0" w:rsidRDefault="00E318E0" w:rsidP="00114695">
      <w:pPr>
        <w:pStyle w:val="Textonotapie"/>
        <w:jc w:val="both"/>
      </w:pPr>
      <w:r w:rsidRPr="00626934">
        <w:rPr>
          <w:rFonts w:ascii="ITC Avant Garde" w:hAnsi="ITC Avant Garde"/>
          <w:sz w:val="16"/>
          <w:szCs w:val="16"/>
        </w:rPr>
        <w:t>Licitante Ganador.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FE5"/>
    <w:multiLevelType w:val="hybridMultilevel"/>
    <w:tmpl w:val="4FDE60F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1C6A539E">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F2332CE"/>
    <w:multiLevelType w:val="hybridMultilevel"/>
    <w:tmpl w:val="A80697E4"/>
    <w:lvl w:ilvl="0" w:tplc="080A0017">
      <w:start w:val="1"/>
      <w:numFmt w:val="lowerLetter"/>
      <w:lvlText w:val="%1)"/>
      <w:lvlJc w:val="left"/>
      <w:pPr>
        <w:ind w:left="1776" w:hanging="360"/>
      </w:pPr>
      <w:rPr>
        <w:rFonts w:hint="default"/>
      </w:rPr>
    </w:lvl>
    <w:lvl w:ilvl="1" w:tplc="080A0003">
      <w:start w:val="1"/>
      <w:numFmt w:val="bullet"/>
      <w:lvlText w:val="o"/>
      <w:lvlJc w:val="left"/>
      <w:pPr>
        <w:ind w:left="2496" w:hanging="360"/>
      </w:pPr>
      <w:rPr>
        <w:rFonts w:ascii="Courier New" w:hAnsi="Courier New" w:cs="Courier New" w:hint="default"/>
      </w:rPr>
    </w:lvl>
    <w:lvl w:ilvl="2" w:tplc="1C6A539E">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220B3A15"/>
    <w:multiLevelType w:val="hybridMultilevel"/>
    <w:tmpl w:val="CDB4027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6EA1D26"/>
    <w:multiLevelType w:val="hybridMultilevel"/>
    <w:tmpl w:val="DECE357E"/>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4C7708"/>
    <w:multiLevelType w:val="hybridMultilevel"/>
    <w:tmpl w:val="B322BEE6"/>
    <w:lvl w:ilvl="0" w:tplc="1C6A539E">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E21385A"/>
    <w:multiLevelType w:val="hybridMultilevel"/>
    <w:tmpl w:val="2504811E"/>
    <w:lvl w:ilvl="0" w:tplc="080A0017">
      <w:start w:val="1"/>
      <w:numFmt w:val="lowerLetter"/>
      <w:lvlText w:val="%1)"/>
      <w:lvlJc w:val="left"/>
      <w:pPr>
        <w:ind w:left="1776" w:hanging="360"/>
      </w:pPr>
      <w:rPr>
        <w:rFonts w:hint="default"/>
      </w:rPr>
    </w:lvl>
    <w:lvl w:ilvl="1" w:tplc="080A000F">
      <w:start w:val="1"/>
      <w:numFmt w:val="decimal"/>
      <w:lvlText w:val="%2."/>
      <w:lvlJc w:val="left"/>
      <w:pPr>
        <w:ind w:left="2496" w:hanging="360"/>
      </w:pPr>
      <w:rPr>
        <w:rFonts w:hint="default"/>
      </w:rPr>
    </w:lvl>
    <w:lvl w:ilvl="2" w:tplc="1C6A539E">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46BD131E"/>
    <w:multiLevelType w:val="hybridMultilevel"/>
    <w:tmpl w:val="18A031C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C650AC"/>
    <w:multiLevelType w:val="hybridMultilevel"/>
    <w:tmpl w:val="05E0D6EA"/>
    <w:lvl w:ilvl="0" w:tplc="558410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FA38C0"/>
    <w:multiLevelType w:val="hybridMultilevel"/>
    <w:tmpl w:val="C47A21F2"/>
    <w:lvl w:ilvl="0" w:tplc="080A0001">
      <w:start w:val="1"/>
      <w:numFmt w:val="bullet"/>
      <w:lvlText w:val=""/>
      <w:lvlJc w:val="left"/>
      <w:pPr>
        <w:ind w:left="360" w:hanging="360"/>
      </w:pPr>
      <w:rPr>
        <w:rFonts w:ascii="Symbol" w:hAnsi="Symbol" w:hint="default"/>
      </w:rPr>
    </w:lvl>
    <w:lvl w:ilvl="1" w:tplc="080A000F">
      <w:start w:val="1"/>
      <w:numFmt w:val="decimal"/>
      <w:lvlText w:val="%2."/>
      <w:lvlJc w:val="left"/>
      <w:pPr>
        <w:ind w:left="1080" w:hanging="360"/>
      </w:pPr>
      <w:rPr>
        <w:rFonts w:hint="default"/>
      </w:rPr>
    </w:lvl>
    <w:lvl w:ilvl="2" w:tplc="1C6A539E">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5CF792B"/>
    <w:multiLevelType w:val="hybridMultilevel"/>
    <w:tmpl w:val="E0B402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781B13"/>
    <w:multiLevelType w:val="hybridMultilevel"/>
    <w:tmpl w:val="91E211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A53EC7"/>
    <w:multiLevelType w:val="hybridMultilevel"/>
    <w:tmpl w:val="54968A06"/>
    <w:lvl w:ilvl="0" w:tplc="81AAD6C0">
      <w:start w:val="1"/>
      <w:numFmt w:val="decimal"/>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AA3A2E"/>
    <w:multiLevelType w:val="multilevel"/>
    <w:tmpl w:val="4EB290F2"/>
    <w:lvl w:ilvl="0">
      <w:start w:val="1"/>
      <w:numFmt w:val="upperRoman"/>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C2E3DEB"/>
    <w:multiLevelType w:val="hybridMultilevel"/>
    <w:tmpl w:val="45EA8C4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1C6A539E">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7"/>
  </w:num>
  <w:num w:numId="7">
    <w:abstractNumId w:val="9"/>
  </w:num>
  <w:num w:numId="8">
    <w:abstractNumId w:val="10"/>
  </w:num>
  <w:num w:numId="9">
    <w:abstractNumId w:val="4"/>
  </w:num>
  <w:num w:numId="10">
    <w:abstractNumId w:val="2"/>
  </w:num>
  <w:num w:numId="11">
    <w:abstractNumId w:val="13"/>
  </w:num>
  <w:num w:numId="12">
    <w:abstractNumId w:val="8"/>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10"/>
    <w:rsid w:val="0000045E"/>
    <w:rsid w:val="00010788"/>
    <w:rsid w:val="00011457"/>
    <w:rsid w:val="00011766"/>
    <w:rsid w:val="00016E11"/>
    <w:rsid w:val="00016E62"/>
    <w:rsid w:val="00016F72"/>
    <w:rsid w:val="000178FD"/>
    <w:rsid w:val="00020F01"/>
    <w:rsid w:val="000210AC"/>
    <w:rsid w:val="00025A35"/>
    <w:rsid w:val="00030699"/>
    <w:rsid w:val="00031683"/>
    <w:rsid w:val="00031D20"/>
    <w:rsid w:val="00032389"/>
    <w:rsid w:val="00037227"/>
    <w:rsid w:val="00037240"/>
    <w:rsid w:val="00037BA2"/>
    <w:rsid w:val="00040689"/>
    <w:rsid w:val="0004070D"/>
    <w:rsid w:val="0004345D"/>
    <w:rsid w:val="00044003"/>
    <w:rsid w:val="00044078"/>
    <w:rsid w:val="000461E0"/>
    <w:rsid w:val="00047937"/>
    <w:rsid w:val="00047B1C"/>
    <w:rsid w:val="00050119"/>
    <w:rsid w:val="000509AF"/>
    <w:rsid w:val="000509F4"/>
    <w:rsid w:val="00051884"/>
    <w:rsid w:val="00051D82"/>
    <w:rsid w:val="00054292"/>
    <w:rsid w:val="000542DE"/>
    <w:rsid w:val="00056445"/>
    <w:rsid w:val="00056B33"/>
    <w:rsid w:val="00057928"/>
    <w:rsid w:val="0006264D"/>
    <w:rsid w:val="000626B6"/>
    <w:rsid w:val="00063CF8"/>
    <w:rsid w:val="00063FE6"/>
    <w:rsid w:val="000640A7"/>
    <w:rsid w:val="00064CB0"/>
    <w:rsid w:val="0006605A"/>
    <w:rsid w:val="00067FE9"/>
    <w:rsid w:val="00070CDB"/>
    <w:rsid w:val="000767FB"/>
    <w:rsid w:val="00076BDD"/>
    <w:rsid w:val="00080C53"/>
    <w:rsid w:val="00081439"/>
    <w:rsid w:val="00083742"/>
    <w:rsid w:val="00086503"/>
    <w:rsid w:val="00087AB2"/>
    <w:rsid w:val="0009146E"/>
    <w:rsid w:val="00091B59"/>
    <w:rsid w:val="00093EB8"/>
    <w:rsid w:val="0009497F"/>
    <w:rsid w:val="000971B6"/>
    <w:rsid w:val="0009726B"/>
    <w:rsid w:val="000977B4"/>
    <w:rsid w:val="00097B7C"/>
    <w:rsid w:val="000A1EF0"/>
    <w:rsid w:val="000A2B10"/>
    <w:rsid w:val="000A2D99"/>
    <w:rsid w:val="000A4419"/>
    <w:rsid w:val="000A5113"/>
    <w:rsid w:val="000A57B8"/>
    <w:rsid w:val="000A5FE9"/>
    <w:rsid w:val="000A612C"/>
    <w:rsid w:val="000A637D"/>
    <w:rsid w:val="000A6394"/>
    <w:rsid w:val="000A63FA"/>
    <w:rsid w:val="000B0953"/>
    <w:rsid w:val="000B40F6"/>
    <w:rsid w:val="000B4DAF"/>
    <w:rsid w:val="000B5DD3"/>
    <w:rsid w:val="000B6164"/>
    <w:rsid w:val="000B6310"/>
    <w:rsid w:val="000C0587"/>
    <w:rsid w:val="000C2762"/>
    <w:rsid w:val="000C3A5D"/>
    <w:rsid w:val="000C3CBC"/>
    <w:rsid w:val="000C5F07"/>
    <w:rsid w:val="000C7017"/>
    <w:rsid w:val="000C7D37"/>
    <w:rsid w:val="000D005C"/>
    <w:rsid w:val="000D14B7"/>
    <w:rsid w:val="000D18B4"/>
    <w:rsid w:val="000D3D57"/>
    <w:rsid w:val="000D3D84"/>
    <w:rsid w:val="000D48F6"/>
    <w:rsid w:val="000D4F13"/>
    <w:rsid w:val="000D539D"/>
    <w:rsid w:val="000D53DA"/>
    <w:rsid w:val="000D5564"/>
    <w:rsid w:val="000D603C"/>
    <w:rsid w:val="000D633E"/>
    <w:rsid w:val="000D727C"/>
    <w:rsid w:val="000E1C06"/>
    <w:rsid w:val="000E44D6"/>
    <w:rsid w:val="000E76B3"/>
    <w:rsid w:val="000F1ECC"/>
    <w:rsid w:val="000F3175"/>
    <w:rsid w:val="000F3B81"/>
    <w:rsid w:val="000F587A"/>
    <w:rsid w:val="000F64A8"/>
    <w:rsid w:val="000F7C06"/>
    <w:rsid w:val="0010154B"/>
    <w:rsid w:val="001015D5"/>
    <w:rsid w:val="00101D0D"/>
    <w:rsid w:val="0010300E"/>
    <w:rsid w:val="00103120"/>
    <w:rsid w:val="00103132"/>
    <w:rsid w:val="00105C75"/>
    <w:rsid w:val="00107765"/>
    <w:rsid w:val="00107F63"/>
    <w:rsid w:val="00111014"/>
    <w:rsid w:val="00113053"/>
    <w:rsid w:val="00113083"/>
    <w:rsid w:val="00114695"/>
    <w:rsid w:val="00114C4F"/>
    <w:rsid w:val="001157CD"/>
    <w:rsid w:val="001162B0"/>
    <w:rsid w:val="001164B1"/>
    <w:rsid w:val="00116540"/>
    <w:rsid w:val="00117B84"/>
    <w:rsid w:val="001228D1"/>
    <w:rsid w:val="00124D10"/>
    <w:rsid w:val="00132B79"/>
    <w:rsid w:val="0013311B"/>
    <w:rsid w:val="001339B8"/>
    <w:rsid w:val="00135AFE"/>
    <w:rsid w:val="001363BC"/>
    <w:rsid w:val="00137285"/>
    <w:rsid w:val="001379A5"/>
    <w:rsid w:val="00137F02"/>
    <w:rsid w:val="001409F4"/>
    <w:rsid w:val="00141E68"/>
    <w:rsid w:val="00142C39"/>
    <w:rsid w:val="00143AF0"/>
    <w:rsid w:val="00143E55"/>
    <w:rsid w:val="00144853"/>
    <w:rsid w:val="00144B61"/>
    <w:rsid w:val="00147BBB"/>
    <w:rsid w:val="00152B3C"/>
    <w:rsid w:val="00154832"/>
    <w:rsid w:val="00156EF2"/>
    <w:rsid w:val="0015753D"/>
    <w:rsid w:val="00157F19"/>
    <w:rsid w:val="001609C8"/>
    <w:rsid w:val="00160AD2"/>
    <w:rsid w:val="001611C7"/>
    <w:rsid w:val="001623D8"/>
    <w:rsid w:val="00162684"/>
    <w:rsid w:val="0016294F"/>
    <w:rsid w:val="001633B5"/>
    <w:rsid w:val="00163D81"/>
    <w:rsid w:val="0016490B"/>
    <w:rsid w:val="001677EB"/>
    <w:rsid w:val="001716CF"/>
    <w:rsid w:val="0017319D"/>
    <w:rsid w:val="00174AE8"/>
    <w:rsid w:val="001756BF"/>
    <w:rsid w:val="001757B7"/>
    <w:rsid w:val="001856A9"/>
    <w:rsid w:val="001861A3"/>
    <w:rsid w:val="0018662F"/>
    <w:rsid w:val="001871BE"/>
    <w:rsid w:val="00192EAC"/>
    <w:rsid w:val="001941CD"/>
    <w:rsid w:val="00196AF5"/>
    <w:rsid w:val="00196B1F"/>
    <w:rsid w:val="00197A8A"/>
    <w:rsid w:val="001A094C"/>
    <w:rsid w:val="001A0FEE"/>
    <w:rsid w:val="001A2D63"/>
    <w:rsid w:val="001A3DBA"/>
    <w:rsid w:val="001A4B13"/>
    <w:rsid w:val="001A70CF"/>
    <w:rsid w:val="001B1A7C"/>
    <w:rsid w:val="001B1B7C"/>
    <w:rsid w:val="001B30AD"/>
    <w:rsid w:val="001B3EF7"/>
    <w:rsid w:val="001B5902"/>
    <w:rsid w:val="001B5E65"/>
    <w:rsid w:val="001B7AB7"/>
    <w:rsid w:val="001C06C6"/>
    <w:rsid w:val="001C17EC"/>
    <w:rsid w:val="001C26E2"/>
    <w:rsid w:val="001C27F8"/>
    <w:rsid w:val="001C3693"/>
    <w:rsid w:val="001C480E"/>
    <w:rsid w:val="001C55BD"/>
    <w:rsid w:val="001C61B2"/>
    <w:rsid w:val="001C6E4D"/>
    <w:rsid w:val="001D2136"/>
    <w:rsid w:val="001D4C53"/>
    <w:rsid w:val="001D51F6"/>
    <w:rsid w:val="001E0186"/>
    <w:rsid w:val="001E0211"/>
    <w:rsid w:val="001E1E92"/>
    <w:rsid w:val="001E2853"/>
    <w:rsid w:val="001E2989"/>
    <w:rsid w:val="001E4074"/>
    <w:rsid w:val="001E6B6B"/>
    <w:rsid w:val="001F1377"/>
    <w:rsid w:val="001F198E"/>
    <w:rsid w:val="001F2BA1"/>
    <w:rsid w:val="001F36FD"/>
    <w:rsid w:val="001F3793"/>
    <w:rsid w:val="001F48DD"/>
    <w:rsid w:val="001F4BED"/>
    <w:rsid w:val="001F79ED"/>
    <w:rsid w:val="00202A7C"/>
    <w:rsid w:val="00202C50"/>
    <w:rsid w:val="0020352F"/>
    <w:rsid w:val="00206413"/>
    <w:rsid w:val="0021122A"/>
    <w:rsid w:val="00211A2D"/>
    <w:rsid w:val="00214E19"/>
    <w:rsid w:val="00217E10"/>
    <w:rsid w:val="0022125C"/>
    <w:rsid w:val="00224552"/>
    <w:rsid w:val="002266AF"/>
    <w:rsid w:val="0022696E"/>
    <w:rsid w:val="00227E19"/>
    <w:rsid w:val="00227F09"/>
    <w:rsid w:val="00230BDB"/>
    <w:rsid w:val="00233741"/>
    <w:rsid w:val="002342DD"/>
    <w:rsid w:val="00234559"/>
    <w:rsid w:val="0023587A"/>
    <w:rsid w:val="002361D5"/>
    <w:rsid w:val="00241094"/>
    <w:rsid w:val="002453B5"/>
    <w:rsid w:val="00246150"/>
    <w:rsid w:val="00246B0C"/>
    <w:rsid w:val="002478EF"/>
    <w:rsid w:val="0024797D"/>
    <w:rsid w:val="00250115"/>
    <w:rsid w:val="002506C9"/>
    <w:rsid w:val="00250B08"/>
    <w:rsid w:val="002531B6"/>
    <w:rsid w:val="0025331F"/>
    <w:rsid w:val="00253653"/>
    <w:rsid w:val="0025433E"/>
    <w:rsid w:val="00260705"/>
    <w:rsid w:val="00261B14"/>
    <w:rsid w:val="00263A6B"/>
    <w:rsid w:val="00264331"/>
    <w:rsid w:val="002660D5"/>
    <w:rsid w:val="00267517"/>
    <w:rsid w:val="002676B0"/>
    <w:rsid w:val="00270FE0"/>
    <w:rsid w:val="002835E2"/>
    <w:rsid w:val="00284C60"/>
    <w:rsid w:val="0028632D"/>
    <w:rsid w:val="00287B9F"/>
    <w:rsid w:val="00290AB5"/>
    <w:rsid w:val="002A0251"/>
    <w:rsid w:val="002A3C78"/>
    <w:rsid w:val="002A5EE1"/>
    <w:rsid w:val="002A5EFA"/>
    <w:rsid w:val="002A6129"/>
    <w:rsid w:val="002B0B77"/>
    <w:rsid w:val="002B1093"/>
    <w:rsid w:val="002B2039"/>
    <w:rsid w:val="002B45F4"/>
    <w:rsid w:val="002B621B"/>
    <w:rsid w:val="002B7F7B"/>
    <w:rsid w:val="002C1EFB"/>
    <w:rsid w:val="002C2D22"/>
    <w:rsid w:val="002C4BC9"/>
    <w:rsid w:val="002C5C7B"/>
    <w:rsid w:val="002C5D9E"/>
    <w:rsid w:val="002C6525"/>
    <w:rsid w:val="002C702E"/>
    <w:rsid w:val="002D2F12"/>
    <w:rsid w:val="002D3668"/>
    <w:rsid w:val="002D4AA1"/>
    <w:rsid w:val="002D53F5"/>
    <w:rsid w:val="002D5D00"/>
    <w:rsid w:val="002D7C59"/>
    <w:rsid w:val="002E27C1"/>
    <w:rsid w:val="002E2FD1"/>
    <w:rsid w:val="002E3003"/>
    <w:rsid w:val="002E38D2"/>
    <w:rsid w:val="002E4BC8"/>
    <w:rsid w:val="002E69B8"/>
    <w:rsid w:val="002E77F6"/>
    <w:rsid w:val="002E79D2"/>
    <w:rsid w:val="002F303A"/>
    <w:rsid w:val="003010A2"/>
    <w:rsid w:val="003040E9"/>
    <w:rsid w:val="00304EE9"/>
    <w:rsid w:val="00306E33"/>
    <w:rsid w:val="00315EFC"/>
    <w:rsid w:val="00315F9F"/>
    <w:rsid w:val="00316298"/>
    <w:rsid w:val="00316533"/>
    <w:rsid w:val="0031694D"/>
    <w:rsid w:val="00316C88"/>
    <w:rsid w:val="00322FF3"/>
    <w:rsid w:val="00324620"/>
    <w:rsid w:val="00327395"/>
    <w:rsid w:val="0033255D"/>
    <w:rsid w:val="003325C7"/>
    <w:rsid w:val="0033657C"/>
    <w:rsid w:val="003402D1"/>
    <w:rsid w:val="00340EAF"/>
    <w:rsid w:val="00342E0C"/>
    <w:rsid w:val="003461DA"/>
    <w:rsid w:val="00346AC1"/>
    <w:rsid w:val="00347E0E"/>
    <w:rsid w:val="00350D34"/>
    <w:rsid w:val="00354562"/>
    <w:rsid w:val="00354963"/>
    <w:rsid w:val="00355739"/>
    <w:rsid w:val="00363642"/>
    <w:rsid w:val="0036773B"/>
    <w:rsid w:val="00367811"/>
    <w:rsid w:val="00367D1D"/>
    <w:rsid w:val="0037003E"/>
    <w:rsid w:val="00372408"/>
    <w:rsid w:val="003751D7"/>
    <w:rsid w:val="00376D0E"/>
    <w:rsid w:val="00377F05"/>
    <w:rsid w:val="00384614"/>
    <w:rsid w:val="003856E8"/>
    <w:rsid w:val="00386317"/>
    <w:rsid w:val="00386462"/>
    <w:rsid w:val="00387280"/>
    <w:rsid w:val="00395793"/>
    <w:rsid w:val="00397546"/>
    <w:rsid w:val="00397EB7"/>
    <w:rsid w:val="003A02FF"/>
    <w:rsid w:val="003A0B0C"/>
    <w:rsid w:val="003A0DC2"/>
    <w:rsid w:val="003A2460"/>
    <w:rsid w:val="003A550E"/>
    <w:rsid w:val="003A5A25"/>
    <w:rsid w:val="003B1C6F"/>
    <w:rsid w:val="003B24EC"/>
    <w:rsid w:val="003B27F7"/>
    <w:rsid w:val="003B4C61"/>
    <w:rsid w:val="003B64AF"/>
    <w:rsid w:val="003B7737"/>
    <w:rsid w:val="003C31AD"/>
    <w:rsid w:val="003C4932"/>
    <w:rsid w:val="003C5529"/>
    <w:rsid w:val="003D7613"/>
    <w:rsid w:val="003D7F22"/>
    <w:rsid w:val="003E09D6"/>
    <w:rsid w:val="003E5805"/>
    <w:rsid w:val="003E5A8E"/>
    <w:rsid w:val="003E6764"/>
    <w:rsid w:val="003E775E"/>
    <w:rsid w:val="003F2304"/>
    <w:rsid w:val="003F2AC3"/>
    <w:rsid w:val="003F3B8E"/>
    <w:rsid w:val="003F3F21"/>
    <w:rsid w:val="003F3FDD"/>
    <w:rsid w:val="003F4B32"/>
    <w:rsid w:val="003F55EE"/>
    <w:rsid w:val="003F5DE8"/>
    <w:rsid w:val="003F660E"/>
    <w:rsid w:val="003F7E38"/>
    <w:rsid w:val="0040275C"/>
    <w:rsid w:val="00403817"/>
    <w:rsid w:val="00403CBE"/>
    <w:rsid w:val="00405C3B"/>
    <w:rsid w:val="00407107"/>
    <w:rsid w:val="004076F4"/>
    <w:rsid w:val="004100B4"/>
    <w:rsid w:val="0041017B"/>
    <w:rsid w:val="00410CFE"/>
    <w:rsid w:val="0041165A"/>
    <w:rsid w:val="004120CB"/>
    <w:rsid w:val="0041301D"/>
    <w:rsid w:val="00413567"/>
    <w:rsid w:val="00413E6A"/>
    <w:rsid w:val="00414886"/>
    <w:rsid w:val="00417CE9"/>
    <w:rsid w:val="004200CA"/>
    <w:rsid w:val="00420DD0"/>
    <w:rsid w:val="00421F68"/>
    <w:rsid w:val="00426257"/>
    <w:rsid w:val="0043078A"/>
    <w:rsid w:val="00431811"/>
    <w:rsid w:val="00431E81"/>
    <w:rsid w:val="00433D3C"/>
    <w:rsid w:val="00434BDC"/>
    <w:rsid w:val="004413DF"/>
    <w:rsid w:val="0044288E"/>
    <w:rsid w:val="00446132"/>
    <w:rsid w:val="004468E4"/>
    <w:rsid w:val="00452024"/>
    <w:rsid w:val="00453340"/>
    <w:rsid w:val="00455975"/>
    <w:rsid w:val="00456A38"/>
    <w:rsid w:val="00457AEC"/>
    <w:rsid w:val="004601BA"/>
    <w:rsid w:val="004630FA"/>
    <w:rsid w:val="00465509"/>
    <w:rsid w:val="00466366"/>
    <w:rsid w:val="00467CEC"/>
    <w:rsid w:val="004713AB"/>
    <w:rsid w:val="004826B4"/>
    <w:rsid w:val="00484679"/>
    <w:rsid w:val="00490365"/>
    <w:rsid w:val="00490973"/>
    <w:rsid w:val="004923BA"/>
    <w:rsid w:val="004A1CAD"/>
    <w:rsid w:val="004A3D2D"/>
    <w:rsid w:val="004A4E1B"/>
    <w:rsid w:val="004B0225"/>
    <w:rsid w:val="004B5645"/>
    <w:rsid w:val="004B5ACE"/>
    <w:rsid w:val="004C2B60"/>
    <w:rsid w:val="004C3D9B"/>
    <w:rsid w:val="004C73EC"/>
    <w:rsid w:val="004C7BB8"/>
    <w:rsid w:val="004D14B2"/>
    <w:rsid w:val="004D20B1"/>
    <w:rsid w:val="004D63DA"/>
    <w:rsid w:val="004D79BA"/>
    <w:rsid w:val="004F160F"/>
    <w:rsid w:val="004F1674"/>
    <w:rsid w:val="004F268B"/>
    <w:rsid w:val="004F26EB"/>
    <w:rsid w:val="004F3413"/>
    <w:rsid w:val="004F3DBD"/>
    <w:rsid w:val="004F4565"/>
    <w:rsid w:val="004F459D"/>
    <w:rsid w:val="004F4D9E"/>
    <w:rsid w:val="004F4E9C"/>
    <w:rsid w:val="004F76E1"/>
    <w:rsid w:val="004F77B6"/>
    <w:rsid w:val="00501203"/>
    <w:rsid w:val="00502860"/>
    <w:rsid w:val="00505CFA"/>
    <w:rsid w:val="00510480"/>
    <w:rsid w:val="00510FBC"/>
    <w:rsid w:val="00513E14"/>
    <w:rsid w:val="005143A0"/>
    <w:rsid w:val="00514CF2"/>
    <w:rsid w:val="0051507A"/>
    <w:rsid w:val="005157DE"/>
    <w:rsid w:val="005179DE"/>
    <w:rsid w:val="005215CF"/>
    <w:rsid w:val="00521DDF"/>
    <w:rsid w:val="00521EEB"/>
    <w:rsid w:val="005221AC"/>
    <w:rsid w:val="005241C7"/>
    <w:rsid w:val="005244D2"/>
    <w:rsid w:val="00524FFF"/>
    <w:rsid w:val="00525952"/>
    <w:rsid w:val="00530C17"/>
    <w:rsid w:val="00530FA3"/>
    <w:rsid w:val="005312F1"/>
    <w:rsid w:val="0053130A"/>
    <w:rsid w:val="00531BE2"/>
    <w:rsid w:val="00534A56"/>
    <w:rsid w:val="00535AB3"/>
    <w:rsid w:val="00540BE3"/>
    <w:rsid w:val="00543355"/>
    <w:rsid w:val="005439AE"/>
    <w:rsid w:val="00544661"/>
    <w:rsid w:val="00544FAC"/>
    <w:rsid w:val="00547949"/>
    <w:rsid w:val="0055192A"/>
    <w:rsid w:val="00554EE2"/>
    <w:rsid w:val="00556CF7"/>
    <w:rsid w:val="00557393"/>
    <w:rsid w:val="00557B4A"/>
    <w:rsid w:val="005631DA"/>
    <w:rsid w:val="00563391"/>
    <w:rsid w:val="00565271"/>
    <w:rsid w:val="0056556F"/>
    <w:rsid w:val="00566C1A"/>
    <w:rsid w:val="00574880"/>
    <w:rsid w:val="0057517F"/>
    <w:rsid w:val="005818F9"/>
    <w:rsid w:val="00587772"/>
    <w:rsid w:val="00590460"/>
    <w:rsid w:val="00590868"/>
    <w:rsid w:val="00591830"/>
    <w:rsid w:val="00591C8D"/>
    <w:rsid w:val="00595ADB"/>
    <w:rsid w:val="00595C07"/>
    <w:rsid w:val="00595FB8"/>
    <w:rsid w:val="005964C0"/>
    <w:rsid w:val="0059662E"/>
    <w:rsid w:val="005971F7"/>
    <w:rsid w:val="005A009D"/>
    <w:rsid w:val="005A2C1B"/>
    <w:rsid w:val="005A2EDB"/>
    <w:rsid w:val="005A31FA"/>
    <w:rsid w:val="005A4950"/>
    <w:rsid w:val="005A7136"/>
    <w:rsid w:val="005B047F"/>
    <w:rsid w:val="005B1130"/>
    <w:rsid w:val="005B28DD"/>
    <w:rsid w:val="005C025B"/>
    <w:rsid w:val="005C2725"/>
    <w:rsid w:val="005C3881"/>
    <w:rsid w:val="005C4897"/>
    <w:rsid w:val="005D0B5F"/>
    <w:rsid w:val="005D2C75"/>
    <w:rsid w:val="005D2D80"/>
    <w:rsid w:val="005D4E4A"/>
    <w:rsid w:val="005D4E6A"/>
    <w:rsid w:val="005D5183"/>
    <w:rsid w:val="005E0870"/>
    <w:rsid w:val="005E0F41"/>
    <w:rsid w:val="005E23FB"/>
    <w:rsid w:val="005E24BA"/>
    <w:rsid w:val="005E522C"/>
    <w:rsid w:val="005E7F56"/>
    <w:rsid w:val="005F3009"/>
    <w:rsid w:val="005F37C1"/>
    <w:rsid w:val="005F4008"/>
    <w:rsid w:val="005F5556"/>
    <w:rsid w:val="005F6F53"/>
    <w:rsid w:val="005F7F62"/>
    <w:rsid w:val="00602CBC"/>
    <w:rsid w:val="00602E79"/>
    <w:rsid w:val="00602F86"/>
    <w:rsid w:val="00604B3A"/>
    <w:rsid w:val="006058CB"/>
    <w:rsid w:val="0060649F"/>
    <w:rsid w:val="006127DF"/>
    <w:rsid w:val="00614489"/>
    <w:rsid w:val="0061560D"/>
    <w:rsid w:val="00617447"/>
    <w:rsid w:val="00620042"/>
    <w:rsid w:val="00623696"/>
    <w:rsid w:val="00623FB9"/>
    <w:rsid w:val="0062579E"/>
    <w:rsid w:val="00626EC6"/>
    <w:rsid w:val="006272AB"/>
    <w:rsid w:val="0063014E"/>
    <w:rsid w:val="0063231E"/>
    <w:rsid w:val="0063317A"/>
    <w:rsid w:val="00634060"/>
    <w:rsid w:val="006355E2"/>
    <w:rsid w:val="00640866"/>
    <w:rsid w:val="00640F49"/>
    <w:rsid w:val="00641093"/>
    <w:rsid w:val="00641906"/>
    <w:rsid w:val="00641BCF"/>
    <w:rsid w:val="00642421"/>
    <w:rsid w:val="0064621D"/>
    <w:rsid w:val="00646449"/>
    <w:rsid w:val="00653641"/>
    <w:rsid w:val="006552CE"/>
    <w:rsid w:val="00655CD7"/>
    <w:rsid w:val="00657B06"/>
    <w:rsid w:val="00660204"/>
    <w:rsid w:val="0066084F"/>
    <w:rsid w:val="00661DE2"/>
    <w:rsid w:val="0066326F"/>
    <w:rsid w:val="0066526F"/>
    <w:rsid w:val="006654D2"/>
    <w:rsid w:val="006741E3"/>
    <w:rsid w:val="0067460A"/>
    <w:rsid w:val="006755A7"/>
    <w:rsid w:val="00676662"/>
    <w:rsid w:val="00676EE0"/>
    <w:rsid w:val="00677589"/>
    <w:rsid w:val="0068389A"/>
    <w:rsid w:val="00683F9C"/>
    <w:rsid w:val="00684F2C"/>
    <w:rsid w:val="00691FAB"/>
    <w:rsid w:val="006923A5"/>
    <w:rsid w:val="00692918"/>
    <w:rsid w:val="00693B3F"/>
    <w:rsid w:val="00694432"/>
    <w:rsid w:val="00696581"/>
    <w:rsid w:val="006A126F"/>
    <w:rsid w:val="006A34E1"/>
    <w:rsid w:val="006A3836"/>
    <w:rsid w:val="006A3C4E"/>
    <w:rsid w:val="006A4F25"/>
    <w:rsid w:val="006B0536"/>
    <w:rsid w:val="006B0C19"/>
    <w:rsid w:val="006B313C"/>
    <w:rsid w:val="006B78BD"/>
    <w:rsid w:val="006C1587"/>
    <w:rsid w:val="006C1A34"/>
    <w:rsid w:val="006C317A"/>
    <w:rsid w:val="006C3562"/>
    <w:rsid w:val="006C416A"/>
    <w:rsid w:val="006C5600"/>
    <w:rsid w:val="006D0247"/>
    <w:rsid w:val="006D0C28"/>
    <w:rsid w:val="006D15FE"/>
    <w:rsid w:val="006D1903"/>
    <w:rsid w:val="006D25F2"/>
    <w:rsid w:val="006D2696"/>
    <w:rsid w:val="006D65F6"/>
    <w:rsid w:val="006D7E3F"/>
    <w:rsid w:val="006E20D4"/>
    <w:rsid w:val="006E26D5"/>
    <w:rsid w:val="006E4CE2"/>
    <w:rsid w:val="006F04D3"/>
    <w:rsid w:val="006F36E5"/>
    <w:rsid w:val="006F49C0"/>
    <w:rsid w:val="006F6148"/>
    <w:rsid w:val="00700861"/>
    <w:rsid w:val="0070178D"/>
    <w:rsid w:val="0070201A"/>
    <w:rsid w:val="007023DF"/>
    <w:rsid w:val="007037B5"/>
    <w:rsid w:val="0070575E"/>
    <w:rsid w:val="00706D38"/>
    <w:rsid w:val="00711A6F"/>
    <w:rsid w:val="00715837"/>
    <w:rsid w:val="00717B53"/>
    <w:rsid w:val="0072044D"/>
    <w:rsid w:val="007206D5"/>
    <w:rsid w:val="00720EF3"/>
    <w:rsid w:val="007218E3"/>
    <w:rsid w:val="007221CE"/>
    <w:rsid w:val="0072290D"/>
    <w:rsid w:val="00723734"/>
    <w:rsid w:val="00723AE4"/>
    <w:rsid w:val="00727193"/>
    <w:rsid w:val="007272E3"/>
    <w:rsid w:val="00727F64"/>
    <w:rsid w:val="0073054F"/>
    <w:rsid w:val="0073305C"/>
    <w:rsid w:val="007339FF"/>
    <w:rsid w:val="00733D93"/>
    <w:rsid w:val="007347AC"/>
    <w:rsid w:val="0073537F"/>
    <w:rsid w:val="00736A75"/>
    <w:rsid w:val="00740AD9"/>
    <w:rsid w:val="00742A16"/>
    <w:rsid w:val="00742E34"/>
    <w:rsid w:val="00743F80"/>
    <w:rsid w:val="00744C1A"/>
    <w:rsid w:val="00745213"/>
    <w:rsid w:val="00745953"/>
    <w:rsid w:val="007467F9"/>
    <w:rsid w:val="00747463"/>
    <w:rsid w:val="00747B0B"/>
    <w:rsid w:val="00751913"/>
    <w:rsid w:val="00751F04"/>
    <w:rsid w:val="00756034"/>
    <w:rsid w:val="007569E2"/>
    <w:rsid w:val="00756CFD"/>
    <w:rsid w:val="0075737F"/>
    <w:rsid w:val="00760C3B"/>
    <w:rsid w:val="0076195A"/>
    <w:rsid w:val="00762089"/>
    <w:rsid w:val="00765A90"/>
    <w:rsid w:val="00765BDB"/>
    <w:rsid w:val="00773AB9"/>
    <w:rsid w:val="00781383"/>
    <w:rsid w:val="0078280A"/>
    <w:rsid w:val="00782C39"/>
    <w:rsid w:val="00782F91"/>
    <w:rsid w:val="007848BD"/>
    <w:rsid w:val="00787322"/>
    <w:rsid w:val="00792C34"/>
    <w:rsid w:val="00794D01"/>
    <w:rsid w:val="00797AD5"/>
    <w:rsid w:val="00797B31"/>
    <w:rsid w:val="007A0BEC"/>
    <w:rsid w:val="007A130E"/>
    <w:rsid w:val="007A2E9C"/>
    <w:rsid w:val="007A36DD"/>
    <w:rsid w:val="007A7B49"/>
    <w:rsid w:val="007A7E89"/>
    <w:rsid w:val="007B0C15"/>
    <w:rsid w:val="007B0E2F"/>
    <w:rsid w:val="007B48B0"/>
    <w:rsid w:val="007B7453"/>
    <w:rsid w:val="007C0088"/>
    <w:rsid w:val="007C0B68"/>
    <w:rsid w:val="007C3658"/>
    <w:rsid w:val="007C47EF"/>
    <w:rsid w:val="007C48D6"/>
    <w:rsid w:val="007C4FDD"/>
    <w:rsid w:val="007C5277"/>
    <w:rsid w:val="007C67B0"/>
    <w:rsid w:val="007C6944"/>
    <w:rsid w:val="007C7838"/>
    <w:rsid w:val="007D0953"/>
    <w:rsid w:val="007D0BD5"/>
    <w:rsid w:val="007D1316"/>
    <w:rsid w:val="007D6182"/>
    <w:rsid w:val="007E0910"/>
    <w:rsid w:val="007E09EF"/>
    <w:rsid w:val="007E24ED"/>
    <w:rsid w:val="007E3EEF"/>
    <w:rsid w:val="007E42CC"/>
    <w:rsid w:val="007E5F3D"/>
    <w:rsid w:val="007E6763"/>
    <w:rsid w:val="007E7771"/>
    <w:rsid w:val="007F039B"/>
    <w:rsid w:val="007F05F6"/>
    <w:rsid w:val="007F0A7B"/>
    <w:rsid w:val="007F0B0D"/>
    <w:rsid w:val="007F15CD"/>
    <w:rsid w:val="007F4895"/>
    <w:rsid w:val="007F5460"/>
    <w:rsid w:val="007F5B54"/>
    <w:rsid w:val="0080102D"/>
    <w:rsid w:val="008036B4"/>
    <w:rsid w:val="008066CC"/>
    <w:rsid w:val="00810FB2"/>
    <w:rsid w:val="00811672"/>
    <w:rsid w:val="00813566"/>
    <w:rsid w:val="008147C0"/>
    <w:rsid w:val="00816467"/>
    <w:rsid w:val="0081755F"/>
    <w:rsid w:val="00817B0A"/>
    <w:rsid w:val="00821FA4"/>
    <w:rsid w:val="00823855"/>
    <w:rsid w:val="0082761E"/>
    <w:rsid w:val="008315F9"/>
    <w:rsid w:val="00834C17"/>
    <w:rsid w:val="00836B62"/>
    <w:rsid w:val="008372EC"/>
    <w:rsid w:val="008418EC"/>
    <w:rsid w:val="00841D32"/>
    <w:rsid w:val="008432B3"/>
    <w:rsid w:val="00844535"/>
    <w:rsid w:val="00844714"/>
    <w:rsid w:val="008449B9"/>
    <w:rsid w:val="00844B09"/>
    <w:rsid w:val="00845674"/>
    <w:rsid w:val="00846F3F"/>
    <w:rsid w:val="00854A25"/>
    <w:rsid w:val="00857516"/>
    <w:rsid w:val="00857EA2"/>
    <w:rsid w:val="00857EA7"/>
    <w:rsid w:val="00860925"/>
    <w:rsid w:val="008615CB"/>
    <w:rsid w:val="00864236"/>
    <w:rsid w:val="00865D36"/>
    <w:rsid w:val="008662E5"/>
    <w:rsid w:val="00866C7E"/>
    <w:rsid w:val="00871B18"/>
    <w:rsid w:val="0087295F"/>
    <w:rsid w:val="008732F1"/>
    <w:rsid w:val="00873A8D"/>
    <w:rsid w:val="00873E34"/>
    <w:rsid w:val="0087789E"/>
    <w:rsid w:val="00880212"/>
    <w:rsid w:val="00881192"/>
    <w:rsid w:val="008907F0"/>
    <w:rsid w:val="0089236C"/>
    <w:rsid w:val="00895571"/>
    <w:rsid w:val="008A04CD"/>
    <w:rsid w:val="008A25BB"/>
    <w:rsid w:val="008A46F0"/>
    <w:rsid w:val="008A6D56"/>
    <w:rsid w:val="008B17FA"/>
    <w:rsid w:val="008B1F3B"/>
    <w:rsid w:val="008B444A"/>
    <w:rsid w:val="008B45E8"/>
    <w:rsid w:val="008B4AF3"/>
    <w:rsid w:val="008B592F"/>
    <w:rsid w:val="008B78B7"/>
    <w:rsid w:val="008B7C8C"/>
    <w:rsid w:val="008C09E2"/>
    <w:rsid w:val="008C41C2"/>
    <w:rsid w:val="008D20F3"/>
    <w:rsid w:val="008D4EFB"/>
    <w:rsid w:val="008D6A91"/>
    <w:rsid w:val="008D6B7F"/>
    <w:rsid w:val="008E2BA6"/>
    <w:rsid w:val="008E32A6"/>
    <w:rsid w:val="008E6E04"/>
    <w:rsid w:val="008E7627"/>
    <w:rsid w:val="008F0851"/>
    <w:rsid w:val="008F24D5"/>
    <w:rsid w:val="008F3012"/>
    <w:rsid w:val="008F416B"/>
    <w:rsid w:val="008F5B1D"/>
    <w:rsid w:val="008F70EB"/>
    <w:rsid w:val="008F779D"/>
    <w:rsid w:val="008F7F2C"/>
    <w:rsid w:val="00903801"/>
    <w:rsid w:val="00903A5B"/>
    <w:rsid w:val="00905324"/>
    <w:rsid w:val="0090604B"/>
    <w:rsid w:val="00906A98"/>
    <w:rsid w:val="00906B57"/>
    <w:rsid w:val="00922CEA"/>
    <w:rsid w:val="00922FD7"/>
    <w:rsid w:val="009230DA"/>
    <w:rsid w:val="009239D9"/>
    <w:rsid w:val="00923ED3"/>
    <w:rsid w:val="00925524"/>
    <w:rsid w:val="009258AE"/>
    <w:rsid w:val="0092676A"/>
    <w:rsid w:val="009267D5"/>
    <w:rsid w:val="0092686E"/>
    <w:rsid w:val="009279B1"/>
    <w:rsid w:val="0093008D"/>
    <w:rsid w:val="00932BE8"/>
    <w:rsid w:val="00937072"/>
    <w:rsid w:val="009373F7"/>
    <w:rsid w:val="00940249"/>
    <w:rsid w:val="00941290"/>
    <w:rsid w:val="009426AE"/>
    <w:rsid w:val="00942B93"/>
    <w:rsid w:val="00943851"/>
    <w:rsid w:val="009445A4"/>
    <w:rsid w:val="0094537C"/>
    <w:rsid w:val="009460E7"/>
    <w:rsid w:val="009479E3"/>
    <w:rsid w:val="00955A6D"/>
    <w:rsid w:val="00957F2B"/>
    <w:rsid w:val="00961AF5"/>
    <w:rsid w:val="00961F62"/>
    <w:rsid w:val="0096240E"/>
    <w:rsid w:val="00964991"/>
    <w:rsid w:val="009656C5"/>
    <w:rsid w:val="00965F6D"/>
    <w:rsid w:val="0096608C"/>
    <w:rsid w:val="00966A4C"/>
    <w:rsid w:val="009701ED"/>
    <w:rsid w:val="00970FE2"/>
    <w:rsid w:val="00971B2D"/>
    <w:rsid w:val="009725E4"/>
    <w:rsid w:val="009818A4"/>
    <w:rsid w:val="00982DB1"/>
    <w:rsid w:val="00983F65"/>
    <w:rsid w:val="00984C59"/>
    <w:rsid w:val="00990D0F"/>
    <w:rsid w:val="00990E94"/>
    <w:rsid w:val="00991A32"/>
    <w:rsid w:val="00991B9A"/>
    <w:rsid w:val="00992A58"/>
    <w:rsid w:val="00994068"/>
    <w:rsid w:val="0099428B"/>
    <w:rsid w:val="00995643"/>
    <w:rsid w:val="009A0001"/>
    <w:rsid w:val="009A0C8E"/>
    <w:rsid w:val="009A1251"/>
    <w:rsid w:val="009A16A1"/>
    <w:rsid w:val="009A25BE"/>
    <w:rsid w:val="009A3B14"/>
    <w:rsid w:val="009A66FD"/>
    <w:rsid w:val="009A6D69"/>
    <w:rsid w:val="009A6FCF"/>
    <w:rsid w:val="009A7202"/>
    <w:rsid w:val="009A7277"/>
    <w:rsid w:val="009B0180"/>
    <w:rsid w:val="009B21EA"/>
    <w:rsid w:val="009B2F54"/>
    <w:rsid w:val="009B2FEF"/>
    <w:rsid w:val="009B52A0"/>
    <w:rsid w:val="009B5600"/>
    <w:rsid w:val="009C0457"/>
    <w:rsid w:val="009C170B"/>
    <w:rsid w:val="009C3BED"/>
    <w:rsid w:val="009C46DB"/>
    <w:rsid w:val="009D183F"/>
    <w:rsid w:val="009D2131"/>
    <w:rsid w:val="009D59EA"/>
    <w:rsid w:val="009D6256"/>
    <w:rsid w:val="009D6273"/>
    <w:rsid w:val="009D73D0"/>
    <w:rsid w:val="009E0978"/>
    <w:rsid w:val="009E1F28"/>
    <w:rsid w:val="009E3766"/>
    <w:rsid w:val="009E3DC7"/>
    <w:rsid w:val="009E432F"/>
    <w:rsid w:val="009E7E7F"/>
    <w:rsid w:val="009F3B49"/>
    <w:rsid w:val="009F5862"/>
    <w:rsid w:val="009F61B2"/>
    <w:rsid w:val="009F64D2"/>
    <w:rsid w:val="009F7D97"/>
    <w:rsid w:val="00A0178D"/>
    <w:rsid w:val="00A031BD"/>
    <w:rsid w:val="00A036F5"/>
    <w:rsid w:val="00A061F9"/>
    <w:rsid w:val="00A07A30"/>
    <w:rsid w:val="00A10DC0"/>
    <w:rsid w:val="00A1121E"/>
    <w:rsid w:val="00A11B51"/>
    <w:rsid w:val="00A12E96"/>
    <w:rsid w:val="00A16A5C"/>
    <w:rsid w:val="00A17DDB"/>
    <w:rsid w:val="00A20836"/>
    <w:rsid w:val="00A214D7"/>
    <w:rsid w:val="00A22AB2"/>
    <w:rsid w:val="00A23F37"/>
    <w:rsid w:val="00A23F7A"/>
    <w:rsid w:val="00A24F21"/>
    <w:rsid w:val="00A2551C"/>
    <w:rsid w:val="00A336BE"/>
    <w:rsid w:val="00A356D1"/>
    <w:rsid w:val="00A3572C"/>
    <w:rsid w:val="00A43558"/>
    <w:rsid w:val="00A436B5"/>
    <w:rsid w:val="00A446F7"/>
    <w:rsid w:val="00A453E1"/>
    <w:rsid w:val="00A46156"/>
    <w:rsid w:val="00A46617"/>
    <w:rsid w:val="00A46D6A"/>
    <w:rsid w:val="00A50336"/>
    <w:rsid w:val="00A55BF8"/>
    <w:rsid w:val="00A55FA7"/>
    <w:rsid w:val="00A5718F"/>
    <w:rsid w:val="00A575F7"/>
    <w:rsid w:val="00A60783"/>
    <w:rsid w:val="00A6399C"/>
    <w:rsid w:val="00A63B54"/>
    <w:rsid w:val="00A64CC9"/>
    <w:rsid w:val="00A66077"/>
    <w:rsid w:val="00A66325"/>
    <w:rsid w:val="00A66B43"/>
    <w:rsid w:val="00A66D87"/>
    <w:rsid w:val="00A722E6"/>
    <w:rsid w:val="00A73EE9"/>
    <w:rsid w:val="00A777C5"/>
    <w:rsid w:val="00A80665"/>
    <w:rsid w:val="00A821FB"/>
    <w:rsid w:val="00A83B42"/>
    <w:rsid w:val="00A84531"/>
    <w:rsid w:val="00A84D99"/>
    <w:rsid w:val="00A850C5"/>
    <w:rsid w:val="00A90F60"/>
    <w:rsid w:val="00A92EA2"/>
    <w:rsid w:val="00A93007"/>
    <w:rsid w:val="00A96132"/>
    <w:rsid w:val="00A9629E"/>
    <w:rsid w:val="00A962E3"/>
    <w:rsid w:val="00AA0B8B"/>
    <w:rsid w:val="00AA400F"/>
    <w:rsid w:val="00AA5FDF"/>
    <w:rsid w:val="00AA6101"/>
    <w:rsid w:val="00AB1AD5"/>
    <w:rsid w:val="00AB2236"/>
    <w:rsid w:val="00AB6B6A"/>
    <w:rsid w:val="00AB714F"/>
    <w:rsid w:val="00AC22FC"/>
    <w:rsid w:val="00AC52D3"/>
    <w:rsid w:val="00AC70A3"/>
    <w:rsid w:val="00AC716A"/>
    <w:rsid w:val="00AC76F2"/>
    <w:rsid w:val="00AD15EC"/>
    <w:rsid w:val="00AD2218"/>
    <w:rsid w:val="00AD5146"/>
    <w:rsid w:val="00AD5AED"/>
    <w:rsid w:val="00AD65BD"/>
    <w:rsid w:val="00AE362E"/>
    <w:rsid w:val="00AE4329"/>
    <w:rsid w:val="00AE5AD8"/>
    <w:rsid w:val="00AE747A"/>
    <w:rsid w:val="00AF139F"/>
    <w:rsid w:val="00AF322D"/>
    <w:rsid w:val="00AF346B"/>
    <w:rsid w:val="00AF3AAB"/>
    <w:rsid w:val="00AF3D82"/>
    <w:rsid w:val="00AF6492"/>
    <w:rsid w:val="00AF7581"/>
    <w:rsid w:val="00AF760C"/>
    <w:rsid w:val="00B04FCB"/>
    <w:rsid w:val="00B07282"/>
    <w:rsid w:val="00B1009C"/>
    <w:rsid w:val="00B1485F"/>
    <w:rsid w:val="00B14C99"/>
    <w:rsid w:val="00B16919"/>
    <w:rsid w:val="00B17106"/>
    <w:rsid w:val="00B1774C"/>
    <w:rsid w:val="00B1796A"/>
    <w:rsid w:val="00B20610"/>
    <w:rsid w:val="00B22606"/>
    <w:rsid w:val="00B24BE9"/>
    <w:rsid w:val="00B255A9"/>
    <w:rsid w:val="00B30038"/>
    <w:rsid w:val="00B354DB"/>
    <w:rsid w:val="00B365A4"/>
    <w:rsid w:val="00B37A8D"/>
    <w:rsid w:val="00B37EC0"/>
    <w:rsid w:val="00B4071A"/>
    <w:rsid w:val="00B40FE9"/>
    <w:rsid w:val="00B44177"/>
    <w:rsid w:val="00B45804"/>
    <w:rsid w:val="00B45FB8"/>
    <w:rsid w:val="00B4675F"/>
    <w:rsid w:val="00B54342"/>
    <w:rsid w:val="00B54B23"/>
    <w:rsid w:val="00B56EFE"/>
    <w:rsid w:val="00B70036"/>
    <w:rsid w:val="00B72598"/>
    <w:rsid w:val="00B72D33"/>
    <w:rsid w:val="00B7320C"/>
    <w:rsid w:val="00B74AFD"/>
    <w:rsid w:val="00B74B8C"/>
    <w:rsid w:val="00B762BB"/>
    <w:rsid w:val="00B80053"/>
    <w:rsid w:val="00B815E0"/>
    <w:rsid w:val="00B85678"/>
    <w:rsid w:val="00B85A5F"/>
    <w:rsid w:val="00B863EA"/>
    <w:rsid w:val="00B875F9"/>
    <w:rsid w:val="00B876D4"/>
    <w:rsid w:val="00B91134"/>
    <w:rsid w:val="00B91835"/>
    <w:rsid w:val="00B92C62"/>
    <w:rsid w:val="00B92D0F"/>
    <w:rsid w:val="00BA2B34"/>
    <w:rsid w:val="00BA7594"/>
    <w:rsid w:val="00BB15C4"/>
    <w:rsid w:val="00BB2B5E"/>
    <w:rsid w:val="00BB3098"/>
    <w:rsid w:val="00BB3C8F"/>
    <w:rsid w:val="00BB46F7"/>
    <w:rsid w:val="00BB4CED"/>
    <w:rsid w:val="00BB50F9"/>
    <w:rsid w:val="00BB5FEE"/>
    <w:rsid w:val="00BB60F6"/>
    <w:rsid w:val="00BB6934"/>
    <w:rsid w:val="00BC0982"/>
    <w:rsid w:val="00BC0FB0"/>
    <w:rsid w:val="00BC3C3D"/>
    <w:rsid w:val="00BC40BE"/>
    <w:rsid w:val="00BD0BDF"/>
    <w:rsid w:val="00BD1128"/>
    <w:rsid w:val="00BD14B4"/>
    <w:rsid w:val="00BD204A"/>
    <w:rsid w:val="00BD38D1"/>
    <w:rsid w:val="00BD4BC9"/>
    <w:rsid w:val="00BD736B"/>
    <w:rsid w:val="00BE0969"/>
    <w:rsid w:val="00BE122C"/>
    <w:rsid w:val="00BE2C56"/>
    <w:rsid w:val="00BE2FB8"/>
    <w:rsid w:val="00BE2FEF"/>
    <w:rsid w:val="00BF0C07"/>
    <w:rsid w:val="00BF18DC"/>
    <w:rsid w:val="00BF33D9"/>
    <w:rsid w:val="00BF3560"/>
    <w:rsid w:val="00BF4477"/>
    <w:rsid w:val="00BF4DA9"/>
    <w:rsid w:val="00BF714A"/>
    <w:rsid w:val="00BF72C7"/>
    <w:rsid w:val="00C0081A"/>
    <w:rsid w:val="00C01CB6"/>
    <w:rsid w:val="00C01F3C"/>
    <w:rsid w:val="00C03BB8"/>
    <w:rsid w:val="00C04418"/>
    <w:rsid w:val="00C055AC"/>
    <w:rsid w:val="00C06B5C"/>
    <w:rsid w:val="00C06C72"/>
    <w:rsid w:val="00C07A8D"/>
    <w:rsid w:val="00C10594"/>
    <w:rsid w:val="00C106F9"/>
    <w:rsid w:val="00C114D0"/>
    <w:rsid w:val="00C12FF2"/>
    <w:rsid w:val="00C1302F"/>
    <w:rsid w:val="00C13C40"/>
    <w:rsid w:val="00C15258"/>
    <w:rsid w:val="00C16A24"/>
    <w:rsid w:val="00C21EA5"/>
    <w:rsid w:val="00C236E6"/>
    <w:rsid w:val="00C25CE9"/>
    <w:rsid w:val="00C2700F"/>
    <w:rsid w:val="00C27CF6"/>
    <w:rsid w:val="00C331E5"/>
    <w:rsid w:val="00C35148"/>
    <w:rsid w:val="00C35F4A"/>
    <w:rsid w:val="00C406FD"/>
    <w:rsid w:val="00C412D4"/>
    <w:rsid w:val="00C426C6"/>
    <w:rsid w:val="00C43266"/>
    <w:rsid w:val="00C4333F"/>
    <w:rsid w:val="00C4403A"/>
    <w:rsid w:val="00C45A14"/>
    <w:rsid w:val="00C476E6"/>
    <w:rsid w:val="00C5056C"/>
    <w:rsid w:val="00C51F3B"/>
    <w:rsid w:val="00C5263E"/>
    <w:rsid w:val="00C526ED"/>
    <w:rsid w:val="00C55773"/>
    <w:rsid w:val="00C56571"/>
    <w:rsid w:val="00C61C06"/>
    <w:rsid w:val="00C65B66"/>
    <w:rsid w:val="00C66C16"/>
    <w:rsid w:val="00C706D6"/>
    <w:rsid w:val="00C7109A"/>
    <w:rsid w:val="00C71CEC"/>
    <w:rsid w:val="00C71EFF"/>
    <w:rsid w:val="00C72351"/>
    <w:rsid w:val="00C72559"/>
    <w:rsid w:val="00C72D3C"/>
    <w:rsid w:val="00C74DEF"/>
    <w:rsid w:val="00C752EC"/>
    <w:rsid w:val="00C76B3C"/>
    <w:rsid w:val="00C77C56"/>
    <w:rsid w:val="00C77ED8"/>
    <w:rsid w:val="00C81035"/>
    <w:rsid w:val="00C822C3"/>
    <w:rsid w:val="00C8244D"/>
    <w:rsid w:val="00C82C0B"/>
    <w:rsid w:val="00C833FE"/>
    <w:rsid w:val="00C867CC"/>
    <w:rsid w:val="00C90A39"/>
    <w:rsid w:val="00C90C8B"/>
    <w:rsid w:val="00C91085"/>
    <w:rsid w:val="00C92CF6"/>
    <w:rsid w:val="00C931E3"/>
    <w:rsid w:val="00C932F9"/>
    <w:rsid w:val="00C951B6"/>
    <w:rsid w:val="00C95240"/>
    <w:rsid w:val="00CA0F9C"/>
    <w:rsid w:val="00CA1052"/>
    <w:rsid w:val="00CA3A23"/>
    <w:rsid w:val="00CA4195"/>
    <w:rsid w:val="00CA420F"/>
    <w:rsid w:val="00CA5E7F"/>
    <w:rsid w:val="00CA7027"/>
    <w:rsid w:val="00CB614D"/>
    <w:rsid w:val="00CB724D"/>
    <w:rsid w:val="00CB73FE"/>
    <w:rsid w:val="00CC0B86"/>
    <w:rsid w:val="00CC0F37"/>
    <w:rsid w:val="00CC339C"/>
    <w:rsid w:val="00CC4379"/>
    <w:rsid w:val="00CC4E1D"/>
    <w:rsid w:val="00CC654B"/>
    <w:rsid w:val="00CC690C"/>
    <w:rsid w:val="00CD2F85"/>
    <w:rsid w:val="00CD3896"/>
    <w:rsid w:val="00CD3DAB"/>
    <w:rsid w:val="00CD45BC"/>
    <w:rsid w:val="00CD4FE7"/>
    <w:rsid w:val="00CD58BB"/>
    <w:rsid w:val="00CD70E2"/>
    <w:rsid w:val="00CD7839"/>
    <w:rsid w:val="00CE1D5A"/>
    <w:rsid w:val="00CE2053"/>
    <w:rsid w:val="00CE5247"/>
    <w:rsid w:val="00CE71BE"/>
    <w:rsid w:val="00CF1A9C"/>
    <w:rsid w:val="00CF3C5E"/>
    <w:rsid w:val="00CF3CDE"/>
    <w:rsid w:val="00CF47E9"/>
    <w:rsid w:val="00CF50C6"/>
    <w:rsid w:val="00CF648A"/>
    <w:rsid w:val="00D004F7"/>
    <w:rsid w:val="00D008F0"/>
    <w:rsid w:val="00D06DD6"/>
    <w:rsid w:val="00D072FD"/>
    <w:rsid w:val="00D07D59"/>
    <w:rsid w:val="00D10192"/>
    <w:rsid w:val="00D11217"/>
    <w:rsid w:val="00D113D1"/>
    <w:rsid w:val="00D20596"/>
    <w:rsid w:val="00D23772"/>
    <w:rsid w:val="00D2595E"/>
    <w:rsid w:val="00D25D97"/>
    <w:rsid w:val="00D270F4"/>
    <w:rsid w:val="00D279B4"/>
    <w:rsid w:val="00D31DC0"/>
    <w:rsid w:val="00D31EE3"/>
    <w:rsid w:val="00D32B81"/>
    <w:rsid w:val="00D34CC1"/>
    <w:rsid w:val="00D3712A"/>
    <w:rsid w:val="00D37AB2"/>
    <w:rsid w:val="00D4271C"/>
    <w:rsid w:val="00D455A4"/>
    <w:rsid w:val="00D47994"/>
    <w:rsid w:val="00D47D20"/>
    <w:rsid w:val="00D47FC5"/>
    <w:rsid w:val="00D556B6"/>
    <w:rsid w:val="00D57FA5"/>
    <w:rsid w:val="00D60C08"/>
    <w:rsid w:val="00D61A53"/>
    <w:rsid w:val="00D61BAB"/>
    <w:rsid w:val="00D62A4C"/>
    <w:rsid w:val="00D65CBF"/>
    <w:rsid w:val="00D66460"/>
    <w:rsid w:val="00D66B7D"/>
    <w:rsid w:val="00D6791D"/>
    <w:rsid w:val="00D67D3B"/>
    <w:rsid w:val="00D756F3"/>
    <w:rsid w:val="00D75D69"/>
    <w:rsid w:val="00D77CE7"/>
    <w:rsid w:val="00D77E87"/>
    <w:rsid w:val="00D807B5"/>
    <w:rsid w:val="00D82514"/>
    <w:rsid w:val="00D8254F"/>
    <w:rsid w:val="00D82DEF"/>
    <w:rsid w:val="00D83198"/>
    <w:rsid w:val="00D84636"/>
    <w:rsid w:val="00D872B5"/>
    <w:rsid w:val="00D90861"/>
    <w:rsid w:val="00D913F6"/>
    <w:rsid w:val="00D91458"/>
    <w:rsid w:val="00D91C76"/>
    <w:rsid w:val="00D93993"/>
    <w:rsid w:val="00D9446F"/>
    <w:rsid w:val="00DA34DD"/>
    <w:rsid w:val="00DA4673"/>
    <w:rsid w:val="00DA4F42"/>
    <w:rsid w:val="00DA576E"/>
    <w:rsid w:val="00DA77AC"/>
    <w:rsid w:val="00DB08E6"/>
    <w:rsid w:val="00DB23A2"/>
    <w:rsid w:val="00DB2510"/>
    <w:rsid w:val="00DB4C31"/>
    <w:rsid w:val="00DB5303"/>
    <w:rsid w:val="00DB5807"/>
    <w:rsid w:val="00DB5CEA"/>
    <w:rsid w:val="00DB7FCF"/>
    <w:rsid w:val="00DC0132"/>
    <w:rsid w:val="00DC0542"/>
    <w:rsid w:val="00DC0713"/>
    <w:rsid w:val="00DC0D22"/>
    <w:rsid w:val="00DC0D82"/>
    <w:rsid w:val="00DC2BA4"/>
    <w:rsid w:val="00DC3829"/>
    <w:rsid w:val="00DC522C"/>
    <w:rsid w:val="00DC7188"/>
    <w:rsid w:val="00DD0F0E"/>
    <w:rsid w:val="00DD1655"/>
    <w:rsid w:val="00DD2B0E"/>
    <w:rsid w:val="00DD6F59"/>
    <w:rsid w:val="00DE1A55"/>
    <w:rsid w:val="00DE2C79"/>
    <w:rsid w:val="00DE36EB"/>
    <w:rsid w:val="00DE3775"/>
    <w:rsid w:val="00DE54CE"/>
    <w:rsid w:val="00DE58AE"/>
    <w:rsid w:val="00DF0FAA"/>
    <w:rsid w:val="00DF1714"/>
    <w:rsid w:val="00DF33CD"/>
    <w:rsid w:val="00DF6AC5"/>
    <w:rsid w:val="00E002E0"/>
    <w:rsid w:val="00E00FE4"/>
    <w:rsid w:val="00E0167F"/>
    <w:rsid w:val="00E01D9F"/>
    <w:rsid w:val="00E02E11"/>
    <w:rsid w:val="00E05F3C"/>
    <w:rsid w:val="00E06A91"/>
    <w:rsid w:val="00E10233"/>
    <w:rsid w:val="00E12046"/>
    <w:rsid w:val="00E12726"/>
    <w:rsid w:val="00E13718"/>
    <w:rsid w:val="00E14D25"/>
    <w:rsid w:val="00E23A78"/>
    <w:rsid w:val="00E23EBC"/>
    <w:rsid w:val="00E25B28"/>
    <w:rsid w:val="00E26C99"/>
    <w:rsid w:val="00E318E0"/>
    <w:rsid w:val="00E31F98"/>
    <w:rsid w:val="00E37AE0"/>
    <w:rsid w:val="00E43828"/>
    <w:rsid w:val="00E44934"/>
    <w:rsid w:val="00E479A3"/>
    <w:rsid w:val="00E47FC2"/>
    <w:rsid w:val="00E50731"/>
    <w:rsid w:val="00E53C4C"/>
    <w:rsid w:val="00E6253B"/>
    <w:rsid w:val="00E62BA0"/>
    <w:rsid w:val="00E6477B"/>
    <w:rsid w:val="00E7092C"/>
    <w:rsid w:val="00E7130E"/>
    <w:rsid w:val="00E71806"/>
    <w:rsid w:val="00E720A8"/>
    <w:rsid w:val="00E728EF"/>
    <w:rsid w:val="00E734AF"/>
    <w:rsid w:val="00E750B4"/>
    <w:rsid w:val="00E815F2"/>
    <w:rsid w:val="00E85E7A"/>
    <w:rsid w:val="00E86CBE"/>
    <w:rsid w:val="00E86DE2"/>
    <w:rsid w:val="00E90BF2"/>
    <w:rsid w:val="00E9132E"/>
    <w:rsid w:val="00E94CC3"/>
    <w:rsid w:val="00E968D5"/>
    <w:rsid w:val="00EA0380"/>
    <w:rsid w:val="00EA1785"/>
    <w:rsid w:val="00EA5987"/>
    <w:rsid w:val="00EA59D7"/>
    <w:rsid w:val="00EA7BF0"/>
    <w:rsid w:val="00EB3E4E"/>
    <w:rsid w:val="00EB6552"/>
    <w:rsid w:val="00EB775D"/>
    <w:rsid w:val="00EB7915"/>
    <w:rsid w:val="00EC1A46"/>
    <w:rsid w:val="00EC2CE1"/>
    <w:rsid w:val="00EC39F1"/>
    <w:rsid w:val="00EC3AA8"/>
    <w:rsid w:val="00EC5369"/>
    <w:rsid w:val="00EC5A62"/>
    <w:rsid w:val="00EC7EBC"/>
    <w:rsid w:val="00ED0796"/>
    <w:rsid w:val="00ED0E1F"/>
    <w:rsid w:val="00ED1DAD"/>
    <w:rsid w:val="00ED6E89"/>
    <w:rsid w:val="00EE0CCE"/>
    <w:rsid w:val="00EE331E"/>
    <w:rsid w:val="00EE364A"/>
    <w:rsid w:val="00EE3916"/>
    <w:rsid w:val="00EE49B5"/>
    <w:rsid w:val="00EE52A5"/>
    <w:rsid w:val="00EE79ED"/>
    <w:rsid w:val="00EE7CE7"/>
    <w:rsid w:val="00EF0A5A"/>
    <w:rsid w:val="00EF1CF5"/>
    <w:rsid w:val="00EF2315"/>
    <w:rsid w:val="00EF539D"/>
    <w:rsid w:val="00EF62C4"/>
    <w:rsid w:val="00F04769"/>
    <w:rsid w:val="00F1024C"/>
    <w:rsid w:val="00F11078"/>
    <w:rsid w:val="00F11157"/>
    <w:rsid w:val="00F115FE"/>
    <w:rsid w:val="00F11C6D"/>
    <w:rsid w:val="00F16F26"/>
    <w:rsid w:val="00F17C51"/>
    <w:rsid w:val="00F2078E"/>
    <w:rsid w:val="00F21108"/>
    <w:rsid w:val="00F211F8"/>
    <w:rsid w:val="00F21F8D"/>
    <w:rsid w:val="00F232A5"/>
    <w:rsid w:val="00F233E8"/>
    <w:rsid w:val="00F24312"/>
    <w:rsid w:val="00F257C7"/>
    <w:rsid w:val="00F26DD2"/>
    <w:rsid w:val="00F300DA"/>
    <w:rsid w:val="00F304D0"/>
    <w:rsid w:val="00F3237F"/>
    <w:rsid w:val="00F33FD1"/>
    <w:rsid w:val="00F345FF"/>
    <w:rsid w:val="00F37EB8"/>
    <w:rsid w:val="00F40FD4"/>
    <w:rsid w:val="00F4334F"/>
    <w:rsid w:val="00F466C4"/>
    <w:rsid w:val="00F47933"/>
    <w:rsid w:val="00F53AC3"/>
    <w:rsid w:val="00F54710"/>
    <w:rsid w:val="00F54A01"/>
    <w:rsid w:val="00F54BC3"/>
    <w:rsid w:val="00F54D96"/>
    <w:rsid w:val="00F57057"/>
    <w:rsid w:val="00F64A69"/>
    <w:rsid w:val="00F65F50"/>
    <w:rsid w:val="00F66C8A"/>
    <w:rsid w:val="00F710BC"/>
    <w:rsid w:val="00F71C8E"/>
    <w:rsid w:val="00F73873"/>
    <w:rsid w:val="00F745A7"/>
    <w:rsid w:val="00F74823"/>
    <w:rsid w:val="00F771FD"/>
    <w:rsid w:val="00F80C8E"/>
    <w:rsid w:val="00F84180"/>
    <w:rsid w:val="00F8602A"/>
    <w:rsid w:val="00F864A6"/>
    <w:rsid w:val="00F86805"/>
    <w:rsid w:val="00F87C92"/>
    <w:rsid w:val="00F91199"/>
    <w:rsid w:val="00F91611"/>
    <w:rsid w:val="00F92087"/>
    <w:rsid w:val="00F92181"/>
    <w:rsid w:val="00F95AFF"/>
    <w:rsid w:val="00F97128"/>
    <w:rsid w:val="00FA1115"/>
    <w:rsid w:val="00FA191E"/>
    <w:rsid w:val="00FA289D"/>
    <w:rsid w:val="00FA4444"/>
    <w:rsid w:val="00FA598B"/>
    <w:rsid w:val="00FA5DED"/>
    <w:rsid w:val="00FA667E"/>
    <w:rsid w:val="00FB0207"/>
    <w:rsid w:val="00FB0DDE"/>
    <w:rsid w:val="00FB53E9"/>
    <w:rsid w:val="00FB54C7"/>
    <w:rsid w:val="00FB758F"/>
    <w:rsid w:val="00FC2C71"/>
    <w:rsid w:val="00FC347C"/>
    <w:rsid w:val="00FC34FB"/>
    <w:rsid w:val="00FC3D43"/>
    <w:rsid w:val="00FC4FC5"/>
    <w:rsid w:val="00FC643F"/>
    <w:rsid w:val="00FD04B6"/>
    <w:rsid w:val="00FD09CF"/>
    <w:rsid w:val="00FD1200"/>
    <w:rsid w:val="00FD4EC3"/>
    <w:rsid w:val="00FD6F34"/>
    <w:rsid w:val="00FD70ED"/>
    <w:rsid w:val="00FD7DD9"/>
    <w:rsid w:val="00FE1AD4"/>
    <w:rsid w:val="00FE2140"/>
    <w:rsid w:val="00FE3F66"/>
    <w:rsid w:val="00FE567C"/>
    <w:rsid w:val="00FF11F4"/>
    <w:rsid w:val="00FF2127"/>
    <w:rsid w:val="00FF276F"/>
    <w:rsid w:val="00FF478A"/>
    <w:rsid w:val="00FF5FE6"/>
    <w:rsid w:val="00FF7DA3"/>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900405-A930-4D35-A9F0-74B11CAC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10"/>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903A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841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uiPriority w:val="99"/>
    <w:rsid w:val="00217E10"/>
    <w:pPr>
      <w:spacing w:before="100" w:beforeAutospacing="1" w:after="100" w:afterAutospacing="1"/>
    </w:pPr>
  </w:style>
  <w:style w:type="paragraph" w:styleId="Prrafodelista">
    <w:name w:val="List Paragraph"/>
    <w:basedOn w:val="Normal"/>
    <w:link w:val="PrrafodelistaCar"/>
    <w:uiPriority w:val="34"/>
    <w:qFormat/>
    <w:rsid w:val="00217E10"/>
    <w:pPr>
      <w:ind w:left="708"/>
    </w:pPr>
    <w:rPr>
      <w:sz w:val="20"/>
      <w:szCs w:val="20"/>
      <w:lang w:val="es-ES_tradnl" w:eastAsia="es-ES"/>
    </w:rPr>
  </w:style>
  <w:style w:type="character" w:customStyle="1" w:styleId="PrrafodelistaCar">
    <w:name w:val="Párrafo de lista Car"/>
    <w:link w:val="Prrafodelista"/>
    <w:uiPriority w:val="34"/>
    <w:locked/>
    <w:rsid w:val="00217E1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217E10"/>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rsid w:val="00217E10"/>
    <w:rPr>
      <w:rFonts w:ascii="Arial" w:eastAsia="Times New Roman" w:hAnsi="Arial" w:cs="Times New Roman"/>
      <w:sz w:val="24"/>
      <w:szCs w:val="20"/>
      <w:lang w:val="es-ES_tradnl" w:eastAsia="es-ES"/>
    </w:rPr>
  </w:style>
  <w:style w:type="paragraph" w:customStyle="1" w:styleId="IFT1">
    <w:name w:val="IFT 1"/>
    <w:basedOn w:val="Normal"/>
    <w:link w:val="IFT1Car"/>
    <w:qFormat/>
    <w:rsid w:val="00217E10"/>
    <w:pPr>
      <w:spacing w:after="200" w:line="276" w:lineRule="auto"/>
      <w:jc w:val="both"/>
    </w:pPr>
    <w:rPr>
      <w:rFonts w:ascii="ITC Avant Garde" w:hAnsi="ITC Avant Garde"/>
      <w:iCs/>
      <w:sz w:val="22"/>
      <w:szCs w:val="22"/>
      <w:lang w:eastAsia="en-US"/>
    </w:rPr>
  </w:style>
  <w:style w:type="character" w:customStyle="1" w:styleId="IFT1Car">
    <w:name w:val="IFT 1 Car"/>
    <w:link w:val="IFT1"/>
    <w:rsid w:val="00217E10"/>
    <w:rPr>
      <w:rFonts w:ascii="ITC Avant Garde" w:eastAsia="Times New Roman" w:hAnsi="ITC Avant Garde" w:cs="Times New Roman"/>
      <w:iCs/>
    </w:rPr>
  </w:style>
  <w:style w:type="paragraph" w:styleId="Sinespaciado">
    <w:name w:val="No Spacing"/>
    <w:uiPriority w:val="1"/>
    <w:qFormat/>
    <w:rsid w:val="00217E10"/>
    <w:pPr>
      <w:spacing w:after="0" w:line="240" w:lineRule="auto"/>
    </w:pPr>
  </w:style>
  <w:style w:type="paragraph" w:styleId="Textodeglobo">
    <w:name w:val="Balloon Text"/>
    <w:basedOn w:val="Normal"/>
    <w:link w:val="TextodegloboCar"/>
    <w:uiPriority w:val="99"/>
    <w:semiHidden/>
    <w:unhideWhenUsed/>
    <w:rsid w:val="008F70E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0EB"/>
    <w:rPr>
      <w:rFonts w:ascii="Lucida Grande" w:eastAsia="Times New Roman" w:hAnsi="Lucida Grande" w:cs="Lucida Grande"/>
      <w:sz w:val="18"/>
      <w:szCs w:val="18"/>
      <w:lang w:eastAsia="es-MX"/>
    </w:rPr>
  </w:style>
  <w:style w:type="character" w:styleId="Refdecomentario">
    <w:name w:val="annotation reference"/>
    <w:basedOn w:val="Fuentedeprrafopredeter"/>
    <w:uiPriority w:val="99"/>
    <w:semiHidden/>
    <w:unhideWhenUsed/>
    <w:rsid w:val="008F70EB"/>
    <w:rPr>
      <w:sz w:val="18"/>
      <w:szCs w:val="18"/>
    </w:rPr>
  </w:style>
  <w:style w:type="paragraph" w:styleId="Textocomentario">
    <w:name w:val="annotation text"/>
    <w:basedOn w:val="Normal"/>
    <w:link w:val="TextocomentarioCar"/>
    <w:uiPriority w:val="99"/>
    <w:unhideWhenUsed/>
    <w:rsid w:val="008F70EB"/>
  </w:style>
  <w:style w:type="character" w:customStyle="1" w:styleId="TextocomentarioCar">
    <w:name w:val="Texto comentario Car"/>
    <w:basedOn w:val="Fuentedeprrafopredeter"/>
    <w:link w:val="Textocomentario"/>
    <w:uiPriority w:val="99"/>
    <w:rsid w:val="008F70EB"/>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8F70EB"/>
    <w:rPr>
      <w:b/>
      <w:bCs/>
      <w:sz w:val="20"/>
      <w:szCs w:val="20"/>
    </w:rPr>
  </w:style>
  <w:style w:type="character" w:customStyle="1" w:styleId="AsuntodelcomentarioCar">
    <w:name w:val="Asunto del comentario Car"/>
    <w:basedOn w:val="TextocomentarioCar"/>
    <w:link w:val="Asuntodelcomentario"/>
    <w:uiPriority w:val="99"/>
    <w:semiHidden/>
    <w:rsid w:val="008F70EB"/>
    <w:rPr>
      <w:rFonts w:ascii="Times New Roman" w:eastAsia="Times New Roman" w:hAnsi="Times New Roman" w:cs="Times New Roman"/>
      <w:b/>
      <w:bCs/>
      <w:sz w:val="20"/>
      <w:szCs w:val="20"/>
      <w:lang w:eastAsia="es-MX"/>
    </w:rPr>
  </w:style>
  <w:style w:type="paragraph" w:styleId="Revisin">
    <w:name w:val="Revision"/>
    <w:hidden/>
    <w:uiPriority w:val="99"/>
    <w:semiHidden/>
    <w:rsid w:val="00C4333F"/>
    <w:pPr>
      <w:spacing w:after="0" w:line="240" w:lineRule="auto"/>
    </w:pPr>
    <w:rPr>
      <w:rFonts w:ascii="Times New Roman" w:eastAsia="Times New Roman" w:hAnsi="Times New Roman" w:cs="Times New Roman"/>
      <w:sz w:val="24"/>
      <w:szCs w:val="24"/>
      <w:lang w:eastAsia="es-MX"/>
    </w:rPr>
  </w:style>
  <w:style w:type="paragraph" w:customStyle="1" w:styleId="Normal1">
    <w:name w:val="Normal1"/>
    <w:rsid w:val="00A46617"/>
    <w:rPr>
      <w:rFonts w:ascii="Calibri" w:eastAsia="Calibri" w:hAnsi="Calibri" w:cs="Calibri"/>
      <w:color w:val="000000"/>
      <w:szCs w:val="20"/>
      <w:lang w:eastAsia="es-ES"/>
    </w:rPr>
  </w:style>
  <w:style w:type="paragraph" w:styleId="Textonotapie">
    <w:name w:val="footnote text"/>
    <w:basedOn w:val="Normal"/>
    <w:link w:val="TextonotapieCar"/>
    <w:uiPriority w:val="99"/>
    <w:semiHidden/>
    <w:unhideWhenUsed/>
    <w:rsid w:val="00A4661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A46617"/>
    <w:rPr>
      <w:sz w:val="20"/>
      <w:szCs w:val="20"/>
    </w:rPr>
  </w:style>
  <w:style w:type="character" w:styleId="Refdenotaalpie">
    <w:name w:val="footnote reference"/>
    <w:basedOn w:val="Fuentedeprrafopredeter"/>
    <w:uiPriority w:val="99"/>
    <w:unhideWhenUsed/>
    <w:rsid w:val="00A46617"/>
    <w:rPr>
      <w:vertAlign w:val="superscript"/>
    </w:rPr>
  </w:style>
  <w:style w:type="paragraph" w:styleId="Textonotaalfinal">
    <w:name w:val="endnote text"/>
    <w:basedOn w:val="Normal"/>
    <w:link w:val="TextonotaalfinalCar"/>
    <w:uiPriority w:val="99"/>
    <w:semiHidden/>
    <w:unhideWhenUsed/>
    <w:rsid w:val="001677EB"/>
    <w:rPr>
      <w:sz w:val="20"/>
      <w:szCs w:val="20"/>
    </w:rPr>
  </w:style>
  <w:style w:type="character" w:customStyle="1" w:styleId="TextonotaalfinalCar">
    <w:name w:val="Texto nota al final Car"/>
    <w:basedOn w:val="Fuentedeprrafopredeter"/>
    <w:link w:val="Textonotaalfinal"/>
    <w:uiPriority w:val="99"/>
    <w:semiHidden/>
    <w:rsid w:val="001677EB"/>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1677EB"/>
    <w:rPr>
      <w:vertAlign w:val="superscript"/>
    </w:rPr>
  </w:style>
  <w:style w:type="paragraph" w:styleId="Encabezado">
    <w:name w:val="header"/>
    <w:basedOn w:val="Normal"/>
    <w:link w:val="EncabezadoCar"/>
    <w:uiPriority w:val="99"/>
    <w:unhideWhenUsed/>
    <w:rsid w:val="00EA59D7"/>
    <w:pPr>
      <w:tabs>
        <w:tab w:val="center" w:pos="4419"/>
        <w:tab w:val="right" w:pos="8838"/>
      </w:tabs>
    </w:pPr>
  </w:style>
  <w:style w:type="character" w:customStyle="1" w:styleId="EncabezadoCar">
    <w:name w:val="Encabezado Car"/>
    <w:basedOn w:val="Fuentedeprrafopredeter"/>
    <w:link w:val="Encabezado"/>
    <w:uiPriority w:val="99"/>
    <w:rsid w:val="00EA59D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EA59D7"/>
    <w:pPr>
      <w:tabs>
        <w:tab w:val="center" w:pos="4419"/>
        <w:tab w:val="right" w:pos="8838"/>
      </w:tabs>
    </w:pPr>
  </w:style>
  <w:style w:type="character" w:customStyle="1" w:styleId="PiedepginaCar">
    <w:name w:val="Pie de página Car"/>
    <w:basedOn w:val="Fuentedeprrafopredeter"/>
    <w:link w:val="Piedepgina"/>
    <w:uiPriority w:val="99"/>
    <w:rsid w:val="00EA59D7"/>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B0C19"/>
    <w:rPr>
      <w:color w:val="0563C1" w:themeColor="hyperlink"/>
      <w:u w:val="single"/>
    </w:rPr>
  </w:style>
  <w:style w:type="table" w:styleId="Tablaconcuadrcula">
    <w:name w:val="Table Grid"/>
    <w:basedOn w:val="Tablanormal"/>
    <w:uiPriority w:val="39"/>
    <w:rsid w:val="00A1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99"/>
    <w:rsid w:val="00DB5CEA"/>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
    <w:name w:val="Quote"/>
    <w:basedOn w:val="Normal"/>
    <w:next w:val="Normal"/>
    <w:link w:val="CitaCar"/>
    <w:uiPriority w:val="29"/>
    <w:qFormat/>
    <w:rsid w:val="008066CC"/>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066CC"/>
    <w:rPr>
      <w:rFonts w:ascii="Times New Roman" w:eastAsia="Times New Roman" w:hAnsi="Times New Roman" w:cs="Times New Roman"/>
      <w:i/>
      <w:iCs/>
      <w:color w:val="404040" w:themeColor="text1" w:themeTint="BF"/>
      <w:sz w:val="24"/>
      <w:szCs w:val="24"/>
      <w:lang w:eastAsia="es-MX"/>
    </w:rPr>
  </w:style>
  <w:style w:type="character" w:customStyle="1" w:styleId="apple-converted-space">
    <w:name w:val="apple-converted-space"/>
    <w:basedOn w:val="Fuentedeprrafopredeter"/>
    <w:rsid w:val="009F3B49"/>
  </w:style>
  <w:style w:type="character" w:customStyle="1" w:styleId="Ttulo1Car">
    <w:name w:val="Título 1 Car"/>
    <w:basedOn w:val="Fuentedeprrafopredeter"/>
    <w:link w:val="Ttulo1"/>
    <w:uiPriority w:val="9"/>
    <w:rsid w:val="00903A5B"/>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F84180"/>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39162">
      <w:bodyDiv w:val="1"/>
      <w:marLeft w:val="0"/>
      <w:marRight w:val="0"/>
      <w:marTop w:val="0"/>
      <w:marBottom w:val="0"/>
      <w:divBdr>
        <w:top w:val="none" w:sz="0" w:space="0" w:color="auto"/>
        <w:left w:val="none" w:sz="0" w:space="0" w:color="auto"/>
        <w:bottom w:val="none" w:sz="0" w:space="0" w:color="auto"/>
        <w:right w:val="none" w:sz="0" w:space="0" w:color="auto"/>
      </w:divBdr>
    </w:div>
    <w:div w:id="749080983">
      <w:bodyDiv w:val="1"/>
      <w:marLeft w:val="0"/>
      <w:marRight w:val="0"/>
      <w:marTop w:val="0"/>
      <w:marBottom w:val="0"/>
      <w:divBdr>
        <w:top w:val="none" w:sz="0" w:space="0" w:color="auto"/>
        <w:left w:val="none" w:sz="0" w:space="0" w:color="auto"/>
        <w:bottom w:val="none" w:sz="0" w:space="0" w:color="auto"/>
        <w:right w:val="none" w:sz="0" w:space="0" w:color="auto"/>
      </w:divBdr>
    </w:div>
    <w:div w:id="1019819956">
      <w:bodyDiv w:val="1"/>
      <w:marLeft w:val="0"/>
      <w:marRight w:val="0"/>
      <w:marTop w:val="0"/>
      <w:marBottom w:val="0"/>
      <w:divBdr>
        <w:top w:val="none" w:sz="0" w:space="0" w:color="auto"/>
        <w:left w:val="none" w:sz="0" w:space="0" w:color="auto"/>
        <w:bottom w:val="none" w:sz="0" w:space="0" w:color="auto"/>
        <w:right w:val="none" w:sz="0" w:space="0" w:color="auto"/>
      </w:divBdr>
    </w:div>
    <w:div w:id="1085109835">
      <w:bodyDiv w:val="1"/>
      <w:marLeft w:val="0"/>
      <w:marRight w:val="0"/>
      <w:marTop w:val="0"/>
      <w:marBottom w:val="0"/>
      <w:divBdr>
        <w:top w:val="none" w:sz="0" w:space="0" w:color="auto"/>
        <w:left w:val="none" w:sz="0" w:space="0" w:color="auto"/>
        <w:bottom w:val="none" w:sz="0" w:space="0" w:color="auto"/>
        <w:right w:val="none" w:sz="0" w:space="0" w:color="auto"/>
      </w:divBdr>
    </w:div>
    <w:div w:id="1402023515">
      <w:bodyDiv w:val="1"/>
      <w:marLeft w:val="0"/>
      <w:marRight w:val="0"/>
      <w:marTop w:val="0"/>
      <w:marBottom w:val="0"/>
      <w:divBdr>
        <w:top w:val="none" w:sz="0" w:space="0" w:color="auto"/>
        <w:left w:val="none" w:sz="0" w:space="0" w:color="auto"/>
        <w:bottom w:val="none" w:sz="0" w:space="0" w:color="auto"/>
        <w:right w:val="none" w:sz="0" w:space="0" w:color="auto"/>
      </w:divBdr>
    </w:div>
    <w:div w:id="1512648853">
      <w:bodyDiv w:val="1"/>
      <w:marLeft w:val="0"/>
      <w:marRight w:val="0"/>
      <w:marTop w:val="0"/>
      <w:marBottom w:val="0"/>
      <w:divBdr>
        <w:top w:val="none" w:sz="0" w:space="0" w:color="auto"/>
        <w:left w:val="none" w:sz="0" w:space="0" w:color="auto"/>
        <w:bottom w:val="none" w:sz="0" w:space="0" w:color="auto"/>
        <w:right w:val="none" w:sz="0" w:space="0" w:color="auto"/>
      </w:divBdr>
    </w:div>
    <w:div w:id="1583489425">
      <w:bodyDiv w:val="1"/>
      <w:marLeft w:val="0"/>
      <w:marRight w:val="0"/>
      <w:marTop w:val="0"/>
      <w:marBottom w:val="0"/>
      <w:divBdr>
        <w:top w:val="none" w:sz="0" w:space="0" w:color="auto"/>
        <w:left w:val="none" w:sz="0" w:space="0" w:color="auto"/>
        <w:bottom w:val="none" w:sz="0" w:space="0" w:color="auto"/>
        <w:right w:val="none" w:sz="0" w:space="0" w:color="auto"/>
      </w:divBdr>
    </w:div>
    <w:div w:id="1850293739">
      <w:bodyDiv w:val="1"/>
      <w:marLeft w:val="0"/>
      <w:marRight w:val="0"/>
      <w:marTop w:val="0"/>
      <w:marBottom w:val="0"/>
      <w:divBdr>
        <w:top w:val="none" w:sz="0" w:space="0" w:color="auto"/>
        <w:left w:val="none" w:sz="0" w:space="0" w:color="auto"/>
        <w:bottom w:val="none" w:sz="0" w:space="0" w:color="auto"/>
        <w:right w:val="none" w:sz="0" w:space="0" w:color="auto"/>
      </w:divBdr>
      <w:divsChild>
        <w:div w:id="99321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369F0E7252EE478C203756C5F856DE" ma:contentTypeVersion="0" ma:contentTypeDescription="Crear nuevo documento." ma:contentTypeScope="" ma:versionID="4aa11592ba6d1231efc10b3d62b62f9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5599-CE82-4694-9294-324C5245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5ECB70-25F0-43BB-AEAF-DC88D5CF1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3FBBC-71BB-44E5-88AB-72CBE4ECCFA2}">
  <ds:schemaRefs>
    <ds:schemaRef ds:uri="http://schemas.microsoft.com/sharepoint/v3/contenttype/forms"/>
  </ds:schemaRefs>
</ds:datastoreItem>
</file>

<file path=customXml/itemProps4.xml><?xml version="1.0" encoding="utf-8"?>
<ds:datastoreItem xmlns:ds="http://schemas.openxmlformats.org/officeDocument/2006/customXml" ds:itemID="{96A4512E-AC9A-4338-B3F7-46DC3B95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7986</Words>
  <Characters>43926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Salazar Altamirano</dc:creator>
  <cp:lastModifiedBy>Maria del Consuelo Gonzalez Moreno</cp:lastModifiedBy>
  <cp:revision>9</cp:revision>
  <dcterms:created xsi:type="dcterms:W3CDTF">2017-06-30T19:05:00Z</dcterms:created>
  <dcterms:modified xsi:type="dcterms:W3CDTF">2017-07-31T19:11:00Z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0x010100C8369F0E7252EE478C203756C5F856DE</vt:lpwstr>
  </property>
</Properties>
</file>