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61E22" w14:textId="77777777" w:rsidR="00A82AD3" w:rsidRPr="00A82AD3" w:rsidRDefault="00606E07" w:rsidP="00A82AD3">
      <w:pPr>
        <w:pStyle w:val="Ttulo1"/>
        <w:spacing w:after="240" w:line="240" w:lineRule="auto"/>
        <w:jc w:val="both"/>
        <w:rPr>
          <w:rFonts w:ascii="ITC Avant Garde" w:hAnsi="ITC Avant Garde"/>
          <w:b/>
          <w:color w:val="000000" w:themeColor="text1"/>
          <w:sz w:val="22"/>
          <w:szCs w:val="22"/>
          <w:lang w:eastAsia="es-MX"/>
        </w:rPr>
      </w:pPr>
      <w:r w:rsidRPr="00A82AD3">
        <w:rPr>
          <w:rFonts w:ascii="ITC Avant Garde" w:hAnsi="ITC Avant Garde"/>
          <w:b/>
          <w:color w:val="000000" w:themeColor="text1"/>
          <w:sz w:val="22"/>
          <w:szCs w:val="22"/>
          <w:lang w:eastAsia="es-MX"/>
        </w:rPr>
        <w:t>RESOLUCIÓN MEDIANTE</w:t>
      </w:r>
      <w:r w:rsidR="00A21167" w:rsidRPr="00A82AD3">
        <w:rPr>
          <w:rFonts w:ascii="ITC Avant Garde" w:hAnsi="ITC Avant Garde"/>
          <w:b/>
          <w:color w:val="000000" w:themeColor="text1"/>
          <w:sz w:val="22"/>
          <w:szCs w:val="22"/>
          <w:lang w:eastAsia="es-MX"/>
        </w:rPr>
        <w:t xml:space="preserve"> LA CUAL EL PLENO DEL INSTITUTO FEDERAL DE TELECOMUNICACIONES </w:t>
      </w:r>
      <w:r w:rsidR="00DB4ECB" w:rsidRPr="00A82AD3">
        <w:rPr>
          <w:rFonts w:ascii="ITC Avant Garde" w:hAnsi="ITC Avant Garde"/>
          <w:b/>
          <w:color w:val="000000" w:themeColor="text1"/>
          <w:sz w:val="22"/>
          <w:szCs w:val="22"/>
          <w:lang w:eastAsia="es-MX"/>
        </w:rPr>
        <w:t xml:space="preserve">AUTORIZA A </w:t>
      </w:r>
      <w:r w:rsidR="00FB24F6" w:rsidRPr="00A82AD3">
        <w:rPr>
          <w:rFonts w:ascii="ITC Avant Garde" w:hAnsi="ITC Avant Garde"/>
          <w:b/>
          <w:color w:val="000000" w:themeColor="text1"/>
          <w:sz w:val="22"/>
          <w:szCs w:val="22"/>
          <w:lang w:eastAsia="es-MX"/>
        </w:rPr>
        <w:t>DIGICRD, S.A. DE C.V.</w:t>
      </w:r>
      <w:r w:rsidR="006A12B1" w:rsidRPr="00A82AD3">
        <w:rPr>
          <w:rFonts w:ascii="ITC Avant Garde" w:hAnsi="ITC Avant Garde"/>
          <w:b/>
          <w:color w:val="000000" w:themeColor="text1"/>
          <w:sz w:val="22"/>
          <w:szCs w:val="22"/>
          <w:lang w:eastAsia="es-MX"/>
        </w:rPr>
        <w:t>,</w:t>
      </w:r>
      <w:r w:rsidR="00FB24F6" w:rsidRPr="00A82AD3">
        <w:rPr>
          <w:rFonts w:ascii="ITC Avant Garde" w:hAnsi="ITC Avant Garde"/>
          <w:b/>
          <w:color w:val="000000" w:themeColor="text1"/>
          <w:sz w:val="22"/>
          <w:szCs w:val="22"/>
          <w:lang w:eastAsia="es-MX"/>
        </w:rPr>
        <w:t xml:space="preserve"> </w:t>
      </w:r>
      <w:r w:rsidR="006152A0" w:rsidRPr="00A82AD3">
        <w:rPr>
          <w:rFonts w:ascii="ITC Avant Garde" w:hAnsi="ITC Avant Garde"/>
          <w:b/>
          <w:color w:val="000000" w:themeColor="text1"/>
          <w:sz w:val="22"/>
          <w:szCs w:val="22"/>
          <w:lang w:eastAsia="es-MX"/>
        </w:rPr>
        <w:t xml:space="preserve">LA INTERRUPCIÓN DE LOS SERVICIOS DE </w:t>
      </w:r>
      <w:r w:rsidR="006A12B1" w:rsidRPr="00A82AD3">
        <w:rPr>
          <w:rFonts w:ascii="ITC Avant Garde" w:hAnsi="ITC Avant Garde"/>
          <w:b/>
          <w:color w:val="000000" w:themeColor="text1"/>
          <w:sz w:val="22"/>
          <w:szCs w:val="22"/>
          <w:lang w:eastAsia="es-MX"/>
        </w:rPr>
        <w:t>TELECOMUNICACIONES</w:t>
      </w:r>
      <w:r w:rsidR="00FB24F6" w:rsidRPr="00A82AD3">
        <w:rPr>
          <w:rFonts w:ascii="ITC Avant Garde" w:hAnsi="ITC Avant Garde"/>
          <w:b/>
          <w:color w:val="000000" w:themeColor="text1"/>
          <w:sz w:val="22"/>
          <w:szCs w:val="22"/>
          <w:lang w:eastAsia="es-MX"/>
        </w:rPr>
        <w:t xml:space="preserve"> </w:t>
      </w:r>
      <w:r w:rsidR="006A12B1" w:rsidRPr="00A82AD3">
        <w:rPr>
          <w:rFonts w:ascii="ITC Avant Garde" w:hAnsi="ITC Avant Garde"/>
          <w:b/>
          <w:color w:val="000000" w:themeColor="text1"/>
          <w:sz w:val="22"/>
          <w:szCs w:val="22"/>
          <w:lang w:eastAsia="es-MX"/>
        </w:rPr>
        <w:t xml:space="preserve">AUTORIZADOS </w:t>
      </w:r>
      <w:r w:rsidR="00FB24F6" w:rsidRPr="00A82AD3">
        <w:rPr>
          <w:rFonts w:ascii="ITC Avant Garde" w:hAnsi="ITC Avant Garde"/>
          <w:b/>
          <w:color w:val="000000" w:themeColor="text1"/>
          <w:sz w:val="22"/>
          <w:szCs w:val="22"/>
          <w:lang w:eastAsia="es-MX"/>
        </w:rPr>
        <w:t xml:space="preserve">EN </w:t>
      </w:r>
      <w:r w:rsidR="00C6712B" w:rsidRPr="00A82AD3">
        <w:rPr>
          <w:rFonts w:ascii="ITC Avant Garde" w:hAnsi="ITC Avant Garde"/>
          <w:b/>
          <w:color w:val="000000" w:themeColor="text1"/>
          <w:sz w:val="22"/>
          <w:szCs w:val="22"/>
          <w:lang w:eastAsia="es-MX"/>
        </w:rPr>
        <w:t>CUARENTA Y DOS</w:t>
      </w:r>
      <w:r w:rsidR="0048026D" w:rsidRPr="00A82AD3">
        <w:rPr>
          <w:rFonts w:ascii="ITC Avant Garde" w:hAnsi="ITC Avant Garde"/>
          <w:b/>
          <w:color w:val="000000" w:themeColor="text1"/>
          <w:sz w:val="22"/>
          <w:szCs w:val="22"/>
          <w:lang w:eastAsia="es-MX"/>
        </w:rPr>
        <w:t xml:space="preserve"> </w:t>
      </w:r>
      <w:r w:rsidR="00FB24F6" w:rsidRPr="00A82AD3">
        <w:rPr>
          <w:rFonts w:ascii="ITC Avant Garde" w:hAnsi="ITC Avant Garde"/>
          <w:b/>
          <w:color w:val="000000" w:themeColor="text1"/>
          <w:sz w:val="22"/>
          <w:szCs w:val="22"/>
          <w:lang w:eastAsia="es-MX"/>
        </w:rPr>
        <w:t>TÍTULO</w:t>
      </w:r>
      <w:r w:rsidR="00C6712B" w:rsidRPr="00A82AD3">
        <w:rPr>
          <w:rFonts w:ascii="ITC Avant Garde" w:hAnsi="ITC Avant Garde"/>
          <w:b/>
          <w:color w:val="000000" w:themeColor="text1"/>
          <w:sz w:val="22"/>
          <w:szCs w:val="22"/>
          <w:lang w:eastAsia="es-MX"/>
        </w:rPr>
        <w:t>S</w:t>
      </w:r>
      <w:r w:rsidR="00FB24F6" w:rsidRPr="00A82AD3">
        <w:rPr>
          <w:rFonts w:ascii="ITC Avant Garde" w:hAnsi="ITC Avant Garde"/>
          <w:b/>
          <w:color w:val="000000" w:themeColor="text1"/>
          <w:sz w:val="22"/>
          <w:szCs w:val="22"/>
          <w:lang w:eastAsia="es-MX"/>
        </w:rPr>
        <w:t xml:space="preserve"> DE CONCESIÓN </w:t>
      </w:r>
      <w:r w:rsidR="00C6712B" w:rsidRPr="00A82AD3">
        <w:rPr>
          <w:rFonts w:ascii="ITC Avant Garde" w:hAnsi="ITC Avant Garde"/>
          <w:b/>
          <w:color w:val="000000" w:themeColor="text1"/>
          <w:sz w:val="22"/>
          <w:szCs w:val="22"/>
          <w:lang w:eastAsia="es-MX"/>
        </w:rPr>
        <w:t>PARA USAR, APROVECHAR Y EXPLOTAR BANDAS DE FRECUENCIAS DEL ESPECTRO RADIOELÉCTRICO PARA USOS DETERMINADOS</w:t>
      </w:r>
      <w:r w:rsidR="00DB4ECB" w:rsidRPr="00A82AD3">
        <w:rPr>
          <w:rFonts w:ascii="ITC Avant Garde" w:hAnsi="ITC Avant Garde"/>
          <w:b/>
          <w:color w:val="000000" w:themeColor="text1"/>
          <w:sz w:val="22"/>
          <w:szCs w:val="22"/>
          <w:lang w:eastAsia="es-MX"/>
        </w:rPr>
        <w:t xml:space="preserve">, MODIFICADOS Y PRORROGADOS </w:t>
      </w:r>
      <w:r w:rsidR="006A12B1" w:rsidRPr="00A82AD3">
        <w:rPr>
          <w:rFonts w:ascii="ITC Avant Garde" w:hAnsi="ITC Avant Garde"/>
          <w:b/>
          <w:color w:val="000000" w:themeColor="text1"/>
          <w:sz w:val="22"/>
          <w:szCs w:val="22"/>
          <w:lang w:eastAsia="es-MX"/>
        </w:rPr>
        <w:t xml:space="preserve">POR LA SECRTARÍA DE COMUNICACIONES Y TRANSPORTES </w:t>
      </w:r>
      <w:r w:rsidR="00DB4ECB" w:rsidRPr="00A82AD3">
        <w:rPr>
          <w:rFonts w:ascii="ITC Avant Garde" w:hAnsi="ITC Avant Garde"/>
          <w:b/>
          <w:color w:val="000000" w:themeColor="text1"/>
          <w:sz w:val="22"/>
          <w:szCs w:val="22"/>
          <w:lang w:eastAsia="es-MX"/>
        </w:rPr>
        <w:t>EL 6 DE SEPTIEMBRE DE 2013</w:t>
      </w:r>
      <w:r w:rsidR="00DD78E3" w:rsidRPr="00A82AD3">
        <w:rPr>
          <w:rFonts w:ascii="ITC Avant Garde" w:hAnsi="ITC Avant Garde"/>
          <w:b/>
          <w:color w:val="000000" w:themeColor="text1"/>
          <w:sz w:val="22"/>
          <w:szCs w:val="22"/>
          <w:lang w:eastAsia="es-MX"/>
        </w:rPr>
        <w:t>.</w:t>
      </w:r>
    </w:p>
    <w:p w14:paraId="2DA02D5F" w14:textId="77777777" w:rsidR="00A82AD3" w:rsidRPr="00A82AD3" w:rsidRDefault="00A21167" w:rsidP="00A82AD3">
      <w:pPr>
        <w:pStyle w:val="Ttulo2"/>
        <w:spacing w:after="240"/>
        <w:jc w:val="center"/>
        <w:rPr>
          <w:rFonts w:ascii="ITC Avant Garde" w:hAnsi="ITC Avant Garde"/>
          <w:b/>
          <w:color w:val="000000" w:themeColor="text1"/>
          <w:sz w:val="22"/>
          <w:szCs w:val="22"/>
        </w:rPr>
      </w:pPr>
      <w:r w:rsidRPr="00A82AD3">
        <w:rPr>
          <w:rFonts w:ascii="ITC Avant Garde" w:hAnsi="ITC Avant Garde"/>
          <w:b/>
          <w:color w:val="000000" w:themeColor="text1"/>
          <w:sz w:val="22"/>
          <w:szCs w:val="22"/>
        </w:rPr>
        <w:t>ANTECEDENTES</w:t>
      </w:r>
    </w:p>
    <w:p w14:paraId="1F73E9E8" w14:textId="77777777" w:rsidR="00A82AD3" w:rsidRPr="00A82AD3" w:rsidRDefault="009A5E55" w:rsidP="00A82AD3">
      <w:pPr>
        <w:numPr>
          <w:ilvl w:val="0"/>
          <w:numId w:val="1"/>
        </w:numPr>
        <w:spacing w:before="240" w:line="240" w:lineRule="auto"/>
        <w:ind w:left="567" w:hanging="567"/>
        <w:jc w:val="both"/>
        <w:rPr>
          <w:rFonts w:ascii="ITC Avant Garde" w:hAnsi="ITC Avant Garde"/>
          <w:bCs/>
          <w:color w:val="000000"/>
          <w:lang w:eastAsia="es-MX"/>
        </w:rPr>
      </w:pPr>
      <w:r w:rsidRPr="00A82AD3">
        <w:rPr>
          <w:rFonts w:ascii="ITC Avant Garde" w:hAnsi="ITC Avant Garde"/>
          <w:b/>
          <w:bCs/>
          <w:color w:val="000000"/>
          <w:lang w:eastAsia="es-MX"/>
        </w:rPr>
        <w:t xml:space="preserve">Decreto de Reforma Constitucional. </w:t>
      </w:r>
      <w:r w:rsidRPr="00A82AD3">
        <w:rPr>
          <w:rFonts w:ascii="ITC Avant Garde" w:hAnsi="ITC Avant Garde"/>
          <w:bCs/>
          <w:color w:val="000000"/>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 como un órgano autónomo que tiene por objeto el desarrollo eficiente de la radiodifusión y las telecomunicaciones.</w:t>
      </w:r>
    </w:p>
    <w:p w14:paraId="72C84173" w14:textId="74F96A67" w:rsidR="009A5E55" w:rsidRPr="00A82AD3" w:rsidRDefault="00DE16A4" w:rsidP="00A82AD3">
      <w:pPr>
        <w:numPr>
          <w:ilvl w:val="0"/>
          <w:numId w:val="1"/>
        </w:numPr>
        <w:spacing w:before="240" w:line="240" w:lineRule="auto"/>
        <w:ind w:left="567" w:hanging="567"/>
        <w:jc w:val="both"/>
        <w:rPr>
          <w:rFonts w:ascii="ITC Avant Garde" w:hAnsi="ITC Avant Garde"/>
          <w:bCs/>
          <w:color w:val="000000"/>
          <w:lang w:eastAsia="es-MX"/>
        </w:rPr>
      </w:pPr>
      <w:r w:rsidRPr="00A82AD3">
        <w:rPr>
          <w:rFonts w:ascii="ITC Avant Garde" w:hAnsi="ITC Avant Garde"/>
          <w:b/>
          <w:bCs/>
          <w:color w:val="000000"/>
          <w:lang w:eastAsia="es-MX"/>
        </w:rPr>
        <w:t>Otorgamiento de la</w:t>
      </w:r>
      <w:r w:rsidR="007E2DB6" w:rsidRPr="00A82AD3">
        <w:rPr>
          <w:rFonts w:ascii="ITC Avant Garde" w:hAnsi="ITC Avant Garde"/>
          <w:b/>
          <w:bCs/>
          <w:color w:val="000000"/>
          <w:lang w:eastAsia="es-MX"/>
        </w:rPr>
        <w:t>s Concesiones</w:t>
      </w:r>
      <w:r w:rsidRPr="00A82AD3">
        <w:rPr>
          <w:rFonts w:ascii="ITC Avant Garde" w:hAnsi="ITC Avant Garde"/>
          <w:b/>
          <w:bCs/>
          <w:color w:val="000000"/>
          <w:lang w:eastAsia="es-MX"/>
        </w:rPr>
        <w:t>.</w:t>
      </w:r>
      <w:r w:rsidRPr="00A82AD3">
        <w:rPr>
          <w:rFonts w:ascii="ITC Avant Garde" w:hAnsi="ITC Avant Garde"/>
          <w:bCs/>
          <w:color w:val="000000"/>
          <w:lang w:eastAsia="es-MX"/>
        </w:rPr>
        <w:t xml:space="preserve"> El 6 de septiembre de 2013, la Secretaría </w:t>
      </w:r>
      <w:r w:rsidR="00D355D6" w:rsidRPr="00A82AD3">
        <w:rPr>
          <w:rFonts w:ascii="ITC Avant Garde" w:hAnsi="ITC Avant Garde"/>
          <w:bCs/>
          <w:color w:val="000000"/>
          <w:lang w:eastAsia="es-MX"/>
        </w:rPr>
        <w:t xml:space="preserve">de Comunicaciones y Transportes </w:t>
      </w:r>
      <w:r w:rsidRPr="00A82AD3">
        <w:rPr>
          <w:rFonts w:ascii="ITC Avant Garde" w:hAnsi="ITC Avant Garde"/>
          <w:bCs/>
          <w:color w:val="000000"/>
          <w:lang w:eastAsia="es-MX"/>
        </w:rPr>
        <w:t>otorgó a favor de MVS Multivisión, S.A. de C.V., 42 (cuarenta y dos) Modificaciones y Prórrogas de las Concesiones para usar, aprovechar y explotar bandas de frecuencias del espectro radioeléctrico para usos determinados, (las “Concesiones”),</w:t>
      </w:r>
      <w:r w:rsidR="0094562F" w:rsidRPr="00A82AD3">
        <w:rPr>
          <w:rFonts w:ascii="ITC Avant Garde" w:hAnsi="ITC Avant Garde"/>
          <w:bCs/>
          <w:color w:val="000000"/>
          <w:lang w:eastAsia="es-MX"/>
        </w:rPr>
        <w:t xml:space="preserve"> tod</w:t>
      </w:r>
      <w:r w:rsidR="003E57BD" w:rsidRPr="00A82AD3">
        <w:rPr>
          <w:rFonts w:ascii="ITC Avant Garde" w:hAnsi="ITC Avant Garde"/>
          <w:bCs/>
          <w:color w:val="000000"/>
          <w:lang w:eastAsia="es-MX"/>
        </w:rPr>
        <w:t>a</w:t>
      </w:r>
      <w:r w:rsidR="0094562F" w:rsidRPr="00A82AD3">
        <w:rPr>
          <w:rFonts w:ascii="ITC Avant Garde" w:hAnsi="ITC Avant Garde"/>
          <w:bCs/>
          <w:color w:val="000000"/>
          <w:lang w:eastAsia="es-MX"/>
        </w:rPr>
        <w:t>s para la prestación de los servicios de televisión y audio restringidos,</w:t>
      </w:r>
      <w:r w:rsidRPr="00A82AD3">
        <w:rPr>
          <w:rFonts w:ascii="ITC Avant Garde" w:hAnsi="ITC Avant Garde"/>
          <w:bCs/>
          <w:color w:val="000000"/>
          <w:lang w:eastAsia="es-MX"/>
        </w:rPr>
        <w:t xml:space="preserve"> </w:t>
      </w:r>
      <w:r w:rsidR="00DD5B33" w:rsidRPr="00A82AD3">
        <w:rPr>
          <w:rFonts w:ascii="ITC Avant Garde" w:hAnsi="ITC Avant Garde"/>
          <w:bCs/>
          <w:color w:val="000000"/>
          <w:lang w:eastAsia="es-MX"/>
        </w:rPr>
        <w:t xml:space="preserve">y en algunos casos, el servicio fijo de </w:t>
      </w:r>
      <w:r w:rsidR="0096023F" w:rsidRPr="00A82AD3">
        <w:rPr>
          <w:rFonts w:ascii="ITC Avant Garde" w:hAnsi="ITC Avant Garde"/>
          <w:bCs/>
          <w:color w:val="000000"/>
          <w:lang w:eastAsia="es-MX"/>
        </w:rPr>
        <w:t>transmisión</w:t>
      </w:r>
      <w:r w:rsidR="00DD5B33" w:rsidRPr="00A82AD3">
        <w:rPr>
          <w:rFonts w:ascii="ITC Avant Garde" w:hAnsi="ITC Avant Garde"/>
          <w:bCs/>
          <w:color w:val="000000"/>
          <w:lang w:eastAsia="es-MX"/>
        </w:rPr>
        <w:t xml:space="preserve"> bidireccional de datos, </w:t>
      </w:r>
      <w:r w:rsidRPr="00A82AD3">
        <w:rPr>
          <w:rFonts w:ascii="ITC Avant Garde" w:hAnsi="ITC Avant Garde"/>
          <w:bCs/>
          <w:color w:val="000000"/>
          <w:lang w:eastAsia="es-MX"/>
        </w:rPr>
        <w:t>de conformidad con la siguiente tabla:</w:t>
      </w:r>
    </w:p>
    <w:tbl>
      <w:tblPr>
        <w:tblStyle w:val="Tablaconcuadrcula"/>
        <w:tblW w:w="0" w:type="auto"/>
        <w:jc w:val="center"/>
        <w:tblLook w:val="04A0" w:firstRow="1" w:lastRow="0" w:firstColumn="1" w:lastColumn="0" w:noHBand="0" w:noVBand="1"/>
        <w:tblCaption w:val="Historial del otorgamiento de Concesiones"/>
        <w:tblDescription w:val="En una tabla de 3 columnas y 42 filas, se proporcionan los datos de las bandas de frecuencias y su cobertura."/>
      </w:tblPr>
      <w:tblGrid>
        <w:gridCol w:w="562"/>
        <w:gridCol w:w="2694"/>
        <w:gridCol w:w="5528"/>
      </w:tblGrid>
      <w:tr w:rsidR="00405C1A" w:rsidRPr="00A82AD3" w14:paraId="213AD23B" w14:textId="77777777" w:rsidTr="00A82AD3">
        <w:trPr>
          <w:tblHeader/>
          <w:jc w:val="center"/>
        </w:trPr>
        <w:tc>
          <w:tcPr>
            <w:tcW w:w="562" w:type="dxa"/>
            <w:shd w:val="clear" w:color="auto" w:fill="A6A6A6" w:themeFill="background1" w:themeFillShade="A6"/>
          </w:tcPr>
          <w:p w14:paraId="0A105378" w14:textId="04FAFFDF" w:rsidR="00405C1A" w:rsidRPr="00A82AD3" w:rsidRDefault="00405C1A" w:rsidP="00A82AD3">
            <w:pPr>
              <w:spacing w:after="0" w:line="240" w:lineRule="auto"/>
              <w:jc w:val="center"/>
              <w:rPr>
                <w:rFonts w:ascii="ITC Avant Garde" w:hAnsi="ITC Avant Garde"/>
                <w:bCs/>
                <w:color w:val="000000"/>
                <w:sz w:val="16"/>
                <w:szCs w:val="16"/>
                <w:lang w:eastAsia="es-MX"/>
              </w:rPr>
            </w:pPr>
            <w:r w:rsidRPr="00A82AD3">
              <w:rPr>
                <w:rFonts w:ascii="ITC Avant Garde" w:eastAsia="Times New Roman" w:hAnsi="ITC Avant Garde"/>
                <w:b/>
                <w:sz w:val="16"/>
                <w:szCs w:val="16"/>
                <w:lang w:eastAsia="es-MX"/>
              </w:rPr>
              <w:t>No.</w:t>
            </w:r>
          </w:p>
        </w:tc>
        <w:tc>
          <w:tcPr>
            <w:tcW w:w="2694" w:type="dxa"/>
            <w:shd w:val="clear" w:color="auto" w:fill="A6A6A6" w:themeFill="background1" w:themeFillShade="A6"/>
          </w:tcPr>
          <w:p w14:paraId="62F6F157" w14:textId="36861191" w:rsidR="00405C1A" w:rsidRPr="00A82AD3" w:rsidRDefault="00405C1A" w:rsidP="00A82AD3">
            <w:pPr>
              <w:spacing w:after="0" w:line="240" w:lineRule="auto"/>
              <w:jc w:val="center"/>
              <w:rPr>
                <w:rFonts w:ascii="ITC Avant Garde" w:hAnsi="ITC Avant Garde"/>
                <w:bCs/>
                <w:color w:val="000000"/>
                <w:sz w:val="16"/>
                <w:szCs w:val="16"/>
                <w:lang w:eastAsia="es-MX"/>
              </w:rPr>
            </w:pPr>
            <w:r w:rsidRPr="00A82AD3">
              <w:rPr>
                <w:rFonts w:ascii="ITC Avant Garde" w:eastAsia="Times New Roman" w:hAnsi="ITC Avant Garde"/>
                <w:b/>
                <w:sz w:val="16"/>
                <w:szCs w:val="16"/>
                <w:lang w:eastAsia="es-MX"/>
              </w:rPr>
              <w:t>Banda de frecuencias</w:t>
            </w:r>
          </w:p>
        </w:tc>
        <w:tc>
          <w:tcPr>
            <w:tcW w:w="5528" w:type="dxa"/>
            <w:shd w:val="clear" w:color="auto" w:fill="A6A6A6" w:themeFill="background1" w:themeFillShade="A6"/>
          </w:tcPr>
          <w:p w14:paraId="369585CD" w14:textId="67581536" w:rsidR="00405C1A" w:rsidRPr="00A82AD3" w:rsidRDefault="00405C1A" w:rsidP="00A82AD3">
            <w:pPr>
              <w:spacing w:after="0" w:line="240" w:lineRule="auto"/>
              <w:jc w:val="center"/>
              <w:rPr>
                <w:rFonts w:ascii="ITC Avant Garde" w:hAnsi="ITC Avant Garde"/>
                <w:bCs/>
                <w:color w:val="000000"/>
                <w:sz w:val="16"/>
                <w:szCs w:val="16"/>
                <w:lang w:eastAsia="es-MX"/>
              </w:rPr>
            </w:pPr>
            <w:r w:rsidRPr="00A82AD3">
              <w:rPr>
                <w:rFonts w:ascii="ITC Avant Garde" w:eastAsia="Times New Roman" w:hAnsi="ITC Avant Garde"/>
                <w:b/>
                <w:sz w:val="16"/>
                <w:szCs w:val="16"/>
                <w:lang w:eastAsia="es-MX"/>
              </w:rPr>
              <w:t>Cobertura</w:t>
            </w:r>
          </w:p>
        </w:tc>
      </w:tr>
      <w:tr w:rsidR="00405C1A" w:rsidRPr="00A82AD3" w14:paraId="351B8F66" w14:textId="77777777" w:rsidTr="00A82AD3">
        <w:trPr>
          <w:jc w:val="center"/>
        </w:trPr>
        <w:tc>
          <w:tcPr>
            <w:tcW w:w="562" w:type="dxa"/>
          </w:tcPr>
          <w:p w14:paraId="689FE338" w14:textId="3932B599" w:rsidR="00405C1A" w:rsidRPr="00A82AD3" w:rsidRDefault="00405C1A" w:rsidP="00A82AD3">
            <w:pPr>
              <w:spacing w:after="0" w:line="240" w:lineRule="auto"/>
              <w:jc w:val="center"/>
              <w:rPr>
                <w:rFonts w:ascii="ITC Avant Garde" w:eastAsia="Times New Roman" w:hAnsi="ITC Avant Garde"/>
                <w:b/>
                <w:sz w:val="16"/>
                <w:szCs w:val="16"/>
                <w:lang w:eastAsia="es-MX"/>
              </w:rPr>
            </w:pPr>
            <w:r w:rsidRPr="00A82AD3">
              <w:rPr>
                <w:rFonts w:ascii="ITC Avant Garde" w:eastAsia="Times New Roman" w:hAnsi="ITC Avant Garde"/>
                <w:b/>
                <w:sz w:val="16"/>
                <w:szCs w:val="16"/>
                <w:lang w:eastAsia="es-MX"/>
              </w:rPr>
              <w:t>1</w:t>
            </w:r>
          </w:p>
        </w:tc>
        <w:tc>
          <w:tcPr>
            <w:tcW w:w="2694" w:type="dxa"/>
          </w:tcPr>
          <w:p w14:paraId="28E2BDEF" w14:textId="5FE7FAA1" w:rsidR="00405C1A" w:rsidRPr="00A82AD3" w:rsidRDefault="00405C1A" w:rsidP="00A82AD3">
            <w:pPr>
              <w:spacing w:after="0" w:line="240" w:lineRule="auto"/>
              <w:jc w:val="center"/>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2500-2530 MHz / 2620-2650 MHz</w:t>
            </w:r>
          </w:p>
        </w:tc>
        <w:tc>
          <w:tcPr>
            <w:tcW w:w="5528" w:type="dxa"/>
          </w:tcPr>
          <w:p w14:paraId="1D9D42E2" w14:textId="4F5ED931" w:rsidR="00405C1A" w:rsidRPr="00A82AD3" w:rsidRDefault="00405C1A" w:rsidP="00A82AD3">
            <w:pPr>
              <w:spacing w:after="0" w:line="240" w:lineRule="auto"/>
              <w:jc w:val="both"/>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Acapulco, José Azueta, Atoyac de Álvarez, Tecpan de Galeana, San Marcos, Juan R. Escudero, Coyuca de Benítez, Benito Juárez, Petatlán, Ayutla de los Libres, Ometepec, Tecoanapa, Azoyú, Xochistlahuaca, San Luis Acatlán, La Unión de Isidoro Montes de Oca, Cuajinicuilapa, Florencio Villarreal, Coahuayutla de José María Izazaga, Tlacoachistlahuaca, Cuautepec, Copala e Igualapa, del Estado de Guerrero.</w:t>
            </w:r>
          </w:p>
        </w:tc>
      </w:tr>
      <w:tr w:rsidR="00405C1A" w:rsidRPr="00A82AD3" w14:paraId="21543140" w14:textId="77777777" w:rsidTr="00A82AD3">
        <w:trPr>
          <w:jc w:val="center"/>
        </w:trPr>
        <w:tc>
          <w:tcPr>
            <w:tcW w:w="562" w:type="dxa"/>
          </w:tcPr>
          <w:p w14:paraId="7D5917D7" w14:textId="04BEFAF5" w:rsidR="00405C1A" w:rsidRPr="00A82AD3" w:rsidRDefault="00405C1A" w:rsidP="00A82AD3">
            <w:pPr>
              <w:spacing w:after="0" w:line="240" w:lineRule="auto"/>
              <w:jc w:val="center"/>
              <w:rPr>
                <w:rFonts w:ascii="ITC Avant Garde" w:eastAsia="Times New Roman" w:hAnsi="ITC Avant Garde"/>
                <w:b/>
                <w:sz w:val="16"/>
                <w:szCs w:val="16"/>
                <w:lang w:eastAsia="es-MX"/>
              </w:rPr>
            </w:pPr>
            <w:r w:rsidRPr="00A82AD3">
              <w:rPr>
                <w:rFonts w:ascii="ITC Avant Garde" w:eastAsia="Times New Roman" w:hAnsi="ITC Avant Garde"/>
                <w:b/>
                <w:sz w:val="16"/>
                <w:szCs w:val="16"/>
                <w:lang w:eastAsia="es-MX"/>
              </w:rPr>
              <w:t>2</w:t>
            </w:r>
          </w:p>
        </w:tc>
        <w:tc>
          <w:tcPr>
            <w:tcW w:w="2694" w:type="dxa"/>
          </w:tcPr>
          <w:p w14:paraId="07F28FD6" w14:textId="20A23560" w:rsidR="00405C1A" w:rsidRPr="00A82AD3" w:rsidRDefault="00405C1A" w:rsidP="00A82AD3">
            <w:pPr>
              <w:spacing w:after="0" w:line="240" w:lineRule="auto"/>
              <w:jc w:val="center"/>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2500-2530 MHz / 2620-2650 MHz</w:t>
            </w:r>
          </w:p>
        </w:tc>
        <w:tc>
          <w:tcPr>
            <w:tcW w:w="5528" w:type="dxa"/>
          </w:tcPr>
          <w:p w14:paraId="7F84B657" w14:textId="729B2CEF" w:rsidR="00405C1A" w:rsidRPr="00A82AD3" w:rsidRDefault="00405C1A" w:rsidP="00A82AD3">
            <w:pPr>
              <w:spacing w:after="0" w:line="240" w:lineRule="auto"/>
              <w:jc w:val="both"/>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Ahome, Guasave, Sinaloa, El Fuerte, Choix, Angostura, Salvador de Alvarado, del Estado de Sinaloa.</w:t>
            </w:r>
          </w:p>
        </w:tc>
      </w:tr>
      <w:tr w:rsidR="00405C1A" w:rsidRPr="00A82AD3" w14:paraId="4C289939" w14:textId="77777777" w:rsidTr="00A82AD3">
        <w:trPr>
          <w:jc w:val="center"/>
        </w:trPr>
        <w:tc>
          <w:tcPr>
            <w:tcW w:w="562" w:type="dxa"/>
          </w:tcPr>
          <w:p w14:paraId="35F231A7" w14:textId="2DAE3E6E" w:rsidR="00405C1A" w:rsidRPr="00A82AD3" w:rsidRDefault="00405C1A" w:rsidP="00A82AD3">
            <w:pPr>
              <w:spacing w:after="0" w:line="240" w:lineRule="auto"/>
              <w:jc w:val="center"/>
              <w:rPr>
                <w:rFonts w:ascii="ITC Avant Garde" w:eastAsia="Times New Roman" w:hAnsi="ITC Avant Garde"/>
                <w:b/>
                <w:sz w:val="16"/>
                <w:szCs w:val="16"/>
                <w:lang w:eastAsia="es-MX"/>
              </w:rPr>
            </w:pPr>
            <w:r w:rsidRPr="00A82AD3">
              <w:rPr>
                <w:rFonts w:ascii="ITC Avant Garde" w:eastAsia="Times New Roman" w:hAnsi="ITC Avant Garde"/>
                <w:b/>
                <w:sz w:val="16"/>
                <w:szCs w:val="16"/>
                <w:lang w:eastAsia="es-MX"/>
              </w:rPr>
              <w:t>3</w:t>
            </w:r>
          </w:p>
        </w:tc>
        <w:tc>
          <w:tcPr>
            <w:tcW w:w="2694" w:type="dxa"/>
          </w:tcPr>
          <w:p w14:paraId="4D5E9E15" w14:textId="713FDF21" w:rsidR="00405C1A" w:rsidRPr="00A82AD3" w:rsidRDefault="00405C1A" w:rsidP="00A82AD3">
            <w:pPr>
              <w:spacing w:after="0" w:line="240" w:lineRule="auto"/>
              <w:jc w:val="center"/>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2500-2530 MHz / 2620-2650 MHz</w:t>
            </w:r>
          </w:p>
        </w:tc>
        <w:tc>
          <w:tcPr>
            <w:tcW w:w="5528" w:type="dxa"/>
          </w:tcPr>
          <w:p w14:paraId="41E36864" w14:textId="43DDAB9E" w:rsidR="00405C1A" w:rsidRPr="00A82AD3" w:rsidRDefault="00405C1A" w:rsidP="00A82AD3">
            <w:pPr>
              <w:spacing w:after="0" w:line="240" w:lineRule="auto"/>
              <w:jc w:val="both"/>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Cajeme, Navojoa, Huatabampo, Echojoa, Álamos, Bácum, Rosario, Yécora, Quiriego, Suaqui Grande y Onavas, del Estado de Sonora.</w:t>
            </w:r>
          </w:p>
        </w:tc>
      </w:tr>
      <w:tr w:rsidR="00405C1A" w:rsidRPr="00A82AD3" w14:paraId="74FAB6FC" w14:textId="77777777" w:rsidTr="00A82AD3">
        <w:trPr>
          <w:jc w:val="center"/>
        </w:trPr>
        <w:tc>
          <w:tcPr>
            <w:tcW w:w="562" w:type="dxa"/>
          </w:tcPr>
          <w:p w14:paraId="4C8AF1D4" w14:textId="109DC8FF" w:rsidR="00405C1A" w:rsidRPr="00A82AD3" w:rsidRDefault="00405C1A" w:rsidP="00A82AD3">
            <w:pPr>
              <w:spacing w:after="0" w:line="240" w:lineRule="auto"/>
              <w:jc w:val="center"/>
              <w:rPr>
                <w:rFonts w:ascii="ITC Avant Garde" w:eastAsia="Times New Roman" w:hAnsi="ITC Avant Garde"/>
                <w:b/>
                <w:sz w:val="16"/>
                <w:szCs w:val="16"/>
                <w:lang w:eastAsia="es-MX"/>
              </w:rPr>
            </w:pPr>
            <w:r w:rsidRPr="00A82AD3">
              <w:rPr>
                <w:rFonts w:ascii="ITC Avant Garde" w:eastAsia="Times New Roman" w:hAnsi="ITC Avant Garde"/>
                <w:b/>
                <w:sz w:val="16"/>
                <w:szCs w:val="16"/>
                <w:lang w:eastAsia="es-MX"/>
              </w:rPr>
              <w:t>4</w:t>
            </w:r>
          </w:p>
        </w:tc>
        <w:tc>
          <w:tcPr>
            <w:tcW w:w="2694" w:type="dxa"/>
          </w:tcPr>
          <w:p w14:paraId="164E3D0F" w14:textId="6AC02C09" w:rsidR="00405C1A" w:rsidRPr="00A82AD3" w:rsidRDefault="00405C1A" w:rsidP="00A82AD3">
            <w:pPr>
              <w:spacing w:after="0" w:line="240" w:lineRule="auto"/>
              <w:jc w:val="center"/>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2500-2530 MHz / 2620-2650 MHz</w:t>
            </w:r>
          </w:p>
        </w:tc>
        <w:tc>
          <w:tcPr>
            <w:tcW w:w="5528" w:type="dxa"/>
          </w:tcPr>
          <w:p w14:paraId="52893673" w14:textId="45564D5E" w:rsidR="00405C1A" w:rsidRPr="00A82AD3" w:rsidRDefault="007E72B5" w:rsidP="00A82AD3">
            <w:pPr>
              <w:spacing w:after="0" w:line="240" w:lineRule="auto"/>
              <w:jc w:val="both"/>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Campeche, Tenabo, Hecelchakán, Hopelchén, Calkiní y Champotón, del Estado de Campeche.</w:t>
            </w:r>
          </w:p>
        </w:tc>
      </w:tr>
      <w:tr w:rsidR="00405C1A" w:rsidRPr="00A82AD3" w14:paraId="36065946" w14:textId="77777777" w:rsidTr="00A82AD3">
        <w:trPr>
          <w:jc w:val="center"/>
        </w:trPr>
        <w:tc>
          <w:tcPr>
            <w:tcW w:w="562" w:type="dxa"/>
          </w:tcPr>
          <w:p w14:paraId="514AE040" w14:textId="1034999C" w:rsidR="00405C1A" w:rsidRPr="00A82AD3" w:rsidRDefault="00405C1A" w:rsidP="00A82AD3">
            <w:pPr>
              <w:spacing w:after="0" w:line="240" w:lineRule="auto"/>
              <w:jc w:val="center"/>
              <w:rPr>
                <w:rFonts w:ascii="ITC Avant Garde" w:eastAsia="Times New Roman" w:hAnsi="ITC Avant Garde"/>
                <w:b/>
                <w:sz w:val="16"/>
                <w:szCs w:val="16"/>
                <w:lang w:eastAsia="es-MX"/>
              </w:rPr>
            </w:pPr>
            <w:r w:rsidRPr="00A82AD3">
              <w:rPr>
                <w:rFonts w:ascii="ITC Avant Garde" w:eastAsia="Times New Roman" w:hAnsi="ITC Avant Garde"/>
                <w:b/>
                <w:sz w:val="16"/>
                <w:szCs w:val="16"/>
                <w:lang w:eastAsia="es-MX"/>
              </w:rPr>
              <w:t>5</w:t>
            </w:r>
          </w:p>
        </w:tc>
        <w:tc>
          <w:tcPr>
            <w:tcW w:w="2694" w:type="dxa"/>
          </w:tcPr>
          <w:p w14:paraId="030D26AF" w14:textId="7051E409" w:rsidR="00405C1A" w:rsidRPr="00A82AD3" w:rsidRDefault="007E72B5" w:rsidP="00A82AD3">
            <w:pPr>
              <w:spacing w:after="0" w:line="240" w:lineRule="auto"/>
              <w:jc w:val="center"/>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2500-2530 MHz / 2620-2650 MHz</w:t>
            </w:r>
          </w:p>
        </w:tc>
        <w:tc>
          <w:tcPr>
            <w:tcW w:w="5528" w:type="dxa"/>
          </w:tcPr>
          <w:p w14:paraId="2A91CA30" w14:textId="0ACBBE75" w:rsidR="00405C1A" w:rsidRPr="00A82AD3" w:rsidRDefault="007E72B5" w:rsidP="00A82AD3">
            <w:pPr>
              <w:spacing w:after="0" w:line="240" w:lineRule="auto"/>
              <w:jc w:val="both"/>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Cancún e Isla Mujeres, del Estado de Quintana Roo.</w:t>
            </w:r>
          </w:p>
        </w:tc>
      </w:tr>
      <w:tr w:rsidR="00405C1A" w:rsidRPr="00A82AD3" w14:paraId="570BC1FF" w14:textId="77777777" w:rsidTr="00A82AD3">
        <w:trPr>
          <w:jc w:val="center"/>
        </w:trPr>
        <w:tc>
          <w:tcPr>
            <w:tcW w:w="562" w:type="dxa"/>
          </w:tcPr>
          <w:p w14:paraId="2C9BA800" w14:textId="4CF5A746" w:rsidR="00405C1A" w:rsidRPr="00A82AD3" w:rsidRDefault="00405C1A" w:rsidP="00A82AD3">
            <w:pPr>
              <w:spacing w:after="0" w:line="240" w:lineRule="auto"/>
              <w:jc w:val="center"/>
              <w:rPr>
                <w:rFonts w:ascii="ITC Avant Garde" w:eastAsia="Times New Roman" w:hAnsi="ITC Avant Garde"/>
                <w:b/>
                <w:sz w:val="16"/>
                <w:szCs w:val="16"/>
                <w:lang w:eastAsia="es-MX"/>
              </w:rPr>
            </w:pPr>
            <w:r w:rsidRPr="00A82AD3">
              <w:rPr>
                <w:rFonts w:ascii="ITC Avant Garde" w:eastAsia="Times New Roman" w:hAnsi="ITC Avant Garde"/>
                <w:b/>
                <w:sz w:val="16"/>
                <w:szCs w:val="16"/>
                <w:lang w:eastAsia="es-MX"/>
              </w:rPr>
              <w:t>6</w:t>
            </w:r>
          </w:p>
        </w:tc>
        <w:tc>
          <w:tcPr>
            <w:tcW w:w="2694" w:type="dxa"/>
          </w:tcPr>
          <w:p w14:paraId="1D0B2C49" w14:textId="2F993C53" w:rsidR="00405C1A" w:rsidRPr="00A82AD3" w:rsidRDefault="007E72B5" w:rsidP="00A82AD3">
            <w:pPr>
              <w:spacing w:after="0" w:line="240" w:lineRule="auto"/>
              <w:jc w:val="center"/>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2500-2530 MHz / 2620-2650 MHz</w:t>
            </w:r>
          </w:p>
        </w:tc>
        <w:tc>
          <w:tcPr>
            <w:tcW w:w="5528" w:type="dxa"/>
          </w:tcPr>
          <w:p w14:paraId="50AEA564" w14:textId="6694813C" w:rsidR="00405C1A" w:rsidRPr="00A82AD3" w:rsidRDefault="007E72B5" w:rsidP="00A82AD3">
            <w:pPr>
              <w:spacing w:after="0" w:line="240" w:lineRule="auto"/>
              <w:jc w:val="both"/>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 xml:space="preserve">Chihuahua, Delicias, Cuauhtémoc, Maguaruchi, Coyame, Manuel Benavides, San Francisco de Borja, Nonoava, Aquiles Serdán, Matachi, Moris, General Trias, Gran Morelos, Doctor Belisario Domínguez, Julimes, Satevó, Cusihuiriáchi, Morelos, Chínipas, Ocampo, Uruáchi, Bachíniva, Tmósachi, Ignacio Zaragoza, Carichi, </w:t>
            </w:r>
            <w:r w:rsidRPr="00A82AD3">
              <w:rPr>
                <w:rFonts w:ascii="ITC Avant Garde" w:eastAsia="Times New Roman" w:hAnsi="ITC Avant Garde"/>
                <w:sz w:val="16"/>
                <w:szCs w:val="16"/>
                <w:lang w:eastAsia="es-MX"/>
              </w:rPr>
              <w:lastRenderedPageBreak/>
              <w:t>Batopilas, Gómez Farías, Riva Palacio, Guazapares, Rosales, Urique, Aldama, Bocoyna, Ojinaga, Namiquipa, Saucillo, Meoqui, Madera y Guerrero, del Estado de Chihuahua.</w:t>
            </w:r>
          </w:p>
        </w:tc>
      </w:tr>
      <w:tr w:rsidR="00405C1A" w:rsidRPr="00A82AD3" w14:paraId="6030E344" w14:textId="77777777" w:rsidTr="00A82AD3">
        <w:trPr>
          <w:jc w:val="center"/>
        </w:trPr>
        <w:tc>
          <w:tcPr>
            <w:tcW w:w="562" w:type="dxa"/>
          </w:tcPr>
          <w:p w14:paraId="791E3737" w14:textId="071F0BB7" w:rsidR="00405C1A" w:rsidRPr="00A82AD3" w:rsidRDefault="00405C1A" w:rsidP="00A82AD3">
            <w:pPr>
              <w:spacing w:after="0" w:line="240" w:lineRule="auto"/>
              <w:jc w:val="center"/>
              <w:rPr>
                <w:rFonts w:ascii="ITC Avant Garde" w:eastAsia="Times New Roman" w:hAnsi="ITC Avant Garde"/>
                <w:b/>
                <w:sz w:val="16"/>
                <w:szCs w:val="16"/>
                <w:lang w:eastAsia="es-MX"/>
              </w:rPr>
            </w:pPr>
            <w:r w:rsidRPr="00A82AD3">
              <w:rPr>
                <w:rFonts w:ascii="ITC Avant Garde" w:eastAsia="Times New Roman" w:hAnsi="ITC Avant Garde"/>
                <w:b/>
                <w:sz w:val="16"/>
                <w:szCs w:val="16"/>
                <w:lang w:eastAsia="es-MX"/>
              </w:rPr>
              <w:lastRenderedPageBreak/>
              <w:t>7</w:t>
            </w:r>
          </w:p>
        </w:tc>
        <w:tc>
          <w:tcPr>
            <w:tcW w:w="2694" w:type="dxa"/>
          </w:tcPr>
          <w:p w14:paraId="05E11974" w14:textId="2E3A6664" w:rsidR="00405C1A" w:rsidRPr="00A82AD3" w:rsidRDefault="007E72B5" w:rsidP="00A82AD3">
            <w:pPr>
              <w:spacing w:after="0" w:line="240" w:lineRule="auto"/>
              <w:jc w:val="center"/>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2500-2530 MHz / 2620-2650 MHz</w:t>
            </w:r>
          </w:p>
        </w:tc>
        <w:tc>
          <w:tcPr>
            <w:tcW w:w="5528" w:type="dxa"/>
          </w:tcPr>
          <w:p w14:paraId="279A2958" w14:textId="4503F53B" w:rsidR="00405C1A" w:rsidRPr="00A82AD3" w:rsidRDefault="007E72B5" w:rsidP="00A82AD3">
            <w:pPr>
              <w:spacing w:after="0" w:line="240" w:lineRule="auto"/>
              <w:jc w:val="both"/>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Ciudad del Carmen y Palizada, del Estado de Campeche.</w:t>
            </w:r>
          </w:p>
        </w:tc>
      </w:tr>
      <w:tr w:rsidR="00405C1A" w:rsidRPr="00A82AD3" w14:paraId="64C24A43" w14:textId="77777777" w:rsidTr="00A82AD3">
        <w:trPr>
          <w:jc w:val="center"/>
        </w:trPr>
        <w:tc>
          <w:tcPr>
            <w:tcW w:w="562" w:type="dxa"/>
          </w:tcPr>
          <w:p w14:paraId="5D966619" w14:textId="0CA7E38E" w:rsidR="00405C1A" w:rsidRPr="00A82AD3" w:rsidRDefault="00405C1A" w:rsidP="00A82AD3">
            <w:pPr>
              <w:spacing w:after="0" w:line="240" w:lineRule="auto"/>
              <w:jc w:val="center"/>
              <w:rPr>
                <w:rFonts w:ascii="ITC Avant Garde" w:eastAsia="Times New Roman" w:hAnsi="ITC Avant Garde"/>
                <w:b/>
                <w:sz w:val="16"/>
                <w:szCs w:val="16"/>
                <w:lang w:eastAsia="es-MX"/>
              </w:rPr>
            </w:pPr>
            <w:r w:rsidRPr="00A82AD3">
              <w:rPr>
                <w:rFonts w:ascii="ITC Avant Garde" w:eastAsia="Times New Roman" w:hAnsi="ITC Avant Garde"/>
                <w:b/>
                <w:sz w:val="16"/>
                <w:szCs w:val="16"/>
                <w:lang w:eastAsia="es-MX"/>
              </w:rPr>
              <w:t>8</w:t>
            </w:r>
          </w:p>
        </w:tc>
        <w:tc>
          <w:tcPr>
            <w:tcW w:w="2694" w:type="dxa"/>
          </w:tcPr>
          <w:p w14:paraId="06BB0B6F" w14:textId="69A3C8D3" w:rsidR="00405C1A" w:rsidRPr="00A82AD3" w:rsidRDefault="007E72B5" w:rsidP="00A82AD3">
            <w:pPr>
              <w:spacing w:after="0" w:line="240" w:lineRule="auto"/>
              <w:jc w:val="center"/>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2500-2530 MHz / 2620-2650 MHz</w:t>
            </w:r>
          </w:p>
        </w:tc>
        <w:tc>
          <w:tcPr>
            <w:tcW w:w="5528" w:type="dxa"/>
          </w:tcPr>
          <w:p w14:paraId="50B2570C" w14:textId="14CE9594" w:rsidR="00405C1A" w:rsidRPr="00A82AD3" w:rsidRDefault="007E72B5" w:rsidP="00A82AD3">
            <w:pPr>
              <w:spacing w:after="0" w:line="240" w:lineRule="auto"/>
              <w:jc w:val="both"/>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Colima, Manzanillo, Tecomán, Villa de Álvarez, Armería, Coquimatlán, Comala, Cuauhtémoc, Minatitlán e Ixtlahuacan, del Estado de Colima.</w:t>
            </w:r>
          </w:p>
        </w:tc>
      </w:tr>
      <w:tr w:rsidR="00405C1A" w:rsidRPr="00A82AD3" w14:paraId="59251595" w14:textId="77777777" w:rsidTr="00A82AD3">
        <w:trPr>
          <w:jc w:val="center"/>
        </w:trPr>
        <w:tc>
          <w:tcPr>
            <w:tcW w:w="562" w:type="dxa"/>
          </w:tcPr>
          <w:p w14:paraId="7D6D14AF" w14:textId="1FD171B0" w:rsidR="00405C1A" w:rsidRPr="00A82AD3" w:rsidRDefault="00405C1A" w:rsidP="00A82AD3">
            <w:pPr>
              <w:spacing w:after="0" w:line="240" w:lineRule="auto"/>
              <w:jc w:val="center"/>
              <w:rPr>
                <w:rFonts w:ascii="ITC Avant Garde" w:eastAsia="Times New Roman" w:hAnsi="ITC Avant Garde"/>
                <w:b/>
                <w:sz w:val="16"/>
                <w:szCs w:val="16"/>
                <w:lang w:eastAsia="es-MX"/>
              </w:rPr>
            </w:pPr>
            <w:r w:rsidRPr="00A82AD3">
              <w:rPr>
                <w:rFonts w:ascii="ITC Avant Garde" w:eastAsia="Times New Roman" w:hAnsi="ITC Avant Garde"/>
                <w:b/>
                <w:sz w:val="16"/>
                <w:szCs w:val="16"/>
                <w:lang w:eastAsia="es-MX"/>
              </w:rPr>
              <w:t>9</w:t>
            </w:r>
          </w:p>
        </w:tc>
        <w:tc>
          <w:tcPr>
            <w:tcW w:w="2694" w:type="dxa"/>
          </w:tcPr>
          <w:p w14:paraId="37B0DF68" w14:textId="54531A21" w:rsidR="00405C1A" w:rsidRPr="00A82AD3" w:rsidRDefault="007E72B5" w:rsidP="00A82AD3">
            <w:pPr>
              <w:spacing w:after="0" w:line="240" w:lineRule="auto"/>
              <w:jc w:val="center"/>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2500-2530 MHz / 2620-2650 MHz</w:t>
            </w:r>
          </w:p>
        </w:tc>
        <w:tc>
          <w:tcPr>
            <w:tcW w:w="5528" w:type="dxa"/>
          </w:tcPr>
          <w:p w14:paraId="17775C85" w14:textId="5BDD3E17" w:rsidR="00405C1A" w:rsidRPr="00A82AD3" w:rsidRDefault="007E72B5" w:rsidP="00A82AD3">
            <w:pPr>
              <w:spacing w:after="0" w:line="240" w:lineRule="auto"/>
              <w:jc w:val="both"/>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Córdoba, Orizaba, Tierra Blanca, Río Blanco, Camerino Z. Mendoza, Cosamaloapan, Huatusco, Nogales, Fortín, Tres Valles, Ixtaczoquitlán, Cuitláhuac, Paso del Macho, Rafael Delgado, Atzacan, Ixhuatlán del Café, Amatlán de los Reyes, Tezonapa, Yanga, Omealca, Cuichapa, Mariano Escobedo, Playa Vicente, Zongolica, Coscomatepec, Isla, José Azueta, Atoyac, Comapa, Acultzingo, Totutla, La Perla, Maltrata, Tehuipango, Soledad Atzompa, Chacaltianguis, Zentla, Tequila, Calcahualco, Alpatláhuac, Mixtla de Altamirano, Tepatlaxco, Ixhuatlancillo, Ixmatlahuacan, Atlahuilco, Tomatlán, Atatitlán, Tenampa, Tlaquilpan, Huiloapan de Cuauhtémoc, Tlacojalpan, Astacinga, Texhuacán, Xoxocotla, Los Reyes, Naranjal, Tlacotepec de Mejía, Tlilapan, Sochiapa, Tuxtilla, San Andrés Tenejapan, Magdalena, Coetzala y Aquila, del Estado de Veracruz.</w:t>
            </w:r>
          </w:p>
        </w:tc>
      </w:tr>
      <w:tr w:rsidR="00405C1A" w:rsidRPr="00A82AD3" w14:paraId="410D2921" w14:textId="77777777" w:rsidTr="00A82AD3">
        <w:trPr>
          <w:jc w:val="center"/>
        </w:trPr>
        <w:tc>
          <w:tcPr>
            <w:tcW w:w="562" w:type="dxa"/>
          </w:tcPr>
          <w:p w14:paraId="16629544" w14:textId="41034222" w:rsidR="00405C1A" w:rsidRPr="00A82AD3" w:rsidRDefault="00405C1A" w:rsidP="00A82AD3">
            <w:pPr>
              <w:spacing w:after="0" w:line="240" w:lineRule="auto"/>
              <w:jc w:val="center"/>
              <w:rPr>
                <w:rFonts w:ascii="ITC Avant Garde" w:eastAsia="Times New Roman" w:hAnsi="ITC Avant Garde"/>
                <w:b/>
                <w:sz w:val="16"/>
                <w:szCs w:val="16"/>
                <w:lang w:eastAsia="es-MX"/>
              </w:rPr>
            </w:pPr>
            <w:r w:rsidRPr="00A82AD3">
              <w:rPr>
                <w:rFonts w:ascii="ITC Avant Garde" w:eastAsia="Times New Roman" w:hAnsi="ITC Avant Garde"/>
                <w:b/>
                <w:sz w:val="16"/>
                <w:szCs w:val="16"/>
                <w:lang w:eastAsia="es-MX"/>
              </w:rPr>
              <w:t>10</w:t>
            </w:r>
          </w:p>
        </w:tc>
        <w:tc>
          <w:tcPr>
            <w:tcW w:w="2694" w:type="dxa"/>
          </w:tcPr>
          <w:p w14:paraId="5DF52F45" w14:textId="0B7E53EB" w:rsidR="00405C1A" w:rsidRPr="00A82AD3" w:rsidRDefault="007E72B5" w:rsidP="00A82AD3">
            <w:pPr>
              <w:spacing w:after="0" w:line="240" w:lineRule="auto"/>
              <w:jc w:val="center"/>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2500-2530 MHz / 2620-2650 MHz</w:t>
            </w:r>
          </w:p>
        </w:tc>
        <w:tc>
          <w:tcPr>
            <w:tcW w:w="5528" w:type="dxa"/>
          </w:tcPr>
          <w:p w14:paraId="222358AA" w14:textId="612ACB1B" w:rsidR="00405C1A" w:rsidRPr="00A82AD3" w:rsidRDefault="007E72B5" w:rsidP="00A82AD3">
            <w:pPr>
              <w:spacing w:after="0" w:line="240" w:lineRule="auto"/>
              <w:jc w:val="both"/>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Cozumel y Lázaro Cárdenas, del Estado de Quintana Roo.</w:t>
            </w:r>
          </w:p>
        </w:tc>
      </w:tr>
      <w:tr w:rsidR="00405C1A" w:rsidRPr="00A82AD3" w14:paraId="70A11D8D" w14:textId="77777777" w:rsidTr="00A82AD3">
        <w:trPr>
          <w:jc w:val="center"/>
        </w:trPr>
        <w:tc>
          <w:tcPr>
            <w:tcW w:w="562" w:type="dxa"/>
          </w:tcPr>
          <w:p w14:paraId="3AA3C432" w14:textId="350CD9FC" w:rsidR="00405C1A" w:rsidRPr="00A82AD3" w:rsidRDefault="00405C1A" w:rsidP="00A82AD3">
            <w:pPr>
              <w:spacing w:after="0" w:line="240" w:lineRule="auto"/>
              <w:jc w:val="center"/>
              <w:rPr>
                <w:rFonts w:ascii="ITC Avant Garde" w:eastAsia="Times New Roman" w:hAnsi="ITC Avant Garde"/>
                <w:b/>
                <w:sz w:val="16"/>
                <w:szCs w:val="16"/>
                <w:lang w:eastAsia="es-MX"/>
              </w:rPr>
            </w:pPr>
            <w:r w:rsidRPr="00A82AD3">
              <w:rPr>
                <w:rFonts w:ascii="ITC Avant Garde" w:eastAsia="Times New Roman" w:hAnsi="ITC Avant Garde"/>
                <w:b/>
                <w:sz w:val="16"/>
                <w:szCs w:val="16"/>
                <w:lang w:eastAsia="es-MX"/>
              </w:rPr>
              <w:t>11</w:t>
            </w:r>
          </w:p>
        </w:tc>
        <w:tc>
          <w:tcPr>
            <w:tcW w:w="2694" w:type="dxa"/>
          </w:tcPr>
          <w:p w14:paraId="22E6E9C4" w14:textId="5187F177" w:rsidR="00405C1A" w:rsidRPr="00A82AD3" w:rsidRDefault="007E72B5" w:rsidP="00A82AD3">
            <w:pPr>
              <w:spacing w:after="0" w:line="240" w:lineRule="auto"/>
              <w:jc w:val="center"/>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2500-2530 MHz / 2620-2650 MHz</w:t>
            </w:r>
          </w:p>
        </w:tc>
        <w:tc>
          <w:tcPr>
            <w:tcW w:w="5528" w:type="dxa"/>
          </w:tcPr>
          <w:p w14:paraId="0FA2B908" w14:textId="041DED37" w:rsidR="00405C1A" w:rsidRPr="00A82AD3" w:rsidRDefault="007E72B5" w:rsidP="00A82AD3">
            <w:pPr>
              <w:spacing w:after="0" w:line="240" w:lineRule="auto"/>
              <w:jc w:val="both"/>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Navolato, Mocorito, Badiraguato, Elota, Cosala y Culiacán, del Estado de Sinaloa.</w:t>
            </w:r>
          </w:p>
        </w:tc>
      </w:tr>
      <w:tr w:rsidR="00405C1A" w:rsidRPr="00A82AD3" w14:paraId="7319D75F" w14:textId="77777777" w:rsidTr="00A82AD3">
        <w:trPr>
          <w:jc w:val="center"/>
        </w:trPr>
        <w:tc>
          <w:tcPr>
            <w:tcW w:w="562" w:type="dxa"/>
          </w:tcPr>
          <w:p w14:paraId="7E0BC841" w14:textId="491364E6" w:rsidR="00405C1A" w:rsidRPr="00A82AD3" w:rsidRDefault="00405C1A" w:rsidP="00A82AD3">
            <w:pPr>
              <w:spacing w:after="0" w:line="240" w:lineRule="auto"/>
              <w:jc w:val="center"/>
              <w:rPr>
                <w:rFonts w:ascii="ITC Avant Garde" w:eastAsia="Times New Roman" w:hAnsi="ITC Avant Garde"/>
                <w:b/>
                <w:sz w:val="16"/>
                <w:szCs w:val="16"/>
                <w:lang w:eastAsia="es-MX"/>
              </w:rPr>
            </w:pPr>
            <w:r w:rsidRPr="00A82AD3">
              <w:rPr>
                <w:rFonts w:ascii="ITC Avant Garde" w:eastAsia="Times New Roman" w:hAnsi="ITC Avant Garde"/>
                <w:b/>
                <w:sz w:val="16"/>
                <w:szCs w:val="16"/>
                <w:lang w:eastAsia="es-MX"/>
              </w:rPr>
              <w:t>12</w:t>
            </w:r>
          </w:p>
        </w:tc>
        <w:tc>
          <w:tcPr>
            <w:tcW w:w="2694" w:type="dxa"/>
          </w:tcPr>
          <w:p w14:paraId="34C3B055" w14:textId="2DD3A3B6" w:rsidR="00405C1A" w:rsidRPr="00A82AD3" w:rsidRDefault="007E72B5" w:rsidP="00A82AD3">
            <w:pPr>
              <w:spacing w:after="0" w:line="240" w:lineRule="auto"/>
              <w:jc w:val="center"/>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2500-2530 MHz / 2620-2650 MHz</w:t>
            </w:r>
          </w:p>
        </w:tc>
        <w:tc>
          <w:tcPr>
            <w:tcW w:w="5528" w:type="dxa"/>
          </w:tcPr>
          <w:p w14:paraId="5250715D" w14:textId="18044F08" w:rsidR="00405C1A" w:rsidRPr="00A82AD3" w:rsidRDefault="007E72B5" w:rsidP="00A82AD3">
            <w:pPr>
              <w:spacing w:after="0" w:line="240" w:lineRule="auto"/>
              <w:jc w:val="both"/>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Durango, Santiago Papasquiaro, Pueblo Nuevo, Canatlán, Guadalupe Victoria, Nuevo Ideal, Poanas, Mezquital, San Dimas, Tamazula, Nombre de Dios, Vicente Guerrero, Tepehuanes, El Oro, Pánuco de Coronado, San Juan del Río, Ocampo, Guanaceví, Peñón Blanco, Topia, Indé, Súchil, San Bernardo, Hidalgo, Coneto de Comonfort, Canelas, Otáez y Lerdo, del Estado de Durango.</w:t>
            </w:r>
          </w:p>
        </w:tc>
      </w:tr>
      <w:tr w:rsidR="00405C1A" w:rsidRPr="00A82AD3" w14:paraId="1CF0D88A" w14:textId="77777777" w:rsidTr="00A82AD3">
        <w:trPr>
          <w:jc w:val="center"/>
        </w:trPr>
        <w:tc>
          <w:tcPr>
            <w:tcW w:w="562" w:type="dxa"/>
          </w:tcPr>
          <w:p w14:paraId="7F11E93F" w14:textId="0812A8EB" w:rsidR="00405C1A" w:rsidRPr="00A82AD3" w:rsidRDefault="00405C1A" w:rsidP="00A82AD3">
            <w:pPr>
              <w:spacing w:after="0" w:line="240" w:lineRule="auto"/>
              <w:jc w:val="center"/>
              <w:rPr>
                <w:rFonts w:ascii="ITC Avant Garde" w:eastAsia="Times New Roman" w:hAnsi="ITC Avant Garde"/>
                <w:b/>
                <w:sz w:val="16"/>
                <w:szCs w:val="16"/>
                <w:lang w:eastAsia="es-MX"/>
              </w:rPr>
            </w:pPr>
            <w:r w:rsidRPr="00A82AD3">
              <w:rPr>
                <w:rFonts w:ascii="ITC Avant Garde" w:eastAsia="Times New Roman" w:hAnsi="ITC Avant Garde"/>
                <w:b/>
                <w:sz w:val="16"/>
                <w:szCs w:val="16"/>
                <w:lang w:eastAsia="es-MX"/>
              </w:rPr>
              <w:t>13</w:t>
            </w:r>
          </w:p>
        </w:tc>
        <w:tc>
          <w:tcPr>
            <w:tcW w:w="2694" w:type="dxa"/>
          </w:tcPr>
          <w:p w14:paraId="18E4C6A1" w14:textId="4A9E963A" w:rsidR="00405C1A" w:rsidRPr="00A82AD3" w:rsidRDefault="007E72B5" w:rsidP="00A82AD3">
            <w:pPr>
              <w:spacing w:after="0" w:line="240" w:lineRule="auto"/>
              <w:jc w:val="center"/>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2500-2530 MHz / 2620-2650 MHz</w:t>
            </w:r>
          </w:p>
        </w:tc>
        <w:tc>
          <w:tcPr>
            <w:tcW w:w="5528" w:type="dxa"/>
          </w:tcPr>
          <w:p w14:paraId="1BA4D0F4" w14:textId="53A783FD" w:rsidR="00405C1A" w:rsidRPr="00A82AD3" w:rsidRDefault="007E72B5" w:rsidP="00A82AD3">
            <w:pPr>
              <w:spacing w:after="0" w:line="240" w:lineRule="auto"/>
              <w:jc w:val="both"/>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Ensenada, del Estado de Baja California.</w:t>
            </w:r>
          </w:p>
        </w:tc>
      </w:tr>
      <w:tr w:rsidR="00405C1A" w:rsidRPr="00A82AD3" w14:paraId="0935E533" w14:textId="77777777" w:rsidTr="00A82AD3">
        <w:trPr>
          <w:jc w:val="center"/>
        </w:trPr>
        <w:tc>
          <w:tcPr>
            <w:tcW w:w="562" w:type="dxa"/>
          </w:tcPr>
          <w:p w14:paraId="27E39C3E" w14:textId="41F9A4A7" w:rsidR="00405C1A" w:rsidRPr="00A82AD3" w:rsidRDefault="00405C1A" w:rsidP="00A82AD3">
            <w:pPr>
              <w:spacing w:after="0" w:line="240" w:lineRule="auto"/>
              <w:jc w:val="center"/>
              <w:rPr>
                <w:rFonts w:ascii="ITC Avant Garde" w:eastAsia="Times New Roman" w:hAnsi="ITC Avant Garde"/>
                <w:b/>
                <w:sz w:val="16"/>
                <w:szCs w:val="16"/>
                <w:lang w:eastAsia="es-MX"/>
              </w:rPr>
            </w:pPr>
            <w:r w:rsidRPr="00A82AD3">
              <w:rPr>
                <w:rFonts w:ascii="ITC Avant Garde" w:eastAsia="Times New Roman" w:hAnsi="ITC Avant Garde"/>
                <w:b/>
                <w:sz w:val="16"/>
                <w:szCs w:val="16"/>
                <w:lang w:eastAsia="es-MX"/>
              </w:rPr>
              <w:t>14</w:t>
            </w:r>
            <w:r w:rsidR="0096669A" w:rsidRPr="00A82AD3">
              <w:rPr>
                <w:rFonts w:ascii="ITC Avant Garde" w:eastAsia="Times New Roman" w:hAnsi="ITC Avant Garde"/>
                <w:b/>
                <w:sz w:val="16"/>
                <w:szCs w:val="16"/>
                <w:lang w:eastAsia="es-MX"/>
              </w:rPr>
              <w:t>*</w:t>
            </w:r>
          </w:p>
        </w:tc>
        <w:tc>
          <w:tcPr>
            <w:tcW w:w="2694" w:type="dxa"/>
          </w:tcPr>
          <w:p w14:paraId="76ED04AB" w14:textId="66973073" w:rsidR="00405C1A" w:rsidRPr="00A82AD3" w:rsidRDefault="007E72B5" w:rsidP="00A82AD3">
            <w:pPr>
              <w:spacing w:after="0" w:line="240" w:lineRule="auto"/>
              <w:jc w:val="center"/>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2500-2517 MHz / 2620-2637 MHz</w:t>
            </w:r>
          </w:p>
        </w:tc>
        <w:tc>
          <w:tcPr>
            <w:tcW w:w="5528" w:type="dxa"/>
          </w:tcPr>
          <w:p w14:paraId="7DD90230" w14:textId="75E4AC78" w:rsidR="00405C1A" w:rsidRPr="00A82AD3" w:rsidRDefault="007E72B5" w:rsidP="00A82AD3">
            <w:pPr>
              <w:spacing w:after="0" w:line="240" w:lineRule="auto"/>
              <w:jc w:val="both"/>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Guadalajara, Zapopan, Tlaquepaque, Tonalá, Tepatitlán de Morelos, Ciudad Guzmán, Tlajomulco de Zúñiga, Ocotlán, Arandas, Ameca, La Barca, El Salto, San Juan de los Lagos, Atotonilco el Alto, Autlán de Navarro, Tala, Tamazula de Gordiano, Zapotlanejo, Chapala, Tuxpan, Poncitlán, Jocotepec, Ayotlán, Sayula, Zapotiltic, San Martín Hidalgo, Tequila, Jalostotitlán, Cocula, Zacoalco de Torres, San Miguel el Alto, Yahualica de González Gallo, Degollado, El Grullo, Tizapán el Alto, Jesús María, Jamay, Ixtlahuacán del Río, Ixtlahuacán de los Membrillos, Tototlán, Acatic, Tecalitlán, Ahualulco de Mercado, Cuquío, Etzatlán, Unión de San Antonio, Magdalena, Tecolotlán, Pihuamo, Villa Corona, Zapotlán del Rey, Acatlán de Juárez, San Julián, Unión de Tula, Ciudad Venustiano Carranza, Ayutla, Cuautitlán, Arenal, Teocuitatlán de Corona, Tapalpa, Gómez Farías, Quitupan, Juanacatlán, Mazamitla, Amatitán, Tolimán, Antonio Escobedo, Hostotipaquillo, Teuchitlán, Jilotlán de los Dolores, Atoyac, Tonila, Tonaya, Mexticacán, El Limón, Tenamaxtlán, Juchitlán, Zapotitlán de Vadillo, San Diego de Alejandría, Atengo, Tuxcuaca, Valle de Guadalupe, Guachinango, Amacueca, Valle de Juárez, Chiquilistán, Atemajac de Brizuela, Concepción de Buenos Aires, Cañadas de Obregón, San Cristóbal de la Barranca, Tuxcacuesco, Mixtlán, La Manzanilla de la Paz, San Marcos, Techalta de Montenegro, Manuel M. Diéguez y Ejutla, del Estado de Jalisco.</w:t>
            </w:r>
          </w:p>
        </w:tc>
      </w:tr>
      <w:tr w:rsidR="00405C1A" w:rsidRPr="00A82AD3" w14:paraId="7E243FB5" w14:textId="77777777" w:rsidTr="00A82AD3">
        <w:trPr>
          <w:jc w:val="center"/>
        </w:trPr>
        <w:tc>
          <w:tcPr>
            <w:tcW w:w="562" w:type="dxa"/>
          </w:tcPr>
          <w:p w14:paraId="06839B1F" w14:textId="0EDC6B0A" w:rsidR="00405C1A" w:rsidRPr="00A82AD3" w:rsidRDefault="00405C1A" w:rsidP="00A82AD3">
            <w:pPr>
              <w:spacing w:after="0" w:line="240" w:lineRule="auto"/>
              <w:jc w:val="center"/>
              <w:rPr>
                <w:rFonts w:ascii="ITC Avant Garde" w:eastAsia="Times New Roman" w:hAnsi="ITC Avant Garde"/>
                <w:b/>
                <w:sz w:val="16"/>
                <w:szCs w:val="16"/>
                <w:lang w:eastAsia="es-MX"/>
              </w:rPr>
            </w:pPr>
            <w:r w:rsidRPr="00A82AD3">
              <w:rPr>
                <w:rFonts w:ascii="ITC Avant Garde" w:eastAsia="Times New Roman" w:hAnsi="ITC Avant Garde"/>
                <w:b/>
                <w:sz w:val="16"/>
                <w:szCs w:val="16"/>
                <w:lang w:eastAsia="es-MX"/>
              </w:rPr>
              <w:t>15</w:t>
            </w:r>
          </w:p>
        </w:tc>
        <w:tc>
          <w:tcPr>
            <w:tcW w:w="2694" w:type="dxa"/>
          </w:tcPr>
          <w:p w14:paraId="70F8FBEE" w14:textId="6235F9AC" w:rsidR="00405C1A" w:rsidRPr="00A82AD3" w:rsidRDefault="007E72B5" w:rsidP="00A82AD3">
            <w:pPr>
              <w:spacing w:after="0" w:line="240" w:lineRule="auto"/>
              <w:jc w:val="center"/>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2517-2530 MHz / 2637-2650 MHz</w:t>
            </w:r>
          </w:p>
        </w:tc>
        <w:tc>
          <w:tcPr>
            <w:tcW w:w="5528" w:type="dxa"/>
          </w:tcPr>
          <w:p w14:paraId="1AE5D4DF" w14:textId="2C8733B3" w:rsidR="00405C1A" w:rsidRPr="00A82AD3" w:rsidRDefault="007E72B5" w:rsidP="00A82AD3">
            <w:pPr>
              <w:spacing w:after="0" w:line="240" w:lineRule="auto"/>
              <w:jc w:val="both"/>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Guadalajara, Jalisco y zonas aledañas.</w:t>
            </w:r>
          </w:p>
        </w:tc>
      </w:tr>
      <w:tr w:rsidR="00405C1A" w:rsidRPr="00A82AD3" w14:paraId="1A51E40B" w14:textId="77777777" w:rsidTr="00A82AD3">
        <w:trPr>
          <w:jc w:val="center"/>
        </w:trPr>
        <w:tc>
          <w:tcPr>
            <w:tcW w:w="562" w:type="dxa"/>
          </w:tcPr>
          <w:p w14:paraId="1113A1A1" w14:textId="3903181B" w:rsidR="00405C1A" w:rsidRPr="00A82AD3" w:rsidRDefault="00405C1A" w:rsidP="00A82AD3">
            <w:pPr>
              <w:spacing w:after="0" w:line="240" w:lineRule="auto"/>
              <w:jc w:val="center"/>
              <w:rPr>
                <w:rFonts w:ascii="ITC Avant Garde" w:eastAsia="Times New Roman" w:hAnsi="ITC Avant Garde"/>
                <w:b/>
                <w:sz w:val="16"/>
                <w:szCs w:val="16"/>
                <w:lang w:eastAsia="es-MX"/>
              </w:rPr>
            </w:pPr>
            <w:r w:rsidRPr="00A82AD3">
              <w:rPr>
                <w:rFonts w:ascii="ITC Avant Garde" w:eastAsia="Times New Roman" w:hAnsi="ITC Avant Garde"/>
                <w:b/>
                <w:sz w:val="16"/>
                <w:szCs w:val="16"/>
                <w:lang w:eastAsia="es-MX"/>
              </w:rPr>
              <w:t>16</w:t>
            </w:r>
          </w:p>
        </w:tc>
        <w:tc>
          <w:tcPr>
            <w:tcW w:w="2694" w:type="dxa"/>
          </w:tcPr>
          <w:p w14:paraId="73EBA83F" w14:textId="6FCDEB1A" w:rsidR="00405C1A" w:rsidRPr="00A82AD3" w:rsidRDefault="007E72B5" w:rsidP="00A82AD3">
            <w:pPr>
              <w:spacing w:after="0" w:line="240" w:lineRule="auto"/>
              <w:jc w:val="center"/>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2500-2530 MHz / 2620-2650 MHz</w:t>
            </w:r>
          </w:p>
        </w:tc>
        <w:tc>
          <w:tcPr>
            <w:tcW w:w="5528" w:type="dxa"/>
          </w:tcPr>
          <w:p w14:paraId="32A26037" w14:textId="045CF6D7" w:rsidR="00405C1A" w:rsidRPr="00A82AD3" w:rsidRDefault="007E72B5" w:rsidP="00A82AD3">
            <w:pPr>
              <w:spacing w:after="0" w:line="240" w:lineRule="auto"/>
              <w:jc w:val="both"/>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Guaymas y Empalme, del Estado de Sonora.</w:t>
            </w:r>
          </w:p>
        </w:tc>
      </w:tr>
      <w:tr w:rsidR="00405C1A" w:rsidRPr="00A82AD3" w14:paraId="617D2806" w14:textId="77777777" w:rsidTr="00A82AD3">
        <w:trPr>
          <w:jc w:val="center"/>
        </w:trPr>
        <w:tc>
          <w:tcPr>
            <w:tcW w:w="562" w:type="dxa"/>
          </w:tcPr>
          <w:p w14:paraId="3B20D2D6" w14:textId="46C0837F" w:rsidR="00405C1A" w:rsidRPr="00A82AD3" w:rsidRDefault="00405C1A" w:rsidP="00A82AD3">
            <w:pPr>
              <w:spacing w:after="0" w:line="240" w:lineRule="auto"/>
              <w:jc w:val="center"/>
              <w:rPr>
                <w:rFonts w:ascii="ITC Avant Garde" w:eastAsia="Times New Roman" w:hAnsi="ITC Avant Garde"/>
                <w:b/>
                <w:sz w:val="16"/>
                <w:szCs w:val="16"/>
                <w:lang w:eastAsia="es-MX"/>
              </w:rPr>
            </w:pPr>
            <w:r w:rsidRPr="00A82AD3">
              <w:rPr>
                <w:rFonts w:ascii="ITC Avant Garde" w:eastAsia="Times New Roman" w:hAnsi="ITC Avant Garde"/>
                <w:b/>
                <w:sz w:val="16"/>
                <w:szCs w:val="16"/>
                <w:lang w:eastAsia="es-MX"/>
              </w:rPr>
              <w:t>17</w:t>
            </w:r>
          </w:p>
        </w:tc>
        <w:tc>
          <w:tcPr>
            <w:tcW w:w="2694" w:type="dxa"/>
          </w:tcPr>
          <w:p w14:paraId="7ABDEB74" w14:textId="0B242305" w:rsidR="00405C1A" w:rsidRPr="00A82AD3" w:rsidRDefault="007E72B5" w:rsidP="00A82AD3">
            <w:pPr>
              <w:spacing w:after="0" w:line="240" w:lineRule="auto"/>
              <w:jc w:val="center"/>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2500-2530 MHz / 2620-2650 MHz</w:t>
            </w:r>
          </w:p>
        </w:tc>
        <w:tc>
          <w:tcPr>
            <w:tcW w:w="5528" w:type="dxa"/>
          </w:tcPr>
          <w:p w14:paraId="62FEBBF2" w14:textId="616ED77D" w:rsidR="00405C1A" w:rsidRPr="00A82AD3" w:rsidRDefault="007E72B5" w:rsidP="00A82AD3">
            <w:pPr>
              <w:spacing w:after="0" w:line="240" w:lineRule="auto"/>
              <w:jc w:val="both"/>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 xml:space="preserve">Ures, Cumpas, Sahuaripa, Carbó, Moctezuma, Baviácora, Opodepe, Tepache, La Colorada, Nácori Chico, Aconchil, San Miguel de </w:t>
            </w:r>
            <w:r w:rsidRPr="00A82AD3">
              <w:rPr>
                <w:rFonts w:ascii="ITC Avant Garde" w:eastAsia="Times New Roman" w:hAnsi="ITC Avant Garde"/>
                <w:sz w:val="16"/>
                <w:szCs w:val="16"/>
                <w:lang w:eastAsia="es-MX"/>
              </w:rPr>
              <w:lastRenderedPageBreak/>
              <w:t>Horcasitas, Villa Hidalgo, Soyopa, Arivechi, Rayón, San Pedro de la Cueva, Banámichi, Villa Pesqueira, Mazatlán, Bacadéhuachi, Bacerac, Huachinera, Granados, Huépac, Bacanora, Huásabas, Divisaderos, San Felipe de Jesús, San Javier y Hermosillo, del Estado de Sonora.</w:t>
            </w:r>
          </w:p>
        </w:tc>
      </w:tr>
      <w:tr w:rsidR="00405C1A" w:rsidRPr="00A82AD3" w14:paraId="7D2E3B06" w14:textId="77777777" w:rsidTr="00A82AD3">
        <w:trPr>
          <w:jc w:val="center"/>
        </w:trPr>
        <w:tc>
          <w:tcPr>
            <w:tcW w:w="562" w:type="dxa"/>
          </w:tcPr>
          <w:p w14:paraId="2A5D9A23" w14:textId="6281881C" w:rsidR="00405C1A" w:rsidRPr="00A82AD3" w:rsidRDefault="00405C1A" w:rsidP="00A82AD3">
            <w:pPr>
              <w:spacing w:after="0" w:line="240" w:lineRule="auto"/>
              <w:jc w:val="center"/>
              <w:rPr>
                <w:rFonts w:ascii="ITC Avant Garde" w:eastAsia="Times New Roman" w:hAnsi="ITC Avant Garde"/>
                <w:b/>
                <w:sz w:val="16"/>
                <w:szCs w:val="16"/>
                <w:lang w:eastAsia="es-MX"/>
              </w:rPr>
            </w:pPr>
            <w:r w:rsidRPr="00A82AD3">
              <w:rPr>
                <w:rFonts w:ascii="ITC Avant Garde" w:eastAsia="Times New Roman" w:hAnsi="ITC Avant Garde"/>
                <w:b/>
                <w:sz w:val="16"/>
                <w:szCs w:val="16"/>
                <w:lang w:eastAsia="es-MX"/>
              </w:rPr>
              <w:lastRenderedPageBreak/>
              <w:t>18</w:t>
            </w:r>
          </w:p>
        </w:tc>
        <w:tc>
          <w:tcPr>
            <w:tcW w:w="2694" w:type="dxa"/>
          </w:tcPr>
          <w:p w14:paraId="609DA77C" w14:textId="0E4E33E8" w:rsidR="00405C1A" w:rsidRPr="00A82AD3" w:rsidRDefault="007E72B5" w:rsidP="00A82AD3">
            <w:pPr>
              <w:spacing w:after="0" w:line="240" w:lineRule="auto"/>
              <w:jc w:val="center"/>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2500-2530 MHz / 2620-2650 MHz</w:t>
            </w:r>
          </w:p>
        </w:tc>
        <w:tc>
          <w:tcPr>
            <w:tcW w:w="5528" w:type="dxa"/>
          </w:tcPr>
          <w:p w14:paraId="1B2F35C3" w14:textId="125AEEEF" w:rsidR="00405C1A" w:rsidRPr="00A82AD3" w:rsidRDefault="007E72B5" w:rsidP="00A82AD3">
            <w:pPr>
              <w:spacing w:after="0" w:line="240" w:lineRule="auto"/>
              <w:jc w:val="both"/>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Hidalgo del Parral, Camargo, Jiménez, Santa Bárbara, San Francisco del Oro, Guachochi, Huejotitán, El Tule, Coronado, Rosario, San Francisco de Conchos, La Cruz, López, Matamoros, Valle de Zaragoza, Allende, Balleza, Guadalupe y Calvo, del Estado de Chihuahua.</w:t>
            </w:r>
          </w:p>
        </w:tc>
      </w:tr>
      <w:tr w:rsidR="00405C1A" w:rsidRPr="00A82AD3" w14:paraId="137254A8" w14:textId="77777777" w:rsidTr="00A82AD3">
        <w:trPr>
          <w:jc w:val="center"/>
        </w:trPr>
        <w:tc>
          <w:tcPr>
            <w:tcW w:w="562" w:type="dxa"/>
          </w:tcPr>
          <w:p w14:paraId="12A1CF1F" w14:textId="1E4F865F" w:rsidR="00405C1A" w:rsidRPr="00A82AD3" w:rsidRDefault="00405C1A" w:rsidP="00A82AD3">
            <w:pPr>
              <w:spacing w:after="0" w:line="240" w:lineRule="auto"/>
              <w:jc w:val="center"/>
              <w:rPr>
                <w:rFonts w:ascii="ITC Avant Garde" w:eastAsia="Times New Roman" w:hAnsi="ITC Avant Garde"/>
                <w:b/>
                <w:sz w:val="16"/>
                <w:szCs w:val="16"/>
                <w:lang w:eastAsia="es-MX"/>
              </w:rPr>
            </w:pPr>
            <w:r w:rsidRPr="00A82AD3">
              <w:rPr>
                <w:rFonts w:ascii="ITC Avant Garde" w:eastAsia="Times New Roman" w:hAnsi="ITC Avant Garde"/>
                <w:b/>
                <w:sz w:val="16"/>
                <w:szCs w:val="16"/>
                <w:lang w:eastAsia="es-MX"/>
              </w:rPr>
              <w:t>19</w:t>
            </w:r>
          </w:p>
        </w:tc>
        <w:tc>
          <w:tcPr>
            <w:tcW w:w="2694" w:type="dxa"/>
          </w:tcPr>
          <w:p w14:paraId="0F4A1676" w14:textId="01C377F6" w:rsidR="00405C1A" w:rsidRPr="00A82AD3" w:rsidRDefault="007E72B5" w:rsidP="00A82AD3">
            <w:pPr>
              <w:spacing w:after="0" w:line="240" w:lineRule="auto"/>
              <w:jc w:val="center"/>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2500-2530 MHz / 2620-2650 MHz</w:t>
            </w:r>
          </w:p>
        </w:tc>
        <w:tc>
          <w:tcPr>
            <w:tcW w:w="5528" w:type="dxa"/>
          </w:tcPr>
          <w:p w14:paraId="284C5555" w14:textId="4600C58D" w:rsidR="00405C1A" w:rsidRPr="00A82AD3" w:rsidRDefault="007E72B5" w:rsidP="00A82AD3">
            <w:pPr>
              <w:spacing w:after="0" w:line="240" w:lineRule="auto"/>
              <w:jc w:val="both"/>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León, Irapuato, Salamanca, Pénjamo, Valle de Santiago, Silao, Guanajuato, San Felipe, San Francisco del Rincón, Abasolo, Romita, Manuel Doblado, Purísima del Rincón, Cuerámaro, Ocampo, Huanímaro y Pueblo Nuevo, del Estado de Guanajuato.</w:t>
            </w:r>
          </w:p>
        </w:tc>
      </w:tr>
      <w:tr w:rsidR="00405C1A" w:rsidRPr="00A82AD3" w14:paraId="3EA81991" w14:textId="77777777" w:rsidTr="00A82AD3">
        <w:trPr>
          <w:jc w:val="center"/>
        </w:trPr>
        <w:tc>
          <w:tcPr>
            <w:tcW w:w="562" w:type="dxa"/>
          </w:tcPr>
          <w:p w14:paraId="24F172B1" w14:textId="6BE2A913" w:rsidR="00405C1A" w:rsidRPr="00A82AD3" w:rsidRDefault="00405C1A" w:rsidP="00A82AD3">
            <w:pPr>
              <w:spacing w:after="0" w:line="240" w:lineRule="auto"/>
              <w:jc w:val="center"/>
              <w:rPr>
                <w:rFonts w:ascii="ITC Avant Garde" w:eastAsia="Times New Roman" w:hAnsi="ITC Avant Garde"/>
                <w:b/>
                <w:sz w:val="16"/>
                <w:szCs w:val="16"/>
                <w:lang w:eastAsia="es-MX"/>
              </w:rPr>
            </w:pPr>
            <w:r w:rsidRPr="00A82AD3">
              <w:rPr>
                <w:rFonts w:ascii="ITC Avant Garde" w:eastAsia="Times New Roman" w:hAnsi="ITC Avant Garde"/>
                <w:b/>
                <w:sz w:val="16"/>
                <w:szCs w:val="16"/>
                <w:lang w:eastAsia="es-MX"/>
              </w:rPr>
              <w:t>20</w:t>
            </w:r>
          </w:p>
        </w:tc>
        <w:tc>
          <w:tcPr>
            <w:tcW w:w="2694" w:type="dxa"/>
          </w:tcPr>
          <w:p w14:paraId="1D8E2498" w14:textId="506D2FF1" w:rsidR="00405C1A" w:rsidRPr="00A82AD3" w:rsidRDefault="007E72B5" w:rsidP="00A82AD3">
            <w:pPr>
              <w:spacing w:after="0" w:line="240" w:lineRule="auto"/>
              <w:jc w:val="center"/>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2500-2530 MHz / 2620-2650 MHz</w:t>
            </w:r>
          </w:p>
        </w:tc>
        <w:tc>
          <w:tcPr>
            <w:tcW w:w="5528" w:type="dxa"/>
          </w:tcPr>
          <w:p w14:paraId="711E9E34" w14:textId="5DC827A3" w:rsidR="00405C1A" w:rsidRPr="00A82AD3" w:rsidRDefault="007E72B5" w:rsidP="00A82AD3">
            <w:pPr>
              <w:spacing w:after="0" w:line="240" w:lineRule="auto"/>
              <w:jc w:val="both"/>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Mazatlán, Rosario, Escuinapa, Concordia y San Ignacio, del Estado de Sinaloa.</w:t>
            </w:r>
          </w:p>
        </w:tc>
      </w:tr>
      <w:tr w:rsidR="00405C1A" w:rsidRPr="00A82AD3" w14:paraId="51B07041" w14:textId="77777777" w:rsidTr="00A82AD3">
        <w:trPr>
          <w:jc w:val="center"/>
        </w:trPr>
        <w:tc>
          <w:tcPr>
            <w:tcW w:w="562" w:type="dxa"/>
          </w:tcPr>
          <w:p w14:paraId="2B7033AA" w14:textId="717D3170" w:rsidR="00405C1A" w:rsidRPr="00A82AD3" w:rsidRDefault="00405C1A" w:rsidP="00A82AD3">
            <w:pPr>
              <w:spacing w:after="0" w:line="240" w:lineRule="auto"/>
              <w:jc w:val="center"/>
              <w:rPr>
                <w:rFonts w:ascii="ITC Avant Garde" w:eastAsia="Times New Roman" w:hAnsi="ITC Avant Garde"/>
                <w:b/>
                <w:sz w:val="16"/>
                <w:szCs w:val="16"/>
                <w:lang w:eastAsia="es-MX"/>
              </w:rPr>
            </w:pPr>
            <w:r w:rsidRPr="00A82AD3">
              <w:rPr>
                <w:rFonts w:ascii="ITC Avant Garde" w:eastAsia="Times New Roman" w:hAnsi="ITC Avant Garde"/>
                <w:b/>
                <w:sz w:val="16"/>
                <w:szCs w:val="16"/>
                <w:lang w:eastAsia="es-MX"/>
              </w:rPr>
              <w:t>21</w:t>
            </w:r>
          </w:p>
        </w:tc>
        <w:tc>
          <w:tcPr>
            <w:tcW w:w="2694" w:type="dxa"/>
          </w:tcPr>
          <w:p w14:paraId="24C800C6" w14:textId="0B943217" w:rsidR="00405C1A" w:rsidRPr="00A82AD3" w:rsidRDefault="007E72B5" w:rsidP="00A82AD3">
            <w:pPr>
              <w:spacing w:after="0" w:line="240" w:lineRule="auto"/>
              <w:jc w:val="center"/>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2500-2530 MHz / 2620-2650 MHz</w:t>
            </w:r>
          </w:p>
        </w:tc>
        <w:tc>
          <w:tcPr>
            <w:tcW w:w="5528" w:type="dxa"/>
          </w:tcPr>
          <w:p w14:paraId="27D28120" w14:textId="5A5D0A14" w:rsidR="00405C1A" w:rsidRPr="00A82AD3" w:rsidRDefault="007E72B5" w:rsidP="00A82AD3">
            <w:pPr>
              <w:spacing w:after="0" w:line="240" w:lineRule="auto"/>
              <w:jc w:val="both"/>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Mérida, Tizimín, Umán, Valladolid, Kanasín, Progreso, Tekax, Ticul, Motul, Oxkutzcab, Hunucmá, Izamal, Peto, Chemax, Maxcanú, Halachó, Tecoh, Tixkokob, Yaxcabá, Acanceh,Tzucacab, Espita, Muna, Temozón, Sotuta, Akil, Tinum, Tekit, Buctzotz, Panabá, Temax, Dzidzantún, Conkal, Seyé, Chichimilá, Cacalchén, Timucuy, Celestún, Dzilam González, Homún, Hocabá, Abalá, Baca, Hoctún, Tixcacalcupul, Maní, Kantunil, Cansahcab, Kinchil, Teabo, Chankom, Samahil, Opichén, Dzan, Dzitás, Tixpéhual, Calotmul, Cuzamá, Tixméhuac, Tahmek, Tekantó, Chikindzonot, Sacalum, Huhí, Chocholá, Tetiz, Tunkás, Cenotillo, Sucilá, Mama, Chicxulub Pueblo, Kipomá, Telchac Pueblo, Chumayel, Santa Elena, Uayma, Chapab, Sinanché, Xocchel, Dzemul, Ixil, Tahdziú, Río Lagartos, Ucú, Mocohá, Dzoncauich, Muxupip, Mayapán, Dzilam de Bravo, Tekom, Yaxkukul, Tekal de Venegas, Chacsinkín, Tepakán, Cantamayec, Yobain, Bokobá, Teya, Suma, Kaua, San Felipe, Sanahcat, Telchac, Puerto y Cuncunul, en el Estado de Quintana Roo, y Sudzal, en el Estado de Yucatán.</w:t>
            </w:r>
          </w:p>
        </w:tc>
      </w:tr>
      <w:tr w:rsidR="00405C1A" w:rsidRPr="00A82AD3" w14:paraId="56B985CD" w14:textId="77777777" w:rsidTr="00A82AD3">
        <w:trPr>
          <w:jc w:val="center"/>
        </w:trPr>
        <w:tc>
          <w:tcPr>
            <w:tcW w:w="562" w:type="dxa"/>
          </w:tcPr>
          <w:p w14:paraId="468D362E" w14:textId="6ADE997C" w:rsidR="00405C1A" w:rsidRPr="00A82AD3" w:rsidRDefault="00405C1A" w:rsidP="00A82AD3">
            <w:pPr>
              <w:spacing w:after="0" w:line="240" w:lineRule="auto"/>
              <w:jc w:val="center"/>
              <w:rPr>
                <w:rFonts w:ascii="ITC Avant Garde" w:eastAsia="Times New Roman" w:hAnsi="ITC Avant Garde"/>
                <w:b/>
                <w:sz w:val="16"/>
                <w:szCs w:val="16"/>
                <w:lang w:eastAsia="es-MX"/>
              </w:rPr>
            </w:pPr>
            <w:r w:rsidRPr="00A82AD3">
              <w:rPr>
                <w:rFonts w:ascii="ITC Avant Garde" w:eastAsia="Times New Roman" w:hAnsi="ITC Avant Garde"/>
                <w:b/>
                <w:sz w:val="16"/>
                <w:szCs w:val="16"/>
                <w:lang w:eastAsia="es-MX"/>
              </w:rPr>
              <w:t>22</w:t>
            </w:r>
          </w:p>
        </w:tc>
        <w:tc>
          <w:tcPr>
            <w:tcW w:w="2694" w:type="dxa"/>
          </w:tcPr>
          <w:p w14:paraId="4F703CB2" w14:textId="7FC594E0" w:rsidR="00405C1A" w:rsidRPr="00A82AD3" w:rsidRDefault="007E72B5" w:rsidP="00A82AD3">
            <w:pPr>
              <w:spacing w:after="0" w:line="240" w:lineRule="auto"/>
              <w:jc w:val="center"/>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2500-2530 / 2620- 2650 MHz</w:t>
            </w:r>
          </w:p>
        </w:tc>
        <w:tc>
          <w:tcPr>
            <w:tcW w:w="5528" w:type="dxa"/>
          </w:tcPr>
          <w:p w14:paraId="1FD558B9" w14:textId="72555D4B" w:rsidR="00405C1A" w:rsidRPr="00A82AD3" w:rsidRDefault="007E72B5" w:rsidP="00A82AD3">
            <w:pPr>
              <w:spacing w:after="0" w:line="240" w:lineRule="auto"/>
              <w:jc w:val="both"/>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Ciudad de México, y Zona Metropolitana.</w:t>
            </w:r>
          </w:p>
        </w:tc>
      </w:tr>
      <w:tr w:rsidR="00405C1A" w:rsidRPr="00A82AD3" w14:paraId="5F71849E" w14:textId="77777777" w:rsidTr="00A82AD3">
        <w:trPr>
          <w:jc w:val="center"/>
        </w:trPr>
        <w:tc>
          <w:tcPr>
            <w:tcW w:w="562" w:type="dxa"/>
          </w:tcPr>
          <w:p w14:paraId="08D86C20" w14:textId="212E824C" w:rsidR="00405C1A" w:rsidRPr="00A82AD3" w:rsidRDefault="00405C1A" w:rsidP="00A82AD3">
            <w:pPr>
              <w:spacing w:after="0" w:line="240" w:lineRule="auto"/>
              <w:jc w:val="center"/>
              <w:rPr>
                <w:rFonts w:ascii="ITC Avant Garde" w:eastAsia="Times New Roman" w:hAnsi="ITC Avant Garde"/>
                <w:b/>
                <w:sz w:val="16"/>
                <w:szCs w:val="16"/>
                <w:lang w:eastAsia="es-MX"/>
              </w:rPr>
            </w:pPr>
            <w:r w:rsidRPr="00A82AD3">
              <w:rPr>
                <w:rFonts w:ascii="ITC Avant Garde" w:eastAsia="Times New Roman" w:hAnsi="ITC Avant Garde"/>
                <w:b/>
                <w:sz w:val="16"/>
                <w:szCs w:val="16"/>
                <w:lang w:eastAsia="es-MX"/>
              </w:rPr>
              <w:t>23</w:t>
            </w:r>
            <w:r w:rsidR="0096669A" w:rsidRPr="00A82AD3">
              <w:rPr>
                <w:rFonts w:ascii="ITC Avant Garde" w:eastAsia="Times New Roman" w:hAnsi="ITC Avant Garde"/>
                <w:b/>
                <w:sz w:val="16"/>
                <w:szCs w:val="16"/>
                <w:lang w:eastAsia="es-MX"/>
              </w:rPr>
              <w:t>*</w:t>
            </w:r>
          </w:p>
        </w:tc>
        <w:tc>
          <w:tcPr>
            <w:tcW w:w="2694" w:type="dxa"/>
          </w:tcPr>
          <w:p w14:paraId="545F439A" w14:textId="114076B8" w:rsidR="00405C1A" w:rsidRPr="00A82AD3" w:rsidRDefault="007E72B5" w:rsidP="00A82AD3">
            <w:pPr>
              <w:spacing w:after="0" w:line="240" w:lineRule="auto"/>
              <w:jc w:val="center"/>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2500-2530 / 2620- 2650 MHz</w:t>
            </w:r>
          </w:p>
        </w:tc>
        <w:tc>
          <w:tcPr>
            <w:tcW w:w="5528" w:type="dxa"/>
          </w:tcPr>
          <w:p w14:paraId="65B1575D" w14:textId="132673AC" w:rsidR="00405C1A" w:rsidRPr="00A82AD3" w:rsidRDefault="007E72B5" w:rsidP="00A82AD3">
            <w:pPr>
              <w:spacing w:after="0" w:line="240" w:lineRule="auto"/>
              <w:jc w:val="both"/>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Mexicali, en el Estado de Baja California.</w:t>
            </w:r>
          </w:p>
        </w:tc>
      </w:tr>
      <w:tr w:rsidR="00405C1A" w:rsidRPr="00A82AD3" w14:paraId="14B59A83" w14:textId="77777777" w:rsidTr="00A82AD3">
        <w:trPr>
          <w:jc w:val="center"/>
        </w:trPr>
        <w:tc>
          <w:tcPr>
            <w:tcW w:w="562" w:type="dxa"/>
          </w:tcPr>
          <w:p w14:paraId="4B88C734" w14:textId="1049591B" w:rsidR="00405C1A" w:rsidRPr="00A82AD3" w:rsidRDefault="00405C1A" w:rsidP="00A82AD3">
            <w:pPr>
              <w:spacing w:after="0" w:line="240" w:lineRule="auto"/>
              <w:jc w:val="center"/>
              <w:rPr>
                <w:rFonts w:ascii="ITC Avant Garde" w:eastAsia="Times New Roman" w:hAnsi="ITC Avant Garde"/>
                <w:b/>
                <w:sz w:val="16"/>
                <w:szCs w:val="16"/>
                <w:lang w:eastAsia="es-MX"/>
              </w:rPr>
            </w:pPr>
            <w:r w:rsidRPr="00A82AD3">
              <w:rPr>
                <w:rFonts w:ascii="ITC Avant Garde" w:eastAsia="Times New Roman" w:hAnsi="ITC Avant Garde"/>
                <w:b/>
                <w:sz w:val="16"/>
                <w:szCs w:val="16"/>
                <w:lang w:eastAsia="es-MX"/>
              </w:rPr>
              <w:t>24</w:t>
            </w:r>
            <w:r w:rsidR="0096669A" w:rsidRPr="00A82AD3">
              <w:rPr>
                <w:rFonts w:ascii="ITC Avant Garde" w:eastAsia="Times New Roman" w:hAnsi="ITC Avant Garde"/>
                <w:b/>
                <w:sz w:val="16"/>
                <w:szCs w:val="16"/>
                <w:lang w:eastAsia="es-MX"/>
              </w:rPr>
              <w:t>*</w:t>
            </w:r>
          </w:p>
        </w:tc>
        <w:tc>
          <w:tcPr>
            <w:tcW w:w="2694" w:type="dxa"/>
          </w:tcPr>
          <w:p w14:paraId="421C43F4" w14:textId="73D38454" w:rsidR="00405C1A" w:rsidRPr="00A82AD3" w:rsidRDefault="007E72B5" w:rsidP="00A82AD3">
            <w:pPr>
              <w:spacing w:after="0" w:line="240" w:lineRule="auto"/>
              <w:jc w:val="center"/>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2500-2514 / 2620-2634 MHz</w:t>
            </w:r>
          </w:p>
        </w:tc>
        <w:tc>
          <w:tcPr>
            <w:tcW w:w="5528" w:type="dxa"/>
          </w:tcPr>
          <w:p w14:paraId="5167C321" w14:textId="2197EB25" w:rsidR="00405C1A" w:rsidRPr="00A82AD3" w:rsidRDefault="000250CC" w:rsidP="00A82AD3">
            <w:pPr>
              <w:spacing w:after="0" w:line="240" w:lineRule="auto"/>
              <w:jc w:val="both"/>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Monterrey, Guadalupe, San Nicolás de los Garza, Santa Catarina, Apodaca, San Pedro Garza García, General Escobedo, Linares, Cadereyta Jiménez, Montemorelos, Galeana, Santiago, Juárez, Sabinas Hidalgo, Allende, General Terán, García, China, Hidalgo, Salinas Victoria, Pesquería, Cerralvo, Ciénega de Flores, Los Ramones, Hualahuises, Agualeguas, Carmen, General Zuazua, Mina, Villaldama, Iturbide, Los Herrera, Marín, Rayones, Doctor González, Bustamante, Melchor Ocampo, Abasolo e Higueras, del Estado de Nuevo León.</w:t>
            </w:r>
          </w:p>
        </w:tc>
      </w:tr>
      <w:tr w:rsidR="00405C1A" w:rsidRPr="00A82AD3" w14:paraId="017CF9E4" w14:textId="77777777" w:rsidTr="00A82AD3">
        <w:trPr>
          <w:jc w:val="center"/>
        </w:trPr>
        <w:tc>
          <w:tcPr>
            <w:tcW w:w="562" w:type="dxa"/>
          </w:tcPr>
          <w:p w14:paraId="3B8DBC15" w14:textId="19249CA0" w:rsidR="00405C1A" w:rsidRPr="00A82AD3" w:rsidRDefault="00405C1A" w:rsidP="00A82AD3">
            <w:pPr>
              <w:spacing w:after="0" w:line="240" w:lineRule="auto"/>
              <w:jc w:val="center"/>
              <w:rPr>
                <w:rFonts w:ascii="ITC Avant Garde" w:eastAsia="Times New Roman" w:hAnsi="ITC Avant Garde"/>
                <w:b/>
                <w:sz w:val="16"/>
                <w:szCs w:val="16"/>
                <w:lang w:eastAsia="es-MX"/>
              </w:rPr>
            </w:pPr>
            <w:r w:rsidRPr="00A82AD3">
              <w:rPr>
                <w:rFonts w:ascii="ITC Avant Garde" w:eastAsia="Times New Roman" w:hAnsi="ITC Avant Garde"/>
                <w:b/>
                <w:sz w:val="16"/>
                <w:szCs w:val="16"/>
                <w:lang w:eastAsia="es-MX"/>
              </w:rPr>
              <w:t>25</w:t>
            </w:r>
          </w:p>
        </w:tc>
        <w:tc>
          <w:tcPr>
            <w:tcW w:w="2694" w:type="dxa"/>
          </w:tcPr>
          <w:p w14:paraId="7A220929" w14:textId="4EFF36AB" w:rsidR="00405C1A" w:rsidRPr="00A82AD3" w:rsidRDefault="000250CC" w:rsidP="00A82AD3">
            <w:pPr>
              <w:spacing w:after="0" w:line="240" w:lineRule="auto"/>
              <w:jc w:val="center"/>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2514-2530 / 2634-2650 MHz</w:t>
            </w:r>
          </w:p>
        </w:tc>
        <w:tc>
          <w:tcPr>
            <w:tcW w:w="5528" w:type="dxa"/>
          </w:tcPr>
          <w:p w14:paraId="06C65379" w14:textId="3B55A04C" w:rsidR="00405C1A" w:rsidRPr="00A82AD3" w:rsidRDefault="000250CC" w:rsidP="00A82AD3">
            <w:pPr>
              <w:spacing w:after="0" w:line="240" w:lineRule="auto"/>
              <w:jc w:val="both"/>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Ciudad de Monterrey, Nuevo León y zonas aledañas.</w:t>
            </w:r>
          </w:p>
        </w:tc>
      </w:tr>
      <w:tr w:rsidR="00405C1A" w:rsidRPr="00A82AD3" w14:paraId="1DD94B45" w14:textId="77777777" w:rsidTr="00A82AD3">
        <w:trPr>
          <w:jc w:val="center"/>
        </w:trPr>
        <w:tc>
          <w:tcPr>
            <w:tcW w:w="562" w:type="dxa"/>
          </w:tcPr>
          <w:p w14:paraId="51F70620" w14:textId="2C996584" w:rsidR="00405C1A" w:rsidRPr="00A82AD3" w:rsidRDefault="00405C1A" w:rsidP="00A82AD3">
            <w:pPr>
              <w:spacing w:after="0" w:line="240" w:lineRule="auto"/>
              <w:jc w:val="center"/>
              <w:rPr>
                <w:rFonts w:ascii="ITC Avant Garde" w:eastAsia="Times New Roman" w:hAnsi="ITC Avant Garde"/>
                <w:b/>
                <w:sz w:val="16"/>
                <w:szCs w:val="16"/>
                <w:lang w:eastAsia="es-MX"/>
              </w:rPr>
            </w:pPr>
            <w:r w:rsidRPr="00A82AD3">
              <w:rPr>
                <w:rFonts w:ascii="ITC Avant Garde" w:eastAsia="Times New Roman" w:hAnsi="ITC Avant Garde"/>
                <w:b/>
                <w:sz w:val="16"/>
                <w:szCs w:val="16"/>
                <w:lang w:eastAsia="es-MX"/>
              </w:rPr>
              <w:t>26</w:t>
            </w:r>
          </w:p>
        </w:tc>
        <w:tc>
          <w:tcPr>
            <w:tcW w:w="2694" w:type="dxa"/>
          </w:tcPr>
          <w:p w14:paraId="4669AB3E" w14:textId="4B1F54BC" w:rsidR="00405C1A" w:rsidRPr="00A82AD3" w:rsidRDefault="000250CC" w:rsidP="00A82AD3">
            <w:pPr>
              <w:spacing w:after="0" w:line="240" w:lineRule="auto"/>
              <w:jc w:val="center"/>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2500-2530 / 2620- 2650 MHz</w:t>
            </w:r>
          </w:p>
        </w:tc>
        <w:tc>
          <w:tcPr>
            <w:tcW w:w="5528" w:type="dxa"/>
          </w:tcPr>
          <w:p w14:paraId="5EDB4B01" w14:textId="0C13B1C5" w:rsidR="00405C1A" w:rsidRPr="00A82AD3" w:rsidRDefault="000250CC" w:rsidP="00A82AD3">
            <w:pPr>
              <w:spacing w:after="0" w:line="240" w:lineRule="auto"/>
              <w:jc w:val="both"/>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Morelia, Zitácuaro, Hidalgo, Pátzcuaro, Maravatío, Huetamo, Tacambaro, Indaparapeo, Zinapecuaro, Ario, Quiroga, Salvador Escalante, Queréndaro, Cuitzeo, Álvaro Obregón, Tuxpan, Santa Ana Maya, Acuitzio, San Lucas, Tarímbaro, Charo, Copándaro, Turicato, Contepec, Tlalpujahua, Tuzantla, Tiquicheo de Nicolás Romero, Senguio, Epitacio Huerta, Madero, Churumuco, Jungapeo, Ocampo, Erongarícuaro, Tzintzuntzan, Tzitzio, Irimbo, Angangueo, Juárez, Carácuaro, Nuevo Urecho, Nocupétaro, Chucándiro, Susupuato, Huiramba, Lagunillas y Aparo, del Estado de Michoacán.</w:t>
            </w:r>
          </w:p>
        </w:tc>
      </w:tr>
      <w:tr w:rsidR="00405C1A" w:rsidRPr="00A82AD3" w14:paraId="17EA3409" w14:textId="77777777" w:rsidTr="00A82AD3">
        <w:trPr>
          <w:jc w:val="center"/>
        </w:trPr>
        <w:tc>
          <w:tcPr>
            <w:tcW w:w="562" w:type="dxa"/>
          </w:tcPr>
          <w:p w14:paraId="683C043D" w14:textId="13D8460F" w:rsidR="00405C1A" w:rsidRPr="00A82AD3" w:rsidRDefault="00405C1A" w:rsidP="00A82AD3">
            <w:pPr>
              <w:spacing w:after="0" w:line="240" w:lineRule="auto"/>
              <w:jc w:val="center"/>
              <w:rPr>
                <w:rFonts w:ascii="ITC Avant Garde" w:eastAsia="Times New Roman" w:hAnsi="ITC Avant Garde"/>
                <w:b/>
                <w:sz w:val="16"/>
                <w:szCs w:val="16"/>
                <w:lang w:eastAsia="es-MX"/>
              </w:rPr>
            </w:pPr>
            <w:r w:rsidRPr="00A82AD3">
              <w:rPr>
                <w:rFonts w:ascii="ITC Avant Garde" w:eastAsia="Times New Roman" w:hAnsi="ITC Avant Garde"/>
                <w:b/>
                <w:sz w:val="16"/>
                <w:szCs w:val="16"/>
                <w:lang w:eastAsia="es-MX"/>
              </w:rPr>
              <w:t>27</w:t>
            </w:r>
          </w:p>
        </w:tc>
        <w:tc>
          <w:tcPr>
            <w:tcW w:w="2694" w:type="dxa"/>
          </w:tcPr>
          <w:p w14:paraId="5A637E0E" w14:textId="1A493F7E" w:rsidR="00405C1A" w:rsidRPr="00A82AD3" w:rsidRDefault="000250CC" w:rsidP="00A82AD3">
            <w:pPr>
              <w:spacing w:after="0" w:line="240" w:lineRule="auto"/>
              <w:jc w:val="center"/>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2500-2530 / 2620- 2650 MHz</w:t>
            </w:r>
          </w:p>
        </w:tc>
        <w:tc>
          <w:tcPr>
            <w:tcW w:w="5528" w:type="dxa"/>
          </w:tcPr>
          <w:p w14:paraId="35E7C7D6" w14:textId="79D35301" w:rsidR="00405C1A" w:rsidRPr="00A82AD3" w:rsidRDefault="000250CC" w:rsidP="00A82AD3">
            <w:pPr>
              <w:spacing w:after="0" w:line="240" w:lineRule="auto"/>
              <w:jc w:val="both"/>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 xml:space="preserve">Nogales, Caborca, Agua Prieta, Puerto Peñasco, Cananea, Magdalena, Nacozari de García, Santa Ana, Gral. Plutarco Elías </w:t>
            </w:r>
            <w:r w:rsidRPr="00A82AD3">
              <w:rPr>
                <w:rFonts w:ascii="ITC Avant Garde" w:eastAsia="Times New Roman" w:hAnsi="ITC Avant Garde"/>
                <w:sz w:val="16"/>
                <w:szCs w:val="16"/>
                <w:lang w:eastAsia="es-MX"/>
              </w:rPr>
              <w:lastRenderedPageBreak/>
              <w:t>Calles, Pitiquito, Imuris, Altar, Fronteras, Benjamin Hill, Naco, Arizpe, Sáric, Trincheras, Tubutama, Bavispe, Bacoachi, Santa Cruz, Cucurpe, Atil y Oquitoa, del Estado de Sonora.</w:t>
            </w:r>
          </w:p>
        </w:tc>
      </w:tr>
      <w:tr w:rsidR="00405C1A" w:rsidRPr="00A82AD3" w14:paraId="3FA2A3A4" w14:textId="77777777" w:rsidTr="00A82AD3">
        <w:trPr>
          <w:jc w:val="center"/>
        </w:trPr>
        <w:tc>
          <w:tcPr>
            <w:tcW w:w="562" w:type="dxa"/>
          </w:tcPr>
          <w:p w14:paraId="69DCB52C" w14:textId="6B045D67" w:rsidR="00405C1A" w:rsidRPr="00A82AD3" w:rsidRDefault="00405C1A" w:rsidP="00A82AD3">
            <w:pPr>
              <w:spacing w:after="0" w:line="240" w:lineRule="auto"/>
              <w:jc w:val="center"/>
              <w:rPr>
                <w:rFonts w:ascii="ITC Avant Garde" w:eastAsia="Times New Roman" w:hAnsi="ITC Avant Garde"/>
                <w:b/>
                <w:sz w:val="16"/>
                <w:szCs w:val="16"/>
                <w:lang w:eastAsia="es-MX"/>
              </w:rPr>
            </w:pPr>
            <w:r w:rsidRPr="00A82AD3">
              <w:rPr>
                <w:rFonts w:ascii="ITC Avant Garde" w:eastAsia="Times New Roman" w:hAnsi="ITC Avant Garde"/>
                <w:b/>
                <w:sz w:val="16"/>
                <w:szCs w:val="16"/>
                <w:lang w:eastAsia="es-MX"/>
              </w:rPr>
              <w:lastRenderedPageBreak/>
              <w:t>28</w:t>
            </w:r>
          </w:p>
        </w:tc>
        <w:tc>
          <w:tcPr>
            <w:tcW w:w="2694" w:type="dxa"/>
          </w:tcPr>
          <w:p w14:paraId="6FEA8EF1" w14:textId="358B5F0A" w:rsidR="00405C1A" w:rsidRPr="00A82AD3" w:rsidRDefault="000250CC" w:rsidP="00A82AD3">
            <w:pPr>
              <w:spacing w:after="0" w:line="240" w:lineRule="auto"/>
              <w:jc w:val="center"/>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2500-2530 / 2620- 2650 MHz</w:t>
            </w:r>
          </w:p>
        </w:tc>
        <w:tc>
          <w:tcPr>
            <w:tcW w:w="5528" w:type="dxa"/>
          </w:tcPr>
          <w:p w14:paraId="147AA1EC" w14:textId="6D936341" w:rsidR="00405C1A" w:rsidRPr="00A82AD3" w:rsidRDefault="000250CC" w:rsidP="00A82AD3">
            <w:pPr>
              <w:spacing w:after="0" w:line="240" w:lineRule="auto"/>
              <w:jc w:val="both"/>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 xml:space="preserve">Oaxaca de Juárez, San Juan Bautista Tuxtepec, Salina Cruz, Juchitán de Zaragoza, Santo Domingo Tehuantepec, Acatlán de Pérez Figueroa, Loma Bonita, Matías Romero, Huajuapam de León, San Pedro Tututepec, Santiago Pinotepa Nacional, Santa Cruz Xoxocotlán, Santa Lucía del Camino, Nuevo Soyaltepec, San Pedro Pochutla, Miahuatlán de Porfirio Díaz, Santiago Juxtlahuaca, San Juan Guichicovi, Putla Villa de Guerrero, Huautla de Jiménez, San Agustín Loxicha, Heroica Ciudad de Tlaxiaco, San Juan Bautista Valle Nacional, Ciudad Ixtepec, San Pedro Mixtepec-Distr. 22, San Juan Cotzocon, Santa María Chilchotla, San José Tenango, Ejutla de Crespo, San Lucas Ojitlán, San Felipe Jalapa de Díaz, Santa María Tonameca, Ocotlán de Morelos, Santiago Jamiltepec, San Juan Mazatlán, Santa María Zacatepec, Asunción Ixtaltepec, San Juan Lalana, Zimatlán de Alvarez, Santa María Colotepec, Santa María Huatulco, Cosolapa, Mazatlán Villa de Flores, Unión Hidalgo, Santa Cruz Zenzontepec, Santos Reyes Nopala, Villa Sola de Vega, El Barrio de la Soledad, Tezoatlán de Segura y Luna, Santa Catarina Juquila, Villa de Zaachila, San Blas Atempa, Tlacolula de Matamoros, San Juan Mixtepec-Distr. 08-, Santiago Jocotepec, Santa María Petapa, San Felipe Usila, Cuilapam de Guerrero, San Pedro Tapanatepec, Santa María Jalapa del Marqués, San Pedro Ixcatlán, San Mateo del Mar, Santo Domingo Zanatepec, Santa Cruz Itundujia, Silacayoapam, San Carlos Yautepec, Candelaria Loxicha, San José Chiltepec, San Pablo Villa de Mitla, Asunción Nochixtlán, Chahuites, San Francisco Ixhuatán, Santa María Huazolotitlán, San Antonio de la Cal, San Juan Bautista Cuicatlán, San Sebastián Tecomaxtlahuaca, Santa María Jacatepec, San Miguel del Puerto, Santiago Yosondua, San Pedro Huamelula, San Pedro Jicayán, Chalcatongo de Hidalgo, Santiago Amoltepec, El Espinal, Santo Domingo Petapa, San Pablo Huixtepec, San Pedro Quiatoni, San Dionisio Ocotepec, Santiago Ixtayutla, Santo Domingo Ingenio, Nejapa de Madero, Santiago Yaveo, Santiago Matatlán, Santa Lucia Monteverde, San Lucas Zoquiapam, Magdalena Tequisistlán, Santa María del Tule, Santa María Tlahuitoltepec, San Juan Cacahuatepec, San Juan Colorado, Santa María Yucuhiti, Teotitlán de Flores Magón, San Francisco Telixtlahuaca, Tamazulapam del Espíritu Santo, Santo Domingo Tonalá, Santa María Atzompa, Santo Domingo de Morelos, San Martín Peras, San Juan Ñumí, Santa María Chimalapa, San Miguel Chimalapa, San Lorenzo Cacaotepec, Santiago Lachiguiri, Tlalixtac de Cabrera, Ayoquezco de Aldama, Santiago Niltepec, Ixtlán de Juárez, San Mateo Piñas, Guevea de Humboldt, San Miguel Amatitlán, Villa Díaz Ordaz, Totontepec Villa de Morelos, San Pedro y San Pablo Ayutla, Huautepec, Pinotepa de Don Luis, Ayotzintepec, Santa María Peñoles, Santiago Suchilquitongo, Santa María Xadani, Pluma Hidalgo, Santiago Zacatepec, Santa Catarina Loxicha, Villa de Etla, V. De Tamazulapam del Progreso, Coicoyan de Las Flores, San Pedro Amuzgos, Santa María Ipalapa, Tataltepec de Valdés, San Miguel Quetzaltepec, San José del Progreso, San Francisco del Mar, Teotitlán del Valle, San Sebastián Tutla, San Andrés Huaxpaltepec, Santa Cruz Amilpas, San Antonio Huitepec, San Antonino Monte Verde, Santiago Chazumba, Santiago Choapam, San Lorenzo, San Felipe Tejalapam, Santiago Apóstol, San Dionisio del Mar, Santiago Huajolotitlán, San Lorenzo Texmelucan, San Antonio, Castillo Velasco, Santo Tomás Ocotepec, San Miguel El Grande, Santo Domingo </w:t>
            </w:r>
            <w:r w:rsidRPr="00A82AD3">
              <w:rPr>
                <w:rFonts w:ascii="ITC Avant Garde" w:eastAsia="Times New Roman" w:hAnsi="ITC Avant Garde"/>
                <w:sz w:val="16"/>
                <w:szCs w:val="16"/>
                <w:lang w:eastAsia="es-MX"/>
              </w:rPr>
              <w:lastRenderedPageBreak/>
              <w:t xml:space="preserve">Tepuxtepec, San Bartolo Coyotepec, San Jerónimo Coatlán, San Jerónimo Tlacochahuaya, San Pedro El Alto, San José Independencia, Mesones Hidalgo, Eloxochitlán de Flores Magón, San Miguel Panixtlahuaca, Santiago Tetepec, Cuyamecalco, Villa de Zaragoza, Santo Domingo Teojomulco, La Compañía, San Pedro Huitzo, Santa María Teopoxco, Santa María Zoquitlán, Santa María Ozolotepec, San Agustín Chayuco, San Luis Amatlán, San Mateo Río Hondo, San Pablo Coatlán, San Pedro Comitancillo, Santa María Mixtequilla, San Cristóbal Amatlán, Santa Gertrudis, Santiago Tlazoyaltepec, San Juan Lachao, Santiago Tilantongo, San Sebastián Ixcapa, Santa Cruz Xitla, Santiago Tamazola, Coatecas Atlas, Mariscala de Juárez, Santiago Xanica, Magdalena Jaltepec, San Esteban Atatlahuca, Asunción Ocotlán, San Jorge Nuchita, San Pedro Sochiapam, San José Lachiguiri, San Pablo Etla, San Gabriel Mixtepec, Santa Catarina Mechoacan, San Andrés Teotilalpam, San Juan Juquila Mixes, San Andrés Paxtlán, Santa María La Asunción, Santa Cruz Mixtepec, Zapotitlán del Río, La Reforma, Ciénega de Zimatlán (La Ciénega), Santa Ana Zegache, Santa María Ecatepec, S. Pedro y S. Pablo Teposcolula, San Miguel Peras, San Baltazar Chichicapam, San Andrés Cabecera Nueva, San Pedro Teutila, San Francisco Cahuacua, San Miguel Tilquiapam, San Antonio Tepetlapa, Magdalena Peñasco, Santiago Llano Grande, Santo Domingo Armenta, San Miguel Tlacotepec, San Vicente Coatlán, Santiago Nuyoó, San Juan Tamazola, San Pedro Atoyac, Concepción Pápalo, San Juan Bautista Guelache, San Bartolomé Ayautla, San Agustín Yatareni, Zapotitlán Lagunas, San Pedro Ixtlahuaca, Santiago Laollaga, San Agustín de las Juntas, Magdalena Apasco, Santa Ana Tlapacoyan, Santiago Tapextla, San Juan Lachigalla, Reforma de Pineda, San Jerónimo Sosola, S. Juan Bautista Coixtlahuaca, San Pedro Totolapa, San Juan Ozolotepec, Santa Lucia Ocotlán, San Baltazar Loxicha, San Martín Toxpalan, San Ildefonso Villa Alta, Constancia del Rosario, S. Pedro y S. Pablo Tequixtepec, San Juan Guelavia, Magdalena Teitipac, San Juan Teitipac, San Sebastián Río Hondo, Santo Domingo Nuxaa, Santa Cruz Tacache de Mina, San Miguel Coatlán, San Jacinto Amilpas, San Juan Tepeuxila, Trinidad Zaachila, Santa María Apazco, San Simón Almolongas, San Bernardo Mixtepec, Santiago Textitlán, Nazareno Etla, Soledad Etla, San Mateo Yoloxochitlán, San Andrés Huayapam, San Pedro Yolox, Santo Domingo Tomaltepec, San Miguel Suchixtepec, Santiago Nacaltepec, Santa Cruz Nundaco, Asunción Cacalotepec, San Juan Bautista lo de Soto, San Miguel Tlacamama, San Juan Chiquihuaitlán, Santa Lucía Miahuatlán, Animas Trujano, San Lorenzo Albarradas, Santa María Alotepec, San Lucas Camotlán, San Juan Quiahije, San Miguel Talea de Castro, Santiago Camotlán, Santo Tomás Jalieza, Santiago Yaitepec, Monjas, Santiago Astata, Mixistlán de la Reforma, San Sebastián Coatlán, San Pedro Huilotepec, San Juan de los Cués, San Juan Quiotepec, San Bartolomé Loxicha, Santa María Tepantlali, Santiago Ayuquililla, San Bartolomé Quialana, Santa María Gulenagati, Santiago Texcalcingo, San Agustín Etla, Santiago Atitlán, San Juan Petlapa, San Andrés Zautla, San Pablo Tijaltepec, San Vicente Lachixio, San Miguel Aloapam, Santa Catarina Yosonotu, San Miguel Chicahua, San Juan Coatzospam, San Ildefonso Amatlán, San Juan Comaltepec, San Marcos Arteaga, Reyes Etla, San Agustín Atenango, Santiago Xiacui, San Agustín Amatengo, Santa Catarina Ixtepeji, Santos Reyes Pápalo, Santa Ana del Valle, San Antonino El Alto, Villa Tejupam de la Unión, San Jerónimo Silacayoapilla, San Sebastián Teitipac, Santa Catarina Cuixtla, San Lucas Quiavini, San </w:t>
            </w:r>
            <w:r w:rsidRPr="00A82AD3">
              <w:rPr>
                <w:rFonts w:ascii="ITC Avant Garde" w:eastAsia="Times New Roman" w:hAnsi="ITC Avant Garde"/>
                <w:sz w:val="16"/>
                <w:szCs w:val="16"/>
                <w:lang w:eastAsia="es-MX"/>
              </w:rPr>
              <w:lastRenderedPageBreak/>
              <w:t xml:space="preserve">Miguel Ahuehuetitlán, Santa Inés del Monte, Santa María Sola, Ixpantepec Nieves, Villa Hidalgo, San Juan del Estado, San Andrés Dinicuiti, Yaxe, Santa Inés de Zaragoza, San Francisco Logueche, San Sebastián Abasolo, San Francisco Ozolotepec, San Miguel Mixtepec, Santa María Chilapa de Díaz, San Marcial Ozolotepec, Santiago Comaltepec, San Jerónimo Tecoatl, San José del Peñasco, San Andrés Nuxiño, Santa Ana, San Andrés Solaga, Santo Tomás Tamazulapam, San Pedro Ocotepec, San Pedro Mártir, S. Juan Bautista Tlacoatzintepec, San Martín Itunyoso, San Francisco Chapulapa, La Pe, Santa María Tecomavaca, San Pedro Apóstol, Santa María Camotlán, San Juan Atepec, San Pedro Juchatengo, San Jacinto Tlacotepec, San Juan Juquila Vijanos, San Miguel Huautla, Santa María Pápalo, San Francisco Huehuetlán, Santa Cruz Papalutla, Santo Tomás Mazaltepec, San Simón Zahuatlán, San Pedro Mártir Yucuxaco, Tanetze de Zaragoza, San Raymundo Jalpan, Santiago Minas, Santos Reyes Tepejillo, San Martín Zacatepec, Santa Catarina Quiane, San Martín Tilcajete, San Andrés Ixtlahuaca, Yogana, San Mateo Peñasco, Santa María Temaxcaltepec, San Juan Diuxi, San Sebastián Nicananduta, Teococuilco de Marcos Pérez, Valerio Trujano, Santa Catarina Lachatao, Zapotitlán Palmas, Nuevo Zoquiapam, Santo Domingo Yanhuitlán, Santa Catarina Minas, San Mateo Sindihui, Santiago Laxopa, Guadalupe Etla, Santiago Tenango, Guadalupe Ramírez, San Juan Yaeé, Santiago y Tolomecatl, San Pedro Mixtepec –Distr. 26-, Santo Domingo Chihuitan, Santiago Cacaloxtepec, San Juan del Río, Santiago Apoala, San Nicolás, Santa María Quiegolani, San Juan Bautista Atatlahuca, Santa María Tlalixtac, San Lorenzo Victoria, San Juan Bautista Tlachichilco, San Antonio Nanahuatipam, San Pedro Macuiltianguis, Tepelmeme Villa de Morelos, Mártires de Tacubaya, San Francisco Tlapancingo, San Jerónimo Taviche, San José Ayuquila, Fresnillo de Trujano, San Juan Toposcolula, Capulalpam de Méndez, San Cristóbal Lachirioag, San Juan Chilateca, San Juan Bautista Jayacatlán, Abejones, Santa Inés Yatzeche, San Martín Lachila, Santiago Yucuyachi, San Pablo Cuatro Venados, San Antonio Sinicahua, Natividad, Magdalena Tlacotepec, Santiago Nundiche, San Pedro Teozacoalco, Santa Ana Tavela, San Cristóbal Amoltepec, San Martín Huamelulpan, San Francisco Jaltepetongo, San Francisco Lachigolo, San Miguel Achiutla, Santa Cruz Tacahua, Santa María Yosoyua, Teotongo, San Dionisio Ocotlán, Magdalena Yodocono de Porfirio Díaz, Santa María Lachixio, San Miguel Piedras, San Pedro Cajonos, Santa Ana Yareni, Santa Catalina Quieri, Santa Cruz Acatepec, Yutanduchi de Guerrero, Cosoltepec, Santa María Zaniza, Santos Reyes Yucuna, S. Pedro Cántaros Coxcaltepec, Calihuala, Santiago Ixcuintepec, San Francisco Sola, San Miguel Amatlán, San Melchor Betaza, San Pedro Jocotipac, San Juan Tabaá, San Miguel Santa Flor, Santiago del Río, San Mateo Etlatongo, San Mateo Nejapam, San Andrés Zabache, Santa María Tecatitlán, Taniche, San Pedro Nopala, Santo Domingo Xagacia, Santa María Totolapilla, San Juan Ihualtepec, Santa María Coyotepec, San Miguel Tenango, San Nicolás Hidalgo, Santo Domingo Ixcatlán, San Juan Mixtepec –Distrito 26, Santiago Huauclilla, Rojas de Cuauhtémoc, Santa Catarina Ticuá, San Miguel Tequixtepec, Magdalena Ocotlán, Asunción Tlacolulita, San Bartolo Soyaltepec, Santa María Cortijo, San Pedro Ocopetatillo, Santo Domingo Ozolotepec, San Pedro Tidaá, Concepción Buenavista, Santa Ana Cuauhtémoc, San Pedro Taviche, San Pedro Yaneri, San Pablo Yaganiza, San Ildefonso Sola, San José Estancia Grande, Asunción Cuyotepeji, San Bartolo </w:t>
            </w:r>
            <w:r w:rsidRPr="00A82AD3">
              <w:rPr>
                <w:rFonts w:ascii="ITC Avant Garde" w:eastAsia="Times New Roman" w:hAnsi="ITC Avant Garde"/>
                <w:sz w:val="16"/>
                <w:szCs w:val="16"/>
                <w:lang w:eastAsia="es-MX"/>
              </w:rPr>
              <w:lastRenderedPageBreak/>
              <w:t>Yautepec, San Juan Lajarcia, San Juan Cieneguilla, Santa Catarina Zapoquila, Santa María Temaxcalapa, Santo Domingo Albarradas, San Baltazar Yatzechi El Bajo, San Pedro Mártir Quiechapa, Santa María Chachopam, San Miguel Ejutla, Santa Catarina Tayata, San Agustín Tlacotepec, Santo Domingo Roayaga, San Martín de los Cansecos, San Juan Teita, Santa María Ixcatlán, Sitio de Xitlapehua, Santa María Nativitas, Santa María Jaltianguis, Santa María Nduayaco, San Lorenzo Cuaunecuiltitla, San Juan Yucuita, San Pedro Jaltepetongo, San Juan Achiutla, Santa María Yavesia, San Bartolomé Zoogocho, San Francisco Chindua, San Pedro Molinos, Santa María Guelace, San Mateo Cajonos, San Andrés Sinaxtla, San Andrés Yaá, San Andrés Lagunas, San Francisco Cajonos, San Juan Sayultepec, San Bartolomé Yucuañe, Santa Catarina Quioquitani, San Juan Evangelista Analco, Santa Ana Ateixtlahuaca, San Juan Bautista Suchitepec, Guelatao de Juárez, Santa María Yolotepec, Santiago Ihuitlán Plumas, Santa Cruz Tayata, San Vicente Nuñú, San Andrés Tepetlapa, Santo Domingo Yodohino, Santa Cruz de Bravo, San Miguel Tulancingo, Santa María Tataltepec, Tlacotepec Plumas, Santiago Lalopa, San Pedro Topiltepec, San Miguel Yotao, Magdalena Mixtepec, Santa María del Rosario, Santiago Tillo, San Juan Yatzona, Santiago Miltepec, San Francisco Nuxaño, Magdalena Zahuatlán, San Francisco Teopan, San Juan Chicomezuchil, Santiago Zoochila, La Trinidad Vista Hermosa, San Miguel del Río, Santa María Yalina, Santo Domingo Tonaltepec, San Antonio Acutla, Santiago Nejapilla, San Cristóbal Suchixtlahuaca, San Miguel Tecomatlán, San Mateo Tlapiltepec, San Pedro Yucunama, Santo Domingo Tlatayapam, Santa Magdalena Jicotlán y Santiago Tepetlapa, del Estado de Oaxaca.</w:t>
            </w:r>
          </w:p>
        </w:tc>
      </w:tr>
      <w:tr w:rsidR="00405C1A" w:rsidRPr="00A82AD3" w14:paraId="71F7A184" w14:textId="77777777" w:rsidTr="00A82AD3">
        <w:trPr>
          <w:jc w:val="center"/>
        </w:trPr>
        <w:tc>
          <w:tcPr>
            <w:tcW w:w="562" w:type="dxa"/>
          </w:tcPr>
          <w:p w14:paraId="1894CF03" w14:textId="21801BDA" w:rsidR="00405C1A" w:rsidRPr="00A82AD3" w:rsidRDefault="00405C1A" w:rsidP="00A82AD3">
            <w:pPr>
              <w:spacing w:after="0" w:line="240" w:lineRule="auto"/>
              <w:jc w:val="center"/>
              <w:rPr>
                <w:rFonts w:ascii="ITC Avant Garde" w:eastAsia="Times New Roman" w:hAnsi="ITC Avant Garde"/>
                <w:b/>
                <w:sz w:val="16"/>
                <w:szCs w:val="16"/>
                <w:lang w:eastAsia="es-MX"/>
              </w:rPr>
            </w:pPr>
            <w:r w:rsidRPr="00A82AD3">
              <w:rPr>
                <w:rFonts w:ascii="ITC Avant Garde" w:eastAsia="Times New Roman" w:hAnsi="ITC Avant Garde"/>
                <w:b/>
                <w:sz w:val="16"/>
                <w:szCs w:val="16"/>
                <w:lang w:eastAsia="es-MX"/>
              </w:rPr>
              <w:lastRenderedPageBreak/>
              <w:t>29</w:t>
            </w:r>
          </w:p>
        </w:tc>
        <w:tc>
          <w:tcPr>
            <w:tcW w:w="2694" w:type="dxa"/>
          </w:tcPr>
          <w:p w14:paraId="7EE04E34" w14:textId="328AECCB" w:rsidR="00405C1A" w:rsidRPr="00A82AD3" w:rsidRDefault="000250CC" w:rsidP="00A82AD3">
            <w:pPr>
              <w:spacing w:after="0" w:line="240" w:lineRule="auto"/>
              <w:jc w:val="center"/>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2500-2530 / 2620- 2650 MHz</w:t>
            </w:r>
          </w:p>
        </w:tc>
        <w:tc>
          <w:tcPr>
            <w:tcW w:w="5528" w:type="dxa"/>
          </w:tcPr>
          <w:p w14:paraId="7E252489" w14:textId="6A0482BB" w:rsidR="00405C1A" w:rsidRPr="00A82AD3" w:rsidRDefault="000250CC" w:rsidP="00A82AD3">
            <w:pPr>
              <w:spacing w:after="0" w:line="240" w:lineRule="auto"/>
              <w:jc w:val="both"/>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Othón P. Blanco, Felipe Carrillo Puerto y José María Morelos, del Estado de Quintana Roo.</w:t>
            </w:r>
          </w:p>
        </w:tc>
      </w:tr>
      <w:tr w:rsidR="00405C1A" w:rsidRPr="00A82AD3" w14:paraId="1D54F9FE" w14:textId="77777777" w:rsidTr="00A82AD3">
        <w:trPr>
          <w:jc w:val="center"/>
        </w:trPr>
        <w:tc>
          <w:tcPr>
            <w:tcW w:w="562" w:type="dxa"/>
          </w:tcPr>
          <w:p w14:paraId="6E2B50B7" w14:textId="4AB92F2B" w:rsidR="00405C1A" w:rsidRPr="00A82AD3" w:rsidRDefault="00405C1A" w:rsidP="00A82AD3">
            <w:pPr>
              <w:spacing w:after="0" w:line="240" w:lineRule="auto"/>
              <w:jc w:val="center"/>
              <w:rPr>
                <w:rFonts w:ascii="ITC Avant Garde" w:eastAsia="Times New Roman" w:hAnsi="ITC Avant Garde"/>
                <w:b/>
                <w:sz w:val="16"/>
                <w:szCs w:val="16"/>
                <w:lang w:eastAsia="es-MX"/>
              </w:rPr>
            </w:pPr>
            <w:r w:rsidRPr="00A82AD3">
              <w:rPr>
                <w:rFonts w:ascii="ITC Avant Garde" w:eastAsia="Times New Roman" w:hAnsi="ITC Avant Garde"/>
                <w:b/>
                <w:sz w:val="16"/>
                <w:szCs w:val="16"/>
                <w:lang w:eastAsia="es-MX"/>
              </w:rPr>
              <w:t>30</w:t>
            </w:r>
          </w:p>
        </w:tc>
        <w:tc>
          <w:tcPr>
            <w:tcW w:w="2694" w:type="dxa"/>
          </w:tcPr>
          <w:p w14:paraId="2074D3FB" w14:textId="5E890FC2" w:rsidR="00405C1A" w:rsidRPr="00A82AD3" w:rsidRDefault="000250CC" w:rsidP="00A82AD3">
            <w:pPr>
              <w:spacing w:after="0" w:line="240" w:lineRule="auto"/>
              <w:jc w:val="center"/>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2500-2530 / 2620- 2650 MHz</w:t>
            </w:r>
          </w:p>
        </w:tc>
        <w:tc>
          <w:tcPr>
            <w:tcW w:w="5528" w:type="dxa"/>
          </w:tcPr>
          <w:p w14:paraId="3CF4FB2E" w14:textId="5F8C8D89" w:rsidR="00405C1A" w:rsidRPr="00A82AD3" w:rsidRDefault="000250CC" w:rsidP="00A82AD3">
            <w:pPr>
              <w:spacing w:after="0" w:line="240" w:lineRule="auto"/>
              <w:jc w:val="both"/>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Pachuca de Soto, Tulancingo de Bravo, Huejutla de Reyes, Tula de Allende, Ixmiquilpan, Tepejí del Río de Ocampo, Tepeapulco, Actopan, Tizayuca, Cuautepec de Hinijosa, Apán, San Felipe Orizatlán, Zimapán, Huichapán, Tezonpetec de Aldama, Acaxochitlán, Mixquiahuala de Juárez, Tlanchinol, Tecozautla, San Salvador, Francisco I Madero, Atotonilco el Grande, Huehuetla, Huatla, Tepehuacán de Guerrero, Atitalaquia, Atotonilco de Tula, Zacualtipán de Ángeles, Metztitlán, Santiago Tulantepec de Lugo Guerrero, Tlaxcoapan, Cardonal, Chapulhuacán, Yahualica, Progreso de Obregón, Atlapexco, Acatlán, San Bartolo Tutoltepec, Alfajayucan, Chilcuautla, Tenango de Doria, Pisaflores, Calnali,  Xochialtipán, Tasquillo, Jacala de Ledezma, Nopala de Villagran, El Arenal, Huasca de Ocampo, Ajacuba, Santiago de Anaya, Tlahuelilpán, Tianguitengo, La Misión, Chapantongo, Emiliano Zapata, Huazalingo, Tlanalpa, Tlahuiltepa, Lolotla, Molango de Escamilla, Almoloya, Jaltocán, Metepec, Agua Blanca de Iturbide, San Agustín Metzquititlán, Xochicoatlán, Tepetitlán, Omitlán de Juárez, Tepetango, Nicolás Flores, Pacula, Eloxochitlán, Juárez Hidalgo, Mineral de la Reforma Zempoala, Zapotlán de Juárez, San Agustín Tlaxiaca, Mineral del Monte, Singuilucan, Epazoyucan, Tolcayuca, Villa de Tezontepec y Mineral del Chico, del Estado de Hidalgo.</w:t>
            </w:r>
          </w:p>
        </w:tc>
      </w:tr>
      <w:tr w:rsidR="00405C1A" w:rsidRPr="00A82AD3" w14:paraId="173DBEA7" w14:textId="77777777" w:rsidTr="00A82AD3">
        <w:trPr>
          <w:jc w:val="center"/>
        </w:trPr>
        <w:tc>
          <w:tcPr>
            <w:tcW w:w="562" w:type="dxa"/>
          </w:tcPr>
          <w:p w14:paraId="40B6AD1A" w14:textId="3D536E92" w:rsidR="00405C1A" w:rsidRPr="00A82AD3" w:rsidRDefault="00405C1A" w:rsidP="00A82AD3">
            <w:pPr>
              <w:spacing w:after="0" w:line="240" w:lineRule="auto"/>
              <w:jc w:val="center"/>
              <w:rPr>
                <w:rFonts w:ascii="ITC Avant Garde" w:eastAsia="Times New Roman" w:hAnsi="ITC Avant Garde"/>
                <w:b/>
                <w:sz w:val="16"/>
                <w:szCs w:val="16"/>
                <w:lang w:eastAsia="es-MX"/>
              </w:rPr>
            </w:pPr>
            <w:r w:rsidRPr="00A82AD3">
              <w:rPr>
                <w:rFonts w:ascii="ITC Avant Garde" w:eastAsia="Times New Roman" w:hAnsi="ITC Avant Garde"/>
                <w:b/>
                <w:sz w:val="16"/>
                <w:szCs w:val="16"/>
                <w:lang w:eastAsia="es-MX"/>
              </w:rPr>
              <w:t>31</w:t>
            </w:r>
          </w:p>
        </w:tc>
        <w:tc>
          <w:tcPr>
            <w:tcW w:w="2694" w:type="dxa"/>
          </w:tcPr>
          <w:p w14:paraId="2CC4F929" w14:textId="2749D1A4" w:rsidR="00405C1A" w:rsidRPr="00A82AD3" w:rsidRDefault="000250CC" w:rsidP="00A82AD3">
            <w:pPr>
              <w:spacing w:after="0" w:line="240" w:lineRule="auto"/>
              <w:jc w:val="center"/>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2500-2530 / 2620- 2650 MHz</w:t>
            </w:r>
          </w:p>
        </w:tc>
        <w:tc>
          <w:tcPr>
            <w:tcW w:w="5528" w:type="dxa"/>
          </w:tcPr>
          <w:p w14:paraId="1B975251" w14:textId="138AB96A" w:rsidR="00405C1A" w:rsidRPr="00A82AD3" w:rsidRDefault="000250CC" w:rsidP="00A82AD3">
            <w:pPr>
              <w:spacing w:after="0" w:line="240" w:lineRule="auto"/>
              <w:jc w:val="both"/>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 xml:space="preserve">Poza Rica de Hidalgo, Tuxpam, Papantla, Tezuintla, Huachinango, Martínez de la Torre, Xicontepec, Pánuco, Tlapacoyan, Cerro Azul, Tantoyuca, Temapache, Coatzintla, Amatlán Tuxpan, Gutiérrez Zamora, Tihuatlán, Venustiano Carranza, Cuetzalan del Progreso, Cazones de Herrera, Villa Aldama, Tenampulco, Xicontepec, </w:t>
            </w:r>
            <w:r w:rsidRPr="00A82AD3">
              <w:rPr>
                <w:rFonts w:ascii="ITC Avant Garde" w:eastAsia="Times New Roman" w:hAnsi="ITC Avant Garde"/>
                <w:sz w:val="16"/>
                <w:szCs w:val="16"/>
                <w:lang w:eastAsia="es-MX"/>
              </w:rPr>
              <w:lastRenderedPageBreak/>
              <w:t>Misantla, Altotonga, Ixhuatlan de Madero, Atzalán, Pueblo Viejo, Tlatlauquitepec, Zacapoaxtla, Temporal, Tamiahua, Ozumala, Hueytamalco, Jalasingo, Tecolutla, Xiutetelco, Espinal, El Higo, Juchique de Ferrer, Coyutla, Castillo de Teayo, Huayacocotla, Vega de la Torre, Pantepec, Platón Sánchez, Francisco Z. Mena, Pahuatlán, Tlacuilotepec, Tlaola, Bénito Juárez, Chontla, Huehuetla, Tampico Alto, Chinampa de Gorostiza, Tantima, Coxquihui, Chalma, Yecuautlán, Chignautla, Tepetzintla, Atempan, Jopala, Llamatlan, Ixcatepec, Zozocolco de Hidalgo, Zihuateutla, Jalpan, Olintla, Tamalin, Ahuacatlán, Zaragoza, Chiconcuautla, Citlaltépel, Zontecomatlán, Xochitlán de Vicente Suárez, Tlachichilco, Nautla, Acateno, Naupan, Huitzilan de Serdán, Filomeno Mata, Mecatlan, Tepetzintla, Hermenegildo Galeana, Ahuazotepec, Texcatepec, Cuautempan, Zacualpan, Tlacolulan, Huellepan, Tancoco, Chila Honey, Juan Galindo, Ayotoxco de Guerrero, Chiconamel, Tlaxco, Tlapacoyan, Tuzamapan de Galeana, Colipa, Yanonáhuac, Tenochtitlán, Coahuitlán, Ixtepec, Tatatila, Huentlalpan, San Felipe Tepantlán, Zapotitlan de Méndez, Jonotla, Amixtla, Xochiapulco, Teteles de Ávila Castillo, Nauzontla, Tepango de Rodríguez, Caxhuacan, Zongozontla, Chumatlán, Zoquiapan, Las Minas, Ignacio Allende, Camocuautla y Coatepec, de los Estados de Veracruz y de Puebla.</w:t>
            </w:r>
          </w:p>
        </w:tc>
      </w:tr>
      <w:tr w:rsidR="00405C1A" w:rsidRPr="00A82AD3" w14:paraId="36096737" w14:textId="77777777" w:rsidTr="00A82AD3">
        <w:trPr>
          <w:jc w:val="center"/>
        </w:trPr>
        <w:tc>
          <w:tcPr>
            <w:tcW w:w="562" w:type="dxa"/>
          </w:tcPr>
          <w:p w14:paraId="757B77A4" w14:textId="44C5AABC" w:rsidR="00405C1A" w:rsidRPr="00A82AD3" w:rsidRDefault="00405C1A" w:rsidP="00A82AD3">
            <w:pPr>
              <w:spacing w:after="0" w:line="240" w:lineRule="auto"/>
              <w:jc w:val="center"/>
              <w:rPr>
                <w:rFonts w:ascii="ITC Avant Garde" w:eastAsia="Times New Roman" w:hAnsi="ITC Avant Garde"/>
                <w:b/>
                <w:sz w:val="16"/>
                <w:szCs w:val="16"/>
                <w:lang w:eastAsia="es-MX"/>
              </w:rPr>
            </w:pPr>
            <w:r w:rsidRPr="00A82AD3">
              <w:rPr>
                <w:rFonts w:ascii="ITC Avant Garde" w:eastAsia="Times New Roman" w:hAnsi="ITC Avant Garde"/>
                <w:b/>
                <w:sz w:val="16"/>
                <w:szCs w:val="16"/>
                <w:lang w:eastAsia="es-MX"/>
              </w:rPr>
              <w:lastRenderedPageBreak/>
              <w:t>32</w:t>
            </w:r>
          </w:p>
        </w:tc>
        <w:tc>
          <w:tcPr>
            <w:tcW w:w="2694" w:type="dxa"/>
          </w:tcPr>
          <w:p w14:paraId="356F4E72" w14:textId="0EE515CA" w:rsidR="00405C1A" w:rsidRPr="00A82AD3" w:rsidRDefault="000250CC" w:rsidP="00A82AD3">
            <w:pPr>
              <w:spacing w:after="0" w:line="240" w:lineRule="auto"/>
              <w:jc w:val="center"/>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2500-2530 / 2620- 2650 MHz</w:t>
            </w:r>
          </w:p>
        </w:tc>
        <w:tc>
          <w:tcPr>
            <w:tcW w:w="5528" w:type="dxa"/>
          </w:tcPr>
          <w:p w14:paraId="0A212EB4" w14:textId="740672CC" w:rsidR="00405C1A" w:rsidRPr="00A82AD3" w:rsidRDefault="000250CC" w:rsidP="00A82AD3">
            <w:pPr>
              <w:spacing w:after="0" w:line="240" w:lineRule="auto"/>
              <w:jc w:val="both"/>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Puerto Vallarta, Cihuatlan, Casimiro Castillo, Mascota, Tomatlán, Talpa de Allende, La Huerta, Villa Purificación, Cabo Corrientes, Cuautla, Anteguillo y San Sebastian del Oeste, del Estado de Jalisco.</w:t>
            </w:r>
          </w:p>
        </w:tc>
      </w:tr>
      <w:tr w:rsidR="00405C1A" w:rsidRPr="00A82AD3" w14:paraId="1CBA7AC2" w14:textId="77777777" w:rsidTr="00A82AD3">
        <w:trPr>
          <w:jc w:val="center"/>
        </w:trPr>
        <w:tc>
          <w:tcPr>
            <w:tcW w:w="562" w:type="dxa"/>
          </w:tcPr>
          <w:p w14:paraId="1C81A28D" w14:textId="6E33C403" w:rsidR="00405C1A" w:rsidRPr="00A82AD3" w:rsidRDefault="00405C1A" w:rsidP="00A82AD3">
            <w:pPr>
              <w:spacing w:after="0" w:line="240" w:lineRule="auto"/>
              <w:jc w:val="center"/>
              <w:rPr>
                <w:rFonts w:ascii="ITC Avant Garde" w:eastAsia="Times New Roman" w:hAnsi="ITC Avant Garde"/>
                <w:b/>
                <w:sz w:val="16"/>
                <w:szCs w:val="16"/>
                <w:lang w:eastAsia="es-MX"/>
              </w:rPr>
            </w:pPr>
            <w:r w:rsidRPr="00A82AD3">
              <w:rPr>
                <w:rFonts w:ascii="ITC Avant Garde" w:eastAsia="Times New Roman" w:hAnsi="ITC Avant Garde"/>
                <w:b/>
                <w:sz w:val="16"/>
                <w:szCs w:val="16"/>
                <w:lang w:eastAsia="es-MX"/>
              </w:rPr>
              <w:t>33</w:t>
            </w:r>
          </w:p>
        </w:tc>
        <w:tc>
          <w:tcPr>
            <w:tcW w:w="2694" w:type="dxa"/>
          </w:tcPr>
          <w:p w14:paraId="7498C92A" w14:textId="1E012F93" w:rsidR="00405C1A" w:rsidRPr="00A82AD3" w:rsidRDefault="000250CC" w:rsidP="00A82AD3">
            <w:pPr>
              <w:spacing w:after="0" w:line="240" w:lineRule="auto"/>
              <w:jc w:val="center"/>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2500-2530 / 2620- 2650 MHz</w:t>
            </w:r>
          </w:p>
        </w:tc>
        <w:tc>
          <w:tcPr>
            <w:tcW w:w="5528" w:type="dxa"/>
          </w:tcPr>
          <w:p w14:paraId="246A4A8B" w14:textId="270B19F3" w:rsidR="00405C1A" w:rsidRPr="00A82AD3" w:rsidRDefault="000250CC" w:rsidP="00A82AD3">
            <w:pPr>
              <w:spacing w:after="0" w:line="240" w:lineRule="auto"/>
              <w:jc w:val="both"/>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Querétaro y San Juan del Río, del Estado de Querétaro, Allende, Dolores Hidalgo, Acámbaro, Salvatierra, San Luis de la Paz, Yuriria, Cortázar, Apaseo El Grande, Santa Cruz de Juventino Rosas, El Marqués, Comonfort, Uriangato, Jerécuaro, Apaseo El Alto, Corregidora, San José Iturbide, Amealco de Bonfil, Moroleón, Cadereyta de Montes, Pedro Escobedo, Tequisquiapán, Villagrán, Colón, Tarimoro, San Diego de la Unión Jaral de Progreso, Huimilpán, Pinal de Amoles, Ezequiel Montes, Doctor Mora, Jalpan de Serra, Landa de Matamoros, Tolimán, Victoria, Peñamiller, Tierra Blanca, Arroyo Seco, Tarandacuao, Xichú, Coroneo, Santiago Maravatío, San Joaquin, Atarjea, Santa Caratina, Celaya, del Estado de Guanajuato.</w:t>
            </w:r>
          </w:p>
        </w:tc>
      </w:tr>
      <w:tr w:rsidR="00405C1A" w:rsidRPr="00A82AD3" w14:paraId="3F54B6B0" w14:textId="77777777" w:rsidTr="00A82AD3">
        <w:trPr>
          <w:jc w:val="center"/>
        </w:trPr>
        <w:tc>
          <w:tcPr>
            <w:tcW w:w="562" w:type="dxa"/>
          </w:tcPr>
          <w:p w14:paraId="71976444" w14:textId="52F39F80" w:rsidR="00405C1A" w:rsidRPr="00A82AD3" w:rsidRDefault="00405C1A" w:rsidP="00A82AD3">
            <w:pPr>
              <w:spacing w:after="0" w:line="240" w:lineRule="auto"/>
              <w:jc w:val="center"/>
              <w:rPr>
                <w:rFonts w:ascii="ITC Avant Garde" w:eastAsia="Times New Roman" w:hAnsi="ITC Avant Garde"/>
                <w:b/>
                <w:sz w:val="16"/>
                <w:szCs w:val="16"/>
                <w:lang w:eastAsia="es-MX"/>
              </w:rPr>
            </w:pPr>
            <w:r w:rsidRPr="00A82AD3">
              <w:rPr>
                <w:rFonts w:ascii="ITC Avant Garde" w:eastAsia="Times New Roman" w:hAnsi="ITC Avant Garde"/>
                <w:b/>
                <w:sz w:val="16"/>
                <w:szCs w:val="16"/>
                <w:lang w:eastAsia="es-MX"/>
              </w:rPr>
              <w:t>34</w:t>
            </w:r>
          </w:p>
        </w:tc>
        <w:tc>
          <w:tcPr>
            <w:tcW w:w="2694" w:type="dxa"/>
          </w:tcPr>
          <w:p w14:paraId="723FE31D" w14:textId="2074F27D" w:rsidR="00405C1A" w:rsidRPr="00A82AD3" w:rsidRDefault="000250CC" w:rsidP="00A82AD3">
            <w:pPr>
              <w:spacing w:after="0" w:line="240" w:lineRule="auto"/>
              <w:jc w:val="center"/>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2500-2530 / 2620- 2650 MHz</w:t>
            </w:r>
          </w:p>
        </w:tc>
        <w:tc>
          <w:tcPr>
            <w:tcW w:w="5528" w:type="dxa"/>
          </w:tcPr>
          <w:p w14:paraId="17F8D01D" w14:textId="424F6EBB" w:rsidR="00405C1A" w:rsidRPr="00A82AD3" w:rsidRDefault="000250CC" w:rsidP="00A82AD3">
            <w:pPr>
              <w:spacing w:after="0" w:line="240" w:lineRule="auto"/>
              <w:jc w:val="both"/>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San Luis Potosí, Soledad de Graciano Sánchez, Ríoverde, Matehuala, Mexquitic de Carmona,  Ciudad Fernández, Villa de Reyes, Santa María del Río, Villa de Ramos, Ciudad del Maíz, Guadalcázar, Cerritos, Salinas, Charcas, Moctezuma, Zaragoza, Ahualulco, Cárdenas, El Naranjo, Rayón, Cedral, Venado, Villa HIdalgo, Villa de Arriaga, Villa de Arista, Villa Juárez, Villa de Guadalupe, Catorce, Santo Domingo, San Ciro de Acosta, Santa Cartina, Alaquines, Tierranueva, Vanegas, San Nicolás Tolentino, Laguinillas, Armandillo de los Infante, Villa de la Paz, Cerro de San Pedo, del Estado de San Luis Potosí.</w:t>
            </w:r>
          </w:p>
        </w:tc>
      </w:tr>
      <w:tr w:rsidR="00405C1A" w:rsidRPr="00A82AD3" w14:paraId="10997B85" w14:textId="77777777" w:rsidTr="00A82AD3">
        <w:trPr>
          <w:jc w:val="center"/>
        </w:trPr>
        <w:tc>
          <w:tcPr>
            <w:tcW w:w="562" w:type="dxa"/>
          </w:tcPr>
          <w:p w14:paraId="39722D4F" w14:textId="673AC771" w:rsidR="00405C1A" w:rsidRPr="00A82AD3" w:rsidRDefault="00405C1A" w:rsidP="00A82AD3">
            <w:pPr>
              <w:spacing w:after="0" w:line="240" w:lineRule="auto"/>
              <w:jc w:val="center"/>
              <w:rPr>
                <w:rFonts w:ascii="ITC Avant Garde" w:eastAsia="Times New Roman" w:hAnsi="ITC Avant Garde"/>
                <w:b/>
                <w:sz w:val="16"/>
                <w:szCs w:val="16"/>
                <w:lang w:eastAsia="es-MX"/>
              </w:rPr>
            </w:pPr>
            <w:r w:rsidRPr="00A82AD3">
              <w:rPr>
                <w:rFonts w:ascii="ITC Avant Garde" w:eastAsia="Times New Roman" w:hAnsi="ITC Avant Garde"/>
                <w:b/>
                <w:sz w:val="16"/>
                <w:szCs w:val="16"/>
                <w:lang w:eastAsia="es-MX"/>
              </w:rPr>
              <w:t>35</w:t>
            </w:r>
          </w:p>
        </w:tc>
        <w:tc>
          <w:tcPr>
            <w:tcW w:w="2694" w:type="dxa"/>
          </w:tcPr>
          <w:p w14:paraId="13744333" w14:textId="1ABE1A7C" w:rsidR="00405C1A" w:rsidRPr="00A82AD3" w:rsidRDefault="000250CC" w:rsidP="00A82AD3">
            <w:pPr>
              <w:spacing w:after="0" w:line="240" w:lineRule="auto"/>
              <w:jc w:val="center"/>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2500-2530 / 2620- 2650 MHz</w:t>
            </w:r>
          </w:p>
        </w:tc>
        <w:tc>
          <w:tcPr>
            <w:tcW w:w="5528" w:type="dxa"/>
          </w:tcPr>
          <w:p w14:paraId="6E42B7FE" w14:textId="7B462BB3" w:rsidR="00405C1A" w:rsidRPr="00A82AD3" w:rsidRDefault="000250CC" w:rsidP="00A82AD3">
            <w:pPr>
              <w:spacing w:after="0" w:line="240" w:lineRule="auto"/>
              <w:jc w:val="both"/>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Tapachula, Huixtla, Mapastepec, Cacahuatán, Suchiate, Escuintla, Tuxtla Chico, Villa Comatitlán, Huehuetán, Acacoyahua, Mazatán, Unión Juárez, Frontera Hidalgo, Metapa, Motocintla, Siltepec, Acapetahua, Tuzantán, Amatenango de la Frontera, Bella Vista, El Porvenir, Mazapa de Madero, Bejucal de Ocampo y La Grandeza, del Estado de Chiapas.</w:t>
            </w:r>
          </w:p>
        </w:tc>
      </w:tr>
      <w:tr w:rsidR="00405C1A" w:rsidRPr="00A82AD3" w14:paraId="2035BEB3" w14:textId="77777777" w:rsidTr="00A82AD3">
        <w:trPr>
          <w:jc w:val="center"/>
        </w:trPr>
        <w:tc>
          <w:tcPr>
            <w:tcW w:w="562" w:type="dxa"/>
          </w:tcPr>
          <w:p w14:paraId="76886FF1" w14:textId="55022100" w:rsidR="00405C1A" w:rsidRPr="00A82AD3" w:rsidRDefault="00405C1A" w:rsidP="00A82AD3">
            <w:pPr>
              <w:spacing w:after="0" w:line="240" w:lineRule="auto"/>
              <w:jc w:val="center"/>
              <w:rPr>
                <w:rFonts w:ascii="ITC Avant Garde" w:eastAsia="Times New Roman" w:hAnsi="ITC Avant Garde"/>
                <w:b/>
                <w:sz w:val="16"/>
                <w:szCs w:val="16"/>
                <w:lang w:eastAsia="es-MX"/>
              </w:rPr>
            </w:pPr>
            <w:r w:rsidRPr="00A82AD3">
              <w:rPr>
                <w:rFonts w:ascii="ITC Avant Garde" w:eastAsia="Times New Roman" w:hAnsi="ITC Avant Garde"/>
                <w:b/>
                <w:sz w:val="16"/>
                <w:szCs w:val="16"/>
                <w:lang w:eastAsia="es-MX"/>
              </w:rPr>
              <w:t>36</w:t>
            </w:r>
          </w:p>
        </w:tc>
        <w:tc>
          <w:tcPr>
            <w:tcW w:w="2694" w:type="dxa"/>
          </w:tcPr>
          <w:p w14:paraId="623EEF69" w14:textId="68703310" w:rsidR="00405C1A" w:rsidRPr="00A82AD3" w:rsidRDefault="000250CC" w:rsidP="00A82AD3">
            <w:pPr>
              <w:spacing w:after="0" w:line="240" w:lineRule="auto"/>
              <w:jc w:val="center"/>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2500-2530 / 2620- 2650 MHz</w:t>
            </w:r>
          </w:p>
        </w:tc>
        <w:tc>
          <w:tcPr>
            <w:tcW w:w="5528" w:type="dxa"/>
          </w:tcPr>
          <w:p w14:paraId="23737AAB" w14:textId="1E4E26FC" w:rsidR="00405C1A" w:rsidRPr="00A82AD3" w:rsidRDefault="000250CC" w:rsidP="00A82AD3">
            <w:pPr>
              <w:spacing w:after="0" w:line="240" w:lineRule="auto"/>
              <w:jc w:val="both"/>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 xml:space="preserve">Tepic, Tuxpán, Ixtlán del Río, Santiago Ixcuntla, Acaponeta, Tecuala, Compostela, Xalisco, Ruiz, Jala, San Blas, Ahuacatlán, Bahía de Banderas, Rosamorada, San Pedro Lagunillas, Amatlán de Cañas, </w:t>
            </w:r>
            <w:r w:rsidRPr="00A82AD3">
              <w:rPr>
                <w:rFonts w:ascii="ITC Avant Garde" w:eastAsia="Times New Roman" w:hAnsi="ITC Avant Garde"/>
                <w:sz w:val="16"/>
                <w:szCs w:val="16"/>
                <w:lang w:eastAsia="es-MX"/>
              </w:rPr>
              <w:lastRenderedPageBreak/>
              <w:t>Santa María del Oro, El Nayar, La Yesca, Huajicori, Totatiche, San Martín de Bolaños y Chimaltitán de los Estados de Nayarit y Jalisco.</w:t>
            </w:r>
          </w:p>
        </w:tc>
      </w:tr>
      <w:tr w:rsidR="00405C1A" w:rsidRPr="00A82AD3" w14:paraId="50850B64" w14:textId="77777777" w:rsidTr="00A82AD3">
        <w:trPr>
          <w:jc w:val="center"/>
        </w:trPr>
        <w:tc>
          <w:tcPr>
            <w:tcW w:w="562" w:type="dxa"/>
          </w:tcPr>
          <w:p w14:paraId="24F5EB63" w14:textId="4DB8ECDE" w:rsidR="00405C1A" w:rsidRPr="00A82AD3" w:rsidRDefault="00405C1A" w:rsidP="00A82AD3">
            <w:pPr>
              <w:spacing w:after="0" w:line="240" w:lineRule="auto"/>
              <w:jc w:val="center"/>
              <w:rPr>
                <w:rFonts w:ascii="ITC Avant Garde" w:eastAsia="Times New Roman" w:hAnsi="ITC Avant Garde"/>
                <w:b/>
                <w:sz w:val="16"/>
                <w:szCs w:val="16"/>
                <w:lang w:eastAsia="es-MX"/>
              </w:rPr>
            </w:pPr>
            <w:r w:rsidRPr="00A82AD3">
              <w:rPr>
                <w:rFonts w:ascii="ITC Avant Garde" w:eastAsia="Times New Roman" w:hAnsi="ITC Avant Garde"/>
                <w:b/>
                <w:sz w:val="16"/>
                <w:szCs w:val="16"/>
                <w:lang w:eastAsia="es-MX"/>
              </w:rPr>
              <w:lastRenderedPageBreak/>
              <w:t>37</w:t>
            </w:r>
          </w:p>
        </w:tc>
        <w:tc>
          <w:tcPr>
            <w:tcW w:w="2694" w:type="dxa"/>
          </w:tcPr>
          <w:p w14:paraId="73C9A00E" w14:textId="58749D64" w:rsidR="00405C1A" w:rsidRPr="00A82AD3" w:rsidRDefault="000250CC" w:rsidP="00A82AD3">
            <w:pPr>
              <w:spacing w:after="0" w:line="240" w:lineRule="auto"/>
              <w:jc w:val="center"/>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2500-2530 / 2620- 2650 MHz</w:t>
            </w:r>
          </w:p>
        </w:tc>
        <w:tc>
          <w:tcPr>
            <w:tcW w:w="5528" w:type="dxa"/>
          </w:tcPr>
          <w:p w14:paraId="190E3146" w14:textId="3BBA0B94" w:rsidR="00405C1A" w:rsidRPr="00A82AD3" w:rsidRDefault="000250CC" w:rsidP="00A82AD3">
            <w:pPr>
              <w:spacing w:after="0" w:line="240" w:lineRule="auto"/>
              <w:jc w:val="both"/>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Tijuana y Rosarito, del Estado de Baja California.</w:t>
            </w:r>
          </w:p>
        </w:tc>
      </w:tr>
      <w:tr w:rsidR="00405C1A" w:rsidRPr="00A82AD3" w14:paraId="585BE938" w14:textId="77777777" w:rsidTr="00A82AD3">
        <w:trPr>
          <w:jc w:val="center"/>
        </w:trPr>
        <w:tc>
          <w:tcPr>
            <w:tcW w:w="562" w:type="dxa"/>
          </w:tcPr>
          <w:p w14:paraId="460903C8" w14:textId="68EC1CD3" w:rsidR="00405C1A" w:rsidRPr="00A82AD3" w:rsidRDefault="00405C1A" w:rsidP="00A82AD3">
            <w:pPr>
              <w:spacing w:after="0" w:line="240" w:lineRule="auto"/>
              <w:jc w:val="center"/>
              <w:rPr>
                <w:rFonts w:ascii="ITC Avant Garde" w:eastAsia="Times New Roman" w:hAnsi="ITC Avant Garde"/>
                <w:b/>
                <w:sz w:val="16"/>
                <w:szCs w:val="16"/>
                <w:lang w:eastAsia="es-MX"/>
              </w:rPr>
            </w:pPr>
            <w:r w:rsidRPr="00A82AD3">
              <w:rPr>
                <w:rFonts w:ascii="ITC Avant Garde" w:eastAsia="Times New Roman" w:hAnsi="ITC Avant Garde"/>
                <w:b/>
                <w:sz w:val="16"/>
                <w:szCs w:val="16"/>
                <w:lang w:eastAsia="es-MX"/>
              </w:rPr>
              <w:t>38</w:t>
            </w:r>
            <w:r w:rsidR="0096669A" w:rsidRPr="00A82AD3">
              <w:rPr>
                <w:rFonts w:ascii="ITC Avant Garde" w:eastAsia="Times New Roman" w:hAnsi="ITC Avant Garde"/>
                <w:b/>
                <w:sz w:val="16"/>
                <w:szCs w:val="16"/>
                <w:lang w:eastAsia="es-MX"/>
              </w:rPr>
              <w:t>*</w:t>
            </w:r>
          </w:p>
        </w:tc>
        <w:tc>
          <w:tcPr>
            <w:tcW w:w="2694" w:type="dxa"/>
          </w:tcPr>
          <w:p w14:paraId="35DF904D" w14:textId="14887E22" w:rsidR="00405C1A" w:rsidRPr="00A82AD3" w:rsidRDefault="000250CC" w:rsidP="00A82AD3">
            <w:pPr>
              <w:spacing w:after="0" w:line="240" w:lineRule="auto"/>
              <w:jc w:val="center"/>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2500-2530 / 2620-2650 MHz</w:t>
            </w:r>
          </w:p>
        </w:tc>
        <w:tc>
          <w:tcPr>
            <w:tcW w:w="5528" w:type="dxa"/>
          </w:tcPr>
          <w:p w14:paraId="5CAF9E61" w14:textId="6A4A7EDF" w:rsidR="00405C1A" w:rsidRPr="00A82AD3" w:rsidRDefault="000250CC" w:rsidP="00A82AD3">
            <w:pPr>
              <w:spacing w:after="0" w:line="240" w:lineRule="auto"/>
              <w:jc w:val="both"/>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Toluca, Metepec, San Felipe del Progreso, Ixtlahuaca, Zinancantepec, Almoya de Juárez, Tejupilco, Lerma, Tenancingo, Villa Victoria, Atlalcomulco, Temoaya, Jiloltepec, Temascalcingo, Acambay, Jiquipilco, Tenango del Valle, Otzololtepec, San Mateo Atenco, Villa Guerrero, Tianguistenco, Jocotitlán,  Ocoyoacac, Valle de Bravo, Xonacatlán, Tlatlaya, Aculco, Villa del Carbón, Temascaltepec, Villa de Allende, Coatepec Harinas, Amatepec, Ixtapan de la Sal, Donato Guerra, El Oro, Calimaya, Sultepec, Morelos, Capulhuac, Ocuilán, Chapa de Mota, Malinalco, Amanalco, Zacualpan, Jalatlalco, Texcaltitlán, Almoloya de Alquisiras, Zumpahuacán, Tinalpán, Jilotzcingo, Polotitlán, Tonatico, Soyaniquilpan de Juárez, Joquilcingo, Mexicalcingo, Rayón, Santo Tomás, Almoloya del Río, Ixtapan del Oro, San Antonio la Isla, Isidro Fabela, Atizapán, Otzoluapan, San Simón de Guerrero, Chapultepec, Texcalyacac, Zacazonapan, del Estado de México.</w:t>
            </w:r>
          </w:p>
        </w:tc>
      </w:tr>
      <w:tr w:rsidR="00405C1A" w:rsidRPr="00A82AD3" w14:paraId="4731A0CE" w14:textId="77777777" w:rsidTr="00A82AD3">
        <w:trPr>
          <w:jc w:val="center"/>
        </w:trPr>
        <w:tc>
          <w:tcPr>
            <w:tcW w:w="562" w:type="dxa"/>
          </w:tcPr>
          <w:p w14:paraId="10087D4D" w14:textId="74D89289" w:rsidR="00405C1A" w:rsidRPr="00A82AD3" w:rsidRDefault="00405C1A" w:rsidP="00A82AD3">
            <w:pPr>
              <w:spacing w:after="0" w:line="240" w:lineRule="auto"/>
              <w:jc w:val="center"/>
              <w:rPr>
                <w:rFonts w:ascii="ITC Avant Garde" w:eastAsia="Times New Roman" w:hAnsi="ITC Avant Garde"/>
                <w:b/>
                <w:sz w:val="16"/>
                <w:szCs w:val="16"/>
                <w:lang w:eastAsia="es-MX"/>
              </w:rPr>
            </w:pPr>
            <w:r w:rsidRPr="00A82AD3">
              <w:rPr>
                <w:rFonts w:ascii="ITC Avant Garde" w:eastAsia="Times New Roman" w:hAnsi="ITC Avant Garde"/>
                <w:b/>
                <w:sz w:val="16"/>
                <w:szCs w:val="16"/>
                <w:lang w:eastAsia="es-MX"/>
              </w:rPr>
              <w:t>39</w:t>
            </w:r>
          </w:p>
        </w:tc>
        <w:tc>
          <w:tcPr>
            <w:tcW w:w="2694" w:type="dxa"/>
          </w:tcPr>
          <w:p w14:paraId="29C23D64" w14:textId="1A1791F4" w:rsidR="00405C1A" w:rsidRPr="00A82AD3" w:rsidRDefault="000250CC" w:rsidP="00A82AD3">
            <w:pPr>
              <w:spacing w:after="0" w:line="240" w:lineRule="auto"/>
              <w:jc w:val="center"/>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2500-2530 / 2620- 2650 MHz</w:t>
            </w:r>
          </w:p>
        </w:tc>
        <w:tc>
          <w:tcPr>
            <w:tcW w:w="5528" w:type="dxa"/>
          </w:tcPr>
          <w:p w14:paraId="1BB9EFCF" w14:textId="6E82C9C1" w:rsidR="00405C1A" w:rsidRPr="00A82AD3" w:rsidRDefault="000250CC" w:rsidP="00A82AD3">
            <w:pPr>
              <w:spacing w:after="0" w:line="240" w:lineRule="auto"/>
              <w:jc w:val="both"/>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Tuxtla Gutiérrez, Ocosingo, Las Margaritas, San Cristobal de las Casas, Comitán de Domínguez, Chilón, Villa Flores, Tonalá, Cintalapa, La Trinitaria, Villa Corzo, Ocozocoautla de Espinosa, Chamula, Tila, Frontera, Comalapa, Chiapa de Corzo, Pijijiapan, Venustiano Carranza, Tecpatán, Oxchuc, La Concordia, Jiquipilas, Chenalhó, Arriaga, Simojovel, La Independencia, Yajalón, Tenejapan, Chicomosuelo, Zinacantán Ángel Albino Corzo, Alcala, Tumbalá, Berriozabal, San Fernando, Teopisca, Pueblo Nuevo, Solistahuacán, San Juan Cancuc, Sabanilla, Huixtán, Altaminaro, Bochil, Copainalá, Huitiupán, Larráinzar, El Bosque, Las Rosas Ixtapa, Pantelhó Suchiapa, Socoltenango, Chalchihuitán, Tzimol, Jitotol, Tapilula, Sitála, Chanal, Ocotepec, Pantepec, Coapilla, Rayón, Soyaló, Amatenango del Valle, Mitontic, Chapilla, Totolapa, San Lucas, Tapalpa, Chicoasén, Nicolás Ruiz y Osumacinta, del Estado de Chiapas.</w:t>
            </w:r>
          </w:p>
        </w:tc>
      </w:tr>
      <w:tr w:rsidR="00405C1A" w:rsidRPr="00A82AD3" w14:paraId="6EBE5FCE" w14:textId="77777777" w:rsidTr="00A82AD3">
        <w:trPr>
          <w:jc w:val="center"/>
        </w:trPr>
        <w:tc>
          <w:tcPr>
            <w:tcW w:w="562" w:type="dxa"/>
          </w:tcPr>
          <w:p w14:paraId="62DC89C5" w14:textId="337A816A" w:rsidR="00405C1A" w:rsidRPr="00A82AD3" w:rsidRDefault="00405C1A" w:rsidP="00A82AD3">
            <w:pPr>
              <w:spacing w:after="0" w:line="240" w:lineRule="auto"/>
              <w:jc w:val="center"/>
              <w:rPr>
                <w:rFonts w:ascii="ITC Avant Garde" w:eastAsia="Times New Roman" w:hAnsi="ITC Avant Garde"/>
                <w:b/>
                <w:sz w:val="16"/>
                <w:szCs w:val="16"/>
                <w:lang w:eastAsia="es-MX"/>
              </w:rPr>
            </w:pPr>
            <w:r w:rsidRPr="00A82AD3">
              <w:rPr>
                <w:rFonts w:ascii="ITC Avant Garde" w:eastAsia="Times New Roman" w:hAnsi="ITC Avant Garde"/>
                <w:b/>
                <w:sz w:val="16"/>
                <w:szCs w:val="16"/>
                <w:lang w:eastAsia="es-MX"/>
              </w:rPr>
              <w:t>40</w:t>
            </w:r>
          </w:p>
        </w:tc>
        <w:tc>
          <w:tcPr>
            <w:tcW w:w="2694" w:type="dxa"/>
          </w:tcPr>
          <w:p w14:paraId="6ACD9C9D" w14:textId="6C2DC75C" w:rsidR="00405C1A" w:rsidRPr="00A82AD3" w:rsidRDefault="000250CC" w:rsidP="00A82AD3">
            <w:pPr>
              <w:spacing w:after="0" w:line="240" w:lineRule="auto"/>
              <w:jc w:val="center"/>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2500-2530 / 2620- 2650 MHz</w:t>
            </w:r>
          </w:p>
        </w:tc>
        <w:tc>
          <w:tcPr>
            <w:tcW w:w="5528" w:type="dxa"/>
          </w:tcPr>
          <w:p w14:paraId="6CFE3183" w14:textId="15DBA27E" w:rsidR="00405C1A" w:rsidRPr="00A82AD3" w:rsidRDefault="000250CC" w:rsidP="00A82AD3">
            <w:pPr>
              <w:spacing w:after="0" w:line="240" w:lineRule="auto"/>
              <w:jc w:val="both"/>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Uruapan, Apatzingan, Lazaro Cárdenas, Mugica, Paracho, Cherán, Gabriel Zamora, Nuevo Parangaricutiro, La Huacana, Nahuatzen, Taretan, Tingambato, Charapan, Ziracuaretiro, Buena Vista, Tepalcatepec, Arteaga, Parácuaro, Tancítaro, Aquila, Calcoman de Vázquez Pallares, Aguililla, Coahuayana, Tumbiscatio y Chinicuila, del Estado de Michoacán.</w:t>
            </w:r>
          </w:p>
        </w:tc>
      </w:tr>
      <w:tr w:rsidR="00405C1A" w:rsidRPr="00A82AD3" w14:paraId="3EAFC9A5" w14:textId="77777777" w:rsidTr="00A82AD3">
        <w:trPr>
          <w:jc w:val="center"/>
        </w:trPr>
        <w:tc>
          <w:tcPr>
            <w:tcW w:w="562" w:type="dxa"/>
          </w:tcPr>
          <w:p w14:paraId="151798F4" w14:textId="7DC38BDB" w:rsidR="00405C1A" w:rsidRPr="00A82AD3" w:rsidRDefault="00405C1A" w:rsidP="00A82AD3">
            <w:pPr>
              <w:spacing w:after="0" w:line="240" w:lineRule="auto"/>
              <w:jc w:val="center"/>
              <w:rPr>
                <w:rFonts w:ascii="ITC Avant Garde" w:eastAsia="Times New Roman" w:hAnsi="ITC Avant Garde"/>
                <w:b/>
                <w:sz w:val="16"/>
                <w:szCs w:val="16"/>
                <w:lang w:eastAsia="es-MX"/>
              </w:rPr>
            </w:pPr>
            <w:r w:rsidRPr="00A82AD3">
              <w:rPr>
                <w:rFonts w:ascii="ITC Avant Garde" w:eastAsia="Times New Roman" w:hAnsi="ITC Avant Garde"/>
                <w:b/>
                <w:sz w:val="16"/>
                <w:szCs w:val="16"/>
                <w:lang w:eastAsia="es-MX"/>
              </w:rPr>
              <w:t>41</w:t>
            </w:r>
          </w:p>
        </w:tc>
        <w:tc>
          <w:tcPr>
            <w:tcW w:w="2694" w:type="dxa"/>
          </w:tcPr>
          <w:p w14:paraId="30A7A73C" w14:textId="6E434DB6" w:rsidR="00405C1A" w:rsidRPr="00A82AD3" w:rsidRDefault="000250CC" w:rsidP="00A82AD3">
            <w:pPr>
              <w:spacing w:after="0" w:line="240" w:lineRule="auto"/>
              <w:jc w:val="center"/>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2500-2523 / 2620- 2643 MHz</w:t>
            </w:r>
          </w:p>
        </w:tc>
        <w:tc>
          <w:tcPr>
            <w:tcW w:w="5528" w:type="dxa"/>
          </w:tcPr>
          <w:p w14:paraId="2AC76664" w14:textId="09017741" w:rsidR="00405C1A" w:rsidRPr="00A82AD3" w:rsidRDefault="00D02BFF" w:rsidP="00A82AD3">
            <w:pPr>
              <w:spacing w:after="0" w:line="240" w:lineRule="auto"/>
              <w:jc w:val="both"/>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Villahermosa, Cárdenas, Comalcalco, Huimanguillo, Macuspana, Cunduacán, Palenque, Centla, Paraiso, Jalpa de Mendez, Nacajulca, Balancán, Tenosique, Salto del Agua, Reforma, Teapa, Tacoltalpa, Pichucalco, Jalapa, Juárez, Emiliano Zapata, Jonuta, Ostuacán, Amatán,  Catazaja, Ixtacomitán, Ixhuatán, Solosuchiapa, La lIbertad, Ixtapangajoya, Chapultenango, Franciscio Léon, Sunuapa, en los Estados de Tabasco y Chiapas.</w:t>
            </w:r>
          </w:p>
        </w:tc>
      </w:tr>
      <w:tr w:rsidR="00405C1A" w:rsidRPr="00A82AD3" w14:paraId="6821E3A3" w14:textId="77777777" w:rsidTr="00A82AD3">
        <w:trPr>
          <w:jc w:val="center"/>
        </w:trPr>
        <w:tc>
          <w:tcPr>
            <w:tcW w:w="562" w:type="dxa"/>
          </w:tcPr>
          <w:p w14:paraId="6CF6A92B" w14:textId="51D95448" w:rsidR="00405C1A" w:rsidRPr="00A82AD3" w:rsidRDefault="00405C1A" w:rsidP="00A82AD3">
            <w:pPr>
              <w:spacing w:after="0" w:line="240" w:lineRule="auto"/>
              <w:jc w:val="center"/>
              <w:rPr>
                <w:rFonts w:ascii="ITC Avant Garde" w:eastAsia="Times New Roman" w:hAnsi="ITC Avant Garde"/>
                <w:b/>
                <w:sz w:val="16"/>
                <w:szCs w:val="16"/>
                <w:lang w:eastAsia="es-MX"/>
              </w:rPr>
            </w:pPr>
            <w:r w:rsidRPr="00A82AD3">
              <w:rPr>
                <w:rFonts w:ascii="ITC Avant Garde" w:eastAsia="Times New Roman" w:hAnsi="ITC Avant Garde"/>
                <w:b/>
                <w:sz w:val="16"/>
                <w:szCs w:val="16"/>
                <w:lang w:eastAsia="es-MX"/>
              </w:rPr>
              <w:t>42</w:t>
            </w:r>
          </w:p>
        </w:tc>
        <w:tc>
          <w:tcPr>
            <w:tcW w:w="2694" w:type="dxa"/>
          </w:tcPr>
          <w:p w14:paraId="10AC2E45" w14:textId="51FCB755" w:rsidR="00405C1A" w:rsidRPr="00A82AD3" w:rsidRDefault="00D02BFF" w:rsidP="00A82AD3">
            <w:pPr>
              <w:spacing w:after="0" w:line="240" w:lineRule="auto"/>
              <w:jc w:val="center"/>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2500-2530 / 2620- 2650 MHz</w:t>
            </w:r>
          </w:p>
        </w:tc>
        <w:tc>
          <w:tcPr>
            <w:tcW w:w="5528" w:type="dxa"/>
          </w:tcPr>
          <w:p w14:paraId="3877D48C" w14:textId="2786F840" w:rsidR="00405C1A" w:rsidRPr="00A82AD3" w:rsidRDefault="00D02BFF" w:rsidP="00A82AD3">
            <w:pPr>
              <w:spacing w:after="0" w:line="240" w:lineRule="auto"/>
              <w:jc w:val="both"/>
              <w:rPr>
                <w:rFonts w:ascii="ITC Avant Garde" w:hAnsi="ITC Avant Garde"/>
                <w:bCs/>
                <w:color w:val="000000"/>
                <w:sz w:val="16"/>
                <w:szCs w:val="16"/>
                <w:lang w:eastAsia="es-MX"/>
              </w:rPr>
            </w:pPr>
            <w:r w:rsidRPr="00A82AD3">
              <w:rPr>
                <w:rFonts w:ascii="ITC Avant Garde" w:eastAsia="Times New Roman" w:hAnsi="ITC Avant Garde"/>
                <w:sz w:val="16"/>
                <w:szCs w:val="16"/>
                <w:lang w:eastAsia="es-MX"/>
              </w:rPr>
              <w:t>Zamora, La Piedad, Sahuayo, Zacapu, Jacona, Los Reyes, Jiquilpan, Puruandiro, Tangancícuaro, Purepeo, Cotija, Tangamandapio, Chavinda, Ixtlan, Tlazazalca, José Sixto Verduzco, Coeneo, Chilchota, Yurecuaro, Penjamillo, Venustiano Carranza, Villa Mar, Panindicuaro, Pajacuaran, Vista Hermosa, Jiménez Angamacutiro, Peribán, Encuandureo, Tanhuato, Huandacareo, Huaniqueo, Tinguindin, Morelos, Tocumbo, Marcos Castellanos, Cojumatlan de Regules, Churintzio, Numaran, Briseñas y Zinaparo, del Estado de Michoacán.</w:t>
            </w:r>
          </w:p>
        </w:tc>
      </w:tr>
    </w:tbl>
    <w:p w14:paraId="238C0AFA" w14:textId="77777777" w:rsidR="00A82AD3" w:rsidRPr="00A82AD3" w:rsidRDefault="00C85755" w:rsidP="00A82AD3">
      <w:pPr>
        <w:spacing w:before="240" w:line="240" w:lineRule="auto"/>
        <w:jc w:val="both"/>
        <w:rPr>
          <w:rFonts w:ascii="ITC Avant Garde" w:hAnsi="ITC Avant Garde"/>
          <w:bCs/>
          <w:color w:val="000000"/>
          <w:sz w:val="16"/>
          <w:szCs w:val="16"/>
          <w:lang w:eastAsia="es-MX"/>
        </w:rPr>
      </w:pPr>
      <w:r w:rsidRPr="00A82AD3">
        <w:rPr>
          <w:rFonts w:ascii="ITC Avant Garde" w:hAnsi="ITC Avant Garde"/>
          <w:bCs/>
          <w:color w:val="000000"/>
          <w:sz w:val="16"/>
          <w:szCs w:val="16"/>
          <w:lang w:eastAsia="es-MX"/>
        </w:rPr>
        <w:lastRenderedPageBreak/>
        <w:t>*Estos títulos de bandas de frecuencias tienen autorizado, además de los servicios de televisión y audio restringidos, el servicio fijo de transmisión bidireccional de datos.</w:t>
      </w:r>
    </w:p>
    <w:p w14:paraId="34DCE380" w14:textId="77777777" w:rsidR="00A82AD3" w:rsidRPr="00A82AD3" w:rsidRDefault="00B42FD8" w:rsidP="00A82AD3">
      <w:pPr>
        <w:numPr>
          <w:ilvl w:val="0"/>
          <w:numId w:val="1"/>
        </w:numPr>
        <w:spacing w:before="240" w:line="240" w:lineRule="auto"/>
        <w:ind w:left="567" w:hanging="567"/>
        <w:jc w:val="both"/>
        <w:rPr>
          <w:rFonts w:ascii="ITC Avant Garde" w:hAnsi="ITC Avant Garde"/>
          <w:bCs/>
          <w:color w:val="000000"/>
          <w:lang w:eastAsia="es-MX"/>
        </w:rPr>
      </w:pPr>
      <w:r w:rsidRPr="00A82AD3">
        <w:rPr>
          <w:rFonts w:ascii="ITC Avant Garde" w:hAnsi="ITC Avant Garde"/>
          <w:b/>
          <w:bCs/>
          <w:color w:val="000000" w:themeColor="text1"/>
          <w:lang w:eastAsia="es-MX"/>
        </w:rPr>
        <w:t xml:space="preserve">Decreto de Ley. </w:t>
      </w:r>
      <w:r w:rsidRPr="00A82AD3">
        <w:rPr>
          <w:rFonts w:ascii="ITC Avant Garde" w:hAnsi="ITC Avant Garde"/>
          <w:bCs/>
          <w:color w:val="000000" w:themeColor="text1"/>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28B880DE" w14:textId="77777777" w:rsidR="00A82AD3" w:rsidRPr="00A82AD3" w:rsidRDefault="009A5E55" w:rsidP="00A82AD3">
      <w:pPr>
        <w:numPr>
          <w:ilvl w:val="0"/>
          <w:numId w:val="1"/>
        </w:numPr>
        <w:spacing w:before="240" w:line="240" w:lineRule="auto"/>
        <w:ind w:left="567" w:hanging="567"/>
        <w:jc w:val="both"/>
        <w:rPr>
          <w:rFonts w:ascii="ITC Avant Garde" w:hAnsi="ITC Avant Garde"/>
          <w:bCs/>
          <w:color w:val="000000"/>
          <w:lang w:eastAsia="es-MX"/>
        </w:rPr>
      </w:pPr>
      <w:r w:rsidRPr="00A82AD3">
        <w:rPr>
          <w:rFonts w:ascii="ITC Avant Garde" w:hAnsi="ITC Avant Garde" w:cs="Arial"/>
          <w:b/>
          <w:bCs/>
          <w:color w:val="000000"/>
          <w:shd w:val="clear" w:color="auto" w:fill="FFFFFF"/>
        </w:rPr>
        <w:t>Estatuto Orgánico.</w:t>
      </w:r>
      <w:r w:rsidRPr="00A82AD3">
        <w:rPr>
          <w:rStyle w:val="Refdecomentario"/>
          <w:rFonts w:ascii="ITC Avant Garde" w:hAnsi="ITC Avant Garde" w:cs="Arial"/>
          <w:b/>
          <w:bCs/>
          <w:color w:val="000000"/>
          <w:shd w:val="clear" w:color="auto" w:fill="FFFFFF"/>
        </w:rPr>
        <w:t xml:space="preserve"> </w:t>
      </w:r>
      <w:r w:rsidRPr="00A82AD3">
        <w:rPr>
          <w:rFonts w:ascii="ITC Avant Garde" w:hAnsi="ITC Avant Garde"/>
          <w:color w:val="000000"/>
          <w:shd w:val="clear" w:color="auto" w:fill="FFFFFF"/>
        </w:rPr>
        <w:t xml:space="preserve">El 4 de septiembre de 2014, se publicó en el Diario Oficial de la Federación el “Estatuto Orgánico del Instituto Federal de Telecomunicaciones” (el “Estatuto Orgánico”), mismo que entró en vigor el 26 de septiembre de 2014, y fue modificado </w:t>
      </w:r>
      <w:r w:rsidR="00D661E7" w:rsidRPr="00A82AD3">
        <w:rPr>
          <w:rFonts w:ascii="ITC Avant Garde" w:hAnsi="ITC Avant Garde"/>
          <w:color w:val="000000"/>
          <w:shd w:val="clear" w:color="auto" w:fill="FFFFFF"/>
        </w:rPr>
        <w:t xml:space="preserve">por última vez </w:t>
      </w:r>
      <w:r w:rsidRPr="00A82AD3">
        <w:rPr>
          <w:rFonts w:ascii="ITC Avant Garde" w:hAnsi="ITC Avant Garde"/>
          <w:color w:val="000000"/>
          <w:shd w:val="clear" w:color="auto" w:fill="FFFFFF"/>
        </w:rPr>
        <w:t>el 17 de octubre de</w:t>
      </w:r>
      <w:r w:rsidR="00D661E7" w:rsidRPr="00A82AD3">
        <w:rPr>
          <w:rFonts w:ascii="ITC Avant Garde" w:hAnsi="ITC Avant Garde"/>
          <w:color w:val="000000"/>
          <w:shd w:val="clear" w:color="auto" w:fill="FFFFFF"/>
        </w:rPr>
        <w:t xml:space="preserve"> 2016</w:t>
      </w:r>
      <w:r w:rsidRPr="00A82AD3">
        <w:rPr>
          <w:rFonts w:ascii="ITC Avant Garde" w:hAnsi="ITC Avant Garde"/>
          <w:color w:val="000000"/>
          <w:shd w:val="clear" w:color="auto" w:fill="FFFFFF"/>
        </w:rPr>
        <w:t>.</w:t>
      </w:r>
    </w:p>
    <w:p w14:paraId="7DBA6C3E" w14:textId="77777777" w:rsidR="00A82AD3" w:rsidRPr="00A82AD3" w:rsidRDefault="006866E3" w:rsidP="00A82AD3">
      <w:pPr>
        <w:numPr>
          <w:ilvl w:val="0"/>
          <w:numId w:val="1"/>
        </w:numPr>
        <w:spacing w:before="240" w:line="240" w:lineRule="auto"/>
        <w:ind w:left="567" w:hanging="567"/>
        <w:jc w:val="both"/>
        <w:rPr>
          <w:rFonts w:ascii="ITC Avant Garde" w:hAnsi="ITC Avant Garde"/>
          <w:bCs/>
          <w:color w:val="000000"/>
          <w:lang w:eastAsia="es-MX"/>
        </w:rPr>
      </w:pPr>
      <w:r w:rsidRPr="00A82AD3">
        <w:rPr>
          <w:rFonts w:ascii="ITC Avant Garde" w:hAnsi="ITC Avant Garde" w:cs="Arial"/>
          <w:b/>
          <w:bCs/>
          <w:color w:val="000000"/>
          <w:shd w:val="clear" w:color="auto" w:fill="FFFFFF"/>
        </w:rPr>
        <w:t>S</w:t>
      </w:r>
      <w:r w:rsidR="0094562F" w:rsidRPr="00A82AD3">
        <w:rPr>
          <w:rFonts w:ascii="ITC Avant Garde" w:hAnsi="ITC Avant Garde" w:cs="Arial"/>
          <w:b/>
          <w:bCs/>
          <w:color w:val="000000"/>
          <w:shd w:val="clear" w:color="auto" w:fill="FFFFFF"/>
        </w:rPr>
        <w:t xml:space="preserve">olicitud de </w:t>
      </w:r>
      <w:r w:rsidR="009D50D7" w:rsidRPr="00A82AD3">
        <w:rPr>
          <w:rFonts w:ascii="ITC Avant Garde" w:hAnsi="ITC Avant Garde" w:cs="Arial"/>
          <w:b/>
          <w:bCs/>
          <w:color w:val="000000"/>
          <w:shd w:val="clear" w:color="auto" w:fill="FFFFFF"/>
        </w:rPr>
        <w:t>Interrupción de S</w:t>
      </w:r>
      <w:r w:rsidR="0094562F" w:rsidRPr="00A82AD3">
        <w:rPr>
          <w:rFonts w:ascii="ITC Avant Garde" w:hAnsi="ITC Avant Garde" w:cs="Arial"/>
          <w:b/>
          <w:bCs/>
          <w:color w:val="000000"/>
          <w:shd w:val="clear" w:color="auto" w:fill="FFFFFF"/>
        </w:rPr>
        <w:t>ervicios</w:t>
      </w:r>
      <w:r w:rsidRPr="00A82AD3">
        <w:rPr>
          <w:rFonts w:ascii="ITC Avant Garde" w:hAnsi="ITC Avant Garde" w:cs="Arial"/>
          <w:b/>
          <w:bCs/>
          <w:color w:val="000000"/>
          <w:shd w:val="clear" w:color="auto" w:fill="FFFFFF"/>
        </w:rPr>
        <w:t xml:space="preserve">. </w:t>
      </w:r>
      <w:r w:rsidRPr="00A82AD3">
        <w:rPr>
          <w:rFonts w:ascii="ITC Avant Garde" w:hAnsi="ITC Avant Garde" w:cs="Arial"/>
          <w:bCs/>
          <w:color w:val="000000"/>
          <w:shd w:val="clear" w:color="auto" w:fill="FFFFFF"/>
        </w:rPr>
        <w:t xml:space="preserve">Con fecha 4 de septiembre de 2014, </w:t>
      </w:r>
      <w:r w:rsidR="00800C47" w:rsidRPr="00A82AD3">
        <w:rPr>
          <w:rFonts w:ascii="ITC Avant Garde" w:hAnsi="ITC Avant Garde" w:cs="Arial"/>
          <w:bCs/>
          <w:color w:val="000000"/>
          <w:shd w:val="clear" w:color="auto" w:fill="FFFFFF"/>
        </w:rPr>
        <w:t xml:space="preserve">el representante legal de </w:t>
      </w:r>
      <w:r w:rsidRPr="00A82AD3">
        <w:rPr>
          <w:rFonts w:ascii="ITC Avant Garde" w:hAnsi="ITC Avant Garde" w:cs="Arial"/>
          <w:bCs/>
          <w:color w:val="000000"/>
          <w:shd w:val="clear" w:color="auto" w:fill="FFFFFF"/>
        </w:rPr>
        <w:t>MVS Multivisión, S.A. de C.V.</w:t>
      </w:r>
      <w:r w:rsidR="00800C47" w:rsidRPr="00A82AD3">
        <w:rPr>
          <w:rFonts w:ascii="ITC Avant Garde" w:hAnsi="ITC Avant Garde" w:cs="Arial"/>
          <w:bCs/>
          <w:color w:val="000000"/>
          <w:shd w:val="clear" w:color="auto" w:fill="FFFFFF"/>
        </w:rPr>
        <w:t>,</w:t>
      </w:r>
      <w:r w:rsidRPr="00A82AD3">
        <w:rPr>
          <w:rFonts w:ascii="ITC Avant Garde" w:hAnsi="ITC Avant Garde" w:cs="Arial"/>
          <w:bCs/>
          <w:color w:val="000000"/>
          <w:shd w:val="clear" w:color="auto" w:fill="FFFFFF"/>
        </w:rPr>
        <w:t xml:space="preserve"> presentó solicitud de autorización para la interrupción</w:t>
      </w:r>
      <w:r w:rsidR="005864F6" w:rsidRPr="00A82AD3">
        <w:rPr>
          <w:rFonts w:ascii="ITC Avant Garde" w:hAnsi="ITC Avant Garde" w:cs="Arial"/>
          <w:bCs/>
          <w:color w:val="000000"/>
          <w:shd w:val="clear" w:color="auto" w:fill="FFFFFF"/>
        </w:rPr>
        <w:t>,</w:t>
      </w:r>
      <w:r w:rsidRPr="00A82AD3">
        <w:rPr>
          <w:rFonts w:ascii="ITC Avant Garde" w:hAnsi="ITC Avant Garde" w:cs="Arial"/>
          <w:bCs/>
          <w:color w:val="000000"/>
          <w:shd w:val="clear" w:color="auto" w:fill="FFFFFF"/>
        </w:rPr>
        <w:t xml:space="preserve"> </w:t>
      </w:r>
      <w:r w:rsidR="0096669A" w:rsidRPr="00A82AD3">
        <w:rPr>
          <w:rFonts w:ascii="ITC Avant Garde" w:hAnsi="ITC Avant Garde" w:cs="Arial"/>
          <w:bCs/>
          <w:color w:val="000000"/>
          <w:shd w:val="clear" w:color="auto" w:fill="FFFFFF"/>
        </w:rPr>
        <w:t>únicamente</w:t>
      </w:r>
      <w:r w:rsidR="005864F6" w:rsidRPr="00A82AD3">
        <w:rPr>
          <w:rFonts w:ascii="ITC Avant Garde" w:hAnsi="ITC Avant Garde" w:cs="Arial"/>
          <w:bCs/>
          <w:color w:val="000000"/>
          <w:shd w:val="clear" w:color="auto" w:fill="FFFFFF"/>
        </w:rPr>
        <w:t>,</w:t>
      </w:r>
      <w:r w:rsidR="0096669A" w:rsidRPr="00A82AD3">
        <w:rPr>
          <w:rFonts w:ascii="ITC Avant Garde" w:hAnsi="ITC Avant Garde" w:cs="Arial"/>
          <w:bCs/>
          <w:color w:val="000000"/>
          <w:shd w:val="clear" w:color="auto" w:fill="FFFFFF"/>
        </w:rPr>
        <w:t xml:space="preserve"> </w:t>
      </w:r>
      <w:r w:rsidRPr="00A82AD3">
        <w:rPr>
          <w:rFonts w:ascii="ITC Avant Garde" w:hAnsi="ITC Avant Garde" w:cs="Arial"/>
          <w:bCs/>
          <w:color w:val="000000"/>
          <w:shd w:val="clear" w:color="auto" w:fill="FFFFFF"/>
        </w:rPr>
        <w:t xml:space="preserve">de los servicios de televisión y audio restringidos, en </w:t>
      </w:r>
      <w:r w:rsidR="005A3E0F" w:rsidRPr="00A82AD3">
        <w:rPr>
          <w:rFonts w:ascii="ITC Avant Garde" w:hAnsi="ITC Avant Garde" w:cs="Arial"/>
          <w:bCs/>
          <w:color w:val="000000"/>
          <w:shd w:val="clear" w:color="auto" w:fill="FFFFFF"/>
        </w:rPr>
        <w:t>términos de</w:t>
      </w:r>
      <w:r w:rsidRPr="00A82AD3">
        <w:rPr>
          <w:rFonts w:ascii="ITC Avant Garde" w:hAnsi="ITC Avant Garde" w:cs="Arial"/>
          <w:bCs/>
          <w:color w:val="000000"/>
          <w:shd w:val="clear" w:color="auto" w:fill="FFFFFF"/>
        </w:rPr>
        <w:t xml:space="preserve"> lo establecido en la Condici</w:t>
      </w:r>
      <w:r w:rsidR="005A3E0F" w:rsidRPr="00A82AD3">
        <w:rPr>
          <w:rFonts w:ascii="ITC Avant Garde" w:hAnsi="ITC Avant Garde" w:cs="Arial"/>
          <w:bCs/>
          <w:color w:val="000000"/>
          <w:shd w:val="clear" w:color="auto" w:fill="FFFFFF"/>
        </w:rPr>
        <w:t>ón 16</w:t>
      </w:r>
      <w:r w:rsidR="005A3E0F" w:rsidRPr="00A82AD3">
        <w:rPr>
          <w:rFonts w:ascii="ITC Avant Garde" w:hAnsi="ITC Avant Garde"/>
          <w:bCs/>
          <w:color w:val="000000"/>
          <w:lang w:eastAsia="es-MX"/>
        </w:rPr>
        <w:t xml:space="preserve"> “Uso eficiente del espectro”</w:t>
      </w:r>
      <w:r w:rsidRPr="00A82AD3">
        <w:rPr>
          <w:rFonts w:ascii="ITC Avant Garde" w:hAnsi="ITC Avant Garde" w:cs="Arial"/>
          <w:bCs/>
          <w:color w:val="000000"/>
          <w:shd w:val="clear" w:color="auto" w:fill="FFFFFF"/>
        </w:rPr>
        <w:t>de las Concesiones</w:t>
      </w:r>
      <w:r w:rsidR="006152A0" w:rsidRPr="00A82AD3">
        <w:rPr>
          <w:rFonts w:ascii="ITC Avant Garde" w:hAnsi="ITC Avant Garde" w:cs="Arial"/>
          <w:bCs/>
          <w:color w:val="000000"/>
          <w:shd w:val="clear" w:color="auto" w:fill="FFFFFF"/>
        </w:rPr>
        <w:t xml:space="preserve"> (la “Solicitud de Interrupción de Servicios”)</w:t>
      </w:r>
      <w:r w:rsidRPr="00A82AD3">
        <w:rPr>
          <w:rFonts w:ascii="ITC Avant Garde" w:hAnsi="ITC Avant Garde" w:cs="Arial"/>
          <w:bCs/>
          <w:color w:val="000000"/>
          <w:shd w:val="clear" w:color="auto" w:fill="FFFFFF"/>
        </w:rPr>
        <w:t>.</w:t>
      </w:r>
    </w:p>
    <w:p w14:paraId="2B4A827F" w14:textId="77777777" w:rsidR="00A82AD3" w:rsidRPr="00A82AD3" w:rsidRDefault="008D6BD7" w:rsidP="00A82AD3">
      <w:pPr>
        <w:numPr>
          <w:ilvl w:val="0"/>
          <w:numId w:val="1"/>
        </w:numPr>
        <w:spacing w:before="240" w:line="240" w:lineRule="auto"/>
        <w:ind w:left="567" w:hanging="567"/>
        <w:jc w:val="both"/>
        <w:rPr>
          <w:rFonts w:ascii="ITC Avant Garde" w:hAnsi="ITC Avant Garde"/>
          <w:bCs/>
          <w:color w:val="000000"/>
          <w:lang w:eastAsia="es-MX"/>
        </w:rPr>
      </w:pPr>
      <w:r w:rsidRPr="00A82AD3">
        <w:rPr>
          <w:rFonts w:ascii="ITC Avant Garde" w:hAnsi="ITC Avant Garde" w:cs="Arial"/>
          <w:b/>
          <w:bCs/>
          <w:color w:val="000000"/>
          <w:shd w:val="clear" w:color="auto" w:fill="FFFFFF"/>
        </w:rPr>
        <w:t xml:space="preserve">Solicitud de prórroga del plazo para transitar a la concesión única y/u obtener autorización para prestar servicios adicionales. </w:t>
      </w:r>
      <w:r w:rsidRPr="00A82AD3">
        <w:rPr>
          <w:rFonts w:ascii="ITC Avant Garde" w:hAnsi="ITC Avant Garde" w:cs="Arial"/>
          <w:bCs/>
          <w:color w:val="000000"/>
          <w:shd w:val="clear" w:color="auto" w:fill="FFFFFF"/>
        </w:rPr>
        <w:t>El 1 de septiembre de 2016, MVS Multivisión, S.A. de C.V.</w:t>
      </w:r>
      <w:r w:rsidR="00800C47" w:rsidRPr="00A82AD3">
        <w:rPr>
          <w:rFonts w:ascii="ITC Avant Garde" w:hAnsi="ITC Avant Garde" w:cs="Arial"/>
          <w:bCs/>
          <w:color w:val="000000"/>
          <w:shd w:val="clear" w:color="auto" w:fill="FFFFFF"/>
        </w:rPr>
        <w:t>, por conducto de su representante legal,</w:t>
      </w:r>
      <w:r w:rsidRPr="00A82AD3">
        <w:rPr>
          <w:rFonts w:ascii="ITC Avant Garde" w:hAnsi="ITC Avant Garde" w:cs="Arial"/>
          <w:bCs/>
          <w:color w:val="000000"/>
          <w:shd w:val="clear" w:color="auto" w:fill="FFFFFF"/>
        </w:rPr>
        <w:t xml:space="preserve"> solicitó ampliar el plazo para transitar a</w:t>
      </w:r>
      <w:r w:rsidR="0096669A" w:rsidRPr="00A82AD3">
        <w:rPr>
          <w:rFonts w:ascii="ITC Avant Garde" w:hAnsi="ITC Avant Garde" w:cs="Arial"/>
          <w:bCs/>
          <w:color w:val="000000"/>
          <w:shd w:val="clear" w:color="auto" w:fill="FFFFFF"/>
        </w:rPr>
        <w:t xml:space="preserve"> la concesión única y/u obtener</w:t>
      </w:r>
      <w:r w:rsidRPr="00A82AD3">
        <w:rPr>
          <w:rFonts w:ascii="ITC Avant Garde" w:hAnsi="ITC Avant Garde" w:cs="Arial"/>
          <w:bCs/>
          <w:color w:val="000000"/>
          <w:shd w:val="clear" w:color="auto" w:fill="FFFFFF"/>
        </w:rPr>
        <w:t xml:space="preserve"> autorización para prestar servicios adicionales, en términos de lo establecido en la condición 2.1 de las Concesiones.</w:t>
      </w:r>
    </w:p>
    <w:p w14:paraId="2B263FD8" w14:textId="77777777" w:rsidR="00A82AD3" w:rsidRPr="00A82AD3" w:rsidRDefault="00AB2F54" w:rsidP="00A82AD3">
      <w:pPr>
        <w:numPr>
          <w:ilvl w:val="0"/>
          <w:numId w:val="1"/>
        </w:numPr>
        <w:spacing w:before="240" w:line="240" w:lineRule="auto"/>
        <w:ind w:left="567" w:hanging="567"/>
        <w:jc w:val="both"/>
        <w:rPr>
          <w:rFonts w:ascii="ITC Avant Garde" w:hAnsi="ITC Avant Garde"/>
          <w:bCs/>
          <w:color w:val="000000"/>
          <w:lang w:eastAsia="es-MX"/>
        </w:rPr>
      </w:pPr>
      <w:r w:rsidRPr="00A82AD3">
        <w:rPr>
          <w:rFonts w:ascii="ITC Avant Garde" w:hAnsi="ITC Avant Garde"/>
          <w:b/>
          <w:bCs/>
        </w:rPr>
        <w:t xml:space="preserve">Autorización de </w:t>
      </w:r>
      <w:r w:rsidR="008D6BD7" w:rsidRPr="00A82AD3">
        <w:rPr>
          <w:rFonts w:ascii="ITC Avant Garde" w:hAnsi="ITC Avant Garde"/>
          <w:b/>
          <w:bCs/>
        </w:rPr>
        <w:t>prórroga del plazo</w:t>
      </w:r>
      <w:r w:rsidR="00CD0F26" w:rsidRPr="00A82AD3">
        <w:rPr>
          <w:rFonts w:ascii="ITC Avant Garde" w:hAnsi="ITC Avant Garde"/>
          <w:b/>
          <w:bCs/>
        </w:rPr>
        <w:t xml:space="preserve"> para dar cumplimiento</w:t>
      </w:r>
      <w:r w:rsidR="006E36E2" w:rsidRPr="00A82AD3">
        <w:rPr>
          <w:rFonts w:ascii="ITC Avant Garde" w:hAnsi="ITC Avant Garde"/>
          <w:b/>
          <w:bCs/>
        </w:rPr>
        <w:t xml:space="preserve"> la condición </w:t>
      </w:r>
      <w:r w:rsidR="001E7FC5" w:rsidRPr="00A82AD3">
        <w:rPr>
          <w:rFonts w:ascii="ITC Avant Garde" w:hAnsi="ITC Avant Garde"/>
          <w:b/>
          <w:bCs/>
        </w:rPr>
        <w:t>2.1. de las Concesiones</w:t>
      </w:r>
      <w:r w:rsidR="00AD5139" w:rsidRPr="00A82AD3">
        <w:rPr>
          <w:rFonts w:ascii="ITC Avant Garde" w:hAnsi="ITC Avant Garde"/>
          <w:bCs/>
        </w:rPr>
        <w:t xml:space="preserve">. </w:t>
      </w:r>
      <w:r w:rsidR="008B0398" w:rsidRPr="00A82AD3">
        <w:rPr>
          <w:rFonts w:ascii="ITC Avant Garde" w:hAnsi="ITC Avant Garde"/>
          <w:bCs/>
        </w:rPr>
        <w:t>Mediante oficio IFT/223/UCS/2536/2016</w:t>
      </w:r>
      <w:r w:rsidR="008B0398" w:rsidRPr="00A82AD3">
        <w:rPr>
          <w:rFonts w:ascii="ITC Avant Garde" w:hAnsi="ITC Avant Garde"/>
          <w:b/>
          <w:bCs/>
        </w:rPr>
        <w:t xml:space="preserve"> </w:t>
      </w:r>
      <w:r w:rsidR="008B0398" w:rsidRPr="00A82AD3">
        <w:rPr>
          <w:rFonts w:ascii="ITC Avant Garde" w:hAnsi="ITC Avant Garde"/>
          <w:bCs/>
        </w:rPr>
        <w:t>de</w:t>
      </w:r>
      <w:r w:rsidR="00001EC5" w:rsidRPr="00A82AD3">
        <w:rPr>
          <w:rFonts w:ascii="ITC Avant Garde" w:hAnsi="ITC Avant Garde"/>
          <w:bCs/>
        </w:rPr>
        <w:t xml:space="preserve"> fecha </w:t>
      </w:r>
      <w:r w:rsidR="00165E2E" w:rsidRPr="00A82AD3">
        <w:rPr>
          <w:rFonts w:ascii="ITC Avant Garde" w:hAnsi="ITC Avant Garde"/>
          <w:bCs/>
        </w:rPr>
        <w:t>24</w:t>
      </w:r>
      <w:r w:rsidR="00001EC5" w:rsidRPr="00A82AD3">
        <w:rPr>
          <w:rFonts w:ascii="ITC Avant Garde" w:hAnsi="ITC Avant Garde"/>
          <w:bCs/>
        </w:rPr>
        <w:t xml:space="preserve"> de </w:t>
      </w:r>
      <w:r w:rsidR="00165E2E" w:rsidRPr="00A82AD3">
        <w:rPr>
          <w:rFonts w:ascii="ITC Avant Garde" w:hAnsi="ITC Avant Garde"/>
          <w:bCs/>
        </w:rPr>
        <w:t>novi</w:t>
      </w:r>
      <w:r w:rsidR="00001EC5" w:rsidRPr="00A82AD3">
        <w:rPr>
          <w:rFonts w:ascii="ITC Avant Garde" w:hAnsi="ITC Avant Garde"/>
          <w:bCs/>
        </w:rPr>
        <w:t>embre de 2016, e</w:t>
      </w:r>
      <w:r w:rsidR="007A2AC7" w:rsidRPr="00A82AD3">
        <w:rPr>
          <w:rFonts w:ascii="ITC Avant Garde" w:hAnsi="ITC Avant Garde"/>
          <w:bCs/>
        </w:rPr>
        <w:t>l Instituto autorizó</w:t>
      </w:r>
      <w:r w:rsidR="00165E2E" w:rsidRPr="00A82AD3">
        <w:rPr>
          <w:rFonts w:ascii="ITC Avant Garde" w:hAnsi="ITC Avant Garde"/>
          <w:bCs/>
        </w:rPr>
        <w:t xml:space="preserve"> a </w:t>
      </w:r>
      <w:r w:rsidR="00001EC5" w:rsidRPr="00A82AD3">
        <w:rPr>
          <w:rFonts w:ascii="ITC Avant Garde" w:hAnsi="ITC Avant Garde"/>
          <w:bCs/>
        </w:rPr>
        <w:t>MVS Multivisión, S.A. de C.V.,</w:t>
      </w:r>
      <w:r w:rsidR="00E45454" w:rsidRPr="00A82AD3">
        <w:rPr>
          <w:rFonts w:ascii="ITC Avant Garde" w:hAnsi="ITC Avant Garde"/>
          <w:bCs/>
        </w:rPr>
        <w:t xml:space="preserve"> </w:t>
      </w:r>
      <w:r w:rsidR="007A2AC7" w:rsidRPr="00A82AD3">
        <w:rPr>
          <w:rFonts w:ascii="ITC Avant Garde" w:hAnsi="ITC Avant Garde"/>
        </w:rPr>
        <w:t>la</w:t>
      </w:r>
      <w:r w:rsidR="0096669A" w:rsidRPr="00A82AD3">
        <w:rPr>
          <w:rFonts w:ascii="ITC Avant Garde" w:hAnsi="ITC Avant Garde"/>
        </w:rPr>
        <w:t xml:space="preserve"> ampliación del plazo solicitado</w:t>
      </w:r>
      <w:r w:rsidR="007A2AC7" w:rsidRPr="00A82AD3">
        <w:rPr>
          <w:rFonts w:ascii="ITC Avant Garde" w:hAnsi="ITC Avant Garde"/>
        </w:rPr>
        <w:t>,</w:t>
      </w:r>
      <w:r w:rsidR="00E45454" w:rsidRPr="00A82AD3">
        <w:rPr>
          <w:rFonts w:ascii="ITC Avant Garde" w:hAnsi="ITC Avant Garde"/>
        </w:rPr>
        <w:t xml:space="preserve"> en atención a lo </w:t>
      </w:r>
      <w:r w:rsidR="00E45454" w:rsidRPr="00A82AD3">
        <w:rPr>
          <w:rFonts w:ascii="ITC Avant Garde" w:hAnsi="ITC Avant Garde"/>
          <w:color w:val="000000"/>
          <w:lang w:eastAsia="es-MX"/>
        </w:rPr>
        <w:t>señalado en la condición 2.1</w:t>
      </w:r>
      <w:r w:rsidR="002E377A" w:rsidRPr="00A82AD3">
        <w:rPr>
          <w:rFonts w:ascii="ITC Avant Garde" w:hAnsi="ITC Avant Garde"/>
          <w:color w:val="000000"/>
          <w:lang w:eastAsia="es-MX"/>
        </w:rPr>
        <w:t>.</w:t>
      </w:r>
      <w:r w:rsidR="00E45454" w:rsidRPr="00A82AD3">
        <w:rPr>
          <w:rFonts w:ascii="ITC Avant Garde" w:hAnsi="ITC Avant Garde"/>
          <w:color w:val="000000"/>
          <w:lang w:eastAsia="es-MX"/>
        </w:rPr>
        <w:t xml:space="preserve"> </w:t>
      </w:r>
      <w:r w:rsidR="00CD0F26" w:rsidRPr="00A82AD3">
        <w:rPr>
          <w:rFonts w:ascii="ITC Avant Garde" w:hAnsi="ITC Avant Garde"/>
          <w:color w:val="000000"/>
          <w:lang w:eastAsia="es-MX"/>
        </w:rPr>
        <w:t>de las Concesiones</w:t>
      </w:r>
      <w:r w:rsidR="0096669A" w:rsidRPr="00A82AD3">
        <w:rPr>
          <w:rFonts w:ascii="ITC Avant Garde" w:hAnsi="ITC Avant Garde"/>
          <w:color w:val="000000"/>
          <w:lang w:eastAsia="es-MX"/>
        </w:rPr>
        <w:t>.</w:t>
      </w:r>
    </w:p>
    <w:p w14:paraId="4C865838" w14:textId="77777777" w:rsidR="00A82AD3" w:rsidRPr="00A82AD3" w:rsidRDefault="003C05C1" w:rsidP="00A82AD3">
      <w:pPr>
        <w:pStyle w:val="Prrafodelista"/>
        <w:numPr>
          <w:ilvl w:val="0"/>
          <w:numId w:val="1"/>
        </w:numPr>
        <w:spacing w:before="240" w:after="200"/>
        <w:ind w:left="567" w:hanging="567"/>
        <w:jc w:val="both"/>
        <w:rPr>
          <w:rFonts w:ascii="ITC Avant Garde" w:hAnsi="ITC Avant Garde"/>
          <w:bCs/>
          <w:color w:val="000000"/>
          <w:lang w:val="es-MX" w:eastAsia="es-MX"/>
        </w:rPr>
      </w:pPr>
      <w:r w:rsidRPr="00A82AD3">
        <w:rPr>
          <w:rFonts w:ascii="ITC Avant Garde" w:hAnsi="ITC Avant Garde"/>
          <w:b/>
          <w:bCs/>
          <w:color w:val="000000"/>
          <w:sz w:val="22"/>
          <w:szCs w:val="22"/>
          <w:lang w:val="es-MX" w:eastAsia="es-MX"/>
        </w:rPr>
        <w:t>Modificación</w:t>
      </w:r>
      <w:r w:rsidR="00D355D6" w:rsidRPr="00A82AD3">
        <w:rPr>
          <w:rFonts w:ascii="ITC Avant Garde" w:hAnsi="ITC Avant Garde"/>
          <w:b/>
          <w:bCs/>
          <w:color w:val="000000"/>
          <w:sz w:val="22"/>
          <w:szCs w:val="22"/>
          <w:lang w:val="es-MX" w:eastAsia="es-MX"/>
        </w:rPr>
        <w:t xml:space="preserve"> de </w:t>
      </w:r>
      <w:r w:rsidRPr="00A82AD3">
        <w:rPr>
          <w:rFonts w:ascii="ITC Avant Garde" w:hAnsi="ITC Avant Garde"/>
          <w:b/>
          <w:bCs/>
          <w:color w:val="000000"/>
          <w:sz w:val="22"/>
          <w:szCs w:val="22"/>
          <w:lang w:val="es-MX" w:eastAsia="es-MX"/>
        </w:rPr>
        <w:t>la D</w:t>
      </w:r>
      <w:r w:rsidR="00D355D6" w:rsidRPr="00A82AD3">
        <w:rPr>
          <w:rFonts w:ascii="ITC Avant Garde" w:hAnsi="ITC Avant Garde"/>
          <w:b/>
          <w:bCs/>
          <w:color w:val="000000"/>
          <w:sz w:val="22"/>
          <w:szCs w:val="22"/>
          <w:lang w:val="es-MX" w:eastAsia="es-MX"/>
        </w:rPr>
        <w:t>enominación</w:t>
      </w:r>
      <w:r w:rsidR="00BA215C" w:rsidRPr="00A82AD3">
        <w:rPr>
          <w:rFonts w:ascii="ITC Avant Garde" w:hAnsi="ITC Avant Garde"/>
          <w:b/>
          <w:bCs/>
          <w:color w:val="000000"/>
          <w:sz w:val="22"/>
          <w:szCs w:val="22"/>
          <w:lang w:val="es-MX" w:eastAsia="es-MX"/>
        </w:rPr>
        <w:t xml:space="preserve"> So</w:t>
      </w:r>
      <w:r w:rsidRPr="00A82AD3">
        <w:rPr>
          <w:rFonts w:ascii="ITC Avant Garde" w:hAnsi="ITC Avant Garde"/>
          <w:b/>
          <w:bCs/>
          <w:color w:val="000000"/>
          <w:sz w:val="22"/>
          <w:szCs w:val="22"/>
          <w:lang w:val="es-MX" w:eastAsia="es-MX"/>
        </w:rPr>
        <w:t>cial</w:t>
      </w:r>
      <w:r w:rsidR="00D355D6" w:rsidRPr="00A82AD3">
        <w:rPr>
          <w:rFonts w:ascii="ITC Avant Garde" w:hAnsi="ITC Avant Garde"/>
          <w:b/>
          <w:bCs/>
          <w:color w:val="000000"/>
          <w:sz w:val="22"/>
          <w:szCs w:val="22"/>
          <w:lang w:val="es-MX" w:eastAsia="es-MX"/>
        </w:rPr>
        <w:t>.</w:t>
      </w:r>
      <w:r w:rsidRPr="00A82AD3">
        <w:rPr>
          <w:rFonts w:ascii="ITC Avant Garde" w:hAnsi="ITC Avant Garde"/>
          <w:bCs/>
          <w:color w:val="000000"/>
          <w:sz w:val="22"/>
          <w:szCs w:val="22"/>
          <w:lang w:val="es-MX" w:eastAsia="es-MX"/>
        </w:rPr>
        <w:t xml:space="preserve"> Mediante oficio IFT/223/UCS/DG-CTEL/2850/2016 de fecha 28 de noviembre de 2016, la Unidad de Concesiones y Servicios</w:t>
      </w:r>
      <w:r w:rsidR="000663E6" w:rsidRPr="00A82AD3">
        <w:rPr>
          <w:rFonts w:ascii="ITC Avant Garde" w:hAnsi="ITC Avant Garde"/>
          <w:bCs/>
          <w:color w:val="000000"/>
          <w:sz w:val="22"/>
          <w:szCs w:val="22"/>
          <w:lang w:val="es-MX" w:eastAsia="es-MX"/>
        </w:rPr>
        <w:t>, a través de la Dirección General de Concesiones de Telecomunicaciones,</w:t>
      </w:r>
      <w:r w:rsidR="00C150FF" w:rsidRPr="00A82AD3">
        <w:rPr>
          <w:rFonts w:ascii="ITC Avant Garde" w:eastAsia="Calibri" w:hAnsi="ITC Avant Garde"/>
          <w:bCs/>
          <w:color w:val="000000"/>
          <w:sz w:val="22"/>
          <w:szCs w:val="22"/>
          <w:lang w:val="es-MX" w:eastAsia="es-MX"/>
        </w:rPr>
        <w:t xml:space="preserve"> </w:t>
      </w:r>
      <w:r w:rsidR="00C150FF" w:rsidRPr="00A82AD3">
        <w:rPr>
          <w:rFonts w:ascii="ITC Avant Garde" w:hAnsi="ITC Avant Garde"/>
          <w:bCs/>
          <w:color w:val="000000"/>
          <w:sz w:val="22"/>
          <w:szCs w:val="22"/>
          <w:lang w:val="es-MX" w:eastAsia="es-MX"/>
        </w:rPr>
        <w:t>tomó nota de la modificación de los estatutos sociales de la empresa MVS Multivisión, S.</w:t>
      </w:r>
      <w:r w:rsidR="009F1242" w:rsidRPr="00A82AD3">
        <w:rPr>
          <w:rFonts w:ascii="ITC Avant Garde" w:hAnsi="ITC Avant Garde"/>
          <w:bCs/>
          <w:color w:val="000000"/>
          <w:sz w:val="22"/>
          <w:szCs w:val="22"/>
          <w:lang w:val="es-MX" w:eastAsia="es-MX"/>
        </w:rPr>
        <w:t>A</w:t>
      </w:r>
      <w:r w:rsidR="00C150FF" w:rsidRPr="00A82AD3">
        <w:rPr>
          <w:rFonts w:ascii="ITC Avant Garde" w:hAnsi="ITC Avant Garde"/>
          <w:bCs/>
          <w:color w:val="000000"/>
          <w:sz w:val="22"/>
          <w:szCs w:val="22"/>
          <w:lang w:val="es-MX" w:eastAsia="es-MX"/>
        </w:rPr>
        <w:t xml:space="preserve">. de C.V., consistente en el cambio de denominación social de </w:t>
      </w:r>
      <w:r w:rsidR="009F1242" w:rsidRPr="00A82AD3">
        <w:rPr>
          <w:rFonts w:ascii="ITC Avant Garde" w:hAnsi="ITC Avant Garde"/>
          <w:bCs/>
          <w:color w:val="000000"/>
          <w:sz w:val="22"/>
          <w:szCs w:val="22"/>
          <w:lang w:val="es-MX" w:eastAsia="es-MX"/>
        </w:rPr>
        <w:t>MVS Multivisión, S.A. de C.V.,</w:t>
      </w:r>
      <w:r w:rsidR="00C150FF" w:rsidRPr="00A82AD3">
        <w:rPr>
          <w:rFonts w:ascii="ITC Avant Garde" w:hAnsi="ITC Avant Garde"/>
          <w:bCs/>
          <w:color w:val="000000"/>
          <w:sz w:val="22"/>
          <w:szCs w:val="22"/>
          <w:lang w:val="es-MX" w:eastAsia="es-MX"/>
        </w:rPr>
        <w:t xml:space="preserve"> para quedar como </w:t>
      </w:r>
      <w:r w:rsidR="009F1242" w:rsidRPr="00A82AD3">
        <w:rPr>
          <w:rFonts w:ascii="ITC Avant Garde" w:hAnsi="ITC Avant Garde"/>
          <w:bCs/>
          <w:color w:val="000000"/>
          <w:sz w:val="22"/>
          <w:szCs w:val="22"/>
          <w:lang w:val="es-MX" w:eastAsia="es-MX"/>
        </w:rPr>
        <w:t>DIGICRD, S.A. de C.V.</w:t>
      </w:r>
    </w:p>
    <w:p w14:paraId="0704E8A5" w14:textId="77777777" w:rsidR="00A82AD3" w:rsidRPr="00A82AD3" w:rsidRDefault="009A5E55" w:rsidP="00A82AD3">
      <w:pPr>
        <w:numPr>
          <w:ilvl w:val="0"/>
          <w:numId w:val="1"/>
        </w:numPr>
        <w:spacing w:before="240" w:line="240" w:lineRule="auto"/>
        <w:ind w:left="567" w:hanging="567"/>
        <w:jc w:val="both"/>
        <w:rPr>
          <w:rFonts w:ascii="ITC Avant Garde" w:hAnsi="ITC Avant Garde"/>
          <w:bCs/>
          <w:color w:val="000000"/>
          <w:lang w:eastAsia="es-MX"/>
        </w:rPr>
      </w:pPr>
      <w:r w:rsidRPr="00A82AD3">
        <w:rPr>
          <w:rFonts w:ascii="ITC Avant Garde" w:hAnsi="ITC Avant Garde"/>
          <w:b/>
          <w:bCs/>
        </w:rPr>
        <w:t xml:space="preserve">Solicitud de </w:t>
      </w:r>
      <w:r w:rsidR="0048765D" w:rsidRPr="00A82AD3">
        <w:rPr>
          <w:rFonts w:ascii="ITC Avant Garde" w:hAnsi="ITC Avant Garde"/>
          <w:b/>
          <w:bCs/>
        </w:rPr>
        <w:t>A</w:t>
      </w:r>
      <w:r w:rsidR="00250695" w:rsidRPr="00A82AD3">
        <w:rPr>
          <w:rFonts w:ascii="ITC Avant Garde" w:hAnsi="ITC Avant Garde"/>
          <w:b/>
          <w:bCs/>
        </w:rPr>
        <w:t xml:space="preserve">utorización para prestar </w:t>
      </w:r>
      <w:r w:rsidR="0048765D" w:rsidRPr="00A82AD3">
        <w:rPr>
          <w:rFonts w:ascii="ITC Avant Garde" w:hAnsi="ITC Avant Garde"/>
          <w:b/>
          <w:bCs/>
        </w:rPr>
        <w:t>Servicios A</w:t>
      </w:r>
      <w:r w:rsidR="00250695" w:rsidRPr="00A82AD3">
        <w:rPr>
          <w:rFonts w:ascii="ITC Avant Garde" w:hAnsi="ITC Avant Garde"/>
          <w:b/>
          <w:bCs/>
        </w:rPr>
        <w:t>dicionales</w:t>
      </w:r>
      <w:r w:rsidRPr="00A82AD3">
        <w:rPr>
          <w:rFonts w:ascii="ITC Avant Garde" w:hAnsi="ITC Avant Garde"/>
          <w:b/>
          <w:bCs/>
        </w:rPr>
        <w:t xml:space="preserve">. </w:t>
      </w:r>
      <w:r w:rsidRPr="00A82AD3">
        <w:rPr>
          <w:rFonts w:ascii="ITC Avant Garde" w:hAnsi="ITC Avant Garde"/>
          <w:bCs/>
        </w:rPr>
        <w:t>Con fecha</w:t>
      </w:r>
      <w:r w:rsidRPr="00A82AD3">
        <w:rPr>
          <w:rFonts w:ascii="ITC Avant Garde" w:hAnsi="ITC Avant Garde"/>
          <w:color w:val="000000"/>
          <w:lang w:eastAsia="es-MX"/>
        </w:rPr>
        <w:t xml:space="preserve"> </w:t>
      </w:r>
      <w:r w:rsidR="007A6C16" w:rsidRPr="00A82AD3">
        <w:rPr>
          <w:rFonts w:ascii="ITC Avant Garde" w:hAnsi="ITC Avant Garde"/>
          <w:color w:val="000000"/>
          <w:lang w:eastAsia="es-MX"/>
        </w:rPr>
        <w:t>28</w:t>
      </w:r>
      <w:r w:rsidR="00F40131" w:rsidRPr="00A82AD3">
        <w:rPr>
          <w:rFonts w:ascii="ITC Avant Garde" w:hAnsi="ITC Avant Garde"/>
          <w:color w:val="000000"/>
          <w:lang w:eastAsia="es-MX"/>
        </w:rPr>
        <w:t xml:space="preserve"> de </w:t>
      </w:r>
      <w:r w:rsidR="007A6C16" w:rsidRPr="00A82AD3">
        <w:rPr>
          <w:rFonts w:ascii="ITC Avant Garde" w:hAnsi="ITC Avant Garde"/>
          <w:color w:val="000000"/>
          <w:lang w:eastAsia="es-MX"/>
        </w:rPr>
        <w:t>nov</w:t>
      </w:r>
      <w:r w:rsidR="00F40131" w:rsidRPr="00A82AD3">
        <w:rPr>
          <w:rFonts w:ascii="ITC Avant Garde" w:hAnsi="ITC Avant Garde"/>
          <w:color w:val="000000"/>
          <w:lang w:eastAsia="es-MX"/>
        </w:rPr>
        <w:t>iembre</w:t>
      </w:r>
      <w:r w:rsidRPr="00A82AD3">
        <w:rPr>
          <w:rFonts w:ascii="ITC Avant Garde" w:hAnsi="ITC Avant Garde"/>
        </w:rPr>
        <w:t xml:space="preserve"> de 2016,</w:t>
      </w:r>
      <w:r w:rsidR="00CB52BC" w:rsidRPr="00A82AD3">
        <w:rPr>
          <w:rFonts w:ascii="ITC Avant Garde" w:hAnsi="ITC Avant Garde"/>
        </w:rPr>
        <w:t xml:space="preserve"> el representante legal de</w:t>
      </w:r>
      <w:r w:rsidRPr="00A82AD3">
        <w:rPr>
          <w:rFonts w:ascii="ITC Avant Garde" w:hAnsi="ITC Avant Garde"/>
          <w:color w:val="000000"/>
          <w:lang w:eastAsia="es-MX"/>
        </w:rPr>
        <w:t xml:space="preserve"> </w:t>
      </w:r>
      <w:r w:rsidR="00D4443F" w:rsidRPr="00A82AD3">
        <w:rPr>
          <w:rFonts w:ascii="ITC Avant Garde" w:hAnsi="ITC Avant Garde"/>
          <w:color w:val="000000"/>
          <w:lang w:eastAsia="es-MX"/>
        </w:rPr>
        <w:t>DIGICRD, S.A. de C.V.</w:t>
      </w:r>
      <w:r w:rsidRPr="00A82AD3">
        <w:rPr>
          <w:rFonts w:ascii="ITC Avant Garde" w:hAnsi="ITC Avant Garde"/>
        </w:rPr>
        <w:t xml:space="preserve"> </w:t>
      </w:r>
      <w:r w:rsidR="00950E13" w:rsidRPr="00A82AD3">
        <w:rPr>
          <w:rFonts w:ascii="ITC Avant Garde" w:hAnsi="ITC Avant Garde"/>
          <w:color w:val="000000"/>
          <w:lang w:eastAsia="es-MX"/>
        </w:rPr>
        <w:t xml:space="preserve">solicitó autorización </w:t>
      </w:r>
      <w:r w:rsidR="002C60C7" w:rsidRPr="00A82AD3">
        <w:rPr>
          <w:rFonts w:ascii="ITC Avant Garde" w:hAnsi="ITC Avant Garde"/>
          <w:color w:val="000000"/>
          <w:lang w:eastAsia="es-MX"/>
        </w:rPr>
        <w:t xml:space="preserve">para prestar </w:t>
      </w:r>
      <w:r w:rsidR="000663E6" w:rsidRPr="00A82AD3">
        <w:rPr>
          <w:rFonts w:ascii="ITC Avant Garde" w:hAnsi="ITC Avant Garde"/>
          <w:bCs/>
          <w:color w:val="000000"/>
          <w:lang w:eastAsia="es-MX"/>
        </w:rPr>
        <w:t>el servicio adicional de acceso inalámbrico</w:t>
      </w:r>
      <w:r w:rsidR="002C60C7" w:rsidRPr="00A82AD3">
        <w:rPr>
          <w:rFonts w:ascii="ITC Avant Garde" w:hAnsi="ITC Avant Garde"/>
          <w:bCs/>
          <w:color w:val="000000"/>
          <w:lang w:eastAsia="es-MX"/>
        </w:rPr>
        <w:t xml:space="preserve"> respecto de </w:t>
      </w:r>
      <w:r w:rsidR="00D355D6" w:rsidRPr="00A82AD3">
        <w:rPr>
          <w:rFonts w:ascii="ITC Avant Garde" w:hAnsi="ITC Avant Garde"/>
          <w:bCs/>
          <w:color w:val="000000"/>
          <w:lang w:eastAsia="es-MX"/>
        </w:rPr>
        <w:lastRenderedPageBreak/>
        <w:t>las Concesiones</w:t>
      </w:r>
      <w:r w:rsidR="002C60C7" w:rsidRPr="00A82AD3">
        <w:rPr>
          <w:rFonts w:ascii="ITC Avant Garde" w:hAnsi="ITC Avant Garde"/>
          <w:bCs/>
          <w:color w:val="000000"/>
          <w:lang w:eastAsia="es-MX"/>
        </w:rPr>
        <w:t>. Lo anterior</w:t>
      </w:r>
      <w:r w:rsidR="004132A6" w:rsidRPr="00A82AD3">
        <w:rPr>
          <w:rFonts w:ascii="ITC Avant Garde" w:hAnsi="ITC Avant Garde"/>
          <w:bCs/>
          <w:color w:val="000000"/>
          <w:lang w:eastAsia="es-MX"/>
        </w:rPr>
        <w:t>,</w:t>
      </w:r>
      <w:r w:rsidR="002C60C7" w:rsidRPr="00A82AD3">
        <w:rPr>
          <w:rFonts w:ascii="ITC Avant Garde" w:hAnsi="ITC Avant Garde"/>
          <w:bCs/>
          <w:color w:val="000000"/>
          <w:lang w:eastAsia="es-MX"/>
        </w:rPr>
        <w:t xml:space="preserve"> en </w:t>
      </w:r>
      <w:r w:rsidR="004132A6" w:rsidRPr="00A82AD3">
        <w:rPr>
          <w:rFonts w:ascii="ITC Avant Garde" w:hAnsi="ITC Avant Garde"/>
          <w:bCs/>
          <w:color w:val="000000"/>
          <w:lang w:eastAsia="es-MX"/>
        </w:rPr>
        <w:t>términos de</w:t>
      </w:r>
      <w:r w:rsidR="002C60C7" w:rsidRPr="00A82AD3">
        <w:rPr>
          <w:rFonts w:ascii="ITC Avant Garde" w:hAnsi="ITC Avant Garde"/>
          <w:bCs/>
          <w:color w:val="000000"/>
          <w:lang w:eastAsia="es-MX"/>
        </w:rPr>
        <w:t xml:space="preserve"> </w:t>
      </w:r>
      <w:r w:rsidR="000663E6" w:rsidRPr="00A82AD3">
        <w:rPr>
          <w:rFonts w:ascii="ITC Avant Garde" w:hAnsi="ITC Avant Garde"/>
          <w:bCs/>
          <w:color w:val="000000"/>
          <w:lang w:eastAsia="es-MX"/>
        </w:rPr>
        <w:t>lo establecido en la C</w:t>
      </w:r>
      <w:r w:rsidR="004132A6" w:rsidRPr="00A82AD3">
        <w:rPr>
          <w:rFonts w:ascii="ITC Avant Garde" w:hAnsi="ITC Avant Garde"/>
          <w:bCs/>
          <w:color w:val="000000"/>
          <w:lang w:eastAsia="es-MX"/>
        </w:rPr>
        <w:t xml:space="preserve">ondición </w:t>
      </w:r>
      <w:r w:rsidR="002C60C7" w:rsidRPr="00A82AD3">
        <w:rPr>
          <w:rFonts w:ascii="ITC Avant Garde" w:hAnsi="ITC Avant Garde"/>
          <w:bCs/>
          <w:color w:val="000000"/>
          <w:lang w:eastAsia="es-MX"/>
        </w:rPr>
        <w:t xml:space="preserve">2.1. </w:t>
      </w:r>
      <w:r w:rsidR="000663E6" w:rsidRPr="00A82AD3">
        <w:rPr>
          <w:rFonts w:ascii="ITC Avant Garde" w:hAnsi="ITC Avant Garde"/>
          <w:bCs/>
          <w:color w:val="000000"/>
          <w:lang w:eastAsia="es-MX"/>
        </w:rPr>
        <w:t xml:space="preserve">denominada </w:t>
      </w:r>
      <w:r w:rsidR="004132A6" w:rsidRPr="00A82AD3">
        <w:rPr>
          <w:rFonts w:ascii="ITC Avant Garde" w:hAnsi="ITC Avant Garde"/>
          <w:bCs/>
          <w:color w:val="000000"/>
          <w:lang w:eastAsia="es-MX"/>
        </w:rPr>
        <w:t>“</w:t>
      </w:r>
      <w:r w:rsidR="002C60C7" w:rsidRPr="00A82AD3">
        <w:rPr>
          <w:rFonts w:ascii="ITC Avant Garde" w:hAnsi="ITC Avant Garde"/>
          <w:bCs/>
          <w:color w:val="000000"/>
          <w:lang w:eastAsia="es-MX"/>
        </w:rPr>
        <w:t xml:space="preserve">Servicios Adicionales” de </w:t>
      </w:r>
      <w:r w:rsidR="004132A6" w:rsidRPr="00A82AD3">
        <w:rPr>
          <w:rFonts w:ascii="ITC Avant Garde" w:hAnsi="ITC Avant Garde"/>
          <w:bCs/>
          <w:color w:val="000000"/>
          <w:lang w:eastAsia="es-MX"/>
        </w:rPr>
        <w:t xml:space="preserve">dichas </w:t>
      </w:r>
      <w:r w:rsidR="00800C47" w:rsidRPr="00A82AD3">
        <w:rPr>
          <w:rFonts w:ascii="ITC Avant Garde" w:hAnsi="ITC Avant Garde"/>
          <w:bCs/>
          <w:color w:val="000000"/>
          <w:lang w:eastAsia="es-MX"/>
        </w:rPr>
        <w:t>C</w:t>
      </w:r>
      <w:r w:rsidR="004132A6" w:rsidRPr="00A82AD3">
        <w:rPr>
          <w:rFonts w:ascii="ITC Avant Garde" w:hAnsi="ITC Avant Garde"/>
          <w:bCs/>
          <w:color w:val="000000"/>
          <w:lang w:eastAsia="es-MX"/>
        </w:rPr>
        <w:t>oncesiones</w:t>
      </w:r>
      <w:r w:rsidR="00950E13" w:rsidRPr="00A82AD3">
        <w:rPr>
          <w:rFonts w:ascii="ITC Avant Garde" w:hAnsi="ITC Avant Garde"/>
        </w:rPr>
        <w:t xml:space="preserve">. </w:t>
      </w:r>
    </w:p>
    <w:p w14:paraId="3A6D60CF" w14:textId="58F340AC" w:rsidR="00A82AD3" w:rsidRPr="00A82AD3" w:rsidRDefault="00D71999" w:rsidP="00A82AD3">
      <w:pPr>
        <w:numPr>
          <w:ilvl w:val="0"/>
          <w:numId w:val="1"/>
        </w:numPr>
        <w:spacing w:before="240" w:line="240" w:lineRule="auto"/>
        <w:ind w:left="567" w:hanging="567"/>
        <w:jc w:val="both"/>
        <w:rPr>
          <w:rFonts w:ascii="ITC Avant Garde" w:hAnsi="ITC Avant Garde"/>
          <w:b/>
          <w:bCs/>
          <w:color w:val="000000"/>
          <w:lang w:eastAsia="es-MX"/>
        </w:rPr>
      </w:pPr>
      <w:r w:rsidRPr="00A82AD3">
        <w:rPr>
          <w:rFonts w:ascii="ITC Avant Garde" w:hAnsi="ITC Avant Garde"/>
          <w:b/>
          <w:bCs/>
          <w:color w:val="000000"/>
          <w:lang w:eastAsia="es-MX"/>
        </w:rPr>
        <w:t>Reiteración de Solicitud de Interrupción de S</w:t>
      </w:r>
      <w:r w:rsidR="006866E3" w:rsidRPr="00A82AD3">
        <w:rPr>
          <w:rFonts w:ascii="ITC Avant Garde" w:hAnsi="ITC Avant Garde"/>
          <w:b/>
          <w:bCs/>
          <w:color w:val="000000"/>
          <w:lang w:eastAsia="es-MX"/>
        </w:rPr>
        <w:t xml:space="preserve">ervicios. </w:t>
      </w:r>
      <w:r w:rsidR="006866E3" w:rsidRPr="00A82AD3">
        <w:rPr>
          <w:rFonts w:ascii="ITC Avant Garde" w:hAnsi="ITC Avant Garde"/>
          <w:bCs/>
          <w:color w:val="000000"/>
          <w:lang w:eastAsia="es-MX"/>
        </w:rPr>
        <w:t xml:space="preserve">Con fecha 24 de enero de 2017, DIGICRD, S.A. de C.V. reiteró al Instituto </w:t>
      </w:r>
      <w:r w:rsidR="006152A0" w:rsidRPr="00A82AD3">
        <w:rPr>
          <w:rFonts w:ascii="ITC Avant Garde" w:hAnsi="ITC Avant Garde"/>
          <w:bCs/>
          <w:color w:val="000000"/>
          <w:lang w:eastAsia="es-MX"/>
        </w:rPr>
        <w:t>la S</w:t>
      </w:r>
      <w:r w:rsidR="006866E3" w:rsidRPr="00A82AD3">
        <w:rPr>
          <w:rFonts w:ascii="ITC Avant Garde" w:hAnsi="ITC Avant Garde"/>
          <w:bCs/>
          <w:color w:val="000000"/>
          <w:lang w:eastAsia="es-MX"/>
        </w:rPr>
        <w:t xml:space="preserve">olicitud de </w:t>
      </w:r>
      <w:r w:rsidR="006152A0" w:rsidRPr="00A82AD3">
        <w:rPr>
          <w:rFonts w:ascii="ITC Avant Garde" w:hAnsi="ITC Avant Garde"/>
          <w:bCs/>
          <w:color w:val="000000"/>
          <w:lang w:eastAsia="es-MX"/>
        </w:rPr>
        <w:t>I</w:t>
      </w:r>
      <w:r w:rsidR="006866E3" w:rsidRPr="00A82AD3">
        <w:rPr>
          <w:rFonts w:ascii="ITC Avant Garde" w:hAnsi="ITC Avant Garde"/>
          <w:bCs/>
          <w:color w:val="000000"/>
          <w:lang w:eastAsia="es-MX"/>
        </w:rPr>
        <w:t xml:space="preserve">nterrupción de </w:t>
      </w:r>
      <w:r w:rsidR="006152A0" w:rsidRPr="00A82AD3">
        <w:rPr>
          <w:rFonts w:ascii="ITC Avant Garde" w:hAnsi="ITC Avant Garde"/>
          <w:bCs/>
          <w:color w:val="000000"/>
          <w:lang w:eastAsia="es-MX"/>
        </w:rPr>
        <w:t>S</w:t>
      </w:r>
      <w:r w:rsidR="006866E3" w:rsidRPr="00A82AD3">
        <w:rPr>
          <w:rFonts w:ascii="ITC Avant Garde" w:hAnsi="ITC Avant Garde"/>
          <w:bCs/>
          <w:color w:val="000000"/>
          <w:lang w:eastAsia="es-MX"/>
        </w:rPr>
        <w:t>ervicios, en términos de lo establecido en la Condición 16</w:t>
      </w:r>
      <w:r w:rsidR="000663E6" w:rsidRPr="00A82AD3">
        <w:rPr>
          <w:rFonts w:ascii="ITC Avant Garde" w:hAnsi="ITC Avant Garde"/>
          <w:bCs/>
          <w:color w:val="000000"/>
          <w:lang w:eastAsia="es-MX"/>
        </w:rPr>
        <w:t xml:space="preserve"> de las Concesiones, denominada</w:t>
      </w:r>
      <w:r w:rsidR="006866E3" w:rsidRPr="00A82AD3">
        <w:rPr>
          <w:rFonts w:ascii="ITC Avant Garde" w:hAnsi="ITC Avant Garde"/>
          <w:bCs/>
          <w:color w:val="000000"/>
          <w:lang w:eastAsia="es-MX"/>
        </w:rPr>
        <w:t xml:space="preserve"> </w:t>
      </w:r>
      <w:r w:rsidR="005A3E0F" w:rsidRPr="00A82AD3">
        <w:rPr>
          <w:rFonts w:ascii="ITC Avant Garde" w:hAnsi="ITC Avant Garde"/>
          <w:bCs/>
          <w:color w:val="000000"/>
          <w:lang w:eastAsia="es-MX"/>
        </w:rPr>
        <w:t>“Uso eficiente del espectro</w:t>
      </w:r>
      <w:r w:rsidR="000663E6" w:rsidRPr="00A82AD3">
        <w:rPr>
          <w:rFonts w:ascii="ITC Avant Garde" w:hAnsi="ITC Avant Garde"/>
          <w:bCs/>
          <w:color w:val="000000"/>
          <w:lang w:eastAsia="es-MX"/>
        </w:rPr>
        <w:t>”. Acompañó a este escrito</w:t>
      </w:r>
      <w:r w:rsidR="005A3E0F" w:rsidRPr="00A82AD3">
        <w:rPr>
          <w:rFonts w:ascii="ITC Avant Garde" w:hAnsi="ITC Avant Garde"/>
          <w:bCs/>
          <w:color w:val="000000"/>
          <w:lang w:eastAsia="es-MX"/>
        </w:rPr>
        <w:t xml:space="preserve"> un plan de migración para los </w:t>
      </w:r>
      <w:r w:rsidR="00110434" w:rsidRPr="00A82AD3">
        <w:rPr>
          <w:rFonts w:ascii="ITC Avant Garde" w:hAnsi="ITC Avant Garde"/>
          <w:bCs/>
          <w:color w:val="000000"/>
          <w:lang w:eastAsia="es-MX"/>
        </w:rPr>
        <w:t>suscriptores de los servicios de televisión y audio restringidos</w:t>
      </w:r>
      <w:r w:rsidR="005A3E0F" w:rsidRPr="00A82AD3">
        <w:rPr>
          <w:rFonts w:ascii="ITC Avant Garde" w:hAnsi="ITC Avant Garde"/>
          <w:bCs/>
          <w:color w:val="000000"/>
          <w:lang w:eastAsia="es-MX"/>
        </w:rPr>
        <w:t>.</w:t>
      </w:r>
    </w:p>
    <w:p w14:paraId="3FBADEE8" w14:textId="77777777" w:rsidR="00A82AD3" w:rsidRPr="00A82AD3" w:rsidRDefault="00A21167" w:rsidP="00A82AD3">
      <w:pPr>
        <w:spacing w:before="240" w:line="240" w:lineRule="auto"/>
        <w:jc w:val="both"/>
        <w:rPr>
          <w:rFonts w:ascii="ITC Avant Garde" w:hAnsi="ITC Avant Garde"/>
          <w:bCs/>
          <w:color w:val="000000"/>
          <w:lang w:eastAsia="es-MX"/>
        </w:rPr>
      </w:pPr>
      <w:r w:rsidRPr="00A82AD3">
        <w:rPr>
          <w:rFonts w:ascii="ITC Avant Garde" w:hAnsi="ITC Avant Garde"/>
          <w:bCs/>
          <w:color w:val="000000"/>
          <w:lang w:eastAsia="es-MX"/>
        </w:rPr>
        <w:t>En virtud de los Antecedentes referidos y,</w:t>
      </w:r>
    </w:p>
    <w:p w14:paraId="2D2E396B" w14:textId="77777777" w:rsidR="00A82AD3" w:rsidRPr="00A82AD3" w:rsidRDefault="00A21167" w:rsidP="00A82AD3">
      <w:pPr>
        <w:pStyle w:val="Ttulo2"/>
        <w:spacing w:after="240"/>
        <w:jc w:val="center"/>
        <w:rPr>
          <w:rFonts w:ascii="ITC Avant Garde" w:hAnsi="ITC Avant Garde"/>
          <w:b/>
          <w:color w:val="000000" w:themeColor="text1"/>
          <w:sz w:val="22"/>
          <w:szCs w:val="22"/>
        </w:rPr>
      </w:pPr>
      <w:r w:rsidRPr="00A82AD3">
        <w:rPr>
          <w:rFonts w:ascii="ITC Avant Garde" w:hAnsi="ITC Avant Garde"/>
          <w:b/>
          <w:color w:val="000000" w:themeColor="text1"/>
          <w:sz w:val="22"/>
          <w:szCs w:val="22"/>
        </w:rPr>
        <w:t>CONSIDERANDO</w:t>
      </w:r>
    </w:p>
    <w:p w14:paraId="7CDBCCCF" w14:textId="7F063BBA" w:rsidR="00912A64" w:rsidRPr="00A82AD3" w:rsidRDefault="00912A64" w:rsidP="00A82AD3">
      <w:pPr>
        <w:autoSpaceDE w:val="0"/>
        <w:autoSpaceDN w:val="0"/>
        <w:adjustRightInd w:val="0"/>
        <w:spacing w:before="240" w:line="240" w:lineRule="auto"/>
        <w:jc w:val="both"/>
        <w:rPr>
          <w:rFonts w:ascii="ITC Avant Garde" w:hAnsi="ITC Avant Garde"/>
          <w:bCs/>
        </w:rPr>
      </w:pPr>
      <w:r w:rsidRPr="00A82AD3">
        <w:rPr>
          <w:rFonts w:ascii="ITC Avant Garde" w:hAnsi="ITC Avant Garde"/>
          <w:b/>
          <w:bCs/>
        </w:rPr>
        <w:t>Primero.- Competencia.</w:t>
      </w:r>
      <w:r w:rsidRPr="00A82AD3">
        <w:rPr>
          <w:rFonts w:ascii="ITC Avant Garde" w:hAnsi="ITC Avant Garde"/>
          <w:bCs/>
        </w:rPr>
        <w:t xml:space="preserve"> Conforme lo dispone el artículo 28 párrafos décimo quinto, décimo sexto y décimo séptimo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por los artículos 6o. y 7o. de la Constitución.</w:t>
      </w:r>
    </w:p>
    <w:p w14:paraId="174D09F4" w14:textId="77777777" w:rsidR="00912A64" w:rsidRPr="00A82AD3" w:rsidRDefault="00912A64" w:rsidP="00A82AD3">
      <w:pPr>
        <w:autoSpaceDE w:val="0"/>
        <w:autoSpaceDN w:val="0"/>
        <w:adjustRightInd w:val="0"/>
        <w:spacing w:before="240" w:line="240" w:lineRule="auto"/>
        <w:jc w:val="both"/>
        <w:rPr>
          <w:rFonts w:ascii="ITC Avant Garde" w:hAnsi="ITC Avant Garde"/>
          <w:bCs/>
        </w:rPr>
      </w:pPr>
      <w:r w:rsidRPr="00A82AD3">
        <w:rPr>
          <w:rFonts w:ascii="ITC Avant Garde" w:hAnsi="ITC Avant Garde"/>
          <w:bCs/>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por los artículos 6o. y 7o. de la Constitución.</w:t>
      </w:r>
    </w:p>
    <w:p w14:paraId="76383A95" w14:textId="77777777" w:rsidR="00A82AD3" w:rsidRPr="00A82AD3" w:rsidRDefault="006152A0" w:rsidP="00A82AD3">
      <w:pPr>
        <w:autoSpaceDE w:val="0"/>
        <w:autoSpaceDN w:val="0"/>
        <w:adjustRightInd w:val="0"/>
        <w:spacing w:before="240" w:line="240" w:lineRule="auto"/>
        <w:jc w:val="both"/>
        <w:rPr>
          <w:rFonts w:ascii="ITC Avant Garde" w:hAnsi="ITC Avant Garde"/>
          <w:bCs/>
        </w:rPr>
      </w:pPr>
      <w:r w:rsidRPr="00A82AD3">
        <w:rPr>
          <w:rFonts w:ascii="ITC Avant Garde" w:hAnsi="ITC Avant Garde"/>
          <w:bCs/>
        </w:rPr>
        <w:t>Por otra parte</w:t>
      </w:r>
      <w:r w:rsidR="00912A64" w:rsidRPr="00A82AD3">
        <w:rPr>
          <w:rFonts w:ascii="ITC Avant Garde" w:hAnsi="ITC Avant Garde"/>
          <w:bCs/>
        </w:rPr>
        <w:t xml:space="preserve">, el Pleno </w:t>
      </w:r>
      <w:r w:rsidR="00F951A4" w:rsidRPr="00A82AD3">
        <w:rPr>
          <w:rFonts w:ascii="ITC Avant Garde" w:hAnsi="ITC Avant Garde"/>
          <w:color w:val="000000"/>
        </w:rPr>
        <w:t xml:space="preserve">como autoridad en materia de telecomunicaciones y como </w:t>
      </w:r>
      <w:r w:rsidR="00F951A4" w:rsidRPr="00A82AD3">
        <w:rPr>
          <w:rFonts w:ascii="ITC Avant Garde" w:hAnsi="ITC Avant Garde"/>
          <w:bCs/>
          <w:color w:val="000000"/>
        </w:rPr>
        <w:t xml:space="preserve">órgano máximo de gobierno y decisión, se encuentra plenamente facultado para resolver la Solicitud de Interrupción de Servicios. </w:t>
      </w:r>
      <w:r w:rsidR="00E77DC4" w:rsidRPr="00A82AD3">
        <w:rPr>
          <w:rFonts w:ascii="ITC Avant Garde" w:hAnsi="ITC Avant Garde"/>
          <w:bCs/>
        </w:rPr>
        <w:t>En ese sentido, las Concesiones establecieron en su Condición 16, denominada “Uso eficiente del espectro”, entre otros aspectos, que a efecto de que se llevara a cabo la transición a que se refiere la Condición 2.1 de las Concesiones, el concesionario podría solicitar a la autoridad correspondiente la autorización para la interrupción de los servicios de televisión y audio restringido</w:t>
      </w:r>
      <w:r w:rsidR="0096023F" w:rsidRPr="00A82AD3">
        <w:rPr>
          <w:rFonts w:ascii="ITC Avant Garde" w:hAnsi="ITC Avant Garde"/>
          <w:bCs/>
        </w:rPr>
        <w:t>s</w:t>
      </w:r>
      <w:r w:rsidR="00E77DC4" w:rsidRPr="00A82AD3">
        <w:rPr>
          <w:rFonts w:ascii="ITC Avant Garde" w:hAnsi="ITC Avant Garde"/>
          <w:bCs/>
        </w:rPr>
        <w:t>.</w:t>
      </w:r>
    </w:p>
    <w:p w14:paraId="4E36B575" w14:textId="77777777" w:rsidR="00A82AD3" w:rsidRPr="00A82AD3" w:rsidRDefault="00A21167" w:rsidP="00A82AD3">
      <w:pPr>
        <w:autoSpaceDE w:val="0"/>
        <w:autoSpaceDN w:val="0"/>
        <w:adjustRightInd w:val="0"/>
        <w:spacing w:before="240" w:line="240" w:lineRule="auto"/>
        <w:jc w:val="both"/>
        <w:rPr>
          <w:rFonts w:ascii="ITC Avant Garde" w:hAnsi="ITC Avant Garde"/>
          <w:bCs/>
        </w:rPr>
      </w:pPr>
      <w:r w:rsidRPr="00A82AD3">
        <w:rPr>
          <w:rFonts w:ascii="ITC Avant Garde" w:hAnsi="ITC Avant Garde"/>
          <w:b/>
          <w:bCs/>
        </w:rPr>
        <w:lastRenderedPageBreak/>
        <w:t xml:space="preserve">Segundo.- Marco normativo general aplicable a la </w:t>
      </w:r>
      <w:r w:rsidR="00B017A6" w:rsidRPr="00A82AD3">
        <w:rPr>
          <w:rFonts w:ascii="ITC Avant Garde" w:hAnsi="ITC Avant Garde"/>
          <w:b/>
          <w:bCs/>
        </w:rPr>
        <w:t xml:space="preserve">Solicitud de </w:t>
      </w:r>
      <w:r w:rsidR="00F67A2C" w:rsidRPr="00A82AD3">
        <w:rPr>
          <w:rFonts w:ascii="ITC Avant Garde" w:hAnsi="ITC Avant Garde"/>
          <w:b/>
          <w:bCs/>
        </w:rPr>
        <w:t>Interrupción de Servicios</w:t>
      </w:r>
      <w:r w:rsidRPr="00A82AD3">
        <w:rPr>
          <w:rFonts w:ascii="ITC Avant Garde" w:hAnsi="ITC Avant Garde"/>
          <w:b/>
          <w:bCs/>
        </w:rPr>
        <w:t>.</w:t>
      </w:r>
      <w:r w:rsidRPr="00A82AD3">
        <w:rPr>
          <w:rFonts w:ascii="ITC Avant Garde" w:hAnsi="ITC Avant Garde"/>
          <w:bCs/>
        </w:rPr>
        <w:t xml:space="preserve"> </w:t>
      </w:r>
      <w:r w:rsidR="00E6629A" w:rsidRPr="00A82AD3">
        <w:rPr>
          <w:rFonts w:ascii="ITC Avant Garde" w:hAnsi="ITC Avant Garde"/>
          <w:bCs/>
        </w:rPr>
        <w:t>El artículo 15 fracción XIV de la Ley Federal de Telecomunicaciones y Radiodifusión (la “Ley”) establece como atribución del Instituto resolver las solicitudes de interrupción parcial o total, por hechos fortuitos o causas de fuerza mayor de las vías generales de comunicación en materia de telecomunicaciones y radiodifusión, del tráfico de señales de telecomunicaciones entre concesionarios y de la prestación de servicios de telecomunicaciones y radiodifusión a usuarios finales. Sin embargo, la Solicitud de Interrupci</w:t>
      </w:r>
      <w:r w:rsidR="00FF385F" w:rsidRPr="00A82AD3">
        <w:rPr>
          <w:rFonts w:ascii="ITC Avant Garde" w:hAnsi="ITC Avant Garde"/>
          <w:bCs/>
        </w:rPr>
        <w:t xml:space="preserve">ón de Servicios no actualiza </w:t>
      </w:r>
      <w:r w:rsidR="00E6629A" w:rsidRPr="00A82AD3">
        <w:rPr>
          <w:rFonts w:ascii="ITC Avant Garde" w:hAnsi="ITC Avant Garde"/>
          <w:bCs/>
        </w:rPr>
        <w:t>el supuesto antes mencionado.</w:t>
      </w:r>
    </w:p>
    <w:p w14:paraId="4E16E638" w14:textId="77777777" w:rsidR="00A82AD3" w:rsidRPr="00A82AD3" w:rsidRDefault="00E6629A" w:rsidP="00A82AD3">
      <w:pPr>
        <w:autoSpaceDE w:val="0"/>
        <w:autoSpaceDN w:val="0"/>
        <w:adjustRightInd w:val="0"/>
        <w:spacing w:before="240" w:line="240" w:lineRule="auto"/>
        <w:jc w:val="both"/>
        <w:rPr>
          <w:rFonts w:ascii="ITC Avant Garde" w:hAnsi="ITC Avant Garde"/>
          <w:bCs/>
        </w:rPr>
      </w:pPr>
      <w:r w:rsidRPr="00A82AD3">
        <w:rPr>
          <w:rFonts w:ascii="ITC Avant Garde" w:hAnsi="ITC Avant Garde"/>
          <w:bCs/>
        </w:rPr>
        <w:t>Sin embargo, e</w:t>
      </w:r>
      <w:r w:rsidR="00AF6ED2" w:rsidRPr="00A82AD3">
        <w:rPr>
          <w:rFonts w:ascii="ITC Avant Garde" w:hAnsi="ITC Avant Garde"/>
          <w:bCs/>
        </w:rPr>
        <w:t>l artículo Séptimo Transitorio del Decreto de Ley señala que sin perjuicio de lo establecido en la Ley</w:t>
      </w:r>
      <w:r w:rsidR="00F951A4" w:rsidRPr="00A82AD3">
        <w:rPr>
          <w:rFonts w:ascii="ITC Avant Garde" w:hAnsi="ITC Avant Garde"/>
          <w:bCs/>
        </w:rPr>
        <w:t xml:space="preserve"> </w:t>
      </w:r>
      <w:r w:rsidR="00AF6ED2" w:rsidRPr="00A82AD3">
        <w:rPr>
          <w:rFonts w:ascii="ITC Avant Garde" w:hAnsi="ITC Avant Garde"/>
          <w:bCs/>
        </w:rPr>
        <w:t>y en la normatividad que al efecto emita el Instituto, las concesiones y permisos otorgados con anterioridad a la entrada en vigor del citado decreto, se mantendrán en los términos y condiciones consignados en los respectivos títulos hasta su terminación a menos que se obtenga la autorización para prestar servicios adicionales a los que son objeto de su concesión, en cuyo caso, se estará a los términos y condiciones que el Instituto Federal de Telecomunicaciones establezca.</w:t>
      </w:r>
    </w:p>
    <w:p w14:paraId="6C51C707" w14:textId="77777777" w:rsidR="00A82AD3" w:rsidRPr="00A82AD3" w:rsidRDefault="00AF6ED2" w:rsidP="00A82AD3">
      <w:pPr>
        <w:autoSpaceDE w:val="0"/>
        <w:autoSpaceDN w:val="0"/>
        <w:adjustRightInd w:val="0"/>
        <w:spacing w:before="240" w:line="240" w:lineRule="auto"/>
        <w:jc w:val="both"/>
        <w:rPr>
          <w:rFonts w:ascii="ITC Avant Garde" w:hAnsi="ITC Avant Garde"/>
          <w:bCs/>
        </w:rPr>
      </w:pPr>
      <w:r w:rsidRPr="00A82AD3">
        <w:rPr>
          <w:rFonts w:ascii="ITC Avant Garde" w:hAnsi="ITC Avant Garde"/>
          <w:bCs/>
        </w:rPr>
        <w:t xml:space="preserve">En consistencia con lo anterior, las Concesiones, en su condición </w:t>
      </w:r>
      <w:r w:rsidRPr="00A82AD3">
        <w:rPr>
          <w:rFonts w:ascii="ITC Avant Garde" w:hAnsi="ITC Avant Garde"/>
          <w:b/>
          <w:bCs/>
        </w:rPr>
        <w:t>“2.1. Servicios Adicionales”,</w:t>
      </w:r>
      <w:r w:rsidRPr="00A82AD3">
        <w:rPr>
          <w:rFonts w:ascii="ITC Avant Garde" w:hAnsi="ITC Avant Garde"/>
          <w:bCs/>
        </w:rPr>
        <w:t xml:space="preserve"> establecen lo siguiente:</w:t>
      </w:r>
    </w:p>
    <w:p w14:paraId="65FBDC72" w14:textId="77777777" w:rsidR="00A82AD3" w:rsidRPr="00A82AD3" w:rsidRDefault="00AF6ED2" w:rsidP="00A82AD3">
      <w:pPr>
        <w:autoSpaceDE w:val="0"/>
        <w:autoSpaceDN w:val="0"/>
        <w:adjustRightInd w:val="0"/>
        <w:spacing w:before="240" w:line="240" w:lineRule="auto"/>
        <w:ind w:left="708" w:right="757"/>
        <w:jc w:val="both"/>
        <w:rPr>
          <w:rFonts w:ascii="ITC Avant Garde" w:hAnsi="ITC Avant Garde"/>
          <w:bCs/>
          <w:sz w:val="18"/>
        </w:rPr>
      </w:pPr>
      <w:r w:rsidRPr="00A82AD3">
        <w:rPr>
          <w:rFonts w:ascii="ITC Avant Garde" w:hAnsi="ITC Avant Garde"/>
          <w:bCs/>
          <w:sz w:val="18"/>
        </w:rPr>
        <w:t>“</w:t>
      </w:r>
      <w:r w:rsidRPr="00A82AD3">
        <w:rPr>
          <w:rFonts w:ascii="ITC Avant Garde" w:hAnsi="ITC Avant Garde"/>
          <w:b/>
          <w:bCs/>
          <w:sz w:val="18"/>
        </w:rPr>
        <w:t>2.1. Servicios Adicionales.</w:t>
      </w:r>
      <w:r w:rsidRPr="00A82AD3">
        <w:rPr>
          <w:rFonts w:ascii="ITC Avant Garde" w:hAnsi="ITC Avant Garde"/>
          <w:bCs/>
          <w:sz w:val="18"/>
        </w:rPr>
        <w:t xml:space="preserve"> El Concesionario deberá a más tardar el 31 de diciembre de 2016, transitar la presente Concesión a la Concesión Única referida en el artículo Cuarto Transitorio del Decreto por el que se reforman y adicionan diversas disposiciones de los artículos 6°, 7°, 27, 28, 73, 78, 94 y 105 de la Constitución Política de los Estados Unidos Mexicanos, en materia de telecomunicaciones, publicado en el Diario Oficial de la Federación el 11 de junio de 2013, </w:t>
      </w:r>
      <w:r w:rsidRPr="00A82AD3">
        <w:rPr>
          <w:rFonts w:ascii="ITC Avant Garde" w:hAnsi="ITC Avant Garde"/>
          <w:b/>
          <w:bCs/>
          <w:sz w:val="18"/>
        </w:rPr>
        <w:t>y/o obtener autorización para prestar servicios adicionales a los previstos en la presente Concesión, a efecto de estar prestando efectivamente servicios de acceso inalámbrico</w:t>
      </w:r>
      <w:r w:rsidRPr="00A82AD3">
        <w:rPr>
          <w:rFonts w:ascii="ITC Avant Garde" w:hAnsi="ITC Avant Garde"/>
          <w:bCs/>
          <w:sz w:val="18"/>
        </w:rPr>
        <w:t>; para lo cual deberá haber cumplido con los términos, obligaciones y contraprestaciones que le imponga el Instituto, en particular, con las contraprestaciones por la autorización de los servicios adicionales no previstos en la presente Concesión.</w:t>
      </w:r>
    </w:p>
    <w:p w14:paraId="1106227C" w14:textId="77777777" w:rsidR="00A82AD3" w:rsidRPr="00A82AD3" w:rsidRDefault="00AF6ED2" w:rsidP="00A82AD3">
      <w:pPr>
        <w:autoSpaceDE w:val="0"/>
        <w:autoSpaceDN w:val="0"/>
        <w:adjustRightInd w:val="0"/>
        <w:spacing w:before="240" w:line="240" w:lineRule="auto"/>
        <w:ind w:left="708" w:right="757"/>
        <w:jc w:val="both"/>
        <w:rPr>
          <w:rFonts w:ascii="ITC Avant Garde" w:hAnsi="ITC Avant Garde"/>
          <w:bCs/>
          <w:sz w:val="18"/>
        </w:rPr>
      </w:pPr>
      <w:r w:rsidRPr="00A82AD3">
        <w:rPr>
          <w:rFonts w:ascii="ITC Avant Garde" w:hAnsi="ITC Avant Garde"/>
          <w:bCs/>
          <w:sz w:val="18"/>
        </w:rPr>
        <w:t>El plazo señalado en el párrafo anterior, podrá ampliarse hasta por un año más, por única ocasión, previa solicitud del Concesionario y aprobación del Instituto.</w:t>
      </w:r>
    </w:p>
    <w:p w14:paraId="5C7AA777" w14:textId="77777777" w:rsidR="00A82AD3" w:rsidRPr="00A82AD3" w:rsidRDefault="00AF6ED2" w:rsidP="00A82AD3">
      <w:pPr>
        <w:autoSpaceDE w:val="0"/>
        <w:autoSpaceDN w:val="0"/>
        <w:adjustRightInd w:val="0"/>
        <w:spacing w:before="240" w:line="240" w:lineRule="auto"/>
        <w:ind w:left="708" w:right="757"/>
        <w:jc w:val="both"/>
        <w:rPr>
          <w:rFonts w:ascii="ITC Avant Garde" w:hAnsi="ITC Avant Garde"/>
          <w:bCs/>
          <w:sz w:val="18"/>
        </w:rPr>
      </w:pPr>
      <w:r w:rsidRPr="00A82AD3">
        <w:rPr>
          <w:rFonts w:ascii="ITC Avant Garde" w:hAnsi="ITC Avant Garde"/>
          <w:bCs/>
          <w:sz w:val="18"/>
        </w:rPr>
        <w:t>El incumplimiento a lo dispuesto en la presente condición, dará lugar a la terminación anticipada de la presente Concesión y de la Concesión de Red, revirtiéndose a favor de la Nación las bandas de frecuencias del espectro radioeléctrico objeto de esta Concesión, sin ninguna limitante y libre de todo gravamen.</w:t>
      </w:r>
    </w:p>
    <w:p w14:paraId="452EDD11" w14:textId="77777777" w:rsidR="00A82AD3" w:rsidRPr="00A82AD3" w:rsidRDefault="00AF6ED2" w:rsidP="00A82AD3">
      <w:pPr>
        <w:autoSpaceDE w:val="0"/>
        <w:autoSpaceDN w:val="0"/>
        <w:adjustRightInd w:val="0"/>
        <w:spacing w:before="240" w:line="240" w:lineRule="auto"/>
        <w:ind w:left="708" w:right="757"/>
        <w:jc w:val="both"/>
        <w:rPr>
          <w:rFonts w:ascii="ITC Avant Garde" w:hAnsi="ITC Avant Garde"/>
          <w:bCs/>
          <w:sz w:val="18"/>
        </w:rPr>
      </w:pPr>
      <w:r w:rsidRPr="00A82AD3">
        <w:rPr>
          <w:rFonts w:ascii="ITC Avant Garde" w:hAnsi="ITC Avant Garde"/>
          <w:bCs/>
          <w:sz w:val="18"/>
        </w:rPr>
        <w:t>Si al vencimiento del plazo referido anteriormente, el Concesionario continúa usando, explotando y aprovechando un segmento del espectro concesionado exclusivamente para la prestación de servicios de televisión y audio restringidos, aún y cuando haya transitado a la Concesión Única, se revertirá a la Nación dicho segmento del espectro radioeléctrico concesionado, prevaleciendo la presente Concesión en sus términos únicamente respecto de las bandas de frecuencias efectivamente utilizadas para la prestación de servicios de acceso inalámbrico.</w:t>
      </w:r>
    </w:p>
    <w:p w14:paraId="04E97336" w14:textId="77777777" w:rsidR="00A82AD3" w:rsidRPr="00A82AD3" w:rsidRDefault="00AF6ED2" w:rsidP="00A82AD3">
      <w:pPr>
        <w:autoSpaceDE w:val="0"/>
        <w:autoSpaceDN w:val="0"/>
        <w:adjustRightInd w:val="0"/>
        <w:spacing w:before="240" w:line="240" w:lineRule="auto"/>
        <w:ind w:left="708" w:right="757"/>
        <w:jc w:val="both"/>
        <w:rPr>
          <w:rFonts w:ascii="ITC Avant Garde" w:hAnsi="ITC Avant Garde"/>
          <w:bCs/>
          <w:sz w:val="18"/>
        </w:rPr>
      </w:pPr>
      <w:r w:rsidRPr="00A82AD3">
        <w:rPr>
          <w:rFonts w:ascii="ITC Avant Garde" w:hAnsi="ITC Avant Garde"/>
          <w:bCs/>
          <w:sz w:val="18"/>
        </w:rPr>
        <w:lastRenderedPageBreak/>
        <w:t>En cualquiera de los supuestos antes señalados, las bandas de frecuencias se revertirán a favor de la Nación, sin pago o devolución de cantidad o contraprestación alguna a favor del Concesionario” [sic].</w:t>
      </w:r>
    </w:p>
    <w:p w14:paraId="070FB5A2" w14:textId="77777777" w:rsidR="00A82AD3" w:rsidRPr="00A82AD3" w:rsidRDefault="00AF6ED2" w:rsidP="00A82AD3">
      <w:pPr>
        <w:autoSpaceDE w:val="0"/>
        <w:autoSpaceDN w:val="0"/>
        <w:adjustRightInd w:val="0"/>
        <w:spacing w:before="240" w:line="240" w:lineRule="auto"/>
        <w:ind w:left="708" w:right="757"/>
        <w:jc w:val="both"/>
        <w:rPr>
          <w:rFonts w:ascii="ITC Avant Garde" w:hAnsi="ITC Avant Garde"/>
          <w:bCs/>
          <w:sz w:val="18"/>
        </w:rPr>
      </w:pPr>
      <w:r w:rsidRPr="00A82AD3">
        <w:rPr>
          <w:rFonts w:ascii="ITC Avant Garde" w:hAnsi="ITC Avant Garde"/>
          <w:bCs/>
          <w:iCs/>
          <w:sz w:val="18"/>
        </w:rPr>
        <w:t>Énfasis añadido</w:t>
      </w:r>
      <w:r w:rsidR="000E56D1" w:rsidRPr="00A82AD3">
        <w:rPr>
          <w:rFonts w:ascii="ITC Avant Garde" w:hAnsi="ITC Avant Garde"/>
          <w:bCs/>
          <w:iCs/>
          <w:sz w:val="18"/>
        </w:rPr>
        <w:t>.</w:t>
      </w:r>
    </w:p>
    <w:p w14:paraId="214751F6" w14:textId="77777777" w:rsidR="00A82AD3" w:rsidRPr="00A82AD3" w:rsidRDefault="00FF385F" w:rsidP="00A82AD3">
      <w:pPr>
        <w:autoSpaceDE w:val="0"/>
        <w:autoSpaceDN w:val="0"/>
        <w:adjustRightInd w:val="0"/>
        <w:spacing w:before="240" w:line="240" w:lineRule="auto"/>
        <w:jc w:val="both"/>
        <w:rPr>
          <w:rFonts w:ascii="ITC Avant Garde" w:hAnsi="ITC Avant Garde"/>
          <w:bCs/>
        </w:rPr>
      </w:pPr>
      <w:r w:rsidRPr="00A82AD3">
        <w:rPr>
          <w:rFonts w:ascii="ITC Avant Garde" w:hAnsi="ITC Avant Garde"/>
          <w:bCs/>
        </w:rPr>
        <w:t>Asimismo</w:t>
      </w:r>
      <w:r w:rsidR="00F67A2C" w:rsidRPr="00A82AD3">
        <w:rPr>
          <w:rFonts w:ascii="ITC Avant Garde" w:hAnsi="ITC Avant Garde"/>
          <w:bCs/>
        </w:rPr>
        <w:t xml:space="preserve">, la Condición 16 de las Concesiones </w:t>
      </w:r>
      <w:r w:rsidR="00EB28BE" w:rsidRPr="00A82AD3">
        <w:rPr>
          <w:rFonts w:ascii="ITC Avant Garde" w:hAnsi="ITC Avant Garde"/>
          <w:bCs/>
        </w:rPr>
        <w:t>denominada</w:t>
      </w:r>
      <w:r w:rsidR="00F67A2C" w:rsidRPr="00A82AD3">
        <w:rPr>
          <w:rFonts w:ascii="ITC Avant Garde" w:hAnsi="ITC Avant Garde"/>
          <w:bCs/>
        </w:rPr>
        <w:t xml:space="preserve"> </w:t>
      </w:r>
      <w:r w:rsidR="00EE3CED" w:rsidRPr="00A82AD3">
        <w:rPr>
          <w:rFonts w:ascii="ITC Avant Garde" w:hAnsi="ITC Avant Garde"/>
          <w:bCs/>
        </w:rPr>
        <w:t xml:space="preserve">“Uso eficiente del espectro” señala lo siguiente: </w:t>
      </w:r>
    </w:p>
    <w:p w14:paraId="0FA4B5C6" w14:textId="77777777" w:rsidR="00A82AD3" w:rsidRPr="00A82AD3" w:rsidRDefault="00EE3CED" w:rsidP="00A82AD3">
      <w:pPr>
        <w:spacing w:before="240" w:line="240" w:lineRule="auto"/>
        <w:ind w:left="567" w:right="616"/>
        <w:jc w:val="both"/>
        <w:rPr>
          <w:rFonts w:ascii="ITC Avant Garde" w:hAnsi="ITC Avant Garde"/>
          <w:bCs/>
          <w:color w:val="000000"/>
          <w:sz w:val="16"/>
          <w:szCs w:val="18"/>
          <w:lang w:val="es-ES" w:eastAsia="es-MX"/>
        </w:rPr>
      </w:pPr>
      <w:r w:rsidRPr="00A82AD3">
        <w:rPr>
          <w:rFonts w:ascii="ITC Avant Garde" w:hAnsi="ITC Avant Garde"/>
          <w:b/>
          <w:bCs/>
          <w:sz w:val="18"/>
        </w:rPr>
        <w:t>“16. Uso eficiente del espectro.</w:t>
      </w:r>
      <w:r w:rsidRPr="00A82AD3">
        <w:rPr>
          <w:rFonts w:ascii="ITC Avant Garde" w:hAnsi="ITC Avant Garde"/>
          <w:bCs/>
          <w:color w:val="000000"/>
          <w:sz w:val="16"/>
          <w:szCs w:val="18"/>
          <w:lang w:val="es-ES" w:eastAsia="es-MX"/>
        </w:rPr>
        <w:t xml:space="preserve"> </w:t>
      </w:r>
      <w:r w:rsidRPr="00A82AD3">
        <w:rPr>
          <w:rFonts w:ascii="ITC Avant Garde" w:hAnsi="ITC Avant Garde"/>
          <w:bCs/>
          <w:sz w:val="18"/>
        </w:rPr>
        <w:t>El Concesionario deberá hacer un uso eficiente de las bandas de frecuencias comprendidas en la presente Concesión.</w:t>
      </w:r>
    </w:p>
    <w:p w14:paraId="30A7E64A" w14:textId="77777777" w:rsidR="00A82AD3" w:rsidRPr="00A82AD3" w:rsidRDefault="00EE3CED" w:rsidP="00A82AD3">
      <w:pPr>
        <w:spacing w:before="240" w:line="240" w:lineRule="auto"/>
        <w:ind w:left="567" w:right="616"/>
        <w:jc w:val="both"/>
        <w:rPr>
          <w:rFonts w:ascii="ITC Avant Garde" w:hAnsi="ITC Avant Garde"/>
          <w:bCs/>
          <w:sz w:val="18"/>
        </w:rPr>
      </w:pPr>
      <w:r w:rsidRPr="00A82AD3">
        <w:rPr>
          <w:rFonts w:ascii="ITC Avant Garde" w:hAnsi="ITC Avant Garde"/>
          <w:b/>
          <w:bCs/>
          <w:sz w:val="18"/>
        </w:rPr>
        <w:t>A efecto de llevar a cabo la transición a que se refiere la condición 2.1 de la presente Concesión, el Concesionario podrá solicitar a la autoridad correspondiente la autorización para la interrupción de los servicios de televisión y audio restringido</w:t>
      </w:r>
      <w:r w:rsidRPr="00A82AD3">
        <w:rPr>
          <w:rFonts w:ascii="ITC Avant Garde" w:hAnsi="ITC Avant Garde"/>
          <w:bCs/>
          <w:sz w:val="18"/>
        </w:rPr>
        <w:t>.”</w:t>
      </w:r>
    </w:p>
    <w:p w14:paraId="5EB4713C" w14:textId="77777777" w:rsidR="00A82AD3" w:rsidRPr="00A82AD3" w:rsidRDefault="00EE3CED" w:rsidP="00A82AD3">
      <w:pPr>
        <w:autoSpaceDE w:val="0"/>
        <w:autoSpaceDN w:val="0"/>
        <w:adjustRightInd w:val="0"/>
        <w:spacing w:before="240" w:line="240" w:lineRule="auto"/>
        <w:ind w:left="567"/>
        <w:jc w:val="both"/>
        <w:rPr>
          <w:rFonts w:ascii="ITC Avant Garde" w:hAnsi="ITC Avant Garde"/>
          <w:bCs/>
          <w:sz w:val="18"/>
          <w:szCs w:val="18"/>
        </w:rPr>
      </w:pPr>
      <w:r w:rsidRPr="00A82AD3">
        <w:rPr>
          <w:rFonts w:ascii="ITC Avant Garde" w:hAnsi="ITC Avant Garde"/>
          <w:bCs/>
          <w:color w:val="000000"/>
          <w:sz w:val="18"/>
          <w:szCs w:val="18"/>
          <w:lang w:val="es-ES" w:eastAsia="es-MX"/>
        </w:rPr>
        <w:t>Énfasis añadido.</w:t>
      </w:r>
    </w:p>
    <w:p w14:paraId="5114AF71" w14:textId="615D989C" w:rsidR="00A82AD3" w:rsidRPr="00A82AD3" w:rsidRDefault="00A21167" w:rsidP="00A82AD3">
      <w:pPr>
        <w:autoSpaceDE w:val="0"/>
        <w:autoSpaceDN w:val="0"/>
        <w:adjustRightInd w:val="0"/>
        <w:spacing w:before="240" w:line="240" w:lineRule="auto"/>
        <w:jc w:val="both"/>
        <w:rPr>
          <w:rFonts w:ascii="ITC Avant Garde" w:hAnsi="ITC Avant Garde"/>
          <w:bCs/>
        </w:rPr>
      </w:pPr>
      <w:r w:rsidRPr="00A82AD3">
        <w:rPr>
          <w:rFonts w:ascii="ITC Avant Garde" w:hAnsi="ITC Avant Garde"/>
          <w:b/>
          <w:bCs/>
        </w:rPr>
        <w:t>Tercero.- Análisis de la</w:t>
      </w:r>
      <w:r w:rsidR="00AF6ED2" w:rsidRPr="00A82AD3">
        <w:rPr>
          <w:rFonts w:ascii="ITC Avant Garde" w:hAnsi="ITC Avant Garde"/>
          <w:b/>
          <w:bCs/>
        </w:rPr>
        <w:t>s</w:t>
      </w:r>
      <w:r w:rsidRPr="00A82AD3">
        <w:rPr>
          <w:rFonts w:ascii="ITC Avant Garde" w:hAnsi="ITC Avant Garde"/>
          <w:b/>
          <w:bCs/>
        </w:rPr>
        <w:t xml:space="preserve"> Solicitud de </w:t>
      </w:r>
      <w:r w:rsidR="00F67A2C" w:rsidRPr="00A82AD3">
        <w:rPr>
          <w:rFonts w:ascii="ITC Avant Garde" w:hAnsi="ITC Avant Garde"/>
          <w:b/>
          <w:bCs/>
        </w:rPr>
        <w:t>Interrupción de Servicios</w:t>
      </w:r>
      <w:r w:rsidRPr="00A82AD3">
        <w:rPr>
          <w:rFonts w:ascii="ITC Avant Garde" w:hAnsi="ITC Avant Garde"/>
          <w:b/>
          <w:bCs/>
        </w:rPr>
        <w:t>.</w:t>
      </w:r>
      <w:r w:rsidRPr="00A82AD3">
        <w:rPr>
          <w:rFonts w:ascii="ITC Avant Garde" w:hAnsi="ITC Avant Garde"/>
          <w:bCs/>
        </w:rPr>
        <w:t xml:space="preserve"> </w:t>
      </w:r>
      <w:r w:rsidR="00F951A4" w:rsidRPr="00A82AD3">
        <w:rPr>
          <w:rFonts w:ascii="ITC Avant Garde" w:hAnsi="ITC Avant Garde"/>
          <w:bCs/>
        </w:rPr>
        <w:t xml:space="preserve">Como ya quedó señalado en el Considerando Segundo, la hipótesis contenida en la Condición 16 de las Concesiones, relativa a la posibilidad de </w:t>
      </w:r>
      <w:r w:rsidR="004C3458" w:rsidRPr="00A82AD3">
        <w:rPr>
          <w:rFonts w:ascii="ITC Avant Garde" w:hAnsi="ITC Avant Garde"/>
          <w:bCs/>
        </w:rPr>
        <w:t xml:space="preserve">la </w:t>
      </w:r>
      <w:r w:rsidR="00F951A4" w:rsidRPr="00A82AD3">
        <w:rPr>
          <w:rFonts w:ascii="ITC Avant Garde" w:hAnsi="ITC Avant Garde"/>
          <w:bCs/>
        </w:rPr>
        <w:t xml:space="preserve">interrupción de </w:t>
      </w:r>
      <w:r w:rsidR="004C3458" w:rsidRPr="00A82AD3">
        <w:rPr>
          <w:rFonts w:ascii="ITC Avant Garde" w:hAnsi="ITC Avant Garde"/>
          <w:bCs/>
        </w:rPr>
        <w:t xml:space="preserve">los </w:t>
      </w:r>
      <w:r w:rsidR="00F951A4" w:rsidRPr="00A82AD3">
        <w:rPr>
          <w:rFonts w:ascii="ITC Avant Garde" w:hAnsi="ITC Avant Garde"/>
          <w:bCs/>
        </w:rPr>
        <w:t xml:space="preserve">servicios </w:t>
      </w:r>
      <w:r w:rsidR="004C3458" w:rsidRPr="00A82AD3">
        <w:rPr>
          <w:rFonts w:ascii="ITC Avant Garde" w:hAnsi="ITC Avant Garde"/>
          <w:bCs/>
        </w:rPr>
        <w:t xml:space="preserve">de televisión y audio restringidos, sólo se actualiza </w:t>
      </w:r>
      <w:r w:rsidR="00D1025D" w:rsidRPr="00A82AD3">
        <w:rPr>
          <w:rFonts w:ascii="ITC Avant Garde" w:hAnsi="ITC Avant Garde"/>
          <w:bCs/>
        </w:rPr>
        <w:t xml:space="preserve">a efecto de </w:t>
      </w:r>
      <w:r w:rsidR="004C3458" w:rsidRPr="00A82AD3">
        <w:rPr>
          <w:rFonts w:ascii="ITC Avant Garde" w:hAnsi="ITC Avant Garde"/>
          <w:bCs/>
        </w:rPr>
        <w:t xml:space="preserve">que el concesionario </w:t>
      </w:r>
      <w:r w:rsidR="00D1025D" w:rsidRPr="00A82AD3">
        <w:rPr>
          <w:rFonts w:ascii="ITC Avant Garde" w:hAnsi="ITC Avant Garde"/>
          <w:bCs/>
        </w:rPr>
        <w:t xml:space="preserve">lleve a cabo la transición </w:t>
      </w:r>
      <w:r w:rsidR="004C3458" w:rsidRPr="00A82AD3">
        <w:rPr>
          <w:rFonts w:ascii="ITC Avant Garde" w:hAnsi="ITC Avant Garde"/>
          <w:bCs/>
        </w:rPr>
        <w:t xml:space="preserve">a la concesión única </w:t>
      </w:r>
      <w:r w:rsidR="00D1025D" w:rsidRPr="00A82AD3">
        <w:rPr>
          <w:rFonts w:ascii="ITC Avant Garde" w:hAnsi="ITC Avant Garde"/>
          <w:bCs/>
        </w:rPr>
        <w:t>u obtenga autorización para prestar</w:t>
      </w:r>
      <w:r w:rsidR="004C3458" w:rsidRPr="00A82AD3">
        <w:rPr>
          <w:rFonts w:ascii="ITC Avant Garde" w:hAnsi="ITC Avant Garde"/>
          <w:bCs/>
        </w:rPr>
        <w:t xml:space="preserve"> el servicio de acceso inalámbrico en los términos establecidos en la Condición 2.1 de las Concesiones. </w:t>
      </w:r>
    </w:p>
    <w:p w14:paraId="63B8E21D" w14:textId="77777777" w:rsidR="00A82AD3" w:rsidRPr="00A82AD3" w:rsidRDefault="004C3458" w:rsidP="00A82AD3">
      <w:pPr>
        <w:autoSpaceDE w:val="0"/>
        <w:autoSpaceDN w:val="0"/>
        <w:adjustRightInd w:val="0"/>
        <w:spacing w:before="240" w:line="240" w:lineRule="auto"/>
        <w:jc w:val="both"/>
        <w:rPr>
          <w:rFonts w:ascii="ITC Avant Garde" w:hAnsi="ITC Avant Garde"/>
          <w:bCs/>
        </w:rPr>
      </w:pPr>
      <w:r w:rsidRPr="00A82AD3">
        <w:rPr>
          <w:rFonts w:ascii="ITC Avant Garde" w:hAnsi="ITC Avant Garde"/>
          <w:bCs/>
        </w:rPr>
        <w:t xml:space="preserve">En este sentido, como ya quedó señalado en el Antecedente IX de la presente Resolución, DIGICRD, S.A. de C.V. solicitó formalmente al Instituto autorización para prestar el servicio adicional de acceso inalámbrico a través de las Concesiones, situación que </w:t>
      </w:r>
      <w:r w:rsidR="00461D6D" w:rsidRPr="00A82AD3">
        <w:rPr>
          <w:rFonts w:ascii="ITC Avant Garde" w:hAnsi="ITC Avant Garde"/>
          <w:bCs/>
        </w:rPr>
        <w:t>permitiría al concesionario instrumentar protocolos técnicos de prueba para la implementación de</w:t>
      </w:r>
      <w:r w:rsidRPr="00A82AD3">
        <w:rPr>
          <w:rFonts w:ascii="ITC Avant Garde" w:hAnsi="ITC Avant Garde"/>
          <w:bCs/>
        </w:rPr>
        <w:t xml:space="preserve"> dicho servicios, así como la planeación de las inversiones necesarias para el adecuado dimensionamiento de la red.</w:t>
      </w:r>
    </w:p>
    <w:p w14:paraId="6A5067F0" w14:textId="77777777" w:rsidR="00A82AD3" w:rsidRPr="00A82AD3" w:rsidRDefault="00461D6D" w:rsidP="00A82AD3">
      <w:pPr>
        <w:autoSpaceDE w:val="0"/>
        <w:autoSpaceDN w:val="0"/>
        <w:adjustRightInd w:val="0"/>
        <w:spacing w:before="240" w:line="240" w:lineRule="auto"/>
        <w:jc w:val="both"/>
        <w:rPr>
          <w:rFonts w:ascii="ITC Avant Garde" w:hAnsi="ITC Avant Garde"/>
          <w:bCs/>
        </w:rPr>
      </w:pPr>
      <w:r w:rsidRPr="00A82AD3">
        <w:rPr>
          <w:rFonts w:ascii="ITC Avant Garde" w:hAnsi="ITC Avant Garde"/>
          <w:bCs/>
        </w:rPr>
        <w:t xml:space="preserve">Finalmente, </w:t>
      </w:r>
      <w:r w:rsidR="004C3458" w:rsidRPr="00A82AD3">
        <w:rPr>
          <w:rFonts w:ascii="ITC Avant Garde" w:hAnsi="ITC Avant Garde"/>
          <w:bCs/>
        </w:rPr>
        <w:t>y sin perjuicio del esquema de migración presentado por DIGICRD, S.A. de C.V., se estima pertine</w:t>
      </w:r>
      <w:r w:rsidR="00EB28BE" w:rsidRPr="00A82AD3">
        <w:rPr>
          <w:rFonts w:ascii="ITC Avant Garde" w:hAnsi="ITC Avant Garde"/>
          <w:bCs/>
        </w:rPr>
        <w:t>nte señalar que en las localidades</w:t>
      </w:r>
      <w:r w:rsidR="004C3458" w:rsidRPr="00A82AD3">
        <w:rPr>
          <w:rFonts w:ascii="ITC Avant Garde" w:hAnsi="ITC Avant Garde"/>
          <w:bCs/>
        </w:rPr>
        <w:t xml:space="preserve"> en donde presta actualmente los servicios de televisión y audio restringidos, existen </w:t>
      </w:r>
      <w:r w:rsidR="007E6AFE" w:rsidRPr="00A82AD3">
        <w:rPr>
          <w:rFonts w:ascii="ITC Avant Garde" w:hAnsi="ITC Avant Garde"/>
          <w:bCs/>
        </w:rPr>
        <w:t>al</w:t>
      </w:r>
      <w:r w:rsidR="004C3458" w:rsidRPr="00A82AD3">
        <w:rPr>
          <w:rFonts w:ascii="ITC Avant Garde" w:hAnsi="ITC Avant Garde"/>
          <w:bCs/>
        </w:rPr>
        <w:t xml:space="preserve"> menos dos </w:t>
      </w:r>
      <w:r w:rsidR="00CE2B63" w:rsidRPr="00A82AD3">
        <w:rPr>
          <w:rFonts w:ascii="ITC Avant Garde" w:hAnsi="ITC Avant Garde"/>
          <w:bCs/>
        </w:rPr>
        <w:t xml:space="preserve">concesionarios que proveen </w:t>
      </w:r>
      <w:r w:rsidR="004F1186" w:rsidRPr="00A82AD3">
        <w:rPr>
          <w:rFonts w:ascii="ITC Avant Garde" w:hAnsi="ITC Avant Garde"/>
          <w:bCs/>
        </w:rPr>
        <w:t>l</w:t>
      </w:r>
      <w:r w:rsidR="00CE2B63" w:rsidRPr="00A82AD3">
        <w:rPr>
          <w:rFonts w:ascii="ITC Avant Garde" w:hAnsi="ITC Avant Garde"/>
          <w:bCs/>
        </w:rPr>
        <w:t>os</w:t>
      </w:r>
      <w:r w:rsidR="004F1186" w:rsidRPr="00A82AD3">
        <w:rPr>
          <w:rFonts w:ascii="ITC Avant Garde" w:hAnsi="ITC Avant Garde"/>
          <w:bCs/>
        </w:rPr>
        <w:t xml:space="preserve"> mismo</w:t>
      </w:r>
      <w:r w:rsidR="00CE2B63" w:rsidRPr="00A82AD3">
        <w:rPr>
          <w:rFonts w:ascii="ITC Avant Garde" w:hAnsi="ITC Avant Garde"/>
          <w:bCs/>
        </w:rPr>
        <w:t>s</w:t>
      </w:r>
      <w:r w:rsidR="004C3458" w:rsidRPr="00A82AD3">
        <w:rPr>
          <w:rFonts w:ascii="ITC Avant Garde" w:hAnsi="ITC Avant Garde"/>
          <w:bCs/>
        </w:rPr>
        <w:t xml:space="preserve"> servicio</w:t>
      </w:r>
      <w:r w:rsidR="00CE2B63" w:rsidRPr="00A82AD3">
        <w:rPr>
          <w:rFonts w:ascii="ITC Avant Garde" w:hAnsi="ITC Avant Garde"/>
          <w:bCs/>
        </w:rPr>
        <w:t>s</w:t>
      </w:r>
      <w:r w:rsidR="004C3458" w:rsidRPr="00A82AD3">
        <w:rPr>
          <w:rFonts w:ascii="ITC Avant Garde" w:hAnsi="ITC Avant Garde"/>
          <w:bCs/>
        </w:rPr>
        <w:t xml:space="preserve"> de telecomunicaciones</w:t>
      </w:r>
      <w:r w:rsidR="004F1186" w:rsidRPr="00A82AD3">
        <w:rPr>
          <w:rFonts w:ascii="ITC Avant Garde" w:hAnsi="ITC Avant Garde"/>
          <w:bCs/>
        </w:rPr>
        <w:t xml:space="preserve"> pr</w:t>
      </w:r>
      <w:r w:rsidR="00CE2B63" w:rsidRPr="00A82AD3">
        <w:rPr>
          <w:rFonts w:ascii="ITC Avant Garde" w:hAnsi="ITC Avant Garde"/>
          <w:bCs/>
        </w:rPr>
        <w:t>oporcionados</w:t>
      </w:r>
      <w:r w:rsidR="004F1186" w:rsidRPr="00A82AD3">
        <w:rPr>
          <w:rFonts w:ascii="ITC Avant Garde" w:hAnsi="ITC Avant Garde"/>
          <w:bCs/>
        </w:rPr>
        <w:t xml:space="preserve"> por DIGICRD, S.A. de C.V., con lo cual queda garantizada la continuidad en la prestación de</w:t>
      </w:r>
      <w:r w:rsidR="004B6C3F" w:rsidRPr="00A82AD3">
        <w:rPr>
          <w:rFonts w:ascii="ITC Avant Garde" w:hAnsi="ITC Avant Garde"/>
          <w:bCs/>
        </w:rPr>
        <w:t xml:space="preserve"> </w:t>
      </w:r>
      <w:r w:rsidR="004F1186" w:rsidRPr="00A82AD3">
        <w:rPr>
          <w:rFonts w:ascii="ITC Avant Garde" w:hAnsi="ITC Avant Garde"/>
          <w:bCs/>
        </w:rPr>
        <w:t>l</w:t>
      </w:r>
      <w:r w:rsidR="004B6C3F" w:rsidRPr="00A82AD3">
        <w:rPr>
          <w:rFonts w:ascii="ITC Avant Garde" w:hAnsi="ITC Avant Garde"/>
          <w:bCs/>
        </w:rPr>
        <w:t>os</w:t>
      </w:r>
      <w:r w:rsidR="004F1186" w:rsidRPr="00A82AD3">
        <w:rPr>
          <w:rFonts w:ascii="ITC Avant Garde" w:hAnsi="ITC Avant Garde"/>
          <w:bCs/>
        </w:rPr>
        <w:t xml:space="preserve"> servicio</w:t>
      </w:r>
      <w:r w:rsidR="004B6C3F" w:rsidRPr="00A82AD3">
        <w:rPr>
          <w:rFonts w:ascii="ITC Avant Garde" w:hAnsi="ITC Avant Garde"/>
          <w:bCs/>
        </w:rPr>
        <w:t>s</w:t>
      </w:r>
      <w:r w:rsidR="004F1186" w:rsidRPr="00A82AD3">
        <w:rPr>
          <w:rFonts w:ascii="ITC Avant Garde" w:hAnsi="ITC Avant Garde"/>
          <w:bCs/>
        </w:rPr>
        <w:t xml:space="preserve"> de telecomunicaciones antes mencionado</w:t>
      </w:r>
      <w:r w:rsidR="00CE2B63" w:rsidRPr="00A82AD3">
        <w:rPr>
          <w:rFonts w:ascii="ITC Avant Garde" w:hAnsi="ITC Avant Garde"/>
          <w:bCs/>
        </w:rPr>
        <w:t>s</w:t>
      </w:r>
      <w:r w:rsidR="004C3458" w:rsidRPr="00A82AD3">
        <w:rPr>
          <w:rFonts w:ascii="ITC Avant Garde" w:hAnsi="ITC Avant Garde"/>
          <w:bCs/>
        </w:rPr>
        <w:t>.</w:t>
      </w:r>
      <w:r w:rsidRPr="00A82AD3">
        <w:rPr>
          <w:rFonts w:ascii="ITC Avant Garde" w:hAnsi="ITC Avant Garde"/>
          <w:bCs/>
        </w:rPr>
        <w:t xml:space="preserve"> </w:t>
      </w:r>
    </w:p>
    <w:p w14:paraId="161D2497" w14:textId="77777777" w:rsidR="00A82AD3" w:rsidRPr="00A82AD3" w:rsidRDefault="00461D6D" w:rsidP="00A82AD3">
      <w:pPr>
        <w:autoSpaceDE w:val="0"/>
        <w:autoSpaceDN w:val="0"/>
        <w:adjustRightInd w:val="0"/>
        <w:spacing w:before="240" w:line="240" w:lineRule="auto"/>
        <w:jc w:val="both"/>
        <w:rPr>
          <w:rFonts w:ascii="ITC Avant Garde" w:hAnsi="ITC Avant Garde"/>
          <w:bCs/>
        </w:rPr>
      </w:pPr>
      <w:r w:rsidRPr="00A82AD3">
        <w:rPr>
          <w:rFonts w:ascii="ITC Avant Garde" w:hAnsi="ITC Avant Garde"/>
          <w:bCs/>
        </w:rPr>
        <w:t xml:space="preserve">En consecuencia, se considera procedente autorizar a DIGICRD, S.A. de C.V. la Solicitud de Interrupción de Servicios. </w:t>
      </w:r>
    </w:p>
    <w:p w14:paraId="56A23A80" w14:textId="4B68FF76" w:rsidR="00A82AD3" w:rsidRPr="00A82AD3" w:rsidRDefault="008C36E0" w:rsidP="00A82AD3">
      <w:pPr>
        <w:spacing w:before="240" w:line="240" w:lineRule="auto"/>
        <w:jc w:val="both"/>
        <w:rPr>
          <w:rFonts w:ascii="ITC Avant Garde" w:hAnsi="ITC Avant Garde"/>
          <w:bCs/>
          <w:color w:val="000000"/>
          <w:lang w:eastAsia="es-MX"/>
        </w:rPr>
      </w:pPr>
      <w:r w:rsidRPr="00A82AD3">
        <w:rPr>
          <w:rFonts w:ascii="ITC Avant Garde" w:hAnsi="ITC Avant Garde"/>
          <w:b/>
          <w:bCs/>
          <w:color w:val="000000"/>
          <w:lang w:eastAsia="es-MX"/>
        </w:rPr>
        <w:t xml:space="preserve">Cuarto.- Cobro sobre el pago de derechos por diversos trámites ante la entrada en vigor de la Ley Federal de Derechos vigente. </w:t>
      </w:r>
      <w:r w:rsidR="00836E97" w:rsidRPr="00A82AD3">
        <w:rPr>
          <w:rFonts w:ascii="ITC Avant Garde" w:hAnsi="ITC Avant Garde"/>
          <w:bCs/>
          <w:color w:val="000000"/>
          <w:lang w:eastAsia="es-MX"/>
        </w:rPr>
        <w:t xml:space="preserve">La Solicitud de Interrupción de Servicios fue acompañada de 42 (cuarenta y dos) comprobantes de pago por concepto del estudio </w:t>
      </w:r>
      <w:r w:rsidR="00836E97" w:rsidRPr="00A82AD3">
        <w:rPr>
          <w:rFonts w:ascii="ITC Avant Garde" w:hAnsi="ITC Avant Garde"/>
          <w:bCs/>
          <w:color w:val="000000"/>
          <w:lang w:eastAsia="es-MX"/>
        </w:rPr>
        <w:lastRenderedPageBreak/>
        <w:t xml:space="preserve">de la modificación de las características de uso, aprovechamiento o explotación de frecuencias o bandas de </w:t>
      </w:r>
      <w:r w:rsidR="00FC4639" w:rsidRPr="00A82AD3">
        <w:rPr>
          <w:rFonts w:ascii="ITC Avant Garde" w:hAnsi="ITC Avant Garde"/>
          <w:bCs/>
          <w:color w:val="000000"/>
          <w:lang w:eastAsia="es-MX"/>
        </w:rPr>
        <w:t>frecuencias</w:t>
      </w:r>
      <w:r w:rsidR="00836E97" w:rsidRPr="00A82AD3">
        <w:rPr>
          <w:rFonts w:ascii="ITC Avant Garde" w:hAnsi="ITC Avant Garde"/>
          <w:bCs/>
          <w:color w:val="000000"/>
          <w:lang w:eastAsia="es-MX"/>
        </w:rPr>
        <w:t xml:space="preserve"> concesionadas, de conformidad con el artículo 97 fracción VI inciso a) de la Ley Federal de Derechos vigente al momento de la presentación de la </w:t>
      </w:r>
      <w:r w:rsidR="00FC4639" w:rsidRPr="00A82AD3">
        <w:rPr>
          <w:rFonts w:ascii="ITC Avant Garde" w:hAnsi="ITC Avant Garde"/>
          <w:bCs/>
          <w:color w:val="000000"/>
          <w:lang w:eastAsia="es-MX"/>
        </w:rPr>
        <w:t>citada solicitud</w:t>
      </w:r>
      <w:r w:rsidR="00836E97" w:rsidRPr="00A82AD3">
        <w:rPr>
          <w:rFonts w:ascii="ITC Avant Garde" w:hAnsi="ITC Avant Garde"/>
          <w:bCs/>
          <w:color w:val="000000"/>
          <w:lang w:eastAsia="es-MX"/>
        </w:rPr>
        <w:t xml:space="preserve">. </w:t>
      </w:r>
    </w:p>
    <w:p w14:paraId="4A152B23" w14:textId="77777777" w:rsidR="00A82AD3" w:rsidRPr="00A82AD3" w:rsidRDefault="00836E97" w:rsidP="00A82AD3">
      <w:pPr>
        <w:spacing w:before="240" w:line="240" w:lineRule="auto"/>
        <w:jc w:val="both"/>
        <w:rPr>
          <w:rFonts w:ascii="ITC Avant Garde" w:hAnsi="ITC Avant Garde"/>
          <w:color w:val="000000"/>
          <w:lang w:eastAsia="es-MX"/>
        </w:rPr>
      </w:pPr>
      <w:r w:rsidRPr="00A82AD3">
        <w:rPr>
          <w:rFonts w:ascii="ITC Avant Garde" w:hAnsi="ITC Avant Garde"/>
          <w:bCs/>
          <w:color w:val="000000"/>
          <w:lang w:eastAsia="es-MX"/>
        </w:rPr>
        <w:t xml:space="preserve">Sin embargo, </w:t>
      </w:r>
      <w:r w:rsidRPr="00A82AD3">
        <w:rPr>
          <w:rFonts w:ascii="ITC Avant Garde" w:hAnsi="ITC Avant Garde"/>
          <w:color w:val="000000"/>
          <w:lang w:eastAsia="es-MX"/>
        </w:rPr>
        <w:t>e</w:t>
      </w:r>
      <w:r w:rsidR="008C36E0" w:rsidRPr="00A82AD3">
        <w:rPr>
          <w:rFonts w:ascii="ITC Avant Garde" w:hAnsi="ITC Avant Garde"/>
          <w:color w:val="000000"/>
          <w:lang w:eastAsia="es-MX"/>
        </w:rPr>
        <w:t>l 18 de noviembre de 2015 se publicó en el Diario Oficial de la Federación el “</w:t>
      </w:r>
      <w:r w:rsidR="008C36E0" w:rsidRPr="00A82AD3">
        <w:rPr>
          <w:rFonts w:ascii="ITC Avant Garde" w:hAnsi="ITC Avant Garde"/>
          <w:iCs/>
          <w:color w:val="000000"/>
          <w:lang w:eastAsia="es-MX"/>
        </w:rPr>
        <w:t>Decreto por el que se reforman, adicionan y derogan diversas disposiciones de la Ley Federal de Derechos</w:t>
      </w:r>
      <w:r w:rsidR="008C36E0" w:rsidRPr="00A82AD3">
        <w:rPr>
          <w:rFonts w:ascii="ITC Avant Garde" w:hAnsi="ITC Avant Garde"/>
          <w:color w:val="000000"/>
          <w:lang w:eastAsia="es-MX"/>
        </w:rPr>
        <w:t xml:space="preserve">”, mismo que entró en vigor el 1° de enero de 2016. Por virtud de este decreto se derogó,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w:t>
      </w:r>
    </w:p>
    <w:p w14:paraId="7E806CD4" w14:textId="77777777" w:rsidR="00A82AD3" w:rsidRPr="00A82AD3" w:rsidRDefault="008C36E0" w:rsidP="00A82AD3">
      <w:pPr>
        <w:spacing w:before="240" w:line="240" w:lineRule="auto"/>
        <w:jc w:val="both"/>
        <w:rPr>
          <w:rFonts w:ascii="ITC Avant Garde" w:hAnsi="ITC Avant Garde"/>
          <w:color w:val="000000"/>
          <w:lang w:eastAsia="es-MX"/>
        </w:rPr>
      </w:pPr>
      <w:r w:rsidRPr="00A82AD3">
        <w:rPr>
          <w:rFonts w:ascii="ITC Avant Garde" w:hAnsi="ITC Avant Garde"/>
          <w:color w:val="000000"/>
          <w:lang w:eastAsia="es-MX"/>
        </w:rPr>
        <w:t>Derivado de lo anterior, y en atención a lo establecido por el artículo 6o. del Código Fiscal de la Federación, se debe tener en cuenta que el hecho generador de los derechos derivados de la autorización de modificaciones a los títulos de concesión se actualizan al momento de la emisión y notificación de la presente resolución y que el artículo 97 de la Ley Federal de Derechos, al haber sido derogado, no puede ser aplicado al trámite que nos ocupa.</w:t>
      </w:r>
    </w:p>
    <w:p w14:paraId="52B23AEC" w14:textId="77777777" w:rsidR="00A82AD3" w:rsidRPr="00A82AD3" w:rsidRDefault="008C36E0" w:rsidP="00A82AD3">
      <w:pPr>
        <w:spacing w:before="240" w:line="240" w:lineRule="auto"/>
        <w:jc w:val="both"/>
        <w:rPr>
          <w:rFonts w:ascii="ITC Avant Garde" w:hAnsi="ITC Avant Garde"/>
          <w:color w:val="000000"/>
          <w:lang w:eastAsia="es-MX"/>
        </w:rPr>
      </w:pPr>
      <w:r w:rsidRPr="00A82AD3">
        <w:rPr>
          <w:rFonts w:ascii="ITC Avant Garde" w:hAnsi="ITC Avant Garde"/>
          <w:color w:val="000000"/>
          <w:lang w:eastAsia="es-MX"/>
        </w:rPr>
        <w:t xml:space="preserve">En este sentido, la Ley Federal de Derechos vigente a partir del 1º de enero de 2016 estableció en su artículo 174-C un nuevo sistema de cobro de derechos para los trámites relativos al estudio y, en su caso, autorización de solicitudes de modificaciones técnicas, administrativas, operativas y legales de los títulos de concesión en materia de telecomunicaciones y radiodifusión. No obstante, dicho artículo no contempla un concepto </w:t>
      </w:r>
      <w:r w:rsidR="005518E9" w:rsidRPr="00A82AD3">
        <w:rPr>
          <w:rFonts w:ascii="ITC Avant Garde" w:hAnsi="ITC Avant Garde"/>
          <w:color w:val="000000"/>
          <w:lang w:eastAsia="es-MX"/>
        </w:rPr>
        <w:t xml:space="preserve">que prevea la autorización de la modificación de las características de uso, aprovechamiento o explotación de frecuencias o bandas de frecuencias concesionadas. </w:t>
      </w:r>
      <w:r w:rsidRPr="00A82AD3">
        <w:rPr>
          <w:rFonts w:ascii="ITC Avant Garde" w:hAnsi="ITC Avant Garde"/>
          <w:color w:val="000000"/>
          <w:lang w:eastAsia="es-MX"/>
        </w:rPr>
        <w:t>Bajo ese tenor, conforme a la normatividad vigente en la fecha en que se realizó la petición, procedería realizar el cobro por la autorización correspondiente.</w:t>
      </w:r>
    </w:p>
    <w:p w14:paraId="74EA335F" w14:textId="77777777" w:rsidR="00A82AD3" w:rsidRPr="00A82AD3" w:rsidRDefault="008C36E0" w:rsidP="00A82AD3">
      <w:pPr>
        <w:spacing w:before="240" w:line="240" w:lineRule="auto"/>
        <w:jc w:val="both"/>
        <w:rPr>
          <w:rFonts w:ascii="ITC Avant Garde" w:hAnsi="ITC Avant Garde"/>
          <w:color w:val="000000"/>
          <w:lang w:eastAsia="es-MX"/>
        </w:rPr>
      </w:pPr>
      <w:r w:rsidRPr="00A82AD3">
        <w:rPr>
          <w:rFonts w:ascii="ITC Avant Garde" w:hAnsi="ITC Avant Garde"/>
          <w:color w:val="000000"/>
          <w:lang w:eastAsia="es-MX"/>
        </w:rPr>
        <w:t xml:space="preserve">Sin embargo, dado que la normatividad vigente no prevé un pago por el estudio y, en su caso, la autorización de solicitudes de modificaciones </w:t>
      </w:r>
      <w:r w:rsidR="00286697" w:rsidRPr="00A82AD3">
        <w:rPr>
          <w:rFonts w:ascii="ITC Avant Garde" w:hAnsi="ITC Avant Garde"/>
          <w:color w:val="000000"/>
          <w:lang w:eastAsia="es-MX"/>
        </w:rPr>
        <w:t>de las características de uso, aprovechamiento o explotación de frecuencias o bandas de frecuencias concesionadas,</w:t>
      </w:r>
      <w:r w:rsidRPr="00A82AD3">
        <w:rPr>
          <w:rFonts w:ascii="ITC Avant Garde" w:hAnsi="ITC Avant Garde"/>
          <w:color w:val="000000"/>
          <w:lang w:eastAsia="es-MX"/>
        </w:rPr>
        <w:t xml:space="preserve"> como es el caso que nos ocupa, y que tratándose de disposiciones de carácter fiscal, se debe atender al principio de exacta aplicación de las mismas, no procede aplicar el cobro por la autorización de la Solicitud de </w:t>
      </w:r>
      <w:r w:rsidR="00286697" w:rsidRPr="00A82AD3">
        <w:rPr>
          <w:rFonts w:ascii="ITC Avant Garde" w:hAnsi="ITC Avant Garde"/>
          <w:color w:val="000000"/>
          <w:lang w:eastAsia="es-MX"/>
        </w:rPr>
        <w:t>Interrupción de Servicios</w:t>
      </w:r>
      <w:r w:rsidRPr="00A82AD3">
        <w:rPr>
          <w:rFonts w:ascii="ITC Avant Garde" w:hAnsi="ITC Avant Garde"/>
          <w:color w:val="000000"/>
          <w:lang w:eastAsia="es-MX"/>
        </w:rPr>
        <w:t>, toda vez que el mismo no se encuentra contemplado en la normatividad vigente.</w:t>
      </w:r>
    </w:p>
    <w:p w14:paraId="3E30A43B" w14:textId="77777777" w:rsidR="00A82AD3" w:rsidRPr="00A82AD3" w:rsidRDefault="00D44651" w:rsidP="00A82AD3">
      <w:pPr>
        <w:autoSpaceDE w:val="0"/>
        <w:autoSpaceDN w:val="0"/>
        <w:adjustRightInd w:val="0"/>
        <w:spacing w:before="240" w:line="240" w:lineRule="auto"/>
        <w:jc w:val="both"/>
        <w:rPr>
          <w:rFonts w:ascii="ITC Avant Garde" w:hAnsi="ITC Avant Garde"/>
          <w:bCs/>
        </w:rPr>
      </w:pPr>
      <w:r w:rsidRPr="00A82AD3">
        <w:rPr>
          <w:rFonts w:ascii="ITC Avant Garde" w:hAnsi="ITC Avant Garde"/>
          <w:bCs/>
        </w:rPr>
        <w:t xml:space="preserve">Por lo anteriormente señalado, y con fundamento en los artículos 28 párrafos décimo quinto, décimo sexto y décimo séptimo de la Constitución Política de los Estados Unidos Mexicanos; </w:t>
      </w:r>
      <w:r w:rsidR="00906D4D" w:rsidRPr="00A82AD3">
        <w:rPr>
          <w:rFonts w:ascii="ITC Avant Garde" w:hAnsi="ITC Avant Garde"/>
          <w:bCs/>
        </w:rPr>
        <w:t xml:space="preserve">6 fracción IV, 15 </w:t>
      </w:r>
      <w:r w:rsidR="00AA24D3" w:rsidRPr="00A82AD3">
        <w:rPr>
          <w:rFonts w:ascii="ITC Avant Garde" w:hAnsi="ITC Avant Garde"/>
          <w:bCs/>
        </w:rPr>
        <w:t>fracción LXIII</w:t>
      </w:r>
      <w:r w:rsidR="00183DFE" w:rsidRPr="00A82AD3">
        <w:rPr>
          <w:rFonts w:ascii="ITC Avant Garde" w:hAnsi="ITC Avant Garde"/>
          <w:bCs/>
        </w:rPr>
        <w:t xml:space="preserve"> y 16</w:t>
      </w:r>
      <w:r w:rsidR="00AA24D3" w:rsidRPr="00A82AD3">
        <w:rPr>
          <w:rFonts w:ascii="ITC Avant Garde" w:hAnsi="ITC Avant Garde"/>
          <w:bCs/>
        </w:rPr>
        <w:t xml:space="preserve"> </w:t>
      </w:r>
      <w:r w:rsidR="00906D4D" w:rsidRPr="00A82AD3">
        <w:rPr>
          <w:rFonts w:ascii="ITC Avant Garde" w:hAnsi="ITC Avant Garde"/>
          <w:bCs/>
        </w:rPr>
        <w:t xml:space="preserve">de la Ley Federal de Telecomunicaciones </w:t>
      </w:r>
      <w:r w:rsidR="00906D4D" w:rsidRPr="00A82AD3">
        <w:rPr>
          <w:rFonts w:ascii="ITC Avant Garde" w:hAnsi="ITC Avant Garde"/>
          <w:bCs/>
        </w:rPr>
        <w:lastRenderedPageBreak/>
        <w:t xml:space="preserve">y Radiodifusión; </w:t>
      </w:r>
      <w:r w:rsidRPr="00A82AD3">
        <w:rPr>
          <w:rFonts w:ascii="ITC Avant Garde" w:hAnsi="ITC Avant Garde"/>
          <w:bCs/>
        </w:rPr>
        <w:t>35 fracción I, 36, 38, 39 y 57 fracción I de la Ley Federal de Procedimiento Administrativo</w:t>
      </w:r>
      <w:r w:rsidR="00A80AB6" w:rsidRPr="00A82AD3">
        <w:rPr>
          <w:rFonts w:ascii="ITC Avant Garde" w:hAnsi="ITC Avant Garde"/>
          <w:bCs/>
        </w:rPr>
        <w:t xml:space="preserve">; </w:t>
      </w:r>
      <w:r w:rsidR="004C6B78" w:rsidRPr="00A82AD3">
        <w:rPr>
          <w:rFonts w:ascii="ITC Avant Garde" w:hAnsi="ITC Avant Garde"/>
          <w:bCs/>
        </w:rPr>
        <w:t>1, 6 fracci</w:t>
      </w:r>
      <w:r w:rsidR="00AA24D3" w:rsidRPr="00A82AD3">
        <w:rPr>
          <w:rFonts w:ascii="ITC Avant Garde" w:hAnsi="ITC Avant Garde"/>
          <w:bCs/>
        </w:rPr>
        <w:t xml:space="preserve">ones </w:t>
      </w:r>
      <w:r w:rsidR="004C6B78" w:rsidRPr="00A82AD3">
        <w:rPr>
          <w:rFonts w:ascii="ITC Avant Garde" w:hAnsi="ITC Avant Garde"/>
          <w:bCs/>
        </w:rPr>
        <w:t>I</w:t>
      </w:r>
      <w:r w:rsidR="00AA24D3" w:rsidRPr="00A82AD3">
        <w:rPr>
          <w:rFonts w:ascii="ITC Avant Garde" w:hAnsi="ITC Avant Garde"/>
          <w:bCs/>
        </w:rPr>
        <w:t xml:space="preserve"> y XXXVIII </w:t>
      </w:r>
      <w:r w:rsidR="004C6B78" w:rsidRPr="00A82AD3">
        <w:rPr>
          <w:rFonts w:ascii="ITC Avant Garde" w:hAnsi="ITC Avant Garde"/>
          <w:bCs/>
        </w:rPr>
        <w:t>del Estatuto Orgánico del Instituto Federal de Telecomunicaciones;</w:t>
      </w:r>
      <w:r w:rsidR="00AA24D3" w:rsidRPr="00A82AD3">
        <w:rPr>
          <w:rFonts w:ascii="ITC Avant Garde" w:hAnsi="ITC Avant Garde"/>
          <w:bCs/>
        </w:rPr>
        <w:t xml:space="preserve"> así como</w:t>
      </w:r>
      <w:r w:rsidR="00A3225D" w:rsidRPr="00A82AD3">
        <w:rPr>
          <w:rFonts w:ascii="ITC Avant Garde" w:hAnsi="ITC Avant Garde"/>
          <w:bCs/>
        </w:rPr>
        <w:t xml:space="preserve"> la</w:t>
      </w:r>
      <w:r w:rsidR="00AA24D3" w:rsidRPr="00A82AD3">
        <w:rPr>
          <w:rFonts w:ascii="ITC Avant Garde" w:hAnsi="ITC Avant Garde"/>
          <w:bCs/>
        </w:rPr>
        <w:t>s C</w:t>
      </w:r>
      <w:r w:rsidR="00A3225D" w:rsidRPr="00A82AD3">
        <w:rPr>
          <w:rFonts w:ascii="ITC Avant Garde" w:hAnsi="ITC Avant Garde"/>
          <w:bCs/>
        </w:rPr>
        <w:t>ondici</w:t>
      </w:r>
      <w:r w:rsidR="00AA24D3" w:rsidRPr="00A82AD3">
        <w:rPr>
          <w:rFonts w:ascii="ITC Avant Garde" w:hAnsi="ITC Avant Garde"/>
          <w:bCs/>
        </w:rPr>
        <w:t>ones 2.1 y 16 de las 42 (cuarenta y dos) Modificaciones y Prórrogas de las Concesiones para usar, aprovechar y explotar bandas de frecuencias del espectro radioeléctrico para usos determinados en los Estados Unidos Mexicanos otorgadas a DIGICRD, S.A. de C.V., el 6 de septiembre de 2013</w:t>
      </w:r>
      <w:r w:rsidR="004C6B78" w:rsidRPr="00A82AD3">
        <w:rPr>
          <w:rFonts w:ascii="ITC Avant Garde" w:hAnsi="ITC Avant Garde"/>
          <w:bCs/>
        </w:rPr>
        <w:t>, este órgano autónomo constitucional emite los siguientes:</w:t>
      </w:r>
    </w:p>
    <w:p w14:paraId="4164188B" w14:textId="77777777" w:rsidR="00A82AD3" w:rsidRPr="00A82AD3" w:rsidRDefault="00A21167" w:rsidP="00A82AD3">
      <w:pPr>
        <w:pStyle w:val="Ttulo2"/>
        <w:spacing w:after="240"/>
        <w:jc w:val="center"/>
        <w:rPr>
          <w:rFonts w:ascii="ITC Avant Garde" w:hAnsi="ITC Avant Garde"/>
          <w:b/>
          <w:color w:val="000000" w:themeColor="text1"/>
          <w:sz w:val="22"/>
          <w:szCs w:val="22"/>
        </w:rPr>
      </w:pPr>
      <w:bookmarkStart w:id="0" w:name="_GoBack"/>
      <w:r w:rsidRPr="00A82AD3">
        <w:rPr>
          <w:rFonts w:ascii="ITC Avant Garde" w:hAnsi="ITC Avant Garde"/>
          <w:b/>
          <w:color w:val="000000" w:themeColor="text1"/>
          <w:sz w:val="22"/>
          <w:szCs w:val="22"/>
        </w:rPr>
        <w:t>RESOLUTIVOS</w:t>
      </w:r>
    </w:p>
    <w:bookmarkEnd w:id="0"/>
    <w:p w14:paraId="4099F043" w14:textId="6B19371C" w:rsidR="00A82AD3" w:rsidRPr="00A82AD3" w:rsidRDefault="00A21167" w:rsidP="00A82AD3">
      <w:pPr>
        <w:autoSpaceDE w:val="0"/>
        <w:autoSpaceDN w:val="0"/>
        <w:adjustRightInd w:val="0"/>
        <w:spacing w:before="240" w:line="240" w:lineRule="auto"/>
        <w:jc w:val="both"/>
        <w:rPr>
          <w:rFonts w:ascii="ITC Avant Garde" w:hAnsi="ITC Avant Garde"/>
          <w:bCs/>
          <w:color w:val="000000"/>
          <w:lang w:eastAsia="es-MX"/>
        </w:rPr>
      </w:pPr>
      <w:r w:rsidRPr="00A82AD3">
        <w:rPr>
          <w:rFonts w:ascii="ITC Avant Garde" w:hAnsi="ITC Avant Garde"/>
          <w:b/>
          <w:bCs/>
          <w:color w:val="000000"/>
          <w:lang w:eastAsia="es-MX"/>
        </w:rPr>
        <w:t>PRIMERO.-</w:t>
      </w:r>
      <w:r w:rsidR="00304638" w:rsidRPr="00A82AD3">
        <w:rPr>
          <w:rFonts w:ascii="ITC Avant Garde" w:hAnsi="ITC Avant Garde"/>
          <w:bCs/>
          <w:color w:val="000000"/>
          <w:lang w:eastAsia="es-MX"/>
        </w:rPr>
        <w:t xml:space="preserve"> Se </w:t>
      </w:r>
      <w:r w:rsidR="00E70448" w:rsidRPr="00A82AD3">
        <w:rPr>
          <w:rFonts w:ascii="ITC Avant Garde" w:hAnsi="ITC Avant Garde"/>
          <w:bCs/>
          <w:color w:val="000000"/>
          <w:lang w:eastAsia="es-MX"/>
        </w:rPr>
        <w:t xml:space="preserve">autoriza a </w:t>
      </w:r>
      <w:r w:rsidR="00E70448" w:rsidRPr="00A82AD3">
        <w:rPr>
          <w:rFonts w:ascii="ITC Avant Garde" w:hAnsi="ITC Avant Garde"/>
          <w:color w:val="000000"/>
          <w:lang w:eastAsia="es-MX"/>
        </w:rPr>
        <w:t>DIGICRD</w:t>
      </w:r>
      <w:r w:rsidR="00E70448" w:rsidRPr="00A82AD3">
        <w:rPr>
          <w:rFonts w:ascii="ITC Avant Garde" w:hAnsi="ITC Avant Garde"/>
          <w:bCs/>
        </w:rPr>
        <w:t xml:space="preserve">, S.A. de C.V. </w:t>
      </w:r>
      <w:r w:rsidR="00E70448" w:rsidRPr="00A82AD3">
        <w:rPr>
          <w:rFonts w:ascii="ITC Avant Garde" w:hAnsi="ITC Avant Garde"/>
          <w:bCs/>
          <w:color w:val="000000"/>
          <w:lang w:eastAsia="es-MX"/>
        </w:rPr>
        <w:t xml:space="preserve">la </w:t>
      </w:r>
      <w:r w:rsidR="0004048F" w:rsidRPr="00A82AD3">
        <w:rPr>
          <w:rFonts w:ascii="ITC Avant Garde" w:hAnsi="ITC Avant Garde"/>
          <w:bCs/>
          <w:color w:val="000000"/>
          <w:lang w:eastAsia="es-MX"/>
        </w:rPr>
        <w:t>interrupción de los servicios de televisión y audio restringidos</w:t>
      </w:r>
      <w:r w:rsidR="00E70448" w:rsidRPr="00A82AD3">
        <w:rPr>
          <w:rFonts w:ascii="ITC Avant Garde" w:hAnsi="ITC Avant Garde"/>
          <w:color w:val="000000"/>
        </w:rPr>
        <w:t xml:space="preserve"> en sus 42 (cuarenta y dos)</w:t>
      </w:r>
      <w:r w:rsidR="00B35B0A" w:rsidRPr="00A82AD3">
        <w:rPr>
          <w:rFonts w:ascii="ITC Avant Garde" w:hAnsi="ITC Avant Garde"/>
          <w:color w:val="000000"/>
        </w:rPr>
        <w:t xml:space="preserve"> </w:t>
      </w:r>
      <w:r w:rsidR="00B35B0A" w:rsidRPr="00A82AD3">
        <w:rPr>
          <w:rFonts w:ascii="ITC Avant Garde" w:hAnsi="ITC Avant Garde"/>
          <w:bCs/>
        </w:rPr>
        <w:t>Modificaciones y Prórrogas de las Concesiones para usar, aprovechar y explotar bandas de frecuencias del espectro radioeléctrico para usos determinados en los Estados Unidos Mexicanos otorgadas el 6 de septiembre de 2013 y que señalan en el Antecedente I de la presente Resolución</w:t>
      </w:r>
      <w:r w:rsidR="0004048F" w:rsidRPr="00A82AD3">
        <w:rPr>
          <w:rFonts w:ascii="ITC Avant Garde" w:hAnsi="ITC Avant Garde"/>
          <w:bCs/>
          <w:color w:val="000000"/>
          <w:lang w:eastAsia="es-MX"/>
        </w:rPr>
        <w:t>.</w:t>
      </w:r>
    </w:p>
    <w:p w14:paraId="1D27EF85" w14:textId="77777777" w:rsidR="00A82AD3" w:rsidRPr="00A82AD3" w:rsidRDefault="00183DFE" w:rsidP="00A82AD3">
      <w:pPr>
        <w:autoSpaceDE w:val="0"/>
        <w:autoSpaceDN w:val="0"/>
        <w:adjustRightInd w:val="0"/>
        <w:spacing w:before="240" w:line="240" w:lineRule="auto"/>
        <w:jc w:val="both"/>
        <w:rPr>
          <w:rFonts w:ascii="ITC Avant Garde" w:hAnsi="ITC Avant Garde"/>
          <w:bCs/>
          <w:color w:val="000000"/>
          <w:lang w:eastAsia="es-MX"/>
        </w:rPr>
      </w:pPr>
      <w:r w:rsidRPr="00A82AD3">
        <w:rPr>
          <w:rFonts w:ascii="ITC Avant Garde" w:hAnsi="ITC Avant Garde"/>
          <w:bCs/>
          <w:color w:val="000000"/>
          <w:lang w:eastAsia="es-MX"/>
        </w:rPr>
        <w:t>La</w:t>
      </w:r>
      <w:r w:rsidR="00AB39B5" w:rsidRPr="00A82AD3">
        <w:rPr>
          <w:rFonts w:ascii="ITC Avant Garde" w:hAnsi="ITC Avant Garde"/>
          <w:bCs/>
          <w:color w:val="000000"/>
          <w:lang w:eastAsia="es-MX"/>
        </w:rPr>
        <w:t xml:space="preserve"> autorización</w:t>
      </w:r>
      <w:r w:rsidRPr="00A82AD3">
        <w:rPr>
          <w:rFonts w:ascii="ITC Avant Garde" w:hAnsi="ITC Avant Garde"/>
          <w:bCs/>
          <w:color w:val="000000"/>
          <w:lang w:eastAsia="es-MX"/>
        </w:rPr>
        <w:t xml:space="preserve"> señalada</w:t>
      </w:r>
      <w:r w:rsidR="00AB39B5" w:rsidRPr="00A82AD3">
        <w:rPr>
          <w:rFonts w:ascii="ITC Avant Garde" w:hAnsi="ITC Avant Garde"/>
          <w:bCs/>
          <w:color w:val="000000"/>
          <w:lang w:eastAsia="es-MX"/>
        </w:rPr>
        <w:t xml:space="preserve"> </w:t>
      </w:r>
      <w:r w:rsidRPr="00A82AD3">
        <w:rPr>
          <w:rFonts w:ascii="ITC Avant Garde" w:hAnsi="ITC Avant Garde"/>
          <w:bCs/>
          <w:color w:val="000000"/>
          <w:lang w:eastAsia="es-MX"/>
        </w:rPr>
        <w:t>se otorga sin perjuicio de lo establecido por</w:t>
      </w:r>
      <w:r w:rsidR="00AB39B5" w:rsidRPr="00A82AD3">
        <w:rPr>
          <w:rFonts w:ascii="ITC Avant Garde" w:hAnsi="ITC Avant Garde"/>
          <w:bCs/>
          <w:color w:val="000000"/>
          <w:lang w:eastAsia="es-MX"/>
        </w:rPr>
        <w:t xml:space="preserve"> la Condición 2.1 de las 42 (cuarenta y dos) Modif</w:t>
      </w:r>
      <w:r w:rsidRPr="00A82AD3">
        <w:rPr>
          <w:rFonts w:ascii="ITC Avant Garde" w:hAnsi="ITC Avant Garde"/>
          <w:bCs/>
          <w:color w:val="000000"/>
          <w:lang w:eastAsia="es-MX"/>
        </w:rPr>
        <w:t xml:space="preserve">icaciones y Prórrogas mencionadas </w:t>
      </w:r>
      <w:r w:rsidR="00AB39B5" w:rsidRPr="00A82AD3">
        <w:rPr>
          <w:rFonts w:ascii="ITC Avant Garde" w:hAnsi="ITC Avant Garde"/>
          <w:bCs/>
          <w:color w:val="000000"/>
          <w:lang w:eastAsia="es-MX"/>
        </w:rPr>
        <w:t>en el párrafo que antecede</w:t>
      </w:r>
      <w:r w:rsidR="00F86AA0" w:rsidRPr="00A82AD3">
        <w:rPr>
          <w:rFonts w:ascii="ITC Avant Garde" w:hAnsi="ITC Avant Garde"/>
          <w:bCs/>
          <w:color w:val="000000"/>
          <w:lang w:eastAsia="es-MX"/>
        </w:rPr>
        <w:t>, así como de la resolución que en su momento emita el Pleno del Instituto Federal de Telecomunicaciones sobre la procedencia de la solicitud de servicios adicionales señalada en el Antecedente IX de la presente Resolución</w:t>
      </w:r>
      <w:r w:rsidR="00AB39B5" w:rsidRPr="00A82AD3">
        <w:rPr>
          <w:rFonts w:ascii="ITC Avant Garde" w:hAnsi="ITC Avant Garde"/>
          <w:bCs/>
          <w:color w:val="000000"/>
          <w:lang w:eastAsia="es-MX"/>
        </w:rPr>
        <w:t xml:space="preserve">. </w:t>
      </w:r>
    </w:p>
    <w:p w14:paraId="7E0169B1" w14:textId="77777777" w:rsidR="00A82AD3" w:rsidRPr="00A82AD3" w:rsidRDefault="004F7D2E" w:rsidP="00A82AD3">
      <w:pPr>
        <w:autoSpaceDE w:val="0"/>
        <w:autoSpaceDN w:val="0"/>
        <w:adjustRightInd w:val="0"/>
        <w:spacing w:before="240" w:line="240" w:lineRule="auto"/>
        <w:jc w:val="both"/>
        <w:rPr>
          <w:rFonts w:ascii="ITC Avant Garde" w:hAnsi="ITC Avant Garde"/>
          <w:bCs/>
        </w:rPr>
      </w:pPr>
      <w:r w:rsidRPr="00A82AD3">
        <w:rPr>
          <w:rFonts w:ascii="ITC Avant Garde" w:hAnsi="ITC Avant Garde"/>
          <w:b/>
          <w:bCs/>
        </w:rPr>
        <w:t>SEGUNDO.-</w:t>
      </w:r>
      <w:r w:rsidRPr="00A82AD3">
        <w:rPr>
          <w:rFonts w:ascii="ITC Avant Garde" w:hAnsi="ITC Avant Garde"/>
          <w:bCs/>
        </w:rPr>
        <w:t xml:space="preserve"> </w:t>
      </w:r>
      <w:r w:rsidR="00466B22" w:rsidRPr="00A82AD3">
        <w:rPr>
          <w:rFonts w:ascii="ITC Avant Garde" w:hAnsi="ITC Avant Garde"/>
          <w:bCs/>
        </w:rPr>
        <w:t xml:space="preserve">Se instruye a la </w:t>
      </w:r>
      <w:r w:rsidR="0004048F" w:rsidRPr="00A82AD3">
        <w:rPr>
          <w:rFonts w:ascii="ITC Avant Garde" w:hAnsi="ITC Avant Garde"/>
          <w:bCs/>
        </w:rPr>
        <w:t xml:space="preserve">Unidad de Concesiones y Servicios </w:t>
      </w:r>
      <w:r w:rsidR="00466B22" w:rsidRPr="00A82AD3">
        <w:rPr>
          <w:rFonts w:ascii="ITC Avant Garde" w:hAnsi="ITC Avant Garde"/>
          <w:bCs/>
        </w:rPr>
        <w:t xml:space="preserve">a </w:t>
      </w:r>
      <w:r w:rsidR="00183DFE" w:rsidRPr="00A82AD3">
        <w:rPr>
          <w:rFonts w:ascii="ITC Avant Garde" w:hAnsi="ITC Avant Garde"/>
          <w:bCs/>
        </w:rPr>
        <w:t>notificar a DIGICRD, S.A. de C.V., el contenido de la presente Resolución.</w:t>
      </w:r>
    </w:p>
    <w:p w14:paraId="26370EAA" w14:textId="77777777" w:rsidR="00A82AD3" w:rsidRPr="00A82AD3" w:rsidRDefault="00183DFE" w:rsidP="00A82AD3">
      <w:pPr>
        <w:autoSpaceDE w:val="0"/>
        <w:autoSpaceDN w:val="0"/>
        <w:adjustRightInd w:val="0"/>
        <w:spacing w:before="240" w:line="240" w:lineRule="auto"/>
        <w:jc w:val="both"/>
        <w:rPr>
          <w:rFonts w:ascii="ITC Avant Garde" w:hAnsi="ITC Avant Garde"/>
          <w:bCs/>
        </w:rPr>
      </w:pPr>
      <w:r w:rsidRPr="00A82AD3">
        <w:rPr>
          <w:rFonts w:ascii="ITC Avant Garde" w:hAnsi="ITC Avant Garde"/>
          <w:b/>
          <w:bCs/>
        </w:rPr>
        <w:t>TERCERO.-</w:t>
      </w:r>
      <w:r w:rsidRPr="00A82AD3">
        <w:rPr>
          <w:rFonts w:ascii="ITC Avant Garde" w:hAnsi="ITC Avant Garde"/>
          <w:bCs/>
        </w:rPr>
        <w:t xml:space="preserve"> Notifíquese a la </w:t>
      </w:r>
      <w:r w:rsidR="00466B22" w:rsidRPr="00A82AD3">
        <w:rPr>
          <w:rFonts w:ascii="ITC Avant Garde" w:hAnsi="ITC Avant Garde"/>
          <w:bCs/>
        </w:rPr>
        <w:t>Unidad de Cumplimiento el contenido de la presente Resolución</w:t>
      </w:r>
      <w:r w:rsidRPr="00A82AD3">
        <w:rPr>
          <w:rFonts w:ascii="ITC Avant Garde" w:hAnsi="ITC Avant Garde"/>
          <w:bCs/>
        </w:rPr>
        <w:t>,</w:t>
      </w:r>
      <w:r w:rsidR="00466B22" w:rsidRPr="00A82AD3">
        <w:rPr>
          <w:rFonts w:ascii="ITC Avant Garde" w:hAnsi="ITC Avant Garde"/>
          <w:bCs/>
        </w:rPr>
        <w:t xml:space="preserve"> para los efectos conducentes. </w:t>
      </w:r>
    </w:p>
    <w:p w14:paraId="44BA504B" w14:textId="77777777" w:rsidR="00A82AD3" w:rsidRPr="00A82AD3" w:rsidRDefault="00DA5B3C" w:rsidP="00A82AD3">
      <w:pPr>
        <w:pStyle w:val="Prrafodelista"/>
        <w:spacing w:before="240" w:after="200"/>
        <w:ind w:left="0"/>
        <w:jc w:val="both"/>
        <w:rPr>
          <w:rFonts w:ascii="ITC Avant Garde" w:hAnsi="ITC Avant Garde"/>
          <w:sz w:val="14"/>
          <w:szCs w:val="14"/>
        </w:rPr>
      </w:pPr>
      <w:r w:rsidRPr="00A82AD3">
        <w:rPr>
          <w:rFonts w:ascii="ITC Avant Garde" w:hAnsi="ITC Avant Garde"/>
          <w:sz w:val="14"/>
          <w:szCs w:val="14"/>
        </w:rPr>
        <w:t xml:space="preserve">La presente Resolución fue aprobada por el Pleno del Instituto Federal de Telecomunicaciones en su XII Sesión Ordinaria celebrada el 22 de marzo de 2017, </w:t>
      </w:r>
      <w:r w:rsidRPr="00A82AD3">
        <w:rPr>
          <w:rFonts w:ascii="ITC Avant Garde" w:hAnsi="ITC Avant Garde"/>
          <w:bCs/>
          <w:sz w:val="14"/>
          <w:szCs w:val="14"/>
        </w:rPr>
        <w:t>por mayoría</w:t>
      </w:r>
      <w:r w:rsidRPr="00A82AD3">
        <w:rPr>
          <w:rFonts w:ascii="ITC Avant Garde" w:hAnsi="ITC Avant Garde"/>
          <w:sz w:val="14"/>
          <w:szCs w:val="14"/>
        </w:rPr>
        <w:t xml:space="preserve"> de votos de los Comisionados Gabriel Oswaldo Contreras Saldívar, María Elena Estavillo Flores, Mario Germán Fromow Rangel y Javier Juárez Mojica; y con los votos en contra de la Comisionada Adriana Sofía Labardini Inzunza y del Comisionado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P/IFT/220317/158.</w:t>
      </w:r>
    </w:p>
    <w:p w14:paraId="7D419CAA" w14:textId="05E1DBCF" w:rsidR="001B019E" w:rsidRPr="00A82AD3" w:rsidRDefault="00DA5B3C" w:rsidP="00A82AD3">
      <w:pPr>
        <w:pStyle w:val="N1IFT"/>
        <w:spacing w:before="240" w:line="240" w:lineRule="auto"/>
        <w:rPr>
          <w:bCs w:val="0"/>
        </w:rPr>
      </w:pPr>
      <w:r w:rsidRPr="00A82AD3">
        <w:rPr>
          <w:b w:val="0"/>
          <w:bCs w:val="0"/>
          <w:sz w:val="14"/>
          <w:szCs w:val="14"/>
          <w:lang w:val="es-ES"/>
        </w:rPr>
        <w:t>La Comisionada Adriana Sofía Labardini Inzunza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sectPr w:rsidR="001B019E" w:rsidRPr="00A82AD3" w:rsidSect="00DA2EA0">
      <w:headerReference w:type="even" r:id="rId8"/>
      <w:footerReference w:type="default" r:id="rId9"/>
      <w:headerReference w:type="first" r:id="rId10"/>
      <w:pgSz w:w="12240" w:h="15840"/>
      <w:pgMar w:top="2127" w:right="1418" w:bottom="212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AB963" w14:textId="77777777" w:rsidR="009C3E26" w:rsidRDefault="009C3E26">
      <w:pPr>
        <w:spacing w:after="0" w:line="240" w:lineRule="auto"/>
      </w:pPr>
      <w:r>
        <w:separator/>
      </w:r>
    </w:p>
  </w:endnote>
  <w:endnote w:type="continuationSeparator" w:id="0">
    <w:p w14:paraId="541C50B8" w14:textId="77777777" w:rsidR="009C3E26" w:rsidRDefault="009C3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4F080" w14:textId="77777777" w:rsidR="00DB4ECB" w:rsidRPr="004C7979" w:rsidRDefault="00DB4ECB" w:rsidP="008B7C55">
    <w:pPr>
      <w:ind w:left="5670" w:right="49"/>
      <w:jc w:val="right"/>
      <w:rPr>
        <w:sz w:val="18"/>
        <w:szCs w:val="18"/>
      </w:rPr>
    </w:pPr>
    <w:r w:rsidRPr="004C7979">
      <w:rPr>
        <w:rFonts w:ascii="ITC Avant Garde" w:hAnsi="ITC Avant Garde" w:cs="Calibri"/>
        <w:sz w:val="18"/>
        <w:szCs w:val="18"/>
      </w:rPr>
      <w:t xml:space="preserve">Página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A82AD3">
      <w:rPr>
        <w:rFonts w:ascii="ITC Avant Garde" w:hAnsi="ITC Avant Garde" w:cs="Calibri"/>
        <w:noProof/>
        <w:sz w:val="18"/>
        <w:szCs w:val="18"/>
      </w:rPr>
      <w:t>15</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A82AD3">
      <w:rPr>
        <w:rFonts w:ascii="ITC Avant Garde" w:hAnsi="ITC Avant Garde" w:cs="Calibri"/>
        <w:noProof/>
        <w:sz w:val="18"/>
        <w:szCs w:val="18"/>
      </w:rPr>
      <w:t>15</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74C4A" w14:textId="77777777" w:rsidR="009C3E26" w:rsidRDefault="009C3E26">
      <w:pPr>
        <w:spacing w:after="0" w:line="240" w:lineRule="auto"/>
      </w:pPr>
      <w:r>
        <w:separator/>
      </w:r>
    </w:p>
  </w:footnote>
  <w:footnote w:type="continuationSeparator" w:id="0">
    <w:p w14:paraId="17E8002C" w14:textId="77777777" w:rsidR="009C3E26" w:rsidRDefault="009C3E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E0441" w14:textId="77777777" w:rsidR="00DB4ECB" w:rsidRDefault="009C3E26">
    <w:pPr>
      <w:pStyle w:val="Encabezado"/>
    </w:pPr>
    <w:r>
      <w:rPr>
        <w:noProof/>
        <w:lang w:eastAsia="es-MX"/>
      </w:rPr>
      <w:pict w14:anchorId="0A25E0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CE269" w14:textId="77777777" w:rsidR="00DB4ECB" w:rsidRPr="000F5E4B" w:rsidRDefault="009C3E26">
    <w:pPr>
      <w:pStyle w:val="Encabezado"/>
      <w:rPr>
        <w:b/>
      </w:rPr>
    </w:pPr>
    <w:r>
      <w:rPr>
        <w:b/>
        <w:noProof/>
        <w:lang w:eastAsia="es-MX"/>
      </w:rPr>
      <w:pict w14:anchorId="128966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5086"/>
    <w:multiLevelType w:val="hybridMultilevel"/>
    <w:tmpl w:val="13889EAC"/>
    <w:lvl w:ilvl="0" w:tplc="9F52BBA0">
      <w:start w:val="1"/>
      <w:numFmt w:val="lowerLetter"/>
      <w:lvlText w:val="%1)"/>
      <w:lvlJc w:val="left"/>
      <w:pPr>
        <w:ind w:left="1789" w:hanging="360"/>
      </w:pPr>
      <w:rPr>
        <w:rFonts w:hint="default"/>
        <w:sz w:val="18"/>
        <w:szCs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 w15:restartNumberingAfterBreak="0">
    <w:nsid w:val="261B1E57"/>
    <w:multiLevelType w:val="hybridMultilevel"/>
    <w:tmpl w:val="4B42B39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280D46ED"/>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3F63279"/>
    <w:multiLevelType w:val="hybridMultilevel"/>
    <w:tmpl w:val="04D4BB8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3D855FD8"/>
    <w:multiLevelType w:val="hybridMultilevel"/>
    <w:tmpl w:val="7D721240"/>
    <w:lvl w:ilvl="0" w:tplc="080A0013">
      <w:start w:val="1"/>
      <w:numFmt w:val="upperRoman"/>
      <w:lvlText w:val="%1."/>
      <w:lvlJc w:val="righ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5" w15:restartNumberingAfterBreak="0">
    <w:nsid w:val="45EE7362"/>
    <w:multiLevelType w:val="hybridMultilevel"/>
    <w:tmpl w:val="090EABDA"/>
    <w:lvl w:ilvl="0" w:tplc="5A420966">
      <w:start w:val="1"/>
      <w:numFmt w:val="upperRoman"/>
      <w:lvlText w:val="%1."/>
      <w:lvlJc w:val="left"/>
      <w:pPr>
        <w:ind w:left="1080" w:hanging="720"/>
      </w:pPr>
      <w:rPr>
        <w:rFonts w:ascii="ITC Avant Garde Std Bk" w:eastAsia="Calibri" w:hAnsi="ITC Avant Garde Std Bk" w:cs="Times New Roman"/>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8466F35"/>
    <w:multiLevelType w:val="hybridMultilevel"/>
    <w:tmpl w:val="8A08CED6"/>
    <w:lvl w:ilvl="0" w:tplc="AFFCE6F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7" w15:restartNumberingAfterBreak="0">
    <w:nsid w:val="4A804351"/>
    <w:multiLevelType w:val="multilevel"/>
    <w:tmpl w:val="69DA48D6"/>
    <w:lvl w:ilvl="0">
      <w:start w:val="1"/>
      <w:numFmt w:val="decimal"/>
      <w:lvlText w:val="%1."/>
      <w:lvlJc w:val="left"/>
      <w:pPr>
        <w:ind w:left="720" w:hanging="360"/>
      </w:pPr>
      <w:rPr>
        <w:rFonts w:hint="default"/>
        <w:b/>
        <w:sz w:val="20"/>
        <w:szCs w:val="20"/>
      </w:rPr>
    </w:lvl>
    <w:lvl w:ilvl="1">
      <w:start w:val="1"/>
      <w:numFmt w:val="bullet"/>
      <w:lvlText w:val=""/>
      <w:lvlJc w:val="left"/>
      <w:pPr>
        <w:ind w:left="1440" w:hanging="360"/>
      </w:pPr>
      <w:rPr>
        <w:rFonts w:ascii="Symbol" w:hAnsi="Symbol"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B4F6722"/>
    <w:multiLevelType w:val="hybridMultilevel"/>
    <w:tmpl w:val="8E7812C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15:restartNumberingAfterBreak="0">
    <w:nsid w:val="5B41211A"/>
    <w:multiLevelType w:val="hybridMultilevel"/>
    <w:tmpl w:val="1B9E066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60D7519B"/>
    <w:multiLevelType w:val="multilevel"/>
    <w:tmpl w:val="C0C0FCA4"/>
    <w:lvl w:ilvl="0">
      <w:start w:val="1"/>
      <w:numFmt w:val="decimal"/>
      <w:lvlText w:val="%1."/>
      <w:lvlJc w:val="left"/>
      <w:pPr>
        <w:ind w:left="720" w:hanging="360"/>
      </w:pPr>
      <w:rPr>
        <w:rFonts w:hint="default"/>
        <w:b/>
        <w:sz w:val="20"/>
        <w:szCs w:val="20"/>
      </w:rPr>
    </w:lvl>
    <w:lvl w:ilvl="1">
      <w:start w:val="1"/>
      <w:numFmt w:val="low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28722DE"/>
    <w:multiLevelType w:val="hybridMultilevel"/>
    <w:tmpl w:val="48D0E9AE"/>
    <w:lvl w:ilvl="0" w:tplc="CD3AD746">
      <w:start w:val="2"/>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36977AA"/>
    <w:multiLevelType w:val="hybridMultilevel"/>
    <w:tmpl w:val="833CF99E"/>
    <w:lvl w:ilvl="0" w:tplc="ED0A23DE">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3" w15:restartNumberingAfterBreak="0">
    <w:nsid w:val="734903D3"/>
    <w:multiLevelType w:val="hybridMultilevel"/>
    <w:tmpl w:val="B568C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AB83B96"/>
    <w:multiLevelType w:val="hybridMultilevel"/>
    <w:tmpl w:val="C2AA7696"/>
    <w:lvl w:ilvl="0" w:tplc="D4BCAC34">
      <w:start w:val="1"/>
      <w:numFmt w:val="decimal"/>
      <w:lvlText w:val="%1."/>
      <w:lvlJc w:val="left"/>
      <w:pPr>
        <w:ind w:left="720" w:hanging="360"/>
      </w:pPr>
      <w:rPr>
        <w:rFonts w:ascii="ITC Avant Garde" w:hAnsi="ITC Avant Garde" w:cstheme="minorHAnsi" w:hint="default"/>
        <w:b/>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E073881"/>
    <w:multiLevelType w:val="hybridMultilevel"/>
    <w:tmpl w:val="9B7ED5A4"/>
    <w:lvl w:ilvl="0" w:tplc="B2B0BDFA">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EE32C1A"/>
    <w:multiLevelType w:val="hybridMultilevel"/>
    <w:tmpl w:val="3864C9D0"/>
    <w:lvl w:ilvl="0" w:tplc="080A0001">
      <w:start w:val="1"/>
      <w:numFmt w:val="bullet"/>
      <w:lvlText w:val=""/>
      <w:lvlJc w:val="left"/>
      <w:pPr>
        <w:ind w:left="749" w:hanging="360"/>
      </w:pPr>
      <w:rPr>
        <w:rFonts w:ascii="Symbol" w:hAnsi="Symbol" w:hint="default"/>
      </w:rPr>
    </w:lvl>
    <w:lvl w:ilvl="1" w:tplc="080A0003" w:tentative="1">
      <w:start w:val="1"/>
      <w:numFmt w:val="bullet"/>
      <w:lvlText w:val="o"/>
      <w:lvlJc w:val="left"/>
      <w:pPr>
        <w:ind w:left="1469" w:hanging="360"/>
      </w:pPr>
      <w:rPr>
        <w:rFonts w:ascii="Courier New" w:hAnsi="Courier New" w:cs="Courier New" w:hint="default"/>
      </w:rPr>
    </w:lvl>
    <w:lvl w:ilvl="2" w:tplc="080A0005" w:tentative="1">
      <w:start w:val="1"/>
      <w:numFmt w:val="bullet"/>
      <w:lvlText w:val=""/>
      <w:lvlJc w:val="left"/>
      <w:pPr>
        <w:ind w:left="2189" w:hanging="360"/>
      </w:pPr>
      <w:rPr>
        <w:rFonts w:ascii="Wingdings" w:hAnsi="Wingdings" w:hint="default"/>
      </w:rPr>
    </w:lvl>
    <w:lvl w:ilvl="3" w:tplc="080A0001" w:tentative="1">
      <w:start w:val="1"/>
      <w:numFmt w:val="bullet"/>
      <w:lvlText w:val=""/>
      <w:lvlJc w:val="left"/>
      <w:pPr>
        <w:ind w:left="2909" w:hanging="360"/>
      </w:pPr>
      <w:rPr>
        <w:rFonts w:ascii="Symbol" w:hAnsi="Symbol" w:hint="default"/>
      </w:rPr>
    </w:lvl>
    <w:lvl w:ilvl="4" w:tplc="080A0003" w:tentative="1">
      <w:start w:val="1"/>
      <w:numFmt w:val="bullet"/>
      <w:lvlText w:val="o"/>
      <w:lvlJc w:val="left"/>
      <w:pPr>
        <w:ind w:left="3629" w:hanging="360"/>
      </w:pPr>
      <w:rPr>
        <w:rFonts w:ascii="Courier New" w:hAnsi="Courier New" w:cs="Courier New" w:hint="default"/>
      </w:rPr>
    </w:lvl>
    <w:lvl w:ilvl="5" w:tplc="080A0005" w:tentative="1">
      <w:start w:val="1"/>
      <w:numFmt w:val="bullet"/>
      <w:lvlText w:val=""/>
      <w:lvlJc w:val="left"/>
      <w:pPr>
        <w:ind w:left="4349" w:hanging="360"/>
      </w:pPr>
      <w:rPr>
        <w:rFonts w:ascii="Wingdings" w:hAnsi="Wingdings" w:hint="default"/>
      </w:rPr>
    </w:lvl>
    <w:lvl w:ilvl="6" w:tplc="080A0001" w:tentative="1">
      <w:start w:val="1"/>
      <w:numFmt w:val="bullet"/>
      <w:lvlText w:val=""/>
      <w:lvlJc w:val="left"/>
      <w:pPr>
        <w:ind w:left="5069" w:hanging="360"/>
      </w:pPr>
      <w:rPr>
        <w:rFonts w:ascii="Symbol" w:hAnsi="Symbol" w:hint="default"/>
      </w:rPr>
    </w:lvl>
    <w:lvl w:ilvl="7" w:tplc="080A0003" w:tentative="1">
      <w:start w:val="1"/>
      <w:numFmt w:val="bullet"/>
      <w:lvlText w:val="o"/>
      <w:lvlJc w:val="left"/>
      <w:pPr>
        <w:ind w:left="5789" w:hanging="360"/>
      </w:pPr>
      <w:rPr>
        <w:rFonts w:ascii="Courier New" w:hAnsi="Courier New" w:cs="Courier New" w:hint="default"/>
      </w:rPr>
    </w:lvl>
    <w:lvl w:ilvl="8" w:tplc="080A0005" w:tentative="1">
      <w:start w:val="1"/>
      <w:numFmt w:val="bullet"/>
      <w:lvlText w:val=""/>
      <w:lvlJc w:val="left"/>
      <w:pPr>
        <w:ind w:left="6509" w:hanging="360"/>
      </w:pPr>
      <w:rPr>
        <w:rFonts w:ascii="Wingdings" w:hAnsi="Wingdings" w:hint="default"/>
      </w:rPr>
    </w:lvl>
  </w:abstractNum>
  <w:num w:numId="1">
    <w:abstractNumId w:val="5"/>
  </w:num>
  <w:num w:numId="2">
    <w:abstractNumId w:val="4"/>
  </w:num>
  <w:num w:numId="3">
    <w:abstractNumId w:val="12"/>
  </w:num>
  <w:num w:numId="4">
    <w:abstractNumId w:val="0"/>
  </w:num>
  <w:num w:numId="5">
    <w:abstractNumId w:val="6"/>
  </w:num>
  <w:num w:numId="6">
    <w:abstractNumId w:val="2"/>
  </w:num>
  <w:num w:numId="7">
    <w:abstractNumId w:val="11"/>
  </w:num>
  <w:num w:numId="8">
    <w:abstractNumId w:val="13"/>
  </w:num>
  <w:num w:numId="9">
    <w:abstractNumId w:val="15"/>
  </w:num>
  <w:num w:numId="10">
    <w:abstractNumId w:val="14"/>
  </w:num>
  <w:num w:numId="11">
    <w:abstractNumId w:val="8"/>
  </w:num>
  <w:num w:numId="12">
    <w:abstractNumId w:val="1"/>
  </w:num>
  <w:num w:numId="13">
    <w:abstractNumId w:val="3"/>
  </w:num>
  <w:num w:numId="14">
    <w:abstractNumId w:val="9"/>
  </w:num>
  <w:num w:numId="15">
    <w:abstractNumId w:val="7"/>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hideSpellingErrors/>
  <w:proofState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67"/>
    <w:rsid w:val="00000330"/>
    <w:rsid w:val="00000A39"/>
    <w:rsid w:val="00000DB3"/>
    <w:rsid w:val="00001285"/>
    <w:rsid w:val="000012C5"/>
    <w:rsid w:val="00001EC5"/>
    <w:rsid w:val="00001FAC"/>
    <w:rsid w:val="00002A65"/>
    <w:rsid w:val="0000585A"/>
    <w:rsid w:val="000061D2"/>
    <w:rsid w:val="00007C21"/>
    <w:rsid w:val="00011319"/>
    <w:rsid w:val="00012E21"/>
    <w:rsid w:val="00013458"/>
    <w:rsid w:val="00015592"/>
    <w:rsid w:val="000233D9"/>
    <w:rsid w:val="00023870"/>
    <w:rsid w:val="000250CC"/>
    <w:rsid w:val="00025B8A"/>
    <w:rsid w:val="00026886"/>
    <w:rsid w:val="00027C2C"/>
    <w:rsid w:val="000307D9"/>
    <w:rsid w:val="00033C31"/>
    <w:rsid w:val="00036728"/>
    <w:rsid w:val="0003732E"/>
    <w:rsid w:val="0004048F"/>
    <w:rsid w:val="0004073B"/>
    <w:rsid w:val="00040B35"/>
    <w:rsid w:val="0004109F"/>
    <w:rsid w:val="0004438A"/>
    <w:rsid w:val="00047266"/>
    <w:rsid w:val="00050C7C"/>
    <w:rsid w:val="00051286"/>
    <w:rsid w:val="00051475"/>
    <w:rsid w:val="000549DF"/>
    <w:rsid w:val="0006059D"/>
    <w:rsid w:val="00060720"/>
    <w:rsid w:val="000642D3"/>
    <w:rsid w:val="00064C98"/>
    <w:rsid w:val="000663E6"/>
    <w:rsid w:val="00070ADE"/>
    <w:rsid w:val="00071F11"/>
    <w:rsid w:val="000745CD"/>
    <w:rsid w:val="00075FE8"/>
    <w:rsid w:val="000807D9"/>
    <w:rsid w:val="00080962"/>
    <w:rsid w:val="00080E8D"/>
    <w:rsid w:val="00081015"/>
    <w:rsid w:val="00083217"/>
    <w:rsid w:val="000832AA"/>
    <w:rsid w:val="00085D0E"/>
    <w:rsid w:val="00092879"/>
    <w:rsid w:val="00096DE5"/>
    <w:rsid w:val="00097785"/>
    <w:rsid w:val="000A16DA"/>
    <w:rsid w:val="000A2907"/>
    <w:rsid w:val="000A3816"/>
    <w:rsid w:val="000A4353"/>
    <w:rsid w:val="000A6294"/>
    <w:rsid w:val="000A7878"/>
    <w:rsid w:val="000B2622"/>
    <w:rsid w:val="000B34C1"/>
    <w:rsid w:val="000B3875"/>
    <w:rsid w:val="000B3BB0"/>
    <w:rsid w:val="000B3D87"/>
    <w:rsid w:val="000B7685"/>
    <w:rsid w:val="000C3AE3"/>
    <w:rsid w:val="000C5D2B"/>
    <w:rsid w:val="000D1134"/>
    <w:rsid w:val="000D37B7"/>
    <w:rsid w:val="000D3C40"/>
    <w:rsid w:val="000D4E32"/>
    <w:rsid w:val="000E0C1B"/>
    <w:rsid w:val="000E2449"/>
    <w:rsid w:val="000E378B"/>
    <w:rsid w:val="000E56B0"/>
    <w:rsid w:val="000E56D1"/>
    <w:rsid w:val="000F3324"/>
    <w:rsid w:val="000F3734"/>
    <w:rsid w:val="000F3D4D"/>
    <w:rsid w:val="000F6C76"/>
    <w:rsid w:val="00100DCC"/>
    <w:rsid w:val="00101BE6"/>
    <w:rsid w:val="00103AE1"/>
    <w:rsid w:val="00106838"/>
    <w:rsid w:val="00110434"/>
    <w:rsid w:val="00112CE1"/>
    <w:rsid w:val="00112D03"/>
    <w:rsid w:val="00114D86"/>
    <w:rsid w:val="00115B23"/>
    <w:rsid w:val="00116FB7"/>
    <w:rsid w:val="00117597"/>
    <w:rsid w:val="00120BD4"/>
    <w:rsid w:val="00120E9D"/>
    <w:rsid w:val="001212CF"/>
    <w:rsid w:val="001237ED"/>
    <w:rsid w:val="00123C96"/>
    <w:rsid w:val="00123E66"/>
    <w:rsid w:val="0012630B"/>
    <w:rsid w:val="0012668A"/>
    <w:rsid w:val="00127E26"/>
    <w:rsid w:val="001402D9"/>
    <w:rsid w:val="00142818"/>
    <w:rsid w:val="001430CF"/>
    <w:rsid w:val="001444CB"/>
    <w:rsid w:val="0014534D"/>
    <w:rsid w:val="00151505"/>
    <w:rsid w:val="00154C94"/>
    <w:rsid w:val="001611A5"/>
    <w:rsid w:val="00165E2E"/>
    <w:rsid w:val="001661C2"/>
    <w:rsid w:val="00166997"/>
    <w:rsid w:val="0016797D"/>
    <w:rsid w:val="00176516"/>
    <w:rsid w:val="00177E68"/>
    <w:rsid w:val="0018019C"/>
    <w:rsid w:val="001809F3"/>
    <w:rsid w:val="00183A9E"/>
    <w:rsid w:val="00183DFE"/>
    <w:rsid w:val="0018519B"/>
    <w:rsid w:val="0019077C"/>
    <w:rsid w:val="0019177D"/>
    <w:rsid w:val="00192CF3"/>
    <w:rsid w:val="00192D6C"/>
    <w:rsid w:val="001935FC"/>
    <w:rsid w:val="00193D02"/>
    <w:rsid w:val="0019596A"/>
    <w:rsid w:val="0019756B"/>
    <w:rsid w:val="00197854"/>
    <w:rsid w:val="001A3B30"/>
    <w:rsid w:val="001A7CEA"/>
    <w:rsid w:val="001B019E"/>
    <w:rsid w:val="001B02B0"/>
    <w:rsid w:val="001B0F26"/>
    <w:rsid w:val="001B22D3"/>
    <w:rsid w:val="001B2DCE"/>
    <w:rsid w:val="001B3891"/>
    <w:rsid w:val="001B4290"/>
    <w:rsid w:val="001B49DD"/>
    <w:rsid w:val="001B61F6"/>
    <w:rsid w:val="001C0885"/>
    <w:rsid w:val="001C3E55"/>
    <w:rsid w:val="001C4862"/>
    <w:rsid w:val="001C49CD"/>
    <w:rsid w:val="001C4E34"/>
    <w:rsid w:val="001C50D8"/>
    <w:rsid w:val="001C689D"/>
    <w:rsid w:val="001D0F54"/>
    <w:rsid w:val="001D1C4E"/>
    <w:rsid w:val="001D29E0"/>
    <w:rsid w:val="001D2EC1"/>
    <w:rsid w:val="001D488F"/>
    <w:rsid w:val="001D63F7"/>
    <w:rsid w:val="001D7681"/>
    <w:rsid w:val="001D7887"/>
    <w:rsid w:val="001D78C5"/>
    <w:rsid w:val="001E2CA5"/>
    <w:rsid w:val="001E355F"/>
    <w:rsid w:val="001E5801"/>
    <w:rsid w:val="001E74D0"/>
    <w:rsid w:val="001E7FC5"/>
    <w:rsid w:val="001F5719"/>
    <w:rsid w:val="0020067E"/>
    <w:rsid w:val="002016F7"/>
    <w:rsid w:val="002024CA"/>
    <w:rsid w:val="00202B04"/>
    <w:rsid w:val="00203F3A"/>
    <w:rsid w:val="00205AE1"/>
    <w:rsid w:val="0020676E"/>
    <w:rsid w:val="00210F78"/>
    <w:rsid w:val="0021343B"/>
    <w:rsid w:val="00215955"/>
    <w:rsid w:val="00215FBE"/>
    <w:rsid w:val="0021633E"/>
    <w:rsid w:val="00216686"/>
    <w:rsid w:val="00220371"/>
    <w:rsid w:val="002275E8"/>
    <w:rsid w:val="002279D6"/>
    <w:rsid w:val="0023268A"/>
    <w:rsid w:val="0023291A"/>
    <w:rsid w:val="002333C5"/>
    <w:rsid w:val="00240157"/>
    <w:rsid w:val="00241080"/>
    <w:rsid w:val="0024177E"/>
    <w:rsid w:val="002418D1"/>
    <w:rsid w:val="00244F59"/>
    <w:rsid w:val="002465DA"/>
    <w:rsid w:val="00250695"/>
    <w:rsid w:val="00254EF4"/>
    <w:rsid w:val="002555F4"/>
    <w:rsid w:val="00255747"/>
    <w:rsid w:val="00257095"/>
    <w:rsid w:val="00265C20"/>
    <w:rsid w:val="002750A8"/>
    <w:rsid w:val="002766EF"/>
    <w:rsid w:val="00277047"/>
    <w:rsid w:val="00277791"/>
    <w:rsid w:val="00280377"/>
    <w:rsid w:val="0028232E"/>
    <w:rsid w:val="00282660"/>
    <w:rsid w:val="00283EB2"/>
    <w:rsid w:val="00284675"/>
    <w:rsid w:val="00286697"/>
    <w:rsid w:val="002866EA"/>
    <w:rsid w:val="00290497"/>
    <w:rsid w:val="002919E5"/>
    <w:rsid w:val="00292AAE"/>
    <w:rsid w:val="00293450"/>
    <w:rsid w:val="002942DD"/>
    <w:rsid w:val="002959C1"/>
    <w:rsid w:val="002964E0"/>
    <w:rsid w:val="002A04B8"/>
    <w:rsid w:val="002A18E1"/>
    <w:rsid w:val="002A40AB"/>
    <w:rsid w:val="002A42E5"/>
    <w:rsid w:val="002B4CC3"/>
    <w:rsid w:val="002B5B76"/>
    <w:rsid w:val="002B5DEC"/>
    <w:rsid w:val="002B5FC0"/>
    <w:rsid w:val="002B6972"/>
    <w:rsid w:val="002C0431"/>
    <w:rsid w:val="002C39F2"/>
    <w:rsid w:val="002C423D"/>
    <w:rsid w:val="002C48EB"/>
    <w:rsid w:val="002C60C7"/>
    <w:rsid w:val="002C7251"/>
    <w:rsid w:val="002C741A"/>
    <w:rsid w:val="002D1151"/>
    <w:rsid w:val="002D2E8F"/>
    <w:rsid w:val="002D30E4"/>
    <w:rsid w:val="002D3606"/>
    <w:rsid w:val="002D366D"/>
    <w:rsid w:val="002D3CD4"/>
    <w:rsid w:val="002D7C16"/>
    <w:rsid w:val="002E1633"/>
    <w:rsid w:val="002E377A"/>
    <w:rsid w:val="002E4425"/>
    <w:rsid w:val="002E5FF9"/>
    <w:rsid w:val="002E7B1D"/>
    <w:rsid w:val="002F312D"/>
    <w:rsid w:val="002F5806"/>
    <w:rsid w:val="002F628F"/>
    <w:rsid w:val="002F62AB"/>
    <w:rsid w:val="002F6DF0"/>
    <w:rsid w:val="00300229"/>
    <w:rsid w:val="00304638"/>
    <w:rsid w:val="00305335"/>
    <w:rsid w:val="00306C6A"/>
    <w:rsid w:val="00310112"/>
    <w:rsid w:val="00310114"/>
    <w:rsid w:val="003133ED"/>
    <w:rsid w:val="003138C9"/>
    <w:rsid w:val="00313FA9"/>
    <w:rsid w:val="00320C9D"/>
    <w:rsid w:val="00321296"/>
    <w:rsid w:val="00322619"/>
    <w:rsid w:val="00323B1D"/>
    <w:rsid w:val="00324F17"/>
    <w:rsid w:val="00326AAB"/>
    <w:rsid w:val="0032733D"/>
    <w:rsid w:val="00327891"/>
    <w:rsid w:val="00330B20"/>
    <w:rsid w:val="003361A0"/>
    <w:rsid w:val="00337647"/>
    <w:rsid w:val="00342288"/>
    <w:rsid w:val="003435D0"/>
    <w:rsid w:val="00344D39"/>
    <w:rsid w:val="00345151"/>
    <w:rsid w:val="0034698D"/>
    <w:rsid w:val="00347E61"/>
    <w:rsid w:val="00347ED3"/>
    <w:rsid w:val="00350850"/>
    <w:rsid w:val="00356D8C"/>
    <w:rsid w:val="00357CC7"/>
    <w:rsid w:val="0036145E"/>
    <w:rsid w:val="00364443"/>
    <w:rsid w:val="00364883"/>
    <w:rsid w:val="00367F58"/>
    <w:rsid w:val="00372DE4"/>
    <w:rsid w:val="003749F5"/>
    <w:rsid w:val="00377077"/>
    <w:rsid w:val="00382004"/>
    <w:rsid w:val="00383BB2"/>
    <w:rsid w:val="00385728"/>
    <w:rsid w:val="0038623F"/>
    <w:rsid w:val="003906F6"/>
    <w:rsid w:val="00392DF0"/>
    <w:rsid w:val="00397965"/>
    <w:rsid w:val="003A2E59"/>
    <w:rsid w:val="003A48A6"/>
    <w:rsid w:val="003A4F9B"/>
    <w:rsid w:val="003B04BE"/>
    <w:rsid w:val="003B287E"/>
    <w:rsid w:val="003C05C1"/>
    <w:rsid w:val="003C184D"/>
    <w:rsid w:val="003C2907"/>
    <w:rsid w:val="003C59CD"/>
    <w:rsid w:val="003C5B5E"/>
    <w:rsid w:val="003D0131"/>
    <w:rsid w:val="003D0CC6"/>
    <w:rsid w:val="003D2F8E"/>
    <w:rsid w:val="003D3B2F"/>
    <w:rsid w:val="003D431D"/>
    <w:rsid w:val="003D49D5"/>
    <w:rsid w:val="003D631F"/>
    <w:rsid w:val="003E09DF"/>
    <w:rsid w:val="003E41AD"/>
    <w:rsid w:val="003E57BD"/>
    <w:rsid w:val="003E5AEB"/>
    <w:rsid w:val="003F1130"/>
    <w:rsid w:val="003F3A84"/>
    <w:rsid w:val="003F7BD8"/>
    <w:rsid w:val="003F7F15"/>
    <w:rsid w:val="004052FB"/>
    <w:rsid w:val="00405C1A"/>
    <w:rsid w:val="00406A45"/>
    <w:rsid w:val="004077E1"/>
    <w:rsid w:val="00411B74"/>
    <w:rsid w:val="00412BD5"/>
    <w:rsid w:val="004132A6"/>
    <w:rsid w:val="00420111"/>
    <w:rsid w:val="00430794"/>
    <w:rsid w:val="00430C93"/>
    <w:rsid w:val="0043230F"/>
    <w:rsid w:val="004359A9"/>
    <w:rsid w:val="00436E0F"/>
    <w:rsid w:val="0044405A"/>
    <w:rsid w:val="00444158"/>
    <w:rsid w:val="00444BC2"/>
    <w:rsid w:val="004475CF"/>
    <w:rsid w:val="00450529"/>
    <w:rsid w:val="00451938"/>
    <w:rsid w:val="00451FE7"/>
    <w:rsid w:val="004522BC"/>
    <w:rsid w:val="0045412A"/>
    <w:rsid w:val="004547ED"/>
    <w:rsid w:val="00454B5A"/>
    <w:rsid w:val="00455529"/>
    <w:rsid w:val="00455C91"/>
    <w:rsid w:val="0046058C"/>
    <w:rsid w:val="00461D6D"/>
    <w:rsid w:val="00466B22"/>
    <w:rsid w:val="004677FE"/>
    <w:rsid w:val="00467E16"/>
    <w:rsid w:val="00470644"/>
    <w:rsid w:val="00472BBF"/>
    <w:rsid w:val="00472CA2"/>
    <w:rsid w:val="004747B6"/>
    <w:rsid w:val="00474D2E"/>
    <w:rsid w:val="0047581A"/>
    <w:rsid w:val="00477571"/>
    <w:rsid w:val="0048026D"/>
    <w:rsid w:val="00481FE0"/>
    <w:rsid w:val="0048522A"/>
    <w:rsid w:val="004854F5"/>
    <w:rsid w:val="00487173"/>
    <w:rsid w:val="0048765D"/>
    <w:rsid w:val="00493069"/>
    <w:rsid w:val="004A17AC"/>
    <w:rsid w:val="004A1D66"/>
    <w:rsid w:val="004A1DEF"/>
    <w:rsid w:val="004A67EA"/>
    <w:rsid w:val="004B1049"/>
    <w:rsid w:val="004B2E60"/>
    <w:rsid w:val="004B30A9"/>
    <w:rsid w:val="004B6453"/>
    <w:rsid w:val="004B6775"/>
    <w:rsid w:val="004B6A7C"/>
    <w:rsid w:val="004B6C3F"/>
    <w:rsid w:val="004B6D3F"/>
    <w:rsid w:val="004C0EB4"/>
    <w:rsid w:val="004C1E47"/>
    <w:rsid w:val="004C3458"/>
    <w:rsid w:val="004C35E0"/>
    <w:rsid w:val="004C4AA4"/>
    <w:rsid w:val="004C6AAB"/>
    <w:rsid w:val="004C6B78"/>
    <w:rsid w:val="004D0368"/>
    <w:rsid w:val="004D1610"/>
    <w:rsid w:val="004D5032"/>
    <w:rsid w:val="004D56D2"/>
    <w:rsid w:val="004E06F2"/>
    <w:rsid w:val="004E1462"/>
    <w:rsid w:val="004E5188"/>
    <w:rsid w:val="004E5697"/>
    <w:rsid w:val="004E57D2"/>
    <w:rsid w:val="004E7CEA"/>
    <w:rsid w:val="004F1186"/>
    <w:rsid w:val="004F1840"/>
    <w:rsid w:val="004F209D"/>
    <w:rsid w:val="004F3F34"/>
    <w:rsid w:val="004F587F"/>
    <w:rsid w:val="004F7077"/>
    <w:rsid w:val="004F7D2E"/>
    <w:rsid w:val="00503511"/>
    <w:rsid w:val="00503EA4"/>
    <w:rsid w:val="00505B7E"/>
    <w:rsid w:val="00505EC8"/>
    <w:rsid w:val="00511AD1"/>
    <w:rsid w:val="00512204"/>
    <w:rsid w:val="00514413"/>
    <w:rsid w:val="00515228"/>
    <w:rsid w:val="005162E0"/>
    <w:rsid w:val="0052036C"/>
    <w:rsid w:val="005209A6"/>
    <w:rsid w:val="00521534"/>
    <w:rsid w:val="00521622"/>
    <w:rsid w:val="00522413"/>
    <w:rsid w:val="00522F67"/>
    <w:rsid w:val="005234E2"/>
    <w:rsid w:val="00525023"/>
    <w:rsid w:val="0052622B"/>
    <w:rsid w:val="00526C78"/>
    <w:rsid w:val="00530F7D"/>
    <w:rsid w:val="00533B65"/>
    <w:rsid w:val="005435FB"/>
    <w:rsid w:val="00543D68"/>
    <w:rsid w:val="0054517B"/>
    <w:rsid w:val="00545263"/>
    <w:rsid w:val="00545C6B"/>
    <w:rsid w:val="00550305"/>
    <w:rsid w:val="00550DE9"/>
    <w:rsid w:val="005518E9"/>
    <w:rsid w:val="00554EF7"/>
    <w:rsid w:val="00556002"/>
    <w:rsid w:val="00556EB0"/>
    <w:rsid w:val="00560856"/>
    <w:rsid w:val="0056532D"/>
    <w:rsid w:val="00567074"/>
    <w:rsid w:val="00573BD7"/>
    <w:rsid w:val="005828C5"/>
    <w:rsid w:val="005833AD"/>
    <w:rsid w:val="00583D11"/>
    <w:rsid w:val="005864F6"/>
    <w:rsid w:val="00586EA8"/>
    <w:rsid w:val="005875B7"/>
    <w:rsid w:val="00587E80"/>
    <w:rsid w:val="00590E2D"/>
    <w:rsid w:val="00592ED7"/>
    <w:rsid w:val="00593A33"/>
    <w:rsid w:val="00596320"/>
    <w:rsid w:val="00597752"/>
    <w:rsid w:val="005A03CA"/>
    <w:rsid w:val="005A1BAA"/>
    <w:rsid w:val="005A2B9B"/>
    <w:rsid w:val="005A3E0F"/>
    <w:rsid w:val="005A67DB"/>
    <w:rsid w:val="005A68EC"/>
    <w:rsid w:val="005B1CA2"/>
    <w:rsid w:val="005B2605"/>
    <w:rsid w:val="005B2AD2"/>
    <w:rsid w:val="005B3347"/>
    <w:rsid w:val="005B401C"/>
    <w:rsid w:val="005B4CA7"/>
    <w:rsid w:val="005B5776"/>
    <w:rsid w:val="005B65AC"/>
    <w:rsid w:val="005C1FFE"/>
    <w:rsid w:val="005D0DCB"/>
    <w:rsid w:val="005D334A"/>
    <w:rsid w:val="005D5A45"/>
    <w:rsid w:val="005D7753"/>
    <w:rsid w:val="005E4BAA"/>
    <w:rsid w:val="005E5AF5"/>
    <w:rsid w:val="005F1011"/>
    <w:rsid w:val="005F364A"/>
    <w:rsid w:val="005F593A"/>
    <w:rsid w:val="00603703"/>
    <w:rsid w:val="00604568"/>
    <w:rsid w:val="00606E07"/>
    <w:rsid w:val="00613D40"/>
    <w:rsid w:val="006152A0"/>
    <w:rsid w:val="00624F3C"/>
    <w:rsid w:val="006252CC"/>
    <w:rsid w:val="00625509"/>
    <w:rsid w:val="00625D33"/>
    <w:rsid w:val="00626D1C"/>
    <w:rsid w:val="00626E56"/>
    <w:rsid w:val="00633802"/>
    <w:rsid w:val="00633D0A"/>
    <w:rsid w:val="0063419A"/>
    <w:rsid w:val="006403EF"/>
    <w:rsid w:val="0064600E"/>
    <w:rsid w:val="006479A6"/>
    <w:rsid w:val="00653F74"/>
    <w:rsid w:val="00654463"/>
    <w:rsid w:val="006557A9"/>
    <w:rsid w:val="00657C3E"/>
    <w:rsid w:val="00661E77"/>
    <w:rsid w:val="00663434"/>
    <w:rsid w:val="006648F1"/>
    <w:rsid w:val="006661C6"/>
    <w:rsid w:val="006663B2"/>
    <w:rsid w:val="006671C7"/>
    <w:rsid w:val="006672DF"/>
    <w:rsid w:val="0067127E"/>
    <w:rsid w:val="0067208F"/>
    <w:rsid w:val="0067221B"/>
    <w:rsid w:val="00672511"/>
    <w:rsid w:val="00672CF8"/>
    <w:rsid w:val="00673874"/>
    <w:rsid w:val="0067398F"/>
    <w:rsid w:val="00675245"/>
    <w:rsid w:val="006771BE"/>
    <w:rsid w:val="006800B1"/>
    <w:rsid w:val="00681322"/>
    <w:rsid w:val="00683CB5"/>
    <w:rsid w:val="006866E3"/>
    <w:rsid w:val="00686D49"/>
    <w:rsid w:val="00690808"/>
    <w:rsid w:val="00691C61"/>
    <w:rsid w:val="006924CE"/>
    <w:rsid w:val="006927B1"/>
    <w:rsid w:val="0069428F"/>
    <w:rsid w:val="00695B29"/>
    <w:rsid w:val="00696A47"/>
    <w:rsid w:val="006A12B1"/>
    <w:rsid w:val="006A18EC"/>
    <w:rsid w:val="006A236A"/>
    <w:rsid w:val="006A3782"/>
    <w:rsid w:val="006A7093"/>
    <w:rsid w:val="006A7C0B"/>
    <w:rsid w:val="006B1E2F"/>
    <w:rsid w:val="006B256D"/>
    <w:rsid w:val="006B33A6"/>
    <w:rsid w:val="006B5AD8"/>
    <w:rsid w:val="006B7B66"/>
    <w:rsid w:val="006C395F"/>
    <w:rsid w:val="006C4BD0"/>
    <w:rsid w:val="006C6786"/>
    <w:rsid w:val="006C7D38"/>
    <w:rsid w:val="006D034D"/>
    <w:rsid w:val="006D0F61"/>
    <w:rsid w:val="006D7254"/>
    <w:rsid w:val="006E1A8E"/>
    <w:rsid w:val="006E36E2"/>
    <w:rsid w:val="006E4264"/>
    <w:rsid w:val="006E4A53"/>
    <w:rsid w:val="006E5BF4"/>
    <w:rsid w:val="006E6252"/>
    <w:rsid w:val="006E770B"/>
    <w:rsid w:val="006F2054"/>
    <w:rsid w:val="006F44F1"/>
    <w:rsid w:val="007037F5"/>
    <w:rsid w:val="00717F69"/>
    <w:rsid w:val="00722C96"/>
    <w:rsid w:val="00723081"/>
    <w:rsid w:val="007248F6"/>
    <w:rsid w:val="007251E1"/>
    <w:rsid w:val="00725A89"/>
    <w:rsid w:val="007266CF"/>
    <w:rsid w:val="00726BF6"/>
    <w:rsid w:val="00731B82"/>
    <w:rsid w:val="00741A64"/>
    <w:rsid w:val="00743E16"/>
    <w:rsid w:val="00745EC7"/>
    <w:rsid w:val="007532D0"/>
    <w:rsid w:val="0076644D"/>
    <w:rsid w:val="007676F9"/>
    <w:rsid w:val="007757BE"/>
    <w:rsid w:val="007811EA"/>
    <w:rsid w:val="00781D73"/>
    <w:rsid w:val="00781FC3"/>
    <w:rsid w:val="00782474"/>
    <w:rsid w:val="0078455C"/>
    <w:rsid w:val="007879C3"/>
    <w:rsid w:val="007909B0"/>
    <w:rsid w:val="00792939"/>
    <w:rsid w:val="00793A37"/>
    <w:rsid w:val="007950E8"/>
    <w:rsid w:val="00795F6E"/>
    <w:rsid w:val="007974A5"/>
    <w:rsid w:val="00797704"/>
    <w:rsid w:val="007978A8"/>
    <w:rsid w:val="007A0427"/>
    <w:rsid w:val="007A1BEA"/>
    <w:rsid w:val="007A2AC7"/>
    <w:rsid w:val="007A688B"/>
    <w:rsid w:val="007A6C16"/>
    <w:rsid w:val="007B2220"/>
    <w:rsid w:val="007B4846"/>
    <w:rsid w:val="007C0C43"/>
    <w:rsid w:val="007C37E4"/>
    <w:rsid w:val="007C46A0"/>
    <w:rsid w:val="007C7569"/>
    <w:rsid w:val="007D14A3"/>
    <w:rsid w:val="007D47AA"/>
    <w:rsid w:val="007E2DB6"/>
    <w:rsid w:val="007E32D2"/>
    <w:rsid w:val="007E6AFE"/>
    <w:rsid w:val="007E72B5"/>
    <w:rsid w:val="007F3E89"/>
    <w:rsid w:val="007F4B2E"/>
    <w:rsid w:val="007F6196"/>
    <w:rsid w:val="007F741F"/>
    <w:rsid w:val="007F7A48"/>
    <w:rsid w:val="00800C47"/>
    <w:rsid w:val="0080280A"/>
    <w:rsid w:val="00813BAB"/>
    <w:rsid w:val="00821E1D"/>
    <w:rsid w:val="00821EA2"/>
    <w:rsid w:val="00822148"/>
    <w:rsid w:val="0082494B"/>
    <w:rsid w:val="00825041"/>
    <w:rsid w:val="00826727"/>
    <w:rsid w:val="00832FCB"/>
    <w:rsid w:val="00836DDE"/>
    <w:rsid w:val="00836E97"/>
    <w:rsid w:val="00837F4D"/>
    <w:rsid w:val="0084152C"/>
    <w:rsid w:val="008431C4"/>
    <w:rsid w:val="008460A3"/>
    <w:rsid w:val="0084645C"/>
    <w:rsid w:val="00850B02"/>
    <w:rsid w:val="0085247A"/>
    <w:rsid w:val="00861A73"/>
    <w:rsid w:val="008620CD"/>
    <w:rsid w:val="00863968"/>
    <w:rsid w:val="00863B7A"/>
    <w:rsid w:val="00863DB9"/>
    <w:rsid w:val="00864BF0"/>
    <w:rsid w:val="0086554D"/>
    <w:rsid w:val="00865981"/>
    <w:rsid w:val="008667BB"/>
    <w:rsid w:val="00870080"/>
    <w:rsid w:val="00874B33"/>
    <w:rsid w:val="00875637"/>
    <w:rsid w:val="008764C7"/>
    <w:rsid w:val="008817A1"/>
    <w:rsid w:val="00883A00"/>
    <w:rsid w:val="00884511"/>
    <w:rsid w:val="00885847"/>
    <w:rsid w:val="00890174"/>
    <w:rsid w:val="008916AE"/>
    <w:rsid w:val="008919B0"/>
    <w:rsid w:val="0089347D"/>
    <w:rsid w:val="00893597"/>
    <w:rsid w:val="00896DDF"/>
    <w:rsid w:val="008A0D01"/>
    <w:rsid w:val="008A0D29"/>
    <w:rsid w:val="008A1F64"/>
    <w:rsid w:val="008A64EE"/>
    <w:rsid w:val="008A7707"/>
    <w:rsid w:val="008B0398"/>
    <w:rsid w:val="008B0463"/>
    <w:rsid w:val="008B1597"/>
    <w:rsid w:val="008B2912"/>
    <w:rsid w:val="008B6B17"/>
    <w:rsid w:val="008B6DFB"/>
    <w:rsid w:val="008B76BC"/>
    <w:rsid w:val="008B7BF6"/>
    <w:rsid w:val="008B7C55"/>
    <w:rsid w:val="008C2571"/>
    <w:rsid w:val="008C36E0"/>
    <w:rsid w:val="008C3B3C"/>
    <w:rsid w:val="008C45AE"/>
    <w:rsid w:val="008C73EC"/>
    <w:rsid w:val="008C740B"/>
    <w:rsid w:val="008D0CA6"/>
    <w:rsid w:val="008D295D"/>
    <w:rsid w:val="008D6BD7"/>
    <w:rsid w:val="008D7237"/>
    <w:rsid w:val="008E04FC"/>
    <w:rsid w:val="008E08B5"/>
    <w:rsid w:val="008E1FD7"/>
    <w:rsid w:val="008E3E9D"/>
    <w:rsid w:val="008E60A5"/>
    <w:rsid w:val="008E68A2"/>
    <w:rsid w:val="008F1A3D"/>
    <w:rsid w:val="008F2853"/>
    <w:rsid w:val="008F3DAA"/>
    <w:rsid w:val="008F416D"/>
    <w:rsid w:val="008F58A3"/>
    <w:rsid w:val="008F5A85"/>
    <w:rsid w:val="008F754A"/>
    <w:rsid w:val="0090023D"/>
    <w:rsid w:val="00901A2B"/>
    <w:rsid w:val="0090254D"/>
    <w:rsid w:val="00905E47"/>
    <w:rsid w:val="00906D4D"/>
    <w:rsid w:val="00907B31"/>
    <w:rsid w:val="0091167F"/>
    <w:rsid w:val="00911F1C"/>
    <w:rsid w:val="00912A64"/>
    <w:rsid w:val="00913B6F"/>
    <w:rsid w:val="0091427F"/>
    <w:rsid w:val="009151BF"/>
    <w:rsid w:val="00916ABA"/>
    <w:rsid w:val="009244E6"/>
    <w:rsid w:val="00927AA7"/>
    <w:rsid w:val="009302C5"/>
    <w:rsid w:val="00933770"/>
    <w:rsid w:val="00936126"/>
    <w:rsid w:val="009431F8"/>
    <w:rsid w:val="00943A09"/>
    <w:rsid w:val="00943D6D"/>
    <w:rsid w:val="0094562F"/>
    <w:rsid w:val="009457D4"/>
    <w:rsid w:val="00945BCB"/>
    <w:rsid w:val="00947CFC"/>
    <w:rsid w:val="00950E13"/>
    <w:rsid w:val="00952140"/>
    <w:rsid w:val="00952604"/>
    <w:rsid w:val="00953127"/>
    <w:rsid w:val="009532F4"/>
    <w:rsid w:val="00956265"/>
    <w:rsid w:val="00956FA7"/>
    <w:rsid w:val="00957C15"/>
    <w:rsid w:val="0096023F"/>
    <w:rsid w:val="00960CEB"/>
    <w:rsid w:val="00962970"/>
    <w:rsid w:val="0096469B"/>
    <w:rsid w:val="00964A2C"/>
    <w:rsid w:val="009653A5"/>
    <w:rsid w:val="00965781"/>
    <w:rsid w:val="00965AED"/>
    <w:rsid w:val="00965B1B"/>
    <w:rsid w:val="0096669A"/>
    <w:rsid w:val="009766D7"/>
    <w:rsid w:val="009807B4"/>
    <w:rsid w:val="0098572E"/>
    <w:rsid w:val="00985750"/>
    <w:rsid w:val="00992080"/>
    <w:rsid w:val="00992EA1"/>
    <w:rsid w:val="00993C16"/>
    <w:rsid w:val="009947AD"/>
    <w:rsid w:val="00995DB6"/>
    <w:rsid w:val="00996DDF"/>
    <w:rsid w:val="0099707D"/>
    <w:rsid w:val="009A4D3B"/>
    <w:rsid w:val="009A5E55"/>
    <w:rsid w:val="009A7EE2"/>
    <w:rsid w:val="009B11E1"/>
    <w:rsid w:val="009B29CB"/>
    <w:rsid w:val="009B77BA"/>
    <w:rsid w:val="009C0015"/>
    <w:rsid w:val="009C1AE7"/>
    <w:rsid w:val="009C1EDB"/>
    <w:rsid w:val="009C2CB9"/>
    <w:rsid w:val="009C36BE"/>
    <w:rsid w:val="009C3E26"/>
    <w:rsid w:val="009D50D7"/>
    <w:rsid w:val="009D5EB0"/>
    <w:rsid w:val="009E0D99"/>
    <w:rsid w:val="009E211A"/>
    <w:rsid w:val="009E3964"/>
    <w:rsid w:val="009E3C94"/>
    <w:rsid w:val="009F1242"/>
    <w:rsid w:val="009F2844"/>
    <w:rsid w:val="009F36E7"/>
    <w:rsid w:val="009F50B1"/>
    <w:rsid w:val="009F7A14"/>
    <w:rsid w:val="009F7F31"/>
    <w:rsid w:val="00A01360"/>
    <w:rsid w:val="00A066F0"/>
    <w:rsid w:val="00A0686D"/>
    <w:rsid w:val="00A108DB"/>
    <w:rsid w:val="00A21167"/>
    <w:rsid w:val="00A25D31"/>
    <w:rsid w:val="00A25E91"/>
    <w:rsid w:val="00A3020A"/>
    <w:rsid w:val="00A30BC2"/>
    <w:rsid w:val="00A31449"/>
    <w:rsid w:val="00A31859"/>
    <w:rsid w:val="00A31B46"/>
    <w:rsid w:val="00A3225D"/>
    <w:rsid w:val="00A32AC3"/>
    <w:rsid w:val="00A33E18"/>
    <w:rsid w:val="00A360C5"/>
    <w:rsid w:val="00A36345"/>
    <w:rsid w:val="00A3761F"/>
    <w:rsid w:val="00A44332"/>
    <w:rsid w:val="00A5212F"/>
    <w:rsid w:val="00A53A89"/>
    <w:rsid w:val="00A5795E"/>
    <w:rsid w:val="00A6027A"/>
    <w:rsid w:val="00A61D6E"/>
    <w:rsid w:val="00A62810"/>
    <w:rsid w:val="00A63E93"/>
    <w:rsid w:val="00A64095"/>
    <w:rsid w:val="00A7584C"/>
    <w:rsid w:val="00A762DB"/>
    <w:rsid w:val="00A770C0"/>
    <w:rsid w:val="00A77525"/>
    <w:rsid w:val="00A80AB6"/>
    <w:rsid w:val="00A81450"/>
    <w:rsid w:val="00A82163"/>
    <w:rsid w:val="00A82AD3"/>
    <w:rsid w:val="00A8334E"/>
    <w:rsid w:val="00A869A8"/>
    <w:rsid w:val="00A946BB"/>
    <w:rsid w:val="00A958ED"/>
    <w:rsid w:val="00A963C7"/>
    <w:rsid w:val="00AA24D3"/>
    <w:rsid w:val="00AA4530"/>
    <w:rsid w:val="00AA4F99"/>
    <w:rsid w:val="00AA6A05"/>
    <w:rsid w:val="00AA731B"/>
    <w:rsid w:val="00AA7B0A"/>
    <w:rsid w:val="00AB2F54"/>
    <w:rsid w:val="00AB39B5"/>
    <w:rsid w:val="00AB6ABA"/>
    <w:rsid w:val="00AC15FE"/>
    <w:rsid w:val="00AC23B6"/>
    <w:rsid w:val="00AC3230"/>
    <w:rsid w:val="00AC40E6"/>
    <w:rsid w:val="00AC7A35"/>
    <w:rsid w:val="00AD054A"/>
    <w:rsid w:val="00AD0AAD"/>
    <w:rsid w:val="00AD1506"/>
    <w:rsid w:val="00AD1B83"/>
    <w:rsid w:val="00AD3DA4"/>
    <w:rsid w:val="00AD5139"/>
    <w:rsid w:val="00AD72BC"/>
    <w:rsid w:val="00AE5AC2"/>
    <w:rsid w:val="00AE7F6D"/>
    <w:rsid w:val="00AF1B67"/>
    <w:rsid w:val="00AF259E"/>
    <w:rsid w:val="00AF2A98"/>
    <w:rsid w:val="00AF3F96"/>
    <w:rsid w:val="00AF4E0B"/>
    <w:rsid w:val="00AF61C4"/>
    <w:rsid w:val="00AF6ED2"/>
    <w:rsid w:val="00B017A6"/>
    <w:rsid w:val="00B038B2"/>
    <w:rsid w:val="00B040B0"/>
    <w:rsid w:val="00B05A4B"/>
    <w:rsid w:val="00B05DCC"/>
    <w:rsid w:val="00B06F56"/>
    <w:rsid w:val="00B07C3D"/>
    <w:rsid w:val="00B10029"/>
    <w:rsid w:val="00B11035"/>
    <w:rsid w:val="00B132CD"/>
    <w:rsid w:val="00B13DBF"/>
    <w:rsid w:val="00B13DE9"/>
    <w:rsid w:val="00B15FC1"/>
    <w:rsid w:val="00B16069"/>
    <w:rsid w:val="00B16667"/>
    <w:rsid w:val="00B20030"/>
    <w:rsid w:val="00B2042D"/>
    <w:rsid w:val="00B22010"/>
    <w:rsid w:val="00B315A8"/>
    <w:rsid w:val="00B3291A"/>
    <w:rsid w:val="00B35B0A"/>
    <w:rsid w:val="00B3614E"/>
    <w:rsid w:val="00B37BC1"/>
    <w:rsid w:val="00B41165"/>
    <w:rsid w:val="00B42345"/>
    <w:rsid w:val="00B42700"/>
    <w:rsid w:val="00B42FD8"/>
    <w:rsid w:val="00B45B16"/>
    <w:rsid w:val="00B46D6A"/>
    <w:rsid w:val="00B46EB2"/>
    <w:rsid w:val="00B510AC"/>
    <w:rsid w:val="00B51516"/>
    <w:rsid w:val="00B51AF0"/>
    <w:rsid w:val="00B52D99"/>
    <w:rsid w:val="00B55130"/>
    <w:rsid w:val="00B5664C"/>
    <w:rsid w:val="00B57BF4"/>
    <w:rsid w:val="00B57E23"/>
    <w:rsid w:val="00B6243E"/>
    <w:rsid w:val="00B632D9"/>
    <w:rsid w:val="00B64DA5"/>
    <w:rsid w:val="00B66653"/>
    <w:rsid w:val="00B70A5A"/>
    <w:rsid w:val="00B744FD"/>
    <w:rsid w:val="00B7608B"/>
    <w:rsid w:val="00B76A2C"/>
    <w:rsid w:val="00B76D36"/>
    <w:rsid w:val="00B77455"/>
    <w:rsid w:val="00B83080"/>
    <w:rsid w:val="00B85C97"/>
    <w:rsid w:val="00B87E06"/>
    <w:rsid w:val="00B968A6"/>
    <w:rsid w:val="00B97F84"/>
    <w:rsid w:val="00BA0C5D"/>
    <w:rsid w:val="00BA215C"/>
    <w:rsid w:val="00BA30F9"/>
    <w:rsid w:val="00BA3390"/>
    <w:rsid w:val="00BA3762"/>
    <w:rsid w:val="00BA3EB6"/>
    <w:rsid w:val="00BA475C"/>
    <w:rsid w:val="00BA608E"/>
    <w:rsid w:val="00BB03A1"/>
    <w:rsid w:val="00BB2D0E"/>
    <w:rsid w:val="00BB35FE"/>
    <w:rsid w:val="00BB39ED"/>
    <w:rsid w:val="00BB5650"/>
    <w:rsid w:val="00BB7F95"/>
    <w:rsid w:val="00BC07BB"/>
    <w:rsid w:val="00BC4C1D"/>
    <w:rsid w:val="00BC5425"/>
    <w:rsid w:val="00BC7208"/>
    <w:rsid w:val="00BD4C49"/>
    <w:rsid w:val="00BD4E98"/>
    <w:rsid w:val="00BD5307"/>
    <w:rsid w:val="00BD59BD"/>
    <w:rsid w:val="00BE1223"/>
    <w:rsid w:val="00BE15DD"/>
    <w:rsid w:val="00BE2A6A"/>
    <w:rsid w:val="00BE590E"/>
    <w:rsid w:val="00BE5E63"/>
    <w:rsid w:val="00BF30C1"/>
    <w:rsid w:val="00BF37CD"/>
    <w:rsid w:val="00BF5963"/>
    <w:rsid w:val="00BF654D"/>
    <w:rsid w:val="00BF7D03"/>
    <w:rsid w:val="00C00CC5"/>
    <w:rsid w:val="00C017A4"/>
    <w:rsid w:val="00C01E37"/>
    <w:rsid w:val="00C03572"/>
    <w:rsid w:val="00C05A8D"/>
    <w:rsid w:val="00C06EE1"/>
    <w:rsid w:val="00C07793"/>
    <w:rsid w:val="00C116B5"/>
    <w:rsid w:val="00C150FF"/>
    <w:rsid w:val="00C155AD"/>
    <w:rsid w:val="00C156C4"/>
    <w:rsid w:val="00C160EC"/>
    <w:rsid w:val="00C1748D"/>
    <w:rsid w:val="00C25B5F"/>
    <w:rsid w:val="00C271F2"/>
    <w:rsid w:val="00C328DB"/>
    <w:rsid w:val="00C3403B"/>
    <w:rsid w:val="00C35C52"/>
    <w:rsid w:val="00C37FA0"/>
    <w:rsid w:val="00C41D59"/>
    <w:rsid w:val="00C41F07"/>
    <w:rsid w:val="00C430F0"/>
    <w:rsid w:val="00C432B2"/>
    <w:rsid w:val="00C45293"/>
    <w:rsid w:val="00C463BD"/>
    <w:rsid w:val="00C50B5E"/>
    <w:rsid w:val="00C50B8B"/>
    <w:rsid w:val="00C51F7E"/>
    <w:rsid w:val="00C578DA"/>
    <w:rsid w:val="00C5793F"/>
    <w:rsid w:val="00C60BAC"/>
    <w:rsid w:val="00C63680"/>
    <w:rsid w:val="00C64289"/>
    <w:rsid w:val="00C6712B"/>
    <w:rsid w:val="00C6756B"/>
    <w:rsid w:val="00C727D3"/>
    <w:rsid w:val="00C7394A"/>
    <w:rsid w:val="00C758A4"/>
    <w:rsid w:val="00C8012D"/>
    <w:rsid w:val="00C832E4"/>
    <w:rsid w:val="00C85755"/>
    <w:rsid w:val="00C85C06"/>
    <w:rsid w:val="00C86582"/>
    <w:rsid w:val="00C921B4"/>
    <w:rsid w:val="00C949AE"/>
    <w:rsid w:val="00C97257"/>
    <w:rsid w:val="00CA3CC2"/>
    <w:rsid w:val="00CA4851"/>
    <w:rsid w:val="00CA55D8"/>
    <w:rsid w:val="00CB52BC"/>
    <w:rsid w:val="00CB5934"/>
    <w:rsid w:val="00CC02FA"/>
    <w:rsid w:val="00CC0C3D"/>
    <w:rsid w:val="00CC1EA8"/>
    <w:rsid w:val="00CC43DD"/>
    <w:rsid w:val="00CC458F"/>
    <w:rsid w:val="00CC4840"/>
    <w:rsid w:val="00CC56EE"/>
    <w:rsid w:val="00CC5967"/>
    <w:rsid w:val="00CC5EB0"/>
    <w:rsid w:val="00CC7173"/>
    <w:rsid w:val="00CD00C6"/>
    <w:rsid w:val="00CD0C37"/>
    <w:rsid w:val="00CD0F26"/>
    <w:rsid w:val="00CD4A0A"/>
    <w:rsid w:val="00CD5BA5"/>
    <w:rsid w:val="00CD73DB"/>
    <w:rsid w:val="00CD7C20"/>
    <w:rsid w:val="00CE1516"/>
    <w:rsid w:val="00CE1874"/>
    <w:rsid w:val="00CE20D4"/>
    <w:rsid w:val="00CE2B63"/>
    <w:rsid w:val="00CE430D"/>
    <w:rsid w:val="00CE560B"/>
    <w:rsid w:val="00CE6187"/>
    <w:rsid w:val="00CE6BAB"/>
    <w:rsid w:val="00CF0795"/>
    <w:rsid w:val="00CF0BAF"/>
    <w:rsid w:val="00CF5D58"/>
    <w:rsid w:val="00D02BFF"/>
    <w:rsid w:val="00D03F97"/>
    <w:rsid w:val="00D0575D"/>
    <w:rsid w:val="00D10048"/>
    <w:rsid w:val="00D1025D"/>
    <w:rsid w:val="00D10AB8"/>
    <w:rsid w:val="00D21FC1"/>
    <w:rsid w:val="00D23A77"/>
    <w:rsid w:val="00D24046"/>
    <w:rsid w:val="00D27579"/>
    <w:rsid w:val="00D31454"/>
    <w:rsid w:val="00D318BA"/>
    <w:rsid w:val="00D3463C"/>
    <w:rsid w:val="00D34A07"/>
    <w:rsid w:val="00D355D6"/>
    <w:rsid w:val="00D359FB"/>
    <w:rsid w:val="00D360D7"/>
    <w:rsid w:val="00D43A75"/>
    <w:rsid w:val="00D4443F"/>
    <w:rsid w:val="00D44651"/>
    <w:rsid w:val="00D47C18"/>
    <w:rsid w:val="00D53EF0"/>
    <w:rsid w:val="00D546E8"/>
    <w:rsid w:val="00D61262"/>
    <w:rsid w:val="00D61E89"/>
    <w:rsid w:val="00D661E7"/>
    <w:rsid w:val="00D66361"/>
    <w:rsid w:val="00D67331"/>
    <w:rsid w:val="00D7196C"/>
    <w:rsid w:val="00D71999"/>
    <w:rsid w:val="00D723CD"/>
    <w:rsid w:val="00D801AF"/>
    <w:rsid w:val="00D8169E"/>
    <w:rsid w:val="00D817F7"/>
    <w:rsid w:val="00D82F2A"/>
    <w:rsid w:val="00D8376F"/>
    <w:rsid w:val="00D839C5"/>
    <w:rsid w:val="00D85662"/>
    <w:rsid w:val="00D86A14"/>
    <w:rsid w:val="00D93B58"/>
    <w:rsid w:val="00D94330"/>
    <w:rsid w:val="00D9567E"/>
    <w:rsid w:val="00DA05BB"/>
    <w:rsid w:val="00DA2EA0"/>
    <w:rsid w:val="00DA35C5"/>
    <w:rsid w:val="00DA5B3C"/>
    <w:rsid w:val="00DA6040"/>
    <w:rsid w:val="00DA79B8"/>
    <w:rsid w:val="00DB0BF0"/>
    <w:rsid w:val="00DB4ECB"/>
    <w:rsid w:val="00DC2907"/>
    <w:rsid w:val="00DC2F6E"/>
    <w:rsid w:val="00DC3750"/>
    <w:rsid w:val="00DD5B33"/>
    <w:rsid w:val="00DD60D9"/>
    <w:rsid w:val="00DD78E3"/>
    <w:rsid w:val="00DE151D"/>
    <w:rsid w:val="00DE16A4"/>
    <w:rsid w:val="00DE1B17"/>
    <w:rsid w:val="00DE5738"/>
    <w:rsid w:val="00DE7D14"/>
    <w:rsid w:val="00DF00E5"/>
    <w:rsid w:val="00DF24C4"/>
    <w:rsid w:val="00DF3F94"/>
    <w:rsid w:val="00DF4DF7"/>
    <w:rsid w:val="00DF58EA"/>
    <w:rsid w:val="00E0127E"/>
    <w:rsid w:val="00E014D0"/>
    <w:rsid w:val="00E04520"/>
    <w:rsid w:val="00E06862"/>
    <w:rsid w:val="00E0689E"/>
    <w:rsid w:val="00E079F4"/>
    <w:rsid w:val="00E10405"/>
    <w:rsid w:val="00E11A9D"/>
    <w:rsid w:val="00E11D5A"/>
    <w:rsid w:val="00E15F38"/>
    <w:rsid w:val="00E16087"/>
    <w:rsid w:val="00E1617C"/>
    <w:rsid w:val="00E16D72"/>
    <w:rsid w:val="00E17FE8"/>
    <w:rsid w:val="00E20168"/>
    <w:rsid w:val="00E20B72"/>
    <w:rsid w:val="00E20FA9"/>
    <w:rsid w:val="00E24BB9"/>
    <w:rsid w:val="00E25926"/>
    <w:rsid w:val="00E27046"/>
    <w:rsid w:val="00E27573"/>
    <w:rsid w:val="00E3084C"/>
    <w:rsid w:val="00E32ED9"/>
    <w:rsid w:val="00E33C08"/>
    <w:rsid w:val="00E33FB7"/>
    <w:rsid w:val="00E35DD1"/>
    <w:rsid w:val="00E45454"/>
    <w:rsid w:val="00E45BE5"/>
    <w:rsid w:val="00E45E47"/>
    <w:rsid w:val="00E4736C"/>
    <w:rsid w:val="00E5180A"/>
    <w:rsid w:val="00E52601"/>
    <w:rsid w:val="00E5296C"/>
    <w:rsid w:val="00E53BB5"/>
    <w:rsid w:val="00E55DC9"/>
    <w:rsid w:val="00E57470"/>
    <w:rsid w:val="00E614C6"/>
    <w:rsid w:val="00E628AC"/>
    <w:rsid w:val="00E6629A"/>
    <w:rsid w:val="00E6728F"/>
    <w:rsid w:val="00E70448"/>
    <w:rsid w:val="00E74721"/>
    <w:rsid w:val="00E7532D"/>
    <w:rsid w:val="00E77DC4"/>
    <w:rsid w:val="00E82265"/>
    <w:rsid w:val="00E8258E"/>
    <w:rsid w:val="00E83CF6"/>
    <w:rsid w:val="00E84C6B"/>
    <w:rsid w:val="00E87AD2"/>
    <w:rsid w:val="00E9024E"/>
    <w:rsid w:val="00E934F0"/>
    <w:rsid w:val="00E94E04"/>
    <w:rsid w:val="00E95DC8"/>
    <w:rsid w:val="00E968BF"/>
    <w:rsid w:val="00E96C38"/>
    <w:rsid w:val="00EA68AD"/>
    <w:rsid w:val="00EA733E"/>
    <w:rsid w:val="00EA7FE0"/>
    <w:rsid w:val="00EB17F4"/>
    <w:rsid w:val="00EB28BE"/>
    <w:rsid w:val="00EB3A6F"/>
    <w:rsid w:val="00EB4DD5"/>
    <w:rsid w:val="00EB6A6B"/>
    <w:rsid w:val="00EB776E"/>
    <w:rsid w:val="00EC3A52"/>
    <w:rsid w:val="00EC6958"/>
    <w:rsid w:val="00EC7EC1"/>
    <w:rsid w:val="00ED0D01"/>
    <w:rsid w:val="00ED2C21"/>
    <w:rsid w:val="00ED3501"/>
    <w:rsid w:val="00ED5454"/>
    <w:rsid w:val="00ED5D35"/>
    <w:rsid w:val="00ED7452"/>
    <w:rsid w:val="00EE1FED"/>
    <w:rsid w:val="00EE3CED"/>
    <w:rsid w:val="00EE6094"/>
    <w:rsid w:val="00EF2FF3"/>
    <w:rsid w:val="00EF3C36"/>
    <w:rsid w:val="00EF3EF8"/>
    <w:rsid w:val="00EF4795"/>
    <w:rsid w:val="00EF6DFC"/>
    <w:rsid w:val="00F00A20"/>
    <w:rsid w:val="00F00F60"/>
    <w:rsid w:val="00F02152"/>
    <w:rsid w:val="00F029AA"/>
    <w:rsid w:val="00F05397"/>
    <w:rsid w:val="00F10299"/>
    <w:rsid w:val="00F12EB2"/>
    <w:rsid w:val="00F130A7"/>
    <w:rsid w:val="00F138D0"/>
    <w:rsid w:val="00F138F8"/>
    <w:rsid w:val="00F13EA7"/>
    <w:rsid w:val="00F14316"/>
    <w:rsid w:val="00F16BDB"/>
    <w:rsid w:val="00F205E4"/>
    <w:rsid w:val="00F22F7A"/>
    <w:rsid w:val="00F268C0"/>
    <w:rsid w:val="00F27102"/>
    <w:rsid w:val="00F31792"/>
    <w:rsid w:val="00F357BF"/>
    <w:rsid w:val="00F36AD5"/>
    <w:rsid w:val="00F40131"/>
    <w:rsid w:val="00F40E14"/>
    <w:rsid w:val="00F4167D"/>
    <w:rsid w:val="00F4282C"/>
    <w:rsid w:val="00F42E42"/>
    <w:rsid w:val="00F475C9"/>
    <w:rsid w:val="00F4787D"/>
    <w:rsid w:val="00F505B9"/>
    <w:rsid w:val="00F51BB7"/>
    <w:rsid w:val="00F528A9"/>
    <w:rsid w:val="00F53B8E"/>
    <w:rsid w:val="00F57225"/>
    <w:rsid w:val="00F57CF0"/>
    <w:rsid w:val="00F6169D"/>
    <w:rsid w:val="00F64F22"/>
    <w:rsid w:val="00F65540"/>
    <w:rsid w:val="00F65A81"/>
    <w:rsid w:val="00F673C7"/>
    <w:rsid w:val="00F6772D"/>
    <w:rsid w:val="00F67A2C"/>
    <w:rsid w:val="00F70E8D"/>
    <w:rsid w:val="00F7186F"/>
    <w:rsid w:val="00F71EBB"/>
    <w:rsid w:val="00F72913"/>
    <w:rsid w:val="00F7349B"/>
    <w:rsid w:val="00F73E54"/>
    <w:rsid w:val="00F77B52"/>
    <w:rsid w:val="00F83F74"/>
    <w:rsid w:val="00F84155"/>
    <w:rsid w:val="00F8427A"/>
    <w:rsid w:val="00F863A1"/>
    <w:rsid w:val="00F863BF"/>
    <w:rsid w:val="00F86AA0"/>
    <w:rsid w:val="00F91566"/>
    <w:rsid w:val="00F94EAC"/>
    <w:rsid w:val="00F951A4"/>
    <w:rsid w:val="00F95603"/>
    <w:rsid w:val="00FA2900"/>
    <w:rsid w:val="00FA3571"/>
    <w:rsid w:val="00FA372F"/>
    <w:rsid w:val="00FB24F6"/>
    <w:rsid w:val="00FB2659"/>
    <w:rsid w:val="00FB3F4B"/>
    <w:rsid w:val="00FB4962"/>
    <w:rsid w:val="00FB580D"/>
    <w:rsid w:val="00FC1F46"/>
    <w:rsid w:val="00FC295D"/>
    <w:rsid w:val="00FC4639"/>
    <w:rsid w:val="00FD110D"/>
    <w:rsid w:val="00FD1DCA"/>
    <w:rsid w:val="00FD2639"/>
    <w:rsid w:val="00FE02D3"/>
    <w:rsid w:val="00FE2AD8"/>
    <w:rsid w:val="00FE380A"/>
    <w:rsid w:val="00FF01A6"/>
    <w:rsid w:val="00FF294A"/>
    <w:rsid w:val="00FF2D99"/>
    <w:rsid w:val="00FF385F"/>
    <w:rsid w:val="00FF4D87"/>
    <w:rsid w:val="00FF7D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98C94CB"/>
  <w15:chartTrackingRefBased/>
  <w15:docId w15:val="{CE548B48-D2F0-4DA2-BB73-7461DE14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E63"/>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A82A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82A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167"/>
    <w:rPr>
      <w:rFonts w:ascii="Calibri" w:eastAsia="Calibri" w:hAnsi="Calibri" w:cs="Times New Roman"/>
    </w:rPr>
  </w:style>
  <w:style w:type="paragraph" w:styleId="Prrafodelista">
    <w:name w:val="List Paragraph"/>
    <w:aliases w:val="4 Viñ 1nivel,Numeración 1,Cuadrícula media 1 - Énfasis 21"/>
    <w:basedOn w:val="Normal"/>
    <w:link w:val="PrrafodelistaCar"/>
    <w:uiPriority w:val="34"/>
    <w:qFormat/>
    <w:rsid w:val="00A21167"/>
    <w:pPr>
      <w:spacing w:after="0" w:line="240" w:lineRule="auto"/>
      <w:ind w:left="708"/>
    </w:pPr>
    <w:rPr>
      <w:rFonts w:ascii="Arial" w:eastAsia="Times New Roman" w:hAnsi="Arial"/>
      <w:sz w:val="24"/>
      <w:szCs w:val="20"/>
      <w:lang w:val="es-ES" w:eastAsia="es-ES"/>
    </w:rPr>
  </w:style>
  <w:style w:type="character" w:customStyle="1" w:styleId="apple-converted-space">
    <w:name w:val="apple-converted-space"/>
    <w:basedOn w:val="Fuentedeprrafopredeter"/>
    <w:rsid w:val="00A21167"/>
  </w:style>
  <w:style w:type="character" w:styleId="Refdecomentario">
    <w:name w:val="annotation reference"/>
    <w:basedOn w:val="Fuentedeprrafopredeter"/>
    <w:uiPriority w:val="99"/>
    <w:semiHidden/>
    <w:unhideWhenUsed/>
    <w:rsid w:val="00A21167"/>
    <w:rPr>
      <w:sz w:val="16"/>
      <w:szCs w:val="16"/>
    </w:rPr>
  </w:style>
  <w:style w:type="paragraph" w:styleId="Textocomentario">
    <w:name w:val="annotation text"/>
    <w:basedOn w:val="Normal"/>
    <w:link w:val="TextocomentarioCar"/>
    <w:uiPriority w:val="99"/>
    <w:semiHidden/>
    <w:unhideWhenUsed/>
    <w:rsid w:val="00A211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1167"/>
    <w:rPr>
      <w:rFonts w:ascii="Calibri" w:eastAsia="Calibri" w:hAnsi="Calibri" w:cs="Times New Roman"/>
      <w:sz w:val="20"/>
      <w:szCs w:val="20"/>
    </w:rPr>
  </w:style>
  <w:style w:type="character" w:customStyle="1" w:styleId="PrrafodelistaCar">
    <w:name w:val="Párrafo de lista Car"/>
    <w:aliases w:val="4 Viñ 1nivel Car,Numeración 1 Car,Cuadrícula media 1 - Énfasis 21 Car"/>
    <w:link w:val="Prrafodelista"/>
    <w:uiPriority w:val="34"/>
    <w:rsid w:val="00A2116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A211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167"/>
    <w:rPr>
      <w:rFonts w:ascii="Segoe UI" w:eastAsia="Calibri" w:hAnsi="Segoe UI" w:cs="Segoe UI"/>
      <w:sz w:val="18"/>
      <w:szCs w:val="18"/>
    </w:rPr>
  </w:style>
  <w:style w:type="table" w:styleId="Tablaconcuadrcula">
    <w:name w:val="Table Grid"/>
    <w:basedOn w:val="Tablanormal"/>
    <w:uiPriority w:val="39"/>
    <w:rsid w:val="004B1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25E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E91"/>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unhideWhenUsed/>
    <w:rsid w:val="00604568"/>
    <w:rPr>
      <w:b/>
      <w:bCs/>
    </w:rPr>
  </w:style>
  <w:style w:type="character" w:customStyle="1" w:styleId="AsuntodelcomentarioCar">
    <w:name w:val="Asunto del comentario Car"/>
    <w:basedOn w:val="TextocomentarioCar"/>
    <w:link w:val="Asuntodelcomentario"/>
    <w:uiPriority w:val="99"/>
    <w:semiHidden/>
    <w:rsid w:val="00604568"/>
    <w:rPr>
      <w:rFonts w:ascii="Calibri" w:eastAsia="Calibri" w:hAnsi="Calibri" w:cs="Times New Roman"/>
      <w:b/>
      <w:bCs/>
      <w:sz w:val="20"/>
      <w:szCs w:val="20"/>
    </w:rPr>
  </w:style>
  <w:style w:type="paragraph" w:styleId="NormalWeb">
    <w:name w:val="Normal (Web)"/>
    <w:basedOn w:val="Normal"/>
    <w:uiPriority w:val="99"/>
    <w:rsid w:val="001A7CEA"/>
    <w:pPr>
      <w:spacing w:after="0" w:line="240" w:lineRule="auto"/>
    </w:pPr>
    <w:rPr>
      <w:rFonts w:ascii="Times New Roman" w:eastAsia="Times New Roman" w:hAnsi="Times New Roman"/>
      <w:sz w:val="24"/>
      <w:szCs w:val="24"/>
      <w:lang w:val="es-ES" w:eastAsia="es-ES"/>
    </w:rPr>
  </w:style>
  <w:style w:type="paragraph" w:styleId="Textonotapie">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TextonotapieCar"/>
    <w:uiPriority w:val="99"/>
    <w:unhideWhenUsed/>
    <w:rsid w:val="00075FE8"/>
    <w:pPr>
      <w:spacing w:after="0" w:line="240" w:lineRule="auto"/>
    </w:pPr>
    <w:rPr>
      <w:rFonts w:asciiTheme="minorHAnsi" w:eastAsiaTheme="minorHAnsi" w:hAnsiTheme="minorHAnsi" w:cstheme="minorBidi"/>
      <w:sz w:val="20"/>
      <w:szCs w:val="20"/>
    </w:rPr>
  </w:style>
  <w:style w:type="character" w:customStyle="1" w:styleId="TextonotapieCar">
    <w:name w:val="Texto nota pie Car"/>
    <w:aliases w:val="footnote text Car,ALTS FOOTNOTE Car,Footnote Text Char1 Car,Footnote Text Char Char1 Car,Footnote Text Char4 Char Char Car,Footnote Text Char1 Char1 Char1 Char Car,Footnote Text Char Char1 Char1 Char Char Car,DNV-FT Car"/>
    <w:basedOn w:val="Fuentedeprrafopredeter"/>
    <w:link w:val="Textonotapie"/>
    <w:uiPriority w:val="99"/>
    <w:rsid w:val="00075FE8"/>
    <w:rPr>
      <w:sz w:val="20"/>
      <w:szCs w:val="20"/>
    </w:rPr>
  </w:style>
  <w:style w:type="character" w:styleId="Refdenotaalpie">
    <w:name w:val="footnote reference"/>
    <w:aliases w:val="Appel note de bas de p,Footnote Reference/,Ref. de nota al pie 2,Footnotes refss,Texto de nota al pie"/>
    <w:basedOn w:val="Fuentedeprrafopredeter"/>
    <w:uiPriority w:val="99"/>
    <w:unhideWhenUsed/>
    <w:rsid w:val="00075FE8"/>
    <w:rPr>
      <w:vertAlign w:val="superscript"/>
    </w:rPr>
  </w:style>
  <w:style w:type="character" w:styleId="Hipervnculo">
    <w:name w:val="Hyperlink"/>
    <w:basedOn w:val="Fuentedeprrafopredeter"/>
    <w:uiPriority w:val="99"/>
    <w:unhideWhenUsed/>
    <w:rsid w:val="00075FE8"/>
    <w:rPr>
      <w:color w:val="0563C1" w:themeColor="hyperlink"/>
      <w:u w:val="single"/>
    </w:rPr>
  </w:style>
  <w:style w:type="character" w:styleId="Hipervnculovisitado">
    <w:name w:val="FollowedHyperlink"/>
    <w:basedOn w:val="Fuentedeprrafopredeter"/>
    <w:uiPriority w:val="99"/>
    <w:semiHidden/>
    <w:unhideWhenUsed/>
    <w:rsid w:val="00367F58"/>
    <w:rPr>
      <w:color w:val="954F72"/>
      <w:u w:val="single"/>
    </w:rPr>
  </w:style>
  <w:style w:type="paragraph" w:customStyle="1" w:styleId="xl65">
    <w:name w:val="xl65"/>
    <w:basedOn w:val="Normal"/>
    <w:rsid w:val="00367F58"/>
    <w:pP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6">
    <w:name w:val="xl66"/>
    <w:basedOn w:val="Normal"/>
    <w:rsid w:val="00367F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7">
    <w:name w:val="xl67"/>
    <w:basedOn w:val="Normal"/>
    <w:rsid w:val="00367F5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8">
    <w:name w:val="xl68"/>
    <w:basedOn w:val="Normal"/>
    <w:rsid w:val="00367F5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9">
    <w:name w:val="xl69"/>
    <w:basedOn w:val="Normal"/>
    <w:rsid w:val="00367F5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0">
    <w:name w:val="xl70"/>
    <w:basedOn w:val="Normal"/>
    <w:rsid w:val="00367F5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1">
    <w:name w:val="xl71"/>
    <w:basedOn w:val="Normal"/>
    <w:rsid w:val="00367F5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2">
    <w:name w:val="xl72"/>
    <w:basedOn w:val="Normal"/>
    <w:rsid w:val="00367F5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3">
    <w:name w:val="xl73"/>
    <w:basedOn w:val="Normal"/>
    <w:rsid w:val="00367F5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4">
    <w:name w:val="xl74"/>
    <w:basedOn w:val="Normal"/>
    <w:rsid w:val="00367F58"/>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b/>
      <w:bCs/>
      <w:color w:val="FFFFFF"/>
      <w:sz w:val="24"/>
      <w:szCs w:val="24"/>
      <w:lang w:eastAsia="es-MX"/>
    </w:rPr>
  </w:style>
  <w:style w:type="paragraph" w:customStyle="1" w:styleId="xl75">
    <w:name w:val="xl75"/>
    <w:basedOn w:val="Normal"/>
    <w:rsid w:val="00367F58"/>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6">
    <w:name w:val="xl76"/>
    <w:basedOn w:val="Normal"/>
    <w:rsid w:val="00367F58"/>
    <w:pPr>
      <w:pBdr>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7">
    <w:name w:val="xl77"/>
    <w:basedOn w:val="Normal"/>
    <w:rsid w:val="00367F58"/>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8">
    <w:name w:val="xl78"/>
    <w:basedOn w:val="Normal"/>
    <w:rsid w:val="00367F58"/>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9">
    <w:name w:val="xl79"/>
    <w:basedOn w:val="Normal"/>
    <w:rsid w:val="00367F58"/>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0">
    <w:name w:val="xl80"/>
    <w:basedOn w:val="Normal"/>
    <w:rsid w:val="00367F58"/>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1">
    <w:name w:val="xl81"/>
    <w:basedOn w:val="Normal"/>
    <w:rsid w:val="00367F58"/>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2">
    <w:name w:val="xl82"/>
    <w:basedOn w:val="Normal"/>
    <w:rsid w:val="00367F58"/>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3">
    <w:name w:val="xl83"/>
    <w:basedOn w:val="Normal"/>
    <w:rsid w:val="00367F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4">
    <w:name w:val="xl84"/>
    <w:basedOn w:val="Normal"/>
    <w:rsid w:val="00367F58"/>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5">
    <w:name w:val="xl85"/>
    <w:basedOn w:val="Normal"/>
    <w:rsid w:val="00367F58"/>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6">
    <w:name w:val="xl86"/>
    <w:basedOn w:val="Normal"/>
    <w:rsid w:val="00367F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7">
    <w:name w:val="xl87"/>
    <w:basedOn w:val="Normal"/>
    <w:rsid w:val="00367F58"/>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8">
    <w:name w:val="xl88"/>
    <w:basedOn w:val="Normal"/>
    <w:rsid w:val="00367F58"/>
    <w:pPr>
      <w:pBdr>
        <w:top w:val="single" w:sz="8"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9">
    <w:name w:val="xl89"/>
    <w:basedOn w:val="Normal"/>
    <w:rsid w:val="00367F58"/>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0">
    <w:name w:val="xl90"/>
    <w:basedOn w:val="Normal"/>
    <w:rsid w:val="00367F58"/>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3">
    <w:name w:val="xl63"/>
    <w:basedOn w:val="Normal"/>
    <w:rsid w:val="0063419A"/>
    <w:pP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4">
    <w:name w:val="xl64"/>
    <w:basedOn w:val="Normal"/>
    <w:rsid w:val="00634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1">
    <w:name w:val="xl91"/>
    <w:basedOn w:val="Normal"/>
    <w:rsid w:val="0063419A"/>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2">
    <w:name w:val="xl92"/>
    <w:basedOn w:val="Normal"/>
    <w:rsid w:val="0063419A"/>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3">
    <w:name w:val="xl93"/>
    <w:basedOn w:val="Normal"/>
    <w:rsid w:val="0063419A"/>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4">
    <w:name w:val="xl94"/>
    <w:basedOn w:val="Normal"/>
    <w:rsid w:val="0063419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5">
    <w:name w:val="xl95"/>
    <w:basedOn w:val="Normal"/>
    <w:rsid w:val="0063419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6">
    <w:name w:val="xl96"/>
    <w:basedOn w:val="Normal"/>
    <w:rsid w:val="0063419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7">
    <w:name w:val="xl97"/>
    <w:basedOn w:val="Normal"/>
    <w:rsid w:val="0063419A"/>
    <w:pPr>
      <w:pBdr>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8">
    <w:name w:val="xl98"/>
    <w:basedOn w:val="Normal"/>
    <w:rsid w:val="0063419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9">
    <w:name w:val="xl99"/>
    <w:basedOn w:val="Normal"/>
    <w:rsid w:val="0063419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0">
    <w:name w:val="xl100"/>
    <w:basedOn w:val="Normal"/>
    <w:rsid w:val="0063419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1">
    <w:name w:val="xl101"/>
    <w:basedOn w:val="Normal"/>
    <w:rsid w:val="0063419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2">
    <w:name w:val="xl102"/>
    <w:basedOn w:val="Normal"/>
    <w:rsid w:val="0063419A"/>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3">
    <w:name w:val="xl103"/>
    <w:basedOn w:val="Normal"/>
    <w:rsid w:val="0063419A"/>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4">
    <w:name w:val="xl104"/>
    <w:basedOn w:val="Normal"/>
    <w:rsid w:val="0063419A"/>
    <w:pPr>
      <w:pBdr>
        <w:top w:val="single" w:sz="8" w:space="0" w:color="auto"/>
        <w:left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5">
    <w:name w:val="xl105"/>
    <w:basedOn w:val="Normal"/>
    <w:rsid w:val="0063419A"/>
    <w:pPr>
      <w:pBdr>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styleId="Textoindependiente">
    <w:name w:val="Body Text"/>
    <w:basedOn w:val="Normal"/>
    <w:link w:val="TextoindependienteCar"/>
    <w:rsid w:val="00202B04"/>
    <w:pPr>
      <w:spacing w:after="0" w:line="240" w:lineRule="auto"/>
      <w:jc w:val="both"/>
    </w:pPr>
    <w:rPr>
      <w:rFonts w:ascii="Times New Roman" w:eastAsia="Times New Roman" w:hAnsi="Times New Roman"/>
      <w:i/>
      <w:sz w:val="20"/>
      <w:szCs w:val="20"/>
      <w:lang w:val="es-ES_tradnl" w:eastAsia="es-ES"/>
    </w:rPr>
  </w:style>
  <w:style w:type="character" w:customStyle="1" w:styleId="TextoindependienteCar">
    <w:name w:val="Texto independiente Car"/>
    <w:basedOn w:val="Fuentedeprrafopredeter"/>
    <w:link w:val="Textoindependiente"/>
    <w:rsid w:val="00202B04"/>
    <w:rPr>
      <w:rFonts w:ascii="Times New Roman" w:eastAsia="Times New Roman" w:hAnsi="Times New Roman" w:cs="Times New Roman"/>
      <w:i/>
      <w:sz w:val="20"/>
      <w:szCs w:val="20"/>
      <w:lang w:val="es-ES_tradnl" w:eastAsia="es-ES"/>
    </w:rPr>
  </w:style>
  <w:style w:type="character" w:customStyle="1" w:styleId="N1IFTCar">
    <w:name w:val="N1 IFT Car"/>
    <w:basedOn w:val="Fuentedeprrafopredeter"/>
    <w:link w:val="N1IFT"/>
    <w:locked/>
    <w:rsid w:val="00DA5B3C"/>
    <w:rPr>
      <w:rFonts w:ascii="ITC Avant Garde" w:hAnsi="ITC Avant Garde"/>
      <w:b/>
      <w:bCs/>
      <w:color w:val="000000"/>
      <w:lang w:eastAsia="es-ES"/>
    </w:rPr>
  </w:style>
  <w:style w:type="paragraph" w:customStyle="1" w:styleId="N1IFT">
    <w:name w:val="N1 IFT"/>
    <w:basedOn w:val="Normal"/>
    <w:link w:val="N1IFTCar"/>
    <w:rsid w:val="00DA5B3C"/>
    <w:pPr>
      <w:jc w:val="both"/>
    </w:pPr>
    <w:rPr>
      <w:rFonts w:ascii="ITC Avant Garde" w:eastAsiaTheme="minorHAnsi" w:hAnsi="ITC Avant Garde" w:cstheme="minorBidi"/>
      <w:b/>
      <w:bCs/>
      <w:color w:val="000000"/>
      <w:lang w:eastAsia="es-ES"/>
    </w:rPr>
  </w:style>
  <w:style w:type="character" w:customStyle="1" w:styleId="Ttulo1Car">
    <w:name w:val="Título 1 Car"/>
    <w:basedOn w:val="Fuentedeprrafopredeter"/>
    <w:link w:val="Ttulo1"/>
    <w:uiPriority w:val="9"/>
    <w:rsid w:val="00A82AD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A82AD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21">
      <w:bodyDiv w:val="1"/>
      <w:marLeft w:val="0"/>
      <w:marRight w:val="0"/>
      <w:marTop w:val="0"/>
      <w:marBottom w:val="0"/>
      <w:divBdr>
        <w:top w:val="none" w:sz="0" w:space="0" w:color="auto"/>
        <w:left w:val="none" w:sz="0" w:space="0" w:color="auto"/>
        <w:bottom w:val="none" w:sz="0" w:space="0" w:color="auto"/>
        <w:right w:val="none" w:sz="0" w:space="0" w:color="auto"/>
      </w:divBdr>
    </w:div>
    <w:div w:id="584076536">
      <w:bodyDiv w:val="1"/>
      <w:marLeft w:val="0"/>
      <w:marRight w:val="0"/>
      <w:marTop w:val="0"/>
      <w:marBottom w:val="0"/>
      <w:divBdr>
        <w:top w:val="none" w:sz="0" w:space="0" w:color="auto"/>
        <w:left w:val="none" w:sz="0" w:space="0" w:color="auto"/>
        <w:bottom w:val="none" w:sz="0" w:space="0" w:color="auto"/>
        <w:right w:val="none" w:sz="0" w:space="0" w:color="auto"/>
      </w:divBdr>
    </w:div>
    <w:div w:id="604727371">
      <w:bodyDiv w:val="1"/>
      <w:marLeft w:val="0"/>
      <w:marRight w:val="0"/>
      <w:marTop w:val="0"/>
      <w:marBottom w:val="0"/>
      <w:divBdr>
        <w:top w:val="none" w:sz="0" w:space="0" w:color="auto"/>
        <w:left w:val="none" w:sz="0" w:space="0" w:color="auto"/>
        <w:bottom w:val="none" w:sz="0" w:space="0" w:color="auto"/>
        <w:right w:val="none" w:sz="0" w:space="0" w:color="auto"/>
      </w:divBdr>
    </w:div>
    <w:div w:id="717705429">
      <w:bodyDiv w:val="1"/>
      <w:marLeft w:val="0"/>
      <w:marRight w:val="0"/>
      <w:marTop w:val="0"/>
      <w:marBottom w:val="0"/>
      <w:divBdr>
        <w:top w:val="none" w:sz="0" w:space="0" w:color="auto"/>
        <w:left w:val="none" w:sz="0" w:space="0" w:color="auto"/>
        <w:bottom w:val="none" w:sz="0" w:space="0" w:color="auto"/>
        <w:right w:val="none" w:sz="0" w:space="0" w:color="auto"/>
      </w:divBdr>
    </w:div>
    <w:div w:id="730544116">
      <w:bodyDiv w:val="1"/>
      <w:marLeft w:val="0"/>
      <w:marRight w:val="0"/>
      <w:marTop w:val="0"/>
      <w:marBottom w:val="0"/>
      <w:divBdr>
        <w:top w:val="none" w:sz="0" w:space="0" w:color="auto"/>
        <w:left w:val="none" w:sz="0" w:space="0" w:color="auto"/>
        <w:bottom w:val="none" w:sz="0" w:space="0" w:color="auto"/>
        <w:right w:val="none" w:sz="0" w:space="0" w:color="auto"/>
      </w:divBdr>
    </w:div>
    <w:div w:id="782728923">
      <w:bodyDiv w:val="1"/>
      <w:marLeft w:val="0"/>
      <w:marRight w:val="0"/>
      <w:marTop w:val="0"/>
      <w:marBottom w:val="0"/>
      <w:divBdr>
        <w:top w:val="none" w:sz="0" w:space="0" w:color="auto"/>
        <w:left w:val="none" w:sz="0" w:space="0" w:color="auto"/>
        <w:bottom w:val="none" w:sz="0" w:space="0" w:color="auto"/>
        <w:right w:val="none" w:sz="0" w:space="0" w:color="auto"/>
      </w:divBdr>
    </w:div>
    <w:div w:id="836306349">
      <w:bodyDiv w:val="1"/>
      <w:marLeft w:val="0"/>
      <w:marRight w:val="0"/>
      <w:marTop w:val="0"/>
      <w:marBottom w:val="0"/>
      <w:divBdr>
        <w:top w:val="none" w:sz="0" w:space="0" w:color="auto"/>
        <w:left w:val="none" w:sz="0" w:space="0" w:color="auto"/>
        <w:bottom w:val="none" w:sz="0" w:space="0" w:color="auto"/>
        <w:right w:val="none" w:sz="0" w:space="0" w:color="auto"/>
      </w:divBdr>
    </w:div>
    <w:div w:id="1264604465">
      <w:bodyDiv w:val="1"/>
      <w:marLeft w:val="0"/>
      <w:marRight w:val="0"/>
      <w:marTop w:val="0"/>
      <w:marBottom w:val="0"/>
      <w:divBdr>
        <w:top w:val="none" w:sz="0" w:space="0" w:color="auto"/>
        <w:left w:val="none" w:sz="0" w:space="0" w:color="auto"/>
        <w:bottom w:val="none" w:sz="0" w:space="0" w:color="auto"/>
        <w:right w:val="none" w:sz="0" w:space="0" w:color="auto"/>
      </w:divBdr>
    </w:div>
    <w:div w:id="1494643673">
      <w:bodyDiv w:val="1"/>
      <w:marLeft w:val="0"/>
      <w:marRight w:val="0"/>
      <w:marTop w:val="0"/>
      <w:marBottom w:val="0"/>
      <w:divBdr>
        <w:top w:val="none" w:sz="0" w:space="0" w:color="auto"/>
        <w:left w:val="none" w:sz="0" w:space="0" w:color="auto"/>
        <w:bottom w:val="none" w:sz="0" w:space="0" w:color="auto"/>
        <w:right w:val="none" w:sz="0" w:space="0" w:color="auto"/>
      </w:divBdr>
    </w:div>
    <w:div w:id="1855536410">
      <w:bodyDiv w:val="1"/>
      <w:marLeft w:val="0"/>
      <w:marRight w:val="0"/>
      <w:marTop w:val="0"/>
      <w:marBottom w:val="0"/>
      <w:divBdr>
        <w:top w:val="none" w:sz="0" w:space="0" w:color="auto"/>
        <w:left w:val="none" w:sz="0" w:space="0" w:color="auto"/>
        <w:bottom w:val="none" w:sz="0" w:space="0" w:color="auto"/>
        <w:right w:val="none" w:sz="0" w:space="0" w:color="auto"/>
      </w:divBdr>
    </w:div>
    <w:div w:id="1948659471">
      <w:bodyDiv w:val="1"/>
      <w:marLeft w:val="0"/>
      <w:marRight w:val="0"/>
      <w:marTop w:val="0"/>
      <w:marBottom w:val="0"/>
      <w:divBdr>
        <w:top w:val="none" w:sz="0" w:space="0" w:color="auto"/>
        <w:left w:val="none" w:sz="0" w:space="0" w:color="auto"/>
        <w:bottom w:val="none" w:sz="0" w:space="0" w:color="auto"/>
        <w:right w:val="none" w:sz="0" w:space="0" w:color="auto"/>
      </w:divBdr>
    </w:div>
    <w:div w:id="1967468073">
      <w:bodyDiv w:val="1"/>
      <w:marLeft w:val="0"/>
      <w:marRight w:val="0"/>
      <w:marTop w:val="0"/>
      <w:marBottom w:val="0"/>
      <w:divBdr>
        <w:top w:val="none" w:sz="0" w:space="0" w:color="auto"/>
        <w:left w:val="none" w:sz="0" w:space="0" w:color="auto"/>
        <w:bottom w:val="none" w:sz="0" w:space="0" w:color="auto"/>
        <w:right w:val="none" w:sz="0" w:space="0" w:color="auto"/>
      </w:divBdr>
    </w:div>
    <w:div w:id="212245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253B8-2CCE-4F4C-870C-8CEE1D081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7504</Words>
  <Characters>41274</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4</cp:revision>
  <cp:lastPrinted>2017-04-19T16:46:00Z</cp:lastPrinted>
  <dcterms:created xsi:type="dcterms:W3CDTF">2017-04-18T19:18:00Z</dcterms:created>
  <dcterms:modified xsi:type="dcterms:W3CDTF">2017-04-24T16:43:00Z</dcterms:modified>
</cp:coreProperties>
</file>