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454C9" w14:textId="77777777" w:rsidR="00E64A0A" w:rsidRPr="00796CA6" w:rsidRDefault="00E64A0A" w:rsidP="00796CA6">
      <w:pPr>
        <w:pStyle w:val="Ttulo1"/>
        <w:rPr>
          <w:lang w:val="es-MX" w:eastAsia="es-MX"/>
        </w:rPr>
      </w:pPr>
      <w:r w:rsidRPr="00796CA6">
        <w:rPr>
          <w:lang w:val="es-MX" w:eastAsia="es-MX"/>
        </w:rPr>
        <w:t xml:space="preserve">ACUERDO MEDIANTE EL CUAL EL PLENO DEL INSTITUTO FEDERAL DE TELECOMUNICACIONES EMITE LOS INDICADORES CLAVE DE DESEMPEÑO A QUE SE REFIEREN LAS MEDIDAS SEPTUAGÉSIMA OCTAVA Y </w:t>
      </w:r>
      <w:r w:rsidR="00042376" w:rsidRPr="00796CA6">
        <w:rPr>
          <w:lang w:val="es-MX" w:eastAsia="es-MX"/>
        </w:rPr>
        <w:t xml:space="preserve">TRANSITORIA </w:t>
      </w:r>
      <w:r w:rsidRPr="00796CA6">
        <w:rPr>
          <w:lang w:val="es-MX" w:eastAsia="es-MX"/>
        </w:rPr>
        <w:t>QUINTA DEL ANEXO 1 DE LA RESOLUCIÓN DE FECHA 27 DE FEBRERO DE 2017 APROBADA MEDIANTE ACUERDO P/IFT/EXT/270217/119</w:t>
      </w:r>
      <w:r w:rsidR="00AF5E47" w:rsidRPr="00796CA6">
        <w:rPr>
          <w:lang w:val="es-MX" w:eastAsia="es-MX"/>
        </w:rPr>
        <w:t xml:space="preserve"> Y </w:t>
      </w:r>
      <w:r w:rsidR="00E40A27" w:rsidRPr="00796CA6">
        <w:rPr>
          <w:lang w:val="es-MX" w:eastAsia="es-MX"/>
        </w:rPr>
        <w:t>TÉRMINOS, FORMATOS Y PLAZOS PARA LA PRESENTACIÓN Y SEGUIMIENTO DE LOS REPORTES DE DESEMPEÑO.</w:t>
      </w:r>
    </w:p>
    <w:p w14:paraId="38D55200" w14:textId="642A6B80" w:rsidR="00AF5E47" w:rsidRPr="00796CA6" w:rsidRDefault="008710F7" w:rsidP="00796CA6">
      <w:pPr>
        <w:pStyle w:val="Ttulo2"/>
      </w:pPr>
      <w:r w:rsidRPr="00796CA6">
        <w:t>ANTECEDENTES</w:t>
      </w:r>
    </w:p>
    <w:p w14:paraId="21716827" w14:textId="77777777" w:rsidR="00A21454" w:rsidRPr="00796CA6" w:rsidRDefault="00A21454" w:rsidP="00A21454">
      <w:pPr>
        <w:pStyle w:val="Prrafodelista"/>
        <w:rPr>
          <w:lang w:val="es-MX"/>
        </w:rPr>
      </w:pPr>
      <w:r w:rsidRPr="00796CA6">
        <w:rPr>
          <w:lang w:val="es-MX"/>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w:t>
      </w:r>
      <w:r w:rsidR="00084F74" w:rsidRPr="00796CA6">
        <w:rPr>
          <w:lang w:val="es-MX"/>
        </w:rPr>
        <w:t>.</w:t>
      </w:r>
      <w:r w:rsidRPr="00796CA6">
        <w:rPr>
          <w:lang w:val="es-MX"/>
        </w:rPr>
        <w:t>" (en lo sucesivo el "Decreto Constitucional"), mediante el cual se creó el Instituto Federal de Telecomunicaciones (en lo sucesivo, el "Instituto"), como un órgano autónomo con personalidad jurídica y patrimonio propio.</w:t>
      </w:r>
    </w:p>
    <w:p w14:paraId="6902FD11" w14:textId="77777777" w:rsidR="00796CA6" w:rsidRDefault="00A152C0" w:rsidP="00A152C0">
      <w:pPr>
        <w:pStyle w:val="Prrafodelista"/>
        <w:rPr>
          <w:lang w:val="es-MX"/>
        </w:rPr>
      </w:pPr>
      <w:r w:rsidRPr="00796CA6">
        <w:rPr>
          <w:lang w:val="es-MX"/>
        </w:rPr>
        <w:t>El 6 de marzo de 2014, el Pleno del Instituto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084F74" w:rsidRPr="00796CA6">
        <w:rPr>
          <w:lang w:val="es-MX"/>
        </w:rPr>
        <w:t>.</w:t>
      </w:r>
      <w:r w:rsidRPr="00796CA6">
        <w:rPr>
          <w:lang w:val="es-MX"/>
        </w:rPr>
        <w:t>”(sic) (en lo sucesivo, la “Resolución de AEP”)</w:t>
      </w:r>
      <w:r w:rsidR="003A704A" w:rsidRPr="00796CA6">
        <w:rPr>
          <w:lang w:val="es-MX"/>
        </w:rPr>
        <w:t>, con dicha resolución se emitieron los a</w:t>
      </w:r>
      <w:r w:rsidR="00DF1282" w:rsidRPr="00796CA6">
        <w:rPr>
          <w:lang w:val="es-MX"/>
        </w:rPr>
        <w:t>nexos siguiente</w:t>
      </w:r>
      <w:r w:rsidR="003A704A" w:rsidRPr="00796CA6">
        <w:rPr>
          <w:lang w:val="es-MX"/>
        </w:rPr>
        <w:t>s</w:t>
      </w:r>
      <w:r w:rsidR="00DF1282" w:rsidRPr="00796CA6">
        <w:rPr>
          <w:lang w:val="es-MX"/>
        </w:rPr>
        <w:t>:</w:t>
      </w:r>
    </w:p>
    <w:p w14:paraId="45FA8B3E" w14:textId="4E7B3DE9" w:rsidR="00A152C0" w:rsidRPr="00796CA6" w:rsidRDefault="008302DF" w:rsidP="00A152C0">
      <w:pPr>
        <w:pStyle w:val="7CitaTextual"/>
        <w:ind w:left="1416"/>
        <w:rPr>
          <w:i w:val="0"/>
          <w:sz w:val="22"/>
        </w:rPr>
      </w:pPr>
      <w:r w:rsidRPr="00796CA6">
        <w:rPr>
          <w:i w:val="0"/>
        </w:rPr>
        <w:t>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00084F74" w:rsidRPr="00796CA6">
        <w:rPr>
          <w:i w:val="0"/>
        </w:rPr>
        <w:t>.</w:t>
      </w:r>
    </w:p>
    <w:p w14:paraId="37BC9E31" w14:textId="77777777" w:rsidR="00A152C0" w:rsidRPr="00796CA6" w:rsidRDefault="008302DF" w:rsidP="00F2052B">
      <w:pPr>
        <w:pStyle w:val="7CitaTextual"/>
        <w:ind w:left="1416"/>
        <w:rPr>
          <w:i w:val="0"/>
          <w:sz w:val="22"/>
        </w:rPr>
      </w:pPr>
      <w:r w:rsidRPr="00796CA6">
        <w:rPr>
          <w:i w:val="0"/>
        </w:rPr>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00084F74" w:rsidRPr="00796CA6">
        <w:rPr>
          <w:i w:val="0"/>
        </w:rPr>
        <w:t>.</w:t>
      </w:r>
    </w:p>
    <w:p w14:paraId="5A0DA161" w14:textId="77777777" w:rsidR="00A152C0" w:rsidRPr="00796CA6" w:rsidRDefault="008302DF" w:rsidP="00A152C0">
      <w:pPr>
        <w:pStyle w:val="7CitaTextual"/>
        <w:ind w:left="1416"/>
        <w:rPr>
          <w:i w:val="0"/>
          <w:sz w:val="22"/>
        </w:rPr>
      </w:pPr>
      <w:r w:rsidRPr="00796CA6">
        <w:rPr>
          <w:i w:val="0"/>
        </w:rPr>
        <w:lastRenderedPageBreak/>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r w:rsidR="00084F74" w:rsidRPr="00796CA6">
        <w:rPr>
          <w:i w:val="0"/>
        </w:rPr>
        <w:t>.</w:t>
      </w:r>
    </w:p>
    <w:p w14:paraId="57F4EF70" w14:textId="77777777" w:rsidR="008302DF" w:rsidRPr="00796CA6" w:rsidRDefault="008302DF" w:rsidP="008302DF">
      <w:pPr>
        <w:pStyle w:val="7CitaTextual"/>
        <w:ind w:left="1416"/>
        <w:rPr>
          <w:i w:val="0"/>
        </w:rPr>
      </w:pPr>
      <w:r w:rsidRPr="00796CA6">
        <w:rPr>
          <w:i w:val="0"/>
        </w:rPr>
        <w:t>Anexo 4, MEDIDAS EN MATERIA DE CONTENIDOS AUDIOVISUALES QUE SE ESTABLECERÁN AL AGENTE ECONÓMICO PREPONDERANTE EN TELECOMUNICACIONES</w:t>
      </w:r>
      <w:r w:rsidR="00084F74" w:rsidRPr="00796CA6">
        <w:rPr>
          <w:i w:val="0"/>
        </w:rPr>
        <w:t>.</w:t>
      </w:r>
    </w:p>
    <w:p w14:paraId="6A92766C" w14:textId="77777777" w:rsidR="00A152C0" w:rsidRPr="00796CA6" w:rsidRDefault="008302DF" w:rsidP="008302DF">
      <w:pPr>
        <w:pStyle w:val="7CitaTextual"/>
        <w:ind w:left="1416"/>
        <w:rPr>
          <w:i w:val="0"/>
        </w:rPr>
      </w:pPr>
      <w:r w:rsidRPr="00796CA6">
        <w:rPr>
          <w:i w:val="0"/>
        </w:rPr>
        <w:t>Anexo 5, CONVENIO MARCO DE INTERCONEXIÓN ENTRE LAS REDES DE [RAZÓN SOCIAL DEL INTEGRANTE DEL AGENTE ECONÓMICO PREPONDERANTE] CON LA RED PÚBLICA DE TELECOMUNICACIONES DE [RAZÓN SOCIAL DEL CONCESIONARIO]</w:t>
      </w:r>
      <w:r w:rsidR="00084F74" w:rsidRPr="00796CA6">
        <w:rPr>
          <w:i w:val="0"/>
        </w:rPr>
        <w:t>.</w:t>
      </w:r>
    </w:p>
    <w:p w14:paraId="0FD60C2B" w14:textId="77777777" w:rsidR="004D6817" w:rsidRPr="00796CA6" w:rsidRDefault="00A152C0" w:rsidP="00A152C0">
      <w:pPr>
        <w:pStyle w:val="Prrafodelista"/>
      </w:pPr>
      <w:r w:rsidRPr="00796CA6">
        <w:t>El 14 de julio de 2014 se publicó en el DOF el “D</w:t>
      </w:r>
      <w:r w:rsidR="008302DF" w:rsidRPr="00796CA6">
        <w:t>ecreto</w:t>
      </w:r>
      <w:r w:rsidRPr="00796CA6">
        <w:t xml:space="preserve"> por el que se expiden la Ley Federal de Telecomunicaciones y Radiodifusión, y la Ley del Sistema Público de Radiodifusión del Estado Mexicano; y se reforman, adicionan y derogan diversas disposiciones en materia de tel</w:t>
      </w:r>
      <w:r w:rsidR="003A704A" w:rsidRPr="00796CA6">
        <w:t>ecomunicaciones y radiodifusión</w:t>
      </w:r>
      <w:r w:rsidR="00084F74" w:rsidRPr="00796CA6">
        <w:t>.</w:t>
      </w:r>
      <w:r w:rsidR="003A704A" w:rsidRPr="00796CA6">
        <w:t>” (en lo sucesivo, el “Decreto de Ley”)</w:t>
      </w:r>
      <w:r w:rsidRPr="00796CA6">
        <w:t>, entrando en vigor el 13 de agosto de 2014.</w:t>
      </w:r>
    </w:p>
    <w:p w14:paraId="219D758F" w14:textId="77777777" w:rsidR="008C7F09" w:rsidRPr="00796CA6" w:rsidRDefault="008C7F09" w:rsidP="00045F09">
      <w:pPr>
        <w:pStyle w:val="Prrafodelista"/>
      </w:pPr>
      <w:r w:rsidRPr="00796CA6">
        <w:t>El 4 de septiembre de 2014 se publicó en el DOF el “Estatuto Orgánico del Instituto Federal de Telecomunicaciones</w:t>
      </w:r>
      <w:r w:rsidR="00084F74" w:rsidRPr="00796CA6">
        <w:t>.</w:t>
      </w:r>
      <w:r w:rsidRPr="00796CA6">
        <w:t>” (</w:t>
      </w:r>
      <w:r w:rsidR="00DF1282" w:rsidRPr="00796CA6">
        <w:t>en lo sucesivo, el “</w:t>
      </w:r>
      <w:r w:rsidR="00045F09" w:rsidRPr="00796CA6">
        <w:t>Estatuto</w:t>
      </w:r>
      <w:r w:rsidR="00DF1282" w:rsidRPr="00796CA6">
        <w:t>”</w:t>
      </w:r>
      <w:r w:rsidRPr="00796CA6">
        <w:t xml:space="preserve">), </w:t>
      </w:r>
      <w:r w:rsidR="003A704A" w:rsidRPr="00796CA6">
        <w:t>mismo que</w:t>
      </w:r>
      <w:r w:rsidRPr="00796CA6">
        <w:t xml:space="preserve"> entró en vigor el 26 de septiembre de 2014, </w:t>
      </w:r>
      <w:r w:rsidR="00045F09" w:rsidRPr="00796CA6">
        <w:t>y el cual fue modificado a través de los acuerdos modificatorios de Estatuto Orgánico del Instituto Federal de Telecomunicaciones, publicados en el DOF el 17 de octubre de 2014 y el 17 de octubre de 2016.</w:t>
      </w:r>
    </w:p>
    <w:p w14:paraId="30B3C1AC" w14:textId="77777777" w:rsidR="008C7F09" w:rsidRPr="00796CA6" w:rsidRDefault="008C7F09" w:rsidP="008C7F09">
      <w:pPr>
        <w:pStyle w:val="Prrafodelista"/>
      </w:pPr>
      <w:r w:rsidRPr="00796CA6">
        <w:t xml:space="preserve">El 27 de febrero de 2017, el Pleno del Instituto emitió el Acuerdo P/IFT/EXT/270217/119 denominado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w:t>
      </w:r>
      <w:r w:rsidR="00DF1282" w:rsidRPr="00796CA6">
        <w:t>“</w:t>
      </w:r>
      <w:r w:rsidRPr="00796CA6">
        <w:t>Resolución Bienal</w:t>
      </w:r>
      <w:r w:rsidR="003A704A" w:rsidRPr="00796CA6">
        <w:t xml:space="preserve"> 2017</w:t>
      </w:r>
      <w:r w:rsidR="00DF1282" w:rsidRPr="00796CA6">
        <w:t>”</w:t>
      </w:r>
      <w:r w:rsidRPr="00796CA6">
        <w:t>).</w:t>
      </w:r>
    </w:p>
    <w:p w14:paraId="7BBA346E" w14:textId="117E8C2D" w:rsidR="002168C9" w:rsidRPr="00796CA6" w:rsidRDefault="00F033A9" w:rsidP="008C7F09">
      <w:pPr>
        <w:pStyle w:val="Prrafodelista"/>
      </w:pPr>
      <w:r w:rsidRPr="00796CA6">
        <w:t>El 5 de abril de 2017, el Pleno del Instituto emitió el Acuerdo P/IFT/050417/18</w:t>
      </w:r>
      <w:r w:rsidR="00181F4A" w:rsidRPr="00796CA6">
        <w:t>4</w:t>
      </w:r>
      <w:r w:rsidRPr="00796CA6">
        <w:t xml:space="preserve"> denominado “ACUERDO MEDIANTE EL CUAL EL PLENO DEL INSTITUTO FEDERAL DE TELECOMUNICACIONES ESTABLECE EL GRUPO DE TRABAJO A QUE SE REFIERE LA MEDIDA SEPTUAGÉSIMA NOVENA DEL ANEXO 1</w:t>
      </w:r>
      <w:r w:rsidR="00084F74" w:rsidRPr="00796CA6">
        <w:t>.</w:t>
      </w:r>
      <w:r w:rsidRPr="00796CA6">
        <w:t>”.</w:t>
      </w:r>
    </w:p>
    <w:p w14:paraId="317A554D" w14:textId="77777777" w:rsidR="0055753C" w:rsidRPr="00796CA6" w:rsidRDefault="008C7F09" w:rsidP="008C7F09">
      <w:r w:rsidRPr="00796CA6">
        <w:t>En virtud de los Antecedentes señalados y,</w:t>
      </w:r>
    </w:p>
    <w:p w14:paraId="0305CFC2" w14:textId="77777777" w:rsidR="008710F7" w:rsidRPr="00796CA6" w:rsidRDefault="008710F7" w:rsidP="00796CA6">
      <w:pPr>
        <w:pStyle w:val="Ttulo2"/>
      </w:pPr>
      <w:r w:rsidRPr="00796CA6">
        <w:t>CONSIDERANDO</w:t>
      </w:r>
    </w:p>
    <w:p w14:paraId="21A352CE" w14:textId="11000A44" w:rsidR="00045F09" w:rsidRPr="00796CA6" w:rsidRDefault="0029547E" w:rsidP="00045F09">
      <w:r w:rsidRPr="00796CA6">
        <w:rPr>
          <w:rStyle w:val="Ttulo3Car"/>
          <w:rFonts w:eastAsia="Arial Unicode MS" w:cs="Courier New"/>
          <w:szCs w:val="22"/>
          <w:lang w:val="es-MX" w:eastAsia="es-ES"/>
        </w:rPr>
        <w:t>PRIMERO.</w:t>
      </w:r>
      <w:r w:rsidR="00524796" w:rsidRPr="00796CA6">
        <w:rPr>
          <w:rStyle w:val="Ttulo3Car"/>
          <w:rFonts w:eastAsia="Arial Unicode MS" w:cs="Courier New"/>
          <w:szCs w:val="22"/>
          <w:lang w:val="es-MX" w:eastAsia="es-ES"/>
        </w:rPr>
        <w:tab/>
      </w:r>
      <w:r w:rsidRPr="00796CA6">
        <w:rPr>
          <w:b/>
        </w:rPr>
        <w:t>Competencia del Instituto.</w:t>
      </w:r>
      <w:r w:rsidRPr="00796CA6">
        <w:t xml:space="preserve"> </w:t>
      </w:r>
      <w:r w:rsidR="00BC0484" w:rsidRPr="00796CA6">
        <w:t>De</w:t>
      </w:r>
      <w:r w:rsidR="00045F09" w:rsidRPr="00796CA6">
        <w:t xml:space="preserve"> conformidad con el artículo 28, párrafo décimo quinto de la Constitución Política de los Estados Unidos Mexicanos (en lo sucesivo, la </w:t>
      </w:r>
      <w:r w:rsidR="00045F09" w:rsidRPr="00796CA6">
        <w:lastRenderedPageBreak/>
        <w:t>“CPEUM”)</w:t>
      </w:r>
      <w:r w:rsidR="008302DF" w:rsidRPr="00796CA6">
        <w:t>,</w:t>
      </w:r>
      <w:r w:rsidR="00045F09" w:rsidRPr="00796CA6">
        <w:t xml:space="preserve"> el Instituto es un órgano autónomo, con personalidad jurídica y patrimonio propio, que tiene por objeto el desarrollo eficiente de lo radiodifusión y las telecomunicaciones, conforme a lo dispuesto en la propia CPEUM y en los términos que fijen las leyes.</w:t>
      </w:r>
    </w:p>
    <w:p w14:paraId="11AC5AE4" w14:textId="77777777" w:rsidR="00045F09" w:rsidRPr="00796CA6" w:rsidRDefault="00045F09" w:rsidP="00045F09">
      <w:r w:rsidRPr="00796CA6">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CPEUM.</w:t>
      </w:r>
    </w:p>
    <w:p w14:paraId="1C279D32" w14:textId="77777777" w:rsidR="001D6421" w:rsidRPr="00796CA6" w:rsidRDefault="008302DF" w:rsidP="00045F09">
      <w:r w:rsidRPr="00796CA6">
        <w:t>Así mismo, e</w:t>
      </w:r>
      <w:r w:rsidR="00045F09" w:rsidRPr="00796CA6">
        <w:t>n términos de lo dispuesto por el párrafo dé</w:t>
      </w:r>
      <w:r w:rsidR="001D6421" w:rsidRPr="00796CA6">
        <w:t>cimo sexto del artículo 28 de la</w:t>
      </w:r>
      <w:r w:rsidR="00045F09" w:rsidRPr="00796CA6">
        <w:t xml:space="preserve"> C</w:t>
      </w:r>
      <w:r w:rsidR="008053AC" w:rsidRPr="00796CA6">
        <w:t>PEUM, el Instituto es también la</w:t>
      </w:r>
      <w:r w:rsidR="00045F09" w:rsidRPr="00796CA6">
        <w:t xml:space="preserve"> autoridad en materia de competencia económica de los sectores de radiodifusión y telecomunicaciones, por lo que en éstos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r w:rsidR="001D6421" w:rsidRPr="00796CA6">
        <w:t>.</w:t>
      </w:r>
    </w:p>
    <w:p w14:paraId="36C63BC4" w14:textId="77777777" w:rsidR="001D6421" w:rsidRPr="00796CA6" w:rsidRDefault="00401DA9" w:rsidP="0029547E">
      <w:pPr>
        <w:rPr>
          <w:lang w:val="es-MX"/>
        </w:rPr>
      </w:pPr>
      <w:r w:rsidRPr="00796CA6">
        <w:t xml:space="preserve">En cumplimiento con las </w:t>
      </w:r>
      <w:r w:rsidRPr="00796CA6">
        <w:rPr>
          <w:lang w:val="es-MX"/>
        </w:rPr>
        <w:t>medidas Septuagésima del Anexo 1, Quincuagésima Séptima del Anexo 2 y Vigésima Cuarta del Anexo 3 de la Resolución de AEP, el Instituto realizó una evaluación de la</w:t>
      </w:r>
      <w:r w:rsidR="00181F4A" w:rsidRPr="00796CA6">
        <w:rPr>
          <w:lang w:val="es-MX"/>
        </w:rPr>
        <w:t xml:space="preserve"> efectividad en términos de competencia de las</w:t>
      </w:r>
      <w:r w:rsidRPr="00796CA6">
        <w:rPr>
          <w:lang w:val="es-MX"/>
        </w:rPr>
        <w:t xml:space="preserve"> medidas </w:t>
      </w:r>
      <w:r w:rsidR="00181F4A" w:rsidRPr="00796CA6">
        <w:rPr>
          <w:lang w:val="es-MX"/>
        </w:rPr>
        <w:t>impuestas</w:t>
      </w:r>
      <w:r w:rsidR="009A73F3" w:rsidRPr="00796CA6">
        <w:rPr>
          <w:lang w:val="es-MX"/>
        </w:rPr>
        <w:t xml:space="preserve"> al A</w:t>
      </w:r>
      <w:r w:rsidR="00A440CF" w:rsidRPr="00796CA6">
        <w:rPr>
          <w:lang w:val="es-MX"/>
        </w:rPr>
        <w:t xml:space="preserve">gente </w:t>
      </w:r>
      <w:r w:rsidR="009A73F3" w:rsidRPr="00796CA6">
        <w:rPr>
          <w:lang w:val="es-MX"/>
        </w:rPr>
        <w:t>E</w:t>
      </w:r>
      <w:r w:rsidR="00A440CF" w:rsidRPr="00796CA6">
        <w:rPr>
          <w:lang w:val="es-MX"/>
        </w:rPr>
        <w:t xml:space="preserve">conómico </w:t>
      </w:r>
      <w:r w:rsidR="009A73F3" w:rsidRPr="00796CA6">
        <w:rPr>
          <w:lang w:val="es-MX"/>
        </w:rPr>
        <w:t>P</w:t>
      </w:r>
      <w:r w:rsidR="00A440CF" w:rsidRPr="00796CA6">
        <w:rPr>
          <w:lang w:val="es-MX"/>
        </w:rPr>
        <w:t>reponderante</w:t>
      </w:r>
      <w:r w:rsidR="00181F4A" w:rsidRPr="00796CA6">
        <w:rPr>
          <w:lang w:val="es-MX"/>
        </w:rPr>
        <w:t xml:space="preserve"> en el sector de las telecomunicaciones</w:t>
      </w:r>
      <w:r w:rsidR="00A440CF" w:rsidRPr="00796CA6">
        <w:rPr>
          <w:lang w:val="es-MX"/>
        </w:rPr>
        <w:t xml:space="preserve"> (en lo sucesivo, el “AEP”)</w:t>
      </w:r>
      <w:r w:rsidR="00181F4A" w:rsidRPr="00796CA6">
        <w:rPr>
          <w:lang w:val="es-MX"/>
        </w:rPr>
        <w:t>, a efecto de suprimir, modificar y adicionar medidas</w:t>
      </w:r>
      <w:r w:rsidR="009A73F3" w:rsidRPr="00796CA6">
        <w:rPr>
          <w:lang w:val="es-MX"/>
        </w:rPr>
        <w:t xml:space="preserve">. </w:t>
      </w:r>
    </w:p>
    <w:p w14:paraId="6DEF954F" w14:textId="77777777" w:rsidR="00D47201" w:rsidRPr="00796CA6" w:rsidRDefault="004F43CC" w:rsidP="0029547E">
      <w:r w:rsidRPr="00796CA6">
        <w:rPr>
          <w:lang w:val="es-MX"/>
        </w:rPr>
        <w:t>A través de la</w:t>
      </w:r>
      <w:r w:rsidR="005671A2" w:rsidRPr="00796CA6">
        <w:rPr>
          <w:lang w:val="es-MX"/>
        </w:rPr>
        <w:t xml:space="preserve"> medida </w:t>
      </w:r>
      <w:r w:rsidR="005671A2" w:rsidRPr="00796CA6">
        <w:t>Septuagésima Octava del Anexo 1</w:t>
      </w:r>
      <w:r w:rsidR="00181F4A" w:rsidRPr="00796CA6">
        <w:t xml:space="preserve"> </w:t>
      </w:r>
      <w:r w:rsidR="00181F4A" w:rsidRPr="00796CA6">
        <w:rPr>
          <w:lang w:val="es-MX"/>
        </w:rPr>
        <w:t xml:space="preserve">de la Resolución </w:t>
      </w:r>
      <w:r w:rsidR="00796385" w:rsidRPr="00796CA6">
        <w:rPr>
          <w:lang w:val="es-MX"/>
        </w:rPr>
        <w:t>Bienal 2017</w:t>
      </w:r>
      <w:r w:rsidR="00F56F25" w:rsidRPr="00796CA6">
        <w:t xml:space="preserve">, </w:t>
      </w:r>
      <w:r w:rsidR="00D47201" w:rsidRPr="00796CA6">
        <w:t xml:space="preserve">el Instituto impuso la </w:t>
      </w:r>
      <w:r w:rsidR="00181F4A" w:rsidRPr="00796CA6">
        <w:t xml:space="preserve">obligación al AEP de implementar la </w:t>
      </w:r>
      <w:r w:rsidR="00D47201" w:rsidRPr="00796CA6">
        <w:t>equivalencia de insumos en la provisión de los Servicios Mayoristas Regulados (en lo sucesivo, “SMR”)</w:t>
      </w:r>
      <w:r w:rsidR="00181F4A" w:rsidRPr="00796CA6">
        <w:t xml:space="preserve">, así como </w:t>
      </w:r>
      <w:r w:rsidR="00D47201" w:rsidRPr="00796CA6">
        <w:t xml:space="preserve">de reportar periódicamente Indicadores Clave de Desempeño (en lo sucesivo, “ICD”), distinguiendo entre las operaciones internas y externas, bajo los términos, formatos y plazos establecidos por el Instituto. </w:t>
      </w:r>
    </w:p>
    <w:p w14:paraId="1B3FE001" w14:textId="77777777" w:rsidR="007F75B4" w:rsidRPr="00796CA6" w:rsidRDefault="00233204" w:rsidP="00847AB6">
      <w:r w:rsidRPr="00796CA6">
        <w:t xml:space="preserve">Por lo anterior, en términos de los artículos 7, </w:t>
      </w:r>
      <w:r w:rsidRPr="00796CA6">
        <w:rPr>
          <w:lang w:val="es-MX"/>
        </w:rPr>
        <w:t xml:space="preserve">15, fracción LXIII, 16, 17, fracción XV de la Ley Federal de Telecomunicaciones y Radiodifusión </w:t>
      </w:r>
      <w:r w:rsidR="001E16BA" w:rsidRPr="00796CA6">
        <w:rPr>
          <w:lang w:val="es-MX"/>
        </w:rPr>
        <w:t xml:space="preserve">y de las medidas </w:t>
      </w:r>
      <w:r w:rsidR="001E16BA" w:rsidRPr="00796CA6">
        <w:t>Septuagésima Octava y Transitoria Quinta del Anexo 1, de la Resolución Bienal 2017, el Pleno del Instituto es competente para emitir el presente Acuerdo</w:t>
      </w:r>
      <w:r w:rsidRPr="00796CA6">
        <w:t>.</w:t>
      </w:r>
    </w:p>
    <w:p w14:paraId="03AEC921" w14:textId="3F8AD36E" w:rsidR="00F6394C" w:rsidRPr="00796CA6" w:rsidRDefault="00C879CC" w:rsidP="00847AB6">
      <w:r w:rsidRPr="00796CA6">
        <w:rPr>
          <w:b/>
        </w:rPr>
        <w:t>S</w:t>
      </w:r>
      <w:r w:rsidR="00524796" w:rsidRPr="00796CA6">
        <w:rPr>
          <w:b/>
        </w:rPr>
        <w:t>EGUNDO.</w:t>
      </w:r>
      <w:r w:rsidR="00524796" w:rsidRPr="00796CA6">
        <w:rPr>
          <w:b/>
        </w:rPr>
        <w:tab/>
      </w:r>
      <w:r w:rsidR="00F033A9" w:rsidRPr="00796CA6">
        <w:rPr>
          <w:b/>
        </w:rPr>
        <w:t>Indicadores Clave de Desempeño.</w:t>
      </w:r>
      <w:r w:rsidR="00FD2342" w:rsidRPr="00796CA6">
        <w:tab/>
      </w:r>
      <w:r w:rsidR="00A232FE" w:rsidRPr="00796CA6">
        <w:rPr>
          <w:lang w:val="es-ES"/>
        </w:rPr>
        <w:t>La</w:t>
      </w:r>
      <w:r w:rsidR="00F6394C" w:rsidRPr="00796CA6">
        <w:rPr>
          <w:lang w:val="es-ES"/>
        </w:rPr>
        <w:t xml:space="preserve"> </w:t>
      </w:r>
      <w:r w:rsidR="00A232FE" w:rsidRPr="00796CA6">
        <w:rPr>
          <w:lang w:val="es-ES"/>
        </w:rPr>
        <w:t>implementación</w:t>
      </w:r>
      <w:r w:rsidR="00F6394C" w:rsidRPr="00796CA6">
        <w:rPr>
          <w:lang w:val="es-ES"/>
        </w:rPr>
        <w:t xml:space="preserve"> de I</w:t>
      </w:r>
      <w:r w:rsidR="008635A8" w:rsidRPr="00796CA6">
        <w:rPr>
          <w:lang w:val="es-ES"/>
        </w:rPr>
        <w:t>CD</w:t>
      </w:r>
      <w:r w:rsidR="00F6394C" w:rsidRPr="00796CA6">
        <w:rPr>
          <w:lang w:val="es-ES"/>
        </w:rPr>
        <w:t xml:space="preserve"> </w:t>
      </w:r>
      <w:r w:rsidR="00920D6F" w:rsidRPr="00796CA6">
        <w:rPr>
          <w:lang w:val="es-ES"/>
        </w:rPr>
        <w:t xml:space="preserve">deriva de la Resolución Bienal 2017 </w:t>
      </w:r>
      <w:r w:rsidR="00A232FE" w:rsidRPr="00796CA6">
        <w:rPr>
          <w:lang w:val="es-ES"/>
        </w:rPr>
        <w:t>como medida necesaria</w:t>
      </w:r>
      <w:r w:rsidR="00F6394C" w:rsidRPr="00796CA6">
        <w:rPr>
          <w:lang w:val="es-ES"/>
        </w:rPr>
        <w:t xml:space="preserve"> para evaluar el desempeño global del AEP con relación a la provisión de </w:t>
      </w:r>
      <w:r w:rsidR="00F87F5F" w:rsidRPr="00796CA6">
        <w:rPr>
          <w:lang w:val="es-ES"/>
        </w:rPr>
        <w:t xml:space="preserve">los </w:t>
      </w:r>
      <w:r w:rsidR="00F6394C" w:rsidRPr="00796CA6">
        <w:rPr>
          <w:lang w:val="es-ES"/>
        </w:rPr>
        <w:t xml:space="preserve">SMR, </w:t>
      </w:r>
      <w:r w:rsidR="00F87F5F" w:rsidRPr="00796CA6">
        <w:rPr>
          <w:lang w:val="es-ES"/>
        </w:rPr>
        <w:t xml:space="preserve">distinguiendo entre las operaciones con empresas pertenecientes y relacionadas con el mismo AEP y las operaciones con terceros. </w:t>
      </w:r>
      <w:r w:rsidR="00292AAE" w:rsidRPr="00796CA6">
        <w:rPr>
          <w:lang w:val="es-ES"/>
        </w:rPr>
        <w:t>Los ICD</w:t>
      </w:r>
      <w:r w:rsidR="000836DB" w:rsidRPr="00796CA6">
        <w:rPr>
          <w:lang w:val="es-ES"/>
        </w:rPr>
        <w:t xml:space="preserve"> </w:t>
      </w:r>
      <w:r w:rsidR="005E405D" w:rsidRPr="00796CA6">
        <w:t xml:space="preserve">son métricas </w:t>
      </w:r>
      <w:r w:rsidR="00C7449B" w:rsidRPr="00796CA6">
        <w:t>que se establecen como</w:t>
      </w:r>
      <w:r w:rsidR="007F371B" w:rsidRPr="00796CA6">
        <w:rPr>
          <w:lang w:val="es-ES"/>
        </w:rPr>
        <w:t xml:space="preserve"> apoyo </w:t>
      </w:r>
      <w:r w:rsidR="000836DB" w:rsidRPr="00796CA6">
        <w:rPr>
          <w:lang w:val="es-ES"/>
        </w:rPr>
        <w:t>para monitorear el</w:t>
      </w:r>
      <w:r w:rsidR="00F56F25" w:rsidRPr="00796CA6">
        <w:rPr>
          <w:lang w:val="es-ES"/>
        </w:rPr>
        <w:t xml:space="preserve"> grado de implementación de la </w:t>
      </w:r>
      <w:r w:rsidR="00F56F25" w:rsidRPr="00796CA6">
        <w:rPr>
          <w:lang w:val="es-ES"/>
        </w:rPr>
        <w:lastRenderedPageBreak/>
        <w:t>equivalencia de i</w:t>
      </w:r>
      <w:r w:rsidR="000836DB" w:rsidRPr="00796CA6">
        <w:rPr>
          <w:lang w:val="es-ES"/>
        </w:rPr>
        <w:t>nsumos y</w:t>
      </w:r>
      <w:r w:rsidR="00A232FE" w:rsidRPr="00796CA6">
        <w:t xml:space="preserve"> </w:t>
      </w:r>
      <w:r w:rsidR="00C7449B" w:rsidRPr="00796CA6">
        <w:t xml:space="preserve">su evaluación </w:t>
      </w:r>
      <w:r w:rsidR="00A232FE" w:rsidRPr="00796CA6">
        <w:t xml:space="preserve">tiene el objetivo de </w:t>
      </w:r>
      <w:r w:rsidR="007F371B" w:rsidRPr="00796CA6">
        <w:t>v</w:t>
      </w:r>
      <w:r w:rsidR="002F7EF9" w:rsidRPr="00796CA6">
        <w:t>igilar</w:t>
      </w:r>
      <w:r w:rsidR="007F371B" w:rsidRPr="00796CA6">
        <w:t xml:space="preserve"> </w:t>
      </w:r>
      <w:r w:rsidR="00A232FE" w:rsidRPr="00796CA6">
        <w:t xml:space="preserve">la no discriminación y </w:t>
      </w:r>
      <w:r w:rsidR="002F7EF9" w:rsidRPr="00796CA6">
        <w:t xml:space="preserve">fomentar </w:t>
      </w:r>
      <w:r w:rsidR="00A232FE" w:rsidRPr="00796CA6">
        <w:t xml:space="preserve">la </w:t>
      </w:r>
      <w:r w:rsidR="000836DB" w:rsidRPr="00796CA6">
        <w:t>transparencia</w:t>
      </w:r>
      <w:r w:rsidR="00A232FE" w:rsidRPr="00796CA6">
        <w:t xml:space="preserve"> por parte del AEP en la provisión de los SMR. </w:t>
      </w:r>
    </w:p>
    <w:p w14:paraId="63669A94" w14:textId="6EBE3403" w:rsidR="00C44567" w:rsidRPr="00796CA6" w:rsidRDefault="00AE1DF6" w:rsidP="00C44567">
      <w:pPr>
        <w:rPr>
          <w:lang w:val="es-MX"/>
        </w:rPr>
      </w:pPr>
      <w:r w:rsidRPr="00796CA6">
        <w:rPr>
          <w:lang w:val="es-MX"/>
        </w:rPr>
        <w:t xml:space="preserve">Como se advirtió en la Resolución Bienal 2017, las empresas verticalmente integradas con obligaciones de acceso tienen incentivos para discriminar a sus competidores por vías distintas a precios, como por ejemplo; retrasando el acceso a los insumos, reteniendo información relevante, proporcionando una calidad del insumo mayorista </w:t>
      </w:r>
      <w:r w:rsidR="00FB66C8" w:rsidRPr="00796CA6">
        <w:rPr>
          <w:lang w:val="es-MX"/>
        </w:rPr>
        <w:t xml:space="preserve">inferior a </w:t>
      </w:r>
      <w:r w:rsidRPr="00796CA6">
        <w:rPr>
          <w:lang w:val="es-MX"/>
        </w:rPr>
        <w:t xml:space="preserve">la que </w:t>
      </w:r>
      <w:r w:rsidR="00FB66C8" w:rsidRPr="00796CA6">
        <w:rPr>
          <w:lang w:val="es-MX"/>
        </w:rPr>
        <w:t xml:space="preserve">brinda a </w:t>
      </w:r>
      <w:r w:rsidRPr="00796CA6">
        <w:rPr>
          <w:lang w:val="es-MX"/>
        </w:rPr>
        <w:t>sus propias operaciones o incluso estructurando los servicios de acceso mayorista de forma que favorezcan su propia operación. En ese sentido, existe el riesgo de que el AEP pueda otorgarse un trato preferencial sobre sus competidores en términos de atención de solicitudes de servicios, reparación de fallas, condiciones de calidad, entre otros. Por lo anterior, se busca, además de garantizar el acceso a los SMR, vigilar que en la provisión de estos no se incurra en discriminación por una vía distinta a precios</w:t>
      </w:r>
      <w:r w:rsidR="00FB66C8" w:rsidRPr="00796CA6">
        <w:rPr>
          <w:lang w:val="es-MX"/>
        </w:rPr>
        <w:t>, es decir que haya una efectiva equivalencia de insumos.</w:t>
      </w:r>
    </w:p>
    <w:p w14:paraId="72450451" w14:textId="77777777" w:rsidR="00C44567" w:rsidRPr="00796CA6" w:rsidRDefault="00F56F25" w:rsidP="00C44567">
      <w:pPr>
        <w:rPr>
          <w:lang w:val="es-MX"/>
        </w:rPr>
      </w:pPr>
      <w:r w:rsidRPr="00796CA6">
        <w:rPr>
          <w:lang w:val="es-MX"/>
        </w:rPr>
        <w:t>De acuerdo co</w:t>
      </w:r>
      <w:r w:rsidR="000836DB" w:rsidRPr="00796CA6">
        <w:rPr>
          <w:lang w:val="es-MX"/>
        </w:rPr>
        <w:t>n la experiencia internacional</w:t>
      </w:r>
      <w:r w:rsidRPr="00796CA6">
        <w:rPr>
          <w:lang w:val="es-MX"/>
        </w:rPr>
        <w:t>,</w:t>
      </w:r>
      <w:r w:rsidR="00C44567" w:rsidRPr="00796CA6">
        <w:rPr>
          <w:lang w:val="es-MX"/>
        </w:rPr>
        <w:t xml:space="preserve"> la equivalencia de insumos se recomienda como la forma más segura de lograr una protección efectiva contra la discriminación por una vía diferente a precios</w:t>
      </w:r>
      <w:r w:rsidR="00C44567" w:rsidRPr="00796CA6">
        <w:rPr>
          <w:rStyle w:val="Refdenotaalpie"/>
        </w:rPr>
        <w:footnoteReference w:id="2"/>
      </w:r>
      <w:r w:rsidR="000F4409" w:rsidRPr="00796CA6">
        <w:rPr>
          <w:lang w:val="es-MX"/>
        </w:rPr>
        <w:t>.</w:t>
      </w:r>
    </w:p>
    <w:p w14:paraId="5CC38E7C" w14:textId="77777777" w:rsidR="00C44567" w:rsidRPr="00796CA6" w:rsidRDefault="00C44567" w:rsidP="00C44567">
      <w:pPr>
        <w:rPr>
          <w:lang w:val="es-MX"/>
        </w:rPr>
      </w:pPr>
      <w:r w:rsidRPr="00796CA6">
        <w:rPr>
          <w:lang w:val="es-MX"/>
        </w:rPr>
        <w:t>Por equivalencia de insumos debe entenderse una forma de equivalencia de acceso, la cual requiere a las empresas integradas verticalmente, suministrar productos y servicios de acceso sobre una base equivalente a todos los clientes, incluyéndose a sí misma</w:t>
      </w:r>
      <w:r w:rsidRPr="00796CA6">
        <w:rPr>
          <w:rStyle w:val="Refdenotaalpie"/>
        </w:rPr>
        <w:footnoteReference w:id="3"/>
      </w:r>
      <w:r w:rsidRPr="00796CA6">
        <w:rPr>
          <w:lang w:val="es-MX"/>
        </w:rPr>
        <w:t>. En particular, se busca que los productos minoristas de la empresa verticalmente integrada se produzcan con los mismos insumos mayoristas regulados que los de los competidores, para lo cual se ha de asegurar:</w:t>
      </w:r>
    </w:p>
    <w:p w14:paraId="553E1D03" w14:textId="77777777" w:rsidR="00C44567" w:rsidRPr="00796CA6" w:rsidRDefault="00C44567" w:rsidP="00423492">
      <w:pPr>
        <w:pStyle w:val="1BulletsPrimero"/>
        <w:numPr>
          <w:ilvl w:val="0"/>
          <w:numId w:val="2"/>
        </w:numPr>
        <w:tabs>
          <w:tab w:val="clear" w:pos="340"/>
        </w:tabs>
        <w:ind w:left="567"/>
      </w:pPr>
      <w:r w:rsidRPr="00796CA6">
        <w:t>Equivalencia técnica: sistemas, procesos, calidad del servicio, desempeño, confiabilidad y tiempo de provisión;</w:t>
      </w:r>
    </w:p>
    <w:p w14:paraId="272F987E" w14:textId="77777777" w:rsidR="00796CA6" w:rsidRDefault="00C44567" w:rsidP="00423492">
      <w:pPr>
        <w:pStyle w:val="1BulletsPrimero"/>
        <w:numPr>
          <w:ilvl w:val="0"/>
          <w:numId w:val="2"/>
        </w:numPr>
        <w:tabs>
          <w:tab w:val="clear" w:pos="340"/>
        </w:tabs>
        <w:ind w:left="567"/>
      </w:pPr>
      <w:r w:rsidRPr="00796CA6">
        <w:t>Equivalencia económica: precios, términos y condiciones;</w:t>
      </w:r>
    </w:p>
    <w:p w14:paraId="56102AE6" w14:textId="32B364D2" w:rsidR="00C44567" w:rsidRPr="00796CA6" w:rsidRDefault="00C44567" w:rsidP="00423492">
      <w:pPr>
        <w:pStyle w:val="1BulletsPrimero"/>
        <w:numPr>
          <w:ilvl w:val="0"/>
          <w:numId w:val="2"/>
        </w:numPr>
        <w:tabs>
          <w:tab w:val="clear" w:pos="340"/>
        </w:tabs>
        <w:ind w:left="567"/>
      </w:pPr>
      <w:r w:rsidRPr="00796CA6">
        <w:t>Equivalencia de información y transparencia: información, tiempos y reportes de Indicadores Clave de Desempeño, y</w:t>
      </w:r>
    </w:p>
    <w:p w14:paraId="454A8D53" w14:textId="40A32D30" w:rsidR="00A574CA" w:rsidRPr="00796CA6" w:rsidRDefault="009B21F8" w:rsidP="00423492">
      <w:pPr>
        <w:pStyle w:val="1BulletsPrimero"/>
        <w:numPr>
          <w:ilvl w:val="0"/>
          <w:numId w:val="2"/>
        </w:numPr>
        <w:tabs>
          <w:tab w:val="clear" w:pos="340"/>
        </w:tabs>
        <w:ind w:left="567"/>
      </w:pPr>
      <w:r w:rsidRPr="00796CA6">
        <w:t xml:space="preserve">Verificación </w:t>
      </w:r>
      <w:r w:rsidR="00C44567" w:rsidRPr="00796CA6">
        <w:t>y cumplimiento.</w:t>
      </w:r>
    </w:p>
    <w:p w14:paraId="581C85D6" w14:textId="4F096972" w:rsidR="00A574CA" w:rsidRPr="00796CA6" w:rsidRDefault="00A574CA" w:rsidP="00847AB6">
      <w:r w:rsidRPr="00796CA6">
        <w:t>Así, los ICD son instrumentos útiles para la detección oportuna de comportamientos</w:t>
      </w:r>
      <w:r w:rsidR="00555733" w:rsidRPr="00796CA6">
        <w:t xml:space="preserve"> sistemáticos que puedan constituirse en un trato</w:t>
      </w:r>
      <w:r w:rsidRPr="00796CA6">
        <w:t xml:space="preserve"> discriminatorio con respecto a otros factores diferentes al precio (plazos de entrega de servicios, atención</w:t>
      </w:r>
      <w:r w:rsidR="00513977" w:rsidRPr="00796CA6">
        <w:t xml:space="preserve"> de</w:t>
      </w:r>
      <w:r w:rsidRPr="00796CA6">
        <w:t xml:space="preserve"> solicitudes, reparación de </w:t>
      </w:r>
      <w:r w:rsidRPr="00796CA6">
        <w:lastRenderedPageBreak/>
        <w:t xml:space="preserve">fallas, etc.), al mismo tiempo que promueven la transparencia en relación con </w:t>
      </w:r>
      <w:r w:rsidR="00F60EB8" w:rsidRPr="00796CA6">
        <w:t>la provisión</w:t>
      </w:r>
      <w:r w:rsidRPr="00796CA6">
        <w:t xml:space="preserve"> de los SMR.</w:t>
      </w:r>
    </w:p>
    <w:p w14:paraId="59475708" w14:textId="77777777" w:rsidR="007F75B4" w:rsidRPr="00796CA6" w:rsidRDefault="00292AAE" w:rsidP="00847AB6">
      <w:pPr>
        <w:rPr>
          <w:lang w:val="es-ES"/>
        </w:rPr>
      </w:pPr>
      <w:r w:rsidRPr="00796CA6">
        <w:rPr>
          <w:lang w:val="es-ES"/>
        </w:rPr>
        <w:t xml:space="preserve">Entre los casos internacionales más representativos sobre la implementación y uso de ICD </w:t>
      </w:r>
      <w:r w:rsidR="006D270E" w:rsidRPr="00796CA6">
        <w:rPr>
          <w:lang w:val="es-ES"/>
        </w:rPr>
        <w:t xml:space="preserve">para evitar la discriminación a terceros, </w:t>
      </w:r>
      <w:r w:rsidRPr="00796CA6">
        <w:rPr>
          <w:lang w:val="es-ES"/>
        </w:rPr>
        <w:t xml:space="preserve">se pueden mencionar los </w:t>
      </w:r>
      <w:r w:rsidR="00D84427" w:rsidRPr="00796CA6">
        <w:rPr>
          <w:lang w:val="es-ES"/>
        </w:rPr>
        <w:t>referentes a Italia, Inglaterra e Irlanda</w:t>
      </w:r>
      <w:r w:rsidRPr="00796CA6">
        <w:rPr>
          <w:lang w:val="es-ES"/>
        </w:rPr>
        <w:t>:</w:t>
      </w:r>
    </w:p>
    <w:p w14:paraId="20E2A427" w14:textId="77777777" w:rsidR="00292AAE" w:rsidRPr="00796CA6" w:rsidRDefault="00292AAE" w:rsidP="00847AB6">
      <w:pPr>
        <w:rPr>
          <w:lang w:val="es-ES"/>
        </w:rPr>
      </w:pPr>
      <w:r w:rsidRPr="00796CA6">
        <w:rPr>
          <w:b/>
          <w:lang w:val="es-ES"/>
        </w:rPr>
        <w:t>ITALIA</w:t>
      </w:r>
      <w:r w:rsidR="006D270E" w:rsidRPr="00796CA6">
        <w:rPr>
          <w:rStyle w:val="Refdenotaalpie"/>
        </w:rPr>
        <w:footnoteReference w:id="4"/>
      </w:r>
    </w:p>
    <w:p w14:paraId="31C02244" w14:textId="77777777" w:rsidR="00292AAE" w:rsidRPr="00796CA6" w:rsidRDefault="0032783D" w:rsidP="00292AAE">
      <w:pPr>
        <w:rPr>
          <w:lang w:val="es-MX"/>
        </w:rPr>
      </w:pPr>
      <w:r w:rsidRPr="00796CA6">
        <w:rPr>
          <w:lang w:val="es-MX"/>
        </w:rPr>
        <w:t>Con</w:t>
      </w:r>
      <w:r w:rsidR="00292AAE" w:rsidRPr="00796CA6">
        <w:rPr>
          <w:lang w:val="es-MX"/>
        </w:rPr>
        <w:t xml:space="preserve"> la Resolución 718/08/COMS</w:t>
      </w:r>
      <w:r w:rsidRPr="00796CA6">
        <w:rPr>
          <w:lang w:val="es-MX"/>
        </w:rPr>
        <w:t>, emitida en diciembre de 2008 por</w:t>
      </w:r>
      <w:r w:rsidR="00292AAE" w:rsidRPr="00796CA6">
        <w:rPr>
          <w:lang w:val="es-MX"/>
        </w:rPr>
        <w:t xml:space="preserve"> </w:t>
      </w:r>
      <w:r w:rsidRPr="00796CA6">
        <w:rPr>
          <w:lang w:val="es-MX"/>
        </w:rPr>
        <w:t>la autoridad r</w:t>
      </w:r>
      <w:r w:rsidR="00FF6B67" w:rsidRPr="00796CA6">
        <w:rPr>
          <w:lang w:val="es-MX"/>
        </w:rPr>
        <w:t>e</w:t>
      </w:r>
      <w:r w:rsidR="00437E3F" w:rsidRPr="00796CA6">
        <w:rPr>
          <w:lang w:val="es-MX"/>
        </w:rPr>
        <w:t>guladora de Ital</w:t>
      </w:r>
      <w:r w:rsidR="006D270E" w:rsidRPr="00796CA6">
        <w:rPr>
          <w:lang w:val="es-MX"/>
        </w:rPr>
        <w:t>i</w:t>
      </w:r>
      <w:r w:rsidR="00437E3F" w:rsidRPr="00796CA6">
        <w:rPr>
          <w:lang w:val="es-MX"/>
        </w:rPr>
        <w:t>a AGCOM</w:t>
      </w:r>
      <w:r w:rsidRPr="00796CA6">
        <w:rPr>
          <w:lang w:val="es-MX"/>
        </w:rPr>
        <w:t>,</w:t>
      </w:r>
      <w:r w:rsidR="00437E3F" w:rsidRPr="00796CA6">
        <w:rPr>
          <w:lang w:val="es-MX"/>
        </w:rPr>
        <w:t xml:space="preserve"> </w:t>
      </w:r>
      <w:r w:rsidRPr="00796CA6">
        <w:rPr>
          <w:lang w:val="es-MX"/>
        </w:rPr>
        <w:t>se aprobaron</w:t>
      </w:r>
      <w:r w:rsidR="00292AAE" w:rsidRPr="00796CA6">
        <w:rPr>
          <w:lang w:val="es-MX"/>
        </w:rPr>
        <w:t xml:space="preserve"> los compromisos </w:t>
      </w:r>
      <w:r w:rsidRPr="00796CA6">
        <w:rPr>
          <w:lang w:val="es-MX"/>
        </w:rPr>
        <w:t xml:space="preserve">que presentó </w:t>
      </w:r>
      <w:r w:rsidR="00292AAE" w:rsidRPr="00796CA6">
        <w:rPr>
          <w:lang w:val="es-MX"/>
        </w:rPr>
        <w:t>Telecom Italia</w:t>
      </w:r>
      <w:r w:rsidR="00437E3F" w:rsidRPr="00796CA6">
        <w:rPr>
          <w:lang w:val="es-MX"/>
        </w:rPr>
        <w:t xml:space="preserve"> (en lo sucesivo, “TI”),</w:t>
      </w:r>
      <w:r w:rsidR="006D270E" w:rsidRPr="00796CA6">
        <w:rPr>
          <w:lang w:val="es-MX"/>
        </w:rPr>
        <w:t xml:space="preserve"> </w:t>
      </w:r>
      <w:r w:rsidRPr="00796CA6">
        <w:rPr>
          <w:lang w:val="es-MX"/>
        </w:rPr>
        <w:t>en su calidad de</w:t>
      </w:r>
      <w:r w:rsidR="006D270E" w:rsidRPr="00796CA6">
        <w:rPr>
          <w:lang w:val="es-MX"/>
        </w:rPr>
        <w:t xml:space="preserve"> agente con poder significativo </w:t>
      </w:r>
      <w:r w:rsidR="00D37DD5" w:rsidRPr="00796CA6">
        <w:rPr>
          <w:lang w:val="es-MX"/>
        </w:rPr>
        <w:t xml:space="preserve">de </w:t>
      </w:r>
      <w:r w:rsidR="006D270E" w:rsidRPr="00796CA6">
        <w:rPr>
          <w:lang w:val="es-MX"/>
        </w:rPr>
        <w:t>m</w:t>
      </w:r>
      <w:r w:rsidR="00292AAE" w:rsidRPr="00796CA6">
        <w:rPr>
          <w:lang w:val="es-MX"/>
        </w:rPr>
        <w:t>ercado</w:t>
      </w:r>
      <w:r w:rsidR="00D37DD5" w:rsidRPr="00796CA6">
        <w:rPr>
          <w:lang w:val="es-MX"/>
        </w:rPr>
        <w:t xml:space="preserve"> (en lo sucesivo, “PSM”)</w:t>
      </w:r>
      <w:r w:rsidR="00437E3F" w:rsidRPr="00796CA6">
        <w:rPr>
          <w:lang w:val="es-MX"/>
        </w:rPr>
        <w:t xml:space="preserve"> </w:t>
      </w:r>
      <w:r w:rsidR="00C94F64" w:rsidRPr="00796CA6">
        <w:rPr>
          <w:lang w:val="es-MX"/>
        </w:rPr>
        <w:t>en los</w:t>
      </w:r>
      <w:r w:rsidR="00D37DD5" w:rsidRPr="00796CA6">
        <w:rPr>
          <w:lang w:val="es-MX"/>
        </w:rPr>
        <w:t xml:space="preserve"> mercado</w:t>
      </w:r>
      <w:r w:rsidR="00C94F64" w:rsidRPr="00796CA6">
        <w:rPr>
          <w:lang w:val="es-MX"/>
        </w:rPr>
        <w:t>s de acceso a la infraestructura y de acceso a la red</w:t>
      </w:r>
      <w:r w:rsidR="00C94F64" w:rsidRPr="00796CA6">
        <w:rPr>
          <w:rStyle w:val="Refdenotaalpie"/>
        </w:rPr>
        <w:footnoteReference w:id="5"/>
      </w:r>
      <w:r w:rsidR="00437E3F" w:rsidRPr="00796CA6">
        <w:rPr>
          <w:lang w:val="es-MX"/>
        </w:rPr>
        <w:t>,</w:t>
      </w:r>
      <w:r w:rsidR="00292AAE" w:rsidRPr="00796CA6">
        <w:rPr>
          <w:lang w:val="es-MX"/>
        </w:rPr>
        <w:t xml:space="preserve"> dentro de los cuales TI estableció cuatro objetivos:</w:t>
      </w:r>
    </w:p>
    <w:p w14:paraId="32EF6A17" w14:textId="77777777" w:rsidR="00292AAE" w:rsidRPr="00796CA6" w:rsidRDefault="00292AAE" w:rsidP="00423492">
      <w:pPr>
        <w:pStyle w:val="Prrafodelista"/>
        <w:numPr>
          <w:ilvl w:val="0"/>
          <w:numId w:val="12"/>
        </w:numPr>
        <w:rPr>
          <w:lang w:val="es-MX"/>
        </w:rPr>
      </w:pPr>
      <w:r w:rsidRPr="00796CA6">
        <w:rPr>
          <w:lang w:val="es-MX"/>
        </w:rPr>
        <w:t>Proporcionar garantías adicionales de igualdad de trato a los servicios de acceso</w:t>
      </w:r>
      <w:r w:rsidR="00437E3F" w:rsidRPr="00796CA6">
        <w:rPr>
          <w:lang w:val="es-MX"/>
        </w:rPr>
        <w:t>.</w:t>
      </w:r>
    </w:p>
    <w:p w14:paraId="25C5B09A" w14:textId="77777777" w:rsidR="00292AAE" w:rsidRPr="00796CA6" w:rsidRDefault="00292AAE" w:rsidP="00423492">
      <w:pPr>
        <w:pStyle w:val="Prrafodelista"/>
        <w:numPr>
          <w:ilvl w:val="0"/>
          <w:numId w:val="12"/>
        </w:numPr>
        <w:rPr>
          <w:lang w:val="es-MX"/>
        </w:rPr>
      </w:pPr>
      <w:r w:rsidRPr="00796CA6">
        <w:rPr>
          <w:lang w:val="es-MX"/>
        </w:rPr>
        <w:t>Asegurar el desarrollo y la mejora cualitativa de la Red de Acceso Fijo y Servicios Relacionados</w:t>
      </w:r>
      <w:r w:rsidR="00437E3F" w:rsidRPr="00796CA6">
        <w:rPr>
          <w:lang w:val="es-MX"/>
        </w:rPr>
        <w:t>.</w:t>
      </w:r>
    </w:p>
    <w:p w14:paraId="2C14B8EC" w14:textId="77777777" w:rsidR="00292AAE" w:rsidRPr="00796CA6" w:rsidRDefault="00292AAE" w:rsidP="00423492">
      <w:pPr>
        <w:pStyle w:val="Prrafodelista"/>
        <w:numPr>
          <w:ilvl w:val="0"/>
          <w:numId w:val="12"/>
        </w:numPr>
        <w:rPr>
          <w:lang w:val="es-MX"/>
        </w:rPr>
      </w:pPr>
      <w:r w:rsidRPr="00796CA6">
        <w:rPr>
          <w:lang w:val="es-MX"/>
        </w:rPr>
        <w:t xml:space="preserve">Hacer más transparente la evolución de la Red Fija de </w:t>
      </w:r>
      <w:r w:rsidR="00437E3F" w:rsidRPr="00796CA6">
        <w:rPr>
          <w:lang w:val="es-MX"/>
        </w:rPr>
        <w:t>TI</w:t>
      </w:r>
      <w:r w:rsidRPr="00796CA6">
        <w:rPr>
          <w:lang w:val="es-MX"/>
        </w:rPr>
        <w:t xml:space="preserve"> para el acceso a los operadores</w:t>
      </w:r>
      <w:r w:rsidR="00437E3F" w:rsidRPr="00796CA6">
        <w:rPr>
          <w:lang w:val="es-MX"/>
        </w:rPr>
        <w:t>.</w:t>
      </w:r>
    </w:p>
    <w:p w14:paraId="3206F952" w14:textId="77777777" w:rsidR="00292AAE" w:rsidRPr="00796CA6" w:rsidRDefault="00292AAE" w:rsidP="00423492">
      <w:pPr>
        <w:pStyle w:val="Prrafodelista"/>
        <w:numPr>
          <w:ilvl w:val="0"/>
          <w:numId w:val="12"/>
        </w:numPr>
        <w:rPr>
          <w:lang w:val="es-MX"/>
        </w:rPr>
      </w:pPr>
      <w:r w:rsidRPr="00796CA6">
        <w:rPr>
          <w:lang w:val="es-MX"/>
        </w:rPr>
        <w:t xml:space="preserve">Garantizar el mantenimiento de las condiciones de competencia </w:t>
      </w:r>
      <w:r w:rsidR="00437E3F" w:rsidRPr="00796CA6">
        <w:rPr>
          <w:lang w:val="es-MX"/>
        </w:rPr>
        <w:t>en</w:t>
      </w:r>
      <w:r w:rsidRPr="00796CA6">
        <w:rPr>
          <w:lang w:val="es-MX"/>
        </w:rPr>
        <w:t xml:space="preserve"> la transición </w:t>
      </w:r>
      <w:r w:rsidR="00437E3F" w:rsidRPr="00796CA6">
        <w:rPr>
          <w:lang w:val="es-MX"/>
        </w:rPr>
        <w:t>a</w:t>
      </w:r>
      <w:r w:rsidRPr="00796CA6">
        <w:rPr>
          <w:lang w:val="es-MX"/>
        </w:rPr>
        <w:t xml:space="preserve"> las redes de próxima generación.</w:t>
      </w:r>
    </w:p>
    <w:p w14:paraId="5097927C" w14:textId="77777777" w:rsidR="00292AAE" w:rsidRPr="00796CA6" w:rsidRDefault="00292AAE" w:rsidP="00292AAE">
      <w:pPr>
        <w:rPr>
          <w:lang w:val="es-MX"/>
        </w:rPr>
      </w:pPr>
      <w:r w:rsidRPr="00796CA6">
        <w:rPr>
          <w:lang w:val="es-MX"/>
        </w:rPr>
        <w:t>De los anteriores objetivos derivaron 14 compromisos, entre ellos: el establecimiento de un sistema de monitor</w:t>
      </w:r>
      <w:r w:rsidR="00437E3F" w:rsidRPr="00796CA6">
        <w:rPr>
          <w:lang w:val="es-MX"/>
        </w:rPr>
        <w:t>eo</w:t>
      </w:r>
      <w:r w:rsidRPr="00796CA6">
        <w:rPr>
          <w:lang w:val="es-MX"/>
        </w:rPr>
        <w:t xml:space="preserve"> de </w:t>
      </w:r>
      <w:r w:rsidR="00437E3F" w:rsidRPr="00796CA6">
        <w:rPr>
          <w:lang w:val="es-MX"/>
        </w:rPr>
        <w:t>desempeño</w:t>
      </w:r>
      <w:r w:rsidRPr="00796CA6">
        <w:rPr>
          <w:lang w:val="es-MX"/>
        </w:rPr>
        <w:t xml:space="preserve"> para los servicios </w:t>
      </w:r>
      <w:r w:rsidR="00437E3F" w:rsidRPr="00796CA6">
        <w:rPr>
          <w:lang w:val="es-MX"/>
        </w:rPr>
        <w:t xml:space="preserve">ofrecidos por TI como </w:t>
      </w:r>
      <w:r w:rsidR="003468AD" w:rsidRPr="00796CA6">
        <w:rPr>
          <w:lang w:val="es-MX"/>
        </w:rPr>
        <w:t xml:space="preserve">agente con </w:t>
      </w:r>
      <w:r w:rsidR="00D37DD5" w:rsidRPr="00796CA6">
        <w:rPr>
          <w:lang w:val="es-MX"/>
        </w:rPr>
        <w:t>PSM</w:t>
      </w:r>
      <w:r w:rsidR="00437E3F" w:rsidRPr="00796CA6">
        <w:rPr>
          <w:lang w:val="es-MX"/>
        </w:rPr>
        <w:t>.</w:t>
      </w:r>
    </w:p>
    <w:p w14:paraId="61DB74C3" w14:textId="77777777" w:rsidR="00437E3F" w:rsidRPr="00796CA6" w:rsidRDefault="00292AAE" w:rsidP="00292AAE">
      <w:pPr>
        <w:rPr>
          <w:lang w:val="es-MX"/>
        </w:rPr>
      </w:pPr>
      <w:r w:rsidRPr="00796CA6">
        <w:rPr>
          <w:lang w:val="es-MX"/>
        </w:rPr>
        <w:t xml:space="preserve">El sistema de monitoreo realizado por </w:t>
      </w:r>
      <w:r w:rsidR="00437E3F" w:rsidRPr="00796CA6">
        <w:rPr>
          <w:lang w:val="es-MX"/>
        </w:rPr>
        <w:t>TI</w:t>
      </w:r>
      <w:r w:rsidRPr="00796CA6">
        <w:rPr>
          <w:lang w:val="es-MX"/>
        </w:rPr>
        <w:t xml:space="preserve"> pone a disposición un conjunto de indi</w:t>
      </w:r>
      <w:r w:rsidR="00437E3F" w:rsidRPr="00796CA6">
        <w:rPr>
          <w:lang w:val="es-MX"/>
        </w:rPr>
        <w:t>cadores para medir y comparar</w:t>
      </w:r>
      <w:r w:rsidRPr="00796CA6">
        <w:rPr>
          <w:lang w:val="es-MX"/>
        </w:rPr>
        <w:t xml:space="preserve"> la prestación de los servicios</w:t>
      </w:r>
      <w:r w:rsidR="00437E3F" w:rsidRPr="00796CA6">
        <w:rPr>
          <w:lang w:val="es-MX"/>
        </w:rPr>
        <w:t xml:space="preserve"> </w:t>
      </w:r>
      <w:r w:rsidRPr="00796CA6">
        <w:rPr>
          <w:lang w:val="es-MX"/>
        </w:rPr>
        <w:t xml:space="preserve">tanto </w:t>
      </w:r>
      <w:r w:rsidR="007B2B22" w:rsidRPr="00796CA6">
        <w:rPr>
          <w:lang w:val="es-MX"/>
        </w:rPr>
        <w:t>para sí mismo</w:t>
      </w:r>
      <w:r w:rsidRPr="00796CA6">
        <w:rPr>
          <w:lang w:val="es-MX"/>
        </w:rPr>
        <w:t xml:space="preserve"> como </w:t>
      </w:r>
      <w:r w:rsidR="007B2B22" w:rsidRPr="00796CA6">
        <w:rPr>
          <w:lang w:val="es-MX"/>
        </w:rPr>
        <w:t>par</w:t>
      </w:r>
      <w:r w:rsidRPr="00796CA6">
        <w:rPr>
          <w:lang w:val="es-MX"/>
        </w:rPr>
        <w:t xml:space="preserve">a </w:t>
      </w:r>
      <w:r w:rsidR="00437E3F" w:rsidRPr="00796CA6">
        <w:rPr>
          <w:lang w:val="es-MX"/>
        </w:rPr>
        <w:t>otros</w:t>
      </w:r>
      <w:r w:rsidRPr="00796CA6">
        <w:rPr>
          <w:lang w:val="es-MX"/>
        </w:rPr>
        <w:t xml:space="preserve"> operadores.</w:t>
      </w:r>
      <w:r w:rsidR="008053AC" w:rsidRPr="00796CA6">
        <w:rPr>
          <w:lang w:val="es-MX"/>
        </w:rPr>
        <w:t xml:space="preserve"> Estos se dividen en cua</w:t>
      </w:r>
      <w:r w:rsidR="00437E3F" w:rsidRPr="00796CA6">
        <w:rPr>
          <w:lang w:val="es-MX"/>
        </w:rPr>
        <w:t>tro rubros:</w:t>
      </w:r>
    </w:p>
    <w:p w14:paraId="3B1B5540" w14:textId="77777777" w:rsidR="00437E3F" w:rsidRPr="00796CA6" w:rsidRDefault="00B00ADC" w:rsidP="00423492">
      <w:pPr>
        <w:pStyle w:val="Prrafodelista"/>
        <w:numPr>
          <w:ilvl w:val="0"/>
          <w:numId w:val="13"/>
        </w:numPr>
        <w:rPr>
          <w:lang w:val="es-MX"/>
        </w:rPr>
      </w:pPr>
      <w:r w:rsidRPr="00796CA6">
        <w:rPr>
          <w:lang w:val="es-MX"/>
        </w:rPr>
        <w:t>Procesos de entrega (Grupo 1</w:t>
      </w:r>
      <w:r w:rsidR="00AA108A" w:rsidRPr="00796CA6">
        <w:rPr>
          <w:lang w:val="es-MX"/>
        </w:rPr>
        <w:t xml:space="preserve">, </w:t>
      </w:r>
      <w:r w:rsidR="00AA108A" w:rsidRPr="00796CA6">
        <w:rPr>
          <w:lang w:val="es-ES"/>
        </w:rPr>
        <w:t>que incluye indicadores sobre el tiempo medio de activación, en días de calendario, y el porcentaje de cumplimiento de u</w:t>
      </w:r>
      <w:r w:rsidR="008053AC" w:rsidRPr="00796CA6">
        <w:rPr>
          <w:lang w:val="es-ES"/>
        </w:rPr>
        <w:t>n umbral de tiempo predefinido</w:t>
      </w:r>
      <w:r w:rsidRPr="00796CA6">
        <w:rPr>
          <w:lang w:val="es-MX"/>
        </w:rPr>
        <w:t>)</w:t>
      </w:r>
      <w:r w:rsidR="00AA108A" w:rsidRPr="00796CA6">
        <w:rPr>
          <w:lang w:val="es-MX"/>
        </w:rPr>
        <w:t>;</w:t>
      </w:r>
    </w:p>
    <w:p w14:paraId="22A24E1F" w14:textId="77777777" w:rsidR="00B00ADC" w:rsidRPr="00796CA6" w:rsidRDefault="00B00ADC" w:rsidP="00423492">
      <w:pPr>
        <w:pStyle w:val="Prrafodelista"/>
        <w:numPr>
          <w:ilvl w:val="0"/>
          <w:numId w:val="13"/>
        </w:numPr>
        <w:rPr>
          <w:lang w:val="es-MX"/>
        </w:rPr>
      </w:pPr>
      <w:r w:rsidRPr="00796CA6">
        <w:rPr>
          <w:lang w:val="es-MX"/>
        </w:rPr>
        <w:t>Procesos de garantía (Grupo 2</w:t>
      </w:r>
      <w:r w:rsidR="00AA108A" w:rsidRPr="00796CA6">
        <w:rPr>
          <w:lang w:val="es-MX"/>
        </w:rPr>
        <w:t xml:space="preserve">, </w:t>
      </w:r>
      <w:r w:rsidR="00AA108A" w:rsidRPr="00796CA6">
        <w:rPr>
          <w:lang w:val="es-ES"/>
        </w:rPr>
        <w:t>que incluye indicadores sobre el tiempo medio de recuperación de un fallo, expresado en horas de trabajo, y el porcentaje de cumplimiento de</w:t>
      </w:r>
      <w:r w:rsidR="008053AC" w:rsidRPr="00796CA6">
        <w:rPr>
          <w:lang w:val="es-ES"/>
        </w:rPr>
        <w:t xml:space="preserve"> un umbral temporal predefinido</w:t>
      </w:r>
      <w:r w:rsidRPr="00796CA6">
        <w:rPr>
          <w:lang w:val="es-MX"/>
        </w:rPr>
        <w:t>)</w:t>
      </w:r>
      <w:r w:rsidR="00AA108A" w:rsidRPr="00796CA6">
        <w:rPr>
          <w:lang w:val="es-MX"/>
        </w:rPr>
        <w:t>;</w:t>
      </w:r>
    </w:p>
    <w:p w14:paraId="479BB4E2" w14:textId="77777777" w:rsidR="00B00ADC" w:rsidRPr="00796CA6" w:rsidRDefault="00B00ADC" w:rsidP="00423492">
      <w:pPr>
        <w:pStyle w:val="Prrafodelista"/>
        <w:numPr>
          <w:ilvl w:val="0"/>
          <w:numId w:val="13"/>
        </w:numPr>
        <w:rPr>
          <w:lang w:val="es-MX"/>
        </w:rPr>
      </w:pPr>
      <w:r w:rsidRPr="00796CA6">
        <w:rPr>
          <w:lang w:val="es-MX"/>
        </w:rPr>
        <w:lastRenderedPageBreak/>
        <w:t>Disponibilidad/indisponibilidad de la red y los servicios (Grupo 3</w:t>
      </w:r>
      <w:r w:rsidR="00AA108A" w:rsidRPr="00796CA6">
        <w:rPr>
          <w:lang w:val="es-MX"/>
        </w:rPr>
        <w:t xml:space="preserve">, </w:t>
      </w:r>
      <w:r w:rsidR="00AA108A" w:rsidRPr="00796CA6">
        <w:rPr>
          <w:lang w:val="es-ES"/>
        </w:rPr>
        <w:t>que incluye el porcentaje de tiempo que el servicio está disponible / no disponible, en comparación con el</w:t>
      </w:r>
      <w:r w:rsidR="008053AC" w:rsidRPr="00796CA6">
        <w:rPr>
          <w:lang w:val="es-ES"/>
        </w:rPr>
        <w:t xml:space="preserve"> período de observación general</w:t>
      </w:r>
      <w:r w:rsidRPr="00796CA6">
        <w:rPr>
          <w:lang w:val="es-MX"/>
        </w:rPr>
        <w:t>)</w:t>
      </w:r>
      <w:r w:rsidR="00AA108A" w:rsidRPr="00796CA6">
        <w:rPr>
          <w:lang w:val="es-MX"/>
        </w:rPr>
        <w:t>;</w:t>
      </w:r>
    </w:p>
    <w:p w14:paraId="3B770FBA" w14:textId="77777777" w:rsidR="0032783D" w:rsidRPr="00796CA6" w:rsidRDefault="00B00ADC" w:rsidP="002917EE">
      <w:pPr>
        <w:pStyle w:val="Prrafodelista"/>
        <w:numPr>
          <w:ilvl w:val="0"/>
          <w:numId w:val="13"/>
        </w:numPr>
        <w:rPr>
          <w:lang w:val="es-MX"/>
        </w:rPr>
      </w:pPr>
      <w:r w:rsidRPr="00796CA6">
        <w:rPr>
          <w:lang w:val="es-MX"/>
        </w:rPr>
        <w:t>Disponibilidad/indisponibilidad de los sistemas de gestión (Grupo 4</w:t>
      </w:r>
      <w:r w:rsidR="00AA108A" w:rsidRPr="00796CA6">
        <w:rPr>
          <w:lang w:val="es-MX"/>
        </w:rPr>
        <w:t xml:space="preserve">, </w:t>
      </w:r>
      <w:r w:rsidR="00AA108A" w:rsidRPr="00796CA6">
        <w:rPr>
          <w:lang w:val="es-ES"/>
        </w:rPr>
        <w:t>que incluye el porcentaje de tiempo que el sistema está disponible en comparación con el</w:t>
      </w:r>
      <w:r w:rsidR="008053AC" w:rsidRPr="00796CA6">
        <w:rPr>
          <w:lang w:val="es-ES"/>
        </w:rPr>
        <w:t xml:space="preserve"> período de observación general</w:t>
      </w:r>
      <w:r w:rsidRPr="00796CA6">
        <w:rPr>
          <w:lang w:val="es-MX"/>
        </w:rPr>
        <w:t>)</w:t>
      </w:r>
      <w:r w:rsidR="00AA108A" w:rsidRPr="00796CA6">
        <w:rPr>
          <w:lang w:val="es-MX"/>
        </w:rPr>
        <w:t>.</w:t>
      </w:r>
    </w:p>
    <w:p w14:paraId="61A3334D" w14:textId="77777777" w:rsidR="002A4A7A" w:rsidRPr="00796CA6" w:rsidRDefault="002A4A7A" w:rsidP="00440CC1">
      <w:pPr>
        <w:rPr>
          <w:lang w:val="es-MX"/>
        </w:rPr>
      </w:pPr>
      <w:r w:rsidRPr="00796CA6">
        <w:rPr>
          <w:lang w:val="es-MX"/>
        </w:rPr>
        <w:t>Asimismo, para la medición y evaluación de la no discriminación, AGCOM impuso un rango de valores para los ICD donde se consideraría que existe una discriminación en la provisión de los servicios mayoristas.</w:t>
      </w:r>
      <w:r w:rsidRPr="00796CA6">
        <w:rPr>
          <w:rStyle w:val="Refdenotaalpie"/>
        </w:rPr>
        <w:footnoteReference w:id="6"/>
      </w:r>
      <w:r w:rsidR="00EF3A79" w:rsidRPr="00796CA6">
        <w:rPr>
          <w:lang w:val="es-MX"/>
        </w:rPr>
        <w:t xml:space="preserve"> </w:t>
      </w:r>
    </w:p>
    <w:p w14:paraId="4CF3FDEB" w14:textId="77777777" w:rsidR="00292AAE" w:rsidRPr="00796CA6" w:rsidRDefault="00FF6B67" w:rsidP="00847AB6">
      <w:pPr>
        <w:rPr>
          <w:b/>
          <w:lang w:val="es-ES"/>
        </w:rPr>
      </w:pPr>
      <w:r w:rsidRPr="00796CA6">
        <w:rPr>
          <w:b/>
          <w:lang w:val="es-ES"/>
        </w:rPr>
        <w:t>INGLATERRA</w:t>
      </w:r>
    </w:p>
    <w:p w14:paraId="4760FE42" w14:textId="77777777" w:rsidR="00292AAE" w:rsidRPr="00796CA6" w:rsidRDefault="00FF6B67" w:rsidP="00847AB6">
      <w:pPr>
        <w:rPr>
          <w:lang w:val="es-ES"/>
        </w:rPr>
      </w:pPr>
      <w:r w:rsidRPr="00796CA6">
        <w:rPr>
          <w:lang w:val="es-ES"/>
        </w:rPr>
        <w:t>Las condiciones impuestas a B</w:t>
      </w:r>
      <w:r w:rsidR="00476432" w:rsidRPr="00796CA6">
        <w:rPr>
          <w:lang w:val="es-ES"/>
        </w:rPr>
        <w:t xml:space="preserve">ritish </w:t>
      </w:r>
      <w:r w:rsidRPr="00796CA6">
        <w:rPr>
          <w:lang w:val="es-ES"/>
        </w:rPr>
        <w:t>T</w:t>
      </w:r>
      <w:r w:rsidR="00476432" w:rsidRPr="00796CA6">
        <w:rPr>
          <w:lang w:val="es-ES"/>
        </w:rPr>
        <w:t>elecom (en lo sucesivo, “BT”)</w:t>
      </w:r>
      <w:r w:rsidRPr="00796CA6">
        <w:rPr>
          <w:lang w:val="es-ES"/>
        </w:rPr>
        <w:t xml:space="preserve"> </w:t>
      </w:r>
      <w:r w:rsidR="00476432" w:rsidRPr="00796CA6">
        <w:rPr>
          <w:lang w:val="es-ES"/>
        </w:rPr>
        <w:t>como</w:t>
      </w:r>
      <w:r w:rsidR="003468AD" w:rsidRPr="00796CA6">
        <w:rPr>
          <w:lang w:val="es-ES"/>
        </w:rPr>
        <w:t xml:space="preserve"> agente con</w:t>
      </w:r>
      <w:r w:rsidR="00476432" w:rsidRPr="00796CA6">
        <w:rPr>
          <w:lang w:val="es-ES"/>
        </w:rPr>
        <w:t xml:space="preserve"> </w:t>
      </w:r>
      <w:r w:rsidR="00D37DD5" w:rsidRPr="00796CA6">
        <w:rPr>
          <w:lang w:val="es-ES"/>
        </w:rPr>
        <w:t>PSM</w:t>
      </w:r>
      <w:r w:rsidR="00F2052B" w:rsidRPr="00796CA6">
        <w:rPr>
          <w:lang w:val="es-ES"/>
        </w:rPr>
        <w:t>,</w:t>
      </w:r>
      <w:r w:rsidR="007B2B22" w:rsidRPr="00796CA6">
        <w:rPr>
          <w:lang w:val="es-ES"/>
        </w:rPr>
        <w:t xml:space="preserve"> en</w:t>
      </w:r>
      <w:r w:rsidR="00F2052B" w:rsidRPr="00796CA6">
        <w:rPr>
          <w:lang w:val="es-ES"/>
        </w:rPr>
        <w:t>tre otros,</w:t>
      </w:r>
      <w:r w:rsidR="007B2B22" w:rsidRPr="00796CA6">
        <w:rPr>
          <w:lang w:val="es-ES"/>
        </w:rPr>
        <w:t xml:space="preserve"> </w:t>
      </w:r>
      <w:r w:rsidR="00F2052B" w:rsidRPr="00796CA6">
        <w:rPr>
          <w:lang w:val="es-ES"/>
        </w:rPr>
        <w:t>en los</w:t>
      </w:r>
      <w:r w:rsidR="007B2B22" w:rsidRPr="00796CA6">
        <w:rPr>
          <w:lang w:val="es-ES"/>
        </w:rPr>
        <w:t xml:space="preserve"> mercado</w:t>
      </w:r>
      <w:r w:rsidR="00F2052B" w:rsidRPr="00796CA6">
        <w:rPr>
          <w:lang w:val="es-ES"/>
        </w:rPr>
        <w:t>s</w:t>
      </w:r>
      <w:r w:rsidR="007B2B22" w:rsidRPr="00796CA6">
        <w:rPr>
          <w:lang w:val="es-ES"/>
        </w:rPr>
        <w:t xml:space="preserve"> de </w:t>
      </w:r>
      <w:r w:rsidR="00F2052B" w:rsidRPr="00796CA6">
        <w:rPr>
          <w:lang w:val="es-ES"/>
        </w:rPr>
        <w:t xml:space="preserve">acceso a la banda ancha y a la </w:t>
      </w:r>
      <w:r w:rsidR="00097E65" w:rsidRPr="00796CA6">
        <w:rPr>
          <w:lang w:val="es-ES"/>
        </w:rPr>
        <w:t xml:space="preserve">banda </w:t>
      </w:r>
      <w:r w:rsidR="00F2052B" w:rsidRPr="00796CA6">
        <w:rPr>
          <w:lang w:val="es-ES"/>
        </w:rPr>
        <w:t>estrecha</w:t>
      </w:r>
      <w:r w:rsidR="00F2052B" w:rsidRPr="00796CA6">
        <w:rPr>
          <w:rStyle w:val="Refdenotaalpie"/>
        </w:rPr>
        <w:footnoteReference w:id="7"/>
      </w:r>
      <w:r w:rsidR="00476432" w:rsidRPr="00796CA6">
        <w:rPr>
          <w:lang w:val="es-ES"/>
        </w:rPr>
        <w:t>, tras la publicación del Communications Act 2003,</w:t>
      </w:r>
      <w:r w:rsidRPr="00796CA6">
        <w:rPr>
          <w:lang w:val="es-ES"/>
        </w:rPr>
        <w:t xml:space="preserve"> </w:t>
      </w:r>
      <w:r w:rsidR="00476432" w:rsidRPr="00796CA6">
        <w:rPr>
          <w:lang w:val="es-ES"/>
        </w:rPr>
        <w:t>se enfocan en</w:t>
      </w:r>
      <w:r w:rsidRPr="00796CA6">
        <w:rPr>
          <w:lang w:val="es-ES"/>
        </w:rPr>
        <w:t xml:space="preserve"> la</w:t>
      </w:r>
      <w:r w:rsidR="00476432" w:rsidRPr="00796CA6">
        <w:rPr>
          <w:lang w:val="es-ES"/>
        </w:rPr>
        <w:t xml:space="preserve"> transparencia y</w:t>
      </w:r>
      <w:r w:rsidRPr="00796CA6">
        <w:rPr>
          <w:lang w:val="es-ES"/>
        </w:rPr>
        <w:t xml:space="preserve"> la no discriminación de los servicios ofrecidos</w:t>
      </w:r>
      <w:r w:rsidR="00DB0267" w:rsidRPr="00796CA6">
        <w:rPr>
          <w:lang w:val="es-ES"/>
        </w:rPr>
        <w:t xml:space="preserve"> por BT</w:t>
      </w:r>
      <w:r w:rsidRPr="00796CA6">
        <w:rPr>
          <w:lang w:val="es-ES"/>
        </w:rPr>
        <w:t xml:space="preserve"> a los </w:t>
      </w:r>
      <w:r w:rsidR="0032783D" w:rsidRPr="00796CA6">
        <w:rPr>
          <w:lang w:val="es-ES"/>
        </w:rPr>
        <w:t>operadores solicitantes</w:t>
      </w:r>
      <w:r w:rsidR="00476432" w:rsidRPr="00796CA6">
        <w:rPr>
          <w:lang w:val="es-ES"/>
        </w:rPr>
        <w:t xml:space="preserve"> con respecto a sus </w:t>
      </w:r>
      <w:r w:rsidRPr="00796CA6">
        <w:rPr>
          <w:lang w:val="es-ES"/>
        </w:rPr>
        <w:t>filiale</w:t>
      </w:r>
      <w:r w:rsidR="00476432" w:rsidRPr="00796CA6">
        <w:rPr>
          <w:lang w:val="es-ES"/>
        </w:rPr>
        <w:t>s. A</w:t>
      </w:r>
      <w:r w:rsidR="00DB0267" w:rsidRPr="00796CA6">
        <w:rPr>
          <w:lang w:val="es-ES"/>
        </w:rPr>
        <w:t xml:space="preserve">sí </w:t>
      </w:r>
      <w:r w:rsidRPr="00796CA6">
        <w:rPr>
          <w:lang w:val="es-ES"/>
        </w:rPr>
        <w:t>mismo</w:t>
      </w:r>
      <w:r w:rsidR="00476432" w:rsidRPr="00796CA6">
        <w:rPr>
          <w:lang w:val="es-ES"/>
        </w:rPr>
        <w:t>,</w:t>
      </w:r>
      <w:r w:rsidRPr="00796CA6">
        <w:rPr>
          <w:lang w:val="es-ES"/>
        </w:rPr>
        <w:t xml:space="preserve"> </w:t>
      </w:r>
      <w:r w:rsidR="00DB0267" w:rsidRPr="00796CA6">
        <w:rPr>
          <w:lang w:val="es-ES"/>
        </w:rPr>
        <w:t>se busca</w:t>
      </w:r>
      <w:r w:rsidRPr="00796CA6">
        <w:rPr>
          <w:lang w:val="es-ES"/>
        </w:rPr>
        <w:t xml:space="preserve"> la apertura de un amb</w:t>
      </w:r>
      <w:r w:rsidR="00DB0267" w:rsidRPr="00796CA6">
        <w:rPr>
          <w:lang w:val="es-ES"/>
        </w:rPr>
        <w:t>iente competitivo de mercado y</w:t>
      </w:r>
      <w:r w:rsidRPr="00796CA6">
        <w:rPr>
          <w:lang w:val="es-ES"/>
        </w:rPr>
        <w:t xml:space="preserve"> la mejora de los servicios ofrecidos hacia los usuarios.</w:t>
      </w:r>
    </w:p>
    <w:p w14:paraId="78D7355D" w14:textId="5EB24DD6" w:rsidR="0030534D" w:rsidRPr="00796CA6" w:rsidRDefault="00476432" w:rsidP="00847AB6">
      <w:pPr>
        <w:rPr>
          <w:lang w:val="es-ES"/>
        </w:rPr>
      </w:pPr>
      <w:r w:rsidRPr="00796CA6">
        <w:rPr>
          <w:lang w:val="es-ES"/>
        </w:rPr>
        <w:t>En el proceso de revisión para las medidas impuest</w:t>
      </w:r>
      <w:r w:rsidR="00DB0267" w:rsidRPr="00796CA6">
        <w:rPr>
          <w:lang w:val="es-ES"/>
        </w:rPr>
        <w:t>as a BT en 2003, se requirió de</w:t>
      </w:r>
      <w:r w:rsidRPr="00796CA6">
        <w:rPr>
          <w:lang w:val="es-ES"/>
        </w:rPr>
        <w:t xml:space="preserve"> I</w:t>
      </w:r>
      <w:r w:rsidR="00DB0267" w:rsidRPr="00796CA6">
        <w:rPr>
          <w:lang w:val="es-ES"/>
        </w:rPr>
        <w:t>CD,</w:t>
      </w:r>
      <w:r w:rsidRPr="00796CA6">
        <w:rPr>
          <w:lang w:val="es-ES"/>
        </w:rPr>
        <w:t xml:space="preserve"> los cuales se estab</w:t>
      </w:r>
      <w:r w:rsidR="00DB0267" w:rsidRPr="00796CA6">
        <w:rPr>
          <w:lang w:val="es-ES"/>
        </w:rPr>
        <w:t>lecieron en septiembre del 2005</w:t>
      </w:r>
      <w:r w:rsidRPr="00796CA6">
        <w:rPr>
          <w:lang w:val="es-ES"/>
        </w:rPr>
        <w:t xml:space="preserve">. </w:t>
      </w:r>
      <w:r w:rsidR="00DB0267" w:rsidRPr="00796CA6">
        <w:rPr>
          <w:lang w:val="es-ES"/>
        </w:rPr>
        <w:t xml:space="preserve">El propósito de </w:t>
      </w:r>
      <w:r w:rsidR="0032783D" w:rsidRPr="00796CA6">
        <w:rPr>
          <w:lang w:val="es-ES"/>
        </w:rPr>
        <w:t>la autoridad regulatoria de telecomunicaciones en Inglaterra (en lo sucesivo, “</w:t>
      </w:r>
      <w:r w:rsidRPr="00796CA6">
        <w:rPr>
          <w:lang w:val="es-ES"/>
        </w:rPr>
        <w:t>Ofcom</w:t>
      </w:r>
      <w:r w:rsidR="0032783D" w:rsidRPr="00796CA6">
        <w:rPr>
          <w:lang w:val="es-ES"/>
        </w:rPr>
        <w:t>”)</w:t>
      </w:r>
      <w:r w:rsidRPr="00796CA6">
        <w:rPr>
          <w:lang w:val="es-ES"/>
        </w:rPr>
        <w:t xml:space="preserve"> </w:t>
      </w:r>
      <w:r w:rsidR="009F4742" w:rsidRPr="00796CA6">
        <w:rPr>
          <w:lang w:val="es-ES"/>
        </w:rPr>
        <w:t xml:space="preserve">fue </w:t>
      </w:r>
      <w:r w:rsidR="00DB0267" w:rsidRPr="00796CA6">
        <w:rPr>
          <w:lang w:val="es-ES"/>
        </w:rPr>
        <w:t>generar</w:t>
      </w:r>
      <w:r w:rsidRPr="00796CA6">
        <w:rPr>
          <w:lang w:val="es-ES"/>
        </w:rPr>
        <w:t xml:space="preserve"> transparencia </w:t>
      </w:r>
      <w:r w:rsidR="00555733" w:rsidRPr="00796CA6">
        <w:rPr>
          <w:lang w:val="es-ES"/>
        </w:rPr>
        <w:t>de forma que los competidores de BT pudieran</w:t>
      </w:r>
      <w:r w:rsidRPr="00796CA6">
        <w:rPr>
          <w:lang w:val="es-ES"/>
        </w:rPr>
        <w:t xml:space="preserve"> detectar posibles </w:t>
      </w:r>
      <w:r w:rsidR="00CD6DF7" w:rsidRPr="00796CA6">
        <w:rPr>
          <w:lang w:val="es-ES"/>
        </w:rPr>
        <w:t xml:space="preserve">tratos </w:t>
      </w:r>
      <w:r w:rsidRPr="00796CA6">
        <w:rPr>
          <w:lang w:val="es-ES"/>
        </w:rPr>
        <w:t>discriminatorios por parte de BT</w:t>
      </w:r>
      <w:r w:rsidR="00171300" w:rsidRPr="00796CA6">
        <w:rPr>
          <w:lang w:val="es-ES"/>
        </w:rPr>
        <w:t>, sin necesidad de establecer un objetivo de desempeño</w:t>
      </w:r>
      <w:r w:rsidRPr="00796CA6">
        <w:rPr>
          <w:lang w:val="es-ES"/>
        </w:rPr>
        <w:t xml:space="preserve">. Para lograr lo anterior, </w:t>
      </w:r>
      <w:r w:rsidR="00DB0267" w:rsidRPr="00796CA6">
        <w:rPr>
          <w:lang w:val="es-ES"/>
        </w:rPr>
        <w:t xml:space="preserve">la autoridad regulatoria </w:t>
      </w:r>
      <w:r w:rsidRPr="00796CA6">
        <w:rPr>
          <w:lang w:val="es-ES"/>
        </w:rPr>
        <w:t>consider</w:t>
      </w:r>
      <w:r w:rsidR="009F4742" w:rsidRPr="00796CA6">
        <w:rPr>
          <w:lang w:val="es-ES"/>
        </w:rPr>
        <w:t>ó</w:t>
      </w:r>
      <w:r w:rsidRPr="00796CA6">
        <w:rPr>
          <w:lang w:val="es-ES"/>
        </w:rPr>
        <w:t xml:space="preserve"> esencial que los ICD </w:t>
      </w:r>
      <w:r w:rsidR="009F4742" w:rsidRPr="00796CA6">
        <w:rPr>
          <w:lang w:val="es-ES"/>
        </w:rPr>
        <w:t xml:space="preserve">fueran </w:t>
      </w:r>
      <w:r w:rsidRPr="00796CA6">
        <w:rPr>
          <w:lang w:val="es-ES"/>
        </w:rPr>
        <w:t xml:space="preserve">de fácil acceso y se </w:t>
      </w:r>
      <w:r w:rsidR="009F4742" w:rsidRPr="00796CA6">
        <w:rPr>
          <w:lang w:val="es-ES"/>
        </w:rPr>
        <w:t xml:space="preserve">publicaran </w:t>
      </w:r>
      <w:r w:rsidRPr="00796CA6">
        <w:rPr>
          <w:lang w:val="es-ES"/>
        </w:rPr>
        <w:t>de manera</w:t>
      </w:r>
      <w:r w:rsidR="00DB0267" w:rsidRPr="00796CA6">
        <w:rPr>
          <w:lang w:val="es-ES"/>
        </w:rPr>
        <w:t xml:space="preserve"> oportuna en </w:t>
      </w:r>
      <w:r w:rsidR="00476F72" w:rsidRPr="00796CA6">
        <w:rPr>
          <w:lang w:val="es-ES"/>
        </w:rPr>
        <w:t xml:space="preserve">la página de internet de </w:t>
      </w:r>
      <w:r w:rsidR="00DB0267" w:rsidRPr="00796CA6">
        <w:rPr>
          <w:lang w:val="es-ES"/>
        </w:rPr>
        <w:t>BT</w:t>
      </w:r>
      <w:r w:rsidRPr="00796CA6">
        <w:rPr>
          <w:lang w:val="es-ES"/>
        </w:rPr>
        <w:t>.</w:t>
      </w:r>
      <w:r w:rsidR="006D073E" w:rsidRPr="00796CA6">
        <w:rPr>
          <w:lang w:val="es-ES"/>
        </w:rPr>
        <w:t xml:space="preserve"> </w:t>
      </w:r>
      <w:r w:rsidR="00555733" w:rsidRPr="00796CA6">
        <w:rPr>
          <w:lang w:val="es-ES"/>
        </w:rPr>
        <w:t>Asimismo, consideró que era importante considerar revisiones de los ICD a fin de que estos continuaran siendo relevantes a la luz de los cambios en las condiciones de</w:t>
      </w:r>
      <w:r w:rsidR="00171300" w:rsidRPr="00796CA6">
        <w:rPr>
          <w:lang w:val="es-ES"/>
        </w:rPr>
        <w:t xml:space="preserve"> mercado.</w:t>
      </w:r>
      <w:r w:rsidR="00555733" w:rsidRPr="00796CA6">
        <w:rPr>
          <w:lang w:val="es-ES"/>
        </w:rPr>
        <w:t xml:space="preserve"> </w:t>
      </w:r>
    </w:p>
    <w:p w14:paraId="732739AD" w14:textId="77777777" w:rsidR="00DB0267" w:rsidRPr="00796CA6" w:rsidRDefault="00DB0267" w:rsidP="00847AB6">
      <w:pPr>
        <w:rPr>
          <w:lang w:val="es-ES"/>
        </w:rPr>
      </w:pPr>
      <w:r w:rsidRPr="00796CA6">
        <w:rPr>
          <w:lang w:val="es-ES"/>
        </w:rPr>
        <w:t xml:space="preserve">De manera general, los ICD </w:t>
      </w:r>
      <w:r w:rsidR="006D073E" w:rsidRPr="00796CA6">
        <w:rPr>
          <w:lang w:val="es-ES"/>
        </w:rPr>
        <w:t xml:space="preserve">que </w:t>
      </w:r>
      <w:r w:rsidR="00E3450A" w:rsidRPr="00796CA6">
        <w:rPr>
          <w:lang w:val="es-ES"/>
        </w:rPr>
        <w:t xml:space="preserve">debe </w:t>
      </w:r>
      <w:r w:rsidR="006D073E" w:rsidRPr="00796CA6">
        <w:rPr>
          <w:lang w:val="es-ES"/>
        </w:rPr>
        <w:t>publica</w:t>
      </w:r>
      <w:r w:rsidR="00E3450A" w:rsidRPr="00796CA6">
        <w:rPr>
          <w:lang w:val="es-ES"/>
        </w:rPr>
        <w:t>r</w:t>
      </w:r>
      <w:r w:rsidR="006D073E" w:rsidRPr="00796CA6">
        <w:rPr>
          <w:lang w:val="es-ES"/>
        </w:rPr>
        <w:t xml:space="preserve"> BT muestran</w:t>
      </w:r>
      <w:r w:rsidRPr="00796CA6">
        <w:rPr>
          <w:lang w:val="es-ES"/>
        </w:rPr>
        <w:t xml:space="preserve"> métricas relevantes para </w:t>
      </w:r>
      <w:r w:rsidR="006D073E" w:rsidRPr="00796CA6">
        <w:rPr>
          <w:lang w:val="es-ES"/>
        </w:rPr>
        <w:t>comparar la provisión de servicios brindados tanto a sí mismo como a otros operadores</w:t>
      </w:r>
      <w:r w:rsidRPr="00796CA6">
        <w:rPr>
          <w:lang w:val="es-ES"/>
        </w:rPr>
        <w:t xml:space="preserve">. En caso de que los ICD se salgan del rango establecido, Ofcom realiza una investigación y como consecuencia de dicho acto puede </w:t>
      </w:r>
      <w:r w:rsidR="00B7557D" w:rsidRPr="00796CA6">
        <w:rPr>
          <w:lang w:val="es-ES"/>
        </w:rPr>
        <w:t>establecer medidas correctivas.</w:t>
      </w:r>
    </w:p>
    <w:p w14:paraId="42DC9CA8" w14:textId="77777777" w:rsidR="00E3450A" w:rsidRPr="00796CA6" w:rsidRDefault="00E3450A" w:rsidP="00847AB6">
      <w:pPr>
        <w:rPr>
          <w:lang w:val="es-ES"/>
        </w:rPr>
      </w:pPr>
      <w:r w:rsidRPr="00796CA6">
        <w:rPr>
          <w:lang w:val="es-ES"/>
        </w:rPr>
        <w:t xml:space="preserve">Recientemente, en </w:t>
      </w:r>
      <w:r w:rsidR="006D5018" w:rsidRPr="00796CA6">
        <w:rPr>
          <w:lang w:val="es-ES"/>
        </w:rPr>
        <w:t xml:space="preserve">agosto </w:t>
      </w:r>
      <w:r w:rsidRPr="00796CA6">
        <w:rPr>
          <w:lang w:val="es-ES"/>
        </w:rPr>
        <w:t xml:space="preserve">2016, Ofcom llevó a cabo una consulta pública con relación a las directrices y acuerdos relacionados a los estándares mínimos de calidad e ICD que se </w:t>
      </w:r>
      <w:r w:rsidRPr="00796CA6">
        <w:rPr>
          <w:lang w:val="es-ES"/>
        </w:rPr>
        <w:lastRenderedPageBreak/>
        <w:t>impusieron en 2014 como parte de las revisiones de mercados de acceso fijo</w:t>
      </w:r>
      <w:r w:rsidRPr="00796CA6">
        <w:rPr>
          <w:rStyle w:val="Refdenotaalpie"/>
        </w:rPr>
        <w:footnoteReference w:id="8"/>
      </w:r>
      <w:r w:rsidRPr="00796CA6">
        <w:rPr>
          <w:lang w:val="es-ES"/>
        </w:rPr>
        <w:t>.</w:t>
      </w:r>
      <w:r w:rsidR="006D5018" w:rsidRPr="00796CA6">
        <w:rPr>
          <w:lang w:val="es-ES"/>
        </w:rPr>
        <w:t xml:space="preserve"> Una vez concluida la consulta, en octubre del mismo año emitió su declaración final</w:t>
      </w:r>
      <w:r w:rsidR="006D5018" w:rsidRPr="00796CA6">
        <w:rPr>
          <w:rStyle w:val="Refdenotaalpie"/>
        </w:rPr>
        <w:footnoteReference w:id="9"/>
      </w:r>
      <w:r w:rsidR="006D5018" w:rsidRPr="00796CA6">
        <w:rPr>
          <w:lang w:val="es-ES"/>
        </w:rPr>
        <w:t>.</w:t>
      </w:r>
    </w:p>
    <w:p w14:paraId="2472A7C8" w14:textId="7960EBEC" w:rsidR="00B7557D" w:rsidRPr="00796CA6" w:rsidRDefault="00C44B36" w:rsidP="00847AB6">
      <w:pPr>
        <w:rPr>
          <w:lang w:val="es-ES"/>
        </w:rPr>
      </w:pPr>
      <w:r w:rsidRPr="00796CA6">
        <w:rPr>
          <w:lang w:val="es-ES"/>
        </w:rPr>
        <w:t>Actualmente, l</w:t>
      </w:r>
      <w:r w:rsidR="00B7557D" w:rsidRPr="00796CA6">
        <w:rPr>
          <w:lang w:val="es-ES"/>
        </w:rPr>
        <w:t xml:space="preserve">os </w:t>
      </w:r>
      <w:r w:rsidR="00703689" w:rsidRPr="00796CA6">
        <w:rPr>
          <w:lang w:val="es-ES"/>
        </w:rPr>
        <w:t>servicios para</w:t>
      </w:r>
      <w:r w:rsidR="00B7557D" w:rsidRPr="00796CA6">
        <w:rPr>
          <w:lang w:val="es-ES"/>
        </w:rPr>
        <w:t xml:space="preserve"> los que se </w:t>
      </w:r>
      <w:r w:rsidR="00703689" w:rsidRPr="00796CA6">
        <w:rPr>
          <w:lang w:val="es-ES"/>
        </w:rPr>
        <w:t>miden</w:t>
      </w:r>
      <w:r w:rsidR="00B7557D" w:rsidRPr="00796CA6">
        <w:rPr>
          <w:lang w:val="es-ES"/>
        </w:rPr>
        <w:t xml:space="preserve"> los ICD son:</w:t>
      </w:r>
    </w:p>
    <w:p w14:paraId="5D9B79D3" w14:textId="77777777" w:rsidR="00C44B36" w:rsidRPr="00796CA6" w:rsidRDefault="002A4A7A" w:rsidP="00423492">
      <w:pPr>
        <w:pStyle w:val="Prrafodelista"/>
        <w:numPr>
          <w:ilvl w:val="0"/>
          <w:numId w:val="14"/>
        </w:numPr>
        <w:rPr>
          <w:lang w:val="es-MX"/>
        </w:rPr>
      </w:pPr>
      <w:r w:rsidRPr="00796CA6">
        <w:rPr>
          <w:lang w:val="es-MX"/>
        </w:rPr>
        <w:t xml:space="preserve">Acceso Desagregado </w:t>
      </w:r>
      <w:r w:rsidR="00C44B36" w:rsidRPr="00796CA6">
        <w:rPr>
          <w:lang w:val="es-MX"/>
        </w:rPr>
        <w:t>(Metallic Path Facility o MPF)</w:t>
      </w:r>
    </w:p>
    <w:p w14:paraId="309D6926" w14:textId="77777777" w:rsidR="00C44B36" w:rsidRPr="00796CA6" w:rsidRDefault="002A4A7A" w:rsidP="00423492">
      <w:pPr>
        <w:pStyle w:val="Prrafodelista"/>
        <w:numPr>
          <w:ilvl w:val="0"/>
          <w:numId w:val="14"/>
        </w:numPr>
        <w:rPr>
          <w:lang w:val="en-GB"/>
        </w:rPr>
      </w:pPr>
      <w:r w:rsidRPr="00796CA6">
        <w:rPr>
          <w:lang w:val="en-GB"/>
        </w:rPr>
        <w:t xml:space="preserve">Acceso Compartido </w:t>
      </w:r>
      <w:r w:rsidR="00C44B36" w:rsidRPr="00796CA6">
        <w:rPr>
          <w:lang w:val="en-GB"/>
        </w:rPr>
        <w:t>(Shared Metallic Path Facility o SMPF)</w:t>
      </w:r>
    </w:p>
    <w:p w14:paraId="21D793F3" w14:textId="77777777" w:rsidR="00C44B36" w:rsidRPr="00796CA6" w:rsidRDefault="00C02A34" w:rsidP="00423492">
      <w:pPr>
        <w:pStyle w:val="Prrafodelista"/>
        <w:numPr>
          <w:ilvl w:val="0"/>
          <w:numId w:val="14"/>
        </w:numPr>
        <w:rPr>
          <w:lang w:val="es-MX"/>
        </w:rPr>
      </w:pPr>
      <w:r w:rsidRPr="00796CA6">
        <w:rPr>
          <w:lang w:val="es-MX"/>
        </w:rPr>
        <w:t xml:space="preserve">Reventa de línea </w:t>
      </w:r>
      <w:r w:rsidR="00C44B36" w:rsidRPr="00796CA6">
        <w:rPr>
          <w:lang w:val="es-MX"/>
        </w:rPr>
        <w:t>(Wholesale Line Rental o WLA)</w:t>
      </w:r>
    </w:p>
    <w:p w14:paraId="66538D25" w14:textId="77777777" w:rsidR="00C44B36" w:rsidRPr="00796CA6" w:rsidRDefault="00C44B36" w:rsidP="00423492">
      <w:pPr>
        <w:pStyle w:val="Prrafodelista"/>
        <w:numPr>
          <w:ilvl w:val="0"/>
          <w:numId w:val="14"/>
        </w:numPr>
        <w:rPr>
          <w:lang w:val="es-MX"/>
        </w:rPr>
      </w:pPr>
      <w:r w:rsidRPr="00796CA6">
        <w:rPr>
          <w:lang w:val="es-MX"/>
        </w:rPr>
        <w:t>Desagregación Virtual del Bucle</w:t>
      </w:r>
      <w:r w:rsidR="00F44F56" w:rsidRPr="00796CA6">
        <w:rPr>
          <w:lang w:val="es-MX"/>
        </w:rPr>
        <w:t xml:space="preserve"> Local</w:t>
      </w:r>
      <w:r w:rsidRPr="00796CA6">
        <w:rPr>
          <w:lang w:val="es-MX"/>
        </w:rPr>
        <w:t xml:space="preserve"> (Virtual Unbundling Local Access o VULA)</w:t>
      </w:r>
    </w:p>
    <w:p w14:paraId="2E5AA34D" w14:textId="77777777" w:rsidR="00C44B36" w:rsidRPr="00796CA6" w:rsidRDefault="00F44F56" w:rsidP="00423492">
      <w:pPr>
        <w:pStyle w:val="Prrafodelista"/>
        <w:numPr>
          <w:ilvl w:val="0"/>
          <w:numId w:val="14"/>
        </w:numPr>
        <w:rPr>
          <w:lang w:val="es-MX"/>
        </w:rPr>
      </w:pPr>
      <w:r w:rsidRPr="00796CA6">
        <w:rPr>
          <w:lang w:val="es-MX"/>
        </w:rPr>
        <w:t xml:space="preserve">Servicio de acceso a banda angosta – 2 canales </w:t>
      </w:r>
      <w:r w:rsidR="00C44B36" w:rsidRPr="00796CA6">
        <w:rPr>
          <w:lang w:val="es-MX"/>
        </w:rPr>
        <w:t>(ISDN2 Exchange Lines Services)</w:t>
      </w:r>
    </w:p>
    <w:p w14:paraId="2333C044" w14:textId="066522A8" w:rsidR="00476F72" w:rsidRPr="00796CA6" w:rsidRDefault="00F44F56" w:rsidP="002917EE">
      <w:pPr>
        <w:pStyle w:val="Prrafodelista"/>
        <w:numPr>
          <w:ilvl w:val="0"/>
          <w:numId w:val="14"/>
        </w:numPr>
        <w:rPr>
          <w:lang w:val="es-ES"/>
        </w:rPr>
      </w:pPr>
      <w:r w:rsidRPr="00796CA6">
        <w:rPr>
          <w:lang w:val="es-MX"/>
        </w:rPr>
        <w:t xml:space="preserve">Servicio de acceso a banda angosta – 30 canales </w:t>
      </w:r>
      <w:r w:rsidR="00C44B36" w:rsidRPr="00796CA6">
        <w:rPr>
          <w:lang w:val="es-MX"/>
        </w:rPr>
        <w:t>(ISDN30 Exchange Line Services</w:t>
      </w:r>
      <w:r w:rsidRPr="00796CA6">
        <w:rPr>
          <w:lang w:val="es-MX"/>
        </w:rPr>
        <w:t>)</w:t>
      </w:r>
      <w:r w:rsidRPr="00796CA6" w:rsidDel="00F44F56">
        <w:rPr>
          <w:lang w:val="es-ES"/>
        </w:rPr>
        <w:t xml:space="preserve"> </w:t>
      </w:r>
    </w:p>
    <w:p w14:paraId="1363B185" w14:textId="77777777" w:rsidR="00292AAE" w:rsidRPr="00796CA6" w:rsidRDefault="00FF6B67" w:rsidP="00847AB6">
      <w:pPr>
        <w:rPr>
          <w:b/>
          <w:lang w:val="es-ES"/>
        </w:rPr>
      </w:pPr>
      <w:r w:rsidRPr="00796CA6">
        <w:rPr>
          <w:b/>
          <w:lang w:val="es-ES"/>
        </w:rPr>
        <w:t>IRLANDA</w:t>
      </w:r>
    </w:p>
    <w:p w14:paraId="729DF35C" w14:textId="77777777" w:rsidR="00225A28" w:rsidRPr="00796CA6" w:rsidRDefault="00F118FD" w:rsidP="00847AB6">
      <w:pPr>
        <w:rPr>
          <w:lang w:val="es-ES"/>
        </w:rPr>
      </w:pPr>
      <w:r w:rsidRPr="00796CA6">
        <w:rPr>
          <w:lang w:val="es-ES"/>
        </w:rPr>
        <w:t xml:space="preserve">Las </w:t>
      </w:r>
      <w:r w:rsidR="009D1CD8" w:rsidRPr="00796CA6">
        <w:rPr>
          <w:lang w:val="es-ES"/>
        </w:rPr>
        <w:t>obligaciones</w:t>
      </w:r>
      <w:r w:rsidRPr="00796CA6">
        <w:rPr>
          <w:lang w:val="es-ES"/>
        </w:rPr>
        <w:t xml:space="preserve"> impuestas por la Comisión </w:t>
      </w:r>
      <w:r w:rsidR="009D1CD8" w:rsidRPr="00796CA6">
        <w:rPr>
          <w:lang w:val="es-ES"/>
        </w:rPr>
        <w:t xml:space="preserve">para </w:t>
      </w:r>
      <w:r w:rsidRPr="00796CA6">
        <w:rPr>
          <w:lang w:val="es-ES"/>
        </w:rPr>
        <w:t>Regulación de Comunicaciones de Irlanda (en lo sucesivo, “ComReg”) a Eir Communication (en lo sucesivo, “Eircom”)</w:t>
      </w:r>
      <w:r w:rsidR="00B46210" w:rsidRPr="00796CA6">
        <w:rPr>
          <w:lang w:val="es-ES"/>
        </w:rPr>
        <w:t>,</w:t>
      </w:r>
      <w:r w:rsidRPr="00796CA6">
        <w:rPr>
          <w:lang w:val="es-ES"/>
        </w:rPr>
        <w:t xml:space="preserve"> en su calidad de </w:t>
      </w:r>
      <w:r w:rsidR="003468AD" w:rsidRPr="00796CA6">
        <w:rPr>
          <w:lang w:val="es-ES"/>
        </w:rPr>
        <w:t xml:space="preserve">agente con </w:t>
      </w:r>
      <w:r w:rsidR="00F2052B" w:rsidRPr="00796CA6">
        <w:rPr>
          <w:lang w:val="es-ES"/>
        </w:rPr>
        <w:t>PSM, entre otros, en los mercados de acceso a la banda ancha</w:t>
      </w:r>
      <w:r w:rsidR="00097E65" w:rsidRPr="00796CA6">
        <w:rPr>
          <w:lang w:val="es-ES"/>
        </w:rPr>
        <w:t xml:space="preserve"> y</w:t>
      </w:r>
      <w:r w:rsidR="00F2052B" w:rsidRPr="00796CA6">
        <w:rPr>
          <w:lang w:val="es-ES"/>
        </w:rPr>
        <w:t xml:space="preserve"> a la banda estrecha</w:t>
      </w:r>
      <w:r w:rsidR="00097E65" w:rsidRPr="00796CA6">
        <w:rPr>
          <w:rStyle w:val="Refdenotaalpie"/>
        </w:rPr>
        <w:footnoteReference w:id="10"/>
      </w:r>
      <w:r w:rsidR="009D1CD8" w:rsidRPr="00796CA6">
        <w:rPr>
          <w:lang w:val="es-ES"/>
        </w:rPr>
        <w:t>, estipulan</w:t>
      </w:r>
      <w:r w:rsidRPr="00796CA6">
        <w:rPr>
          <w:lang w:val="es-ES"/>
        </w:rPr>
        <w:t xml:space="preserve"> condiciones </w:t>
      </w:r>
      <w:r w:rsidR="009D1CD8" w:rsidRPr="00796CA6">
        <w:rPr>
          <w:lang w:val="es-ES"/>
        </w:rPr>
        <w:t>relacionadas con el</w:t>
      </w:r>
      <w:r w:rsidRPr="00796CA6">
        <w:rPr>
          <w:lang w:val="es-ES"/>
        </w:rPr>
        <w:t xml:space="preserve"> </w:t>
      </w:r>
      <w:r w:rsidR="009D1CD8" w:rsidRPr="00796CA6">
        <w:rPr>
          <w:lang w:val="es-ES"/>
        </w:rPr>
        <w:t>desempeño</w:t>
      </w:r>
      <w:r w:rsidRPr="00796CA6">
        <w:rPr>
          <w:lang w:val="es-ES"/>
        </w:rPr>
        <w:t xml:space="preserve"> </w:t>
      </w:r>
      <w:r w:rsidR="009D1CD8" w:rsidRPr="00796CA6">
        <w:rPr>
          <w:lang w:val="es-ES"/>
        </w:rPr>
        <w:t xml:space="preserve">en la provisión </w:t>
      </w:r>
      <w:r w:rsidRPr="00796CA6">
        <w:rPr>
          <w:lang w:val="es-ES"/>
        </w:rPr>
        <w:t>de los servicios de telecomunicaciones, las cuales convergen hacia la no discriminación, la accesibilidad y la tra</w:t>
      </w:r>
      <w:r w:rsidR="009D1CD8" w:rsidRPr="00796CA6">
        <w:rPr>
          <w:lang w:val="es-ES"/>
        </w:rPr>
        <w:t xml:space="preserve">nsparencia en los servicios </w:t>
      </w:r>
      <w:r w:rsidRPr="00796CA6">
        <w:rPr>
          <w:lang w:val="es-ES"/>
        </w:rPr>
        <w:t xml:space="preserve">proporcionados por parte </w:t>
      </w:r>
      <w:r w:rsidR="009F4742" w:rsidRPr="00796CA6">
        <w:rPr>
          <w:lang w:val="es-ES"/>
        </w:rPr>
        <w:t xml:space="preserve">de </w:t>
      </w:r>
      <w:r w:rsidR="009D1CD8" w:rsidRPr="00796CA6">
        <w:rPr>
          <w:lang w:val="es-ES"/>
        </w:rPr>
        <w:t>Eircom</w:t>
      </w:r>
      <w:r w:rsidRPr="00796CA6">
        <w:rPr>
          <w:lang w:val="es-ES"/>
        </w:rPr>
        <w:t xml:space="preserve"> a sus filiales con respecto a los </w:t>
      </w:r>
      <w:r w:rsidR="009D1CD8" w:rsidRPr="00796CA6">
        <w:rPr>
          <w:lang w:val="es-ES"/>
        </w:rPr>
        <w:t>otros operadores.</w:t>
      </w:r>
      <w:r w:rsidR="00B46210" w:rsidRPr="00796CA6">
        <w:rPr>
          <w:lang w:val="es-ES"/>
        </w:rPr>
        <w:t xml:space="preserve"> Los elementos mayoristas provistos por Eircom a otros operadores deben ser, al menos, tan buenos como los </w:t>
      </w:r>
      <w:r w:rsidR="00225A28" w:rsidRPr="00796CA6">
        <w:rPr>
          <w:lang w:val="es-ES"/>
        </w:rPr>
        <w:t>usados en</w:t>
      </w:r>
      <w:r w:rsidR="00B46210" w:rsidRPr="00796CA6">
        <w:rPr>
          <w:lang w:val="es-ES"/>
        </w:rPr>
        <w:t xml:space="preserve"> sus propias operaciones</w:t>
      </w:r>
      <w:r w:rsidR="00225A28" w:rsidRPr="00796CA6">
        <w:rPr>
          <w:lang w:val="es-ES"/>
        </w:rPr>
        <w:t>. Para lograr lo anterior, se requiere la publicación regular de ICD relacionados con dichos elementos.</w:t>
      </w:r>
    </w:p>
    <w:p w14:paraId="308E0B88" w14:textId="77777777" w:rsidR="00B008F2" w:rsidRPr="00796CA6" w:rsidRDefault="009D1CD8" w:rsidP="009D1CD8">
      <w:pPr>
        <w:rPr>
          <w:lang w:val="es-ES"/>
        </w:rPr>
      </w:pPr>
      <w:r w:rsidRPr="00796CA6">
        <w:rPr>
          <w:lang w:val="es-ES"/>
        </w:rPr>
        <w:t>Así, en junio de 2011, como medidas acatables y preventivas por parte de ComReg, se le impuso a Eircom la obligación de presentar ICD</w:t>
      </w:r>
      <w:r w:rsidR="00476F72" w:rsidRPr="00796CA6">
        <w:rPr>
          <w:lang w:val="es-ES"/>
        </w:rPr>
        <w:t>, los cuales</w:t>
      </w:r>
      <w:r w:rsidRPr="00796CA6">
        <w:rPr>
          <w:lang w:val="es-ES"/>
        </w:rPr>
        <w:t xml:space="preserve"> se encuentran </w:t>
      </w:r>
      <w:r w:rsidR="00B008F2" w:rsidRPr="00796CA6">
        <w:rPr>
          <w:lang w:val="es-ES"/>
        </w:rPr>
        <w:t>enfocados en</w:t>
      </w:r>
      <w:r w:rsidRPr="00796CA6">
        <w:rPr>
          <w:lang w:val="es-ES"/>
        </w:rPr>
        <w:t xml:space="preserve"> </w:t>
      </w:r>
      <w:r w:rsidR="00B008F2" w:rsidRPr="00796CA6">
        <w:rPr>
          <w:lang w:val="es-ES"/>
        </w:rPr>
        <w:t>cuatro mercados regulados:</w:t>
      </w:r>
    </w:p>
    <w:p w14:paraId="545D24AA" w14:textId="77777777" w:rsidR="00B008F2" w:rsidRPr="00796CA6" w:rsidRDefault="009D1CD8" w:rsidP="00423492">
      <w:pPr>
        <w:pStyle w:val="Prrafodelista"/>
        <w:numPr>
          <w:ilvl w:val="0"/>
          <w:numId w:val="15"/>
        </w:numPr>
        <w:spacing w:before="0" w:after="0"/>
        <w:rPr>
          <w:lang w:val="es-ES"/>
        </w:rPr>
      </w:pPr>
      <w:r w:rsidRPr="00796CA6">
        <w:rPr>
          <w:lang w:val="es-ES"/>
        </w:rPr>
        <w:t>Acceso minorista a banda estrecha</w:t>
      </w:r>
      <w:r w:rsidR="00476F72" w:rsidRPr="00796CA6">
        <w:rPr>
          <w:lang w:val="es-ES"/>
        </w:rPr>
        <w:t>,</w:t>
      </w:r>
    </w:p>
    <w:p w14:paraId="145479CF" w14:textId="77777777" w:rsidR="00B008F2" w:rsidRPr="00796CA6" w:rsidRDefault="009D1CD8" w:rsidP="00423492">
      <w:pPr>
        <w:pStyle w:val="Prrafodelista"/>
        <w:numPr>
          <w:ilvl w:val="0"/>
          <w:numId w:val="15"/>
        </w:numPr>
        <w:spacing w:before="0" w:after="0"/>
        <w:rPr>
          <w:lang w:val="es-ES"/>
        </w:rPr>
      </w:pPr>
      <w:r w:rsidRPr="00796CA6">
        <w:rPr>
          <w:lang w:val="es-ES"/>
        </w:rPr>
        <w:t>Acceso</w:t>
      </w:r>
      <w:r w:rsidR="00B008F2" w:rsidRPr="00796CA6">
        <w:rPr>
          <w:lang w:val="es-ES"/>
        </w:rPr>
        <w:t xml:space="preserve"> mayorista</w:t>
      </w:r>
      <w:r w:rsidRPr="00796CA6">
        <w:rPr>
          <w:lang w:val="es-ES"/>
        </w:rPr>
        <w:t xml:space="preserve"> a la infraestructura</w:t>
      </w:r>
      <w:r w:rsidR="00B008F2" w:rsidRPr="00796CA6">
        <w:rPr>
          <w:lang w:val="es-ES"/>
        </w:rPr>
        <w:t xml:space="preserve"> de red física</w:t>
      </w:r>
      <w:r w:rsidR="00476F72" w:rsidRPr="00796CA6">
        <w:rPr>
          <w:lang w:val="es-ES"/>
        </w:rPr>
        <w:t>,</w:t>
      </w:r>
    </w:p>
    <w:p w14:paraId="07D1AAD5" w14:textId="77777777" w:rsidR="007769B3" w:rsidRPr="00796CA6" w:rsidRDefault="009D1CD8" w:rsidP="007769B3">
      <w:pPr>
        <w:pStyle w:val="Prrafodelista"/>
        <w:numPr>
          <w:ilvl w:val="0"/>
          <w:numId w:val="15"/>
        </w:numPr>
        <w:spacing w:before="0" w:after="0"/>
        <w:rPr>
          <w:lang w:val="es-ES"/>
        </w:rPr>
      </w:pPr>
      <w:r w:rsidRPr="00796CA6">
        <w:rPr>
          <w:lang w:val="es-ES"/>
        </w:rPr>
        <w:t>Ac</w:t>
      </w:r>
      <w:r w:rsidR="00B008F2" w:rsidRPr="00796CA6">
        <w:rPr>
          <w:lang w:val="es-ES"/>
        </w:rPr>
        <w:t>ceso mayorista de banda ancha</w:t>
      </w:r>
      <w:r w:rsidR="00476F72" w:rsidRPr="00796CA6">
        <w:rPr>
          <w:lang w:val="es-ES"/>
        </w:rPr>
        <w:t>, y</w:t>
      </w:r>
    </w:p>
    <w:p w14:paraId="11935C70" w14:textId="77777777" w:rsidR="00476F72" w:rsidRPr="00796CA6" w:rsidRDefault="00B46210" w:rsidP="007769B3">
      <w:pPr>
        <w:pStyle w:val="Prrafodelista"/>
        <w:numPr>
          <w:ilvl w:val="0"/>
          <w:numId w:val="15"/>
        </w:numPr>
        <w:spacing w:before="0" w:after="0"/>
        <w:rPr>
          <w:lang w:val="es-ES"/>
        </w:rPr>
      </w:pPr>
      <w:r w:rsidRPr="00796CA6">
        <w:rPr>
          <w:lang w:val="es-ES"/>
        </w:rPr>
        <w:t>Segmentos terminales de líneas mayoristas arrendados</w:t>
      </w:r>
      <w:r w:rsidR="00476F72" w:rsidRPr="00796CA6">
        <w:rPr>
          <w:lang w:val="es-ES"/>
        </w:rPr>
        <w:t>.</w:t>
      </w:r>
    </w:p>
    <w:p w14:paraId="5D4DEADC" w14:textId="77777777" w:rsidR="00D36006" w:rsidRPr="00796CA6" w:rsidRDefault="00171300" w:rsidP="00D36006">
      <w:pPr>
        <w:rPr>
          <w:lang w:val="es-MX"/>
        </w:rPr>
      </w:pPr>
      <w:r w:rsidRPr="00796CA6">
        <w:lastRenderedPageBreak/>
        <w:t>ComReg hizo hincapié en que</w:t>
      </w:r>
      <w:r w:rsidR="00190868" w:rsidRPr="00796CA6">
        <w:t xml:space="preserve"> la publicación de estos indicadores, por si solos, no demuestra la ausencia o presencia de discriminaci</w:t>
      </w:r>
      <w:r w:rsidRPr="00796CA6">
        <w:t xml:space="preserve">ón en algún servicio mayorista, sino </w:t>
      </w:r>
      <w:r w:rsidR="00190868" w:rsidRPr="00796CA6">
        <w:t xml:space="preserve">que </w:t>
      </w:r>
      <w:r w:rsidRPr="00796CA6">
        <w:t>su</w:t>
      </w:r>
      <w:r w:rsidR="00190868" w:rsidRPr="00796CA6">
        <w:t xml:space="preserve"> publicación es útil para que otros operadores comparen fácilmente la información referente a la calidad relativa de los servicios mayoristas y minoristas con respecto al agente regulado.</w:t>
      </w:r>
      <w:r w:rsidR="00D36006" w:rsidRPr="00796CA6">
        <w:t xml:space="preserve"> </w:t>
      </w:r>
      <w:r w:rsidR="00D36006" w:rsidRPr="00796CA6">
        <w:rPr>
          <w:lang w:val="es-MX"/>
        </w:rPr>
        <w:t>Asimismo, el regulador se reserva el derecho de revisar, eliminar o adecuar los ICD periódicamente, tras seguir un proceso de consulta, de considerarlo conveniente.</w:t>
      </w:r>
      <w:r w:rsidR="00D36006" w:rsidRPr="00796CA6">
        <w:rPr>
          <w:rStyle w:val="Refdenotaalpie"/>
        </w:rPr>
        <w:footnoteReference w:id="11"/>
      </w:r>
    </w:p>
    <w:p w14:paraId="27A3BBEB" w14:textId="77777777" w:rsidR="00190868" w:rsidRPr="00796CA6" w:rsidRDefault="00190868" w:rsidP="00847AB6">
      <w:pPr>
        <w:rPr>
          <w:b/>
        </w:rPr>
      </w:pPr>
      <w:r w:rsidRPr="00796CA6">
        <w:rPr>
          <w:b/>
        </w:rPr>
        <w:t>IMPLEMENTACIÓN DE ICD EN MÉXICO</w:t>
      </w:r>
    </w:p>
    <w:p w14:paraId="4F6CDBB8" w14:textId="746BC057" w:rsidR="00A574CA" w:rsidRPr="00796CA6" w:rsidRDefault="00A574CA" w:rsidP="00847AB6">
      <w:r w:rsidRPr="00796CA6">
        <w:t xml:space="preserve">De </w:t>
      </w:r>
      <w:r w:rsidR="009F4742" w:rsidRPr="00796CA6">
        <w:t>la experiencia internacional</w:t>
      </w:r>
      <w:r w:rsidR="00971E9E" w:rsidRPr="00796CA6">
        <w:t>,</w:t>
      </w:r>
      <w:r w:rsidRPr="00796CA6">
        <w:t xml:space="preserve"> </w:t>
      </w:r>
      <w:r w:rsidR="00476F72" w:rsidRPr="00796CA6">
        <w:t xml:space="preserve">se observa que los ICD son </w:t>
      </w:r>
      <w:r w:rsidR="001F6090" w:rsidRPr="00796CA6">
        <w:t xml:space="preserve">un instrumento utilizado para </w:t>
      </w:r>
      <w:r w:rsidR="009520AA" w:rsidRPr="00796CA6">
        <w:t>monitorear</w:t>
      </w:r>
      <w:r w:rsidR="00971E9E" w:rsidRPr="00796CA6">
        <w:t xml:space="preserve"> el comportamiento de los </w:t>
      </w:r>
      <w:r w:rsidR="003468AD" w:rsidRPr="00796CA6">
        <w:t xml:space="preserve">agentes con </w:t>
      </w:r>
      <w:r w:rsidR="00971E9E" w:rsidRPr="00796CA6">
        <w:t xml:space="preserve">PSM, con el fin de </w:t>
      </w:r>
      <w:r w:rsidR="00F83A3E" w:rsidRPr="00796CA6">
        <w:t xml:space="preserve">identificar comportamientos sistemáticos de potencial discriminación </w:t>
      </w:r>
      <w:r w:rsidR="001F6090" w:rsidRPr="00796CA6">
        <w:t xml:space="preserve">y </w:t>
      </w:r>
      <w:r w:rsidR="00971E9E" w:rsidRPr="00796CA6">
        <w:t xml:space="preserve">fomentar </w:t>
      </w:r>
      <w:r w:rsidR="001F6090" w:rsidRPr="00796CA6">
        <w:t xml:space="preserve">la transparencia en la provisión de los </w:t>
      </w:r>
      <w:r w:rsidR="009F4742" w:rsidRPr="00796CA6">
        <w:t>servicios mayoristas</w:t>
      </w:r>
      <w:r w:rsidR="001F6090" w:rsidRPr="00796CA6">
        <w:t xml:space="preserve">. </w:t>
      </w:r>
      <w:r w:rsidR="00971E9E" w:rsidRPr="00796CA6">
        <w:t>Toma</w:t>
      </w:r>
      <w:r w:rsidR="00BE4E52" w:rsidRPr="00796CA6">
        <w:t>ndo como referencia lo anterior</w:t>
      </w:r>
      <w:r w:rsidR="00971E9E" w:rsidRPr="00796CA6">
        <w:t xml:space="preserve"> y </w:t>
      </w:r>
      <w:r w:rsidR="00BE4E52" w:rsidRPr="00796CA6">
        <w:t>las condiciones presentes en el sector mexicano de telecomunicaciones,</w:t>
      </w:r>
      <w:r w:rsidR="001F6090" w:rsidRPr="00796CA6">
        <w:t xml:space="preserve"> el Instituto determinó </w:t>
      </w:r>
      <w:r w:rsidR="009F4742" w:rsidRPr="00796CA6">
        <w:t>como</w:t>
      </w:r>
      <w:r w:rsidR="001F6090" w:rsidRPr="00796CA6">
        <w:t xml:space="preserve"> obligación </w:t>
      </w:r>
      <w:r w:rsidR="009F4742" w:rsidRPr="00796CA6">
        <w:t xml:space="preserve">para el AEP el </w:t>
      </w:r>
      <w:r w:rsidR="00BE4E52" w:rsidRPr="00796CA6">
        <w:t>reportar</w:t>
      </w:r>
      <w:r w:rsidR="001F6090" w:rsidRPr="00796CA6">
        <w:t xml:space="preserve"> ICD</w:t>
      </w:r>
      <w:r w:rsidR="00E110C2" w:rsidRPr="00796CA6">
        <w:t xml:space="preserve"> relacionados con los SMR</w:t>
      </w:r>
      <w:r w:rsidR="001F6090" w:rsidRPr="00796CA6">
        <w:t xml:space="preserve">. </w:t>
      </w:r>
    </w:p>
    <w:p w14:paraId="1E360846" w14:textId="7338E28C" w:rsidR="00F87F5F" w:rsidRPr="00796CA6" w:rsidRDefault="00F87F5F" w:rsidP="00847AB6">
      <w:r w:rsidRPr="00796CA6">
        <w:t xml:space="preserve">Es importante </w:t>
      </w:r>
      <w:r w:rsidR="00C44567" w:rsidRPr="00796CA6">
        <w:t>destacar</w:t>
      </w:r>
      <w:r w:rsidRPr="00796CA6">
        <w:t xml:space="preserve"> que</w:t>
      </w:r>
      <w:r w:rsidR="000836DB" w:rsidRPr="00796CA6">
        <w:t xml:space="preserve"> </w:t>
      </w:r>
      <w:r w:rsidRPr="00796CA6">
        <w:t xml:space="preserve">los ICD </w:t>
      </w:r>
      <w:r w:rsidR="00C44567" w:rsidRPr="00796CA6">
        <w:t>pueden construirse a partir de los indicadores que se definen en las Ofertas de Referencia</w:t>
      </w:r>
      <w:r w:rsidR="001F6090" w:rsidRPr="00796CA6">
        <w:t xml:space="preserve"> (en lo sucesivo, “OR”)</w:t>
      </w:r>
      <w:r w:rsidR="00C44567" w:rsidRPr="00796CA6">
        <w:t xml:space="preserve">, </w:t>
      </w:r>
      <w:r w:rsidR="000836DB" w:rsidRPr="00796CA6">
        <w:t>sin embargo, difieren de estos</w:t>
      </w:r>
      <w:r w:rsidR="00C44567" w:rsidRPr="00796CA6">
        <w:t xml:space="preserve"> en el sentido de que los ICD </w:t>
      </w:r>
      <w:r w:rsidR="00F83A3E" w:rsidRPr="00796CA6">
        <w:t>permiten</w:t>
      </w:r>
      <w:r w:rsidR="00C44567" w:rsidRPr="00796CA6">
        <w:t xml:space="preserve"> </w:t>
      </w:r>
      <w:r w:rsidR="00F83A3E" w:rsidRPr="00796CA6">
        <w:t>dar seguimiento a la provisión global de los SMR por parte del AEP</w:t>
      </w:r>
      <w:r w:rsidR="00C44567" w:rsidRPr="00796CA6">
        <w:t>, en tanto que los indicadores de l</w:t>
      </w:r>
      <w:r w:rsidR="00E110C2" w:rsidRPr="00796CA6">
        <w:t>a</w:t>
      </w:r>
      <w:r w:rsidR="00C44567" w:rsidRPr="00796CA6">
        <w:t xml:space="preserve">s </w:t>
      </w:r>
      <w:r w:rsidR="001F6090" w:rsidRPr="00796CA6">
        <w:t>OR</w:t>
      </w:r>
      <w:r w:rsidR="00C44567" w:rsidRPr="00796CA6">
        <w:t xml:space="preserve"> establecen las condiciones mínimas </w:t>
      </w:r>
      <w:r w:rsidR="00F83A3E" w:rsidRPr="00796CA6">
        <w:t xml:space="preserve">de </w:t>
      </w:r>
      <w:r w:rsidR="00C44567" w:rsidRPr="00796CA6">
        <w:t xml:space="preserve">la provisión </w:t>
      </w:r>
      <w:r w:rsidR="00F83A3E" w:rsidRPr="00796CA6">
        <w:t>a</w:t>
      </w:r>
      <w:r w:rsidR="00E110C2" w:rsidRPr="00796CA6">
        <w:t xml:space="preserve"> cada uno de los operadores que utilizan sus </w:t>
      </w:r>
      <w:r w:rsidR="00BE4E52" w:rsidRPr="00796CA6">
        <w:t>servicios</w:t>
      </w:r>
      <w:r w:rsidR="00C44567" w:rsidRPr="00796CA6">
        <w:t xml:space="preserve">. </w:t>
      </w:r>
    </w:p>
    <w:p w14:paraId="19E82486" w14:textId="77777777" w:rsidR="007F75B4" w:rsidRPr="00796CA6" w:rsidRDefault="00D84427" w:rsidP="00F033A9">
      <w:r w:rsidRPr="00796CA6">
        <w:rPr>
          <w:lang w:val="es-ES"/>
        </w:rPr>
        <w:t>En</w:t>
      </w:r>
      <w:r w:rsidR="00A1330F" w:rsidRPr="00796CA6">
        <w:t xml:space="preserve"> l</w:t>
      </w:r>
      <w:r w:rsidR="00AC70DF" w:rsidRPr="00796CA6">
        <w:t>a</w:t>
      </w:r>
      <w:r w:rsidR="001429C0" w:rsidRPr="00796CA6">
        <w:t xml:space="preserve"> selección de los </w:t>
      </w:r>
      <w:r w:rsidR="00A1330F" w:rsidRPr="00796CA6">
        <w:t>ICD</w:t>
      </w:r>
      <w:r w:rsidR="00A574CA" w:rsidRPr="00796CA6">
        <w:t>, el Instituto considera</w:t>
      </w:r>
      <w:r w:rsidR="00A1330F" w:rsidRPr="00796CA6">
        <w:t xml:space="preserve"> </w:t>
      </w:r>
      <w:r w:rsidRPr="00796CA6">
        <w:t xml:space="preserve">los </w:t>
      </w:r>
      <w:r w:rsidR="001429C0" w:rsidRPr="00796CA6">
        <w:t>que sean más adecuados para el aseguramiento de sus objetivos, de acuerdo con los siguientes criterios:</w:t>
      </w:r>
    </w:p>
    <w:p w14:paraId="79CDD9E8" w14:textId="77777777" w:rsidR="00A34FAE" w:rsidRPr="00796CA6" w:rsidRDefault="00A63F74" w:rsidP="00423492">
      <w:pPr>
        <w:pStyle w:val="Prrafodelista"/>
        <w:numPr>
          <w:ilvl w:val="0"/>
          <w:numId w:val="11"/>
        </w:numPr>
        <w:rPr>
          <w:lang w:val="es-MX"/>
        </w:rPr>
      </w:pPr>
      <w:r w:rsidRPr="00796CA6">
        <w:rPr>
          <w:b/>
          <w:bCs/>
          <w:lang w:val="es-MX"/>
        </w:rPr>
        <w:t>Capacidad de ser medido en el tiempo</w:t>
      </w:r>
      <w:r w:rsidR="00233204" w:rsidRPr="00796CA6">
        <w:rPr>
          <w:lang w:val="es-MX"/>
        </w:rPr>
        <w:t xml:space="preserve">. </w:t>
      </w:r>
      <w:r w:rsidRPr="00796CA6">
        <w:rPr>
          <w:lang w:val="es-MX"/>
        </w:rPr>
        <w:t xml:space="preserve">El </w:t>
      </w:r>
      <w:r w:rsidR="00385998" w:rsidRPr="00796CA6">
        <w:rPr>
          <w:lang w:val="es-MX"/>
        </w:rPr>
        <w:t>AEP</w:t>
      </w:r>
      <w:r w:rsidRPr="00796CA6">
        <w:rPr>
          <w:lang w:val="es-MX"/>
        </w:rPr>
        <w:t xml:space="preserve"> debe ser</w:t>
      </w:r>
      <w:r w:rsidR="00AC70DF" w:rsidRPr="00796CA6">
        <w:rPr>
          <w:lang w:val="es-MX"/>
        </w:rPr>
        <w:t xml:space="preserve"> capa</w:t>
      </w:r>
      <w:r w:rsidR="00E43DEA" w:rsidRPr="00796CA6">
        <w:rPr>
          <w:lang w:val="es-MX"/>
        </w:rPr>
        <w:t>z</w:t>
      </w:r>
      <w:r w:rsidR="00AC70DF" w:rsidRPr="00796CA6">
        <w:rPr>
          <w:lang w:val="es-MX"/>
        </w:rPr>
        <w:t xml:space="preserve"> de obtener información en periodos de tiempo determinados.</w:t>
      </w:r>
    </w:p>
    <w:p w14:paraId="692D8015" w14:textId="77777777" w:rsidR="00A34FAE" w:rsidRPr="00796CA6" w:rsidRDefault="00A63F74" w:rsidP="00423492">
      <w:pPr>
        <w:pStyle w:val="Prrafodelista"/>
        <w:numPr>
          <w:ilvl w:val="0"/>
          <w:numId w:val="11"/>
        </w:numPr>
        <w:rPr>
          <w:lang w:val="es-MX"/>
        </w:rPr>
      </w:pPr>
      <w:r w:rsidRPr="00796CA6">
        <w:rPr>
          <w:b/>
          <w:bCs/>
          <w:lang w:val="es-MX"/>
        </w:rPr>
        <w:t>Practicidad de medición</w:t>
      </w:r>
      <w:r w:rsidR="00233204" w:rsidRPr="00796CA6">
        <w:rPr>
          <w:b/>
          <w:bCs/>
          <w:lang w:val="es-MX"/>
        </w:rPr>
        <w:t>.</w:t>
      </w:r>
      <w:r w:rsidRPr="00796CA6">
        <w:rPr>
          <w:b/>
          <w:bCs/>
          <w:lang w:val="es-MX"/>
        </w:rPr>
        <w:t xml:space="preserve"> </w:t>
      </w:r>
      <w:r w:rsidR="00493D8D" w:rsidRPr="00796CA6">
        <w:rPr>
          <w:lang w:val="es-MX"/>
        </w:rPr>
        <w:t>Aun</w:t>
      </w:r>
      <w:r w:rsidRPr="00796CA6">
        <w:rPr>
          <w:lang w:val="es-MX"/>
        </w:rPr>
        <w:t xml:space="preserve"> cuando teóricamente sea posible obtener información, debe ser razonablemente práctico obtenerla.</w:t>
      </w:r>
    </w:p>
    <w:p w14:paraId="11978790" w14:textId="77777777" w:rsidR="00A34FAE" w:rsidRPr="00796CA6" w:rsidRDefault="00A63F74" w:rsidP="00423492">
      <w:pPr>
        <w:pStyle w:val="Prrafodelista"/>
        <w:numPr>
          <w:ilvl w:val="0"/>
          <w:numId w:val="11"/>
        </w:numPr>
        <w:rPr>
          <w:lang w:val="es-MX"/>
        </w:rPr>
      </w:pPr>
      <w:r w:rsidRPr="00796CA6">
        <w:rPr>
          <w:b/>
          <w:bCs/>
          <w:lang w:val="es-MX"/>
        </w:rPr>
        <w:t>Capacidad de ser verificable</w:t>
      </w:r>
      <w:r w:rsidR="00233204" w:rsidRPr="00796CA6">
        <w:rPr>
          <w:lang w:val="es-MX"/>
        </w:rPr>
        <w:t>.</w:t>
      </w:r>
      <w:r w:rsidRPr="00796CA6">
        <w:rPr>
          <w:lang w:val="es-MX"/>
        </w:rPr>
        <w:t xml:space="preserve"> </w:t>
      </w:r>
      <w:r w:rsidR="00AC70DF" w:rsidRPr="00796CA6">
        <w:rPr>
          <w:lang w:val="es-MX"/>
        </w:rPr>
        <w:t>El Instituto debe tener la posibilidad de comprobar</w:t>
      </w:r>
      <w:r w:rsidRPr="00796CA6">
        <w:rPr>
          <w:lang w:val="es-MX"/>
        </w:rPr>
        <w:t xml:space="preserve"> </w:t>
      </w:r>
      <w:r w:rsidR="00AC70DF" w:rsidRPr="00796CA6">
        <w:rPr>
          <w:lang w:val="es-MX"/>
        </w:rPr>
        <w:t xml:space="preserve">las mediciones </w:t>
      </w:r>
      <w:r w:rsidRPr="00796CA6">
        <w:rPr>
          <w:lang w:val="es-MX"/>
        </w:rPr>
        <w:t xml:space="preserve">que el </w:t>
      </w:r>
      <w:r w:rsidR="00385998" w:rsidRPr="00796CA6">
        <w:rPr>
          <w:lang w:val="es-MX"/>
        </w:rPr>
        <w:t>AEP</w:t>
      </w:r>
      <w:r w:rsidR="00493D8D" w:rsidRPr="00796CA6">
        <w:rPr>
          <w:lang w:val="es-MX"/>
        </w:rPr>
        <w:t xml:space="preserve"> </w:t>
      </w:r>
      <w:r w:rsidRPr="00796CA6">
        <w:rPr>
          <w:lang w:val="es-MX"/>
        </w:rPr>
        <w:t>proporcione.</w:t>
      </w:r>
    </w:p>
    <w:p w14:paraId="7D38624C" w14:textId="77777777" w:rsidR="00A34FAE" w:rsidRPr="00796CA6" w:rsidRDefault="00A63F74" w:rsidP="00423492">
      <w:pPr>
        <w:pStyle w:val="Prrafodelista"/>
        <w:numPr>
          <w:ilvl w:val="0"/>
          <w:numId w:val="11"/>
        </w:numPr>
        <w:rPr>
          <w:lang w:val="es-MX"/>
        </w:rPr>
      </w:pPr>
      <w:r w:rsidRPr="00796CA6">
        <w:rPr>
          <w:b/>
          <w:bCs/>
          <w:lang w:val="es-MX"/>
        </w:rPr>
        <w:t>Relevancia con los objetivos de los ICD</w:t>
      </w:r>
      <w:r w:rsidR="00233204" w:rsidRPr="00796CA6">
        <w:rPr>
          <w:b/>
          <w:bCs/>
          <w:lang w:val="es-MX"/>
        </w:rPr>
        <w:t>.</w:t>
      </w:r>
      <w:r w:rsidRPr="00796CA6">
        <w:rPr>
          <w:lang w:val="es-MX"/>
        </w:rPr>
        <w:t xml:space="preserve"> El indicador debe aportar información que permita evaluar el cumplimiento de los objetivos para los que fue definido.</w:t>
      </w:r>
    </w:p>
    <w:p w14:paraId="771FE648" w14:textId="77777777" w:rsidR="00A34FAE" w:rsidRPr="00796CA6" w:rsidRDefault="00A63F74" w:rsidP="00423492">
      <w:pPr>
        <w:pStyle w:val="Prrafodelista"/>
        <w:numPr>
          <w:ilvl w:val="0"/>
          <w:numId w:val="11"/>
        </w:numPr>
        <w:rPr>
          <w:lang w:val="es-MX"/>
        </w:rPr>
      </w:pPr>
      <w:r w:rsidRPr="00796CA6">
        <w:rPr>
          <w:b/>
          <w:bCs/>
          <w:lang w:val="es-MX"/>
        </w:rPr>
        <w:t>Control del evaluado sobre el ICD</w:t>
      </w:r>
      <w:r w:rsidR="00233204" w:rsidRPr="00796CA6">
        <w:rPr>
          <w:lang w:val="es-MX"/>
        </w:rPr>
        <w:t>.</w:t>
      </w:r>
      <w:r w:rsidRPr="00796CA6">
        <w:rPr>
          <w:lang w:val="es-MX"/>
        </w:rPr>
        <w:t xml:space="preserve"> </w:t>
      </w:r>
      <w:r w:rsidR="003010AB" w:rsidRPr="00796CA6">
        <w:rPr>
          <w:lang w:val="es-MX"/>
        </w:rPr>
        <w:t>Los procesos medidos por el ICD</w:t>
      </w:r>
      <w:r w:rsidRPr="00796CA6">
        <w:rPr>
          <w:lang w:val="es-MX"/>
        </w:rPr>
        <w:t xml:space="preserve"> debe</w:t>
      </w:r>
      <w:r w:rsidR="00174313" w:rsidRPr="00796CA6">
        <w:rPr>
          <w:lang w:val="es-MX"/>
        </w:rPr>
        <w:t>n</w:t>
      </w:r>
      <w:r w:rsidRPr="00796CA6">
        <w:rPr>
          <w:lang w:val="es-MX"/>
        </w:rPr>
        <w:t xml:space="preserve"> estar dentro del control del </w:t>
      </w:r>
      <w:r w:rsidR="00385998" w:rsidRPr="00796CA6">
        <w:rPr>
          <w:lang w:val="es-MX"/>
        </w:rPr>
        <w:t>AEP</w:t>
      </w:r>
      <w:r w:rsidRPr="00796CA6">
        <w:rPr>
          <w:lang w:val="es-MX"/>
        </w:rPr>
        <w:t>.</w:t>
      </w:r>
    </w:p>
    <w:p w14:paraId="1DD24EEC" w14:textId="77777777" w:rsidR="00E37F10" w:rsidRPr="00796CA6" w:rsidRDefault="0064013C" w:rsidP="00E37F10">
      <w:r w:rsidRPr="00796CA6">
        <w:t>Adicionalmente</w:t>
      </w:r>
      <w:r w:rsidR="00493D8D" w:rsidRPr="00796CA6">
        <w:t xml:space="preserve">, </w:t>
      </w:r>
      <w:r w:rsidR="00E37F10" w:rsidRPr="00796CA6">
        <w:t xml:space="preserve">se debe contemplar que para mantener la utilidad de los ICD, estos deben actualizarse conforme varíen distintos factores. Por ejemplo, es razonable considerar que los </w:t>
      </w:r>
      <w:r w:rsidR="00E37F10" w:rsidRPr="00796CA6">
        <w:lastRenderedPageBreak/>
        <w:t>ICD deben revisarse, de manera enunciativa más no limitativa, cuando se presente alguna de las siguientes situaciones:</w:t>
      </w:r>
    </w:p>
    <w:p w14:paraId="282A6377" w14:textId="77777777" w:rsidR="006F6EA3" w:rsidRPr="00796CA6" w:rsidRDefault="006F6EA3" w:rsidP="006F6EA3">
      <w:pPr>
        <w:pStyle w:val="Prrafodelista"/>
        <w:numPr>
          <w:ilvl w:val="0"/>
          <w:numId w:val="23"/>
        </w:numPr>
      </w:pPr>
      <w:r w:rsidRPr="00796CA6">
        <w:t>Existan cambios en las condiciones de mercado;</w:t>
      </w:r>
    </w:p>
    <w:p w14:paraId="7D369AC0" w14:textId="77777777" w:rsidR="006F6EA3" w:rsidRPr="00796CA6" w:rsidRDefault="006F6EA3" w:rsidP="006F6EA3">
      <w:pPr>
        <w:pStyle w:val="Prrafodelista"/>
        <w:numPr>
          <w:ilvl w:val="0"/>
          <w:numId w:val="23"/>
        </w:numPr>
      </w:pPr>
      <w:r w:rsidRPr="00796CA6">
        <w:t>Se adicionen, modifiquen o eliminen SMR;</w:t>
      </w:r>
    </w:p>
    <w:p w14:paraId="32DBC5BE" w14:textId="77777777" w:rsidR="006F6EA3" w:rsidRPr="00796CA6" w:rsidRDefault="006F6EA3" w:rsidP="006F6EA3">
      <w:pPr>
        <w:pStyle w:val="Prrafodelista"/>
        <w:numPr>
          <w:ilvl w:val="0"/>
          <w:numId w:val="23"/>
        </w:numPr>
      </w:pPr>
      <w:r w:rsidRPr="00796CA6">
        <w:t>Se modifiquen los procesos que conforman el ciclo de provisión de los SMR;</w:t>
      </w:r>
    </w:p>
    <w:p w14:paraId="343DC598" w14:textId="77777777" w:rsidR="006F6EA3" w:rsidRPr="00796CA6" w:rsidRDefault="006F6EA3" w:rsidP="006F6EA3">
      <w:pPr>
        <w:pStyle w:val="Prrafodelista"/>
        <w:numPr>
          <w:ilvl w:val="0"/>
          <w:numId w:val="23"/>
        </w:numPr>
      </w:pPr>
      <w:r w:rsidRPr="00796CA6">
        <w:t>Se modifique la estructura del agente regulado;</w:t>
      </w:r>
    </w:p>
    <w:p w14:paraId="40D21B34" w14:textId="77777777" w:rsidR="006F6EA3" w:rsidRPr="00796CA6" w:rsidRDefault="006F6EA3" w:rsidP="006F6EA3">
      <w:pPr>
        <w:pStyle w:val="Prrafodelista"/>
        <w:numPr>
          <w:ilvl w:val="0"/>
          <w:numId w:val="23"/>
        </w:numPr>
      </w:pPr>
      <w:r w:rsidRPr="00796CA6">
        <w:t>Se identifiquen situaciones relevantes que no son capturadas por los ICD vigentes, o</w:t>
      </w:r>
    </w:p>
    <w:p w14:paraId="576A8290" w14:textId="77777777" w:rsidR="00E37F10" w:rsidRPr="00796CA6" w:rsidRDefault="006F6EA3" w:rsidP="006F6EA3">
      <w:pPr>
        <w:pStyle w:val="Prrafodelista"/>
        <w:numPr>
          <w:ilvl w:val="0"/>
          <w:numId w:val="23"/>
        </w:numPr>
      </w:pPr>
      <w:r w:rsidRPr="00796CA6">
        <w:t>Se detecte un comportamiento estratégico del agente regulado.</w:t>
      </w:r>
    </w:p>
    <w:p w14:paraId="2C1FC500" w14:textId="4709B5A3" w:rsidR="00E37F10" w:rsidRPr="00796CA6" w:rsidRDefault="00E37F10" w:rsidP="00493D8D">
      <w:r w:rsidRPr="00796CA6">
        <w:t xml:space="preserve">Es por ello </w:t>
      </w:r>
      <w:r w:rsidR="00493D8D" w:rsidRPr="00796CA6">
        <w:t xml:space="preserve">que el desarrollo y uso de los </w:t>
      </w:r>
      <w:r w:rsidR="0064013C" w:rsidRPr="00796CA6">
        <w:t xml:space="preserve">ICD </w:t>
      </w:r>
      <w:r w:rsidRPr="00796CA6">
        <w:t xml:space="preserve">debe ser </w:t>
      </w:r>
      <w:r w:rsidR="00493D8D" w:rsidRPr="00796CA6">
        <w:t>dinámico, esto es</w:t>
      </w:r>
      <w:r w:rsidR="0064013C" w:rsidRPr="00796CA6">
        <w:t>,</w:t>
      </w:r>
      <w:r w:rsidR="00493D8D" w:rsidRPr="00796CA6">
        <w:t xml:space="preserve"> </w:t>
      </w:r>
      <w:r w:rsidR="00F277D0" w:rsidRPr="00796CA6">
        <w:t>que de considerarse necesario, puedan eliminarse, modificarse o agregarse nuevos ICD</w:t>
      </w:r>
      <w:r w:rsidRPr="00796CA6">
        <w:t xml:space="preserve">, lo cual </w:t>
      </w:r>
      <w:r w:rsidR="003B3D95" w:rsidRPr="00796CA6">
        <w:t xml:space="preserve"> </w:t>
      </w:r>
      <w:r w:rsidR="00C8513D" w:rsidRPr="00796CA6">
        <w:t>está en línea con la recomendación de la Comisión Europea</w:t>
      </w:r>
      <w:r w:rsidR="00C8513D" w:rsidRPr="00796CA6">
        <w:rPr>
          <w:rStyle w:val="Refdenotaalpie"/>
        </w:rPr>
        <w:footnoteReference w:id="12"/>
      </w:r>
      <w:r w:rsidR="00C8513D" w:rsidRPr="00796CA6">
        <w:t xml:space="preserve"> y la</w:t>
      </w:r>
      <w:r w:rsidRPr="00796CA6">
        <w:t xml:space="preserve"> experiencia internacional</w:t>
      </w:r>
      <w:r w:rsidRPr="00796CA6">
        <w:rPr>
          <w:rStyle w:val="Refdenotaalpie"/>
        </w:rPr>
        <w:footnoteReference w:id="13"/>
      </w:r>
      <w:r w:rsidR="00C8513D" w:rsidRPr="00796CA6">
        <w:rPr>
          <w:lang w:val="es-MX"/>
        </w:rPr>
        <w:t>.</w:t>
      </w:r>
      <w:r w:rsidR="00493D8D" w:rsidRPr="00796CA6">
        <w:t xml:space="preserve"> </w:t>
      </w:r>
    </w:p>
    <w:p w14:paraId="59D5600C" w14:textId="558D82E8" w:rsidR="001429C0" w:rsidRPr="00796CA6" w:rsidRDefault="00493D8D" w:rsidP="00493D8D">
      <w:r w:rsidRPr="00796CA6">
        <w:t>En este sentido,</w:t>
      </w:r>
      <w:r w:rsidR="003B3D95" w:rsidRPr="00796CA6">
        <w:t xml:space="preserve"> </w:t>
      </w:r>
      <w:r w:rsidR="0064013C" w:rsidRPr="00796CA6">
        <w:t>e</w:t>
      </w:r>
      <w:r w:rsidR="003B3D95" w:rsidRPr="00796CA6">
        <w:t>l Instituto considera conveniente</w:t>
      </w:r>
      <w:r w:rsidRPr="00796CA6">
        <w:t xml:space="preserve"> elegir un compendio de </w:t>
      </w:r>
      <w:r w:rsidR="00F277D0" w:rsidRPr="00796CA6">
        <w:t>ICD</w:t>
      </w:r>
      <w:r w:rsidRPr="00796CA6">
        <w:t xml:space="preserve"> reducido pero balanceado</w:t>
      </w:r>
      <w:r w:rsidR="00F277D0" w:rsidRPr="00796CA6">
        <w:t xml:space="preserve"> </w:t>
      </w:r>
      <w:r w:rsidR="0064013C" w:rsidRPr="00796CA6">
        <w:t>que</w:t>
      </w:r>
      <w:r w:rsidRPr="00796CA6">
        <w:t xml:space="preserve"> provea información suficiente para identificar áreas de mejora </w:t>
      </w:r>
      <w:r w:rsidR="0064013C" w:rsidRPr="00796CA6">
        <w:t>en la provisión de los SMR</w:t>
      </w:r>
      <w:r w:rsidR="0072724D" w:rsidRPr="00796CA6">
        <w:t xml:space="preserve"> e indicios de la posible existencia de trato discriminatorio por parte del AEP</w:t>
      </w:r>
      <w:r w:rsidR="0064013C" w:rsidRPr="00796CA6">
        <w:t>.</w:t>
      </w:r>
    </w:p>
    <w:p w14:paraId="50139A6D" w14:textId="77777777" w:rsidR="00C02BC6" w:rsidRPr="00796CA6" w:rsidRDefault="00A440CF" w:rsidP="00A55B39">
      <w:pPr>
        <w:rPr>
          <w:lang w:val="es-MX"/>
        </w:rPr>
      </w:pPr>
      <w:r w:rsidRPr="00796CA6">
        <w:rPr>
          <w:b/>
          <w:lang w:val="es-MX"/>
        </w:rPr>
        <w:t>TERCERO.</w:t>
      </w:r>
      <w:r w:rsidRPr="00796CA6">
        <w:rPr>
          <w:b/>
          <w:lang w:val="es-MX"/>
        </w:rPr>
        <w:tab/>
        <w:t>Medición y Reporte de los Indicadores Clave de Desempeño.</w:t>
      </w:r>
      <w:r w:rsidR="004B578A" w:rsidRPr="00796CA6">
        <w:rPr>
          <w:lang w:val="es-MX"/>
        </w:rPr>
        <w:t xml:space="preserve"> Con el </w:t>
      </w:r>
      <w:r w:rsidR="00C02BC6" w:rsidRPr="00796CA6">
        <w:rPr>
          <w:lang w:val="es-MX"/>
        </w:rPr>
        <w:t>monitoreo periódico de los ICD y la publicación de estos</w:t>
      </w:r>
      <w:r w:rsidR="004B578A" w:rsidRPr="00796CA6">
        <w:rPr>
          <w:lang w:val="es-MX"/>
        </w:rPr>
        <w:t>, se busca</w:t>
      </w:r>
      <w:r w:rsidR="00C02BC6" w:rsidRPr="00796CA6">
        <w:rPr>
          <w:lang w:val="es-MX"/>
        </w:rPr>
        <w:t xml:space="preserve"> </w:t>
      </w:r>
      <w:r w:rsidR="00A574CA" w:rsidRPr="00796CA6">
        <w:rPr>
          <w:lang w:val="es-MX"/>
        </w:rPr>
        <w:t>coadyuvar</w:t>
      </w:r>
      <w:r w:rsidR="00C02BC6" w:rsidRPr="00796CA6">
        <w:rPr>
          <w:lang w:val="es-MX"/>
        </w:rPr>
        <w:t xml:space="preserve"> en la </w:t>
      </w:r>
      <w:r w:rsidR="00C02BC6" w:rsidRPr="00796CA6">
        <w:rPr>
          <w:rStyle w:val="nfasis"/>
          <w:i w:val="0"/>
          <w:lang w:val="es-MX"/>
        </w:rPr>
        <w:t xml:space="preserve">detección oportuna de </w:t>
      </w:r>
      <w:r w:rsidR="00FD3B3A" w:rsidRPr="00796CA6">
        <w:rPr>
          <w:rStyle w:val="nfasis"/>
          <w:i w:val="0"/>
          <w:lang w:val="es-MX"/>
        </w:rPr>
        <w:t xml:space="preserve">posibles </w:t>
      </w:r>
      <w:r w:rsidR="00C02BC6" w:rsidRPr="00796CA6">
        <w:rPr>
          <w:rStyle w:val="nfasis"/>
          <w:i w:val="0"/>
          <w:lang w:val="es-MX"/>
        </w:rPr>
        <w:t>conductas discriminatorias en la provisión de</w:t>
      </w:r>
      <w:r w:rsidR="00BF7C4B" w:rsidRPr="00796CA6">
        <w:rPr>
          <w:rStyle w:val="nfasis"/>
          <w:i w:val="0"/>
          <w:lang w:val="es-MX"/>
        </w:rPr>
        <w:t xml:space="preserve"> los</w:t>
      </w:r>
      <w:r w:rsidR="00C02BC6" w:rsidRPr="00796CA6">
        <w:rPr>
          <w:rStyle w:val="nfasis"/>
          <w:i w:val="0"/>
          <w:lang w:val="es-MX"/>
        </w:rPr>
        <w:t xml:space="preserve"> SMR.</w:t>
      </w:r>
      <w:r w:rsidR="00FD2342" w:rsidRPr="00796CA6">
        <w:rPr>
          <w:lang w:val="es-MX"/>
        </w:rPr>
        <w:t xml:space="preserve"> </w:t>
      </w:r>
      <w:r w:rsidR="004B578A" w:rsidRPr="00796CA6">
        <w:rPr>
          <w:lang w:val="es-MX"/>
        </w:rPr>
        <w:t>Así, l</w:t>
      </w:r>
      <w:r w:rsidR="003B3D95" w:rsidRPr="00796CA6">
        <w:rPr>
          <w:lang w:val="es-MX"/>
        </w:rPr>
        <w:t>a medida</w:t>
      </w:r>
      <w:r w:rsidR="00EB23D1" w:rsidRPr="00796CA6">
        <w:rPr>
          <w:lang w:val="es-MX"/>
        </w:rPr>
        <w:t xml:space="preserve"> </w:t>
      </w:r>
      <w:r w:rsidR="003B3D95" w:rsidRPr="00796CA6">
        <w:rPr>
          <w:lang w:val="es-MX"/>
        </w:rPr>
        <w:t>Septuagésima Octava del Anexo 1</w:t>
      </w:r>
      <w:r w:rsidR="00EB23D1" w:rsidRPr="00796CA6">
        <w:rPr>
          <w:lang w:val="es-MX"/>
        </w:rPr>
        <w:t xml:space="preserve"> </w:t>
      </w:r>
      <w:r w:rsidR="00F277D0" w:rsidRPr="00796CA6">
        <w:rPr>
          <w:lang w:val="es-MX"/>
        </w:rPr>
        <w:t>de la Resolución Bienal 2017</w:t>
      </w:r>
      <w:r w:rsidR="003B3D95" w:rsidRPr="00796CA6">
        <w:rPr>
          <w:lang w:val="es-MX"/>
        </w:rPr>
        <w:t>, establece</w:t>
      </w:r>
      <w:r w:rsidR="00EB23D1" w:rsidRPr="00796CA6">
        <w:rPr>
          <w:lang w:val="es-MX"/>
        </w:rPr>
        <w:t xml:space="preserve"> que el AEP deberá reportar una serie de ICD, distinguiendo entre las operaciones internas y externas bajo los términos, formato</w:t>
      </w:r>
      <w:r w:rsidR="003B3D95" w:rsidRPr="00796CA6">
        <w:rPr>
          <w:lang w:val="es-MX"/>
        </w:rPr>
        <w:t>s y plazos establecidos por el I</w:t>
      </w:r>
      <w:r w:rsidR="00EB23D1" w:rsidRPr="00796CA6">
        <w:rPr>
          <w:lang w:val="es-MX"/>
        </w:rPr>
        <w:t xml:space="preserve">nstituto, </w:t>
      </w:r>
      <w:r w:rsidR="004B578A" w:rsidRPr="00796CA6">
        <w:rPr>
          <w:lang w:val="es-MX"/>
        </w:rPr>
        <w:t>del mismo modo</w:t>
      </w:r>
      <w:r w:rsidR="00EB23D1" w:rsidRPr="00796CA6">
        <w:rPr>
          <w:lang w:val="es-MX"/>
        </w:rPr>
        <w:t>, l</w:t>
      </w:r>
      <w:r w:rsidR="00EA5453" w:rsidRPr="00796CA6">
        <w:rPr>
          <w:lang w:val="es-MX"/>
        </w:rPr>
        <w:t>a medida</w:t>
      </w:r>
      <w:r w:rsidR="003B3D95" w:rsidRPr="00796CA6">
        <w:rPr>
          <w:lang w:val="es-MX"/>
        </w:rPr>
        <w:t xml:space="preserve"> Septuagésima N</w:t>
      </w:r>
      <w:r w:rsidR="00844CF1" w:rsidRPr="00796CA6">
        <w:rPr>
          <w:lang w:val="es-MX"/>
        </w:rPr>
        <w:t>ovena del Anexo 1</w:t>
      </w:r>
      <w:r w:rsidR="00ED728F" w:rsidRPr="00796CA6">
        <w:rPr>
          <w:lang w:val="es-MX"/>
        </w:rPr>
        <w:t xml:space="preserve"> </w:t>
      </w:r>
      <w:r w:rsidR="00F277D0" w:rsidRPr="00796CA6">
        <w:rPr>
          <w:lang w:val="es-MX"/>
        </w:rPr>
        <w:t>de la misma resolución</w:t>
      </w:r>
      <w:r w:rsidR="00ED728F" w:rsidRPr="00796CA6">
        <w:rPr>
          <w:lang w:val="es-MX"/>
        </w:rPr>
        <w:t>, establece</w:t>
      </w:r>
      <w:r w:rsidR="00F277D0" w:rsidRPr="00796CA6">
        <w:rPr>
          <w:lang w:val="es-MX"/>
        </w:rPr>
        <w:t xml:space="preserve"> que el Instituto establecerá</w:t>
      </w:r>
      <w:r w:rsidR="00844CF1" w:rsidRPr="00796CA6">
        <w:rPr>
          <w:lang w:val="es-MX"/>
        </w:rPr>
        <w:t xml:space="preserve"> </w:t>
      </w:r>
      <w:r w:rsidR="00ED728F" w:rsidRPr="00796CA6">
        <w:rPr>
          <w:lang w:val="es-MX"/>
        </w:rPr>
        <w:t xml:space="preserve">un </w:t>
      </w:r>
      <w:r w:rsidR="00844CF1" w:rsidRPr="00796CA6">
        <w:rPr>
          <w:lang w:val="es-MX"/>
        </w:rPr>
        <w:t>grupo de trabajo</w:t>
      </w:r>
      <w:r w:rsidR="00F277D0" w:rsidRPr="00796CA6">
        <w:rPr>
          <w:lang w:val="es-MX"/>
        </w:rPr>
        <w:t>,</w:t>
      </w:r>
      <w:r w:rsidR="00EB23D1" w:rsidRPr="00796CA6">
        <w:rPr>
          <w:lang w:val="es-MX"/>
        </w:rPr>
        <w:t xml:space="preserve"> integrado por miembros del AEP y del Instituto,</w:t>
      </w:r>
      <w:r w:rsidR="00844CF1" w:rsidRPr="00796CA6">
        <w:rPr>
          <w:lang w:val="es-MX"/>
        </w:rPr>
        <w:t xml:space="preserve"> </w:t>
      </w:r>
      <w:r w:rsidR="00EB23D1" w:rsidRPr="00796CA6">
        <w:rPr>
          <w:lang w:val="es-MX"/>
        </w:rPr>
        <w:t xml:space="preserve">con el fin de mejorar la implementación de las medidas </w:t>
      </w:r>
      <w:r w:rsidR="00ED728F" w:rsidRPr="00796CA6">
        <w:rPr>
          <w:lang w:val="es-MX"/>
        </w:rPr>
        <w:t>y que abordará</w:t>
      </w:r>
      <w:r w:rsidR="00F277D0" w:rsidRPr="00796CA6">
        <w:rPr>
          <w:lang w:val="es-MX"/>
        </w:rPr>
        <w:t>,</w:t>
      </w:r>
      <w:r w:rsidR="00EB23D1" w:rsidRPr="00796CA6">
        <w:rPr>
          <w:lang w:val="es-MX"/>
        </w:rPr>
        <w:t xml:space="preserve"> entre otros, la revisión de los reportes de desempeño elaborados con el AEP sobre factores relacionados con los </w:t>
      </w:r>
      <w:r w:rsidR="00C02BC6" w:rsidRPr="00796CA6">
        <w:rPr>
          <w:lang w:val="es-MX"/>
        </w:rPr>
        <w:t>SMR</w:t>
      </w:r>
      <w:r w:rsidR="00EB23D1" w:rsidRPr="00796CA6">
        <w:rPr>
          <w:lang w:val="es-MX"/>
        </w:rPr>
        <w:t>.</w:t>
      </w:r>
      <w:r w:rsidR="00C02BC6" w:rsidRPr="00796CA6">
        <w:rPr>
          <w:lang w:val="es-MX"/>
        </w:rPr>
        <w:t xml:space="preserve"> Por lo tanto, </w:t>
      </w:r>
      <w:r w:rsidR="00A55B39" w:rsidRPr="00796CA6">
        <w:rPr>
          <w:lang w:val="es-MX"/>
        </w:rPr>
        <w:t xml:space="preserve">en </w:t>
      </w:r>
      <w:r w:rsidR="00ED728F" w:rsidRPr="00796CA6">
        <w:rPr>
          <w:lang w:val="es-MX"/>
        </w:rPr>
        <w:t>el</w:t>
      </w:r>
      <w:r w:rsidR="00A55B39" w:rsidRPr="00796CA6">
        <w:rPr>
          <w:lang w:val="es-MX"/>
        </w:rPr>
        <w:t xml:space="preserve"> grupo de trabajo </w:t>
      </w:r>
      <w:r w:rsidR="00FD2342" w:rsidRPr="00796CA6">
        <w:rPr>
          <w:lang w:val="es-MX"/>
        </w:rPr>
        <w:t xml:space="preserve">se revisarán </w:t>
      </w:r>
      <w:r w:rsidR="00A55B39" w:rsidRPr="00796CA6">
        <w:rPr>
          <w:lang w:val="es-MX"/>
        </w:rPr>
        <w:t xml:space="preserve">los reportes </w:t>
      </w:r>
      <w:r w:rsidR="00F277D0" w:rsidRPr="00796CA6">
        <w:rPr>
          <w:lang w:val="es-MX"/>
        </w:rPr>
        <w:t>de</w:t>
      </w:r>
      <w:r w:rsidR="00A55B39" w:rsidRPr="00796CA6">
        <w:rPr>
          <w:lang w:val="es-MX"/>
        </w:rPr>
        <w:t xml:space="preserve"> </w:t>
      </w:r>
      <w:r w:rsidR="00C02BC6" w:rsidRPr="00796CA6">
        <w:rPr>
          <w:lang w:val="es-MX"/>
        </w:rPr>
        <w:t>los ICD</w:t>
      </w:r>
      <w:r w:rsidR="00A55B39" w:rsidRPr="00796CA6">
        <w:rPr>
          <w:lang w:val="es-MX"/>
        </w:rPr>
        <w:t xml:space="preserve"> </w:t>
      </w:r>
      <w:r w:rsidR="00C02BC6" w:rsidRPr="00796CA6">
        <w:rPr>
          <w:lang w:val="es-MX"/>
        </w:rPr>
        <w:t>con el fin de estar en posibilidades de identificar</w:t>
      </w:r>
      <w:r w:rsidR="00BF7C4B" w:rsidRPr="00796CA6">
        <w:rPr>
          <w:lang w:val="es-MX"/>
        </w:rPr>
        <w:t xml:space="preserve"> oportunamente</w:t>
      </w:r>
      <w:r w:rsidR="00C02BC6" w:rsidRPr="00796CA6">
        <w:rPr>
          <w:lang w:val="es-MX"/>
        </w:rPr>
        <w:t xml:space="preserve"> áreas de mejora.</w:t>
      </w:r>
    </w:p>
    <w:p w14:paraId="1B182C9B" w14:textId="77777777" w:rsidR="00243942" w:rsidRPr="00796CA6" w:rsidRDefault="00243942" w:rsidP="00D40D5F">
      <w:pPr>
        <w:pStyle w:val="NormalWeb"/>
        <w:spacing w:before="225" w:beforeAutospacing="0" w:after="225" w:afterAutospacing="0"/>
        <w:jc w:val="both"/>
        <w:rPr>
          <w:rFonts w:ascii="ITC Avant Garde" w:eastAsiaTheme="minorHAnsi" w:hAnsi="ITC Avant Garde" w:cs="Arial"/>
          <w:sz w:val="22"/>
          <w:szCs w:val="22"/>
          <w:lang w:val="es-MX" w:eastAsia="en-US"/>
        </w:rPr>
      </w:pPr>
      <w:r w:rsidRPr="00796CA6">
        <w:rPr>
          <w:rFonts w:ascii="ITC Avant Garde" w:eastAsiaTheme="minorHAnsi" w:hAnsi="ITC Avant Garde" w:cs="Arial"/>
          <w:sz w:val="22"/>
          <w:szCs w:val="22"/>
          <w:lang w:val="es-MX" w:eastAsia="en-US"/>
        </w:rPr>
        <w:lastRenderedPageBreak/>
        <w:t>Con base en las mejores prácticas internacionales</w:t>
      </w:r>
      <w:r w:rsidR="00BF7C4B" w:rsidRPr="00796CA6">
        <w:rPr>
          <w:rStyle w:val="Refdenotaalpie"/>
          <w:rFonts w:ascii="ITC Avant Garde" w:hAnsi="ITC Avant Garde"/>
          <w:sz w:val="22"/>
        </w:rPr>
        <w:footnoteReference w:id="14"/>
      </w:r>
      <w:r w:rsidRPr="00796CA6">
        <w:rPr>
          <w:rFonts w:ascii="ITC Avant Garde" w:eastAsiaTheme="minorHAnsi" w:hAnsi="ITC Avant Garde" w:cs="Arial"/>
          <w:sz w:val="22"/>
          <w:szCs w:val="22"/>
          <w:lang w:val="es-MX" w:eastAsia="en-US"/>
        </w:rPr>
        <w:t xml:space="preserve"> </w:t>
      </w:r>
      <w:r w:rsidR="00C7449B" w:rsidRPr="00796CA6">
        <w:rPr>
          <w:rFonts w:ascii="ITC Avant Garde" w:eastAsiaTheme="minorHAnsi" w:hAnsi="ITC Avant Garde" w:cs="Arial"/>
          <w:sz w:val="22"/>
          <w:szCs w:val="22"/>
          <w:lang w:val="es-MX" w:eastAsia="en-US"/>
        </w:rPr>
        <w:t xml:space="preserve">con </w:t>
      </w:r>
      <w:r w:rsidRPr="00796CA6">
        <w:rPr>
          <w:rFonts w:ascii="ITC Avant Garde" w:eastAsiaTheme="minorHAnsi" w:hAnsi="ITC Avant Garde" w:cs="Arial"/>
          <w:sz w:val="22"/>
          <w:szCs w:val="22"/>
          <w:lang w:val="es-MX" w:eastAsia="en-US"/>
        </w:rPr>
        <w:t xml:space="preserve">los ICD </w:t>
      </w:r>
      <w:r w:rsidR="00C7449B" w:rsidRPr="00796CA6">
        <w:rPr>
          <w:rFonts w:ascii="ITC Avant Garde" w:eastAsiaTheme="minorHAnsi" w:hAnsi="ITC Avant Garde" w:cs="Arial"/>
          <w:sz w:val="22"/>
          <w:szCs w:val="22"/>
          <w:lang w:val="es-MX" w:eastAsia="en-US"/>
        </w:rPr>
        <w:t>se puede</w:t>
      </w:r>
      <w:r w:rsidR="007A4437" w:rsidRPr="00796CA6">
        <w:rPr>
          <w:rFonts w:ascii="ITC Avant Garde" w:eastAsiaTheme="minorHAnsi" w:hAnsi="ITC Avant Garde" w:cs="Arial"/>
          <w:sz w:val="22"/>
          <w:szCs w:val="22"/>
          <w:lang w:val="es-MX" w:eastAsia="en-US"/>
        </w:rPr>
        <w:t xml:space="preserve"> </w:t>
      </w:r>
      <w:r w:rsidR="00FD2342" w:rsidRPr="00796CA6">
        <w:rPr>
          <w:rFonts w:ascii="ITC Avant Garde" w:eastAsiaTheme="minorHAnsi" w:hAnsi="ITC Avant Garde" w:cs="Arial"/>
          <w:sz w:val="22"/>
          <w:szCs w:val="22"/>
          <w:lang w:val="es-MX" w:eastAsia="en-US"/>
        </w:rPr>
        <w:t>medir</w:t>
      </w:r>
      <w:r w:rsidRPr="00796CA6">
        <w:rPr>
          <w:rFonts w:ascii="ITC Avant Garde" w:eastAsiaTheme="minorHAnsi" w:hAnsi="ITC Avant Garde" w:cs="Arial"/>
          <w:sz w:val="22"/>
          <w:szCs w:val="22"/>
          <w:lang w:val="es-MX" w:eastAsia="en-US"/>
        </w:rPr>
        <w:t xml:space="preserve"> el desempeño, en relación </w:t>
      </w:r>
      <w:r w:rsidR="00BF7C4B" w:rsidRPr="00796CA6">
        <w:rPr>
          <w:rFonts w:ascii="ITC Avant Garde" w:eastAsiaTheme="minorHAnsi" w:hAnsi="ITC Avant Garde" w:cs="Arial"/>
          <w:sz w:val="22"/>
          <w:szCs w:val="22"/>
          <w:lang w:val="es-MX" w:eastAsia="en-US"/>
        </w:rPr>
        <w:t xml:space="preserve">con </w:t>
      </w:r>
      <w:r w:rsidRPr="00796CA6">
        <w:rPr>
          <w:rFonts w:ascii="ITC Avant Garde" w:eastAsiaTheme="minorHAnsi" w:hAnsi="ITC Avant Garde" w:cs="Arial"/>
          <w:sz w:val="22"/>
          <w:szCs w:val="22"/>
          <w:lang w:val="es-MX" w:eastAsia="en-US"/>
        </w:rPr>
        <w:t>los siguientes elementos clave en la provisión de SMR:</w:t>
      </w:r>
    </w:p>
    <w:p w14:paraId="0973E418" w14:textId="77777777" w:rsidR="00243942" w:rsidRPr="00796CA6" w:rsidRDefault="00243942" w:rsidP="00423492">
      <w:pPr>
        <w:pStyle w:val="NormalWeb"/>
        <w:numPr>
          <w:ilvl w:val="0"/>
          <w:numId w:val="18"/>
        </w:numPr>
        <w:spacing w:before="0" w:beforeAutospacing="0" w:after="0" w:afterAutospacing="0"/>
        <w:jc w:val="both"/>
        <w:rPr>
          <w:rFonts w:ascii="ITC Avant Garde" w:eastAsiaTheme="minorHAnsi" w:hAnsi="ITC Avant Garde" w:cs="Arial"/>
          <w:sz w:val="22"/>
          <w:szCs w:val="22"/>
          <w:lang w:val="es-MX" w:eastAsia="en-US"/>
        </w:rPr>
      </w:pPr>
      <w:r w:rsidRPr="00796CA6">
        <w:rPr>
          <w:rFonts w:ascii="ITC Avant Garde" w:eastAsiaTheme="minorHAnsi" w:hAnsi="ITC Avant Garde" w:cs="Arial"/>
          <w:sz w:val="22"/>
          <w:szCs w:val="22"/>
          <w:lang w:val="es-MX" w:eastAsia="en-US"/>
        </w:rPr>
        <w:t>Solicitud de Servicios</w:t>
      </w:r>
    </w:p>
    <w:p w14:paraId="3E021F85" w14:textId="77777777" w:rsidR="00243942" w:rsidRPr="00796CA6" w:rsidRDefault="00243942" w:rsidP="00423492">
      <w:pPr>
        <w:pStyle w:val="NormalWeb"/>
        <w:numPr>
          <w:ilvl w:val="0"/>
          <w:numId w:val="18"/>
        </w:numPr>
        <w:spacing w:before="0" w:beforeAutospacing="0" w:after="0" w:afterAutospacing="0"/>
        <w:jc w:val="both"/>
        <w:rPr>
          <w:rFonts w:ascii="ITC Avant Garde" w:eastAsiaTheme="minorHAnsi" w:hAnsi="ITC Avant Garde" w:cs="Arial"/>
          <w:sz w:val="22"/>
          <w:szCs w:val="22"/>
          <w:lang w:val="es-MX" w:eastAsia="en-US"/>
        </w:rPr>
      </w:pPr>
      <w:r w:rsidRPr="00796CA6">
        <w:rPr>
          <w:rFonts w:ascii="ITC Avant Garde" w:eastAsiaTheme="minorHAnsi" w:hAnsi="ITC Avant Garde" w:cs="Arial"/>
          <w:sz w:val="22"/>
          <w:szCs w:val="22"/>
          <w:lang w:val="es-MX" w:eastAsia="en-US"/>
        </w:rPr>
        <w:t>Provisión Efectiva de Servicios</w:t>
      </w:r>
    </w:p>
    <w:p w14:paraId="728010FF" w14:textId="77777777" w:rsidR="00243942" w:rsidRPr="00796CA6" w:rsidRDefault="00876B77" w:rsidP="00423492">
      <w:pPr>
        <w:pStyle w:val="NormalWeb"/>
        <w:numPr>
          <w:ilvl w:val="0"/>
          <w:numId w:val="18"/>
        </w:numPr>
        <w:spacing w:before="0" w:beforeAutospacing="0" w:after="0" w:afterAutospacing="0"/>
        <w:jc w:val="both"/>
        <w:rPr>
          <w:rFonts w:ascii="ITC Avant Garde" w:eastAsiaTheme="minorHAnsi" w:hAnsi="ITC Avant Garde" w:cs="Arial"/>
          <w:sz w:val="22"/>
          <w:szCs w:val="22"/>
          <w:lang w:val="es-MX" w:eastAsia="en-US"/>
        </w:rPr>
      </w:pPr>
      <w:r w:rsidRPr="00796CA6">
        <w:rPr>
          <w:rFonts w:ascii="ITC Avant Garde" w:eastAsiaTheme="minorHAnsi" w:hAnsi="ITC Avant Garde" w:cs="Arial"/>
          <w:sz w:val="22"/>
          <w:szCs w:val="22"/>
          <w:lang w:val="es-MX" w:eastAsia="en-US"/>
        </w:rPr>
        <w:t>Calidad de Servicios</w:t>
      </w:r>
    </w:p>
    <w:p w14:paraId="3619051E" w14:textId="77777777" w:rsidR="00243942" w:rsidRPr="00796CA6" w:rsidRDefault="00243942" w:rsidP="00423492">
      <w:pPr>
        <w:pStyle w:val="NormalWeb"/>
        <w:numPr>
          <w:ilvl w:val="0"/>
          <w:numId w:val="18"/>
        </w:numPr>
        <w:spacing w:before="0" w:beforeAutospacing="0" w:after="0" w:afterAutospacing="0"/>
        <w:jc w:val="both"/>
        <w:rPr>
          <w:rFonts w:ascii="ITC Avant Garde" w:eastAsiaTheme="minorHAnsi" w:hAnsi="ITC Avant Garde" w:cs="Arial"/>
          <w:sz w:val="22"/>
          <w:szCs w:val="22"/>
          <w:lang w:val="es-MX" w:eastAsia="en-US"/>
        </w:rPr>
      </w:pPr>
      <w:r w:rsidRPr="00796CA6">
        <w:rPr>
          <w:rFonts w:ascii="ITC Avant Garde" w:eastAsiaTheme="minorHAnsi" w:hAnsi="ITC Avant Garde" w:cs="Arial"/>
          <w:sz w:val="22"/>
          <w:szCs w:val="22"/>
          <w:lang w:val="es-MX" w:eastAsia="en-US"/>
        </w:rPr>
        <w:t xml:space="preserve">Atención </w:t>
      </w:r>
      <w:r w:rsidR="00876B77" w:rsidRPr="00796CA6">
        <w:rPr>
          <w:rFonts w:ascii="ITC Avant Garde" w:eastAsiaTheme="minorHAnsi" w:hAnsi="ITC Avant Garde" w:cs="Arial"/>
          <w:sz w:val="22"/>
          <w:szCs w:val="22"/>
          <w:lang w:val="es-MX" w:eastAsia="en-US"/>
        </w:rPr>
        <w:t xml:space="preserve">de </w:t>
      </w:r>
      <w:r w:rsidR="00BD6966" w:rsidRPr="00796CA6">
        <w:rPr>
          <w:rFonts w:ascii="ITC Avant Garde" w:eastAsiaTheme="minorHAnsi" w:hAnsi="ITC Avant Garde" w:cs="Arial"/>
          <w:sz w:val="22"/>
          <w:szCs w:val="22"/>
          <w:lang w:val="es-MX" w:eastAsia="en-US"/>
        </w:rPr>
        <w:t>F</w:t>
      </w:r>
      <w:r w:rsidR="00876B77" w:rsidRPr="00796CA6">
        <w:rPr>
          <w:rFonts w:ascii="ITC Avant Garde" w:eastAsiaTheme="minorHAnsi" w:hAnsi="ITC Avant Garde" w:cs="Arial"/>
          <w:sz w:val="22"/>
          <w:szCs w:val="22"/>
          <w:lang w:val="es-MX" w:eastAsia="en-US"/>
        </w:rPr>
        <w:t>allas</w:t>
      </w:r>
    </w:p>
    <w:p w14:paraId="78E61AC0" w14:textId="77777777" w:rsidR="000E7655" w:rsidRPr="00796CA6" w:rsidRDefault="0090349B" w:rsidP="00D40D5F">
      <w:pPr>
        <w:pStyle w:val="NormalWeb"/>
        <w:spacing w:before="225" w:beforeAutospacing="0" w:after="225" w:afterAutospacing="0"/>
        <w:jc w:val="both"/>
        <w:rPr>
          <w:rFonts w:ascii="ITC Avant Garde" w:eastAsiaTheme="minorHAnsi" w:hAnsi="ITC Avant Garde" w:cs="Arial"/>
          <w:sz w:val="22"/>
          <w:szCs w:val="22"/>
          <w:lang w:val="es-MX" w:eastAsia="en-US"/>
        </w:rPr>
      </w:pPr>
      <w:r w:rsidRPr="00796CA6">
        <w:rPr>
          <w:rFonts w:ascii="ITC Avant Garde" w:eastAsiaTheme="minorHAnsi" w:hAnsi="ITC Avant Garde" w:cs="Arial"/>
          <w:sz w:val="22"/>
          <w:szCs w:val="22"/>
          <w:lang w:val="es-MX" w:eastAsia="en-US"/>
        </w:rPr>
        <w:t>Los ICD deben</w:t>
      </w:r>
      <w:r w:rsidR="0097213E" w:rsidRPr="00796CA6">
        <w:rPr>
          <w:rFonts w:ascii="ITC Avant Garde" w:eastAsiaTheme="minorHAnsi" w:hAnsi="ITC Avant Garde" w:cs="Arial"/>
          <w:sz w:val="22"/>
          <w:szCs w:val="22"/>
          <w:lang w:val="es-MX" w:eastAsia="en-US"/>
        </w:rPr>
        <w:t xml:space="preserve"> permitir la comparación entre los servicios provistos</w:t>
      </w:r>
      <w:r w:rsidR="00B66796" w:rsidRPr="00796CA6">
        <w:rPr>
          <w:rFonts w:ascii="ITC Avant Garde" w:eastAsiaTheme="minorHAnsi" w:hAnsi="ITC Avant Garde" w:cs="Arial"/>
          <w:sz w:val="22"/>
          <w:szCs w:val="22"/>
          <w:lang w:val="es-MX" w:eastAsia="en-US"/>
        </w:rPr>
        <w:t xml:space="preserve"> por el AEP a sí mismo y</w:t>
      </w:r>
      <w:r w:rsidR="0097213E" w:rsidRPr="00796CA6">
        <w:rPr>
          <w:rFonts w:ascii="ITC Avant Garde" w:eastAsiaTheme="minorHAnsi" w:hAnsi="ITC Avant Garde" w:cs="Arial"/>
          <w:sz w:val="22"/>
          <w:szCs w:val="22"/>
          <w:lang w:val="es-MX" w:eastAsia="en-US"/>
        </w:rPr>
        <w:t xml:space="preserve"> los provistos a otros operadores</w:t>
      </w:r>
      <w:r w:rsidR="00F11D7F" w:rsidRPr="00796CA6">
        <w:rPr>
          <w:rFonts w:ascii="ITC Avant Garde" w:eastAsiaTheme="minorHAnsi" w:hAnsi="ITC Avant Garde" w:cs="Arial"/>
          <w:sz w:val="22"/>
          <w:szCs w:val="22"/>
          <w:lang w:val="es-MX" w:eastAsia="en-US"/>
        </w:rPr>
        <w:t xml:space="preserve"> a fin de identificar áreas de mejora</w:t>
      </w:r>
      <w:r w:rsidR="000B1492" w:rsidRPr="00796CA6">
        <w:rPr>
          <w:rFonts w:ascii="ITC Avant Garde" w:eastAsiaTheme="minorHAnsi" w:hAnsi="ITC Avant Garde" w:cs="Arial"/>
          <w:sz w:val="22"/>
          <w:szCs w:val="22"/>
          <w:lang w:val="es-MX" w:eastAsia="en-US"/>
        </w:rPr>
        <w:t>, además de constituir un insumo para las acciones de verificación que realice el Instituto respecto de la equivalencia de insumos que el AEP debe prestar a todos los concesionarios que le requieran SMR</w:t>
      </w:r>
      <w:r w:rsidR="0097213E" w:rsidRPr="00796CA6">
        <w:rPr>
          <w:rFonts w:ascii="ITC Avant Garde" w:eastAsiaTheme="minorHAnsi" w:hAnsi="ITC Avant Garde" w:cs="Arial"/>
          <w:sz w:val="22"/>
          <w:szCs w:val="22"/>
          <w:lang w:val="es-MX" w:eastAsia="en-US"/>
        </w:rPr>
        <w:t>.</w:t>
      </w:r>
      <w:r w:rsidR="00747B6A" w:rsidRPr="00796CA6">
        <w:rPr>
          <w:rFonts w:ascii="ITC Avant Garde" w:eastAsiaTheme="minorHAnsi" w:hAnsi="ITC Avant Garde" w:cs="Arial"/>
          <w:sz w:val="22"/>
          <w:szCs w:val="22"/>
          <w:lang w:val="es-MX" w:eastAsia="en-US"/>
        </w:rPr>
        <w:t xml:space="preserve"> </w:t>
      </w:r>
    </w:p>
    <w:p w14:paraId="2E9D2333" w14:textId="77777777" w:rsidR="00D40D5F" w:rsidRPr="00796CA6" w:rsidRDefault="008410B3" w:rsidP="004F7E64">
      <w:pPr>
        <w:pStyle w:val="NormalWeb"/>
        <w:spacing w:before="225" w:beforeAutospacing="0" w:after="225" w:afterAutospacing="0"/>
        <w:jc w:val="both"/>
        <w:rPr>
          <w:rFonts w:ascii="ITC Avant Garde" w:eastAsiaTheme="minorHAnsi" w:hAnsi="ITC Avant Garde" w:cs="Arial"/>
          <w:sz w:val="22"/>
          <w:szCs w:val="22"/>
          <w:lang w:val="es-MX" w:eastAsia="en-US"/>
        </w:rPr>
      </w:pPr>
      <w:r w:rsidRPr="00796CA6">
        <w:rPr>
          <w:rFonts w:ascii="ITC Avant Garde" w:eastAsiaTheme="minorHAnsi" w:hAnsi="ITC Avant Garde" w:cs="Arial"/>
          <w:sz w:val="22"/>
          <w:szCs w:val="22"/>
          <w:lang w:val="es-MX" w:eastAsia="en-US"/>
        </w:rPr>
        <w:t xml:space="preserve">Para </w:t>
      </w:r>
      <w:r w:rsidR="00DA0F5D" w:rsidRPr="00796CA6">
        <w:rPr>
          <w:rFonts w:ascii="ITC Avant Garde" w:eastAsiaTheme="minorHAnsi" w:hAnsi="ITC Avant Garde" w:cs="Arial"/>
          <w:sz w:val="22"/>
          <w:szCs w:val="22"/>
          <w:lang w:val="es-MX" w:eastAsia="en-US"/>
        </w:rPr>
        <w:t>valorar</w:t>
      </w:r>
      <w:r w:rsidRPr="00796CA6">
        <w:rPr>
          <w:rFonts w:ascii="ITC Avant Garde" w:eastAsiaTheme="minorHAnsi" w:hAnsi="ITC Avant Garde" w:cs="Arial"/>
          <w:sz w:val="22"/>
          <w:szCs w:val="22"/>
          <w:lang w:val="es-MX" w:eastAsia="en-US"/>
        </w:rPr>
        <w:t xml:space="preserve"> </w:t>
      </w:r>
      <w:r w:rsidR="000E7655" w:rsidRPr="00796CA6">
        <w:rPr>
          <w:rFonts w:ascii="ITC Avant Garde" w:eastAsiaTheme="minorHAnsi" w:hAnsi="ITC Avant Garde" w:cs="Arial"/>
          <w:sz w:val="22"/>
          <w:szCs w:val="22"/>
          <w:lang w:val="es-MX" w:eastAsia="en-US"/>
        </w:rPr>
        <w:t>los ICD</w:t>
      </w:r>
      <w:r w:rsidRPr="00796CA6">
        <w:rPr>
          <w:rFonts w:ascii="ITC Avant Garde" w:eastAsiaTheme="minorHAnsi" w:hAnsi="ITC Avant Garde" w:cs="Arial"/>
          <w:sz w:val="22"/>
          <w:szCs w:val="22"/>
          <w:lang w:val="es-MX" w:eastAsia="en-US"/>
        </w:rPr>
        <w:t xml:space="preserve">, </w:t>
      </w:r>
      <w:r w:rsidR="000E7655" w:rsidRPr="00796CA6">
        <w:rPr>
          <w:rFonts w:ascii="ITC Avant Garde" w:eastAsiaTheme="minorHAnsi" w:hAnsi="ITC Avant Garde" w:cs="Arial"/>
          <w:sz w:val="22"/>
          <w:szCs w:val="22"/>
          <w:lang w:val="es-MX" w:eastAsia="en-US"/>
        </w:rPr>
        <w:t xml:space="preserve">el Instituto </w:t>
      </w:r>
      <w:r w:rsidR="00DA0F5D" w:rsidRPr="00796CA6">
        <w:rPr>
          <w:rFonts w:ascii="ITC Avant Garde" w:eastAsiaTheme="minorHAnsi" w:hAnsi="ITC Avant Garde" w:cs="Arial"/>
          <w:sz w:val="22"/>
          <w:szCs w:val="22"/>
          <w:lang w:val="es-MX" w:eastAsia="en-US"/>
        </w:rPr>
        <w:t>consideró</w:t>
      </w:r>
      <w:r w:rsidR="000E7655" w:rsidRPr="00796CA6">
        <w:rPr>
          <w:rFonts w:ascii="ITC Avant Garde" w:eastAsiaTheme="minorHAnsi" w:hAnsi="ITC Avant Garde" w:cs="Arial"/>
          <w:sz w:val="22"/>
          <w:szCs w:val="22"/>
          <w:lang w:val="es-MX" w:eastAsia="en-US"/>
        </w:rPr>
        <w:t xml:space="preserve"> diferentes metodologías</w:t>
      </w:r>
      <w:r w:rsidR="004F7E64" w:rsidRPr="00796CA6">
        <w:rPr>
          <w:rFonts w:ascii="ITC Avant Garde" w:eastAsiaTheme="minorHAnsi" w:hAnsi="ITC Avant Garde" w:cs="Arial"/>
          <w:sz w:val="22"/>
          <w:szCs w:val="22"/>
          <w:lang w:val="es-MX" w:eastAsia="en-US"/>
        </w:rPr>
        <w:t>,</w:t>
      </w:r>
      <w:r w:rsidR="000E7655" w:rsidRPr="00796CA6">
        <w:rPr>
          <w:rFonts w:ascii="ITC Avant Garde" w:eastAsiaTheme="minorHAnsi" w:hAnsi="ITC Avant Garde" w:cs="Arial"/>
          <w:sz w:val="22"/>
          <w:szCs w:val="22"/>
          <w:lang w:val="es-MX" w:eastAsia="en-US"/>
        </w:rPr>
        <w:t xml:space="preserve"> </w:t>
      </w:r>
      <w:r w:rsidR="00B66796" w:rsidRPr="00796CA6">
        <w:rPr>
          <w:rFonts w:ascii="ITC Avant Garde" w:eastAsiaTheme="minorHAnsi" w:hAnsi="ITC Avant Garde" w:cs="Arial"/>
          <w:sz w:val="22"/>
          <w:szCs w:val="22"/>
          <w:lang w:val="es-MX" w:eastAsia="en-US"/>
        </w:rPr>
        <w:t>dependiendo</w:t>
      </w:r>
      <w:r w:rsidR="00ED728F" w:rsidRPr="00796CA6">
        <w:rPr>
          <w:rFonts w:ascii="ITC Avant Garde" w:eastAsiaTheme="minorHAnsi" w:hAnsi="ITC Avant Garde" w:cs="Arial"/>
          <w:sz w:val="22"/>
          <w:szCs w:val="22"/>
          <w:lang w:val="es-MX" w:eastAsia="en-US"/>
        </w:rPr>
        <w:t xml:space="preserve"> </w:t>
      </w:r>
      <w:r w:rsidR="00747B6A" w:rsidRPr="00796CA6">
        <w:rPr>
          <w:rFonts w:ascii="ITC Avant Garde" w:eastAsiaTheme="minorHAnsi" w:hAnsi="ITC Avant Garde" w:cs="Arial"/>
          <w:sz w:val="22"/>
          <w:szCs w:val="22"/>
          <w:lang w:val="es-MX" w:eastAsia="en-US"/>
        </w:rPr>
        <w:t>del tipo</w:t>
      </w:r>
      <w:r w:rsidR="00DA0F5D" w:rsidRPr="00796CA6">
        <w:rPr>
          <w:rFonts w:ascii="ITC Avant Garde" w:eastAsiaTheme="minorHAnsi" w:hAnsi="ITC Avant Garde" w:cs="Arial"/>
          <w:sz w:val="22"/>
          <w:szCs w:val="22"/>
          <w:lang w:val="es-MX" w:eastAsia="en-US"/>
        </w:rPr>
        <w:t xml:space="preserve"> de datos</w:t>
      </w:r>
      <w:r w:rsidR="004F7E64" w:rsidRPr="00796CA6">
        <w:rPr>
          <w:rFonts w:ascii="ITC Avant Garde" w:eastAsiaTheme="minorHAnsi" w:hAnsi="ITC Avant Garde" w:cs="Arial"/>
          <w:sz w:val="22"/>
          <w:szCs w:val="22"/>
          <w:lang w:val="es-MX" w:eastAsia="en-US"/>
        </w:rPr>
        <w:t>,</w:t>
      </w:r>
      <w:r w:rsidR="00747B6A" w:rsidRPr="00796CA6">
        <w:rPr>
          <w:rFonts w:ascii="ITC Avant Garde" w:eastAsiaTheme="minorHAnsi" w:hAnsi="ITC Avant Garde" w:cs="Arial"/>
          <w:sz w:val="22"/>
          <w:szCs w:val="22"/>
          <w:lang w:val="es-MX" w:eastAsia="en-US"/>
        </w:rPr>
        <w:t xml:space="preserve"> volumen de datos</w:t>
      </w:r>
      <w:r w:rsidR="00B66796" w:rsidRPr="00796CA6">
        <w:rPr>
          <w:rFonts w:ascii="ITC Avant Garde" w:eastAsiaTheme="minorHAnsi" w:hAnsi="ITC Avant Garde" w:cs="Arial"/>
          <w:sz w:val="22"/>
          <w:szCs w:val="22"/>
          <w:lang w:val="es-MX" w:eastAsia="en-US"/>
        </w:rPr>
        <w:t xml:space="preserve"> </w:t>
      </w:r>
      <w:r w:rsidR="004F7E64" w:rsidRPr="00796CA6">
        <w:rPr>
          <w:rFonts w:ascii="ITC Avant Garde" w:eastAsiaTheme="minorHAnsi" w:hAnsi="ITC Avant Garde" w:cs="Arial"/>
          <w:sz w:val="22"/>
          <w:szCs w:val="22"/>
          <w:lang w:val="es-MX" w:eastAsia="en-US"/>
        </w:rPr>
        <w:t>y confianza estadística</w:t>
      </w:r>
      <w:r w:rsidR="000E7655" w:rsidRPr="00796CA6">
        <w:rPr>
          <w:rFonts w:ascii="ITC Avant Garde" w:eastAsiaTheme="minorHAnsi" w:hAnsi="ITC Avant Garde" w:cs="Arial"/>
          <w:sz w:val="22"/>
          <w:szCs w:val="22"/>
          <w:lang w:val="es-MX" w:eastAsia="en-US"/>
        </w:rPr>
        <w:t xml:space="preserve">. </w:t>
      </w:r>
      <w:r w:rsidR="00DA0F5D" w:rsidRPr="00796CA6">
        <w:rPr>
          <w:rFonts w:ascii="ITC Avant Garde" w:eastAsiaTheme="minorHAnsi" w:hAnsi="ITC Avant Garde" w:cs="Arial"/>
          <w:sz w:val="22"/>
          <w:szCs w:val="22"/>
          <w:lang w:val="es-MX" w:eastAsia="en-US"/>
        </w:rPr>
        <w:t>A continuación se describe la valoración de ICD utilizando tres de estas metodologías:</w:t>
      </w:r>
    </w:p>
    <w:p w14:paraId="5D5C2149" w14:textId="7B473F8F" w:rsidR="00D40D5F" w:rsidRPr="00796CA6" w:rsidRDefault="00D40D5F" w:rsidP="00423492">
      <w:pPr>
        <w:pStyle w:val="NormalWeb"/>
        <w:numPr>
          <w:ilvl w:val="0"/>
          <w:numId w:val="17"/>
        </w:numPr>
        <w:spacing w:before="225" w:beforeAutospacing="0" w:after="225" w:afterAutospacing="0"/>
        <w:jc w:val="both"/>
        <w:rPr>
          <w:rFonts w:ascii="ITC Avant Garde" w:hAnsi="ITC Avant Garde" w:cs="Arial"/>
          <w:sz w:val="22"/>
          <w:szCs w:val="22"/>
        </w:rPr>
      </w:pPr>
      <w:r w:rsidRPr="00796CA6">
        <w:rPr>
          <w:rFonts w:ascii="ITC Avant Garde" w:hAnsi="ITC Avant Garde" w:cs="Arial"/>
          <w:sz w:val="22"/>
          <w:szCs w:val="22"/>
        </w:rPr>
        <w:t xml:space="preserve">Prueba Z. La </w:t>
      </w:r>
      <w:r w:rsidR="008C7F6A" w:rsidRPr="00796CA6">
        <w:rPr>
          <w:rFonts w:ascii="ITC Avant Garde" w:hAnsi="ITC Avant Garde" w:cs="Arial"/>
          <w:sz w:val="22"/>
          <w:szCs w:val="22"/>
        </w:rPr>
        <w:t xml:space="preserve">prueba Z </w:t>
      </w:r>
      <w:r w:rsidR="005103AD" w:rsidRPr="00796CA6">
        <w:rPr>
          <w:rFonts w:ascii="ITC Avant Garde" w:hAnsi="ITC Avant Garde" w:cs="Arial"/>
          <w:sz w:val="22"/>
          <w:szCs w:val="22"/>
        </w:rPr>
        <w:t xml:space="preserve">es una </w:t>
      </w:r>
      <w:r w:rsidR="00FB66C8" w:rsidRPr="00796CA6">
        <w:rPr>
          <w:rFonts w:ascii="ITC Avant Garde" w:hAnsi="ITC Avant Garde" w:cs="Arial"/>
          <w:sz w:val="22"/>
          <w:szCs w:val="22"/>
        </w:rPr>
        <w:t xml:space="preserve">prueba estadística </w:t>
      </w:r>
      <w:r w:rsidR="005103AD" w:rsidRPr="00796CA6">
        <w:rPr>
          <w:rFonts w:ascii="ITC Avant Garde" w:hAnsi="ITC Avant Garde" w:cs="Arial"/>
          <w:sz w:val="22"/>
          <w:szCs w:val="22"/>
        </w:rPr>
        <w:t xml:space="preserve">que permite determinar la diferencia </w:t>
      </w:r>
      <w:r w:rsidR="002657AE" w:rsidRPr="00796CA6">
        <w:rPr>
          <w:rFonts w:ascii="ITC Avant Garde" w:hAnsi="ITC Avant Garde" w:cs="Arial"/>
          <w:sz w:val="22"/>
          <w:szCs w:val="22"/>
        </w:rPr>
        <w:t xml:space="preserve">estadística </w:t>
      </w:r>
      <w:r w:rsidR="005103AD" w:rsidRPr="00796CA6">
        <w:rPr>
          <w:rFonts w:ascii="ITC Avant Garde" w:hAnsi="ITC Avant Garde" w:cs="Arial"/>
          <w:sz w:val="22"/>
          <w:szCs w:val="22"/>
        </w:rPr>
        <w:t>en la provisión de SMR entre servicios internos y externos, con un determinado grado de confianza estadística. U</w:t>
      </w:r>
      <w:r w:rsidR="008C7F6A" w:rsidRPr="00796CA6">
        <w:rPr>
          <w:rFonts w:ascii="ITC Avant Garde" w:hAnsi="ITC Avant Garde" w:cs="Arial"/>
          <w:sz w:val="22"/>
          <w:szCs w:val="22"/>
        </w:rPr>
        <w:t>tiliza</w:t>
      </w:r>
      <w:r w:rsidRPr="00796CA6">
        <w:rPr>
          <w:rFonts w:ascii="ITC Avant Garde" w:hAnsi="ITC Avant Garde" w:cs="Arial"/>
          <w:sz w:val="22"/>
          <w:szCs w:val="22"/>
        </w:rPr>
        <w:t xml:space="preserve"> una distribución normal </w:t>
      </w:r>
      <w:r w:rsidR="002657AE" w:rsidRPr="00796CA6">
        <w:rPr>
          <w:rFonts w:ascii="ITC Avant Garde" w:hAnsi="ITC Avant Garde" w:cs="Arial"/>
          <w:sz w:val="22"/>
          <w:szCs w:val="22"/>
        </w:rPr>
        <w:t xml:space="preserve">estándar </w:t>
      </w:r>
      <w:r w:rsidRPr="00796CA6">
        <w:rPr>
          <w:rFonts w:ascii="ITC Avant Garde" w:hAnsi="ITC Avant Garde" w:cs="Arial"/>
          <w:sz w:val="22"/>
          <w:szCs w:val="22"/>
        </w:rPr>
        <w:t>de probabilidades</w:t>
      </w:r>
      <w:r w:rsidRPr="00796CA6">
        <w:rPr>
          <w:rStyle w:val="Refdenotaalpie"/>
          <w:rFonts w:ascii="ITC Avant Garde" w:hAnsi="ITC Avant Garde"/>
          <w:sz w:val="22"/>
          <w:szCs w:val="22"/>
        </w:rPr>
        <w:footnoteReference w:id="15"/>
      </w:r>
      <w:r w:rsidRPr="00796CA6">
        <w:rPr>
          <w:rFonts w:ascii="ITC Avant Garde" w:hAnsi="ITC Avant Garde" w:cs="Arial"/>
          <w:sz w:val="22"/>
          <w:szCs w:val="22"/>
        </w:rPr>
        <w:t xml:space="preserve">, útil para describir la provisión de servicios mayoristas de telecomunicaciones, para determinar </w:t>
      </w:r>
      <w:r w:rsidR="00D114E0" w:rsidRPr="00796CA6">
        <w:rPr>
          <w:rFonts w:ascii="ITC Avant Garde" w:hAnsi="ITC Avant Garde" w:cs="Arial"/>
          <w:sz w:val="22"/>
          <w:szCs w:val="22"/>
        </w:rPr>
        <w:t xml:space="preserve">la zona en la que existan </w:t>
      </w:r>
      <w:r w:rsidRPr="00796CA6">
        <w:rPr>
          <w:rFonts w:ascii="ITC Avant Garde" w:hAnsi="ITC Avant Garde" w:cs="Arial"/>
          <w:sz w:val="22"/>
          <w:szCs w:val="22"/>
        </w:rPr>
        <w:t xml:space="preserve">diferencias </w:t>
      </w:r>
      <w:r w:rsidR="00D114E0" w:rsidRPr="00796CA6">
        <w:rPr>
          <w:rFonts w:ascii="ITC Avant Garde" w:hAnsi="ITC Avant Garde" w:cs="Arial"/>
          <w:sz w:val="22"/>
          <w:szCs w:val="22"/>
        </w:rPr>
        <w:t>en</w:t>
      </w:r>
      <w:r w:rsidRPr="00796CA6">
        <w:rPr>
          <w:rFonts w:ascii="ITC Avant Garde" w:hAnsi="ITC Avant Garde" w:cs="Arial"/>
          <w:sz w:val="22"/>
          <w:szCs w:val="22"/>
        </w:rPr>
        <w:t xml:space="preserve"> la provisión de lo</w:t>
      </w:r>
      <w:r w:rsidR="005103AD" w:rsidRPr="00796CA6">
        <w:rPr>
          <w:rFonts w:ascii="ITC Avant Garde" w:hAnsi="ITC Avant Garde" w:cs="Arial"/>
          <w:sz w:val="22"/>
          <w:szCs w:val="22"/>
        </w:rPr>
        <w:t>s servicios internos y externos</w:t>
      </w:r>
      <w:r w:rsidRPr="00796CA6">
        <w:rPr>
          <w:rFonts w:ascii="ITC Avant Garde" w:hAnsi="ITC Avant Garde" w:cs="Arial"/>
          <w:sz w:val="22"/>
          <w:szCs w:val="22"/>
        </w:rPr>
        <w:t xml:space="preserve">. Realizar esta prueba resulta más </w:t>
      </w:r>
      <w:r w:rsidR="00FB66C8" w:rsidRPr="00796CA6">
        <w:rPr>
          <w:rFonts w:ascii="ITC Avant Garde" w:hAnsi="ITC Avant Garde" w:cs="Arial"/>
          <w:sz w:val="22"/>
          <w:szCs w:val="22"/>
        </w:rPr>
        <w:t>adecuado</w:t>
      </w:r>
      <w:r w:rsidRPr="00796CA6">
        <w:rPr>
          <w:rFonts w:ascii="ITC Avant Garde" w:hAnsi="ITC Avant Garde" w:cs="Arial"/>
          <w:sz w:val="22"/>
          <w:szCs w:val="22"/>
        </w:rPr>
        <w:t xml:space="preserve"> que </w:t>
      </w:r>
      <w:r w:rsidR="00FB66C8" w:rsidRPr="00796CA6">
        <w:rPr>
          <w:rFonts w:ascii="ITC Avant Garde" w:hAnsi="ITC Avant Garde" w:cs="Arial"/>
          <w:sz w:val="22"/>
          <w:szCs w:val="22"/>
        </w:rPr>
        <w:t xml:space="preserve">simplemente </w:t>
      </w:r>
      <w:r w:rsidRPr="00796CA6">
        <w:rPr>
          <w:rFonts w:ascii="ITC Avant Garde" w:hAnsi="ITC Avant Garde" w:cs="Arial"/>
          <w:sz w:val="22"/>
          <w:szCs w:val="22"/>
        </w:rPr>
        <w:t xml:space="preserve">analizar </w:t>
      </w:r>
      <w:r w:rsidR="002657AE" w:rsidRPr="00796CA6">
        <w:rPr>
          <w:rFonts w:ascii="ITC Avant Garde" w:hAnsi="ITC Avant Garde" w:cs="Arial"/>
          <w:sz w:val="22"/>
          <w:szCs w:val="22"/>
        </w:rPr>
        <w:t>datos en bruto</w:t>
      </w:r>
      <w:r w:rsidRPr="00796CA6">
        <w:rPr>
          <w:rFonts w:ascii="ITC Avant Garde" w:hAnsi="ITC Avant Garde" w:cs="Arial"/>
          <w:sz w:val="22"/>
          <w:szCs w:val="22"/>
        </w:rPr>
        <w:t xml:space="preserve">, en donde no se prueba que las diferencias sean estadísticamente significativas. </w:t>
      </w:r>
    </w:p>
    <w:p w14:paraId="3275CB7B" w14:textId="7BB2DC5F" w:rsidR="00D114E0" w:rsidRPr="00796CA6" w:rsidRDefault="00D40D5F" w:rsidP="00E93CA5">
      <w:pPr>
        <w:pStyle w:val="NormalWeb"/>
        <w:spacing w:before="225" w:after="225"/>
        <w:ind w:left="720"/>
        <w:jc w:val="both"/>
        <w:rPr>
          <w:rFonts w:ascii="ITC Avant Garde" w:hAnsi="ITC Avant Garde" w:cs="Arial"/>
          <w:sz w:val="22"/>
          <w:szCs w:val="22"/>
        </w:rPr>
      </w:pPr>
      <w:r w:rsidRPr="00796CA6">
        <w:rPr>
          <w:rFonts w:ascii="ITC Avant Garde" w:hAnsi="ITC Avant Garde" w:cs="Arial"/>
          <w:sz w:val="22"/>
          <w:szCs w:val="22"/>
        </w:rPr>
        <w:t xml:space="preserve">El estadístico Z, </w:t>
      </w:r>
      <w:r w:rsidR="00FB66C8" w:rsidRPr="00796CA6">
        <w:rPr>
          <w:rFonts w:ascii="ITC Avant Garde" w:hAnsi="ITC Avant Garde" w:cs="Arial"/>
          <w:sz w:val="22"/>
          <w:szCs w:val="22"/>
        </w:rPr>
        <w:t xml:space="preserve">que es un </w:t>
      </w:r>
      <w:r w:rsidR="00F378A1" w:rsidRPr="00796CA6">
        <w:rPr>
          <w:rFonts w:ascii="ITC Avant Garde" w:hAnsi="ITC Avant Garde" w:cs="Arial"/>
          <w:sz w:val="22"/>
          <w:szCs w:val="22"/>
        </w:rPr>
        <w:t>valor que se calcula a partir de los datos disponibles</w:t>
      </w:r>
      <w:r w:rsidR="00D114E0" w:rsidRPr="00796CA6">
        <w:rPr>
          <w:rFonts w:ascii="ITC Avant Garde" w:hAnsi="ITC Avant Garde" w:cs="Arial"/>
          <w:sz w:val="22"/>
          <w:szCs w:val="22"/>
        </w:rPr>
        <w:t xml:space="preserve">, </w:t>
      </w:r>
      <w:r w:rsidRPr="00796CA6">
        <w:rPr>
          <w:rFonts w:ascii="ITC Avant Garde" w:hAnsi="ITC Avant Garde" w:cs="Arial"/>
          <w:sz w:val="22"/>
          <w:szCs w:val="22"/>
        </w:rPr>
        <w:t xml:space="preserve">se </w:t>
      </w:r>
      <w:r w:rsidR="00160CE7" w:rsidRPr="00796CA6">
        <w:rPr>
          <w:rFonts w:ascii="ITC Avant Garde" w:hAnsi="ITC Avant Garde" w:cs="Arial"/>
          <w:sz w:val="22"/>
          <w:szCs w:val="22"/>
        </w:rPr>
        <w:t xml:space="preserve">puede </w:t>
      </w:r>
      <w:r w:rsidRPr="00796CA6">
        <w:rPr>
          <w:rFonts w:ascii="ITC Avant Garde" w:hAnsi="ITC Avant Garde" w:cs="Arial"/>
          <w:sz w:val="22"/>
          <w:szCs w:val="22"/>
        </w:rPr>
        <w:t>grafica</w:t>
      </w:r>
      <w:r w:rsidR="00160CE7" w:rsidRPr="00796CA6">
        <w:rPr>
          <w:rFonts w:ascii="ITC Avant Garde" w:hAnsi="ITC Avant Garde" w:cs="Arial"/>
          <w:sz w:val="22"/>
          <w:szCs w:val="22"/>
        </w:rPr>
        <w:t>r</w:t>
      </w:r>
      <w:r w:rsidRPr="00796CA6">
        <w:rPr>
          <w:rFonts w:ascii="ITC Avant Garde" w:hAnsi="ITC Avant Garde" w:cs="Arial"/>
          <w:sz w:val="22"/>
          <w:szCs w:val="22"/>
        </w:rPr>
        <w:t xml:space="preserve"> y</w:t>
      </w:r>
      <w:r w:rsidR="008C7F6A" w:rsidRPr="00796CA6">
        <w:rPr>
          <w:rFonts w:ascii="ITC Avant Garde" w:hAnsi="ITC Avant Garde" w:cs="Arial"/>
          <w:sz w:val="22"/>
          <w:szCs w:val="22"/>
        </w:rPr>
        <w:t>,</w:t>
      </w:r>
      <w:r w:rsidRPr="00796CA6">
        <w:rPr>
          <w:rFonts w:ascii="ITC Avant Garde" w:hAnsi="ITC Avant Garde" w:cs="Arial"/>
          <w:sz w:val="22"/>
          <w:szCs w:val="22"/>
        </w:rPr>
        <w:t xml:space="preserve"> si dicho estadístico cae en la zona de aceptación</w:t>
      </w:r>
      <w:r w:rsidRPr="00796CA6">
        <w:rPr>
          <w:rStyle w:val="Refdenotaalpie"/>
          <w:rFonts w:ascii="ITC Avant Garde" w:hAnsi="ITC Avant Garde"/>
        </w:rPr>
        <w:footnoteReference w:id="16"/>
      </w:r>
      <w:r w:rsidRPr="00796CA6">
        <w:rPr>
          <w:rFonts w:ascii="ITC Avant Garde" w:hAnsi="ITC Avant Garde" w:cs="Arial"/>
          <w:sz w:val="22"/>
          <w:szCs w:val="22"/>
        </w:rPr>
        <w:t>,</w:t>
      </w:r>
      <w:r w:rsidR="00160CE7" w:rsidRPr="00796CA6">
        <w:rPr>
          <w:rFonts w:ascii="ITC Avant Garde" w:hAnsi="ITC Avant Garde" w:cs="Arial"/>
          <w:sz w:val="22"/>
          <w:szCs w:val="22"/>
        </w:rPr>
        <w:t xml:space="preserve"> que para el caso de esta prueba siempre se tienen los mismos límites de aceptación para el nivel de confianza que se determine,</w:t>
      </w:r>
      <w:r w:rsidRPr="00796CA6">
        <w:rPr>
          <w:rFonts w:ascii="ITC Avant Garde" w:hAnsi="ITC Avant Garde" w:cs="Arial"/>
          <w:sz w:val="22"/>
          <w:szCs w:val="22"/>
        </w:rPr>
        <w:t xml:space="preserve"> se puede </w:t>
      </w:r>
      <w:r w:rsidR="00D114E0" w:rsidRPr="00796CA6">
        <w:rPr>
          <w:rFonts w:ascii="ITC Avant Garde" w:hAnsi="ITC Avant Garde" w:cs="Arial"/>
          <w:sz w:val="22"/>
          <w:szCs w:val="22"/>
        </w:rPr>
        <w:t>considerar</w:t>
      </w:r>
      <w:r w:rsidRPr="00796CA6">
        <w:rPr>
          <w:rFonts w:ascii="ITC Avant Garde" w:hAnsi="ITC Avant Garde" w:cs="Arial"/>
          <w:sz w:val="22"/>
          <w:szCs w:val="22"/>
        </w:rPr>
        <w:t xml:space="preserve"> que la provisión</w:t>
      </w:r>
      <w:r w:rsidR="00D114E0" w:rsidRPr="00796CA6">
        <w:rPr>
          <w:rFonts w:ascii="ITC Avant Garde" w:hAnsi="ITC Avant Garde" w:cs="Arial"/>
          <w:sz w:val="22"/>
          <w:szCs w:val="22"/>
        </w:rPr>
        <w:t xml:space="preserve"> global</w:t>
      </w:r>
      <w:r w:rsidRPr="00796CA6">
        <w:rPr>
          <w:rFonts w:ascii="ITC Avant Garde" w:hAnsi="ITC Avant Garde" w:cs="Arial"/>
          <w:sz w:val="22"/>
          <w:szCs w:val="22"/>
        </w:rPr>
        <w:t xml:space="preserve"> de servicios internos y externos no es </w:t>
      </w:r>
      <w:r w:rsidR="0041295A" w:rsidRPr="00796CA6">
        <w:rPr>
          <w:rFonts w:ascii="ITC Avant Garde" w:hAnsi="ITC Avant Garde" w:cs="Arial"/>
          <w:sz w:val="22"/>
          <w:szCs w:val="22"/>
        </w:rPr>
        <w:t xml:space="preserve">estadísticamente </w:t>
      </w:r>
      <w:r w:rsidRPr="00796CA6">
        <w:rPr>
          <w:rFonts w:ascii="ITC Avant Garde" w:hAnsi="ITC Avant Garde" w:cs="Arial"/>
          <w:sz w:val="22"/>
          <w:szCs w:val="22"/>
        </w:rPr>
        <w:t>diferente. Si por el contrario, dicho estadístico cae fuera de la zona de aceptación</w:t>
      </w:r>
      <w:r w:rsidR="00D114E0" w:rsidRPr="00796CA6">
        <w:rPr>
          <w:rFonts w:ascii="ITC Avant Garde" w:hAnsi="ITC Avant Garde" w:cs="Arial"/>
          <w:sz w:val="22"/>
          <w:szCs w:val="22"/>
        </w:rPr>
        <w:t>, se puede considerar</w:t>
      </w:r>
      <w:r w:rsidRPr="00796CA6">
        <w:rPr>
          <w:rFonts w:ascii="ITC Avant Garde" w:hAnsi="ITC Avant Garde" w:cs="Arial"/>
          <w:sz w:val="22"/>
          <w:szCs w:val="22"/>
        </w:rPr>
        <w:t xml:space="preserve"> que la provisión </w:t>
      </w:r>
      <w:r w:rsidR="00D114E0" w:rsidRPr="00796CA6">
        <w:rPr>
          <w:rFonts w:ascii="ITC Avant Garde" w:hAnsi="ITC Avant Garde" w:cs="Arial"/>
          <w:sz w:val="22"/>
          <w:szCs w:val="22"/>
        </w:rPr>
        <w:t>global</w:t>
      </w:r>
      <w:r w:rsidR="002657AE" w:rsidRPr="00796CA6">
        <w:rPr>
          <w:rFonts w:ascii="ITC Avant Garde" w:hAnsi="ITC Avant Garde" w:cs="Arial"/>
          <w:sz w:val="22"/>
          <w:szCs w:val="22"/>
        </w:rPr>
        <w:t xml:space="preserve"> interna y externa</w:t>
      </w:r>
      <w:r w:rsidR="00D114E0" w:rsidRPr="00796CA6">
        <w:rPr>
          <w:rFonts w:ascii="ITC Avant Garde" w:hAnsi="ITC Avant Garde" w:cs="Arial"/>
          <w:sz w:val="22"/>
          <w:szCs w:val="22"/>
        </w:rPr>
        <w:t xml:space="preserve"> de</w:t>
      </w:r>
      <w:r w:rsidR="002657AE" w:rsidRPr="00796CA6">
        <w:rPr>
          <w:rFonts w:ascii="ITC Avant Garde" w:hAnsi="ITC Avant Garde" w:cs="Arial"/>
          <w:sz w:val="22"/>
          <w:szCs w:val="22"/>
        </w:rPr>
        <w:t xml:space="preserve"> </w:t>
      </w:r>
      <w:r w:rsidR="00D114E0" w:rsidRPr="00796CA6">
        <w:rPr>
          <w:rFonts w:ascii="ITC Avant Garde" w:hAnsi="ITC Avant Garde" w:cs="Arial"/>
          <w:sz w:val="22"/>
          <w:szCs w:val="22"/>
        </w:rPr>
        <w:t>l</w:t>
      </w:r>
      <w:r w:rsidR="002657AE" w:rsidRPr="00796CA6">
        <w:rPr>
          <w:rFonts w:ascii="ITC Avant Garde" w:hAnsi="ITC Avant Garde" w:cs="Arial"/>
          <w:sz w:val="22"/>
          <w:szCs w:val="22"/>
        </w:rPr>
        <w:t>os</w:t>
      </w:r>
      <w:r w:rsidR="00D114E0" w:rsidRPr="00796CA6">
        <w:rPr>
          <w:rFonts w:ascii="ITC Avant Garde" w:hAnsi="ITC Avant Garde" w:cs="Arial"/>
          <w:sz w:val="22"/>
          <w:szCs w:val="22"/>
        </w:rPr>
        <w:t xml:space="preserve"> SMR evaluado</w:t>
      </w:r>
      <w:r w:rsidR="002657AE" w:rsidRPr="00796CA6">
        <w:rPr>
          <w:rFonts w:ascii="ITC Avant Garde" w:hAnsi="ITC Avant Garde" w:cs="Arial"/>
          <w:sz w:val="22"/>
          <w:szCs w:val="22"/>
        </w:rPr>
        <w:t>s</w:t>
      </w:r>
      <w:r w:rsidR="00D114E0" w:rsidRPr="00796CA6">
        <w:rPr>
          <w:rFonts w:ascii="ITC Avant Garde" w:hAnsi="ITC Avant Garde" w:cs="Arial"/>
          <w:sz w:val="22"/>
          <w:szCs w:val="22"/>
        </w:rPr>
        <w:t xml:space="preserve"> es distinta y </w:t>
      </w:r>
      <w:r w:rsidRPr="00796CA6">
        <w:rPr>
          <w:rFonts w:ascii="ITC Avant Garde" w:hAnsi="ITC Avant Garde" w:cs="Arial"/>
          <w:sz w:val="22"/>
          <w:szCs w:val="22"/>
        </w:rPr>
        <w:t>que</w:t>
      </w:r>
      <w:r w:rsidR="00D114E0" w:rsidRPr="00796CA6">
        <w:rPr>
          <w:rFonts w:ascii="ITC Avant Garde" w:hAnsi="ITC Avant Garde" w:cs="Arial"/>
          <w:sz w:val="22"/>
          <w:szCs w:val="22"/>
        </w:rPr>
        <w:t>,</w:t>
      </w:r>
      <w:r w:rsidRPr="00796CA6">
        <w:rPr>
          <w:rFonts w:ascii="ITC Avant Garde" w:hAnsi="ITC Avant Garde" w:cs="Arial"/>
          <w:sz w:val="22"/>
          <w:szCs w:val="22"/>
        </w:rPr>
        <w:t xml:space="preserve"> </w:t>
      </w:r>
      <w:r w:rsidR="0041295A" w:rsidRPr="00796CA6">
        <w:rPr>
          <w:rFonts w:ascii="ITC Avant Garde" w:hAnsi="ITC Avant Garde" w:cs="Arial"/>
          <w:sz w:val="22"/>
          <w:szCs w:val="22"/>
        </w:rPr>
        <w:t xml:space="preserve">por lo tanto, es una señal sobre </w:t>
      </w:r>
      <w:r w:rsidR="0041295A" w:rsidRPr="00796CA6">
        <w:rPr>
          <w:rFonts w:ascii="ITC Avant Garde" w:hAnsi="ITC Avant Garde" w:cs="Arial"/>
          <w:sz w:val="22"/>
          <w:szCs w:val="22"/>
        </w:rPr>
        <w:lastRenderedPageBreak/>
        <w:t>la posible existencia de discriminación, pero que para su determinación final se requiere mayor información cuantitativa o cualitativa.</w:t>
      </w:r>
    </w:p>
    <w:p w14:paraId="6C0BFEFA" w14:textId="4FEC5980" w:rsidR="00D40D5F" w:rsidRPr="00796CA6" w:rsidRDefault="00D40D5F" w:rsidP="00D40D5F">
      <w:pPr>
        <w:pStyle w:val="NormalWeb"/>
        <w:spacing w:before="225" w:after="225"/>
        <w:ind w:left="720"/>
        <w:jc w:val="both"/>
        <w:rPr>
          <w:rFonts w:ascii="ITC Avant Garde" w:hAnsi="ITC Avant Garde" w:cs="Arial"/>
          <w:sz w:val="22"/>
          <w:szCs w:val="22"/>
        </w:rPr>
      </w:pPr>
      <w:r w:rsidRPr="00796CA6">
        <w:rPr>
          <w:rFonts w:ascii="ITC Avant Garde" w:hAnsi="ITC Avant Garde" w:cs="Arial"/>
          <w:sz w:val="22"/>
          <w:szCs w:val="22"/>
        </w:rPr>
        <w:t xml:space="preserve">Las pruebas Z únicamente son confiables cuando hay suficiente información para que la distribución normal sea calculada de manera adecuada. En la práctica, se considera que </w:t>
      </w:r>
      <w:r w:rsidR="002657AE" w:rsidRPr="00796CA6">
        <w:rPr>
          <w:rFonts w:ascii="ITC Avant Garde" w:hAnsi="ITC Avant Garde" w:cs="Arial"/>
          <w:sz w:val="22"/>
          <w:szCs w:val="22"/>
        </w:rPr>
        <w:t xml:space="preserve">más de </w:t>
      </w:r>
      <w:r w:rsidRPr="00796CA6">
        <w:rPr>
          <w:rFonts w:ascii="ITC Avant Garde" w:hAnsi="ITC Avant Garde" w:cs="Arial"/>
          <w:sz w:val="22"/>
          <w:szCs w:val="22"/>
        </w:rPr>
        <w:t>30</w:t>
      </w:r>
      <w:r w:rsidR="0072724D" w:rsidRPr="00796CA6">
        <w:rPr>
          <w:rFonts w:ascii="ITC Avant Garde" w:hAnsi="ITC Avant Garde" w:cs="Arial"/>
          <w:sz w:val="22"/>
          <w:szCs w:val="22"/>
        </w:rPr>
        <w:t xml:space="preserve"> observaciones</w:t>
      </w:r>
      <w:r w:rsidRPr="00796CA6">
        <w:rPr>
          <w:rStyle w:val="Refdenotaalpie"/>
          <w:rFonts w:ascii="ITC Avant Garde" w:hAnsi="ITC Avant Garde"/>
        </w:rPr>
        <w:footnoteReference w:id="17"/>
      </w:r>
      <w:r w:rsidRPr="00796CA6">
        <w:rPr>
          <w:rFonts w:ascii="ITC Avant Garde" w:hAnsi="ITC Avant Garde" w:cs="Arial"/>
          <w:sz w:val="22"/>
          <w:szCs w:val="22"/>
        </w:rPr>
        <w:t xml:space="preserve"> son suficientes para poder utilizar de manera adecuada la prueba Z. Cabe señalar que la aplicación de esta prueba presupone independencia estadística, es decir, </w:t>
      </w:r>
      <w:r w:rsidR="006262C6" w:rsidRPr="00796CA6">
        <w:rPr>
          <w:rFonts w:ascii="ITC Avant Garde" w:hAnsi="ITC Avant Garde" w:cs="Arial"/>
          <w:sz w:val="22"/>
          <w:szCs w:val="22"/>
        </w:rPr>
        <w:t xml:space="preserve">que el comportamiento estadístico de una variable no se ve afectado por los valores que toma otra variable, en este caso, se </w:t>
      </w:r>
      <w:r w:rsidR="0041295A" w:rsidRPr="00796CA6">
        <w:rPr>
          <w:rFonts w:ascii="ITC Avant Garde" w:hAnsi="ITC Avant Garde" w:cs="Arial"/>
          <w:sz w:val="22"/>
          <w:szCs w:val="22"/>
        </w:rPr>
        <w:t xml:space="preserve">asume </w:t>
      </w:r>
      <w:r w:rsidR="006262C6" w:rsidRPr="00796CA6">
        <w:rPr>
          <w:rFonts w:ascii="ITC Avant Garde" w:hAnsi="ITC Avant Garde" w:cs="Arial"/>
          <w:sz w:val="22"/>
          <w:szCs w:val="22"/>
        </w:rPr>
        <w:t xml:space="preserve">que </w:t>
      </w:r>
      <w:r w:rsidRPr="00796CA6">
        <w:rPr>
          <w:rFonts w:ascii="ITC Avant Garde" w:hAnsi="ITC Avant Garde" w:cs="Arial"/>
          <w:sz w:val="22"/>
          <w:szCs w:val="22"/>
        </w:rPr>
        <w:t>la provisión de servicios externos no depende de la provisión de servicios internos.</w:t>
      </w:r>
    </w:p>
    <w:p w14:paraId="2341C019" w14:textId="77777777" w:rsidR="00E93CA5" w:rsidRPr="00796CA6" w:rsidRDefault="00F329E6" w:rsidP="00D40D5F">
      <w:pPr>
        <w:pStyle w:val="NormalWeb"/>
        <w:spacing w:before="225" w:after="225"/>
        <w:ind w:left="720"/>
        <w:jc w:val="both"/>
        <w:rPr>
          <w:rFonts w:ascii="ITC Avant Garde" w:hAnsi="ITC Avant Garde" w:cs="Arial"/>
          <w:sz w:val="22"/>
          <w:szCs w:val="22"/>
        </w:rPr>
      </w:pPr>
      <w:r w:rsidRPr="00796CA6">
        <w:rPr>
          <w:rFonts w:ascii="ITC Avant Garde" w:hAnsi="ITC Avant Garde" w:cs="Arial"/>
          <w:sz w:val="22"/>
          <w:szCs w:val="22"/>
        </w:rPr>
        <w:t>Cabe destacar que, e</w:t>
      </w:r>
      <w:r w:rsidR="00E93CA5" w:rsidRPr="00796CA6">
        <w:rPr>
          <w:rFonts w:ascii="ITC Avant Garde" w:hAnsi="ITC Avant Garde" w:cs="Arial"/>
          <w:sz w:val="22"/>
          <w:szCs w:val="22"/>
        </w:rPr>
        <w:t>n el entorno internacional, BT</w:t>
      </w:r>
      <w:r w:rsidR="007A4437" w:rsidRPr="00796CA6">
        <w:rPr>
          <w:rStyle w:val="Refdenotaalpie"/>
          <w:rFonts w:ascii="ITC Avant Garde" w:hAnsi="ITC Avant Garde"/>
          <w:sz w:val="22"/>
        </w:rPr>
        <w:footnoteReference w:id="18"/>
      </w:r>
      <w:r w:rsidR="00E93CA5" w:rsidRPr="00796CA6">
        <w:rPr>
          <w:rFonts w:ascii="ITC Avant Garde" w:hAnsi="ITC Avant Garde" w:cs="Arial"/>
          <w:sz w:val="22"/>
          <w:szCs w:val="22"/>
        </w:rPr>
        <w:t xml:space="preserve"> utiliza la prueba Z para elaborar sus reportes de desempeño y determinar si en las diferencias que puedan presentarse en la prestación de los servicios que se provee a sí mismo y los servicios que provee a otros operadores se deben a variaciones aleatorias. </w:t>
      </w:r>
    </w:p>
    <w:p w14:paraId="2C733B8D" w14:textId="77777777" w:rsidR="00D40D5F" w:rsidRPr="00796CA6" w:rsidRDefault="00D40D5F" w:rsidP="00423492">
      <w:pPr>
        <w:pStyle w:val="NormalWeb"/>
        <w:numPr>
          <w:ilvl w:val="0"/>
          <w:numId w:val="16"/>
        </w:numPr>
        <w:spacing w:before="225" w:after="225"/>
        <w:jc w:val="both"/>
        <w:rPr>
          <w:rFonts w:ascii="ITC Avant Garde" w:hAnsi="ITC Avant Garde" w:cs="Arial"/>
          <w:sz w:val="22"/>
          <w:szCs w:val="22"/>
        </w:rPr>
      </w:pPr>
      <w:r w:rsidRPr="00796CA6">
        <w:rPr>
          <w:rFonts w:ascii="ITC Avant Garde" w:hAnsi="ITC Avant Garde" w:cs="Arial"/>
          <w:sz w:val="22"/>
          <w:szCs w:val="22"/>
        </w:rPr>
        <w:t xml:space="preserve">Prueba T. Metodológicamente, la realización e interpretación de esta prueba es muy similar a la de la prueba Z. De hecho, cuando se tienen más de 30 observaciones de interés, los resultados son muy parecidos a los de una prueba Z. La diferencia radica en que la prueba T presupone que las varianzas poblacionales son desconocidas, supuesto que se supera en la realidad ya que al tener acceso a todas las observaciones de interés, las varianzas sí son conocidas. </w:t>
      </w:r>
    </w:p>
    <w:p w14:paraId="5BC05A1A" w14:textId="3932527A" w:rsidR="00D40D5F" w:rsidRPr="00796CA6" w:rsidRDefault="00D40D5F" w:rsidP="00D40D5F">
      <w:pPr>
        <w:pStyle w:val="NormalWeb"/>
        <w:spacing w:before="225" w:after="225"/>
        <w:ind w:left="720"/>
        <w:jc w:val="both"/>
        <w:rPr>
          <w:rFonts w:ascii="ITC Avant Garde" w:hAnsi="ITC Avant Garde" w:cs="Arial"/>
          <w:sz w:val="22"/>
          <w:szCs w:val="22"/>
        </w:rPr>
      </w:pPr>
      <w:r w:rsidRPr="00796CA6">
        <w:rPr>
          <w:rFonts w:ascii="ITC Avant Garde" w:hAnsi="ITC Avant Garde" w:cs="Arial"/>
          <w:sz w:val="22"/>
          <w:szCs w:val="22"/>
        </w:rPr>
        <w:t xml:space="preserve">Sin embargo, la prueba T </w:t>
      </w:r>
      <w:r w:rsidR="0041295A" w:rsidRPr="00796CA6">
        <w:rPr>
          <w:rFonts w:ascii="ITC Avant Garde" w:hAnsi="ITC Avant Garde" w:cs="Arial"/>
          <w:sz w:val="22"/>
          <w:szCs w:val="22"/>
        </w:rPr>
        <w:t xml:space="preserve">tiene </w:t>
      </w:r>
      <w:r w:rsidRPr="00796CA6">
        <w:rPr>
          <w:rFonts w:ascii="ITC Avant Garde" w:hAnsi="ITC Avant Garde" w:cs="Arial"/>
          <w:sz w:val="22"/>
          <w:szCs w:val="22"/>
        </w:rPr>
        <w:t xml:space="preserve">una ventaja práctica muy relevante. Los resultados son válidos aún para situaciones en las que hay menos de 30 observaciones de interés. Es decir, si en la provisión de un servicio mayorista el AEP tan solo provee 30 o menos servicios en el periodo de interés (un mes, por ejemplo) la prueba T permite asegurar con un determinado porcentaje de confianza que la provisión de servicios internos y externos es o no </w:t>
      </w:r>
      <w:r w:rsidR="0041295A" w:rsidRPr="00796CA6">
        <w:rPr>
          <w:rFonts w:ascii="ITC Avant Garde" w:hAnsi="ITC Avant Garde" w:cs="Arial"/>
          <w:sz w:val="22"/>
          <w:szCs w:val="22"/>
        </w:rPr>
        <w:t xml:space="preserve">estadísticamente </w:t>
      </w:r>
      <w:r w:rsidRPr="00796CA6">
        <w:rPr>
          <w:rFonts w:ascii="ITC Avant Garde" w:hAnsi="ITC Avant Garde" w:cs="Arial"/>
          <w:sz w:val="22"/>
          <w:szCs w:val="22"/>
        </w:rPr>
        <w:t>diferente.</w:t>
      </w:r>
    </w:p>
    <w:p w14:paraId="7D4D7507" w14:textId="77777777" w:rsidR="00D40D5F" w:rsidRPr="00796CA6" w:rsidRDefault="006262C6" w:rsidP="00D40D5F">
      <w:pPr>
        <w:pStyle w:val="NormalWeb"/>
        <w:spacing w:before="225" w:after="225"/>
        <w:ind w:left="720"/>
        <w:jc w:val="both"/>
        <w:rPr>
          <w:rFonts w:ascii="ITC Avant Garde" w:hAnsi="ITC Avant Garde" w:cs="Arial"/>
          <w:sz w:val="22"/>
          <w:szCs w:val="22"/>
        </w:rPr>
      </w:pPr>
      <w:r w:rsidRPr="00796CA6">
        <w:rPr>
          <w:rFonts w:ascii="ITC Avant Garde" w:hAnsi="ITC Avant Garde" w:cs="Arial"/>
          <w:sz w:val="22"/>
          <w:szCs w:val="22"/>
        </w:rPr>
        <w:t>No obstante, p</w:t>
      </w:r>
      <w:r w:rsidR="00D40D5F" w:rsidRPr="00796CA6">
        <w:rPr>
          <w:rFonts w:ascii="ITC Avant Garde" w:hAnsi="ITC Avant Garde" w:cs="Arial"/>
          <w:sz w:val="22"/>
          <w:szCs w:val="22"/>
        </w:rPr>
        <w:t>ara poder funcionar con menos de 30 observaciones la prueba T necesita grados de libertad</w:t>
      </w:r>
      <w:r w:rsidR="00D40D5F" w:rsidRPr="00796CA6">
        <w:rPr>
          <w:rStyle w:val="Refdenotaalpie"/>
          <w:rFonts w:ascii="ITC Avant Garde" w:hAnsi="ITC Avant Garde"/>
        </w:rPr>
        <w:footnoteReference w:id="19"/>
      </w:r>
      <w:r w:rsidR="00D40D5F" w:rsidRPr="00796CA6">
        <w:rPr>
          <w:rFonts w:ascii="ITC Avant Garde" w:hAnsi="ITC Avant Garde" w:cs="Arial"/>
          <w:sz w:val="22"/>
          <w:szCs w:val="22"/>
        </w:rPr>
        <w:t>. La utilización de dichos grados impacta en el hecho de que los límites de aceptación dependerán de manera directa del número de observaciones de interés que haya en el periodo de inter</w:t>
      </w:r>
      <w:r w:rsidR="00D64C00" w:rsidRPr="00796CA6">
        <w:rPr>
          <w:rFonts w:ascii="ITC Avant Garde" w:hAnsi="ITC Avant Garde" w:cs="Arial"/>
          <w:sz w:val="22"/>
          <w:szCs w:val="22"/>
        </w:rPr>
        <w:t>és</w:t>
      </w:r>
      <w:r w:rsidR="00D40D5F" w:rsidRPr="00796CA6">
        <w:rPr>
          <w:rFonts w:ascii="ITC Avant Garde" w:hAnsi="ITC Avant Garde" w:cs="Arial"/>
          <w:sz w:val="22"/>
          <w:szCs w:val="22"/>
        </w:rPr>
        <w:t>.</w:t>
      </w:r>
    </w:p>
    <w:p w14:paraId="1F8F88BA" w14:textId="77777777" w:rsidR="00D40D5F" w:rsidRPr="00796CA6" w:rsidRDefault="00D40D5F" w:rsidP="00423492">
      <w:pPr>
        <w:pStyle w:val="NormalWeb"/>
        <w:numPr>
          <w:ilvl w:val="0"/>
          <w:numId w:val="16"/>
        </w:numPr>
        <w:spacing w:before="225" w:after="225"/>
        <w:jc w:val="both"/>
        <w:rPr>
          <w:rFonts w:ascii="ITC Avant Garde" w:hAnsi="ITC Avant Garde" w:cs="Arial"/>
          <w:sz w:val="22"/>
          <w:szCs w:val="22"/>
        </w:rPr>
      </w:pPr>
      <w:r w:rsidRPr="00796CA6">
        <w:rPr>
          <w:rFonts w:ascii="ITC Avant Garde" w:hAnsi="ITC Avant Garde" w:cs="Arial"/>
          <w:sz w:val="22"/>
          <w:szCs w:val="22"/>
        </w:rPr>
        <w:lastRenderedPageBreak/>
        <w:t xml:space="preserve">Análisis de </w:t>
      </w:r>
      <w:r w:rsidR="00D64C00" w:rsidRPr="00796CA6">
        <w:rPr>
          <w:rFonts w:ascii="ITC Avant Garde" w:hAnsi="ITC Avant Garde" w:cs="Arial"/>
          <w:sz w:val="22"/>
          <w:szCs w:val="22"/>
        </w:rPr>
        <w:t>promedios simples</w:t>
      </w:r>
      <w:r w:rsidRPr="00796CA6">
        <w:rPr>
          <w:rFonts w:ascii="ITC Avant Garde" w:hAnsi="ITC Avant Garde" w:cs="Arial"/>
          <w:sz w:val="22"/>
          <w:szCs w:val="22"/>
        </w:rPr>
        <w:t>. Cuando las observaciones de interés son menores a 30, además de la prueba T, también puede realizarse un análisis de l</w:t>
      </w:r>
      <w:r w:rsidR="00D64C00" w:rsidRPr="00796CA6">
        <w:rPr>
          <w:rFonts w:ascii="ITC Avant Garde" w:hAnsi="ITC Avant Garde" w:cs="Arial"/>
          <w:sz w:val="22"/>
          <w:szCs w:val="22"/>
        </w:rPr>
        <w:t>os datos</w:t>
      </w:r>
      <w:r w:rsidRPr="00796CA6">
        <w:rPr>
          <w:rFonts w:ascii="ITC Avant Garde" w:hAnsi="ITC Avant Garde" w:cs="Arial"/>
          <w:sz w:val="22"/>
          <w:szCs w:val="22"/>
        </w:rPr>
        <w:t xml:space="preserve"> </w:t>
      </w:r>
      <w:r w:rsidR="0090497A" w:rsidRPr="00796CA6">
        <w:rPr>
          <w:rFonts w:ascii="ITC Avant Garde" w:hAnsi="ITC Avant Garde" w:cs="Arial"/>
          <w:sz w:val="22"/>
          <w:szCs w:val="22"/>
        </w:rPr>
        <w:t>en crudo</w:t>
      </w:r>
      <w:r w:rsidRPr="00796CA6">
        <w:rPr>
          <w:rFonts w:ascii="ITC Avant Garde" w:hAnsi="ITC Avant Garde" w:cs="Arial"/>
          <w:sz w:val="22"/>
          <w:szCs w:val="22"/>
        </w:rPr>
        <w:t xml:space="preserve">, es decir, comparar </w:t>
      </w:r>
      <w:r w:rsidR="00D64C00" w:rsidRPr="00796CA6">
        <w:rPr>
          <w:rFonts w:ascii="ITC Avant Garde" w:hAnsi="ITC Avant Garde" w:cs="Arial"/>
          <w:sz w:val="22"/>
          <w:szCs w:val="22"/>
        </w:rPr>
        <w:t>los promedios</w:t>
      </w:r>
      <w:r w:rsidRPr="00796CA6">
        <w:rPr>
          <w:rFonts w:ascii="ITC Avant Garde" w:hAnsi="ITC Avant Garde" w:cs="Arial"/>
          <w:sz w:val="22"/>
          <w:szCs w:val="22"/>
        </w:rPr>
        <w:t xml:space="preserve"> de los grupos de interés (servicios provistos interna y externamente) considerando las desviaciones estándar de cada grupo. En este caso, el indicador de interés sería </w:t>
      </w:r>
      <w:r w:rsidR="00D64C00" w:rsidRPr="00796CA6">
        <w:rPr>
          <w:rFonts w:ascii="ITC Avant Garde" w:hAnsi="ITC Avant Garde" w:cs="Arial"/>
          <w:sz w:val="22"/>
          <w:szCs w:val="22"/>
        </w:rPr>
        <w:t>el promedio</w:t>
      </w:r>
      <w:r w:rsidRPr="00796CA6">
        <w:rPr>
          <w:rFonts w:ascii="ITC Avant Garde" w:hAnsi="ITC Avant Garde" w:cs="Arial"/>
          <w:sz w:val="22"/>
          <w:szCs w:val="22"/>
        </w:rPr>
        <w:t xml:space="preserve"> para la provisión de servicios externos y el parámetro de comparación </w:t>
      </w:r>
      <w:r w:rsidR="005542A1" w:rsidRPr="00796CA6">
        <w:rPr>
          <w:rFonts w:ascii="ITC Avant Garde" w:hAnsi="ITC Avant Garde" w:cs="Arial"/>
          <w:sz w:val="22"/>
          <w:szCs w:val="22"/>
        </w:rPr>
        <w:t xml:space="preserve">sería </w:t>
      </w:r>
      <w:r w:rsidR="00D64C00" w:rsidRPr="00796CA6">
        <w:rPr>
          <w:rFonts w:ascii="ITC Avant Garde" w:hAnsi="ITC Avant Garde" w:cs="Arial"/>
          <w:sz w:val="22"/>
          <w:szCs w:val="22"/>
        </w:rPr>
        <w:t>el promedio</w:t>
      </w:r>
      <w:r w:rsidRPr="00796CA6">
        <w:rPr>
          <w:rFonts w:ascii="ITC Avant Garde" w:hAnsi="ITC Avant Garde" w:cs="Arial"/>
          <w:sz w:val="22"/>
          <w:szCs w:val="22"/>
        </w:rPr>
        <w:t xml:space="preserve"> para la provisión de servicios internos.</w:t>
      </w:r>
    </w:p>
    <w:p w14:paraId="607D12B9" w14:textId="77777777" w:rsidR="002168C9" w:rsidRPr="00796CA6" w:rsidRDefault="00D40D5F" w:rsidP="0090349B">
      <w:pPr>
        <w:pStyle w:val="NormalWeb"/>
        <w:spacing w:before="225" w:after="225"/>
        <w:ind w:left="720"/>
        <w:jc w:val="both"/>
        <w:rPr>
          <w:rFonts w:ascii="ITC Avant Garde" w:hAnsi="ITC Avant Garde" w:cs="Arial"/>
          <w:sz w:val="22"/>
          <w:szCs w:val="22"/>
        </w:rPr>
      </w:pPr>
      <w:r w:rsidRPr="00796CA6">
        <w:rPr>
          <w:rFonts w:ascii="ITC Avant Garde" w:hAnsi="ITC Avant Garde" w:cs="Arial"/>
          <w:sz w:val="22"/>
          <w:szCs w:val="22"/>
        </w:rPr>
        <w:t xml:space="preserve">La desventaja de analizar los </w:t>
      </w:r>
      <w:r w:rsidR="00805D9D" w:rsidRPr="00796CA6">
        <w:rPr>
          <w:rFonts w:ascii="ITC Avant Garde" w:hAnsi="ITC Avant Garde" w:cs="Arial"/>
          <w:sz w:val="22"/>
          <w:szCs w:val="22"/>
        </w:rPr>
        <w:t>ICD</w:t>
      </w:r>
      <w:r w:rsidRPr="00796CA6">
        <w:rPr>
          <w:rFonts w:ascii="ITC Avant Garde" w:hAnsi="ITC Avant Garde" w:cs="Arial"/>
          <w:sz w:val="22"/>
          <w:szCs w:val="22"/>
        </w:rPr>
        <w:t xml:space="preserve"> de esta manera es que no se prueba que las diferencias sean estadísticamente significativas. En este sentido, esta metodología de análisis de la información podría ser mejor cuando se pretende realizar un análisis detallado de cada observación de interés.</w:t>
      </w:r>
    </w:p>
    <w:p w14:paraId="3944242A" w14:textId="77777777" w:rsidR="00D245D0" w:rsidRPr="00796CA6" w:rsidRDefault="006D66BB" w:rsidP="00D40D5F">
      <w:pPr>
        <w:pStyle w:val="NormalWeb"/>
        <w:spacing w:before="225" w:beforeAutospacing="0" w:after="225" w:afterAutospacing="0"/>
        <w:jc w:val="both"/>
        <w:rPr>
          <w:rFonts w:ascii="ITC Avant Garde" w:hAnsi="ITC Avant Garde" w:cs="Arial"/>
          <w:sz w:val="22"/>
          <w:szCs w:val="22"/>
        </w:rPr>
      </w:pPr>
      <w:r w:rsidRPr="00796CA6">
        <w:rPr>
          <w:rFonts w:ascii="ITC Avant Garde" w:hAnsi="ITC Avant Garde" w:cs="Arial"/>
          <w:sz w:val="22"/>
          <w:szCs w:val="22"/>
        </w:rPr>
        <w:t>Por lo anterior</w:t>
      </w:r>
      <w:r w:rsidR="00805D9D" w:rsidRPr="00796CA6">
        <w:rPr>
          <w:rFonts w:ascii="ITC Avant Garde" w:hAnsi="ITC Avant Garde" w:cs="Arial"/>
          <w:sz w:val="22"/>
          <w:szCs w:val="22"/>
        </w:rPr>
        <w:t>mente expuesto</w:t>
      </w:r>
      <w:r w:rsidRPr="00796CA6">
        <w:rPr>
          <w:rFonts w:ascii="ITC Avant Garde" w:hAnsi="ITC Avant Garde" w:cs="Arial"/>
          <w:sz w:val="22"/>
          <w:szCs w:val="22"/>
        </w:rPr>
        <w:t>, y d</w:t>
      </w:r>
      <w:r w:rsidR="0090497A" w:rsidRPr="00796CA6">
        <w:rPr>
          <w:rFonts w:ascii="ITC Avant Garde" w:hAnsi="ITC Avant Garde" w:cs="Arial"/>
          <w:sz w:val="22"/>
          <w:szCs w:val="22"/>
        </w:rPr>
        <w:t xml:space="preserve">ada </w:t>
      </w:r>
      <w:r w:rsidR="00805D9D" w:rsidRPr="00796CA6">
        <w:rPr>
          <w:rFonts w:ascii="ITC Avant Garde" w:hAnsi="ITC Avant Garde" w:cs="Arial"/>
          <w:sz w:val="22"/>
          <w:szCs w:val="22"/>
        </w:rPr>
        <w:t xml:space="preserve">su </w:t>
      </w:r>
      <w:r w:rsidR="0090497A" w:rsidRPr="00796CA6">
        <w:rPr>
          <w:rFonts w:ascii="ITC Avant Garde" w:hAnsi="ITC Avant Garde" w:cs="Arial"/>
          <w:sz w:val="22"/>
          <w:szCs w:val="22"/>
        </w:rPr>
        <w:t xml:space="preserve">consistencia en el establecimiento de </w:t>
      </w:r>
      <w:r w:rsidR="00160CE7" w:rsidRPr="00796CA6">
        <w:rPr>
          <w:rFonts w:ascii="ITC Avant Garde" w:hAnsi="ITC Avant Garde" w:cs="Arial"/>
          <w:sz w:val="22"/>
          <w:szCs w:val="22"/>
        </w:rPr>
        <w:t xml:space="preserve">intervalos de confianza </w:t>
      </w:r>
      <w:r w:rsidR="00805D9D" w:rsidRPr="00796CA6">
        <w:rPr>
          <w:rFonts w:ascii="ITC Avant Garde" w:hAnsi="ITC Avant Garde" w:cs="Arial"/>
          <w:sz w:val="22"/>
          <w:szCs w:val="22"/>
        </w:rPr>
        <w:t>para valorar un</w:t>
      </w:r>
      <w:r w:rsidR="0090497A" w:rsidRPr="00796CA6">
        <w:rPr>
          <w:rFonts w:ascii="ITC Avant Garde" w:hAnsi="ITC Avant Garde" w:cs="Arial"/>
          <w:sz w:val="22"/>
          <w:szCs w:val="22"/>
        </w:rPr>
        <w:t xml:space="preserve"> estadístico, </w:t>
      </w:r>
      <w:r w:rsidR="00FD2342" w:rsidRPr="00796CA6">
        <w:rPr>
          <w:rFonts w:ascii="ITC Avant Garde" w:hAnsi="ITC Avant Garde" w:cs="Arial"/>
          <w:sz w:val="22"/>
          <w:szCs w:val="22"/>
        </w:rPr>
        <w:t>el Instituto</w:t>
      </w:r>
      <w:r w:rsidR="00D40D5F" w:rsidRPr="00796CA6">
        <w:rPr>
          <w:rFonts w:ascii="ITC Avant Garde" w:hAnsi="ITC Avant Garde" w:cs="Arial"/>
          <w:sz w:val="22"/>
          <w:szCs w:val="22"/>
        </w:rPr>
        <w:t xml:space="preserve"> determina que se utilizará </w:t>
      </w:r>
      <w:r w:rsidR="00805D9D" w:rsidRPr="00796CA6">
        <w:rPr>
          <w:rFonts w:ascii="ITC Avant Garde" w:hAnsi="ITC Avant Garde" w:cs="Arial"/>
          <w:sz w:val="22"/>
          <w:szCs w:val="22"/>
        </w:rPr>
        <w:t>la prueba</w:t>
      </w:r>
      <w:r w:rsidR="00C12DFC" w:rsidRPr="00796CA6">
        <w:rPr>
          <w:rFonts w:ascii="ITC Avant Garde" w:hAnsi="ITC Avant Garde" w:cs="Arial"/>
          <w:sz w:val="22"/>
          <w:szCs w:val="22"/>
        </w:rPr>
        <w:t xml:space="preserve"> Z </w:t>
      </w:r>
      <w:r w:rsidR="00D40D5F" w:rsidRPr="00796CA6">
        <w:rPr>
          <w:rFonts w:ascii="ITC Avant Garde" w:hAnsi="ITC Avant Garde" w:cs="Arial"/>
          <w:sz w:val="22"/>
          <w:szCs w:val="22"/>
        </w:rPr>
        <w:t xml:space="preserve">para </w:t>
      </w:r>
      <w:r w:rsidR="00305370" w:rsidRPr="00796CA6">
        <w:rPr>
          <w:rFonts w:ascii="ITC Avant Garde" w:hAnsi="ITC Avant Garde" w:cs="Arial"/>
          <w:sz w:val="22"/>
          <w:szCs w:val="22"/>
        </w:rPr>
        <w:t xml:space="preserve">valorar </w:t>
      </w:r>
      <w:r w:rsidR="00D40D5F" w:rsidRPr="00796CA6">
        <w:rPr>
          <w:rFonts w:ascii="ITC Avant Garde" w:hAnsi="ITC Avant Garde" w:cs="Arial"/>
          <w:sz w:val="22"/>
          <w:szCs w:val="22"/>
        </w:rPr>
        <w:t xml:space="preserve">los </w:t>
      </w:r>
      <w:r w:rsidR="0090497A" w:rsidRPr="00796CA6">
        <w:rPr>
          <w:rFonts w:ascii="ITC Avant Garde" w:hAnsi="ITC Avant Garde" w:cs="Arial"/>
          <w:sz w:val="22"/>
          <w:szCs w:val="22"/>
        </w:rPr>
        <w:t>ICD</w:t>
      </w:r>
      <w:r w:rsidR="004E5745" w:rsidRPr="00796CA6">
        <w:rPr>
          <w:rFonts w:ascii="ITC Avant Garde" w:hAnsi="ITC Avant Garde" w:cs="Arial"/>
          <w:sz w:val="22"/>
          <w:szCs w:val="22"/>
        </w:rPr>
        <w:t>, cuya fórmula se muestra a continuación:</w:t>
      </w:r>
    </w:p>
    <w:p w14:paraId="69D682E8" w14:textId="31B5BD53" w:rsidR="00805D9D" w:rsidRPr="00796CA6" w:rsidRDefault="00796CA6" w:rsidP="00F119C0">
      <w:pPr>
        <w:pStyle w:val="NormalWeb"/>
        <w:spacing w:before="225" w:beforeAutospacing="0" w:after="225" w:afterAutospacing="0"/>
        <w:jc w:val="both"/>
        <w:rPr>
          <w:rFonts w:ascii="ITC Avant Garde" w:hAnsi="ITC Avant Garde" w:cs="Arial"/>
          <w:sz w:val="18"/>
          <w:szCs w:val="22"/>
        </w:rPr>
      </w:pPr>
      <m:oMathPara>
        <m:oMath>
          <m:r>
            <w:rPr>
              <w:rFonts w:ascii="Cambria Math" w:hAnsi="Cambria Math" w:cs="Arial"/>
              <w:szCs w:val="32"/>
            </w:rPr>
            <m:t>Z</m:t>
          </m:r>
          <m:r>
            <m:rPr>
              <m:sty m:val="p"/>
            </m:rPr>
            <w:rPr>
              <w:rFonts w:ascii="Cambria Math" w:hAnsi="Cambria Math" w:cs="Arial"/>
              <w:szCs w:val="32"/>
            </w:rPr>
            <m:t>=</m:t>
          </m:r>
          <m:f>
            <m:fPr>
              <m:ctrlPr>
                <w:rPr>
                  <w:rFonts w:ascii="Cambria Math" w:hAnsi="Cambria Math" w:cs="Arial"/>
                  <w:szCs w:val="32"/>
                </w:rPr>
              </m:ctrlPr>
            </m:fPr>
            <m:num>
              <m:sSub>
                <m:sSubPr>
                  <m:ctrlPr>
                    <w:rPr>
                      <w:rFonts w:ascii="Cambria Math" w:hAnsi="Cambria Math"/>
                      <w:szCs w:val="32"/>
                    </w:rPr>
                  </m:ctrlPr>
                </m:sSubPr>
                <m:e>
                  <m:acc>
                    <m:accPr>
                      <m:chr m:val="̅"/>
                      <m:ctrlPr>
                        <w:rPr>
                          <w:rFonts w:ascii="Cambria Math" w:hAnsi="Cambria Math"/>
                          <w:szCs w:val="32"/>
                        </w:rPr>
                      </m:ctrlPr>
                    </m:accPr>
                    <m:e>
                      <m:r>
                        <w:rPr>
                          <w:rFonts w:ascii="Cambria Math" w:hAnsi="Cambria Math"/>
                          <w:szCs w:val="32"/>
                        </w:rPr>
                        <m:t>X</m:t>
                      </m:r>
                    </m:e>
                  </m:acc>
                </m:e>
                <m:sub>
                  <m:r>
                    <w:rPr>
                      <w:rFonts w:ascii="Cambria Math" w:hAnsi="Cambria Math"/>
                      <w:szCs w:val="32"/>
                    </w:rPr>
                    <m:t>ext</m:t>
                  </m:r>
                </m:sub>
              </m:sSub>
              <m:r>
                <m:rPr>
                  <m:sty m:val="p"/>
                </m:rPr>
                <w:rPr>
                  <w:rFonts w:ascii="Cambria Math" w:hAnsi="Cambria Math"/>
                  <w:szCs w:val="32"/>
                </w:rPr>
                <m:t>-</m:t>
              </m:r>
              <m:sSub>
                <m:sSubPr>
                  <m:ctrlPr>
                    <w:rPr>
                      <w:rFonts w:ascii="Cambria Math" w:hAnsi="Cambria Math"/>
                      <w:szCs w:val="32"/>
                    </w:rPr>
                  </m:ctrlPr>
                </m:sSubPr>
                <m:e>
                  <m:acc>
                    <m:accPr>
                      <m:chr m:val="̅"/>
                      <m:ctrlPr>
                        <w:rPr>
                          <w:rFonts w:ascii="Cambria Math" w:hAnsi="Cambria Math"/>
                          <w:szCs w:val="32"/>
                        </w:rPr>
                      </m:ctrlPr>
                    </m:accPr>
                    <m:e>
                      <m:r>
                        <w:rPr>
                          <w:rFonts w:ascii="Cambria Math" w:hAnsi="Cambria Math"/>
                          <w:szCs w:val="32"/>
                        </w:rPr>
                        <m:t>X</m:t>
                      </m:r>
                    </m:e>
                  </m:acc>
                </m:e>
                <m:sub>
                  <m:r>
                    <w:rPr>
                      <w:rFonts w:ascii="Cambria Math" w:hAnsi="Cambria Math"/>
                      <w:szCs w:val="32"/>
                    </w:rPr>
                    <m:t>int</m:t>
                  </m:r>
                </m:sub>
              </m:sSub>
            </m:num>
            <m:den>
              <m:rad>
                <m:radPr>
                  <m:degHide m:val="1"/>
                  <m:ctrlPr>
                    <w:rPr>
                      <w:rFonts w:ascii="Cambria Math" w:hAnsi="Cambria Math" w:cs="Arial"/>
                      <w:szCs w:val="32"/>
                    </w:rPr>
                  </m:ctrlPr>
                </m:radPr>
                <m:deg/>
                <m:e>
                  <m:f>
                    <m:fPr>
                      <m:ctrlPr>
                        <w:rPr>
                          <w:rFonts w:ascii="Cambria Math" w:hAnsi="Cambria Math" w:cs="Arial"/>
                          <w:szCs w:val="32"/>
                        </w:rPr>
                      </m:ctrlPr>
                    </m:fPr>
                    <m:num>
                      <m:sSubSup>
                        <m:sSubSupPr>
                          <m:ctrlPr>
                            <w:rPr>
                              <w:rFonts w:ascii="Cambria Math" w:hAnsi="Cambria Math"/>
                              <w:szCs w:val="32"/>
                            </w:rPr>
                          </m:ctrlPr>
                        </m:sSubSupPr>
                        <m:e>
                          <m:r>
                            <w:rPr>
                              <w:rFonts w:ascii="Cambria Math" w:hAnsi="Cambria Math"/>
                              <w:szCs w:val="32"/>
                            </w:rPr>
                            <m:t>σ</m:t>
                          </m:r>
                        </m:e>
                        <m:sub>
                          <m:r>
                            <w:rPr>
                              <w:rFonts w:ascii="Cambria Math" w:hAnsi="Cambria Math"/>
                              <w:szCs w:val="32"/>
                            </w:rPr>
                            <m:t>ext</m:t>
                          </m:r>
                        </m:sub>
                        <m:sup>
                          <m:r>
                            <m:rPr>
                              <m:sty m:val="p"/>
                            </m:rPr>
                            <w:rPr>
                              <w:rFonts w:ascii="Cambria Math" w:hAnsi="Cambria Math"/>
                              <w:szCs w:val="32"/>
                            </w:rPr>
                            <m:t>2</m:t>
                          </m:r>
                        </m:sup>
                      </m:sSubSup>
                      <m:r>
                        <m:rPr>
                          <m:sty m:val="p"/>
                        </m:rPr>
                        <w:rPr>
                          <w:rFonts w:ascii="Cambria Math" w:hAnsi="Cambria Math"/>
                          <w:szCs w:val="32"/>
                        </w:rPr>
                        <m:t xml:space="preserve">  </m:t>
                      </m:r>
                    </m:num>
                    <m:den>
                      <m:sSub>
                        <m:sSubPr>
                          <m:ctrlPr>
                            <w:rPr>
                              <w:rFonts w:ascii="Cambria Math" w:hAnsi="Cambria Math"/>
                              <w:szCs w:val="32"/>
                            </w:rPr>
                          </m:ctrlPr>
                        </m:sSubPr>
                        <m:e>
                          <m:r>
                            <w:rPr>
                              <w:rFonts w:ascii="Cambria Math" w:hAnsi="Cambria Math"/>
                              <w:szCs w:val="32"/>
                            </w:rPr>
                            <m:t>n</m:t>
                          </m:r>
                        </m:e>
                        <m:sub>
                          <m:r>
                            <w:rPr>
                              <w:rFonts w:ascii="Cambria Math" w:hAnsi="Cambria Math"/>
                              <w:szCs w:val="32"/>
                            </w:rPr>
                            <m:t>ext</m:t>
                          </m:r>
                        </m:sub>
                      </m:sSub>
                    </m:den>
                  </m:f>
                  <m:r>
                    <m:rPr>
                      <m:sty m:val="p"/>
                    </m:rPr>
                    <w:rPr>
                      <w:rFonts w:ascii="Cambria Math" w:hAnsi="Cambria Math" w:cs="Arial"/>
                      <w:szCs w:val="32"/>
                    </w:rPr>
                    <m:t>+</m:t>
                  </m:r>
                  <m:f>
                    <m:fPr>
                      <m:ctrlPr>
                        <w:rPr>
                          <w:rFonts w:ascii="Cambria Math" w:hAnsi="Cambria Math" w:cs="Arial"/>
                          <w:szCs w:val="32"/>
                        </w:rPr>
                      </m:ctrlPr>
                    </m:fPr>
                    <m:num>
                      <m:sSubSup>
                        <m:sSubSupPr>
                          <m:ctrlPr>
                            <w:rPr>
                              <w:rFonts w:ascii="Cambria Math" w:hAnsi="Cambria Math"/>
                              <w:szCs w:val="32"/>
                            </w:rPr>
                          </m:ctrlPr>
                        </m:sSubSupPr>
                        <m:e>
                          <m:r>
                            <w:rPr>
                              <w:rFonts w:ascii="Cambria Math" w:hAnsi="Cambria Math"/>
                              <w:szCs w:val="32"/>
                            </w:rPr>
                            <m:t>σ</m:t>
                          </m:r>
                        </m:e>
                        <m:sub>
                          <m:r>
                            <w:rPr>
                              <w:rFonts w:ascii="Cambria Math" w:hAnsi="Cambria Math"/>
                              <w:szCs w:val="32"/>
                            </w:rPr>
                            <m:t>int</m:t>
                          </m:r>
                        </m:sub>
                        <m:sup>
                          <m:r>
                            <m:rPr>
                              <m:sty m:val="p"/>
                            </m:rPr>
                            <w:rPr>
                              <w:rFonts w:ascii="Cambria Math" w:hAnsi="Cambria Math"/>
                              <w:szCs w:val="32"/>
                            </w:rPr>
                            <m:t>2</m:t>
                          </m:r>
                        </m:sup>
                      </m:sSubSup>
                    </m:num>
                    <m:den>
                      <m:sSub>
                        <m:sSubPr>
                          <m:ctrlPr>
                            <w:rPr>
                              <w:rFonts w:ascii="Cambria Math" w:hAnsi="Cambria Math"/>
                              <w:szCs w:val="32"/>
                            </w:rPr>
                          </m:ctrlPr>
                        </m:sSubPr>
                        <m:e>
                          <m:r>
                            <w:rPr>
                              <w:rFonts w:ascii="Cambria Math" w:hAnsi="Cambria Math"/>
                              <w:szCs w:val="32"/>
                            </w:rPr>
                            <m:t>n</m:t>
                          </m:r>
                        </m:e>
                        <m:sub>
                          <m:r>
                            <w:rPr>
                              <w:rFonts w:ascii="Cambria Math" w:hAnsi="Cambria Math"/>
                              <w:szCs w:val="32"/>
                            </w:rPr>
                            <m:t>int</m:t>
                          </m:r>
                        </m:sub>
                      </m:sSub>
                    </m:den>
                  </m:f>
                </m:e>
              </m:rad>
            </m:den>
          </m:f>
        </m:oMath>
      </m:oMathPara>
    </w:p>
    <w:p w14:paraId="6568F018" w14:textId="77777777" w:rsidR="004E5745" w:rsidRPr="00796CA6" w:rsidRDefault="00D245D0" w:rsidP="00D245D0">
      <w:pPr>
        <w:pStyle w:val="NormalWeb"/>
        <w:spacing w:before="225" w:beforeAutospacing="0" w:after="225" w:afterAutospacing="0"/>
        <w:rPr>
          <w:rFonts w:ascii="ITC Avant Garde" w:hAnsi="ITC Avant Garde" w:cs="Arial"/>
          <w:sz w:val="22"/>
          <w:szCs w:val="22"/>
        </w:rPr>
      </w:pPr>
      <w:r w:rsidRPr="00796CA6">
        <w:rPr>
          <w:rFonts w:ascii="ITC Avant Garde" w:hAnsi="ITC Avant Garde" w:cs="Arial"/>
          <w:sz w:val="22"/>
          <w:szCs w:val="22"/>
        </w:rPr>
        <w:t>Donde:</w:t>
      </w:r>
    </w:p>
    <w:p w14:paraId="05CFC58E" w14:textId="4A7EDF82" w:rsidR="000676CC" w:rsidRPr="00796CA6" w:rsidRDefault="00DB221B" w:rsidP="000676CC">
      <w:pPr>
        <w:pStyle w:val="NormalWeb"/>
        <w:spacing w:before="225"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ext</m:t>
            </m:r>
          </m:sub>
        </m:sSub>
      </m:oMath>
      <w:r w:rsidR="00F730BC" w:rsidRPr="00796CA6">
        <w:rPr>
          <w:rFonts w:ascii="ITC Avant Garde" w:hAnsi="ITC Avant Garde" w:cs="Arial"/>
        </w:rPr>
        <w:t xml:space="preserve"> es el</w:t>
      </w:r>
      <w:r w:rsidR="00F730BC" w:rsidRPr="00796CA6">
        <w:rPr>
          <w:rFonts w:ascii="ITC Avant Garde" w:hAnsi="ITC Avant Garde" w:cs="Arial"/>
          <w:sz w:val="22"/>
          <w:szCs w:val="22"/>
        </w:rPr>
        <w:t xml:space="preserve"> </w:t>
      </w:r>
      <w:r w:rsidR="000676CC" w:rsidRPr="00796CA6">
        <w:rPr>
          <w:rFonts w:ascii="ITC Avant Garde" w:hAnsi="ITC Avant Garde" w:cs="Arial"/>
          <w:sz w:val="22"/>
          <w:szCs w:val="22"/>
        </w:rPr>
        <w:t xml:space="preserve">Promedio para la provisión externa. Se refiere al promedio de los valores obtenidos en las observaciones o eventos sobre los servicios provistos </w:t>
      </w:r>
      <w:r w:rsidR="00147843" w:rsidRPr="00796CA6">
        <w:rPr>
          <w:rFonts w:ascii="ITC Avant Garde" w:hAnsi="ITC Avant Garde" w:cs="Arial"/>
          <w:sz w:val="22"/>
          <w:szCs w:val="22"/>
        </w:rPr>
        <w:t xml:space="preserve">por el AEP </w:t>
      </w:r>
      <w:r w:rsidR="000676CC" w:rsidRPr="00796CA6">
        <w:rPr>
          <w:rFonts w:ascii="ITC Avant Garde" w:hAnsi="ITC Avant Garde" w:cs="Arial"/>
          <w:sz w:val="22"/>
          <w:szCs w:val="22"/>
        </w:rPr>
        <w:t xml:space="preserve">a otros operadores. </w:t>
      </w:r>
    </w:p>
    <w:p w14:paraId="797411AE" w14:textId="77777777" w:rsidR="00796CA6" w:rsidRDefault="00DB221B" w:rsidP="004E5745">
      <w:pPr>
        <w:pStyle w:val="NormalWeb"/>
        <w:spacing w:before="225" w:beforeAutospacing="0" w:after="225" w:afterAutospacing="0"/>
        <w:jc w:val="center"/>
        <w:rPr>
          <w:noProof/>
          <w:sz w:val="22"/>
        </w:rPr>
      </w:pPr>
      <m:oMathPara>
        <m:oMath>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X</m:t>
                  </m:r>
                </m:e>
              </m:acc>
            </m:e>
            <m:sub>
              <m:r>
                <w:rPr>
                  <w:rFonts w:ascii="Cambria Math" w:hAnsi="Cambria Math"/>
                  <w:sz w:val="22"/>
                </w:rPr>
                <m:t>ext</m:t>
              </m:r>
            </m:sub>
          </m:sSub>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ext</m:t>
                      </m:r>
                    </m:sub>
                  </m:sSub>
                </m:sup>
                <m:e>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ext</m:t>
                      </m:r>
                    </m:sub>
                  </m:sSub>
                </m:e>
              </m:nary>
            </m:num>
            <m:den>
              <m:sSub>
                <m:sSubPr>
                  <m:ctrlPr>
                    <w:rPr>
                      <w:rFonts w:ascii="Cambria Math" w:hAnsi="Cambria Math"/>
                      <w:sz w:val="22"/>
                    </w:rPr>
                  </m:ctrlPr>
                </m:sSubPr>
                <m:e>
                  <m:r>
                    <w:rPr>
                      <w:rFonts w:ascii="Cambria Math" w:hAnsi="Cambria Math"/>
                      <w:sz w:val="22"/>
                    </w:rPr>
                    <m:t>n</m:t>
                  </m:r>
                </m:e>
                <m:sub>
                  <m:r>
                    <w:rPr>
                      <w:rFonts w:ascii="Cambria Math" w:hAnsi="Cambria Math"/>
                      <w:sz w:val="22"/>
                    </w:rPr>
                    <m:t>ext</m:t>
                  </m:r>
                </m:sub>
              </m:sSub>
            </m:den>
          </m:f>
          <m:r>
            <m:rPr>
              <m:sty m:val="p"/>
            </m:rPr>
            <w:rPr>
              <w:rFonts w:ascii="Cambria Math" w:hAnsi="Cambria Math"/>
              <w:sz w:val="22"/>
            </w:rPr>
            <m:t xml:space="preserve"> </m:t>
          </m:r>
        </m:oMath>
      </m:oMathPara>
    </w:p>
    <w:p w14:paraId="6F02ED17" w14:textId="67F9E932" w:rsidR="000676CC" w:rsidRPr="00796CA6" w:rsidRDefault="00DB221B" w:rsidP="000676CC">
      <w:pPr>
        <w:pStyle w:val="NormalWeb"/>
        <w:spacing w:before="225"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int</m:t>
            </m:r>
          </m:sub>
        </m:sSub>
      </m:oMath>
      <w:r w:rsidR="00F730BC" w:rsidRPr="00796CA6">
        <w:rPr>
          <w:rFonts w:ascii="ITC Avant Garde" w:hAnsi="ITC Avant Garde" w:cs="Arial"/>
        </w:rPr>
        <w:t xml:space="preserve"> es el </w:t>
      </w:r>
      <w:r w:rsidR="000676CC" w:rsidRPr="00796CA6">
        <w:rPr>
          <w:rFonts w:ascii="ITC Avant Garde" w:hAnsi="ITC Avant Garde" w:cs="Arial"/>
          <w:sz w:val="22"/>
          <w:szCs w:val="22"/>
        </w:rPr>
        <w:t xml:space="preserve">Promedio para la provisión interna. Se refiere al promedio de los valores obtenidos en las observaciones o eventos sobre los servicios provistos </w:t>
      </w:r>
      <w:r w:rsidR="00147843" w:rsidRPr="00796CA6">
        <w:rPr>
          <w:rFonts w:ascii="ITC Avant Garde" w:hAnsi="ITC Avant Garde" w:cs="Arial"/>
          <w:sz w:val="22"/>
          <w:szCs w:val="22"/>
        </w:rPr>
        <w:t xml:space="preserve">por el AEP </w:t>
      </w:r>
      <w:r w:rsidR="000676CC" w:rsidRPr="00796CA6">
        <w:rPr>
          <w:rFonts w:ascii="ITC Avant Garde" w:hAnsi="ITC Avant Garde" w:cs="Arial"/>
          <w:sz w:val="22"/>
          <w:szCs w:val="22"/>
        </w:rPr>
        <w:t>a</w:t>
      </w:r>
      <w:r w:rsidR="00147843" w:rsidRPr="00796CA6">
        <w:rPr>
          <w:rFonts w:ascii="ITC Avant Garde" w:hAnsi="ITC Avant Garde" w:cs="Arial"/>
          <w:sz w:val="22"/>
          <w:szCs w:val="22"/>
        </w:rPr>
        <w:t xml:space="preserve"> sí mismo</w:t>
      </w:r>
      <w:r w:rsidR="000676CC" w:rsidRPr="00796CA6">
        <w:rPr>
          <w:rFonts w:ascii="ITC Avant Garde" w:hAnsi="ITC Avant Garde" w:cs="Arial"/>
          <w:sz w:val="22"/>
          <w:szCs w:val="22"/>
        </w:rPr>
        <w:t xml:space="preserve">. </w:t>
      </w:r>
    </w:p>
    <w:p w14:paraId="5E4E6F15" w14:textId="579E423C" w:rsidR="000676CC" w:rsidRPr="00796CA6" w:rsidRDefault="00DB221B" w:rsidP="004E5745">
      <w:pPr>
        <w:pStyle w:val="NormalWeb"/>
        <w:spacing w:before="225" w:beforeAutospacing="0" w:after="225" w:afterAutospacing="0"/>
        <w:jc w:val="center"/>
        <w:rPr>
          <w:rFonts w:ascii="ITC Avant Garde" w:hAnsi="ITC Avant Garde" w:cs="Arial"/>
          <w:sz w:val="20"/>
          <w:szCs w:val="22"/>
        </w:rPr>
      </w:pPr>
      <m:oMathPara>
        <m:oMath>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X</m:t>
                  </m:r>
                </m:e>
              </m:acc>
            </m:e>
            <m:sub>
              <m:r>
                <w:rPr>
                  <w:rFonts w:ascii="Cambria Math" w:hAnsi="Cambria Math"/>
                  <w:sz w:val="22"/>
                </w:rPr>
                <m:t>int</m:t>
              </m:r>
            </m:sub>
          </m:sSub>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int</m:t>
                      </m:r>
                    </m:sub>
                  </m:sSub>
                </m:sup>
                <m:e>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int</m:t>
                      </m:r>
                    </m:sub>
                  </m:sSub>
                </m:e>
              </m:nary>
            </m:num>
            <m:den>
              <m:sSub>
                <m:sSubPr>
                  <m:ctrlPr>
                    <w:rPr>
                      <w:rFonts w:ascii="Cambria Math" w:hAnsi="Cambria Math"/>
                      <w:sz w:val="22"/>
                    </w:rPr>
                  </m:ctrlPr>
                </m:sSubPr>
                <m:e>
                  <m:r>
                    <w:rPr>
                      <w:rFonts w:ascii="Cambria Math" w:hAnsi="Cambria Math"/>
                      <w:sz w:val="22"/>
                    </w:rPr>
                    <m:t>n</m:t>
                  </m:r>
                </m:e>
                <m:sub>
                  <m:r>
                    <w:rPr>
                      <w:rFonts w:ascii="Cambria Math" w:hAnsi="Cambria Math"/>
                      <w:sz w:val="22"/>
                    </w:rPr>
                    <m:t>int</m:t>
                  </m:r>
                </m:sub>
              </m:sSub>
            </m:den>
          </m:f>
        </m:oMath>
      </m:oMathPara>
    </w:p>
    <w:p w14:paraId="02086FD8" w14:textId="70E2BB92" w:rsidR="00147843" w:rsidRPr="00796CA6" w:rsidRDefault="00DB221B" w:rsidP="004E5745">
      <w:pPr>
        <w:pStyle w:val="NormalWeb"/>
        <w:spacing w:before="225" w:beforeAutospacing="0" w:after="225" w:afterAutospacing="0"/>
        <w:jc w:val="both"/>
        <w:rPr>
          <w:rFonts w:ascii="ITC Avant Garde" w:hAnsi="ITC Avant Garde" w:cs="Arial"/>
          <w:sz w:val="22"/>
          <w:szCs w:val="22"/>
        </w:rPr>
      </w:pPr>
      <m:oMath>
        <m:sSubSup>
          <m:sSubSupPr>
            <m:ctrlPr>
              <w:rPr>
                <w:rFonts w:ascii="Cambria Math" w:hAnsi="Cambria Math"/>
              </w:rPr>
            </m:ctrlPr>
          </m:sSubSupPr>
          <m:e>
            <m:r>
              <w:rPr>
                <w:rFonts w:ascii="Cambria Math" w:hAnsi="Cambria Math"/>
              </w:rPr>
              <m:t>σ</m:t>
            </m:r>
          </m:e>
          <m:sub>
            <m:r>
              <w:rPr>
                <w:rFonts w:ascii="Cambria Math" w:hAnsi="Cambria Math"/>
              </w:rPr>
              <m:t>ext</m:t>
            </m:r>
          </m:sub>
          <m:sup>
            <m:r>
              <m:rPr>
                <m:sty m:val="p"/>
              </m:rPr>
              <w:rPr>
                <w:rFonts w:ascii="Cambria Math" w:hAnsi="Cambria Math"/>
              </w:rPr>
              <m:t>2</m:t>
            </m:r>
          </m:sup>
        </m:sSubSup>
      </m:oMath>
      <w:r w:rsidR="00F730BC" w:rsidRPr="00796CA6">
        <w:rPr>
          <w:rFonts w:ascii="ITC Avant Garde" w:hAnsi="ITC Avant Garde" w:cs="Arial"/>
        </w:rPr>
        <w:t xml:space="preserve"> es la </w:t>
      </w:r>
      <w:r w:rsidR="00147843" w:rsidRPr="00796CA6">
        <w:rPr>
          <w:rFonts w:ascii="ITC Avant Garde" w:hAnsi="ITC Avant Garde" w:cs="Arial"/>
          <w:sz w:val="22"/>
          <w:szCs w:val="22"/>
        </w:rPr>
        <w:t xml:space="preserve">Varianza para la provisión externa. La varianza mide qué tan dispersos están los datos derivados de los servicios provistos a otros operadores alrededor de su </w:t>
      </w:r>
      <w:r w:rsidR="00D64C00" w:rsidRPr="00796CA6">
        <w:rPr>
          <w:rFonts w:ascii="ITC Avant Garde" w:hAnsi="ITC Avant Garde" w:cs="Arial"/>
          <w:sz w:val="22"/>
          <w:szCs w:val="22"/>
        </w:rPr>
        <w:t>promedio</w:t>
      </w:r>
      <w:r w:rsidR="00147843" w:rsidRPr="00796CA6">
        <w:rPr>
          <w:rFonts w:ascii="ITC Avant Garde" w:hAnsi="ITC Avant Garde" w:cs="Arial"/>
          <w:sz w:val="22"/>
          <w:szCs w:val="22"/>
        </w:rPr>
        <w:t>. La varianza es igual a la desviación estándar al cuadrado.</w:t>
      </w:r>
    </w:p>
    <w:p w14:paraId="18B76493" w14:textId="068A642A" w:rsidR="00147843" w:rsidRPr="00796CA6" w:rsidRDefault="00DB221B" w:rsidP="004E5745">
      <w:pPr>
        <w:pStyle w:val="NormalWeb"/>
        <w:spacing w:before="225" w:beforeAutospacing="0" w:after="225" w:afterAutospacing="0"/>
        <w:jc w:val="both"/>
        <w:rPr>
          <w:rFonts w:ascii="ITC Avant Garde" w:hAnsi="ITC Avant Garde" w:cs="Arial"/>
          <w:sz w:val="20"/>
          <w:szCs w:val="22"/>
        </w:rPr>
      </w:pPr>
      <m:oMathPara>
        <m:oMath>
          <m:sSubSup>
            <m:sSubSupPr>
              <m:ctrlPr>
                <w:rPr>
                  <w:rFonts w:ascii="Cambria Math" w:hAnsi="Cambria Math"/>
                  <w:sz w:val="22"/>
                </w:rPr>
              </m:ctrlPr>
            </m:sSubSupPr>
            <m:e>
              <m:r>
                <w:rPr>
                  <w:rFonts w:ascii="Cambria Math" w:hAnsi="Cambria Math"/>
                  <w:sz w:val="22"/>
                </w:rPr>
                <m:t>σ</m:t>
              </m:r>
            </m:e>
            <m:sub>
              <m:r>
                <w:rPr>
                  <w:rFonts w:ascii="Cambria Math" w:hAnsi="Cambria Math"/>
                  <w:sz w:val="22"/>
                </w:rPr>
                <m:t>ext</m:t>
              </m:r>
            </m:sub>
            <m:sup>
              <m:r>
                <m:rPr>
                  <m:sty m:val="p"/>
                </m:rPr>
                <w:rPr>
                  <w:rFonts w:ascii="Cambria Math" w:hAnsi="Cambria Math"/>
                  <w:sz w:val="22"/>
                </w:rPr>
                <m:t>2</m:t>
              </m:r>
            </m:sup>
          </m:sSubSup>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ext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ext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X</m:t>
                              </m:r>
                            </m:e>
                          </m:acc>
                        </m:e>
                        <m:sub>
                          <m:r>
                            <w:rPr>
                              <w:rFonts w:ascii="Cambria Math" w:hAnsi="Cambria Math"/>
                              <w:sz w:val="22"/>
                            </w:rPr>
                            <m:t>ext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sz w:val="22"/>
                    </w:rPr>
                  </m:ctrlPr>
                </m:sSubPr>
                <m:e>
                  <m:r>
                    <w:rPr>
                      <w:rFonts w:ascii="Cambria Math" w:hAnsi="Cambria Math"/>
                      <w:sz w:val="22"/>
                    </w:rPr>
                    <m:t>n</m:t>
                  </m:r>
                </m:e>
                <m:sub>
                  <m:r>
                    <w:rPr>
                      <w:rFonts w:ascii="Cambria Math" w:hAnsi="Cambria Math"/>
                      <w:sz w:val="22"/>
                    </w:rPr>
                    <m:t>ext</m:t>
                  </m:r>
                </m:sub>
              </m:sSub>
            </m:den>
          </m:f>
        </m:oMath>
      </m:oMathPara>
    </w:p>
    <w:p w14:paraId="4E9A0A3C" w14:textId="6B98FFF0" w:rsidR="00147843" w:rsidRPr="00796CA6" w:rsidRDefault="00DB221B" w:rsidP="00147843">
      <w:pPr>
        <w:pStyle w:val="NormalWeb"/>
        <w:spacing w:before="225" w:beforeAutospacing="0" w:after="225" w:afterAutospacing="0"/>
        <w:jc w:val="both"/>
        <w:rPr>
          <w:rFonts w:ascii="ITC Avant Garde" w:hAnsi="ITC Avant Garde" w:cs="Arial"/>
          <w:sz w:val="22"/>
          <w:szCs w:val="22"/>
        </w:rPr>
      </w:pPr>
      <m:oMath>
        <m:sSubSup>
          <m:sSubSupPr>
            <m:ctrlPr>
              <w:rPr>
                <w:rFonts w:ascii="Cambria Math" w:hAnsi="Cambria Math"/>
              </w:rPr>
            </m:ctrlPr>
          </m:sSubSupPr>
          <m:e>
            <m:r>
              <w:rPr>
                <w:rFonts w:ascii="Cambria Math" w:hAnsi="Cambria Math"/>
              </w:rPr>
              <m:t>σ</m:t>
            </m:r>
          </m:e>
          <m:sub>
            <m:r>
              <w:rPr>
                <w:rFonts w:ascii="Cambria Math" w:hAnsi="Cambria Math"/>
              </w:rPr>
              <m:t>int</m:t>
            </m:r>
          </m:sub>
          <m:sup>
            <m:r>
              <m:rPr>
                <m:sty m:val="p"/>
              </m:rPr>
              <w:rPr>
                <w:rFonts w:ascii="Cambria Math" w:hAnsi="Cambria Math"/>
              </w:rPr>
              <m:t>2</m:t>
            </m:r>
          </m:sup>
        </m:sSubSup>
      </m:oMath>
      <w:r w:rsidR="00F730BC" w:rsidRPr="00796CA6">
        <w:rPr>
          <w:rFonts w:ascii="ITC Avant Garde" w:hAnsi="ITC Avant Garde" w:cs="Arial"/>
        </w:rPr>
        <w:t xml:space="preserve"> es la </w:t>
      </w:r>
      <w:r w:rsidR="00147843" w:rsidRPr="00796CA6">
        <w:rPr>
          <w:rFonts w:ascii="ITC Avant Garde" w:hAnsi="ITC Avant Garde" w:cs="Arial"/>
          <w:sz w:val="22"/>
          <w:szCs w:val="22"/>
        </w:rPr>
        <w:t xml:space="preserve">Varianza para la provisión interna. La varianza mide qué tan dispersos están los datos derivados de los servicios provistos a sí mismo alrededor de su </w:t>
      </w:r>
      <w:r w:rsidR="00D64C00" w:rsidRPr="00796CA6">
        <w:rPr>
          <w:rFonts w:ascii="ITC Avant Garde" w:hAnsi="ITC Avant Garde" w:cs="Arial"/>
          <w:sz w:val="22"/>
          <w:szCs w:val="22"/>
        </w:rPr>
        <w:t>promedio</w:t>
      </w:r>
      <w:r w:rsidR="00147843" w:rsidRPr="00796CA6">
        <w:rPr>
          <w:rFonts w:ascii="ITC Avant Garde" w:hAnsi="ITC Avant Garde" w:cs="Arial"/>
          <w:sz w:val="22"/>
          <w:szCs w:val="22"/>
        </w:rPr>
        <w:t>. La varianza es igual a la desviación estándar al cuadrado.</w:t>
      </w:r>
    </w:p>
    <w:p w14:paraId="06877E6F" w14:textId="3D842ECF" w:rsidR="00147843" w:rsidRPr="00796CA6" w:rsidRDefault="00DB221B" w:rsidP="004E5745">
      <w:pPr>
        <w:pStyle w:val="NormalWeb"/>
        <w:spacing w:before="225" w:beforeAutospacing="0" w:after="225" w:afterAutospacing="0"/>
        <w:jc w:val="both"/>
        <w:rPr>
          <w:rFonts w:ascii="ITC Avant Garde" w:hAnsi="ITC Avant Garde" w:cs="Arial"/>
          <w:sz w:val="22"/>
        </w:rPr>
      </w:pPr>
      <m:oMathPara>
        <m:oMath>
          <m:sSubSup>
            <m:sSubSupPr>
              <m:ctrlPr>
                <w:rPr>
                  <w:rFonts w:ascii="Cambria Math" w:hAnsi="Cambria Math"/>
                  <w:sz w:val="22"/>
                </w:rPr>
              </m:ctrlPr>
            </m:sSubSupPr>
            <m:e>
              <m:r>
                <w:rPr>
                  <w:rFonts w:ascii="Cambria Math" w:hAnsi="Cambria Math"/>
                  <w:sz w:val="22"/>
                </w:rPr>
                <m:t>σ</m:t>
              </m:r>
            </m:e>
            <m:sub>
              <m:r>
                <w:rPr>
                  <w:rFonts w:ascii="Cambria Math" w:hAnsi="Cambria Math"/>
                  <w:sz w:val="22"/>
                </w:rPr>
                <m:t>int</m:t>
              </m:r>
            </m:sub>
            <m:sup>
              <m:r>
                <m:rPr>
                  <m:sty m:val="p"/>
                </m:rPr>
                <w:rPr>
                  <w:rFonts w:ascii="Cambria Math" w:hAnsi="Cambria Math"/>
                  <w:sz w:val="22"/>
                </w:rPr>
                <m:t>2</m:t>
              </m:r>
            </m:sup>
          </m:sSubSup>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int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int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X</m:t>
                              </m:r>
                            </m:e>
                          </m:acc>
                        </m:e>
                        <m:sub>
                          <m:r>
                            <w:rPr>
                              <w:rFonts w:ascii="Cambria Math" w:hAnsi="Cambria Math"/>
                              <w:sz w:val="22"/>
                            </w:rPr>
                            <m:t>int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sz w:val="22"/>
                    </w:rPr>
                  </m:ctrlPr>
                </m:sSubPr>
                <m:e>
                  <m:r>
                    <w:rPr>
                      <w:rFonts w:ascii="Cambria Math" w:hAnsi="Cambria Math"/>
                      <w:sz w:val="22"/>
                    </w:rPr>
                    <m:t>n</m:t>
                  </m:r>
                </m:e>
                <m:sub>
                  <m:r>
                    <w:rPr>
                      <w:rFonts w:ascii="Cambria Math" w:hAnsi="Cambria Math"/>
                      <w:sz w:val="22"/>
                    </w:rPr>
                    <m:t>int</m:t>
                  </m:r>
                </m:sub>
              </m:sSub>
            </m:den>
          </m:f>
        </m:oMath>
      </m:oMathPara>
    </w:p>
    <w:p w14:paraId="170A2B9D" w14:textId="234F0BBD" w:rsidR="00307A56" w:rsidRPr="00796CA6" w:rsidRDefault="00DB221B" w:rsidP="00307A56">
      <w:pPr>
        <w:pStyle w:val="NormalWeb"/>
        <w:spacing w:before="225" w:beforeAutospacing="0" w:after="225" w:afterAutospacing="0"/>
        <w:jc w:val="both"/>
        <w:rPr>
          <w:rFonts w:ascii="ITC Avant Garde" w:hAnsi="ITC Avant Garde" w:cs="Arial"/>
          <w:sz w:val="22"/>
          <w:szCs w:val="22"/>
        </w:rPr>
      </w:pPr>
      <m:oMath>
        <m:sSub>
          <m:sSubPr>
            <m:ctrlPr>
              <w:rPr>
                <w:rFonts w:ascii="Cambria Math" w:hAnsi="Cambria Math"/>
              </w:rPr>
            </m:ctrlPr>
          </m:sSubPr>
          <m:e>
            <m:r>
              <w:rPr>
                <w:rFonts w:ascii="Cambria Math" w:hAnsi="Cambria Math"/>
              </w:rPr>
              <m:t>n</m:t>
            </m:r>
          </m:e>
          <m:sub>
            <m:r>
              <w:rPr>
                <w:rFonts w:ascii="Cambria Math" w:hAnsi="Cambria Math"/>
              </w:rPr>
              <m:t>ext</m:t>
            </m:r>
          </m:sub>
        </m:sSub>
      </m:oMath>
      <w:r w:rsidR="00F730BC" w:rsidRPr="00796CA6">
        <w:rPr>
          <w:rFonts w:ascii="ITC Avant Garde" w:hAnsi="ITC Avant Garde" w:cs="Arial"/>
        </w:rPr>
        <w:t xml:space="preserve"> es la </w:t>
      </w:r>
      <w:r w:rsidR="00307A56" w:rsidRPr="00796CA6">
        <w:rPr>
          <w:rFonts w:ascii="ITC Avant Garde" w:hAnsi="ITC Avant Garde" w:cs="Arial"/>
          <w:sz w:val="22"/>
          <w:szCs w:val="22"/>
        </w:rPr>
        <w:t>Población para la provisión externa. Cantidad de datos derivados de los servicios provistos a otros operadores.</w:t>
      </w:r>
    </w:p>
    <w:p w14:paraId="064700C4" w14:textId="46DB0371" w:rsidR="00307A56" w:rsidRPr="00796CA6" w:rsidRDefault="00DB221B" w:rsidP="00307A56">
      <w:pPr>
        <w:pStyle w:val="NormalWeb"/>
        <w:spacing w:before="225" w:beforeAutospacing="0" w:after="225" w:afterAutospacing="0"/>
        <w:jc w:val="both"/>
        <w:rPr>
          <w:rFonts w:ascii="ITC Avant Garde" w:hAnsi="ITC Avant Garde" w:cs="Arial"/>
          <w:sz w:val="22"/>
          <w:szCs w:val="22"/>
        </w:rPr>
      </w:pPr>
      <m:oMath>
        <m:sSub>
          <m:sSubPr>
            <m:ctrlPr>
              <w:rPr>
                <w:rFonts w:ascii="Cambria Math" w:hAnsi="Cambria Math"/>
              </w:rPr>
            </m:ctrlPr>
          </m:sSubPr>
          <m:e>
            <m:r>
              <w:rPr>
                <w:rFonts w:ascii="Cambria Math" w:hAnsi="Cambria Math"/>
              </w:rPr>
              <m:t>n</m:t>
            </m:r>
          </m:e>
          <m:sub>
            <m:r>
              <w:rPr>
                <w:rFonts w:ascii="Cambria Math" w:hAnsi="Cambria Math"/>
              </w:rPr>
              <m:t>int</m:t>
            </m:r>
          </m:sub>
        </m:sSub>
      </m:oMath>
      <w:r w:rsidR="00F730BC" w:rsidRPr="00796CA6">
        <w:rPr>
          <w:rFonts w:ascii="ITC Avant Garde" w:hAnsi="ITC Avant Garde" w:cs="Arial"/>
        </w:rPr>
        <w:t xml:space="preserve"> es la </w:t>
      </w:r>
      <w:r w:rsidR="00307A56" w:rsidRPr="00796CA6">
        <w:rPr>
          <w:rFonts w:ascii="ITC Avant Garde" w:hAnsi="ITC Avant Garde" w:cs="Arial"/>
          <w:sz w:val="22"/>
          <w:szCs w:val="22"/>
        </w:rPr>
        <w:t>Población para la provisión interna. Cantidad de datos derivados de los servicios provistos a sí mismo.</w:t>
      </w:r>
    </w:p>
    <w:p w14:paraId="79A3EBF0" w14:textId="16E52DF3" w:rsidR="00CD4E71" w:rsidRPr="00796CA6" w:rsidRDefault="00796CA6" w:rsidP="00CD4E71">
      <w:pPr>
        <w:pStyle w:val="NormalWeb"/>
        <w:spacing w:before="225" w:beforeAutospacing="0" w:after="225" w:afterAutospacing="0"/>
        <w:jc w:val="both"/>
        <w:rPr>
          <w:rFonts w:ascii="ITC Avant Garde" w:hAnsi="ITC Avant Garde" w:cs="Arial"/>
        </w:rPr>
      </w:pPr>
      <m:oMath>
        <m:r>
          <w:rPr>
            <w:rFonts w:ascii="Cambria Math" w:hAnsi="Cambria Math" w:cs="Arial"/>
          </w:rPr>
          <m:t>i</m:t>
        </m:r>
        <m:r>
          <m:rPr>
            <m:sty m:val="p"/>
          </m:rPr>
          <w:rPr>
            <w:rFonts w:ascii="Cambria Math" w:hAnsi="Cambria Math" w:cs="Arial"/>
          </w:rPr>
          <m:t>_</m:t>
        </m:r>
        <m:r>
          <w:rPr>
            <w:rFonts w:ascii="Cambria Math" w:hAnsi="Cambria Math" w:cs="Arial"/>
          </w:rPr>
          <m:t>ext</m:t>
        </m:r>
        <m:r>
          <m:rPr>
            <m:sty m:val="p"/>
          </m:rPr>
          <w:rPr>
            <w:rFonts w:ascii="Cambria Math" w:hAnsi="Cambria Math" w:cs="Arial"/>
          </w:rPr>
          <m:t xml:space="preserve"> </m:t>
        </m:r>
      </m:oMath>
      <w:r w:rsidR="00CD4E71" w:rsidRPr="00796CA6">
        <w:rPr>
          <w:rFonts w:ascii="ITC Avant Garde" w:hAnsi="ITC Avant Garde" w:cs="Arial"/>
        </w:rPr>
        <w:t>es cada una de las observaciones o eventos que se analizan de la provisión externa.</w:t>
      </w:r>
    </w:p>
    <w:p w14:paraId="601AA7CA" w14:textId="7C6CBE18" w:rsidR="00CD4E71" w:rsidRPr="00796CA6" w:rsidRDefault="00796CA6" w:rsidP="00307A56">
      <w:pPr>
        <w:pStyle w:val="NormalWeb"/>
        <w:spacing w:before="225" w:beforeAutospacing="0" w:after="225" w:afterAutospacing="0"/>
        <w:jc w:val="both"/>
        <w:rPr>
          <w:rFonts w:ascii="ITC Avant Garde" w:hAnsi="ITC Avant Garde" w:cs="Arial"/>
        </w:rPr>
      </w:pPr>
      <m:oMath>
        <m:r>
          <w:rPr>
            <w:rFonts w:ascii="Cambria Math" w:hAnsi="Cambria Math" w:cs="Arial"/>
          </w:rPr>
          <m:t>i</m:t>
        </m:r>
        <m:r>
          <m:rPr>
            <m:sty m:val="p"/>
          </m:rPr>
          <w:rPr>
            <w:rFonts w:ascii="Cambria Math" w:hAnsi="Cambria Math" w:cs="Arial"/>
          </w:rPr>
          <m:t>_</m:t>
        </m:r>
        <m:r>
          <w:rPr>
            <w:rFonts w:ascii="Cambria Math" w:hAnsi="Cambria Math" w:cs="Arial"/>
          </w:rPr>
          <m:t>int</m:t>
        </m:r>
        <m:r>
          <m:rPr>
            <m:sty m:val="p"/>
          </m:rPr>
          <w:rPr>
            <w:rFonts w:ascii="Cambria Math" w:hAnsi="Cambria Math" w:cs="Arial"/>
          </w:rPr>
          <m:t xml:space="preserve"> </m:t>
        </m:r>
      </m:oMath>
      <w:r w:rsidR="00CD4E71" w:rsidRPr="00796CA6">
        <w:rPr>
          <w:rFonts w:ascii="ITC Avant Garde" w:hAnsi="ITC Avant Garde" w:cs="Arial"/>
        </w:rPr>
        <w:t>es cada una de las observaciones o eventos que se analizan de la provisión interna.</w:t>
      </w:r>
    </w:p>
    <w:p w14:paraId="0F75FEEC" w14:textId="6C781377" w:rsidR="004E5745" w:rsidRPr="00796CA6" w:rsidRDefault="004E5745" w:rsidP="004E5745">
      <w:pPr>
        <w:pStyle w:val="NormalWeb"/>
        <w:spacing w:before="225" w:beforeAutospacing="0" w:after="225" w:afterAutospacing="0"/>
        <w:jc w:val="both"/>
        <w:rPr>
          <w:rFonts w:ascii="ITC Avant Garde" w:hAnsi="ITC Avant Garde" w:cs="Arial"/>
          <w:sz w:val="22"/>
          <w:szCs w:val="22"/>
        </w:rPr>
      </w:pPr>
      <w:r w:rsidRPr="00796CA6">
        <w:rPr>
          <w:rFonts w:ascii="ITC Avant Garde" w:hAnsi="ITC Avant Garde" w:cs="Arial"/>
          <w:sz w:val="22"/>
          <w:szCs w:val="22"/>
        </w:rPr>
        <w:t xml:space="preserve">La fórmula se utiliza para probar la hipótesis de que no hay diferencia estadística en la provisión de servicios internos y externos con cierto nivel de confianza. Si el </w:t>
      </w:r>
      <w:r w:rsidR="00805D9D" w:rsidRPr="00796CA6">
        <w:rPr>
          <w:rFonts w:ascii="ITC Avant Garde" w:hAnsi="ITC Avant Garde" w:cs="Arial"/>
          <w:sz w:val="22"/>
          <w:szCs w:val="22"/>
        </w:rPr>
        <w:t xml:space="preserve">estadístico Z </w:t>
      </w:r>
      <w:r w:rsidRPr="00796CA6">
        <w:rPr>
          <w:rFonts w:ascii="ITC Avant Garde" w:hAnsi="ITC Avant Garde" w:cs="Arial"/>
          <w:sz w:val="22"/>
          <w:szCs w:val="22"/>
        </w:rPr>
        <w:t xml:space="preserve">se ubica dentro del rango definido, no habría </w:t>
      </w:r>
      <w:r w:rsidR="00805D9D" w:rsidRPr="00796CA6">
        <w:rPr>
          <w:rFonts w:ascii="ITC Avant Garde" w:hAnsi="ITC Avant Garde" w:cs="Arial"/>
          <w:sz w:val="22"/>
          <w:szCs w:val="22"/>
        </w:rPr>
        <w:t xml:space="preserve">señales </w:t>
      </w:r>
      <w:r w:rsidRPr="00796CA6">
        <w:rPr>
          <w:rFonts w:ascii="ITC Avant Garde" w:hAnsi="ITC Avant Garde" w:cs="Arial"/>
          <w:sz w:val="22"/>
          <w:szCs w:val="22"/>
        </w:rPr>
        <w:t>de una posible discriminación</w:t>
      </w:r>
      <w:r w:rsidR="0072724D" w:rsidRPr="00796CA6">
        <w:rPr>
          <w:rFonts w:ascii="ITC Avant Garde" w:hAnsi="ITC Avant Garde" w:cs="Arial"/>
          <w:sz w:val="22"/>
          <w:szCs w:val="22"/>
        </w:rPr>
        <w:t>, con base en los indicadores</w:t>
      </w:r>
      <w:r w:rsidRPr="00796CA6">
        <w:rPr>
          <w:rFonts w:ascii="ITC Avant Garde" w:hAnsi="ITC Avant Garde" w:cs="Arial"/>
          <w:sz w:val="22"/>
          <w:szCs w:val="22"/>
        </w:rPr>
        <w:t xml:space="preserve">. Si, en caso contrario, el </w:t>
      </w:r>
      <w:r w:rsidR="00805D9D" w:rsidRPr="00796CA6">
        <w:rPr>
          <w:rFonts w:ascii="ITC Avant Garde" w:hAnsi="ITC Avant Garde" w:cs="Arial"/>
          <w:sz w:val="22"/>
          <w:szCs w:val="22"/>
        </w:rPr>
        <w:t xml:space="preserve">estadístico Z </w:t>
      </w:r>
      <w:r w:rsidRPr="00796CA6">
        <w:rPr>
          <w:rFonts w:ascii="ITC Avant Garde" w:hAnsi="ITC Avant Garde" w:cs="Arial"/>
          <w:sz w:val="22"/>
          <w:szCs w:val="22"/>
        </w:rPr>
        <w:t xml:space="preserve">sale del rango, habría </w:t>
      </w:r>
      <w:r w:rsidR="00805D9D" w:rsidRPr="00796CA6">
        <w:rPr>
          <w:rFonts w:ascii="ITC Avant Garde" w:hAnsi="ITC Avant Garde" w:cs="Arial"/>
          <w:sz w:val="22"/>
          <w:szCs w:val="22"/>
        </w:rPr>
        <w:t xml:space="preserve">señales </w:t>
      </w:r>
      <w:r w:rsidRPr="00796CA6">
        <w:rPr>
          <w:rFonts w:ascii="ITC Avant Garde" w:hAnsi="ITC Avant Garde" w:cs="Arial"/>
          <w:sz w:val="22"/>
          <w:szCs w:val="22"/>
        </w:rPr>
        <w:t xml:space="preserve">de una posible discriminación, por lo que sería necesario </w:t>
      </w:r>
      <w:r w:rsidR="00236EC5" w:rsidRPr="00796CA6">
        <w:rPr>
          <w:rFonts w:ascii="ITC Avant Garde" w:hAnsi="ITC Avant Garde" w:cs="Arial"/>
          <w:sz w:val="22"/>
          <w:szCs w:val="22"/>
        </w:rPr>
        <w:t xml:space="preserve">obtener más información </w:t>
      </w:r>
      <w:r w:rsidRPr="00796CA6">
        <w:rPr>
          <w:rFonts w:ascii="ITC Avant Garde" w:hAnsi="ITC Avant Garde" w:cs="Arial"/>
          <w:sz w:val="22"/>
          <w:szCs w:val="22"/>
        </w:rPr>
        <w:t>con el fin de comprobar o descartar dicho comportamiento.</w:t>
      </w:r>
    </w:p>
    <w:p w14:paraId="3CC16333" w14:textId="5892B5F1" w:rsidR="00E57CA5" w:rsidRPr="00796CA6" w:rsidRDefault="003670F4" w:rsidP="00491ECD">
      <w:pPr>
        <w:pStyle w:val="NormalWeb"/>
        <w:spacing w:before="225" w:beforeAutospacing="0" w:after="225" w:afterAutospacing="0"/>
        <w:jc w:val="both"/>
        <w:rPr>
          <w:rFonts w:ascii="ITC Avant Garde" w:hAnsi="ITC Avant Garde" w:cs="Arial"/>
          <w:sz w:val="22"/>
          <w:szCs w:val="22"/>
        </w:rPr>
      </w:pPr>
      <w:r w:rsidRPr="00796CA6">
        <w:rPr>
          <w:rFonts w:ascii="ITC Avant Garde" w:hAnsi="ITC Avant Garde" w:cs="Arial"/>
          <w:sz w:val="22"/>
          <w:szCs w:val="22"/>
        </w:rPr>
        <w:t xml:space="preserve">Para </w:t>
      </w:r>
      <w:r w:rsidR="00DA7BBE" w:rsidRPr="00796CA6">
        <w:rPr>
          <w:rFonts w:ascii="ITC Avant Garde" w:hAnsi="ITC Avant Garde" w:cs="Arial"/>
          <w:sz w:val="22"/>
          <w:szCs w:val="22"/>
        </w:rPr>
        <w:t xml:space="preserve">efecto de la valoración de los ICD, el Instituto determina utilizar </w:t>
      </w:r>
      <w:r w:rsidRPr="00796CA6">
        <w:rPr>
          <w:rFonts w:ascii="ITC Avant Garde" w:hAnsi="ITC Avant Garde" w:cs="Arial"/>
          <w:sz w:val="22"/>
          <w:szCs w:val="22"/>
        </w:rPr>
        <w:t>un nivel de confianza del 95%</w:t>
      </w:r>
      <w:r w:rsidR="0072724D" w:rsidRPr="00796CA6">
        <w:rPr>
          <w:rStyle w:val="Refdenotaalpie"/>
          <w:rFonts w:ascii="ITC Avant Garde" w:hAnsi="ITC Avant Garde"/>
          <w:sz w:val="22"/>
        </w:rPr>
        <w:footnoteReference w:id="20"/>
      </w:r>
      <w:r w:rsidRPr="00796CA6">
        <w:rPr>
          <w:rFonts w:ascii="ITC Avant Garde" w:hAnsi="ITC Avant Garde" w:cs="Arial"/>
          <w:sz w:val="22"/>
          <w:szCs w:val="22"/>
        </w:rPr>
        <w:t xml:space="preserve">, </w:t>
      </w:r>
      <w:r w:rsidR="00DA7BBE" w:rsidRPr="00796CA6">
        <w:rPr>
          <w:rFonts w:ascii="ITC Avant Garde" w:hAnsi="ITC Avant Garde" w:cs="Arial"/>
          <w:sz w:val="22"/>
          <w:szCs w:val="22"/>
        </w:rPr>
        <w:t>cuyo</w:t>
      </w:r>
      <w:r w:rsidRPr="00796CA6">
        <w:rPr>
          <w:rFonts w:ascii="ITC Avant Garde" w:hAnsi="ITC Avant Garde" w:cs="Arial"/>
          <w:sz w:val="22"/>
          <w:szCs w:val="22"/>
        </w:rPr>
        <w:t xml:space="preserve"> rango de aceptación </w:t>
      </w:r>
      <w:r w:rsidR="00DA7BBE" w:rsidRPr="00796CA6">
        <w:rPr>
          <w:rFonts w:ascii="ITC Avant Garde" w:hAnsi="ITC Avant Garde" w:cs="Arial"/>
          <w:sz w:val="22"/>
          <w:szCs w:val="22"/>
        </w:rPr>
        <w:t xml:space="preserve">está entre </w:t>
      </w:r>
      <w:r w:rsidRPr="00796CA6">
        <w:rPr>
          <w:rFonts w:ascii="ITC Avant Garde" w:hAnsi="ITC Avant Garde" w:cs="Arial"/>
          <w:sz w:val="22"/>
          <w:szCs w:val="22"/>
        </w:rPr>
        <w:t xml:space="preserve">-1.96 </w:t>
      </w:r>
      <w:r w:rsidR="00DA7BBE" w:rsidRPr="00796CA6">
        <w:rPr>
          <w:rFonts w:ascii="ITC Avant Garde" w:hAnsi="ITC Avant Garde" w:cs="Arial"/>
          <w:sz w:val="22"/>
          <w:szCs w:val="22"/>
        </w:rPr>
        <w:t>y</w:t>
      </w:r>
      <w:r w:rsidRPr="00796CA6">
        <w:rPr>
          <w:rFonts w:ascii="ITC Avant Garde" w:hAnsi="ITC Avant Garde" w:cs="Arial"/>
          <w:sz w:val="22"/>
          <w:szCs w:val="22"/>
        </w:rPr>
        <w:t xml:space="preserve"> 1.96 y, siguiendo la hipótesis de que no hay diferencia </w:t>
      </w:r>
      <w:r w:rsidR="00FD2342" w:rsidRPr="00796CA6">
        <w:rPr>
          <w:rFonts w:ascii="ITC Avant Garde" w:hAnsi="ITC Avant Garde" w:cs="Arial"/>
          <w:sz w:val="22"/>
          <w:szCs w:val="22"/>
        </w:rPr>
        <w:t xml:space="preserve">estadística </w:t>
      </w:r>
      <w:r w:rsidRPr="00796CA6">
        <w:rPr>
          <w:rFonts w:ascii="ITC Avant Garde" w:hAnsi="ITC Avant Garde" w:cs="Arial"/>
          <w:sz w:val="22"/>
          <w:szCs w:val="22"/>
        </w:rPr>
        <w:t>en la provisión de los servicios internos y externos, el estadístico Z se debe de ubicar dentro del rango de aceptación, a lo largo del periodo de tiempo en que se realicen las mediciones</w:t>
      </w:r>
      <w:r w:rsidR="00147843" w:rsidRPr="00796CA6">
        <w:rPr>
          <w:rFonts w:ascii="ITC Avant Garde" w:hAnsi="ITC Avant Garde" w:cs="Arial"/>
          <w:sz w:val="22"/>
          <w:szCs w:val="22"/>
        </w:rPr>
        <w:t xml:space="preserve">, entendiendo que los </w:t>
      </w:r>
      <w:r w:rsidR="0007511A" w:rsidRPr="00796CA6">
        <w:rPr>
          <w:rFonts w:ascii="ITC Avant Garde" w:hAnsi="ITC Avant Garde" w:cs="Arial"/>
          <w:sz w:val="22"/>
          <w:szCs w:val="22"/>
        </w:rPr>
        <w:t xml:space="preserve">estadísticos </w:t>
      </w:r>
      <w:r w:rsidR="00147843" w:rsidRPr="00796CA6">
        <w:rPr>
          <w:rFonts w:ascii="ITC Avant Garde" w:hAnsi="ITC Avant Garde" w:cs="Arial"/>
          <w:sz w:val="22"/>
          <w:szCs w:val="22"/>
        </w:rPr>
        <w:t xml:space="preserve">que se ubican fuera del rango de aceptación, darán </w:t>
      </w:r>
      <w:r w:rsidR="0007511A" w:rsidRPr="00796CA6">
        <w:rPr>
          <w:rFonts w:ascii="ITC Avant Garde" w:hAnsi="ITC Avant Garde" w:cs="Arial"/>
          <w:sz w:val="22"/>
          <w:szCs w:val="22"/>
        </w:rPr>
        <w:t>señales</w:t>
      </w:r>
      <w:r w:rsidR="00147843" w:rsidRPr="00796CA6">
        <w:rPr>
          <w:rFonts w:ascii="ITC Avant Garde" w:hAnsi="ITC Avant Garde" w:cs="Arial"/>
          <w:sz w:val="22"/>
          <w:szCs w:val="22"/>
        </w:rPr>
        <w:t xml:space="preserve"> de un </w:t>
      </w:r>
      <w:r w:rsidR="0007511A" w:rsidRPr="00796CA6">
        <w:rPr>
          <w:rFonts w:ascii="ITC Avant Garde" w:hAnsi="ITC Avant Garde" w:cs="Arial"/>
          <w:sz w:val="22"/>
          <w:szCs w:val="22"/>
        </w:rPr>
        <w:t xml:space="preserve">posible </w:t>
      </w:r>
      <w:r w:rsidR="00147843" w:rsidRPr="00796CA6">
        <w:rPr>
          <w:rFonts w:ascii="ITC Avant Garde" w:hAnsi="ITC Avant Garde" w:cs="Arial"/>
          <w:sz w:val="22"/>
          <w:szCs w:val="22"/>
        </w:rPr>
        <w:t>trato favorable al AEP o a los otros operadores.</w:t>
      </w:r>
    </w:p>
    <w:p w14:paraId="62076F98" w14:textId="2A9F5163" w:rsidR="007F75B4" w:rsidRPr="00796CA6" w:rsidRDefault="00B27106" w:rsidP="00491ECD">
      <w:pPr>
        <w:pStyle w:val="NormalWeb"/>
        <w:spacing w:before="225" w:beforeAutospacing="0" w:after="225" w:afterAutospacing="0"/>
        <w:jc w:val="both"/>
        <w:rPr>
          <w:rFonts w:ascii="ITC Avant Garde" w:hAnsi="ITC Avant Garde" w:cs="Arial"/>
          <w:sz w:val="22"/>
          <w:szCs w:val="22"/>
        </w:rPr>
      </w:pPr>
      <w:r w:rsidRPr="00796CA6">
        <w:rPr>
          <w:rFonts w:ascii="ITC Avant Garde" w:hAnsi="ITC Avant Garde" w:cs="Arial"/>
          <w:sz w:val="22"/>
          <w:szCs w:val="22"/>
        </w:rPr>
        <w:t xml:space="preserve">En la </w:t>
      </w:r>
      <w:r w:rsidR="00236EC5" w:rsidRPr="00796CA6">
        <w:rPr>
          <w:rFonts w:ascii="ITC Avant Garde" w:hAnsi="ITC Avant Garde" w:cs="Arial"/>
          <w:sz w:val="22"/>
          <w:szCs w:val="22"/>
        </w:rPr>
        <w:t>Figura 1</w:t>
      </w:r>
      <w:r w:rsidRPr="00796CA6">
        <w:rPr>
          <w:rFonts w:ascii="ITC Avant Garde" w:hAnsi="ITC Avant Garde" w:cs="Arial"/>
          <w:sz w:val="22"/>
          <w:szCs w:val="22"/>
        </w:rPr>
        <w:t xml:space="preserve"> se muestra un ejemplo de las variaciones que </w:t>
      </w:r>
      <w:r w:rsidR="00DA7BBE" w:rsidRPr="00796CA6">
        <w:rPr>
          <w:rFonts w:ascii="ITC Avant Garde" w:hAnsi="ITC Avant Garde" w:cs="Arial"/>
          <w:sz w:val="22"/>
          <w:szCs w:val="22"/>
        </w:rPr>
        <w:t xml:space="preserve">podría </w:t>
      </w:r>
      <w:r w:rsidRPr="00796CA6">
        <w:rPr>
          <w:rFonts w:ascii="ITC Avant Garde" w:hAnsi="ITC Avant Garde" w:cs="Arial"/>
          <w:sz w:val="22"/>
          <w:szCs w:val="22"/>
        </w:rPr>
        <w:t xml:space="preserve">tener </w:t>
      </w:r>
      <w:r w:rsidR="00DA7BBE" w:rsidRPr="00796CA6">
        <w:rPr>
          <w:rFonts w:ascii="ITC Avant Garde" w:hAnsi="ITC Avant Garde" w:cs="Arial"/>
          <w:sz w:val="22"/>
          <w:szCs w:val="22"/>
        </w:rPr>
        <w:t xml:space="preserve">un </w:t>
      </w:r>
      <w:r w:rsidR="00233204" w:rsidRPr="00796CA6">
        <w:rPr>
          <w:rFonts w:ascii="ITC Avant Garde" w:hAnsi="ITC Avant Garde" w:cs="Arial"/>
          <w:sz w:val="22"/>
          <w:szCs w:val="22"/>
        </w:rPr>
        <w:t xml:space="preserve">ICD con el uso del estadístico </w:t>
      </w:r>
      <w:r w:rsidRPr="00796CA6">
        <w:rPr>
          <w:rFonts w:ascii="ITC Avant Garde" w:hAnsi="ITC Avant Garde" w:cs="Arial"/>
          <w:sz w:val="22"/>
          <w:szCs w:val="22"/>
        </w:rPr>
        <w:t>Z</w:t>
      </w:r>
      <w:r w:rsidR="00236EC5" w:rsidRPr="00796CA6">
        <w:rPr>
          <w:rFonts w:ascii="ITC Avant Garde" w:hAnsi="ITC Avant Garde" w:cs="Arial"/>
          <w:sz w:val="22"/>
          <w:szCs w:val="22"/>
        </w:rPr>
        <w:t xml:space="preserve">. En dicha figura se puede observar un nivel de confianza del 95%, cuyo rango de </w:t>
      </w:r>
      <w:r w:rsidR="00C87B9D" w:rsidRPr="00796CA6">
        <w:rPr>
          <w:rFonts w:ascii="ITC Avant Garde" w:hAnsi="ITC Avant Garde" w:cs="Arial"/>
          <w:sz w:val="22"/>
          <w:szCs w:val="22"/>
        </w:rPr>
        <w:t>a</w:t>
      </w:r>
      <w:r w:rsidR="00236EC5" w:rsidRPr="00796CA6">
        <w:rPr>
          <w:rFonts w:ascii="ITC Avant Garde" w:hAnsi="ITC Avant Garde" w:cs="Arial"/>
          <w:sz w:val="22"/>
          <w:szCs w:val="22"/>
        </w:rPr>
        <w:t>ceptación está entre -1.96 y 1.96.</w:t>
      </w:r>
    </w:p>
    <w:p w14:paraId="525112C7" w14:textId="77777777" w:rsidR="00861E16" w:rsidRPr="00796CA6" w:rsidRDefault="00BE7AF1" w:rsidP="00861E16">
      <w:pPr>
        <w:pStyle w:val="NormalWeb"/>
        <w:keepNext/>
        <w:spacing w:before="225" w:beforeAutospacing="0" w:after="225" w:afterAutospacing="0"/>
        <w:jc w:val="center"/>
      </w:pPr>
      <w:r w:rsidRPr="00796CA6">
        <w:rPr>
          <w:noProof/>
          <w:lang w:val="es-MX" w:eastAsia="es-MX"/>
        </w:rPr>
        <w:lastRenderedPageBreak/>
        <w:drawing>
          <wp:inline distT="0" distB="0" distL="0" distR="0" wp14:anchorId="28D9E8D7" wp14:editId="5C247C4E">
            <wp:extent cx="5493385" cy="2333548"/>
            <wp:effectExtent l="0" t="0" r="12065" b="10160"/>
            <wp:docPr id="15" name="Gráfico 15" descr="Ejemplo de mediciones del Estadístico Z" title="Image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4A401A" w14:textId="77777777" w:rsidR="007F75B4" w:rsidRPr="00796CA6" w:rsidRDefault="00861E16" w:rsidP="002917EE">
      <w:pPr>
        <w:pStyle w:val="Descripcin"/>
        <w:jc w:val="center"/>
      </w:pPr>
      <w:r w:rsidRPr="00796CA6">
        <w:rPr>
          <w:color w:val="auto"/>
        </w:rPr>
        <w:t>Figura 1. Ejemplo de mediciones del Estadístico Z</w:t>
      </w:r>
    </w:p>
    <w:p w14:paraId="3A89D6D3" w14:textId="77777777" w:rsidR="00491ECD" w:rsidRPr="00796CA6" w:rsidRDefault="006D66BB" w:rsidP="007D5230">
      <w:pPr>
        <w:pStyle w:val="NormalWeb"/>
        <w:spacing w:before="225" w:beforeAutospacing="0" w:after="225" w:afterAutospacing="0"/>
        <w:jc w:val="both"/>
        <w:rPr>
          <w:rFonts w:ascii="ITC Avant Garde" w:hAnsi="ITC Avant Garde" w:cs="Arial"/>
          <w:sz w:val="22"/>
          <w:szCs w:val="22"/>
        </w:rPr>
      </w:pPr>
      <w:r w:rsidRPr="00796CA6">
        <w:rPr>
          <w:rFonts w:ascii="ITC Avant Garde" w:hAnsi="ITC Avant Garde" w:cs="Arial"/>
          <w:sz w:val="22"/>
          <w:szCs w:val="22"/>
        </w:rPr>
        <w:t>Por otro lado, l</w:t>
      </w:r>
      <w:r w:rsidR="00491ECD" w:rsidRPr="00796CA6">
        <w:rPr>
          <w:rFonts w:ascii="ITC Avant Garde" w:hAnsi="ITC Avant Garde" w:cs="Arial"/>
          <w:sz w:val="22"/>
          <w:szCs w:val="22"/>
        </w:rPr>
        <w:t xml:space="preserve">a periodicidad con la que se </w:t>
      </w:r>
      <w:r w:rsidR="0007511A" w:rsidRPr="00796CA6">
        <w:rPr>
          <w:rFonts w:ascii="ITC Avant Garde" w:hAnsi="ITC Avant Garde" w:cs="Arial"/>
          <w:sz w:val="22"/>
          <w:szCs w:val="22"/>
        </w:rPr>
        <w:t xml:space="preserve">medirán </w:t>
      </w:r>
      <w:r w:rsidR="00491ECD" w:rsidRPr="00796CA6">
        <w:rPr>
          <w:rFonts w:ascii="ITC Avant Garde" w:hAnsi="ITC Avant Garde" w:cs="Arial"/>
          <w:sz w:val="22"/>
          <w:szCs w:val="22"/>
        </w:rPr>
        <w:t>los ICD s</w:t>
      </w:r>
      <w:r w:rsidR="005C7570" w:rsidRPr="00796CA6">
        <w:rPr>
          <w:rFonts w:ascii="ITC Avant Garde" w:hAnsi="ITC Avant Garde" w:cs="Arial"/>
          <w:sz w:val="22"/>
          <w:szCs w:val="22"/>
        </w:rPr>
        <w:t>e</w:t>
      </w:r>
      <w:r w:rsidR="00491ECD" w:rsidRPr="00796CA6">
        <w:rPr>
          <w:rFonts w:ascii="ITC Avant Garde" w:hAnsi="ITC Avant Garde" w:cs="Arial"/>
          <w:sz w:val="22"/>
          <w:szCs w:val="22"/>
        </w:rPr>
        <w:t xml:space="preserve"> determinará con base en el volumen y </w:t>
      </w:r>
      <w:r w:rsidR="005C7570" w:rsidRPr="00796CA6">
        <w:rPr>
          <w:rFonts w:ascii="ITC Avant Garde" w:hAnsi="ITC Avant Garde" w:cs="Arial"/>
          <w:sz w:val="22"/>
          <w:szCs w:val="22"/>
        </w:rPr>
        <w:t xml:space="preserve">la </w:t>
      </w:r>
      <w:r w:rsidR="00491ECD" w:rsidRPr="00796CA6">
        <w:rPr>
          <w:rFonts w:ascii="ITC Avant Garde" w:hAnsi="ITC Avant Garde" w:cs="Arial"/>
          <w:sz w:val="22"/>
          <w:szCs w:val="22"/>
        </w:rPr>
        <w:t>frecuencia de eventos registrados (variable</w:t>
      </w:r>
      <w:r w:rsidR="005C7570" w:rsidRPr="00796CA6">
        <w:rPr>
          <w:rFonts w:ascii="ITC Avant Garde" w:hAnsi="ITC Avant Garde" w:cs="Arial"/>
          <w:sz w:val="22"/>
          <w:szCs w:val="22"/>
        </w:rPr>
        <w:t>s</w:t>
      </w:r>
      <w:r w:rsidR="00491ECD" w:rsidRPr="00796CA6">
        <w:rPr>
          <w:rFonts w:ascii="ITC Avant Garde" w:hAnsi="ITC Avant Garde" w:cs="Arial"/>
          <w:sz w:val="22"/>
          <w:szCs w:val="22"/>
        </w:rPr>
        <w:t xml:space="preserve"> a medir) en la prestación de los </w:t>
      </w:r>
      <w:r w:rsidR="005C7570" w:rsidRPr="00796CA6">
        <w:rPr>
          <w:rFonts w:ascii="ITC Avant Garde" w:hAnsi="ITC Avant Garde" w:cs="Arial"/>
          <w:sz w:val="22"/>
          <w:szCs w:val="22"/>
        </w:rPr>
        <w:t>SMR</w:t>
      </w:r>
      <w:r w:rsidR="00491ECD" w:rsidRPr="00796CA6">
        <w:rPr>
          <w:rFonts w:ascii="ITC Avant Garde" w:hAnsi="ITC Avant Garde" w:cs="Arial"/>
          <w:sz w:val="22"/>
          <w:szCs w:val="22"/>
        </w:rPr>
        <w:t>, así como en la potencial afectación a la competencia derivada de un trato discriminatorio.</w:t>
      </w:r>
    </w:p>
    <w:p w14:paraId="55032B07" w14:textId="6796127A" w:rsidR="006C6A64" w:rsidRPr="00796CA6" w:rsidRDefault="008C6F19" w:rsidP="003C0212">
      <w:pPr>
        <w:rPr>
          <w:lang w:val="es-MX"/>
        </w:rPr>
      </w:pPr>
      <w:r w:rsidRPr="00796CA6">
        <w:rPr>
          <w:lang w:val="es-MX"/>
        </w:rPr>
        <w:t>Con el propósito de dar un seguimiento constante, se determina que los reportes de</w:t>
      </w:r>
      <w:r w:rsidR="00003D65" w:rsidRPr="00796CA6">
        <w:rPr>
          <w:lang w:val="es-MX"/>
        </w:rPr>
        <w:t xml:space="preserve"> los</w:t>
      </w:r>
      <w:r w:rsidR="005C7570" w:rsidRPr="00796CA6">
        <w:rPr>
          <w:lang w:val="es-MX"/>
        </w:rPr>
        <w:t xml:space="preserve"> ICD </w:t>
      </w:r>
      <w:r w:rsidRPr="00796CA6">
        <w:rPr>
          <w:lang w:val="es-MX"/>
        </w:rPr>
        <w:t xml:space="preserve">deberán ser presentados por el AEP ante </w:t>
      </w:r>
      <w:r w:rsidR="00C12DFC" w:rsidRPr="00796CA6">
        <w:rPr>
          <w:lang w:val="es-MX"/>
        </w:rPr>
        <w:t>el Instituto,</w:t>
      </w:r>
      <w:r w:rsidRPr="00796CA6">
        <w:rPr>
          <w:lang w:val="es-MX"/>
        </w:rPr>
        <w:t xml:space="preserve"> </w:t>
      </w:r>
      <w:r w:rsidR="00C12DFC" w:rsidRPr="00796CA6">
        <w:rPr>
          <w:lang w:val="es-MX"/>
        </w:rPr>
        <w:t xml:space="preserve">para su revisión en las reuniones del grupo de trabajo, </w:t>
      </w:r>
      <w:r w:rsidRPr="00796CA6">
        <w:rPr>
          <w:lang w:val="es-MX"/>
        </w:rPr>
        <w:t xml:space="preserve">de manera </w:t>
      </w:r>
      <w:r w:rsidR="0007511A" w:rsidRPr="00796CA6">
        <w:rPr>
          <w:lang w:val="es-MX"/>
        </w:rPr>
        <w:t>trimestral</w:t>
      </w:r>
      <w:r w:rsidRPr="00796CA6">
        <w:rPr>
          <w:lang w:val="es-MX"/>
        </w:rPr>
        <w:t xml:space="preserve">, </w:t>
      </w:r>
      <w:r w:rsidR="00C12DFC" w:rsidRPr="00796CA6">
        <w:rPr>
          <w:lang w:val="es-MX"/>
        </w:rPr>
        <w:t xml:space="preserve">sin menoscabo de que la </w:t>
      </w:r>
      <w:r w:rsidR="005C7570" w:rsidRPr="00796CA6">
        <w:rPr>
          <w:lang w:val="es-MX"/>
        </w:rPr>
        <w:t>periodicidad</w:t>
      </w:r>
      <w:r w:rsidR="00C12DFC" w:rsidRPr="00796CA6">
        <w:rPr>
          <w:lang w:val="es-MX"/>
        </w:rPr>
        <w:t xml:space="preserve"> </w:t>
      </w:r>
      <w:r w:rsidR="005C7570" w:rsidRPr="00796CA6">
        <w:rPr>
          <w:lang w:val="es-MX"/>
        </w:rPr>
        <w:t>con</w:t>
      </w:r>
      <w:r w:rsidR="00C12DFC" w:rsidRPr="00796CA6">
        <w:rPr>
          <w:lang w:val="es-MX"/>
        </w:rPr>
        <w:t xml:space="preserve"> la que se midan los ICD sea diferente a la frecuencia </w:t>
      </w:r>
      <w:r w:rsidR="00003D65" w:rsidRPr="00796CA6">
        <w:rPr>
          <w:lang w:val="es-MX"/>
        </w:rPr>
        <w:t xml:space="preserve">en </w:t>
      </w:r>
      <w:r w:rsidR="00C12DFC" w:rsidRPr="00796CA6">
        <w:rPr>
          <w:lang w:val="es-MX"/>
        </w:rPr>
        <w:t xml:space="preserve">que </w:t>
      </w:r>
      <w:r w:rsidR="005C7570" w:rsidRPr="00796CA6">
        <w:rPr>
          <w:lang w:val="es-MX"/>
        </w:rPr>
        <w:t xml:space="preserve">estos </w:t>
      </w:r>
      <w:r w:rsidR="00C12DFC" w:rsidRPr="00796CA6">
        <w:rPr>
          <w:lang w:val="es-MX"/>
        </w:rPr>
        <w:t>sean reportados</w:t>
      </w:r>
      <w:r w:rsidRPr="00796CA6">
        <w:rPr>
          <w:lang w:val="es-MX"/>
        </w:rPr>
        <w:t xml:space="preserve">. </w:t>
      </w:r>
      <w:r w:rsidR="00C12DFC" w:rsidRPr="00796CA6">
        <w:rPr>
          <w:lang w:val="es-MX"/>
        </w:rPr>
        <w:t xml:space="preserve">Es decir, los reportes deberán contener </w:t>
      </w:r>
      <w:r w:rsidR="0007511A" w:rsidRPr="00796CA6">
        <w:rPr>
          <w:lang w:val="es-MX"/>
        </w:rPr>
        <w:t xml:space="preserve">la medición de </w:t>
      </w:r>
      <w:r w:rsidR="00C12DFC" w:rsidRPr="00796CA6">
        <w:rPr>
          <w:lang w:val="es-MX"/>
        </w:rPr>
        <w:t xml:space="preserve">los ICD que por su frecuencia puedan ser incluidos en el reporte correspondiente. </w:t>
      </w:r>
      <w:r w:rsidR="006C6A64" w:rsidRPr="00796CA6">
        <w:rPr>
          <w:lang w:val="es-MX"/>
        </w:rPr>
        <w:t xml:space="preserve">Dichos reportes deberán contener </w:t>
      </w:r>
      <w:r w:rsidR="0007511A" w:rsidRPr="00796CA6">
        <w:rPr>
          <w:lang w:val="es-MX"/>
        </w:rPr>
        <w:t xml:space="preserve">el valor del ICD para </w:t>
      </w:r>
      <w:r w:rsidR="00FD3B3A" w:rsidRPr="00796CA6">
        <w:rPr>
          <w:lang w:val="es-MX"/>
        </w:rPr>
        <w:t xml:space="preserve">la </w:t>
      </w:r>
      <w:r w:rsidR="0007511A" w:rsidRPr="00796CA6">
        <w:rPr>
          <w:lang w:val="es-MX"/>
        </w:rPr>
        <w:t xml:space="preserve">provisión interna y para </w:t>
      </w:r>
      <w:r w:rsidR="00FD3B3A" w:rsidRPr="00796CA6">
        <w:rPr>
          <w:lang w:val="es-MX"/>
        </w:rPr>
        <w:t xml:space="preserve">la </w:t>
      </w:r>
      <w:r w:rsidR="0007511A" w:rsidRPr="00796CA6">
        <w:rPr>
          <w:lang w:val="es-MX"/>
        </w:rPr>
        <w:t>provisión externa (</w:t>
      </w:r>
      <m:oMath>
        <m:sSub>
          <m:sSubPr>
            <m:ctrlPr>
              <w:rPr>
                <w:rFonts w:ascii="Cambria Math" w:hAnsi="Cambria Math"/>
                <w:szCs w:val="32"/>
              </w:rPr>
            </m:ctrlPr>
          </m:sSubPr>
          <m:e>
            <m:acc>
              <m:accPr>
                <m:chr m:val="̅"/>
                <m:ctrlPr>
                  <w:rPr>
                    <w:rFonts w:ascii="Cambria Math" w:hAnsi="Cambria Math"/>
                    <w:szCs w:val="32"/>
                  </w:rPr>
                </m:ctrlPr>
              </m:accPr>
              <m:e>
                <m:r>
                  <w:rPr>
                    <w:rFonts w:ascii="Cambria Math" w:hAnsi="Cambria Math"/>
                    <w:szCs w:val="32"/>
                  </w:rPr>
                  <m:t>X</m:t>
                </m:r>
              </m:e>
            </m:acc>
          </m:e>
          <m:sub>
            <m:r>
              <w:rPr>
                <w:rFonts w:ascii="Cambria Math" w:hAnsi="Cambria Math"/>
                <w:szCs w:val="32"/>
              </w:rPr>
              <m:t>ext</m:t>
            </m:r>
          </m:sub>
        </m:sSub>
        <m:r>
          <m:rPr>
            <m:sty m:val="p"/>
          </m:rPr>
          <w:rPr>
            <w:rFonts w:ascii="Cambria Math" w:hAnsi="Cambria Math"/>
            <w:szCs w:val="32"/>
          </w:rPr>
          <m:t xml:space="preserve"> </m:t>
        </m:r>
        <m:r>
          <w:rPr>
            <w:rFonts w:ascii="Cambria Math" w:hAnsi="Cambria Math"/>
            <w:szCs w:val="32"/>
          </w:rPr>
          <m:t>y</m:t>
        </m:r>
        <m:r>
          <m:rPr>
            <m:sty m:val="p"/>
          </m:rPr>
          <w:rPr>
            <w:rFonts w:ascii="Cambria Math" w:hAnsi="Cambria Math"/>
            <w:szCs w:val="32"/>
          </w:rPr>
          <m:t xml:space="preserve"> </m:t>
        </m:r>
        <m:sSub>
          <m:sSubPr>
            <m:ctrlPr>
              <w:rPr>
                <w:rFonts w:ascii="Cambria Math" w:hAnsi="Cambria Math"/>
                <w:szCs w:val="32"/>
              </w:rPr>
            </m:ctrlPr>
          </m:sSubPr>
          <m:e>
            <m:acc>
              <m:accPr>
                <m:chr m:val="̅"/>
                <m:ctrlPr>
                  <w:rPr>
                    <w:rFonts w:ascii="Cambria Math" w:hAnsi="Cambria Math"/>
                    <w:szCs w:val="32"/>
                  </w:rPr>
                </m:ctrlPr>
              </m:accPr>
              <m:e>
                <m:r>
                  <w:rPr>
                    <w:rFonts w:ascii="Cambria Math" w:hAnsi="Cambria Math"/>
                    <w:szCs w:val="32"/>
                  </w:rPr>
                  <m:t>X</m:t>
                </m:r>
              </m:e>
            </m:acc>
          </m:e>
          <m:sub>
            <m:r>
              <w:rPr>
                <w:rFonts w:ascii="Cambria Math" w:hAnsi="Cambria Math"/>
                <w:szCs w:val="32"/>
              </w:rPr>
              <m:t>int</m:t>
            </m:r>
          </m:sub>
        </m:sSub>
        <m:r>
          <m:rPr>
            <m:sty m:val="p"/>
          </m:rPr>
          <w:rPr>
            <w:rFonts w:ascii="Cambria Math" w:hAnsi="Cambria Math"/>
            <w:szCs w:val="32"/>
          </w:rPr>
          <m:t>)</m:t>
        </m:r>
      </m:oMath>
      <w:r w:rsidR="00FD3B3A" w:rsidRPr="00796CA6">
        <w:rPr>
          <w:rFonts w:eastAsiaTheme="minorEastAsia"/>
          <w:szCs w:val="32"/>
        </w:rPr>
        <w:t xml:space="preserve">, </w:t>
      </w:r>
      <w:r w:rsidR="006C6A64" w:rsidRPr="00796CA6">
        <w:rPr>
          <w:lang w:val="es-MX"/>
        </w:rPr>
        <w:t xml:space="preserve">la representación gráfica de cada </w:t>
      </w:r>
      <w:r w:rsidR="0007511A" w:rsidRPr="00796CA6">
        <w:rPr>
          <w:lang w:val="es-MX"/>
        </w:rPr>
        <w:t>estadístico obtenido</w:t>
      </w:r>
      <w:r w:rsidR="006C6A64" w:rsidRPr="00796CA6">
        <w:rPr>
          <w:lang w:val="es-MX"/>
        </w:rPr>
        <w:t xml:space="preserve">, la </w:t>
      </w:r>
      <w:r w:rsidR="00FD3B3A" w:rsidRPr="00796CA6">
        <w:rPr>
          <w:lang w:val="es-MX"/>
        </w:rPr>
        <w:t>información de soporte</w:t>
      </w:r>
      <w:r w:rsidR="006C6A64" w:rsidRPr="00796CA6">
        <w:rPr>
          <w:lang w:val="es-MX"/>
        </w:rPr>
        <w:t xml:space="preserve"> a partir de la cual fue </w:t>
      </w:r>
      <w:r w:rsidR="00FD3B3A" w:rsidRPr="00796CA6">
        <w:rPr>
          <w:lang w:val="es-MX"/>
        </w:rPr>
        <w:t xml:space="preserve">calculado </w:t>
      </w:r>
      <w:r w:rsidR="006C6A64" w:rsidRPr="00796CA6">
        <w:rPr>
          <w:lang w:val="es-MX"/>
        </w:rPr>
        <w:t xml:space="preserve">cada </w:t>
      </w:r>
      <w:r w:rsidR="0007511A" w:rsidRPr="00796CA6">
        <w:rPr>
          <w:lang w:val="es-MX"/>
        </w:rPr>
        <w:t>indicador</w:t>
      </w:r>
      <w:r w:rsidR="006C6A64" w:rsidRPr="00796CA6">
        <w:rPr>
          <w:lang w:val="es-MX"/>
        </w:rPr>
        <w:t xml:space="preserve"> y la memoria de cálculo </w:t>
      </w:r>
      <w:r w:rsidR="0007511A" w:rsidRPr="00796CA6">
        <w:rPr>
          <w:lang w:val="es-MX"/>
        </w:rPr>
        <w:t xml:space="preserve">para </w:t>
      </w:r>
      <w:r w:rsidR="006C6A64" w:rsidRPr="00796CA6">
        <w:rPr>
          <w:lang w:val="es-MX"/>
        </w:rPr>
        <w:t xml:space="preserve">cada </w:t>
      </w:r>
      <w:r w:rsidR="0007511A" w:rsidRPr="00796CA6">
        <w:rPr>
          <w:lang w:val="es-MX"/>
        </w:rPr>
        <w:t>estadístico</w:t>
      </w:r>
      <w:r w:rsidR="006C6A64" w:rsidRPr="00796CA6">
        <w:rPr>
          <w:lang w:val="es-MX"/>
        </w:rPr>
        <w:t>.</w:t>
      </w:r>
    </w:p>
    <w:p w14:paraId="7596853B" w14:textId="090B907A" w:rsidR="00FD2342" w:rsidRPr="00796CA6" w:rsidRDefault="0090497A" w:rsidP="003C0212">
      <w:pPr>
        <w:rPr>
          <w:lang w:val="es-MX"/>
        </w:rPr>
      </w:pPr>
      <w:r w:rsidRPr="00796CA6">
        <w:rPr>
          <w:lang w:val="es-MX"/>
        </w:rPr>
        <w:t>Ahora bien, c</w:t>
      </w:r>
      <w:r w:rsidR="00BF7C4B" w:rsidRPr="00796CA6">
        <w:rPr>
          <w:lang w:val="es-MX"/>
        </w:rPr>
        <w:t xml:space="preserve">on el objetivo de asegurar </w:t>
      </w:r>
      <w:r w:rsidR="00003D65" w:rsidRPr="00796CA6">
        <w:rPr>
          <w:lang w:val="es-MX"/>
        </w:rPr>
        <w:t xml:space="preserve">la transparencia y detectar oportunamente </w:t>
      </w:r>
      <w:r w:rsidR="00CD6DF7" w:rsidRPr="00796CA6">
        <w:rPr>
          <w:lang w:val="es-MX"/>
        </w:rPr>
        <w:t>un posible trato</w:t>
      </w:r>
      <w:r w:rsidRPr="00796CA6">
        <w:rPr>
          <w:lang w:val="es-MX"/>
        </w:rPr>
        <w:t xml:space="preserve"> discri</w:t>
      </w:r>
      <w:r w:rsidR="00BF7C4B" w:rsidRPr="00796CA6">
        <w:rPr>
          <w:lang w:val="es-MX"/>
        </w:rPr>
        <w:t>minatorio, los ICD</w:t>
      </w:r>
      <w:r w:rsidR="00EE59E7" w:rsidRPr="00796CA6">
        <w:rPr>
          <w:lang w:val="es-MX"/>
        </w:rPr>
        <w:t xml:space="preserve">, </w:t>
      </w:r>
      <w:r w:rsidR="00930CC2" w:rsidRPr="00796CA6">
        <w:rPr>
          <w:lang w:val="es-MX"/>
        </w:rPr>
        <w:t xml:space="preserve">estadísticos, </w:t>
      </w:r>
      <w:r w:rsidR="00EE59E7" w:rsidRPr="00796CA6">
        <w:rPr>
          <w:lang w:val="es-MX"/>
        </w:rPr>
        <w:t>memorias de cálculo y gráficas,</w:t>
      </w:r>
      <w:r w:rsidR="00BF7C4B" w:rsidRPr="00796CA6">
        <w:rPr>
          <w:lang w:val="es-MX"/>
        </w:rPr>
        <w:t xml:space="preserve"> </w:t>
      </w:r>
      <w:r w:rsidRPr="00796CA6">
        <w:rPr>
          <w:lang w:val="es-MX"/>
        </w:rPr>
        <w:t>d</w:t>
      </w:r>
      <w:r w:rsidR="008C6F19" w:rsidRPr="00796CA6">
        <w:rPr>
          <w:lang w:val="es-MX"/>
        </w:rPr>
        <w:t>eb</w:t>
      </w:r>
      <w:r w:rsidRPr="00796CA6">
        <w:rPr>
          <w:lang w:val="es-MX"/>
        </w:rPr>
        <w:t>erán ser</w:t>
      </w:r>
      <w:r w:rsidR="008C6F19" w:rsidRPr="00796CA6">
        <w:rPr>
          <w:lang w:val="es-MX"/>
        </w:rPr>
        <w:t xml:space="preserve"> pub</w:t>
      </w:r>
      <w:r w:rsidR="005063E8" w:rsidRPr="00796CA6">
        <w:rPr>
          <w:lang w:val="es-MX"/>
        </w:rPr>
        <w:t>licados por el AEP, a más tardar</w:t>
      </w:r>
      <w:r w:rsidR="008C6F19" w:rsidRPr="00796CA6">
        <w:rPr>
          <w:lang w:val="es-MX"/>
        </w:rPr>
        <w:t xml:space="preserve"> </w:t>
      </w:r>
      <w:r w:rsidR="005063E8" w:rsidRPr="00796CA6">
        <w:rPr>
          <w:lang w:val="es-MX"/>
        </w:rPr>
        <w:t>diez días hábiles posteriores a su presentación</w:t>
      </w:r>
      <w:r w:rsidR="00FE1F9F" w:rsidRPr="00796CA6">
        <w:rPr>
          <w:lang w:val="es-MX"/>
        </w:rPr>
        <w:t xml:space="preserve"> ante el </w:t>
      </w:r>
      <w:r w:rsidR="00930CC2" w:rsidRPr="00796CA6">
        <w:rPr>
          <w:lang w:val="es-MX"/>
        </w:rPr>
        <w:t>g</w:t>
      </w:r>
      <w:r w:rsidR="00FE1F9F" w:rsidRPr="00796CA6">
        <w:rPr>
          <w:lang w:val="es-MX"/>
        </w:rPr>
        <w:t xml:space="preserve">rupo de </w:t>
      </w:r>
      <w:r w:rsidR="00930CC2" w:rsidRPr="00796CA6">
        <w:rPr>
          <w:lang w:val="es-MX"/>
        </w:rPr>
        <w:t>t</w:t>
      </w:r>
      <w:r w:rsidR="00FE1F9F" w:rsidRPr="00796CA6">
        <w:rPr>
          <w:lang w:val="es-MX"/>
        </w:rPr>
        <w:t>rabajo</w:t>
      </w:r>
      <w:r w:rsidR="00003D65" w:rsidRPr="00796CA6">
        <w:rPr>
          <w:lang w:val="es-MX"/>
        </w:rPr>
        <w:t>, a través de</w:t>
      </w:r>
      <w:r w:rsidR="008C6F19" w:rsidRPr="00796CA6">
        <w:rPr>
          <w:lang w:val="es-MX"/>
        </w:rPr>
        <w:t xml:space="preserve"> la página </w:t>
      </w:r>
      <w:r w:rsidR="00003D65" w:rsidRPr="00796CA6">
        <w:rPr>
          <w:lang w:val="es-MX"/>
        </w:rPr>
        <w:t>de internet</w:t>
      </w:r>
      <w:r w:rsidR="008C6F19" w:rsidRPr="00796CA6">
        <w:rPr>
          <w:lang w:val="es-MX"/>
        </w:rPr>
        <w:t xml:space="preserve"> del AEP.</w:t>
      </w:r>
    </w:p>
    <w:p w14:paraId="5B0DCD09" w14:textId="77777777" w:rsidR="00605061" w:rsidRPr="00796CA6" w:rsidRDefault="00605061" w:rsidP="003C0212">
      <w:pPr>
        <w:rPr>
          <w:lang w:val="es-MX"/>
        </w:rPr>
      </w:pPr>
      <w:r w:rsidRPr="00796CA6">
        <w:rPr>
          <w:b/>
        </w:rPr>
        <w:t>CUARTO</w:t>
      </w:r>
      <w:r w:rsidR="00FD2342" w:rsidRPr="00796CA6">
        <w:rPr>
          <w:b/>
        </w:rPr>
        <w:t>.</w:t>
      </w:r>
      <w:r w:rsidR="00FD2342" w:rsidRPr="00796CA6">
        <w:rPr>
          <w:b/>
        </w:rPr>
        <w:tab/>
      </w:r>
      <w:r w:rsidRPr="00796CA6">
        <w:rPr>
          <w:b/>
        </w:rPr>
        <w:t xml:space="preserve">Seguimiento a los reportes de </w:t>
      </w:r>
      <w:r w:rsidR="00FD2342" w:rsidRPr="00796CA6">
        <w:rPr>
          <w:b/>
        </w:rPr>
        <w:t>ICD.</w:t>
      </w:r>
      <w:r w:rsidR="00FD2342" w:rsidRPr="00796CA6">
        <w:tab/>
      </w:r>
      <w:r w:rsidRPr="00796CA6">
        <w:t>De confor</w:t>
      </w:r>
      <w:r w:rsidR="00672E7E" w:rsidRPr="00796CA6">
        <w:t>midad con lo establecido por la medida</w:t>
      </w:r>
      <w:r w:rsidRPr="00796CA6">
        <w:t xml:space="preserve"> </w:t>
      </w:r>
      <w:r w:rsidRPr="00796CA6">
        <w:rPr>
          <w:lang w:val="es-MX"/>
        </w:rPr>
        <w:t>Septuagésim</w:t>
      </w:r>
      <w:r w:rsidR="00B27106" w:rsidRPr="00796CA6">
        <w:rPr>
          <w:lang w:val="es-MX"/>
        </w:rPr>
        <w:t>a N</w:t>
      </w:r>
      <w:r w:rsidRPr="00796CA6">
        <w:rPr>
          <w:lang w:val="es-MX"/>
        </w:rPr>
        <w:t>ovena del Anexo 1</w:t>
      </w:r>
      <w:r w:rsidR="00225FA4" w:rsidRPr="00796CA6">
        <w:rPr>
          <w:lang w:val="es-MX"/>
        </w:rPr>
        <w:t xml:space="preserve"> de la Resolución Bienal 2017</w:t>
      </w:r>
      <w:r w:rsidRPr="00796CA6">
        <w:rPr>
          <w:lang w:val="es-MX"/>
        </w:rPr>
        <w:t xml:space="preserve">, el grupo de trabajo, conformado por miembros del AEP y del Instituto, revisará los reportes de </w:t>
      </w:r>
      <w:r w:rsidR="005063E8" w:rsidRPr="00796CA6">
        <w:rPr>
          <w:lang w:val="es-MX"/>
        </w:rPr>
        <w:t xml:space="preserve">desempeño elaborados </w:t>
      </w:r>
      <w:r w:rsidR="00930CC2" w:rsidRPr="00796CA6">
        <w:rPr>
          <w:lang w:val="es-MX"/>
        </w:rPr>
        <w:t xml:space="preserve">y presentados </w:t>
      </w:r>
      <w:r w:rsidR="005063E8" w:rsidRPr="00796CA6">
        <w:rPr>
          <w:lang w:val="es-MX"/>
        </w:rPr>
        <w:t>por el AEP.</w:t>
      </w:r>
    </w:p>
    <w:p w14:paraId="3B7FC61C" w14:textId="240AB6A8" w:rsidR="005063E8" w:rsidRPr="00796CA6" w:rsidRDefault="005063E8" w:rsidP="003C0212">
      <w:pPr>
        <w:rPr>
          <w:lang w:val="es-MX"/>
        </w:rPr>
      </w:pPr>
      <w:r w:rsidRPr="00796CA6">
        <w:rPr>
          <w:lang w:val="es-MX"/>
        </w:rPr>
        <w:lastRenderedPageBreak/>
        <w:t>En caso de detectarse diferencias en la provisión de SMR</w:t>
      </w:r>
      <w:r w:rsidR="00930CC2" w:rsidRPr="00796CA6">
        <w:rPr>
          <w:lang w:val="es-MX"/>
        </w:rPr>
        <w:t>, con base en los estadísticos obtenidos</w:t>
      </w:r>
      <w:r w:rsidRPr="00796CA6">
        <w:rPr>
          <w:lang w:val="es-MX"/>
        </w:rPr>
        <w:t xml:space="preserve">, el AEP </w:t>
      </w:r>
      <w:r w:rsidR="00EE59E7" w:rsidRPr="00796CA6">
        <w:rPr>
          <w:lang w:val="es-MX"/>
        </w:rPr>
        <w:t xml:space="preserve">tendrá la oportunidad de exponer </w:t>
      </w:r>
      <w:r w:rsidRPr="00796CA6">
        <w:rPr>
          <w:lang w:val="es-MX"/>
        </w:rPr>
        <w:t xml:space="preserve">los elementos que, bajo su consideración, expliquen o justifiquen dichas diferencias. </w:t>
      </w:r>
      <w:r w:rsidR="001008D9" w:rsidRPr="00796CA6">
        <w:rPr>
          <w:lang w:val="es-MX"/>
        </w:rPr>
        <w:t>Asimismo,</w:t>
      </w:r>
      <w:r w:rsidR="000B1492" w:rsidRPr="00796CA6">
        <w:rPr>
          <w:lang w:val="es-MX"/>
        </w:rPr>
        <w:t xml:space="preserve"> el Instituto podrá emitir requerimientos de información, ordenar prácticas de visitas de verificación y/o realizar cualquier actuación y diligencia que considere pertinente a efecto de contar con elementos para, en su caso, determinar un incumplimiento a la obligación del AEP de ofrecer un trato no discriminatorio</w:t>
      </w:r>
      <w:r w:rsidR="00930CC2" w:rsidRPr="00796CA6">
        <w:rPr>
          <w:lang w:val="es-MX"/>
        </w:rPr>
        <w:t>.</w:t>
      </w:r>
    </w:p>
    <w:p w14:paraId="3D78E2EB" w14:textId="77777777" w:rsidR="00BE7EA6" w:rsidRPr="00796CA6" w:rsidRDefault="00BE7EA6" w:rsidP="003C0212">
      <w:pPr>
        <w:rPr>
          <w:lang w:val="es-MX"/>
        </w:rPr>
      </w:pPr>
      <w:r w:rsidRPr="00796CA6">
        <w:rPr>
          <w:lang w:val="es-MX"/>
        </w:rPr>
        <w:t xml:space="preserve">Independientemente del resultado de los reportes de desempeño y de las decisiones que se adopten en los grupos de trabajo, el Instituto, en todo momento, está facultado para llevar a cabo investigaciones y procedimientos para determinar el cumplimiento de la no discriminación, y podrá tomar </w:t>
      </w:r>
      <w:r w:rsidR="00A840E2" w:rsidRPr="00796CA6">
        <w:rPr>
          <w:lang w:val="es-MX"/>
        </w:rPr>
        <w:t xml:space="preserve">los reportes </w:t>
      </w:r>
      <w:r w:rsidRPr="00796CA6">
        <w:rPr>
          <w:lang w:val="es-MX"/>
        </w:rPr>
        <w:t xml:space="preserve">como referencia, cuando </w:t>
      </w:r>
      <w:r w:rsidR="00A840E2" w:rsidRPr="00796CA6">
        <w:rPr>
          <w:lang w:val="es-MX"/>
        </w:rPr>
        <w:t xml:space="preserve">así </w:t>
      </w:r>
      <w:r w:rsidRPr="00796CA6">
        <w:rPr>
          <w:lang w:val="es-MX"/>
        </w:rPr>
        <w:t>lo considere apropiado</w:t>
      </w:r>
      <w:r w:rsidR="00A840E2" w:rsidRPr="00796CA6">
        <w:rPr>
          <w:lang w:val="es-MX"/>
        </w:rPr>
        <w:t>.</w:t>
      </w:r>
    </w:p>
    <w:p w14:paraId="3F530299" w14:textId="0622B43F" w:rsidR="00CE217A" w:rsidRPr="00796CA6" w:rsidRDefault="003468AD" w:rsidP="00221303">
      <w:pPr>
        <w:rPr>
          <w:lang w:val="es-MX"/>
        </w:rPr>
      </w:pPr>
      <w:r w:rsidRPr="00796CA6">
        <w:rPr>
          <w:lang w:val="es-MX"/>
        </w:rPr>
        <w:t xml:space="preserve">Por otro lado, con el objetivo de garantizar la veracidad y precisión de los datos utilizados para la construcción de los ICD, es importante que los Reportes de Desempeño </w:t>
      </w:r>
      <w:r w:rsidR="00092940" w:rsidRPr="00796CA6">
        <w:rPr>
          <w:lang w:val="es-MX"/>
        </w:rPr>
        <w:t xml:space="preserve">se presenten </w:t>
      </w:r>
      <w:r w:rsidRPr="00796CA6">
        <w:rPr>
          <w:lang w:val="es-MX"/>
        </w:rPr>
        <w:t xml:space="preserve">validados por un auditor externo, sin perjuicio de que el Instituto, de considerarlo necesario, lleve a cabo una </w:t>
      </w:r>
      <w:r w:rsidR="00725413" w:rsidRPr="00796CA6">
        <w:rPr>
          <w:lang w:val="es-MX"/>
        </w:rPr>
        <w:t xml:space="preserve">validación </w:t>
      </w:r>
      <w:r w:rsidRPr="00796CA6">
        <w:rPr>
          <w:lang w:val="es-MX"/>
        </w:rPr>
        <w:t>de la información presentada por el AEP</w:t>
      </w:r>
      <w:r w:rsidR="00221303" w:rsidRPr="00796CA6">
        <w:rPr>
          <w:lang w:val="es-MX"/>
        </w:rPr>
        <w:t>.</w:t>
      </w:r>
    </w:p>
    <w:p w14:paraId="59D9AD98" w14:textId="77777777" w:rsidR="004C3C7E" w:rsidRPr="00796CA6" w:rsidRDefault="00233204" w:rsidP="003C0212">
      <w:pPr>
        <w:rPr>
          <w:lang w:val="es-MX"/>
        </w:rPr>
      </w:pPr>
      <w:r w:rsidRPr="00796CA6">
        <w:rPr>
          <w:lang w:val="es-MX"/>
        </w:rPr>
        <w:t xml:space="preserve">Por lo anteriormente expuesto y con fundamento en los artículos 28 </w:t>
      </w:r>
      <w:r w:rsidRPr="00796CA6">
        <w:rPr>
          <w:rFonts w:cs="Courier New"/>
          <w:kern w:val="1"/>
          <w:lang w:eastAsia="ar-SA"/>
        </w:rPr>
        <w:t xml:space="preserve">párrafos décimo quinto y décimo sexto </w:t>
      </w:r>
      <w:r w:rsidRPr="00796CA6">
        <w:rPr>
          <w:lang w:val="es-MX"/>
        </w:rPr>
        <w:t xml:space="preserve">de la Constitución Política de los Estados Unidos Mexicanos; 1, 2, 7, 15 fracción LXIII, 16 y 17 fracción XV de la Ley Federal de Telecomunicaciones y Radiodifusión; 1, 4 fracción I y 6 fracción XXXVIII del </w:t>
      </w:r>
      <w:r w:rsidR="001A6394" w:rsidRPr="00796CA6">
        <w:rPr>
          <w:lang w:val="es-MX"/>
        </w:rPr>
        <w:t xml:space="preserve">Estatuto Orgánico del Instituto Federal de Telecomunicaciones, </w:t>
      </w:r>
      <w:r w:rsidR="00F56A48" w:rsidRPr="00796CA6">
        <w:rPr>
          <w:lang w:val="es-MX"/>
        </w:rPr>
        <w:t xml:space="preserve">así como en las </w:t>
      </w:r>
      <w:r w:rsidR="00C2270F" w:rsidRPr="00796CA6">
        <w:rPr>
          <w:lang w:val="es-MX"/>
        </w:rPr>
        <w:t xml:space="preserve">medidas </w:t>
      </w:r>
      <w:r w:rsidR="00793476" w:rsidRPr="00796CA6">
        <w:t>Septuagésima Octava y Transitoria Quinta</w:t>
      </w:r>
      <w:r w:rsidR="00B86E12" w:rsidRPr="00796CA6">
        <w:t xml:space="preserve"> del Anexo </w:t>
      </w:r>
      <w:r w:rsidR="00793476" w:rsidRPr="00796CA6">
        <w:t>1</w:t>
      </w:r>
      <w:r w:rsidR="00B86E12" w:rsidRPr="00796CA6">
        <w:t xml:space="preserve"> </w:t>
      </w:r>
      <w:r w:rsidR="001A765A" w:rsidRPr="00796CA6">
        <w:t xml:space="preserve">de la </w:t>
      </w:r>
      <w:r w:rsidR="00C2270F" w:rsidRPr="00796CA6">
        <w:t xml:space="preserve">Resolución </w:t>
      </w:r>
      <w:r w:rsidR="00C2270F" w:rsidRPr="00796CA6">
        <w:rPr>
          <w:lang w:val="es-MX"/>
        </w:rPr>
        <w:t xml:space="preserve">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el Pleno de </w:t>
      </w:r>
      <w:r w:rsidR="001A6394" w:rsidRPr="00796CA6">
        <w:rPr>
          <w:lang w:val="es-MX"/>
        </w:rPr>
        <w:t xml:space="preserve">este Instituto Federal Telecomunicaciones </w:t>
      </w:r>
      <w:r w:rsidR="00F56A48" w:rsidRPr="00796CA6">
        <w:rPr>
          <w:lang w:val="es-MX"/>
        </w:rPr>
        <w:t>emite el</w:t>
      </w:r>
      <w:r w:rsidR="001A6394" w:rsidRPr="00796CA6">
        <w:rPr>
          <w:lang w:val="es-MX"/>
        </w:rPr>
        <w:t xml:space="preserve"> siguiente:</w:t>
      </w:r>
    </w:p>
    <w:p w14:paraId="3BA332FC" w14:textId="1CDEB261" w:rsidR="008710F7" w:rsidRPr="00796CA6" w:rsidRDefault="008710F7" w:rsidP="00796CA6">
      <w:pPr>
        <w:pStyle w:val="Ttulo2"/>
      </w:pPr>
      <w:r w:rsidRPr="00796CA6">
        <w:t>ACUERDO</w:t>
      </w:r>
    </w:p>
    <w:p w14:paraId="7E0EF51B" w14:textId="7EE7C788" w:rsidR="00AC14D6" w:rsidRPr="00796CA6" w:rsidRDefault="003C0212" w:rsidP="003C0212">
      <w:pPr>
        <w:rPr>
          <w:rStyle w:val="Ttulo3Car"/>
          <w:b w:val="0"/>
          <w:szCs w:val="22"/>
        </w:rPr>
      </w:pPr>
      <w:r w:rsidRPr="00796CA6">
        <w:rPr>
          <w:rStyle w:val="Ttulo3Car"/>
          <w:rFonts w:eastAsia="Arial Unicode MS" w:cs="Courier New"/>
          <w:szCs w:val="22"/>
          <w:lang w:val="es-MX" w:eastAsia="es-ES"/>
        </w:rPr>
        <w:t xml:space="preserve">PRIMERO. </w:t>
      </w:r>
      <w:r w:rsidR="00AC2CA2" w:rsidRPr="00796CA6">
        <w:rPr>
          <w:lang w:val="es-MX"/>
        </w:rPr>
        <w:t xml:space="preserve">El Pleno del Instituto Federal de Telecomunicaciones </w:t>
      </w:r>
      <w:r w:rsidR="004C3C7E" w:rsidRPr="00796CA6">
        <w:rPr>
          <w:lang w:val="es-MX"/>
        </w:rPr>
        <w:t>emite</w:t>
      </w:r>
      <w:r w:rsidR="00AC2CA2" w:rsidRPr="00796CA6">
        <w:rPr>
          <w:lang w:val="es-MX"/>
        </w:rPr>
        <w:t xml:space="preserve"> </w:t>
      </w:r>
      <w:r w:rsidR="00AC2CA2" w:rsidRPr="00796CA6">
        <w:rPr>
          <w:rStyle w:val="Ttulo3Car"/>
          <w:rFonts w:eastAsia="Arial Unicode MS" w:cs="Courier New"/>
          <w:b w:val="0"/>
          <w:szCs w:val="22"/>
          <w:lang w:val="es-MX" w:eastAsia="es-ES"/>
        </w:rPr>
        <w:t>los Indicadores Clave de D</w:t>
      </w:r>
      <w:r w:rsidR="004C3C7E" w:rsidRPr="00796CA6">
        <w:rPr>
          <w:rStyle w:val="Ttulo3Car"/>
          <w:rFonts w:eastAsia="Arial Unicode MS" w:cs="Courier New"/>
          <w:b w:val="0"/>
          <w:szCs w:val="22"/>
          <w:lang w:val="es-MX" w:eastAsia="es-ES"/>
        </w:rPr>
        <w:t>esempeño a que se refieren la</w:t>
      </w:r>
      <w:r w:rsidR="00674947" w:rsidRPr="00796CA6">
        <w:rPr>
          <w:rStyle w:val="Ttulo3Car"/>
          <w:rFonts w:eastAsia="Arial Unicode MS" w:cs="Courier New"/>
          <w:b w:val="0"/>
          <w:szCs w:val="22"/>
          <w:lang w:val="es-MX" w:eastAsia="es-ES"/>
        </w:rPr>
        <w:t>s</w:t>
      </w:r>
      <w:r w:rsidR="004C3C7E" w:rsidRPr="00796CA6">
        <w:rPr>
          <w:rStyle w:val="Ttulo3Car"/>
          <w:rFonts w:eastAsia="Arial Unicode MS" w:cs="Courier New"/>
          <w:b w:val="0"/>
          <w:szCs w:val="22"/>
          <w:lang w:val="es-MX" w:eastAsia="es-ES"/>
        </w:rPr>
        <w:t xml:space="preserve"> medidas</w:t>
      </w:r>
      <w:r w:rsidR="00AC2CA2" w:rsidRPr="00796CA6">
        <w:rPr>
          <w:rStyle w:val="Ttulo3Car"/>
          <w:rFonts w:eastAsia="Arial Unicode MS" w:cs="Courier New"/>
          <w:b w:val="0"/>
          <w:szCs w:val="22"/>
          <w:lang w:val="es-MX" w:eastAsia="es-ES"/>
        </w:rPr>
        <w:t xml:space="preserve"> </w:t>
      </w:r>
      <w:r w:rsidR="00AC2CA2" w:rsidRPr="00796CA6">
        <w:t>Septuagésima Octava y</w:t>
      </w:r>
      <w:r w:rsidR="004C3C7E" w:rsidRPr="00796CA6">
        <w:t xml:space="preserve"> Quinta Transitoria del Anexo 1</w:t>
      </w:r>
      <w:r w:rsidR="00F42CBC" w:rsidRPr="00796CA6">
        <w:t xml:space="preserve"> </w:t>
      </w:r>
      <w:r w:rsidR="004C3C7E" w:rsidRPr="00796CA6">
        <w:t>de</w:t>
      </w:r>
      <w:r w:rsidR="00AC2CA2" w:rsidRPr="00796CA6">
        <w:t xml:space="preserve"> la </w:t>
      </w:r>
      <w:r w:rsidR="00D13E00" w:rsidRPr="00796CA6">
        <w:t>“</w:t>
      </w:r>
      <w:r w:rsidR="00C72673" w:rsidRPr="00796CA6">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00D13E00" w:rsidRPr="00796CA6">
        <w:t>”</w:t>
      </w:r>
      <w:r w:rsidR="00C72673" w:rsidRPr="00796CA6">
        <w:t xml:space="preserve">, y los </w:t>
      </w:r>
      <w:r w:rsidR="00BA48D8" w:rsidRPr="00796CA6">
        <w:t>términos</w:t>
      </w:r>
      <w:r w:rsidR="001E06B9" w:rsidRPr="00796CA6">
        <w:t>, formatos y plazos</w:t>
      </w:r>
      <w:r w:rsidR="00C72673" w:rsidRPr="00796CA6">
        <w:t xml:space="preserve"> para su medición, reporte y seguimiento</w:t>
      </w:r>
      <w:r w:rsidR="00AC2CA2" w:rsidRPr="00796CA6">
        <w:t xml:space="preserve">, mismos que </w:t>
      </w:r>
      <w:r w:rsidR="00D13E00" w:rsidRPr="00796CA6">
        <w:t>como anexo se adjuntan al presente acuerdo</w:t>
      </w:r>
      <w:r w:rsidR="00F220F9" w:rsidRPr="00796CA6">
        <w:t>.</w:t>
      </w:r>
    </w:p>
    <w:p w14:paraId="1EDE1687" w14:textId="25083613" w:rsidR="00282A14" w:rsidRPr="00796CA6" w:rsidRDefault="008A273A" w:rsidP="00AC2CA2">
      <w:pPr>
        <w:rPr>
          <w:color w:val="37424A" w:themeColor="text1"/>
          <w:lang w:val="es-MX"/>
        </w:rPr>
      </w:pPr>
      <w:r w:rsidRPr="00796CA6">
        <w:rPr>
          <w:rStyle w:val="Ttulo3Car"/>
          <w:rFonts w:eastAsia="Arial Unicode MS" w:cs="Courier New"/>
          <w:szCs w:val="22"/>
          <w:lang w:val="es-MX" w:eastAsia="es-ES"/>
        </w:rPr>
        <w:t xml:space="preserve">SEGUNDO. </w:t>
      </w:r>
      <w:r w:rsidR="00AC2CA2" w:rsidRPr="00796CA6">
        <w:rPr>
          <w:lang w:val="es-MX"/>
        </w:rPr>
        <w:t>Notifíquese personalmente a los integrantes del Agente Económico Preponderante.</w:t>
      </w:r>
    </w:p>
    <w:p w14:paraId="0B3B2863" w14:textId="77777777" w:rsidR="00621028" w:rsidRPr="00796CA6" w:rsidRDefault="00621028" w:rsidP="00621028">
      <w:pPr>
        <w:spacing w:before="0" w:after="0" w:line="240" w:lineRule="auto"/>
        <w:rPr>
          <w:sz w:val="12"/>
          <w:szCs w:val="12"/>
          <w:lang w:val="es-MX"/>
        </w:rPr>
      </w:pPr>
      <w:r w:rsidRPr="00796CA6">
        <w:rPr>
          <w:sz w:val="12"/>
          <w:szCs w:val="12"/>
        </w:rPr>
        <w:lastRenderedPageBreak/>
        <w:t xml:space="preserve">El presente Acuerdo fue aprobado por el Pleno del Instituto Federal de Telecomunicaciones en su XXIV Sesión Ordinaria celebrada el 15 de junio de 2017, </w:t>
      </w:r>
      <w:r w:rsidRPr="00796CA6">
        <w:rPr>
          <w:bCs/>
          <w:sz w:val="12"/>
          <w:szCs w:val="12"/>
        </w:rPr>
        <w:t>en lo general</w:t>
      </w:r>
      <w:r w:rsidRPr="00796CA6">
        <w:rPr>
          <w:sz w:val="12"/>
          <w:szCs w:val="12"/>
        </w:rPr>
        <w:t xml:space="preserve"> </w:t>
      </w:r>
      <w:r w:rsidRPr="00796CA6">
        <w:rPr>
          <w:bCs/>
          <w:sz w:val="12"/>
          <w:szCs w:val="12"/>
        </w:rPr>
        <w:t xml:space="preserve">por unanimidad </w:t>
      </w:r>
      <w:r w:rsidRPr="00796CA6">
        <w:rPr>
          <w:sz w:val="12"/>
          <w:szCs w:val="12"/>
        </w:rPr>
        <w:t xml:space="preserve">de votos de los Comisionados Gabriel Oswaldo Contreras Saldívar, Adriana Sofía Labardini Inzunza, María Elena Estavillo Flores, Mario Germán Fromow Rangel, Adolfo Cuevas Teja, Javier Juárez Mojica y Arturo Robles Rovalo. </w:t>
      </w:r>
    </w:p>
    <w:p w14:paraId="5EAE81E5" w14:textId="77777777" w:rsidR="00621028" w:rsidRPr="00796CA6" w:rsidRDefault="00621028" w:rsidP="00621028">
      <w:pPr>
        <w:spacing w:before="0" w:after="0" w:line="240" w:lineRule="auto"/>
        <w:rPr>
          <w:sz w:val="12"/>
          <w:szCs w:val="12"/>
        </w:rPr>
      </w:pPr>
      <w:r w:rsidRPr="00796CA6">
        <w:rPr>
          <w:sz w:val="12"/>
          <w:szCs w:val="12"/>
        </w:rPr>
        <w:t>En lo particular, la Comisionada Adriana Sofía Labardini Inzunza manifiesta voto en contra del Artículo 9.</w:t>
      </w:r>
    </w:p>
    <w:p w14:paraId="6B22BAEA" w14:textId="77777777" w:rsidR="00621028" w:rsidRPr="00796CA6" w:rsidRDefault="00621028" w:rsidP="00621028">
      <w:pPr>
        <w:spacing w:before="0" w:after="0" w:line="240" w:lineRule="auto"/>
        <w:rPr>
          <w:sz w:val="12"/>
          <w:szCs w:val="12"/>
        </w:rPr>
      </w:pPr>
      <w:r w:rsidRPr="00796CA6">
        <w:rPr>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P/IFT/150617/339.</w:t>
      </w:r>
    </w:p>
    <w:p w14:paraId="2F98A329" w14:textId="77777777" w:rsidR="00796CA6" w:rsidRDefault="00621028" w:rsidP="00621028">
      <w:pPr>
        <w:pStyle w:val="Prrafodelista"/>
        <w:numPr>
          <w:ilvl w:val="0"/>
          <w:numId w:val="0"/>
        </w:numPr>
        <w:spacing w:before="0" w:after="0" w:line="240" w:lineRule="auto"/>
        <w:rPr>
          <w:sz w:val="12"/>
          <w:szCs w:val="12"/>
        </w:rPr>
        <w:sectPr w:rsidR="00796CA6" w:rsidSect="00273648">
          <w:footerReference w:type="default" r:id="rId10"/>
          <w:headerReference w:type="first" r:id="rId11"/>
          <w:footerReference w:type="first" r:id="rId12"/>
          <w:pgSz w:w="12240" w:h="15840" w:code="1"/>
          <w:pgMar w:top="2127" w:right="1134" w:bottom="1985" w:left="1134" w:header="709" w:footer="709" w:gutter="0"/>
          <w:cols w:space="708"/>
          <w:docGrid w:linePitch="360"/>
        </w:sectPr>
      </w:pPr>
      <w:r w:rsidRPr="00796CA6">
        <w:rPr>
          <w:sz w:val="12"/>
          <w:szCs w:val="12"/>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61745799" w14:textId="7D280264" w:rsidR="00D110C0" w:rsidRPr="00796CA6" w:rsidRDefault="00D110C0" w:rsidP="00796CA6">
      <w:pPr>
        <w:pStyle w:val="Ttulo1"/>
        <w:rPr>
          <w:lang w:val="es-MX" w:eastAsia="es-MX"/>
        </w:rPr>
      </w:pPr>
      <w:r w:rsidRPr="00796CA6">
        <w:rPr>
          <w:lang w:val="es-MX" w:eastAsia="es-MX"/>
        </w:rPr>
        <w:lastRenderedPageBreak/>
        <w:t>I</w:t>
      </w:r>
      <w:r w:rsidR="00E64A0A" w:rsidRPr="00796CA6">
        <w:rPr>
          <w:lang w:val="es-MX" w:eastAsia="es-MX"/>
        </w:rPr>
        <w:t>N</w:t>
      </w:r>
      <w:r w:rsidRPr="00796CA6">
        <w:rPr>
          <w:lang w:val="es-MX" w:eastAsia="es-MX"/>
        </w:rPr>
        <w:t>DICADORES CLAVE DE DESEMPEÑO</w:t>
      </w:r>
      <w:r w:rsidR="00E64A0A" w:rsidRPr="00796CA6">
        <w:rPr>
          <w:lang w:val="es-MX" w:eastAsia="es-MX"/>
        </w:rPr>
        <w:t xml:space="preserve"> A QUE SE REFIEREN LAS MEDIDAS SEPTUAGÉSIMA OCTAVA Y </w:t>
      </w:r>
      <w:r w:rsidR="00783FE5" w:rsidRPr="00796CA6">
        <w:rPr>
          <w:lang w:val="es-MX" w:eastAsia="es-MX"/>
        </w:rPr>
        <w:t xml:space="preserve">TRANSITORIA </w:t>
      </w:r>
      <w:r w:rsidR="00E64A0A" w:rsidRPr="00796CA6">
        <w:rPr>
          <w:lang w:val="es-MX" w:eastAsia="es-MX"/>
        </w:rPr>
        <w:t>QUINTA DEL ANEXO 1 DE LA RESOLUCIÓN DE FECHA 27 DE FEBRERO DE 2017 APROBADA MEDIANTE ACUERDO P/IFT/EXT/270217/119</w:t>
      </w:r>
      <w:r w:rsidR="0086009F" w:rsidRPr="00796CA6">
        <w:rPr>
          <w:lang w:val="es-MX" w:eastAsia="es-MX"/>
        </w:rPr>
        <w:t>,</w:t>
      </w:r>
      <w:r w:rsidR="00AF5E47" w:rsidRPr="00796CA6">
        <w:rPr>
          <w:lang w:val="es-MX" w:eastAsia="es-MX"/>
        </w:rPr>
        <w:t xml:space="preserve"> Y TÉRMINOS</w:t>
      </w:r>
      <w:r w:rsidR="001E06B9" w:rsidRPr="00796CA6">
        <w:rPr>
          <w:lang w:val="es-MX" w:eastAsia="es-MX"/>
        </w:rPr>
        <w:t>, FORMATOS Y PLAZOS</w:t>
      </w:r>
      <w:r w:rsidR="00AF5E47" w:rsidRPr="00796CA6">
        <w:rPr>
          <w:lang w:val="es-MX" w:eastAsia="es-MX"/>
        </w:rPr>
        <w:t xml:space="preserve"> PARA LA PRESENTACIÓN Y SEGUIMIENTO DE LOS REPORTES DE DESEMPEÑO</w:t>
      </w:r>
      <w:r w:rsidR="00E64A0A" w:rsidRPr="00796CA6">
        <w:rPr>
          <w:lang w:val="es-MX" w:eastAsia="es-MX"/>
        </w:rPr>
        <w:t>.</w:t>
      </w:r>
    </w:p>
    <w:p w14:paraId="1916F0F3" w14:textId="262EE62E" w:rsidR="00122C8D" w:rsidRPr="00FE14BC" w:rsidRDefault="00796CA6" w:rsidP="00FE14BC">
      <w:pPr>
        <w:pStyle w:val="Ttulo2"/>
      </w:pPr>
      <w:r w:rsidRPr="00FE14BC">
        <w:t>CAPÍTULO I</w:t>
      </w:r>
    </w:p>
    <w:p w14:paraId="20266941" w14:textId="77777777" w:rsidR="00122C8D" w:rsidRPr="00796CA6" w:rsidRDefault="00122C8D" w:rsidP="00796CA6">
      <w:pPr>
        <w:pStyle w:val="estilo30"/>
        <w:spacing w:before="120" w:beforeAutospacing="0" w:after="0" w:afterAutospacing="0" w:line="276" w:lineRule="auto"/>
        <w:jc w:val="center"/>
        <w:rPr>
          <w:rFonts w:ascii="ITC Avant Garde" w:hAnsi="ITC Avant Garde"/>
          <w:b/>
          <w:bCs/>
          <w:sz w:val="22"/>
          <w:szCs w:val="22"/>
        </w:rPr>
      </w:pPr>
      <w:r w:rsidRPr="00796CA6">
        <w:rPr>
          <w:rFonts w:ascii="ITC Avant Garde" w:hAnsi="ITC Avant Garde"/>
          <w:b/>
          <w:bCs/>
          <w:sz w:val="22"/>
          <w:szCs w:val="22"/>
        </w:rPr>
        <w:t>Disposiciones generales</w:t>
      </w:r>
    </w:p>
    <w:p w14:paraId="3A3FE448" w14:textId="77777777" w:rsidR="00122C8D" w:rsidRPr="00796CA6" w:rsidRDefault="00122C8D"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Artículo 1</w:t>
      </w:r>
      <w:r w:rsidRPr="00796CA6">
        <w:rPr>
          <w:rFonts w:ascii="ITC Avant Garde" w:hAnsi="ITC Avant Garde"/>
          <w:bCs/>
          <w:sz w:val="22"/>
          <w:szCs w:val="22"/>
        </w:rPr>
        <w:t xml:space="preserve">.- </w:t>
      </w:r>
      <w:r w:rsidR="00323751" w:rsidRPr="00796CA6">
        <w:rPr>
          <w:rFonts w:ascii="ITC Avant Garde" w:hAnsi="ITC Avant Garde"/>
          <w:bCs/>
          <w:sz w:val="22"/>
          <w:szCs w:val="22"/>
        </w:rPr>
        <w:t>El</w:t>
      </w:r>
      <w:r w:rsidR="00E64A0A" w:rsidRPr="00796CA6">
        <w:rPr>
          <w:rFonts w:ascii="ITC Avant Garde" w:hAnsi="ITC Avant Garde"/>
          <w:bCs/>
          <w:sz w:val="22"/>
          <w:szCs w:val="22"/>
        </w:rPr>
        <w:t xml:space="preserve"> </w:t>
      </w:r>
      <w:r w:rsidR="00BA48D8" w:rsidRPr="00796CA6">
        <w:rPr>
          <w:rFonts w:ascii="ITC Avant Garde" w:hAnsi="ITC Avant Garde"/>
          <w:bCs/>
          <w:sz w:val="22"/>
          <w:szCs w:val="22"/>
        </w:rPr>
        <w:t>presente i</w:t>
      </w:r>
      <w:r w:rsidR="00323751" w:rsidRPr="00796CA6">
        <w:rPr>
          <w:rFonts w:ascii="ITC Avant Garde" w:hAnsi="ITC Avant Garde"/>
          <w:bCs/>
          <w:sz w:val="22"/>
          <w:szCs w:val="22"/>
        </w:rPr>
        <w:t>nstrumento tiene por objeto establecer los</w:t>
      </w:r>
      <w:r w:rsidR="00E64A0A" w:rsidRPr="00796CA6">
        <w:rPr>
          <w:rFonts w:ascii="ITC Avant Garde" w:hAnsi="ITC Avant Garde"/>
          <w:bCs/>
          <w:sz w:val="22"/>
          <w:szCs w:val="22"/>
        </w:rPr>
        <w:t xml:space="preserve"> Indicadores Clave de Desempeño y </w:t>
      </w:r>
      <w:r w:rsidR="00FD79A9" w:rsidRPr="00796CA6">
        <w:rPr>
          <w:rFonts w:ascii="ITC Avant Garde" w:hAnsi="ITC Avant Garde"/>
          <w:bCs/>
          <w:sz w:val="22"/>
          <w:szCs w:val="22"/>
        </w:rPr>
        <w:t>los términos</w:t>
      </w:r>
      <w:r w:rsidR="0043655D" w:rsidRPr="00796CA6">
        <w:rPr>
          <w:rFonts w:ascii="ITC Avant Garde" w:hAnsi="ITC Avant Garde"/>
          <w:bCs/>
          <w:sz w:val="22"/>
          <w:szCs w:val="22"/>
        </w:rPr>
        <w:t>, formatos y plazos</w:t>
      </w:r>
      <w:r w:rsidR="00FD79A9" w:rsidRPr="00796CA6">
        <w:rPr>
          <w:rFonts w:ascii="ITC Avant Garde" w:hAnsi="ITC Avant Garde"/>
          <w:bCs/>
          <w:sz w:val="22"/>
          <w:szCs w:val="22"/>
        </w:rPr>
        <w:t xml:space="preserve"> para la</w:t>
      </w:r>
      <w:r w:rsidR="00E64A0A" w:rsidRPr="00796CA6">
        <w:rPr>
          <w:rFonts w:ascii="ITC Avant Garde" w:hAnsi="ITC Avant Garde"/>
          <w:bCs/>
          <w:sz w:val="22"/>
          <w:szCs w:val="22"/>
        </w:rPr>
        <w:t xml:space="preserve"> presentación </w:t>
      </w:r>
      <w:r w:rsidR="00323751" w:rsidRPr="00796CA6">
        <w:rPr>
          <w:rFonts w:ascii="ITC Avant Garde" w:hAnsi="ITC Avant Garde"/>
          <w:bCs/>
          <w:sz w:val="22"/>
          <w:szCs w:val="22"/>
        </w:rPr>
        <w:t xml:space="preserve">y seguimiento </w:t>
      </w:r>
      <w:r w:rsidR="00E64A0A" w:rsidRPr="00796CA6">
        <w:rPr>
          <w:rFonts w:ascii="ITC Avant Garde" w:hAnsi="ITC Avant Garde"/>
          <w:bCs/>
          <w:sz w:val="22"/>
          <w:szCs w:val="22"/>
        </w:rPr>
        <w:t xml:space="preserve">de </w:t>
      </w:r>
      <w:r w:rsidR="00BA48D8" w:rsidRPr="00796CA6">
        <w:rPr>
          <w:rFonts w:ascii="ITC Avant Garde" w:hAnsi="ITC Avant Garde"/>
          <w:bCs/>
          <w:sz w:val="22"/>
          <w:szCs w:val="22"/>
        </w:rPr>
        <w:t>los Reportes de D</w:t>
      </w:r>
      <w:r w:rsidR="00E64A0A" w:rsidRPr="00796CA6">
        <w:rPr>
          <w:rFonts w:ascii="ITC Avant Garde" w:hAnsi="ITC Avant Garde"/>
          <w:bCs/>
          <w:sz w:val="22"/>
          <w:szCs w:val="22"/>
        </w:rPr>
        <w:t xml:space="preserve">esempeño </w:t>
      </w:r>
      <w:r w:rsidR="00323751" w:rsidRPr="00796CA6">
        <w:rPr>
          <w:rFonts w:ascii="ITC Avant Garde" w:hAnsi="ITC Avant Garde"/>
          <w:bCs/>
          <w:sz w:val="22"/>
          <w:szCs w:val="22"/>
        </w:rPr>
        <w:t xml:space="preserve">a que hacen referencia las medidas Septuagésima Octava y Quinta Transitoria del Anexo 1 de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y es aplicable al Agente Económico Preponderante en el Sector de </w:t>
      </w:r>
      <w:r w:rsidR="00233204" w:rsidRPr="00796CA6">
        <w:rPr>
          <w:rFonts w:ascii="ITC Avant Garde" w:hAnsi="ITC Avant Garde"/>
          <w:bCs/>
          <w:sz w:val="22"/>
          <w:szCs w:val="22"/>
        </w:rPr>
        <w:t xml:space="preserve">las </w:t>
      </w:r>
      <w:r w:rsidR="00323751" w:rsidRPr="00796CA6">
        <w:rPr>
          <w:rFonts w:ascii="ITC Avant Garde" w:hAnsi="ITC Avant Garde"/>
          <w:bCs/>
          <w:sz w:val="22"/>
          <w:szCs w:val="22"/>
        </w:rPr>
        <w:t>Telecomunicaciones.</w:t>
      </w:r>
    </w:p>
    <w:p w14:paraId="7A1730AF" w14:textId="77777777" w:rsidR="00122C8D" w:rsidRPr="00796CA6" w:rsidRDefault="00122C8D"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Artículo 2.-</w:t>
      </w:r>
      <w:r w:rsidRPr="00796CA6">
        <w:rPr>
          <w:rFonts w:ascii="ITC Avant Garde" w:hAnsi="ITC Avant Garde"/>
          <w:bCs/>
          <w:sz w:val="22"/>
          <w:szCs w:val="22"/>
        </w:rPr>
        <w:t xml:space="preserve"> Para los efectos </w:t>
      </w:r>
      <w:r w:rsidR="00323751" w:rsidRPr="00796CA6">
        <w:rPr>
          <w:rFonts w:ascii="ITC Avant Garde" w:hAnsi="ITC Avant Garde"/>
          <w:bCs/>
          <w:sz w:val="22"/>
          <w:szCs w:val="22"/>
        </w:rPr>
        <w:t>del presente instrumento</w:t>
      </w:r>
      <w:r w:rsidRPr="00796CA6">
        <w:rPr>
          <w:rFonts w:ascii="ITC Avant Garde" w:hAnsi="ITC Avant Garde"/>
          <w:bCs/>
          <w:sz w:val="22"/>
          <w:szCs w:val="22"/>
        </w:rPr>
        <w:t>, se entenderá por:</w:t>
      </w:r>
    </w:p>
    <w:p w14:paraId="12C1E8DB" w14:textId="77777777" w:rsidR="00BA48D8" w:rsidRP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AEP.</w:t>
      </w:r>
      <w:r w:rsidRPr="00796CA6">
        <w:rPr>
          <w:rFonts w:ascii="ITC Avant Garde" w:hAnsi="ITC Avant Garde"/>
          <w:bCs/>
          <w:sz w:val="22"/>
          <w:szCs w:val="22"/>
        </w:rPr>
        <w:t xml:space="preserve"> Agente Económico Preponderante en el Sector de las Telecomunicaciones.</w:t>
      </w:r>
    </w:p>
    <w:p w14:paraId="3A495C7F" w14:textId="77777777" w:rsidR="00BA48D8" w:rsidRP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Estadístico Z.</w:t>
      </w:r>
      <w:r w:rsidRPr="00796CA6">
        <w:rPr>
          <w:rFonts w:ascii="ITC Avant Garde" w:hAnsi="ITC Avant Garde"/>
          <w:bCs/>
          <w:sz w:val="22"/>
          <w:szCs w:val="22"/>
        </w:rPr>
        <w:t xml:space="preserve"> </w:t>
      </w:r>
      <w:r w:rsidRPr="00796CA6">
        <w:rPr>
          <w:rFonts w:ascii="ITC Avant Garde" w:hAnsi="ITC Avant Garde" w:cs="Arial"/>
          <w:sz w:val="22"/>
          <w:szCs w:val="22"/>
        </w:rPr>
        <w:t>El resultado obtenido de la Prueba Z.</w:t>
      </w:r>
    </w:p>
    <w:p w14:paraId="42FCD29F" w14:textId="544EED90" w:rsidR="00BA48D8" w:rsidRP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Gr</w:t>
      </w:r>
      <w:r w:rsidR="0041295A" w:rsidRPr="00796CA6">
        <w:rPr>
          <w:rFonts w:ascii="ITC Avant Garde" w:hAnsi="ITC Avant Garde"/>
          <w:b/>
          <w:bCs/>
          <w:sz w:val="22"/>
          <w:szCs w:val="22"/>
        </w:rPr>
        <w:t>á</w:t>
      </w:r>
      <w:r w:rsidRPr="00796CA6">
        <w:rPr>
          <w:rFonts w:ascii="ITC Avant Garde" w:hAnsi="ITC Avant Garde"/>
          <w:b/>
          <w:bCs/>
          <w:sz w:val="22"/>
          <w:szCs w:val="22"/>
        </w:rPr>
        <w:t>fica de Control.</w:t>
      </w:r>
      <w:r w:rsidR="00C63313" w:rsidRPr="00796CA6">
        <w:rPr>
          <w:rFonts w:ascii="ITC Avant Garde" w:hAnsi="ITC Avant Garde"/>
          <w:bCs/>
          <w:sz w:val="22"/>
          <w:szCs w:val="22"/>
        </w:rPr>
        <w:t xml:space="preserve"> Gráfica</w:t>
      </w:r>
      <w:r w:rsidRPr="00796CA6">
        <w:rPr>
          <w:rFonts w:ascii="ITC Avant Garde" w:hAnsi="ITC Avant Garde"/>
          <w:bCs/>
          <w:sz w:val="22"/>
          <w:szCs w:val="22"/>
        </w:rPr>
        <w:t xml:space="preserve"> en la que </w:t>
      </w:r>
      <w:r w:rsidR="003B79D9" w:rsidRPr="00796CA6">
        <w:rPr>
          <w:rFonts w:ascii="ITC Avant Garde" w:hAnsi="ITC Avant Garde"/>
          <w:bCs/>
          <w:sz w:val="22"/>
          <w:szCs w:val="22"/>
        </w:rPr>
        <w:t>se representa un</w:t>
      </w:r>
      <w:r w:rsidRPr="00796CA6">
        <w:rPr>
          <w:rFonts w:ascii="ITC Avant Garde" w:hAnsi="ITC Avant Garde"/>
          <w:bCs/>
          <w:sz w:val="22"/>
          <w:szCs w:val="22"/>
        </w:rPr>
        <w:t xml:space="preserve"> </w:t>
      </w:r>
      <w:r w:rsidR="00C27B7B" w:rsidRPr="00796CA6">
        <w:rPr>
          <w:rFonts w:ascii="ITC Avant Garde" w:hAnsi="ITC Avant Garde"/>
          <w:bCs/>
          <w:sz w:val="22"/>
          <w:szCs w:val="22"/>
        </w:rPr>
        <w:t xml:space="preserve">estadístico </w:t>
      </w:r>
      <w:r w:rsidRPr="00796CA6">
        <w:rPr>
          <w:rFonts w:ascii="ITC Avant Garde" w:hAnsi="ITC Avant Garde"/>
          <w:bCs/>
          <w:sz w:val="22"/>
          <w:szCs w:val="22"/>
        </w:rPr>
        <w:t xml:space="preserve">en secuencia ordenada por </w:t>
      </w:r>
      <w:r w:rsidR="003B79D9" w:rsidRPr="00796CA6">
        <w:rPr>
          <w:rFonts w:ascii="ITC Avant Garde" w:hAnsi="ITC Avant Garde"/>
          <w:bCs/>
          <w:sz w:val="22"/>
          <w:szCs w:val="22"/>
        </w:rPr>
        <w:t>periodo</w:t>
      </w:r>
      <w:r w:rsidRPr="00796CA6">
        <w:rPr>
          <w:rFonts w:ascii="ITC Avant Garde" w:hAnsi="ITC Avant Garde"/>
          <w:bCs/>
          <w:sz w:val="22"/>
          <w:szCs w:val="22"/>
        </w:rPr>
        <w:t xml:space="preserve">. </w:t>
      </w:r>
      <w:r w:rsidR="003B79D9" w:rsidRPr="00796CA6">
        <w:rPr>
          <w:rFonts w:ascii="ITC Avant Garde" w:hAnsi="ITC Avant Garde"/>
          <w:bCs/>
          <w:sz w:val="22"/>
          <w:szCs w:val="22"/>
        </w:rPr>
        <w:t>Una gráfica</w:t>
      </w:r>
      <w:r w:rsidRPr="00796CA6">
        <w:rPr>
          <w:rFonts w:ascii="ITC Avant Garde" w:hAnsi="ITC Avant Garde"/>
          <w:bCs/>
          <w:sz w:val="22"/>
          <w:szCs w:val="22"/>
        </w:rPr>
        <w:t xml:space="preserve"> de control incluye una línea central, un límite de control superior y un límite de control inferior.</w:t>
      </w:r>
    </w:p>
    <w:p w14:paraId="549618CD" w14:textId="77777777" w:rsidR="00BA48D8" w:rsidRP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cs="Arial"/>
          <w:b/>
          <w:sz w:val="22"/>
          <w:szCs w:val="22"/>
        </w:rPr>
        <w:t>Grupo de Trabajo.</w:t>
      </w:r>
      <w:r w:rsidRPr="00796CA6">
        <w:rPr>
          <w:rFonts w:ascii="ITC Avant Garde" w:hAnsi="ITC Avant Garde" w:cs="Arial"/>
          <w:sz w:val="22"/>
          <w:szCs w:val="22"/>
        </w:rPr>
        <w:t xml:space="preserve"> Grupo integrado por miembros del AEP y del Instituto con el fin de mejorar la implementación de las medidas, conforme a lo establecido por la medida Septuagésima Novena del Anexo 1 de la Resolución Bienal 2017.</w:t>
      </w:r>
    </w:p>
    <w:p w14:paraId="139CAB90" w14:textId="77777777" w:rsidR="00BA48D8" w:rsidRP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ICD.</w:t>
      </w:r>
      <w:r w:rsidRPr="00796CA6">
        <w:rPr>
          <w:rFonts w:ascii="ITC Avant Garde" w:hAnsi="ITC Avant Garde"/>
          <w:bCs/>
          <w:sz w:val="22"/>
          <w:szCs w:val="22"/>
        </w:rPr>
        <w:t xml:space="preserve"> Indicador(es) Clave de Desempeño.</w:t>
      </w:r>
    </w:p>
    <w:p w14:paraId="3663B746" w14:textId="77777777" w:rsidR="00BA48D8" w:rsidRP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Instituto.</w:t>
      </w:r>
      <w:r w:rsidRPr="00796CA6">
        <w:rPr>
          <w:rFonts w:ascii="ITC Avant Garde" w:hAnsi="ITC Avant Garde"/>
          <w:bCs/>
          <w:sz w:val="22"/>
          <w:szCs w:val="22"/>
        </w:rPr>
        <w:t xml:space="preserve"> Instituto Federal de Telecomunicaciones.</w:t>
      </w:r>
    </w:p>
    <w:p w14:paraId="67C1FAE4" w14:textId="77777777" w:rsidR="00C27B7B" w:rsidRPr="00796CA6" w:rsidRDefault="00C27B7B"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 xml:space="preserve">Provisión de Servicios Externos. </w:t>
      </w:r>
      <w:r w:rsidR="00116640" w:rsidRPr="00796CA6">
        <w:rPr>
          <w:rFonts w:ascii="ITC Avant Garde" w:hAnsi="ITC Avant Garde"/>
          <w:bCs/>
          <w:sz w:val="22"/>
          <w:szCs w:val="22"/>
        </w:rPr>
        <w:t xml:space="preserve">Prestación de </w:t>
      </w:r>
      <w:r w:rsidR="002868AC" w:rsidRPr="00796CA6">
        <w:rPr>
          <w:rFonts w:ascii="ITC Avant Garde" w:hAnsi="ITC Avant Garde"/>
          <w:bCs/>
          <w:sz w:val="22"/>
          <w:szCs w:val="22"/>
        </w:rPr>
        <w:t>SMR</w:t>
      </w:r>
      <w:r w:rsidR="00116640" w:rsidRPr="00796CA6">
        <w:rPr>
          <w:rFonts w:ascii="ITC Avant Garde" w:hAnsi="ITC Avant Garde"/>
          <w:bCs/>
          <w:sz w:val="22"/>
          <w:szCs w:val="22"/>
        </w:rPr>
        <w:t xml:space="preserve"> por parte del AEP </w:t>
      </w:r>
      <w:r w:rsidR="002868AC" w:rsidRPr="00796CA6">
        <w:rPr>
          <w:rFonts w:ascii="ITC Avant Garde" w:hAnsi="ITC Avant Garde"/>
          <w:bCs/>
          <w:sz w:val="22"/>
          <w:szCs w:val="22"/>
        </w:rPr>
        <w:t>par</w:t>
      </w:r>
      <w:r w:rsidR="00116640" w:rsidRPr="00796CA6">
        <w:rPr>
          <w:rFonts w:ascii="ITC Avant Garde" w:hAnsi="ITC Avant Garde"/>
          <w:bCs/>
          <w:sz w:val="22"/>
          <w:szCs w:val="22"/>
        </w:rPr>
        <w:t xml:space="preserve">a </w:t>
      </w:r>
      <w:r w:rsidR="002868AC" w:rsidRPr="00796CA6">
        <w:rPr>
          <w:rFonts w:ascii="ITC Avant Garde" w:hAnsi="ITC Avant Garde"/>
          <w:bCs/>
          <w:sz w:val="22"/>
          <w:szCs w:val="22"/>
        </w:rPr>
        <w:t>los concesionarios y autorizados solicitantes en su conjunto</w:t>
      </w:r>
      <w:r w:rsidR="003A215E" w:rsidRPr="00796CA6">
        <w:rPr>
          <w:rFonts w:ascii="ITC Avant Garde" w:hAnsi="ITC Avant Garde"/>
          <w:bCs/>
          <w:sz w:val="22"/>
          <w:szCs w:val="22"/>
        </w:rPr>
        <w:t xml:space="preserve"> </w:t>
      </w:r>
      <w:r w:rsidR="00DD1886" w:rsidRPr="00796CA6">
        <w:rPr>
          <w:rFonts w:ascii="ITC Avant Garde" w:hAnsi="ITC Avant Garde"/>
          <w:bCs/>
          <w:sz w:val="22"/>
          <w:szCs w:val="22"/>
        </w:rPr>
        <w:t>distintos al AEP y a empresas pertenecientes y relacionadas con éste.</w:t>
      </w:r>
    </w:p>
    <w:p w14:paraId="2A0ECE74" w14:textId="77777777" w:rsidR="00796CA6" w:rsidRDefault="00C27B7B"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Provisión de Servicios Internos</w:t>
      </w:r>
      <w:r w:rsidRPr="00796CA6">
        <w:rPr>
          <w:rFonts w:ascii="ITC Avant Garde" w:hAnsi="ITC Avant Garde"/>
          <w:bCs/>
          <w:sz w:val="22"/>
          <w:szCs w:val="22"/>
        </w:rPr>
        <w:t xml:space="preserve">. </w:t>
      </w:r>
      <w:r w:rsidR="00116640" w:rsidRPr="00796CA6">
        <w:rPr>
          <w:rFonts w:ascii="ITC Avant Garde" w:hAnsi="ITC Avant Garde"/>
          <w:bCs/>
          <w:sz w:val="22"/>
          <w:szCs w:val="22"/>
        </w:rPr>
        <w:t xml:space="preserve">Prestación de </w:t>
      </w:r>
      <w:r w:rsidR="00DD1886" w:rsidRPr="00796CA6">
        <w:rPr>
          <w:rFonts w:ascii="ITC Avant Garde" w:hAnsi="ITC Avant Garde"/>
          <w:bCs/>
          <w:sz w:val="22"/>
          <w:szCs w:val="22"/>
        </w:rPr>
        <w:t>SMR</w:t>
      </w:r>
      <w:r w:rsidR="00116640" w:rsidRPr="00796CA6">
        <w:rPr>
          <w:rFonts w:ascii="ITC Avant Garde" w:hAnsi="ITC Avant Garde"/>
          <w:bCs/>
          <w:sz w:val="22"/>
          <w:szCs w:val="22"/>
        </w:rPr>
        <w:t xml:space="preserve"> por parte del AEP a </w:t>
      </w:r>
      <w:r w:rsidR="00DD1886" w:rsidRPr="00796CA6">
        <w:rPr>
          <w:rFonts w:ascii="ITC Avant Garde" w:hAnsi="ITC Avant Garde"/>
          <w:bCs/>
          <w:sz w:val="22"/>
          <w:szCs w:val="22"/>
        </w:rPr>
        <w:t xml:space="preserve">sí mismo y a las empresas pertenecientes y relacionadas con éste. </w:t>
      </w:r>
    </w:p>
    <w:p w14:paraId="156C7577" w14:textId="77777777" w:rsid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lastRenderedPageBreak/>
        <w:t>Prueba Z.</w:t>
      </w:r>
      <w:r w:rsidRPr="00796CA6">
        <w:rPr>
          <w:rFonts w:ascii="ITC Avant Garde" w:hAnsi="ITC Avant Garde"/>
          <w:bCs/>
          <w:sz w:val="22"/>
          <w:szCs w:val="22"/>
        </w:rPr>
        <w:t xml:space="preserve"> M</w:t>
      </w:r>
      <w:r w:rsidRPr="00796CA6">
        <w:rPr>
          <w:rFonts w:ascii="ITC Avant Garde" w:hAnsi="ITC Avant Garde" w:cs="Arial"/>
          <w:sz w:val="22"/>
          <w:szCs w:val="22"/>
        </w:rPr>
        <w:t>etodología que permite determinar la diferencia estadística en la provisión de Servicios Mayoristas Regulados entre servicios internos y externos, con un determinado grado de confianza estadística. Utiliza una distribución normal estándar de probabilidades, útil para describir la provisión de servicios mayoristas de telecomunicaciones, para determinar la zona en la que existan diferencias en la provisión de los servicios internos y externos.</w:t>
      </w:r>
    </w:p>
    <w:p w14:paraId="2E73A55B" w14:textId="77777777" w:rsidR="00796CA6" w:rsidRDefault="00B53AE3"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Reporte de Desempeño</w:t>
      </w:r>
      <w:r w:rsidRPr="00796CA6">
        <w:rPr>
          <w:rFonts w:ascii="ITC Avant Garde" w:hAnsi="ITC Avant Garde"/>
          <w:bCs/>
          <w:sz w:val="22"/>
          <w:szCs w:val="22"/>
        </w:rPr>
        <w:t xml:space="preserve">. </w:t>
      </w:r>
      <w:r w:rsidR="00E052DD" w:rsidRPr="00796CA6">
        <w:rPr>
          <w:rFonts w:ascii="ITC Avant Garde" w:hAnsi="ITC Avant Garde"/>
          <w:bCs/>
          <w:sz w:val="22"/>
          <w:szCs w:val="22"/>
        </w:rPr>
        <w:t xml:space="preserve">Reporte que contiene </w:t>
      </w:r>
      <w:r w:rsidR="0086009F" w:rsidRPr="00796CA6">
        <w:rPr>
          <w:rFonts w:ascii="ITC Avant Garde" w:hAnsi="ITC Avant Garde"/>
          <w:bCs/>
          <w:sz w:val="22"/>
          <w:szCs w:val="22"/>
        </w:rPr>
        <w:t xml:space="preserve">la </w:t>
      </w:r>
      <w:r w:rsidR="00E052DD" w:rsidRPr="00796CA6">
        <w:rPr>
          <w:rFonts w:ascii="ITC Avant Garde" w:hAnsi="ITC Avant Garde"/>
          <w:bCs/>
          <w:sz w:val="22"/>
          <w:szCs w:val="22"/>
        </w:rPr>
        <w:t>información relacionada con los ICD</w:t>
      </w:r>
      <w:r w:rsidR="0086009F" w:rsidRPr="00796CA6">
        <w:rPr>
          <w:rFonts w:ascii="ITC Avant Garde" w:hAnsi="ITC Avant Garde"/>
          <w:bCs/>
          <w:sz w:val="22"/>
          <w:szCs w:val="22"/>
        </w:rPr>
        <w:t>,</w:t>
      </w:r>
      <w:r w:rsidR="00E052DD" w:rsidRPr="00796CA6">
        <w:rPr>
          <w:rFonts w:ascii="ITC Avant Garde" w:hAnsi="ITC Avant Garde"/>
          <w:bCs/>
          <w:sz w:val="22"/>
          <w:szCs w:val="22"/>
        </w:rPr>
        <w:t xml:space="preserve"> </w:t>
      </w:r>
      <w:r w:rsidR="0086009F" w:rsidRPr="00796CA6">
        <w:rPr>
          <w:rFonts w:ascii="ITC Avant Garde" w:hAnsi="ITC Avant Garde"/>
          <w:bCs/>
          <w:sz w:val="22"/>
          <w:szCs w:val="22"/>
        </w:rPr>
        <w:t>elaborado</w:t>
      </w:r>
      <w:r w:rsidR="00512706" w:rsidRPr="00796CA6">
        <w:rPr>
          <w:rFonts w:ascii="ITC Avant Garde" w:hAnsi="ITC Avant Garde"/>
          <w:bCs/>
          <w:sz w:val="22"/>
          <w:szCs w:val="22"/>
        </w:rPr>
        <w:t xml:space="preserve"> por</w:t>
      </w:r>
      <w:r w:rsidR="00E052DD" w:rsidRPr="00796CA6">
        <w:rPr>
          <w:rFonts w:ascii="ITC Avant Garde" w:hAnsi="ITC Avant Garde"/>
          <w:bCs/>
          <w:sz w:val="22"/>
          <w:szCs w:val="22"/>
        </w:rPr>
        <w:t xml:space="preserve"> el AEP</w:t>
      </w:r>
      <w:r w:rsidR="00512706" w:rsidRPr="00796CA6">
        <w:rPr>
          <w:rFonts w:ascii="ITC Avant Garde" w:hAnsi="ITC Avant Garde"/>
          <w:bCs/>
          <w:sz w:val="22"/>
          <w:szCs w:val="22"/>
        </w:rPr>
        <w:t>.</w:t>
      </w:r>
    </w:p>
    <w:p w14:paraId="55BFEEA4" w14:textId="77777777" w:rsidR="00796CA6" w:rsidRDefault="00B53AE3"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cs="Arial"/>
          <w:b/>
          <w:sz w:val="22"/>
          <w:szCs w:val="22"/>
        </w:rPr>
        <w:t>Resolución Bienal 2017.</w:t>
      </w:r>
      <w:r w:rsidRPr="00796CA6">
        <w:rPr>
          <w:rFonts w:ascii="ITC Avant Garde" w:hAnsi="ITC Avant Garde" w:cs="Arial"/>
          <w:sz w:val="22"/>
          <w:szCs w:val="22"/>
        </w:rPr>
        <w:t xml:space="preserve"> </w:t>
      </w:r>
      <w:r w:rsidRPr="00796CA6">
        <w:rPr>
          <w:rFonts w:ascii="ITC Avant Garde" w:hAnsi="ITC Avant Garde"/>
          <w:bCs/>
          <w:sz w:val="22"/>
          <w:szCs w:val="22"/>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p>
    <w:p w14:paraId="2F96CBCB" w14:textId="77777777" w:rsidR="00796CA6" w:rsidRDefault="00BA48D8" w:rsidP="00796CA6">
      <w:pPr>
        <w:pStyle w:val="estilo30"/>
        <w:numPr>
          <w:ilvl w:val="0"/>
          <w:numId w:val="22"/>
        </w:numPr>
        <w:spacing w:before="120" w:beforeAutospacing="0" w:after="0" w:afterAutospacing="0" w:line="276" w:lineRule="auto"/>
        <w:jc w:val="both"/>
        <w:rPr>
          <w:rFonts w:ascii="ITC Avant Garde" w:hAnsi="ITC Avant Garde"/>
          <w:bCs/>
          <w:sz w:val="22"/>
          <w:szCs w:val="22"/>
        </w:rPr>
      </w:pPr>
      <w:r w:rsidRPr="00796CA6">
        <w:rPr>
          <w:rFonts w:ascii="ITC Avant Garde" w:hAnsi="ITC Avant Garde" w:cs="Arial"/>
          <w:b/>
          <w:sz w:val="22"/>
          <w:szCs w:val="22"/>
        </w:rPr>
        <w:t>SMR.</w:t>
      </w:r>
      <w:r w:rsidRPr="00796CA6">
        <w:rPr>
          <w:rFonts w:ascii="ITC Avant Garde" w:hAnsi="ITC Avant Garde" w:cs="Arial"/>
          <w:sz w:val="22"/>
          <w:szCs w:val="22"/>
        </w:rPr>
        <w:t xml:space="preserve"> Servicios Mayoristas Regulados.</w:t>
      </w:r>
    </w:p>
    <w:p w14:paraId="4602167F" w14:textId="424015F2" w:rsidR="00323751" w:rsidRPr="00FE14BC" w:rsidRDefault="00323751" w:rsidP="00FE14BC">
      <w:pPr>
        <w:pStyle w:val="Ttulo2"/>
      </w:pPr>
      <w:r w:rsidRPr="00FE14BC">
        <w:t>CAPÍTULO II</w:t>
      </w:r>
    </w:p>
    <w:p w14:paraId="44F083EB" w14:textId="77777777" w:rsidR="00796CA6" w:rsidRDefault="00323751" w:rsidP="00796CA6">
      <w:pPr>
        <w:pStyle w:val="estilo30"/>
        <w:spacing w:before="120" w:beforeAutospacing="0" w:after="0" w:afterAutospacing="0" w:line="276" w:lineRule="auto"/>
        <w:jc w:val="center"/>
        <w:rPr>
          <w:rFonts w:ascii="ITC Avant Garde" w:hAnsi="ITC Avant Garde"/>
          <w:b/>
          <w:bCs/>
          <w:sz w:val="22"/>
          <w:szCs w:val="22"/>
        </w:rPr>
      </w:pPr>
      <w:r w:rsidRPr="00796CA6">
        <w:rPr>
          <w:rFonts w:ascii="ITC Avant Garde" w:hAnsi="ITC Avant Garde"/>
          <w:b/>
          <w:bCs/>
          <w:sz w:val="22"/>
          <w:szCs w:val="22"/>
        </w:rPr>
        <w:t xml:space="preserve">De los </w:t>
      </w:r>
      <w:r w:rsidR="00F20BBA" w:rsidRPr="00796CA6">
        <w:rPr>
          <w:rFonts w:ascii="ITC Avant Garde" w:hAnsi="ITC Avant Garde"/>
          <w:b/>
          <w:bCs/>
          <w:sz w:val="22"/>
          <w:szCs w:val="22"/>
        </w:rPr>
        <w:t>Reportes de Desempeño</w:t>
      </w:r>
    </w:p>
    <w:p w14:paraId="09B952A9" w14:textId="77777777" w:rsidR="00796CA6" w:rsidRDefault="00323751"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Artículo 3.-</w:t>
      </w:r>
      <w:r w:rsidRPr="00796CA6">
        <w:rPr>
          <w:rFonts w:ascii="ITC Avant Garde" w:hAnsi="ITC Avant Garde"/>
          <w:bCs/>
          <w:sz w:val="22"/>
          <w:szCs w:val="22"/>
        </w:rPr>
        <w:t xml:space="preserve"> </w:t>
      </w:r>
      <w:r w:rsidR="00FD79A9" w:rsidRPr="00796CA6">
        <w:rPr>
          <w:rFonts w:ascii="ITC Avant Garde" w:hAnsi="ITC Avant Garde"/>
          <w:bCs/>
          <w:sz w:val="22"/>
          <w:szCs w:val="22"/>
        </w:rPr>
        <w:t xml:space="preserve">El AEP está obligado a </w:t>
      </w:r>
      <w:r w:rsidR="00B53AE3" w:rsidRPr="00796CA6">
        <w:rPr>
          <w:rFonts w:ascii="ITC Avant Garde" w:hAnsi="ITC Avant Garde"/>
          <w:bCs/>
          <w:sz w:val="22"/>
          <w:szCs w:val="22"/>
        </w:rPr>
        <w:t>presentar Reportes de D</w:t>
      </w:r>
      <w:r w:rsidR="00F20BBA" w:rsidRPr="00796CA6">
        <w:rPr>
          <w:rFonts w:ascii="ITC Avant Garde" w:hAnsi="ITC Avant Garde"/>
          <w:bCs/>
          <w:sz w:val="22"/>
          <w:szCs w:val="22"/>
        </w:rPr>
        <w:t>esempeño con base en</w:t>
      </w:r>
      <w:r w:rsidR="00FD79A9" w:rsidRPr="00796CA6">
        <w:rPr>
          <w:rFonts w:ascii="ITC Avant Garde" w:hAnsi="ITC Avant Garde"/>
          <w:bCs/>
          <w:sz w:val="22"/>
          <w:szCs w:val="22"/>
        </w:rPr>
        <w:t xml:space="preserve"> los </w:t>
      </w:r>
      <w:r w:rsidR="00130FE6" w:rsidRPr="00796CA6">
        <w:rPr>
          <w:rFonts w:ascii="ITC Avant Garde" w:hAnsi="ITC Avant Garde"/>
          <w:bCs/>
          <w:sz w:val="22"/>
          <w:szCs w:val="22"/>
        </w:rPr>
        <w:t>ICD</w:t>
      </w:r>
      <w:r w:rsidR="00FD79A9" w:rsidRPr="00796CA6">
        <w:rPr>
          <w:rFonts w:ascii="ITC Avant Garde" w:hAnsi="ITC Avant Garde"/>
          <w:bCs/>
          <w:sz w:val="22"/>
          <w:szCs w:val="22"/>
        </w:rPr>
        <w:t xml:space="preserve"> señalados en el Anexo 1</w:t>
      </w:r>
      <w:r w:rsidR="00D34B57" w:rsidRPr="00796CA6">
        <w:rPr>
          <w:rFonts w:ascii="ITC Avant Garde" w:hAnsi="ITC Avant Garde"/>
          <w:bCs/>
          <w:sz w:val="22"/>
          <w:szCs w:val="22"/>
        </w:rPr>
        <w:t xml:space="preserve"> del presente instrumento</w:t>
      </w:r>
      <w:r w:rsidR="00FD79A9" w:rsidRPr="00796CA6">
        <w:rPr>
          <w:rFonts w:ascii="ITC Avant Garde" w:hAnsi="ITC Avant Garde"/>
          <w:bCs/>
          <w:sz w:val="22"/>
          <w:szCs w:val="22"/>
        </w:rPr>
        <w:t>, bajo los términos</w:t>
      </w:r>
      <w:r w:rsidR="00116640" w:rsidRPr="00796CA6">
        <w:rPr>
          <w:rFonts w:ascii="ITC Avant Garde" w:hAnsi="ITC Avant Garde"/>
          <w:bCs/>
          <w:sz w:val="22"/>
          <w:szCs w:val="22"/>
        </w:rPr>
        <w:t>, formatos y plazos</w:t>
      </w:r>
      <w:r w:rsidR="00FD79A9" w:rsidRPr="00796CA6">
        <w:rPr>
          <w:rFonts w:ascii="ITC Avant Garde" w:hAnsi="ITC Avant Garde"/>
          <w:bCs/>
          <w:sz w:val="22"/>
          <w:szCs w:val="22"/>
        </w:rPr>
        <w:t xml:space="preserve"> </w:t>
      </w:r>
      <w:r w:rsidR="00D34B57" w:rsidRPr="00796CA6">
        <w:rPr>
          <w:rFonts w:ascii="ITC Avant Garde" w:hAnsi="ITC Avant Garde"/>
          <w:bCs/>
          <w:sz w:val="22"/>
          <w:szCs w:val="22"/>
        </w:rPr>
        <w:t xml:space="preserve">aquí </w:t>
      </w:r>
      <w:r w:rsidR="00FD79A9" w:rsidRPr="00796CA6">
        <w:rPr>
          <w:rFonts w:ascii="ITC Avant Garde" w:hAnsi="ITC Avant Garde"/>
          <w:bCs/>
          <w:sz w:val="22"/>
          <w:szCs w:val="22"/>
        </w:rPr>
        <w:t>establecidos</w:t>
      </w:r>
      <w:r w:rsidR="00D34B57" w:rsidRPr="00796CA6">
        <w:rPr>
          <w:rFonts w:ascii="ITC Avant Garde" w:hAnsi="ITC Avant Garde"/>
          <w:bCs/>
          <w:sz w:val="22"/>
          <w:szCs w:val="22"/>
        </w:rPr>
        <w:t>.</w:t>
      </w:r>
    </w:p>
    <w:p w14:paraId="3D38E057" w14:textId="77777777" w:rsidR="00796CA6" w:rsidRDefault="00940366" w:rsidP="00796CA6">
      <w:pPr>
        <w:pStyle w:val="estilo30"/>
        <w:spacing w:before="120" w:beforeAutospacing="0" w:after="0" w:afterAutospacing="0" w:line="276" w:lineRule="auto"/>
        <w:jc w:val="both"/>
        <w:rPr>
          <w:rFonts w:ascii="ITC Avant Garde" w:hAnsi="ITC Avant Garde"/>
          <w:b/>
          <w:bCs/>
          <w:sz w:val="22"/>
          <w:szCs w:val="22"/>
        </w:rPr>
      </w:pPr>
      <w:r w:rsidRPr="00796CA6">
        <w:rPr>
          <w:rFonts w:ascii="ITC Avant Garde" w:hAnsi="ITC Avant Garde"/>
          <w:b/>
          <w:bCs/>
          <w:sz w:val="22"/>
          <w:szCs w:val="22"/>
        </w:rPr>
        <w:t xml:space="preserve">Artículo 4.- </w:t>
      </w:r>
      <w:r w:rsidRPr="00796CA6">
        <w:rPr>
          <w:rFonts w:ascii="ITC Avant Garde" w:hAnsi="ITC Avant Garde"/>
          <w:bCs/>
          <w:sz w:val="22"/>
          <w:szCs w:val="22"/>
        </w:rPr>
        <w:t xml:space="preserve">El AEP deberá medir los ICD señalados en el Anexo 1 del presente instrumento tanto para </w:t>
      </w:r>
      <w:r w:rsidR="002868AC" w:rsidRPr="00796CA6">
        <w:rPr>
          <w:rFonts w:ascii="ITC Avant Garde" w:hAnsi="ITC Avant Garde"/>
          <w:bCs/>
          <w:sz w:val="22"/>
          <w:szCs w:val="22"/>
        </w:rPr>
        <w:t>la Provisión de Servicios Internos como para la Provisión de Servicios Externos</w:t>
      </w:r>
      <w:r w:rsidR="00D650DF" w:rsidRPr="00796CA6">
        <w:rPr>
          <w:rFonts w:ascii="ITC Avant Garde" w:hAnsi="ITC Avant Garde"/>
          <w:bCs/>
          <w:sz w:val="22"/>
          <w:szCs w:val="22"/>
        </w:rPr>
        <w:t>. Así mismo, deberá comparar</w:t>
      </w:r>
      <w:r w:rsidR="00065BDD" w:rsidRPr="00796CA6">
        <w:rPr>
          <w:rFonts w:ascii="ITC Avant Garde" w:hAnsi="ITC Avant Garde"/>
          <w:bCs/>
          <w:sz w:val="22"/>
          <w:szCs w:val="22"/>
        </w:rPr>
        <w:t xml:space="preserve"> </w:t>
      </w:r>
      <w:r w:rsidR="00D650DF" w:rsidRPr="00796CA6">
        <w:rPr>
          <w:rFonts w:ascii="ITC Avant Garde" w:hAnsi="ITC Avant Garde"/>
          <w:bCs/>
          <w:sz w:val="22"/>
          <w:szCs w:val="22"/>
        </w:rPr>
        <w:t>los ICD calculados</w:t>
      </w:r>
      <w:r w:rsidR="004F1203" w:rsidRPr="00796CA6">
        <w:rPr>
          <w:rFonts w:ascii="ITC Avant Garde" w:hAnsi="ITC Avant Garde"/>
          <w:bCs/>
          <w:sz w:val="22"/>
          <w:szCs w:val="22"/>
        </w:rPr>
        <w:t>,</w:t>
      </w:r>
      <w:r w:rsidR="00D650DF" w:rsidRPr="00796CA6">
        <w:rPr>
          <w:rFonts w:ascii="ITC Avant Garde" w:hAnsi="ITC Avant Garde"/>
          <w:bCs/>
          <w:sz w:val="22"/>
          <w:szCs w:val="22"/>
        </w:rPr>
        <w:t xml:space="preserve"> </w:t>
      </w:r>
      <w:r w:rsidR="00065BDD" w:rsidRPr="00796CA6">
        <w:rPr>
          <w:rFonts w:ascii="ITC Avant Garde" w:hAnsi="ITC Avant Garde"/>
          <w:bCs/>
          <w:sz w:val="22"/>
          <w:szCs w:val="22"/>
        </w:rPr>
        <w:t>a efecto de determinar si existe o no una diferencia estadísticamente significativa</w:t>
      </w:r>
      <w:r w:rsidR="00D650DF" w:rsidRPr="00796CA6">
        <w:rPr>
          <w:rFonts w:ascii="ITC Avant Garde" w:hAnsi="ITC Avant Garde"/>
          <w:bCs/>
          <w:sz w:val="22"/>
          <w:szCs w:val="22"/>
        </w:rPr>
        <w:t>.</w:t>
      </w:r>
    </w:p>
    <w:p w14:paraId="42AFC0D7" w14:textId="25A4C57C" w:rsidR="00F20BBA" w:rsidRPr="00796CA6" w:rsidRDefault="00130FE6"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 xml:space="preserve">Artículo </w:t>
      </w:r>
      <w:r w:rsidR="00940366" w:rsidRPr="00796CA6">
        <w:rPr>
          <w:rFonts w:ascii="ITC Avant Garde" w:hAnsi="ITC Avant Garde"/>
          <w:b/>
          <w:bCs/>
          <w:sz w:val="22"/>
          <w:szCs w:val="22"/>
        </w:rPr>
        <w:t>5</w:t>
      </w:r>
      <w:r w:rsidR="00F20BBA" w:rsidRPr="00796CA6">
        <w:rPr>
          <w:rFonts w:ascii="ITC Avant Garde" w:hAnsi="ITC Avant Garde"/>
          <w:b/>
          <w:bCs/>
          <w:sz w:val="22"/>
          <w:szCs w:val="22"/>
        </w:rPr>
        <w:t>.-</w:t>
      </w:r>
      <w:r w:rsidR="00F20BBA" w:rsidRPr="00796CA6">
        <w:rPr>
          <w:rFonts w:ascii="ITC Avant Garde" w:hAnsi="ITC Avant Garde"/>
          <w:bCs/>
          <w:sz w:val="22"/>
          <w:szCs w:val="22"/>
        </w:rPr>
        <w:t xml:space="preserve"> Para </w:t>
      </w:r>
      <w:r w:rsidR="00065BDD" w:rsidRPr="00796CA6">
        <w:rPr>
          <w:rFonts w:ascii="ITC Avant Garde" w:hAnsi="ITC Avant Garde"/>
          <w:bCs/>
          <w:sz w:val="22"/>
          <w:szCs w:val="22"/>
        </w:rPr>
        <w:t xml:space="preserve">identificar si </w:t>
      </w:r>
      <w:r w:rsidR="0031145D" w:rsidRPr="00796CA6">
        <w:rPr>
          <w:rFonts w:ascii="ITC Avant Garde" w:hAnsi="ITC Avant Garde"/>
          <w:bCs/>
          <w:sz w:val="22"/>
          <w:szCs w:val="22"/>
        </w:rPr>
        <w:t xml:space="preserve">existe </w:t>
      </w:r>
      <w:r w:rsidR="00065BDD" w:rsidRPr="00796CA6">
        <w:rPr>
          <w:rFonts w:ascii="ITC Avant Garde" w:hAnsi="ITC Avant Garde"/>
          <w:bCs/>
          <w:sz w:val="22"/>
          <w:szCs w:val="22"/>
        </w:rPr>
        <w:t xml:space="preserve">o no existe </w:t>
      </w:r>
      <w:r w:rsidR="0031145D" w:rsidRPr="00796CA6">
        <w:rPr>
          <w:rFonts w:ascii="ITC Avant Garde" w:hAnsi="ITC Avant Garde"/>
          <w:bCs/>
          <w:sz w:val="22"/>
          <w:szCs w:val="22"/>
        </w:rPr>
        <w:t>diferencia estadística entre</w:t>
      </w:r>
      <w:r w:rsidR="00D650DF" w:rsidRPr="00796CA6">
        <w:rPr>
          <w:rFonts w:ascii="ITC Avant Garde" w:hAnsi="ITC Avant Garde"/>
          <w:bCs/>
          <w:sz w:val="22"/>
          <w:szCs w:val="22"/>
        </w:rPr>
        <w:t xml:space="preserve"> los </w:t>
      </w:r>
      <w:r w:rsidR="004F1203" w:rsidRPr="00796CA6">
        <w:rPr>
          <w:rFonts w:ascii="ITC Avant Garde" w:hAnsi="ITC Avant Garde"/>
          <w:bCs/>
          <w:sz w:val="22"/>
          <w:szCs w:val="22"/>
        </w:rPr>
        <w:t>ICD derivados de</w:t>
      </w:r>
      <w:r w:rsidR="002868AC" w:rsidRPr="00796CA6">
        <w:rPr>
          <w:rFonts w:ascii="ITC Avant Garde" w:hAnsi="ITC Avant Garde"/>
          <w:bCs/>
          <w:sz w:val="22"/>
          <w:szCs w:val="22"/>
        </w:rPr>
        <w:t xml:space="preserve"> la Provisión de Servicios Internos y la Provisión de Servicios Externos</w:t>
      </w:r>
      <w:r w:rsidR="004F1203" w:rsidRPr="00796CA6">
        <w:rPr>
          <w:rFonts w:ascii="ITC Avant Garde" w:hAnsi="ITC Avant Garde"/>
          <w:bCs/>
          <w:sz w:val="22"/>
          <w:szCs w:val="22"/>
        </w:rPr>
        <w:t xml:space="preserve">, </w:t>
      </w:r>
      <w:r w:rsidR="00F20BBA" w:rsidRPr="00796CA6">
        <w:rPr>
          <w:rFonts w:ascii="ITC Avant Garde" w:hAnsi="ITC Avant Garde"/>
          <w:bCs/>
          <w:sz w:val="22"/>
          <w:szCs w:val="22"/>
        </w:rPr>
        <w:t xml:space="preserve">el AEP </w:t>
      </w:r>
      <w:r w:rsidR="006F25F2" w:rsidRPr="00796CA6">
        <w:rPr>
          <w:rFonts w:ascii="ITC Avant Garde" w:hAnsi="ITC Avant Garde"/>
          <w:bCs/>
          <w:sz w:val="22"/>
          <w:szCs w:val="22"/>
        </w:rPr>
        <w:t>aplicará</w:t>
      </w:r>
      <w:r w:rsidR="00F20BBA" w:rsidRPr="00796CA6">
        <w:rPr>
          <w:rFonts w:ascii="ITC Avant Garde" w:hAnsi="ITC Avant Garde"/>
          <w:bCs/>
          <w:sz w:val="22"/>
          <w:szCs w:val="22"/>
        </w:rPr>
        <w:t xml:space="preserve"> </w:t>
      </w:r>
      <w:r w:rsidR="006F25F2" w:rsidRPr="00796CA6">
        <w:rPr>
          <w:rFonts w:ascii="ITC Avant Garde" w:hAnsi="ITC Avant Garde"/>
          <w:bCs/>
          <w:sz w:val="22"/>
          <w:szCs w:val="22"/>
        </w:rPr>
        <w:t>la Prueba</w:t>
      </w:r>
      <w:r w:rsidR="00F20BBA" w:rsidRPr="00796CA6">
        <w:rPr>
          <w:rFonts w:ascii="ITC Avant Garde" w:hAnsi="ITC Avant Garde"/>
          <w:bCs/>
          <w:sz w:val="22"/>
          <w:szCs w:val="22"/>
        </w:rPr>
        <w:t xml:space="preserve"> Z,</w:t>
      </w:r>
      <w:r w:rsidR="006F25F2" w:rsidRPr="00796CA6">
        <w:rPr>
          <w:rFonts w:ascii="ITC Avant Garde" w:hAnsi="ITC Avant Garde"/>
          <w:bCs/>
          <w:sz w:val="22"/>
          <w:szCs w:val="22"/>
        </w:rPr>
        <w:t xml:space="preserve"> para cuyo cálculo </w:t>
      </w:r>
      <w:r w:rsidRPr="00796CA6">
        <w:rPr>
          <w:rFonts w:ascii="ITC Avant Garde" w:hAnsi="ITC Avant Garde"/>
          <w:bCs/>
          <w:sz w:val="22"/>
          <w:szCs w:val="22"/>
        </w:rPr>
        <w:t>deberá extraer</w:t>
      </w:r>
      <w:r w:rsidR="00AF5E47" w:rsidRPr="00796CA6">
        <w:rPr>
          <w:rFonts w:ascii="ITC Avant Garde" w:hAnsi="ITC Avant Garde"/>
          <w:bCs/>
          <w:sz w:val="22"/>
          <w:szCs w:val="22"/>
        </w:rPr>
        <w:t xml:space="preserve"> de sus sistemas</w:t>
      </w:r>
      <w:r w:rsidR="0031145D" w:rsidRPr="00796CA6">
        <w:rPr>
          <w:rFonts w:ascii="ITC Avant Garde" w:hAnsi="ITC Avant Garde"/>
          <w:bCs/>
          <w:sz w:val="22"/>
          <w:szCs w:val="22"/>
        </w:rPr>
        <w:t xml:space="preserve"> </w:t>
      </w:r>
      <w:r w:rsidRPr="00796CA6">
        <w:rPr>
          <w:rFonts w:ascii="ITC Avant Garde" w:hAnsi="ITC Avant Garde"/>
          <w:bCs/>
          <w:sz w:val="22"/>
          <w:szCs w:val="22"/>
        </w:rPr>
        <w:t xml:space="preserve">los datos correspondientes a </w:t>
      </w:r>
      <w:r w:rsidR="00AF5E47" w:rsidRPr="00796CA6">
        <w:rPr>
          <w:rFonts w:ascii="ITC Avant Garde" w:hAnsi="ITC Avant Garde"/>
          <w:bCs/>
          <w:sz w:val="22"/>
          <w:szCs w:val="22"/>
        </w:rPr>
        <w:t xml:space="preserve">la provisión de los </w:t>
      </w:r>
      <w:r w:rsidRPr="00796CA6">
        <w:rPr>
          <w:rFonts w:ascii="ITC Avant Garde" w:hAnsi="ITC Avant Garde"/>
          <w:bCs/>
          <w:sz w:val="22"/>
          <w:szCs w:val="22"/>
        </w:rPr>
        <w:t xml:space="preserve">SMR </w:t>
      </w:r>
      <w:r w:rsidR="0018141C" w:rsidRPr="00796CA6">
        <w:rPr>
          <w:rFonts w:ascii="ITC Avant Garde" w:hAnsi="ITC Avant Garde"/>
          <w:bCs/>
          <w:sz w:val="22"/>
          <w:szCs w:val="22"/>
        </w:rPr>
        <w:t>en</w:t>
      </w:r>
      <w:r w:rsidRPr="00796CA6">
        <w:rPr>
          <w:rFonts w:ascii="ITC Avant Garde" w:hAnsi="ITC Avant Garde"/>
          <w:bCs/>
          <w:sz w:val="22"/>
          <w:szCs w:val="22"/>
        </w:rPr>
        <w:t xml:space="preserve"> los periodos de tiempo que apliquen para cada ICD, </w:t>
      </w:r>
      <w:r w:rsidR="006F25F2" w:rsidRPr="00796CA6">
        <w:rPr>
          <w:rFonts w:ascii="ITC Avant Garde" w:hAnsi="ITC Avant Garde"/>
          <w:bCs/>
          <w:sz w:val="22"/>
          <w:szCs w:val="22"/>
        </w:rPr>
        <w:t>utiliza</w:t>
      </w:r>
      <w:r w:rsidRPr="00796CA6">
        <w:rPr>
          <w:rFonts w:ascii="ITC Avant Garde" w:hAnsi="ITC Avant Garde"/>
          <w:bCs/>
          <w:sz w:val="22"/>
          <w:szCs w:val="22"/>
        </w:rPr>
        <w:t>ndo</w:t>
      </w:r>
      <w:r w:rsidR="006F25F2" w:rsidRPr="00796CA6">
        <w:rPr>
          <w:rFonts w:ascii="ITC Avant Garde" w:hAnsi="ITC Avant Garde"/>
          <w:bCs/>
          <w:sz w:val="22"/>
          <w:szCs w:val="22"/>
        </w:rPr>
        <w:t xml:space="preserve"> </w:t>
      </w:r>
      <w:r w:rsidRPr="00796CA6">
        <w:rPr>
          <w:rFonts w:ascii="ITC Avant Garde" w:hAnsi="ITC Avant Garde"/>
          <w:bCs/>
          <w:sz w:val="22"/>
          <w:szCs w:val="22"/>
        </w:rPr>
        <w:t>la</w:t>
      </w:r>
      <w:r w:rsidR="00F20BBA" w:rsidRPr="00796CA6">
        <w:rPr>
          <w:rFonts w:ascii="ITC Avant Garde" w:hAnsi="ITC Avant Garde" w:cs="Arial"/>
          <w:sz w:val="22"/>
          <w:szCs w:val="22"/>
        </w:rPr>
        <w:t xml:space="preserve"> fórmula </w:t>
      </w:r>
      <w:r w:rsidRPr="00796CA6">
        <w:rPr>
          <w:rFonts w:ascii="ITC Avant Garde" w:hAnsi="ITC Avant Garde" w:cs="Arial"/>
          <w:sz w:val="22"/>
          <w:szCs w:val="22"/>
        </w:rPr>
        <w:t xml:space="preserve">que </w:t>
      </w:r>
      <w:r w:rsidR="00F20BBA" w:rsidRPr="00796CA6">
        <w:rPr>
          <w:rFonts w:ascii="ITC Avant Garde" w:hAnsi="ITC Avant Garde" w:cs="Arial"/>
          <w:sz w:val="22"/>
          <w:szCs w:val="22"/>
        </w:rPr>
        <w:t>se muestra a continuación:</w:t>
      </w:r>
    </w:p>
    <w:p w14:paraId="6B85E294" w14:textId="15299B26" w:rsidR="00F20BBA" w:rsidRPr="00796CA6" w:rsidRDefault="00796CA6" w:rsidP="00796CA6">
      <w:pPr>
        <w:pStyle w:val="NormalWeb"/>
        <w:spacing w:before="120" w:beforeAutospacing="0" w:after="225" w:afterAutospacing="0"/>
        <w:jc w:val="both"/>
        <w:rPr>
          <w:rFonts w:ascii="ITC Avant Garde" w:hAnsi="ITC Avant Garde" w:cs="Arial"/>
          <w:sz w:val="22"/>
          <w:szCs w:val="22"/>
        </w:rPr>
      </w:pPr>
      <m:oMathPara>
        <m:oMath>
          <m:r>
            <w:rPr>
              <w:rFonts w:ascii="Cambria Math" w:hAnsi="Cambria Math" w:cs="Arial"/>
              <w:sz w:val="32"/>
              <w:szCs w:val="32"/>
            </w:rPr>
            <m:t>Z</m:t>
          </m:r>
          <m:r>
            <m:rPr>
              <m:sty m:val="p"/>
            </m:rPr>
            <w:rPr>
              <w:rFonts w:ascii="Cambria Math" w:hAnsi="Cambria Math" w:cs="Arial"/>
              <w:sz w:val="32"/>
              <w:szCs w:val="32"/>
            </w:rPr>
            <m:t>=</m:t>
          </m:r>
          <m:f>
            <m:fPr>
              <m:ctrlPr>
                <w:rPr>
                  <w:rFonts w:ascii="Cambria Math" w:hAnsi="Cambria Math" w:cs="Arial"/>
                  <w:sz w:val="32"/>
                  <w:szCs w:val="32"/>
                </w:rPr>
              </m:ctrlPr>
            </m:fPr>
            <m:num>
              <m:sSub>
                <m:sSubPr>
                  <m:ctrlPr>
                    <w:rPr>
                      <w:rFonts w:ascii="Cambria Math" w:hAnsi="Cambria Math"/>
                      <w:sz w:val="32"/>
                      <w:szCs w:val="32"/>
                    </w:rPr>
                  </m:ctrlPr>
                </m:sSubPr>
                <m:e>
                  <m:acc>
                    <m:accPr>
                      <m:chr m:val="̅"/>
                      <m:ctrlPr>
                        <w:rPr>
                          <w:rFonts w:ascii="Cambria Math" w:hAnsi="Cambria Math"/>
                          <w:sz w:val="32"/>
                          <w:szCs w:val="32"/>
                        </w:rPr>
                      </m:ctrlPr>
                    </m:accPr>
                    <m:e>
                      <m:r>
                        <w:rPr>
                          <w:rFonts w:ascii="Cambria Math" w:hAnsi="Cambria Math"/>
                          <w:sz w:val="32"/>
                          <w:szCs w:val="32"/>
                        </w:rPr>
                        <m:t>X</m:t>
                      </m:r>
                    </m:e>
                  </m:acc>
                </m:e>
                <m:sub>
                  <m:r>
                    <w:rPr>
                      <w:rFonts w:ascii="Cambria Math" w:hAnsi="Cambria Math"/>
                      <w:sz w:val="32"/>
                      <w:szCs w:val="32"/>
                    </w:rPr>
                    <m:t>ext</m:t>
                  </m:r>
                </m:sub>
              </m:sSub>
              <m:r>
                <m:rPr>
                  <m:sty m:val="p"/>
                </m:rPr>
                <w:rPr>
                  <w:rFonts w:ascii="Cambria Math" w:hAnsi="Cambria Math"/>
                  <w:sz w:val="32"/>
                  <w:szCs w:val="32"/>
                </w:rPr>
                <m:t>-</m:t>
              </m:r>
              <m:sSub>
                <m:sSubPr>
                  <m:ctrlPr>
                    <w:rPr>
                      <w:rFonts w:ascii="Cambria Math" w:hAnsi="Cambria Math"/>
                      <w:sz w:val="32"/>
                      <w:szCs w:val="32"/>
                    </w:rPr>
                  </m:ctrlPr>
                </m:sSubPr>
                <m:e>
                  <m:acc>
                    <m:accPr>
                      <m:chr m:val="̅"/>
                      <m:ctrlPr>
                        <w:rPr>
                          <w:rFonts w:ascii="Cambria Math" w:hAnsi="Cambria Math"/>
                          <w:sz w:val="32"/>
                          <w:szCs w:val="32"/>
                        </w:rPr>
                      </m:ctrlPr>
                    </m:accPr>
                    <m:e>
                      <m:r>
                        <w:rPr>
                          <w:rFonts w:ascii="Cambria Math" w:hAnsi="Cambria Math"/>
                          <w:sz w:val="32"/>
                          <w:szCs w:val="32"/>
                        </w:rPr>
                        <m:t>X</m:t>
                      </m:r>
                    </m:e>
                  </m:acc>
                </m:e>
                <m:sub>
                  <m:r>
                    <w:rPr>
                      <w:rFonts w:ascii="Cambria Math" w:hAnsi="Cambria Math"/>
                      <w:sz w:val="32"/>
                      <w:szCs w:val="32"/>
                    </w:rPr>
                    <m:t>int</m:t>
                  </m:r>
                </m:sub>
              </m:sSub>
            </m:num>
            <m:den>
              <m:rad>
                <m:radPr>
                  <m:degHide m:val="1"/>
                  <m:ctrlPr>
                    <w:rPr>
                      <w:rFonts w:ascii="Cambria Math" w:hAnsi="Cambria Math" w:cs="Arial"/>
                      <w:sz w:val="32"/>
                      <w:szCs w:val="32"/>
                    </w:rPr>
                  </m:ctrlPr>
                </m:radPr>
                <m:deg/>
                <m:e>
                  <m:f>
                    <m:fPr>
                      <m:ctrlPr>
                        <w:rPr>
                          <w:rFonts w:ascii="Cambria Math" w:hAnsi="Cambria Math" w:cs="Arial"/>
                          <w:sz w:val="32"/>
                          <w:szCs w:val="32"/>
                        </w:rPr>
                      </m:ctrlPr>
                    </m:fPr>
                    <m:num>
                      <m:sSubSup>
                        <m:sSubSupPr>
                          <m:ctrlPr>
                            <w:rPr>
                              <w:rFonts w:ascii="Cambria Math" w:hAnsi="Cambria Math"/>
                              <w:sz w:val="32"/>
                              <w:szCs w:val="32"/>
                            </w:rPr>
                          </m:ctrlPr>
                        </m:sSubSupPr>
                        <m:e>
                          <m:r>
                            <w:rPr>
                              <w:rFonts w:ascii="Cambria Math" w:hAnsi="Cambria Math"/>
                              <w:sz w:val="32"/>
                              <w:szCs w:val="32"/>
                            </w:rPr>
                            <m:t>σ</m:t>
                          </m:r>
                        </m:e>
                        <m:sub>
                          <m:r>
                            <w:rPr>
                              <w:rFonts w:ascii="Cambria Math" w:hAnsi="Cambria Math"/>
                              <w:sz w:val="32"/>
                              <w:szCs w:val="32"/>
                            </w:rPr>
                            <m:t>ext</m:t>
                          </m:r>
                        </m:sub>
                        <m:sup>
                          <m:r>
                            <m:rPr>
                              <m:sty m:val="p"/>
                            </m:rPr>
                            <w:rPr>
                              <w:rFonts w:ascii="Cambria Math" w:hAnsi="Cambria Math"/>
                              <w:sz w:val="32"/>
                              <w:szCs w:val="32"/>
                            </w:rPr>
                            <m:t>2</m:t>
                          </m:r>
                        </m:sup>
                      </m:sSubSup>
                      <m:r>
                        <m:rPr>
                          <m:sty m:val="p"/>
                        </m:rPr>
                        <w:rPr>
                          <w:rFonts w:ascii="Cambria Math" w:hAnsi="Cambria Math"/>
                          <w:sz w:val="32"/>
                          <w:szCs w:val="32"/>
                        </w:rPr>
                        <m:t xml:space="preserve">  </m:t>
                      </m:r>
                    </m:num>
                    <m:den>
                      <m:sSub>
                        <m:sSubPr>
                          <m:ctrlPr>
                            <w:rPr>
                              <w:rFonts w:ascii="Cambria Math" w:hAnsi="Cambria Math"/>
                              <w:sz w:val="32"/>
                              <w:szCs w:val="32"/>
                            </w:rPr>
                          </m:ctrlPr>
                        </m:sSubPr>
                        <m:e>
                          <m:r>
                            <w:rPr>
                              <w:rFonts w:ascii="Cambria Math" w:hAnsi="Cambria Math"/>
                              <w:sz w:val="32"/>
                              <w:szCs w:val="32"/>
                            </w:rPr>
                            <m:t>n</m:t>
                          </m:r>
                        </m:e>
                        <m:sub>
                          <m:r>
                            <w:rPr>
                              <w:rFonts w:ascii="Cambria Math" w:hAnsi="Cambria Math"/>
                              <w:sz w:val="32"/>
                              <w:szCs w:val="32"/>
                            </w:rPr>
                            <m:t>ext</m:t>
                          </m:r>
                        </m:sub>
                      </m:sSub>
                    </m:den>
                  </m:f>
                  <m:r>
                    <m:rPr>
                      <m:sty m:val="p"/>
                    </m:rPr>
                    <w:rPr>
                      <w:rFonts w:ascii="Cambria Math" w:hAnsi="Cambria Math" w:cs="Arial"/>
                      <w:sz w:val="32"/>
                      <w:szCs w:val="32"/>
                    </w:rPr>
                    <m:t>+</m:t>
                  </m:r>
                  <m:f>
                    <m:fPr>
                      <m:ctrlPr>
                        <w:rPr>
                          <w:rFonts w:ascii="Cambria Math" w:hAnsi="Cambria Math" w:cs="Arial"/>
                          <w:sz w:val="32"/>
                          <w:szCs w:val="32"/>
                        </w:rPr>
                      </m:ctrlPr>
                    </m:fPr>
                    <m:num>
                      <m:sSubSup>
                        <m:sSubSupPr>
                          <m:ctrlPr>
                            <w:rPr>
                              <w:rFonts w:ascii="Cambria Math" w:hAnsi="Cambria Math"/>
                              <w:sz w:val="32"/>
                              <w:szCs w:val="32"/>
                            </w:rPr>
                          </m:ctrlPr>
                        </m:sSubSupPr>
                        <m:e>
                          <m:r>
                            <w:rPr>
                              <w:rFonts w:ascii="Cambria Math" w:hAnsi="Cambria Math"/>
                              <w:sz w:val="32"/>
                              <w:szCs w:val="32"/>
                            </w:rPr>
                            <m:t>σ</m:t>
                          </m:r>
                        </m:e>
                        <m:sub>
                          <m:r>
                            <w:rPr>
                              <w:rFonts w:ascii="Cambria Math" w:hAnsi="Cambria Math"/>
                              <w:sz w:val="32"/>
                              <w:szCs w:val="32"/>
                            </w:rPr>
                            <m:t>int</m:t>
                          </m:r>
                        </m:sub>
                        <m:sup>
                          <m:r>
                            <m:rPr>
                              <m:sty m:val="p"/>
                            </m:rPr>
                            <w:rPr>
                              <w:rFonts w:ascii="Cambria Math" w:hAnsi="Cambria Math"/>
                              <w:sz w:val="32"/>
                              <w:szCs w:val="32"/>
                            </w:rPr>
                            <m:t>2</m:t>
                          </m:r>
                        </m:sup>
                      </m:sSubSup>
                    </m:num>
                    <m:den>
                      <m:sSub>
                        <m:sSubPr>
                          <m:ctrlPr>
                            <w:rPr>
                              <w:rFonts w:ascii="Cambria Math" w:hAnsi="Cambria Math"/>
                              <w:sz w:val="32"/>
                              <w:szCs w:val="32"/>
                            </w:rPr>
                          </m:ctrlPr>
                        </m:sSubPr>
                        <m:e>
                          <m:r>
                            <w:rPr>
                              <w:rFonts w:ascii="Cambria Math" w:hAnsi="Cambria Math"/>
                              <w:sz w:val="32"/>
                              <w:szCs w:val="32"/>
                            </w:rPr>
                            <m:t>n</m:t>
                          </m:r>
                        </m:e>
                        <m:sub>
                          <m:r>
                            <w:rPr>
                              <w:rFonts w:ascii="Cambria Math" w:hAnsi="Cambria Math"/>
                              <w:sz w:val="32"/>
                              <w:szCs w:val="32"/>
                            </w:rPr>
                            <m:t>int</m:t>
                          </m:r>
                        </m:sub>
                      </m:sSub>
                    </m:den>
                  </m:f>
                </m:e>
              </m:rad>
            </m:den>
          </m:f>
        </m:oMath>
      </m:oMathPara>
    </w:p>
    <w:p w14:paraId="0A5225E1" w14:textId="77777777" w:rsidR="00F20BBA" w:rsidRPr="00796CA6" w:rsidRDefault="00F20BBA" w:rsidP="00796CA6">
      <w:pPr>
        <w:pStyle w:val="NormalWeb"/>
        <w:spacing w:before="120" w:beforeAutospacing="0" w:after="225" w:afterAutospacing="0"/>
        <w:rPr>
          <w:rFonts w:ascii="ITC Avant Garde" w:hAnsi="ITC Avant Garde" w:cs="Arial"/>
          <w:sz w:val="22"/>
          <w:szCs w:val="22"/>
        </w:rPr>
      </w:pPr>
      <w:r w:rsidRPr="00796CA6">
        <w:rPr>
          <w:rFonts w:ascii="ITC Avant Garde" w:hAnsi="ITC Avant Garde" w:cs="Arial"/>
          <w:sz w:val="22"/>
          <w:szCs w:val="22"/>
        </w:rPr>
        <w:t>Donde:</w:t>
      </w:r>
    </w:p>
    <w:p w14:paraId="0C83E19D" w14:textId="055E5523" w:rsidR="00F20BBA" w:rsidRPr="00796CA6" w:rsidRDefault="00DB221B" w:rsidP="00796CA6">
      <w:pPr>
        <w:pStyle w:val="NormalWeb"/>
        <w:spacing w:before="120"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ext</m:t>
            </m:r>
          </m:sub>
        </m:sSub>
      </m:oMath>
      <w:r w:rsidR="00092940" w:rsidRPr="00796CA6">
        <w:rPr>
          <w:rFonts w:ascii="ITC Avant Garde" w:hAnsi="ITC Avant Garde" w:cs="Arial"/>
        </w:rPr>
        <w:t xml:space="preserve"> es el </w:t>
      </w:r>
      <w:r w:rsidR="00F20BBA" w:rsidRPr="00796CA6">
        <w:rPr>
          <w:rFonts w:ascii="ITC Avant Garde" w:hAnsi="ITC Avant Garde" w:cs="Arial"/>
          <w:sz w:val="22"/>
          <w:szCs w:val="22"/>
        </w:rPr>
        <w:t xml:space="preserve">Promedio para la </w:t>
      </w:r>
      <w:r w:rsidR="0018141C" w:rsidRPr="00796CA6">
        <w:rPr>
          <w:rFonts w:ascii="ITC Avant Garde" w:hAnsi="ITC Avant Garde" w:cs="Arial"/>
          <w:sz w:val="22"/>
          <w:szCs w:val="22"/>
        </w:rPr>
        <w:t>P</w:t>
      </w:r>
      <w:r w:rsidR="00F20BBA" w:rsidRPr="00796CA6">
        <w:rPr>
          <w:rFonts w:ascii="ITC Avant Garde" w:hAnsi="ITC Avant Garde" w:cs="Arial"/>
          <w:sz w:val="22"/>
          <w:szCs w:val="22"/>
        </w:rPr>
        <w:t xml:space="preserve">rovisión </w:t>
      </w:r>
      <w:r w:rsidR="0018141C" w:rsidRPr="00796CA6">
        <w:rPr>
          <w:rFonts w:ascii="ITC Avant Garde" w:hAnsi="ITC Avant Garde" w:cs="Arial"/>
          <w:sz w:val="22"/>
          <w:szCs w:val="22"/>
        </w:rPr>
        <w:t>de Servicios E</w:t>
      </w:r>
      <w:r w:rsidR="00F20BBA" w:rsidRPr="00796CA6">
        <w:rPr>
          <w:rFonts w:ascii="ITC Avant Garde" w:hAnsi="ITC Avant Garde" w:cs="Arial"/>
          <w:sz w:val="22"/>
          <w:szCs w:val="22"/>
        </w:rPr>
        <w:t>xtern</w:t>
      </w:r>
      <w:r w:rsidR="0018141C" w:rsidRPr="00796CA6">
        <w:rPr>
          <w:rFonts w:ascii="ITC Avant Garde" w:hAnsi="ITC Avant Garde" w:cs="Arial"/>
          <w:sz w:val="22"/>
          <w:szCs w:val="22"/>
        </w:rPr>
        <w:t>os</w:t>
      </w:r>
      <w:r w:rsidR="00F20BBA" w:rsidRPr="00796CA6">
        <w:rPr>
          <w:rFonts w:ascii="ITC Avant Garde" w:hAnsi="ITC Avant Garde" w:cs="Arial"/>
          <w:sz w:val="22"/>
          <w:szCs w:val="22"/>
        </w:rPr>
        <w:t>.</w:t>
      </w:r>
      <w:r w:rsidR="0018141C" w:rsidRPr="00796CA6">
        <w:rPr>
          <w:rFonts w:ascii="ITC Avant Garde" w:hAnsi="ITC Avant Garde" w:cs="Arial"/>
          <w:sz w:val="22"/>
          <w:szCs w:val="22"/>
        </w:rPr>
        <w:t xml:space="preserve"> </w:t>
      </w:r>
      <w:r w:rsidR="00F20BBA" w:rsidRPr="00796CA6">
        <w:rPr>
          <w:rFonts w:ascii="ITC Avant Garde" w:hAnsi="ITC Avant Garde" w:cs="Arial"/>
          <w:sz w:val="22"/>
          <w:szCs w:val="22"/>
        </w:rPr>
        <w:t xml:space="preserve">Se refiere al promedio de los valores obtenidos en las observaciones o eventos sobre los servicios provistos por el AEP a otros operadores. </w:t>
      </w:r>
      <w:r w:rsidR="0018141C" w:rsidRPr="00796CA6">
        <w:rPr>
          <w:rFonts w:ascii="ITC Avant Garde" w:hAnsi="ITC Avant Garde" w:cs="Arial"/>
          <w:sz w:val="22"/>
          <w:szCs w:val="22"/>
        </w:rPr>
        <w:t>Este es el valor que se le dará al ICD correspondiente a la Provisión de Servicios Externos.</w:t>
      </w:r>
    </w:p>
    <w:p w14:paraId="3A72F257" w14:textId="1F5A6051" w:rsidR="00F20BBA" w:rsidRPr="00796CA6" w:rsidRDefault="00DB221B" w:rsidP="00796CA6">
      <w:pPr>
        <w:pStyle w:val="NormalWeb"/>
        <w:spacing w:before="120" w:beforeAutospacing="0" w:after="225" w:afterAutospacing="0"/>
        <w:jc w:val="center"/>
        <w:rPr>
          <w:noProof/>
          <w:lang w:val="es-MX" w:eastAsia="es-MX"/>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ext</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ext</m:t>
                      </m:r>
                    </m:sub>
                  </m:sSub>
                </m:sup>
                <m:e>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ext</m:t>
                      </m:r>
                    </m:sub>
                  </m:sSub>
                </m:e>
              </m:nary>
            </m:num>
            <m:den>
              <m:sSub>
                <m:sSubPr>
                  <m:ctrlPr>
                    <w:rPr>
                      <w:rFonts w:ascii="Cambria Math" w:hAnsi="Cambria Math"/>
                    </w:rPr>
                  </m:ctrlPr>
                </m:sSubPr>
                <m:e>
                  <m:r>
                    <w:rPr>
                      <w:rFonts w:ascii="Cambria Math" w:hAnsi="Cambria Math"/>
                    </w:rPr>
                    <m:t>n</m:t>
                  </m:r>
                </m:e>
                <m:sub>
                  <m:r>
                    <w:rPr>
                      <w:rFonts w:ascii="Cambria Math" w:hAnsi="Cambria Math"/>
                    </w:rPr>
                    <m:t>ext</m:t>
                  </m:r>
                </m:sub>
              </m:sSub>
            </m:den>
          </m:f>
        </m:oMath>
      </m:oMathPara>
    </w:p>
    <w:p w14:paraId="66C7D72F" w14:textId="66A19096" w:rsidR="00F20BBA" w:rsidRPr="00796CA6" w:rsidRDefault="00DB221B" w:rsidP="00796CA6">
      <w:pPr>
        <w:pStyle w:val="NormalWeb"/>
        <w:spacing w:before="120"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int</m:t>
            </m:r>
          </m:sub>
        </m:sSub>
      </m:oMath>
      <w:r w:rsidR="00092940" w:rsidRPr="00796CA6">
        <w:rPr>
          <w:rFonts w:ascii="ITC Avant Garde" w:hAnsi="ITC Avant Garde" w:cs="Arial"/>
        </w:rPr>
        <w:t xml:space="preserve"> es el </w:t>
      </w:r>
      <w:r w:rsidR="00F20BBA" w:rsidRPr="00796CA6">
        <w:rPr>
          <w:rFonts w:ascii="ITC Avant Garde" w:hAnsi="ITC Avant Garde" w:cs="Arial"/>
          <w:sz w:val="22"/>
          <w:szCs w:val="22"/>
        </w:rPr>
        <w:t xml:space="preserve">Promedio para la </w:t>
      </w:r>
      <w:r w:rsidR="0018141C" w:rsidRPr="00796CA6">
        <w:rPr>
          <w:rFonts w:ascii="ITC Avant Garde" w:hAnsi="ITC Avant Garde" w:cs="Arial"/>
          <w:sz w:val="22"/>
          <w:szCs w:val="22"/>
        </w:rPr>
        <w:t>Provisión de Servicios</w:t>
      </w:r>
      <w:r w:rsidR="00F20BBA" w:rsidRPr="00796CA6">
        <w:rPr>
          <w:rFonts w:ascii="ITC Avant Garde" w:hAnsi="ITC Avant Garde" w:cs="Arial"/>
          <w:sz w:val="22"/>
          <w:szCs w:val="22"/>
        </w:rPr>
        <w:t xml:space="preserve"> </w:t>
      </w:r>
      <w:r w:rsidR="0018141C" w:rsidRPr="00796CA6">
        <w:rPr>
          <w:rFonts w:ascii="ITC Avant Garde" w:hAnsi="ITC Avant Garde" w:cs="Arial"/>
          <w:sz w:val="22"/>
          <w:szCs w:val="22"/>
        </w:rPr>
        <w:t>I</w:t>
      </w:r>
      <w:r w:rsidR="00F20BBA" w:rsidRPr="00796CA6">
        <w:rPr>
          <w:rFonts w:ascii="ITC Avant Garde" w:hAnsi="ITC Avant Garde" w:cs="Arial"/>
          <w:sz w:val="22"/>
          <w:szCs w:val="22"/>
        </w:rPr>
        <w:t>ntern</w:t>
      </w:r>
      <w:r w:rsidR="0018141C" w:rsidRPr="00796CA6">
        <w:rPr>
          <w:rFonts w:ascii="ITC Avant Garde" w:hAnsi="ITC Avant Garde" w:cs="Arial"/>
          <w:sz w:val="22"/>
          <w:szCs w:val="22"/>
        </w:rPr>
        <w:t>os</w:t>
      </w:r>
      <w:r w:rsidR="00F20BBA" w:rsidRPr="00796CA6">
        <w:rPr>
          <w:rFonts w:ascii="ITC Avant Garde" w:hAnsi="ITC Avant Garde" w:cs="Arial"/>
          <w:sz w:val="22"/>
          <w:szCs w:val="22"/>
        </w:rPr>
        <w:t>.</w:t>
      </w:r>
      <w:r w:rsidR="0018141C" w:rsidRPr="00796CA6">
        <w:rPr>
          <w:rFonts w:ascii="ITC Avant Garde" w:hAnsi="ITC Avant Garde" w:cs="Arial"/>
          <w:sz w:val="22"/>
          <w:szCs w:val="22"/>
        </w:rPr>
        <w:t xml:space="preserve"> </w:t>
      </w:r>
      <w:r w:rsidR="00F20BBA" w:rsidRPr="00796CA6">
        <w:rPr>
          <w:rFonts w:ascii="ITC Avant Garde" w:hAnsi="ITC Avant Garde" w:cs="Arial"/>
          <w:sz w:val="22"/>
          <w:szCs w:val="22"/>
        </w:rPr>
        <w:t xml:space="preserve">Se refiere al promedio de los valores obtenidos en las observaciones o eventos sobre los servicios provistos por el AEP </w:t>
      </w:r>
      <w:r w:rsidR="0018141C" w:rsidRPr="00796CA6">
        <w:rPr>
          <w:rFonts w:ascii="ITC Avant Garde" w:hAnsi="ITC Avant Garde" w:cs="Arial"/>
          <w:sz w:val="22"/>
          <w:szCs w:val="22"/>
        </w:rPr>
        <w:t>par</w:t>
      </w:r>
      <w:r w:rsidR="00F20BBA" w:rsidRPr="00796CA6">
        <w:rPr>
          <w:rFonts w:ascii="ITC Avant Garde" w:hAnsi="ITC Avant Garde" w:cs="Arial"/>
          <w:sz w:val="22"/>
          <w:szCs w:val="22"/>
        </w:rPr>
        <w:t xml:space="preserve">a sí mismo. </w:t>
      </w:r>
      <w:r w:rsidR="0018141C" w:rsidRPr="00796CA6">
        <w:rPr>
          <w:rFonts w:ascii="ITC Avant Garde" w:hAnsi="ITC Avant Garde" w:cs="Arial"/>
          <w:sz w:val="22"/>
          <w:szCs w:val="22"/>
        </w:rPr>
        <w:t>Este es el valor que se le dará al ICD correspondiente a la Provisión de Servicios Internos</w:t>
      </w:r>
      <w:r w:rsidR="00AF3542" w:rsidRPr="00796CA6">
        <w:rPr>
          <w:rFonts w:ascii="ITC Avant Garde" w:hAnsi="ITC Avant Garde" w:cs="Arial"/>
          <w:sz w:val="22"/>
          <w:szCs w:val="22"/>
        </w:rPr>
        <w:t>.</w:t>
      </w:r>
    </w:p>
    <w:p w14:paraId="1B970F47" w14:textId="16E1BDAF" w:rsidR="00F20BBA" w:rsidRPr="00796CA6" w:rsidRDefault="00DB221B" w:rsidP="00796CA6">
      <w:pPr>
        <w:pStyle w:val="NormalWeb"/>
        <w:spacing w:before="120" w:beforeAutospacing="0" w:after="225" w:afterAutospacing="0"/>
        <w:jc w:val="center"/>
        <w:rPr>
          <w:rFonts w:ascii="ITC Avant Garde" w:hAnsi="ITC Avant Garde" w:cs="Arial"/>
          <w:sz w:val="22"/>
          <w:szCs w:val="22"/>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int</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int</m:t>
                      </m:r>
                    </m:sub>
                  </m:sSub>
                </m:sup>
                <m:e>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int</m:t>
                      </m:r>
                    </m:sub>
                  </m:sSub>
                </m:e>
              </m:nary>
            </m:num>
            <m:den>
              <m:sSub>
                <m:sSubPr>
                  <m:ctrlPr>
                    <w:rPr>
                      <w:rFonts w:ascii="Cambria Math" w:hAnsi="Cambria Math"/>
                    </w:rPr>
                  </m:ctrlPr>
                </m:sSubPr>
                <m:e>
                  <m:r>
                    <w:rPr>
                      <w:rFonts w:ascii="Cambria Math" w:hAnsi="Cambria Math"/>
                    </w:rPr>
                    <m:t>n</m:t>
                  </m:r>
                </m:e>
                <m:sub>
                  <m:r>
                    <w:rPr>
                      <w:rFonts w:ascii="Cambria Math" w:hAnsi="Cambria Math"/>
                    </w:rPr>
                    <m:t>int</m:t>
                  </m:r>
                </m:sub>
              </m:sSub>
            </m:den>
          </m:f>
        </m:oMath>
      </m:oMathPara>
    </w:p>
    <w:p w14:paraId="0D31CB2C" w14:textId="5CFC481E" w:rsidR="00F20BBA" w:rsidRPr="00796CA6" w:rsidRDefault="00DB221B" w:rsidP="00796CA6">
      <w:pPr>
        <w:pStyle w:val="NormalWeb"/>
        <w:spacing w:before="120" w:beforeAutospacing="0" w:after="225" w:afterAutospacing="0"/>
        <w:jc w:val="both"/>
        <w:rPr>
          <w:rFonts w:ascii="ITC Avant Garde" w:hAnsi="ITC Avant Garde" w:cs="Arial"/>
          <w:sz w:val="22"/>
          <w:szCs w:val="22"/>
        </w:rPr>
      </w:pPr>
      <m:oMath>
        <m:sSubSup>
          <m:sSubSupPr>
            <m:ctrlPr>
              <w:rPr>
                <w:rFonts w:ascii="Cambria Math" w:hAnsi="Cambria Math"/>
              </w:rPr>
            </m:ctrlPr>
          </m:sSubSupPr>
          <m:e>
            <m:r>
              <w:rPr>
                <w:rFonts w:ascii="Cambria Math" w:hAnsi="Cambria Math"/>
              </w:rPr>
              <m:t>σ</m:t>
            </m:r>
          </m:e>
          <m:sub>
            <m:r>
              <w:rPr>
                <w:rFonts w:ascii="Cambria Math" w:hAnsi="Cambria Math"/>
              </w:rPr>
              <m:t>ext</m:t>
            </m:r>
          </m:sub>
          <m:sup>
            <m:r>
              <m:rPr>
                <m:sty m:val="p"/>
              </m:rPr>
              <w:rPr>
                <w:rFonts w:ascii="Cambria Math" w:hAnsi="Cambria Math"/>
              </w:rPr>
              <m:t>2</m:t>
            </m:r>
          </m:sup>
        </m:sSubSup>
      </m:oMath>
      <w:r w:rsidR="00092940" w:rsidRPr="00796CA6">
        <w:rPr>
          <w:rFonts w:ascii="ITC Avant Garde" w:hAnsi="ITC Avant Garde" w:cs="Arial"/>
        </w:rPr>
        <w:t xml:space="preserve"> es la </w:t>
      </w:r>
      <w:r w:rsidR="00F20BBA" w:rsidRPr="00796CA6">
        <w:rPr>
          <w:rFonts w:ascii="ITC Avant Garde" w:hAnsi="ITC Avant Garde" w:cs="Arial"/>
          <w:sz w:val="22"/>
          <w:szCs w:val="22"/>
        </w:rPr>
        <w:t>Varianza para la provisión externa. La varianza mide qué tan dispersos están los datos derivados de l</w:t>
      </w:r>
      <w:r w:rsidR="0018141C" w:rsidRPr="00796CA6">
        <w:rPr>
          <w:rFonts w:ascii="ITC Avant Garde" w:hAnsi="ITC Avant Garde" w:cs="Arial"/>
          <w:sz w:val="22"/>
          <w:szCs w:val="22"/>
        </w:rPr>
        <w:t>a</w:t>
      </w:r>
      <w:r w:rsidR="00F20BBA" w:rsidRPr="00796CA6">
        <w:rPr>
          <w:rFonts w:ascii="ITC Avant Garde" w:hAnsi="ITC Avant Garde" w:cs="Arial"/>
          <w:sz w:val="22"/>
          <w:szCs w:val="22"/>
        </w:rPr>
        <w:t xml:space="preserve"> </w:t>
      </w:r>
      <w:r w:rsidR="0018141C" w:rsidRPr="00796CA6">
        <w:rPr>
          <w:rFonts w:ascii="ITC Avant Garde" w:hAnsi="ITC Avant Garde" w:cs="Arial"/>
          <w:sz w:val="22"/>
          <w:szCs w:val="22"/>
        </w:rPr>
        <w:t xml:space="preserve">Provisión de Servicios Externos </w:t>
      </w:r>
      <w:r w:rsidR="00F20BBA" w:rsidRPr="00796CA6">
        <w:rPr>
          <w:rFonts w:ascii="ITC Avant Garde" w:hAnsi="ITC Avant Garde" w:cs="Arial"/>
          <w:sz w:val="22"/>
          <w:szCs w:val="22"/>
        </w:rPr>
        <w:t>alrededor de su promedio. La varianza es igual a la desviación estándar al cuadrado.</w:t>
      </w:r>
    </w:p>
    <w:p w14:paraId="4A4C0930" w14:textId="54B2C0F8" w:rsidR="00F20BBA" w:rsidRPr="00796CA6" w:rsidRDefault="00DB221B" w:rsidP="00796CA6">
      <w:pPr>
        <w:pStyle w:val="NormalWeb"/>
        <w:spacing w:before="120" w:beforeAutospacing="0" w:after="225" w:afterAutospacing="0"/>
        <w:jc w:val="both"/>
        <w:rPr>
          <w:rFonts w:ascii="ITC Avant Garde" w:hAnsi="ITC Avant Garde" w:cs="Arial"/>
          <w:sz w:val="22"/>
          <w:szCs w:val="22"/>
        </w:rPr>
      </w:pPr>
      <m:oMathPara>
        <m:oMath>
          <m:sSubSup>
            <m:sSubSupPr>
              <m:ctrlPr>
                <w:rPr>
                  <w:rFonts w:ascii="Cambria Math" w:hAnsi="Cambria Math"/>
                </w:rPr>
              </m:ctrlPr>
            </m:sSubSupPr>
            <m:e>
              <m:r>
                <w:rPr>
                  <w:rFonts w:ascii="Cambria Math" w:hAnsi="Cambria Math"/>
                </w:rPr>
                <m:t>σ</m:t>
              </m:r>
            </m:e>
            <m:sub>
              <m:r>
                <w:rPr>
                  <w:rFonts w:ascii="Cambria Math" w:hAnsi="Cambria Math"/>
                </w:rPr>
                <m:t>ext</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ext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ext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X</m:t>
                              </m:r>
                            </m:e>
                          </m:acc>
                        </m:e>
                        <m:sub>
                          <m:r>
                            <w:rPr>
                              <w:rFonts w:ascii="Cambria Math" w:hAnsi="Cambria Math"/>
                              <w:sz w:val="22"/>
                            </w:rPr>
                            <m:t>ext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rPr>
                  </m:ctrlPr>
                </m:sSubPr>
                <m:e>
                  <m:r>
                    <w:rPr>
                      <w:rFonts w:ascii="Cambria Math" w:hAnsi="Cambria Math"/>
                    </w:rPr>
                    <m:t>n</m:t>
                  </m:r>
                </m:e>
                <m:sub>
                  <m:r>
                    <w:rPr>
                      <w:rFonts w:ascii="Cambria Math" w:hAnsi="Cambria Math"/>
                    </w:rPr>
                    <m:t>ext</m:t>
                  </m:r>
                </m:sub>
              </m:sSub>
            </m:den>
          </m:f>
        </m:oMath>
      </m:oMathPara>
    </w:p>
    <w:p w14:paraId="620944BC" w14:textId="4A12A22E" w:rsidR="00F20BBA" w:rsidRPr="00796CA6" w:rsidRDefault="00DB221B" w:rsidP="00796CA6">
      <w:pPr>
        <w:pStyle w:val="NormalWeb"/>
        <w:spacing w:before="120" w:beforeAutospacing="0" w:after="225" w:afterAutospacing="0"/>
        <w:jc w:val="both"/>
        <w:rPr>
          <w:rFonts w:ascii="ITC Avant Garde" w:hAnsi="ITC Avant Garde" w:cs="Arial"/>
          <w:sz w:val="22"/>
          <w:szCs w:val="22"/>
        </w:rPr>
      </w:pPr>
      <m:oMath>
        <m:sSubSup>
          <m:sSubSupPr>
            <m:ctrlPr>
              <w:rPr>
                <w:rFonts w:ascii="Cambria Math" w:hAnsi="Cambria Math"/>
              </w:rPr>
            </m:ctrlPr>
          </m:sSubSupPr>
          <m:e>
            <m:r>
              <w:rPr>
                <w:rFonts w:ascii="Cambria Math" w:hAnsi="Cambria Math"/>
              </w:rPr>
              <m:t>σ</m:t>
            </m:r>
          </m:e>
          <m:sub>
            <m:r>
              <w:rPr>
                <w:rFonts w:ascii="Cambria Math" w:hAnsi="Cambria Math"/>
              </w:rPr>
              <m:t>int</m:t>
            </m:r>
          </m:sub>
          <m:sup>
            <m:r>
              <m:rPr>
                <m:sty m:val="p"/>
              </m:rPr>
              <w:rPr>
                <w:rFonts w:ascii="Cambria Math" w:hAnsi="Cambria Math"/>
              </w:rPr>
              <m:t>2</m:t>
            </m:r>
          </m:sup>
        </m:sSubSup>
      </m:oMath>
      <w:r w:rsidR="00092940" w:rsidRPr="00796CA6">
        <w:rPr>
          <w:rFonts w:ascii="ITC Avant Garde" w:hAnsi="ITC Avant Garde" w:cs="Arial"/>
        </w:rPr>
        <w:t xml:space="preserve"> es la </w:t>
      </w:r>
      <w:r w:rsidR="00F20BBA" w:rsidRPr="00796CA6">
        <w:rPr>
          <w:rFonts w:ascii="ITC Avant Garde" w:hAnsi="ITC Avant Garde" w:cs="Arial"/>
          <w:sz w:val="22"/>
          <w:szCs w:val="22"/>
        </w:rPr>
        <w:t>Varianza para la provisión interna. La varianza mide qué tan dispersos están los datos derivados de l</w:t>
      </w:r>
      <w:r w:rsidR="0018141C" w:rsidRPr="00796CA6">
        <w:rPr>
          <w:rFonts w:ascii="ITC Avant Garde" w:hAnsi="ITC Avant Garde" w:cs="Arial"/>
          <w:sz w:val="22"/>
          <w:szCs w:val="22"/>
        </w:rPr>
        <w:t>a</w:t>
      </w:r>
      <w:r w:rsidR="00F20BBA" w:rsidRPr="00796CA6">
        <w:rPr>
          <w:rFonts w:ascii="ITC Avant Garde" w:hAnsi="ITC Avant Garde" w:cs="Arial"/>
          <w:sz w:val="22"/>
          <w:szCs w:val="22"/>
        </w:rPr>
        <w:t xml:space="preserve"> </w:t>
      </w:r>
      <w:r w:rsidR="0018141C" w:rsidRPr="00796CA6">
        <w:rPr>
          <w:rFonts w:ascii="ITC Avant Garde" w:hAnsi="ITC Avant Garde" w:cs="Arial"/>
          <w:sz w:val="22"/>
          <w:szCs w:val="22"/>
        </w:rPr>
        <w:t xml:space="preserve">Provisión de Servicios Internos </w:t>
      </w:r>
      <w:r w:rsidR="00F20BBA" w:rsidRPr="00796CA6">
        <w:rPr>
          <w:rFonts w:ascii="ITC Avant Garde" w:hAnsi="ITC Avant Garde" w:cs="Arial"/>
          <w:sz w:val="22"/>
          <w:szCs w:val="22"/>
        </w:rPr>
        <w:t>alrededor de su promedio. La varianza es igual a la desviación estándar al cuadrado.</w:t>
      </w:r>
    </w:p>
    <w:p w14:paraId="189ED962" w14:textId="1D343DD5" w:rsidR="00AF5E47" w:rsidRPr="00796CA6" w:rsidRDefault="00DB221B" w:rsidP="00796CA6">
      <w:pPr>
        <w:pStyle w:val="NormalWeb"/>
        <w:spacing w:before="120" w:beforeAutospacing="0" w:after="225" w:afterAutospacing="0"/>
        <w:jc w:val="both"/>
      </w:pPr>
      <m:oMathPara>
        <m:oMath>
          <m:sSubSup>
            <m:sSubSupPr>
              <m:ctrlPr>
                <w:rPr>
                  <w:rFonts w:ascii="Cambria Math" w:hAnsi="Cambria Math"/>
                </w:rPr>
              </m:ctrlPr>
            </m:sSubSupPr>
            <m:e>
              <m:r>
                <w:rPr>
                  <w:rFonts w:ascii="Cambria Math" w:hAnsi="Cambria Math"/>
                </w:rPr>
                <m:t>σ</m:t>
              </m:r>
            </m:e>
            <m:sub>
              <m:r>
                <w:rPr>
                  <w:rFonts w:ascii="Cambria Math" w:hAnsi="Cambria Math"/>
                </w:rPr>
                <m:t>int</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sSub>
                    <m:sSubPr>
                      <m:ctrlPr>
                        <w:rPr>
                          <w:rFonts w:ascii="Cambria Math" w:hAnsi="Cambria Math"/>
                          <w:sz w:val="22"/>
                        </w:rPr>
                      </m:ctrlPr>
                    </m:sSubPr>
                    <m:e>
                      <m:r>
                        <w:rPr>
                          <w:rFonts w:ascii="Cambria Math" w:hAnsi="Cambria Math"/>
                          <w:sz w:val="22"/>
                        </w:rPr>
                        <m:t>n</m:t>
                      </m:r>
                    </m:e>
                    <m:sub>
                      <m:r>
                        <w:rPr>
                          <w:rFonts w:ascii="Cambria Math" w:hAnsi="Cambria Math"/>
                          <w:sz w:val="22"/>
                        </w:rPr>
                        <m:t>int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X</m:t>
                          </m:r>
                        </m:e>
                        <m:sub>
                          <m:r>
                            <w:rPr>
                              <w:rFonts w:ascii="Cambria Math" w:hAnsi="Cambria Math"/>
                              <w:sz w:val="22"/>
                            </w:rPr>
                            <m:t>i</m:t>
                          </m:r>
                          <m:r>
                            <m:rPr>
                              <m:sty m:val="p"/>
                            </m:rPr>
                            <w:rPr>
                              <w:rFonts w:ascii="Cambria Math" w:hAnsi="Cambria Math"/>
                              <w:sz w:val="22"/>
                            </w:rPr>
                            <m:t>_</m:t>
                          </m:r>
                          <m:r>
                            <w:rPr>
                              <w:rFonts w:ascii="Cambria Math" w:hAnsi="Cambria Math"/>
                              <w:sz w:val="22"/>
                            </w:rPr>
                            <m:t>int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X</m:t>
                              </m:r>
                            </m:e>
                          </m:acc>
                        </m:e>
                        <m:sub>
                          <m:r>
                            <w:rPr>
                              <w:rFonts w:ascii="Cambria Math" w:hAnsi="Cambria Math"/>
                              <w:sz w:val="22"/>
                            </w:rPr>
                            <m:t>int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rPr>
                  </m:ctrlPr>
                </m:sSubPr>
                <m:e>
                  <m:r>
                    <w:rPr>
                      <w:rFonts w:ascii="Cambria Math" w:hAnsi="Cambria Math"/>
                    </w:rPr>
                    <m:t>n</m:t>
                  </m:r>
                </m:e>
                <m:sub>
                  <m:r>
                    <w:rPr>
                      <w:rFonts w:ascii="Cambria Math" w:hAnsi="Cambria Math"/>
                    </w:rPr>
                    <m:t>int</m:t>
                  </m:r>
                </m:sub>
              </m:sSub>
            </m:den>
          </m:f>
        </m:oMath>
      </m:oMathPara>
    </w:p>
    <w:p w14:paraId="21064C76" w14:textId="47A5E9B6" w:rsidR="00307A56" w:rsidRPr="00796CA6" w:rsidRDefault="00DB221B" w:rsidP="00796CA6">
      <w:pPr>
        <w:pStyle w:val="NormalWeb"/>
        <w:spacing w:before="120" w:beforeAutospacing="0" w:after="225" w:afterAutospacing="0"/>
        <w:jc w:val="both"/>
        <w:rPr>
          <w:rFonts w:ascii="ITC Avant Garde" w:hAnsi="ITC Avant Garde" w:cs="Arial"/>
          <w:sz w:val="22"/>
          <w:szCs w:val="22"/>
        </w:rPr>
      </w:pPr>
      <m:oMath>
        <m:sSub>
          <m:sSubPr>
            <m:ctrlPr>
              <w:rPr>
                <w:rFonts w:ascii="Cambria Math" w:hAnsi="Cambria Math"/>
              </w:rPr>
            </m:ctrlPr>
          </m:sSubPr>
          <m:e>
            <m:r>
              <w:rPr>
                <w:rFonts w:ascii="Cambria Math" w:hAnsi="Cambria Math"/>
              </w:rPr>
              <m:t>n</m:t>
            </m:r>
          </m:e>
          <m:sub>
            <m:r>
              <w:rPr>
                <w:rFonts w:ascii="Cambria Math" w:hAnsi="Cambria Math"/>
              </w:rPr>
              <m:t>ext</m:t>
            </m:r>
          </m:sub>
        </m:sSub>
      </m:oMath>
      <w:r w:rsidR="00092940" w:rsidRPr="00796CA6">
        <w:rPr>
          <w:rFonts w:ascii="ITC Avant Garde" w:hAnsi="ITC Avant Garde" w:cs="Arial"/>
        </w:rPr>
        <w:t xml:space="preserve"> es la </w:t>
      </w:r>
      <w:r w:rsidR="00307A56" w:rsidRPr="00796CA6">
        <w:rPr>
          <w:rFonts w:ascii="ITC Avant Garde" w:hAnsi="ITC Avant Garde" w:cs="Arial"/>
          <w:sz w:val="22"/>
          <w:szCs w:val="22"/>
        </w:rPr>
        <w:t xml:space="preserve">Población para la </w:t>
      </w:r>
      <w:r w:rsidR="0018141C" w:rsidRPr="00796CA6">
        <w:rPr>
          <w:rFonts w:ascii="ITC Avant Garde" w:hAnsi="ITC Avant Garde" w:cs="Arial"/>
          <w:sz w:val="22"/>
          <w:szCs w:val="22"/>
        </w:rPr>
        <w:t>Provisión de Servicios Externos</w:t>
      </w:r>
      <w:r w:rsidR="00307A56" w:rsidRPr="00796CA6">
        <w:rPr>
          <w:rFonts w:ascii="ITC Avant Garde" w:hAnsi="ITC Avant Garde" w:cs="Arial"/>
          <w:sz w:val="22"/>
          <w:szCs w:val="22"/>
        </w:rPr>
        <w:t>. Cantidad de datos derivados de los servicios provistos a otros operadores.</w:t>
      </w:r>
    </w:p>
    <w:p w14:paraId="40D9DAD6" w14:textId="2B3D1822" w:rsidR="00307A56" w:rsidRPr="00796CA6" w:rsidRDefault="00DB221B" w:rsidP="00796CA6">
      <w:pPr>
        <w:pStyle w:val="NormalWeb"/>
        <w:spacing w:before="120" w:beforeAutospacing="0" w:after="225" w:afterAutospacing="0"/>
        <w:jc w:val="both"/>
        <w:rPr>
          <w:rFonts w:ascii="ITC Avant Garde" w:hAnsi="ITC Avant Garde" w:cs="Arial"/>
          <w:sz w:val="22"/>
          <w:szCs w:val="22"/>
        </w:rPr>
      </w:pPr>
      <m:oMath>
        <m:sSub>
          <m:sSubPr>
            <m:ctrlPr>
              <w:rPr>
                <w:rFonts w:ascii="Cambria Math" w:hAnsi="Cambria Math"/>
              </w:rPr>
            </m:ctrlPr>
          </m:sSubPr>
          <m:e>
            <m:r>
              <w:rPr>
                <w:rFonts w:ascii="Cambria Math" w:hAnsi="Cambria Math"/>
              </w:rPr>
              <m:t>n</m:t>
            </m:r>
          </m:e>
          <m:sub>
            <m:r>
              <w:rPr>
                <w:rFonts w:ascii="Cambria Math" w:hAnsi="Cambria Math"/>
              </w:rPr>
              <m:t>int</m:t>
            </m:r>
          </m:sub>
        </m:sSub>
      </m:oMath>
      <w:r w:rsidR="00092940" w:rsidRPr="00796CA6">
        <w:rPr>
          <w:rFonts w:ascii="ITC Avant Garde" w:hAnsi="ITC Avant Garde" w:cs="Arial"/>
        </w:rPr>
        <w:t xml:space="preserve"> es la </w:t>
      </w:r>
      <w:r w:rsidR="00307A56" w:rsidRPr="00796CA6">
        <w:rPr>
          <w:rFonts w:ascii="ITC Avant Garde" w:hAnsi="ITC Avant Garde" w:cs="Arial"/>
          <w:sz w:val="22"/>
          <w:szCs w:val="22"/>
        </w:rPr>
        <w:t xml:space="preserve">Población para la </w:t>
      </w:r>
      <w:r w:rsidR="0018141C" w:rsidRPr="00796CA6">
        <w:rPr>
          <w:rFonts w:ascii="ITC Avant Garde" w:hAnsi="ITC Avant Garde" w:cs="Arial"/>
          <w:sz w:val="22"/>
          <w:szCs w:val="22"/>
        </w:rPr>
        <w:t>Provisión de Servicios Internos</w:t>
      </w:r>
      <w:r w:rsidR="00307A56" w:rsidRPr="00796CA6">
        <w:rPr>
          <w:rFonts w:ascii="ITC Avant Garde" w:hAnsi="ITC Avant Garde" w:cs="Arial"/>
          <w:sz w:val="22"/>
          <w:szCs w:val="22"/>
        </w:rPr>
        <w:t>. Cantidad de datos derivados de los servicios provistos a sí mismo.</w:t>
      </w:r>
    </w:p>
    <w:p w14:paraId="79F0C84C" w14:textId="01276A80" w:rsidR="00F2653F" w:rsidRPr="00796CA6" w:rsidRDefault="00796CA6" w:rsidP="00796CA6">
      <w:pPr>
        <w:pStyle w:val="NormalWeb"/>
        <w:spacing w:before="120" w:beforeAutospacing="0" w:after="225" w:afterAutospacing="0"/>
        <w:jc w:val="both"/>
        <w:rPr>
          <w:rFonts w:ascii="ITC Avant Garde" w:hAnsi="ITC Avant Garde" w:cs="Arial"/>
        </w:rPr>
      </w:pPr>
      <m:oMath>
        <m:r>
          <w:rPr>
            <w:rFonts w:ascii="Cambria Math" w:hAnsi="Cambria Math" w:cs="Arial"/>
          </w:rPr>
          <m:t>i</m:t>
        </m:r>
        <m:r>
          <m:rPr>
            <m:sty m:val="p"/>
          </m:rPr>
          <w:rPr>
            <w:rFonts w:ascii="Cambria Math" w:hAnsi="Cambria Math" w:cs="Arial"/>
          </w:rPr>
          <m:t>_</m:t>
        </m:r>
        <m:r>
          <w:rPr>
            <w:rFonts w:ascii="Cambria Math" w:hAnsi="Cambria Math" w:cs="Arial"/>
          </w:rPr>
          <m:t>ext</m:t>
        </m:r>
        <m:r>
          <m:rPr>
            <m:sty m:val="p"/>
          </m:rPr>
          <w:rPr>
            <w:rFonts w:ascii="Cambria Math" w:hAnsi="Cambria Math" w:cs="Arial"/>
          </w:rPr>
          <m:t xml:space="preserve"> </m:t>
        </m:r>
      </m:oMath>
      <w:r w:rsidR="00F2653F" w:rsidRPr="00796CA6">
        <w:rPr>
          <w:rFonts w:ascii="ITC Avant Garde" w:hAnsi="ITC Avant Garde" w:cs="Arial"/>
        </w:rPr>
        <w:t>es cada una de las observaciones o eventos que se analizan de la provisión externa.</w:t>
      </w:r>
    </w:p>
    <w:p w14:paraId="5A2C8B81" w14:textId="50217732" w:rsidR="00F2653F" w:rsidRPr="00796CA6" w:rsidRDefault="00796CA6" w:rsidP="00796CA6">
      <w:pPr>
        <w:pStyle w:val="NormalWeb"/>
        <w:spacing w:before="120" w:beforeAutospacing="0" w:after="225" w:afterAutospacing="0"/>
        <w:jc w:val="both"/>
        <w:rPr>
          <w:rFonts w:ascii="ITC Avant Garde" w:hAnsi="ITC Avant Garde" w:cs="Arial"/>
        </w:rPr>
      </w:pPr>
      <m:oMath>
        <m:r>
          <w:rPr>
            <w:rFonts w:ascii="Cambria Math" w:hAnsi="Cambria Math" w:cs="Arial"/>
          </w:rPr>
          <m:t>i</m:t>
        </m:r>
        <m:r>
          <m:rPr>
            <m:sty m:val="p"/>
          </m:rPr>
          <w:rPr>
            <w:rFonts w:ascii="Cambria Math" w:hAnsi="Cambria Math" w:cs="Arial"/>
          </w:rPr>
          <m:t>_</m:t>
        </m:r>
        <m:r>
          <w:rPr>
            <w:rFonts w:ascii="Cambria Math" w:hAnsi="Cambria Math" w:cs="Arial"/>
          </w:rPr>
          <m:t>int</m:t>
        </m:r>
        <m:r>
          <m:rPr>
            <m:sty m:val="p"/>
          </m:rPr>
          <w:rPr>
            <w:rFonts w:ascii="Cambria Math" w:hAnsi="Cambria Math" w:cs="Arial"/>
          </w:rPr>
          <m:t xml:space="preserve"> </m:t>
        </m:r>
      </m:oMath>
      <w:r w:rsidR="00F2653F" w:rsidRPr="00796CA6">
        <w:rPr>
          <w:rFonts w:ascii="ITC Avant Garde" w:hAnsi="ITC Avant Garde" w:cs="Arial"/>
        </w:rPr>
        <w:t>es cada una de las observaciones o eventos que se analizan de la provisión interna.</w:t>
      </w:r>
    </w:p>
    <w:p w14:paraId="0E5CF765" w14:textId="77777777" w:rsidR="00AF5E47" w:rsidRPr="00796CA6" w:rsidRDefault="00AF5E47"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Cs/>
          <w:sz w:val="22"/>
          <w:szCs w:val="22"/>
        </w:rPr>
        <w:lastRenderedPageBreak/>
        <w:t>El estadístico Z obtenid</w:t>
      </w:r>
      <w:r w:rsidR="008E3E67" w:rsidRPr="00796CA6">
        <w:rPr>
          <w:rFonts w:ascii="ITC Avant Garde" w:hAnsi="ITC Avant Garde"/>
          <w:bCs/>
          <w:sz w:val="22"/>
          <w:szCs w:val="22"/>
        </w:rPr>
        <w:t>o deberá presentarse sobre una G</w:t>
      </w:r>
      <w:r w:rsidRPr="00796CA6">
        <w:rPr>
          <w:rFonts w:ascii="ITC Avant Garde" w:hAnsi="ITC Avant Garde"/>
          <w:bCs/>
          <w:sz w:val="22"/>
          <w:szCs w:val="22"/>
        </w:rPr>
        <w:t>r</w:t>
      </w:r>
      <w:r w:rsidR="008E3E67" w:rsidRPr="00796CA6">
        <w:rPr>
          <w:rFonts w:ascii="ITC Avant Garde" w:hAnsi="ITC Avant Garde"/>
          <w:bCs/>
          <w:sz w:val="22"/>
          <w:szCs w:val="22"/>
        </w:rPr>
        <w:t>áfica de Control</w:t>
      </w:r>
      <w:r w:rsidR="00DF1BAB" w:rsidRPr="00796CA6">
        <w:rPr>
          <w:rFonts w:ascii="ITC Avant Garde" w:hAnsi="ITC Avant Garde"/>
          <w:bCs/>
          <w:sz w:val="22"/>
          <w:szCs w:val="22"/>
        </w:rPr>
        <w:t>,</w:t>
      </w:r>
      <w:r w:rsidR="008E3E67" w:rsidRPr="00796CA6">
        <w:rPr>
          <w:rFonts w:ascii="ITC Avant Garde" w:hAnsi="ITC Avant Garde"/>
          <w:bCs/>
          <w:sz w:val="22"/>
          <w:szCs w:val="22"/>
        </w:rPr>
        <w:t xml:space="preserve"> como la mostrada en la Gráfica 1, </w:t>
      </w:r>
      <w:r w:rsidRPr="00796CA6">
        <w:rPr>
          <w:rFonts w:ascii="ITC Avant Garde" w:hAnsi="ITC Avant Garde"/>
          <w:bCs/>
          <w:sz w:val="22"/>
          <w:szCs w:val="22"/>
        </w:rPr>
        <w:t>con</w:t>
      </w:r>
      <w:r w:rsidR="00DF1BAB" w:rsidRPr="00796CA6">
        <w:rPr>
          <w:rFonts w:ascii="ITC Avant Garde" w:hAnsi="ITC Avant Garde"/>
          <w:bCs/>
          <w:sz w:val="22"/>
          <w:szCs w:val="22"/>
        </w:rPr>
        <w:t xml:space="preserve"> un grado de confianza del 95%</w:t>
      </w:r>
      <w:r w:rsidR="008E3E67" w:rsidRPr="00796CA6">
        <w:rPr>
          <w:rFonts w:ascii="ITC Avant Garde" w:hAnsi="ITC Avant Garde"/>
          <w:bCs/>
          <w:sz w:val="22"/>
          <w:szCs w:val="22"/>
        </w:rPr>
        <w:t>, lo</w:t>
      </w:r>
      <w:r w:rsidR="00DF1BAB" w:rsidRPr="00796CA6">
        <w:rPr>
          <w:rFonts w:ascii="ITC Avant Garde" w:hAnsi="ITC Avant Garde"/>
          <w:bCs/>
          <w:sz w:val="22"/>
          <w:szCs w:val="22"/>
        </w:rPr>
        <w:t xml:space="preserve"> que equivale a</w:t>
      </w:r>
      <w:r w:rsidRPr="00796CA6">
        <w:rPr>
          <w:rFonts w:ascii="ITC Avant Garde" w:hAnsi="ITC Avant Garde"/>
          <w:bCs/>
          <w:sz w:val="22"/>
          <w:szCs w:val="22"/>
        </w:rPr>
        <w:t xml:space="preserve"> límites de aceptaci</w:t>
      </w:r>
      <w:r w:rsidR="00DF1BAB" w:rsidRPr="00796CA6">
        <w:rPr>
          <w:rFonts w:ascii="ITC Avant Garde" w:hAnsi="ITC Avant Garde"/>
          <w:bCs/>
          <w:sz w:val="22"/>
          <w:szCs w:val="22"/>
        </w:rPr>
        <w:t>ón de -1.96 a</w:t>
      </w:r>
      <w:r w:rsidRPr="00796CA6">
        <w:rPr>
          <w:rFonts w:ascii="ITC Avant Garde" w:hAnsi="ITC Avant Garde"/>
          <w:bCs/>
          <w:sz w:val="22"/>
          <w:szCs w:val="22"/>
        </w:rPr>
        <w:t xml:space="preserve"> 1.96</w:t>
      </w:r>
      <w:r w:rsidR="008E3E67" w:rsidRPr="00796CA6">
        <w:rPr>
          <w:rFonts w:ascii="ITC Avant Garde" w:hAnsi="ITC Avant Garde"/>
          <w:bCs/>
          <w:sz w:val="22"/>
          <w:szCs w:val="22"/>
        </w:rPr>
        <w:t>.</w:t>
      </w:r>
    </w:p>
    <w:p w14:paraId="1F8BA613" w14:textId="2E67D8B5" w:rsidR="00DF1BAB" w:rsidRPr="00796CA6" w:rsidRDefault="003A059A"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Cs/>
          <w:noProof/>
          <w:sz w:val="22"/>
          <w:szCs w:val="22"/>
        </w:rPr>
        <w:drawing>
          <wp:inline distT="0" distB="0" distL="0" distR="0" wp14:anchorId="386CA265" wp14:editId="7A747FA5">
            <wp:extent cx="6327775" cy="3001010"/>
            <wp:effectExtent l="0" t="0" r="0" b="8890"/>
            <wp:docPr id="2" name="Imagen 2" descr="Gráfica de Contro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7775" cy="3001010"/>
                    </a:xfrm>
                    <a:prstGeom prst="rect">
                      <a:avLst/>
                    </a:prstGeom>
                    <a:noFill/>
                    <a:ln>
                      <a:noFill/>
                    </a:ln>
                  </pic:spPr>
                </pic:pic>
              </a:graphicData>
            </a:graphic>
          </wp:inline>
        </w:drawing>
      </w:r>
    </w:p>
    <w:p w14:paraId="7C10E922" w14:textId="77777777" w:rsidR="00796CA6" w:rsidRDefault="008E3E67" w:rsidP="00796CA6">
      <w:pPr>
        <w:pStyle w:val="Descripcin"/>
        <w:jc w:val="center"/>
        <w:rPr>
          <w:bCs/>
        </w:rPr>
      </w:pPr>
      <w:r w:rsidRPr="00796CA6">
        <w:t>Gráfica 1. Gráfica de Control</w:t>
      </w:r>
    </w:p>
    <w:p w14:paraId="5A2F5DC0" w14:textId="77777777" w:rsidR="00796CA6" w:rsidRDefault="00130FE6"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 xml:space="preserve">Artículo </w:t>
      </w:r>
      <w:r w:rsidR="006F7B04" w:rsidRPr="00796CA6">
        <w:rPr>
          <w:rFonts w:ascii="ITC Avant Garde" w:hAnsi="ITC Avant Garde"/>
          <w:b/>
          <w:bCs/>
          <w:sz w:val="22"/>
          <w:szCs w:val="22"/>
        </w:rPr>
        <w:t>6</w:t>
      </w:r>
      <w:r w:rsidRPr="00796CA6">
        <w:rPr>
          <w:rFonts w:ascii="ITC Avant Garde" w:hAnsi="ITC Avant Garde"/>
          <w:b/>
          <w:bCs/>
          <w:sz w:val="22"/>
          <w:szCs w:val="22"/>
        </w:rPr>
        <w:t>.-</w:t>
      </w:r>
      <w:r w:rsidRPr="00796CA6">
        <w:rPr>
          <w:rFonts w:ascii="ITC Avant Garde" w:hAnsi="ITC Avant Garde"/>
          <w:bCs/>
          <w:sz w:val="22"/>
          <w:szCs w:val="22"/>
        </w:rPr>
        <w:t xml:space="preserve"> </w:t>
      </w:r>
      <w:r w:rsidR="001E4944" w:rsidRPr="00796CA6">
        <w:rPr>
          <w:rFonts w:ascii="ITC Avant Garde" w:hAnsi="ITC Avant Garde"/>
          <w:bCs/>
          <w:sz w:val="22"/>
          <w:szCs w:val="22"/>
        </w:rPr>
        <w:t>Los Reportes de D</w:t>
      </w:r>
      <w:r w:rsidRPr="00796CA6">
        <w:rPr>
          <w:rFonts w:ascii="ITC Avant Garde" w:hAnsi="ITC Avant Garde"/>
          <w:bCs/>
          <w:sz w:val="22"/>
          <w:szCs w:val="22"/>
        </w:rPr>
        <w:t xml:space="preserve">esempeño deberán </w:t>
      </w:r>
      <w:r w:rsidR="00B26825" w:rsidRPr="00796CA6">
        <w:rPr>
          <w:rFonts w:ascii="ITC Avant Garde" w:hAnsi="ITC Avant Garde"/>
          <w:bCs/>
          <w:sz w:val="22"/>
          <w:szCs w:val="22"/>
        </w:rPr>
        <w:t>ser presentados por el AEP ante el Instituto para su revisión en las reuniones del Grupo de Trabajo</w:t>
      </w:r>
      <w:r w:rsidRPr="00796CA6">
        <w:rPr>
          <w:rFonts w:ascii="ITC Avant Garde" w:hAnsi="ITC Avant Garde"/>
          <w:bCs/>
          <w:sz w:val="22"/>
          <w:szCs w:val="22"/>
        </w:rPr>
        <w:t xml:space="preserve"> de manera </w:t>
      </w:r>
      <w:r w:rsidR="0018141C" w:rsidRPr="00796CA6">
        <w:rPr>
          <w:rFonts w:ascii="ITC Avant Garde" w:hAnsi="ITC Avant Garde"/>
          <w:bCs/>
          <w:sz w:val="22"/>
          <w:szCs w:val="22"/>
        </w:rPr>
        <w:t>trimestral</w:t>
      </w:r>
      <w:r w:rsidR="00B26825" w:rsidRPr="00796CA6">
        <w:rPr>
          <w:rFonts w:ascii="ITC Avant Garde" w:hAnsi="ITC Avant Garde"/>
          <w:bCs/>
          <w:sz w:val="22"/>
          <w:szCs w:val="22"/>
        </w:rPr>
        <w:t>,</w:t>
      </w:r>
      <w:r w:rsidR="00B85FD6" w:rsidRPr="00796CA6">
        <w:rPr>
          <w:rFonts w:ascii="ITC Avant Garde" w:hAnsi="ITC Avant Garde"/>
          <w:bCs/>
          <w:sz w:val="22"/>
          <w:szCs w:val="22"/>
        </w:rPr>
        <w:t xml:space="preserve"> sin menoscabo de que la periodicidad con la que se midan los ICD sea diferente a la frecuencia en que estos sean reportados. Estos Reportes</w:t>
      </w:r>
      <w:r w:rsidR="00B26825" w:rsidRPr="00796CA6">
        <w:rPr>
          <w:rFonts w:ascii="ITC Avant Garde" w:hAnsi="ITC Avant Garde"/>
          <w:bCs/>
          <w:sz w:val="22"/>
          <w:szCs w:val="22"/>
        </w:rPr>
        <w:t xml:space="preserve"> deberán incluir </w:t>
      </w:r>
      <w:r w:rsidR="00E41600" w:rsidRPr="00796CA6">
        <w:rPr>
          <w:rFonts w:ascii="ITC Avant Garde" w:hAnsi="ITC Avant Garde"/>
          <w:bCs/>
          <w:sz w:val="22"/>
          <w:szCs w:val="22"/>
        </w:rPr>
        <w:t xml:space="preserve">el valor </w:t>
      </w:r>
      <w:r w:rsidR="00B85FD6" w:rsidRPr="00796CA6">
        <w:rPr>
          <w:rFonts w:ascii="ITC Avant Garde" w:hAnsi="ITC Avant Garde"/>
          <w:bCs/>
          <w:sz w:val="22"/>
          <w:szCs w:val="22"/>
        </w:rPr>
        <w:t xml:space="preserve">de cada uno de los </w:t>
      </w:r>
      <w:r w:rsidR="00E41600" w:rsidRPr="00796CA6">
        <w:rPr>
          <w:rFonts w:ascii="ITC Avant Garde" w:hAnsi="ITC Avant Garde"/>
          <w:bCs/>
          <w:sz w:val="22"/>
          <w:szCs w:val="22"/>
        </w:rPr>
        <w:t xml:space="preserve">ICD para la </w:t>
      </w:r>
      <w:r w:rsidR="00E41600" w:rsidRPr="00796CA6">
        <w:rPr>
          <w:rFonts w:ascii="ITC Avant Garde" w:hAnsi="ITC Avant Garde" w:cs="Arial"/>
          <w:sz w:val="22"/>
          <w:szCs w:val="22"/>
        </w:rPr>
        <w:t xml:space="preserve">Provisión de Servicios Internos y Externos </w:t>
      </w:r>
      <w:r w:rsidR="00E41600" w:rsidRPr="00796CA6">
        <w:t>(</w:t>
      </w:r>
      <m:oMath>
        <m:sSub>
          <m:sSubPr>
            <m:ctrlPr>
              <w:rPr>
                <w:rFonts w:ascii="Cambria Math" w:hAnsi="Cambria Math"/>
                <w:szCs w:val="32"/>
              </w:rPr>
            </m:ctrlPr>
          </m:sSubPr>
          <m:e>
            <m:acc>
              <m:accPr>
                <m:chr m:val="̅"/>
                <m:ctrlPr>
                  <w:rPr>
                    <w:rFonts w:ascii="Cambria Math" w:hAnsi="Cambria Math"/>
                    <w:szCs w:val="32"/>
                  </w:rPr>
                </m:ctrlPr>
              </m:accPr>
              <m:e>
                <m:r>
                  <w:rPr>
                    <w:rFonts w:ascii="Cambria Math" w:hAnsi="Cambria Math"/>
                    <w:szCs w:val="32"/>
                  </w:rPr>
                  <m:t>X</m:t>
                </m:r>
              </m:e>
            </m:acc>
          </m:e>
          <m:sub>
            <m:r>
              <w:rPr>
                <w:rFonts w:ascii="Cambria Math" w:hAnsi="Cambria Math"/>
                <w:szCs w:val="32"/>
              </w:rPr>
              <m:t>ext</m:t>
            </m:r>
          </m:sub>
        </m:sSub>
        <m:r>
          <m:rPr>
            <m:sty m:val="p"/>
          </m:rPr>
          <w:rPr>
            <w:rFonts w:ascii="Cambria Math" w:hAnsi="Cambria Math"/>
            <w:szCs w:val="32"/>
          </w:rPr>
          <m:t xml:space="preserve"> </m:t>
        </m:r>
        <m:r>
          <w:rPr>
            <w:rFonts w:ascii="Cambria Math" w:hAnsi="Cambria Math"/>
            <w:sz w:val="22"/>
            <w:szCs w:val="22"/>
          </w:rPr>
          <m:t>y</m:t>
        </m:r>
        <m:r>
          <m:rPr>
            <m:sty m:val="p"/>
          </m:rPr>
          <w:rPr>
            <w:rFonts w:ascii="Cambria Math" w:hAnsi="Cambria Math"/>
            <w:szCs w:val="32"/>
          </w:rPr>
          <m:t xml:space="preserve"> </m:t>
        </m:r>
        <m:sSub>
          <m:sSubPr>
            <m:ctrlPr>
              <w:rPr>
                <w:rFonts w:ascii="Cambria Math" w:hAnsi="Cambria Math"/>
                <w:szCs w:val="32"/>
              </w:rPr>
            </m:ctrlPr>
          </m:sSubPr>
          <m:e>
            <m:acc>
              <m:accPr>
                <m:chr m:val="̅"/>
                <m:ctrlPr>
                  <w:rPr>
                    <w:rFonts w:ascii="Cambria Math" w:hAnsi="Cambria Math"/>
                    <w:szCs w:val="32"/>
                  </w:rPr>
                </m:ctrlPr>
              </m:accPr>
              <m:e>
                <m:r>
                  <w:rPr>
                    <w:rFonts w:ascii="Cambria Math" w:hAnsi="Cambria Math"/>
                    <w:szCs w:val="32"/>
                  </w:rPr>
                  <m:t>X</m:t>
                </m:r>
              </m:e>
            </m:acc>
          </m:e>
          <m:sub>
            <m:r>
              <w:rPr>
                <w:rFonts w:ascii="Cambria Math" w:hAnsi="Cambria Math"/>
                <w:szCs w:val="32"/>
              </w:rPr>
              <m:t>int</m:t>
            </m:r>
          </m:sub>
        </m:sSub>
        <m:r>
          <m:rPr>
            <m:sty m:val="p"/>
          </m:rPr>
          <w:rPr>
            <w:rFonts w:ascii="Cambria Math" w:hAnsi="Cambria Math"/>
            <w:szCs w:val="32"/>
          </w:rPr>
          <m:t>) ,</m:t>
        </m:r>
      </m:oMath>
      <w:r w:rsidR="00E41600" w:rsidRPr="00796CA6">
        <w:rPr>
          <w:szCs w:val="32"/>
        </w:rPr>
        <w:t xml:space="preserve"> </w:t>
      </w:r>
      <w:r w:rsidR="00E41600" w:rsidRPr="00796CA6">
        <w:rPr>
          <w:rFonts w:ascii="ITC Avant Garde" w:hAnsi="ITC Avant Garde"/>
          <w:bCs/>
          <w:sz w:val="22"/>
          <w:szCs w:val="22"/>
        </w:rPr>
        <w:t xml:space="preserve">la representación gráfica de cada estadístico Z obtenido, la </w:t>
      </w:r>
      <w:r w:rsidR="0021056F" w:rsidRPr="00796CA6">
        <w:rPr>
          <w:rFonts w:ascii="ITC Avant Garde" w:hAnsi="ITC Avant Garde"/>
          <w:bCs/>
          <w:sz w:val="22"/>
          <w:szCs w:val="22"/>
        </w:rPr>
        <w:t>información de soporte a partir de la cual fue calculado</w:t>
      </w:r>
      <w:r w:rsidR="00E41600" w:rsidRPr="00796CA6">
        <w:rPr>
          <w:rFonts w:ascii="ITC Avant Garde" w:hAnsi="ITC Avant Garde"/>
          <w:bCs/>
          <w:sz w:val="22"/>
          <w:szCs w:val="22"/>
        </w:rPr>
        <w:t xml:space="preserve"> cada indicador y la memoria de cálculo para cada estadístico</w:t>
      </w:r>
      <w:r w:rsidR="00B26825" w:rsidRPr="00796CA6">
        <w:rPr>
          <w:rFonts w:ascii="ITC Avant Garde" w:hAnsi="ITC Avant Garde"/>
          <w:bCs/>
          <w:sz w:val="22"/>
          <w:szCs w:val="22"/>
        </w:rPr>
        <w:t>.</w:t>
      </w:r>
    </w:p>
    <w:p w14:paraId="5061DE47" w14:textId="77777777" w:rsidR="00796CA6" w:rsidRDefault="00B26825"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 xml:space="preserve">Artículo </w:t>
      </w:r>
      <w:r w:rsidR="006F7B04" w:rsidRPr="00796CA6">
        <w:rPr>
          <w:rFonts w:ascii="ITC Avant Garde" w:hAnsi="ITC Avant Garde"/>
          <w:b/>
          <w:bCs/>
          <w:sz w:val="22"/>
          <w:szCs w:val="22"/>
        </w:rPr>
        <w:t>7</w:t>
      </w:r>
      <w:r w:rsidR="002E7CF6" w:rsidRPr="00796CA6">
        <w:rPr>
          <w:rFonts w:ascii="ITC Avant Garde" w:hAnsi="ITC Avant Garde"/>
          <w:bCs/>
          <w:sz w:val="22"/>
          <w:szCs w:val="22"/>
        </w:rPr>
        <w:t xml:space="preserve"> Los ICD, los estadísticos Z y los gráficos, deberán ser publicados por el AEP en su página de Internet dentro de los diez días hábiles siguientes a su presentación ante el Instituto</w:t>
      </w:r>
      <w:r w:rsidR="00183504" w:rsidRPr="00796CA6">
        <w:rPr>
          <w:rFonts w:ascii="ITC Avant Garde" w:hAnsi="ITC Avant Garde"/>
          <w:bCs/>
          <w:sz w:val="22"/>
          <w:szCs w:val="22"/>
        </w:rPr>
        <w:t xml:space="preserve">, garantizando en todo momento su </w:t>
      </w:r>
      <w:r w:rsidR="00A43797" w:rsidRPr="00796CA6">
        <w:rPr>
          <w:rFonts w:ascii="ITC Avant Garde" w:hAnsi="ITC Avant Garde"/>
          <w:bCs/>
          <w:sz w:val="22"/>
          <w:szCs w:val="22"/>
        </w:rPr>
        <w:t>veracidad,</w:t>
      </w:r>
      <w:r w:rsidR="00183504" w:rsidRPr="00796CA6">
        <w:rPr>
          <w:rFonts w:ascii="ITC Avant Garde" w:hAnsi="ITC Avant Garde"/>
          <w:bCs/>
          <w:sz w:val="22"/>
          <w:szCs w:val="22"/>
        </w:rPr>
        <w:t xml:space="preserve"> precisión</w:t>
      </w:r>
      <w:r w:rsidR="00A43797" w:rsidRPr="00796CA6">
        <w:rPr>
          <w:rFonts w:ascii="ITC Avant Garde" w:hAnsi="ITC Avant Garde"/>
          <w:bCs/>
          <w:sz w:val="22"/>
          <w:szCs w:val="22"/>
        </w:rPr>
        <w:t xml:space="preserve"> y accesibilidad</w:t>
      </w:r>
      <w:r w:rsidR="002E7CF6" w:rsidRPr="00796CA6">
        <w:rPr>
          <w:rFonts w:ascii="ITC Avant Garde" w:hAnsi="ITC Avant Garde"/>
          <w:bCs/>
          <w:sz w:val="22"/>
          <w:szCs w:val="22"/>
        </w:rPr>
        <w:t>.</w:t>
      </w:r>
    </w:p>
    <w:p w14:paraId="49EEEBB3" w14:textId="662C666A" w:rsidR="00130FE6" w:rsidRPr="00796CA6" w:rsidRDefault="00CB2531"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 xml:space="preserve">Artículo </w:t>
      </w:r>
      <w:r w:rsidR="006F7B04" w:rsidRPr="00796CA6">
        <w:rPr>
          <w:rFonts w:ascii="ITC Avant Garde" w:hAnsi="ITC Avant Garde"/>
          <w:b/>
          <w:bCs/>
          <w:sz w:val="22"/>
          <w:szCs w:val="22"/>
        </w:rPr>
        <w:t>8</w:t>
      </w:r>
      <w:r w:rsidR="00130FE6" w:rsidRPr="00796CA6">
        <w:rPr>
          <w:rFonts w:ascii="ITC Avant Garde" w:hAnsi="ITC Avant Garde"/>
          <w:b/>
          <w:bCs/>
          <w:sz w:val="22"/>
          <w:szCs w:val="22"/>
        </w:rPr>
        <w:t>.-</w:t>
      </w:r>
      <w:r w:rsidR="00130FE6" w:rsidRPr="00796CA6">
        <w:rPr>
          <w:rFonts w:ascii="ITC Avant Garde" w:hAnsi="ITC Avant Garde"/>
          <w:bCs/>
          <w:sz w:val="22"/>
          <w:szCs w:val="22"/>
        </w:rPr>
        <w:t xml:space="preserve"> </w:t>
      </w:r>
      <w:r w:rsidR="006F6EA3" w:rsidRPr="00796CA6">
        <w:rPr>
          <w:rFonts w:ascii="ITC Avant Garde" w:hAnsi="ITC Avant Garde"/>
          <w:bCs/>
          <w:sz w:val="22"/>
          <w:szCs w:val="22"/>
        </w:rPr>
        <w:t>E</w:t>
      </w:r>
      <w:r w:rsidR="00130FE6" w:rsidRPr="00796CA6">
        <w:rPr>
          <w:rFonts w:ascii="ITC Avant Garde" w:hAnsi="ITC Avant Garde"/>
          <w:bCs/>
          <w:sz w:val="22"/>
          <w:szCs w:val="22"/>
        </w:rPr>
        <w:t>l Instituto</w:t>
      </w:r>
      <w:r w:rsidR="006F6EA3" w:rsidRPr="00796CA6">
        <w:rPr>
          <w:rFonts w:ascii="ITC Avant Garde" w:hAnsi="ITC Avant Garde"/>
          <w:bCs/>
          <w:sz w:val="22"/>
          <w:szCs w:val="22"/>
        </w:rPr>
        <w:t xml:space="preserve"> podrá</w:t>
      </w:r>
      <w:r w:rsidR="00130FE6" w:rsidRPr="00796CA6">
        <w:rPr>
          <w:rFonts w:ascii="ITC Avant Garde" w:hAnsi="ITC Avant Garde"/>
          <w:bCs/>
          <w:sz w:val="22"/>
          <w:szCs w:val="22"/>
        </w:rPr>
        <w:t xml:space="preserve"> determinar la eliminación, modificación o adición de nuevos ICD que considere necesarios</w:t>
      </w:r>
      <w:r w:rsidR="006F6EA3" w:rsidRPr="00796CA6">
        <w:rPr>
          <w:rFonts w:ascii="ITC Avant Garde" w:hAnsi="ITC Avant Garde"/>
          <w:bCs/>
          <w:sz w:val="22"/>
          <w:szCs w:val="22"/>
        </w:rPr>
        <w:t>, cuando se presente alguna de las siguientes situaciones:</w:t>
      </w:r>
    </w:p>
    <w:p w14:paraId="6DD51AA0" w14:textId="77777777" w:rsidR="006F6EA3" w:rsidRPr="00796CA6" w:rsidRDefault="006F6EA3" w:rsidP="00796CA6">
      <w:pPr>
        <w:pStyle w:val="Prrafodelista"/>
        <w:numPr>
          <w:ilvl w:val="0"/>
          <w:numId w:val="23"/>
        </w:numPr>
      </w:pPr>
      <w:r w:rsidRPr="00796CA6">
        <w:t>Existan cambios en las condiciones de mercado;</w:t>
      </w:r>
    </w:p>
    <w:p w14:paraId="236B5BD8" w14:textId="77777777" w:rsidR="006F6EA3" w:rsidRPr="00796CA6" w:rsidRDefault="006F6EA3" w:rsidP="00796CA6">
      <w:pPr>
        <w:pStyle w:val="Prrafodelista"/>
        <w:numPr>
          <w:ilvl w:val="0"/>
          <w:numId w:val="23"/>
        </w:numPr>
      </w:pPr>
      <w:r w:rsidRPr="00796CA6">
        <w:t>Se adicionen, modifiquen o eliminen SMR;</w:t>
      </w:r>
    </w:p>
    <w:p w14:paraId="68AF40B6" w14:textId="77777777" w:rsidR="006F6EA3" w:rsidRPr="00796CA6" w:rsidRDefault="006F6EA3" w:rsidP="00796CA6">
      <w:pPr>
        <w:pStyle w:val="Prrafodelista"/>
        <w:numPr>
          <w:ilvl w:val="0"/>
          <w:numId w:val="23"/>
        </w:numPr>
      </w:pPr>
      <w:r w:rsidRPr="00796CA6">
        <w:t>Se modifiquen los procesos que conforman el ciclo de provisión de los SMR;</w:t>
      </w:r>
    </w:p>
    <w:p w14:paraId="26527EC1" w14:textId="77777777" w:rsidR="006F6EA3" w:rsidRPr="00796CA6" w:rsidRDefault="006F6EA3" w:rsidP="00796CA6">
      <w:pPr>
        <w:pStyle w:val="Prrafodelista"/>
        <w:numPr>
          <w:ilvl w:val="0"/>
          <w:numId w:val="23"/>
        </w:numPr>
      </w:pPr>
      <w:r w:rsidRPr="00796CA6">
        <w:lastRenderedPageBreak/>
        <w:t>Se modifique la estructura del agente regulado;</w:t>
      </w:r>
    </w:p>
    <w:p w14:paraId="45D57686" w14:textId="77777777" w:rsidR="006F6EA3" w:rsidRPr="00796CA6" w:rsidRDefault="006F6EA3" w:rsidP="00796CA6">
      <w:pPr>
        <w:pStyle w:val="Prrafodelista"/>
        <w:numPr>
          <w:ilvl w:val="0"/>
          <w:numId w:val="23"/>
        </w:numPr>
      </w:pPr>
      <w:r w:rsidRPr="00796CA6">
        <w:t>Se identifiquen situaciones relevantes que no son capturadas por los ICD vigentes, o</w:t>
      </w:r>
    </w:p>
    <w:p w14:paraId="08DFC863" w14:textId="77777777" w:rsidR="00796CA6" w:rsidRDefault="006F6EA3" w:rsidP="00796CA6">
      <w:pPr>
        <w:pStyle w:val="Prrafodelista"/>
        <w:numPr>
          <w:ilvl w:val="0"/>
          <w:numId w:val="23"/>
        </w:numPr>
      </w:pPr>
      <w:r w:rsidRPr="00796CA6">
        <w:t>Se detecte un comportamiento estratégico del agente regulado.</w:t>
      </w:r>
    </w:p>
    <w:p w14:paraId="7FCA215D" w14:textId="4714ED48" w:rsidR="00F20BBA" w:rsidRPr="00FE14BC" w:rsidRDefault="00F20BBA" w:rsidP="00FE14BC">
      <w:pPr>
        <w:pStyle w:val="Ttulo2"/>
      </w:pPr>
      <w:r w:rsidRPr="00FE14BC">
        <w:t>CAPÍTULO III</w:t>
      </w:r>
    </w:p>
    <w:p w14:paraId="4B5418A9" w14:textId="77777777" w:rsidR="00796CA6" w:rsidRDefault="00F20BBA" w:rsidP="00796CA6">
      <w:pPr>
        <w:pStyle w:val="estilo30"/>
        <w:spacing w:before="120" w:beforeAutospacing="0" w:after="0" w:afterAutospacing="0" w:line="276" w:lineRule="auto"/>
        <w:jc w:val="center"/>
        <w:rPr>
          <w:rFonts w:ascii="ITC Avant Garde" w:hAnsi="ITC Avant Garde"/>
          <w:b/>
          <w:bCs/>
          <w:sz w:val="22"/>
          <w:szCs w:val="22"/>
        </w:rPr>
      </w:pPr>
      <w:r w:rsidRPr="00796CA6">
        <w:rPr>
          <w:rFonts w:ascii="ITC Avant Garde" w:hAnsi="ITC Avant Garde"/>
          <w:b/>
          <w:bCs/>
          <w:sz w:val="22"/>
          <w:szCs w:val="22"/>
        </w:rPr>
        <w:t>De</w:t>
      </w:r>
      <w:r w:rsidR="004A62D9" w:rsidRPr="00796CA6">
        <w:rPr>
          <w:rFonts w:ascii="ITC Avant Garde" w:hAnsi="ITC Avant Garde"/>
          <w:b/>
          <w:bCs/>
          <w:sz w:val="22"/>
          <w:szCs w:val="22"/>
        </w:rPr>
        <w:t>l Seguimiento a los</w:t>
      </w:r>
      <w:r w:rsidRPr="00796CA6">
        <w:rPr>
          <w:rFonts w:ascii="ITC Avant Garde" w:hAnsi="ITC Avant Garde"/>
          <w:b/>
          <w:bCs/>
          <w:sz w:val="22"/>
          <w:szCs w:val="22"/>
        </w:rPr>
        <w:t xml:space="preserve"> Reportes de Desempeño</w:t>
      </w:r>
    </w:p>
    <w:p w14:paraId="2D21C46A" w14:textId="2ED20D47" w:rsidR="001D7A32" w:rsidRPr="00796CA6" w:rsidRDefault="004A62D9" w:rsidP="00796CA6">
      <w:pPr>
        <w:pStyle w:val="estilo30"/>
        <w:spacing w:before="120" w:beforeAutospacing="0" w:after="0" w:afterAutospacing="0" w:line="276" w:lineRule="auto"/>
        <w:jc w:val="both"/>
        <w:rPr>
          <w:rFonts w:ascii="ITC Avant Garde" w:hAnsi="ITC Avant Garde"/>
          <w:bCs/>
          <w:sz w:val="22"/>
          <w:szCs w:val="22"/>
        </w:rPr>
      </w:pPr>
      <w:r w:rsidRPr="00796CA6">
        <w:rPr>
          <w:rFonts w:ascii="ITC Avant Garde" w:hAnsi="ITC Avant Garde"/>
          <w:b/>
          <w:bCs/>
          <w:sz w:val="22"/>
          <w:szCs w:val="22"/>
        </w:rPr>
        <w:t xml:space="preserve">Artículo </w:t>
      </w:r>
      <w:r w:rsidR="006F7B04" w:rsidRPr="00796CA6">
        <w:rPr>
          <w:rFonts w:ascii="ITC Avant Garde" w:hAnsi="ITC Avant Garde"/>
          <w:b/>
          <w:bCs/>
          <w:sz w:val="22"/>
          <w:szCs w:val="22"/>
        </w:rPr>
        <w:t>9</w:t>
      </w:r>
      <w:r w:rsidR="00F20BBA" w:rsidRPr="00796CA6">
        <w:rPr>
          <w:rFonts w:ascii="ITC Avant Garde" w:hAnsi="ITC Avant Garde"/>
          <w:b/>
          <w:bCs/>
          <w:sz w:val="22"/>
          <w:szCs w:val="22"/>
        </w:rPr>
        <w:t>.-</w:t>
      </w:r>
      <w:r w:rsidR="00F20BBA" w:rsidRPr="00796CA6">
        <w:rPr>
          <w:rFonts w:ascii="ITC Avant Garde" w:hAnsi="ITC Avant Garde"/>
          <w:bCs/>
          <w:sz w:val="22"/>
          <w:szCs w:val="22"/>
        </w:rPr>
        <w:t xml:space="preserve"> </w:t>
      </w:r>
      <w:r w:rsidR="00821D8D" w:rsidRPr="00796CA6">
        <w:rPr>
          <w:rFonts w:ascii="ITC Avant Garde" w:hAnsi="ITC Avant Garde"/>
          <w:bCs/>
          <w:sz w:val="22"/>
          <w:szCs w:val="22"/>
        </w:rPr>
        <w:t xml:space="preserve">El Grupo de Trabajo revisará los Reportes de Desempeño presentados por el AEP y en caso de que algún </w:t>
      </w:r>
      <w:r w:rsidR="00E41600" w:rsidRPr="00796CA6">
        <w:rPr>
          <w:rFonts w:ascii="ITC Avant Garde" w:hAnsi="ITC Avant Garde"/>
          <w:bCs/>
          <w:sz w:val="22"/>
          <w:szCs w:val="22"/>
        </w:rPr>
        <w:t xml:space="preserve">estadístico Z </w:t>
      </w:r>
      <w:r w:rsidR="00821D8D" w:rsidRPr="00796CA6">
        <w:rPr>
          <w:rFonts w:ascii="ITC Avant Garde" w:hAnsi="ITC Avant Garde"/>
          <w:bCs/>
          <w:sz w:val="22"/>
          <w:szCs w:val="22"/>
        </w:rPr>
        <w:t xml:space="preserve">muestre diferencias </w:t>
      </w:r>
      <w:r w:rsidR="0021056F" w:rsidRPr="00796CA6">
        <w:rPr>
          <w:rFonts w:ascii="ITC Avant Garde" w:hAnsi="ITC Avant Garde"/>
          <w:bCs/>
          <w:sz w:val="22"/>
          <w:szCs w:val="22"/>
        </w:rPr>
        <w:t xml:space="preserve">significativas en la </w:t>
      </w:r>
      <w:r w:rsidR="00E41600" w:rsidRPr="00796CA6">
        <w:rPr>
          <w:rFonts w:ascii="ITC Avant Garde" w:hAnsi="ITC Avant Garde"/>
          <w:bCs/>
          <w:sz w:val="22"/>
          <w:szCs w:val="22"/>
        </w:rPr>
        <w:t>Provisión de Servicios Interna y la Provisión de Servicios Externa</w:t>
      </w:r>
      <w:r w:rsidR="00B53AE3" w:rsidRPr="00796CA6">
        <w:rPr>
          <w:rFonts w:ascii="ITC Avant Garde" w:hAnsi="ITC Avant Garde"/>
          <w:bCs/>
          <w:sz w:val="22"/>
          <w:szCs w:val="22"/>
        </w:rPr>
        <w:t>,</w:t>
      </w:r>
      <w:r w:rsidR="00A337D0" w:rsidRPr="00796CA6">
        <w:rPr>
          <w:rFonts w:ascii="ITC Avant Garde" w:hAnsi="ITC Avant Garde"/>
          <w:bCs/>
          <w:sz w:val="22"/>
          <w:szCs w:val="22"/>
        </w:rPr>
        <w:t xml:space="preserve"> en favor del AEP, </w:t>
      </w:r>
      <w:r w:rsidR="00E41600" w:rsidRPr="00796CA6">
        <w:rPr>
          <w:rFonts w:ascii="ITC Avant Garde" w:hAnsi="ITC Avant Garde"/>
          <w:bCs/>
          <w:sz w:val="22"/>
          <w:szCs w:val="22"/>
        </w:rPr>
        <w:t>el AEP deberá</w:t>
      </w:r>
      <w:r w:rsidR="00A337D0" w:rsidRPr="00796CA6">
        <w:rPr>
          <w:rFonts w:ascii="ITC Avant Garde" w:hAnsi="ITC Avant Garde"/>
          <w:bCs/>
          <w:sz w:val="22"/>
          <w:szCs w:val="22"/>
        </w:rPr>
        <w:t xml:space="preserve"> explicar o justificar </w:t>
      </w:r>
      <w:r w:rsidR="00B53AE3" w:rsidRPr="00796CA6">
        <w:rPr>
          <w:rFonts w:ascii="ITC Avant Garde" w:hAnsi="ITC Avant Garde"/>
          <w:bCs/>
          <w:sz w:val="22"/>
          <w:szCs w:val="22"/>
        </w:rPr>
        <w:t xml:space="preserve">ante el grupo </w:t>
      </w:r>
      <w:r w:rsidR="00A337D0" w:rsidRPr="00796CA6">
        <w:rPr>
          <w:rFonts w:ascii="ITC Avant Garde" w:hAnsi="ITC Avant Garde"/>
          <w:bCs/>
          <w:sz w:val="22"/>
          <w:szCs w:val="22"/>
        </w:rPr>
        <w:t xml:space="preserve">dichas diferencias. </w:t>
      </w:r>
      <w:r w:rsidR="007454D5" w:rsidRPr="00796CA6">
        <w:rPr>
          <w:rFonts w:ascii="ITC Avant Garde" w:hAnsi="ITC Avant Garde"/>
          <w:bCs/>
          <w:sz w:val="22"/>
          <w:szCs w:val="22"/>
        </w:rPr>
        <w:t xml:space="preserve">Con independencia de ello, </w:t>
      </w:r>
      <w:r w:rsidR="001D7A32" w:rsidRPr="00796CA6">
        <w:rPr>
          <w:rFonts w:ascii="ITC Avant Garde" w:hAnsi="ITC Avant Garde"/>
          <w:bCs/>
          <w:sz w:val="22"/>
          <w:szCs w:val="22"/>
        </w:rPr>
        <w:t>el Instituto, en caso de considerarlo procedente, podrá ejercer sus facultades, en adición a cualquier otra acción de mejora que determine para la eficiente y correcta prestación de los SMR.</w:t>
      </w:r>
    </w:p>
    <w:p w14:paraId="58EC2152" w14:textId="72F3CF21" w:rsidR="00052FB9" w:rsidRPr="00796CA6" w:rsidRDefault="00F34A1C" w:rsidP="00796CA6">
      <w:pPr>
        <w:pStyle w:val="estilo30"/>
        <w:spacing w:before="120" w:beforeAutospacing="0" w:after="0" w:line="276" w:lineRule="auto"/>
        <w:jc w:val="both"/>
        <w:rPr>
          <w:rFonts w:ascii="ITC Avant Garde" w:hAnsi="ITC Avant Garde"/>
          <w:bCs/>
          <w:sz w:val="22"/>
          <w:szCs w:val="22"/>
        </w:rPr>
      </w:pPr>
      <w:r w:rsidRPr="00796CA6">
        <w:rPr>
          <w:rFonts w:ascii="ITC Avant Garde" w:hAnsi="ITC Avant Garde"/>
          <w:b/>
          <w:bCs/>
          <w:sz w:val="22"/>
          <w:szCs w:val="22"/>
        </w:rPr>
        <w:t xml:space="preserve">Artículo </w:t>
      </w:r>
      <w:r w:rsidR="006F7B04" w:rsidRPr="00796CA6">
        <w:rPr>
          <w:rFonts w:ascii="ITC Avant Garde" w:hAnsi="ITC Avant Garde"/>
          <w:b/>
          <w:bCs/>
          <w:sz w:val="22"/>
          <w:szCs w:val="22"/>
        </w:rPr>
        <w:t>10</w:t>
      </w:r>
      <w:r w:rsidRPr="00796CA6">
        <w:rPr>
          <w:rFonts w:ascii="ITC Avant Garde" w:hAnsi="ITC Avant Garde"/>
          <w:b/>
          <w:bCs/>
          <w:sz w:val="22"/>
          <w:szCs w:val="22"/>
        </w:rPr>
        <w:t>.-</w:t>
      </w:r>
      <w:r w:rsidRPr="00796CA6">
        <w:rPr>
          <w:rFonts w:ascii="ITC Avant Garde" w:hAnsi="ITC Avant Garde"/>
          <w:bCs/>
          <w:sz w:val="22"/>
          <w:szCs w:val="22"/>
        </w:rPr>
        <w:t xml:space="preserve"> </w:t>
      </w:r>
      <w:r w:rsidR="002E7CF6" w:rsidRPr="00796CA6">
        <w:rPr>
          <w:rFonts w:ascii="ITC Avant Garde" w:hAnsi="ITC Avant Garde"/>
          <w:bCs/>
          <w:sz w:val="22"/>
          <w:szCs w:val="22"/>
        </w:rPr>
        <w:t xml:space="preserve">El AEP deberá presentar sus Reportes de Desempeño validados por un auditor externo. Con independencia de ello, el Instituto podrá </w:t>
      </w:r>
      <w:r w:rsidR="001D7A32" w:rsidRPr="00796CA6">
        <w:rPr>
          <w:rFonts w:ascii="ITC Avant Garde" w:hAnsi="ITC Avant Garde"/>
          <w:bCs/>
          <w:sz w:val="22"/>
          <w:szCs w:val="22"/>
        </w:rPr>
        <w:t xml:space="preserve">validar </w:t>
      </w:r>
      <w:r w:rsidR="002E7CF6" w:rsidRPr="00796CA6">
        <w:rPr>
          <w:rFonts w:ascii="ITC Avant Garde" w:hAnsi="ITC Avant Garde"/>
          <w:bCs/>
          <w:sz w:val="22"/>
          <w:szCs w:val="22"/>
        </w:rPr>
        <w:t>la veracidad y precisión de la información de soporte utilizada para la construcción de los ICD</w:t>
      </w:r>
      <w:r w:rsidR="006D0D3F" w:rsidRPr="00796CA6">
        <w:rPr>
          <w:rFonts w:ascii="ITC Avant Garde" w:hAnsi="ITC Avant Garde"/>
          <w:bCs/>
          <w:sz w:val="22"/>
          <w:szCs w:val="22"/>
        </w:rPr>
        <w:t>.</w:t>
      </w:r>
    </w:p>
    <w:p w14:paraId="462197CE" w14:textId="77777777" w:rsidR="00796CA6" w:rsidRDefault="00052FB9" w:rsidP="00796CA6">
      <w:pPr>
        <w:rPr>
          <w:lang w:val="es-MX"/>
        </w:rPr>
      </w:pPr>
      <w:r w:rsidRPr="00796CA6">
        <w:rPr>
          <w:b/>
          <w:bCs/>
        </w:rPr>
        <w:t>Artículo 1</w:t>
      </w:r>
      <w:r w:rsidR="006F7B04" w:rsidRPr="00796CA6">
        <w:rPr>
          <w:b/>
          <w:bCs/>
        </w:rPr>
        <w:t>1</w:t>
      </w:r>
      <w:r w:rsidRPr="00796CA6">
        <w:rPr>
          <w:b/>
          <w:bCs/>
        </w:rPr>
        <w:t>.-</w:t>
      </w:r>
      <w:r w:rsidRPr="00796CA6">
        <w:rPr>
          <w:bCs/>
        </w:rPr>
        <w:t xml:space="preserve"> </w:t>
      </w:r>
      <w:r w:rsidR="005E0151" w:rsidRPr="00796CA6">
        <w:rPr>
          <w:lang w:val="es-MX"/>
        </w:rPr>
        <w:t>E</w:t>
      </w:r>
      <w:r w:rsidRPr="00796CA6">
        <w:rPr>
          <w:lang w:val="es-MX"/>
        </w:rPr>
        <w:t>l Instituto</w:t>
      </w:r>
      <w:r w:rsidR="00BE5666" w:rsidRPr="00796CA6">
        <w:rPr>
          <w:lang w:val="es-MX"/>
        </w:rPr>
        <w:t xml:space="preserve">, en </w:t>
      </w:r>
      <w:r w:rsidR="007F0C5F" w:rsidRPr="00796CA6">
        <w:rPr>
          <w:lang w:val="es-MX"/>
        </w:rPr>
        <w:t xml:space="preserve">el ejercicio de </w:t>
      </w:r>
      <w:r w:rsidR="00BE5666" w:rsidRPr="00796CA6">
        <w:rPr>
          <w:lang w:val="es-MX"/>
        </w:rPr>
        <w:t xml:space="preserve">sus </w:t>
      </w:r>
      <w:r w:rsidR="007F0C5F" w:rsidRPr="00796CA6">
        <w:rPr>
          <w:lang w:val="es-MX"/>
        </w:rPr>
        <w:t>atribuciones</w:t>
      </w:r>
      <w:r w:rsidR="00BE5666" w:rsidRPr="00796CA6">
        <w:rPr>
          <w:lang w:val="es-MX"/>
        </w:rPr>
        <w:t xml:space="preserve"> de </w:t>
      </w:r>
      <w:r w:rsidR="00130B30" w:rsidRPr="00796CA6">
        <w:rPr>
          <w:lang w:val="es-MX"/>
        </w:rPr>
        <w:t>supervisión y verificación</w:t>
      </w:r>
      <w:r w:rsidRPr="00796CA6">
        <w:rPr>
          <w:lang w:val="es-MX"/>
        </w:rPr>
        <w:t xml:space="preserve"> para determinar el </w:t>
      </w:r>
      <w:r w:rsidR="00AF0CF1" w:rsidRPr="00796CA6">
        <w:rPr>
          <w:lang w:val="es-MX"/>
        </w:rPr>
        <w:t xml:space="preserve">incumplimiento </w:t>
      </w:r>
      <w:r w:rsidRPr="00796CA6">
        <w:rPr>
          <w:lang w:val="es-MX"/>
        </w:rPr>
        <w:t>de la</w:t>
      </w:r>
      <w:r w:rsidR="00130B30" w:rsidRPr="00796CA6">
        <w:rPr>
          <w:lang w:val="es-MX"/>
        </w:rPr>
        <w:t>s medidas impuestas al AEP por conductas que violen el principio de</w:t>
      </w:r>
      <w:r w:rsidRPr="00796CA6">
        <w:rPr>
          <w:lang w:val="es-MX"/>
        </w:rPr>
        <w:t xml:space="preserve"> no discriminación, podrá tomar </w:t>
      </w:r>
      <w:r w:rsidR="00B53AE3" w:rsidRPr="00796CA6">
        <w:rPr>
          <w:lang w:val="es-MX"/>
        </w:rPr>
        <w:t>los R</w:t>
      </w:r>
      <w:r w:rsidRPr="00796CA6">
        <w:rPr>
          <w:lang w:val="es-MX"/>
        </w:rPr>
        <w:t xml:space="preserve">eportes </w:t>
      </w:r>
      <w:r w:rsidR="00B53AE3" w:rsidRPr="00796CA6">
        <w:rPr>
          <w:lang w:val="es-MX"/>
        </w:rPr>
        <w:t xml:space="preserve">de Desempeño </w:t>
      </w:r>
      <w:r w:rsidRPr="00796CA6">
        <w:rPr>
          <w:lang w:val="es-MX"/>
        </w:rPr>
        <w:t xml:space="preserve">como </w:t>
      </w:r>
      <w:r w:rsidR="009B21F8" w:rsidRPr="00796CA6">
        <w:rPr>
          <w:lang w:val="es-MX"/>
        </w:rPr>
        <w:t>medio de prueba</w:t>
      </w:r>
      <w:r w:rsidRPr="00796CA6">
        <w:rPr>
          <w:lang w:val="es-MX"/>
        </w:rPr>
        <w:t>, cuando así lo considere apropiado.</w:t>
      </w:r>
    </w:p>
    <w:p w14:paraId="7C02733A" w14:textId="77777777" w:rsidR="00796CA6" w:rsidRPr="00FE14BC" w:rsidRDefault="00C951C8" w:rsidP="00FE14BC">
      <w:pPr>
        <w:pStyle w:val="Ttulo2"/>
      </w:pPr>
      <w:bookmarkStart w:id="0" w:name="_GoBack"/>
      <w:r w:rsidRPr="00FE14BC">
        <w:t>TRANSITORIOS</w:t>
      </w:r>
    </w:p>
    <w:bookmarkEnd w:id="0"/>
    <w:p w14:paraId="207A1090" w14:textId="77777777" w:rsidR="00796CA6" w:rsidRDefault="00C951C8" w:rsidP="00796CA6">
      <w:pPr>
        <w:spacing w:after="0"/>
        <w:rPr>
          <w:lang w:val="es-MX"/>
        </w:rPr>
      </w:pPr>
      <w:r w:rsidRPr="00796CA6">
        <w:rPr>
          <w:b/>
          <w:lang w:val="es-MX"/>
        </w:rPr>
        <w:t>PRIMERO.</w:t>
      </w:r>
      <w:r w:rsidRPr="00796CA6">
        <w:rPr>
          <w:lang w:val="es-MX"/>
        </w:rPr>
        <w:tab/>
        <w:t xml:space="preserve">El presente instrumento entrará en vigor el día hábil </w:t>
      </w:r>
      <w:r w:rsidR="00B85FD6" w:rsidRPr="00796CA6">
        <w:rPr>
          <w:lang w:val="es-MX"/>
        </w:rPr>
        <w:t xml:space="preserve">siguiente </w:t>
      </w:r>
      <w:r w:rsidRPr="00796CA6">
        <w:rPr>
          <w:lang w:val="es-MX"/>
        </w:rPr>
        <w:t>a su notificación.</w:t>
      </w:r>
    </w:p>
    <w:p w14:paraId="7675F957" w14:textId="050B604D" w:rsidR="004B79F6" w:rsidRPr="00796CA6" w:rsidRDefault="00C951C8" w:rsidP="00796CA6">
      <w:pPr>
        <w:rPr>
          <w:lang w:val="es-MX"/>
        </w:rPr>
      </w:pPr>
      <w:r w:rsidRPr="00796CA6">
        <w:rPr>
          <w:b/>
          <w:lang w:val="es-MX"/>
        </w:rPr>
        <w:t>SEGUNDO.</w:t>
      </w:r>
      <w:r w:rsidRPr="00796CA6">
        <w:rPr>
          <w:lang w:val="es-MX"/>
        </w:rPr>
        <w:tab/>
        <w:t>El primer Reporte de Desempeño deberá ser presentado</w:t>
      </w:r>
      <w:r w:rsidR="00FE387F" w:rsidRPr="00796CA6">
        <w:rPr>
          <w:lang w:val="es-MX"/>
        </w:rPr>
        <w:t xml:space="preserve"> por el AEP</w:t>
      </w:r>
      <w:r w:rsidRPr="00796CA6">
        <w:rPr>
          <w:lang w:val="es-MX"/>
        </w:rPr>
        <w:t xml:space="preserve"> para su revisión </w:t>
      </w:r>
      <w:r w:rsidR="00222B41" w:rsidRPr="00796CA6">
        <w:rPr>
          <w:lang w:val="es-MX"/>
        </w:rPr>
        <w:t xml:space="preserve">a más tardar el diez de noviembre del presente año </w:t>
      </w:r>
      <w:r w:rsidR="006F721B" w:rsidRPr="00796CA6">
        <w:rPr>
          <w:lang w:val="es-MX"/>
        </w:rPr>
        <w:t xml:space="preserve">y deberá </w:t>
      </w:r>
      <w:r w:rsidR="00222B41" w:rsidRPr="00796CA6">
        <w:rPr>
          <w:lang w:val="es-MX"/>
        </w:rPr>
        <w:t xml:space="preserve">cubrir </w:t>
      </w:r>
      <w:r w:rsidR="006F721B" w:rsidRPr="00796CA6">
        <w:rPr>
          <w:lang w:val="es-MX"/>
        </w:rPr>
        <w:t xml:space="preserve">el </w:t>
      </w:r>
      <w:r w:rsidR="00AF0CF1" w:rsidRPr="00796CA6">
        <w:rPr>
          <w:lang w:val="es-MX"/>
        </w:rPr>
        <w:t xml:space="preserve">trimestre </w:t>
      </w:r>
      <w:r w:rsidR="00222B41" w:rsidRPr="00796CA6">
        <w:rPr>
          <w:lang w:val="es-MX"/>
        </w:rPr>
        <w:t>de julio a septiembre de 2017</w:t>
      </w:r>
      <w:r w:rsidRPr="00796CA6">
        <w:rPr>
          <w:lang w:val="es-MX"/>
        </w:rPr>
        <w:t>.</w:t>
      </w:r>
    </w:p>
    <w:p w14:paraId="26EB71E2" w14:textId="77777777" w:rsidR="00C63313" w:rsidRPr="00796CA6" w:rsidRDefault="004B79F6" w:rsidP="00796CA6">
      <w:pPr>
        <w:pStyle w:val="Ttulo1"/>
        <w:rPr>
          <w:lang w:val="es-MX"/>
        </w:rPr>
      </w:pPr>
      <w:r w:rsidRPr="00796CA6">
        <w:rPr>
          <w:lang w:val="es-MX"/>
        </w:rPr>
        <w:br w:type="page"/>
      </w:r>
      <w:r w:rsidR="00C63313" w:rsidRPr="00796CA6">
        <w:rPr>
          <w:lang w:val="es-MX"/>
        </w:rPr>
        <w:lastRenderedPageBreak/>
        <w:t>ANEXO I. Indicadores Clave de Desempeño relacionados con la provisión de los Servicios Mayoristas Regulados</w:t>
      </w:r>
    </w:p>
    <w:tbl>
      <w:tblPr>
        <w:tblStyle w:val="Tablaconcuadrcula1"/>
        <w:tblW w:w="10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w:tblDescription w:val="Indicadores Clave de Desempeño relacionados con la provisión de los Servicios Mayoristas Regulados"/>
      </w:tblPr>
      <w:tblGrid>
        <w:gridCol w:w="2689"/>
        <w:gridCol w:w="5328"/>
        <w:gridCol w:w="2160"/>
      </w:tblGrid>
      <w:tr w:rsidR="00C63313" w:rsidRPr="00796CA6" w14:paraId="1D8D77D9" w14:textId="77777777" w:rsidTr="003A059A">
        <w:trPr>
          <w:tblHeader/>
        </w:trPr>
        <w:tc>
          <w:tcPr>
            <w:tcW w:w="2689" w:type="dxa"/>
            <w:vAlign w:val="center"/>
          </w:tcPr>
          <w:p w14:paraId="317CC34B" w14:textId="77777777" w:rsidR="00C63313" w:rsidRPr="00796CA6" w:rsidRDefault="00C63313" w:rsidP="00796CA6">
            <w:pPr>
              <w:ind w:right="300"/>
              <w:jc w:val="center"/>
              <w:rPr>
                <w:b/>
                <w:lang w:val="es-MX"/>
              </w:rPr>
            </w:pPr>
            <w:r w:rsidRPr="00796CA6">
              <w:rPr>
                <w:b/>
                <w:lang w:val="es-MX"/>
              </w:rPr>
              <w:t>Indicador</w:t>
            </w:r>
          </w:p>
        </w:tc>
        <w:tc>
          <w:tcPr>
            <w:tcW w:w="5328" w:type="dxa"/>
            <w:vAlign w:val="center"/>
          </w:tcPr>
          <w:p w14:paraId="1A5CE612" w14:textId="77777777" w:rsidR="00C63313" w:rsidRPr="00796CA6" w:rsidRDefault="00C63313" w:rsidP="00796CA6">
            <w:pPr>
              <w:ind w:right="192"/>
              <w:jc w:val="center"/>
              <w:rPr>
                <w:b/>
                <w:lang w:val="es-MX"/>
              </w:rPr>
            </w:pPr>
            <w:r w:rsidRPr="00796CA6">
              <w:rPr>
                <w:b/>
                <w:lang w:val="es-MX"/>
              </w:rPr>
              <w:t>Descripción</w:t>
            </w:r>
          </w:p>
        </w:tc>
        <w:tc>
          <w:tcPr>
            <w:tcW w:w="2160" w:type="dxa"/>
          </w:tcPr>
          <w:p w14:paraId="78F30180" w14:textId="77777777" w:rsidR="00C63313" w:rsidRPr="00796CA6" w:rsidRDefault="00C63313" w:rsidP="00796CA6">
            <w:pPr>
              <w:jc w:val="center"/>
              <w:rPr>
                <w:b/>
                <w:lang w:val="es-MX"/>
              </w:rPr>
            </w:pPr>
            <w:r w:rsidRPr="00796CA6">
              <w:rPr>
                <w:b/>
                <w:lang w:val="es-MX"/>
              </w:rPr>
              <w:t>Servicios relacionados (Proceso)</w:t>
            </w:r>
          </w:p>
        </w:tc>
      </w:tr>
      <w:tr w:rsidR="00C63313" w:rsidRPr="00796CA6" w14:paraId="6FBCE72D" w14:textId="77777777" w:rsidTr="003A059A">
        <w:tc>
          <w:tcPr>
            <w:tcW w:w="2689" w:type="dxa"/>
          </w:tcPr>
          <w:p w14:paraId="573B8C7C" w14:textId="77777777" w:rsidR="00C63313" w:rsidRPr="00796CA6" w:rsidRDefault="005D12F9" w:rsidP="00796CA6">
            <w:r w:rsidRPr="00796CA6">
              <w:t>T</w:t>
            </w:r>
            <w:r w:rsidR="00530792" w:rsidRPr="00796CA6">
              <w:t xml:space="preserve">iempo promedio </w:t>
            </w:r>
            <w:r w:rsidR="00940366" w:rsidRPr="00796CA6">
              <w:t>de programación</w:t>
            </w:r>
            <w:r w:rsidR="00530792" w:rsidRPr="00796CA6">
              <w:t xml:space="preserve"> de visitas t</w:t>
            </w:r>
            <w:r w:rsidR="00682BD6" w:rsidRPr="00796CA6">
              <w:t>écnicas</w:t>
            </w:r>
            <w:r w:rsidRPr="00796CA6">
              <w:t>.</w:t>
            </w:r>
          </w:p>
        </w:tc>
        <w:tc>
          <w:tcPr>
            <w:tcW w:w="5328" w:type="dxa"/>
          </w:tcPr>
          <w:p w14:paraId="228943EB" w14:textId="77777777" w:rsidR="00B5395B" w:rsidRPr="00796CA6" w:rsidRDefault="00B5395B" w:rsidP="00796CA6">
            <w:r w:rsidRPr="00796CA6">
              <w:t xml:space="preserve">El tiempo promedio para la </w:t>
            </w:r>
            <w:r w:rsidR="00940366" w:rsidRPr="00796CA6">
              <w:t>programación</w:t>
            </w:r>
            <w:r w:rsidRPr="00796CA6">
              <w:t xml:space="preserve"> de visitas técnicas será calculado dividiendo la sumatoria de los tiempos de </w:t>
            </w:r>
            <w:r w:rsidR="00940366" w:rsidRPr="00796CA6">
              <w:t>programación</w:t>
            </w:r>
            <w:r w:rsidRPr="00796CA6">
              <w:t xml:space="preserve"> de todas las visitas técnicas en un periodo de tres meses entre el número de solicitudes que concluyeron con una visita técnica en este mismo periodo.</w:t>
            </w:r>
          </w:p>
          <w:p w14:paraId="06FF642B" w14:textId="26468171" w:rsidR="00C63313" w:rsidRPr="00796CA6" w:rsidRDefault="00434CCF" w:rsidP="00796CA6">
            <w:r w:rsidRPr="00796CA6">
              <w:t xml:space="preserve">El tiempo </w:t>
            </w:r>
            <w:r w:rsidR="00905ABF" w:rsidRPr="00796CA6">
              <w:t xml:space="preserve">de la </w:t>
            </w:r>
            <w:r w:rsidR="00940366" w:rsidRPr="00796CA6">
              <w:t>programación</w:t>
            </w:r>
            <w:r w:rsidR="00905ABF" w:rsidRPr="00796CA6">
              <w:t xml:space="preserve"> de una visita técnica </w:t>
            </w:r>
            <w:r w:rsidR="00AF2CF5" w:rsidRPr="00796CA6">
              <w:t xml:space="preserve">se computará en minutos y </w:t>
            </w:r>
            <w:r w:rsidRPr="00796CA6">
              <w:t>será tomado</w:t>
            </w:r>
            <w:r w:rsidR="000C7AFE" w:rsidRPr="00796CA6">
              <w:t xml:space="preserve"> desde la </w:t>
            </w:r>
            <w:r w:rsidR="00B505E8" w:rsidRPr="00796CA6">
              <w:t xml:space="preserve">hora y día </w:t>
            </w:r>
            <w:r w:rsidR="000C7AFE" w:rsidRPr="00796CA6">
              <w:t>en que se presente</w:t>
            </w:r>
            <w:r w:rsidRPr="00796CA6">
              <w:t xml:space="preserve"> la solicitud de </w:t>
            </w:r>
            <w:r w:rsidR="000C7AFE" w:rsidRPr="00796CA6">
              <w:t>servicio de</w:t>
            </w:r>
            <w:r w:rsidRPr="00796CA6">
              <w:t xml:space="preserve"> visita </w:t>
            </w:r>
            <w:r w:rsidR="000C7AFE" w:rsidRPr="00796CA6">
              <w:t xml:space="preserve">técnica, </w:t>
            </w:r>
            <w:r w:rsidRPr="00796CA6">
              <w:t xml:space="preserve">hasta la </w:t>
            </w:r>
            <w:r w:rsidR="00B505E8" w:rsidRPr="00796CA6">
              <w:t xml:space="preserve">hora y día </w:t>
            </w:r>
            <w:r w:rsidRPr="00796CA6">
              <w:t>en que</w:t>
            </w:r>
            <w:r w:rsidR="00C41B35" w:rsidRPr="00796CA6">
              <w:t xml:space="preserve"> esta</w:t>
            </w:r>
            <w:r w:rsidRPr="00796CA6">
              <w:t xml:space="preserve"> se </w:t>
            </w:r>
            <w:r w:rsidR="00940366" w:rsidRPr="00796CA6">
              <w:t>programe</w:t>
            </w:r>
            <w:r w:rsidR="00905ABF" w:rsidRPr="00796CA6">
              <w:t>.</w:t>
            </w:r>
          </w:p>
        </w:tc>
        <w:tc>
          <w:tcPr>
            <w:tcW w:w="2160" w:type="dxa"/>
          </w:tcPr>
          <w:p w14:paraId="0EB27847" w14:textId="77777777" w:rsidR="00C63313" w:rsidRPr="00796CA6" w:rsidRDefault="00C63313" w:rsidP="00796CA6">
            <w:pPr>
              <w:jc w:val="center"/>
            </w:pPr>
            <w:r w:rsidRPr="00796CA6">
              <w:t>Compartición de infraestructura (Solicitud de Servicios)</w:t>
            </w:r>
          </w:p>
        </w:tc>
      </w:tr>
      <w:tr w:rsidR="00C63313" w:rsidRPr="00796CA6" w14:paraId="67F5AB2E" w14:textId="77777777" w:rsidTr="003A059A">
        <w:tc>
          <w:tcPr>
            <w:tcW w:w="2689" w:type="dxa"/>
          </w:tcPr>
          <w:p w14:paraId="3CFD89B5" w14:textId="77777777" w:rsidR="00C63313" w:rsidRPr="00796CA6" w:rsidRDefault="0031145D" w:rsidP="00796CA6">
            <w:r w:rsidRPr="00796CA6">
              <w:t>T</w:t>
            </w:r>
            <w:r w:rsidR="00C63313" w:rsidRPr="00796CA6">
              <w:t xml:space="preserve">iempo promedio de solución </w:t>
            </w:r>
            <w:r w:rsidR="00086494" w:rsidRPr="00796CA6">
              <w:t xml:space="preserve">de </w:t>
            </w:r>
            <w:r w:rsidR="006A6972" w:rsidRPr="00796CA6">
              <w:t xml:space="preserve"> </w:t>
            </w:r>
            <w:r w:rsidR="00C63313" w:rsidRPr="00796CA6">
              <w:t xml:space="preserve">fallas </w:t>
            </w:r>
            <w:r w:rsidR="00086494" w:rsidRPr="00796CA6">
              <w:t>S</w:t>
            </w:r>
            <w:r w:rsidR="00C63313" w:rsidRPr="00796CA6">
              <w:t xml:space="preserve">everidad A </w:t>
            </w:r>
            <w:r w:rsidR="00E94D7F" w:rsidRPr="00796CA6">
              <w:t>en el servicio de conducción de tráfico</w:t>
            </w:r>
          </w:p>
        </w:tc>
        <w:tc>
          <w:tcPr>
            <w:tcW w:w="5328" w:type="dxa"/>
          </w:tcPr>
          <w:p w14:paraId="6598AF02" w14:textId="77777777" w:rsidR="00C0699E" w:rsidRPr="00796CA6" w:rsidRDefault="006A6972" w:rsidP="00796CA6">
            <w:r w:rsidRPr="00796CA6">
              <w:t xml:space="preserve">El tiempo promedio para la solución de fallas Severidad A será calculado dividiendo la sumatoria de los tiempos de solución de todas las fallas Severidad A en un periodo de un mes entre el número de </w:t>
            </w:r>
            <w:r w:rsidR="00014135" w:rsidRPr="00796CA6">
              <w:t>este tipo de fallas</w:t>
            </w:r>
            <w:r w:rsidR="0031145D" w:rsidRPr="00796CA6">
              <w:t xml:space="preserve"> que se presenten</w:t>
            </w:r>
            <w:r w:rsidRPr="00796CA6">
              <w:t xml:space="preserve"> </w:t>
            </w:r>
            <w:r w:rsidR="0031145D" w:rsidRPr="00796CA6">
              <w:t xml:space="preserve">en </w:t>
            </w:r>
            <w:r w:rsidRPr="00796CA6">
              <w:t>este mismo periodo.</w:t>
            </w:r>
          </w:p>
          <w:p w14:paraId="2D7EB9CB" w14:textId="6B210F2C" w:rsidR="00920707" w:rsidRPr="00796CA6" w:rsidRDefault="00920707" w:rsidP="00796CA6">
            <w:r w:rsidRPr="00796CA6">
              <w:t>El tiempo de solución de fallas se computará</w:t>
            </w:r>
            <w:r w:rsidR="00AF2CF5" w:rsidRPr="00796CA6">
              <w:t xml:space="preserve"> en minutos</w:t>
            </w:r>
            <w:r w:rsidRPr="00796CA6">
              <w:t xml:space="preserve"> desde la </w:t>
            </w:r>
            <w:r w:rsidR="00B505E8" w:rsidRPr="00796CA6">
              <w:t xml:space="preserve">hora y día de </w:t>
            </w:r>
            <w:r w:rsidRPr="00796CA6">
              <w:t>apertura de reporte de la falla hasta</w:t>
            </w:r>
            <w:r w:rsidR="00B505E8" w:rsidRPr="00796CA6">
              <w:t xml:space="preserve"> la hora y día d</w:t>
            </w:r>
            <w:r w:rsidRPr="00796CA6">
              <w:t>el cierre del reporte.</w:t>
            </w:r>
          </w:p>
          <w:p w14:paraId="71AA60F5" w14:textId="77777777" w:rsidR="00014135" w:rsidRPr="00796CA6" w:rsidRDefault="00014135" w:rsidP="00796CA6">
            <w:r w:rsidRPr="00796CA6">
              <w:t>Sólo se computarán las fallas cuya causa raíz sea atribuible al AEP.</w:t>
            </w:r>
          </w:p>
          <w:p w14:paraId="30568A65" w14:textId="77777777" w:rsidR="00C63313" w:rsidRPr="00796CA6" w:rsidRDefault="002550AB" w:rsidP="00796CA6">
            <w:r w:rsidRPr="00796CA6">
              <w:t>No se computarán los tiempos de paro de reloj</w:t>
            </w:r>
            <w:r w:rsidR="00014135" w:rsidRPr="00796CA6">
              <w:t>.</w:t>
            </w:r>
            <w:r w:rsidR="00014135" w:rsidRPr="00796CA6" w:rsidDel="00CF3715">
              <w:t xml:space="preserve"> </w:t>
            </w:r>
          </w:p>
        </w:tc>
        <w:tc>
          <w:tcPr>
            <w:tcW w:w="2160" w:type="dxa"/>
          </w:tcPr>
          <w:p w14:paraId="0308140B" w14:textId="77777777" w:rsidR="00C63313" w:rsidRPr="00796CA6" w:rsidRDefault="00C63313" w:rsidP="00796CA6">
            <w:pPr>
              <w:jc w:val="center"/>
            </w:pPr>
            <w:r w:rsidRPr="00796CA6">
              <w:t>Interconexión (Atención de Fallas)</w:t>
            </w:r>
          </w:p>
        </w:tc>
      </w:tr>
      <w:tr w:rsidR="00CF3715" w:rsidRPr="00796CA6" w14:paraId="4B9DE904" w14:textId="77777777" w:rsidTr="003A059A">
        <w:tc>
          <w:tcPr>
            <w:tcW w:w="2689" w:type="dxa"/>
          </w:tcPr>
          <w:p w14:paraId="56B504F7" w14:textId="77777777" w:rsidR="00CF3715" w:rsidRPr="00796CA6" w:rsidRDefault="00014135" w:rsidP="00796CA6">
            <w:r w:rsidRPr="00796CA6">
              <w:t xml:space="preserve">Tiempo promedio de solución de  fallas Severidad B en el </w:t>
            </w:r>
            <w:r w:rsidRPr="00796CA6">
              <w:lastRenderedPageBreak/>
              <w:t>servicio de conducción de tráfico</w:t>
            </w:r>
          </w:p>
        </w:tc>
        <w:tc>
          <w:tcPr>
            <w:tcW w:w="5328" w:type="dxa"/>
          </w:tcPr>
          <w:p w14:paraId="798C4EDE" w14:textId="77777777" w:rsidR="00014135" w:rsidRPr="00796CA6" w:rsidRDefault="00014135" w:rsidP="00796CA6">
            <w:r w:rsidRPr="00796CA6">
              <w:lastRenderedPageBreak/>
              <w:t xml:space="preserve">El tiempo promedio para la solución de fallas Severidad B será calculado dividiendo la sumatoria de los tiempos de solución de todas </w:t>
            </w:r>
            <w:r w:rsidRPr="00796CA6">
              <w:lastRenderedPageBreak/>
              <w:t>las fallas Severidad B en un periodo de un mes entre el número de este tipo de fallas que se presenten en este mismo periodo.</w:t>
            </w:r>
          </w:p>
          <w:p w14:paraId="16BAA45F" w14:textId="649B504D" w:rsidR="00014135" w:rsidRPr="00796CA6" w:rsidRDefault="00014135" w:rsidP="00796CA6">
            <w:r w:rsidRPr="00796CA6">
              <w:t>El tiempo de solución de fallas se computará</w:t>
            </w:r>
            <w:r w:rsidR="00AF2CF5" w:rsidRPr="00796CA6">
              <w:t xml:space="preserve"> en minutos</w:t>
            </w:r>
            <w:r w:rsidRPr="00796CA6">
              <w:t xml:space="preserve"> desde la</w:t>
            </w:r>
            <w:r w:rsidR="00B25947" w:rsidRPr="00796CA6">
              <w:t xml:space="preserve"> hora y día de</w:t>
            </w:r>
            <w:r w:rsidRPr="00796CA6">
              <w:t xml:space="preserve"> apertura de reporte de la falla hasta </w:t>
            </w:r>
            <w:r w:rsidR="00B25947" w:rsidRPr="00796CA6">
              <w:t>la hora y día d</w:t>
            </w:r>
            <w:r w:rsidRPr="00796CA6">
              <w:t>el cierre del reporte.</w:t>
            </w:r>
          </w:p>
          <w:p w14:paraId="11407E99" w14:textId="77777777" w:rsidR="00014135" w:rsidRPr="00796CA6" w:rsidRDefault="00014135" w:rsidP="00796CA6">
            <w:r w:rsidRPr="00796CA6">
              <w:t>Sólo se computarán las fallas cuya causa raíz sea atribuible al AEP.</w:t>
            </w:r>
          </w:p>
          <w:p w14:paraId="72455BE4" w14:textId="77777777" w:rsidR="00CF3715" w:rsidRPr="00796CA6" w:rsidRDefault="00014135" w:rsidP="00796CA6">
            <w:r w:rsidRPr="00796CA6">
              <w:t>No se computarán los tiempos de paro de reloj.</w:t>
            </w:r>
            <w:r w:rsidRPr="00796CA6" w:rsidDel="00CF3715">
              <w:t xml:space="preserve"> </w:t>
            </w:r>
          </w:p>
        </w:tc>
        <w:tc>
          <w:tcPr>
            <w:tcW w:w="2160" w:type="dxa"/>
          </w:tcPr>
          <w:p w14:paraId="69E32F63" w14:textId="77777777" w:rsidR="00CF3715" w:rsidRPr="00796CA6" w:rsidRDefault="00CF3715" w:rsidP="00796CA6">
            <w:pPr>
              <w:jc w:val="center"/>
            </w:pPr>
            <w:r w:rsidRPr="00796CA6">
              <w:lastRenderedPageBreak/>
              <w:t>Interconexión (Atención de Fallas)</w:t>
            </w:r>
          </w:p>
        </w:tc>
      </w:tr>
      <w:tr w:rsidR="00CF3715" w:rsidRPr="00796CA6" w14:paraId="2B393917" w14:textId="77777777" w:rsidTr="003A059A">
        <w:tc>
          <w:tcPr>
            <w:tcW w:w="2689" w:type="dxa"/>
          </w:tcPr>
          <w:p w14:paraId="0401288E" w14:textId="77777777" w:rsidR="00CF3715" w:rsidRPr="00796CA6" w:rsidRDefault="00014135" w:rsidP="00796CA6">
            <w:r w:rsidRPr="00796CA6">
              <w:lastRenderedPageBreak/>
              <w:t>Tiempo promedio de solución de  fallas Severidad C en el servicio de conducción de tráfico</w:t>
            </w:r>
          </w:p>
        </w:tc>
        <w:tc>
          <w:tcPr>
            <w:tcW w:w="5328" w:type="dxa"/>
          </w:tcPr>
          <w:p w14:paraId="3B7D8ADB" w14:textId="77777777" w:rsidR="00014135" w:rsidRPr="00796CA6" w:rsidRDefault="00014135" w:rsidP="00796CA6">
            <w:r w:rsidRPr="00796CA6">
              <w:t>El tiempo promedio para la solución de fallas Severidad C será calculado dividiendo la sumatoria de los tiempos de solución de todas las fallas Severidad C en un periodo de un mes entre el número de este tipo de fallas que se presenten en este mismo periodo.</w:t>
            </w:r>
          </w:p>
          <w:p w14:paraId="5A44C108" w14:textId="35647BAE" w:rsidR="00014135" w:rsidRPr="00796CA6" w:rsidRDefault="00014135" w:rsidP="00796CA6">
            <w:r w:rsidRPr="00796CA6">
              <w:t>El tiempo de solución de fallas se computará</w:t>
            </w:r>
            <w:r w:rsidR="00AF2CF5" w:rsidRPr="00796CA6">
              <w:t xml:space="preserve"> en minutos</w:t>
            </w:r>
            <w:r w:rsidRPr="00796CA6">
              <w:t xml:space="preserve"> desde la </w:t>
            </w:r>
            <w:r w:rsidR="00A34ECE" w:rsidRPr="00796CA6">
              <w:t xml:space="preserve">hora y día de </w:t>
            </w:r>
            <w:r w:rsidRPr="00796CA6">
              <w:t xml:space="preserve">apertura de reporte de la falla hasta </w:t>
            </w:r>
            <w:r w:rsidR="00A34ECE" w:rsidRPr="00796CA6">
              <w:t>la hora y día d</w:t>
            </w:r>
            <w:r w:rsidRPr="00796CA6">
              <w:t>el cierre del reporte.</w:t>
            </w:r>
          </w:p>
          <w:p w14:paraId="1AAE4911" w14:textId="77777777" w:rsidR="00014135" w:rsidRPr="00796CA6" w:rsidRDefault="00014135" w:rsidP="00796CA6">
            <w:r w:rsidRPr="00796CA6">
              <w:t>Sólo se computarán las fallas cuya causa raíz sea atribuible al AEP.</w:t>
            </w:r>
          </w:p>
          <w:p w14:paraId="2B35E000" w14:textId="77777777" w:rsidR="00CF3715" w:rsidRPr="00796CA6" w:rsidRDefault="00014135" w:rsidP="00796CA6">
            <w:r w:rsidRPr="00796CA6">
              <w:t>No se computarán los tiempos de paro de reloj.</w:t>
            </w:r>
            <w:r w:rsidRPr="00796CA6" w:rsidDel="00CF3715">
              <w:t xml:space="preserve"> </w:t>
            </w:r>
          </w:p>
        </w:tc>
        <w:tc>
          <w:tcPr>
            <w:tcW w:w="2160" w:type="dxa"/>
          </w:tcPr>
          <w:p w14:paraId="4CDF3D23" w14:textId="77777777" w:rsidR="00CF3715" w:rsidRPr="00796CA6" w:rsidRDefault="00CF3715" w:rsidP="00796CA6">
            <w:pPr>
              <w:jc w:val="center"/>
            </w:pPr>
            <w:r w:rsidRPr="00796CA6">
              <w:t>Interconexión (Atención de Fallas)</w:t>
            </w:r>
          </w:p>
        </w:tc>
      </w:tr>
      <w:tr w:rsidR="00C63313" w:rsidRPr="00796CA6" w14:paraId="14E2650A" w14:textId="77777777" w:rsidTr="003A059A">
        <w:tc>
          <w:tcPr>
            <w:tcW w:w="2689" w:type="dxa"/>
          </w:tcPr>
          <w:p w14:paraId="4D4FE4DF" w14:textId="77777777" w:rsidR="00C63313" w:rsidRPr="00796CA6" w:rsidRDefault="00404EB9" w:rsidP="00796CA6">
            <w:r w:rsidRPr="00796CA6">
              <w:t>Promedio de f</w:t>
            </w:r>
            <w:r w:rsidR="00CF3715" w:rsidRPr="00796CA6">
              <w:t>allas</w:t>
            </w:r>
            <w:r w:rsidR="00C63313" w:rsidRPr="00796CA6">
              <w:t xml:space="preserve"> </w:t>
            </w:r>
            <w:r w:rsidR="00CF3715" w:rsidRPr="00796CA6">
              <w:t>S</w:t>
            </w:r>
            <w:r w:rsidR="00C63313" w:rsidRPr="00796CA6">
              <w:t>everidad A</w:t>
            </w:r>
            <w:r w:rsidR="00D743BA" w:rsidRPr="00796CA6">
              <w:t>,</w:t>
            </w:r>
            <w:r w:rsidR="00C63313" w:rsidRPr="00796CA6">
              <w:t xml:space="preserve"> </w:t>
            </w:r>
            <w:r w:rsidR="00D743BA" w:rsidRPr="00796CA6">
              <w:t>por puerto de acceso</w:t>
            </w:r>
          </w:p>
        </w:tc>
        <w:tc>
          <w:tcPr>
            <w:tcW w:w="5328" w:type="dxa"/>
          </w:tcPr>
          <w:p w14:paraId="0D0C1DB9" w14:textId="77777777" w:rsidR="00404EB9" w:rsidRPr="00796CA6" w:rsidRDefault="00B51A29" w:rsidP="00796CA6">
            <w:r w:rsidRPr="00796CA6">
              <w:t>El promedio de fallas Severidad A por puerto de acceso</w:t>
            </w:r>
            <w:r w:rsidR="00C63313" w:rsidRPr="00796CA6">
              <w:t xml:space="preserve"> </w:t>
            </w:r>
            <w:r w:rsidRPr="00796CA6">
              <w:t>será calculado</w:t>
            </w:r>
            <w:r w:rsidR="00567A5B" w:rsidRPr="00796CA6">
              <w:t xml:space="preserve"> </w:t>
            </w:r>
            <w:r w:rsidRPr="00796CA6">
              <w:t>dividiendo el n</w:t>
            </w:r>
            <w:r w:rsidR="00567A5B" w:rsidRPr="00796CA6">
              <w:t>úmero</w:t>
            </w:r>
            <w:r w:rsidR="00404EB9" w:rsidRPr="00796CA6">
              <w:t xml:space="preserve"> de</w:t>
            </w:r>
            <w:r w:rsidRPr="00796CA6">
              <w:t xml:space="preserve"> fallas de Severidad A, asociadas a los puerto</w:t>
            </w:r>
            <w:r w:rsidR="00567A5B" w:rsidRPr="00796CA6">
              <w:t>s</w:t>
            </w:r>
            <w:r w:rsidRPr="00796CA6">
              <w:t xml:space="preserve"> de acceso</w:t>
            </w:r>
            <w:r w:rsidR="00567A5B" w:rsidRPr="00796CA6">
              <w:t>, que se presenten en el periodo de un mes</w:t>
            </w:r>
            <w:r w:rsidRPr="00796CA6">
              <w:t>, entre el número de puertos de acceso utilizados para el servicio de conducción de tráfico</w:t>
            </w:r>
            <w:r w:rsidR="00567A5B" w:rsidRPr="00796CA6">
              <w:t xml:space="preserve"> en el mismo periodo</w:t>
            </w:r>
            <w:r w:rsidRPr="00796CA6">
              <w:t>.</w:t>
            </w:r>
          </w:p>
          <w:p w14:paraId="24DD0C77" w14:textId="77777777" w:rsidR="00C63313" w:rsidRPr="00796CA6" w:rsidRDefault="00404EB9" w:rsidP="00796CA6">
            <w:r w:rsidRPr="00796CA6">
              <w:lastRenderedPageBreak/>
              <w:t>Sólo se computarán las fallas cuya causa raíz sea atribuible al AEP.</w:t>
            </w:r>
          </w:p>
        </w:tc>
        <w:tc>
          <w:tcPr>
            <w:tcW w:w="2160" w:type="dxa"/>
          </w:tcPr>
          <w:p w14:paraId="4F33E4EE" w14:textId="77777777" w:rsidR="00C63313" w:rsidRPr="00796CA6" w:rsidRDefault="00C63313" w:rsidP="00796CA6">
            <w:pPr>
              <w:jc w:val="center"/>
            </w:pPr>
            <w:r w:rsidRPr="00796CA6">
              <w:lastRenderedPageBreak/>
              <w:t>Interconexión (Calidad de SMR)</w:t>
            </w:r>
          </w:p>
        </w:tc>
      </w:tr>
      <w:tr w:rsidR="00C63313" w:rsidRPr="00796CA6" w14:paraId="11046E21" w14:textId="77777777" w:rsidTr="003A059A">
        <w:tc>
          <w:tcPr>
            <w:tcW w:w="2689" w:type="dxa"/>
          </w:tcPr>
          <w:p w14:paraId="4C4AFDA9" w14:textId="77777777" w:rsidR="00C63313" w:rsidRPr="00796CA6" w:rsidRDefault="00404EB9" w:rsidP="00796CA6">
            <w:r w:rsidRPr="00796CA6">
              <w:lastRenderedPageBreak/>
              <w:t>Promedio de fallas Severidad B, por puerto de acceso</w:t>
            </w:r>
          </w:p>
        </w:tc>
        <w:tc>
          <w:tcPr>
            <w:tcW w:w="5328" w:type="dxa"/>
          </w:tcPr>
          <w:p w14:paraId="73F20BBE" w14:textId="77777777" w:rsidR="00404EB9" w:rsidRPr="00796CA6" w:rsidRDefault="00567A5B" w:rsidP="00796CA6">
            <w:r w:rsidRPr="00796CA6">
              <w:t xml:space="preserve">El promedio de fallas Severidad B por puerto de acceso será calculado dividiendo el número </w:t>
            </w:r>
            <w:r w:rsidR="00404EB9" w:rsidRPr="00796CA6">
              <w:t xml:space="preserve">de </w:t>
            </w:r>
            <w:r w:rsidRPr="00796CA6">
              <w:t>fallas de Severidad B, asociadas a los puertos de acceso, que se presenten en el periodo de un mes, entre el número de puertos de acceso utilizados para el servicio de conducción de tráfico en el mismo periodo.</w:t>
            </w:r>
          </w:p>
          <w:p w14:paraId="27B95F93" w14:textId="77777777" w:rsidR="00C63313" w:rsidRPr="00796CA6" w:rsidRDefault="00404EB9" w:rsidP="00796CA6">
            <w:r w:rsidRPr="00796CA6">
              <w:t>Sólo se computarán las fallas cuya causa raíz sea atribuible al AEP.</w:t>
            </w:r>
          </w:p>
        </w:tc>
        <w:tc>
          <w:tcPr>
            <w:tcW w:w="2160" w:type="dxa"/>
          </w:tcPr>
          <w:p w14:paraId="0D946572" w14:textId="77777777" w:rsidR="00C63313" w:rsidRPr="00796CA6" w:rsidRDefault="00C63313" w:rsidP="00796CA6">
            <w:pPr>
              <w:jc w:val="center"/>
            </w:pPr>
            <w:r w:rsidRPr="00796CA6">
              <w:t>Interconexión (Calidad de SMR)</w:t>
            </w:r>
          </w:p>
        </w:tc>
      </w:tr>
      <w:tr w:rsidR="00C63313" w:rsidRPr="00796CA6" w14:paraId="4FE278E8" w14:textId="77777777" w:rsidTr="003A059A">
        <w:tc>
          <w:tcPr>
            <w:tcW w:w="2689" w:type="dxa"/>
          </w:tcPr>
          <w:p w14:paraId="7201A5CD" w14:textId="77777777" w:rsidR="00C63313" w:rsidRPr="00796CA6" w:rsidRDefault="00404EB9" w:rsidP="00796CA6">
            <w:r w:rsidRPr="00796CA6">
              <w:t>Promedio de fallas Severidad C, por puerto de acceso</w:t>
            </w:r>
          </w:p>
        </w:tc>
        <w:tc>
          <w:tcPr>
            <w:tcW w:w="5328" w:type="dxa"/>
          </w:tcPr>
          <w:p w14:paraId="4442A40E" w14:textId="77777777" w:rsidR="00C63313" w:rsidRPr="00796CA6" w:rsidRDefault="00567A5B" w:rsidP="00796CA6">
            <w:r w:rsidRPr="00796CA6">
              <w:t>El</w:t>
            </w:r>
            <w:r w:rsidR="00CF603D" w:rsidRPr="00796CA6">
              <w:t xml:space="preserve"> promedio de fallas Severidad C</w:t>
            </w:r>
            <w:r w:rsidRPr="00796CA6">
              <w:t xml:space="preserve"> por puerto de acceso será calculado dividiendo el número</w:t>
            </w:r>
            <w:r w:rsidR="00404EB9" w:rsidRPr="00796CA6">
              <w:t xml:space="preserve"> de</w:t>
            </w:r>
            <w:r w:rsidR="00CF603D" w:rsidRPr="00796CA6">
              <w:t xml:space="preserve"> fallas de Severidad C</w:t>
            </w:r>
            <w:r w:rsidRPr="00796CA6">
              <w:t>, asociadas a los puertos de acceso, que se presenten en el periodo de un mes, entre el número de puertos de acceso utilizados para el servicio de conducción de tráfico en el mismo periodo.</w:t>
            </w:r>
          </w:p>
        </w:tc>
        <w:tc>
          <w:tcPr>
            <w:tcW w:w="2160" w:type="dxa"/>
          </w:tcPr>
          <w:p w14:paraId="4B9C8D38" w14:textId="77777777" w:rsidR="00C63313" w:rsidRPr="00796CA6" w:rsidRDefault="00C63313" w:rsidP="00796CA6">
            <w:pPr>
              <w:jc w:val="center"/>
            </w:pPr>
            <w:r w:rsidRPr="00796CA6">
              <w:t>Interconexión (Calidad de SMR)</w:t>
            </w:r>
          </w:p>
        </w:tc>
      </w:tr>
      <w:tr w:rsidR="00C63313" w:rsidRPr="00796CA6" w14:paraId="73FEDE8E" w14:textId="77777777" w:rsidTr="003A059A">
        <w:tc>
          <w:tcPr>
            <w:tcW w:w="2689" w:type="dxa"/>
          </w:tcPr>
          <w:p w14:paraId="3E4534C6" w14:textId="77777777" w:rsidR="00C63313" w:rsidRPr="00796CA6" w:rsidRDefault="00C63313" w:rsidP="00796CA6">
            <w:pPr>
              <w:jc w:val="center"/>
              <w:rPr>
                <w:rFonts w:cs="Calibri"/>
                <w:color w:val="000000"/>
              </w:rPr>
            </w:pPr>
          </w:p>
        </w:tc>
        <w:tc>
          <w:tcPr>
            <w:tcW w:w="5328" w:type="dxa"/>
          </w:tcPr>
          <w:p w14:paraId="00065744" w14:textId="77777777" w:rsidR="00C63313" w:rsidRPr="00796CA6" w:rsidRDefault="00404EB9" w:rsidP="00796CA6">
            <w:pPr>
              <w:rPr>
                <w:rFonts w:cs="Calibri"/>
                <w:color w:val="000000"/>
              </w:rPr>
            </w:pPr>
            <w:r w:rsidRPr="00796CA6">
              <w:t>Sólo se computarán las fallas cuya causa raíz sea atribuible al AEP.</w:t>
            </w:r>
          </w:p>
        </w:tc>
        <w:tc>
          <w:tcPr>
            <w:tcW w:w="2160" w:type="dxa"/>
          </w:tcPr>
          <w:p w14:paraId="0E4E7C2F" w14:textId="77777777" w:rsidR="00C63313" w:rsidRPr="00796CA6" w:rsidRDefault="00C63313" w:rsidP="00796CA6">
            <w:pPr>
              <w:jc w:val="center"/>
              <w:rPr>
                <w:rFonts w:cs="Calibri"/>
                <w:color w:val="000000"/>
              </w:rPr>
            </w:pPr>
          </w:p>
        </w:tc>
      </w:tr>
    </w:tbl>
    <w:p w14:paraId="0C1740A8" w14:textId="77777777" w:rsidR="00796CA6" w:rsidRDefault="00796CA6" w:rsidP="00796CA6">
      <w:pPr>
        <w:tabs>
          <w:tab w:val="left" w:pos="1050"/>
        </w:tabs>
        <w:rPr>
          <w:sz w:val="2"/>
          <w:szCs w:val="14"/>
        </w:rPr>
      </w:pPr>
    </w:p>
    <w:p w14:paraId="6A1AFFF2" w14:textId="77777777" w:rsidR="004B79F6" w:rsidRPr="00796CA6" w:rsidRDefault="004B79F6" w:rsidP="00796CA6">
      <w:pPr>
        <w:spacing w:after="160" w:line="259" w:lineRule="auto"/>
        <w:jc w:val="left"/>
        <w:rPr>
          <w:lang w:val="es-MX"/>
        </w:rPr>
      </w:pPr>
    </w:p>
    <w:sectPr w:rsidR="004B79F6" w:rsidRPr="00796CA6" w:rsidSect="00273648">
      <w:pgSz w:w="12240" w:h="15840" w:code="1"/>
      <w:pgMar w:top="2127"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4DC1E" w14:textId="77777777" w:rsidR="00DB221B" w:rsidRDefault="00DB221B" w:rsidP="00495F3D">
      <w:r>
        <w:separator/>
      </w:r>
    </w:p>
  </w:endnote>
  <w:endnote w:type="continuationSeparator" w:id="0">
    <w:p w14:paraId="02C36B6B" w14:textId="77777777" w:rsidR="00DB221B" w:rsidRDefault="00DB221B" w:rsidP="0049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498560"/>
      <w:docPartObj>
        <w:docPartGallery w:val="Page Numbers (Bottom of Page)"/>
        <w:docPartUnique/>
      </w:docPartObj>
    </w:sdtPr>
    <w:sdtEndPr/>
    <w:sdtContent>
      <w:sdt>
        <w:sdtPr>
          <w:id w:val="833959308"/>
          <w:docPartObj>
            <w:docPartGallery w:val="Page Numbers (Top of Page)"/>
            <w:docPartUnique/>
          </w:docPartObj>
        </w:sdtPr>
        <w:sdtEndPr/>
        <w:sdtContent>
          <w:p w14:paraId="05320079" w14:textId="4592D1FF" w:rsidR="008710F7" w:rsidRDefault="008710F7" w:rsidP="00796CA6">
            <w:pPr>
              <w:pStyle w:val="Piedepgina"/>
              <w:jc w:val="right"/>
            </w:pPr>
            <w:r>
              <w:rPr>
                <w:b/>
                <w:bCs/>
                <w:sz w:val="24"/>
                <w:szCs w:val="24"/>
              </w:rPr>
              <w:fldChar w:fldCharType="begin"/>
            </w:r>
            <w:r>
              <w:rPr>
                <w:b/>
                <w:bCs/>
              </w:rPr>
              <w:instrText>PAGE</w:instrText>
            </w:r>
            <w:r>
              <w:rPr>
                <w:b/>
                <w:bCs/>
                <w:sz w:val="24"/>
                <w:szCs w:val="24"/>
              </w:rPr>
              <w:fldChar w:fldCharType="separate"/>
            </w:r>
            <w:r w:rsidR="00FE14B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E14BC">
              <w:rPr>
                <w:b/>
                <w:bCs/>
                <w:noProof/>
              </w:rPr>
              <w:t>24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8710F7" w:rsidRPr="00702608" w14:paraId="4A4B391B" w14:textId="77777777" w:rsidTr="009255E8">
      <w:tc>
        <w:tcPr>
          <w:tcW w:w="9351" w:type="dxa"/>
        </w:tcPr>
        <w:p w14:paraId="505ADC5F" w14:textId="77777777" w:rsidR="008710F7" w:rsidRPr="00702608" w:rsidRDefault="008710F7" w:rsidP="003A6AA7">
          <w:pPr>
            <w:pStyle w:val="Piedepgina"/>
          </w:pPr>
        </w:p>
      </w:tc>
      <w:tc>
        <w:tcPr>
          <w:tcW w:w="855" w:type="dxa"/>
          <w:vAlign w:val="bottom"/>
        </w:tcPr>
        <w:p w14:paraId="48C50B31" w14:textId="6A0D39D6" w:rsidR="008710F7" w:rsidRPr="00702608" w:rsidRDefault="008710F7" w:rsidP="00E20513">
          <w:pPr>
            <w:pStyle w:val="Piedepgina"/>
            <w:jc w:val="right"/>
          </w:pPr>
        </w:p>
      </w:tc>
    </w:tr>
  </w:tbl>
  <w:p w14:paraId="42DAA6A3" w14:textId="77777777" w:rsidR="008710F7" w:rsidRDefault="008710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DB221B" w:rsidRPr="00823C7C" w14:paraId="336CB363" w14:textId="77777777" w:rsidTr="00C87B9D">
        <w:trPr>
          <w:trHeight w:hRule="exact" w:val="170"/>
          <w:tblHeader/>
        </w:trPr>
        <w:tc>
          <w:tcPr>
            <w:tcW w:w="7881" w:type="dxa"/>
          </w:tcPr>
          <w:p w14:paraId="208BEF6C" w14:textId="77777777" w:rsidR="00DB221B" w:rsidRPr="00823C7C" w:rsidRDefault="00DB221B" w:rsidP="00495F3D"/>
        </w:tc>
      </w:tr>
    </w:tbl>
    <w:p w14:paraId="6C2ABCCC" w14:textId="77777777" w:rsidR="00DB221B" w:rsidRPr="000F5519" w:rsidRDefault="00DB221B" w:rsidP="00F52EB6">
      <w:pPr>
        <w:pStyle w:val="Spacer"/>
      </w:pPr>
    </w:p>
  </w:footnote>
  <w:footnote w:type="continuationSeparator" w:id="0">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DB221B" w14:paraId="2D7C8D96" w14:textId="77777777" w:rsidTr="00C87B9D">
        <w:trPr>
          <w:trHeight w:hRule="exact" w:val="170"/>
        </w:trPr>
        <w:tc>
          <w:tcPr>
            <w:tcW w:w="7825" w:type="dxa"/>
          </w:tcPr>
          <w:p w14:paraId="2C074205" w14:textId="77777777" w:rsidR="00DB221B" w:rsidRDefault="00DB221B" w:rsidP="00823C7C">
            <w:pPr>
              <w:pStyle w:val="Piedepgina"/>
            </w:pPr>
          </w:p>
        </w:tc>
      </w:tr>
    </w:tbl>
    <w:p w14:paraId="1E50902E" w14:textId="77777777" w:rsidR="00DB221B" w:rsidRPr="00823C7C" w:rsidRDefault="00DB221B" w:rsidP="00F52EB6">
      <w:pPr>
        <w:pStyle w:val="Spacer"/>
      </w:pPr>
    </w:p>
  </w:footnote>
  <w:footnote w:type="continuationNotice" w:id="1">
    <w:p w14:paraId="1549FD76" w14:textId="77777777" w:rsidR="00DB221B" w:rsidRDefault="00DB221B" w:rsidP="00C82BD3">
      <w:pPr>
        <w:pStyle w:val="Spacer"/>
      </w:pPr>
    </w:p>
  </w:footnote>
  <w:footnote w:id="2">
    <w:p w14:paraId="3BC81149" w14:textId="669AE54D" w:rsidR="008710F7" w:rsidRPr="00E335E8" w:rsidRDefault="008710F7" w:rsidP="00AE1DF6">
      <w:pPr>
        <w:pStyle w:val="Textonotapie"/>
        <w:rPr>
          <w:lang w:val="en-GB"/>
        </w:rPr>
      </w:pPr>
      <w:r>
        <w:rPr>
          <w:rStyle w:val="Refdenotaalpie"/>
        </w:rPr>
        <w:footnoteRef/>
      </w:r>
      <w:r w:rsidRPr="00E335E8">
        <w:rPr>
          <w:lang w:val="en-GB"/>
        </w:rPr>
        <w:t xml:space="preserve"> </w:t>
      </w:r>
      <w:r w:rsidRPr="00672F6C">
        <w:rPr>
          <w:lang w:val="en-GB"/>
        </w:rPr>
        <w:t>European Commission ”COMMISSION RECOMMENDATION on consistent non-discrimination obligations and costing methodologies to promote competition and enhance the broadband investment environment” 2013.</w:t>
      </w:r>
    </w:p>
  </w:footnote>
  <w:footnote w:id="3">
    <w:p w14:paraId="054BF544" w14:textId="0336BAE7" w:rsidR="008710F7" w:rsidRPr="006611CF" w:rsidRDefault="008710F7" w:rsidP="00AE1DF6">
      <w:pPr>
        <w:pStyle w:val="Textonotapie"/>
        <w:rPr>
          <w:lang w:val="es-MX"/>
        </w:rPr>
      </w:pPr>
      <w:r>
        <w:rPr>
          <w:rStyle w:val="Refdenotaalpie"/>
        </w:rPr>
        <w:footnoteRef/>
      </w:r>
      <w:r w:rsidRPr="00E335E8">
        <w:rPr>
          <w:lang w:val="en-GB"/>
        </w:rPr>
        <w:t xml:space="preserve"> </w:t>
      </w:r>
      <w:r w:rsidRPr="00672F6C">
        <w:rPr>
          <w:lang w:val="en-GB"/>
        </w:rPr>
        <w:t xml:space="preserve">BEREC </w:t>
      </w:r>
      <w:r w:rsidRPr="00966DFB">
        <w:rPr>
          <w:lang w:val="en-GB"/>
        </w:rPr>
        <w:t>“Guidance on functional separation under Articles 13a and 13b of the revised Access Directive and national experiences”</w:t>
      </w:r>
      <w:r w:rsidRPr="00672F6C">
        <w:rPr>
          <w:lang w:val="en-GB"/>
        </w:rPr>
        <w:t xml:space="preserve"> 2011. </w:t>
      </w:r>
      <w:r w:rsidRPr="00672F6C">
        <w:rPr>
          <w:lang w:val="es-MX"/>
        </w:rPr>
        <w:t xml:space="preserve">Disponible en: </w:t>
      </w:r>
      <w:r w:rsidRPr="008710F7">
        <w:rPr>
          <w:lang w:val="es-MX"/>
        </w:rPr>
        <w:t>http://berec.europa.eu/doc/berec/bor_10_44rev1.pdf</w:t>
      </w:r>
      <w:r w:rsidRPr="00672F6C">
        <w:rPr>
          <w:lang w:val="es-MX"/>
        </w:rPr>
        <w:t>.</w:t>
      </w:r>
    </w:p>
  </w:footnote>
  <w:footnote w:id="4">
    <w:p w14:paraId="4E0CD9B7" w14:textId="31F04A25" w:rsidR="008710F7" w:rsidRPr="00C94F64" w:rsidRDefault="008710F7" w:rsidP="00FC3379">
      <w:pPr>
        <w:pStyle w:val="Textonotapie"/>
        <w:rPr>
          <w:szCs w:val="16"/>
          <w:lang w:val="es-MX"/>
        </w:rPr>
      </w:pPr>
      <w:r w:rsidRPr="00C94F64">
        <w:rPr>
          <w:rStyle w:val="Refdenotaalpie"/>
          <w:szCs w:val="16"/>
        </w:rPr>
        <w:footnoteRef/>
      </w:r>
      <w:r w:rsidRPr="00C94F64">
        <w:rPr>
          <w:szCs w:val="16"/>
        </w:rPr>
        <w:t xml:space="preserve"> </w:t>
      </w:r>
      <w:r>
        <w:rPr>
          <w:szCs w:val="16"/>
        </w:rPr>
        <w:t xml:space="preserve">Telecom Italia “Indicadores de desempeño”. Disponible en: </w:t>
      </w:r>
      <w:r w:rsidRPr="008710F7">
        <w:rPr>
          <w:szCs w:val="16"/>
        </w:rPr>
        <w:t>https://www.wholesale.telecomitalia.com/it/kpi</w:t>
      </w:r>
    </w:p>
  </w:footnote>
  <w:footnote w:id="5">
    <w:p w14:paraId="5E091B2B" w14:textId="7C85004B" w:rsidR="008710F7" w:rsidRPr="002917EE" w:rsidRDefault="008710F7">
      <w:pPr>
        <w:pStyle w:val="Textonotapie"/>
        <w:rPr>
          <w:lang w:val="es-MX"/>
        </w:rPr>
      </w:pPr>
      <w:r w:rsidRPr="00C94F64">
        <w:rPr>
          <w:rStyle w:val="Refdenotaalpie"/>
          <w:szCs w:val="16"/>
        </w:rPr>
        <w:footnoteRef/>
      </w:r>
      <w:r w:rsidRPr="00D550A0">
        <w:rPr>
          <w:szCs w:val="16"/>
        </w:rPr>
        <w:t xml:space="preserve"> </w:t>
      </w:r>
      <w:r>
        <w:rPr>
          <w:szCs w:val="16"/>
        </w:rPr>
        <w:t>Agcom “</w:t>
      </w:r>
      <w:r w:rsidRPr="002917EE">
        <w:rPr>
          <w:rFonts w:cstheme="minorBidi"/>
          <w:szCs w:val="16"/>
          <w:lang w:val="es-MX"/>
        </w:rPr>
        <w:t>DELIBERA N. 718/08/CONS APPROVAZIONE DELLA PROPOSTA DI IMPEGNI PRESENTATA DALLA SOCIETA’ TELECOM ITALIA S.P.A. AI SENSI DELLA LEGGE 248/06 DI CUI AL PROCEDIMENTO AVVIATO CON DELIBERA N. 351/08/CONS</w:t>
      </w:r>
      <w:r>
        <w:rPr>
          <w:rFonts w:cstheme="minorBidi"/>
          <w:szCs w:val="16"/>
          <w:lang w:val="es-MX"/>
        </w:rPr>
        <w:t>”.</w:t>
      </w:r>
    </w:p>
  </w:footnote>
  <w:footnote w:id="6">
    <w:p w14:paraId="1E642AB9" w14:textId="7EF37C9C" w:rsidR="008710F7" w:rsidRPr="002A4A7A" w:rsidRDefault="008710F7">
      <w:pPr>
        <w:pStyle w:val="Textonotapie"/>
      </w:pPr>
      <w:r>
        <w:rPr>
          <w:rStyle w:val="Refdenotaalpie"/>
        </w:rPr>
        <w:footnoteRef/>
      </w:r>
      <w:r>
        <w:t xml:space="preserve"> Agcom “</w:t>
      </w:r>
      <w:r w:rsidRPr="00A15667">
        <w:t>DELIBERA N. 623/15/CONS</w:t>
      </w:r>
      <w:r>
        <w:t xml:space="preserve">”. Disponible en: </w:t>
      </w:r>
      <w:r w:rsidRPr="008710F7">
        <w:t>https://www.agcom.it/documents/10179/3160100/Delibera+623-15-CONS/e546afa6-5b15-436d-b651-cf93ee5919c5?version=1.0</w:t>
      </w:r>
      <w:r>
        <w:t xml:space="preserve">  </w:t>
      </w:r>
    </w:p>
  </w:footnote>
  <w:footnote w:id="7">
    <w:p w14:paraId="03C7B67B" w14:textId="4E80A006" w:rsidR="008710F7" w:rsidRPr="002917EE" w:rsidRDefault="008710F7">
      <w:pPr>
        <w:pStyle w:val="Textonotapie"/>
        <w:rPr>
          <w:lang w:val="es-MX"/>
        </w:rPr>
      </w:pPr>
      <w:r>
        <w:rPr>
          <w:rStyle w:val="Refdenotaalpie"/>
        </w:rPr>
        <w:footnoteRef/>
      </w:r>
      <w:r w:rsidRPr="00AB2C90">
        <w:rPr>
          <w:lang w:val="en-GB"/>
        </w:rPr>
        <w:t xml:space="preserve"> </w:t>
      </w:r>
      <w:r>
        <w:rPr>
          <w:lang w:val="en-US"/>
        </w:rPr>
        <w:t>Ofcom “</w:t>
      </w:r>
      <w:r w:rsidRPr="00966DFB">
        <w:rPr>
          <w:lang w:val="en-US"/>
        </w:rPr>
        <w:t>Requirement on BT to publish Key</w:t>
      </w:r>
      <w:r>
        <w:rPr>
          <w:lang w:val="en-US"/>
        </w:rPr>
        <w:t xml:space="preserve"> </w:t>
      </w:r>
      <w:r w:rsidRPr="00966DFB">
        <w:rPr>
          <w:lang w:val="en-US"/>
        </w:rPr>
        <w:t>Performance Indicators</w:t>
      </w:r>
      <w:r>
        <w:rPr>
          <w:lang w:val="en-US"/>
        </w:rPr>
        <w:t xml:space="preserve">”. </w:t>
      </w:r>
      <w:r w:rsidRPr="00A15667">
        <w:rPr>
          <w:lang w:val="es-MX"/>
        </w:rPr>
        <w:t>Disponible en</w:t>
      </w:r>
      <w:r w:rsidRPr="00966DFB">
        <w:rPr>
          <w:lang w:val="es-MX"/>
        </w:rPr>
        <w:t xml:space="preserve">: </w:t>
      </w:r>
      <w:r w:rsidRPr="008710F7">
        <w:t>https://www.ofcom.org.uk/__data/assets/pdf_file/0024/49614/statement_directions.pdf</w:t>
      </w:r>
    </w:p>
  </w:footnote>
  <w:footnote w:id="8">
    <w:p w14:paraId="1FB033CC" w14:textId="74DA7844" w:rsidR="008710F7" w:rsidRPr="00EC2022" w:rsidRDefault="008710F7" w:rsidP="00E3450A">
      <w:pPr>
        <w:pStyle w:val="Textonotapie"/>
        <w:rPr>
          <w:lang w:val="es-MX"/>
        </w:rPr>
      </w:pPr>
      <w:r>
        <w:rPr>
          <w:rStyle w:val="Refdenotaalpie"/>
        </w:rPr>
        <w:footnoteRef/>
      </w:r>
      <w:r w:rsidRPr="00EC2022">
        <w:rPr>
          <w:lang w:val="en-GB"/>
        </w:rPr>
        <w:t xml:space="preserve"> </w:t>
      </w:r>
      <w:r w:rsidRPr="00966DFB">
        <w:rPr>
          <w:lang w:val="en-GB"/>
        </w:rPr>
        <w:t xml:space="preserve">Ofcom “Quality of Service for WLR and MPF. Proposed Directions and Consents relating to the minimum standards and KPIs imposed in the 2014 Fixed Access Market Reviews. </w:t>
      </w:r>
      <w:r w:rsidRPr="00966DFB">
        <w:rPr>
          <w:lang w:val="es-MX"/>
        </w:rPr>
        <w:t>Consultation (2016)</w:t>
      </w:r>
      <w:r w:rsidRPr="000B1DAC">
        <w:rPr>
          <w:lang w:val="es-MX"/>
        </w:rPr>
        <w:t>”</w:t>
      </w:r>
      <w:r w:rsidRPr="00966DFB">
        <w:rPr>
          <w:lang w:val="es-MX"/>
        </w:rPr>
        <w:t xml:space="preserve">. </w:t>
      </w:r>
      <w:r w:rsidRPr="000B1DAC">
        <w:rPr>
          <w:lang w:val="es-MX"/>
        </w:rPr>
        <w:t xml:space="preserve">Disponible en: </w:t>
      </w:r>
      <w:r w:rsidRPr="008710F7">
        <w:rPr>
          <w:lang w:val="es-MX"/>
        </w:rPr>
        <w:t>https://www.ofcom.org.uk/__data/assets/pdf_file/0019/71524/quality-of-service-wlr-mpf.pdf</w:t>
      </w:r>
      <w:r>
        <w:rPr>
          <w:lang w:val="es-MX"/>
        </w:rPr>
        <w:t xml:space="preserve"> </w:t>
      </w:r>
    </w:p>
  </w:footnote>
  <w:footnote w:id="9">
    <w:p w14:paraId="45BFEBE8" w14:textId="76189B3C" w:rsidR="008710F7" w:rsidRPr="00BE5666" w:rsidRDefault="008710F7">
      <w:pPr>
        <w:pStyle w:val="Textonotapie"/>
        <w:rPr>
          <w:lang w:val="en-GB"/>
        </w:rPr>
      </w:pPr>
      <w:r>
        <w:rPr>
          <w:rStyle w:val="Refdenotaalpie"/>
        </w:rPr>
        <w:footnoteRef/>
      </w:r>
      <w:r w:rsidRPr="00AB2C90">
        <w:rPr>
          <w:lang w:val="en-GB"/>
        </w:rPr>
        <w:t xml:space="preserve"> </w:t>
      </w:r>
      <w:r w:rsidRPr="00966DFB">
        <w:rPr>
          <w:lang w:val="en-GB"/>
        </w:rPr>
        <w:t>Ofcom “Quality of Service for WLR and MPF. Proposed Directions and Consents relating to the minimum standards and KPIs imposed in the 2014 Fixed Access Market Reviews. Statement and further consultation</w:t>
      </w:r>
      <w:r w:rsidRPr="000B1DAC">
        <w:rPr>
          <w:lang w:val="en-GB"/>
        </w:rPr>
        <w:t xml:space="preserve"> (2016)”. </w:t>
      </w:r>
      <w:r w:rsidRPr="00BE5666">
        <w:rPr>
          <w:lang w:val="en-GB"/>
        </w:rPr>
        <w:t xml:space="preserve">Disponible en: </w:t>
      </w:r>
      <w:r w:rsidRPr="008710F7">
        <w:rPr>
          <w:lang w:val="en-GB"/>
        </w:rPr>
        <w:t>https://www.ofcom.org.uk/__data/assets/pdf_file/0032/92678/20161017-QoS-Statement_Non-confidential.pdf</w:t>
      </w:r>
    </w:p>
  </w:footnote>
  <w:footnote w:id="10">
    <w:p w14:paraId="6EC9F21A" w14:textId="1BA3CABF" w:rsidR="008710F7" w:rsidRPr="002917EE" w:rsidRDefault="008710F7">
      <w:pPr>
        <w:pStyle w:val="Textonotapie"/>
        <w:rPr>
          <w:lang w:val="en-US"/>
        </w:rPr>
      </w:pPr>
      <w:r>
        <w:rPr>
          <w:rStyle w:val="Refdenotaalpie"/>
        </w:rPr>
        <w:footnoteRef/>
      </w:r>
      <w:r w:rsidRPr="002917EE">
        <w:rPr>
          <w:lang w:val="en-US"/>
        </w:rPr>
        <w:t xml:space="preserve"> </w:t>
      </w:r>
      <w:r w:rsidRPr="000B1DAC">
        <w:rPr>
          <w:lang w:val="en-US"/>
        </w:rPr>
        <w:t>Comreg “Response to Consultation and Decision on the Introduction of Key Performance Indicators for Regulated Markets”.</w:t>
      </w:r>
    </w:p>
  </w:footnote>
  <w:footnote w:id="11">
    <w:p w14:paraId="5459D2F2" w14:textId="3CF7DC56" w:rsidR="008710F7" w:rsidRPr="00AB2C90" w:rsidRDefault="008710F7" w:rsidP="00D36006">
      <w:pPr>
        <w:pStyle w:val="Textonotapie"/>
        <w:rPr>
          <w:lang w:val="es-MX"/>
        </w:rPr>
      </w:pPr>
      <w:r>
        <w:rPr>
          <w:rStyle w:val="Refdenotaalpie"/>
        </w:rPr>
        <w:footnoteRef/>
      </w:r>
      <w:r w:rsidRPr="00AB2C90">
        <w:rPr>
          <w:lang w:val="en-GB"/>
        </w:rPr>
        <w:t xml:space="preserve"> </w:t>
      </w:r>
      <w:r>
        <w:rPr>
          <w:lang w:val="en-GB"/>
        </w:rPr>
        <w:t>Comreg “</w:t>
      </w:r>
      <w:r w:rsidRPr="003445AB">
        <w:rPr>
          <w:lang w:val="en-US"/>
        </w:rPr>
        <w:t>Response to Consultation and Decision on the Introduction of Key Performance Indicators for Regulated Markets</w:t>
      </w:r>
      <w:r>
        <w:rPr>
          <w:lang w:val="en-GB"/>
        </w:rPr>
        <w:t xml:space="preserve">“. </w:t>
      </w:r>
      <w:r>
        <w:rPr>
          <w:lang w:val="es-MX"/>
        </w:rPr>
        <w:t xml:space="preserve">Disponible en:  </w:t>
      </w:r>
      <w:r w:rsidRPr="008710F7">
        <w:rPr>
          <w:lang w:val="es-MX"/>
        </w:rPr>
        <w:t>https://www.comreg.ie/media/dlm_uploads/2015/12/ComReg1145.pdf</w:t>
      </w:r>
      <w:r w:rsidRPr="00440CC1">
        <w:rPr>
          <w:lang w:val="es-MX"/>
        </w:rPr>
        <w:t xml:space="preserve"> </w:t>
      </w:r>
    </w:p>
  </w:footnote>
  <w:footnote w:id="12">
    <w:p w14:paraId="14FE5F5D" w14:textId="443A8AEA" w:rsidR="008710F7" w:rsidRPr="00AB2C90" w:rsidRDefault="008710F7">
      <w:pPr>
        <w:pStyle w:val="Textonotapie"/>
        <w:rPr>
          <w:lang w:val="es-MX"/>
        </w:rPr>
      </w:pPr>
      <w:r>
        <w:rPr>
          <w:rStyle w:val="Refdenotaalpie"/>
        </w:rPr>
        <w:footnoteRef/>
      </w:r>
      <w:r w:rsidRPr="00AB2C90">
        <w:rPr>
          <w:lang w:val="es-MX"/>
        </w:rPr>
        <w:t xml:space="preserve"> </w:t>
      </w:r>
      <w:r w:rsidRPr="006B2A09">
        <w:rPr>
          <w:lang w:val="es-MX"/>
        </w:rPr>
        <w:t xml:space="preserve">La Comisión Europea señala que para garantizar la no discriminación, los ICD deben complementarse con los Acuerdos de Nivel Servicio y Garantías de Nivel de Servicio. Disponible en: </w:t>
      </w:r>
      <w:r w:rsidRPr="008710F7">
        <w:rPr>
          <w:lang w:val="es-MX"/>
        </w:rPr>
        <w:t>https://ec.europa.eu/digital-single-market/en/news/commission-recommendation-consistent-non-discrimination-obligations-and-costing-methodologies</w:t>
      </w:r>
      <w:r w:rsidRPr="00AB2C90">
        <w:rPr>
          <w:lang w:val="es-MX"/>
        </w:rPr>
        <w:t xml:space="preserve"> </w:t>
      </w:r>
    </w:p>
  </w:footnote>
  <w:footnote w:id="13">
    <w:p w14:paraId="7D9D3744" w14:textId="77777777" w:rsidR="008710F7" w:rsidRPr="00EC2022" w:rsidRDefault="008710F7" w:rsidP="00E37F10">
      <w:pPr>
        <w:pStyle w:val="Textonotapie"/>
        <w:rPr>
          <w:lang w:val="es-MX"/>
        </w:rPr>
      </w:pPr>
      <w:r w:rsidRPr="006B2A09">
        <w:rPr>
          <w:rStyle w:val="Refdenotaalpie"/>
        </w:rPr>
        <w:footnoteRef/>
      </w:r>
      <w:r w:rsidRPr="006B2A09">
        <w:rPr>
          <w:lang w:val="es-MX"/>
        </w:rPr>
        <w:t xml:space="preserve"> En Inglaterra, </w:t>
      </w:r>
      <w:r w:rsidRPr="0030534D">
        <w:rPr>
          <w:lang w:val="es-MX"/>
        </w:rPr>
        <w:t xml:space="preserve">por ejemplo, </w:t>
      </w:r>
      <w:r w:rsidRPr="006B2A09">
        <w:rPr>
          <w:lang w:val="es-MX"/>
        </w:rPr>
        <w:t>durante la revisión de 2014, Ofcom incluyó un nuevo ICD asociado a aquellos casos reportados como cuestiones más allá del control razonable de BT/Openreach (</w:t>
      </w:r>
      <w:r w:rsidRPr="00AB2C90">
        <w:rPr>
          <w:lang w:val="es-MX"/>
        </w:rPr>
        <w:t>Matters Beyond Our Reasonable Control o MBORC</w:t>
      </w:r>
      <w:r w:rsidRPr="006B2A09">
        <w:rPr>
          <w:lang w:val="es-MX"/>
        </w:rPr>
        <w:t>), a fin de establecer una parámetro respecto a aquellas situaciones en las que BT/</w:t>
      </w:r>
      <w:r w:rsidRPr="0030534D">
        <w:rPr>
          <w:lang w:val="es-MX"/>
        </w:rPr>
        <w:t>Openreach podría declarar que se presentó un MBORC, afectando así la prestación de los servicios.</w:t>
      </w:r>
    </w:p>
  </w:footnote>
  <w:footnote w:id="14">
    <w:p w14:paraId="1EE3F3BD" w14:textId="58E48A19" w:rsidR="008710F7" w:rsidRPr="00BF7C4B" w:rsidRDefault="008710F7" w:rsidP="00AE1DF6">
      <w:pPr>
        <w:pStyle w:val="Textonotapie"/>
        <w:rPr>
          <w:lang w:val="es-MX"/>
        </w:rPr>
      </w:pPr>
      <w:r w:rsidRPr="002917EE">
        <w:rPr>
          <w:rStyle w:val="Refdenotaalpie"/>
          <w:szCs w:val="18"/>
        </w:rPr>
        <w:footnoteRef/>
      </w:r>
      <w:r w:rsidRPr="00AE1DF6">
        <w:rPr>
          <w:lang w:val="en-US"/>
        </w:rPr>
        <w:t xml:space="preserve"> COMMISSION RECOMMENDATION of 11.9.2013 on consistent non-discrimination obligations and costing methodologies to promote competition and enhance the broadband investment </w:t>
      </w:r>
      <w:r w:rsidRPr="000B1DAC">
        <w:rPr>
          <w:lang w:val="en-US"/>
        </w:rPr>
        <w:t>environment</w:t>
      </w:r>
      <w:r w:rsidRPr="00966DFB">
        <w:rPr>
          <w:rFonts w:cs="Segoe UI"/>
          <w:lang w:val="en-US"/>
        </w:rPr>
        <w:t xml:space="preserve">. </w:t>
      </w:r>
      <w:r w:rsidRPr="00966DFB">
        <w:rPr>
          <w:rFonts w:cs="Segoe UI"/>
          <w:lang w:val="es-MX"/>
        </w:rPr>
        <w:t xml:space="preserve">Disponible en: </w:t>
      </w:r>
      <w:r w:rsidRPr="008710F7">
        <w:rPr>
          <w:rFonts w:cs="Segoe UI"/>
          <w:lang w:val="es-MX"/>
        </w:rPr>
        <w:t>http://ec.europa.eu/smart-regulation/impact/ia_carried_out/docs/ia_2013/c_2013_5761_en.pdf</w:t>
      </w:r>
      <w:r>
        <w:rPr>
          <w:rStyle w:val="Hipervnculo"/>
          <w:rFonts w:cs="Segoe UI"/>
          <w:u w:val="none"/>
        </w:rPr>
        <w:t>.</w:t>
      </w:r>
    </w:p>
  </w:footnote>
  <w:footnote w:id="15">
    <w:p w14:paraId="2A0A50CF" w14:textId="4D1A384C" w:rsidR="008710F7" w:rsidRPr="00AE1DF6" w:rsidRDefault="008710F7" w:rsidP="00AE1DF6">
      <w:pPr>
        <w:pStyle w:val="Textonotapie"/>
        <w:rPr>
          <w:lang w:val="es-MX"/>
        </w:rPr>
      </w:pPr>
      <w:r w:rsidRPr="00AE1DF6">
        <w:rPr>
          <w:rStyle w:val="Refdenotaalpie"/>
        </w:rPr>
        <w:footnoteRef/>
      </w:r>
      <w:r w:rsidRPr="00AB2C90">
        <w:rPr>
          <w:lang w:val="en-GB"/>
        </w:rPr>
        <w:t xml:space="preserve"> Walpole, Myers, Myers &amp; Ye. 2007. Pearson Education. </w:t>
      </w:r>
      <w:r w:rsidRPr="00AE1DF6">
        <w:t xml:space="preserve">Considérese que en una distribución normal </w:t>
      </w:r>
      <w:r w:rsidRPr="00803708">
        <w:rPr>
          <w:lang w:val="es-MX"/>
        </w:rPr>
        <w:t>la densidad de una variable a</w:t>
      </w:r>
      <w:r w:rsidRPr="00F3229C">
        <w:rPr>
          <w:lang w:val="es-MX"/>
        </w:rPr>
        <w:t xml:space="preserve">leatoria normal </w:t>
      </w:r>
      <m:oMath>
        <m:r>
          <w:rPr>
            <w:rFonts w:ascii="Cambria Math" w:hAnsi="Cambria Math"/>
            <w:lang w:val="es-MX"/>
          </w:rPr>
          <m:t>X</m:t>
        </m:r>
      </m:oMath>
      <w:r w:rsidRPr="00CE217A">
        <w:rPr>
          <w:lang w:val="es-MX"/>
        </w:rPr>
        <w:t xml:space="preserve">, con media </w:t>
      </w:r>
      <m:oMath>
        <m:r>
          <w:rPr>
            <w:rFonts w:ascii="Cambria Math" w:hAnsi="Cambria Math"/>
            <w:lang w:val="es-MX"/>
          </w:rPr>
          <m:t>μ</m:t>
        </m:r>
      </m:oMath>
      <w:r w:rsidRPr="002172A2">
        <w:rPr>
          <w:rFonts w:eastAsiaTheme="minorEastAsia"/>
          <w:lang w:val="es-MX"/>
        </w:rPr>
        <w:t xml:space="preserve"> y varianza </w:t>
      </w:r>
      <m:oMath>
        <m:sSup>
          <m:sSupPr>
            <m:ctrlPr>
              <w:rPr>
                <w:rFonts w:ascii="Cambria Math" w:eastAsiaTheme="minorEastAsia" w:hAnsi="Cambria Math"/>
                <w:i/>
                <w:lang w:val="es-MX"/>
              </w:rPr>
            </m:ctrlPr>
          </m:sSupPr>
          <m:e>
            <m:r>
              <w:rPr>
                <w:rFonts w:ascii="Cambria Math" w:eastAsiaTheme="minorEastAsia" w:hAnsi="Cambria Math"/>
                <w:lang w:val="es-MX"/>
              </w:rPr>
              <m:t>σ</m:t>
            </m:r>
          </m:e>
          <m:sup>
            <m:r>
              <w:rPr>
                <w:rFonts w:ascii="Cambria Math" w:eastAsiaTheme="minorEastAsia" w:hAnsi="Cambria Math"/>
                <w:lang w:val="es-MX"/>
              </w:rPr>
              <m:t>2</m:t>
            </m:r>
          </m:sup>
        </m:sSup>
      </m:oMath>
      <w:r w:rsidRPr="00F2052B">
        <w:rPr>
          <w:rFonts w:eastAsiaTheme="minorEastAsia"/>
          <w:lang w:val="es-MX"/>
        </w:rPr>
        <w:t xml:space="preserve">, es </w:t>
      </w:r>
      <m:oMath>
        <m:f>
          <m:fPr>
            <m:ctrlPr>
              <w:rPr>
                <w:rFonts w:ascii="Cambria Math" w:eastAsiaTheme="minorEastAsia" w:hAnsi="Cambria Math"/>
                <w:i/>
                <w:lang w:val="es-MX"/>
              </w:rPr>
            </m:ctrlPr>
          </m:fPr>
          <m:num>
            <m:r>
              <w:rPr>
                <w:rFonts w:ascii="Cambria Math" w:eastAsiaTheme="minorEastAsia" w:hAnsi="Cambria Math"/>
                <w:lang w:val="es-MX"/>
              </w:rPr>
              <m:t>1</m:t>
            </m:r>
          </m:num>
          <m:den>
            <m:rad>
              <m:radPr>
                <m:degHide m:val="1"/>
                <m:ctrlPr>
                  <w:rPr>
                    <w:rFonts w:ascii="Cambria Math" w:eastAsiaTheme="minorEastAsia" w:hAnsi="Cambria Math"/>
                    <w:i/>
                    <w:lang w:val="es-MX"/>
                  </w:rPr>
                </m:ctrlPr>
              </m:radPr>
              <m:deg/>
              <m:e>
                <m:r>
                  <w:rPr>
                    <w:rFonts w:ascii="Cambria Math" w:eastAsiaTheme="minorEastAsia" w:hAnsi="Cambria Math"/>
                    <w:lang w:val="es-MX"/>
                  </w:rPr>
                  <m:t>2πσ</m:t>
                </m:r>
              </m:e>
            </m:rad>
          </m:den>
        </m:f>
        <m:sSup>
          <m:sSupPr>
            <m:ctrlPr>
              <w:rPr>
                <w:rFonts w:ascii="Cambria Math" w:eastAsiaTheme="minorEastAsia" w:hAnsi="Cambria Math"/>
                <w:i/>
                <w:lang w:val="es-MX"/>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sSup>
              <m:sSupPr>
                <m:ctrlPr>
                  <w:rPr>
                    <w:rFonts w:ascii="Cambria Math" w:hAnsi="Cambria Math"/>
                    <w:i/>
                  </w:rPr>
                </m:ctrlPr>
              </m:sSupPr>
              <m:e>
                <m:r>
                  <w:rPr>
                    <w:rFonts w:ascii="Cambria Math" w:hAnsi="Cambria Math"/>
                  </w:rPr>
                  <m:t>(x-μ)</m:t>
                </m:r>
              </m:e>
              <m:sup>
                <m:r>
                  <w:rPr>
                    <w:rFonts w:ascii="Cambria Math" w:hAnsi="Cambria Math"/>
                  </w:rPr>
                  <m:t>2</m:t>
                </m:r>
              </m:sup>
            </m:sSup>
          </m:sup>
        </m:sSup>
      </m:oMath>
      <w:r w:rsidRPr="00AE1DF6">
        <w:rPr>
          <w:rFonts w:eastAsiaTheme="minorEastAsia"/>
          <w:lang w:val="es-MX"/>
        </w:rPr>
        <w:t xml:space="preserve">. Inclusive para poblaciones no normales el teorema del límite central permite una buena aproximación para muestras de tamaños razonables. </w:t>
      </w:r>
    </w:p>
  </w:footnote>
  <w:footnote w:id="16">
    <w:p w14:paraId="68CAE30C" w14:textId="64EDE995" w:rsidR="008710F7" w:rsidRPr="00AE1DF6" w:rsidRDefault="008710F7" w:rsidP="00AE1DF6">
      <w:pPr>
        <w:pStyle w:val="Textonotapie"/>
        <w:rPr>
          <w:lang w:val="es-MX"/>
        </w:rPr>
      </w:pPr>
      <w:r w:rsidRPr="00AE1DF6">
        <w:rPr>
          <w:rStyle w:val="Refdenotaalpie"/>
        </w:rPr>
        <w:footnoteRef/>
      </w:r>
      <w:r w:rsidRPr="00AE1DF6">
        <w:t xml:space="preserve"> </w:t>
      </w:r>
      <w:r w:rsidRPr="00AE1DF6">
        <w:rPr>
          <w:lang w:val="es-MX"/>
        </w:rPr>
        <w:t>La zona de aceptación para una prueba Z siempre tendrá los mismos límites para determinado nivel de confianza. Por ejemplo, si se requiere una confianza del 95% los límites invariablemente serán -1.96 y 1.96. Esto puede suponer una ventaja respecto a otras pruebas en donde los límites son variables.</w:t>
      </w:r>
    </w:p>
  </w:footnote>
  <w:footnote w:id="17">
    <w:p w14:paraId="4A7538FF" w14:textId="26681FE8" w:rsidR="008710F7" w:rsidRPr="00AE1DF6" w:rsidRDefault="008710F7" w:rsidP="00F3229C">
      <w:pPr>
        <w:pStyle w:val="Textonotapie"/>
        <w:rPr>
          <w:lang w:val="en-US"/>
        </w:rPr>
      </w:pPr>
      <w:r w:rsidRPr="00AE1DF6">
        <w:rPr>
          <w:rStyle w:val="Refdenotaalpie"/>
        </w:rPr>
        <w:footnoteRef/>
      </w:r>
      <w:r w:rsidRPr="00AE1DF6">
        <w:t xml:space="preserve"> </w:t>
      </w:r>
      <w:r w:rsidRPr="003445AB">
        <w:rPr>
          <w:lang w:val="es-MX"/>
        </w:rPr>
        <w:t>Walpole, Myers, Myers &amp; Ye. 2007.</w:t>
      </w:r>
      <w:r w:rsidRPr="00064B33">
        <w:rPr>
          <w:lang w:val="es-MX"/>
        </w:rPr>
        <w:t xml:space="preserve"> Probabilidad y estadística para ingeniería y ciencias. </w:t>
      </w:r>
      <w:r>
        <w:rPr>
          <w:lang w:val="en-US"/>
        </w:rPr>
        <w:t>Walpole. Pearson Education</w:t>
      </w:r>
      <w:r w:rsidRPr="00AE1DF6">
        <w:rPr>
          <w:lang w:val="en-US"/>
        </w:rPr>
        <w:t>.</w:t>
      </w:r>
    </w:p>
  </w:footnote>
  <w:footnote w:id="18">
    <w:p w14:paraId="0E186F39" w14:textId="62226104" w:rsidR="008710F7" w:rsidRPr="00BE5666" w:rsidRDefault="008710F7" w:rsidP="00FC3379">
      <w:pPr>
        <w:pStyle w:val="Textonotapie"/>
        <w:rPr>
          <w:lang w:val="en-GB"/>
        </w:rPr>
      </w:pPr>
      <w:r w:rsidRPr="00AE1DF6">
        <w:rPr>
          <w:rStyle w:val="Refdenotaalpie"/>
        </w:rPr>
        <w:footnoteRef/>
      </w:r>
      <w:r w:rsidRPr="002917EE">
        <w:rPr>
          <w:lang w:val="en-US"/>
        </w:rPr>
        <w:t xml:space="preserve"> </w:t>
      </w:r>
      <w:r>
        <w:rPr>
          <w:lang w:val="en-US"/>
        </w:rPr>
        <w:t xml:space="preserve">British Telecom “Key Performance Indicators”. </w:t>
      </w:r>
      <w:r w:rsidRPr="00BE5666">
        <w:rPr>
          <w:lang w:val="en-GB"/>
        </w:rPr>
        <w:t xml:space="preserve">Disponible en: </w:t>
      </w:r>
      <w:r w:rsidRPr="008710F7">
        <w:rPr>
          <w:lang w:val="en-GB"/>
        </w:rPr>
        <w:t>http://btplc.com/Thegroup/RegulatoryandPublicaffairs/Ourundertakings/KeyPerformanceIndicators/index.htm</w:t>
      </w:r>
    </w:p>
  </w:footnote>
  <w:footnote w:id="19">
    <w:p w14:paraId="5A6F965A" w14:textId="3F7C32D1" w:rsidR="008710F7" w:rsidRPr="004756F5" w:rsidRDefault="008710F7" w:rsidP="00FC3379">
      <w:pPr>
        <w:pStyle w:val="Textonotapie"/>
      </w:pPr>
      <w:r>
        <w:rPr>
          <w:rStyle w:val="Refdenotaalpie"/>
        </w:rPr>
        <w:footnoteRef/>
      </w:r>
      <w:r>
        <w:t xml:space="preserve"> Jorge Luis De La Cruz-Ore “¿Qué significan los grados de libertad? Jorge Luis De La Cruz-Ore”. Disponible en: </w:t>
      </w:r>
      <w:r w:rsidRPr="008710F7">
        <w:t>http://www.redalyc.org/pdf/2031/203129458002.pdf</w:t>
      </w:r>
      <w:r>
        <w:t xml:space="preserve"> </w:t>
      </w:r>
    </w:p>
  </w:footnote>
  <w:footnote w:id="20">
    <w:p w14:paraId="0F5AC8CD" w14:textId="6440CB6B" w:rsidR="008710F7" w:rsidRPr="00AB2C90" w:rsidRDefault="008710F7">
      <w:pPr>
        <w:pStyle w:val="Textonotapie"/>
        <w:rPr>
          <w:lang w:val="es-MX"/>
        </w:rPr>
      </w:pPr>
      <w:r>
        <w:rPr>
          <w:rStyle w:val="Refdenotaalpie"/>
        </w:rPr>
        <w:footnoteRef/>
      </w:r>
      <w:r>
        <w:t xml:space="preserve"> </w:t>
      </w:r>
      <w:r>
        <w:rPr>
          <w:lang w:val="es-MX"/>
        </w:rPr>
        <w:t>Nivel de confianza comúnmente utilizado en pruebas estadísticas.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821E" w14:textId="77777777" w:rsidR="008710F7" w:rsidRDefault="008710F7" w:rsidP="00741DB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80B"/>
    <w:multiLevelType w:val="multilevel"/>
    <w:tmpl w:val="C102EA5A"/>
    <w:name w:val="AppHeadList2"/>
    <w:lvl w:ilvl="0">
      <w:start w:val="1"/>
      <w:numFmt w:val="upperLetter"/>
      <w:lvlRestart w:val="0"/>
      <w:pStyle w:val="AnxHead"/>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pStyle w:val="AnxSubHead"/>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pStyle w:val="AnxMinorSubHead"/>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 w15:restartNumberingAfterBreak="0">
    <w:nsid w:val="03D70244"/>
    <w:multiLevelType w:val="multilevel"/>
    <w:tmpl w:val="0809001D"/>
    <w:name w:val="SecHead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9679F8"/>
    <w:multiLevelType w:val="multilevel"/>
    <w:tmpl w:val="22D45FDC"/>
    <w:name w:val="Para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74F2336"/>
    <w:multiLevelType w:val="hybridMultilevel"/>
    <w:tmpl w:val="2AD6CC8C"/>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 w15:restartNumberingAfterBreak="0">
    <w:nsid w:val="09787125"/>
    <w:multiLevelType w:val="multilevel"/>
    <w:tmpl w:val="8A4E6DC2"/>
    <w:name w:val="SecHead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E55942"/>
    <w:multiLevelType w:val="hybridMultilevel"/>
    <w:tmpl w:val="06B8392A"/>
    <w:lvl w:ilvl="0" w:tplc="8EFE25D8">
      <w:start w:val="1"/>
      <w:numFmt w:val="upperRoman"/>
      <w:pStyle w:val="Antecedentes"/>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A5276"/>
    <w:multiLevelType w:val="multilevel"/>
    <w:tmpl w:val="0809001D"/>
    <w:name w:val="SecHead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A67C9"/>
    <w:multiLevelType w:val="multilevel"/>
    <w:tmpl w:val="4C70D716"/>
    <w:name w:val="ParaNumBulletList"/>
    <w:lvl w:ilvl="0">
      <w:start w:val="1"/>
      <w:numFmt w:val="none"/>
      <w:lvlText w:val=""/>
      <w:lvlJc w:val="left"/>
      <w:pPr>
        <w:ind w:left="340" w:hanging="340"/>
      </w:pPr>
      <w:rPr>
        <w:rFonts w:hint="default"/>
        <w:color w:val="E83F35" w:themeColor="accent1"/>
      </w:rPr>
    </w:lvl>
    <w:lvl w:ilvl="1">
      <w:start w:val="1"/>
      <w:numFmt w:val="none"/>
      <w:lvlText w:val=""/>
      <w:lvlJc w:val="left"/>
      <w:pPr>
        <w:ind w:left="0" w:firstLine="0"/>
      </w:pPr>
      <w:rPr>
        <w:rFonts w:hint="default"/>
        <w:color w:val="E83F35" w:themeColor="accent1"/>
      </w:rPr>
    </w:lvl>
    <w:lvl w:ilvl="2">
      <w:start w:val="1"/>
      <w:numFmt w:val="none"/>
      <w:lvlText w:val=""/>
      <w:lvlJc w:val="left"/>
      <w:pPr>
        <w:ind w:left="0" w:firstLine="0"/>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F253217"/>
    <w:multiLevelType w:val="hybridMultilevel"/>
    <w:tmpl w:val="9606C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6C0C41"/>
    <w:multiLevelType w:val="hybridMultilevel"/>
    <w:tmpl w:val="77C08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458B4"/>
    <w:multiLevelType w:val="multilevel"/>
    <w:tmpl w:val="113A5250"/>
    <w:name w:val="List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24BD218C"/>
    <w:multiLevelType w:val="hybridMultilevel"/>
    <w:tmpl w:val="26C6FA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F">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8571AF"/>
    <w:multiLevelType w:val="multilevel"/>
    <w:tmpl w:val="7E667E1A"/>
    <w:name w:val="SecHeadList5"/>
    <w:numStyleLink w:val="SecListStyle"/>
  </w:abstractNum>
  <w:abstractNum w:abstractNumId="13" w15:restartNumberingAfterBreak="0">
    <w:nsid w:val="2C5753CE"/>
    <w:multiLevelType w:val="multilevel"/>
    <w:tmpl w:val="C102EA5A"/>
    <w:name w:val="AppHeadList"/>
    <w:lvl w:ilvl="0">
      <w:start w:val="1"/>
      <w:numFmt w:val="upperLetter"/>
      <w:lvlRestart w:val="0"/>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4" w15:restartNumberingAfterBreak="0">
    <w:nsid w:val="2CED3700"/>
    <w:multiLevelType w:val="hybridMultilevel"/>
    <w:tmpl w:val="56A8D598"/>
    <w:name w:val="ListBulletList2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D4F5981"/>
    <w:multiLevelType w:val="multilevel"/>
    <w:tmpl w:val="9EB4094C"/>
    <w:name w:val="ListBulletList"/>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7B8F9D" w:themeColor="text1" w:themeTint="99"/>
      </w:rPr>
    </w:lvl>
    <w:lvl w:ilvl="2">
      <w:start w:val="1"/>
      <w:numFmt w:val="bullet"/>
      <w:lvlText w:val="–"/>
      <w:lvlJc w:val="left"/>
      <w:pPr>
        <w:tabs>
          <w:tab w:val="num" w:pos="1021"/>
        </w:tabs>
        <w:ind w:left="1021" w:hanging="341"/>
      </w:pPr>
      <w:rPr>
        <w:rFonts w:ascii="(none)" w:hAnsi="(none)" w:hint="default"/>
        <w:color w:val="7B8F9D"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37424A" w:themeColor="text1"/>
      </w:rPr>
    </w:lvl>
    <w:lvl w:ilvl="1">
      <w:start w:val="1"/>
      <w:numFmt w:val="lowerLetter"/>
      <w:lvlText w:val="%2."/>
      <w:lvlJc w:val="left"/>
      <w:pPr>
        <w:tabs>
          <w:tab w:val="num" w:pos="680"/>
        </w:tabs>
        <w:ind w:left="680" w:hanging="340"/>
      </w:pPr>
      <w:rPr>
        <w:rFonts w:hint="default"/>
        <w:color w:val="37424A" w:themeColor="text1"/>
      </w:rPr>
    </w:lvl>
    <w:lvl w:ilvl="2">
      <w:start w:val="1"/>
      <w:numFmt w:val="lowerRoman"/>
      <w:lvlText w:val="%3."/>
      <w:lvlJc w:val="left"/>
      <w:pPr>
        <w:tabs>
          <w:tab w:val="num" w:pos="1021"/>
        </w:tabs>
        <w:ind w:left="1021" w:hanging="341"/>
      </w:pPr>
      <w:rPr>
        <w:rFonts w:hint="default"/>
        <w:color w:val="37424A"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87D45A3"/>
    <w:multiLevelType w:val="hybridMultilevel"/>
    <w:tmpl w:val="74DC8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F11520"/>
    <w:multiLevelType w:val="multilevel"/>
    <w:tmpl w:val="080A001D"/>
    <w:name w:val="ListBulletList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000F4C"/>
    <w:multiLevelType w:val="multilevel"/>
    <w:tmpl w:val="080A001D"/>
    <w:name w:val="ListBullet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9A0C46"/>
    <w:multiLevelType w:val="multilevel"/>
    <w:tmpl w:val="E79AA7C4"/>
    <w:name w:val="NumberedList4"/>
    <w:numStyleLink w:val="ListNumStyle"/>
  </w:abstractNum>
  <w:abstractNum w:abstractNumId="21" w15:restartNumberingAfterBreak="0">
    <w:nsid w:val="44F53080"/>
    <w:multiLevelType w:val="multilevel"/>
    <w:tmpl w:val="E79AA7C4"/>
    <w:name w:val="ParaNumBulletList32"/>
    <w:numStyleLink w:val="ListNumStyle"/>
  </w:abstractNum>
  <w:abstractNum w:abstractNumId="22" w15:restartNumberingAfterBreak="0">
    <w:nsid w:val="489676A0"/>
    <w:multiLevelType w:val="hybridMultilevel"/>
    <w:tmpl w:val="2C1821F8"/>
    <w:lvl w:ilvl="0" w:tplc="5E94BF5E">
      <w:start w:val="1"/>
      <w:numFmt w:val="lowerLetter"/>
      <w:pStyle w:val="Inciso1ernivel"/>
      <w:lvlText w:val="%1)"/>
      <w:lvlJc w:val="left"/>
      <w:pPr>
        <w:ind w:left="785"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0744BE"/>
    <w:multiLevelType w:val="multilevel"/>
    <w:tmpl w:val="407056D8"/>
    <w:name w:val="ParaBulletList"/>
    <w:lvl w:ilvl="0">
      <w:start w:val="1"/>
      <w:numFmt w:val="bullet"/>
      <w:lvlText w:val=""/>
      <w:lvlJc w:val="left"/>
      <w:pPr>
        <w:tabs>
          <w:tab w:val="num" w:pos="340"/>
        </w:tabs>
        <w:ind w:left="340" w:hanging="340"/>
      </w:pPr>
      <w:rPr>
        <w:rFonts w:ascii="Wingdings 2" w:hAnsi="Wingdings 2" w:cs="Wingdings 2" w:hint="default"/>
        <w:color w:val="E83F35" w:themeColor="accent1"/>
      </w:rPr>
    </w:lvl>
    <w:lvl w:ilvl="1">
      <w:start w:val="1"/>
      <w:numFmt w:val="bullet"/>
      <w:lvlText w:val="□"/>
      <w:lvlJc w:val="left"/>
      <w:pPr>
        <w:tabs>
          <w:tab w:val="num" w:pos="680"/>
        </w:tabs>
        <w:ind w:left="680" w:hanging="340"/>
      </w:pPr>
      <w:rPr>
        <w:rFonts w:ascii="Calibri" w:hAnsi="Calibri" w:hint="default"/>
        <w:color w:val="E83F35" w:themeColor="accent1"/>
      </w:rPr>
    </w:lvl>
    <w:lvl w:ilvl="2">
      <w:start w:val="1"/>
      <w:numFmt w:val="bullet"/>
      <w:lvlText w:val="–"/>
      <w:lvlJc w:val="left"/>
      <w:pPr>
        <w:tabs>
          <w:tab w:val="num" w:pos="1021"/>
        </w:tabs>
        <w:ind w:left="1021" w:hanging="341"/>
      </w:pPr>
      <w:rPr>
        <w:rFonts w:ascii="(none)" w:hAnsi="(none)" w:cs="(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4" w15:restartNumberingAfterBreak="0">
    <w:nsid w:val="54366D97"/>
    <w:multiLevelType w:val="hybridMultilevel"/>
    <w:tmpl w:val="1046B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5F2E5F"/>
    <w:multiLevelType w:val="hybridMultilevel"/>
    <w:tmpl w:val="D1CCFCAA"/>
    <w:lvl w:ilvl="0" w:tplc="D2D48948">
      <w:start w:val="1"/>
      <w:numFmt w:val="upperRoman"/>
      <w:pStyle w:val="Prrafodelista"/>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3537FE"/>
    <w:multiLevelType w:val="multilevel"/>
    <w:tmpl w:val="E79AA7C4"/>
    <w:name w:val="NumberedList3"/>
    <w:numStyleLink w:val="ListNumStyle"/>
  </w:abstractNum>
  <w:abstractNum w:abstractNumId="27" w15:restartNumberingAfterBreak="0">
    <w:nsid w:val="5C126715"/>
    <w:multiLevelType w:val="hybridMultilevel"/>
    <w:tmpl w:val="EF507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1C4D21"/>
    <w:multiLevelType w:val="hybridMultilevel"/>
    <w:tmpl w:val="79E493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9C4733"/>
    <w:multiLevelType w:val="hybridMultilevel"/>
    <w:tmpl w:val="6EA4F1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1D105A"/>
    <w:multiLevelType w:val="multilevel"/>
    <w:tmpl w:val="E79AA7C4"/>
    <w:name w:val="NumberedList2"/>
    <w:numStyleLink w:val="ListNumStyle"/>
  </w:abstractNum>
  <w:abstractNum w:abstractNumId="31" w15:restartNumberingAfterBreak="0">
    <w:nsid w:val="617E60E3"/>
    <w:multiLevelType w:val="multilevel"/>
    <w:tmpl w:val="7E667E1A"/>
    <w:name w:val="SecHeadList"/>
    <w:styleLink w:val="SecListStyle"/>
    <w:lvl w:ilvl="0">
      <w:start w:val="1"/>
      <w:numFmt w:val="none"/>
      <w:lvlRestart w:val="0"/>
      <w:lvlText w:val=""/>
      <w:lvlJc w:val="left"/>
      <w:pPr>
        <w:ind w:left="0" w:firstLine="0"/>
      </w:pPr>
      <w:rPr>
        <w:rFonts w:ascii="Arial" w:hAnsi="Arial" w:cs="Arial" w:hint="default"/>
        <w:b w:val="0"/>
        <w:i w:val="0"/>
        <w:color w:val="E83F35" w:themeColor="accent1"/>
        <w:sz w:val="40"/>
      </w:rPr>
    </w:lvl>
    <w:lvl w:ilvl="1">
      <w:start w:val="1"/>
      <w:numFmt w:val="none"/>
      <w:lvlText w:val=""/>
      <w:lvlJc w:val="left"/>
      <w:pPr>
        <w:ind w:left="0" w:firstLine="0"/>
      </w:pPr>
      <w:rPr>
        <w:rFonts w:ascii="Arial" w:hAnsi="Arial" w:cs="Arial" w:hint="default"/>
        <w:b w:val="0"/>
        <w:i w:val="0"/>
        <w:color w:val="E83F35" w:themeColor="accent1"/>
        <w:sz w:val="36"/>
      </w:rPr>
    </w:lvl>
    <w:lvl w:ilvl="2">
      <w:start w:val="1"/>
      <w:numFmt w:val="none"/>
      <w:lvlText w:val=""/>
      <w:lvlJc w:val="left"/>
      <w:pPr>
        <w:ind w:left="0" w:firstLine="0"/>
      </w:pPr>
      <w:rPr>
        <w:rFonts w:ascii="Arial" w:hAnsi="Arial" w:cs="Arial" w:hint="default"/>
        <w:b w:val="0"/>
        <w:i w:val="0"/>
        <w:color w:val="E83F35" w:themeColor="accent1"/>
        <w:sz w:val="30"/>
      </w:rPr>
    </w:lvl>
    <w:lvl w:ilvl="3">
      <w:start w:val="1"/>
      <w:numFmt w:val="none"/>
      <w:lvlText w:val=""/>
      <w:lvlJc w:val="left"/>
      <w:pPr>
        <w:tabs>
          <w:tab w:val="num" w:pos="0"/>
        </w:tabs>
        <w:ind w:left="0" w:firstLine="0"/>
      </w:pPr>
      <w:rPr>
        <w:rFonts w:ascii="Arial" w:hAnsi="Arial" w:cs="Arial" w:hint="default"/>
        <w:b w:val="0"/>
        <w:i w:val="0"/>
        <w:color w:val="66B0B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3B275DD"/>
    <w:multiLevelType w:val="multilevel"/>
    <w:tmpl w:val="7E667E1A"/>
    <w:name w:val="SecHeadList4"/>
    <w:numStyleLink w:val="SecListStyle"/>
  </w:abstractNum>
  <w:abstractNum w:abstractNumId="33" w15:restartNumberingAfterBreak="0">
    <w:nsid w:val="654544EF"/>
    <w:multiLevelType w:val="hybridMultilevel"/>
    <w:tmpl w:val="AE94E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142CED"/>
    <w:multiLevelType w:val="multilevel"/>
    <w:tmpl w:val="4DD68258"/>
    <w:name w:val="NumberedList42"/>
    <w:lvl w:ilvl="0">
      <w:start w:val="1"/>
      <w:numFmt w:val="decimal"/>
      <w:lvlText w:val="%1."/>
      <w:lvlJc w:val="left"/>
      <w:pPr>
        <w:ind w:left="360" w:hanging="360"/>
      </w:pPr>
    </w:lvl>
    <w:lvl w:ilvl="1">
      <w:start w:val="1"/>
      <w:numFmt w:val="decimal"/>
      <w:pStyle w:val="ListNumBullet2"/>
      <w:lvlText w:val="%1.%2."/>
      <w:lvlJc w:val="left"/>
      <w:pPr>
        <w:ind w:left="792" w:hanging="432"/>
      </w:pPr>
    </w:lvl>
    <w:lvl w:ilvl="2">
      <w:start w:val="1"/>
      <w:numFmt w:val="decimal"/>
      <w:pStyle w:val="ListNum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7762B8"/>
    <w:multiLevelType w:val="multilevel"/>
    <w:tmpl w:val="113A5250"/>
    <w:name w:val="Para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6EE3444F"/>
    <w:multiLevelType w:val="hybridMultilevel"/>
    <w:tmpl w:val="ED4AE9AE"/>
    <w:name w:val="TableBulletList"/>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D715C"/>
    <w:multiLevelType w:val="hybridMultilevel"/>
    <w:tmpl w:val="298AE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FD5D3A"/>
    <w:multiLevelType w:val="multilevel"/>
    <w:tmpl w:val="D7F2D9E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793D62AE"/>
    <w:multiLevelType w:val="hybridMultilevel"/>
    <w:tmpl w:val="5ACE054C"/>
    <w:name w:val="ListBulletList2"/>
    <w:lvl w:ilvl="0" w:tplc="7AC41AB4">
      <w:start w:val="1"/>
      <w:numFmt w:val="bullet"/>
      <w:lvlText w:val=""/>
      <w:lvlJc w:val="left"/>
      <w:pPr>
        <w:ind w:left="720" w:hanging="360"/>
      </w:pPr>
      <w:rPr>
        <w:rFonts w:ascii="Wingdings" w:hAnsi="Wingdings" w:hint="default"/>
        <w:color w:val="92D05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6A3518"/>
    <w:multiLevelType w:val="multilevel"/>
    <w:tmpl w:val="113A525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7A2C308A"/>
    <w:multiLevelType w:val="hybridMultilevel"/>
    <w:tmpl w:val="BB94CA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736D7E"/>
    <w:multiLevelType w:val="multilevel"/>
    <w:tmpl w:val="7E667E1A"/>
    <w:name w:val="SecHeadList6"/>
    <w:numStyleLink w:val="SecListStyle"/>
  </w:abstractNum>
  <w:abstractNum w:abstractNumId="43" w15:restartNumberingAfterBreak="0">
    <w:nsid w:val="7D707E55"/>
    <w:multiLevelType w:val="hybridMultilevel"/>
    <w:tmpl w:val="03982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37424A" w:themeColor="text1"/>
      </w:rPr>
    </w:lvl>
    <w:lvl w:ilvl="1">
      <w:start w:val="1"/>
      <w:numFmt w:val="lowerLetter"/>
      <w:pStyle w:val="ParaNumBullet2"/>
      <w:lvlText w:val="%2."/>
      <w:lvlJc w:val="left"/>
      <w:pPr>
        <w:tabs>
          <w:tab w:val="num" w:pos="680"/>
        </w:tabs>
        <w:ind w:left="680" w:hanging="340"/>
      </w:pPr>
      <w:rPr>
        <w:rFonts w:hint="default"/>
        <w:color w:val="37424A" w:themeColor="text1"/>
      </w:rPr>
    </w:lvl>
    <w:lvl w:ilvl="2">
      <w:start w:val="1"/>
      <w:numFmt w:val="lowerRoman"/>
      <w:pStyle w:val="ParaNumBullet3"/>
      <w:lvlText w:val="%3."/>
      <w:lvlJc w:val="left"/>
      <w:pPr>
        <w:tabs>
          <w:tab w:val="num" w:pos="1021"/>
        </w:tabs>
        <w:ind w:left="1021" w:hanging="341"/>
      </w:pPr>
      <w:rPr>
        <w:rFonts w:hint="default"/>
        <w:color w:val="37424A"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1"/>
  </w:num>
  <w:num w:numId="2">
    <w:abstractNumId w:val="15"/>
  </w:num>
  <w:num w:numId="3">
    <w:abstractNumId w:val="44"/>
  </w:num>
  <w:num w:numId="4">
    <w:abstractNumId w:val="16"/>
  </w:num>
  <w:num w:numId="5">
    <w:abstractNumId w:val="0"/>
  </w:num>
  <w:num w:numId="6">
    <w:abstractNumId w:val="20"/>
  </w:num>
  <w:num w:numId="7">
    <w:abstractNumId w:val="34"/>
  </w:num>
  <w:num w:numId="8">
    <w:abstractNumId w:val="25"/>
  </w:num>
  <w:num w:numId="9">
    <w:abstractNumId w:val="5"/>
  </w:num>
  <w:num w:numId="10">
    <w:abstractNumId w:val="22"/>
  </w:num>
  <w:num w:numId="11">
    <w:abstractNumId w:val="41"/>
  </w:num>
  <w:num w:numId="12">
    <w:abstractNumId w:val="43"/>
  </w:num>
  <w:num w:numId="13">
    <w:abstractNumId w:val="8"/>
  </w:num>
  <w:num w:numId="14">
    <w:abstractNumId w:val="24"/>
  </w:num>
  <w:num w:numId="15">
    <w:abstractNumId w:val="33"/>
  </w:num>
  <w:num w:numId="16">
    <w:abstractNumId w:val="27"/>
  </w:num>
  <w:num w:numId="17">
    <w:abstractNumId w:val="17"/>
  </w:num>
  <w:num w:numId="18">
    <w:abstractNumId w:val="37"/>
  </w:num>
  <w:num w:numId="19">
    <w:abstractNumId w:val="29"/>
  </w:num>
  <w:num w:numId="20">
    <w:abstractNumId w:val="28"/>
  </w:num>
  <w:num w:numId="21">
    <w:abstractNumId w:val="11"/>
  </w:num>
  <w:num w:numId="22">
    <w:abstractNumId w:val="9"/>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ptionOption" w:val="Figure"/>
    <w:docVar w:name="HeadingNum" w:val="NoNumbering"/>
    <w:docVar w:name="ParaNumbering" w:val="False"/>
  </w:docVars>
  <w:rsids>
    <w:rsidRoot w:val="00CF6891"/>
    <w:rsid w:val="00000484"/>
    <w:rsid w:val="0000244B"/>
    <w:rsid w:val="00003129"/>
    <w:rsid w:val="00003D65"/>
    <w:rsid w:val="00005682"/>
    <w:rsid w:val="0000762C"/>
    <w:rsid w:val="00010D37"/>
    <w:rsid w:val="00010DB4"/>
    <w:rsid w:val="00010FCA"/>
    <w:rsid w:val="00012F41"/>
    <w:rsid w:val="00013435"/>
    <w:rsid w:val="00013CE4"/>
    <w:rsid w:val="00014135"/>
    <w:rsid w:val="00014919"/>
    <w:rsid w:val="0001534A"/>
    <w:rsid w:val="00016739"/>
    <w:rsid w:val="00024954"/>
    <w:rsid w:val="0002496E"/>
    <w:rsid w:val="0002522A"/>
    <w:rsid w:val="0002603E"/>
    <w:rsid w:val="00026CDD"/>
    <w:rsid w:val="0002768A"/>
    <w:rsid w:val="00030535"/>
    <w:rsid w:val="000307D9"/>
    <w:rsid w:val="00031D92"/>
    <w:rsid w:val="000324CD"/>
    <w:rsid w:val="00032D63"/>
    <w:rsid w:val="00033444"/>
    <w:rsid w:val="00034208"/>
    <w:rsid w:val="0004067C"/>
    <w:rsid w:val="0004144B"/>
    <w:rsid w:val="000416FB"/>
    <w:rsid w:val="0004188F"/>
    <w:rsid w:val="00042376"/>
    <w:rsid w:val="000436A0"/>
    <w:rsid w:val="0004410B"/>
    <w:rsid w:val="00045A24"/>
    <w:rsid w:val="00045F09"/>
    <w:rsid w:val="0005083F"/>
    <w:rsid w:val="00052FB9"/>
    <w:rsid w:val="0005401B"/>
    <w:rsid w:val="0005464D"/>
    <w:rsid w:val="00055C64"/>
    <w:rsid w:val="00056A28"/>
    <w:rsid w:val="000576B8"/>
    <w:rsid w:val="00057AD3"/>
    <w:rsid w:val="00057EF6"/>
    <w:rsid w:val="0006142F"/>
    <w:rsid w:val="000646B2"/>
    <w:rsid w:val="00065BDD"/>
    <w:rsid w:val="000676CC"/>
    <w:rsid w:val="0007159B"/>
    <w:rsid w:val="0007255B"/>
    <w:rsid w:val="0007511A"/>
    <w:rsid w:val="00075B43"/>
    <w:rsid w:val="00075EB6"/>
    <w:rsid w:val="00076604"/>
    <w:rsid w:val="00077BE1"/>
    <w:rsid w:val="000807B5"/>
    <w:rsid w:val="00082D33"/>
    <w:rsid w:val="00083639"/>
    <w:rsid w:val="000836DB"/>
    <w:rsid w:val="00084F74"/>
    <w:rsid w:val="000856D2"/>
    <w:rsid w:val="0008595C"/>
    <w:rsid w:val="00086494"/>
    <w:rsid w:val="00086816"/>
    <w:rsid w:val="00090871"/>
    <w:rsid w:val="00090A21"/>
    <w:rsid w:val="00091DF3"/>
    <w:rsid w:val="00092940"/>
    <w:rsid w:val="00093758"/>
    <w:rsid w:val="0009437D"/>
    <w:rsid w:val="000945E0"/>
    <w:rsid w:val="00095D11"/>
    <w:rsid w:val="0009625F"/>
    <w:rsid w:val="00096265"/>
    <w:rsid w:val="0009709F"/>
    <w:rsid w:val="00097E65"/>
    <w:rsid w:val="000A00BA"/>
    <w:rsid w:val="000A0D3F"/>
    <w:rsid w:val="000A5E30"/>
    <w:rsid w:val="000A6730"/>
    <w:rsid w:val="000A6CEE"/>
    <w:rsid w:val="000B000A"/>
    <w:rsid w:val="000B0AC9"/>
    <w:rsid w:val="000B1492"/>
    <w:rsid w:val="000B357A"/>
    <w:rsid w:val="000B3580"/>
    <w:rsid w:val="000B5C71"/>
    <w:rsid w:val="000B5F60"/>
    <w:rsid w:val="000B6434"/>
    <w:rsid w:val="000C0424"/>
    <w:rsid w:val="000C0930"/>
    <w:rsid w:val="000C0EAD"/>
    <w:rsid w:val="000C27BE"/>
    <w:rsid w:val="000C3ED9"/>
    <w:rsid w:val="000C5D87"/>
    <w:rsid w:val="000C5E3C"/>
    <w:rsid w:val="000C7AFE"/>
    <w:rsid w:val="000D00C4"/>
    <w:rsid w:val="000D060B"/>
    <w:rsid w:val="000D14F8"/>
    <w:rsid w:val="000D1870"/>
    <w:rsid w:val="000D26AD"/>
    <w:rsid w:val="000D4280"/>
    <w:rsid w:val="000D5C83"/>
    <w:rsid w:val="000E19A9"/>
    <w:rsid w:val="000E3902"/>
    <w:rsid w:val="000E44B2"/>
    <w:rsid w:val="000E4D92"/>
    <w:rsid w:val="000E4F6C"/>
    <w:rsid w:val="000E5083"/>
    <w:rsid w:val="000E7655"/>
    <w:rsid w:val="000F0B51"/>
    <w:rsid w:val="000F37F7"/>
    <w:rsid w:val="000F3879"/>
    <w:rsid w:val="000F4409"/>
    <w:rsid w:val="000F5519"/>
    <w:rsid w:val="000F6504"/>
    <w:rsid w:val="000F6BC1"/>
    <w:rsid w:val="000F7553"/>
    <w:rsid w:val="000F75C5"/>
    <w:rsid w:val="001008D9"/>
    <w:rsid w:val="00102A91"/>
    <w:rsid w:val="001030BF"/>
    <w:rsid w:val="00103D2B"/>
    <w:rsid w:val="001046A9"/>
    <w:rsid w:val="00110397"/>
    <w:rsid w:val="00110600"/>
    <w:rsid w:val="001118F4"/>
    <w:rsid w:val="00111A6F"/>
    <w:rsid w:val="00113029"/>
    <w:rsid w:val="00116640"/>
    <w:rsid w:val="00116E07"/>
    <w:rsid w:val="00121428"/>
    <w:rsid w:val="00122C70"/>
    <w:rsid w:val="00122C8D"/>
    <w:rsid w:val="001240B1"/>
    <w:rsid w:val="00125D61"/>
    <w:rsid w:val="00125EB1"/>
    <w:rsid w:val="00127F58"/>
    <w:rsid w:val="00130B30"/>
    <w:rsid w:val="00130FE6"/>
    <w:rsid w:val="00131C5C"/>
    <w:rsid w:val="00134F0D"/>
    <w:rsid w:val="00135656"/>
    <w:rsid w:val="00136A02"/>
    <w:rsid w:val="0014146A"/>
    <w:rsid w:val="0014189C"/>
    <w:rsid w:val="00142182"/>
    <w:rsid w:val="0014229E"/>
    <w:rsid w:val="00142715"/>
    <w:rsid w:val="001429C0"/>
    <w:rsid w:val="00143924"/>
    <w:rsid w:val="00145133"/>
    <w:rsid w:val="00145C07"/>
    <w:rsid w:val="001477CF"/>
    <w:rsid w:val="00147843"/>
    <w:rsid w:val="0015434C"/>
    <w:rsid w:val="00155734"/>
    <w:rsid w:val="00157CF3"/>
    <w:rsid w:val="00157E92"/>
    <w:rsid w:val="00160CE7"/>
    <w:rsid w:val="00160F93"/>
    <w:rsid w:val="00161540"/>
    <w:rsid w:val="00162020"/>
    <w:rsid w:val="0016210E"/>
    <w:rsid w:val="001631D3"/>
    <w:rsid w:val="001656B9"/>
    <w:rsid w:val="00167413"/>
    <w:rsid w:val="00167A00"/>
    <w:rsid w:val="00167EA1"/>
    <w:rsid w:val="00171300"/>
    <w:rsid w:val="00172885"/>
    <w:rsid w:val="001732A3"/>
    <w:rsid w:val="001732FD"/>
    <w:rsid w:val="00173CC5"/>
    <w:rsid w:val="00174140"/>
    <w:rsid w:val="00174313"/>
    <w:rsid w:val="001744B6"/>
    <w:rsid w:val="00174D51"/>
    <w:rsid w:val="0017538E"/>
    <w:rsid w:val="00175F65"/>
    <w:rsid w:val="001761D3"/>
    <w:rsid w:val="00176988"/>
    <w:rsid w:val="0018141C"/>
    <w:rsid w:val="00181F4A"/>
    <w:rsid w:val="0018282D"/>
    <w:rsid w:val="00183015"/>
    <w:rsid w:val="00183504"/>
    <w:rsid w:val="0018440B"/>
    <w:rsid w:val="0018530D"/>
    <w:rsid w:val="00185ED0"/>
    <w:rsid w:val="00185F1E"/>
    <w:rsid w:val="00186416"/>
    <w:rsid w:val="00190868"/>
    <w:rsid w:val="001914A9"/>
    <w:rsid w:val="00191A3C"/>
    <w:rsid w:val="00196B98"/>
    <w:rsid w:val="00197A36"/>
    <w:rsid w:val="001A2E20"/>
    <w:rsid w:val="001A2F61"/>
    <w:rsid w:val="001A4195"/>
    <w:rsid w:val="001A4ADE"/>
    <w:rsid w:val="001A51F3"/>
    <w:rsid w:val="001A6394"/>
    <w:rsid w:val="001A6534"/>
    <w:rsid w:val="001A6720"/>
    <w:rsid w:val="001A765A"/>
    <w:rsid w:val="001B29E8"/>
    <w:rsid w:val="001B2A85"/>
    <w:rsid w:val="001B37CB"/>
    <w:rsid w:val="001B4F54"/>
    <w:rsid w:val="001B5042"/>
    <w:rsid w:val="001B50F4"/>
    <w:rsid w:val="001C088F"/>
    <w:rsid w:val="001C0CF3"/>
    <w:rsid w:val="001C4302"/>
    <w:rsid w:val="001C5383"/>
    <w:rsid w:val="001C7364"/>
    <w:rsid w:val="001D0744"/>
    <w:rsid w:val="001D0C26"/>
    <w:rsid w:val="001D1699"/>
    <w:rsid w:val="001D1AB5"/>
    <w:rsid w:val="001D45CC"/>
    <w:rsid w:val="001D5391"/>
    <w:rsid w:val="001D6421"/>
    <w:rsid w:val="001D673D"/>
    <w:rsid w:val="001D7A32"/>
    <w:rsid w:val="001E06B9"/>
    <w:rsid w:val="001E0FDD"/>
    <w:rsid w:val="001E1500"/>
    <w:rsid w:val="001E16BA"/>
    <w:rsid w:val="001E1C05"/>
    <w:rsid w:val="001E456C"/>
    <w:rsid w:val="001E4944"/>
    <w:rsid w:val="001E4B1B"/>
    <w:rsid w:val="001E5B31"/>
    <w:rsid w:val="001F00AF"/>
    <w:rsid w:val="001F10EF"/>
    <w:rsid w:val="001F38AE"/>
    <w:rsid w:val="001F5457"/>
    <w:rsid w:val="001F5A79"/>
    <w:rsid w:val="001F5E3A"/>
    <w:rsid w:val="001F6090"/>
    <w:rsid w:val="001F662D"/>
    <w:rsid w:val="001F68D2"/>
    <w:rsid w:val="002001B0"/>
    <w:rsid w:val="002007BF"/>
    <w:rsid w:val="0020129A"/>
    <w:rsid w:val="00201DF3"/>
    <w:rsid w:val="002044AF"/>
    <w:rsid w:val="00205240"/>
    <w:rsid w:val="0020559C"/>
    <w:rsid w:val="00206860"/>
    <w:rsid w:val="00206CBA"/>
    <w:rsid w:val="00206FFD"/>
    <w:rsid w:val="00207295"/>
    <w:rsid w:val="0021056F"/>
    <w:rsid w:val="00210D17"/>
    <w:rsid w:val="002129E9"/>
    <w:rsid w:val="0021460E"/>
    <w:rsid w:val="00216526"/>
    <w:rsid w:val="002168C9"/>
    <w:rsid w:val="00216CC8"/>
    <w:rsid w:val="002172A2"/>
    <w:rsid w:val="00221303"/>
    <w:rsid w:val="002215E0"/>
    <w:rsid w:val="00222B41"/>
    <w:rsid w:val="0022345B"/>
    <w:rsid w:val="00224163"/>
    <w:rsid w:val="00225A28"/>
    <w:rsid w:val="00225EC2"/>
    <w:rsid w:val="00225FA4"/>
    <w:rsid w:val="00227328"/>
    <w:rsid w:val="002303B3"/>
    <w:rsid w:val="00231360"/>
    <w:rsid w:val="00233204"/>
    <w:rsid w:val="00234468"/>
    <w:rsid w:val="00235AC2"/>
    <w:rsid w:val="00236B9B"/>
    <w:rsid w:val="00236EC5"/>
    <w:rsid w:val="002401D1"/>
    <w:rsid w:val="00241657"/>
    <w:rsid w:val="00243942"/>
    <w:rsid w:val="00243C2C"/>
    <w:rsid w:val="00244674"/>
    <w:rsid w:val="002455C3"/>
    <w:rsid w:val="002455C9"/>
    <w:rsid w:val="00246075"/>
    <w:rsid w:val="0025112F"/>
    <w:rsid w:val="0025179E"/>
    <w:rsid w:val="002518C3"/>
    <w:rsid w:val="00251F2C"/>
    <w:rsid w:val="00252996"/>
    <w:rsid w:val="00253843"/>
    <w:rsid w:val="002538B1"/>
    <w:rsid w:val="002548E9"/>
    <w:rsid w:val="002550AB"/>
    <w:rsid w:val="002604A0"/>
    <w:rsid w:val="00260A22"/>
    <w:rsid w:val="00260B8A"/>
    <w:rsid w:val="002611A8"/>
    <w:rsid w:val="0026129E"/>
    <w:rsid w:val="0026157C"/>
    <w:rsid w:val="002622E8"/>
    <w:rsid w:val="00263104"/>
    <w:rsid w:val="00264704"/>
    <w:rsid w:val="0026564F"/>
    <w:rsid w:val="002657AE"/>
    <w:rsid w:val="0027112D"/>
    <w:rsid w:val="00271613"/>
    <w:rsid w:val="00271B23"/>
    <w:rsid w:val="00273129"/>
    <w:rsid w:val="00273648"/>
    <w:rsid w:val="00273A92"/>
    <w:rsid w:val="002743FD"/>
    <w:rsid w:val="00274C4E"/>
    <w:rsid w:val="002750C6"/>
    <w:rsid w:val="0027754F"/>
    <w:rsid w:val="00277A38"/>
    <w:rsid w:val="00282A14"/>
    <w:rsid w:val="00283E17"/>
    <w:rsid w:val="00285B98"/>
    <w:rsid w:val="002864A3"/>
    <w:rsid w:val="002868AC"/>
    <w:rsid w:val="00287446"/>
    <w:rsid w:val="00290A28"/>
    <w:rsid w:val="002917EE"/>
    <w:rsid w:val="00292AAE"/>
    <w:rsid w:val="002938AE"/>
    <w:rsid w:val="00294FCB"/>
    <w:rsid w:val="0029547E"/>
    <w:rsid w:val="002957CD"/>
    <w:rsid w:val="00296736"/>
    <w:rsid w:val="00297E6F"/>
    <w:rsid w:val="002A16CB"/>
    <w:rsid w:val="002A1841"/>
    <w:rsid w:val="002A3188"/>
    <w:rsid w:val="002A47D9"/>
    <w:rsid w:val="002A4A7A"/>
    <w:rsid w:val="002A525F"/>
    <w:rsid w:val="002A6042"/>
    <w:rsid w:val="002A7203"/>
    <w:rsid w:val="002A77F5"/>
    <w:rsid w:val="002B5993"/>
    <w:rsid w:val="002B6378"/>
    <w:rsid w:val="002B716D"/>
    <w:rsid w:val="002C1483"/>
    <w:rsid w:val="002C5D47"/>
    <w:rsid w:val="002C6545"/>
    <w:rsid w:val="002D0A0F"/>
    <w:rsid w:val="002D1E75"/>
    <w:rsid w:val="002D46EA"/>
    <w:rsid w:val="002E1DDC"/>
    <w:rsid w:val="002E21E1"/>
    <w:rsid w:val="002E5221"/>
    <w:rsid w:val="002E6190"/>
    <w:rsid w:val="002E6358"/>
    <w:rsid w:val="002E7CF6"/>
    <w:rsid w:val="002F00C3"/>
    <w:rsid w:val="002F22C9"/>
    <w:rsid w:val="002F26E3"/>
    <w:rsid w:val="002F3B4E"/>
    <w:rsid w:val="002F4E18"/>
    <w:rsid w:val="002F5C6B"/>
    <w:rsid w:val="002F7EF9"/>
    <w:rsid w:val="003010AB"/>
    <w:rsid w:val="00302A9C"/>
    <w:rsid w:val="00302BF6"/>
    <w:rsid w:val="00302FB1"/>
    <w:rsid w:val="0030534D"/>
    <w:rsid w:val="00305370"/>
    <w:rsid w:val="00307A56"/>
    <w:rsid w:val="0031093F"/>
    <w:rsid w:val="0031145D"/>
    <w:rsid w:val="0031436A"/>
    <w:rsid w:val="0031654B"/>
    <w:rsid w:val="00316D20"/>
    <w:rsid w:val="00323751"/>
    <w:rsid w:val="00324E60"/>
    <w:rsid w:val="0032783D"/>
    <w:rsid w:val="00327CB8"/>
    <w:rsid w:val="0033058D"/>
    <w:rsid w:val="00330D7D"/>
    <w:rsid w:val="0033122E"/>
    <w:rsid w:val="003316E7"/>
    <w:rsid w:val="0033629F"/>
    <w:rsid w:val="003362F5"/>
    <w:rsid w:val="003365B7"/>
    <w:rsid w:val="0034003C"/>
    <w:rsid w:val="0034098D"/>
    <w:rsid w:val="0034501E"/>
    <w:rsid w:val="00345C31"/>
    <w:rsid w:val="003468AD"/>
    <w:rsid w:val="00346B4C"/>
    <w:rsid w:val="00346E2C"/>
    <w:rsid w:val="0034763E"/>
    <w:rsid w:val="00347B7E"/>
    <w:rsid w:val="00350346"/>
    <w:rsid w:val="00351D5B"/>
    <w:rsid w:val="0035246B"/>
    <w:rsid w:val="00353D97"/>
    <w:rsid w:val="00353E87"/>
    <w:rsid w:val="0035486E"/>
    <w:rsid w:val="003601E8"/>
    <w:rsid w:val="00362BED"/>
    <w:rsid w:val="00365B1E"/>
    <w:rsid w:val="003670F4"/>
    <w:rsid w:val="003712A0"/>
    <w:rsid w:val="00372D3D"/>
    <w:rsid w:val="003746CC"/>
    <w:rsid w:val="003747C5"/>
    <w:rsid w:val="0037581C"/>
    <w:rsid w:val="0038083E"/>
    <w:rsid w:val="00380BF9"/>
    <w:rsid w:val="003810EE"/>
    <w:rsid w:val="003813B6"/>
    <w:rsid w:val="0038154C"/>
    <w:rsid w:val="00382A6E"/>
    <w:rsid w:val="00382F11"/>
    <w:rsid w:val="00385998"/>
    <w:rsid w:val="0038690C"/>
    <w:rsid w:val="003876CA"/>
    <w:rsid w:val="00390750"/>
    <w:rsid w:val="00390F6E"/>
    <w:rsid w:val="00392DFD"/>
    <w:rsid w:val="00396FE3"/>
    <w:rsid w:val="00397B4C"/>
    <w:rsid w:val="003A059A"/>
    <w:rsid w:val="003A09D2"/>
    <w:rsid w:val="003A0BCC"/>
    <w:rsid w:val="003A215E"/>
    <w:rsid w:val="003A2B6C"/>
    <w:rsid w:val="003A4D46"/>
    <w:rsid w:val="003A6AA7"/>
    <w:rsid w:val="003A704A"/>
    <w:rsid w:val="003A75AE"/>
    <w:rsid w:val="003B1AA4"/>
    <w:rsid w:val="003B2B70"/>
    <w:rsid w:val="003B3084"/>
    <w:rsid w:val="003B3D95"/>
    <w:rsid w:val="003B5C33"/>
    <w:rsid w:val="003B60A4"/>
    <w:rsid w:val="003B79D9"/>
    <w:rsid w:val="003B7BF2"/>
    <w:rsid w:val="003C0212"/>
    <w:rsid w:val="003C1928"/>
    <w:rsid w:val="003C1D2E"/>
    <w:rsid w:val="003C4DF9"/>
    <w:rsid w:val="003C53A9"/>
    <w:rsid w:val="003C5D47"/>
    <w:rsid w:val="003C656B"/>
    <w:rsid w:val="003C68E9"/>
    <w:rsid w:val="003C7DB8"/>
    <w:rsid w:val="003D1B19"/>
    <w:rsid w:val="003D1C23"/>
    <w:rsid w:val="003D4767"/>
    <w:rsid w:val="003D4B79"/>
    <w:rsid w:val="003D59BA"/>
    <w:rsid w:val="003D66C6"/>
    <w:rsid w:val="003D6AB7"/>
    <w:rsid w:val="003D7643"/>
    <w:rsid w:val="003D7E2C"/>
    <w:rsid w:val="003E0AE3"/>
    <w:rsid w:val="003E0E58"/>
    <w:rsid w:val="003E1250"/>
    <w:rsid w:val="003E388E"/>
    <w:rsid w:val="003E46EF"/>
    <w:rsid w:val="003E5420"/>
    <w:rsid w:val="003E5AB9"/>
    <w:rsid w:val="003E6AAF"/>
    <w:rsid w:val="003F03F2"/>
    <w:rsid w:val="003F2E8C"/>
    <w:rsid w:val="003F2EA4"/>
    <w:rsid w:val="003F373F"/>
    <w:rsid w:val="003F3DF5"/>
    <w:rsid w:val="003F442C"/>
    <w:rsid w:val="003F68D4"/>
    <w:rsid w:val="003F75DB"/>
    <w:rsid w:val="003F7EE7"/>
    <w:rsid w:val="00400F97"/>
    <w:rsid w:val="004014F4"/>
    <w:rsid w:val="00401726"/>
    <w:rsid w:val="00401DA9"/>
    <w:rsid w:val="004023AF"/>
    <w:rsid w:val="0040322F"/>
    <w:rsid w:val="00403801"/>
    <w:rsid w:val="004047CD"/>
    <w:rsid w:val="00404B8E"/>
    <w:rsid w:val="00404D1B"/>
    <w:rsid w:val="00404EB9"/>
    <w:rsid w:val="00404F33"/>
    <w:rsid w:val="004073FE"/>
    <w:rsid w:val="00407DB1"/>
    <w:rsid w:val="00407FAE"/>
    <w:rsid w:val="00411105"/>
    <w:rsid w:val="0041224B"/>
    <w:rsid w:val="0041295A"/>
    <w:rsid w:val="00413D8B"/>
    <w:rsid w:val="00414735"/>
    <w:rsid w:val="00414E24"/>
    <w:rsid w:val="00414F18"/>
    <w:rsid w:val="00415E97"/>
    <w:rsid w:val="00415F4F"/>
    <w:rsid w:val="00417777"/>
    <w:rsid w:val="00417B80"/>
    <w:rsid w:val="0042060E"/>
    <w:rsid w:val="00421002"/>
    <w:rsid w:val="004219D3"/>
    <w:rsid w:val="00422E95"/>
    <w:rsid w:val="00423292"/>
    <w:rsid w:val="00423492"/>
    <w:rsid w:val="004236F1"/>
    <w:rsid w:val="00423F2A"/>
    <w:rsid w:val="00424166"/>
    <w:rsid w:val="0042421C"/>
    <w:rsid w:val="004244FB"/>
    <w:rsid w:val="00424C08"/>
    <w:rsid w:val="004252E4"/>
    <w:rsid w:val="00430B03"/>
    <w:rsid w:val="004315CA"/>
    <w:rsid w:val="00431C41"/>
    <w:rsid w:val="00432467"/>
    <w:rsid w:val="00432864"/>
    <w:rsid w:val="00433733"/>
    <w:rsid w:val="00434CCF"/>
    <w:rsid w:val="004353D1"/>
    <w:rsid w:val="00435CB2"/>
    <w:rsid w:val="00435DEF"/>
    <w:rsid w:val="0043655D"/>
    <w:rsid w:val="00437766"/>
    <w:rsid w:val="00437E3F"/>
    <w:rsid w:val="00437F9D"/>
    <w:rsid w:val="00440CC1"/>
    <w:rsid w:val="004416D2"/>
    <w:rsid w:val="0044176A"/>
    <w:rsid w:val="0044261F"/>
    <w:rsid w:val="0044446D"/>
    <w:rsid w:val="0044451E"/>
    <w:rsid w:val="0044453C"/>
    <w:rsid w:val="00444649"/>
    <w:rsid w:val="00450D9F"/>
    <w:rsid w:val="004516E4"/>
    <w:rsid w:val="004530BD"/>
    <w:rsid w:val="004541DA"/>
    <w:rsid w:val="004564B5"/>
    <w:rsid w:val="00460677"/>
    <w:rsid w:val="00464412"/>
    <w:rsid w:val="004666AD"/>
    <w:rsid w:val="0047005B"/>
    <w:rsid w:val="0047119A"/>
    <w:rsid w:val="00471364"/>
    <w:rsid w:val="00471F76"/>
    <w:rsid w:val="00472EC0"/>
    <w:rsid w:val="004733B4"/>
    <w:rsid w:val="00473638"/>
    <w:rsid w:val="0047454F"/>
    <w:rsid w:val="00474C2A"/>
    <w:rsid w:val="00475174"/>
    <w:rsid w:val="0047543F"/>
    <w:rsid w:val="00476432"/>
    <w:rsid w:val="00476F72"/>
    <w:rsid w:val="00480321"/>
    <w:rsid w:val="004808C7"/>
    <w:rsid w:val="00481913"/>
    <w:rsid w:val="004823F7"/>
    <w:rsid w:val="004832C2"/>
    <w:rsid w:val="0048351F"/>
    <w:rsid w:val="004859A0"/>
    <w:rsid w:val="00485B13"/>
    <w:rsid w:val="00487984"/>
    <w:rsid w:val="00487EB6"/>
    <w:rsid w:val="00491ECD"/>
    <w:rsid w:val="00492404"/>
    <w:rsid w:val="0049295F"/>
    <w:rsid w:val="00493D8D"/>
    <w:rsid w:val="00494537"/>
    <w:rsid w:val="00494562"/>
    <w:rsid w:val="00494844"/>
    <w:rsid w:val="004957D0"/>
    <w:rsid w:val="00495DC7"/>
    <w:rsid w:val="00495F3D"/>
    <w:rsid w:val="00497385"/>
    <w:rsid w:val="00497C2B"/>
    <w:rsid w:val="004A2EF9"/>
    <w:rsid w:val="004A3299"/>
    <w:rsid w:val="004A37AB"/>
    <w:rsid w:val="004A3D2D"/>
    <w:rsid w:val="004A42E5"/>
    <w:rsid w:val="004A62D9"/>
    <w:rsid w:val="004A6890"/>
    <w:rsid w:val="004A7AAE"/>
    <w:rsid w:val="004B1331"/>
    <w:rsid w:val="004B1A8A"/>
    <w:rsid w:val="004B34F0"/>
    <w:rsid w:val="004B578A"/>
    <w:rsid w:val="004B5CE4"/>
    <w:rsid w:val="004B63DB"/>
    <w:rsid w:val="004B79F6"/>
    <w:rsid w:val="004C018B"/>
    <w:rsid w:val="004C1542"/>
    <w:rsid w:val="004C3C7E"/>
    <w:rsid w:val="004C441A"/>
    <w:rsid w:val="004C49C9"/>
    <w:rsid w:val="004C55A6"/>
    <w:rsid w:val="004C7F58"/>
    <w:rsid w:val="004D1254"/>
    <w:rsid w:val="004D37D2"/>
    <w:rsid w:val="004D4485"/>
    <w:rsid w:val="004D4679"/>
    <w:rsid w:val="004D48A4"/>
    <w:rsid w:val="004D6817"/>
    <w:rsid w:val="004E1C29"/>
    <w:rsid w:val="004E2AED"/>
    <w:rsid w:val="004E4550"/>
    <w:rsid w:val="004E5745"/>
    <w:rsid w:val="004F1203"/>
    <w:rsid w:val="004F1FF2"/>
    <w:rsid w:val="004F239A"/>
    <w:rsid w:val="004F39E5"/>
    <w:rsid w:val="004F3B2B"/>
    <w:rsid w:val="004F43CC"/>
    <w:rsid w:val="004F4E59"/>
    <w:rsid w:val="004F7E64"/>
    <w:rsid w:val="00501A1E"/>
    <w:rsid w:val="00502C04"/>
    <w:rsid w:val="00504F62"/>
    <w:rsid w:val="00506209"/>
    <w:rsid w:val="00506369"/>
    <w:rsid w:val="005063E8"/>
    <w:rsid w:val="00507E66"/>
    <w:rsid w:val="0051038F"/>
    <w:rsid w:val="005103AD"/>
    <w:rsid w:val="00512706"/>
    <w:rsid w:val="00513977"/>
    <w:rsid w:val="00515BE1"/>
    <w:rsid w:val="00516428"/>
    <w:rsid w:val="00517898"/>
    <w:rsid w:val="00520410"/>
    <w:rsid w:val="00524796"/>
    <w:rsid w:val="00524E6E"/>
    <w:rsid w:val="00525ADC"/>
    <w:rsid w:val="00526D74"/>
    <w:rsid w:val="00527CBD"/>
    <w:rsid w:val="00530792"/>
    <w:rsid w:val="005313B5"/>
    <w:rsid w:val="00531647"/>
    <w:rsid w:val="005328CA"/>
    <w:rsid w:val="00533AF8"/>
    <w:rsid w:val="0053587A"/>
    <w:rsid w:val="00536F38"/>
    <w:rsid w:val="005412E8"/>
    <w:rsid w:val="00541403"/>
    <w:rsid w:val="0054150F"/>
    <w:rsid w:val="005418AC"/>
    <w:rsid w:val="005424AC"/>
    <w:rsid w:val="005437C9"/>
    <w:rsid w:val="00543D33"/>
    <w:rsid w:val="0054473A"/>
    <w:rsid w:val="00545671"/>
    <w:rsid w:val="005460AB"/>
    <w:rsid w:val="00546376"/>
    <w:rsid w:val="0054639C"/>
    <w:rsid w:val="00550926"/>
    <w:rsid w:val="005511C1"/>
    <w:rsid w:val="00551545"/>
    <w:rsid w:val="005523D1"/>
    <w:rsid w:val="005524DD"/>
    <w:rsid w:val="00553613"/>
    <w:rsid w:val="005542A1"/>
    <w:rsid w:val="00554CD3"/>
    <w:rsid w:val="00555733"/>
    <w:rsid w:val="005567DA"/>
    <w:rsid w:val="00556A88"/>
    <w:rsid w:val="0055753C"/>
    <w:rsid w:val="00557925"/>
    <w:rsid w:val="00560132"/>
    <w:rsid w:val="00563F28"/>
    <w:rsid w:val="0056410A"/>
    <w:rsid w:val="005649BC"/>
    <w:rsid w:val="00566077"/>
    <w:rsid w:val="005671A2"/>
    <w:rsid w:val="00567A5B"/>
    <w:rsid w:val="00567F8F"/>
    <w:rsid w:val="005708E6"/>
    <w:rsid w:val="00571FBE"/>
    <w:rsid w:val="00574A7B"/>
    <w:rsid w:val="005765C7"/>
    <w:rsid w:val="00577609"/>
    <w:rsid w:val="00580ADA"/>
    <w:rsid w:val="00580C54"/>
    <w:rsid w:val="0058145D"/>
    <w:rsid w:val="005815DE"/>
    <w:rsid w:val="0058209A"/>
    <w:rsid w:val="0058317F"/>
    <w:rsid w:val="005854B5"/>
    <w:rsid w:val="00586A1E"/>
    <w:rsid w:val="00586EE4"/>
    <w:rsid w:val="00587ADC"/>
    <w:rsid w:val="00587BE3"/>
    <w:rsid w:val="00593415"/>
    <w:rsid w:val="005960ED"/>
    <w:rsid w:val="005963B1"/>
    <w:rsid w:val="0059677B"/>
    <w:rsid w:val="005A1028"/>
    <w:rsid w:val="005A117E"/>
    <w:rsid w:val="005A278A"/>
    <w:rsid w:val="005A3378"/>
    <w:rsid w:val="005A33CF"/>
    <w:rsid w:val="005A4977"/>
    <w:rsid w:val="005A4B97"/>
    <w:rsid w:val="005A624D"/>
    <w:rsid w:val="005A68FB"/>
    <w:rsid w:val="005A7BA6"/>
    <w:rsid w:val="005B0485"/>
    <w:rsid w:val="005B3709"/>
    <w:rsid w:val="005B428C"/>
    <w:rsid w:val="005B430C"/>
    <w:rsid w:val="005B6688"/>
    <w:rsid w:val="005C0C23"/>
    <w:rsid w:val="005C2E41"/>
    <w:rsid w:val="005C3E91"/>
    <w:rsid w:val="005C4347"/>
    <w:rsid w:val="005C43F1"/>
    <w:rsid w:val="005C4C6E"/>
    <w:rsid w:val="005C4CDB"/>
    <w:rsid w:val="005C5074"/>
    <w:rsid w:val="005C6084"/>
    <w:rsid w:val="005C6304"/>
    <w:rsid w:val="005C7570"/>
    <w:rsid w:val="005D0AA6"/>
    <w:rsid w:val="005D12F9"/>
    <w:rsid w:val="005D248D"/>
    <w:rsid w:val="005D2746"/>
    <w:rsid w:val="005D3FAB"/>
    <w:rsid w:val="005D407A"/>
    <w:rsid w:val="005D4089"/>
    <w:rsid w:val="005D462D"/>
    <w:rsid w:val="005D4C3B"/>
    <w:rsid w:val="005D7693"/>
    <w:rsid w:val="005E0151"/>
    <w:rsid w:val="005E0E52"/>
    <w:rsid w:val="005E1D2D"/>
    <w:rsid w:val="005E2AE2"/>
    <w:rsid w:val="005E405D"/>
    <w:rsid w:val="005E50C7"/>
    <w:rsid w:val="005E615E"/>
    <w:rsid w:val="005E6CF4"/>
    <w:rsid w:val="005E7450"/>
    <w:rsid w:val="005F0EC8"/>
    <w:rsid w:val="005F36A3"/>
    <w:rsid w:val="005F4311"/>
    <w:rsid w:val="005F5E92"/>
    <w:rsid w:val="0060111F"/>
    <w:rsid w:val="006024CE"/>
    <w:rsid w:val="00602731"/>
    <w:rsid w:val="0060354D"/>
    <w:rsid w:val="0060476B"/>
    <w:rsid w:val="00605061"/>
    <w:rsid w:val="006051C0"/>
    <w:rsid w:val="00605E8A"/>
    <w:rsid w:val="006077AF"/>
    <w:rsid w:val="00611153"/>
    <w:rsid w:val="006119DB"/>
    <w:rsid w:val="0061484D"/>
    <w:rsid w:val="00614D47"/>
    <w:rsid w:val="006157E5"/>
    <w:rsid w:val="00616060"/>
    <w:rsid w:val="00617D67"/>
    <w:rsid w:val="0062045A"/>
    <w:rsid w:val="00620C10"/>
    <w:rsid w:val="00621028"/>
    <w:rsid w:val="006216E8"/>
    <w:rsid w:val="006247E2"/>
    <w:rsid w:val="006248BE"/>
    <w:rsid w:val="00625C0F"/>
    <w:rsid w:val="00625E62"/>
    <w:rsid w:val="006262C6"/>
    <w:rsid w:val="00626A54"/>
    <w:rsid w:val="00630978"/>
    <w:rsid w:val="00631CD2"/>
    <w:rsid w:val="006322ED"/>
    <w:rsid w:val="006326BD"/>
    <w:rsid w:val="00632FA4"/>
    <w:rsid w:val="00634C69"/>
    <w:rsid w:val="00635355"/>
    <w:rsid w:val="00637787"/>
    <w:rsid w:val="0064013C"/>
    <w:rsid w:val="006407D2"/>
    <w:rsid w:val="00640BDE"/>
    <w:rsid w:val="00640C53"/>
    <w:rsid w:val="00641681"/>
    <w:rsid w:val="0064381C"/>
    <w:rsid w:val="00643F19"/>
    <w:rsid w:val="00644069"/>
    <w:rsid w:val="0064409C"/>
    <w:rsid w:val="00644CAE"/>
    <w:rsid w:val="00646ED6"/>
    <w:rsid w:val="00647BEA"/>
    <w:rsid w:val="00650737"/>
    <w:rsid w:val="006518A0"/>
    <w:rsid w:val="00652555"/>
    <w:rsid w:val="00652E29"/>
    <w:rsid w:val="00653A0E"/>
    <w:rsid w:val="006545FA"/>
    <w:rsid w:val="0065472B"/>
    <w:rsid w:val="00654909"/>
    <w:rsid w:val="0065503D"/>
    <w:rsid w:val="0065588F"/>
    <w:rsid w:val="00656F4A"/>
    <w:rsid w:val="006604F9"/>
    <w:rsid w:val="00662538"/>
    <w:rsid w:val="00663BEE"/>
    <w:rsid w:val="00663F0C"/>
    <w:rsid w:val="00664490"/>
    <w:rsid w:val="00665601"/>
    <w:rsid w:val="0066712D"/>
    <w:rsid w:val="0066737F"/>
    <w:rsid w:val="00667AF0"/>
    <w:rsid w:val="00671D3F"/>
    <w:rsid w:val="0067218F"/>
    <w:rsid w:val="00672E7E"/>
    <w:rsid w:val="00673813"/>
    <w:rsid w:val="00674947"/>
    <w:rsid w:val="00674CE6"/>
    <w:rsid w:val="00676C80"/>
    <w:rsid w:val="006774CB"/>
    <w:rsid w:val="00677A14"/>
    <w:rsid w:val="00682BD6"/>
    <w:rsid w:val="00683D02"/>
    <w:rsid w:val="006866BE"/>
    <w:rsid w:val="00687462"/>
    <w:rsid w:val="00690642"/>
    <w:rsid w:val="006916BF"/>
    <w:rsid w:val="0069213B"/>
    <w:rsid w:val="006931D6"/>
    <w:rsid w:val="006937E4"/>
    <w:rsid w:val="00694420"/>
    <w:rsid w:val="00697891"/>
    <w:rsid w:val="006A0425"/>
    <w:rsid w:val="006A19FC"/>
    <w:rsid w:val="006A1DAE"/>
    <w:rsid w:val="006A2083"/>
    <w:rsid w:val="006A282E"/>
    <w:rsid w:val="006A6972"/>
    <w:rsid w:val="006A752D"/>
    <w:rsid w:val="006B13CB"/>
    <w:rsid w:val="006B2056"/>
    <w:rsid w:val="006B2A09"/>
    <w:rsid w:val="006C17CB"/>
    <w:rsid w:val="006C2C39"/>
    <w:rsid w:val="006C378C"/>
    <w:rsid w:val="006C3971"/>
    <w:rsid w:val="006C4C93"/>
    <w:rsid w:val="006C5F8A"/>
    <w:rsid w:val="006C6761"/>
    <w:rsid w:val="006C6A64"/>
    <w:rsid w:val="006C75CE"/>
    <w:rsid w:val="006D0186"/>
    <w:rsid w:val="006D0551"/>
    <w:rsid w:val="006D073E"/>
    <w:rsid w:val="006D0B7A"/>
    <w:rsid w:val="006D0D3F"/>
    <w:rsid w:val="006D1AEB"/>
    <w:rsid w:val="006D2428"/>
    <w:rsid w:val="006D270E"/>
    <w:rsid w:val="006D3B57"/>
    <w:rsid w:val="006D5018"/>
    <w:rsid w:val="006D63F4"/>
    <w:rsid w:val="006D66BB"/>
    <w:rsid w:val="006D6D7E"/>
    <w:rsid w:val="006E0D25"/>
    <w:rsid w:val="006E170A"/>
    <w:rsid w:val="006E382B"/>
    <w:rsid w:val="006E4ABA"/>
    <w:rsid w:val="006E4FC5"/>
    <w:rsid w:val="006E5B22"/>
    <w:rsid w:val="006E5EC3"/>
    <w:rsid w:val="006E6CCF"/>
    <w:rsid w:val="006E782A"/>
    <w:rsid w:val="006E7AC8"/>
    <w:rsid w:val="006F25F2"/>
    <w:rsid w:val="006F2DFB"/>
    <w:rsid w:val="006F4DA4"/>
    <w:rsid w:val="006F6EA3"/>
    <w:rsid w:val="006F721B"/>
    <w:rsid w:val="006F72E6"/>
    <w:rsid w:val="006F7609"/>
    <w:rsid w:val="006F7B04"/>
    <w:rsid w:val="0070065E"/>
    <w:rsid w:val="0070150C"/>
    <w:rsid w:val="00702608"/>
    <w:rsid w:val="007026B1"/>
    <w:rsid w:val="00703280"/>
    <w:rsid w:val="00703689"/>
    <w:rsid w:val="007060A0"/>
    <w:rsid w:val="00706C89"/>
    <w:rsid w:val="00711231"/>
    <w:rsid w:val="00712AAB"/>
    <w:rsid w:val="00712D7E"/>
    <w:rsid w:val="00717597"/>
    <w:rsid w:val="00720604"/>
    <w:rsid w:val="007232D4"/>
    <w:rsid w:val="00723446"/>
    <w:rsid w:val="00725413"/>
    <w:rsid w:val="0072724D"/>
    <w:rsid w:val="00727611"/>
    <w:rsid w:val="00730626"/>
    <w:rsid w:val="00732157"/>
    <w:rsid w:val="007326B0"/>
    <w:rsid w:val="00734569"/>
    <w:rsid w:val="0073508A"/>
    <w:rsid w:val="007366BE"/>
    <w:rsid w:val="00737683"/>
    <w:rsid w:val="0073783C"/>
    <w:rsid w:val="00740AFE"/>
    <w:rsid w:val="00740E56"/>
    <w:rsid w:val="00741DB7"/>
    <w:rsid w:val="00742739"/>
    <w:rsid w:val="00742AA4"/>
    <w:rsid w:val="0074373F"/>
    <w:rsid w:val="007454D5"/>
    <w:rsid w:val="00746FC1"/>
    <w:rsid w:val="00747B6A"/>
    <w:rsid w:val="00750725"/>
    <w:rsid w:val="0075072C"/>
    <w:rsid w:val="007516D1"/>
    <w:rsid w:val="00751A85"/>
    <w:rsid w:val="00751DBD"/>
    <w:rsid w:val="007520F9"/>
    <w:rsid w:val="0075498A"/>
    <w:rsid w:val="00756F93"/>
    <w:rsid w:val="00757487"/>
    <w:rsid w:val="00760119"/>
    <w:rsid w:val="00760B46"/>
    <w:rsid w:val="007629B5"/>
    <w:rsid w:val="00762CC2"/>
    <w:rsid w:val="00763792"/>
    <w:rsid w:val="00764AC5"/>
    <w:rsid w:val="007658E9"/>
    <w:rsid w:val="007660E5"/>
    <w:rsid w:val="00766BB0"/>
    <w:rsid w:val="00772A1E"/>
    <w:rsid w:val="007759CC"/>
    <w:rsid w:val="007769B3"/>
    <w:rsid w:val="0077767E"/>
    <w:rsid w:val="007804C3"/>
    <w:rsid w:val="00781DC7"/>
    <w:rsid w:val="0078350D"/>
    <w:rsid w:val="00783D2F"/>
    <w:rsid w:val="00783FE5"/>
    <w:rsid w:val="00784276"/>
    <w:rsid w:val="00784601"/>
    <w:rsid w:val="00786187"/>
    <w:rsid w:val="00787432"/>
    <w:rsid w:val="00790261"/>
    <w:rsid w:val="00790EF4"/>
    <w:rsid w:val="00791481"/>
    <w:rsid w:val="007918A1"/>
    <w:rsid w:val="00791EB3"/>
    <w:rsid w:val="00792C9D"/>
    <w:rsid w:val="00793476"/>
    <w:rsid w:val="0079361E"/>
    <w:rsid w:val="00793B05"/>
    <w:rsid w:val="00795E9C"/>
    <w:rsid w:val="00796310"/>
    <w:rsid w:val="00796385"/>
    <w:rsid w:val="00796B63"/>
    <w:rsid w:val="00796CA6"/>
    <w:rsid w:val="0079756B"/>
    <w:rsid w:val="007A0EC6"/>
    <w:rsid w:val="007A101C"/>
    <w:rsid w:val="007A2099"/>
    <w:rsid w:val="007A3958"/>
    <w:rsid w:val="007A3A60"/>
    <w:rsid w:val="007A41DC"/>
    <w:rsid w:val="007A4437"/>
    <w:rsid w:val="007A5E4F"/>
    <w:rsid w:val="007A692F"/>
    <w:rsid w:val="007B24F2"/>
    <w:rsid w:val="007B2B22"/>
    <w:rsid w:val="007B3047"/>
    <w:rsid w:val="007B66A5"/>
    <w:rsid w:val="007C06F1"/>
    <w:rsid w:val="007C0972"/>
    <w:rsid w:val="007C3EFF"/>
    <w:rsid w:val="007C4844"/>
    <w:rsid w:val="007C6582"/>
    <w:rsid w:val="007D203E"/>
    <w:rsid w:val="007D2811"/>
    <w:rsid w:val="007D4231"/>
    <w:rsid w:val="007D5230"/>
    <w:rsid w:val="007D6B43"/>
    <w:rsid w:val="007D743E"/>
    <w:rsid w:val="007E0A6E"/>
    <w:rsid w:val="007E16C6"/>
    <w:rsid w:val="007E1C06"/>
    <w:rsid w:val="007E1FD9"/>
    <w:rsid w:val="007E37B0"/>
    <w:rsid w:val="007E4638"/>
    <w:rsid w:val="007E4BC6"/>
    <w:rsid w:val="007E6097"/>
    <w:rsid w:val="007E60E5"/>
    <w:rsid w:val="007E7A3C"/>
    <w:rsid w:val="007F007E"/>
    <w:rsid w:val="007F0587"/>
    <w:rsid w:val="007F0C5F"/>
    <w:rsid w:val="007F371B"/>
    <w:rsid w:val="007F3EAF"/>
    <w:rsid w:val="007F40F6"/>
    <w:rsid w:val="007F4550"/>
    <w:rsid w:val="007F4D6D"/>
    <w:rsid w:val="007F5674"/>
    <w:rsid w:val="007F75B4"/>
    <w:rsid w:val="00803708"/>
    <w:rsid w:val="008050E0"/>
    <w:rsid w:val="0080524D"/>
    <w:rsid w:val="008053AC"/>
    <w:rsid w:val="00805422"/>
    <w:rsid w:val="00805D9D"/>
    <w:rsid w:val="00806340"/>
    <w:rsid w:val="00810F27"/>
    <w:rsid w:val="0081236C"/>
    <w:rsid w:val="0081268E"/>
    <w:rsid w:val="00814BA6"/>
    <w:rsid w:val="00816132"/>
    <w:rsid w:val="008164D9"/>
    <w:rsid w:val="008179DE"/>
    <w:rsid w:val="008202B4"/>
    <w:rsid w:val="0082054E"/>
    <w:rsid w:val="00821627"/>
    <w:rsid w:val="00821D8D"/>
    <w:rsid w:val="0082256E"/>
    <w:rsid w:val="00822A92"/>
    <w:rsid w:val="00823C7C"/>
    <w:rsid w:val="0082489C"/>
    <w:rsid w:val="00825EEE"/>
    <w:rsid w:val="008260AD"/>
    <w:rsid w:val="00826586"/>
    <w:rsid w:val="00826CD7"/>
    <w:rsid w:val="00827335"/>
    <w:rsid w:val="008302DF"/>
    <w:rsid w:val="00833153"/>
    <w:rsid w:val="00835032"/>
    <w:rsid w:val="0083511C"/>
    <w:rsid w:val="008353BB"/>
    <w:rsid w:val="008356D7"/>
    <w:rsid w:val="00836292"/>
    <w:rsid w:val="008364DC"/>
    <w:rsid w:val="0083657F"/>
    <w:rsid w:val="008367F6"/>
    <w:rsid w:val="00836F12"/>
    <w:rsid w:val="00837480"/>
    <w:rsid w:val="00840156"/>
    <w:rsid w:val="008406D5"/>
    <w:rsid w:val="00840A65"/>
    <w:rsid w:val="008410B3"/>
    <w:rsid w:val="008439A6"/>
    <w:rsid w:val="00844CF1"/>
    <w:rsid w:val="00845351"/>
    <w:rsid w:val="0084557B"/>
    <w:rsid w:val="00845B62"/>
    <w:rsid w:val="00847303"/>
    <w:rsid w:val="008475F6"/>
    <w:rsid w:val="00847AB6"/>
    <w:rsid w:val="00847FA8"/>
    <w:rsid w:val="00851897"/>
    <w:rsid w:val="008521D9"/>
    <w:rsid w:val="00852EF7"/>
    <w:rsid w:val="00856A55"/>
    <w:rsid w:val="008575BE"/>
    <w:rsid w:val="00857EEC"/>
    <w:rsid w:val="00857FFD"/>
    <w:rsid w:val="0086009F"/>
    <w:rsid w:val="008601FB"/>
    <w:rsid w:val="008607B7"/>
    <w:rsid w:val="00861B25"/>
    <w:rsid w:val="00861E16"/>
    <w:rsid w:val="0086255F"/>
    <w:rsid w:val="00862C1C"/>
    <w:rsid w:val="008635A8"/>
    <w:rsid w:val="0086553B"/>
    <w:rsid w:val="0086743F"/>
    <w:rsid w:val="008702E5"/>
    <w:rsid w:val="008710F7"/>
    <w:rsid w:val="00871B2A"/>
    <w:rsid w:val="0087294C"/>
    <w:rsid w:val="00872FF9"/>
    <w:rsid w:val="0087387C"/>
    <w:rsid w:val="00873C00"/>
    <w:rsid w:val="00875DAD"/>
    <w:rsid w:val="00876B77"/>
    <w:rsid w:val="008813E5"/>
    <w:rsid w:val="00881CB3"/>
    <w:rsid w:val="00881D0B"/>
    <w:rsid w:val="00883450"/>
    <w:rsid w:val="008840E6"/>
    <w:rsid w:val="008866BE"/>
    <w:rsid w:val="00886D95"/>
    <w:rsid w:val="00887447"/>
    <w:rsid w:val="00887B9A"/>
    <w:rsid w:val="00891A99"/>
    <w:rsid w:val="00891C96"/>
    <w:rsid w:val="00893BFC"/>
    <w:rsid w:val="0089448B"/>
    <w:rsid w:val="00894620"/>
    <w:rsid w:val="008A273A"/>
    <w:rsid w:val="008A2EC6"/>
    <w:rsid w:val="008A4123"/>
    <w:rsid w:val="008A706E"/>
    <w:rsid w:val="008A7D4D"/>
    <w:rsid w:val="008B0A1B"/>
    <w:rsid w:val="008B267E"/>
    <w:rsid w:val="008B2B24"/>
    <w:rsid w:val="008B38D0"/>
    <w:rsid w:val="008B3ED9"/>
    <w:rsid w:val="008B4E62"/>
    <w:rsid w:val="008B5A2B"/>
    <w:rsid w:val="008B5F64"/>
    <w:rsid w:val="008B7A84"/>
    <w:rsid w:val="008C06D9"/>
    <w:rsid w:val="008C14D7"/>
    <w:rsid w:val="008C37E1"/>
    <w:rsid w:val="008C5806"/>
    <w:rsid w:val="008C6572"/>
    <w:rsid w:val="008C6F19"/>
    <w:rsid w:val="008C7EAD"/>
    <w:rsid w:val="008C7F09"/>
    <w:rsid w:val="008C7F6A"/>
    <w:rsid w:val="008D0199"/>
    <w:rsid w:val="008D0375"/>
    <w:rsid w:val="008D0439"/>
    <w:rsid w:val="008D0691"/>
    <w:rsid w:val="008D1091"/>
    <w:rsid w:val="008D2F46"/>
    <w:rsid w:val="008D2FAA"/>
    <w:rsid w:val="008D354D"/>
    <w:rsid w:val="008D37F4"/>
    <w:rsid w:val="008D59E3"/>
    <w:rsid w:val="008D611B"/>
    <w:rsid w:val="008D726E"/>
    <w:rsid w:val="008E010D"/>
    <w:rsid w:val="008E1964"/>
    <w:rsid w:val="008E2E60"/>
    <w:rsid w:val="008E3C50"/>
    <w:rsid w:val="008E3E61"/>
    <w:rsid w:val="008E3E67"/>
    <w:rsid w:val="008E539C"/>
    <w:rsid w:val="008F0113"/>
    <w:rsid w:val="008F1716"/>
    <w:rsid w:val="008F2525"/>
    <w:rsid w:val="008F2554"/>
    <w:rsid w:val="008F37D3"/>
    <w:rsid w:val="008F4181"/>
    <w:rsid w:val="008F7BA4"/>
    <w:rsid w:val="009009F0"/>
    <w:rsid w:val="0090349B"/>
    <w:rsid w:val="00903D3E"/>
    <w:rsid w:val="0090497A"/>
    <w:rsid w:val="0090596D"/>
    <w:rsid w:val="00905ABF"/>
    <w:rsid w:val="00910E09"/>
    <w:rsid w:val="00911D18"/>
    <w:rsid w:val="009126C5"/>
    <w:rsid w:val="00912A24"/>
    <w:rsid w:val="009136EA"/>
    <w:rsid w:val="00913E17"/>
    <w:rsid w:val="0091403E"/>
    <w:rsid w:val="0091659B"/>
    <w:rsid w:val="00916D04"/>
    <w:rsid w:val="00920707"/>
    <w:rsid w:val="0092075B"/>
    <w:rsid w:val="00920D6F"/>
    <w:rsid w:val="0092109B"/>
    <w:rsid w:val="0092116A"/>
    <w:rsid w:val="009255E8"/>
    <w:rsid w:val="00927274"/>
    <w:rsid w:val="009305CB"/>
    <w:rsid w:val="00930CC2"/>
    <w:rsid w:val="00931A81"/>
    <w:rsid w:val="00931F17"/>
    <w:rsid w:val="00933218"/>
    <w:rsid w:val="00935907"/>
    <w:rsid w:val="00936B3F"/>
    <w:rsid w:val="00940366"/>
    <w:rsid w:val="00940B92"/>
    <w:rsid w:val="00940C9F"/>
    <w:rsid w:val="0094451C"/>
    <w:rsid w:val="009453AD"/>
    <w:rsid w:val="009456F1"/>
    <w:rsid w:val="00945BA1"/>
    <w:rsid w:val="00947336"/>
    <w:rsid w:val="00947341"/>
    <w:rsid w:val="009511E3"/>
    <w:rsid w:val="00951A54"/>
    <w:rsid w:val="009520AA"/>
    <w:rsid w:val="00952CEF"/>
    <w:rsid w:val="00952F1F"/>
    <w:rsid w:val="009615D1"/>
    <w:rsid w:val="00962DBC"/>
    <w:rsid w:val="00962EDE"/>
    <w:rsid w:val="00963214"/>
    <w:rsid w:val="009674E1"/>
    <w:rsid w:val="00967AFC"/>
    <w:rsid w:val="00970127"/>
    <w:rsid w:val="00971775"/>
    <w:rsid w:val="00971E9E"/>
    <w:rsid w:val="0097213E"/>
    <w:rsid w:val="0097693A"/>
    <w:rsid w:val="0098079A"/>
    <w:rsid w:val="009816A6"/>
    <w:rsid w:val="00983A7B"/>
    <w:rsid w:val="00984E45"/>
    <w:rsid w:val="00985B45"/>
    <w:rsid w:val="00987985"/>
    <w:rsid w:val="0099258B"/>
    <w:rsid w:val="00992C1B"/>
    <w:rsid w:val="0099626A"/>
    <w:rsid w:val="00997423"/>
    <w:rsid w:val="009A14B2"/>
    <w:rsid w:val="009A2CC1"/>
    <w:rsid w:val="009A3ACF"/>
    <w:rsid w:val="009A41CE"/>
    <w:rsid w:val="009A44F5"/>
    <w:rsid w:val="009A45C5"/>
    <w:rsid w:val="009A6EE6"/>
    <w:rsid w:val="009A73F3"/>
    <w:rsid w:val="009A7531"/>
    <w:rsid w:val="009B0067"/>
    <w:rsid w:val="009B1588"/>
    <w:rsid w:val="009B21F8"/>
    <w:rsid w:val="009B3CEB"/>
    <w:rsid w:val="009B3E01"/>
    <w:rsid w:val="009B574A"/>
    <w:rsid w:val="009B60BF"/>
    <w:rsid w:val="009B6848"/>
    <w:rsid w:val="009B7178"/>
    <w:rsid w:val="009B7F60"/>
    <w:rsid w:val="009C1021"/>
    <w:rsid w:val="009C2785"/>
    <w:rsid w:val="009C369B"/>
    <w:rsid w:val="009C4D29"/>
    <w:rsid w:val="009D0807"/>
    <w:rsid w:val="009D1CD8"/>
    <w:rsid w:val="009D29BD"/>
    <w:rsid w:val="009D2BEC"/>
    <w:rsid w:val="009D2D4E"/>
    <w:rsid w:val="009D3BA1"/>
    <w:rsid w:val="009D45DD"/>
    <w:rsid w:val="009D586B"/>
    <w:rsid w:val="009D59A9"/>
    <w:rsid w:val="009D74BD"/>
    <w:rsid w:val="009D7782"/>
    <w:rsid w:val="009D7E8D"/>
    <w:rsid w:val="009E0123"/>
    <w:rsid w:val="009E1039"/>
    <w:rsid w:val="009E31F1"/>
    <w:rsid w:val="009E4951"/>
    <w:rsid w:val="009E5AFC"/>
    <w:rsid w:val="009E612A"/>
    <w:rsid w:val="009E62E0"/>
    <w:rsid w:val="009E7C73"/>
    <w:rsid w:val="009F127A"/>
    <w:rsid w:val="009F37FC"/>
    <w:rsid w:val="009F3DB6"/>
    <w:rsid w:val="009F4742"/>
    <w:rsid w:val="009F4A79"/>
    <w:rsid w:val="009F5397"/>
    <w:rsid w:val="009F607C"/>
    <w:rsid w:val="009F659C"/>
    <w:rsid w:val="009F69D6"/>
    <w:rsid w:val="00A015C1"/>
    <w:rsid w:val="00A01FAA"/>
    <w:rsid w:val="00A025BC"/>
    <w:rsid w:val="00A035CB"/>
    <w:rsid w:val="00A102C1"/>
    <w:rsid w:val="00A11797"/>
    <w:rsid w:val="00A11D53"/>
    <w:rsid w:val="00A12611"/>
    <w:rsid w:val="00A1330F"/>
    <w:rsid w:val="00A14299"/>
    <w:rsid w:val="00A152C0"/>
    <w:rsid w:val="00A168E5"/>
    <w:rsid w:val="00A17E0A"/>
    <w:rsid w:val="00A200CC"/>
    <w:rsid w:val="00A207E4"/>
    <w:rsid w:val="00A209FF"/>
    <w:rsid w:val="00A20B62"/>
    <w:rsid w:val="00A20C3C"/>
    <w:rsid w:val="00A21454"/>
    <w:rsid w:val="00A217D4"/>
    <w:rsid w:val="00A22621"/>
    <w:rsid w:val="00A226BC"/>
    <w:rsid w:val="00A232FE"/>
    <w:rsid w:val="00A2763B"/>
    <w:rsid w:val="00A27EDE"/>
    <w:rsid w:val="00A30253"/>
    <w:rsid w:val="00A32342"/>
    <w:rsid w:val="00A32D99"/>
    <w:rsid w:val="00A337D0"/>
    <w:rsid w:val="00A33C39"/>
    <w:rsid w:val="00A34ECE"/>
    <w:rsid w:val="00A34FAE"/>
    <w:rsid w:val="00A353C1"/>
    <w:rsid w:val="00A36AC3"/>
    <w:rsid w:val="00A40119"/>
    <w:rsid w:val="00A405F0"/>
    <w:rsid w:val="00A40C49"/>
    <w:rsid w:val="00A41B6A"/>
    <w:rsid w:val="00A42481"/>
    <w:rsid w:val="00A424B4"/>
    <w:rsid w:val="00A4278C"/>
    <w:rsid w:val="00A43797"/>
    <w:rsid w:val="00A43AA7"/>
    <w:rsid w:val="00A440CF"/>
    <w:rsid w:val="00A4412C"/>
    <w:rsid w:val="00A45CD2"/>
    <w:rsid w:val="00A46692"/>
    <w:rsid w:val="00A46D6E"/>
    <w:rsid w:val="00A479DB"/>
    <w:rsid w:val="00A50D20"/>
    <w:rsid w:val="00A525A4"/>
    <w:rsid w:val="00A528BC"/>
    <w:rsid w:val="00A53836"/>
    <w:rsid w:val="00A540FB"/>
    <w:rsid w:val="00A547EC"/>
    <w:rsid w:val="00A54CE0"/>
    <w:rsid w:val="00A55B39"/>
    <w:rsid w:val="00A5697A"/>
    <w:rsid w:val="00A574CA"/>
    <w:rsid w:val="00A60B25"/>
    <w:rsid w:val="00A60F9A"/>
    <w:rsid w:val="00A61F8F"/>
    <w:rsid w:val="00A63F74"/>
    <w:rsid w:val="00A65276"/>
    <w:rsid w:val="00A66048"/>
    <w:rsid w:val="00A704A5"/>
    <w:rsid w:val="00A7067A"/>
    <w:rsid w:val="00A70743"/>
    <w:rsid w:val="00A7088C"/>
    <w:rsid w:val="00A721B7"/>
    <w:rsid w:val="00A7291C"/>
    <w:rsid w:val="00A72CDF"/>
    <w:rsid w:val="00A73976"/>
    <w:rsid w:val="00A73ACE"/>
    <w:rsid w:val="00A74641"/>
    <w:rsid w:val="00A746BD"/>
    <w:rsid w:val="00A802BB"/>
    <w:rsid w:val="00A81BF3"/>
    <w:rsid w:val="00A840E2"/>
    <w:rsid w:val="00A855CB"/>
    <w:rsid w:val="00A85AB1"/>
    <w:rsid w:val="00A865AE"/>
    <w:rsid w:val="00A87F0A"/>
    <w:rsid w:val="00A9017F"/>
    <w:rsid w:val="00A917B5"/>
    <w:rsid w:val="00A9223D"/>
    <w:rsid w:val="00A92C1F"/>
    <w:rsid w:val="00A94EEB"/>
    <w:rsid w:val="00AA108A"/>
    <w:rsid w:val="00AA13CC"/>
    <w:rsid w:val="00AA21BF"/>
    <w:rsid w:val="00AA2AA2"/>
    <w:rsid w:val="00AA40F8"/>
    <w:rsid w:val="00AA4C79"/>
    <w:rsid w:val="00AA5F73"/>
    <w:rsid w:val="00AB16A0"/>
    <w:rsid w:val="00AB251B"/>
    <w:rsid w:val="00AB2C90"/>
    <w:rsid w:val="00AB3D19"/>
    <w:rsid w:val="00AB4AE2"/>
    <w:rsid w:val="00AB6B7D"/>
    <w:rsid w:val="00AB7110"/>
    <w:rsid w:val="00AC14D6"/>
    <w:rsid w:val="00AC2CA2"/>
    <w:rsid w:val="00AC51F7"/>
    <w:rsid w:val="00AC70DF"/>
    <w:rsid w:val="00AD0473"/>
    <w:rsid w:val="00AD1284"/>
    <w:rsid w:val="00AD2147"/>
    <w:rsid w:val="00AD2941"/>
    <w:rsid w:val="00AD3564"/>
    <w:rsid w:val="00AD3945"/>
    <w:rsid w:val="00AD57BB"/>
    <w:rsid w:val="00AD656B"/>
    <w:rsid w:val="00AD78C6"/>
    <w:rsid w:val="00AE1B91"/>
    <w:rsid w:val="00AE1DF6"/>
    <w:rsid w:val="00AE2FEC"/>
    <w:rsid w:val="00AE479D"/>
    <w:rsid w:val="00AE5EE3"/>
    <w:rsid w:val="00AE6718"/>
    <w:rsid w:val="00AE6D07"/>
    <w:rsid w:val="00AE6F06"/>
    <w:rsid w:val="00AF0CF1"/>
    <w:rsid w:val="00AF0F36"/>
    <w:rsid w:val="00AF20B9"/>
    <w:rsid w:val="00AF2389"/>
    <w:rsid w:val="00AF2CF5"/>
    <w:rsid w:val="00AF3542"/>
    <w:rsid w:val="00AF415B"/>
    <w:rsid w:val="00AF4796"/>
    <w:rsid w:val="00AF59C5"/>
    <w:rsid w:val="00AF5DA2"/>
    <w:rsid w:val="00AF5E47"/>
    <w:rsid w:val="00AF63B9"/>
    <w:rsid w:val="00B008F2"/>
    <w:rsid w:val="00B00ADC"/>
    <w:rsid w:val="00B015F4"/>
    <w:rsid w:val="00B03017"/>
    <w:rsid w:val="00B038C3"/>
    <w:rsid w:val="00B03C95"/>
    <w:rsid w:val="00B04735"/>
    <w:rsid w:val="00B04CD5"/>
    <w:rsid w:val="00B062AC"/>
    <w:rsid w:val="00B071E2"/>
    <w:rsid w:val="00B13AAE"/>
    <w:rsid w:val="00B14D12"/>
    <w:rsid w:val="00B176FD"/>
    <w:rsid w:val="00B17883"/>
    <w:rsid w:val="00B22CB0"/>
    <w:rsid w:val="00B23F60"/>
    <w:rsid w:val="00B252D3"/>
    <w:rsid w:val="00B25947"/>
    <w:rsid w:val="00B26825"/>
    <w:rsid w:val="00B26B56"/>
    <w:rsid w:val="00B26E6A"/>
    <w:rsid w:val="00B27106"/>
    <w:rsid w:val="00B27808"/>
    <w:rsid w:val="00B27F67"/>
    <w:rsid w:val="00B32561"/>
    <w:rsid w:val="00B34C39"/>
    <w:rsid w:val="00B34E83"/>
    <w:rsid w:val="00B36984"/>
    <w:rsid w:val="00B373D7"/>
    <w:rsid w:val="00B37C44"/>
    <w:rsid w:val="00B40BCB"/>
    <w:rsid w:val="00B43C94"/>
    <w:rsid w:val="00B44AD9"/>
    <w:rsid w:val="00B4580A"/>
    <w:rsid w:val="00B46210"/>
    <w:rsid w:val="00B465C5"/>
    <w:rsid w:val="00B466D8"/>
    <w:rsid w:val="00B46A99"/>
    <w:rsid w:val="00B47A3D"/>
    <w:rsid w:val="00B505E8"/>
    <w:rsid w:val="00B51919"/>
    <w:rsid w:val="00B51A29"/>
    <w:rsid w:val="00B5202C"/>
    <w:rsid w:val="00B5395B"/>
    <w:rsid w:val="00B53AE3"/>
    <w:rsid w:val="00B557CB"/>
    <w:rsid w:val="00B5656D"/>
    <w:rsid w:val="00B5679A"/>
    <w:rsid w:val="00B62844"/>
    <w:rsid w:val="00B66212"/>
    <w:rsid w:val="00B66796"/>
    <w:rsid w:val="00B66C62"/>
    <w:rsid w:val="00B70BBD"/>
    <w:rsid w:val="00B719B5"/>
    <w:rsid w:val="00B7412D"/>
    <w:rsid w:val="00B74F8E"/>
    <w:rsid w:val="00B7557D"/>
    <w:rsid w:val="00B755AC"/>
    <w:rsid w:val="00B76CF5"/>
    <w:rsid w:val="00B7774F"/>
    <w:rsid w:val="00B77A9F"/>
    <w:rsid w:val="00B77FC2"/>
    <w:rsid w:val="00B80173"/>
    <w:rsid w:val="00B82EA8"/>
    <w:rsid w:val="00B83D0D"/>
    <w:rsid w:val="00B83E63"/>
    <w:rsid w:val="00B8473C"/>
    <w:rsid w:val="00B857B5"/>
    <w:rsid w:val="00B85FD6"/>
    <w:rsid w:val="00B86D22"/>
    <w:rsid w:val="00B86E12"/>
    <w:rsid w:val="00B87D3F"/>
    <w:rsid w:val="00B9452A"/>
    <w:rsid w:val="00B94891"/>
    <w:rsid w:val="00B9546D"/>
    <w:rsid w:val="00B9563C"/>
    <w:rsid w:val="00BA1065"/>
    <w:rsid w:val="00BA15A2"/>
    <w:rsid w:val="00BA37DC"/>
    <w:rsid w:val="00BA3ADD"/>
    <w:rsid w:val="00BA48D8"/>
    <w:rsid w:val="00BA5E33"/>
    <w:rsid w:val="00BA7820"/>
    <w:rsid w:val="00BB073D"/>
    <w:rsid w:val="00BB1A23"/>
    <w:rsid w:val="00BB1D55"/>
    <w:rsid w:val="00BB2A27"/>
    <w:rsid w:val="00BB5D45"/>
    <w:rsid w:val="00BB6382"/>
    <w:rsid w:val="00BB74A6"/>
    <w:rsid w:val="00BC0484"/>
    <w:rsid w:val="00BC1411"/>
    <w:rsid w:val="00BC20AC"/>
    <w:rsid w:val="00BC29B6"/>
    <w:rsid w:val="00BC3E2E"/>
    <w:rsid w:val="00BC4A4F"/>
    <w:rsid w:val="00BC4C28"/>
    <w:rsid w:val="00BC51CA"/>
    <w:rsid w:val="00BC5F61"/>
    <w:rsid w:val="00BC5FAC"/>
    <w:rsid w:val="00BD1E53"/>
    <w:rsid w:val="00BD22AE"/>
    <w:rsid w:val="00BD466F"/>
    <w:rsid w:val="00BD5184"/>
    <w:rsid w:val="00BD6966"/>
    <w:rsid w:val="00BE085B"/>
    <w:rsid w:val="00BE4E1C"/>
    <w:rsid w:val="00BE4E52"/>
    <w:rsid w:val="00BE5666"/>
    <w:rsid w:val="00BE5C46"/>
    <w:rsid w:val="00BE644E"/>
    <w:rsid w:val="00BE7526"/>
    <w:rsid w:val="00BE7AF1"/>
    <w:rsid w:val="00BE7EA6"/>
    <w:rsid w:val="00BF056C"/>
    <w:rsid w:val="00BF1041"/>
    <w:rsid w:val="00BF143F"/>
    <w:rsid w:val="00BF2D2E"/>
    <w:rsid w:val="00BF2D72"/>
    <w:rsid w:val="00BF30F2"/>
    <w:rsid w:val="00BF3D59"/>
    <w:rsid w:val="00BF4FF9"/>
    <w:rsid w:val="00BF53E0"/>
    <w:rsid w:val="00BF6E48"/>
    <w:rsid w:val="00BF74F0"/>
    <w:rsid w:val="00BF7C4B"/>
    <w:rsid w:val="00C00B65"/>
    <w:rsid w:val="00C02A34"/>
    <w:rsid w:val="00C02BC6"/>
    <w:rsid w:val="00C02DA1"/>
    <w:rsid w:val="00C04050"/>
    <w:rsid w:val="00C063BF"/>
    <w:rsid w:val="00C0699E"/>
    <w:rsid w:val="00C07193"/>
    <w:rsid w:val="00C07709"/>
    <w:rsid w:val="00C12DFC"/>
    <w:rsid w:val="00C13DC2"/>
    <w:rsid w:val="00C151D1"/>
    <w:rsid w:val="00C164A3"/>
    <w:rsid w:val="00C16FBE"/>
    <w:rsid w:val="00C20357"/>
    <w:rsid w:val="00C20D57"/>
    <w:rsid w:val="00C21570"/>
    <w:rsid w:val="00C22656"/>
    <w:rsid w:val="00C2270F"/>
    <w:rsid w:val="00C22A21"/>
    <w:rsid w:val="00C230A2"/>
    <w:rsid w:val="00C232DD"/>
    <w:rsid w:val="00C27947"/>
    <w:rsid w:val="00C27B7B"/>
    <w:rsid w:val="00C3134E"/>
    <w:rsid w:val="00C31E91"/>
    <w:rsid w:val="00C32E8E"/>
    <w:rsid w:val="00C3576B"/>
    <w:rsid w:val="00C36C83"/>
    <w:rsid w:val="00C373E1"/>
    <w:rsid w:val="00C41B35"/>
    <w:rsid w:val="00C426D9"/>
    <w:rsid w:val="00C43922"/>
    <w:rsid w:val="00C44567"/>
    <w:rsid w:val="00C44B36"/>
    <w:rsid w:val="00C464D6"/>
    <w:rsid w:val="00C5146C"/>
    <w:rsid w:val="00C520F2"/>
    <w:rsid w:val="00C5342C"/>
    <w:rsid w:val="00C539B8"/>
    <w:rsid w:val="00C53D7D"/>
    <w:rsid w:val="00C55E81"/>
    <w:rsid w:val="00C56E00"/>
    <w:rsid w:val="00C6041C"/>
    <w:rsid w:val="00C61626"/>
    <w:rsid w:val="00C62CDD"/>
    <w:rsid w:val="00C63313"/>
    <w:rsid w:val="00C6364E"/>
    <w:rsid w:val="00C66625"/>
    <w:rsid w:val="00C71B94"/>
    <w:rsid w:val="00C72673"/>
    <w:rsid w:val="00C72E24"/>
    <w:rsid w:val="00C73C9E"/>
    <w:rsid w:val="00C7449B"/>
    <w:rsid w:val="00C76C36"/>
    <w:rsid w:val="00C76CA2"/>
    <w:rsid w:val="00C775D9"/>
    <w:rsid w:val="00C776BD"/>
    <w:rsid w:val="00C77A82"/>
    <w:rsid w:val="00C80FB5"/>
    <w:rsid w:val="00C82BD3"/>
    <w:rsid w:val="00C833A9"/>
    <w:rsid w:val="00C8513D"/>
    <w:rsid w:val="00C858F3"/>
    <w:rsid w:val="00C86D56"/>
    <w:rsid w:val="00C879CC"/>
    <w:rsid w:val="00C87B9D"/>
    <w:rsid w:val="00C944B7"/>
    <w:rsid w:val="00C94E0B"/>
    <w:rsid w:val="00C94F64"/>
    <w:rsid w:val="00C951C8"/>
    <w:rsid w:val="00CA114F"/>
    <w:rsid w:val="00CA1D43"/>
    <w:rsid w:val="00CA4730"/>
    <w:rsid w:val="00CB228A"/>
    <w:rsid w:val="00CB2531"/>
    <w:rsid w:val="00CB2F7F"/>
    <w:rsid w:val="00CB31AA"/>
    <w:rsid w:val="00CB389B"/>
    <w:rsid w:val="00CB3B0F"/>
    <w:rsid w:val="00CB5C6F"/>
    <w:rsid w:val="00CC0868"/>
    <w:rsid w:val="00CC1F07"/>
    <w:rsid w:val="00CC2B35"/>
    <w:rsid w:val="00CC578C"/>
    <w:rsid w:val="00CC5C6E"/>
    <w:rsid w:val="00CD0FCD"/>
    <w:rsid w:val="00CD1FFD"/>
    <w:rsid w:val="00CD37C6"/>
    <w:rsid w:val="00CD4E71"/>
    <w:rsid w:val="00CD50B8"/>
    <w:rsid w:val="00CD556D"/>
    <w:rsid w:val="00CD6DF7"/>
    <w:rsid w:val="00CE217A"/>
    <w:rsid w:val="00CE2B46"/>
    <w:rsid w:val="00CE33AB"/>
    <w:rsid w:val="00CE4F4D"/>
    <w:rsid w:val="00CF08DE"/>
    <w:rsid w:val="00CF0A75"/>
    <w:rsid w:val="00CF2893"/>
    <w:rsid w:val="00CF3715"/>
    <w:rsid w:val="00CF3CCD"/>
    <w:rsid w:val="00CF4186"/>
    <w:rsid w:val="00CF57DE"/>
    <w:rsid w:val="00CF5BD9"/>
    <w:rsid w:val="00CF603D"/>
    <w:rsid w:val="00CF672F"/>
    <w:rsid w:val="00CF6891"/>
    <w:rsid w:val="00CF78B0"/>
    <w:rsid w:val="00CF7982"/>
    <w:rsid w:val="00D05EF5"/>
    <w:rsid w:val="00D0690D"/>
    <w:rsid w:val="00D07317"/>
    <w:rsid w:val="00D110C0"/>
    <w:rsid w:val="00D114E0"/>
    <w:rsid w:val="00D11F4D"/>
    <w:rsid w:val="00D1272D"/>
    <w:rsid w:val="00D1301B"/>
    <w:rsid w:val="00D13E00"/>
    <w:rsid w:val="00D1424C"/>
    <w:rsid w:val="00D1498D"/>
    <w:rsid w:val="00D15374"/>
    <w:rsid w:val="00D1610B"/>
    <w:rsid w:val="00D16C54"/>
    <w:rsid w:val="00D212FC"/>
    <w:rsid w:val="00D22920"/>
    <w:rsid w:val="00D23B15"/>
    <w:rsid w:val="00D245D0"/>
    <w:rsid w:val="00D318E7"/>
    <w:rsid w:val="00D32555"/>
    <w:rsid w:val="00D34B57"/>
    <w:rsid w:val="00D36006"/>
    <w:rsid w:val="00D36B26"/>
    <w:rsid w:val="00D37DD5"/>
    <w:rsid w:val="00D40352"/>
    <w:rsid w:val="00D409AF"/>
    <w:rsid w:val="00D40D5F"/>
    <w:rsid w:val="00D44087"/>
    <w:rsid w:val="00D44BF5"/>
    <w:rsid w:val="00D44DC8"/>
    <w:rsid w:val="00D45835"/>
    <w:rsid w:val="00D47201"/>
    <w:rsid w:val="00D50BB5"/>
    <w:rsid w:val="00D51352"/>
    <w:rsid w:val="00D516E4"/>
    <w:rsid w:val="00D521EB"/>
    <w:rsid w:val="00D52C55"/>
    <w:rsid w:val="00D54D15"/>
    <w:rsid w:val="00D550A0"/>
    <w:rsid w:val="00D55276"/>
    <w:rsid w:val="00D57AAC"/>
    <w:rsid w:val="00D60EC9"/>
    <w:rsid w:val="00D60FAB"/>
    <w:rsid w:val="00D613D7"/>
    <w:rsid w:val="00D61C53"/>
    <w:rsid w:val="00D61D35"/>
    <w:rsid w:val="00D6217A"/>
    <w:rsid w:val="00D6230E"/>
    <w:rsid w:val="00D62688"/>
    <w:rsid w:val="00D6292B"/>
    <w:rsid w:val="00D63EEF"/>
    <w:rsid w:val="00D6482A"/>
    <w:rsid w:val="00D64C00"/>
    <w:rsid w:val="00D64FC9"/>
    <w:rsid w:val="00D650DF"/>
    <w:rsid w:val="00D6564E"/>
    <w:rsid w:val="00D66150"/>
    <w:rsid w:val="00D703E5"/>
    <w:rsid w:val="00D72A60"/>
    <w:rsid w:val="00D743BA"/>
    <w:rsid w:val="00D745D1"/>
    <w:rsid w:val="00D80749"/>
    <w:rsid w:val="00D809DE"/>
    <w:rsid w:val="00D81C17"/>
    <w:rsid w:val="00D82104"/>
    <w:rsid w:val="00D822D5"/>
    <w:rsid w:val="00D833CA"/>
    <w:rsid w:val="00D84427"/>
    <w:rsid w:val="00D854A1"/>
    <w:rsid w:val="00D85F34"/>
    <w:rsid w:val="00D863C9"/>
    <w:rsid w:val="00D91D51"/>
    <w:rsid w:val="00D92CE3"/>
    <w:rsid w:val="00D9405C"/>
    <w:rsid w:val="00D966D3"/>
    <w:rsid w:val="00D96C27"/>
    <w:rsid w:val="00D97B27"/>
    <w:rsid w:val="00D97C8E"/>
    <w:rsid w:val="00DA0F5D"/>
    <w:rsid w:val="00DA1032"/>
    <w:rsid w:val="00DA18C5"/>
    <w:rsid w:val="00DA46B6"/>
    <w:rsid w:val="00DA7BBE"/>
    <w:rsid w:val="00DB0267"/>
    <w:rsid w:val="00DB09B2"/>
    <w:rsid w:val="00DB1903"/>
    <w:rsid w:val="00DB221B"/>
    <w:rsid w:val="00DB35A5"/>
    <w:rsid w:val="00DB3EAB"/>
    <w:rsid w:val="00DB41E7"/>
    <w:rsid w:val="00DB4B61"/>
    <w:rsid w:val="00DB5235"/>
    <w:rsid w:val="00DB58DF"/>
    <w:rsid w:val="00DB74D7"/>
    <w:rsid w:val="00DC0707"/>
    <w:rsid w:val="00DC15D4"/>
    <w:rsid w:val="00DC24DC"/>
    <w:rsid w:val="00DC268C"/>
    <w:rsid w:val="00DC2B83"/>
    <w:rsid w:val="00DC323D"/>
    <w:rsid w:val="00DC53CB"/>
    <w:rsid w:val="00DD072C"/>
    <w:rsid w:val="00DD0784"/>
    <w:rsid w:val="00DD1886"/>
    <w:rsid w:val="00DD6426"/>
    <w:rsid w:val="00DD7B60"/>
    <w:rsid w:val="00DD7FF3"/>
    <w:rsid w:val="00DE0CDB"/>
    <w:rsid w:val="00DE0D6E"/>
    <w:rsid w:val="00DE0F59"/>
    <w:rsid w:val="00DE158C"/>
    <w:rsid w:val="00DE2214"/>
    <w:rsid w:val="00DE28D5"/>
    <w:rsid w:val="00DE48D6"/>
    <w:rsid w:val="00DE4BF8"/>
    <w:rsid w:val="00DE6791"/>
    <w:rsid w:val="00DE6AF0"/>
    <w:rsid w:val="00DF025E"/>
    <w:rsid w:val="00DF1282"/>
    <w:rsid w:val="00DF1723"/>
    <w:rsid w:val="00DF1BAB"/>
    <w:rsid w:val="00DF208F"/>
    <w:rsid w:val="00DF4C26"/>
    <w:rsid w:val="00DF51C8"/>
    <w:rsid w:val="00DF51FF"/>
    <w:rsid w:val="00DF612F"/>
    <w:rsid w:val="00E001C9"/>
    <w:rsid w:val="00E00E40"/>
    <w:rsid w:val="00E00F23"/>
    <w:rsid w:val="00E01343"/>
    <w:rsid w:val="00E021FC"/>
    <w:rsid w:val="00E024C2"/>
    <w:rsid w:val="00E052DD"/>
    <w:rsid w:val="00E05E80"/>
    <w:rsid w:val="00E07C36"/>
    <w:rsid w:val="00E110C2"/>
    <w:rsid w:val="00E12C98"/>
    <w:rsid w:val="00E1304A"/>
    <w:rsid w:val="00E138B2"/>
    <w:rsid w:val="00E13DCC"/>
    <w:rsid w:val="00E14820"/>
    <w:rsid w:val="00E157C4"/>
    <w:rsid w:val="00E16B31"/>
    <w:rsid w:val="00E17173"/>
    <w:rsid w:val="00E17A57"/>
    <w:rsid w:val="00E20513"/>
    <w:rsid w:val="00E22734"/>
    <w:rsid w:val="00E22D26"/>
    <w:rsid w:val="00E22E4F"/>
    <w:rsid w:val="00E23A45"/>
    <w:rsid w:val="00E24052"/>
    <w:rsid w:val="00E263FC"/>
    <w:rsid w:val="00E271CA"/>
    <w:rsid w:val="00E315AA"/>
    <w:rsid w:val="00E33732"/>
    <w:rsid w:val="00E33C72"/>
    <w:rsid w:val="00E33D17"/>
    <w:rsid w:val="00E33D8D"/>
    <w:rsid w:val="00E3450A"/>
    <w:rsid w:val="00E34631"/>
    <w:rsid w:val="00E34DCF"/>
    <w:rsid w:val="00E35141"/>
    <w:rsid w:val="00E353E7"/>
    <w:rsid w:val="00E35444"/>
    <w:rsid w:val="00E37C15"/>
    <w:rsid w:val="00E37F10"/>
    <w:rsid w:val="00E40921"/>
    <w:rsid w:val="00E40A27"/>
    <w:rsid w:val="00E41600"/>
    <w:rsid w:val="00E418AF"/>
    <w:rsid w:val="00E43DEA"/>
    <w:rsid w:val="00E463D1"/>
    <w:rsid w:val="00E46FDB"/>
    <w:rsid w:val="00E477AE"/>
    <w:rsid w:val="00E53E70"/>
    <w:rsid w:val="00E53EFB"/>
    <w:rsid w:val="00E55C43"/>
    <w:rsid w:val="00E57CA5"/>
    <w:rsid w:val="00E6031E"/>
    <w:rsid w:val="00E6039F"/>
    <w:rsid w:val="00E60554"/>
    <w:rsid w:val="00E608C3"/>
    <w:rsid w:val="00E62AFA"/>
    <w:rsid w:val="00E62D5C"/>
    <w:rsid w:val="00E64A0A"/>
    <w:rsid w:val="00E66115"/>
    <w:rsid w:val="00E6649D"/>
    <w:rsid w:val="00E679F2"/>
    <w:rsid w:val="00E67EAC"/>
    <w:rsid w:val="00E67F8C"/>
    <w:rsid w:val="00E7007C"/>
    <w:rsid w:val="00E7292D"/>
    <w:rsid w:val="00E729D2"/>
    <w:rsid w:val="00E72B86"/>
    <w:rsid w:val="00E72E90"/>
    <w:rsid w:val="00E73350"/>
    <w:rsid w:val="00E740B9"/>
    <w:rsid w:val="00E74C5E"/>
    <w:rsid w:val="00E76910"/>
    <w:rsid w:val="00E8254A"/>
    <w:rsid w:val="00E8316B"/>
    <w:rsid w:val="00E83902"/>
    <w:rsid w:val="00E85B2A"/>
    <w:rsid w:val="00E86632"/>
    <w:rsid w:val="00E86D11"/>
    <w:rsid w:val="00E87063"/>
    <w:rsid w:val="00E913C3"/>
    <w:rsid w:val="00E914EB"/>
    <w:rsid w:val="00E93510"/>
    <w:rsid w:val="00E93CA5"/>
    <w:rsid w:val="00E93DE1"/>
    <w:rsid w:val="00E94D7F"/>
    <w:rsid w:val="00E95922"/>
    <w:rsid w:val="00E95B60"/>
    <w:rsid w:val="00E96ED1"/>
    <w:rsid w:val="00E96FE2"/>
    <w:rsid w:val="00EA0BE1"/>
    <w:rsid w:val="00EA0D0F"/>
    <w:rsid w:val="00EA1534"/>
    <w:rsid w:val="00EA1854"/>
    <w:rsid w:val="00EA238A"/>
    <w:rsid w:val="00EA438F"/>
    <w:rsid w:val="00EA5453"/>
    <w:rsid w:val="00EA6B3B"/>
    <w:rsid w:val="00EB1808"/>
    <w:rsid w:val="00EB23D1"/>
    <w:rsid w:val="00EB2C63"/>
    <w:rsid w:val="00EB3E8C"/>
    <w:rsid w:val="00EB4B15"/>
    <w:rsid w:val="00EB6D4F"/>
    <w:rsid w:val="00EC3A3C"/>
    <w:rsid w:val="00EC5303"/>
    <w:rsid w:val="00EC7C0C"/>
    <w:rsid w:val="00ED2B90"/>
    <w:rsid w:val="00ED5F20"/>
    <w:rsid w:val="00ED616D"/>
    <w:rsid w:val="00ED6802"/>
    <w:rsid w:val="00ED728F"/>
    <w:rsid w:val="00ED7A4F"/>
    <w:rsid w:val="00EE2BB2"/>
    <w:rsid w:val="00EE37E2"/>
    <w:rsid w:val="00EE4ADF"/>
    <w:rsid w:val="00EE4DF4"/>
    <w:rsid w:val="00EE522D"/>
    <w:rsid w:val="00EE548A"/>
    <w:rsid w:val="00EE5957"/>
    <w:rsid w:val="00EE59E7"/>
    <w:rsid w:val="00EE5CAF"/>
    <w:rsid w:val="00EE6077"/>
    <w:rsid w:val="00EE64AA"/>
    <w:rsid w:val="00EE6946"/>
    <w:rsid w:val="00EE7AAF"/>
    <w:rsid w:val="00EF053E"/>
    <w:rsid w:val="00EF0663"/>
    <w:rsid w:val="00EF0E37"/>
    <w:rsid w:val="00EF24D3"/>
    <w:rsid w:val="00EF34EA"/>
    <w:rsid w:val="00EF3571"/>
    <w:rsid w:val="00EF39D0"/>
    <w:rsid w:val="00EF3A79"/>
    <w:rsid w:val="00EF50FB"/>
    <w:rsid w:val="00EF64DF"/>
    <w:rsid w:val="00EF6C65"/>
    <w:rsid w:val="00EF7A6C"/>
    <w:rsid w:val="00F00D2C"/>
    <w:rsid w:val="00F01095"/>
    <w:rsid w:val="00F01267"/>
    <w:rsid w:val="00F012DC"/>
    <w:rsid w:val="00F0181E"/>
    <w:rsid w:val="00F02873"/>
    <w:rsid w:val="00F033A9"/>
    <w:rsid w:val="00F039CE"/>
    <w:rsid w:val="00F03FD6"/>
    <w:rsid w:val="00F044E2"/>
    <w:rsid w:val="00F0455F"/>
    <w:rsid w:val="00F04991"/>
    <w:rsid w:val="00F0532E"/>
    <w:rsid w:val="00F056C7"/>
    <w:rsid w:val="00F05C35"/>
    <w:rsid w:val="00F06093"/>
    <w:rsid w:val="00F0745C"/>
    <w:rsid w:val="00F078BE"/>
    <w:rsid w:val="00F1059C"/>
    <w:rsid w:val="00F11572"/>
    <w:rsid w:val="00F118FD"/>
    <w:rsid w:val="00F119C0"/>
    <w:rsid w:val="00F11D7F"/>
    <w:rsid w:val="00F124D8"/>
    <w:rsid w:val="00F13D64"/>
    <w:rsid w:val="00F14F64"/>
    <w:rsid w:val="00F17E31"/>
    <w:rsid w:val="00F2052B"/>
    <w:rsid w:val="00F20534"/>
    <w:rsid w:val="00F20BBA"/>
    <w:rsid w:val="00F21955"/>
    <w:rsid w:val="00F220F9"/>
    <w:rsid w:val="00F23067"/>
    <w:rsid w:val="00F23975"/>
    <w:rsid w:val="00F23EBD"/>
    <w:rsid w:val="00F25DFA"/>
    <w:rsid w:val="00F2653F"/>
    <w:rsid w:val="00F271F8"/>
    <w:rsid w:val="00F277C8"/>
    <w:rsid w:val="00F277D0"/>
    <w:rsid w:val="00F277E6"/>
    <w:rsid w:val="00F27D16"/>
    <w:rsid w:val="00F30CD4"/>
    <w:rsid w:val="00F31F5B"/>
    <w:rsid w:val="00F3229C"/>
    <w:rsid w:val="00F32513"/>
    <w:rsid w:val="00F329E6"/>
    <w:rsid w:val="00F3305D"/>
    <w:rsid w:val="00F33726"/>
    <w:rsid w:val="00F34A1C"/>
    <w:rsid w:val="00F34BCA"/>
    <w:rsid w:val="00F353B0"/>
    <w:rsid w:val="00F36F51"/>
    <w:rsid w:val="00F378A1"/>
    <w:rsid w:val="00F4013C"/>
    <w:rsid w:val="00F4138C"/>
    <w:rsid w:val="00F42CBC"/>
    <w:rsid w:val="00F42DB3"/>
    <w:rsid w:val="00F435CC"/>
    <w:rsid w:val="00F44F56"/>
    <w:rsid w:val="00F51C6F"/>
    <w:rsid w:val="00F52341"/>
    <w:rsid w:val="00F52A17"/>
    <w:rsid w:val="00F52EB6"/>
    <w:rsid w:val="00F53D0E"/>
    <w:rsid w:val="00F55F6F"/>
    <w:rsid w:val="00F55FD7"/>
    <w:rsid w:val="00F56A48"/>
    <w:rsid w:val="00F56F25"/>
    <w:rsid w:val="00F57F90"/>
    <w:rsid w:val="00F60EB8"/>
    <w:rsid w:val="00F6141B"/>
    <w:rsid w:val="00F622BE"/>
    <w:rsid w:val="00F625AE"/>
    <w:rsid w:val="00F63851"/>
    <w:rsid w:val="00F6394C"/>
    <w:rsid w:val="00F63E34"/>
    <w:rsid w:val="00F64D67"/>
    <w:rsid w:val="00F6504C"/>
    <w:rsid w:val="00F654A2"/>
    <w:rsid w:val="00F655FC"/>
    <w:rsid w:val="00F66E9D"/>
    <w:rsid w:val="00F6761C"/>
    <w:rsid w:val="00F7162D"/>
    <w:rsid w:val="00F716D3"/>
    <w:rsid w:val="00F72709"/>
    <w:rsid w:val="00F730BC"/>
    <w:rsid w:val="00F730C5"/>
    <w:rsid w:val="00F73360"/>
    <w:rsid w:val="00F7755C"/>
    <w:rsid w:val="00F77A06"/>
    <w:rsid w:val="00F81B13"/>
    <w:rsid w:val="00F81D74"/>
    <w:rsid w:val="00F82CD0"/>
    <w:rsid w:val="00F83A3E"/>
    <w:rsid w:val="00F8449D"/>
    <w:rsid w:val="00F86DB4"/>
    <w:rsid w:val="00F86EDB"/>
    <w:rsid w:val="00F86FBC"/>
    <w:rsid w:val="00F875B9"/>
    <w:rsid w:val="00F87F5F"/>
    <w:rsid w:val="00F91248"/>
    <w:rsid w:val="00F91DB5"/>
    <w:rsid w:val="00F9233C"/>
    <w:rsid w:val="00F945F0"/>
    <w:rsid w:val="00F94DD8"/>
    <w:rsid w:val="00F963E3"/>
    <w:rsid w:val="00FA156A"/>
    <w:rsid w:val="00FA4DAE"/>
    <w:rsid w:val="00FA5C62"/>
    <w:rsid w:val="00FA7704"/>
    <w:rsid w:val="00FA7C7C"/>
    <w:rsid w:val="00FB07EF"/>
    <w:rsid w:val="00FB24A7"/>
    <w:rsid w:val="00FB52CE"/>
    <w:rsid w:val="00FB5CC9"/>
    <w:rsid w:val="00FB624E"/>
    <w:rsid w:val="00FB66C8"/>
    <w:rsid w:val="00FB6925"/>
    <w:rsid w:val="00FB7158"/>
    <w:rsid w:val="00FB79AD"/>
    <w:rsid w:val="00FB7EAB"/>
    <w:rsid w:val="00FC0097"/>
    <w:rsid w:val="00FC1559"/>
    <w:rsid w:val="00FC1A7F"/>
    <w:rsid w:val="00FC232E"/>
    <w:rsid w:val="00FC3379"/>
    <w:rsid w:val="00FC3A1C"/>
    <w:rsid w:val="00FC63A4"/>
    <w:rsid w:val="00FC7B93"/>
    <w:rsid w:val="00FD174D"/>
    <w:rsid w:val="00FD2342"/>
    <w:rsid w:val="00FD2B5A"/>
    <w:rsid w:val="00FD36D3"/>
    <w:rsid w:val="00FD3B3A"/>
    <w:rsid w:val="00FD4BF0"/>
    <w:rsid w:val="00FD4C44"/>
    <w:rsid w:val="00FD631C"/>
    <w:rsid w:val="00FD6B82"/>
    <w:rsid w:val="00FD709C"/>
    <w:rsid w:val="00FD78B5"/>
    <w:rsid w:val="00FD79A9"/>
    <w:rsid w:val="00FD7E54"/>
    <w:rsid w:val="00FE0A64"/>
    <w:rsid w:val="00FE14BC"/>
    <w:rsid w:val="00FE1F9F"/>
    <w:rsid w:val="00FE2892"/>
    <w:rsid w:val="00FE3643"/>
    <w:rsid w:val="00FE387F"/>
    <w:rsid w:val="00FE3A70"/>
    <w:rsid w:val="00FE3E7E"/>
    <w:rsid w:val="00FE511F"/>
    <w:rsid w:val="00FE6D03"/>
    <w:rsid w:val="00FE777E"/>
    <w:rsid w:val="00FF0905"/>
    <w:rsid w:val="00FF4357"/>
    <w:rsid w:val="00FF56F6"/>
    <w:rsid w:val="00FF5B28"/>
    <w:rsid w:val="00FF6B67"/>
    <w:rsid w:val="00FF6C02"/>
    <w:rsid w:val="00FF77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D1828"/>
  <w15:docId w15:val="{4291BC52-090B-4D87-9312-C47E6DF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rial"/>
        <w:color w:val="37424A"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19"/>
    <w:lsdException w:name="Intense Reference" w:uiPriority="19"/>
    <w:lsdException w:name="Book Title" w:uiPriority="19"/>
    <w:lsdException w:name="Bibliography" w:semiHidden="1" w:uiPriority="1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5 Normal"/>
    <w:qFormat/>
    <w:rsid w:val="009D7E8D"/>
    <w:pPr>
      <w:spacing w:before="120" w:after="120" w:line="264" w:lineRule="auto"/>
      <w:jc w:val="both"/>
    </w:pPr>
    <w:rPr>
      <w:rFonts w:ascii="ITC Avant Garde" w:hAnsi="ITC Avant Garde"/>
      <w:color w:val="auto"/>
      <w:lang w:val="es-ES_tradnl"/>
    </w:rPr>
  </w:style>
  <w:style w:type="paragraph" w:styleId="Ttulo1">
    <w:name w:val="heading 1"/>
    <w:aliases w:val="1 Título Doc"/>
    <w:basedOn w:val="SecHeadNonToc"/>
    <w:next w:val="Normal"/>
    <w:link w:val="Ttulo1Car"/>
    <w:autoRedefine/>
    <w:uiPriority w:val="9"/>
    <w:qFormat/>
    <w:rsid w:val="00796CA6"/>
    <w:pPr>
      <w:keepLines/>
      <w:spacing w:before="240" w:line="276" w:lineRule="auto"/>
      <w:jc w:val="both"/>
      <w:outlineLvl w:val="0"/>
    </w:pPr>
    <w:rPr>
      <w:rFonts w:ascii="ITC Avant Garde" w:hAnsi="ITC Avant Garde" w:cs="Arial"/>
      <w:b/>
      <w:color w:val="auto"/>
      <w:sz w:val="24"/>
      <w:szCs w:val="24"/>
    </w:rPr>
  </w:style>
  <w:style w:type="paragraph" w:styleId="Ttulo2">
    <w:name w:val="heading 2"/>
    <w:aliases w:val="2 Título Sección"/>
    <w:basedOn w:val="ExecSumSubHead"/>
    <w:next w:val="Normal"/>
    <w:link w:val="Ttulo2Car"/>
    <w:autoRedefine/>
    <w:uiPriority w:val="9"/>
    <w:qFormat/>
    <w:rsid w:val="00796CA6"/>
    <w:pPr>
      <w:keepLines/>
      <w:spacing w:before="40" w:line="276" w:lineRule="auto"/>
      <w:jc w:val="center"/>
      <w:outlineLvl w:val="1"/>
    </w:pPr>
    <w:rPr>
      <w:rFonts w:ascii="ITC Avant Garde" w:eastAsiaTheme="majorEastAsia" w:hAnsi="ITC Avant Garde" w:cstheme="majorBidi"/>
      <w:b/>
      <w:color w:val="37424A" w:themeColor="text1"/>
      <w:sz w:val="22"/>
      <w:szCs w:val="16"/>
      <w:lang w:val="es-MX"/>
    </w:rPr>
  </w:style>
  <w:style w:type="paragraph" w:styleId="Ttulo3">
    <w:name w:val="heading 3"/>
    <w:aliases w:val="3 Subtítulo"/>
    <w:next w:val="Normal"/>
    <w:link w:val="Ttulo3Car"/>
    <w:autoRedefine/>
    <w:uiPriority w:val="9"/>
    <w:qFormat/>
    <w:rsid w:val="003C0212"/>
    <w:pPr>
      <w:numPr>
        <w:ilvl w:val="2"/>
      </w:numPr>
      <w:spacing w:before="160"/>
      <w:jc w:val="center"/>
      <w:outlineLvl w:val="2"/>
    </w:pPr>
    <w:rPr>
      <w:rFonts w:ascii="ITC Avant Garde" w:hAnsi="ITC Avant Garde"/>
      <w:b/>
      <w:color w:val="auto"/>
      <w:szCs w:val="14"/>
      <w:lang w:val="es-ES_tradnl"/>
    </w:rPr>
  </w:style>
  <w:style w:type="paragraph" w:styleId="Ttulo4">
    <w:name w:val="heading 4"/>
    <w:aliases w:val="4 Separador"/>
    <w:basedOn w:val="Ttulo3"/>
    <w:next w:val="Normal"/>
    <w:link w:val="Ttulo4Car"/>
    <w:autoRedefine/>
    <w:uiPriority w:val="1"/>
    <w:qFormat/>
    <w:rsid w:val="00495F3D"/>
    <w:pPr>
      <w:numPr>
        <w:ilvl w:val="0"/>
      </w:numPr>
      <w:outlineLvl w:val="3"/>
    </w:pPr>
    <w:rPr>
      <w:b w:val="0"/>
      <w:i/>
    </w:rPr>
  </w:style>
  <w:style w:type="paragraph" w:styleId="Ttulo5">
    <w:name w:val="heading 5"/>
    <w:basedOn w:val="Normal"/>
    <w:next w:val="Normal"/>
    <w:link w:val="Ttulo5Car"/>
    <w:uiPriority w:val="19"/>
    <w:semiHidden/>
    <w:qFormat/>
    <w:rsid w:val="00A865AE"/>
    <w:pPr>
      <w:keepNext/>
      <w:keepLines/>
      <w:spacing w:before="200"/>
      <w:outlineLvl w:val="4"/>
    </w:pPr>
    <w:rPr>
      <w:rFonts w:asciiTheme="majorHAnsi" w:eastAsiaTheme="majorEastAsia" w:hAnsiTheme="majorHAnsi" w:cstheme="majorBidi"/>
    </w:rPr>
  </w:style>
  <w:style w:type="paragraph" w:styleId="Ttulo6">
    <w:name w:val="heading 6"/>
    <w:basedOn w:val="Normal"/>
    <w:next w:val="Normal"/>
    <w:link w:val="Ttulo6Car"/>
    <w:uiPriority w:val="19"/>
    <w:semiHidden/>
    <w:qFormat/>
    <w:rsid w:val="00A865AE"/>
    <w:pPr>
      <w:keepNext/>
      <w:keepLines/>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19"/>
    <w:semiHidden/>
    <w:qFormat/>
    <w:rsid w:val="00A865AE"/>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uiPriority w:val="19"/>
    <w:semiHidden/>
    <w:qFormat/>
    <w:rsid w:val="00A865AE"/>
    <w:pPr>
      <w:keepNext/>
      <w:keepLines/>
      <w:spacing w:before="200"/>
      <w:outlineLvl w:val="7"/>
    </w:pPr>
    <w:rPr>
      <w:rFonts w:asciiTheme="majorHAnsi" w:eastAsiaTheme="majorEastAsia" w:hAnsiTheme="majorHAnsi" w:cstheme="majorBidi"/>
    </w:rPr>
  </w:style>
  <w:style w:type="paragraph" w:styleId="Ttulo9">
    <w:name w:val="heading 9"/>
    <w:basedOn w:val="Normal"/>
    <w:next w:val="Normal"/>
    <w:link w:val="Ttulo9Car"/>
    <w:uiPriority w:val="19"/>
    <w:semiHidden/>
    <w:qFormat/>
    <w:rsid w:val="00A865AE"/>
    <w:pPr>
      <w:keepNext/>
      <w:keepLines/>
      <w:spacing w:before="200"/>
      <w:outlineLvl w:val="8"/>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BaseStyle"/>
    <w:rsid w:val="00EE64AA"/>
    <w:pPr>
      <w:spacing w:after="0" w:line="240" w:lineRule="auto"/>
    </w:pPr>
    <w:rPr>
      <w:lang w:val="es-ES_tradnl"/>
    </w:rPr>
  </w:style>
  <w:style w:type="paragraph" w:customStyle="1" w:styleId="SecHeadNonToc">
    <w:name w:val="~SecHeadNonToc"/>
    <w:basedOn w:val="Sinespaciado"/>
    <w:next w:val="Normal"/>
    <w:uiPriority w:val="19"/>
    <w:rsid w:val="00625E62"/>
    <w:pPr>
      <w:keepNext/>
      <w:spacing w:before="400" w:after="240"/>
    </w:pPr>
    <w:rPr>
      <w:rFonts w:asciiTheme="majorHAnsi" w:hAnsiTheme="majorHAnsi" w:cstheme="minorBidi"/>
      <w:caps/>
      <w:color w:val="E83F35" w:themeColor="accent1"/>
      <w:sz w:val="40"/>
      <w:szCs w:val="180"/>
    </w:rPr>
  </w:style>
  <w:style w:type="paragraph" w:customStyle="1" w:styleId="AnnexDivider">
    <w:name w:val="~AnnexDivider"/>
    <w:basedOn w:val="SecHeadNonToc"/>
    <w:next w:val="Normal"/>
    <w:uiPriority w:val="19"/>
    <w:semiHidden/>
    <w:qFormat/>
    <w:rsid w:val="00EE64AA"/>
    <w:pPr>
      <w:outlineLvl w:val="0"/>
    </w:pPr>
  </w:style>
  <w:style w:type="paragraph" w:customStyle="1" w:styleId="AnxHead">
    <w:name w:val="~AnxHead"/>
    <w:basedOn w:val="SecHeadNonToc"/>
    <w:next w:val="Normal"/>
    <w:uiPriority w:val="19"/>
    <w:semiHidden/>
    <w:qFormat/>
    <w:rsid w:val="00A60B25"/>
    <w:pPr>
      <w:numPr>
        <w:numId w:val="5"/>
      </w:numPr>
      <w:outlineLvl w:val="0"/>
    </w:pPr>
    <w:rPr>
      <w:rFonts w:ascii="Arial" w:hAnsi="Arial" w:cs="Arial"/>
    </w:rPr>
  </w:style>
  <w:style w:type="paragraph" w:customStyle="1" w:styleId="AnxSubHead">
    <w:name w:val="~AnxSubHead"/>
    <w:basedOn w:val="AnxHead"/>
    <w:next w:val="Normal"/>
    <w:uiPriority w:val="19"/>
    <w:semiHidden/>
    <w:qFormat/>
    <w:rsid w:val="00640C53"/>
    <w:pPr>
      <w:numPr>
        <w:ilvl w:val="1"/>
      </w:numPr>
      <w:spacing w:before="240" w:after="0"/>
      <w:outlineLvl w:val="1"/>
    </w:pPr>
    <w:rPr>
      <w:caps w:val="0"/>
      <w:sz w:val="36"/>
      <w:szCs w:val="16"/>
    </w:rPr>
  </w:style>
  <w:style w:type="paragraph" w:customStyle="1" w:styleId="AnxMinorSubHead">
    <w:name w:val="~AnxMinorSubHead"/>
    <w:basedOn w:val="AnxSubHead"/>
    <w:next w:val="Normal"/>
    <w:uiPriority w:val="19"/>
    <w:semiHidden/>
    <w:qFormat/>
    <w:rsid w:val="00A60B25"/>
    <w:pPr>
      <w:numPr>
        <w:ilvl w:val="2"/>
      </w:numPr>
      <w:outlineLvl w:val="2"/>
    </w:pPr>
    <w:rPr>
      <w:iCs/>
      <w:sz w:val="30"/>
      <w:szCs w:val="14"/>
    </w:rPr>
  </w:style>
  <w:style w:type="paragraph" w:customStyle="1" w:styleId="BodyHeading">
    <w:name w:val="~BodyHeading"/>
    <w:basedOn w:val="Normal"/>
    <w:next w:val="Normal"/>
    <w:uiPriority w:val="1"/>
    <w:rsid w:val="005A4977"/>
    <w:pPr>
      <w:keepNext/>
      <w:spacing w:line="240" w:lineRule="auto"/>
    </w:pPr>
    <w:rPr>
      <w:b/>
      <w:color w:val="007B87" w:themeColor="accent3"/>
    </w:rPr>
  </w:style>
  <w:style w:type="paragraph" w:customStyle="1" w:styleId="BodyTextNum">
    <w:name w:val="~BodyTextNum"/>
    <w:basedOn w:val="Normal"/>
    <w:uiPriority w:val="19"/>
    <w:qFormat/>
    <w:rsid w:val="00A865AE"/>
  </w:style>
  <w:style w:type="paragraph" w:styleId="Cita">
    <w:name w:val="Quote"/>
    <w:basedOn w:val="Normal"/>
    <w:next w:val="Normal"/>
    <w:link w:val="CitaCar"/>
    <w:uiPriority w:val="19"/>
    <w:qFormat/>
    <w:rsid w:val="00495F3D"/>
    <w:pPr>
      <w:spacing w:before="200" w:after="160"/>
      <w:ind w:left="864" w:right="864"/>
      <w:jc w:val="center"/>
    </w:pPr>
    <w:rPr>
      <w:i/>
      <w:iCs/>
      <w:color w:val="5F7280" w:themeColor="text1" w:themeTint="BF"/>
    </w:rPr>
  </w:style>
  <w:style w:type="character" w:customStyle="1" w:styleId="CitaCar">
    <w:name w:val="Cita Car"/>
    <w:basedOn w:val="Fuentedeprrafopredeter"/>
    <w:link w:val="Cita"/>
    <w:uiPriority w:val="19"/>
    <w:rsid w:val="00495F3D"/>
    <w:rPr>
      <w:rFonts w:ascii="ITC Avant Garde" w:hAnsi="ITC Avant Garde"/>
      <w:i/>
      <w:iCs/>
      <w:color w:val="5F7280" w:themeColor="text1" w:themeTint="BF"/>
      <w:lang w:val="es-ES_tradnl"/>
    </w:rPr>
  </w:style>
  <w:style w:type="paragraph" w:customStyle="1" w:styleId="Piedepg">
    <w:name w:val="Pie de pág."/>
    <w:basedOn w:val="Textonotapie"/>
    <w:rsid w:val="00875DAD"/>
  </w:style>
  <w:style w:type="paragraph" w:styleId="Descripcin">
    <w:name w:val="caption"/>
    <w:aliases w:val="~Caption"/>
    <w:basedOn w:val="BodyHeading"/>
    <w:next w:val="Normal"/>
    <w:link w:val="DescripcinCar"/>
    <w:uiPriority w:val="19"/>
    <w:rsid w:val="00C22A21"/>
    <w:pPr>
      <w:tabs>
        <w:tab w:val="left" w:pos="1276"/>
      </w:tabs>
      <w:spacing w:after="60"/>
      <w:ind w:left="1276" w:hanging="1276"/>
    </w:pPr>
    <w:rPr>
      <w:rFonts w:eastAsia="Calibri"/>
      <w:color w:val="37424A" w:themeColor="text1"/>
    </w:rPr>
  </w:style>
  <w:style w:type="character" w:customStyle="1" w:styleId="DescripcinCar">
    <w:name w:val="Descripción Car"/>
    <w:aliases w:val="~Caption Car"/>
    <w:basedOn w:val="Fuentedeprrafopredeter"/>
    <w:link w:val="Descripcin"/>
    <w:uiPriority w:val="19"/>
    <w:rsid w:val="003C1928"/>
    <w:rPr>
      <w:rFonts w:eastAsia="Calibri"/>
      <w:b/>
      <w:lang w:val="es-ES_tradnl"/>
    </w:rPr>
  </w:style>
  <w:style w:type="paragraph" w:customStyle="1" w:styleId="CaptionWide">
    <w:name w:val="~CaptionWide"/>
    <w:basedOn w:val="Descripcin"/>
    <w:next w:val="Normal"/>
    <w:uiPriority w:val="19"/>
    <w:rsid w:val="008406D5"/>
    <w:pPr>
      <w:tabs>
        <w:tab w:val="clear" w:pos="1276"/>
        <w:tab w:val="left" w:pos="142"/>
      </w:tabs>
      <w:ind w:left="142"/>
    </w:pPr>
    <w:rPr>
      <w:bCs/>
    </w:rPr>
  </w:style>
  <w:style w:type="paragraph" w:customStyle="1" w:styleId="Confidential">
    <w:name w:val="~Confidential"/>
    <w:basedOn w:val="Sinespaciado"/>
    <w:uiPriority w:val="19"/>
    <w:semiHidden/>
    <w:qFormat/>
    <w:rsid w:val="00644069"/>
    <w:rPr>
      <w:color w:val="707276" w:themeColor="text2"/>
    </w:rPr>
  </w:style>
  <w:style w:type="paragraph" w:customStyle="1" w:styleId="DocClient">
    <w:name w:val="~DocClient"/>
    <w:basedOn w:val="Sinespaciado"/>
    <w:uiPriority w:val="19"/>
    <w:semiHidden/>
    <w:qFormat/>
    <w:rsid w:val="00644069"/>
  </w:style>
  <w:style w:type="paragraph" w:customStyle="1" w:styleId="DocDate">
    <w:name w:val="~DocDate"/>
    <w:basedOn w:val="Sinespaciado"/>
    <w:uiPriority w:val="19"/>
    <w:rsid w:val="00EE6077"/>
    <w:pPr>
      <w:spacing w:line="264" w:lineRule="auto"/>
      <w:jc w:val="right"/>
    </w:pPr>
    <w:rPr>
      <w:color w:val="66B0B7" w:themeColor="accent6"/>
      <w:sz w:val="28"/>
    </w:rPr>
  </w:style>
  <w:style w:type="paragraph" w:customStyle="1" w:styleId="DocSubTitle">
    <w:name w:val="~DocSubTitle"/>
    <w:basedOn w:val="Sinespaciado"/>
    <w:uiPriority w:val="19"/>
    <w:rsid w:val="000F6504"/>
    <w:pPr>
      <w:spacing w:before="120" w:line="264" w:lineRule="auto"/>
    </w:pPr>
    <w:rPr>
      <w:color w:val="66B0B7" w:themeColor="accent6"/>
      <w:sz w:val="44"/>
    </w:rPr>
  </w:style>
  <w:style w:type="paragraph" w:customStyle="1" w:styleId="DocTitle">
    <w:name w:val="~DocTitle"/>
    <w:basedOn w:val="Sinespaciado"/>
    <w:uiPriority w:val="19"/>
    <w:rsid w:val="00CF5BD9"/>
    <w:pPr>
      <w:spacing w:before="120" w:line="264" w:lineRule="auto"/>
    </w:pPr>
    <w:rPr>
      <w:caps/>
      <w:color w:val="007B87" w:themeColor="accent3"/>
      <w:sz w:val="48"/>
    </w:rPr>
  </w:style>
  <w:style w:type="paragraph" w:customStyle="1" w:styleId="DocType">
    <w:name w:val="~DocType"/>
    <w:basedOn w:val="Sinespaciado"/>
    <w:uiPriority w:val="19"/>
    <w:semiHidden/>
    <w:qFormat/>
    <w:rsid w:val="00644069"/>
  </w:style>
  <w:style w:type="paragraph" w:customStyle="1" w:styleId="Draft">
    <w:name w:val="~Draft"/>
    <w:basedOn w:val="Sinespaciado"/>
    <w:uiPriority w:val="19"/>
    <w:rsid w:val="00712AAB"/>
    <w:pPr>
      <w:spacing w:before="120"/>
    </w:pPr>
    <w:rPr>
      <w:b/>
      <w:caps/>
      <w:color w:val="E83F35" w:themeColor="accent1"/>
    </w:rPr>
  </w:style>
  <w:style w:type="paragraph" w:customStyle="1" w:styleId="ExecSumHead">
    <w:name w:val="~ExecSumHead"/>
    <w:basedOn w:val="SecHeadNonToc"/>
    <w:next w:val="Normal"/>
    <w:uiPriority w:val="19"/>
    <w:semiHidden/>
    <w:qFormat/>
    <w:rsid w:val="00DE158C"/>
    <w:pPr>
      <w:outlineLvl w:val="0"/>
    </w:pPr>
  </w:style>
  <w:style w:type="paragraph" w:customStyle="1" w:styleId="ExecSumSubHead">
    <w:name w:val="~ExecSumSubHead"/>
    <w:basedOn w:val="ExecSumHead"/>
    <w:next w:val="Normal"/>
    <w:uiPriority w:val="19"/>
    <w:semiHidden/>
    <w:qFormat/>
    <w:rsid w:val="001A2F61"/>
    <w:pPr>
      <w:spacing w:before="240"/>
    </w:pPr>
    <w:rPr>
      <w:caps w:val="0"/>
      <w:sz w:val="36"/>
      <w:szCs w:val="32"/>
    </w:rPr>
  </w:style>
  <w:style w:type="paragraph" w:customStyle="1" w:styleId="GraphicLeft">
    <w:name w:val="~GraphicLeft"/>
    <w:basedOn w:val="Sinespaciado"/>
    <w:uiPriority w:val="19"/>
    <w:rsid w:val="00142182"/>
  </w:style>
  <w:style w:type="paragraph" w:customStyle="1" w:styleId="GraphicCentre">
    <w:name w:val="~GraphicCentre"/>
    <w:basedOn w:val="GraphicLeft"/>
    <w:uiPriority w:val="19"/>
    <w:rsid w:val="00EE64AA"/>
    <w:pPr>
      <w:jc w:val="center"/>
    </w:pPr>
  </w:style>
  <w:style w:type="paragraph" w:customStyle="1" w:styleId="GraphicRight">
    <w:name w:val="~GraphicRight"/>
    <w:basedOn w:val="GraphicLeft"/>
    <w:uiPriority w:val="19"/>
    <w:rsid w:val="00EE64AA"/>
    <w:pPr>
      <w:jc w:val="right"/>
    </w:pPr>
  </w:style>
  <w:style w:type="paragraph" w:customStyle="1" w:styleId="Hidden">
    <w:name w:val="~Hidden"/>
    <w:basedOn w:val="Sinespaciado"/>
    <w:uiPriority w:val="19"/>
    <w:semiHidden/>
    <w:qFormat/>
    <w:rsid w:val="00EE64AA"/>
    <w:pPr>
      <w:framePr w:wrap="around" w:vAnchor="page" w:hAnchor="page" w:xAlign="right" w:yAlign="bottom"/>
    </w:pPr>
    <w:rPr>
      <w:color w:val="C00000"/>
    </w:rPr>
  </w:style>
  <w:style w:type="paragraph" w:customStyle="1" w:styleId="IntroText">
    <w:name w:val="~IntroText"/>
    <w:basedOn w:val="Normal"/>
    <w:next w:val="Normal"/>
    <w:uiPriority w:val="2"/>
    <w:rsid w:val="00A33C39"/>
    <w:rPr>
      <w:color w:val="707276" w:themeColor="text2"/>
      <w:sz w:val="24"/>
    </w:rPr>
  </w:style>
  <w:style w:type="paragraph" w:customStyle="1" w:styleId="ParaNumBullet1">
    <w:name w:val="~ParaNumBullet1"/>
    <w:basedOn w:val="Normal"/>
    <w:uiPriority w:val="3"/>
    <w:rsid w:val="00F53D0E"/>
    <w:pPr>
      <w:numPr>
        <w:numId w:val="3"/>
      </w:numPr>
    </w:pPr>
    <w:rPr>
      <w:rFonts w:eastAsia="Calibri"/>
    </w:rPr>
  </w:style>
  <w:style w:type="paragraph" w:customStyle="1" w:styleId="ParaNumBullet2">
    <w:name w:val="~ParaNumBullet2"/>
    <w:basedOn w:val="ParaNumBullet1"/>
    <w:uiPriority w:val="3"/>
    <w:rsid w:val="00EE64AA"/>
    <w:pPr>
      <w:numPr>
        <w:ilvl w:val="1"/>
      </w:numPr>
    </w:pPr>
  </w:style>
  <w:style w:type="paragraph" w:customStyle="1" w:styleId="ParaNumBullet3">
    <w:name w:val="~ParaNumBullet3"/>
    <w:basedOn w:val="ParaNumBullet2"/>
    <w:uiPriority w:val="3"/>
    <w:rsid w:val="00EE64AA"/>
    <w:pPr>
      <w:numPr>
        <w:ilvl w:val="2"/>
      </w:numPr>
    </w:pPr>
  </w:style>
  <w:style w:type="paragraph" w:customStyle="1" w:styleId="QuoteBoxText">
    <w:name w:val="~QuoteBoxText"/>
    <w:basedOn w:val="Normal"/>
    <w:uiPriority w:val="3"/>
    <w:rsid w:val="009F69D6"/>
    <w:pPr>
      <w:spacing w:after="60"/>
      <w:jc w:val="left"/>
    </w:pPr>
    <w:rPr>
      <w:rFonts w:eastAsia="Times New Roman" w:cs="Times New Roman"/>
      <w:sz w:val="28"/>
    </w:rPr>
  </w:style>
  <w:style w:type="paragraph" w:customStyle="1" w:styleId="Source">
    <w:name w:val="~Source"/>
    <w:basedOn w:val="Normal"/>
    <w:next w:val="Normal"/>
    <w:uiPriority w:val="19"/>
    <w:rsid w:val="008D0439"/>
    <w:pPr>
      <w:tabs>
        <w:tab w:val="left" w:pos="709"/>
      </w:tabs>
      <w:spacing w:before="60" w:after="60" w:line="240" w:lineRule="auto"/>
      <w:ind w:left="709" w:hanging="709"/>
      <w:jc w:val="left"/>
    </w:pPr>
    <w:rPr>
      <w:rFonts w:eastAsia="Calibri"/>
      <w:i/>
      <w:sz w:val="16"/>
    </w:rPr>
  </w:style>
  <w:style w:type="paragraph" w:customStyle="1" w:styleId="SourceWide">
    <w:name w:val="~SourceWide"/>
    <w:basedOn w:val="Source"/>
    <w:next w:val="Normal"/>
    <w:uiPriority w:val="19"/>
    <w:rsid w:val="008406D5"/>
    <w:pPr>
      <w:tabs>
        <w:tab w:val="clear" w:pos="709"/>
        <w:tab w:val="left" w:pos="-425"/>
      </w:tabs>
      <w:ind w:left="-425"/>
    </w:pPr>
  </w:style>
  <w:style w:type="paragraph" w:customStyle="1" w:styleId="Spacer">
    <w:name w:val="~Spacer"/>
    <w:basedOn w:val="Sinespaciado"/>
    <w:uiPriority w:val="19"/>
    <w:semiHidden/>
    <w:qFormat/>
    <w:rsid w:val="00EE64AA"/>
    <w:rPr>
      <w:rFonts w:ascii="Arial" w:hAnsi="Arial"/>
      <w:sz w:val="2"/>
    </w:rPr>
  </w:style>
  <w:style w:type="paragraph" w:customStyle="1" w:styleId="TableTextLeft">
    <w:name w:val="~TableTextLeft"/>
    <w:basedOn w:val="Normal"/>
    <w:uiPriority w:val="4"/>
    <w:qFormat/>
    <w:rsid w:val="00B9546D"/>
    <w:pPr>
      <w:spacing w:before="40" w:after="40" w:line="240" w:lineRule="auto"/>
      <w:jc w:val="left"/>
    </w:pPr>
    <w:rPr>
      <w:sz w:val="20"/>
    </w:rPr>
  </w:style>
  <w:style w:type="table" w:customStyle="1" w:styleId="TableClear">
    <w:name w:val="~TableClear"/>
    <w:basedOn w:val="Tablanormal"/>
    <w:uiPriority w:val="99"/>
    <w:rsid w:val="00EE64AA"/>
    <w:pPr>
      <w:spacing w:after="0" w:line="240" w:lineRule="auto"/>
    </w:pPr>
    <w:tblPr/>
  </w:style>
  <w:style w:type="paragraph" w:customStyle="1" w:styleId="TableHeadingLeft">
    <w:name w:val="~TableHeadingLeft"/>
    <w:basedOn w:val="TableTextLeft"/>
    <w:uiPriority w:val="4"/>
    <w:rsid w:val="00F52EB6"/>
    <w:rPr>
      <w:b/>
      <w:bCs/>
      <w:color w:val="007B87" w:themeColor="accent3"/>
    </w:rPr>
  </w:style>
  <w:style w:type="paragraph" w:customStyle="1" w:styleId="TableHeadingCentre">
    <w:name w:val="~TableHeadingCentre"/>
    <w:basedOn w:val="TableTotalLeft"/>
    <w:uiPriority w:val="4"/>
    <w:qFormat/>
    <w:rsid w:val="005B430C"/>
    <w:pPr>
      <w:jc w:val="center"/>
    </w:pPr>
    <w:rPr>
      <w:color w:val="auto"/>
    </w:rPr>
  </w:style>
  <w:style w:type="paragraph" w:customStyle="1" w:styleId="TableHeadingRight">
    <w:name w:val="~TableHeadingRight"/>
    <w:basedOn w:val="TableHeadingLeft"/>
    <w:uiPriority w:val="4"/>
    <w:rsid w:val="00F52EB6"/>
    <w:pPr>
      <w:jc w:val="right"/>
    </w:pPr>
  </w:style>
  <w:style w:type="table" w:customStyle="1" w:styleId="TableNormal">
    <w:name w:val="~TableNormal"/>
    <w:basedOn w:val="Tablanormal"/>
    <w:semiHidden/>
    <w:rsid w:val="00EE64AA"/>
    <w:pPr>
      <w:spacing w:after="0" w:line="240" w:lineRule="auto"/>
    </w:pPr>
    <w:tblPr/>
  </w:style>
  <w:style w:type="paragraph" w:customStyle="1" w:styleId="TableTextCentre">
    <w:name w:val="~TableTextCentre"/>
    <w:basedOn w:val="TableTextLeft"/>
    <w:autoRedefine/>
    <w:uiPriority w:val="4"/>
    <w:qFormat/>
    <w:rsid w:val="00F52EB6"/>
    <w:pPr>
      <w:jc w:val="center"/>
    </w:pPr>
  </w:style>
  <w:style w:type="paragraph" w:customStyle="1" w:styleId="TableTextRight">
    <w:name w:val="~TableTextRight"/>
    <w:basedOn w:val="TableTextLeft"/>
    <w:uiPriority w:val="4"/>
    <w:qFormat/>
    <w:rsid w:val="00F52EB6"/>
    <w:pPr>
      <w:jc w:val="right"/>
    </w:pPr>
  </w:style>
  <w:style w:type="paragraph" w:customStyle="1" w:styleId="TableTotalLeft">
    <w:name w:val="~TableTotalLeft"/>
    <w:basedOn w:val="TableTextLeft"/>
    <w:uiPriority w:val="4"/>
    <w:rsid w:val="00F52EB6"/>
    <w:rPr>
      <w:b/>
      <w:bCs/>
      <w:color w:val="007B87" w:themeColor="accent3"/>
    </w:rPr>
  </w:style>
  <w:style w:type="paragraph" w:customStyle="1" w:styleId="TableTotalCentre">
    <w:name w:val="~TableTotalCentre"/>
    <w:basedOn w:val="TableTotalLeft"/>
    <w:uiPriority w:val="4"/>
    <w:rsid w:val="0082489C"/>
    <w:pPr>
      <w:jc w:val="center"/>
    </w:pPr>
  </w:style>
  <w:style w:type="paragraph" w:customStyle="1" w:styleId="TableTotalRight">
    <w:name w:val="~TableTotalRight"/>
    <w:basedOn w:val="TableTotalLeft"/>
    <w:uiPriority w:val="4"/>
    <w:rsid w:val="0082489C"/>
    <w:pPr>
      <w:jc w:val="right"/>
    </w:pPr>
  </w:style>
  <w:style w:type="paragraph" w:styleId="Textodeglobo">
    <w:name w:val="Balloon Text"/>
    <w:basedOn w:val="Normal"/>
    <w:link w:val="TextodegloboCar"/>
    <w:uiPriority w:val="99"/>
    <w:semiHidden/>
    <w:unhideWhenUsed/>
    <w:rsid w:val="00EE64AA"/>
    <w:pPr>
      <w:spacing w:line="240" w:lineRule="auto"/>
    </w:pPr>
    <w:rPr>
      <w:rFonts w:ascii="Tahoma" w:hAnsi="Tahoma" w:cs="Tahoma"/>
      <w:color w:val="808080" w:themeColor="background1" w:themeShade="80"/>
      <w:sz w:val="16"/>
      <w:szCs w:val="16"/>
    </w:rPr>
  </w:style>
  <w:style w:type="character" w:customStyle="1" w:styleId="TextodegloboCar">
    <w:name w:val="Texto de globo Car"/>
    <w:basedOn w:val="Fuentedeprrafopredeter"/>
    <w:link w:val="Textodeglobo"/>
    <w:uiPriority w:val="99"/>
    <w:semiHidden/>
    <w:rsid w:val="00EE64AA"/>
    <w:rPr>
      <w:rFonts w:ascii="Tahoma" w:hAnsi="Tahoma" w:cs="Tahoma"/>
      <w:color w:val="808080" w:themeColor="background1" w:themeShade="80"/>
      <w:sz w:val="16"/>
      <w:szCs w:val="16"/>
    </w:rPr>
  </w:style>
  <w:style w:type="character" w:styleId="Refdecomentario">
    <w:name w:val="annotation reference"/>
    <w:basedOn w:val="Fuentedeprrafopredeter"/>
    <w:uiPriority w:val="99"/>
    <w:semiHidden/>
    <w:unhideWhenUsed/>
    <w:rsid w:val="00EE64AA"/>
    <w:rPr>
      <w:sz w:val="16"/>
      <w:szCs w:val="16"/>
    </w:rPr>
  </w:style>
  <w:style w:type="paragraph" w:styleId="Textocomentario">
    <w:name w:val="annotation text"/>
    <w:basedOn w:val="Normal"/>
    <w:link w:val="TextocomentarioCar"/>
    <w:uiPriority w:val="99"/>
    <w:semiHidden/>
    <w:unhideWhenUsed/>
    <w:rsid w:val="00EE64AA"/>
    <w:pPr>
      <w:spacing w:line="240" w:lineRule="auto"/>
    </w:pPr>
    <w:rPr>
      <w:rFonts w:ascii="Arial" w:hAnsi="Arial"/>
    </w:rPr>
  </w:style>
  <w:style w:type="character" w:customStyle="1" w:styleId="TextocomentarioCar">
    <w:name w:val="Texto comentario Car"/>
    <w:basedOn w:val="Fuentedeprrafopredeter"/>
    <w:link w:val="Textocomentario"/>
    <w:uiPriority w:val="99"/>
    <w:semiHidden/>
    <w:rsid w:val="00EE64AA"/>
    <w:rPr>
      <w:rFonts w:ascii="Arial" w:hAnsi="Arial"/>
      <w:color w:val="auto"/>
      <w:sz w:val="20"/>
      <w:szCs w:val="20"/>
    </w:rPr>
  </w:style>
  <w:style w:type="paragraph" w:styleId="Asuntodelcomentario">
    <w:name w:val="annotation subject"/>
    <w:basedOn w:val="Textocomentario"/>
    <w:next w:val="Textocomentario"/>
    <w:link w:val="AsuntodelcomentarioCar"/>
    <w:uiPriority w:val="99"/>
    <w:semiHidden/>
    <w:unhideWhenUsed/>
    <w:rsid w:val="00EE64AA"/>
    <w:rPr>
      <w:b/>
      <w:bCs/>
    </w:rPr>
  </w:style>
  <w:style w:type="character" w:customStyle="1" w:styleId="AsuntodelcomentarioCar">
    <w:name w:val="Asunto del comentario Car"/>
    <w:basedOn w:val="TextocomentarioCar"/>
    <w:link w:val="Asuntodelcomentario"/>
    <w:uiPriority w:val="99"/>
    <w:semiHidden/>
    <w:rsid w:val="00EE64AA"/>
    <w:rPr>
      <w:rFonts w:ascii="Arial" w:hAnsi="Arial"/>
      <w:b/>
      <w:bCs/>
      <w:color w:val="auto"/>
      <w:sz w:val="20"/>
      <w:szCs w:val="20"/>
    </w:rPr>
  </w:style>
  <w:style w:type="character" w:styleId="Hipervnculovisitado">
    <w:name w:val="FollowedHyperlink"/>
    <w:aliases w:val="~FollowedHyperlink"/>
    <w:basedOn w:val="Fuentedeprrafopredeter"/>
    <w:uiPriority w:val="19"/>
    <w:semiHidden/>
    <w:rsid w:val="00887447"/>
    <w:rPr>
      <w:color w:val="8DD0D2" w:themeColor="accent2"/>
      <w:u w:val="single"/>
    </w:rPr>
  </w:style>
  <w:style w:type="paragraph" w:styleId="Piedepgina">
    <w:name w:val="footer"/>
    <w:aliases w:val="~Footer"/>
    <w:basedOn w:val="Sinespaciado"/>
    <w:link w:val="PiedepginaCar"/>
    <w:uiPriority w:val="99"/>
    <w:rsid w:val="00702608"/>
    <w:rPr>
      <w:color w:val="707276" w:themeColor="text2"/>
      <w:sz w:val="18"/>
    </w:rPr>
  </w:style>
  <w:style w:type="character" w:customStyle="1" w:styleId="PiedepginaCar">
    <w:name w:val="Pie de página Car"/>
    <w:aliases w:val="~Footer Car"/>
    <w:basedOn w:val="Fuentedeprrafopredeter"/>
    <w:link w:val="Piedepgina"/>
    <w:uiPriority w:val="99"/>
    <w:rsid w:val="003C1928"/>
    <w:rPr>
      <w:color w:val="707276" w:themeColor="text2"/>
      <w:sz w:val="18"/>
    </w:rPr>
  </w:style>
  <w:style w:type="character" w:styleId="Refdenotaalpie">
    <w:name w:val="footnote reference"/>
    <w:aliases w:val="~FootnoteRef,Footnote symbol,Appel note de bas de p,Footnote Reference/,Style 12,(NECG) Footnote Reference,Style 124,fr,Style 13,FR,Style 17,Style 3,Appel note de bas de p + 11 pt,Italic,Footnote,Appel note de bas de p1"/>
    <w:basedOn w:val="Fuentedeprrafopredeter"/>
    <w:uiPriority w:val="99"/>
    <w:qFormat/>
    <w:rsid w:val="00C71B94"/>
    <w:rPr>
      <w:rFonts w:eastAsia="Arial Unicode MS" w:cs="Courier New"/>
      <w:szCs w:val="20"/>
      <w:vertAlign w:val="superscript"/>
      <w:lang w:val="es-MX" w:eastAsia="es-ES"/>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Sinespaciado"/>
    <w:link w:val="TextonotapieCar"/>
    <w:autoRedefine/>
    <w:uiPriority w:val="99"/>
    <w:qFormat/>
    <w:rsid w:val="00AE1DF6"/>
    <w:pPr>
      <w:spacing w:before="60"/>
      <w:jc w:val="both"/>
    </w:pPr>
    <w:rPr>
      <w:rFonts w:ascii="ITC Avant Garde" w:hAnsi="ITC Avant Garde"/>
      <w:color w:val="auto"/>
      <w:sz w:val="16"/>
      <w:szCs w:val="18"/>
    </w:rPr>
  </w:style>
  <w:style w:type="paragraph" w:styleId="Encabezado">
    <w:name w:val="header"/>
    <w:aliases w:val="~Header"/>
    <w:basedOn w:val="Sinespaciado"/>
    <w:link w:val="EncabezadoCar"/>
    <w:uiPriority w:val="99"/>
    <w:rsid w:val="00702608"/>
    <w:pPr>
      <w:jc w:val="right"/>
    </w:pPr>
    <w:rPr>
      <w:color w:val="707276" w:themeColor="text2"/>
    </w:rPr>
  </w:style>
  <w:style w:type="character" w:customStyle="1" w:styleId="EncabezadoCar">
    <w:name w:val="Encabezado Car"/>
    <w:aliases w:val="~Header Car"/>
    <w:basedOn w:val="Fuentedeprrafopredeter"/>
    <w:link w:val="Encabezado"/>
    <w:uiPriority w:val="99"/>
    <w:rsid w:val="003C1928"/>
    <w:rPr>
      <w:color w:val="707276" w:themeColor="text2"/>
    </w:rPr>
  </w:style>
  <w:style w:type="character" w:customStyle="1" w:styleId="Ttulo1Car">
    <w:name w:val="Título 1 Car"/>
    <w:aliases w:val="1 Título Doc Car"/>
    <w:basedOn w:val="Fuentedeprrafopredeter"/>
    <w:link w:val="Ttulo1"/>
    <w:uiPriority w:val="9"/>
    <w:rsid w:val="00796CA6"/>
    <w:rPr>
      <w:rFonts w:ascii="ITC Avant Garde" w:hAnsi="ITC Avant Garde"/>
      <w:b/>
      <w:caps/>
      <w:color w:val="auto"/>
      <w:sz w:val="24"/>
      <w:szCs w:val="24"/>
      <w:lang w:val="es-ES_tradnl"/>
    </w:rPr>
  </w:style>
  <w:style w:type="character" w:customStyle="1" w:styleId="Ttulo2Car">
    <w:name w:val="Título 2 Car"/>
    <w:aliases w:val="2 Título Sección Car"/>
    <w:basedOn w:val="Fuentedeprrafopredeter"/>
    <w:link w:val="Ttulo2"/>
    <w:uiPriority w:val="9"/>
    <w:rsid w:val="00796CA6"/>
    <w:rPr>
      <w:rFonts w:ascii="ITC Avant Garde" w:eastAsiaTheme="majorEastAsia" w:hAnsi="ITC Avant Garde" w:cstheme="majorBidi"/>
      <w:b/>
      <w:szCs w:val="16"/>
      <w:lang w:val="es-MX"/>
    </w:rPr>
  </w:style>
  <w:style w:type="character" w:customStyle="1" w:styleId="Ttulo3Car">
    <w:name w:val="Título 3 Car"/>
    <w:aliases w:val="3 Subtítulo Car"/>
    <w:basedOn w:val="Fuentedeprrafopredeter"/>
    <w:link w:val="Ttulo3"/>
    <w:uiPriority w:val="9"/>
    <w:rsid w:val="003C0212"/>
    <w:rPr>
      <w:rFonts w:ascii="ITC Avant Garde" w:hAnsi="ITC Avant Garde"/>
      <w:b/>
      <w:color w:val="auto"/>
      <w:szCs w:val="14"/>
      <w:lang w:val="es-ES_tradnl"/>
    </w:rPr>
  </w:style>
  <w:style w:type="character" w:customStyle="1" w:styleId="Ttulo4Car">
    <w:name w:val="Título 4 Car"/>
    <w:aliases w:val="4 Separador Car"/>
    <w:basedOn w:val="Fuentedeprrafopredeter"/>
    <w:link w:val="Ttulo4"/>
    <w:uiPriority w:val="1"/>
    <w:rsid w:val="00495F3D"/>
    <w:rPr>
      <w:rFonts w:ascii="ITC Avant Garde" w:hAnsi="ITC Avant Garde"/>
      <w:i/>
      <w:color w:val="auto"/>
      <w:szCs w:val="14"/>
      <w:lang w:val="es-ES_tradnl"/>
    </w:rPr>
  </w:style>
  <w:style w:type="character" w:customStyle="1" w:styleId="Ttulo5Car">
    <w:name w:val="Título 5 Car"/>
    <w:basedOn w:val="Fuentedeprrafopredeter"/>
    <w:link w:val="Ttulo5"/>
    <w:uiPriority w:val="19"/>
    <w:semiHidden/>
    <w:rsid w:val="003C1928"/>
    <w:rPr>
      <w:rFonts w:asciiTheme="majorHAnsi" w:eastAsiaTheme="majorEastAsia" w:hAnsiTheme="majorHAnsi" w:cstheme="majorBidi"/>
    </w:rPr>
  </w:style>
  <w:style w:type="character" w:customStyle="1" w:styleId="Ttulo6Car">
    <w:name w:val="Título 6 Car"/>
    <w:basedOn w:val="Fuentedeprrafopredeter"/>
    <w:link w:val="Ttulo6"/>
    <w:uiPriority w:val="19"/>
    <w:semiHidden/>
    <w:rsid w:val="003C1928"/>
    <w:rPr>
      <w:rFonts w:asciiTheme="majorHAnsi" w:eastAsiaTheme="majorEastAsia" w:hAnsiTheme="majorHAnsi" w:cstheme="majorBidi"/>
      <w:i/>
      <w:iCs/>
    </w:rPr>
  </w:style>
  <w:style w:type="character" w:customStyle="1" w:styleId="Ttulo7Car">
    <w:name w:val="Título 7 Car"/>
    <w:basedOn w:val="Fuentedeprrafopredeter"/>
    <w:link w:val="Ttulo7"/>
    <w:uiPriority w:val="19"/>
    <w:semiHidden/>
    <w:rsid w:val="003C1928"/>
    <w:rPr>
      <w:rFonts w:asciiTheme="majorHAnsi" w:eastAsiaTheme="majorEastAsia" w:hAnsiTheme="majorHAnsi" w:cstheme="majorBidi"/>
      <w:i/>
      <w:iCs/>
    </w:rPr>
  </w:style>
  <w:style w:type="character" w:customStyle="1" w:styleId="Ttulo8Car">
    <w:name w:val="Título 8 Car"/>
    <w:basedOn w:val="Fuentedeprrafopredeter"/>
    <w:link w:val="Ttulo8"/>
    <w:uiPriority w:val="19"/>
    <w:semiHidden/>
    <w:rsid w:val="003C1928"/>
    <w:rPr>
      <w:rFonts w:asciiTheme="majorHAnsi" w:eastAsiaTheme="majorEastAsia" w:hAnsiTheme="majorHAnsi" w:cstheme="majorBidi"/>
    </w:rPr>
  </w:style>
  <w:style w:type="character" w:customStyle="1" w:styleId="Ttulo9Car">
    <w:name w:val="Título 9 Car"/>
    <w:basedOn w:val="Fuentedeprrafopredeter"/>
    <w:link w:val="Ttulo9"/>
    <w:uiPriority w:val="19"/>
    <w:semiHidden/>
    <w:rsid w:val="003C1928"/>
    <w:rPr>
      <w:rFonts w:asciiTheme="majorHAnsi" w:eastAsiaTheme="majorEastAsia" w:hAnsiTheme="majorHAnsi" w:cstheme="majorBidi"/>
      <w:i/>
      <w:iCs/>
    </w:rPr>
  </w:style>
  <w:style w:type="character" w:styleId="Hipervnculo">
    <w:name w:val="Hyperlink"/>
    <w:aliases w:val="~HyperLink"/>
    <w:basedOn w:val="Fuentedeprrafopredeter"/>
    <w:uiPriority w:val="99"/>
    <w:rsid w:val="00887447"/>
    <w:rPr>
      <w:color w:val="007B87" w:themeColor="accent3"/>
      <w:u w:val="single"/>
    </w:rPr>
  </w:style>
  <w:style w:type="table" w:styleId="Sombreadomedio2-nfasis1">
    <w:name w:val="Medium Shading 2 Accent 1"/>
    <w:basedOn w:val="Tablanormal"/>
    <w:uiPriority w:val="64"/>
    <w:rsid w:val="00EE64AA"/>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3F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3F35" w:themeFill="accent1"/>
      </w:tcPr>
    </w:tblStylePr>
    <w:tblStylePr w:type="lastCol">
      <w:rPr>
        <w:b/>
        <w:bCs/>
        <w:color w:val="FFFFFF" w:themeColor="background1"/>
      </w:rPr>
      <w:tblPr/>
      <w:tcPr>
        <w:tcBorders>
          <w:left w:val="nil"/>
          <w:right w:val="nil"/>
          <w:insideH w:val="nil"/>
          <w:insideV w:val="nil"/>
        </w:tcBorders>
        <w:shd w:val="clear" w:color="auto" w:fill="E83F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EE64AA"/>
    <w:rPr>
      <w:color w:val="808080"/>
    </w:rPr>
  </w:style>
  <w:style w:type="table" w:styleId="Tablaconcuadrcula">
    <w:name w:val="Table Grid"/>
    <w:basedOn w:val="Tablanormal"/>
    <w:rsid w:val="001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aliases w:val="~SectionHeadings"/>
    <w:basedOn w:val="Sinespaciado"/>
    <w:next w:val="Normal"/>
    <w:uiPriority w:val="19"/>
    <w:semiHidden/>
    <w:qFormat/>
    <w:rsid w:val="00350346"/>
    <w:pPr>
      <w:tabs>
        <w:tab w:val="right" w:leader="underscore" w:pos="7824"/>
      </w:tabs>
      <w:spacing w:before="240" w:after="20"/>
      <w:ind w:right="403"/>
    </w:pPr>
    <w:rPr>
      <w:rFonts w:asciiTheme="majorHAnsi" w:eastAsiaTheme="minorEastAsia" w:hAnsiTheme="majorHAnsi"/>
      <w:noProof/>
      <w:sz w:val="24"/>
      <w:szCs w:val="24"/>
      <w:lang w:eastAsia="en-GB"/>
    </w:rPr>
  </w:style>
  <w:style w:type="paragraph" w:styleId="TDC2">
    <w:name w:val="toc 2"/>
    <w:aliases w:val="~SubHeadings"/>
    <w:basedOn w:val="TDC1"/>
    <w:next w:val="Normal"/>
    <w:uiPriority w:val="19"/>
    <w:semiHidden/>
    <w:qFormat/>
    <w:rsid w:val="00174D51"/>
    <w:pPr>
      <w:tabs>
        <w:tab w:val="right" w:leader="dot" w:pos="7824"/>
      </w:tabs>
      <w:spacing w:before="20"/>
      <w:ind w:left="482"/>
    </w:pPr>
    <w:rPr>
      <w:color w:val="707276" w:themeColor="text2"/>
      <w:sz w:val="20"/>
      <w:szCs w:val="20"/>
    </w:rPr>
  </w:style>
  <w:style w:type="paragraph" w:styleId="TDC3">
    <w:name w:val="toc 3"/>
    <w:aliases w:val="~MinorSubheadings"/>
    <w:basedOn w:val="TDC2"/>
    <w:next w:val="Normal"/>
    <w:uiPriority w:val="19"/>
    <w:semiHidden/>
    <w:qFormat/>
    <w:rsid w:val="00DC268C"/>
    <w:pPr>
      <w:ind w:left="992"/>
    </w:pPr>
    <w:rPr>
      <w:sz w:val="18"/>
    </w:rPr>
  </w:style>
  <w:style w:type="paragraph" w:styleId="TDC4">
    <w:name w:val="toc 4"/>
    <w:aliases w:val="~FourthHeadLevel"/>
    <w:basedOn w:val="TDC3"/>
    <w:next w:val="Normal"/>
    <w:uiPriority w:val="19"/>
    <w:semiHidden/>
    <w:rsid w:val="00174D51"/>
    <w:pPr>
      <w:tabs>
        <w:tab w:val="left" w:pos="2098"/>
      </w:tabs>
      <w:ind w:left="2098" w:hanging="794"/>
    </w:pPr>
  </w:style>
  <w:style w:type="paragraph" w:styleId="TDC5">
    <w:name w:val="toc 5"/>
    <w:aliases w:val="~ExecSumHeading"/>
    <w:basedOn w:val="TDC1"/>
    <w:next w:val="Normal"/>
    <w:uiPriority w:val="19"/>
    <w:semiHidden/>
    <w:rsid w:val="00350346"/>
  </w:style>
  <w:style w:type="paragraph" w:styleId="TDC6">
    <w:name w:val="toc 6"/>
    <w:aliases w:val="~AppDivider"/>
    <w:basedOn w:val="Normal"/>
    <w:next w:val="Normal"/>
    <w:uiPriority w:val="19"/>
    <w:semiHidden/>
    <w:rsid w:val="0054473A"/>
    <w:pPr>
      <w:tabs>
        <w:tab w:val="left" w:pos="482"/>
        <w:tab w:val="right" w:pos="7881"/>
      </w:tabs>
      <w:spacing w:before="240" w:after="20" w:line="240" w:lineRule="auto"/>
      <w:ind w:left="482" w:right="403" w:hanging="482"/>
      <w:jc w:val="left"/>
    </w:pPr>
    <w:rPr>
      <w:rFonts w:asciiTheme="majorHAnsi" w:eastAsiaTheme="minorEastAsia" w:hAnsiTheme="majorHAnsi"/>
      <w:noProof/>
      <w:sz w:val="24"/>
      <w:szCs w:val="24"/>
      <w:lang w:eastAsia="en-GB"/>
    </w:rPr>
  </w:style>
  <w:style w:type="paragraph" w:styleId="TDC7">
    <w:name w:val="toc 7"/>
    <w:aliases w:val="~AppHeadings"/>
    <w:basedOn w:val="TDC1"/>
    <w:next w:val="Normal"/>
    <w:uiPriority w:val="19"/>
    <w:semiHidden/>
    <w:rsid w:val="00057EF6"/>
    <w:pPr>
      <w:tabs>
        <w:tab w:val="left" w:pos="1276"/>
      </w:tabs>
      <w:ind w:left="1276" w:hanging="1276"/>
    </w:pPr>
    <w:rPr>
      <w:szCs w:val="20"/>
    </w:rPr>
  </w:style>
  <w:style w:type="paragraph" w:styleId="TDC8">
    <w:name w:val="toc 8"/>
    <w:aliases w:val="~AppSubHeadings"/>
    <w:basedOn w:val="TDC2"/>
    <w:next w:val="Normal"/>
    <w:uiPriority w:val="19"/>
    <w:semiHidden/>
    <w:rsid w:val="00174D51"/>
    <w:pPr>
      <w:tabs>
        <w:tab w:val="left" w:pos="850"/>
      </w:tabs>
      <w:ind w:left="850" w:hanging="425"/>
    </w:pPr>
  </w:style>
  <w:style w:type="paragraph" w:styleId="TDC9">
    <w:name w:val="toc 9"/>
    <w:basedOn w:val="Normal"/>
    <w:next w:val="Normal"/>
    <w:uiPriority w:val="19"/>
    <w:semiHidden/>
    <w:rsid w:val="00EE64AA"/>
    <w:pPr>
      <w:spacing w:after="100"/>
      <w:ind w:left="1600"/>
    </w:pPr>
    <w:rPr>
      <w:rFonts w:ascii="Arial" w:hAnsi="Arial"/>
    </w:rPr>
  </w:style>
  <w:style w:type="paragraph" w:styleId="TtulodeTDC">
    <w:name w:val="TOC Heading"/>
    <w:basedOn w:val="TDC6"/>
    <w:next w:val="Normal"/>
    <w:uiPriority w:val="19"/>
    <w:semiHidden/>
    <w:qFormat/>
    <w:rsid w:val="000E4F6C"/>
  </w:style>
  <w:style w:type="table" w:customStyle="1" w:styleId="PutClientName">
    <w:name w:val="~PutClientName"/>
    <w:basedOn w:val="Tablanormal"/>
    <w:uiPriority w:val="99"/>
    <w:rsid w:val="0016210E"/>
    <w:pPr>
      <w:spacing w:after="0" w:line="240" w:lineRule="auto"/>
    </w:pPr>
    <w:tblPr>
      <w:tblBorders>
        <w:top w:val="single" w:sz="4" w:space="0" w:color="auto"/>
        <w:bottom w:val="single" w:sz="4" w:space="0" w:color="auto"/>
        <w:insideH w:val="single" w:sz="4" w:space="0" w:color="auto"/>
      </w:tblBorders>
    </w:tblPr>
  </w:style>
  <w:style w:type="paragraph" w:styleId="Revisin">
    <w:name w:val="Revision"/>
    <w:hidden/>
    <w:uiPriority w:val="99"/>
    <w:semiHidden/>
    <w:rsid w:val="00EE64AA"/>
    <w:pPr>
      <w:spacing w:after="0" w:line="240" w:lineRule="auto"/>
    </w:pPr>
    <w:rPr>
      <w:color w:val="808080" w:themeColor="background1" w:themeShade="80"/>
    </w:rPr>
  </w:style>
  <w:style w:type="paragraph" w:styleId="Textoindependiente">
    <w:name w:val="Body Text"/>
    <w:basedOn w:val="Normal"/>
    <w:link w:val="TextoindependienteCar"/>
    <w:uiPriority w:val="19"/>
    <w:semiHidden/>
    <w:rsid w:val="00BA15A2"/>
    <w:rPr>
      <w:rFonts w:ascii="Garamond" w:eastAsia="Times" w:hAnsi="Garamond" w:cs="Times New Roman"/>
      <w:sz w:val="24"/>
    </w:rPr>
  </w:style>
  <w:style w:type="character" w:customStyle="1" w:styleId="TextoindependienteCar">
    <w:name w:val="Texto independiente Car"/>
    <w:basedOn w:val="Fuentedeprrafopredeter"/>
    <w:link w:val="Textoindependiente"/>
    <w:uiPriority w:val="19"/>
    <w:semiHidden/>
    <w:rsid w:val="003C1928"/>
    <w:rPr>
      <w:rFonts w:ascii="Garamond" w:eastAsia="Times" w:hAnsi="Garamond" w:cs="Times New Roman"/>
      <w:color w:val="auto"/>
      <w:sz w:val="24"/>
    </w:rPr>
  </w:style>
  <w:style w:type="paragraph" w:customStyle="1" w:styleId="ParagraphBullet">
    <w:name w:val="Paragraph Bullet"/>
    <w:basedOn w:val="Normal"/>
    <w:uiPriority w:val="19"/>
    <w:semiHidden/>
    <w:rsid w:val="007F007E"/>
    <w:pPr>
      <w:tabs>
        <w:tab w:val="num" w:pos="425"/>
      </w:tabs>
      <w:ind w:left="425" w:hanging="425"/>
    </w:pPr>
    <w:rPr>
      <w:rFonts w:ascii="Garamond" w:eastAsia="Times" w:hAnsi="Garamond" w:cs="Times New Roman"/>
      <w:sz w:val="24"/>
    </w:rPr>
  </w:style>
  <w:style w:type="paragraph" w:customStyle="1" w:styleId="SourceText">
    <w:name w:val="Source Text"/>
    <w:basedOn w:val="Ttulo5"/>
    <w:uiPriority w:val="19"/>
    <w:semiHidden/>
    <w:rsid w:val="007F007E"/>
    <w:pPr>
      <w:keepLines w:val="0"/>
      <w:spacing w:before="120" w:after="240"/>
    </w:pPr>
    <w:rPr>
      <w:rFonts w:ascii="Arial" w:eastAsia="Times" w:hAnsi="Arial" w:cs="Arial"/>
      <w:iCs/>
      <w:sz w:val="16"/>
    </w:rPr>
  </w:style>
  <w:style w:type="paragraph" w:customStyle="1" w:styleId="TableText">
    <w:name w:val="Table Text"/>
    <w:basedOn w:val="Normal"/>
    <w:uiPriority w:val="19"/>
    <w:semiHidden/>
    <w:rsid w:val="007F007E"/>
    <w:pPr>
      <w:keepNext/>
      <w:jc w:val="center"/>
    </w:pPr>
    <w:rPr>
      <w:rFonts w:ascii="Arial" w:eastAsia="Times" w:hAnsi="Arial"/>
    </w:rPr>
  </w:style>
  <w:style w:type="paragraph" w:customStyle="1" w:styleId="SecHeadNumber">
    <w:name w:val="~SecHeadNumber"/>
    <w:basedOn w:val="Normal"/>
    <w:uiPriority w:val="19"/>
    <w:semiHidden/>
    <w:qFormat/>
    <w:rsid w:val="005B0485"/>
    <w:pPr>
      <w:framePr w:wrap="around" w:vAnchor="page" w:hAnchor="page" w:x="852" w:y="852"/>
      <w:spacing w:before="0" w:line="192" w:lineRule="auto"/>
    </w:pPr>
    <w:rPr>
      <w:rFonts w:ascii="Arial" w:eastAsia="Arial" w:hAnsi="Arial" w:cs="Times New Roman"/>
      <w:b/>
      <w:outline/>
      <w:noProof/>
      <w:color w:val="8DD0D2" w:themeColor="accent2"/>
      <w:sz w:val="220"/>
      <w:szCs w:val="220"/>
      <w14:textOutline w14:w="12700" w14:cap="rnd" w14:cmpd="sng" w14:algn="ctr">
        <w14:solidFill>
          <w14:schemeClr w14:val="accent2"/>
        </w14:solidFill>
        <w14:prstDash w14:val="solid"/>
        <w14:bevel/>
      </w14:textOutline>
      <w14:textFill>
        <w14:noFill/>
      </w14:textFill>
    </w:rPr>
  </w:style>
  <w:style w:type="paragraph" w:styleId="Tabladeilustraciones">
    <w:name w:val="table of figures"/>
    <w:basedOn w:val="Normal"/>
    <w:next w:val="Normal"/>
    <w:uiPriority w:val="99"/>
    <w:rsid w:val="00145133"/>
    <w:pPr>
      <w:tabs>
        <w:tab w:val="left" w:pos="1134"/>
        <w:tab w:val="right" w:pos="7825"/>
      </w:tabs>
      <w:spacing w:before="20" w:after="20" w:line="240" w:lineRule="auto"/>
      <w:ind w:left="1134" w:right="403" w:hanging="1134"/>
    </w:pPr>
    <w:rPr>
      <w:noProof/>
      <w:color w:val="707276" w:themeColor="text2"/>
    </w:rPr>
  </w:style>
  <w:style w:type="paragraph" w:customStyle="1" w:styleId="IconText">
    <w:name w:val="~IconText"/>
    <w:uiPriority w:val="2"/>
    <w:rsid w:val="0060476B"/>
    <w:pPr>
      <w:spacing w:after="0" w:line="216" w:lineRule="auto"/>
      <w:jc w:val="center"/>
    </w:pPr>
    <w:rPr>
      <w:rFonts w:ascii="Open Sans Extrabold" w:eastAsia="Open Sans Extrabold" w:hAnsi="Open Sans Extrabold" w:cs="Open Sans Extrabold"/>
      <w:color w:val="FFFFFF" w:themeColor="background1"/>
      <w:kern w:val="24"/>
      <w:sz w:val="40"/>
      <w:szCs w:val="40"/>
    </w:rPr>
  </w:style>
  <w:style w:type="paragraph" w:styleId="Prrafodelista">
    <w:name w:val="List Paragraph"/>
    <w:aliases w:val="Romanos,4 Viñ 1nivel,Numeración 1,Cuadrícula media 1 - Énfasis 21,Listas,lp1"/>
    <w:basedOn w:val="Normal"/>
    <w:link w:val="PrrafodelistaCar"/>
    <w:uiPriority w:val="34"/>
    <w:qFormat/>
    <w:rsid w:val="008C7F09"/>
    <w:pPr>
      <w:numPr>
        <w:numId w:val="8"/>
      </w:numPr>
      <w:ind w:left="714" w:hanging="357"/>
    </w:pPr>
  </w:style>
  <w:style w:type="paragraph" w:styleId="Textonotaalfinal">
    <w:name w:val="endnote text"/>
    <w:basedOn w:val="Normal"/>
    <w:link w:val="TextonotaalfinalCar"/>
    <w:uiPriority w:val="99"/>
    <w:semiHidden/>
    <w:unhideWhenUsed/>
    <w:rsid w:val="00823C7C"/>
    <w:pPr>
      <w:spacing w:before="0" w:line="240" w:lineRule="auto"/>
    </w:pPr>
  </w:style>
  <w:style w:type="character" w:customStyle="1" w:styleId="TextonotaalfinalCar">
    <w:name w:val="Texto nota al final Car"/>
    <w:basedOn w:val="Fuentedeprrafopredeter"/>
    <w:link w:val="Textonotaalfinal"/>
    <w:uiPriority w:val="99"/>
    <w:semiHidden/>
    <w:rsid w:val="00823C7C"/>
  </w:style>
  <w:style w:type="character" w:styleId="Refdenotaalfinal">
    <w:name w:val="endnote reference"/>
    <w:basedOn w:val="Fuentedeprrafopredeter"/>
    <w:uiPriority w:val="99"/>
    <w:semiHidden/>
    <w:unhideWhenUsed/>
    <w:rsid w:val="00823C7C"/>
    <w:rPr>
      <w:vertAlign w:val="superscript"/>
    </w:rPr>
  </w:style>
  <w:style w:type="paragraph" w:customStyle="1" w:styleId="AnxBodyTextNum">
    <w:name w:val="~AnxBodyTextNum"/>
    <w:basedOn w:val="Normal"/>
    <w:uiPriority w:val="19"/>
    <w:semiHidden/>
    <w:rsid w:val="00F34BCA"/>
    <w:rPr>
      <w:rFonts w:ascii="Arial" w:hAnsi="Arial"/>
    </w:rPr>
  </w:style>
  <w:style w:type="paragraph" w:customStyle="1" w:styleId="ContactName">
    <w:name w:val="~ContactName"/>
    <w:basedOn w:val="Normal"/>
    <w:uiPriority w:val="19"/>
    <w:semiHidden/>
    <w:qFormat/>
    <w:rsid w:val="00CE4F4D"/>
    <w:pPr>
      <w:spacing w:before="180" w:after="0" w:line="288" w:lineRule="auto"/>
    </w:pPr>
    <w:rPr>
      <w:color w:val="E83F35" w:themeColor="accent1"/>
    </w:rPr>
  </w:style>
  <w:style w:type="paragraph" w:customStyle="1" w:styleId="ContactDetails">
    <w:name w:val="~ContactDetails"/>
    <w:basedOn w:val="Sinespaciado"/>
    <w:uiPriority w:val="19"/>
    <w:semiHidden/>
    <w:qFormat/>
    <w:rsid w:val="00F77A06"/>
    <w:pPr>
      <w:spacing w:before="20" w:after="20"/>
    </w:pPr>
    <w:rPr>
      <w:sz w:val="16"/>
      <w:szCs w:val="16"/>
    </w:rPr>
  </w:style>
  <w:style w:type="paragraph" w:customStyle="1" w:styleId="Disclaimer">
    <w:name w:val="~Disclaimer"/>
    <w:basedOn w:val="Normal"/>
    <w:uiPriority w:val="19"/>
    <w:semiHidden/>
    <w:qFormat/>
    <w:rsid w:val="00B5202C"/>
    <w:pPr>
      <w:spacing w:before="0" w:after="0" w:line="288" w:lineRule="auto"/>
    </w:pPr>
    <w:rPr>
      <w:sz w:val="16"/>
      <w:szCs w:val="16"/>
    </w:rPr>
  </w:style>
  <w:style w:type="paragraph" w:customStyle="1" w:styleId="DraftRef">
    <w:name w:val="~DraftRef"/>
    <w:basedOn w:val="Encabezado"/>
    <w:uiPriority w:val="19"/>
    <w:semiHidden/>
    <w:qFormat/>
    <w:rsid w:val="006D0186"/>
    <w:pPr>
      <w:jc w:val="left"/>
    </w:pPr>
    <w:rPr>
      <w:b/>
      <w:caps/>
      <w:color w:val="E83F35" w:themeColor="accent1"/>
    </w:rPr>
  </w:style>
  <w:style w:type="table" w:customStyle="1" w:styleId="Frontier">
    <w:name w:val="~Frontier"/>
    <w:basedOn w:val="Tablanormal"/>
    <w:uiPriority w:val="99"/>
    <w:rsid w:val="00A87F0A"/>
    <w:pPr>
      <w:spacing w:after="0" w:line="240" w:lineRule="auto"/>
    </w:pPr>
    <w:tblPr>
      <w:tblStyleRowBandSize w:val="1"/>
      <w:tblBorders>
        <w:top w:val="single" w:sz="2" w:space="0" w:color="007B87" w:themeColor="accent3"/>
        <w:bottom w:val="single" w:sz="2" w:space="0" w:color="007B87" w:themeColor="accent3"/>
        <w:insideH w:val="single" w:sz="2" w:space="0" w:color="D1DBD2" w:themeColor="background2"/>
      </w:tblBorders>
    </w:tblPr>
    <w:trPr>
      <w:cantSplit/>
    </w:trPr>
    <w:tblStylePr w:type="firstRow">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lastRow">
      <w:rPr>
        <w:b/>
        <w:i w:val="0"/>
        <w:color w:val="007B87" w:themeColor="accent3"/>
      </w:rPr>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44069"/>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customStyle="1" w:styleId="Elemento">
    <w:name w:val="Elemento"/>
    <w:next w:val="Normal"/>
    <w:autoRedefine/>
    <w:uiPriority w:val="2"/>
    <w:qFormat/>
    <w:rsid w:val="009D7E8D"/>
    <w:pPr>
      <w:spacing w:before="80"/>
      <w:jc w:val="center"/>
    </w:pPr>
    <w:rPr>
      <w:rFonts w:ascii="ITC Avant Garde" w:hAnsi="ITC Avant Garde" w:cstheme="majorHAnsi"/>
      <w:b/>
      <w:caps/>
      <w:color w:val="auto"/>
      <w:szCs w:val="32"/>
      <w:lang w:val="es-ES_tradnl"/>
    </w:rPr>
  </w:style>
  <w:style w:type="paragraph" w:customStyle="1" w:styleId="HighlightBoxText">
    <w:name w:val="~HighlightBoxText"/>
    <w:basedOn w:val="Normal"/>
    <w:uiPriority w:val="2"/>
    <w:rsid w:val="00D1424C"/>
    <w:pPr>
      <w:spacing w:line="240" w:lineRule="auto"/>
      <w:jc w:val="left"/>
    </w:pPr>
    <w:rPr>
      <w:rFonts w:eastAsia="Times New Roman" w:cs="Times New Roman"/>
      <w:sz w:val="28"/>
    </w:rPr>
  </w:style>
  <w:style w:type="paragraph" w:customStyle="1" w:styleId="KeyMsgHead">
    <w:name w:val="~KeyMsgHead"/>
    <w:basedOn w:val="Normal"/>
    <w:uiPriority w:val="3"/>
    <w:rsid w:val="00B9546D"/>
    <w:pPr>
      <w:keepNext/>
      <w:spacing w:line="240" w:lineRule="auto"/>
      <w:ind w:right="-215"/>
      <w:jc w:val="left"/>
    </w:pPr>
    <w:rPr>
      <w:rFonts w:eastAsia="Times New Roman" w:cs="Times New Roman"/>
      <w:b/>
      <w:bCs/>
      <w:caps/>
      <w:color w:val="007B87" w:themeColor="accent3"/>
    </w:rPr>
  </w:style>
  <w:style w:type="paragraph" w:customStyle="1" w:styleId="KeyMsgBoxText">
    <w:name w:val="~KeyMsgBoxText"/>
    <w:basedOn w:val="Normal"/>
    <w:uiPriority w:val="2"/>
    <w:rsid w:val="0017538E"/>
    <w:pPr>
      <w:spacing w:after="0"/>
      <w:ind w:left="85" w:right="85"/>
      <w:jc w:val="left"/>
    </w:pPr>
  </w:style>
  <w:style w:type="paragraph" w:customStyle="1" w:styleId="QuoteSource">
    <w:name w:val="~QuoteSource"/>
    <w:basedOn w:val="Source"/>
    <w:uiPriority w:val="3"/>
    <w:qFormat/>
    <w:rsid w:val="00251F2C"/>
    <w:pPr>
      <w:tabs>
        <w:tab w:val="clear" w:pos="709"/>
      </w:tabs>
      <w:spacing w:after="120"/>
      <w:ind w:left="0" w:firstLine="0"/>
    </w:pPr>
    <w:rPr>
      <w:sz w:val="18"/>
    </w:rPr>
  </w:style>
  <w:style w:type="numbering" w:customStyle="1" w:styleId="SecListStyle0">
    <w:name w:val="~SecListStyle"/>
    <w:uiPriority w:val="99"/>
    <w:rsid w:val="00E608C3"/>
  </w:style>
  <w:style w:type="numbering" w:customStyle="1" w:styleId="SecListStyle">
    <w:name w:val="~SecListStyle"/>
    <w:next w:val="SecListStyle0"/>
    <w:uiPriority w:val="99"/>
    <w:rsid w:val="000F6504"/>
    <w:pPr>
      <w:numPr>
        <w:numId w:val="1"/>
      </w:numPr>
    </w:pPr>
  </w:style>
  <w:style w:type="character" w:customStyle="1" w:styleId="Teal">
    <w:name w:val="~Teal"/>
    <w:basedOn w:val="Fuentedeprrafopredeter"/>
    <w:uiPriority w:val="2"/>
    <w:rsid w:val="003F3DF5"/>
    <w:rPr>
      <w:color w:val="007B87" w:themeColor="accent3"/>
    </w:rPr>
  </w:style>
  <w:style w:type="character" w:customStyle="1" w:styleId="Red">
    <w:name w:val="~Red"/>
    <w:basedOn w:val="Teal"/>
    <w:uiPriority w:val="2"/>
    <w:rsid w:val="003F3DF5"/>
    <w:rPr>
      <w:color w:val="E83F35" w:themeColor="accent1"/>
    </w:rPr>
  </w:style>
  <w:style w:type="paragraph" w:customStyle="1" w:styleId="HighlightIconBoxHead">
    <w:name w:val="~HighlightIconBoxHead"/>
    <w:basedOn w:val="Normal"/>
    <w:uiPriority w:val="2"/>
    <w:rsid w:val="003D1B19"/>
    <w:pPr>
      <w:spacing w:before="0" w:after="0" w:line="288" w:lineRule="auto"/>
      <w:jc w:val="left"/>
    </w:pPr>
    <w:rPr>
      <w:rFonts w:asciiTheme="majorHAnsi" w:hAnsiTheme="majorHAnsi" w:cstheme="majorHAnsi"/>
      <w:color w:val="007B87" w:themeColor="accent3"/>
      <w:sz w:val="36"/>
      <w:szCs w:val="36"/>
    </w:rPr>
  </w:style>
  <w:style w:type="paragraph" w:customStyle="1" w:styleId="CVName">
    <w:name w:val="~CVName"/>
    <w:basedOn w:val="Sinespaciado"/>
    <w:uiPriority w:val="19"/>
    <w:semiHidden/>
    <w:qFormat/>
    <w:rsid w:val="009E31F1"/>
    <w:pPr>
      <w:keepNext/>
    </w:pPr>
    <w:rPr>
      <w:color w:val="007B87" w:themeColor="accent3"/>
      <w:sz w:val="40"/>
      <w:szCs w:val="40"/>
    </w:rPr>
  </w:style>
  <w:style w:type="paragraph" w:customStyle="1" w:styleId="CVRole">
    <w:name w:val="~CVRole"/>
    <w:basedOn w:val="Normal"/>
    <w:next w:val="CVContact"/>
    <w:uiPriority w:val="19"/>
    <w:semiHidden/>
    <w:qFormat/>
    <w:rsid w:val="00B5202C"/>
    <w:pPr>
      <w:spacing w:before="240" w:after="0" w:line="240" w:lineRule="auto"/>
      <w:ind w:left="142"/>
    </w:pPr>
    <w:rPr>
      <w:color w:val="FFFFFF" w:themeColor="background1"/>
      <w:sz w:val="24"/>
      <w:szCs w:val="24"/>
    </w:rPr>
  </w:style>
  <w:style w:type="paragraph" w:customStyle="1" w:styleId="CVContact">
    <w:name w:val="~CVContact"/>
    <w:basedOn w:val="Normal"/>
    <w:uiPriority w:val="19"/>
    <w:semiHidden/>
    <w:qFormat/>
    <w:rsid w:val="00CE4F4D"/>
    <w:pPr>
      <w:spacing w:before="180" w:after="0" w:line="240" w:lineRule="auto"/>
      <w:ind w:left="142"/>
      <w:jc w:val="left"/>
    </w:pPr>
    <w:rPr>
      <w:color w:val="FFFFFF" w:themeColor="background1"/>
      <w:sz w:val="16"/>
      <w:szCs w:val="16"/>
    </w:rPr>
  </w:style>
  <w:style w:type="paragraph" w:customStyle="1" w:styleId="CVIntro">
    <w:name w:val="~CVIntro"/>
    <w:basedOn w:val="Normal"/>
    <w:next w:val="CVText"/>
    <w:uiPriority w:val="19"/>
    <w:semiHidden/>
    <w:qFormat/>
    <w:rsid w:val="00E74C5E"/>
    <w:pPr>
      <w:ind w:left="28"/>
    </w:pPr>
    <w:rPr>
      <w:color w:val="707276" w:themeColor="text2"/>
      <w:sz w:val="28"/>
    </w:rPr>
  </w:style>
  <w:style w:type="paragraph" w:customStyle="1" w:styleId="CVHead">
    <w:name w:val="~CVHead"/>
    <w:basedOn w:val="Sinespaciado"/>
    <w:next w:val="CVText"/>
    <w:uiPriority w:val="19"/>
    <w:semiHidden/>
    <w:qFormat/>
    <w:rsid w:val="003D1B19"/>
    <w:pPr>
      <w:spacing w:before="240"/>
    </w:pPr>
    <w:rPr>
      <w:color w:val="E83F35" w:themeColor="accent1"/>
      <w:sz w:val="30"/>
    </w:rPr>
  </w:style>
  <w:style w:type="paragraph" w:customStyle="1" w:styleId="CVText">
    <w:name w:val="~CVText"/>
    <w:basedOn w:val="Normal"/>
    <w:uiPriority w:val="19"/>
    <w:semiHidden/>
    <w:qFormat/>
    <w:rsid w:val="00E74C5E"/>
  </w:style>
  <w:style w:type="paragraph" w:customStyle="1" w:styleId="CVSubHead">
    <w:name w:val="~CVSubHead"/>
    <w:basedOn w:val="Normal"/>
    <w:next w:val="Normal"/>
    <w:uiPriority w:val="19"/>
    <w:semiHidden/>
    <w:qFormat/>
    <w:rsid w:val="00B5202C"/>
    <w:pPr>
      <w:spacing w:after="0" w:line="240" w:lineRule="auto"/>
      <w:jc w:val="left"/>
    </w:pPr>
    <w:rPr>
      <w:b/>
      <w:color w:val="66B0B7" w:themeColor="accent6"/>
    </w:rPr>
  </w:style>
  <w:style w:type="paragraph" w:customStyle="1" w:styleId="CSHead">
    <w:name w:val="~CSHead"/>
    <w:basedOn w:val="Normal"/>
    <w:next w:val="CVText"/>
    <w:uiPriority w:val="19"/>
    <w:semiHidden/>
    <w:qFormat/>
    <w:rsid w:val="003D1B19"/>
    <w:pPr>
      <w:spacing w:before="180" w:after="0" w:line="288" w:lineRule="auto"/>
      <w:jc w:val="left"/>
    </w:pPr>
    <w:rPr>
      <w:color w:val="E83F35" w:themeColor="accent1"/>
      <w:sz w:val="44"/>
      <w:szCs w:val="44"/>
    </w:rPr>
  </w:style>
  <w:style w:type="paragraph" w:customStyle="1" w:styleId="CSSubHead">
    <w:name w:val="~CSSubHead"/>
    <w:basedOn w:val="Normal"/>
    <w:uiPriority w:val="19"/>
    <w:semiHidden/>
    <w:qFormat/>
    <w:rsid w:val="003D1B19"/>
    <w:pPr>
      <w:spacing w:after="0" w:line="240" w:lineRule="auto"/>
    </w:pPr>
    <w:rPr>
      <w:rFonts w:asciiTheme="majorHAnsi" w:hAnsiTheme="majorHAnsi" w:cstheme="minorBidi"/>
      <w:color w:val="E83F35" w:themeColor="accent1"/>
      <w:sz w:val="36"/>
      <w:szCs w:val="16"/>
    </w:rPr>
  </w:style>
  <w:style w:type="character" w:customStyle="1" w:styleId="Yellow">
    <w:name w:val="~Yellow"/>
    <w:basedOn w:val="Fuentedeprrafopredeter"/>
    <w:uiPriority w:val="2"/>
    <w:rsid w:val="00057AD3"/>
    <w:rPr>
      <w:color w:val="EBC000" w:themeColor="accent4"/>
    </w:rPr>
  </w:style>
  <w:style w:type="paragraph" w:customStyle="1" w:styleId="ListBullet1">
    <w:name w:val="~ListBullet1"/>
    <w:basedOn w:val="Normal"/>
    <w:autoRedefine/>
    <w:uiPriority w:val="3"/>
    <w:qFormat/>
    <w:rsid w:val="00A55B39"/>
    <w:pPr>
      <w:spacing w:before="60" w:after="60"/>
    </w:pPr>
  </w:style>
  <w:style w:type="paragraph" w:customStyle="1" w:styleId="ListBullet2">
    <w:name w:val="~ListBullet2"/>
    <w:basedOn w:val="ListBullet1"/>
    <w:autoRedefine/>
    <w:uiPriority w:val="3"/>
    <w:qFormat/>
    <w:rsid w:val="00BF6E48"/>
    <w:pPr>
      <w:numPr>
        <w:ilvl w:val="1"/>
      </w:numPr>
      <w:ind w:left="907"/>
    </w:pPr>
  </w:style>
  <w:style w:type="paragraph" w:customStyle="1" w:styleId="ListBullet3">
    <w:name w:val="~ListBullet3"/>
    <w:basedOn w:val="ListBullet2"/>
    <w:autoRedefine/>
    <w:uiPriority w:val="3"/>
    <w:qFormat/>
    <w:rsid w:val="005B430C"/>
    <w:pPr>
      <w:numPr>
        <w:ilvl w:val="2"/>
      </w:numPr>
      <w:ind w:left="1247" w:hanging="340"/>
    </w:pPr>
  </w:style>
  <w:style w:type="paragraph" w:customStyle="1" w:styleId="ListNumBullet1">
    <w:name w:val="~ListNumBullet1"/>
    <w:basedOn w:val="ListBullet1"/>
    <w:next w:val="ListBullet2"/>
    <w:uiPriority w:val="3"/>
    <w:qFormat/>
    <w:rsid w:val="003C1928"/>
    <w:pPr>
      <w:numPr>
        <w:numId w:val="6"/>
      </w:numPr>
    </w:pPr>
  </w:style>
  <w:style w:type="paragraph" w:customStyle="1" w:styleId="ListNumBullet2">
    <w:name w:val="~ListNumBullet2"/>
    <w:basedOn w:val="ListNumBullet1"/>
    <w:uiPriority w:val="3"/>
    <w:qFormat/>
    <w:rsid w:val="00E46FDB"/>
    <w:pPr>
      <w:numPr>
        <w:ilvl w:val="1"/>
        <w:numId w:val="7"/>
      </w:numPr>
    </w:pPr>
  </w:style>
  <w:style w:type="paragraph" w:customStyle="1" w:styleId="ListNumBullet3">
    <w:name w:val="~ListNumBullet3"/>
    <w:basedOn w:val="ListNumBullet2"/>
    <w:uiPriority w:val="3"/>
    <w:qFormat/>
    <w:rsid w:val="00E46FDB"/>
    <w:pPr>
      <w:numPr>
        <w:ilvl w:val="2"/>
      </w:numPr>
    </w:pPr>
  </w:style>
  <w:style w:type="paragraph" w:customStyle="1" w:styleId="AnxParaNumBullet1">
    <w:name w:val="~AnxParaNumBullet1"/>
    <w:basedOn w:val="Normal"/>
    <w:uiPriority w:val="19"/>
    <w:semiHidden/>
    <w:qFormat/>
    <w:rsid w:val="0060111F"/>
  </w:style>
  <w:style w:type="paragraph" w:customStyle="1" w:styleId="AnxParaNumBullet2">
    <w:name w:val="~AnxParaNumBullet2"/>
    <w:basedOn w:val="Normal"/>
    <w:uiPriority w:val="19"/>
    <w:semiHidden/>
    <w:qFormat/>
    <w:rsid w:val="0060111F"/>
  </w:style>
  <w:style w:type="paragraph" w:customStyle="1" w:styleId="AnxParaNumBullet3">
    <w:name w:val="~AnxParaNumBullet3"/>
    <w:basedOn w:val="Normal"/>
    <w:uiPriority w:val="19"/>
    <w:semiHidden/>
    <w:qFormat/>
    <w:rsid w:val="0060111F"/>
  </w:style>
  <w:style w:type="numbering" w:customStyle="1" w:styleId="ListNumStyle">
    <w:name w:val="~ListNumStyle"/>
    <w:uiPriority w:val="99"/>
    <w:rsid w:val="003C1928"/>
    <w:pPr>
      <w:numPr>
        <w:numId w:val="4"/>
      </w:numPr>
    </w:pPr>
  </w:style>
  <w:style w:type="paragraph" w:customStyle="1" w:styleId="CSText">
    <w:name w:val="~CSText"/>
    <w:basedOn w:val="CVText"/>
    <w:uiPriority w:val="19"/>
    <w:semiHidden/>
    <w:qFormat/>
    <w:rsid w:val="003F75DB"/>
  </w:style>
  <w:style w:type="paragraph" w:customStyle="1" w:styleId="KeyMsgText">
    <w:name w:val="~KeyMsgText"/>
    <w:basedOn w:val="Normal"/>
    <w:uiPriority w:val="2"/>
    <w:rsid w:val="00BC1411"/>
    <w:pPr>
      <w:spacing w:after="0"/>
      <w:ind w:left="85" w:right="85"/>
      <w:jc w:val="left"/>
    </w:pPr>
  </w:style>
  <w:style w:type="paragraph" w:customStyle="1" w:styleId="Citamedida">
    <w:name w:val="Cita medida"/>
    <w:basedOn w:val="Normal"/>
    <w:autoRedefine/>
    <w:uiPriority w:val="3"/>
    <w:qFormat/>
    <w:rsid w:val="0029547E"/>
    <w:pPr>
      <w:spacing w:after="60"/>
      <w:ind w:left="851" w:right="900"/>
    </w:pPr>
    <w:rPr>
      <w:rFonts w:eastAsia="Times New Roman" w:cs="Times New Roman"/>
      <w:i/>
      <w:sz w:val="18"/>
    </w:rPr>
  </w:style>
  <w:style w:type="character" w:styleId="nfasis">
    <w:name w:val="Emphasis"/>
    <w:basedOn w:val="Fuentedeprrafopredeter"/>
    <w:uiPriority w:val="20"/>
    <w:qFormat/>
    <w:rsid w:val="00F53D0E"/>
    <w:rPr>
      <w:i/>
      <w:iCs/>
    </w:rPr>
  </w:style>
  <w:style w:type="character" w:styleId="nfasisintenso">
    <w:name w:val="Intense Emphasis"/>
    <w:basedOn w:val="Fuentedeprrafopredeter"/>
    <w:uiPriority w:val="19"/>
    <w:rsid w:val="00F53D0E"/>
    <w:rPr>
      <w:i/>
      <w:iCs/>
      <w:color w:val="E83F35" w:themeColor="accent1"/>
    </w:rPr>
  </w:style>
  <w:style w:type="character" w:styleId="nfasissutil">
    <w:name w:val="Subtle Emphasis"/>
    <w:basedOn w:val="Fuentedeprrafopredeter"/>
    <w:uiPriority w:val="19"/>
    <w:rsid w:val="00F53D0E"/>
    <w:rPr>
      <w:i/>
      <w:iCs/>
      <w:color w:val="5F7280" w:themeColor="text1" w:themeTint="BF"/>
    </w:rPr>
  </w:style>
  <w:style w:type="character" w:styleId="Referenciaintensa">
    <w:name w:val="Intense Reference"/>
    <w:basedOn w:val="Fuentedeprrafopredeter"/>
    <w:uiPriority w:val="19"/>
    <w:rsid w:val="00F53D0E"/>
    <w:rPr>
      <w:b/>
      <w:bCs/>
      <w:smallCaps/>
      <w:color w:val="E83F35" w:themeColor="accent1"/>
      <w:spacing w:val="5"/>
    </w:rPr>
  </w:style>
  <w:style w:type="character" w:styleId="Referenciasutil">
    <w:name w:val="Subtle Reference"/>
    <w:uiPriority w:val="19"/>
    <w:rsid w:val="008260AD"/>
    <w:rPr>
      <w:rFonts w:ascii="ITC Avant Garde" w:hAnsi="ITC Avant Garde"/>
      <w:color w:val="auto"/>
    </w:rPr>
  </w:style>
  <w:style w:type="character" w:styleId="Textoennegrita">
    <w:name w:val="Strong"/>
    <w:aliases w:val="Normal negrita"/>
    <w:basedOn w:val="Fuentedeprrafopredeter"/>
    <w:uiPriority w:val="19"/>
    <w:qFormat/>
    <w:rsid w:val="00875DAD"/>
    <w:rPr>
      <w:rFonts w:ascii="ITC Avant Garde" w:hAnsi="ITC Avant Garde"/>
      <w:b/>
      <w:bCs/>
      <w:sz w:val="18"/>
    </w:rPr>
  </w:style>
  <w:style w:type="character" w:styleId="Ttulodellibro">
    <w:name w:val="Book Title"/>
    <w:basedOn w:val="Fuentedeprrafopredeter"/>
    <w:uiPriority w:val="19"/>
    <w:rsid w:val="00F53D0E"/>
    <w:rPr>
      <w:b/>
      <w:bCs/>
      <w:i/>
      <w:iCs/>
      <w:spacing w:val="5"/>
    </w:rPr>
  </w:style>
  <w:style w:type="character" w:customStyle="1" w:styleId="PrrafodelistaCar">
    <w:name w:val="Párrafo de lista Car"/>
    <w:aliases w:val="Romanos Car,4 Viñ 1nivel Car,Numeración 1 Car,Cuadrícula media 1 - Énfasis 21 Car,Listas Car,lp1 Car"/>
    <w:link w:val="Prrafodelista"/>
    <w:uiPriority w:val="34"/>
    <w:rsid w:val="008C7F09"/>
    <w:rPr>
      <w:rFonts w:ascii="ITC Avant Garde" w:hAnsi="ITC Avant Garde"/>
      <w:color w:val="auto"/>
      <w:lang w:val="es-ES_tradnl"/>
    </w:rPr>
  </w:style>
  <w:style w:type="paragraph" w:customStyle="1" w:styleId="7CitaTextual">
    <w:name w:val="7 Cita Textual"/>
    <w:basedOn w:val="Normal"/>
    <w:link w:val="7CitaTextualCar"/>
    <w:qFormat/>
    <w:rsid w:val="00A152C0"/>
    <w:pPr>
      <w:spacing w:before="40" w:after="200" w:line="276" w:lineRule="auto"/>
      <w:ind w:left="567" w:right="567"/>
    </w:pPr>
    <w:rPr>
      <w:rFonts w:cstheme="minorBidi"/>
      <w:i/>
      <w:sz w:val="18"/>
      <w:lang w:val="es-MX"/>
    </w:rPr>
  </w:style>
  <w:style w:type="character" w:customStyle="1" w:styleId="7CitaTextualCar">
    <w:name w:val="7 Cita Textual Car"/>
    <w:basedOn w:val="Fuentedeprrafopredeter"/>
    <w:link w:val="7CitaTextual"/>
    <w:rsid w:val="00A152C0"/>
    <w:rPr>
      <w:rFonts w:ascii="ITC Avant Garde" w:hAnsi="ITC Avant Garde" w:cstheme="minorBidi"/>
      <w:i/>
      <w:color w:val="auto"/>
      <w:sz w:val="18"/>
      <w:lang w:val="es-MX"/>
    </w:rPr>
  </w:style>
  <w:style w:type="paragraph" w:customStyle="1" w:styleId="Antecedentes">
    <w:name w:val="Antecedentes"/>
    <w:basedOn w:val="Prrafodelista"/>
    <w:link w:val="AntecedentesCar"/>
    <w:qFormat/>
    <w:rsid w:val="00A152C0"/>
    <w:pPr>
      <w:numPr>
        <w:numId w:val="9"/>
      </w:numPr>
      <w:tabs>
        <w:tab w:val="left" w:pos="9356"/>
      </w:tabs>
      <w:spacing w:line="276" w:lineRule="auto"/>
      <w:ind w:left="714" w:hanging="357"/>
    </w:pPr>
    <w:rPr>
      <w:lang w:val="en-GB"/>
    </w:rPr>
  </w:style>
  <w:style w:type="character" w:customStyle="1" w:styleId="AntecedentesCar">
    <w:name w:val="Antecedentes Car"/>
    <w:basedOn w:val="Fuentedeprrafopredeter"/>
    <w:link w:val="Antecedentes"/>
    <w:rsid w:val="00A152C0"/>
    <w:rPr>
      <w:rFonts w:ascii="ITC Avant Garde" w:hAnsi="ITC Avant Garde"/>
      <w:color w:val="auto"/>
    </w:rPr>
  </w:style>
  <w:style w:type="paragraph" w:customStyle="1" w:styleId="Inciso1ernivel">
    <w:name w:val="Inciso 1er nivel"/>
    <w:basedOn w:val="Normal"/>
    <w:qFormat/>
    <w:rsid w:val="00282A14"/>
    <w:pPr>
      <w:numPr>
        <w:numId w:val="10"/>
      </w:numPr>
      <w:adjustRightInd w:val="0"/>
      <w:spacing w:line="276" w:lineRule="auto"/>
    </w:pPr>
    <w:rPr>
      <w:rFonts w:eastAsia="Calibri"/>
      <w:bCs/>
      <w:color w:val="000000"/>
      <w:lang w:val="en-GB" w:eastAsia="es-ES"/>
    </w:rPr>
  </w:style>
  <w:style w:type="table" w:customStyle="1" w:styleId="Tablaconcuadrcula1">
    <w:name w:val="Tabla con cuadrícula1"/>
    <w:basedOn w:val="Tablanormal"/>
    <w:next w:val="Tablaconcuadrcula"/>
    <w:uiPriority w:val="39"/>
    <w:rsid w:val="00273648"/>
    <w:pPr>
      <w:spacing w:after="0" w:line="240" w:lineRule="auto"/>
    </w:pPr>
    <w:rPr>
      <w:rFonts w:cstheme="minorBidi"/>
      <w:color w:val="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ulletsPrimero">
    <w:name w:val="1 Bullets Primero"/>
    <w:basedOn w:val="Normal"/>
    <w:link w:val="1BulletsPrimeroCar"/>
    <w:autoRedefine/>
    <w:uiPriority w:val="3"/>
    <w:qFormat/>
    <w:rsid w:val="00527CBD"/>
    <w:pPr>
      <w:spacing w:before="60" w:after="60" w:line="276" w:lineRule="auto"/>
      <w:ind w:left="567" w:hanging="340"/>
    </w:pPr>
    <w:rPr>
      <w:lang w:val="es-ES" w:eastAsia="es-ES"/>
    </w:rPr>
  </w:style>
  <w:style w:type="paragraph" w:customStyle="1" w:styleId="2BulletsSegundo">
    <w:name w:val="2 Bullets Segundo"/>
    <w:basedOn w:val="1BulletsPrimero"/>
    <w:autoRedefine/>
    <w:uiPriority w:val="3"/>
    <w:qFormat/>
    <w:rsid w:val="00527CBD"/>
    <w:pPr>
      <w:ind w:left="993"/>
    </w:pPr>
  </w:style>
  <w:style w:type="paragraph" w:customStyle="1" w:styleId="3BulletsTercero">
    <w:name w:val="3 Bullets Tercero"/>
    <w:basedOn w:val="2BulletsSegundo"/>
    <w:autoRedefine/>
    <w:uiPriority w:val="3"/>
    <w:qFormat/>
    <w:rsid w:val="00527CBD"/>
    <w:pPr>
      <w:spacing w:line="264" w:lineRule="auto"/>
      <w:ind w:left="1418" w:hanging="341"/>
    </w:p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99"/>
    <w:rsid w:val="00AE1DF6"/>
    <w:rPr>
      <w:rFonts w:ascii="ITC Avant Garde" w:hAnsi="ITC Avant Garde"/>
      <w:color w:val="auto"/>
      <w:sz w:val="16"/>
      <w:szCs w:val="18"/>
      <w:lang w:val="es-ES_tradnl"/>
    </w:rPr>
  </w:style>
  <w:style w:type="paragraph" w:customStyle="1" w:styleId="BulletCMI">
    <w:name w:val="Bullet CMI"/>
    <w:basedOn w:val="3BulletsTercero"/>
    <w:qFormat/>
    <w:rsid w:val="00527CBD"/>
    <w:pPr>
      <w:ind w:left="2127" w:firstLine="0"/>
    </w:pPr>
  </w:style>
  <w:style w:type="character" w:customStyle="1" w:styleId="1BulletsPrimeroCar">
    <w:name w:val="1 Bullets Primero Car"/>
    <w:basedOn w:val="Fuentedeprrafopredeter"/>
    <w:link w:val="1BulletsPrimero"/>
    <w:uiPriority w:val="3"/>
    <w:rsid w:val="00527CBD"/>
    <w:rPr>
      <w:rFonts w:ascii="ITC Avant Garde" w:hAnsi="ITC Avant Garde"/>
      <w:color w:val="auto"/>
      <w:lang w:val="es-ES" w:eastAsia="es-ES"/>
    </w:rPr>
  </w:style>
  <w:style w:type="paragraph" w:customStyle="1" w:styleId="estilo30">
    <w:name w:val="estilo30"/>
    <w:basedOn w:val="Normal"/>
    <w:uiPriority w:val="99"/>
    <w:rsid w:val="00122C8D"/>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7043">
      <w:bodyDiv w:val="1"/>
      <w:marLeft w:val="0"/>
      <w:marRight w:val="0"/>
      <w:marTop w:val="0"/>
      <w:marBottom w:val="0"/>
      <w:divBdr>
        <w:top w:val="none" w:sz="0" w:space="0" w:color="auto"/>
        <w:left w:val="none" w:sz="0" w:space="0" w:color="auto"/>
        <w:bottom w:val="none" w:sz="0" w:space="0" w:color="auto"/>
        <w:right w:val="none" w:sz="0" w:space="0" w:color="auto"/>
      </w:divBdr>
      <w:divsChild>
        <w:div w:id="29913493">
          <w:marLeft w:val="562"/>
          <w:marRight w:val="0"/>
          <w:marTop w:val="0"/>
          <w:marBottom w:val="160"/>
          <w:divBdr>
            <w:top w:val="none" w:sz="0" w:space="0" w:color="auto"/>
            <w:left w:val="none" w:sz="0" w:space="0" w:color="auto"/>
            <w:bottom w:val="none" w:sz="0" w:space="0" w:color="auto"/>
            <w:right w:val="none" w:sz="0" w:space="0" w:color="auto"/>
          </w:divBdr>
        </w:div>
      </w:divsChild>
    </w:div>
    <w:div w:id="288440155">
      <w:bodyDiv w:val="1"/>
      <w:marLeft w:val="0"/>
      <w:marRight w:val="0"/>
      <w:marTop w:val="0"/>
      <w:marBottom w:val="0"/>
      <w:divBdr>
        <w:top w:val="none" w:sz="0" w:space="0" w:color="auto"/>
        <w:left w:val="none" w:sz="0" w:space="0" w:color="auto"/>
        <w:bottom w:val="none" w:sz="0" w:space="0" w:color="auto"/>
        <w:right w:val="none" w:sz="0" w:space="0" w:color="auto"/>
      </w:divBdr>
    </w:div>
    <w:div w:id="324407631">
      <w:bodyDiv w:val="1"/>
      <w:marLeft w:val="0"/>
      <w:marRight w:val="0"/>
      <w:marTop w:val="0"/>
      <w:marBottom w:val="0"/>
      <w:divBdr>
        <w:top w:val="none" w:sz="0" w:space="0" w:color="auto"/>
        <w:left w:val="none" w:sz="0" w:space="0" w:color="auto"/>
        <w:bottom w:val="none" w:sz="0" w:space="0" w:color="auto"/>
        <w:right w:val="none" w:sz="0" w:space="0" w:color="auto"/>
      </w:divBdr>
    </w:div>
    <w:div w:id="469446462">
      <w:bodyDiv w:val="1"/>
      <w:marLeft w:val="0"/>
      <w:marRight w:val="0"/>
      <w:marTop w:val="0"/>
      <w:marBottom w:val="0"/>
      <w:divBdr>
        <w:top w:val="none" w:sz="0" w:space="0" w:color="auto"/>
        <w:left w:val="none" w:sz="0" w:space="0" w:color="auto"/>
        <w:bottom w:val="none" w:sz="0" w:space="0" w:color="auto"/>
        <w:right w:val="none" w:sz="0" w:space="0" w:color="auto"/>
      </w:divBdr>
    </w:div>
    <w:div w:id="533812088">
      <w:bodyDiv w:val="1"/>
      <w:marLeft w:val="0"/>
      <w:marRight w:val="0"/>
      <w:marTop w:val="0"/>
      <w:marBottom w:val="0"/>
      <w:divBdr>
        <w:top w:val="none" w:sz="0" w:space="0" w:color="auto"/>
        <w:left w:val="none" w:sz="0" w:space="0" w:color="auto"/>
        <w:bottom w:val="none" w:sz="0" w:space="0" w:color="auto"/>
        <w:right w:val="none" w:sz="0" w:space="0" w:color="auto"/>
      </w:divBdr>
    </w:div>
    <w:div w:id="581908787">
      <w:bodyDiv w:val="1"/>
      <w:marLeft w:val="0"/>
      <w:marRight w:val="0"/>
      <w:marTop w:val="0"/>
      <w:marBottom w:val="0"/>
      <w:divBdr>
        <w:top w:val="none" w:sz="0" w:space="0" w:color="auto"/>
        <w:left w:val="none" w:sz="0" w:space="0" w:color="auto"/>
        <w:bottom w:val="none" w:sz="0" w:space="0" w:color="auto"/>
        <w:right w:val="none" w:sz="0" w:space="0" w:color="auto"/>
      </w:divBdr>
    </w:div>
    <w:div w:id="631131784">
      <w:bodyDiv w:val="1"/>
      <w:marLeft w:val="0"/>
      <w:marRight w:val="0"/>
      <w:marTop w:val="0"/>
      <w:marBottom w:val="0"/>
      <w:divBdr>
        <w:top w:val="none" w:sz="0" w:space="0" w:color="auto"/>
        <w:left w:val="none" w:sz="0" w:space="0" w:color="auto"/>
        <w:bottom w:val="none" w:sz="0" w:space="0" w:color="auto"/>
        <w:right w:val="none" w:sz="0" w:space="0" w:color="auto"/>
      </w:divBdr>
    </w:div>
    <w:div w:id="731462108">
      <w:bodyDiv w:val="1"/>
      <w:marLeft w:val="0"/>
      <w:marRight w:val="0"/>
      <w:marTop w:val="0"/>
      <w:marBottom w:val="0"/>
      <w:divBdr>
        <w:top w:val="none" w:sz="0" w:space="0" w:color="auto"/>
        <w:left w:val="none" w:sz="0" w:space="0" w:color="auto"/>
        <w:bottom w:val="none" w:sz="0" w:space="0" w:color="auto"/>
        <w:right w:val="none" w:sz="0" w:space="0" w:color="auto"/>
      </w:divBdr>
    </w:div>
    <w:div w:id="1040403699">
      <w:bodyDiv w:val="1"/>
      <w:marLeft w:val="0"/>
      <w:marRight w:val="0"/>
      <w:marTop w:val="0"/>
      <w:marBottom w:val="0"/>
      <w:divBdr>
        <w:top w:val="none" w:sz="0" w:space="0" w:color="auto"/>
        <w:left w:val="none" w:sz="0" w:space="0" w:color="auto"/>
        <w:bottom w:val="none" w:sz="0" w:space="0" w:color="auto"/>
        <w:right w:val="none" w:sz="0" w:space="0" w:color="auto"/>
      </w:divBdr>
      <w:divsChild>
        <w:div w:id="870799387">
          <w:marLeft w:val="1166"/>
          <w:marRight w:val="0"/>
          <w:marTop w:val="0"/>
          <w:marBottom w:val="0"/>
          <w:divBdr>
            <w:top w:val="none" w:sz="0" w:space="0" w:color="auto"/>
            <w:left w:val="none" w:sz="0" w:space="0" w:color="auto"/>
            <w:bottom w:val="none" w:sz="0" w:space="0" w:color="auto"/>
            <w:right w:val="none" w:sz="0" w:space="0" w:color="auto"/>
          </w:divBdr>
        </w:div>
        <w:div w:id="2140612498">
          <w:marLeft w:val="1166"/>
          <w:marRight w:val="0"/>
          <w:marTop w:val="0"/>
          <w:marBottom w:val="0"/>
          <w:divBdr>
            <w:top w:val="none" w:sz="0" w:space="0" w:color="auto"/>
            <w:left w:val="none" w:sz="0" w:space="0" w:color="auto"/>
            <w:bottom w:val="none" w:sz="0" w:space="0" w:color="auto"/>
            <w:right w:val="none" w:sz="0" w:space="0" w:color="auto"/>
          </w:divBdr>
        </w:div>
        <w:div w:id="829752268">
          <w:marLeft w:val="1166"/>
          <w:marRight w:val="0"/>
          <w:marTop w:val="0"/>
          <w:marBottom w:val="0"/>
          <w:divBdr>
            <w:top w:val="none" w:sz="0" w:space="0" w:color="auto"/>
            <w:left w:val="none" w:sz="0" w:space="0" w:color="auto"/>
            <w:bottom w:val="none" w:sz="0" w:space="0" w:color="auto"/>
            <w:right w:val="none" w:sz="0" w:space="0" w:color="auto"/>
          </w:divBdr>
        </w:div>
        <w:div w:id="178158648">
          <w:marLeft w:val="1166"/>
          <w:marRight w:val="0"/>
          <w:marTop w:val="0"/>
          <w:marBottom w:val="0"/>
          <w:divBdr>
            <w:top w:val="none" w:sz="0" w:space="0" w:color="auto"/>
            <w:left w:val="none" w:sz="0" w:space="0" w:color="auto"/>
            <w:bottom w:val="none" w:sz="0" w:space="0" w:color="auto"/>
            <w:right w:val="none" w:sz="0" w:space="0" w:color="auto"/>
          </w:divBdr>
        </w:div>
        <w:div w:id="2123110840">
          <w:marLeft w:val="1166"/>
          <w:marRight w:val="0"/>
          <w:marTop w:val="0"/>
          <w:marBottom w:val="0"/>
          <w:divBdr>
            <w:top w:val="none" w:sz="0" w:space="0" w:color="auto"/>
            <w:left w:val="none" w:sz="0" w:space="0" w:color="auto"/>
            <w:bottom w:val="none" w:sz="0" w:space="0" w:color="auto"/>
            <w:right w:val="none" w:sz="0" w:space="0" w:color="auto"/>
          </w:divBdr>
        </w:div>
        <w:div w:id="937636168">
          <w:marLeft w:val="1166"/>
          <w:marRight w:val="0"/>
          <w:marTop w:val="0"/>
          <w:marBottom w:val="0"/>
          <w:divBdr>
            <w:top w:val="none" w:sz="0" w:space="0" w:color="auto"/>
            <w:left w:val="none" w:sz="0" w:space="0" w:color="auto"/>
            <w:bottom w:val="none" w:sz="0" w:space="0" w:color="auto"/>
            <w:right w:val="none" w:sz="0" w:space="0" w:color="auto"/>
          </w:divBdr>
        </w:div>
      </w:divsChild>
    </w:div>
    <w:div w:id="1223833130">
      <w:bodyDiv w:val="1"/>
      <w:marLeft w:val="0"/>
      <w:marRight w:val="0"/>
      <w:marTop w:val="0"/>
      <w:marBottom w:val="0"/>
      <w:divBdr>
        <w:top w:val="none" w:sz="0" w:space="0" w:color="auto"/>
        <w:left w:val="none" w:sz="0" w:space="0" w:color="auto"/>
        <w:bottom w:val="none" w:sz="0" w:space="0" w:color="auto"/>
        <w:right w:val="none" w:sz="0" w:space="0" w:color="auto"/>
      </w:divBdr>
    </w:div>
    <w:div w:id="1334651888">
      <w:bodyDiv w:val="1"/>
      <w:marLeft w:val="0"/>
      <w:marRight w:val="0"/>
      <w:marTop w:val="0"/>
      <w:marBottom w:val="0"/>
      <w:divBdr>
        <w:top w:val="none" w:sz="0" w:space="0" w:color="auto"/>
        <w:left w:val="none" w:sz="0" w:space="0" w:color="auto"/>
        <w:bottom w:val="none" w:sz="0" w:space="0" w:color="auto"/>
        <w:right w:val="none" w:sz="0" w:space="0" w:color="auto"/>
      </w:divBdr>
      <w:divsChild>
        <w:div w:id="1278950510">
          <w:marLeft w:val="562"/>
          <w:marRight w:val="0"/>
          <w:marTop w:val="0"/>
          <w:marBottom w:val="160"/>
          <w:divBdr>
            <w:top w:val="none" w:sz="0" w:space="0" w:color="auto"/>
            <w:left w:val="none" w:sz="0" w:space="0" w:color="auto"/>
            <w:bottom w:val="none" w:sz="0" w:space="0" w:color="auto"/>
            <w:right w:val="none" w:sz="0" w:space="0" w:color="auto"/>
          </w:divBdr>
        </w:div>
      </w:divsChild>
    </w:div>
    <w:div w:id="1352336978">
      <w:bodyDiv w:val="1"/>
      <w:marLeft w:val="0"/>
      <w:marRight w:val="0"/>
      <w:marTop w:val="0"/>
      <w:marBottom w:val="0"/>
      <w:divBdr>
        <w:top w:val="none" w:sz="0" w:space="0" w:color="auto"/>
        <w:left w:val="none" w:sz="0" w:space="0" w:color="auto"/>
        <w:bottom w:val="none" w:sz="0" w:space="0" w:color="auto"/>
        <w:right w:val="none" w:sz="0" w:space="0" w:color="auto"/>
      </w:divBdr>
    </w:div>
    <w:div w:id="1676762216">
      <w:bodyDiv w:val="1"/>
      <w:marLeft w:val="0"/>
      <w:marRight w:val="0"/>
      <w:marTop w:val="0"/>
      <w:marBottom w:val="0"/>
      <w:divBdr>
        <w:top w:val="none" w:sz="0" w:space="0" w:color="auto"/>
        <w:left w:val="none" w:sz="0" w:space="0" w:color="auto"/>
        <w:bottom w:val="none" w:sz="0" w:space="0" w:color="auto"/>
        <w:right w:val="none" w:sz="0" w:space="0" w:color="auto"/>
      </w:divBdr>
    </w:div>
    <w:div w:id="1874612939">
      <w:bodyDiv w:val="1"/>
      <w:marLeft w:val="0"/>
      <w:marRight w:val="0"/>
      <w:marTop w:val="0"/>
      <w:marBottom w:val="0"/>
      <w:divBdr>
        <w:top w:val="none" w:sz="0" w:space="0" w:color="auto"/>
        <w:left w:val="none" w:sz="0" w:space="0" w:color="auto"/>
        <w:bottom w:val="none" w:sz="0" w:space="0" w:color="auto"/>
        <w:right w:val="none" w:sz="0" w:space="0" w:color="auto"/>
      </w:divBdr>
    </w:div>
    <w:div w:id="18873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rontier\Templates\Frontier%20Economics%20Note%20Template.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suarios\armando.zacateco\Desktop\Telecomunicaciones%20y%20radiodifusion\Separaci&#243;n%20Funcional\ICD\Tablas%20muestra%20IC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400" b="1" i="0" baseline="0">
                <a:solidFill>
                  <a:schemeClr val="tx1"/>
                </a:solidFill>
                <a:effectLst/>
              </a:rPr>
              <a:t>Diferencias en el tiempo de atención de solicitudes de Enlaces Dedicados CS y AEP</a:t>
            </a:r>
            <a:endParaRPr lang="es-MX" sz="1400" b="1">
              <a:solidFill>
                <a:schemeClr val="tx1"/>
              </a:solidFill>
              <a:effectLst/>
            </a:endParaRPr>
          </a:p>
        </c:rich>
      </c:tx>
      <c:overlay val="0"/>
      <c:spPr>
        <a:noFill/>
        <a:ln>
          <a:noFill/>
        </a:ln>
        <a:effectLst/>
      </c:spPr>
    </c:title>
    <c:autoTitleDeleted val="0"/>
    <c:plotArea>
      <c:layout>
        <c:manualLayout>
          <c:layoutTarget val="inner"/>
          <c:xMode val="edge"/>
          <c:yMode val="edge"/>
          <c:x val="8.1910415786056762E-2"/>
          <c:y val="0.25308209636560808"/>
          <c:w val="0.89943372114921671"/>
          <c:h val="0.66364793676783873"/>
        </c:manualLayout>
      </c:layout>
      <c:lineChart>
        <c:grouping val="standard"/>
        <c:varyColors val="0"/>
        <c:ser>
          <c:idx val="1"/>
          <c:order val="0"/>
          <c:tx>
            <c:strRef>
              <c:f>'Gráfica Z atención'!$D$3</c:f>
              <c:strCache>
                <c:ptCount val="1"/>
                <c:pt idx="0">
                  <c:v>Intervalo 95%</c:v>
                </c:pt>
              </c:strCache>
            </c:strRef>
          </c:tx>
          <c:spPr>
            <a:ln w="38100" cap="rnd">
              <a:solidFill>
                <a:srgbClr val="FFC000"/>
              </a:solidFill>
              <a:round/>
            </a:ln>
            <a:effectLst/>
          </c:spPr>
          <c:marker>
            <c:symbol val="none"/>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atención'!$D$12:$D$27</c:f>
              <c:numCache>
                <c:formatCode>General</c:formatCode>
                <c:ptCount val="16"/>
                <c:pt idx="0">
                  <c:v>-1.96</c:v>
                </c:pt>
                <c:pt idx="1">
                  <c:v>-1.96</c:v>
                </c:pt>
                <c:pt idx="2">
                  <c:v>-1.96</c:v>
                </c:pt>
                <c:pt idx="3">
                  <c:v>-1.96</c:v>
                </c:pt>
                <c:pt idx="4">
                  <c:v>-1.96</c:v>
                </c:pt>
                <c:pt idx="5">
                  <c:v>-1.96</c:v>
                </c:pt>
                <c:pt idx="6">
                  <c:v>-1.96</c:v>
                </c:pt>
                <c:pt idx="7">
                  <c:v>-1.96</c:v>
                </c:pt>
                <c:pt idx="8">
                  <c:v>-1.96</c:v>
                </c:pt>
                <c:pt idx="9">
                  <c:v>-1.96</c:v>
                </c:pt>
                <c:pt idx="10">
                  <c:v>-1.96</c:v>
                </c:pt>
                <c:pt idx="11">
                  <c:v>-1.96</c:v>
                </c:pt>
                <c:pt idx="12">
                  <c:v>-1.96</c:v>
                </c:pt>
                <c:pt idx="13">
                  <c:v>-1.96</c:v>
                </c:pt>
                <c:pt idx="14">
                  <c:v>-1.96</c:v>
                </c:pt>
                <c:pt idx="15">
                  <c:v>-1.96</c:v>
                </c:pt>
              </c:numCache>
            </c:numRef>
          </c:val>
          <c:smooth val="0"/>
        </c:ser>
        <c:ser>
          <c:idx val="2"/>
          <c:order val="1"/>
          <c:tx>
            <c:strRef>
              <c:f>'Gráfica Z atención'!$E$3</c:f>
              <c:strCache>
                <c:ptCount val="1"/>
                <c:pt idx="0">
                  <c:v>centro</c:v>
                </c:pt>
              </c:strCache>
            </c:strRef>
          </c:tx>
          <c:spPr>
            <a:ln w="38100" cap="rnd">
              <a:solidFill>
                <a:schemeClr val="accent6">
                  <a:lumMod val="50000"/>
                </a:schemeClr>
              </a:solidFill>
              <a:round/>
            </a:ln>
            <a:effectLst/>
          </c:spPr>
          <c:marker>
            <c:symbol val="none"/>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atención'!$E$12:$E$27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ser>
        <c:ser>
          <c:idx val="3"/>
          <c:order val="2"/>
          <c:tx>
            <c:strRef>
              <c:f>'Gráfica Z atención'!$F$3</c:f>
              <c:strCache>
                <c:ptCount val="1"/>
                <c:pt idx="0">
                  <c:v>Intervalo 95%</c:v>
                </c:pt>
              </c:strCache>
            </c:strRef>
          </c:tx>
          <c:spPr>
            <a:ln w="38100" cap="rnd">
              <a:solidFill>
                <a:srgbClr val="FFC000"/>
              </a:solidFill>
              <a:round/>
            </a:ln>
            <a:effectLst/>
          </c:spPr>
          <c:marker>
            <c:symbol val="none"/>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atención'!$F$12:$F$27</c:f>
              <c:numCache>
                <c:formatCode>General</c:formatCode>
                <c:ptCount val="16"/>
                <c:pt idx="0">
                  <c:v>1.96</c:v>
                </c:pt>
                <c:pt idx="1">
                  <c:v>1.96</c:v>
                </c:pt>
                <c:pt idx="2">
                  <c:v>1.96</c:v>
                </c:pt>
                <c:pt idx="3">
                  <c:v>1.96</c:v>
                </c:pt>
                <c:pt idx="4">
                  <c:v>1.96</c:v>
                </c:pt>
                <c:pt idx="5">
                  <c:v>1.96</c:v>
                </c:pt>
                <c:pt idx="6">
                  <c:v>1.96</c:v>
                </c:pt>
                <c:pt idx="7">
                  <c:v>1.96</c:v>
                </c:pt>
                <c:pt idx="8">
                  <c:v>1.96</c:v>
                </c:pt>
                <c:pt idx="9">
                  <c:v>1.96</c:v>
                </c:pt>
                <c:pt idx="10">
                  <c:v>1.96</c:v>
                </c:pt>
                <c:pt idx="11">
                  <c:v>1.96</c:v>
                </c:pt>
                <c:pt idx="12">
                  <c:v>1.96</c:v>
                </c:pt>
                <c:pt idx="13">
                  <c:v>1.96</c:v>
                </c:pt>
                <c:pt idx="14">
                  <c:v>1.96</c:v>
                </c:pt>
                <c:pt idx="15">
                  <c:v>1.96</c:v>
                </c:pt>
              </c:numCache>
            </c:numRef>
          </c:val>
          <c:smooth val="0"/>
        </c:ser>
        <c:ser>
          <c:idx val="4"/>
          <c:order val="3"/>
          <c:tx>
            <c:strRef>
              <c:f>'Gráfica Z atención'!$G$3</c:f>
              <c:strCache>
                <c:ptCount val="1"/>
                <c:pt idx="0">
                  <c:v>Estadístico Z</c:v>
                </c:pt>
              </c:strCache>
            </c:strRef>
          </c:tx>
          <c:spPr>
            <a:ln w="38100" cap="rnd">
              <a:solidFill>
                <a:schemeClr val="accent5"/>
              </a:solidFill>
              <a:round/>
            </a:ln>
            <a:effectLst/>
          </c:spPr>
          <c:marker>
            <c:symbol val="circle"/>
            <c:size val="5"/>
            <c:spPr>
              <a:solidFill>
                <a:schemeClr val="accent5"/>
              </a:solidFill>
              <a:ln w="69850">
                <a:solidFill>
                  <a:schemeClr val="accent5">
                    <a:lumMod val="75000"/>
                  </a:schemeClr>
                </a:solidFill>
              </a:ln>
              <a:effectLst/>
            </c:spPr>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atención'!$G$12:$G$27</c:f>
              <c:numCache>
                <c:formatCode>_(* #,##0.00_);_(* \(#,##0.00\);_(* "-"??_);_(@_)</c:formatCode>
                <c:ptCount val="16"/>
                <c:pt idx="0">
                  <c:v>2.3485878951145234E-2</c:v>
                </c:pt>
                <c:pt idx="1">
                  <c:v>5.0641290832152096E-2</c:v>
                </c:pt>
                <c:pt idx="2">
                  <c:v>6.6120772588987298E-2</c:v>
                </c:pt>
                <c:pt idx="3">
                  <c:v>0.13584118728711092</c:v>
                </c:pt>
                <c:pt idx="4">
                  <c:v>0</c:v>
                </c:pt>
                <c:pt idx="5">
                  <c:v>-1.8622508953909975E-2</c:v>
                </c:pt>
                <c:pt idx="6">
                  <c:v>2.7886552644164422E-2</c:v>
                </c:pt>
                <c:pt idx="7">
                  <c:v>0</c:v>
                </c:pt>
                <c:pt idx="8">
                  <c:v>-0.28263750850591884</c:v>
                </c:pt>
                <c:pt idx="9">
                  <c:v>0.10363842455029518</c:v>
                </c:pt>
                <c:pt idx="10">
                  <c:v>-0.44156551503827063</c:v>
                </c:pt>
                <c:pt idx="11">
                  <c:v>1.8981700852924819</c:v>
                </c:pt>
                <c:pt idx="12">
                  <c:v>1.059962094522976</c:v>
                </c:pt>
                <c:pt idx="13">
                  <c:v>1.1697366717835072</c:v>
                </c:pt>
                <c:pt idx="14">
                  <c:v>0.1872269741037963</c:v>
                </c:pt>
                <c:pt idx="15">
                  <c:v>-0.25296655381134536</c:v>
                </c:pt>
              </c:numCache>
            </c:numRef>
          </c:val>
          <c:smooth val="0"/>
        </c:ser>
        <c:dLbls>
          <c:dLblPos val="ctr"/>
          <c:showLegendKey val="0"/>
          <c:showVal val="1"/>
          <c:showCatName val="0"/>
          <c:showSerName val="0"/>
          <c:showPercent val="0"/>
          <c:showBubbleSize val="0"/>
        </c:dLbls>
        <c:smooth val="0"/>
        <c:axId val="489268104"/>
        <c:axId val="489268888"/>
      </c:lineChart>
      <c:catAx>
        <c:axId val="48926810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s-MX" sz="1400" b="1">
                    <a:solidFill>
                      <a:sysClr val="windowText" lastClr="000000"/>
                    </a:solidFill>
                  </a:rPr>
                  <a:t>Mes</a:t>
                </a:r>
                <a:endParaRPr lang="es-MX" sz="1400"/>
              </a:p>
            </c:rich>
          </c:tx>
          <c:layout>
            <c:manualLayout>
              <c:xMode val="edge"/>
              <c:yMode val="edge"/>
              <c:x val="0.48100523986848215"/>
              <c:y val="0.90840793400035103"/>
            </c:manualLayout>
          </c:layout>
          <c:overlay val="0"/>
          <c:spPr>
            <a:solidFill>
              <a:sysClr val="window" lastClr="FFFFFF"/>
            </a:solid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crossAx val="489268888"/>
        <c:crosses val="autoZero"/>
        <c:auto val="1"/>
        <c:lblAlgn val="ctr"/>
        <c:lblOffset val="100"/>
        <c:noMultiLvlLbl val="0"/>
      </c:catAx>
      <c:valAx>
        <c:axId val="489268888"/>
        <c:scaling>
          <c:orientation val="minMax"/>
          <c:max val="3"/>
          <c:min val="-3"/>
        </c:scaling>
        <c:delete val="0"/>
        <c:axPos val="l"/>
        <c:title>
          <c:tx>
            <c:rich>
              <a:bodyPr rot="-5400000" spcFirstLastPara="1" vertOverflow="ellipsis" vert="horz" wrap="square" anchor="ctr" anchorCtr="0"/>
              <a:lstStyle/>
              <a:p>
                <a:pPr algn="ctr">
                  <a:defRPr sz="1400" b="0" i="0" u="none" strike="noStrike" kern="1200" baseline="0">
                    <a:solidFill>
                      <a:schemeClr val="tx1">
                        <a:lumMod val="65000"/>
                        <a:lumOff val="35000"/>
                      </a:schemeClr>
                    </a:solidFill>
                    <a:latin typeface="+mn-lt"/>
                    <a:ea typeface="+mn-ea"/>
                    <a:cs typeface="+mn-cs"/>
                  </a:defRPr>
                </a:pPr>
                <a:r>
                  <a:rPr lang="es-MX" sz="1400" b="1">
                    <a:solidFill>
                      <a:sysClr val="windowText" lastClr="000000"/>
                    </a:solidFill>
                  </a:rPr>
                  <a:t>Estadístico Z</a:t>
                </a:r>
              </a:p>
            </c:rich>
          </c:tx>
          <c:layout>
            <c:manualLayout>
              <c:xMode val="edge"/>
              <c:yMode val="edge"/>
              <c:x val="0"/>
              <c:y val="0.43534392324182225"/>
            </c:manualLayout>
          </c:layout>
          <c:overlay val="0"/>
          <c:spPr>
            <a:solidFill>
              <a:sysClr val="window" lastClr="FFFFFF"/>
            </a:solid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ln>
                  <a:noFill/>
                </a:ln>
                <a:solidFill>
                  <a:sysClr val="windowText" lastClr="000000"/>
                </a:solidFill>
                <a:latin typeface="+mn-lt"/>
                <a:ea typeface="+mn-ea"/>
                <a:cs typeface="+mn-cs"/>
              </a:defRPr>
            </a:pPr>
            <a:endParaRPr lang="es-MX"/>
          </a:p>
        </c:txPr>
        <c:crossAx val="489268104"/>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Office Theme">
  <a:themeElements>
    <a:clrScheme name="Frontier">
      <a:dk1>
        <a:srgbClr val="37424A"/>
      </a:dk1>
      <a:lt1>
        <a:sysClr val="window" lastClr="FFFFFF"/>
      </a:lt1>
      <a:dk2>
        <a:srgbClr val="707276"/>
      </a:dk2>
      <a:lt2>
        <a:srgbClr val="D1DBD2"/>
      </a:lt2>
      <a:accent1>
        <a:srgbClr val="E83F35"/>
      </a:accent1>
      <a:accent2>
        <a:srgbClr val="8DD0D2"/>
      </a:accent2>
      <a:accent3>
        <a:srgbClr val="007B87"/>
      </a:accent3>
      <a:accent4>
        <a:srgbClr val="EBC000"/>
      </a:accent4>
      <a:accent5>
        <a:srgbClr val="683C5B"/>
      </a:accent5>
      <a:accent6>
        <a:srgbClr val="66B0B7"/>
      </a:accent6>
      <a:hlink>
        <a:srgbClr val="007B87"/>
      </a:hlink>
      <a:folHlink>
        <a:srgbClr val="007B87"/>
      </a:folHlink>
    </a:clrScheme>
    <a:fontScheme name="Custom 4">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Stranslations>
  <language>
    <ID>1034</ID>
    <Contents>Contenido</Contents>
    <Annex>Anexo</Annex>
    <Annexes>Anexos</Annexes>
    <Figure>Figura</Figure>
    <Table>Tabla</Table>
    <Figures>Figuras</Figures>
    <Tables>Tablas</Tables>
    <Source>Fuente</Source>
    <Note>Nota</Note>
    <Draft>BORRADOR</Draft>
    <DTF>dd de mmmm de yyyy</DTF>
    <AllFigures>,Figure,Figure,Abbildung,Figura,Figure</AllFigures>
    <AllTables>,Table,Table,Tabelle,Tabla,Tableau</AllTables>
  </language>
  <confidentiality>
    <item1>Confidencial</item1>
    <item2>Estrictamente confidencial</item2>
    <item3>Legalmente privilegiado</item3>
    <item4>Preparado a petición de abogados externos</item4>
  </confidentiality>
</CTStrans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98A5-11E0-4E3A-8A28-7CF0DECD5CD5}">
  <ds:schemaRefs/>
</ds:datastoreItem>
</file>

<file path=customXml/itemProps2.xml><?xml version="1.0" encoding="utf-8"?>
<ds:datastoreItem xmlns:ds="http://schemas.openxmlformats.org/officeDocument/2006/customXml" ds:itemID="{01D6B964-67CC-4DAE-B4A8-5520BFF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 Economics Note Template</Template>
  <TotalTime>31</TotalTime>
  <Pages>24</Pages>
  <Words>7406</Words>
  <Characters>40739</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XXX</vt:lpstr>
      <vt:lpstr>XXX</vt:lpstr>
    </vt:vector>
  </TitlesOfParts>
  <Company/>
  <LinksUpToDate>false</LinksUpToDate>
  <CharactersWithSpaces>48049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Lorely Ochoa Moncisvais</dc:creator>
  <cp:lastModifiedBy>Maria del Consuelo Gonzalez Moreno</cp:lastModifiedBy>
  <cp:revision>10</cp:revision>
  <cp:lastPrinted>2017-04-07T18:37:00Z</cp:lastPrinted>
  <dcterms:created xsi:type="dcterms:W3CDTF">2017-06-16T14:48:00Z</dcterms:created>
  <dcterms:modified xsi:type="dcterms:W3CDTF">2017-07-12T15:23:00Z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2.05</vt:lpwstr>
  </property>
  <property fmtid="{D5CDD505-2E9C-101B-9397-08002B2CF9AE}" pid="3" name="Date">
    <vt:lpwstr>31 August 2016</vt:lpwstr>
  </property>
</Properties>
</file>