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72958" w14:textId="4D84CCB2" w:rsidR="007531EC" w:rsidRPr="00AC0C65" w:rsidRDefault="007531EC" w:rsidP="00AC0C65">
      <w:pPr>
        <w:pStyle w:val="Ttulo1"/>
        <w:jc w:val="both"/>
        <w:rPr>
          <w:rFonts w:ascii="ITC Avant Garde" w:eastAsia="Times New Roman" w:hAnsi="ITC Avant Garde"/>
          <w:b/>
          <w:color w:val="000000" w:themeColor="text1"/>
          <w:sz w:val="22"/>
          <w:szCs w:val="22"/>
        </w:rPr>
      </w:pPr>
      <w:r w:rsidRPr="00AC0C65">
        <w:rPr>
          <w:rFonts w:ascii="ITC Avant Garde" w:eastAsia="Times New Roman" w:hAnsi="ITC Avant Garde"/>
          <w:b/>
          <w:color w:val="000000" w:themeColor="text1"/>
          <w:sz w:val="22"/>
          <w:szCs w:val="22"/>
        </w:rPr>
        <w:t xml:space="preserve">ACUERDO MEDIANTE EL CUAL EL PLENO DEL INSTITUTO FEDERAL DE TELECOMUNICACIONES DETERMINA EL INICIO DE LA CONSULTA PÚBLICA, EN RELACIÓN CON LA </w:t>
      </w:r>
      <w:r w:rsidR="00347F5F" w:rsidRPr="00AC0C65">
        <w:rPr>
          <w:rFonts w:ascii="ITC Avant Garde" w:eastAsia="Times New Roman" w:hAnsi="ITC Avant Garde"/>
          <w:b/>
          <w:color w:val="000000" w:themeColor="text1"/>
          <w:sz w:val="22"/>
          <w:szCs w:val="22"/>
        </w:rPr>
        <w:t xml:space="preserve">EFECTIVIDAD EN TÉRMINOS DE COMPETENCIA DE </w:t>
      </w:r>
      <w:r w:rsidRPr="00AC0C65">
        <w:rPr>
          <w:rFonts w:ascii="ITC Avant Garde" w:eastAsia="Times New Roman" w:hAnsi="ITC Avant Garde"/>
          <w:b/>
          <w:color w:val="000000" w:themeColor="text1"/>
          <w:sz w:val="22"/>
          <w:szCs w:val="22"/>
        </w:rPr>
        <w:t>LAS MEDIDAS IMPUESTAS AL AGENTE ECONÓMICO PREPONDERANTE EN EL SECTOR RADIODIFUSIÓN.</w:t>
      </w:r>
    </w:p>
    <w:p w14:paraId="5FEFDE77" w14:textId="77777777" w:rsidR="00FD0F59" w:rsidRPr="00FD0F59" w:rsidRDefault="00FD0F59" w:rsidP="00FD0F59">
      <w:pPr>
        <w:widowControl w:val="0"/>
        <w:spacing w:after="0"/>
        <w:jc w:val="both"/>
        <w:rPr>
          <w:rFonts w:ascii="ITC Avant Garde" w:eastAsia="Times New Roman" w:hAnsi="ITC Avant Garde"/>
          <w:sz w:val="20"/>
          <w:szCs w:val="20"/>
        </w:rPr>
      </w:pPr>
    </w:p>
    <w:p w14:paraId="594CEC62" w14:textId="1E3D9CCD" w:rsidR="007734C1" w:rsidRPr="00AC0C65" w:rsidRDefault="00AC0C65" w:rsidP="00AC0C65">
      <w:pPr>
        <w:pStyle w:val="Ttulo2"/>
        <w:jc w:val="center"/>
        <w:rPr>
          <w:rFonts w:ascii="ITC Avant Garde" w:eastAsia="Times New Roman" w:hAnsi="ITC Avant Garde"/>
          <w:b/>
          <w:color w:val="000000" w:themeColor="text1"/>
          <w:sz w:val="20"/>
          <w:szCs w:val="20"/>
        </w:rPr>
      </w:pPr>
      <w:r>
        <w:rPr>
          <w:rFonts w:ascii="ITC Avant Garde" w:eastAsia="Times New Roman" w:hAnsi="ITC Avant Garde"/>
          <w:b/>
          <w:color w:val="000000" w:themeColor="text1"/>
          <w:sz w:val="20"/>
          <w:szCs w:val="20"/>
        </w:rPr>
        <w:t>A</w:t>
      </w:r>
      <w:r w:rsidR="007734C1" w:rsidRPr="00AC0C65">
        <w:rPr>
          <w:rFonts w:ascii="ITC Avant Garde" w:eastAsia="Times New Roman" w:hAnsi="ITC Avant Garde"/>
          <w:b/>
          <w:color w:val="000000" w:themeColor="text1"/>
          <w:sz w:val="20"/>
          <w:szCs w:val="20"/>
        </w:rPr>
        <w:t>NTECEDENTES</w:t>
      </w:r>
    </w:p>
    <w:p w14:paraId="6389D3BC" w14:textId="77777777" w:rsidR="00FD0F59" w:rsidRPr="00FD0F59" w:rsidRDefault="00FD0F59" w:rsidP="00FD0F59">
      <w:pPr>
        <w:widowControl w:val="0"/>
        <w:spacing w:after="0"/>
        <w:jc w:val="both"/>
        <w:rPr>
          <w:rFonts w:ascii="ITC Avant Garde" w:eastAsia="Times New Roman" w:hAnsi="ITC Avant Garde"/>
          <w:sz w:val="20"/>
          <w:szCs w:val="20"/>
        </w:rPr>
      </w:pPr>
    </w:p>
    <w:p w14:paraId="05525A85" w14:textId="77777777" w:rsidR="007734C1" w:rsidRPr="00FD0F59" w:rsidRDefault="007531EC" w:rsidP="00FD0F59">
      <w:pPr>
        <w:pStyle w:val="Prrafodelista"/>
        <w:widowControl w:val="0"/>
        <w:numPr>
          <w:ilvl w:val="0"/>
          <w:numId w:val="1"/>
        </w:numPr>
        <w:spacing w:after="0"/>
        <w:jc w:val="both"/>
      </w:pPr>
      <w:r w:rsidRPr="00FD0F59">
        <w:rPr>
          <w:rFonts w:ascii="ITC Avant Garde" w:eastAsia="Times New Roman" w:hAnsi="ITC Avant Garde"/>
        </w:rPr>
        <w:t>El 11 de junio de 2013, se publicó en el Diario Oficial de la Federación (</w:t>
      </w:r>
      <w:r w:rsidRPr="00FD0F59">
        <w:rPr>
          <w:rFonts w:ascii="ITC Avant Garde" w:eastAsia="Times New Roman" w:hAnsi="ITC Avant Garde"/>
          <w:lang w:val="es-MX"/>
        </w:rPr>
        <w:t xml:space="preserve">en adelante, el </w:t>
      </w:r>
      <w:r w:rsidRPr="00FD0F59">
        <w:rPr>
          <w:rFonts w:ascii="ITC Avant Garde" w:eastAsia="Times New Roman" w:hAnsi="ITC Avant Garde"/>
        </w:rPr>
        <w:t>DOF), el “</w:t>
      </w:r>
      <w:r w:rsidRPr="00FD0F59">
        <w:rPr>
          <w:rFonts w:ascii="ITC Avant Garde" w:eastAsia="Times New Roman" w:hAnsi="ITC Avant Garde"/>
          <w:i/>
        </w:rPr>
        <w:t>DECRETO por el que se reforman y adicionan diversas disposiciones de los artículos 6o., 7o., 27, 28, 73, 78, 94 y 105 de la Constitución Política de los Estados Unidos Mexicanos, en materia de telecomunicaciones</w:t>
      </w:r>
      <w:r w:rsidRPr="00FD0F59">
        <w:rPr>
          <w:rFonts w:ascii="ITC Avant Garde" w:eastAsia="Times New Roman" w:hAnsi="ITC Avant Garde"/>
        </w:rPr>
        <w:t>” (</w:t>
      </w:r>
      <w:r w:rsidRPr="00FD0F59">
        <w:rPr>
          <w:rFonts w:ascii="ITC Avant Garde" w:eastAsia="Times New Roman" w:hAnsi="ITC Avant Garde"/>
          <w:lang w:val="es-MX"/>
        </w:rPr>
        <w:t xml:space="preserve">en lo sucesivo, el </w:t>
      </w:r>
      <w:r w:rsidRPr="00FD0F59">
        <w:rPr>
          <w:rFonts w:ascii="ITC Avant Garde" w:eastAsia="Times New Roman" w:hAnsi="ITC Avant Garde"/>
        </w:rPr>
        <w:t>Decreto), mediante el cual se creó al Instituto Federal de Telecomunicaciones (</w:t>
      </w:r>
      <w:r w:rsidRPr="00FD0F59">
        <w:rPr>
          <w:rFonts w:ascii="ITC Avant Garde" w:eastAsia="Times New Roman" w:hAnsi="ITC Avant Garde"/>
          <w:lang w:val="es-MX"/>
        </w:rPr>
        <w:t xml:space="preserve">en adelante, el </w:t>
      </w:r>
      <w:r w:rsidRPr="00FD0F59">
        <w:rPr>
          <w:rFonts w:ascii="ITC Avant Garde" w:eastAsia="Times New Roman" w:hAnsi="ITC Avant Garde"/>
        </w:rPr>
        <w:t>Instituto), como un órgano autónomo con personalidad jurídica y patrimonio propio, cuyo objeto es el desarrollo eficiente de la radiodifusión y las telecomunicaciones conforme a lo dispuesto en la propia Constitución Política de los Estados Unidos Mexicanos (</w:t>
      </w:r>
      <w:r w:rsidRPr="00FD0F59">
        <w:rPr>
          <w:rFonts w:ascii="ITC Avant Garde" w:eastAsia="Times New Roman" w:hAnsi="ITC Avant Garde"/>
          <w:lang w:val="es-MX"/>
        </w:rPr>
        <w:t xml:space="preserve">en lo sucesivo, la </w:t>
      </w:r>
      <w:r w:rsidRPr="00FD0F59">
        <w:rPr>
          <w:rFonts w:ascii="ITC Avant Garde" w:eastAsia="Times New Roman" w:hAnsi="ITC Avant Garde"/>
        </w:rPr>
        <w:t>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FBB50C2" w14:textId="77777777" w:rsidR="007734C1" w:rsidRPr="00FD0F59" w:rsidRDefault="007734C1" w:rsidP="00FD0F59">
      <w:pPr>
        <w:pStyle w:val="Prrafodelista"/>
        <w:widowControl w:val="0"/>
        <w:numPr>
          <w:ilvl w:val="0"/>
          <w:numId w:val="1"/>
        </w:numPr>
        <w:spacing w:after="0"/>
        <w:jc w:val="both"/>
        <w:rPr>
          <w:rFonts w:ascii="ITC Avant Garde" w:eastAsia="Times New Roman" w:hAnsi="ITC Avant Garde"/>
        </w:rPr>
      </w:pPr>
      <w:r w:rsidRPr="00FD0F59">
        <w:rPr>
          <w:rFonts w:ascii="ITC Avant Garde" w:eastAsia="Times New Roman" w:hAnsi="ITC Avant Garde"/>
        </w:rPr>
        <w:t>El 6 de marzo de 2014, el Pleno del Instituto en su V Sesión Extraordinaria,</w:t>
      </w:r>
      <w:r w:rsidRPr="00FD0F59">
        <w:rPr>
          <w:rFonts w:ascii="ITC Avant Garde" w:eastAsia="Times New Roman" w:hAnsi="ITC Avant Garde"/>
          <w:lang w:val="es-MX"/>
        </w:rPr>
        <w:t xml:space="preserve"> </w:t>
      </w:r>
      <w:r w:rsidRPr="00FD0F59">
        <w:rPr>
          <w:rFonts w:ascii="ITC Avant Garde" w:eastAsia="Times New Roman" w:hAnsi="ITC Avant Garde"/>
        </w:rPr>
        <w:t>aprobó mediante Acuerdo P/IFT/EXT/060314/7</w:t>
      </w:r>
      <w:r w:rsidR="003164DD" w:rsidRPr="00FD0F59">
        <w:rPr>
          <w:rFonts w:ascii="ITC Avant Garde" w:eastAsia="Times New Roman" w:hAnsi="ITC Avant Garde"/>
          <w:lang w:val="es-MX"/>
        </w:rPr>
        <w:t>7</w:t>
      </w:r>
      <w:r w:rsidRPr="00FD0F59">
        <w:rPr>
          <w:rFonts w:ascii="ITC Avant Garde" w:eastAsia="Times New Roman" w:hAnsi="ITC Avant Garde"/>
        </w:rPr>
        <w:t xml:space="preserve"> la "</w:t>
      </w:r>
      <w:r w:rsidR="003164DD" w:rsidRPr="00FD0F59">
        <w:t xml:space="preserve"> </w:t>
      </w:r>
      <w:r w:rsidR="003164DD" w:rsidRPr="00FD0F59">
        <w:rPr>
          <w:rFonts w:ascii="ITC Avant Garde" w:eastAsia="Times New Roman" w:hAnsi="ITC Avant Garde"/>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w:t>
      </w:r>
      <w:r w:rsidR="003164DD" w:rsidRPr="00FD0F59">
        <w:rPr>
          <w:rFonts w:ascii="ITC Avant Garde" w:eastAsia="Times New Roman" w:hAnsi="ITC Avant Garde"/>
        </w:rPr>
        <w:lastRenderedPageBreak/>
        <w:t>S.A. DE C.V., TELE-EMISORAS DEL SURESTE, S.A. DE C.V., TELEVISIÓN DE TABASCO, S.A. Y RAMONA ESPARZA GONZÁLEZ, COMO AGENTE ECONÓMICO PREPONDERANTE EN EL SECTOR DE RADIODIFUSIÓN Y LE IMPONE LAS MEDIDAS NECESARIAS PARA EVITAR QUE SE AFECTE LA COMPETENCIA Y LA LIBRE CONCURRENCIA</w:t>
      </w:r>
      <w:r w:rsidR="003164DD" w:rsidRPr="00FD0F59">
        <w:rPr>
          <w:rFonts w:ascii="ITC Avant Garde" w:eastAsia="Times New Roman" w:hAnsi="ITC Avant Garde"/>
          <w:lang w:val="es-MX"/>
        </w:rPr>
        <w:t>.</w:t>
      </w:r>
      <w:r w:rsidRPr="00FD0F59">
        <w:rPr>
          <w:rFonts w:ascii="ITC Avant Garde" w:eastAsia="Times New Roman" w:hAnsi="ITC Avant Garde"/>
          <w:lang w:val="es-MX"/>
        </w:rPr>
        <w:t xml:space="preserve"> </w:t>
      </w:r>
      <w:r w:rsidRPr="00FD0F59">
        <w:rPr>
          <w:rFonts w:ascii="ITC Avant Garde" w:eastAsia="Times New Roman" w:hAnsi="ITC Avant Garde"/>
        </w:rPr>
        <w:t>(</w:t>
      </w:r>
      <w:r w:rsidRPr="00FD0F59">
        <w:rPr>
          <w:rFonts w:ascii="ITC Avant Garde" w:eastAsia="Times New Roman" w:hAnsi="ITC Avant Garde"/>
          <w:lang w:val="es-MX"/>
        </w:rPr>
        <w:t>en lo sucesivo</w:t>
      </w:r>
      <w:r w:rsidR="00906FF1" w:rsidRPr="00FD0F59">
        <w:rPr>
          <w:rFonts w:ascii="ITC Avant Garde" w:eastAsia="Times New Roman" w:hAnsi="ITC Avant Garde"/>
          <w:lang w:val="es-MX"/>
        </w:rPr>
        <w:t>,</w:t>
      </w:r>
      <w:r w:rsidRPr="00FD0F59">
        <w:rPr>
          <w:rFonts w:ascii="ITC Avant Garde" w:eastAsia="Times New Roman" w:hAnsi="ITC Avant Garde"/>
          <w:lang w:val="es-MX"/>
        </w:rPr>
        <w:t xml:space="preserve"> la </w:t>
      </w:r>
      <w:r w:rsidRPr="00FD0F59">
        <w:rPr>
          <w:rFonts w:ascii="ITC Avant Garde" w:eastAsia="Times New Roman" w:hAnsi="ITC Avant Garde"/>
        </w:rPr>
        <w:t xml:space="preserve">Resolución </w:t>
      </w:r>
      <w:r w:rsidRPr="00FD0F59">
        <w:rPr>
          <w:rFonts w:ascii="ITC Avant Garde" w:eastAsia="Times New Roman" w:hAnsi="ITC Avant Garde"/>
          <w:lang w:val="es-MX"/>
        </w:rPr>
        <w:t xml:space="preserve">de </w:t>
      </w:r>
      <w:r w:rsidRPr="00FD0F59">
        <w:rPr>
          <w:rFonts w:ascii="ITC Avant Garde" w:eastAsia="Times New Roman" w:hAnsi="ITC Avant Garde"/>
        </w:rPr>
        <w:t>AEP).</w:t>
      </w:r>
    </w:p>
    <w:p w14:paraId="6A491575" w14:textId="77777777" w:rsidR="007734C1" w:rsidRPr="00FD0F59" w:rsidRDefault="007734C1" w:rsidP="00FD0F59">
      <w:pPr>
        <w:pStyle w:val="Prrafodelista"/>
        <w:widowControl w:val="0"/>
        <w:spacing w:after="0"/>
        <w:ind w:left="1080"/>
        <w:jc w:val="both"/>
        <w:rPr>
          <w:rFonts w:ascii="ITC Avant Garde" w:eastAsia="Times New Roman" w:hAnsi="ITC Avant Garde"/>
          <w:lang w:val="es-MX"/>
        </w:rPr>
      </w:pPr>
      <w:r w:rsidRPr="00FD0F59">
        <w:rPr>
          <w:rFonts w:ascii="ITC Avant Garde" w:eastAsia="Times New Roman" w:hAnsi="ITC Avant Garde"/>
          <w:lang w:val="es-MX"/>
        </w:rPr>
        <w:t>En la Resolución de AEP el Pleno del Instituto emitió el Anexo 1 denominado “</w:t>
      </w:r>
      <w:r w:rsidR="003164DD" w:rsidRPr="00FD0F59">
        <w:rPr>
          <w:rFonts w:ascii="ITC Avant Garde" w:eastAsia="Times New Roman" w:hAnsi="ITC Avant Garde"/>
          <w:lang w:val="es-MX"/>
        </w:rPr>
        <w:t>MEDIDAS RELACIONADAS CON LA COMPARTICIÓN DE INFRAESTRUCTURA, CONTENIDOS, PUBLICIDAD E INFORMACIÓN QUE SON APLICABLES AL GIETV EN SU CARÁCTER DE AGENTE ECONÓMICO PREPONDERANTE EN EL SECTOR DE RADIODIFUSIÓN.</w:t>
      </w:r>
      <w:r w:rsidRPr="00FD0F59">
        <w:rPr>
          <w:rFonts w:ascii="ITC Avant Garde" w:eastAsia="Times New Roman" w:hAnsi="ITC Avant Garde"/>
          <w:lang w:val="es-MX"/>
        </w:rPr>
        <w:t>”</w:t>
      </w:r>
    </w:p>
    <w:p w14:paraId="0F85CD40" w14:textId="77777777" w:rsidR="007531EC" w:rsidRPr="00FD0F59" w:rsidRDefault="007531EC" w:rsidP="00FD0F59">
      <w:pPr>
        <w:widowControl w:val="0"/>
        <w:numPr>
          <w:ilvl w:val="0"/>
          <w:numId w:val="1"/>
        </w:numPr>
        <w:spacing w:after="0"/>
        <w:contextualSpacing/>
        <w:jc w:val="both"/>
        <w:rPr>
          <w:rFonts w:ascii="ITC Avant Garde" w:eastAsia="Times New Roman" w:hAnsi="ITC Avant Garde"/>
          <w:sz w:val="20"/>
          <w:szCs w:val="20"/>
          <w:lang w:val="x-none" w:eastAsia="x-none"/>
        </w:rPr>
      </w:pPr>
      <w:r w:rsidRPr="00FD0F59">
        <w:rPr>
          <w:rFonts w:ascii="ITC Avant Garde" w:eastAsia="Times New Roman" w:hAnsi="ITC Avant Garde"/>
          <w:sz w:val="20"/>
          <w:szCs w:val="20"/>
          <w:lang w:val="x-none" w:eastAsia="x-none"/>
        </w:rPr>
        <w:t xml:space="preserve">El 14 de julio de 2014, se publicó en el </w:t>
      </w:r>
      <w:r w:rsidRPr="00FD0F59">
        <w:rPr>
          <w:rFonts w:ascii="ITC Avant Garde" w:eastAsia="Times New Roman" w:hAnsi="ITC Avant Garde"/>
          <w:sz w:val="20"/>
          <w:szCs w:val="20"/>
          <w:lang w:eastAsia="x-none"/>
        </w:rPr>
        <w:t>DOF</w:t>
      </w:r>
      <w:r w:rsidRPr="00FD0F59">
        <w:rPr>
          <w:rFonts w:ascii="ITC Avant Garde" w:eastAsia="Times New Roman" w:hAnsi="ITC Avant Garde"/>
          <w:sz w:val="20"/>
          <w:szCs w:val="20"/>
          <w:lang w:val="x-none" w:eastAsia="x-none"/>
        </w:rPr>
        <w:t xml:space="preserve"> el “</w:t>
      </w:r>
      <w:r w:rsidRPr="00FD0F59">
        <w:rPr>
          <w:rFonts w:ascii="ITC Avant Garde" w:eastAsia="Times New Roman" w:hAnsi="ITC Avant Garde"/>
          <w:i/>
          <w:sz w:val="20"/>
          <w:szCs w:val="20"/>
          <w:lang w:val="x-none" w:eastAsia="x-none"/>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FD0F59">
        <w:rPr>
          <w:rFonts w:ascii="ITC Avant Garde" w:eastAsia="Times New Roman" w:hAnsi="ITC Avant Garde"/>
          <w:sz w:val="20"/>
          <w:szCs w:val="20"/>
          <w:lang w:val="x-none" w:eastAsia="x-none"/>
        </w:rPr>
        <w:t>(</w:t>
      </w:r>
      <w:r w:rsidRPr="00FD0F59">
        <w:rPr>
          <w:rFonts w:ascii="ITC Avant Garde" w:eastAsia="Times New Roman" w:hAnsi="ITC Avant Garde"/>
          <w:sz w:val="20"/>
          <w:szCs w:val="20"/>
          <w:lang w:eastAsia="x-none"/>
        </w:rPr>
        <w:t xml:space="preserve">en lo sucesivo, el </w:t>
      </w:r>
      <w:r w:rsidRPr="00FD0F59">
        <w:rPr>
          <w:rFonts w:ascii="ITC Avant Garde" w:eastAsia="Times New Roman" w:hAnsi="ITC Avant Garde"/>
          <w:sz w:val="20"/>
          <w:szCs w:val="20"/>
          <w:lang w:val="x-none" w:eastAsia="x-none"/>
        </w:rPr>
        <w:t>Decreto de Ley), entrando en vigor la Ley Federal de Telecomunicaciones y Radiodifusión (</w:t>
      </w:r>
      <w:r w:rsidRPr="00FD0F59">
        <w:rPr>
          <w:rFonts w:ascii="ITC Avant Garde" w:eastAsia="Times New Roman" w:hAnsi="ITC Avant Garde"/>
          <w:sz w:val="20"/>
          <w:szCs w:val="20"/>
          <w:lang w:eastAsia="x-none"/>
        </w:rPr>
        <w:t xml:space="preserve">en lo sucesivo, la </w:t>
      </w:r>
      <w:proofErr w:type="spellStart"/>
      <w:r w:rsidRPr="00FD0F59">
        <w:rPr>
          <w:rFonts w:ascii="ITC Avant Garde" w:eastAsia="Times New Roman" w:hAnsi="ITC Avant Garde"/>
          <w:sz w:val="20"/>
          <w:szCs w:val="20"/>
          <w:lang w:val="x-none" w:eastAsia="x-none"/>
        </w:rPr>
        <w:t>LFT</w:t>
      </w:r>
      <w:r w:rsidRPr="00FD0F59">
        <w:rPr>
          <w:rFonts w:ascii="ITC Avant Garde" w:eastAsia="Times New Roman" w:hAnsi="ITC Avant Garde"/>
          <w:sz w:val="20"/>
          <w:szCs w:val="20"/>
          <w:lang w:eastAsia="x-none"/>
        </w:rPr>
        <w:t>y</w:t>
      </w:r>
      <w:proofErr w:type="spellEnd"/>
      <w:r w:rsidRPr="00FD0F59">
        <w:rPr>
          <w:rFonts w:ascii="ITC Avant Garde" w:eastAsia="Times New Roman" w:hAnsi="ITC Avant Garde"/>
          <w:sz w:val="20"/>
          <w:szCs w:val="20"/>
          <w:lang w:val="x-none" w:eastAsia="x-none"/>
        </w:rPr>
        <w:t>R) el 13 de agosto del 2014.</w:t>
      </w:r>
    </w:p>
    <w:p w14:paraId="7E5670EC" w14:textId="02C8758B" w:rsidR="007734C1" w:rsidRPr="00FD0F59" w:rsidRDefault="007531EC" w:rsidP="00FD0F59">
      <w:pPr>
        <w:widowControl w:val="0"/>
        <w:numPr>
          <w:ilvl w:val="0"/>
          <w:numId w:val="1"/>
        </w:numPr>
        <w:spacing w:after="0"/>
        <w:contextualSpacing/>
        <w:jc w:val="both"/>
        <w:rPr>
          <w:rFonts w:ascii="ITC Avant Garde" w:eastAsia="Times New Roman" w:hAnsi="ITC Avant Garde"/>
          <w:sz w:val="20"/>
          <w:szCs w:val="20"/>
          <w:lang w:val="x-none" w:eastAsia="x-none"/>
        </w:rPr>
      </w:pPr>
      <w:r w:rsidRPr="00FD0F59">
        <w:rPr>
          <w:rFonts w:ascii="ITC Avant Garde" w:eastAsia="Times New Roman" w:hAnsi="ITC Avant Garde"/>
          <w:sz w:val="20"/>
          <w:szCs w:val="20"/>
          <w:lang w:eastAsia="x-none"/>
        </w:rPr>
        <w:t>El 4 de septiembre de 2014, se publicó en el DOF el “</w:t>
      </w:r>
      <w:r w:rsidRPr="00FD0F59">
        <w:rPr>
          <w:rFonts w:ascii="ITC Avant Garde" w:eastAsia="Times New Roman" w:hAnsi="ITC Avant Garde"/>
          <w:i/>
          <w:sz w:val="20"/>
          <w:szCs w:val="20"/>
          <w:lang w:eastAsia="x-none"/>
        </w:rPr>
        <w:t>ESTATUTO Orgánico del Instituto Federal de Telecomunicaciones</w:t>
      </w:r>
      <w:r w:rsidRPr="00FD0F59">
        <w:rPr>
          <w:rFonts w:ascii="ITC Avant Garde" w:eastAsia="Times New Roman" w:hAnsi="ITC Avant Garde"/>
          <w:sz w:val="20"/>
          <w:szCs w:val="20"/>
          <w:lang w:eastAsia="x-none"/>
        </w:rPr>
        <w:t xml:space="preserve">", entrando en vigor quince días hábiles siguientes a su publicación, es decir, el 26 de septiembre de 2014 </w:t>
      </w:r>
      <w:r w:rsidR="007A7E9B" w:rsidRPr="00FD0F59">
        <w:rPr>
          <w:rFonts w:ascii="ITC Avant Garde" w:eastAsia="Times New Roman" w:hAnsi="ITC Avant Garde"/>
          <w:sz w:val="20"/>
          <w:szCs w:val="20"/>
        </w:rPr>
        <w:t xml:space="preserve">y fue modificado el 17 de octubre del mismo año </w:t>
      </w:r>
      <w:r w:rsidR="007A7E9B" w:rsidRPr="00FD0F59">
        <w:rPr>
          <w:rFonts w:ascii="ITC Avant Garde" w:eastAsia="Times New Roman" w:hAnsi="ITC Avant Garde"/>
          <w:sz w:val="20"/>
          <w:szCs w:val="20"/>
          <w:lang w:eastAsia="x-none"/>
        </w:rPr>
        <w:t xml:space="preserve"> </w:t>
      </w:r>
      <w:r w:rsidRPr="00FD0F59">
        <w:rPr>
          <w:rFonts w:ascii="ITC Avant Garde" w:eastAsia="Times New Roman" w:hAnsi="ITC Avant Garde"/>
          <w:sz w:val="20"/>
          <w:szCs w:val="20"/>
          <w:lang w:eastAsia="x-none"/>
        </w:rPr>
        <w:t>(en lo sucesivo, el Estatuto Orgánico).</w:t>
      </w:r>
    </w:p>
    <w:p w14:paraId="10366CAD" w14:textId="77777777" w:rsidR="00FD0F59" w:rsidRPr="00FD0F59" w:rsidRDefault="00FD0F59" w:rsidP="00FD0F59">
      <w:pPr>
        <w:widowControl w:val="0"/>
        <w:spacing w:after="0"/>
        <w:ind w:left="1080"/>
        <w:contextualSpacing/>
        <w:jc w:val="both"/>
        <w:rPr>
          <w:rFonts w:ascii="ITC Avant Garde" w:eastAsia="Times New Roman" w:hAnsi="ITC Avant Garde"/>
          <w:sz w:val="20"/>
          <w:szCs w:val="20"/>
          <w:lang w:val="x-none" w:eastAsia="x-none"/>
        </w:rPr>
      </w:pPr>
    </w:p>
    <w:p w14:paraId="55371AD3" w14:textId="77777777" w:rsidR="007734C1" w:rsidRPr="00AC0C65" w:rsidRDefault="007734C1" w:rsidP="00AC0C65">
      <w:pPr>
        <w:pStyle w:val="Ttulo2"/>
        <w:jc w:val="center"/>
        <w:rPr>
          <w:rFonts w:ascii="ITC Avant Garde" w:hAnsi="ITC Avant Garde" w:cs="Arial"/>
          <w:b/>
          <w:bCs/>
          <w:color w:val="000000" w:themeColor="text1"/>
          <w:sz w:val="20"/>
          <w:szCs w:val="20"/>
        </w:rPr>
      </w:pPr>
      <w:r w:rsidRPr="00AC0C65">
        <w:rPr>
          <w:rFonts w:ascii="ITC Avant Garde" w:eastAsia="Times New Roman" w:hAnsi="ITC Avant Garde"/>
          <w:b/>
          <w:color w:val="000000" w:themeColor="text1"/>
          <w:sz w:val="20"/>
          <w:szCs w:val="20"/>
        </w:rPr>
        <w:t>CONSIDERANDO</w:t>
      </w:r>
    </w:p>
    <w:p w14:paraId="5F52181B" w14:textId="77777777" w:rsidR="00FD0F59" w:rsidRPr="00FD0F59" w:rsidRDefault="00FD0F59" w:rsidP="00FD0F59">
      <w:pPr>
        <w:spacing w:after="0"/>
        <w:jc w:val="both"/>
        <w:rPr>
          <w:rFonts w:ascii="ITC Avant Garde" w:hAnsi="ITC Avant Garde" w:cs="Arial"/>
          <w:b/>
          <w:bCs/>
          <w:sz w:val="20"/>
          <w:szCs w:val="20"/>
        </w:rPr>
      </w:pPr>
    </w:p>
    <w:p w14:paraId="65804E0D" w14:textId="77777777" w:rsidR="007531EC" w:rsidRPr="00FD0F59" w:rsidRDefault="007531EC" w:rsidP="00FD0F59">
      <w:pPr>
        <w:spacing w:after="0"/>
        <w:jc w:val="both"/>
        <w:rPr>
          <w:rFonts w:ascii="ITC Avant Garde" w:hAnsi="ITC Avant Garde" w:cs="Arial"/>
          <w:bCs/>
          <w:sz w:val="20"/>
          <w:szCs w:val="20"/>
        </w:rPr>
      </w:pPr>
      <w:r w:rsidRPr="00FD0F59">
        <w:rPr>
          <w:rFonts w:ascii="ITC Avant Garde" w:hAnsi="ITC Avant Garde" w:cs="Arial"/>
          <w:b/>
          <w:bCs/>
          <w:sz w:val="20"/>
          <w:szCs w:val="20"/>
        </w:rPr>
        <w:t>PRIMERO.- Competencia del Instituto.</w:t>
      </w:r>
      <w:r w:rsidRPr="00FD0F59">
        <w:rPr>
          <w:rFonts w:ascii="ITC Avant Garde" w:hAnsi="ITC Avant Garde" w:cs="Arial"/>
          <w:bCs/>
          <w:sz w:val="20"/>
          <w:szCs w:val="20"/>
        </w:rPr>
        <w:t xml:space="preserve"> 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w:t>
      </w:r>
    </w:p>
    <w:p w14:paraId="063F434F" w14:textId="2FDDE926" w:rsidR="007531EC" w:rsidRPr="00FD0F59" w:rsidRDefault="007531EC" w:rsidP="00FD0F59">
      <w:pPr>
        <w:tabs>
          <w:tab w:val="left" w:pos="4990"/>
        </w:tabs>
        <w:spacing w:after="0"/>
        <w:jc w:val="both"/>
        <w:rPr>
          <w:rFonts w:ascii="ITC Avant Garde" w:hAnsi="ITC Avant Garde" w:cs="Arial"/>
          <w:bCs/>
          <w:sz w:val="20"/>
          <w:szCs w:val="20"/>
        </w:rPr>
      </w:pPr>
    </w:p>
    <w:p w14:paraId="4405E778" w14:textId="43B466B8" w:rsidR="007531EC" w:rsidRPr="00FD0F59" w:rsidRDefault="007531EC" w:rsidP="00FD0F59">
      <w:pPr>
        <w:spacing w:after="0"/>
        <w:jc w:val="both"/>
        <w:rPr>
          <w:rFonts w:ascii="ITC Avant Garde" w:hAnsi="ITC Avant Garde" w:cs="Arial"/>
          <w:bCs/>
          <w:sz w:val="20"/>
          <w:szCs w:val="20"/>
        </w:rPr>
      </w:pPr>
      <w:r w:rsidRPr="00FD0F59">
        <w:rPr>
          <w:rFonts w:ascii="ITC Avant Garde" w:hAnsi="ITC Avant Garde" w:cs="Arial"/>
          <w:bCs/>
          <w:sz w:val="20"/>
          <w:szCs w:val="20"/>
        </w:rPr>
        <w:t xml:space="preserve">Asimismo, es autoridad en materia de competencia económica de los sectores de radiodifusión y telecomunicaciones, por lo que en éstos regulará de forma asimétrica a los participantes, con el objeto de eliminar eficazmente las barreras a la competencia y la libre concurrencia; impondrá límites a la concentración nacional y regional de frecuencias, al </w:t>
      </w:r>
      <w:proofErr w:type="spellStart"/>
      <w:r w:rsidRPr="00FD0F59">
        <w:rPr>
          <w:rFonts w:ascii="ITC Avant Garde" w:hAnsi="ITC Avant Garde" w:cs="Arial"/>
          <w:bCs/>
          <w:sz w:val="20"/>
          <w:szCs w:val="20"/>
        </w:rPr>
        <w:t>concesionamiento</w:t>
      </w:r>
      <w:proofErr w:type="spellEnd"/>
      <w:r w:rsidRPr="00FD0F59">
        <w:rPr>
          <w:rFonts w:ascii="ITC Avant Garde" w:hAnsi="ITC Avant Garde" w:cs="Arial"/>
          <w:bCs/>
          <w:sz w:val="20"/>
          <w:szCs w:val="20"/>
        </w:rPr>
        <w:t xml:space="preserve"> y a la propiedad cruzada que controle varios medios de comunicación que sean concesionarios de radiodifusión y telecomunicaciones que sirvan a un mismo mercado o zona de cobertura geográfica, y </w:t>
      </w:r>
      <w:r w:rsidR="007A7E9B" w:rsidRPr="00FD0F59">
        <w:rPr>
          <w:rFonts w:ascii="ITC Avant Garde" w:hAnsi="ITC Avant Garde" w:cs="Arial"/>
          <w:bCs/>
          <w:sz w:val="20"/>
          <w:szCs w:val="20"/>
        </w:rPr>
        <w:t>podrá ordenar</w:t>
      </w:r>
      <w:r w:rsidRPr="00FD0F59">
        <w:rPr>
          <w:rFonts w:ascii="ITC Avant Garde" w:hAnsi="ITC Avant Garde" w:cs="Arial"/>
          <w:bCs/>
          <w:sz w:val="20"/>
          <w:szCs w:val="20"/>
        </w:rPr>
        <w:t xml:space="preserve"> la desincorporación de activos, derechos o partes necesarias para asegurar el cumplimiento de estos límites.</w:t>
      </w:r>
    </w:p>
    <w:p w14:paraId="318DC228" w14:textId="77777777" w:rsidR="007531EC" w:rsidRPr="00FD0F59" w:rsidRDefault="007531EC" w:rsidP="00FD0F59">
      <w:pPr>
        <w:widowControl w:val="0"/>
        <w:spacing w:after="0"/>
        <w:jc w:val="both"/>
        <w:rPr>
          <w:rFonts w:ascii="ITC Avant Garde" w:eastAsia="Times New Roman" w:hAnsi="ITC Avant Garde"/>
          <w:sz w:val="20"/>
          <w:szCs w:val="20"/>
        </w:rPr>
      </w:pPr>
    </w:p>
    <w:p w14:paraId="265E5106" w14:textId="2D6879D0" w:rsidR="007531EC" w:rsidRPr="00FD0F59" w:rsidRDefault="002559BD" w:rsidP="00FD0F59">
      <w:pPr>
        <w:widowControl w:val="0"/>
        <w:spacing w:after="0"/>
        <w:jc w:val="both"/>
        <w:rPr>
          <w:rFonts w:ascii="ITC Avant Garde" w:eastAsia="Times New Roman" w:hAnsi="ITC Avant Garde"/>
          <w:sz w:val="20"/>
          <w:szCs w:val="20"/>
        </w:rPr>
      </w:pPr>
      <w:r w:rsidRPr="00FD0F59">
        <w:rPr>
          <w:rFonts w:ascii="ITC Avant Garde" w:eastAsia="Times New Roman" w:hAnsi="ITC Avant Garde"/>
          <w:sz w:val="20"/>
          <w:szCs w:val="20"/>
        </w:rPr>
        <w:t xml:space="preserve">De igual forma, el Pleno del Instituto, conforme a lo establecido por el artículo 6 </w:t>
      </w:r>
      <w:r w:rsidRPr="00FD0F59">
        <w:rPr>
          <w:rFonts w:ascii="ITC Avant Garde" w:hAnsi="ITC Avant Garde"/>
          <w:bCs/>
          <w:sz w:val="20"/>
          <w:szCs w:val="20"/>
          <w:lang w:val="es-ES_tradnl"/>
        </w:rPr>
        <w:t xml:space="preserve">fracción VI </w:t>
      </w:r>
      <w:r w:rsidRPr="00FD0F59">
        <w:rPr>
          <w:rFonts w:ascii="ITC Avant Garde" w:eastAsia="Times New Roman" w:hAnsi="ITC Avant Garde"/>
          <w:sz w:val="20"/>
          <w:szCs w:val="20"/>
        </w:rPr>
        <w:t>del Estatuto Orgánico</w:t>
      </w:r>
      <w:r w:rsidR="007531EC" w:rsidRPr="00FD0F59">
        <w:rPr>
          <w:rFonts w:ascii="ITC Avant Garde" w:eastAsia="Times New Roman" w:hAnsi="ITC Avant Garde"/>
          <w:sz w:val="20"/>
          <w:szCs w:val="20"/>
        </w:rPr>
        <w:t xml:space="preserve">, tiene la atribución de regular de forma asimétrica a los participantes en los mercados de radiodifusión y telecomunicaciones con el objeto de eliminar </w:t>
      </w:r>
      <w:r w:rsidR="007531EC" w:rsidRPr="00FD0F59">
        <w:rPr>
          <w:rFonts w:ascii="ITC Avant Garde" w:eastAsia="Times New Roman" w:hAnsi="ITC Avant Garde"/>
          <w:sz w:val="20"/>
          <w:szCs w:val="20"/>
        </w:rPr>
        <w:lastRenderedPageBreak/>
        <w:t>eficazmente las barreras a la competencia y libre concurrencia, así como demás disposiciones para el cumplimiento de lo dispuesto en la ley.</w:t>
      </w:r>
    </w:p>
    <w:p w14:paraId="0B571A84" w14:textId="77777777" w:rsidR="007531EC" w:rsidRPr="00FD0F59" w:rsidRDefault="007531EC" w:rsidP="00FD0F59">
      <w:pPr>
        <w:widowControl w:val="0"/>
        <w:spacing w:after="0"/>
        <w:ind w:firstLine="708"/>
        <w:jc w:val="both"/>
        <w:rPr>
          <w:rFonts w:ascii="ITC Avant Garde" w:eastAsia="Times New Roman" w:hAnsi="ITC Avant Garde"/>
          <w:sz w:val="20"/>
          <w:szCs w:val="20"/>
        </w:rPr>
      </w:pPr>
    </w:p>
    <w:p w14:paraId="27A0EA6F" w14:textId="671262DF" w:rsidR="007531EC" w:rsidRPr="00FD0F59" w:rsidRDefault="002559BD" w:rsidP="00FD0F59">
      <w:pPr>
        <w:spacing w:after="0"/>
        <w:jc w:val="both"/>
        <w:rPr>
          <w:rFonts w:ascii="ITC Avant Garde" w:hAnsi="ITC Avant Garde" w:cs="Arial"/>
          <w:bCs/>
          <w:sz w:val="20"/>
          <w:szCs w:val="20"/>
        </w:rPr>
      </w:pPr>
      <w:r w:rsidRPr="00FD0F59">
        <w:rPr>
          <w:rFonts w:ascii="ITC Avant Garde" w:hAnsi="ITC Avant Garde" w:cs="Arial"/>
          <w:bCs/>
          <w:sz w:val="20"/>
          <w:szCs w:val="20"/>
        </w:rPr>
        <w:t xml:space="preserve">Los artículos 15 fracción XL y 51 de la </w:t>
      </w:r>
      <w:proofErr w:type="spellStart"/>
      <w:r w:rsidRPr="00FD0F59">
        <w:rPr>
          <w:rFonts w:ascii="ITC Avant Garde" w:hAnsi="ITC Avant Garde" w:cs="Arial"/>
          <w:bCs/>
          <w:sz w:val="20"/>
          <w:szCs w:val="20"/>
        </w:rPr>
        <w:t>LFTyR</w:t>
      </w:r>
      <w:proofErr w:type="spellEnd"/>
      <w:r w:rsidR="007531EC" w:rsidRPr="00FD0F59">
        <w:rPr>
          <w:rFonts w:ascii="ITC Avant Garde" w:hAnsi="ITC Avant Garde" w:cs="Arial"/>
          <w:bCs/>
          <w:sz w:val="20"/>
          <w:szCs w:val="20"/>
        </w:rPr>
        <w:t>, establece que el Pleno del Instituto podrá realizar consultas públicas en cualquier caso que así lo determine, y ésta deberá llevarse a cabo bajo los principios de transparencia y participación ciudadana.</w:t>
      </w:r>
    </w:p>
    <w:p w14:paraId="634E6BCE" w14:textId="77777777" w:rsidR="007734C1" w:rsidRPr="00FD0F59" w:rsidRDefault="007734C1" w:rsidP="00FD0F59">
      <w:pPr>
        <w:widowControl w:val="0"/>
        <w:spacing w:after="0"/>
        <w:jc w:val="both"/>
        <w:rPr>
          <w:rFonts w:ascii="ITC Avant Garde" w:eastAsia="Times New Roman" w:hAnsi="ITC Avant Garde"/>
          <w:sz w:val="20"/>
          <w:szCs w:val="20"/>
        </w:rPr>
      </w:pPr>
    </w:p>
    <w:p w14:paraId="528AA29D" w14:textId="1D6AC381" w:rsidR="007531EC" w:rsidRPr="00FD0F59" w:rsidRDefault="002559BD" w:rsidP="00FD0F59">
      <w:pPr>
        <w:spacing w:after="0"/>
        <w:jc w:val="both"/>
        <w:rPr>
          <w:rFonts w:ascii="ITC Avant Garde" w:hAnsi="ITC Avant Garde" w:cs="Arial"/>
          <w:bCs/>
          <w:sz w:val="20"/>
          <w:szCs w:val="20"/>
        </w:rPr>
      </w:pPr>
      <w:r w:rsidRPr="00FD0F59">
        <w:rPr>
          <w:rFonts w:ascii="ITC Avant Garde" w:hAnsi="ITC Avant Garde" w:cs="Arial"/>
          <w:bCs/>
          <w:sz w:val="20"/>
          <w:szCs w:val="20"/>
        </w:rPr>
        <w:t xml:space="preserve">Por otra parte, en cumplimiento a lo establecido en el artículo Octavo Transitorio, fracción III del Decreto, el Instituto emitió las Resoluciones de AEP mediante las cuales se determinó la existencia de agentes económicos preponderantes (en lo sucesivo, AEP) en los sectores de radiodifusión y de telecomunicaciones, e impuso las medidas necesarias para evitar que se afecte la competencia y la libre concurrencia. En el caso del sector de radiodifusión, dichas medidas están contendidas en el anexo de la Resolución de AEP </w:t>
      </w:r>
      <w:r w:rsidR="007531EC" w:rsidRPr="00FD0F59">
        <w:rPr>
          <w:rFonts w:ascii="ITC Avant Garde" w:hAnsi="ITC Avant Garde" w:cs="Arial"/>
          <w:bCs/>
          <w:sz w:val="20"/>
          <w:szCs w:val="20"/>
        </w:rPr>
        <w:t xml:space="preserve">y están relacionadas con </w:t>
      </w:r>
      <w:r w:rsidR="00B70727" w:rsidRPr="00FD0F59">
        <w:rPr>
          <w:rFonts w:ascii="ITC Avant Garde" w:hAnsi="ITC Avant Garde" w:cs="Arial"/>
          <w:bCs/>
          <w:sz w:val="20"/>
          <w:szCs w:val="20"/>
        </w:rPr>
        <w:t>compartición de infraestructura, contenidos, publicidad e información, entre otras.</w:t>
      </w:r>
    </w:p>
    <w:p w14:paraId="2B8D46A4" w14:textId="77777777" w:rsidR="007531EC" w:rsidRPr="00FD0F59" w:rsidRDefault="007531EC" w:rsidP="00FD0F59">
      <w:pPr>
        <w:spacing w:after="0"/>
        <w:jc w:val="both"/>
        <w:rPr>
          <w:rFonts w:ascii="ITC Avant Garde" w:hAnsi="ITC Avant Garde" w:cs="Arial"/>
          <w:bCs/>
          <w:sz w:val="20"/>
          <w:szCs w:val="20"/>
        </w:rPr>
      </w:pPr>
    </w:p>
    <w:p w14:paraId="65DBC0BE" w14:textId="77777777" w:rsidR="007531EC" w:rsidRPr="00FD0F59" w:rsidRDefault="007531EC" w:rsidP="00FD0F59">
      <w:pPr>
        <w:spacing w:after="0"/>
        <w:jc w:val="both"/>
        <w:rPr>
          <w:rFonts w:ascii="ITC Avant Garde" w:hAnsi="ITC Avant Garde" w:cs="Arial"/>
          <w:bCs/>
          <w:sz w:val="20"/>
          <w:szCs w:val="20"/>
        </w:rPr>
      </w:pPr>
      <w:r w:rsidRPr="00FD0F59">
        <w:rPr>
          <w:rFonts w:ascii="ITC Avant Garde" w:hAnsi="ITC Avant Garde" w:cs="Arial"/>
          <w:bCs/>
          <w:sz w:val="20"/>
          <w:szCs w:val="20"/>
        </w:rPr>
        <w:t xml:space="preserve">El artículo Trigésimo Quinto Transitorio del Decreto de Ley dispone que las resoluciones administrativas que el Instituto hubiere emitido previamente a la entrada en vigor del mismo en materia de preponderancia, continuarán surtiendo todos sus efectos. </w:t>
      </w:r>
    </w:p>
    <w:p w14:paraId="7873B5C1" w14:textId="77777777" w:rsidR="002559BD" w:rsidRPr="00FD0F59" w:rsidRDefault="002559BD" w:rsidP="00FD0F59">
      <w:pPr>
        <w:spacing w:after="0"/>
        <w:jc w:val="both"/>
        <w:rPr>
          <w:rFonts w:ascii="ITC Avant Garde" w:hAnsi="ITC Avant Garde" w:cs="Arial"/>
          <w:bCs/>
          <w:sz w:val="20"/>
          <w:szCs w:val="20"/>
        </w:rPr>
      </w:pPr>
    </w:p>
    <w:p w14:paraId="5DF59481" w14:textId="75959239" w:rsidR="007531EC" w:rsidRPr="00FD0F59" w:rsidRDefault="007531EC" w:rsidP="00FD0F59">
      <w:pPr>
        <w:spacing w:after="0"/>
        <w:jc w:val="both"/>
        <w:rPr>
          <w:rFonts w:ascii="ITC Avant Garde" w:hAnsi="ITC Avant Garde" w:cs="Arial"/>
          <w:bCs/>
          <w:sz w:val="20"/>
          <w:szCs w:val="20"/>
        </w:rPr>
      </w:pPr>
      <w:r w:rsidRPr="00FD0F59">
        <w:rPr>
          <w:rFonts w:ascii="ITC Avant Garde" w:hAnsi="ITC Avant Garde" w:cs="Arial"/>
          <w:b/>
          <w:bCs/>
          <w:sz w:val="20"/>
          <w:szCs w:val="20"/>
        </w:rPr>
        <w:t>SEGUNDO</w:t>
      </w:r>
      <w:r w:rsidRPr="00FD0F59">
        <w:rPr>
          <w:rFonts w:ascii="ITC Avant Garde" w:hAnsi="ITC Avant Garde" w:cs="Arial"/>
          <w:bCs/>
          <w:sz w:val="20"/>
          <w:szCs w:val="20"/>
        </w:rPr>
        <w:t xml:space="preserve">.- </w:t>
      </w:r>
      <w:r w:rsidRPr="00FD0F59">
        <w:rPr>
          <w:rFonts w:ascii="ITC Avant Garde" w:hAnsi="ITC Avant Garde" w:cs="Arial"/>
          <w:b/>
          <w:bCs/>
          <w:sz w:val="20"/>
          <w:szCs w:val="20"/>
        </w:rPr>
        <w:t>Evaluación de las medidas impuestas al Agente Económico Preponderante.</w:t>
      </w:r>
      <w:r w:rsidRPr="00FD0F59">
        <w:rPr>
          <w:rFonts w:ascii="ITC Avant Garde" w:hAnsi="ITC Avant Garde" w:cs="Arial"/>
          <w:bCs/>
          <w:sz w:val="20"/>
          <w:szCs w:val="20"/>
        </w:rPr>
        <w:t xml:space="preserve"> En la</w:t>
      </w:r>
      <w:r w:rsidR="0023095D" w:rsidRPr="00FD0F59">
        <w:rPr>
          <w:rFonts w:ascii="ITC Avant Garde" w:hAnsi="ITC Avant Garde" w:cs="Arial"/>
          <w:bCs/>
          <w:sz w:val="20"/>
          <w:szCs w:val="20"/>
        </w:rPr>
        <w:t xml:space="preserve"> Medida </w:t>
      </w:r>
      <w:r w:rsidR="0023095D" w:rsidRPr="00FD0F59">
        <w:rPr>
          <w:rFonts w:ascii="ITC Avant Garde" w:eastAsia="Times New Roman" w:hAnsi="ITC Avant Garde" w:cstheme="minorHAnsi"/>
          <w:sz w:val="20"/>
          <w:szCs w:val="20"/>
          <w:lang w:eastAsia="es-MX"/>
        </w:rPr>
        <w:t xml:space="preserve">Trigésima del anexo </w:t>
      </w:r>
      <w:r w:rsidRPr="00FD0F59">
        <w:rPr>
          <w:rFonts w:ascii="ITC Avant Garde" w:hAnsi="ITC Avant Garde" w:cs="Arial"/>
          <w:bCs/>
          <w:sz w:val="20"/>
          <w:szCs w:val="20"/>
        </w:rPr>
        <w:t xml:space="preserve">de la Resolución de AEP se señaló que el Instituto realizará una evaluación del impacto de las mismas en términos de competencia cada dos años, a efecto de, en su caso suprimirlas o modificarlas, o bien establecer nuevas medidas (“Evaluación Bienal”), incluyendo una o más de las </w:t>
      </w:r>
      <w:r w:rsidR="00414794" w:rsidRPr="00FD0F59">
        <w:rPr>
          <w:rFonts w:ascii="ITC Avant Garde" w:hAnsi="ITC Avant Garde" w:cs="Arial"/>
          <w:bCs/>
          <w:sz w:val="20"/>
          <w:szCs w:val="20"/>
        </w:rPr>
        <w:t xml:space="preserve">siguientes medidas: </w:t>
      </w:r>
      <w:r w:rsidRPr="00FD0F59">
        <w:rPr>
          <w:rFonts w:ascii="ITC Avant Garde" w:hAnsi="ITC Avant Garde" w:cs="Arial"/>
          <w:bCs/>
          <w:sz w:val="20"/>
          <w:szCs w:val="20"/>
        </w:rPr>
        <w:t>la separación estructural, funcional, o la desincorporación de activos del AEP, para lo cual, deberá motivar que su determinación resulta proporcional y conducente con los fines que originalmente buscaba cada medida.</w:t>
      </w:r>
    </w:p>
    <w:p w14:paraId="314EFEB1" w14:textId="77777777" w:rsidR="009B5207" w:rsidRPr="00FD0F59" w:rsidRDefault="009B5207" w:rsidP="00FD0F59">
      <w:pPr>
        <w:spacing w:after="0"/>
        <w:jc w:val="both"/>
        <w:rPr>
          <w:rFonts w:ascii="ITC Avant Garde" w:hAnsi="ITC Avant Garde" w:cs="Arial"/>
          <w:bCs/>
          <w:sz w:val="20"/>
          <w:szCs w:val="20"/>
        </w:rPr>
      </w:pPr>
    </w:p>
    <w:p w14:paraId="4A3B26B8" w14:textId="3A5784F3" w:rsidR="00D61EF1" w:rsidRPr="00FD0F59" w:rsidRDefault="00D61EF1" w:rsidP="00FD0F59">
      <w:pPr>
        <w:spacing w:after="0"/>
        <w:jc w:val="both"/>
        <w:rPr>
          <w:rFonts w:ascii="ITC Avant Garde" w:hAnsi="ITC Avant Garde" w:cs="Arial"/>
          <w:bCs/>
          <w:sz w:val="20"/>
          <w:szCs w:val="20"/>
        </w:rPr>
      </w:pPr>
      <w:r w:rsidRPr="00FD0F59">
        <w:rPr>
          <w:rFonts w:ascii="ITC Avant Garde" w:hAnsi="ITC Avant Garde" w:cs="Arial"/>
          <w:bCs/>
          <w:sz w:val="20"/>
          <w:szCs w:val="20"/>
        </w:rPr>
        <w:t xml:space="preserve">En ese sentido, con la finalidad de alcanzar los objetivos establecidos en la Resolución de AEP, este Instituto considera de la mayor relevancia iniciar un proceso de consulta pública con la finalidad de recabar comentarios, opiniones, </w:t>
      </w:r>
      <w:r w:rsidR="00031529" w:rsidRPr="00FD0F59">
        <w:rPr>
          <w:rFonts w:ascii="ITC Avant Garde" w:hAnsi="ITC Avant Garde" w:cs="Arial"/>
          <w:bCs/>
          <w:sz w:val="20"/>
          <w:szCs w:val="20"/>
        </w:rPr>
        <w:t>entre otros,</w:t>
      </w:r>
      <w:r w:rsidRPr="00FD0F59">
        <w:rPr>
          <w:rFonts w:ascii="ITC Avant Garde" w:hAnsi="ITC Avant Garde" w:cs="Arial"/>
          <w:bCs/>
          <w:sz w:val="20"/>
          <w:szCs w:val="20"/>
        </w:rPr>
        <w:t xml:space="preserve"> de los integrantes de la industria, académicos, especialistas, </w:t>
      </w:r>
      <w:r w:rsidR="0073029B" w:rsidRPr="00FD0F59">
        <w:rPr>
          <w:rFonts w:ascii="ITC Avant Garde" w:hAnsi="ITC Avant Garde" w:cs="Arial"/>
          <w:bCs/>
          <w:sz w:val="20"/>
          <w:szCs w:val="20"/>
        </w:rPr>
        <w:t>audiencias</w:t>
      </w:r>
      <w:r w:rsidR="00347F5F" w:rsidRPr="00FD0F59">
        <w:rPr>
          <w:rFonts w:ascii="ITC Avant Garde" w:hAnsi="ITC Avant Garde" w:cs="Arial"/>
          <w:bCs/>
          <w:sz w:val="20"/>
          <w:szCs w:val="20"/>
        </w:rPr>
        <w:t xml:space="preserve">, </w:t>
      </w:r>
      <w:r w:rsidRPr="00FD0F59">
        <w:rPr>
          <w:rFonts w:ascii="ITC Avant Garde" w:hAnsi="ITC Avant Garde" w:cs="Arial"/>
          <w:bCs/>
          <w:sz w:val="20"/>
          <w:szCs w:val="20"/>
        </w:rPr>
        <w:t>público en general y demás interesados que permitan obtener mayor información</w:t>
      </w:r>
      <w:r w:rsidR="005672A1" w:rsidRPr="00FD0F59">
        <w:rPr>
          <w:rFonts w:ascii="ITC Avant Garde" w:hAnsi="ITC Avant Garde" w:cs="Arial"/>
          <w:bCs/>
          <w:sz w:val="20"/>
          <w:szCs w:val="20"/>
        </w:rPr>
        <w:t>, que contribuy</w:t>
      </w:r>
      <w:r w:rsidR="004435DF" w:rsidRPr="00FD0F59">
        <w:rPr>
          <w:rFonts w:ascii="ITC Avant Garde" w:hAnsi="ITC Avant Garde" w:cs="Arial"/>
          <w:bCs/>
          <w:sz w:val="20"/>
          <w:szCs w:val="20"/>
        </w:rPr>
        <w:t>a</w:t>
      </w:r>
      <w:r w:rsidR="005672A1" w:rsidRPr="00FD0F59">
        <w:rPr>
          <w:rFonts w:ascii="ITC Avant Garde" w:hAnsi="ITC Avant Garde" w:cs="Arial"/>
          <w:bCs/>
          <w:sz w:val="20"/>
          <w:szCs w:val="20"/>
        </w:rPr>
        <w:t>n al diagnóstico sobre el impacto de las medidas y las determinaciones sobre las posibles modificaciones, supresiones o adiciones de medidas asimétricas al AEP, derivado de la Evaluación Bienal.</w:t>
      </w:r>
      <w:r w:rsidRPr="00FD0F59">
        <w:rPr>
          <w:rFonts w:ascii="ITC Avant Garde" w:hAnsi="ITC Avant Garde" w:cs="Arial"/>
          <w:bCs/>
          <w:sz w:val="20"/>
          <w:szCs w:val="20"/>
        </w:rPr>
        <w:t xml:space="preserve"> </w:t>
      </w:r>
    </w:p>
    <w:p w14:paraId="5A4E2EB5" w14:textId="77777777" w:rsidR="009B5207" w:rsidRPr="00FD0F59" w:rsidRDefault="009B5207" w:rsidP="00FD0F59">
      <w:pPr>
        <w:spacing w:after="0"/>
        <w:jc w:val="both"/>
        <w:rPr>
          <w:rFonts w:ascii="ITC Avant Garde" w:hAnsi="ITC Avant Garde" w:cs="Arial"/>
          <w:bCs/>
          <w:sz w:val="20"/>
          <w:szCs w:val="20"/>
        </w:rPr>
      </w:pPr>
    </w:p>
    <w:p w14:paraId="67F0A6AC" w14:textId="47D817C6" w:rsidR="009B5207" w:rsidRPr="00FD0F59" w:rsidRDefault="005672A1" w:rsidP="00FD0F59">
      <w:pPr>
        <w:spacing w:after="0"/>
        <w:jc w:val="both"/>
        <w:rPr>
          <w:rFonts w:ascii="ITC Avant Garde" w:hAnsi="ITC Avant Garde" w:cs="Arial"/>
          <w:bCs/>
          <w:sz w:val="20"/>
          <w:szCs w:val="20"/>
        </w:rPr>
      </w:pPr>
      <w:r w:rsidRPr="00FD0F59">
        <w:rPr>
          <w:rFonts w:ascii="ITC Avant Garde" w:hAnsi="ITC Avant Garde" w:cs="Arial"/>
          <w:bCs/>
          <w:sz w:val="20"/>
          <w:szCs w:val="20"/>
        </w:rPr>
        <w:t>N</w:t>
      </w:r>
      <w:r w:rsidR="009B5207" w:rsidRPr="00FD0F59">
        <w:rPr>
          <w:rFonts w:ascii="ITC Avant Garde" w:hAnsi="ITC Avant Garde" w:cs="Arial"/>
          <w:bCs/>
          <w:sz w:val="20"/>
          <w:szCs w:val="20"/>
        </w:rPr>
        <w:t>o obstante que la regulación asimétrica a que se refiere la Resolución de AEP está destinada a quienes se determinaron como AEP, hoy en día se estima relevante que para la revisión de la regulación mencionada, la autoridad tenga conocimiento de las inquietudes de l</w:t>
      </w:r>
      <w:r w:rsidR="00155836" w:rsidRPr="00FD0F59">
        <w:rPr>
          <w:rFonts w:ascii="ITC Avant Garde" w:hAnsi="ITC Avant Garde" w:cs="Arial"/>
          <w:bCs/>
          <w:sz w:val="20"/>
          <w:szCs w:val="20"/>
        </w:rPr>
        <w:t>os regulados y otros interesados</w:t>
      </w:r>
      <w:r w:rsidR="009B5207" w:rsidRPr="00FD0F59">
        <w:rPr>
          <w:rFonts w:ascii="ITC Avant Garde" w:hAnsi="ITC Avant Garde" w:cs="Arial"/>
          <w:bCs/>
          <w:sz w:val="20"/>
          <w:szCs w:val="20"/>
        </w:rPr>
        <w:t xml:space="preserve"> de forma </w:t>
      </w:r>
      <w:r w:rsidR="009004E0" w:rsidRPr="00FD0F59">
        <w:rPr>
          <w:rFonts w:ascii="ITC Avant Garde" w:hAnsi="ITC Avant Garde" w:cs="Arial"/>
          <w:bCs/>
          <w:sz w:val="20"/>
          <w:szCs w:val="20"/>
        </w:rPr>
        <w:t>orden</w:t>
      </w:r>
      <w:r w:rsidR="00611204" w:rsidRPr="00FD0F59">
        <w:rPr>
          <w:rFonts w:ascii="ITC Avant Garde" w:hAnsi="ITC Avant Garde" w:cs="Arial"/>
          <w:bCs/>
          <w:sz w:val="20"/>
          <w:szCs w:val="20"/>
        </w:rPr>
        <w:t>ada</w:t>
      </w:r>
      <w:r w:rsidRPr="00FD0F59">
        <w:rPr>
          <w:rFonts w:ascii="ITC Avant Garde" w:hAnsi="ITC Avant Garde" w:cs="Arial"/>
          <w:bCs/>
          <w:sz w:val="20"/>
          <w:szCs w:val="20"/>
        </w:rPr>
        <w:t>. Lo anterior</w:t>
      </w:r>
      <w:r w:rsidR="009B5207" w:rsidRPr="00FD0F59">
        <w:rPr>
          <w:rFonts w:ascii="ITC Avant Garde" w:hAnsi="ITC Avant Garde" w:cs="Arial"/>
          <w:bCs/>
          <w:sz w:val="20"/>
          <w:szCs w:val="20"/>
        </w:rPr>
        <w:t>, considerando que es obligación del Instituto evaluar el impacto que hayan tenido las medidas asimétricas impuestas al AEP.</w:t>
      </w:r>
    </w:p>
    <w:p w14:paraId="4BFCA1BF" w14:textId="77777777" w:rsidR="00FD0F59" w:rsidRPr="00FD0F59" w:rsidRDefault="00FD0F59" w:rsidP="00FD0F59">
      <w:pPr>
        <w:spacing w:after="0"/>
        <w:jc w:val="both"/>
        <w:rPr>
          <w:rFonts w:ascii="ITC Avant Garde" w:hAnsi="ITC Avant Garde" w:cs="Arial"/>
          <w:bCs/>
          <w:sz w:val="20"/>
          <w:szCs w:val="20"/>
        </w:rPr>
      </w:pPr>
    </w:p>
    <w:p w14:paraId="7A72B50B" w14:textId="50FF20D0" w:rsidR="00EC1B06" w:rsidRPr="00FD0F59" w:rsidRDefault="00EC1B06" w:rsidP="00FD0F59">
      <w:pPr>
        <w:spacing w:after="0"/>
        <w:jc w:val="both"/>
        <w:rPr>
          <w:rFonts w:ascii="ITC Avant Garde" w:hAnsi="ITC Avant Garde" w:cs="Arial"/>
          <w:bCs/>
          <w:sz w:val="20"/>
          <w:szCs w:val="20"/>
        </w:rPr>
      </w:pPr>
      <w:r w:rsidRPr="00FD0F59">
        <w:rPr>
          <w:rFonts w:ascii="ITC Avant Garde" w:eastAsia="Times New Roman" w:hAnsi="ITC Avant Garde"/>
          <w:sz w:val="20"/>
          <w:szCs w:val="20"/>
        </w:rPr>
        <w:lastRenderedPageBreak/>
        <w:t xml:space="preserve">La </w:t>
      </w:r>
      <w:r w:rsidRPr="00FD0F59">
        <w:rPr>
          <w:rFonts w:ascii="ITC Avant Garde" w:hAnsi="ITC Avant Garde" w:cs="Arial"/>
          <w:bCs/>
          <w:sz w:val="20"/>
          <w:szCs w:val="20"/>
        </w:rPr>
        <w:t xml:space="preserve">consulta pública tiene por objeto cumplir con los principios de transparencia y participación ciudadana, con la finalidad de recabar </w:t>
      </w:r>
      <w:r w:rsidR="005672A1" w:rsidRPr="00FD0F59">
        <w:rPr>
          <w:rFonts w:ascii="ITC Avant Garde" w:hAnsi="ITC Avant Garde" w:cs="Arial"/>
          <w:bCs/>
          <w:sz w:val="20"/>
          <w:szCs w:val="20"/>
        </w:rPr>
        <w:t xml:space="preserve">información y </w:t>
      </w:r>
      <w:r w:rsidRPr="00FD0F59">
        <w:rPr>
          <w:rFonts w:ascii="ITC Avant Garde" w:hAnsi="ITC Avant Garde" w:cs="Arial"/>
          <w:bCs/>
          <w:sz w:val="20"/>
          <w:szCs w:val="20"/>
        </w:rPr>
        <w:t xml:space="preserve">propuestas de la industria, de especialistas en la materia y del público en general, para ser analizada por este Instituto. </w:t>
      </w:r>
    </w:p>
    <w:p w14:paraId="741CE747" w14:textId="4B579818" w:rsidR="00713B5A" w:rsidRPr="00FD0F59" w:rsidRDefault="00713B5A" w:rsidP="00FD0F59">
      <w:pPr>
        <w:spacing w:after="0"/>
        <w:jc w:val="both"/>
        <w:rPr>
          <w:rFonts w:ascii="ITC Avant Garde" w:hAnsi="ITC Avant Garde" w:cs="Arial"/>
          <w:bCs/>
          <w:sz w:val="20"/>
          <w:szCs w:val="20"/>
        </w:rPr>
      </w:pPr>
    </w:p>
    <w:p w14:paraId="4D5D53CC" w14:textId="77777777" w:rsidR="00713B5A" w:rsidRPr="00FD0F59" w:rsidRDefault="00713B5A" w:rsidP="00FD0F59">
      <w:pPr>
        <w:spacing w:after="0"/>
        <w:jc w:val="both"/>
        <w:rPr>
          <w:rFonts w:ascii="ITC Avant Garde" w:hAnsi="ITC Avant Garde" w:cs="Arial"/>
          <w:bCs/>
          <w:sz w:val="20"/>
          <w:szCs w:val="20"/>
        </w:rPr>
      </w:pPr>
      <w:r w:rsidRPr="00FD0F59">
        <w:rPr>
          <w:rFonts w:ascii="ITC Avant Garde" w:hAnsi="ITC Avant Garde" w:cs="Arial"/>
          <w:bCs/>
          <w:sz w:val="20"/>
          <w:szCs w:val="20"/>
        </w:rPr>
        <w:t>Las consultas públicas son instrumentos que han implementado las autoridades regulatorias de diversos países, con la finalidad de brindar transparencia, recibir retroalimentación de la industria y de los agentes económicos interesados, así como perfeccionar su diseño y operación.</w:t>
      </w:r>
    </w:p>
    <w:p w14:paraId="106495E0" w14:textId="30C40390" w:rsidR="00713B5A" w:rsidRPr="00FD0F59" w:rsidRDefault="00713B5A" w:rsidP="00FD0F59">
      <w:pPr>
        <w:tabs>
          <w:tab w:val="left" w:pos="3740"/>
        </w:tabs>
        <w:spacing w:after="0"/>
        <w:jc w:val="both"/>
        <w:rPr>
          <w:rFonts w:ascii="ITC Avant Garde" w:hAnsi="ITC Avant Garde" w:cs="Arial"/>
          <w:bCs/>
          <w:sz w:val="20"/>
          <w:szCs w:val="20"/>
        </w:rPr>
      </w:pPr>
    </w:p>
    <w:p w14:paraId="7DD660E7" w14:textId="77777777" w:rsidR="00713B5A" w:rsidRPr="00FD0F59" w:rsidRDefault="00713B5A" w:rsidP="00FD0F59">
      <w:pPr>
        <w:spacing w:after="0"/>
        <w:jc w:val="both"/>
        <w:rPr>
          <w:rFonts w:ascii="ITC Avant Garde" w:hAnsi="ITC Avant Garde" w:cs="Arial"/>
          <w:bCs/>
          <w:sz w:val="20"/>
          <w:szCs w:val="20"/>
        </w:rPr>
      </w:pPr>
      <w:r w:rsidRPr="00FD0F59">
        <w:rPr>
          <w:rFonts w:ascii="ITC Avant Garde" w:hAnsi="ITC Avant Garde" w:cs="Arial"/>
          <w:bCs/>
          <w:sz w:val="20"/>
          <w:szCs w:val="20"/>
        </w:rPr>
        <w:t xml:space="preserve">En ese sentido, de conformidad con el artículo 51 de la </w:t>
      </w:r>
      <w:proofErr w:type="spellStart"/>
      <w:r w:rsidRPr="00FD0F59">
        <w:rPr>
          <w:rFonts w:ascii="ITC Avant Garde" w:hAnsi="ITC Avant Garde" w:cs="Arial"/>
          <w:bCs/>
          <w:sz w:val="20"/>
          <w:szCs w:val="20"/>
        </w:rPr>
        <w:t>LFTyR</w:t>
      </w:r>
      <w:proofErr w:type="spellEnd"/>
      <w:r w:rsidRPr="00FD0F59">
        <w:rPr>
          <w:rFonts w:ascii="ITC Avant Garde" w:hAnsi="ITC Avant Garde" w:cs="Arial"/>
          <w:bCs/>
          <w:sz w:val="20"/>
          <w:szCs w:val="20"/>
        </w:rPr>
        <w:t>, el Pleno del Instituto podrá realizar consultas públicas en cualquier caso que así lo determine, y ésta deberá llevarse a cabo bajo los principios de transparencia y participación ciudadana.</w:t>
      </w:r>
    </w:p>
    <w:p w14:paraId="24507668" w14:textId="77777777" w:rsidR="00713B5A" w:rsidRPr="00FD0F59" w:rsidRDefault="00713B5A" w:rsidP="00FD0F59">
      <w:pPr>
        <w:spacing w:after="0"/>
        <w:jc w:val="both"/>
        <w:rPr>
          <w:rFonts w:ascii="ITC Avant Garde" w:hAnsi="ITC Avant Garde" w:cs="Arial"/>
          <w:bCs/>
          <w:sz w:val="20"/>
          <w:szCs w:val="20"/>
        </w:rPr>
      </w:pPr>
    </w:p>
    <w:p w14:paraId="3DDB2A41" w14:textId="23BBE282" w:rsidR="007734C1" w:rsidRPr="00FD0F59" w:rsidRDefault="00347F5F" w:rsidP="00FD0F59">
      <w:pPr>
        <w:spacing w:after="0"/>
        <w:jc w:val="both"/>
        <w:rPr>
          <w:rFonts w:ascii="ITC Avant Garde" w:eastAsia="Times New Roman" w:hAnsi="ITC Avant Garde"/>
          <w:bCs/>
          <w:sz w:val="20"/>
          <w:szCs w:val="20"/>
        </w:rPr>
      </w:pPr>
      <w:r w:rsidRPr="00FD0F59">
        <w:rPr>
          <w:rFonts w:ascii="ITC Avant Garde" w:eastAsia="Times New Roman" w:hAnsi="ITC Avant Garde"/>
          <w:bCs/>
          <w:sz w:val="20"/>
          <w:szCs w:val="20"/>
        </w:rPr>
        <w:t xml:space="preserve"> Para estos efectos, se estima conveniente un plazo de 30 (treinta) días hábiles de consulta pública.</w:t>
      </w:r>
    </w:p>
    <w:p w14:paraId="537BB940" w14:textId="77777777" w:rsidR="00EC1B06" w:rsidRPr="00FD0F59" w:rsidRDefault="00EC1B06" w:rsidP="00FD0F59">
      <w:pPr>
        <w:spacing w:after="0"/>
        <w:jc w:val="both"/>
        <w:rPr>
          <w:rFonts w:ascii="ITC Avant Garde" w:hAnsi="ITC Avant Garde" w:cs="Arial"/>
          <w:bCs/>
          <w:sz w:val="20"/>
          <w:szCs w:val="20"/>
        </w:rPr>
      </w:pPr>
    </w:p>
    <w:p w14:paraId="0219FC2C" w14:textId="55748231" w:rsidR="00713B5A" w:rsidRPr="00FD0F59" w:rsidRDefault="00713B5A" w:rsidP="00FD0F59">
      <w:pPr>
        <w:spacing w:after="0"/>
        <w:jc w:val="both"/>
        <w:rPr>
          <w:rFonts w:ascii="ITC Avant Garde" w:hAnsi="ITC Avant Garde" w:cs="Arial"/>
          <w:bCs/>
          <w:sz w:val="20"/>
          <w:szCs w:val="20"/>
        </w:rPr>
      </w:pPr>
      <w:r w:rsidRPr="00FD0F59">
        <w:rPr>
          <w:rFonts w:ascii="ITC Avant Garde" w:hAnsi="ITC Avant Garde" w:cs="Arial"/>
          <w:bCs/>
          <w:sz w:val="20"/>
          <w:szCs w:val="20"/>
        </w:rPr>
        <w:t>Por lo antes expuesto y con fundamento en lo dispuesto por los artículos 28, párrafos décimo quinto y décimo sexto de la Constitución Política de los Estados Unidos Mexicanos; 1, 2, 7</w:t>
      </w:r>
      <w:r w:rsidR="009E03B3" w:rsidRPr="00FD0F59">
        <w:rPr>
          <w:rFonts w:ascii="ITC Avant Garde" w:hAnsi="ITC Avant Garde" w:cs="Arial"/>
          <w:bCs/>
          <w:sz w:val="20"/>
          <w:szCs w:val="20"/>
        </w:rPr>
        <w:t>,</w:t>
      </w:r>
      <w:r w:rsidRPr="00FD0F59">
        <w:rPr>
          <w:rFonts w:ascii="ITC Avant Garde" w:hAnsi="ITC Avant Garde" w:cs="Arial"/>
          <w:bCs/>
          <w:sz w:val="20"/>
          <w:szCs w:val="20"/>
        </w:rPr>
        <w:t xml:space="preserve"> </w:t>
      </w:r>
      <w:r w:rsidR="009E03B3" w:rsidRPr="00FD0F59">
        <w:rPr>
          <w:rFonts w:ascii="ITC Avant Garde" w:hAnsi="ITC Avant Garde" w:cs="Arial"/>
          <w:bCs/>
          <w:sz w:val="20"/>
          <w:szCs w:val="20"/>
        </w:rPr>
        <w:t xml:space="preserve">15 fracción XL </w:t>
      </w:r>
      <w:r w:rsidRPr="00FD0F59">
        <w:rPr>
          <w:rFonts w:ascii="ITC Avant Garde" w:hAnsi="ITC Avant Garde" w:cs="Arial"/>
          <w:bCs/>
          <w:sz w:val="20"/>
          <w:szCs w:val="20"/>
        </w:rPr>
        <w:t>y 51 de la Ley Federal de Telecomunicaciones y Radiodifusión, y 1 y 4, fracción I del Estatuto Orgánico del Instituto Federal de Telecomunicaciones, el Pleno del Instituto expide el siguiente:</w:t>
      </w:r>
    </w:p>
    <w:p w14:paraId="39EBC52E" w14:textId="77777777" w:rsidR="00713B5A" w:rsidRPr="00FD0F59" w:rsidRDefault="00713B5A" w:rsidP="00FD0F59">
      <w:pPr>
        <w:spacing w:after="0"/>
        <w:jc w:val="both"/>
        <w:rPr>
          <w:rFonts w:ascii="ITC Avant Garde" w:hAnsi="ITC Avant Garde" w:cs="Arial"/>
          <w:bCs/>
          <w:sz w:val="20"/>
          <w:szCs w:val="20"/>
        </w:rPr>
      </w:pPr>
    </w:p>
    <w:p w14:paraId="62000034" w14:textId="77777777" w:rsidR="007734C1" w:rsidRPr="00AC0C65" w:rsidRDefault="007734C1" w:rsidP="00AC0C65">
      <w:pPr>
        <w:pStyle w:val="Ttulo2"/>
        <w:jc w:val="center"/>
        <w:rPr>
          <w:rFonts w:ascii="ITC Avant Garde" w:hAnsi="ITC Avant Garde" w:cs="Arial"/>
          <w:b/>
          <w:bCs/>
          <w:color w:val="000000" w:themeColor="text1"/>
          <w:sz w:val="20"/>
          <w:szCs w:val="20"/>
        </w:rPr>
      </w:pPr>
      <w:r w:rsidRPr="00AC0C65">
        <w:rPr>
          <w:rFonts w:ascii="ITC Avant Garde" w:eastAsia="Times New Roman" w:hAnsi="ITC Avant Garde"/>
          <w:b/>
          <w:color w:val="000000" w:themeColor="text1"/>
          <w:sz w:val="20"/>
          <w:szCs w:val="20"/>
        </w:rPr>
        <w:t>ACUERDO</w:t>
      </w:r>
    </w:p>
    <w:p w14:paraId="1FC9CFDF" w14:textId="77777777" w:rsidR="008630A6" w:rsidRPr="00FD0F59" w:rsidRDefault="008630A6" w:rsidP="00FD0F59">
      <w:pPr>
        <w:spacing w:after="0"/>
        <w:jc w:val="both"/>
        <w:rPr>
          <w:rFonts w:ascii="ITC Avant Garde" w:hAnsi="ITC Avant Garde" w:cs="Arial"/>
          <w:bCs/>
          <w:sz w:val="20"/>
          <w:szCs w:val="20"/>
        </w:rPr>
      </w:pPr>
    </w:p>
    <w:p w14:paraId="32E8B49C" w14:textId="588F6AF1" w:rsidR="003A09AC" w:rsidRPr="00FD0F59" w:rsidRDefault="00713B5A" w:rsidP="00FD0F59">
      <w:pPr>
        <w:spacing w:after="0"/>
        <w:jc w:val="both"/>
        <w:rPr>
          <w:rFonts w:ascii="ITC Avant Garde" w:hAnsi="ITC Avant Garde" w:cs="Arial"/>
          <w:bCs/>
          <w:sz w:val="20"/>
          <w:szCs w:val="20"/>
        </w:rPr>
      </w:pPr>
      <w:r w:rsidRPr="00FD0F59">
        <w:rPr>
          <w:rFonts w:ascii="ITC Avant Garde" w:hAnsi="ITC Avant Garde" w:cs="Arial"/>
          <w:b/>
          <w:bCs/>
          <w:sz w:val="20"/>
          <w:szCs w:val="20"/>
        </w:rPr>
        <w:t>PRIMERO</w:t>
      </w:r>
      <w:r w:rsidRPr="00FD0F59">
        <w:rPr>
          <w:rFonts w:ascii="ITC Avant Garde" w:hAnsi="ITC Avant Garde" w:cs="Arial"/>
          <w:bCs/>
          <w:sz w:val="20"/>
          <w:szCs w:val="20"/>
        </w:rPr>
        <w:t xml:space="preserve">.- </w:t>
      </w:r>
      <w:r w:rsidR="003A09AC" w:rsidRPr="00FD0F59">
        <w:rPr>
          <w:rFonts w:ascii="ITC Avant Garde" w:hAnsi="ITC Avant Garde" w:cs="Arial"/>
          <w:bCs/>
          <w:sz w:val="20"/>
          <w:szCs w:val="20"/>
        </w:rPr>
        <w:t xml:space="preserve">Se acuerda someter a consulta pública </w:t>
      </w:r>
      <w:r w:rsidR="00347F5F" w:rsidRPr="00FD0F59">
        <w:rPr>
          <w:rFonts w:ascii="ITC Avant Garde" w:hAnsi="ITC Avant Garde" w:cs="Arial"/>
          <w:bCs/>
          <w:sz w:val="20"/>
          <w:szCs w:val="20"/>
        </w:rPr>
        <w:t xml:space="preserve">la efectividad </w:t>
      </w:r>
      <w:r w:rsidR="003A09AC" w:rsidRPr="00FD0F59">
        <w:rPr>
          <w:rFonts w:ascii="ITC Avant Garde" w:hAnsi="ITC Avant Garde" w:cs="Arial"/>
          <w:bCs/>
          <w:sz w:val="20"/>
          <w:szCs w:val="20"/>
        </w:rPr>
        <w:t>en términos de competencia de las medidas impuestas al A</w:t>
      </w:r>
      <w:r w:rsidR="00CF70F8" w:rsidRPr="00FD0F59">
        <w:rPr>
          <w:rFonts w:ascii="ITC Avant Garde" w:hAnsi="ITC Avant Garde" w:cs="Arial"/>
          <w:bCs/>
          <w:sz w:val="20"/>
          <w:szCs w:val="20"/>
        </w:rPr>
        <w:t xml:space="preserve">gente </w:t>
      </w:r>
      <w:r w:rsidR="003A09AC" w:rsidRPr="00FD0F59">
        <w:rPr>
          <w:rFonts w:ascii="ITC Avant Garde" w:hAnsi="ITC Avant Garde" w:cs="Arial"/>
          <w:bCs/>
          <w:sz w:val="20"/>
          <w:szCs w:val="20"/>
        </w:rPr>
        <w:t>E</w:t>
      </w:r>
      <w:r w:rsidR="00CF70F8" w:rsidRPr="00FD0F59">
        <w:rPr>
          <w:rFonts w:ascii="ITC Avant Garde" w:hAnsi="ITC Avant Garde" w:cs="Arial"/>
          <w:bCs/>
          <w:sz w:val="20"/>
          <w:szCs w:val="20"/>
        </w:rPr>
        <w:t xml:space="preserve">conómico </w:t>
      </w:r>
      <w:r w:rsidR="003A09AC" w:rsidRPr="00FD0F59">
        <w:rPr>
          <w:rFonts w:ascii="ITC Avant Garde" w:hAnsi="ITC Avant Garde" w:cs="Arial"/>
          <w:bCs/>
          <w:sz w:val="20"/>
          <w:szCs w:val="20"/>
        </w:rPr>
        <w:t>P</w:t>
      </w:r>
      <w:r w:rsidR="00CF70F8" w:rsidRPr="00FD0F59">
        <w:rPr>
          <w:rFonts w:ascii="ITC Avant Garde" w:hAnsi="ITC Avant Garde" w:cs="Arial"/>
          <w:bCs/>
          <w:sz w:val="20"/>
          <w:szCs w:val="20"/>
        </w:rPr>
        <w:t>reponderante</w:t>
      </w:r>
      <w:r w:rsidR="003A09AC" w:rsidRPr="00FD0F59">
        <w:rPr>
          <w:rFonts w:ascii="ITC Avant Garde" w:hAnsi="ITC Avant Garde" w:cs="Arial"/>
          <w:bCs/>
          <w:sz w:val="20"/>
          <w:szCs w:val="20"/>
        </w:rPr>
        <w:t xml:space="preserve"> </w:t>
      </w:r>
      <w:r w:rsidR="00CF70F8" w:rsidRPr="00FD0F59">
        <w:rPr>
          <w:rFonts w:ascii="ITC Avant Garde" w:hAnsi="ITC Avant Garde" w:cs="Arial"/>
          <w:bCs/>
          <w:sz w:val="20"/>
          <w:szCs w:val="20"/>
        </w:rPr>
        <w:t>en la</w:t>
      </w:r>
      <w:r w:rsidR="003A09AC" w:rsidRPr="00FD0F59">
        <w:rPr>
          <w:rFonts w:ascii="ITC Avant Garde" w:hAnsi="ITC Avant Garde" w:cs="Arial"/>
          <w:bCs/>
          <w:sz w:val="20"/>
          <w:szCs w:val="20"/>
        </w:rPr>
        <w:t xml:space="preserve"> resolución </w:t>
      </w:r>
      <w:r w:rsidR="003A09AC" w:rsidRPr="00FD0F59">
        <w:rPr>
          <w:rFonts w:ascii="ITC Avant Garde" w:eastAsia="Times New Roman" w:hAnsi="ITC Avant Garde"/>
          <w:sz w:val="20"/>
          <w:szCs w:val="20"/>
        </w:rPr>
        <w:t>P/IFT/EXT/060314/77</w:t>
      </w:r>
      <w:r w:rsidR="003A09AC" w:rsidRPr="00FD0F59">
        <w:rPr>
          <w:rFonts w:ascii="ITC Avant Garde" w:hAnsi="ITC Avant Garde" w:cs="Arial"/>
          <w:bCs/>
          <w:sz w:val="20"/>
          <w:szCs w:val="20"/>
        </w:rPr>
        <w:t xml:space="preserve"> de fecha </w:t>
      </w:r>
      <w:r w:rsidR="003A09AC" w:rsidRPr="00FD0F59">
        <w:rPr>
          <w:rFonts w:ascii="ITC Avant Garde" w:eastAsia="Times New Roman" w:hAnsi="ITC Avant Garde"/>
          <w:sz w:val="20"/>
          <w:szCs w:val="20"/>
        </w:rPr>
        <w:t>6 de marzo de 2014</w:t>
      </w:r>
      <w:r w:rsidR="003A09AC" w:rsidRPr="00FD0F59">
        <w:rPr>
          <w:rFonts w:ascii="ITC Avant Garde" w:hAnsi="ITC Avant Garde" w:cs="Arial"/>
          <w:bCs/>
          <w:sz w:val="20"/>
          <w:szCs w:val="20"/>
        </w:rPr>
        <w:t>, por un plazo de treinta días hábiles, a partir del día siguiente de la publicación de la consulta en el portal de Internet del Instituto.</w:t>
      </w:r>
    </w:p>
    <w:p w14:paraId="24659FF0" w14:textId="77777777" w:rsidR="003A09AC" w:rsidRPr="00FD0F59" w:rsidRDefault="003A09AC" w:rsidP="00FD0F59">
      <w:pPr>
        <w:spacing w:after="0"/>
        <w:jc w:val="both"/>
        <w:rPr>
          <w:rFonts w:ascii="ITC Avant Garde" w:hAnsi="ITC Avant Garde" w:cs="Arial"/>
          <w:bCs/>
          <w:sz w:val="20"/>
          <w:szCs w:val="20"/>
        </w:rPr>
      </w:pPr>
    </w:p>
    <w:p w14:paraId="7DFC513A" w14:textId="11067D84" w:rsidR="003A09AC" w:rsidRPr="00FD0F59" w:rsidRDefault="003A09AC" w:rsidP="00FD0F59">
      <w:pPr>
        <w:spacing w:after="0"/>
        <w:jc w:val="both"/>
        <w:rPr>
          <w:rFonts w:ascii="ITC Avant Garde" w:hAnsi="ITC Avant Garde" w:cs="Arial"/>
          <w:bCs/>
          <w:sz w:val="20"/>
          <w:szCs w:val="20"/>
        </w:rPr>
      </w:pPr>
      <w:r w:rsidRPr="00FD0F59">
        <w:rPr>
          <w:rFonts w:ascii="ITC Avant Garde" w:hAnsi="ITC Avant Garde" w:cs="Arial"/>
          <w:bCs/>
          <w:sz w:val="20"/>
          <w:szCs w:val="20"/>
        </w:rPr>
        <w:t>La consulta pública tendrá por objeto, mediante la mecánica que publique la Unidad de Política Regulatoria del Instituto, obtener análisis, comentarios, observaciones, opiniones y cualquier otra información que pueda ser útil para evaluar el impacto en términos de competencia de las medidas impuestas al A</w:t>
      </w:r>
      <w:r w:rsidR="00CF70F8" w:rsidRPr="00FD0F59">
        <w:rPr>
          <w:rFonts w:ascii="ITC Avant Garde" w:hAnsi="ITC Avant Garde" w:cs="Arial"/>
          <w:bCs/>
          <w:sz w:val="20"/>
          <w:szCs w:val="20"/>
        </w:rPr>
        <w:t xml:space="preserve">gente </w:t>
      </w:r>
      <w:r w:rsidRPr="00FD0F59">
        <w:rPr>
          <w:rFonts w:ascii="ITC Avant Garde" w:hAnsi="ITC Avant Garde" w:cs="Arial"/>
          <w:bCs/>
          <w:sz w:val="20"/>
          <w:szCs w:val="20"/>
        </w:rPr>
        <w:t>E</w:t>
      </w:r>
      <w:r w:rsidR="00CF70F8" w:rsidRPr="00FD0F59">
        <w:rPr>
          <w:rFonts w:ascii="ITC Avant Garde" w:hAnsi="ITC Avant Garde" w:cs="Arial"/>
          <w:bCs/>
          <w:sz w:val="20"/>
          <w:szCs w:val="20"/>
        </w:rPr>
        <w:t xml:space="preserve">conómico </w:t>
      </w:r>
      <w:r w:rsidRPr="00FD0F59">
        <w:rPr>
          <w:rFonts w:ascii="ITC Avant Garde" w:hAnsi="ITC Avant Garde" w:cs="Arial"/>
          <w:bCs/>
          <w:sz w:val="20"/>
          <w:szCs w:val="20"/>
        </w:rPr>
        <w:t>P</w:t>
      </w:r>
      <w:r w:rsidR="00CF70F8" w:rsidRPr="00FD0F59">
        <w:rPr>
          <w:rFonts w:ascii="ITC Avant Garde" w:hAnsi="ITC Avant Garde" w:cs="Arial"/>
          <w:bCs/>
          <w:sz w:val="20"/>
          <w:szCs w:val="20"/>
        </w:rPr>
        <w:t>reponderante</w:t>
      </w:r>
      <w:r w:rsidRPr="00FD0F59">
        <w:rPr>
          <w:rFonts w:ascii="ITC Avant Garde" w:hAnsi="ITC Avant Garde" w:cs="Arial"/>
          <w:bCs/>
          <w:sz w:val="20"/>
          <w:szCs w:val="20"/>
        </w:rPr>
        <w:t xml:space="preserve"> y, en su caso, propuestas justificadas de supresión, modificación o adición</w:t>
      </w:r>
      <w:r w:rsidR="00277236" w:rsidRPr="00FD0F59">
        <w:rPr>
          <w:rFonts w:ascii="ITC Avant Garde" w:hAnsi="ITC Avant Garde" w:cs="Arial"/>
          <w:bCs/>
          <w:sz w:val="20"/>
          <w:szCs w:val="20"/>
        </w:rPr>
        <w:t>.</w:t>
      </w:r>
    </w:p>
    <w:p w14:paraId="0F75B28F" w14:textId="77777777" w:rsidR="00347F5F" w:rsidRPr="00FD0F59" w:rsidRDefault="00347F5F" w:rsidP="00FD0F59">
      <w:pPr>
        <w:spacing w:after="0"/>
        <w:jc w:val="both"/>
        <w:rPr>
          <w:rFonts w:ascii="ITC Avant Garde" w:hAnsi="ITC Avant Garde" w:cs="Arial"/>
          <w:bCs/>
          <w:sz w:val="20"/>
          <w:szCs w:val="20"/>
        </w:rPr>
      </w:pPr>
    </w:p>
    <w:p w14:paraId="5ACCA846" w14:textId="6B73B001" w:rsidR="00713B5A" w:rsidRPr="00FD0F59" w:rsidRDefault="00713B5A" w:rsidP="00FD0F59">
      <w:pPr>
        <w:spacing w:after="0"/>
        <w:jc w:val="both"/>
        <w:rPr>
          <w:rFonts w:ascii="ITC Avant Garde" w:hAnsi="ITC Avant Garde" w:cs="Arial"/>
          <w:bCs/>
          <w:sz w:val="20"/>
          <w:szCs w:val="20"/>
        </w:rPr>
      </w:pPr>
      <w:r w:rsidRPr="00FD0F59">
        <w:rPr>
          <w:rFonts w:ascii="ITC Avant Garde" w:hAnsi="ITC Avant Garde" w:cs="Arial"/>
          <w:b/>
          <w:bCs/>
          <w:sz w:val="20"/>
          <w:szCs w:val="20"/>
        </w:rPr>
        <w:t>SEGUNDO</w:t>
      </w:r>
      <w:r w:rsidRPr="00FD0F59">
        <w:rPr>
          <w:rFonts w:ascii="ITC Avant Garde" w:hAnsi="ITC Avant Garde" w:cs="Arial"/>
          <w:bCs/>
          <w:sz w:val="20"/>
          <w:szCs w:val="20"/>
        </w:rPr>
        <w:t>.- Se instruye a la Unidad de Política Regulatoria a recibir y dar la atención que corresponda a las propuestas que sean vertidas en virtud de la consulta pública materia del presente Acuerdo.</w:t>
      </w:r>
    </w:p>
    <w:p w14:paraId="69B2A566" w14:textId="77777777" w:rsidR="008630A6" w:rsidRPr="00FD0F59" w:rsidRDefault="008630A6" w:rsidP="00FD0F59">
      <w:pPr>
        <w:spacing w:after="0"/>
        <w:jc w:val="both"/>
        <w:rPr>
          <w:rFonts w:ascii="ITC Avant Garde" w:hAnsi="ITC Avant Garde" w:cs="Arial"/>
          <w:b/>
          <w:bCs/>
          <w:sz w:val="20"/>
          <w:szCs w:val="20"/>
        </w:rPr>
      </w:pPr>
    </w:p>
    <w:p w14:paraId="250B420A" w14:textId="1EE4ECCF" w:rsidR="007734C1" w:rsidRPr="00FD0F59" w:rsidRDefault="00713B5A" w:rsidP="00FD0F59">
      <w:pPr>
        <w:spacing w:after="0"/>
        <w:jc w:val="both"/>
        <w:rPr>
          <w:rFonts w:ascii="ITC Avant Garde" w:hAnsi="ITC Avant Garde" w:cs="Arial"/>
          <w:bCs/>
          <w:sz w:val="20"/>
          <w:szCs w:val="20"/>
        </w:rPr>
      </w:pPr>
      <w:r w:rsidRPr="00FD0F59">
        <w:rPr>
          <w:rFonts w:ascii="ITC Avant Garde" w:hAnsi="ITC Avant Garde" w:cs="Arial"/>
          <w:b/>
          <w:bCs/>
          <w:sz w:val="20"/>
          <w:szCs w:val="20"/>
        </w:rPr>
        <w:t>TERCERO</w:t>
      </w:r>
      <w:r w:rsidRPr="00FD0F59">
        <w:rPr>
          <w:rFonts w:ascii="ITC Avant Garde" w:hAnsi="ITC Avant Garde" w:cs="Arial"/>
          <w:bCs/>
          <w:sz w:val="20"/>
          <w:szCs w:val="20"/>
        </w:rPr>
        <w:t>.- Publíquese en el portal de Internet del Institut</w:t>
      </w:r>
      <w:r w:rsidR="00FD0F59" w:rsidRPr="00FD0F59">
        <w:rPr>
          <w:rFonts w:ascii="ITC Avant Garde" w:hAnsi="ITC Avant Garde" w:cs="Arial"/>
          <w:bCs/>
          <w:sz w:val="20"/>
          <w:szCs w:val="20"/>
        </w:rPr>
        <w:t>o Federal de Telecomunicaciones.</w:t>
      </w:r>
    </w:p>
    <w:p w14:paraId="0A089AAD" w14:textId="77777777" w:rsidR="00FD0F59" w:rsidRPr="00FD0F59" w:rsidRDefault="00FD0F59" w:rsidP="00FD0F59">
      <w:pPr>
        <w:spacing w:after="0"/>
        <w:jc w:val="both"/>
        <w:rPr>
          <w:rFonts w:ascii="ITC Avant Garde" w:hAnsi="ITC Avant Garde"/>
          <w:sz w:val="20"/>
          <w:szCs w:val="20"/>
        </w:rPr>
      </w:pPr>
    </w:p>
    <w:p w14:paraId="6B31F27E" w14:textId="7E2EDFCB" w:rsidR="00AC0C65" w:rsidRPr="00AC0C65" w:rsidRDefault="00397A00" w:rsidP="00AC0C65">
      <w:pPr>
        <w:spacing w:after="0" w:line="240" w:lineRule="auto"/>
        <w:jc w:val="both"/>
        <w:rPr>
          <w:rFonts w:ascii="ITC Avant Garde" w:hAnsi="ITC Avant Garde"/>
          <w:sz w:val="14"/>
          <w:szCs w:val="14"/>
        </w:rPr>
      </w:pPr>
      <w:r w:rsidRPr="00FD0F59">
        <w:rPr>
          <w:rFonts w:ascii="ITC Avant Garde" w:hAnsi="ITC Avant Garde"/>
          <w:sz w:val="14"/>
          <w:szCs w:val="14"/>
        </w:rPr>
        <w:lastRenderedPageBreak/>
        <w:t>El presente Acuerdo fue aprobado por el Pleno del Instituto Federal de Telecomunicaciones en su IX Sesión Ordinaria celebrada el 6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P/IFT/060416/134.</w:t>
      </w:r>
      <w:bookmarkStart w:id="0" w:name="_GoBack"/>
      <w:bookmarkEnd w:id="0"/>
    </w:p>
    <w:sectPr w:rsidR="00AC0C65" w:rsidRPr="00AC0C65" w:rsidSect="00FD0F59">
      <w:footerReference w:type="default" r:id="rId8"/>
      <w:pgSz w:w="12240" w:h="15840"/>
      <w:pgMar w:top="1985"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58AF7" w14:textId="77777777" w:rsidR="003F5113" w:rsidRDefault="003F5113" w:rsidP="007734C1">
      <w:pPr>
        <w:spacing w:after="0" w:line="240" w:lineRule="auto"/>
      </w:pPr>
      <w:r>
        <w:separator/>
      </w:r>
    </w:p>
  </w:endnote>
  <w:endnote w:type="continuationSeparator" w:id="0">
    <w:p w14:paraId="6CDAA13C" w14:textId="77777777" w:rsidR="003F5113" w:rsidRDefault="003F5113"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933174"/>
      <w:docPartObj>
        <w:docPartGallery w:val="Page Numbers (Bottom of Page)"/>
        <w:docPartUnique/>
      </w:docPartObj>
    </w:sdtPr>
    <w:sdtEndPr/>
    <w:sdtContent>
      <w:p w14:paraId="4B0841EB" w14:textId="77777777" w:rsidR="00017D37" w:rsidRDefault="00017D37">
        <w:pPr>
          <w:pStyle w:val="Piedepgina"/>
          <w:jc w:val="right"/>
        </w:pPr>
        <w:r>
          <w:fldChar w:fldCharType="begin"/>
        </w:r>
        <w:r>
          <w:instrText>PAGE   \* MERGEFORMAT</w:instrText>
        </w:r>
        <w:r>
          <w:fldChar w:fldCharType="separate"/>
        </w:r>
        <w:r w:rsidR="00AC0C65" w:rsidRPr="00AC0C65">
          <w:rPr>
            <w:noProof/>
            <w:lang w:val="es-ES"/>
          </w:rPr>
          <w:t>5</w:t>
        </w:r>
        <w:r>
          <w:fldChar w:fldCharType="end"/>
        </w:r>
      </w:p>
    </w:sdtContent>
  </w:sdt>
  <w:p w14:paraId="16D5C01F" w14:textId="77777777" w:rsidR="00017D37" w:rsidRDefault="00017D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FF73F" w14:textId="77777777" w:rsidR="003F5113" w:rsidRDefault="003F5113" w:rsidP="007734C1">
      <w:pPr>
        <w:spacing w:after="0" w:line="240" w:lineRule="auto"/>
      </w:pPr>
      <w:r>
        <w:separator/>
      </w:r>
    </w:p>
  </w:footnote>
  <w:footnote w:type="continuationSeparator" w:id="0">
    <w:p w14:paraId="61073DBB" w14:textId="77777777" w:rsidR="003F5113" w:rsidRDefault="003F5113" w:rsidP="0077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718A"/>
    <w:multiLevelType w:val="hybridMultilevel"/>
    <w:tmpl w:val="433237E4"/>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C1"/>
    <w:rsid w:val="00006D24"/>
    <w:rsid w:val="00017D37"/>
    <w:rsid w:val="00031529"/>
    <w:rsid w:val="00081909"/>
    <w:rsid w:val="000B31C9"/>
    <w:rsid w:val="00155836"/>
    <w:rsid w:val="001F02EA"/>
    <w:rsid w:val="001F0C42"/>
    <w:rsid w:val="00210568"/>
    <w:rsid w:val="0023095D"/>
    <w:rsid w:val="002559BD"/>
    <w:rsid w:val="00277236"/>
    <w:rsid w:val="002C1CED"/>
    <w:rsid w:val="002E2117"/>
    <w:rsid w:val="003100AD"/>
    <w:rsid w:val="00315762"/>
    <w:rsid w:val="003164DD"/>
    <w:rsid w:val="00317BC8"/>
    <w:rsid w:val="00326D9D"/>
    <w:rsid w:val="00347F5F"/>
    <w:rsid w:val="00397A00"/>
    <w:rsid w:val="003A09AC"/>
    <w:rsid w:val="003D202A"/>
    <w:rsid w:val="003D2CBD"/>
    <w:rsid w:val="003F49FA"/>
    <w:rsid w:val="003F5113"/>
    <w:rsid w:val="00414794"/>
    <w:rsid w:val="00433DBD"/>
    <w:rsid w:val="004435DF"/>
    <w:rsid w:val="00476E6E"/>
    <w:rsid w:val="004E0F10"/>
    <w:rsid w:val="004E33C6"/>
    <w:rsid w:val="0051257F"/>
    <w:rsid w:val="00521FD3"/>
    <w:rsid w:val="005256A6"/>
    <w:rsid w:val="00560A8D"/>
    <w:rsid w:val="005672A1"/>
    <w:rsid w:val="005A6005"/>
    <w:rsid w:val="005F55DC"/>
    <w:rsid w:val="00611204"/>
    <w:rsid w:val="00650135"/>
    <w:rsid w:val="00664144"/>
    <w:rsid w:val="0069067B"/>
    <w:rsid w:val="006A7860"/>
    <w:rsid w:val="006D56C6"/>
    <w:rsid w:val="006D75FB"/>
    <w:rsid w:val="006F4A7E"/>
    <w:rsid w:val="00704A48"/>
    <w:rsid w:val="00706534"/>
    <w:rsid w:val="00713B5A"/>
    <w:rsid w:val="0073029B"/>
    <w:rsid w:val="007531EC"/>
    <w:rsid w:val="007734C1"/>
    <w:rsid w:val="007A221E"/>
    <w:rsid w:val="007A7E9B"/>
    <w:rsid w:val="007B7C9F"/>
    <w:rsid w:val="007F6FCC"/>
    <w:rsid w:val="008630A6"/>
    <w:rsid w:val="009004E0"/>
    <w:rsid w:val="00906FF1"/>
    <w:rsid w:val="009255CF"/>
    <w:rsid w:val="00983C1C"/>
    <w:rsid w:val="009B5207"/>
    <w:rsid w:val="009E03B3"/>
    <w:rsid w:val="009F3D8F"/>
    <w:rsid w:val="009F68BC"/>
    <w:rsid w:val="00A04848"/>
    <w:rsid w:val="00A24E31"/>
    <w:rsid w:val="00A72B85"/>
    <w:rsid w:val="00AC0C65"/>
    <w:rsid w:val="00AE063F"/>
    <w:rsid w:val="00AE6275"/>
    <w:rsid w:val="00B46DCD"/>
    <w:rsid w:val="00B70727"/>
    <w:rsid w:val="00B82062"/>
    <w:rsid w:val="00B901B0"/>
    <w:rsid w:val="00BF5960"/>
    <w:rsid w:val="00C11789"/>
    <w:rsid w:val="00C330D9"/>
    <w:rsid w:val="00C36190"/>
    <w:rsid w:val="00CC516D"/>
    <w:rsid w:val="00CE0DFF"/>
    <w:rsid w:val="00CF70F8"/>
    <w:rsid w:val="00D073EE"/>
    <w:rsid w:val="00D2183C"/>
    <w:rsid w:val="00D50F3D"/>
    <w:rsid w:val="00D61EF1"/>
    <w:rsid w:val="00D9185D"/>
    <w:rsid w:val="00DC10E4"/>
    <w:rsid w:val="00DF0E82"/>
    <w:rsid w:val="00E17AEE"/>
    <w:rsid w:val="00E455E3"/>
    <w:rsid w:val="00EB0524"/>
    <w:rsid w:val="00EC1B06"/>
    <w:rsid w:val="00ED1C42"/>
    <w:rsid w:val="00F366A3"/>
    <w:rsid w:val="00F37B2C"/>
    <w:rsid w:val="00F85166"/>
    <w:rsid w:val="00F94696"/>
    <w:rsid w:val="00FD0F59"/>
    <w:rsid w:val="00FE1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672D"/>
  <w15:chartTrackingRefBased/>
  <w15:docId w15:val="{0FD99238-D509-4D2C-BE47-9E62052E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C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0C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C0C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4C1"/>
  </w:style>
  <w:style w:type="paragraph" w:styleId="Piedepgina">
    <w:name w:val="footer"/>
    <w:basedOn w:val="Normal"/>
    <w:link w:val="PiedepginaCar"/>
    <w:uiPriority w:val="99"/>
    <w:unhideWhenUsed/>
    <w:rsid w:val="0077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4C1"/>
  </w:style>
  <w:style w:type="paragraph" w:styleId="Prrafodelista">
    <w:name w:val="List Paragraph"/>
    <w:basedOn w:val="Normal"/>
    <w:link w:val="PrrafodelistaCar"/>
    <w:uiPriority w:val="34"/>
    <w:qFormat/>
    <w:rsid w:val="007734C1"/>
    <w:pPr>
      <w:ind w:left="720"/>
      <w:contextualSpacing/>
    </w:pPr>
    <w:rPr>
      <w:sz w:val="20"/>
      <w:szCs w:val="20"/>
      <w:lang w:val="x-none" w:eastAsia="x-none"/>
    </w:rPr>
  </w:style>
  <w:style w:type="character" w:customStyle="1" w:styleId="PrrafodelistaCar">
    <w:name w:val="Párrafo de lista Car"/>
    <w:link w:val="Prrafodelista"/>
    <w:uiPriority w:val="34"/>
    <w:locked/>
    <w:rsid w:val="007734C1"/>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2C1C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CED"/>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11204"/>
    <w:rPr>
      <w:sz w:val="16"/>
      <w:szCs w:val="16"/>
    </w:rPr>
  </w:style>
  <w:style w:type="paragraph" w:styleId="Textocomentario">
    <w:name w:val="annotation text"/>
    <w:basedOn w:val="Normal"/>
    <w:link w:val="TextocomentarioCar"/>
    <w:uiPriority w:val="99"/>
    <w:semiHidden/>
    <w:unhideWhenUsed/>
    <w:rsid w:val="006112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20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11204"/>
    <w:rPr>
      <w:b/>
      <w:bCs/>
    </w:rPr>
  </w:style>
  <w:style w:type="character" w:customStyle="1" w:styleId="AsuntodelcomentarioCar">
    <w:name w:val="Asunto del comentario Car"/>
    <w:basedOn w:val="TextocomentarioCar"/>
    <w:link w:val="Asuntodelcomentario"/>
    <w:uiPriority w:val="99"/>
    <w:semiHidden/>
    <w:rsid w:val="00611204"/>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AC0C6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C0C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1066">
      <w:bodyDiv w:val="1"/>
      <w:marLeft w:val="0"/>
      <w:marRight w:val="0"/>
      <w:marTop w:val="0"/>
      <w:marBottom w:val="0"/>
      <w:divBdr>
        <w:top w:val="none" w:sz="0" w:space="0" w:color="auto"/>
        <w:left w:val="none" w:sz="0" w:space="0" w:color="auto"/>
        <w:bottom w:val="none" w:sz="0" w:space="0" w:color="auto"/>
        <w:right w:val="none" w:sz="0" w:space="0" w:color="auto"/>
      </w:divBdr>
    </w:div>
    <w:div w:id="18504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CAED9-928F-450F-97BC-BCD91432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1795</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Maria del Consuelo Gonzalez Moreno</cp:lastModifiedBy>
  <cp:revision>13</cp:revision>
  <cp:lastPrinted>2016-04-07T00:59:00Z</cp:lastPrinted>
  <dcterms:created xsi:type="dcterms:W3CDTF">2016-04-06T22:27:00Z</dcterms:created>
  <dcterms:modified xsi:type="dcterms:W3CDTF">2016-05-17T15:10:00Z</dcterms:modified>
</cp:coreProperties>
</file>