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B" w:rsidRPr="00B817D4" w:rsidRDefault="003F668B" w:rsidP="00B817D4">
      <w:pPr>
        <w:pStyle w:val="Titulo1"/>
        <w:rPr>
          <w:rFonts w:cs="Times New Roman"/>
        </w:rPr>
      </w:pPr>
      <w:bookmarkStart w:id="0" w:name="_GoBack"/>
      <w:bookmarkEnd w:id="0"/>
      <w:r w:rsidRPr="00595D56">
        <w:rPr>
          <w:rFonts w:cs="Times New Roman"/>
        </w:rPr>
        <w:t xml:space="preserve">ACUERDO mediante el cual el Pleno del Instituto Federal de Telecomunicaciones delega en la Titular de la Unidad de Medios y </w:t>
      </w:r>
      <w:r w:rsidR="00CC65EA" w:rsidRPr="00595D56">
        <w:rPr>
          <w:rFonts w:cs="Times New Roman"/>
        </w:rPr>
        <w:t xml:space="preserve">Contenidos </w:t>
      </w:r>
      <w:r w:rsidRPr="00595D56">
        <w:rPr>
          <w:rFonts w:cs="Times New Roman"/>
        </w:rPr>
        <w:t>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r w:rsidRPr="00B817D4">
        <w:rPr>
          <w:kern w:val="2"/>
          <w:szCs w:val="22"/>
          <w:lang w:val="es-ES" w:eastAsia="ar-SA"/>
        </w:rPr>
        <w:t>Al margen un logotipo, que dice: Instituto Federal de Telecomunicaciones.</w:t>
      </w:r>
    </w:p>
    <w:p w:rsidR="00B817D4" w:rsidRPr="00B817D4" w:rsidRDefault="00B817D4" w:rsidP="00B817D4">
      <w:pPr>
        <w:pStyle w:val="Texto"/>
        <w:spacing w:line="280" w:lineRule="exact"/>
        <w:ind w:firstLine="0"/>
        <w:rPr>
          <w:szCs w:val="18"/>
        </w:rPr>
      </w:pPr>
      <w:r w:rsidRPr="00B817D4">
        <w:rPr>
          <w:szCs w:val="18"/>
        </w:rPr>
        <w:t>Al margen un logotipo que dice Instituto Federal de Telecomunicaciones.</w:t>
      </w:r>
    </w:p>
    <w:p w:rsidR="003F668B" w:rsidRPr="00A25B2C" w:rsidRDefault="003F668B" w:rsidP="000B1C49">
      <w:pPr>
        <w:pStyle w:val="Texto"/>
        <w:spacing w:line="280" w:lineRule="exact"/>
        <w:rPr>
          <w:sz w:val="16"/>
          <w:szCs w:val="16"/>
        </w:rPr>
      </w:pPr>
      <w:r w:rsidRPr="00A25B2C">
        <w:rPr>
          <w:sz w:val="16"/>
          <w:szCs w:val="16"/>
        </w:rPr>
        <w:t>ACUERDO MEDIANTE EL CUAL EL PLENO DEL INSTITUTO FEDERAL DE TELECOMUNICACIONES DELEGA EN LA TITULAR DE LA UNIDAD DE MEDIOS Y CONTENIDOS AUDIOVISUALES LA ATRIBUCIÓN PARA AUTORIZAR A LOS CONCESIONARIOS DE TELEVISIÓN RADIODIFUNDIDA QUE SUS EQUIPOS COMPLEMENTARIOS PUEDAN RETRANSMITIR UNA SEÑAL QUE COINCIDA EN AL MENOS EL 75% DEL CONTENIDO PROGRAMÁTICO DE LA ESTACIÓN DE TELEVISIÓN PRINCIPAL DENTRO DEL HORARIO COMPRENDIDO ENTRE LAS 6:00 Y 24:00 HORAS EN LOS TÉRMINOS DEL CAPÍTULO 7.2 DE LA DISPOSICIÓN TÉCNICA IFT-013-2016: ESPECIFICACIONES Y REQUERIMIENTOS MÍNIMOS PARA LA INSTALACIÓN Y OPERACIÓN DE ESTACIONES DE TELEVISIÓN, EQUIPOS AUXILIARES Y EQUIPOS COMPLEMENTARIOS.</w:t>
      </w:r>
    </w:p>
    <w:p w:rsidR="00B817D4" w:rsidRPr="00B817D4" w:rsidRDefault="003F668B" w:rsidP="00B817D4">
      <w:pPr>
        <w:pStyle w:val="Texto"/>
        <w:spacing w:after="200" w:line="280" w:lineRule="exact"/>
        <w:ind w:firstLine="289"/>
        <w:rPr>
          <w:kern w:val="2"/>
          <w:szCs w:val="22"/>
          <w:lang w:eastAsia="ar-SA"/>
        </w:rPr>
      </w:pPr>
      <w:r w:rsidRPr="00B817D4">
        <w:rPr>
          <w:kern w:val="2"/>
          <w:szCs w:val="22"/>
          <w:lang w:eastAsia="ar-SA"/>
        </w:rPr>
        <w:t>El Pleno de Instituto Federal de Telecomunicaciones (Instituto) con fundamento en lo dispuesto en los artículos 28, párrafos décimo quinto y décimo sexto de la Constitución Política de los Estados Unidos Mexicanos (Constitución), 1, 2, 7, 15, fracción LXIII, y 17, penúltimo párrafo, de la Ley Federal de Telecomunicaciones y Radiodifusión (Ley) y 4, fracción V, inciso iv), 6, fracción XXV, 18, 19, fracción XV y 37 del Estatuto Orgánico del Instituto Federal de Telecomunicaciones (Estatuto), y</w:t>
      </w:r>
    </w:p>
    <w:p w:rsidR="003F668B" w:rsidRPr="00214B75" w:rsidRDefault="003F668B" w:rsidP="00214B75">
      <w:pPr>
        <w:pStyle w:val="Titulo2"/>
        <w:pBdr>
          <w:top w:val="none" w:sz="0" w:space="0" w:color="auto"/>
        </w:pBdr>
        <w:jc w:val="center"/>
        <w:rPr>
          <w:rFonts w:ascii="Times New Roman" w:hAnsi="Times New Roman" w:cs="Times New Roman"/>
          <w:b/>
        </w:rPr>
      </w:pPr>
      <w:r w:rsidRPr="00214B75">
        <w:rPr>
          <w:rFonts w:ascii="Times New Roman" w:hAnsi="Times New Roman" w:cs="Times New Roman"/>
          <w:b/>
        </w:rPr>
        <w:t>CONSIDERANDO</w:t>
      </w:r>
    </w:p>
    <w:p w:rsidR="003F668B" w:rsidRPr="00A25B2C" w:rsidRDefault="003F668B" w:rsidP="000B1C49">
      <w:pPr>
        <w:pStyle w:val="Texto"/>
        <w:spacing w:line="280" w:lineRule="exact"/>
        <w:rPr>
          <w:kern w:val="2"/>
          <w:szCs w:val="22"/>
          <w:lang w:eastAsia="ar-SA"/>
        </w:rPr>
      </w:pPr>
      <w:r w:rsidRPr="00A25B2C">
        <w:rPr>
          <w:kern w:val="2"/>
          <w:szCs w:val="22"/>
          <w:lang w:eastAsia="ar-SA"/>
        </w:rPr>
        <w:t>Que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tendrá a su cargo la regulación, promoción y supervisión del uso, aprovechamiento y explotación del espectro radioeléctrico, las redes y la prestación de los servicios de radiodifusión</w:t>
      </w:r>
      <w:r w:rsidR="00595D56">
        <w:rPr>
          <w:kern w:val="2"/>
          <w:szCs w:val="22"/>
          <w:lang w:eastAsia="ar-SA"/>
        </w:rPr>
        <w:t xml:space="preserve"> </w:t>
      </w:r>
      <w:r w:rsidRPr="00A25B2C">
        <w:rPr>
          <w:kern w:val="2"/>
          <w:szCs w:val="22"/>
          <w:lang w:eastAsia="ar-SA"/>
        </w:rPr>
        <w:t>y telecomunicaciones, así como del acceso a infraestructura activa, pasiva y otros insumos esenciales, garantizando lo establecido en los artículos 6o. y 7o. de la Constitución;</w:t>
      </w:r>
    </w:p>
    <w:p w:rsidR="003F668B" w:rsidRPr="00A25B2C" w:rsidRDefault="003F668B" w:rsidP="000B1C49">
      <w:pPr>
        <w:pStyle w:val="Texto"/>
        <w:spacing w:line="280" w:lineRule="exact"/>
        <w:rPr>
          <w:bCs/>
          <w:szCs w:val="22"/>
        </w:rPr>
      </w:pPr>
      <w:r w:rsidRPr="00A25B2C">
        <w:rPr>
          <w:kern w:val="2"/>
          <w:szCs w:val="22"/>
          <w:lang w:eastAsia="ar-SA"/>
        </w:rPr>
        <w:t xml:space="preserve">Que </w:t>
      </w:r>
      <w:r w:rsidRPr="00A25B2C">
        <w:rPr>
          <w:bCs/>
          <w:szCs w:val="22"/>
        </w:rPr>
        <w:t xml:space="preserve">el 30 de diciembre de 2016, se publicó en el Diario Oficial de la Federación (DOF) el Acuerdo mediante el cual el Pleno del Instituto expide la Disposición Técnica IFT-013-2016: </w:t>
      </w:r>
      <w:r w:rsidRPr="00A25B2C">
        <w:rPr>
          <w:bCs/>
          <w:i/>
          <w:szCs w:val="22"/>
        </w:rPr>
        <w:t>Especificaciones y requerimientos mínimos para la instalación y operación de estaciones de televisión, equipos auxiliares</w:t>
      </w:r>
      <w:r w:rsidR="00595D56">
        <w:rPr>
          <w:bCs/>
          <w:i/>
          <w:szCs w:val="22"/>
        </w:rPr>
        <w:t xml:space="preserve"> </w:t>
      </w:r>
      <w:r w:rsidRPr="00A25B2C">
        <w:rPr>
          <w:bCs/>
          <w:i/>
          <w:szCs w:val="22"/>
        </w:rPr>
        <w:t>y equipos complementarios</w:t>
      </w:r>
      <w:r w:rsidRPr="00A25B2C">
        <w:rPr>
          <w:bCs/>
          <w:szCs w:val="22"/>
        </w:rPr>
        <w:t xml:space="preserve"> (Disposición Técnica).</w:t>
      </w:r>
    </w:p>
    <w:p w:rsidR="003F668B" w:rsidRPr="00A25B2C" w:rsidRDefault="003F668B" w:rsidP="000B1C49">
      <w:pPr>
        <w:pStyle w:val="Texto"/>
        <w:spacing w:line="280" w:lineRule="exact"/>
        <w:rPr>
          <w:szCs w:val="22"/>
        </w:rPr>
      </w:pPr>
      <w:r w:rsidRPr="00A25B2C">
        <w:rPr>
          <w:szCs w:val="22"/>
        </w:rPr>
        <w:t>Que el artículo 17, penúltimo párrafo de la Ley prevé que el Pleno determinará en el Estatuto Orgánico o mediante acuerdo delegatorio publicado en el DOF, el ejercicio directo o por delegación de las atribuciones previstas en el artículo 15 de la Ley, que no estén comprendidas en los supuestos señalados en la fracción I del artículo 17.</w:t>
      </w:r>
    </w:p>
    <w:p w:rsidR="003F668B" w:rsidRPr="00A25B2C" w:rsidRDefault="003F668B" w:rsidP="000B1C49">
      <w:pPr>
        <w:pStyle w:val="Texto"/>
        <w:spacing w:line="280" w:lineRule="exact"/>
        <w:rPr>
          <w:bCs/>
          <w:szCs w:val="22"/>
        </w:rPr>
      </w:pPr>
      <w:r w:rsidRPr="00A25B2C">
        <w:rPr>
          <w:bCs/>
          <w:szCs w:val="22"/>
        </w:rPr>
        <w:t>Que el Capítulo 7.2 de la Disposición Técnica establece lo siguiente:</w:t>
      </w:r>
    </w:p>
    <w:p w:rsidR="003F668B" w:rsidRPr="00A25B2C" w:rsidRDefault="003F668B" w:rsidP="000B1C49">
      <w:pPr>
        <w:pStyle w:val="Texto"/>
        <w:spacing w:line="280" w:lineRule="exact"/>
        <w:ind w:left="1008" w:right="720" w:firstLine="0"/>
        <w:rPr>
          <w:bCs/>
          <w:i/>
          <w:szCs w:val="22"/>
        </w:rPr>
      </w:pPr>
      <w:r w:rsidRPr="00A25B2C">
        <w:rPr>
          <w:bCs/>
          <w:i/>
          <w:szCs w:val="22"/>
        </w:rPr>
        <w:t>7.2 EQUIPOS COMPLEMENTARIOS</w:t>
      </w:r>
    </w:p>
    <w:p w:rsidR="003F668B" w:rsidRPr="00A25B2C" w:rsidRDefault="003F668B" w:rsidP="000B1C49">
      <w:pPr>
        <w:pStyle w:val="Texto"/>
        <w:spacing w:line="280" w:lineRule="exact"/>
        <w:ind w:left="1008" w:right="720" w:firstLine="0"/>
        <w:rPr>
          <w:bCs/>
          <w:i/>
          <w:szCs w:val="22"/>
        </w:rPr>
      </w:pPr>
      <w:r w:rsidRPr="00A25B2C">
        <w:rPr>
          <w:bCs/>
          <w:i/>
          <w:szCs w:val="22"/>
        </w:rPr>
        <w:t xml:space="preserve">En Zonas de Sombra o poblaciones en las que no se reciba la señal con la intensidad de campo necesaria proveniente de una Estación de Televisión, se podrán utilizar Equipos Complementarios. El Instituto podrá autorizar el empleo de dichos equipos a efecto de que a través de éstos se retransmita, dentro de la Zona de Cobertura, la señal idéntica de la Estación de Televisión que se reciba a través del espacio o algún otro medio. </w:t>
      </w:r>
      <w:r w:rsidRPr="00A25B2C">
        <w:rPr>
          <w:b/>
          <w:bCs/>
          <w:i/>
          <w:szCs w:val="22"/>
          <w:u w:val="single"/>
        </w:rPr>
        <w:t xml:space="preserve">Cuando se cuente con autorización del Instituto, el Equipo Complementario podrá retransmitir una señal que coincida en al menos el 75% del contenido programático de la Estación </w:t>
      </w:r>
      <w:r w:rsidRPr="00A25B2C">
        <w:rPr>
          <w:b/>
          <w:bCs/>
          <w:i/>
          <w:szCs w:val="22"/>
          <w:u w:val="single"/>
        </w:rPr>
        <w:lastRenderedPageBreak/>
        <w:t>de Televisión dentro del horario comprendido entre las 6:00 y 24:00 horas, aun en un orden distinto</w:t>
      </w:r>
      <w:r w:rsidRPr="00A25B2C">
        <w:rPr>
          <w:b/>
          <w:bCs/>
          <w:i/>
          <w:szCs w:val="22"/>
        </w:rPr>
        <w:t>.</w:t>
      </w:r>
      <w:r w:rsidRPr="00A25B2C">
        <w:rPr>
          <w:bCs/>
          <w:i/>
          <w:szCs w:val="22"/>
        </w:rPr>
        <w:t xml:space="preserve"> Lo anterior no exime a los Concesionarios del cumplimiento de las disposiciones aplicables en materia electoral.</w:t>
      </w:r>
    </w:p>
    <w:p w:rsidR="003F668B" w:rsidRPr="00A25B2C" w:rsidRDefault="003F668B" w:rsidP="000B1C49">
      <w:pPr>
        <w:pStyle w:val="Texto"/>
        <w:spacing w:line="280" w:lineRule="exact"/>
        <w:rPr>
          <w:bCs/>
          <w:szCs w:val="22"/>
        </w:rPr>
      </w:pPr>
      <w:r w:rsidRPr="00A25B2C">
        <w:rPr>
          <w:bCs/>
          <w:szCs w:val="22"/>
        </w:rPr>
        <w:t>Que la facultad de autorizar a los concesionarios de televisión radiodifundida que sus Equipos Complementarios</w:t>
      </w:r>
      <w:r>
        <w:rPr>
          <w:rStyle w:val="Refdenotaalpie"/>
          <w:bCs/>
          <w:szCs w:val="22"/>
        </w:rPr>
        <w:footnoteReference w:customMarkFollows="1" w:id="1"/>
        <w:t>1</w:t>
      </w:r>
      <w:r w:rsidRPr="00A25B2C">
        <w:rPr>
          <w:bCs/>
          <w:szCs w:val="22"/>
        </w:rPr>
        <w:t xml:space="preserve"> puedan retransmitir una señal que coincida en al menos el 75% del contenido programático de la estación de televisión principal dentro del horario comprendido entre las 6:00 y 24:00 horas en los términos del Capítulo 7.2 de la Disposición Técnica, no se encuentra contemplada dentro de las facultades indelegables en términos del artículo 17, fracción I de la Ley, </w:t>
      </w:r>
      <w:r w:rsidRPr="00A25B2C">
        <w:rPr>
          <w:szCs w:val="22"/>
        </w:rPr>
        <w:t>luego entonces, la atribución es delegable.</w:t>
      </w:r>
    </w:p>
    <w:p w:rsidR="003F668B" w:rsidRPr="00A25B2C" w:rsidRDefault="003F668B" w:rsidP="00214B75">
      <w:pPr>
        <w:pStyle w:val="Texto"/>
        <w:spacing w:after="200" w:line="280" w:lineRule="exact"/>
        <w:ind w:firstLine="289"/>
        <w:rPr>
          <w:szCs w:val="22"/>
        </w:rPr>
      </w:pPr>
      <w:r w:rsidRPr="00A25B2C">
        <w:rPr>
          <w:szCs w:val="22"/>
        </w:rPr>
        <w:t>Que el principio de publicidad de los actos administrativos tiene como propósito velar y proteger las garantías de seguridad y certidumbre jurídicas de todo gobernado, por lo anterior y a efecto de procurar mejor organización del trabajo y agilizar el despacho de los asuntos competencia del Instituto, el Pleno como órgano máximo de gobierno y decisión, ha tenido a bien expedir el siguiente:</w:t>
      </w:r>
    </w:p>
    <w:p w:rsidR="003F668B" w:rsidRPr="00214B75" w:rsidRDefault="003F668B" w:rsidP="00214B75">
      <w:pPr>
        <w:pStyle w:val="Titulo2"/>
        <w:pBdr>
          <w:top w:val="none" w:sz="0" w:space="0" w:color="auto"/>
        </w:pBdr>
        <w:jc w:val="center"/>
        <w:rPr>
          <w:rFonts w:ascii="Times New Roman" w:hAnsi="Times New Roman" w:cs="Times New Roman"/>
          <w:b/>
        </w:rPr>
      </w:pPr>
      <w:r w:rsidRPr="00214B75">
        <w:rPr>
          <w:rFonts w:ascii="Times New Roman" w:hAnsi="Times New Roman" w:cs="Times New Roman"/>
          <w:b/>
        </w:rPr>
        <w:t>ACUERDO</w:t>
      </w:r>
    </w:p>
    <w:p w:rsidR="003F668B" w:rsidRPr="00A25B2C" w:rsidRDefault="003F668B" w:rsidP="000B1C49">
      <w:pPr>
        <w:pStyle w:val="Texto"/>
        <w:spacing w:line="280" w:lineRule="exact"/>
        <w:rPr>
          <w:szCs w:val="22"/>
        </w:rPr>
      </w:pPr>
      <w:r w:rsidRPr="00A25B2C">
        <w:rPr>
          <w:b/>
          <w:szCs w:val="22"/>
        </w:rPr>
        <w:t>PRIMERO.-</w:t>
      </w:r>
      <w:r w:rsidRPr="00A25B2C">
        <w:rPr>
          <w:szCs w:val="22"/>
        </w:rPr>
        <w:t xml:space="preserve"> Se delega en la Titular de la Unidad de Medios y Contenidos Audiovisuales, de conformidad con los puntos considerativos del presente acuerdo, particularmente los contenidos en los párrafos cuarto y quinto, la atribución para autorizar a equipos complementarios retransmitir una señal que coincida en al menos el 75% del contenido programático de la estación de televisión principal dentro del horario comprendido entre las 6:00 y 24:00 horas en los términos del capítulo 7.2 de la Disposición Técnica</w:t>
      </w:r>
      <w:r w:rsidR="00595D56">
        <w:rPr>
          <w:szCs w:val="22"/>
        </w:rPr>
        <w:t xml:space="preserve"> </w:t>
      </w:r>
      <w:r w:rsidRPr="00A25B2C">
        <w:rPr>
          <w:szCs w:val="22"/>
        </w:rPr>
        <w:t xml:space="preserve">IFT-013-2016: </w:t>
      </w:r>
      <w:r w:rsidRPr="00A25B2C">
        <w:rPr>
          <w:i/>
          <w:szCs w:val="22"/>
        </w:rPr>
        <w:t>Especificaciones y Requerimientos Mínimos para la Instalación y Operación de Estaciones de Televisión, Equipos Auxiliares y Equipos Complementarios</w:t>
      </w:r>
      <w:r w:rsidRPr="00A25B2C">
        <w:rPr>
          <w:szCs w:val="22"/>
        </w:rPr>
        <w:t>.</w:t>
      </w:r>
    </w:p>
    <w:p w:rsidR="003F668B" w:rsidRPr="00A25B2C" w:rsidRDefault="003F668B" w:rsidP="000B1C49">
      <w:pPr>
        <w:pStyle w:val="Texto"/>
        <w:spacing w:line="280" w:lineRule="exact"/>
        <w:rPr>
          <w:szCs w:val="22"/>
        </w:rPr>
      </w:pPr>
      <w:r w:rsidRPr="00A25B2C">
        <w:rPr>
          <w:b/>
          <w:szCs w:val="22"/>
        </w:rPr>
        <w:t>SEGUNDO</w:t>
      </w:r>
      <w:r w:rsidRPr="00A25B2C">
        <w:rPr>
          <w:szCs w:val="22"/>
        </w:rPr>
        <w:t>.- Se instruye a la Unidad de Medios y Contenidos Audiovisuales para que publique y mantenga actualizado, en el sitio de Internet del Instituto Federal de Telecomunicaciones, un listado que contenga las autorizaciones realizadas.</w:t>
      </w:r>
    </w:p>
    <w:p w:rsidR="003F668B" w:rsidRPr="00A25B2C" w:rsidRDefault="003F668B" w:rsidP="000B1C49">
      <w:pPr>
        <w:pStyle w:val="Texto"/>
        <w:spacing w:line="280" w:lineRule="exact"/>
        <w:rPr>
          <w:szCs w:val="22"/>
        </w:rPr>
      </w:pPr>
      <w:r w:rsidRPr="00A25B2C">
        <w:rPr>
          <w:b/>
          <w:szCs w:val="22"/>
        </w:rPr>
        <w:t xml:space="preserve">TERCERO.- </w:t>
      </w:r>
      <w:r w:rsidRPr="00A25B2C">
        <w:rPr>
          <w:szCs w:val="22"/>
        </w:rPr>
        <w:t>La atribución que se delega por virtud del presente Acuerdo, se entenderá sin perjuicio de su ejercicio directo por parte del Pleno del Instituto Federal de Telecomunicaciones.</w:t>
      </w:r>
    </w:p>
    <w:p w:rsidR="003F668B" w:rsidRPr="00A25B2C" w:rsidRDefault="003F668B" w:rsidP="00214B75">
      <w:pPr>
        <w:pStyle w:val="Texto"/>
        <w:spacing w:after="200" w:line="280" w:lineRule="exact"/>
        <w:ind w:firstLine="289"/>
        <w:rPr>
          <w:szCs w:val="22"/>
        </w:rPr>
      </w:pPr>
      <w:r w:rsidRPr="00A25B2C">
        <w:rPr>
          <w:b/>
          <w:szCs w:val="22"/>
        </w:rPr>
        <w:t>CUARTO.-</w:t>
      </w:r>
      <w:r w:rsidRPr="00A25B2C">
        <w:rPr>
          <w:szCs w:val="22"/>
        </w:rPr>
        <w:t xml:space="preserve"> Publíquese el presente Acuerdo en el Diario Oficial de la Federación.</w:t>
      </w:r>
    </w:p>
    <w:p w:rsidR="003F668B" w:rsidRPr="00214B75" w:rsidRDefault="003F668B" w:rsidP="00214B75">
      <w:pPr>
        <w:pStyle w:val="Titulo2"/>
        <w:pBdr>
          <w:top w:val="none" w:sz="0" w:space="0" w:color="auto"/>
        </w:pBdr>
        <w:jc w:val="center"/>
        <w:rPr>
          <w:rFonts w:ascii="Times New Roman" w:hAnsi="Times New Roman" w:cs="Times New Roman"/>
          <w:b/>
        </w:rPr>
      </w:pPr>
      <w:r w:rsidRPr="00214B75">
        <w:rPr>
          <w:rFonts w:ascii="Times New Roman" w:hAnsi="Times New Roman" w:cs="Times New Roman"/>
          <w:b/>
        </w:rPr>
        <w:t>TRANSITORIO</w:t>
      </w:r>
    </w:p>
    <w:p w:rsidR="003F668B" w:rsidRPr="00A25B2C" w:rsidRDefault="003F668B" w:rsidP="000B1C49">
      <w:pPr>
        <w:pStyle w:val="Texto"/>
        <w:spacing w:line="280" w:lineRule="exact"/>
        <w:rPr>
          <w:szCs w:val="22"/>
        </w:rPr>
      </w:pPr>
      <w:r w:rsidRPr="00A25B2C">
        <w:rPr>
          <w:b/>
          <w:szCs w:val="22"/>
        </w:rPr>
        <w:t>ÚNICO.-</w:t>
      </w:r>
      <w:r w:rsidRPr="00A25B2C">
        <w:rPr>
          <w:szCs w:val="22"/>
        </w:rPr>
        <w:t xml:space="preserve"> El presente Acuerdo entrará en vigor el día siguiente al de su publicación en el Diario Oficial </w:t>
      </w:r>
      <w:r w:rsidR="00595D56">
        <w:rPr>
          <w:szCs w:val="22"/>
        </w:rPr>
        <w:t xml:space="preserve"> </w:t>
      </w:r>
      <w:r w:rsidRPr="00A25B2C">
        <w:rPr>
          <w:szCs w:val="22"/>
        </w:rPr>
        <w:t>de la Federación.</w:t>
      </w:r>
    </w:p>
    <w:p w:rsidR="003F668B" w:rsidRPr="00631814" w:rsidRDefault="003F668B" w:rsidP="000B1C49">
      <w:pPr>
        <w:pStyle w:val="Texto"/>
        <w:spacing w:line="280" w:lineRule="exact"/>
        <w:rPr>
          <w:bCs/>
          <w:szCs w:val="22"/>
          <w:lang w:eastAsia="es-MX"/>
        </w:rPr>
      </w:pPr>
      <w:r w:rsidRPr="00631814">
        <w:rPr>
          <w:bCs/>
          <w:szCs w:val="22"/>
          <w:lang w:eastAsia="es-MX"/>
        </w:rPr>
        <w:t>El Comisionado Presidente</w:t>
      </w:r>
      <w:r>
        <w:rPr>
          <w:bCs/>
          <w:szCs w:val="22"/>
          <w:lang w:eastAsia="es-MX"/>
        </w:rPr>
        <w:t xml:space="preserve">, </w:t>
      </w:r>
      <w:r w:rsidRPr="00A25B2C">
        <w:rPr>
          <w:b/>
          <w:bCs/>
          <w:szCs w:val="22"/>
          <w:lang w:eastAsia="es-MX"/>
        </w:rPr>
        <w:t>Gabriel Oswaldo Contreras Saldívar</w:t>
      </w:r>
      <w:r>
        <w:rPr>
          <w:bCs/>
          <w:szCs w:val="22"/>
          <w:lang w:eastAsia="es-MX"/>
        </w:rPr>
        <w:t xml:space="preserve">.- Rúbrica.- Los Comisionados: </w:t>
      </w:r>
      <w:r w:rsidRPr="00A25B2C">
        <w:rPr>
          <w:b/>
          <w:bCs/>
          <w:szCs w:val="22"/>
          <w:lang w:eastAsia="es-MX"/>
        </w:rPr>
        <w:t xml:space="preserve">Adriana Sofía </w:t>
      </w:r>
      <w:proofErr w:type="spellStart"/>
      <w:r w:rsidRPr="00A25B2C">
        <w:rPr>
          <w:b/>
          <w:bCs/>
          <w:szCs w:val="22"/>
          <w:lang w:eastAsia="es-MX"/>
        </w:rPr>
        <w:t>Labardini</w:t>
      </w:r>
      <w:proofErr w:type="spellEnd"/>
      <w:r w:rsidRPr="00A25B2C">
        <w:rPr>
          <w:b/>
          <w:bCs/>
          <w:szCs w:val="22"/>
          <w:lang w:eastAsia="es-MX"/>
        </w:rPr>
        <w:t xml:space="preserve"> </w:t>
      </w:r>
      <w:proofErr w:type="spellStart"/>
      <w:r w:rsidRPr="00A25B2C">
        <w:rPr>
          <w:b/>
          <w:bCs/>
          <w:szCs w:val="22"/>
          <w:lang w:eastAsia="es-MX"/>
        </w:rPr>
        <w:t>Inzunza</w:t>
      </w:r>
      <w:proofErr w:type="spellEnd"/>
      <w:r>
        <w:rPr>
          <w:bCs/>
          <w:szCs w:val="22"/>
          <w:lang w:eastAsia="es-MX"/>
        </w:rPr>
        <w:t xml:space="preserve">, </w:t>
      </w:r>
      <w:r w:rsidRPr="00A25B2C">
        <w:rPr>
          <w:b/>
          <w:bCs/>
          <w:szCs w:val="22"/>
          <w:lang w:eastAsia="es-MX"/>
        </w:rPr>
        <w:t xml:space="preserve">María Elena </w:t>
      </w:r>
      <w:proofErr w:type="spellStart"/>
      <w:r w:rsidRPr="00A25B2C">
        <w:rPr>
          <w:b/>
          <w:bCs/>
          <w:szCs w:val="22"/>
          <w:lang w:eastAsia="es-MX"/>
        </w:rPr>
        <w:t>Estavillo</w:t>
      </w:r>
      <w:proofErr w:type="spellEnd"/>
      <w:r w:rsidRPr="00A25B2C">
        <w:rPr>
          <w:b/>
          <w:bCs/>
          <w:szCs w:val="22"/>
          <w:lang w:eastAsia="es-MX"/>
        </w:rPr>
        <w:t xml:space="preserve"> Flores</w:t>
      </w:r>
      <w:r>
        <w:rPr>
          <w:bCs/>
          <w:szCs w:val="22"/>
          <w:lang w:eastAsia="es-MX"/>
        </w:rPr>
        <w:t xml:space="preserve">, </w:t>
      </w:r>
      <w:r w:rsidRPr="00A25B2C">
        <w:rPr>
          <w:b/>
          <w:bCs/>
          <w:szCs w:val="22"/>
          <w:lang w:eastAsia="es-MX"/>
        </w:rPr>
        <w:t xml:space="preserve">Mario Germán </w:t>
      </w:r>
      <w:proofErr w:type="spellStart"/>
      <w:r w:rsidRPr="00A25B2C">
        <w:rPr>
          <w:b/>
          <w:bCs/>
          <w:szCs w:val="22"/>
          <w:lang w:eastAsia="es-MX"/>
        </w:rPr>
        <w:t>Fromow</w:t>
      </w:r>
      <w:proofErr w:type="spellEnd"/>
      <w:r w:rsidRPr="00A25B2C">
        <w:rPr>
          <w:b/>
          <w:bCs/>
          <w:szCs w:val="22"/>
          <w:lang w:eastAsia="es-MX"/>
        </w:rPr>
        <w:t xml:space="preserve"> Rangel</w:t>
      </w:r>
      <w:r>
        <w:rPr>
          <w:bCs/>
          <w:szCs w:val="22"/>
          <w:lang w:eastAsia="es-MX"/>
        </w:rPr>
        <w:t xml:space="preserve">, </w:t>
      </w:r>
      <w:r w:rsidRPr="00A25B2C">
        <w:rPr>
          <w:b/>
          <w:bCs/>
          <w:szCs w:val="22"/>
          <w:lang w:eastAsia="es-MX"/>
        </w:rPr>
        <w:t>Adolfo Cuevas Teja</w:t>
      </w:r>
      <w:r>
        <w:rPr>
          <w:bCs/>
          <w:szCs w:val="22"/>
          <w:lang w:eastAsia="es-MX"/>
        </w:rPr>
        <w:t xml:space="preserve">, </w:t>
      </w:r>
      <w:r w:rsidRPr="00A25B2C">
        <w:rPr>
          <w:b/>
          <w:bCs/>
          <w:szCs w:val="22"/>
          <w:lang w:eastAsia="es-MX"/>
        </w:rPr>
        <w:t>Javier Juárez Mojica</w:t>
      </w:r>
      <w:r>
        <w:rPr>
          <w:bCs/>
          <w:szCs w:val="22"/>
          <w:lang w:eastAsia="es-MX"/>
        </w:rPr>
        <w:t>.- Rúbricas.</w:t>
      </w:r>
    </w:p>
    <w:p w:rsidR="00B272EB" w:rsidRPr="00214B75" w:rsidRDefault="003F668B" w:rsidP="00214B75">
      <w:pPr>
        <w:pStyle w:val="Texto"/>
        <w:spacing w:line="280" w:lineRule="exact"/>
        <w:rPr>
          <w:szCs w:val="14"/>
        </w:rPr>
      </w:pPr>
      <w:r w:rsidRPr="00A25B2C">
        <w:rPr>
          <w:szCs w:val="14"/>
        </w:rPr>
        <w:t xml:space="preserve">El presente Acuerdo fue aprobado por el Pleno del Instituto Federal de Telecomunicaciones en su XIV Sesión Ordinaria celebrada el 5 de abril de 2017, </w:t>
      </w:r>
      <w:r w:rsidRPr="00A25B2C">
        <w:rPr>
          <w:bCs/>
          <w:szCs w:val="14"/>
        </w:rPr>
        <w:t>por unanimidad</w:t>
      </w:r>
      <w:r w:rsidRPr="00A25B2C">
        <w:rPr>
          <w:szCs w:val="14"/>
        </w:rPr>
        <w:t xml:space="preserve"> de votos de los Comisionados Gabriel Oswaldo Contreras Saldívar, Adriana Sofía </w:t>
      </w:r>
      <w:proofErr w:type="spellStart"/>
      <w:r w:rsidRPr="00A25B2C">
        <w:rPr>
          <w:szCs w:val="14"/>
        </w:rPr>
        <w:t>Labardini</w:t>
      </w:r>
      <w:proofErr w:type="spellEnd"/>
      <w:r w:rsidRPr="00A25B2C">
        <w:rPr>
          <w:szCs w:val="14"/>
        </w:rPr>
        <w:t xml:space="preserve"> </w:t>
      </w:r>
      <w:proofErr w:type="spellStart"/>
      <w:r w:rsidRPr="00A25B2C">
        <w:rPr>
          <w:szCs w:val="14"/>
        </w:rPr>
        <w:t>Inzunza</w:t>
      </w:r>
      <w:proofErr w:type="spellEnd"/>
      <w:r w:rsidRPr="00A25B2C">
        <w:rPr>
          <w:szCs w:val="14"/>
        </w:rPr>
        <w:t xml:space="preserve">, María Elena </w:t>
      </w:r>
      <w:proofErr w:type="spellStart"/>
      <w:r w:rsidRPr="00A25B2C">
        <w:rPr>
          <w:szCs w:val="14"/>
        </w:rPr>
        <w:t>Estavillo</w:t>
      </w:r>
      <w:proofErr w:type="spellEnd"/>
      <w:r w:rsidRPr="00A25B2C">
        <w:rPr>
          <w:szCs w:val="14"/>
        </w:rPr>
        <w:t xml:space="preserve"> Flores, Mario Germán </w:t>
      </w:r>
      <w:proofErr w:type="spellStart"/>
      <w:r w:rsidRPr="00A25B2C">
        <w:rPr>
          <w:szCs w:val="14"/>
        </w:rPr>
        <w:t>Fromow</w:t>
      </w:r>
      <w:proofErr w:type="spellEnd"/>
      <w:r w:rsidRPr="00A25B2C">
        <w:rPr>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P/IFT/050417/166.</w:t>
      </w:r>
    </w:p>
    <w:sectPr w:rsidR="00B272EB" w:rsidRPr="00214B75" w:rsidSect="000A0B77">
      <w:headerReference w:type="even" r:id="rId7"/>
      <w:headerReference w:type="default" r:id="rId8"/>
      <w:pgSz w:w="12240" w:h="15840" w:code="1"/>
      <w:pgMar w:top="1152" w:right="1467" w:bottom="1296" w:left="1699" w:header="706" w:footer="706"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38" w:rsidRDefault="00261E38">
      <w:r>
        <w:separator/>
      </w:r>
    </w:p>
  </w:endnote>
  <w:endnote w:type="continuationSeparator" w:id="0">
    <w:p w:rsidR="00261E38" w:rsidRDefault="0026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38" w:rsidRDefault="00261E38">
      <w:r>
        <w:separator/>
      </w:r>
    </w:p>
  </w:footnote>
  <w:footnote w:type="continuationSeparator" w:id="0">
    <w:p w:rsidR="00261E38" w:rsidRDefault="00261E38">
      <w:r>
        <w:continuationSeparator/>
      </w:r>
    </w:p>
  </w:footnote>
  <w:footnote w:id="1">
    <w:p w:rsidR="00A0092B" w:rsidRPr="002A087D" w:rsidRDefault="00A0092B" w:rsidP="000B1C49">
      <w:pPr>
        <w:pStyle w:val="Texto"/>
        <w:spacing w:after="0" w:line="240" w:lineRule="auto"/>
        <w:ind w:firstLine="0"/>
        <w:rPr>
          <w:sz w:val="14"/>
          <w:szCs w:val="14"/>
        </w:rPr>
      </w:pPr>
      <w:r>
        <w:rPr>
          <w:rStyle w:val="Refdenotaalpie"/>
          <w:color w:val="000000"/>
          <w:sz w:val="20"/>
          <w:lang w:val="es-MX" w:eastAsia="es-MX"/>
        </w:rPr>
        <w:t>1</w:t>
      </w:r>
      <w:r w:rsidRPr="002A087D">
        <w:rPr>
          <w:sz w:val="14"/>
          <w:szCs w:val="14"/>
        </w:rPr>
        <w:t xml:space="preserve"> </w:t>
      </w:r>
      <w:r w:rsidRPr="002A087D">
        <w:rPr>
          <w:bCs/>
          <w:sz w:val="14"/>
          <w:szCs w:val="14"/>
        </w:rPr>
        <w:t>DT IFT-013-2016:</w:t>
      </w:r>
      <w:r w:rsidRPr="002A087D">
        <w:rPr>
          <w:bCs/>
          <w:i/>
          <w:sz w:val="14"/>
          <w:szCs w:val="14"/>
        </w:rPr>
        <w:t>“CAPITULO 5 DEFINICIONES…. “</w:t>
      </w:r>
      <w:r w:rsidRPr="002A087D">
        <w:rPr>
          <w:b/>
          <w:bCs/>
          <w:i/>
          <w:sz w:val="14"/>
          <w:szCs w:val="14"/>
        </w:rPr>
        <w:t xml:space="preserve">XVI. EQUIPO COMPLEMENTARIO. </w:t>
      </w:r>
      <w:r w:rsidRPr="002A087D">
        <w:rPr>
          <w:bCs/>
          <w:i/>
          <w:sz w:val="14"/>
          <w:szCs w:val="14"/>
        </w:rPr>
        <w:t xml:space="preserve">Infraestructura de retransmisión de la señal de una Estación de Televisión que tiene por objeto garantizar la recepción de dicha señal con la calidad requerida por el Instituto o por las disposiciones aplicables, dentro de la Zona de Cobertura, entre los cuales se encuentran los </w:t>
      </w:r>
      <w:proofErr w:type="spellStart"/>
      <w:r w:rsidRPr="002A087D">
        <w:rPr>
          <w:bCs/>
          <w:i/>
          <w:sz w:val="14"/>
          <w:szCs w:val="14"/>
        </w:rPr>
        <w:t>Rellenadores</w:t>
      </w:r>
      <w:proofErr w:type="spellEnd"/>
      <w:r w:rsidRPr="002A087D">
        <w:rPr>
          <w:bCs/>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2B" w:rsidRPr="00595D56" w:rsidRDefault="00A0092B" w:rsidP="00517147">
    <w:pPr>
      <w:pStyle w:val="Fechas"/>
    </w:pPr>
    <w:r w:rsidRPr="00595D56">
      <w:t>(Primera Sección)</w:t>
    </w:r>
    <w:r w:rsidRPr="00595D56">
      <w:tab/>
      <w:t>DIARIO OFICIAL</w:t>
    </w:r>
    <w:r w:rsidRPr="00595D56">
      <w:tab/>
    </w:r>
    <w:proofErr w:type="gramStart"/>
    <w:r w:rsidRPr="00595D56">
      <w:t>Jueves</w:t>
    </w:r>
    <w:proofErr w:type="gramEnd"/>
    <w:r w:rsidRPr="00595D56">
      <w:t xml:space="preserve"> 27 de abril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2B" w:rsidRPr="00595D56" w:rsidRDefault="00A0092B" w:rsidP="00517147">
    <w:pPr>
      <w:pStyle w:val="Fechas"/>
    </w:pPr>
    <w:r w:rsidRPr="00595D56">
      <w:t>Jueves 27 de abril de 2017</w:t>
    </w:r>
    <w:r w:rsidRPr="00595D56">
      <w:tab/>
      <w:t>DIARIO OFICIAL</w:t>
    </w:r>
    <w:r w:rsidRPr="00595D56">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2"/>
    <w:rsid w:val="00007777"/>
    <w:rsid w:val="00007D5B"/>
    <w:rsid w:val="000102F9"/>
    <w:rsid w:val="00023FDE"/>
    <w:rsid w:val="00025505"/>
    <w:rsid w:val="00030FA7"/>
    <w:rsid w:val="000468AF"/>
    <w:rsid w:val="00046AF3"/>
    <w:rsid w:val="00047AFF"/>
    <w:rsid w:val="000643A3"/>
    <w:rsid w:val="00070CDB"/>
    <w:rsid w:val="00081D30"/>
    <w:rsid w:val="0008366A"/>
    <w:rsid w:val="00083B96"/>
    <w:rsid w:val="00085CFF"/>
    <w:rsid w:val="00090755"/>
    <w:rsid w:val="000934C4"/>
    <w:rsid w:val="00097409"/>
    <w:rsid w:val="000A0B77"/>
    <w:rsid w:val="000B1C49"/>
    <w:rsid w:val="000B42E5"/>
    <w:rsid w:val="000B698E"/>
    <w:rsid w:val="000C50D4"/>
    <w:rsid w:val="000C632A"/>
    <w:rsid w:val="000E6BF1"/>
    <w:rsid w:val="000F0FA3"/>
    <w:rsid w:val="000F1572"/>
    <w:rsid w:val="000F3ABE"/>
    <w:rsid w:val="000F6568"/>
    <w:rsid w:val="000F706A"/>
    <w:rsid w:val="0010703B"/>
    <w:rsid w:val="001129F9"/>
    <w:rsid w:val="001303A7"/>
    <w:rsid w:val="00140A5C"/>
    <w:rsid w:val="001464CB"/>
    <w:rsid w:val="00155A7E"/>
    <w:rsid w:val="001574EC"/>
    <w:rsid w:val="00163AE3"/>
    <w:rsid w:val="001642EF"/>
    <w:rsid w:val="0016696D"/>
    <w:rsid w:val="00170623"/>
    <w:rsid w:val="00173E9D"/>
    <w:rsid w:val="001748E8"/>
    <w:rsid w:val="00176B02"/>
    <w:rsid w:val="0017746E"/>
    <w:rsid w:val="0017797F"/>
    <w:rsid w:val="00181964"/>
    <w:rsid w:val="00195422"/>
    <w:rsid w:val="001A1CAD"/>
    <w:rsid w:val="001A2BCE"/>
    <w:rsid w:val="001B1144"/>
    <w:rsid w:val="001B6981"/>
    <w:rsid w:val="001C1DC9"/>
    <w:rsid w:val="001E6CB1"/>
    <w:rsid w:val="001E77B5"/>
    <w:rsid w:val="001F09BB"/>
    <w:rsid w:val="001F6325"/>
    <w:rsid w:val="0020245C"/>
    <w:rsid w:val="0020771E"/>
    <w:rsid w:val="00214B75"/>
    <w:rsid w:val="002214D8"/>
    <w:rsid w:val="0025082C"/>
    <w:rsid w:val="00254852"/>
    <w:rsid w:val="00255299"/>
    <w:rsid w:val="00261E38"/>
    <w:rsid w:val="002674E4"/>
    <w:rsid w:val="00282554"/>
    <w:rsid w:val="00285BE5"/>
    <w:rsid w:val="00286668"/>
    <w:rsid w:val="00286818"/>
    <w:rsid w:val="00290296"/>
    <w:rsid w:val="0029033A"/>
    <w:rsid w:val="00291CA7"/>
    <w:rsid w:val="002940B6"/>
    <w:rsid w:val="002A01DB"/>
    <w:rsid w:val="002B00EE"/>
    <w:rsid w:val="002B127D"/>
    <w:rsid w:val="002B37B4"/>
    <w:rsid w:val="002B3857"/>
    <w:rsid w:val="002C3644"/>
    <w:rsid w:val="002D476D"/>
    <w:rsid w:val="002E0094"/>
    <w:rsid w:val="002E5E6A"/>
    <w:rsid w:val="002F6279"/>
    <w:rsid w:val="002F666A"/>
    <w:rsid w:val="0030321A"/>
    <w:rsid w:val="00306951"/>
    <w:rsid w:val="00323864"/>
    <w:rsid w:val="0032394E"/>
    <w:rsid w:val="003264DE"/>
    <w:rsid w:val="00326B04"/>
    <w:rsid w:val="00330780"/>
    <w:rsid w:val="003340A4"/>
    <w:rsid w:val="00357358"/>
    <w:rsid w:val="00357A6B"/>
    <w:rsid w:val="0036410B"/>
    <w:rsid w:val="003656C6"/>
    <w:rsid w:val="00373DFE"/>
    <w:rsid w:val="0039202C"/>
    <w:rsid w:val="003958AA"/>
    <w:rsid w:val="003967FE"/>
    <w:rsid w:val="003A09A3"/>
    <w:rsid w:val="003B2214"/>
    <w:rsid w:val="003B46F2"/>
    <w:rsid w:val="003C3147"/>
    <w:rsid w:val="003C5EB9"/>
    <w:rsid w:val="003D082F"/>
    <w:rsid w:val="003D3A40"/>
    <w:rsid w:val="003D6457"/>
    <w:rsid w:val="003E5783"/>
    <w:rsid w:val="003E7472"/>
    <w:rsid w:val="003F4D73"/>
    <w:rsid w:val="003F668B"/>
    <w:rsid w:val="004102E6"/>
    <w:rsid w:val="00410B8C"/>
    <w:rsid w:val="00412ED6"/>
    <w:rsid w:val="004142D5"/>
    <w:rsid w:val="00421186"/>
    <w:rsid w:val="004273D0"/>
    <w:rsid w:val="0042779F"/>
    <w:rsid w:val="004352A9"/>
    <w:rsid w:val="00440349"/>
    <w:rsid w:val="0044530C"/>
    <w:rsid w:val="00453D17"/>
    <w:rsid w:val="0046400A"/>
    <w:rsid w:val="00464085"/>
    <w:rsid w:val="004652D9"/>
    <w:rsid w:val="00465E99"/>
    <w:rsid w:val="00475BE2"/>
    <w:rsid w:val="00491FF9"/>
    <w:rsid w:val="004A236D"/>
    <w:rsid w:val="004A7426"/>
    <w:rsid w:val="004B2F2C"/>
    <w:rsid w:val="004C174C"/>
    <w:rsid w:val="004C49C6"/>
    <w:rsid w:val="004D4A72"/>
    <w:rsid w:val="004E6B1F"/>
    <w:rsid w:val="004E77FB"/>
    <w:rsid w:val="004F3FE9"/>
    <w:rsid w:val="004F6559"/>
    <w:rsid w:val="00502367"/>
    <w:rsid w:val="00512CDB"/>
    <w:rsid w:val="00514993"/>
    <w:rsid w:val="00517147"/>
    <w:rsid w:val="00522551"/>
    <w:rsid w:val="00526356"/>
    <w:rsid w:val="00534337"/>
    <w:rsid w:val="00534A44"/>
    <w:rsid w:val="0053581A"/>
    <w:rsid w:val="00535845"/>
    <w:rsid w:val="0054345D"/>
    <w:rsid w:val="005438AB"/>
    <w:rsid w:val="00543991"/>
    <w:rsid w:val="0054733E"/>
    <w:rsid w:val="0055349C"/>
    <w:rsid w:val="00567317"/>
    <w:rsid w:val="005724B9"/>
    <w:rsid w:val="00595D56"/>
    <w:rsid w:val="005A0268"/>
    <w:rsid w:val="005A0954"/>
    <w:rsid w:val="005C4019"/>
    <w:rsid w:val="005C75DE"/>
    <w:rsid w:val="005D3024"/>
    <w:rsid w:val="005D4388"/>
    <w:rsid w:val="005D7D14"/>
    <w:rsid w:val="005F4AC0"/>
    <w:rsid w:val="0061097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6294"/>
    <w:rsid w:val="006F785A"/>
    <w:rsid w:val="0070415B"/>
    <w:rsid w:val="00717A6D"/>
    <w:rsid w:val="00720E21"/>
    <w:rsid w:val="00724703"/>
    <w:rsid w:val="00735E9D"/>
    <w:rsid w:val="00737435"/>
    <w:rsid w:val="00741ABD"/>
    <w:rsid w:val="00743736"/>
    <w:rsid w:val="00746FC8"/>
    <w:rsid w:val="007570C1"/>
    <w:rsid w:val="007578BE"/>
    <w:rsid w:val="0078743C"/>
    <w:rsid w:val="00793D07"/>
    <w:rsid w:val="00797AB4"/>
    <w:rsid w:val="00797DCB"/>
    <w:rsid w:val="007A0956"/>
    <w:rsid w:val="007C5C2F"/>
    <w:rsid w:val="007D00B8"/>
    <w:rsid w:val="007D0C3B"/>
    <w:rsid w:val="007D286A"/>
    <w:rsid w:val="00816C4D"/>
    <w:rsid w:val="00827CE1"/>
    <w:rsid w:val="0083080F"/>
    <w:rsid w:val="00832E88"/>
    <w:rsid w:val="008412BC"/>
    <w:rsid w:val="00842BE6"/>
    <w:rsid w:val="00842FB8"/>
    <w:rsid w:val="008651ED"/>
    <w:rsid w:val="00865B7F"/>
    <w:rsid w:val="00875A59"/>
    <w:rsid w:val="00877B39"/>
    <w:rsid w:val="008800D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95295"/>
    <w:rsid w:val="009A7654"/>
    <w:rsid w:val="009C02DA"/>
    <w:rsid w:val="009C20BF"/>
    <w:rsid w:val="009D7ABD"/>
    <w:rsid w:val="009E0505"/>
    <w:rsid w:val="009E1274"/>
    <w:rsid w:val="009E1AC6"/>
    <w:rsid w:val="009E3B35"/>
    <w:rsid w:val="009E63EA"/>
    <w:rsid w:val="009F050F"/>
    <w:rsid w:val="00A0092B"/>
    <w:rsid w:val="00A31E9B"/>
    <w:rsid w:val="00A333DC"/>
    <w:rsid w:val="00A35A4B"/>
    <w:rsid w:val="00A53D31"/>
    <w:rsid w:val="00A6536E"/>
    <w:rsid w:val="00A7010C"/>
    <w:rsid w:val="00A73F8A"/>
    <w:rsid w:val="00A76032"/>
    <w:rsid w:val="00A8099D"/>
    <w:rsid w:val="00A81D62"/>
    <w:rsid w:val="00A84922"/>
    <w:rsid w:val="00A90AE8"/>
    <w:rsid w:val="00A971BB"/>
    <w:rsid w:val="00AA7550"/>
    <w:rsid w:val="00AB7088"/>
    <w:rsid w:val="00AC21D0"/>
    <w:rsid w:val="00AC2AA2"/>
    <w:rsid w:val="00AC3CF4"/>
    <w:rsid w:val="00AD24D5"/>
    <w:rsid w:val="00AD54E0"/>
    <w:rsid w:val="00AE00D6"/>
    <w:rsid w:val="00B00632"/>
    <w:rsid w:val="00B073A2"/>
    <w:rsid w:val="00B12182"/>
    <w:rsid w:val="00B14C29"/>
    <w:rsid w:val="00B16746"/>
    <w:rsid w:val="00B170E8"/>
    <w:rsid w:val="00B17DFA"/>
    <w:rsid w:val="00B272EB"/>
    <w:rsid w:val="00B3769E"/>
    <w:rsid w:val="00B63531"/>
    <w:rsid w:val="00B7008A"/>
    <w:rsid w:val="00B717B3"/>
    <w:rsid w:val="00B817D4"/>
    <w:rsid w:val="00B859B6"/>
    <w:rsid w:val="00BB1CCD"/>
    <w:rsid w:val="00BB26D3"/>
    <w:rsid w:val="00BD2107"/>
    <w:rsid w:val="00BF091C"/>
    <w:rsid w:val="00C009E0"/>
    <w:rsid w:val="00C01B5D"/>
    <w:rsid w:val="00C135E9"/>
    <w:rsid w:val="00C164E2"/>
    <w:rsid w:val="00C255B4"/>
    <w:rsid w:val="00C258E4"/>
    <w:rsid w:val="00C40BB3"/>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65EA"/>
    <w:rsid w:val="00CC71C5"/>
    <w:rsid w:val="00CD6850"/>
    <w:rsid w:val="00CE06BF"/>
    <w:rsid w:val="00CF3B2E"/>
    <w:rsid w:val="00CF6193"/>
    <w:rsid w:val="00D04785"/>
    <w:rsid w:val="00D276A8"/>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E4C7A"/>
    <w:rsid w:val="00DF6036"/>
    <w:rsid w:val="00DF6B8A"/>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0C7C"/>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275A"/>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8A6F5E-EEC3-4F42-8B79-9F7F264C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17147"/>
    <w:pPr>
      <w:widowControl w:val="0"/>
      <w:pBdr>
        <w:bottom w:val="double" w:sz="6" w:space="1" w:color="auto"/>
      </w:pBdr>
      <w:tabs>
        <w:tab w:val="center" w:pos="4464"/>
        <w:tab w:val="right" w:pos="8505"/>
      </w:tabs>
      <w:spacing w:after="0" w:line="240" w:lineRule="auto"/>
      <w:ind w:left="288" w:right="288" w:firstLine="279"/>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B12182"/>
    <w:pPr>
      <w:spacing w:after="160"/>
    </w:pPr>
    <w:rPr>
      <w:rFonts w:ascii="Calibri" w:hAnsi="Calibri" w:cs="Calibri"/>
      <w:sz w:val="20"/>
      <w:szCs w:val="20"/>
      <w:lang w:val="es-MX" w:eastAsia="es-MX"/>
    </w:rPr>
  </w:style>
  <w:style w:type="character" w:customStyle="1" w:styleId="TextocomentarioCar">
    <w:name w:val="Texto comentario Car"/>
    <w:link w:val="Textocomentario"/>
    <w:rsid w:val="00B12182"/>
    <w:rPr>
      <w:rFonts w:ascii="Calibri" w:hAnsi="Calibri" w:cs="Calibri"/>
    </w:rPr>
  </w:style>
  <w:style w:type="paragraph" w:styleId="Textonotapie">
    <w:name w:val="footnote text"/>
    <w:basedOn w:val="Normal"/>
    <w:link w:val="TextonotapieCar"/>
    <w:rsid w:val="00B12182"/>
    <w:rPr>
      <w:rFonts w:ascii="Calibri" w:hAnsi="Calibri" w:cs="Calibri"/>
      <w:sz w:val="20"/>
      <w:szCs w:val="20"/>
      <w:lang w:val="es-ES_tradnl" w:eastAsia="es-MX"/>
    </w:rPr>
  </w:style>
  <w:style w:type="character" w:customStyle="1" w:styleId="TextonotapieCar">
    <w:name w:val="Texto nota pie Car"/>
    <w:link w:val="Textonotapie"/>
    <w:rsid w:val="00B12182"/>
    <w:rPr>
      <w:rFonts w:ascii="Calibri" w:hAnsi="Calibri" w:cs="Calibri"/>
      <w:lang w:val="es-ES_tradnl"/>
    </w:rPr>
  </w:style>
  <w:style w:type="paragraph" w:styleId="Prrafodelista">
    <w:name w:val="List Paragraph"/>
    <w:basedOn w:val="Normal"/>
    <w:qFormat/>
    <w:rsid w:val="00B12182"/>
    <w:pPr>
      <w:spacing w:after="160" w:line="259" w:lineRule="atLeast"/>
      <w:ind w:left="72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B12182"/>
    <w:rPr>
      <w:b/>
    </w:rPr>
  </w:style>
  <w:style w:type="paragraph" w:customStyle="1" w:styleId="Textodeglobo1">
    <w:name w:val="Texto de globo1"/>
    <w:basedOn w:val="Normal"/>
    <w:rsid w:val="00B12182"/>
    <w:rPr>
      <w:rFonts w:ascii="Segoe UI" w:hAnsi="Segoe UI" w:cs="Segoe UI"/>
      <w:sz w:val="18"/>
      <w:szCs w:val="20"/>
      <w:lang w:val="es-MX" w:eastAsia="es-MX"/>
    </w:rPr>
  </w:style>
  <w:style w:type="paragraph" w:styleId="Revisin">
    <w:name w:val="Revision"/>
    <w:rsid w:val="00B12182"/>
    <w:rPr>
      <w:rFonts w:ascii="Calibri" w:hAnsi="Calibri" w:cs="Calibri"/>
      <w:sz w:val="22"/>
    </w:rPr>
  </w:style>
  <w:style w:type="paragraph" w:styleId="NormalWeb">
    <w:name w:val="Normal (Web)"/>
    <w:basedOn w:val="Normal"/>
    <w:rsid w:val="00B12182"/>
    <w:pPr>
      <w:spacing w:before="100" w:after="100"/>
    </w:pPr>
    <w:rPr>
      <w:szCs w:val="20"/>
      <w:lang w:val="es-MX" w:eastAsia="es-MX"/>
    </w:rPr>
  </w:style>
  <w:style w:type="paragraph" w:customStyle="1" w:styleId="Default">
    <w:name w:val="Default"/>
    <w:rsid w:val="00B12182"/>
    <w:rPr>
      <w:rFonts w:ascii="Arial" w:hAnsi="Arial" w:cs="Arial"/>
      <w:color w:val="000000"/>
      <w:sz w:val="24"/>
    </w:rPr>
  </w:style>
  <w:style w:type="paragraph" w:styleId="Sinespaciado">
    <w:name w:val="No Spacing"/>
    <w:qFormat/>
    <w:rsid w:val="00B12182"/>
    <w:rPr>
      <w:rFonts w:ascii="Calibri" w:hAnsi="Calibri" w:cs="Calibri"/>
      <w:sz w:val="22"/>
    </w:rPr>
  </w:style>
  <w:style w:type="paragraph" w:styleId="Textodeglobo">
    <w:name w:val="Balloon Text"/>
    <w:basedOn w:val="Normal"/>
    <w:link w:val="TextodegloboCar"/>
    <w:uiPriority w:val="99"/>
    <w:semiHidden/>
    <w:unhideWhenUsed/>
    <w:rsid w:val="00170623"/>
    <w:rPr>
      <w:rFonts w:ascii="Tahoma" w:hAnsi="Tahoma" w:cs="Tahoma"/>
      <w:sz w:val="16"/>
      <w:szCs w:val="16"/>
    </w:rPr>
  </w:style>
  <w:style w:type="character" w:customStyle="1" w:styleId="TextodegloboCar">
    <w:name w:val="Texto de globo Car"/>
    <w:link w:val="Textodeglobo"/>
    <w:uiPriority w:val="99"/>
    <w:semiHidden/>
    <w:rsid w:val="00170623"/>
    <w:rPr>
      <w:rFonts w:ascii="Tahoma" w:hAnsi="Tahoma" w:cs="Tahoma"/>
      <w:sz w:val="16"/>
      <w:szCs w:val="16"/>
      <w:lang w:val="es-ES" w:eastAsia="es-ES"/>
    </w:rPr>
  </w:style>
  <w:style w:type="character" w:customStyle="1" w:styleId="EncabezadoCar">
    <w:name w:val="Encabezado Car"/>
    <w:link w:val="Encabezado"/>
    <w:uiPriority w:val="99"/>
    <w:rsid w:val="00170623"/>
    <w:rPr>
      <w:sz w:val="24"/>
      <w:szCs w:val="24"/>
      <w:lang w:val="es-ES" w:eastAsia="es-ES"/>
    </w:rPr>
  </w:style>
  <w:style w:type="character" w:styleId="Refdenotaalpie">
    <w:name w:val="footnote reference"/>
    <w:uiPriority w:val="99"/>
    <w:rsid w:val="003F668B"/>
    <w:rPr>
      <w:vertAlign w:val="superscript"/>
    </w:rPr>
  </w:style>
  <w:style w:type="paragraph" w:customStyle="1" w:styleId="Sumario">
    <w:name w:val="Sumario"/>
    <w:basedOn w:val="Normal"/>
    <w:rsid w:val="00595D5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95D56"/>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64</TotalTime>
  <Pages>2</Pages>
  <Words>1155</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Emmanuel Del Rio Alderete</cp:lastModifiedBy>
  <cp:revision>4</cp:revision>
  <cp:lastPrinted>2017-04-26T00:44:00Z</cp:lastPrinted>
  <dcterms:created xsi:type="dcterms:W3CDTF">2017-04-27T14:57:00Z</dcterms:created>
  <dcterms:modified xsi:type="dcterms:W3CDTF">2017-04-27T16:21:00Z</dcterms:modified>
</cp:coreProperties>
</file>