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59" w:rsidRPr="00D30759" w:rsidRDefault="0017795A" w:rsidP="00D30759">
      <w:pPr>
        <w:pStyle w:val="N1IFT"/>
        <w:jc w:val="center"/>
        <w:outlineLvl w:val="0"/>
        <w:rPr>
          <w:rFonts w:eastAsia="Calibri" w:cs="Arial"/>
          <w:bCs w:val="0"/>
          <w:snapToGrid w:val="0"/>
          <w:sz w:val="22"/>
          <w:szCs w:val="22"/>
          <w:lang w:val="es-ES"/>
        </w:rPr>
      </w:pPr>
      <w:r w:rsidRPr="00D30759">
        <w:rPr>
          <w:rFonts w:eastAsia="Calibri" w:cs="Arial"/>
          <w:bCs w:val="0"/>
          <w:snapToGrid w:val="0"/>
          <w:sz w:val="22"/>
          <w:szCs w:val="22"/>
          <w:lang w:val="es-ES"/>
        </w:rPr>
        <w:t>X</w:t>
      </w:r>
      <w:r w:rsidR="00AB069C" w:rsidRPr="00D30759">
        <w:rPr>
          <w:rFonts w:eastAsia="Calibri" w:cs="Arial"/>
          <w:bCs w:val="0"/>
          <w:snapToGrid w:val="0"/>
          <w:sz w:val="22"/>
          <w:szCs w:val="22"/>
          <w:lang w:val="es-ES"/>
        </w:rPr>
        <w:t>X</w:t>
      </w:r>
      <w:r w:rsidR="00A54C26" w:rsidRPr="00D30759">
        <w:rPr>
          <w:rFonts w:eastAsia="Calibri" w:cs="Arial"/>
          <w:bCs w:val="0"/>
          <w:snapToGrid w:val="0"/>
          <w:sz w:val="22"/>
          <w:szCs w:val="22"/>
          <w:lang w:val="es-ES"/>
        </w:rPr>
        <w:t>X</w:t>
      </w:r>
      <w:r w:rsidR="00FA3487" w:rsidRPr="00D30759">
        <w:rPr>
          <w:rFonts w:eastAsia="Calibri" w:cs="Arial"/>
          <w:bCs w:val="0"/>
          <w:snapToGrid w:val="0"/>
          <w:sz w:val="22"/>
          <w:szCs w:val="22"/>
          <w:lang w:val="es-ES"/>
        </w:rPr>
        <w:t>I</w:t>
      </w:r>
      <w:r w:rsidR="00504B9F" w:rsidRPr="00D30759">
        <w:rPr>
          <w:rFonts w:eastAsia="Calibri" w:cs="Arial"/>
          <w:bCs w:val="0"/>
          <w:snapToGrid w:val="0"/>
          <w:sz w:val="22"/>
          <w:szCs w:val="22"/>
          <w:lang w:val="es-ES"/>
        </w:rPr>
        <w:t>I</w:t>
      </w:r>
      <w:r w:rsidR="00FA3487" w:rsidRPr="00D30759">
        <w:rPr>
          <w:rFonts w:eastAsia="Calibri" w:cs="Arial"/>
          <w:bCs w:val="0"/>
          <w:snapToGrid w:val="0"/>
          <w:sz w:val="22"/>
          <w:szCs w:val="22"/>
          <w:lang w:val="es-ES"/>
        </w:rPr>
        <w:t xml:space="preserve"> </w:t>
      </w:r>
      <w:r w:rsidR="006344BB" w:rsidRPr="00D30759">
        <w:rPr>
          <w:rFonts w:eastAsia="Calibri" w:cs="Arial"/>
          <w:bCs w:val="0"/>
          <w:snapToGrid w:val="0"/>
          <w:sz w:val="22"/>
          <w:szCs w:val="22"/>
          <w:lang w:val="es-ES"/>
        </w:rPr>
        <w:t xml:space="preserve">SESIÓN ORDINARIA DEL </w:t>
      </w:r>
      <w:r w:rsidR="00A2247C" w:rsidRPr="00D30759">
        <w:rPr>
          <w:rFonts w:eastAsia="Calibri" w:cs="Arial"/>
          <w:bCs w:val="0"/>
          <w:snapToGrid w:val="0"/>
          <w:sz w:val="22"/>
          <w:szCs w:val="22"/>
          <w:lang w:val="es-ES"/>
        </w:rPr>
        <w:t>PLENO</w:t>
      </w:r>
      <w:r w:rsidR="006344BB" w:rsidRPr="00D30759">
        <w:rPr>
          <w:rFonts w:eastAsia="Calibri" w:cs="Arial"/>
          <w:bCs w:val="0"/>
          <w:snapToGrid w:val="0"/>
          <w:sz w:val="22"/>
          <w:szCs w:val="22"/>
          <w:lang w:val="es-ES"/>
        </w:rPr>
        <w:t xml:space="preserve"> DEL</w:t>
      </w:r>
    </w:p>
    <w:p w:rsidR="00D30759" w:rsidRDefault="006344BB" w:rsidP="00D30759">
      <w:pPr>
        <w:spacing w:after="200" w:line="276" w:lineRule="auto"/>
        <w:ind w:right="44"/>
        <w:jc w:val="center"/>
        <w:rPr>
          <w:rFonts w:ascii="ITC Avant Garde" w:hAnsi="ITC Avant Garde"/>
          <w:b/>
        </w:rPr>
      </w:pPr>
      <w:r w:rsidRPr="00802904">
        <w:rPr>
          <w:rFonts w:ascii="ITC Avant Garde" w:hAnsi="ITC Avant Garde"/>
          <w:b/>
        </w:rPr>
        <w:t>INSTITUTO FEDERAL DE TELECOMUNICACIONES</w:t>
      </w:r>
    </w:p>
    <w:p w:rsidR="00D30759" w:rsidRDefault="00504B9F" w:rsidP="00D30759">
      <w:pPr>
        <w:spacing w:after="200" w:line="276" w:lineRule="auto"/>
        <w:ind w:right="44"/>
        <w:jc w:val="center"/>
        <w:rPr>
          <w:rFonts w:ascii="ITC Avant Garde" w:hAnsi="ITC Avant Garde"/>
          <w:b/>
        </w:rPr>
      </w:pPr>
      <w:r w:rsidRPr="00802904">
        <w:rPr>
          <w:rFonts w:ascii="ITC Avant Garde" w:hAnsi="ITC Avant Garde"/>
          <w:b/>
        </w:rPr>
        <w:t>31</w:t>
      </w:r>
      <w:r w:rsidR="00A54C26" w:rsidRPr="00802904">
        <w:rPr>
          <w:rFonts w:ascii="ITC Avant Garde" w:hAnsi="ITC Avant Garde"/>
          <w:b/>
        </w:rPr>
        <w:t xml:space="preserve"> DE OCTUBRE </w:t>
      </w:r>
      <w:r w:rsidR="00AA4E8E" w:rsidRPr="00802904">
        <w:rPr>
          <w:rFonts w:ascii="ITC Avant Garde" w:hAnsi="ITC Avant Garde"/>
          <w:b/>
        </w:rPr>
        <w:t>DE 201</w:t>
      </w:r>
      <w:r w:rsidR="00AB069C" w:rsidRPr="00802904">
        <w:rPr>
          <w:rFonts w:ascii="ITC Avant Garde" w:hAnsi="ITC Avant Garde"/>
          <w:b/>
        </w:rPr>
        <w:t>8</w:t>
      </w:r>
    </w:p>
    <w:p w:rsidR="006344BB" w:rsidRPr="00802904" w:rsidRDefault="006344BB" w:rsidP="00D30759">
      <w:pPr>
        <w:spacing w:after="480" w:line="276" w:lineRule="auto"/>
        <w:ind w:right="44"/>
        <w:jc w:val="center"/>
        <w:outlineLvl w:val="2"/>
        <w:rPr>
          <w:rFonts w:ascii="ITC Avant Garde" w:eastAsia="Times New Roman" w:hAnsi="ITC Avant Garde"/>
          <w:b/>
          <w:u w:val="single"/>
          <w:lang w:val="es-ES_tradnl" w:eastAsia="es-ES"/>
        </w:rPr>
      </w:pPr>
      <w:r w:rsidRPr="00802904">
        <w:rPr>
          <w:rFonts w:ascii="ITC Avant Garde" w:eastAsia="Times New Roman" w:hAnsi="ITC Avant Garde"/>
          <w:b/>
          <w:u w:val="single"/>
          <w:lang w:val="es-ES_tradnl" w:eastAsia="es-ES"/>
        </w:rPr>
        <w:t>ORDEN DEL DÍA</w:t>
      </w:r>
    </w:p>
    <w:p w:rsidR="00D30759" w:rsidRPr="00D30759" w:rsidRDefault="006344BB" w:rsidP="00D30759">
      <w:pPr>
        <w:pStyle w:val="Ttulo1"/>
        <w:spacing w:before="0" w:afterLines="150" w:after="360" w:line="259" w:lineRule="auto"/>
        <w:rPr>
          <w:rFonts w:ascii="ITC Avant Garde" w:hAnsi="ITC Avant Garde"/>
          <w:b/>
          <w:color w:val="000000" w:themeColor="text1"/>
          <w:sz w:val="22"/>
          <w:szCs w:val="22"/>
        </w:rPr>
      </w:pPr>
      <w:r w:rsidRPr="00D30759">
        <w:rPr>
          <w:rFonts w:ascii="ITC Avant Garde" w:hAnsi="ITC Avant Garde"/>
          <w:b/>
          <w:color w:val="000000" w:themeColor="text1"/>
          <w:sz w:val="22"/>
          <w:szCs w:val="22"/>
        </w:rPr>
        <w:t xml:space="preserve">I.- VERIFICACIÓN DEL QUÓRUM. </w:t>
      </w:r>
    </w:p>
    <w:p w:rsidR="00D30759" w:rsidRPr="00D30759" w:rsidRDefault="006344BB" w:rsidP="00D30759">
      <w:pPr>
        <w:pStyle w:val="Ttulo1"/>
        <w:spacing w:before="0" w:afterLines="150" w:after="360" w:line="259" w:lineRule="auto"/>
        <w:rPr>
          <w:rFonts w:ascii="ITC Avant Garde" w:hAnsi="ITC Avant Garde"/>
          <w:b/>
          <w:color w:val="000000" w:themeColor="text1"/>
          <w:sz w:val="22"/>
          <w:szCs w:val="22"/>
        </w:rPr>
      </w:pPr>
      <w:r w:rsidRPr="00D30759">
        <w:rPr>
          <w:rFonts w:ascii="ITC Avant Garde" w:hAnsi="ITC Avant Garde"/>
          <w:b/>
          <w:color w:val="000000" w:themeColor="text1"/>
          <w:sz w:val="22"/>
          <w:szCs w:val="22"/>
        </w:rPr>
        <w:t>II.- APROBACIÓN DEL ORDEN DEL DÍA.</w:t>
      </w:r>
    </w:p>
    <w:p w:rsidR="00D30759" w:rsidRPr="00D30759" w:rsidRDefault="006344BB" w:rsidP="00D30759">
      <w:pPr>
        <w:pStyle w:val="Ttulo1"/>
        <w:spacing w:before="0" w:afterLines="50" w:after="120" w:line="259" w:lineRule="auto"/>
        <w:rPr>
          <w:rFonts w:ascii="ITC Avant Garde" w:hAnsi="ITC Avant Garde"/>
          <w:b/>
          <w:color w:val="000000" w:themeColor="text1"/>
          <w:sz w:val="22"/>
          <w:szCs w:val="22"/>
        </w:rPr>
      </w:pPr>
      <w:r w:rsidRPr="00D30759">
        <w:rPr>
          <w:rFonts w:ascii="ITC Avant Garde" w:hAnsi="ITC Avant Garde"/>
          <w:b/>
          <w:color w:val="000000" w:themeColor="text1"/>
          <w:sz w:val="22"/>
          <w:szCs w:val="22"/>
        </w:rPr>
        <w:t>III.- ASUNTO</w:t>
      </w:r>
      <w:r w:rsidR="00AB069C" w:rsidRPr="00D30759">
        <w:rPr>
          <w:rFonts w:ascii="ITC Avant Garde" w:hAnsi="ITC Avant Garde"/>
          <w:b/>
          <w:color w:val="000000" w:themeColor="text1"/>
          <w:sz w:val="22"/>
          <w:szCs w:val="22"/>
        </w:rPr>
        <w:t>S</w:t>
      </w:r>
      <w:r w:rsidRPr="00D30759">
        <w:rPr>
          <w:rFonts w:ascii="ITC Avant Garde" w:hAnsi="ITC Avant Garde"/>
          <w:b/>
          <w:color w:val="000000" w:themeColor="text1"/>
          <w:sz w:val="22"/>
          <w:szCs w:val="22"/>
        </w:rPr>
        <w:t xml:space="preserve"> QUE SE SOMETE</w:t>
      </w:r>
      <w:r w:rsidR="00AB069C" w:rsidRPr="00D30759">
        <w:rPr>
          <w:rFonts w:ascii="ITC Avant Garde" w:hAnsi="ITC Avant Garde"/>
          <w:b/>
          <w:color w:val="000000" w:themeColor="text1"/>
          <w:sz w:val="22"/>
          <w:szCs w:val="22"/>
        </w:rPr>
        <w:t>N</w:t>
      </w:r>
      <w:r w:rsidR="00A974D6" w:rsidRPr="00D30759">
        <w:rPr>
          <w:rFonts w:ascii="ITC Avant Garde" w:hAnsi="ITC Avant Garde"/>
          <w:b/>
          <w:color w:val="000000" w:themeColor="text1"/>
          <w:sz w:val="22"/>
          <w:szCs w:val="22"/>
        </w:rPr>
        <w:t xml:space="preserve"> </w:t>
      </w:r>
      <w:r w:rsidRPr="00D30759">
        <w:rPr>
          <w:rFonts w:ascii="ITC Avant Garde" w:hAnsi="ITC Avant Garde"/>
          <w:b/>
          <w:color w:val="000000" w:themeColor="text1"/>
          <w:sz w:val="22"/>
          <w:szCs w:val="22"/>
        </w:rPr>
        <w:t xml:space="preserve">A CONSIDERACIÓN DEL </w:t>
      </w:r>
      <w:r w:rsidR="00A2247C" w:rsidRPr="00D30759">
        <w:rPr>
          <w:rFonts w:ascii="ITC Avant Garde" w:hAnsi="ITC Avant Garde"/>
          <w:b/>
          <w:color w:val="000000" w:themeColor="text1"/>
          <w:sz w:val="22"/>
          <w:szCs w:val="22"/>
        </w:rPr>
        <w:t>PLENO</w:t>
      </w:r>
      <w:r w:rsidRPr="00D30759">
        <w:rPr>
          <w:rFonts w:ascii="ITC Avant Garde" w:hAnsi="ITC Avant Garde"/>
          <w:b/>
          <w:color w:val="000000" w:themeColor="text1"/>
          <w:sz w:val="22"/>
          <w:szCs w:val="22"/>
        </w:rPr>
        <w:t>.</w:t>
      </w:r>
    </w:p>
    <w:p w:rsidR="00082C91" w:rsidRPr="00802904" w:rsidRDefault="00A32041"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III.1</w:t>
      </w:r>
      <w:r w:rsidR="00E37D65" w:rsidRPr="00802904">
        <w:rPr>
          <w:rFonts w:ascii="ITC Avant Garde" w:eastAsia="Times New Roman" w:hAnsi="ITC Avant Garde" w:cs="Times New Roman"/>
          <w:b/>
          <w:lang w:val="es-ES"/>
        </w:rPr>
        <w:t>.-</w:t>
      </w:r>
      <w:r w:rsidR="00F574E4" w:rsidRPr="00802904">
        <w:rPr>
          <w:rFonts w:ascii="ITC Avant Garde" w:eastAsia="Times New Roman" w:hAnsi="ITC Avant Garde" w:cs="Times New Roman"/>
          <w:lang w:val="es-ES"/>
        </w:rPr>
        <w:t xml:space="preserve"> </w:t>
      </w:r>
      <w:r w:rsidR="00082C91" w:rsidRPr="00802904">
        <w:rPr>
          <w:rFonts w:ascii="ITC Avant Garde" w:eastAsia="Times New Roman" w:hAnsi="ITC Avant Garde" w:cs="Times New Roman"/>
          <w:lang w:val="es-ES"/>
        </w:rPr>
        <w:t xml:space="preserve">Acuerdo mediante el cual el Pleno del Instituto Federal de Telecomunicaciones aprueba las Actas de la </w:t>
      </w:r>
      <w:r w:rsidR="00035DED" w:rsidRPr="00802904">
        <w:rPr>
          <w:rFonts w:ascii="ITC Avant Garde" w:eastAsia="Times New Roman" w:hAnsi="ITC Avant Garde" w:cs="Times New Roman"/>
          <w:lang w:val="es-ES"/>
        </w:rPr>
        <w:t>XXIX y XXX Sesiones Ordinarias, celebradas el 3 y 17 de octubre de 2018, respectivamente; así como de la III y IV Sesiones Extraordinarias, ambas celebradas el 5 de octubre de 2018.</w:t>
      </w:r>
    </w:p>
    <w:p w:rsidR="00D30759" w:rsidRDefault="00082C91" w:rsidP="00D30759">
      <w:pPr>
        <w:tabs>
          <w:tab w:val="left" w:pos="142"/>
          <w:tab w:val="left" w:pos="5954"/>
        </w:tabs>
        <w:spacing w:after="24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(Secretaría Técnica del Pleno)</w:t>
      </w:r>
    </w:p>
    <w:p w:rsidR="00D30759" w:rsidRPr="00D30759" w:rsidRDefault="00D30759" w:rsidP="00D30759">
      <w:pPr>
        <w:tabs>
          <w:tab w:val="left" w:pos="142"/>
          <w:tab w:val="left" w:pos="5954"/>
        </w:tabs>
        <w:spacing w:after="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(Se retiró)</w:t>
      </w:r>
    </w:p>
    <w:p w:rsidR="00431A39" w:rsidRPr="00E8478A" w:rsidRDefault="007E6206" w:rsidP="0080289B">
      <w:pPr>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III.2.-</w:t>
      </w:r>
      <w:r w:rsidRPr="00802904">
        <w:rPr>
          <w:rFonts w:ascii="ITC Avant Garde" w:eastAsia="Times New Roman" w:hAnsi="ITC Avant Garde" w:cs="Times New Roman"/>
          <w:lang w:val="es-ES"/>
        </w:rPr>
        <w:t xml:space="preserve"> </w:t>
      </w:r>
      <w:r w:rsidR="00431A39" w:rsidRPr="00802904">
        <w:rPr>
          <w:rFonts w:ascii="ITC Avant Garde" w:eastAsia="Times New Roman" w:hAnsi="ITC Avant Garde" w:cs="Times New Roman"/>
          <w:lang w:val="es-ES"/>
        </w:rPr>
        <w:t xml:space="preserve">Acuerdo mediante el cual el Pleno del Instituto Federal de Telecomunicaciones </w:t>
      </w:r>
      <w:r w:rsidR="00431A39" w:rsidRPr="00E8478A">
        <w:rPr>
          <w:rFonts w:ascii="ITC Avant Garde" w:eastAsia="Times New Roman" w:hAnsi="ITC Avant Garde" w:cs="Times New Roman"/>
          <w:lang w:val="es-ES"/>
        </w:rPr>
        <w:t>expide los Lineamientos para la presentación de denuncias de prácticas monopólicas y concentraciones ilícitas en los sectores de telecomunicaciones y radiodifusión, ante la Autoridad Investigadora del Instituto Federal de Telecomunicaciones, a través de medios electrónicos.</w:t>
      </w:r>
    </w:p>
    <w:p w:rsidR="00D30759" w:rsidRPr="00E8478A" w:rsidRDefault="00431A39" w:rsidP="00D30759">
      <w:pPr>
        <w:tabs>
          <w:tab w:val="left" w:pos="142"/>
          <w:tab w:val="left" w:pos="5954"/>
        </w:tabs>
        <w:spacing w:after="240" w:line="276" w:lineRule="auto"/>
        <w:jc w:val="both"/>
        <w:rPr>
          <w:rFonts w:ascii="ITC Avant Garde" w:eastAsia="Times New Roman" w:hAnsi="ITC Avant Garde" w:cs="Times New Roman"/>
          <w:i/>
          <w:lang w:val="es-ES"/>
        </w:rPr>
      </w:pPr>
      <w:r w:rsidRPr="00E8478A">
        <w:rPr>
          <w:rFonts w:ascii="ITC Avant Garde" w:eastAsia="Times New Roman" w:hAnsi="ITC Avant Garde" w:cs="Times New Roman"/>
          <w:i/>
          <w:lang w:val="es-ES"/>
        </w:rPr>
        <w:t>(Autoridad Investigadora)</w:t>
      </w:r>
    </w:p>
    <w:p w:rsidR="00D30759" w:rsidRPr="00E8478A" w:rsidRDefault="00D30759" w:rsidP="00D30759">
      <w:pPr>
        <w:tabs>
          <w:tab w:val="left" w:pos="142"/>
          <w:tab w:val="left" w:pos="5954"/>
        </w:tabs>
        <w:spacing w:after="0" w:line="276" w:lineRule="auto"/>
        <w:jc w:val="both"/>
        <w:rPr>
          <w:rFonts w:ascii="ITC Avant Garde" w:eastAsia="Times New Roman" w:hAnsi="ITC Avant Garde" w:cs="Times New Roman"/>
          <w:i/>
          <w:lang w:val="es-ES"/>
        </w:rPr>
      </w:pPr>
      <w:r w:rsidRPr="00E8478A">
        <w:rPr>
          <w:rFonts w:ascii="ITC Avant Garde" w:eastAsia="Times New Roman" w:hAnsi="ITC Avant Garde" w:cs="Times New Roman"/>
          <w:i/>
          <w:lang w:val="es-ES"/>
        </w:rPr>
        <w:t>(Se retiró)</w:t>
      </w:r>
    </w:p>
    <w:p w:rsidR="00431A39" w:rsidRPr="00E8478A" w:rsidRDefault="007E6206" w:rsidP="0080289B">
      <w:pPr>
        <w:spacing w:after="0" w:line="276" w:lineRule="auto"/>
        <w:jc w:val="both"/>
        <w:rPr>
          <w:rFonts w:ascii="ITC Avant Garde" w:eastAsia="Times New Roman" w:hAnsi="ITC Avant Garde" w:cs="Times New Roman"/>
          <w:lang w:val="es-ES"/>
        </w:rPr>
      </w:pPr>
      <w:r w:rsidRPr="00E8478A">
        <w:rPr>
          <w:rFonts w:ascii="ITC Avant Garde" w:eastAsia="Times New Roman" w:hAnsi="ITC Avant Garde" w:cs="Times New Roman"/>
          <w:b/>
          <w:lang w:val="es-ES"/>
        </w:rPr>
        <w:t>III.3.-</w:t>
      </w:r>
      <w:r w:rsidRPr="00E8478A">
        <w:rPr>
          <w:rFonts w:ascii="ITC Avant Garde" w:eastAsia="Times New Roman" w:hAnsi="ITC Avant Garde" w:cs="Times New Roman"/>
          <w:lang w:val="es-ES"/>
        </w:rPr>
        <w:t xml:space="preserve"> </w:t>
      </w:r>
      <w:r w:rsidR="00431A39" w:rsidRPr="00E8478A">
        <w:rPr>
          <w:rFonts w:ascii="ITC Avant Garde" w:eastAsia="Times New Roman" w:hAnsi="ITC Avant Garde" w:cs="Times New Roman"/>
          <w:lang w:val="es-ES"/>
        </w:rPr>
        <w:t>Acuerdo mediante el cual el Pleno del Instituto Federal de Telecomunicaciones expide la Guía para la presentación de denuncias de prácticas monopólicas y concentraciones ilícitas en los sectores de telecomunicaciones y radiodifusión, ante la Autoridad Investigadora del Instituto Federal de Telecomunicaciones.</w:t>
      </w:r>
    </w:p>
    <w:p w:rsidR="00D30759" w:rsidRPr="00E8478A" w:rsidRDefault="00431A39" w:rsidP="00D30759">
      <w:pPr>
        <w:tabs>
          <w:tab w:val="left" w:pos="142"/>
          <w:tab w:val="left" w:pos="5954"/>
        </w:tabs>
        <w:spacing w:after="240" w:line="276" w:lineRule="auto"/>
        <w:jc w:val="both"/>
        <w:rPr>
          <w:rFonts w:ascii="ITC Avant Garde" w:eastAsia="Times New Roman" w:hAnsi="ITC Avant Garde" w:cs="Times New Roman"/>
          <w:i/>
          <w:lang w:val="es-ES"/>
        </w:rPr>
      </w:pPr>
      <w:r w:rsidRPr="00E8478A">
        <w:rPr>
          <w:rFonts w:ascii="ITC Avant Garde" w:eastAsia="Times New Roman" w:hAnsi="ITC Avant Garde" w:cs="Times New Roman"/>
          <w:i/>
          <w:lang w:val="es-ES"/>
        </w:rPr>
        <w:t>(Autoridad Investigadora)</w:t>
      </w:r>
    </w:p>
    <w:p w:rsidR="00D30759" w:rsidRPr="00E8478A" w:rsidRDefault="00D30759" w:rsidP="00D30759">
      <w:pPr>
        <w:tabs>
          <w:tab w:val="left" w:pos="142"/>
          <w:tab w:val="left" w:pos="5954"/>
        </w:tabs>
        <w:spacing w:after="0" w:line="276" w:lineRule="auto"/>
        <w:jc w:val="both"/>
        <w:rPr>
          <w:rFonts w:ascii="ITC Avant Garde" w:eastAsia="Times New Roman" w:hAnsi="ITC Avant Garde" w:cs="Times New Roman"/>
          <w:i/>
          <w:lang w:val="es-ES"/>
        </w:rPr>
      </w:pPr>
      <w:r w:rsidRPr="00E8478A">
        <w:rPr>
          <w:rFonts w:ascii="ITC Avant Garde" w:eastAsia="Times New Roman" w:hAnsi="ITC Avant Garde" w:cs="Times New Roman"/>
          <w:i/>
          <w:lang w:val="es-ES"/>
        </w:rPr>
        <w:t>(Se retiró)</w:t>
      </w:r>
    </w:p>
    <w:p w:rsidR="0047360A" w:rsidRPr="00E8478A" w:rsidRDefault="007E6206" w:rsidP="0080289B">
      <w:pPr>
        <w:tabs>
          <w:tab w:val="left" w:pos="142"/>
          <w:tab w:val="left" w:pos="5954"/>
        </w:tabs>
        <w:spacing w:after="0" w:line="276" w:lineRule="auto"/>
        <w:jc w:val="both"/>
        <w:rPr>
          <w:rFonts w:ascii="ITC Avant Garde" w:eastAsia="Times New Roman" w:hAnsi="ITC Avant Garde" w:cs="Times New Roman"/>
          <w:lang w:val="es-ES"/>
        </w:rPr>
      </w:pPr>
      <w:r w:rsidRPr="00E8478A">
        <w:rPr>
          <w:rFonts w:ascii="ITC Avant Garde" w:eastAsia="Times New Roman" w:hAnsi="ITC Avant Garde" w:cs="Times New Roman"/>
          <w:b/>
          <w:lang w:val="es-ES"/>
        </w:rPr>
        <w:t>III.4.-</w:t>
      </w:r>
      <w:r w:rsidRPr="00E8478A">
        <w:rPr>
          <w:rFonts w:ascii="ITC Avant Garde" w:eastAsia="Times New Roman" w:hAnsi="ITC Avant Garde" w:cs="Times New Roman"/>
          <w:lang w:val="es-ES"/>
        </w:rPr>
        <w:t xml:space="preserve"> </w:t>
      </w:r>
      <w:r w:rsidR="0047360A" w:rsidRPr="00E8478A">
        <w:rPr>
          <w:rFonts w:ascii="ITC Avant Garde" w:eastAsia="Times New Roman" w:hAnsi="ITC Avant Garde" w:cs="Times New Roman"/>
          <w:lang w:val="es-ES"/>
        </w:rPr>
        <w:t>Acuerdo mediante el cual el Pleno del Instituto Federal de Telecomunicaciones expide la “Disposición Técnica IFT-007-2018: Límites de exposición máxima para seres humanos a radiaciones electromagnéticas de radiofrecuencia no ionizantes en el intervalo de 100 kHz a 300 GHz en el entorno de estaciones de radiocomunicación”.</w:t>
      </w:r>
    </w:p>
    <w:p w:rsidR="001A5E0C" w:rsidRDefault="0047360A" w:rsidP="00D30759">
      <w:pPr>
        <w:tabs>
          <w:tab w:val="left" w:pos="142"/>
          <w:tab w:val="left" w:pos="5954"/>
        </w:tabs>
        <w:spacing w:after="480" w:line="276" w:lineRule="auto"/>
        <w:jc w:val="both"/>
        <w:rPr>
          <w:rFonts w:ascii="ITC Avant Garde" w:eastAsia="Times New Roman" w:hAnsi="ITC Avant Garde" w:cs="Times New Roman"/>
          <w:i/>
          <w:lang w:val="es-ES"/>
        </w:rPr>
        <w:sectPr w:rsidR="001A5E0C" w:rsidSect="000C21FE">
          <w:footerReference w:type="default" r:id="rId8"/>
          <w:pgSz w:w="12240" w:h="15840"/>
          <w:pgMar w:top="2268" w:right="1418" w:bottom="1134" w:left="1418" w:header="709" w:footer="709" w:gutter="0"/>
          <w:cols w:space="708"/>
          <w:docGrid w:linePitch="360"/>
        </w:sectPr>
      </w:pPr>
      <w:r w:rsidRPr="00E8478A">
        <w:rPr>
          <w:rFonts w:ascii="ITC Avant Garde" w:eastAsia="Times New Roman" w:hAnsi="ITC Avant Garde" w:cs="Times New Roman"/>
          <w:i/>
          <w:lang w:val="es-ES"/>
        </w:rPr>
        <w:t>(Unidad de Política Regulatoria)</w:t>
      </w:r>
    </w:p>
    <w:p w:rsidR="00D30759" w:rsidRDefault="00D30759" w:rsidP="00D30759">
      <w:pPr>
        <w:tabs>
          <w:tab w:val="left" w:pos="142"/>
          <w:tab w:val="left" w:pos="5954"/>
        </w:tabs>
        <w:spacing w:after="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lastRenderedPageBreak/>
        <w:t>(Se retiró)</w:t>
      </w:r>
    </w:p>
    <w:p w:rsidR="00F7506D" w:rsidRPr="00E8478A" w:rsidRDefault="0047360A"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 xml:space="preserve">III.5.- </w:t>
      </w:r>
      <w:r w:rsidR="00F7506D" w:rsidRPr="00802904">
        <w:rPr>
          <w:rFonts w:ascii="ITC Avant Garde" w:eastAsia="Times New Roman" w:hAnsi="ITC Avant Garde" w:cs="Times New Roman"/>
          <w:lang w:val="es-ES"/>
        </w:rPr>
        <w:t xml:space="preserve">Acuerdo </w:t>
      </w:r>
      <w:r w:rsidR="00F7506D" w:rsidRPr="00E8478A">
        <w:rPr>
          <w:rFonts w:ascii="ITC Avant Garde" w:eastAsia="Times New Roman" w:hAnsi="ITC Avant Garde" w:cs="Times New Roman"/>
          <w:lang w:val="es-ES"/>
        </w:rPr>
        <w:t>mediante el cual el Pleno del Instituto Federal de Telecomunicaciones, derivado de la expedición de la “Disposición Técnica IFT-007-2018: Límites de exposición máxima para seres humanos a radiaciones electromagnéticas de radiofrecuencia no ionizantes en el intervalo de 100 kHz A 300 GHz en el entorno de estaciones de radiocomuni</w:t>
      </w:r>
      <w:bookmarkStart w:id="0" w:name="_GoBack"/>
      <w:bookmarkEnd w:id="0"/>
      <w:r w:rsidR="00F7506D" w:rsidRPr="00E8478A">
        <w:rPr>
          <w:rFonts w:ascii="ITC Avant Garde" w:eastAsia="Times New Roman" w:hAnsi="ITC Avant Garde" w:cs="Times New Roman"/>
          <w:lang w:val="es-ES"/>
        </w:rPr>
        <w:t xml:space="preserve">cación”, fija el monto de los aprovechamientos que deberán cobrarse por la prestación de diversos servicios públicos en el ejercicio de sus funciones de Derecho Público por los que no se establece monto específico en la </w:t>
      </w:r>
      <w:r w:rsidR="00AE1112" w:rsidRPr="00E8478A">
        <w:rPr>
          <w:rFonts w:ascii="ITC Avant Garde" w:eastAsia="Times New Roman" w:hAnsi="ITC Avant Garde" w:cs="Times New Roman"/>
          <w:lang w:val="es-ES"/>
        </w:rPr>
        <w:t>Ley Federal d</w:t>
      </w:r>
      <w:r w:rsidR="00F7506D" w:rsidRPr="00E8478A">
        <w:rPr>
          <w:rFonts w:ascii="ITC Avant Garde" w:eastAsia="Times New Roman" w:hAnsi="ITC Avant Garde" w:cs="Times New Roman"/>
          <w:lang w:val="es-ES"/>
        </w:rPr>
        <w:t>e Derechos.</w:t>
      </w:r>
    </w:p>
    <w:p w:rsidR="00D30759" w:rsidRDefault="00F7506D" w:rsidP="00D30759">
      <w:pPr>
        <w:tabs>
          <w:tab w:val="left" w:pos="142"/>
          <w:tab w:val="left" w:pos="5954"/>
        </w:tabs>
        <w:spacing w:after="600" w:line="276" w:lineRule="auto"/>
        <w:jc w:val="both"/>
        <w:rPr>
          <w:rFonts w:ascii="ITC Avant Garde" w:eastAsia="Times New Roman" w:hAnsi="ITC Avant Garde" w:cs="Times New Roman"/>
          <w:i/>
          <w:lang w:val="es-ES"/>
        </w:rPr>
      </w:pPr>
      <w:r w:rsidRPr="00E8478A">
        <w:rPr>
          <w:rFonts w:ascii="ITC Avant Garde" w:eastAsia="Times New Roman" w:hAnsi="ITC Avant Garde" w:cs="Times New Roman"/>
          <w:i/>
          <w:lang w:val="es-ES"/>
        </w:rPr>
        <w:t>(Unidad de Política Regulatoria)</w:t>
      </w:r>
    </w:p>
    <w:p w:rsidR="00431A39" w:rsidRPr="00802904" w:rsidRDefault="00B25403"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III.6</w:t>
      </w:r>
      <w:r w:rsidR="007E6206" w:rsidRPr="00802904">
        <w:rPr>
          <w:rFonts w:ascii="ITC Avant Garde" w:eastAsia="Times New Roman" w:hAnsi="ITC Avant Garde" w:cs="Times New Roman"/>
          <w:b/>
          <w:lang w:val="es-ES"/>
        </w:rPr>
        <w:t>.-</w:t>
      </w:r>
      <w:r w:rsidR="007E6206" w:rsidRPr="00802904">
        <w:rPr>
          <w:rFonts w:ascii="ITC Avant Garde" w:eastAsia="Times New Roman" w:hAnsi="ITC Avant Garde" w:cs="Times New Roman"/>
          <w:lang w:val="es-ES"/>
        </w:rPr>
        <w:t xml:space="preserve"> </w:t>
      </w:r>
      <w:r w:rsidR="00431A39" w:rsidRPr="00802904">
        <w:rPr>
          <w:rFonts w:ascii="ITC Avant Garde" w:eastAsia="Times New Roman" w:hAnsi="ITC Avant Garde" w:cs="Times New Roman"/>
          <w:lang w:val="es-ES"/>
        </w:rPr>
        <w:t>Acuerdo mediante el cual el Pleno del Instituto Federal de Telecomunicaciones aprueba el Programa de Implementación de Separación Contable, presentado por Telecomunicaciones de México, de conformidad con la Disposición Décima Cuarta y el Transitorio Tercero del Acuerdo P/IFT/191217/914, publicado en el Diario Oficial de la Federación el 29 de diciembre de 2017.</w:t>
      </w:r>
    </w:p>
    <w:p w:rsidR="00D30759" w:rsidRDefault="00431A39" w:rsidP="00D30759">
      <w:pPr>
        <w:tabs>
          <w:tab w:val="left" w:pos="142"/>
          <w:tab w:val="left" w:pos="5954"/>
        </w:tabs>
        <w:spacing w:after="60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Política Regulatoria)</w:t>
      </w:r>
    </w:p>
    <w:p w:rsidR="00082C91" w:rsidRPr="00802904" w:rsidRDefault="00B25403"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III.7</w:t>
      </w:r>
      <w:r w:rsidR="007E6206" w:rsidRPr="00802904">
        <w:rPr>
          <w:rFonts w:ascii="ITC Avant Garde" w:eastAsia="Times New Roman" w:hAnsi="ITC Avant Garde" w:cs="Times New Roman"/>
          <w:b/>
          <w:lang w:val="es-ES"/>
        </w:rPr>
        <w:t>.-</w:t>
      </w:r>
      <w:r w:rsidR="007E6206" w:rsidRPr="00802904">
        <w:rPr>
          <w:rFonts w:ascii="ITC Avant Garde" w:eastAsia="Times New Roman" w:hAnsi="ITC Avant Garde" w:cs="Times New Roman"/>
          <w:lang w:val="es-ES"/>
        </w:rPr>
        <w:t xml:space="preserve"> </w:t>
      </w:r>
      <w:r w:rsidR="00975035" w:rsidRPr="00802904">
        <w:rPr>
          <w:rFonts w:ascii="ITC Avant Garde" w:eastAsia="Times New Roman" w:hAnsi="ITC Avant Garde" w:cs="Times New Roman"/>
          <w:lang w:val="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2019.</w:t>
      </w:r>
    </w:p>
    <w:p w:rsidR="00D30759" w:rsidRDefault="00975035" w:rsidP="00D30759">
      <w:pPr>
        <w:tabs>
          <w:tab w:val="left" w:pos="142"/>
          <w:tab w:val="left" w:pos="5954"/>
        </w:tabs>
        <w:spacing w:after="60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Política Regulatoria)</w:t>
      </w:r>
    </w:p>
    <w:p w:rsidR="0054219F" w:rsidRPr="00802904" w:rsidRDefault="00B25403"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III.8</w:t>
      </w:r>
      <w:r w:rsidR="007E6206" w:rsidRPr="00802904">
        <w:rPr>
          <w:rFonts w:ascii="ITC Avant Garde" w:eastAsia="Times New Roman" w:hAnsi="ITC Avant Garde" w:cs="Times New Roman"/>
          <w:b/>
          <w:lang w:val="es-ES"/>
        </w:rPr>
        <w:t>.-</w:t>
      </w:r>
      <w:r w:rsidR="007E6206" w:rsidRPr="00802904">
        <w:rPr>
          <w:rFonts w:ascii="ITC Avant Garde" w:eastAsia="Times New Roman" w:hAnsi="ITC Avant Garde" w:cs="Times New Roman"/>
          <w:lang w:val="es-ES"/>
        </w:rPr>
        <w:t xml:space="preserve"> </w:t>
      </w:r>
      <w:r w:rsidR="0054219F" w:rsidRPr="00802904">
        <w:rPr>
          <w:rFonts w:ascii="ITC Avant Garde" w:eastAsia="Times New Roman" w:hAnsi="ITC Avant Garde" w:cs="Times New Roman"/>
          <w:lang w:val="es-ES"/>
        </w:rPr>
        <w:t>Resolución mediante la cual el Pleno del Instituto Federal de Telecomunicaciones modifica y aprueba al Agente Económico Preponderante los términos y condiciones del Convenio Marco de Interconexión presentado por Radiomóvil Dipsa, S.A. de C.V. aplicable del 1 de enero al 31 de diciembre de 2019.</w:t>
      </w:r>
    </w:p>
    <w:p w:rsidR="00D30759" w:rsidRDefault="0054219F" w:rsidP="00D30759">
      <w:pPr>
        <w:tabs>
          <w:tab w:val="left" w:pos="142"/>
          <w:tab w:val="left" w:pos="5954"/>
        </w:tabs>
        <w:spacing w:after="60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Política Regulatoria)</w:t>
      </w:r>
    </w:p>
    <w:p w:rsidR="0054219F" w:rsidRPr="00802904" w:rsidRDefault="007E6206"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w:t>
      </w:r>
      <w:r w:rsidR="00B25403" w:rsidRPr="00802904">
        <w:rPr>
          <w:rFonts w:ascii="ITC Avant Garde" w:eastAsia="Times New Roman" w:hAnsi="ITC Avant Garde" w:cs="Times New Roman"/>
          <w:b/>
          <w:lang w:val="es-ES"/>
        </w:rPr>
        <w:t>9</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54219F" w:rsidRPr="00802904">
        <w:rPr>
          <w:rFonts w:ascii="ITC Avant Garde" w:eastAsia="Times New Roman" w:hAnsi="ITC Avant Garde" w:cs="Times New Roman"/>
          <w:lang w:val="es-ES"/>
        </w:rPr>
        <w:t>Resolución mediante la cual el Pleno del Instituto Federal de Telecomunicaciones modifica y aprueba al Agente Económico Preponderante los términos y condiciones del Convenio Marco de Interconexión presentado por Teléfonos de México, S.A.B. de C.V. aplicable del 1 de enero al 31 de diciembre de 2019.</w:t>
      </w:r>
    </w:p>
    <w:p w:rsidR="001A5E0C" w:rsidRDefault="0054219F" w:rsidP="00D30759">
      <w:pPr>
        <w:tabs>
          <w:tab w:val="left" w:pos="142"/>
          <w:tab w:val="left" w:pos="5954"/>
        </w:tabs>
        <w:spacing w:after="480" w:line="276" w:lineRule="auto"/>
        <w:jc w:val="both"/>
        <w:rPr>
          <w:rFonts w:ascii="ITC Avant Garde" w:eastAsia="Times New Roman" w:hAnsi="ITC Avant Garde" w:cs="Times New Roman"/>
          <w:i/>
          <w:lang w:val="es-ES"/>
        </w:rPr>
        <w:sectPr w:rsidR="001A5E0C" w:rsidSect="000C21FE">
          <w:pgSz w:w="12240" w:h="15840"/>
          <w:pgMar w:top="2268" w:right="1418" w:bottom="1134" w:left="1418" w:header="709" w:footer="709" w:gutter="0"/>
          <w:cols w:space="708"/>
          <w:docGrid w:linePitch="360"/>
        </w:sectPr>
      </w:pPr>
      <w:r w:rsidRPr="00802904">
        <w:rPr>
          <w:rFonts w:ascii="ITC Avant Garde" w:eastAsia="Times New Roman" w:hAnsi="ITC Avant Garde" w:cs="Times New Roman"/>
          <w:i/>
          <w:lang w:val="es-ES"/>
        </w:rPr>
        <w:t>(Unidad de Política Regulatoria)</w:t>
      </w:r>
    </w:p>
    <w:p w:rsidR="0054219F" w:rsidRPr="00802904" w:rsidRDefault="00B25403"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lastRenderedPageBreak/>
        <w:t>III.10</w:t>
      </w:r>
      <w:r w:rsidR="007E6206" w:rsidRPr="00802904">
        <w:rPr>
          <w:rFonts w:ascii="ITC Avant Garde" w:eastAsia="Times New Roman" w:hAnsi="ITC Avant Garde" w:cs="Times New Roman"/>
          <w:b/>
          <w:lang w:val="es-ES"/>
        </w:rPr>
        <w:t>.-</w:t>
      </w:r>
      <w:r w:rsidR="007E6206" w:rsidRPr="00802904">
        <w:rPr>
          <w:rFonts w:ascii="ITC Avant Garde" w:eastAsia="Times New Roman" w:hAnsi="ITC Avant Garde" w:cs="Times New Roman"/>
          <w:lang w:val="es-ES"/>
        </w:rPr>
        <w:t xml:space="preserve"> </w:t>
      </w:r>
      <w:r w:rsidR="0054219F" w:rsidRPr="00802904">
        <w:rPr>
          <w:rFonts w:ascii="ITC Avant Garde" w:eastAsia="Times New Roman" w:hAnsi="ITC Avant Garde" w:cs="Times New Roman"/>
          <w:lang w:val="es-ES"/>
        </w:rPr>
        <w:t>Resolución mediante la cual el Pleno del Instituto Federal de Telecomunicaciones modifica y aprueba al Agente Económico Preponderante los términos y condiciones del Convenio Marco de Interconexión presentado por Teléfonos del Noroeste, S.A. de C.V. aplicable del 1 de enero al 31 de diciembre de 2019.</w:t>
      </w:r>
    </w:p>
    <w:p w:rsidR="00D30759" w:rsidRDefault="0054219F" w:rsidP="00D30759">
      <w:pPr>
        <w:tabs>
          <w:tab w:val="left" w:pos="142"/>
          <w:tab w:val="left" w:pos="5954"/>
        </w:tabs>
        <w:spacing w:after="44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Política Regulatoria)</w:t>
      </w:r>
    </w:p>
    <w:p w:rsidR="006C7638" w:rsidRPr="00802904" w:rsidRDefault="00BB6227"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III.11</w:t>
      </w:r>
      <w:r w:rsidR="007E6206" w:rsidRPr="00802904">
        <w:rPr>
          <w:rFonts w:ascii="ITC Avant Garde" w:eastAsia="Times New Roman" w:hAnsi="ITC Avant Garde" w:cs="Times New Roman"/>
          <w:b/>
          <w:lang w:val="es-ES"/>
        </w:rPr>
        <w:t>.-</w:t>
      </w:r>
      <w:r w:rsidR="007E6206" w:rsidRPr="00802904">
        <w:rPr>
          <w:rFonts w:ascii="ITC Avant Garde" w:eastAsia="Times New Roman" w:hAnsi="ITC Avant Garde" w:cs="Times New Roman"/>
          <w:lang w:val="es-ES"/>
        </w:rPr>
        <w:t xml:space="preserve"> </w:t>
      </w:r>
      <w:r w:rsidR="006C7638" w:rsidRPr="00802904">
        <w:rPr>
          <w:rFonts w:ascii="ITC Avant Garde" w:eastAsia="Times New Roman" w:hAnsi="ITC Avant Garde" w:cs="Times New Roman"/>
          <w:lang w:val="es-ES"/>
        </w:rPr>
        <w:t xml:space="preserve">Resolución </w:t>
      </w:r>
      <w:r w:rsidR="00E12687" w:rsidRPr="00802904">
        <w:rPr>
          <w:rFonts w:ascii="ITC Avant Garde" w:eastAsia="Times New Roman" w:hAnsi="ITC Avant Garde" w:cs="Times New Roman"/>
          <w:lang w:val="es-ES"/>
        </w:rPr>
        <w:t xml:space="preserve">mediante la cual el </w:t>
      </w:r>
      <w:r w:rsidR="006C7638" w:rsidRPr="00802904">
        <w:rPr>
          <w:rFonts w:ascii="ITC Avant Garde" w:eastAsia="Times New Roman" w:hAnsi="ITC Avant Garde" w:cs="Times New Roman"/>
          <w:lang w:val="es-ES"/>
        </w:rPr>
        <w:t xml:space="preserve">Pleno </w:t>
      </w:r>
      <w:r w:rsidR="00E12687" w:rsidRPr="00802904">
        <w:rPr>
          <w:rFonts w:ascii="ITC Avant Garde" w:eastAsia="Times New Roman" w:hAnsi="ITC Avant Garde" w:cs="Times New Roman"/>
          <w:lang w:val="es-ES"/>
        </w:rPr>
        <w:t>d</w:t>
      </w:r>
      <w:r w:rsidR="006C7638" w:rsidRPr="00802904">
        <w:rPr>
          <w:rFonts w:ascii="ITC Avant Garde" w:eastAsia="Times New Roman" w:hAnsi="ITC Avant Garde" w:cs="Times New Roman"/>
          <w:lang w:val="es-ES"/>
        </w:rPr>
        <w:t xml:space="preserve">el Instituto Federal </w:t>
      </w:r>
      <w:r w:rsidR="00E12687" w:rsidRPr="00802904">
        <w:rPr>
          <w:rFonts w:ascii="ITC Avant Garde" w:eastAsia="Times New Roman" w:hAnsi="ITC Avant Garde" w:cs="Times New Roman"/>
          <w:lang w:val="es-ES"/>
        </w:rPr>
        <w:t>d</w:t>
      </w:r>
      <w:r w:rsidR="006C7638" w:rsidRPr="00802904">
        <w:rPr>
          <w:rFonts w:ascii="ITC Avant Garde" w:eastAsia="Times New Roman" w:hAnsi="ITC Avant Garde" w:cs="Times New Roman"/>
          <w:lang w:val="es-ES"/>
        </w:rPr>
        <w:t xml:space="preserve">e Telecomunicaciones </w:t>
      </w:r>
      <w:r w:rsidR="00E12687" w:rsidRPr="00802904">
        <w:rPr>
          <w:rFonts w:ascii="ITC Avant Garde" w:eastAsia="Times New Roman" w:hAnsi="ITC Avant Garde" w:cs="Times New Roman"/>
          <w:lang w:val="es-ES"/>
        </w:rPr>
        <w:t xml:space="preserve">declara la pérdida de bienes en beneficio de la </w:t>
      </w:r>
      <w:r w:rsidR="006C7638" w:rsidRPr="00802904">
        <w:rPr>
          <w:rFonts w:ascii="ITC Avant Garde" w:eastAsia="Times New Roman" w:hAnsi="ITC Avant Garde" w:cs="Times New Roman"/>
          <w:lang w:val="es-ES"/>
        </w:rPr>
        <w:t xml:space="preserve">Nación, </w:t>
      </w:r>
      <w:r w:rsidR="00E12687" w:rsidRPr="00802904">
        <w:rPr>
          <w:rFonts w:ascii="ITC Avant Garde" w:eastAsia="Times New Roman" w:hAnsi="ITC Avant Garde" w:cs="Times New Roman"/>
          <w:lang w:val="es-ES"/>
        </w:rPr>
        <w:t xml:space="preserve">derivado del procedimiento administrativo iniciado en contra del </w:t>
      </w:r>
      <w:r w:rsidR="006C7638" w:rsidRPr="00802904">
        <w:rPr>
          <w:rFonts w:ascii="ITC Avant Garde" w:eastAsia="Times New Roman" w:hAnsi="ITC Avant Garde" w:cs="Times New Roman"/>
          <w:lang w:val="es-ES"/>
        </w:rPr>
        <w:t xml:space="preserve">C. Samuel Pérez Gómez, </w:t>
      </w:r>
      <w:r w:rsidR="00E12687" w:rsidRPr="00802904">
        <w:rPr>
          <w:rFonts w:ascii="ITC Avant Garde" w:eastAsia="Times New Roman" w:hAnsi="ITC Avant Garde" w:cs="Times New Roman"/>
          <w:lang w:val="es-ES"/>
        </w:rPr>
        <w:t>en su carácter de propietario del inmueble donde se detectaron las instalaciones y equipos de radiodifusión que operaban la Frecuencia 103.3 MH</w:t>
      </w:r>
      <w:r w:rsidR="006C7638" w:rsidRPr="00802904">
        <w:rPr>
          <w:rFonts w:ascii="ITC Avant Garde" w:eastAsia="Times New Roman" w:hAnsi="ITC Avant Garde" w:cs="Times New Roman"/>
          <w:lang w:val="es-ES"/>
        </w:rPr>
        <w:t xml:space="preserve">z, </w:t>
      </w:r>
      <w:r w:rsidR="00E12687" w:rsidRPr="00802904">
        <w:rPr>
          <w:rFonts w:ascii="ITC Avant Garde" w:eastAsia="Times New Roman" w:hAnsi="ITC Avant Garde" w:cs="Times New Roman"/>
          <w:lang w:val="es-ES"/>
        </w:rPr>
        <w:t>en el Municipio d</w:t>
      </w:r>
      <w:r w:rsidR="006C7638" w:rsidRPr="00802904">
        <w:rPr>
          <w:rFonts w:ascii="ITC Avant Garde" w:eastAsia="Times New Roman" w:hAnsi="ITC Avant Garde" w:cs="Times New Roman"/>
          <w:lang w:val="es-ES"/>
        </w:rPr>
        <w:t xml:space="preserve">e Calvillo, Estado </w:t>
      </w:r>
      <w:r w:rsidR="00E12687" w:rsidRPr="00802904">
        <w:rPr>
          <w:rFonts w:ascii="ITC Avant Garde" w:eastAsia="Times New Roman" w:hAnsi="ITC Avant Garde" w:cs="Times New Roman"/>
          <w:lang w:val="es-ES"/>
        </w:rPr>
        <w:t>d</w:t>
      </w:r>
      <w:r w:rsidR="006C7638" w:rsidRPr="00802904">
        <w:rPr>
          <w:rFonts w:ascii="ITC Avant Garde" w:eastAsia="Times New Roman" w:hAnsi="ITC Avant Garde" w:cs="Times New Roman"/>
          <w:lang w:val="es-ES"/>
        </w:rPr>
        <w:t xml:space="preserve">e Aguascalientes, </w:t>
      </w:r>
      <w:r w:rsidR="00E12687" w:rsidRPr="00802904">
        <w:rPr>
          <w:rFonts w:ascii="ITC Avant Garde" w:eastAsia="Times New Roman" w:hAnsi="ITC Avant Garde" w:cs="Times New Roman"/>
          <w:lang w:val="es-ES"/>
        </w:rPr>
        <w:t>sin contar con la respectiva concesión o permiso.</w:t>
      </w:r>
    </w:p>
    <w:p w:rsidR="00D30759" w:rsidRDefault="00943FE3" w:rsidP="00D30759">
      <w:pPr>
        <w:tabs>
          <w:tab w:val="left" w:pos="142"/>
          <w:tab w:val="left" w:pos="5954"/>
        </w:tabs>
        <w:spacing w:after="44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Cumplimiento)</w:t>
      </w:r>
    </w:p>
    <w:p w:rsidR="006C7638" w:rsidRPr="00802904" w:rsidRDefault="007E6206"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III.1</w:t>
      </w:r>
      <w:r w:rsidR="00BB6227" w:rsidRPr="00802904">
        <w:rPr>
          <w:rFonts w:ascii="ITC Avant Garde" w:eastAsia="Times New Roman" w:hAnsi="ITC Avant Garde" w:cs="Times New Roman"/>
          <w:b/>
          <w:lang w:val="es-ES"/>
        </w:rPr>
        <w:t>2</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6C7638" w:rsidRPr="00802904">
        <w:rPr>
          <w:rFonts w:ascii="ITC Avant Garde" w:eastAsia="Times New Roman" w:hAnsi="ITC Avant Garde" w:cs="Times New Roman"/>
          <w:lang w:val="es-ES"/>
        </w:rPr>
        <w:t xml:space="preserve">Resolución </w:t>
      </w:r>
      <w:r w:rsidR="003E7FBB" w:rsidRPr="00802904">
        <w:rPr>
          <w:rFonts w:ascii="ITC Avant Garde" w:eastAsia="Times New Roman" w:hAnsi="ITC Avant Garde" w:cs="Times New Roman"/>
          <w:lang w:val="es-ES"/>
        </w:rPr>
        <w:t xml:space="preserve">mediante la cual el </w:t>
      </w:r>
      <w:r w:rsidR="006C7638" w:rsidRPr="00802904">
        <w:rPr>
          <w:rFonts w:ascii="ITC Avant Garde" w:eastAsia="Times New Roman" w:hAnsi="ITC Avant Garde" w:cs="Times New Roman"/>
          <w:lang w:val="es-ES"/>
        </w:rPr>
        <w:t xml:space="preserve">Pleno </w:t>
      </w:r>
      <w:r w:rsidR="003E7FBB" w:rsidRPr="00802904">
        <w:rPr>
          <w:rFonts w:ascii="ITC Avant Garde" w:eastAsia="Times New Roman" w:hAnsi="ITC Avant Garde" w:cs="Times New Roman"/>
          <w:lang w:val="es-ES"/>
        </w:rPr>
        <w:t>del Instituto Federal d</w:t>
      </w:r>
      <w:r w:rsidR="006C7638" w:rsidRPr="00802904">
        <w:rPr>
          <w:rFonts w:ascii="ITC Avant Garde" w:eastAsia="Times New Roman" w:hAnsi="ITC Avant Garde" w:cs="Times New Roman"/>
          <w:lang w:val="es-ES"/>
        </w:rPr>
        <w:t xml:space="preserve">e Telecomunicaciones </w:t>
      </w:r>
      <w:r w:rsidR="003E7FBB" w:rsidRPr="00802904">
        <w:rPr>
          <w:rFonts w:ascii="ITC Avant Garde" w:eastAsia="Times New Roman" w:hAnsi="ITC Avant Garde" w:cs="Times New Roman"/>
          <w:lang w:val="es-ES"/>
        </w:rPr>
        <w:t xml:space="preserve">impone una multa y declara la pérdida de bienes en beneficio de la </w:t>
      </w:r>
      <w:r w:rsidR="006C7638" w:rsidRPr="00802904">
        <w:rPr>
          <w:rFonts w:ascii="ITC Avant Garde" w:eastAsia="Times New Roman" w:hAnsi="ITC Avant Garde" w:cs="Times New Roman"/>
          <w:lang w:val="es-ES"/>
        </w:rPr>
        <w:t xml:space="preserve">Nación, </w:t>
      </w:r>
      <w:r w:rsidR="003E7FBB" w:rsidRPr="00802904">
        <w:rPr>
          <w:rFonts w:ascii="ITC Avant Garde" w:eastAsia="Times New Roman" w:hAnsi="ITC Avant Garde" w:cs="Times New Roman"/>
          <w:lang w:val="es-ES"/>
        </w:rPr>
        <w:t xml:space="preserve">derivado del procedimiento administrativo instruido en contra de </w:t>
      </w:r>
      <w:r w:rsidR="006C7638" w:rsidRPr="00802904">
        <w:rPr>
          <w:rFonts w:ascii="ITC Avant Garde" w:eastAsia="Times New Roman" w:hAnsi="ITC Avant Garde" w:cs="Times New Roman"/>
          <w:lang w:val="es-ES"/>
        </w:rPr>
        <w:t xml:space="preserve">Ramón Velasco Loera </w:t>
      </w:r>
      <w:r w:rsidR="003E7FBB" w:rsidRPr="00802904">
        <w:rPr>
          <w:rFonts w:ascii="ITC Avant Garde" w:eastAsia="Times New Roman" w:hAnsi="ITC Avant Garde" w:cs="Times New Roman"/>
          <w:lang w:val="es-ES"/>
        </w:rPr>
        <w:t xml:space="preserve">en su carácter de propietario del inmueble en donde se detectaron equipos de radiodifusión que operaban la </w:t>
      </w:r>
      <w:r w:rsidR="006C7638" w:rsidRPr="00802904">
        <w:rPr>
          <w:rFonts w:ascii="ITC Avant Garde" w:eastAsia="Times New Roman" w:hAnsi="ITC Avant Garde" w:cs="Times New Roman"/>
          <w:lang w:val="es-ES"/>
        </w:rPr>
        <w:t>Frecuencia 99.7 M</w:t>
      </w:r>
      <w:r w:rsidR="003E7FBB" w:rsidRPr="00802904">
        <w:rPr>
          <w:rFonts w:ascii="ITC Avant Garde" w:eastAsia="Times New Roman" w:hAnsi="ITC Avant Garde" w:cs="Times New Roman"/>
          <w:lang w:val="es-ES"/>
        </w:rPr>
        <w:t>Hz, en el Municipio de Calvillo, Estado d</w:t>
      </w:r>
      <w:r w:rsidR="006C7638" w:rsidRPr="00802904">
        <w:rPr>
          <w:rFonts w:ascii="ITC Avant Garde" w:eastAsia="Times New Roman" w:hAnsi="ITC Avant Garde" w:cs="Times New Roman"/>
          <w:lang w:val="es-ES"/>
        </w:rPr>
        <w:t xml:space="preserve">e Aguascalientes, </w:t>
      </w:r>
      <w:r w:rsidR="003E7FBB" w:rsidRPr="00802904">
        <w:rPr>
          <w:rFonts w:ascii="ITC Avant Garde" w:eastAsia="Times New Roman" w:hAnsi="ITC Avant Garde" w:cs="Times New Roman"/>
          <w:lang w:val="es-ES"/>
        </w:rPr>
        <w:t>sin contar con la respectiva concesión o permiso</w:t>
      </w:r>
      <w:r w:rsidR="006C7638" w:rsidRPr="00802904">
        <w:rPr>
          <w:rFonts w:ascii="ITC Avant Garde" w:eastAsia="Times New Roman" w:hAnsi="ITC Avant Garde" w:cs="Times New Roman"/>
          <w:lang w:val="es-ES"/>
        </w:rPr>
        <w:t>.</w:t>
      </w:r>
    </w:p>
    <w:p w:rsidR="00D30759" w:rsidRDefault="00943FE3" w:rsidP="00D30759">
      <w:pPr>
        <w:tabs>
          <w:tab w:val="left" w:pos="142"/>
          <w:tab w:val="left" w:pos="5954"/>
        </w:tabs>
        <w:spacing w:after="44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Cumplimiento)</w:t>
      </w:r>
    </w:p>
    <w:p w:rsidR="006C7638" w:rsidRPr="00802904" w:rsidRDefault="007E6206"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III.1</w:t>
      </w:r>
      <w:r w:rsidR="00BB6227" w:rsidRPr="00802904">
        <w:rPr>
          <w:rFonts w:ascii="ITC Avant Garde" w:eastAsia="Times New Roman" w:hAnsi="ITC Avant Garde" w:cs="Times New Roman"/>
          <w:b/>
          <w:lang w:val="es-ES"/>
        </w:rPr>
        <w:t>3</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6C7638" w:rsidRPr="00802904">
        <w:rPr>
          <w:rFonts w:ascii="ITC Avant Garde" w:eastAsia="Times New Roman" w:hAnsi="ITC Avant Garde" w:cs="Times New Roman"/>
          <w:lang w:val="es-ES"/>
        </w:rPr>
        <w:t xml:space="preserve">Resolución </w:t>
      </w:r>
      <w:r w:rsidR="00D8766D" w:rsidRPr="00802904">
        <w:rPr>
          <w:rFonts w:ascii="ITC Avant Garde" w:eastAsia="Times New Roman" w:hAnsi="ITC Avant Garde" w:cs="Times New Roman"/>
          <w:lang w:val="es-ES"/>
        </w:rPr>
        <w:t>mediante la cual el Pleno d</w:t>
      </w:r>
      <w:r w:rsidR="006C7638" w:rsidRPr="00802904">
        <w:rPr>
          <w:rFonts w:ascii="ITC Avant Garde" w:eastAsia="Times New Roman" w:hAnsi="ITC Avant Garde" w:cs="Times New Roman"/>
          <w:lang w:val="es-ES"/>
        </w:rPr>
        <w:t>el Inst</w:t>
      </w:r>
      <w:r w:rsidR="00D8766D" w:rsidRPr="00802904">
        <w:rPr>
          <w:rFonts w:ascii="ITC Avant Garde" w:eastAsia="Times New Roman" w:hAnsi="ITC Avant Garde" w:cs="Times New Roman"/>
          <w:lang w:val="es-ES"/>
        </w:rPr>
        <w:t>ituto Federal d</w:t>
      </w:r>
      <w:r w:rsidR="006C7638" w:rsidRPr="00802904">
        <w:rPr>
          <w:rFonts w:ascii="ITC Avant Garde" w:eastAsia="Times New Roman" w:hAnsi="ITC Avant Garde" w:cs="Times New Roman"/>
          <w:lang w:val="es-ES"/>
        </w:rPr>
        <w:t xml:space="preserve">e Telecomunicaciones </w:t>
      </w:r>
      <w:r w:rsidR="00D8766D" w:rsidRPr="00802904">
        <w:rPr>
          <w:rFonts w:ascii="ITC Avant Garde" w:eastAsia="Times New Roman" w:hAnsi="ITC Avant Garde" w:cs="Times New Roman"/>
          <w:lang w:val="es-ES"/>
        </w:rPr>
        <w:t>impone una multa y declara la pérdida de bienes en beneficio de la Nación, derivado del procedimiento administrativo instruido en contra de Marco Antonio Corona Mejía en su carácter de propietario del inmueble en donde se d</w:t>
      </w:r>
      <w:r w:rsidR="006C7638" w:rsidRPr="00802904">
        <w:rPr>
          <w:rFonts w:ascii="ITC Avant Garde" w:eastAsia="Times New Roman" w:hAnsi="ITC Avant Garde" w:cs="Times New Roman"/>
          <w:lang w:val="es-ES"/>
        </w:rPr>
        <w:t xml:space="preserve">etectaron </w:t>
      </w:r>
      <w:r w:rsidR="00FC1388" w:rsidRPr="00802904">
        <w:rPr>
          <w:rFonts w:ascii="ITC Avant Garde" w:eastAsia="Times New Roman" w:hAnsi="ITC Avant Garde" w:cs="Times New Roman"/>
          <w:lang w:val="es-ES"/>
        </w:rPr>
        <w:t>equipos de radiodifusión que operaban la</w:t>
      </w:r>
      <w:r w:rsidR="006C7638" w:rsidRPr="00802904">
        <w:rPr>
          <w:rFonts w:ascii="ITC Avant Garde" w:eastAsia="Times New Roman" w:hAnsi="ITC Avant Garde" w:cs="Times New Roman"/>
          <w:lang w:val="es-ES"/>
        </w:rPr>
        <w:t xml:space="preserve"> Frecuencia 95.9 M</w:t>
      </w:r>
      <w:r w:rsidR="00FC1388" w:rsidRPr="00802904">
        <w:rPr>
          <w:rFonts w:ascii="ITC Avant Garde" w:eastAsia="Times New Roman" w:hAnsi="ITC Avant Garde" w:cs="Times New Roman"/>
          <w:lang w:val="es-ES"/>
        </w:rPr>
        <w:t>Hz, en Cuautitlán Izcalli, Estado d</w:t>
      </w:r>
      <w:r w:rsidR="006C7638" w:rsidRPr="00802904">
        <w:rPr>
          <w:rFonts w:ascii="ITC Avant Garde" w:eastAsia="Times New Roman" w:hAnsi="ITC Avant Garde" w:cs="Times New Roman"/>
          <w:lang w:val="es-ES"/>
        </w:rPr>
        <w:t xml:space="preserve">e México, </w:t>
      </w:r>
      <w:r w:rsidR="00FC1388" w:rsidRPr="00802904">
        <w:rPr>
          <w:rFonts w:ascii="ITC Avant Garde" w:eastAsia="Times New Roman" w:hAnsi="ITC Avant Garde" w:cs="Times New Roman"/>
          <w:lang w:val="es-ES"/>
        </w:rPr>
        <w:t>sin contar con la respectiva concesión o permiso.</w:t>
      </w:r>
    </w:p>
    <w:p w:rsidR="00D30759" w:rsidRDefault="00943FE3" w:rsidP="00D30759">
      <w:pPr>
        <w:tabs>
          <w:tab w:val="left" w:pos="142"/>
          <w:tab w:val="left" w:pos="5954"/>
        </w:tabs>
        <w:spacing w:after="44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Cumplimiento)</w:t>
      </w:r>
    </w:p>
    <w:p w:rsidR="00D30759" w:rsidRDefault="00D30759" w:rsidP="00D30759">
      <w:pPr>
        <w:tabs>
          <w:tab w:val="left" w:pos="142"/>
          <w:tab w:val="left" w:pos="5954"/>
        </w:tabs>
        <w:spacing w:after="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(Se retiró)</w:t>
      </w:r>
    </w:p>
    <w:p w:rsidR="006C7638" w:rsidRPr="00802904" w:rsidRDefault="007E6206"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III.1</w:t>
      </w:r>
      <w:r w:rsidR="00BB6227" w:rsidRPr="00802904">
        <w:rPr>
          <w:rFonts w:ascii="ITC Avant Garde" w:eastAsia="Times New Roman" w:hAnsi="ITC Avant Garde" w:cs="Times New Roman"/>
          <w:b/>
          <w:lang w:val="es-ES"/>
        </w:rPr>
        <w:t>4</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6C7638" w:rsidRPr="00802904">
        <w:rPr>
          <w:rFonts w:ascii="ITC Avant Garde" w:eastAsia="Times New Roman" w:hAnsi="ITC Avant Garde" w:cs="Times New Roman"/>
          <w:lang w:val="es-ES"/>
        </w:rPr>
        <w:t xml:space="preserve">Resolución </w:t>
      </w:r>
      <w:r w:rsidR="00FC1388" w:rsidRPr="00802904">
        <w:rPr>
          <w:rFonts w:ascii="ITC Avant Garde" w:eastAsia="Times New Roman" w:hAnsi="ITC Avant Garde" w:cs="Times New Roman"/>
          <w:lang w:val="es-ES"/>
        </w:rPr>
        <w:t>mediante la cual el Pleno d</w:t>
      </w:r>
      <w:r w:rsidR="006C7638" w:rsidRPr="00802904">
        <w:rPr>
          <w:rFonts w:ascii="ITC Avant Garde" w:eastAsia="Times New Roman" w:hAnsi="ITC Avant Garde" w:cs="Times New Roman"/>
          <w:lang w:val="es-ES"/>
        </w:rPr>
        <w:t xml:space="preserve">el Instituto Federal </w:t>
      </w:r>
      <w:r w:rsidR="00FC1388" w:rsidRPr="00802904">
        <w:rPr>
          <w:rFonts w:ascii="ITC Avant Garde" w:eastAsia="Times New Roman" w:hAnsi="ITC Avant Garde" w:cs="Times New Roman"/>
          <w:lang w:val="es-ES"/>
        </w:rPr>
        <w:t>d</w:t>
      </w:r>
      <w:r w:rsidR="006C7638" w:rsidRPr="00802904">
        <w:rPr>
          <w:rFonts w:ascii="ITC Avant Garde" w:eastAsia="Times New Roman" w:hAnsi="ITC Avant Garde" w:cs="Times New Roman"/>
          <w:lang w:val="es-ES"/>
        </w:rPr>
        <w:t xml:space="preserve">e Telecomunicaciones </w:t>
      </w:r>
      <w:r w:rsidR="00FC1388" w:rsidRPr="00802904">
        <w:rPr>
          <w:rFonts w:ascii="ITC Avant Garde" w:eastAsia="Times New Roman" w:hAnsi="ITC Avant Garde" w:cs="Times New Roman"/>
          <w:lang w:val="es-ES"/>
        </w:rPr>
        <w:t xml:space="preserve">resuelve el procedimiento administrativo de revocación iniciado </w:t>
      </w:r>
      <w:r w:rsidR="00FC1388" w:rsidRPr="00880DE3">
        <w:rPr>
          <w:rFonts w:ascii="ITC Avant Garde" w:eastAsia="Times New Roman" w:hAnsi="ITC Avant Garde" w:cs="Times New Roman"/>
          <w:lang w:val="es-ES"/>
        </w:rPr>
        <w:t>en contra del Departamento d</w:t>
      </w:r>
      <w:r w:rsidR="006C7638" w:rsidRPr="00880DE3">
        <w:rPr>
          <w:rFonts w:ascii="ITC Avant Garde" w:eastAsia="Times New Roman" w:hAnsi="ITC Avant Garde" w:cs="Times New Roman"/>
          <w:lang w:val="es-ES"/>
        </w:rPr>
        <w:t xml:space="preserve">el Distrito Federal (Dirección General </w:t>
      </w:r>
      <w:r w:rsidR="00FC1388" w:rsidRPr="00880DE3">
        <w:rPr>
          <w:rFonts w:ascii="ITC Avant Garde" w:eastAsia="Times New Roman" w:hAnsi="ITC Avant Garde" w:cs="Times New Roman"/>
          <w:lang w:val="es-ES"/>
        </w:rPr>
        <w:t>d</w:t>
      </w:r>
      <w:r w:rsidR="006C7638" w:rsidRPr="00880DE3">
        <w:rPr>
          <w:rFonts w:ascii="ITC Avant Garde" w:eastAsia="Times New Roman" w:hAnsi="ITC Avant Garde" w:cs="Times New Roman"/>
          <w:lang w:val="es-ES"/>
        </w:rPr>
        <w:t xml:space="preserve">e Gobierno) </w:t>
      </w:r>
      <w:r w:rsidR="00FC1388" w:rsidRPr="00880DE3">
        <w:rPr>
          <w:rFonts w:ascii="ITC Avant Garde" w:eastAsia="Times New Roman" w:hAnsi="ITC Avant Garde" w:cs="Times New Roman"/>
          <w:lang w:val="es-ES"/>
        </w:rPr>
        <w:t xml:space="preserve">actualmente </w:t>
      </w:r>
      <w:r w:rsidR="006C7638" w:rsidRPr="00880DE3">
        <w:rPr>
          <w:rFonts w:ascii="ITC Avant Garde" w:eastAsia="Times New Roman" w:hAnsi="ITC Avant Garde" w:cs="Times New Roman"/>
          <w:lang w:val="es-ES"/>
        </w:rPr>
        <w:t xml:space="preserve">Gobierno </w:t>
      </w:r>
      <w:r w:rsidR="00FC1388" w:rsidRPr="00880DE3">
        <w:rPr>
          <w:rFonts w:ascii="ITC Avant Garde" w:eastAsia="Times New Roman" w:hAnsi="ITC Avant Garde" w:cs="Times New Roman"/>
          <w:lang w:val="es-ES"/>
        </w:rPr>
        <w:t>de l</w:t>
      </w:r>
      <w:r w:rsidR="006C7638" w:rsidRPr="00880DE3">
        <w:rPr>
          <w:rFonts w:ascii="ITC Avant Garde" w:eastAsia="Times New Roman" w:hAnsi="ITC Avant Garde" w:cs="Times New Roman"/>
          <w:lang w:val="es-ES"/>
        </w:rPr>
        <w:t xml:space="preserve">a Ciudad </w:t>
      </w:r>
      <w:r w:rsidR="00FC1388" w:rsidRPr="00880DE3">
        <w:rPr>
          <w:rFonts w:ascii="ITC Avant Garde" w:eastAsia="Times New Roman" w:hAnsi="ITC Avant Garde" w:cs="Times New Roman"/>
          <w:lang w:val="es-ES"/>
        </w:rPr>
        <w:t>de México (Secretaría d</w:t>
      </w:r>
      <w:r w:rsidR="006C7638" w:rsidRPr="00880DE3">
        <w:rPr>
          <w:rFonts w:ascii="ITC Avant Garde" w:eastAsia="Times New Roman" w:hAnsi="ITC Avant Garde" w:cs="Times New Roman"/>
          <w:lang w:val="es-ES"/>
        </w:rPr>
        <w:t xml:space="preserve">e Gobierno) </w:t>
      </w:r>
      <w:r w:rsidR="00FC1388" w:rsidRPr="00880DE3">
        <w:rPr>
          <w:rFonts w:ascii="ITC Avant Garde" w:eastAsia="Times New Roman" w:hAnsi="ITC Avant Garde" w:cs="Times New Roman"/>
          <w:lang w:val="es-ES"/>
        </w:rPr>
        <w:t>respecto del permiso que le fue otorgado para instalar y operar un sistema de radiocomunicación privada en la Ciudad d</w:t>
      </w:r>
      <w:r w:rsidR="006C7638" w:rsidRPr="00880DE3">
        <w:rPr>
          <w:rFonts w:ascii="ITC Avant Garde" w:eastAsia="Times New Roman" w:hAnsi="ITC Avant Garde" w:cs="Times New Roman"/>
          <w:lang w:val="es-ES"/>
        </w:rPr>
        <w:t>e México.</w:t>
      </w:r>
    </w:p>
    <w:p w:rsidR="001A5E0C" w:rsidRDefault="00943FE3" w:rsidP="00D30759">
      <w:pPr>
        <w:tabs>
          <w:tab w:val="left" w:pos="142"/>
          <w:tab w:val="left" w:pos="5954"/>
        </w:tabs>
        <w:spacing w:after="480" w:line="276" w:lineRule="auto"/>
        <w:jc w:val="both"/>
        <w:rPr>
          <w:rFonts w:ascii="ITC Avant Garde" w:eastAsia="Times New Roman" w:hAnsi="ITC Avant Garde" w:cs="Times New Roman"/>
          <w:i/>
          <w:lang w:val="es-ES"/>
        </w:rPr>
        <w:sectPr w:rsidR="001A5E0C" w:rsidSect="000C21FE">
          <w:headerReference w:type="default" r:id="rId9"/>
          <w:pgSz w:w="12240" w:h="15840"/>
          <w:pgMar w:top="2268" w:right="1418" w:bottom="1134" w:left="1418" w:header="709" w:footer="709" w:gutter="0"/>
          <w:cols w:space="708"/>
          <w:docGrid w:linePitch="360"/>
        </w:sectPr>
      </w:pPr>
      <w:r w:rsidRPr="00802904">
        <w:rPr>
          <w:rFonts w:ascii="ITC Avant Garde" w:eastAsia="Times New Roman" w:hAnsi="ITC Avant Garde" w:cs="Times New Roman"/>
          <w:i/>
          <w:lang w:val="es-ES"/>
        </w:rPr>
        <w:t>(Unidad de Cumplimiento)</w:t>
      </w:r>
    </w:p>
    <w:p w:rsidR="00FB1BBB" w:rsidRPr="00802904" w:rsidRDefault="007E6206"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lastRenderedPageBreak/>
        <w:t>III.1</w:t>
      </w:r>
      <w:r w:rsidR="00BB6227" w:rsidRPr="00802904">
        <w:rPr>
          <w:rFonts w:ascii="ITC Avant Garde" w:eastAsia="Times New Roman" w:hAnsi="ITC Avant Garde" w:cs="Times New Roman"/>
          <w:b/>
          <w:lang w:val="es-ES"/>
        </w:rPr>
        <w:t>5</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FB1BBB" w:rsidRPr="00802904">
        <w:rPr>
          <w:rFonts w:ascii="ITC Avant Garde" w:eastAsia="Times New Roman" w:hAnsi="ITC Avant Garde" w:cs="Times New Roman"/>
          <w:lang w:val="es-ES"/>
        </w:rPr>
        <w:t>Resolución mediante la cual el Pleno del Instituto Federal de Telecomunicaciones otorga la Constancia de Autorización para el uso y aprovechamiento de bandas de frecuencias del espectro radioeléctrico para uso secundario, a favor de Fútbol del Distrito Federal, S.A. de C.V.</w:t>
      </w:r>
    </w:p>
    <w:p w:rsidR="00D30759" w:rsidRDefault="00FB1BBB" w:rsidP="00880DE3">
      <w:pPr>
        <w:tabs>
          <w:tab w:val="left" w:pos="142"/>
          <w:tab w:val="left" w:pos="5954"/>
        </w:tabs>
        <w:spacing w:after="24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802904" w:rsidRPr="00FF7876" w:rsidRDefault="00802904" w:rsidP="0080289B">
      <w:pPr>
        <w:tabs>
          <w:tab w:val="left" w:pos="142"/>
          <w:tab w:val="left" w:pos="5954"/>
        </w:tabs>
        <w:spacing w:after="0" w:line="276" w:lineRule="auto"/>
        <w:jc w:val="both"/>
        <w:rPr>
          <w:rFonts w:ascii="ITC Avant Garde" w:eastAsia="Times New Roman" w:hAnsi="ITC Avant Garde" w:cs="Times New Roman"/>
          <w:lang w:val="es-ES"/>
        </w:rPr>
      </w:pPr>
      <w:r w:rsidRPr="00FF7876">
        <w:rPr>
          <w:rFonts w:ascii="ITC Avant Garde" w:eastAsia="Times New Roman" w:hAnsi="ITC Avant Garde" w:cs="Times New Roman"/>
          <w:b/>
          <w:lang w:val="es-ES"/>
        </w:rPr>
        <w:t>III.</w:t>
      </w:r>
      <w:r w:rsidR="00FF56C1">
        <w:rPr>
          <w:rFonts w:ascii="ITC Avant Garde" w:eastAsia="Times New Roman" w:hAnsi="ITC Avant Garde" w:cs="Times New Roman"/>
          <w:b/>
          <w:lang w:val="es-ES"/>
        </w:rPr>
        <w:t>16</w:t>
      </w:r>
      <w:r w:rsidRPr="00FF7876">
        <w:rPr>
          <w:rFonts w:ascii="ITC Avant Garde" w:eastAsia="Times New Roman" w:hAnsi="ITC Avant Garde" w:cs="Times New Roman"/>
          <w:b/>
          <w:lang w:val="es-ES"/>
        </w:rPr>
        <w:t>.-</w:t>
      </w:r>
      <w:r w:rsidRPr="00FF7876">
        <w:rPr>
          <w:rFonts w:ascii="ITC Avant Garde" w:eastAsia="Times New Roman" w:hAnsi="ITC Avant Garde" w:cs="Times New Roman"/>
          <w:lang w:val="es-ES"/>
        </w:rPr>
        <w:t xml:space="preserve"> Resolución mediante la cual el Pleno del Instituto Federal de Telecomunicaciones autoriza la enajenación parcial de una parte social de la empresa Intercable del Mayab, S. de R.L. de C.V., titular de una concesión única para uso comercial.</w:t>
      </w:r>
    </w:p>
    <w:p w:rsidR="00D30759" w:rsidRPr="00D30759" w:rsidRDefault="00802904" w:rsidP="00880DE3">
      <w:pPr>
        <w:tabs>
          <w:tab w:val="left" w:pos="142"/>
          <w:tab w:val="left" w:pos="5954"/>
        </w:tabs>
        <w:spacing w:after="240" w:line="276" w:lineRule="auto"/>
        <w:jc w:val="both"/>
        <w:rPr>
          <w:rFonts w:ascii="ITC Avant Garde" w:eastAsia="Times New Roman" w:hAnsi="ITC Avant Garde" w:cs="Times New Roman"/>
          <w:i/>
          <w:lang w:val="es-ES"/>
        </w:rPr>
      </w:pPr>
      <w:r w:rsidRPr="00FF7876">
        <w:rPr>
          <w:rFonts w:ascii="ITC Avant Garde" w:eastAsia="Times New Roman" w:hAnsi="ITC Avant Garde" w:cs="Times New Roman"/>
          <w:i/>
          <w:lang w:val="es-ES"/>
        </w:rPr>
        <w:t>(Unidad de Concesiones y Servicios)</w:t>
      </w:r>
    </w:p>
    <w:p w:rsidR="003F6F91" w:rsidRPr="00FF7876" w:rsidRDefault="003F6F91" w:rsidP="0080289B">
      <w:pPr>
        <w:tabs>
          <w:tab w:val="left" w:pos="142"/>
          <w:tab w:val="left" w:pos="5954"/>
        </w:tabs>
        <w:spacing w:after="0" w:line="276" w:lineRule="auto"/>
        <w:jc w:val="both"/>
        <w:rPr>
          <w:rFonts w:ascii="ITC Avant Garde" w:eastAsia="Times New Roman" w:hAnsi="ITC Avant Garde" w:cs="Times New Roman"/>
          <w:lang w:val="es-ES"/>
        </w:rPr>
      </w:pPr>
      <w:r w:rsidRPr="00FF7876">
        <w:rPr>
          <w:rFonts w:ascii="ITC Avant Garde" w:eastAsia="Times New Roman" w:hAnsi="ITC Avant Garde" w:cs="Times New Roman"/>
          <w:b/>
          <w:lang w:val="es-ES"/>
        </w:rPr>
        <w:t>III.</w:t>
      </w:r>
      <w:r w:rsidR="00FF56C1">
        <w:rPr>
          <w:rFonts w:ascii="ITC Avant Garde" w:eastAsia="Times New Roman" w:hAnsi="ITC Avant Garde" w:cs="Times New Roman"/>
          <w:b/>
          <w:lang w:val="es-ES"/>
        </w:rPr>
        <w:t>17</w:t>
      </w:r>
      <w:r w:rsidRPr="00FF7876">
        <w:rPr>
          <w:rFonts w:ascii="ITC Avant Garde" w:eastAsia="Times New Roman" w:hAnsi="ITC Avant Garde" w:cs="Times New Roman"/>
          <w:b/>
          <w:lang w:val="es-ES"/>
        </w:rPr>
        <w:t>.-</w:t>
      </w:r>
      <w:r w:rsidRPr="00FF7876">
        <w:rPr>
          <w:rFonts w:ascii="ITC Avant Garde" w:eastAsia="Times New Roman" w:hAnsi="ITC Avant Garde" w:cs="Times New Roman"/>
          <w:lang w:val="es-ES"/>
        </w:rPr>
        <w:t xml:space="preserve"> Resolución mediante la cual el Pleno del Instituto Federal de Telecomunicaciones autoriza la suscripción de acciones de la empresa Ultradigital Puebla, S.A. de C.V., concesionaria para el uso, aprovechamiento y explotación comercial de la frecuencia 92.5 MHz, con distintivo de llamada XHZM-FM en Puebla, Puebla.</w:t>
      </w:r>
    </w:p>
    <w:p w:rsidR="00D30759" w:rsidRDefault="003F6F91" w:rsidP="00880DE3">
      <w:pPr>
        <w:tabs>
          <w:tab w:val="left" w:pos="142"/>
          <w:tab w:val="left" w:pos="5954"/>
        </w:tabs>
        <w:spacing w:after="240" w:line="276" w:lineRule="auto"/>
        <w:jc w:val="both"/>
        <w:rPr>
          <w:rFonts w:ascii="ITC Avant Garde" w:eastAsia="Times New Roman" w:hAnsi="ITC Avant Garde" w:cs="Times New Roman"/>
          <w:i/>
          <w:lang w:val="es-ES"/>
        </w:rPr>
      </w:pPr>
      <w:r w:rsidRPr="00FF7876">
        <w:rPr>
          <w:rFonts w:ascii="ITC Avant Garde" w:eastAsia="Times New Roman" w:hAnsi="ITC Avant Garde" w:cs="Times New Roman"/>
          <w:i/>
          <w:lang w:val="es-ES"/>
        </w:rPr>
        <w:t>(Unidad de Concesiones y Servicios)</w:t>
      </w:r>
    </w:p>
    <w:p w:rsidR="00371B3D" w:rsidRPr="00802904" w:rsidRDefault="00387724"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w:t>
      </w:r>
      <w:r w:rsidR="00FF56C1">
        <w:rPr>
          <w:rFonts w:ascii="ITC Avant Garde" w:eastAsia="Times New Roman" w:hAnsi="ITC Avant Garde" w:cs="Times New Roman"/>
          <w:b/>
          <w:lang w:val="es-ES"/>
        </w:rPr>
        <w:t>18</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371B3D" w:rsidRPr="00802904">
        <w:rPr>
          <w:rFonts w:ascii="ITC Avant Garde" w:eastAsia="Times New Roman" w:hAnsi="ITC Avant Garde" w:cs="Times New Roman"/>
          <w:lang w:val="es-ES"/>
        </w:rPr>
        <w:t>Resolución mediante la cual el Pleno del Instituto Federal de Telecomunicaciones prorroga cinco concesiones para operar y explotar comercialmente frecuencias de radiodifusión, para lo cual otorga cinco concesiones para usar, aprovechar y explotar bandas de frecuencias del espectro radioeléctrico para la prestación del servicio público de Televisión Radiodifundida Digital para uso comercial a favor de Multimedios Televisión, S.A. de C.V.</w:t>
      </w:r>
    </w:p>
    <w:p w:rsidR="00D30759" w:rsidRDefault="00C16FE4" w:rsidP="00880DE3">
      <w:pPr>
        <w:tabs>
          <w:tab w:val="left" w:pos="142"/>
          <w:tab w:val="left" w:pos="5954"/>
        </w:tabs>
        <w:spacing w:after="24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371B3D" w:rsidRPr="00802904" w:rsidRDefault="00387724"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w:t>
      </w:r>
      <w:r w:rsidR="00BB6227" w:rsidRPr="00802904">
        <w:rPr>
          <w:rFonts w:ascii="ITC Avant Garde" w:eastAsia="Times New Roman" w:hAnsi="ITC Avant Garde" w:cs="Times New Roman"/>
          <w:b/>
          <w:lang w:val="es-ES"/>
        </w:rPr>
        <w:t>1</w:t>
      </w:r>
      <w:r w:rsidR="00FF56C1">
        <w:rPr>
          <w:rFonts w:ascii="ITC Avant Garde" w:eastAsia="Times New Roman" w:hAnsi="ITC Avant Garde" w:cs="Times New Roman"/>
          <w:b/>
          <w:lang w:val="es-ES"/>
        </w:rPr>
        <w:t>9</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371B3D" w:rsidRPr="00802904">
        <w:rPr>
          <w:rFonts w:ascii="ITC Avant Garde" w:eastAsia="Times New Roman" w:hAnsi="ITC Avant Garde" w:cs="Times New Roman"/>
          <w:lang w:val="es-ES"/>
        </w:rPr>
        <w:t xml:space="preserve">Resolución mediante la cual el Pleno del Instituto Federal de Telecomunicaciones prorroga dos concesiones para operar y explotar comercialmente frecuencias de radiodifusión, para lo cual otorga dos concesiones para usar, aprovechar y explotar bandas de frecuencias del espectro radioeléctrico para la prestación del servicio público </w:t>
      </w:r>
      <w:r w:rsidR="00C25F7D" w:rsidRPr="00802904">
        <w:rPr>
          <w:rFonts w:ascii="ITC Avant Garde" w:eastAsia="Times New Roman" w:hAnsi="ITC Avant Garde" w:cs="Times New Roman"/>
          <w:lang w:val="es-ES"/>
        </w:rPr>
        <w:t xml:space="preserve">de televisión radiodifundida digital </w:t>
      </w:r>
      <w:r w:rsidR="00371B3D" w:rsidRPr="00802904">
        <w:rPr>
          <w:rFonts w:ascii="ITC Avant Garde" w:eastAsia="Times New Roman" w:hAnsi="ITC Avant Garde" w:cs="Times New Roman"/>
          <w:lang w:val="es-ES"/>
        </w:rPr>
        <w:t>para uso comercial a favor de Televisión Digital, S.A. de C.V.</w:t>
      </w:r>
    </w:p>
    <w:p w:rsidR="00D30759" w:rsidRDefault="00C16FE4" w:rsidP="00880DE3">
      <w:pPr>
        <w:tabs>
          <w:tab w:val="left" w:pos="142"/>
          <w:tab w:val="left" w:pos="5954"/>
        </w:tabs>
        <w:spacing w:after="24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371B3D" w:rsidRPr="00802904" w:rsidRDefault="00BB6227"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w:t>
      </w:r>
      <w:r w:rsidR="00FF56C1">
        <w:rPr>
          <w:rFonts w:ascii="ITC Avant Garde" w:eastAsia="Times New Roman" w:hAnsi="ITC Avant Garde" w:cs="Times New Roman"/>
          <w:b/>
          <w:lang w:val="es-ES"/>
        </w:rPr>
        <w:t>20</w:t>
      </w:r>
      <w:r w:rsidR="00BC501D" w:rsidRPr="00802904">
        <w:rPr>
          <w:rFonts w:ascii="ITC Avant Garde" w:eastAsia="Times New Roman" w:hAnsi="ITC Avant Garde" w:cs="Times New Roman"/>
          <w:b/>
          <w:lang w:val="es-ES"/>
        </w:rPr>
        <w:t>.-</w:t>
      </w:r>
      <w:r w:rsidR="00BC501D" w:rsidRPr="00802904">
        <w:rPr>
          <w:rFonts w:ascii="ITC Avant Garde" w:eastAsia="Times New Roman" w:hAnsi="ITC Avant Garde" w:cs="Times New Roman"/>
          <w:lang w:val="es-ES"/>
        </w:rPr>
        <w:t xml:space="preserve"> </w:t>
      </w:r>
      <w:r w:rsidR="00371B3D" w:rsidRPr="00802904">
        <w:rPr>
          <w:rFonts w:ascii="ITC Avant Garde" w:eastAsia="Times New Roman" w:hAnsi="ITC Avant Garde" w:cs="Times New Roman"/>
          <w:lang w:val="es-ES"/>
        </w:rPr>
        <w:t xml:space="preserve">Resolución mediante la cual el Pleno del Instituto Federal de Telecomunicaciones prorroga ciento veinticinco concesiones para operar y explotar comercialmente frecuencias de radiodifusión, para lo cual otorga una concesión para usar, aprovechar y explotar bandas de frecuencias del espectro radioeléctrico para la prestación del servicio </w:t>
      </w:r>
      <w:r w:rsidR="00C25F7D" w:rsidRPr="00802904">
        <w:rPr>
          <w:rFonts w:ascii="ITC Avant Garde" w:eastAsia="Times New Roman" w:hAnsi="ITC Avant Garde" w:cs="Times New Roman"/>
          <w:lang w:val="es-ES"/>
        </w:rPr>
        <w:t>de televisión radiodifundida digital</w:t>
      </w:r>
      <w:r w:rsidR="00371B3D" w:rsidRPr="00802904">
        <w:rPr>
          <w:rFonts w:ascii="ITC Avant Garde" w:eastAsia="Times New Roman" w:hAnsi="ITC Avant Garde" w:cs="Times New Roman"/>
          <w:lang w:val="es-ES"/>
        </w:rPr>
        <w:t>, así como una concesión que autoriza la prestación del servicio de televisión radiodifundida, ambas para uso comercial, a favor de Televimex, S.A. de C.V.</w:t>
      </w:r>
    </w:p>
    <w:p w:rsidR="00D30759" w:rsidRDefault="00C16FE4" w:rsidP="00D30759">
      <w:pPr>
        <w:tabs>
          <w:tab w:val="left" w:pos="142"/>
          <w:tab w:val="left" w:pos="5954"/>
        </w:tabs>
        <w:spacing w:after="48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371B3D" w:rsidRPr="00802904" w:rsidRDefault="00BC501D"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lastRenderedPageBreak/>
        <w:t>III.</w:t>
      </w:r>
      <w:r w:rsidR="00FF56C1">
        <w:rPr>
          <w:rFonts w:ascii="ITC Avant Garde" w:eastAsia="Times New Roman" w:hAnsi="ITC Avant Garde" w:cs="Times New Roman"/>
          <w:b/>
          <w:lang w:val="es-ES"/>
        </w:rPr>
        <w:t>21</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371B3D" w:rsidRPr="00802904">
        <w:rPr>
          <w:rFonts w:ascii="ITC Avant Garde" w:eastAsia="Times New Roman" w:hAnsi="ITC Avant Garde" w:cs="Times New Roman"/>
          <w:lang w:val="es-ES"/>
        </w:rPr>
        <w:t xml:space="preserve">Resolución mediante la cual el Pleno del Instituto Federal de Telecomunicaciones prorroga sesenta y tres concesiones para operar y explotar comercialmente frecuencias de radiodifusión, para lo cual otorga una concesión para usar, aprovechar y explotar bandas de frecuencias del espectro radioeléctrico para la prestación del servicio de </w:t>
      </w:r>
      <w:r w:rsidR="00C25F7D" w:rsidRPr="00802904">
        <w:rPr>
          <w:rFonts w:ascii="ITC Avant Garde" w:eastAsia="Times New Roman" w:hAnsi="ITC Avant Garde" w:cs="Times New Roman"/>
          <w:lang w:val="es-ES"/>
        </w:rPr>
        <w:t>televisión radiodifundida digital, así como una concesión que autoriza la prestación del servicio de televisión radiodifundida</w:t>
      </w:r>
      <w:r w:rsidR="00371B3D" w:rsidRPr="00802904">
        <w:rPr>
          <w:rFonts w:ascii="ITC Avant Garde" w:eastAsia="Times New Roman" w:hAnsi="ITC Avant Garde" w:cs="Times New Roman"/>
          <w:lang w:val="es-ES"/>
        </w:rPr>
        <w:t>, ambas para uso comercial, a favor de Radio Televisión, S.A. de C.V.</w:t>
      </w:r>
    </w:p>
    <w:p w:rsidR="00D30759" w:rsidRDefault="00C16FE4" w:rsidP="00F209AC">
      <w:pPr>
        <w:tabs>
          <w:tab w:val="left" w:pos="142"/>
          <w:tab w:val="left" w:pos="5954"/>
        </w:tabs>
        <w:spacing w:after="60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371B3D" w:rsidRPr="00802904" w:rsidRDefault="00BC501D"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w:t>
      </w:r>
      <w:r w:rsidR="00BB6227" w:rsidRPr="00802904">
        <w:rPr>
          <w:rFonts w:ascii="ITC Avant Garde" w:eastAsia="Times New Roman" w:hAnsi="ITC Avant Garde" w:cs="Times New Roman"/>
          <w:b/>
          <w:lang w:val="es-ES"/>
        </w:rPr>
        <w:t>2</w:t>
      </w:r>
      <w:r w:rsidR="00FF56C1">
        <w:rPr>
          <w:rFonts w:ascii="ITC Avant Garde" w:eastAsia="Times New Roman" w:hAnsi="ITC Avant Garde" w:cs="Times New Roman"/>
          <w:b/>
          <w:lang w:val="es-ES"/>
        </w:rPr>
        <w:t>2</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371B3D" w:rsidRPr="00802904">
        <w:rPr>
          <w:rFonts w:ascii="ITC Avant Garde" w:eastAsia="Times New Roman" w:hAnsi="ITC Avant Garde" w:cs="Times New Roman"/>
          <w:lang w:val="es-ES"/>
        </w:rPr>
        <w:t xml:space="preserve">Resolución mediante la cual el Pleno del Instituto Federal de Telecomunicaciones prorroga diecisiete concesiones para operar y explotar comercialmente frecuencias de radiodifusión, para lo cual otorga una concesión para usar, aprovechar y explotar bandas de frecuencias del espectro radioeléctrico para la prestación del servicio de </w:t>
      </w:r>
      <w:r w:rsidR="00C25F7D" w:rsidRPr="00802904">
        <w:rPr>
          <w:rFonts w:ascii="ITC Avant Garde" w:eastAsia="Times New Roman" w:hAnsi="ITC Avant Garde" w:cs="Times New Roman"/>
          <w:lang w:val="es-ES"/>
        </w:rPr>
        <w:t xml:space="preserve">televisión radiodifundida digital, así como una concesión que autoriza la prestación del </w:t>
      </w:r>
      <w:r w:rsidR="00371B3D" w:rsidRPr="00802904">
        <w:rPr>
          <w:rFonts w:ascii="ITC Avant Garde" w:eastAsia="Times New Roman" w:hAnsi="ITC Avant Garde" w:cs="Times New Roman"/>
          <w:lang w:val="es-ES"/>
        </w:rPr>
        <w:t>servicio de televisión radiodifundida, ambas para uso comercial, a favor de Teleimagen del Noroeste, S.A. de C.V.</w:t>
      </w:r>
    </w:p>
    <w:p w:rsidR="00D30759" w:rsidRDefault="00C16FE4" w:rsidP="00F209AC">
      <w:pPr>
        <w:tabs>
          <w:tab w:val="left" w:pos="142"/>
          <w:tab w:val="left" w:pos="5954"/>
        </w:tabs>
        <w:spacing w:after="60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371B3D" w:rsidRPr="00802904" w:rsidRDefault="00BC501D"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w:t>
      </w:r>
      <w:r w:rsidR="00BB6227" w:rsidRPr="00802904">
        <w:rPr>
          <w:rFonts w:ascii="ITC Avant Garde" w:eastAsia="Times New Roman" w:hAnsi="ITC Avant Garde" w:cs="Times New Roman"/>
          <w:b/>
          <w:lang w:val="es-ES"/>
        </w:rPr>
        <w:t>2</w:t>
      </w:r>
      <w:r w:rsidR="00FF56C1">
        <w:rPr>
          <w:rFonts w:ascii="ITC Avant Garde" w:eastAsia="Times New Roman" w:hAnsi="ITC Avant Garde" w:cs="Times New Roman"/>
          <w:b/>
          <w:lang w:val="es-ES"/>
        </w:rPr>
        <w:t>3</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371B3D" w:rsidRPr="00802904">
        <w:rPr>
          <w:rFonts w:ascii="ITC Avant Garde" w:eastAsia="Times New Roman" w:hAnsi="ITC Avant Garde" w:cs="Times New Roman"/>
          <w:lang w:val="es-ES"/>
        </w:rPr>
        <w:t xml:space="preserve">Resolución mediante la cual el Pleno del Instituto Federal de Telecomunicaciones prorroga diecisiete concesiones para operar y explotar comercialmente frecuencias de radiodifusión, para lo cual otorga diecisiete concesiones para usar, aprovechar y explotar bandas de frecuencias del espectro radioeléctrico para la prestación del servicio de </w:t>
      </w:r>
      <w:r w:rsidR="00C25F7D" w:rsidRPr="00802904">
        <w:rPr>
          <w:rFonts w:ascii="ITC Avant Garde" w:eastAsia="Times New Roman" w:hAnsi="ITC Avant Garde" w:cs="Times New Roman"/>
          <w:lang w:val="es-ES"/>
        </w:rPr>
        <w:t>televisión radiodifundida digital</w:t>
      </w:r>
      <w:r w:rsidR="00371B3D" w:rsidRPr="00802904">
        <w:rPr>
          <w:rFonts w:ascii="ITC Avant Garde" w:eastAsia="Times New Roman" w:hAnsi="ITC Avant Garde" w:cs="Times New Roman"/>
          <w:lang w:val="es-ES"/>
        </w:rPr>
        <w:t>, así como una concesión que autoriza la prestación del servicio de televisión radiodifundida, todas para uso comercial, a favor de Televisora de Occidente, S.A. de C.V.</w:t>
      </w:r>
    </w:p>
    <w:p w:rsidR="00D30759" w:rsidRDefault="00C16FE4" w:rsidP="00F209AC">
      <w:pPr>
        <w:tabs>
          <w:tab w:val="left" w:pos="142"/>
          <w:tab w:val="left" w:pos="5954"/>
        </w:tabs>
        <w:spacing w:after="60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371B3D" w:rsidRPr="00802904" w:rsidRDefault="00BC501D"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w:t>
      </w:r>
      <w:r w:rsidR="00BB6227" w:rsidRPr="00802904">
        <w:rPr>
          <w:rFonts w:ascii="ITC Avant Garde" w:eastAsia="Times New Roman" w:hAnsi="ITC Avant Garde" w:cs="Times New Roman"/>
          <w:b/>
          <w:lang w:val="es-ES"/>
        </w:rPr>
        <w:t>2</w:t>
      </w:r>
      <w:r w:rsidR="00FF56C1">
        <w:rPr>
          <w:rFonts w:ascii="ITC Avant Garde" w:eastAsia="Times New Roman" w:hAnsi="ITC Avant Garde" w:cs="Times New Roman"/>
          <w:b/>
          <w:lang w:val="es-ES"/>
        </w:rPr>
        <w:t>4</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371B3D" w:rsidRPr="00802904">
        <w:rPr>
          <w:rFonts w:ascii="ITC Avant Garde" w:eastAsia="Times New Roman" w:hAnsi="ITC Avant Garde" w:cs="Times New Roman"/>
          <w:lang w:val="es-ES"/>
        </w:rPr>
        <w:t xml:space="preserve">Resolución mediante la cual el Pleno del Instituto Federal de Telecomunicaciones prorroga tres concesiones para operar y explotar comercialmente frecuencias de radiodifusión, para lo cual otorga una concesión para usar, aprovechar y explotar bandas de frecuencias del espectro radioeléctrico para la prestación del servicio de </w:t>
      </w:r>
      <w:r w:rsidR="00C25F7D" w:rsidRPr="00802904">
        <w:rPr>
          <w:rFonts w:ascii="ITC Avant Garde" w:eastAsia="Times New Roman" w:hAnsi="ITC Avant Garde" w:cs="Times New Roman"/>
          <w:lang w:val="es-ES"/>
        </w:rPr>
        <w:t xml:space="preserve">televisión radiodifundida digital </w:t>
      </w:r>
      <w:r w:rsidR="00371B3D" w:rsidRPr="00802904">
        <w:rPr>
          <w:rFonts w:ascii="ITC Avant Garde" w:eastAsia="Times New Roman" w:hAnsi="ITC Avant Garde" w:cs="Times New Roman"/>
          <w:lang w:val="es-ES"/>
        </w:rPr>
        <w:t>y, en su caso, una concesión que autoriza la prestación del servicio de televisión radiodifundida, ambas para uso comercial</w:t>
      </w:r>
      <w:r w:rsidR="001D01AB" w:rsidRPr="00802904">
        <w:rPr>
          <w:rFonts w:ascii="ITC Avant Garde" w:eastAsia="Times New Roman" w:hAnsi="ITC Avant Garde" w:cs="Times New Roman"/>
          <w:lang w:val="es-ES"/>
        </w:rPr>
        <w:t>.</w:t>
      </w:r>
    </w:p>
    <w:p w:rsidR="00D30759" w:rsidRDefault="00C16FE4" w:rsidP="00880DE3">
      <w:pPr>
        <w:tabs>
          <w:tab w:val="left" w:pos="142"/>
          <w:tab w:val="left" w:pos="5954"/>
        </w:tabs>
        <w:spacing w:after="24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371B3D" w:rsidRPr="00802904" w:rsidRDefault="00BC501D" w:rsidP="00F209AC">
      <w:pPr>
        <w:keepNext/>
        <w:keepLines/>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lastRenderedPageBreak/>
        <w:t>III.</w:t>
      </w:r>
      <w:r w:rsidR="00BB6227" w:rsidRPr="00802904">
        <w:rPr>
          <w:rFonts w:ascii="ITC Avant Garde" w:eastAsia="Times New Roman" w:hAnsi="ITC Avant Garde" w:cs="Times New Roman"/>
          <w:b/>
          <w:lang w:val="es-ES"/>
        </w:rPr>
        <w:t>2</w:t>
      </w:r>
      <w:r w:rsidR="00FF56C1">
        <w:rPr>
          <w:rFonts w:ascii="ITC Avant Garde" w:eastAsia="Times New Roman" w:hAnsi="ITC Avant Garde" w:cs="Times New Roman"/>
          <w:b/>
          <w:lang w:val="es-ES"/>
        </w:rPr>
        <w:t>5</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371B3D" w:rsidRPr="00802904">
        <w:rPr>
          <w:rFonts w:ascii="ITC Avant Garde" w:eastAsia="Times New Roman" w:hAnsi="ITC Avant Garde" w:cs="Times New Roman"/>
          <w:lang w:val="es-ES"/>
        </w:rPr>
        <w:t xml:space="preserve">Resolución mediante la cual el Pleno del Instituto Federal de Telecomunicaciones prorroga la concesión para operar y explotar comercialmente frecuencias de radiodifusión, para lo cual otorga una concesión para usar, aprovechar y explotar </w:t>
      </w:r>
      <w:r w:rsidR="00C25F7D" w:rsidRPr="00802904">
        <w:rPr>
          <w:rFonts w:ascii="ITC Avant Garde" w:eastAsia="Times New Roman" w:hAnsi="ITC Avant Garde" w:cs="Times New Roman"/>
          <w:lang w:val="es-ES"/>
        </w:rPr>
        <w:t xml:space="preserve">bandas de frecuencias del espectro radioeléctrico para la prestación del servicio de televisión radiodifundida digital para </w:t>
      </w:r>
      <w:r w:rsidR="00371B3D" w:rsidRPr="00802904">
        <w:rPr>
          <w:rFonts w:ascii="ITC Avant Garde" w:eastAsia="Times New Roman" w:hAnsi="ITC Avant Garde" w:cs="Times New Roman"/>
          <w:lang w:val="es-ES"/>
        </w:rPr>
        <w:t>uso comercial, a favor de Televisora del Valle de México, S.A.P.I. de C.V.</w:t>
      </w:r>
    </w:p>
    <w:p w:rsidR="00D30759" w:rsidRDefault="00C16FE4" w:rsidP="00880DE3">
      <w:pPr>
        <w:tabs>
          <w:tab w:val="left" w:pos="142"/>
          <w:tab w:val="left" w:pos="5954"/>
        </w:tabs>
        <w:spacing w:after="36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371B3D" w:rsidRPr="00802904" w:rsidRDefault="00BC501D"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w:t>
      </w:r>
      <w:r w:rsidR="00BB6227" w:rsidRPr="00802904">
        <w:rPr>
          <w:rFonts w:ascii="ITC Avant Garde" w:eastAsia="Times New Roman" w:hAnsi="ITC Avant Garde" w:cs="Times New Roman"/>
          <w:b/>
          <w:lang w:val="es-ES"/>
        </w:rPr>
        <w:t>2</w:t>
      </w:r>
      <w:r w:rsidR="00FF56C1">
        <w:rPr>
          <w:rFonts w:ascii="ITC Avant Garde" w:eastAsia="Times New Roman" w:hAnsi="ITC Avant Garde" w:cs="Times New Roman"/>
          <w:b/>
          <w:lang w:val="es-ES"/>
        </w:rPr>
        <w:t>6</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371B3D" w:rsidRPr="00802904">
        <w:rPr>
          <w:rFonts w:ascii="ITC Avant Garde" w:eastAsia="Times New Roman" w:hAnsi="ITC Avant Garde" w:cs="Times New Roman"/>
          <w:lang w:val="es-ES"/>
        </w:rPr>
        <w:t xml:space="preserve">Resolución mediante la cual el Pleno del Instituto Federal de Telecomunicaciones prorroga ciento setenta y ocho concesiones para operar y explotar comercialmente frecuencias de radiodifusión, para lo cual otorga dos concesiones para usar, aprovechar y explotar bandas de frecuencias del espectro radioeléctrico para la prestación del servicio </w:t>
      </w:r>
      <w:r w:rsidR="00C25F7D" w:rsidRPr="00802904">
        <w:rPr>
          <w:rFonts w:ascii="ITC Avant Garde" w:eastAsia="Times New Roman" w:hAnsi="ITC Avant Garde" w:cs="Times New Roman"/>
          <w:lang w:val="es-ES"/>
        </w:rPr>
        <w:t xml:space="preserve">de televisión radiodifundida digital </w:t>
      </w:r>
      <w:r w:rsidR="00371B3D" w:rsidRPr="00802904">
        <w:rPr>
          <w:rFonts w:ascii="ITC Avant Garde" w:eastAsia="Times New Roman" w:hAnsi="ITC Avant Garde" w:cs="Times New Roman"/>
          <w:lang w:val="es-ES"/>
        </w:rPr>
        <w:t>para uso comercial, a favor de Televisión Azteca, S.A. de C.V.</w:t>
      </w:r>
    </w:p>
    <w:p w:rsidR="00D30759" w:rsidRDefault="00C16FE4" w:rsidP="00880DE3">
      <w:pPr>
        <w:tabs>
          <w:tab w:val="left" w:pos="142"/>
          <w:tab w:val="left" w:pos="5954"/>
        </w:tabs>
        <w:spacing w:after="360" w:line="276" w:lineRule="auto"/>
        <w:jc w:val="both"/>
        <w:rPr>
          <w:rFonts w:ascii="ITC Avant Garde" w:eastAsia="Times New Roman" w:hAnsi="ITC Avant Garde" w:cs="Times New Roman"/>
          <w:i/>
          <w:lang w:val="es-ES"/>
        </w:rPr>
      </w:pPr>
      <w:r w:rsidRPr="00802904">
        <w:rPr>
          <w:rFonts w:ascii="ITC Avant Garde" w:eastAsia="Times New Roman" w:hAnsi="ITC Avant Garde" w:cs="Times New Roman"/>
          <w:i/>
          <w:lang w:val="es-ES"/>
        </w:rPr>
        <w:t>(Unidad de Concesiones y Servicios)</w:t>
      </w:r>
    </w:p>
    <w:p w:rsidR="0037734B" w:rsidRDefault="00105DA0"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III.2</w:t>
      </w:r>
      <w:r>
        <w:rPr>
          <w:rFonts w:ascii="ITC Avant Garde" w:eastAsia="Times New Roman" w:hAnsi="ITC Avant Garde" w:cs="Times New Roman"/>
          <w:b/>
          <w:lang w:val="es-ES"/>
        </w:rPr>
        <w:t>7</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37734B" w:rsidRPr="0037734B">
        <w:rPr>
          <w:rFonts w:ascii="ITC Avant Garde" w:eastAsia="Times New Roman" w:hAnsi="ITC Avant Garde" w:cs="Times New Roman"/>
          <w:lang w:val="es-ES"/>
        </w:rPr>
        <w:t xml:space="preserve">Resolución mediante la cual el Pleno </w:t>
      </w:r>
      <w:r w:rsidR="0037734B">
        <w:rPr>
          <w:rFonts w:ascii="ITC Avant Garde" w:eastAsia="Times New Roman" w:hAnsi="ITC Avant Garde" w:cs="Times New Roman"/>
          <w:lang w:val="es-ES"/>
        </w:rPr>
        <w:t>del Instituto Federal d</w:t>
      </w:r>
      <w:r w:rsidR="0037734B" w:rsidRPr="0037734B">
        <w:rPr>
          <w:rFonts w:ascii="ITC Avant Garde" w:eastAsia="Times New Roman" w:hAnsi="ITC Avant Garde" w:cs="Times New Roman"/>
          <w:lang w:val="es-ES"/>
        </w:rPr>
        <w:t xml:space="preserve">e Telecomunicaciones autoriza a Cadena Tres I, S.A. </w:t>
      </w:r>
      <w:r w:rsidR="0037734B">
        <w:rPr>
          <w:rFonts w:ascii="ITC Avant Garde" w:eastAsia="Times New Roman" w:hAnsi="ITC Avant Garde" w:cs="Times New Roman"/>
          <w:lang w:val="es-ES"/>
        </w:rPr>
        <w:t>d</w:t>
      </w:r>
      <w:r w:rsidR="0037734B" w:rsidRPr="0037734B">
        <w:rPr>
          <w:rFonts w:ascii="ITC Avant Garde" w:eastAsia="Times New Roman" w:hAnsi="ITC Avant Garde" w:cs="Times New Roman"/>
          <w:lang w:val="es-ES"/>
        </w:rPr>
        <w:t>e C.V., la postergación de la fecha de inicio de transmisiones para prestar el servicio de radiodifusión a través de la multiprogramación, en relación con la estación de televisión con distintivo de llamada XHCTCH-TDT</w:t>
      </w:r>
      <w:r w:rsidR="0037734B">
        <w:rPr>
          <w:rFonts w:ascii="ITC Avant Garde" w:eastAsia="Times New Roman" w:hAnsi="ITC Avant Garde" w:cs="Times New Roman"/>
          <w:lang w:val="es-ES"/>
        </w:rPr>
        <w:t>, e</w:t>
      </w:r>
      <w:r w:rsidR="0037734B" w:rsidRPr="0037734B">
        <w:rPr>
          <w:rFonts w:ascii="ITC Avant Garde" w:eastAsia="Times New Roman" w:hAnsi="ITC Avant Garde" w:cs="Times New Roman"/>
          <w:lang w:val="es-ES"/>
        </w:rPr>
        <w:t>n Chihuahua, Chihuahua, autorizada mediante Acuerdo P/IFT/060618</w:t>
      </w:r>
      <w:r w:rsidR="0037734B">
        <w:rPr>
          <w:rFonts w:ascii="ITC Avant Garde" w:eastAsia="Times New Roman" w:hAnsi="ITC Avant Garde" w:cs="Times New Roman"/>
          <w:lang w:val="es-ES"/>
        </w:rPr>
        <w:t>/417.</w:t>
      </w:r>
    </w:p>
    <w:p w:rsidR="00D30759" w:rsidRDefault="0037734B" w:rsidP="00880DE3">
      <w:pPr>
        <w:tabs>
          <w:tab w:val="left" w:pos="142"/>
          <w:tab w:val="left" w:pos="5954"/>
        </w:tabs>
        <w:spacing w:after="36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Medios y Contenidos Audiovisuales)</w:t>
      </w:r>
    </w:p>
    <w:p w:rsidR="0037734B" w:rsidRDefault="00105DA0" w:rsidP="0080289B">
      <w:pPr>
        <w:tabs>
          <w:tab w:val="left" w:pos="142"/>
          <w:tab w:val="left" w:pos="5954"/>
        </w:tabs>
        <w:spacing w:after="0" w:line="276" w:lineRule="auto"/>
        <w:jc w:val="both"/>
        <w:rPr>
          <w:rFonts w:ascii="ITC Avant Garde" w:eastAsia="Times New Roman" w:hAnsi="ITC Avant Garde" w:cs="Times New Roman"/>
          <w:lang w:val="es-ES"/>
        </w:rPr>
      </w:pPr>
      <w:r w:rsidRPr="00802904">
        <w:rPr>
          <w:rFonts w:ascii="ITC Avant Garde" w:eastAsia="Times New Roman" w:hAnsi="ITC Avant Garde" w:cs="Times New Roman"/>
          <w:b/>
          <w:lang w:val="es-ES"/>
        </w:rPr>
        <w:t>III.2</w:t>
      </w:r>
      <w:r>
        <w:rPr>
          <w:rFonts w:ascii="ITC Avant Garde" w:eastAsia="Times New Roman" w:hAnsi="ITC Avant Garde" w:cs="Times New Roman"/>
          <w:b/>
          <w:lang w:val="es-ES"/>
        </w:rPr>
        <w:t>8</w:t>
      </w:r>
      <w:r w:rsidRPr="00802904">
        <w:rPr>
          <w:rFonts w:ascii="ITC Avant Garde" w:eastAsia="Times New Roman" w:hAnsi="ITC Avant Garde" w:cs="Times New Roman"/>
          <w:b/>
          <w:lang w:val="es-ES"/>
        </w:rPr>
        <w:t>.-</w:t>
      </w:r>
      <w:r w:rsidRPr="00802904">
        <w:rPr>
          <w:rFonts w:ascii="ITC Avant Garde" w:eastAsia="Times New Roman" w:hAnsi="ITC Avant Garde" w:cs="Times New Roman"/>
          <w:lang w:val="es-ES"/>
        </w:rPr>
        <w:t xml:space="preserve"> </w:t>
      </w:r>
      <w:r w:rsidR="009E7DFB" w:rsidRPr="0037734B">
        <w:rPr>
          <w:rFonts w:ascii="ITC Avant Garde" w:eastAsia="Times New Roman" w:hAnsi="ITC Avant Garde" w:cs="Times New Roman"/>
          <w:lang w:val="es-ES"/>
        </w:rPr>
        <w:t xml:space="preserve">Resolución mediante la cual el Pleno </w:t>
      </w:r>
      <w:r w:rsidR="009E7DFB">
        <w:rPr>
          <w:rFonts w:ascii="ITC Avant Garde" w:eastAsia="Times New Roman" w:hAnsi="ITC Avant Garde" w:cs="Times New Roman"/>
          <w:lang w:val="es-ES"/>
        </w:rPr>
        <w:t>d</w:t>
      </w:r>
      <w:r w:rsidR="009E7DFB" w:rsidRPr="0037734B">
        <w:rPr>
          <w:rFonts w:ascii="ITC Avant Garde" w:eastAsia="Times New Roman" w:hAnsi="ITC Avant Garde" w:cs="Times New Roman"/>
          <w:lang w:val="es-ES"/>
        </w:rPr>
        <w:t xml:space="preserve">el Instituto Federal </w:t>
      </w:r>
      <w:r w:rsidR="009E7DFB">
        <w:rPr>
          <w:rFonts w:ascii="ITC Avant Garde" w:eastAsia="Times New Roman" w:hAnsi="ITC Avant Garde" w:cs="Times New Roman"/>
          <w:lang w:val="es-ES"/>
        </w:rPr>
        <w:t>d</w:t>
      </w:r>
      <w:r w:rsidR="009E7DFB" w:rsidRPr="0037734B">
        <w:rPr>
          <w:rFonts w:ascii="ITC Avant Garde" w:eastAsia="Times New Roman" w:hAnsi="ITC Avant Garde" w:cs="Times New Roman"/>
          <w:lang w:val="es-ES"/>
        </w:rPr>
        <w:t xml:space="preserve">e Telecomunicaciones autoriza a </w:t>
      </w:r>
      <w:r w:rsidR="009E7DFB">
        <w:rPr>
          <w:rFonts w:ascii="ITC Avant Garde" w:eastAsia="Times New Roman" w:hAnsi="ITC Avant Garde" w:cs="Times New Roman"/>
          <w:lang w:val="es-ES"/>
        </w:rPr>
        <w:t>Cadena Tres I, S.A. d</w:t>
      </w:r>
      <w:r w:rsidR="009E7DFB" w:rsidRPr="0037734B">
        <w:rPr>
          <w:rFonts w:ascii="ITC Avant Garde" w:eastAsia="Times New Roman" w:hAnsi="ITC Avant Garde" w:cs="Times New Roman"/>
          <w:lang w:val="es-ES"/>
        </w:rPr>
        <w:t>e C.V., la postergación de la fecha de inicio de transmisiones para prestar el servicio de radiodifusión a través de la multiprogramación, en relación con la estación de televisión con distintivo de llamada XHCTCJ-TDT</w:t>
      </w:r>
      <w:r w:rsidR="009E7DFB">
        <w:rPr>
          <w:rFonts w:ascii="ITC Avant Garde" w:eastAsia="Times New Roman" w:hAnsi="ITC Avant Garde" w:cs="Times New Roman"/>
          <w:lang w:val="es-ES"/>
        </w:rPr>
        <w:t>, e</w:t>
      </w:r>
      <w:r w:rsidR="009E7DFB" w:rsidRPr="0037734B">
        <w:rPr>
          <w:rFonts w:ascii="ITC Avant Garde" w:eastAsia="Times New Roman" w:hAnsi="ITC Avant Garde" w:cs="Times New Roman"/>
          <w:lang w:val="es-ES"/>
        </w:rPr>
        <w:t>n Ciudad Juárez, Chihuahua, autorizada mediante Acuerdo P/IFT/060618/418.</w:t>
      </w:r>
    </w:p>
    <w:p w:rsidR="00D30759" w:rsidRDefault="0037734B" w:rsidP="00D30759">
      <w:pPr>
        <w:tabs>
          <w:tab w:val="left" w:pos="142"/>
          <w:tab w:val="left" w:pos="5954"/>
        </w:tabs>
        <w:spacing w:after="48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(Unidad de Medios y Contenidos Audiovisuales)</w:t>
      </w:r>
    </w:p>
    <w:sectPr w:rsidR="00D30759" w:rsidSect="000C21FE">
      <w:headerReference w:type="default" r:id="rId10"/>
      <w:pgSz w:w="12240" w:h="15840"/>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9E" w:rsidRDefault="005E349E">
      <w:pPr>
        <w:spacing w:after="0" w:line="240" w:lineRule="auto"/>
      </w:pPr>
      <w:r>
        <w:separator/>
      </w:r>
    </w:p>
  </w:endnote>
  <w:endnote w:type="continuationSeparator" w:id="0">
    <w:p w:rsidR="005E349E" w:rsidRDefault="005E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0C" w:rsidRPr="00563A24" w:rsidRDefault="003806AF" w:rsidP="00563A24">
    <w:pPr>
      <w:pStyle w:val="Piedepgina"/>
      <w:jc w:val="right"/>
      <w:rPr>
        <w:rFonts w:ascii="ITC Avant Garde" w:hAnsi="ITC Avant Garde"/>
        <w:sz w:val="14"/>
        <w:szCs w:val="14"/>
      </w:rPr>
    </w:pPr>
    <w:sdt>
      <w:sdtPr>
        <w:id w:val="-1508056828"/>
        <w:docPartObj>
          <w:docPartGallery w:val="Page Numbers (Bottom of Page)"/>
          <w:docPartUnique/>
        </w:docPartObj>
      </w:sdtPr>
      <w:sdtEndPr>
        <w:rPr>
          <w:rFonts w:ascii="ITC Avant Garde" w:hAnsi="ITC Avant Garde"/>
          <w:sz w:val="14"/>
          <w:szCs w:val="14"/>
        </w:rPr>
      </w:sdtEndPr>
      <w:sdtContent>
        <w:r w:rsidR="0038450C" w:rsidRPr="00B50BC7">
          <w:rPr>
            <w:rFonts w:ascii="ITC Avant Garde" w:hAnsi="ITC Avant Garde"/>
            <w:sz w:val="14"/>
            <w:szCs w:val="14"/>
          </w:rPr>
          <w:fldChar w:fldCharType="begin"/>
        </w:r>
        <w:r w:rsidR="0038450C" w:rsidRPr="00B50BC7">
          <w:rPr>
            <w:rFonts w:ascii="ITC Avant Garde" w:hAnsi="ITC Avant Garde"/>
            <w:sz w:val="14"/>
            <w:szCs w:val="14"/>
          </w:rPr>
          <w:instrText>PAGE   \* MERGEFORMAT</w:instrText>
        </w:r>
        <w:r w:rsidR="0038450C" w:rsidRPr="00B50BC7">
          <w:rPr>
            <w:rFonts w:ascii="ITC Avant Garde" w:hAnsi="ITC Avant Garde"/>
            <w:sz w:val="14"/>
            <w:szCs w:val="14"/>
          </w:rPr>
          <w:fldChar w:fldCharType="separate"/>
        </w:r>
        <w:r w:rsidRPr="003806AF">
          <w:rPr>
            <w:rFonts w:ascii="ITC Avant Garde" w:hAnsi="ITC Avant Garde"/>
            <w:noProof/>
            <w:sz w:val="14"/>
            <w:szCs w:val="14"/>
            <w:lang w:val="es-ES"/>
          </w:rPr>
          <w:t>4</w:t>
        </w:r>
        <w:r w:rsidR="0038450C" w:rsidRPr="00B50BC7">
          <w:rPr>
            <w:rFonts w:ascii="ITC Avant Garde" w:hAnsi="ITC Avant Garde"/>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9E" w:rsidRDefault="005E349E">
      <w:pPr>
        <w:spacing w:after="0" w:line="240" w:lineRule="auto"/>
      </w:pPr>
      <w:r>
        <w:separator/>
      </w:r>
    </w:p>
  </w:footnote>
  <w:footnote w:type="continuationSeparator" w:id="0">
    <w:p w:rsidR="005E349E" w:rsidRDefault="005E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DE3" w:rsidRDefault="00880D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0C" w:rsidRDefault="001A5E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4D0E"/>
    <w:multiLevelType w:val="hybridMultilevel"/>
    <w:tmpl w:val="BBA2AE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9E0024"/>
    <w:multiLevelType w:val="hybridMultilevel"/>
    <w:tmpl w:val="4A285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CF42920"/>
    <w:multiLevelType w:val="hybridMultilevel"/>
    <w:tmpl w:val="C90A16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6A22F1"/>
    <w:multiLevelType w:val="hybridMultilevel"/>
    <w:tmpl w:val="5EE4D1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C1177F"/>
    <w:multiLevelType w:val="hybridMultilevel"/>
    <w:tmpl w:val="3C6EC1C8"/>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9"/>
  </w:num>
  <w:num w:numId="3">
    <w:abstractNumId w:val="14"/>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0"/>
  </w:num>
  <w:num w:numId="11">
    <w:abstractNumId w:val="15"/>
  </w:num>
  <w:num w:numId="12">
    <w:abstractNumId w:val="0"/>
  </w:num>
  <w:num w:numId="13">
    <w:abstractNumId w:val="20"/>
  </w:num>
  <w:num w:numId="14">
    <w:abstractNumId w:val="14"/>
  </w:num>
  <w:num w:numId="15">
    <w:abstractNumId w:val="8"/>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7"/>
  </w:num>
  <w:num w:numId="23">
    <w:abstractNumId w:val="18"/>
  </w:num>
  <w:num w:numId="24">
    <w:abstractNumId w:val="24"/>
  </w:num>
  <w:num w:numId="25">
    <w:abstractNumId w:val="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1E12"/>
    <w:rsid w:val="000020B1"/>
    <w:rsid w:val="00003737"/>
    <w:rsid w:val="00004003"/>
    <w:rsid w:val="00006749"/>
    <w:rsid w:val="00006B95"/>
    <w:rsid w:val="0000794F"/>
    <w:rsid w:val="00007B7F"/>
    <w:rsid w:val="00007DD2"/>
    <w:rsid w:val="00010E76"/>
    <w:rsid w:val="000118CE"/>
    <w:rsid w:val="00011B19"/>
    <w:rsid w:val="00011D46"/>
    <w:rsid w:val="00012A0A"/>
    <w:rsid w:val="00014811"/>
    <w:rsid w:val="00016FA4"/>
    <w:rsid w:val="00017594"/>
    <w:rsid w:val="000178AA"/>
    <w:rsid w:val="0002050F"/>
    <w:rsid w:val="00020815"/>
    <w:rsid w:val="000216B3"/>
    <w:rsid w:val="00021F66"/>
    <w:rsid w:val="000222C5"/>
    <w:rsid w:val="0002377A"/>
    <w:rsid w:val="000248BB"/>
    <w:rsid w:val="00024BF7"/>
    <w:rsid w:val="00024E57"/>
    <w:rsid w:val="000254C8"/>
    <w:rsid w:val="0002582C"/>
    <w:rsid w:val="00027741"/>
    <w:rsid w:val="000279CB"/>
    <w:rsid w:val="00027C69"/>
    <w:rsid w:val="0003120E"/>
    <w:rsid w:val="000312AC"/>
    <w:rsid w:val="000312BF"/>
    <w:rsid w:val="00031BEA"/>
    <w:rsid w:val="00032B32"/>
    <w:rsid w:val="0003390B"/>
    <w:rsid w:val="00033CCC"/>
    <w:rsid w:val="00034DC0"/>
    <w:rsid w:val="00035294"/>
    <w:rsid w:val="00035463"/>
    <w:rsid w:val="00035477"/>
    <w:rsid w:val="00035DED"/>
    <w:rsid w:val="00035EB4"/>
    <w:rsid w:val="00037654"/>
    <w:rsid w:val="00041250"/>
    <w:rsid w:val="00041289"/>
    <w:rsid w:val="000413D2"/>
    <w:rsid w:val="0004167C"/>
    <w:rsid w:val="000427FE"/>
    <w:rsid w:val="000439F2"/>
    <w:rsid w:val="00043ED9"/>
    <w:rsid w:val="000443D5"/>
    <w:rsid w:val="00044571"/>
    <w:rsid w:val="0004697F"/>
    <w:rsid w:val="000506E8"/>
    <w:rsid w:val="00050816"/>
    <w:rsid w:val="00051E93"/>
    <w:rsid w:val="00052554"/>
    <w:rsid w:val="00052FFC"/>
    <w:rsid w:val="00054A9A"/>
    <w:rsid w:val="00055048"/>
    <w:rsid w:val="0005625B"/>
    <w:rsid w:val="00057245"/>
    <w:rsid w:val="00057602"/>
    <w:rsid w:val="00057F1E"/>
    <w:rsid w:val="0006103D"/>
    <w:rsid w:val="00061531"/>
    <w:rsid w:val="00061927"/>
    <w:rsid w:val="00061AA2"/>
    <w:rsid w:val="00062C82"/>
    <w:rsid w:val="00064412"/>
    <w:rsid w:val="0006589A"/>
    <w:rsid w:val="00065AE0"/>
    <w:rsid w:val="00066D1F"/>
    <w:rsid w:val="000673BD"/>
    <w:rsid w:val="00067924"/>
    <w:rsid w:val="00070BCE"/>
    <w:rsid w:val="00071993"/>
    <w:rsid w:val="00071F9B"/>
    <w:rsid w:val="00073C04"/>
    <w:rsid w:val="00074E36"/>
    <w:rsid w:val="000754E4"/>
    <w:rsid w:val="0007608E"/>
    <w:rsid w:val="000765F8"/>
    <w:rsid w:val="0007683B"/>
    <w:rsid w:val="00076C01"/>
    <w:rsid w:val="0007713A"/>
    <w:rsid w:val="00077642"/>
    <w:rsid w:val="00077A2F"/>
    <w:rsid w:val="00077DB0"/>
    <w:rsid w:val="00077FDC"/>
    <w:rsid w:val="00080208"/>
    <w:rsid w:val="000808A1"/>
    <w:rsid w:val="00081E13"/>
    <w:rsid w:val="00082507"/>
    <w:rsid w:val="0008266B"/>
    <w:rsid w:val="00082C91"/>
    <w:rsid w:val="00083A80"/>
    <w:rsid w:val="00085276"/>
    <w:rsid w:val="00085C09"/>
    <w:rsid w:val="000865B5"/>
    <w:rsid w:val="00087886"/>
    <w:rsid w:val="000905DA"/>
    <w:rsid w:val="00090AC4"/>
    <w:rsid w:val="00090D21"/>
    <w:rsid w:val="00091310"/>
    <w:rsid w:val="00091B15"/>
    <w:rsid w:val="0009251F"/>
    <w:rsid w:val="000931EE"/>
    <w:rsid w:val="00094E82"/>
    <w:rsid w:val="00095AD5"/>
    <w:rsid w:val="00096415"/>
    <w:rsid w:val="00096586"/>
    <w:rsid w:val="000A1EAD"/>
    <w:rsid w:val="000A2B6F"/>
    <w:rsid w:val="000A69ED"/>
    <w:rsid w:val="000A70C8"/>
    <w:rsid w:val="000A71E4"/>
    <w:rsid w:val="000A7728"/>
    <w:rsid w:val="000B0EFB"/>
    <w:rsid w:val="000B118D"/>
    <w:rsid w:val="000B302B"/>
    <w:rsid w:val="000B3B2C"/>
    <w:rsid w:val="000B3D91"/>
    <w:rsid w:val="000B541E"/>
    <w:rsid w:val="000B7BF3"/>
    <w:rsid w:val="000B7D6B"/>
    <w:rsid w:val="000C0D90"/>
    <w:rsid w:val="000C1BBC"/>
    <w:rsid w:val="000C21FE"/>
    <w:rsid w:val="000C33E1"/>
    <w:rsid w:val="000C3EFD"/>
    <w:rsid w:val="000C447F"/>
    <w:rsid w:val="000C4B86"/>
    <w:rsid w:val="000C4F67"/>
    <w:rsid w:val="000C52DB"/>
    <w:rsid w:val="000C5D64"/>
    <w:rsid w:val="000C5F11"/>
    <w:rsid w:val="000C6179"/>
    <w:rsid w:val="000C72BA"/>
    <w:rsid w:val="000C75B6"/>
    <w:rsid w:val="000C7B30"/>
    <w:rsid w:val="000D0142"/>
    <w:rsid w:val="000D0568"/>
    <w:rsid w:val="000D144F"/>
    <w:rsid w:val="000D1DB9"/>
    <w:rsid w:val="000D27D9"/>
    <w:rsid w:val="000D2B2B"/>
    <w:rsid w:val="000D2CF1"/>
    <w:rsid w:val="000D49D9"/>
    <w:rsid w:val="000D4AEE"/>
    <w:rsid w:val="000D5E3C"/>
    <w:rsid w:val="000D6591"/>
    <w:rsid w:val="000D763E"/>
    <w:rsid w:val="000D7F4D"/>
    <w:rsid w:val="000E0DB3"/>
    <w:rsid w:val="000E4B1D"/>
    <w:rsid w:val="000E4F73"/>
    <w:rsid w:val="000E58EB"/>
    <w:rsid w:val="000F0B17"/>
    <w:rsid w:val="000F2C94"/>
    <w:rsid w:val="000F2E2F"/>
    <w:rsid w:val="000F343F"/>
    <w:rsid w:val="000F3506"/>
    <w:rsid w:val="000F3DC3"/>
    <w:rsid w:val="000F42D3"/>
    <w:rsid w:val="000F5922"/>
    <w:rsid w:val="000F6063"/>
    <w:rsid w:val="000F6AD0"/>
    <w:rsid w:val="000F7B51"/>
    <w:rsid w:val="00100C05"/>
    <w:rsid w:val="00102443"/>
    <w:rsid w:val="0010306A"/>
    <w:rsid w:val="00104362"/>
    <w:rsid w:val="001049DC"/>
    <w:rsid w:val="00104E1F"/>
    <w:rsid w:val="00105AE1"/>
    <w:rsid w:val="00105DA0"/>
    <w:rsid w:val="00106F0B"/>
    <w:rsid w:val="00106FEC"/>
    <w:rsid w:val="00111151"/>
    <w:rsid w:val="001112F6"/>
    <w:rsid w:val="00116C02"/>
    <w:rsid w:val="0011703F"/>
    <w:rsid w:val="00117333"/>
    <w:rsid w:val="001173F1"/>
    <w:rsid w:val="001208F2"/>
    <w:rsid w:val="00121245"/>
    <w:rsid w:val="00121425"/>
    <w:rsid w:val="0012170A"/>
    <w:rsid w:val="00123410"/>
    <w:rsid w:val="00123D91"/>
    <w:rsid w:val="0012615C"/>
    <w:rsid w:val="001268F2"/>
    <w:rsid w:val="00126A33"/>
    <w:rsid w:val="0012796F"/>
    <w:rsid w:val="001312B9"/>
    <w:rsid w:val="00131D0B"/>
    <w:rsid w:val="00131EB4"/>
    <w:rsid w:val="00131EFF"/>
    <w:rsid w:val="00132A22"/>
    <w:rsid w:val="001337C0"/>
    <w:rsid w:val="00134A90"/>
    <w:rsid w:val="00134EEA"/>
    <w:rsid w:val="001353AA"/>
    <w:rsid w:val="0013683B"/>
    <w:rsid w:val="00136AF0"/>
    <w:rsid w:val="00137334"/>
    <w:rsid w:val="00140E28"/>
    <w:rsid w:val="0014180E"/>
    <w:rsid w:val="001426C1"/>
    <w:rsid w:val="00143757"/>
    <w:rsid w:val="00143C20"/>
    <w:rsid w:val="001445F7"/>
    <w:rsid w:val="00144C92"/>
    <w:rsid w:val="00144D23"/>
    <w:rsid w:val="00146DFC"/>
    <w:rsid w:val="00147A21"/>
    <w:rsid w:val="00147D83"/>
    <w:rsid w:val="00151424"/>
    <w:rsid w:val="00152A38"/>
    <w:rsid w:val="0015378F"/>
    <w:rsid w:val="00153894"/>
    <w:rsid w:val="00154A5F"/>
    <w:rsid w:val="00154B9E"/>
    <w:rsid w:val="00154D38"/>
    <w:rsid w:val="001560F8"/>
    <w:rsid w:val="001565A1"/>
    <w:rsid w:val="00160425"/>
    <w:rsid w:val="00162D1B"/>
    <w:rsid w:val="0016384E"/>
    <w:rsid w:val="00165349"/>
    <w:rsid w:val="00165887"/>
    <w:rsid w:val="00165BA3"/>
    <w:rsid w:val="00165EC6"/>
    <w:rsid w:val="00167D11"/>
    <w:rsid w:val="00167D30"/>
    <w:rsid w:val="00167E9D"/>
    <w:rsid w:val="00167FDC"/>
    <w:rsid w:val="00170B95"/>
    <w:rsid w:val="001712BF"/>
    <w:rsid w:val="00171FDD"/>
    <w:rsid w:val="001720B6"/>
    <w:rsid w:val="0017258D"/>
    <w:rsid w:val="00174041"/>
    <w:rsid w:val="0017589D"/>
    <w:rsid w:val="00175A1F"/>
    <w:rsid w:val="00175AE4"/>
    <w:rsid w:val="0017657D"/>
    <w:rsid w:val="0017795A"/>
    <w:rsid w:val="00180E49"/>
    <w:rsid w:val="00183235"/>
    <w:rsid w:val="00183D91"/>
    <w:rsid w:val="00184039"/>
    <w:rsid w:val="00185C1F"/>
    <w:rsid w:val="001920DD"/>
    <w:rsid w:val="0019245C"/>
    <w:rsid w:val="00192EBC"/>
    <w:rsid w:val="00193868"/>
    <w:rsid w:val="00193BE9"/>
    <w:rsid w:val="00194167"/>
    <w:rsid w:val="001944E9"/>
    <w:rsid w:val="00194FE2"/>
    <w:rsid w:val="00195213"/>
    <w:rsid w:val="001957EF"/>
    <w:rsid w:val="00195FC7"/>
    <w:rsid w:val="0019630F"/>
    <w:rsid w:val="00196442"/>
    <w:rsid w:val="001965FD"/>
    <w:rsid w:val="00196975"/>
    <w:rsid w:val="00197DD3"/>
    <w:rsid w:val="001A1FD7"/>
    <w:rsid w:val="001A22B9"/>
    <w:rsid w:val="001A3377"/>
    <w:rsid w:val="001A3438"/>
    <w:rsid w:val="001A4D7F"/>
    <w:rsid w:val="001A5E0C"/>
    <w:rsid w:val="001A60D1"/>
    <w:rsid w:val="001A6680"/>
    <w:rsid w:val="001B019A"/>
    <w:rsid w:val="001B0A4B"/>
    <w:rsid w:val="001B0FB9"/>
    <w:rsid w:val="001B272A"/>
    <w:rsid w:val="001B284C"/>
    <w:rsid w:val="001B33A1"/>
    <w:rsid w:val="001B38B9"/>
    <w:rsid w:val="001B42A3"/>
    <w:rsid w:val="001B5122"/>
    <w:rsid w:val="001B6068"/>
    <w:rsid w:val="001B6F89"/>
    <w:rsid w:val="001B78B0"/>
    <w:rsid w:val="001C1C5F"/>
    <w:rsid w:val="001C2A56"/>
    <w:rsid w:val="001C332A"/>
    <w:rsid w:val="001C4A24"/>
    <w:rsid w:val="001C6205"/>
    <w:rsid w:val="001C6E7D"/>
    <w:rsid w:val="001C708E"/>
    <w:rsid w:val="001C748E"/>
    <w:rsid w:val="001C7DC3"/>
    <w:rsid w:val="001D00E3"/>
    <w:rsid w:val="001D01AB"/>
    <w:rsid w:val="001D0BD8"/>
    <w:rsid w:val="001D3C6E"/>
    <w:rsid w:val="001D3EAB"/>
    <w:rsid w:val="001D462A"/>
    <w:rsid w:val="001D464E"/>
    <w:rsid w:val="001D4C14"/>
    <w:rsid w:val="001D5A1F"/>
    <w:rsid w:val="001D5BDE"/>
    <w:rsid w:val="001D616C"/>
    <w:rsid w:val="001D78A8"/>
    <w:rsid w:val="001D7E3C"/>
    <w:rsid w:val="001E062F"/>
    <w:rsid w:val="001E25A6"/>
    <w:rsid w:val="001E39B9"/>
    <w:rsid w:val="001E4D9B"/>
    <w:rsid w:val="001E5E40"/>
    <w:rsid w:val="001E6160"/>
    <w:rsid w:val="001F083C"/>
    <w:rsid w:val="001F115B"/>
    <w:rsid w:val="001F5723"/>
    <w:rsid w:val="001F57F9"/>
    <w:rsid w:val="001F7BC2"/>
    <w:rsid w:val="00200E65"/>
    <w:rsid w:val="002029EE"/>
    <w:rsid w:val="00205B1A"/>
    <w:rsid w:val="00205BAD"/>
    <w:rsid w:val="0020751B"/>
    <w:rsid w:val="00207CF7"/>
    <w:rsid w:val="002103B3"/>
    <w:rsid w:val="002108A0"/>
    <w:rsid w:val="002108AF"/>
    <w:rsid w:val="00210D0F"/>
    <w:rsid w:val="00211720"/>
    <w:rsid w:val="00211C24"/>
    <w:rsid w:val="002158FE"/>
    <w:rsid w:val="0021675D"/>
    <w:rsid w:val="002174DA"/>
    <w:rsid w:val="002176CF"/>
    <w:rsid w:val="0021771D"/>
    <w:rsid w:val="00217B74"/>
    <w:rsid w:val="00217F27"/>
    <w:rsid w:val="002211BB"/>
    <w:rsid w:val="00221AE0"/>
    <w:rsid w:val="00221AE2"/>
    <w:rsid w:val="00222F09"/>
    <w:rsid w:val="00224122"/>
    <w:rsid w:val="002246AE"/>
    <w:rsid w:val="00224C0D"/>
    <w:rsid w:val="00224C23"/>
    <w:rsid w:val="002258AA"/>
    <w:rsid w:val="00225BE6"/>
    <w:rsid w:val="00230142"/>
    <w:rsid w:val="002301C1"/>
    <w:rsid w:val="00230B94"/>
    <w:rsid w:val="00230DBB"/>
    <w:rsid w:val="00230DDF"/>
    <w:rsid w:val="0023154A"/>
    <w:rsid w:val="002328B7"/>
    <w:rsid w:val="00232FB4"/>
    <w:rsid w:val="0023303B"/>
    <w:rsid w:val="00235A31"/>
    <w:rsid w:val="0023715C"/>
    <w:rsid w:val="00240100"/>
    <w:rsid w:val="002401A7"/>
    <w:rsid w:val="00241798"/>
    <w:rsid w:val="0024260F"/>
    <w:rsid w:val="00242B86"/>
    <w:rsid w:val="002436D6"/>
    <w:rsid w:val="00244770"/>
    <w:rsid w:val="00244F11"/>
    <w:rsid w:val="00245DA4"/>
    <w:rsid w:val="002460C8"/>
    <w:rsid w:val="00246A38"/>
    <w:rsid w:val="00247229"/>
    <w:rsid w:val="00247780"/>
    <w:rsid w:val="00247A7F"/>
    <w:rsid w:val="002512AE"/>
    <w:rsid w:val="002520F8"/>
    <w:rsid w:val="00254A51"/>
    <w:rsid w:val="00255427"/>
    <w:rsid w:val="0025559B"/>
    <w:rsid w:val="0025676A"/>
    <w:rsid w:val="00256CF5"/>
    <w:rsid w:val="00256F53"/>
    <w:rsid w:val="002574AB"/>
    <w:rsid w:val="00260513"/>
    <w:rsid w:val="0026055A"/>
    <w:rsid w:val="00263600"/>
    <w:rsid w:val="00263F72"/>
    <w:rsid w:val="00265A67"/>
    <w:rsid w:val="00265DF3"/>
    <w:rsid w:val="00265F28"/>
    <w:rsid w:val="00266976"/>
    <w:rsid w:val="002670CB"/>
    <w:rsid w:val="0026717E"/>
    <w:rsid w:val="00267BDF"/>
    <w:rsid w:val="0027220E"/>
    <w:rsid w:val="00273F45"/>
    <w:rsid w:val="00274119"/>
    <w:rsid w:val="002742A0"/>
    <w:rsid w:val="00274442"/>
    <w:rsid w:val="00274B93"/>
    <w:rsid w:val="00276592"/>
    <w:rsid w:val="002776C6"/>
    <w:rsid w:val="00280BCC"/>
    <w:rsid w:val="00281541"/>
    <w:rsid w:val="00283582"/>
    <w:rsid w:val="00284C35"/>
    <w:rsid w:val="00286D13"/>
    <w:rsid w:val="00287CEB"/>
    <w:rsid w:val="00290E66"/>
    <w:rsid w:val="00292503"/>
    <w:rsid w:val="00292774"/>
    <w:rsid w:val="00292FB9"/>
    <w:rsid w:val="00293A7C"/>
    <w:rsid w:val="00293FB0"/>
    <w:rsid w:val="00296355"/>
    <w:rsid w:val="00296EB1"/>
    <w:rsid w:val="0029726C"/>
    <w:rsid w:val="002A0CCC"/>
    <w:rsid w:val="002A1703"/>
    <w:rsid w:val="002A2221"/>
    <w:rsid w:val="002A2683"/>
    <w:rsid w:val="002A3629"/>
    <w:rsid w:val="002A4E5C"/>
    <w:rsid w:val="002A5308"/>
    <w:rsid w:val="002A5AA7"/>
    <w:rsid w:val="002A660E"/>
    <w:rsid w:val="002A6D3B"/>
    <w:rsid w:val="002B0F33"/>
    <w:rsid w:val="002B3B2E"/>
    <w:rsid w:val="002B3F00"/>
    <w:rsid w:val="002B49B4"/>
    <w:rsid w:val="002B4CA7"/>
    <w:rsid w:val="002B60E4"/>
    <w:rsid w:val="002B6469"/>
    <w:rsid w:val="002B7F09"/>
    <w:rsid w:val="002C0148"/>
    <w:rsid w:val="002C05D2"/>
    <w:rsid w:val="002C1430"/>
    <w:rsid w:val="002C2625"/>
    <w:rsid w:val="002C2F53"/>
    <w:rsid w:val="002C3162"/>
    <w:rsid w:val="002C336F"/>
    <w:rsid w:val="002C445D"/>
    <w:rsid w:val="002C5CF6"/>
    <w:rsid w:val="002C5DC2"/>
    <w:rsid w:val="002C6761"/>
    <w:rsid w:val="002C71C3"/>
    <w:rsid w:val="002D140F"/>
    <w:rsid w:val="002D1A06"/>
    <w:rsid w:val="002D2ABC"/>
    <w:rsid w:val="002D2C3F"/>
    <w:rsid w:val="002D30CD"/>
    <w:rsid w:val="002D3615"/>
    <w:rsid w:val="002D3DF7"/>
    <w:rsid w:val="002D45AE"/>
    <w:rsid w:val="002D5040"/>
    <w:rsid w:val="002D5B58"/>
    <w:rsid w:val="002D5E6A"/>
    <w:rsid w:val="002D682B"/>
    <w:rsid w:val="002D6C96"/>
    <w:rsid w:val="002D7022"/>
    <w:rsid w:val="002D7D4F"/>
    <w:rsid w:val="002E00C2"/>
    <w:rsid w:val="002E2F74"/>
    <w:rsid w:val="002E2FC1"/>
    <w:rsid w:val="002E3A29"/>
    <w:rsid w:val="002E416F"/>
    <w:rsid w:val="002E4416"/>
    <w:rsid w:val="002E526F"/>
    <w:rsid w:val="002E6A61"/>
    <w:rsid w:val="002E7A38"/>
    <w:rsid w:val="002F03D9"/>
    <w:rsid w:val="002F648D"/>
    <w:rsid w:val="002F66C9"/>
    <w:rsid w:val="002F6805"/>
    <w:rsid w:val="002F7465"/>
    <w:rsid w:val="00300791"/>
    <w:rsid w:val="00300E1A"/>
    <w:rsid w:val="00303A5B"/>
    <w:rsid w:val="00303F79"/>
    <w:rsid w:val="0030445E"/>
    <w:rsid w:val="00304C81"/>
    <w:rsid w:val="00304DB7"/>
    <w:rsid w:val="00304FCD"/>
    <w:rsid w:val="003053F5"/>
    <w:rsid w:val="00306244"/>
    <w:rsid w:val="00306691"/>
    <w:rsid w:val="00306966"/>
    <w:rsid w:val="0030790A"/>
    <w:rsid w:val="00311D46"/>
    <w:rsid w:val="00314218"/>
    <w:rsid w:val="0031441F"/>
    <w:rsid w:val="003163FB"/>
    <w:rsid w:val="00317128"/>
    <w:rsid w:val="003171FE"/>
    <w:rsid w:val="0031779C"/>
    <w:rsid w:val="003200B2"/>
    <w:rsid w:val="00321D89"/>
    <w:rsid w:val="00321EF5"/>
    <w:rsid w:val="00322017"/>
    <w:rsid w:val="00322938"/>
    <w:rsid w:val="0032326A"/>
    <w:rsid w:val="003232EF"/>
    <w:rsid w:val="003250FB"/>
    <w:rsid w:val="003260A3"/>
    <w:rsid w:val="0032661E"/>
    <w:rsid w:val="00326EED"/>
    <w:rsid w:val="003276F4"/>
    <w:rsid w:val="00327AEA"/>
    <w:rsid w:val="003301E2"/>
    <w:rsid w:val="00330809"/>
    <w:rsid w:val="00330DF7"/>
    <w:rsid w:val="00331440"/>
    <w:rsid w:val="00331687"/>
    <w:rsid w:val="0033177A"/>
    <w:rsid w:val="00331CD9"/>
    <w:rsid w:val="0033420D"/>
    <w:rsid w:val="003357FD"/>
    <w:rsid w:val="00337F67"/>
    <w:rsid w:val="0034210E"/>
    <w:rsid w:val="00343037"/>
    <w:rsid w:val="00343153"/>
    <w:rsid w:val="00343206"/>
    <w:rsid w:val="0034334A"/>
    <w:rsid w:val="0034487C"/>
    <w:rsid w:val="00346542"/>
    <w:rsid w:val="00351A72"/>
    <w:rsid w:val="003524BF"/>
    <w:rsid w:val="00352562"/>
    <w:rsid w:val="00355CD1"/>
    <w:rsid w:val="00356437"/>
    <w:rsid w:val="00356925"/>
    <w:rsid w:val="003571AE"/>
    <w:rsid w:val="00357291"/>
    <w:rsid w:val="003573AD"/>
    <w:rsid w:val="00360942"/>
    <w:rsid w:val="00361624"/>
    <w:rsid w:val="00361732"/>
    <w:rsid w:val="00363643"/>
    <w:rsid w:val="0036502C"/>
    <w:rsid w:val="00366851"/>
    <w:rsid w:val="00366C17"/>
    <w:rsid w:val="00366CA9"/>
    <w:rsid w:val="00370424"/>
    <w:rsid w:val="003707E0"/>
    <w:rsid w:val="00370905"/>
    <w:rsid w:val="00371B3D"/>
    <w:rsid w:val="003723FB"/>
    <w:rsid w:val="00372E43"/>
    <w:rsid w:val="003741F0"/>
    <w:rsid w:val="003747F1"/>
    <w:rsid w:val="00374867"/>
    <w:rsid w:val="00375B32"/>
    <w:rsid w:val="00375F59"/>
    <w:rsid w:val="0037667D"/>
    <w:rsid w:val="0037734B"/>
    <w:rsid w:val="00377769"/>
    <w:rsid w:val="00377F12"/>
    <w:rsid w:val="0038047F"/>
    <w:rsid w:val="0038060B"/>
    <w:rsid w:val="003806AF"/>
    <w:rsid w:val="003811F6"/>
    <w:rsid w:val="0038450C"/>
    <w:rsid w:val="00385B7B"/>
    <w:rsid w:val="00386F24"/>
    <w:rsid w:val="00387273"/>
    <w:rsid w:val="00387724"/>
    <w:rsid w:val="0038790F"/>
    <w:rsid w:val="003879CF"/>
    <w:rsid w:val="0039062D"/>
    <w:rsid w:val="00390694"/>
    <w:rsid w:val="00390BFC"/>
    <w:rsid w:val="003911DE"/>
    <w:rsid w:val="003918E8"/>
    <w:rsid w:val="00391A64"/>
    <w:rsid w:val="00391B86"/>
    <w:rsid w:val="00392054"/>
    <w:rsid w:val="00397106"/>
    <w:rsid w:val="003974D1"/>
    <w:rsid w:val="003977BC"/>
    <w:rsid w:val="003A15AD"/>
    <w:rsid w:val="003A3A6A"/>
    <w:rsid w:val="003A45FE"/>
    <w:rsid w:val="003A5E67"/>
    <w:rsid w:val="003A5E82"/>
    <w:rsid w:val="003A6698"/>
    <w:rsid w:val="003A733A"/>
    <w:rsid w:val="003B1397"/>
    <w:rsid w:val="003B13D0"/>
    <w:rsid w:val="003B14AC"/>
    <w:rsid w:val="003B1D91"/>
    <w:rsid w:val="003B2212"/>
    <w:rsid w:val="003B3BB5"/>
    <w:rsid w:val="003B5C2A"/>
    <w:rsid w:val="003B77EB"/>
    <w:rsid w:val="003C042A"/>
    <w:rsid w:val="003C1877"/>
    <w:rsid w:val="003C1C2C"/>
    <w:rsid w:val="003C24AA"/>
    <w:rsid w:val="003C2A08"/>
    <w:rsid w:val="003C3418"/>
    <w:rsid w:val="003C6C93"/>
    <w:rsid w:val="003C6CF2"/>
    <w:rsid w:val="003D01C9"/>
    <w:rsid w:val="003D22C4"/>
    <w:rsid w:val="003D3958"/>
    <w:rsid w:val="003D3E14"/>
    <w:rsid w:val="003D4B3F"/>
    <w:rsid w:val="003D593C"/>
    <w:rsid w:val="003D5DC7"/>
    <w:rsid w:val="003D608E"/>
    <w:rsid w:val="003D6209"/>
    <w:rsid w:val="003D644C"/>
    <w:rsid w:val="003D6D01"/>
    <w:rsid w:val="003E082F"/>
    <w:rsid w:val="003E1396"/>
    <w:rsid w:val="003E1546"/>
    <w:rsid w:val="003E3D14"/>
    <w:rsid w:val="003E50AD"/>
    <w:rsid w:val="003E5A9B"/>
    <w:rsid w:val="003E636A"/>
    <w:rsid w:val="003E65E9"/>
    <w:rsid w:val="003E748F"/>
    <w:rsid w:val="003E7FBB"/>
    <w:rsid w:val="003F02A7"/>
    <w:rsid w:val="003F0425"/>
    <w:rsid w:val="003F1A6E"/>
    <w:rsid w:val="003F3D2F"/>
    <w:rsid w:val="003F6ACD"/>
    <w:rsid w:val="003F6F91"/>
    <w:rsid w:val="003F7550"/>
    <w:rsid w:val="003F76B2"/>
    <w:rsid w:val="003F778C"/>
    <w:rsid w:val="003F79A9"/>
    <w:rsid w:val="003F7A5D"/>
    <w:rsid w:val="0040053C"/>
    <w:rsid w:val="00400E60"/>
    <w:rsid w:val="00401EA7"/>
    <w:rsid w:val="00403134"/>
    <w:rsid w:val="00403A7A"/>
    <w:rsid w:val="00405EDF"/>
    <w:rsid w:val="00405FC1"/>
    <w:rsid w:val="0040611B"/>
    <w:rsid w:val="00406D2B"/>
    <w:rsid w:val="0040703F"/>
    <w:rsid w:val="00411551"/>
    <w:rsid w:val="00411711"/>
    <w:rsid w:val="00411F96"/>
    <w:rsid w:val="00412010"/>
    <w:rsid w:val="004127CD"/>
    <w:rsid w:val="00412B14"/>
    <w:rsid w:val="00413264"/>
    <w:rsid w:val="00413C25"/>
    <w:rsid w:val="00414440"/>
    <w:rsid w:val="004152AD"/>
    <w:rsid w:val="004156F3"/>
    <w:rsid w:val="00417E17"/>
    <w:rsid w:val="0042280C"/>
    <w:rsid w:val="00422E04"/>
    <w:rsid w:val="00423893"/>
    <w:rsid w:val="00423950"/>
    <w:rsid w:val="00424FEA"/>
    <w:rsid w:val="00425B59"/>
    <w:rsid w:val="004278DD"/>
    <w:rsid w:val="004305F6"/>
    <w:rsid w:val="00430BEE"/>
    <w:rsid w:val="004316EC"/>
    <w:rsid w:val="00431A39"/>
    <w:rsid w:val="00431EA6"/>
    <w:rsid w:val="004325BE"/>
    <w:rsid w:val="00432D4A"/>
    <w:rsid w:val="004331B0"/>
    <w:rsid w:val="00433C3B"/>
    <w:rsid w:val="00433DA3"/>
    <w:rsid w:val="00434DE4"/>
    <w:rsid w:val="00435B59"/>
    <w:rsid w:val="004373BC"/>
    <w:rsid w:val="004431C5"/>
    <w:rsid w:val="00443781"/>
    <w:rsid w:val="0044383E"/>
    <w:rsid w:val="00443B45"/>
    <w:rsid w:val="00445AC0"/>
    <w:rsid w:val="00446725"/>
    <w:rsid w:val="00446C2A"/>
    <w:rsid w:val="00446C93"/>
    <w:rsid w:val="004473BE"/>
    <w:rsid w:val="00447EDE"/>
    <w:rsid w:val="004501DA"/>
    <w:rsid w:val="00451DE0"/>
    <w:rsid w:val="0045226A"/>
    <w:rsid w:val="00453F07"/>
    <w:rsid w:val="00454502"/>
    <w:rsid w:val="00460B98"/>
    <w:rsid w:val="00461392"/>
    <w:rsid w:val="00464616"/>
    <w:rsid w:val="00464E74"/>
    <w:rsid w:val="004653B7"/>
    <w:rsid w:val="00465844"/>
    <w:rsid w:val="00465CBF"/>
    <w:rsid w:val="00466458"/>
    <w:rsid w:val="00467374"/>
    <w:rsid w:val="0046766D"/>
    <w:rsid w:val="00470282"/>
    <w:rsid w:val="00470557"/>
    <w:rsid w:val="00470953"/>
    <w:rsid w:val="004718F4"/>
    <w:rsid w:val="0047274C"/>
    <w:rsid w:val="00472828"/>
    <w:rsid w:val="004735C1"/>
    <w:rsid w:val="0047360A"/>
    <w:rsid w:val="00474610"/>
    <w:rsid w:val="00474E6C"/>
    <w:rsid w:val="00475191"/>
    <w:rsid w:val="0047557E"/>
    <w:rsid w:val="00477733"/>
    <w:rsid w:val="00481F87"/>
    <w:rsid w:val="004834DD"/>
    <w:rsid w:val="00484313"/>
    <w:rsid w:val="00486630"/>
    <w:rsid w:val="00491F74"/>
    <w:rsid w:val="00492B04"/>
    <w:rsid w:val="00492B74"/>
    <w:rsid w:val="00493B4E"/>
    <w:rsid w:val="00494618"/>
    <w:rsid w:val="00494739"/>
    <w:rsid w:val="0049592D"/>
    <w:rsid w:val="00496925"/>
    <w:rsid w:val="00497992"/>
    <w:rsid w:val="004A081E"/>
    <w:rsid w:val="004A176B"/>
    <w:rsid w:val="004A1B14"/>
    <w:rsid w:val="004A2810"/>
    <w:rsid w:val="004A322E"/>
    <w:rsid w:val="004A43BA"/>
    <w:rsid w:val="004A4BBF"/>
    <w:rsid w:val="004A7032"/>
    <w:rsid w:val="004B0086"/>
    <w:rsid w:val="004B132B"/>
    <w:rsid w:val="004B1B2E"/>
    <w:rsid w:val="004B1CCD"/>
    <w:rsid w:val="004B334C"/>
    <w:rsid w:val="004B45FB"/>
    <w:rsid w:val="004B5B44"/>
    <w:rsid w:val="004B5F81"/>
    <w:rsid w:val="004B72C3"/>
    <w:rsid w:val="004C0F68"/>
    <w:rsid w:val="004C1606"/>
    <w:rsid w:val="004C2EB7"/>
    <w:rsid w:val="004C33ED"/>
    <w:rsid w:val="004C49DA"/>
    <w:rsid w:val="004C4C02"/>
    <w:rsid w:val="004C4C33"/>
    <w:rsid w:val="004C656A"/>
    <w:rsid w:val="004C7345"/>
    <w:rsid w:val="004C74A5"/>
    <w:rsid w:val="004C75CE"/>
    <w:rsid w:val="004C769A"/>
    <w:rsid w:val="004C7E68"/>
    <w:rsid w:val="004C7F7E"/>
    <w:rsid w:val="004D0266"/>
    <w:rsid w:val="004D04F7"/>
    <w:rsid w:val="004D1349"/>
    <w:rsid w:val="004D56C2"/>
    <w:rsid w:val="004D6093"/>
    <w:rsid w:val="004D6482"/>
    <w:rsid w:val="004D6C2D"/>
    <w:rsid w:val="004D7F26"/>
    <w:rsid w:val="004E0580"/>
    <w:rsid w:val="004E108C"/>
    <w:rsid w:val="004E2454"/>
    <w:rsid w:val="004E4633"/>
    <w:rsid w:val="004E4AF7"/>
    <w:rsid w:val="004E521D"/>
    <w:rsid w:val="004E5635"/>
    <w:rsid w:val="004E5F01"/>
    <w:rsid w:val="004E6BF5"/>
    <w:rsid w:val="004E73FB"/>
    <w:rsid w:val="004F0244"/>
    <w:rsid w:val="004F0CC6"/>
    <w:rsid w:val="004F1052"/>
    <w:rsid w:val="004F2B44"/>
    <w:rsid w:val="004F31FD"/>
    <w:rsid w:val="004F3A5A"/>
    <w:rsid w:val="004F45A6"/>
    <w:rsid w:val="004F50B8"/>
    <w:rsid w:val="004F5755"/>
    <w:rsid w:val="004F5AF2"/>
    <w:rsid w:val="004F5D38"/>
    <w:rsid w:val="004F6EE2"/>
    <w:rsid w:val="004F7984"/>
    <w:rsid w:val="004F7AE7"/>
    <w:rsid w:val="004F7B16"/>
    <w:rsid w:val="00500A70"/>
    <w:rsid w:val="0050169C"/>
    <w:rsid w:val="0050214C"/>
    <w:rsid w:val="00502D04"/>
    <w:rsid w:val="005030DA"/>
    <w:rsid w:val="00503234"/>
    <w:rsid w:val="005034BE"/>
    <w:rsid w:val="00503A9B"/>
    <w:rsid w:val="00504B9F"/>
    <w:rsid w:val="00507E23"/>
    <w:rsid w:val="005130A3"/>
    <w:rsid w:val="005135EA"/>
    <w:rsid w:val="0051437A"/>
    <w:rsid w:val="005144DD"/>
    <w:rsid w:val="005146F9"/>
    <w:rsid w:val="00515787"/>
    <w:rsid w:val="005158C9"/>
    <w:rsid w:val="0051682F"/>
    <w:rsid w:val="0051709D"/>
    <w:rsid w:val="005201C6"/>
    <w:rsid w:val="005208E9"/>
    <w:rsid w:val="005210E3"/>
    <w:rsid w:val="00521159"/>
    <w:rsid w:val="005213F8"/>
    <w:rsid w:val="00523483"/>
    <w:rsid w:val="005242F6"/>
    <w:rsid w:val="0052525B"/>
    <w:rsid w:val="0052562F"/>
    <w:rsid w:val="0052615E"/>
    <w:rsid w:val="0052751C"/>
    <w:rsid w:val="00527C20"/>
    <w:rsid w:val="005304B9"/>
    <w:rsid w:val="0053125E"/>
    <w:rsid w:val="00531F2C"/>
    <w:rsid w:val="0053306F"/>
    <w:rsid w:val="0053396A"/>
    <w:rsid w:val="00536445"/>
    <w:rsid w:val="00537091"/>
    <w:rsid w:val="00540E7A"/>
    <w:rsid w:val="0054219F"/>
    <w:rsid w:val="005425AF"/>
    <w:rsid w:val="005437F7"/>
    <w:rsid w:val="005442A4"/>
    <w:rsid w:val="00544484"/>
    <w:rsid w:val="00544880"/>
    <w:rsid w:val="00545AD9"/>
    <w:rsid w:val="00545C23"/>
    <w:rsid w:val="005464EA"/>
    <w:rsid w:val="00547C68"/>
    <w:rsid w:val="00547D31"/>
    <w:rsid w:val="00550514"/>
    <w:rsid w:val="0055060B"/>
    <w:rsid w:val="0055174F"/>
    <w:rsid w:val="005523A9"/>
    <w:rsid w:val="00552FD7"/>
    <w:rsid w:val="00554159"/>
    <w:rsid w:val="00555FAC"/>
    <w:rsid w:val="0055673A"/>
    <w:rsid w:val="00557335"/>
    <w:rsid w:val="00557AED"/>
    <w:rsid w:val="00561CF1"/>
    <w:rsid w:val="00563A24"/>
    <w:rsid w:val="005643CD"/>
    <w:rsid w:val="00564543"/>
    <w:rsid w:val="00564854"/>
    <w:rsid w:val="00564D75"/>
    <w:rsid w:val="005653DC"/>
    <w:rsid w:val="00566558"/>
    <w:rsid w:val="00567273"/>
    <w:rsid w:val="00567E9D"/>
    <w:rsid w:val="005710C3"/>
    <w:rsid w:val="005714B1"/>
    <w:rsid w:val="005725F0"/>
    <w:rsid w:val="00573932"/>
    <w:rsid w:val="00573C58"/>
    <w:rsid w:val="00574527"/>
    <w:rsid w:val="00575B58"/>
    <w:rsid w:val="00576856"/>
    <w:rsid w:val="00577995"/>
    <w:rsid w:val="00577FA4"/>
    <w:rsid w:val="00580755"/>
    <w:rsid w:val="00580A25"/>
    <w:rsid w:val="00581A7D"/>
    <w:rsid w:val="00582F30"/>
    <w:rsid w:val="005840B9"/>
    <w:rsid w:val="0058418D"/>
    <w:rsid w:val="00584C39"/>
    <w:rsid w:val="005855DB"/>
    <w:rsid w:val="005856A0"/>
    <w:rsid w:val="00586DB1"/>
    <w:rsid w:val="0058776F"/>
    <w:rsid w:val="00587A91"/>
    <w:rsid w:val="00587C64"/>
    <w:rsid w:val="00587E9E"/>
    <w:rsid w:val="005904FD"/>
    <w:rsid w:val="00591276"/>
    <w:rsid w:val="00591601"/>
    <w:rsid w:val="005941AD"/>
    <w:rsid w:val="00594B90"/>
    <w:rsid w:val="00595225"/>
    <w:rsid w:val="005963EF"/>
    <w:rsid w:val="00597781"/>
    <w:rsid w:val="00597821"/>
    <w:rsid w:val="005A08A1"/>
    <w:rsid w:val="005A0E2D"/>
    <w:rsid w:val="005A3799"/>
    <w:rsid w:val="005A4194"/>
    <w:rsid w:val="005A4971"/>
    <w:rsid w:val="005A49D9"/>
    <w:rsid w:val="005A4A85"/>
    <w:rsid w:val="005A5364"/>
    <w:rsid w:val="005A602D"/>
    <w:rsid w:val="005A632D"/>
    <w:rsid w:val="005A6612"/>
    <w:rsid w:val="005A73DE"/>
    <w:rsid w:val="005A77D1"/>
    <w:rsid w:val="005A794F"/>
    <w:rsid w:val="005A7A35"/>
    <w:rsid w:val="005A7BCD"/>
    <w:rsid w:val="005B19CC"/>
    <w:rsid w:val="005B21BE"/>
    <w:rsid w:val="005B222B"/>
    <w:rsid w:val="005B2AAE"/>
    <w:rsid w:val="005B75C6"/>
    <w:rsid w:val="005B786E"/>
    <w:rsid w:val="005B78AE"/>
    <w:rsid w:val="005B79A1"/>
    <w:rsid w:val="005C04D2"/>
    <w:rsid w:val="005C1607"/>
    <w:rsid w:val="005C212F"/>
    <w:rsid w:val="005C250B"/>
    <w:rsid w:val="005C2930"/>
    <w:rsid w:val="005C3633"/>
    <w:rsid w:val="005C3A4F"/>
    <w:rsid w:val="005C3BC1"/>
    <w:rsid w:val="005C66C7"/>
    <w:rsid w:val="005C710A"/>
    <w:rsid w:val="005C79E5"/>
    <w:rsid w:val="005C7D94"/>
    <w:rsid w:val="005C7DC2"/>
    <w:rsid w:val="005D0CA8"/>
    <w:rsid w:val="005D122C"/>
    <w:rsid w:val="005D1A8A"/>
    <w:rsid w:val="005D2C5B"/>
    <w:rsid w:val="005D40A2"/>
    <w:rsid w:val="005D48D7"/>
    <w:rsid w:val="005D6032"/>
    <w:rsid w:val="005D63BF"/>
    <w:rsid w:val="005D76C6"/>
    <w:rsid w:val="005D7A8B"/>
    <w:rsid w:val="005E0054"/>
    <w:rsid w:val="005E0F75"/>
    <w:rsid w:val="005E349E"/>
    <w:rsid w:val="005E50E7"/>
    <w:rsid w:val="005E610E"/>
    <w:rsid w:val="005E652D"/>
    <w:rsid w:val="005E6B56"/>
    <w:rsid w:val="005E6D0F"/>
    <w:rsid w:val="005E6ED0"/>
    <w:rsid w:val="005E7EC8"/>
    <w:rsid w:val="005E7F77"/>
    <w:rsid w:val="005E7FBB"/>
    <w:rsid w:val="005F04BC"/>
    <w:rsid w:val="005F0F22"/>
    <w:rsid w:val="005F131D"/>
    <w:rsid w:val="005F182D"/>
    <w:rsid w:val="005F19A8"/>
    <w:rsid w:val="005F1C7E"/>
    <w:rsid w:val="005F1F05"/>
    <w:rsid w:val="005F238F"/>
    <w:rsid w:val="005F2B44"/>
    <w:rsid w:val="005F309F"/>
    <w:rsid w:val="005F418F"/>
    <w:rsid w:val="005F4BA4"/>
    <w:rsid w:val="005F50BB"/>
    <w:rsid w:val="005F516B"/>
    <w:rsid w:val="005F54E4"/>
    <w:rsid w:val="005F79AE"/>
    <w:rsid w:val="006003DF"/>
    <w:rsid w:val="0060195A"/>
    <w:rsid w:val="006037B2"/>
    <w:rsid w:val="00605F91"/>
    <w:rsid w:val="006074BE"/>
    <w:rsid w:val="006074D0"/>
    <w:rsid w:val="00607743"/>
    <w:rsid w:val="006078D1"/>
    <w:rsid w:val="00611F7B"/>
    <w:rsid w:val="00612215"/>
    <w:rsid w:val="00612807"/>
    <w:rsid w:val="00613297"/>
    <w:rsid w:val="006176A4"/>
    <w:rsid w:val="006202B6"/>
    <w:rsid w:val="0062099E"/>
    <w:rsid w:val="00621979"/>
    <w:rsid w:val="00622937"/>
    <w:rsid w:val="006257C4"/>
    <w:rsid w:val="00626A0C"/>
    <w:rsid w:val="00627DFE"/>
    <w:rsid w:val="00630BD9"/>
    <w:rsid w:val="00631556"/>
    <w:rsid w:val="0063160B"/>
    <w:rsid w:val="00632685"/>
    <w:rsid w:val="0063321A"/>
    <w:rsid w:val="0063333F"/>
    <w:rsid w:val="006337B0"/>
    <w:rsid w:val="006342A7"/>
    <w:rsid w:val="006344BB"/>
    <w:rsid w:val="006350B6"/>
    <w:rsid w:val="00635634"/>
    <w:rsid w:val="00636FFF"/>
    <w:rsid w:val="006371E7"/>
    <w:rsid w:val="006419C3"/>
    <w:rsid w:val="0064241B"/>
    <w:rsid w:val="00642E2B"/>
    <w:rsid w:val="00643144"/>
    <w:rsid w:val="00646C1D"/>
    <w:rsid w:val="00647251"/>
    <w:rsid w:val="00647FBB"/>
    <w:rsid w:val="00650E6A"/>
    <w:rsid w:val="00651275"/>
    <w:rsid w:val="006526EE"/>
    <w:rsid w:val="0065271C"/>
    <w:rsid w:val="00652D65"/>
    <w:rsid w:val="00654C6E"/>
    <w:rsid w:val="006550D0"/>
    <w:rsid w:val="00660F9D"/>
    <w:rsid w:val="0066134E"/>
    <w:rsid w:val="006615DE"/>
    <w:rsid w:val="00662E80"/>
    <w:rsid w:val="00662F60"/>
    <w:rsid w:val="00663B5E"/>
    <w:rsid w:val="0066423D"/>
    <w:rsid w:val="00665F14"/>
    <w:rsid w:val="006667AD"/>
    <w:rsid w:val="00666B53"/>
    <w:rsid w:val="00666F4F"/>
    <w:rsid w:val="00667990"/>
    <w:rsid w:val="00667A62"/>
    <w:rsid w:val="00670151"/>
    <w:rsid w:val="00670503"/>
    <w:rsid w:val="0067123A"/>
    <w:rsid w:val="00671511"/>
    <w:rsid w:val="00671C37"/>
    <w:rsid w:val="006733BC"/>
    <w:rsid w:val="00675DF3"/>
    <w:rsid w:val="00676087"/>
    <w:rsid w:val="006771F0"/>
    <w:rsid w:val="00677C56"/>
    <w:rsid w:val="00677C78"/>
    <w:rsid w:val="00677F84"/>
    <w:rsid w:val="00680A60"/>
    <w:rsid w:val="00681CED"/>
    <w:rsid w:val="006829D0"/>
    <w:rsid w:val="00684755"/>
    <w:rsid w:val="006853C5"/>
    <w:rsid w:val="00686522"/>
    <w:rsid w:val="00686FFC"/>
    <w:rsid w:val="00687BB8"/>
    <w:rsid w:val="00687E03"/>
    <w:rsid w:val="00687E2B"/>
    <w:rsid w:val="00690305"/>
    <w:rsid w:val="006909F8"/>
    <w:rsid w:val="00690F11"/>
    <w:rsid w:val="00691749"/>
    <w:rsid w:val="00691B0C"/>
    <w:rsid w:val="0069232C"/>
    <w:rsid w:val="0069256A"/>
    <w:rsid w:val="0069303F"/>
    <w:rsid w:val="0069350D"/>
    <w:rsid w:val="0069397D"/>
    <w:rsid w:val="006A0783"/>
    <w:rsid w:val="006A204E"/>
    <w:rsid w:val="006A230D"/>
    <w:rsid w:val="006A2783"/>
    <w:rsid w:val="006A2904"/>
    <w:rsid w:val="006A42A3"/>
    <w:rsid w:val="006A530B"/>
    <w:rsid w:val="006A7F0E"/>
    <w:rsid w:val="006B0726"/>
    <w:rsid w:val="006B2E88"/>
    <w:rsid w:val="006B3E3A"/>
    <w:rsid w:val="006B45E7"/>
    <w:rsid w:val="006B4747"/>
    <w:rsid w:val="006B4FFB"/>
    <w:rsid w:val="006B5B5F"/>
    <w:rsid w:val="006B5F8F"/>
    <w:rsid w:val="006B6441"/>
    <w:rsid w:val="006C0B86"/>
    <w:rsid w:val="006C14EF"/>
    <w:rsid w:val="006C153B"/>
    <w:rsid w:val="006C1F14"/>
    <w:rsid w:val="006C3089"/>
    <w:rsid w:val="006C332E"/>
    <w:rsid w:val="006C41D7"/>
    <w:rsid w:val="006C5803"/>
    <w:rsid w:val="006C6F83"/>
    <w:rsid w:val="006C7638"/>
    <w:rsid w:val="006D2AF2"/>
    <w:rsid w:val="006D41A5"/>
    <w:rsid w:val="006D51ED"/>
    <w:rsid w:val="006D65A9"/>
    <w:rsid w:val="006D68D8"/>
    <w:rsid w:val="006D71CF"/>
    <w:rsid w:val="006D7325"/>
    <w:rsid w:val="006D782D"/>
    <w:rsid w:val="006E0003"/>
    <w:rsid w:val="006E108B"/>
    <w:rsid w:val="006E12F1"/>
    <w:rsid w:val="006E1B5F"/>
    <w:rsid w:val="006E288D"/>
    <w:rsid w:val="006E2C5D"/>
    <w:rsid w:val="006E3432"/>
    <w:rsid w:val="006E5A6B"/>
    <w:rsid w:val="006E5BA3"/>
    <w:rsid w:val="006E6405"/>
    <w:rsid w:val="006E641C"/>
    <w:rsid w:val="006E6788"/>
    <w:rsid w:val="006F0D8A"/>
    <w:rsid w:val="006F1047"/>
    <w:rsid w:val="006F1FC9"/>
    <w:rsid w:val="006F3A7B"/>
    <w:rsid w:val="006F4456"/>
    <w:rsid w:val="006F4658"/>
    <w:rsid w:val="006F4EAF"/>
    <w:rsid w:val="006F5CAC"/>
    <w:rsid w:val="006F6705"/>
    <w:rsid w:val="006F6F68"/>
    <w:rsid w:val="006F73A1"/>
    <w:rsid w:val="006F75AF"/>
    <w:rsid w:val="00700AFC"/>
    <w:rsid w:val="00700C1F"/>
    <w:rsid w:val="0070128D"/>
    <w:rsid w:val="007049A9"/>
    <w:rsid w:val="00704AA4"/>
    <w:rsid w:val="00705DF2"/>
    <w:rsid w:val="00706105"/>
    <w:rsid w:val="00706694"/>
    <w:rsid w:val="00707594"/>
    <w:rsid w:val="00707BD7"/>
    <w:rsid w:val="0071046A"/>
    <w:rsid w:val="00710C07"/>
    <w:rsid w:val="007112EE"/>
    <w:rsid w:val="007130A2"/>
    <w:rsid w:val="007148F4"/>
    <w:rsid w:val="00714BD5"/>
    <w:rsid w:val="00716E55"/>
    <w:rsid w:val="00717A83"/>
    <w:rsid w:val="00723213"/>
    <w:rsid w:val="00723C8D"/>
    <w:rsid w:val="00724643"/>
    <w:rsid w:val="00726E71"/>
    <w:rsid w:val="00730CC7"/>
    <w:rsid w:val="00731628"/>
    <w:rsid w:val="007316C4"/>
    <w:rsid w:val="00731872"/>
    <w:rsid w:val="007330D1"/>
    <w:rsid w:val="007336DD"/>
    <w:rsid w:val="007337AF"/>
    <w:rsid w:val="00735A3A"/>
    <w:rsid w:val="00735D0D"/>
    <w:rsid w:val="0073622B"/>
    <w:rsid w:val="00736549"/>
    <w:rsid w:val="007369F7"/>
    <w:rsid w:val="00737EC7"/>
    <w:rsid w:val="00740437"/>
    <w:rsid w:val="007420AF"/>
    <w:rsid w:val="0074410E"/>
    <w:rsid w:val="00744F23"/>
    <w:rsid w:val="007456F7"/>
    <w:rsid w:val="0074608C"/>
    <w:rsid w:val="007466EE"/>
    <w:rsid w:val="00746DCD"/>
    <w:rsid w:val="00747B58"/>
    <w:rsid w:val="00750DE8"/>
    <w:rsid w:val="00752248"/>
    <w:rsid w:val="0075255C"/>
    <w:rsid w:val="00755395"/>
    <w:rsid w:val="00756909"/>
    <w:rsid w:val="00757535"/>
    <w:rsid w:val="0075757D"/>
    <w:rsid w:val="007577A4"/>
    <w:rsid w:val="00757B4A"/>
    <w:rsid w:val="00760BD7"/>
    <w:rsid w:val="00761409"/>
    <w:rsid w:val="00761801"/>
    <w:rsid w:val="00761D38"/>
    <w:rsid w:val="0076211E"/>
    <w:rsid w:val="007627CB"/>
    <w:rsid w:val="007631D1"/>
    <w:rsid w:val="00763875"/>
    <w:rsid w:val="0076484D"/>
    <w:rsid w:val="00767650"/>
    <w:rsid w:val="0076773A"/>
    <w:rsid w:val="007705BD"/>
    <w:rsid w:val="0077260E"/>
    <w:rsid w:val="007733B2"/>
    <w:rsid w:val="00773480"/>
    <w:rsid w:val="00773F17"/>
    <w:rsid w:val="007746E9"/>
    <w:rsid w:val="0077725F"/>
    <w:rsid w:val="007777CD"/>
    <w:rsid w:val="0078269D"/>
    <w:rsid w:val="00782A62"/>
    <w:rsid w:val="00784E53"/>
    <w:rsid w:val="00785ACB"/>
    <w:rsid w:val="00785BD6"/>
    <w:rsid w:val="007863F8"/>
    <w:rsid w:val="007865AB"/>
    <w:rsid w:val="00786D8A"/>
    <w:rsid w:val="00787245"/>
    <w:rsid w:val="00787D51"/>
    <w:rsid w:val="007906F5"/>
    <w:rsid w:val="00791D5B"/>
    <w:rsid w:val="00793BC6"/>
    <w:rsid w:val="007949A9"/>
    <w:rsid w:val="00794CC6"/>
    <w:rsid w:val="00795984"/>
    <w:rsid w:val="00795B0B"/>
    <w:rsid w:val="00796CDB"/>
    <w:rsid w:val="007A03C9"/>
    <w:rsid w:val="007A0FCD"/>
    <w:rsid w:val="007A3974"/>
    <w:rsid w:val="007A3CDC"/>
    <w:rsid w:val="007A4ECE"/>
    <w:rsid w:val="007A53E9"/>
    <w:rsid w:val="007A549F"/>
    <w:rsid w:val="007A667E"/>
    <w:rsid w:val="007A7414"/>
    <w:rsid w:val="007A750B"/>
    <w:rsid w:val="007A7A46"/>
    <w:rsid w:val="007B1153"/>
    <w:rsid w:val="007B21BB"/>
    <w:rsid w:val="007B2485"/>
    <w:rsid w:val="007B3D27"/>
    <w:rsid w:val="007B4980"/>
    <w:rsid w:val="007B5A24"/>
    <w:rsid w:val="007B762E"/>
    <w:rsid w:val="007B7780"/>
    <w:rsid w:val="007C14B3"/>
    <w:rsid w:val="007C1BAF"/>
    <w:rsid w:val="007C3208"/>
    <w:rsid w:val="007C4C0B"/>
    <w:rsid w:val="007C4E5A"/>
    <w:rsid w:val="007C629D"/>
    <w:rsid w:val="007C6B0A"/>
    <w:rsid w:val="007C76B6"/>
    <w:rsid w:val="007C783A"/>
    <w:rsid w:val="007D01C6"/>
    <w:rsid w:val="007D0AFA"/>
    <w:rsid w:val="007D132E"/>
    <w:rsid w:val="007D1F49"/>
    <w:rsid w:val="007D2475"/>
    <w:rsid w:val="007D27D9"/>
    <w:rsid w:val="007D2E07"/>
    <w:rsid w:val="007D2E85"/>
    <w:rsid w:val="007D4804"/>
    <w:rsid w:val="007D4B7C"/>
    <w:rsid w:val="007D504D"/>
    <w:rsid w:val="007D5114"/>
    <w:rsid w:val="007D5A45"/>
    <w:rsid w:val="007D6A4B"/>
    <w:rsid w:val="007D7B59"/>
    <w:rsid w:val="007E0145"/>
    <w:rsid w:val="007E03B1"/>
    <w:rsid w:val="007E06C8"/>
    <w:rsid w:val="007E0DBF"/>
    <w:rsid w:val="007E11D6"/>
    <w:rsid w:val="007E232E"/>
    <w:rsid w:val="007E396B"/>
    <w:rsid w:val="007E5EC8"/>
    <w:rsid w:val="007E6206"/>
    <w:rsid w:val="007E74A8"/>
    <w:rsid w:val="007E754E"/>
    <w:rsid w:val="007E7F58"/>
    <w:rsid w:val="007F0006"/>
    <w:rsid w:val="007F0856"/>
    <w:rsid w:val="007F1365"/>
    <w:rsid w:val="007F3C7A"/>
    <w:rsid w:val="00801FA6"/>
    <w:rsid w:val="0080289B"/>
    <w:rsid w:val="008028D8"/>
    <w:rsid w:val="00802904"/>
    <w:rsid w:val="00803332"/>
    <w:rsid w:val="00804D0F"/>
    <w:rsid w:val="008060B4"/>
    <w:rsid w:val="00806CA7"/>
    <w:rsid w:val="00807BAA"/>
    <w:rsid w:val="00810D37"/>
    <w:rsid w:val="008119C0"/>
    <w:rsid w:val="008122BA"/>
    <w:rsid w:val="008132BD"/>
    <w:rsid w:val="0081345F"/>
    <w:rsid w:val="00813702"/>
    <w:rsid w:val="00814A28"/>
    <w:rsid w:val="00816420"/>
    <w:rsid w:val="00816470"/>
    <w:rsid w:val="00817874"/>
    <w:rsid w:val="00817C5B"/>
    <w:rsid w:val="00820053"/>
    <w:rsid w:val="00820142"/>
    <w:rsid w:val="00820818"/>
    <w:rsid w:val="00821862"/>
    <w:rsid w:val="008251DA"/>
    <w:rsid w:val="0082721B"/>
    <w:rsid w:val="00830915"/>
    <w:rsid w:val="00830A08"/>
    <w:rsid w:val="00830B56"/>
    <w:rsid w:val="008312D1"/>
    <w:rsid w:val="00832878"/>
    <w:rsid w:val="008331E4"/>
    <w:rsid w:val="008338AB"/>
    <w:rsid w:val="00833973"/>
    <w:rsid w:val="00833E67"/>
    <w:rsid w:val="008348FB"/>
    <w:rsid w:val="008360E3"/>
    <w:rsid w:val="00836639"/>
    <w:rsid w:val="00836753"/>
    <w:rsid w:val="0083711D"/>
    <w:rsid w:val="0084067A"/>
    <w:rsid w:val="00840AC9"/>
    <w:rsid w:val="00841290"/>
    <w:rsid w:val="008413D2"/>
    <w:rsid w:val="00842FAC"/>
    <w:rsid w:val="0084461D"/>
    <w:rsid w:val="008448AE"/>
    <w:rsid w:val="00844FB1"/>
    <w:rsid w:val="00845B86"/>
    <w:rsid w:val="008462E5"/>
    <w:rsid w:val="00846590"/>
    <w:rsid w:val="00846884"/>
    <w:rsid w:val="00847C48"/>
    <w:rsid w:val="00847D76"/>
    <w:rsid w:val="00852188"/>
    <w:rsid w:val="008527A4"/>
    <w:rsid w:val="008528C0"/>
    <w:rsid w:val="0085433C"/>
    <w:rsid w:val="00855439"/>
    <w:rsid w:val="008617C1"/>
    <w:rsid w:val="00862CAB"/>
    <w:rsid w:val="00863A46"/>
    <w:rsid w:val="008656B0"/>
    <w:rsid w:val="00866E55"/>
    <w:rsid w:val="00871A61"/>
    <w:rsid w:val="00872196"/>
    <w:rsid w:val="008723D3"/>
    <w:rsid w:val="008729F2"/>
    <w:rsid w:val="008739A1"/>
    <w:rsid w:val="00875A61"/>
    <w:rsid w:val="0087734A"/>
    <w:rsid w:val="00880DE3"/>
    <w:rsid w:val="008810DF"/>
    <w:rsid w:val="00881A22"/>
    <w:rsid w:val="008827E9"/>
    <w:rsid w:val="00882BB7"/>
    <w:rsid w:val="0088338B"/>
    <w:rsid w:val="00883B36"/>
    <w:rsid w:val="00883C69"/>
    <w:rsid w:val="0088424B"/>
    <w:rsid w:val="008867FB"/>
    <w:rsid w:val="00886D1B"/>
    <w:rsid w:val="00891C10"/>
    <w:rsid w:val="008927C0"/>
    <w:rsid w:val="00893F66"/>
    <w:rsid w:val="00893F8F"/>
    <w:rsid w:val="00893FA9"/>
    <w:rsid w:val="008945AD"/>
    <w:rsid w:val="00894A32"/>
    <w:rsid w:val="00894EF7"/>
    <w:rsid w:val="00895441"/>
    <w:rsid w:val="00895B74"/>
    <w:rsid w:val="00896463"/>
    <w:rsid w:val="0089752A"/>
    <w:rsid w:val="008A0495"/>
    <w:rsid w:val="008A08B1"/>
    <w:rsid w:val="008A22F5"/>
    <w:rsid w:val="008A2C61"/>
    <w:rsid w:val="008A374C"/>
    <w:rsid w:val="008A54A8"/>
    <w:rsid w:val="008A75F5"/>
    <w:rsid w:val="008A7E0A"/>
    <w:rsid w:val="008B05C7"/>
    <w:rsid w:val="008B0F63"/>
    <w:rsid w:val="008B39BF"/>
    <w:rsid w:val="008B3EA3"/>
    <w:rsid w:val="008B4878"/>
    <w:rsid w:val="008B5A60"/>
    <w:rsid w:val="008C21D2"/>
    <w:rsid w:val="008C2E44"/>
    <w:rsid w:val="008C3119"/>
    <w:rsid w:val="008C3C5F"/>
    <w:rsid w:val="008C3E92"/>
    <w:rsid w:val="008C4099"/>
    <w:rsid w:val="008C56EF"/>
    <w:rsid w:val="008C5960"/>
    <w:rsid w:val="008C60D4"/>
    <w:rsid w:val="008C65A7"/>
    <w:rsid w:val="008D0319"/>
    <w:rsid w:val="008D072E"/>
    <w:rsid w:val="008D0EAB"/>
    <w:rsid w:val="008D11F0"/>
    <w:rsid w:val="008D205B"/>
    <w:rsid w:val="008D3832"/>
    <w:rsid w:val="008D45DD"/>
    <w:rsid w:val="008D5D0B"/>
    <w:rsid w:val="008D7A8E"/>
    <w:rsid w:val="008D7BA3"/>
    <w:rsid w:val="008E02CA"/>
    <w:rsid w:val="008E0B14"/>
    <w:rsid w:val="008E0FDD"/>
    <w:rsid w:val="008E1203"/>
    <w:rsid w:val="008E163E"/>
    <w:rsid w:val="008E1E62"/>
    <w:rsid w:val="008E28F2"/>
    <w:rsid w:val="008E3449"/>
    <w:rsid w:val="008E6330"/>
    <w:rsid w:val="008E6456"/>
    <w:rsid w:val="008E66DF"/>
    <w:rsid w:val="008E7637"/>
    <w:rsid w:val="008F0045"/>
    <w:rsid w:val="008F0A0C"/>
    <w:rsid w:val="008F0D69"/>
    <w:rsid w:val="008F1BCE"/>
    <w:rsid w:val="008F1C62"/>
    <w:rsid w:val="008F367E"/>
    <w:rsid w:val="008F4A0A"/>
    <w:rsid w:val="008F5C5B"/>
    <w:rsid w:val="008F5D3F"/>
    <w:rsid w:val="008F5FB6"/>
    <w:rsid w:val="008F608B"/>
    <w:rsid w:val="008F676A"/>
    <w:rsid w:val="008F6EC9"/>
    <w:rsid w:val="008F7682"/>
    <w:rsid w:val="008F7A2E"/>
    <w:rsid w:val="009005D6"/>
    <w:rsid w:val="009016E1"/>
    <w:rsid w:val="009020DF"/>
    <w:rsid w:val="00902CA4"/>
    <w:rsid w:val="00902F41"/>
    <w:rsid w:val="00903644"/>
    <w:rsid w:val="00906EF9"/>
    <w:rsid w:val="00907240"/>
    <w:rsid w:val="0090746A"/>
    <w:rsid w:val="00910A3C"/>
    <w:rsid w:val="00911030"/>
    <w:rsid w:val="00911C6B"/>
    <w:rsid w:val="009126C0"/>
    <w:rsid w:val="0091294B"/>
    <w:rsid w:val="00912F20"/>
    <w:rsid w:val="0091467B"/>
    <w:rsid w:val="009162C6"/>
    <w:rsid w:val="00916CC5"/>
    <w:rsid w:val="00916EFB"/>
    <w:rsid w:val="00917666"/>
    <w:rsid w:val="009202D9"/>
    <w:rsid w:val="00921236"/>
    <w:rsid w:val="009213FD"/>
    <w:rsid w:val="00921BAF"/>
    <w:rsid w:val="00922CD5"/>
    <w:rsid w:val="0092377F"/>
    <w:rsid w:val="00924201"/>
    <w:rsid w:val="0092496D"/>
    <w:rsid w:val="00924E1D"/>
    <w:rsid w:val="0092522E"/>
    <w:rsid w:val="00925368"/>
    <w:rsid w:val="009258F0"/>
    <w:rsid w:val="00925CBA"/>
    <w:rsid w:val="00926000"/>
    <w:rsid w:val="00926770"/>
    <w:rsid w:val="0092728F"/>
    <w:rsid w:val="009309B0"/>
    <w:rsid w:val="00930BED"/>
    <w:rsid w:val="0093120D"/>
    <w:rsid w:val="00931C3A"/>
    <w:rsid w:val="00931E95"/>
    <w:rsid w:val="009327A0"/>
    <w:rsid w:val="0093339A"/>
    <w:rsid w:val="00940A39"/>
    <w:rsid w:val="00940EB4"/>
    <w:rsid w:val="0094111B"/>
    <w:rsid w:val="00941672"/>
    <w:rsid w:val="00942280"/>
    <w:rsid w:val="00943FE3"/>
    <w:rsid w:val="00944508"/>
    <w:rsid w:val="00944BFC"/>
    <w:rsid w:val="00945512"/>
    <w:rsid w:val="00945829"/>
    <w:rsid w:val="00945B5E"/>
    <w:rsid w:val="00946170"/>
    <w:rsid w:val="009466ED"/>
    <w:rsid w:val="00946828"/>
    <w:rsid w:val="0095274C"/>
    <w:rsid w:val="00953269"/>
    <w:rsid w:val="009533FD"/>
    <w:rsid w:val="0095392F"/>
    <w:rsid w:val="00953ACC"/>
    <w:rsid w:val="00955D0F"/>
    <w:rsid w:val="009565A8"/>
    <w:rsid w:val="009566F9"/>
    <w:rsid w:val="00956EF0"/>
    <w:rsid w:val="00957CAA"/>
    <w:rsid w:val="009607D2"/>
    <w:rsid w:val="00960AAA"/>
    <w:rsid w:val="00961A4E"/>
    <w:rsid w:val="00962B1B"/>
    <w:rsid w:val="009632AD"/>
    <w:rsid w:val="00965650"/>
    <w:rsid w:val="00965F68"/>
    <w:rsid w:val="0096640F"/>
    <w:rsid w:val="009665C1"/>
    <w:rsid w:val="00966663"/>
    <w:rsid w:val="00967304"/>
    <w:rsid w:val="00967371"/>
    <w:rsid w:val="00967D21"/>
    <w:rsid w:val="009711A7"/>
    <w:rsid w:val="00971427"/>
    <w:rsid w:val="009732E7"/>
    <w:rsid w:val="0097332F"/>
    <w:rsid w:val="0097485E"/>
    <w:rsid w:val="00974C46"/>
    <w:rsid w:val="00975035"/>
    <w:rsid w:val="00975146"/>
    <w:rsid w:val="00975323"/>
    <w:rsid w:val="00976B82"/>
    <w:rsid w:val="00977553"/>
    <w:rsid w:val="00977C87"/>
    <w:rsid w:val="00980C91"/>
    <w:rsid w:val="0098106B"/>
    <w:rsid w:val="009810B2"/>
    <w:rsid w:val="00982915"/>
    <w:rsid w:val="00982F48"/>
    <w:rsid w:val="0098330A"/>
    <w:rsid w:val="00983401"/>
    <w:rsid w:val="0098482C"/>
    <w:rsid w:val="0098514E"/>
    <w:rsid w:val="0098730F"/>
    <w:rsid w:val="00987778"/>
    <w:rsid w:val="00990CAC"/>
    <w:rsid w:val="009911B2"/>
    <w:rsid w:val="00991F46"/>
    <w:rsid w:val="00992723"/>
    <w:rsid w:val="00993B85"/>
    <w:rsid w:val="00993DB6"/>
    <w:rsid w:val="00994D1E"/>
    <w:rsid w:val="00996932"/>
    <w:rsid w:val="00997B4D"/>
    <w:rsid w:val="00997E16"/>
    <w:rsid w:val="009A07DC"/>
    <w:rsid w:val="009A0BCD"/>
    <w:rsid w:val="009A0C81"/>
    <w:rsid w:val="009A3082"/>
    <w:rsid w:val="009A311A"/>
    <w:rsid w:val="009A3148"/>
    <w:rsid w:val="009A3217"/>
    <w:rsid w:val="009A35D7"/>
    <w:rsid w:val="009A3B24"/>
    <w:rsid w:val="009A3D27"/>
    <w:rsid w:val="009A4E63"/>
    <w:rsid w:val="009A6CEB"/>
    <w:rsid w:val="009B0071"/>
    <w:rsid w:val="009B16B1"/>
    <w:rsid w:val="009B1BC4"/>
    <w:rsid w:val="009B31BF"/>
    <w:rsid w:val="009B34D3"/>
    <w:rsid w:val="009B3DE6"/>
    <w:rsid w:val="009B490B"/>
    <w:rsid w:val="009B61F8"/>
    <w:rsid w:val="009B652D"/>
    <w:rsid w:val="009B68B4"/>
    <w:rsid w:val="009B7025"/>
    <w:rsid w:val="009C15F4"/>
    <w:rsid w:val="009C4439"/>
    <w:rsid w:val="009C458B"/>
    <w:rsid w:val="009C4A81"/>
    <w:rsid w:val="009C4F24"/>
    <w:rsid w:val="009D0CAA"/>
    <w:rsid w:val="009D191F"/>
    <w:rsid w:val="009D2F35"/>
    <w:rsid w:val="009D311B"/>
    <w:rsid w:val="009D3CFA"/>
    <w:rsid w:val="009D43BC"/>
    <w:rsid w:val="009D7E3F"/>
    <w:rsid w:val="009D7EB5"/>
    <w:rsid w:val="009E076F"/>
    <w:rsid w:val="009E106C"/>
    <w:rsid w:val="009E1C95"/>
    <w:rsid w:val="009E2432"/>
    <w:rsid w:val="009E3575"/>
    <w:rsid w:val="009E3C14"/>
    <w:rsid w:val="009E4480"/>
    <w:rsid w:val="009E47D7"/>
    <w:rsid w:val="009E4A05"/>
    <w:rsid w:val="009E4C22"/>
    <w:rsid w:val="009E5A91"/>
    <w:rsid w:val="009E7DFB"/>
    <w:rsid w:val="009F0721"/>
    <w:rsid w:val="009F1CA8"/>
    <w:rsid w:val="009F342A"/>
    <w:rsid w:val="009F433F"/>
    <w:rsid w:val="009F593C"/>
    <w:rsid w:val="009F5E6C"/>
    <w:rsid w:val="009F60FE"/>
    <w:rsid w:val="009F72FD"/>
    <w:rsid w:val="00A006AD"/>
    <w:rsid w:val="00A00CCB"/>
    <w:rsid w:val="00A01CA2"/>
    <w:rsid w:val="00A01CFA"/>
    <w:rsid w:val="00A0283C"/>
    <w:rsid w:val="00A03D4C"/>
    <w:rsid w:val="00A04C23"/>
    <w:rsid w:val="00A04F30"/>
    <w:rsid w:val="00A055C3"/>
    <w:rsid w:val="00A061A1"/>
    <w:rsid w:val="00A06935"/>
    <w:rsid w:val="00A075C3"/>
    <w:rsid w:val="00A0799B"/>
    <w:rsid w:val="00A1016A"/>
    <w:rsid w:val="00A104E8"/>
    <w:rsid w:val="00A1069F"/>
    <w:rsid w:val="00A106A2"/>
    <w:rsid w:val="00A10EEC"/>
    <w:rsid w:val="00A10FBB"/>
    <w:rsid w:val="00A12768"/>
    <w:rsid w:val="00A1519C"/>
    <w:rsid w:val="00A15C4E"/>
    <w:rsid w:val="00A16027"/>
    <w:rsid w:val="00A165E5"/>
    <w:rsid w:val="00A17DE2"/>
    <w:rsid w:val="00A17EC6"/>
    <w:rsid w:val="00A214AC"/>
    <w:rsid w:val="00A2247C"/>
    <w:rsid w:val="00A22D93"/>
    <w:rsid w:val="00A22F0B"/>
    <w:rsid w:val="00A23551"/>
    <w:rsid w:val="00A23AD9"/>
    <w:rsid w:val="00A2457C"/>
    <w:rsid w:val="00A249A0"/>
    <w:rsid w:val="00A25A9D"/>
    <w:rsid w:val="00A3188F"/>
    <w:rsid w:val="00A31969"/>
    <w:rsid w:val="00A32041"/>
    <w:rsid w:val="00A347C3"/>
    <w:rsid w:val="00A35881"/>
    <w:rsid w:val="00A36583"/>
    <w:rsid w:val="00A37292"/>
    <w:rsid w:val="00A37A38"/>
    <w:rsid w:val="00A40D71"/>
    <w:rsid w:val="00A41B9F"/>
    <w:rsid w:val="00A42878"/>
    <w:rsid w:val="00A4309D"/>
    <w:rsid w:val="00A4390C"/>
    <w:rsid w:val="00A43DD3"/>
    <w:rsid w:val="00A4672F"/>
    <w:rsid w:val="00A468F2"/>
    <w:rsid w:val="00A46E5B"/>
    <w:rsid w:val="00A4742A"/>
    <w:rsid w:val="00A47D3C"/>
    <w:rsid w:val="00A503F9"/>
    <w:rsid w:val="00A50D34"/>
    <w:rsid w:val="00A51119"/>
    <w:rsid w:val="00A51661"/>
    <w:rsid w:val="00A527FF"/>
    <w:rsid w:val="00A53613"/>
    <w:rsid w:val="00A54C26"/>
    <w:rsid w:val="00A56936"/>
    <w:rsid w:val="00A56A90"/>
    <w:rsid w:val="00A56F7F"/>
    <w:rsid w:val="00A605E9"/>
    <w:rsid w:val="00A61655"/>
    <w:rsid w:val="00A6262D"/>
    <w:rsid w:val="00A6268D"/>
    <w:rsid w:val="00A62B0F"/>
    <w:rsid w:val="00A63097"/>
    <w:rsid w:val="00A65E7B"/>
    <w:rsid w:val="00A65F38"/>
    <w:rsid w:val="00A6731F"/>
    <w:rsid w:val="00A70039"/>
    <w:rsid w:val="00A71A66"/>
    <w:rsid w:val="00A73223"/>
    <w:rsid w:val="00A7376A"/>
    <w:rsid w:val="00A747E0"/>
    <w:rsid w:val="00A754EF"/>
    <w:rsid w:val="00A75660"/>
    <w:rsid w:val="00A75743"/>
    <w:rsid w:val="00A7729C"/>
    <w:rsid w:val="00A77BC2"/>
    <w:rsid w:val="00A80367"/>
    <w:rsid w:val="00A808BB"/>
    <w:rsid w:val="00A81097"/>
    <w:rsid w:val="00A81C08"/>
    <w:rsid w:val="00A82ACE"/>
    <w:rsid w:val="00A8374D"/>
    <w:rsid w:val="00A84209"/>
    <w:rsid w:val="00A84A8D"/>
    <w:rsid w:val="00A84FA6"/>
    <w:rsid w:val="00A86499"/>
    <w:rsid w:val="00A864FE"/>
    <w:rsid w:val="00A86A24"/>
    <w:rsid w:val="00A87137"/>
    <w:rsid w:val="00A9050B"/>
    <w:rsid w:val="00A90FEB"/>
    <w:rsid w:val="00A91653"/>
    <w:rsid w:val="00A918DC"/>
    <w:rsid w:val="00A93575"/>
    <w:rsid w:val="00A93970"/>
    <w:rsid w:val="00A93B15"/>
    <w:rsid w:val="00A946AB"/>
    <w:rsid w:val="00A963B9"/>
    <w:rsid w:val="00A96FFE"/>
    <w:rsid w:val="00A971FF"/>
    <w:rsid w:val="00A974D6"/>
    <w:rsid w:val="00A97E3F"/>
    <w:rsid w:val="00AA0722"/>
    <w:rsid w:val="00AA0FE9"/>
    <w:rsid w:val="00AA2FE7"/>
    <w:rsid w:val="00AA2FF4"/>
    <w:rsid w:val="00AA3FC7"/>
    <w:rsid w:val="00AA44B5"/>
    <w:rsid w:val="00AA4E8E"/>
    <w:rsid w:val="00AA5A8C"/>
    <w:rsid w:val="00AA5E02"/>
    <w:rsid w:val="00AA656A"/>
    <w:rsid w:val="00AA6E5D"/>
    <w:rsid w:val="00AB069C"/>
    <w:rsid w:val="00AB2411"/>
    <w:rsid w:val="00AB27A4"/>
    <w:rsid w:val="00AB29EE"/>
    <w:rsid w:val="00AB2EE7"/>
    <w:rsid w:val="00AB6522"/>
    <w:rsid w:val="00AB6CF5"/>
    <w:rsid w:val="00AC0BB9"/>
    <w:rsid w:val="00AC1921"/>
    <w:rsid w:val="00AC29CF"/>
    <w:rsid w:val="00AC460B"/>
    <w:rsid w:val="00AC4FA7"/>
    <w:rsid w:val="00AC5BBD"/>
    <w:rsid w:val="00AC6076"/>
    <w:rsid w:val="00AC768D"/>
    <w:rsid w:val="00AC79A3"/>
    <w:rsid w:val="00AD02FF"/>
    <w:rsid w:val="00AD0564"/>
    <w:rsid w:val="00AD0576"/>
    <w:rsid w:val="00AD0C32"/>
    <w:rsid w:val="00AD223A"/>
    <w:rsid w:val="00AD2E1B"/>
    <w:rsid w:val="00AD4111"/>
    <w:rsid w:val="00AD4689"/>
    <w:rsid w:val="00AD4C7B"/>
    <w:rsid w:val="00AD4D82"/>
    <w:rsid w:val="00AD74EC"/>
    <w:rsid w:val="00AD7E2A"/>
    <w:rsid w:val="00AE0AAE"/>
    <w:rsid w:val="00AE1112"/>
    <w:rsid w:val="00AE44CA"/>
    <w:rsid w:val="00AE590E"/>
    <w:rsid w:val="00AE709F"/>
    <w:rsid w:val="00AE76D1"/>
    <w:rsid w:val="00AF0D24"/>
    <w:rsid w:val="00AF145F"/>
    <w:rsid w:val="00AF1FCA"/>
    <w:rsid w:val="00AF1FCD"/>
    <w:rsid w:val="00AF21D8"/>
    <w:rsid w:val="00AF229D"/>
    <w:rsid w:val="00AF2B7A"/>
    <w:rsid w:val="00AF3449"/>
    <w:rsid w:val="00AF345F"/>
    <w:rsid w:val="00AF4395"/>
    <w:rsid w:val="00AF4D5E"/>
    <w:rsid w:val="00AF6796"/>
    <w:rsid w:val="00AF6A71"/>
    <w:rsid w:val="00AF78A1"/>
    <w:rsid w:val="00B009B5"/>
    <w:rsid w:val="00B00F0A"/>
    <w:rsid w:val="00B01E39"/>
    <w:rsid w:val="00B0292A"/>
    <w:rsid w:val="00B04FE2"/>
    <w:rsid w:val="00B06AA5"/>
    <w:rsid w:val="00B07B8D"/>
    <w:rsid w:val="00B1002A"/>
    <w:rsid w:val="00B10369"/>
    <w:rsid w:val="00B12DE4"/>
    <w:rsid w:val="00B14F91"/>
    <w:rsid w:val="00B150CA"/>
    <w:rsid w:val="00B169A2"/>
    <w:rsid w:val="00B1796D"/>
    <w:rsid w:val="00B20E1F"/>
    <w:rsid w:val="00B21622"/>
    <w:rsid w:val="00B2238A"/>
    <w:rsid w:val="00B22FA6"/>
    <w:rsid w:val="00B23186"/>
    <w:rsid w:val="00B236DF"/>
    <w:rsid w:val="00B24908"/>
    <w:rsid w:val="00B25403"/>
    <w:rsid w:val="00B2623C"/>
    <w:rsid w:val="00B26A2B"/>
    <w:rsid w:val="00B26AE7"/>
    <w:rsid w:val="00B27528"/>
    <w:rsid w:val="00B2781F"/>
    <w:rsid w:val="00B27833"/>
    <w:rsid w:val="00B27942"/>
    <w:rsid w:val="00B30CEE"/>
    <w:rsid w:val="00B31F67"/>
    <w:rsid w:val="00B32652"/>
    <w:rsid w:val="00B32832"/>
    <w:rsid w:val="00B338B7"/>
    <w:rsid w:val="00B339EB"/>
    <w:rsid w:val="00B34C46"/>
    <w:rsid w:val="00B3711C"/>
    <w:rsid w:val="00B37BD2"/>
    <w:rsid w:val="00B40912"/>
    <w:rsid w:val="00B417E9"/>
    <w:rsid w:val="00B42228"/>
    <w:rsid w:val="00B45899"/>
    <w:rsid w:val="00B45B86"/>
    <w:rsid w:val="00B45D80"/>
    <w:rsid w:val="00B464D9"/>
    <w:rsid w:val="00B46D3A"/>
    <w:rsid w:val="00B4744A"/>
    <w:rsid w:val="00B47B87"/>
    <w:rsid w:val="00B47EFB"/>
    <w:rsid w:val="00B47FC8"/>
    <w:rsid w:val="00B51090"/>
    <w:rsid w:val="00B5127D"/>
    <w:rsid w:val="00B52EAD"/>
    <w:rsid w:val="00B534E3"/>
    <w:rsid w:val="00B53A6E"/>
    <w:rsid w:val="00B543C3"/>
    <w:rsid w:val="00B5554F"/>
    <w:rsid w:val="00B55C47"/>
    <w:rsid w:val="00B55ED0"/>
    <w:rsid w:val="00B563B6"/>
    <w:rsid w:val="00B56BF7"/>
    <w:rsid w:val="00B577B7"/>
    <w:rsid w:val="00B60437"/>
    <w:rsid w:val="00B61F80"/>
    <w:rsid w:val="00B63C72"/>
    <w:rsid w:val="00B63D28"/>
    <w:rsid w:val="00B648FF"/>
    <w:rsid w:val="00B667D8"/>
    <w:rsid w:val="00B676BC"/>
    <w:rsid w:val="00B677DC"/>
    <w:rsid w:val="00B67E40"/>
    <w:rsid w:val="00B70449"/>
    <w:rsid w:val="00B7127A"/>
    <w:rsid w:val="00B7312A"/>
    <w:rsid w:val="00B741CB"/>
    <w:rsid w:val="00B7475A"/>
    <w:rsid w:val="00B74C7C"/>
    <w:rsid w:val="00B755A6"/>
    <w:rsid w:val="00B76253"/>
    <w:rsid w:val="00B76BD0"/>
    <w:rsid w:val="00B81D2B"/>
    <w:rsid w:val="00B8235D"/>
    <w:rsid w:val="00B82893"/>
    <w:rsid w:val="00B83C97"/>
    <w:rsid w:val="00B844D4"/>
    <w:rsid w:val="00B84C25"/>
    <w:rsid w:val="00B8515C"/>
    <w:rsid w:val="00B85E94"/>
    <w:rsid w:val="00B876E3"/>
    <w:rsid w:val="00B87E0D"/>
    <w:rsid w:val="00B90405"/>
    <w:rsid w:val="00B90D72"/>
    <w:rsid w:val="00B916C2"/>
    <w:rsid w:val="00B92B51"/>
    <w:rsid w:val="00B92E28"/>
    <w:rsid w:val="00B94B1F"/>
    <w:rsid w:val="00B94DC3"/>
    <w:rsid w:val="00B96759"/>
    <w:rsid w:val="00B9751B"/>
    <w:rsid w:val="00BA2A4B"/>
    <w:rsid w:val="00BA3AAA"/>
    <w:rsid w:val="00BA4398"/>
    <w:rsid w:val="00BA6605"/>
    <w:rsid w:val="00BA692D"/>
    <w:rsid w:val="00BA7AF2"/>
    <w:rsid w:val="00BB0014"/>
    <w:rsid w:val="00BB138A"/>
    <w:rsid w:val="00BB257C"/>
    <w:rsid w:val="00BB35ED"/>
    <w:rsid w:val="00BB3D77"/>
    <w:rsid w:val="00BB44EB"/>
    <w:rsid w:val="00BB535E"/>
    <w:rsid w:val="00BB6227"/>
    <w:rsid w:val="00BB6BC5"/>
    <w:rsid w:val="00BC0522"/>
    <w:rsid w:val="00BC0867"/>
    <w:rsid w:val="00BC104A"/>
    <w:rsid w:val="00BC1D89"/>
    <w:rsid w:val="00BC4091"/>
    <w:rsid w:val="00BC4982"/>
    <w:rsid w:val="00BC4F34"/>
    <w:rsid w:val="00BC501D"/>
    <w:rsid w:val="00BC68E1"/>
    <w:rsid w:val="00BC7576"/>
    <w:rsid w:val="00BC7703"/>
    <w:rsid w:val="00BC7FED"/>
    <w:rsid w:val="00BD124B"/>
    <w:rsid w:val="00BD2CE5"/>
    <w:rsid w:val="00BD3C27"/>
    <w:rsid w:val="00BD3E9C"/>
    <w:rsid w:val="00BD530C"/>
    <w:rsid w:val="00BD6B10"/>
    <w:rsid w:val="00BD7D14"/>
    <w:rsid w:val="00BE058D"/>
    <w:rsid w:val="00BE12D3"/>
    <w:rsid w:val="00BE18DD"/>
    <w:rsid w:val="00BE21DB"/>
    <w:rsid w:val="00BE2664"/>
    <w:rsid w:val="00BE3A30"/>
    <w:rsid w:val="00BE4170"/>
    <w:rsid w:val="00BE511C"/>
    <w:rsid w:val="00BE5989"/>
    <w:rsid w:val="00BE5E41"/>
    <w:rsid w:val="00BE6951"/>
    <w:rsid w:val="00BE7102"/>
    <w:rsid w:val="00BE772A"/>
    <w:rsid w:val="00BE7D1A"/>
    <w:rsid w:val="00BF14CB"/>
    <w:rsid w:val="00BF1536"/>
    <w:rsid w:val="00BF1AF7"/>
    <w:rsid w:val="00BF2259"/>
    <w:rsid w:val="00BF3465"/>
    <w:rsid w:val="00BF3A57"/>
    <w:rsid w:val="00BF3EE2"/>
    <w:rsid w:val="00BF42ED"/>
    <w:rsid w:val="00BF4F62"/>
    <w:rsid w:val="00BF51B4"/>
    <w:rsid w:val="00BF5F43"/>
    <w:rsid w:val="00BF6145"/>
    <w:rsid w:val="00BF69C1"/>
    <w:rsid w:val="00C00DB6"/>
    <w:rsid w:val="00C01531"/>
    <w:rsid w:val="00C02454"/>
    <w:rsid w:val="00C03126"/>
    <w:rsid w:val="00C037BF"/>
    <w:rsid w:val="00C04CD9"/>
    <w:rsid w:val="00C05F15"/>
    <w:rsid w:val="00C05F4D"/>
    <w:rsid w:val="00C06409"/>
    <w:rsid w:val="00C06A58"/>
    <w:rsid w:val="00C10C06"/>
    <w:rsid w:val="00C10D08"/>
    <w:rsid w:val="00C112A4"/>
    <w:rsid w:val="00C11F32"/>
    <w:rsid w:val="00C1223B"/>
    <w:rsid w:val="00C1414F"/>
    <w:rsid w:val="00C14F21"/>
    <w:rsid w:val="00C15A3C"/>
    <w:rsid w:val="00C16949"/>
    <w:rsid w:val="00C16FE4"/>
    <w:rsid w:val="00C171A6"/>
    <w:rsid w:val="00C21204"/>
    <w:rsid w:val="00C21209"/>
    <w:rsid w:val="00C219AD"/>
    <w:rsid w:val="00C21CE7"/>
    <w:rsid w:val="00C22C09"/>
    <w:rsid w:val="00C24714"/>
    <w:rsid w:val="00C25F7D"/>
    <w:rsid w:val="00C26BF1"/>
    <w:rsid w:val="00C3016F"/>
    <w:rsid w:val="00C301EE"/>
    <w:rsid w:val="00C323ED"/>
    <w:rsid w:val="00C35D2E"/>
    <w:rsid w:val="00C40916"/>
    <w:rsid w:val="00C4143B"/>
    <w:rsid w:val="00C41454"/>
    <w:rsid w:val="00C4208C"/>
    <w:rsid w:val="00C4237B"/>
    <w:rsid w:val="00C427DA"/>
    <w:rsid w:val="00C43707"/>
    <w:rsid w:val="00C43941"/>
    <w:rsid w:val="00C44605"/>
    <w:rsid w:val="00C4494E"/>
    <w:rsid w:val="00C44AEB"/>
    <w:rsid w:val="00C44E0E"/>
    <w:rsid w:val="00C44EB8"/>
    <w:rsid w:val="00C45159"/>
    <w:rsid w:val="00C45C02"/>
    <w:rsid w:val="00C522EF"/>
    <w:rsid w:val="00C54E3C"/>
    <w:rsid w:val="00C55260"/>
    <w:rsid w:val="00C553A8"/>
    <w:rsid w:val="00C55CDA"/>
    <w:rsid w:val="00C566B7"/>
    <w:rsid w:val="00C56E56"/>
    <w:rsid w:val="00C612D2"/>
    <w:rsid w:val="00C624D8"/>
    <w:rsid w:val="00C6268F"/>
    <w:rsid w:val="00C6286E"/>
    <w:rsid w:val="00C63998"/>
    <w:rsid w:val="00C66453"/>
    <w:rsid w:val="00C66A99"/>
    <w:rsid w:val="00C728F8"/>
    <w:rsid w:val="00C72A70"/>
    <w:rsid w:val="00C7389F"/>
    <w:rsid w:val="00C749BB"/>
    <w:rsid w:val="00C75A7D"/>
    <w:rsid w:val="00C806B4"/>
    <w:rsid w:val="00C8123D"/>
    <w:rsid w:val="00C81DC3"/>
    <w:rsid w:val="00C83099"/>
    <w:rsid w:val="00C839F6"/>
    <w:rsid w:val="00C83FC0"/>
    <w:rsid w:val="00C8445B"/>
    <w:rsid w:val="00C849ED"/>
    <w:rsid w:val="00C84F3B"/>
    <w:rsid w:val="00C856DC"/>
    <w:rsid w:val="00C858E5"/>
    <w:rsid w:val="00C87142"/>
    <w:rsid w:val="00C9046E"/>
    <w:rsid w:val="00C92939"/>
    <w:rsid w:val="00C92A49"/>
    <w:rsid w:val="00C93F9F"/>
    <w:rsid w:val="00C947CA"/>
    <w:rsid w:val="00C94C5E"/>
    <w:rsid w:val="00C969E8"/>
    <w:rsid w:val="00C9708E"/>
    <w:rsid w:val="00CA0805"/>
    <w:rsid w:val="00CA18D1"/>
    <w:rsid w:val="00CA381B"/>
    <w:rsid w:val="00CA3B9B"/>
    <w:rsid w:val="00CA479F"/>
    <w:rsid w:val="00CA48D2"/>
    <w:rsid w:val="00CA4C3D"/>
    <w:rsid w:val="00CA5401"/>
    <w:rsid w:val="00CA5584"/>
    <w:rsid w:val="00CA78E6"/>
    <w:rsid w:val="00CB0862"/>
    <w:rsid w:val="00CB0964"/>
    <w:rsid w:val="00CB1D1F"/>
    <w:rsid w:val="00CB35A3"/>
    <w:rsid w:val="00CB3E26"/>
    <w:rsid w:val="00CB4173"/>
    <w:rsid w:val="00CB479D"/>
    <w:rsid w:val="00CB5569"/>
    <w:rsid w:val="00CB57E1"/>
    <w:rsid w:val="00CB6915"/>
    <w:rsid w:val="00CB6AC6"/>
    <w:rsid w:val="00CB7A8C"/>
    <w:rsid w:val="00CC039C"/>
    <w:rsid w:val="00CC03A4"/>
    <w:rsid w:val="00CC0E96"/>
    <w:rsid w:val="00CC1931"/>
    <w:rsid w:val="00CC2A76"/>
    <w:rsid w:val="00CC3FD9"/>
    <w:rsid w:val="00CC4745"/>
    <w:rsid w:val="00CC47BE"/>
    <w:rsid w:val="00CC5523"/>
    <w:rsid w:val="00CC601B"/>
    <w:rsid w:val="00CC602E"/>
    <w:rsid w:val="00CC7958"/>
    <w:rsid w:val="00CD0C44"/>
    <w:rsid w:val="00CD11F1"/>
    <w:rsid w:val="00CD18E5"/>
    <w:rsid w:val="00CD1CC9"/>
    <w:rsid w:val="00CD1DFF"/>
    <w:rsid w:val="00CD2759"/>
    <w:rsid w:val="00CD2C7F"/>
    <w:rsid w:val="00CD30E8"/>
    <w:rsid w:val="00CD3253"/>
    <w:rsid w:val="00CD3506"/>
    <w:rsid w:val="00CD3B16"/>
    <w:rsid w:val="00CD58B1"/>
    <w:rsid w:val="00CD68E6"/>
    <w:rsid w:val="00CD7F25"/>
    <w:rsid w:val="00CE0BE6"/>
    <w:rsid w:val="00CE1A92"/>
    <w:rsid w:val="00CE4479"/>
    <w:rsid w:val="00CE6D11"/>
    <w:rsid w:val="00CE6E65"/>
    <w:rsid w:val="00CE6EA3"/>
    <w:rsid w:val="00CE7A7E"/>
    <w:rsid w:val="00CF076D"/>
    <w:rsid w:val="00CF18B6"/>
    <w:rsid w:val="00CF2865"/>
    <w:rsid w:val="00CF3AD5"/>
    <w:rsid w:val="00CF3F2A"/>
    <w:rsid w:val="00CF6616"/>
    <w:rsid w:val="00CF6712"/>
    <w:rsid w:val="00CF6D7C"/>
    <w:rsid w:val="00CF7211"/>
    <w:rsid w:val="00CF724F"/>
    <w:rsid w:val="00CF75EE"/>
    <w:rsid w:val="00CF7EE8"/>
    <w:rsid w:val="00D00AE3"/>
    <w:rsid w:val="00D00AF5"/>
    <w:rsid w:val="00D01373"/>
    <w:rsid w:val="00D02862"/>
    <w:rsid w:val="00D028E2"/>
    <w:rsid w:val="00D05442"/>
    <w:rsid w:val="00D0597E"/>
    <w:rsid w:val="00D06938"/>
    <w:rsid w:val="00D07464"/>
    <w:rsid w:val="00D1059F"/>
    <w:rsid w:val="00D10853"/>
    <w:rsid w:val="00D10E3A"/>
    <w:rsid w:val="00D123F0"/>
    <w:rsid w:val="00D124B8"/>
    <w:rsid w:val="00D129AE"/>
    <w:rsid w:val="00D12CA7"/>
    <w:rsid w:val="00D14B40"/>
    <w:rsid w:val="00D150B6"/>
    <w:rsid w:val="00D15B20"/>
    <w:rsid w:val="00D17060"/>
    <w:rsid w:val="00D17A6A"/>
    <w:rsid w:val="00D21642"/>
    <w:rsid w:val="00D224C0"/>
    <w:rsid w:val="00D22949"/>
    <w:rsid w:val="00D22DCB"/>
    <w:rsid w:val="00D24A3F"/>
    <w:rsid w:val="00D254F6"/>
    <w:rsid w:val="00D25760"/>
    <w:rsid w:val="00D26373"/>
    <w:rsid w:val="00D26927"/>
    <w:rsid w:val="00D270A5"/>
    <w:rsid w:val="00D27199"/>
    <w:rsid w:val="00D27D52"/>
    <w:rsid w:val="00D27F61"/>
    <w:rsid w:val="00D30759"/>
    <w:rsid w:val="00D30863"/>
    <w:rsid w:val="00D30D3F"/>
    <w:rsid w:val="00D314CC"/>
    <w:rsid w:val="00D3220D"/>
    <w:rsid w:val="00D32910"/>
    <w:rsid w:val="00D334A0"/>
    <w:rsid w:val="00D35413"/>
    <w:rsid w:val="00D35820"/>
    <w:rsid w:val="00D36E97"/>
    <w:rsid w:val="00D37023"/>
    <w:rsid w:val="00D37ADD"/>
    <w:rsid w:val="00D40244"/>
    <w:rsid w:val="00D403DF"/>
    <w:rsid w:val="00D40B86"/>
    <w:rsid w:val="00D40BE1"/>
    <w:rsid w:val="00D41013"/>
    <w:rsid w:val="00D4249E"/>
    <w:rsid w:val="00D42F51"/>
    <w:rsid w:val="00D43669"/>
    <w:rsid w:val="00D43C2D"/>
    <w:rsid w:val="00D44EFD"/>
    <w:rsid w:val="00D46EA7"/>
    <w:rsid w:val="00D4724F"/>
    <w:rsid w:val="00D4728F"/>
    <w:rsid w:val="00D500CF"/>
    <w:rsid w:val="00D50965"/>
    <w:rsid w:val="00D531DC"/>
    <w:rsid w:val="00D541D3"/>
    <w:rsid w:val="00D54B29"/>
    <w:rsid w:val="00D55434"/>
    <w:rsid w:val="00D577FF"/>
    <w:rsid w:val="00D57CB4"/>
    <w:rsid w:val="00D57D88"/>
    <w:rsid w:val="00D602AD"/>
    <w:rsid w:val="00D60B5A"/>
    <w:rsid w:val="00D61C62"/>
    <w:rsid w:val="00D6264C"/>
    <w:rsid w:val="00D627DF"/>
    <w:rsid w:val="00D62D83"/>
    <w:rsid w:val="00D63337"/>
    <w:rsid w:val="00D63E11"/>
    <w:rsid w:val="00D64FFA"/>
    <w:rsid w:val="00D6516C"/>
    <w:rsid w:val="00D659C4"/>
    <w:rsid w:val="00D66978"/>
    <w:rsid w:val="00D66AB1"/>
    <w:rsid w:val="00D678A1"/>
    <w:rsid w:val="00D7058A"/>
    <w:rsid w:val="00D705AF"/>
    <w:rsid w:val="00D70E4A"/>
    <w:rsid w:val="00D722D0"/>
    <w:rsid w:val="00D73856"/>
    <w:rsid w:val="00D747E7"/>
    <w:rsid w:val="00D74EC1"/>
    <w:rsid w:val="00D77399"/>
    <w:rsid w:val="00D80C34"/>
    <w:rsid w:val="00D81B86"/>
    <w:rsid w:val="00D83359"/>
    <w:rsid w:val="00D834B8"/>
    <w:rsid w:val="00D8412B"/>
    <w:rsid w:val="00D84264"/>
    <w:rsid w:val="00D8430C"/>
    <w:rsid w:val="00D84C61"/>
    <w:rsid w:val="00D84E95"/>
    <w:rsid w:val="00D85875"/>
    <w:rsid w:val="00D86282"/>
    <w:rsid w:val="00D87079"/>
    <w:rsid w:val="00D8766D"/>
    <w:rsid w:val="00D92799"/>
    <w:rsid w:val="00D93D4B"/>
    <w:rsid w:val="00D966C9"/>
    <w:rsid w:val="00D970A7"/>
    <w:rsid w:val="00DA11BB"/>
    <w:rsid w:val="00DA33DC"/>
    <w:rsid w:val="00DA4F55"/>
    <w:rsid w:val="00DA5236"/>
    <w:rsid w:val="00DA6418"/>
    <w:rsid w:val="00DA7CA6"/>
    <w:rsid w:val="00DB1A9E"/>
    <w:rsid w:val="00DB268C"/>
    <w:rsid w:val="00DB2B53"/>
    <w:rsid w:val="00DB3881"/>
    <w:rsid w:val="00DB39C1"/>
    <w:rsid w:val="00DB39D4"/>
    <w:rsid w:val="00DB3D37"/>
    <w:rsid w:val="00DB4458"/>
    <w:rsid w:val="00DB4A85"/>
    <w:rsid w:val="00DB5F99"/>
    <w:rsid w:val="00DB6A6F"/>
    <w:rsid w:val="00DB6A88"/>
    <w:rsid w:val="00DC02FD"/>
    <w:rsid w:val="00DC0BD6"/>
    <w:rsid w:val="00DC0C33"/>
    <w:rsid w:val="00DC0F87"/>
    <w:rsid w:val="00DC22F3"/>
    <w:rsid w:val="00DC2757"/>
    <w:rsid w:val="00DC2D23"/>
    <w:rsid w:val="00DC4D26"/>
    <w:rsid w:val="00DC4E8D"/>
    <w:rsid w:val="00DC62A5"/>
    <w:rsid w:val="00DC63C4"/>
    <w:rsid w:val="00DC67F3"/>
    <w:rsid w:val="00DC77DF"/>
    <w:rsid w:val="00DC7EC2"/>
    <w:rsid w:val="00DD29FB"/>
    <w:rsid w:val="00DD2EEA"/>
    <w:rsid w:val="00DD30AA"/>
    <w:rsid w:val="00DD48B5"/>
    <w:rsid w:val="00DD4D61"/>
    <w:rsid w:val="00DD5B53"/>
    <w:rsid w:val="00DE0A1D"/>
    <w:rsid w:val="00DE0D81"/>
    <w:rsid w:val="00DE3578"/>
    <w:rsid w:val="00DE5696"/>
    <w:rsid w:val="00DE5E64"/>
    <w:rsid w:val="00DE65D4"/>
    <w:rsid w:val="00DE6CB5"/>
    <w:rsid w:val="00DE7CBD"/>
    <w:rsid w:val="00DF057A"/>
    <w:rsid w:val="00DF0FAE"/>
    <w:rsid w:val="00DF27EC"/>
    <w:rsid w:val="00DF31C0"/>
    <w:rsid w:val="00DF3429"/>
    <w:rsid w:val="00DF4C5D"/>
    <w:rsid w:val="00DF4FAA"/>
    <w:rsid w:val="00DF5BD9"/>
    <w:rsid w:val="00DF6969"/>
    <w:rsid w:val="00E007C2"/>
    <w:rsid w:val="00E015CF"/>
    <w:rsid w:val="00E029A1"/>
    <w:rsid w:val="00E0312C"/>
    <w:rsid w:val="00E03D57"/>
    <w:rsid w:val="00E03D7E"/>
    <w:rsid w:val="00E04523"/>
    <w:rsid w:val="00E04C74"/>
    <w:rsid w:val="00E050A9"/>
    <w:rsid w:val="00E06F16"/>
    <w:rsid w:val="00E075B8"/>
    <w:rsid w:val="00E100D8"/>
    <w:rsid w:val="00E10C4A"/>
    <w:rsid w:val="00E117DE"/>
    <w:rsid w:val="00E12582"/>
    <w:rsid w:val="00E12687"/>
    <w:rsid w:val="00E12AFB"/>
    <w:rsid w:val="00E13669"/>
    <w:rsid w:val="00E141B9"/>
    <w:rsid w:val="00E1452E"/>
    <w:rsid w:val="00E14877"/>
    <w:rsid w:val="00E1769A"/>
    <w:rsid w:val="00E20069"/>
    <w:rsid w:val="00E201A9"/>
    <w:rsid w:val="00E21F5A"/>
    <w:rsid w:val="00E22191"/>
    <w:rsid w:val="00E2222C"/>
    <w:rsid w:val="00E22D5A"/>
    <w:rsid w:val="00E2325D"/>
    <w:rsid w:val="00E233D1"/>
    <w:rsid w:val="00E253C4"/>
    <w:rsid w:val="00E26873"/>
    <w:rsid w:val="00E26B5C"/>
    <w:rsid w:val="00E27CBA"/>
    <w:rsid w:val="00E303E4"/>
    <w:rsid w:val="00E30871"/>
    <w:rsid w:val="00E31353"/>
    <w:rsid w:val="00E313B5"/>
    <w:rsid w:val="00E31444"/>
    <w:rsid w:val="00E33224"/>
    <w:rsid w:val="00E338E2"/>
    <w:rsid w:val="00E340F0"/>
    <w:rsid w:val="00E34B5B"/>
    <w:rsid w:val="00E37C49"/>
    <w:rsid w:val="00E37D65"/>
    <w:rsid w:val="00E4008F"/>
    <w:rsid w:val="00E40F07"/>
    <w:rsid w:val="00E41560"/>
    <w:rsid w:val="00E41D59"/>
    <w:rsid w:val="00E41F90"/>
    <w:rsid w:val="00E4249B"/>
    <w:rsid w:val="00E426C5"/>
    <w:rsid w:val="00E42842"/>
    <w:rsid w:val="00E42AB5"/>
    <w:rsid w:val="00E4569C"/>
    <w:rsid w:val="00E46267"/>
    <w:rsid w:val="00E46860"/>
    <w:rsid w:val="00E52719"/>
    <w:rsid w:val="00E53526"/>
    <w:rsid w:val="00E54DED"/>
    <w:rsid w:val="00E54E8A"/>
    <w:rsid w:val="00E57D47"/>
    <w:rsid w:val="00E6235B"/>
    <w:rsid w:val="00E62AC7"/>
    <w:rsid w:val="00E62B28"/>
    <w:rsid w:val="00E63D55"/>
    <w:rsid w:val="00E650F5"/>
    <w:rsid w:val="00E6529A"/>
    <w:rsid w:val="00E655D4"/>
    <w:rsid w:val="00E65B58"/>
    <w:rsid w:val="00E65F7C"/>
    <w:rsid w:val="00E66389"/>
    <w:rsid w:val="00E66B28"/>
    <w:rsid w:val="00E6788B"/>
    <w:rsid w:val="00E70465"/>
    <w:rsid w:val="00E70F3B"/>
    <w:rsid w:val="00E727CF"/>
    <w:rsid w:val="00E749E6"/>
    <w:rsid w:val="00E74DD0"/>
    <w:rsid w:val="00E76D6C"/>
    <w:rsid w:val="00E76EFA"/>
    <w:rsid w:val="00E80121"/>
    <w:rsid w:val="00E80B90"/>
    <w:rsid w:val="00E822E1"/>
    <w:rsid w:val="00E822E7"/>
    <w:rsid w:val="00E82D32"/>
    <w:rsid w:val="00E83A9B"/>
    <w:rsid w:val="00E83CD6"/>
    <w:rsid w:val="00E8478A"/>
    <w:rsid w:val="00E861E7"/>
    <w:rsid w:val="00E862FE"/>
    <w:rsid w:val="00E863E9"/>
    <w:rsid w:val="00E86CE5"/>
    <w:rsid w:val="00E8749B"/>
    <w:rsid w:val="00E92B1E"/>
    <w:rsid w:val="00E93335"/>
    <w:rsid w:val="00E934FD"/>
    <w:rsid w:val="00E9410C"/>
    <w:rsid w:val="00E94B9F"/>
    <w:rsid w:val="00E951F6"/>
    <w:rsid w:val="00E96A59"/>
    <w:rsid w:val="00EA1E14"/>
    <w:rsid w:val="00EA27E7"/>
    <w:rsid w:val="00EA3058"/>
    <w:rsid w:val="00EA3D97"/>
    <w:rsid w:val="00EA3E3D"/>
    <w:rsid w:val="00EA40B5"/>
    <w:rsid w:val="00EA4300"/>
    <w:rsid w:val="00EA46EB"/>
    <w:rsid w:val="00EA47F3"/>
    <w:rsid w:val="00EA5956"/>
    <w:rsid w:val="00EA73FF"/>
    <w:rsid w:val="00EB0140"/>
    <w:rsid w:val="00EB0FB9"/>
    <w:rsid w:val="00EB3ADB"/>
    <w:rsid w:val="00EB3FA2"/>
    <w:rsid w:val="00EB432B"/>
    <w:rsid w:val="00EB44AA"/>
    <w:rsid w:val="00EB5B67"/>
    <w:rsid w:val="00EB5B6F"/>
    <w:rsid w:val="00EB72EA"/>
    <w:rsid w:val="00EB7FF7"/>
    <w:rsid w:val="00EC08F9"/>
    <w:rsid w:val="00EC12D1"/>
    <w:rsid w:val="00EC272B"/>
    <w:rsid w:val="00EC2B46"/>
    <w:rsid w:val="00EC3C23"/>
    <w:rsid w:val="00EC5C0B"/>
    <w:rsid w:val="00EC63B9"/>
    <w:rsid w:val="00ED01A1"/>
    <w:rsid w:val="00ED0C47"/>
    <w:rsid w:val="00ED0C5D"/>
    <w:rsid w:val="00ED0FC3"/>
    <w:rsid w:val="00ED1019"/>
    <w:rsid w:val="00ED2669"/>
    <w:rsid w:val="00ED3B90"/>
    <w:rsid w:val="00ED4B0C"/>
    <w:rsid w:val="00ED73C7"/>
    <w:rsid w:val="00ED79F4"/>
    <w:rsid w:val="00ED7DCC"/>
    <w:rsid w:val="00EE0AB7"/>
    <w:rsid w:val="00EE1F63"/>
    <w:rsid w:val="00EE21CD"/>
    <w:rsid w:val="00EE25AB"/>
    <w:rsid w:val="00EE2C48"/>
    <w:rsid w:val="00EE2E57"/>
    <w:rsid w:val="00EF062A"/>
    <w:rsid w:val="00EF0E87"/>
    <w:rsid w:val="00EF15D8"/>
    <w:rsid w:val="00EF23D3"/>
    <w:rsid w:val="00EF2428"/>
    <w:rsid w:val="00EF3F36"/>
    <w:rsid w:val="00EF5169"/>
    <w:rsid w:val="00EF5DC0"/>
    <w:rsid w:val="00EF60B8"/>
    <w:rsid w:val="00F03836"/>
    <w:rsid w:val="00F118A6"/>
    <w:rsid w:val="00F1274B"/>
    <w:rsid w:val="00F1309F"/>
    <w:rsid w:val="00F1349F"/>
    <w:rsid w:val="00F15E10"/>
    <w:rsid w:val="00F1620F"/>
    <w:rsid w:val="00F16B3F"/>
    <w:rsid w:val="00F1747E"/>
    <w:rsid w:val="00F209AC"/>
    <w:rsid w:val="00F20A9D"/>
    <w:rsid w:val="00F2240C"/>
    <w:rsid w:val="00F225DA"/>
    <w:rsid w:val="00F24C6D"/>
    <w:rsid w:val="00F2566D"/>
    <w:rsid w:val="00F25AA8"/>
    <w:rsid w:val="00F26828"/>
    <w:rsid w:val="00F26AE2"/>
    <w:rsid w:val="00F26CC7"/>
    <w:rsid w:val="00F2748D"/>
    <w:rsid w:val="00F31436"/>
    <w:rsid w:val="00F316C6"/>
    <w:rsid w:val="00F32E5A"/>
    <w:rsid w:val="00F3429A"/>
    <w:rsid w:val="00F349FD"/>
    <w:rsid w:val="00F358A4"/>
    <w:rsid w:val="00F36CFD"/>
    <w:rsid w:val="00F3720C"/>
    <w:rsid w:val="00F3731F"/>
    <w:rsid w:val="00F3738B"/>
    <w:rsid w:val="00F40162"/>
    <w:rsid w:val="00F43377"/>
    <w:rsid w:val="00F43A6E"/>
    <w:rsid w:val="00F44697"/>
    <w:rsid w:val="00F47670"/>
    <w:rsid w:val="00F50685"/>
    <w:rsid w:val="00F53572"/>
    <w:rsid w:val="00F5362A"/>
    <w:rsid w:val="00F5489A"/>
    <w:rsid w:val="00F5550B"/>
    <w:rsid w:val="00F574E4"/>
    <w:rsid w:val="00F60ADB"/>
    <w:rsid w:val="00F61D13"/>
    <w:rsid w:val="00F62FB8"/>
    <w:rsid w:val="00F63B4F"/>
    <w:rsid w:val="00F659DE"/>
    <w:rsid w:val="00F662A6"/>
    <w:rsid w:val="00F66710"/>
    <w:rsid w:val="00F6799C"/>
    <w:rsid w:val="00F705D6"/>
    <w:rsid w:val="00F71097"/>
    <w:rsid w:val="00F723C7"/>
    <w:rsid w:val="00F72739"/>
    <w:rsid w:val="00F74F8D"/>
    <w:rsid w:val="00F7506D"/>
    <w:rsid w:val="00F75379"/>
    <w:rsid w:val="00F75BEF"/>
    <w:rsid w:val="00F80297"/>
    <w:rsid w:val="00F80CB7"/>
    <w:rsid w:val="00F80FE2"/>
    <w:rsid w:val="00F8357D"/>
    <w:rsid w:val="00F85EC4"/>
    <w:rsid w:val="00F8711E"/>
    <w:rsid w:val="00F87196"/>
    <w:rsid w:val="00F87DFB"/>
    <w:rsid w:val="00F91C3B"/>
    <w:rsid w:val="00F92125"/>
    <w:rsid w:val="00F9455D"/>
    <w:rsid w:val="00F948E3"/>
    <w:rsid w:val="00F94E01"/>
    <w:rsid w:val="00F94FEE"/>
    <w:rsid w:val="00F954EF"/>
    <w:rsid w:val="00F96443"/>
    <w:rsid w:val="00F9671F"/>
    <w:rsid w:val="00F97A85"/>
    <w:rsid w:val="00F97F9C"/>
    <w:rsid w:val="00FA08E6"/>
    <w:rsid w:val="00FA0C0A"/>
    <w:rsid w:val="00FA1ED0"/>
    <w:rsid w:val="00FA1F28"/>
    <w:rsid w:val="00FA3487"/>
    <w:rsid w:val="00FA5D70"/>
    <w:rsid w:val="00FA66B9"/>
    <w:rsid w:val="00FA6723"/>
    <w:rsid w:val="00FA6DBF"/>
    <w:rsid w:val="00FB1BBB"/>
    <w:rsid w:val="00FB1C47"/>
    <w:rsid w:val="00FB2BEC"/>
    <w:rsid w:val="00FB3099"/>
    <w:rsid w:val="00FB3375"/>
    <w:rsid w:val="00FB4A86"/>
    <w:rsid w:val="00FB50E7"/>
    <w:rsid w:val="00FB5678"/>
    <w:rsid w:val="00FB571C"/>
    <w:rsid w:val="00FB6137"/>
    <w:rsid w:val="00FB6EC2"/>
    <w:rsid w:val="00FB7129"/>
    <w:rsid w:val="00FB748A"/>
    <w:rsid w:val="00FB78CF"/>
    <w:rsid w:val="00FC1259"/>
    <w:rsid w:val="00FC1388"/>
    <w:rsid w:val="00FC15F2"/>
    <w:rsid w:val="00FC184F"/>
    <w:rsid w:val="00FC1973"/>
    <w:rsid w:val="00FC2ECB"/>
    <w:rsid w:val="00FC3F26"/>
    <w:rsid w:val="00FC4DE2"/>
    <w:rsid w:val="00FC60B0"/>
    <w:rsid w:val="00FC68B4"/>
    <w:rsid w:val="00FC7E8D"/>
    <w:rsid w:val="00FD17BF"/>
    <w:rsid w:val="00FD1B32"/>
    <w:rsid w:val="00FD22FE"/>
    <w:rsid w:val="00FD2B3A"/>
    <w:rsid w:val="00FD2BC8"/>
    <w:rsid w:val="00FD2DC9"/>
    <w:rsid w:val="00FD5961"/>
    <w:rsid w:val="00FD5FE5"/>
    <w:rsid w:val="00FD7B80"/>
    <w:rsid w:val="00FE1260"/>
    <w:rsid w:val="00FE287D"/>
    <w:rsid w:val="00FE2EB2"/>
    <w:rsid w:val="00FE364B"/>
    <w:rsid w:val="00FE3886"/>
    <w:rsid w:val="00FE39EE"/>
    <w:rsid w:val="00FE4936"/>
    <w:rsid w:val="00FE599F"/>
    <w:rsid w:val="00FE611D"/>
    <w:rsid w:val="00FE6F58"/>
    <w:rsid w:val="00FE7409"/>
    <w:rsid w:val="00FE7FDA"/>
    <w:rsid w:val="00FF043F"/>
    <w:rsid w:val="00FF0D32"/>
    <w:rsid w:val="00FF43ED"/>
    <w:rsid w:val="00FF452D"/>
    <w:rsid w:val="00FF5250"/>
    <w:rsid w:val="00FF536D"/>
    <w:rsid w:val="00FF56C1"/>
    <w:rsid w:val="00FF787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qFormat/>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semiHidden/>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paragraph" w:customStyle="1" w:styleId="estilo30">
    <w:name w:val="estilo30"/>
    <w:basedOn w:val="Normal"/>
    <w:rsid w:val="003906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5916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s-ES_tradnl"/>
    </w:rPr>
  </w:style>
  <w:style w:type="character" w:styleId="Refdecomentario">
    <w:name w:val="annotation reference"/>
    <w:basedOn w:val="Fuentedeprrafopredeter"/>
    <w:uiPriority w:val="99"/>
    <w:semiHidden/>
    <w:unhideWhenUsed/>
    <w:rsid w:val="00B7475A"/>
    <w:rPr>
      <w:sz w:val="18"/>
      <w:szCs w:val="18"/>
    </w:rPr>
  </w:style>
  <w:style w:type="paragraph" w:styleId="Textocomentario">
    <w:name w:val="annotation text"/>
    <w:basedOn w:val="Normal"/>
    <w:link w:val="TextocomentarioCar"/>
    <w:uiPriority w:val="99"/>
    <w:semiHidden/>
    <w:unhideWhenUsed/>
    <w:rsid w:val="00B7475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7475A"/>
    <w:rPr>
      <w:lang w:val="es-MX"/>
    </w:rPr>
  </w:style>
  <w:style w:type="paragraph" w:styleId="Asuntodelcomentario">
    <w:name w:val="annotation subject"/>
    <w:basedOn w:val="Textocomentario"/>
    <w:next w:val="Textocomentario"/>
    <w:link w:val="AsuntodelcomentarioCar"/>
    <w:uiPriority w:val="99"/>
    <w:semiHidden/>
    <w:unhideWhenUsed/>
    <w:rsid w:val="00B7475A"/>
    <w:rPr>
      <w:b/>
      <w:bCs/>
      <w:sz w:val="20"/>
      <w:szCs w:val="20"/>
    </w:rPr>
  </w:style>
  <w:style w:type="character" w:customStyle="1" w:styleId="AsuntodelcomentarioCar">
    <w:name w:val="Asunto del comentario Car"/>
    <w:basedOn w:val="TextocomentarioCar"/>
    <w:link w:val="Asuntodelcomentario"/>
    <w:uiPriority w:val="99"/>
    <w:semiHidden/>
    <w:rsid w:val="00B7475A"/>
    <w:rPr>
      <w:b/>
      <w:bCs/>
      <w:sz w:val="20"/>
      <w:szCs w:val="20"/>
      <w:lang w:val="es-MX"/>
    </w:rPr>
  </w:style>
  <w:style w:type="character" w:customStyle="1" w:styleId="1TitPrinCar">
    <w:name w:val="1TitPrin Car"/>
    <w:basedOn w:val="Fuentedeprrafopredeter"/>
    <w:link w:val="1TitPrin"/>
    <w:locked/>
    <w:rsid w:val="00A35881"/>
    <w:rPr>
      <w:rFonts w:ascii="ITC Avant Garde" w:hAnsi="ITC Avant Garde"/>
      <w:b/>
      <w:bCs/>
      <w:color w:val="000000"/>
      <w:lang w:eastAsia="es-ES"/>
    </w:rPr>
  </w:style>
  <w:style w:type="paragraph" w:customStyle="1" w:styleId="1TitPrin">
    <w:name w:val="1TitPrin"/>
    <w:basedOn w:val="Normal"/>
    <w:link w:val="1TitPrinCar"/>
    <w:rsid w:val="00A35881"/>
    <w:pPr>
      <w:spacing w:after="0" w:line="276" w:lineRule="auto"/>
      <w:jc w:val="both"/>
    </w:pPr>
    <w:rPr>
      <w:rFonts w:ascii="ITC Avant Garde" w:hAnsi="ITC Avant Garde"/>
      <w:b/>
      <w:bCs/>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128">
      <w:bodyDiv w:val="1"/>
      <w:marLeft w:val="0"/>
      <w:marRight w:val="0"/>
      <w:marTop w:val="0"/>
      <w:marBottom w:val="0"/>
      <w:divBdr>
        <w:top w:val="none" w:sz="0" w:space="0" w:color="auto"/>
        <w:left w:val="none" w:sz="0" w:space="0" w:color="auto"/>
        <w:bottom w:val="none" w:sz="0" w:space="0" w:color="auto"/>
        <w:right w:val="none" w:sz="0" w:space="0" w:color="auto"/>
      </w:divBdr>
    </w:div>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4184017">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07327">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83263390">
      <w:bodyDiv w:val="1"/>
      <w:marLeft w:val="0"/>
      <w:marRight w:val="0"/>
      <w:marTop w:val="0"/>
      <w:marBottom w:val="0"/>
      <w:divBdr>
        <w:top w:val="none" w:sz="0" w:space="0" w:color="auto"/>
        <w:left w:val="none" w:sz="0" w:space="0" w:color="auto"/>
        <w:bottom w:val="none" w:sz="0" w:space="0" w:color="auto"/>
        <w:right w:val="none" w:sz="0" w:space="0" w:color="auto"/>
      </w:divBdr>
    </w:div>
    <w:div w:id="119539103">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56964402">
      <w:bodyDiv w:val="1"/>
      <w:marLeft w:val="0"/>
      <w:marRight w:val="0"/>
      <w:marTop w:val="0"/>
      <w:marBottom w:val="0"/>
      <w:divBdr>
        <w:top w:val="none" w:sz="0" w:space="0" w:color="auto"/>
        <w:left w:val="none" w:sz="0" w:space="0" w:color="auto"/>
        <w:bottom w:val="none" w:sz="0" w:space="0" w:color="auto"/>
        <w:right w:val="none" w:sz="0" w:space="0" w:color="auto"/>
      </w:divBdr>
    </w:div>
    <w:div w:id="176122807">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188876000">
      <w:bodyDiv w:val="1"/>
      <w:marLeft w:val="0"/>
      <w:marRight w:val="0"/>
      <w:marTop w:val="0"/>
      <w:marBottom w:val="0"/>
      <w:divBdr>
        <w:top w:val="none" w:sz="0" w:space="0" w:color="auto"/>
        <w:left w:val="none" w:sz="0" w:space="0" w:color="auto"/>
        <w:bottom w:val="none" w:sz="0" w:space="0" w:color="auto"/>
        <w:right w:val="none" w:sz="0" w:space="0" w:color="auto"/>
      </w:divBdr>
    </w:div>
    <w:div w:id="190192006">
      <w:bodyDiv w:val="1"/>
      <w:marLeft w:val="0"/>
      <w:marRight w:val="0"/>
      <w:marTop w:val="0"/>
      <w:marBottom w:val="0"/>
      <w:divBdr>
        <w:top w:val="none" w:sz="0" w:space="0" w:color="auto"/>
        <w:left w:val="none" w:sz="0" w:space="0" w:color="auto"/>
        <w:bottom w:val="none" w:sz="0" w:space="0" w:color="auto"/>
        <w:right w:val="none" w:sz="0" w:space="0" w:color="auto"/>
      </w:divBdr>
    </w:div>
    <w:div w:id="202210775">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53323247">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275020826">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6493046">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39620274">
      <w:bodyDiv w:val="1"/>
      <w:marLeft w:val="0"/>
      <w:marRight w:val="0"/>
      <w:marTop w:val="0"/>
      <w:marBottom w:val="0"/>
      <w:divBdr>
        <w:top w:val="none" w:sz="0" w:space="0" w:color="auto"/>
        <w:left w:val="none" w:sz="0" w:space="0" w:color="auto"/>
        <w:bottom w:val="none" w:sz="0" w:space="0" w:color="auto"/>
        <w:right w:val="none" w:sz="0" w:space="0" w:color="auto"/>
      </w:divBdr>
    </w:div>
    <w:div w:id="343435507">
      <w:bodyDiv w:val="1"/>
      <w:marLeft w:val="0"/>
      <w:marRight w:val="0"/>
      <w:marTop w:val="0"/>
      <w:marBottom w:val="0"/>
      <w:divBdr>
        <w:top w:val="none" w:sz="0" w:space="0" w:color="auto"/>
        <w:left w:val="none" w:sz="0" w:space="0" w:color="auto"/>
        <w:bottom w:val="none" w:sz="0" w:space="0" w:color="auto"/>
        <w:right w:val="none" w:sz="0" w:space="0" w:color="auto"/>
      </w:divBdr>
    </w:div>
    <w:div w:id="343438381">
      <w:bodyDiv w:val="1"/>
      <w:marLeft w:val="0"/>
      <w:marRight w:val="0"/>
      <w:marTop w:val="0"/>
      <w:marBottom w:val="0"/>
      <w:divBdr>
        <w:top w:val="none" w:sz="0" w:space="0" w:color="auto"/>
        <w:left w:val="none" w:sz="0" w:space="0" w:color="auto"/>
        <w:bottom w:val="none" w:sz="0" w:space="0" w:color="auto"/>
        <w:right w:val="none" w:sz="0" w:space="0" w:color="auto"/>
      </w:divBdr>
    </w:div>
    <w:div w:id="350106423">
      <w:bodyDiv w:val="1"/>
      <w:marLeft w:val="0"/>
      <w:marRight w:val="0"/>
      <w:marTop w:val="0"/>
      <w:marBottom w:val="0"/>
      <w:divBdr>
        <w:top w:val="none" w:sz="0" w:space="0" w:color="auto"/>
        <w:left w:val="none" w:sz="0" w:space="0" w:color="auto"/>
        <w:bottom w:val="none" w:sz="0" w:space="0" w:color="auto"/>
        <w:right w:val="none" w:sz="0" w:space="0" w:color="auto"/>
      </w:divBdr>
    </w:div>
    <w:div w:id="376049348">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396367142">
      <w:bodyDiv w:val="1"/>
      <w:marLeft w:val="0"/>
      <w:marRight w:val="0"/>
      <w:marTop w:val="0"/>
      <w:marBottom w:val="0"/>
      <w:divBdr>
        <w:top w:val="none" w:sz="0" w:space="0" w:color="auto"/>
        <w:left w:val="none" w:sz="0" w:space="0" w:color="auto"/>
        <w:bottom w:val="none" w:sz="0" w:space="0" w:color="auto"/>
        <w:right w:val="none" w:sz="0" w:space="0" w:color="auto"/>
      </w:divBdr>
    </w:div>
    <w:div w:id="405104322">
      <w:bodyDiv w:val="1"/>
      <w:marLeft w:val="0"/>
      <w:marRight w:val="0"/>
      <w:marTop w:val="0"/>
      <w:marBottom w:val="0"/>
      <w:divBdr>
        <w:top w:val="none" w:sz="0" w:space="0" w:color="auto"/>
        <w:left w:val="none" w:sz="0" w:space="0" w:color="auto"/>
        <w:bottom w:val="none" w:sz="0" w:space="0" w:color="auto"/>
        <w:right w:val="none" w:sz="0" w:space="0" w:color="auto"/>
      </w:divBdr>
    </w:div>
    <w:div w:id="420611108">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66045023">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494610095">
      <w:bodyDiv w:val="1"/>
      <w:marLeft w:val="0"/>
      <w:marRight w:val="0"/>
      <w:marTop w:val="0"/>
      <w:marBottom w:val="0"/>
      <w:divBdr>
        <w:top w:val="none" w:sz="0" w:space="0" w:color="auto"/>
        <w:left w:val="none" w:sz="0" w:space="0" w:color="auto"/>
        <w:bottom w:val="none" w:sz="0" w:space="0" w:color="auto"/>
        <w:right w:val="none" w:sz="0" w:space="0" w:color="auto"/>
      </w:divBdr>
      <w:divsChild>
        <w:div w:id="1136334136">
          <w:marLeft w:val="0"/>
          <w:marRight w:val="0"/>
          <w:marTop w:val="0"/>
          <w:marBottom w:val="0"/>
          <w:divBdr>
            <w:top w:val="none" w:sz="0" w:space="0" w:color="auto"/>
            <w:left w:val="none" w:sz="0" w:space="0" w:color="auto"/>
            <w:bottom w:val="none" w:sz="0" w:space="0" w:color="auto"/>
            <w:right w:val="none" w:sz="0" w:space="0" w:color="auto"/>
          </w:divBdr>
        </w:div>
      </w:divsChild>
    </w:div>
    <w:div w:id="498496533">
      <w:bodyDiv w:val="1"/>
      <w:marLeft w:val="0"/>
      <w:marRight w:val="0"/>
      <w:marTop w:val="0"/>
      <w:marBottom w:val="0"/>
      <w:divBdr>
        <w:top w:val="none" w:sz="0" w:space="0" w:color="auto"/>
        <w:left w:val="none" w:sz="0" w:space="0" w:color="auto"/>
        <w:bottom w:val="none" w:sz="0" w:space="0" w:color="auto"/>
        <w:right w:val="none" w:sz="0" w:space="0" w:color="auto"/>
      </w:divBdr>
    </w:div>
    <w:div w:id="499199011">
      <w:bodyDiv w:val="1"/>
      <w:marLeft w:val="0"/>
      <w:marRight w:val="0"/>
      <w:marTop w:val="0"/>
      <w:marBottom w:val="0"/>
      <w:divBdr>
        <w:top w:val="none" w:sz="0" w:space="0" w:color="auto"/>
        <w:left w:val="none" w:sz="0" w:space="0" w:color="auto"/>
        <w:bottom w:val="none" w:sz="0" w:space="0" w:color="auto"/>
        <w:right w:val="none" w:sz="0" w:space="0" w:color="auto"/>
      </w:divBdr>
    </w:div>
    <w:div w:id="506166659">
      <w:bodyDiv w:val="1"/>
      <w:marLeft w:val="0"/>
      <w:marRight w:val="0"/>
      <w:marTop w:val="0"/>
      <w:marBottom w:val="0"/>
      <w:divBdr>
        <w:top w:val="none" w:sz="0" w:space="0" w:color="auto"/>
        <w:left w:val="none" w:sz="0" w:space="0" w:color="auto"/>
        <w:bottom w:val="none" w:sz="0" w:space="0" w:color="auto"/>
        <w:right w:val="none" w:sz="0" w:space="0" w:color="auto"/>
      </w:divBdr>
    </w:div>
    <w:div w:id="529028600">
      <w:bodyDiv w:val="1"/>
      <w:marLeft w:val="0"/>
      <w:marRight w:val="0"/>
      <w:marTop w:val="0"/>
      <w:marBottom w:val="0"/>
      <w:divBdr>
        <w:top w:val="none" w:sz="0" w:space="0" w:color="auto"/>
        <w:left w:val="none" w:sz="0" w:space="0" w:color="auto"/>
        <w:bottom w:val="none" w:sz="0" w:space="0" w:color="auto"/>
        <w:right w:val="none" w:sz="0" w:space="0" w:color="auto"/>
      </w:divBdr>
      <w:divsChild>
        <w:div w:id="1942564958">
          <w:marLeft w:val="0"/>
          <w:marRight w:val="0"/>
          <w:marTop w:val="0"/>
          <w:marBottom w:val="0"/>
          <w:divBdr>
            <w:top w:val="none" w:sz="0" w:space="0" w:color="auto"/>
            <w:left w:val="none" w:sz="0" w:space="0" w:color="auto"/>
            <w:bottom w:val="none" w:sz="0" w:space="0" w:color="auto"/>
            <w:right w:val="none" w:sz="0" w:space="0" w:color="auto"/>
          </w:divBdr>
          <w:divsChild>
            <w:div w:id="617176951">
              <w:marLeft w:val="0"/>
              <w:marRight w:val="0"/>
              <w:marTop w:val="0"/>
              <w:marBottom w:val="0"/>
              <w:divBdr>
                <w:top w:val="none" w:sz="0" w:space="0" w:color="auto"/>
                <w:left w:val="none" w:sz="0" w:space="0" w:color="auto"/>
                <w:bottom w:val="none" w:sz="0" w:space="0" w:color="auto"/>
                <w:right w:val="none" w:sz="0" w:space="0" w:color="auto"/>
              </w:divBdr>
              <w:divsChild>
                <w:div w:id="11260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1800">
      <w:bodyDiv w:val="1"/>
      <w:marLeft w:val="0"/>
      <w:marRight w:val="0"/>
      <w:marTop w:val="0"/>
      <w:marBottom w:val="0"/>
      <w:divBdr>
        <w:top w:val="none" w:sz="0" w:space="0" w:color="auto"/>
        <w:left w:val="none" w:sz="0" w:space="0" w:color="auto"/>
        <w:bottom w:val="none" w:sz="0" w:space="0" w:color="auto"/>
        <w:right w:val="none" w:sz="0" w:space="0" w:color="auto"/>
      </w:divBdr>
    </w:div>
    <w:div w:id="547306073">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78102649">
      <w:bodyDiv w:val="1"/>
      <w:marLeft w:val="0"/>
      <w:marRight w:val="0"/>
      <w:marTop w:val="0"/>
      <w:marBottom w:val="0"/>
      <w:divBdr>
        <w:top w:val="none" w:sz="0" w:space="0" w:color="auto"/>
        <w:left w:val="none" w:sz="0" w:space="0" w:color="auto"/>
        <w:bottom w:val="none" w:sz="0" w:space="0" w:color="auto"/>
        <w:right w:val="none" w:sz="0" w:space="0" w:color="auto"/>
      </w:divBdr>
    </w:div>
    <w:div w:id="590966708">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09777808">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33874157">
      <w:bodyDiv w:val="1"/>
      <w:marLeft w:val="0"/>
      <w:marRight w:val="0"/>
      <w:marTop w:val="0"/>
      <w:marBottom w:val="0"/>
      <w:divBdr>
        <w:top w:val="none" w:sz="0" w:space="0" w:color="auto"/>
        <w:left w:val="none" w:sz="0" w:space="0" w:color="auto"/>
        <w:bottom w:val="none" w:sz="0" w:space="0" w:color="auto"/>
        <w:right w:val="none" w:sz="0" w:space="0" w:color="auto"/>
      </w:divBdr>
    </w:div>
    <w:div w:id="637419301">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42389487">
      <w:bodyDiv w:val="1"/>
      <w:marLeft w:val="0"/>
      <w:marRight w:val="0"/>
      <w:marTop w:val="0"/>
      <w:marBottom w:val="0"/>
      <w:divBdr>
        <w:top w:val="none" w:sz="0" w:space="0" w:color="auto"/>
        <w:left w:val="none" w:sz="0" w:space="0" w:color="auto"/>
        <w:bottom w:val="none" w:sz="0" w:space="0" w:color="auto"/>
        <w:right w:val="none" w:sz="0" w:space="0" w:color="auto"/>
      </w:divBdr>
    </w:div>
    <w:div w:id="674116620">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696278621">
      <w:bodyDiv w:val="1"/>
      <w:marLeft w:val="0"/>
      <w:marRight w:val="0"/>
      <w:marTop w:val="0"/>
      <w:marBottom w:val="0"/>
      <w:divBdr>
        <w:top w:val="none" w:sz="0" w:space="0" w:color="auto"/>
        <w:left w:val="none" w:sz="0" w:space="0" w:color="auto"/>
        <w:bottom w:val="none" w:sz="0" w:space="0" w:color="auto"/>
        <w:right w:val="none" w:sz="0" w:space="0" w:color="auto"/>
      </w:divBdr>
    </w:div>
    <w:div w:id="711075494">
      <w:bodyDiv w:val="1"/>
      <w:marLeft w:val="0"/>
      <w:marRight w:val="0"/>
      <w:marTop w:val="0"/>
      <w:marBottom w:val="0"/>
      <w:divBdr>
        <w:top w:val="none" w:sz="0" w:space="0" w:color="auto"/>
        <w:left w:val="none" w:sz="0" w:space="0" w:color="auto"/>
        <w:bottom w:val="none" w:sz="0" w:space="0" w:color="auto"/>
        <w:right w:val="none" w:sz="0" w:space="0" w:color="auto"/>
      </w:divBdr>
    </w:div>
    <w:div w:id="730737712">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69399667">
      <w:bodyDiv w:val="1"/>
      <w:marLeft w:val="0"/>
      <w:marRight w:val="0"/>
      <w:marTop w:val="0"/>
      <w:marBottom w:val="0"/>
      <w:divBdr>
        <w:top w:val="none" w:sz="0" w:space="0" w:color="auto"/>
        <w:left w:val="none" w:sz="0" w:space="0" w:color="auto"/>
        <w:bottom w:val="none" w:sz="0" w:space="0" w:color="auto"/>
        <w:right w:val="none" w:sz="0" w:space="0" w:color="auto"/>
      </w:divBdr>
    </w:div>
    <w:div w:id="770393520">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77986785">
      <w:bodyDiv w:val="1"/>
      <w:marLeft w:val="0"/>
      <w:marRight w:val="0"/>
      <w:marTop w:val="0"/>
      <w:marBottom w:val="0"/>
      <w:divBdr>
        <w:top w:val="none" w:sz="0" w:space="0" w:color="auto"/>
        <w:left w:val="none" w:sz="0" w:space="0" w:color="auto"/>
        <w:bottom w:val="none" w:sz="0" w:space="0" w:color="auto"/>
        <w:right w:val="none" w:sz="0" w:space="0" w:color="auto"/>
      </w:divBdr>
      <w:divsChild>
        <w:div w:id="1762405380">
          <w:marLeft w:val="0"/>
          <w:marRight w:val="0"/>
          <w:marTop w:val="0"/>
          <w:marBottom w:val="0"/>
          <w:divBdr>
            <w:top w:val="none" w:sz="0" w:space="0" w:color="auto"/>
            <w:left w:val="none" w:sz="0" w:space="0" w:color="auto"/>
            <w:bottom w:val="none" w:sz="0" w:space="0" w:color="auto"/>
            <w:right w:val="none" w:sz="0" w:space="0" w:color="auto"/>
          </w:divBdr>
          <w:divsChild>
            <w:div w:id="1500003308">
              <w:marLeft w:val="0"/>
              <w:marRight w:val="0"/>
              <w:marTop w:val="0"/>
              <w:marBottom w:val="0"/>
              <w:divBdr>
                <w:top w:val="none" w:sz="0" w:space="0" w:color="auto"/>
                <w:left w:val="none" w:sz="0" w:space="0" w:color="auto"/>
                <w:bottom w:val="none" w:sz="0" w:space="0" w:color="auto"/>
                <w:right w:val="none" w:sz="0" w:space="0" w:color="auto"/>
              </w:divBdr>
              <w:divsChild>
                <w:div w:id="610480017">
                  <w:marLeft w:val="0"/>
                  <w:marRight w:val="0"/>
                  <w:marTop w:val="0"/>
                  <w:marBottom w:val="0"/>
                  <w:divBdr>
                    <w:top w:val="none" w:sz="0" w:space="0" w:color="auto"/>
                    <w:left w:val="none" w:sz="0" w:space="0" w:color="auto"/>
                    <w:bottom w:val="none" w:sz="0" w:space="0" w:color="auto"/>
                    <w:right w:val="none" w:sz="0" w:space="0" w:color="auto"/>
                  </w:divBdr>
                  <w:divsChild>
                    <w:div w:id="1297877454">
                      <w:marLeft w:val="0"/>
                      <w:marRight w:val="0"/>
                      <w:marTop w:val="0"/>
                      <w:marBottom w:val="0"/>
                      <w:divBdr>
                        <w:top w:val="none" w:sz="0" w:space="0" w:color="auto"/>
                        <w:left w:val="none" w:sz="0" w:space="0" w:color="auto"/>
                        <w:bottom w:val="none" w:sz="0" w:space="0" w:color="auto"/>
                        <w:right w:val="none" w:sz="0" w:space="0" w:color="auto"/>
                      </w:divBdr>
                      <w:divsChild>
                        <w:div w:id="6522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75530">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13067378">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41048916">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72421307">
      <w:bodyDiv w:val="1"/>
      <w:marLeft w:val="0"/>
      <w:marRight w:val="0"/>
      <w:marTop w:val="0"/>
      <w:marBottom w:val="0"/>
      <w:divBdr>
        <w:top w:val="none" w:sz="0" w:space="0" w:color="auto"/>
        <w:left w:val="none" w:sz="0" w:space="0" w:color="auto"/>
        <w:bottom w:val="none" w:sz="0" w:space="0" w:color="auto"/>
        <w:right w:val="none" w:sz="0" w:space="0" w:color="auto"/>
      </w:divBdr>
    </w:div>
    <w:div w:id="883903534">
      <w:bodyDiv w:val="1"/>
      <w:marLeft w:val="0"/>
      <w:marRight w:val="0"/>
      <w:marTop w:val="0"/>
      <w:marBottom w:val="0"/>
      <w:divBdr>
        <w:top w:val="none" w:sz="0" w:space="0" w:color="auto"/>
        <w:left w:val="none" w:sz="0" w:space="0" w:color="auto"/>
        <w:bottom w:val="none" w:sz="0" w:space="0" w:color="auto"/>
        <w:right w:val="none" w:sz="0" w:space="0" w:color="auto"/>
      </w:divBdr>
    </w:div>
    <w:div w:id="884029322">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10193405">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57644377">
      <w:bodyDiv w:val="1"/>
      <w:marLeft w:val="0"/>
      <w:marRight w:val="0"/>
      <w:marTop w:val="0"/>
      <w:marBottom w:val="0"/>
      <w:divBdr>
        <w:top w:val="none" w:sz="0" w:space="0" w:color="auto"/>
        <w:left w:val="none" w:sz="0" w:space="0" w:color="auto"/>
        <w:bottom w:val="none" w:sz="0" w:space="0" w:color="auto"/>
        <w:right w:val="none" w:sz="0" w:space="0" w:color="auto"/>
      </w:divBdr>
    </w:div>
    <w:div w:id="960184881">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82344198">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00235320">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5696799">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070343433">
      <w:bodyDiv w:val="1"/>
      <w:marLeft w:val="0"/>
      <w:marRight w:val="0"/>
      <w:marTop w:val="0"/>
      <w:marBottom w:val="0"/>
      <w:divBdr>
        <w:top w:val="none" w:sz="0" w:space="0" w:color="auto"/>
        <w:left w:val="none" w:sz="0" w:space="0" w:color="auto"/>
        <w:bottom w:val="none" w:sz="0" w:space="0" w:color="auto"/>
        <w:right w:val="none" w:sz="0" w:space="0" w:color="auto"/>
      </w:divBdr>
    </w:div>
    <w:div w:id="1075974466">
      <w:bodyDiv w:val="1"/>
      <w:marLeft w:val="0"/>
      <w:marRight w:val="0"/>
      <w:marTop w:val="0"/>
      <w:marBottom w:val="0"/>
      <w:divBdr>
        <w:top w:val="none" w:sz="0" w:space="0" w:color="auto"/>
        <w:left w:val="none" w:sz="0" w:space="0" w:color="auto"/>
        <w:bottom w:val="none" w:sz="0" w:space="0" w:color="auto"/>
        <w:right w:val="none" w:sz="0" w:space="0" w:color="auto"/>
      </w:divBdr>
    </w:div>
    <w:div w:id="1080567255">
      <w:bodyDiv w:val="1"/>
      <w:marLeft w:val="0"/>
      <w:marRight w:val="0"/>
      <w:marTop w:val="0"/>
      <w:marBottom w:val="0"/>
      <w:divBdr>
        <w:top w:val="none" w:sz="0" w:space="0" w:color="auto"/>
        <w:left w:val="none" w:sz="0" w:space="0" w:color="auto"/>
        <w:bottom w:val="none" w:sz="0" w:space="0" w:color="auto"/>
        <w:right w:val="none" w:sz="0" w:space="0" w:color="auto"/>
      </w:divBdr>
    </w:div>
    <w:div w:id="1087728770">
      <w:bodyDiv w:val="1"/>
      <w:marLeft w:val="0"/>
      <w:marRight w:val="0"/>
      <w:marTop w:val="0"/>
      <w:marBottom w:val="0"/>
      <w:divBdr>
        <w:top w:val="none" w:sz="0" w:space="0" w:color="auto"/>
        <w:left w:val="none" w:sz="0" w:space="0" w:color="auto"/>
        <w:bottom w:val="none" w:sz="0" w:space="0" w:color="auto"/>
        <w:right w:val="none" w:sz="0" w:space="0" w:color="auto"/>
      </w:divBdr>
    </w:div>
    <w:div w:id="1092552689">
      <w:bodyDiv w:val="1"/>
      <w:marLeft w:val="0"/>
      <w:marRight w:val="0"/>
      <w:marTop w:val="0"/>
      <w:marBottom w:val="0"/>
      <w:divBdr>
        <w:top w:val="none" w:sz="0" w:space="0" w:color="auto"/>
        <w:left w:val="none" w:sz="0" w:space="0" w:color="auto"/>
        <w:bottom w:val="none" w:sz="0" w:space="0" w:color="auto"/>
        <w:right w:val="none" w:sz="0" w:space="0" w:color="auto"/>
      </w:divBdr>
    </w:div>
    <w:div w:id="1095592574">
      <w:bodyDiv w:val="1"/>
      <w:marLeft w:val="0"/>
      <w:marRight w:val="0"/>
      <w:marTop w:val="0"/>
      <w:marBottom w:val="0"/>
      <w:divBdr>
        <w:top w:val="none" w:sz="0" w:space="0" w:color="auto"/>
        <w:left w:val="none" w:sz="0" w:space="0" w:color="auto"/>
        <w:bottom w:val="none" w:sz="0" w:space="0" w:color="auto"/>
        <w:right w:val="none" w:sz="0" w:space="0" w:color="auto"/>
      </w:divBdr>
      <w:divsChild>
        <w:div w:id="999386255">
          <w:marLeft w:val="0"/>
          <w:marRight w:val="0"/>
          <w:marTop w:val="0"/>
          <w:marBottom w:val="0"/>
          <w:divBdr>
            <w:top w:val="none" w:sz="0" w:space="0" w:color="auto"/>
            <w:left w:val="none" w:sz="0" w:space="0" w:color="auto"/>
            <w:bottom w:val="none" w:sz="0" w:space="0" w:color="auto"/>
            <w:right w:val="none" w:sz="0" w:space="0" w:color="auto"/>
          </w:divBdr>
        </w:div>
      </w:divsChild>
    </w:div>
    <w:div w:id="1114055320">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36335555">
      <w:bodyDiv w:val="1"/>
      <w:marLeft w:val="0"/>
      <w:marRight w:val="0"/>
      <w:marTop w:val="0"/>
      <w:marBottom w:val="0"/>
      <w:divBdr>
        <w:top w:val="none" w:sz="0" w:space="0" w:color="auto"/>
        <w:left w:val="none" w:sz="0" w:space="0" w:color="auto"/>
        <w:bottom w:val="none" w:sz="0" w:space="0" w:color="auto"/>
        <w:right w:val="none" w:sz="0" w:space="0" w:color="auto"/>
      </w:divBdr>
    </w:div>
    <w:div w:id="1141924087">
      <w:bodyDiv w:val="1"/>
      <w:marLeft w:val="0"/>
      <w:marRight w:val="0"/>
      <w:marTop w:val="0"/>
      <w:marBottom w:val="0"/>
      <w:divBdr>
        <w:top w:val="none" w:sz="0" w:space="0" w:color="auto"/>
        <w:left w:val="none" w:sz="0" w:space="0" w:color="auto"/>
        <w:bottom w:val="none" w:sz="0" w:space="0" w:color="auto"/>
        <w:right w:val="none" w:sz="0" w:space="0" w:color="auto"/>
      </w:divBdr>
    </w:div>
    <w:div w:id="1142188860">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0289107">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01672393">
      <w:bodyDiv w:val="1"/>
      <w:marLeft w:val="0"/>
      <w:marRight w:val="0"/>
      <w:marTop w:val="0"/>
      <w:marBottom w:val="0"/>
      <w:divBdr>
        <w:top w:val="none" w:sz="0" w:space="0" w:color="auto"/>
        <w:left w:val="none" w:sz="0" w:space="0" w:color="auto"/>
        <w:bottom w:val="none" w:sz="0" w:space="0" w:color="auto"/>
        <w:right w:val="none" w:sz="0" w:space="0" w:color="auto"/>
      </w:divBdr>
    </w:div>
    <w:div w:id="1217620606">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6137430">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287274808">
      <w:bodyDiv w:val="1"/>
      <w:marLeft w:val="0"/>
      <w:marRight w:val="0"/>
      <w:marTop w:val="0"/>
      <w:marBottom w:val="0"/>
      <w:divBdr>
        <w:top w:val="none" w:sz="0" w:space="0" w:color="auto"/>
        <w:left w:val="none" w:sz="0" w:space="0" w:color="auto"/>
        <w:bottom w:val="none" w:sz="0" w:space="0" w:color="auto"/>
        <w:right w:val="none" w:sz="0" w:space="0" w:color="auto"/>
      </w:divBdr>
    </w:div>
    <w:div w:id="1300257801">
      <w:bodyDiv w:val="1"/>
      <w:marLeft w:val="0"/>
      <w:marRight w:val="0"/>
      <w:marTop w:val="0"/>
      <w:marBottom w:val="0"/>
      <w:divBdr>
        <w:top w:val="none" w:sz="0" w:space="0" w:color="auto"/>
        <w:left w:val="none" w:sz="0" w:space="0" w:color="auto"/>
        <w:bottom w:val="none" w:sz="0" w:space="0" w:color="auto"/>
        <w:right w:val="none" w:sz="0" w:space="0" w:color="auto"/>
      </w:divBdr>
    </w:div>
    <w:div w:id="1305234639">
      <w:bodyDiv w:val="1"/>
      <w:marLeft w:val="0"/>
      <w:marRight w:val="0"/>
      <w:marTop w:val="0"/>
      <w:marBottom w:val="0"/>
      <w:divBdr>
        <w:top w:val="none" w:sz="0" w:space="0" w:color="auto"/>
        <w:left w:val="none" w:sz="0" w:space="0" w:color="auto"/>
        <w:bottom w:val="none" w:sz="0" w:space="0" w:color="auto"/>
        <w:right w:val="none" w:sz="0" w:space="0" w:color="auto"/>
      </w:divBdr>
    </w:div>
    <w:div w:id="1316377453">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29286541">
      <w:bodyDiv w:val="1"/>
      <w:marLeft w:val="0"/>
      <w:marRight w:val="0"/>
      <w:marTop w:val="0"/>
      <w:marBottom w:val="0"/>
      <w:divBdr>
        <w:top w:val="none" w:sz="0" w:space="0" w:color="auto"/>
        <w:left w:val="none" w:sz="0" w:space="0" w:color="auto"/>
        <w:bottom w:val="none" w:sz="0" w:space="0" w:color="auto"/>
        <w:right w:val="none" w:sz="0" w:space="0" w:color="auto"/>
      </w:divBdr>
    </w:div>
    <w:div w:id="1331592752">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45734">
      <w:bodyDiv w:val="1"/>
      <w:marLeft w:val="0"/>
      <w:marRight w:val="0"/>
      <w:marTop w:val="0"/>
      <w:marBottom w:val="0"/>
      <w:divBdr>
        <w:top w:val="none" w:sz="0" w:space="0" w:color="auto"/>
        <w:left w:val="none" w:sz="0" w:space="0" w:color="auto"/>
        <w:bottom w:val="none" w:sz="0" w:space="0" w:color="auto"/>
        <w:right w:val="none" w:sz="0" w:space="0" w:color="auto"/>
      </w:divBdr>
      <w:divsChild>
        <w:div w:id="1576552709">
          <w:marLeft w:val="0"/>
          <w:marRight w:val="0"/>
          <w:marTop w:val="0"/>
          <w:marBottom w:val="0"/>
          <w:divBdr>
            <w:top w:val="none" w:sz="0" w:space="0" w:color="auto"/>
            <w:left w:val="none" w:sz="0" w:space="0" w:color="auto"/>
            <w:bottom w:val="none" w:sz="0" w:space="0" w:color="auto"/>
            <w:right w:val="none" w:sz="0" w:space="0" w:color="auto"/>
          </w:divBdr>
          <w:divsChild>
            <w:div w:id="1412391652">
              <w:marLeft w:val="0"/>
              <w:marRight w:val="0"/>
              <w:marTop w:val="0"/>
              <w:marBottom w:val="0"/>
              <w:divBdr>
                <w:top w:val="none" w:sz="0" w:space="0" w:color="auto"/>
                <w:left w:val="none" w:sz="0" w:space="0" w:color="auto"/>
                <w:bottom w:val="none" w:sz="0" w:space="0" w:color="auto"/>
                <w:right w:val="none" w:sz="0" w:space="0" w:color="auto"/>
              </w:divBdr>
              <w:divsChild>
                <w:div w:id="1393653517">
                  <w:marLeft w:val="0"/>
                  <w:marRight w:val="0"/>
                  <w:marTop w:val="0"/>
                  <w:marBottom w:val="0"/>
                  <w:divBdr>
                    <w:top w:val="none" w:sz="0" w:space="0" w:color="auto"/>
                    <w:left w:val="none" w:sz="0" w:space="0" w:color="auto"/>
                    <w:bottom w:val="none" w:sz="0" w:space="0" w:color="auto"/>
                    <w:right w:val="none" w:sz="0" w:space="0" w:color="auto"/>
                  </w:divBdr>
                </w:div>
                <w:div w:id="1440829791">
                  <w:marLeft w:val="0"/>
                  <w:marRight w:val="0"/>
                  <w:marTop w:val="0"/>
                  <w:marBottom w:val="0"/>
                  <w:divBdr>
                    <w:top w:val="none" w:sz="0" w:space="0" w:color="auto"/>
                    <w:left w:val="none" w:sz="0" w:space="0" w:color="auto"/>
                    <w:bottom w:val="none" w:sz="0" w:space="0" w:color="auto"/>
                    <w:right w:val="none" w:sz="0" w:space="0" w:color="auto"/>
                  </w:divBdr>
                </w:div>
                <w:div w:id="1033112890">
                  <w:marLeft w:val="0"/>
                  <w:marRight w:val="0"/>
                  <w:marTop w:val="0"/>
                  <w:marBottom w:val="0"/>
                  <w:divBdr>
                    <w:top w:val="none" w:sz="0" w:space="0" w:color="auto"/>
                    <w:left w:val="none" w:sz="0" w:space="0" w:color="auto"/>
                    <w:bottom w:val="none" w:sz="0" w:space="0" w:color="auto"/>
                    <w:right w:val="none" w:sz="0" w:space="0" w:color="auto"/>
                  </w:divBdr>
                </w:div>
                <w:div w:id="2126726066">
                  <w:marLeft w:val="0"/>
                  <w:marRight w:val="0"/>
                  <w:marTop w:val="0"/>
                  <w:marBottom w:val="0"/>
                  <w:divBdr>
                    <w:top w:val="none" w:sz="0" w:space="0" w:color="auto"/>
                    <w:left w:val="none" w:sz="0" w:space="0" w:color="auto"/>
                    <w:bottom w:val="none" w:sz="0" w:space="0" w:color="auto"/>
                    <w:right w:val="none" w:sz="0" w:space="0" w:color="auto"/>
                  </w:divBdr>
                </w:div>
                <w:div w:id="3720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4817527">
      <w:bodyDiv w:val="1"/>
      <w:marLeft w:val="0"/>
      <w:marRight w:val="0"/>
      <w:marTop w:val="0"/>
      <w:marBottom w:val="0"/>
      <w:divBdr>
        <w:top w:val="none" w:sz="0" w:space="0" w:color="auto"/>
        <w:left w:val="none" w:sz="0" w:space="0" w:color="auto"/>
        <w:bottom w:val="none" w:sz="0" w:space="0" w:color="auto"/>
        <w:right w:val="none" w:sz="0" w:space="0" w:color="auto"/>
      </w:divBdr>
    </w:div>
    <w:div w:id="1426806929">
      <w:bodyDiv w:val="1"/>
      <w:marLeft w:val="0"/>
      <w:marRight w:val="0"/>
      <w:marTop w:val="0"/>
      <w:marBottom w:val="0"/>
      <w:divBdr>
        <w:top w:val="none" w:sz="0" w:space="0" w:color="auto"/>
        <w:left w:val="none" w:sz="0" w:space="0" w:color="auto"/>
        <w:bottom w:val="none" w:sz="0" w:space="0" w:color="auto"/>
        <w:right w:val="none" w:sz="0" w:space="0" w:color="auto"/>
      </w:divBdr>
    </w:div>
    <w:div w:id="1440678513">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70711575">
      <w:bodyDiv w:val="1"/>
      <w:marLeft w:val="0"/>
      <w:marRight w:val="0"/>
      <w:marTop w:val="0"/>
      <w:marBottom w:val="0"/>
      <w:divBdr>
        <w:top w:val="none" w:sz="0" w:space="0" w:color="auto"/>
        <w:left w:val="none" w:sz="0" w:space="0" w:color="auto"/>
        <w:bottom w:val="none" w:sz="0" w:space="0" w:color="auto"/>
        <w:right w:val="none" w:sz="0" w:space="0" w:color="auto"/>
      </w:divBdr>
    </w:div>
    <w:div w:id="1474636401">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01430356">
      <w:bodyDiv w:val="1"/>
      <w:marLeft w:val="0"/>
      <w:marRight w:val="0"/>
      <w:marTop w:val="0"/>
      <w:marBottom w:val="0"/>
      <w:divBdr>
        <w:top w:val="none" w:sz="0" w:space="0" w:color="auto"/>
        <w:left w:val="none" w:sz="0" w:space="0" w:color="auto"/>
        <w:bottom w:val="none" w:sz="0" w:space="0" w:color="auto"/>
        <w:right w:val="none" w:sz="0" w:space="0" w:color="auto"/>
      </w:divBdr>
    </w:div>
    <w:div w:id="1510409805">
      <w:bodyDiv w:val="1"/>
      <w:marLeft w:val="0"/>
      <w:marRight w:val="0"/>
      <w:marTop w:val="0"/>
      <w:marBottom w:val="0"/>
      <w:divBdr>
        <w:top w:val="none" w:sz="0" w:space="0" w:color="auto"/>
        <w:left w:val="none" w:sz="0" w:space="0" w:color="auto"/>
        <w:bottom w:val="none" w:sz="0" w:space="0" w:color="auto"/>
        <w:right w:val="none" w:sz="0" w:space="0" w:color="auto"/>
      </w:divBdr>
    </w:div>
    <w:div w:id="1532255867">
      <w:bodyDiv w:val="1"/>
      <w:marLeft w:val="0"/>
      <w:marRight w:val="0"/>
      <w:marTop w:val="0"/>
      <w:marBottom w:val="0"/>
      <w:divBdr>
        <w:top w:val="none" w:sz="0" w:space="0" w:color="auto"/>
        <w:left w:val="none" w:sz="0" w:space="0" w:color="auto"/>
        <w:bottom w:val="none" w:sz="0" w:space="0" w:color="auto"/>
        <w:right w:val="none" w:sz="0" w:space="0" w:color="auto"/>
      </w:divBdr>
    </w:div>
    <w:div w:id="1535268368">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557820297">
      <w:bodyDiv w:val="1"/>
      <w:marLeft w:val="0"/>
      <w:marRight w:val="0"/>
      <w:marTop w:val="0"/>
      <w:marBottom w:val="0"/>
      <w:divBdr>
        <w:top w:val="none" w:sz="0" w:space="0" w:color="auto"/>
        <w:left w:val="none" w:sz="0" w:space="0" w:color="auto"/>
        <w:bottom w:val="none" w:sz="0" w:space="0" w:color="auto"/>
        <w:right w:val="none" w:sz="0" w:space="0" w:color="auto"/>
      </w:divBdr>
    </w:div>
    <w:div w:id="1587692133">
      <w:bodyDiv w:val="1"/>
      <w:marLeft w:val="0"/>
      <w:marRight w:val="0"/>
      <w:marTop w:val="0"/>
      <w:marBottom w:val="0"/>
      <w:divBdr>
        <w:top w:val="none" w:sz="0" w:space="0" w:color="auto"/>
        <w:left w:val="none" w:sz="0" w:space="0" w:color="auto"/>
        <w:bottom w:val="none" w:sz="0" w:space="0" w:color="auto"/>
        <w:right w:val="none" w:sz="0" w:space="0" w:color="auto"/>
      </w:divBdr>
    </w:div>
    <w:div w:id="1601525244">
      <w:bodyDiv w:val="1"/>
      <w:marLeft w:val="0"/>
      <w:marRight w:val="0"/>
      <w:marTop w:val="0"/>
      <w:marBottom w:val="0"/>
      <w:divBdr>
        <w:top w:val="none" w:sz="0" w:space="0" w:color="auto"/>
        <w:left w:val="none" w:sz="0" w:space="0" w:color="auto"/>
        <w:bottom w:val="none" w:sz="0" w:space="0" w:color="auto"/>
        <w:right w:val="none" w:sz="0" w:space="0" w:color="auto"/>
      </w:divBdr>
    </w:div>
    <w:div w:id="1603419636">
      <w:bodyDiv w:val="1"/>
      <w:marLeft w:val="0"/>
      <w:marRight w:val="0"/>
      <w:marTop w:val="0"/>
      <w:marBottom w:val="0"/>
      <w:divBdr>
        <w:top w:val="none" w:sz="0" w:space="0" w:color="auto"/>
        <w:left w:val="none" w:sz="0" w:space="0" w:color="auto"/>
        <w:bottom w:val="none" w:sz="0" w:space="0" w:color="auto"/>
        <w:right w:val="none" w:sz="0" w:space="0" w:color="auto"/>
      </w:divBdr>
    </w:div>
    <w:div w:id="1604725486">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09391069">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39148651">
      <w:bodyDiv w:val="1"/>
      <w:marLeft w:val="0"/>
      <w:marRight w:val="0"/>
      <w:marTop w:val="0"/>
      <w:marBottom w:val="0"/>
      <w:divBdr>
        <w:top w:val="none" w:sz="0" w:space="0" w:color="auto"/>
        <w:left w:val="none" w:sz="0" w:space="0" w:color="auto"/>
        <w:bottom w:val="none" w:sz="0" w:space="0" w:color="auto"/>
        <w:right w:val="none" w:sz="0" w:space="0" w:color="auto"/>
      </w:divBdr>
    </w:div>
    <w:div w:id="1644432875">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1956913">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0474991">
      <w:bodyDiv w:val="1"/>
      <w:marLeft w:val="0"/>
      <w:marRight w:val="0"/>
      <w:marTop w:val="0"/>
      <w:marBottom w:val="0"/>
      <w:divBdr>
        <w:top w:val="none" w:sz="0" w:space="0" w:color="auto"/>
        <w:left w:val="none" w:sz="0" w:space="0" w:color="auto"/>
        <w:bottom w:val="none" w:sz="0" w:space="0" w:color="auto"/>
        <w:right w:val="none" w:sz="0" w:space="0" w:color="auto"/>
      </w:divBdr>
    </w:div>
    <w:div w:id="1675840621">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47363">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02633286">
      <w:bodyDiv w:val="1"/>
      <w:marLeft w:val="0"/>
      <w:marRight w:val="0"/>
      <w:marTop w:val="0"/>
      <w:marBottom w:val="0"/>
      <w:divBdr>
        <w:top w:val="none" w:sz="0" w:space="0" w:color="auto"/>
        <w:left w:val="none" w:sz="0" w:space="0" w:color="auto"/>
        <w:bottom w:val="none" w:sz="0" w:space="0" w:color="auto"/>
        <w:right w:val="none" w:sz="0" w:space="0" w:color="auto"/>
      </w:divBdr>
    </w:div>
    <w:div w:id="1721828555">
      <w:bodyDiv w:val="1"/>
      <w:marLeft w:val="0"/>
      <w:marRight w:val="0"/>
      <w:marTop w:val="0"/>
      <w:marBottom w:val="0"/>
      <w:divBdr>
        <w:top w:val="none" w:sz="0" w:space="0" w:color="auto"/>
        <w:left w:val="none" w:sz="0" w:space="0" w:color="auto"/>
        <w:bottom w:val="none" w:sz="0" w:space="0" w:color="auto"/>
        <w:right w:val="none" w:sz="0" w:space="0" w:color="auto"/>
      </w:divBdr>
    </w:div>
    <w:div w:id="1722824483">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6433610">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27477869">
      <w:bodyDiv w:val="1"/>
      <w:marLeft w:val="0"/>
      <w:marRight w:val="0"/>
      <w:marTop w:val="0"/>
      <w:marBottom w:val="0"/>
      <w:divBdr>
        <w:top w:val="none" w:sz="0" w:space="0" w:color="auto"/>
        <w:left w:val="none" w:sz="0" w:space="0" w:color="auto"/>
        <w:bottom w:val="none" w:sz="0" w:space="0" w:color="auto"/>
        <w:right w:val="none" w:sz="0" w:space="0" w:color="auto"/>
      </w:divBdr>
    </w:div>
    <w:div w:id="1829901101">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30369274">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52525529">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17682106">
      <w:bodyDiv w:val="1"/>
      <w:marLeft w:val="0"/>
      <w:marRight w:val="0"/>
      <w:marTop w:val="0"/>
      <w:marBottom w:val="0"/>
      <w:divBdr>
        <w:top w:val="none" w:sz="0" w:space="0" w:color="auto"/>
        <w:left w:val="none" w:sz="0" w:space="0" w:color="auto"/>
        <w:bottom w:val="none" w:sz="0" w:space="0" w:color="auto"/>
        <w:right w:val="none" w:sz="0" w:space="0" w:color="auto"/>
      </w:divBdr>
    </w:div>
    <w:div w:id="2038040933">
      <w:bodyDiv w:val="1"/>
      <w:marLeft w:val="0"/>
      <w:marRight w:val="0"/>
      <w:marTop w:val="0"/>
      <w:marBottom w:val="0"/>
      <w:divBdr>
        <w:top w:val="none" w:sz="0" w:space="0" w:color="auto"/>
        <w:left w:val="none" w:sz="0" w:space="0" w:color="auto"/>
        <w:bottom w:val="none" w:sz="0" w:space="0" w:color="auto"/>
        <w:right w:val="none" w:sz="0" w:space="0" w:color="auto"/>
      </w:divBdr>
    </w:div>
    <w:div w:id="2042121993">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55494533">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5159970">
      <w:bodyDiv w:val="1"/>
      <w:marLeft w:val="0"/>
      <w:marRight w:val="0"/>
      <w:marTop w:val="0"/>
      <w:marBottom w:val="0"/>
      <w:divBdr>
        <w:top w:val="none" w:sz="0" w:space="0" w:color="auto"/>
        <w:left w:val="none" w:sz="0" w:space="0" w:color="auto"/>
        <w:bottom w:val="none" w:sz="0" w:space="0" w:color="auto"/>
        <w:right w:val="none" w:sz="0" w:space="0" w:color="auto"/>
      </w:divBdr>
    </w:div>
    <w:div w:id="2075468207">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080008949">
      <w:bodyDiv w:val="1"/>
      <w:marLeft w:val="0"/>
      <w:marRight w:val="0"/>
      <w:marTop w:val="0"/>
      <w:marBottom w:val="0"/>
      <w:divBdr>
        <w:top w:val="none" w:sz="0" w:space="0" w:color="auto"/>
        <w:left w:val="none" w:sz="0" w:space="0" w:color="auto"/>
        <w:bottom w:val="none" w:sz="0" w:space="0" w:color="auto"/>
        <w:right w:val="none" w:sz="0" w:space="0" w:color="auto"/>
      </w:divBdr>
    </w:div>
    <w:div w:id="2101175930">
      <w:bodyDiv w:val="1"/>
      <w:marLeft w:val="0"/>
      <w:marRight w:val="0"/>
      <w:marTop w:val="0"/>
      <w:marBottom w:val="0"/>
      <w:divBdr>
        <w:top w:val="none" w:sz="0" w:space="0" w:color="auto"/>
        <w:left w:val="none" w:sz="0" w:space="0" w:color="auto"/>
        <w:bottom w:val="none" w:sz="0" w:space="0" w:color="auto"/>
        <w:right w:val="none" w:sz="0" w:space="0" w:color="auto"/>
      </w:divBdr>
    </w:div>
    <w:div w:id="2109304848">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332984">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214898">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 w:id="2126457925">
      <w:bodyDiv w:val="1"/>
      <w:marLeft w:val="0"/>
      <w:marRight w:val="0"/>
      <w:marTop w:val="0"/>
      <w:marBottom w:val="0"/>
      <w:divBdr>
        <w:top w:val="none" w:sz="0" w:space="0" w:color="auto"/>
        <w:left w:val="none" w:sz="0" w:space="0" w:color="auto"/>
        <w:bottom w:val="none" w:sz="0" w:space="0" w:color="auto"/>
        <w:right w:val="none" w:sz="0" w:space="0" w:color="auto"/>
      </w:divBdr>
    </w:div>
    <w:div w:id="2137983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15D3-DE73-45AE-A976-6F1A5E77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11008</Characters>
  <Application>Microsoft Office Word</Application>
  <DocSecurity>0</DocSecurity>
  <Lines>193</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Cesar Vicente Perez Gaytan</cp:lastModifiedBy>
  <cp:revision>2</cp:revision>
  <cp:lastPrinted>2018-10-24T17:08:00Z</cp:lastPrinted>
  <dcterms:created xsi:type="dcterms:W3CDTF">2018-11-07T00:09:00Z</dcterms:created>
  <dcterms:modified xsi:type="dcterms:W3CDTF">2018-11-07T00:09:00Z</dcterms:modified>
</cp:coreProperties>
</file>