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895" w:rsidRDefault="00E61895" w:rsidP="00E61895">
      <w:pPr>
        <w:pStyle w:val="Ttulo1"/>
        <w:spacing w:after="240"/>
        <w:ind w:left="2127" w:right="2267"/>
        <w:jc w:val="center"/>
        <w:rPr>
          <w:rFonts w:ascii="ITC Avant Garde" w:hAnsi="ITC Avant Garde"/>
          <w:b/>
          <w:color w:val="000000" w:themeColor="text1"/>
          <w:sz w:val="22"/>
          <w:szCs w:val="22"/>
        </w:rPr>
      </w:pPr>
      <w:r>
        <w:rPr>
          <w:rFonts w:ascii="ITC Avant Garde" w:hAnsi="ITC Avant Garde"/>
          <w:b/>
          <w:color w:val="000000" w:themeColor="text1"/>
          <w:sz w:val="22"/>
          <w:szCs w:val="22"/>
        </w:rPr>
        <w:t>VERSIÓN PÚBLICA DEL ORDEN DEL DÍA DE LA XXVII SESIÓN ORDINARIA DEL PLENO DEL INSTITUTO FEDERAL DE TELECOMUNICACIONES, CELEBRADA EL 28 DE JUNIO DE 2017</w:t>
      </w:r>
    </w:p>
    <w:p w:rsidR="00E61895" w:rsidRDefault="00E61895" w:rsidP="00E61895">
      <w:pPr>
        <w:spacing w:before="240" w:after="240" w:line="276" w:lineRule="auto"/>
        <w:jc w:val="center"/>
        <w:rPr>
          <w:rFonts w:ascii="ITC Avant Garde" w:eastAsia="Times New Roman" w:hAnsi="ITC Avant Garde" w:cs="Times New Roman"/>
          <w:b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LEYENDA DE LA CLASIFICACIÓN</w:t>
      </w:r>
    </w:p>
    <w:p w:rsidR="00E61895" w:rsidRDefault="00E61895" w:rsidP="00E61895">
      <w:pPr>
        <w:spacing w:after="240" w:line="276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Fecha de Clasificación: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>
        <w:rPr>
          <w:rFonts w:ascii="ITC Avant Garde" w:eastAsia="Calibri" w:hAnsi="ITC Avant Garde" w:cs="Times New Roman"/>
        </w:rPr>
        <w:t xml:space="preserve">28 de junio de 2017. </w:t>
      </w:r>
    </w:p>
    <w:p w:rsidR="00E61895" w:rsidRDefault="00E61895" w:rsidP="00E61895">
      <w:pPr>
        <w:spacing w:after="240" w:line="276" w:lineRule="auto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Unidad Administrativa: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Secretaría Técnica del Pleno, por contener información Confidencial y Reservada; por lo anterior, se elaboró versión pública de conformidad con los artículos 72, fracción V, inciso e), 98, fracción III y 104 de la Ley Federal de Transparencia y Acceso a la Información Pública ("LFTAIP"); 106, 107 y 110 de la Ley General de Transparencia y Acceso a la Información Pública ("LGTAIP"); el Lineamiento Séptimo, fracción III, Quincuagésimo Primero al Cuarto, Sexagésimo y Sexagésimo Primero de los Lineamientos Generales en materia de Clasificación y Desclasificación de la Información, así como para la Elaboración de Versiones Públicas ("LGCDIEVP").</w:t>
      </w:r>
    </w:p>
    <w:p w:rsidR="00E61895" w:rsidRDefault="00E61895" w:rsidP="00E61895">
      <w:pPr>
        <w:spacing w:after="240" w:line="276" w:lineRule="auto"/>
        <w:ind w:left="567"/>
        <w:jc w:val="both"/>
        <w:rPr>
          <w:rFonts w:ascii="ITC Avant Garde" w:eastAsia="Calibri" w:hAnsi="ITC Avant Garde" w:cs="Calibri"/>
          <w:bCs/>
        </w:rPr>
      </w:pPr>
      <w:r>
        <w:rPr>
          <w:rFonts w:ascii="ITC Avant Garde" w:eastAsia="Times New Roman" w:hAnsi="ITC Avant Garde" w:cs="Calibri"/>
          <w:b/>
          <w:bCs/>
          <w:color w:val="000000"/>
          <w:lang w:eastAsia="es-MX"/>
        </w:rPr>
        <w:t>1) Núm. de Resolución:</w:t>
      </w:r>
      <w:r>
        <w:rPr>
          <w:rFonts w:ascii="ITC Avant Garde" w:eastAsia="Times New Roman" w:hAnsi="ITC Avant Garde" w:cs="Calibri"/>
          <w:bCs/>
          <w:color w:val="000000"/>
          <w:lang w:eastAsia="es-MX"/>
        </w:rPr>
        <w:t xml:space="preserve"> </w:t>
      </w:r>
      <w:r>
        <w:rPr>
          <w:rFonts w:ascii="ITC Avant Garde" w:eastAsia="Calibri" w:hAnsi="ITC Avant Garde" w:cs="Calibri"/>
          <w:bCs/>
        </w:rPr>
        <w:t>Asunto listado con el numeral III.6, correspondiente a un asunto retirado del Orden del Día.</w:t>
      </w:r>
    </w:p>
    <w:p w:rsidR="00E61895" w:rsidRDefault="00E61895" w:rsidP="00E61895">
      <w:pPr>
        <w:spacing w:after="240" w:line="276" w:lineRule="auto"/>
        <w:ind w:left="567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Descripción del asunto: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E61895"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Resolución mediante la cual el Pleno del Instituto Federal de Telecomunicaciones autoriza a </w:t>
      </w:r>
      <w:r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“RESERVADO POR LEY”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.</w:t>
      </w:r>
    </w:p>
    <w:p w:rsidR="00E61895" w:rsidRDefault="00E61895" w:rsidP="00E61895">
      <w:pPr>
        <w:spacing w:after="240" w:line="276" w:lineRule="auto"/>
        <w:ind w:left="567"/>
        <w:jc w:val="both"/>
        <w:rPr>
          <w:rFonts w:ascii="ITC Avant Garde" w:hAnsi="ITC Avant Garde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Fundamento legal: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</w:rPr>
        <w:t>Reservado, con fundamento en el artículo 110, fracción VIII de la “LFTAIP”, publicada el 9 de mayo de 2016; el artículo 113, fracción VIII de la “LGTAIP”, publicada en el DOF el 4 de mayo de 2015; así como el Lineamiento Vigésimo Séptimo de los “LGCDIEVP”, publicado en el DOF el 15 de abril de 2016.</w:t>
      </w:r>
    </w:p>
    <w:p w:rsidR="00E61895" w:rsidRDefault="00E61895" w:rsidP="00E61895">
      <w:pPr>
        <w:spacing w:after="240" w:line="276" w:lineRule="auto"/>
        <w:ind w:left="567"/>
        <w:jc w:val="both"/>
        <w:rPr>
          <w:rFonts w:ascii="ITC Avant Garde" w:eastAsia="Calibri" w:hAnsi="ITC Avant Garde" w:cs="Times New Roman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Motivación: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</w:rPr>
        <w:t>Contiene información que forma parte de un proceso deliberativo en el que no se ha adoptado una decisión definitiva</w:t>
      </w:r>
      <w:r>
        <w:rPr>
          <w:rFonts w:ascii="ITC Avant Garde" w:eastAsia="Calibri" w:hAnsi="ITC Avant Garde" w:cs="Times New Roman"/>
        </w:rPr>
        <w:t>.</w:t>
      </w:r>
    </w:p>
    <w:p w:rsidR="00E61895" w:rsidRDefault="00E61895" w:rsidP="00E61895">
      <w:pPr>
        <w:spacing w:after="240" w:line="276" w:lineRule="auto"/>
        <w:ind w:left="567"/>
        <w:jc w:val="both"/>
        <w:rPr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Secciones Confidenciales: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La sección marcada en color azul con la inscripción que dice </w:t>
      </w:r>
      <w:r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“RESERVADO POR LEY”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.</w:t>
      </w:r>
      <w:r>
        <w:rPr>
          <w:lang w:eastAsia="es-MX"/>
        </w:rPr>
        <w:br w:type="page"/>
      </w:r>
    </w:p>
    <w:p w:rsidR="00E61895" w:rsidRDefault="00E61895" w:rsidP="00E61895">
      <w:pPr>
        <w:spacing w:after="240" w:line="276" w:lineRule="auto"/>
        <w:ind w:left="567"/>
        <w:jc w:val="both"/>
        <w:rPr>
          <w:rFonts w:ascii="ITC Avant Garde" w:eastAsia="Calibri" w:hAnsi="ITC Avant Garde" w:cs="Calibri"/>
          <w:bCs/>
        </w:rPr>
      </w:pPr>
      <w:r>
        <w:rPr>
          <w:rFonts w:ascii="ITC Avant Garde" w:eastAsia="Times New Roman" w:hAnsi="ITC Avant Garde" w:cs="Calibri"/>
          <w:b/>
          <w:bCs/>
          <w:color w:val="000000"/>
          <w:lang w:eastAsia="es-MX"/>
        </w:rPr>
        <w:lastRenderedPageBreak/>
        <w:t>2) Núm. de Resolución:</w:t>
      </w:r>
      <w:r>
        <w:rPr>
          <w:rFonts w:ascii="ITC Avant Garde" w:eastAsia="Times New Roman" w:hAnsi="ITC Avant Garde" w:cs="Calibri"/>
          <w:bCs/>
          <w:color w:val="000000"/>
          <w:lang w:eastAsia="es-MX"/>
        </w:rPr>
        <w:t xml:space="preserve"> </w:t>
      </w:r>
      <w:r>
        <w:rPr>
          <w:rFonts w:ascii="ITC Avant Garde" w:eastAsia="Calibri" w:hAnsi="ITC Avant Garde" w:cs="Calibri"/>
          <w:bCs/>
        </w:rPr>
        <w:t>Asunto listado con el numeral III.11, correspondiente al Acuerdo P/IFT/280617/366.</w:t>
      </w:r>
    </w:p>
    <w:p w:rsidR="00E61895" w:rsidRDefault="00E61895" w:rsidP="00E61895">
      <w:pPr>
        <w:spacing w:after="240" w:line="276" w:lineRule="auto"/>
        <w:ind w:left="567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Descripción del asunto: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 w:rsidRPr="00E61895">
        <w:rPr>
          <w:rFonts w:ascii="ITC Avant Garde" w:hAnsi="ITC Avant Garde"/>
        </w:rPr>
        <w:t>Resolución mediante la cual el Pleno del Instituto Federal de Telecomunicaciones impone una multa y declara la pérdida de bienes y equipos en beneficio de la Nación, derivado del procedimiento administrativo instruido en contra de</w:t>
      </w:r>
      <w:r>
        <w:rPr>
          <w:rFonts w:ascii="ITC Avant Garde" w:hAnsi="ITC Avant Garde"/>
        </w:rPr>
        <w:t xml:space="preserve"> </w:t>
      </w:r>
      <w:r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Pr="00E61895">
        <w:rPr>
          <w:rFonts w:ascii="ITC Avant Garde" w:hAnsi="ITC Avant Garde"/>
        </w:rPr>
        <w:t xml:space="preserve"> y </w:t>
      </w:r>
      <w:r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Pr="00E61895">
        <w:rPr>
          <w:rFonts w:ascii="ITC Avant Garde" w:hAnsi="ITC Avant Garde"/>
        </w:rPr>
        <w:t>, por prestar el servicio público de radiodifusión sin contar con la respectiva concesión, permiso o autorización, en Cuautla, Morelos.</w:t>
      </w:r>
    </w:p>
    <w:p w:rsidR="00E61895" w:rsidRDefault="00E61895" w:rsidP="00E61895">
      <w:pPr>
        <w:spacing w:after="240" w:line="276" w:lineRule="auto"/>
        <w:ind w:left="567"/>
        <w:jc w:val="both"/>
        <w:rPr>
          <w:rFonts w:ascii="ITC Avant Garde" w:eastAsia="Calibri" w:hAnsi="ITC Avant Garde" w:cs="Times New Roman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Fundamento legal: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</w:rPr>
        <w:t>Confidencial con fundamento en el artículo 113, fracción I de la “LFTAIP” publicada en el Diario Oficial de la Federación (DOF) el 9 de mayo de 2016; el artículo 116 de la “LGTAIP”, publicada en el DOF el 4 de mayo de 2015; así como el Lineamiento Trigésimo Octavo, fracción I de los “LGCDIEVP”, publicado en el DOF el 15 de abril de 2016.</w:t>
      </w:r>
    </w:p>
    <w:p w:rsidR="00E61895" w:rsidRDefault="00E61895" w:rsidP="00E61895">
      <w:pPr>
        <w:spacing w:after="240" w:line="276" w:lineRule="auto"/>
        <w:ind w:left="567"/>
        <w:jc w:val="both"/>
        <w:rPr>
          <w:rFonts w:ascii="ITC Avant Garde" w:eastAsia="Calibri" w:hAnsi="ITC Avant Garde" w:cs="Times New Roman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Motivación: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</w:t>
      </w:r>
      <w:r>
        <w:rPr>
          <w:rFonts w:ascii="ITC Avant Garde" w:hAnsi="ITC Avant Garde"/>
        </w:rPr>
        <w:t>Contiene datos personales concernientes a personas identificadas o identificables.</w:t>
      </w:r>
    </w:p>
    <w:p w:rsidR="00E61895" w:rsidRDefault="00E61895" w:rsidP="00E61895">
      <w:pPr>
        <w:spacing w:after="240" w:line="276" w:lineRule="auto"/>
        <w:ind w:left="567"/>
        <w:jc w:val="both"/>
        <w:rPr>
          <w:rFonts w:ascii="ITC Avant Garde" w:eastAsia="Times New Roman" w:hAnsi="ITC Avant Garde" w:cs="Times New Roman"/>
          <w:bCs/>
          <w:color w:val="000000"/>
          <w:lang w:eastAsia="es-MX"/>
        </w:rPr>
      </w:pPr>
      <w:r>
        <w:rPr>
          <w:rFonts w:ascii="ITC Avant Garde" w:eastAsia="Times New Roman" w:hAnsi="ITC Avant Garde" w:cs="Times New Roman"/>
          <w:b/>
          <w:bCs/>
          <w:color w:val="000000"/>
          <w:lang w:eastAsia="es-MX"/>
        </w:rPr>
        <w:t>Secciones Confidenciales: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 xml:space="preserve"> La sección marcada en color azul con la inscripción que dice </w:t>
      </w:r>
      <w:r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>
        <w:rPr>
          <w:rFonts w:ascii="ITC Avant Garde" w:eastAsia="Times New Roman" w:hAnsi="ITC Avant Garde" w:cs="Times New Roman"/>
          <w:bCs/>
          <w:color w:val="000000"/>
          <w:lang w:eastAsia="es-MX"/>
        </w:rPr>
        <w:t>.</w:t>
      </w:r>
    </w:p>
    <w:p w:rsidR="00E61895" w:rsidRDefault="00E61895" w:rsidP="00E61895">
      <w:pPr>
        <w:spacing w:after="240" w:line="276" w:lineRule="auto"/>
        <w:jc w:val="both"/>
        <w:rPr>
          <w:rFonts w:ascii="ITC Avant Garde" w:eastAsia="Times New Roman" w:hAnsi="ITC Avant Garde" w:cs="Times New Roman"/>
          <w:bCs/>
        </w:rPr>
      </w:pPr>
      <w:r>
        <w:rPr>
          <w:rFonts w:ascii="ITC Avant Garde" w:eastAsia="Times New Roman" w:hAnsi="ITC Avant Garde" w:cs="Times New Roman"/>
          <w:b/>
          <w:bCs/>
        </w:rPr>
        <w:t>Firma y Cargo del Servidor Público que clasifica:</w:t>
      </w:r>
      <w:r>
        <w:rPr>
          <w:rFonts w:ascii="ITC Avant Garde" w:eastAsia="Times New Roman" w:hAnsi="ITC Avant Garde" w:cs="Times New Roman"/>
          <w:bCs/>
        </w:rPr>
        <w:t xml:space="preserve"> </w:t>
      </w:r>
      <w:r>
        <w:rPr>
          <w:rFonts w:ascii="ITC Avant Garde" w:eastAsia="Calibri" w:hAnsi="ITC Avant Garde" w:cs="Times New Roman"/>
        </w:rPr>
        <w:t>Yaratzet Funes López, Prosecretaria Técnica del Pleno,</w:t>
      </w:r>
      <w:r>
        <w:rPr>
          <w:rFonts w:ascii="ITC Avant Garde" w:eastAsia="Times New Roman" w:hAnsi="ITC Avant Garde" w:cs="Times New Roman"/>
          <w:bCs/>
        </w:rPr>
        <w:t xml:space="preserve"> rubrica la presente Leyenda de Clasificación. </w:t>
      </w:r>
    </w:p>
    <w:p w:rsidR="00E61895" w:rsidRDefault="00E61895" w:rsidP="00E61895">
      <w:pPr>
        <w:tabs>
          <w:tab w:val="left" w:pos="2652"/>
        </w:tabs>
        <w:spacing w:after="240" w:line="276" w:lineRule="auto"/>
        <w:jc w:val="both"/>
      </w:pPr>
      <w:r>
        <w:rPr>
          <w:rFonts w:ascii="ITC Avant Garde" w:eastAsia="Times New Roman" w:hAnsi="ITC Avant Garde" w:cs="Times New Roman"/>
          <w:bCs/>
        </w:rPr>
        <w:t>Fin de la leyenda.</w:t>
      </w:r>
      <w:r>
        <w:br w:type="page"/>
      </w:r>
    </w:p>
    <w:p w:rsidR="00E61895" w:rsidRPr="00E61895" w:rsidRDefault="0017795A" w:rsidP="00E61895">
      <w:pPr>
        <w:pStyle w:val="Ttulo2"/>
        <w:spacing w:after="240" w:line="360" w:lineRule="auto"/>
        <w:ind w:left="2268" w:right="2267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</w:pPr>
      <w:r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lastRenderedPageBreak/>
        <w:t>X</w:t>
      </w:r>
      <w:r w:rsidR="0002050F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X</w:t>
      </w:r>
      <w:r w:rsidR="00B94DC3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V</w:t>
      </w:r>
      <w:r w:rsidR="00451DE0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I</w:t>
      </w:r>
      <w:r w:rsidR="00DF0FAE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I</w:t>
      </w:r>
      <w:r w:rsidR="00B94DC3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</w:t>
      </w:r>
      <w:r w:rsidR="006344BB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SESIÓN ORDINARIA DEL </w:t>
      </w:r>
      <w:r w:rsidR="00A2247C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PLENO</w:t>
      </w:r>
      <w:r w:rsidR="006344BB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DEL</w:t>
      </w:r>
      <w:r w:rsidR="00E61895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</w:t>
      </w:r>
      <w:r w:rsidR="006344BB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INSTITUTO FEDERAL DE TELECOMUNICACIONES</w:t>
      </w:r>
      <w:r w:rsid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</w:t>
      </w:r>
      <w:r w:rsidR="00DF0FAE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28</w:t>
      </w:r>
      <w:r w:rsidR="00D46EA7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</w:t>
      </w:r>
      <w:r w:rsidR="00AC29CF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DE </w:t>
      </w:r>
      <w:r w:rsidR="0002050F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JUNIO</w:t>
      </w:r>
      <w:r w:rsidR="00AC29CF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 xml:space="preserve"> </w:t>
      </w:r>
      <w:r w:rsidR="00AA4E8E"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lang w:val="es-ES_tradnl" w:eastAsia="es-ES"/>
        </w:rPr>
        <w:t>DE 2017</w:t>
      </w:r>
    </w:p>
    <w:p w:rsidR="006344BB" w:rsidRPr="00E61895" w:rsidRDefault="006344BB" w:rsidP="00E61895">
      <w:pPr>
        <w:pStyle w:val="Ttulo2"/>
        <w:spacing w:after="240"/>
        <w:jc w:val="center"/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</w:pPr>
      <w:r w:rsidRPr="00E61895">
        <w:rPr>
          <w:rFonts w:ascii="ITC Avant Garde" w:eastAsia="Times New Roman" w:hAnsi="ITC Avant Garde"/>
          <w:b/>
          <w:color w:val="000000" w:themeColor="text1"/>
          <w:sz w:val="22"/>
          <w:szCs w:val="22"/>
          <w:u w:val="single"/>
          <w:lang w:val="es-ES_tradnl" w:eastAsia="es-ES"/>
        </w:rPr>
        <w:t>ORDEN DEL DÍA</w:t>
      </w:r>
    </w:p>
    <w:p w:rsidR="00E61895" w:rsidRPr="006D5020" w:rsidRDefault="006344BB" w:rsidP="00E61895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1895">
        <w:rPr>
          <w:rFonts w:ascii="ITC Avant Garde" w:hAnsi="ITC Avant Garde"/>
          <w:b/>
          <w:color w:val="000000" w:themeColor="text1"/>
          <w:sz w:val="22"/>
          <w:szCs w:val="22"/>
        </w:rPr>
        <w:t xml:space="preserve">I.- </w:t>
      </w:r>
      <w:r w:rsidRPr="006D5020">
        <w:rPr>
          <w:rFonts w:ascii="ITC Avant Garde" w:hAnsi="ITC Avant Garde"/>
          <w:b/>
          <w:color w:val="000000" w:themeColor="text1"/>
          <w:sz w:val="22"/>
          <w:szCs w:val="22"/>
        </w:rPr>
        <w:t xml:space="preserve">VERIFICACIÓN DEL QUÓRUM. </w:t>
      </w:r>
    </w:p>
    <w:p w:rsidR="00E61895" w:rsidRPr="006D5020" w:rsidRDefault="006344BB" w:rsidP="00E61895">
      <w:pPr>
        <w:pStyle w:val="Ttulo3"/>
        <w:spacing w:after="24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6D5020">
        <w:rPr>
          <w:rFonts w:ascii="ITC Avant Garde" w:hAnsi="ITC Avant Garde"/>
          <w:b/>
          <w:color w:val="000000" w:themeColor="text1"/>
          <w:sz w:val="22"/>
          <w:szCs w:val="22"/>
        </w:rPr>
        <w:t>II.- APROBACIÓN DEL ORDEN DEL DÍA.</w:t>
      </w:r>
    </w:p>
    <w:p w:rsidR="00E61895" w:rsidRPr="006D5020" w:rsidRDefault="006344BB" w:rsidP="00E61895">
      <w:pPr>
        <w:pStyle w:val="Ttulo3"/>
        <w:spacing w:after="240"/>
        <w:rPr>
          <w:rFonts w:ascii="ITC Avant Garde" w:hAnsi="ITC Avant Garde"/>
          <w:b/>
          <w:bCs/>
          <w:color w:val="000000" w:themeColor="text1"/>
        </w:rPr>
      </w:pPr>
      <w:r w:rsidRPr="006D5020">
        <w:rPr>
          <w:rFonts w:ascii="ITC Avant Garde" w:hAnsi="ITC Avant Garde"/>
          <w:b/>
          <w:color w:val="000000" w:themeColor="text1"/>
          <w:sz w:val="22"/>
          <w:szCs w:val="22"/>
        </w:rPr>
        <w:t>III.- ASUNTO</w:t>
      </w:r>
      <w:r w:rsidR="00DF0FAE" w:rsidRPr="006D5020">
        <w:rPr>
          <w:rFonts w:ascii="ITC Avant Garde" w:hAnsi="ITC Avant Garde"/>
          <w:b/>
          <w:color w:val="000000" w:themeColor="text1"/>
          <w:sz w:val="22"/>
          <w:szCs w:val="22"/>
        </w:rPr>
        <w:t>S</w:t>
      </w:r>
      <w:r w:rsidRPr="006D502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QUE SE SOMETE</w:t>
      </w:r>
      <w:r w:rsidR="00DF0FAE" w:rsidRPr="006D5020">
        <w:rPr>
          <w:rFonts w:ascii="ITC Avant Garde" w:hAnsi="ITC Avant Garde"/>
          <w:b/>
          <w:color w:val="000000" w:themeColor="text1"/>
          <w:sz w:val="22"/>
          <w:szCs w:val="22"/>
        </w:rPr>
        <w:t>N</w:t>
      </w:r>
      <w:r w:rsidRPr="006D5020">
        <w:rPr>
          <w:rFonts w:ascii="ITC Avant Garde" w:hAnsi="ITC Avant Garde"/>
          <w:b/>
          <w:color w:val="000000" w:themeColor="text1"/>
          <w:sz w:val="22"/>
          <w:szCs w:val="22"/>
        </w:rPr>
        <w:t xml:space="preserve"> A CONSIDERACIÓN DEL </w:t>
      </w:r>
      <w:r w:rsidR="00A2247C" w:rsidRPr="006D5020">
        <w:rPr>
          <w:rFonts w:ascii="ITC Avant Garde" w:hAnsi="ITC Avant Garde"/>
          <w:b/>
          <w:color w:val="000000" w:themeColor="text1"/>
          <w:sz w:val="22"/>
          <w:szCs w:val="22"/>
        </w:rPr>
        <w:t>PLENO</w:t>
      </w:r>
      <w:r w:rsidRPr="006D5020">
        <w:rPr>
          <w:rFonts w:ascii="ITC Avant Garde" w:hAnsi="ITC Avant Garde"/>
          <w:b/>
          <w:color w:val="000000" w:themeColor="text1"/>
          <w:sz w:val="22"/>
          <w:szCs w:val="22"/>
        </w:rPr>
        <w:t>.</w:t>
      </w:r>
    </w:p>
    <w:p w:rsidR="00451DE0" w:rsidRPr="006D5020" w:rsidRDefault="00E37D65" w:rsidP="00E61895">
      <w:pPr>
        <w:spacing w:before="240" w:after="240" w:line="276" w:lineRule="auto"/>
        <w:jc w:val="both"/>
        <w:rPr>
          <w:rFonts w:ascii="ITC Avant Garde" w:eastAsia="Times New Roman" w:hAnsi="ITC Avant Garde" w:cs="Times New Roman"/>
          <w:color w:val="000000" w:themeColor="text1"/>
          <w:lang w:val="es-ES"/>
        </w:rPr>
      </w:pPr>
      <w:r w:rsidRPr="006D5020">
        <w:rPr>
          <w:rFonts w:ascii="ITC Avant Garde" w:eastAsia="Times New Roman" w:hAnsi="ITC Avant Garde" w:cs="Times New Roman"/>
          <w:b/>
          <w:color w:val="000000" w:themeColor="text1"/>
          <w:lang w:val="es-ES"/>
        </w:rPr>
        <w:t>III.1.-</w:t>
      </w:r>
      <w:r w:rsidRPr="006D5020">
        <w:rPr>
          <w:rFonts w:ascii="ITC Avant Garde" w:eastAsia="Times New Roman" w:hAnsi="ITC Avant Garde" w:cs="Times New Roman"/>
          <w:color w:val="000000" w:themeColor="text1"/>
          <w:lang w:val="es-ES"/>
        </w:rPr>
        <w:t xml:space="preserve"> </w:t>
      </w:r>
      <w:r w:rsidR="000C447F" w:rsidRPr="006D5020">
        <w:rPr>
          <w:rFonts w:ascii="ITC Avant Garde" w:eastAsia="Times New Roman" w:hAnsi="ITC Avant Garde" w:cs="Times New Roman"/>
          <w:color w:val="000000" w:themeColor="text1"/>
          <w:lang w:val="es-ES"/>
        </w:rPr>
        <w:t>Acuerdo mediante el cual el Pleno del Instituto Federal de Telecomunicaciones aprueba el Acta de la XIX Sesión Ordinaria, celebrada el 24 de mayo de 2017.</w:t>
      </w:r>
    </w:p>
    <w:p w:rsidR="00E61895" w:rsidRDefault="000C447F" w:rsidP="00E61895">
      <w:pPr>
        <w:spacing w:before="240" w:after="24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6D5020">
        <w:rPr>
          <w:rFonts w:ascii="ITC Avant Garde" w:eastAsia="Times New Roman" w:hAnsi="ITC Avant Garde" w:cs="Times New Roman"/>
          <w:i/>
          <w:color w:val="000000" w:themeColor="text1"/>
          <w:lang w:val="es-ES"/>
        </w:rPr>
        <w:t xml:space="preserve">(Secretaría Técnica del </w:t>
      </w:r>
      <w:r w:rsidRPr="00A605E9">
        <w:rPr>
          <w:rFonts w:ascii="ITC Avant Garde" w:eastAsia="Times New Roman" w:hAnsi="ITC Avant Garde" w:cs="Times New Roman"/>
          <w:i/>
          <w:lang w:val="es-ES"/>
        </w:rPr>
        <w:t>Pleno)</w:t>
      </w:r>
    </w:p>
    <w:p w:rsidR="002103B3" w:rsidRPr="00A605E9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III.2.-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Acuerdo mediante el cual el Pleno del Instituto Federal de Telecomunicaciones nombra a los miembros de su </w:t>
      </w:r>
      <w:r w:rsidR="002103B3" w:rsidRPr="00A605E9">
        <w:rPr>
          <w:rFonts w:ascii="ITC Avant Garde" w:eastAsia="Times New Roman" w:hAnsi="ITC Avant Garde" w:cs="Times New Roman"/>
          <w:lang w:val="es-ES"/>
        </w:rPr>
        <w:t xml:space="preserve">Consejo </w:t>
      </w:r>
      <w:r w:rsidRPr="00A605E9">
        <w:rPr>
          <w:rFonts w:ascii="ITC Avant Garde" w:eastAsia="Times New Roman" w:hAnsi="ITC Avant Garde" w:cs="Times New Roman"/>
          <w:lang w:val="es-ES"/>
        </w:rPr>
        <w:t>Consultivo y a su Secretario, para el periodo ju</w:t>
      </w:r>
      <w:r w:rsidR="00AC76CB">
        <w:rPr>
          <w:rFonts w:ascii="ITC Avant Garde" w:eastAsia="Times New Roman" w:hAnsi="ITC Avant Garde" w:cs="Times New Roman"/>
          <w:lang w:val="es-ES"/>
        </w:rPr>
        <w:t>lio 2017 a jul</w:t>
      </w:r>
      <w:bookmarkStart w:id="0" w:name="_GoBack"/>
      <w:bookmarkEnd w:id="0"/>
      <w:r w:rsidRPr="00A605E9">
        <w:rPr>
          <w:rFonts w:ascii="ITC Avant Garde" w:eastAsia="Times New Roman" w:hAnsi="ITC Avant Garde" w:cs="Times New Roman"/>
          <w:lang w:val="es-ES"/>
        </w:rPr>
        <w:t>io de 2018.</w:t>
      </w:r>
    </w:p>
    <w:p w:rsidR="00E61895" w:rsidRDefault="002103B3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>(Secretaría Técnica del Pleno)</w:t>
      </w:r>
    </w:p>
    <w:p w:rsidR="00DC2D23" w:rsidRPr="00A605E9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III.3.-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3F76B2" w:rsidRPr="00A605E9">
        <w:rPr>
          <w:rFonts w:ascii="ITC Avant Garde" w:eastAsia="Times New Roman" w:hAnsi="ITC Avant Garde" w:cs="Times New Roman"/>
          <w:lang w:val="es-ES"/>
        </w:rPr>
        <w:t xml:space="preserve">Acuerdo mediante el cual el Pleno del Instituto Federal de Telecomunicaciones modifica, adiciona y deroga </w:t>
      </w:r>
      <w:r w:rsidR="00945512" w:rsidRPr="00A605E9">
        <w:rPr>
          <w:rFonts w:ascii="ITC Avant Garde" w:eastAsia="Times New Roman" w:hAnsi="ITC Avant Garde" w:cs="Times New Roman"/>
          <w:lang w:val="es-ES"/>
        </w:rPr>
        <w:t>sus</w:t>
      </w:r>
      <w:r w:rsidR="003F76B2" w:rsidRPr="00A605E9">
        <w:rPr>
          <w:rFonts w:ascii="ITC Avant Garde" w:eastAsia="Times New Roman" w:hAnsi="ITC Avant Garde" w:cs="Times New Roman"/>
          <w:lang w:val="es-ES"/>
        </w:rPr>
        <w:t xml:space="preserve"> Normas en </w:t>
      </w:r>
      <w:r w:rsidR="005523A9" w:rsidRPr="00A605E9">
        <w:rPr>
          <w:rFonts w:ascii="ITC Avant Garde" w:eastAsia="Times New Roman" w:hAnsi="ITC Avant Garde" w:cs="Times New Roman"/>
          <w:lang w:val="es-ES"/>
        </w:rPr>
        <w:t>m</w:t>
      </w:r>
      <w:r w:rsidR="003F76B2" w:rsidRPr="00A605E9">
        <w:rPr>
          <w:rFonts w:ascii="ITC Avant Garde" w:eastAsia="Times New Roman" w:hAnsi="ITC Avant Garde" w:cs="Times New Roman"/>
          <w:lang w:val="es-ES"/>
        </w:rPr>
        <w:t>ateria de Adquisiciones, Arrendamientos y Servicios.</w:t>
      </w:r>
    </w:p>
    <w:p w:rsidR="00E61895" w:rsidRDefault="003F76B2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>(Unidad de Administración)</w:t>
      </w:r>
    </w:p>
    <w:p w:rsidR="00DC2D23" w:rsidRPr="00A605E9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III.4.-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3F76B2" w:rsidRPr="00A605E9">
        <w:rPr>
          <w:rFonts w:ascii="ITC Avant Garde" w:eastAsia="Times New Roman" w:hAnsi="ITC Avant Garde" w:cs="Times New Roman"/>
          <w:lang w:val="es-ES"/>
        </w:rPr>
        <w:t xml:space="preserve">Acuerdo </w:t>
      </w:r>
      <w:r w:rsidR="005523A9" w:rsidRPr="00A605E9">
        <w:rPr>
          <w:rFonts w:ascii="ITC Avant Garde" w:eastAsia="Times New Roman" w:hAnsi="ITC Avant Garde" w:cs="Times New Roman"/>
          <w:lang w:val="es-ES"/>
        </w:rPr>
        <w:t>mediante el cual el Pleno del Instituto Federal de Telecomunicaciones m</w:t>
      </w:r>
      <w:r w:rsidR="003F76B2" w:rsidRPr="00A605E9">
        <w:rPr>
          <w:rFonts w:ascii="ITC Avant Garde" w:eastAsia="Times New Roman" w:hAnsi="ITC Avant Garde" w:cs="Times New Roman"/>
          <w:lang w:val="es-ES"/>
        </w:rPr>
        <w:t xml:space="preserve">odifica, </w:t>
      </w:r>
      <w:r w:rsidR="005523A9" w:rsidRPr="00A605E9">
        <w:rPr>
          <w:rFonts w:ascii="ITC Avant Garde" w:eastAsia="Times New Roman" w:hAnsi="ITC Avant Garde" w:cs="Times New Roman"/>
          <w:lang w:val="es-ES"/>
        </w:rPr>
        <w:t>adiciona</w:t>
      </w:r>
      <w:r w:rsidR="003F76B2"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5523A9" w:rsidRPr="00A605E9">
        <w:rPr>
          <w:rFonts w:ascii="ITC Avant Garde" w:eastAsia="Times New Roman" w:hAnsi="ITC Avant Garde" w:cs="Times New Roman"/>
          <w:lang w:val="es-ES"/>
        </w:rPr>
        <w:t>y de</w:t>
      </w:r>
      <w:r w:rsidR="003F76B2" w:rsidRPr="00A605E9">
        <w:rPr>
          <w:rFonts w:ascii="ITC Avant Garde" w:eastAsia="Times New Roman" w:hAnsi="ITC Avant Garde" w:cs="Times New Roman"/>
          <w:lang w:val="es-ES"/>
        </w:rPr>
        <w:t xml:space="preserve">roga </w:t>
      </w:r>
      <w:r w:rsidR="00945512" w:rsidRPr="00A605E9">
        <w:rPr>
          <w:rFonts w:ascii="ITC Avant Garde" w:eastAsia="Times New Roman" w:hAnsi="ITC Avant Garde" w:cs="Times New Roman"/>
          <w:lang w:val="es-ES"/>
        </w:rPr>
        <w:t>sus</w:t>
      </w:r>
      <w:r w:rsidR="005523A9" w:rsidRPr="00A605E9">
        <w:rPr>
          <w:rFonts w:ascii="ITC Avant Garde" w:eastAsia="Times New Roman" w:hAnsi="ITC Avant Garde" w:cs="Times New Roman"/>
          <w:lang w:val="es-ES"/>
        </w:rPr>
        <w:t xml:space="preserve"> Lineamientos e</w:t>
      </w:r>
      <w:r w:rsidR="003F76B2" w:rsidRPr="00A605E9">
        <w:rPr>
          <w:rFonts w:ascii="ITC Avant Garde" w:eastAsia="Times New Roman" w:hAnsi="ITC Avant Garde" w:cs="Times New Roman"/>
          <w:lang w:val="es-ES"/>
        </w:rPr>
        <w:t xml:space="preserve">n </w:t>
      </w:r>
      <w:r w:rsidR="005523A9" w:rsidRPr="00A605E9">
        <w:rPr>
          <w:rFonts w:ascii="ITC Avant Garde" w:eastAsia="Times New Roman" w:hAnsi="ITC Avant Garde" w:cs="Times New Roman"/>
          <w:lang w:val="es-ES"/>
        </w:rPr>
        <w:t xml:space="preserve">materia de </w:t>
      </w:r>
      <w:r w:rsidR="003F76B2" w:rsidRPr="00A605E9">
        <w:rPr>
          <w:rFonts w:ascii="ITC Avant Garde" w:eastAsia="Times New Roman" w:hAnsi="ITC Avant Garde" w:cs="Times New Roman"/>
          <w:lang w:val="es-ES"/>
        </w:rPr>
        <w:t xml:space="preserve">Adquisiciones, Arrendamientos </w:t>
      </w:r>
      <w:r w:rsidR="005523A9" w:rsidRPr="00A605E9">
        <w:rPr>
          <w:rFonts w:ascii="ITC Avant Garde" w:eastAsia="Times New Roman" w:hAnsi="ITC Avant Garde" w:cs="Times New Roman"/>
          <w:lang w:val="es-ES"/>
        </w:rPr>
        <w:t>y Servicios.</w:t>
      </w:r>
    </w:p>
    <w:p w:rsidR="00E61895" w:rsidRDefault="009A3217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>(Unidad de Administración)</w:t>
      </w:r>
    </w:p>
    <w:p w:rsidR="004B1B2E" w:rsidRPr="00A605E9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III.5.-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306691" w:rsidRPr="00A605E9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aprueba la modificación de sus Norm</w:t>
      </w:r>
      <w:r w:rsidR="009A3217" w:rsidRPr="00A605E9">
        <w:rPr>
          <w:rFonts w:ascii="ITC Avant Garde" w:eastAsia="Times New Roman" w:hAnsi="ITC Avant Garde" w:cs="Times New Roman"/>
          <w:lang w:val="es-ES"/>
        </w:rPr>
        <w:t>as en m</w:t>
      </w:r>
      <w:r w:rsidR="00306691" w:rsidRPr="00A605E9">
        <w:rPr>
          <w:rFonts w:ascii="ITC Avant Garde" w:eastAsia="Times New Roman" w:hAnsi="ITC Avant Garde" w:cs="Times New Roman"/>
          <w:lang w:val="es-ES"/>
        </w:rPr>
        <w:t>ateria Presupuestaria</w:t>
      </w:r>
      <w:r w:rsidR="009A3217" w:rsidRPr="00A605E9">
        <w:rPr>
          <w:rFonts w:ascii="ITC Avant Garde" w:eastAsia="Times New Roman" w:hAnsi="ITC Avant Garde" w:cs="Times New Roman"/>
          <w:lang w:val="es-ES"/>
        </w:rPr>
        <w:t>.</w:t>
      </w:r>
    </w:p>
    <w:p w:rsidR="006D5020" w:rsidRDefault="009A3217" w:rsidP="006D5020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>(Unidad de Administración)</w:t>
      </w:r>
      <w:r w:rsidR="006D5020">
        <w:rPr>
          <w:rFonts w:ascii="ITC Avant Garde" w:eastAsia="Times New Roman" w:hAnsi="ITC Avant Garde" w:cs="Times New Roman"/>
          <w:i/>
          <w:lang w:val="es-ES"/>
        </w:rPr>
        <w:br w:type="page"/>
      </w:r>
    </w:p>
    <w:p w:rsidR="00BE7D1A" w:rsidRPr="005A45A0" w:rsidRDefault="005A45A0" w:rsidP="00E61895">
      <w:pPr>
        <w:spacing w:before="240" w:after="0" w:line="276" w:lineRule="auto"/>
        <w:jc w:val="both"/>
        <w:rPr>
          <w:rFonts w:ascii="ITC Avant Garde" w:hAnsi="ITC Avant Garde"/>
          <w:bCs/>
          <w:szCs w:val="20"/>
          <w:lang w:eastAsia="es-MX"/>
        </w:rPr>
      </w:pPr>
      <w:r>
        <w:rPr>
          <w:rFonts w:ascii="ITC Avant Garde" w:hAnsi="ITC Avant Garde"/>
          <w:bCs/>
          <w:szCs w:val="20"/>
          <w:lang w:eastAsia="es-MX"/>
        </w:rPr>
        <w:t>(Se retiró)</w:t>
      </w:r>
    </w:p>
    <w:p w:rsidR="00667990" w:rsidRPr="00A605E9" w:rsidRDefault="00C56E56" w:rsidP="00E61895">
      <w:pPr>
        <w:spacing w:before="240" w:after="0" w:line="276" w:lineRule="auto"/>
        <w:jc w:val="both"/>
        <w:rPr>
          <w:rFonts w:ascii="ITC Avant Garde" w:hAnsi="ITC Avant Garde"/>
          <w:bCs/>
          <w:szCs w:val="20"/>
          <w:lang w:eastAsia="es-MX"/>
        </w:rPr>
      </w:pPr>
      <w:r w:rsidRPr="00A605E9">
        <w:rPr>
          <w:rFonts w:ascii="ITC Avant Garde" w:hAnsi="ITC Avant Garde"/>
          <w:b/>
          <w:bCs/>
          <w:szCs w:val="20"/>
          <w:lang w:eastAsia="es-MX"/>
        </w:rPr>
        <w:t>III.6.-</w:t>
      </w:r>
      <w:r w:rsidRPr="00A605E9">
        <w:rPr>
          <w:rFonts w:ascii="ITC Avant Garde" w:hAnsi="ITC Avant Garde"/>
          <w:bCs/>
          <w:szCs w:val="20"/>
          <w:lang w:eastAsia="es-MX"/>
        </w:rPr>
        <w:t xml:space="preserve"> </w:t>
      </w:r>
      <w:r w:rsidR="00667990" w:rsidRPr="00A605E9">
        <w:rPr>
          <w:rFonts w:ascii="ITC Avant Garde" w:hAnsi="ITC Avant Garde"/>
          <w:bCs/>
          <w:szCs w:val="20"/>
          <w:lang w:eastAsia="es-MX"/>
        </w:rPr>
        <w:t xml:space="preserve">Resolución mediante la cual el Pleno del Instituto Federal de Telecomunicaciones autoriza a </w:t>
      </w:r>
      <w:r w:rsidR="00E61895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“RESERVADO POR LEY”</w:t>
      </w:r>
      <w:r w:rsidR="00E61895">
        <w:rPr>
          <w:rFonts w:ascii="ITC Avant Garde" w:eastAsia="Times New Roman" w:hAnsi="ITC Avant Garde" w:cs="Times New Roman"/>
          <w:bCs/>
          <w:color w:val="000000"/>
          <w:lang w:eastAsia="es-MX"/>
        </w:rPr>
        <w:t>.</w:t>
      </w:r>
    </w:p>
    <w:p w:rsidR="00E61895" w:rsidRDefault="00667990" w:rsidP="00E61895">
      <w:pPr>
        <w:spacing w:before="240" w:after="0" w:line="276" w:lineRule="auto"/>
        <w:jc w:val="both"/>
        <w:rPr>
          <w:rFonts w:ascii="ITC Avant Garde" w:hAnsi="ITC Avant Garde"/>
          <w:bCs/>
          <w:i/>
          <w:szCs w:val="20"/>
          <w:lang w:eastAsia="es-MX"/>
        </w:rPr>
      </w:pPr>
      <w:r w:rsidRPr="00A605E9">
        <w:rPr>
          <w:rFonts w:ascii="ITC Avant Garde" w:hAnsi="ITC Avant Garde"/>
          <w:bCs/>
          <w:i/>
          <w:szCs w:val="20"/>
          <w:lang w:eastAsia="es-MX"/>
        </w:rPr>
        <w:t>(Unidad de Medios y Contenidos Audiovisuales)</w:t>
      </w:r>
    </w:p>
    <w:p w:rsidR="004B1B2E" w:rsidRPr="00A605E9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III.7.-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4B1B2E" w:rsidRPr="00A605E9">
        <w:rPr>
          <w:rFonts w:ascii="ITC Avant Garde" w:eastAsia="Times New Roman" w:hAnsi="ITC Avant Garde" w:cs="Times New Roman"/>
          <w:lang w:val="es-ES"/>
        </w:rPr>
        <w:t>Acuerdo mediante el cual el Pleno del Instituto Federal de Telecomunicaciones aprueba el Primer Programa Trianual para la construcción y crecimiento de la Red Troncal Nacional.</w:t>
      </w:r>
    </w:p>
    <w:p w:rsidR="00E61895" w:rsidRDefault="004B1B2E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36502C" w:rsidRPr="00A605E9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III.8.-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36502C" w:rsidRPr="00A605E9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</w:t>
      </w:r>
      <w:r w:rsidR="00ED01A1" w:rsidRPr="00A605E9">
        <w:rPr>
          <w:rFonts w:ascii="ITC Avant Garde" w:eastAsia="Times New Roman" w:hAnsi="ITC Avant Garde" w:cs="Times New Roman"/>
          <w:lang w:val="es-ES"/>
        </w:rPr>
        <w:t>,</w:t>
      </w:r>
      <w:r w:rsidR="0036502C" w:rsidRPr="00A605E9">
        <w:rPr>
          <w:rFonts w:ascii="ITC Avant Garde" w:eastAsia="Times New Roman" w:hAnsi="ITC Avant Garde" w:cs="Times New Roman"/>
          <w:lang w:val="es-ES"/>
        </w:rPr>
        <w:t xml:space="preserve"> en cumplimiento a la ejecutoria del Amparo en Revisión R.A.171/2016</w:t>
      </w:r>
      <w:r w:rsidR="00ED01A1" w:rsidRPr="00A605E9">
        <w:rPr>
          <w:rFonts w:ascii="ITC Avant Garde" w:eastAsia="Times New Roman" w:hAnsi="ITC Avant Garde" w:cs="Times New Roman"/>
          <w:lang w:val="es-ES"/>
        </w:rPr>
        <w:t>,</w:t>
      </w:r>
      <w:r w:rsidR="0036502C" w:rsidRPr="00A605E9">
        <w:rPr>
          <w:rFonts w:ascii="ITC Avant Garde" w:eastAsia="Times New Roman" w:hAnsi="ITC Avant Garde" w:cs="Times New Roman"/>
          <w:lang w:val="es-ES"/>
        </w:rPr>
        <w:t xml:space="preserve"> deja insubsistente la Resolución P/IFT/041115/512 y </w:t>
      </w:r>
      <w:r w:rsidR="005A45A0">
        <w:rPr>
          <w:rFonts w:ascii="ITC Avant Garde" w:eastAsia="Times New Roman" w:hAnsi="ITC Avant Garde" w:cs="Times New Roman"/>
          <w:lang w:val="es-ES"/>
        </w:rPr>
        <w:t xml:space="preserve">ordena reponer el procedimiento de </w:t>
      </w:r>
      <w:r w:rsidR="0036502C" w:rsidRPr="00A605E9">
        <w:rPr>
          <w:rFonts w:ascii="ITC Avant Garde" w:eastAsia="Times New Roman" w:hAnsi="ITC Avant Garde" w:cs="Times New Roman"/>
          <w:lang w:val="es-ES"/>
        </w:rPr>
        <w:t>condiciones de interconexión no convenidas entre las empresas Teléfonos de México, S.A.B. de C.V., Teléfonos del Noroeste, S.A. de C.V. y las empresas Avantel, S. de R.L. de C.V. y Axtel, S.A.B. de C.V., aplicables del 1 de enero al 31 de diciembre de 2016.</w:t>
      </w:r>
    </w:p>
    <w:p w:rsidR="00E61895" w:rsidRDefault="00BD530C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B23186" w:rsidRPr="00A605E9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III.9.-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BD530C" w:rsidRPr="00A605E9">
        <w:rPr>
          <w:rFonts w:ascii="ITC Avant Garde" w:eastAsia="Times New Roman" w:hAnsi="ITC Avant Garde"/>
          <w:bCs/>
          <w:lang w:val="es-ES" w:eastAsia="es-ES"/>
        </w:rPr>
        <w:t>Resolución mediante la cual el Pleno del Instituto Federal de Telecomunicaciones</w:t>
      </w:r>
      <w:r w:rsidR="00ED01A1" w:rsidRPr="00A605E9">
        <w:rPr>
          <w:rFonts w:ascii="ITC Avant Garde" w:eastAsia="Times New Roman" w:hAnsi="ITC Avant Garde"/>
          <w:bCs/>
          <w:lang w:val="es-ES" w:eastAsia="es-ES"/>
        </w:rPr>
        <w:t>,</w:t>
      </w:r>
      <w:r w:rsidR="00BD530C" w:rsidRPr="00A605E9">
        <w:rPr>
          <w:rFonts w:ascii="ITC Avant Garde" w:eastAsia="Times New Roman" w:hAnsi="ITC Avant Garde"/>
          <w:bCs/>
          <w:lang w:val="es-ES" w:eastAsia="es-ES"/>
        </w:rPr>
        <w:t xml:space="preserve"> en cumplimiento a la ejecutoria del Amparo en Revisión R.A. 137/2016</w:t>
      </w:r>
      <w:r w:rsidR="00ED01A1" w:rsidRPr="00A605E9">
        <w:rPr>
          <w:rFonts w:ascii="ITC Avant Garde" w:eastAsia="Times New Roman" w:hAnsi="ITC Avant Garde"/>
          <w:bCs/>
          <w:lang w:val="es-ES" w:eastAsia="es-ES"/>
        </w:rPr>
        <w:t>,</w:t>
      </w:r>
      <w:r w:rsidR="00BD530C" w:rsidRPr="00A605E9">
        <w:rPr>
          <w:rFonts w:ascii="ITC Avant Garde" w:eastAsia="Times New Roman" w:hAnsi="ITC Avant Garde"/>
          <w:bCs/>
          <w:lang w:val="es-ES" w:eastAsia="es-ES"/>
        </w:rPr>
        <w:t xml:space="preserve"> deja insubsistente la Resolución P/IFT/170216/37 y desecha las solicitudes de Resolución de condiciones de interconexión no convenidas entre Marcatel Com, S.A. de C.V. y Pegaso PCS, S.A. de C.V. aplicables del 1 de enero al 31 de diciembre de 2016.</w:t>
      </w:r>
      <w:r w:rsidR="00BD530C" w:rsidRPr="00A605E9">
        <w:rPr>
          <w:rFonts w:ascii="ITC Avant Garde" w:eastAsia="Times New Roman" w:hAnsi="ITC Avant Garde" w:cs="Times New Roman"/>
          <w:lang w:val="es-ES"/>
        </w:rPr>
        <w:t xml:space="preserve"> </w:t>
      </w:r>
    </w:p>
    <w:p w:rsidR="00E61895" w:rsidRDefault="00BD530C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B23186" w:rsidRPr="00E61895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III.10.-</w:t>
      </w:r>
      <w:r w:rsidRPr="00E61895">
        <w:rPr>
          <w:rFonts w:ascii="ITC Avant Garde" w:eastAsia="Times New Roman" w:hAnsi="ITC Avant Garde" w:cs="Times New Roman"/>
          <w:lang w:val="es-ES"/>
        </w:rPr>
        <w:t xml:space="preserve"> </w:t>
      </w:r>
      <w:r w:rsidR="00E14877" w:rsidRPr="00E61895">
        <w:rPr>
          <w:rFonts w:ascii="ITC Avant Garde" w:eastAsia="Times New Roman" w:hAnsi="ITC Avant Garde" w:cs="Times New Roman"/>
          <w:lang w:val="es-ES"/>
        </w:rPr>
        <w:t>Resolución mediante la cual el Pleno del Instituto Federal de Telecomunicaciones</w:t>
      </w:r>
      <w:r w:rsidR="00ED01A1" w:rsidRPr="00E61895">
        <w:rPr>
          <w:rFonts w:ascii="ITC Avant Garde" w:eastAsia="Times New Roman" w:hAnsi="ITC Avant Garde" w:cs="Times New Roman"/>
          <w:lang w:val="es-ES"/>
        </w:rPr>
        <w:t>,</w:t>
      </w:r>
      <w:r w:rsidR="00E14877" w:rsidRPr="00E61895">
        <w:rPr>
          <w:rFonts w:ascii="ITC Avant Garde" w:eastAsia="Times New Roman" w:hAnsi="ITC Avant Garde" w:cs="Times New Roman"/>
          <w:lang w:val="es-ES"/>
        </w:rPr>
        <w:t xml:space="preserve"> en cumplimiento a la ejecutoria del Amparo en Revisión R.A. 165/2016</w:t>
      </w:r>
      <w:r w:rsidR="00ED01A1" w:rsidRPr="00E61895">
        <w:rPr>
          <w:rFonts w:ascii="ITC Avant Garde" w:eastAsia="Times New Roman" w:hAnsi="ITC Avant Garde" w:cs="Times New Roman"/>
          <w:lang w:val="es-ES"/>
        </w:rPr>
        <w:t>,</w:t>
      </w:r>
      <w:r w:rsidR="00E14877" w:rsidRPr="00E61895">
        <w:rPr>
          <w:rFonts w:ascii="ITC Avant Garde" w:eastAsia="Times New Roman" w:hAnsi="ITC Avant Garde" w:cs="Times New Roman"/>
          <w:lang w:val="es-ES"/>
        </w:rPr>
        <w:t xml:space="preserve"> deja insubsistente la Resolución P/IFT/080616/242 y desecha la solicitud de Resolución de condiciones de interconexión no convenidas entre Maxcom Telecomunicaciones, S.A.B. de C.V., y las empresas Grupo AT&amp;T Celullar, S. de R.L. de C.V., AT&amp;T Comercialización Móvil, S. de R.L. de C.V., AT&amp;T Norte, S. de R.L. de C.V. y AT&amp;T Desarrollo en Comunicaciones de México, S. de R.L. de C.V., aplicables del 1 de enero al 31 de diciembre de 2016.</w:t>
      </w:r>
    </w:p>
    <w:p w:rsidR="006D5020" w:rsidRDefault="00BD530C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>(Unidad de Política Regulatoria)</w:t>
      </w:r>
    </w:p>
    <w:p w:rsidR="006D5020" w:rsidRDefault="006D5020" w:rsidP="006D5020">
      <w:pPr>
        <w:rPr>
          <w:lang w:val="es-ES"/>
        </w:rPr>
      </w:pPr>
      <w:r>
        <w:rPr>
          <w:lang w:val="es-ES"/>
        </w:rPr>
        <w:br w:type="page"/>
      </w:r>
    </w:p>
    <w:p w:rsidR="009632AD" w:rsidRPr="00BE7D1A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III.11.-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9632AD" w:rsidRPr="00A605E9">
        <w:rPr>
          <w:rFonts w:ascii="ITC Avant Garde" w:eastAsia="Times New Roman" w:hAnsi="ITC Avant Garde" w:cs="Times New Roman"/>
          <w:lang w:val="es-ES"/>
        </w:rPr>
        <w:t xml:space="preserve">Resolución mediante la cual el Pleno del Instituto Federal de Telecomunicaciones impone una multa y declara la pérdida de bienes y equipos en beneficio de la Nación, derivado del procedimiento administrativo instruido en contra de </w:t>
      </w:r>
      <w:r w:rsidR="00E61895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="009632AD" w:rsidRPr="00A605E9">
        <w:rPr>
          <w:rFonts w:ascii="ITC Avant Garde" w:eastAsia="Times New Roman" w:hAnsi="ITC Avant Garde" w:cs="Times New Roman"/>
          <w:lang w:val="es-ES"/>
        </w:rPr>
        <w:t xml:space="preserve"> y </w:t>
      </w:r>
      <w:r w:rsidR="00E61895">
        <w:rPr>
          <w:rFonts w:ascii="ITC Avant Garde" w:eastAsia="Times New Roman" w:hAnsi="ITC Avant Garde" w:cs="Times New Roman"/>
          <w:b/>
          <w:bCs/>
          <w:color w:val="0000CC"/>
          <w:lang w:eastAsia="es-MX"/>
        </w:rPr>
        <w:t>“CONFIDENCIAL POR LEY”</w:t>
      </w:r>
      <w:r w:rsidR="00D63E11" w:rsidRPr="00A605E9">
        <w:rPr>
          <w:rFonts w:ascii="ITC Avant Garde" w:eastAsia="Times New Roman" w:hAnsi="ITC Avant Garde" w:cs="Times New Roman"/>
          <w:lang w:val="es-ES"/>
        </w:rPr>
        <w:t>,</w:t>
      </w:r>
      <w:r w:rsidR="009632AD" w:rsidRPr="00A605E9">
        <w:rPr>
          <w:rFonts w:ascii="ITC Avant Garde" w:eastAsia="Times New Roman" w:hAnsi="ITC Avant Garde" w:cs="Times New Roman"/>
          <w:lang w:val="es-ES"/>
        </w:rPr>
        <w:t xml:space="preserve"> por prestar el servicio público de radiodifusión sin contar con la respectiva concesión, permiso o autorización, en Cuautla, Morelos.</w:t>
      </w:r>
    </w:p>
    <w:p w:rsidR="00E61895" w:rsidRDefault="009632AD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 xml:space="preserve">(Unidad de Cumplimiento) </w:t>
      </w:r>
    </w:p>
    <w:p w:rsidR="00265F28" w:rsidRPr="00A605E9" w:rsidRDefault="00C56E56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III.12.-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265F28" w:rsidRPr="00A605E9">
        <w:rPr>
          <w:rFonts w:ascii="ITC Avant Garde" w:eastAsia="Times New Roman" w:hAnsi="ITC Avant Garde" w:cs="Times New Roman"/>
          <w:lang w:val="es-ES"/>
        </w:rPr>
        <w:t xml:space="preserve">Resolución </w:t>
      </w:r>
      <w:r w:rsidR="00DB4458" w:rsidRPr="00A605E9">
        <w:rPr>
          <w:rFonts w:ascii="ITC Avant Garde" w:eastAsia="Times New Roman" w:hAnsi="ITC Avant Garde" w:cs="Times New Roman"/>
          <w:lang w:val="es-ES"/>
        </w:rPr>
        <w:t>mediante la cual el Pleno del Instituto Federal d</w:t>
      </w:r>
      <w:r w:rsidR="00265F28" w:rsidRPr="00A605E9">
        <w:rPr>
          <w:rFonts w:ascii="ITC Avant Garde" w:eastAsia="Times New Roman" w:hAnsi="ITC Avant Garde" w:cs="Times New Roman"/>
          <w:lang w:val="es-ES"/>
        </w:rPr>
        <w:t xml:space="preserve">e </w:t>
      </w:r>
      <w:r w:rsidR="00DB4458" w:rsidRPr="00A605E9">
        <w:rPr>
          <w:rFonts w:ascii="ITC Avant Garde" w:eastAsia="Times New Roman" w:hAnsi="ITC Avant Garde" w:cs="Times New Roman"/>
          <w:lang w:val="es-ES"/>
        </w:rPr>
        <w:t xml:space="preserve">telecomunicaciones impone una multa y declara la pérdida de bienes y equipos en beneficio de la </w:t>
      </w:r>
      <w:r w:rsidR="00265F28" w:rsidRPr="00A605E9">
        <w:rPr>
          <w:rFonts w:ascii="ITC Avant Garde" w:eastAsia="Times New Roman" w:hAnsi="ITC Avant Garde" w:cs="Times New Roman"/>
          <w:lang w:val="es-ES"/>
        </w:rPr>
        <w:t xml:space="preserve">Nación, </w:t>
      </w:r>
      <w:r w:rsidR="00DB4458" w:rsidRPr="00A605E9">
        <w:rPr>
          <w:rFonts w:ascii="ITC Avant Garde" w:eastAsia="Times New Roman" w:hAnsi="ITC Avant Garde" w:cs="Times New Roman"/>
          <w:lang w:val="es-ES"/>
        </w:rPr>
        <w:t>derivado del procedimiento administrativo instruido en contra del</w:t>
      </w:r>
      <w:r w:rsidR="00265F28" w:rsidRPr="00A605E9">
        <w:rPr>
          <w:rFonts w:ascii="ITC Avant Garde" w:eastAsia="Times New Roman" w:hAnsi="ITC Avant Garde" w:cs="Times New Roman"/>
          <w:lang w:val="es-ES"/>
        </w:rPr>
        <w:t xml:space="preserve"> Municipio </w:t>
      </w:r>
      <w:r w:rsidR="00DB4458" w:rsidRPr="00A605E9">
        <w:rPr>
          <w:rFonts w:ascii="ITC Avant Garde" w:eastAsia="Times New Roman" w:hAnsi="ITC Avant Garde" w:cs="Times New Roman"/>
          <w:lang w:val="es-ES"/>
        </w:rPr>
        <w:t>d</w:t>
      </w:r>
      <w:r w:rsidR="00265F28" w:rsidRPr="00A605E9">
        <w:rPr>
          <w:rFonts w:ascii="ITC Avant Garde" w:eastAsia="Times New Roman" w:hAnsi="ITC Avant Garde" w:cs="Times New Roman"/>
          <w:lang w:val="es-ES"/>
        </w:rPr>
        <w:t xml:space="preserve">e Tekax, </w:t>
      </w:r>
      <w:r w:rsidR="00DB4458" w:rsidRPr="00A605E9">
        <w:rPr>
          <w:rFonts w:ascii="ITC Avant Garde" w:eastAsia="Times New Roman" w:hAnsi="ITC Avant Garde" w:cs="Times New Roman"/>
          <w:lang w:val="es-ES"/>
        </w:rPr>
        <w:t>por prestar el servicio público de radiodifusión sin contar con la respectiva concesión, permiso o autorización, e</w:t>
      </w:r>
      <w:r w:rsidR="00265F28" w:rsidRPr="00A605E9">
        <w:rPr>
          <w:rFonts w:ascii="ITC Avant Garde" w:eastAsia="Times New Roman" w:hAnsi="ITC Avant Garde" w:cs="Times New Roman"/>
          <w:lang w:val="es-ES"/>
        </w:rPr>
        <w:t>n Tekax, Yucatán.</w:t>
      </w:r>
    </w:p>
    <w:p w:rsidR="00DB4458" w:rsidRPr="00A605E9" w:rsidRDefault="00DB4458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i/>
          <w:lang w:val="es-ES"/>
        </w:rPr>
      </w:pPr>
      <w:r w:rsidRPr="00A605E9">
        <w:rPr>
          <w:rFonts w:ascii="ITC Avant Garde" w:eastAsia="Times New Roman" w:hAnsi="ITC Avant Garde" w:cs="Times New Roman"/>
          <w:i/>
          <w:lang w:val="es-ES"/>
        </w:rPr>
        <w:t xml:space="preserve">(Unidad de Cumplimiento) </w:t>
      </w:r>
    </w:p>
    <w:p w:rsidR="00667990" w:rsidRPr="00A605E9" w:rsidRDefault="00C56E56" w:rsidP="00E61895">
      <w:pPr>
        <w:spacing w:before="240" w:after="0" w:line="276" w:lineRule="auto"/>
        <w:jc w:val="both"/>
        <w:rPr>
          <w:rFonts w:ascii="ITC Avant Garde" w:hAnsi="ITC Avant Garde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>III.13.-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</w:t>
      </w:r>
      <w:r w:rsidR="00667990" w:rsidRPr="00A605E9">
        <w:rPr>
          <w:rFonts w:ascii="ITC Avant Garde" w:hAnsi="ITC Avant Garde"/>
        </w:rPr>
        <w:t>Acuerdo mediante el cual el Pleno del Instituto Federal de Telecomunicaciones expide la Guía para el control de Concentraciones en los sectores de Telecomunicaciones y Radiodifusión.</w:t>
      </w:r>
    </w:p>
    <w:p w:rsidR="00E61895" w:rsidRDefault="00667990" w:rsidP="00E61895">
      <w:pPr>
        <w:spacing w:before="240" w:line="276" w:lineRule="auto"/>
        <w:jc w:val="both"/>
        <w:rPr>
          <w:rFonts w:ascii="ITC Avant Garde" w:hAnsi="ITC Avant Garde"/>
          <w:i/>
        </w:rPr>
      </w:pPr>
      <w:r w:rsidRPr="00A605E9">
        <w:rPr>
          <w:rFonts w:ascii="ITC Avant Garde" w:hAnsi="ITC Avant Garde"/>
          <w:i/>
        </w:rPr>
        <w:t>(Unidad de Competencia Económica)</w:t>
      </w:r>
    </w:p>
    <w:p w:rsidR="00E61895" w:rsidRPr="00E61895" w:rsidRDefault="00AD4689" w:rsidP="00E61895">
      <w:pPr>
        <w:pStyle w:val="Ttulo3"/>
        <w:spacing w:after="160"/>
        <w:rPr>
          <w:rFonts w:ascii="ITC Avant Garde" w:hAnsi="ITC Avant Garde"/>
          <w:b/>
          <w:color w:val="000000" w:themeColor="text1"/>
          <w:sz w:val="22"/>
          <w:szCs w:val="22"/>
        </w:rPr>
      </w:pPr>
      <w:r w:rsidRPr="00E61895">
        <w:rPr>
          <w:rFonts w:ascii="ITC Avant Garde" w:hAnsi="ITC Avant Garde"/>
          <w:b/>
          <w:color w:val="000000" w:themeColor="text1"/>
          <w:sz w:val="22"/>
          <w:szCs w:val="22"/>
        </w:rPr>
        <w:t xml:space="preserve">IV.- ASUNTOS GENERALES. </w:t>
      </w:r>
    </w:p>
    <w:p w:rsidR="00E61895" w:rsidRDefault="00C06A58" w:rsidP="00E61895">
      <w:pPr>
        <w:pStyle w:val="Prrafodelista"/>
        <w:spacing w:before="240" w:line="276" w:lineRule="auto"/>
        <w:ind w:left="0"/>
        <w:jc w:val="both"/>
        <w:rPr>
          <w:rFonts w:ascii="ITC Avant Garde" w:eastAsia="Times New Roman" w:hAnsi="ITC Avant Garde" w:cs="Times New Roman"/>
          <w:lang w:val="es-ES"/>
        </w:rPr>
      </w:pPr>
      <w:r w:rsidRPr="00A605E9">
        <w:rPr>
          <w:rFonts w:ascii="ITC Avant Garde" w:eastAsia="Times New Roman" w:hAnsi="ITC Avant Garde" w:cs="Times New Roman"/>
          <w:b/>
          <w:lang w:val="es-ES"/>
        </w:rPr>
        <w:t xml:space="preserve">IV.1.- 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Informe de participación del Comisionado Presidente Gabriel </w:t>
      </w:r>
      <w:r w:rsidR="009F593C">
        <w:rPr>
          <w:rFonts w:ascii="ITC Avant Garde" w:eastAsia="Times New Roman" w:hAnsi="ITC Avant Garde" w:cs="Times New Roman"/>
          <w:lang w:val="es-ES"/>
        </w:rPr>
        <w:t xml:space="preserve">Oswaldo </w:t>
      </w:r>
      <w:r w:rsidRPr="00A605E9">
        <w:rPr>
          <w:rFonts w:ascii="ITC Avant Garde" w:eastAsia="Times New Roman" w:hAnsi="ITC Avant Garde" w:cs="Times New Roman"/>
          <w:lang w:val="es-ES"/>
        </w:rPr>
        <w:t>Cont</w:t>
      </w:r>
      <w:r w:rsidR="009F593C">
        <w:rPr>
          <w:rFonts w:ascii="ITC Avant Garde" w:eastAsia="Times New Roman" w:hAnsi="ITC Avant Garde" w:cs="Times New Roman"/>
          <w:lang w:val="es-ES"/>
        </w:rPr>
        <w:t>rera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s Saldívar y del Comisionado </w:t>
      </w:r>
      <w:r w:rsidR="00794CC6" w:rsidRPr="00A605E9">
        <w:rPr>
          <w:rFonts w:ascii="ITC Avant Garde" w:eastAsia="Times New Roman" w:hAnsi="ITC Avant Garde" w:cs="Times New Roman"/>
          <w:lang w:val="es-ES"/>
        </w:rPr>
        <w:t>Javier Juárez Mojica</w:t>
      </w:r>
      <w:r w:rsidR="00175A1F">
        <w:rPr>
          <w:rFonts w:ascii="ITC Avant Garde" w:eastAsia="Times New Roman" w:hAnsi="ITC Avant Garde" w:cs="Times New Roman"/>
          <w:lang w:val="es-ES"/>
        </w:rPr>
        <w:t xml:space="preserve"> </w:t>
      </w:r>
      <w:r w:rsidRPr="00A605E9">
        <w:rPr>
          <w:rFonts w:ascii="ITC Avant Garde" w:eastAsia="Times New Roman" w:hAnsi="ITC Avant Garde" w:cs="Times New Roman"/>
          <w:lang w:val="es-ES"/>
        </w:rPr>
        <w:t>en representación del Instituto Federal de Telecomunicaciones</w:t>
      </w:r>
      <w:r w:rsidR="00794CC6" w:rsidRPr="00A605E9">
        <w:rPr>
          <w:rFonts w:ascii="ITC Avant Garde" w:eastAsia="Times New Roman" w:hAnsi="ITC Avant Garde" w:cs="Times New Roman"/>
          <w:lang w:val="es-ES"/>
        </w:rPr>
        <w:t xml:space="preserve">, 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en la “Cumbre BEREC-EMERG-EaPeReg-Regulatel” y en </w:t>
      </w:r>
      <w:r w:rsidR="00C323ED" w:rsidRPr="00A605E9">
        <w:rPr>
          <w:rFonts w:ascii="ITC Avant Garde" w:eastAsia="Times New Roman" w:hAnsi="ITC Avant Garde" w:cs="Times New Roman"/>
          <w:lang w:val="es-ES"/>
        </w:rPr>
        <w:t xml:space="preserve">diversas </w:t>
      </w:r>
      <w:r w:rsidRPr="00A605E9">
        <w:rPr>
          <w:rFonts w:ascii="ITC Avant Garde" w:eastAsia="Times New Roman" w:hAnsi="ITC Avant Garde" w:cs="Times New Roman"/>
          <w:lang w:val="es-ES"/>
        </w:rPr>
        <w:t>reuniones</w:t>
      </w:r>
      <w:r w:rsidR="00C323ED" w:rsidRPr="00A605E9">
        <w:rPr>
          <w:rFonts w:ascii="ITC Avant Garde" w:eastAsia="Times New Roman" w:hAnsi="ITC Avant Garde" w:cs="Times New Roman"/>
          <w:lang w:val="es-ES"/>
        </w:rPr>
        <w:t xml:space="preserve"> bilaterales, llevadas a cabo</w:t>
      </w:r>
      <w:r w:rsidRPr="00A605E9">
        <w:rPr>
          <w:rFonts w:ascii="ITC Avant Garde" w:eastAsia="Times New Roman" w:hAnsi="ITC Avant Garde" w:cs="Times New Roman"/>
          <w:lang w:val="es-ES"/>
        </w:rPr>
        <w:t xml:space="preserve"> en Portugal, del 30 de mayo al 2 de junio de 2017. </w:t>
      </w:r>
    </w:p>
    <w:p w:rsidR="00E61895" w:rsidRDefault="0066423D" w:rsidP="00E61895">
      <w:pPr>
        <w:spacing w:before="240" w:after="0" w:line="276" w:lineRule="auto"/>
        <w:jc w:val="both"/>
        <w:rPr>
          <w:rFonts w:ascii="ITC Avant Garde" w:eastAsia="Times New Roman" w:hAnsi="ITC Avant Garde" w:cs="Times New Roman"/>
          <w:lang w:val="es-ES"/>
        </w:rPr>
      </w:pPr>
      <w:r w:rsidRPr="0066423D">
        <w:rPr>
          <w:rFonts w:ascii="ITC Avant Garde" w:eastAsia="Times New Roman" w:hAnsi="ITC Avant Garde" w:cs="Times New Roman"/>
          <w:b/>
          <w:lang w:val="es-ES"/>
        </w:rPr>
        <w:t>IV.2.-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832878" w:rsidRPr="00832878">
        <w:rPr>
          <w:rFonts w:ascii="ITC Avant Garde" w:eastAsia="Times New Roman" w:hAnsi="ITC Avant Garde" w:cs="Times New Roman"/>
          <w:lang w:val="es-ES"/>
        </w:rPr>
        <w:t xml:space="preserve">Informe </w:t>
      </w:r>
      <w:r>
        <w:rPr>
          <w:rFonts w:ascii="ITC Avant Garde" w:eastAsia="Times New Roman" w:hAnsi="ITC Avant Garde" w:cs="Times New Roman"/>
          <w:lang w:val="es-ES"/>
        </w:rPr>
        <w:t>de participación de</w:t>
      </w:r>
      <w:r w:rsidR="00832878" w:rsidRPr="00832878">
        <w:rPr>
          <w:rFonts w:ascii="ITC Avant Garde" w:eastAsia="Times New Roman" w:hAnsi="ITC Avant Garde" w:cs="Times New Roman"/>
          <w:lang w:val="es-ES"/>
        </w:rPr>
        <w:t xml:space="preserve"> la Comisionada Adriana Sofía Labardini Inzunza </w:t>
      </w:r>
      <w:r>
        <w:rPr>
          <w:rFonts w:ascii="ITC Avant Garde" w:eastAsia="Times New Roman" w:hAnsi="ITC Avant Garde" w:cs="Times New Roman"/>
          <w:lang w:val="es-ES"/>
        </w:rPr>
        <w:t xml:space="preserve">en representación del Instituto, </w:t>
      </w:r>
      <w:r w:rsidR="00832878" w:rsidRPr="00832878">
        <w:rPr>
          <w:rFonts w:ascii="ITC Avant Garde" w:eastAsia="Times New Roman" w:hAnsi="ITC Avant Garde" w:cs="Times New Roman"/>
          <w:lang w:val="es-ES"/>
        </w:rPr>
        <w:t xml:space="preserve">en el “Foro de la Cumbre Mundial de la Sociedad de la Información y el Conocimiento 2017” (WSIS), </w:t>
      </w:r>
      <w:r>
        <w:rPr>
          <w:rFonts w:ascii="ITC Avant Garde" w:eastAsia="Times New Roman" w:hAnsi="ITC Avant Garde" w:cs="Times New Roman"/>
          <w:lang w:val="es-ES"/>
        </w:rPr>
        <w:t>llevado a cabo</w:t>
      </w:r>
      <w:r w:rsidR="00832878" w:rsidRPr="00832878">
        <w:rPr>
          <w:rFonts w:ascii="ITC Avant Garde" w:eastAsia="Times New Roman" w:hAnsi="ITC Avant Garde" w:cs="Times New Roman"/>
          <w:lang w:val="es-ES"/>
        </w:rPr>
        <w:t xml:space="preserve"> en Ginebra, Suiza, del 10 al 13 de junio de 2017. </w:t>
      </w:r>
    </w:p>
    <w:p w:rsidR="00C06A58" w:rsidRPr="00A605E9" w:rsidRDefault="0066423D" w:rsidP="00E61895">
      <w:pPr>
        <w:pStyle w:val="Prrafodelista"/>
        <w:spacing w:before="240" w:after="0" w:line="276" w:lineRule="auto"/>
        <w:ind w:left="0"/>
        <w:jc w:val="both"/>
        <w:rPr>
          <w:rFonts w:ascii="ITC Avant Garde" w:eastAsia="Times New Roman" w:hAnsi="ITC Avant Garde" w:cs="Times New Roman"/>
          <w:b/>
          <w:lang w:val="es-ES"/>
        </w:rPr>
      </w:pPr>
      <w:r w:rsidRPr="0066423D">
        <w:rPr>
          <w:rFonts w:ascii="ITC Avant Garde" w:eastAsia="Times New Roman" w:hAnsi="ITC Avant Garde" w:cs="Times New Roman"/>
          <w:b/>
          <w:lang w:val="es-ES"/>
        </w:rPr>
        <w:t>IV.3.-</w:t>
      </w:r>
      <w:r>
        <w:rPr>
          <w:rFonts w:ascii="ITC Avant Garde" w:eastAsia="Times New Roman" w:hAnsi="ITC Avant Garde" w:cs="Times New Roman"/>
          <w:lang w:val="es-ES"/>
        </w:rPr>
        <w:t xml:space="preserve"> </w:t>
      </w:r>
      <w:r w:rsidR="00832878" w:rsidRPr="00832878">
        <w:rPr>
          <w:rFonts w:ascii="ITC Avant Garde" w:eastAsia="Times New Roman" w:hAnsi="ITC Avant Garde" w:cs="Times New Roman"/>
          <w:lang w:val="es-ES"/>
        </w:rPr>
        <w:t>Informe</w:t>
      </w:r>
      <w:r>
        <w:rPr>
          <w:rFonts w:ascii="ITC Avant Garde" w:eastAsia="Times New Roman" w:hAnsi="ITC Avant Garde" w:cs="Times New Roman"/>
          <w:lang w:val="es-ES"/>
        </w:rPr>
        <w:t xml:space="preserve"> de participación de</w:t>
      </w:r>
      <w:r w:rsidRPr="00832878">
        <w:rPr>
          <w:rFonts w:ascii="ITC Avant Garde" w:eastAsia="Times New Roman" w:hAnsi="ITC Avant Garde" w:cs="Times New Roman"/>
          <w:lang w:val="es-ES"/>
        </w:rPr>
        <w:t xml:space="preserve"> la</w:t>
      </w:r>
      <w:r w:rsidR="00832878" w:rsidRPr="00832878">
        <w:rPr>
          <w:rFonts w:ascii="ITC Avant Garde" w:eastAsia="Times New Roman" w:hAnsi="ITC Avant Garde" w:cs="Times New Roman"/>
          <w:lang w:val="es-ES"/>
        </w:rPr>
        <w:t xml:space="preserve"> Comisionada Adriana Sofía Labardini Inzunza </w:t>
      </w:r>
      <w:r>
        <w:rPr>
          <w:rFonts w:ascii="ITC Avant Garde" w:eastAsia="Times New Roman" w:hAnsi="ITC Avant Garde" w:cs="Times New Roman"/>
          <w:lang w:val="es-ES"/>
        </w:rPr>
        <w:t xml:space="preserve">en representación del Instituto, </w:t>
      </w:r>
      <w:r w:rsidR="00832878" w:rsidRPr="00832878">
        <w:rPr>
          <w:rFonts w:ascii="ITC Avant Garde" w:eastAsia="Times New Roman" w:hAnsi="ITC Avant Garde" w:cs="Times New Roman"/>
          <w:lang w:val="es-ES"/>
        </w:rPr>
        <w:t xml:space="preserve">en el evento denominado “The Future of First Nations, Inuit, and Métis Broadcasting: Conversations and Convergence”, </w:t>
      </w:r>
      <w:r>
        <w:rPr>
          <w:rFonts w:ascii="ITC Avant Garde" w:eastAsia="Times New Roman" w:hAnsi="ITC Avant Garde" w:cs="Times New Roman"/>
          <w:lang w:val="es-ES"/>
        </w:rPr>
        <w:t xml:space="preserve">llevado a cabo </w:t>
      </w:r>
      <w:r w:rsidR="00832878" w:rsidRPr="00832878">
        <w:rPr>
          <w:rFonts w:ascii="ITC Avant Garde" w:eastAsia="Times New Roman" w:hAnsi="ITC Avant Garde" w:cs="Times New Roman"/>
          <w:lang w:val="es-ES"/>
        </w:rPr>
        <w:t>en la Universidad de Ottawa, Canadá</w:t>
      </w:r>
      <w:r>
        <w:rPr>
          <w:rFonts w:ascii="ITC Avant Garde" w:eastAsia="Times New Roman" w:hAnsi="ITC Avant Garde" w:cs="Times New Roman"/>
          <w:lang w:val="es-ES"/>
        </w:rPr>
        <w:t>,</w:t>
      </w:r>
      <w:r w:rsidR="00832878" w:rsidRPr="00832878">
        <w:rPr>
          <w:rFonts w:ascii="ITC Avant Garde" w:eastAsia="Times New Roman" w:hAnsi="ITC Avant Garde" w:cs="Times New Roman"/>
          <w:lang w:val="es-ES"/>
        </w:rPr>
        <w:t xml:space="preserve"> del 14 al 17 de junio de 2017.</w:t>
      </w:r>
    </w:p>
    <w:sectPr w:rsidR="00C06A58" w:rsidRPr="00A605E9" w:rsidSect="00820053">
      <w:pgSz w:w="12240" w:h="15840"/>
      <w:pgMar w:top="2268" w:right="132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5D4" w:rsidRDefault="00E655D4">
      <w:pPr>
        <w:spacing w:after="0" w:line="240" w:lineRule="auto"/>
      </w:pPr>
      <w:r>
        <w:separator/>
      </w:r>
    </w:p>
  </w:endnote>
  <w:endnote w:type="continuationSeparator" w:id="0">
    <w:p w:rsidR="00E655D4" w:rsidRDefault="00E65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TC Avant Garde"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5D4" w:rsidRDefault="00E655D4">
      <w:pPr>
        <w:spacing w:after="0" w:line="240" w:lineRule="auto"/>
      </w:pPr>
      <w:r>
        <w:separator/>
      </w:r>
    </w:p>
  </w:footnote>
  <w:footnote w:type="continuationSeparator" w:id="0">
    <w:p w:rsidR="00E655D4" w:rsidRDefault="00E655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BA2"/>
    <w:multiLevelType w:val="hybridMultilevel"/>
    <w:tmpl w:val="9A926C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A1FAF"/>
    <w:multiLevelType w:val="hybridMultilevel"/>
    <w:tmpl w:val="6A082B60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108CD"/>
    <w:multiLevelType w:val="hybridMultilevel"/>
    <w:tmpl w:val="AF8AC0F4"/>
    <w:lvl w:ilvl="0" w:tplc="516E7E22">
      <w:start w:val="1"/>
      <w:numFmt w:val="decimal"/>
      <w:lvlText w:val="III.%1.-"/>
      <w:lvlJc w:val="left"/>
      <w:pPr>
        <w:ind w:left="644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41FB"/>
    <w:multiLevelType w:val="hybridMultilevel"/>
    <w:tmpl w:val="AA0ACAF8"/>
    <w:lvl w:ilvl="0" w:tplc="61CC244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93B22"/>
    <w:multiLevelType w:val="hybridMultilevel"/>
    <w:tmpl w:val="DA707890"/>
    <w:lvl w:ilvl="0" w:tplc="833E67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01BC"/>
    <w:multiLevelType w:val="hybridMultilevel"/>
    <w:tmpl w:val="5A561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90261"/>
    <w:multiLevelType w:val="hybridMultilevel"/>
    <w:tmpl w:val="CE16D3FC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6C30"/>
    <w:multiLevelType w:val="hybridMultilevel"/>
    <w:tmpl w:val="0F4C2C94"/>
    <w:lvl w:ilvl="0" w:tplc="A844B18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4932"/>
    <w:multiLevelType w:val="hybridMultilevel"/>
    <w:tmpl w:val="22B2627E"/>
    <w:lvl w:ilvl="0" w:tplc="E6F6FC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1A7DB9"/>
    <w:multiLevelType w:val="hybridMultilevel"/>
    <w:tmpl w:val="E4DECA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76B9D"/>
    <w:multiLevelType w:val="hybridMultilevel"/>
    <w:tmpl w:val="F10C1E98"/>
    <w:lvl w:ilvl="0" w:tplc="9A4A792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E6913"/>
    <w:multiLevelType w:val="hybridMultilevel"/>
    <w:tmpl w:val="79623F3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52688"/>
    <w:multiLevelType w:val="hybridMultilevel"/>
    <w:tmpl w:val="E0E44D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E5085B"/>
    <w:multiLevelType w:val="hybridMultilevel"/>
    <w:tmpl w:val="E74866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6B1DC6"/>
    <w:multiLevelType w:val="hybridMultilevel"/>
    <w:tmpl w:val="F452B4DE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A4681B"/>
    <w:multiLevelType w:val="hybridMultilevel"/>
    <w:tmpl w:val="A08CB634"/>
    <w:lvl w:ilvl="0" w:tplc="98FCA084">
      <w:start w:val="1"/>
      <w:numFmt w:val="decimal"/>
      <w:lvlText w:val="III.%1.- 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F7B4D"/>
    <w:multiLevelType w:val="hybridMultilevel"/>
    <w:tmpl w:val="293AE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0065E"/>
    <w:multiLevelType w:val="hybridMultilevel"/>
    <w:tmpl w:val="4C5E15BE"/>
    <w:lvl w:ilvl="0" w:tplc="516E7E22">
      <w:start w:val="1"/>
      <w:numFmt w:val="decimal"/>
      <w:lvlText w:val="III.%1.-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212259"/>
    <w:multiLevelType w:val="hybridMultilevel"/>
    <w:tmpl w:val="D7DCA9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50173"/>
    <w:multiLevelType w:val="hybridMultilevel"/>
    <w:tmpl w:val="B0380B72"/>
    <w:lvl w:ilvl="0" w:tplc="A1EC4AEE">
      <w:start w:val="1"/>
      <w:numFmt w:val="decimal"/>
      <w:lvlText w:val="III.%1.- 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F2526"/>
    <w:multiLevelType w:val="hybridMultilevel"/>
    <w:tmpl w:val="405C671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12"/>
  </w:num>
  <w:num w:numId="12">
    <w:abstractNumId w:val="0"/>
  </w:num>
  <w:num w:numId="13">
    <w:abstractNumId w:val="17"/>
  </w:num>
  <w:num w:numId="14">
    <w:abstractNumId w:val="11"/>
  </w:num>
  <w:num w:numId="15">
    <w:abstractNumId w:val="6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4"/>
  </w:num>
  <w:num w:numId="23">
    <w:abstractNumId w:val="15"/>
  </w:num>
  <w:num w:numId="24">
    <w:abstractNumId w:val="20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4BB"/>
    <w:rsid w:val="000017A7"/>
    <w:rsid w:val="00001E12"/>
    <w:rsid w:val="00006749"/>
    <w:rsid w:val="00006B95"/>
    <w:rsid w:val="0000794F"/>
    <w:rsid w:val="00007B7F"/>
    <w:rsid w:val="00010E76"/>
    <w:rsid w:val="00011D46"/>
    <w:rsid w:val="00012A0A"/>
    <w:rsid w:val="00014811"/>
    <w:rsid w:val="00016FA4"/>
    <w:rsid w:val="00017594"/>
    <w:rsid w:val="0002050F"/>
    <w:rsid w:val="00020815"/>
    <w:rsid w:val="0002377A"/>
    <w:rsid w:val="00024E57"/>
    <w:rsid w:val="000254C8"/>
    <w:rsid w:val="00027741"/>
    <w:rsid w:val="000279CB"/>
    <w:rsid w:val="000312AC"/>
    <w:rsid w:val="000312BF"/>
    <w:rsid w:val="00031BEA"/>
    <w:rsid w:val="00033CCC"/>
    <w:rsid w:val="00034DC0"/>
    <w:rsid w:val="00035294"/>
    <w:rsid w:val="00035463"/>
    <w:rsid w:val="00035477"/>
    <w:rsid w:val="00035EB4"/>
    <w:rsid w:val="00037654"/>
    <w:rsid w:val="00041250"/>
    <w:rsid w:val="0004167C"/>
    <w:rsid w:val="000427FE"/>
    <w:rsid w:val="000443D5"/>
    <w:rsid w:val="0004697F"/>
    <w:rsid w:val="000506E8"/>
    <w:rsid w:val="00050816"/>
    <w:rsid w:val="00051E93"/>
    <w:rsid w:val="00052554"/>
    <w:rsid w:val="00052FFC"/>
    <w:rsid w:val="00054A9A"/>
    <w:rsid w:val="0005625B"/>
    <w:rsid w:val="00057602"/>
    <w:rsid w:val="00057F1E"/>
    <w:rsid w:val="0006103D"/>
    <w:rsid w:val="00061AA2"/>
    <w:rsid w:val="00070BCE"/>
    <w:rsid w:val="00071F9B"/>
    <w:rsid w:val="00073C04"/>
    <w:rsid w:val="00074E36"/>
    <w:rsid w:val="000754E4"/>
    <w:rsid w:val="000765F8"/>
    <w:rsid w:val="0007683B"/>
    <w:rsid w:val="0007713A"/>
    <w:rsid w:val="00077642"/>
    <w:rsid w:val="00077DB0"/>
    <w:rsid w:val="00080208"/>
    <w:rsid w:val="00082507"/>
    <w:rsid w:val="0008266B"/>
    <w:rsid w:val="00083A80"/>
    <w:rsid w:val="000865B5"/>
    <w:rsid w:val="00087886"/>
    <w:rsid w:val="00090AC4"/>
    <w:rsid w:val="00090D21"/>
    <w:rsid w:val="00091B15"/>
    <w:rsid w:val="0009251F"/>
    <w:rsid w:val="00094E82"/>
    <w:rsid w:val="00095AD5"/>
    <w:rsid w:val="00096586"/>
    <w:rsid w:val="000A1EAD"/>
    <w:rsid w:val="000A2B6F"/>
    <w:rsid w:val="000B118D"/>
    <w:rsid w:val="000B3B2C"/>
    <w:rsid w:val="000B3D91"/>
    <w:rsid w:val="000B541E"/>
    <w:rsid w:val="000B7BF3"/>
    <w:rsid w:val="000B7D6B"/>
    <w:rsid w:val="000C1BBC"/>
    <w:rsid w:val="000C33E1"/>
    <w:rsid w:val="000C3EFD"/>
    <w:rsid w:val="000C447F"/>
    <w:rsid w:val="000C4B86"/>
    <w:rsid w:val="000C52DB"/>
    <w:rsid w:val="000C5D64"/>
    <w:rsid w:val="000C5F11"/>
    <w:rsid w:val="000C6179"/>
    <w:rsid w:val="000C75B6"/>
    <w:rsid w:val="000D0142"/>
    <w:rsid w:val="000D0568"/>
    <w:rsid w:val="000D144F"/>
    <w:rsid w:val="000D1DB9"/>
    <w:rsid w:val="000D2CF1"/>
    <w:rsid w:val="000D49D9"/>
    <w:rsid w:val="000D4AEE"/>
    <w:rsid w:val="000D5E3C"/>
    <w:rsid w:val="000D6591"/>
    <w:rsid w:val="000E4B1D"/>
    <w:rsid w:val="000E4F73"/>
    <w:rsid w:val="000E58EB"/>
    <w:rsid w:val="000F0B17"/>
    <w:rsid w:val="000F2E2F"/>
    <w:rsid w:val="000F343F"/>
    <w:rsid w:val="000F42D3"/>
    <w:rsid w:val="000F5922"/>
    <w:rsid w:val="000F6063"/>
    <w:rsid w:val="000F6AD0"/>
    <w:rsid w:val="000F7B51"/>
    <w:rsid w:val="0010306A"/>
    <w:rsid w:val="001049DC"/>
    <w:rsid w:val="00104E1F"/>
    <w:rsid w:val="00106F0B"/>
    <w:rsid w:val="00106FEC"/>
    <w:rsid w:val="00111151"/>
    <w:rsid w:val="00116C02"/>
    <w:rsid w:val="001173F1"/>
    <w:rsid w:val="0012170A"/>
    <w:rsid w:val="00123410"/>
    <w:rsid w:val="00123D91"/>
    <w:rsid w:val="0012615C"/>
    <w:rsid w:val="001268F2"/>
    <w:rsid w:val="00126A33"/>
    <w:rsid w:val="0012796F"/>
    <w:rsid w:val="001312B9"/>
    <w:rsid w:val="00131D0B"/>
    <w:rsid w:val="00131EB4"/>
    <w:rsid w:val="00132A22"/>
    <w:rsid w:val="001337C0"/>
    <w:rsid w:val="00134EEA"/>
    <w:rsid w:val="001353AA"/>
    <w:rsid w:val="0014180E"/>
    <w:rsid w:val="001426C1"/>
    <w:rsid w:val="00143757"/>
    <w:rsid w:val="00143C20"/>
    <w:rsid w:val="00144D23"/>
    <w:rsid w:val="00146DFC"/>
    <w:rsid w:val="00153894"/>
    <w:rsid w:val="00154A5F"/>
    <w:rsid w:val="00154B9E"/>
    <w:rsid w:val="001565A1"/>
    <w:rsid w:val="00160425"/>
    <w:rsid w:val="00162D1B"/>
    <w:rsid w:val="00165349"/>
    <w:rsid w:val="00165EC6"/>
    <w:rsid w:val="00167D11"/>
    <w:rsid w:val="00167D30"/>
    <w:rsid w:val="00167FDC"/>
    <w:rsid w:val="00170B95"/>
    <w:rsid w:val="00171FDD"/>
    <w:rsid w:val="00174041"/>
    <w:rsid w:val="0017589D"/>
    <w:rsid w:val="00175A1F"/>
    <w:rsid w:val="00175AE4"/>
    <w:rsid w:val="0017657D"/>
    <w:rsid w:val="0017795A"/>
    <w:rsid w:val="00180E49"/>
    <w:rsid w:val="00183235"/>
    <w:rsid w:val="00183D91"/>
    <w:rsid w:val="00184039"/>
    <w:rsid w:val="001920DD"/>
    <w:rsid w:val="0019245C"/>
    <w:rsid w:val="00192EBC"/>
    <w:rsid w:val="00193868"/>
    <w:rsid w:val="00193BE9"/>
    <w:rsid w:val="00194167"/>
    <w:rsid w:val="00194FE2"/>
    <w:rsid w:val="00195213"/>
    <w:rsid w:val="001957EF"/>
    <w:rsid w:val="00195FC7"/>
    <w:rsid w:val="00196442"/>
    <w:rsid w:val="00196975"/>
    <w:rsid w:val="00197DD3"/>
    <w:rsid w:val="001A1FD7"/>
    <w:rsid w:val="001A60D1"/>
    <w:rsid w:val="001A6680"/>
    <w:rsid w:val="001B0FB9"/>
    <w:rsid w:val="001B272A"/>
    <w:rsid w:val="001B284C"/>
    <w:rsid w:val="001B33A1"/>
    <w:rsid w:val="001B38B9"/>
    <w:rsid w:val="001B42A3"/>
    <w:rsid w:val="001B78B0"/>
    <w:rsid w:val="001C1C5F"/>
    <w:rsid w:val="001C4A24"/>
    <w:rsid w:val="001C6205"/>
    <w:rsid w:val="001C708E"/>
    <w:rsid w:val="001C748E"/>
    <w:rsid w:val="001C7DC3"/>
    <w:rsid w:val="001D00E3"/>
    <w:rsid w:val="001D462A"/>
    <w:rsid w:val="001D464E"/>
    <w:rsid w:val="001D5A1F"/>
    <w:rsid w:val="001D5BDE"/>
    <w:rsid w:val="001D616C"/>
    <w:rsid w:val="001D78A8"/>
    <w:rsid w:val="001D7E3C"/>
    <w:rsid w:val="001E062F"/>
    <w:rsid w:val="001E25A6"/>
    <w:rsid w:val="001E4D9B"/>
    <w:rsid w:val="001E6160"/>
    <w:rsid w:val="001F115B"/>
    <w:rsid w:val="001F57F9"/>
    <w:rsid w:val="001F7BC2"/>
    <w:rsid w:val="00200E65"/>
    <w:rsid w:val="002029EE"/>
    <w:rsid w:val="00205BAD"/>
    <w:rsid w:val="0020751B"/>
    <w:rsid w:val="00207CF7"/>
    <w:rsid w:val="002103B3"/>
    <w:rsid w:val="002108A0"/>
    <w:rsid w:val="00210D0F"/>
    <w:rsid w:val="00211720"/>
    <w:rsid w:val="00211C24"/>
    <w:rsid w:val="002158FE"/>
    <w:rsid w:val="0021675D"/>
    <w:rsid w:val="0021771D"/>
    <w:rsid w:val="00217B74"/>
    <w:rsid w:val="00217F27"/>
    <w:rsid w:val="002211BB"/>
    <w:rsid w:val="00221AE2"/>
    <w:rsid w:val="00222F09"/>
    <w:rsid w:val="00224122"/>
    <w:rsid w:val="00225BE6"/>
    <w:rsid w:val="00230142"/>
    <w:rsid w:val="00230DBB"/>
    <w:rsid w:val="0023154A"/>
    <w:rsid w:val="00232FB4"/>
    <w:rsid w:val="0023303B"/>
    <w:rsid w:val="00235A31"/>
    <w:rsid w:val="00240100"/>
    <w:rsid w:val="0024260F"/>
    <w:rsid w:val="00242B86"/>
    <w:rsid w:val="002436D6"/>
    <w:rsid w:val="00244770"/>
    <w:rsid w:val="00244F11"/>
    <w:rsid w:val="00246A38"/>
    <w:rsid w:val="00247229"/>
    <w:rsid w:val="00247780"/>
    <w:rsid w:val="002512AE"/>
    <w:rsid w:val="00254A51"/>
    <w:rsid w:val="00255427"/>
    <w:rsid w:val="0025676A"/>
    <w:rsid w:val="00256CF5"/>
    <w:rsid w:val="00256F53"/>
    <w:rsid w:val="002574AB"/>
    <w:rsid w:val="0026055A"/>
    <w:rsid w:val="00263600"/>
    <w:rsid w:val="00263F2E"/>
    <w:rsid w:val="00265DF3"/>
    <w:rsid w:val="00265F28"/>
    <w:rsid w:val="0026717E"/>
    <w:rsid w:val="00274119"/>
    <w:rsid w:val="00274B93"/>
    <w:rsid w:val="00276592"/>
    <w:rsid w:val="002776C6"/>
    <w:rsid w:val="00280BCC"/>
    <w:rsid w:val="00284C35"/>
    <w:rsid w:val="00286D13"/>
    <w:rsid w:val="00287CEB"/>
    <w:rsid w:val="00290E66"/>
    <w:rsid w:val="00292503"/>
    <w:rsid w:val="00292774"/>
    <w:rsid w:val="00296355"/>
    <w:rsid w:val="00296EB1"/>
    <w:rsid w:val="0029726C"/>
    <w:rsid w:val="002A0CCC"/>
    <w:rsid w:val="002A2683"/>
    <w:rsid w:val="002A3629"/>
    <w:rsid w:val="002A5308"/>
    <w:rsid w:val="002A5AA7"/>
    <w:rsid w:val="002B3B2E"/>
    <w:rsid w:val="002B49B4"/>
    <w:rsid w:val="002B60E4"/>
    <w:rsid w:val="002B6469"/>
    <w:rsid w:val="002B7F09"/>
    <w:rsid w:val="002C2625"/>
    <w:rsid w:val="002C2F53"/>
    <w:rsid w:val="002C3162"/>
    <w:rsid w:val="002C445D"/>
    <w:rsid w:val="002C5CF6"/>
    <w:rsid w:val="002C5DC2"/>
    <w:rsid w:val="002C71C3"/>
    <w:rsid w:val="002D2ABC"/>
    <w:rsid w:val="002D2C3F"/>
    <w:rsid w:val="002D3615"/>
    <w:rsid w:val="002D45AE"/>
    <w:rsid w:val="002D5B58"/>
    <w:rsid w:val="002D5E6A"/>
    <w:rsid w:val="002D7022"/>
    <w:rsid w:val="002D7D4F"/>
    <w:rsid w:val="002E2FC1"/>
    <w:rsid w:val="002E3A29"/>
    <w:rsid w:val="002E416F"/>
    <w:rsid w:val="002E4416"/>
    <w:rsid w:val="002E6A61"/>
    <w:rsid w:val="002F6805"/>
    <w:rsid w:val="002F7465"/>
    <w:rsid w:val="00300791"/>
    <w:rsid w:val="00300E1A"/>
    <w:rsid w:val="00303A5B"/>
    <w:rsid w:val="0030445E"/>
    <w:rsid w:val="00304C81"/>
    <w:rsid w:val="00304DB7"/>
    <w:rsid w:val="00304FCD"/>
    <w:rsid w:val="00306691"/>
    <w:rsid w:val="00306966"/>
    <w:rsid w:val="00311D46"/>
    <w:rsid w:val="00314218"/>
    <w:rsid w:val="003163FB"/>
    <w:rsid w:val="00317128"/>
    <w:rsid w:val="003171FE"/>
    <w:rsid w:val="0031779C"/>
    <w:rsid w:val="00321D89"/>
    <w:rsid w:val="00321EF5"/>
    <w:rsid w:val="00322017"/>
    <w:rsid w:val="00322938"/>
    <w:rsid w:val="0032326A"/>
    <w:rsid w:val="003232EF"/>
    <w:rsid w:val="0032661E"/>
    <w:rsid w:val="00326EED"/>
    <w:rsid w:val="003276F4"/>
    <w:rsid w:val="00327AEA"/>
    <w:rsid w:val="003301E2"/>
    <w:rsid w:val="00330809"/>
    <w:rsid w:val="00330DF7"/>
    <w:rsid w:val="00331687"/>
    <w:rsid w:val="0033177A"/>
    <w:rsid w:val="00343153"/>
    <w:rsid w:val="0034487C"/>
    <w:rsid w:val="00346542"/>
    <w:rsid w:val="00351A72"/>
    <w:rsid w:val="003524BF"/>
    <w:rsid w:val="00352562"/>
    <w:rsid w:val="00356437"/>
    <w:rsid w:val="00356925"/>
    <w:rsid w:val="00357291"/>
    <w:rsid w:val="00360942"/>
    <w:rsid w:val="00361624"/>
    <w:rsid w:val="00363643"/>
    <w:rsid w:val="0036502C"/>
    <w:rsid w:val="00366851"/>
    <w:rsid w:val="00366C17"/>
    <w:rsid w:val="00366CA9"/>
    <w:rsid w:val="00370424"/>
    <w:rsid w:val="003707E0"/>
    <w:rsid w:val="00372E43"/>
    <w:rsid w:val="00375F59"/>
    <w:rsid w:val="00377F12"/>
    <w:rsid w:val="0038047F"/>
    <w:rsid w:val="0038060B"/>
    <w:rsid w:val="003811F6"/>
    <w:rsid w:val="0038450C"/>
    <w:rsid w:val="0038790F"/>
    <w:rsid w:val="003879CF"/>
    <w:rsid w:val="0039062D"/>
    <w:rsid w:val="00390BFC"/>
    <w:rsid w:val="003911DE"/>
    <w:rsid w:val="003918E8"/>
    <w:rsid w:val="00391B86"/>
    <w:rsid w:val="00392054"/>
    <w:rsid w:val="00397106"/>
    <w:rsid w:val="003977BC"/>
    <w:rsid w:val="003A15AD"/>
    <w:rsid w:val="003A3A6A"/>
    <w:rsid w:val="003A5E82"/>
    <w:rsid w:val="003A6698"/>
    <w:rsid w:val="003A733A"/>
    <w:rsid w:val="003B13D0"/>
    <w:rsid w:val="003B1D91"/>
    <w:rsid w:val="003B2212"/>
    <w:rsid w:val="003B3BB5"/>
    <w:rsid w:val="003B5C2A"/>
    <w:rsid w:val="003C042A"/>
    <w:rsid w:val="003C1877"/>
    <w:rsid w:val="003C1C2C"/>
    <w:rsid w:val="003C2A08"/>
    <w:rsid w:val="003C3418"/>
    <w:rsid w:val="003C6C93"/>
    <w:rsid w:val="003C6CF2"/>
    <w:rsid w:val="003D01C9"/>
    <w:rsid w:val="003D22C4"/>
    <w:rsid w:val="003D3958"/>
    <w:rsid w:val="003D5DC7"/>
    <w:rsid w:val="003D608E"/>
    <w:rsid w:val="003D6209"/>
    <w:rsid w:val="003D644C"/>
    <w:rsid w:val="003E082F"/>
    <w:rsid w:val="003E1546"/>
    <w:rsid w:val="003E3D14"/>
    <w:rsid w:val="003E50AD"/>
    <w:rsid w:val="003F1A6E"/>
    <w:rsid w:val="003F3D2F"/>
    <w:rsid w:val="003F6ACD"/>
    <w:rsid w:val="003F7550"/>
    <w:rsid w:val="003F76B2"/>
    <w:rsid w:val="003F778C"/>
    <w:rsid w:val="003F79A9"/>
    <w:rsid w:val="003F7A5D"/>
    <w:rsid w:val="00401EA7"/>
    <w:rsid w:val="00403134"/>
    <w:rsid w:val="00405EDF"/>
    <w:rsid w:val="00405FC1"/>
    <w:rsid w:val="0040611B"/>
    <w:rsid w:val="0040703F"/>
    <w:rsid w:val="00411551"/>
    <w:rsid w:val="00411711"/>
    <w:rsid w:val="00413C25"/>
    <w:rsid w:val="004156F3"/>
    <w:rsid w:val="00422E04"/>
    <w:rsid w:val="00423893"/>
    <w:rsid w:val="00423950"/>
    <w:rsid w:val="00425B59"/>
    <w:rsid w:val="004278DD"/>
    <w:rsid w:val="004305F6"/>
    <w:rsid w:val="00430BEE"/>
    <w:rsid w:val="00431EA6"/>
    <w:rsid w:val="004325BE"/>
    <w:rsid w:val="00432D4A"/>
    <w:rsid w:val="004331B0"/>
    <w:rsid w:val="00433DA3"/>
    <w:rsid w:val="00434DE4"/>
    <w:rsid w:val="00435B59"/>
    <w:rsid w:val="004431C5"/>
    <w:rsid w:val="00443781"/>
    <w:rsid w:val="0044383E"/>
    <w:rsid w:val="00445AC0"/>
    <w:rsid w:val="00446725"/>
    <w:rsid w:val="00446C93"/>
    <w:rsid w:val="004473BE"/>
    <w:rsid w:val="00451DE0"/>
    <w:rsid w:val="00454502"/>
    <w:rsid w:val="00460B98"/>
    <w:rsid w:val="00461392"/>
    <w:rsid w:val="00464616"/>
    <w:rsid w:val="00465844"/>
    <w:rsid w:val="00465CBF"/>
    <w:rsid w:val="00470282"/>
    <w:rsid w:val="00470557"/>
    <w:rsid w:val="0047274C"/>
    <w:rsid w:val="00472828"/>
    <w:rsid w:val="00474E6C"/>
    <w:rsid w:val="00475191"/>
    <w:rsid w:val="0047557E"/>
    <w:rsid w:val="004834DD"/>
    <w:rsid w:val="00486630"/>
    <w:rsid w:val="00491F74"/>
    <w:rsid w:val="00492B74"/>
    <w:rsid w:val="00493B4E"/>
    <w:rsid w:val="00494618"/>
    <w:rsid w:val="00494739"/>
    <w:rsid w:val="0049592D"/>
    <w:rsid w:val="00496925"/>
    <w:rsid w:val="00497992"/>
    <w:rsid w:val="004A176B"/>
    <w:rsid w:val="004A43BA"/>
    <w:rsid w:val="004A4BBF"/>
    <w:rsid w:val="004B0086"/>
    <w:rsid w:val="004B132B"/>
    <w:rsid w:val="004B1B2E"/>
    <w:rsid w:val="004B1CCD"/>
    <w:rsid w:val="004B334C"/>
    <w:rsid w:val="004B45FB"/>
    <w:rsid w:val="004B5F81"/>
    <w:rsid w:val="004C1606"/>
    <w:rsid w:val="004C2EB7"/>
    <w:rsid w:val="004C33ED"/>
    <w:rsid w:val="004C656A"/>
    <w:rsid w:val="004C7345"/>
    <w:rsid w:val="004C769A"/>
    <w:rsid w:val="004C7F7E"/>
    <w:rsid w:val="004D56C2"/>
    <w:rsid w:val="004D6093"/>
    <w:rsid w:val="004D6482"/>
    <w:rsid w:val="004D6C2D"/>
    <w:rsid w:val="004D7F26"/>
    <w:rsid w:val="004E0580"/>
    <w:rsid w:val="004E4633"/>
    <w:rsid w:val="004E4AF7"/>
    <w:rsid w:val="004E5F01"/>
    <w:rsid w:val="004F0244"/>
    <w:rsid w:val="004F0CC6"/>
    <w:rsid w:val="004F1052"/>
    <w:rsid w:val="004F2B44"/>
    <w:rsid w:val="004F31FD"/>
    <w:rsid w:val="004F3A5A"/>
    <w:rsid w:val="004F5755"/>
    <w:rsid w:val="004F5D38"/>
    <w:rsid w:val="004F6EE2"/>
    <w:rsid w:val="004F7B16"/>
    <w:rsid w:val="00500A70"/>
    <w:rsid w:val="0050214C"/>
    <w:rsid w:val="00502D04"/>
    <w:rsid w:val="005030DA"/>
    <w:rsid w:val="005034BE"/>
    <w:rsid w:val="00503A9B"/>
    <w:rsid w:val="005135EA"/>
    <w:rsid w:val="005144DD"/>
    <w:rsid w:val="005146F9"/>
    <w:rsid w:val="005158C9"/>
    <w:rsid w:val="0051709D"/>
    <w:rsid w:val="005201C6"/>
    <w:rsid w:val="005208E9"/>
    <w:rsid w:val="005210E3"/>
    <w:rsid w:val="00521159"/>
    <w:rsid w:val="005213F8"/>
    <w:rsid w:val="00523483"/>
    <w:rsid w:val="0052751C"/>
    <w:rsid w:val="00527C20"/>
    <w:rsid w:val="005304B9"/>
    <w:rsid w:val="00531F2C"/>
    <w:rsid w:val="0053306F"/>
    <w:rsid w:val="00540E7A"/>
    <w:rsid w:val="005425AF"/>
    <w:rsid w:val="005437F7"/>
    <w:rsid w:val="00544484"/>
    <w:rsid w:val="00544880"/>
    <w:rsid w:val="005464EA"/>
    <w:rsid w:val="00547C68"/>
    <w:rsid w:val="00550514"/>
    <w:rsid w:val="0055060B"/>
    <w:rsid w:val="0055174F"/>
    <w:rsid w:val="005523A9"/>
    <w:rsid w:val="0055673A"/>
    <w:rsid w:val="00557335"/>
    <w:rsid w:val="005643CD"/>
    <w:rsid w:val="00564854"/>
    <w:rsid w:val="00564D75"/>
    <w:rsid w:val="00566558"/>
    <w:rsid w:val="00567E9D"/>
    <w:rsid w:val="005714B1"/>
    <w:rsid w:val="005725F0"/>
    <w:rsid w:val="00573932"/>
    <w:rsid w:val="00574527"/>
    <w:rsid w:val="00577995"/>
    <w:rsid w:val="00577FA4"/>
    <w:rsid w:val="00580755"/>
    <w:rsid w:val="00580A25"/>
    <w:rsid w:val="00582F30"/>
    <w:rsid w:val="005840B9"/>
    <w:rsid w:val="0058418D"/>
    <w:rsid w:val="005856A0"/>
    <w:rsid w:val="00586DB1"/>
    <w:rsid w:val="0058776F"/>
    <w:rsid w:val="00587C64"/>
    <w:rsid w:val="00587E9E"/>
    <w:rsid w:val="005904FD"/>
    <w:rsid w:val="00591276"/>
    <w:rsid w:val="005941AD"/>
    <w:rsid w:val="00594B90"/>
    <w:rsid w:val="00595225"/>
    <w:rsid w:val="00597781"/>
    <w:rsid w:val="005A0E2D"/>
    <w:rsid w:val="005A3799"/>
    <w:rsid w:val="005A4194"/>
    <w:rsid w:val="005A45A0"/>
    <w:rsid w:val="005A4971"/>
    <w:rsid w:val="005A49D9"/>
    <w:rsid w:val="005A4A85"/>
    <w:rsid w:val="005A602D"/>
    <w:rsid w:val="005A632D"/>
    <w:rsid w:val="005A6612"/>
    <w:rsid w:val="005A73DE"/>
    <w:rsid w:val="005A7A35"/>
    <w:rsid w:val="005A7BCD"/>
    <w:rsid w:val="005B19CC"/>
    <w:rsid w:val="005B21BE"/>
    <w:rsid w:val="005B222B"/>
    <w:rsid w:val="005B786E"/>
    <w:rsid w:val="005B78AE"/>
    <w:rsid w:val="005C1607"/>
    <w:rsid w:val="005C212F"/>
    <w:rsid w:val="005C2930"/>
    <w:rsid w:val="005C3633"/>
    <w:rsid w:val="005C3A4F"/>
    <w:rsid w:val="005C3BC1"/>
    <w:rsid w:val="005C79E5"/>
    <w:rsid w:val="005C7D94"/>
    <w:rsid w:val="005D122C"/>
    <w:rsid w:val="005D1A8A"/>
    <w:rsid w:val="005D2C5B"/>
    <w:rsid w:val="005D40A2"/>
    <w:rsid w:val="005D48D7"/>
    <w:rsid w:val="005D6032"/>
    <w:rsid w:val="005D63BF"/>
    <w:rsid w:val="005D76C6"/>
    <w:rsid w:val="005D7A8B"/>
    <w:rsid w:val="005E0054"/>
    <w:rsid w:val="005E0F75"/>
    <w:rsid w:val="005E50E7"/>
    <w:rsid w:val="005E610E"/>
    <w:rsid w:val="005E652D"/>
    <w:rsid w:val="005E6B56"/>
    <w:rsid w:val="005E7F77"/>
    <w:rsid w:val="005E7FBB"/>
    <w:rsid w:val="005F0F22"/>
    <w:rsid w:val="005F131D"/>
    <w:rsid w:val="005F238F"/>
    <w:rsid w:val="005F309F"/>
    <w:rsid w:val="005F54E4"/>
    <w:rsid w:val="005F79AE"/>
    <w:rsid w:val="006003DF"/>
    <w:rsid w:val="0060195A"/>
    <w:rsid w:val="006074BE"/>
    <w:rsid w:val="006074D0"/>
    <w:rsid w:val="00607743"/>
    <w:rsid w:val="006078D1"/>
    <w:rsid w:val="00611F7B"/>
    <w:rsid w:val="00612215"/>
    <w:rsid w:val="00612807"/>
    <w:rsid w:val="006176A4"/>
    <w:rsid w:val="00622937"/>
    <w:rsid w:val="00626A0C"/>
    <w:rsid w:val="00627DFE"/>
    <w:rsid w:val="00630BD9"/>
    <w:rsid w:val="00632685"/>
    <w:rsid w:val="0063321A"/>
    <w:rsid w:val="0063333F"/>
    <w:rsid w:val="006344BB"/>
    <w:rsid w:val="00635634"/>
    <w:rsid w:val="006371E7"/>
    <w:rsid w:val="0064241B"/>
    <w:rsid w:val="00642E2B"/>
    <w:rsid w:val="00643144"/>
    <w:rsid w:val="00646C1D"/>
    <w:rsid w:val="00647251"/>
    <w:rsid w:val="00647FBB"/>
    <w:rsid w:val="00650E6A"/>
    <w:rsid w:val="006526EE"/>
    <w:rsid w:val="00652D65"/>
    <w:rsid w:val="006550D0"/>
    <w:rsid w:val="0066134E"/>
    <w:rsid w:val="006615DE"/>
    <w:rsid w:val="00662E80"/>
    <w:rsid w:val="00662F60"/>
    <w:rsid w:val="00663B5E"/>
    <w:rsid w:val="0066423D"/>
    <w:rsid w:val="00665F14"/>
    <w:rsid w:val="00666B53"/>
    <w:rsid w:val="00666F4F"/>
    <w:rsid w:val="00667990"/>
    <w:rsid w:val="00670151"/>
    <w:rsid w:val="00670503"/>
    <w:rsid w:val="0067123A"/>
    <w:rsid w:val="00671C37"/>
    <w:rsid w:val="006771F0"/>
    <w:rsid w:val="00677C78"/>
    <w:rsid w:val="00680A60"/>
    <w:rsid w:val="00684755"/>
    <w:rsid w:val="006853C5"/>
    <w:rsid w:val="00687E03"/>
    <w:rsid w:val="00690305"/>
    <w:rsid w:val="00690F11"/>
    <w:rsid w:val="00691749"/>
    <w:rsid w:val="0069232C"/>
    <w:rsid w:val="0069397D"/>
    <w:rsid w:val="006A204E"/>
    <w:rsid w:val="006A2783"/>
    <w:rsid w:val="006A42A3"/>
    <w:rsid w:val="006B2E88"/>
    <w:rsid w:val="006B45E7"/>
    <w:rsid w:val="006B4FFB"/>
    <w:rsid w:val="006B5B5F"/>
    <w:rsid w:val="006B5F8F"/>
    <w:rsid w:val="006B6441"/>
    <w:rsid w:val="006C0B86"/>
    <w:rsid w:val="006C14EF"/>
    <w:rsid w:val="006C153B"/>
    <w:rsid w:val="006C1F14"/>
    <w:rsid w:val="006C3089"/>
    <w:rsid w:val="006C41D7"/>
    <w:rsid w:val="006C6F83"/>
    <w:rsid w:val="006D2AF2"/>
    <w:rsid w:val="006D41A5"/>
    <w:rsid w:val="006D5020"/>
    <w:rsid w:val="006D65A9"/>
    <w:rsid w:val="006D68D8"/>
    <w:rsid w:val="006D71CF"/>
    <w:rsid w:val="006E108B"/>
    <w:rsid w:val="006E288D"/>
    <w:rsid w:val="006E2C5D"/>
    <w:rsid w:val="006E3432"/>
    <w:rsid w:val="006E5A6B"/>
    <w:rsid w:val="006E5BA3"/>
    <w:rsid w:val="006E641C"/>
    <w:rsid w:val="006E6788"/>
    <w:rsid w:val="006F1047"/>
    <w:rsid w:val="006F3A7B"/>
    <w:rsid w:val="006F4456"/>
    <w:rsid w:val="006F4658"/>
    <w:rsid w:val="006F4EAF"/>
    <w:rsid w:val="006F6705"/>
    <w:rsid w:val="006F75AF"/>
    <w:rsid w:val="00700C1F"/>
    <w:rsid w:val="007049A9"/>
    <w:rsid w:val="00704AA4"/>
    <w:rsid w:val="00705DF2"/>
    <w:rsid w:val="00706105"/>
    <w:rsid w:val="00706694"/>
    <w:rsid w:val="00707594"/>
    <w:rsid w:val="00707BD7"/>
    <w:rsid w:val="0071046A"/>
    <w:rsid w:val="007112EE"/>
    <w:rsid w:val="007130A2"/>
    <w:rsid w:val="00714BD5"/>
    <w:rsid w:val="00716E55"/>
    <w:rsid w:val="00723C8D"/>
    <w:rsid w:val="00724643"/>
    <w:rsid w:val="00726E71"/>
    <w:rsid w:val="00730CC7"/>
    <w:rsid w:val="007330D1"/>
    <w:rsid w:val="007337AF"/>
    <w:rsid w:val="00735A3A"/>
    <w:rsid w:val="00735D0D"/>
    <w:rsid w:val="0073622B"/>
    <w:rsid w:val="00736549"/>
    <w:rsid w:val="007420AF"/>
    <w:rsid w:val="0074410E"/>
    <w:rsid w:val="00744F23"/>
    <w:rsid w:val="0074608C"/>
    <w:rsid w:val="00746DCD"/>
    <w:rsid w:val="00750DE8"/>
    <w:rsid w:val="00752248"/>
    <w:rsid w:val="0075255C"/>
    <w:rsid w:val="00755395"/>
    <w:rsid w:val="0075757D"/>
    <w:rsid w:val="007577A4"/>
    <w:rsid w:val="00760BD7"/>
    <w:rsid w:val="00761801"/>
    <w:rsid w:val="0076211E"/>
    <w:rsid w:val="007631D1"/>
    <w:rsid w:val="00763875"/>
    <w:rsid w:val="0076484D"/>
    <w:rsid w:val="007733B2"/>
    <w:rsid w:val="00773480"/>
    <w:rsid w:val="00773F17"/>
    <w:rsid w:val="0077725F"/>
    <w:rsid w:val="007777CD"/>
    <w:rsid w:val="00782A62"/>
    <w:rsid w:val="00784E53"/>
    <w:rsid w:val="007865AB"/>
    <w:rsid w:val="00786D8A"/>
    <w:rsid w:val="00787245"/>
    <w:rsid w:val="00787D51"/>
    <w:rsid w:val="00791D5B"/>
    <w:rsid w:val="00793BC6"/>
    <w:rsid w:val="00794CC6"/>
    <w:rsid w:val="00795B0B"/>
    <w:rsid w:val="00796CDB"/>
    <w:rsid w:val="007A03C9"/>
    <w:rsid w:val="007A3974"/>
    <w:rsid w:val="007A3CDC"/>
    <w:rsid w:val="007A53E9"/>
    <w:rsid w:val="007A667E"/>
    <w:rsid w:val="007A7414"/>
    <w:rsid w:val="007A7A46"/>
    <w:rsid w:val="007B1153"/>
    <w:rsid w:val="007B21BB"/>
    <w:rsid w:val="007B2485"/>
    <w:rsid w:val="007B4980"/>
    <w:rsid w:val="007B762E"/>
    <w:rsid w:val="007B7780"/>
    <w:rsid w:val="007C3208"/>
    <w:rsid w:val="007C4C0B"/>
    <w:rsid w:val="007C629D"/>
    <w:rsid w:val="007C6B0A"/>
    <w:rsid w:val="007C783A"/>
    <w:rsid w:val="007D01C6"/>
    <w:rsid w:val="007D132E"/>
    <w:rsid w:val="007D27D9"/>
    <w:rsid w:val="007D2E07"/>
    <w:rsid w:val="007D4804"/>
    <w:rsid w:val="007D4B7C"/>
    <w:rsid w:val="007D6A4B"/>
    <w:rsid w:val="007E0145"/>
    <w:rsid w:val="007E03B1"/>
    <w:rsid w:val="007E06C8"/>
    <w:rsid w:val="007E0DBF"/>
    <w:rsid w:val="007E232E"/>
    <w:rsid w:val="007E396B"/>
    <w:rsid w:val="007E5EC8"/>
    <w:rsid w:val="007E74A8"/>
    <w:rsid w:val="007E754E"/>
    <w:rsid w:val="007E7F58"/>
    <w:rsid w:val="007F0856"/>
    <w:rsid w:val="007F1365"/>
    <w:rsid w:val="007F3C7A"/>
    <w:rsid w:val="00801FA6"/>
    <w:rsid w:val="008028D8"/>
    <w:rsid w:val="00804D0F"/>
    <w:rsid w:val="008060B4"/>
    <w:rsid w:val="00806CA7"/>
    <w:rsid w:val="00807BAA"/>
    <w:rsid w:val="008119C0"/>
    <w:rsid w:val="00813702"/>
    <w:rsid w:val="00816420"/>
    <w:rsid w:val="00816470"/>
    <w:rsid w:val="00817C5B"/>
    <w:rsid w:val="00820053"/>
    <w:rsid w:val="008251DA"/>
    <w:rsid w:val="00830915"/>
    <w:rsid w:val="00830A08"/>
    <w:rsid w:val="008312D1"/>
    <w:rsid w:val="00832878"/>
    <w:rsid w:val="008331E4"/>
    <w:rsid w:val="00833E67"/>
    <w:rsid w:val="008360E3"/>
    <w:rsid w:val="00836753"/>
    <w:rsid w:val="0084067A"/>
    <w:rsid w:val="00841290"/>
    <w:rsid w:val="00844FB1"/>
    <w:rsid w:val="00845B86"/>
    <w:rsid w:val="00846590"/>
    <w:rsid w:val="00847C48"/>
    <w:rsid w:val="00847D76"/>
    <w:rsid w:val="008527A4"/>
    <w:rsid w:val="008528C0"/>
    <w:rsid w:val="0085433C"/>
    <w:rsid w:val="00855439"/>
    <w:rsid w:val="008617C1"/>
    <w:rsid w:val="00862CAB"/>
    <w:rsid w:val="00863A46"/>
    <w:rsid w:val="008723D3"/>
    <w:rsid w:val="008729F2"/>
    <w:rsid w:val="008739A1"/>
    <w:rsid w:val="00875A61"/>
    <w:rsid w:val="008810DF"/>
    <w:rsid w:val="00881A22"/>
    <w:rsid w:val="008827E9"/>
    <w:rsid w:val="00882BB7"/>
    <w:rsid w:val="0088338B"/>
    <w:rsid w:val="00883B36"/>
    <w:rsid w:val="00883C69"/>
    <w:rsid w:val="008867FB"/>
    <w:rsid w:val="00886D1B"/>
    <w:rsid w:val="00891C10"/>
    <w:rsid w:val="008927C0"/>
    <w:rsid w:val="00893F8F"/>
    <w:rsid w:val="00894A32"/>
    <w:rsid w:val="00896463"/>
    <w:rsid w:val="0089752A"/>
    <w:rsid w:val="008A2C61"/>
    <w:rsid w:val="008A54A8"/>
    <w:rsid w:val="008A7E0A"/>
    <w:rsid w:val="008B05C7"/>
    <w:rsid w:val="008B4878"/>
    <w:rsid w:val="008C21D2"/>
    <w:rsid w:val="008C2E44"/>
    <w:rsid w:val="008C3119"/>
    <w:rsid w:val="008C3C5F"/>
    <w:rsid w:val="008C3E92"/>
    <w:rsid w:val="008C56EF"/>
    <w:rsid w:val="008C5960"/>
    <w:rsid w:val="008C65A7"/>
    <w:rsid w:val="008D0319"/>
    <w:rsid w:val="008D0EAB"/>
    <w:rsid w:val="008D11F0"/>
    <w:rsid w:val="008D205B"/>
    <w:rsid w:val="008D3832"/>
    <w:rsid w:val="008D45DD"/>
    <w:rsid w:val="008D7A8E"/>
    <w:rsid w:val="008D7BA3"/>
    <w:rsid w:val="008E02CA"/>
    <w:rsid w:val="008E0FDD"/>
    <w:rsid w:val="008E1203"/>
    <w:rsid w:val="008E163E"/>
    <w:rsid w:val="008E3449"/>
    <w:rsid w:val="008E6330"/>
    <w:rsid w:val="008E66DF"/>
    <w:rsid w:val="008F0045"/>
    <w:rsid w:val="008F0A0C"/>
    <w:rsid w:val="008F0D69"/>
    <w:rsid w:val="008F1BCE"/>
    <w:rsid w:val="008F1C62"/>
    <w:rsid w:val="008F4A0A"/>
    <w:rsid w:val="008F5C5B"/>
    <w:rsid w:val="008F676A"/>
    <w:rsid w:val="008F6EC9"/>
    <w:rsid w:val="009005D6"/>
    <w:rsid w:val="00902CA4"/>
    <w:rsid w:val="00902F41"/>
    <w:rsid w:val="00903644"/>
    <w:rsid w:val="00907240"/>
    <w:rsid w:val="0090746A"/>
    <w:rsid w:val="009126C0"/>
    <w:rsid w:val="00912F20"/>
    <w:rsid w:val="009162C6"/>
    <w:rsid w:val="00916CC5"/>
    <w:rsid w:val="009202D9"/>
    <w:rsid w:val="00921236"/>
    <w:rsid w:val="00921BAF"/>
    <w:rsid w:val="0092496D"/>
    <w:rsid w:val="00924E1D"/>
    <w:rsid w:val="00925368"/>
    <w:rsid w:val="00926000"/>
    <w:rsid w:val="0092728F"/>
    <w:rsid w:val="00931E95"/>
    <w:rsid w:val="009327A0"/>
    <w:rsid w:val="0093339A"/>
    <w:rsid w:val="00940A39"/>
    <w:rsid w:val="00942280"/>
    <w:rsid w:val="00944508"/>
    <w:rsid w:val="00944BFC"/>
    <w:rsid w:val="00945512"/>
    <w:rsid w:val="00945B5E"/>
    <w:rsid w:val="00946170"/>
    <w:rsid w:val="0095274C"/>
    <w:rsid w:val="00953269"/>
    <w:rsid w:val="0095392F"/>
    <w:rsid w:val="00953ACC"/>
    <w:rsid w:val="00955D0F"/>
    <w:rsid w:val="009565A8"/>
    <w:rsid w:val="009566F9"/>
    <w:rsid w:val="009607D2"/>
    <w:rsid w:val="00960AAA"/>
    <w:rsid w:val="00961A4E"/>
    <w:rsid w:val="009632AD"/>
    <w:rsid w:val="00965F68"/>
    <w:rsid w:val="0096640F"/>
    <w:rsid w:val="009665C1"/>
    <w:rsid w:val="00966663"/>
    <w:rsid w:val="00967D21"/>
    <w:rsid w:val="009711A7"/>
    <w:rsid w:val="00971427"/>
    <w:rsid w:val="0097332F"/>
    <w:rsid w:val="0097485E"/>
    <w:rsid w:val="00974C46"/>
    <w:rsid w:val="00976B82"/>
    <w:rsid w:val="00977553"/>
    <w:rsid w:val="00977C87"/>
    <w:rsid w:val="0098106B"/>
    <w:rsid w:val="009810B2"/>
    <w:rsid w:val="00983401"/>
    <w:rsid w:val="0098514E"/>
    <w:rsid w:val="0098730F"/>
    <w:rsid w:val="00987778"/>
    <w:rsid w:val="009911B2"/>
    <w:rsid w:val="00993B85"/>
    <w:rsid w:val="00993DB6"/>
    <w:rsid w:val="00994D1E"/>
    <w:rsid w:val="00996932"/>
    <w:rsid w:val="00997B4D"/>
    <w:rsid w:val="00997E16"/>
    <w:rsid w:val="009A07DC"/>
    <w:rsid w:val="009A0BCD"/>
    <w:rsid w:val="009A3082"/>
    <w:rsid w:val="009A311A"/>
    <w:rsid w:val="009A3217"/>
    <w:rsid w:val="009A35D7"/>
    <w:rsid w:val="009A3B24"/>
    <w:rsid w:val="009A3D27"/>
    <w:rsid w:val="009A4E63"/>
    <w:rsid w:val="009B1BC4"/>
    <w:rsid w:val="009B34D3"/>
    <w:rsid w:val="009B3DE6"/>
    <w:rsid w:val="009B652D"/>
    <w:rsid w:val="009C15F4"/>
    <w:rsid w:val="009C458B"/>
    <w:rsid w:val="009D2F35"/>
    <w:rsid w:val="009D311B"/>
    <w:rsid w:val="009D3CFA"/>
    <w:rsid w:val="009D7E3F"/>
    <w:rsid w:val="009D7EB5"/>
    <w:rsid w:val="009E076F"/>
    <w:rsid w:val="009E2432"/>
    <w:rsid w:val="009E3C14"/>
    <w:rsid w:val="009E4A05"/>
    <w:rsid w:val="009E5A91"/>
    <w:rsid w:val="009F0721"/>
    <w:rsid w:val="009F342A"/>
    <w:rsid w:val="009F593C"/>
    <w:rsid w:val="009F5E6C"/>
    <w:rsid w:val="009F60FE"/>
    <w:rsid w:val="009F72FD"/>
    <w:rsid w:val="00A00CCB"/>
    <w:rsid w:val="00A0283C"/>
    <w:rsid w:val="00A04F30"/>
    <w:rsid w:val="00A061A1"/>
    <w:rsid w:val="00A06935"/>
    <w:rsid w:val="00A1016A"/>
    <w:rsid w:val="00A106A2"/>
    <w:rsid w:val="00A10FBB"/>
    <w:rsid w:val="00A12768"/>
    <w:rsid w:val="00A1519C"/>
    <w:rsid w:val="00A16027"/>
    <w:rsid w:val="00A165E5"/>
    <w:rsid w:val="00A17EC6"/>
    <w:rsid w:val="00A2247C"/>
    <w:rsid w:val="00A2457C"/>
    <w:rsid w:val="00A249A0"/>
    <w:rsid w:val="00A25A9D"/>
    <w:rsid w:val="00A3188F"/>
    <w:rsid w:val="00A31969"/>
    <w:rsid w:val="00A347C3"/>
    <w:rsid w:val="00A41B9F"/>
    <w:rsid w:val="00A4390C"/>
    <w:rsid w:val="00A43DD3"/>
    <w:rsid w:val="00A47D3C"/>
    <w:rsid w:val="00A503F9"/>
    <w:rsid w:val="00A50D34"/>
    <w:rsid w:val="00A51119"/>
    <w:rsid w:val="00A51661"/>
    <w:rsid w:val="00A53613"/>
    <w:rsid w:val="00A56936"/>
    <w:rsid w:val="00A56F7F"/>
    <w:rsid w:val="00A605E9"/>
    <w:rsid w:val="00A6268D"/>
    <w:rsid w:val="00A62B0F"/>
    <w:rsid w:val="00A63097"/>
    <w:rsid w:val="00A65F38"/>
    <w:rsid w:val="00A6731F"/>
    <w:rsid w:val="00A70039"/>
    <w:rsid w:val="00A73223"/>
    <w:rsid w:val="00A7376A"/>
    <w:rsid w:val="00A75660"/>
    <w:rsid w:val="00A75743"/>
    <w:rsid w:val="00A77BC2"/>
    <w:rsid w:val="00A808BB"/>
    <w:rsid w:val="00A81097"/>
    <w:rsid w:val="00A81C08"/>
    <w:rsid w:val="00A82ACE"/>
    <w:rsid w:val="00A8374D"/>
    <w:rsid w:val="00A84209"/>
    <w:rsid w:val="00A86499"/>
    <w:rsid w:val="00A864FE"/>
    <w:rsid w:val="00A86A24"/>
    <w:rsid w:val="00A87137"/>
    <w:rsid w:val="00A9050B"/>
    <w:rsid w:val="00A918DC"/>
    <w:rsid w:val="00A93970"/>
    <w:rsid w:val="00A93B15"/>
    <w:rsid w:val="00A96FFE"/>
    <w:rsid w:val="00A971FF"/>
    <w:rsid w:val="00AA0722"/>
    <w:rsid w:val="00AA0FE9"/>
    <w:rsid w:val="00AA2FE7"/>
    <w:rsid w:val="00AA2FF4"/>
    <w:rsid w:val="00AA3FC7"/>
    <w:rsid w:val="00AA44B5"/>
    <w:rsid w:val="00AA4E8E"/>
    <w:rsid w:val="00AA5E02"/>
    <w:rsid w:val="00AA656A"/>
    <w:rsid w:val="00AA6E5D"/>
    <w:rsid w:val="00AB2411"/>
    <w:rsid w:val="00AB27A4"/>
    <w:rsid w:val="00AB2EE7"/>
    <w:rsid w:val="00AB6522"/>
    <w:rsid w:val="00AB6CF5"/>
    <w:rsid w:val="00AC0BB9"/>
    <w:rsid w:val="00AC1921"/>
    <w:rsid w:val="00AC29CF"/>
    <w:rsid w:val="00AC5BBD"/>
    <w:rsid w:val="00AC6076"/>
    <w:rsid w:val="00AC768D"/>
    <w:rsid w:val="00AC76CB"/>
    <w:rsid w:val="00AD0564"/>
    <w:rsid w:val="00AD0576"/>
    <w:rsid w:val="00AD223A"/>
    <w:rsid w:val="00AD2E1B"/>
    <w:rsid w:val="00AD4111"/>
    <w:rsid w:val="00AD4689"/>
    <w:rsid w:val="00AD4C7B"/>
    <w:rsid w:val="00AD4D82"/>
    <w:rsid w:val="00AD74EC"/>
    <w:rsid w:val="00AE0AAE"/>
    <w:rsid w:val="00AE590E"/>
    <w:rsid w:val="00AE76D1"/>
    <w:rsid w:val="00AF145F"/>
    <w:rsid w:val="00AF1FCA"/>
    <w:rsid w:val="00AF2B7A"/>
    <w:rsid w:val="00AF3449"/>
    <w:rsid w:val="00AF345F"/>
    <w:rsid w:val="00AF4D5E"/>
    <w:rsid w:val="00AF6A71"/>
    <w:rsid w:val="00AF78A1"/>
    <w:rsid w:val="00B01E39"/>
    <w:rsid w:val="00B04FE2"/>
    <w:rsid w:val="00B06AA5"/>
    <w:rsid w:val="00B07B8D"/>
    <w:rsid w:val="00B1002A"/>
    <w:rsid w:val="00B10369"/>
    <w:rsid w:val="00B12DE4"/>
    <w:rsid w:val="00B14F91"/>
    <w:rsid w:val="00B150CA"/>
    <w:rsid w:val="00B20E1F"/>
    <w:rsid w:val="00B21622"/>
    <w:rsid w:val="00B2238A"/>
    <w:rsid w:val="00B23186"/>
    <w:rsid w:val="00B26A2B"/>
    <w:rsid w:val="00B26AE7"/>
    <w:rsid w:val="00B27528"/>
    <w:rsid w:val="00B2781F"/>
    <w:rsid w:val="00B27833"/>
    <w:rsid w:val="00B30CEE"/>
    <w:rsid w:val="00B31F67"/>
    <w:rsid w:val="00B32652"/>
    <w:rsid w:val="00B32832"/>
    <w:rsid w:val="00B339EB"/>
    <w:rsid w:val="00B34C46"/>
    <w:rsid w:val="00B37BD2"/>
    <w:rsid w:val="00B40912"/>
    <w:rsid w:val="00B417E9"/>
    <w:rsid w:val="00B45D80"/>
    <w:rsid w:val="00B464D9"/>
    <w:rsid w:val="00B46D3A"/>
    <w:rsid w:val="00B4744A"/>
    <w:rsid w:val="00B47B87"/>
    <w:rsid w:val="00B47EFB"/>
    <w:rsid w:val="00B47FC8"/>
    <w:rsid w:val="00B5127D"/>
    <w:rsid w:val="00B534E3"/>
    <w:rsid w:val="00B53A6E"/>
    <w:rsid w:val="00B5554F"/>
    <w:rsid w:val="00B55C47"/>
    <w:rsid w:val="00B55ED0"/>
    <w:rsid w:val="00B563B6"/>
    <w:rsid w:val="00B56BF7"/>
    <w:rsid w:val="00B60437"/>
    <w:rsid w:val="00B63C72"/>
    <w:rsid w:val="00B67E40"/>
    <w:rsid w:val="00B70449"/>
    <w:rsid w:val="00B7127A"/>
    <w:rsid w:val="00B7312A"/>
    <w:rsid w:val="00B74C7C"/>
    <w:rsid w:val="00B76253"/>
    <w:rsid w:val="00B76BD0"/>
    <w:rsid w:val="00B8235D"/>
    <w:rsid w:val="00B82893"/>
    <w:rsid w:val="00B844D4"/>
    <w:rsid w:val="00B84C25"/>
    <w:rsid w:val="00B876E3"/>
    <w:rsid w:val="00B90405"/>
    <w:rsid w:val="00B90D72"/>
    <w:rsid w:val="00B916C2"/>
    <w:rsid w:val="00B92B51"/>
    <w:rsid w:val="00B92E28"/>
    <w:rsid w:val="00B94B1F"/>
    <w:rsid w:val="00B94DC3"/>
    <w:rsid w:val="00B9751B"/>
    <w:rsid w:val="00BA2A4B"/>
    <w:rsid w:val="00BA4398"/>
    <w:rsid w:val="00BA6605"/>
    <w:rsid w:val="00BA692D"/>
    <w:rsid w:val="00BB0014"/>
    <w:rsid w:val="00BB35ED"/>
    <w:rsid w:val="00BB3D77"/>
    <w:rsid w:val="00BB44EB"/>
    <w:rsid w:val="00BB535E"/>
    <w:rsid w:val="00BB6BC5"/>
    <w:rsid w:val="00BC0867"/>
    <w:rsid w:val="00BC104A"/>
    <w:rsid w:val="00BC1D89"/>
    <w:rsid w:val="00BC4F34"/>
    <w:rsid w:val="00BC7576"/>
    <w:rsid w:val="00BC7703"/>
    <w:rsid w:val="00BC7FED"/>
    <w:rsid w:val="00BD124B"/>
    <w:rsid w:val="00BD2CE5"/>
    <w:rsid w:val="00BD3E9C"/>
    <w:rsid w:val="00BD530C"/>
    <w:rsid w:val="00BD7D14"/>
    <w:rsid w:val="00BE12D3"/>
    <w:rsid w:val="00BE18DD"/>
    <w:rsid w:val="00BE3A30"/>
    <w:rsid w:val="00BE4170"/>
    <w:rsid w:val="00BE5E41"/>
    <w:rsid w:val="00BE6951"/>
    <w:rsid w:val="00BE7D1A"/>
    <w:rsid w:val="00BF1536"/>
    <w:rsid w:val="00BF1AF7"/>
    <w:rsid w:val="00BF2259"/>
    <w:rsid w:val="00BF3465"/>
    <w:rsid w:val="00BF3A57"/>
    <w:rsid w:val="00BF42ED"/>
    <w:rsid w:val="00BF4F62"/>
    <w:rsid w:val="00C00DB6"/>
    <w:rsid w:val="00C01531"/>
    <w:rsid w:val="00C02454"/>
    <w:rsid w:val="00C037BF"/>
    <w:rsid w:val="00C05F15"/>
    <w:rsid w:val="00C06409"/>
    <w:rsid w:val="00C06A58"/>
    <w:rsid w:val="00C10C06"/>
    <w:rsid w:val="00C10D08"/>
    <w:rsid w:val="00C112A4"/>
    <w:rsid w:val="00C1223B"/>
    <w:rsid w:val="00C16949"/>
    <w:rsid w:val="00C171A6"/>
    <w:rsid w:val="00C21204"/>
    <w:rsid w:val="00C21209"/>
    <w:rsid w:val="00C219AD"/>
    <w:rsid w:val="00C21CE7"/>
    <w:rsid w:val="00C24714"/>
    <w:rsid w:val="00C26BF1"/>
    <w:rsid w:val="00C3016F"/>
    <w:rsid w:val="00C323ED"/>
    <w:rsid w:val="00C40916"/>
    <w:rsid w:val="00C41454"/>
    <w:rsid w:val="00C4237B"/>
    <w:rsid w:val="00C427DA"/>
    <w:rsid w:val="00C43707"/>
    <w:rsid w:val="00C44605"/>
    <w:rsid w:val="00C4494E"/>
    <w:rsid w:val="00C44AEB"/>
    <w:rsid w:val="00C44E0E"/>
    <w:rsid w:val="00C44EB8"/>
    <w:rsid w:val="00C45C02"/>
    <w:rsid w:val="00C54E3C"/>
    <w:rsid w:val="00C56E56"/>
    <w:rsid w:val="00C6268F"/>
    <w:rsid w:val="00C6286E"/>
    <w:rsid w:val="00C66A99"/>
    <w:rsid w:val="00C728F8"/>
    <w:rsid w:val="00C72A70"/>
    <w:rsid w:val="00C749BB"/>
    <w:rsid w:val="00C806B4"/>
    <w:rsid w:val="00C81DC3"/>
    <w:rsid w:val="00C83099"/>
    <w:rsid w:val="00C839F6"/>
    <w:rsid w:val="00C83FC0"/>
    <w:rsid w:val="00C8445B"/>
    <w:rsid w:val="00C849ED"/>
    <w:rsid w:val="00C84F3B"/>
    <w:rsid w:val="00C856DC"/>
    <w:rsid w:val="00C87142"/>
    <w:rsid w:val="00C92A49"/>
    <w:rsid w:val="00C93F9F"/>
    <w:rsid w:val="00C947CA"/>
    <w:rsid w:val="00C94C5E"/>
    <w:rsid w:val="00C969E8"/>
    <w:rsid w:val="00C9708E"/>
    <w:rsid w:val="00CA0805"/>
    <w:rsid w:val="00CA18D1"/>
    <w:rsid w:val="00CA3B9B"/>
    <w:rsid w:val="00CA479F"/>
    <w:rsid w:val="00CA48D2"/>
    <w:rsid w:val="00CA4C3D"/>
    <w:rsid w:val="00CA5401"/>
    <w:rsid w:val="00CA5584"/>
    <w:rsid w:val="00CB0862"/>
    <w:rsid w:val="00CB1D1F"/>
    <w:rsid w:val="00CB35A3"/>
    <w:rsid w:val="00CB3E26"/>
    <w:rsid w:val="00CB479D"/>
    <w:rsid w:val="00CB5569"/>
    <w:rsid w:val="00CB57E1"/>
    <w:rsid w:val="00CB6AC6"/>
    <w:rsid w:val="00CC3FD9"/>
    <w:rsid w:val="00CC4745"/>
    <w:rsid w:val="00CC47BE"/>
    <w:rsid w:val="00CC5523"/>
    <w:rsid w:val="00CC602E"/>
    <w:rsid w:val="00CC7958"/>
    <w:rsid w:val="00CD18E5"/>
    <w:rsid w:val="00CD2759"/>
    <w:rsid w:val="00CD2C7F"/>
    <w:rsid w:val="00CD30E8"/>
    <w:rsid w:val="00CD3506"/>
    <w:rsid w:val="00CD3B16"/>
    <w:rsid w:val="00CE1A92"/>
    <w:rsid w:val="00CE6D11"/>
    <w:rsid w:val="00CE6E65"/>
    <w:rsid w:val="00CE6EA3"/>
    <w:rsid w:val="00CE7A7E"/>
    <w:rsid w:val="00CF18B6"/>
    <w:rsid w:val="00CF2865"/>
    <w:rsid w:val="00CF3AD5"/>
    <w:rsid w:val="00CF3F2A"/>
    <w:rsid w:val="00CF6616"/>
    <w:rsid w:val="00CF6D7C"/>
    <w:rsid w:val="00CF7211"/>
    <w:rsid w:val="00CF724F"/>
    <w:rsid w:val="00CF75EE"/>
    <w:rsid w:val="00D00AE3"/>
    <w:rsid w:val="00D00AF5"/>
    <w:rsid w:val="00D02862"/>
    <w:rsid w:val="00D05442"/>
    <w:rsid w:val="00D0597E"/>
    <w:rsid w:val="00D06938"/>
    <w:rsid w:val="00D10853"/>
    <w:rsid w:val="00D10E3A"/>
    <w:rsid w:val="00D123F0"/>
    <w:rsid w:val="00D22DCB"/>
    <w:rsid w:val="00D24A3F"/>
    <w:rsid w:val="00D254F6"/>
    <w:rsid w:val="00D27199"/>
    <w:rsid w:val="00D27F61"/>
    <w:rsid w:val="00D30863"/>
    <w:rsid w:val="00D30D3F"/>
    <w:rsid w:val="00D314CC"/>
    <w:rsid w:val="00D3220D"/>
    <w:rsid w:val="00D32910"/>
    <w:rsid w:val="00D334A0"/>
    <w:rsid w:val="00D37ADD"/>
    <w:rsid w:val="00D403DF"/>
    <w:rsid w:val="00D40B86"/>
    <w:rsid w:val="00D40BE1"/>
    <w:rsid w:val="00D41013"/>
    <w:rsid w:val="00D4249E"/>
    <w:rsid w:val="00D42F51"/>
    <w:rsid w:val="00D43C2D"/>
    <w:rsid w:val="00D46EA7"/>
    <w:rsid w:val="00D500CF"/>
    <w:rsid w:val="00D50965"/>
    <w:rsid w:val="00D531DC"/>
    <w:rsid w:val="00D55434"/>
    <w:rsid w:val="00D577FF"/>
    <w:rsid w:val="00D57CB4"/>
    <w:rsid w:val="00D602AD"/>
    <w:rsid w:val="00D60B5A"/>
    <w:rsid w:val="00D6264C"/>
    <w:rsid w:val="00D627DF"/>
    <w:rsid w:val="00D63E11"/>
    <w:rsid w:val="00D6516C"/>
    <w:rsid w:val="00D66978"/>
    <w:rsid w:val="00D66AB1"/>
    <w:rsid w:val="00D7058A"/>
    <w:rsid w:val="00D705AF"/>
    <w:rsid w:val="00D722D0"/>
    <w:rsid w:val="00D73856"/>
    <w:rsid w:val="00D747E7"/>
    <w:rsid w:val="00D74EC1"/>
    <w:rsid w:val="00D8412B"/>
    <w:rsid w:val="00D8430C"/>
    <w:rsid w:val="00D84E95"/>
    <w:rsid w:val="00D85875"/>
    <w:rsid w:val="00D86282"/>
    <w:rsid w:val="00D87079"/>
    <w:rsid w:val="00D92799"/>
    <w:rsid w:val="00D93D4B"/>
    <w:rsid w:val="00DA11BB"/>
    <w:rsid w:val="00DA33DC"/>
    <w:rsid w:val="00DA6418"/>
    <w:rsid w:val="00DA7CA6"/>
    <w:rsid w:val="00DB1A9E"/>
    <w:rsid w:val="00DB2B53"/>
    <w:rsid w:val="00DB3881"/>
    <w:rsid w:val="00DB39C1"/>
    <w:rsid w:val="00DB39D4"/>
    <w:rsid w:val="00DB3D37"/>
    <w:rsid w:val="00DB4458"/>
    <w:rsid w:val="00DB5F99"/>
    <w:rsid w:val="00DB6A6F"/>
    <w:rsid w:val="00DB6A88"/>
    <w:rsid w:val="00DC02FD"/>
    <w:rsid w:val="00DC0BD6"/>
    <w:rsid w:val="00DC0C33"/>
    <w:rsid w:val="00DC22F3"/>
    <w:rsid w:val="00DC2D23"/>
    <w:rsid w:val="00DC4D26"/>
    <w:rsid w:val="00DC4E8D"/>
    <w:rsid w:val="00DC62A5"/>
    <w:rsid w:val="00DC77DF"/>
    <w:rsid w:val="00DC7EC2"/>
    <w:rsid w:val="00DD2EEA"/>
    <w:rsid w:val="00DD48B5"/>
    <w:rsid w:val="00DD5B53"/>
    <w:rsid w:val="00DE0A1D"/>
    <w:rsid w:val="00DE0D81"/>
    <w:rsid w:val="00DE3578"/>
    <w:rsid w:val="00DE5696"/>
    <w:rsid w:val="00DE5E64"/>
    <w:rsid w:val="00DE65D4"/>
    <w:rsid w:val="00DE6CB5"/>
    <w:rsid w:val="00DE7CBD"/>
    <w:rsid w:val="00DF0FAE"/>
    <w:rsid w:val="00DF27EC"/>
    <w:rsid w:val="00DF4C5D"/>
    <w:rsid w:val="00DF4FAA"/>
    <w:rsid w:val="00DF6969"/>
    <w:rsid w:val="00E007C2"/>
    <w:rsid w:val="00E015CF"/>
    <w:rsid w:val="00E029A1"/>
    <w:rsid w:val="00E03D7E"/>
    <w:rsid w:val="00E04523"/>
    <w:rsid w:val="00E075B8"/>
    <w:rsid w:val="00E10C4A"/>
    <w:rsid w:val="00E117DE"/>
    <w:rsid w:val="00E12582"/>
    <w:rsid w:val="00E13669"/>
    <w:rsid w:val="00E141B9"/>
    <w:rsid w:val="00E14877"/>
    <w:rsid w:val="00E20069"/>
    <w:rsid w:val="00E201A9"/>
    <w:rsid w:val="00E21F5A"/>
    <w:rsid w:val="00E22191"/>
    <w:rsid w:val="00E2222C"/>
    <w:rsid w:val="00E2325D"/>
    <w:rsid w:val="00E253C4"/>
    <w:rsid w:val="00E26873"/>
    <w:rsid w:val="00E27CBA"/>
    <w:rsid w:val="00E303E4"/>
    <w:rsid w:val="00E31353"/>
    <w:rsid w:val="00E313B5"/>
    <w:rsid w:val="00E31444"/>
    <w:rsid w:val="00E33224"/>
    <w:rsid w:val="00E34B5B"/>
    <w:rsid w:val="00E37C49"/>
    <w:rsid w:val="00E37D65"/>
    <w:rsid w:val="00E41D59"/>
    <w:rsid w:val="00E41F90"/>
    <w:rsid w:val="00E4249B"/>
    <w:rsid w:val="00E426C5"/>
    <w:rsid w:val="00E42842"/>
    <w:rsid w:val="00E46267"/>
    <w:rsid w:val="00E46860"/>
    <w:rsid w:val="00E54DED"/>
    <w:rsid w:val="00E54E8A"/>
    <w:rsid w:val="00E61895"/>
    <w:rsid w:val="00E6235B"/>
    <w:rsid w:val="00E62AC7"/>
    <w:rsid w:val="00E62B28"/>
    <w:rsid w:val="00E650F5"/>
    <w:rsid w:val="00E6529A"/>
    <w:rsid w:val="00E655D4"/>
    <w:rsid w:val="00E65B58"/>
    <w:rsid w:val="00E6788B"/>
    <w:rsid w:val="00E70465"/>
    <w:rsid w:val="00E727CF"/>
    <w:rsid w:val="00E749E6"/>
    <w:rsid w:val="00E76D6C"/>
    <w:rsid w:val="00E76EFA"/>
    <w:rsid w:val="00E80121"/>
    <w:rsid w:val="00E80B90"/>
    <w:rsid w:val="00E822E1"/>
    <w:rsid w:val="00E822E7"/>
    <w:rsid w:val="00E82D32"/>
    <w:rsid w:val="00E86CE5"/>
    <w:rsid w:val="00E93335"/>
    <w:rsid w:val="00E94B9F"/>
    <w:rsid w:val="00E951F6"/>
    <w:rsid w:val="00E96A59"/>
    <w:rsid w:val="00EA1E14"/>
    <w:rsid w:val="00EA27E7"/>
    <w:rsid w:val="00EA3058"/>
    <w:rsid w:val="00EA3D97"/>
    <w:rsid w:val="00EA3E3D"/>
    <w:rsid w:val="00EA40B5"/>
    <w:rsid w:val="00EA46EB"/>
    <w:rsid w:val="00EA73FF"/>
    <w:rsid w:val="00EB0FB9"/>
    <w:rsid w:val="00EB3ADB"/>
    <w:rsid w:val="00EB44AA"/>
    <w:rsid w:val="00EB5B67"/>
    <w:rsid w:val="00EB72EA"/>
    <w:rsid w:val="00EB7FF7"/>
    <w:rsid w:val="00EC08F9"/>
    <w:rsid w:val="00EC2B46"/>
    <w:rsid w:val="00EC3C23"/>
    <w:rsid w:val="00EC63B9"/>
    <w:rsid w:val="00ED01A1"/>
    <w:rsid w:val="00ED0FC3"/>
    <w:rsid w:val="00ED1019"/>
    <w:rsid w:val="00ED4B0C"/>
    <w:rsid w:val="00ED73C7"/>
    <w:rsid w:val="00ED79F4"/>
    <w:rsid w:val="00ED7DCC"/>
    <w:rsid w:val="00EE0AB7"/>
    <w:rsid w:val="00EE1F63"/>
    <w:rsid w:val="00EE21CD"/>
    <w:rsid w:val="00EE25AB"/>
    <w:rsid w:val="00EF062A"/>
    <w:rsid w:val="00EF0E87"/>
    <w:rsid w:val="00EF23D3"/>
    <w:rsid w:val="00EF2428"/>
    <w:rsid w:val="00EF5DC0"/>
    <w:rsid w:val="00F03836"/>
    <w:rsid w:val="00F118A6"/>
    <w:rsid w:val="00F1309F"/>
    <w:rsid w:val="00F1349F"/>
    <w:rsid w:val="00F16B3F"/>
    <w:rsid w:val="00F20A9D"/>
    <w:rsid w:val="00F225DA"/>
    <w:rsid w:val="00F24C6D"/>
    <w:rsid w:val="00F2566D"/>
    <w:rsid w:val="00F26828"/>
    <w:rsid w:val="00F26AE2"/>
    <w:rsid w:val="00F316C6"/>
    <w:rsid w:val="00F3429A"/>
    <w:rsid w:val="00F349FD"/>
    <w:rsid w:val="00F358A4"/>
    <w:rsid w:val="00F36CFD"/>
    <w:rsid w:val="00F3720C"/>
    <w:rsid w:val="00F3731F"/>
    <w:rsid w:val="00F40162"/>
    <w:rsid w:val="00F43A6E"/>
    <w:rsid w:val="00F44697"/>
    <w:rsid w:val="00F5362A"/>
    <w:rsid w:val="00F5489A"/>
    <w:rsid w:val="00F5550B"/>
    <w:rsid w:val="00F60ADB"/>
    <w:rsid w:val="00F61D13"/>
    <w:rsid w:val="00F62FB8"/>
    <w:rsid w:val="00F659DE"/>
    <w:rsid w:val="00F705D6"/>
    <w:rsid w:val="00F71097"/>
    <w:rsid w:val="00F723C7"/>
    <w:rsid w:val="00F74F8D"/>
    <w:rsid w:val="00F75379"/>
    <w:rsid w:val="00F75BEF"/>
    <w:rsid w:val="00F80CB7"/>
    <w:rsid w:val="00F80FE2"/>
    <w:rsid w:val="00F8357D"/>
    <w:rsid w:val="00F92125"/>
    <w:rsid w:val="00F9455D"/>
    <w:rsid w:val="00F94E01"/>
    <w:rsid w:val="00F94FEE"/>
    <w:rsid w:val="00F954EF"/>
    <w:rsid w:val="00F96443"/>
    <w:rsid w:val="00F97A85"/>
    <w:rsid w:val="00FA0C0A"/>
    <w:rsid w:val="00FA1ED0"/>
    <w:rsid w:val="00FA1F28"/>
    <w:rsid w:val="00FA5D70"/>
    <w:rsid w:val="00FA6723"/>
    <w:rsid w:val="00FA6DBF"/>
    <w:rsid w:val="00FB1C47"/>
    <w:rsid w:val="00FB2BEC"/>
    <w:rsid w:val="00FB3099"/>
    <w:rsid w:val="00FB3375"/>
    <w:rsid w:val="00FB4A86"/>
    <w:rsid w:val="00FB50E7"/>
    <w:rsid w:val="00FB5678"/>
    <w:rsid w:val="00FB571C"/>
    <w:rsid w:val="00FB6137"/>
    <w:rsid w:val="00FB748A"/>
    <w:rsid w:val="00FB78CF"/>
    <w:rsid w:val="00FC1259"/>
    <w:rsid w:val="00FC15F2"/>
    <w:rsid w:val="00FC1973"/>
    <w:rsid w:val="00FC2ECB"/>
    <w:rsid w:val="00FC3F26"/>
    <w:rsid w:val="00FC4DE2"/>
    <w:rsid w:val="00FC60B0"/>
    <w:rsid w:val="00FC68B4"/>
    <w:rsid w:val="00FD22FE"/>
    <w:rsid w:val="00FD2B3A"/>
    <w:rsid w:val="00FD2DC9"/>
    <w:rsid w:val="00FD5961"/>
    <w:rsid w:val="00FD7B80"/>
    <w:rsid w:val="00FE1260"/>
    <w:rsid w:val="00FE2EB2"/>
    <w:rsid w:val="00FE364B"/>
    <w:rsid w:val="00FE3886"/>
    <w:rsid w:val="00FE39EE"/>
    <w:rsid w:val="00FE4936"/>
    <w:rsid w:val="00FE611D"/>
    <w:rsid w:val="00FE6F58"/>
    <w:rsid w:val="00FE7409"/>
    <w:rsid w:val="00FE7FDA"/>
    <w:rsid w:val="00FF043F"/>
    <w:rsid w:val="00FF0D32"/>
    <w:rsid w:val="00FF452D"/>
    <w:rsid w:val="00FF5250"/>
    <w:rsid w:val="00FF5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44BB"/>
    <w:pPr>
      <w:spacing w:after="160" w:line="259" w:lineRule="auto"/>
    </w:pPr>
    <w:rPr>
      <w:sz w:val="22"/>
      <w:szCs w:val="22"/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E076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A49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618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6344B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4BB"/>
    <w:rPr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344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4BB"/>
    <w:rPr>
      <w:sz w:val="22"/>
      <w:szCs w:val="22"/>
      <w:lang w:val="es-MX"/>
    </w:rPr>
  </w:style>
  <w:style w:type="paragraph" w:customStyle="1" w:styleId="IFTnormal">
    <w:name w:val="IFT normal"/>
    <w:basedOn w:val="Normal"/>
    <w:link w:val="IFTnormalCar"/>
    <w:qFormat/>
    <w:rsid w:val="009F72FD"/>
    <w:pPr>
      <w:spacing w:after="200" w:line="276" w:lineRule="auto"/>
      <w:jc w:val="both"/>
    </w:pPr>
    <w:rPr>
      <w:rFonts w:ascii="ITC Avant Garde" w:eastAsia="Calibri" w:hAnsi="ITC Avant Garde" w:cs="Calibri"/>
      <w:bCs/>
    </w:rPr>
  </w:style>
  <w:style w:type="character" w:customStyle="1" w:styleId="IFTnormalCar">
    <w:name w:val="IFT normal Car"/>
    <w:basedOn w:val="Fuentedeprrafopredeter"/>
    <w:link w:val="IFTnormal"/>
    <w:rsid w:val="009F72FD"/>
    <w:rPr>
      <w:rFonts w:ascii="ITC Avant Garde" w:eastAsia="Calibri" w:hAnsi="ITC Avant Garde" w:cs="Calibri"/>
      <w:bCs/>
      <w:sz w:val="22"/>
      <w:szCs w:val="22"/>
      <w:lang w:val="es-MX"/>
    </w:rPr>
  </w:style>
  <w:style w:type="paragraph" w:customStyle="1" w:styleId="wText">
    <w:name w:val="wText"/>
    <w:basedOn w:val="Normal"/>
    <w:uiPriority w:val="2"/>
    <w:qFormat/>
    <w:rsid w:val="0007713A"/>
    <w:pPr>
      <w:spacing w:after="240" w:line="240" w:lineRule="auto"/>
      <w:jc w:val="both"/>
    </w:pPr>
    <w:rPr>
      <w:rFonts w:ascii="Times New Roman" w:eastAsia="MS Mincho" w:hAnsi="Times New Roman"/>
      <w:sz w:val="24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1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FDD"/>
    <w:rPr>
      <w:rFonts w:ascii="Segoe UI" w:hAnsi="Segoe UI" w:cs="Segoe UI"/>
      <w:sz w:val="18"/>
      <w:szCs w:val="18"/>
      <w:lang w:val="es-MX"/>
    </w:rPr>
  </w:style>
  <w:style w:type="character" w:customStyle="1" w:styleId="N1IFTCar">
    <w:name w:val="N1 IFT Car"/>
    <w:basedOn w:val="Fuentedeprrafopredeter"/>
    <w:link w:val="N1IFT"/>
    <w:locked/>
    <w:rsid w:val="00A9050B"/>
    <w:rPr>
      <w:rFonts w:ascii="ITC Avant Garde" w:hAnsi="ITC Avant Garde"/>
      <w:b/>
      <w:bCs/>
      <w:color w:val="000000"/>
      <w:lang w:eastAsia="es-ES"/>
    </w:rPr>
  </w:style>
  <w:style w:type="paragraph" w:customStyle="1" w:styleId="N1IFT">
    <w:name w:val="N1 IFT"/>
    <w:basedOn w:val="Normal"/>
    <w:link w:val="N1IFTCar"/>
    <w:rsid w:val="00A9050B"/>
    <w:pPr>
      <w:spacing w:after="200" w:line="276" w:lineRule="auto"/>
      <w:jc w:val="both"/>
    </w:pPr>
    <w:rPr>
      <w:rFonts w:ascii="ITC Avant Garde" w:hAnsi="ITC Avant Garde"/>
      <w:b/>
      <w:bCs/>
      <w:color w:val="000000"/>
      <w:sz w:val="24"/>
      <w:szCs w:val="24"/>
      <w:lang w:val="es-ES_tradnl" w:eastAsia="es-ES"/>
    </w:rPr>
  </w:style>
  <w:style w:type="paragraph" w:styleId="Sinespaciado">
    <w:name w:val="No Spacing"/>
    <w:basedOn w:val="Normal"/>
    <w:link w:val="SinespaciadoCar"/>
    <w:uiPriority w:val="1"/>
    <w:qFormat/>
    <w:rsid w:val="0050214C"/>
    <w:pPr>
      <w:spacing w:after="0" w:line="240" w:lineRule="auto"/>
      <w:jc w:val="both"/>
    </w:pPr>
    <w:rPr>
      <w:rFonts w:ascii="ITC Avant Garde" w:eastAsia="Calibri" w:hAnsi="ITC Avant Garde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0214C"/>
    <w:rPr>
      <w:rFonts w:ascii="ITC Avant Garde" w:eastAsia="Calibri" w:hAnsi="ITC Avant Garde" w:cs="Times New Roman"/>
      <w:sz w:val="22"/>
      <w:szCs w:val="22"/>
      <w:lang w:val="es-MX"/>
    </w:rPr>
  </w:style>
  <w:style w:type="paragraph" w:styleId="NormalWeb">
    <w:name w:val="Normal (Web)"/>
    <w:basedOn w:val="Normal"/>
    <w:uiPriority w:val="99"/>
    <w:unhideWhenUsed/>
    <w:rsid w:val="00953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1Car">
    <w:name w:val="Título 1 Car"/>
    <w:basedOn w:val="Fuentedeprrafopredeter"/>
    <w:link w:val="Ttulo1"/>
    <w:uiPriority w:val="9"/>
    <w:rsid w:val="009E076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MX"/>
    </w:rPr>
  </w:style>
  <w:style w:type="paragraph" w:styleId="Textoindependiente">
    <w:name w:val="Body Text"/>
    <w:basedOn w:val="Normal"/>
    <w:link w:val="TextoindependienteCar"/>
    <w:uiPriority w:val="1"/>
    <w:qFormat/>
    <w:rsid w:val="00AA656A"/>
    <w:pPr>
      <w:widowControl w:val="0"/>
      <w:spacing w:after="0" w:line="240" w:lineRule="auto"/>
      <w:ind w:left="118"/>
    </w:pPr>
    <w:rPr>
      <w:rFonts w:ascii="ITC Avant Garde" w:eastAsia="ITC Avant Garde" w:hAnsi="ITC Avant Garde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656A"/>
    <w:rPr>
      <w:rFonts w:ascii="ITC Avant Garde" w:eastAsia="ITC Avant Garde" w:hAnsi="ITC Avant Garde"/>
      <w:sz w:val="22"/>
      <w:szCs w:val="22"/>
      <w:lang w:val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016FA4"/>
    <w:rPr>
      <w:sz w:val="22"/>
      <w:szCs w:val="22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5A497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MX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7046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70465"/>
    <w:rPr>
      <w:sz w:val="22"/>
      <w:szCs w:val="22"/>
      <w:lang w:val="es-MX"/>
    </w:rPr>
  </w:style>
  <w:style w:type="paragraph" w:customStyle="1" w:styleId="estilo30">
    <w:name w:val="estilo30"/>
    <w:basedOn w:val="Normal"/>
    <w:rsid w:val="0039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E61895"/>
    <w:rPr>
      <w:rFonts w:asciiTheme="majorHAnsi" w:eastAsiaTheme="majorEastAsia" w:hAnsiTheme="majorHAnsi" w:cstheme="majorBidi"/>
      <w:color w:val="1F4D78" w:themeColor="accent1" w:themeShade="7F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7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6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8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8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8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2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4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7035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        ORDEN DEL DÍA</vt:lpstr>
    </vt:vector>
  </TitlesOfParts>
  <Company/>
  <LinksUpToDate>false</LinksUpToDate>
  <CharactersWithSpaces>8298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Alma Teresa Perez Belmont</cp:lastModifiedBy>
  <cp:revision>3</cp:revision>
  <cp:lastPrinted>2017-06-21T19:08:00Z</cp:lastPrinted>
  <dcterms:created xsi:type="dcterms:W3CDTF">2017-07-10T18:16:00Z</dcterms:created>
  <dcterms:modified xsi:type="dcterms:W3CDTF">2017-07-27T23:12:00Z</dcterms:modified>
</cp:coreProperties>
</file>