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AC" w:rsidRPr="00016DAC" w:rsidRDefault="00016DAC" w:rsidP="007F72E5">
      <w:pPr>
        <w:tabs>
          <w:tab w:val="left" w:pos="6946"/>
        </w:tabs>
        <w:spacing w:before="160" w:after="160"/>
        <w:rPr>
          <w:rFonts w:ascii="ITC Avant Garde" w:hAnsi="ITC Avant Garde"/>
          <w:b/>
          <w:sz w:val="23"/>
          <w:szCs w:val="23"/>
        </w:rPr>
      </w:pPr>
      <w:bookmarkStart w:id="0" w:name="_GoBack"/>
      <w:bookmarkEnd w:id="0"/>
      <w:r w:rsidRPr="00016DAC">
        <w:rPr>
          <w:rFonts w:ascii="ITC Avant Garde" w:hAnsi="ITC Avant Garde"/>
          <w:b/>
          <w:sz w:val="23"/>
          <w:szCs w:val="23"/>
        </w:rPr>
        <w:t>Ciudad de México, a 1</w:t>
      </w:r>
      <w:r>
        <w:rPr>
          <w:rFonts w:ascii="ITC Avant Garde" w:hAnsi="ITC Avant Garde"/>
          <w:b/>
          <w:sz w:val="23"/>
          <w:szCs w:val="23"/>
        </w:rPr>
        <w:t>5</w:t>
      </w:r>
      <w:r w:rsidRPr="00016DAC">
        <w:rPr>
          <w:rFonts w:ascii="ITC Avant Garde" w:hAnsi="ITC Avant Garde"/>
          <w:b/>
          <w:sz w:val="23"/>
          <w:szCs w:val="23"/>
        </w:rPr>
        <w:t xml:space="preserve"> de junio de 2017.</w:t>
      </w:r>
    </w:p>
    <w:p w:rsidR="007F72E5" w:rsidRDefault="00016DAC" w:rsidP="007F72E5">
      <w:pPr>
        <w:pStyle w:val="Ttulo1"/>
        <w:spacing w:before="160" w:after="160" w:line="240" w:lineRule="auto"/>
        <w:jc w:val="both"/>
        <w:rPr>
          <w:b w:val="0"/>
          <w:sz w:val="23"/>
          <w:szCs w:val="23"/>
        </w:rPr>
      </w:pPr>
      <w:r w:rsidRPr="00016DAC">
        <w:rPr>
          <w:rStyle w:val="Ttulo1Car"/>
          <w:b/>
          <w:sz w:val="23"/>
          <w:szCs w:val="23"/>
        </w:rPr>
        <w:t>Versión Estenográfica de la Vigésim</w:t>
      </w:r>
      <w:r>
        <w:rPr>
          <w:rStyle w:val="Ttulo1Car"/>
          <w:b/>
          <w:sz w:val="23"/>
          <w:szCs w:val="23"/>
        </w:rPr>
        <w:t>a</w:t>
      </w:r>
      <w:r w:rsidRPr="00016DAC">
        <w:rPr>
          <w:rStyle w:val="Ttulo1Car"/>
          <w:b/>
          <w:sz w:val="23"/>
          <w:szCs w:val="23"/>
        </w:rPr>
        <w:t xml:space="preserve"> </w:t>
      </w:r>
      <w:r>
        <w:rPr>
          <w:rStyle w:val="Ttulo1Car"/>
          <w:b/>
          <w:sz w:val="23"/>
          <w:szCs w:val="23"/>
        </w:rPr>
        <w:t>Cuarta</w:t>
      </w:r>
      <w:r w:rsidRPr="00016DAC">
        <w:rPr>
          <w:rStyle w:val="Ttulo1Car"/>
          <w:b/>
          <w:sz w:val="23"/>
          <w:szCs w:val="23"/>
        </w:rPr>
        <w:t xml:space="preserve"> Sesión Ordinaria del Pleno del Instituto Federal de Telecomunicaciones, celebrada en la sala del Pleno del Instituto</w:t>
      </w:r>
      <w:r w:rsidRPr="00016DAC">
        <w:rPr>
          <w:b w:val="0"/>
          <w:sz w:val="23"/>
          <w:szCs w:val="23"/>
        </w:rPr>
        <w:t>.</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Comisionado Presidente Gabriel Oswaldo Contreras Saldívar: </w:t>
      </w:r>
      <w:r w:rsidRPr="00016DAC">
        <w:rPr>
          <w:rFonts w:ascii="ITC Avant Garde" w:hAnsi="ITC Avant Garde"/>
          <w:sz w:val="23"/>
          <w:szCs w:val="23"/>
        </w:rPr>
        <w:t>Buenas tardes, bienvenidos a la Vigésimo Cuarta Sesión Ordinaria del Pleno del Instituto.</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Solicito a la Secretaría que verifique si existe quórum para sesionar.</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Lic. Juan José Crispín Borbolla: </w:t>
      </w:r>
      <w:r w:rsidRPr="00016DAC">
        <w:rPr>
          <w:rFonts w:ascii="ITC Avant Garde" w:hAnsi="ITC Avant Garde"/>
          <w:sz w:val="23"/>
          <w:szCs w:val="23"/>
        </w:rPr>
        <w:t xml:space="preserve">Sí, Presidente, buenas tardes. </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Buenas tardes, comisionados.</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 xml:space="preserve">Le informo que con la presencia del Comisionado Robles, </w:t>
      </w:r>
      <w:r w:rsidR="00B315CC">
        <w:rPr>
          <w:rFonts w:ascii="ITC Avant Garde" w:hAnsi="ITC Avant Garde"/>
          <w:sz w:val="23"/>
          <w:szCs w:val="23"/>
        </w:rPr>
        <w:t>d</w:t>
      </w:r>
      <w:r w:rsidRPr="00016DAC">
        <w:rPr>
          <w:rFonts w:ascii="ITC Avant Garde" w:hAnsi="ITC Avant Garde"/>
          <w:sz w:val="23"/>
          <w:szCs w:val="23"/>
        </w:rPr>
        <w:t xml:space="preserve">el Comisionado Fromow, </w:t>
      </w:r>
      <w:r w:rsidR="00B315CC">
        <w:rPr>
          <w:rFonts w:ascii="ITC Avant Garde" w:hAnsi="ITC Avant Garde"/>
          <w:sz w:val="23"/>
          <w:szCs w:val="23"/>
        </w:rPr>
        <w:t>d</w:t>
      </w:r>
      <w:r w:rsidRPr="00016DAC">
        <w:rPr>
          <w:rFonts w:ascii="ITC Avant Garde" w:hAnsi="ITC Avant Garde"/>
          <w:sz w:val="23"/>
          <w:szCs w:val="23"/>
        </w:rPr>
        <w:t xml:space="preserve">el Comisionado Cuevas, </w:t>
      </w:r>
      <w:r w:rsidR="00B315CC">
        <w:rPr>
          <w:rFonts w:ascii="ITC Avant Garde" w:hAnsi="ITC Avant Garde"/>
          <w:sz w:val="23"/>
          <w:szCs w:val="23"/>
        </w:rPr>
        <w:t xml:space="preserve">de </w:t>
      </w:r>
      <w:r w:rsidRPr="00016DAC">
        <w:rPr>
          <w:rFonts w:ascii="ITC Avant Garde" w:hAnsi="ITC Avant Garde"/>
          <w:sz w:val="23"/>
          <w:szCs w:val="23"/>
        </w:rPr>
        <w:t xml:space="preserve">la Comisionada Estavillo, </w:t>
      </w:r>
      <w:r w:rsidR="00B315CC">
        <w:rPr>
          <w:rFonts w:ascii="ITC Avant Garde" w:hAnsi="ITC Avant Garde"/>
          <w:sz w:val="23"/>
          <w:szCs w:val="23"/>
        </w:rPr>
        <w:t>d</w:t>
      </w:r>
      <w:r w:rsidRPr="00016DAC">
        <w:rPr>
          <w:rFonts w:ascii="ITC Avant Garde" w:hAnsi="ITC Avant Garde"/>
          <w:sz w:val="23"/>
          <w:szCs w:val="23"/>
        </w:rPr>
        <w:t xml:space="preserve">el Comisionado Juárez y </w:t>
      </w:r>
      <w:r w:rsidR="00B315CC">
        <w:rPr>
          <w:rFonts w:ascii="ITC Avant Garde" w:hAnsi="ITC Avant Garde"/>
          <w:sz w:val="23"/>
          <w:szCs w:val="23"/>
        </w:rPr>
        <w:t>d</w:t>
      </w:r>
      <w:r w:rsidRPr="00016DAC">
        <w:rPr>
          <w:rFonts w:ascii="ITC Avant Garde" w:hAnsi="ITC Avant Garde"/>
          <w:sz w:val="23"/>
          <w:szCs w:val="23"/>
        </w:rPr>
        <w:t xml:space="preserve">el Comisionado Presidente, tenemos quórum legal para llevar a cabo la sesión. </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Y dar cuenta a este Pleno que la Comisionada Labardini el día de ayer dejó su voto por escrito en la Secretaría Técnica del Pleno a mi cargo, previendo su ausencia justificada a la sesión dado que se encuentra atendiendo</w:t>
      </w:r>
      <w:r w:rsidR="00B315CC">
        <w:rPr>
          <w:rFonts w:ascii="ITC Avant Garde" w:hAnsi="ITC Avant Garde"/>
          <w:sz w:val="23"/>
          <w:szCs w:val="23"/>
        </w:rPr>
        <w:t>,</w:t>
      </w:r>
      <w:r w:rsidRPr="00016DAC">
        <w:rPr>
          <w:rFonts w:ascii="ITC Avant Garde" w:hAnsi="ITC Avant Garde"/>
          <w:sz w:val="23"/>
          <w:szCs w:val="23"/>
        </w:rPr>
        <w:t xml:space="preserve"> en representación del Instituto</w:t>
      </w:r>
      <w:r w:rsidR="00B315CC">
        <w:rPr>
          <w:rFonts w:ascii="ITC Avant Garde" w:hAnsi="ITC Avant Garde"/>
          <w:sz w:val="23"/>
          <w:szCs w:val="23"/>
        </w:rPr>
        <w:t>,</w:t>
      </w:r>
      <w:r w:rsidRPr="00016DAC">
        <w:rPr>
          <w:rFonts w:ascii="ITC Avant Garde" w:hAnsi="ITC Avant Garde"/>
          <w:sz w:val="23"/>
          <w:szCs w:val="23"/>
        </w:rPr>
        <w:t xml:space="preserve"> una comisión de carácter internacional.</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En el momento oportuno de la sesión daré cuenta del sentido de su voto, Presidente.</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Comisionado Presidente Gabriel Oswaldo Contreras Saldívar: </w:t>
      </w:r>
      <w:r w:rsidRPr="00016DAC">
        <w:rPr>
          <w:rFonts w:ascii="ITC Avant Garde" w:hAnsi="ITC Avant Garde"/>
          <w:sz w:val="23"/>
          <w:szCs w:val="23"/>
        </w:rPr>
        <w:t>Muchas gracias.</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Someto a su aprobación el Orden del Día, quienes estén a favor sírvanse manifestarlo.</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Lic. Juan José Crispín Borbolla: </w:t>
      </w:r>
      <w:r w:rsidRPr="00016DAC">
        <w:rPr>
          <w:rFonts w:ascii="ITC Avant Garde" w:hAnsi="ITC Avant Garde"/>
          <w:sz w:val="23"/>
          <w:szCs w:val="23"/>
        </w:rPr>
        <w:t>Se aprueba por unanimidad, Presidente.</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Comisionado Presidente Gabriel Oswaldo Contreras Saldívar: </w:t>
      </w:r>
      <w:r w:rsidRPr="00016DAC">
        <w:rPr>
          <w:rFonts w:ascii="ITC Avant Garde" w:hAnsi="ITC Avant Garde"/>
          <w:sz w:val="23"/>
          <w:szCs w:val="23"/>
        </w:rPr>
        <w:t>Muchas gracias.</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Le solicito a la Unidad de Política Regulatoria</w:t>
      </w:r>
      <w:r w:rsidR="00B315CC">
        <w:rPr>
          <w:rFonts w:ascii="ITC Avant Garde" w:hAnsi="ITC Avant Garde"/>
          <w:sz w:val="23"/>
          <w:szCs w:val="23"/>
        </w:rPr>
        <w:t>,</w:t>
      </w:r>
      <w:r w:rsidRPr="00016DAC">
        <w:rPr>
          <w:rFonts w:ascii="ITC Avant Garde" w:hAnsi="ITC Avant Garde"/>
          <w:sz w:val="23"/>
          <w:szCs w:val="23"/>
        </w:rPr>
        <w:t xml:space="preserve"> por conducto de su Titular, Víctor Rodríguez, que dé cuenta de los dos asuntos listados bajo los numerales III.1 y III.2.</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 xml:space="preserve">Acuerdo mediante el cual el Pleno del Institutito emite los indicadores clave de desempeño a que se refieren las </w:t>
      </w:r>
      <w:r w:rsidR="00B315CC" w:rsidRPr="00016DAC">
        <w:rPr>
          <w:rFonts w:ascii="ITC Avant Garde" w:hAnsi="ITC Avant Garde"/>
          <w:sz w:val="23"/>
          <w:szCs w:val="23"/>
        </w:rPr>
        <w:t xml:space="preserve">Medias Septuagésima Octava </w:t>
      </w:r>
      <w:r w:rsidRPr="00016DAC">
        <w:rPr>
          <w:rFonts w:ascii="ITC Avant Garde" w:hAnsi="ITC Avant Garde"/>
          <w:sz w:val="23"/>
          <w:szCs w:val="23"/>
        </w:rPr>
        <w:t xml:space="preserve">y </w:t>
      </w:r>
      <w:r w:rsidR="00B315CC" w:rsidRPr="00016DAC">
        <w:rPr>
          <w:rFonts w:ascii="ITC Avant Garde" w:hAnsi="ITC Avant Garde"/>
          <w:sz w:val="23"/>
          <w:szCs w:val="23"/>
        </w:rPr>
        <w:t xml:space="preserve">Transitoria Quinta </w:t>
      </w:r>
      <w:r w:rsidRPr="00016DAC">
        <w:rPr>
          <w:rFonts w:ascii="ITC Avant Garde" w:hAnsi="ITC Avant Garde"/>
          <w:sz w:val="23"/>
          <w:szCs w:val="23"/>
        </w:rPr>
        <w:t xml:space="preserve">del Anexo 1 de la </w:t>
      </w:r>
      <w:r w:rsidR="00B315CC" w:rsidRPr="00016DAC">
        <w:rPr>
          <w:rFonts w:ascii="ITC Avant Garde" w:hAnsi="ITC Avant Garde"/>
          <w:sz w:val="23"/>
          <w:szCs w:val="23"/>
        </w:rPr>
        <w:t xml:space="preserve">Resolución </w:t>
      </w:r>
      <w:r w:rsidRPr="00016DAC">
        <w:rPr>
          <w:rFonts w:ascii="ITC Avant Garde" w:hAnsi="ITC Avant Garde"/>
          <w:sz w:val="23"/>
          <w:szCs w:val="23"/>
        </w:rPr>
        <w:t xml:space="preserve">de fecha 27 de febrero de 2017, aprobada mediante </w:t>
      </w:r>
      <w:r w:rsidR="00133956" w:rsidRPr="00016DAC">
        <w:rPr>
          <w:rFonts w:ascii="ITC Avant Garde" w:hAnsi="ITC Avant Garde"/>
          <w:sz w:val="23"/>
          <w:szCs w:val="23"/>
        </w:rPr>
        <w:t xml:space="preserve">Acuerdo </w:t>
      </w:r>
      <w:r w:rsidRPr="00016DAC">
        <w:rPr>
          <w:rFonts w:ascii="ITC Avant Garde" w:hAnsi="ITC Avant Garde"/>
          <w:sz w:val="23"/>
          <w:szCs w:val="23"/>
        </w:rPr>
        <w:t>P/IFT/EXT/270217/119, y términos, formatos y plazos para la presentación y seguimiento de los reportes de desempeño.</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 xml:space="preserve">Bajo el numeral III.2, el </w:t>
      </w:r>
      <w:r w:rsidR="00B315CC" w:rsidRPr="00016DAC">
        <w:rPr>
          <w:rFonts w:ascii="ITC Avant Garde" w:hAnsi="ITC Avant Garde"/>
          <w:sz w:val="23"/>
          <w:szCs w:val="23"/>
        </w:rPr>
        <w:t xml:space="preserve">Acuerdo </w:t>
      </w:r>
      <w:r w:rsidRPr="00016DAC">
        <w:rPr>
          <w:rFonts w:ascii="ITC Avant Garde" w:hAnsi="ITC Avant Garde"/>
          <w:sz w:val="23"/>
          <w:szCs w:val="23"/>
        </w:rPr>
        <w:t xml:space="preserve">mediante el cual el Pleno del Instituto emite los indicadores clave de desempeño a que se refieren las </w:t>
      </w:r>
      <w:r w:rsidR="00B315CC" w:rsidRPr="00016DAC">
        <w:rPr>
          <w:rFonts w:ascii="ITC Avant Garde" w:hAnsi="ITC Avant Garde"/>
          <w:sz w:val="23"/>
          <w:szCs w:val="23"/>
        </w:rPr>
        <w:t xml:space="preserve">Medidas Trigésima Quinta </w:t>
      </w:r>
      <w:r w:rsidRPr="00016DAC">
        <w:rPr>
          <w:rFonts w:ascii="ITC Avant Garde" w:hAnsi="ITC Avant Garde"/>
          <w:sz w:val="23"/>
          <w:szCs w:val="23"/>
        </w:rPr>
        <w:t xml:space="preserve">y </w:t>
      </w:r>
      <w:r w:rsidR="00B315CC" w:rsidRPr="00016DAC">
        <w:rPr>
          <w:rFonts w:ascii="ITC Avant Garde" w:hAnsi="ITC Avant Garde"/>
          <w:sz w:val="23"/>
          <w:szCs w:val="23"/>
        </w:rPr>
        <w:t>Transitoria S</w:t>
      </w:r>
      <w:r w:rsidRPr="00016DAC">
        <w:rPr>
          <w:rFonts w:ascii="ITC Avant Garde" w:hAnsi="ITC Avant Garde"/>
          <w:sz w:val="23"/>
          <w:szCs w:val="23"/>
        </w:rPr>
        <w:t xml:space="preserve">exta del Anexo 2, así como </w:t>
      </w:r>
      <w:r w:rsidR="00B315CC" w:rsidRPr="00016DAC">
        <w:rPr>
          <w:rFonts w:ascii="ITC Avant Garde" w:hAnsi="ITC Avant Garde"/>
          <w:sz w:val="23"/>
          <w:szCs w:val="23"/>
        </w:rPr>
        <w:t xml:space="preserve">Quincuagésima </w:t>
      </w:r>
      <w:r w:rsidRPr="00016DAC">
        <w:rPr>
          <w:rFonts w:ascii="ITC Avant Garde" w:hAnsi="ITC Avant Garde"/>
          <w:sz w:val="23"/>
          <w:szCs w:val="23"/>
        </w:rPr>
        <w:t xml:space="preserve">y </w:t>
      </w:r>
      <w:r w:rsidR="00B315CC" w:rsidRPr="00016DAC">
        <w:rPr>
          <w:rFonts w:ascii="ITC Avant Garde" w:hAnsi="ITC Avant Garde"/>
          <w:sz w:val="23"/>
          <w:szCs w:val="23"/>
        </w:rPr>
        <w:t>Transitoria S</w:t>
      </w:r>
      <w:r w:rsidRPr="00016DAC">
        <w:rPr>
          <w:rFonts w:ascii="ITC Avant Garde" w:hAnsi="ITC Avant Garde"/>
          <w:sz w:val="23"/>
          <w:szCs w:val="23"/>
        </w:rPr>
        <w:t xml:space="preserve">exta del </w:t>
      </w:r>
      <w:r w:rsidRPr="00016DAC">
        <w:rPr>
          <w:rFonts w:ascii="ITC Avant Garde" w:hAnsi="ITC Avant Garde"/>
          <w:sz w:val="23"/>
          <w:szCs w:val="23"/>
        </w:rPr>
        <w:lastRenderedPageBreak/>
        <w:t xml:space="preserve">Anexo 3, de la resolución de fecha 27 de febrero de 2017, aprobada mediante </w:t>
      </w:r>
      <w:r w:rsidR="00133956" w:rsidRPr="00016DAC">
        <w:rPr>
          <w:rFonts w:ascii="ITC Avant Garde" w:hAnsi="ITC Avant Garde"/>
          <w:sz w:val="23"/>
          <w:szCs w:val="23"/>
        </w:rPr>
        <w:t xml:space="preserve">Acuerdo </w:t>
      </w:r>
      <w:r w:rsidRPr="00016DAC">
        <w:rPr>
          <w:rFonts w:ascii="ITC Avant Garde" w:hAnsi="ITC Avant Garde"/>
          <w:sz w:val="23"/>
          <w:szCs w:val="23"/>
        </w:rPr>
        <w:t>P/IFT/EXT/270217/119, y términos, formatos y plazos para la presentación y seguimiento de los reportes de desempeño.</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Víctor, por favor.</w:t>
      </w:r>
      <w:bookmarkStart w:id="1" w:name="_Hlk481410595"/>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b/>
          <w:sz w:val="23"/>
          <w:szCs w:val="23"/>
        </w:rPr>
        <w:t xml:space="preserve">Lic. Víctor Manuel Rodríguez Hilario: </w:t>
      </w:r>
      <w:r w:rsidRPr="00016DAC">
        <w:rPr>
          <w:rFonts w:ascii="ITC Avant Garde" w:eastAsia="Calibri" w:hAnsi="ITC Avant Garde" w:cs="Times New Roman"/>
          <w:sz w:val="23"/>
          <w:szCs w:val="23"/>
        </w:rPr>
        <w:t>Gracias, Presidente.</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En la resolución bienal aprobada el pasado 27 de febrero se establecieron medidas orientadas a verificar la no discriminación en la provisión de servicios mayoristas regulados por parte del Agente Económico Preponderante, toda vez que se le obliga a este implementar la equivalencia de insumos en la prestación de estos servicios.</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Tomando en cuenta la experiencia internacional analizada y con base en las distintas ofertas de referencia del Agente Económico Preponderante, diversos reportes entregados por este al Instituto y la información disponible sobre los servicios prestados, se elaboró un listado de indicadores para evaluar el desempeño global del Agente Económico Preponderante con relación a la provisión de los servicios mayoristas regulados, distinguiendo entre las operaciones con empresas pertenecientes y relacionadas con este y las operaciones con terceros.</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Los Indicadores Clave de Desempeño son métricas que se establecen como apoyo para determinar el grado de la implementación de la equivalencia de insumos y su evaluación</w:t>
      </w:r>
      <w:r w:rsidR="00B315CC">
        <w:rPr>
          <w:rFonts w:ascii="ITC Avant Garde" w:eastAsia="Calibri" w:hAnsi="ITC Avant Garde" w:cs="Times New Roman"/>
          <w:sz w:val="23"/>
          <w:szCs w:val="23"/>
        </w:rPr>
        <w:t>. T</w:t>
      </w:r>
      <w:r w:rsidRPr="00016DAC">
        <w:rPr>
          <w:rFonts w:ascii="ITC Avant Garde" w:eastAsia="Calibri" w:hAnsi="ITC Avant Garde" w:cs="Times New Roman"/>
          <w:sz w:val="23"/>
          <w:szCs w:val="23"/>
        </w:rPr>
        <w:t>ienen el objetivo de verificar la no discriminación y fomentar la transparencia por parte del Agente Económico Preponderante en la provisión de los servicios mayoristas.</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Los ICD propuestos o los Indicadores Claves de Desempeño propuestos cubren los siguientes aspectos: solicitud de servicio, provisión efectiva de servicio, calidad y atención de partes; y abarca servicios como la compartición de infraestructura, desagregación, enlaces dedicados e interconexión, tanto para servicios fijos como para servicios móviles.</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 xml:space="preserve">Como tema relevante, se determinó que para llevar a cabo la evaluación de los indicadores se utilizaría la prueba Z, esta es un aprueba que permite determinar la diferencia estadística en la provisión de los servicios mayoristas regulados, esto con un determinado grado de confianza estadística. </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En el entorno internacional, British Telecom utiliza la prueba Z para elaborar sus reportes de desempeño, y determina si en las diferencias que puedan presentarse en la provisión de los servicios que se provee a sí mismo y los servicios que se provee a otros operadores se deben a variaciones aleatorias.</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Se precisa</w:t>
      </w:r>
      <w:r w:rsidR="00B315CC">
        <w:rPr>
          <w:rFonts w:ascii="ITC Avant Garde" w:eastAsia="Calibri" w:hAnsi="ITC Avant Garde" w:cs="Times New Roman"/>
          <w:sz w:val="23"/>
          <w:szCs w:val="23"/>
        </w:rPr>
        <w:t>,</w:t>
      </w:r>
      <w:r w:rsidRPr="00016DAC">
        <w:rPr>
          <w:rFonts w:ascii="ITC Avant Garde" w:eastAsia="Calibri" w:hAnsi="ITC Avant Garde" w:cs="Times New Roman"/>
          <w:sz w:val="23"/>
          <w:szCs w:val="23"/>
        </w:rPr>
        <w:t xml:space="preserve"> respecto a la última versión de los proyectos que se les hizo llegar, se hicieron algunos ajustes que no cambian el sentido del proyecto. A grandes </w:t>
      </w:r>
      <w:r w:rsidRPr="00016DAC">
        <w:rPr>
          <w:rFonts w:ascii="ITC Avant Garde" w:eastAsia="Calibri" w:hAnsi="ITC Avant Garde" w:cs="Times New Roman"/>
          <w:sz w:val="23"/>
          <w:szCs w:val="23"/>
        </w:rPr>
        <w:lastRenderedPageBreak/>
        <w:t xml:space="preserve">rasgos, se realizaron correcciones en la fórmula de la varianza; se homologó algunos nombres en los acuerdos y en los resolutivos; se adecuó el </w:t>
      </w:r>
      <w:r w:rsidR="00B315CC" w:rsidRPr="00016DAC">
        <w:rPr>
          <w:rFonts w:ascii="ITC Avant Garde" w:eastAsia="Calibri" w:hAnsi="ITC Avant Garde" w:cs="Times New Roman"/>
          <w:sz w:val="23"/>
          <w:szCs w:val="23"/>
        </w:rPr>
        <w:t xml:space="preserve">artículo </w:t>
      </w:r>
      <w:r w:rsidRPr="00016DAC">
        <w:rPr>
          <w:rFonts w:ascii="ITC Avant Garde" w:eastAsia="Calibri" w:hAnsi="ITC Avant Garde" w:cs="Times New Roman"/>
          <w:sz w:val="23"/>
          <w:szCs w:val="23"/>
        </w:rPr>
        <w:t xml:space="preserve">11, para dejarlo más claro con las atribuciones del Instituto; y se incluyó un indicador para diferenciar aquellos servicios de reventa en el cual existe ya una acometida en el domicilio del usuario, </w:t>
      </w:r>
      <w:r w:rsidRPr="00133956">
        <w:rPr>
          <w:rFonts w:ascii="ITC Avant Garde" w:eastAsia="Calibri" w:hAnsi="ITC Avant Garde" w:cs="Times New Roman"/>
          <w:sz w:val="23"/>
          <w:szCs w:val="23"/>
        </w:rPr>
        <w:t>a cuando</w:t>
      </w:r>
      <w:r w:rsidRPr="00016DAC">
        <w:rPr>
          <w:rFonts w:ascii="ITC Avant Garde" w:eastAsia="Calibri" w:hAnsi="ITC Avant Garde" w:cs="Times New Roman"/>
          <w:sz w:val="23"/>
          <w:szCs w:val="23"/>
        </w:rPr>
        <w:t xml:space="preserve"> en el caso no exista acometida en el domicilio del usuario.</w:t>
      </w:r>
    </w:p>
    <w:p w:rsidR="007F72E5" w:rsidRDefault="00016DAC" w:rsidP="00714230">
      <w:pPr>
        <w:spacing w:before="160" w:after="160"/>
        <w:rPr>
          <w:rFonts w:ascii="ITC Avant Garde" w:hAnsi="ITC Avant Garde"/>
          <w:sz w:val="23"/>
          <w:szCs w:val="23"/>
        </w:rPr>
      </w:pPr>
      <w:r w:rsidRPr="00016DAC">
        <w:rPr>
          <w:rFonts w:ascii="ITC Avant Garde" w:eastAsia="Calibri" w:hAnsi="ITC Avant Garde" w:cs="Times New Roman"/>
          <w:sz w:val="23"/>
          <w:szCs w:val="23"/>
        </w:rPr>
        <w:t>Es importante considerar que</w:t>
      </w:r>
      <w:r w:rsidR="00B315CC">
        <w:rPr>
          <w:rFonts w:ascii="ITC Avant Garde" w:eastAsia="Calibri" w:hAnsi="ITC Avant Garde" w:cs="Times New Roman"/>
          <w:sz w:val="23"/>
          <w:szCs w:val="23"/>
        </w:rPr>
        <w:t>,</w:t>
      </w:r>
      <w:r w:rsidRPr="00016DAC">
        <w:rPr>
          <w:rFonts w:ascii="ITC Avant Garde" w:eastAsia="Calibri" w:hAnsi="ITC Avant Garde" w:cs="Times New Roman"/>
          <w:sz w:val="23"/>
          <w:szCs w:val="23"/>
        </w:rPr>
        <w:t xml:space="preserve"> según lo mandatado en la resolución bienal, el Instituto deberá notificar al Agente Económico Preponderante los indicadores clave de desempeño, así como los términos, formatos y plazos para la presentación de sus reportes dentro de un plazo máximo de </w:t>
      </w:r>
      <w:r w:rsidRPr="00016DAC">
        <w:rPr>
          <w:rFonts w:ascii="ITC Avant Garde" w:hAnsi="ITC Avant Garde"/>
          <w:sz w:val="23"/>
          <w:szCs w:val="23"/>
        </w:rPr>
        <w:t>65 días hábiles posteriores a la entrada en vigor de dicha resolución.</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Es cuanto, comisionados.</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Comisionado Presidente Gabriel Oswaldo Contreras Saldívar: </w:t>
      </w:r>
      <w:r w:rsidRPr="00016DAC">
        <w:rPr>
          <w:rFonts w:ascii="ITC Avant Garde" w:hAnsi="ITC Avant Garde"/>
          <w:sz w:val="23"/>
          <w:szCs w:val="23"/>
        </w:rPr>
        <w:t>Gracias, Víctor.</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Están a su consideración los proyectos, comisionados.</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Comisionada María Elena Estavillo.</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Comisionada María Elena Estavillo Flores: </w:t>
      </w:r>
      <w:r w:rsidRPr="00016DAC">
        <w:rPr>
          <w:rFonts w:ascii="ITC Avant Garde" w:hAnsi="ITC Avant Garde"/>
          <w:sz w:val="23"/>
          <w:szCs w:val="23"/>
        </w:rPr>
        <w:t>Gracias, Comisionado Presidente.</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Pues yo adelanto mi acuerdo con estos proyectos que se nos presentan, me parece que se fortalece con ello todo el esquema regulatorio que hemos estado diseñando para el Agente Económico Preponderante.</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Un sistema -pues sí es cierto- complejo y que ha requerido estar haciendo determinaciones continuamente, pero este es un ingrediente más, y que además, considero que será muy útil, porque nos dará información de hac</w:t>
      </w:r>
      <w:r w:rsidR="00133956">
        <w:rPr>
          <w:rFonts w:ascii="ITC Avant Garde" w:hAnsi="ITC Avant Garde"/>
          <w:sz w:val="23"/>
          <w:szCs w:val="23"/>
        </w:rPr>
        <w:t>i</w:t>
      </w:r>
      <w:r w:rsidRPr="00016DAC">
        <w:rPr>
          <w:rFonts w:ascii="ITC Avant Garde" w:hAnsi="ITC Avant Garde"/>
          <w:sz w:val="23"/>
          <w:szCs w:val="23"/>
        </w:rPr>
        <w:t>a dónde debemos dirigir nuestros esfuerzos de supervisión y de verificación en cuanto al principio de no discriminación.</w:t>
      </w:r>
      <w:bookmarkEnd w:id="1"/>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Tengo una propuesta, que me parece que podría añadir a la eficacia de este instrumento, que tiene que ver con la transparencia de la información; pero quisiera conocer por parte de la Unidad si ven algún inconveniente a que se haga pública la base de información con la cual se van a presentar los reportes a que está obligado el Agente Económico Preponderante.</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Ello</w:t>
      </w:r>
      <w:r w:rsidR="00B315CC">
        <w:rPr>
          <w:rFonts w:ascii="ITC Avant Garde" w:hAnsi="ITC Avant Garde"/>
          <w:sz w:val="23"/>
          <w:szCs w:val="23"/>
        </w:rPr>
        <w:t>,</w:t>
      </w:r>
      <w:r w:rsidRPr="00016DAC">
        <w:rPr>
          <w:rFonts w:ascii="ITC Avant Garde" w:hAnsi="ITC Avant Garde"/>
          <w:sz w:val="23"/>
          <w:szCs w:val="23"/>
        </w:rPr>
        <w:t xml:space="preserve"> porque podría ser útil esa transparencia para que los mismos operadores puedan verificar que la información reportada es fidedigna, que no hay ningún error en el registro; y pues eso es un mecanismo muy sencillo, que no sería costoso para el Instituto y que le podría dar fortaleza.</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No sé si pudiera haber algún inconveniente para ello.</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Comisionado Presidente Gabriel Oswaldo Contreras Saldívar: </w:t>
      </w:r>
      <w:r w:rsidRPr="00016DAC">
        <w:rPr>
          <w:rFonts w:ascii="ITC Avant Garde" w:hAnsi="ITC Avant Garde"/>
          <w:sz w:val="23"/>
          <w:szCs w:val="23"/>
        </w:rPr>
        <w:t>Víctor, por favor.</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b/>
          <w:sz w:val="23"/>
          <w:szCs w:val="23"/>
        </w:rPr>
        <w:lastRenderedPageBreak/>
        <w:t xml:space="preserve">Lic. Víctor Manuel Rodríguez Hilario: </w:t>
      </w:r>
      <w:r w:rsidRPr="00016DAC">
        <w:rPr>
          <w:rFonts w:ascii="ITC Avant Garde" w:eastAsia="Calibri" w:hAnsi="ITC Avant Garde" w:cs="Times New Roman"/>
          <w:sz w:val="23"/>
          <w:szCs w:val="23"/>
        </w:rPr>
        <w:t>Nosotros vemos que van a estar públicos los indicadores, y parte del trabajo de cómo son o qué indicador, tanto interno como externo, o los parámetros que se establecerían; al hacer público toda la información estaríamos dando cierta información de carácter comercial, de en dónde, en qué enlaces, qué tipo de enlace tuvo una falla, y que en su momento dado los mismos concesionarios tienen acuerdos confidenciales entre ellos.</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Entonces, lo que nosotros queremos tener es una visión del SEC, y en el SEC se viene qué tipo de falla de fue, en qué enlace fue, en qué ciudad fue; entonces, eso a lo mejor pudiera afectar ciertas cuestiones comerciales entre los concesionarios.</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A priori estamos haciendo un pronunciamiento por parte de nosotros, creemos que la cuestión de transparencia de puede lograr teniendo bien claro qué es lo que está midiendo, qué es lo que se va a poner a consideración, y ellos van a poder saber si se está discriminando o no; y al mismo tiempo se está dando el reporte de la prueba Z, que también es un indicador para saber si se está discriminando entre terceros y su propia empresa; y aparte, creo que en los reportes de desempeño, pues en dado caso, si se sale de esos parámetros el Agente Económico Preponderante podrá hacer valer el por qué en su momento dado esos indicadores pueden estar diferentes.</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Entonces, yo creo que se están adoptando las mejores prácticas internacionales, y es por eso que creemos que… no dar toda la información que nos pudiera facilitar el Agente Económico Preponderante, y creo se cumpliría con el principio de transparencia con lo que estamos solicitando que sea público.</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Comisionada María Elena Estavillo Flores: </w:t>
      </w:r>
      <w:r w:rsidRPr="00016DAC">
        <w:rPr>
          <w:rFonts w:ascii="ITC Avant Garde" w:hAnsi="ITC Avant Garde"/>
          <w:sz w:val="23"/>
          <w:szCs w:val="23"/>
        </w:rPr>
        <w:t>De acuerdo, muchas gracias.</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Comisionado Presidente Gabriel Oswaldo Contreras Saldívar: </w:t>
      </w:r>
      <w:r w:rsidRPr="00016DAC">
        <w:rPr>
          <w:rFonts w:ascii="ITC Avant Garde" w:hAnsi="ITC Avant Garde"/>
          <w:sz w:val="23"/>
          <w:szCs w:val="23"/>
        </w:rPr>
        <w:t>Gracias.</w:t>
      </w:r>
    </w:p>
    <w:p w:rsidR="007F72E5" w:rsidRDefault="00016DAC" w:rsidP="00714230">
      <w:pPr>
        <w:spacing w:before="160" w:after="160"/>
        <w:rPr>
          <w:rFonts w:ascii="ITC Avant Garde" w:hAnsi="ITC Avant Garde"/>
          <w:b/>
          <w:sz w:val="23"/>
          <w:szCs w:val="23"/>
        </w:rPr>
      </w:pPr>
      <w:r w:rsidRPr="00016DAC">
        <w:rPr>
          <w:rFonts w:ascii="ITC Avant Garde" w:hAnsi="ITC Avant Garde"/>
          <w:sz w:val="23"/>
          <w:szCs w:val="23"/>
        </w:rPr>
        <w:t>Someto entonces… Comisionado Javier Juárez.</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Comisionado Javier Juárez Mojica: </w:t>
      </w:r>
      <w:r w:rsidRPr="00016DAC">
        <w:rPr>
          <w:rFonts w:ascii="ITC Avant Garde" w:hAnsi="ITC Avant Garde"/>
          <w:sz w:val="23"/>
          <w:szCs w:val="23"/>
        </w:rPr>
        <w:t>También para adelantar mi voto a favor, comisionados.</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Considero que el establecimiento de estos indicadores</w:t>
      </w:r>
      <w:r w:rsidR="007F72E5">
        <w:rPr>
          <w:rFonts w:ascii="ITC Avant Garde" w:hAnsi="ITC Avant Garde"/>
          <w:sz w:val="23"/>
          <w:szCs w:val="23"/>
        </w:rPr>
        <w:t>,</w:t>
      </w:r>
      <w:r w:rsidRPr="00016DAC">
        <w:rPr>
          <w:rFonts w:ascii="ITC Avant Garde" w:hAnsi="ITC Avant Garde"/>
          <w:sz w:val="23"/>
          <w:szCs w:val="23"/>
        </w:rPr>
        <w:t xml:space="preserve"> que surgen a partir de la revisión bienal de las medidas de preponderancia, </w:t>
      </w:r>
      <w:proofErr w:type="gramStart"/>
      <w:r w:rsidRPr="00016DAC">
        <w:rPr>
          <w:rFonts w:ascii="ITC Avant Garde" w:hAnsi="ITC Avant Garde"/>
          <w:sz w:val="23"/>
          <w:szCs w:val="23"/>
        </w:rPr>
        <w:t>van</w:t>
      </w:r>
      <w:proofErr w:type="gramEnd"/>
      <w:r w:rsidRPr="00016DAC">
        <w:rPr>
          <w:rFonts w:ascii="ITC Avant Garde" w:hAnsi="ITC Avant Garde"/>
          <w:sz w:val="23"/>
          <w:szCs w:val="23"/>
        </w:rPr>
        <w:t xml:space="preserve"> a ser muy relevantes para que este Instituto se allegue de información y se pueda verificar que efectivamente se está implementando la equivalencia de insumos</w:t>
      </w:r>
      <w:r w:rsidR="007F72E5">
        <w:rPr>
          <w:rFonts w:ascii="ITC Avant Garde" w:hAnsi="ITC Avant Garde"/>
          <w:sz w:val="23"/>
          <w:szCs w:val="23"/>
        </w:rPr>
        <w:t>,</w:t>
      </w:r>
      <w:r w:rsidRPr="00016DAC">
        <w:rPr>
          <w:rFonts w:ascii="ITC Avant Garde" w:hAnsi="ITC Avant Garde"/>
          <w:sz w:val="23"/>
          <w:szCs w:val="23"/>
        </w:rPr>
        <w:t xml:space="preserve"> que también se ordenó en esta revisión bienal.</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En ese sentido, creo que el proyecto está debidamente fundado y motivado, y que será muy útil para este Instituto, por lo que lo acompañaré con mi voto a favor.</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Gracias.</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lastRenderedPageBreak/>
        <w:t xml:space="preserve">Comisionado Presidente Gabriel Oswaldo Contreras Saldívar: </w:t>
      </w:r>
      <w:r w:rsidRPr="00016DAC">
        <w:rPr>
          <w:rFonts w:ascii="ITC Avant Garde" w:hAnsi="ITC Avant Garde"/>
          <w:sz w:val="23"/>
          <w:szCs w:val="23"/>
        </w:rPr>
        <w:t>Muchas gracias, Comisionado Juárez.</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Comisionado Robles.</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b/>
          <w:sz w:val="23"/>
          <w:szCs w:val="23"/>
        </w:rPr>
        <w:t xml:space="preserve">Comisionado Arturo Robles Rovalo: </w:t>
      </w:r>
      <w:r w:rsidRPr="00016DAC">
        <w:rPr>
          <w:rFonts w:ascii="ITC Avant Garde" w:eastAsia="Calibri" w:hAnsi="ITC Avant Garde" w:cs="Times New Roman"/>
          <w:sz w:val="23"/>
          <w:szCs w:val="23"/>
        </w:rPr>
        <w:t>Gracias, Presidente.</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 xml:space="preserve">He revisado la propuesta que hace el área, la considero robusta tanto estadística como metodológicamente. </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 xml:space="preserve">El indicador que propone </w:t>
      </w:r>
      <w:r w:rsidR="007F72E5">
        <w:rPr>
          <w:rFonts w:ascii="ITC Avant Garde" w:eastAsia="Calibri" w:hAnsi="ITC Avant Garde" w:cs="Times New Roman"/>
          <w:sz w:val="23"/>
          <w:szCs w:val="23"/>
        </w:rPr>
        <w:t>–</w:t>
      </w:r>
      <w:r w:rsidRPr="00016DAC">
        <w:rPr>
          <w:rFonts w:ascii="ITC Avant Garde" w:eastAsia="Calibri" w:hAnsi="ITC Avant Garde" w:cs="Times New Roman"/>
          <w:sz w:val="23"/>
          <w:szCs w:val="23"/>
        </w:rPr>
        <w:t>el indicador Z</w:t>
      </w:r>
      <w:r w:rsidR="007F72E5">
        <w:rPr>
          <w:rFonts w:ascii="ITC Avant Garde" w:eastAsia="Calibri" w:hAnsi="ITC Avant Garde" w:cs="Times New Roman"/>
          <w:sz w:val="23"/>
          <w:szCs w:val="23"/>
        </w:rPr>
        <w:t>-</w:t>
      </w:r>
      <w:r w:rsidRPr="00016DAC">
        <w:rPr>
          <w:rFonts w:ascii="ITC Avant Garde" w:eastAsia="Calibri" w:hAnsi="ITC Avant Garde" w:cs="Times New Roman"/>
          <w:sz w:val="23"/>
          <w:szCs w:val="23"/>
        </w:rPr>
        <w:t xml:space="preserve"> es de los más utilizados, es más robusto que otro indicador que también se utiliza, que es el T, para detectar variaciones en las muestras; y yo creo que proveerá información valiosa para identificar prácticas indebidas en la provisión de servicios mayoristas, además de que da cumplimiento efectivo a las medidas que se impusieron por este Instituto a raíz de las medidas bienales. </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Adicionalmente, considerando el dinamismo del sector, creo que es un buen elemento de partida para establecer este tipo de indicadores, que en su momento podrán evolucionar para considerar los nuevos servicios que están surgiendo y que se están considerando como parte de la oferta mayorista.</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Gracias, Presidente.</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Comisionado Presidente Gabriel Oswaldo Contreras Saldívar: </w:t>
      </w:r>
      <w:r w:rsidRPr="00016DAC">
        <w:rPr>
          <w:rFonts w:ascii="ITC Avant Garde" w:hAnsi="ITC Avant Garde"/>
          <w:sz w:val="23"/>
          <w:szCs w:val="23"/>
        </w:rPr>
        <w:t>Gracias a usted, Comisionado Robles.</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Comisionado Fromow.</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Comisionado Mario Germán Fromow Rangel: </w:t>
      </w:r>
      <w:r w:rsidRPr="00016DAC">
        <w:rPr>
          <w:rFonts w:ascii="ITC Avant Garde" w:hAnsi="ITC Avant Garde"/>
          <w:sz w:val="23"/>
          <w:szCs w:val="23"/>
        </w:rPr>
        <w:t>Gracias, Comisionado Presidente.</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 xml:space="preserve">También para adelantar </w:t>
      </w:r>
      <w:proofErr w:type="gramStart"/>
      <w:r w:rsidRPr="00016DAC">
        <w:rPr>
          <w:rFonts w:ascii="ITC Avant Garde" w:hAnsi="ITC Avant Garde"/>
          <w:sz w:val="23"/>
          <w:szCs w:val="23"/>
        </w:rPr>
        <w:t>mi</w:t>
      </w:r>
      <w:proofErr w:type="gramEnd"/>
      <w:r w:rsidRPr="00016DAC">
        <w:rPr>
          <w:rFonts w:ascii="ITC Avant Garde" w:hAnsi="ITC Avant Garde"/>
          <w:sz w:val="23"/>
          <w:szCs w:val="23"/>
        </w:rPr>
        <w:t xml:space="preserve"> voto a favor del proyecto y reconocer el trabajo del área.</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Únicamente pediría en este último punto que menciona el Comisionado Robles, si el área pudiera explicar brevemente la forma cómo vamos a proceder para incorporar nuevos indicadores; creo que es algo importante, sobre todo en el tema de desagregación de bucle, una vez que efectivamente se esté dando ya en mayor cantidad este servicio, que sea utilizado de una forma importante por los concesionarios que así lo deseen.</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Si es posible, Comisionado Presidente.</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Comisionado Presidente Gabriel Oswaldo Contreras Saldívar: </w:t>
      </w:r>
      <w:r w:rsidRPr="00016DAC">
        <w:rPr>
          <w:rFonts w:ascii="ITC Avant Garde" w:hAnsi="ITC Avant Garde"/>
          <w:sz w:val="23"/>
          <w:szCs w:val="23"/>
        </w:rPr>
        <w:t>Con gusto, Comisionado Fromow.</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Víctor, por favor.</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b/>
          <w:sz w:val="23"/>
          <w:szCs w:val="23"/>
        </w:rPr>
        <w:t xml:space="preserve">Lic. Víctor Manuel Rodríguez Hilario: </w:t>
      </w:r>
      <w:r w:rsidRPr="00016DAC">
        <w:rPr>
          <w:rFonts w:ascii="ITC Avant Garde" w:eastAsia="Calibri" w:hAnsi="ITC Avant Garde" w:cs="Times New Roman"/>
          <w:sz w:val="23"/>
          <w:szCs w:val="23"/>
        </w:rPr>
        <w:t>Gracias.</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lastRenderedPageBreak/>
        <w:t xml:space="preserve">El </w:t>
      </w:r>
      <w:r w:rsidR="007F72E5" w:rsidRPr="00016DAC">
        <w:rPr>
          <w:rFonts w:ascii="ITC Avant Garde" w:eastAsia="Calibri" w:hAnsi="ITC Avant Garde" w:cs="Times New Roman"/>
          <w:sz w:val="23"/>
          <w:szCs w:val="23"/>
        </w:rPr>
        <w:t xml:space="preserve">artículo </w:t>
      </w:r>
      <w:r w:rsidRPr="00016DAC">
        <w:rPr>
          <w:rFonts w:ascii="ITC Avant Garde" w:eastAsia="Calibri" w:hAnsi="ITC Avant Garde" w:cs="Times New Roman"/>
          <w:sz w:val="23"/>
          <w:szCs w:val="23"/>
        </w:rPr>
        <w:t>8 establece, se señala que el Instituto determinar</w:t>
      </w:r>
      <w:r w:rsidR="007F72E5">
        <w:rPr>
          <w:rFonts w:ascii="ITC Avant Garde" w:eastAsia="Calibri" w:hAnsi="ITC Avant Garde" w:cs="Times New Roman"/>
          <w:sz w:val="23"/>
          <w:szCs w:val="23"/>
        </w:rPr>
        <w:t>á</w:t>
      </w:r>
      <w:r w:rsidRPr="00016DAC">
        <w:rPr>
          <w:rFonts w:ascii="ITC Avant Garde" w:eastAsia="Calibri" w:hAnsi="ITC Avant Garde" w:cs="Times New Roman"/>
          <w:sz w:val="23"/>
          <w:szCs w:val="23"/>
        </w:rPr>
        <w:t xml:space="preserve"> la eliminación, modificación o adición de nuevos Indicadores Clave de Desempeño que considere necesario cuando se presenten algunas de las siguientes situaciones: existan cambios en las condiciones de mercado; se adicionen, modifiquen o eliminen servicios mayoristas regulados; se modifiquen los procesos que conforman el ciclo de la provisión de los servicios mayoristas regulados; se modifique la estructura del agente económico o se identifiquen situaciones relevantes que no son capturados por los Indicadores Clave de Desempeño vigente, o se detecte un comportamiento estratégico del agente regulado.</w:t>
      </w:r>
    </w:p>
    <w:p w:rsidR="007F72E5" w:rsidRDefault="00844D66" w:rsidP="00714230">
      <w:pPr>
        <w:spacing w:before="160" w:after="160"/>
        <w:rPr>
          <w:rFonts w:ascii="ITC Avant Garde" w:eastAsia="Calibri" w:hAnsi="ITC Avant Garde" w:cs="Times New Roman"/>
          <w:sz w:val="23"/>
          <w:szCs w:val="23"/>
        </w:rPr>
      </w:pPr>
      <w:r w:rsidRPr="00714230">
        <w:rPr>
          <w:rFonts w:ascii="ITC Avant Garde" w:eastAsia="Calibri" w:hAnsi="ITC Avant Garde" w:cs="Times New Roman"/>
          <w:sz w:val="23"/>
          <w:szCs w:val="23"/>
        </w:rPr>
        <w:t>H</w:t>
      </w:r>
      <w:r w:rsidR="00016DAC" w:rsidRPr="00016DAC">
        <w:rPr>
          <w:rFonts w:ascii="ITC Avant Garde" w:eastAsia="Calibri" w:hAnsi="ITC Avant Garde" w:cs="Times New Roman"/>
          <w:sz w:val="23"/>
          <w:szCs w:val="23"/>
        </w:rPr>
        <w:t>emos visto que hay algunos servicios mayoristas regulados que todavía no están proveyéndose, pero que pudieran surgir cuando se empiecen a ver los planes de negocio de los concesionarios y puedan demandar servicios; como es el caso de desagregación, tenemos distintos grados de desagregación, e</w:t>
      </w:r>
      <w:r>
        <w:rPr>
          <w:rFonts w:ascii="ITC Avant Garde" w:eastAsia="Calibri" w:hAnsi="ITC Avant Garde" w:cs="Times New Roman"/>
          <w:sz w:val="23"/>
          <w:szCs w:val="23"/>
        </w:rPr>
        <w:t>l</w:t>
      </w:r>
      <w:r w:rsidR="00016DAC" w:rsidRPr="00016DAC">
        <w:rPr>
          <w:rFonts w:ascii="ITC Avant Garde" w:eastAsia="Calibri" w:hAnsi="ITC Avant Garde" w:cs="Times New Roman"/>
          <w:sz w:val="23"/>
          <w:szCs w:val="23"/>
        </w:rPr>
        <w:t xml:space="preserve"> total o un sub-bucle.</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 xml:space="preserve">Entonces, el establecer de antemano, ahorita, sin ninguna evidencia de qué información es necesaria, estaríamos nada más sacando indicadores que no vamos a tener muestras o no vamos a tener observaciones de los mismos; por eso creemos que es más importante observar e incluir un Indicador Clave de Desempeño cuando exista esta posibilidad de que se estén demandando servicios. </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Otro es, sabemos que estamos en un proceso del Plan de Implementación por parte del Agente Económico Preponderante para la separación funcional; eso es relevante una vez que se dé, poder tener la oportunidad de cambiar esos Indicadores Clave de Desempeño. Entonces, existen distintos elementos o circunstancias, que los pusimos en la propia medida, para ver esos Indicadores Clave de Desempeño.</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Y</w:t>
      </w:r>
      <w:r w:rsidR="007F72E5">
        <w:rPr>
          <w:rFonts w:ascii="ITC Avant Garde" w:eastAsia="Calibri" w:hAnsi="ITC Avant Garde" w:cs="Times New Roman"/>
          <w:sz w:val="23"/>
          <w:szCs w:val="23"/>
        </w:rPr>
        <w:t>,</w:t>
      </w:r>
      <w:r w:rsidRPr="00016DAC">
        <w:rPr>
          <w:rFonts w:ascii="ITC Avant Garde" w:eastAsia="Calibri" w:hAnsi="ITC Avant Garde" w:cs="Times New Roman"/>
          <w:sz w:val="23"/>
          <w:szCs w:val="23"/>
        </w:rPr>
        <w:t xml:space="preserve"> pues es atribución del Instituto el que se puedan modificar cuando considere que alguna de esas circunstancias es adecuada.</w:t>
      </w:r>
    </w:p>
    <w:p w:rsidR="007F72E5" w:rsidRDefault="00016DAC" w:rsidP="00714230">
      <w:pPr>
        <w:spacing w:before="160" w:after="160"/>
        <w:rPr>
          <w:rFonts w:ascii="ITC Avant Garde" w:eastAsia="Calibri" w:hAnsi="ITC Avant Garde" w:cs="Times New Roman"/>
          <w:sz w:val="23"/>
          <w:szCs w:val="23"/>
        </w:rPr>
      </w:pPr>
      <w:r w:rsidRPr="00016DAC">
        <w:rPr>
          <w:rFonts w:ascii="ITC Avant Garde" w:eastAsia="Calibri" w:hAnsi="ITC Avant Garde" w:cs="Times New Roman"/>
          <w:sz w:val="23"/>
          <w:szCs w:val="23"/>
        </w:rPr>
        <w:t>Gracias.</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Comisionado Presidente Gabriel Oswaldo Contreras Saldívar: </w:t>
      </w:r>
      <w:r w:rsidRPr="00016DAC">
        <w:rPr>
          <w:rFonts w:ascii="ITC Avant Garde" w:hAnsi="ITC Avant Garde"/>
          <w:sz w:val="23"/>
          <w:szCs w:val="23"/>
        </w:rPr>
        <w:t>Gracias, Víctor, gracias.</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Sometería entonces a votación los asuntos listados bajo los numerales III.1 y III.2 en los términos que han sido presentados por la Unidad de Política Regulatoria.</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Quienes estén por la aprobación sírvanse manifestarlo.</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Lic. Juan José Crispín Borbolla: </w:t>
      </w:r>
      <w:r w:rsidRPr="00016DAC">
        <w:rPr>
          <w:rFonts w:ascii="ITC Avant Garde" w:hAnsi="ITC Avant Garde"/>
          <w:sz w:val="23"/>
          <w:szCs w:val="23"/>
        </w:rPr>
        <w:t xml:space="preserve">Se da cuenta del voto a favor de los seis comisionados presentes en la sala; y respecto al voto de la Comisionada Labardini, es voto a favor del acuerdo en lo general, pero se aparta de las facultades que en el </w:t>
      </w:r>
      <w:r w:rsidR="007F72E5" w:rsidRPr="00016DAC">
        <w:rPr>
          <w:rFonts w:ascii="ITC Avant Garde" w:hAnsi="ITC Avant Garde"/>
          <w:sz w:val="23"/>
          <w:szCs w:val="23"/>
        </w:rPr>
        <w:t xml:space="preserve">artículo </w:t>
      </w:r>
      <w:r w:rsidRPr="00016DAC">
        <w:rPr>
          <w:rFonts w:ascii="ITC Avant Garde" w:hAnsi="ITC Avant Garde"/>
          <w:sz w:val="23"/>
          <w:szCs w:val="23"/>
        </w:rPr>
        <w:t xml:space="preserve">9 se le pretenden dar al grupo de trabajo de que </w:t>
      </w:r>
      <w:r w:rsidRPr="00016DAC">
        <w:rPr>
          <w:rFonts w:ascii="ITC Avant Garde" w:hAnsi="ITC Avant Garde"/>
          <w:sz w:val="23"/>
          <w:szCs w:val="23"/>
        </w:rPr>
        <w:lastRenderedPageBreak/>
        <w:t>revisará los reportes de desempeño presentados por el Agente Económico Preponderante, dado que dicho grupo de trabajo incluye al propio regulado.</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Siendo así, Presidente, se aprueba en lo general por unanimidad.</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Comisionado Presidente Gabriel Oswaldo Contreras Saldívar: </w:t>
      </w:r>
      <w:r w:rsidRPr="00016DAC">
        <w:rPr>
          <w:rFonts w:ascii="ITC Avant Garde" w:hAnsi="ITC Avant Garde"/>
          <w:sz w:val="23"/>
          <w:szCs w:val="23"/>
        </w:rPr>
        <w:t>Muchas gracias.</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No habiendo otro asunto que tratar, damos por concluida la sesión.</w:t>
      </w:r>
    </w:p>
    <w:p w:rsidR="007F72E5" w:rsidRDefault="00016DAC" w:rsidP="00714230">
      <w:pPr>
        <w:spacing w:before="160" w:after="160"/>
        <w:rPr>
          <w:rFonts w:ascii="ITC Avant Garde" w:hAnsi="ITC Avant Garde"/>
          <w:sz w:val="23"/>
          <w:szCs w:val="23"/>
        </w:rPr>
      </w:pPr>
      <w:r w:rsidRPr="00016DAC">
        <w:rPr>
          <w:rFonts w:ascii="ITC Avant Garde" w:hAnsi="ITC Avant Garde"/>
          <w:sz w:val="23"/>
          <w:szCs w:val="23"/>
        </w:rPr>
        <w:t>Muchas gracias.</w:t>
      </w:r>
    </w:p>
    <w:p w:rsidR="007F72E5" w:rsidRDefault="00016DAC" w:rsidP="00714230">
      <w:pPr>
        <w:spacing w:before="160" w:after="160"/>
        <w:rPr>
          <w:rFonts w:ascii="ITC Avant Garde" w:hAnsi="ITC Avant Garde"/>
          <w:sz w:val="23"/>
          <w:szCs w:val="23"/>
        </w:rPr>
      </w:pPr>
      <w:r w:rsidRPr="00016DAC">
        <w:rPr>
          <w:rFonts w:ascii="ITC Avant Garde" w:hAnsi="ITC Avant Garde"/>
          <w:b/>
          <w:sz w:val="23"/>
          <w:szCs w:val="23"/>
        </w:rPr>
        <w:t xml:space="preserve">Lic. Juan José Crispín Borbolla: </w:t>
      </w:r>
      <w:r w:rsidRPr="00016DAC">
        <w:rPr>
          <w:rFonts w:ascii="ITC Avant Garde" w:hAnsi="ITC Avant Garde"/>
          <w:sz w:val="23"/>
          <w:szCs w:val="23"/>
        </w:rPr>
        <w:t>Gracias.</w:t>
      </w:r>
    </w:p>
    <w:p w:rsidR="00016DAC" w:rsidRPr="00016DAC" w:rsidRDefault="00177EB4" w:rsidP="00714230">
      <w:pPr>
        <w:spacing w:before="160" w:after="160"/>
        <w:jc w:val="center"/>
        <w:rPr>
          <w:rFonts w:ascii="ITC Avant Garde" w:hAnsi="ITC Avant Garde"/>
          <w:sz w:val="23"/>
          <w:szCs w:val="23"/>
        </w:rPr>
      </w:pPr>
      <w:r>
        <w:rPr>
          <w:rFonts w:ascii="ITC Avant Garde" w:hAnsi="ITC Avant Garde"/>
          <w:b/>
          <w:sz w:val="23"/>
          <w:szCs w:val="23"/>
        </w:rPr>
        <w:t>Fin de la Versión Estenográfica</w:t>
      </w:r>
    </w:p>
    <w:sectPr w:rsidR="00016DAC" w:rsidRPr="00016DAC" w:rsidSect="00094A5D">
      <w:headerReference w:type="even" r:id="rId6"/>
      <w:headerReference w:type="default" r:id="rId7"/>
      <w:footerReference w:type="even" r:id="rId8"/>
      <w:footerReference w:type="default" r:id="rId9"/>
      <w:headerReference w:type="first" r:id="rId10"/>
      <w:footerReference w:type="first" r:id="rId11"/>
      <w:pgSz w:w="12240" w:h="15840"/>
      <w:pgMar w:top="2127" w:right="1467"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0F4" w:rsidRDefault="00A970F4" w:rsidP="00016DAC">
      <w:r>
        <w:separator/>
      </w:r>
    </w:p>
  </w:endnote>
  <w:endnote w:type="continuationSeparator" w:id="0">
    <w:p w:rsidR="00A970F4" w:rsidRDefault="00A970F4" w:rsidP="0001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7C" w:rsidRDefault="006073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EC" w:rsidRPr="00242EEB" w:rsidRDefault="00A970F4" w:rsidP="0060737C">
    <w:pPr>
      <w:pStyle w:val="Piedepgina"/>
      <w:rPr>
        <w:rFonts w:ascii="ITC Avant Garde" w:hAnsi="ITC Avant Garde"/>
        <w:i/>
        <w:sz w:val="22"/>
      </w:rPr>
    </w:pPr>
  </w:p>
  <w:p w:rsidR="00B812EC" w:rsidRPr="001F3779" w:rsidRDefault="00A970F4">
    <w:pPr>
      <w:pStyle w:val="Piedepgina"/>
      <w:rPr>
        <w:rFonts w:ascii="ITC Avant Garde" w:hAnsi="ITC Avant Garde"/>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EC" w:rsidRPr="0060737C" w:rsidRDefault="00A970F4" w:rsidP="006073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0F4" w:rsidRDefault="00A970F4" w:rsidP="00016DAC">
      <w:r>
        <w:separator/>
      </w:r>
    </w:p>
  </w:footnote>
  <w:footnote w:type="continuationSeparator" w:id="0">
    <w:p w:rsidR="00A970F4" w:rsidRDefault="00A970F4" w:rsidP="00016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7C" w:rsidRDefault="006073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EC" w:rsidRDefault="00A970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EC" w:rsidRDefault="00A970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AC"/>
    <w:rsid w:val="00016DAC"/>
    <w:rsid w:val="00133956"/>
    <w:rsid w:val="00177EB4"/>
    <w:rsid w:val="002D78F6"/>
    <w:rsid w:val="005756EB"/>
    <w:rsid w:val="005A5B00"/>
    <w:rsid w:val="0060737C"/>
    <w:rsid w:val="006B7815"/>
    <w:rsid w:val="00714230"/>
    <w:rsid w:val="007F72E5"/>
    <w:rsid w:val="00844D66"/>
    <w:rsid w:val="00927632"/>
    <w:rsid w:val="009A62A9"/>
    <w:rsid w:val="00A71F73"/>
    <w:rsid w:val="00A970F4"/>
    <w:rsid w:val="00B315CC"/>
    <w:rsid w:val="00C935F7"/>
    <w:rsid w:val="00E66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CFC098-BB21-4D2F-9E8E-4C794418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AC"/>
    <w:pPr>
      <w:spacing w:after="0" w:line="240" w:lineRule="auto"/>
      <w:jc w:val="both"/>
    </w:pPr>
    <w:rPr>
      <w:rFonts w:ascii="Arial" w:hAnsi="Arial"/>
      <w:sz w:val="24"/>
    </w:rPr>
  </w:style>
  <w:style w:type="paragraph" w:styleId="Ttulo1">
    <w:name w:val="heading 1"/>
    <w:basedOn w:val="Normal"/>
    <w:next w:val="Normal"/>
    <w:link w:val="Ttulo1Car"/>
    <w:autoRedefine/>
    <w:uiPriority w:val="9"/>
    <w:qFormat/>
    <w:rsid w:val="00016DAC"/>
    <w:pPr>
      <w:keepNext/>
      <w:keepLines/>
      <w:spacing w:before="240" w:line="276" w:lineRule="auto"/>
      <w:jc w:val="center"/>
      <w:outlineLvl w:val="0"/>
    </w:pPr>
    <w:rPr>
      <w:rFonts w:ascii="ITC Avant Garde" w:eastAsiaTheme="majorEastAsia" w:hAnsi="ITC Avant Garde"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6DAC"/>
    <w:rPr>
      <w:rFonts w:ascii="ITC Avant Garde" w:eastAsiaTheme="majorEastAsia" w:hAnsi="ITC Avant Garde" w:cstheme="majorBidi"/>
      <w:b/>
      <w:color w:val="000000" w:themeColor="text1"/>
      <w:sz w:val="24"/>
      <w:szCs w:val="32"/>
    </w:rPr>
  </w:style>
  <w:style w:type="paragraph" w:customStyle="1" w:styleId="Ttulo10">
    <w:name w:val="Título 1_"/>
    <w:basedOn w:val="Normal"/>
    <w:link w:val="Ttulo1Car0"/>
    <w:qFormat/>
    <w:rsid w:val="00016DAC"/>
    <w:pPr>
      <w:spacing w:line="276" w:lineRule="auto"/>
      <w:jc w:val="center"/>
    </w:pPr>
    <w:rPr>
      <w:rFonts w:ascii="ITC Avant Garde" w:eastAsia="Calibri" w:hAnsi="ITC Avant Garde" w:cs="Times New Roman"/>
      <w:b/>
      <w:bCs/>
      <w:color w:val="000000"/>
      <w:sz w:val="22"/>
      <w:lang w:eastAsia="es-MX"/>
    </w:rPr>
  </w:style>
  <w:style w:type="character" w:customStyle="1" w:styleId="Ttulo1Car0">
    <w:name w:val="Título 1_ Car"/>
    <w:basedOn w:val="Fuentedeprrafopredeter"/>
    <w:link w:val="Ttulo10"/>
    <w:rsid w:val="00016DAC"/>
    <w:rPr>
      <w:rFonts w:ascii="ITC Avant Garde" w:eastAsia="Calibri" w:hAnsi="ITC Avant Garde" w:cs="Times New Roman"/>
      <w:b/>
      <w:bCs/>
      <w:color w:val="000000"/>
      <w:lang w:eastAsia="es-MX"/>
    </w:rPr>
  </w:style>
  <w:style w:type="character" w:customStyle="1" w:styleId="EncabezadoCar">
    <w:name w:val="Encabezado Car"/>
    <w:basedOn w:val="Fuentedeprrafopredeter"/>
    <w:link w:val="Encabezado"/>
    <w:uiPriority w:val="99"/>
    <w:rsid w:val="00016DAC"/>
    <w:rPr>
      <w:rFonts w:ascii="Arial" w:hAnsi="Arial"/>
      <w:sz w:val="24"/>
    </w:rPr>
  </w:style>
  <w:style w:type="paragraph" w:styleId="Encabezado">
    <w:name w:val="header"/>
    <w:basedOn w:val="Normal"/>
    <w:link w:val="EncabezadoCar"/>
    <w:uiPriority w:val="99"/>
    <w:unhideWhenUsed/>
    <w:rsid w:val="00016DAC"/>
    <w:pPr>
      <w:tabs>
        <w:tab w:val="center" w:pos="4419"/>
        <w:tab w:val="right" w:pos="8838"/>
      </w:tabs>
    </w:pPr>
  </w:style>
  <w:style w:type="character" w:customStyle="1" w:styleId="EncabezadoCar1">
    <w:name w:val="Encabezado Car1"/>
    <w:basedOn w:val="Fuentedeprrafopredeter"/>
    <w:uiPriority w:val="99"/>
    <w:semiHidden/>
    <w:rsid w:val="00016DAC"/>
    <w:rPr>
      <w:rFonts w:ascii="Arial" w:hAnsi="Arial"/>
      <w:sz w:val="24"/>
    </w:rPr>
  </w:style>
  <w:style w:type="character" w:customStyle="1" w:styleId="PiedepginaCar">
    <w:name w:val="Pie de página Car"/>
    <w:basedOn w:val="Fuentedeprrafopredeter"/>
    <w:link w:val="Piedepgina"/>
    <w:uiPriority w:val="99"/>
    <w:rsid w:val="00016DAC"/>
    <w:rPr>
      <w:rFonts w:ascii="Arial" w:hAnsi="Arial"/>
      <w:sz w:val="24"/>
    </w:rPr>
  </w:style>
  <w:style w:type="paragraph" w:styleId="Piedepgina">
    <w:name w:val="footer"/>
    <w:basedOn w:val="Normal"/>
    <w:link w:val="PiedepginaCar"/>
    <w:uiPriority w:val="99"/>
    <w:unhideWhenUsed/>
    <w:rsid w:val="00016DAC"/>
    <w:pPr>
      <w:tabs>
        <w:tab w:val="center" w:pos="4419"/>
        <w:tab w:val="right" w:pos="8838"/>
      </w:tabs>
    </w:pPr>
  </w:style>
  <w:style w:type="character" w:customStyle="1" w:styleId="PiedepginaCar1">
    <w:name w:val="Pie de página Car1"/>
    <w:basedOn w:val="Fuentedeprrafopredeter"/>
    <w:uiPriority w:val="99"/>
    <w:semiHidden/>
    <w:rsid w:val="00016DAC"/>
    <w:rPr>
      <w:rFonts w:ascii="Arial" w:hAnsi="Arial"/>
      <w:sz w:val="24"/>
    </w:rPr>
  </w:style>
  <w:style w:type="character" w:customStyle="1" w:styleId="TextocomentarioCar">
    <w:name w:val="Texto comentario Car"/>
    <w:basedOn w:val="Fuentedeprrafopredeter"/>
    <w:link w:val="Textocomentario"/>
    <w:uiPriority w:val="99"/>
    <w:semiHidden/>
    <w:rsid w:val="00016DAC"/>
    <w:rPr>
      <w:rFonts w:ascii="Arial" w:hAnsi="Arial"/>
      <w:sz w:val="20"/>
      <w:szCs w:val="20"/>
    </w:rPr>
  </w:style>
  <w:style w:type="paragraph" w:styleId="Textocomentario">
    <w:name w:val="annotation text"/>
    <w:basedOn w:val="Normal"/>
    <w:link w:val="TextocomentarioCar"/>
    <w:uiPriority w:val="99"/>
    <w:semiHidden/>
    <w:unhideWhenUsed/>
    <w:rsid w:val="00016DAC"/>
    <w:rPr>
      <w:sz w:val="20"/>
      <w:szCs w:val="20"/>
    </w:rPr>
  </w:style>
  <w:style w:type="character" w:customStyle="1" w:styleId="TextocomentarioCar1">
    <w:name w:val="Texto comentario Car1"/>
    <w:basedOn w:val="Fuentedeprrafopredeter"/>
    <w:uiPriority w:val="99"/>
    <w:semiHidden/>
    <w:rsid w:val="00016DAC"/>
    <w:rPr>
      <w:rFonts w:ascii="Arial" w:hAnsi="Arial"/>
      <w:sz w:val="20"/>
      <w:szCs w:val="20"/>
    </w:rPr>
  </w:style>
  <w:style w:type="character" w:customStyle="1" w:styleId="TextodegloboCar">
    <w:name w:val="Texto de globo Car"/>
    <w:basedOn w:val="Fuentedeprrafopredeter"/>
    <w:link w:val="Textodeglobo"/>
    <w:uiPriority w:val="99"/>
    <w:semiHidden/>
    <w:rsid w:val="00016DAC"/>
    <w:rPr>
      <w:rFonts w:ascii="Segoe UI" w:hAnsi="Segoe UI" w:cs="Segoe UI"/>
      <w:sz w:val="18"/>
      <w:szCs w:val="18"/>
    </w:rPr>
  </w:style>
  <w:style w:type="paragraph" w:styleId="Textodeglobo">
    <w:name w:val="Balloon Text"/>
    <w:basedOn w:val="Normal"/>
    <w:link w:val="TextodegloboCar"/>
    <w:uiPriority w:val="99"/>
    <w:semiHidden/>
    <w:unhideWhenUsed/>
    <w:rsid w:val="00016DAC"/>
    <w:rPr>
      <w:rFonts w:ascii="Segoe UI" w:hAnsi="Segoe UI" w:cs="Segoe UI"/>
      <w:sz w:val="18"/>
      <w:szCs w:val="18"/>
    </w:rPr>
  </w:style>
  <w:style w:type="character" w:customStyle="1" w:styleId="TextodegloboCar1">
    <w:name w:val="Texto de globo Car1"/>
    <w:basedOn w:val="Fuentedeprrafopredeter"/>
    <w:uiPriority w:val="99"/>
    <w:semiHidden/>
    <w:rsid w:val="00016DAC"/>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016DAC"/>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016DAC"/>
    <w:rPr>
      <w:b/>
      <w:bCs/>
    </w:rPr>
  </w:style>
  <w:style w:type="character" w:customStyle="1" w:styleId="AsuntodelcomentarioCar1">
    <w:name w:val="Asunto del comentario Car1"/>
    <w:basedOn w:val="TextocomentarioCar1"/>
    <w:uiPriority w:val="99"/>
    <w:semiHidden/>
    <w:rsid w:val="00016DAC"/>
    <w:rPr>
      <w:rFonts w:ascii="Arial" w:hAnsi="Arial"/>
      <w:b/>
      <w:bCs/>
      <w:sz w:val="20"/>
      <w:szCs w:val="20"/>
    </w:rPr>
  </w:style>
  <w:style w:type="numbering" w:customStyle="1" w:styleId="Sinlista1">
    <w:name w:val="Sin lista1"/>
    <w:next w:val="Sinlista"/>
    <w:uiPriority w:val="99"/>
    <w:semiHidden/>
    <w:unhideWhenUsed/>
    <w:rsid w:val="00016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2229</Words>
  <Characters>12265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5</cp:revision>
  <dcterms:created xsi:type="dcterms:W3CDTF">2017-07-26T17:35:00Z</dcterms:created>
  <dcterms:modified xsi:type="dcterms:W3CDTF">2017-07-26T17:36:00Z</dcterms:modified>
</cp:coreProperties>
</file>