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B220" w14:textId="77777777" w:rsidR="00346A84" w:rsidRDefault="00A008BF" w:rsidP="00346A84">
      <w:pPr>
        <w:pStyle w:val="Ttulo1"/>
        <w:spacing w:line="480" w:lineRule="auto"/>
        <w:ind w:left="2268" w:right="206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>XL</w:t>
      </w:r>
      <w:r w:rsidR="00124FDD" w:rsidRPr="00346A84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EC157A" w:rsidRPr="00346A84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49464F"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346A84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346A84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C157A" w:rsidRPr="00346A84">
        <w:rPr>
          <w:rFonts w:ascii="ITC Avant Garde" w:hAnsi="ITC Avant Garde"/>
          <w:b/>
          <w:color w:val="000000" w:themeColor="text1"/>
          <w:sz w:val="22"/>
          <w:szCs w:val="22"/>
        </w:rPr>
        <w:t>10</w:t>
      </w: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 w:rsidR="008F1870" w:rsidRPr="00346A84">
        <w:rPr>
          <w:rFonts w:ascii="ITC Avant Garde" w:hAnsi="ITC Avant Garde"/>
          <w:b/>
          <w:color w:val="000000" w:themeColor="text1"/>
          <w:sz w:val="22"/>
          <w:szCs w:val="22"/>
        </w:rPr>
        <w:t>NOVIEMBRE</w:t>
      </w: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346A84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40BED35D" w14:textId="77777777" w:rsidR="00346A84" w:rsidRDefault="00E733A3" w:rsidP="00346A84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346A84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111FC982" w14:textId="77777777" w:rsidR="00346A84" w:rsidRDefault="00E733A3" w:rsidP="00346A8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1F2E393C" w14:textId="77777777" w:rsidR="00346A84" w:rsidRDefault="00E733A3" w:rsidP="00346A8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4EB5050C" w14:textId="77777777" w:rsidR="00346A84" w:rsidRDefault="00E733A3" w:rsidP="00346A8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4B6CB3" w:rsidRPr="00346A84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4B6CB3" w:rsidRPr="00346A84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PLENO.</w:t>
      </w:r>
    </w:p>
    <w:p w14:paraId="4DC9F433" w14:textId="4B567435" w:rsidR="004C213D" w:rsidRDefault="00320131" w:rsidP="0026183D">
      <w:pPr>
        <w:spacing w:after="0" w:line="276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CD718B">
        <w:rPr>
          <w:rFonts w:ascii="ITC Avant Garde" w:eastAsia="Times New Roman" w:hAnsi="ITC Avant Garde" w:cs="Times New Roman"/>
          <w:b/>
          <w:lang w:val="es-ES"/>
        </w:rPr>
        <w:t>III.1.-</w:t>
      </w:r>
      <w:r w:rsidR="00327270" w:rsidRPr="00CD718B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F109E2" w:rsidRPr="00F109E2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F109E2">
        <w:rPr>
          <w:rFonts w:ascii="ITC Avant Garde" w:eastAsia="Times New Roman" w:hAnsi="ITC Avant Garde"/>
          <w:bCs/>
          <w:lang w:val="es-ES" w:eastAsia="es-ES"/>
        </w:rPr>
        <w:t>del Instituto Federal d</w:t>
      </w:r>
      <w:r w:rsidR="00F109E2" w:rsidRPr="00F109E2">
        <w:rPr>
          <w:rFonts w:ascii="ITC Avant Garde" w:eastAsia="Times New Roman" w:hAnsi="ITC Avant Garde"/>
          <w:bCs/>
          <w:lang w:val="es-ES" w:eastAsia="es-ES"/>
        </w:rPr>
        <w:t>e Telecomunicaciones determina las condiciones de interconexión no convenidas entre la empresa IENTC,</w:t>
      </w:r>
      <w:r w:rsidR="00F109E2">
        <w:rPr>
          <w:rFonts w:ascii="ITC Avant Garde" w:eastAsia="Times New Roman" w:hAnsi="ITC Avant Garde"/>
          <w:bCs/>
          <w:lang w:val="es-ES" w:eastAsia="es-ES"/>
        </w:rPr>
        <w:t xml:space="preserve"> S. de R.L. d</w:t>
      </w:r>
      <w:r w:rsidR="00F109E2" w:rsidRPr="00F109E2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F109E2" w:rsidRPr="00F109E2">
        <w:rPr>
          <w:rFonts w:ascii="ITC Avant Garde" w:eastAsia="Times New Roman" w:hAnsi="ITC Avant Garde"/>
          <w:bCs/>
          <w:iCs/>
          <w:lang w:eastAsia="es-ES"/>
        </w:rPr>
        <w:t xml:space="preserve">y la empresa </w:t>
      </w:r>
      <w:r w:rsidR="00F109E2">
        <w:rPr>
          <w:rFonts w:ascii="ITC Avant Garde" w:eastAsia="Times New Roman" w:hAnsi="ITC Avant Garde"/>
          <w:bCs/>
          <w:iCs/>
          <w:lang w:eastAsia="es-ES"/>
        </w:rPr>
        <w:t>Servnet México, S.A. d</w:t>
      </w:r>
      <w:r w:rsidR="00F109E2" w:rsidRPr="00F109E2">
        <w:rPr>
          <w:rFonts w:ascii="ITC Avant Garde" w:eastAsia="Times New Roman" w:hAnsi="ITC Avant Garde"/>
          <w:bCs/>
          <w:iCs/>
          <w:lang w:eastAsia="es-ES"/>
        </w:rPr>
        <w:t>e C.V.</w:t>
      </w:r>
      <w:r w:rsidR="00F109E2" w:rsidRPr="00F109E2">
        <w:rPr>
          <w:rFonts w:ascii="ITC Avant Garde" w:hAnsi="ITC Avant Garde" w:cs="Helvetica"/>
          <w:lang w:eastAsia="es-MX"/>
        </w:rPr>
        <w:t xml:space="preserve">, </w:t>
      </w:r>
      <w:r w:rsidR="00F109E2" w:rsidRPr="00F109E2">
        <w:rPr>
          <w:rFonts w:ascii="ITC Avant Garde" w:hAnsi="ITC Avant Garde" w:cs="Arial"/>
          <w:iCs/>
        </w:rPr>
        <w:t>aplicables</w:t>
      </w:r>
      <w:r w:rsidR="00F109E2" w:rsidRPr="00F109E2">
        <w:rPr>
          <w:rFonts w:ascii="ITC Avant Garde" w:eastAsia="Times New Roman" w:hAnsi="ITC Avant Garde"/>
          <w:bCs/>
          <w:lang w:val="es-ES" w:eastAsia="es-ES"/>
        </w:rPr>
        <w:t xml:space="preserve"> del 10 de noviembre de 2017 al 31 de diciembre de 2018.</w:t>
      </w:r>
    </w:p>
    <w:p w14:paraId="47E830AF" w14:textId="77777777" w:rsidR="00346A84" w:rsidRDefault="00F109E2" w:rsidP="0026183D">
      <w:pPr>
        <w:spacing w:after="0" w:line="276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F109E2">
        <w:rPr>
          <w:rFonts w:ascii="ITC Avant Garde" w:eastAsia="Times New Roman" w:hAnsi="ITC Avant Garde"/>
          <w:bCs/>
          <w:i/>
          <w:lang w:val="es-ES" w:eastAsia="es-ES"/>
        </w:rPr>
        <w:t>(Unidad de Política Regulatoria)</w:t>
      </w:r>
    </w:p>
    <w:p w14:paraId="7CA1162B" w14:textId="118F7780" w:rsidR="004C213D" w:rsidRPr="000E0E97" w:rsidRDefault="0020264E" w:rsidP="00AA6ED6">
      <w:pPr>
        <w:spacing w:before="240" w:after="0" w:line="276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CD718B"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="001D1331" w:rsidRPr="000E0E9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1D1331">
        <w:rPr>
          <w:rFonts w:ascii="ITC Avant Garde" w:eastAsia="Times New Roman" w:hAnsi="ITC Avant Garde"/>
          <w:bCs/>
          <w:lang w:val="es-ES" w:eastAsia="es-ES"/>
        </w:rPr>
        <w:t>Pleno d</w:t>
      </w:r>
      <w:r w:rsidR="001D1331" w:rsidRPr="000E0E9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1D1331">
        <w:rPr>
          <w:rFonts w:ascii="ITC Avant Garde" w:eastAsia="Times New Roman" w:hAnsi="ITC Avant Garde"/>
          <w:bCs/>
          <w:lang w:val="es-ES" w:eastAsia="es-ES"/>
        </w:rPr>
        <w:t>d</w:t>
      </w:r>
      <w:r w:rsidR="001D1331" w:rsidRPr="000E0E97">
        <w:rPr>
          <w:rFonts w:ascii="ITC Avant Garde" w:eastAsia="Times New Roman" w:hAnsi="ITC Avant Garde"/>
          <w:bCs/>
          <w:lang w:val="es-ES" w:eastAsia="es-ES"/>
        </w:rPr>
        <w:t>e Telecomunicaciones determina las condiciones de interconexión no convenidas entre IENTC</w:t>
      </w:r>
      <w:r w:rsidR="001D1331">
        <w:rPr>
          <w:rFonts w:ascii="ITC Avant Garde" w:eastAsia="Times New Roman" w:hAnsi="ITC Avant Garde"/>
          <w:bCs/>
          <w:lang w:val="es-ES" w:eastAsia="es-ES"/>
        </w:rPr>
        <w:t>, S. de R.L. d</w:t>
      </w:r>
      <w:r w:rsidR="001D1331" w:rsidRPr="000E0E97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1D1331" w:rsidRPr="000E0E97">
        <w:rPr>
          <w:rFonts w:ascii="ITC Avant Garde" w:eastAsia="Times New Roman" w:hAnsi="ITC Avant Garde"/>
          <w:bCs/>
          <w:iCs/>
          <w:lang w:eastAsia="es-ES"/>
        </w:rPr>
        <w:t xml:space="preserve">y la empresa Qualtel, S.A. </w:t>
      </w:r>
      <w:r w:rsidR="001D1331">
        <w:rPr>
          <w:rFonts w:ascii="ITC Avant Garde" w:eastAsia="Times New Roman" w:hAnsi="ITC Avant Garde"/>
          <w:bCs/>
          <w:iCs/>
          <w:lang w:eastAsia="es-ES"/>
        </w:rPr>
        <w:t>d</w:t>
      </w:r>
      <w:r w:rsidR="001D1331" w:rsidRPr="000E0E97">
        <w:rPr>
          <w:rFonts w:ascii="ITC Avant Garde" w:eastAsia="Times New Roman" w:hAnsi="ITC Avant Garde"/>
          <w:bCs/>
          <w:iCs/>
          <w:lang w:eastAsia="es-ES"/>
        </w:rPr>
        <w:t>e C.V.</w:t>
      </w:r>
      <w:r w:rsidR="001D1331" w:rsidRPr="000E0E97">
        <w:rPr>
          <w:rFonts w:ascii="ITC Avant Garde" w:hAnsi="ITC Avant Garde" w:cs="Helvetica"/>
          <w:lang w:eastAsia="es-MX"/>
        </w:rPr>
        <w:t xml:space="preserve">, </w:t>
      </w:r>
      <w:r w:rsidR="001D1331" w:rsidRPr="000E0E97">
        <w:rPr>
          <w:rFonts w:ascii="ITC Avant Garde" w:hAnsi="ITC Avant Garde" w:cs="Arial"/>
          <w:iCs/>
        </w:rPr>
        <w:t>aplicables</w:t>
      </w:r>
      <w:r w:rsidR="001D1331" w:rsidRPr="000E0E97">
        <w:rPr>
          <w:rFonts w:ascii="ITC Avant Garde" w:eastAsia="Times New Roman" w:hAnsi="ITC Avant Garde"/>
          <w:bCs/>
          <w:lang w:val="es-ES" w:eastAsia="es-ES"/>
        </w:rPr>
        <w:t xml:space="preserve"> del 10 de noviembre de 2017 al 31 de diciembre de 2018.</w:t>
      </w:r>
    </w:p>
    <w:p w14:paraId="7354A868" w14:textId="77777777" w:rsidR="00346A84" w:rsidRDefault="00AF1B32" w:rsidP="0026183D">
      <w:pPr>
        <w:spacing w:after="0" w:line="276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F109E2">
        <w:rPr>
          <w:rFonts w:ascii="ITC Avant Garde" w:eastAsia="Times New Roman" w:hAnsi="ITC Avant Garde"/>
          <w:bCs/>
          <w:i/>
          <w:lang w:val="es-ES" w:eastAsia="es-ES"/>
        </w:rPr>
        <w:t>(Unidad de Política Regulatoria)</w:t>
      </w:r>
    </w:p>
    <w:p w14:paraId="3591D7D5" w14:textId="31A0727B" w:rsidR="004C213D" w:rsidRDefault="00212BA0" w:rsidP="00AA6ED6">
      <w:pPr>
        <w:spacing w:before="240" w:after="0" w:line="276" w:lineRule="auto"/>
        <w:jc w:val="both"/>
        <w:rPr>
          <w:rFonts w:ascii="ITC Avant Garde" w:eastAsia="Times New Roman" w:hAnsi="ITC Avant Garde"/>
          <w:b/>
          <w:bCs/>
          <w:lang w:val="es-ES" w:eastAsia="es-ES"/>
        </w:rPr>
      </w:pPr>
      <w:r w:rsidRPr="00CD718B">
        <w:rPr>
          <w:rFonts w:ascii="ITC Avant Garde" w:eastAsia="Times New Roman" w:hAnsi="ITC Avant Garde" w:cs="Times New Roman"/>
          <w:b/>
          <w:lang w:val="es-ES"/>
        </w:rPr>
        <w:t xml:space="preserve">III.3.- </w:t>
      </w:r>
      <w:r w:rsidR="005D0516" w:rsidRPr="000E0E9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5D0516">
        <w:rPr>
          <w:rFonts w:ascii="ITC Avant Garde" w:eastAsia="Times New Roman" w:hAnsi="ITC Avant Garde"/>
          <w:bCs/>
          <w:lang w:val="es-ES" w:eastAsia="es-ES"/>
        </w:rPr>
        <w:t>del Instituto Federal d</w:t>
      </w:r>
      <w:r w:rsidR="005D0516" w:rsidRPr="000E0E97">
        <w:rPr>
          <w:rFonts w:ascii="ITC Avant Garde" w:eastAsia="Times New Roman" w:hAnsi="ITC Avant Garde"/>
          <w:bCs/>
          <w:lang w:val="es-ES" w:eastAsia="es-ES"/>
        </w:rPr>
        <w:t>e Telecomunicaciones determina las condiciones de interconexión no convenidas entre la empresa IENTC</w:t>
      </w:r>
      <w:r w:rsidR="005D0516">
        <w:rPr>
          <w:rFonts w:ascii="ITC Avant Garde" w:eastAsia="Times New Roman" w:hAnsi="ITC Avant Garde"/>
          <w:bCs/>
          <w:lang w:val="es-ES" w:eastAsia="es-ES"/>
        </w:rPr>
        <w:t>, S. de R.L. d</w:t>
      </w:r>
      <w:r w:rsidR="005D0516" w:rsidRPr="000E0E97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5D0516" w:rsidRPr="000E0E97">
        <w:rPr>
          <w:rFonts w:ascii="ITC Avant Garde" w:eastAsia="Times New Roman" w:hAnsi="ITC Avant Garde"/>
          <w:bCs/>
          <w:iCs/>
          <w:lang w:eastAsia="es-ES"/>
        </w:rPr>
        <w:t xml:space="preserve">y la empresa </w:t>
      </w:r>
      <w:r w:rsidR="005D0516">
        <w:rPr>
          <w:rFonts w:ascii="ITC Avant Garde" w:eastAsia="Times New Roman" w:hAnsi="ITC Avant Garde"/>
          <w:bCs/>
          <w:iCs/>
          <w:lang w:eastAsia="es-ES"/>
        </w:rPr>
        <w:t>Convergia d</w:t>
      </w:r>
      <w:r w:rsidR="005D0516" w:rsidRPr="000E0E97">
        <w:rPr>
          <w:rFonts w:ascii="ITC Avant Garde" w:eastAsia="Times New Roman" w:hAnsi="ITC Avant Garde"/>
          <w:bCs/>
          <w:iCs/>
          <w:lang w:eastAsia="es-ES"/>
        </w:rPr>
        <w:t>e México, S.A.</w:t>
      </w:r>
      <w:r w:rsidR="005D0516">
        <w:rPr>
          <w:rFonts w:ascii="ITC Avant Garde" w:eastAsia="Times New Roman" w:hAnsi="ITC Avant Garde"/>
          <w:bCs/>
          <w:iCs/>
          <w:lang w:eastAsia="es-ES"/>
        </w:rPr>
        <w:t xml:space="preserve"> d</w:t>
      </w:r>
      <w:r w:rsidR="005D0516" w:rsidRPr="000E0E97">
        <w:rPr>
          <w:rFonts w:ascii="ITC Avant Garde" w:eastAsia="Times New Roman" w:hAnsi="ITC Avant Garde"/>
          <w:bCs/>
          <w:iCs/>
          <w:lang w:eastAsia="es-ES"/>
        </w:rPr>
        <w:t>e C.V.</w:t>
      </w:r>
      <w:r w:rsidR="005D0516" w:rsidRPr="000E0E97">
        <w:rPr>
          <w:rFonts w:ascii="ITC Avant Garde" w:hAnsi="ITC Avant Garde" w:cs="Helvetica"/>
          <w:lang w:eastAsia="es-MX"/>
        </w:rPr>
        <w:t xml:space="preserve">, </w:t>
      </w:r>
      <w:r w:rsidR="005D0516" w:rsidRPr="000E0E97">
        <w:rPr>
          <w:rFonts w:ascii="ITC Avant Garde" w:hAnsi="ITC Avant Garde" w:cs="Arial"/>
          <w:iCs/>
        </w:rPr>
        <w:t>aplicables</w:t>
      </w:r>
      <w:r w:rsidR="005D0516" w:rsidRPr="000E0E97">
        <w:rPr>
          <w:rFonts w:ascii="ITC Avant Garde" w:eastAsia="Times New Roman" w:hAnsi="ITC Avant Garde"/>
          <w:bCs/>
          <w:lang w:val="es-ES" w:eastAsia="es-ES"/>
        </w:rPr>
        <w:t xml:space="preserve"> del 10 de novi</w:t>
      </w:r>
      <w:r w:rsidR="0099680B">
        <w:rPr>
          <w:rFonts w:ascii="ITC Avant Garde" w:eastAsia="Times New Roman" w:hAnsi="ITC Avant Garde"/>
          <w:bCs/>
          <w:lang w:val="es-ES" w:eastAsia="es-ES"/>
        </w:rPr>
        <w:t>embre al 31 de diciembre de 2018</w:t>
      </w:r>
      <w:r w:rsidR="005D0516" w:rsidRPr="000E0E97">
        <w:rPr>
          <w:rFonts w:ascii="ITC Avant Garde" w:eastAsia="Times New Roman" w:hAnsi="ITC Avant Garde"/>
          <w:bCs/>
          <w:lang w:val="es-ES" w:eastAsia="es-ES"/>
        </w:rPr>
        <w:t>.</w:t>
      </w:r>
    </w:p>
    <w:p w14:paraId="13F9CEEC" w14:textId="77777777" w:rsidR="00346A84" w:rsidRDefault="00AF1B32" w:rsidP="0026183D">
      <w:pPr>
        <w:spacing w:after="0" w:line="276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F109E2">
        <w:rPr>
          <w:rFonts w:ascii="ITC Avant Garde" w:eastAsia="Times New Roman" w:hAnsi="ITC Avant Garde"/>
          <w:bCs/>
          <w:i/>
          <w:lang w:val="es-ES" w:eastAsia="es-ES"/>
        </w:rPr>
        <w:t>(Unidad de Política Regulatoria)</w:t>
      </w:r>
    </w:p>
    <w:p w14:paraId="0506A21C" w14:textId="11CD81D0" w:rsidR="004C213D" w:rsidRPr="000E0E97" w:rsidRDefault="000E0E97" w:rsidP="00AA6ED6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 w:cs="Helvetica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III.4.</w:t>
      </w:r>
      <w:r w:rsidRPr="00CD718B">
        <w:rPr>
          <w:rFonts w:ascii="ITC Avant Garde" w:eastAsia="Times New Roman" w:hAnsi="ITC Avant Garde" w:cs="Times New Roman"/>
          <w:b/>
          <w:lang w:val="es-ES"/>
        </w:rPr>
        <w:t>-</w:t>
      </w:r>
      <w:r w:rsidR="00AF1B32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F832B9" w:rsidRPr="000E0E9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F832B9">
        <w:rPr>
          <w:rFonts w:ascii="ITC Avant Garde" w:eastAsia="Times New Roman" w:hAnsi="ITC Avant Garde"/>
          <w:bCs/>
          <w:lang w:val="es-ES" w:eastAsia="es-ES"/>
        </w:rPr>
        <w:t>d</w:t>
      </w:r>
      <w:r w:rsidR="00F832B9" w:rsidRPr="000E0E9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F832B9">
        <w:rPr>
          <w:rFonts w:ascii="ITC Avant Garde" w:eastAsia="Times New Roman" w:hAnsi="ITC Avant Garde"/>
          <w:bCs/>
          <w:lang w:val="es-ES" w:eastAsia="es-ES"/>
        </w:rPr>
        <w:t>d</w:t>
      </w:r>
      <w:r w:rsidR="00F832B9" w:rsidRPr="000E0E97">
        <w:rPr>
          <w:rFonts w:ascii="ITC Avant Garde" w:eastAsia="Times New Roman" w:hAnsi="ITC Avant Garde"/>
          <w:bCs/>
          <w:lang w:val="es-ES" w:eastAsia="es-ES"/>
        </w:rPr>
        <w:t xml:space="preserve">e Telecomunicaciones determina las condiciones de interconexión no convenidas entre las empresas </w:t>
      </w:r>
      <w:r w:rsidR="00F832B9">
        <w:rPr>
          <w:rFonts w:ascii="ITC Avant Garde" w:hAnsi="ITC Avant Garde" w:cs="Arial"/>
          <w:bCs/>
        </w:rPr>
        <w:t>Axtel, S.A.B. de C.V. y Avantel, S. de R.L. d</w:t>
      </w:r>
      <w:r w:rsidR="00F832B9" w:rsidRPr="000E0E97">
        <w:rPr>
          <w:rFonts w:ascii="ITC Avant Garde" w:hAnsi="ITC Avant Garde" w:cs="Arial"/>
          <w:bCs/>
        </w:rPr>
        <w:t xml:space="preserve">e C.V. </w:t>
      </w:r>
      <w:r w:rsidR="00F832B9" w:rsidRPr="000E0E97">
        <w:rPr>
          <w:rFonts w:ascii="ITC Avant Garde" w:eastAsia="Times New Roman" w:hAnsi="ITC Avant Garde"/>
          <w:bCs/>
          <w:lang w:val="es-ES" w:eastAsia="es-ES"/>
        </w:rPr>
        <w:t xml:space="preserve">y la empresa </w:t>
      </w:r>
      <w:r w:rsidR="00F832B9">
        <w:rPr>
          <w:rFonts w:ascii="ITC Avant Garde" w:eastAsia="Times New Roman" w:hAnsi="ITC Avant Garde"/>
          <w:bCs/>
          <w:lang w:val="es-ES" w:eastAsia="es-ES"/>
        </w:rPr>
        <w:t>Total Play, S.A. d</w:t>
      </w:r>
      <w:r w:rsidR="00F832B9" w:rsidRPr="000E0E97">
        <w:rPr>
          <w:rFonts w:ascii="ITC Avant Garde" w:eastAsia="Times New Roman" w:hAnsi="ITC Avant Garde"/>
          <w:bCs/>
          <w:lang w:val="es-ES" w:eastAsia="es-ES"/>
        </w:rPr>
        <w:t>e C.V.</w:t>
      </w:r>
      <w:r w:rsidR="00F832B9" w:rsidRPr="000E0E97">
        <w:rPr>
          <w:rFonts w:ascii="ITC Avant Garde" w:hAnsi="ITC Avant Garde" w:cs="Helvetica"/>
          <w:lang w:eastAsia="es-MX"/>
        </w:rPr>
        <w:t xml:space="preserve"> aplicables del 1 de enero al 31 de diciembre de 2018.</w:t>
      </w:r>
    </w:p>
    <w:p w14:paraId="273AEDD5" w14:textId="77777777" w:rsidR="00AA6ED6" w:rsidRDefault="00F832B9" w:rsidP="0026183D">
      <w:pPr>
        <w:spacing w:after="0" w:line="276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  <w:sectPr w:rsidR="00AA6ED6" w:rsidSect="00153EE8">
          <w:pgSz w:w="12240" w:h="15840"/>
          <w:pgMar w:top="1985" w:right="1474" w:bottom="1418" w:left="1474" w:header="709" w:footer="709" w:gutter="0"/>
          <w:cols w:space="708"/>
          <w:docGrid w:linePitch="360"/>
        </w:sectPr>
      </w:pPr>
      <w:r w:rsidRPr="00F109E2">
        <w:rPr>
          <w:rFonts w:ascii="ITC Avant Garde" w:eastAsia="Times New Roman" w:hAnsi="ITC Avant Garde"/>
          <w:bCs/>
          <w:i/>
          <w:lang w:val="es-ES" w:eastAsia="es-ES"/>
        </w:rPr>
        <w:t>(Unidad de Política Regulatoria)</w:t>
      </w:r>
    </w:p>
    <w:p w14:paraId="51FDC422" w14:textId="6C15B07C" w:rsidR="004C213D" w:rsidRPr="005D7BBB" w:rsidRDefault="000E0E97" w:rsidP="0026183D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eastAsia="Times New Roman" w:hAnsi="ITC Avant Garde"/>
          <w:bCs/>
          <w:lang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III.5</w:t>
      </w:r>
      <w:r w:rsidRPr="00CD718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832B9" w:rsidRPr="005D7BBB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F832B9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F832B9" w:rsidRPr="005D7BBB">
        <w:rPr>
          <w:rFonts w:ascii="ITC Avant Garde" w:eastAsia="Times New Roman" w:hAnsi="ITC Avant Garde"/>
          <w:bCs/>
          <w:lang w:val="es-ES" w:eastAsia="es-ES"/>
        </w:rPr>
        <w:t xml:space="preserve">e Telecomunicaciones determina las condiciones de interconexión no convenidas </w:t>
      </w:r>
      <w:r w:rsidR="00F832B9" w:rsidRPr="005D7BBB">
        <w:rPr>
          <w:rFonts w:ascii="ITC Avant Garde" w:hAnsi="ITC Avant Garde" w:cs="Helvetica"/>
          <w:lang w:eastAsia="es-MX"/>
        </w:rPr>
        <w:t xml:space="preserve">entre la empresa </w:t>
      </w:r>
      <w:r w:rsidR="00F832B9">
        <w:rPr>
          <w:rFonts w:ascii="ITC Avant Garde" w:hAnsi="ITC Avant Garde" w:cs="Arial"/>
          <w:bCs/>
        </w:rPr>
        <w:t>Marcatel Com, S.A. d</w:t>
      </w:r>
      <w:r w:rsidR="00F832B9" w:rsidRPr="005D7BBB">
        <w:rPr>
          <w:rFonts w:ascii="ITC Avant Garde" w:hAnsi="ITC Avant Garde" w:cs="Arial"/>
          <w:bCs/>
        </w:rPr>
        <w:t>e C.V.</w:t>
      </w:r>
      <w:r w:rsidR="00F832B9" w:rsidRPr="005D7BBB">
        <w:rPr>
          <w:rFonts w:ascii="ITC Avant Garde" w:hAnsi="ITC Avant Garde" w:cs="Helvetica"/>
          <w:lang w:eastAsia="es-MX"/>
        </w:rPr>
        <w:t xml:space="preserve"> y las empresas Axtel, S.A.B. </w:t>
      </w:r>
      <w:r w:rsidR="00F832B9">
        <w:rPr>
          <w:rFonts w:ascii="ITC Avant Garde" w:hAnsi="ITC Avant Garde" w:cs="Helvetica"/>
          <w:lang w:eastAsia="es-MX"/>
        </w:rPr>
        <w:t>de C.V. y Avantel, S. de R.L. d</w:t>
      </w:r>
      <w:r w:rsidR="00F832B9" w:rsidRPr="005D7BBB">
        <w:rPr>
          <w:rFonts w:ascii="ITC Avant Garde" w:hAnsi="ITC Avant Garde" w:cs="Helvetica"/>
          <w:lang w:eastAsia="es-MX"/>
        </w:rPr>
        <w:t xml:space="preserve">e C.V., </w:t>
      </w:r>
      <w:r w:rsidR="00F832B9" w:rsidRPr="005D7BBB">
        <w:rPr>
          <w:rFonts w:ascii="ITC Avant Garde" w:eastAsia="Times New Roman" w:hAnsi="ITC Avant Garde"/>
          <w:bCs/>
          <w:iCs/>
          <w:lang w:eastAsia="es-ES"/>
        </w:rPr>
        <w:t>aplicables del 1 de enero al 31 de diciembre de 2018.</w:t>
      </w:r>
    </w:p>
    <w:p w14:paraId="6675B9CB" w14:textId="77777777" w:rsidR="00346A84" w:rsidRDefault="00AF1B32" w:rsidP="00AA6ED6">
      <w:pPr>
        <w:spacing w:line="276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F109E2">
        <w:rPr>
          <w:rFonts w:ascii="ITC Avant Garde" w:eastAsia="Times New Roman" w:hAnsi="ITC Avant Garde"/>
          <w:bCs/>
          <w:i/>
          <w:lang w:val="es-ES" w:eastAsia="es-ES"/>
        </w:rPr>
        <w:t>(Unidad de Política Regulatoria)</w:t>
      </w:r>
    </w:p>
    <w:p w14:paraId="37FC4900" w14:textId="0852AAF9" w:rsidR="00124FDD" w:rsidRPr="00346A84" w:rsidRDefault="00882F3D" w:rsidP="00AA6ED6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46A84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124FDD" w:rsidRPr="00346A84" w:rsidSect="00153EE8">
      <w:pgSz w:w="12240" w:h="15840"/>
      <w:pgMar w:top="198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0CE0" w14:textId="77777777" w:rsidR="00DC6EF4" w:rsidRDefault="00DC6EF4">
      <w:pPr>
        <w:spacing w:after="0" w:line="240" w:lineRule="auto"/>
      </w:pPr>
      <w:r>
        <w:separator/>
      </w:r>
    </w:p>
  </w:endnote>
  <w:endnote w:type="continuationSeparator" w:id="0">
    <w:p w14:paraId="51E6A753" w14:textId="77777777" w:rsidR="00DC6EF4" w:rsidRDefault="00D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DB3E8" w14:textId="77777777" w:rsidR="00DC6EF4" w:rsidRDefault="00DC6EF4">
      <w:pPr>
        <w:spacing w:after="0" w:line="240" w:lineRule="auto"/>
      </w:pPr>
      <w:r>
        <w:separator/>
      </w:r>
    </w:p>
  </w:footnote>
  <w:footnote w:type="continuationSeparator" w:id="0">
    <w:p w14:paraId="4250FF53" w14:textId="77777777" w:rsidR="00DC6EF4" w:rsidRDefault="00D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EDC"/>
    <w:rsid w:val="0001385D"/>
    <w:rsid w:val="00016914"/>
    <w:rsid w:val="00024733"/>
    <w:rsid w:val="00036FDC"/>
    <w:rsid w:val="00046239"/>
    <w:rsid w:val="00053000"/>
    <w:rsid w:val="00070945"/>
    <w:rsid w:val="00072CD8"/>
    <w:rsid w:val="00075A38"/>
    <w:rsid w:val="0009014D"/>
    <w:rsid w:val="00097925"/>
    <w:rsid w:val="000A11DA"/>
    <w:rsid w:val="000A79BC"/>
    <w:rsid w:val="000B21D3"/>
    <w:rsid w:val="000B6241"/>
    <w:rsid w:val="000B632C"/>
    <w:rsid w:val="000C0782"/>
    <w:rsid w:val="000C2E0A"/>
    <w:rsid w:val="000D2847"/>
    <w:rsid w:val="000E0E97"/>
    <w:rsid w:val="000E4571"/>
    <w:rsid w:val="00101F8E"/>
    <w:rsid w:val="00124FDD"/>
    <w:rsid w:val="00127DAD"/>
    <w:rsid w:val="00134C7A"/>
    <w:rsid w:val="00147DBE"/>
    <w:rsid w:val="001524A1"/>
    <w:rsid w:val="00153EE8"/>
    <w:rsid w:val="00187AC8"/>
    <w:rsid w:val="00187FEB"/>
    <w:rsid w:val="001923E6"/>
    <w:rsid w:val="001948CF"/>
    <w:rsid w:val="001A6866"/>
    <w:rsid w:val="001B133A"/>
    <w:rsid w:val="001C215C"/>
    <w:rsid w:val="001D1331"/>
    <w:rsid w:val="001E1DEE"/>
    <w:rsid w:val="001E3F9E"/>
    <w:rsid w:val="001E6562"/>
    <w:rsid w:val="0020264E"/>
    <w:rsid w:val="00205671"/>
    <w:rsid w:val="00210335"/>
    <w:rsid w:val="00212BA0"/>
    <w:rsid w:val="00217EB1"/>
    <w:rsid w:val="00227183"/>
    <w:rsid w:val="002345D5"/>
    <w:rsid w:val="00235282"/>
    <w:rsid w:val="0026183D"/>
    <w:rsid w:val="002632DB"/>
    <w:rsid w:val="0027540E"/>
    <w:rsid w:val="00276874"/>
    <w:rsid w:val="00284562"/>
    <w:rsid w:val="00284E5D"/>
    <w:rsid w:val="002917E3"/>
    <w:rsid w:val="00292081"/>
    <w:rsid w:val="002B16C4"/>
    <w:rsid w:val="002B1BA6"/>
    <w:rsid w:val="002B2E67"/>
    <w:rsid w:val="002B5ED1"/>
    <w:rsid w:val="002C05EB"/>
    <w:rsid w:val="002C1E79"/>
    <w:rsid w:val="002C6CCE"/>
    <w:rsid w:val="002D1832"/>
    <w:rsid w:val="002F2B33"/>
    <w:rsid w:val="0030349F"/>
    <w:rsid w:val="00310D00"/>
    <w:rsid w:val="00320131"/>
    <w:rsid w:val="0032640F"/>
    <w:rsid w:val="00327270"/>
    <w:rsid w:val="00346A84"/>
    <w:rsid w:val="00350605"/>
    <w:rsid w:val="00370BB1"/>
    <w:rsid w:val="00382A3F"/>
    <w:rsid w:val="003A07A0"/>
    <w:rsid w:val="003A10DC"/>
    <w:rsid w:val="003A38E9"/>
    <w:rsid w:val="003A6D2E"/>
    <w:rsid w:val="003B0A0E"/>
    <w:rsid w:val="003D52C7"/>
    <w:rsid w:val="003E0D4B"/>
    <w:rsid w:val="003E2B43"/>
    <w:rsid w:val="003F04A7"/>
    <w:rsid w:val="003F590F"/>
    <w:rsid w:val="003F7D95"/>
    <w:rsid w:val="0040166E"/>
    <w:rsid w:val="00410252"/>
    <w:rsid w:val="00415A75"/>
    <w:rsid w:val="00426C03"/>
    <w:rsid w:val="00441A58"/>
    <w:rsid w:val="004453BF"/>
    <w:rsid w:val="004465DB"/>
    <w:rsid w:val="0045347A"/>
    <w:rsid w:val="00454C47"/>
    <w:rsid w:val="004619C8"/>
    <w:rsid w:val="004641A0"/>
    <w:rsid w:val="00481864"/>
    <w:rsid w:val="0049464F"/>
    <w:rsid w:val="00496F1C"/>
    <w:rsid w:val="004A3F7F"/>
    <w:rsid w:val="004B4FD6"/>
    <w:rsid w:val="004B6CB3"/>
    <w:rsid w:val="004B7DBF"/>
    <w:rsid w:val="004C1F29"/>
    <w:rsid w:val="004C213D"/>
    <w:rsid w:val="004C58EB"/>
    <w:rsid w:val="004D21C5"/>
    <w:rsid w:val="004D7E79"/>
    <w:rsid w:val="004E302A"/>
    <w:rsid w:val="005133B6"/>
    <w:rsid w:val="005156C8"/>
    <w:rsid w:val="00523F31"/>
    <w:rsid w:val="00525CC8"/>
    <w:rsid w:val="0053081C"/>
    <w:rsid w:val="00561983"/>
    <w:rsid w:val="00561D3D"/>
    <w:rsid w:val="00583083"/>
    <w:rsid w:val="005913A0"/>
    <w:rsid w:val="005932E0"/>
    <w:rsid w:val="00595163"/>
    <w:rsid w:val="00596EB1"/>
    <w:rsid w:val="00597FA1"/>
    <w:rsid w:val="005A7B3E"/>
    <w:rsid w:val="005B02A6"/>
    <w:rsid w:val="005B3E43"/>
    <w:rsid w:val="005B627B"/>
    <w:rsid w:val="005C45CE"/>
    <w:rsid w:val="005D0516"/>
    <w:rsid w:val="005D7BBB"/>
    <w:rsid w:val="005F2618"/>
    <w:rsid w:val="005F72FF"/>
    <w:rsid w:val="00601913"/>
    <w:rsid w:val="00604EC9"/>
    <w:rsid w:val="00605333"/>
    <w:rsid w:val="0061292D"/>
    <w:rsid w:val="00623358"/>
    <w:rsid w:val="00627C4E"/>
    <w:rsid w:val="00644F2D"/>
    <w:rsid w:val="0066312B"/>
    <w:rsid w:val="006676F9"/>
    <w:rsid w:val="006822A6"/>
    <w:rsid w:val="00687A9A"/>
    <w:rsid w:val="006A0C04"/>
    <w:rsid w:val="006A460C"/>
    <w:rsid w:val="006A5788"/>
    <w:rsid w:val="006B19BB"/>
    <w:rsid w:val="006B20D1"/>
    <w:rsid w:val="006B2C55"/>
    <w:rsid w:val="006B3D44"/>
    <w:rsid w:val="006B7270"/>
    <w:rsid w:val="006C0C4C"/>
    <w:rsid w:val="006C3B87"/>
    <w:rsid w:val="006C49DC"/>
    <w:rsid w:val="006D45D0"/>
    <w:rsid w:val="006E4945"/>
    <w:rsid w:val="006E4F46"/>
    <w:rsid w:val="006E6735"/>
    <w:rsid w:val="006F545E"/>
    <w:rsid w:val="0070146D"/>
    <w:rsid w:val="00712F0D"/>
    <w:rsid w:val="00717F08"/>
    <w:rsid w:val="0072595B"/>
    <w:rsid w:val="007260E4"/>
    <w:rsid w:val="007324BA"/>
    <w:rsid w:val="00737026"/>
    <w:rsid w:val="00747137"/>
    <w:rsid w:val="00762BE5"/>
    <w:rsid w:val="00764C3F"/>
    <w:rsid w:val="00782DBA"/>
    <w:rsid w:val="00793E99"/>
    <w:rsid w:val="00793F4D"/>
    <w:rsid w:val="00794989"/>
    <w:rsid w:val="007A48CB"/>
    <w:rsid w:val="007A7984"/>
    <w:rsid w:val="007A7C18"/>
    <w:rsid w:val="007C1315"/>
    <w:rsid w:val="007D60D3"/>
    <w:rsid w:val="007D7216"/>
    <w:rsid w:val="007E24E7"/>
    <w:rsid w:val="007E54AE"/>
    <w:rsid w:val="007E7002"/>
    <w:rsid w:val="007E7876"/>
    <w:rsid w:val="00801A8B"/>
    <w:rsid w:val="008067CD"/>
    <w:rsid w:val="00822EC4"/>
    <w:rsid w:val="008300D7"/>
    <w:rsid w:val="00831BA6"/>
    <w:rsid w:val="0083219E"/>
    <w:rsid w:val="00834CD1"/>
    <w:rsid w:val="008418C0"/>
    <w:rsid w:val="008418CF"/>
    <w:rsid w:val="00851383"/>
    <w:rsid w:val="00853B32"/>
    <w:rsid w:val="008658CA"/>
    <w:rsid w:val="008659FB"/>
    <w:rsid w:val="00882F3D"/>
    <w:rsid w:val="008979F7"/>
    <w:rsid w:val="008A1E05"/>
    <w:rsid w:val="008B1B31"/>
    <w:rsid w:val="008B2B6D"/>
    <w:rsid w:val="008C1741"/>
    <w:rsid w:val="008C5143"/>
    <w:rsid w:val="008C6C7E"/>
    <w:rsid w:val="008E01CD"/>
    <w:rsid w:val="008E04E8"/>
    <w:rsid w:val="008E20FA"/>
    <w:rsid w:val="008E660E"/>
    <w:rsid w:val="008F1870"/>
    <w:rsid w:val="008F2F77"/>
    <w:rsid w:val="00904208"/>
    <w:rsid w:val="0090729B"/>
    <w:rsid w:val="00907A85"/>
    <w:rsid w:val="00915921"/>
    <w:rsid w:val="00922EA3"/>
    <w:rsid w:val="0093004B"/>
    <w:rsid w:val="00932E04"/>
    <w:rsid w:val="009408A5"/>
    <w:rsid w:val="00952068"/>
    <w:rsid w:val="0096200C"/>
    <w:rsid w:val="00966CD7"/>
    <w:rsid w:val="00971015"/>
    <w:rsid w:val="009821D8"/>
    <w:rsid w:val="0099160D"/>
    <w:rsid w:val="0099680B"/>
    <w:rsid w:val="009A238D"/>
    <w:rsid w:val="009A58E6"/>
    <w:rsid w:val="009A660D"/>
    <w:rsid w:val="009B6AAE"/>
    <w:rsid w:val="009E69AE"/>
    <w:rsid w:val="00A008BF"/>
    <w:rsid w:val="00A12931"/>
    <w:rsid w:val="00A179C9"/>
    <w:rsid w:val="00A23482"/>
    <w:rsid w:val="00A2383A"/>
    <w:rsid w:val="00A43129"/>
    <w:rsid w:val="00A5405F"/>
    <w:rsid w:val="00A55086"/>
    <w:rsid w:val="00A76555"/>
    <w:rsid w:val="00A854FE"/>
    <w:rsid w:val="00A97BF0"/>
    <w:rsid w:val="00AA2F3E"/>
    <w:rsid w:val="00AA6ED6"/>
    <w:rsid w:val="00AB0190"/>
    <w:rsid w:val="00AC219E"/>
    <w:rsid w:val="00AC4E27"/>
    <w:rsid w:val="00AC7188"/>
    <w:rsid w:val="00AC794B"/>
    <w:rsid w:val="00AC7FB5"/>
    <w:rsid w:val="00AD3977"/>
    <w:rsid w:val="00AD4D57"/>
    <w:rsid w:val="00AF1B32"/>
    <w:rsid w:val="00B00335"/>
    <w:rsid w:val="00B014C5"/>
    <w:rsid w:val="00B328E2"/>
    <w:rsid w:val="00B332F0"/>
    <w:rsid w:val="00B35F3B"/>
    <w:rsid w:val="00B363FF"/>
    <w:rsid w:val="00B47B54"/>
    <w:rsid w:val="00B5387F"/>
    <w:rsid w:val="00B548DA"/>
    <w:rsid w:val="00B67E18"/>
    <w:rsid w:val="00B72D2C"/>
    <w:rsid w:val="00BA0BC3"/>
    <w:rsid w:val="00BA2D92"/>
    <w:rsid w:val="00BB2C2F"/>
    <w:rsid w:val="00BB6622"/>
    <w:rsid w:val="00BD2BA6"/>
    <w:rsid w:val="00BD4062"/>
    <w:rsid w:val="00BD6377"/>
    <w:rsid w:val="00BF4353"/>
    <w:rsid w:val="00BF672F"/>
    <w:rsid w:val="00C00706"/>
    <w:rsid w:val="00C168CD"/>
    <w:rsid w:val="00C17BA5"/>
    <w:rsid w:val="00C26ADA"/>
    <w:rsid w:val="00C42322"/>
    <w:rsid w:val="00C47CB9"/>
    <w:rsid w:val="00C55E65"/>
    <w:rsid w:val="00C57B2E"/>
    <w:rsid w:val="00C813AA"/>
    <w:rsid w:val="00CA18D9"/>
    <w:rsid w:val="00CA2B4A"/>
    <w:rsid w:val="00CA7068"/>
    <w:rsid w:val="00CB3085"/>
    <w:rsid w:val="00CB5A28"/>
    <w:rsid w:val="00CC4F20"/>
    <w:rsid w:val="00CD3A64"/>
    <w:rsid w:val="00CD718B"/>
    <w:rsid w:val="00CF217F"/>
    <w:rsid w:val="00D01216"/>
    <w:rsid w:val="00D022D5"/>
    <w:rsid w:val="00D15E9C"/>
    <w:rsid w:val="00D2367B"/>
    <w:rsid w:val="00D32E9C"/>
    <w:rsid w:val="00D33FD6"/>
    <w:rsid w:val="00D441DE"/>
    <w:rsid w:val="00D47157"/>
    <w:rsid w:val="00D503C0"/>
    <w:rsid w:val="00D558CF"/>
    <w:rsid w:val="00D71E6E"/>
    <w:rsid w:val="00D758FB"/>
    <w:rsid w:val="00D77D95"/>
    <w:rsid w:val="00D84B7C"/>
    <w:rsid w:val="00D90B3B"/>
    <w:rsid w:val="00DB0EA8"/>
    <w:rsid w:val="00DC6EF4"/>
    <w:rsid w:val="00DD0206"/>
    <w:rsid w:val="00DE26E0"/>
    <w:rsid w:val="00DE2725"/>
    <w:rsid w:val="00DE37C6"/>
    <w:rsid w:val="00DE412F"/>
    <w:rsid w:val="00DE4293"/>
    <w:rsid w:val="00DE5EE7"/>
    <w:rsid w:val="00E04B66"/>
    <w:rsid w:val="00E118A1"/>
    <w:rsid w:val="00E152E4"/>
    <w:rsid w:val="00E22AB3"/>
    <w:rsid w:val="00E327FB"/>
    <w:rsid w:val="00E45230"/>
    <w:rsid w:val="00E4661C"/>
    <w:rsid w:val="00E47EF9"/>
    <w:rsid w:val="00E50B54"/>
    <w:rsid w:val="00E655F0"/>
    <w:rsid w:val="00E70494"/>
    <w:rsid w:val="00E726E1"/>
    <w:rsid w:val="00E733A3"/>
    <w:rsid w:val="00E76DC9"/>
    <w:rsid w:val="00E82EB6"/>
    <w:rsid w:val="00E842DE"/>
    <w:rsid w:val="00E90666"/>
    <w:rsid w:val="00EA1D18"/>
    <w:rsid w:val="00EA408A"/>
    <w:rsid w:val="00EC157A"/>
    <w:rsid w:val="00EC1FB2"/>
    <w:rsid w:val="00ED0610"/>
    <w:rsid w:val="00ED2191"/>
    <w:rsid w:val="00EE32AB"/>
    <w:rsid w:val="00EF4624"/>
    <w:rsid w:val="00EF76C2"/>
    <w:rsid w:val="00F04C5D"/>
    <w:rsid w:val="00F109E2"/>
    <w:rsid w:val="00F303B9"/>
    <w:rsid w:val="00F32DAC"/>
    <w:rsid w:val="00F33C26"/>
    <w:rsid w:val="00F43E73"/>
    <w:rsid w:val="00F52A19"/>
    <w:rsid w:val="00F643BE"/>
    <w:rsid w:val="00F66B34"/>
    <w:rsid w:val="00F728FD"/>
    <w:rsid w:val="00F73338"/>
    <w:rsid w:val="00F771A4"/>
    <w:rsid w:val="00F806C0"/>
    <w:rsid w:val="00F832B9"/>
    <w:rsid w:val="00FA455A"/>
    <w:rsid w:val="00FA49EE"/>
    <w:rsid w:val="00FA56D5"/>
    <w:rsid w:val="00FA59B2"/>
    <w:rsid w:val="00FA5C69"/>
    <w:rsid w:val="00FB2B31"/>
    <w:rsid w:val="00FE5C6D"/>
    <w:rsid w:val="00FF0668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6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46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6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2017-11-15T19:56:00Z</cp:lastPrinted>
  <dcterms:created xsi:type="dcterms:W3CDTF">2017-11-15T19:56:00Z</dcterms:created>
  <dcterms:modified xsi:type="dcterms:W3CDTF">2017-11-15T20:10:00Z</dcterms:modified>
</cp:coreProperties>
</file>