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FD932" w14:textId="77777777" w:rsidR="0033035C" w:rsidRDefault="003B600C" w:rsidP="0033035C">
      <w:pPr>
        <w:pStyle w:val="Ttulo1"/>
        <w:spacing w:before="0" w:line="480" w:lineRule="auto"/>
        <w:ind w:left="2268" w:right="2174"/>
        <w:jc w:val="center"/>
        <w:rPr>
          <w:rFonts w:ascii="ITC Avant Garde" w:hAnsi="ITC Avant Garde"/>
          <w:b/>
          <w:color w:val="000000" w:themeColor="text1"/>
          <w:sz w:val="22"/>
          <w:szCs w:val="22"/>
        </w:rPr>
      </w:pPr>
      <w:r w:rsidRPr="0033035C">
        <w:rPr>
          <w:rFonts w:ascii="ITC Avant Garde" w:hAnsi="ITC Avant Garde"/>
          <w:b/>
          <w:color w:val="000000" w:themeColor="text1"/>
          <w:sz w:val="22"/>
          <w:szCs w:val="22"/>
        </w:rPr>
        <w:t>I</w:t>
      </w:r>
      <w:r w:rsidR="00D05D9E" w:rsidRPr="0033035C">
        <w:rPr>
          <w:rFonts w:ascii="ITC Avant Garde" w:hAnsi="ITC Avant Garde"/>
          <w:b/>
          <w:color w:val="000000" w:themeColor="text1"/>
          <w:sz w:val="22"/>
          <w:szCs w:val="22"/>
        </w:rPr>
        <w:t>I</w:t>
      </w:r>
      <w:r w:rsidR="0033035C">
        <w:rPr>
          <w:rFonts w:ascii="ITC Avant Garde" w:hAnsi="ITC Avant Garde"/>
          <w:b/>
          <w:color w:val="000000" w:themeColor="text1"/>
          <w:sz w:val="22"/>
          <w:szCs w:val="22"/>
        </w:rPr>
        <w:t xml:space="preserve"> </w:t>
      </w:r>
      <w:r w:rsidR="00E733A3" w:rsidRPr="0033035C">
        <w:rPr>
          <w:rFonts w:ascii="ITC Avant Garde" w:hAnsi="ITC Avant Garde"/>
          <w:b/>
          <w:color w:val="000000" w:themeColor="text1"/>
          <w:sz w:val="22"/>
          <w:szCs w:val="22"/>
        </w:rPr>
        <w:t>SESIÓN ORDINARIA DEL</w:t>
      </w:r>
      <w:r w:rsidR="0033035C">
        <w:rPr>
          <w:rFonts w:ascii="ITC Avant Garde" w:hAnsi="ITC Avant Garde"/>
          <w:b/>
          <w:color w:val="000000" w:themeColor="text1"/>
          <w:sz w:val="22"/>
          <w:szCs w:val="22"/>
        </w:rPr>
        <w:t xml:space="preserve"> </w:t>
      </w:r>
      <w:r w:rsidR="00E733A3" w:rsidRPr="0033035C">
        <w:rPr>
          <w:rFonts w:ascii="ITC Avant Garde" w:hAnsi="ITC Avant Garde"/>
          <w:b/>
          <w:color w:val="000000" w:themeColor="text1"/>
          <w:sz w:val="22"/>
          <w:szCs w:val="22"/>
        </w:rPr>
        <w:t>PLENO</w:t>
      </w:r>
      <w:r w:rsidR="0033035C">
        <w:rPr>
          <w:rFonts w:ascii="ITC Avant Garde" w:hAnsi="ITC Avant Garde"/>
          <w:b/>
          <w:color w:val="000000" w:themeColor="text1"/>
          <w:sz w:val="22"/>
          <w:szCs w:val="22"/>
        </w:rPr>
        <w:t xml:space="preserve"> </w:t>
      </w:r>
      <w:r w:rsidR="00E733A3" w:rsidRPr="0033035C">
        <w:rPr>
          <w:rFonts w:ascii="ITC Avant Garde" w:hAnsi="ITC Avant Garde"/>
          <w:b/>
          <w:color w:val="000000" w:themeColor="text1"/>
          <w:sz w:val="22"/>
          <w:szCs w:val="22"/>
        </w:rPr>
        <w:t>DEL</w:t>
      </w:r>
      <w:r w:rsidR="0033035C">
        <w:rPr>
          <w:rFonts w:ascii="ITC Avant Garde" w:hAnsi="ITC Avant Garde"/>
          <w:b/>
          <w:color w:val="000000" w:themeColor="text1"/>
          <w:sz w:val="22"/>
          <w:szCs w:val="22"/>
        </w:rPr>
        <w:t xml:space="preserve"> </w:t>
      </w:r>
    </w:p>
    <w:p w14:paraId="2C4E711C" w14:textId="77777777" w:rsidR="0033035C" w:rsidRDefault="00E733A3" w:rsidP="0033035C">
      <w:pPr>
        <w:pStyle w:val="Ttulo1"/>
        <w:spacing w:before="0" w:line="480" w:lineRule="auto"/>
        <w:ind w:left="2268" w:right="2174"/>
        <w:jc w:val="center"/>
        <w:rPr>
          <w:rFonts w:ascii="ITC Avant Garde" w:hAnsi="ITC Avant Garde"/>
          <w:b/>
          <w:color w:val="000000" w:themeColor="text1"/>
          <w:sz w:val="22"/>
          <w:szCs w:val="22"/>
        </w:rPr>
      </w:pPr>
      <w:r w:rsidRPr="0033035C">
        <w:rPr>
          <w:rFonts w:ascii="ITC Avant Garde" w:hAnsi="ITC Avant Garde"/>
          <w:b/>
          <w:color w:val="000000" w:themeColor="text1"/>
          <w:sz w:val="22"/>
          <w:szCs w:val="22"/>
        </w:rPr>
        <w:t>INSTITUTO FEDERAL DE TELECOMUNICACI</w:t>
      </w:r>
      <w:bookmarkStart w:id="0" w:name="_GoBack"/>
      <w:bookmarkEnd w:id="0"/>
      <w:r w:rsidRPr="0033035C">
        <w:rPr>
          <w:rFonts w:ascii="ITC Avant Garde" w:hAnsi="ITC Avant Garde"/>
          <w:b/>
          <w:color w:val="000000" w:themeColor="text1"/>
          <w:sz w:val="22"/>
          <w:szCs w:val="22"/>
        </w:rPr>
        <w:t>ONES</w:t>
      </w:r>
    </w:p>
    <w:p w14:paraId="483BEDDA" w14:textId="77E83255" w:rsidR="0033035C" w:rsidRPr="0033035C" w:rsidRDefault="003B600C" w:rsidP="0033035C">
      <w:pPr>
        <w:pStyle w:val="Ttulo1"/>
        <w:spacing w:before="0" w:line="480" w:lineRule="auto"/>
        <w:ind w:left="2268" w:right="2172"/>
        <w:jc w:val="center"/>
        <w:rPr>
          <w:rFonts w:ascii="ITC Avant Garde" w:hAnsi="ITC Avant Garde"/>
          <w:b/>
          <w:color w:val="000000" w:themeColor="text1"/>
          <w:sz w:val="22"/>
          <w:szCs w:val="22"/>
        </w:rPr>
      </w:pPr>
      <w:r w:rsidRPr="0033035C">
        <w:rPr>
          <w:rFonts w:ascii="ITC Avant Garde" w:hAnsi="ITC Avant Garde"/>
          <w:b/>
          <w:color w:val="000000" w:themeColor="text1"/>
          <w:sz w:val="22"/>
          <w:szCs w:val="22"/>
        </w:rPr>
        <w:t>24</w:t>
      </w:r>
      <w:r w:rsidR="00676D94" w:rsidRPr="0033035C">
        <w:rPr>
          <w:rFonts w:ascii="ITC Avant Garde" w:hAnsi="ITC Avant Garde"/>
          <w:b/>
          <w:color w:val="000000" w:themeColor="text1"/>
          <w:sz w:val="22"/>
          <w:szCs w:val="22"/>
        </w:rPr>
        <w:t xml:space="preserve"> DE ENERO DE 2018</w:t>
      </w:r>
    </w:p>
    <w:p w14:paraId="0344BD7D" w14:textId="77777777" w:rsidR="0033035C" w:rsidRPr="0033035C" w:rsidRDefault="00E733A3" w:rsidP="0033035C">
      <w:pPr>
        <w:pStyle w:val="Ttulo2"/>
        <w:spacing w:before="0" w:line="480" w:lineRule="auto"/>
        <w:jc w:val="center"/>
        <w:rPr>
          <w:rFonts w:ascii="ITC Avant Garde" w:eastAsia="Times New Roman" w:hAnsi="ITC Avant Garde"/>
          <w:b/>
          <w:color w:val="000000" w:themeColor="text1"/>
          <w:sz w:val="22"/>
          <w:szCs w:val="22"/>
          <w:u w:val="single"/>
          <w:lang w:val="es-ES_tradnl" w:eastAsia="es-ES"/>
        </w:rPr>
      </w:pPr>
      <w:r w:rsidRPr="0033035C">
        <w:rPr>
          <w:rFonts w:ascii="ITC Avant Garde" w:eastAsia="Times New Roman" w:hAnsi="ITC Avant Garde"/>
          <w:b/>
          <w:color w:val="000000" w:themeColor="text1"/>
          <w:sz w:val="22"/>
          <w:szCs w:val="22"/>
          <w:u w:val="single"/>
          <w:lang w:val="es-ES_tradnl" w:eastAsia="es-ES"/>
        </w:rPr>
        <w:t>ORDEN DEL DÍA</w:t>
      </w:r>
    </w:p>
    <w:p w14:paraId="75C7F61B" w14:textId="77777777" w:rsidR="0033035C" w:rsidRPr="0033035C" w:rsidRDefault="00E733A3" w:rsidP="0033035C">
      <w:pPr>
        <w:pStyle w:val="Ttulo2"/>
        <w:spacing w:after="240"/>
        <w:rPr>
          <w:rFonts w:ascii="ITC Avant Garde" w:hAnsi="ITC Avant Garde"/>
          <w:b/>
          <w:color w:val="000000" w:themeColor="text1"/>
          <w:sz w:val="22"/>
          <w:szCs w:val="22"/>
        </w:rPr>
      </w:pPr>
      <w:r w:rsidRPr="0033035C">
        <w:rPr>
          <w:rFonts w:ascii="ITC Avant Garde" w:hAnsi="ITC Avant Garde"/>
          <w:b/>
          <w:color w:val="000000" w:themeColor="text1"/>
          <w:sz w:val="22"/>
          <w:szCs w:val="22"/>
        </w:rPr>
        <w:t xml:space="preserve">I.- VERIFICACIÓN DEL QUÓRUM. </w:t>
      </w:r>
    </w:p>
    <w:p w14:paraId="1D6DFDC9" w14:textId="77777777" w:rsidR="0033035C" w:rsidRPr="0033035C" w:rsidRDefault="00E733A3" w:rsidP="0033035C">
      <w:pPr>
        <w:pStyle w:val="Ttulo2"/>
        <w:spacing w:after="240"/>
        <w:rPr>
          <w:rFonts w:ascii="ITC Avant Garde" w:hAnsi="ITC Avant Garde"/>
          <w:b/>
          <w:color w:val="000000" w:themeColor="text1"/>
          <w:sz w:val="22"/>
          <w:szCs w:val="22"/>
        </w:rPr>
      </w:pPr>
      <w:r w:rsidRPr="0033035C">
        <w:rPr>
          <w:rFonts w:ascii="ITC Avant Garde" w:hAnsi="ITC Avant Garde"/>
          <w:b/>
          <w:color w:val="000000" w:themeColor="text1"/>
          <w:sz w:val="22"/>
          <w:szCs w:val="22"/>
        </w:rPr>
        <w:t>II.- APROBACIÓN DEL ORDEN DEL DÍA.</w:t>
      </w:r>
    </w:p>
    <w:p w14:paraId="6ABBFDBE" w14:textId="77777777" w:rsidR="0033035C" w:rsidRPr="0033035C" w:rsidRDefault="00E733A3" w:rsidP="0033035C">
      <w:pPr>
        <w:pStyle w:val="Ttulo2"/>
        <w:spacing w:after="240"/>
        <w:rPr>
          <w:rFonts w:ascii="ITC Avant Garde" w:hAnsi="ITC Avant Garde"/>
          <w:b/>
          <w:color w:val="000000" w:themeColor="text1"/>
          <w:sz w:val="22"/>
          <w:szCs w:val="22"/>
        </w:rPr>
      </w:pPr>
      <w:r w:rsidRPr="0033035C">
        <w:rPr>
          <w:rFonts w:ascii="ITC Avant Garde" w:hAnsi="ITC Avant Garde"/>
          <w:b/>
          <w:color w:val="000000" w:themeColor="text1"/>
          <w:sz w:val="22"/>
          <w:szCs w:val="22"/>
        </w:rPr>
        <w:t>III.- ASUNTO</w:t>
      </w:r>
      <w:r w:rsidR="004B6CB3" w:rsidRPr="0033035C">
        <w:rPr>
          <w:rFonts w:ascii="ITC Avant Garde" w:hAnsi="ITC Avant Garde"/>
          <w:b/>
          <w:color w:val="000000" w:themeColor="text1"/>
          <w:sz w:val="22"/>
          <w:szCs w:val="22"/>
        </w:rPr>
        <w:t>S</w:t>
      </w:r>
      <w:r w:rsidRPr="0033035C">
        <w:rPr>
          <w:rFonts w:ascii="ITC Avant Garde" w:hAnsi="ITC Avant Garde"/>
          <w:b/>
          <w:color w:val="000000" w:themeColor="text1"/>
          <w:sz w:val="22"/>
          <w:szCs w:val="22"/>
        </w:rPr>
        <w:t xml:space="preserve"> QUE SE SOMETE</w:t>
      </w:r>
      <w:r w:rsidR="004B6CB3" w:rsidRPr="0033035C">
        <w:rPr>
          <w:rFonts w:ascii="ITC Avant Garde" w:hAnsi="ITC Avant Garde"/>
          <w:b/>
          <w:color w:val="000000" w:themeColor="text1"/>
          <w:sz w:val="22"/>
          <w:szCs w:val="22"/>
        </w:rPr>
        <w:t>N</w:t>
      </w:r>
      <w:r w:rsidRPr="0033035C">
        <w:rPr>
          <w:rFonts w:ascii="ITC Avant Garde" w:hAnsi="ITC Avant Garde"/>
          <w:b/>
          <w:color w:val="000000" w:themeColor="text1"/>
          <w:sz w:val="22"/>
          <w:szCs w:val="22"/>
        </w:rPr>
        <w:t xml:space="preserve"> A CONSIDERACIÓN DEL PLENO.</w:t>
      </w:r>
    </w:p>
    <w:p w14:paraId="71B30E30" w14:textId="1FADD473" w:rsidR="009E3128" w:rsidRDefault="00320131" w:rsidP="006F66E3">
      <w:pPr>
        <w:spacing w:after="0" w:line="240" w:lineRule="auto"/>
        <w:ind w:right="49"/>
        <w:jc w:val="both"/>
        <w:rPr>
          <w:rFonts w:ascii="ITC Avant Garde" w:eastAsia="Times New Roman" w:hAnsi="ITC Avant Garde" w:cs="Times New Roman"/>
          <w:lang w:val="es-ES"/>
        </w:rPr>
      </w:pPr>
      <w:r w:rsidRPr="007D54ED">
        <w:rPr>
          <w:rFonts w:ascii="ITC Avant Garde" w:eastAsia="Times New Roman" w:hAnsi="ITC Avant Garde" w:cs="Times New Roman"/>
          <w:b/>
          <w:lang w:val="es-ES"/>
        </w:rPr>
        <w:t>III.1.-</w:t>
      </w:r>
      <w:r w:rsidR="000D3E1E" w:rsidRPr="007D54ED">
        <w:rPr>
          <w:rFonts w:ascii="ITC Avant Garde" w:eastAsia="Times New Roman" w:hAnsi="ITC Avant Garde" w:cs="Times New Roman"/>
          <w:b/>
          <w:lang w:val="es-ES"/>
        </w:rPr>
        <w:t xml:space="preserve"> </w:t>
      </w:r>
      <w:r w:rsidR="00A9010F" w:rsidRPr="00A9010F">
        <w:rPr>
          <w:rFonts w:ascii="ITC Avant Garde" w:eastAsia="Times New Roman" w:hAnsi="ITC Avant Garde" w:cs="Times New Roman"/>
          <w:lang w:val="es-ES"/>
        </w:rPr>
        <w:t xml:space="preserve">Acuerdo mediante el cual el Pleno del Instituto Federal de Telecomunicaciones aprueba las Actas de la </w:t>
      </w:r>
      <w:r w:rsidR="007D1705">
        <w:rPr>
          <w:rFonts w:ascii="ITC Avant Garde" w:eastAsia="Times New Roman" w:hAnsi="ITC Avant Garde" w:cs="Times New Roman"/>
          <w:lang w:val="es-ES"/>
        </w:rPr>
        <w:t xml:space="preserve">XLIII, XLIV, XLV, XLVI, XLVII, XLVIII, XLIX y L </w:t>
      </w:r>
      <w:r w:rsidR="00A9010F" w:rsidRPr="00A9010F">
        <w:rPr>
          <w:rFonts w:ascii="ITC Avant Garde" w:eastAsia="Times New Roman" w:hAnsi="ITC Avant Garde" w:cs="Times New Roman"/>
          <w:lang w:val="es-ES"/>
        </w:rPr>
        <w:t xml:space="preserve">Sesiones Ordinarias, celebradas el </w:t>
      </w:r>
      <w:r w:rsidR="007D1705">
        <w:rPr>
          <w:rFonts w:ascii="ITC Avant Garde" w:eastAsia="Times New Roman" w:hAnsi="ITC Avant Garde" w:cs="Times New Roman"/>
          <w:lang w:val="es-ES"/>
        </w:rPr>
        <w:t xml:space="preserve">1, 2, 8, 10, 15, 22, 24 y 28 de noviembre </w:t>
      </w:r>
      <w:r w:rsidR="00A9010F" w:rsidRPr="00A9010F">
        <w:rPr>
          <w:rFonts w:ascii="ITC Avant Garde" w:eastAsia="Times New Roman" w:hAnsi="ITC Avant Garde" w:cs="Times New Roman"/>
          <w:lang w:val="es-ES"/>
        </w:rPr>
        <w:t>de 2017, respectivamente; así como de la</w:t>
      </w:r>
      <w:r w:rsidR="007D1705">
        <w:rPr>
          <w:rFonts w:ascii="ITC Avant Garde" w:eastAsia="Times New Roman" w:hAnsi="ITC Avant Garde" w:cs="Times New Roman"/>
          <w:lang w:val="es-ES"/>
        </w:rPr>
        <w:t xml:space="preserve"> XXII </w:t>
      </w:r>
      <w:r w:rsidR="00A9010F" w:rsidRPr="00A9010F">
        <w:rPr>
          <w:rFonts w:ascii="ITC Avant Garde" w:eastAsia="Times New Roman" w:hAnsi="ITC Avant Garde" w:cs="Times New Roman"/>
          <w:lang w:val="es-ES"/>
        </w:rPr>
        <w:t>Sesi</w:t>
      </w:r>
      <w:r w:rsidR="007D1705">
        <w:rPr>
          <w:rFonts w:ascii="ITC Avant Garde" w:eastAsia="Times New Roman" w:hAnsi="ITC Avant Garde" w:cs="Times New Roman"/>
          <w:lang w:val="es-ES"/>
        </w:rPr>
        <w:t>ón</w:t>
      </w:r>
      <w:r w:rsidR="00A9010F" w:rsidRPr="00A9010F">
        <w:rPr>
          <w:rFonts w:ascii="ITC Avant Garde" w:eastAsia="Times New Roman" w:hAnsi="ITC Avant Garde" w:cs="Times New Roman"/>
          <w:lang w:val="es-ES"/>
        </w:rPr>
        <w:t xml:space="preserve"> Extraordinaria</w:t>
      </w:r>
      <w:r w:rsidR="007D1705">
        <w:rPr>
          <w:rFonts w:ascii="ITC Avant Garde" w:eastAsia="Times New Roman" w:hAnsi="ITC Avant Garde" w:cs="Times New Roman"/>
          <w:lang w:val="es-ES"/>
        </w:rPr>
        <w:t>, celebrada</w:t>
      </w:r>
      <w:r w:rsidR="00A9010F" w:rsidRPr="00A9010F">
        <w:rPr>
          <w:rFonts w:ascii="ITC Avant Garde" w:eastAsia="Times New Roman" w:hAnsi="ITC Avant Garde" w:cs="Times New Roman"/>
          <w:lang w:val="es-ES"/>
        </w:rPr>
        <w:t xml:space="preserve"> el </w:t>
      </w:r>
      <w:r w:rsidR="007D1705">
        <w:rPr>
          <w:rFonts w:ascii="ITC Avant Garde" w:eastAsia="Times New Roman" w:hAnsi="ITC Avant Garde" w:cs="Times New Roman"/>
          <w:lang w:val="es-ES"/>
        </w:rPr>
        <w:t>24 de noviembre de 2017.</w:t>
      </w:r>
    </w:p>
    <w:p w14:paraId="76FE7099" w14:textId="77777777" w:rsidR="0033035C" w:rsidRDefault="00A9010F" w:rsidP="0033035C">
      <w:pPr>
        <w:spacing w:line="240" w:lineRule="auto"/>
        <w:ind w:right="49"/>
        <w:jc w:val="both"/>
        <w:rPr>
          <w:rFonts w:ascii="ITC Avant Garde" w:eastAsia="Times New Roman" w:hAnsi="ITC Avant Garde" w:cs="Times New Roman"/>
          <w:b/>
          <w:i/>
          <w:lang w:val="es-ES"/>
        </w:rPr>
      </w:pPr>
      <w:r w:rsidRPr="00A9010F">
        <w:rPr>
          <w:rFonts w:ascii="ITC Avant Garde" w:eastAsia="Times New Roman" w:hAnsi="ITC Avant Garde" w:cs="Times New Roman"/>
          <w:i/>
          <w:lang w:val="es-ES"/>
        </w:rPr>
        <w:t>(Secretaría Técnica del Pleno)</w:t>
      </w:r>
    </w:p>
    <w:p w14:paraId="4D3C3D00" w14:textId="4902442E" w:rsidR="00373ACE" w:rsidRDefault="00AF006D" w:rsidP="006F66E3">
      <w:pPr>
        <w:spacing w:after="0" w:line="240" w:lineRule="auto"/>
        <w:jc w:val="both"/>
        <w:rPr>
          <w:rFonts w:ascii="ITC Avant Garde" w:hAnsi="ITC Avant Garde"/>
          <w:bCs/>
          <w:lang w:eastAsia="es-MX"/>
        </w:rPr>
      </w:pPr>
      <w:r>
        <w:rPr>
          <w:rFonts w:ascii="ITC Avant Garde" w:hAnsi="ITC Avant Garde"/>
          <w:b/>
          <w:bCs/>
          <w:lang w:eastAsia="es-MX"/>
        </w:rPr>
        <w:t xml:space="preserve">III.2.- </w:t>
      </w:r>
      <w:r w:rsidR="00373ACE" w:rsidRPr="00373ACE">
        <w:rPr>
          <w:rFonts w:ascii="ITC Avant Garde" w:hAnsi="ITC Avant Garde"/>
          <w:bCs/>
          <w:lang w:eastAsia="es-MX"/>
        </w:rPr>
        <w:t xml:space="preserve">Resolución mediante la cual el Pleno </w:t>
      </w:r>
      <w:r w:rsidR="00373ACE">
        <w:rPr>
          <w:rFonts w:ascii="ITC Avant Garde" w:hAnsi="ITC Avant Garde"/>
          <w:bCs/>
          <w:lang w:eastAsia="es-MX"/>
        </w:rPr>
        <w:t>del Instituto Federal d</w:t>
      </w:r>
      <w:r w:rsidR="00373ACE" w:rsidRPr="00373ACE">
        <w:rPr>
          <w:rFonts w:ascii="ITC Avant Garde" w:hAnsi="ITC Avant Garde"/>
          <w:bCs/>
          <w:lang w:eastAsia="es-MX"/>
        </w:rPr>
        <w:t xml:space="preserve">e Telecomunicaciones resuelve el procedimiento de supervisión con número de Expediente 2S.2S.21.1-41.0012.14, en contra de </w:t>
      </w:r>
      <w:r w:rsidR="00373ACE">
        <w:rPr>
          <w:rFonts w:ascii="ITC Avant Garde" w:hAnsi="ITC Avant Garde"/>
          <w:bCs/>
          <w:lang w:eastAsia="es-MX"/>
        </w:rPr>
        <w:t>Grupo Televisa, S.A.B. d</w:t>
      </w:r>
      <w:r w:rsidR="00373ACE" w:rsidRPr="00373ACE">
        <w:rPr>
          <w:rFonts w:ascii="ITC Avant Garde" w:hAnsi="ITC Avant Garde"/>
          <w:bCs/>
          <w:lang w:eastAsia="es-MX"/>
        </w:rPr>
        <w:t xml:space="preserve">e </w:t>
      </w:r>
      <w:r w:rsidR="00373ACE">
        <w:rPr>
          <w:rFonts w:ascii="ITC Avant Garde" w:hAnsi="ITC Avant Garde"/>
          <w:bCs/>
          <w:lang w:eastAsia="es-MX"/>
        </w:rPr>
        <w:t>C.V., Tenedora Ares, S.A.P.I., d</w:t>
      </w:r>
      <w:r w:rsidR="00373ACE" w:rsidRPr="00373ACE">
        <w:rPr>
          <w:rFonts w:ascii="ITC Avant Garde" w:hAnsi="ITC Avant Garde"/>
          <w:bCs/>
          <w:lang w:eastAsia="es-MX"/>
        </w:rPr>
        <w:t xml:space="preserve">e C.V. </w:t>
      </w:r>
      <w:r w:rsidR="00373ACE">
        <w:rPr>
          <w:rFonts w:ascii="ITC Avant Garde" w:hAnsi="ITC Avant Garde"/>
          <w:bCs/>
          <w:lang w:eastAsia="es-MX"/>
        </w:rPr>
        <w:t>y</w:t>
      </w:r>
      <w:r w:rsidR="00373ACE" w:rsidRPr="00373ACE">
        <w:rPr>
          <w:rFonts w:ascii="ITC Avant Garde" w:hAnsi="ITC Avant Garde"/>
          <w:bCs/>
          <w:lang w:eastAsia="es-MX"/>
        </w:rPr>
        <w:t xml:space="preserve"> Grupo Cable T</w:t>
      </w:r>
      <w:r w:rsidR="00373ACE">
        <w:rPr>
          <w:rFonts w:ascii="ITC Avant Garde" w:hAnsi="ITC Avant Garde"/>
          <w:bCs/>
          <w:lang w:eastAsia="es-MX"/>
        </w:rPr>
        <w:t>V</w:t>
      </w:r>
      <w:r w:rsidR="00373ACE" w:rsidRPr="00373ACE">
        <w:rPr>
          <w:rFonts w:ascii="ITC Avant Garde" w:hAnsi="ITC Avant Garde"/>
          <w:bCs/>
          <w:lang w:eastAsia="es-MX"/>
        </w:rPr>
        <w:t xml:space="preserve">, S.A. </w:t>
      </w:r>
      <w:r w:rsidR="00373ACE">
        <w:rPr>
          <w:rFonts w:ascii="ITC Avant Garde" w:hAnsi="ITC Avant Garde"/>
          <w:bCs/>
          <w:lang w:eastAsia="es-MX"/>
        </w:rPr>
        <w:t>d</w:t>
      </w:r>
      <w:r w:rsidR="00373ACE" w:rsidRPr="00373ACE">
        <w:rPr>
          <w:rFonts w:ascii="ITC Avant Garde" w:hAnsi="ITC Avant Garde"/>
          <w:bCs/>
          <w:lang w:eastAsia="es-MX"/>
        </w:rPr>
        <w:t xml:space="preserve">e C.V., por presunta violación al artículo Octavo Transitorio, Fracción I, párrafo tercero, del “Decreto por el que se reforman y adicionan diversas Disposiciones de los artículos 6º, 7º, 27, 28, 73, 78, 94 </w:t>
      </w:r>
      <w:r w:rsidR="00373ACE">
        <w:rPr>
          <w:rFonts w:ascii="ITC Avant Garde" w:hAnsi="ITC Avant Garde"/>
          <w:bCs/>
          <w:lang w:eastAsia="es-MX"/>
        </w:rPr>
        <w:t>y</w:t>
      </w:r>
      <w:r w:rsidR="00373ACE" w:rsidRPr="00373ACE">
        <w:rPr>
          <w:rFonts w:ascii="ITC Avant Garde" w:hAnsi="ITC Avant Garde"/>
          <w:bCs/>
          <w:lang w:eastAsia="es-MX"/>
        </w:rPr>
        <w:t xml:space="preserve"> 105 de la Constitución Políti</w:t>
      </w:r>
      <w:r w:rsidR="00373ACE">
        <w:rPr>
          <w:rFonts w:ascii="ITC Avant Garde" w:hAnsi="ITC Avant Garde"/>
          <w:bCs/>
          <w:lang w:eastAsia="es-MX"/>
        </w:rPr>
        <w:t>ca d</w:t>
      </w:r>
      <w:r w:rsidR="00373ACE" w:rsidRPr="00373ACE">
        <w:rPr>
          <w:rFonts w:ascii="ITC Avant Garde" w:hAnsi="ITC Avant Garde"/>
          <w:bCs/>
          <w:lang w:eastAsia="es-MX"/>
        </w:rPr>
        <w:t xml:space="preserve">e </w:t>
      </w:r>
      <w:r w:rsidR="00373ACE">
        <w:rPr>
          <w:rFonts w:ascii="ITC Avant Garde" w:hAnsi="ITC Avant Garde"/>
          <w:bCs/>
          <w:lang w:eastAsia="es-MX"/>
        </w:rPr>
        <w:t>l</w:t>
      </w:r>
      <w:r w:rsidR="00373ACE" w:rsidRPr="00373ACE">
        <w:rPr>
          <w:rFonts w:ascii="ITC Avant Garde" w:hAnsi="ITC Avant Garde"/>
          <w:bCs/>
          <w:lang w:eastAsia="es-MX"/>
        </w:rPr>
        <w:t xml:space="preserve">os Estados Unidos Mexicanos, en materia de telecomunicaciones”, y a los artículos 7 y 14 de los “Lineamientos Generales en relación con lo dispuesto por la fracción </w:t>
      </w:r>
      <w:r w:rsidR="00373ACE">
        <w:rPr>
          <w:rFonts w:ascii="ITC Avant Garde" w:hAnsi="ITC Avant Garde"/>
          <w:bCs/>
          <w:lang w:eastAsia="es-MX"/>
        </w:rPr>
        <w:t>I</w:t>
      </w:r>
      <w:r w:rsidR="00373ACE" w:rsidRPr="00373ACE">
        <w:rPr>
          <w:rFonts w:ascii="ITC Avant Garde" w:hAnsi="ITC Avant Garde"/>
          <w:bCs/>
          <w:lang w:eastAsia="es-MX"/>
        </w:rPr>
        <w:t xml:space="preserve"> del artículo </w:t>
      </w:r>
      <w:r w:rsidR="00373ACE">
        <w:rPr>
          <w:rFonts w:ascii="ITC Avant Garde" w:hAnsi="ITC Avant Garde"/>
          <w:bCs/>
          <w:lang w:eastAsia="es-MX"/>
        </w:rPr>
        <w:t>Octavo Transitorio d</w:t>
      </w:r>
      <w:r w:rsidR="00373ACE" w:rsidRPr="00373ACE">
        <w:rPr>
          <w:rFonts w:ascii="ITC Avant Garde" w:hAnsi="ITC Avant Garde"/>
          <w:bCs/>
          <w:lang w:eastAsia="es-MX"/>
        </w:rPr>
        <w:t xml:space="preserve">el “Decreto por el que se reforman y adicionan diversas Disposiciones de los artículos </w:t>
      </w:r>
      <w:r w:rsidR="00373ACE">
        <w:rPr>
          <w:rFonts w:ascii="ITC Avant Garde" w:hAnsi="ITC Avant Garde"/>
          <w:bCs/>
          <w:lang w:eastAsia="es-MX"/>
        </w:rPr>
        <w:t>6º., 7º., 27, 28, 73, 78, 94 y</w:t>
      </w:r>
      <w:r w:rsidR="00373ACE" w:rsidRPr="00373ACE">
        <w:rPr>
          <w:rFonts w:ascii="ITC Avant Garde" w:hAnsi="ITC Avant Garde"/>
          <w:bCs/>
          <w:lang w:eastAsia="es-MX"/>
        </w:rPr>
        <w:t xml:space="preserve"> 105 </w:t>
      </w:r>
      <w:r w:rsidR="00373ACE">
        <w:rPr>
          <w:rFonts w:ascii="ITC Avant Garde" w:hAnsi="ITC Avant Garde"/>
          <w:bCs/>
          <w:lang w:eastAsia="es-MX"/>
        </w:rPr>
        <w:t>de la Constitución Política d</w:t>
      </w:r>
      <w:r w:rsidR="00373ACE" w:rsidRPr="00373ACE">
        <w:rPr>
          <w:rFonts w:ascii="ITC Avant Garde" w:hAnsi="ITC Avant Garde"/>
          <w:bCs/>
          <w:lang w:eastAsia="es-MX"/>
        </w:rPr>
        <w:t xml:space="preserve">e </w:t>
      </w:r>
      <w:r w:rsidR="00373ACE">
        <w:rPr>
          <w:rFonts w:ascii="ITC Avant Garde" w:hAnsi="ITC Avant Garde"/>
          <w:bCs/>
          <w:lang w:eastAsia="es-MX"/>
        </w:rPr>
        <w:t>l</w:t>
      </w:r>
      <w:r w:rsidR="00373ACE" w:rsidRPr="00373ACE">
        <w:rPr>
          <w:rFonts w:ascii="ITC Avant Garde" w:hAnsi="ITC Avant Garde"/>
          <w:bCs/>
          <w:lang w:eastAsia="es-MX"/>
        </w:rPr>
        <w:t xml:space="preserve">os Estados Unidos Mexicanos, en materia de telecomunicaciones” respecto de la denuncia presentada ante el propio Instituto </w:t>
      </w:r>
      <w:r w:rsidR="00373ACE">
        <w:rPr>
          <w:rFonts w:ascii="ITC Avant Garde" w:hAnsi="ITC Avant Garde"/>
          <w:bCs/>
          <w:lang w:eastAsia="es-MX"/>
        </w:rPr>
        <w:t>por Comercializadora d</w:t>
      </w:r>
      <w:r w:rsidR="00373ACE" w:rsidRPr="00373ACE">
        <w:rPr>
          <w:rFonts w:ascii="ITC Avant Garde" w:hAnsi="ITC Avant Garde"/>
          <w:bCs/>
          <w:lang w:eastAsia="es-MX"/>
        </w:rPr>
        <w:t>e Frec</w:t>
      </w:r>
      <w:r w:rsidR="00373ACE">
        <w:rPr>
          <w:rFonts w:ascii="ITC Avant Garde" w:hAnsi="ITC Avant Garde"/>
          <w:bCs/>
          <w:lang w:eastAsia="es-MX"/>
        </w:rPr>
        <w:t>uencias Satelitales, S.R.L.</w:t>
      </w:r>
      <w:r w:rsidR="007D1705">
        <w:rPr>
          <w:rFonts w:ascii="ITC Avant Garde" w:hAnsi="ITC Avant Garde"/>
          <w:bCs/>
          <w:lang w:eastAsia="es-MX"/>
        </w:rPr>
        <w:t xml:space="preserve"> </w:t>
      </w:r>
      <w:r w:rsidR="00373ACE">
        <w:rPr>
          <w:rFonts w:ascii="ITC Avant Garde" w:hAnsi="ITC Avant Garde"/>
          <w:bCs/>
          <w:lang w:eastAsia="es-MX"/>
        </w:rPr>
        <w:t>d</w:t>
      </w:r>
      <w:r w:rsidR="00373ACE" w:rsidRPr="00373ACE">
        <w:rPr>
          <w:rFonts w:ascii="ITC Avant Garde" w:hAnsi="ITC Avant Garde"/>
          <w:bCs/>
          <w:lang w:eastAsia="es-MX"/>
        </w:rPr>
        <w:t>e C.V., y por tanto ordena el cierre del Expediente 2S.2S.21.1-41.0012.14.</w:t>
      </w:r>
    </w:p>
    <w:p w14:paraId="233AD56D" w14:textId="77777777" w:rsidR="0033035C" w:rsidRDefault="000D4663" w:rsidP="006F66E3">
      <w:pPr>
        <w:spacing w:after="0" w:line="240" w:lineRule="auto"/>
        <w:jc w:val="both"/>
        <w:rPr>
          <w:rFonts w:ascii="ITC Avant Garde" w:hAnsi="ITC Avant Garde"/>
          <w:bCs/>
          <w:i/>
          <w:lang w:eastAsia="es-MX"/>
        </w:rPr>
      </w:pPr>
      <w:r w:rsidRPr="000D4663">
        <w:rPr>
          <w:rFonts w:ascii="ITC Avant Garde" w:hAnsi="ITC Avant Garde"/>
          <w:bCs/>
          <w:i/>
          <w:lang w:eastAsia="es-MX"/>
        </w:rPr>
        <w:t>(Unidad de Cumplimiento)</w:t>
      </w:r>
    </w:p>
    <w:p w14:paraId="75A5F59A" w14:textId="1A32A042" w:rsidR="004E001C" w:rsidRDefault="00AF006D" w:rsidP="0033035C">
      <w:pPr>
        <w:spacing w:before="240" w:after="0" w:line="240" w:lineRule="auto"/>
        <w:jc w:val="both"/>
        <w:rPr>
          <w:rFonts w:ascii="ITC Avant Garde" w:hAnsi="ITC Avant Garde"/>
          <w:bCs/>
          <w:lang w:eastAsia="es-MX"/>
        </w:rPr>
      </w:pPr>
      <w:r>
        <w:rPr>
          <w:rFonts w:ascii="ITC Avant Garde" w:hAnsi="ITC Avant Garde"/>
          <w:b/>
          <w:bCs/>
          <w:lang w:eastAsia="es-MX"/>
        </w:rPr>
        <w:t xml:space="preserve">III.3.- </w:t>
      </w:r>
      <w:r w:rsidR="0033035C" w:rsidRPr="0033035C">
        <w:rPr>
          <w:rFonts w:ascii="ITC Avant Garde" w:hAnsi="ITC Avant Garde"/>
          <w:bCs/>
          <w:lang w:eastAsia="es-MX"/>
        </w:rPr>
        <w:t>Resolución mediante la cual el Pleno del Instituto Federal de Telecomunicaciones modifica la “Resolución mediante la cual el Pleno del Instituto Federal de Telecomunicaciones determina las condiciones de interconexión no convenidas entre Radiomóvil Dipsa, S.A. de C.V. y TV Rey de Occidente, S.A. de C.V. aplicables del 1 de enero de 2015 al 31 de diciembre de 2016”, emitida mediante Acuerdo P/IFT/120815/364 en cumplimiento a la Ejecutoria emitida por Segundo Tribunal Colegiado en Materia Administrativa Especializado en Competencia Económica, Radiodifusión y Telecomunicaciones con residencia en la Ciudad de México y Jurisdicción en toda la República correspondiente al Amparo en Revisión 16/2016.</w:t>
      </w:r>
    </w:p>
    <w:p w14:paraId="7ACC1D9C" w14:textId="77777777" w:rsidR="004E001C" w:rsidRDefault="004E001C" w:rsidP="006F66E3">
      <w:pPr>
        <w:spacing w:after="0" w:line="240" w:lineRule="auto"/>
        <w:jc w:val="both"/>
        <w:rPr>
          <w:rFonts w:ascii="ITC Avant Garde" w:hAnsi="ITC Avant Garde"/>
          <w:bCs/>
          <w:i/>
          <w:lang w:eastAsia="es-MX"/>
        </w:rPr>
      </w:pPr>
      <w:r w:rsidRPr="009C1268">
        <w:rPr>
          <w:rFonts w:ascii="ITC Avant Garde" w:hAnsi="ITC Avant Garde"/>
          <w:bCs/>
          <w:i/>
          <w:lang w:eastAsia="es-MX"/>
        </w:rPr>
        <w:t>(Unidad de Política Regulatoria)</w:t>
      </w:r>
    </w:p>
    <w:p w14:paraId="1E1CF36F" w14:textId="5711DFBF" w:rsidR="004E001C" w:rsidRPr="009C1268" w:rsidRDefault="00AF006D" w:rsidP="006F66E3">
      <w:pPr>
        <w:spacing w:after="0" w:line="240" w:lineRule="auto"/>
        <w:jc w:val="both"/>
        <w:rPr>
          <w:rFonts w:ascii="ITC Avant Garde" w:hAnsi="ITC Avant Garde"/>
          <w:bCs/>
          <w:lang w:eastAsia="es-MX"/>
        </w:rPr>
      </w:pPr>
      <w:r>
        <w:rPr>
          <w:rFonts w:ascii="ITC Avant Garde" w:hAnsi="ITC Avant Garde"/>
          <w:b/>
          <w:bCs/>
          <w:lang w:eastAsia="es-MX"/>
        </w:rPr>
        <w:lastRenderedPageBreak/>
        <w:t xml:space="preserve">III.4.- </w:t>
      </w:r>
      <w:r w:rsidR="004E001C" w:rsidRPr="009C1268">
        <w:rPr>
          <w:rFonts w:ascii="ITC Avant Garde" w:hAnsi="ITC Avant Garde"/>
          <w:bCs/>
          <w:lang w:eastAsia="es-MX"/>
        </w:rPr>
        <w:t>Resolución mediante la cual el Pleno del Instituto Federal de Telecomunicaciones, en cumplimiento a la Ejecutoria emitida por Segundo Tribunal Colegiado en Materia Administrativa Especializado en Competencia Económica, Radiodifusión y Telecomunicaciones con residencia en la Ciudad de México y Jurisdicción en toda la República correspondiente al Amparo en Revisión 17/2016, deja insubsistente el Acuerdo P/IFT/120815/361 y determina las condiciones de interconexión no convenidas entre Radiomóvil Dipsa, S.A. de C.V. y Axtel, S.A.B. de C.V. aplicables del 1 de enero de 2015 al 31 de diciembre de 2016.</w:t>
      </w:r>
    </w:p>
    <w:p w14:paraId="49F0AF38" w14:textId="77777777" w:rsidR="0033035C" w:rsidRDefault="004E001C" w:rsidP="006F66E3">
      <w:pPr>
        <w:spacing w:after="0" w:line="240" w:lineRule="auto"/>
        <w:jc w:val="both"/>
        <w:rPr>
          <w:rFonts w:ascii="ITC Avant Garde" w:hAnsi="ITC Avant Garde"/>
          <w:bCs/>
          <w:i/>
          <w:lang w:eastAsia="es-MX"/>
        </w:rPr>
      </w:pPr>
      <w:r w:rsidRPr="009C1268">
        <w:rPr>
          <w:rFonts w:ascii="ITC Avant Garde" w:hAnsi="ITC Avant Garde"/>
          <w:bCs/>
          <w:i/>
          <w:lang w:eastAsia="es-MX"/>
        </w:rPr>
        <w:t>(Unidad de Política Regulatoria)</w:t>
      </w:r>
    </w:p>
    <w:p w14:paraId="6A1749D0" w14:textId="231A7B16" w:rsidR="004E001C" w:rsidRPr="009C1268" w:rsidRDefault="00AF006D" w:rsidP="0033035C">
      <w:pPr>
        <w:spacing w:before="240" w:after="0" w:line="240" w:lineRule="auto"/>
        <w:jc w:val="both"/>
        <w:rPr>
          <w:rFonts w:ascii="ITC Avant Garde" w:hAnsi="ITC Avant Garde"/>
          <w:bCs/>
          <w:lang w:eastAsia="es-MX"/>
        </w:rPr>
      </w:pPr>
      <w:r>
        <w:rPr>
          <w:rFonts w:ascii="ITC Avant Garde" w:hAnsi="ITC Avant Garde"/>
          <w:b/>
          <w:bCs/>
          <w:lang w:eastAsia="es-MX"/>
        </w:rPr>
        <w:t xml:space="preserve">III.5.- </w:t>
      </w:r>
      <w:r w:rsidR="004E001C" w:rsidRPr="009C1268">
        <w:rPr>
          <w:rFonts w:ascii="ITC Avant Garde" w:hAnsi="ITC Avant Garde"/>
          <w:bCs/>
          <w:lang w:eastAsia="es-MX"/>
        </w:rPr>
        <w:t>Resolución mediante la cual el Pleno del Instituto Federal de Telecomunicaciones en cumplimiento a la Ejecutoria emitida por el Segundo Tribunal Colegiado en Materia Administrativa Especializado en Competencia Económica, Radiodifusión y Telecomunicaciones con residencia en la Ciudad de México y Jurisdicción en toda la República correspondiente al Amparo en Revisión 31/2016, deja insubsistente el Acuerdo P/IFT/020915/395 y determina las condiciones de interconexión no convenidas entre Teléfonos de México, S.A.B. de C.V. y Talktel, S.A. de C.V. aplicables del 1 de enero al 31 de diciembre de 2015.</w:t>
      </w:r>
    </w:p>
    <w:p w14:paraId="66E443FF" w14:textId="77777777" w:rsidR="0033035C" w:rsidRDefault="004E001C" w:rsidP="006F66E3">
      <w:pPr>
        <w:spacing w:after="0" w:line="240" w:lineRule="auto"/>
        <w:jc w:val="both"/>
        <w:rPr>
          <w:rFonts w:ascii="ITC Avant Garde" w:hAnsi="ITC Avant Garde"/>
          <w:bCs/>
          <w:i/>
          <w:lang w:eastAsia="es-MX"/>
        </w:rPr>
      </w:pPr>
      <w:r w:rsidRPr="009C1268">
        <w:rPr>
          <w:rFonts w:ascii="ITC Avant Garde" w:hAnsi="ITC Avant Garde"/>
          <w:bCs/>
          <w:i/>
          <w:lang w:eastAsia="es-MX"/>
        </w:rPr>
        <w:t>(Unidad de Política Regulatoria)</w:t>
      </w:r>
    </w:p>
    <w:p w14:paraId="2A8A26F4" w14:textId="317EC1F9" w:rsidR="004E001C" w:rsidRDefault="00AF006D" w:rsidP="0033035C">
      <w:pPr>
        <w:spacing w:before="240" w:after="0" w:line="240" w:lineRule="auto"/>
        <w:jc w:val="both"/>
        <w:rPr>
          <w:rFonts w:ascii="ITC Avant Garde" w:hAnsi="ITC Avant Garde"/>
          <w:bCs/>
          <w:lang w:eastAsia="es-MX"/>
        </w:rPr>
      </w:pPr>
      <w:r>
        <w:rPr>
          <w:rFonts w:ascii="ITC Avant Garde" w:hAnsi="ITC Avant Garde"/>
          <w:b/>
          <w:bCs/>
          <w:lang w:eastAsia="es-MX"/>
        </w:rPr>
        <w:t xml:space="preserve">III.6.- </w:t>
      </w:r>
      <w:r w:rsidR="004E001C" w:rsidRPr="00761CA0">
        <w:rPr>
          <w:rFonts w:ascii="ITC Avant Garde" w:hAnsi="ITC Avant Garde"/>
          <w:bCs/>
          <w:lang w:eastAsia="es-MX"/>
        </w:rPr>
        <w:t xml:space="preserve">Resolución mediante la cual el Pleno </w:t>
      </w:r>
      <w:r w:rsidR="004E001C">
        <w:rPr>
          <w:rFonts w:ascii="ITC Avant Garde" w:hAnsi="ITC Avant Garde"/>
          <w:bCs/>
          <w:lang w:eastAsia="es-MX"/>
        </w:rPr>
        <w:t>del Instituto Federal d</w:t>
      </w:r>
      <w:r w:rsidR="004E001C" w:rsidRPr="00761CA0">
        <w:rPr>
          <w:rFonts w:ascii="ITC Avant Garde" w:hAnsi="ITC Avant Garde"/>
          <w:bCs/>
          <w:lang w:eastAsia="es-MX"/>
        </w:rPr>
        <w:t>e Telecomunicaciones en cumplimiento a la Ejecuto</w:t>
      </w:r>
      <w:r w:rsidR="004E001C">
        <w:rPr>
          <w:rFonts w:ascii="ITC Avant Garde" w:hAnsi="ITC Avant Garde"/>
          <w:bCs/>
          <w:lang w:eastAsia="es-MX"/>
        </w:rPr>
        <w:t>ria del Amparo e</w:t>
      </w:r>
      <w:r w:rsidR="004E001C" w:rsidRPr="00761CA0">
        <w:rPr>
          <w:rFonts w:ascii="ITC Avant Garde" w:hAnsi="ITC Avant Garde"/>
          <w:bCs/>
          <w:lang w:eastAsia="es-MX"/>
        </w:rPr>
        <w:t>n Revisión R.A.</w:t>
      </w:r>
      <w:r w:rsidR="004E001C">
        <w:rPr>
          <w:rFonts w:ascii="ITC Avant Garde" w:hAnsi="ITC Avant Garde"/>
          <w:bCs/>
          <w:lang w:eastAsia="es-MX"/>
        </w:rPr>
        <w:t xml:space="preserve"> </w:t>
      </w:r>
      <w:r w:rsidR="004E001C" w:rsidRPr="00761CA0">
        <w:rPr>
          <w:rFonts w:ascii="ITC Avant Garde" w:hAnsi="ITC Avant Garde"/>
          <w:bCs/>
          <w:lang w:eastAsia="es-MX"/>
        </w:rPr>
        <w:t>166/2015 deja sin efectos la Resolución aprobada mediante Acuerdo P/IFT/EXT/280115/39</w:t>
      </w:r>
      <w:r w:rsidR="004E001C">
        <w:rPr>
          <w:rFonts w:ascii="ITC Avant Garde" w:hAnsi="ITC Avant Garde"/>
          <w:bCs/>
          <w:lang w:eastAsia="es-MX"/>
        </w:rPr>
        <w:t>.</w:t>
      </w:r>
    </w:p>
    <w:p w14:paraId="614D705B" w14:textId="77777777" w:rsidR="0033035C" w:rsidRDefault="004E001C" w:rsidP="006F66E3">
      <w:pPr>
        <w:spacing w:after="0" w:line="240" w:lineRule="auto"/>
        <w:jc w:val="both"/>
        <w:rPr>
          <w:rFonts w:ascii="ITC Avant Garde" w:hAnsi="ITC Avant Garde"/>
          <w:bCs/>
          <w:i/>
          <w:lang w:eastAsia="es-MX"/>
        </w:rPr>
      </w:pPr>
      <w:r w:rsidRPr="009C1268">
        <w:rPr>
          <w:rFonts w:ascii="ITC Avant Garde" w:hAnsi="ITC Avant Garde"/>
          <w:bCs/>
          <w:i/>
          <w:lang w:eastAsia="es-MX"/>
        </w:rPr>
        <w:t>(Unidad de Política Regulatoria)</w:t>
      </w:r>
    </w:p>
    <w:p w14:paraId="6F35E04E" w14:textId="5E1185F8" w:rsidR="00BB0E30" w:rsidRDefault="00AF006D" w:rsidP="0033035C">
      <w:pPr>
        <w:spacing w:before="240" w:after="0" w:line="240" w:lineRule="auto"/>
        <w:jc w:val="both"/>
        <w:rPr>
          <w:rFonts w:ascii="ITC Avant Garde" w:hAnsi="ITC Avant Garde"/>
          <w:bCs/>
          <w:lang w:eastAsia="es-MX"/>
        </w:rPr>
      </w:pPr>
      <w:r>
        <w:rPr>
          <w:rFonts w:ascii="ITC Avant Garde" w:hAnsi="ITC Avant Garde"/>
          <w:b/>
          <w:bCs/>
          <w:lang w:eastAsia="es-MX"/>
        </w:rPr>
        <w:t xml:space="preserve">III.7.- </w:t>
      </w:r>
      <w:r w:rsidR="00BB0E30" w:rsidRPr="00DA40C1">
        <w:rPr>
          <w:rFonts w:ascii="ITC Avant Garde" w:hAnsi="ITC Avant Garde"/>
          <w:bCs/>
          <w:lang w:eastAsia="es-MX"/>
        </w:rPr>
        <w:t xml:space="preserve">Acuerdo mediante el cual el Pleno </w:t>
      </w:r>
      <w:r w:rsidR="00BB0E30">
        <w:rPr>
          <w:rFonts w:ascii="ITC Avant Garde" w:hAnsi="ITC Avant Garde"/>
          <w:bCs/>
          <w:lang w:eastAsia="es-MX"/>
        </w:rPr>
        <w:t>del Instituto Federal d</w:t>
      </w:r>
      <w:r w:rsidR="00BB0E30" w:rsidRPr="00DA40C1">
        <w:rPr>
          <w:rFonts w:ascii="ITC Avant Garde" w:hAnsi="ITC Avant Garde"/>
          <w:bCs/>
          <w:lang w:eastAsia="es-MX"/>
        </w:rPr>
        <w:t xml:space="preserve">e Telecomunicaciones requiere a </w:t>
      </w:r>
      <w:r w:rsidR="00BB0E30">
        <w:rPr>
          <w:rFonts w:ascii="ITC Avant Garde" w:hAnsi="ITC Avant Garde"/>
          <w:bCs/>
          <w:lang w:eastAsia="es-MX"/>
        </w:rPr>
        <w:t>Altán Redes, S.A.P.I. d</w:t>
      </w:r>
      <w:r w:rsidR="00BB0E30" w:rsidRPr="00DA40C1">
        <w:rPr>
          <w:rFonts w:ascii="ITC Avant Garde" w:hAnsi="ITC Avant Garde"/>
          <w:bCs/>
          <w:lang w:eastAsia="es-MX"/>
        </w:rPr>
        <w:t xml:space="preserve">e C.V. modificar los términos y condiciones de la propuesta de Oferta </w:t>
      </w:r>
      <w:r w:rsidR="00BB0E30">
        <w:rPr>
          <w:rFonts w:ascii="ITC Avant Garde" w:hAnsi="ITC Avant Garde"/>
          <w:bCs/>
          <w:lang w:eastAsia="es-MX"/>
        </w:rPr>
        <w:t>d</w:t>
      </w:r>
      <w:r w:rsidR="00BB0E30" w:rsidRPr="00DA40C1">
        <w:rPr>
          <w:rFonts w:ascii="ITC Avant Garde" w:hAnsi="ITC Avant Garde"/>
          <w:bCs/>
          <w:lang w:eastAsia="es-MX"/>
        </w:rPr>
        <w:t>e Referencia para la prestación de servicios de telecomunicaciones.</w:t>
      </w:r>
    </w:p>
    <w:p w14:paraId="053D1383" w14:textId="77777777" w:rsidR="0033035C" w:rsidRDefault="00BB0E30" w:rsidP="006F66E3">
      <w:pPr>
        <w:spacing w:after="0" w:line="240" w:lineRule="auto"/>
        <w:jc w:val="both"/>
        <w:rPr>
          <w:rFonts w:ascii="ITC Avant Garde" w:hAnsi="ITC Avant Garde"/>
          <w:bCs/>
          <w:i/>
          <w:lang w:eastAsia="es-MX"/>
        </w:rPr>
      </w:pPr>
      <w:r w:rsidRPr="00DA40C1">
        <w:rPr>
          <w:rFonts w:ascii="ITC Avant Garde" w:hAnsi="ITC Avant Garde"/>
          <w:bCs/>
          <w:i/>
          <w:lang w:eastAsia="es-MX"/>
        </w:rPr>
        <w:t>(Unidad de Política Regulatoria)</w:t>
      </w:r>
    </w:p>
    <w:p w14:paraId="221266EE" w14:textId="72DC3729" w:rsidR="0058109A" w:rsidRDefault="00AF006D" w:rsidP="0033035C">
      <w:pPr>
        <w:spacing w:before="240" w:after="0" w:line="240" w:lineRule="auto"/>
        <w:jc w:val="both"/>
        <w:rPr>
          <w:rFonts w:ascii="ITC Avant Garde" w:hAnsi="ITC Avant Garde"/>
          <w:bCs/>
          <w:lang w:eastAsia="es-MX"/>
        </w:rPr>
      </w:pPr>
      <w:r>
        <w:rPr>
          <w:rFonts w:ascii="ITC Avant Garde" w:hAnsi="ITC Avant Garde"/>
          <w:b/>
          <w:bCs/>
          <w:lang w:eastAsia="es-MX"/>
        </w:rPr>
        <w:t xml:space="preserve">III.8.- </w:t>
      </w:r>
      <w:r w:rsidR="0058109A" w:rsidRPr="0058109A">
        <w:rPr>
          <w:rFonts w:ascii="ITC Avant Garde" w:hAnsi="ITC Avant Garde"/>
          <w:bCs/>
          <w:lang w:eastAsia="es-MX"/>
        </w:rPr>
        <w:t xml:space="preserve">Resolución mediante la cual el </w:t>
      </w:r>
      <w:r w:rsidR="0058109A">
        <w:rPr>
          <w:rFonts w:ascii="ITC Avant Garde" w:hAnsi="ITC Avant Garde"/>
          <w:bCs/>
          <w:lang w:eastAsia="es-MX"/>
        </w:rPr>
        <w:t>Pleno del Instituto Federal d</w:t>
      </w:r>
      <w:r w:rsidR="0058109A" w:rsidRPr="0058109A">
        <w:rPr>
          <w:rFonts w:ascii="ITC Avant Garde" w:hAnsi="ITC Avant Garde"/>
          <w:bCs/>
          <w:lang w:eastAsia="es-MX"/>
        </w:rPr>
        <w:t xml:space="preserve">e Telecomunicaciones autoriza la enajenación de acciones de la empresa </w:t>
      </w:r>
      <w:r w:rsidR="0058109A">
        <w:rPr>
          <w:rFonts w:ascii="ITC Avant Garde" w:hAnsi="ITC Avant Garde"/>
          <w:bCs/>
          <w:lang w:eastAsia="es-MX"/>
        </w:rPr>
        <w:t>Medios Electrónicos d</w:t>
      </w:r>
      <w:r w:rsidR="0058109A" w:rsidRPr="0058109A">
        <w:rPr>
          <w:rFonts w:ascii="ITC Avant Garde" w:hAnsi="ITC Avant Garde"/>
          <w:bCs/>
          <w:lang w:eastAsia="es-MX"/>
        </w:rPr>
        <w:t xml:space="preserve">e Valladolid, S.A. </w:t>
      </w:r>
      <w:r w:rsidR="0058109A">
        <w:rPr>
          <w:rFonts w:ascii="ITC Avant Garde" w:hAnsi="ITC Avant Garde"/>
          <w:bCs/>
          <w:lang w:eastAsia="es-MX"/>
        </w:rPr>
        <w:t>d</w:t>
      </w:r>
      <w:r w:rsidR="0058109A" w:rsidRPr="0058109A">
        <w:rPr>
          <w:rFonts w:ascii="ITC Avant Garde" w:hAnsi="ITC Avant Garde"/>
          <w:bCs/>
          <w:lang w:eastAsia="es-MX"/>
        </w:rPr>
        <w:t>e C.V., concesionaria para el uso, aprovechamiento y explotación comercial de la frecuencia</w:t>
      </w:r>
      <w:r w:rsidR="0058109A">
        <w:rPr>
          <w:rFonts w:ascii="ITC Avant Garde" w:hAnsi="ITC Avant Garde"/>
          <w:bCs/>
          <w:lang w:eastAsia="es-MX"/>
        </w:rPr>
        <w:t xml:space="preserve"> 92.7 MH</w:t>
      </w:r>
      <w:r w:rsidR="0058109A" w:rsidRPr="0058109A">
        <w:rPr>
          <w:rFonts w:ascii="ITC Avant Garde" w:hAnsi="ITC Avant Garde"/>
          <w:bCs/>
          <w:lang w:eastAsia="es-MX"/>
        </w:rPr>
        <w:t xml:space="preserve">z, con distintivo de llamada XHUM-FM </w:t>
      </w:r>
      <w:r w:rsidR="0058109A">
        <w:rPr>
          <w:rFonts w:ascii="ITC Avant Garde" w:hAnsi="ITC Avant Garde"/>
          <w:bCs/>
          <w:lang w:eastAsia="es-MX"/>
        </w:rPr>
        <w:t>e</w:t>
      </w:r>
      <w:r w:rsidR="0058109A" w:rsidRPr="0058109A">
        <w:rPr>
          <w:rFonts w:ascii="ITC Avant Garde" w:hAnsi="ITC Avant Garde"/>
          <w:bCs/>
          <w:lang w:eastAsia="es-MX"/>
        </w:rPr>
        <w:t>n Valladolid, Yucatán.</w:t>
      </w:r>
    </w:p>
    <w:p w14:paraId="24F997BE" w14:textId="77777777" w:rsidR="0033035C" w:rsidRDefault="00BB0E30" w:rsidP="006F66E3">
      <w:pPr>
        <w:spacing w:after="0" w:line="240" w:lineRule="auto"/>
        <w:jc w:val="both"/>
        <w:rPr>
          <w:rFonts w:ascii="ITC Avant Garde" w:hAnsi="ITC Avant Garde"/>
          <w:bCs/>
          <w:i/>
          <w:lang w:eastAsia="es-MX"/>
        </w:rPr>
      </w:pPr>
      <w:r w:rsidRPr="00BB0E30">
        <w:rPr>
          <w:rFonts w:ascii="ITC Avant Garde" w:hAnsi="ITC Avant Garde"/>
          <w:bCs/>
          <w:i/>
          <w:lang w:eastAsia="es-MX"/>
        </w:rPr>
        <w:t>(Unidad de Concesiones y Servicios)</w:t>
      </w:r>
    </w:p>
    <w:p w14:paraId="33674BFA" w14:textId="601D5133" w:rsidR="00676D94" w:rsidRPr="0033035C" w:rsidRDefault="00882F3D" w:rsidP="0033035C">
      <w:pPr>
        <w:pStyle w:val="Ttulo2"/>
        <w:spacing w:before="240" w:after="240"/>
        <w:jc w:val="both"/>
        <w:rPr>
          <w:rFonts w:ascii="ITC Avant Garde" w:hAnsi="ITC Avant Garde"/>
          <w:b/>
          <w:color w:val="000000" w:themeColor="text1"/>
          <w:sz w:val="22"/>
          <w:szCs w:val="22"/>
        </w:rPr>
      </w:pPr>
      <w:r w:rsidRPr="0033035C">
        <w:rPr>
          <w:rFonts w:ascii="ITC Avant Garde" w:hAnsi="ITC Avant Garde"/>
          <w:b/>
          <w:color w:val="000000" w:themeColor="text1"/>
          <w:sz w:val="22"/>
          <w:szCs w:val="22"/>
        </w:rPr>
        <w:t>IV.- ASUNTOS GENERALES.</w:t>
      </w:r>
    </w:p>
    <w:sectPr w:rsidR="00676D94" w:rsidRPr="0033035C" w:rsidSect="00277C5C">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0CE0" w14:textId="77777777" w:rsidR="00E72D08" w:rsidRDefault="00E72D08">
      <w:pPr>
        <w:spacing w:after="0" w:line="240" w:lineRule="auto"/>
      </w:pPr>
      <w:r>
        <w:separator/>
      </w:r>
    </w:p>
  </w:endnote>
  <w:endnote w:type="continuationSeparator" w:id="0">
    <w:p w14:paraId="51E6A753" w14:textId="77777777" w:rsidR="00E72D08" w:rsidRDefault="00E7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DB3E8" w14:textId="77777777" w:rsidR="00E72D08" w:rsidRDefault="00E72D08">
      <w:pPr>
        <w:spacing w:after="0" w:line="240" w:lineRule="auto"/>
      </w:pPr>
      <w:r>
        <w:separator/>
      </w:r>
    </w:p>
  </w:footnote>
  <w:footnote w:type="continuationSeparator" w:id="0">
    <w:p w14:paraId="4250FF53" w14:textId="77777777" w:rsidR="00E72D08" w:rsidRDefault="00E72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421"/>
    <w:rsid w:val="00003EDC"/>
    <w:rsid w:val="000073C8"/>
    <w:rsid w:val="0001291C"/>
    <w:rsid w:val="0001385D"/>
    <w:rsid w:val="00013F06"/>
    <w:rsid w:val="00016914"/>
    <w:rsid w:val="0001789F"/>
    <w:rsid w:val="000219EC"/>
    <w:rsid w:val="00021AFB"/>
    <w:rsid w:val="00023F98"/>
    <w:rsid w:val="00024733"/>
    <w:rsid w:val="00027AA7"/>
    <w:rsid w:val="00036FDC"/>
    <w:rsid w:val="00046239"/>
    <w:rsid w:val="00047B36"/>
    <w:rsid w:val="00050E11"/>
    <w:rsid w:val="00053000"/>
    <w:rsid w:val="00070945"/>
    <w:rsid w:val="000721CA"/>
    <w:rsid w:val="00072CD8"/>
    <w:rsid w:val="00075A38"/>
    <w:rsid w:val="0007615A"/>
    <w:rsid w:val="00080344"/>
    <w:rsid w:val="00080F82"/>
    <w:rsid w:val="0008150E"/>
    <w:rsid w:val="0009014D"/>
    <w:rsid w:val="00092B73"/>
    <w:rsid w:val="00094267"/>
    <w:rsid w:val="00094BC1"/>
    <w:rsid w:val="00097925"/>
    <w:rsid w:val="000A11DA"/>
    <w:rsid w:val="000A16A5"/>
    <w:rsid w:val="000A347C"/>
    <w:rsid w:val="000A3B82"/>
    <w:rsid w:val="000A4033"/>
    <w:rsid w:val="000A6425"/>
    <w:rsid w:val="000A79BC"/>
    <w:rsid w:val="000A7F33"/>
    <w:rsid w:val="000B0B65"/>
    <w:rsid w:val="000B21D3"/>
    <w:rsid w:val="000B6241"/>
    <w:rsid w:val="000B632C"/>
    <w:rsid w:val="000C03B7"/>
    <w:rsid w:val="000C0782"/>
    <w:rsid w:val="000C2E0A"/>
    <w:rsid w:val="000C3B45"/>
    <w:rsid w:val="000D218D"/>
    <w:rsid w:val="000D2847"/>
    <w:rsid w:val="000D38EA"/>
    <w:rsid w:val="000D3E1E"/>
    <w:rsid w:val="000D4663"/>
    <w:rsid w:val="000D699F"/>
    <w:rsid w:val="000D7F7D"/>
    <w:rsid w:val="000E04C8"/>
    <w:rsid w:val="000E0E97"/>
    <w:rsid w:val="000E4571"/>
    <w:rsid w:val="000F05DE"/>
    <w:rsid w:val="00101F8E"/>
    <w:rsid w:val="00105902"/>
    <w:rsid w:val="0011628D"/>
    <w:rsid w:val="00121D96"/>
    <w:rsid w:val="001240ED"/>
    <w:rsid w:val="00124FDD"/>
    <w:rsid w:val="00127DAD"/>
    <w:rsid w:val="0013121A"/>
    <w:rsid w:val="001330E1"/>
    <w:rsid w:val="00134C7A"/>
    <w:rsid w:val="001427EF"/>
    <w:rsid w:val="00142AEF"/>
    <w:rsid w:val="00147DBE"/>
    <w:rsid w:val="001524A1"/>
    <w:rsid w:val="00153EE8"/>
    <w:rsid w:val="00154C65"/>
    <w:rsid w:val="001560A1"/>
    <w:rsid w:val="00156CA1"/>
    <w:rsid w:val="00160D60"/>
    <w:rsid w:val="00161C86"/>
    <w:rsid w:val="001661F0"/>
    <w:rsid w:val="0016632D"/>
    <w:rsid w:val="00171845"/>
    <w:rsid w:val="001760D0"/>
    <w:rsid w:val="00181C07"/>
    <w:rsid w:val="001871C6"/>
    <w:rsid w:val="00187AC8"/>
    <w:rsid w:val="00187FEB"/>
    <w:rsid w:val="001923E6"/>
    <w:rsid w:val="00194773"/>
    <w:rsid w:val="001948CF"/>
    <w:rsid w:val="001A6866"/>
    <w:rsid w:val="001A7DAA"/>
    <w:rsid w:val="001B133A"/>
    <w:rsid w:val="001B21D0"/>
    <w:rsid w:val="001B5736"/>
    <w:rsid w:val="001C0CB9"/>
    <w:rsid w:val="001C161A"/>
    <w:rsid w:val="001C215C"/>
    <w:rsid w:val="001C2DDA"/>
    <w:rsid w:val="001C327E"/>
    <w:rsid w:val="001C56F1"/>
    <w:rsid w:val="001D1331"/>
    <w:rsid w:val="001D5EF4"/>
    <w:rsid w:val="001E1DEE"/>
    <w:rsid w:val="001E225B"/>
    <w:rsid w:val="001E3F9E"/>
    <w:rsid w:val="001E6562"/>
    <w:rsid w:val="001E724E"/>
    <w:rsid w:val="001F24CF"/>
    <w:rsid w:val="001F4F89"/>
    <w:rsid w:val="001F6CE5"/>
    <w:rsid w:val="001F71E1"/>
    <w:rsid w:val="0020264E"/>
    <w:rsid w:val="00202CAF"/>
    <w:rsid w:val="00205671"/>
    <w:rsid w:val="00210335"/>
    <w:rsid w:val="00212BA0"/>
    <w:rsid w:val="0021625E"/>
    <w:rsid w:val="00217143"/>
    <w:rsid w:val="002171E6"/>
    <w:rsid w:val="002177AE"/>
    <w:rsid w:val="00217EB1"/>
    <w:rsid w:val="00227183"/>
    <w:rsid w:val="00231F0E"/>
    <w:rsid w:val="002345D5"/>
    <w:rsid w:val="00235282"/>
    <w:rsid w:val="00255A39"/>
    <w:rsid w:val="0026183D"/>
    <w:rsid w:val="002632DB"/>
    <w:rsid w:val="00267F7A"/>
    <w:rsid w:val="00271DEC"/>
    <w:rsid w:val="0027540E"/>
    <w:rsid w:val="00275E94"/>
    <w:rsid w:val="00276874"/>
    <w:rsid w:val="00277C5C"/>
    <w:rsid w:val="002812A0"/>
    <w:rsid w:val="00284299"/>
    <w:rsid w:val="00284381"/>
    <w:rsid w:val="00284562"/>
    <w:rsid w:val="00284E5D"/>
    <w:rsid w:val="002863EA"/>
    <w:rsid w:val="00287FA7"/>
    <w:rsid w:val="002917E3"/>
    <w:rsid w:val="00292081"/>
    <w:rsid w:val="002B00EE"/>
    <w:rsid w:val="002B0D05"/>
    <w:rsid w:val="002B16C4"/>
    <w:rsid w:val="002B16F7"/>
    <w:rsid w:val="002B1BA6"/>
    <w:rsid w:val="002B2E67"/>
    <w:rsid w:val="002B5ED1"/>
    <w:rsid w:val="002C05EB"/>
    <w:rsid w:val="002C1D58"/>
    <w:rsid w:val="002C1E79"/>
    <w:rsid w:val="002C652B"/>
    <w:rsid w:val="002C6CCE"/>
    <w:rsid w:val="002D0424"/>
    <w:rsid w:val="002D0620"/>
    <w:rsid w:val="002D1832"/>
    <w:rsid w:val="002E249A"/>
    <w:rsid w:val="002E4CBE"/>
    <w:rsid w:val="002F2B33"/>
    <w:rsid w:val="002F5140"/>
    <w:rsid w:val="002F619A"/>
    <w:rsid w:val="0030349F"/>
    <w:rsid w:val="00306457"/>
    <w:rsid w:val="00310D00"/>
    <w:rsid w:val="00312249"/>
    <w:rsid w:val="00313731"/>
    <w:rsid w:val="00316BAC"/>
    <w:rsid w:val="003174FA"/>
    <w:rsid w:val="00320131"/>
    <w:rsid w:val="0032640F"/>
    <w:rsid w:val="00327270"/>
    <w:rsid w:val="0033035C"/>
    <w:rsid w:val="003359E6"/>
    <w:rsid w:val="00342529"/>
    <w:rsid w:val="003426E3"/>
    <w:rsid w:val="00350605"/>
    <w:rsid w:val="00360675"/>
    <w:rsid w:val="00370BB1"/>
    <w:rsid w:val="00373ACE"/>
    <w:rsid w:val="003820B0"/>
    <w:rsid w:val="00382A3F"/>
    <w:rsid w:val="0038587B"/>
    <w:rsid w:val="00387962"/>
    <w:rsid w:val="00390060"/>
    <w:rsid w:val="003927C3"/>
    <w:rsid w:val="00393238"/>
    <w:rsid w:val="003938DD"/>
    <w:rsid w:val="003A0750"/>
    <w:rsid w:val="003A07A0"/>
    <w:rsid w:val="003A10DC"/>
    <w:rsid w:val="003A38E9"/>
    <w:rsid w:val="003A6D2E"/>
    <w:rsid w:val="003B0A0E"/>
    <w:rsid w:val="003B600C"/>
    <w:rsid w:val="003B7D54"/>
    <w:rsid w:val="003C3DE0"/>
    <w:rsid w:val="003D1AE6"/>
    <w:rsid w:val="003D52C7"/>
    <w:rsid w:val="003E08CA"/>
    <w:rsid w:val="003E0D4B"/>
    <w:rsid w:val="003E2B43"/>
    <w:rsid w:val="003E5324"/>
    <w:rsid w:val="003E7EEE"/>
    <w:rsid w:val="003F04A7"/>
    <w:rsid w:val="003F590F"/>
    <w:rsid w:val="003F5F25"/>
    <w:rsid w:val="003F7D95"/>
    <w:rsid w:val="003F7EBB"/>
    <w:rsid w:val="0040166E"/>
    <w:rsid w:val="0040307A"/>
    <w:rsid w:val="00406955"/>
    <w:rsid w:val="004075DC"/>
    <w:rsid w:val="00410252"/>
    <w:rsid w:val="00415A75"/>
    <w:rsid w:val="00424A68"/>
    <w:rsid w:val="00424E41"/>
    <w:rsid w:val="00425081"/>
    <w:rsid w:val="00425CFA"/>
    <w:rsid w:val="00426C03"/>
    <w:rsid w:val="00435FBC"/>
    <w:rsid w:val="00441A58"/>
    <w:rsid w:val="00444028"/>
    <w:rsid w:val="004453BF"/>
    <w:rsid w:val="004465DB"/>
    <w:rsid w:val="0045347A"/>
    <w:rsid w:val="00454C47"/>
    <w:rsid w:val="00455BD9"/>
    <w:rsid w:val="004619C8"/>
    <w:rsid w:val="004641A0"/>
    <w:rsid w:val="004730BA"/>
    <w:rsid w:val="00473C19"/>
    <w:rsid w:val="00474364"/>
    <w:rsid w:val="00480EBD"/>
    <w:rsid w:val="00481864"/>
    <w:rsid w:val="0049464F"/>
    <w:rsid w:val="00495692"/>
    <w:rsid w:val="00496F1C"/>
    <w:rsid w:val="00497C3E"/>
    <w:rsid w:val="004A3F7F"/>
    <w:rsid w:val="004A639C"/>
    <w:rsid w:val="004A7D66"/>
    <w:rsid w:val="004B4FD6"/>
    <w:rsid w:val="004B687C"/>
    <w:rsid w:val="004B6CB3"/>
    <w:rsid w:val="004B7DBF"/>
    <w:rsid w:val="004C1F29"/>
    <w:rsid w:val="004C213D"/>
    <w:rsid w:val="004C2381"/>
    <w:rsid w:val="004C58EB"/>
    <w:rsid w:val="004D21C5"/>
    <w:rsid w:val="004D61B9"/>
    <w:rsid w:val="004D6E64"/>
    <w:rsid w:val="004D7E79"/>
    <w:rsid w:val="004E001C"/>
    <w:rsid w:val="004E302A"/>
    <w:rsid w:val="004F228D"/>
    <w:rsid w:val="004F4F64"/>
    <w:rsid w:val="004F79D0"/>
    <w:rsid w:val="005035CC"/>
    <w:rsid w:val="00505158"/>
    <w:rsid w:val="00505B4F"/>
    <w:rsid w:val="00510CC1"/>
    <w:rsid w:val="00511C96"/>
    <w:rsid w:val="005133B6"/>
    <w:rsid w:val="005156C8"/>
    <w:rsid w:val="0051648E"/>
    <w:rsid w:val="00516920"/>
    <w:rsid w:val="00523F31"/>
    <w:rsid w:val="005244EE"/>
    <w:rsid w:val="00525CC8"/>
    <w:rsid w:val="00527A57"/>
    <w:rsid w:val="0053081C"/>
    <w:rsid w:val="005413DB"/>
    <w:rsid w:val="005520C5"/>
    <w:rsid w:val="0055308D"/>
    <w:rsid w:val="0055411E"/>
    <w:rsid w:val="00557E54"/>
    <w:rsid w:val="00561983"/>
    <w:rsid w:val="00561D3D"/>
    <w:rsid w:val="00562FCB"/>
    <w:rsid w:val="0056351D"/>
    <w:rsid w:val="00563774"/>
    <w:rsid w:val="0056565A"/>
    <w:rsid w:val="005658FF"/>
    <w:rsid w:val="00577D8B"/>
    <w:rsid w:val="0058109A"/>
    <w:rsid w:val="00583083"/>
    <w:rsid w:val="00586E11"/>
    <w:rsid w:val="005913A0"/>
    <w:rsid w:val="005932E0"/>
    <w:rsid w:val="00595163"/>
    <w:rsid w:val="00596EB1"/>
    <w:rsid w:val="00597C0F"/>
    <w:rsid w:val="00597FA1"/>
    <w:rsid w:val="005A3C18"/>
    <w:rsid w:val="005A4AAC"/>
    <w:rsid w:val="005A712B"/>
    <w:rsid w:val="005A7B3E"/>
    <w:rsid w:val="005B02A6"/>
    <w:rsid w:val="005B3E43"/>
    <w:rsid w:val="005B627B"/>
    <w:rsid w:val="005B6CB9"/>
    <w:rsid w:val="005C2CF1"/>
    <w:rsid w:val="005C45CE"/>
    <w:rsid w:val="005D0516"/>
    <w:rsid w:val="005D7BBB"/>
    <w:rsid w:val="005E6B80"/>
    <w:rsid w:val="005F10E9"/>
    <w:rsid w:val="005F2618"/>
    <w:rsid w:val="005F72FF"/>
    <w:rsid w:val="005F78D0"/>
    <w:rsid w:val="00601913"/>
    <w:rsid w:val="00604EC9"/>
    <w:rsid w:val="00605333"/>
    <w:rsid w:val="00612085"/>
    <w:rsid w:val="0061292D"/>
    <w:rsid w:val="00616573"/>
    <w:rsid w:val="00616AA6"/>
    <w:rsid w:val="006218E8"/>
    <w:rsid w:val="00623358"/>
    <w:rsid w:val="00627C4E"/>
    <w:rsid w:val="00634347"/>
    <w:rsid w:val="006375FF"/>
    <w:rsid w:val="00644F2D"/>
    <w:rsid w:val="00646C2A"/>
    <w:rsid w:val="00650DA3"/>
    <w:rsid w:val="00652305"/>
    <w:rsid w:val="00652B4B"/>
    <w:rsid w:val="0066312B"/>
    <w:rsid w:val="006676F9"/>
    <w:rsid w:val="006704A6"/>
    <w:rsid w:val="006746B7"/>
    <w:rsid w:val="00676D94"/>
    <w:rsid w:val="006822A6"/>
    <w:rsid w:val="006878FB"/>
    <w:rsid w:val="00687A9A"/>
    <w:rsid w:val="00690F68"/>
    <w:rsid w:val="0069295D"/>
    <w:rsid w:val="00693955"/>
    <w:rsid w:val="006A0C04"/>
    <w:rsid w:val="006A460C"/>
    <w:rsid w:val="006A5788"/>
    <w:rsid w:val="006A7F17"/>
    <w:rsid w:val="006B19BB"/>
    <w:rsid w:val="006B20D1"/>
    <w:rsid w:val="006B2314"/>
    <w:rsid w:val="006B2C55"/>
    <w:rsid w:val="006B3D44"/>
    <w:rsid w:val="006B7270"/>
    <w:rsid w:val="006B73DB"/>
    <w:rsid w:val="006C0C4C"/>
    <w:rsid w:val="006C3B87"/>
    <w:rsid w:val="006C49DC"/>
    <w:rsid w:val="006C76F6"/>
    <w:rsid w:val="006D1D8A"/>
    <w:rsid w:val="006D45D0"/>
    <w:rsid w:val="006E10E6"/>
    <w:rsid w:val="006E3093"/>
    <w:rsid w:val="006E4945"/>
    <w:rsid w:val="006E4F46"/>
    <w:rsid w:val="006E6735"/>
    <w:rsid w:val="006F074C"/>
    <w:rsid w:val="006F488E"/>
    <w:rsid w:val="006F545E"/>
    <w:rsid w:val="006F66E3"/>
    <w:rsid w:val="006F67B5"/>
    <w:rsid w:val="0070146D"/>
    <w:rsid w:val="007039B7"/>
    <w:rsid w:val="00706164"/>
    <w:rsid w:val="00711CB4"/>
    <w:rsid w:val="00712F0D"/>
    <w:rsid w:val="00715DA1"/>
    <w:rsid w:val="00717F08"/>
    <w:rsid w:val="0072595B"/>
    <w:rsid w:val="007260E4"/>
    <w:rsid w:val="007307DD"/>
    <w:rsid w:val="007324BA"/>
    <w:rsid w:val="00737026"/>
    <w:rsid w:val="00737816"/>
    <w:rsid w:val="007443D4"/>
    <w:rsid w:val="00747137"/>
    <w:rsid w:val="00753F07"/>
    <w:rsid w:val="00757538"/>
    <w:rsid w:val="00761CA0"/>
    <w:rsid w:val="00762BE5"/>
    <w:rsid w:val="0076300B"/>
    <w:rsid w:val="00764C3F"/>
    <w:rsid w:val="00765E9A"/>
    <w:rsid w:val="00766F10"/>
    <w:rsid w:val="007674B7"/>
    <w:rsid w:val="0077011F"/>
    <w:rsid w:val="007767E1"/>
    <w:rsid w:val="00781722"/>
    <w:rsid w:val="0078287C"/>
    <w:rsid w:val="00782DBA"/>
    <w:rsid w:val="0079056A"/>
    <w:rsid w:val="00793E99"/>
    <w:rsid w:val="00793F4D"/>
    <w:rsid w:val="00794989"/>
    <w:rsid w:val="007A0938"/>
    <w:rsid w:val="007A0EE2"/>
    <w:rsid w:val="007A136C"/>
    <w:rsid w:val="007A48CB"/>
    <w:rsid w:val="007A7984"/>
    <w:rsid w:val="007A7C18"/>
    <w:rsid w:val="007B0F9C"/>
    <w:rsid w:val="007C0F18"/>
    <w:rsid w:val="007C1315"/>
    <w:rsid w:val="007C2495"/>
    <w:rsid w:val="007C6DB7"/>
    <w:rsid w:val="007D1705"/>
    <w:rsid w:val="007D54ED"/>
    <w:rsid w:val="007D60D3"/>
    <w:rsid w:val="007D7216"/>
    <w:rsid w:val="007E1745"/>
    <w:rsid w:val="007E24E7"/>
    <w:rsid w:val="007E2A60"/>
    <w:rsid w:val="007E54AE"/>
    <w:rsid w:val="007E7002"/>
    <w:rsid w:val="007E7876"/>
    <w:rsid w:val="00800245"/>
    <w:rsid w:val="00801A8B"/>
    <w:rsid w:val="008037BB"/>
    <w:rsid w:val="008067CD"/>
    <w:rsid w:val="00817EE4"/>
    <w:rsid w:val="00822EC4"/>
    <w:rsid w:val="008278CE"/>
    <w:rsid w:val="008300D7"/>
    <w:rsid w:val="00831BA6"/>
    <w:rsid w:val="0083219E"/>
    <w:rsid w:val="00834825"/>
    <w:rsid w:val="00834CD1"/>
    <w:rsid w:val="008418C0"/>
    <w:rsid w:val="008418CF"/>
    <w:rsid w:val="0085069C"/>
    <w:rsid w:val="00851383"/>
    <w:rsid w:val="00853B32"/>
    <w:rsid w:val="00854C59"/>
    <w:rsid w:val="00861441"/>
    <w:rsid w:val="008658CA"/>
    <w:rsid w:val="008659FB"/>
    <w:rsid w:val="00874D1C"/>
    <w:rsid w:val="00875E1C"/>
    <w:rsid w:val="00880F3E"/>
    <w:rsid w:val="00881EB9"/>
    <w:rsid w:val="00882F3D"/>
    <w:rsid w:val="00890420"/>
    <w:rsid w:val="0089528E"/>
    <w:rsid w:val="008979F7"/>
    <w:rsid w:val="008A1E05"/>
    <w:rsid w:val="008B1B31"/>
    <w:rsid w:val="008B2B6D"/>
    <w:rsid w:val="008C1741"/>
    <w:rsid w:val="008C5143"/>
    <w:rsid w:val="008C6C7E"/>
    <w:rsid w:val="008D393D"/>
    <w:rsid w:val="008D4351"/>
    <w:rsid w:val="008D55DA"/>
    <w:rsid w:val="008E01CD"/>
    <w:rsid w:val="008E04E8"/>
    <w:rsid w:val="008E20FA"/>
    <w:rsid w:val="008E5D32"/>
    <w:rsid w:val="008E625F"/>
    <w:rsid w:val="008E660E"/>
    <w:rsid w:val="008F033B"/>
    <w:rsid w:val="008F1870"/>
    <w:rsid w:val="008F2F77"/>
    <w:rsid w:val="00902C3B"/>
    <w:rsid w:val="00904208"/>
    <w:rsid w:val="00905A3D"/>
    <w:rsid w:val="0090729B"/>
    <w:rsid w:val="00907A85"/>
    <w:rsid w:val="00914C74"/>
    <w:rsid w:val="0091566D"/>
    <w:rsid w:val="00915921"/>
    <w:rsid w:val="00922EA3"/>
    <w:rsid w:val="0093004B"/>
    <w:rsid w:val="00932E04"/>
    <w:rsid w:val="009402CF"/>
    <w:rsid w:val="009408A5"/>
    <w:rsid w:val="00943EB4"/>
    <w:rsid w:val="00944798"/>
    <w:rsid w:val="0095172D"/>
    <w:rsid w:val="00952068"/>
    <w:rsid w:val="00953EC7"/>
    <w:rsid w:val="009611F6"/>
    <w:rsid w:val="0096200C"/>
    <w:rsid w:val="00962BB6"/>
    <w:rsid w:val="009637B0"/>
    <w:rsid w:val="00966CD7"/>
    <w:rsid w:val="00971015"/>
    <w:rsid w:val="009821D8"/>
    <w:rsid w:val="0099160D"/>
    <w:rsid w:val="0099680B"/>
    <w:rsid w:val="00996BF8"/>
    <w:rsid w:val="009A238D"/>
    <w:rsid w:val="009A58E6"/>
    <w:rsid w:val="009A660D"/>
    <w:rsid w:val="009B6AAE"/>
    <w:rsid w:val="009C0221"/>
    <w:rsid w:val="009C04EB"/>
    <w:rsid w:val="009C1268"/>
    <w:rsid w:val="009C5C03"/>
    <w:rsid w:val="009D4CD0"/>
    <w:rsid w:val="009E1001"/>
    <w:rsid w:val="009E3128"/>
    <w:rsid w:val="009E6447"/>
    <w:rsid w:val="009E69AE"/>
    <w:rsid w:val="009E7A7E"/>
    <w:rsid w:val="00A008BF"/>
    <w:rsid w:val="00A0345C"/>
    <w:rsid w:val="00A12931"/>
    <w:rsid w:val="00A144C7"/>
    <w:rsid w:val="00A14C75"/>
    <w:rsid w:val="00A1573B"/>
    <w:rsid w:val="00A179C9"/>
    <w:rsid w:val="00A17F41"/>
    <w:rsid w:val="00A23482"/>
    <w:rsid w:val="00A2383A"/>
    <w:rsid w:val="00A31049"/>
    <w:rsid w:val="00A32B15"/>
    <w:rsid w:val="00A36550"/>
    <w:rsid w:val="00A40446"/>
    <w:rsid w:val="00A43129"/>
    <w:rsid w:val="00A45564"/>
    <w:rsid w:val="00A5405F"/>
    <w:rsid w:val="00A55086"/>
    <w:rsid w:val="00A70F95"/>
    <w:rsid w:val="00A76555"/>
    <w:rsid w:val="00A81E68"/>
    <w:rsid w:val="00A854FE"/>
    <w:rsid w:val="00A869BA"/>
    <w:rsid w:val="00A87CA1"/>
    <w:rsid w:val="00A9010F"/>
    <w:rsid w:val="00A96563"/>
    <w:rsid w:val="00A97BF0"/>
    <w:rsid w:val="00AA2F3E"/>
    <w:rsid w:val="00AA4DED"/>
    <w:rsid w:val="00AA5FCD"/>
    <w:rsid w:val="00AB0190"/>
    <w:rsid w:val="00AB2392"/>
    <w:rsid w:val="00AB44D6"/>
    <w:rsid w:val="00AB67FF"/>
    <w:rsid w:val="00AC1DD3"/>
    <w:rsid w:val="00AC219E"/>
    <w:rsid w:val="00AC258A"/>
    <w:rsid w:val="00AC2CE6"/>
    <w:rsid w:val="00AC4E27"/>
    <w:rsid w:val="00AC7188"/>
    <w:rsid w:val="00AC794B"/>
    <w:rsid w:val="00AC7FB5"/>
    <w:rsid w:val="00AD31FF"/>
    <w:rsid w:val="00AD3977"/>
    <w:rsid w:val="00AD4D57"/>
    <w:rsid w:val="00AE1A6B"/>
    <w:rsid w:val="00AF006D"/>
    <w:rsid w:val="00AF1B32"/>
    <w:rsid w:val="00B00335"/>
    <w:rsid w:val="00B014C5"/>
    <w:rsid w:val="00B05A49"/>
    <w:rsid w:val="00B06DFF"/>
    <w:rsid w:val="00B12610"/>
    <w:rsid w:val="00B15B6A"/>
    <w:rsid w:val="00B17632"/>
    <w:rsid w:val="00B328E2"/>
    <w:rsid w:val="00B332F0"/>
    <w:rsid w:val="00B335BD"/>
    <w:rsid w:val="00B34FEA"/>
    <w:rsid w:val="00B35F3B"/>
    <w:rsid w:val="00B363FF"/>
    <w:rsid w:val="00B37A6D"/>
    <w:rsid w:val="00B40BCF"/>
    <w:rsid w:val="00B449B8"/>
    <w:rsid w:val="00B47B54"/>
    <w:rsid w:val="00B5387F"/>
    <w:rsid w:val="00B561A9"/>
    <w:rsid w:val="00B579E7"/>
    <w:rsid w:val="00B663D7"/>
    <w:rsid w:val="00B66769"/>
    <w:rsid w:val="00B66956"/>
    <w:rsid w:val="00B67B37"/>
    <w:rsid w:val="00B67E18"/>
    <w:rsid w:val="00B7020A"/>
    <w:rsid w:val="00B72D2C"/>
    <w:rsid w:val="00B74A20"/>
    <w:rsid w:val="00B77C54"/>
    <w:rsid w:val="00B805B9"/>
    <w:rsid w:val="00B82528"/>
    <w:rsid w:val="00B92C73"/>
    <w:rsid w:val="00B97978"/>
    <w:rsid w:val="00BA0BC3"/>
    <w:rsid w:val="00BA2D92"/>
    <w:rsid w:val="00BA3900"/>
    <w:rsid w:val="00BA6ED8"/>
    <w:rsid w:val="00BB0E30"/>
    <w:rsid w:val="00BB2C2F"/>
    <w:rsid w:val="00BB6392"/>
    <w:rsid w:val="00BB6622"/>
    <w:rsid w:val="00BC5EB0"/>
    <w:rsid w:val="00BC7144"/>
    <w:rsid w:val="00BD2BA6"/>
    <w:rsid w:val="00BD4062"/>
    <w:rsid w:val="00BD5821"/>
    <w:rsid w:val="00BD6377"/>
    <w:rsid w:val="00BE05EF"/>
    <w:rsid w:val="00BE0C6B"/>
    <w:rsid w:val="00BF4353"/>
    <w:rsid w:val="00BF672F"/>
    <w:rsid w:val="00C00706"/>
    <w:rsid w:val="00C07BCA"/>
    <w:rsid w:val="00C168CD"/>
    <w:rsid w:val="00C17BA5"/>
    <w:rsid w:val="00C26ADA"/>
    <w:rsid w:val="00C34D43"/>
    <w:rsid w:val="00C41B40"/>
    <w:rsid w:val="00C42322"/>
    <w:rsid w:val="00C451CF"/>
    <w:rsid w:val="00C45BAD"/>
    <w:rsid w:val="00C47541"/>
    <w:rsid w:val="00C47608"/>
    <w:rsid w:val="00C47ADB"/>
    <w:rsid w:val="00C47CB9"/>
    <w:rsid w:val="00C55E65"/>
    <w:rsid w:val="00C57B2E"/>
    <w:rsid w:val="00C6764E"/>
    <w:rsid w:val="00C74E82"/>
    <w:rsid w:val="00C8047F"/>
    <w:rsid w:val="00C80A26"/>
    <w:rsid w:val="00C813AA"/>
    <w:rsid w:val="00C821BB"/>
    <w:rsid w:val="00C87DC4"/>
    <w:rsid w:val="00C930CC"/>
    <w:rsid w:val="00CA0021"/>
    <w:rsid w:val="00CA0ABA"/>
    <w:rsid w:val="00CA18D9"/>
    <w:rsid w:val="00CA2B4A"/>
    <w:rsid w:val="00CA5F59"/>
    <w:rsid w:val="00CA7068"/>
    <w:rsid w:val="00CB3085"/>
    <w:rsid w:val="00CB4F25"/>
    <w:rsid w:val="00CB5A28"/>
    <w:rsid w:val="00CC4F20"/>
    <w:rsid w:val="00CD3A64"/>
    <w:rsid w:val="00CD718B"/>
    <w:rsid w:val="00CE6CF5"/>
    <w:rsid w:val="00CE7E6D"/>
    <w:rsid w:val="00CF217F"/>
    <w:rsid w:val="00D01216"/>
    <w:rsid w:val="00D022D5"/>
    <w:rsid w:val="00D05D9E"/>
    <w:rsid w:val="00D117B2"/>
    <w:rsid w:val="00D15E9C"/>
    <w:rsid w:val="00D16354"/>
    <w:rsid w:val="00D16815"/>
    <w:rsid w:val="00D23442"/>
    <w:rsid w:val="00D2367B"/>
    <w:rsid w:val="00D3079C"/>
    <w:rsid w:val="00D31EDB"/>
    <w:rsid w:val="00D3289B"/>
    <w:rsid w:val="00D32E9C"/>
    <w:rsid w:val="00D33FD6"/>
    <w:rsid w:val="00D37CEF"/>
    <w:rsid w:val="00D40578"/>
    <w:rsid w:val="00D41C74"/>
    <w:rsid w:val="00D47157"/>
    <w:rsid w:val="00D503C0"/>
    <w:rsid w:val="00D526FF"/>
    <w:rsid w:val="00D558CF"/>
    <w:rsid w:val="00D60194"/>
    <w:rsid w:val="00D6789D"/>
    <w:rsid w:val="00D71E6E"/>
    <w:rsid w:val="00D74A5D"/>
    <w:rsid w:val="00D758FB"/>
    <w:rsid w:val="00D77D95"/>
    <w:rsid w:val="00D81B44"/>
    <w:rsid w:val="00D82DAC"/>
    <w:rsid w:val="00D84B7C"/>
    <w:rsid w:val="00D879C0"/>
    <w:rsid w:val="00D90B3B"/>
    <w:rsid w:val="00DA40C1"/>
    <w:rsid w:val="00DA62FD"/>
    <w:rsid w:val="00DB0EA8"/>
    <w:rsid w:val="00DB31B0"/>
    <w:rsid w:val="00DB7192"/>
    <w:rsid w:val="00DC5034"/>
    <w:rsid w:val="00DC6EF4"/>
    <w:rsid w:val="00DD0206"/>
    <w:rsid w:val="00DD6A97"/>
    <w:rsid w:val="00DD79F1"/>
    <w:rsid w:val="00DE1FFF"/>
    <w:rsid w:val="00DE26E0"/>
    <w:rsid w:val="00DE2725"/>
    <w:rsid w:val="00DE37C6"/>
    <w:rsid w:val="00DE412F"/>
    <w:rsid w:val="00DE4293"/>
    <w:rsid w:val="00DE5EE7"/>
    <w:rsid w:val="00DF21C0"/>
    <w:rsid w:val="00DF4EA1"/>
    <w:rsid w:val="00E0312A"/>
    <w:rsid w:val="00E04B66"/>
    <w:rsid w:val="00E05F36"/>
    <w:rsid w:val="00E118A1"/>
    <w:rsid w:val="00E152E4"/>
    <w:rsid w:val="00E17B89"/>
    <w:rsid w:val="00E22AB3"/>
    <w:rsid w:val="00E2359B"/>
    <w:rsid w:val="00E26CC3"/>
    <w:rsid w:val="00E327FB"/>
    <w:rsid w:val="00E45230"/>
    <w:rsid w:val="00E4661C"/>
    <w:rsid w:val="00E47EF9"/>
    <w:rsid w:val="00E50B54"/>
    <w:rsid w:val="00E519D3"/>
    <w:rsid w:val="00E655F0"/>
    <w:rsid w:val="00E70494"/>
    <w:rsid w:val="00E726E1"/>
    <w:rsid w:val="00E72D08"/>
    <w:rsid w:val="00E733A3"/>
    <w:rsid w:val="00E75F9E"/>
    <w:rsid w:val="00E76DC9"/>
    <w:rsid w:val="00E82EB6"/>
    <w:rsid w:val="00E83E2B"/>
    <w:rsid w:val="00E842DE"/>
    <w:rsid w:val="00E85CCE"/>
    <w:rsid w:val="00E90666"/>
    <w:rsid w:val="00E931D6"/>
    <w:rsid w:val="00E95B1E"/>
    <w:rsid w:val="00E96C59"/>
    <w:rsid w:val="00EA0FB6"/>
    <w:rsid w:val="00EA1D18"/>
    <w:rsid w:val="00EA408A"/>
    <w:rsid w:val="00EA5933"/>
    <w:rsid w:val="00EB4626"/>
    <w:rsid w:val="00EC157A"/>
    <w:rsid w:val="00EC1EF0"/>
    <w:rsid w:val="00EC1FB2"/>
    <w:rsid w:val="00EC44D8"/>
    <w:rsid w:val="00ED0610"/>
    <w:rsid w:val="00ED2191"/>
    <w:rsid w:val="00EE0069"/>
    <w:rsid w:val="00EE32AB"/>
    <w:rsid w:val="00EF441A"/>
    <w:rsid w:val="00EF4624"/>
    <w:rsid w:val="00EF4E67"/>
    <w:rsid w:val="00EF76C2"/>
    <w:rsid w:val="00F04C5D"/>
    <w:rsid w:val="00F109E2"/>
    <w:rsid w:val="00F15ADC"/>
    <w:rsid w:val="00F303B9"/>
    <w:rsid w:val="00F32DAC"/>
    <w:rsid w:val="00F33C26"/>
    <w:rsid w:val="00F36E39"/>
    <w:rsid w:val="00F40CEF"/>
    <w:rsid w:val="00F43E73"/>
    <w:rsid w:val="00F52A19"/>
    <w:rsid w:val="00F643BE"/>
    <w:rsid w:val="00F6587B"/>
    <w:rsid w:val="00F66B34"/>
    <w:rsid w:val="00F728FD"/>
    <w:rsid w:val="00F73338"/>
    <w:rsid w:val="00F74684"/>
    <w:rsid w:val="00F771A4"/>
    <w:rsid w:val="00F806C0"/>
    <w:rsid w:val="00F832B9"/>
    <w:rsid w:val="00FA362B"/>
    <w:rsid w:val="00FA455A"/>
    <w:rsid w:val="00FA49EE"/>
    <w:rsid w:val="00FA56D5"/>
    <w:rsid w:val="00FA59B2"/>
    <w:rsid w:val="00FA5C69"/>
    <w:rsid w:val="00FA5CED"/>
    <w:rsid w:val="00FA70EB"/>
    <w:rsid w:val="00FB2B31"/>
    <w:rsid w:val="00FC1AE3"/>
    <w:rsid w:val="00FE2A3B"/>
    <w:rsid w:val="00FE34C9"/>
    <w:rsid w:val="00FE5C6D"/>
    <w:rsid w:val="00FE7426"/>
    <w:rsid w:val="00FF0668"/>
    <w:rsid w:val="00FF3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AC"/>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303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33035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2018-01-10T23:38:00Z</cp:lastPrinted>
  <dcterms:created xsi:type="dcterms:W3CDTF">2018-01-25T23:15:00Z</dcterms:created>
  <dcterms:modified xsi:type="dcterms:W3CDTF">2018-01-25T23:15:00Z</dcterms:modified>
</cp:coreProperties>
</file>