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C56B9" w14:textId="10624E62" w:rsidR="006344BB" w:rsidRPr="007C74BF" w:rsidRDefault="00AA4E8E" w:rsidP="007C74BF">
      <w:pPr>
        <w:pStyle w:val="Ttulo1"/>
        <w:spacing w:after="240" w:line="360" w:lineRule="auto"/>
        <w:ind w:left="1843" w:right="1559"/>
        <w:jc w:val="center"/>
        <w:rPr>
          <w:rFonts w:ascii="ITC Avant Garde" w:hAnsi="ITC Avant Garde"/>
          <w:b/>
          <w:color w:val="000000" w:themeColor="text1"/>
          <w:sz w:val="24"/>
        </w:rPr>
      </w:pPr>
      <w:r w:rsidRPr="007C74BF">
        <w:rPr>
          <w:rFonts w:ascii="ITC Avant Garde" w:hAnsi="ITC Avant Garde"/>
          <w:b/>
          <w:color w:val="000000" w:themeColor="text1"/>
          <w:sz w:val="24"/>
        </w:rPr>
        <w:t>I</w:t>
      </w:r>
      <w:r w:rsidR="006344BB" w:rsidRPr="007C74BF">
        <w:rPr>
          <w:rFonts w:ascii="ITC Avant Garde" w:hAnsi="ITC Avant Garde"/>
          <w:b/>
          <w:color w:val="000000" w:themeColor="text1"/>
          <w:sz w:val="24"/>
        </w:rPr>
        <w:t xml:space="preserve"> SESIÓN ORDINARIA DEL PLENO DEL</w:t>
      </w:r>
      <w:r w:rsidR="007C74BF" w:rsidRPr="007C74BF">
        <w:rPr>
          <w:rFonts w:ascii="ITC Avant Garde" w:hAnsi="ITC Avant Garde"/>
          <w:b/>
          <w:color w:val="000000" w:themeColor="text1"/>
          <w:sz w:val="24"/>
        </w:rPr>
        <w:t xml:space="preserve"> </w:t>
      </w:r>
      <w:r w:rsidR="006344BB" w:rsidRPr="007C74BF">
        <w:rPr>
          <w:rFonts w:ascii="ITC Avant Garde" w:hAnsi="ITC Avant Garde"/>
          <w:b/>
          <w:color w:val="000000" w:themeColor="text1"/>
          <w:sz w:val="24"/>
        </w:rPr>
        <w:t>INSTITUTO FEDERAL DE TELECOMUNICACIONES</w:t>
      </w:r>
    </w:p>
    <w:p w14:paraId="6761BCBF" w14:textId="0620AC2A" w:rsidR="006344BB" w:rsidRPr="007C74BF" w:rsidRDefault="00AA4E8E" w:rsidP="007C74BF">
      <w:pPr>
        <w:pStyle w:val="Ttulo2"/>
        <w:spacing w:line="720" w:lineRule="auto"/>
        <w:jc w:val="center"/>
        <w:rPr>
          <w:rFonts w:ascii="ITC Avant Garde" w:hAnsi="ITC Avant Garde"/>
          <w:b/>
          <w:color w:val="000000" w:themeColor="text1"/>
          <w:sz w:val="24"/>
          <w:szCs w:val="24"/>
        </w:rPr>
      </w:pPr>
      <w:r w:rsidRPr="007C74BF">
        <w:rPr>
          <w:rFonts w:ascii="ITC Avant Garde" w:hAnsi="ITC Avant Garde"/>
          <w:b/>
          <w:color w:val="000000" w:themeColor="text1"/>
          <w:sz w:val="24"/>
          <w:szCs w:val="24"/>
        </w:rPr>
        <w:t>16</w:t>
      </w:r>
      <w:r w:rsidR="006344BB" w:rsidRPr="007C74BF">
        <w:rPr>
          <w:rFonts w:ascii="ITC Avant Garde" w:hAnsi="ITC Avant Garde"/>
          <w:b/>
          <w:color w:val="000000" w:themeColor="text1"/>
          <w:sz w:val="24"/>
          <w:szCs w:val="24"/>
        </w:rPr>
        <w:t xml:space="preserve"> DE </w:t>
      </w:r>
      <w:r w:rsidRPr="007C74BF">
        <w:rPr>
          <w:rFonts w:ascii="ITC Avant Garde" w:hAnsi="ITC Avant Garde"/>
          <w:b/>
          <w:color w:val="000000" w:themeColor="text1"/>
          <w:sz w:val="24"/>
          <w:szCs w:val="24"/>
        </w:rPr>
        <w:t>ENERO DE 2017</w:t>
      </w:r>
    </w:p>
    <w:p w14:paraId="30ED8862" w14:textId="77777777" w:rsidR="007C74BF" w:rsidRDefault="006344BB" w:rsidP="007C74BF">
      <w:pPr>
        <w:pStyle w:val="Ttulo2"/>
        <w:spacing w:after="240" w:line="720" w:lineRule="auto"/>
        <w:jc w:val="center"/>
        <w:rPr>
          <w:rFonts w:ascii="ITC Avant Garde" w:hAnsi="ITC Avant Garde"/>
          <w:b/>
          <w:color w:val="000000" w:themeColor="text1"/>
          <w:sz w:val="24"/>
          <w:szCs w:val="24"/>
          <w:u w:val="single"/>
        </w:rPr>
      </w:pPr>
      <w:r w:rsidRPr="007C74BF">
        <w:rPr>
          <w:rFonts w:ascii="ITC Avant Garde" w:hAnsi="ITC Avant Garde"/>
          <w:b/>
          <w:color w:val="000000" w:themeColor="text1"/>
          <w:sz w:val="24"/>
          <w:szCs w:val="24"/>
          <w:u w:val="single"/>
        </w:rPr>
        <w:t>ORDEN DEL DÍA</w:t>
      </w:r>
    </w:p>
    <w:p w14:paraId="485F849D" w14:textId="77777777" w:rsidR="007C74BF" w:rsidRPr="007C74BF" w:rsidRDefault="006344BB" w:rsidP="007C74BF">
      <w:pPr>
        <w:pStyle w:val="Ttulo3"/>
        <w:spacing w:line="480" w:lineRule="auto"/>
        <w:rPr>
          <w:rFonts w:ascii="ITC Avant Garde" w:hAnsi="ITC Avant Garde"/>
          <w:b/>
          <w:color w:val="000000" w:themeColor="text1"/>
          <w:sz w:val="22"/>
          <w:szCs w:val="22"/>
        </w:rPr>
      </w:pPr>
      <w:r w:rsidRPr="007C74BF">
        <w:rPr>
          <w:rFonts w:ascii="ITC Avant Garde" w:hAnsi="ITC Avant Garde"/>
          <w:b/>
          <w:color w:val="000000" w:themeColor="text1"/>
          <w:sz w:val="22"/>
          <w:szCs w:val="22"/>
        </w:rPr>
        <w:t xml:space="preserve">I.- VERIFICACIÓN DEL QUÓRUM. </w:t>
      </w:r>
    </w:p>
    <w:p w14:paraId="311AC6EB" w14:textId="77777777" w:rsidR="007C74BF" w:rsidRDefault="006344BB" w:rsidP="007C74BF">
      <w:pPr>
        <w:pStyle w:val="Ttulo3"/>
        <w:spacing w:line="480" w:lineRule="auto"/>
        <w:rPr>
          <w:rFonts w:ascii="ITC Avant Garde" w:hAnsi="ITC Avant Garde"/>
          <w:b/>
          <w:color w:val="000000" w:themeColor="text1"/>
          <w:sz w:val="22"/>
          <w:szCs w:val="22"/>
        </w:rPr>
      </w:pPr>
      <w:r w:rsidRPr="007C74BF">
        <w:rPr>
          <w:rFonts w:ascii="ITC Avant Garde" w:hAnsi="ITC Avant Garde"/>
          <w:b/>
          <w:color w:val="000000" w:themeColor="text1"/>
          <w:sz w:val="22"/>
          <w:szCs w:val="22"/>
        </w:rPr>
        <w:t>II.- APROBACIÓN DEL ORDEN DEL DÍA.</w:t>
      </w:r>
    </w:p>
    <w:p w14:paraId="2877C381" w14:textId="77777777" w:rsidR="00CE37BC" w:rsidRPr="00CE37BC" w:rsidRDefault="00CE37BC" w:rsidP="00CE37BC">
      <w:pPr>
        <w:rPr>
          <w:sz w:val="2"/>
          <w:szCs w:val="2"/>
        </w:rPr>
      </w:pPr>
      <w:bookmarkStart w:id="0" w:name="_GoBack"/>
      <w:bookmarkEnd w:id="0"/>
    </w:p>
    <w:p w14:paraId="2995342E" w14:textId="77777777" w:rsidR="007C74BF" w:rsidRPr="007C74BF" w:rsidRDefault="006344BB" w:rsidP="007C74BF">
      <w:pPr>
        <w:pStyle w:val="Ttulo3"/>
        <w:spacing w:line="480" w:lineRule="auto"/>
        <w:rPr>
          <w:rFonts w:ascii="ITC Avant Garde" w:hAnsi="ITC Avant Garde"/>
          <w:b/>
          <w:color w:val="000000" w:themeColor="text1"/>
          <w:sz w:val="22"/>
          <w:szCs w:val="22"/>
        </w:rPr>
      </w:pPr>
      <w:r w:rsidRPr="007C74BF">
        <w:rPr>
          <w:rFonts w:ascii="ITC Avant Garde" w:hAnsi="ITC Avant Garde"/>
          <w:b/>
          <w:color w:val="000000" w:themeColor="text1"/>
          <w:sz w:val="22"/>
          <w:szCs w:val="22"/>
        </w:rPr>
        <w:t>III.- ASUNTOS QUE SE SOMETEN A CONSIDERACIÓN DEL PLENO.</w:t>
      </w:r>
    </w:p>
    <w:p w14:paraId="43C48F40" w14:textId="6B4DFAA3" w:rsidR="00A17EC6" w:rsidRPr="00CA4C3D" w:rsidRDefault="00723C8D" w:rsidP="00CA4C3D">
      <w:pPr>
        <w:spacing w:after="0" w:line="276" w:lineRule="auto"/>
        <w:jc w:val="both"/>
        <w:rPr>
          <w:lang w:val="es-ES_tradnl"/>
        </w:rPr>
      </w:pPr>
      <w:r w:rsidRPr="00CA4C3D">
        <w:rPr>
          <w:rFonts w:ascii="ITC Avant Garde" w:eastAsia="Times New Roman" w:hAnsi="ITC Avant Garde" w:cs="Times New Roman"/>
          <w:b/>
          <w:lang w:val="es-ES"/>
        </w:rPr>
        <w:t>III.1.-</w:t>
      </w:r>
      <w:r w:rsidR="008251DA" w:rsidRPr="00CA4C3D">
        <w:rPr>
          <w:rFonts w:ascii="ITC Avant Garde" w:hAnsi="ITC Avant Garde" w:cs="Tahoma"/>
          <w:bCs/>
        </w:rPr>
        <w:tab/>
      </w:r>
      <w:r w:rsidR="00A17EC6" w:rsidRPr="00CA4C3D">
        <w:rPr>
          <w:rFonts w:ascii="ITC Avant Garde" w:hAnsi="ITC Avant Garde"/>
          <w:bCs/>
          <w:color w:val="000000"/>
          <w:lang w:val="es-ES_tradnl" w:eastAsia="es-MX"/>
        </w:rPr>
        <w:t xml:space="preserve">Resolución mediante la cual el </w:t>
      </w:r>
      <w:r w:rsidR="00CA4C3D">
        <w:rPr>
          <w:rFonts w:ascii="ITC Avant Garde" w:hAnsi="ITC Avant Garde"/>
          <w:bCs/>
          <w:color w:val="000000"/>
          <w:lang w:val="es-ES_tradnl" w:eastAsia="es-MX"/>
        </w:rPr>
        <w:t>Pleno del Instituto Federal d</w:t>
      </w:r>
      <w:r w:rsidR="00A17EC6" w:rsidRPr="00CA4C3D">
        <w:rPr>
          <w:rFonts w:ascii="ITC Avant Garde" w:hAnsi="ITC Avant Garde"/>
          <w:bCs/>
          <w:color w:val="000000"/>
          <w:lang w:val="es-ES_tradnl" w:eastAsia="es-MX"/>
        </w:rPr>
        <w:t xml:space="preserve">e Telecomunicaciones </w:t>
      </w:r>
      <w:r w:rsidR="00CA4C3D" w:rsidRPr="00CA4C3D">
        <w:rPr>
          <w:rFonts w:ascii="ITC Avant Garde" w:hAnsi="ITC Avant Garde"/>
          <w:bCs/>
          <w:color w:val="000000"/>
          <w:lang w:val="es-ES_tradnl" w:eastAsia="es-MX"/>
        </w:rPr>
        <w:t xml:space="preserve">otorga al </w:t>
      </w:r>
      <w:r w:rsidR="00CA4C3D">
        <w:rPr>
          <w:rFonts w:ascii="ITC Avant Garde" w:hAnsi="ITC Avant Garde"/>
          <w:bCs/>
          <w:color w:val="000000"/>
          <w:lang w:val="es-ES_tradnl" w:eastAsia="es-MX"/>
        </w:rPr>
        <w:t>Organismo Promotor d</w:t>
      </w:r>
      <w:r w:rsidR="00A17EC6" w:rsidRPr="00CA4C3D">
        <w:rPr>
          <w:rFonts w:ascii="ITC Avant Garde" w:hAnsi="ITC Avant Garde"/>
          <w:bCs/>
          <w:color w:val="000000"/>
          <w:lang w:val="es-ES_tradnl" w:eastAsia="es-MX"/>
        </w:rPr>
        <w:t xml:space="preserve">e Inversiones </w:t>
      </w:r>
      <w:r w:rsidR="00CA4C3D">
        <w:rPr>
          <w:rFonts w:ascii="ITC Avant Garde" w:hAnsi="ITC Avant Garde"/>
          <w:bCs/>
          <w:color w:val="000000"/>
          <w:lang w:val="es-ES_tradnl" w:eastAsia="es-MX"/>
        </w:rPr>
        <w:t>e</w:t>
      </w:r>
      <w:r w:rsidR="00A17EC6" w:rsidRPr="00CA4C3D">
        <w:rPr>
          <w:rFonts w:ascii="ITC Avant Garde" w:hAnsi="ITC Avant Garde"/>
          <w:bCs/>
          <w:color w:val="000000"/>
          <w:lang w:val="es-ES_tradnl" w:eastAsia="es-MX"/>
        </w:rPr>
        <w:t xml:space="preserve">n Telecomunicaciones, Organismo Público Descentralizado </w:t>
      </w:r>
      <w:r w:rsidR="00CA4C3D" w:rsidRPr="00CA4C3D">
        <w:rPr>
          <w:rFonts w:ascii="ITC Avant Garde" w:hAnsi="ITC Avant Garde"/>
          <w:bCs/>
          <w:color w:val="000000"/>
          <w:lang w:val="es-ES_tradnl" w:eastAsia="es-MX"/>
        </w:rPr>
        <w:t xml:space="preserve">de la </w:t>
      </w:r>
      <w:r w:rsidR="00A17EC6" w:rsidRPr="00CA4C3D">
        <w:rPr>
          <w:rFonts w:ascii="ITC Avant Garde" w:hAnsi="ITC Avant Garde"/>
          <w:bCs/>
          <w:color w:val="000000"/>
          <w:lang w:val="es-ES_tradnl" w:eastAsia="es-MX"/>
        </w:rPr>
        <w:t xml:space="preserve">Administración Pública Federal, </w:t>
      </w:r>
      <w:r w:rsidR="00CA4C3D" w:rsidRPr="00CA4C3D">
        <w:rPr>
          <w:rFonts w:ascii="ITC Avant Garde" w:hAnsi="ITC Avant Garde"/>
          <w:bCs/>
          <w:color w:val="000000"/>
          <w:lang w:val="es-ES_tradnl" w:eastAsia="es-MX"/>
        </w:rPr>
        <w:t xml:space="preserve">un </w:t>
      </w:r>
      <w:r w:rsidR="00CA4C3D" w:rsidRPr="00CA4C3D">
        <w:rPr>
          <w:rFonts w:ascii="ITC Avant Garde" w:hAnsi="ITC Avant Garde"/>
          <w:bCs/>
          <w:lang w:val="es-ES_tradnl"/>
        </w:rPr>
        <w:t>título de concesión para usar, aprovechar y explotar bandas de frecuencias del espectro radioeléctrico para uso comercial.</w:t>
      </w:r>
    </w:p>
    <w:p w14:paraId="766B2B27" w14:textId="77777777" w:rsidR="007C74BF" w:rsidRDefault="0012796F" w:rsidP="007C74BF">
      <w:pPr>
        <w:spacing w:line="240" w:lineRule="atLeast"/>
        <w:jc w:val="both"/>
        <w:rPr>
          <w:rFonts w:ascii="ITC Avant Garde" w:hAnsi="ITC Avant Garde" w:cs="Tahoma"/>
          <w:bCs/>
          <w:i/>
          <w:color w:val="000000"/>
        </w:rPr>
      </w:pPr>
      <w:r w:rsidRPr="00CA4C3D">
        <w:rPr>
          <w:rFonts w:ascii="ITC Avant Garde" w:hAnsi="ITC Avant Garde" w:cs="Tahoma"/>
          <w:bCs/>
          <w:i/>
          <w:color w:val="000000"/>
        </w:rPr>
        <w:t>(Unidad de Concesiones y Servicios)</w:t>
      </w:r>
    </w:p>
    <w:p w14:paraId="21052612" w14:textId="5BFF9104" w:rsidR="00A17EC6" w:rsidRPr="00CA4C3D" w:rsidRDefault="0012796F" w:rsidP="00CA4C3D">
      <w:pPr>
        <w:spacing w:after="0" w:line="276" w:lineRule="auto"/>
        <w:jc w:val="both"/>
        <w:rPr>
          <w:lang w:val="es-ES_tradnl"/>
        </w:rPr>
      </w:pPr>
      <w:r w:rsidRPr="00CA4C3D">
        <w:rPr>
          <w:rFonts w:ascii="ITC Avant Garde" w:eastAsia="Times New Roman" w:hAnsi="ITC Avant Garde" w:cs="Times New Roman"/>
          <w:b/>
          <w:lang w:val="es-ES"/>
        </w:rPr>
        <w:t xml:space="preserve">III.2.- </w:t>
      </w:r>
      <w:r w:rsidR="00A17EC6" w:rsidRPr="00CA4C3D">
        <w:rPr>
          <w:rFonts w:ascii="ITC Avant Garde" w:hAnsi="ITC Avant Garde"/>
          <w:bCs/>
          <w:color w:val="000000"/>
          <w:lang w:val="es-ES_tradnl" w:eastAsia="es-MX"/>
        </w:rPr>
        <w:t xml:space="preserve">Resolución mediante la cual el Pleno del Instituto Federal de Telecomunicaciones otorga a </w:t>
      </w:r>
      <w:proofErr w:type="spellStart"/>
      <w:r w:rsidR="00A17EC6" w:rsidRPr="00CA4C3D">
        <w:rPr>
          <w:rFonts w:ascii="ITC Avant Garde" w:hAnsi="ITC Avant Garde"/>
          <w:bCs/>
          <w:color w:val="000000"/>
          <w:lang w:val="es-ES_tradnl" w:eastAsia="es-MX"/>
        </w:rPr>
        <w:t>Altán</w:t>
      </w:r>
      <w:proofErr w:type="spellEnd"/>
      <w:r w:rsidR="00A17EC6" w:rsidRPr="00CA4C3D">
        <w:rPr>
          <w:rFonts w:ascii="ITC Avant Garde" w:hAnsi="ITC Avant Garde"/>
          <w:bCs/>
          <w:color w:val="000000"/>
          <w:lang w:val="es-ES_tradnl" w:eastAsia="es-MX"/>
        </w:rPr>
        <w:t xml:space="preserve"> Redes, S.A.P.I. de C.V.,</w:t>
      </w:r>
      <w:r w:rsidR="00A17EC6" w:rsidRPr="00CA4C3D">
        <w:rPr>
          <w:rFonts w:ascii="ITC Avant Garde" w:hAnsi="ITC Avant Garde"/>
          <w:color w:val="000000"/>
          <w:lang w:val="es-ES_tradnl" w:eastAsia="es-MX"/>
        </w:rPr>
        <w:t xml:space="preserve"> </w:t>
      </w:r>
      <w:r w:rsidR="00A17EC6" w:rsidRPr="00CA4C3D">
        <w:rPr>
          <w:rFonts w:ascii="ITC Avant Garde" w:hAnsi="ITC Avant Garde"/>
          <w:bCs/>
          <w:color w:val="000000"/>
          <w:lang w:val="es-ES_tradnl" w:eastAsia="es-MX"/>
        </w:rPr>
        <w:t>un título de concesión para uso comercial con carácter de red compartida mayorista de servicios de telecomunicaciones.</w:t>
      </w:r>
    </w:p>
    <w:p w14:paraId="6B9F40FB" w14:textId="77777777" w:rsidR="007C74BF" w:rsidRDefault="0012796F" w:rsidP="007C74BF">
      <w:pPr>
        <w:spacing w:line="240" w:lineRule="atLeast"/>
        <w:jc w:val="both"/>
        <w:rPr>
          <w:rFonts w:ascii="ITC Avant Garde" w:hAnsi="ITC Avant Garde" w:cs="Tahoma"/>
          <w:bCs/>
          <w:i/>
          <w:color w:val="000000"/>
        </w:rPr>
      </w:pPr>
      <w:r w:rsidRPr="00CA4C3D">
        <w:rPr>
          <w:rFonts w:ascii="ITC Avant Garde" w:hAnsi="ITC Avant Garde" w:cs="Tahoma"/>
          <w:bCs/>
          <w:i/>
          <w:color w:val="000000"/>
        </w:rPr>
        <w:t>(Unidad de Concesiones y Servicios)</w:t>
      </w:r>
    </w:p>
    <w:p w14:paraId="40C8690F" w14:textId="08637C2B" w:rsidR="00A17EC6" w:rsidRPr="00CA4C3D" w:rsidRDefault="0012796F" w:rsidP="00CA4C3D">
      <w:pPr>
        <w:spacing w:after="0" w:line="276" w:lineRule="auto"/>
        <w:jc w:val="both"/>
        <w:rPr>
          <w:lang w:val="es-ES_tradnl"/>
        </w:rPr>
      </w:pPr>
      <w:r w:rsidRPr="00CA4C3D">
        <w:rPr>
          <w:rFonts w:ascii="ITC Avant Garde" w:eastAsia="Times New Roman" w:hAnsi="ITC Avant Garde" w:cs="Times New Roman"/>
          <w:b/>
          <w:lang w:val="es-ES"/>
        </w:rPr>
        <w:t xml:space="preserve">III.3.- </w:t>
      </w:r>
      <w:r w:rsidR="00A17EC6" w:rsidRPr="00CA4C3D">
        <w:rPr>
          <w:rFonts w:ascii="ITC Avant Garde" w:hAnsi="ITC Avant Garde"/>
          <w:bCs/>
          <w:color w:val="000000"/>
          <w:lang w:val="es-ES_tradnl" w:eastAsia="es-MX"/>
        </w:rPr>
        <w:t xml:space="preserve">Resolución mediante la cual el Pleno del Instituto Federal de Telecomunicaciones niega a Nokia </w:t>
      </w:r>
      <w:proofErr w:type="spellStart"/>
      <w:r w:rsidR="00A17EC6" w:rsidRPr="00CA4C3D">
        <w:rPr>
          <w:rFonts w:ascii="ITC Avant Garde" w:hAnsi="ITC Avant Garde"/>
          <w:bCs/>
          <w:color w:val="000000"/>
          <w:lang w:val="es-ES_tradnl" w:eastAsia="es-MX"/>
        </w:rPr>
        <w:t>Solutions</w:t>
      </w:r>
      <w:proofErr w:type="spellEnd"/>
      <w:r w:rsidR="00A17EC6" w:rsidRPr="00CA4C3D">
        <w:rPr>
          <w:rFonts w:ascii="ITC Avant Garde" w:hAnsi="ITC Avant Garde"/>
          <w:bCs/>
          <w:color w:val="000000"/>
          <w:lang w:val="es-ES_tradnl" w:eastAsia="es-MX"/>
        </w:rPr>
        <w:t xml:space="preserve"> And Networks, S.A. de C.V., el otorgamiento de una concesión para usar y aprovechar bandas de frecuencias del espectro radioeléctrico para uso privado, con propósitos de comprobación de viabilidad técnica y económica de tecnologías en desarrollo en la banda de 700 MHz.</w:t>
      </w:r>
    </w:p>
    <w:p w14:paraId="4E083F79" w14:textId="77777777" w:rsidR="007C74BF" w:rsidRDefault="0012796F" w:rsidP="007C74BF">
      <w:pPr>
        <w:spacing w:line="240" w:lineRule="atLeast"/>
        <w:jc w:val="both"/>
        <w:rPr>
          <w:rFonts w:ascii="ITC Avant Garde" w:hAnsi="ITC Avant Garde" w:cs="Tahoma"/>
          <w:bCs/>
          <w:i/>
          <w:color w:val="000000"/>
        </w:rPr>
      </w:pPr>
      <w:r w:rsidRPr="00CA4C3D">
        <w:rPr>
          <w:rFonts w:ascii="ITC Avant Garde" w:hAnsi="ITC Avant Garde" w:cs="Tahoma"/>
          <w:bCs/>
          <w:i/>
          <w:color w:val="000000"/>
        </w:rPr>
        <w:t>(Unidad de Concesiones y Servicios)</w:t>
      </w:r>
    </w:p>
    <w:p w14:paraId="0D42591A" w14:textId="578CC256" w:rsidR="00977553" w:rsidRPr="00CA4C3D" w:rsidRDefault="0012796F" w:rsidP="00CA4C3D">
      <w:pPr>
        <w:spacing w:after="0" w:line="276" w:lineRule="auto"/>
        <w:jc w:val="both"/>
        <w:rPr>
          <w:rFonts w:ascii="ITC Avant Garde" w:hAnsi="ITC Avant Garde" w:cs="Tahoma"/>
          <w:bCs/>
          <w:color w:val="000000"/>
        </w:rPr>
      </w:pPr>
      <w:r w:rsidRPr="00CA4C3D">
        <w:rPr>
          <w:rFonts w:ascii="ITC Avant Garde" w:eastAsia="Times New Roman" w:hAnsi="ITC Avant Garde" w:cs="Times New Roman"/>
          <w:b/>
          <w:lang w:val="es-ES"/>
        </w:rPr>
        <w:lastRenderedPageBreak/>
        <w:t xml:space="preserve">III.4.- </w:t>
      </w:r>
      <w:r w:rsidR="00977553" w:rsidRPr="00CA4C3D">
        <w:rPr>
          <w:rFonts w:ascii="ITC Avant Garde" w:hAnsi="ITC Avant Garde" w:cs="Tahoma"/>
          <w:bCs/>
          <w:color w:val="000000"/>
        </w:rPr>
        <w:t>Resolución mediante la cual el Pleno del Instituto Federal de Telecomunicaciones niega la prórroga de vigencia de las asignaciones de frecuencias para uso oficial otorgadas a favor de la Comisión Estatal de Servicios Públicos de Mexicali, Organismo Público Descentralizado del Gobierno del Estado de Baja California.</w:t>
      </w:r>
    </w:p>
    <w:p w14:paraId="6B6BA11D" w14:textId="77777777" w:rsidR="007C74BF" w:rsidRDefault="00977553" w:rsidP="007C74BF">
      <w:pPr>
        <w:spacing w:line="240" w:lineRule="atLeast"/>
        <w:jc w:val="both"/>
        <w:rPr>
          <w:rFonts w:ascii="ITC Avant Garde" w:hAnsi="ITC Avant Garde" w:cs="Tahoma"/>
          <w:bCs/>
          <w:i/>
          <w:color w:val="000000"/>
        </w:rPr>
      </w:pPr>
      <w:r w:rsidRPr="00CA4C3D">
        <w:rPr>
          <w:rFonts w:ascii="ITC Avant Garde" w:hAnsi="ITC Avant Garde" w:cs="Tahoma"/>
          <w:bCs/>
          <w:i/>
          <w:color w:val="000000"/>
        </w:rPr>
        <w:t>(Unidad de Concesiones y Servicios)</w:t>
      </w:r>
    </w:p>
    <w:p w14:paraId="23EA80EE" w14:textId="2D77E3D1" w:rsidR="00977553" w:rsidRPr="00CA4C3D" w:rsidRDefault="0012796F" w:rsidP="00CA4C3D">
      <w:pPr>
        <w:spacing w:after="0" w:line="276" w:lineRule="auto"/>
        <w:jc w:val="both"/>
        <w:rPr>
          <w:rFonts w:ascii="ITC Avant Garde" w:eastAsia="Times New Roman" w:hAnsi="ITC Avant Garde" w:cs="Times New Roman"/>
          <w:lang w:val="es-ES"/>
        </w:rPr>
      </w:pPr>
      <w:r w:rsidRPr="00CA4C3D">
        <w:rPr>
          <w:rFonts w:ascii="ITC Avant Garde" w:eastAsia="Times New Roman" w:hAnsi="ITC Avant Garde" w:cs="Times New Roman"/>
          <w:b/>
          <w:lang w:val="es-ES"/>
        </w:rPr>
        <w:t xml:space="preserve">III.5.- </w:t>
      </w:r>
      <w:r w:rsidR="00977553" w:rsidRPr="00CA4C3D">
        <w:rPr>
          <w:rFonts w:ascii="ITC Avant Garde" w:eastAsia="Times New Roman" w:hAnsi="ITC Avant Garde" w:cs="Times New Roman"/>
          <w:lang w:val="es-ES"/>
        </w:rPr>
        <w:t>Resolución mediante la cual el Pleno del Instituto Federal de Telecomunicaciones niega la prórroga de vigencia de las asignaciones de frecuencias para uso oficial, otorgadas a favor de la Comisión Estatal de Servicios Públicos de Tecate, Organismo Público Descentralizado del Gobierno del Estado de Baja California.</w:t>
      </w:r>
    </w:p>
    <w:p w14:paraId="6EB0F32B" w14:textId="77777777" w:rsidR="007C74BF" w:rsidRDefault="00977553" w:rsidP="007C74BF">
      <w:pPr>
        <w:spacing w:line="240" w:lineRule="atLeast"/>
        <w:jc w:val="both"/>
        <w:rPr>
          <w:rFonts w:ascii="ITC Avant Garde" w:hAnsi="ITC Avant Garde" w:cs="Tahoma"/>
          <w:bCs/>
          <w:i/>
          <w:color w:val="000000"/>
        </w:rPr>
      </w:pPr>
      <w:r w:rsidRPr="00CA4C3D">
        <w:rPr>
          <w:rFonts w:ascii="ITC Avant Garde" w:hAnsi="ITC Avant Garde" w:cs="Tahoma"/>
          <w:bCs/>
          <w:i/>
          <w:color w:val="000000"/>
        </w:rPr>
        <w:t>(Unidad de Concesiones y Servicios)</w:t>
      </w:r>
    </w:p>
    <w:p w14:paraId="545C965F" w14:textId="1B10CDB9" w:rsidR="00706CAE" w:rsidRDefault="00706CAE" w:rsidP="00706CAE">
      <w:pPr>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 xml:space="preserve">III.6.- </w:t>
      </w:r>
      <w:r w:rsidRPr="00AF63AA">
        <w:rPr>
          <w:rFonts w:ascii="ITC Avant Garde" w:eastAsia="Times New Roman" w:hAnsi="ITC Avant Garde" w:cs="Times New Roman"/>
          <w:lang w:val="es-ES"/>
        </w:rPr>
        <w:t>R</w:t>
      </w:r>
      <w:r>
        <w:rPr>
          <w:rFonts w:ascii="ITC Avant Garde" w:eastAsia="Times New Roman" w:hAnsi="ITC Avant Garde" w:cs="Times New Roman"/>
          <w:lang w:val="es-ES"/>
        </w:rPr>
        <w:t>esolución que emite el Pleno del Instituto Federal de Telecomunicaciones a efecto de dar cumplimiento a la ejecutoria dictada en el amparo 29/2016 por el Primer Tribunal Colegiado de Circuito en Materia Administrativa, especializado en competencia económica, radiodifusión y telecomunicaciones, con residencia en la Ciudad de México y jurisdicción en toda la República.</w:t>
      </w:r>
    </w:p>
    <w:p w14:paraId="2A5E8ABF" w14:textId="77777777" w:rsidR="007C74BF" w:rsidRDefault="00706CAE" w:rsidP="007C74BF">
      <w:pPr>
        <w:spacing w:line="240" w:lineRule="atLeast"/>
        <w:jc w:val="both"/>
        <w:rPr>
          <w:rFonts w:ascii="ITC Avant Garde" w:hAnsi="ITC Avant Garde" w:cs="Tahoma"/>
          <w:bCs/>
          <w:i/>
          <w:color w:val="000000"/>
        </w:rPr>
      </w:pPr>
      <w:r>
        <w:rPr>
          <w:rFonts w:ascii="ITC Avant Garde" w:hAnsi="ITC Avant Garde" w:cs="Tahoma"/>
          <w:bCs/>
          <w:i/>
          <w:color w:val="000000"/>
        </w:rPr>
        <w:t>(Unidad de Concesiones y Servicios)</w:t>
      </w:r>
    </w:p>
    <w:p w14:paraId="4EA19439" w14:textId="156DA4F8" w:rsidR="00706CAE" w:rsidRDefault="00706CAE" w:rsidP="00706CAE">
      <w:pPr>
        <w:spacing w:after="0" w:line="276"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 xml:space="preserve">III.7.- </w:t>
      </w:r>
      <w:r>
        <w:rPr>
          <w:rFonts w:ascii="ITC Avant Garde" w:eastAsia="Times New Roman" w:hAnsi="ITC Avant Garde" w:cs="Times New Roman"/>
          <w:lang w:val="es-ES"/>
        </w:rPr>
        <w:t>Acuerdo mediante el cual el Pleno del Instituto Federal de Telecomunicaciones amplía el plazo de la consulta pública establecido en el “Acuerdo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p>
    <w:p w14:paraId="262D7DC5" w14:textId="77777777" w:rsidR="007C74BF" w:rsidRDefault="00706CAE" w:rsidP="007C74BF">
      <w:pPr>
        <w:spacing w:line="240" w:lineRule="atLeast"/>
        <w:jc w:val="both"/>
        <w:rPr>
          <w:rFonts w:ascii="ITC Avant Garde" w:hAnsi="ITC Avant Garde" w:cs="Tahoma"/>
          <w:bCs/>
          <w:i/>
          <w:color w:val="000000"/>
        </w:rPr>
      </w:pPr>
      <w:r>
        <w:rPr>
          <w:rFonts w:ascii="ITC Avant Garde" w:hAnsi="ITC Avant Garde" w:cs="Tahoma"/>
          <w:bCs/>
          <w:i/>
          <w:color w:val="000000"/>
        </w:rPr>
        <w:t>(Unidad de Política Regulatoria)</w:t>
      </w:r>
    </w:p>
    <w:p w14:paraId="76732A4A" w14:textId="74C4BF7E" w:rsidR="00AD4689" w:rsidRPr="007C74BF" w:rsidRDefault="007C74BF" w:rsidP="007C74BF">
      <w:pPr>
        <w:pStyle w:val="Ttulo3"/>
        <w:spacing w:line="480" w:lineRule="auto"/>
        <w:rPr>
          <w:rFonts w:ascii="ITC Avant Garde" w:hAnsi="ITC Avant Garde"/>
          <w:b/>
          <w:color w:val="000000" w:themeColor="text1"/>
          <w:sz w:val="22"/>
          <w:szCs w:val="22"/>
        </w:rPr>
      </w:pPr>
      <w:r>
        <w:rPr>
          <w:rFonts w:ascii="ITC Avant Garde" w:hAnsi="ITC Avant Garde"/>
          <w:b/>
          <w:color w:val="000000" w:themeColor="text1"/>
          <w:sz w:val="22"/>
          <w:szCs w:val="22"/>
        </w:rPr>
        <w:t>IV.- ASUNTOS GENERALES.</w:t>
      </w:r>
    </w:p>
    <w:sectPr w:rsidR="00AD4689" w:rsidRPr="007C74BF" w:rsidSect="0040611B">
      <w:footerReference w:type="default" r:id="rId7"/>
      <w:pgSz w:w="12240" w:h="15840"/>
      <w:pgMar w:top="2410" w:right="1467"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BC40A" w14:textId="77777777" w:rsidR="0061652D" w:rsidRDefault="0061652D">
      <w:pPr>
        <w:spacing w:after="0" w:line="240" w:lineRule="auto"/>
      </w:pPr>
      <w:r>
        <w:separator/>
      </w:r>
    </w:p>
  </w:endnote>
  <w:endnote w:type="continuationSeparator" w:id="0">
    <w:p w14:paraId="00DF021A" w14:textId="77777777" w:rsidR="0061652D" w:rsidRDefault="0061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526622"/>
      <w:docPartObj>
        <w:docPartGallery w:val="Page Numbers (Bottom of Page)"/>
        <w:docPartUnique/>
      </w:docPartObj>
    </w:sdtPr>
    <w:sdtEndPr>
      <w:rPr>
        <w:rFonts w:ascii="ITC Avant Garde" w:hAnsi="ITC Avant Garde"/>
        <w:sz w:val="14"/>
        <w:szCs w:val="14"/>
      </w:rPr>
    </w:sdtEndPr>
    <w:sdtContent>
      <w:p w14:paraId="724F9429" w14:textId="77777777" w:rsidR="00B50BC7" w:rsidRPr="00B50BC7" w:rsidRDefault="00EF23D3">
        <w:pPr>
          <w:pStyle w:val="Piedepgina"/>
          <w:jc w:val="right"/>
          <w:rPr>
            <w:rFonts w:ascii="ITC Avant Garde" w:hAnsi="ITC Avant Garde"/>
            <w:sz w:val="14"/>
            <w:szCs w:val="14"/>
          </w:rPr>
        </w:pPr>
        <w:r w:rsidRPr="00B50BC7">
          <w:rPr>
            <w:rFonts w:ascii="ITC Avant Garde" w:hAnsi="ITC Avant Garde"/>
            <w:sz w:val="14"/>
            <w:szCs w:val="14"/>
          </w:rPr>
          <w:fldChar w:fldCharType="begin"/>
        </w:r>
        <w:r w:rsidRPr="00B50BC7">
          <w:rPr>
            <w:rFonts w:ascii="ITC Avant Garde" w:hAnsi="ITC Avant Garde"/>
            <w:sz w:val="14"/>
            <w:szCs w:val="14"/>
          </w:rPr>
          <w:instrText>PAGE   \* MERGEFORMAT</w:instrText>
        </w:r>
        <w:r w:rsidRPr="00B50BC7">
          <w:rPr>
            <w:rFonts w:ascii="ITC Avant Garde" w:hAnsi="ITC Avant Garde"/>
            <w:sz w:val="14"/>
            <w:szCs w:val="14"/>
          </w:rPr>
          <w:fldChar w:fldCharType="separate"/>
        </w:r>
        <w:r w:rsidR="00CE37BC" w:rsidRPr="00CE37BC">
          <w:rPr>
            <w:rFonts w:ascii="ITC Avant Garde" w:hAnsi="ITC Avant Garde"/>
            <w:noProof/>
            <w:sz w:val="14"/>
            <w:szCs w:val="14"/>
            <w:lang w:val="es-ES"/>
          </w:rPr>
          <w:t>1</w:t>
        </w:r>
        <w:r w:rsidRPr="00B50BC7">
          <w:rPr>
            <w:rFonts w:ascii="ITC Avant Garde" w:hAnsi="ITC Avant Garde"/>
            <w:sz w:val="14"/>
            <w:szCs w:val="14"/>
          </w:rPr>
          <w:fldChar w:fldCharType="end"/>
        </w:r>
      </w:p>
    </w:sdtContent>
  </w:sdt>
  <w:p w14:paraId="71F3CB1F" w14:textId="77777777" w:rsidR="00B50BC7" w:rsidRDefault="00CE37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C9C2A" w14:textId="77777777" w:rsidR="0061652D" w:rsidRDefault="0061652D">
      <w:pPr>
        <w:spacing w:after="0" w:line="240" w:lineRule="auto"/>
      </w:pPr>
      <w:r>
        <w:separator/>
      </w:r>
    </w:p>
  </w:footnote>
  <w:footnote w:type="continuationSeparator" w:id="0">
    <w:p w14:paraId="4830B6C5" w14:textId="77777777" w:rsidR="0061652D" w:rsidRDefault="00616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7B7F"/>
    <w:rsid w:val="00017594"/>
    <w:rsid w:val="00020815"/>
    <w:rsid w:val="00031BEA"/>
    <w:rsid w:val="00071F9B"/>
    <w:rsid w:val="0007713A"/>
    <w:rsid w:val="00077DB0"/>
    <w:rsid w:val="000865B5"/>
    <w:rsid w:val="00094E82"/>
    <w:rsid w:val="000C1BBC"/>
    <w:rsid w:val="000C33E1"/>
    <w:rsid w:val="000C3EFD"/>
    <w:rsid w:val="000D0142"/>
    <w:rsid w:val="000F7B51"/>
    <w:rsid w:val="00104E1F"/>
    <w:rsid w:val="001173F1"/>
    <w:rsid w:val="0012170A"/>
    <w:rsid w:val="00123D91"/>
    <w:rsid w:val="0012796F"/>
    <w:rsid w:val="001337C0"/>
    <w:rsid w:val="001353AA"/>
    <w:rsid w:val="0014180E"/>
    <w:rsid w:val="00143757"/>
    <w:rsid w:val="00146DFC"/>
    <w:rsid w:val="00153894"/>
    <w:rsid w:val="00171FDD"/>
    <w:rsid w:val="00184039"/>
    <w:rsid w:val="00193BE9"/>
    <w:rsid w:val="00194167"/>
    <w:rsid w:val="00197DD3"/>
    <w:rsid w:val="001B78B0"/>
    <w:rsid w:val="001C708E"/>
    <w:rsid w:val="001D462A"/>
    <w:rsid w:val="001D616C"/>
    <w:rsid w:val="001D7E3C"/>
    <w:rsid w:val="001E25A6"/>
    <w:rsid w:val="00205BAD"/>
    <w:rsid w:val="0020751B"/>
    <w:rsid w:val="00207CF7"/>
    <w:rsid w:val="00211720"/>
    <w:rsid w:val="0021675D"/>
    <w:rsid w:val="00217B74"/>
    <w:rsid w:val="00224122"/>
    <w:rsid w:val="00230DBB"/>
    <w:rsid w:val="00244770"/>
    <w:rsid w:val="00246A38"/>
    <w:rsid w:val="00256F53"/>
    <w:rsid w:val="00280BCC"/>
    <w:rsid w:val="00284C35"/>
    <w:rsid w:val="00286D13"/>
    <w:rsid w:val="002B3B2E"/>
    <w:rsid w:val="002B60E4"/>
    <w:rsid w:val="002C2625"/>
    <w:rsid w:val="002C445D"/>
    <w:rsid w:val="002C5CF6"/>
    <w:rsid w:val="002D3615"/>
    <w:rsid w:val="002D45AE"/>
    <w:rsid w:val="002D5B58"/>
    <w:rsid w:val="002E2FC1"/>
    <w:rsid w:val="002F7465"/>
    <w:rsid w:val="00303A5B"/>
    <w:rsid w:val="00304C81"/>
    <w:rsid w:val="0031779C"/>
    <w:rsid w:val="0032661E"/>
    <w:rsid w:val="00326EED"/>
    <w:rsid w:val="003276F4"/>
    <w:rsid w:val="00330DF7"/>
    <w:rsid w:val="00331687"/>
    <w:rsid w:val="0033177A"/>
    <w:rsid w:val="00343153"/>
    <w:rsid w:val="00346542"/>
    <w:rsid w:val="00351A72"/>
    <w:rsid w:val="003524BF"/>
    <w:rsid w:val="00356925"/>
    <w:rsid w:val="00360942"/>
    <w:rsid w:val="00366851"/>
    <w:rsid w:val="00366CA9"/>
    <w:rsid w:val="00377F12"/>
    <w:rsid w:val="003879CF"/>
    <w:rsid w:val="00390699"/>
    <w:rsid w:val="003911DE"/>
    <w:rsid w:val="003977BC"/>
    <w:rsid w:val="003C042A"/>
    <w:rsid w:val="003C2A08"/>
    <w:rsid w:val="003C3418"/>
    <w:rsid w:val="003D5DC7"/>
    <w:rsid w:val="003E082F"/>
    <w:rsid w:val="003F1A6E"/>
    <w:rsid w:val="003F6ACD"/>
    <w:rsid w:val="003F79A9"/>
    <w:rsid w:val="0040611B"/>
    <w:rsid w:val="004229F8"/>
    <w:rsid w:val="004325BE"/>
    <w:rsid w:val="00433DA3"/>
    <w:rsid w:val="00435B59"/>
    <w:rsid w:val="004431C5"/>
    <w:rsid w:val="00443781"/>
    <w:rsid w:val="00470557"/>
    <w:rsid w:val="00474E6C"/>
    <w:rsid w:val="004834DD"/>
    <w:rsid w:val="00492B74"/>
    <w:rsid w:val="00493B4E"/>
    <w:rsid w:val="00494618"/>
    <w:rsid w:val="00496925"/>
    <w:rsid w:val="004B334C"/>
    <w:rsid w:val="004B45FB"/>
    <w:rsid w:val="004C2EB7"/>
    <w:rsid w:val="004C7345"/>
    <w:rsid w:val="004D7F26"/>
    <w:rsid w:val="004F0CC6"/>
    <w:rsid w:val="004F3A5A"/>
    <w:rsid w:val="00500A70"/>
    <w:rsid w:val="0050214C"/>
    <w:rsid w:val="005034BE"/>
    <w:rsid w:val="005135EA"/>
    <w:rsid w:val="005158C9"/>
    <w:rsid w:val="005201C6"/>
    <w:rsid w:val="0052751C"/>
    <w:rsid w:val="005425AF"/>
    <w:rsid w:val="00557335"/>
    <w:rsid w:val="005643CD"/>
    <w:rsid w:val="00566558"/>
    <w:rsid w:val="00567E9D"/>
    <w:rsid w:val="00574527"/>
    <w:rsid w:val="00587C64"/>
    <w:rsid w:val="005904FD"/>
    <w:rsid w:val="00591276"/>
    <w:rsid w:val="00594B90"/>
    <w:rsid w:val="005A49D9"/>
    <w:rsid w:val="005B21BE"/>
    <w:rsid w:val="005B222B"/>
    <w:rsid w:val="005B78AE"/>
    <w:rsid w:val="005C3633"/>
    <w:rsid w:val="005C3BC1"/>
    <w:rsid w:val="005C79E5"/>
    <w:rsid w:val="005D1A8A"/>
    <w:rsid w:val="005D2C5B"/>
    <w:rsid w:val="005D40A2"/>
    <w:rsid w:val="005D7A8B"/>
    <w:rsid w:val="005E610E"/>
    <w:rsid w:val="005F54E4"/>
    <w:rsid w:val="0060195A"/>
    <w:rsid w:val="006074BE"/>
    <w:rsid w:val="006074D0"/>
    <w:rsid w:val="0061652D"/>
    <w:rsid w:val="006176A4"/>
    <w:rsid w:val="00630BD9"/>
    <w:rsid w:val="006344BB"/>
    <w:rsid w:val="0064241B"/>
    <w:rsid w:val="00643144"/>
    <w:rsid w:val="00646C1D"/>
    <w:rsid w:val="00663B5E"/>
    <w:rsid w:val="00665F14"/>
    <w:rsid w:val="00670151"/>
    <w:rsid w:val="00684755"/>
    <w:rsid w:val="006B2E88"/>
    <w:rsid w:val="006B5F8F"/>
    <w:rsid w:val="006C153B"/>
    <w:rsid w:val="006C1F14"/>
    <w:rsid w:val="006F1047"/>
    <w:rsid w:val="006F3A7B"/>
    <w:rsid w:val="00704AA4"/>
    <w:rsid w:val="00706694"/>
    <w:rsid w:val="00706CAE"/>
    <w:rsid w:val="00707594"/>
    <w:rsid w:val="00707BD7"/>
    <w:rsid w:val="0071046A"/>
    <w:rsid w:val="007112EE"/>
    <w:rsid w:val="00723C8D"/>
    <w:rsid w:val="007337AF"/>
    <w:rsid w:val="00736549"/>
    <w:rsid w:val="0074608C"/>
    <w:rsid w:val="00746DCD"/>
    <w:rsid w:val="00750DE8"/>
    <w:rsid w:val="00752248"/>
    <w:rsid w:val="0075757D"/>
    <w:rsid w:val="00760BD7"/>
    <w:rsid w:val="00763875"/>
    <w:rsid w:val="0076484D"/>
    <w:rsid w:val="00773F17"/>
    <w:rsid w:val="0077725F"/>
    <w:rsid w:val="007865AB"/>
    <w:rsid w:val="00786D8A"/>
    <w:rsid w:val="00791D5B"/>
    <w:rsid w:val="007A3CDC"/>
    <w:rsid w:val="007B4980"/>
    <w:rsid w:val="007B7780"/>
    <w:rsid w:val="007C3208"/>
    <w:rsid w:val="007C6B0A"/>
    <w:rsid w:val="007C74BF"/>
    <w:rsid w:val="007D6A4B"/>
    <w:rsid w:val="007E5EC8"/>
    <w:rsid w:val="007E74A8"/>
    <w:rsid w:val="007E754E"/>
    <w:rsid w:val="007F0856"/>
    <w:rsid w:val="008028D8"/>
    <w:rsid w:val="00804D0F"/>
    <w:rsid w:val="00816470"/>
    <w:rsid w:val="008251DA"/>
    <w:rsid w:val="0084067A"/>
    <w:rsid w:val="008528C0"/>
    <w:rsid w:val="008827E9"/>
    <w:rsid w:val="0088338B"/>
    <w:rsid w:val="00883B36"/>
    <w:rsid w:val="00886D1B"/>
    <w:rsid w:val="008A54A8"/>
    <w:rsid w:val="008A7E0A"/>
    <w:rsid w:val="008C5960"/>
    <w:rsid w:val="008C65A7"/>
    <w:rsid w:val="008D0EAB"/>
    <w:rsid w:val="008D11F0"/>
    <w:rsid w:val="008E0FDD"/>
    <w:rsid w:val="008E1203"/>
    <w:rsid w:val="008F1C62"/>
    <w:rsid w:val="008F676A"/>
    <w:rsid w:val="009005D6"/>
    <w:rsid w:val="0090746A"/>
    <w:rsid w:val="00912F20"/>
    <w:rsid w:val="009162C6"/>
    <w:rsid w:val="00916CC5"/>
    <w:rsid w:val="0093339A"/>
    <w:rsid w:val="0095392F"/>
    <w:rsid w:val="009565A8"/>
    <w:rsid w:val="00961A4E"/>
    <w:rsid w:val="0096640F"/>
    <w:rsid w:val="00966663"/>
    <w:rsid w:val="0097332F"/>
    <w:rsid w:val="00977553"/>
    <w:rsid w:val="00977C87"/>
    <w:rsid w:val="009810B2"/>
    <w:rsid w:val="00983401"/>
    <w:rsid w:val="00987D8D"/>
    <w:rsid w:val="00993DB6"/>
    <w:rsid w:val="00996932"/>
    <w:rsid w:val="00997B4D"/>
    <w:rsid w:val="00997E16"/>
    <w:rsid w:val="009A07DC"/>
    <w:rsid w:val="009A35D7"/>
    <w:rsid w:val="009B1BC4"/>
    <w:rsid w:val="009B34D3"/>
    <w:rsid w:val="009E076F"/>
    <w:rsid w:val="009F0721"/>
    <w:rsid w:val="009F5E6C"/>
    <w:rsid w:val="009F72FD"/>
    <w:rsid w:val="00A00CCB"/>
    <w:rsid w:val="00A04F30"/>
    <w:rsid w:val="00A10FBB"/>
    <w:rsid w:val="00A165E5"/>
    <w:rsid w:val="00A17EC6"/>
    <w:rsid w:val="00A4390C"/>
    <w:rsid w:val="00A50D34"/>
    <w:rsid w:val="00A6268D"/>
    <w:rsid w:val="00A6731F"/>
    <w:rsid w:val="00A73223"/>
    <w:rsid w:val="00A81C08"/>
    <w:rsid w:val="00A8374D"/>
    <w:rsid w:val="00A86A24"/>
    <w:rsid w:val="00A87137"/>
    <w:rsid w:val="00A9050B"/>
    <w:rsid w:val="00A971FF"/>
    <w:rsid w:val="00AA0FE9"/>
    <w:rsid w:val="00AA4E8E"/>
    <w:rsid w:val="00AB2EE7"/>
    <w:rsid w:val="00AC1921"/>
    <w:rsid w:val="00AD0576"/>
    <w:rsid w:val="00AD4689"/>
    <w:rsid w:val="00AD4D82"/>
    <w:rsid w:val="00AF145F"/>
    <w:rsid w:val="00AF1FCA"/>
    <w:rsid w:val="00AF63AA"/>
    <w:rsid w:val="00B21622"/>
    <w:rsid w:val="00B2238A"/>
    <w:rsid w:val="00B32832"/>
    <w:rsid w:val="00B37BD2"/>
    <w:rsid w:val="00B46D3A"/>
    <w:rsid w:val="00B534E3"/>
    <w:rsid w:val="00B53A6E"/>
    <w:rsid w:val="00B67E40"/>
    <w:rsid w:val="00B916C2"/>
    <w:rsid w:val="00BA4398"/>
    <w:rsid w:val="00BA692D"/>
    <w:rsid w:val="00BC0867"/>
    <w:rsid w:val="00BC7FED"/>
    <w:rsid w:val="00BE18DD"/>
    <w:rsid w:val="00BE3A30"/>
    <w:rsid w:val="00BE5E41"/>
    <w:rsid w:val="00BF3465"/>
    <w:rsid w:val="00BF42ED"/>
    <w:rsid w:val="00C037BF"/>
    <w:rsid w:val="00C05F15"/>
    <w:rsid w:val="00C171A6"/>
    <w:rsid w:val="00C40916"/>
    <w:rsid w:val="00C41454"/>
    <w:rsid w:val="00C44605"/>
    <w:rsid w:val="00C44EB8"/>
    <w:rsid w:val="00C45C02"/>
    <w:rsid w:val="00C54E3C"/>
    <w:rsid w:val="00C81DC3"/>
    <w:rsid w:val="00C8445B"/>
    <w:rsid w:val="00C856DC"/>
    <w:rsid w:val="00CA4C3D"/>
    <w:rsid w:val="00CA5401"/>
    <w:rsid w:val="00CB5569"/>
    <w:rsid w:val="00CB57E1"/>
    <w:rsid w:val="00CC4745"/>
    <w:rsid w:val="00CD2C7F"/>
    <w:rsid w:val="00CE37BC"/>
    <w:rsid w:val="00CF2865"/>
    <w:rsid w:val="00CF3AD5"/>
    <w:rsid w:val="00CF7211"/>
    <w:rsid w:val="00D05442"/>
    <w:rsid w:val="00D06938"/>
    <w:rsid w:val="00D22DCB"/>
    <w:rsid w:val="00D30D3F"/>
    <w:rsid w:val="00D602AD"/>
    <w:rsid w:val="00D6264C"/>
    <w:rsid w:val="00D66978"/>
    <w:rsid w:val="00D66AB1"/>
    <w:rsid w:val="00D7058A"/>
    <w:rsid w:val="00D74EC1"/>
    <w:rsid w:val="00D93D4B"/>
    <w:rsid w:val="00DA33DC"/>
    <w:rsid w:val="00DA6418"/>
    <w:rsid w:val="00DB3881"/>
    <w:rsid w:val="00DB3D37"/>
    <w:rsid w:val="00DB5F99"/>
    <w:rsid w:val="00DC0C33"/>
    <w:rsid w:val="00DC7EC2"/>
    <w:rsid w:val="00DD48B5"/>
    <w:rsid w:val="00DE3578"/>
    <w:rsid w:val="00E029A1"/>
    <w:rsid w:val="00E12582"/>
    <w:rsid w:val="00E13669"/>
    <w:rsid w:val="00E22191"/>
    <w:rsid w:val="00E303E4"/>
    <w:rsid w:val="00E31353"/>
    <w:rsid w:val="00E313B5"/>
    <w:rsid w:val="00E6235B"/>
    <w:rsid w:val="00E76D6C"/>
    <w:rsid w:val="00E82D32"/>
    <w:rsid w:val="00E94B9F"/>
    <w:rsid w:val="00ED0FC3"/>
    <w:rsid w:val="00ED1019"/>
    <w:rsid w:val="00ED73C7"/>
    <w:rsid w:val="00EF23D3"/>
    <w:rsid w:val="00F03836"/>
    <w:rsid w:val="00F5489A"/>
    <w:rsid w:val="00F60ADB"/>
    <w:rsid w:val="00F61D13"/>
    <w:rsid w:val="00F62FB8"/>
    <w:rsid w:val="00F705D6"/>
    <w:rsid w:val="00F71097"/>
    <w:rsid w:val="00F75379"/>
    <w:rsid w:val="00F80CB7"/>
    <w:rsid w:val="00FA6723"/>
    <w:rsid w:val="00FB2BEC"/>
    <w:rsid w:val="00FB3099"/>
    <w:rsid w:val="00FB50E7"/>
    <w:rsid w:val="00FB571C"/>
    <w:rsid w:val="00FC4DE2"/>
    <w:rsid w:val="00FD2B3A"/>
    <w:rsid w:val="00FE3886"/>
    <w:rsid w:val="00FE39EE"/>
    <w:rsid w:val="00FE611D"/>
    <w:rsid w:val="00FF0D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8179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74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C7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semiHidden/>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7C74BF"/>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rsid w:val="007C74BF"/>
    <w:rPr>
      <w:rFonts w:asciiTheme="majorHAnsi" w:eastAsiaTheme="majorEastAsia" w:hAnsiTheme="majorHAnsi" w:cstheme="majorBidi"/>
      <w:color w:val="1F4D78" w:themeColor="accent1" w:themeShade="7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260328831">
      <w:bodyDiv w:val="1"/>
      <w:marLeft w:val="0"/>
      <w:marRight w:val="0"/>
      <w:marTop w:val="0"/>
      <w:marBottom w:val="0"/>
      <w:divBdr>
        <w:top w:val="none" w:sz="0" w:space="0" w:color="auto"/>
        <w:left w:val="none" w:sz="0" w:space="0" w:color="auto"/>
        <w:bottom w:val="none" w:sz="0" w:space="0" w:color="auto"/>
        <w:right w:val="none" w:sz="0" w:space="0" w:color="auto"/>
      </w:divBdr>
    </w:div>
    <w:div w:id="1271278352">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ORDEN DEL DÍA</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del Consuelo Gonzalez Moreno</cp:lastModifiedBy>
  <cp:revision>5</cp:revision>
  <cp:lastPrinted>2017-01-25T03:12:00Z</cp:lastPrinted>
  <dcterms:created xsi:type="dcterms:W3CDTF">2017-01-25T03:16:00Z</dcterms:created>
  <dcterms:modified xsi:type="dcterms:W3CDTF">2017-01-26T19:46:00Z</dcterms:modified>
</cp:coreProperties>
</file>