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09" w:rsidRPr="009E7E09" w:rsidRDefault="009E7E09" w:rsidP="009E7E09">
      <w:pPr>
        <w:pStyle w:val="Ttulo1"/>
        <w:spacing w:before="40" w:after="240" w:line="240" w:lineRule="auto"/>
        <w:rPr>
          <w:color w:val="000000" w:themeColor="text1"/>
          <w:sz w:val="22"/>
          <w:szCs w:val="22"/>
        </w:rPr>
      </w:pPr>
      <w:r w:rsidRPr="009E7E09">
        <w:rPr>
          <w:color w:val="000000" w:themeColor="text1"/>
          <w:sz w:val="22"/>
          <w:szCs w:val="22"/>
        </w:rPr>
        <w:t xml:space="preserve">VERSIÓN PÚBLICA DEL ACUERDO </w:t>
      </w:r>
      <w:r w:rsidRPr="009E7E09">
        <w:rPr>
          <w:color w:val="000000" w:themeColor="text1"/>
          <w:sz w:val="22"/>
          <w:szCs w:val="22"/>
        </w:rPr>
        <w:t>P/IFT/EXT/050417/123-Bis</w:t>
      </w:r>
    </w:p>
    <w:p w:rsidR="009E7E09" w:rsidRDefault="009E7E09" w:rsidP="009E7E09">
      <w:pPr>
        <w:pStyle w:val="Textoindependiente"/>
        <w:spacing w:line="360" w:lineRule="auto"/>
        <w:jc w:val="center"/>
        <w:rPr>
          <w:rFonts w:ascii="ITC Avant Garde" w:hAnsi="ITC Avant Garde"/>
          <w:b/>
          <w:sz w:val="20"/>
          <w:szCs w:val="20"/>
        </w:rPr>
      </w:pPr>
      <w:r>
        <w:rPr>
          <w:rFonts w:ascii="ITC Avant Garde" w:hAnsi="ITC Avant Garde"/>
          <w:b/>
          <w:sz w:val="20"/>
          <w:szCs w:val="20"/>
        </w:rPr>
        <w:t>DE LA SESIÓN DEL PLENO DEL INSTITUTO FEDERAL DE TELECOMUNICACIONES EN SU VI SESIÓN EXTRAO</w:t>
      </w:r>
      <w:r w:rsidRPr="00BD2557">
        <w:rPr>
          <w:rFonts w:ascii="ITC Avant Garde" w:hAnsi="ITC Avant Garde"/>
          <w:b/>
          <w:sz w:val="20"/>
          <w:szCs w:val="20"/>
        </w:rPr>
        <w:t>RDINARIA</w:t>
      </w:r>
      <w:r>
        <w:rPr>
          <w:rFonts w:ascii="ITC Avant Garde" w:hAnsi="ITC Avant Garde"/>
          <w:b/>
          <w:sz w:val="20"/>
          <w:szCs w:val="20"/>
        </w:rPr>
        <w:t xml:space="preserve"> DEL 201</w:t>
      </w:r>
      <w:r>
        <w:rPr>
          <w:rFonts w:ascii="ITC Avant Garde" w:hAnsi="ITC Avant Garde"/>
          <w:b/>
          <w:sz w:val="20"/>
          <w:szCs w:val="20"/>
        </w:rPr>
        <w:t>7</w:t>
      </w:r>
      <w:r>
        <w:rPr>
          <w:rFonts w:ascii="ITC Avant Garde" w:hAnsi="ITC Avant Garde"/>
          <w:b/>
          <w:sz w:val="20"/>
          <w:szCs w:val="20"/>
        </w:rPr>
        <w:t>, CELEBRADA EL 5</w:t>
      </w:r>
      <w:r w:rsidRPr="00BD2557">
        <w:rPr>
          <w:rFonts w:ascii="ITC Avant Garde" w:hAnsi="ITC Avant Garde"/>
          <w:b/>
          <w:sz w:val="20"/>
          <w:szCs w:val="20"/>
        </w:rPr>
        <w:t xml:space="preserve"> DE </w:t>
      </w:r>
      <w:r>
        <w:rPr>
          <w:rFonts w:ascii="ITC Avant Garde" w:hAnsi="ITC Avant Garde"/>
          <w:b/>
          <w:sz w:val="20"/>
          <w:szCs w:val="20"/>
        </w:rPr>
        <w:t>ABRIL</w:t>
      </w:r>
      <w:r w:rsidRPr="00BD2557">
        <w:rPr>
          <w:rFonts w:ascii="ITC Avant Garde" w:hAnsi="ITC Avant Garde"/>
          <w:b/>
          <w:sz w:val="20"/>
          <w:szCs w:val="20"/>
        </w:rPr>
        <w:t xml:space="preserve"> DE 2017</w:t>
      </w:r>
      <w:r>
        <w:rPr>
          <w:rFonts w:ascii="ITC Avant Garde" w:hAnsi="ITC Avant Garde"/>
          <w:b/>
          <w:sz w:val="20"/>
          <w:szCs w:val="20"/>
        </w:rPr>
        <w:t>.</w:t>
      </w:r>
    </w:p>
    <w:p w:rsidR="009E7E09" w:rsidRPr="009E7E09" w:rsidRDefault="009E7E09" w:rsidP="009E7E09">
      <w:pPr>
        <w:pStyle w:val="Ttulo2"/>
        <w:spacing w:before="360" w:after="240" w:line="360" w:lineRule="auto"/>
        <w:contextualSpacing/>
        <w:jc w:val="center"/>
        <w:rPr>
          <w:rFonts w:eastAsia="Arial"/>
          <w:color w:val="000000"/>
          <w:sz w:val="21"/>
          <w:szCs w:val="21"/>
          <w:lang w:eastAsia="es-MX"/>
        </w:rPr>
      </w:pPr>
      <w:r w:rsidRPr="009E7E09">
        <w:rPr>
          <w:rFonts w:eastAsia="Arial"/>
          <w:color w:val="000000"/>
          <w:sz w:val="21"/>
          <w:szCs w:val="21"/>
          <w:lang w:eastAsia="es-MX"/>
        </w:rPr>
        <w:t>LEYENDA DE LA CLASIFICACIÓN</w:t>
      </w:r>
    </w:p>
    <w:p w:rsidR="009E7E09" w:rsidRPr="009E7E09" w:rsidRDefault="009E7E09" w:rsidP="009E7E09">
      <w:pPr>
        <w:pStyle w:val="Textoindependiente"/>
        <w:spacing w:line="360" w:lineRule="auto"/>
        <w:jc w:val="both"/>
        <w:rPr>
          <w:rFonts w:ascii="ITC Avant Garde" w:eastAsia="Times New Roman" w:hAnsi="ITC Avant Garde" w:cs="Times New Roman"/>
          <w:bCs/>
          <w:color w:val="000000"/>
          <w:sz w:val="20"/>
          <w:szCs w:val="20"/>
          <w:lang w:val="es-419" w:eastAsia="es-MX"/>
        </w:rPr>
      </w:pPr>
      <w:r w:rsidRPr="009E7E09">
        <w:rPr>
          <w:rFonts w:ascii="ITC Avant Garde" w:eastAsia="Times New Roman" w:hAnsi="ITC Avant Garde"/>
          <w:b/>
          <w:bCs/>
          <w:color w:val="000000"/>
          <w:sz w:val="20"/>
          <w:szCs w:val="20"/>
          <w:lang w:val="es-419" w:eastAsia="es-MX"/>
        </w:rPr>
        <w:t>Fecha de Clasificación:</w:t>
      </w:r>
      <w:r w:rsidRPr="009E7E09">
        <w:rPr>
          <w:rFonts w:ascii="ITC Avant Garde" w:eastAsia="Times New Roman" w:hAnsi="ITC Avant Garde"/>
          <w:bCs/>
          <w:color w:val="000000"/>
          <w:sz w:val="20"/>
          <w:szCs w:val="20"/>
          <w:lang w:val="es-419" w:eastAsia="es-MX"/>
        </w:rPr>
        <w:t xml:space="preserve"> </w:t>
      </w:r>
      <w:r w:rsidRPr="009E7E09">
        <w:rPr>
          <w:rFonts w:ascii="ITC Avant Garde" w:hAnsi="ITC Avant Garde"/>
          <w:sz w:val="20"/>
          <w:szCs w:val="20"/>
          <w:lang w:val="es-419"/>
        </w:rPr>
        <w:t>5 de abril de 2017</w:t>
      </w:r>
      <w:r w:rsidRPr="009E7E09">
        <w:rPr>
          <w:rFonts w:ascii="ITC Avant Garde" w:eastAsia="Times New Roman" w:hAnsi="ITC Avant Garde"/>
          <w:bCs/>
          <w:color w:val="000000"/>
          <w:sz w:val="20"/>
          <w:szCs w:val="20"/>
          <w:lang w:val="es-419" w:eastAsia="es-MX"/>
        </w:rPr>
        <w:t xml:space="preserve">. </w:t>
      </w:r>
    </w:p>
    <w:p w:rsidR="009E7E09" w:rsidRPr="009E7E09" w:rsidRDefault="009E7E09" w:rsidP="009E7E09">
      <w:pPr>
        <w:pStyle w:val="Textoindependiente"/>
        <w:spacing w:line="360" w:lineRule="auto"/>
        <w:jc w:val="both"/>
        <w:rPr>
          <w:rFonts w:ascii="ITC Avant Garde" w:eastAsia="Calibri" w:hAnsi="ITC Avant Garde"/>
          <w:sz w:val="20"/>
          <w:szCs w:val="20"/>
          <w:lang w:val="es-419"/>
        </w:rPr>
      </w:pPr>
      <w:r w:rsidRPr="009E7E09">
        <w:rPr>
          <w:rFonts w:ascii="ITC Avant Garde" w:eastAsia="Times New Roman" w:hAnsi="ITC Avant Garde"/>
          <w:b/>
          <w:bCs/>
          <w:color w:val="000000"/>
          <w:sz w:val="20"/>
          <w:szCs w:val="20"/>
          <w:lang w:val="es-419" w:eastAsia="es-MX"/>
        </w:rPr>
        <w:t>Unidad Administrativa:</w:t>
      </w:r>
      <w:r w:rsidRPr="009E7E09">
        <w:rPr>
          <w:rFonts w:ascii="ITC Avant Garde" w:eastAsia="Times New Roman" w:hAnsi="ITC Avant Garde"/>
          <w:bCs/>
          <w:color w:val="000000"/>
          <w:sz w:val="20"/>
          <w:szCs w:val="20"/>
          <w:lang w:val="es-419" w:eastAsia="es-MX"/>
        </w:rPr>
        <w:t xml:space="preserve"> </w:t>
      </w:r>
      <w:r w:rsidRPr="009E7E09">
        <w:rPr>
          <w:rFonts w:ascii="ITC Avant Garde" w:hAnsi="ITC Avant Garde" w:cs="Tahoma"/>
          <w:color w:val="000000"/>
          <w:sz w:val="20"/>
          <w:szCs w:val="20"/>
          <w:lang w:val="es-419" w:eastAsia="es-MX"/>
        </w:rPr>
        <w:t xml:space="preserve">Secretaría Técnica del Pleno (STP),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Procedimientos de Competencia, remitida a la STP mediante oficio IFT/226/UCE/DG-PCOM/056/2017 de fecha 18 de abril de 2017, por contener información </w:t>
      </w:r>
      <w:r w:rsidRPr="009E7E09">
        <w:rPr>
          <w:rFonts w:ascii="ITC Avant Garde" w:hAnsi="ITC Avant Garde" w:cs="Tahoma"/>
          <w:b/>
          <w:color w:val="000000"/>
          <w:sz w:val="20"/>
          <w:szCs w:val="20"/>
          <w:lang w:val="es-419" w:eastAsia="es-MX"/>
        </w:rPr>
        <w:t>Confidencial</w:t>
      </w:r>
      <w:r w:rsidRPr="009E7E09">
        <w:rPr>
          <w:rFonts w:ascii="ITC Avant Garde" w:hAnsi="ITC Avant Garde"/>
          <w:sz w:val="20"/>
          <w:szCs w:val="20"/>
          <w:lang w:val="es-419"/>
        </w:rPr>
        <w:t>.</w:t>
      </w:r>
    </w:p>
    <w:p w:rsidR="009E7E09" w:rsidRPr="009E7E09" w:rsidRDefault="009E7E09" w:rsidP="009E7E09">
      <w:pPr>
        <w:pStyle w:val="Textoindependiente"/>
        <w:spacing w:line="360" w:lineRule="auto"/>
        <w:jc w:val="both"/>
        <w:rPr>
          <w:rFonts w:ascii="ITC Avant Garde" w:eastAsia="Times New Roman" w:hAnsi="ITC Avant Garde"/>
          <w:bCs/>
          <w:color w:val="000000"/>
          <w:sz w:val="20"/>
          <w:szCs w:val="20"/>
          <w:lang w:val="es-419" w:eastAsia="es-MX"/>
        </w:rPr>
      </w:pPr>
      <w:r w:rsidRPr="009E7E09">
        <w:rPr>
          <w:rFonts w:ascii="ITC Avant Garde" w:eastAsia="Times New Roman" w:hAnsi="ITC Avant Garde"/>
          <w:b/>
          <w:bCs/>
          <w:color w:val="000000"/>
          <w:sz w:val="20"/>
          <w:szCs w:val="20"/>
          <w:lang w:val="es-419" w:eastAsia="es-MX"/>
        </w:rPr>
        <w:t>Núm. de Resolución:</w:t>
      </w:r>
      <w:r w:rsidRPr="009E7E09">
        <w:rPr>
          <w:rFonts w:ascii="ITC Avant Garde" w:eastAsia="Times New Roman" w:hAnsi="ITC Avant Garde"/>
          <w:bCs/>
          <w:color w:val="000000"/>
          <w:sz w:val="20"/>
          <w:szCs w:val="20"/>
          <w:lang w:val="es-419" w:eastAsia="es-MX"/>
        </w:rPr>
        <w:t xml:space="preserve"> </w:t>
      </w:r>
      <w:r w:rsidRPr="009E7E09">
        <w:rPr>
          <w:rFonts w:ascii="ITC Avant Garde" w:hAnsi="ITC Avant Garde"/>
          <w:sz w:val="20"/>
          <w:szCs w:val="20"/>
          <w:lang w:val="es-419"/>
        </w:rPr>
        <w:t>P</w:t>
      </w:r>
      <w:r w:rsidRPr="009E7E09">
        <w:rPr>
          <w:rFonts w:ascii="ITC Avant Garde" w:eastAsia="Times New Roman" w:hAnsi="ITC Avant Garde"/>
          <w:bCs/>
          <w:color w:val="000000"/>
          <w:sz w:val="20"/>
          <w:szCs w:val="20"/>
          <w:lang w:val="es-419" w:eastAsia="es-MX"/>
        </w:rPr>
        <w:t>/IFT/EXT/050417/123-Bis.</w:t>
      </w:r>
    </w:p>
    <w:p w:rsidR="009E7E09" w:rsidRPr="009E7E09" w:rsidRDefault="009E7E09" w:rsidP="009E7E09">
      <w:pPr>
        <w:pStyle w:val="Textoindependiente"/>
        <w:spacing w:line="360" w:lineRule="auto"/>
        <w:jc w:val="both"/>
        <w:rPr>
          <w:rFonts w:ascii="ITC Avant Garde" w:hAnsi="ITC Avant Garde"/>
          <w:sz w:val="20"/>
          <w:szCs w:val="20"/>
          <w:lang w:val="es-419"/>
        </w:rPr>
      </w:pPr>
      <w:r w:rsidRPr="009E7E09">
        <w:rPr>
          <w:rFonts w:ascii="ITC Avant Garde" w:eastAsia="Times New Roman" w:hAnsi="ITC Avant Garde"/>
          <w:b/>
          <w:bCs/>
          <w:color w:val="000000"/>
          <w:sz w:val="20"/>
          <w:szCs w:val="20"/>
          <w:lang w:val="es-419" w:eastAsia="es-MX"/>
        </w:rPr>
        <w:t>Descripción del asunto:</w:t>
      </w:r>
      <w:r w:rsidRPr="009E7E09">
        <w:rPr>
          <w:rFonts w:ascii="ITC Avant Garde" w:eastAsia="Times New Roman" w:hAnsi="ITC Avant Garde"/>
          <w:bCs/>
          <w:color w:val="000000"/>
          <w:sz w:val="20"/>
          <w:szCs w:val="20"/>
          <w:lang w:val="es-419" w:eastAsia="es-MX"/>
        </w:rPr>
        <w:t xml:space="preserve"> </w:t>
      </w:r>
      <w:r w:rsidRPr="009E7E09">
        <w:rPr>
          <w:rFonts w:ascii="ITC Avant Garde" w:hAnsi="ITC Avant Garde"/>
          <w:sz w:val="20"/>
          <w:szCs w:val="20"/>
          <w:lang w:val="es-419"/>
        </w:rPr>
        <w:t>Resolución en el procedimiento seguido en forma de juicio tramitado en el expediente</w:t>
      </w:r>
      <w:r w:rsidRPr="009E7E09">
        <w:rPr>
          <w:rFonts w:ascii="ITC Avant Garde" w:hAnsi="ITC Avant Garde"/>
          <w:sz w:val="20"/>
          <w:szCs w:val="20"/>
          <w:lang w:val="es-MX"/>
        </w:rPr>
        <w:t xml:space="preserve"> </w:t>
      </w:r>
      <w:r w:rsidRPr="009E7E09">
        <w:rPr>
          <w:rFonts w:ascii="ITC Avant Garde" w:hAnsi="ITC Avant Garde"/>
          <w:sz w:val="20"/>
          <w:szCs w:val="20"/>
          <w:lang w:val="es-419"/>
        </w:rPr>
        <w:t>E-IFT/UC/DGIPM/CP/0003/2013, por la probable realización de una concentración prohibida y su omisión de ser notificada al Instituto Federal de Telecomunicaciones de conformidad con la Ley Federal de Competencia Económica.</w:t>
      </w:r>
    </w:p>
    <w:p w:rsidR="009E7E09" w:rsidRPr="009E7E09" w:rsidRDefault="009E7E09" w:rsidP="009E7E09">
      <w:pPr>
        <w:pStyle w:val="Textoindependiente"/>
        <w:spacing w:line="360" w:lineRule="auto"/>
        <w:jc w:val="both"/>
        <w:rPr>
          <w:rFonts w:ascii="ITC Avant Garde" w:hAnsi="ITC Avant Garde"/>
          <w:sz w:val="20"/>
          <w:szCs w:val="20"/>
          <w:lang w:val="es-419"/>
        </w:rPr>
      </w:pPr>
      <w:r w:rsidRPr="009E7E09">
        <w:rPr>
          <w:rFonts w:ascii="ITC Avant Garde" w:eastAsia="Times New Roman" w:hAnsi="ITC Avant Garde"/>
          <w:b/>
          <w:bCs/>
          <w:color w:val="000000"/>
          <w:sz w:val="20"/>
          <w:szCs w:val="20"/>
          <w:lang w:val="es-419" w:eastAsia="es-MX"/>
        </w:rPr>
        <w:t>Fundamento legal:</w:t>
      </w:r>
      <w:r w:rsidRPr="009E7E09">
        <w:rPr>
          <w:rFonts w:ascii="ITC Avant Garde" w:eastAsia="Times New Roman" w:hAnsi="ITC Avant Garde"/>
          <w:bCs/>
          <w:color w:val="000000"/>
          <w:sz w:val="20"/>
          <w:szCs w:val="20"/>
          <w:lang w:val="es-419" w:eastAsia="es-MX"/>
        </w:rPr>
        <w:t xml:space="preserve"> </w:t>
      </w:r>
      <w:r w:rsidRPr="009E7E09">
        <w:rPr>
          <w:rFonts w:ascii="ITC Avant Garde" w:hAnsi="ITC Avant Garde"/>
          <w:sz w:val="20"/>
          <w:szCs w:val="20"/>
          <w:lang w:val="es-419"/>
        </w:rPr>
        <w:t>Confidencial, con fundamento en el artículo 31 bis, fracciones I y II de la Ley Federal de Competencia Económica, con relación al artículo 113 de la Ley Federal de Transparencia y Acceso a la Información Pública, así como los Lineamientos Trigésimo Octavo y Cuadragésimo de os Lineamientos Generales en materia de clasificación y Desclasificación de la Información para la elaboración de versiones</w:t>
      </w:r>
      <w:bookmarkStart w:id="0" w:name="_GoBack"/>
      <w:bookmarkEnd w:id="0"/>
      <w:r w:rsidRPr="009E7E09">
        <w:rPr>
          <w:rFonts w:ascii="ITC Avant Garde" w:hAnsi="ITC Avant Garde"/>
          <w:sz w:val="20"/>
          <w:szCs w:val="20"/>
          <w:lang w:val="es-419"/>
        </w:rPr>
        <w:t xml:space="preserve"> públicas.</w:t>
      </w:r>
    </w:p>
    <w:p w:rsidR="009E7E09" w:rsidRPr="009E7E09" w:rsidRDefault="009E7E09" w:rsidP="009E7E09">
      <w:pPr>
        <w:pStyle w:val="Textoindependiente"/>
        <w:spacing w:line="360" w:lineRule="auto"/>
        <w:jc w:val="both"/>
        <w:rPr>
          <w:rFonts w:ascii="ITC Avant Garde" w:eastAsia="Times New Roman" w:hAnsi="ITC Avant Garde"/>
          <w:bCs/>
          <w:color w:val="000000"/>
          <w:sz w:val="20"/>
          <w:szCs w:val="20"/>
          <w:lang w:val="es-419" w:eastAsia="es-MX"/>
        </w:rPr>
      </w:pPr>
      <w:r w:rsidRPr="009E7E09">
        <w:rPr>
          <w:rFonts w:ascii="ITC Avant Garde" w:eastAsia="Times New Roman" w:hAnsi="ITC Avant Garde"/>
          <w:b/>
          <w:bCs/>
          <w:color w:val="000000"/>
          <w:sz w:val="20"/>
          <w:szCs w:val="20"/>
          <w:lang w:val="es-419" w:eastAsia="es-MX"/>
        </w:rPr>
        <w:t>Motivación:</w:t>
      </w:r>
      <w:r w:rsidRPr="009E7E09">
        <w:rPr>
          <w:rFonts w:ascii="ITC Avant Garde" w:eastAsia="Times New Roman" w:hAnsi="ITC Avant Garde"/>
          <w:bCs/>
          <w:color w:val="000000"/>
          <w:sz w:val="20"/>
          <w:szCs w:val="20"/>
          <w:lang w:val="es-419" w:eastAsia="es-MX"/>
        </w:rPr>
        <w:t xml:space="preserve"> </w:t>
      </w:r>
      <w:r w:rsidRPr="009E7E09">
        <w:rPr>
          <w:rFonts w:ascii="ITC Avant Garde" w:hAnsi="ITC Avant Garde"/>
          <w:sz w:val="20"/>
          <w:szCs w:val="20"/>
          <w:lang w:val="es-419"/>
        </w:rPr>
        <w:t>Contiene información que es considerada Confidencial por el solicitante, y que de hacerse pública, podría causar daño o perjuicio en la posición competitiva de las empresas.</w:t>
      </w:r>
    </w:p>
    <w:p w:rsidR="009E7E09" w:rsidRPr="009E7E09" w:rsidRDefault="009E7E09" w:rsidP="009E7E09">
      <w:pPr>
        <w:pStyle w:val="Textoindependiente"/>
        <w:spacing w:line="360" w:lineRule="auto"/>
        <w:jc w:val="both"/>
        <w:rPr>
          <w:rFonts w:ascii="ITC Avant Garde" w:eastAsia="Times New Roman" w:hAnsi="ITC Avant Garde"/>
          <w:bCs/>
          <w:color w:val="000000"/>
          <w:sz w:val="20"/>
          <w:szCs w:val="20"/>
          <w:lang w:eastAsia="es-MX"/>
        </w:rPr>
      </w:pPr>
      <w:r w:rsidRPr="009E7E09">
        <w:rPr>
          <w:rFonts w:ascii="ITC Avant Garde" w:eastAsia="Times New Roman" w:hAnsi="ITC Avant Garde"/>
          <w:b/>
          <w:bCs/>
          <w:color w:val="000000"/>
          <w:sz w:val="20"/>
          <w:szCs w:val="20"/>
          <w:lang w:val="es-419" w:eastAsia="es-MX"/>
        </w:rPr>
        <w:t>Secciones Confidenciales:</w:t>
      </w:r>
      <w:r w:rsidRPr="009E7E09">
        <w:rPr>
          <w:rFonts w:ascii="ITC Avant Garde" w:eastAsia="Times New Roman" w:hAnsi="ITC Avant Garde"/>
          <w:bCs/>
          <w:color w:val="000000"/>
          <w:sz w:val="20"/>
          <w:szCs w:val="20"/>
          <w:lang w:val="es-419" w:eastAsia="es-MX"/>
        </w:rPr>
        <w:t xml:space="preserve"> Las secciones marcadas en color azul con la inscripción</w:t>
      </w:r>
      <w:r w:rsidRPr="009E7E09">
        <w:rPr>
          <w:rFonts w:ascii="ITC Avant Garde" w:eastAsia="Times New Roman" w:hAnsi="ITC Avant Garde"/>
          <w:bCs/>
          <w:color w:val="000000"/>
          <w:sz w:val="20"/>
          <w:szCs w:val="20"/>
          <w:lang w:val="es-419" w:eastAsia="es-MX"/>
        </w:rPr>
        <w:t xml:space="preserve"> </w:t>
      </w:r>
      <w:r w:rsidRPr="009E7E09">
        <w:rPr>
          <w:rFonts w:ascii="ITC Avant Garde" w:eastAsia="Times New Roman" w:hAnsi="ITC Avant Garde"/>
          <w:bCs/>
          <w:color w:val="000000"/>
          <w:sz w:val="20"/>
          <w:szCs w:val="20"/>
          <w:lang w:val="es-419" w:eastAsia="es-MX"/>
        </w:rPr>
        <w:t xml:space="preserve">que dice </w:t>
      </w:r>
      <w:r w:rsidRPr="009E7E09">
        <w:rPr>
          <w:rFonts w:ascii="ITC Avant Garde" w:eastAsia="Times New Roman" w:hAnsi="ITC Avant Garde"/>
          <w:b/>
          <w:bCs/>
          <w:color w:val="0000CC"/>
          <w:sz w:val="20"/>
          <w:szCs w:val="20"/>
          <w:lang w:val="es-419" w:eastAsia="es-MX"/>
        </w:rPr>
        <w:t>“CONFIDENCIAL POR</w:t>
      </w:r>
      <w:r w:rsidRPr="009E7E09">
        <w:rPr>
          <w:rFonts w:ascii="ITC Avant Garde" w:eastAsia="Times New Roman" w:hAnsi="ITC Avant Garde"/>
          <w:b/>
          <w:bCs/>
          <w:color w:val="0000CC"/>
          <w:sz w:val="20"/>
          <w:szCs w:val="20"/>
          <w:lang w:eastAsia="es-MX"/>
        </w:rPr>
        <w:t xml:space="preserve"> LEY”</w:t>
      </w:r>
      <w:r w:rsidRPr="009E7E09">
        <w:rPr>
          <w:rFonts w:ascii="ITC Avant Garde" w:eastAsia="Times New Roman" w:hAnsi="ITC Avant Garde"/>
          <w:bCs/>
          <w:color w:val="000000"/>
          <w:sz w:val="20"/>
          <w:szCs w:val="20"/>
          <w:lang w:eastAsia="es-MX"/>
        </w:rPr>
        <w:t>.</w:t>
      </w:r>
    </w:p>
    <w:p w:rsidR="009E7E09" w:rsidRDefault="009E7E09" w:rsidP="009E7E09">
      <w:pPr>
        <w:spacing w:after="0" w:line="360" w:lineRule="auto"/>
        <w:rPr>
          <w:rFonts w:ascii="ITC Avant Garde" w:eastAsia="Times New Roman" w:hAnsi="ITC Avant Garde"/>
          <w:bCs/>
          <w:color w:val="000000"/>
          <w:sz w:val="20"/>
          <w:szCs w:val="20"/>
          <w:lang w:eastAsia="es-MX"/>
        </w:rPr>
        <w:sectPr w:rsidR="009E7E09">
          <w:pgSz w:w="12240" w:h="15840"/>
          <w:pgMar w:top="2127" w:right="1750" w:bottom="1418" w:left="1701" w:header="709" w:footer="992" w:gutter="0"/>
          <w:cols w:space="720"/>
        </w:sectPr>
      </w:pPr>
    </w:p>
    <w:p w:rsidR="00905BE0" w:rsidRPr="00B95D50" w:rsidRDefault="00B53865" w:rsidP="0019247C">
      <w:pPr>
        <w:autoSpaceDE w:val="0"/>
        <w:autoSpaceDN w:val="0"/>
        <w:adjustRightInd w:val="0"/>
        <w:spacing w:line="240" w:lineRule="auto"/>
        <w:jc w:val="both"/>
        <w:rPr>
          <w:rFonts w:ascii="ITC Avant Garde" w:hAnsi="ITC Avant Garde" w:cs="Helvetica"/>
          <w:sz w:val="24"/>
        </w:rPr>
      </w:pPr>
      <w:r w:rsidRPr="00B95D50">
        <w:rPr>
          <w:rFonts w:ascii="ITC Avant Garde" w:hAnsi="ITC Avant Garde" w:cs="Helvetica"/>
          <w:color w:val="0D0D0D" w:themeColor="text1" w:themeTint="F2"/>
          <w:sz w:val="24"/>
          <w:szCs w:val="24"/>
        </w:rPr>
        <w:lastRenderedPageBreak/>
        <w:t xml:space="preserve">Ciudad de </w:t>
      </w:r>
      <w:r w:rsidR="00905BE0" w:rsidRPr="00B95D50">
        <w:rPr>
          <w:rFonts w:ascii="ITC Avant Garde" w:hAnsi="ITC Avant Garde" w:cs="Helvetica"/>
          <w:color w:val="0D0D0D" w:themeColor="text1" w:themeTint="F2"/>
          <w:sz w:val="24"/>
          <w:szCs w:val="24"/>
        </w:rPr>
        <w:t>M</w:t>
      </w:r>
      <w:r w:rsidR="00905BE0" w:rsidRPr="00B95D50">
        <w:rPr>
          <w:rFonts w:ascii="ITC Avant Garde" w:hAnsi="ITC Avant Garde" w:cs="Helvetica"/>
          <w:color w:val="0D0D0D" w:themeColor="text1" w:themeTint="F2"/>
          <w:sz w:val="24"/>
        </w:rPr>
        <w:t xml:space="preserve">éxico, a </w:t>
      </w:r>
      <w:r w:rsidRPr="00B95D50">
        <w:rPr>
          <w:rFonts w:ascii="ITC Avant Garde" w:hAnsi="ITC Avant Garde" w:cs="Helvetica"/>
          <w:color w:val="0D0D0D" w:themeColor="text1" w:themeTint="F2"/>
          <w:sz w:val="24"/>
        </w:rPr>
        <w:t>cinco de abril de dos mil diecisiete.</w:t>
      </w:r>
      <w:r w:rsidR="00905BE0" w:rsidRPr="00B95D50">
        <w:rPr>
          <w:rFonts w:ascii="ITC Avant Garde" w:hAnsi="ITC Avant Garde" w:cs="Helvetica"/>
          <w:color w:val="0D0D0D" w:themeColor="text1" w:themeTint="F2"/>
          <w:sz w:val="24"/>
        </w:rPr>
        <w:t>- Visto el expediente E-IFT/UC/DGIPM/CP/0003/2013</w:t>
      </w:r>
      <w:r w:rsidR="00AE1A50" w:rsidRPr="00B95D50">
        <w:rPr>
          <w:rFonts w:ascii="ITC Avant Garde" w:hAnsi="ITC Avant Garde" w:cs="Helvetica"/>
          <w:color w:val="0D0D0D" w:themeColor="text1" w:themeTint="F2"/>
          <w:sz w:val="24"/>
        </w:rPr>
        <w:t xml:space="preserve"> y</w:t>
      </w:r>
      <w:r w:rsidR="00905BE0" w:rsidRPr="00B95D50">
        <w:rPr>
          <w:rFonts w:ascii="ITC Avant Garde" w:hAnsi="ITC Avant Garde" w:cs="Helvetica"/>
          <w:color w:val="0D0D0D" w:themeColor="text1" w:themeTint="F2"/>
          <w:sz w:val="24"/>
        </w:rPr>
        <w:t>, con fundamento en los artículos</w:t>
      </w:r>
      <w:r w:rsidR="00EC4844" w:rsidRPr="00B95D50">
        <w:rPr>
          <w:rFonts w:ascii="ITC Avant Garde" w:hAnsi="ITC Avant Garde" w:cs="Helvetica"/>
          <w:color w:val="0D0D0D" w:themeColor="text1" w:themeTint="F2"/>
          <w:sz w:val="24"/>
        </w:rPr>
        <w:t>:</w:t>
      </w:r>
      <w:r w:rsidR="00905BE0" w:rsidRPr="00B95D50">
        <w:rPr>
          <w:rFonts w:ascii="ITC Avant Garde" w:hAnsi="ITC Avant Garde" w:cs="Helvetica"/>
          <w:color w:val="0D0D0D" w:themeColor="text1" w:themeTint="F2"/>
          <w:sz w:val="24"/>
        </w:rPr>
        <w:t xml:space="preserve"> 28, párrafos décimo </w:t>
      </w:r>
      <w:r w:rsidR="00CA3725">
        <w:rPr>
          <w:rFonts w:ascii="ITC Avant Garde" w:hAnsi="ITC Avant Garde" w:cs="Helvetica"/>
          <w:color w:val="0D0D0D" w:themeColor="text1" w:themeTint="F2"/>
          <w:sz w:val="24"/>
        </w:rPr>
        <w:t>cuarto,</w:t>
      </w:r>
      <w:r w:rsidR="00905BE0" w:rsidRPr="00B95D50">
        <w:rPr>
          <w:rFonts w:ascii="ITC Avant Garde" w:hAnsi="ITC Avant Garde" w:cs="Helvetica"/>
          <w:color w:val="0D0D0D" w:themeColor="text1" w:themeTint="F2"/>
          <w:sz w:val="24"/>
        </w:rPr>
        <w:t xml:space="preserve"> décimo quinto y décimo sexto de la Constitución Política de los Estados Unidos Mexicanos, Séptimo Transitorio del </w:t>
      </w:r>
      <w:r w:rsidR="00905BE0" w:rsidRPr="00B95D50">
        <w:rPr>
          <w:rFonts w:ascii="ITC Avant Garde" w:hAnsi="ITC Avant Garde" w:cs="Helvetica"/>
          <w:iCs/>
          <w:color w:val="0D0D0D" w:themeColor="text1" w:themeTint="F2"/>
          <w:sz w:val="24"/>
        </w:rPr>
        <w:t>“</w:t>
      </w:r>
      <w:r w:rsidR="00905BE0" w:rsidRPr="00B95D50">
        <w:rPr>
          <w:rFonts w:ascii="ITC Avant Garde" w:hAnsi="ITC Avant Garde" w:cs="Helvetica"/>
          <w:i/>
          <w:iCs/>
          <w:color w:val="0D0D0D" w:themeColor="text1" w:themeTint="F2"/>
          <w:sz w:val="24"/>
        </w:rPr>
        <w:t xml:space="preserve">Decreto por el que </w:t>
      </w:r>
      <w:r w:rsidR="00905BE0" w:rsidRPr="00B95D50">
        <w:rPr>
          <w:rFonts w:ascii="ITC Avant Garde" w:hAnsi="ITC Avant Garde" w:cs="Helvetica"/>
          <w:i/>
          <w:color w:val="0D0D0D" w:themeColor="text1" w:themeTint="F2"/>
          <w:sz w:val="24"/>
        </w:rPr>
        <w:t xml:space="preserve">se </w:t>
      </w:r>
      <w:r w:rsidR="00905BE0" w:rsidRPr="00B95D50">
        <w:rPr>
          <w:rFonts w:ascii="ITC Avant Garde" w:hAnsi="ITC Avant Garde" w:cs="Helvetica"/>
          <w:i/>
          <w:iCs/>
          <w:color w:val="0D0D0D" w:themeColor="text1" w:themeTint="F2"/>
          <w:sz w:val="24"/>
        </w:rPr>
        <w:t>reforman y</w:t>
      </w:r>
      <w:r w:rsidR="00905BE0" w:rsidRPr="00B95D50">
        <w:rPr>
          <w:rFonts w:ascii="ITC Avant Garde" w:hAnsi="ITC Avant Garde" w:cs="Helvetica"/>
          <w:i/>
          <w:color w:val="0D0D0D" w:themeColor="text1" w:themeTint="F2"/>
          <w:sz w:val="24"/>
        </w:rPr>
        <w:t xml:space="preserve"> </w:t>
      </w:r>
      <w:r w:rsidR="00905BE0" w:rsidRPr="00B95D50">
        <w:rPr>
          <w:rFonts w:ascii="ITC Avant Garde" w:hAnsi="ITC Avant Garde" w:cs="Helvetica"/>
          <w:i/>
          <w:iCs/>
          <w:color w:val="0D0D0D" w:themeColor="text1" w:themeTint="F2"/>
          <w:sz w:val="24"/>
        </w:rPr>
        <w:t xml:space="preserve">adicionan diversas disposiciones de los artículos 6°, </w:t>
      </w:r>
      <w:r w:rsidR="007D0B5E" w:rsidRPr="00B95D50">
        <w:rPr>
          <w:rFonts w:ascii="ITC Avant Garde" w:hAnsi="ITC Avant Garde" w:cs="Times New Roman"/>
          <w:i/>
          <w:color w:val="0D0D0D" w:themeColor="text1" w:themeTint="F2"/>
          <w:sz w:val="24"/>
        </w:rPr>
        <w:t>7º</w:t>
      </w:r>
      <w:r w:rsidR="00905BE0" w:rsidRPr="00B95D50">
        <w:rPr>
          <w:rFonts w:ascii="ITC Avant Garde" w:hAnsi="ITC Avant Garde" w:cs="Times New Roman"/>
          <w:i/>
          <w:color w:val="0D0D0D" w:themeColor="text1" w:themeTint="F2"/>
          <w:sz w:val="24"/>
        </w:rPr>
        <w:t xml:space="preserve">, 27, 28, 72, 78, 94 y 105 </w:t>
      </w:r>
      <w:r w:rsidR="00905BE0" w:rsidRPr="00B95D50">
        <w:rPr>
          <w:rFonts w:ascii="ITC Avant Garde" w:hAnsi="ITC Avant Garde" w:cs="Helvetica"/>
          <w:i/>
          <w:iCs/>
          <w:color w:val="0D0D0D" w:themeColor="text1" w:themeTint="F2"/>
          <w:sz w:val="24"/>
        </w:rPr>
        <w:t>de la</w:t>
      </w:r>
      <w:r w:rsidR="00905BE0" w:rsidRPr="00B95D50">
        <w:rPr>
          <w:rFonts w:ascii="ITC Avant Garde" w:hAnsi="ITC Avant Garde" w:cs="Helvetica"/>
          <w:i/>
          <w:color w:val="0D0D0D" w:themeColor="text1" w:themeTint="F2"/>
          <w:sz w:val="24"/>
        </w:rPr>
        <w:t xml:space="preserve"> </w:t>
      </w:r>
      <w:r w:rsidR="00905BE0" w:rsidRPr="00B95D50">
        <w:rPr>
          <w:rFonts w:ascii="ITC Avant Garde" w:hAnsi="ITC Avant Garde" w:cs="Helvetica"/>
          <w:i/>
          <w:iCs/>
          <w:color w:val="0D0D0D" w:themeColor="text1" w:themeTint="F2"/>
          <w:sz w:val="24"/>
        </w:rPr>
        <w:t>Constitución de los Estados Unidos Mexicanos</w:t>
      </w:r>
      <w:r w:rsidR="00C316D7" w:rsidRPr="00B95D50">
        <w:rPr>
          <w:rFonts w:ascii="ITC Avant Garde" w:hAnsi="ITC Avant Garde" w:cs="Helvetica"/>
          <w:iCs/>
          <w:color w:val="0D0D0D" w:themeColor="text1" w:themeTint="F2"/>
          <w:sz w:val="24"/>
        </w:rPr>
        <w:t>”</w:t>
      </w:r>
      <w:r w:rsidR="00905BE0" w:rsidRPr="00B95D50">
        <w:rPr>
          <w:rFonts w:ascii="ITC Avant Garde" w:hAnsi="ITC Avant Garde" w:cs="Helvetica"/>
          <w:iCs/>
          <w:color w:val="0D0D0D" w:themeColor="text1" w:themeTint="F2"/>
          <w:sz w:val="24"/>
        </w:rPr>
        <w:t xml:space="preserve">, </w:t>
      </w:r>
      <w:r w:rsidR="00905BE0" w:rsidRPr="00B95D50">
        <w:rPr>
          <w:rFonts w:ascii="ITC Avant Garde" w:hAnsi="ITC Avant Garde" w:cs="Helvetica"/>
          <w:color w:val="0D0D0D" w:themeColor="text1" w:themeTint="F2"/>
          <w:sz w:val="24"/>
        </w:rPr>
        <w:t>publicado en el Diario Oficial de la Federación el once de junio de dos mil trece; 1°, 2°</w:t>
      </w:r>
      <w:r w:rsidR="00BF628E" w:rsidRPr="00B95D50">
        <w:rPr>
          <w:rFonts w:ascii="ITC Avant Garde" w:hAnsi="ITC Avant Garde" w:cs="Helvetica"/>
          <w:color w:val="0D0D0D" w:themeColor="text1" w:themeTint="F2"/>
          <w:sz w:val="24"/>
        </w:rPr>
        <w:t>, primer párrafo</w:t>
      </w:r>
      <w:r w:rsidR="00905BE0" w:rsidRPr="00B95D50">
        <w:rPr>
          <w:rFonts w:ascii="ITC Avant Garde" w:hAnsi="ITC Avant Garde" w:cs="Helvetica"/>
          <w:color w:val="0D0D0D" w:themeColor="text1" w:themeTint="F2"/>
          <w:sz w:val="24"/>
        </w:rPr>
        <w:t xml:space="preserve">, </w:t>
      </w:r>
      <w:r w:rsidR="00905BE0" w:rsidRPr="00B95D50">
        <w:rPr>
          <w:rFonts w:ascii="ITC Avant Garde" w:hAnsi="ITC Avant Garde" w:cs="Times New Roman"/>
          <w:iCs/>
          <w:color w:val="0D0D0D" w:themeColor="text1" w:themeTint="F2"/>
          <w:sz w:val="24"/>
        </w:rPr>
        <w:t>3°,</w:t>
      </w:r>
      <w:r w:rsidR="00BF628E" w:rsidRPr="00B95D50">
        <w:rPr>
          <w:rFonts w:ascii="ITC Avant Garde" w:hAnsi="ITC Avant Garde" w:cs="Times New Roman"/>
          <w:iCs/>
          <w:color w:val="0D0D0D" w:themeColor="text1" w:themeTint="F2"/>
          <w:sz w:val="24"/>
        </w:rPr>
        <w:t xml:space="preserve"> 12, 13,</w:t>
      </w:r>
      <w:r w:rsidR="00905BE0" w:rsidRPr="00B95D50">
        <w:rPr>
          <w:rFonts w:ascii="ITC Avant Garde" w:hAnsi="ITC Avant Garde" w:cs="Times New Roman"/>
          <w:iCs/>
          <w:color w:val="0D0D0D" w:themeColor="text1" w:themeTint="F2"/>
          <w:sz w:val="24"/>
        </w:rPr>
        <w:t xml:space="preserve"> </w:t>
      </w:r>
      <w:r w:rsidR="00905BE0" w:rsidRPr="00B95D50">
        <w:rPr>
          <w:rFonts w:ascii="ITC Avant Garde" w:hAnsi="ITC Avant Garde" w:cs="Helvetica"/>
          <w:color w:val="0D0D0D" w:themeColor="text1" w:themeTint="F2"/>
          <w:sz w:val="24"/>
        </w:rPr>
        <w:t xml:space="preserve">16, 17, 18, </w:t>
      </w:r>
      <w:r w:rsidR="00453420" w:rsidRPr="00B95D50">
        <w:rPr>
          <w:rFonts w:ascii="ITC Avant Garde" w:hAnsi="ITC Avant Garde" w:cs="Helvetica"/>
          <w:color w:val="0D0D0D" w:themeColor="text1" w:themeTint="F2"/>
          <w:sz w:val="24"/>
        </w:rPr>
        <w:t xml:space="preserve">20, fracción I, </w:t>
      </w:r>
      <w:r w:rsidR="00905BE0" w:rsidRPr="00B95D50">
        <w:rPr>
          <w:rFonts w:ascii="ITC Avant Garde" w:hAnsi="ITC Avant Garde" w:cs="Helvetica"/>
          <w:color w:val="0D0D0D" w:themeColor="text1" w:themeTint="F2"/>
          <w:sz w:val="24"/>
        </w:rPr>
        <w:t>24, fracciones</w:t>
      </w:r>
      <w:r w:rsidR="00905BE0" w:rsidRPr="00B95D50">
        <w:rPr>
          <w:rFonts w:ascii="ITC Avant Garde" w:hAnsi="ITC Avant Garde" w:cs="Times New Roman"/>
          <w:color w:val="0D0D0D" w:themeColor="text1" w:themeTint="F2"/>
          <w:sz w:val="24"/>
        </w:rPr>
        <w:t xml:space="preserve"> </w:t>
      </w:r>
      <w:r w:rsidR="00905BE0" w:rsidRPr="00B95D50">
        <w:rPr>
          <w:rFonts w:ascii="ITC Avant Garde" w:hAnsi="ITC Avant Garde" w:cs="Helvetica"/>
          <w:color w:val="0D0D0D" w:themeColor="text1" w:themeTint="F2"/>
          <w:sz w:val="24"/>
        </w:rPr>
        <w:t>IV</w:t>
      </w:r>
      <w:r w:rsidR="007F23F1" w:rsidRPr="00B95D50">
        <w:rPr>
          <w:rFonts w:ascii="ITC Avant Garde" w:hAnsi="ITC Avant Garde" w:cs="Helvetica"/>
          <w:color w:val="0D0D0D" w:themeColor="text1" w:themeTint="F2"/>
          <w:sz w:val="24"/>
        </w:rPr>
        <w:t xml:space="preserve"> y</w:t>
      </w:r>
      <w:r w:rsidR="00905BE0" w:rsidRPr="00B95D50">
        <w:rPr>
          <w:rFonts w:ascii="ITC Avant Garde" w:hAnsi="ITC Avant Garde" w:cs="Helvetica"/>
          <w:color w:val="0D0D0D" w:themeColor="text1" w:themeTint="F2"/>
          <w:sz w:val="24"/>
        </w:rPr>
        <w:t xml:space="preserve"> XIX</w:t>
      </w:r>
      <w:r w:rsidR="007F23F1" w:rsidRPr="00B95D50">
        <w:rPr>
          <w:rFonts w:ascii="ITC Avant Garde" w:hAnsi="ITC Avant Garde" w:cs="Helvetica"/>
          <w:color w:val="0D0D0D" w:themeColor="text1" w:themeTint="F2"/>
          <w:sz w:val="24"/>
        </w:rPr>
        <w:t>,</w:t>
      </w:r>
      <w:r w:rsidR="00905BE0" w:rsidRPr="00B95D50">
        <w:rPr>
          <w:rFonts w:ascii="ITC Avant Garde" w:hAnsi="ITC Avant Garde" w:cs="Helvetica"/>
          <w:color w:val="0D0D0D" w:themeColor="text1" w:themeTint="F2"/>
          <w:sz w:val="24"/>
        </w:rPr>
        <w:t xml:space="preserve"> </w:t>
      </w:r>
      <w:r w:rsidR="007F23F1" w:rsidRPr="00B95D50">
        <w:rPr>
          <w:rFonts w:ascii="ITC Avant Garde" w:hAnsi="ITC Avant Garde" w:cs="Helvetica"/>
          <w:color w:val="0D0D0D" w:themeColor="text1" w:themeTint="F2"/>
          <w:sz w:val="24"/>
        </w:rPr>
        <w:t>y</w:t>
      </w:r>
      <w:r w:rsidR="00905BE0" w:rsidRPr="00B95D50">
        <w:rPr>
          <w:rFonts w:ascii="ITC Avant Garde" w:hAnsi="ITC Avant Garde" w:cs="Helvetica"/>
          <w:color w:val="0D0D0D" w:themeColor="text1" w:themeTint="F2"/>
          <w:sz w:val="24"/>
        </w:rPr>
        <w:t xml:space="preserve"> 33, fracción VI, de la Ley Federal de Competencia Económica</w:t>
      </w:r>
      <w:r w:rsidR="001D1911" w:rsidRPr="00B95D50">
        <w:rPr>
          <w:rFonts w:ascii="ITC Avant Garde" w:hAnsi="ITC Avant Garde" w:cs="Helvetica"/>
          <w:color w:val="0D0D0D" w:themeColor="text1" w:themeTint="F2"/>
          <w:sz w:val="24"/>
        </w:rPr>
        <w:t xml:space="preserve"> </w:t>
      </w:r>
      <w:r w:rsidR="00424898" w:rsidRPr="00B95D50">
        <w:rPr>
          <w:rFonts w:ascii="ITC Avant Garde" w:hAnsi="ITC Avant Garde" w:cs="Helvetica"/>
          <w:color w:val="0D0D0D" w:themeColor="text1" w:themeTint="F2"/>
          <w:sz w:val="24"/>
        </w:rPr>
        <w:t xml:space="preserve">expedida mediante Decreto </w:t>
      </w:r>
      <w:r w:rsidR="00424898" w:rsidRPr="00B95D50">
        <w:rPr>
          <w:rFonts w:ascii="ITC Avant Garde" w:hAnsi="ITC Avant Garde" w:cs="Helvetica"/>
          <w:sz w:val="24"/>
        </w:rPr>
        <w:t>publicado</w:t>
      </w:r>
      <w:r w:rsidR="001D1911" w:rsidRPr="00B95D50">
        <w:rPr>
          <w:rFonts w:ascii="ITC Avant Garde" w:hAnsi="ITC Avant Garde" w:cs="Helvetica"/>
          <w:sz w:val="24"/>
        </w:rPr>
        <w:t xml:space="preserve"> en el Diario Oficial de la Federación el veinticuatro de diciembre de mil novecientos noventa y dos</w:t>
      </w:r>
      <w:r w:rsidR="00C55C1E" w:rsidRPr="00B95D50">
        <w:rPr>
          <w:rFonts w:ascii="ITC Avant Garde" w:hAnsi="ITC Avant Garde" w:cs="Helvetica"/>
          <w:sz w:val="24"/>
        </w:rPr>
        <w:t xml:space="preserve"> y </w:t>
      </w:r>
      <w:r w:rsidR="00424898" w:rsidRPr="00B95D50">
        <w:rPr>
          <w:rFonts w:ascii="ITC Avant Garde" w:hAnsi="ITC Avant Garde" w:cs="Helvetica"/>
          <w:sz w:val="24"/>
        </w:rPr>
        <w:t xml:space="preserve">reformada mediante </w:t>
      </w:r>
      <w:r w:rsidR="00C55C1E" w:rsidRPr="00B95D50">
        <w:rPr>
          <w:rFonts w:ascii="ITC Avant Garde" w:hAnsi="ITC Avant Garde" w:cs="Helvetica"/>
          <w:sz w:val="24"/>
        </w:rPr>
        <w:t>Decreto publicado</w:t>
      </w:r>
      <w:r w:rsidR="001D1911" w:rsidRPr="00B95D50">
        <w:rPr>
          <w:rFonts w:ascii="ITC Avant Garde" w:hAnsi="ITC Avant Garde" w:cs="Helvetica"/>
          <w:sz w:val="24"/>
        </w:rPr>
        <w:t xml:space="preserve"> en el Diario Oficial de la Federación el nueve de abril del dos mil doce;</w:t>
      </w:r>
      <w:r w:rsidR="001D1911" w:rsidRPr="00B95D50">
        <w:rPr>
          <w:rFonts w:ascii="ITC Avant Garde" w:hAnsi="ITC Avant Garde" w:cs="Helvetica"/>
          <w:color w:val="0D0D0D" w:themeColor="text1" w:themeTint="F2"/>
          <w:sz w:val="24"/>
        </w:rPr>
        <w:t xml:space="preserve"> </w:t>
      </w:r>
      <w:r w:rsidR="00905BE0" w:rsidRPr="00B95D50">
        <w:rPr>
          <w:rFonts w:ascii="ITC Avant Garde" w:hAnsi="ITC Avant Garde" w:cs="Helvetica"/>
          <w:color w:val="0D0D0D" w:themeColor="text1" w:themeTint="F2"/>
          <w:sz w:val="24"/>
        </w:rPr>
        <w:t xml:space="preserve">así como 1, 4, fracción </w:t>
      </w:r>
      <w:r w:rsidR="00905BE0" w:rsidRPr="00B95D50">
        <w:rPr>
          <w:rFonts w:ascii="ITC Avant Garde" w:hAnsi="ITC Avant Garde" w:cs="Times New Roman"/>
          <w:color w:val="0D0D0D" w:themeColor="text1" w:themeTint="F2"/>
          <w:sz w:val="24"/>
        </w:rPr>
        <w:t xml:space="preserve">I, </w:t>
      </w:r>
      <w:r w:rsidR="00905BE0" w:rsidRPr="00B95D50">
        <w:rPr>
          <w:rFonts w:ascii="ITC Avant Garde" w:hAnsi="ITC Avant Garde" w:cs="Helvetica"/>
          <w:color w:val="0D0D0D" w:themeColor="text1" w:themeTint="F2"/>
          <w:sz w:val="24"/>
        </w:rPr>
        <w:t>6, fracciones XVII y XXXVII, 7, 8, 11 y 12 del Estatuto Orgánico del Instituto Federal de Telecomunicaciones</w:t>
      </w:r>
      <w:r w:rsidR="006A67A4" w:rsidRPr="00B95D50">
        <w:rPr>
          <w:rFonts w:ascii="ITC Avant Garde" w:hAnsi="ITC Avant Garde" w:cs="Helvetica"/>
          <w:color w:val="0D0D0D" w:themeColor="text1" w:themeTint="F2"/>
          <w:sz w:val="24"/>
        </w:rPr>
        <w:t xml:space="preserve"> emitido mediante acuerdo</w:t>
      </w:r>
      <w:r w:rsidR="00905BE0" w:rsidRPr="00B95D50">
        <w:rPr>
          <w:rFonts w:ascii="ITC Avant Garde" w:hAnsi="ITC Avant Garde" w:cs="Helvetica"/>
          <w:color w:val="0D0D0D" w:themeColor="text1" w:themeTint="F2"/>
          <w:sz w:val="24"/>
        </w:rPr>
        <w:t xml:space="preserve"> </w:t>
      </w:r>
      <w:r w:rsidR="003947EF" w:rsidRPr="00B95D50">
        <w:rPr>
          <w:rFonts w:ascii="ITC Avant Garde" w:hAnsi="ITC Avant Garde" w:cs="Helvetica"/>
          <w:color w:val="0D0D0D" w:themeColor="text1" w:themeTint="F2"/>
          <w:sz w:val="24"/>
        </w:rPr>
        <w:t>publicado</w:t>
      </w:r>
      <w:r w:rsidR="00F349FA" w:rsidRPr="00B95D50">
        <w:rPr>
          <w:rFonts w:ascii="ITC Avant Garde" w:hAnsi="ITC Avant Garde" w:cs="Helvetica"/>
          <w:color w:val="0D0D0D" w:themeColor="text1" w:themeTint="F2"/>
          <w:sz w:val="24"/>
        </w:rPr>
        <w:t xml:space="preserve"> en el Diario Oficial de la Federación el </w:t>
      </w:r>
      <w:r w:rsidR="00515600" w:rsidRPr="00B95D50">
        <w:rPr>
          <w:rFonts w:ascii="ITC Avant Garde" w:hAnsi="ITC Avant Garde" w:cs="Helvetica"/>
          <w:color w:val="0D0D0D" w:themeColor="text1" w:themeTint="F2"/>
          <w:sz w:val="24"/>
        </w:rPr>
        <w:t>veintiocho de septiembre de dos mil dieciséis</w:t>
      </w:r>
      <w:r w:rsidR="009B5021" w:rsidRPr="00B95D50">
        <w:rPr>
          <w:rFonts w:ascii="ITC Avant Garde" w:hAnsi="ITC Avant Garde" w:cs="Helvetica"/>
          <w:color w:val="0D0D0D" w:themeColor="text1" w:themeTint="F2"/>
          <w:sz w:val="24"/>
        </w:rPr>
        <w:t xml:space="preserve"> y modificado mediante Acuerdo publicado en el Diario Oficial de la Federación el diecisiete de octubre de dos mil diecis</w:t>
      </w:r>
      <w:r w:rsidR="00331098" w:rsidRPr="00B95D50">
        <w:rPr>
          <w:rFonts w:ascii="ITC Avant Garde" w:hAnsi="ITC Avant Garde" w:cs="Helvetica"/>
          <w:color w:val="0D0D0D" w:themeColor="text1" w:themeTint="F2"/>
          <w:sz w:val="24"/>
        </w:rPr>
        <w:t>éis</w:t>
      </w:r>
      <w:r w:rsidR="00F349FA" w:rsidRPr="00B95D50">
        <w:rPr>
          <w:rFonts w:ascii="ITC Avant Garde" w:hAnsi="ITC Avant Garde" w:cs="Helvetica"/>
          <w:color w:val="0D0D0D" w:themeColor="text1" w:themeTint="F2"/>
          <w:sz w:val="24"/>
        </w:rPr>
        <w:t>, el</w:t>
      </w:r>
      <w:r w:rsidR="00905BE0" w:rsidRPr="00B95D50">
        <w:rPr>
          <w:rFonts w:ascii="ITC Avant Garde" w:hAnsi="ITC Avant Garde" w:cs="Helvetica"/>
          <w:color w:val="0D0D0D" w:themeColor="text1" w:themeTint="F2"/>
          <w:sz w:val="24"/>
        </w:rPr>
        <w:t xml:space="preserve"> Pleno de este Instituto Federal de Telecomunicaciones, en </w:t>
      </w:r>
      <w:r w:rsidR="00134246">
        <w:rPr>
          <w:rFonts w:ascii="ITC Avant Garde" w:hAnsi="ITC Avant Garde" w:cs="Helvetica"/>
          <w:color w:val="0D0D0D" w:themeColor="text1" w:themeTint="F2"/>
          <w:sz w:val="24"/>
        </w:rPr>
        <w:t xml:space="preserve">la </w:t>
      </w:r>
      <w:r w:rsidR="00905BE0" w:rsidRPr="00B95D50">
        <w:rPr>
          <w:rFonts w:ascii="ITC Avant Garde" w:hAnsi="ITC Avant Garde" w:cs="Helvetica"/>
          <w:color w:val="0D0D0D" w:themeColor="text1" w:themeTint="F2"/>
          <w:sz w:val="24"/>
        </w:rPr>
        <w:t xml:space="preserve">sesión </w:t>
      </w:r>
      <w:r w:rsidR="00134246">
        <w:rPr>
          <w:rFonts w:ascii="ITC Avant Garde" w:hAnsi="ITC Avant Garde" w:cs="Helvetica"/>
          <w:color w:val="0D0D0D" w:themeColor="text1" w:themeTint="F2"/>
          <w:sz w:val="24"/>
        </w:rPr>
        <w:t>VI Extra</w:t>
      </w:r>
      <w:r w:rsidR="00905BE0" w:rsidRPr="006B1BFE">
        <w:rPr>
          <w:rFonts w:ascii="ITC Avant Garde" w:hAnsi="ITC Avant Garde" w:cs="Helvetica"/>
          <w:color w:val="0D0D0D" w:themeColor="text1" w:themeTint="F2"/>
          <w:sz w:val="24"/>
        </w:rPr>
        <w:t>ordinaria celebrada</w:t>
      </w:r>
      <w:r w:rsidR="00905BE0" w:rsidRPr="00B95D50">
        <w:rPr>
          <w:rFonts w:ascii="ITC Avant Garde" w:hAnsi="ITC Avant Garde" w:cs="Helvetica"/>
          <w:color w:val="0D0D0D" w:themeColor="text1" w:themeTint="F2"/>
          <w:sz w:val="24"/>
        </w:rPr>
        <w:t xml:space="preserve"> </w:t>
      </w:r>
      <w:r w:rsidR="00905BE0" w:rsidRPr="006B1BFE">
        <w:rPr>
          <w:rFonts w:ascii="ITC Avant Garde" w:hAnsi="ITC Avant Garde" w:cs="Helvetica"/>
          <w:color w:val="0D0D0D" w:themeColor="text1" w:themeTint="F2"/>
          <w:sz w:val="24"/>
        </w:rPr>
        <w:t xml:space="preserve">el </w:t>
      </w:r>
      <w:r w:rsidR="00E05D3A" w:rsidRPr="006B1BFE">
        <w:rPr>
          <w:rFonts w:ascii="ITC Avant Garde" w:hAnsi="ITC Avant Garde" w:cs="Helvetica"/>
          <w:color w:val="0D0D0D" w:themeColor="text1" w:themeTint="F2"/>
          <w:sz w:val="24"/>
        </w:rPr>
        <w:t>cinco de</w:t>
      </w:r>
      <w:r w:rsidR="00E05D3A" w:rsidRPr="00B95D50">
        <w:rPr>
          <w:rFonts w:ascii="ITC Avant Garde" w:hAnsi="ITC Avant Garde" w:cs="Helvetica"/>
          <w:color w:val="0D0D0D" w:themeColor="text1" w:themeTint="F2"/>
          <w:sz w:val="24"/>
        </w:rPr>
        <w:t xml:space="preserve"> abril</w:t>
      </w:r>
      <w:r w:rsidR="00593995" w:rsidRPr="00B95D50">
        <w:rPr>
          <w:rFonts w:ascii="ITC Avant Garde" w:hAnsi="ITC Avant Garde" w:cs="Helvetica"/>
          <w:color w:val="0D0D0D" w:themeColor="text1" w:themeTint="F2"/>
          <w:sz w:val="24"/>
        </w:rPr>
        <w:t xml:space="preserve"> de dos mil diecisiete</w:t>
      </w:r>
      <w:r w:rsidR="00905BE0" w:rsidRPr="00B95D50">
        <w:rPr>
          <w:rFonts w:ascii="ITC Avant Garde" w:hAnsi="ITC Avant Garde" w:cs="Helvetica"/>
          <w:color w:val="0D0D0D" w:themeColor="text1" w:themeTint="F2"/>
          <w:sz w:val="24"/>
        </w:rPr>
        <w:t xml:space="preserve">, resuelve de acuerdo a los antecedentes, </w:t>
      </w:r>
      <w:r w:rsidR="00D37407" w:rsidRPr="00B95D50">
        <w:rPr>
          <w:rFonts w:ascii="ITC Avant Garde" w:hAnsi="ITC Avant Garde" w:cs="Helvetica"/>
          <w:color w:val="0D0D0D" w:themeColor="text1" w:themeTint="F2"/>
          <w:sz w:val="24"/>
        </w:rPr>
        <w:t>consideraciones de derecho</w:t>
      </w:r>
      <w:r w:rsidR="00905BE0" w:rsidRPr="00B95D50">
        <w:rPr>
          <w:rFonts w:ascii="ITC Avant Garde" w:hAnsi="ITC Avant Garde" w:cs="Helvetica"/>
          <w:color w:val="0D0D0D" w:themeColor="text1" w:themeTint="F2"/>
          <w:sz w:val="24"/>
        </w:rPr>
        <w:t xml:space="preserve"> y resolutivos que a continuación se expresan.</w:t>
      </w:r>
    </w:p>
    <w:p w:rsidR="00905BE0" w:rsidRPr="00B95D50" w:rsidRDefault="00905BE0" w:rsidP="0019247C">
      <w:pPr>
        <w:autoSpaceDE w:val="0"/>
        <w:autoSpaceDN w:val="0"/>
        <w:adjustRightInd w:val="0"/>
        <w:spacing w:line="240" w:lineRule="auto"/>
        <w:rPr>
          <w:rFonts w:ascii="ITC Avant Garde" w:hAnsi="ITC Avant Garde" w:cs="Helvetica"/>
          <w:sz w:val="24"/>
        </w:rPr>
      </w:pPr>
      <w:r w:rsidRPr="00B95D50">
        <w:rPr>
          <w:rFonts w:ascii="ITC Avant Garde" w:hAnsi="ITC Avant Garde" w:cs="Helvetica"/>
          <w:sz w:val="24"/>
        </w:rPr>
        <w:t>En la presente resolución se utilizarán los siguientes acrónimos y términos:</w:t>
      </w:r>
    </w:p>
    <w:p w:rsidR="00905BE0" w:rsidRPr="00B95D50" w:rsidRDefault="00905BE0" w:rsidP="0019247C">
      <w:pPr>
        <w:pStyle w:val="Ttulo1"/>
        <w:rPr>
          <w:sz w:val="28"/>
        </w:rPr>
      </w:pPr>
      <w:r w:rsidRPr="00B95D50">
        <w:rPr>
          <w:sz w:val="28"/>
        </w:rPr>
        <w:t>GLOSARIO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ario"/>
      </w:tblPr>
      <w:tblGrid>
        <w:gridCol w:w="2972"/>
        <w:gridCol w:w="6946"/>
      </w:tblGrid>
      <w:tr w:rsidR="00905BE0" w:rsidRPr="00B95D50" w:rsidTr="00F957A8">
        <w:trPr>
          <w:tblHeader/>
        </w:trPr>
        <w:tc>
          <w:tcPr>
            <w:tcW w:w="2972" w:type="dxa"/>
          </w:tcPr>
          <w:p w:rsidR="00905BE0" w:rsidRPr="00B66BA7" w:rsidRDefault="00905BE0" w:rsidP="008A5C46">
            <w:pPr>
              <w:jc w:val="both"/>
              <w:rPr>
                <w:rFonts w:ascii="ITC Avant Garde" w:hAnsi="ITC Avant Garde"/>
                <w:b/>
                <w:sz w:val="24"/>
              </w:rPr>
            </w:pPr>
            <w:r w:rsidRPr="00B66BA7">
              <w:rPr>
                <w:rFonts w:ascii="ITC Avant Garde" w:hAnsi="ITC Avant Garde" w:cs="Helvetica"/>
                <w:b/>
                <w:sz w:val="24"/>
              </w:rPr>
              <w:t>Acta de Emisión</w:t>
            </w:r>
          </w:p>
        </w:tc>
        <w:tc>
          <w:tcPr>
            <w:tcW w:w="6946" w:type="dxa"/>
          </w:tcPr>
          <w:p w:rsidR="00905BE0" w:rsidRPr="00B95D50" w:rsidRDefault="00CE107C" w:rsidP="00D329A9">
            <w:pPr>
              <w:autoSpaceDE w:val="0"/>
              <w:autoSpaceDN w:val="0"/>
              <w:adjustRightInd w:val="0"/>
              <w:jc w:val="both"/>
              <w:rPr>
                <w:rFonts w:ascii="ITC Avant Garde" w:hAnsi="ITC Avant Garde" w:cs="Helvetica"/>
                <w:sz w:val="24"/>
              </w:rPr>
            </w:pPr>
            <w:r w:rsidRPr="00B95D50">
              <w:rPr>
                <w:rFonts w:ascii="ITC Avant Garde" w:hAnsi="ITC Avant Garde" w:cs="Helvetica"/>
                <w:sz w:val="24"/>
              </w:rPr>
              <w:t xml:space="preserve">Escritura pública número cincuenta mil cuarenta y cuatro, de fecha treinta y uno de julio de dos mil trece, protocolizada ante Notario Público número ciento noventa y cinco del Distrito Federal, en </w:t>
            </w:r>
            <w:r w:rsidR="00A734CB">
              <w:rPr>
                <w:rFonts w:ascii="ITC Avant Garde" w:hAnsi="ITC Avant Garde" w:cs="Helvetica"/>
                <w:sz w:val="24"/>
              </w:rPr>
              <w:t>la que se hace constar la e</w:t>
            </w:r>
            <w:r w:rsidRPr="00B95D50">
              <w:rPr>
                <w:rFonts w:ascii="ITC Avant Garde" w:hAnsi="ITC Avant Garde" w:cs="Helvetica"/>
                <w:sz w:val="24"/>
              </w:rPr>
              <w:t>misión de 7,000,000 (siete millones) de obligaciones, con garantía prendaria, convertibles en acciones de</w:t>
            </w:r>
            <w:r w:rsidR="00A734CB">
              <w:rPr>
                <w:rFonts w:ascii="ITC Avant Garde" w:hAnsi="ITC Avant Garde" w:cs="Helvetica"/>
                <w:sz w:val="24"/>
              </w:rPr>
              <w:t>l capital social de</w:t>
            </w:r>
            <w:r w:rsidRPr="00B95D50">
              <w:rPr>
                <w:rFonts w:ascii="ITC Avant Garde" w:hAnsi="ITC Avant Garde" w:cs="Helvetica"/>
                <w:sz w:val="24"/>
              </w:rPr>
              <w:t xml:space="preserve"> </w:t>
            </w:r>
            <w:r w:rsidR="00905BE0" w:rsidRPr="00B95D50">
              <w:rPr>
                <w:rFonts w:ascii="ITC Avant Garde" w:hAnsi="ITC Avant Garde" w:cs="Helvetica"/>
                <w:sz w:val="24"/>
              </w:rPr>
              <w:t>Tenedora Ares</w:t>
            </w:r>
            <w:r w:rsidR="00D329A9">
              <w:rPr>
                <w:rFonts w:ascii="ITC Avant Garde" w:hAnsi="ITC Avant Garde" w:cs="Helvetica"/>
                <w:sz w:val="24"/>
              </w:rPr>
              <w:t>.</w:t>
            </w:r>
          </w:p>
        </w:tc>
      </w:tr>
      <w:tr w:rsidR="002470DA" w:rsidRPr="00B95D50" w:rsidTr="005653F3">
        <w:tc>
          <w:tcPr>
            <w:tcW w:w="2972" w:type="dxa"/>
          </w:tcPr>
          <w:p w:rsidR="002470DA" w:rsidRPr="00B66BA7" w:rsidRDefault="00FB28C1" w:rsidP="00FB28C1">
            <w:pPr>
              <w:rPr>
                <w:rFonts w:ascii="ITC Avant Garde" w:hAnsi="ITC Avant Garde" w:cs="Helvetica"/>
                <w:b/>
                <w:sz w:val="24"/>
              </w:rPr>
            </w:pPr>
            <w:r w:rsidRPr="00B66BA7">
              <w:rPr>
                <w:rFonts w:ascii="ITC Avant Garde" w:hAnsi="ITC Avant Garde"/>
                <w:b/>
                <w:sz w:val="24"/>
              </w:rPr>
              <w:t>Autoridad Investigadora</w:t>
            </w:r>
          </w:p>
        </w:tc>
        <w:tc>
          <w:tcPr>
            <w:tcW w:w="6946" w:type="dxa"/>
          </w:tcPr>
          <w:p w:rsidR="002470DA" w:rsidRPr="00B95D50" w:rsidRDefault="002470DA" w:rsidP="00D329A9">
            <w:pPr>
              <w:autoSpaceDE w:val="0"/>
              <w:autoSpaceDN w:val="0"/>
              <w:adjustRightInd w:val="0"/>
              <w:jc w:val="both"/>
              <w:rPr>
                <w:rFonts w:ascii="ITC Avant Garde" w:hAnsi="ITC Avant Garde" w:cs="Helvetica"/>
                <w:sz w:val="24"/>
              </w:rPr>
            </w:pPr>
            <w:r w:rsidRPr="00B95D50">
              <w:rPr>
                <w:rFonts w:ascii="ITC Avant Garde" w:hAnsi="ITC Avant Garde"/>
                <w:sz w:val="24"/>
              </w:rPr>
              <w:t xml:space="preserve">Autoridad Investigadora del </w:t>
            </w:r>
            <w:r w:rsidR="00CE107C" w:rsidRPr="00B95D50">
              <w:rPr>
                <w:rFonts w:ascii="ITC Avant Garde" w:hAnsi="ITC Avant Garde"/>
                <w:sz w:val="24"/>
              </w:rPr>
              <w:t>Instituto</w:t>
            </w:r>
            <w:r w:rsidRPr="00B95D50">
              <w:rPr>
                <w:rFonts w:ascii="ITC Avant Garde" w:hAnsi="ITC Avant Garde"/>
                <w:sz w:val="24"/>
              </w:rPr>
              <w:t>.</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Arretis</w:t>
            </w:r>
          </w:p>
        </w:tc>
        <w:tc>
          <w:tcPr>
            <w:tcW w:w="6946" w:type="dxa"/>
          </w:tcPr>
          <w:p w:rsidR="002470DA" w:rsidRPr="00B95D50" w:rsidRDefault="002470DA" w:rsidP="002470DA">
            <w:pPr>
              <w:jc w:val="both"/>
              <w:rPr>
                <w:rFonts w:ascii="ITC Avant Garde" w:hAnsi="ITC Avant Garde"/>
                <w:sz w:val="24"/>
              </w:rPr>
            </w:pPr>
            <w:r w:rsidRPr="00B95D50">
              <w:rPr>
                <w:rFonts w:ascii="ITC Avant Garde" w:hAnsi="ITC Avant Garde"/>
                <w:sz w:val="24"/>
              </w:rPr>
              <w:t xml:space="preserve">Arretis, S.A.P.I. de C.V. </w:t>
            </w:r>
          </w:p>
        </w:tc>
      </w:tr>
    </w:tbl>
    <w:p w:rsidR="00DA056E" w:rsidRDefault="00DA056E">
      <w:pPr>
        <w:sectPr w:rsidR="00DA056E" w:rsidSect="007D3D71">
          <w:headerReference w:type="default" r:id="rId11"/>
          <w:footerReference w:type="default" r:id="rId12"/>
          <w:pgSz w:w="12240" w:h="15840"/>
          <w:pgMar w:top="2695" w:right="1134" w:bottom="1134" w:left="1134" w:header="709" w:footer="709" w:gutter="0"/>
          <w:cols w:space="708"/>
          <w:docGrid w:linePitch="360"/>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ario"/>
      </w:tblPr>
      <w:tblGrid>
        <w:gridCol w:w="2972"/>
        <w:gridCol w:w="3549"/>
        <w:gridCol w:w="3397"/>
      </w:tblGrid>
      <w:tr w:rsidR="0066158C" w:rsidRPr="00B95D50" w:rsidTr="007D3D71">
        <w:trPr>
          <w:tblHeader/>
        </w:trPr>
        <w:tc>
          <w:tcPr>
            <w:tcW w:w="2972" w:type="dxa"/>
          </w:tcPr>
          <w:p w:rsidR="0066158C" w:rsidRPr="00B66BA7" w:rsidRDefault="0066158C" w:rsidP="0066158C">
            <w:pPr>
              <w:rPr>
                <w:rFonts w:ascii="ITC Avant Garde" w:hAnsi="ITC Avant Garde"/>
                <w:b/>
                <w:sz w:val="24"/>
              </w:rPr>
            </w:pPr>
            <w:r w:rsidRPr="00B66BA7">
              <w:rPr>
                <w:rFonts w:ascii="ITC Avant Garde" w:hAnsi="ITC Avant Garde"/>
                <w:b/>
                <w:sz w:val="24"/>
              </w:rPr>
              <w:lastRenderedPageBreak/>
              <w:t>Aviso de Concentración</w:t>
            </w:r>
          </w:p>
        </w:tc>
        <w:tc>
          <w:tcPr>
            <w:tcW w:w="6946" w:type="dxa"/>
            <w:gridSpan w:val="2"/>
          </w:tcPr>
          <w:p w:rsidR="0066158C" w:rsidRPr="00B95D50" w:rsidRDefault="0066158C" w:rsidP="00AD52A4">
            <w:pPr>
              <w:jc w:val="both"/>
              <w:rPr>
                <w:rFonts w:ascii="ITC Avant Garde" w:hAnsi="ITC Avant Garde"/>
                <w:sz w:val="24"/>
              </w:rPr>
            </w:pPr>
            <w:r w:rsidRPr="00E23458">
              <w:rPr>
                <w:rFonts w:ascii="ITC Avant Garde" w:hAnsi="ITC Avant Garde"/>
                <w:sz w:val="24"/>
              </w:rPr>
              <w:t>Escrito de fecha catorce de agosto de dos mil catorce,</w:t>
            </w:r>
            <w:r w:rsidRPr="00E23458">
              <w:rPr>
                <w:rFonts w:ascii="ITC Avant Garde" w:hAnsi="ITC Avant Garde"/>
                <w:b/>
                <w:sz w:val="24"/>
              </w:rPr>
              <w:t xml:space="preserve"> </w:t>
            </w:r>
            <w:r w:rsidRPr="00E23458">
              <w:rPr>
                <w:rFonts w:ascii="ITC Avant Garde" w:hAnsi="ITC Avant Garde"/>
                <w:sz w:val="24"/>
              </w:rPr>
              <w:t>entre otras personas físicas y morales, Tenedora Ares y Arretis</w:t>
            </w:r>
            <w:r w:rsidRPr="00E23458">
              <w:rPr>
                <w:rFonts w:ascii="ITC Avant Garde" w:hAnsi="ITC Avant Garde"/>
                <w:b/>
                <w:sz w:val="24"/>
              </w:rPr>
              <w:t xml:space="preserve"> </w:t>
            </w:r>
            <w:r w:rsidRPr="00E23458">
              <w:rPr>
                <w:rFonts w:ascii="ITC Avant Garde" w:hAnsi="ITC Avant Garde"/>
                <w:sz w:val="24"/>
              </w:rPr>
              <w:t>avisaron al Instituto la realización de una concentración</w:t>
            </w:r>
            <w:r w:rsidR="00E23458">
              <w:rPr>
                <w:rFonts w:ascii="ITC Avant Garde" w:hAnsi="ITC Avant Garde"/>
                <w:sz w:val="24"/>
              </w:rPr>
              <w:t xml:space="preserve"> </w:t>
            </w:r>
            <w:r w:rsidR="00E23458" w:rsidRPr="005134C8">
              <w:rPr>
                <w:rFonts w:ascii="ITC Avant Garde" w:hAnsi="ITC Avant Garde" w:cs="Helvetica"/>
                <w:sz w:val="24"/>
              </w:rPr>
              <w:t xml:space="preserve">respecto de la </w:t>
            </w:r>
            <w:r w:rsidR="00AD52A4">
              <w:rPr>
                <w:rFonts w:ascii="ITC Avant Garde" w:hAnsi="ITC Avant Garde" w:cs="Helvetica"/>
                <w:sz w:val="24"/>
              </w:rPr>
              <w:t xml:space="preserve">adquisición </w:t>
            </w:r>
            <w:r w:rsidR="00E23458" w:rsidRPr="005134C8">
              <w:rPr>
                <w:rFonts w:ascii="ITC Avant Garde" w:hAnsi="ITC Avant Garde" w:cs="Helvetica"/>
                <w:sz w:val="24"/>
              </w:rPr>
              <w:t xml:space="preserve">del 100% (cien por ciento) de las acciones representativas del capital social de </w:t>
            </w:r>
            <w:r w:rsidR="00E23458">
              <w:rPr>
                <w:rFonts w:ascii="ITC Avant Garde" w:hAnsi="ITC Avant Garde" w:cs="Helvetica"/>
                <w:sz w:val="24"/>
              </w:rPr>
              <w:t>Cablecom</w:t>
            </w:r>
            <w:r w:rsidRPr="00E23458">
              <w:rPr>
                <w:rFonts w:ascii="ITC Avant Garde" w:hAnsi="ITC Avant Garde"/>
                <w:sz w:val="24"/>
              </w:rPr>
              <w:t xml:space="preserve"> de conformidad con lo dispuesto en el artículo Noveno Transitorio del Decreto por el que se expide la </w:t>
            </w:r>
            <w:r w:rsidR="00C52E5B">
              <w:rPr>
                <w:rFonts w:ascii="ITC Avant Garde" w:hAnsi="ITC Avant Garde"/>
                <w:sz w:val="24"/>
              </w:rPr>
              <w:t>LFTyR</w:t>
            </w:r>
            <w:r w:rsidRPr="00E23458">
              <w:rPr>
                <w:rFonts w:ascii="ITC Avant Garde" w:hAnsi="ITC Avant Garde"/>
                <w:sz w:val="24"/>
              </w:rPr>
              <w:t xml:space="preserve">, tramitándose bajo el expediente UCE/AVC-001-2014. </w:t>
            </w:r>
            <w:r w:rsidR="00787AAA">
              <w:rPr>
                <w:rFonts w:ascii="ITC Avant Garde" w:hAnsi="ITC Avant Garde"/>
                <w:sz w:val="24"/>
              </w:rPr>
              <w:t xml:space="preserve">Resuelto por el Pleno </w:t>
            </w:r>
            <w:r w:rsidR="00461374">
              <w:rPr>
                <w:rFonts w:ascii="ITC Avant Garde" w:hAnsi="ITC Avant Garde"/>
                <w:sz w:val="24"/>
              </w:rPr>
              <w:t>del Instituto Federal de Telecomunicaciones el diez de diciembre de dos mil catorce.</w:t>
            </w:r>
          </w:p>
        </w:tc>
      </w:tr>
      <w:tr w:rsidR="00502E67" w:rsidRPr="00B95D50" w:rsidTr="005653F3">
        <w:tc>
          <w:tcPr>
            <w:tcW w:w="2972" w:type="dxa"/>
          </w:tcPr>
          <w:p w:rsidR="00502E67" w:rsidRPr="00B66BA7" w:rsidRDefault="00502E67" w:rsidP="0066158C">
            <w:pPr>
              <w:rPr>
                <w:rFonts w:ascii="ITC Avant Garde" w:hAnsi="ITC Avant Garde"/>
                <w:b/>
                <w:sz w:val="24"/>
              </w:rPr>
            </w:pPr>
            <w:r>
              <w:rPr>
                <w:rFonts w:ascii="ITC Avant Garde" w:hAnsi="ITC Avant Garde"/>
                <w:b/>
                <w:sz w:val="24"/>
              </w:rPr>
              <w:t>Cablecom</w:t>
            </w:r>
          </w:p>
        </w:tc>
        <w:tc>
          <w:tcPr>
            <w:tcW w:w="6946" w:type="dxa"/>
            <w:gridSpan w:val="2"/>
          </w:tcPr>
          <w:p w:rsidR="00502E67" w:rsidRPr="00E23458" w:rsidRDefault="00502E67" w:rsidP="00C52E5B">
            <w:pPr>
              <w:jc w:val="both"/>
              <w:rPr>
                <w:rFonts w:ascii="ITC Avant Garde" w:hAnsi="ITC Avant Garde"/>
                <w:sz w:val="24"/>
              </w:rPr>
            </w:pPr>
            <w:r>
              <w:rPr>
                <w:rFonts w:ascii="ITC Avant Garde" w:hAnsi="ITC Avant Garde"/>
                <w:sz w:val="24"/>
              </w:rPr>
              <w:t>Grupo Cable TV. S.A. de C.V.</w:t>
            </w:r>
          </w:p>
        </w:tc>
      </w:tr>
      <w:tr w:rsidR="002470DA" w:rsidRPr="00B95D50" w:rsidTr="005653F3">
        <w:tc>
          <w:tcPr>
            <w:tcW w:w="2972" w:type="dxa"/>
          </w:tcPr>
          <w:p w:rsidR="002470DA" w:rsidRPr="00B66BA7" w:rsidRDefault="000B421F" w:rsidP="008A5C46">
            <w:pPr>
              <w:jc w:val="both"/>
              <w:rPr>
                <w:rFonts w:ascii="ITC Avant Garde" w:hAnsi="ITC Avant Garde"/>
                <w:b/>
                <w:sz w:val="24"/>
              </w:rPr>
            </w:pPr>
            <w:r w:rsidRPr="00B66BA7">
              <w:rPr>
                <w:rFonts w:ascii="ITC Avant Garde" w:hAnsi="ITC Avant Garde"/>
                <w:b/>
                <w:sz w:val="24"/>
              </w:rPr>
              <w:t>Convenio de Fusión</w:t>
            </w:r>
          </w:p>
        </w:tc>
        <w:tc>
          <w:tcPr>
            <w:tcW w:w="6946" w:type="dxa"/>
            <w:gridSpan w:val="2"/>
          </w:tcPr>
          <w:p w:rsidR="002470DA" w:rsidRPr="00B95D50" w:rsidRDefault="00951ECA" w:rsidP="00C52E5B">
            <w:pPr>
              <w:jc w:val="both"/>
              <w:rPr>
                <w:rFonts w:ascii="ITC Avant Garde" w:hAnsi="ITC Avant Garde"/>
                <w:sz w:val="24"/>
              </w:rPr>
            </w:pPr>
            <w:r w:rsidRPr="00B95D50">
              <w:rPr>
                <w:rFonts w:ascii="ITC Avant Garde" w:hAnsi="ITC Avant Garde" w:cs="Helvetica"/>
                <w:sz w:val="24"/>
              </w:rPr>
              <w:t xml:space="preserve">Convenio </w:t>
            </w:r>
            <w:r w:rsidR="002470DA" w:rsidRPr="00B95D50">
              <w:rPr>
                <w:rFonts w:ascii="ITC Avant Garde" w:hAnsi="ITC Avant Garde" w:cs="Helvetica"/>
                <w:sz w:val="24"/>
              </w:rPr>
              <w:t xml:space="preserve">de </w:t>
            </w:r>
            <w:r w:rsidR="000B421F">
              <w:rPr>
                <w:rFonts w:ascii="ITC Avant Garde" w:hAnsi="ITC Avant Garde" w:cs="Helvetica"/>
                <w:sz w:val="24"/>
              </w:rPr>
              <w:t xml:space="preserve">fecha treinta de octubre de dos mil dieciséis, protocolizado el siete de noviembre de dos mil dieciséis, celebrado entre las </w:t>
            </w:r>
            <w:r w:rsidR="002470DA" w:rsidRPr="00B95D50">
              <w:rPr>
                <w:rFonts w:ascii="ITC Avant Garde" w:hAnsi="ITC Avant Garde" w:cs="Helvetica"/>
                <w:sz w:val="24"/>
              </w:rPr>
              <w:t xml:space="preserve">sociedades denominadas </w:t>
            </w:r>
            <w:r w:rsidR="00C52E5B">
              <w:rPr>
                <w:rFonts w:ascii="ITC Avant Garde" w:hAnsi="ITC Avant Garde" w:cs="Helvetica"/>
                <w:sz w:val="24"/>
              </w:rPr>
              <w:t>Cablecom</w:t>
            </w:r>
            <w:r w:rsidR="002470DA" w:rsidRPr="00B95D50">
              <w:rPr>
                <w:rFonts w:ascii="ITC Avant Garde" w:hAnsi="ITC Avant Garde" w:cs="Helvetica"/>
                <w:sz w:val="24"/>
              </w:rPr>
              <w:t>, Consorcio TL de Pachuca, S.A. de C.V. y Tenedora Ares</w:t>
            </w:r>
            <w:r w:rsidR="006A4208" w:rsidRPr="00B95D50">
              <w:rPr>
                <w:rFonts w:ascii="ITC Avant Garde" w:hAnsi="ITC Avant Garde" w:cs="Helvetica"/>
                <w:sz w:val="24"/>
              </w:rPr>
              <w:t>,</w:t>
            </w:r>
            <w:r w:rsidR="002470DA" w:rsidRPr="00B95D50">
              <w:rPr>
                <w:rFonts w:ascii="ITC Avant Garde" w:hAnsi="ITC Avant Garde" w:cs="Helvetica"/>
                <w:sz w:val="24"/>
              </w:rPr>
              <w:t xml:space="preserve"> como sociedades fusionadas y Arretis</w:t>
            </w:r>
            <w:r w:rsidRPr="00B95D50">
              <w:rPr>
                <w:rFonts w:ascii="ITC Avant Garde" w:hAnsi="ITC Avant Garde" w:cs="Helvetica"/>
                <w:sz w:val="24"/>
              </w:rPr>
              <w:t>, como sociedad fusionante.</w:t>
            </w:r>
          </w:p>
        </w:tc>
      </w:tr>
      <w:tr w:rsidR="002470DA" w:rsidRPr="00B95D50" w:rsidDel="00105739" w:rsidTr="005653F3">
        <w:tc>
          <w:tcPr>
            <w:tcW w:w="2972" w:type="dxa"/>
          </w:tcPr>
          <w:p w:rsidR="002470DA" w:rsidRPr="00B66BA7" w:rsidDel="00105739" w:rsidRDefault="002470DA" w:rsidP="008A5C46">
            <w:pPr>
              <w:jc w:val="both"/>
              <w:rPr>
                <w:rFonts w:ascii="ITC Avant Garde" w:hAnsi="ITC Avant Garde"/>
                <w:b/>
                <w:sz w:val="24"/>
              </w:rPr>
            </w:pPr>
            <w:r w:rsidRPr="00B66BA7" w:rsidDel="00105739">
              <w:rPr>
                <w:rFonts w:ascii="ITC Avant Garde" w:hAnsi="ITC Avant Garde"/>
                <w:b/>
                <w:sz w:val="24"/>
              </w:rPr>
              <w:t>Cable TV</w:t>
            </w:r>
          </w:p>
        </w:tc>
        <w:tc>
          <w:tcPr>
            <w:tcW w:w="6946" w:type="dxa"/>
            <w:gridSpan w:val="2"/>
          </w:tcPr>
          <w:p w:rsidR="002470DA" w:rsidRPr="00B95D50" w:rsidDel="00105739" w:rsidRDefault="002470DA" w:rsidP="002470DA">
            <w:pPr>
              <w:jc w:val="both"/>
              <w:rPr>
                <w:rFonts w:ascii="ITC Avant Garde" w:hAnsi="ITC Avant Garde"/>
                <w:sz w:val="24"/>
              </w:rPr>
            </w:pPr>
            <w:r w:rsidRPr="00B95D50" w:rsidDel="00105739">
              <w:rPr>
                <w:rFonts w:ascii="ITC Avant Garde" w:hAnsi="ITC Avant Garde"/>
                <w:sz w:val="24"/>
              </w:rPr>
              <w:t>Cable TV Investments, S.L., Sociedad Unipersonal</w:t>
            </w:r>
            <w:r w:rsidRPr="00B95D50">
              <w:rPr>
                <w:rFonts w:ascii="ITC Avant Garde" w:hAnsi="ITC Avant Garde"/>
                <w:sz w:val="24"/>
              </w:rPr>
              <w:t>.</w:t>
            </w:r>
            <w:r w:rsidRPr="00B95D50" w:rsidDel="00105739">
              <w:rPr>
                <w:rFonts w:ascii="ITC Avant Garde" w:hAnsi="ITC Avant Garde"/>
                <w:sz w:val="24"/>
              </w:rPr>
              <w:t xml:space="preserve"> </w:t>
            </w:r>
          </w:p>
        </w:tc>
      </w:tr>
      <w:tr w:rsidR="002470DA" w:rsidRPr="00B95D50" w:rsidTr="005653F3">
        <w:tc>
          <w:tcPr>
            <w:tcW w:w="2972" w:type="dxa"/>
          </w:tcPr>
          <w:p w:rsidR="002470DA" w:rsidRPr="00B66BA7" w:rsidRDefault="002470DA" w:rsidP="002D6BB1">
            <w:pPr>
              <w:jc w:val="both"/>
              <w:rPr>
                <w:rFonts w:ascii="ITC Avant Garde" w:hAnsi="ITC Avant Garde"/>
                <w:b/>
                <w:sz w:val="24"/>
              </w:rPr>
            </w:pPr>
            <w:r w:rsidRPr="00B66BA7">
              <w:rPr>
                <w:rFonts w:ascii="ITC Avant Garde" w:hAnsi="ITC Avant Garde"/>
                <w:b/>
                <w:sz w:val="24"/>
              </w:rPr>
              <w:t>COFRESA</w:t>
            </w:r>
            <w:r w:rsidR="00986F64" w:rsidRPr="00B66BA7">
              <w:rPr>
                <w:rFonts w:ascii="ITC Avant Garde" w:hAnsi="ITC Avant Garde"/>
                <w:b/>
                <w:sz w:val="24"/>
              </w:rPr>
              <w:t>/Dish</w:t>
            </w:r>
          </w:p>
        </w:tc>
        <w:tc>
          <w:tcPr>
            <w:tcW w:w="6946" w:type="dxa"/>
            <w:gridSpan w:val="2"/>
          </w:tcPr>
          <w:p w:rsidR="002470DA" w:rsidRPr="00B95D50" w:rsidRDefault="002470DA" w:rsidP="002470DA">
            <w:pPr>
              <w:jc w:val="both"/>
              <w:rPr>
                <w:rFonts w:ascii="ITC Avant Garde" w:hAnsi="ITC Avant Garde"/>
                <w:sz w:val="24"/>
              </w:rPr>
            </w:pPr>
            <w:r w:rsidRPr="00B95D50">
              <w:rPr>
                <w:rFonts w:ascii="ITC Avant Garde" w:hAnsi="ITC Avant Garde"/>
                <w:sz w:val="24"/>
              </w:rPr>
              <w:t>Comercializadora de Frecuencias Satelitales, S. de R.L. de C.V.</w:t>
            </w:r>
          </w:p>
        </w:tc>
      </w:tr>
      <w:tr w:rsidR="002470DA" w:rsidRPr="00B95D50" w:rsidTr="00072915">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Contrato de Crédito</w:t>
            </w:r>
          </w:p>
        </w:tc>
        <w:tc>
          <w:tcPr>
            <w:tcW w:w="6946" w:type="dxa"/>
            <w:gridSpan w:val="2"/>
            <w:vAlign w:val="center"/>
          </w:tcPr>
          <w:p w:rsidR="002470DA" w:rsidRPr="00072915" w:rsidRDefault="00072915" w:rsidP="00072915">
            <w:pPr>
              <w:rPr>
                <w:rFonts w:ascii="ITC Avant Garde" w:hAnsi="ITC Avant Garde"/>
                <w:b/>
                <w:color w:val="0000FF"/>
                <w:sz w:val="24"/>
              </w:rPr>
            </w:pPr>
            <w:r w:rsidRPr="00072915">
              <w:rPr>
                <w:rFonts w:ascii="ITC Avant Garde" w:hAnsi="ITC Avant Garde"/>
                <w:b/>
                <w:color w:val="0000FF"/>
                <w:sz w:val="24"/>
              </w:rPr>
              <w:t>“CONFIDENCIAL POR LEY”</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CPEUM</w:t>
            </w:r>
          </w:p>
        </w:tc>
        <w:tc>
          <w:tcPr>
            <w:tcW w:w="6946" w:type="dxa"/>
            <w:gridSpan w:val="2"/>
          </w:tcPr>
          <w:p w:rsidR="002470DA" w:rsidRPr="00B95D50" w:rsidRDefault="002470DA" w:rsidP="002470DA">
            <w:pPr>
              <w:jc w:val="both"/>
              <w:rPr>
                <w:rFonts w:ascii="ITC Avant Garde" w:hAnsi="ITC Avant Garde"/>
                <w:sz w:val="24"/>
              </w:rPr>
            </w:pPr>
            <w:r w:rsidRPr="00B95D50">
              <w:rPr>
                <w:rFonts w:ascii="ITC Avant Garde" w:hAnsi="ITC Avant Garde"/>
                <w:sz w:val="24"/>
              </w:rPr>
              <w:t>Constitución Política de los Estados Unidos Mexicanos.</w:t>
            </w:r>
          </w:p>
        </w:tc>
      </w:tr>
      <w:tr w:rsidR="00434572" w:rsidRPr="00B95D50" w:rsidTr="005653F3">
        <w:trPr>
          <w:trHeight w:val="627"/>
        </w:trPr>
        <w:tc>
          <w:tcPr>
            <w:tcW w:w="2972" w:type="dxa"/>
            <w:vMerge w:val="restart"/>
          </w:tcPr>
          <w:p w:rsidR="00434572" w:rsidRPr="00B66BA7" w:rsidRDefault="00434572" w:rsidP="00521F90">
            <w:pPr>
              <w:rPr>
                <w:rFonts w:ascii="ITC Avant Garde" w:hAnsi="ITC Avant Garde"/>
                <w:b/>
                <w:sz w:val="24"/>
              </w:rPr>
            </w:pPr>
            <w:r w:rsidRPr="00B66BA7">
              <w:rPr>
                <w:rFonts w:ascii="ITC Avant Garde" w:hAnsi="ITC Avant Garde" w:cs="Arial"/>
                <w:b/>
                <w:sz w:val="24"/>
              </w:rPr>
              <w:t>Cúmulo de Operaciones</w:t>
            </w:r>
          </w:p>
        </w:tc>
        <w:tc>
          <w:tcPr>
            <w:tcW w:w="6946" w:type="dxa"/>
            <w:gridSpan w:val="2"/>
          </w:tcPr>
          <w:p w:rsidR="00434572" w:rsidRPr="00B95D50" w:rsidRDefault="00434572" w:rsidP="00521F90">
            <w:pPr>
              <w:jc w:val="both"/>
              <w:rPr>
                <w:rFonts w:ascii="ITC Avant Garde" w:hAnsi="ITC Avant Garde"/>
                <w:sz w:val="24"/>
              </w:rPr>
            </w:pPr>
            <w:r>
              <w:rPr>
                <w:rFonts w:ascii="ITC Avant Garde" w:hAnsi="ITC Avant Garde" w:cs="Helvetica"/>
                <w:sz w:val="24"/>
              </w:rPr>
              <w:t>O</w:t>
            </w:r>
            <w:r w:rsidRPr="00B95D50">
              <w:rPr>
                <w:rFonts w:ascii="ITC Avant Garde" w:hAnsi="ITC Avant Garde" w:cs="Helvetica"/>
                <w:sz w:val="24"/>
              </w:rPr>
              <w:t xml:space="preserve">peraciones realizadas </w:t>
            </w:r>
            <w:r>
              <w:rPr>
                <w:rFonts w:ascii="ITC Avant Garde" w:hAnsi="ITC Avant Garde" w:cs="Helvetica"/>
                <w:sz w:val="24"/>
              </w:rPr>
              <w:t xml:space="preserve">el treinta y uno de julio </w:t>
            </w:r>
            <w:r w:rsidR="005134C8">
              <w:rPr>
                <w:rFonts w:ascii="ITC Avant Garde" w:hAnsi="ITC Avant Garde" w:cs="Helvetica"/>
                <w:sz w:val="24"/>
              </w:rPr>
              <w:t xml:space="preserve">a través de </w:t>
            </w:r>
            <w:r>
              <w:rPr>
                <w:rFonts w:ascii="ITC Avant Garde" w:hAnsi="ITC Avant Garde" w:cs="Helvetica"/>
                <w:sz w:val="24"/>
              </w:rPr>
              <w:t>los instrumentos siguientes:</w:t>
            </w:r>
          </w:p>
        </w:tc>
      </w:tr>
      <w:tr w:rsidR="00434572" w:rsidRPr="00B95D50" w:rsidTr="005653F3">
        <w:trPr>
          <w:trHeight w:val="1784"/>
        </w:trPr>
        <w:tc>
          <w:tcPr>
            <w:tcW w:w="2972" w:type="dxa"/>
            <w:vMerge/>
          </w:tcPr>
          <w:p w:rsidR="00434572" w:rsidRPr="00B66BA7" w:rsidRDefault="00434572" w:rsidP="00434572">
            <w:pPr>
              <w:rPr>
                <w:rFonts w:ascii="ITC Avant Garde" w:hAnsi="ITC Avant Garde" w:cs="Arial"/>
                <w:b/>
                <w:sz w:val="24"/>
              </w:rPr>
            </w:pPr>
          </w:p>
        </w:tc>
        <w:tc>
          <w:tcPr>
            <w:tcW w:w="3549" w:type="dxa"/>
          </w:tcPr>
          <w:p w:rsidR="00434572" w:rsidRPr="00434572" w:rsidRDefault="00434572" w:rsidP="00521F90">
            <w:pPr>
              <w:pStyle w:val="Prrafodelista"/>
              <w:numPr>
                <w:ilvl w:val="0"/>
                <w:numId w:val="40"/>
              </w:numPr>
              <w:ind w:left="322" w:hanging="283"/>
              <w:contextualSpacing w:val="0"/>
              <w:jc w:val="both"/>
              <w:rPr>
                <w:rFonts w:ascii="ITC Avant Garde" w:hAnsi="ITC Avant Garde" w:cs="Arial"/>
                <w:sz w:val="24"/>
              </w:rPr>
            </w:pPr>
            <w:r w:rsidRPr="00434572">
              <w:rPr>
                <w:rFonts w:ascii="ITC Avant Garde" w:hAnsi="ITC Avant Garde" w:cs="Arial"/>
                <w:sz w:val="24"/>
              </w:rPr>
              <w:t>Contrato de Crédito</w:t>
            </w:r>
          </w:p>
          <w:p w:rsidR="00434572" w:rsidRPr="00434572" w:rsidRDefault="00434572" w:rsidP="00521F90">
            <w:pPr>
              <w:pStyle w:val="Prrafodelista"/>
              <w:numPr>
                <w:ilvl w:val="0"/>
                <w:numId w:val="40"/>
              </w:numPr>
              <w:ind w:left="322" w:hanging="283"/>
              <w:jc w:val="both"/>
              <w:rPr>
                <w:rFonts w:ascii="ITC Avant Garde" w:hAnsi="ITC Avant Garde" w:cs="Arial"/>
                <w:sz w:val="24"/>
              </w:rPr>
            </w:pPr>
            <w:r w:rsidRPr="00434572">
              <w:rPr>
                <w:rFonts w:ascii="ITC Avant Garde" w:hAnsi="ITC Avant Garde" w:cs="Arial"/>
                <w:sz w:val="24"/>
              </w:rPr>
              <w:t>Pagaré Ares</w:t>
            </w:r>
          </w:p>
          <w:p w:rsidR="00434572" w:rsidRPr="00434572" w:rsidRDefault="00434572" w:rsidP="00521F90">
            <w:pPr>
              <w:pStyle w:val="Prrafodelista"/>
              <w:numPr>
                <w:ilvl w:val="0"/>
                <w:numId w:val="40"/>
              </w:numPr>
              <w:ind w:left="322" w:hanging="283"/>
              <w:rPr>
                <w:rFonts w:ascii="ITC Avant Garde" w:hAnsi="ITC Avant Garde" w:cs="Arial"/>
                <w:sz w:val="24"/>
              </w:rPr>
            </w:pPr>
            <w:r w:rsidRPr="00434572">
              <w:rPr>
                <w:rFonts w:ascii="ITC Avant Garde" w:hAnsi="ITC Avant Garde" w:cs="Arial"/>
                <w:sz w:val="24"/>
              </w:rPr>
              <w:t>Prendas Fintech–Cable</w:t>
            </w:r>
          </w:p>
          <w:p w:rsidR="00434572" w:rsidRDefault="00434572" w:rsidP="00521F90">
            <w:pPr>
              <w:pStyle w:val="Prrafodelista"/>
              <w:numPr>
                <w:ilvl w:val="0"/>
                <w:numId w:val="40"/>
              </w:numPr>
              <w:ind w:left="322" w:hanging="283"/>
              <w:rPr>
                <w:rFonts w:ascii="ITC Avant Garde" w:hAnsi="ITC Avant Garde" w:cs="Arial"/>
                <w:sz w:val="24"/>
              </w:rPr>
            </w:pPr>
            <w:r w:rsidRPr="00434572">
              <w:rPr>
                <w:rFonts w:ascii="ITC Avant Garde" w:hAnsi="ITC Avant Garde" w:cs="Arial"/>
                <w:sz w:val="24"/>
              </w:rPr>
              <w:t>Pagaré de inversión</w:t>
            </w:r>
          </w:p>
          <w:p w:rsidR="00434572" w:rsidRPr="00521F90" w:rsidRDefault="00521F90" w:rsidP="00521F90">
            <w:pPr>
              <w:pStyle w:val="Prrafodelista"/>
              <w:numPr>
                <w:ilvl w:val="0"/>
                <w:numId w:val="40"/>
              </w:numPr>
              <w:ind w:left="322" w:hanging="283"/>
              <w:rPr>
                <w:rFonts w:ascii="ITC Avant Garde" w:hAnsi="ITC Avant Garde" w:cs="Arial"/>
                <w:sz w:val="24"/>
              </w:rPr>
            </w:pPr>
            <w:r w:rsidRPr="00521F90">
              <w:rPr>
                <w:rFonts w:ascii="ITC Avant Garde" w:hAnsi="ITC Avant Garde" w:cs="Arial"/>
                <w:sz w:val="24"/>
              </w:rPr>
              <w:t>Acta de Emisión</w:t>
            </w:r>
          </w:p>
        </w:tc>
        <w:tc>
          <w:tcPr>
            <w:tcW w:w="3397" w:type="dxa"/>
          </w:tcPr>
          <w:p w:rsidR="00434572" w:rsidRPr="00434572" w:rsidRDefault="00434572" w:rsidP="00521F90">
            <w:pPr>
              <w:pStyle w:val="Prrafodelista"/>
              <w:numPr>
                <w:ilvl w:val="0"/>
                <w:numId w:val="40"/>
              </w:numPr>
              <w:ind w:left="175" w:hanging="283"/>
              <w:rPr>
                <w:rFonts w:ascii="ITC Avant Garde" w:hAnsi="ITC Avant Garde" w:cs="Arial"/>
                <w:sz w:val="24"/>
              </w:rPr>
            </w:pPr>
            <w:r w:rsidRPr="00434572">
              <w:rPr>
                <w:rFonts w:ascii="ITC Avant Garde" w:hAnsi="ITC Avant Garde" w:cs="Arial"/>
                <w:sz w:val="24"/>
              </w:rPr>
              <w:t>Prenda Vamole</w:t>
            </w:r>
          </w:p>
          <w:p w:rsidR="00434572" w:rsidRPr="00434572" w:rsidRDefault="00434572" w:rsidP="00521F90">
            <w:pPr>
              <w:pStyle w:val="Prrafodelista"/>
              <w:numPr>
                <w:ilvl w:val="0"/>
                <w:numId w:val="40"/>
              </w:numPr>
              <w:ind w:left="175" w:hanging="283"/>
              <w:rPr>
                <w:rFonts w:ascii="ITC Avant Garde" w:hAnsi="ITC Avant Garde" w:cs="Arial"/>
                <w:sz w:val="24"/>
              </w:rPr>
            </w:pPr>
            <w:r w:rsidRPr="00434572">
              <w:rPr>
                <w:rFonts w:ascii="ITC Avant Garde" w:hAnsi="ITC Avant Garde" w:cs="Arial"/>
                <w:sz w:val="24"/>
              </w:rPr>
              <w:t xml:space="preserve">Promesa Ares </w:t>
            </w:r>
          </w:p>
          <w:p w:rsidR="00434572" w:rsidRPr="00434572" w:rsidRDefault="00434572" w:rsidP="00521F90">
            <w:pPr>
              <w:pStyle w:val="Prrafodelista"/>
              <w:numPr>
                <w:ilvl w:val="0"/>
                <w:numId w:val="40"/>
              </w:numPr>
              <w:ind w:left="175" w:hanging="283"/>
              <w:rPr>
                <w:rFonts w:ascii="ITC Avant Garde" w:hAnsi="ITC Avant Garde" w:cs="Helvetica"/>
                <w:sz w:val="24"/>
              </w:rPr>
            </w:pPr>
            <w:r w:rsidRPr="00434572">
              <w:rPr>
                <w:rFonts w:ascii="ITC Avant Garde" w:hAnsi="ITC Avant Garde" w:cs="Arial"/>
                <w:sz w:val="24"/>
              </w:rPr>
              <w:t>Promesa Cablecom</w:t>
            </w:r>
          </w:p>
          <w:p w:rsidR="00434572" w:rsidRPr="00434572" w:rsidRDefault="00434572" w:rsidP="00521F90">
            <w:pPr>
              <w:pStyle w:val="Prrafodelista"/>
              <w:numPr>
                <w:ilvl w:val="0"/>
                <w:numId w:val="40"/>
              </w:numPr>
              <w:ind w:left="175" w:hanging="283"/>
              <w:rPr>
                <w:rFonts w:ascii="ITC Avant Garde" w:hAnsi="ITC Avant Garde" w:cs="Helvetica"/>
                <w:sz w:val="24"/>
              </w:rPr>
            </w:pPr>
            <w:r w:rsidRPr="00434572">
              <w:rPr>
                <w:rFonts w:ascii="ITC Avant Garde" w:hAnsi="ITC Avant Garde" w:cs="Arial"/>
                <w:sz w:val="24"/>
              </w:rPr>
              <w:t>Fideicomiso de Administración</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Dafel</w:t>
            </w:r>
          </w:p>
        </w:tc>
        <w:tc>
          <w:tcPr>
            <w:tcW w:w="6946" w:type="dxa"/>
            <w:gridSpan w:val="2"/>
          </w:tcPr>
          <w:p w:rsidR="002470DA" w:rsidRPr="00B95D50" w:rsidRDefault="002470DA" w:rsidP="002470DA">
            <w:pPr>
              <w:jc w:val="both"/>
              <w:rPr>
                <w:rFonts w:ascii="ITC Avant Garde" w:hAnsi="ITC Avant Garde"/>
                <w:sz w:val="24"/>
              </w:rPr>
            </w:pPr>
            <w:r w:rsidRPr="00B95D50">
              <w:rPr>
                <w:rFonts w:ascii="ITC Avant Garde" w:hAnsi="ITC Avant Garde"/>
                <w:sz w:val="24"/>
              </w:rPr>
              <w:t>Dafel Investments B.V.</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Decreto</w:t>
            </w:r>
          </w:p>
        </w:tc>
        <w:tc>
          <w:tcPr>
            <w:tcW w:w="6946" w:type="dxa"/>
            <w:gridSpan w:val="2"/>
          </w:tcPr>
          <w:p w:rsidR="002470DA" w:rsidRPr="00B95D50" w:rsidRDefault="002470DA" w:rsidP="00C52E5B">
            <w:pPr>
              <w:autoSpaceDE w:val="0"/>
              <w:autoSpaceDN w:val="0"/>
              <w:adjustRightInd w:val="0"/>
              <w:jc w:val="both"/>
              <w:rPr>
                <w:rFonts w:ascii="ITC Avant Garde" w:hAnsi="ITC Avant Garde" w:cs="Helvetica"/>
                <w:sz w:val="24"/>
              </w:rPr>
            </w:pPr>
            <w:r w:rsidRPr="00B95D50">
              <w:rPr>
                <w:rFonts w:ascii="ITC Avant Garde" w:hAnsi="ITC Avant Garde" w:cs="Helvetica"/>
                <w:sz w:val="24"/>
              </w:rPr>
              <w:t xml:space="preserve">Decreto por el que se reforman y adicionan diversas disposiciones de los artículos 6º, 7º, 27, 28, 73, 78, 94 y 105 de la </w:t>
            </w:r>
            <w:r w:rsidR="00C52E5B">
              <w:rPr>
                <w:rFonts w:ascii="ITC Avant Garde" w:hAnsi="ITC Avant Garde" w:cs="Helvetica"/>
                <w:sz w:val="24"/>
              </w:rPr>
              <w:t>CPEUM</w:t>
            </w:r>
            <w:r w:rsidRPr="00B95D50">
              <w:rPr>
                <w:rFonts w:ascii="ITC Avant Garde" w:hAnsi="ITC Avant Garde" w:cs="Helvetica"/>
                <w:sz w:val="24"/>
              </w:rPr>
              <w:t xml:space="preserve">, en materia de telecomunicaciones, publicado en el </w:t>
            </w:r>
            <w:r w:rsidR="00C52E5B">
              <w:rPr>
                <w:rFonts w:ascii="ITC Avant Garde" w:hAnsi="ITC Avant Garde" w:cs="Helvetica"/>
                <w:sz w:val="24"/>
              </w:rPr>
              <w:t>DOF</w:t>
            </w:r>
            <w:r w:rsidRPr="00B95D50">
              <w:rPr>
                <w:rFonts w:ascii="ITC Avant Garde" w:hAnsi="ITC Avant Garde" w:cs="Helvetica"/>
                <w:sz w:val="24"/>
              </w:rPr>
              <w:t xml:space="preserve"> el once de junio de dos mil trece. </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Emplazadas</w:t>
            </w:r>
          </w:p>
        </w:tc>
        <w:tc>
          <w:tcPr>
            <w:tcW w:w="6946" w:type="dxa"/>
            <w:gridSpan w:val="2"/>
          </w:tcPr>
          <w:p w:rsidR="002470DA" w:rsidRPr="00B95D50" w:rsidRDefault="00C52E5B" w:rsidP="00C52E5B">
            <w:pPr>
              <w:jc w:val="both"/>
              <w:rPr>
                <w:rFonts w:ascii="ITC Avant Garde" w:hAnsi="ITC Avant Garde"/>
                <w:sz w:val="24"/>
              </w:rPr>
            </w:pPr>
            <w:r>
              <w:rPr>
                <w:rFonts w:ascii="ITC Avant Garde" w:hAnsi="ITC Avant Garde"/>
                <w:sz w:val="24"/>
              </w:rPr>
              <w:t xml:space="preserve">GTV, Arretis </w:t>
            </w:r>
            <w:r w:rsidR="002470DA" w:rsidRPr="00B95D50">
              <w:rPr>
                <w:rFonts w:ascii="ITC Avant Garde" w:hAnsi="ITC Avant Garde"/>
                <w:sz w:val="24"/>
              </w:rPr>
              <w:t>y Tenedora Ares.</w:t>
            </w:r>
          </w:p>
        </w:tc>
      </w:tr>
      <w:tr w:rsidR="00F51525" w:rsidRPr="00B95D50" w:rsidTr="005653F3">
        <w:tc>
          <w:tcPr>
            <w:tcW w:w="2972" w:type="dxa"/>
          </w:tcPr>
          <w:p w:rsidR="00F51525" w:rsidRPr="00B66BA7" w:rsidRDefault="00F51525" w:rsidP="005134C8">
            <w:pPr>
              <w:rPr>
                <w:rFonts w:ascii="ITC Avant Garde" w:hAnsi="ITC Avant Garde"/>
                <w:b/>
                <w:sz w:val="24"/>
              </w:rPr>
            </w:pPr>
            <w:r w:rsidRPr="00B66BA7">
              <w:rPr>
                <w:rFonts w:ascii="ITC Avant Garde" w:hAnsi="ITC Avant Garde"/>
                <w:b/>
                <w:sz w:val="24"/>
              </w:rPr>
              <w:t>D</w:t>
            </w:r>
            <w:r w:rsidR="000B421F" w:rsidRPr="00B66BA7">
              <w:rPr>
                <w:rFonts w:ascii="ITC Avant Garde" w:hAnsi="ITC Avant Garde"/>
                <w:b/>
                <w:sz w:val="24"/>
              </w:rPr>
              <w:t xml:space="preserve">irector </w:t>
            </w:r>
            <w:r w:rsidRPr="00B66BA7">
              <w:rPr>
                <w:rFonts w:ascii="ITC Avant Garde" w:hAnsi="ITC Avant Garde"/>
                <w:b/>
                <w:sz w:val="24"/>
              </w:rPr>
              <w:t>G</w:t>
            </w:r>
            <w:r w:rsidR="000B421F" w:rsidRPr="00B66BA7">
              <w:rPr>
                <w:rFonts w:ascii="ITC Avant Garde" w:hAnsi="ITC Avant Garde"/>
                <w:b/>
                <w:sz w:val="24"/>
              </w:rPr>
              <w:t xml:space="preserve">eneral de </w:t>
            </w:r>
            <w:r w:rsidRPr="00B66BA7">
              <w:rPr>
                <w:rFonts w:ascii="ITC Avant Garde" w:hAnsi="ITC Avant Garde"/>
                <w:b/>
                <w:sz w:val="24"/>
              </w:rPr>
              <w:t>P</w:t>
            </w:r>
            <w:r w:rsidR="000B421F" w:rsidRPr="00B66BA7">
              <w:rPr>
                <w:rFonts w:ascii="ITC Avant Garde" w:hAnsi="ITC Avant Garde"/>
                <w:b/>
                <w:sz w:val="24"/>
              </w:rPr>
              <w:t>rocedimientos</w:t>
            </w:r>
          </w:p>
        </w:tc>
        <w:tc>
          <w:tcPr>
            <w:tcW w:w="6946" w:type="dxa"/>
            <w:gridSpan w:val="2"/>
          </w:tcPr>
          <w:p w:rsidR="00F51525" w:rsidRPr="00B95D50" w:rsidRDefault="00F51525" w:rsidP="00C52E5B">
            <w:pPr>
              <w:autoSpaceDE w:val="0"/>
              <w:autoSpaceDN w:val="0"/>
              <w:adjustRightInd w:val="0"/>
              <w:jc w:val="both"/>
              <w:rPr>
                <w:rFonts w:ascii="ITC Avant Garde" w:hAnsi="ITC Avant Garde" w:cs="Helvetica"/>
                <w:sz w:val="24"/>
              </w:rPr>
            </w:pPr>
            <w:r w:rsidRPr="00B95D50">
              <w:rPr>
                <w:rFonts w:ascii="ITC Avant Garde" w:hAnsi="ITC Avant Garde" w:cs="Helvetica"/>
                <w:sz w:val="24"/>
              </w:rPr>
              <w:t>Director General de Procedimient</w:t>
            </w:r>
            <w:r w:rsidR="00C52E5B">
              <w:rPr>
                <w:rFonts w:ascii="ITC Avant Garde" w:hAnsi="ITC Avant Garde" w:cs="Helvetica"/>
                <w:sz w:val="24"/>
              </w:rPr>
              <w:t>os de Competencia del Instituto</w:t>
            </w:r>
            <w:r w:rsidRPr="00B95D50">
              <w:rPr>
                <w:rFonts w:ascii="ITC Avant Garde" w:hAnsi="ITC Avant Garde" w:cs="Helvetica"/>
                <w:sz w:val="24"/>
              </w:rPr>
              <w:t>.</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DOF</w:t>
            </w:r>
          </w:p>
        </w:tc>
        <w:tc>
          <w:tcPr>
            <w:tcW w:w="6946" w:type="dxa"/>
            <w:gridSpan w:val="2"/>
          </w:tcPr>
          <w:p w:rsidR="002470DA" w:rsidRPr="00B95D50" w:rsidRDefault="002470DA" w:rsidP="002470DA">
            <w:pPr>
              <w:jc w:val="both"/>
              <w:rPr>
                <w:rFonts w:ascii="ITC Avant Garde" w:hAnsi="ITC Avant Garde"/>
                <w:sz w:val="24"/>
              </w:rPr>
            </w:pPr>
            <w:r w:rsidRPr="00B95D50">
              <w:rPr>
                <w:rFonts w:ascii="ITC Avant Garde" w:hAnsi="ITC Avant Garde"/>
                <w:sz w:val="24"/>
              </w:rPr>
              <w:t>Diario Oficial de la Federación.</w:t>
            </w:r>
          </w:p>
        </w:tc>
      </w:tr>
      <w:tr w:rsidR="002470DA" w:rsidRPr="00B95D50" w:rsidTr="005653F3">
        <w:tc>
          <w:tcPr>
            <w:tcW w:w="2972" w:type="dxa"/>
          </w:tcPr>
          <w:p w:rsidR="002470DA" w:rsidRPr="00B66BA7" w:rsidRDefault="002470DA" w:rsidP="00DB01BD">
            <w:pPr>
              <w:jc w:val="both"/>
              <w:rPr>
                <w:rFonts w:ascii="ITC Avant Garde" w:hAnsi="ITC Avant Garde"/>
                <w:b/>
                <w:sz w:val="24"/>
              </w:rPr>
            </w:pPr>
            <w:r w:rsidRPr="00B66BA7">
              <w:rPr>
                <w:rFonts w:ascii="ITC Avant Garde" w:hAnsi="ITC Avant Garde"/>
                <w:b/>
                <w:sz w:val="24"/>
              </w:rPr>
              <w:t xml:space="preserve">Escrito de </w:t>
            </w:r>
            <w:r w:rsidR="00DB01BD" w:rsidRPr="00B66BA7">
              <w:rPr>
                <w:rFonts w:ascii="ITC Avant Garde" w:hAnsi="ITC Avant Garde"/>
                <w:b/>
                <w:sz w:val="24"/>
              </w:rPr>
              <w:t>C</w:t>
            </w:r>
            <w:r w:rsidRPr="00B66BA7">
              <w:rPr>
                <w:rFonts w:ascii="ITC Avant Garde" w:hAnsi="ITC Avant Garde"/>
                <w:b/>
                <w:sz w:val="24"/>
              </w:rPr>
              <w:t xml:space="preserve">ontestación </w:t>
            </w:r>
            <w:r w:rsidR="00DB01BD" w:rsidRPr="00B66BA7">
              <w:rPr>
                <w:rFonts w:ascii="ITC Avant Garde" w:hAnsi="ITC Avant Garde"/>
                <w:b/>
                <w:sz w:val="24"/>
              </w:rPr>
              <w:t>al OPR</w:t>
            </w:r>
          </w:p>
        </w:tc>
        <w:tc>
          <w:tcPr>
            <w:tcW w:w="6946" w:type="dxa"/>
            <w:gridSpan w:val="2"/>
          </w:tcPr>
          <w:p w:rsidR="002470DA" w:rsidRPr="00B95D50" w:rsidRDefault="006244D4" w:rsidP="00C52E5B">
            <w:pPr>
              <w:autoSpaceDE w:val="0"/>
              <w:autoSpaceDN w:val="0"/>
              <w:adjustRightInd w:val="0"/>
              <w:jc w:val="both"/>
              <w:rPr>
                <w:rFonts w:ascii="ITC Avant Garde" w:hAnsi="ITC Avant Garde" w:cs="Helvetica"/>
                <w:sz w:val="24"/>
              </w:rPr>
            </w:pPr>
            <w:r w:rsidRPr="00B95D50">
              <w:rPr>
                <w:rFonts w:ascii="ITC Avant Garde" w:hAnsi="ITC Avant Garde" w:cs="Helvetica"/>
                <w:sz w:val="24"/>
              </w:rPr>
              <w:t xml:space="preserve">Escrito de fecha cinco </w:t>
            </w:r>
            <w:r w:rsidR="002470DA" w:rsidRPr="00B95D50">
              <w:rPr>
                <w:rFonts w:ascii="ITC Avant Garde" w:hAnsi="ITC Avant Garde" w:cs="Helvetica"/>
                <w:sz w:val="24"/>
              </w:rPr>
              <w:t xml:space="preserve">de diciembre de dos mil dieciséis </w:t>
            </w:r>
            <w:r w:rsidRPr="00B95D50">
              <w:rPr>
                <w:rFonts w:ascii="ITC Avant Garde" w:hAnsi="ITC Avant Garde" w:cs="Helvetica"/>
                <w:sz w:val="24"/>
              </w:rPr>
              <w:t>mediante el cual</w:t>
            </w:r>
            <w:r w:rsidR="00C52E5B">
              <w:rPr>
                <w:rFonts w:ascii="ITC Avant Garde" w:hAnsi="ITC Avant Garde" w:cs="Helvetica"/>
                <w:sz w:val="24"/>
              </w:rPr>
              <w:t xml:space="preserve"> </w:t>
            </w:r>
            <w:r w:rsidR="00C52E5B">
              <w:rPr>
                <w:rFonts w:ascii="ITC Avant Garde" w:hAnsi="ITC Avant Garde"/>
                <w:sz w:val="24"/>
              </w:rPr>
              <w:t>GTV,</w:t>
            </w:r>
            <w:r w:rsidR="00C52E5B" w:rsidRPr="00B95D50">
              <w:rPr>
                <w:rFonts w:ascii="ITC Avant Garde" w:hAnsi="ITC Avant Garde" w:cs="Helvetica"/>
                <w:sz w:val="24"/>
              </w:rPr>
              <w:t xml:space="preserve"> Arretis y Tenedora Ares</w:t>
            </w:r>
            <w:r w:rsidR="002470DA" w:rsidRPr="00B95D50">
              <w:rPr>
                <w:rFonts w:ascii="ITC Avant Garde" w:hAnsi="ITC Avant Garde" w:cs="Helvetica"/>
                <w:sz w:val="24"/>
              </w:rPr>
              <w:t>,</w:t>
            </w:r>
            <w:r w:rsidRPr="00B95D50">
              <w:rPr>
                <w:rFonts w:ascii="ITC Avant Garde" w:hAnsi="ITC Avant Garde" w:cs="Helvetica"/>
                <w:sz w:val="24"/>
              </w:rPr>
              <w:t xml:space="preserve"> dieron </w:t>
            </w:r>
            <w:r w:rsidRPr="00B95D50">
              <w:rPr>
                <w:rFonts w:ascii="ITC Avant Garde" w:hAnsi="ITC Avant Garde" w:cs="Helvetica"/>
                <w:sz w:val="24"/>
              </w:rPr>
              <w:lastRenderedPageBreak/>
              <w:t>contestación a las imputaciones del Oficio de Probable Responsabilidad</w:t>
            </w:r>
            <w:r w:rsidR="002470DA" w:rsidRPr="00B95D50">
              <w:rPr>
                <w:rFonts w:ascii="ITC Avant Garde" w:hAnsi="ITC Avant Garde" w:cs="Helvetica"/>
                <w:sz w:val="24"/>
              </w:rPr>
              <w:t>.</w:t>
            </w:r>
          </w:p>
        </w:tc>
      </w:tr>
      <w:tr w:rsidR="002470DA" w:rsidRPr="00B95D50" w:rsidTr="005653F3">
        <w:tc>
          <w:tcPr>
            <w:tcW w:w="2972" w:type="dxa"/>
          </w:tcPr>
          <w:p w:rsidR="002470DA" w:rsidRPr="00B66BA7" w:rsidRDefault="00947816" w:rsidP="008A5C46">
            <w:pPr>
              <w:jc w:val="both"/>
              <w:rPr>
                <w:rFonts w:ascii="ITC Avant Garde" w:hAnsi="ITC Avant Garde"/>
                <w:b/>
                <w:sz w:val="24"/>
              </w:rPr>
            </w:pPr>
            <w:r w:rsidRPr="00B66BA7">
              <w:rPr>
                <w:rFonts w:ascii="ITC Avant Garde" w:hAnsi="ITC Avant Garde"/>
                <w:b/>
                <w:sz w:val="24"/>
              </w:rPr>
              <w:lastRenderedPageBreak/>
              <w:t>Estatuto Orgánico</w:t>
            </w:r>
          </w:p>
        </w:tc>
        <w:tc>
          <w:tcPr>
            <w:tcW w:w="6946" w:type="dxa"/>
            <w:gridSpan w:val="2"/>
          </w:tcPr>
          <w:p w:rsidR="002470DA" w:rsidRPr="00B95D50" w:rsidRDefault="006244D4" w:rsidP="00C52E5B">
            <w:pPr>
              <w:autoSpaceDE w:val="0"/>
              <w:autoSpaceDN w:val="0"/>
              <w:adjustRightInd w:val="0"/>
              <w:jc w:val="both"/>
              <w:rPr>
                <w:rFonts w:ascii="ITC Avant Garde" w:hAnsi="ITC Avant Garde" w:cs="Helvetica"/>
                <w:sz w:val="24"/>
              </w:rPr>
            </w:pPr>
            <w:r w:rsidRPr="00B95D50">
              <w:rPr>
                <w:rFonts w:ascii="ITC Avant Garde" w:hAnsi="ITC Avant Garde" w:cs="Helvetica"/>
                <w:sz w:val="24"/>
              </w:rPr>
              <w:t xml:space="preserve">Estatuto Orgánico del Instituto publicado en el Diario Oficial de la Federación el cuatro de septiembre de dos mil catorce y modificado mediante Acuerdo publicado en el </w:t>
            </w:r>
            <w:r w:rsidR="00C52E5B">
              <w:rPr>
                <w:rFonts w:ascii="ITC Avant Garde" w:hAnsi="ITC Avant Garde" w:cs="Helvetica"/>
                <w:sz w:val="24"/>
              </w:rPr>
              <w:t>DOF</w:t>
            </w:r>
            <w:r w:rsidRPr="00B95D50">
              <w:rPr>
                <w:rFonts w:ascii="ITC Avant Garde" w:hAnsi="ITC Avant Garde" w:cs="Helvetica"/>
                <w:sz w:val="24"/>
              </w:rPr>
              <w:t xml:space="preserve"> el diecisiete de octubre de dos mil dieciséis.</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Expediente</w:t>
            </w:r>
          </w:p>
        </w:tc>
        <w:tc>
          <w:tcPr>
            <w:tcW w:w="6946" w:type="dxa"/>
            <w:gridSpan w:val="2"/>
          </w:tcPr>
          <w:p w:rsidR="005653F3" w:rsidRDefault="002470DA" w:rsidP="005653F3">
            <w:pPr>
              <w:autoSpaceDE w:val="0"/>
              <w:autoSpaceDN w:val="0"/>
              <w:adjustRightInd w:val="0"/>
              <w:jc w:val="both"/>
              <w:rPr>
                <w:rFonts w:ascii="ITC Avant Garde" w:hAnsi="ITC Avant Garde" w:cs="Helvetica"/>
                <w:sz w:val="24"/>
              </w:rPr>
            </w:pPr>
            <w:r w:rsidRPr="00B95D50">
              <w:rPr>
                <w:rFonts w:ascii="ITC Avant Garde" w:hAnsi="ITC Avant Garde" w:cs="Helvetica"/>
                <w:sz w:val="24"/>
              </w:rPr>
              <w:t>Las actuaciones que integran el expediente</w:t>
            </w:r>
          </w:p>
          <w:p w:rsidR="002470DA" w:rsidRPr="00B95D50" w:rsidRDefault="002470DA" w:rsidP="005653F3">
            <w:pPr>
              <w:autoSpaceDE w:val="0"/>
              <w:autoSpaceDN w:val="0"/>
              <w:adjustRightInd w:val="0"/>
              <w:jc w:val="both"/>
              <w:rPr>
                <w:rFonts w:ascii="ITC Avant Garde" w:hAnsi="ITC Avant Garde" w:cs="Helvetica"/>
                <w:sz w:val="24"/>
              </w:rPr>
            </w:pPr>
            <w:r w:rsidRPr="00B95D50">
              <w:rPr>
                <w:rFonts w:ascii="ITC Avant Garde" w:hAnsi="ITC Avant Garde" w:cs="Helvetica"/>
                <w:sz w:val="24"/>
              </w:rPr>
              <w:t xml:space="preserve">E-IFT/UC/DGIPM/CP/0003/2013. </w:t>
            </w:r>
          </w:p>
        </w:tc>
      </w:tr>
      <w:tr w:rsidR="002470DA" w:rsidRPr="00B95D50" w:rsidTr="00072915">
        <w:tc>
          <w:tcPr>
            <w:tcW w:w="2972" w:type="dxa"/>
          </w:tcPr>
          <w:p w:rsidR="002470DA" w:rsidRPr="00B66BA7" w:rsidRDefault="002470DA" w:rsidP="003F3448">
            <w:pPr>
              <w:rPr>
                <w:rFonts w:ascii="ITC Avant Garde" w:hAnsi="ITC Avant Garde"/>
                <w:b/>
                <w:sz w:val="24"/>
              </w:rPr>
            </w:pPr>
            <w:r w:rsidRPr="00B66BA7">
              <w:rPr>
                <w:rFonts w:ascii="ITC Avant Garde" w:hAnsi="ITC Avant Garde"/>
                <w:b/>
                <w:sz w:val="24"/>
              </w:rPr>
              <w:t xml:space="preserve">Fideicomiso de Administración </w:t>
            </w:r>
          </w:p>
        </w:tc>
        <w:tc>
          <w:tcPr>
            <w:tcW w:w="6946" w:type="dxa"/>
            <w:gridSpan w:val="2"/>
            <w:vAlign w:val="center"/>
          </w:tcPr>
          <w:p w:rsidR="002470DA" w:rsidRPr="00B95D50" w:rsidRDefault="00072915" w:rsidP="00072915">
            <w:pPr>
              <w:autoSpaceDE w:val="0"/>
              <w:autoSpaceDN w:val="0"/>
              <w:adjustRightInd w:val="0"/>
              <w:rPr>
                <w:rFonts w:ascii="ITC Avant Garde" w:hAnsi="ITC Avant Garde" w:cs="Helvetica"/>
                <w:sz w:val="24"/>
              </w:rPr>
            </w:pPr>
            <w:r w:rsidRPr="00072915">
              <w:rPr>
                <w:rFonts w:ascii="ITC Avant Garde" w:hAnsi="ITC Avant Garde"/>
                <w:b/>
                <w:color w:val="0000FF"/>
                <w:sz w:val="24"/>
              </w:rPr>
              <w:t>“CONFIDENCIAL POR LEY”</w:t>
            </w:r>
          </w:p>
        </w:tc>
      </w:tr>
      <w:tr w:rsidR="002470DA" w:rsidRPr="00E83468"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Fintech</w:t>
            </w:r>
          </w:p>
        </w:tc>
        <w:tc>
          <w:tcPr>
            <w:tcW w:w="6946" w:type="dxa"/>
            <w:gridSpan w:val="2"/>
          </w:tcPr>
          <w:p w:rsidR="002470DA" w:rsidRPr="006B70BE" w:rsidRDefault="002470DA" w:rsidP="002470DA">
            <w:pPr>
              <w:jc w:val="both"/>
              <w:rPr>
                <w:rFonts w:ascii="ITC Avant Garde" w:hAnsi="ITC Avant Garde"/>
                <w:sz w:val="24"/>
                <w:lang w:val="en-US"/>
              </w:rPr>
            </w:pPr>
            <w:r w:rsidRPr="006B70BE">
              <w:rPr>
                <w:rFonts w:ascii="ITC Avant Garde" w:hAnsi="ITC Avant Garde"/>
                <w:sz w:val="24"/>
                <w:lang w:val="en-US"/>
              </w:rPr>
              <w:t>Fintech Investments Ltd., socio</w:t>
            </w:r>
            <w:r w:rsidRPr="0095462D">
              <w:rPr>
                <w:rFonts w:ascii="ITC Avant Garde" w:hAnsi="ITC Avant Garde"/>
                <w:sz w:val="24"/>
                <w:lang w:val="en-US"/>
              </w:rPr>
              <w:t xml:space="preserve"> único</w:t>
            </w:r>
            <w:r w:rsidRPr="006B70BE">
              <w:rPr>
                <w:rFonts w:ascii="ITC Avant Garde" w:hAnsi="ITC Avant Garde"/>
                <w:sz w:val="24"/>
                <w:lang w:val="en-US"/>
              </w:rPr>
              <w:t xml:space="preserve"> de Cable TV Holdings, S.A.R.L. y Fintech Cable Holdings, S.A.R.L. </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Fintech Holdings</w:t>
            </w:r>
          </w:p>
        </w:tc>
        <w:tc>
          <w:tcPr>
            <w:tcW w:w="6946" w:type="dxa"/>
            <w:gridSpan w:val="2"/>
          </w:tcPr>
          <w:p w:rsidR="002470DA" w:rsidRPr="00B95D50" w:rsidRDefault="002470DA" w:rsidP="002470DA">
            <w:pPr>
              <w:jc w:val="both"/>
              <w:rPr>
                <w:rFonts w:ascii="ITC Avant Garde" w:hAnsi="ITC Avant Garde"/>
                <w:sz w:val="24"/>
              </w:rPr>
            </w:pPr>
            <w:r w:rsidRPr="00B95D50">
              <w:rPr>
                <w:rFonts w:ascii="ITC Avant Garde" w:hAnsi="ITC Avant Garde"/>
                <w:sz w:val="24"/>
              </w:rPr>
              <w:t>Fintech Cable Holdings, S.A.R.L., socio único de Dafel Investments B.V. y México Media Investments, S.L., Sociedad Unipersonal.</w:t>
            </w:r>
          </w:p>
        </w:tc>
      </w:tr>
      <w:tr w:rsidR="001E7366" w:rsidRPr="00B95D50" w:rsidTr="005653F3">
        <w:tc>
          <w:tcPr>
            <w:tcW w:w="2972" w:type="dxa"/>
          </w:tcPr>
          <w:p w:rsidR="001E7366" w:rsidRPr="00B66BA7" w:rsidRDefault="001E7366" w:rsidP="008A5C46">
            <w:pPr>
              <w:jc w:val="both"/>
              <w:rPr>
                <w:rFonts w:ascii="ITC Avant Garde" w:hAnsi="ITC Avant Garde"/>
                <w:b/>
                <w:sz w:val="24"/>
              </w:rPr>
            </w:pPr>
            <w:r w:rsidRPr="00B66BA7">
              <w:rPr>
                <w:rFonts w:ascii="ITC Avant Garde" w:hAnsi="ITC Avant Garde"/>
                <w:b/>
                <w:sz w:val="24"/>
              </w:rPr>
              <w:t>GIE</w:t>
            </w:r>
          </w:p>
        </w:tc>
        <w:tc>
          <w:tcPr>
            <w:tcW w:w="6946" w:type="dxa"/>
            <w:gridSpan w:val="2"/>
          </w:tcPr>
          <w:p w:rsidR="001E7366" w:rsidRPr="00B95D50" w:rsidRDefault="001E7366" w:rsidP="002470DA">
            <w:pPr>
              <w:jc w:val="both"/>
              <w:rPr>
                <w:rFonts w:ascii="ITC Avant Garde" w:hAnsi="ITC Avant Garde"/>
                <w:sz w:val="24"/>
              </w:rPr>
            </w:pPr>
            <w:r>
              <w:rPr>
                <w:rFonts w:ascii="ITC Avant Garde" w:hAnsi="ITC Avant Garde"/>
                <w:sz w:val="24"/>
              </w:rPr>
              <w:t>Grupo de Interés Económico.</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GTV</w:t>
            </w:r>
          </w:p>
        </w:tc>
        <w:tc>
          <w:tcPr>
            <w:tcW w:w="6946" w:type="dxa"/>
            <w:gridSpan w:val="2"/>
          </w:tcPr>
          <w:p w:rsidR="002470DA" w:rsidRPr="00B95D50" w:rsidRDefault="002470DA" w:rsidP="002470DA">
            <w:pPr>
              <w:jc w:val="both"/>
              <w:rPr>
                <w:rFonts w:ascii="ITC Avant Garde" w:hAnsi="ITC Avant Garde"/>
                <w:sz w:val="24"/>
              </w:rPr>
            </w:pPr>
            <w:r w:rsidRPr="00B95D50">
              <w:rPr>
                <w:rFonts w:ascii="ITC Avant Garde" w:hAnsi="ITC Avant Garde"/>
                <w:sz w:val="24"/>
              </w:rPr>
              <w:t xml:space="preserve">Grupo Televisa, S.A.B. </w:t>
            </w:r>
          </w:p>
        </w:tc>
      </w:tr>
      <w:tr w:rsidR="00F96A39" w:rsidRPr="00B95D50" w:rsidTr="005653F3">
        <w:tc>
          <w:tcPr>
            <w:tcW w:w="2972" w:type="dxa"/>
          </w:tcPr>
          <w:p w:rsidR="00F96A39" w:rsidRPr="00B66BA7" w:rsidRDefault="00F96A39" w:rsidP="008A5C46">
            <w:pPr>
              <w:jc w:val="both"/>
              <w:rPr>
                <w:rFonts w:ascii="ITC Avant Garde" w:hAnsi="ITC Avant Garde"/>
                <w:b/>
                <w:sz w:val="24"/>
              </w:rPr>
            </w:pPr>
            <w:r w:rsidRPr="00B66BA7">
              <w:rPr>
                <w:rFonts w:ascii="ITC Avant Garde" w:hAnsi="ITC Avant Garde"/>
                <w:b/>
                <w:sz w:val="24"/>
              </w:rPr>
              <w:t>IH</w:t>
            </w:r>
            <w:r w:rsidR="00E824C1">
              <w:rPr>
                <w:rFonts w:ascii="ITC Avant Garde" w:hAnsi="ITC Avant Garde"/>
                <w:b/>
                <w:sz w:val="24"/>
              </w:rPr>
              <w:t>H</w:t>
            </w:r>
          </w:p>
        </w:tc>
        <w:tc>
          <w:tcPr>
            <w:tcW w:w="6946" w:type="dxa"/>
            <w:gridSpan w:val="2"/>
          </w:tcPr>
          <w:p w:rsidR="00F96A39" w:rsidRPr="00B95D50" w:rsidRDefault="00F96A39" w:rsidP="00C665E4">
            <w:pPr>
              <w:jc w:val="both"/>
              <w:rPr>
                <w:rFonts w:ascii="ITC Avant Garde" w:hAnsi="ITC Avant Garde"/>
                <w:sz w:val="24"/>
              </w:rPr>
            </w:pPr>
            <w:r>
              <w:rPr>
                <w:rFonts w:ascii="ITC Avant Garde" w:hAnsi="ITC Avant Garde"/>
                <w:sz w:val="24"/>
              </w:rPr>
              <w:t>Índice de Herfindahl</w:t>
            </w:r>
            <w:r w:rsidR="00E824C1">
              <w:rPr>
                <w:rFonts w:ascii="ITC Avant Garde" w:hAnsi="ITC Avant Garde"/>
                <w:sz w:val="24"/>
              </w:rPr>
              <w:t>-Hirschman</w:t>
            </w:r>
            <w:r w:rsidR="00095147">
              <w:rPr>
                <w:rFonts w:ascii="ITC Avant Garde" w:hAnsi="ITC Avant Garde"/>
                <w:sz w:val="24"/>
              </w:rPr>
              <w:t xml:space="preserve">, de conformidad con lo establecido en </w:t>
            </w:r>
            <w:r w:rsidR="00C665E4">
              <w:rPr>
                <w:rFonts w:ascii="ITC Avant Garde" w:hAnsi="ITC Avant Garde"/>
                <w:sz w:val="24"/>
              </w:rPr>
              <w:t>la Resolución por la que se da a conocer el método para el cálculo de los índices para determinar el grado de concentración que exista en el mercado relevante y los criterios para su aplicación, publicada en el DOF el veinticuatro de julio de mil novecientos noventa y ocho</w:t>
            </w:r>
            <w:r w:rsidR="00095147">
              <w:rPr>
                <w:rFonts w:ascii="ITC Avant Garde" w:hAnsi="ITC Avant Garde"/>
                <w:sz w:val="24"/>
              </w:rPr>
              <w:t>.</w:t>
            </w:r>
            <w:r w:rsidR="00095147">
              <w:rPr>
                <w:rStyle w:val="Refdenotaalpie"/>
                <w:rFonts w:ascii="ITC Avant Garde" w:hAnsi="ITC Avant Garde"/>
                <w:sz w:val="24"/>
              </w:rPr>
              <w:footnoteReference w:id="2"/>
            </w:r>
          </w:p>
        </w:tc>
      </w:tr>
      <w:tr w:rsidR="00F96A39" w:rsidRPr="00B95D50" w:rsidTr="005653F3">
        <w:tc>
          <w:tcPr>
            <w:tcW w:w="2972" w:type="dxa"/>
          </w:tcPr>
          <w:p w:rsidR="00F96A39" w:rsidRPr="00B66BA7" w:rsidRDefault="00F96A39" w:rsidP="008A5C46">
            <w:pPr>
              <w:jc w:val="both"/>
              <w:rPr>
                <w:rFonts w:ascii="ITC Avant Garde" w:hAnsi="ITC Avant Garde"/>
                <w:b/>
                <w:sz w:val="24"/>
              </w:rPr>
            </w:pPr>
            <w:r w:rsidRPr="00B66BA7">
              <w:rPr>
                <w:rFonts w:ascii="ITC Avant Garde" w:hAnsi="ITC Avant Garde"/>
                <w:b/>
                <w:sz w:val="24"/>
              </w:rPr>
              <w:t>ID</w:t>
            </w:r>
          </w:p>
        </w:tc>
        <w:tc>
          <w:tcPr>
            <w:tcW w:w="6946" w:type="dxa"/>
            <w:gridSpan w:val="2"/>
          </w:tcPr>
          <w:p w:rsidR="00F96A39" w:rsidRDefault="00F96A39" w:rsidP="00095147">
            <w:pPr>
              <w:jc w:val="both"/>
              <w:rPr>
                <w:rFonts w:ascii="ITC Avant Garde" w:hAnsi="ITC Avant Garde"/>
                <w:sz w:val="24"/>
              </w:rPr>
            </w:pPr>
            <w:r>
              <w:rPr>
                <w:rFonts w:ascii="ITC Avant Garde" w:hAnsi="ITC Avant Garde"/>
                <w:sz w:val="24"/>
              </w:rPr>
              <w:t>Índice de Dominancia</w:t>
            </w:r>
            <w:r w:rsidR="00095147">
              <w:rPr>
                <w:rFonts w:ascii="ITC Avant Garde" w:hAnsi="ITC Avant Garde"/>
                <w:sz w:val="24"/>
              </w:rPr>
              <w:t xml:space="preserve">, </w:t>
            </w:r>
            <w:r w:rsidR="004C609F">
              <w:rPr>
                <w:rFonts w:ascii="ITC Avant Garde" w:hAnsi="ITC Avant Garde"/>
                <w:sz w:val="24"/>
              </w:rPr>
              <w:t xml:space="preserve">de conformidad con lo establecido en la Resolución por la que se da a conocer el método para el cálculo de los índices para determinar el grado de concentración que exista en el mercado relevante y los criterios para su aplicación, publicada en </w:t>
            </w:r>
            <w:r w:rsidR="004C609F">
              <w:rPr>
                <w:rFonts w:ascii="ITC Avant Garde" w:hAnsi="ITC Avant Garde"/>
                <w:sz w:val="24"/>
              </w:rPr>
              <w:lastRenderedPageBreak/>
              <w:t>el DOF el veinticuatro de julio de mil novecientos noventa y ocho</w:t>
            </w:r>
            <w:r w:rsidR="00095147">
              <w:rPr>
                <w:rFonts w:ascii="ITC Avant Garde" w:hAnsi="ITC Avant Garde"/>
                <w:sz w:val="24"/>
              </w:rPr>
              <w:t>.</w:t>
            </w:r>
            <w:r w:rsidR="00095147">
              <w:rPr>
                <w:rStyle w:val="Refdenotaalpie"/>
                <w:rFonts w:ascii="ITC Avant Garde" w:hAnsi="ITC Avant Garde"/>
                <w:sz w:val="24"/>
              </w:rPr>
              <w:footnoteReference w:id="3"/>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lastRenderedPageBreak/>
              <w:t xml:space="preserve">Instituto </w:t>
            </w:r>
          </w:p>
        </w:tc>
        <w:tc>
          <w:tcPr>
            <w:tcW w:w="6946" w:type="dxa"/>
            <w:gridSpan w:val="2"/>
          </w:tcPr>
          <w:p w:rsidR="002470DA" w:rsidRPr="00B95D50" w:rsidRDefault="002470DA" w:rsidP="002470DA">
            <w:pPr>
              <w:jc w:val="both"/>
              <w:rPr>
                <w:rFonts w:ascii="ITC Avant Garde" w:hAnsi="ITC Avant Garde"/>
                <w:sz w:val="24"/>
              </w:rPr>
            </w:pPr>
            <w:r w:rsidRPr="00B95D50">
              <w:rPr>
                <w:rFonts w:ascii="ITC Avant Garde" w:hAnsi="ITC Avant Garde"/>
                <w:sz w:val="24"/>
              </w:rPr>
              <w:t xml:space="preserve">Instituto Federal de Telecomunicaciones. </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LFCE</w:t>
            </w:r>
          </w:p>
        </w:tc>
        <w:tc>
          <w:tcPr>
            <w:tcW w:w="6946" w:type="dxa"/>
            <w:gridSpan w:val="2"/>
          </w:tcPr>
          <w:p w:rsidR="002470DA" w:rsidRPr="00B95D50" w:rsidRDefault="006244D4" w:rsidP="00C52E5B">
            <w:pPr>
              <w:autoSpaceDE w:val="0"/>
              <w:autoSpaceDN w:val="0"/>
              <w:adjustRightInd w:val="0"/>
              <w:jc w:val="both"/>
              <w:rPr>
                <w:rFonts w:ascii="ITC Avant Garde" w:hAnsi="ITC Avant Garde" w:cs="Helvetica"/>
                <w:sz w:val="24"/>
              </w:rPr>
            </w:pPr>
            <w:r w:rsidRPr="00B95D50">
              <w:rPr>
                <w:rFonts w:ascii="ITC Avant Garde" w:hAnsi="ITC Avant Garde" w:cs="Helvetica"/>
                <w:color w:val="0D0D0D" w:themeColor="text1" w:themeTint="F2"/>
                <w:sz w:val="24"/>
              </w:rPr>
              <w:t xml:space="preserve">Ley Federal de Competencia Económica expedida mediante Decreto publicado en el </w:t>
            </w:r>
            <w:r w:rsidR="00C52E5B">
              <w:rPr>
                <w:rFonts w:ascii="ITC Avant Garde" w:hAnsi="ITC Avant Garde" w:cs="Helvetica"/>
                <w:color w:val="0D0D0D" w:themeColor="text1" w:themeTint="F2"/>
                <w:sz w:val="24"/>
              </w:rPr>
              <w:t>DOF</w:t>
            </w:r>
            <w:r w:rsidRPr="00B95D50">
              <w:rPr>
                <w:rFonts w:ascii="ITC Avant Garde" w:hAnsi="ITC Avant Garde" w:cs="Helvetica"/>
                <w:color w:val="0D0D0D" w:themeColor="text1" w:themeTint="F2"/>
                <w:sz w:val="24"/>
              </w:rPr>
              <w:t xml:space="preserve"> el veinticuatro de diciembre de mil novecientos noventa y dos, la cual fue reformada mediante Decreto publicado en el </w:t>
            </w:r>
            <w:r w:rsidR="00C52E5B">
              <w:rPr>
                <w:rFonts w:ascii="ITC Avant Garde" w:hAnsi="ITC Avant Garde" w:cs="Helvetica"/>
                <w:color w:val="0D0D0D" w:themeColor="text1" w:themeTint="F2"/>
                <w:sz w:val="24"/>
              </w:rPr>
              <w:t>DOF</w:t>
            </w:r>
            <w:r w:rsidRPr="00B95D50">
              <w:rPr>
                <w:rFonts w:ascii="ITC Avant Garde" w:hAnsi="ITC Avant Garde" w:cs="Helvetica"/>
                <w:color w:val="0D0D0D" w:themeColor="text1" w:themeTint="F2"/>
                <w:sz w:val="24"/>
              </w:rPr>
              <w:t xml:space="preserve"> el nueve de abril de dos mil doce.</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LFTyR</w:t>
            </w:r>
          </w:p>
        </w:tc>
        <w:tc>
          <w:tcPr>
            <w:tcW w:w="6946" w:type="dxa"/>
            <w:gridSpan w:val="2"/>
          </w:tcPr>
          <w:p w:rsidR="002470DA" w:rsidRPr="00B95D50" w:rsidRDefault="002470DA" w:rsidP="00C52E5B">
            <w:pPr>
              <w:jc w:val="both"/>
              <w:rPr>
                <w:rFonts w:ascii="ITC Avant Garde" w:hAnsi="ITC Avant Garde"/>
                <w:sz w:val="24"/>
              </w:rPr>
            </w:pPr>
            <w:r w:rsidRPr="00B95D50">
              <w:rPr>
                <w:rFonts w:ascii="ITC Avant Garde" w:hAnsi="ITC Avant Garde"/>
                <w:sz w:val="24"/>
              </w:rPr>
              <w:t xml:space="preserve">Ley Federal de Telecomunicaciones y Radiodifusión, expedida mediante Decreto publicado en el </w:t>
            </w:r>
            <w:r w:rsidR="00C52E5B">
              <w:rPr>
                <w:rFonts w:ascii="ITC Avant Garde" w:hAnsi="ITC Avant Garde"/>
                <w:sz w:val="24"/>
              </w:rPr>
              <w:t>DOF</w:t>
            </w:r>
            <w:r w:rsidRPr="00B95D50">
              <w:rPr>
                <w:rFonts w:ascii="ITC Avant Garde" w:hAnsi="ITC Avant Garde"/>
                <w:sz w:val="24"/>
              </w:rPr>
              <w:t xml:space="preserve"> el catorce de julio de dos mil catorce.</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LGSM</w:t>
            </w:r>
          </w:p>
        </w:tc>
        <w:tc>
          <w:tcPr>
            <w:tcW w:w="6946" w:type="dxa"/>
            <w:gridSpan w:val="2"/>
          </w:tcPr>
          <w:p w:rsidR="002470DA" w:rsidRPr="00B95D50" w:rsidRDefault="002470DA" w:rsidP="00C52E5B">
            <w:pPr>
              <w:jc w:val="both"/>
              <w:rPr>
                <w:rFonts w:ascii="ITC Avant Garde" w:hAnsi="ITC Avant Garde"/>
                <w:sz w:val="24"/>
              </w:rPr>
            </w:pPr>
            <w:r w:rsidRPr="00B95D50">
              <w:rPr>
                <w:rFonts w:ascii="ITC Avant Garde" w:hAnsi="ITC Avant Garde"/>
                <w:sz w:val="24"/>
              </w:rPr>
              <w:t xml:space="preserve">Ley General de Sociedades Mercantiles, expedida mediante Decreto publicado en el </w:t>
            </w:r>
            <w:r w:rsidR="00C52E5B">
              <w:rPr>
                <w:rFonts w:ascii="ITC Avant Garde" w:hAnsi="ITC Avant Garde"/>
                <w:sz w:val="24"/>
              </w:rPr>
              <w:t>DOF</w:t>
            </w:r>
            <w:r w:rsidR="006A4208" w:rsidRPr="00B95D50">
              <w:rPr>
                <w:rFonts w:ascii="ITC Avant Garde" w:hAnsi="ITC Avant Garde"/>
                <w:sz w:val="24"/>
              </w:rPr>
              <w:t>, el</w:t>
            </w:r>
            <w:r w:rsidRPr="00B95D50">
              <w:rPr>
                <w:rFonts w:ascii="ITC Avant Garde" w:hAnsi="ITC Avant Garde"/>
                <w:sz w:val="24"/>
              </w:rPr>
              <w:t xml:space="preserve"> cuatro de agosto de mil novecientos treinta y cuatro y reformada mediante Decreto publicado en el </w:t>
            </w:r>
            <w:r w:rsidR="00C52E5B">
              <w:rPr>
                <w:rFonts w:ascii="ITC Avant Garde" w:hAnsi="ITC Avant Garde"/>
                <w:sz w:val="24"/>
              </w:rPr>
              <w:t>DOF</w:t>
            </w:r>
            <w:r w:rsidR="006A4208" w:rsidRPr="00B95D50">
              <w:rPr>
                <w:rFonts w:ascii="ITC Avant Garde" w:hAnsi="ITC Avant Garde"/>
                <w:sz w:val="24"/>
              </w:rPr>
              <w:t>,</w:t>
            </w:r>
            <w:r w:rsidRPr="00B95D50">
              <w:rPr>
                <w:rFonts w:ascii="ITC Avant Garde" w:hAnsi="ITC Avant Garde"/>
                <w:sz w:val="24"/>
              </w:rPr>
              <w:t xml:space="preserve"> el catorce de marzo de dos mil dieciséis.</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LGTOC</w:t>
            </w:r>
          </w:p>
        </w:tc>
        <w:tc>
          <w:tcPr>
            <w:tcW w:w="6946" w:type="dxa"/>
            <w:gridSpan w:val="2"/>
          </w:tcPr>
          <w:p w:rsidR="002470DA" w:rsidRPr="00B95D50" w:rsidRDefault="002470DA" w:rsidP="00C52E5B">
            <w:pPr>
              <w:autoSpaceDE w:val="0"/>
              <w:autoSpaceDN w:val="0"/>
              <w:adjustRightInd w:val="0"/>
              <w:jc w:val="both"/>
              <w:rPr>
                <w:rFonts w:ascii="ITC Avant Garde" w:hAnsi="ITC Avant Garde" w:cs="Helvetica"/>
                <w:sz w:val="24"/>
              </w:rPr>
            </w:pPr>
            <w:r w:rsidRPr="00B95D50">
              <w:rPr>
                <w:rFonts w:ascii="ITC Avant Garde" w:hAnsi="ITC Avant Garde" w:cs="Helvetica"/>
                <w:sz w:val="24"/>
              </w:rPr>
              <w:t xml:space="preserve">Ley General de Títulos y Operaciones de Crédito, expedida mediante Decreto publicado en el </w:t>
            </w:r>
            <w:r w:rsidR="00C52E5B">
              <w:rPr>
                <w:rFonts w:ascii="ITC Avant Garde" w:hAnsi="ITC Avant Garde" w:cs="Helvetica"/>
                <w:sz w:val="24"/>
              </w:rPr>
              <w:t>DOF</w:t>
            </w:r>
            <w:r w:rsidRPr="00B95D50">
              <w:rPr>
                <w:rFonts w:ascii="ITC Avant Garde" w:hAnsi="ITC Avant Garde" w:cs="Helvetica"/>
                <w:sz w:val="24"/>
              </w:rPr>
              <w:t xml:space="preserve">, el veintisiete de agosto de mil novecientos treinta y dos, con última reforma publicada en el </w:t>
            </w:r>
            <w:r w:rsidR="00C52E5B">
              <w:rPr>
                <w:rFonts w:ascii="ITC Avant Garde" w:hAnsi="ITC Avant Garde" w:cs="Helvetica"/>
                <w:sz w:val="24"/>
              </w:rPr>
              <w:t>DOF</w:t>
            </w:r>
            <w:r w:rsidRPr="00B95D50">
              <w:rPr>
                <w:rFonts w:ascii="ITC Avant Garde" w:hAnsi="ITC Avant Garde" w:cs="Helvetica"/>
                <w:sz w:val="24"/>
              </w:rPr>
              <w:t>, el trece de junio de dos mil catorce.</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MMI</w:t>
            </w:r>
          </w:p>
        </w:tc>
        <w:tc>
          <w:tcPr>
            <w:tcW w:w="6946" w:type="dxa"/>
            <w:gridSpan w:val="2"/>
          </w:tcPr>
          <w:p w:rsidR="002470DA" w:rsidRPr="00B95D50" w:rsidRDefault="002470DA" w:rsidP="002470DA">
            <w:pPr>
              <w:jc w:val="both"/>
              <w:rPr>
                <w:rFonts w:ascii="ITC Avant Garde" w:hAnsi="ITC Avant Garde"/>
                <w:sz w:val="24"/>
              </w:rPr>
            </w:pPr>
            <w:r w:rsidRPr="00B95D50">
              <w:rPr>
                <w:rFonts w:ascii="ITC Avant Garde" w:hAnsi="ITC Avant Garde"/>
                <w:sz w:val="24"/>
              </w:rPr>
              <w:t>México Media Investments, S.L., Sociedad Unipersonal.</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Noveno Transitorio</w:t>
            </w:r>
          </w:p>
        </w:tc>
        <w:tc>
          <w:tcPr>
            <w:tcW w:w="6946" w:type="dxa"/>
            <w:gridSpan w:val="2"/>
          </w:tcPr>
          <w:p w:rsidR="002470DA" w:rsidRPr="00B95D50" w:rsidRDefault="002470DA" w:rsidP="00C52E5B">
            <w:pPr>
              <w:jc w:val="both"/>
              <w:rPr>
                <w:rFonts w:ascii="ITC Avant Garde" w:hAnsi="ITC Avant Garde"/>
                <w:sz w:val="24"/>
              </w:rPr>
            </w:pPr>
            <w:r w:rsidRPr="00B95D50">
              <w:rPr>
                <w:rFonts w:ascii="ITC Avant Garde" w:hAnsi="ITC Avant Garde"/>
                <w:sz w:val="24"/>
              </w:rPr>
              <w:t xml:space="preserve">Artículo Noveno Transitorio </w:t>
            </w:r>
            <w:r w:rsidR="003A4B33">
              <w:rPr>
                <w:rFonts w:ascii="ITC Avant Garde" w:hAnsi="ITC Avant Garde"/>
                <w:sz w:val="24"/>
              </w:rPr>
              <w:t>del Decreto por el que se expide</w:t>
            </w:r>
            <w:r w:rsidRPr="00B95D50">
              <w:rPr>
                <w:rFonts w:ascii="ITC Avant Garde" w:hAnsi="ITC Avant Garde"/>
                <w:sz w:val="24"/>
              </w:rPr>
              <w:t xml:space="preserve"> la </w:t>
            </w:r>
            <w:r w:rsidR="00C52E5B">
              <w:rPr>
                <w:rFonts w:ascii="ITC Avant Garde" w:hAnsi="ITC Avant Garde"/>
                <w:sz w:val="24"/>
              </w:rPr>
              <w:t>LFTyR</w:t>
            </w:r>
            <w:r w:rsidRPr="00B95D50">
              <w:rPr>
                <w:rFonts w:ascii="ITC Avant Garde" w:hAnsi="ITC Avant Garde"/>
                <w:sz w:val="24"/>
              </w:rPr>
              <w:t xml:space="preserve">, publicado en el </w:t>
            </w:r>
            <w:r w:rsidR="00C52E5B">
              <w:rPr>
                <w:rFonts w:ascii="ITC Avant Garde" w:hAnsi="ITC Avant Garde"/>
                <w:sz w:val="24"/>
              </w:rPr>
              <w:t>DOF</w:t>
            </w:r>
            <w:r w:rsidRPr="00B95D50">
              <w:rPr>
                <w:rFonts w:ascii="ITC Avant Garde" w:hAnsi="ITC Avant Garde"/>
                <w:sz w:val="24"/>
              </w:rPr>
              <w:t xml:space="preserve"> el catorce de julio de dos mil catorce.</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 xml:space="preserve">Oficialía </w:t>
            </w:r>
          </w:p>
        </w:tc>
        <w:tc>
          <w:tcPr>
            <w:tcW w:w="6946" w:type="dxa"/>
            <w:gridSpan w:val="2"/>
          </w:tcPr>
          <w:p w:rsidR="002470DA" w:rsidRPr="00B95D50" w:rsidRDefault="002470DA" w:rsidP="00C52E5B">
            <w:pPr>
              <w:jc w:val="both"/>
              <w:rPr>
                <w:rFonts w:ascii="ITC Avant Garde" w:hAnsi="ITC Avant Garde"/>
                <w:sz w:val="24"/>
              </w:rPr>
            </w:pPr>
            <w:r w:rsidRPr="00B95D50">
              <w:rPr>
                <w:rFonts w:ascii="ITC Avant Garde" w:hAnsi="ITC Avant Garde"/>
                <w:sz w:val="24"/>
              </w:rPr>
              <w:t>Oficialía de partes del Instituto.</w:t>
            </w:r>
          </w:p>
        </w:tc>
      </w:tr>
      <w:tr w:rsidR="00A77661" w:rsidRPr="00B95D50" w:rsidTr="005653F3">
        <w:tc>
          <w:tcPr>
            <w:tcW w:w="2972" w:type="dxa"/>
          </w:tcPr>
          <w:p w:rsidR="00A77661" w:rsidRPr="00B66BA7" w:rsidRDefault="00A77661" w:rsidP="008A5C46">
            <w:pPr>
              <w:jc w:val="both"/>
              <w:rPr>
                <w:rFonts w:ascii="ITC Avant Garde" w:hAnsi="ITC Avant Garde"/>
                <w:b/>
                <w:sz w:val="24"/>
                <w:highlight w:val="cyan"/>
              </w:rPr>
            </w:pPr>
            <w:r w:rsidRPr="00B66BA7">
              <w:rPr>
                <w:rFonts w:ascii="ITC Avant Garde" w:hAnsi="ITC Avant Garde"/>
                <w:b/>
                <w:sz w:val="24"/>
              </w:rPr>
              <w:t>Operación Investigada</w:t>
            </w:r>
          </w:p>
        </w:tc>
        <w:tc>
          <w:tcPr>
            <w:tcW w:w="6946" w:type="dxa"/>
            <w:gridSpan w:val="2"/>
          </w:tcPr>
          <w:p w:rsidR="00A77661" w:rsidRPr="00B95D50" w:rsidRDefault="005B025E" w:rsidP="00C52E5B">
            <w:pPr>
              <w:jc w:val="both"/>
              <w:rPr>
                <w:rFonts w:ascii="ITC Avant Garde" w:hAnsi="ITC Avant Garde"/>
                <w:sz w:val="24"/>
              </w:rPr>
            </w:pPr>
            <w:r>
              <w:rPr>
                <w:rFonts w:ascii="ITC Avant Garde" w:hAnsi="ITC Avant Garde"/>
                <w:sz w:val="24"/>
              </w:rPr>
              <w:t xml:space="preserve">Definida por la Autoridad Investigadora en el </w:t>
            </w:r>
            <w:r w:rsidR="00C52E5B">
              <w:rPr>
                <w:rFonts w:ascii="ITC Avant Garde" w:hAnsi="ITC Avant Garde"/>
                <w:sz w:val="24"/>
              </w:rPr>
              <w:t>OPR</w:t>
            </w:r>
            <w:r>
              <w:rPr>
                <w:rFonts w:ascii="ITC Avant Garde" w:hAnsi="ITC Avant Garde"/>
                <w:sz w:val="24"/>
              </w:rPr>
              <w:t xml:space="preserve"> como la p</w:t>
            </w:r>
            <w:r w:rsidR="00A6210D" w:rsidRPr="00A6210D">
              <w:rPr>
                <w:rFonts w:ascii="ITC Avant Garde" w:hAnsi="ITC Avant Garde"/>
                <w:sz w:val="24"/>
              </w:rPr>
              <w:t>osible concentración prohibida</w:t>
            </w:r>
            <w:r w:rsidR="00A6210D">
              <w:rPr>
                <w:rFonts w:ascii="ITC Avant Garde" w:hAnsi="ITC Avant Garde"/>
                <w:sz w:val="24"/>
              </w:rPr>
              <w:t xml:space="preserve"> derivada de</w:t>
            </w:r>
            <w:r w:rsidR="00F92E28">
              <w:rPr>
                <w:rFonts w:ascii="ITC Avant Garde" w:hAnsi="ITC Avant Garde"/>
                <w:sz w:val="24"/>
              </w:rPr>
              <w:t>l Cúmulo de Operaciones</w:t>
            </w:r>
            <w:r w:rsidR="00A6210D">
              <w:rPr>
                <w:rFonts w:ascii="ITC Avant Garde" w:hAnsi="ITC Avant Garde"/>
                <w:sz w:val="24"/>
              </w:rPr>
              <w:t xml:space="preserve"> realizadas el treinta y uno de julio de dos mil trece.</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lastRenderedPageBreak/>
              <w:t>OPR</w:t>
            </w:r>
          </w:p>
        </w:tc>
        <w:tc>
          <w:tcPr>
            <w:tcW w:w="6946" w:type="dxa"/>
            <w:gridSpan w:val="2"/>
          </w:tcPr>
          <w:p w:rsidR="002470DA" w:rsidRPr="00B95D50" w:rsidRDefault="002470DA" w:rsidP="002470DA">
            <w:pPr>
              <w:autoSpaceDE w:val="0"/>
              <w:autoSpaceDN w:val="0"/>
              <w:adjustRightInd w:val="0"/>
              <w:jc w:val="both"/>
              <w:rPr>
                <w:rFonts w:ascii="ITC Avant Garde" w:hAnsi="ITC Avant Garde" w:cs="Helvetica"/>
                <w:sz w:val="24"/>
              </w:rPr>
            </w:pPr>
            <w:r w:rsidRPr="00B95D50">
              <w:rPr>
                <w:rFonts w:ascii="ITC Avant Garde" w:hAnsi="ITC Avant Garde" w:cs="Helvetica"/>
                <w:sz w:val="24"/>
              </w:rPr>
              <w:t>Oficio de Probable Responsabilidad emitido en el expediente E-IFT/UC/DGIPM/CP/0003/2013,</w:t>
            </w:r>
            <w:r w:rsidR="006A4208" w:rsidRPr="00B95D50">
              <w:rPr>
                <w:rFonts w:ascii="ITC Avant Garde" w:hAnsi="ITC Avant Garde" w:cs="Helvetica"/>
                <w:sz w:val="24"/>
              </w:rPr>
              <w:t xml:space="preserve"> </w:t>
            </w:r>
            <w:r w:rsidRPr="00B95D50">
              <w:rPr>
                <w:rFonts w:ascii="ITC Avant Garde" w:hAnsi="ITC Avant Garde" w:cs="Helvetica"/>
                <w:sz w:val="24"/>
              </w:rPr>
              <w:t>por el Titular de la Autoridad Investigadora, el dieciocho de octubre de dos mil dieciséis.</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Pagaré Ares</w:t>
            </w:r>
          </w:p>
        </w:tc>
        <w:tc>
          <w:tcPr>
            <w:tcW w:w="6946" w:type="dxa"/>
            <w:gridSpan w:val="2"/>
          </w:tcPr>
          <w:p w:rsidR="002470DA" w:rsidRPr="00312880" w:rsidRDefault="00072915" w:rsidP="000A7870">
            <w:pPr>
              <w:autoSpaceDE w:val="0"/>
              <w:autoSpaceDN w:val="0"/>
              <w:adjustRightInd w:val="0"/>
              <w:jc w:val="both"/>
              <w:rPr>
                <w:rFonts w:ascii="ITC Avant Garde" w:hAnsi="ITC Avant Garde" w:cs="Helvetica"/>
                <w:sz w:val="24"/>
              </w:rPr>
            </w:pPr>
            <w:r w:rsidRPr="00312880">
              <w:rPr>
                <w:rFonts w:ascii="ITC Avant Garde" w:hAnsi="ITC Avant Garde"/>
                <w:b/>
                <w:color w:val="0000FF"/>
                <w:sz w:val="24"/>
              </w:rPr>
              <w:t>“CONFIDENCIAL POR LEY”</w:t>
            </w:r>
          </w:p>
        </w:tc>
      </w:tr>
      <w:tr w:rsidR="002470DA" w:rsidRPr="00B95D50" w:rsidTr="005653F3">
        <w:tc>
          <w:tcPr>
            <w:tcW w:w="2972" w:type="dxa"/>
          </w:tcPr>
          <w:p w:rsidR="008A5C46" w:rsidRPr="00B66BA7" w:rsidRDefault="002470DA" w:rsidP="008A5C46">
            <w:pPr>
              <w:jc w:val="both"/>
              <w:rPr>
                <w:rFonts w:ascii="ITC Avant Garde" w:hAnsi="ITC Avant Garde"/>
                <w:b/>
                <w:sz w:val="24"/>
              </w:rPr>
            </w:pPr>
            <w:r w:rsidRPr="00B66BA7">
              <w:rPr>
                <w:rFonts w:ascii="ITC Avant Garde" w:hAnsi="ITC Avant Garde"/>
                <w:b/>
                <w:sz w:val="24"/>
              </w:rPr>
              <w:t xml:space="preserve">Pagaré de Inversión </w:t>
            </w:r>
          </w:p>
        </w:tc>
        <w:tc>
          <w:tcPr>
            <w:tcW w:w="6946" w:type="dxa"/>
            <w:gridSpan w:val="2"/>
          </w:tcPr>
          <w:p w:rsidR="002470DA" w:rsidRPr="00B95D50" w:rsidRDefault="00072915" w:rsidP="000A7870">
            <w:pPr>
              <w:autoSpaceDE w:val="0"/>
              <w:autoSpaceDN w:val="0"/>
              <w:adjustRightInd w:val="0"/>
              <w:jc w:val="both"/>
              <w:rPr>
                <w:rFonts w:ascii="ITC Avant Garde" w:hAnsi="ITC Avant Garde" w:cs="Helvetica"/>
                <w:sz w:val="24"/>
              </w:rPr>
            </w:pPr>
            <w:r w:rsidRPr="00072915">
              <w:rPr>
                <w:rFonts w:ascii="ITC Avant Garde" w:hAnsi="ITC Avant Garde"/>
                <w:b/>
                <w:color w:val="0000FF"/>
                <w:sz w:val="24"/>
              </w:rPr>
              <w:t>“CONFIDENCIAL POR LEY”</w:t>
            </w:r>
          </w:p>
        </w:tc>
      </w:tr>
      <w:tr w:rsidR="002470DA" w:rsidRPr="00B95D50" w:rsidTr="005653F3">
        <w:tc>
          <w:tcPr>
            <w:tcW w:w="2972" w:type="dxa"/>
          </w:tcPr>
          <w:p w:rsidR="002470DA" w:rsidRPr="00B66BA7" w:rsidRDefault="008A5C46" w:rsidP="008A5C46">
            <w:pPr>
              <w:jc w:val="both"/>
              <w:rPr>
                <w:rFonts w:ascii="ITC Avant Garde" w:hAnsi="ITC Avant Garde"/>
                <w:b/>
                <w:sz w:val="24"/>
              </w:rPr>
            </w:pPr>
            <w:r w:rsidRPr="00B66BA7">
              <w:rPr>
                <w:rFonts w:ascii="ITC Avant Garde" w:hAnsi="ITC Avant Garde"/>
                <w:b/>
                <w:sz w:val="24"/>
              </w:rPr>
              <w:t>Pagaré Fintech</w:t>
            </w:r>
          </w:p>
        </w:tc>
        <w:tc>
          <w:tcPr>
            <w:tcW w:w="6946" w:type="dxa"/>
            <w:gridSpan w:val="2"/>
          </w:tcPr>
          <w:p w:rsidR="002470DA" w:rsidRPr="00B95D50" w:rsidRDefault="00072915" w:rsidP="00134246">
            <w:pPr>
              <w:autoSpaceDE w:val="0"/>
              <w:autoSpaceDN w:val="0"/>
              <w:adjustRightInd w:val="0"/>
              <w:jc w:val="both"/>
              <w:rPr>
                <w:rFonts w:ascii="ITC Avant Garde" w:hAnsi="ITC Avant Garde" w:cs="Helvetica"/>
                <w:sz w:val="24"/>
              </w:rPr>
            </w:pPr>
            <w:r w:rsidRPr="00072915">
              <w:rPr>
                <w:rFonts w:ascii="ITC Avant Garde" w:hAnsi="ITC Avant Garde"/>
                <w:b/>
                <w:color w:val="0000FF"/>
                <w:sz w:val="24"/>
              </w:rPr>
              <w:t>“CONFIDENCIAL POR LEY”</w:t>
            </w:r>
          </w:p>
        </w:tc>
      </w:tr>
      <w:tr w:rsidR="008A5C46" w:rsidRPr="00B95D50" w:rsidTr="005653F3">
        <w:tc>
          <w:tcPr>
            <w:tcW w:w="2972" w:type="dxa"/>
          </w:tcPr>
          <w:p w:rsidR="008A5C46" w:rsidRPr="00B66BA7" w:rsidRDefault="001F65A6" w:rsidP="005134C8">
            <w:pPr>
              <w:rPr>
                <w:rFonts w:ascii="ITC Avant Garde" w:hAnsi="ITC Avant Garde"/>
                <w:b/>
                <w:sz w:val="24"/>
              </w:rPr>
            </w:pPr>
            <w:r w:rsidRPr="00B66BA7">
              <w:rPr>
                <w:rFonts w:ascii="ITC Avant Garde" w:hAnsi="ITC Avant Garde"/>
                <w:b/>
                <w:sz w:val="24"/>
              </w:rPr>
              <w:t>Peri</w:t>
            </w:r>
            <w:r w:rsidR="008A5C46" w:rsidRPr="00B66BA7">
              <w:rPr>
                <w:rFonts w:ascii="ITC Avant Garde" w:hAnsi="ITC Avant Garde"/>
                <w:b/>
                <w:sz w:val="24"/>
              </w:rPr>
              <w:t>odo de Investigación</w:t>
            </w:r>
          </w:p>
        </w:tc>
        <w:tc>
          <w:tcPr>
            <w:tcW w:w="6946" w:type="dxa"/>
            <w:gridSpan w:val="2"/>
          </w:tcPr>
          <w:p w:rsidR="008A5C46" w:rsidRPr="00B95D50" w:rsidRDefault="001314C6" w:rsidP="00FF55B7">
            <w:pPr>
              <w:autoSpaceDE w:val="0"/>
              <w:autoSpaceDN w:val="0"/>
              <w:adjustRightInd w:val="0"/>
              <w:jc w:val="both"/>
              <w:rPr>
                <w:rFonts w:ascii="ITC Avant Garde" w:hAnsi="ITC Avant Garde" w:cs="Helvetica"/>
                <w:i/>
                <w:color w:val="FF0000"/>
                <w:sz w:val="24"/>
              </w:rPr>
            </w:pPr>
            <w:r>
              <w:rPr>
                <w:rFonts w:ascii="ITC Avant Garde" w:hAnsi="ITC Avant Garde" w:cs="Helvetica"/>
                <w:sz w:val="24"/>
              </w:rPr>
              <w:t>P</w:t>
            </w:r>
            <w:r w:rsidR="00AF1F09" w:rsidRPr="00B95D50">
              <w:rPr>
                <w:rFonts w:ascii="ITC Avant Garde" w:hAnsi="ITC Avant Garde" w:cs="Helvetica"/>
                <w:sz w:val="24"/>
              </w:rPr>
              <w:t xml:space="preserve">eriodo </w:t>
            </w:r>
            <w:r w:rsidR="008935C7">
              <w:rPr>
                <w:rFonts w:ascii="ITC Avant Garde" w:hAnsi="ITC Avant Garde" w:cs="Helvetica"/>
                <w:sz w:val="24"/>
              </w:rPr>
              <w:t>comprendido</w:t>
            </w:r>
            <w:r w:rsidR="00FF55B7">
              <w:rPr>
                <w:rFonts w:ascii="ITC Avant Garde" w:hAnsi="ITC Avant Garde" w:cs="Helvetica"/>
                <w:sz w:val="24"/>
              </w:rPr>
              <w:t xml:space="preserve"> </w:t>
            </w:r>
            <w:r w:rsidR="008935C7">
              <w:rPr>
                <w:rFonts w:ascii="ITC Avant Garde" w:hAnsi="ITC Avant Garde" w:cs="Helvetica"/>
                <w:sz w:val="24"/>
              </w:rPr>
              <w:t>entre el</w:t>
            </w:r>
            <w:r w:rsidR="008A5C46" w:rsidRPr="00B95D50">
              <w:rPr>
                <w:rFonts w:ascii="ITC Avant Garde" w:hAnsi="ITC Avant Garde" w:cs="Helvetica"/>
                <w:sz w:val="24"/>
              </w:rPr>
              <w:t xml:space="preserve"> diecisiet</w:t>
            </w:r>
            <w:r w:rsidR="00FF55B7">
              <w:rPr>
                <w:rFonts w:ascii="ITC Avant Garde" w:hAnsi="ITC Avant Garde" w:cs="Helvetica"/>
                <w:sz w:val="24"/>
              </w:rPr>
              <w:t>e de diciembre de dos mil trece</w:t>
            </w:r>
            <w:r w:rsidR="00AF1F09" w:rsidRPr="00B95D50">
              <w:rPr>
                <w:rFonts w:ascii="ITC Avant Garde" w:hAnsi="ITC Avant Garde" w:cs="Helvetica"/>
                <w:sz w:val="24"/>
              </w:rPr>
              <w:t xml:space="preserve"> </w:t>
            </w:r>
            <w:r w:rsidR="00FF55B7">
              <w:rPr>
                <w:rFonts w:ascii="ITC Avant Garde" w:hAnsi="ITC Avant Garde" w:cs="Helvetica"/>
                <w:sz w:val="24"/>
              </w:rPr>
              <w:t>a</w:t>
            </w:r>
            <w:r w:rsidR="00AF1F09" w:rsidRPr="00B95D50">
              <w:rPr>
                <w:rFonts w:ascii="ITC Avant Garde" w:hAnsi="ITC Avant Garde" w:cs="Helvetica"/>
                <w:sz w:val="24"/>
              </w:rPr>
              <w:t>l</w:t>
            </w:r>
            <w:r w:rsidR="008A5C46" w:rsidRPr="00B95D50">
              <w:rPr>
                <w:rFonts w:ascii="ITC Avant Garde" w:hAnsi="ITC Avant Garde" w:cs="Helvetica"/>
                <w:sz w:val="24"/>
              </w:rPr>
              <w:t xml:space="preserve"> cuatro de agosto de dos mil dieciséis.</w:t>
            </w:r>
          </w:p>
        </w:tc>
      </w:tr>
      <w:tr w:rsidR="00EA2E56" w:rsidRPr="00B95D50" w:rsidTr="005653F3">
        <w:tc>
          <w:tcPr>
            <w:tcW w:w="2972" w:type="dxa"/>
          </w:tcPr>
          <w:p w:rsidR="00EA2E56" w:rsidRPr="00B66BA7" w:rsidRDefault="00EA2E56" w:rsidP="00EA2E56">
            <w:pPr>
              <w:jc w:val="both"/>
              <w:rPr>
                <w:rFonts w:ascii="ITC Avant Garde" w:hAnsi="ITC Avant Garde"/>
                <w:b/>
                <w:sz w:val="24"/>
              </w:rPr>
            </w:pPr>
            <w:r w:rsidRPr="00B66BA7">
              <w:rPr>
                <w:rFonts w:ascii="ITC Avant Garde" w:hAnsi="ITC Avant Garde"/>
                <w:b/>
                <w:sz w:val="24"/>
              </w:rPr>
              <w:t>PJF</w:t>
            </w:r>
          </w:p>
        </w:tc>
        <w:tc>
          <w:tcPr>
            <w:tcW w:w="6946" w:type="dxa"/>
            <w:gridSpan w:val="2"/>
          </w:tcPr>
          <w:p w:rsidR="00EA2E56" w:rsidRPr="00B95D50" w:rsidRDefault="00EA2E56" w:rsidP="001234E8">
            <w:pPr>
              <w:autoSpaceDE w:val="0"/>
              <w:autoSpaceDN w:val="0"/>
              <w:adjustRightInd w:val="0"/>
              <w:jc w:val="both"/>
              <w:rPr>
                <w:rFonts w:ascii="ITC Avant Garde" w:hAnsi="ITC Avant Garde" w:cs="Helvetica"/>
                <w:sz w:val="24"/>
              </w:rPr>
            </w:pPr>
            <w:r>
              <w:rPr>
                <w:rFonts w:ascii="ITC Avant Garde" w:hAnsi="ITC Avant Garde" w:cs="Helvetica"/>
                <w:sz w:val="24"/>
              </w:rPr>
              <w:t>Poder Judicial de la Federación.</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Pleno</w:t>
            </w:r>
          </w:p>
        </w:tc>
        <w:tc>
          <w:tcPr>
            <w:tcW w:w="6946" w:type="dxa"/>
            <w:gridSpan w:val="2"/>
          </w:tcPr>
          <w:p w:rsidR="002470DA" w:rsidRPr="00B95D50" w:rsidRDefault="002470DA" w:rsidP="00C52E5B">
            <w:pPr>
              <w:jc w:val="both"/>
              <w:rPr>
                <w:rFonts w:ascii="ITC Avant Garde" w:hAnsi="ITC Avant Garde"/>
                <w:sz w:val="24"/>
              </w:rPr>
            </w:pPr>
            <w:r w:rsidRPr="00B95D50">
              <w:rPr>
                <w:rFonts w:ascii="ITC Avant Garde" w:hAnsi="ITC Avant Garde"/>
                <w:sz w:val="24"/>
              </w:rPr>
              <w:t>Pleno del Instituto.</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Prendas Fintech Cable</w:t>
            </w:r>
          </w:p>
        </w:tc>
        <w:tc>
          <w:tcPr>
            <w:tcW w:w="6946" w:type="dxa"/>
            <w:gridSpan w:val="2"/>
          </w:tcPr>
          <w:p w:rsidR="002470DA" w:rsidRPr="00B95D50" w:rsidRDefault="00072915" w:rsidP="002C35D1">
            <w:pPr>
              <w:autoSpaceDE w:val="0"/>
              <w:autoSpaceDN w:val="0"/>
              <w:adjustRightInd w:val="0"/>
              <w:jc w:val="both"/>
              <w:rPr>
                <w:rFonts w:ascii="ITC Avant Garde" w:hAnsi="ITC Avant Garde" w:cs="Helvetica"/>
                <w:sz w:val="24"/>
              </w:rPr>
            </w:pPr>
            <w:r w:rsidRPr="00072915">
              <w:rPr>
                <w:rFonts w:ascii="ITC Avant Garde" w:hAnsi="ITC Avant Garde"/>
                <w:b/>
                <w:color w:val="0000FF"/>
                <w:sz w:val="24"/>
              </w:rPr>
              <w:t>“CONFIDENCIAL POR LEY”</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 xml:space="preserve">Prenda Vamole </w:t>
            </w:r>
          </w:p>
        </w:tc>
        <w:tc>
          <w:tcPr>
            <w:tcW w:w="6946" w:type="dxa"/>
            <w:gridSpan w:val="2"/>
          </w:tcPr>
          <w:p w:rsidR="002470DA" w:rsidRPr="00B95D50" w:rsidRDefault="00072915" w:rsidP="00565DF5">
            <w:pPr>
              <w:autoSpaceDE w:val="0"/>
              <w:autoSpaceDN w:val="0"/>
              <w:adjustRightInd w:val="0"/>
              <w:jc w:val="both"/>
              <w:rPr>
                <w:rFonts w:ascii="ITC Avant Garde" w:hAnsi="ITC Avant Garde" w:cs="Helvetica"/>
                <w:sz w:val="24"/>
              </w:rPr>
            </w:pPr>
            <w:r w:rsidRPr="00072915">
              <w:rPr>
                <w:rFonts w:ascii="ITC Avant Garde" w:hAnsi="ITC Avant Garde"/>
                <w:b/>
                <w:color w:val="0000FF"/>
                <w:sz w:val="24"/>
              </w:rPr>
              <w:t>“CONFIDENCIAL POR LEY”</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 xml:space="preserve">Promesa Ares </w:t>
            </w:r>
          </w:p>
        </w:tc>
        <w:tc>
          <w:tcPr>
            <w:tcW w:w="6946" w:type="dxa"/>
            <w:gridSpan w:val="2"/>
          </w:tcPr>
          <w:p w:rsidR="002470DA" w:rsidRPr="00B95D50" w:rsidRDefault="00072915" w:rsidP="00565DF5">
            <w:pPr>
              <w:autoSpaceDE w:val="0"/>
              <w:autoSpaceDN w:val="0"/>
              <w:adjustRightInd w:val="0"/>
              <w:jc w:val="both"/>
              <w:rPr>
                <w:rFonts w:ascii="ITC Avant Garde" w:hAnsi="ITC Avant Garde" w:cs="Helvetica"/>
                <w:sz w:val="24"/>
              </w:rPr>
            </w:pPr>
            <w:r w:rsidRPr="00072915">
              <w:rPr>
                <w:rFonts w:ascii="ITC Avant Garde" w:hAnsi="ITC Avant Garde"/>
                <w:b/>
                <w:color w:val="0000FF"/>
                <w:sz w:val="24"/>
              </w:rPr>
              <w:t>“CONFIDENCIAL POR LEY”</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Promesa Cablecom</w:t>
            </w:r>
          </w:p>
        </w:tc>
        <w:tc>
          <w:tcPr>
            <w:tcW w:w="6946" w:type="dxa"/>
            <w:gridSpan w:val="2"/>
          </w:tcPr>
          <w:p w:rsidR="002470DA" w:rsidRPr="00B95D50" w:rsidRDefault="00072915" w:rsidP="00C52E5B">
            <w:pPr>
              <w:autoSpaceDE w:val="0"/>
              <w:autoSpaceDN w:val="0"/>
              <w:adjustRightInd w:val="0"/>
              <w:jc w:val="both"/>
              <w:rPr>
                <w:rFonts w:ascii="ITC Avant Garde" w:hAnsi="ITC Avant Garde" w:cs="Helvetica"/>
                <w:sz w:val="24"/>
              </w:rPr>
            </w:pPr>
            <w:r w:rsidRPr="00072915">
              <w:rPr>
                <w:rFonts w:ascii="ITC Avant Garde" w:hAnsi="ITC Avant Garde"/>
                <w:b/>
                <w:color w:val="0000FF"/>
                <w:sz w:val="24"/>
              </w:rPr>
              <w:t>“CONFIDENCIAL POR LEY”</w:t>
            </w:r>
          </w:p>
        </w:tc>
      </w:tr>
      <w:tr w:rsidR="00F51525" w:rsidRPr="00B95D50" w:rsidTr="005653F3">
        <w:tc>
          <w:tcPr>
            <w:tcW w:w="2972" w:type="dxa"/>
          </w:tcPr>
          <w:p w:rsidR="00F51525" w:rsidRPr="00B66BA7" w:rsidRDefault="00F51525" w:rsidP="008A5C46">
            <w:pPr>
              <w:jc w:val="both"/>
              <w:rPr>
                <w:rFonts w:ascii="ITC Avant Garde" w:hAnsi="ITC Avant Garde"/>
                <w:b/>
                <w:sz w:val="24"/>
              </w:rPr>
            </w:pPr>
            <w:r w:rsidRPr="00B66BA7">
              <w:rPr>
                <w:rFonts w:ascii="ITC Avant Garde" w:hAnsi="ITC Avant Garde" w:cs="Helvetica"/>
                <w:b/>
                <w:sz w:val="24"/>
              </w:rPr>
              <w:t>Registro Público</w:t>
            </w:r>
          </w:p>
        </w:tc>
        <w:tc>
          <w:tcPr>
            <w:tcW w:w="6946" w:type="dxa"/>
            <w:gridSpan w:val="2"/>
          </w:tcPr>
          <w:p w:rsidR="00F51525" w:rsidRPr="00B95D50" w:rsidRDefault="00F51525" w:rsidP="002470DA">
            <w:pPr>
              <w:autoSpaceDE w:val="0"/>
              <w:autoSpaceDN w:val="0"/>
              <w:adjustRightInd w:val="0"/>
              <w:jc w:val="both"/>
              <w:rPr>
                <w:rFonts w:ascii="ITC Avant Garde" w:hAnsi="ITC Avant Garde" w:cs="Helvetica"/>
                <w:sz w:val="24"/>
              </w:rPr>
            </w:pPr>
            <w:r w:rsidRPr="00B95D50">
              <w:rPr>
                <w:rFonts w:ascii="ITC Avant Garde" w:hAnsi="ITC Avant Garde" w:cs="Helvetica"/>
                <w:sz w:val="24"/>
              </w:rPr>
              <w:t>Registro Público de la Propiedad y del Comercio de la Ciudad de México.</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RLFCE</w:t>
            </w:r>
          </w:p>
        </w:tc>
        <w:tc>
          <w:tcPr>
            <w:tcW w:w="6946" w:type="dxa"/>
            <w:gridSpan w:val="2"/>
          </w:tcPr>
          <w:p w:rsidR="002470DA" w:rsidRPr="00B95D50" w:rsidRDefault="002470DA" w:rsidP="00565DF5">
            <w:pPr>
              <w:autoSpaceDE w:val="0"/>
              <w:autoSpaceDN w:val="0"/>
              <w:adjustRightInd w:val="0"/>
              <w:jc w:val="both"/>
              <w:rPr>
                <w:rFonts w:ascii="ITC Avant Garde" w:hAnsi="ITC Avant Garde" w:cs="Helvetica"/>
                <w:sz w:val="24"/>
              </w:rPr>
            </w:pPr>
            <w:r w:rsidRPr="00B95D50">
              <w:rPr>
                <w:rFonts w:ascii="ITC Avant Garde" w:hAnsi="ITC Avant Garde" w:cs="Helvetica"/>
                <w:sz w:val="24"/>
              </w:rPr>
              <w:t xml:space="preserve">Reglamento de la </w:t>
            </w:r>
            <w:r w:rsidR="00565DF5">
              <w:rPr>
                <w:rFonts w:ascii="ITC Avant Garde" w:hAnsi="ITC Avant Garde" w:cs="Helvetica"/>
                <w:sz w:val="24"/>
              </w:rPr>
              <w:t>LFCE</w:t>
            </w:r>
            <w:r w:rsidRPr="00B95D50">
              <w:rPr>
                <w:rFonts w:ascii="ITC Avant Garde" w:hAnsi="ITC Avant Garde" w:cs="Helvetica"/>
                <w:sz w:val="24"/>
              </w:rPr>
              <w:t xml:space="preserve">, publicado en el </w:t>
            </w:r>
            <w:r w:rsidR="00565DF5">
              <w:rPr>
                <w:rFonts w:ascii="ITC Avant Garde" w:hAnsi="ITC Avant Garde" w:cs="Helvetica"/>
                <w:sz w:val="24"/>
              </w:rPr>
              <w:t>DOF</w:t>
            </w:r>
            <w:r w:rsidRPr="00B95D50">
              <w:rPr>
                <w:rFonts w:ascii="ITC Avant Garde" w:hAnsi="ITC Avant Garde" w:cs="Helvetica"/>
                <w:sz w:val="24"/>
              </w:rPr>
              <w:t xml:space="preserve"> el doce de octubre de dos mil siete.</w:t>
            </w:r>
          </w:p>
        </w:tc>
      </w:tr>
      <w:tr w:rsidR="002470DA" w:rsidRPr="00B95D50" w:rsidTr="005653F3">
        <w:tc>
          <w:tcPr>
            <w:tcW w:w="2972" w:type="dxa"/>
          </w:tcPr>
          <w:p w:rsidR="002470DA" w:rsidRPr="00B66BA7" w:rsidRDefault="002470DA" w:rsidP="008A5C46">
            <w:pPr>
              <w:jc w:val="both"/>
              <w:rPr>
                <w:rFonts w:ascii="ITC Avant Garde" w:hAnsi="ITC Avant Garde"/>
                <w:b/>
                <w:sz w:val="24"/>
              </w:rPr>
            </w:pPr>
            <w:r w:rsidRPr="00B66BA7">
              <w:rPr>
                <w:rFonts w:ascii="ITC Avant Garde" w:hAnsi="ITC Avant Garde"/>
                <w:b/>
                <w:sz w:val="24"/>
              </w:rPr>
              <w:t>SCJN</w:t>
            </w:r>
          </w:p>
        </w:tc>
        <w:tc>
          <w:tcPr>
            <w:tcW w:w="6946" w:type="dxa"/>
            <w:gridSpan w:val="2"/>
          </w:tcPr>
          <w:p w:rsidR="002470DA" w:rsidRPr="00B95D50" w:rsidRDefault="002470DA" w:rsidP="002470DA">
            <w:pPr>
              <w:jc w:val="both"/>
              <w:rPr>
                <w:rFonts w:ascii="ITC Avant Garde" w:hAnsi="ITC Avant Garde"/>
                <w:sz w:val="24"/>
              </w:rPr>
            </w:pPr>
            <w:r w:rsidRPr="00B95D50">
              <w:rPr>
                <w:rFonts w:ascii="ITC Avant Garde" w:hAnsi="ITC Avant Garde"/>
                <w:sz w:val="24"/>
              </w:rPr>
              <w:t xml:space="preserve">Suprema Corte de Justicia de la Nación. </w:t>
            </w:r>
          </w:p>
        </w:tc>
      </w:tr>
      <w:tr w:rsidR="0005119F" w:rsidRPr="00B95D50" w:rsidTr="005653F3">
        <w:tc>
          <w:tcPr>
            <w:tcW w:w="2972" w:type="dxa"/>
          </w:tcPr>
          <w:p w:rsidR="0005119F" w:rsidRPr="00B66BA7" w:rsidRDefault="0005119F" w:rsidP="0005119F">
            <w:pPr>
              <w:jc w:val="both"/>
              <w:rPr>
                <w:rFonts w:ascii="ITC Avant Garde" w:hAnsi="ITC Avant Garde"/>
                <w:b/>
                <w:sz w:val="24"/>
              </w:rPr>
            </w:pPr>
            <w:r w:rsidRPr="00B66BA7">
              <w:rPr>
                <w:rFonts w:ascii="ITC Avant Garde" w:hAnsi="ITC Avant Garde"/>
                <w:b/>
                <w:sz w:val="24"/>
              </w:rPr>
              <w:t>STAR</w:t>
            </w:r>
          </w:p>
        </w:tc>
        <w:tc>
          <w:tcPr>
            <w:tcW w:w="6946" w:type="dxa"/>
            <w:gridSpan w:val="2"/>
          </w:tcPr>
          <w:p w:rsidR="0005119F" w:rsidRPr="0005119F" w:rsidRDefault="0005119F" w:rsidP="0005119F">
            <w:pPr>
              <w:jc w:val="both"/>
              <w:rPr>
                <w:rFonts w:ascii="ITC Avant Garde" w:hAnsi="ITC Avant Garde"/>
                <w:sz w:val="24"/>
              </w:rPr>
            </w:pPr>
            <w:r w:rsidRPr="0005119F">
              <w:rPr>
                <w:rFonts w:ascii="ITC Avant Garde" w:hAnsi="ITC Avant Garde"/>
                <w:sz w:val="24"/>
              </w:rPr>
              <w:t>Servicio de Televisión y Audio Restringido.</w:t>
            </w:r>
          </w:p>
        </w:tc>
      </w:tr>
      <w:tr w:rsidR="0005119F" w:rsidRPr="00B95D50" w:rsidTr="005653F3">
        <w:tc>
          <w:tcPr>
            <w:tcW w:w="2972" w:type="dxa"/>
          </w:tcPr>
          <w:p w:rsidR="0005119F" w:rsidRPr="00B66BA7" w:rsidRDefault="0005119F" w:rsidP="0005119F">
            <w:pPr>
              <w:jc w:val="both"/>
              <w:rPr>
                <w:rFonts w:ascii="ITC Avant Garde" w:hAnsi="ITC Avant Garde"/>
                <w:b/>
                <w:sz w:val="24"/>
              </w:rPr>
            </w:pPr>
            <w:r w:rsidRPr="00B66BA7">
              <w:rPr>
                <w:rFonts w:ascii="ITC Avant Garde" w:hAnsi="ITC Avant Garde"/>
                <w:b/>
                <w:sz w:val="24"/>
              </w:rPr>
              <w:t xml:space="preserve">Tenedora Ares </w:t>
            </w:r>
          </w:p>
        </w:tc>
        <w:tc>
          <w:tcPr>
            <w:tcW w:w="6946" w:type="dxa"/>
            <w:gridSpan w:val="2"/>
          </w:tcPr>
          <w:p w:rsidR="0005119F" w:rsidRPr="00B95D50" w:rsidRDefault="0005119F" w:rsidP="0005119F">
            <w:pPr>
              <w:jc w:val="both"/>
              <w:rPr>
                <w:rFonts w:ascii="ITC Avant Garde" w:hAnsi="ITC Avant Garde"/>
                <w:sz w:val="24"/>
              </w:rPr>
            </w:pPr>
            <w:r w:rsidRPr="00B95D50">
              <w:rPr>
                <w:rFonts w:ascii="ITC Avant Garde" w:hAnsi="ITC Avant Garde"/>
                <w:sz w:val="24"/>
              </w:rPr>
              <w:t>Tenedora Ares, S.A.P.I. de C.V.</w:t>
            </w:r>
          </w:p>
        </w:tc>
      </w:tr>
      <w:tr w:rsidR="0005119F" w:rsidRPr="00B95D50" w:rsidTr="005653F3">
        <w:tc>
          <w:tcPr>
            <w:tcW w:w="2972" w:type="dxa"/>
          </w:tcPr>
          <w:p w:rsidR="0005119F" w:rsidRPr="00B66BA7" w:rsidRDefault="0005119F" w:rsidP="0005119F">
            <w:pPr>
              <w:jc w:val="both"/>
              <w:rPr>
                <w:rFonts w:ascii="ITC Avant Garde" w:hAnsi="ITC Avant Garde"/>
                <w:b/>
                <w:sz w:val="24"/>
              </w:rPr>
            </w:pPr>
            <w:r w:rsidRPr="00B66BA7">
              <w:rPr>
                <w:rFonts w:ascii="ITC Avant Garde" w:hAnsi="ITC Avant Garde"/>
                <w:b/>
                <w:sz w:val="24"/>
              </w:rPr>
              <w:t>TSHR</w:t>
            </w:r>
          </w:p>
        </w:tc>
        <w:tc>
          <w:tcPr>
            <w:tcW w:w="6946" w:type="dxa"/>
            <w:gridSpan w:val="2"/>
          </w:tcPr>
          <w:p w:rsidR="0005119F" w:rsidRPr="00B95D50" w:rsidRDefault="00072915" w:rsidP="0005119F">
            <w:pPr>
              <w:jc w:val="both"/>
              <w:rPr>
                <w:rFonts w:ascii="ITC Avant Garde" w:hAnsi="ITC Avant Garde"/>
                <w:sz w:val="24"/>
              </w:rPr>
            </w:pPr>
            <w:r w:rsidRPr="00072915">
              <w:rPr>
                <w:rFonts w:ascii="ITC Avant Garde" w:hAnsi="ITC Avant Garde"/>
                <w:b/>
                <w:color w:val="0000FF"/>
                <w:sz w:val="24"/>
              </w:rPr>
              <w:t>“CONFIDENCIAL POR LEY”</w:t>
            </w:r>
          </w:p>
        </w:tc>
      </w:tr>
      <w:tr w:rsidR="0005119F" w:rsidRPr="00B95D50" w:rsidTr="005653F3">
        <w:tc>
          <w:tcPr>
            <w:tcW w:w="2972" w:type="dxa"/>
          </w:tcPr>
          <w:p w:rsidR="0005119F" w:rsidRPr="00B66BA7" w:rsidRDefault="0005119F" w:rsidP="0005119F">
            <w:pPr>
              <w:jc w:val="both"/>
              <w:rPr>
                <w:rFonts w:ascii="ITC Avant Garde" w:hAnsi="ITC Avant Garde"/>
                <w:b/>
                <w:sz w:val="24"/>
              </w:rPr>
            </w:pPr>
            <w:r w:rsidRPr="00B66BA7">
              <w:rPr>
                <w:rFonts w:ascii="ITC Avant Garde" w:hAnsi="ITC Avant Garde"/>
                <w:b/>
                <w:sz w:val="24"/>
              </w:rPr>
              <w:t>Vamole</w:t>
            </w:r>
          </w:p>
        </w:tc>
        <w:tc>
          <w:tcPr>
            <w:tcW w:w="6946" w:type="dxa"/>
            <w:gridSpan w:val="2"/>
          </w:tcPr>
          <w:p w:rsidR="0005119F" w:rsidRPr="00B95D50" w:rsidRDefault="0005119F" w:rsidP="0005119F">
            <w:pPr>
              <w:jc w:val="both"/>
              <w:rPr>
                <w:rFonts w:ascii="ITC Avant Garde" w:hAnsi="ITC Avant Garde"/>
                <w:sz w:val="24"/>
              </w:rPr>
            </w:pPr>
            <w:r w:rsidRPr="00B95D50">
              <w:rPr>
                <w:rFonts w:ascii="ITC Avant Garde" w:hAnsi="ITC Avant Garde"/>
                <w:sz w:val="24"/>
              </w:rPr>
              <w:t>Vamole Inversiones 2013, S.L., Sociedad Unipersonal.</w:t>
            </w:r>
          </w:p>
        </w:tc>
      </w:tr>
    </w:tbl>
    <w:p w:rsidR="00675198" w:rsidRPr="00AE5576" w:rsidRDefault="00675198" w:rsidP="000F54B8">
      <w:pPr>
        <w:pStyle w:val="Ttulo2"/>
        <w:keepNext/>
        <w:keepLines/>
        <w:autoSpaceDE/>
        <w:autoSpaceDN/>
        <w:adjustRightInd/>
        <w:spacing w:before="240" w:after="240" w:line="276" w:lineRule="auto"/>
        <w:jc w:val="center"/>
        <w:rPr>
          <w:rFonts w:eastAsiaTheme="majorEastAsia" w:cstheme="majorBidi"/>
          <w:color w:val="000000" w:themeColor="text1"/>
          <w:sz w:val="28"/>
          <w:szCs w:val="28"/>
        </w:rPr>
      </w:pPr>
      <w:r w:rsidRPr="00AE5576">
        <w:rPr>
          <w:rFonts w:eastAsiaTheme="majorEastAsia" w:cstheme="majorBidi"/>
          <w:color w:val="000000" w:themeColor="text1"/>
          <w:sz w:val="28"/>
          <w:szCs w:val="28"/>
        </w:rPr>
        <w:t>I. ANTECEDENTES</w:t>
      </w:r>
    </w:p>
    <w:p w:rsidR="00675198" w:rsidRPr="00A37710" w:rsidRDefault="00675198" w:rsidP="008E1916">
      <w:pPr>
        <w:pStyle w:val="NormalIFT"/>
      </w:pPr>
      <w:r w:rsidRPr="00A37710">
        <w:t xml:space="preserve">El asunto que se tramita en el Expediente se encuentra relacionado con dos precedentes decisorios del Pleno del Instituto cuyos aspectos generales se presentan en esta sección </w:t>
      </w:r>
      <w:r w:rsidR="003522A7">
        <w:t>de forma previa</w:t>
      </w:r>
      <w:r w:rsidRPr="00A37710">
        <w:t xml:space="preserve"> </w:t>
      </w:r>
      <w:r w:rsidR="003522A7">
        <w:t>a</w:t>
      </w:r>
      <w:r w:rsidRPr="00A37710">
        <w:t xml:space="preserve"> los Antecedentes específicos del Expediente. </w:t>
      </w:r>
    </w:p>
    <w:p w:rsidR="00675198" w:rsidRPr="00A37710" w:rsidRDefault="00675198" w:rsidP="00431204">
      <w:pPr>
        <w:jc w:val="center"/>
        <w:rPr>
          <w:rFonts w:ascii="ITC Avant Garde" w:hAnsi="ITC Avant Garde"/>
          <w:b/>
          <w:sz w:val="24"/>
          <w:u w:val="single"/>
        </w:rPr>
      </w:pPr>
      <w:r w:rsidRPr="00A37710">
        <w:rPr>
          <w:rFonts w:ascii="ITC Avant Garde" w:hAnsi="ITC Avant Garde"/>
          <w:b/>
          <w:sz w:val="24"/>
          <w:u w:val="single"/>
        </w:rPr>
        <w:t>Asunto relacionado</w:t>
      </w:r>
      <w:r w:rsidR="00B34793">
        <w:rPr>
          <w:rFonts w:ascii="ITC Avant Garde" w:hAnsi="ITC Avant Garde"/>
          <w:b/>
          <w:sz w:val="24"/>
          <w:u w:val="single"/>
        </w:rPr>
        <w:t xml:space="preserve"> </w:t>
      </w:r>
    </w:p>
    <w:p w:rsidR="00675198"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sz w:val="24"/>
        </w:rPr>
        <w:lastRenderedPageBreak/>
        <w:t xml:space="preserve">El catorce de agosto de dos mil catorce, entre otras personas físicas y morales, Tenedora Ares y Arretis presentaron </w:t>
      </w:r>
      <w:r w:rsidR="00B34793">
        <w:rPr>
          <w:rFonts w:ascii="ITC Avant Garde" w:hAnsi="ITC Avant Garde" w:cs="Helvetica"/>
          <w:sz w:val="24"/>
        </w:rPr>
        <w:t xml:space="preserve">aviso </w:t>
      </w:r>
      <w:r w:rsidRPr="00A37710">
        <w:rPr>
          <w:rFonts w:ascii="ITC Avant Garde" w:hAnsi="ITC Avant Garde" w:cs="Helvetica"/>
          <w:sz w:val="24"/>
        </w:rPr>
        <w:t xml:space="preserve">al Instituto </w:t>
      </w:r>
      <w:r w:rsidR="00B34793">
        <w:rPr>
          <w:rFonts w:ascii="ITC Avant Garde" w:hAnsi="ITC Avant Garde" w:cs="Helvetica"/>
          <w:sz w:val="24"/>
        </w:rPr>
        <w:t>de</w:t>
      </w:r>
      <w:r w:rsidRPr="00A37710">
        <w:rPr>
          <w:rFonts w:ascii="ITC Avant Garde" w:hAnsi="ITC Avant Garde" w:cs="Helvetica"/>
          <w:sz w:val="24"/>
        </w:rPr>
        <w:t xml:space="preserve"> la realización de una concentración de conformidad con lo dispuesto en el artículo Noveno Transitorio, respecto de la adquisición del 100% (cien por ciento) de las acciones representativas del capital social de Cablecom por las empresas Arretis y San Ángel Telecom, S.A. de C.V., tramitándose bajo el expediente UCE/AVC-001-2014.</w:t>
      </w:r>
    </w:p>
    <w:p w:rsidR="00F45666" w:rsidRPr="00A37710" w:rsidRDefault="00F45666" w:rsidP="00675198">
      <w:pPr>
        <w:autoSpaceDE w:val="0"/>
        <w:autoSpaceDN w:val="0"/>
        <w:adjustRightInd w:val="0"/>
        <w:spacing w:line="240" w:lineRule="auto"/>
        <w:jc w:val="both"/>
        <w:rPr>
          <w:rFonts w:ascii="ITC Avant Garde" w:hAnsi="ITC Avant Garde" w:cs="Helvetica"/>
          <w:sz w:val="24"/>
        </w:rPr>
      </w:pPr>
    </w:p>
    <w:p w:rsidR="00675198" w:rsidRPr="00A37710" w:rsidRDefault="00B34793" w:rsidP="00675198">
      <w:pPr>
        <w:autoSpaceDE w:val="0"/>
        <w:autoSpaceDN w:val="0"/>
        <w:adjustRightInd w:val="0"/>
        <w:spacing w:line="240" w:lineRule="auto"/>
        <w:jc w:val="both"/>
        <w:rPr>
          <w:rFonts w:ascii="ITC Avant Garde" w:hAnsi="ITC Avant Garde" w:cs="Helvetica"/>
          <w:sz w:val="24"/>
        </w:rPr>
      </w:pPr>
      <w:r>
        <w:rPr>
          <w:rFonts w:ascii="ITC Avant Garde" w:hAnsi="ITC Avant Garde" w:cs="Helvetica"/>
          <w:sz w:val="24"/>
        </w:rPr>
        <w:t>E</w:t>
      </w:r>
      <w:r w:rsidR="00675198" w:rsidRPr="00A37710">
        <w:rPr>
          <w:rFonts w:ascii="ITC Avant Garde" w:hAnsi="ITC Avant Garde" w:cs="Helvetica"/>
          <w:sz w:val="24"/>
        </w:rPr>
        <w:t xml:space="preserve">l diez de diciembre de dos mil catorce, el Pleno resolvió que la concentración notificada mediante el </w:t>
      </w:r>
      <w:r w:rsidR="00675198" w:rsidRPr="00A37710">
        <w:rPr>
          <w:rFonts w:ascii="ITC Avant Garde" w:hAnsi="ITC Avant Garde"/>
          <w:sz w:val="24"/>
        </w:rPr>
        <w:t>Aviso de Concentración,</w:t>
      </w:r>
      <w:r w:rsidR="00675198" w:rsidRPr="00A37710">
        <w:rPr>
          <w:rFonts w:ascii="ITC Avant Garde" w:hAnsi="ITC Avant Garde" w:cs="Helvetica"/>
          <w:sz w:val="24"/>
        </w:rPr>
        <w:t xml:space="preserve"> cumplió con los requisitos establecidos en el primer párrafo, incisos “a.” a “d.” y cuarto párrafo del artículo Noveno Transitorio y que la misma se realizó el trece de agosto de dos mil catorce, encontrándose en el supuesto de excepción de requerir la autorización del Pleno.</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sz w:val="24"/>
        </w:rPr>
        <w:t>En términos del resolutivo tercero de esta resolución, se dio vista a la Autoridad Investigadora para efecto de dar inicio a una investigación en los términos establecidos en los párrafos quinto y sexto del artículo Noveno Transitorio.</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sz w:val="24"/>
        </w:rPr>
        <w:t>La información contenida en la</w:t>
      </w:r>
      <w:r w:rsidR="00BB57CD">
        <w:rPr>
          <w:rFonts w:ascii="ITC Avant Garde" w:hAnsi="ITC Avant Garde" w:cs="Helvetica"/>
          <w:sz w:val="24"/>
        </w:rPr>
        <w:t>s</w:t>
      </w:r>
      <w:r w:rsidRPr="00A37710">
        <w:rPr>
          <w:rFonts w:ascii="ITC Avant Garde" w:hAnsi="ITC Avant Garde" w:cs="Helvetica"/>
          <w:sz w:val="24"/>
        </w:rPr>
        <w:t xml:space="preserve"> secci</w:t>
      </w:r>
      <w:r w:rsidR="00BB57CD">
        <w:rPr>
          <w:rFonts w:ascii="ITC Avant Garde" w:hAnsi="ITC Avant Garde" w:cs="Helvetica"/>
          <w:sz w:val="24"/>
        </w:rPr>
        <w:t>ones</w:t>
      </w:r>
      <w:r w:rsidRPr="00A37710">
        <w:rPr>
          <w:rFonts w:ascii="ITC Avant Garde" w:hAnsi="ITC Avant Garde" w:cs="Helvetica"/>
          <w:sz w:val="24"/>
        </w:rPr>
        <w:t xml:space="preserve"> </w:t>
      </w:r>
      <w:r w:rsidRPr="009D0F12">
        <w:rPr>
          <w:rFonts w:ascii="ITC Avant Garde" w:hAnsi="ITC Avant Garde" w:cs="Helvetica"/>
          <w:i/>
          <w:sz w:val="24"/>
        </w:rPr>
        <w:t>“Actos que las Emplazadas califican como previos a la Concentración”</w:t>
      </w:r>
      <w:r w:rsidRPr="00A37710">
        <w:rPr>
          <w:rFonts w:ascii="ITC Avant Garde" w:hAnsi="ITC Avant Garde" w:cs="Helvetica"/>
          <w:sz w:val="24"/>
        </w:rPr>
        <w:t xml:space="preserve"> </w:t>
      </w:r>
      <w:r w:rsidR="00BB57CD">
        <w:rPr>
          <w:rFonts w:ascii="ITC Avant Garde" w:hAnsi="ITC Avant Garde" w:cs="Helvetica"/>
          <w:sz w:val="24"/>
        </w:rPr>
        <w:t>y “</w:t>
      </w:r>
      <w:r w:rsidR="00BB57CD" w:rsidRPr="009D0F12">
        <w:rPr>
          <w:rFonts w:ascii="ITC Avant Garde" w:hAnsi="ITC Avant Garde" w:cs="Helvetica"/>
          <w:i/>
          <w:sz w:val="24"/>
        </w:rPr>
        <w:t>Actos que las Partes identifican como la Concentración</w:t>
      </w:r>
      <w:r w:rsidR="00BB57CD">
        <w:rPr>
          <w:rFonts w:ascii="ITC Avant Garde" w:hAnsi="ITC Avant Garde" w:cs="Helvetica"/>
          <w:i/>
          <w:sz w:val="24"/>
        </w:rPr>
        <w:t>”</w:t>
      </w:r>
      <w:r w:rsidRPr="00A37710">
        <w:rPr>
          <w:rFonts w:ascii="ITC Avant Garde" w:hAnsi="ITC Avant Garde" w:cs="Helvetica"/>
          <w:sz w:val="24"/>
        </w:rPr>
        <w:t xml:space="preserve"> de </w:t>
      </w:r>
      <w:r w:rsidR="00BB57CD">
        <w:rPr>
          <w:rFonts w:ascii="ITC Avant Garde" w:hAnsi="ITC Avant Garde" w:cs="Helvetica"/>
          <w:sz w:val="24"/>
        </w:rPr>
        <w:t>la</w:t>
      </w:r>
      <w:r w:rsidRPr="00A37710">
        <w:rPr>
          <w:rFonts w:ascii="ITC Avant Garde" w:hAnsi="ITC Avant Garde" w:cs="Helvetica"/>
          <w:sz w:val="24"/>
        </w:rPr>
        <w:t xml:space="preserve"> resolución </w:t>
      </w:r>
      <w:r w:rsidR="00BB57CD">
        <w:rPr>
          <w:rFonts w:ascii="ITC Avant Garde" w:hAnsi="ITC Avant Garde" w:cs="Helvetica"/>
          <w:sz w:val="24"/>
        </w:rPr>
        <w:t xml:space="preserve">de ese asunto </w:t>
      </w:r>
      <w:r w:rsidRPr="00A37710">
        <w:rPr>
          <w:rFonts w:ascii="ITC Avant Garde" w:hAnsi="ITC Avant Garde" w:cs="Helvetica"/>
          <w:sz w:val="24"/>
        </w:rPr>
        <w:t xml:space="preserve">contiene información relacionada con el Cúmulo de Operaciones que se analizan en </w:t>
      </w:r>
      <w:r w:rsidR="00BB57CD">
        <w:rPr>
          <w:rFonts w:ascii="ITC Avant Garde" w:hAnsi="ITC Avant Garde" w:cs="Helvetica"/>
          <w:sz w:val="24"/>
        </w:rPr>
        <w:t>este</w:t>
      </w:r>
      <w:r w:rsidR="00BB57CD" w:rsidRPr="00A37710">
        <w:rPr>
          <w:rFonts w:ascii="ITC Avant Garde" w:hAnsi="ITC Avant Garde" w:cs="Helvetica"/>
          <w:sz w:val="24"/>
        </w:rPr>
        <w:t xml:space="preserve"> </w:t>
      </w:r>
      <w:r w:rsidRPr="00A37710">
        <w:rPr>
          <w:rFonts w:ascii="ITC Avant Garde" w:hAnsi="ITC Avant Garde" w:cs="Helvetica"/>
          <w:sz w:val="24"/>
        </w:rPr>
        <w:t xml:space="preserve">Expediente. </w:t>
      </w:r>
    </w:p>
    <w:p w:rsidR="00675198" w:rsidRPr="00A37710" w:rsidRDefault="00B34793" w:rsidP="00431204">
      <w:pPr>
        <w:autoSpaceDE w:val="0"/>
        <w:autoSpaceDN w:val="0"/>
        <w:adjustRightInd w:val="0"/>
        <w:spacing w:line="240" w:lineRule="auto"/>
        <w:jc w:val="center"/>
        <w:rPr>
          <w:rFonts w:ascii="ITC Avant Garde" w:hAnsi="ITC Avant Garde" w:cs="Helvetica"/>
          <w:b/>
          <w:sz w:val="24"/>
          <w:u w:val="single"/>
        </w:rPr>
      </w:pPr>
      <w:r>
        <w:rPr>
          <w:rFonts w:ascii="ITC Avant Garde" w:hAnsi="ITC Avant Garde" w:cs="Helvetica"/>
          <w:b/>
          <w:sz w:val="24"/>
          <w:u w:val="single"/>
        </w:rPr>
        <w:t xml:space="preserve">Antecedentes específicos del </w:t>
      </w:r>
      <w:r w:rsidR="00675198" w:rsidRPr="00A37710">
        <w:rPr>
          <w:rFonts w:ascii="ITC Avant Garde" w:hAnsi="ITC Avant Garde" w:cs="Helvetica"/>
          <w:b/>
          <w:sz w:val="24"/>
          <w:u w:val="single"/>
        </w:rPr>
        <w:t>Expediente</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b/>
          <w:sz w:val="24"/>
        </w:rPr>
        <w:t>Primero.</w:t>
      </w:r>
      <w:r w:rsidRPr="00A37710">
        <w:rPr>
          <w:rFonts w:ascii="ITC Avant Garde" w:hAnsi="ITC Avant Garde" w:cs="Helvetica"/>
          <w:sz w:val="24"/>
        </w:rPr>
        <w:t xml:space="preserve"> El catorce de noviembre de dos mil trece, se presentó un escrito signado por el representante legal de Cofresa, mediante el cual denunció a GTV y los accionistas de Tenedora Ares (Vamole y TSHR), empresa propietaria de</w:t>
      </w:r>
      <w:r w:rsidR="00072915">
        <w:rPr>
          <w:rFonts w:ascii="ITC Avant Garde" w:hAnsi="ITC Avant Garde" w:cs="Helvetica"/>
          <w:sz w:val="24"/>
        </w:rPr>
        <w:t xml:space="preserve">l </w:t>
      </w:r>
      <w:r w:rsidR="00072915" w:rsidRPr="00072915">
        <w:rPr>
          <w:rFonts w:ascii="ITC Avant Garde" w:hAnsi="ITC Avant Garde"/>
          <w:b/>
          <w:color w:val="0000FF"/>
          <w:sz w:val="24"/>
        </w:rPr>
        <w:t>“CONFIDENCIAL POR LEY”</w:t>
      </w:r>
      <w:r w:rsidRPr="00A37710">
        <w:rPr>
          <w:rFonts w:ascii="ITC Avant Garde" w:hAnsi="ITC Avant Garde" w:cs="Helvetica"/>
          <w:sz w:val="24"/>
        </w:rPr>
        <w:t xml:space="preserve"> </w:t>
      </w:r>
      <w:r w:rsidR="00072915">
        <w:rPr>
          <w:rFonts w:ascii="ITC Avant Garde" w:hAnsi="ITC Avant Garde" w:cs="Helvetica"/>
          <w:sz w:val="24"/>
        </w:rPr>
        <w:t xml:space="preserve">de </w:t>
      </w:r>
      <w:r w:rsidRPr="00A37710">
        <w:rPr>
          <w:rFonts w:ascii="ITC Avant Garde" w:hAnsi="ITC Avant Garde" w:cs="Helvetica"/>
          <w:sz w:val="24"/>
        </w:rPr>
        <w:t>acciones representativas del capital social de Cablecom, por la presunta realización de una concentración prohibida. Esta denuncia fue radicada en el Expediente.</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b/>
          <w:sz w:val="24"/>
        </w:rPr>
        <w:t>Segundo.</w:t>
      </w:r>
      <w:r w:rsidRPr="00A37710">
        <w:rPr>
          <w:rFonts w:ascii="ITC Avant Garde" w:hAnsi="ITC Avant Garde" w:cs="Helvetica"/>
          <w:sz w:val="24"/>
        </w:rPr>
        <w:t xml:space="preserve"> El cuatro de diciembre de dos mil trece, la </w:t>
      </w:r>
      <w:r w:rsidR="003A6CDF">
        <w:rPr>
          <w:rFonts w:ascii="ITC Avant Garde" w:hAnsi="ITC Avant Garde" w:cs="Helvetica"/>
          <w:sz w:val="24"/>
        </w:rPr>
        <w:t>Titular</w:t>
      </w:r>
      <w:r w:rsidRPr="00A37710">
        <w:rPr>
          <w:rFonts w:ascii="ITC Avant Garde" w:hAnsi="ITC Avant Garde" w:cs="Helvetica"/>
          <w:sz w:val="24"/>
        </w:rPr>
        <w:t xml:space="preserve"> de la Unidad de Competencia Económica del Instituto emitió el acuerdo de inicio de la investigación por la posible concentración prohibida en los mercados de los servicios de telefonía móvil; telefonía fija; provisión de acceso a internet de banda ancha; enlaces dedicados; interconexión; televisión restringida; televisión abierta; publicidad en medios de comunicación; y contenidos audiovisuales y de audio a nivel nacional e internacional.</w:t>
      </w:r>
      <w:r w:rsidRPr="00A37710">
        <w:rPr>
          <w:rStyle w:val="Refdenotaalpie"/>
          <w:rFonts w:ascii="ITC Avant Garde" w:hAnsi="ITC Avant Garde" w:cs="Helvetica"/>
          <w:sz w:val="24"/>
        </w:rPr>
        <w:footnoteReference w:id="4"/>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sz w:val="24"/>
        </w:rPr>
        <w:t xml:space="preserve">El acuerdo se emitió con fundamento en los artículos 28 párrafos décimo cuarto y décimo quinto de la CPEUM; Séptimo Transitorio, párrafo cuarto del Decreto; 1o., 2o., 3o., 12, 13, 16, 17, 18, 19, 24, fracciones I, II, IV bis y XIX, 30, 31, 31 bis, 32, 34, 34 bis, y 34 </w:t>
      </w:r>
      <w:r w:rsidRPr="00A37710">
        <w:rPr>
          <w:rFonts w:ascii="ITC Avant Garde" w:hAnsi="ITC Avant Garde" w:cs="Helvetica"/>
          <w:sz w:val="24"/>
        </w:rPr>
        <w:lastRenderedPageBreak/>
        <w:t>bis 3 de la LFCE; 1o., 3o., 6o., 8o., 11, 12, 13, 15, 16, 17, 28, 29, 30, fracción I, 32, 34, 60 y 61 del RLFCE; así como 4, fracción IV inciso “f” y fracción V inciso “k”, 22, fracciones II, VI, VII y XII, 23, fracción V, y 29, primer párrafo y fracciones I, III, XII, XIX y XX, del Estatuto Orgánico del Instituto Federal de Telecomunicaciones, emitido por el Pleno del Instituto el veintitrés de septiembre de dos mil trece,</w:t>
      </w:r>
      <w:r w:rsidRPr="00A37710">
        <w:rPr>
          <w:rStyle w:val="Refdenotaalpie"/>
          <w:rFonts w:ascii="ITC Avant Garde" w:hAnsi="ITC Avant Garde" w:cs="Helvetica"/>
          <w:sz w:val="24"/>
        </w:rPr>
        <w:footnoteReference w:id="5"/>
      </w:r>
      <w:r w:rsidRPr="00A37710">
        <w:rPr>
          <w:rFonts w:ascii="ITC Avant Garde" w:hAnsi="ITC Avant Garde" w:cs="Helvetica"/>
          <w:sz w:val="24"/>
        </w:rPr>
        <w:t xml:space="preserve"> el cual se encontraba en vigor al momento en que inició la investigación, otorgando a la Unidad de Competencia Económica el ejercicio de dichas facultades. Este acuerdo se emitió en fecha previa a la entrada en vigor de la Ley Federal de Competencia Económica expedida mediante Decreto publicado en el DOF el veintitrés de mayo de dos mil catorce, cuyo artículo 28 otorgó la atribución de conducir la etapa de investigación a  la Autoridad Investigadora.</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b/>
          <w:sz w:val="24"/>
        </w:rPr>
        <w:t>Tercero.</w:t>
      </w:r>
      <w:r w:rsidRPr="00A37710">
        <w:rPr>
          <w:rFonts w:ascii="ITC Avant Garde" w:hAnsi="ITC Avant Garde" w:cs="Helvetica"/>
          <w:sz w:val="24"/>
        </w:rPr>
        <w:t xml:space="preserve"> El diecisiete de diciembre de dos mil trece, se publicó en el DOF el extracto del acuerdo de inicio de la investigación.</w:t>
      </w:r>
      <w:r w:rsidRPr="00A37710">
        <w:rPr>
          <w:rStyle w:val="Refdenotaalpie"/>
          <w:rFonts w:ascii="ITC Avant Garde" w:hAnsi="ITC Avant Garde" w:cs="Helvetica"/>
          <w:sz w:val="24"/>
        </w:rPr>
        <w:footnoteReference w:id="6"/>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b/>
          <w:sz w:val="24"/>
        </w:rPr>
        <w:t xml:space="preserve">Cuarto. </w:t>
      </w:r>
      <w:r w:rsidRPr="00A37710">
        <w:rPr>
          <w:rFonts w:ascii="ITC Avant Garde" w:hAnsi="ITC Avant Garde" w:cs="Helvetica"/>
          <w:sz w:val="24"/>
        </w:rPr>
        <w:t xml:space="preserve">El Periodo de Investigación dentro del Expediente se tramitó conforme a las fechas señaladas en el cuadro siguiente: </w:t>
      </w:r>
    </w:p>
    <w:tbl>
      <w:tblPr>
        <w:tblStyle w:val="Tablaconcuadrcula"/>
        <w:tblW w:w="0" w:type="auto"/>
        <w:jc w:val="center"/>
        <w:tblLook w:val="04A0" w:firstRow="1" w:lastRow="0" w:firstColumn="1" w:lastColumn="0" w:noHBand="0" w:noVBand="1"/>
        <w:tblCaption w:val="Periodo de investigación"/>
      </w:tblPr>
      <w:tblGrid>
        <w:gridCol w:w="1765"/>
        <w:gridCol w:w="1765"/>
        <w:gridCol w:w="1766"/>
        <w:gridCol w:w="1766"/>
        <w:gridCol w:w="1766"/>
      </w:tblGrid>
      <w:tr w:rsidR="00675198" w:rsidRPr="00A37710" w:rsidTr="00F957A8">
        <w:trPr>
          <w:tblHeader/>
          <w:jc w:val="center"/>
        </w:trPr>
        <w:tc>
          <w:tcPr>
            <w:tcW w:w="1765" w:type="dxa"/>
            <w:shd w:val="clear" w:color="auto" w:fill="A6A6A6" w:themeFill="background1" w:themeFillShade="A6"/>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b/>
                <w:sz w:val="20"/>
                <w:szCs w:val="18"/>
              </w:rPr>
              <w:t>Periodo</w:t>
            </w:r>
          </w:p>
        </w:tc>
        <w:tc>
          <w:tcPr>
            <w:tcW w:w="1765" w:type="dxa"/>
            <w:shd w:val="clear" w:color="auto" w:fill="A6A6A6" w:themeFill="background1" w:themeFillShade="A6"/>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b/>
                <w:sz w:val="20"/>
                <w:szCs w:val="18"/>
              </w:rPr>
              <w:t>Inicio</w:t>
            </w:r>
            <w:r w:rsidRPr="00A37710">
              <w:rPr>
                <w:rStyle w:val="Refdenotaalpie"/>
                <w:rFonts w:ascii="ITC Avant Garde" w:hAnsi="ITC Avant Garde" w:cs="Helvetica"/>
                <w:b/>
                <w:sz w:val="20"/>
                <w:szCs w:val="18"/>
              </w:rPr>
              <w:footnoteReference w:id="7"/>
            </w:r>
          </w:p>
        </w:tc>
        <w:tc>
          <w:tcPr>
            <w:tcW w:w="1766" w:type="dxa"/>
            <w:shd w:val="clear" w:color="auto" w:fill="A6A6A6" w:themeFill="background1" w:themeFillShade="A6"/>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b/>
                <w:sz w:val="20"/>
                <w:szCs w:val="18"/>
              </w:rPr>
              <w:t>Vencimiento</w:t>
            </w:r>
            <w:r w:rsidRPr="00A37710">
              <w:rPr>
                <w:rStyle w:val="Refdenotaalpie"/>
                <w:rFonts w:ascii="ITC Avant Garde" w:hAnsi="ITC Avant Garde" w:cs="Helvetica"/>
                <w:b/>
                <w:sz w:val="20"/>
                <w:szCs w:val="18"/>
              </w:rPr>
              <w:footnoteReference w:id="8"/>
            </w:r>
          </w:p>
        </w:tc>
        <w:tc>
          <w:tcPr>
            <w:tcW w:w="1766" w:type="dxa"/>
            <w:shd w:val="clear" w:color="auto" w:fill="A6A6A6" w:themeFill="background1" w:themeFillShade="A6"/>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b/>
                <w:sz w:val="20"/>
                <w:szCs w:val="18"/>
              </w:rPr>
              <w:t>Acuerdo de ampliación</w:t>
            </w:r>
            <w:r w:rsidRPr="00A37710">
              <w:rPr>
                <w:rStyle w:val="Refdenotaalpie"/>
                <w:rFonts w:ascii="ITC Avant Garde" w:hAnsi="ITC Avant Garde" w:cs="Helvetica"/>
                <w:b/>
                <w:sz w:val="20"/>
                <w:szCs w:val="18"/>
              </w:rPr>
              <w:footnoteReference w:id="9"/>
            </w:r>
          </w:p>
        </w:tc>
        <w:tc>
          <w:tcPr>
            <w:tcW w:w="1766" w:type="dxa"/>
            <w:shd w:val="clear" w:color="auto" w:fill="A6A6A6" w:themeFill="background1" w:themeFillShade="A6"/>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b/>
                <w:sz w:val="20"/>
                <w:szCs w:val="18"/>
              </w:rPr>
              <w:t>Notificación del acuerdo</w:t>
            </w:r>
            <w:r w:rsidRPr="00A37710">
              <w:rPr>
                <w:rStyle w:val="Refdenotaalpie"/>
                <w:rFonts w:ascii="ITC Avant Garde" w:hAnsi="ITC Avant Garde" w:cs="Helvetica"/>
                <w:b/>
                <w:sz w:val="20"/>
                <w:szCs w:val="18"/>
              </w:rPr>
              <w:footnoteReference w:id="10"/>
            </w:r>
          </w:p>
        </w:tc>
      </w:tr>
      <w:tr w:rsidR="00675198" w:rsidRPr="00A37710" w:rsidTr="005653F3">
        <w:trPr>
          <w:jc w:val="center"/>
        </w:trPr>
        <w:tc>
          <w:tcPr>
            <w:tcW w:w="1765"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Primero</w:t>
            </w:r>
          </w:p>
        </w:tc>
        <w:tc>
          <w:tcPr>
            <w:tcW w:w="1765"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17.12.2013</w:t>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25.06.2014</w:t>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18.06.2014</w:t>
            </w:r>
            <w:r w:rsidRPr="00A37710">
              <w:rPr>
                <w:rStyle w:val="Refdenotaalpie"/>
                <w:rFonts w:ascii="ITC Avant Garde" w:hAnsi="ITC Avant Garde" w:cs="Helvetica"/>
                <w:sz w:val="20"/>
                <w:szCs w:val="18"/>
              </w:rPr>
              <w:footnoteReference w:id="11"/>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sz w:val="20"/>
                <w:szCs w:val="18"/>
              </w:rPr>
            </w:pPr>
            <w:r w:rsidRPr="00A37710">
              <w:rPr>
                <w:rFonts w:ascii="ITC Avant Garde" w:hAnsi="ITC Avant Garde" w:cs="Helvetica"/>
                <w:sz w:val="20"/>
                <w:szCs w:val="18"/>
              </w:rPr>
              <w:t>23.06.2014</w:t>
            </w:r>
          </w:p>
        </w:tc>
      </w:tr>
      <w:tr w:rsidR="00675198" w:rsidRPr="00A37710" w:rsidTr="005653F3">
        <w:trPr>
          <w:jc w:val="center"/>
        </w:trPr>
        <w:tc>
          <w:tcPr>
            <w:tcW w:w="1765"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Segundo</w:t>
            </w:r>
          </w:p>
        </w:tc>
        <w:tc>
          <w:tcPr>
            <w:tcW w:w="1765" w:type="dxa"/>
            <w:vAlign w:val="center"/>
          </w:tcPr>
          <w:p w:rsidR="00675198" w:rsidRPr="00A37710" w:rsidRDefault="00675198" w:rsidP="005653F3">
            <w:pPr>
              <w:autoSpaceDE w:val="0"/>
              <w:autoSpaceDN w:val="0"/>
              <w:adjustRightInd w:val="0"/>
              <w:jc w:val="center"/>
              <w:rPr>
                <w:rFonts w:ascii="ITC Avant Garde" w:hAnsi="ITC Avant Garde" w:cs="Helvetica"/>
                <w:sz w:val="20"/>
                <w:szCs w:val="18"/>
              </w:rPr>
            </w:pPr>
            <w:r w:rsidRPr="00A37710">
              <w:rPr>
                <w:rFonts w:ascii="ITC Avant Garde" w:hAnsi="ITC Avant Garde" w:cs="Helvetica"/>
                <w:sz w:val="20"/>
                <w:szCs w:val="18"/>
              </w:rPr>
              <w:t>26.06.2014</w:t>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sz w:val="20"/>
                <w:szCs w:val="18"/>
              </w:rPr>
            </w:pPr>
            <w:r w:rsidRPr="00A37710">
              <w:rPr>
                <w:rFonts w:ascii="ITC Avant Garde" w:hAnsi="ITC Avant Garde" w:cs="Helvetica"/>
                <w:sz w:val="20"/>
                <w:szCs w:val="18"/>
              </w:rPr>
              <w:t>09.01.2015</w:t>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sz w:val="20"/>
                <w:szCs w:val="18"/>
              </w:rPr>
            </w:pPr>
            <w:r w:rsidRPr="00A37710">
              <w:rPr>
                <w:rFonts w:ascii="ITC Avant Garde" w:hAnsi="ITC Avant Garde" w:cs="Helvetica"/>
                <w:sz w:val="20"/>
                <w:szCs w:val="18"/>
              </w:rPr>
              <w:t>15.12.2014</w:t>
            </w:r>
            <w:r w:rsidRPr="00A37710">
              <w:rPr>
                <w:rStyle w:val="Refdenotaalpie"/>
                <w:rFonts w:ascii="ITC Avant Garde" w:hAnsi="ITC Avant Garde" w:cs="Helvetica"/>
                <w:sz w:val="20"/>
                <w:szCs w:val="18"/>
              </w:rPr>
              <w:footnoteReference w:id="12"/>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sz w:val="20"/>
                <w:szCs w:val="18"/>
              </w:rPr>
            </w:pPr>
            <w:r w:rsidRPr="00A37710">
              <w:rPr>
                <w:rFonts w:ascii="ITC Avant Garde" w:hAnsi="ITC Avant Garde" w:cs="Helvetica"/>
                <w:sz w:val="20"/>
                <w:szCs w:val="18"/>
              </w:rPr>
              <w:t>17.12.2014</w:t>
            </w:r>
          </w:p>
        </w:tc>
      </w:tr>
      <w:tr w:rsidR="00675198" w:rsidRPr="00A37710" w:rsidTr="005653F3">
        <w:trPr>
          <w:jc w:val="center"/>
        </w:trPr>
        <w:tc>
          <w:tcPr>
            <w:tcW w:w="1765" w:type="dxa"/>
            <w:vAlign w:val="center"/>
          </w:tcPr>
          <w:p w:rsidR="00675198" w:rsidRPr="00A37710" w:rsidRDefault="00675198" w:rsidP="005653F3">
            <w:pPr>
              <w:autoSpaceDE w:val="0"/>
              <w:autoSpaceDN w:val="0"/>
              <w:adjustRightInd w:val="0"/>
              <w:jc w:val="center"/>
              <w:rPr>
                <w:rFonts w:ascii="ITC Avant Garde" w:hAnsi="ITC Avant Garde" w:cs="Helvetica"/>
                <w:sz w:val="20"/>
                <w:szCs w:val="18"/>
              </w:rPr>
            </w:pPr>
            <w:r w:rsidRPr="00A37710">
              <w:rPr>
                <w:rFonts w:ascii="ITC Avant Garde" w:hAnsi="ITC Avant Garde" w:cs="Helvetica"/>
                <w:sz w:val="20"/>
                <w:szCs w:val="18"/>
              </w:rPr>
              <w:t>Tercero</w:t>
            </w:r>
          </w:p>
        </w:tc>
        <w:tc>
          <w:tcPr>
            <w:tcW w:w="1765"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12.01 2015</w:t>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08.07.2015</w:t>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02.07 2015</w:t>
            </w:r>
            <w:r w:rsidRPr="00A37710">
              <w:rPr>
                <w:rStyle w:val="Refdenotaalpie"/>
                <w:rFonts w:ascii="ITC Avant Garde" w:hAnsi="ITC Avant Garde" w:cs="Helvetica"/>
                <w:sz w:val="20"/>
                <w:szCs w:val="18"/>
              </w:rPr>
              <w:footnoteReference w:id="13"/>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03 07 2015</w:t>
            </w:r>
          </w:p>
        </w:tc>
      </w:tr>
      <w:tr w:rsidR="00675198" w:rsidRPr="00A37710" w:rsidTr="005653F3">
        <w:trPr>
          <w:jc w:val="center"/>
        </w:trPr>
        <w:tc>
          <w:tcPr>
            <w:tcW w:w="1765"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Cuarto</w:t>
            </w:r>
          </w:p>
        </w:tc>
        <w:tc>
          <w:tcPr>
            <w:tcW w:w="1765"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09.07 2015</w:t>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26.01.2016</w:t>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15.01.201ó</w:t>
            </w:r>
            <w:r w:rsidRPr="00A37710">
              <w:rPr>
                <w:rStyle w:val="Refdenotaalpie"/>
                <w:rFonts w:ascii="ITC Avant Garde" w:hAnsi="ITC Avant Garde" w:cs="Helvetica"/>
                <w:sz w:val="20"/>
                <w:szCs w:val="18"/>
              </w:rPr>
              <w:footnoteReference w:id="14"/>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15.01.2016</w:t>
            </w:r>
          </w:p>
        </w:tc>
      </w:tr>
      <w:tr w:rsidR="00675198" w:rsidRPr="00A37710" w:rsidTr="005653F3">
        <w:trPr>
          <w:jc w:val="center"/>
        </w:trPr>
        <w:tc>
          <w:tcPr>
            <w:tcW w:w="1765"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Quinto</w:t>
            </w:r>
          </w:p>
        </w:tc>
        <w:tc>
          <w:tcPr>
            <w:tcW w:w="1765"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27.01.2016</w:t>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04.08.2016</w:t>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No aplica</w:t>
            </w:r>
          </w:p>
        </w:tc>
        <w:tc>
          <w:tcPr>
            <w:tcW w:w="1766" w:type="dxa"/>
            <w:vAlign w:val="center"/>
          </w:tcPr>
          <w:p w:rsidR="00675198" w:rsidRPr="00A37710" w:rsidRDefault="00675198" w:rsidP="005653F3">
            <w:pPr>
              <w:autoSpaceDE w:val="0"/>
              <w:autoSpaceDN w:val="0"/>
              <w:adjustRightInd w:val="0"/>
              <w:jc w:val="center"/>
              <w:rPr>
                <w:rFonts w:ascii="ITC Avant Garde" w:hAnsi="ITC Avant Garde" w:cs="Helvetica"/>
                <w:b/>
                <w:sz w:val="20"/>
                <w:szCs w:val="18"/>
              </w:rPr>
            </w:pPr>
            <w:r w:rsidRPr="00A37710">
              <w:rPr>
                <w:rFonts w:ascii="ITC Avant Garde" w:hAnsi="ITC Avant Garde" w:cs="Helvetica"/>
                <w:sz w:val="20"/>
                <w:szCs w:val="18"/>
              </w:rPr>
              <w:t>No aplica</w:t>
            </w:r>
          </w:p>
        </w:tc>
      </w:tr>
    </w:tbl>
    <w:p w:rsidR="00675198" w:rsidRPr="00A37710" w:rsidRDefault="00675198" w:rsidP="00675198">
      <w:pPr>
        <w:autoSpaceDE w:val="0"/>
        <w:autoSpaceDN w:val="0"/>
        <w:adjustRightInd w:val="0"/>
        <w:spacing w:before="160" w:line="240" w:lineRule="auto"/>
        <w:jc w:val="both"/>
        <w:rPr>
          <w:rFonts w:ascii="ITC Avant Garde" w:hAnsi="ITC Avant Garde" w:cs="Helvetica"/>
          <w:b/>
          <w:sz w:val="24"/>
        </w:rPr>
      </w:pPr>
      <w:r w:rsidRPr="00A37710">
        <w:rPr>
          <w:rFonts w:ascii="ITC Avant Garde" w:hAnsi="ITC Avant Garde" w:cs="Helvetica"/>
          <w:sz w:val="24"/>
        </w:rPr>
        <w:t>Durante el Periodo de Investigación, se emitieron diversos requerimientos de información y documentación, mismos que fueron referidos en el antecedente Quinto del OPR.</w:t>
      </w:r>
    </w:p>
    <w:p w:rsidR="00675198" w:rsidRPr="00A37710" w:rsidRDefault="00675198" w:rsidP="00675198">
      <w:pPr>
        <w:autoSpaceDE w:val="0"/>
        <w:autoSpaceDN w:val="0"/>
        <w:adjustRightInd w:val="0"/>
        <w:spacing w:before="160" w:line="240" w:lineRule="auto"/>
        <w:jc w:val="both"/>
        <w:rPr>
          <w:rFonts w:ascii="ITC Avant Garde" w:hAnsi="ITC Avant Garde" w:cs="Helvetica"/>
          <w:sz w:val="24"/>
        </w:rPr>
      </w:pPr>
      <w:r w:rsidRPr="00A37710">
        <w:rPr>
          <w:rFonts w:ascii="ITC Avant Garde" w:hAnsi="ITC Avant Garde" w:cs="Helvetica"/>
          <w:b/>
          <w:sz w:val="24"/>
        </w:rPr>
        <w:t>Quinto</w:t>
      </w:r>
      <w:r w:rsidRPr="00A37710">
        <w:rPr>
          <w:rFonts w:ascii="ITC Avant Garde" w:hAnsi="ITC Avant Garde" w:cs="Helvetica"/>
          <w:szCs w:val="20"/>
        </w:rPr>
        <w:t>.</w:t>
      </w:r>
      <w:r w:rsidRPr="00A37710">
        <w:rPr>
          <w:rFonts w:ascii="ITC Avant Garde" w:hAnsi="ITC Avant Garde" w:cs="Helvetica"/>
          <w:sz w:val="24"/>
        </w:rPr>
        <w:t xml:space="preserve"> El cinco de agosto de dos mil dieciséis, el Director General de Prácticas Monopólicas y Concentraciones Ilícitas del Instituto, ordenó tener por concluido el Periodo de Investigación.</w:t>
      </w:r>
      <w:r w:rsidRPr="00A37710">
        <w:rPr>
          <w:rStyle w:val="Refdenotaalpie"/>
          <w:rFonts w:ascii="ITC Avant Garde" w:hAnsi="ITC Avant Garde" w:cs="Helvetica"/>
          <w:sz w:val="24"/>
        </w:rPr>
        <w:footnoteReference w:id="15"/>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b/>
          <w:sz w:val="24"/>
        </w:rPr>
        <w:lastRenderedPageBreak/>
        <w:t xml:space="preserve">Sexto. </w:t>
      </w:r>
      <w:r w:rsidRPr="00A37710">
        <w:rPr>
          <w:rFonts w:ascii="ITC Avant Garde" w:hAnsi="ITC Avant Garde" w:cs="Helvetica"/>
          <w:sz w:val="24"/>
        </w:rPr>
        <w:t>El dieciocho de octubre de dos mil dieciséis el Titular de la Autoridad Investigadora emitió el OPR.</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b/>
          <w:sz w:val="24"/>
        </w:rPr>
        <w:t>Séptimo.</w:t>
      </w:r>
      <w:r w:rsidRPr="00A37710">
        <w:rPr>
          <w:rFonts w:ascii="ITC Avant Garde" w:hAnsi="ITC Avant Garde" w:cs="Helvetica"/>
          <w:sz w:val="24"/>
        </w:rPr>
        <w:t xml:space="preserve"> El veinte de octubre de dos mil dieciséis el Instituto notificó personalmente el OPR a las Emplazadas.</w:t>
      </w:r>
      <w:r w:rsidRPr="00A37710">
        <w:rPr>
          <w:rStyle w:val="Refdenotaalpie"/>
          <w:rFonts w:ascii="ITC Avant Garde" w:hAnsi="ITC Avant Garde" w:cs="Helvetica"/>
          <w:sz w:val="20"/>
          <w:szCs w:val="18"/>
        </w:rPr>
        <w:footnoteReference w:id="16"/>
      </w:r>
    </w:p>
    <w:p w:rsidR="00675198" w:rsidRPr="00A37710" w:rsidRDefault="00675198" w:rsidP="00675198">
      <w:pPr>
        <w:autoSpaceDE w:val="0"/>
        <w:autoSpaceDN w:val="0"/>
        <w:adjustRightInd w:val="0"/>
        <w:spacing w:before="240" w:line="240" w:lineRule="auto"/>
        <w:jc w:val="both"/>
        <w:rPr>
          <w:rFonts w:ascii="ITC Avant Garde" w:hAnsi="ITC Avant Garde" w:cs="Helvetica"/>
          <w:sz w:val="24"/>
        </w:rPr>
      </w:pPr>
      <w:r w:rsidRPr="00A37710">
        <w:rPr>
          <w:rFonts w:ascii="ITC Avant Garde" w:hAnsi="ITC Avant Garde" w:cs="Helvetica"/>
          <w:b/>
          <w:sz w:val="24"/>
        </w:rPr>
        <w:t xml:space="preserve">Octavo. </w:t>
      </w:r>
      <w:r w:rsidRPr="00A37710">
        <w:rPr>
          <w:rFonts w:ascii="ITC Avant Garde" w:hAnsi="ITC Avant Garde" w:cs="Helvetica"/>
          <w:sz w:val="24"/>
        </w:rPr>
        <w:t>El cinco de diciembre de dos mil dieciséis, las Emplazadas presentaron el Escrito de Contestación al OPR en la Oficialía del Instituto.</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b/>
          <w:sz w:val="24"/>
        </w:rPr>
        <w:t>Noveno.</w:t>
      </w:r>
      <w:r w:rsidRPr="00A37710">
        <w:rPr>
          <w:rFonts w:ascii="ITC Avant Garde" w:hAnsi="ITC Avant Garde" w:cs="Helvetica"/>
          <w:sz w:val="24"/>
        </w:rPr>
        <w:t xml:space="preserve"> El seis de diciembre de dos mil dieciséis, las Emplazadas exhibieron el Convenio de Fusión de las sociedades denominadas Cablecom, Consorcio TL de Pachuca, S.A. de C.V. y Tenedora Ares como (sociedades fusionadas) y Arretis como sociedad fusionante y que subsiste.</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b/>
          <w:sz w:val="24"/>
        </w:rPr>
        <w:t>Décimo.</w:t>
      </w:r>
      <w:r w:rsidRPr="00A37710">
        <w:rPr>
          <w:rFonts w:ascii="ITC Avant Garde" w:hAnsi="ITC Avant Garde" w:cs="Helvetica"/>
          <w:sz w:val="24"/>
        </w:rPr>
        <w:t xml:space="preserve"> El siete de diciembre de dos mil dieciséis, el </w:t>
      </w:r>
      <w:r w:rsidRPr="00A37710">
        <w:rPr>
          <w:rFonts w:ascii="ITC Avant Garde" w:hAnsi="ITC Avant Garde"/>
          <w:sz w:val="24"/>
        </w:rPr>
        <w:t>Director General de Procedimientos</w:t>
      </w:r>
      <w:r w:rsidRPr="00A37710">
        <w:rPr>
          <w:rFonts w:ascii="ITC Avant Garde" w:hAnsi="ITC Avant Garde" w:cs="Helvetica"/>
          <w:sz w:val="24"/>
        </w:rPr>
        <w:t xml:space="preserve"> del Instituto acordó, entre otras cosas, tener por presentados el Escrito de Contestación al OPR y el Convenio de Fusión, y por admitidas todas las pruebas ofrecidas por las Emplazadas.</w:t>
      </w:r>
    </w:p>
    <w:p w:rsidR="00675198" w:rsidRPr="00A37710" w:rsidRDefault="00675198" w:rsidP="00675198">
      <w:pPr>
        <w:spacing w:after="120" w:line="240" w:lineRule="auto"/>
        <w:jc w:val="both"/>
        <w:rPr>
          <w:rFonts w:ascii="ITC Avant Garde" w:hAnsi="ITC Avant Garde"/>
          <w:sz w:val="24"/>
        </w:rPr>
      </w:pPr>
      <w:r w:rsidRPr="00A37710">
        <w:rPr>
          <w:rFonts w:ascii="ITC Avant Garde" w:hAnsi="ITC Avant Garde" w:cs="Helvetica"/>
          <w:b/>
          <w:sz w:val="24"/>
        </w:rPr>
        <w:t>Décimo Primero.</w:t>
      </w:r>
      <w:r w:rsidRPr="00A37710">
        <w:rPr>
          <w:rFonts w:ascii="ITC Avant Garde" w:hAnsi="ITC Avant Garde"/>
          <w:sz w:val="24"/>
        </w:rPr>
        <w:t xml:space="preserve"> El treinta de enero de dos mil diecisiete, el Director General de Procedimientos acordó tener por desahogadas la totalidad de las pruebas ofrecidas por las Emplazadas en el Expediente y fijó el plazo de diez días hábiles para que las partes con interés jurídico en el procedimiento formularan por escrito sus alegatos.</w:t>
      </w:r>
      <w:r w:rsidRPr="00A37710">
        <w:rPr>
          <w:rStyle w:val="Refdenotaalpie"/>
          <w:rFonts w:ascii="ITC Avant Garde" w:hAnsi="ITC Avant Garde"/>
          <w:sz w:val="24"/>
        </w:rPr>
        <w:footnoteReference w:id="17"/>
      </w:r>
    </w:p>
    <w:p w:rsidR="00675198" w:rsidRPr="00A37710" w:rsidRDefault="00675198" w:rsidP="00675198">
      <w:pPr>
        <w:autoSpaceDE w:val="0"/>
        <w:autoSpaceDN w:val="0"/>
        <w:adjustRightInd w:val="0"/>
        <w:spacing w:line="240" w:lineRule="auto"/>
        <w:jc w:val="both"/>
        <w:rPr>
          <w:rFonts w:ascii="ITC Avant Garde" w:hAnsi="ITC Avant Garde"/>
          <w:sz w:val="24"/>
        </w:rPr>
      </w:pPr>
      <w:r w:rsidRPr="00A37710">
        <w:rPr>
          <w:rFonts w:ascii="ITC Avant Garde" w:hAnsi="ITC Avant Garde" w:cs="Helvetica"/>
          <w:b/>
          <w:sz w:val="24"/>
        </w:rPr>
        <w:t xml:space="preserve">Décimo Segundo. </w:t>
      </w:r>
      <w:r w:rsidRPr="00A37710">
        <w:rPr>
          <w:rFonts w:ascii="ITC Avant Garde" w:hAnsi="ITC Avant Garde"/>
          <w:sz w:val="24"/>
        </w:rPr>
        <w:t>El catorce de febrero de dos mil diecisiete, las Emplazadas formularon los alegatos correspondientes.</w:t>
      </w:r>
    </w:p>
    <w:p w:rsidR="00675198" w:rsidRPr="00A37710" w:rsidRDefault="00675198" w:rsidP="00675198">
      <w:pPr>
        <w:jc w:val="both"/>
        <w:rPr>
          <w:rFonts w:ascii="ITC Avant Garde" w:hAnsi="ITC Avant Garde"/>
          <w:sz w:val="24"/>
        </w:rPr>
      </w:pPr>
      <w:r w:rsidRPr="00A37710">
        <w:rPr>
          <w:rFonts w:ascii="ITC Avant Garde" w:hAnsi="ITC Avant Garde"/>
          <w:b/>
          <w:sz w:val="24"/>
        </w:rPr>
        <w:t xml:space="preserve">Décimo Tercero. </w:t>
      </w:r>
      <w:r w:rsidRPr="00A37710">
        <w:rPr>
          <w:rFonts w:ascii="ITC Avant Garde" w:hAnsi="ITC Avant Garde"/>
          <w:sz w:val="24"/>
        </w:rPr>
        <w:t>El quince de febrero de dos mil diecisiete, el Director General de Procedimientos acordó tener por integrado el Expediente con fecha catorce de febrero de dos mil diecisiete de conformidad con lo dispuesto en el artículo 33, fracción VI, párrafo primero de la LFCE.</w:t>
      </w:r>
    </w:p>
    <w:p w:rsidR="00675198" w:rsidRPr="00A37710" w:rsidRDefault="00675198" w:rsidP="00675198">
      <w:pPr>
        <w:spacing w:after="120" w:line="240" w:lineRule="auto"/>
        <w:jc w:val="both"/>
        <w:rPr>
          <w:rFonts w:ascii="ITC Avant Garde" w:hAnsi="ITC Avant Garde"/>
          <w:sz w:val="24"/>
        </w:rPr>
      </w:pPr>
      <w:r w:rsidRPr="00A37710">
        <w:rPr>
          <w:rFonts w:ascii="ITC Avant Garde" w:hAnsi="ITC Avant Garde"/>
          <w:b/>
          <w:sz w:val="24"/>
        </w:rPr>
        <w:t>Décimo Cuarto.</w:t>
      </w:r>
      <w:r w:rsidRPr="00A37710">
        <w:rPr>
          <w:rFonts w:ascii="ITC Avant Garde" w:hAnsi="ITC Avant Garde"/>
          <w:sz w:val="24"/>
        </w:rPr>
        <w:t xml:space="preserve"> El dieciséis de febrero de dos mil diecisiete, el Presidente del Instituto emitió el oficio número IFT/200/P/017/2017, mediante el cual turnó el Expediente a la Comisionada María Elena Estavillo Flores en su carácter de Comisionada Ponente, con fundamento en los artículos 33, fracción VI, párrafo primero de la LFCE; 11 y 15, fracción IV, del Estatuto Orgánico; y el acuerdo número P/IFT/EXT/160714/114, de fecha dieciséis de julio de dos mil catorce, mediante el cual </w:t>
      </w:r>
      <w:r w:rsidRPr="00A37710">
        <w:rPr>
          <w:rFonts w:ascii="ITC Avant Garde" w:hAnsi="ITC Avant Garde"/>
          <w:sz w:val="24"/>
          <w:szCs w:val="24"/>
        </w:rPr>
        <w:t>el Pleno aprobó el orden de turno al Comisionado Ponente en los asuntos en materia de competencia económica aplicables</w:t>
      </w:r>
      <w:r w:rsidRPr="00A37710">
        <w:rPr>
          <w:rFonts w:ascii="ITC Avant Garde" w:hAnsi="ITC Avant Garde"/>
          <w:sz w:val="24"/>
        </w:rPr>
        <w:t>.</w:t>
      </w:r>
      <w:r w:rsidRPr="00A37710">
        <w:rPr>
          <w:rStyle w:val="Refdenotaalpie"/>
          <w:rFonts w:ascii="ITC Avant Garde" w:hAnsi="ITC Avant Garde"/>
          <w:sz w:val="24"/>
        </w:rPr>
        <w:footnoteReference w:id="18"/>
      </w:r>
    </w:p>
    <w:p w:rsidR="00675198" w:rsidRPr="00A37710" w:rsidRDefault="00675198" w:rsidP="00675198">
      <w:pPr>
        <w:spacing w:after="120" w:line="240" w:lineRule="auto"/>
        <w:jc w:val="both"/>
        <w:rPr>
          <w:rFonts w:ascii="ITC Avant Garde" w:hAnsi="ITC Avant Garde" w:cs="Helvetica"/>
          <w:sz w:val="24"/>
        </w:rPr>
      </w:pPr>
      <w:r w:rsidRPr="00A37710">
        <w:rPr>
          <w:rFonts w:ascii="ITC Avant Garde" w:hAnsi="ITC Avant Garde"/>
          <w:b/>
          <w:sz w:val="24"/>
        </w:rPr>
        <w:lastRenderedPageBreak/>
        <w:t xml:space="preserve">Décimo Quinto.- </w:t>
      </w:r>
      <w:r w:rsidRPr="00A37710">
        <w:rPr>
          <w:rFonts w:ascii="ITC Avant Garde" w:hAnsi="ITC Avant Garde"/>
          <w:sz w:val="24"/>
        </w:rPr>
        <w:t xml:space="preserve">El veintiocho de febrero de dos mil diecisiete, </w:t>
      </w:r>
      <w:r w:rsidRPr="00A37710">
        <w:rPr>
          <w:rFonts w:ascii="ITC Avant Garde" w:hAnsi="ITC Avant Garde" w:cs="Helvetica"/>
          <w:sz w:val="24"/>
        </w:rPr>
        <w:t>las Emplazadas solicitaron la celebración de la audiencia oral prevista en el artículo 33, fracción VI, párrafo cuarto de la LFCE, con el objeto de realizar las aclaraciones pertinentes respecto de los argumentos expuestos en el Escrito de Contestación al OPR, las pruebas ofrecidas, sus alegatos y los documentos que integran el Expediente.</w:t>
      </w:r>
    </w:p>
    <w:p w:rsidR="00675198" w:rsidRPr="00A37710" w:rsidRDefault="00675198" w:rsidP="00675198">
      <w:pPr>
        <w:spacing w:after="120" w:line="240" w:lineRule="auto"/>
        <w:jc w:val="both"/>
        <w:rPr>
          <w:rFonts w:ascii="ITC Avant Garde" w:hAnsi="ITC Avant Garde" w:cs="Helvetica"/>
          <w:sz w:val="24"/>
        </w:rPr>
      </w:pPr>
      <w:r w:rsidRPr="00A37710">
        <w:rPr>
          <w:rFonts w:ascii="ITC Avant Garde" w:hAnsi="ITC Avant Garde"/>
          <w:b/>
          <w:sz w:val="24"/>
        </w:rPr>
        <w:t>Décimo Sexto</w:t>
      </w:r>
      <w:r w:rsidRPr="00A37710">
        <w:rPr>
          <w:rFonts w:ascii="ITC Avant Garde" w:hAnsi="ITC Avant Garde" w:cs="Helvetica"/>
          <w:b/>
          <w:sz w:val="24"/>
        </w:rPr>
        <w:t xml:space="preserve">.- </w:t>
      </w:r>
      <w:r w:rsidRPr="00A37710">
        <w:rPr>
          <w:rFonts w:ascii="ITC Avant Garde" w:hAnsi="ITC Avant Garde" w:cs="Helvetica"/>
          <w:sz w:val="24"/>
        </w:rPr>
        <w:t>El quince de marzo de dos mil diecisiete, el Pleno del Instituto</w:t>
      </w:r>
      <w:r w:rsidRPr="00A37710">
        <w:rPr>
          <w:sz w:val="24"/>
        </w:rPr>
        <w:t xml:space="preserve"> </w:t>
      </w:r>
      <w:r w:rsidRPr="00A37710">
        <w:rPr>
          <w:rFonts w:ascii="ITC Avant Garde" w:hAnsi="ITC Avant Garde" w:cs="Helvetica"/>
          <w:sz w:val="24"/>
        </w:rPr>
        <w:t>emitió el acuerdo mediante el cual citó a las Emplazadas a efecto de que comparecieran el día veintiuno de marzo de dos mil diecisiete a la audiencia oral referida en el numeral anterior.</w:t>
      </w:r>
    </w:p>
    <w:p w:rsidR="00675198" w:rsidRPr="00A37710" w:rsidRDefault="00675198" w:rsidP="00675198">
      <w:pPr>
        <w:spacing w:after="120" w:line="240" w:lineRule="auto"/>
        <w:jc w:val="both"/>
        <w:rPr>
          <w:rFonts w:ascii="ITC Avant Garde" w:hAnsi="ITC Avant Garde"/>
          <w:sz w:val="24"/>
        </w:rPr>
      </w:pPr>
      <w:r w:rsidRPr="00A37710">
        <w:rPr>
          <w:rFonts w:ascii="ITC Avant Garde" w:hAnsi="ITC Avant Garde"/>
          <w:b/>
          <w:sz w:val="24"/>
        </w:rPr>
        <w:t xml:space="preserve">Décimo Séptimo.- </w:t>
      </w:r>
      <w:r w:rsidRPr="00A37710">
        <w:rPr>
          <w:rFonts w:ascii="ITC Avant Garde" w:hAnsi="ITC Avant Garde"/>
          <w:sz w:val="24"/>
        </w:rPr>
        <w:t>El veintiuno de marzo de dos mil diecisiete, se llevó a cabo la celebración de la audiencia oral en la que comparecieron los CC. María del Pilar Mata Fernández, Carlos Javier Vara Alonso, Angel Israel Crespo Rueda y Marisa Labrador Magaña, por parte de las Emplazadas.</w:t>
      </w:r>
    </w:p>
    <w:p w:rsidR="00905BE0" w:rsidRPr="00AE5576" w:rsidRDefault="00905BE0" w:rsidP="00AE5576">
      <w:pPr>
        <w:pStyle w:val="Ttulo2"/>
        <w:keepNext/>
        <w:keepLines/>
        <w:autoSpaceDE/>
        <w:autoSpaceDN/>
        <w:adjustRightInd/>
        <w:spacing w:before="40" w:after="240" w:line="276" w:lineRule="auto"/>
        <w:jc w:val="center"/>
        <w:rPr>
          <w:rFonts w:eastAsiaTheme="majorEastAsia" w:cstheme="majorBidi"/>
          <w:color w:val="000000" w:themeColor="text1"/>
          <w:sz w:val="28"/>
          <w:szCs w:val="28"/>
        </w:rPr>
      </w:pPr>
      <w:r w:rsidRPr="00AE5576">
        <w:rPr>
          <w:rFonts w:eastAsiaTheme="majorEastAsia" w:cstheme="majorBidi"/>
          <w:color w:val="000000" w:themeColor="text1"/>
          <w:sz w:val="28"/>
          <w:szCs w:val="28"/>
        </w:rPr>
        <w:t xml:space="preserve">II. </w:t>
      </w:r>
      <w:r w:rsidR="00EB37CD" w:rsidRPr="00AE5576">
        <w:rPr>
          <w:rFonts w:eastAsiaTheme="majorEastAsia" w:cstheme="majorBidi"/>
          <w:color w:val="000000" w:themeColor="text1"/>
          <w:sz w:val="28"/>
          <w:szCs w:val="28"/>
        </w:rPr>
        <w:t>CONSIDERANDO</w:t>
      </w:r>
    </w:p>
    <w:p w:rsidR="007D0B5E" w:rsidRPr="00AE5576" w:rsidRDefault="005B793B" w:rsidP="00AE5576">
      <w:pPr>
        <w:pStyle w:val="Ttulo3"/>
        <w:rPr>
          <w:rFonts w:ascii="ITC Avant Garde" w:hAnsi="ITC Avant Garde"/>
          <w:b/>
          <w:sz w:val="24"/>
          <w:szCs w:val="24"/>
        </w:rPr>
      </w:pPr>
      <w:r w:rsidRPr="00AE5576">
        <w:rPr>
          <w:rFonts w:ascii="ITC Avant Garde" w:hAnsi="ITC Avant Garde"/>
          <w:b/>
          <w:sz w:val="24"/>
          <w:szCs w:val="24"/>
        </w:rPr>
        <w:t>PRIMERO. COMPETENCIA</w:t>
      </w:r>
      <w:r w:rsidR="007F271C" w:rsidRPr="00AE5576">
        <w:rPr>
          <w:rFonts w:ascii="ITC Avant Garde" w:hAnsi="ITC Avant Garde"/>
          <w:b/>
          <w:sz w:val="24"/>
          <w:szCs w:val="24"/>
        </w:rPr>
        <w:t xml:space="preserve"> DEL INSTITUTO</w:t>
      </w:r>
      <w:r w:rsidRPr="00AE5576">
        <w:rPr>
          <w:rFonts w:ascii="ITC Avant Garde" w:hAnsi="ITC Avant Garde"/>
          <w:b/>
          <w:sz w:val="24"/>
          <w:szCs w:val="24"/>
        </w:rPr>
        <w:t>.</w:t>
      </w:r>
    </w:p>
    <w:p w:rsidR="00675198" w:rsidRPr="00A37710" w:rsidRDefault="00675198" w:rsidP="00675198">
      <w:pPr>
        <w:autoSpaceDE w:val="0"/>
        <w:autoSpaceDN w:val="0"/>
        <w:adjustRightInd w:val="0"/>
        <w:spacing w:line="240" w:lineRule="auto"/>
        <w:jc w:val="both"/>
        <w:rPr>
          <w:rFonts w:ascii="ITC Avant Garde" w:hAnsi="ITC Avant Garde" w:cs="Arial"/>
          <w:sz w:val="24"/>
        </w:rPr>
      </w:pPr>
      <w:r w:rsidRPr="00A37710">
        <w:rPr>
          <w:rFonts w:ascii="ITC Avant Garde" w:hAnsi="ITC Avant Garde" w:cs="Arial"/>
          <w:sz w:val="24"/>
        </w:rPr>
        <w:t>De conformidad con lo establecido en los artículos 28, párrafos décimo cuarto, décimo quinto y décimo sexto, de la CPEUM, reformado mediante el Decreto; el artículo 7 de la LFTyR, y 1</w:t>
      </w:r>
      <w:r w:rsidRPr="00A37710">
        <w:rPr>
          <w:rFonts w:ascii="ITC Avant Garde" w:hAnsi="ITC Avant Garde" w:cs="Times New Roman"/>
          <w:sz w:val="24"/>
        </w:rPr>
        <w:t xml:space="preserve">º. </w:t>
      </w:r>
      <w:r w:rsidRPr="00A37710">
        <w:rPr>
          <w:rFonts w:ascii="ITC Avant Garde" w:hAnsi="ITC Avant Garde" w:cs="Arial"/>
          <w:sz w:val="24"/>
        </w:rPr>
        <w:t xml:space="preserve">del Estatuto Orgánico, el Instituto es un órgano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confieren la CPEUM y en los términos que fijan la LFTyR y demás disposiciones aplicables y es la autoridad en materia de competencia económica de los sectores de radiodifusión y telecomunicaciones, en los que ejerce en forma </w:t>
      </w:r>
      <w:r w:rsidRPr="00A37710">
        <w:rPr>
          <w:rFonts w:ascii="ITC Avant Garde" w:eastAsia="HiddenHorzOCR" w:hAnsi="ITC Avant Garde" w:cs="HiddenHorzOCR"/>
          <w:sz w:val="24"/>
        </w:rPr>
        <w:t xml:space="preserve">exclusiva </w:t>
      </w:r>
      <w:r w:rsidRPr="00A37710">
        <w:rPr>
          <w:rFonts w:ascii="ITC Avant Garde" w:hAnsi="ITC Avant Garde" w:cs="Arial"/>
          <w:sz w:val="24"/>
        </w:rPr>
        <w:t>las facultades que el artículo 28 de la CPEUM, la LFCE y demás disposiciones legales aplicables.</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Arial"/>
          <w:sz w:val="24"/>
        </w:rPr>
        <w:t>De acuerdo con lo anterior, el Instituto es competente para conocer, tramitar y resolver el Expediente, en virtud de que en este asunto se analizan actos que involucran a agentes económicos, tanto emplazados como denunciantes, que proveen el servicio de televisión y audio restringido, a través de cualquier tecnología de transmisión, de conformidad con el marco legal aplicable.</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sz w:val="24"/>
        </w:rPr>
        <w:t xml:space="preserve">En el asunto que se sustancia en el Expediente resulta aplicable lo dispuesto en el </w:t>
      </w:r>
      <w:r w:rsidR="00BB57CD">
        <w:rPr>
          <w:rFonts w:ascii="ITC Avant Garde" w:hAnsi="ITC Avant Garde" w:cs="Helvetica"/>
          <w:sz w:val="24"/>
        </w:rPr>
        <w:t xml:space="preserve">segundo párrafo del </w:t>
      </w:r>
      <w:r w:rsidRPr="00A37710">
        <w:rPr>
          <w:rFonts w:ascii="ITC Avant Garde" w:hAnsi="ITC Avant Garde" w:cs="Helvetica"/>
          <w:sz w:val="24"/>
        </w:rPr>
        <w:t>artículo S</w:t>
      </w:r>
      <w:r w:rsidR="0065154F">
        <w:rPr>
          <w:rFonts w:ascii="ITC Avant Garde" w:hAnsi="ITC Avant Garde" w:cs="Helvetica"/>
          <w:sz w:val="24"/>
        </w:rPr>
        <w:t>egundo</w:t>
      </w:r>
      <w:r w:rsidRPr="00A37710">
        <w:rPr>
          <w:rFonts w:ascii="ITC Avant Garde" w:hAnsi="ITC Avant Garde" w:cs="Helvetica"/>
          <w:sz w:val="24"/>
        </w:rPr>
        <w:t xml:space="preserve"> Transitorio</w:t>
      </w:r>
      <w:r w:rsidR="00BB57CD">
        <w:rPr>
          <w:rFonts w:ascii="ITC Avant Garde" w:hAnsi="ITC Avant Garde" w:cs="Helvetica"/>
          <w:sz w:val="24"/>
        </w:rPr>
        <w:t xml:space="preserve"> </w:t>
      </w:r>
      <w:r w:rsidRPr="00A37710">
        <w:rPr>
          <w:rFonts w:ascii="ITC Avant Garde" w:hAnsi="ITC Avant Garde" w:cs="Helvetica"/>
          <w:sz w:val="24"/>
        </w:rPr>
        <w:t xml:space="preserve">del </w:t>
      </w:r>
      <w:r w:rsidRPr="009D0F12">
        <w:rPr>
          <w:rFonts w:ascii="ITC Avant Garde" w:hAnsi="ITC Avant Garde" w:cs="Helvetica"/>
          <w:i/>
          <w:sz w:val="24"/>
        </w:rPr>
        <w:t>Decreto</w:t>
      </w:r>
      <w:r w:rsidR="0065154F" w:rsidRPr="00FB0F05">
        <w:rPr>
          <w:rFonts w:ascii="ITC Avant Garde" w:hAnsi="ITC Avant Garde" w:cs="Helvetica"/>
          <w:i/>
          <w:sz w:val="24"/>
        </w:rPr>
        <w:t xml:space="preserve"> por el que se expide la Ley Federal de Competencia Económica y se reforman y adicionan diversos artículos del Código Penal Federal</w:t>
      </w:r>
      <w:r w:rsidRPr="00A37710">
        <w:rPr>
          <w:rFonts w:ascii="ITC Avant Garde" w:hAnsi="ITC Avant Garde" w:cs="Helvetica"/>
          <w:sz w:val="24"/>
        </w:rPr>
        <w:t>,</w:t>
      </w:r>
      <w:r w:rsidR="00ED136C">
        <w:rPr>
          <w:rStyle w:val="Refdenotaalpie"/>
          <w:rFonts w:ascii="ITC Avant Garde" w:hAnsi="ITC Avant Garde" w:cs="Helvetica"/>
          <w:i/>
          <w:sz w:val="24"/>
        </w:rPr>
        <w:footnoteReference w:id="19"/>
      </w:r>
      <w:r w:rsidRPr="00A37710">
        <w:rPr>
          <w:rFonts w:ascii="ITC Avant Garde" w:hAnsi="ITC Avant Garde" w:cs="Helvetica"/>
          <w:sz w:val="24"/>
        </w:rPr>
        <w:t xml:space="preserve"> el cual establece que los procedimientos </w:t>
      </w:r>
      <w:r w:rsidR="00ED136C" w:rsidRPr="00ED136C">
        <w:rPr>
          <w:rFonts w:ascii="ITC Avant Garde" w:hAnsi="ITC Avant Garde" w:cs="Helvetica"/>
          <w:sz w:val="24"/>
        </w:rPr>
        <w:t xml:space="preserve">que se encuentren en </w:t>
      </w:r>
      <w:r w:rsidRPr="00A37710">
        <w:rPr>
          <w:rFonts w:ascii="ITC Avant Garde" w:hAnsi="ITC Avant Garde" w:cs="Helvetica"/>
          <w:sz w:val="24"/>
        </w:rPr>
        <w:t xml:space="preserve">trámite </w:t>
      </w:r>
      <w:r w:rsidR="00ED136C" w:rsidRPr="00ED136C">
        <w:rPr>
          <w:rFonts w:ascii="ITC Avant Garde" w:hAnsi="ITC Avant Garde" w:cs="Helvetica"/>
          <w:sz w:val="24"/>
        </w:rPr>
        <w:t xml:space="preserve">a la entrada en vigor de </w:t>
      </w:r>
      <w:r w:rsidR="00ED136C">
        <w:rPr>
          <w:rFonts w:ascii="ITC Avant Garde" w:hAnsi="ITC Avant Garde" w:cs="Helvetica"/>
          <w:sz w:val="24"/>
        </w:rPr>
        <w:t>este d</w:t>
      </w:r>
      <w:r w:rsidR="00ED136C" w:rsidRPr="00ED136C">
        <w:rPr>
          <w:rFonts w:ascii="ITC Avant Garde" w:hAnsi="ITC Avant Garde" w:cs="Helvetica"/>
          <w:sz w:val="24"/>
        </w:rPr>
        <w:t>ecreto, se sustanciarán conforme a las disposiciones vigentes</w:t>
      </w:r>
      <w:r w:rsidRPr="00A37710">
        <w:rPr>
          <w:rFonts w:ascii="ITC Avant Garde" w:hAnsi="ITC Avant Garde" w:cs="Helvetica"/>
          <w:sz w:val="24"/>
        </w:rPr>
        <w:t xml:space="preserve"> al momento de su inicio.</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sz w:val="24"/>
        </w:rPr>
        <w:lastRenderedPageBreak/>
        <w:t xml:space="preserve">Así, el presente asunto inició con la publicación del acuerdo de inicio de la investigación, de fecha cuatro de diciembre de dos mil trece, emitido por la </w:t>
      </w:r>
      <w:r w:rsidR="00ED136C">
        <w:rPr>
          <w:rFonts w:ascii="ITC Avant Garde" w:hAnsi="ITC Avant Garde" w:cs="Helvetica"/>
          <w:sz w:val="24"/>
        </w:rPr>
        <w:t>T</w:t>
      </w:r>
      <w:r w:rsidRPr="00A37710">
        <w:rPr>
          <w:rFonts w:ascii="ITC Avant Garde" w:hAnsi="ITC Avant Garde" w:cs="Helvetica"/>
          <w:sz w:val="24"/>
        </w:rPr>
        <w:t xml:space="preserve">itular de la Unidad de Competencia </w:t>
      </w:r>
      <w:r w:rsidR="009D5FF5">
        <w:rPr>
          <w:rFonts w:ascii="ITC Avant Garde" w:hAnsi="ITC Avant Garde" w:cs="Helvetica"/>
          <w:sz w:val="24"/>
        </w:rPr>
        <w:t>Económica</w:t>
      </w:r>
      <w:r w:rsidRPr="00A37710">
        <w:rPr>
          <w:rFonts w:ascii="ITC Avant Garde" w:hAnsi="ITC Avant Garde" w:cs="Helvetica"/>
          <w:sz w:val="24"/>
        </w:rPr>
        <w:t xml:space="preserve"> del Instituto. Por lo tanto, le son aplicables la LFCE y el RLFCE. Asimismo, este procedimiento seguido en forma de juicio se ha tramitado y se resuelve en términos del artículo 33 de la LFCE. </w:t>
      </w:r>
    </w:p>
    <w:p w:rsidR="00675198" w:rsidRPr="00A37710" w:rsidRDefault="00675198" w:rsidP="00675198">
      <w:pPr>
        <w:autoSpaceDE w:val="0"/>
        <w:autoSpaceDN w:val="0"/>
        <w:adjustRightInd w:val="0"/>
        <w:spacing w:line="240" w:lineRule="auto"/>
        <w:jc w:val="both"/>
        <w:rPr>
          <w:rFonts w:ascii="ITC Avant Garde" w:hAnsi="ITC Avant Garde" w:cs="Helvetica"/>
          <w:sz w:val="24"/>
        </w:rPr>
      </w:pPr>
      <w:r w:rsidRPr="00A37710">
        <w:rPr>
          <w:rFonts w:ascii="ITC Avant Garde" w:hAnsi="ITC Avant Garde" w:cs="Helvetica"/>
          <w:sz w:val="24"/>
        </w:rPr>
        <w:t xml:space="preserve">Por ende, con fundamento en los artículos 28, párrafos décimo cuarto, décimo quinto y décimo sexto, de la CPEUM; Séptimo Transitorio, segundo párrafo, del Decreto; 1°, 2°, 3°, 16, 17, 18, 20, 24, fracciones IV y XIX y 33 de la LFCE; así como 1°, </w:t>
      </w:r>
      <w:r w:rsidRPr="00A37710">
        <w:rPr>
          <w:rFonts w:ascii="ITC Avant Garde" w:hAnsi="ITC Avant Garde" w:cs="Times New Roman"/>
          <w:iCs/>
          <w:sz w:val="24"/>
        </w:rPr>
        <w:t xml:space="preserve">4°, </w:t>
      </w:r>
      <w:r w:rsidRPr="00A37710">
        <w:rPr>
          <w:rFonts w:ascii="ITC Avant Garde" w:hAnsi="ITC Avant Garde" w:cs="Helvetica"/>
          <w:sz w:val="24"/>
        </w:rPr>
        <w:t xml:space="preserve">fracción </w:t>
      </w:r>
      <w:r w:rsidR="00C75F08">
        <w:rPr>
          <w:rFonts w:ascii="ITC Avant Garde" w:hAnsi="ITC Avant Garde" w:cs="Times New Roman"/>
          <w:sz w:val="24"/>
        </w:rPr>
        <w:t>I</w:t>
      </w:r>
      <w:r w:rsidRPr="00A37710">
        <w:rPr>
          <w:rFonts w:ascii="ITC Avant Garde" w:hAnsi="ITC Avant Garde" w:cs="Times New Roman"/>
          <w:sz w:val="24"/>
        </w:rPr>
        <w:t xml:space="preserve">, </w:t>
      </w:r>
      <w:r w:rsidRPr="00A37710">
        <w:rPr>
          <w:rFonts w:ascii="ITC Avant Garde" w:hAnsi="ITC Avant Garde" w:cs="Times New Roman"/>
          <w:iCs/>
          <w:sz w:val="24"/>
        </w:rPr>
        <w:t xml:space="preserve">6, </w:t>
      </w:r>
      <w:r w:rsidRPr="00A37710">
        <w:rPr>
          <w:rFonts w:ascii="ITC Avant Garde" w:hAnsi="ITC Avant Garde" w:cs="Helvetica"/>
          <w:sz w:val="24"/>
        </w:rPr>
        <w:t>fracciones XII y XXXVIII, 7, 8, 11 y 12 del Estatuto Orgánico, el Pleno del Instituto es competente para resolver el presente Expediente.</w:t>
      </w:r>
    </w:p>
    <w:p w:rsidR="007D0B5E" w:rsidRPr="00AE5576" w:rsidRDefault="00997172" w:rsidP="00DB7140">
      <w:pPr>
        <w:pStyle w:val="Ttulo3"/>
        <w:spacing w:after="240"/>
        <w:rPr>
          <w:rFonts w:ascii="ITC Avant Garde" w:hAnsi="ITC Avant Garde"/>
          <w:b/>
          <w:sz w:val="24"/>
          <w:szCs w:val="24"/>
        </w:rPr>
      </w:pPr>
      <w:r w:rsidRPr="00AE5576">
        <w:rPr>
          <w:rFonts w:ascii="ITC Avant Garde" w:hAnsi="ITC Avant Garde"/>
          <w:b/>
          <w:sz w:val="24"/>
          <w:szCs w:val="24"/>
        </w:rPr>
        <w:t>SEGUNDO. ELEMENTOS DEL OPR</w:t>
      </w:r>
      <w:r w:rsidR="00532F99" w:rsidRPr="00AE5576">
        <w:rPr>
          <w:rFonts w:ascii="ITC Avant Garde" w:hAnsi="ITC Avant Garde"/>
          <w:b/>
          <w:sz w:val="24"/>
          <w:szCs w:val="24"/>
        </w:rPr>
        <w:t>.</w:t>
      </w:r>
    </w:p>
    <w:p w:rsidR="00997172" w:rsidRDefault="00997172" w:rsidP="00DB7140">
      <w:pPr>
        <w:autoSpaceDE w:val="0"/>
        <w:autoSpaceDN w:val="0"/>
        <w:adjustRightInd w:val="0"/>
        <w:spacing w:after="240" w:line="240" w:lineRule="auto"/>
        <w:jc w:val="both"/>
        <w:rPr>
          <w:rFonts w:ascii="ITC Avant Garde" w:hAnsi="ITC Avant Garde" w:cs="Helvetica"/>
          <w:sz w:val="24"/>
        </w:rPr>
      </w:pPr>
      <w:r>
        <w:rPr>
          <w:rFonts w:ascii="ITC Avant Garde" w:hAnsi="ITC Avant Garde" w:cs="Helvetica"/>
          <w:b/>
          <w:sz w:val="24"/>
        </w:rPr>
        <w:t xml:space="preserve">1. </w:t>
      </w:r>
      <w:r w:rsidR="001B4770">
        <w:rPr>
          <w:rFonts w:ascii="ITC Avant Garde" w:hAnsi="ITC Avant Garde" w:cs="Helvetica"/>
          <w:b/>
          <w:sz w:val="24"/>
        </w:rPr>
        <w:t xml:space="preserve">Existencia de una </w:t>
      </w:r>
      <w:r>
        <w:rPr>
          <w:rFonts w:ascii="ITC Avant Garde" w:hAnsi="ITC Avant Garde" w:cs="Helvetica"/>
          <w:b/>
          <w:sz w:val="24"/>
        </w:rPr>
        <w:t>Concentración</w:t>
      </w:r>
      <w:r w:rsidR="00771912">
        <w:rPr>
          <w:rStyle w:val="Refdenotaalpie"/>
          <w:rFonts w:ascii="ITC Avant Garde" w:hAnsi="ITC Avant Garde" w:cs="Helvetica"/>
          <w:b/>
          <w:sz w:val="24"/>
        </w:rPr>
        <w:footnoteReference w:id="20"/>
      </w:r>
    </w:p>
    <w:p w:rsidR="00A6014E" w:rsidRPr="00B95D50" w:rsidRDefault="00A6014E" w:rsidP="00A6014E">
      <w:pPr>
        <w:spacing w:line="240" w:lineRule="auto"/>
        <w:jc w:val="both"/>
        <w:rPr>
          <w:rFonts w:ascii="ITC Avant Garde" w:hAnsi="ITC Avant Garde" w:cs="Arial"/>
          <w:sz w:val="24"/>
        </w:rPr>
      </w:pPr>
      <w:r w:rsidRPr="00B95D50">
        <w:rPr>
          <w:rFonts w:ascii="ITC Avant Garde" w:hAnsi="ITC Avant Garde" w:cs="Arial"/>
          <w:sz w:val="24"/>
        </w:rPr>
        <w:t xml:space="preserve">La </w:t>
      </w:r>
      <w:r w:rsidR="00FB28C1">
        <w:rPr>
          <w:rFonts w:ascii="ITC Avant Garde" w:hAnsi="ITC Avant Garde" w:cs="Helvetica"/>
          <w:sz w:val="24"/>
        </w:rPr>
        <w:t>Autoridad Investigadora</w:t>
      </w:r>
      <w:r w:rsidR="00FB28C1" w:rsidRPr="00B95D50">
        <w:rPr>
          <w:rFonts w:ascii="ITC Avant Garde" w:hAnsi="ITC Avant Garde" w:cs="Arial"/>
          <w:sz w:val="24"/>
        </w:rPr>
        <w:t xml:space="preserve"> </w:t>
      </w:r>
      <w:r w:rsidRPr="00B95D50">
        <w:rPr>
          <w:rFonts w:ascii="ITC Avant Garde" w:hAnsi="ITC Avant Garde" w:cs="Arial"/>
          <w:sz w:val="24"/>
        </w:rPr>
        <w:t xml:space="preserve">determinó en el OPR que </w:t>
      </w:r>
      <w:r w:rsidR="002E78E5">
        <w:rPr>
          <w:rFonts w:ascii="ITC Avant Garde" w:hAnsi="ITC Avant Garde" w:cs="Arial"/>
          <w:sz w:val="24"/>
        </w:rPr>
        <w:t>el C</w:t>
      </w:r>
      <w:r w:rsidRPr="00B95D50">
        <w:rPr>
          <w:rFonts w:ascii="ITC Avant Garde" w:hAnsi="ITC Avant Garde" w:cs="Arial"/>
          <w:sz w:val="24"/>
        </w:rPr>
        <w:t xml:space="preserve">úmulo de </w:t>
      </w:r>
      <w:r w:rsidR="002E78E5">
        <w:rPr>
          <w:rFonts w:ascii="ITC Avant Garde" w:hAnsi="ITC Avant Garde" w:cs="Arial"/>
          <w:sz w:val="24"/>
        </w:rPr>
        <w:t>O</w:t>
      </w:r>
      <w:r w:rsidRPr="00B95D50">
        <w:rPr>
          <w:rFonts w:ascii="ITC Avant Garde" w:hAnsi="ITC Avant Garde" w:cs="Arial"/>
          <w:sz w:val="24"/>
        </w:rPr>
        <w:t>peraciones realizadas por las Emplazadas constituyó una concentración</w:t>
      </w:r>
      <w:r w:rsidR="00784317">
        <w:rPr>
          <w:rFonts w:ascii="ITC Avant Garde" w:hAnsi="ITC Avant Garde" w:cs="Arial"/>
          <w:sz w:val="24"/>
        </w:rPr>
        <w:t xml:space="preserve"> no notificada y que ésta </w:t>
      </w:r>
      <w:r w:rsidR="00FF15DA">
        <w:rPr>
          <w:rFonts w:ascii="ITC Avant Garde" w:hAnsi="ITC Avant Garde" w:cs="Arial"/>
          <w:sz w:val="24"/>
        </w:rPr>
        <w:t>fue prohibida al tener por objeto o efecto disminuir, dañar o impedir la competencia y la libre concurrencia en los mercados donde tuvo efectos.</w:t>
      </w:r>
      <w:r w:rsidRPr="00B95D50">
        <w:rPr>
          <w:rFonts w:ascii="ITC Avant Garde" w:hAnsi="ITC Avant Garde" w:cs="Arial"/>
          <w:sz w:val="24"/>
        </w:rPr>
        <w:t xml:space="preserve"> </w:t>
      </w:r>
      <w:r w:rsidR="009D5FF5" w:rsidRPr="00A37710">
        <w:rPr>
          <w:rFonts w:ascii="ITC Avant Garde" w:hAnsi="ITC Avant Garde" w:cs="Arial"/>
          <w:sz w:val="24"/>
        </w:rPr>
        <w:t>En concreto, el OPR establece que</w:t>
      </w:r>
      <w:r w:rsidRPr="00B95D50">
        <w:rPr>
          <w:rFonts w:ascii="ITC Avant Garde" w:hAnsi="ITC Avant Garde" w:cs="Arial"/>
          <w:sz w:val="24"/>
        </w:rPr>
        <w:t xml:space="preserve"> el treinta y uno de julio de dos mil trece, Arretis </w:t>
      </w:r>
      <w:r w:rsidR="009D5FF5" w:rsidRPr="00A37710">
        <w:rPr>
          <w:rFonts w:ascii="ITC Avant Garde" w:hAnsi="ITC Avant Garde" w:cs="Arial"/>
          <w:sz w:val="24"/>
        </w:rPr>
        <w:t xml:space="preserve">a través del Cúmulo de Operaciones </w:t>
      </w:r>
      <w:r w:rsidRPr="00B95D50">
        <w:rPr>
          <w:rFonts w:ascii="ITC Avant Garde" w:hAnsi="ITC Avant Garde" w:cs="Arial"/>
          <w:sz w:val="24"/>
        </w:rPr>
        <w:t xml:space="preserve">adquirió el control sobre Cablecom a través de Tenedora Ares, quien a su vez era accionista del </w:t>
      </w:r>
      <w:r w:rsidR="00072915" w:rsidRPr="00072915">
        <w:rPr>
          <w:rFonts w:ascii="ITC Avant Garde" w:hAnsi="ITC Avant Garde"/>
          <w:b/>
          <w:color w:val="0000FF"/>
          <w:sz w:val="24"/>
        </w:rPr>
        <w:t>“CONFIDENCIAL POR LEY”</w:t>
      </w:r>
      <w:r w:rsidR="00072915">
        <w:rPr>
          <w:rFonts w:ascii="ITC Avant Garde" w:hAnsi="ITC Avant Garde"/>
          <w:b/>
          <w:color w:val="0000FF"/>
          <w:sz w:val="24"/>
        </w:rPr>
        <w:t xml:space="preserve"> </w:t>
      </w:r>
      <w:r w:rsidRPr="00B95D50">
        <w:rPr>
          <w:rFonts w:ascii="ITC Avant Garde" w:hAnsi="ITC Avant Garde" w:cs="Arial"/>
          <w:sz w:val="24"/>
        </w:rPr>
        <w:t>de las acciones de Cablecom.</w:t>
      </w:r>
    </w:p>
    <w:p w:rsidR="00A6014E" w:rsidRPr="00B95D50" w:rsidRDefault="00A6014E" w:rsidP="00A6014E">
      <w:pPr>
        <w:spacing w:line="240" w:lineRule="auto"/>
        <w:jc w:val="both"/>
        <w:rPr>
          <w:rFonts w:ascii="ITC Avant Garde" w:hAnsi="ITC Avant Garde" w:cs="Arial"/>
          <w:sz w:val="24"/>
        </w:rPr>
      </w:pPr>
      <w:r w:rsidRPr="00B95D50">
        <w:rPr>
          <w:rFonts w:ascii="ITC Avant Garde" w:hAnsi="ITC Avant Garde" w:cs="Arial"/>
          <w:sz w:val="24"/>
        </w:rPr>
        <w:t xml:space="preserve">Las conclusiones de la </w:t>
      </w:r>
      <w:r w:rsidR="00FB28C1">
        <w:rPr>
          <w:rFonts w:ascii="ITC Avant Garde" w:hAnsi="ITC Avant Garde" w:cs="Helvetica"/>
          <w:sz w:val="24"/>
        </w:rPr>
        <w:t>Autoridad Investigadora</w:t>
      </w:r>
      <w:r w:rsidR="00FB28C1" w:rsidRPr="00B95D50">
        <w:rPr>
          <w:rFonts w:ascii="ITC Avant Garde" w:hAnsi="ITC Avant Garde" w:cs="Arial"/>
          <w:sz w:val="24"/>
        </w:rPr>
        <w:t xml:space="preserve"> </w:t>
      </w:r>
      <w:r w:rsidRPr="00B95D50">
        <w:rPr>
          <w:rFonts w:ascii="ITC Avant Garde" w:hAnsi="ITC Avant Garde" w:cs="Arial"/>
          <w:sz w:val="24"/>
        </w:rPr>
        <w:t xml:space="preserve">para determinar la existencia de una concentración y el control ejercido por GTV sobre Tenedora Ares y Cablecom, se basan principalmente en </w:t>
      </w:r>
      <w:r w:rsidR="005049BB">
        <w:rPr>
          <w:rFonts w:ascii="ITC Avant Garde" w:hAnsi="ITC Avant Garde" w:cs="Arial"/>
          <w:sz w:val="24"/>
        </w:rPr>
        <w:t xml:space="preserve">las tres </w:t>
      </w:r>
      <w:r w:rsidR="00212BF3">
        <w:rPr>
          <w:rFonts w:ascii="ITC Avant Garde" w:hAnsi="ITC Avant Garde" w:cs="Arial"/>
          <w:sz w:val="24"/>
        </w:rPr>
        <w:t>premisas</w:t>
      </w:r>
      <w:r w:rsidR="00212BF3" w:rsidRPr="00B95D50">
        <w:rPr>
          <w:rFonts w:ascii="ITC Avant Garde" w:hAnsi="ITC Avant Garde" w:cs="Arial"/>
          <w:sz w:val="24"/>
        </w:rPr>
        <w:t xml:space="preserve"> </w:t>
      </w:r>
      <w:r w:rsidRPr="00B95D50">
        <w:rPr>
          <w:rFonts w:ascii="ITC Avant Garde" w:hAnsi="ITC Avant Garde" w:cs="Arial"/>
          <w:sz w:val="24"/>
        </w:rPr>
        <w:t>siguiente</w:t>
      </w:r>
      <w:r w:rsidR="005049BB">
        <w:rPr>
          <w:rFonts w:ascii="ITC Avant Garde" w:hAnsi="ITC Avant Garde" w:cs="Arial"/>
          <w:sz w:val="24"/>
        </w:rPr>
        <w:t>s</w:t>
      </w:r>
      <w:r w:rsidRPr="00B95D50">
        <w:rPr>
          <w:rFonts w:ascii="ITC Avant Garde" w:hAnsi="ITC Avant Garde" w:cs="Arial"/>
          <w:sz w:val="24"/>
        </w:rPr>
        <w:t>:</w:t>
      </w:r>
      <w:r w:rsidR="008E6CF3">
        <w:rPr>
          <w:rStyle w:val="Refdenotaalpie"/>
          <w:rFonts w:ascii="ITC Avant Garde" w:hAnsi="ITC Avant Garde" w:cs="Arial"/>
          <w:sz w:val="24"/>
        </w:rPr>
        <w:footnoteReference w:id="21"/>
      </w:r>
    </w:p>
    <w:p w:rsidR="00A6014E" w:rsidRDefault="00F20504" w:rsidP="00A6014E">
      <w:pPr>
        <w:spacing w:line="240" w:lineRule="auto"/>
        <w:jc w:val="both"/>
        <w:rPr>
          <w:rFonts w:ascii="ITC Avant Garde" w:hAnsi="ITC Avant Garde" w:cs="Arial"/>
          <w:b/>
          <w:sz w:val="24"/>
        </w:rPr>
      </w:pPr>
      <w:r>
        <w:rPr>
          <w:rFonts w:ascii="ITC Avant Garde" w:hAnsi="ITC Avant Garde" w:cs="Arial"/>
          <w:b/>
          <w:sz w:val="24"/>
        </w:rPr>
        <w:t>i)</w:t>
      </w:r>
      <w:r w:rsidR="00A6014E" w:rsidRPr="0082087D">
        <w:rPr>
          <w:rFonts w:ascii="ITC Avant Garde" w:hAnsi="ITC Avant Garde" w:cs="Arial"/>
          <w:b/>
          <w:sz w:val="24"/>
        </w:rPr>
        <w:t xml:space="preserve"> GTV entregó a Tenedora Ares el equivalente a </w:t>
      </w:r>
      <w:r w:rsidR="00072915" w:rsidRPr="00072915">
        <w:rPr>
          <w:rFonts w:ascii="ITC Avant Garde" w:hAnsi="ITC Avant Garde"/>
          <w:b/>
          <w:color w:val="0000FF"/>
          <w:sz w:val="24"/>
        </w:rPr>
        <w:t>“CONFIDENCIAL POR LEY”</w:t>
      </w:r>
      <w:r w:rsidR="008E5DBE">
        <w:rPr>
          <w:rFonts w:ascii="ITC Avant Garde" w:hAnsi="ITC Avant Garde" w:cs="Arial"/>
          <w:b/>
          <w:sz w:val="24"/>
        </w:rPr>
        <w:t>.</w:t>
      </w:r>
    </w:p>
    <w:p w:rsidR="00C21E84" w:rsidRPr="00C21E84" w:rsidRDefault="00C21E84" w:rsidP="00ED136C">
      <w:pPr>
        <w:keepNext/>
        <w:spacing w:line="240" w:lineRule="auto"/>
        <w:jc w:val="both"/>
        <w:rPr>
          <w:rFonts w:ascii="ITC Avant Garde" w:hAnsi="ITC Avant Garde" w:cs="Arial"/>
          <w:b/>
          <w:sz w:val="24"/>
          <w:u w:val="single"/>
        </w:rPr>
      </w:pPr>
      <w:r w:rsidRPr="00C21E84">
        <w:rPr>
          <w:rFonts w:ascii="ITC Avant Garde" w:hAnsi="ITC Avant Garde" w:cs="Arial"/>
          <w:b/>
          <w:sz w:val="24"/>
          <w:u w:val="single"/>
        </w:rPr>
        <w:t>Acta de Emisión</w:t>
      </w:r>
    </w:p>
    <w:p w:rsidR="00DB7140" w:rsidRDefault="00DB7140" w:rsidP="00072915">
      <w:pPr>
        <w:spacing w:line="240" w:lineRule="auto"/>
        <w:jc w:val="both"/>
        <w:rPr>
          <w:rFonts w:ascii="ITC Avant Garde" w:hAnsi="ITC Avant Garde"/>
          <w:b/>
          <w:color w:val="0000FF"/>
          <w:sz w:val="24"/>
        </w:rPr>
      </w:pPr>
      <w:r w:rsidRPr="00072915">
        <w:rPr>
          <w:rFonts w:ascii="ITC Avant Garde" w:hAnsi="ITC Avant Garde"/>
          <w:b/>
          <w:color w:val="0000FF"/>
          <w:sz w:val="24"/>
        </w:rPr>
        <w:t>“CONFIDENCIAL POR LEY”</w:t>
      </w:r>
      <w:r w:rsidR="00E960DA">
        <w:rPr>
          <w:rStyle w:val="Refdenotaalpie"/>
          <w:rFonts w:ascii="ITC Avant Garde" w:hAnsi="ITC Avant Garde" w:cs="Arial"/>
          <w:sz w:val="24"/>
        </w:rPr>
        <w:footnoteReference w:id="22"/>
      </w:r>
    </w:p>
    <w:p w:rsidR="00072915" w:rsidRDefault="00072915" w:rsidP="00072915">
      <w:pPr>
        <w:spacing w:line="240" w:lineRule="auto"/>
        <w:jc w:val="both"/>
        <w:rPr>
          <w:rFonts w:ascii="ITC Avant Garde" w:hAnsi="ITC Avant Garde" w:cs="Arial"/>
          <w:sz w:val="24"/>
        </w:rPr>
      </w:pPr>
      <w:r w:rsidRPr="00072915">
        <w:rPr>
          <w:rFonts w:ascii="ITC Avant Garde" w:hAnsi="ITC Avant Garde"/>
          <w:b/>
          <w:color w:val="0000FF"/>
          <w:sz w:val="24"/>
        </w:rPr>
        <w:t>“CONFIDENCIAL POR LEY”</w:t>
      </w:r>
      <w:r>
        <w:rPr>
          <w:rStyle w:val="Refdenotaalpie"/>
          <w:rFonts w:ascii="ITC Avant Garde" w:hAnsi="ITC Avant Garde" w:cs="Arial"/>
          <w:sz w:val="24"/>
        </w:rPr>
        <w:footnoteReference w:id="23"/>
      </w:r>
    </w:p>
    <w:p w:rsidR="00072915" w:rsidRDefault="00072915" w:rsidP="00A6014E">
      <w:pPr>
        <w:spacing w:line="240" w:lineRule="auto"/>
        <w:jc w:val="both"/>
        <w:rPr>
          <w:rFonts w:ascii="ITC Avant Garde" w:hAnsi="ITC Avant Garde" w:cs="Arial"/>
          <w:sz w:val="24"/>
        </w:rPr>
      </w:pPr>
      <w:r w:rsidRPr="00072915">
        <w:rPr>
          <w:rFonts w:ascii="ITC Avant Garde" w:hAnsi="ITC Avant Garde"/>
          <w:b/>
          <w:color w:val="0000FF"/>
          <w:sz w:val="24"/>
        </w:rPr>
        <w:t>“CONFIDENCIAL POR LEY”</w:t>
      </w:r>
      <w:r w:rsidR="00E960DA">
        <w:rPr>
          <w:rStyle w:val="Refdenotaalpie"/>
          <w:rFonts w:ascii="ITC Avant Garde" w:hAnsi="ITC Avant Garde" w:cs="Arial"/>
          <w:sz w:val="24"/>
        </w:rPr>
        <w:footnoteReference w:id="24"/>
      </w:r>
    </w:p>
    <w:p w:rsidR="00E960DA" w:rsidRDefault="00E960DA" w:rsidP="00A6014E">
      <w:pPr>
        <w:spacing w:line="240" w:lineRule="auto"/>
        <w:jc w:val="both"/>
        <w:rPr>
          <w:rFonts w:ascii="ITC Avant Garde" w:hAnsi="ITC Avant Garde" w:cs="Arial"/>
          <w:sz w:val="24"/>
        </w:rPr>
      </w:pPr>
      <w:r w:rsidRPr="00072915">
        <w:rPr>
          <w:rFonts w:ascii="ITC Avant Garde" w:hAnsi="ITC Avant Garde"/>
          <w:b/>
          <w:color w:val="0000FF"/>
          <w:sz w:val="24"/>
        </w:rPr>
        <w:t>“CONFIDENCIAL POR LEY”</w:t>
      </w:r>
      <w:r w:rsidRPr="00E960DA">
        <w:rPr>
          <w:rStyle w:val="Refdenotaalpie"/>
          <w:rFonts w:ascii="ITC Avant Garde" w:hAnsi="ITC Avant Garde" w:cs="Arial"/>
          <w:sz w:val="24"/>
        </w:rPr>
        <w:t xml:space="preserve"> </w:t>
      </w:r>
      <w:r>
        <w:rPr>
          <w:rStyle w:val="Refdenotaalpie"/>
          <w:rFonts w:ascii="ITC Avant Garde" w:hAnsi="ITC Avant Garde" w:cs="Arial"/>
          <w:sz w:val="24"/>
        </w:rPr>
        <w:footnoteReference w:id="25"/>
      </w:r>
    </w:p>
    <w:p w:rsidR="00C21E84" w:rsidRDefault="00C21E84" w:rsidP="00A6014E">
      <w:pPr>
        <w:spacing w:line="240" w:lineRule="auto"/>
        <w:jc w:val="both"/>
        <w:rPr>
          <w:rFonts w:ascii="ITC Avant Garde" w:hAnsi="ITC Avant Garde" w:cs="Arial"/>
          <w:b/>
          <w:sz w:val="24"/>
          <w:u w:val="single"/>
        </w:rPr>
      </w:pPr>
      <w:r w:rsidRPr="00C21E84">
        <w:rPr>
          <w:rFonts w:ascii="ITC Avant Garde" w:hAnsi="ITC Avant Garde" w:cs="Arial"/>
          <w:b/>
          <w:sz w:val="24"/>
          <w:u w:val="single"/>
        </w:rPr>
        <w:lastRenderedPageBreak/>
        <w:t>Contrato de Crédito</w:t>
      </w:r>
    </w:p>
    <w:p w:rsidR="00072915" w:rsidRDefault="00072915" w:rsidP="00072915">
      <w:pPr>
        <w:spacing w:line="240" w:lineRule="auto"/>
        <w:jc w:val="both"/>
        <w:rPr>
          <w:rFonts w:ascii="ITC Avant Garde" w:hAnsi="ITC Avant Garde" w:cs="Arial"/>
          <w:sz w:val="24"/>
        </w:rPr>
      </w:pPr>
      <w:r w:rsidRPr="00072915">
        <w:rPr>
          <w:rFonts w:ascii="ITC Avant Garde" w:hAnsi="ITC Avant Garde"/>
          <w:b/>
          <w:color w:val="0000FF"/>
          <w:sz w:val="24"/>
        </w:rPr>
        <w:t>“CONFIDENCIAL POR LEY”</w:t>
      </w:r>
      <w:r w:rsidR="00E960DA">
        <w:rPr>
          <w:rStyle w:val="Refdenotaalpie"/>
          <w:rFonts w:ascii="ITC Avant Garde" w:hAnsi="ITC Avant Garde" w:cs="Arial"/>
          <w:sz w:val="24"/>
        </w:rPr>
        <w:footnoteReference w:id="26"/>
      </w:r>
    </w:p>
    <w:p w:rsidR="00E960DA" w:rsidRDefault="00E960DA" w:rsidP="00072915">
      <w:pPr>
        <w:spacing w:line="240" w:lineRule="auto"/>
        <w:jc w:val="both"/>
        <w:rPr>
          <w:rFonts w:ascii="ITC Avant Garde" w:hAnsi="ITC Avant Garde" w:cs="Arial"/>
          <w:sz w:val="24"/>
        </w:rPr>
      </w:pPr>
      <w:r w:rsidRPr="00072915">
        <w:rPr>
          <w:rFonts w:ascii="ITC Avant Garde" w:hAnsi="ITC Avant Garde"/>
          <w:b/>
          <w:color w:val="0000FF"/>
          <w:sz w:val="24"/>
        </w:rPr>
        <w:t>“CONFIDENCIAL POR LEY”</w:t>
      </w:r>
      <w:r>
        <w:rPr>
          <w:rStyle w:val="Refdenotaalpie"/>
          <w:rFonts w:ascii="ITC Avant Garde" w:hAnsi="ITC Avant Garde" w:cs="Arial"/>
          <w:sz w:val="24"/>
        </w:rPr>
        <w:footnoteReference w:id="27"/>
      </w:r>
    </w:p>
    <w:p w:rsidR="00E960DA" w:rsidRDefault="00E960DA" w:rsidP="00072915">
      <w:pPr>
        <w:spacing w:line="240" w:lineRule="auto"/>
        <w:jc w:val="both"/>
        <w:rPr>
          <w:rFonts w:ascii="ITC Avant Garde" w:hAnsi="ITC Avant Garde" w:cs="Arial"/>
          <w:sz w:val="24"/>
        </w:rPr>
      </w:pPr>
      <w:r w:rsidRPr="00072915">
        <w:rPr>
          <w:rFonts w:ascii="ITC Avant Garde" w:hAnsi="ITC Avant Garde"/>
          <w:b/>
          <w:color w:val="0000FF"/>
          <w:sz w:val="24"/>
        </w:rPr>
        <w:t>“CONFIDENCIAL POR LEY”</w:t>
      </w:r>
      <w:r w:rsidRPr="00E960DA">
        <w:rPr>
          <w:rStyle w:val="Refdenotaalpie"/>
          <w:rFonts w:ascii="ITC Avant Garde" w:hAnsi="ITC Avant Garde" w:cs="Arial"/>
          <w:sz w:val="24"/>
        </w:rPr>
        <w:t xml:space="preserve"> </w:t>
      </w:r>
      <w:r>
        <w:rPr>
          <w:rStyle w:val="Refdenotaalpie"/>
          <w:rFonts w:ascii="ITC Avant Garde" w:hAnsi="ITC Avant Garde" w:cs="Arial"/>
          <w:sz w:val="24"/>
        </w:rPr>
        <w:footnoteReference w:id="28"/>
      </w:r>
    </w:p>
    <w:p w:rsidR="00E960DA" w:rsidRPr="00072915" w:rsidRDefault="00E960DA" w:rsidP="00072915">
      <w:pPr>
        <w:spacing w:line="240" w:lineRule="auto"/>
        <w:jc w:val="both"/>
        <w:rPr>
          <w:rFonts w:ascii="ITC Avant Garde" w:hAnsi="ITC Avant Garde"/>
          <w:b/>
          <w:color w:val="0000FF"/>
          <w:sz w:val="24"/>
        </w:rPr>
      </w:pPr>
      <w:r w:rsidRPr="00072915">
        <w:rPr>
          <w:rFonts w:ascii="ITC Avant Garde" w:hAnsi="ITC Avant Garde"/>
          <w:b/>
          <w:color w:val="0000FF"/>
          <w:sz w:val="24"/>
        </w:rPr>
        <w:t>“CONFIDENCIAL POR LEY”</w:t>
      </w:r>
      <w:r w:rsidRPr="00E960DA">
        <w:rPr>
          <w:rStyle w:val="Refdenotaalpie"/>
          <w:rFonts w:ascii="ITC Avant Garde" w:hAnsi="ITC Avant Garde" w:cs="Arial"/>
          <w:sz w:val="24"/>
        </w:rPr>
        <w:t xml:space="preserve"> </w:t>
      </w:r>
      <w:r w:rsidRPr="00A37710">
        <w:rPr>
          <w:rStyle w:val="Refdenotaalpie"/>
          <w:rFonts w:ascii="ITC Avant Garde" w:hAnsi="ITC Avant Garde" w:cs="Arial"/>
          <w:sz w:val="24"/>
        </w:rPr>
        <w:footnoteReference w:id="29"/>
      </w:r>
    </w:p>
    <w:p w:rsidR="009D5FF5" w:rsidRDefault="009D5FF5" w:rsidP="00C66911">
      <w:pPr>
        <w:keepNext/>
        <w:spacing w:line="240" w:lineRule="auto"/>
        <w:jc w:val="both"/>
        <w:rPr>
          <w:rFonts w:ascii="ITC Avant Garde" w:hAnsi="ITC Avant Garde"/>
          <w:b/>
          <w:sz w:val="24"/>
          <w:u w:val="single"/>
        </w:rPr>
      </w:pPr>
      <w:r w:rsidRPr="009D5FF5">
        <w:rPr>
          <w:rFonts w:ascii="ITC Avant Garde" w:hAnsi="ITC Avant Garde"/>
          <w:b/>
          <w:sz w:val="24"/>
          <w:u w:val="single"/>
        </w:rPr>
        <w:t>Pagaré Ares</w:t>
      </w:r>
    </w:p>
    <w:p w:rsidR="00072915" w:rsidRPr="00072915" w:rsidRDefault="00072915" w:rsidP="00072915">
      <w:pPr>
        <w:spacing w:line="240" w:lineRule="auto"/>
        <w:jc w:val="both"/>
        <w:rPr>
          <w:rFonts w:ascii="ITC Avant Garde" w:hAnsi="ITC Avant Garde"/>
          <w:b/>
          <w:color w:val="0000FF"/>
          <w:sz w:val="24"/>
        </w:rPr>
      </w:pPr>
      <w:r w:rsidRPr="00072915">
        <w:rPr>
          <w:rFonts w:ascii="ITC Avant Garde" w:hAnsi="ITC Avant Garde"/>
          <w:b/>
          <w:color w:val="0000FF"/>
          <w:sz w:val="24"/>
        </w:rPr>
        <w:t>“CONFIDENCIAL POR LEY”</w:t>
      </w:r>
    </w:p>
    <w:p w:rsidR="000C090B" w:rsidRDefault="000C090B" w:rsidP="00C66911">
      <w:pPr>
        <w:keepNext/>
        <w:spacing w:line="240" w:lineRule="auto"/>
        <w:jc w:val="both"/>
        <w:rPr>
          <w:rFonts w:ascii="ITC Avant Garde" w:hAnsi="ITC Avant Garde" w:cs="Arial"/>
          <w:b/>
          <w:sz w:val="24"/>
          <w:u w:val="single"/>
        </w:rPr>
      </w:pPr>
      <w:r>
        <w:rPr>
          <w:rFonts w:ascii="ITC Avant Garde" w:hAnsi="ITC Avant Garde" w:cs="Arial"/>
          <w:b/>
          <w:sz w:val="24"/>
          <w:u w:val="single"/>
        </w:rPr>
        <w:t>Promesa Cablecom</w:t>
      </w:r>
    </w:p>
    <w:p w:rsidR="00072915" w:rsidRPr="00072915" w:rsidRDefault="00072915" w:rsidP="00072915">
      <w:pPr>
        <w:spacing w:line="240" w:lineRule="auto"/>
        <w:jc w:val="both"/>
        <w:rPr>
          <w:rFonts w:ascii="ITC Avant Garde" w:hAnsi="ITC Avant Garde"/>
          <w:b/>
          <w:color w:val="0000FF"/>
          <w:sz w:val="24"/>
        </w:rPr>
      </w:pPr>
      <w:r w:rsidRPr="00072915">
        <w:rPr>
          <w:rFonts w:ascii="ITC Avant Garde" w:hAnsi="ITC Avant Garde"/>
          <w:b/>
          <w:color w:val="0000FF"/>
          <w:sz w:val="24"/>
        </w:rPr>
        <w:t>“CONFIDENCIAL POR LEY”</w:t>
      </w:r>
      <w:r w:rsidR="00E960DA" w:rsidRPr="00E960DA">
        <w:rPr>
          <w:rStyle w:val="Refdenotaalpie"/>
          <w:rFonts w:ascii="ITC Avant Garde" w:hAnsi="ITC Avant Garde" w:cs="Arial"/>
          <w:sz w:val="24"/>
        </w:rPr>
        <w:t xml:space="preserve"> </w:t>
      </w:r>
      <w:r w:rsidR="00E960DA" w:rsidRPr="00A37710">
        <w:rPr>
          <w:rStyle w:val="Refdenotaalpie"/>
          <w:rFonts w:ascii="ITC Avant Garde" w:hAnsi="ITC Avant Garde" w:cs="Arial"/>
          <w:sz w:val="24"/>
        </w:rPr>
        <w:footnoteReference w:id="30"/>
      </w:r>
    </w:p>
    <w:p w:rsidR="00072915" w:rsidRPr="00072915" w:rsidRDefault="00F20504" w:rsidP="00072915">
      <w:pPr>
        <w:spacing w:line="240" w:lineRule="auto"/>
        <w:jc w:val="both"/>
        <w:rPr>
          <w:rFonts w:ascii="ITC Avant Garde" w:hAnsi="ITC Avant Garde"/>
          <w:b/>
          <w:color w:val="0000FF"/>
          <w:sz w:val="24"/>
        </w:rPr>
      </w:pPr>
      <w:r>
        <w:rPr>
          <w:rFonts w:ascii="ITC Avant Garde" w:hAnsi="ITC Avant Garde" w:cs="Arial"/>
          <w:b/>
          <w:sz w:val="24"/>
        </w:rPr>
        <w:t>ii</w:t>
      </w:r>
      <w:r w:rsidR="005049BB">
        <w:rPr>
          <w:rFonts w:ascii="ITC Avant Garde" w:hAnsi="ITC Avant Garde" w:cs="Arial"/>
          <w:b/>
          <w:sz w:val="24"/>
        </w:rPr>
        <w:t>)</w:t>
      </w:r>
      <w:r w:rsidR="00A6014E" w:rsidRPr="00FA16ED">
        <w:rPr>
          <w:rFonts w:ascii="ITC Avant Garde" w:hAnsi="ITC Avant Garde" w:cs="Arial"/>
          <w:b/>
          <w:sz w:val="24"/>
        </w:rPr>
        <w:t xml:space="preserve"> GTV adquirió el derecho a</w:t>
      </w:r>
      <w:r w:rsidR="001E66C1">
        <w:rPr>
          <w:rFonts w:ascii="ITC Avant Garde" w:hAnsi="ITC Avant Garde" w:cs="Arial"/>
          <w:b/>
          <w:sz w:val="24"/>
        </w:rPr>
        <w:t xml:space="preserve"> determinar</w:t>
      </w:r>
      <w:r w:rsidR="00A6014E" w:rsidRPr="00FA16ED">
        <w:rPr>
          <w:rFonts w:ascii="ITC Avant Garde" w:hAnsi="ITC Avant Garde" w:cs="Arial"/>
          <w:b/>
          <w:sz w:val="24"/>
        </w:rPr>
        <w:t xml:space="preserve"> </w:t>
      </w:r>
      <w:r w:rsidR="00072915" w:rsidRPr="00072915">
        <w:rPr>
          <w:rFonts w:ascii="ITC Avant Garde" w:hAnsi="ITC Avant Garde"/>
          <w:b/>
          <w:color w:val="0000FF"/>
          <w:sz w:val="24"/>
        </w:rPr>
        <w:t>“CONFIDENCIAL POR LEY”</w:t>
      </w:r>
    </w:p>
    <w:p w:rsidR="00072915" w:rsidRPr="00072915" w:rsidRDefault="00E44877" w:rsidP="00072915">
      <w:pPr>
        <w:spacing w:line="240" w:lineRule="auto"/>
        <w:jc w:val="both"/>
        <w:rPr>
          <w:rFonts w:ascii="ITC Avant Garde" w:hAnsi="ITC Avant Garde"/>
          <w:b/>
          <w:color w:val="0000FF"/>
          <w:sz w:val="24"/>
        </w:rPr>
      </w:pPr>
      <w:r>
        <w:rPr>
          <w:rFonts w:ascii="ITC Avant Garde" w:hAnsi="ITC Avant Garde" w:cs="Arial"/>
          <w:sz w:val="24"/>
        </w:rPr>
        <w:t xml:space="preserve">Con base en el Acta de Emisión, la Prenda Vamole y </w:t>
      </w:r>
      <w:r w:rsidR="00C75F08">
        <w:rPr>
          <w:rFonts w:ascii="ITC Avant Garde" w:hAnsi="ITC Avant Garde" w:cs="Arial"/>
          <w:sz w:val="24"/>
        </w:rPr>
        <w:t xml:space="preserve">en </w:t>
      </w:r>
      <w:r>
        <w:rPr>
          <w:rFonts w:ascii="ITC Avant Garde" w:hAnsi="ITC Avant Garde" w:cs="Arial"/>
          <w:sz w:val="24"/>
        </w:rPr>
        <w:t xml:space="preserve">el Contrato de Crédito, se desprende que </w:t>
      </w:r>
      <w:r w:rsidR="00072915" w:rsidRPr="00072915">
        <w:rPr>
          <w:rFonts w:ascii="ITC Avant Garde" w:hAnsi="ITC Avant Garde"/>
          <w:b/>
          <w:color w:val="0000FF"/>
          <w:sz w:val="24"/>
        </w:rPr>
        <w:t>“CONFIDENCIAL POR LEY”</w:t>
      </w:r>
    </w:p>
    <w:p w:rsidR="00E2256F" w:rsidRDefault="00AC60FC" w:rsidP="00C66911">
      <w:pPr>
        <w:keepNext/>
        <w:spacing w:line="240" w:lineRule="auto"/>
        <w:jc w:val="both"/>
        <w:rPr>
          <w:rFonts w:ascii="ITC Avant Garde" w:hAnsi="ITC Avant Garde" w:cs="Arial"/>
          <w:b/>
          <w:sz w:val="24"/>
          <w:u w:val="single"/>
        </w:rPr>
      </w:pPr>
      <w:r w:rsidRPr="00AC60FC">
        <w:rPr>
          <w:rFonts w:ascii="ITC Avant Garde" w:hAnsi="ITC Avant Garde" w:cs="Arial"/>
          <w:b/>
          <w:sz w:val="24"/>
          <w:u w:val="single"/>
        </w:rPr>
        <w:t>Acta de Emisión</w:t>
      </w:r>
    </w:p>
    <w:p w:rsidR="00072915" w:rsidRDefault="00072915" w:rsidP="00072915">
      <w:pPr>
        <w:spacing w:line="240" w:lineRule="auto"/>
        <w:jc w:val="both"/>
        <w:rPr>
          <w:rFonts w:ascii="ITC Avant Garde" w:hAnsi="ITC Avant Garde" w:cs="Arial"/>
          <w:sz w:val="24"/>
        </w:rPr>
      </w:pPr>
      <w:r w:rsidRPr="00072915">
        <w:rPr>
          <w:rFonts w:ascii="ITC Avant Garde" w:hAnsi="ITC Avant Garde"/>
          <w:b/>
          <w:color w:val="0000FF"/>
          <w:sz w:val="24"/>
        </w:rPr>
        <w:t>“CONFIDENCIAL POR LEY”</w:t>
      </w:r>
      <w:r w:rsidR="00DB7140">
        <w:rPr>
          <w:rStyle w:val="Refdenotaalpie"/>
          <w:rFonts w:ascii="ITC Avant Garde" w:hAnsi="ITC Avant Garde" w:cs="Arial"/>
          <w:sz w:val="24"/>
        </w:rPr>
        <w:footnoteReference w:id="31"/>
      </w:r>
    </w:p>
    <w:p w:rsidR="00DB7140" w:rsidRPr="00DB7140" w:rsidRDefault="00DB7140" w:rsidP="00072915">
      <w:pPr>
        <w:spacing w:line="240" w:lineRule="auto"/>
        <w:jc w:val="both"/>
        <w:rPr>
          <w:rFonts w:ascii="ITC Avant Garde" w:hAnsi="ITC Avant Garde" w:cs="Arial"/>
          <w:sz w:val="24"/>
        </w:rPr>
      </w:pPr>
      <w:r w:rsidRPr="00072915">
        <w:rPr>
          <w:rFonts w:ascii="ITC Avant Garde" w:hAnsi="ITC Avant Garde"/>
          <w:b/>
          <w:color w:val="0000FF"/>
          <w:sz w:val="24"/>
        </w:rPr>
        <w:t>“CONFIDENCIAL POR LEY”</w:t>
      </w:r>
      <w:r>
        <w:rPr>
          <w:rStyle w:val="Refdenotaalpie"/>
          <w:rFonts w:ascii="ITC Avant Garde" w:hAnsi="ITC Avant Garde" w:cs="Arial"/>
          <w:sz w:val="24"/>
        </w:rPr>
        <w:footnoteReference w:id="32"/>
      </w:r>
    </w:p>
    <w:p w:rsidR="00F2488E" w:rsidRDefault="00F2488E" w:rsidP="00C66911">
      <w:pPr>
        <w:keepNext/>
        <w:spacing w:line="240" w:lineRule="auto"/>
        <w:jc w:val="both"/>
        <w:rPr>
          <w:rFonts w:ascii="ITC Avant Garde" w:hAnsi="ITC Avant Garde" w:cs="Arial"/>
          <w:b/>
          <w:sz w:val="24"/>
          <w:u w:val="single"/>
        </w:rPr>
      </w:pPr>
      <w:r w:rsidRPr="00F2488E">
        <w:rPr>
          <w:rFonts w:ascii="ITC Avant Garde" w:hAnsi="ITC Avant Garde" w:cs="Arial"/>
          <w:b/>
          <w:sz w:val="24"/>
          <w:u w:val="single"/>
        </w:rPr>
        <w:t>Prenda Vamole</w:t>
      </w:r>
    </w:p>
    <w:p w:rsidR="00072915" w:rsidRPr="00072915" w:rsidRDefault="00072915" w:rsidP="00072915">
      <w:pPr>
        <w:spacing w:line="240" w:lineRule="auto"/>
        <w:jc w:val="both"/>
        <w:rPr>
          <w:rFonts w:ascii="ITC Avant Garde" w:hAnsi="ITC Avant Garde"/>
          <w:b/>
          <w:color w:val="0000FF"/>
          <w:sz w:val="24"/>
        </w:rPr>
      </w:pPr>
      <w:r w:rsidRPr="00072915">
        <w:rPr>
          <w:rFonts w:ascii="ITC Avant Garde" w:hAnsi="ITC Avant Garde"/>
          <w:b/>
          <w:color w:val="0000FF"/>
          <w:sz w:val="24"/>
        </w:rPr>
        <w:t>“CONFIDENCIAL POR LEY”</w:t>
      </w:r>
      <w:r w:rsidR="00E960DA" w:rsidRPr="00E960DA">
        <w:rPr>
          <w:rStyle w:val="Refdenotaalpie"/>
          <w:rFonts w:ascii="ITC Avant Garde" w:hAnsi="ITC Avant Garde" w:cs="Arial"/>
          <w:sz w:val="24"/>
        </w:rPr>
        <w:t xml:space="preserve"> </w:t>
      </w:r>
      <w:r w:rsidR="00E960DA">
        <w:rPr>
          <w:rStyle w:val="Refdenotaalpie"/>
          <w:rFonts w:ascii="ITC Avant Garde" w:hAnsi="ITC Avant Garde" w:cs="Arial"/>
          <w:sz w:val="24"/>
        </w:rPr>
        <w:footnoteReference w:id="33"/>
      </w:r>
    </w:p>
    <w:p w:rsidR="00E03CC8" w:rsidRDefault="00E03CC8" w:rsidP="00C66911">
      <w:pPr>
        <w:keepNext/>
        <w:spacing w:line="240" w:lineRule="auto"/>
        <w:jc w:val="both"/>
        <w:rPr>
          <w:rFonts w:ascii="ITC Avant Garde" w:hAnsi="ITC Avant Garde" w:cs="Arial"/>
          <w:b/>
          <w:sz w:val="24"/>
          <w:u w:val="single"/>
        </w:rPr>
      </w:pPr>
      <w:r w:rsidRPr="00E03CC8">
        <w:rPr>
          <w:rFonts w:ascii="ITC Avant Garde" w:hAnsi="ITC Avant Garde" w:cs="Arial"/>
          <w:b/>
          <w:sz w:val="24"/>
          <w:u w:val="single"/>
        </w:rPr>
        <w:t>Contrato de Crédito</w:t>
      </w:r>
    </w:p>
    <w:p w:rsidR="00072915" w:rsidRDefault="00072915" w:rsidP="00072915">
      <w:pPr>
        <w:spacing w:line="240" w:lineRule="auto"/>
        <w:jc w:val="both"/>
        <w:rPr>
          <w:rFonts w:ascii="ITC Avant Garde" w:hAnsi="ITC Avant Garde"/>
          <w:b/>
          <w:color w:val="0000FF"/>
          <w:sz w:val="24"/>
        </w:rPr>
      </w:pPr>
      <w:r w:rsidRPr="00072915">
        <w:rPr>
          <w:rFonts w:ascii="ITC Avant Garde" w:hAnsi="ITC Avant Garde"/>
          <w:b/>
          <w:color w:val="0000FF"/>
          <w:sz w:val="24"/>
        </w:rPr>
        <w:t>“CONFIDENCIAL POR LEY”</w:t>
      </w:r>
      <w:r w:rsidR="00875D80">
        <w:rPr>
          <w:rStyle w:val="Refdenotaalpie"/>
          <w:rFonts w:ascii="ITC Avant Garde" w:hAnsi="ITC Avant Garde" w:cs="Arial"/>
          <w:sz w:val="24"/>
        </w:rPr>
        <w:footnoteReference w:id="34"/>
      </w:r>
    </w:p>
    <w:p w:rsidR="004E369F" w:rsidRDefault="004E369F" w:rsidP="00C66911">
      <w:pPr>
        <w:keepNext/>
        <w:spacing w:line="240" w:lineRule="auto"/>
        <w:jc w:val="both"/>
        <w:rPr>
          <w:rFonts w:ascii="ITC Avant Garde" w:hAnsi="ITC Avant Garde" w:cs="Arial"/>
          <w:b/>
          <w:sz w:val="24"/>
          <w:u w:val="single"/>
        </w:rPr>
      </w:pPr>
      <w:r w:rsidRPr="004E369F">
        <w:rPr>
          <w:rFonts w:ascii="ITC Avant Garde" w:hAnsi="ITC Avant Garde" w:cs="Arial"/>
          <w:b/>
          <w:sz w:val="24"/>
          <w:u w:val="single"/>
        </w:rPr>
        <w:t>Prenda Fintech-Cable</w:t>
      </w:r>
    </w:p>
    <w:p w:rsidR="00072915" w:rsidRPr="00072915" w:rsidRDefault="00072915" w:rsidP="00072915">
      <w:pPr>
        <w:spacing w:line="240" w:lineRule="auto"/>
        <w:jc w:val="both"/>
        <w:rPr>
          <w:rFonts w:ascii="ITC Avant Garde" w:hAnsi="ITC Avant Garde"/>
          <w:b/>
          <w:color w:val="0000FF"/>
          <w:sz w:val="24"/>
        </w:rPr>
      </w:pPr>
      <w:r w:rsidRPr="00072915">
        <w:rPr>
          <w:rFonts w:ascii="ITC Avant Garde" w:hAnsi="ITC Avant Garde"/>
          <w:b/>
          <w:color w:val="0000FF"/>
          <w:sz w:val="24"/>
        </w:rPr>
        <w:t>“CONFIDENCIAL POR LEY”</w:t>
      </w:r>
      <w:r w:rsidR="00E960DA">
        <w:rPr>
          <w:rStyle w:val="Refdenotaalpie"/>
          <w:rFonts w:ascii="ITC Avant Garde" w:hAnsi="ITC Avant Garde" w:cs="Arial"/>
          <w:sz w:val="24"/>
        </w:rPr>
        <w:footnoteReference w:id="35"/>
      </w:r>
    </w:p>
    <w:p w:rsidR="00A6014E" w:rsidRDefault="00F20504" w:rsidP="00A6014E">
      <w:pPr>
        <w:spacing w:line="240" w:lineRule="auto"/>
        <w:jc w:val="both"/>
        <w:rPr>
          <w:rFonts w:ascii="ITC Avant Garde" w:hAnsi="ITC Avant Garde" w:cs="Arial"/>
          <w:b/>
          <w:sz w:val="24"/>
        </w:rPr>
      </w:pPr>
      <w:r>
        <w:rPr>
          <w:rFonts w:ascii="ITC Avant Garde" w:hAnsi="ITC Avant Garde" w:cs="Arial"/>
          <w:b/>
          <w:sz w:val="24"/>
        </w:rPr>
        <w:lastRenderedPageBreak/>
        <w:t>i</w:t>
      </w:r>
      <w:r w:rsidR="00A6014E" w:rsidRPr="00B95D50">
        <w:rPr>
          <w:rFonts w:ascii="ITC Avant Garde" w:hAnsi="ITC Avant Garde" w:cs="Arial"/>
          <w:b/>
          <w:sz w:val="24"/>
        </w:rPr>
        <w:t>ii</w:t>
      </w:r>
      <w:r w:rsidR="005049BB">
        <w:rPr>
          <w:rFonts w:ascii="ITC Avant Garde" w:hAnsi="ITC Avant Garde" w:cs="Arial"/>
          <w:b/>
          <w:sz w:val="24"/>
        </w:rPr>
        <w:t>)</w:t>
      </w:r>
      <w:r w:rsidR="00A6014E" w:rsidRPr="004432CF">
        <w:rPr>
          <w:rFonts w:ascii="ITC Avant Garde" w:hAnsi="ITC Avant Garde" w:cs="Arial"/>
          <w:b/>
          <w:sz w:val="24"/>
        </w:rPr>
        <w:t xml:space="preserve"> El </w:t>
      </w:r>
      <w:r w:rsidRPr="004432CF">
        <w:rPr>
          <w:rFonts w:ascii="ITC Avant Garde" w:hAnsi="ITC Avant Garde" w:cs="Arial"/>
          <w:b/>
          <w:sz w:val="24"/>
        </w:rPr>
        <w:t xml:space="preserve">Cúmulo de Operaciones </w:t>
      </w:r>
      <w:r w:rsidR="00A6014E" w:rsidRPr="004432CF">
        <w:rPr>
          <w:rFonts w:ascii="ITC Avant Garde" w:hAnsi="ITC Avant Garde" w:cs="Arial"/>
          <w:b/>
          <w:sz w:val="24"/>
        </w:rPr>
        <w:t>no contemplaba mecanismos a través de los cuales, Cablecom o alguno de sus accionistas</w:t>
      </w:r>
      <w:r w:rsidR="008E6CF3" w:rsidRPr="004432CF">
        <w:rPr>
          <w:rFonts w:ascii="ITC Avant Garde" w:hAnsi="ITC Avant Garde" w:cs="Arial"/>
          <w:b/>
          <w:sz w:val="24"/>
        </w:rPr>
        <w:t>,</w:t>
      </w:r>
      <w:r w:rsidR="00A6014E" w:rsidRPr="004432CF">
        <w:rPr>
          <w:rFonts w:ascii="ITC Avant Garde" w:hAnsi="ITC Avant Garde" w:cs="Arial"/>
          <w:b/>
          <w:sz w:val="24"/>
        </w:rPr>
        <w:t xml:space="preserve"> pudieran revertir sus efectos.</w:t>
      </w:r>
    </w:p>
    <w:p w:rsidR="00F13636" w:rsidRDefault="00F13636" w:rsidP="00C66911">
      <w:pPr>
        <w:keepNext/>
        <w:spacing w:line="240" w:lineRule="auto"/>
        <w:jc w:val="both"/>
        <w:rPr>
          <w:rFonts w:ascii="ITC Avant Garde" w:hAnsi="ITC Avant Garde" w:cs="Arial"/>
          <w:b/>
          <w:sz w:val="24"/>
          <w:u w:val="single"/>
        </w:rPr>
      </w:pPr>
      <w:r w:rsidRPr="00F13636">
        <w:rPr>
          <w:rFonts w:ascii="ITC Avant Garde" w:hAnsi="ITC Avant Garde" w:cs="Arial"/>
          <w:b/>
          <w:sz w:val="24"/>
          <w:u w:val="single"/>
        </w:rPr>
        <w:t>Acta de Emisión</w:t>
      </w:r>
    </w:p>
    <w:p w:rsidR="006103FB" w:rsidRDefault="006103FB" w:rsidP="00072915">
      <w:pPr>
        <w:spacing w:line="240" w:lineRule="auto"/>
        <w:jc w:val="both"/>
        <w:rPr>
          <w:rFonts w:ascii="ITC Avant Garde" w:hAnsi="ITC Avant Garde"/>
          <w:b/>
          <w:color w:val="0000FF"/>
          <w:sz w:val="24"/>
        </w:rPr>
      </w:pPr>
      <w:r w:rsidRPr="00072915">
        <w:rPr>
          <w:rFonts w:ascii="ITC Avant Garde" w:hAnsi="ITC Avant Garde"/>
          <w:b/>
          <w:color w:val="0000FF"/>
          <w:sz w:val="24"/>
        </w:rPr>
        <w:t xml:space="preserve">“CONFIDENCIAL POR LEY” </w:t>
      </w:r>
    </w:p>
    <w:p w:rsidR="00875D80" w:rsidRPr="00072915" w:rsidRDefault="00875D80" w:rsidP="00072915">
      <w:pPr>
        <w:spacing w:line="240" w:lineRule="auto"/>
        <w:jc w:val="both"/>
        <w:rPr>
          <w:rFonts w:ascii="ITC Avant Garde" w:hAnsi="ITC Avant Garde"/>
          <w:b/>
          <w:color w:val="0000FF"/>
          <w:sz w:val="24"/>
        </w:rPr>
      </w:pPr>
      <w:r w:rsidRPr="00072915">
        <w:rPr>
          <w:rFonts w:ascii="ITC Avant Garde" w:hAnsi="ITC Avant Garde"/>
          <w:b/>
          <w:color w:val="0000FF"/>
          <w:sz w:val="24"/>
        </w:rPr>
        <w:t>“CONFIDENCIAL POR LEY”</w:t>
      </w:r>
    </w:p>
    <w:p w:rsidR="00E960DA" w:rsidRDefault="00F20504" w:rsidP="00E960DA">
      <w:pPr>
        <w:keepNext/>
        <w:spacing w:line="240" w:lineRule="auto"/>
        <w:jc w:val="both"/>
        <w:rPr>
          <w:rFonts w:ascii="ITC Avant Garde" w:hAnsi="ITC Avant Garde" w:cs="Helvetica"/>
          <w:b/>
          <w:sz w:val="24"/>
        </w:rPr>
      </w:pPr>
      <w:r>
        <w:rPr>
          <w:rFonts w:ascii="ITC Avant Garde" w:hAnsi="ITC Avant Garde" w:cs="Helvetica"/>
          <w:b/>
          <w:sz w:val="24"/>
        </w:rPr>
        <w:t xml:space="preserve">2. </w:t>
      </w:r>
      <w:r w:rsidR="00DF774E" w:rsidRPr="00DF774E">
        <w:rPr>
          <w:rFonts w:ascii="ITC Avant Garde" w:hAnsi="ITC Avant Garde" w:cs="Helvetica"/>
          <w:b/>
          <w:sz w:val="24"/>
        </w:rPr>
        <w:t>Mercado relevante</w:t>
      </w:r>
      <w:r w:rsidR="00E960DA">
        <w:rPr>
          <w:rStyle w:val="Refdenotaalpie"/>
          <w:rFonts w:ascii="ITC Avant Garde" w:hAnsi="ITC Avant Garde" w:cs="Helvetica"/>
          <w:b/>
          <w:sz w:val="24"/>
        </w:rPr>
        <w:footnoteReference w:id="36"/>
      </w:r>
    </w:p>
    <w:p w:rsidR="00177C20" w:rsidRPr="00DF774E" w:rsidRDefault="00177C20" w:rsidP="00DF774E">
      <w:pPr>
        <w:spacing w:line="240" w:lineRule="auto"/>
        <w:jc w:val="both"/>
        <w:rPr>
          <w:rFonts w:ascii="ITC Avant Garde" w:hAnsi="ITC Avant Garde" w:cs="Helvetica"/>
          <w:b/>
          <w:i/>
          <w:sz w:val="24"/>
        </w:rPr>
      </w:pPr>
      <w:r>
        <w:rPr>
          <w:rFonts w:ascii="ITC Avant Garde" w:hAnsi="ITC Avant Garde" w:cs="Helvetica"/>
          <w:sz w:val="24"/>
        </w:rPr>
        <w:t>El OPR concluyó que el mercado relevante corres</w:t>
      </w:r>
      <w:r w:rsidR="00923D66">
        <w:rPr>
          <w:rFonts w:ascii="ITC Avant Garde" w:hAnsi="ITC Avant Garde" w:cs="Helvetica"/>
          <w:sz w:val="24"/>
        </w:rPr>
        <w:t xml:space="preserve">ponde a la provisión del STAR a través de cualquier tecnología de transmisión, con una dimensión geográfica local que para efectos de su análisis se definió como cada uno de los ciento dos municipios </w:t>
      </w:r>
      <w:r w:rsidR="0098132C">
        <w:rPr>
          <w:rFonts w:ascii="ITC Avant Garde" w:hAnsi="ITC Avant Garde" w:cs="Helvetica"/>
          <w:sz w:val="24"/>
        </w:rPr>
        <w:t>donde tuvo efectos</w:t>
      </w:r>
      <w:r w:rsidR="00923D66">
        <w:rPr>
          <w:rFonts w:ascii="ITC Avant Garde" w:hAnsi="ITC Avant Garde" w:cs="Helvetica"/>
          <w:sz w:val="24"/>
        </w:rPr>
        <w:t xml:space="preserve"> la </w:t>
      </w:r>
      <w:r w:rsidR="0098132C">
        <w:rPr>
          <w:rFonts w:ascii="ITC Avant Garde" w:hAnsi="ITC Avant Garde" w:cs="Helvetica"/>
          <w:sz w:val="24"/>
        </w:rPr>
        <w:t>Operación Investigada</w:t>
      </w:r>
      <w:r w:rsidR="00923D66">
        <w:rPr>
          <w:rFonts w:ascii="ITC Avant Garde" w:hAnsi="ITC Avant Garde" w:cs="Helvetica"/>
          <w:sz w:val="24"/>
        </w:rPr>
        <w:t>.</w:t>
      </w:r>
      <w:r w:rsidR="008E6CF3">
        <w:rPr>
          <w:rStyle w:val="Refdenotaalpie"/>
          <w:rFonts w:ascii="ITC Avant Garde" w:hAnsi="ITC Avant Garde" w:cs="Helvetica"/>
          <w:sz w:val="24"/>
        </w:rPr>
        <w:footnoteReference w:id="37"/>
      </w:r>
    </w:p>
    <w:p w:rsidR="00DF774E" w:rsidRPr="00DF774E" w:rsidRDefault="00923D66" w:rsidP="00DF774E">
      <w:pPr>
        <w:spacing w:line="240" w:lineRule="auto"/>
        <w:jc w:val="both"/>
        <w:rPr>
          <w:rFonts w:ascii="ITC Avant Garde" w:hAnsi="ITC Avant Garde" w:cs="Arial"/>
          <w:b/>
          <w:sz w:val="24"/>
        </w:rPr>
      </w:pPr>
      <w:r>
        <w:rPr>
          <w:rFonts w:ascii="ITC Avant Garde" w:hAnsi="ITC Avant Garde" w:cs="Arial"/>
          <w:b/>
          <w:sz w:val="24"/>
        </w:rPr>
        <w:t>3</w:t>
      </w:r>
      <w:r w:rsidR="00F20504">
        <w:rPr>
          <w:rFonts w:ascii="ITC Avant Garde" w:hAnsi="ITC Avant Garde" w:cs="Arial"/>
          <w:b/>
          <w:sz w:val="24"/>
        </w:rPr>
        <w:t xml:space="preserve">. </w:t>
      </w:r>
      <w:r w:rsidR="00DF774E" w:rsidRPr="00DF774E">
        <w:rPr>
          <w:rFonts w:ascii="ITC Avant Garde" w:hAnsi="ITC Avant Garde" w:cs="Arial"/>
          <w:b/>
          <w:sz w:val="24"/>
        </w:rPr>
        <w:t>Existencia de Poder Sustancial</w:t>
      </w:r>
      <w:r w:rsidR="00771912">
        <w:rPr>
          <w:rStyle w:val="Refdenotaalpie"/>
          <w:rFonts w:ascii="ITC Avant Garde" w:hAnsi="ITC Avant Garde" w:cs="Arial"/>
          <w:b/>
          <w:sz w:val="24"/>
        </w:rPr>
        <w:footnoteReference w:id="38"/>
      </w:r>
    </w:p>
    <w:p w:rsidR="00072915" w:rsidRPr="00072915" w:rsidRDefault="009D5FF5" w:rsidP="00072915">
      <w:pPr>
        <w:spacing w:line="240" w:lineRule="auto"/>
        <w:jc w:val="both"/>
        <w:rPr>
          <w:rFonts w:ascii="ITC Avant Garde" w:hAnsi="ITC Avant Garde"/>
          <w:b/>
          <w:color w:val="0000FF"/>
          <w:sz w:val="24"/>
        </w:rPr>
      </w:pPr>
      <w:r w:rsidRPr="00A37710">
        <w:rPr>
          <w:rFonts w:ascii="ITC Avant Garde" w:hAnsi="ITC Avant Garde" w:cs="Arial"/>
          <w:sz w:val="24"/>
        </w:rPr>
        <w:t xml:space="preserve">Previamente a la operación que se analiza, en los ciento dos mercados relevantes, los índices de concentración superaban los umbrales de los 2,000 (dos mil) puntos del </w:t>
      </w:r>
      <w:r w:rsidRPr="00BD3BC1">
        <w:rPr>
          <w:rFonts w:ascii="ITC Avant Garde" w:hAnsi="ITC Avant Garde" w:cs="Arial"/>
          <w:sz w:val="24"/>
        </w:rPr>
        <w:t>IH</w:t>
      </w:r>
      <w:r>
        <w:rPr>
          <w:rFonts w:ascii="ITC Avant Garde" w:hAnsi="ITC Avant Garde" w:cs="Arial"/>
          <w:sz w:val="24"/>
        </w:rPr>
        <w:t>H</w:t>
      </w:r>
      <w:r w:rsidRPr="00A37710">
        <w:rPr>
          <w:rFonts w:ascii="ITC Avant Garde" w:hAnsi="ITC Avant Garde" w:cs="Arial"/>
          <w:sz w:val="24"/>
        </w:rPr>
        <w:t xml:space="preserve"> y los 2,500 (dos mil quinientos) puntos del ID,</w:t>
      </w:r>
      <w:r w:rsidR="00072915" w:rsidRPr="00072915">
        <w:rPr>
          <w:rFonts w:ascii="ITC Avant Garde" w:hAnsi="ITC Avant Garde"/>
          <w:b/>
          <w:color w:val="0000FF"/>
          <w:sz w:val="24"/>
        </w:rPr>
        <w:t xml:space="preserve"> “CONFIDENCIAL POR LEY”</w:t>
      </w:r>
    </w:p>
    <w:p w:rsidR="009D5FF5" w:rsidRPr="000F54B8" w:rsidRDefault="009D5FF5" w:rsidP="009D5FF5">
      <w:pPr>
        <w:spacing w:line="240" w:lineRule="auto"/>
        <w:jc w:val="both"/>
        <w:rPr>
          <w:rFonts w:ascii="ITC Avant Garde" w:hAnsi="ITC Avant Garde"/>
          <w:color w:val="000000" w:themeColor="text1"/>
          <w:sz w:val="24"/>
        </w:rPr>
      </w:pPr>
      <w:r w:rsidRPr="00A37710">
        <w:rPr>
          <w:rFonts w:ascii="ITC Avant Garde" w:hAnsi="ITC Avant Garde" w:cs="Arial"/>
          <w:sz w:val="24"/>
        </w:rPr>
        <w:t>Posterior a la operación, los lH</w:t>
      </w:r>
      <w:r>
        <w:rPr>
          <w:rFonts w:ascii="ITC Avant Garde" w:hAnsi="ITC Avant Garde" w:cs="Arial"/>
          <w:sz w:val="24"/>
        </w:rPr>
        <w:t>H</w:t>
      </w:r>
      <w:r w:rsidRPr="00A37710">
        <w:rPr>
          <w:rFonts w:ascii="ITC Avant Garde" w:hAnsi="ITC Avant Garde" w:cs="Arial"/>
          <w:sz w:val="24"/>
        </w:rPr>
        <w:t xml:space="preserve"> e lD aumentaron en todos los mercados y agudizaron los umbrales de los índices de concentración. En todos los mercados excepto en</w:t>
      </w:r>
      <w:r w:rsidR="00072915">
        <w:rPr>
          <w:rFonts w:ascii="ITC Avant Garde" w:hAnsi="ITC Avant Garde" w:cs="Arial"/>
          <w:sz w:val="24"/>
        </w:rPr>
        <w:t xml:space="preserve"> </w:t>
      </w:r>
      <w:r w:rsidR="00072915" w:rsidRPr="00072915">
        <w:rPr>
          <w:rFonts w:ascii="ITC Avant Garde" w:hAnsi="ITC Avant Garde"/>
          <w:b/>
          <w:color w:val="0000FF"/>
          <w:sz w:val="24"/>
        </w:rPr>
        <w:t>“CONFIDENCIAL POR LEY”</w:t>
      </w:r>
      <w:r w:rsidRPr="00A37710">
        <w:rPr>
          <w:rFonts w:ascii="ITC Avant Garde" w:hAnsi="ITC Avant Garde" w:cs="Arial"/>
          <w:sz w:val="24"/>
        </w:rPr>
        <w:t xml:space="preserve">, el </w:t>
      </w:r>
      <w:r w:rsidRPr="00BD3BC1">
        <w:rPr>
          <w:rFonts w:ascii="ITC Avant Garde" w:hAnsi="ITC Avant Garde" w:cs="Arial"/>
          <w:sz w:val="24"/>
        </w:rPr>
        <w:t>IH</w:t>
      </w:r>
      <w:r>
        <w:rPr>
          <w:rFonts w:ascii="ITC Avant Garde" w:hAnsi="ITC Avant Garde" w:cs="Arial"/>
          <w:sz w:val="24"/>
        </w:rPr>
        <w:t>H</w:t>
      </w:r>
      <w:r w:rsidRPr="00A37710">
        <w:rPr>
          <w:rFonts w:ascii="ITC Avant Garde" w:hAnsi="ITC Avant Garde" w:cs="Arial"/>
          <w:sz w:val="24"/>
        </w:rPr>
        <w:t xml:space="preserve"> se incrementó en más de </w:t>
      </w:r>
      <w:r w:rsidR="00072915" w:rsidRPr="00072915">
        <w:rPr>
          <w:rFonts w:ascii="ITC Avant Garde" w:hAnsi="ITC Avant Garde"/>
          <w:b/>
          <w:color w:val="0000FF"/>
          <w:sz w:val="24"/>
        </w:rPr>
        <w:t>“CONFIDENCIAL POR LEY”</w:t>
      </w:r>
      <w:r w:rsidR="00072915">
        <w:rPr>
          <w:rFonts w:ascii="ITC Avant Garde" w:hAnsi="ITC Avant Garde"/>
          <w:b/>
          <w:color w:val="0000FF"/>
          <w:sz w:val="24"/>
        </w:rPr>
        <w:t xml:space="preserve"> </w:t>
      </w:r>
      <w:r w:rsidRPr="00A37710">
        <w:rPr>
          <w:rFonts w:ascii="ITC Avant Garde" w:hAnsi="ITC Avant Garde" w:cs="Arial"/>
          <w:sz w:val="24"/>
        </w:rPr>
        <w:t xml:space="preserve">puntos. Asimismo, en todos los mercados, excepto en </w:t>
      </w:r>
      <w:r w:rsidR="00072915" w:rsidRPr="00072915">
        <w:rPr>
          <w:rFonts w:ascii="ITC Avant Garde" w:hAnsi="ITC Avant Garde"/>
          <w:b/>
          <w:color w:val="0000FF"/>
          <w:sz w:val="24"/>
        </w:rPr>
        <w:t>“CONFIDENCIAL POR LEY”</w:t>
      </w:r>
      <w:r w:rsidR="00072915">
        <w:rPr>
          <w:rFonts w:ascii="ITC Avant Garde" w:hAnsi="ITC Avant Garde"/>
          <w:b/>
          <w:color w:val="0000FF"/>
          <w:sz w:val="24"/>
        </w:rPr>
        <w:t xml:space="preserve"> </w:t>
      </w:r>
      <w:r w:rsidR="00571141">
        <w:rPr>
          <w:rFonts w:ascii="ITC Avant Garde" w:hAnsi="ITC Avant Garde" w:cs="Arial"/>
          <w:sz w:val="24"/>
        </w:rPr>
        <w:t>en los que el IHH no se incrementó en más de</w:t>
      </w:r>
      <w:r w:rsidR="00072915">
        <w:rPr>
          <w:rFonts w:ascii="ITC Avant Garde" w:hAnsi="ITC Avant Garde" w:cs="Arial"/>
          <w:sz w:val="24"/>
        </w:rPr>
        <w:t xml:space="preserve"> </w:t>
      </w:r>
      <w:r w:rsidR="00072915" w:rsidRPr="00072915">
        <w:rPr>
          <w:rFonts w:ascii="ITC Avant Garde" w:hAnsi="ITC Avant Garde"/>
          <w:b/>
          <w:color w:val="0000FF"/>
          <w:sz w:val="24"/>
        </w:rPr>
        <w:t>“CONFIDENCIAL POR LEY”</w:t>
      </w:r>
      <w:r w:rsidR="00571141">
        <w:rPr>
          <w:rFonts w:ascii="ITC Avant Garde" w:hAnsi="ITC Avant Garde" w:cs="Arial"/>
          <w:sz w:val="24"/>
        </w:rPr>
        <w:t xml:space="preserve">, </w:t>
      </w:r>
      <w:r w:rsidRPr="00A37710">
        <w:rPr>
          <w:rFonts w:ascii="ITC Avant Garde" w:hAnsi="ITC Avant Garde" w:cs="Arial"/>
          <w:sz w:val="24"/>
        </w:rPr>
        <w:t xml:space="preserve">el ID no disminuye. Estos </w:t>
      </w:r>
      <w:r w:rsidR="00072915" w:rsidRPr="00072915">
        <w:rPr>
          <w:rFonts w:ascii="ITC Avant Garde" w:hAnsi="ITC Avant Garde"/>
          <w:b/>
          <w:color w:val="0000FF"/>
          <w:sz w:val="24"/>
        </w:rPr>
        <w:t>“CONFIDENCIAL POR LEY”</w:t>
      </w:r>
      <w:r w:rsidR="00072915">
        <w:rPr>
          <w:rFonts w:ascii="ITC Avant Garde" w:hAnsi="ITC Avant Garde"/>
          <w:b/>
          <w:color w:val="0000FF"/>
          <w:sz w:val="24"/>
        </w:rPr>
        <w:t xml:space="preserve"> </w:t>
      </w:r>
      <w:r w:rsidRPr="00A37710">
        <w:rPr>
          <w:rFonts w:ascii="ITC Avant Garde" w:hAnsi="ITC Avant Garde" w:cs="Arial"/>
          <w:sz w:val="24"/>
        </w:rPr>
        <w:t>municipios se excluyen de los 102 (ciento dos) analizados, al ser los únicos que de acuerdo a los criterios de la Comisión Federal de Competencia, podrían no verse afectados en el proceso de competencia y libre concurrencia en los mercados relevantes del STAR.</w:t>
      </w:r>
    </w:p>
    <w:p w:rsidR="009D5FF5" w:rsidRPr="00072915" w:rsidRDefault="009D5FF5" w:rsidP="009D5FF5">
      <w:pPr>
        <w:spacing w:line="240" w:lineRule="auto"/>
        <w:jc w:val="both"/>
        <w:rPr>
          <w:rFonts w:ascii="ITC Avant Garde" w:hAnsi="ITC Avant Garde"/>
          <w:b/>
          <w:color w:val="0000FF"/>
          <w:sz w:val="24"/>
        </w:rPr>
      </w:pPr>
      <w:r w:rsidRPr="00A37710">
        <w:rPr>
          <w:rFonts w:ascii="ITC Avant Garde" w:hAnsi="ITC Avant Garde" w:cs="Arial"/>
          <w:sz w:val="24"/>
        </w:rPr>
        <w:t>Sin embargo, del análisis de los lH</w:t>
      </w:r>
      <w:r w:rsidR="00252E38">
        <w:rPr>
          <w:rFonts w:ascii="ITC Avant Garde" w:hAnsi="ITC Avant Garde" w:cs="Arial"/>
          <w:sz w:val="24"/>
        </w:rPr>
        <w:t>H</w:t>
      </w:r>
      <w:r w:rsidRPr="00A37710">
        <w:rPr>
          <w:rFonts w:ascii="ITC Avant Garde" w:hAnsi="ITC Avant Garde" w:cs="Arial"/>
          <w:sz w:val="24"/>
        </w:rPr>
        <w:t xml:space="preserve"> e lD posterior a la concentración, se concluyó que </w:t>
      </w:r>
      <w:r w:rsidR="00072915" w:rsidRPr="00072915">
        <w:rPr>
          <w:rFonts w:ascii="ITC Avant Garde" w:hAnsi="ITC Avant Garde"/>
          <w:b/>
          <w:color w:val="0000FF"/>
          <w:sz w:val="24"/>
        </w:rPr>
        <w:t>“CONFIDENCIAL POR LEY”</w:t>
      </w:r>
      <w:r w:rsidR="00072915">
        <w:rPr>
          <w:rFonts w:ascii="ITC Avant Garde" w:hAnsi="ITC Avant Garde"/>
          <w:b/>
          <w:color w:val="0000FF"/>
          <w:sz w:val="24"/>
        </w:rPr>
        <w:t xml:space="preserve"> </w:t>
      </w:r>
      <w:r w:rsidRPr="00A37710">
        <w:rPr>
          <w:rFonts w:ascii="ITC Avant Garde" w:hAnsi="ITC Avant Garde" w:cs="Arial"/>
          <w:sz w:val="24"/>
        </w:rPr>
        <w:t xml:space="preserve">mercados relevantes, obstruyendo la dinámica competitiva. </w:t>
      </w:r>
    </w:p>
    <w:p w:rsidR="00072915" w:rsidRPr="00072915" w:rsidRDefault="00072915" w:rsidP="00072915">
      <w:pPr>
        <w:spacing w:line="240" w:lineRule="auto"/>
        <w:jc w:val="both"/>
        <w:rPr>
          <w:rFonts w:ascii="ITC Avant Garde" w:hAnsi="ITC Avant Garde"/>
          <w:b/>
          <w:color w:val="0000FF"/>
          <w:sz w:val="24"/>
        </w:rPr>
      </w:pPr>
      <w:r w:rsidRPr="00072915">
        <w:rPr>
          <w:rFonts w:ascii="ITC Avant Garde" w:hAnsi="ITC Avant Garde"/>
          <w:b/>
          <w:color w:val="0000FF"/>
          <w:sz w:val="24"/>
        </w:rPr>
        <w:t>“CONFIDENCIAL POR LEY”</w:t>
      </w:r>
    </w:p>
    <w:p w:rsidR="009D5FF5" w:rsidRPr="000F54B8" w:rsidRDefault="009D5FF5" w:rsidP="009D5FF5">
      <w:pPr>
        <w:spacing w:line="240" w:lineRule="auto"/>
        <w:jc w:val="both"/>
        <w:rPr>
          <w:rFonts w:ascii="ITC Avant Garde" w:hAnsi="ITC Avant Garde"/>
          <w:color w:val="000000" w:themeColor="text1"/>
          <w:sz w:val="24"/>
        </w:rPr>
      </w:pPr>
      <w:r w:rsidRPr="00A37710">
        <w:rPr>
          <w:rFonts w:ascii="ITC Avant Garde" w:hAnsi="ITC Avant Garde" w:cs="Arial"/>
          <w:sz w:val="24"/>
        </w:rPr>
        <w:t>La dinámica competitiva observada entre los años dos mil nueve a dos mil trece, se ve mayormente obstaculizada al llevarse a cabo la concentración, dado que GTV adquiere a su principal rival en</w:t>
      </w:r>
      <w:r w:rsidR="00072915">
        <w:rPr>
          <w:rFonts w:ascii="ITC Avant Garde" w:hAnsi="ITC Avant Garde" w:cs="Arial"/>
          <w:sz w:val="24"/>
        </w:rPr>
        <w:t xml:space="preserve"> </w:t>
      </w:r>
      <w:r w:rsidR="00072915" w:rsidRPr="00072915">
        <w:rPr>
          <w:rFonts w:ascii="ITC Avant Garde" w:hAnsi="ITC Avant Garde"/>
          <w:b/>
          <w:color w:val="0000FF"/>
          <w:sz w:val="24"/>
        </w:rPr>
        <w:t>“CONFIDENCIAL POR LEY”</w:t>
      </w:r>
      <w:r w:rsidRPr="00A37710">
        <w:rPr>
          <w:rFonts w:ascii="ITC Avant Garde" w:hAnsi="ITC Avant Garde" w:cs="Arial"/>
          <w:sz w:val="24"/>
        </w:rPr>
        <w:t xml:space="preserve"> mercados relevantes.</w:t>
      </w:r>
    </w:p>
    <w:p w:rsidR="009D5FF5" w:rsidRPr="00A37710" w:rsidRDefault="00C66911" w:rsidP="009D5FF5">
      <w:pPr>
        <w:spacing w:line="240" w:lineRule="auto"/>
        <w:jc w:val="both"/>
        <w:rPr>
          <w:rFonts w:ascii="ITC Avant Garde" w:hAnsi="ITC Avant Garde" w:cs="Arial"/>
          <w:b/>
          <w:sz w:val="24"/>
        </w:rPr>
      </w:pPr>
      <w:r>
        <w:rPr>
          <w:rFonts w:ascii="ITC Avant Garde" w:hAnsi="ITC Avant Garde" w:cs="Arial"/>
          <w:b/>
          <w:sz w:val="24"/>
        </w:rPr>
        <w:t>4. Conclusiones del OPR</w:t>
      </w:r>
    </w:p>
    <w:p w:rsidR="009D5FF5" w:rsidRPr="00A37710" w:rsidRDefault="009D5FF5" w:rsidP="009D5FF5">
      <w:pPr>
        <w:spacing w:line="240" w:lineRule="auto"/>
        <w:jc w:val="both"/>
        <w:rPr>
          <w:rFonts w:ascii="ITC Avant Garde" w:hAnsi="ITC Avant Garde" w:cs="Arial"/>
          <w:sz w:val="24"/>
        </w:rPr>
      </w:pPr>
      <w:r w:rsidRPr="00A37710">
        <w:rPr>
          <w:rFonts w:ascii="ITC Avant Garde" w:hAnsi="ITC Avant Garde" w:cs="Arial"/>
          <w:sz w:val="24"/>
        </w:rPr>
        <w:lastRenderedPageBreak/>
        <w:t xml:space="preserve">Al ocurrir la concentración entre los dos principales competidores, se obstruyó la dinámica competitiva observada entre los años previos a la concentración (2009-2013) y por ende reforzó la asimetría entre los competidores y el agente económico concentrado. Asimismo, existen barreras a la entrada en los mercados relevantes, por lo que un nuevo agente económico enfrentaría costos hundidos, incertidumbre sobre recuperación </w:t>
      </w:r>
      <w:r>
        <w:rPr>
          <w:rFonts w:ascii="ITC Avant Garde" w:hAnsi="ITC Avant Garde" w:cs="Arial"/>
          <w:sz w:val="24"/>
        </w:rPr>
        <w:t xml:space="preserve">de la inversión </w:t>
      </w:r>
      <w:r w:rsidRPr="00A37710">
        <w:rPr>
          <w:rFonts w:ascii="ITC Avant Garde" w:hAnsi="ITC Avant Garde" w:cs="Arial"/>
          <w:sz w:val="24"/>
        </w:rPr>
        <w:t>y, además, tendría que adquirir insumos importantes de su competidor.</w:t>
      </w:r>
    </w:p>
    <w:p w:rsidR="007209B9" w:rsidRDefault="00D57901" w:rsidP="00D57901">
      <w:pPr>
        <w:spacing w:line="240" w:lineRule="auto"/>
        <w:jc w:val="both"/>
        <w:rPr>
          <w:rFonts w:ascii="ITC Avant Garde" w:hAnsi="ITC Avant Garde" w:cs="Arial"/>
          <w:sz w:val="24"/>
        </w:rPr>
      </w:pPr>
      <w:r>
        <w:rPr>
          <w:rFonts w:ascii="ITC Avant Garde" w:hAnsi="ITC Avant Garde" w:cs="Arial"/>
          <w:sz w:val="24"/>
        </w:rPr>
        <w:t>S</w:t>
      </w:r>
      <w:r w:rsidR="00774DF9">
        <w:rPr>
          <w:rFonts w:ascii="ITC Avant Garde" w:hAnsi="ITC Avant Garde" w:cs="Arial"/>
          <w:sz w:val="24"/>
        </w:rPr>
        <w:t>e señaló</w:t>
      </w:r>
      <w:r w:rsidRPr="00D57901">
        <w:rPr>
          <w:rFonts w:ascii="ITC Avant Garde" w:hAnsi="ITC Avant Garde" w:cs="Arial"/>
          <w:sz w:val="24"/>
        </w:rPr>
        <w:t xml:space="preserve"> que </w:t>
      </w:r>
      <w:r w:rsidR="00B9009C">
        <w:rPr>
          <w:rFonts w:ascii="ITC Avant Garde" w:hAnsi="ITC Avant Garde" w:cs="Arial"/>
          <w:sz w:val="24"/>
        </w:rPr>
        <w:t>la</w:t>
      </w:r>
      <w:r w:rsidRPr="00D57901">
        <w:rPr>
          <w:rFonts w:ascii="ITC Avant Garde" w:hAnsi="ITC Avant Garde" w:cs="Arial"/>
          <w:sz w:val="24"/>
        </w:rPr>
        <w:t xml:space="preserve"> concentr</w:t>
      </w:r>
      <w:r>
        <w:rPr>
          <w:rFonts w:ascii="ITC Avant Garde" w:hAnsi="ITC Avant Garde" w:cs="Arial"/>
          <w:sz w:val="24"/>
        </w:rPr>
        <w:t>a</w:t>
      </w:r>
      <w:r w:rsidRPr="00D57901">
        <w:rPr>
          <w:rFonts w:ascii="ITC Avant Garde" w:hAnsi="ITC Avant Garde" w:cs="Arial"/>
          <w:sz w:val="24"/>
        </w:rPr>
        <w:t xml:space="preserve">ción que </w:t>
      </w:r>
      <w:r>
        <w:rPr>
          <w:rFonts w:ascii="ITC Avant Garde" w:hAnsi="ITC Avant Garde" w:cs="Arial"/>
          <w:sz w:val="24"/>
        </w:rPr>
        <w:t xml:space="preserve">GTV realizó </w:t>
      </w:r>
      <w:r w:rsidR="003A3BD0">
        <w:rPr>
          <w:rFonts w:ascii="ITC Avant Garde" w:hAnsi="ITC Avant Garde" w:cs="Arial"/>
          <w:sz w:val="24"/>
        </w:rPr>
        <w:t xml:space="preserve">con su competidor más importante, </w:t>
      </w:r>
      <w:r w:rsidR="00740170">
        <w:rPr>
          <w:rFonts w:ascii="ITC Avant Garde" w:hAnsi="ITC Avant Garde" w:cs="Arial"/>
          <w:sz w:val="24"/>
        </w:rPr>
        <w:t>consolidaría</w:t>
      </w:r>
      <w:r w:rsidRPr="00D57901">
        <w:rPr>
          <w:rFonts w:ascii="ITC Avant Garde" w:hAnsi="ITC Avant Garde" w:cs="Arial"/>
          <w:sz w:val="24"/>
        </w:rPr>
        <w:t xml:space="preserve"> </w:t>
      </w:r>
      <w:r w:rsidR="003802F2">
        <w:rPr>
          <w:rFonts w:ascii="ITC Avant Garde" w:hAnsi="ITC Avant Garde" w:cs="Arial"/>
          <w:sz w:val="24"/>
        </w:rPr>
        <w:t>a</w:t>
      </w:r>
      <w:r w:rsidR="003802F2" w:rsidRPr="00D57901">
        <w:rPr>
          <w:rFonts w:ascii="ITC Avant Garde" w:hAnsi="ITC Avant Garde" w:cs="Arial"/>
          <w:sz w:val="24"/>
        </w:rPr>
        <w:t xml:space="preserve"> </w:t>
      </w:r>
      <w:r w:rsidR="00072915" w:rsidRPr="00072915">
        <w:rPr>
          <w:rFonts w:ascii="ITC Avant Garde" w:hAnsi="ITC Avant Garde"/>
          <w:b/>
          <w:color w:val="0000FF"/>
          <w:sz w:val="24"/>
        </w:rPr>
        <w:t>“CONFIDENCIAL POR LEY”</w:t>
      </w:r>
      <w:r w:rsidR="00072915" w:rsidRPr="00A37710">
        <w:rPr>
          <w:rFonts w:ascii="ITC Avant Garde" w:hAnsi="ITC Avant Garde" w:cs="Arial"/>
          <w:sz w:val="24"/>
        </w:rPr>
        <w:t xml:space="preserve"> </w:t>
      </w:r>
      <w:r w:rsidRPr="00D57901">
        <w:rPr>
          <w:rFonts w:ascii="ITC Avant Garde" w:hAnsi="ITC Avant Garde" w:cs="Arial"/>
          <w:sz w:val="24"/>
        </w:rPr>
        <w:t>con el</w:t>
      </w:r>
      <w:r w:rsidR="003A3BD0">
        <w:rPr>
          <w:rFonts w:ascii="ITC Avant Garde" w:hAnsi="ITC Avant Garde" w:cs="Arial"/>
          <w:sz w:val="24"/>
        </w:rPr>
        <w:t xml:space="preserve"> poder de fijar precios unilateralmente o restringir el abasto o suministro en el mercado relevante, </w:t>
      </w:r>
      <w:r w:rsidR="00CD3F1D">
        <w:rPr>
          <w:rFonts w:ascii="ITC Avant Garde" w:hAnsi="ITC Avant Garde" w:cs="Arial"/>
          <w:sz w:val="24"/>
        </w:rPr>
        <w:t xml:space="preserve">otorgando a </w:t>
      </w:r>
      <w:r w:rsidR="00072915" w:rsidRPr="00072915">
        <w:rPr>
          <w:rFonts w:ascii="ITC Avant Garde" w:hAnsi="ITC Avant Garde"/>
          <w:b/>
          <w:color w:val="0000FF"/>
          <w:sz w:val="24"/>
        </w:rPr>
        <w:t>“CONFIDENCIAL POR LEY”</w:t>
      </w:r>
      <w:r w:rsidR="00072915" w:rsidRPr="00A37710">
        <w:rPr>
          <w:rFonts w:ascii="ITC Avant Garde" w:hAnsi="ITC Avant Garde" w:cs="Arial"/>
          <w:sz w:val="24"/>
        </w:rPr>
        <w:t xml:space="preserve"> </w:t>
      </w:r>
      <w:r w:rsidR="00CD3F1D">
        <w:rPr>
          <w:rFonts w:ascii="ITC Avant Garde" w:hAnsi="ITC Avant Garde" w:cs="Arial"/>
          <w:sz w:val="24"/>
        </w:rPr>
        <w:t xml:space="preserve">la posibilidad de controlar dos plataformas del STAR: satelital y cable, lo que le permitiría administrar su política de precios por paquete, maximizando conjuntamente sus beneficios, </w:t>
      </w:r>
      <w:r w:rsidR="003A3BD0">
        <w:rPr>
          <w:rFonts w:ascii="ITC Avant Garde" w:hAnsi="ITC Avant Garde" w:cs="Arial"/>
          <w:sz w:val="24"/>
        </w:rPr>
        <w:t xml:space="preserve">sin que los agentes competidores </w:t>
      </w:r>
      <w:r w:rsidR="00774DF9">
        <w:rPr>
          <w:rFonts w:ascii="ITC Avant Garde" w:hAnsi="ITC Avant Garde" w:cs="Arial"/>
          <w:sz w:val="24"/>
        </w:rPr>
        <w:t>pudieran</w:t>
      </w:r>
      <w:r w:rsidR="003A3BD0">
        <w:rPr>
          <w:rFonts w:ascii="ITC Avant Garde" w:hAnsi="ITC Avant Garde" w:cs="Arial"/>
          <w:sz w:val="24"/>
        </w:rPr>
        <w:t xml:space="preserve"> contrarrestar dicho poder.</w:t>
      </w:r>
      <w:r w:rsidR="00CD3F1D">
        <w:rPr>
          <w:rFonts w:ascii="ITC Avant Garde" w:hAnsi="ITC Avant Garde" w:cs="Arial"/>
          <w:sz w:val="24"/>
        </w:rPr>
        <w:t xml:space="preserve"> </w:t>
      </w:r>
    </w:p>
    <w:p w:rsidR="008E56A8" w:rsidRDefault="00740170" w:rsidP="003A3BD0">
      <w:pPr>
        <w:spacing w:line="240" w:lineRule="auto"/>
        <w:jc w:val="both"/>
        <w:rPr>
          <w:rFonts w:ascii="ITC Avant Garde" w:hAnsi="ITC Avant Garde" w:cs="Arial"/>
          <w:sz w:val="24"/>
        </w:rPr>
      </w:pPr>
      <w:r>
        <w:rPr>
          <w:rFonts w:ascii="ITC Avant Garde" w:hAnsi="ITC Avant Garde" w:cs="Arial"/>
          <w:sz w:val="24"/>
        </w:rPr>
        <w:t>Tomando en cuenta</w:t>
      </w:r>
      <w:r w:rsidR="003A3BD0">
        <w:rPr>
          <w:rFonts w:ascii="ITC Avant Garde" w:hAnsi="ITC Avant Garde" w:cs="Arial"/>
          <w:sz w:val="24"/>
        </w:rPr>
        <w:t xml:space="preserve"> los aspectos a</w:t>
      </w:r>
      <w:r w:rsidR="003A3BD0" w:rsidRPr="003A3BD0">
        <w:rPr>
          <w:rFonts w:ascii="ITC Avant Garde" w:hAnsi="ITC Avant Garde" w:cs="Arial"/>
          <w:sz w:val="24"/>
        </w:rPr>
        <w:t>nteriores</w:t>
      </w:r>
      <w:r w:rsidR="003A3BD0">
        <w:rPr>
          <w:rFonts w:ascii="ITC Avant Garde" w:hAnsi="ITC Avant Garde" w:cs="Arial"/>
          <w:sz w:val="24"/>
        </w:rPr>
        <w:t>,</w:t>
      </w:r>
      <w:r w:rsidR="00A57AB4">
        <w:rPr>
          <w:rFonts w:ascii="ITC Avant Garde" w:hAnsi="ITC Avant Garde" w:cs="Arial"/>
          <w:sz w:val="24"/>
        </w:rPr>
        <w:t xml:space="preserve"> el OPR señaló que la </w:t>
      </w:r>
      <w:r w:rsidR="003A3BD0">
        <w:rPr>
          <w:rFonts w:ascii="ITC Avant Garde" w:hAnsi="ITC Avant Garde" w:cs="Arial"/>
          <w:sz w:val="24"/>
        </w:rPr>
        <w:t xml:space="preserve">concentración analizada </w:t>
      </w:r>
      <w:r w:rsidR="00A57AB4">
        <w:rPr>
          <w:rFonts w:ascii="ITC Avant Garde" w:hAnsi="ITC Avant Garde" w:cs="Arial"/>
          <w:sz w:val="24"/>
        </w:rPr>
        <w:t>otorgó</w:t>
      </w:r>
      <w:r w:rsidR="003A3BD0" w:rsidRPr="003A3BD0">
        <w:rPr>
          <w:rFonts w:ascii="ITC Avant Garde" w:hAnsi="ITC Avant Garde" w:cs="Arial"/>
          <w:sz w:val="24"/>
        </w:rPr>
        <w:t xml:space="preserve"> </w:t>
      </w:r>
      <w:r w:rsidR="003802F2">
        <w:rPr>
          <w:rFonts w:ascii="ITC Avant Garde" w:hAnsi="ITC Avant Garde" w:cs="Arial"/>
          <w:sz w:val="24"/>
        </w:rPr>
        <w:t>a</w:t>
      </w:r>
      <w:r w:rsidR="003802F2" w:rsidRPr="003A3BD0">
        <w:rPr>
          <w:rFonts w:ascii="ITC Avant Garde" w:hAnsi="ITC Avant Garde" w:cs="Arial"/>
          <w:sz w:val="24"/>
        </w:rPr>
        <w:t xml:space="preserve"> </w:t>
      </w:r>
      <w:r w:rsidR="003A3BD0">
        <w:rPr>
          <w:rFonts w:ascii="ITC Avant Garde" w:hAnsi="ITC Avant Garde" w:cs="Arial"/>
          <w:sz w:val="24"/>
        </w:rPr>
        <w:t>GTV los incentivos y la capacidad de desplazar a otros a</w:t>
      </w:r>
      <w:r w:rsidR="00072915">
        <w:rPr>
          <w:rFonts w:ascii="ITC Avant Garde" w:hAnsi="ITC Avant Garde" w:cs="Arial"/>
          <w:sz w:val="24"/>
        </w:rPr>
        <w:t xml:space="preserve">gentes económicos, como es </w:t>
      </w:r>
      <w:r w:rsidR="00072915" w:rsidRPr="00072915">
        <w:rPr>
          <w:rFonts w:ascii="ITC Avant Garde" w:hAnsi="ITC Avant Garde"/>
          <w:b/>
          <w:color w:val="0000FF"/>
          <w:sz w:val="24"/>
        </w:rPr>
        <w:t>“CONFIDENCIAL POR LEY”</w:t>
      </w:r>
      <w:r w:rsidR="003A3BD0" w:rsidRPr="003A3BD0">
        <w:rPr>
          <w:rFonts w:ascii="ITC Avant Garde" w:hAnsi="ITC Avant Garde" w:cs="Arial"/>
          <w:sz w:val="24"/>
        </w:rPr>
        <w:t xml:space="preserve"> o impe</w:t>
      </w:r>
      <w:r w:rsidR="003A3BD0">
        <w:rPr>
          <w:rFonts w:ascii="ITC Avant Garde" w:hAnsi="ITC Avant Garde" w:cs="Arial"/>
          <w:sz w:val="24"/>
        </w:rPr>
        <w:t xml:space="preserve">dir el acceso </w:t>
      </w:r>
      <w:r w:rsidR="003802F2">
        <w:rPr>
          <w:rFonts w:ascii="ITC Avant Garde" w:hAnsi="ITC Avant Garde" w:cs="Arial"/>
          <w:sz w:val="24"/>
        </w:rPr>
        <w:t xml:space="preserve">a </w:t>
      </w:r>
      <w:r w:rsidR="003A3BD0">
        <w:rPr>
          <w:rFonts w:ascii="ITC Avant Garde" w:hAnsi="ITC Avant Garde" w:cs="Arial"/>
          <w:sz w:val="24"/>
        </w:rPr>
        <w:t xml:space="preserve">los </w:t>
      </w:r>
      <w:r w:rsidR="00072915" w:rsidRPr="00072915">
        <w:rPr>
          <w:rFonts w:ascii="ITC Avant Garde" w:hAnsi="ITC Avant Garde"/>
          <w:b/>
          <w:color w:val="0000FF"/>
          <w:sz w:val="24"/>
        </w:rPr>
        <w:t>“CONFIDENCIAL POR LEY”</w:t>
      </w:r>
      <w:r w:rsidR="00072915" w:rsidRPr="00A37710">
        <w:rPr>
          <w:rFonts w:ascii="ITC Avant Garde" w:hAnsi="ITC Avant Garde" w:cs="Arial"/>
          <w:sz w:val="24"/>
        </w:rPr>
        <w:t xml:space="preserve"> </w:t>
      </w:r>
      <w:r w:rsidR="003A3BD0">
        <w:rPr>
          <w:rFonts w:ascii="ITC Avant Garde" w:hAnsi="ITC Avant Garde" w:cs="Arial"/>
          <w:sz w:val="24"/>
        </w:rPr>
        <w:t>mercados releva</w:t>
      </w:r>
      <w:r w:rsidR="003A3BD0" w:rsidRPr="003A3BD0">
        <w:rPr>
          <w:rFonts w:ascii="ITC Avant Garde" w:hAnsi="ITC Avant Garde" w:cs="Arial"/>
          <w:sz w:val="24"/>
        </w:rPr>
        <w:t xml:space="preserve">ntes del </w:t>
      </w:r>
      <w:r w:rsidR="003A3BD0">
        <w:rPr>
          <w:rFonts w:ascii="ITC Avant Garde" w:hAnsi="ITC Avant Garde" w:cs="Arial"/>
          <w:sz w:val="24"/>
        </w:rPr>
        <w:t>STAR.</w:t>
      </w:r>
      <w:r w:rsidR="00A57AB4">
        <w:rPr>
          <w:rFonts w:ascii="ITC Avant Garde" w:hAnsi="ITC Avant Garde" w:cs="Arial"/>
          <w:sz w:val="24"/>
        </w:rPr>
        <w:t xml:space="preserve"> Asimismo, que </w:t>
      </w:r>
      <w:r w:rsidR="003776E8">
        <w:rPr>
          <w:rFonts w:ascii="ITC Avant Garde" w:hAnsi="ITC Avant Garde" w:cs="Arial"/>
          <w:sz w:val="24"/>
        </w:rPr>
        <w:t xml:space="preserve">tuvo </w:t>
      </w:r>
      <w:r w:rsidR="008E3146">
        <w:rPr>
          <w:rFonts w:ascii="ITC Avant Garde" w:hAnsi="ITC Avant Garde" w:cs="Arial"/>
          <w:sz w:val="24"/>
        </w:rPr>
        <w:t>por objeto o efecto facilitar sustancialmente a GTV el ejercicio de prácticas monopólicas a que se refiere el capítulo segundo de la LFCE.</w:t>
      </w:r>
    </w:p>
    <w:p w:rsidR="008E3146" w:rsidRPr="00B95D50" w:rsidRDefault="008E56A8" w:rsidP="003A3BD0">
      <w:pPr>
        <w:spacing w:line="240" w:lineRule="auto"/>
        <w:jc w:val="both"/>
        <w:rPr>
          <w:rFonts w:ascii="ITC Avant Garde" w:hAnsi="ITC Avant Garde" w:cs="Arial"/>
          <w:sz w:val="24"/>
        </w:rPr>
      </w:pPr>
      <w:r>
        <w:rPr>
          <w:rFonts w:ascii="ITC Avant Garde" w:hAnsi="ITC Avant Garde" w:cs="Arial"/>
          <w:sz w:val="24"/>
        </w:rPr>
        <w:t>El OPR concluyó que la concentración creó</w:t>
      </w:r>
      <w:r w:rsidR="008E3146">
        <w:rPr>
          <w:rFonts w:ascii="ITC Avant Garde" w:hAnsi="ITC Avant Garde" w:cs="Arial"/>
          <w:sz w:val="24"/>
        </w:rPr>
        <w:t xml:space="preserve"> incentivos y mecanismos que genera</w:t>
      </w:r>
      <w:r>
        <w:rPr>
          <w:rFonts w:ascii="ITC Avant Garde" w:hAnsi="ITC Avant Garde" w:cs="Arial"/>
          <w:sz w:val="24"/>
        </w:rPr>
        <w:t>ro</w:t>
      </w:r>
      <w:r w:rsidR="008E3146">
        <w:rPr>
          <w:rFonts w:ascii="ITC Avant Garde" w:hAnsi="ITC Avant Garde" w:cs="Arial"/>
          <w:sz w:val="24"/>
        </w:rPr>
        <w:t>n riesgos a la competencia y libre concurrencia en los noventa y siete mercados del STAR, por lo que encuadra dentro de los supuestos jurídicos previstos en los artículos 16, 17 y 18 de la LFCE.</w:t>
      </w:r>
    </w:p>
    <w:p w:rsidR="00D11562" w:rsidRPr="00AE5576" w:rsidRDefault="00D11562" w:rsidP="00AE5576">
      <w:pPr>
        <w:pStyle w:val="Ttulo3"/>
        <w:rPr>
          <w:rFonts w:ascii="ITC Avant Garde" w:hAnsi="ITC Avant Garde"/>
          <w:b/>
          <w:sz w:val="24"/>
          <w:szCs w:val="24"/>
        </w:rPr>
      </w:pPr>
      <w:r w:rsidRPr="00AE5576">
        <w:rPr>
          <w:rFonts w:ascii="ITC Avant Garde" w:hAnsi="ITC Avant Garde"/>
          <w:b/>
          <w:sz w:val="24"/>
          <w:szCs w:val="24"/>
        </w:rPr>
        <w:t xml:space="preserve">TERCERO. </w:t>
      </w:r>
      <w:r w:rsidR="00C66911" w:rsidRPr="00AE5576">
        <w:rPr>
          <w:rFonts w:ascii="ITC Avant Garde" w:hAnsi="ITC Avant Garde"/>
          <w:b/>
          <w:sz w:val="24"/>
          <w:szCs w:val="24"/>
        </w:rPr>
        <w:t>SOLICITUD PARA TENER A ARRETIS COMO CAUSAHABIENTE DE TENEDORA ARES</w:t>
      </w:r>
    </w:p>
    <w:p w:rsidR="00FD1D3F" w:rsidRDefault="004C198F" w:rsidP="00B9009C">
      <w:pPr>
        <w:spacing w:after="120" w:line="240" w:lineRule="auto"/>
        <w:jc w:val="both"/>
        <w:rPr>
          <w:rFonts w:ascii="ITC Avant Garde" w:hAnsi="ITC Avant Garde"/>
          <w:sz w:val="24"/>
        </w:rPr>
      </w:pPr>
      <w:r>
        <w:rPr>
          <w:rFonts w:ascii="ITC Avant Garde" w:hAnsi="ITC Avant Garde"/>
          <w:sz w:val="24"/>
        </w:rPr>
        <w:t>Durante el trámite del procedimiento seguido e</w:t>
      </w:r>
      <w:r w:rsidR="00867291">
        <w:rPr>
          <w:rFonts w:ascii="ITC Avant Garde" w:hAnsi="ITC Avant Garde"/>
          <w:sz w:val="24"/>
        </w:rPr>
        <w:t>n forma de juicio, l</w:t>
      </w:r>
      <w:r w:rsidR="00AA6870" w:rsidRPr="00B95D50">
        <w:rPr>
          <w:rFonts w:ascii="ITC Avant Garde" w:hAnsi="ITC Avant Garde"/>
          <w:sz w:val="24"/>
        </w:rPr>
        <w:t xml:space="preserve">as Emplazadas </w:t>
      </w:r>
      <w:r w:rsidR="00867291">
        <w:rPr>
          <w:rFonts w:ascii="ITC Avant Garde" w:hAnsi="ITC Avant Garde"/>
          <w:sz w:val="24"/>
        </w:rPr>
        <w:t>solicitaron tener a Arretis como causahabiente de Tenedora Ares de conformidad con el Convenio de Fusión presentado en alcance a su Escrito de Contestación al OPR. S</w:t>
      </w:r>
      <w:r w:rsidR="008E3965">
        <w:rPr>
          <w:rFonts w:ascii="ITC Avant Garde" w:hAnsi="ITC Avant Garde"/>
          <w:sz w:val="24"/>
        </w:rPr>
        <w:t xml:space="preserve">in embargo, </w:t>
      </w:r>
      <w:r w:rsidR="00867291">
        <w:rPr>
          <w:rFonts w:ascii="ITC Avant Garde" w:hAnsi="ITC Avant Garde"/>
          <w:sz w:val="24"/>
        </w:rPr>
        <w:t xml:space="preserve">al realizar su </w:t>
      </w:r>
      <w:r w:rsidR="00FD1D3F">
        <w:rPr>
          <w:rFonts w:ascii="ITC Avant Garde" w:hAnsi="ITC Avant Garde"/>
          <w:sz w:val="24"/>
        </w:rPr>
        <w:t xml:space="preserve">solicitud omitieron </w:t>
      </w:r>
      <w:r w:rsidR="008E3965">
        <w:rPr>
          <w:rFonts w:ascii="ITC Avant Garde" w:hAnsi="ITC Avant Garde"/>
          <w:sz w:val="24"/>
        </w:rPr>
        <w:t>acompañar</w:t>
      </w:r>
      <w:r w:rsidR="00FD1D3F">
        <w:rPr>
          <w:rFonts w:ascii="ITC Avant Garde" w:hAnsi="ITC Avant Garde"/>
          <w:sz w:val="24"/>
        </w:rPr>
        <w:t xml:space="preserve"> </w:t>
      </w:r>
      <w:r w:rsidR="008E3965">
        <w:rPr>
          <w:rFonts w:ascii="ITC Avant Garde" w:hAnsi="ITC Avant Garde"/>
          <w:sz w:val="24"/>
        </w:rPr>
        <w:t>la boleta de inscripción que acreditara la inscripción</w:t>
      </w:r>
      <w:r>
        <w:rPr>
          <w:rFonts w:ascii="ITC Avant Garde" w:hAnsi="ITC Avant Garde"/>
          <w:sz w:val="24"/>
        </w:rPr>
        <w:t xml:space="preserve"> de su protocolización</w:t>
      </w:r>
      <w:r w:rsidR="008E3965">
        <w:rPr>
          <w:rFonts w:ascii="ITC Avant Garde" w:hAnsi="ITC Avant Garde"/>
          <w:sz w:val="24"/>
        </w:rPr>
        <w:t xml:space="preserve"> en el Registro Público</w:t>
      </w:r>
      <w:r w:rsidR="00FD1D3F">
        <w:rPr>
          <w:rFonts w:ascii="ITC Avant Garde" w:hAnsi="ITC Avant Garde"/>
          <w:sz w:val="24"/>
        </w:rPr>
        <w:t>.</w:t>
      </w:r>
    </w:p>
    <w:p w:rsidR="00FD1D3F" w:rsidRDefault="00FD1D3F" w:rsidP="00B9009C">
      <w:pPr>
        <w:spacing w:after="120" w:line="240" w:lineRule="auto"/>
        <w:jc w:val="both"/>
        <w:rPr>
          <w:rFonts w:ascii="ITC Avant Garde" w:hAnsi="ITC Avant Garde"/>
          <w:sz w:val="24"/>
        </w:rPr>
      </w:pPr>
      <w:r>
        <w:rPr>
          <w:rFonts w:ascii="ITC Avant Garde" w:hAnsi="ITC Avant Garde"/>
          <w:sz w:val="24"/>
        </w:rPr>
        <w:t>Al respecto,</w:t>
      </w:r>
      <w:r w:rsidR="009706F7" w:rsidRPr="009706F7">
        <w:rPr>
          <w:rFonts w:ascii="ITC Avant Garde" w:hAnsi="ITC Avant Garde"/>
          <w:sz w:val="24"/>
        </w:rPr>
        <w:t xml:space="preserve"> </w:t>
      </w:r>
      <w:r w:rsidR="009706F7">
        <w:rPr>
          <w:rFonts w:ascii="ITC Avant Garde" w:hAnsi="ITC Avant Garde"/>
          <w:sz w:val="24"/>
        </w:rPr>
        <w:t xml:space="preserve">el </w:t>
      </w:r>
      <w:r w:rsidR="009706F7" w:rsidRPr="00B95D50">
        <w:rPr>
          <w:rFonts w:ascii="ITC Avant Garde" w:hAnsi="ITC Avant Garde"/>
          <w:sz w:val="24"/>
        </w:rPr>
        <w:t>siete de diciembre de dos mil dieciséis</w:t>
      </w:r>
      <w:r w:rsidR="009706F7">
        <w:rPr>
          <w:rFonts w:ascii="ITC Avant Garde" w:hAnsi="ITC Avant Garde"/>
          <w:sz w:val="24"/>
        </w:rPr>
        <w:t>,</w:t>
      </w:r>
      <w:r>
        <w:rPr>
          <w:rFonts w:ascii="ITC Avant Garde" w:hAnsi="ITC Avant Garde"/>
          <w:sz w:val="24"/>
        </w:rPr>
        <w:t xml:space="preserve"> el Director General de Procedimientos </w:t>
      </w:r>
      <w:r w:rsidR="009706F7">
        <w:rPr>
          <w:rFonts w:ascii="ITC Avant Garde" w:hAnsi="ITC Avant Garde"/>
          <w:sz w:val="24"/>
        </w:rPr>
        <w:t xml:space="preserve">acordó la imposibilidad para </w:t>
      </w:r>
      <w:r w:rsidR="009D5FF5" w:rsidRPr="00A37710">
        <w:rPr>
          <w:rFonts w:ascii="ITC Avant Garde" w:hAnsi="ITC Avant Garde"/>
          <w:sz w:val="24"/>
        </w:rPr>
        <w:t>proveer</w:t>
      </w:r>
      <w:r w:rsidR="009706F7">
        <w:rPr>
          <w:rFonts w:ascii="ITC Avant Garde" w:hAnsi="ITC Avant Garde"/>
          <w:sz w:val="24"/>
        </w:rPr>
        <w:t xml:space="preserve"> de conformidad a la solicitud de las Emplazadas y realizó una prevención para que en el término de cinco días hábiles siguientes a que el Convenio de Fusión fuera inscrito en el Registro Público, las Emplazadas presentaran la boleta correspondiente. </w:t>
      </w:r>
    </w:p>
    <w:p w:rsidR="00E6725A" w:rsidRDefault="00986A1A" w:rsidP="00B9009C">
      <w:pPr>
        <w:spacing w:after="120" w:line="240" w:lineRule="auto"/>
        <w:jc w:val="both"/>
        <w:rPr>
          <w:rFonts w:ascii="ITC Avant Garde" w:hAnsi="ITC Avant Garde"/>
          <w:sz w:val="24"/>
        </w:rPr>
      </w:pPr>
      <w:r>
        <w:rPr>
          <w:rFonts w:ascii="ITC Avant Garde" w:hAnsi="ITC Avant Garde"/>
          <w:sz w:val="24"/>
        </w:rPr>
        <w:t>En ese tenor</w:t>
      </w:r>
      <w:r w:rsidR="00013313">
        <w:rPr>
          <w:rFonts w:ascii="ITC Avant Garde" w:hAnsi="ITC Avant Garde"/>
          <w:sz w:val="24"/>
        </w:rPr>
        <w:t xml:space="preserve">, </w:t>
      </w:r>
      <w:r>
        <w:rPr>
          <w:rFonts w:ascii="ITC Avant Garde" w:hAnsi="ITC Avant Garde"/>
          <w:sz w:val="24"/>
        </w:rPr>
        <w:t xml:space="preserve">el </w:t>
      </w:r>
      <w:r w:rsidRPr="00B95D50">
        <w:rPr>
          <w:rFonts w:ascii="ITC Avant Garde" w:hAnsi="ITC Avant Garde"/>
          <w:sz w:val="24"/>
        </w:rPr>
        <w:t>veintiséis de enero de dos mil diecisiete</w:t>
      </w:r>
      <w:r w:rsidR="00013313">
        <w:rPr>
          <w:rFonts w:ascii="ITC Avant Garde" w:hAnsi="ITC Avant Garde"/>
          <w:sz w:val="24"/>
        </w:rPr>
        <w:t xml:space="preserve"> las Emplazadas </w:t>
      </w:r>
      <w:r w:rsidR="00013313" w:rsidRPr="00B95D50">
        <w:rPr>
          <w:rFonts w:ascii="ITC Avant Garde" w:hAnsi="ITC Avant Garde"/>
          <w:sz w:val="24"/>
        </w:rPr>
        <w:t>exhibieron</w:t>
      </w:r>
      <w:r w:rsidR="00013313" w:rsidRPr="00B95D50">
        <w:rPr>
          <w:rFonts w:ascii="ITC Avant Garde" w:hAnsi="ITC Avant Garde"/>
          <w:b/>
          <w:sz w:val="24"/>
        </w:rPr>
        <w:t xml:space="preserve"> </w:t>
      </w:r>
      <w:r w:rsidR="00013313" w:rsidRPr="00B95D50">
        <w:rPr>
          <w:rFonts w:ascii="ITC Avant Garde" w:hAnsi="ITC Avant Garde"/>
          <w:sz w:val="24"/>
        </w:rPr>
        <w:t xml:space="preserve">copia certificada del instrumento mediante el cual se protocolizaron las cuatro asambleas generales extraordinarias de accionistas, en las cuales se acordó el </w:t>
      </w:r>
      <w:r w:rsidR="00013313" w:rsidRPr="00B95D50">
        <w:rPr>
          <w:rFonts w:ascii="ITC Avant Garde" w:hAnsi="ITC Avant Garde"/>
          <w:sz w:val="24"/>
        </w:rPr>
        <w:lastRenderedPageBreak/>
        <w:t xml:space="preserve">Convenio de </w:t>
      </w:r>
      <w:r w:rsidR="00013313">
        <w:rPr>
          <w:rFonts w:ascii="ITC Avant Garde" w:hAnsi="ITC Avant Garde"/>
          <w:sz w:val="24"/>
        </w:rPr>
        <w:t xml:space="preserve">Fusión, así como la </w:t>
      </w:r>
      <w:r w:rsidR="00013313" w:rsidRPr="00B95D50">
        <w:rPr>
          <w:rFonts w:ascii="ITC Avant Garde" w:hAnsi="ITC Avant Garde"/>
          <w:sz w:val="24"/>
        </w:rPr>
        <w:t>boleta de inscripc</w:t>
      </w:r>
      <w:r w:rsidR="00E6725A">
        <w:rPr>
          <w:rFonts w:ascii="ITC Avant Garde" w:hAnsi="ITC Avant Garde"/>
          <w:sz w:val="24"/>
        </w:rPr>
        <w:t xml:space="preserve">ión en el Registro Público </w:t>
      </w:r>
      <w:r w:rsidR="00921967">
        <w:rPr>
          <w:rFonts w:ascii="ITC Avant Garde" w:hAnsi="ITC Avant Garde"/>
          <w:sz w:val="24"/>
        </w:rPr>
        <w:t xml:space="preserve">de fecha </w:t>
      </w:r>
      <w:r w:rsidR="00921967" w:rsidRPr="00B95D50">
        <w:rPr>
          <w:rFonts w:ascii="ITC Avant Garde" w:hAnsi="ITC Avant Garde"/>
          <w:sz w:val="24"/>
        </w:rPr>
        <w:t>veinte de enero de dos mil diecisiete con el folio m</w:t>
      </w:r>
      <w:r w:rsidR="00921967">
        <w:rPr>
          <w:rFonts w:ascii="ITC Avant Garde" w:hAnsi="ITC Avant Garde"/>
          <w:sz w:val="24"/>
        </w:rPr>
        <w:t xml:space="preserve">ercantil 422047-1 </w:t>
      </w:r>
      <w:r w:rsidR="00E6725A">
        <w:rPr>
          <w:rFonts w:ascii="ITC Avant Garde" w:hAnsi="ITC Avant Garde"/>
          <w:sz w:val="24"/>
        </w:rPr>
        <w:t xml:space="preserve">y nuevamente solicitaron </w:t>
      </w:r>
      <w:r w:rsidR="00013313" w:rsidRPr="00B95D50">
        <w:rPr>
          <w:rFonts w:ascii="ITC Avant Garde" w:hAnsi="ITC Avant Garde"/>
          <w:sz w:val="24"/>
        </w:rPr>
        <w:t>que se tuviera a Arretis como causahabiente por fusión de Tenedora Ares</w:t>
      </w:r>
      <w:r w:rsidR="00E6725A">
        <w:rPr>
          <w:rFonts w:ascii="ITC Avant Garde" w:hAnsi="ITC Avant Garde"/>
          <w:sz w:val="24"/>
        </w:rPr>
        <w:t>.</w:t>
      </w:r>
    </w:p>
    <w:p w:rsidR="00E6725A" w:rsidRDefault="00E6725A" w:rsidP="00E6725A">
      <w:pPr>
        <w:spacing w:line="240" w:lineRule="auto"/>
        <w:jc w:val="both"/>
        <w:rPr>
          <w:rFonts w:ascii="ITC Avant Garde" w:hAnsi="ITC Avant Garde"/>
          <w:sz w:val="24"/>
        </w:rPr>
      </w:pPr>
      <w:r>
        <w:rPr>
          <w:rFonts w:ascii="ITC Avant Garde" w:hAnsi="ITC Avant Garde"/>
          <w:sz w:val="24"/>
        </w:rPr>
        <w:t xml:space="preserve">Sin embargo, mediante acuerdo emitido en el Expediente el </w:t>
      </w:r>
      <w:r w:rsidRPr="00B95D50">
        <w:rPr>
          <w:rFonts w:ascii="ITC Avant Garde" w:hAnsi="ITC Avant Garde" w:cs="Helvetica"/>
          <w:sz w:val="24"/>
        </w:rPr>
        <w:t xml:space="preserve">treinta y uno de enero de dos mil diecisiete </w:t>
      </w:r>
      <w:r>
        <w:rPr>
          <w:rFonts w:ascii="ITC Avant Garde" w:hAnsi="ITC Avant Garde" w:cs="Helvetica"/>
          <w:sz w:val="24"/>
        </w:rPr>
        <w:t xml:space="preserve">por </w:t>
      </w:r>
      <w:r w:rsidRPr="00B95D50">
        <w:rPr>
          <w:rFonts w:ascii="ITC Avant Garde" w:hAnsi="ITC Avant Garde"/>
          <w:sz w:val="24"/>
        </w:rPr>
        <w:t>el D</w:t>
      </w:r>
      <w:r>
        <w:rPr>
          <w:rFonts w:ascii="ITC Avant Garde" w:hAnsi="ITC Avant Garde"/>
          <w:sz w:val="24"/>
        </w:rPr>
        <w:t xml:space="preserve">irector </w:t>
      </w:r>
      <w:r w:rsidRPr="00B95D50">
        <w:rPr>
          <w:rFonts w:ascii="ITC Avant Garde" w:hAnsi="ITC Avant Garde"/>
          <w:sz w:val="24"/>
        </w:rPr>
        <w:t>G</w:t>
      </w:r>
      <w:r>
        <w:rPr>
          <w:rFonts w:ascii="ITC Avant Garde" w:hAnsi="ITC Avant Garde"/>
          <w:sz w:val="24"/>
        </w:rPr>
        <w:t xml:space="preserve">eneral de </w:t>
      </w:r>
      <w:r w:rsidRPr="00B95D50">
        <w:rPr>
          <w:rFonts w:ascii="ITC Avant Garde" w:hAnsi="ITC Avant Garde"/>
          <w:sz w:val="24"/>
        </w:rPr>
        <w:t>P</w:t>
      </w:r>
      <w:r>
        <w:rPr>
          <w:rFonts w:ascii="ITC Avant Garde" w:hAnsi="ITC Avant Garde"/>
          <w:sz w:val="24"/>
        </w:rPr>
        <w:t>rocedimientos</w:t>
      </w:r>
      <w:r>
        <w:rPr>
          <w:rFonts w:ascii="ITC Avant Garde" w:hAnsi="ITC Avant Garde" w:cs="Helvetica"/>
          <w:sz w:val="24"/>
        </w:rPr>
        <w:t xml:space="preserve">, </w:t>
      </w:r>
      <w:r w:rsidR="0095418A">
        <w:rPr>
          <w:rFonts w:ascii="ITC Avant Garde" w:hAnsi="ITC Avant Garde" w:cs="Helvetica"/>
          <w:sz w:val="24"/>
        </w:rPr>
        <w:t xml:space="preserve">se indicó a las Emplazadas que con fundamento en los artículos </w:t>
      </w:r>
      <w:r>
        <w:rPr>
          <w:rFonts w:ascii="ITC Avant Garde" w:hAnsi="ITC Avant Garde"/>
          <w:sz w:val="24"/>
        </w:rPr>
        <w:t xml:space="preserve">223 y </w:t>
      </w:r>
      <w:r w:rsidRPr="00B95D50">
        <w:rPr>
          <w:rFonts w:ascii="ITC Avant Garde" w:hAnsi="ITC Avant Garde"/>
          <w:sz w:val="24"/>
        </w:rPr>
        <w:t xml:space="preserve">224 de la LGSM, </w:t>
      </w:r>
      <w:r w:rsidR="0095418A">
        <w:rPr>
          <w:rFonts w:ascii="ITC Avant Garde" w:hAnsi="ITC Avant Garde"/>
          <w:sz w:val="24"/>
        </w:rPr>
        <w:t xml:space="preserve">no era posible acordar de conformidad su solicitud con relación a tener a Arretis como </w:t>
      </w:r>
      <w:r w:rsidR="00401306" w:rsidRPr="00B95D50">
        <w:rPr>
          <w:rFonts w:ascii="ITC Avant Garde" w:hAnsi="ITC Avant Garde"/>
          <w:sz w:val="24"/>
        </w:rPr>
        <w:t xml:space="preserve">causahabiente </w:t>
      </w:r>
      <w:r w:rsidR="0095418A">
        <w:rPr>
          <w:rFonts w:ascii="ITC Avant Garde" w:hAnsi="ITC Avant Garde"/>
          <w:sz w:val="24"/>
        </w:rPr>
        <w:t xml:space="preserve">de </w:t>
      </w:r>
      <w:r w:rsidR="009D5FF5" w:rsidRPr="00A37710">
        <w:rPr>
          <w:rFonts w:ascii="ITC Avant Garde" w:hAnsi="ITC Avant Garde"/>
          <w:sz w:val="24"/>
        </w:rPr>
        <w:t xml:space="preserve">Tenedora </w:t>
      </w:r>
      <w:r w:rsidR="0095418A">
        <w:rPr>
          <w:rFonts w:ascii="ITC Avant Garde" w:hAnsi="ITC Avant Garde"/>
          <w:sz w:val="24"/>
        </w:rPr>
        <w:t xml:space="preserve">Ares, toda </w:t>
      </w:r>
      <w:r w:rsidR="00D82A22">
        <w:rPr>
          <w:rFonts w:ascii="ITC Avant Garde" w:hAnsi="ITC Avant Garde"/>
          <w:sz w:val="24"/>
        </w:rPr>
        <w:t>vez que las fusiones no surten</w:t>
      </w:r>
      <w:r w:rsidR="0095418A">
        <w:rPr>
          <w:rFonts w:ascii="ITC Avant Garde" w:hAnsi="ITC Avant Garde"/>
          <w:sz w:val="24"/>
        </w:rPr>
        <w:t xml:space="preserve"> sus efectos sino hasta </w:t>
      </w:r>
      <w:r w:rsidRPr="00B95D50">
        <w:rPr>
          <w:rFonts w:ascii="ITC Avant Garde" w:hAnsi="ITC Avant Garde"/>
          <w:sz w:val="24"/>
        </w:rPr>
        <w:t xml:space="preserve">tres meses después de haberse efectuado </w:t>
      </w:r>
      <w:r>
        <w:rPr>
          <w:rFonts w:ascii="ITC Avant Garde" w:hAnsi="ITC Avant Garde"/>
          <w:sz w:val="24"/>
        </w:rPr>
        <w:t xml:space="preserve">su </w:t>
      </w:r>
      <w:r w:rsidRPr="00B95D50">
        <w:rPr>
          <w:rFonts w:ascii="ITC Avant Garde" w:hAnsi="ITC Avant Garde"/>
          <w:sz w:val="24"/>
        </w:rPr>
        <w:t xml:space="preserve">inscripción </w:t>
      </w:r>
      <w:r w:rsidR="0095418A">
        <w:rPr>
          <w:rFonts w:ascii="ITC Avant Garde" w:hAnsi="ITC Avant Garde"/>
          <w:sz w:val="24"/>
        </w:rPr>
        <w:t>en el Registro Público</w:t>
      </w:r>
      <w:r w:rsidR="007055A1">
        <w:rPr>
          <w:rFonts w:ascii="ITC Avant Garde" w:hAnsi="ITC Avant Garde"/>
          <w:sz w:val="24"/>
        </w:rPr>
        <w:t>. Esto</w:t>
      </w:r>
      <w:r w:rsidR="0095418A">
        <w:rPr>
          <w:rFonts w:ascii="ITC Avant Garde" w:hAnsi="ITC Avant Garde"/>
          <w:sz w:val="24"/>
        </w:rPr>
        <w:t xml:space="preserve"> es, tres meses posteriores al veinte</w:t>
      </w:r>
      <w:r w:rsidR="002C05D0">
        <w:rPr>
          <w:rFonts w:ascii="ITC Avant Garde" w:hAnsi="ITC Avant Garde"/>
          <w:sz w:val="24"/>
        </w:rPr>
        <w:t xml:space="preserve"> de enero de dos mil </w:t>
      </w:r>
      <w:r w:rsidR="009D5FF5" w:rsidRPr="00A37710">
        <w:rPr>
          <w:rFonts w:ascii="ITC Avant Garde" w:hAnsi="ITC Avant Garde"/>
          <w:sz w:val="24"/>
        </w:rPr>
        <w:t>diecisiete</w:t>
      </w:r>
      <w:r w:rsidR="002C05D0">
        <w:rPr>
          <w:rFonts w:ascii="ITC Avant Garde" w:hAnsi="ITC Avant Garde"/>
          <w:sz w:val="24"/>
        </w:rPr>
        <w:t>.</w:t>
      </w:r>
    </w:p>
    <w:p w:rsidR="009D5FF5" w:rsidRPr="00A37710" w:rsidRDefault="009D5FF5" w:rsidP="009D5FF5">
      <w:pPr>
        <w:tabs>
          <w:tab w:val="left" w:pos="284"/>
        </w:tabs>
        <w:suppressAutoHyphens/>
        <w:overflowPunct w:val="0"/>
        <w:autoSpaceDE w:val="0"/>
        <w:autoSpaceDN w:val="0"/>
        <w:adjustRightInd w:val="0"/>
        <w:spacing w:line="240" w:lineRule="auto"/>
        <w:jc w:val="both"/>
        <w:textAlignment w:val="baseline"/>
        <w:rPr>
          <w:rFonts w:ascii="ITC Avant Garde" w:hAnsi="ITC Avant Garde" w:cs="Helvetica"/>
          <w:sz w:val="24"/>
        </w:rPr>
      </w:pPr>
      <w:r w:rsidRPr="00A37710">
        <w:rPr>
          <w:rFonts w:ascii="ITC Avant Garde" w:hAnsi="ITC Avant Garde" w:cs="Helvetica"/>
          <w:sz w:val="24"/>
        </w:rPr>
        <w:t xml:space="preserve">En virtud de lo anterior y toda vez que a la fecha de emisión de la presente resolución no han trascurrido tres meses posteriores a la inscripción del Convenio de Fusión l en el Registro Público, no es posible resolver el presente asunto teniendo a Arretis como </w:t>
      </w:r>
      <w:r w:rsidRPr="00A37710">
        <w:rPr>
          <w:rFonts w:ascii="ITC Avant Garde" w:hAnsi="ITC Avant Garde"/>
          <w:sz w:val="24"/>
        </w:rPr>
        <w:t xml:space="preserve">causahabiente </w:t>
      </w:r>
      <w:r w:rsidRPr="00A37710">
        <w:rPr>
          <w:rFonts w:ascii="ITC Avant Garde" w:hAnsi="ITC Avant Garde" w:cs="Helvetica"/>
          <w:sz w:val="24"/>
        </w:rPr>
        <w:t>de Tenedora Ares, dado que el Convenio de Fusión aún no ha surtido efectos ante terceros. No obstante, ello no implica que esta autoridad tenga a Tenedora Ares compareciendo por su propio derecho para efectos del presente procedimiento. Tan es así que durante el trámite del procedimiento seguido en forma de juicio se le tuvo por contestado el OPR.</w:t>
      </w:r>
    </w:p>
    <w:p w:rsidR="00756166" w:rsidRPr="00AE5576" w:rsidRDefault="00756166" w:rsidP="00AE5576">
      <w:pPr>
        <w:pStyle w:val="Ttulo3"/>
        <w:rPr>
          <w:rFonts w:ascii="ITC Avant Garde" w:hAnsi="ITC Avant Garde"/>
          <w:b/>
          <w:sz w:val="24"/>
          <w:szCs w:val="24"/>
        </w:rPr>
      </w:pPr>
      <w:r w:rsidRPr="00AE5576">
        <w:rPr>
          <w:rFonts w:ascii="ITC Avant Garde" w:hAnsi="ITC Avant Garde"/>
          <w:b/>
          <w:sz w:val="24"/>
          <w:szCs w:val="24"/>
        </w:rPr>
        <w:t>CUARTO. MANIFESTACIONES DE LAS EMPLAZADAS.</w:t>
      </w:r>
    </w:p>
    <w:p w:rsidR="00B95D50" w:rsidRPr="009F5210" w:rsidRDefault="00B95D50" w:rsidP="00065658">
      <w:pPr>
        <w:autoSpaceDE w:val="0"/>
        <w:autoSpaceDN w:val="0"/>
        <w:adjustRightInd w:val="0"/>
        <w:spacing w:after="120" w:line="240" w:lineRule="auto"/>
        <w:jc w:val="both"/>
        <w:rPr>
          <w:rFonts w:ascii="ITC Avant Garde" w:hAnsi="ITC Avant Garde" w:cs="Helvetica"/>
          <w:sz w:val="24"/>
          <w:szCs w:val="24"/>
        </w:rPr>
      </w:pPr>
      <w:r w:rsidRPr="009F5210">
        <w:rPr>
          <w:rFonts w:ascii="ITC Avant Garde" w:hAnsi="ITC Avant Garde" w:cs="Helvetica"/>
          <w:sz w:val="24"/>
          <w:szCs w:val="24"/>
        </w:rPr>
        <w:t>Previ</w:t>
      </w:r>
      <w:r w:rsidR="00ED2E1C">
        <w:rPr>
          <w:rFonts w:ascii="ITC Avant Garde" w:hAnsi="ITC Avant Garde" w:cs="Helvetica"/>
          <w:sz w:val="24"/>
          <w:szCs w:val="24"/>
        </w:rPr>
        <w:t>amente</w:t>
      </w:r>
      <w:r w:rsidRPr="009F5210">
        <w:rPr>
          <w:rFonts w:ascii="ITC Avant Garde" w:hAnsi="ITC Avant Garde" w:cs="Helvetica"/>
          <w:sz w:val="24"/>
          <w:szCs w:val="24"/>
        </w:rPr>
        <w:t xml:space="preserve"> a responder las manifestaciones formuladas por las Emplazadas, es preciso señalar </w:t>
      </w:r>
      <w:r w:rsidR="007D5172">
        <w:rPr>
          <w:rFonts w:ascii="ITC Avant Garde" w:hAnsi="ITC Avant Garde" w:cs="Helvetica"/>
          <w:sz w:val="24"/>
          <w:szCs w:val="24"/>
        </w:rPr>
        <w:t>que é</w:t>
      </w:r>
      <w:r w:rsidR="00B202BC">
        <w:rPr>
          <w:rFonts w:ascii="ITC Avant Garde" w:hAnsi="ITC Avant Garde" w:cs="Helvetica"/>
          <w:sz w:val="24"/>
          <w:szCs w:val="24"/>
        </w:rPr>
        <w:t xml:space="preserve">stas se abordan temáticamente para una mejor comprensión de </w:t>
      </w:r>
      <w:r w:rsidR="00737BA9">
        <w:rPr>
          <w:rFonts w:ascii="ITC Avant Garde" w:hAnsi="ITC Avant Garde" w:cs="Helvetica"/>
          <w:sz w:val="24"/>
          <w:szCs w:val="24"/>
        </w:rPr>
        <w:t>la</w:t>
      </w:r>
      <w:r w:rsidR="00F26671">
        <w:rPr>
          <w:rFonts w:ascii="ITC Avant Garde" w:hAnsi="ITC Avant Garde" w:cs="Helvetica"/>
          <w:sz w:val="24"/>
          <w:szCs w:val="24"/>
        </w:rPr>
        <w:t>s cuestiones efectivamente planteadas por los agentes económicos.</w:t>
      </w:r>
      <w:r w:rsidRPr="009F5210">
        <w:rPr>
          <w:rFonts w:ascii="ITC Avant Garde" w:hAnsi="ITC Avant Garde" w:cs="Helvetica"/>
          <w:sz w:val="24"/>
          <w:szCs w:val="24"/>
        </w:rPr>
        <w:t xml:space="preserve"> </w:t>
      </w:r>
      <w:r w:rsidR="00F26671">
        <w:rPr>
          <w:rFonts w:ascii="ITC Avant Garde" w:hAnsi="ITC Avant Garde" w:cs="Helvetica"/>
          <w:sz w:val="24"/>
          <w:szCs w:val="24"/>
        </w:rPr>
        <w:t xml:space="preserve">Las manifestaciones </w:t>
      </w:r>
      <w:r w:rsidRPr="009F5210">
        <w:rPr>
          <w:rFonts w:ascii="ITC Avant Garde" w:hAnsi="ITC Avant Garde" w:cs="Helvetica"/>
          <w:sz w:val="24"/>
          <w:szCs w:val="24"/>
        </w:rPr>
        <w:t>no se transcriben textualmente y tampoco se contestan conforme al orden en que fueron formuladas en el Escrito de Contestación al OPR</w:t>
      </w:r>
      <w:r w:rsidR="00C66911">
        <w:rPr>
          <w:rFonts w:ascii="ITC Avant Garde" w:hAnsi="ITC Avant Garde" w:cs="Helvetica"/>
          <w:sz w:val="24"/>
          <w:szCs w:val="24"/>
        </w:rPr>
        <w:t xml:space="preserve">. Este trato </w:t>
      </w:r>
      <w:r w:rsidRPr="009F5210">
        <w:rPr>
          <w:rFonts w:ascii="ITC Avant Garde" w:hAnsi="ITC Avant Garde" w:cs="Helvetica"/>
          <w:sz w:val="24"/>
          <w:szCs w:val="24"/>
        </w:rPr>
        <w:t>no deja en esta</w:t>
      </w:r>
      <w:r w:rsidR="00276DB5">
        <w:rPr>
          <w:rFonts w:ascii="ITC Avant Garde" w:hAnsi="ITC Avant Garde" w:cs="Helvetica"/>
          <w:sz w:val="24"/>
          <w:szCs w:val="24"/>
        </w:rPr>
        <w:t>do</w:t>
      </w:r>
      <w:r w:rsidRPr="009F5210">
        <w:rPr>
          <w:rFonts w:ascii="ITC Avant Garde" w:hAnsi="ITC Avant Garde" w:cs="Helvetica"/>
          <w:sz w:val="24"/>
          <w:szCs w:val="24"/>
        </w:rPr>
        <w:t xml:space="preserve"> de indefensión a las Emplazadas</w:t>
      </w:r>
      <w:r w:rsidR="00C66911">
        <w:rPr>
          <w:rFonts w:ascii="ITC Avant Garde" w:hAnsi="ITC Avant Garde" w:cs="Helvetica"/>
          <w:sz w:val="24"/>
          <w:szCs w:val="24"/>
        </w:rPr>
        <w:t xml:space="preserve"> y </w:t>
      </w:r>
      <w:r w:rsidRPr="009F5210">
        <w:rPr>
          <w:rFonts w:ascii="ITC Avant Garde" w:hAnsi="ITC Avant Garde" w:cs="Helvetica"/>
          <w:sz w:val="24"/>
          <w:szCs w:val="24"/>
        </w:rPr>
        <w:t>es</w:t>
      </w:r>
      <w:r w:rsidR="00C66911">
        <w:rPr>
          <w:rFonts w:ascii="ITC Avant Garde" w:hAnsi="ITC Avant Garde" w:cs="Helvetica"/>
          <w:sz w:val="24"/>
          <w:szCs w:val="24"/>
        </w:rPr>
        <w:t>tá</w:t>
      </w:r>
      <w:r w:rsidRPr="009F5210">
        <w:rPr>
          <w:rFonts w:ascii="ITC Avant Garde" w:hAnsi="ITC Avant Garde" w:cs="Helvetica"/>
          <w:sz w:val="24"/>
          <w:szCs w:val="24"/>
        </w:rPr>
        <w:t xml:space="preserve"> apegado a derecho de conformidad con diversos criterios del PJF.</w:t>
      </w:r>
      <w:r w:rsidRPr="009F5210">
        <w:rPr>
          <w:rStyle w:val="Refdenotaalpie"/>
          <w:rFonts w:ascii="ITC Avant Garde" w:hAnsi="ITC Avant Garde" w:cs="Helvetica"/>
          <w:sz w:val="24"/>
          <w:szCs w:val="24"/>
        </w:rPr>
        <w:footnoteReference w:id="39"/>
      </w:r>
    </w:p>
    <w:p w:rsidR="000368FD" w:rsidRDefault="00B95D50" w:rsidP="00065658">
      <w:pPr>
        <w:autoSpaceDE w:val="0"/>
        <w:autoSpaceDN w:val="0"/>
        <w:adjustRightInd w:val="0"/>
        <w:spacing w:after="120" w:line="240" w:lineRule="auto"/>
        <w:jc w:val="both"/>
        <w:rPr>
          <w:rFonts w:ascii="ITC Avant Garde" w:hAnsi="ITC Avant Garde" w:cs="Helvetica"/>
          <w:sz w:val="24"/>
          <w:szCs w:val="24"/>
        </w:rPr>
      </w:pPr>
      <w:r w:rsidRPr="009F5210">
        <w:rPr>
          <w:rFonts w:ascii="ITC Avant Garde" w:hAnsi="ITC Avant Garde" w:cs="Helvetica"/>
          <w:sz w:val="24"/>
          <w:szCs w:val="24"/>
        </w:rPr>
        <w:t>Las manifestaciones se analizarán conforme al orden lógico que establece la LFCE para identificar la existencia de una concentración prohibida. Es decir, al Pleno le corresponde dilucidar en primer</w:t>
      </w:r>
      <w:r w:rsidR="000368FD">
        <w:rPr>
          <w:rFonts w:ascii="ITC Avant Garde" w:hAnsi="ITC Avant Garde" w:cs="Helvetica"/>
          <w:sz w:val="24"/>
          <w:szCs w:val="24"/>
        </w:rPr>
        <w:t xml:space="preserve"> lugar</w:t>
      </w:r>
      <w:r w:rsidRPr="009F5210">
        <w:rPr>
          <w:rFonts w:ascii="ITC Avant Garde" w:hAnsi="ITC Avant Garde" w:cs="Helvetica"/>
          <w:sz w:val="24"/>
          <w:szCs w:val="24"/>
        </w:rPr>
        <w:t xml:space="preserve">, si la Operación Investigada es una concentración con base en los artículos 16 y 20 de la LFCE, así como 18 del RLFCE. </w:t>
      </w:r>
    </w:p>
    <w:p w:rsidR="00B95D50" w:rsidRPr="009F5210" w:rsidRDefault="00B95D50" w:rsidP="00767B93">
      <w:pPr>
        <w:autoSpaceDE w:val="0"/>
        <w:autoSpaceDN w:val="0"/>
        <w:adjustRightInd w:val="0"/>
        <w:spacing w:after="120" w:line="240" w:lineRule="auto"/>
        <w:jc w:val="both"/>
        <w:rPr>
          <w:rFonts w:ascii="ITC Avant Garde" w:hAnsi="ITC Avant Garde" w:cs="Helvetica"/>
          <w:sz w:val="24"/>
          <w:szCs w:val="24"/>
        </w:rPr>
      </w:pPr>
      <w:r w:rsidRPr="009F5210">
        <w:rPr>
          <w:rFonts w:ascii="ITC Avant Garde" w:hAnsi="ITC Avant Garde" w:cs="Helvetica"/>
          <w:sz w:val="24"/>
          <w:szCs w:val="24"/>
        </w:rPr>
        <w:t xml:space="preserve">En </w:t>
      </w:r>
      <w:r w:rsidR="000368FD">
        <w:rPr>
          <w:rFonts w:ascii="ITC Avant Garde" w:hAnsi="ITC Avant Garde" w:cs="Helvetica"/>
          <w:sz w:val="24"/>
          <w:szCs w:val="24"/>
        </w:rPr>
        <w:t>un segundo momento</w:t>
      </w:r>
      <w:r w:rsidRPr="009F5210">
        <w:rPr>
          <w:rFonts w:ascii="ITC Avant Garde" w:hAnsi="ITC Avant Garde" w:cs="Helvetica"/>
          <w:sz w:val="24"/>
          <w:szCs w:val="24"/>
        </w:rPr>
        <w:t>,</w:t>
      </w:r>
      <w:r w:rsidR="000368FD">
        <w:rPr>
          <w:rFonts w:ascii="ITC Avant Garde" w:hAnsi="ITC Avant Garde" w:cs="Helvetica"/>
          <w:sz w:val="24"/>
          <w:szCs w:val="24"/>
        </w:rPr>
        <w:t xml:space="preserve"> este Pleno</w:t>
      </w:r>
      <w:r w:rsidRPr="009F5210">
        <w:rPr>
          <w:rFonts w:ascii="ITC Avant Garde" w:hAnsi="ITC Avant Garde" w:cs="Helvetica"/>
          <w:sz w:val="24"/>
          <w:szCs w:val="24"/>
        </w:rPr>
        <w:t xml:space="preserve"> analizar</w:t>
      </w:r>
      <w:r w:rsidR="000368FD">
        <w:rPr>
          <w:rFonts w:ascii="ITC Avant Garde" w:hAnsi="ITC Avant Garde" w:cs="Helvetica"/>
          <w:sz w:val="24"/>
          <w:szCs w:val="24"/>
        </w:rPr>
        <w:t>ía</w:t>
      </w:r>
      <w:r w:rsidRPr="009F5210">
        <w:rPr>
          <w:rFonts w:ascii="ITC Avant Garde" w:hAnsi="ITC Avant Garde" w:cs="Helvetica"/>
          <w:sz w:val="24"/>
          <w:szCs w:val="24"/>
        </w:rPr>
        <w:t xml:space="preserve">, en su caso, si existen indicios para considerar que la concentración </w:t>
      </w:r>
      <w:r w:rsidR="008B5A41">
        <w:rPr>
          <w:rFonts w:ascii="ITC Avant Garde" w:hAnsi="ITC Avant Garde" w:cs="Helvetica"/>
          <w:sz w:val="24"/>
          <w:szCs w:val="24"/>
        </w:rPr>
        <w:t>actualiza la</w:t>
      </w:r>
      <w:r w:rsidR="00C66911">
        <w:rPr>
          <w:rFonts w:ascii="ITC Avant Garde" w:hAnsi="ITC Avant Garde" w:cs="Helvetica"/>
          <w:sz w:val="24"/>
          <w:szCs w:val="24"/>
        </w:rPr>
        <w:t>s</w:t>
      </w:r>
      <w:r w:rsidR="008B5A41">
        <w:rPr>
          <w:rFonts w:ascii="ITC Avant Garde" w:hAnsi="ITC Avant Garde" w:cs="Helvetica"/>
          <w:sz w:val="24"/>
          <w:szCs w:val="24"/>
        </w:rPr>
        <w:t xml:space="preserve"> hipótesis</w:t>
      </w:r>
      <w:r w:rsidRPr="009F5210">
        <w:rPr>
          <w:rFonts w:ascii="ITC Avant Garde" w:hAnsi="ITC Avant Garde" w:cs="Helvetica"/>
          <w:sz w:val="24"/>
          <w:szCs w:val="24"/>
        </w:rPr>
        <w:t xml:space="preserve"> </w:t>
      </w:r>
      <w:r w:rsidR="008B5A41">
        <w:rPr>
          <w:rFonts w:ascii="ITC Avant Garde" w:hAnsi="ITC Avant Garde" w:cs="Helvetica"/>
          <w:sz w:val="24"/>
          <w:szCs w:val="24"/>
        </w:rPr>
        <w:t>d</w:t>
      </w:r>
      <w:r w:rsidRPr="009F5210">
        <w:rPr>
          <w:rFonts w:ascii="ITC Avant Garde" w:hAnsi="ITC Avant Garde" w:cs="Helvetica"/>
          <w:sz w:val="24"/>
          <w:szCs w:val="24"/>
        </w:rPr>
        <w:t>el artículo 17 de la LFCE</w:t>
      </w:r>
      <w:r w:rsidR="008B5A41">
        <w:rPr>
          <w:rFonts w:ascii="ITC Avant Garde" w:hAnsi="ITC Avant Garde" w:cs="Helvetica"/>
          <w:sz w:val="24"/>
          <w:szCs w:val="24"/>
        </w:rPr>
        <w:t>, para tenerse como prohibida</w:t>
      </w:r>
      <w:r w:rsidR="00C66911">
        <w:rPr>
          <w:rFonts w:ascii="ITC Avant Garde" w:hAnsi="ITC Avant Garde" w:cs="Helvetica"/>
          <w:sz w:val="24"/>
          <w:szCs w:val="24"/>
        </w:rPr>
        <w:t xml:space="preserve"> y del artículo 20 fracción I para</w:t>
      </w:r>
      <w:r w:rsidRPr="009F5210">
        <w:rPr>
          <w:rFonts w:ascii="ITC Avant Garde" w:hAnsi="ITC Avant Garde" w:cs="Helvetica"/>
          <w:sz w:val="24"/>
          <w:szCs w:val="24"/>
        </w:rPr>
        <w:t xml:space="preserve"> determinar si </w:t>
      </w:r>
      <w:r w:rsidR="00C66911">
        <w:rPr>
          <w:rFonts w:ascii="ITC Avant Garde" w:hAnsi="ITC Avant Garde" w:cs="Helvetica"/>
          <w:sz w:val="24"/>
          <w:szCs w:val="24"/>
        </w:rPr>
        <w:t xml:space="preserve">se omitió el cumplimiento de la obligación de notificarla antes de su realización. En función de lo </w:t>
      </w:r>
      <w:r w:rsidR="00C66911">
        <w:rPr>
          <w:rFonts w:ascii="ITC Avant Garde" w:hAnsi="ITC Avant Garde" w:cs="Helvetica"/>
          <w:sz w:val="24"/>
          <w:szCs w:val="24"/>
        </w:rPr>
        <w:lastRenderedPageBreak/>
        <w:t xml:space="preserve">anterior, este Pleno </w:t>
      </w:r>
      <w:r w:rsidRPr="009F5210">
        <w:rPr>
          <w:rFonts w:ascii="ITC Avant Garde" w:hAnsi="ITC Avant Garde" w:cs="Helvetica"/>
          <w:sz w:val="24"/>
          <w:szCs w:val="24"/>
        </w:rPr>
        <w:t>determinar</w:t>
      </w:r>
      <w:r w:rsidR="00C66911">
        <w:rPr>
          <w:rFonts w:ascii="ITC Avant Garde" w:hAnsi="ITC Avant Garde" w:cs="Helvetica"/>
          <w:sz w:val="24"/>
          <w:szCs w:val="24"/>
        </w:rPr>
        <w:t xml:space="preserve">á </w:t>
      </w:r>
      <w:r w:rsidRPr="009F5210">
        <w:rPr>
          <w:rFonts w:ascii="ITC Avant Garde" w:hAnsi="ITC Avant Garde" w:cs="Helvetica"/>
          <w:sz w:val="24"/>
          <w:szCs w:val="24"/>
        </w:rPr>
        <w:t xml:space="preserve">si debe sancionarse </w:t>
      </w:r>
      <w:r w:rsidR="00C66911">
        <w:rPr>
          <w:rFonts w:ascii="ITC Avant Garde" w:hAnsi="ITC Avant Garde" w:cs="Helvetica"/>
          <w:sz w:val="24"/>
          <w:szCs w:val="24"/>
        </w:rPr>
        <w:t xml:space="preserve">alguna conducta en términos de </w:t>
      </w:r>
      <w:r w:rsidRPr="009F5210">
        <w:rPr>
          <w:rFonts w:ascii="ITC Avant Garde" w:hAnsi="ITC Avant Garde" w:cs="Helvetica"/>
          <w:sz w:val="24"/>
          <w:szCs w:val="24"/>
        </w:rPr>
        <w:t>la LFCE.</w:t>
      </w:r>
    </w:p>
    <w:p w:rsidR="00B95D50" w:rsidRPr="009F5210" w:rsidRDefault="00B95D50" w:rsidP="00346097">
      <w:pPr>
        <w:spacing w:after="120" w:line="240" w:lineRule="auto"/>
        <w:jc w:val="both"/>
        <w:rPr>
          <w:rFonts w:ascii="ITC Avant Garde" w:hAnsi="ITC Avant Garde"/>
          <w:sz w:val="24"/>
        </w:rPr>
      </w:pPr>
      <w:r w:rsidRPr="009F5210">
        <w:rPr>
          <w:rFonts w:ascii="ITC Avant Garde" w:hAnsi="ITC Avant Garde"/>
          <w:sz w:val="24"/>
        </w:rPr>
        <w:t>Con relación a si la Operación Investigada constituyó una concentración, las Emplazadas manifestaron sustancialmente lo siguiente:</w:t>
      </w:r>
    </w:p>
    <w:p w:rsidR="00B95D50" w:rsidRPr="00E16C97" w:rsidRDefault="00B95D50" w:rsidP="00E16C97">
      <w:pPr>
        <w:spacing w:after="120" w:line="240" w:lineRule="auto"/>
        <w:ind w:left="680" w:right="680"/>
        <w:jc w:val="both"/>
        <w:rPr>
          <w:rFonts w:ascii="ITC Avant Garde" w:hAnsi="ITC Avant Garde"/>
          <w:i/>
          <w:szCs w:val="24"/>
        </w:rPr>
      </w:pPr>
      <w:r w:rsidRPr="00E16C97">
        <w:rPr>
          <w:rFonts w:ascii="ITC Avant Garde" w:hAnsi="ITC Avant Garde"/>
          <w:b/>
          <w:i/>
          <w:szCs w:val="24"/>
        </w:rPr>
        <w:t xml:space="preserve">a) </w:t>
      </w:r>
      <w:r w:rsidRPr="00E16C97">
        <w:rPr>
          <w:rFonts w:ascii="ITC Avant Garde" w:hAnsi="ITC Avant Garde"/>
          <w:i/>
          <w:szCs w:val="24"/>
        </w:rPr>
        <w:t>GTV no tuvo control de iure ni de facto con la celebración del Cúmulo de Operaciones, porque no se cumplen los elementos que deben considerarse para determinar la existencia de un GIE de conformidad con: (i) el amparo en revisión 169/2007;</w:t>
      </w:r>
      <w:r w:rsidRPr="00E16C97">
        <w:rPr>
          <w:rStyle w:val="Refdenotaalpie"/>
          <w:rFonts w:ascii="ITC Avant Garde" w:hAnsi="ITC Avant Garde"/>
          <w:i/>
          <w:szCs w:val="24"/>
        </w:rPr>
        <w:footnoteReference w:id="40"/>
      </w:r>
      <w:r w:rsidRPr="00E16C97">
        <w:rPr>
          <w:rFonts w:ascii="ITC Avant Garde" w:hAnsi="ITC Avant Garde"/>
          <w:i/>
          <w:szCs w:val="24"/>
        </w:rPr>
        <w:t xml:space="preserve"> (ii) el artículo 2 de la Ley del Mercado de Valores;</w:t>
      </w:r>
      <w:r w:rsidRPr="00E16C97">
        <w:rPr>
          <w:rStyle w:val="Refdenotaalpie"/>
          <w:rFonts w:ascii="ITC Avant Garde" w:hAnsi="ITC Avant Garde"/>
          <w:i/>
          <w:szCs w:val="24"/>
        </w:rPr>
        <w:footnoteReference w:id="41"/>
      </w:r>
      <w:r w:rsidRPr="00E16C97">
        <w:rPr>
          <w:rFonts w:ascii="ITC Avant Garde" w:hAnsi="ITC Avant Garde"/>
          <w:i/>
          <w:szCs w:val="24"/>
        </w:rPr>
        <w:t xml:space="preserve"> (iii) artículo 55 del Reglamento de la Ley de Propiedad Industrial;</w:t>
      </w:r>
      <w:r w:rsidRPr="00E16C97">
        <w:rPr>
          <w:rStyle w:val="Refdenotaalpie"/>
          <w:rFonts w:ascii="ITC Avant Garde" w:hAnsi="ITC Avant Garde"/>
          <w:i/>
          <w:szCs w:val="24"/>
        </w:rPr>
        <w:footnoteReference w:id="42"/>
      </w:r>
      <w:r w:rsidRPr="00E16C97">
        <w:rPr>
          <w:rFonts w:ascii="ITC Avant Garde" w:hAnsi="ITC Avant Garde"/>
          <w:i/>
          <w:szCs w:val="24"/>
        </w:rPr>
        <w:t xml:space="preserve"> y (iv) el Anteproyecto de Guía para Notificación de concentraciones de la Cofece.</w:t>
      </w:r>
      <w:r w:rsidRPr="00E16C97">
        <w:rPr>
          <w:rStyle w:val="Refdenotaalpie"/>
          <w:rFonts w:ascii="ITC Avant Garde" w:hAnsi="ITC Avant Garde"/>
          <w:i/>
          <w:szCs w:val="24"/>
        </w:rPr>
        <w:footnoteReference w:id="43"/>
      </w:r>
      <w:r w:rsidRPr="00E16C97">
        <w:rPr>
          <w:rFonts w:ascii="ITC Avant Garde" w:hAnsi="ITC Avant Garde"/>
          <w:i/>
          <w:szCs w:val="24"/>
        </w:rPr>
        <w:t xml:space="preserve"> En concreto, Arretis únicamente decidía sobre el pago de dividendos y no adquirió la posibilidad de </w:t>
      </w:r>
      <w:r w:rsidRPr="00E16C97">
        <w:rPr>
          <w:rFonts w:ascii="ITC Avant Garde" w:hAnsi="ITC Avant Garde"/>
          <w:i/>
          <w:szCs w:val="24"/>
        </w:rPr>
        <w:lastRenderedPageBreak/>
        <w:t xml:space="preserve">ejercer ninguna acción que </w:t>
      </w:r>
      <w:r w:rsidR="007055A1" w:rsidRPr="00E16C97">
        <w:rPr>
          <w:rFonts w:ascii="ITC Avant Garde" w:hAnsi="ITC Avant Garde"/>
          <w:i/>
          <w:szCs w:val="24"/>
        </w:rPr>
        <w:t>deba</w:t>
      </w:r>
      <w:r w:rsidRPr="00E16C97">
        <w:rPr>
          <w:rFonts w:ascii="ITC Avant Garde" w:hAnsi="ITC Avant Garde"/>
          <w:i/>
          <w:szCs w:val="24"/>
        </w:rPr>
        <w:t xml:space="preserve"> considerarse para determinar que Cablecom y Tenedora Ares formaron parte del mismo GIE que GTV a partir del treinta y uno de julio de dos mil trece.</w:t>
      </w:r>
    </w:p>
    <w:p w:rsidR="00B95D50" w:rsidRPr="00E16C97" w:rsidRDefault="00B95D50" w:rsidP="00E16C97">
      <w:pPr>
        <w:spacing w:after="120" w:line="240" w:lineRule="auto"/>
        <w:ind w:left="680" w:right="680"/>
        <w:jc w:val="both"/>
        <w:rPr>
          <w:rFonts w:ascii="ITC Avant Garde" w:hAnsi="ITC Avant Garde"/>
          <w:i/>
          <w:szCs w:val="24"/>
        </w:rPr>
      </w:pPr>
      <w:r w:rsidRPr="00E16C97">
        <w:rPr>
          <w:rFonts w:ascii="ITC Avant Garde" w:hAnsi="ITC Avant Garde"/>
          <w:b/>
          <w:i/>
          <w:szCs w:val="24"/>
        </w:rPr>
        <w:t xml:space="preserve">b) </w:t>
      </w:r>
      <w:r w:rsidRPr="00E16C97">
        <w:rPr>
          <w:rFonts w:ascii="ITC Avant Garde" w:hAnsi="ITC Avant Garde"/>
          <w:i/>
          <w:szCs w:val="24"/>
        </w:rPr>
        <w:t xml:space="preserve">La Operación Investigada </w:t>
      </w:r>
      <w:r w:rsidR="003B28F0" w:rsidRPr="00E16C97">
        <w:rPr>
          <w:rFonts w:ascii="ITC Avant Garde" w:hAnsi="ITC Avant Garde"/>
          <w:i/>
          <w:szCs w:val="24"/>
        </w:rPr>
        <w:t>únicamente constituyó</w:t>
      </w:r>
      <w:r w:rsidRPr="00E16C97">
        <w:rPr>
          <w:rFonts w:ascii="ITC Avant Garde" w:hAnsi="ITC Avant Garde"/>
          <w:i/>
          <w:szCs w:val="24"/>
        </w:rPr>
        <w:t xml:space="preserve"> un financiamiento y si bien se realizó entre competidores, lo cierto es que ello no es ilegal, dado que en México no existe disposición que restrinja o prohíba a un agente económico ot</w:t>
      </w:r>
      <w:r w:rsidR="003B28F0" w:rsidRPr="00E16C97">
        <w:rPr>
          <w:rFonts w:ascii="ITC Avant Garde" w:hAnsi="ITC Avant Garde"/>
          <w:i/>
          <w:szCs w:val="24"/>
        </w:rPr>
        <w:t>orgar</w:t>
      </w:r>
      <w:r w:rsidRPr="00E16C97">
        <w:rPr>
          <w:rFonts w:ascii="ITC Avant Garde" w:hAnsi="ITC Avant Garde"/>
          <w:i/>
          <w:szCs w:val="24"/>
        </w:rPr>
        <w:t xml:space="preserve"> un financiamiento a un competidor. El financiamiento otorgado no generó la adquisición del control por parte de GTV sobre Tenedora Ares</w:t>
      </w:r>
      <w:r w:rsidR="003B28F0" w:rsidRPr="00E16C97">
        <w:rPr>
          <w:rFonts w:ascii="ITC Avant Garde" w:hAnsi="ITC Avant Garde"/>
          <w:i/>
          <w:szCs w:val="24"/>
        </w:rPr>
        <w:t xml:space="preserve"> ni una </w:t>
      </w:r>
      <w:r w:rsidR="001858C8" w:rsidRPr="00E16C97">
        <w:rPr>
          <w:rFonts w:ascii="ITC Avant Garde" w:hAnsi="ITC Avant Garde"/>
          <w:i/>
          <w:szCs w:val="24"/>
        </w:rPr>
        <w:t>influencia decisiva sobre el negocio.</w:t>
      </w:r>
    </w:p>
    <w:p w:rsidR="00B95D50" w:rsidRPr="00E16C97" w:rsidRDefault="00B95D50" w:rsidP="00E16C97">
      <w:pPr>
        <w:spacing w:after="120" w:line="240" w:lineRule="auto"/>
        <w:ind w:left="680" w:right="680"/>
        <w:jc w:val="both"/>
        <w:rPr>
          <w:rFonts w:ascii="ITC Avant Garde" w:hAnsi="ITC Avant Garde"/>
          <w:i/>
          <w:szCs w:val="24"/>
        </w:rPr>
      </w:pPr>
      <w:r w:rsidRPr="00E16C97">
        <w:rPr>
          <w:rFonts w:ascii="ITC Avant Garde" w:hAnsi="ITC Avant Garde"/>
          <w:b/>
          <w:i/>
          <w:szCs w:val="24"/>
        </w:rPr>
        <w:t>c)</w:t>
      </w:r>
      <w:r w:rsidRPr="00E16C97">
        <w:rPr>
          <w:rFonts w:ascii="ITC Avant Garde" w:hAnsi="ITC Avant Garde"/>
          <w:i/>
          <w:szCs w:val="24"/>
        </w:rPr>
        <w:t xml:space="preserve"> Los créditos otorgados tenían fines particulares. El Acta de Emisión</w:t>
      </w:r>
      <w:r w:rsidR="001858C8" w:rsidRPr="00E16C97">
        <w:rPr>
          <w:rFonts w:ascii="ITC Avant Garde" w:hAnsi="ITC Avant Garde"/>
          <w:i/>
          <w:szCs w:val="24"/>
        </w:rPr>
        <w:t xml:space="preserve"> tuvo como fin</w:t>
      </w:r>
      <w:r w:rsidR="00872D32" w:rsidRPr="00E16C97">
        <w:rPr>
          <w:rFonts w:ascii="ITC Avant Garde" w:hAnsi="ITC Avant Garde"/>
          <w:i/>
          <w:szCs w:val="24"/>
        </w:rPr>
        <w:t xml:space="preserve"> </w:t>
      </w:r>
      <w:r w:rsidRPr="00E16C97">
        <w:rPr>
          <w:rFonts w:ascii="ITC Avant Garde" w:hAnsi="ITC Avant Garde"/>
          <w:i/>
          <w:szCs w:val="24"/>
        </w:rPr>
        <w:t xml:space="preserve">que Tenedora Ares </w:t>
      </w:r>
      <w:r w:rsidR="00072915" w:rsidRPr="00E16C97">
        <w:rPr>
          <w:rFonts w:ascii="ITC Avant Garde" w:hAnsi="ITC Avant Garde"/>
          <w:i/>
          <w:szCs w:val="24"/>
        </w:rPr>
        <w:t>pagara</w:t>
      </w:r>
      <w:r w:rsidR="001E66C1">
        <w:rPr>
          <w:rFonts w:ascii="ITC Avant Garde" w:hAnsi="ITC Avant Garde"/>
          <w:i/>
          <w:szCs w:val="24"/>
        </w:rPr>
        <w:t xml:space="preserve"> el</w:t>
      </w:r>
      <w:r w:rsidR="00072915" w:rsidRPr="00E16C97">
        <w:rPr>
          <w:rFonts w:ascii="ITC Avant Garde" w:hAnsi="ITC Avant Garde"/>
          <w:i/>
          <w:szCs w:val="24"/>
        </w:rPr>
        <w:t xml:space="preserve"> </w:t>
      </w:r>
      <w:r w:rsidR="00072915" w:rsidRPr="00072915">
        <w:rPr>
          <w:rFonts w:ascii="ITC Avant Garde" w:hAnsi="ITC Avant Garde"/>
          <w:b/>
          <w:color w:val="0000FF"/>
          <w:sz w:val="24"/>
        </w:rPr>
        <w:t>“CONFIDENCIAL POR LEY”</w:t>
      </w:r>
      <w:r w:rsidR="00072915" w:rsidRPr="00A37710">
        <w:rPr>
          <w:rFonts w:ascii="ITC Avant Garde" w:hAnsi="ITC Avant Garde" w:cs="Arial"/>
          <w:sz w:val="24"/>
        </w:rPr>
        <w:t xml:space="preserve"> </w:t>
      </w:r>
      <w:r w:rsidRPr="00E16C97">
        <w:rPr>
          <w:rFonts w:ascii="ITC Avant Garde" w:hAnsi="ITC Avant Garde"/>
          <w:i/>
          <w:szCs w:val="24"/>
        </w:rPr>
        <w:t>de las acciones representativas del capital social de Cablecom de las que era titular; y en e</w:t>
      </w:r>
      <w:r w:rsidR="001E66C1">
        <w:rPr>
          <w:rFonts w:ascii="ITC Avant Garde" w:hAnsi="ITC Avant Garde"/>
          <w:i/>
          <w:szCs w:val="24"/>
        </w:rPr>
        <w:t xml:space="preserve">l caso del Contrato de Crédito, </w:t>
      </w:r>
      <w:r w:rsidR="00072915" w:rsidRPr="00072915">
        <w:rPr>
          <w:rFonts w:ascii="ITC Avant Garde" w:hAnsi="ITC Avant Garde"/>
          <w:b/>
          <w:color w:val="0000FF"/>
          <w:sz w:val="24"/>
        </w:rPr>
        <w:t>“CONFIDENCIAL POR LEY”</w:t>
      </w:r>
    </w:p>
    <w:p w:rsidR="00B95D50" w:rsidRPr="00E16C97" w:rsidRDefault="00B95D50" w:rsidP="00E16C97">
      <w:pPr>
        <w:spacing w:after="120" w:line="240" w:lineRule="auto"/>
        <w:ind w:left="680" w:right="680"/>
        <w:jc w:val="both"/>
        <w:rPr>
          <w:rFonts w:ascii="ITC Avant Garde" w:hAnsi="ITC Avant Garde"/>
          <w:i/>
          <w:szCs w:val="24"/>
        </w:rPr>
      </w:pPr>
      <w:r w:rsidRPr="00E16C97">
        <w:rPr>
          <w:rFonts w:ascii="ITC Avant Garde" w:hAnsi="ITC Avant Garde"/>
          <w:b/>
          <w:i/>
          <w:szCs w:val="24"/>
        </w:rPr>
        <w:t xml:space="preserve">d) </w:t>
      </w:r>
      <w:r w:rsidRPr="00E16C97">
        <w:rPr>
          <w:rFonts w:ascii="ITC Avant Garde" w:hAnsi="ITC Avant Garde"/>
          <w:i/>
          <w:szCs w:val="24"/>
        </w:rPr>
        <w:t>En la práctica comercial y en el tipo de financiamiento analizado, es común incluir cláusulas sustancialmente similares a las contenidas en la Operación Investigada</w:t>
      </w:r>
      <w:r w:rsidR="000263AD">
        <w:rPr>
          <w:rFonts w:ascii="ITC Avant Garde" w:hAnsi="ITC Avant Garde"/>
          <w:i/>
          <w:szCs w:val="24"/>
        </w:rPr>
        <w:t xml:space="preserve">, </w:t>
      </w:r>
      <w:r w:rsidR="00072915" w:rsidRPr="00072915">
        <w:rPr>
          <w:rFonts w:ascii="ITC Avant Garde" w:hAnsi="ITC Avant Garde"/>
          <w:b/>
          <w:color w:val="0000FF"/>
          <w:sz w:val="24"/>
        </w:rPr>
        <w:t>“CONFIDENCIAL POR LEY”</w:t>
      </w:r>
      <w:r w:rsidR="00072915" w:rsidRPr="00A37710">
        <w:rPr>
          <w:rFonts w:ascii="ITC Avant Garde" w:hAnsi="ITC Avant Garde" w:cs="Arial"/>
          <w:sz w:val="24"/>
        </w:rPr>
        <w:t xml:space="preserve"> </w:t>
      </w:r>
      <w:r w:rsidRPr="00E16C97">
        <w:rPr>
          <w:rFonts w:ascii="ITC Avant Garde" w:hAnsi="ITC Avant Garde"/>
          <w:i/>
          <w:szCs w:val="24"/>
        </w:rPr>
        <w:t xml:space="preserve">Estas cláusulas no tienen como objetivo otorgar control directo o indirecto a GTV sobre Tenedora Ares o Cablecom, </w:t>
      </w:r>
      <w:r w:rsidR="00B06281" w:rsidRPr="00E16C97">
        <w:rPr>
          <w:rFonts w:ascii="ITC Avant Garde" w:hAnsi="ITC Avant Garde"/>
          <w:i/>
          <w:szCs w:val="24"/>
        </w:rPr>
        <w:t>su objetivo es</w:t>
      </w:r>
      <w:r w:rsidRPr="00E16C97">
        <w:rPr>
          <w:rFonts w:ascii="ITC Avant Garde" w:hAnsi="ITC Avant Garde"/>
          <w:i/>
          <w:szCs w:val="24"/>
        </w:rPr>
        <w:t xml:space="preserve"> únicamente </w:t>
      </w:r>
      <w:r w:rsidR="00F7020A" w:rsidRPr="00E16C97">
        <w:rPr>
          <w:rFonts w:ascii="ITC Avant Garde" w:hAnsi="ITC Avant Garde"/>
          <w:i/>
          <w:szCs w:val="24"/>
        </w:rPr>
        <w:t xml:space="preserve">el de </w:t>
      </w:r>
      <w:r w:rsidRPr="00E16C97">
        <w:rPr>
          <w:rFonts w:ascii="ITC Avant Garde" w:hAnsi="ITC Avant Garde"/>
          <w:i/>
          <w:szCs w:val="24"/>
        </w:rPr>
        <w:t>mitigar los riesgos y conflictos innatos en este tipo de operaciones.</w:t>
      </w:r>
    </w:p>
    <w:p w:rsidR="00B95D50" w:rsidRPr="00E16C97" w:rsidRDefault="00B95D50" w:rsidP="00E16C97">
      <w:pPr>
        <w:spacing w:after="120" w:line="240" w:lineRule="auto"/>
        <w:ind w:left="680" w:right="680"/>
        <w:jc w:val="both"/>
        <w:rPr>
          <w:rFonts w:ascii="ITC Avant Garde" w:hAnsi="ITC Avant Garde"/>
          <w:i/>
          <w:szCs w:val="24"/>
        </w:rPr>
      </w:pPr>
      <w:r w:rsidRPr="00E16C97">
        <w:rPr>
          <w:rFonts w:ascii="ITC Avant Garde" w:hAnsi="ITC Avant Garde"/>
          <w:b/>
          <w:i/>
          <w:szCs w:val="24"/>
        </w:rPr>
        <w:t>e)</w:t>
      </w:r>
      <w:r w:rsidRPr="00E16C97">
        <w:rPr>
          <w:rFonts w:ascii="ITC Avant Garde" w:hAnsi="ITC Avant Garde"/>
          <w:i/>
          <w:szCs w:val="24"/>
        </w:rPr>
        <w:t xml:space="preserve"> Para resolver los conflictos entre accionistas y acreedores es necesario establecer obligaciones de no hacer a cargo del deudor para alinear los intereses de los accionistas y acreedores, protegiendo con ello los derechos de los acreedores y reducir riesgos tales como: incurrir en pérdidas, incumplimiento u omisión al pago del financiamiento.</w:t>
      </w:r>
    </w:p>
    <w:p w:rsidR="00B95D50" w:rsidRPr="00E16C97" w:rsidRDefault="00B95D50" w:rsidP="00E16C97">
      <w:pPr>
        <w:spacing w:after="120" w:line="240" w:lineRule="auto"/>
        <w:ind w:left="680" w:right="680"/>
        <w:jc w:val="both"/>
        <w:rPr>
          <w:rFonts w:ascii="ITC Avant Garde" w:hAnsi="ITC Avant Garde"/>
          <w:i/>
          <w:szCs w:val="24"/>
        </w:rPr>
      </w:pPr>
      <w:r w:rsidRPr="00E16C97">
        <w:rPr>
          <w:rFonts w:ascii="ITC Avant Garde" w:hAnsi="ITC Avant Garde"/>
          <w:b/>
          <w:i/>
          <w:szCs w:val="24"/>
        </w:rPr>
        <w:t xml:space="preserve">f) </w:t>
      </w:r>
      <w:r w:rsidRPr="00E16C97">
        <w:rPr>
          <w:rFonts w:ascii="ITC Avant Garde" w:hAnsi="ITC Avant Garde"/>
          <w:i/>
          <w:szCs w:val="24"/>
        </w:rPr>
        <w:t>Tenedora Ares</w:t>
      </w:r>
      <w:r w:rsidRPr="00E16C97">
        <w:rPr>
          <w:rFonts w:ascii="ITC Avant Garde" w:hAnsi="ITC Avant Garde"/>
          <w:b/>
          <w:i/>
          <w:szCs w:val="24"/>
        </w:rPr>
        <w:t xml:space="preserve"> </w:t>
      </w:r>
      <w:r w:rsidRPr="00E16C97">
        <w:rPr>
          <w:rFonts w:ascii="ITC Avant Garde" w:hAnsi="ITC Avant Garde"/>
          <w:i/>
          <w:szCs w:val="24"/>
        </w:rPr>
        <w:t>sí tenía la posibilidad de revertir los efectos del Cúmul</w:t>
      </w:r>
      <w:r w:rsidR="00072915">
        <w:rPr>
          <w:rFonts w:ascii="ITC Avant Garde" w:hAnsi="ITC Avant Garde"/>
          <w:i/>
          <w:szCs w:val="24"/>
        </w:rPr>
        <w:t xml:space="preserve">o de Operaciones, toda vez que, </w:t>
      </w:r>
      <w:r w:rsidR="00072915" w:rsidRPr="00072915">
        <w:rPr>
          <w:rFonts w:ascii="ITC Avant Garde" w:hAnsi="ITC Avant Garde"/>
          <w:b/>
          <w:color w:val="0000FF"/>
          <w:sz w:val="24"/>
        </w:rPr>
        <w:t>“CONFIDENCIAL POR LEY”</w:t>
      </w:r>
    </w:p>
    <w:p w:rsidR="00B95D50" w:rsidRPr="003B3DAC" w:rsidRDefault="00B95D50" w:rsidP="00346097">
      <w:pPr>
        <w:spacing w:after="120" w:line="240" w:lineRule="auto"/>
        <w:jc w:val="both"/>
        <w:rPr>
          <w:rFonts w:ascii="ITC Avant Garde" w:hAnsi="ITC Avant Garde"/>
          <w:b/>
          <w:sz w:val="24"/>
          <w:szCs w:val="24"/>
        </w:rPr>
      </w:pPr>
      <w:r w:rsidRPr="003B3DAC">
        <w:rPr>
          <w:rFonts w:ascii="ITC Avant Garde" w:hAnsi="ITC Avant Garde"/>
          <w:b/>
          <w:sz w:val="24"/>
          <w:szCs w:val="24"/>
        </w:rPr>
        <w:t xml:space="preserve">Una vez identificados los temas distintivos de las manifestaciones formuladas por las Emplazadas con relación a la Operación Investigada y si ésta constituyó una concentración en términos de los artículos 16 y 20 de la LFCE, esta autoridad considera que los argumentos contenidos son </w:t>
      </w:r>
      <w:r w:rsidRPr="00DD7C33">
        <w:rPr>
          <w:rFonts w:ascii="ITC Avant Garde" w:hAnsi="ITC Avant Garde"/>
          <w:b/>
          <w:sz w:val="24"/>
          <w:szCs w:val="24"/>
          <w:u w:val="single"/>
        </w:rPr>
        <w:t>fundados</w:t>
      </w:r>
      <w:r w:rsidRPr="003B3DAC">
        <w:rPr>
          <w:rFonts w:ascii="ITC Avant Garde" w:hAnsi="ITC Avant Garde"/>
          <w:b/>
          <w:sz w:val="24"/>
          <w:szCs w:val="24"/>
        </w:rPr>
        <w:t xml:space="preserve"> conforme a las siguientes razones:</w:t>
      </w:r>
    </w:p>
    <w:p w:rsidR="00B95D50" w:rsidRPr="00346097" w:rsidRDefault="00B95D50" w:rsidP="00581AE9">
      <w:pPr>
        <w:pStyle w:val="Prrafonumerado"/>
      </w:pPr>
      <w:r w:rsidRPr="0064605D">
        <w:t xml:space="preserve">La LFCE </w:t>
      </w:r>
      <w:r w:rsidR="002B2D3B" w:rsidRPr="00C446A9">
        <w:t>tiene</w:t>
      </w:r>
      <w:r w:rsidR="002B2D3B" w:rsidRPr="00016741">
        <w:t xml:space="preserve"> por</w:t>
      </w:r>
      <w:r w:rsidR="002B2D3B" w:rsidRPr="00346097">
        <w:t xml:space="preserve"> objeto promover, proteger y garantizar la libre concurrencia y la competencia económica, así como prevenir, investigar, combatir, perseguir con eficacia, castigar severamente y eliminar los monopolios, las prácticas monopólicas, las concentraciones ilícitas, las barreras a la libre concurrencia y la competencia económica, y demás restricciones al funcionamiento eficiente de los mercados</w:t>
      </w:r>
      <w:r w:rsidR="002B2D3B" w:rsidRPr="0064605D">
        <w:t xml:space="preserve">. </w:t>
      </w:r>
      <w:r w:rsidR="002B2D3B" w:rsidRPr="00016741">
        <w:t>C</w:t>
      </w:r>
      <w:r w:rsidR="002B2D3B" w:rsidRPr="00AB7993">
        <w:t xml:space="preserve">omo </w:t>
      </w:r>
      <w:r w:rsidR="002B2D3B" w:rsidRPr="00E65B89">
        <w:t xml:space="preserve">consecuencia, la LFCE </w:t>
      </w:r>
      <w:r w:rsidRPr="002808F8">
        <w:t xml:space="preserve">prohíbe la realización de concentraciones ilícitas y </w:t>
      </w:r>
      <w:r w:rsidR="002B2D3B" w:rsidRPr="002808F8">
        <w:t>sanciona</w:t>
      </w:r>
      <w:r w:rsidRPr="002808F8">
        <w:t xml:space="preserve"> demás restricciones al funcionamiento eficiente de los mercados. </w:t>
      </w:r>
    </w:p>
    <w:p w:rsidR="00B95D50" w:rsidRPr="009F5210" w:rsidRDefault="00227B22" w:rsidP="00581AE9">
      <w:pPr>
        <w:pStyle w:val="Prrafonumerado"/>
      </w:pPr>
      <w:r w:rsidRPr="0064605D">
        <w:t xml:space="preserve">El artículo </w:t>
      </w:r>
      <w:r w:rsidR="0066567A">
        <w:t>16</w:t>
      </w:r>
      <w:r w:rsidRPr="0064605D">
        <w:t xml:space="preserve"> de la LFCE establece que “</w:t>
      </w:r>
      <w:r w:rsidRPr="00065658">
        <w:rPr>
          <w:i/>
        </w:rPr>
        <w:t xml:space="preserve">se entiende por concentración la fusión, </w:t>
      </w:r>
      <w:r w:rsidRPr="00065658">
        <w:rPr>
          <w:b/>
          <w:i/>
          <w:u w:val="single"/>
        </w:rPr>
        <w:t>adquisición del control</w:t>
      </w:r>
      <w:r w:rsidRPr="00065658">
        <w:rPr>
          <w:b/>
          <w:i/>
        </w:rPr>
        <w:t xml:space="preserve"> o cualquier acto por virtud del cual se </w:t>
      </w:r>
      <w:r w:rsidR="00396DEB" w:rsidRPr="00065658">
        <w:rPr>
          <w:b/>
          <w:i/>
        </w:rPr>
        <w:t>concentren</w:t>
      </w:r>
      <w:r w:rsidRPr="00065658">
        <w:rPr>
          <w:i/>
        </w:rPr>
        <w:t xml:space="preserve"> sociedades, asociaciones, acciones, partes sociales, fideicomisos o activos en general que se realice entre competidores, proveedores, clientes o cualesquiera otros agentes </w:t>
      </w:r>
      <w:r w:rsidRPr="00065658">
        <w:rPr>
          <w:i/>
        </w:rPr>
        <w:lastRenderedPageBreak/>
        <w:t xml:space="preserve">económicos. La Comisión </w:t>
      </w:r>
      <w:r w:rsidR="00396DEB" w:rsidRPr="00065658">
        <w:rPr>
          <w:i/>
        </w:rPr>
        <w:t>impugnar</w:t>
      </w:r>
      <w:r w:rsidR="00065658" w:rsidRPr="00065658">
        <w:rPr>
          <w:i/>
        </w:rPr>
        <w:t>á</w:t>
      </w:r>
      <w:r w:rsidRPr="00065658">
        <w:rPr>
          <w:i/>
        </w:rPr>
        <w:t xml:space="preserve"> y sancionará aquellas concentraciones cuyo objeto o efecto sea disminuir, dañar o impedir la competencia y la libre concurrencia respecto de bienes o servicios iguales, similares o sustancialmente relacionados</w:t>
      </w:r>
      <w:r w:rsidRPr="00065658">
        <w:t>.”</w:t>
      </w:r>
      <w:r w:rsidR="00B95D50" w:rsidRPr="009F5210">
        <w:t xml:space="preserve"> </w:t>
      </w:r>
    </w:p>
    <w:p w:rsidR="00641ECB" w:rsidRDefault="00641ECB" w:rsidP="00581AE9">
      <w:pPr>
        <w:pStyle w:val="Prrafonumerado"/>
      </w:pPr>
      <w:r>
        <w:t>El control de concentraciones establecido en la LFCE tiene por objeto identificar cuándo dos agentes económicos, por virtud de cualquier acto, dejan de ser independientes entre sí, esto es, que se concentran.</w:t>
      </w:r>
    </w:p>
    <w:p w:rsidR="00641ECB" w:rsidRPr="009F5210" w:rsidRDefault="00641ECB" w:rsidP="00581AE9">
      <w:pPr>
        <w:pStyle w:val="Prrafonumerado"/>
      </w:pPr>
      <w:r>
        <w:t>El OPR que toca analizar a este Pleno imputa que un Cúmulo de Operaciones constituyen una concentración en términos de la LFCE porque:</w:t>
      </w:r>
      <w:r>
        <w:rPr>
          <w:rStyle w:val="Refdenotaalpie"/>
        </w:rPr>
        <w:footnoteReference w:id="44"/>
      </w:r>
      <w:r w:rsidR="00AA1E9D">
        <w:t xml:space="preserve"> </w:t>
      </w:r>
      <w:r w:rsidR="00AA1E9D" w:rsidRPr="009D0F12">
        <w:rPr>
          <w:i/>
        </w:rPr>
        <w:t>“Grupo Televisa adquirió el control de Te</w:t>
      </w:r>
      <w:r w:rsidR="00AA1E9D" w:rsidRPr="004C22DC">
        <w:rPr>
          <w:i/>
        </w:rPr>
        <w:t>nedora Ares y su subsidiaria Cablecom</w:t>
      </w:r>
      <w:r w:rsidR="00AA1E9D" w:rsidRPr="003B3B68">
        <w:rPr>
          <w:i/>
        </w:rPr>
        <w:t xml:space="preserve"> (…)”</w:t>
      </w:r>
      <w:r w:rsidR="00AA1E9D">
        <w:t>. De tal forma que primero debe determinarse si el Cúmulo de Operaciones en efecto otorga control de un agente económico sobre otro.</w:t>
      </w:r>
    </w:p>
    <w:p w:rsidR="00B95D50" w:rsidRPr="00876E44" w:rsidRDefault="00B95D50" w:rsidP="00581AE9">
      <w:pPr>
        <w:pStyle w:val="Prrafonumerado"/>
      </w:pPr>
      <w:r w:rsidRPr="00876E44">
        <w:t xml:space="preserve">El PJF ha emitido diversos criterios </w:t>
      </w:r>
      <w:r w:rsidR="00981AC1">
        <w:t xml:space="preserve">en los que enlista los diversos instrumentos </w:t>
      </w:r>
      <w:r w:rsidR="00AA1E9D">
        <w:t>o medios a través de los cuales puede identificarse si</w:t>
      </w:r>
      <w:r w:rsidR="00981AC1">
        <w:t xml:space="preserve"> </w:t>
      </w:r>
      <w:r w:rsidR="00AA1E9D">
        <w:t>un</w:t>
      </w:r>
      <w:r w:rsidR="00981AC1">
        <w:t xml:space="preserve"> agente económico adquier</w:t>
      </w:r>
      <w:r w:rsidR="00AA1E9D">
        <w:t>e</w:t>
      </w:r>
      <w:r w:rsidR="00981AC1">
        <w:t xml:space="preserve"> </w:t>
      </w:r>
      <w:r w:rsidR="00AA1E9D">
        <w:t xml:space="preserve">o tiene </w:t>
      </w:r>
      <w:r w:rsidR="00981AC1">
        <w:t>el control al que se refiere el artículo 1</w:t>
      </w:r>
      <w:r w:rsidR="00396DEB">
        <w:t>6</w:t>
      </w:r>
      <w:r w:rsidR="00981AC1">
        <w:t xml:space="preserve"> de la LFCE sobre otro</w:t>
      </w:r>
      <w:r w:rsidRPr="00876E44">
        <w:t xml:space="preserve">. En la sentencia dictada el veinticuatro de octubre de dos mil siete, en el amparo en revisión 169/2007, la Primera Sala de la SCJN estableció que para identificar la existencia respecto </w:t>
      </w:r>
      <w:r w:rsidR="00B27A5D">
        <w:t>del</w:t>
      </w:r>
      <w:r w:rsidR="00B27A5D" w:rsidRPr="00876E44">
        <w:t xml:space="preserve"> </w:t>
      </w:r>
      <w:r w:rsidRPr="00876E44">
        <w:t xml:space="preserve">control de </w:t>
      </w:r>
      <w:r w:rsidRPr="00876E44">
        <w:rPr>
          <w:i/>
        </w:rPr>
        <w:t xml:space="preserve">iure </w:t>
      </w:r>
      <w:r w:rsidRPr="00876E44">
        <w:t>que se puede ejercer sobre una persona moral, se deberá considerar lo siguiente:</w:t>
      </w:r>
    </w:p>
    <w:p w:rsidR="00B95D50" w:rsidRPr="00876E44" w:rsidRDefault="00B95D50" w:rsidP="00065658">
      <w:pPr>
        <w:spacing w:after="120" w:line="240" w:lineRule="auto"/>
        <w:ind w:left="283" w:right="283"/>
        <w:jc w:val="both"/>
        <w:rPr>
          <w:rFonts w:ascii="ITC Avant Garde" w:hAnsi="ITC Avant Garde"/>
        </w:rPr>
      </w:pPr>
      <w:r w:rsidRPr="00876E44">
        <w:rPr>
          <w:rFonts w:ascii="ITC Avant Garde" w:hAnsi="ITC Avant Garde"/>
          <w:sz w:val="24"/>
        </w:rPr>
        <w:t>“</w:t>
      </w:r>
      <w:r w:rsidRPr="00876E44">
        <w:rPr>
          <w:rFonts w:ascii="ITC Avant Garde" w:hAnsi="ITC Avant Garde"/>
          <w:i/>
        </w:rPr>
        <w:t>Es factible hablar de un grupo económico cuando un conjunto de personas físicas o morales, entidades o dependencias, entre otras, tiene intereses comerciales y financieros afines y coordinan sus actividades para lograr el objetivo común, o bien, se unen para la realización de un fin determinado, en aras de obtener dichos intereses comerciales y financieros comunes</w:t>
      </w:r>
      <w:r w:rsidRPr="00876E44">
        <w:rPr>
          <w:rFonts w:ascii="ITC Avant Garde" w:hAnsi="ITC Avant Garde"/>
          <w:sz w:val="24"/>
        </w:rPr>
        <w:t xml:space="preserve"> </w:t>
      </w:r>
      <w:r w:rsidRPr="00876E44">
        <w:rPr>
          <w:rFonts w:ascii="ITC Avant Garde" w:hAnsi="ITC Avant Garde"/>
        </w:rPr>
        <w:t>[…]</w:t>
      </w:r>
    </w:p>
    <w:p w:rsidR="00B95D50" w:rsidRPr="00876E44" w:rsidRDefault="00B95D50" w:rsidP="00065658">
      <w:pPr>
        <w:spacing w:after="120" w:line="240" w:lineRule="auto"/>
        <w:ind w:left="283" w:right="283"/>
        <w:jc w:val="both"/>
        <w:rPr>
          <w:rFonts w:ascii="ITC Avant Garde" w:hAnsi="ITC Avant Garde"/>
        </w:rPr>
      </w:pPr>
      <w:r w:rsidRPr="00876E44">
        <w:rPr>
          <w:rFonts w:ascii="ITC Avant Garde" w:hAnsi="ITC Avant Garde"/>
        </w:rPr>
        <w:t>[…]</w:t>
      </w:r>
    </w:p>
    <w:p w:rsidR="00B95D50" w:rsidRPr="00911ED4" w:rsidRDefault="00B95D50" w:rsidP="00065658">
      <w:pPr>
        <w:spacing w:after="120" w:line="240" w:lineRule="auto"/>
        <w:ind w:left="283" w:right="283"/>
        <w:jc w:val="both"/>
        <w:rPr>
          <w:rFonts w:ascii="ITC Avant Garde" w:hAnsi="ITC Avant Garde"/>
          <w:i/>
        </w:rPr>
      </w:pPr>
      <w:r w:rsidRPr="00876E44">
        <w:rPr>
          <w:rFonts w:ascii="ITC Avant Garde" w:hAnsi="ITC Avant Garde"/>
          <w:i/>
        </w:rPr>
        <w:t xml:space="preserve">Para considerar que existe un grupo económico y que puede tener el carácter de agente económico para efectos de la Ley Federal de Competencia Económica, se debe analizar </w:t>
      </w:r>
      <w:r w:rsidRPr="00876E44">
        <w:rPr>
          <w:rFonts w:ascii="ITC Avant Garde" w:hAnsi="ITC Avant Garde"/>
          <w:b/>
          <w:i/>
        </w:rPr>
        <w:t>si una persona, directa o Indirectamente, coordina las actividades del grupo para operar en los mercados</w:t>
      </w:r>
      <w:r w:rsidRPr="00876E44">
        <w:rPr>
          <w:rFonts w:ascii="ITC Avant Garde" w:hAnsi="ITC Avant Garde"/>
          <w:i/>
        </w:rPr>
        <w:t xml:space="preserve"> </w:t>
      </w:r>
      <w:r w:rsidRPr="00876E44">
        <w:rPr>
          <w:rFonts w:ascii="ITC Avant Garde" w:hAnsi="ITC Avant Garde"/>
          <w:b/>
          <w:i/>
        </w:rPr>
        <w:t>y, además, puede ejercer una Influencia decisiva o control sobre la otra,</w:t>
      </w:r>
      <w:r w:rsidRPr="00876E44">
        <w:rPr>
          <w:rFonts w:ascii="ITC Avant Garde" w:hAnsi="ITC Avant Garde"/>
          <w:i/>
        </w:rPr>
        <w:t xml:space="preserve"> ya sea</w:t>
      </w:r>
      <w:r w:rsidRPr="00911ED4">
        <w:rPr>
          <w:rFonts w:ascii="ITC Avant Garde" w:hAnsi="ITC Avant Garde"/>
          <w:i/>
        </w:rPr>
        <w:t xml:space="preserve"> de </w:t>
      </w:r>
      <w:r w:rsidR="00CE658F">
        <w:rPr>
          <w:rFonts w:ascii="ITC Avant Garde" w:hAnsi="ITC Avant Garde"/>
          <w:i/>
        </w:rPr>
        <w:t>i</w:t>
      </w:r>
      <w:r w:rsidRPr="00911ED4">
        <w:rPr>
          <w:rFonts w:ascii="ITC Avant Garde" w:hAnsi="ITC Avant Garde"/>
          <w:i/>
        </w:rPr>
        <w:t>ure o de facto.</w:t>
      </w:r>
    </w:p>
    <w:p w:rsidR="00B95D50" w:rsidRPr="00911ED4" w:rsidRDefault="00B95D50" w:rsidP="00065658">
      <w:pPr>
        <w:spacing w:after="120" w:line="240" w:lineRule="auto"/>
        <w:ind w:left="283" w:right="283"/>
        <w:jc w:val="both"/>
        <w:rPr>
          <w:rFonts w:ascii="ITC Avant Garde" w:hAnsi="ITC Avant Garde"/>
          <w:i/>
        </w:rPr>
      </w:pPr>
      <w:r w:rsidRPr="00911ED4">
        <w:rPr>
          <w:rFonts w:ascii="ITC Avant Garde" w:hAnsi="ITC Avant Garde"/>
          <w:i/>
        </w:rPr>
        <w:t>El control de iure puede darse de diversas formas, entre otras cuando:</w:t>
      </w:r>
    </w:p>
    <w:p w:rsidR="00B95D50" w:rsidRPr="00911ED4" w:rsidRDefault="00B95D50" w:rsidP="00065658">
      <w:pPr>
        <w:spacing w:after="120" w:line="240" w:lineRule="auto"/>
        <w:ind w:left="283" w:right="283"/>
        <w:jc w:val="both"/>
        <w:rPr>
          <w:rFonts w:ascii="ITC Avant Garde" w:hAnsi="ITC Avant Garde"/>
          <w:i/>
        </w:rPr>
      </w:pPr>
      <w:r w:rsidRPr="00911ED4">
        <w:rPr>
          <w:rFonts w:ascii="ITC Avant Garde" w:hAnsi="ITC Avant Garde"/>
          <w:i/>
        </w:rPr>
        <w:t>a) Una persona adquiere la mayoría de las acciones de una empresa;</w:t>
      </w:r>
    </w:p>
    <w:p w:rsidR="00B95D50" w:rsidRPr="00911ED4" w:rsidRDefault="00B95D50" w:rsidP="00065658">
      <w:pPr>
        <w:spacing w:after="120" w:line="240" w:lineRule="auto"/>
        <w:ind w:left="283" w:right="283"/>
        <w:jc w:val="both"/>
        <w:rPr>
          <w:rFonts w:ascii="ITC Avant Garde" w:hAnsi="ITC Avant Garde"/>
          <w:i/>
        </w:rPr>
      </w:pPr>
      <w:r w:rsidRPr="00911ED4">
        <w:rPr>
          <w:rFonts w:ascii="ITC Avant Garde" w:hAnsi="ITC Avant Garde"/>
          <w:i/>
        </w:rPr>
        <w:t>b) Existe la facultad de dirigir o administrar a otra en virtud de un contrato, convenios de abastecimiento de largo plazo, el otorgamiento de créditos o cuando una parte importante de los Ingresos de una empresa dependan de la venta de los productos de otra;</w:t>
      </w:r>
    </w:p>
    <w:p w:rsidR="00B95D50" w:rsidRPr="00911ED4" w:rsidRDefault="00B95D50" w:rsidP="00065658">
      <w:pPr>
        <w:spacing w:after="120" w:line="240" w:lineRule="auto"/>
        <w:ind w:left="283" w:right="283"/>
        <w:jc w:val="both"/>
        <w:rPr>
          <w:rFonts w:ascii="ITC Avant Garde" w:hAnsi="ITC Avant Garde"/>
          <w:i/>
        </w:rPr>
      </w:pPr>
      <w:r w:rsidRPr="00911ED4">
        <w:rPr>
          <w:rFonts w:ascii="ITC Avant Garde" w:hAnsi="ITC Avant Garde"/>
          <w:i/>
        </w:rPr>
        <w:t xml:space="preserve">c) Se tiene la capacidad o derecho de designar la mayoría de los miembros del consejo de administración u órgano equivalente de otra; </w:t>
      </w:r>
    </w:p>
    <w:p w:rsidR="00B95D50" w:rsidRPr="00911ED4" w:rsidRDefault="00B95D50" w:rsidP="00065658">
      <w:pPr>
        <w:spacing w:after="120" w:line="240" w:lineRule="auto"/>
        <w:ind w:left="283" w:right="283"/>
        <w:jc w:val="both"/>
        <w:rPr>
          <w:rFonts w:ascii="ITC Avant Garde" w:hAnsi="ITC Avant Garde"/>
          <w:i/>
        </w:rPr>
      </w:pPr>
      <w:r w:rsidRPr="00911ED4">
        <w:rPr>
          <w:rFonts w:ascii="ITC Avant Garde" w:hAnsi="ITC Avant Garde"/>
          <w:i/>
        </w:rPr>
        <w:t>d) Existe la capacidad o el derecho de designar director, gerente o factor principal de la otra; o</w:t>
      </w:r>
    </w:p>
    <w:p w:rsidR="00B95D50" w:rsidRDefault="00B95D50" w:rsidP="0043621B">
      <w:pPr>
        <w:spacing w:after="120" w:line="240" w:lineRule="auto"/>
        <w:ind w:left="284" w:right="284"/>
        <w:jc w:val="both"/>
        <w:rPr>
          <w:rFonts w:ascii="ITC Avant Garde" w:hAnsi="ITC Avant Garde"/>
        </w:rPr>
      </w:pPr>
      <w:r w:rsidRPr="00911ED4">
        <w:rPr>
          <w:rFonts w:ascii="ITC Avant Garde" w:hAnsi="ITC Avant Garde"/>
          <w:i/>
        </w:rPr>
        <w:lastRenderedPageBreak/>
        <w:t>e) Tenga vínculos por parentesco consanguíneo o afinidad en una o diversas personas morales</w:t>
      </w:r>
      <w:r w:rsidRPr="00911ED4">
        <w:rPr>
          <w:rFonts w:ascii="ITC Avant Garde" w:hAnsi="ITC Avant Garde"/>
          <w:sz w:val="24"/>
        </w:rPr>
        <w:t>”.</w:t>
      </w:r>
      <w:r>
        <w:rPr>
          <w:rFonts w:ascii="ITC Avant Garde" w:hAnsi="ITC Avant Garde"/>
        </w:rPr>
        <w:t xml:space="preserve"> </w:t>
      </w:r>
    </w:p>
    <w:p w:rsidR="00B95D50" w:rsidRPr="004753CE" w:rsidRDefault="00B95D50" w:rsidP="0043621B">
      <w:pPr>
        <w:spacing w:after="120" w:line="240" w:lineRule="auto"/>
        <w:ind w:left="283" w:right="283"/>
        <w:jc w:val="center"/>
        <w:rPr>
          <w:rFonts w:ascii="ITC Avant Garde" w:hAnsi="ITC Avant Garde"/>
        </w:rPr>
      </w:pPr>
      <w:r>
        <w:rPr>
          <w:rFonts w:ascii="ITC Avant Garde" w:hAnsi="ITC Avant Garde"/>
        </w:rPr>
        <w:t>[Énfasis añadido]</w:t>
      </w:r>
    </w:p>
    <w:p w:rsidR="00DF393B" w:rsidRDefault="00DF393B" w:rsidP="008A6CBF">
      <w:pPr>
        <w:pStyle w:val="Prrafonumerado"/>
      </w:pPr>
      <w:r>
        <w:t>En la misma sentencia, el PJF se refi</w:t>
      </w:r>
      <w:r w:rsidR="008A6CBF">
        <w:t>ere</w:t>
      </w:r>
      <w:r>
        <w:t xml:space="preserve"> al control </w:t>
      </w:r>
      <w:r>
        <w:rPr>
          <w:i/>
        </w:rPr>
        <w:t xml:space="preserve">de facto </w:t>
      </w:r>
      <w:r>
        <w:t>en los siguientes términos:</w:t>
      </w:r>
    </w:p>
    <w:p w:rsidR="00DF393B" w:rsidRPr="0043621B" w:rsidRDefault="00DF393B" w:rsidP="0043621B">
      <w:pPr>
        <w:autoSpaceDE w:val="0"/>
        <w:autoSpaceDN w:val="0"/>
        <w:adjustRightInd w:val="0"/>
        <w:spacing w:after="120" w:line="240" w:lineRule="auto"/>
        <w:ind w:left="283" w:right="284"/>
        <w:jc w:val="both"/>
        <w:rPr>
          <w:rFonts w:ascii="ITC Avant Garde" w:hAnsi="ITC Avant Garde" w:cs="Arial"/>
          <w:i/>
          <w:szCs w:val="28"/>
        </w:rPr>
      </w:pPr>
      <w:r w:rsidRPr="0043621B">
        <w:rPr>
          <w:rFonts w:ascii="ITC Avant Garde" w:hAnsi="ITC Avant Garde" w:cs="Arial"/>
          <w:i/>
          <w:szCs w:val="28"/>
        </w:rPr>
        <w:t>Por otro lado, el análisis del control de facto debe atender no sólo al nivel de participación accionaria cuando ningún socio tiene mayoría absoluta, sino también a la posibilidad de que un socio minoritario pueda obtener mayoría en las asambleas dado el nivel de asistencia; la posición de los otros accionistas (dispersión, vínculos de tipo estructural, económico o familiar con el accionista principal); y el interés financiero.</w:t>
      </w:r>
    </w:p>
    <w:p w:rsidR="00B95D50" w:rsidRDefault="00B95D50" w:rsidP="008A6CBF">
      <w:pPr>
        <w:pStyle w:val="Prrafonumerado"/>
      </w:pPr>
      <w:r w:rsidRPr="00911ED4">
        <w:t xml:space="preserve">Asimismo, los elementos referentes a control de </w:t>
      </w:r>
      <w:r w:rsidRPr="00EA51E7">
        <w:rPr>
          <w:i/>
        </w:rPr>
        <w:t>iure</w:t>
      </w:r>
      <w:r w:rsidRPr="00911ED4">
        <w:t>, intereses afines y coordinación de actividades se han confirmado en diversas jurisprudencia</w:t>
      </w:r>
      <w:r w:rsidR="0064605D">
        <w:t>s</w:t>
      </w:r>
      <w:r w:rsidRPr="00911ED4">
        <w:t xml:space="preserve"> que definen el concepto de GIE para el análisis en materia de competencia económica:</w:t>
      </w:r>
    </w:p>
    <w:p w:rsidR="00B95D50" w:rsidRDefault="00B95D50" w:rsidP="0043621B">
      <w:pPr>
        <w:spacing w:after="120" w:line="240" w:lineRule="auto"/>
        <w:ind w:left="283" w:right="283"/>
        <w:jc w:val="both"/>
        <w:rPr>
          <w:rFonts w:ascii="ITC Avant Garde" w:hAnsi="ITC Avant Garde"/>
        </w:rPr>
      </w:pPr>
      <w:r w:rsidRPr="00911ED4">
        <w:rPr>
          <w:rFonts w:ascii="ITC Avant Garde" w:hAnsi="ITC Avant Garde"/>
          <w:sz w:val="24"/>
        </w:rPr>
        <w:t>“</w:t>
      </w:r>
      <w:r w:rsidRPr="00911ED4">
        <w:rPr>
          <w:rFonts w:ascii="ITC Avant Garde" w:hAnsi="ITC Avant Garde"/>
          <w:b/>
          <w:i/>
        </w:rPr>
        <w:t>GRUPO DE INTERÉS ECONÓMICO. SU CONCEPTO Y ELEMENTOS QUE LO INTEGRAN EN MATERIA DE COMPETENCIA ECONÓMICA.</w:t>
      </w:r>
      <w:r w:rsidRPr="00911ED4">
        <w:rPr>
          <w:rFonts w:ascii="ITC Avant Garde" w:hAnsi="ITC Avant Garde"/>
          <w:i/>
        </w:rPr>
        <w:t xml:space="preserve"> En materia de competencia económica </w:t>
      </w:r>
      <w:r w:rsidRPr="00911ED4">
        <w:rPr>
          <w:rFonts w:ascii="ITC Avant Garde" w:hAnsi="ITC Avant Garde"/>
          <w:i/>
          <w:u w:val="single"/>
        </w:rPr>
        <w:t>se está ante un grupo de interés económico cuando un conjunto de personas físicas o morales tienen intereses comerciales y financieros afines, y coordinan sus actividades para lograr un determinado objetivo común</w:t>
      </w:r>
      <w:r w:rsidRPr="00911ED4">
        <w:rPr>
          <w:rFonts w:ascii="ITC Avant Garde" w:hAnsi="ITC Avant Garde"/>
          <w:i/>
        </w:rPr>
        <w:t xml:space="preserve">. Así, aunado a los elementos de interés -comercial y financiero- y de coordinación de actividades, concurren otros como son </w:t>
      </w:r>
      <w:r w:rsidRPr="00911ED4">
        <w:rPr>
          <w:rFonts w:ascii="ITC Avant Garde" w:hAnsi="ITC Avant Garde"/>
          <w:b/>
          <w:i/>
          <w:u w:val="single"/>
        </w:rPr>
        <w:t>el control, la autonomía y la unidad de comportamiento en el mercado</w:t>
      </w:r>
      <w:r w:rsidRPr="00911ED4">
        <w:rPr>
          <w:rFonts w:ascii="ITC Avant Garde" w:hAnsi="ITC Avant Garde"/>
          <w:i/>
        </w:rPr>
        <w:t xml:space="preserve">. En esa tesitura, el control puede ser real si se refiere a la conducción efectiva de una empresa controladora hacia sus subsidiarias, o bien, latente cuando sea potencial la posibilidad de efectuarlo por medio de medidas persuasivas que pueden darse entre las empresas aun cuando no exista vínculo jurídico centralizado y jerarquizado, pero sí un poder real. Bajo esta modalidad -poder latente- es que la autonomía jurídica de las sociedades carece de contenido material, imponiéndose los intereses del grupo o de la entidad económica, entendida como organización unitaria de elementos personales, </w:t>
      </w:r>
      <w:r w:rsidRPr="00911ED4">
        <w:rPr>
          <w:rFonts w:ascii="ITC Avant Garde" w:hAnsi="ITC Avant Garde"/>
          <w:i/>
          <w:u w:val="single"/>
        </w:rPr>
        <w:t>materiales e inmateriales que persigue de manera duradera un fin económico determinado acorde a los intereses de las sociedades integrantes, es decir, a pesar de la personalidad jurídica propia de cada una de las empresas, éstas se comportan funcionalmente como una sola en el mercado, lo que implica la pérdida de la libertad individual de actuación</w:t>
      </w:r>
      <w:r w:rsidRPr="00911ED4">
        <w:rPr>
          <w:rFonts w:ascii="ITC Avant Garde" w:hAnsi="ITC Avant Garde"/>
          <w:i/>
        </w:rPr>
        <w:t xml:space="preserve">. Por lo tanto, para considerar que existe un grupo económico y que puede tener el carácter de agente económico, para efectos de la Ley Federal de Competencia Económica, </w:t>
      </w:r>
      <w:r w:rsidRPr="00911ED4">
        <w:rPr>
          <w:rFonts w:ascii="ITC Avant Garde" w:hAnsi="ITC Avant Garde"/>
          <w:i/>
          <w:u w:val="single"/>
        </w:rPr>
        <w:t>se debe analizar si una persona, directa o indirectamente, coordina las actividades del grupo para operar en los mercados y, además, puede ejercer una influencia decisiva o control sobre la otra</w:t>
      </w:r>
      <w:r w:rsidRPr="00911ED4">
        <w:rPr>
          <w:rFonts w:ascii="ITC Avant Garde" w:hAnsi="ITC Avant Garde"/>
          <w:i/>
        </w:rPr>
        <w:t>, en los términos anotados, sin que sea necesario que se den de manera concomitante</w:t>
      </w:r>
      <w:r w:rsidRPr="00911ED4">
        <w:rPr>
          <w:rFonts w:ascii="ITC Avant Garde" w:hAnsi="ITC Avant Garde"/>
          <w:sz w:val="24"/>
        </w:rPr>
        <w:t>”.</w:t>
      </w:r>
      <w:r w:rsidRPr="00911ED4">
        <w:rPr>
          <w:rStyle w:val="Refdenotaalpie"/>
          <w:rFonts w:ascii="ITC Avant Garde" w:hAnsi="ITC Avant Garde"/>
          <w:sz w:val="24"/>
        </w:rPr>
        <w:footnoteReference w:id="45"/>
      </w:r>
    </w:p>
    <w:p w:rsidR="00B95D50" w:rsidRDefault="00B95D50" w:rsidP="0043621B">
      <w:pPr>
        <w:spacing w:after="120" w:line="240" w:lineRule="auto"/>
        <w:ind w:left="283" w:right="283"/>
        <w:jc w:val="both"/>
        <w:rPr>
          <w:rFonts w:ascii="ITC Avant Garde" w:hAnsi="ITC Avant Garde"/>
        </w:rPr>
      </w:pPr>
      <w:r w:rsidRPr="00911ED4">
        <w:rPr>
          <w:rFonts w:ascii="ITC Avant Garde" w:hAnsi="ITC Avant Garde"/>
          <w:sz w:val="24"/>
        </w:rPr>
        <w:t>“</w:t>
      </w:r>
      <w:r w:rsidRPr="00911ED4">
        <w:rPr>
          <w:rFonts w:ascii="ITC Avant Garde" w:hAnsi="ITC Avant Garde"/>
          <w:b/>
          <w:i/>
        </w:rPr>
        <w:t xml:space="preserve">PROCEDIMIENTO DE INVESTIGACIÓN DE PRÁCTICAS MONOPÓLICAS. CUANDO LAS CONDUCTAS ATRIBUIDAS A UNA EMPRESA FUERON DESPLEGADAS POR EL GRUPO DE INTERÉS ECONÓMICO AL QUE PERTENECE, LA COMISIÓN FEDERAL DE COMPETENCIA DEBE VINCULAR TANTO AL AGENTE INVESTIGADO COMO A LA INTEGRACIÓN VERTICAL DE </w:t>
      </w:r>
      <w:r w:rsidRPr="00911ED4">
        <w:rPr>
          <w:rFonts w:ascii="ITC Avant Garde" w:hAnsi="ITC Avant Garde"/>
          <w:b/>
          <w:i/>
        </w:rPr>
        <w:lastRenderedPageBreak/>
        <w:t>OPERACIÓN DEL ALUDIDO GRUPO.</w:t>
      </w:r>
      <w:r w:rsidRPr="00911ED4">
        <w:rPr>
          <w:rFonts w:ascii="ITC Avant Garde" w:hAnsi="ITC Avant Garde"/>
          <w:i/>
        </w:rPr>
        <w:t xml:space="preserve"> </w:t>
      </w:r>
      <w:r w:rsidRPr="00911ED4">
        <w:rPr>
          <w:rFonts w:ascii="ITC Avant Garde" w:hAnsi="ITC Avant Garde"/>
          <w:i/>
          <w:u w:val="single"/>
        </w:rPr>
        <w:t>En los grupos de interés económico es esencial que haya un órgano de coordinación entre sus integrantes</w:t>
      </w:r>
      <w:r w:rsidRPr="00911ED4">
        <w:rPr>
          <w:rFonts w:ascii="ITC Avant Garde" w:hAnsi="ITC Avant Garde"/>
          <w:i/>
        </w:rPr>
        <w:t xml:space="preserve">, sin cuya existencia no cabría hablar de una asociación de empresas. Por tanto, a partir de los vínculos de tipo comercial, organizativo, económico, jurídico, </w:t>
      </w:r>
      <w:r w:rsidRPr="00346097">
        <w:rPr>
          <w:rFonts w:ascii="ITC Avant Garde" w:hAnsi="ITC Avant Garde"/>
          <w:b/>
          <w:i/>
          <w:u w:val="single"/>
        </w:rPr>
        <w:t>relativos al control</w:t>
      </w:r>
      <w:r w:rsidRPr="00911ED4">
        <w:rPr>
          <w:rFonts w:ascii="ITC Avant Garde" w:hAnsi="ITC Avant Garde"/>
          <w:i/>
          <w:u w:val="single"/>
        </w:rPr>
        <w:t>, autonomía y unidad de comportamiento en el mercado entre las sociedades que puedan existir, es factible demostrar la influencia de una de las empresas sobre la estrategia de las otras, y justificar que se conciban como una sola unidad económica</w:t>
      </w:r>
      <w:r w:rsidRPr="00911ED4">
        <w:rPr>
          <w:rFonts w:ascii="ITC Avant Garde" w:hAnsi="ITC Avant Garde"/>
          <w:i/>
        </w:rPr>
        <w:t>. Esta circunstancia origina que en la práctica sean muy diversos los procedimientos que pueden utilizar las empresas para ponerse de acuerdo o coordinarse con vistas a restringir la competencia, pudiendo además, en ciertos casos, ser difícil establecer con precisión cómo se ha llegado a un acuerdo o a un comportamiento anticompetitivo concertado, dado el cuidado que los interesados pondrán en ocultar un acuerdo o decisión formal. En esa tesitura, la Comisión Federal de Competencia en el procedimiento de investigación de prácticas monopólicas, cuando las conductas atribuidas a una empresa fueron desplegadas por el grupo de interés económico al que pertenece, debe vincular tanto al agente investigado como a la integración vertical de operación del aludido grupo, por ser la actividad económica de éste la que se juzga en su conjunto</w:t>
      </w:r>
      <w:r w:rsidRPr="00911ED4">
        <w:rPr>
          <w:rFonts w:ascii="ITC Avant Garde" w:hAnsi="ITC Avant Garde"/>
          <w:sz w:val="24"/>
        </w:rPr>
        <w:t>”.</w:t>
      </w:r>
      <w:r w:rsidRPr="00911ED4">
        <w:rPr>
          <w:rStyle w:val="Refdenotaalpie"/>
          <w:rFonts w:ascii="ITC Avant Garde" w:hAnsi="ITC Avant Garde"/>
          <w:sz w:val="24"/>
        </w:rPr>
        <w:footnoteReference w:id="46"/>
      </w:r>
    </w:p>
    <w:p w:rsidR="00B95D50" w:rsidRPr="00911ED4" w:rsidRDefault="00B95D50" w:rsidP="0043621B">
      <w:pPr>
        <w:spacing w:after="120" w:line="240" w:lineRule="auto"/>
        <w:ind w:left="283" w:right="283"/>
        <w:jc w:val="center"/>
        <w:rPr>
          <w:rFonts w:ascii="ITC Avant Garde" w:hAnsi="ITC Avant Garde"/>
          <w:sz w:val="24"/>
        </w:rPr>
      </w:pPr>
      <w:r w:rsidRPr="00911ED4">
        <w:rPr>
          <w:rFonts w:ascii="ITC Avant Garde" w:hAnsi="ITC Avant Garde"/>
          <w:sz w:val="24"/>
        </w:rPr>
        <w:t>[Énfasis añadido]</w:t>
      </w:r>
    </w:p>
    <w:p w:rsidR="00B95D50" w:rsidRDefault="00D16AF0" w:rsidP="00E874D7">
      <w:pPr>
        <w:pStyle w:val="Prrafonumerado"/>
      </w:pPr>
      <w:r>
        <w:t>E</w:t>
      </w:r>
      <w:r w:rsidR="00B95D50">
        <w:t>st</w:t>
      </w:r>
      <w:r w:rsidR="00A82830">
        <w:t xml:space="preserve">e Instituto ha considerado consistentemente </w:t>
      </w:r>
      <w:r w:rsidR="00B95D50">
        <w:t xml:space="preserve">que el control, </w:t>
      </w:r>
      <w:r w:rsidR="00323B13">
        <w:t>o bien la unidad de comportamiento en el mercado</w:t>
      </w:r>
      <w:r w:rsidR="00B95D50">
        <w:t xml:space="preserve"> pueden ser demostrados cuando se actualizan cualquiera de los criterios siguientes: </w:t>
      </w:r>
    </w:p>
    <w:p w:rsidR="00B95D50" w:rsidRDefault="00B95D50" w:rsidP="0043621B">
      <w:pPr>
        <w:spacing w:after="120" w:line="240" w:lineRule="auto"/>
        <w:jc w:val="both"/>
        <w:rPr>
          <w:rFonts w:ascii="ITC Avant Garde" w:hAnsi="ITC Avant Garde"/>
          <w:sz w:val="24"/>
        </w:rPr>
      </w:pPr>
      <w:r w:rsidRPr="00F06A48">
        <w:rPr>
          <w:rFonts w:ascii="ITC Avant Garde" w:hAnsi="ITC Avant Garde"/>
          <w:sz w:val="24"/>
        </w:rPr>
        <w:t>a) Cuando una persona, directa o indirecta</w:t>
      </w:r>
      <w:r>
        <w:rPr>
          <w:rFonts w:ascii="ITC Avant Garde" w:hAnsi="ITC Avant Garde"/>
          <w:sz w:val="24"/>
        </w:rPr>
        <w:t xml:space="preserve">mente, es tenedora o titular de </w:t>
      </w:r>
      <w:r w:rsidRPr="00F06A48">
        <w:rPr>
          <w:rFonts w:ascii="ITC Avant Garde" w:hAnsi="ITC Avant Garde"/>
          <w:sz w:val="24"/>
        </w:rPr>
        <w:t>acciones o partes sociales, con derecho pl</w:t>
      </w:r>
      <w:r>
        <w:rPr>
          <w:rFonts w:ascii="ITC Avant Garde" w:hAnsi="ITC Avant Garde"/>
          <w:sz w:val="24"/>
        </w:rPr>
        <w:t xml:space="preserve">eno a voto, que representen más </w:t>
      </w:r>
      <w:r w:rsidRPr="00F06A48">
        <w:rPr>
          <w:rFonts w:ascii="ITC Avant Garde" w:hAnsi="ITC Avant Garde"/>
          <w:sz w:val="24"/>
        </w:rPr>
        <w:t xml:space="preserve">del </w:t>
      </w:r>
      <w:r w:rsidR="00CE658F" w:rsidRPr="00F06A48">
        <w:rPr>
          <w:rFonts w:ascii="ITC Avant Garde" w:hAnsi="ITC Avant Garde"/>
          <w:sz w:val="24"/>
        </w:rPr>
        <w:t>50%</w:t>
      </w:r>
      <w:r w:rsidR="00CE658F">
        <w:rPr>
          <w:rFonts w:ascii="ITC Avant Garde" w:hAnsi="ITC Avant Garde"/>
          <w:sz w:val="24"/>
        </w:rPr>
        <w:t xml:space="preserve"> </w:t>
      </w:r>
      <w:r w:rsidR="00CE658F" w:rsidRPr="00F06A48">
        <w:rPr>
          <w:rFonts w:ascii="ITC Avant Garde" w:hAnsi="ITC Avant Garde"/>
          <w:sz w:val="24"/>
        </w:rPr>
        <w:t>(</w:t>
      </w:r>
      <w:r w:rsidRPr="00F06A48">
        <w:rPr>
          <w:rFonts w:ascii="ITC Avant Garde" w:hAnsi="ITC Avant Garde"/>
          <w:sz w:val="24"/>
        </w:rPr>
        <w:t>cincuenta por ciento) del capit</w:t>
      </w:r>
      <w:r>
        <w:rPr>
          <w:rFonts w:ascii="ITC Avant Garde" w:hAnsi="ITC Avant Garde"/>
          <w:sz w:val="24"/>
        </w:rPr>
        <w:t xml:space="preserve">al social de dos o más personas </w:t>
      </w:r>
      <w:r w:rsidRPr="00F06A48">
        <w:rPr>
          <w:rFonts w:ascii="ITC Avant Garde" w:hAnsi="ITC Avant Garde"/>
          <w:sz w:val="24"/>
        </w:rPr>
        <w:t>morales;</w:t>
      </w:r>
    </w:p>
    <w:p w:rsidR="00B95D50" w:rsidRDefault="00B95D50" w:rsidP="0043621B">
      <w:pPr>
        <w:spacing w:after="120" w:line="240" w:lineRule="auto"/>
        <w:jc w:val="both"/>
        <w:rPr>
          <w:rFonts w:ascii="ITC Avant Garde" w:hAnsi="ITC Avant Garde"/>
          <w:sz w:val="24"/>
        </w:rPr>
      </w:pPr>
      <w:r w:rsidRPr="002E5033">
        <w:rPr>
          <w:rFonts w:ascii="ITC Avant Garde" w:hAnsi="ITC Avant Garde"/>
          <w:sz w:val="24"/>
        </w:rPr>
        <w:t>b) Cuando una persona es tenedora o titula</w:t>
      </w:r>
      <w:r>
        <w:rPr>
          <w:rFonts w:ascii="ITC Avant Garde" w:hAnsi="ITC Avant Garde"/>
          <w:sz w:val="24"/>
        </w:rPr>
        <w:t xml:space="preserve">r de acciones o partes sociales </w:t>
      </w:r>
      <w:r w:rsidRPr="002E5033">
        <w:rPr>
          <w:rFonts w:ascii="ITC Avant Garde" w:hAnsi="ITC Avant Garde"/>
          <w:sz w:val="24"/>
        </w:rPr>
        <w:t>con derecho pleno a voto, de dos o m</w:t>
      </w:r>
      <w:r>
        <w:rPr>
          <w:rFonts w:ascii="ITC Avant Garde" w:hAnsi="ITC Avant Garde"/>
          <w:sz w:val="24"/>
        </w:rPr>
        <w:t xml:space="preserve">ás personas morales, cuyo valor </w:t>
      </w:r>
      <w:r w:rsidRPr="002E5033">
        <w:rPr>
          <w:rFonts w:ascii="ITC Avant Garde" w:hAnsi="ITC Avant Garde"/>
          <w:sz w:val="24"/>
        </w:rPr>
        <w:t>representa el mayor porcentaje del ca</w:t>
      </w:r>
      <w:r>
        <w:rPr>
          <w:rFonts w:ascii="ITC Avant Garde" w:hAnsi="ITC Avant Garde"/>
          <w:sz w:val="24"/>
        </w:rPr>
        <w:t xml:space="preserve">pital social de estas personas, </w:t>
      </w:r>
      <w:r w:rsidRPr="002E5033">
        <w:rPr>
          <w:rFonts w:ascii="ITC Avant Garde" w:hAnsi="ITC Avant Garde"/>
          <w:sz w:val="24"/>
        </w:rPr>
        <w:t>respecto a los demás accionistas de las mismas;</w:t>
      </w:r>
    </w:p>
    <w:p w:rsidR="00B95D50" w:rsidRDefault="00B95D50" w:rsidP="0043621B">
      <w:pPr>
        <w:spacing w:after="120" w:line="240" w:lineRule="auto"/>
        <w:jc w:val="both"/>
        <w:rPr>
          <w:rFonts w:ascii="ITC Avant Garde" w:hAnsi="ITC Avant Garde"/>
          <w:sz w:val="24"/>
        </w:rPr>
      </w:pPr>
      <w:r w:rsidRPr="002E5033">
        <w:rPr>
          <w:rFonts w:ascii="ITC Avant Garde" w:hAnsi="ITC Avant Garde"/>
          <w:sz w:val="24"/>
        </w:rPr>
        <w:t>c) Cuando una o varias personas, dir</w:t>
      </w:r>
      <w:r>
        <w:rPr>
          <w:rFonts w:ascii="ITC Avant Garde" w:hAnsi="ITC Avant Garde"/>
          <w:sz w:val="24"/>
        </w:rPr>
        <w:t>ecta o indirectamente, tenga</w:t>
      </w:r>
      <w:r w:rsidR="00A82830">
        <w:rPr>
          <w:rFonts w:ascii="ITC Avant Garde" w:hAnsi="ITC Avant Garde"/>
          <w:sz w:val="24"/>
        </w:rPr>
        <w:t>n</w:t>
      </w:r>
      <w:r>
        <w:rPr>
          <w:rFonts w:ascii="ITC Avant Garde" w:hAnsi="ITC Avant Garde"/>
          <w:sz w:val="24"/>
        </w:rPr>
        <w:t xml:space="preserve"> la </w:t>
      </w:r>
      <w:r w:rsidRPr="002E5033">
        <w:rPr>
          <w:rFonts w:ascii="ITC Avant Garde" w:hAnsi="ITC Avant Garde"/>
          <w:sz w:val="24"/>
        </w:rPr>
        <w:t>facultad de dirigir o administrar a una o má</w:t>
      </w:r>
      <w:r>
        <w:rPr>
          <w:rFonts w:ascii="ITC Avant Garde" w:hAnsi="ITC Avant Garde"/>
          <w:sz w:val="24"/>
        </w:rPr>
        <w:t xml:space="preserve">s personas morales en virtud de </w:t>
      </w:r>
      <w:r w:rsidRPr="002E5033">
        <w:rPr>
          <w:rFonts w:ascii="ITC Avant Garde" w:hAnsi="ITC Avant Garde"/>
          <w:sz w:val="24"/>
        </w:rPr>
        <w:t>las facultades que le otorga su posición den</w:t>
      </w:r>
      <w:r>
        <w:rPr>
          <w:rFonts w:ascii="ITC Avant Garde" w:hAnsi="ITC Avant Garde"/>
          <w:sz w:val="24"/>
        </w:rPr>
        <w:t xml:space="preserve">tro de los órganos de dirección </w:t>
      </w:r>
      <w:r w:rsidRPr="002E5033">
        <w:rPr>
          <w:rFonts w:ascii="ITC Avant Garde" w:hAnsi="ITC Avant Garde"/>
          <w:sz w:val="24"/>
        </w:rPr>
        <w:t>y/o administración de la sociedad o sociedades en cuestión;</w:t>
      </w:r>
    </w:p>
    <w:p w:rsidR="00B95D50" w:rsidRDefault="00B95D50" w:rsidP="0043621B">
      <w:pPr>
        <w:spacing w:after="120" w:line="240" w:lineRule="auto"/>
        <w:jc w:val="both"/>
        <w:rPr>
          <w:rFonts w:ascii="ITC Avant Garde" w:hAnsi="ITC Avant Garde"/>
          <w:sz w:val="24"/>
        </w:rPr>
      </w:pPr>
      <w:r w:rsidRPr="002E5033">
        <w:rPr>
          <w:rFonts w:ascii="ITC Avant Garde" w:hAnsi="ITC Avant Garde"/>
          <w:sz w:val="24"/>
        </w:rPr>
        <w:t>d) Cuando una persona tenga la cap</w:t>
      </w:r>
      <w:r>
        <w:rPr>
          <w:rFonts w:ascii="ITC Avant Garde" w:hAnsi="ITC Avant Garde"/>
          <w:sz w:val="24"/>
        </w:rPr>
        <w:t xml:space="preserve">acidad o derecho de designar la </w:t>
      </w:r>
      <w:r w:rsidRPr="002E5033">
        <w:rPr>
          <w:rFonts w:ascii="ITC Avant Garde" w:hAnsi="ITC Avant Garde"/>
          <w:sz w:val="24"/>
        </w:rPr>
        <w:t>mayoría de los miembros del consejo de administración u órgano</w:t>
      </w:r>
      <w:r>
        <w:rPr>
          <w:rFonts w:ascii="ITC Avant Garde" w:hAnsi="ITC Avant Garde"/>
          <w:sz w:val="24"/>
        </w:rPr>
        <w:t xml:space="preserve"> </w:t>
      </w:r>
      <w:r w:rsidRPr="002E5033">
        <w:rPr>
          <w:rFonts w:ascii="ITC Avant Garde" w:hAnsi="ITC Avant Garde"/>
          <w:sz w:val="24"/>
        </w:rPr>
        <w:t>equivalente de otra persona;</w:t>
      </w:r>
    </w:p>
    <w:p w:rsidR="00B95D50" w:rsidRDefault="00B95D50" w:rsidP="0043621B">
      <w:pPr>
        <w:spacing w:after="120" w:line="240" w:lineRule="auto"/>
        <w:jc w:val="both"/>
        <w:rPr>
          <w:rFonts w:ascii="ITC Avant Garde" w:hAnsi="ITC Avant Garde"/>
          <w:sz w:val="24"/>
        </w:rPr>
      </w:pPr>
      <w:r w:rsidRPr="002E5033">
        <w:rPr>
          <w:rFonts w:ascii="ITC Avant Garde" w:hAnsi="ITC Avant Garde"/>
          <w:sz w:val="24"/>
        </w:rPr>
        <w:t>e) Cuando una persona, directa o indirect</w:t>
      </w:r>
      <w:r>
        <w:rPr>
          <w:rFonts w:ascii="ITC Avant Garde" w:hAnsi="ITC Avant Garde"/>
          <w:sz w:val="24"/>
        </w:rPr>
        <w:t xml:space="preserve">amente, tenga la capacidad o el </w:t>
      </w:r>
      <w:r w:rsidRPr="002E5033">
        <w:rPr>
          <w:rFonts w:ascii="ITC Avant Garde" w:hAnsi="ITC Avant Garde"/>
          <w:sz w:val="24"/>
        </w:rPr>
        <w:t>derecho de designar al director, gerente o factor principal de otras personas;</w:t>
      </w:r>
    </w:p>
    <w:p w:rsidR="00B95D50" w:rsidRDefault="00B95D50" w:rsidP="0043621B">
      <w:pPr>
        <w:spacing w:after="120" w:line="240" w:lineRule="auto"/>
        <w:jc w:val="both"/>
        <w:rPr>
          <w:rFonts w:ascii="ITC Avant Garde" w:hAnsi="ITC Avant Garde"/>
          <w:sz w:val="24"/>
        </w:rPr>
      </w:pPr>
      <w:r w:rsidRPr="00757E23">
        <w:rPr>
          <w:rFonts w:ascii="ITC Avant Garde" w:hAnsi="ITC Avant Garde"/>
          <w:sz w:val="24"/>
        </w:rPr>
        <w:t xml:space="preserve">f) Cuando </w:t>
      </w:r>
      <w:r w:rsidR="00AD652D">
        <w:rPr>
          <w:rFonts w:ascii="ITC Avant Garde" w:hAnsi="ITC Avant Garde"/>
          <w:sz w:val="24"/>
        </w:rPr>
        <w:t>una persona y las vinculadas a é</w:t>
      </w:r>
      <w:r>
        <w:rPr>
          <w:rFonts w:ascii="ITC Avant Garde" w:hAnsi="ITC Avant Garde"/>
          <w:sz w:val="24"/>
        </w:rPr>
        <w:t xml:space="preserve">sta por parentesco consanguíneo </w:t>
      </w:r>
      <w:r w:rsidRPr="00757E23">
        <w:rPr>
          <w:rFonts w:ascii="ITC Avant Garde" w:hAnsi="ITC Avant Garde"/>
          <w:sz w:val="24"/>
        </w:rPr>
        <w:t>o por afinidad</w:t>
      </w:r>
      <w:r w:rsidR="00CE658F">
        <w:rPr>
          <w:rFonts w:ascii="ITC Avant Garde" w:hAnsi="ITC Avant Garde"/>
          <w:sz w:val="24"/>
        </w:rPr>
        <w:t>,</w:t>
      </w:r>
      <w:r w:rsidRPr="00757E23">
        <w:rPr>
          <w:rFonts w:ascii="ITC Avant Garde" w:hAnsi="ITC Avant Garde"/>
          <w:sz w:val="24"/>
        </w:rPr>
        <w:t xml:space="preserve"> tengan participación en una o diversas personas morales;</w:t>
      </w:r>
    </w:p>
    <w:p w:rsidR="00B95D50" w:rsidRDefault="00B95D50" w:rsidP="0043621B">
      <w:pPr>
        <w:spacing w:after="120" w:line="240" w:lineRule="auto"/>
        <w:jc w:val="both"/>
        <w:rPr>
          <w:rFonts w:ascii="ITC Avant Garde" w:hAnsi="ITC Avant Garde"/>
          <w:sz w:val="24"/>
        </w:rPr>
      </w:pPr>
      <w:r w:rsidRPr="00757E23">
        <w:rPr>
          <w:rFonts w:ascii="ITC Avant Garde" w:hAnsi="ITC Avant Garde"/>
          <w:sz w:val="24"/>
        </w:rPr>
        <w:lastRenderedPageBreak/>
        <w:t>g) Cuando una o varias personas tengan la fa</w:t>
      </w:r>
      <w:r>
        <w:rPr>
          <w:rFonts w:ascii="ITC Avant Garde" w:hAnsi="ITC Avant Garde"/>
          <w:sz w:val="24"/>
        </w:rPr>
        <w:t xml:space="preserve">cultad de dirigir o administrar </w:t>
      </w:r>
      <w:r w:rsidRPr="00757E23">
        <w:rPr>
          <w:rFonts w:ascii="ITC Avant Garde" w:hAnsi="ITC Avant Garde"/>
          <w:sz w:val="24"/>
        </w:rPr>
        <w:t>a otras personas morales en virtud</w:t>
      </w:r>
      <w:r>
        <w:rPr>
          <w:rFonts w:ascii="ITC Avant Garde" w:hAnsi="ITC Avant Garde"/>
          <w:sz w:val="24"/>
        </w:rPr>
        <w:t xml:space="preserve"> de uno o varios contratos, incl</w:t>
      </w:r>
      <w:r w:rsidRPr="00757E23">
        <w:rPr>
          <w:rFonts w:ascii="ITC Avant Garde" w:hAnsi="ITC Avant Garde"/>
          <w:sz w:val="24"/>
        </w:rPr>
        <w:t>uy</w:t>
      </w:r>
      <w:r>
        <w:rPr>
          <w:rFonts w:ascii="ITC Avant Garde" w:hAnsi="ITC Avant Garde"/>
          <w:sz w:val="24"/>
        </w:rPr>
        <w:t xml:space="preserve">endo el </w:t>
      </w:r>
      <w:r w:rsidRPr="00757E23">
        <w:rPr>
          <w:rFonts w:ascii="ITC Avant Garde" w:hAnsi="ITC Avant Garde"/>
          <w:sz w:val="24"/>
        </w:rPr>
        <w:t>acto constitutivo de dichas personas morales;</w:t>
      </w:r>
    </w:p>
    <w:p w:rsidR="00B95D50" w:rsidRDefault="00B95D50" w:rsidP="0043621B">
      <w:pPr>
        <w:spacing w:after="120" w:line="240" w:lineRule="auto"/>
        <w:jc w:val="both"/>
        <w:rPr>
          <w:rFonts w:ascii="ITC Avant Garde" w:hAnsi="ITC Avant Garde"/>
          <w:sz w:val="24"/>
        </w:rPr>
      </w:pPr>
      <w:r w:rsidRPr="00757E23">
        <w:rPr>
          <w:rFonts w:ascii="ITC Avant Garde" w:hAnsi="ITC Avant Garde"/>
          <w:sz w:val="24"/>
        </w:rPr>
        <w:t>h) Cuando las partes expresamente así lo reconozcan; y</w:t>
      </w:r>
    </w:p>
    <w:p w:rsidR="00B95D50" w:rsidRDefault="00B95D50" w:rsidP="0043621B">
      <w:pPr>
        <w:spacing w:after="120" w:line="240" w:lineRule="auto"/>
        <w:jc w:val="both"/>
        <w:rPr>
          <w:rFonts w:ascii="ITC Avant Garde" w:hAnsi="ITC Avant Garde"/>
          <w:sz w:val="24"/>
        </w:rPr>
      </w:pPr>
      <w:r w:rsidRPr="00757E23">
        <w:rPr>
          <w:rFonts w:ascii="ITC Avant Garde" w:hAnsi="ITC Avant Garde"/>
          <w:sz w:val="24"/>
        </w:rPr>
        <w:t xml:space="preserve">i) Cuando las actividades mercantiles de una </w:t>
      </w:r>
      <w:r>
        <w:rPr>
          <w:rFonts w:ascii="ITC Avant Garde" w:hAnsi="ITC Avant Garde"/>
          <w:sz w:val="24"/>
        </w:rPr>
        <w:t xml:space="preserve">o varias sociedades se realizan </w:t>
      </w:r>
      <w:r w:rsidRPr="00757E23">
        <w:rPr>
          <w:rFonts w:ascii="ITC Avant Garde" w:hAnsi="ITC Avant Garde"/>
          <w:sz w:val="24"/>
        </w:rPr>
        <w:t>principalmente con la sociedad controla</w:t>
      </w:r>
      <w:r>
        <w:rPr>
          <w:rFonts w:ascii="ITC Avant Garde" w:hAnsi="ITC Avant Garde"/>
          <w:sz w:val="24"/>
        </w:rPr>
        <w:t xml:space="preserve">dora o con las personas morales </w:t>
      </w:r>
      <w:r w:rsidRPr="00757E23">
        <w:rPr>
          <w:rFonts w:ascii="ITC Avant Garde" w:hAnsi="ITC Avant Garde"/>
          <w:sz w:val="24"/>
        </w:rPr>
        <w:t>controladas, directa o indirectamente, po</w:t>
      </w:r>
      <w:r>
        <w:rPr>
          <w:rFonts w:ascii="ITC Avant Garde" w:hAnsi="ITC Avant Garde"/>
          <w:sz w:val="24"/>
        </w:rPr>
        <w:t xml:space="preserve">r la o las personas físicas que </w:t>
      </w:r>
      <w:r w:rsidRPr="00757E23">
        <w:rPr>
          <w:rFonts w:ascii="ITC Avant Garde" w:hAnsi="ITC Avant Garde"/>
          <w:sz w:val="24"/>
        </w:rPr>
        <w:t>ejercen dicho control.</w:t>
      </w:r>
    </w:p>
    <w:p w:rsidR="00866E5E" w:rsidRDefault="00866E5E" w:rsidP="0043621B">
      <w:pPr>
        <w:spacing w:after="120" w:line="240" w:lineRule="auto"/>
        <w:jc w:val="both"/>
        <w:rPr>
          <w:rFonts w:ascii="ITC Avant Garde" w:hAnsi="ITC Avant Garde"/>
          <w:sz w:val="24"/>
        </w:rPr>
      </w:pPr>
      <w:r>
        <w:rPr>
          <w:rFonts w:ascii="ITC Avant Garde" w:hAnsi="ITC Avant Garde"/>
          <w:sz w:val="24"/>
        </w:rPr>
        <w:t>Es</w:t>
      </w:r>
      <w:r w:rsidR="004E4FA5">
        <w:rPr>
          <w:rFonts w:ascii="ITC Avant Garde" w:hAnsi="ITC Avant Garde"/>
          <w:sz w:val="24"/>
        </w:rPr>
        <w:t>te Instituto también reputará que existe una concentración</w:t>
      </w:r>
      <w:r>
        <w:rPr>
          <w:rFonts w:ascii="ITC Avant Garde" w:hAnsi="ITC Avant Garde"/>
          <w:sz w:val="24"/>
        </w:rPr>
        <w:t xml:space="preserve"> cuando la capacidad o calidad que otorgan los instrumentos descritos </w:t>
      </w:r>
      <w:r w:rsidR="004E4FA5">
        <w:rPr>
          <w:rFonts w:ascii="ITC Avant Garde" w:hAnsi="ITC Avant Garde"/>
          <w:sz w:val="24"/>
        </w:rPr>
        <w:t>exista</w:t>
      </w:r>
      <w:r>
        <w:rPr>
          <w:rFonts w:ascii="ITC Avant Garde" w:hAnsi="ITC Avant Garde"/>
          <w:sz w:val="24"/>
        </w:rPr>
        <w:t>n a pesar de que no se encuentren escritas y/o formalizadas</w:t>
      </w:r>
      <w:r w:rsidR="004E4FA5">
        <w:rPr>
          <w:rFonts w:ascii="ITC Avant Garde" w:hAnsi="ITC Avant Garde"/>
          <w:sz w:val="24"/>
        </w:rPr>
        <w:t>.</w:t>
      </w:r>
      <w:r>
        <w:rPr>
          <w:rFonts w:ascii="ITC Avant Garde" w:hAnsi="ITC Avant Garde"/>
          <w:sz w:val="24"/>
        </w:rPr>
        <w:t xml:space="preserve"> </w:t>
      </w:r>
    </w:p>
    <w:p w:rsidR="009C1BE8" w:rsidRDefault="00720BD1" w:rsidP="00E874D7">
      <w:pPr>
        <w:pStyle w:val="Prrafonumerado"/>
        <w:rPr>
          <w:rFonts w:cs="Helvetica"/>
        </w:rPr>
      </w:pPr>
      <w:r>
        <w:rPr>
          <w:rFonts w:eastAsia="ITC Avant Garde" w:cs="Times New Roman"/>
        </w:rPr>
        <w:t>P</w:t>
      </w:r>
      <w:r w:rsidR="00552816">
        <w:rPr>
          <w:rFonts w:cs="Helvetica"/>
        </w:rPr>
        <w:t xml:space="preserve">or otro lado, es pertinente recurrir a instrumentos </w:t>
      </w:r>
      <w:r w:rsidR="00650E3B">
        <w:rPr>
          <w:rFonts w:cs="Helvetica"/>
        </w:rPr>
        <w:t xml:space="preserve">en los que </w:t>
      </w:r>
      <w:r w:rsidR="00552816">
        <w:rPr>
          <w:rFonts w:cs="Helvetica"/>
        </w:rPr>
        <w:t xml:space="preserve">Instituto </w:t>
      </w:r>
      <w:r w:rsidR="00650E3B">
        <w:rPr>
          <w:rFonts w:cs="Helvetica"/>
        </w:rPr>
        <w:t>ha definido la</w:t>
      </w:r>
      <w:r w:rsidR="00552816">
        <w:rPr>
          <w:rFonts w:cs="Helvetica"/>
        </w:rPr>
        <w:t xml:space="preserve"> influencia</w:t>
      </w:r>
      <w:r w:rsidR="00650E3B">
        <w:rPr>
          <w:rFonts w:cs="Helvetica"/>
        </w:rPr>
        <w:t xml:space="preserve"> como </w:t>
      </w:r>
      <w:r w:rsidR="00323B13">
        <w:rPr>
          <w:rFonts w:cs="Helvetica"/>
        </w:rPr>
        <w:t xml:space="preserve">la capacidad de decisión que tiene </w:t>
      </w:r>
      <w:r w:rsidR="00650E3B">
        <w:rPr>
          <w:rFonts w:cs="Helvetica"/>
        </w:rPr>
        <w:t>un agente económico sobre otro</w:t>
      </w:r>
      <w:r w:rsidR="00552816">
        <w:rPr>
          <w:rFonts w:cs="Helvetica"/>
        </w:rPr>
        <w:t>. En ese sentido</w:t>
      </w:r>
      <w:r w:rsidR="009C1BE8">
        <w:rPr>
          <w:rFonts w:cs="Helvetica"/>
        </w:rPr>
        <w:t>,</w:t>
      </w:r>
      <w:r w:rsidR="00552816">
        <w:rPr>
          <w:rFonts w:cs="Helvetica"/>
        </w:rPr>
        <w:t xml:space="preserve"> es pertinente invocar</w:t>
      </w:r>
      <w:r w:rsidR="009C1BE8">
        <w:rPr>
          <w:rFonts w:cs="Helvetica"/>
        </w:rPr>
        <w:t xml:space="preserve"> el “</w:t>
      </w:r>
      <w:r w:rsidR="009C1BE8" w:rsidRPr="009C1BE8">
        <w:rPr>
          <w:rFonts w:cs="Helvetica"/>
          <w:i/>
        </w:rPr>
        <w:t>ACUERDO MEDIANTE EL CUAL EL PLENO DEL INSTITUTO FEDERAL DE TELECOMUNIACIONES MODIFICA LOS ELEMENTOS DE REFERENCIA PARA IDENTIFICAR EX ANTE A LOS AGENTES ECONÓMICOS IMPEDIDOS PARA TENER INFLUENCIA EN LA OPERACIÓN DE LA RED COMPARTIDA</w:t>
      </w:r>
      <w:r w:rsidR="009C1BE8">
        <w:rPr>
          <w:rFonts w:cs="Helvetica"/>
        </w:rPr>
        <w:t xml:space="preserve">”, </w:t>
      </w:r>
      <w:r>
        <w:rPr>
          <w:rFonts w:cs="Helvetica"/>
        </w:rPr>
        <w:t>en el que</w:t>
      </w:r>
      <w:r w:rsidR="009C1BE8">
        <w:rPr>
          <w:rFonts w:cs="Helvetica"/>
        </w:rPr>
        <w:t xml:space="preserve"> </w:t>
      </w:r>
      <w:r w:rsidR="00093D76">
        <w:rPr>
          <w:rFonts w:cs="Helvetica"/>
        </w:rPr>
        <w:t xml:space="preserve">esta autoridad definió </w:t>
      </w:r>
      <w:r w:rsidR="00933C0D">
        <w:rPr>
          <w:rFonts w:cs="Helvetica"/>
        </w:rPr>
        <w:t>el término “Influencia” de conformidad con lo siguiente:</w:t>
      </w:r>
    </w:p>
    <w:p w:rsidR="00933C0D" w:rsidRPr="003F2F06" w:rsidRDefault="00933C0D" w:rsidP="003F2F06">
      <w:pPr>
        <w:spacing w:after="120" w:line="240" w:lineRule="auto"/>
        <w:ind w:left="283" w:right="283"/>
        <w:jc w:val="both"/>
        <w:rPr>
          <w:rFonts w:ascii="ITC Avant Garde" w:hAnsi="ITC Avant Garde" w:cs="Helvetica"/>
          <w:i/>
          <w:szCs w:val="24"/>
        </w:rPr>
      </w:pPr>
      <w:r>
        <w:rPr>
          <w:rFonts w:ascii="ITC Avant Garde" w:hAnsi="ITC Avant Garde" w:cs="Helvetica"/>
          <w:sz w:val="24"/>
          <w:szCs w:val="24"/>
        </w:rPr>
        <w:t>“</w:t>
      </w:r>
      <w:r w:rsidRPr="003F2F06">
        <w:rPr>
          <w:rFonts w:ascii="ITC Avant Garde" w:hAnsi="ITC Avant Garde" w:cs="Helvetica"/>
          <w:i/>
          <w:szCs w:val="24"/>
        </w:rPr>
        <w:t xml:space="preserve">1.10. Influencia. La capacidad, de hecho o de derecho, de una persona de participar o intervenir de forma significativa, directa o indirectamente, por cualquier medio en las decisiones que incluyen pero no se limitan a la </w:t>
      </w:r>
      <w:r w:rsidRPr="003132F5">
        <w:rPr>
          <w:rFonts w:ascii="ITC Avant Garde" w:hAnsi="ITC Avant Garde" w:cs="Helvetica"/>
          <w:b/>
          <w:i/>
          <w:szCs w:val="24"/>
          <w:u w:val="single"/>
        </w:rPr>
        <w:t>administración, la definición de las políticas y los objetivos o la g</w:t>
      </w:r>
      <w:r w:rsidR="00196BF8" w:rsidRPr="003132F5">
        <w:rPr>
          <w:rFonts w:ascii="ITC Avant Garde" w:hAnsi="ITC Avant Garde" w:cs="Helvetica"/>
          <w:b/>
          <w:i/>
          <w:szCs w:val="24"/>
          <w:u w:val="single"/>
        </w:rPr>
        <w:t>estión, conducción y ejecución de las actividades de otras(s) persona(s)</w:t>
      </w:r>
      <w:r w:rsidR="00196BF8" w:rsidRPr="003F2F06">
        <w:rPr>
          <w:rFonts w:ascii="ITC Avant Garde" w:hAnsi="ITC Avant Garde" w:cs="Helvetica"/>
          <w:i/>
          <w:szCs w:val="24"/>
        </w:rPr>
        <w:t>.</w:t>
      </w:r>
    </w:p>
    <w:p w:rsidR="00196BF8" w:rsidRPr="003F2F06" w:rsidRDefault="00196BF8" w:rsidP="003F2F06">
      <w:pPr>
        <w:spacing w:after="120" w:line="240" w:lineRule="auto"/>
        <w:ind w:left="283" w:right="283"/>
        <w:jc w:val="both"/>
        <w:rPr>
          <w:rFonts w:ascii="ITC Avant Garde" w:hAnsi="ITC Avant Garde" w:cs="Helvetica"/>
          <w:i/>
          <w:szCs w:val="24"/>
        </w:rPr>
      </w:pPr>
      <w:r w:rsidRPr="003F2F06">
        <w:rPr>
          <w:rFonts w:ascii="ITC Avant Garde" w:hAnsi="ITC Avant Garde" w:cs="Helvetica"/>
          <w:i/>
          <w:szCs w:val="24"/>
        </w:rPr>
        <w:t xml:space="preserve">La </w:t>
      </w:r>
      <w:r w:rsidR="00C74791" w:rsidRPr="003F2F06">
        <w:rPr>
          <w:rFonts w:ascii="ITC Avant Garde" w:hAnsi="ITC Avant Garde" w:cs="Helvetica"/>
          <w:i/>
          <w:szCs w:val="24"/>
        </w:rPr>
        <w:t>influencia resulta de los derechos, contratos u otros medios que por sí mismos o en conjunto otorgan la capacidad antes señalada.</w:t>
      </w:r>
    </w:p>
    <w:p w:rsidR="00C74791" w:rsidRPr="003F2F06" w:rsidRDefault="00A866CB" w:rsidP="003F2F06">
      <w:pPr>
        <w:spacing w:after="120" w:line="240" w:lineRule="auto"/>
        <w:ind w:left="283" w:right="283"/>
        <w:jc w:val="both"/>
        <w:rPr>
          <w:rFonts w:ascii="ITC Avant Garde" w:hAnsi="ITC Avant Garde" w:cs="Helvetica"/>
          <w:i/>
          <w:szCs w:val="24"/>
        </w:rPr>
      </w:pPr>
      <w:r w:rsidRPr="003F2F06">
        <w:rPr>
          <w:rFonts w:ascii="ITC Avant Garde" w:hAnsi="ITC Avant Garde" w:cs="Helvetica"/>
          <w:i/>
          <w:szCs w:val="24"/>
        </w:rPr>
        <w:t xml:space="preserve">La existencia de una relación de influencia de una persona sobre otra(s) se determina caso por caso, con base, </w:t>
      </w:r>
      <w:r w:rsidR="003B7431" w:rsidRPr="003F2F06">
        <w:rPr>
          <w:rFonts w:ascii="ITC Avant Garde" w:hAnsi="ITC Avant Garde" w:cs="Helvetica"/>
          <w:i/>
          <w:szCs w:val="24"/>
        </w:rPr>
        <w:t>en criterios indiciarios de aplicación general.</w:t>
      </w:r>
    </w:p>
    <w:p w:rsidR="003B7431" w:rsidRPr="003F2F06" w:rsidRDefault="003B7431" w:rsidP="003F2F06">
      <w:pPr>
        <w:spacing w:after="120" w:line="240" w:lineRule="auto"/>
        <w:ind w:left="283" w:right="283"/>
        <w:jc w:val="both"/>
        <w:rPr>
          <w:rFonts w:ascii="ITC Avant Garde" w:hAnsi="ITC Avant Garde" w:cs="Helvetica"/>
          <w:i/>
          <w:szCs w:val="24"/>
        </w:rPr>
      </w:pPr>
      <w:r w:rsidRPr="003F2F06">
        <w:rPr>
          <w:rFonts w:ascii="ITC Avant Garde" w:hAnsi="ITC Avant Garde" w:cs="Helvetica"/>
          <w:i/>
          <w:szCs w:val="24"/>
        </w:rPr>
        <w:t>El análisis de influencia sobre la Red Compartida tiene el propósito de identificar ex ante si la participación de los Prestadores de Servicios de Telecomunicaciones, por sí mismos o a través de otra (s) personas(s) pertenecientes a su Grupo de Interés Económico, en la Operación de la Red Compartida puede tener por objeto o efecto restringir los incentivos y la capacidad de la Red Compartida para competir en forma efectiva e independiente en la prestación de los servicios mayoristas.</w:t>
      </w:r>
    </w:p>
    <w:p w:rsidR="00EB4E69" w:rsidRDefault="00EB4E69" w:rsidP="003F2F06">
      <w:pPr>
        <w:spacing w:after="120" w:line="240" w:lineRule="auto"/>
        <w:ind w:left="283" w:right="283"/>
        <w:jc w:val="both"/>
        <w:rPr>
          <w:rFonts w:ascii="ITC Avant Garde" w:hAnsi="ITC Avant Garde" w:cs="Helvetica"/>
          <w:sz w:val="24"/>
          <w:szCs w:val="24"/>
        </w:rPr>
      </w:pPr>
      <w:r>
        <w:rPr>
          <w:rFonts w:ascii="ITC Avant Garde" w:hAnsi="ITC Avant Garde" w:cs="Helvetica"/>
          <w:sz w:val="24"/>
          <w:szCs w:val="24"/>
        </w:rPr>
        <w:t>[…]</w:t>
      </w:r>
    </w:p>
    <w:p w:rsidR="00720BD1" w:rsidRDefault="00720BD1" w:rsidP="00E874D7">
      <w:pPr>
        <w:pStyle w:val="Prrafonumerado"/>
        <w:rPr>
          <w:rFonts w:cs="Helvetica"/>
          <w:i/>
        </w:rPr>
      </w:pPr>
      <w:r w:rsidRPr="00B849F9">
        <w:t xml:space="preserve">En el mismo acuerdo referido, esta autoridad se refirió al concepto de operación en los siguientes términos. </w:t>
      </w:r>
    </w:p>
    <w:p w:rsidR="00EB4E69" w:rsidRDefault="00EB4E69" w:rsidP="003F2F06">
      <w:pPr>
        <w:spacing w:after="120" w:line="240" w:lineRule="auto"/>
        <w:ind w:left="283" w:right="283"/>
        <w:jc w:val="both"/>
        <w:rPr>
          <w:rFonts w:ascii="ITC Avant Garde" w:hAnsi="ITC Avant Garde" w:cs="Helvetica"/>
          <w:sz w:val="24"/>
          <w:szCs w:val="24"/>
        </w:rPr>
      </w:pPr>
      <w:r w:rsidRPr="003F2F06">
        <w:rPr>
          <w:rFonts w:ascii="ITC Avant Garde" w:hAnsi="ITC Avant Garde" w:cs="Helvetica"/>
          <w:i/>
          <w:szCs w:val="24"/>
        </w:rPr>
        <w:lastRenderedPageBreak/>
        <w:t>1.11. Operación de la Red Compartida. Incluye la toma de decisiones para asignar los usos de la capacidad, infraestructura y/o servicios de telecomunicaciones y su comercializació</w:t>
      </w:r>
      <w:r w:rsidR="003F2F06" w:rsidRPr="003F2F06">
        <w:rPr>
          <w:rFonts w:ascii="ITC Avant Garde" w:hAnsi="ITC Avant Garde" w:cs="Helvetica"/>
          <w:i/>
          <w:szCs w:val="24"/>
        </w:rPr>
        <w:t>n</w:t>
      </w:r>
      <w:r w:rsidR="003F2F06">
        <w:rPr>
          <w:rFonts w:ascii="ITC Avant Garde" w:hAnsi="ITC Avant Garde" w:cs="Helvetica"/>
          <w:sz w:val="24"/>
          <w:szCs w:val="24"/>
        </w:rPr>
        <w:t>”.</w:t>
      </w:r>
      <w:r w:rsidR="00172CB1">
        <w:rPr>
          <w:rStyle w:val="Refdenotaalpie"/>
          <w:rFonts w:ascii="ITC Avant Garde" w:hAnsi="ITC Avant Garde" w:cs="Helvetica"/>
          <w:sz w:val="24"/>
          <w:szCs w:val="24"/>
        </w:rPr>
        <w:footnoteReference w:id="47"/>
      </w:r>
    </w:p>
    <w:p w:rsidR="00B0268C" w:rsidRDefault="00720BD1" w:rsidP="00E874D7">
      <w:pPr>
        <w:pStyle w:val="Prrafonumerado"/>
        <w:rPr>
          <w:rFonts w:eastAsia="ITC Avant Garde" w:cs="Times New Roman"/>
        </w:rPr>
      </w:pPr>
      <w:r>
        <w:t>Es importante hacer énfasis en que los criterios judiciales</w:t>
      </w:r>
      <w:r w:rsidR="00650E3B">
        <w:rPr>
          <w:rFonts w:eastAsia="ITC Avant Garde" w:cs="Times New Roman"/>
        </w:rPr>
        <w:t xml:space="preserve"> citados</w:t>
      </w:r>
      <w:r>
        <w:rPr>
          <w:rFonts w:eastAsia="ITC Avant Garde" w:cs="Times New Roman"/>
        </w:rPr>
        <w:t xml:space="preserve"> se refieren al objeto de ese control</w:t>
      </w:r>
      <w:r w:rsidR="00650E3B">
        <w:rPr>
          <w:rFonts w:eastAsia="ITC Avant Garde" w:cs="Times New Roman"/>
        </w:rPr>
        <w:t xml:space="preserve"> </w:t>
      </w:r>
      <w:r>
        <w:rPr>
          <w:rFonts w:eastAsia="ITC Avant Garde" w:cs="Times New Roman"/>
        </w:rPr>
        <w:t>en diversas ocasiones</w:t>
      </w:r>
      <w:r w:rsidR="00CC4273">
        <w:rPr>
          <w:rFonts w:eastAsia="ITC Avant Garde" w:cs="Times New Roman"/>
        </w:rPr>
        <w:t xml:space="preserve"> y lo identifican con la capacidad</w:t>
      </w:r>
      <w:r>
        <w:rPr>
          <w:rFonts w:eastAsia="ITC Avant Garde" w:cs="Times New Roman"/>
        </w:rPr>
        <w:t xml:space="preserve"> </w:t>
      </w:r>
      <w:r w:rsidR="00CC4273">
        <w:rPr>
          <w:rFonts w:eastAsia="ITC Avant Garde" w:cs="Times New Roman"/>
        </w:rPr>
        <w:t>de</w:t>
      </w:r>
      <w:r>
        <w:rPr>
          <w:rFonts w:eastAsia="ITC Avant Garde" w:cs="Times New Roman"/>
        </w:rPr>
        <w:t xml:space="preserve"> coordinar las actividades de la otra persona o </w:t>
      </w:r>
      <w:r w:rsidR="00EA595F">
        <w:rPr>
          <w:rFonts w:eastAsia="ITC Avant Garde" w:cs="Times New Roman"/>
        </w:rPr>
        <w:t xml:space="preserve">en </w:t>
      </w:r>
      <w:r w:rsidR="00CC4273">
        <w:rPr>
          <w:rFonts w:eastAsia="ITC Avant Garde" w:cs="Times New Roman"/>
        </w:rPr>
        <w:t>conseguir una unidad de comportamiento en el mercado</w:t>
      </w:r>
      <w:r>
        <w:rPr>
          <w:rFonts w:eastAsia="ITC Avant Garde" w:cs="Times New Roman"/>
        </w:rPr>
        <w:t>.</w:t>
      </w:r>
      <w:r w:rsidR="00650E3B">
        <w:rPr>
          <w:rFonts w:eastAsia="ITC Avant Garde" w:cs="Times New Roman"/>
        </w:rPr>
        <w:t xml:space="preserve"> </w:t>
      </w:r>
      <w:r>
        <w:rPr>
          <w:rFonts w:eastAsia="ITC Avant Garde" w:cs="Times New Roman"/>
        </w:rPr>
        <w:t xml:space="preserve">Abundando, </w:t>
      </w:r>
      <w:r w:rsidR="00650E3B">
        <w:rPr>
          <w:rFonts w:eastAsia="ITC Avant Garde" w:cs="Times New Roman"/>
        </w:rPr>
        <w:t xml:space="preserve">los criterios judiciales citados </w:t>
      </w:r>
      <w:r>
        <w:rPr>
          <w:rFonts w:eastAsia="ITC Avant Garde" w:cs="Times New Roman"/>
        </w:rPr>
        <w:t xml:space="preserve">consideran </w:t>
      </w:r>
      <w:r w:rsidR="00CC4273">
        <w:rPr>
          <w:rFonts w:eastAsia="ITC Avant Garde" w:cs="Times New Roman"/>
        </w:rPr>
        <w:t>como indicativo de este control</w:t>
      </w:r>
      <w:r>
        <w:rPr>
          <w:rFonts w:eastAsia="ITC Avant Garde" w:cs="Times New Roman"/>
        </w:rPr>
        <w:t xml:space="preserve"> que tanto la persona que detenta el control como aquella que es controlada se comportan como una en el mercado. Asimismo, la referencia a actividades económicas debe entenderse como la operación de un negocio cuya definición ha sido apuntada arriba. En ese sentido, se considerará que existe una concentración si el ente controlador puede tomar</w:t>
      </w:r>
      <w:r w:rsidR="00650E3B">
        <w:rPr>
          <w:rFonts w:eastAsia="ITC Avant Garde" w:cs="Times New Roman"/>
        </w:rPr>
        <w:t xml:space="preserve"> o participar en las</w:t>
      </w:r>
      <w:r>
        <w:rPr>
          <w:rFonts w:eastAsia="ITC Avant Garde" w:cs="Times New Roman"/>
        </w:rPr>
        <w:t xml:space="preserve"> decisiones relacionadas con la operación del negocio a efecto de conseguir la coordinación de actividades </w:t>
      </w:r>
      <w:r w:rsidR="00650E3B">
        <w:rPr>
          <w:rFonts w:eastAsia="ITC Avant Garde" w:cs="Times New Roman"/>
        </w:rPr>
        <w:t>económicas</w:t>
      </w:r>
      <w:r w:rsidR="00CC4273">
        <w:rPr>
          <w:rFonts w:eastAsia="ITC Avant Garde" w:cs="Times New Roman"/>
        </w:rPr>
        <w:t xml:space="preserve"> o una unidad de comportamiento en el mercado</w:t>
      </w:r>
      <w:r>
        <w:rPr>
          <w:rFonts w:eastAsia="ITC Avant Garde" w:cs="Times New Roman"/>
        </w:rPr>
        <w:t>.</w:t>
      </w:r>
    </w:p>
    <w:p w:rsidR="00B849F9" w:rsidRPr="006A6E1F" w:rsidRDefault="00B849F9" w:rsidP="00E874D7">
      <w:pPr>
        <w:pStyle w:val="Prrafonumerado"/>
        <w:rPr>
          <w:rFonts w:eastAsia="ITC Avant Garde" w:cs="Times New Roman"/>
        </w:rPr>
      </w:pPr>
      <w:r>
        <w:t xml:space="preserve">En adición, la capacidad para </w:t>
      </w:r>
      <w:r w:rsidR="00C90738">
        <w:rPr>
          <w:rFonts w:eastAsia="ITC Avant Garde" w:cs="Times New Roman"/>
        </w:rPr>
        <w:t xml:space="preserve">ejercer derechos de veto y con ello </w:t>
      </w:r>
      <w:r w:rsidR="007B008D">
        <w:rPr>
          <w:rFonts w:eastAsia="ITC Avant Garde" w:cs="Times New Roman"/>
        </w:rPr>
        <w:t>intervenir en la toma de decisiones de un agente económico al desarrollar sus actividades económicas</w:t>
      </w:r>
      <w:r w:rsidR="00C90738">
        <w:rPr>
          <w:rFonts w:eastAsia="ITC Avant Garde" w:cs="Times New Roman"/>
        </w:rPr>
        <w:t xml:space="preserve">, también </w:t>
      </w:r>
      <w:r w:rsidR="007B008D">
        <w:rPr>
          <w:rFonts w:eastAsia="ITC Avant Garde" w:cs="Times New Roman"/>
        </w:rPr>
        <w:t>puede ser</w:t>
      </w:r>
      <w:r w:rsidR="00C90738">
        <w:rPr>
          <w:rFonts w:eastAsia="ITC Avant Garde" w:cs="Times New Roman"/>
        </w:rPr>
        <w:t xml:space="preserve"> </w:t>
      </w:r>
      <w:r w:rsidR="008B13B7">
        <w:rPr>
          <w:rFonts w:eastAsia="ITC Avant Garde" w:cs="Times New Roman"/>
        </w:rPr>
        <w:t>considerada</w:t>
      </w:r>
      <w:r w:rsidR="00C90738">
        <w:rPr>
          <w:rFonts w:eastAsia="ITC Avant Garde" w:cs="Times New Roman"/>
        </w:rPr>
        <w:t xml:space="preserve"> como un instrumento para el ejercicio de control. </w:t>
      </w:r>
      <w:r w:rsidR="006532D3">
        <w:rPr>
          <w:rFonts w:eastAsia="ITC Avant Garde" w:cs="Times New Roman"/>
        </w:rPr>
        <w:t xml:space="preserve">Los derechos de veto </w:t>
      </w:r>
      <w:r w:rsidR="008B13B7">
        <w:rPr>
          <w:rFonts w:eastAsia="ITC Avant Garde" w:cs="Times New Roman"/>
        </w:rPr>
        <w:t xml:space="preserve">o de obligar a no hacer </w:t>
      </w:r>
      <w:r w:rsidR="006532D3">
        <w:rPr>
          <w:rFonts w:eastAsia="ITC Avant Garde" w:cs="Times New Roman"/>
        </w:rPr>
        <w:t xml:space="preserve">deben referirse a decisiones </w:t>
      </w:r>
      <w:r w:rsidR="008B13B7">
        <w:rPr>
          <w:rFonts w:eastAsia="ITC Avant Garde" w:cs="Times New Roman"/>
        </w:rPr>
        <w:t>que trasciendan o determinen la participación de un agente económico al realizar sus actividades económicas</w:t>
      </w:r>
      <w:r w:rsidR="006532D3">
        <w:rPr>
          <w:rFonts w:eastAsia="ITC Avant Garde" w:cs="Times New Roman"/>
        </w:rPr>
        <w:t xml:space="preserve">. Los derechos de veto que confieren control </w:t>
      </w:r>
      <w:r w:rsidR="008B13B7">
        <w:rPr>
          <w:rFonts w:eastAsia="ITC Avant Garde" w:cs="Times New Roman"/>
        </w:rPr>
        <w:t xml:space="preserve">pueden </w:t>
      </w:r>
      <w:r w:rsidR="006532D3">
        <w:rPr>
          <w:rFonts w:eastAsia="ITC Avant Garde" w:cs="Times New Roman"/>
        </w:rPr>
        <w:t>ref</w:t>
      </w:r>
      <w:r w:rsidR="008B13B7">
        <w:rPr>
          <w:rFonts w:eastAsia="ITC Avant Garde" w:cs="Times New Roman"/>
        </w:rPr>
        <w:t xml:space="preserve">erirse </w:t>
      </w:r>
      <w:r w:rsidR="006532D3">
        <w:rPr>
          <w:rFonts w:eastAsia="ITC Avant Garde" w:cs="Times New Roman"/>
        </w:rPr>
        <w:t xml:space="preserve"> a decisiones sobre cuestiones tales como el presupuesto, el plan de negocios, </w:t>
      </w:r>
      <w:r w:rsidR="008B13B7">
        <w:rPr>
          <w:rFonts w:eastAsia="ITC Avant Garde" w:cs="Times New Roman"/>
        </w:rPr>
        <w:t xml:space="preserve">decisiones de </w:t>
      </w:r>
      <w:r w:rsidR="006532D3">
        <w:rPr>
          <w:rFonts w:eastAsia="ITC Avant Garde" w:cs="Times New Roman"/>
        </w:rPr>
        <w:t>inversi</w:t>
      </w:r>
      <w:r w:rsidR="008B13B7">
        <w:rPr>
          <w:rFonts w:eastAsia="ITC Avant Garde" w:cs="Times New Roman"/>
        </w:rPr>
        <w:t>ón</w:t>
      </w:r>
      <w:r w:rsidR="006532D3">
        <w:rPr>
          <w:rFonts w:eastAsia="ITC Avant Garde" w:cs="Times New Roman"/>
        </w:rPr>
        <w:t xml:space="preserve"> o el nombramiento de altos directivos</w:t>
      </w:r>
      <w:r w:rsidR="00706E01">
        <w:rPr>
          <w:rFonts w:eastAsia="ITC Avant Garde" w:cs="Times New Roman"/>
        </w:rPr>
        <w:t>.</w:t>
      </w:r>
    </w:p>
    <w:p w:rsidR="00501725" w:rsidRDefault="00720BD1" w:rsidP="00E874D7">
      <w:pPr>
        <w:pStyle w:val="Prrafonumerado"/>
        <w:rPr>
          <w:rFonts w:eastAsia="ITC Avant Garde" w:cs="Times New Roman"/>
        </w:rPr>
      </w:pPr>
      <w:r w:rsidRPr="006A6E1F">
        <w:t xml:space="preserve">En consecuencia, </w:t>
      </w:r>
      <w:r>
        <w:rPr>
          <w:rFonts w:eastAsia="ITC Avant Garde" w:cs="Times New Roman"/>
        </w:rPr>
        <w:t xml:space="preserve">la cuestión a resolver estriba en si el Cúmulo de Operaciones proporcionaba </w:t>
      </w:r>
      <w:r w:rsidR="00501725">
        <w:rPr>
          <w:rFonts w:eastAsia="ITC Avant Garde" w:cs="Times New Roman"/>
        </w:rPr>
        <w:t xml:space="preserve">a Grupo Televisa a través de Arretis </w:t>
      </w:r>
      <w:r>
        <w:rPr>
          <w:rFonts w:eastAsia="ITC Avant Garde" w:cs="Times New Roman"/>
        </w:rPr>
        <w:t>la coordinación en el mercado y un comportamiento de unidad en el mercado</w:t>
      </w:r>
      <w:r w:rsidR="00501725">
        <w:rPr>
          <w:rFonts w:eastAsia="ITC Avant Garde" w:cs="Times New Roman"/>
        </w:rPr>
        <w:t xml:space="preserve"> de Tenedora Ares y de Cablecom, como lo imputó el </w:t>
      </w:r>
      <w:r w:rsidR="005F44DD">
        <w:rPr>
          <w:rFonts w:eastAsia="ITC Avant Garde" w:cs="Times New Roman"/>
        </w:rPr>
        <w:t>OPR</w:t>
      </w:r>
      <w:r>
        <w:rPr>
          <w:rFonts w:eastAsia="ITC Avant Garde" w:cs="Times New Roman"/>
        </w:rPr>
        <w:t xml:space="preserve">. </w:t>
      </w:r>
    </w:p>
    <w:p w:rsidR="00720BD1" w:rsidRPr="006A6E1F" w:rsidRDefault="00720BD1" w:rsidP="00720BD1">
      <w:pPr>
        <w:spacing w:after="120" w:line="240" w:lineRule="auto"/>
        <w:jc w:val="both"/>
        <w:rPr>
          <w:rFonts w:ascii="ITC Avant Garde" w:eastAsia="ITC Avant Garde" w:hAnsi="ITC Avant Garde" w:cs="Times New Roman"/>
          <w:sz w:val="24"/>
          <w:szCs w:val="24"/>
        </w:rPr>
      </w:pPr>
      <w:r>
        <w:rPr>
          <w:rFonts w:ascii="ITC Avant Garde" w:eastAsia="ITC Avant Garde" w:hAnsi="ITC Avant Garde" w:cs="Times New Roman"/>
          <w:sz w:val="24"/>
          <w:szCs w:val="24"/>
        </w:rPr>
        <w:t xml:space="preserve">En otras palabras, </w:t>
      </w:r>
      <w:r w:rsidR="00501725">
        <w:rPr>
          <w:rFonts w:ascii="ITC Avant Garde" w:eastAsia="ITC Avant Garde" w:hAnsi="ITC Avant Garde" w:cs="Times New Roman"/>
          <w:sz w:val="24"/>
          <w:szCs w:val="24"/>
        </w:rPr>
        <w:t xml:space="preserve">este Pleno debe determinar </w:t>
      </w:r>
      <w:r>
        <w:rPr>
          <w:rFonts w:ascii="ITC Avant Garde" w:eastAsia="ITC Avant Garde" w:hAnsi="ITC Avant Garde" w:cs="Times New Roman"/>
          <w:sz w:val="24"/>
          <w:szCs w:val="24"/>
        </w:rPr>
        <w:t xml:space="preserve">si el Cúmulo de Operaciones </w:t>
      </w:r>
      <w:r w:rsidR="00501725">
        <w:rPr>
          <w:rFonts w:ascii="ITC Avant Garde" w:eastAsia="ITC Avant Garde" w:hAnsi="ITC Avant Garde" w:cs="Times New Roman"/>
          <w:sz w:val="24"/>
          <w:szCs w:val="24"/>
        </w:rPr>
        <w:t xml:space="preserve">constituyen </w:t>
      </w:r>
      <w:r>
        <w:rPr>
          <w:rFonts w:ascii="ITC Avant Garde" w:eastAsia="ITC Avant Garde" w:hAnsi="ITC Avant Garde" w:cs="Times New Roman"/>
          <w:sz w:val="24"/>
          <w:szCs w:val="24"/>
        </w:rPr>
        <w:t xml:space="preserve">instrumentos </w:t>
      </w:r>
      <w:r w:rsidR="00501725">
        <w:rPr>
          <w:rFonts w:ascii="ITC Avant Garde" w:eastAsia="ITC Avant Garde" w:hAnsi="ITC Avant Garde" w:cs="Times New Roman"/>
          <w:sz w:val="24"/>
          <w:szCs w:val="24"/>
        </w:rPr>
        <w:t>o medios que dan la capacidad</w:t>
      </w:r>
      <w:r>
        <w:rPr>
          <w:rFonts w:ascii="ITC Avant Garde" w:eastAsia="ITC Avant Garde" w:hAnsi="ITC Avant Garde" w:cs="Times New Roman"/>
          <w:sz w:val="24"/>
          <w:szCs w:val="24"/>
        </w:rPr>
        <w:t xml:space="preserve"> de control para</w:t>
      </w:r>
      <w:r w:rsidRPr="006A6E1F">
        <w:rPr>
          <w:rFonts w:ascii="ITC Avant Garde" w:eastAsia="ITC Avant Garde" w:hAnsi="ITC Avant Garde" w:cs="Times New Roman"/>
          <w:sz w:val="24"/>
          <w:szCs w:val="24"/>
        </w:rPr>
        <w:t xml:space="preserve"> </w:t>
      </w:r>
      <w:r w:rsidRPr="006A6E1F">
        <w:rPr>
          <w:rFonts w:ascii="ITC Avant Garde" w:eastAsia="ITC Avant Garde" w:hAnsi="ITC Avant Garde" w:cs="Times New Roman"/>
          <w:b/>
          <w:sz w:val="24"/>
          <w:szCs w:val="24"/>
          <w:u w:val="single"/>
        </w:rPr>
        <w:t>afect</w:t>
      </w:r>
      <w:r>
        <w:rPr>
          <w:rFonts w:ascii="ITC Avant Garde" w:eastAsia="ITC Avant Garde" w:hAnsi="ITC Avant Garde" w:cs="Times New Roman"/>
          <w:b/>
          <w:sz w:val="24"/>
          <w:szCs w:val="24"/>
          <w:u w:val="single"/>
        </w:rPr>
        <w:t>ar</w:t>
      </w:r>
      <w:r w:rsidRPr="006A6E1F">
        <w:rPr>
          <w:rFonts w:ascii="ITC Avant Garde" w:eastAsia="ITC Avant Garde" w:hAnsi="ITC Avant Garde" w:cs="Times New Roman"/>
          <w:b/>
          <w:sz w:val="24"/>
          <w:szCs w:val="24"/>
          <w:u w:val="single"/>
        </w:rPr>
        <w:t xml:space="preserve"> en última </w:t>
      </w:r>
      <w:r w:rsidR="00932925">
        <w:rPr>
          <w:rFonts w:ascii="ITC Avant Garde" w:eastAsia="ITC Avant Garde" w:hAnsi="ITC Avant Garde" w:cs="Times New Roman"/>
          <w:b/>
          <w:sz w:val="24"/>
          <w:szCs w:val="24"/>
          <w:u w:val="single"/>
        </w:rPr>
        <w:t>instancia</w:t>
      </w:r>
      <w:r w:rsidRPr="006A6E1F">
        <w:rPr>
          <w:rFonts w:ascii="ITC Avant Garde" w:eastAsia="ITC Avant Garde" w:hAnsi="ITC Avant Garde" w:cs="Times New Roman"/>
          <w:b/>
          <w:sz w:val="24"/>
          <w:szCs w:val="24"/>
          <w:u w:val="single"/>
        </w:rPr>
        <w:t xml:space="preserve"> </w:t>
      </w:r>
      <w:r w:rsidR="00CC4273">
        <w:rPr>
          <w:rFonts w:ascii="ITC Avant Garde" w:eastAsia="ITC Avant Garde" w:hAnsi="ITC Avant Garde" w:cs="Times New Roman"/>
          <w:b/>
          <w:sz w:val="24"/>
          <w:szCs w:val="24"/>
          <w:u w:val="single"/>
        </w:rPr>
        <w:t>el</w:t>
      </w:r>
      <w:r w:rsidRPr="006A6E1F">
        <w:rPr>
          <w:rFonts w:ascii="ITC Avant Garde" w:eastAsia="ITC Avant Garde" w:hAnsi="ITC Avant Garde" w:cs="Times New Roman"/>
          <w:b/>
          <w:sz w:val="24"/>
          <w:szCs w:val="24"/>
          <w:u w:val="single"/>
        </w:rPr>
        <w:t xml:space="preserve"> comportamiento en el mercado</w:t>
      </w:r>
      <w:r w:rsidRPr="006A6E1F">
        <w:rPr>
          <w:rFonts w:ascii="ITC Avant Garde" w:eastAsia="ITC Avant Garde" w:hAnsi="ITC Avant Garde" w:cs="Times New Roman"/>
          <w:sz w:val="24"/>
          <w:szCs w:val="24"/>
        </w:rPr>
        <w:t xml:space="preserve"> del agente económico controlado</w:t>
      </w:r>
      <w:r>
        <w:rPr>
          <w:rFonts w:ascii="ITC Avant Garde" w:eastAsia="ITC Avant Garde" w:hAnsi="ITC Avant Garde" w:cs="Times New Roman"/>
          <w:sz w:val="24"/>
          <w:szCs w:val="24"/>
        </w:rPr>
        <w:t xml:space="preserve"> (en este caso, Tenedora Ares</w:t>
      </w:r>
      <w:r w:rsidR="007B008D">
        <w:rPr>
          <w:rFonts w:ascii="ITC Avant Garde" w:eastAsia="ITC Avant Garde" w:hAnsi="ITC Avant Garde" w:cs="Times New Roman"/>
          <w:sz w:val="24"/>
          <w:szCs w:val="24"/>
        </w:rPr>
        <w:t xml:space="preserve"> y Cablecom</w:t>
      </w:r>
      <w:r>
        <w:rPr>
          <w:rFonts w:ascii="ITC Avant Garde" w:eastAsia="ITC Avant Garde" w:hAnsi="ITC Avant Garde" w:cs="Times New Roman"/>
          <w:sz w:val="24"/>
          <w:szCs w:val="24"/>
        </w:rPr>
        <w:t>)</w:t>
      </w:r>
      <w:r w:rsidRPr="006A6E1F">
        <w:rPr>
          <w:rFonts w:ascii="ITC Avant Garde" w:eastAsia="ITC Avant Garde" w:hAnsi="ITC Avant Garde" w:cs="Times New Roman"/>
          <w:sz w:val="24"/>
          <w:szCs w:val="24"/>
        </w:rPr>
        <w:t xml:space="preserve"> o </w:t>
      </w:r>
      <w:r w:rsidRPr="006A6E1F">
        <w:rPr>
          <w:rFonts w:ascii="ITC Avant Garde" w:eastAsia="ITC Avant Garde" w:hAnsi="ITC Avant Garde" w:cs="Times New Roman"/>
          <w:b/>
          <w:sz w:val="24"/>
          <w:szCs w:val="24"/>
          <w:u w:val="single"/>
        </w:rPr>
        <w:t>permiti</w:t>
      </w:r>
      <w:r>
        <w:rPr>
          <w:rFonts w:ascii="ITC Avant Garde" w:eastAsia="ITC Avant Garde" w:hAnsi="ITC Avant Garde" w:cs="Times New Roman"/>
          <w:b/>
          <w:sz w:val="24"/>
          <w:szCs w:val="24"/>
          <w:u w:val="single"/>
        </w:rPr>
        <w:t>r</w:t>
      </w:r>
      <w:r w:rsidRPr="006A6E1F">
        <w:rPr>
          <w:rFonts w:ascii="ITC Avant Garde" w:eastAsia="ITC Avant Garde" w:hAnsi="ITC Avant Garde" w:cs="Times New Roman"/>
          <w:b/>
          <w:sz w:val="24"/>
          <w:szCs w:val="24"/>
          <w:u w:val="single"/>
        </w:rPr>
        <w:t xml:space="preserve"> la coordinación respecto de la toma de decisiones sobre </w:t>
      </w:r>
      <w:r>
        <w:rPr>
          <w:rFonts w:ascii="ITC Avant Garde" w:eastAsia="ITC Avant Garde" w:hAnsi="ITC Avant Garde" w:cs="Times New Roman"/>
          <w:b/>
          <w:sz w:val="24"/>
          <w:szCs w:val="24"/>
          <w:u w:val="single"/>
        </w:rPr>
        <w:t>las</w:t>
      </w:r>
      <w:r w:rsidRPr="006A6E1F">
        <w:rPr>
          <w:rFonts w:ascii="ITC Avant Garde" w:eastAsia="ITC Avant Garde" w:hAnsi="ITC Avant Garde" w:cs="Times New Roman"/>
          <w:b/>
          <w:sz w:val="24"/>
          <w:szCs w:val="24"/>
          <w:u w:val="single"/>
        </w:rPr>
        <w:t xml:space="preserve"> actividades económicas</w:t>
      </w:r>
      <w:r>
        <w:rPr>
          <w:rFonts w:ascii="ITC Avant Garde" w:eastAsia="ITC Avant Garde" w:hAnsi="ITC Avant Garde" w:cs="Times New Roman"/>
          <w:b/>
          <w:sz w:val="24"/>
          <w:szCs w:val="24"/>
          <w:u w:val="single"/>
        </w:rPr>
        <w:t xml:space="preserve"> de las emplazadas</w:t>
      </w:r>
      <w:r w:rsidR="00B226D8">
        <w:rPr>
          <w:rFonts w:ascii="ITC Avant Garde" w:eastAsia="ITC Avant Garde" w:hAnsi="ITC Avant Garde" w:cs="Times New Roman"/>
          <w:b/>
          <w:sz w:val="24"/>
          <w:szCs w:val="24"/>
          <w:u w:val="single"/>
        </w:rPr>
        <w:t xml:space="preserve"> a grado tal que se tradujera en un comportamiento como unidad en el mercado</w:t>
      </w:r>
      <w:r>
        <w:rPr>
          <w:rFonts w:ascii="ITC Avant Garde" w:eastAsia="ITC Avant Garde" w:hAnsi="ITC Avant Garde" w:cs="Times New Roman"/>
          <w:b/>
          <w:sz w:val="24"/>
          <w:szCs w:val="24"/>
          <w:u w:val="single"/>
        </w:rPr>
        <w:t>.</w:t>
      </w:r>
    </w:p>
    <w:p w:rsidR="00B95D50" w:rsidRDefault="00B95D50" w:rsidP="00E874D7">
      <w:pPr>
        <w:pStyle w:val="Prrafonumerado"/>
        <w:rPr>
          <w:rFonts w:cs="Helvetica"/>
        </w:rPr>
      </w:pPr>
      <w:r>
        <w:t>Una vez identificados los criterios</w:t>
      </w:r>
      <w:r>
        <w:rPr>
          <w:rFonts w:cs="Helvetica"/>
        </w:rPr>
        <w:t xml:space="preserve"> para determinar la existencia de control, se abordan las </w:t>
      </w:r>
      <w:r w:rsidR="00D16AF0">
        <w:rPr>
          <w:rFonts w:cs="Helvetica"/>
        </w:rPr>
        <w:t xml:space="preserve">imputaciones </w:t>
      </w:r>
      <w:r w:rsidR="00501725">
        <w:rPr>
          <w:rFonts w:cs="Helvetica"/>
        </w:rPr>
        <w:t>del OPR</w:t>
      </w:r>
      <w:r>
        <w:rPr>
          <w:rFonts w:cs="Helvetica"/>
        </w:rPr>
        <w:t xml:space="preserve"> con relación a la existencia de una concentración mediante la adquisición de control por parte de GTV y Arretis sobre Cablecom.</w:t>
      </w:r>
    </w:p>
    <w:p w:rsidR="00B95D50" w:rsidRDefault="00B95D50" w:rsidP="00E874D7">
      <w:pPr>
        <w:pStyle w:val="Prrafonumerado"/>
        <w:rPr>
          <w:rFonts w:cs="Helvetica"/>
        </w:rPr>
      </w:pPr>
      <w:r>
        <w:lastRenderedPageBreak/>
        <w:t>En la Quinta consideración de derecho del OPR</w:t>
      </w:r>
      <w:r>
        <w:rPr>
          <w:rFonts w:cs="Helvetica"/>
        </w:rPr>
        <w:t xml:space="preserve"> </w:t>
      </w:r>
      <w:r w:rsidR="00501725">
        <w:rPr>
          <w:rFonts w:cs="Helvetica"/>
        </w:rPr>
        <w:t>se</w:t>
      </w:r>
      <w:r>
        <w:rPr>
          <w:rFonts w:cs="Helvetica"/>
        </w:rPr>
        <w:t xml:space="preserve"> determinó que el treinta y uno de julio de dos mil trece, GTV, actuando a través de Arretis, </w:t>
      </w:r>
      <w:r w:rsidRPr="007854DD">
        <w:rPr>
          <w:rFonts w:cs="Helvetica"/>
          <w:b/>
        </w:rPr>
        <w:t>adquirió el control</w:t>
      </w:r>
      <w:r>
        <w:rPr>
          <w:rFonts w:cs="Helvetica"/>
        </w:rPr>
        <w:t xml:space="preserve"> de Cablecom</w:t>
      </w:r>
      <w:r w:rsidR="00DB105D">
        <w:rPr>
          <w:rFonts w:cs="Helvetica"/>
        </w:rPr>
        <w:t>, basando</w:t>
      </w:r>
      <w:r>
        <w:rPr>
          <w:rFonts w:cs="Helvetica"/>
        </w:rPr>
        <w:t xml:space="preserve"> su conclusión </w:t>
      </w:r>
      <w:r w:rsidR="00DB105D">
        <w:rPr>
          <w:rFonts w:cs="Helvetica"/>
        </w:rPr>
        <w:t>en</w:t>
      </w:r>
      <w:r>
        <w:rPr>
          <w:rFonts w:cs="Helvetica"/>
        </w:rPr>
        <w:t xml:space="preserve"> los siguientes hechos:</w:t>
      </w:r>
    </w:p>
    <w:p w:rsidR="00B95D50" w:rsidRDefault="00B95D50" w:rsidP="00346097">
      <w:pPr>
        <w:spacing w:after="120" w:line="240" w:lineRule="auto"/>
        <w:ind w:left="283"/>
        <w:jc w:val="both"/>
        <w:rPr>
          <w:rFonts w:ascii="ITC Avant Garde" w:hAnsi="ITC Avant Garde" w:cs="Helvetica"/>
          <w:sz w:val="24"/>
          <w:szCs w:val="24"/>
        </w:rPr>
      </w:pPr>
      <w:r>
        <w:rPr>
          <w:rFonts w:ascii="ITC Avant Garde" w:hAnsi="ITC Avant Garde" w:cs="Helvetica"/>
          <w:sz w:val="24"/>
          <w:szCs w:val="24"/>
        </w:rPr>
        <w:t xml:space="preserve">a) GTV entregó el equivalente a </w:t>
      </w:r>
      <w:r w:rsidR="00CE5237" w:rsidRPr="00072915">
        <w:rPr>
          <w:rFonts w:ascii="ITC Avant Garde" w:hAnsi="ITC Avant Garde"/>
          <w:b/>
          <w:color w:val="0000FF"/>
          <w:sz w:val="24"/>
        </w:rPr>
        <w:t>“CONFIDENCIAL POR LEY”</w:t>
      </w:r>
      <w:r w:rsidR="00CE5237" w:rsidRPr="00A37710">
        <w:rPr>
          <w:rFonts w:ascii="ITC Avant Garde" w:hAnsi="ITC Avant Garde" w:cs="Arial"/>
          <w:sz w:val="24"/>
        </w:rPr>
        <w:t xml:space="preserve"> </w:t>
      </w:r>
    </w:p>
    <w:p w:rsidR="00B95D50" w:rsidRDefault="00B95D50" w:rsidP="00346097">
      <w:pPr>
        <w:spacing w:after="120" w:line="240" w:lineRule="auto"/>
        <w:ind w:left="283"/>
        <w:jc w:val="both"/>
        <w:rPr>
          <w:rFonts w:ascii="ITC Avant Garde" w:hAnsi="ITC Avant Garde" w:cs="Helvetica"/>
          <w:sz w:val="24"/>
          <w:szCs w:val="24"/>
        </w:rPr>
      </w:pPr>
      <w:r>
        <w:rPr>
          <w:rFonts w:ascii="ITC Avant Garde" w:hAnsi="ITC Avant Garde" w:cs="Helvetica"/>
          <w:sz w:val="24"/>
          <w:szCs w:val="24"/>
        </w:rPr>
        <w:t xml:space="preserve">b) GTV adquirió el derecho a determinar el </w:t>
      </w:r>
      <w:r w:rsidR="00CE5237" w:rsidRPr="00072915">
        <w:rPr>
          <w:rFonts w:ascii="ITC Avant Garde" w:hAnsi="ITC Avant Garde"/>
          <w:b/>
          <w:color w:val="0000FF"/>
          <w:sz w:val="24"/>
        </w:rPr>
        <w:t>“CONFIDENCIAL POR LEY”</w:t>
      </w:r>
      <w:r w:rsidR="00CE5237" w:rsidRPr="00A37710">
        <w:rPr>
          <w:rFonts w:ascii="ITC Avant Garde" w:hAnsi="ITC Avant Garde" w:cs="Arial"/>
          <w:sz w:val="24"/>
        </w:rPr>
        <w:t xml:space="preserve"> </w:t>
      </w:r>
      <w:r>
        <w:rPr>
          <w:rFonts w:ascii="ITC Avant Garde" w:hAnsi="ITC Avant Garde" w:cs="Helvetica"/>
          <w:sz w:val="24"/>
          <w:szCs w:val="24"/>
        </w:rPr>
        <w:t>de la actividad de Cablecom y Tenedora Ares</w:t>
      </w:r>
      <w:r w:rsidR="00BD4274">
        <w:rPr>
          <w:rFonts w:ascii="ITC Avant Garde" w:hAnsi="ITC Avant Garde" w:cs="Helvetica"/>
          <w:sz w:val="24"/>
          <w:szCs w:val="24"/>
        </w:rPr>
        <w:t>, y;</w:t>
      </w:r>
    </w:p>
    <w:p w:rsidR="00B95D50" w:rsidRDefault="00B95D50" w:rsidP="00346097">
      <w:pPr>
        <w:spacing w:after="120" w:line="240" w:lineRule="auto"/>
        <w:ind w:left="283"/>
        <w:jc w:val="both"/>
        <w:rPr>
          <w:rFonts w:ascii="ITC Avant Garde" w:hAnsi="ITC Avant Garde" w:cs="Helvetica"/>
          <w:sz w:val="24"/>
          <w:szCs w:val="24"/>
        </w:rPr>
      </w:pPr>
      <w:r>
        <w:rPr>
          <w:rFonts w:ascii="ITC Avant Garde" w:hAnsi="ITC Avant Garde" w:cs="Helvetica"/>
          <w:sz w:val="24"/>
          <w:szCs w:val="24"/>
        </w:rPr>
        <w:t>c) Las diversas operaciones realizadas no contemplaban mecanismos a través de los cuales Cablecom o alguno de sus accionistas pudieran revertir sus efectos.</w:t>
      </w:r>
    </w:p>
    <w:p w:rsidR="00B95D50" w:rsidRDefault="00B95D50" w:rsidP="00E874D7">
      <w:pPr>
        <w:pStyle w:val="Prrafonumerado"/>
        <w:rPr>
          <w:rFonts w:cs="Helvetica"/>
        </w:rPr>
      </w:pPr>
      <w:r w:rsidRPr="009F5210">
        <w:t xml:space="preserve">Esta autoridad estima que para identificar si la Operación Investigada constituye una concentración sujeta a notificarse de conformidad con los artículos 16 y 20 de la LFCE, </w:t>
      </w:r>
      <w:r w:rsidRPr="009F5210">
        <w:rPr>
          <w:rFonts w:cs="Helvetica"/>
        </w:rPr>
        <w:t>así como 18 del RLFCE</w:t>
      </w:r>
      <w:r>
        <w:rPr>
          <w:rFonts w:cs="Helvetica"/>
        </w:rPr>
        <w:t>, es necesario analizar si con motivo de la celebración del Cúmulo de Operaciones analizadas en su conjunto, GTV y Arretis obtuvieron el control directo o indirecto sobre Tenedora Ares y Cablecom, para coordinar sus actividades.</w:t>
      </w:r>
    </w:p>
    <w:p w:rsidR="00501725" w:rsidRDefault="00B95D50" w:rsidP="00E874D7">
      <w:pPr>
        <w:pStyle w:val="Prrafonumerado"/>
        <w:rPr>
          <w:rFonts w:cs="Helvetica"/>
        </w:rPr>
      </w:pPr>
      <w:r>
        <w:t xml:space="preserve">Este Pleno considera que las conclusiones </w:t>
      </w:r>
      <w:r w:rsidR="00501725">
        <w:rPr>
          <w:rFonts w:cs="Helvetica"/>
        </w:rPr>
        <w:t xml:space="preserve">del OPR </w:t>
      </w:r>
      <w:r>
        <w:rPr>
          <w:rFonts w:cs="Helvetica"/>
        </w:rPr>
        <w:t xml:space="preserve">carecen de </w:t>
      </w:r>
      <w:r w:rsidR="00133548">
        <w:rPr>
          <w:rFonts w:cs="Helvetica"/>
        </w:rPr>
        <w:t>elementos de convicción suficientes</w:t>
      </w:r>
      <w:r>
        <w:rPr>
          <w:rFonts w:cs="Helvetica"/>
        </w:rPr>
        <w:t xml:space="preserve"> para imputar la realización de una concentración y no guardan relación con los criterios que</w:t>
      </w:r>
      <w:r w:rsidR="00C6101B">
        <w:rPr>
          <w:rFonts w:cs="Helvetica"/>
        </w:rPr>
        <w:t>,</w:t>
      </w:r>
      <w:r>
        <w:rPr>
          <w:rFonts w:cs="Helvetica"/>
        </w:rPr>
        <w:t xml:space="preserve"> en materia de competencia económica, se han adoptado </w:t>
      </w:r>
      <w:r w:rsidR="00501725">
        <w:rPr>
          <w:rFonts w:cs="Helvetica"/>
        </w:rPr>
        <w:t xml:space="preserve">en precedentes decisorios de </w:t>
      </w:r>
      <w:r>
        <w:rPr>
          <w:rFonts w:cs="Helvetica"/>
        </w:rPr>
        <w:t xml:space="preserve">esta autoridad para identificar la existencia de </w:t>
      </w:r>
      <w:r w:rsidR="007B008D">
        <w:rPr>
          <w:rFonts w:cs="Helvetica"/>
        </w:rPr>
        <w:t xml:space="preserve">control de </w:t>
      </w:r>
      <w:r>
        <w:rPr>
          <w:rFonts w:cs="Helvetica"/>
        </w:rPr>
        <w:t xml:space="preserve">un </w:t>
      </w:r>
      <w:r w:rsidR="007B008D">
        <w:rPr>
          <w:rFonts w:cs="Helvetica"/>
        </w:rPr>
        <w:t>agente económico, hasta su definición de GIE, sobre otro</w:t>
      </w:r>
      <w:r w:rsidR="00501725">
        <w:rPr>
          <w:rFonts w:cs="Helvetica"/>
        </w:rPr>
        <w:t>.</w:t>
      </w:r>
    </w:p>
    <w:p w:rsidR="00711CB6" w:rsidRDefault="00711CB6" w:rsidP="00E874D7">
      <w:pPr>
        <w:pStyle w:val="Prrafonumerado"/>
        <w:rPr>
          <w:rFonts w:cs="Helvetica"/>
        </w:rPr>
      </w:pPr>
      <w:r>
        <w:rPr>
          <w:rFonts w:cs="Helvetica"/>
        </w:rPr>
        <w:t>En primer lugar, el OPR imputa que la concentración existe porque el Cúmulo de Operaciones fue realizado entre agentes económicos que son competidores entre sí,</w:t>
      </w:r>
      <w:r w:rsidR="000C3AD4">
        <w:rPr>
          <w:rStyle w:val="Refdenotaalpie"/>
          <w:rFonts w:cs="Helvetica"/>
        </w:rPr>
        <w:footnoteReference w:id="48"/>
      </w:r>
      <w:r>
        <w:rPr>
          <w:rFonts w:cs="Helvetica"/>
        </w:rPr>
        <w:t xml:space="preserve"> refiriéndose al </w:t>
      </w:r>
      <w:r w:rsidR="007B008D">
        <w:rPr>
          <w:rFonts w:cs="Helvetica"/>
        </w:rPr>
        <w:t>GIE</w:t>
      </w:r>
      <w:r>
        <w:rPr>
          <w:rFonts w:cs="Helvetica"/>
        </w:rPr>
        <w:t xml:space="preserve"> encabezado por GTV y al agente económico conformado por Cablecom y sus accionistas, entre las que se encuentra Tenedora Ares. </w:t>
      </w:r>
    </w:p>
    <w:p w:rsidR="00711CB6" w:rsidRDefault="00711CB6">
      <w:pPr>
        <w:pStyle w:val="Prrafonumerado"/>
        <w:rPr>
          <w:rFonts w:cs="Helvetica"/>
        </w:rPr>
      </w:pPr>
      <w:r>
        <w:rPr>
          <w:rFonts w:cs="Helvetica"/>
        </w:rPr>
        <w:t xml:space="preserve">El Pleno del Instituto no suscribe este argumento. De la definición de </w:t>
      </w:r>
      <w:r>
        <w:rPr>
          <w:rFonts w:cs="Helvetica"/>
          <w:i/>
        </w:rPr>
        <w:t>concentración</w:t>
      </w:r>
      <w:r>
        <w:rPr>
          <w:rFonts w:cs="Helvetica"/>
        </w:rPr>
        <w:t xml:space="preserve"> y de los elementos que sirven para identificar </w:t>
      </w:r>
      <w:r>
        <w:rPr>
          <w:rFonts w:cs="Helvetica"/>
          <w:i/>
        </w:rPr>
        <w:t>control</w:t>
      </w:r>
      <w:r>
        <w:rPr>
          <w:rFonts w:cs="Helvetica"/>
        </w:rPr>
        <w:t xml:space="preserve"> se desprende que deben ser acreditadas entre </w:t>
      </w:r>
      <w:r w:rsidR="007B008D">
        <w:rPr>
          <w:rFonts w:cs="Helvetica"/>
        </w:rPr>
        <w:t>agentes económicos cualesquiera</w:t>
      </w:r>
      <w:r w:rsidR="00C21D68">
        <w:rPr>
          <w:rFonts w:cs="Helvetica"/>
        </w:rPr>
        <w:t xml:space="preserve"> pudiendo ser competidores, proveedores, clientes o cualquier otro agente económico.</w:t>
      </w:r>
      <w:r>
        <w:rPr>
          <w:rFonts w:cs="Helvetica"/>
        </w:rPr>
        <w:t xml:space="preserve"> De tal forma que el carácter de </w:t>
      </w:r>
      <w:r>
        <w:rPr>
          <w:rFonts w:cs="Helvetica"/>
          <w:i/>
        </w:rPr>
        <w:t xml:space="preserve">“competidores entre sí” </w:t>
      </w:r>
      <w:r>
        <w:rPr>
          <w:rFonts w:cs="Helvetica"/>
        </w:rPr>
        <w:t xml:space="preserve">no constituyen un elemento </w:t>
      </w:r>
      <w:r w:rsidR="007B008D">
        <w:rPr>
          <w:rFonts w:cs="Helvetica"/>
          <w:i/>
        </w:rPr>
        <w:t xml:space="preserve">per se </w:t>
      </w:r>
      <w:r>
        <w:rPr>
          <w:rFonts w:cs="Helvetica"/>
        </w:rPr>
        <w:t>para determinar si los actos analizados constituyen una concentración.</w:t>
      </w:r>
    </w:p>
    <w:p w:rsidR="00781810" w:rsidRDefault="00781810">
      <w:pPr>
        <w:pStyle w:val="Prrafonumerado"/>
        <w:rPr>
          <w:rFonts w:cs="Helvetica"/>
        </w:rPr>
      </w:pPr>
      <w:r>
        <w:rPr>
          <w:rFonts w:cs="Helvetica"/>
        </w:rPr>
        <w:t xml:space="preserve">Por ello, el Pleno del Instituto no toma en consideración esta imputación y continúa </w:t>
      </w:r>
      <w:r w:rsidR="00B5535F">
        <w:rPr>
          <w:rFonts w:cs="Helvetica"/>
        </w:rPr>
        <w:t xml:space="preserve">con el estudio de las demás imputaciones realizadas en el OPR. </w:t>
      </w:r>
    </w:p>
    <w:p w:rsidR="00B95D50" w:rsidRDefault="007B008D" w:rsidP="00C36776">
      <w:pPr>
        <w:pStyle w:val="Prrafonumerado"/>
      </w:pPr>
      <w:r>
        <w:rPr>
          <w:rFonts w:cs="Helvetica"/>
        </w:rPr>
        <w:t xml:space="preserve">El </w:t>
      </w:r>
      <w:r w:rsidR="00501725">
        <w:rPr>
          <w:rFonts w:cs="Helvetica"/>
        </w:rPr>
        <w:t xml:space="preserve">OPR </w:t>
      </w:r>
      <w:r>
        <w:rPr>
          <w:rFonts w:cs="Helvetica"/>
        </w:rPr>
        <w:t xml:space="preserve">imputa que existe una concentración porque </w:t>
      </w:r>
      <w:r w:rsidR="00B95D50">
        <w:rPr>
          <w:rFonts w:cs="Helvetica"/>
        </w:rPr>
        <w:t>GTV</w:t>
      </w:r>
      <w:r>
        <w:rPr>
          <w:rFonts w:cs="Helvetica"/>
        </w:rPr>
        <w:t xml:space="preserve"> a través de Arretis</w:t>
      </w:r>
      <w:r w:rsidR="00B95D50">
        <w:rPr>
          <w:rFonts w:cs="Helvetica"/>
        </w:rPr>
        <w:t xml:space="preserve">: </w:t>
      </w:r>
      <w:r w:rsidR="00B95D50" w:rsidRPr="00EA51E7">
        <w:rPr>
          <w:b/>
        </w:rPr>
        <w:t>(i)</w:t>
      </w:r>
      <w:r w:rsidR="00B95D50">
        <w:t xml:space="preserve"> </w:t>
      </w:r>
      <w:r w:rsidR="008119B5">
        <w:t xml:space="preserve">tuvo la capacidad de ejercer </w:t>
      </w:r>
      <w:r w:rsidR="00B95D50">
        <w:t xml:space="preserve">control sobre Cablecom; </w:t>
      </w:r>
      <w:r w:rsidR="00B95D50" w:rsidRPr="00EA51E7">
        <w:rPr>
          <w:b/>
        </w:rPr>
        <w:t>(ii)</w:t>
      </w:r>
      <w:r w:rsidR="00B95D50">
        <w:t xml:space="preserve"> tuvo intereses comerciales y financieros afines respecto de la prestación del STAR; </w:t>
      </w:r>
      <w:r w:rsidR="00B95D50" w:rsidRPr="00EA51E7">
        <w:rPr>
          <w:b/>
        </w:rPr>
        <w:t>(iii)</w:t>
      </w:r>
      <w:r w:rsidR="00B95D50">
        <w:t xml:space="preserve"> se comportó en conjunto con Cablecom, como </w:t>
      </w:r>
      <w:r w:rsidR="00B95D50" w:rsidRPr="00406C04">
        <w:t>un</w:t>
      </w:r>
      <w:r w:rsidR="008119B5">
        <w:t xml:space="preserve"> </w:t>
      </w:r>
      <w:r w:rsidR="00B95D50" w:rsidRPr="00406C04">
        <w:t>sol</w:t>
      </w:r>
      <w:r w:rsidR="008119B5">
        <w:t>o</w:t>
      </w:r>
      <w:r w:rsidR="00B95D50" w:rsidRPr="00406C04">
        <w:t xml:space="preserve"> </w:t>
      </w:r>
      <w:r w:rsidR="008119B5">
        <w:t>agente económico</w:t>
      </w:r>
      <w:r w:rsidR="00B95D50" w:rsidRPr="00406C04">
        <w:t xml:space="preserve"> en el mercado</w:t>
      </w:r>
      <w:r w:rsidR="00B95D50">
        <w:t xml:space="preserve">, implicando </w:t>
      </w:r>
      <w:r w:rsidR="00B95D50" w:rsidRPr="00473A13">
        <w:t xml:space="preserve">la pérdida de la libertad </w:t>
      </w:r>
      <w:r w:rsidR="008119B5">
        <w:t>o independencia</w:t>
      </w:r>
      <w:r w:rsidR="008119B5" w:rsidRPr="00473A13">
        <w:t xml:space="preserve"> </w:t>
      </w:r>
      <w:r w:rsidR="00B95D50" w:rsidRPr="00473A13">
        <w:t xml:space="preserve">de </w:t>
      </w:r>
      <w:r w:rsidR="008119B5">
        <w:t>Tenedora Ares y</w:t>
      </w:r>
      <w:r w:rsidR="00B95D50">
        <w:t xml:space="preserve"> Cablecom y; </w:t>
      </w:r>
      <w:r w:rsidR="00B95D50" w:rsidRPr="00EA51E7">
        <w:rPr>
          <w:b/>
        </w:rPr>
        <w:t>(iv)</w:t>
      </w:r>
      <w:r w:rsidR="00B95D50">
        <w:t xml:space="preserve"> coordinó sus </w:t>
      </w:r>
      <w:r w:rsidR="00B95D50" w:rsidRPr="00473A13">
        <w:t xml:space="preserve">actividades </w:t>
      </w:r>
      <w:r w:rsidR="00B95D50">
        <w:t xml:space="preserve">con Cablecom </w:t>
      </w:r>
      <w:r w:rsidR="00B95D50" w:rsidRPr="00473A13">
        <w:t>para lograr un objetivo común o unión pa</w:t>
      </w:r>
      <w:r w:rsidR="00B95D50">
        <w:t xml:space="preserve">ra realizar un fin determinado, comportándose </w:t>
      </w:r>
      <w:r w:rsidR="00B95D50" w:rsidRPr="00473A13">
        <w:t>como una sola unidad económica.</w:t>
      </w:r>
    </w:p>
    <w:p w:rsidR="00615C40" w:rsidRDefault="004426EF" w:rsidP="00C36776">
      <w:pPr>
        <w:pStyle w:val="Prrafonumerado"/>
      </w:pPr>
      <w:r>
        <w:lastRenderedPageBreak/>
        <w:t>Tales afirmaciones fueron formuladas en el OPR de</w:t>
      </w:r>
      <w:r w:rsidR="00315F32">
        <w:t xml:space="preserve"> la forma siguiente:</w:t>
      </w:r>
    </w:p>
    <w:p w:rsidR="00CA6E8A" w:rsidRPr="00016499" w:rsidRDefault="00CA6E8A"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rPr>
      </w:pPr>
      <w:r>
        <w:rPr>
          <w:rFonts w:ascii="ITC Avant Garde" w:hAnsi="ITC Avant Garde"/>
          <w:sz w:val="24"/>
        </w:rPr>
        <w:t>“</w:t>
      </w:r>
      <w:r w:rsidR="00DC1E7E" w:rsidRPr="00016499">
        <w:rPr>
          <w:rFonts w:ascii="ITC Avant Garde" w:hAnsi="ITC Avant Garde"/>
          <w:i/>
        </w:rPr>
        <w:t xml:space="preserve">[i] La operación se llevó a cabo entre competidores entre sí. </w:t>
      </w:r>
      <w:r w:rsidRPr="00016499">
        <w:rPr>
          <w:rFonts w:ascii="ITC Avant Garde" w:hAnsi="ITC Avant Garde" w:cs="Helvetica"/>
          <w:i/>
        </w:rPr>
        <w:t xml:space="preserve">El Cúmulo de Operaciones realizados por GTV, a través de Arretis, con Tenedora Ares </w:t>
      </w:r>
      <w:r w:rsidRPr="00016499">
        <w:rPr>
          <w:rFonts w:ascii="ITC Avant Garde" w:hAnsi="ITC Avant Garde" w:cs="Helvetica"/>
          <w:b/>
          <w:i/>
          <w:u w:val="single"/>
        </w:rPr>
        <w:t>constituyen una operación que se lleva a cabo entre agentes económicos competidores entre sí</w:t>
      </w:r>
      <w:r w:rsidRPr="00016499">
        <w:rPr>
          <w:rFonts w:ascii="ITC Avant Garde" w:hAnsi="ITC Avant Garde" w:cs="Helvetica"/>
          <w:i/>
        </w:rPr>
        <w:t>, GTV a través SKY ofrece el servicio de televisión y audio restringido en localidades en los cuales compiten con Cablecom quien ofrece el mismo servicio.</w:t>
      </w:r>
    </w:p>
    <w:p w:rsidR="00CA6E8A" w:rsidRPr="00016499" w:rsidRDefault="00CA6E8A"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rPr>
      </w:pPr>
      <w:r w:rsidRPr="00016499">
        <w:rPr>
          <w:rFonts w:ascii="ITC Avant Garde" w:hAnsi="ITC Avant Garde" w:cs="Helvetica"/>
          <w:i/>
        </w:rPr>
        <w:t xml:space="preserve">Dados los montos involucrados y el objeto de las operaciones realizadas, se tiene que la operación </w:t>
      </w:r>
      <w:r w:rsidRPr="00016499">
        <w:rPr>
          <w:rFonts w:ascii="ITC Avant Garde" w:hAnsi="ITC Avant Garde" w:cs="Helvetica"/>
          <w:i/>
          <w:u w:val="single"/>
        </w:rPr>
        <w:t xml:space="preserve">abarca hasta el </w:t>
      </w:r>
      <w:r w:rsidR="00CE5237" w:rsidRPr="00CE5237">
        <w:rPr>
          <w:rFonts w:ascii="ITC Avant Garde" w:hAnsi="ITC Avant Garde"/>
          <w:b/>
          <w:color w:val="0000FF"/>
          <w:sz w:val="24"/>
          <w:u w:val="single"/>
        </w:rPr>
        <w:t>“CONFIDENCIAL POR LEY”</w:t>
      </w:r>
      <w:r w:rsidR="00CE5237" w:rsidRPr="00CE5237">
        <w:rPr>
          <w:rFonts w:ascii="ITC Avant Garde" w:hAnsi="ITC Avant Garde" w:cs="Arial"/>
          <w:sz w:val="24"/>
          <w:u w:val="single"/>
        </w:rPr>
        <w:t xml:space="preserve"> </w:t>
      </w:r>
      <w:r w:rsidRPr="00016499">
        <w:rPr>
          <w:rFonts w:ascii="ITC Avant Garde" w:hAnsi="ITC Avant Garde" w:cs="Helvetica"/>
          <w:i/>
          <w:u w:val="single"/>
        </w:rPr>
        <w:t>de las acciones</w:t>
      </w:r>
      <w:r w:rsidRPr="00016499">
        <w:rPr>
          <w:rFonts w:ascii="ITC Avant Garde" w:hAnsi="ITC Avant Garde" w:cs="Helvetica"/>
          <w:i/>
        </w:rPr>
        <w:t xml:space="preserve"> representativas del capital social de Cablecom, considerando las obligaciones convertibles en acciones y los préstamos a esta sociedad.</w:t>
      </w:r>
      <w:r w:rsidRPr="00016499">
        <w:rPr>
          <w:rStyle w:val="Refdenotaalpie"/>
          <w:rFonts w:ascii="ITC Avant Garde" w:hAnsi="ITC Avant Garde" w:cs="Helvetica"/>
          <w:i/>
        </w:rPr>
        <w:footnoteReference w:id="49"/>
      </w:r>
      <w:r w:rsidRPr="00016499">
        <w:rPr>
          <w:rFonts w:ascii="ITC Avant Garde" w:hAnsi="ITC Avant Garde" w:cs="Helvetica"/>
          <w:i/>
        </w:rPr>
        <w:t xml:space="preserve"> Este compromiso asumido por GTV, a través de Arretis, no representa un interés marginal o parcial respecto a Cablecom, sino todo lo contrario, la adquisición íntegra de su rival.</w:t>
      </w:r>
    </w:p>
    <w:p w:rsidR="00CA6E8A" w:rsidRPr="00016499" w:rsidRDefault="00CA6E8A"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rPr>
      </w:pPr>
      <w:r w:rsidRPr="00016499">
        <w:rPr>
          <w:rFonts w:ascii="ITC Avant Garde" w:hAnsi="ITC Avant Garde" w:cs="Helvetica"/>
          <w:i/>
        </w:rPr>
        <w:t xml:space="preserve">Los montos de los recursos monetarios involucrados en el Cúmulo de Operaciones sólo tienen sentido económico, si por medio de ellos se obtiene una ganancia. Asimismo, dado que los mecanismos contractuales se diseñaron </w:t>
      </w:r>
      <w:r w:rsidRPr="00016499">
        <w:rPr>
          <w:rFonts w:ascii="ITC Avant Garde" w:hAnsi="ITC Avant Garde" w:cs="Helvetica"/>
          <w:i/>
          <w:u w:val="single"/>
        </w:rPr>
        <w:t>con el fin de no permitir la reversión de los acuerdos, los agentes económicos</w:t>
      </w:r>
      <w:r w:rsidRPr="00016499">
        <w:rPr>
          <w:rFonts w:ascii="ITC Avant Garde" w:hAnsi="ITC Avant Garde" w:cs="Helvetica"/>
          <w:i/>
        </w:rPr>
        <w:t xml:space="preserve"> de la concentración no tenían otro propósito que el maximizar los rendimientos de los recursos aportados. </w:t>
      </w:r>
    </w:p>
    <w:p w:rsidR="00CA6E8A" w:rsidRPr="00016499" w:rsidRDefault="00CA6E8A"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rPr>
      </w:pPr>
      <w:r w:rsidRPr="00016499">
        <w:rPr>
          <w:rFonts w:ascii="ITC Avant Garde" w:hAnsi="ITC Avant Garde" w:cs="Helvetica"/>
          <w:i/>
        </w:rPr>
        <w:t xml:space="preserve">En este sentido, los intereses comerciales de dichos agentes se alinearon con el fin de hacer rentable los recursos involucrados. Este objetivo solo tiene sentido económico si los agentes económicos que concurren en un mercado generan un </w:t>
      </w:r>
      <w:r w:rsidRPr="00016499">
        <w:rPr>
          <w:rFonts w:ascii="ITC Avant Garde" w:hAnsi="ITC Avant Garde" w:cs="Helvetica"/>
          <w:i/>
          <w:u w:val="single"/>
        </w:rPr>
        <w:t>resultado mutuamente beneficioso</w:t>
      </w:r>
      <w:r w:rsidRPr="00016499">
        <w:rPr>
          <w:rFonts w:ascii="ITC Avant Garde" w:hAnsi="ITC Avant Garde" w:cs="Helvetica"/>
          <w:i/>
        </w:rPr>
        <w:t>. Es decir, no resu</w:t>
      </w:r>
      <w:r w:rsidR="00CE5237">
        <w:rPr>
          <w:rFonts w:ascii="ITC Avant Garde" w:hAnsi="ITC Avant Garde" w:cs="Helvetica"/>
          <w:i/>
        </w:rPr>
        <w:t xml:space="preserve">lta creíble que GTV a través de </w:t>
      </w:r>
      <w:r w:rsidR="00CE5237" w:rsidRPr="00072915">
        <w:rPr>
          <w:rFonts w:ascii="ITC Avant Garde" w:hAnsi="ITC Avant Garde"/>
          <w:b/>
          <w:color w:val="0000FF"/>
          <w:sz w:val="24"/>
        </w:rPr>
        <w:t>“CONFIDENCIAL POR LEY”</w:t>
      </w:r>
      <w:r w:rsidRPr="00016499">
        <w:rPr>
          <w:rFonts w:ascii="ITC Avant Garde" w:hAnsi="ITC Avant Garde" w:cs="Helvetica"/>
          <w:i/>
        </w:rPr>
        <w:t xml:space="preserve"> por ejemplo, compita de forma agresiva con Cablecom, dado que si ello resultará así, el valor económico de Cablecom se degradaría, y por ende los recursos que GTV había aportado. En otras palabras, tienen incentivos para actuar de forma coordinada frente a otros agentes económicos competidores en los mercados en los cuales concurran.</w:t>
      </w:r>
    </w:p>
    <w:p w:rsidR="00CA6E8A" w:rsidRPr="00016499" w:rsidRDefault="00645986"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rPr>
      </w:pPr>
      <w:r w:rsidRPr="00016499">
        <w:rPr>
          <w:rFonts w:ascii="ITC Avant Garde" w:hAnsi="ITC Avant Garde" w:cs="Helvetica"/>
          <w:i/>
        </w:rPr>
        <w:t xml:space="preserve">Los incentivos, </w:t>
      </w:r>
      <w:r w:rsidR="00CE5237" w:rsidRPr="00072915">
        <w:rPr>
          <w:rFonts w:ascii="ITC Avant Garde" w:hAnsi="ITC Avant Garde"/>
          <w:b/>
          <w:color w:val="0000FF"/>
          <w:sz w:val="24"/>
        </w:rPr>
        <w:t>“CONFIDENCIAL POR LEY”</w:t>
      </w:r>
      <w:r w:rsidR="00CE5237" w:rsidRPr="00A37710">
        <w:rPr>
          <w:rFonts w:ascii="ITC Avant Garde" w:hAnsi="ITC Avant Garde" w:cs="Arial"/>
          <w:sz w:val="24"/>
        </w:rPr>
        <w:t xml:space="preserve"> </w:t>
      </w:r>
      <w:r w:rsidRPr="00016499">
        <w:rPr>
          <w:rFonts w:ascii="ITC Avant Garde" w:hAnsi="ITC Avant Garde" w:cs="Helvetica"/>
          <w:i/>
        </w:rPr>
        <w:t>toda vez que Arretis tenía:</w:t>
      </w:r>
    </w:p>
    <w:p w:rsidR="00645986" w:rsidRPr="00016499" w:rsidRDefault="00645986"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rPr>
      </w:pPr>
      <w:r w:rsidRPr="00016499">
        <w:rPr>
          <w:rFonts w:ascii="ITC Avant Garde" w:hAnsi="ITC Avant Garde" w:cs="Helvetica"/>
          <w:i/>
        </w:rPr>
        <w:t xml:space="preserve">1. </w:t>
      </w:r>
      <w:r w:rsidR="00CE5237" w:rsidRPr="00072915">
        <w:rPr>
          <w:rFonts w:ascii="ITC Avant Garde" w:hAnsi="ITC Avant Garde"/>
          <w:b/>
          <w:color w:val="0000FF"/>
          <w:sz w:val="24"/>
        </w:rPr>
        <w:t>“CONFIDENCIAL POR LEY”</w:t>
      </w:r>
    </w:p>
    <w:p w:rsidR="00645986" w:rsidRPr="00016499" w:rsidRDefault="00CE5237"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rPr>
      </w:pPr>
      <w:r>
        <w:rPr>
          <w:rFonts w:ascii="ITC Avant Garde" w:hAnsi="ITC Avant Garde" w:cs="Helvetica"/>
          <w:i/>
        </w:rPr>
        <w:t xml:space="preserve">2. </w:t>
      </w:r>
      <w:r w:rsidRPr="00072915">
        <w:rPr>
          <w:rFonts w:ascii="ITC Avant Garde" w:hAnsi="ITC Avant Garde"/>
          <w:b/>
          <w:color w:val="0000FF"/>
          <w:sz w:val="24"/>
        </w:rPr>
        <w:t>“CONFIDENCIAL POR LEY”</w:t>
      </w:r>
    </w:p>
    <w:p w:rsidR="00301F75" w:rsidRPr="00016499" w:rsidRDefault="00301F75"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rPr>
      </w:pPr>
      <w:r w:rsidRPr="00016499">
        <w:rPr>
          <w:rFonts w:ascii="ITC Avant Garde" w:hAnsi="ITC Avant Garde" w:cs="Helvetica"/>
          <w:i/>
        </w:rPr>
        <w:t>Lo anterior, se tradujo en optimizar de manera conjunta los beneficios obtenidos de la actividad comercial de Cablecom y el de las sociedades que forman parte de GTV y que producían y comercializaban servicios de telecomunicaciones iguales, similares o sustancialmente relacionados con los que produce o comercializa Cablecom, afectando las decisiones que estas sociedades tomaran respecto de su operación durante la vigencia de las operaciones.</w:t>
      </w:r>
    </w:p>
    <w:p w:rsidR="00301F75" w:rsidRPr="00016499" w:rsidRDefault="00301F75"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rPr>
      </w:pPr>
      <w:r w:rsidRPr="00016499">
        <w:rPr>
          <w:rFonts w:ascii="ITC Avant Garde" w:hAnsi="ITC Avant Garde" w:cs="Helvetica"/>
          <w:i/>
        </w:rPr>
        <w:t xml:space="preserve">Por tanto, </w:t>
      </w:r>
      <w:r w:rsidR="00DC1E7E" w:rsidRPr="00016499">
        <w:rPr>
          <w:rFonts w:ascii="ITC Avant Garde" w:hAnsi="ITC Avant Garde" w:cs="Helvetica"/>
          <w:i/>
        </w:rPr>
        <w:t>Grupo Televisa</w:t>
      </w:r>
      <w:r w:rsidRPr="00016499">
        <w:rPr>
          <w:rFonts w:ascii="ITC Avant Garde" w:hAnsi="ITC Avant Garde" w:cs="Helvetica"/>
          <w:i/>
        </w:rPr>
        <w:t xml:space="preserve"> tuvo incentivos para evitar cualquier acción tendiente a menoscabar las ganancias obtenidas por Cablecom, al menos en la medida en que esto disminuyera el beneficio actual o futuro de </w:t>
      </w:r>
      <w:r w:rsidR="004F0AE7" w:rsidRPr="00016499">
        <w:rPr>
          <w:rFonts w:ascii="ITC Avant Garde" w:hAnsi="ITC Avant Garde" w:cs="Helvetica"/>
          <w:i/>
        </w:rPr>
        <w:t>Grupo Televisa</w:t>
      </w:r>
      <w:r w:rsidRPr="00016499">
        <w:rPr>
          <w:rFonts w:ascii="ITC Avant Garde" w:hAnsi="ITC Avant Garde" w:cs="Helvetica"/>
          <w:i/>
        </w:rPr>
        <w:t>.</w:t>
      </w:r>
    </w:p>
    <w:p w:rsidR="00301F75" w:rsidRPr="00016499" w:rsidRDefault="004F0AE7" w:rsidP="00016499">
      <w:pPr>
        <w:autoSpaceDE w:val="0"/>
        <w:autoSpaceDN w:val="0"/>
        <w:adjustRightInd w:val="0"/>
        <w:spacing w:after="120" w:line="240" w:lineRule="auto"/>
        <w:ind w:left="283" w:right="283"/>
        <w:jc w:val="both"/>
        <w:rPr>
          <w:rFonts w:ascii="ITC Avant Garde" w:hAnsi="ITC Avant Garde" w:cs="Helvetica"/>
          <w:i/>
        </w:rPr>
      </w:pPr>
      <w:r w:rsidRPr="00016499">
        <w:rPr>
          <w:rFonts w:ascii="ITC Avant Garde" w:hAnsi="ITC Avant Garde" w:cs="Helvetica"/>
          <w:i/>
        </w:rPr>
        <w:t xml:space="preserve">[ii] </w:t>
      </w:r>
      <w:r w:rsidR="00301F75" w:rsidRPr="00016499">
        <w:rPr>
          <w:rFonts w:ascii="ITC Avant Garde" w:hAnsi="ITC Avant Garde" w:cs="Helvetica"/>
          <w:i/>
        </w:rPr>
        <w:t xml:space="preserve">Ausencia de incentivos en los accionistas y controladoras de Cablecom. Los intereses financieros del grupo de interés económico encabezado por GTV y el grupo del cual </w:t>
      </w:r>
      <w:r w:rsidR="00301F75" w:rsidRPr="00016499">
        <w:rPr>
          <w:rFonts w:ascii="ITC Avant Garde" w:hAnsi="ITC Avant Garde" w:cs="Helvetica"/>
          <w:i/>
        </w:rPr>
        <w:lastRenderedPageBreak/>
        <w:t>forma parte Cablecom, se encontraron alineados debido a que cualquier decisión respecto el uso del producto final de la actividad y operación de Cablecom y Tenedora Ares sería determinado previa autorización de Arretis.</w:t>
      </w:r>
      <w:r w:rsidR="00301F75" w:rsidRPr="00016499">
        <w:rPr>
          <w:rStyle w:val="Refdenotaalpie"/>
          <w:rFonts w:ascii="ITC Avant Garde" w:hAnsi="ITC Avant Garde" w:cs="Helvetica"/>
          <w:i/>
        </w:rPr>
        <w:footnoteReference w:id="50"/>
      </w:r>
      <w:r w:rsidR="00301F75" w:rsidRPr="00016499">
        <w:rPr>
          <w:rFonts w:ascii="ITC Avant Garde" w:hAnsi="ITC Avant Garde" w:cs="Helvetica"/>
          <w:i/>
        </w:rPr>
        <w:t xml:space="preserve"> Es decir, </w:t>
      </w:r>
      <w:r w:rsidRPr="00016499">
        <w:rPr>
          <w:rFonts w:ascii="ITC Avant Garde" w:hAnsi="ITC Avant Garde" w:cs="Helvetica"/>
          <w:i/>
        </w:rPr>
        <w:t>Grupo Televisa</w:t>
      </w:r>
      <w:r w:rsidR="00301F75" w:rsidRPr="00016499">
        <w:rPr>
          <w:rFonts w:ascii="ITC Avant Garde" w:hAnsi="ITC Avant Garde" w:cs="Helvetica"/>
          <w:i/>
        </w:rPr>
        <w:t xml:space="preserve"> adquirió el derecho, en forma indirecta, de determinar el destino de las ganancias derivadas de la operación de Cablecom.</w:t>
      </w:r>
    </w:p>
    <w:p w:rsidR="006103FB" w:rsidRDefault="00301F75"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color w:val="0000FF"/>
        </w:rPr>
      </w:pPr>
      <w:r w:rsidRPr="00016499">
        <w:rPr>
          <w:rFonts w:ascii="ITC Avant Garde" w:hAnsi="ITC Avant Garde" w:cs="Helvetica"/>
          <w:i/>
        </w:rPr>
        <w:t xml:space="preserve">Lo anterior, extinguió el interés que los accionistas y las controladoras de Cablecom y Tenedora Ares pudieran tener para desarrollar la empresa, </w:t>
      </w:r>
      <w:r w:rsidR="00CE5237" w:rsidRPr="00CE5237">
        <w:rPr>
          <w:rFonts w:ascii="ITC Avant Garde" w:hAnsi="ITC Avant Garde" w:cs="Helvetica"/>
          <w:b/>
          <w:color w:val="0000FF"/>
        </w:rPr>
        <w:t>“CONFIDENCIAL POR LEY”</w:t>
      </w:r>
      <w:r w:rsidR="006103FB">
        <w:rPr>
          <w:rFonts w:ascii="ITC Avant Garde" w:hAnsi="ITC Avant Garde" w:cs="Helvetica"/>
          <w:i/>
          <w:color w:val="0000FF"/>
        </w:rPr>
        <w:t>.</w:t>
      </w:r>
    </w:p>
    <w:p w:rsidR="002D6EFF" w:rsidRPr="00016499" w:rsidRDefault="002D6EFF"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rPr>
      </w:pPr>
      <w:r w:rsidRPr="00016499">
        <w:rPr>
          <w:rFonts w:ascii="ITC Avant Garde" w:hAnsi="ITC Avant Garde" w:cs="Helvetica"/>
          <w:i/>
        </w:rPr>
        <w:t>Ante la ausencia de un centro de mando de iure efectivo por parte de Cablecom, dicha empresa debió dirigir su comportamiento en función al objetivo establecido en los instrumentos firmados el treinta y uno de julio de dos mil trece.</w:t>
      </w:r>
    </w:p>
    <w:p w:rsidR="00016499" w:rsidRPr="00016499" w:rsidRDefault="00301F75"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i/>
        </w:rPr>
      </w:pPr>
      <w:r w:rsidRPr="00016499">
        <w:rPr>
          <w:rFonts w:ascii="ITC Avant Garde" w:hAnsi="ITC Avant Garde" w:cs="Helvetica"/>
          <w:i/>
        </w:rPr>
        <w:t>Los directivos de Tenedora Ares y Cablecom no tenían incentivos a realizar acciones directas que desarrollaran a sus empresas en detrimento del grupo de interés económico encabezado por GTV, en razón de que dicho grupo adquiriría la mayoría accionaria en cualquier momento dentro del lapso de vigencia de las operaciones. Ellos en atención a que los directivos de Tenedora Ares y Cablecom tratarían de preservar o mejorar su posición dentro de la empresa, buscando mantener una buena relación con sus futuros empleadores.</w:t>
      </w:r>
    </w:p>
    <w:p w:rsidR="00301F75" w:rsidRPr="00A37710" w:rsidRDefault="00016499" w:rsidP="00016499">
      <w:pPr>
        <w:pStyle w:val="Prrafodelista"/>
        <w:autoSpaceDE w:val="0"/>
        <w:autoSpaceDN w:val="0"/>
        <w:adjustRightInd w:val="0"/>
        <w:spacing w:after="120" w:line="240" w:lineRule="auto"/>
        <w:ind w:left="283" w:right="283"/>
        <w:contextualSpacing w:val="0"/>
        <w:jc w:val="both"/>
        <w:rPr>
          <w:rFonts w:ascii="ITC Avant Garde" w:hAnsi="ITC Avant Garde" w:cs="Helvetica"/>
          <w:sz w:val="24"/>
        </w:rPr>
      </w:pPr>
      <w:r w:rsidRPr="00016499">
        <w:rPr>
          <w:rFonts w:ascii="ITC Avant Garde" w:hAnsi="ITC Avant Garde" w:cs="Helvetica"/>
          <w:i/>
        </w:rPr>
        <w:t xml:space="preserve">[iii] Irreversibilidad. </w:t>
      </w:r>
      <w:r w:rsidR="00301F75" w:rsidRPr="00016499">
        <w:rPr>
          <w:rFonts w:ascii="ITC Avant Garde" w:hAnsi="ITC Avant Garde" w:cs="Helvetica"/>
          <w:i/>
        </w:rPr>
        <w:t xml:space="preserve">La existencia del marco contractual, derivado del Cúmulo de Operaciones afectaron la toma de decisiones de los accionistas de Tenedora Ares y Cablecom, pues al menos durante los tres primeros años de la vigencia de las operaciones, no existía una forma de revertir o salir de dicho esquema, incluso, después del tercer año, una posible salida por parte de los accionistas y controladoras de Tenedora Ares y Cablecom </w:t>
      </w:r>
      <w:r w:rsidR="00E639C7" w:rsidRPr="00CE5237">
        <w:rPr>
          <w:rFonts w:ascii="ITC Avant Garde" w:hAnsi="ITC Avant Garde" w:cs="Helvetica"/>
          <w:b/>
          <w:color w:val="0000FF"/>
        </w:rPr>
        <w:t>“CONFIDENCIAL POR LEY”</w:t>
      </w:r>
      <w:r w:rsidR="00E639C7" w:rsidRPr="00CE5237">
        <w:rPr>
          <w:rFonts w:ascii="ITC Avant Garde" w:hAnsi="ITC Avant Garde" w:cs="Helvetica"/>
          <w:i/>
          <w:color w:val="0000FF"/>
        </w:rPr>
        <w:t xml:space="preserve"> </w:t>
      </w:r>
      <w:r w:rsidR="00301F75" w:rsidRPr="00016499">
        <w:rPr>
          <w:rFonts w:ascii="ITC Avant Garde" w:hAnsi="ITC Avant Garde" w:cs="Helvetica"/>
          <w:i/>
        </w:rPr>
        <w:t>subsidiaria de GTV, confiriendo a esta sociedad un amplio margen de influencia respecto cualquier medio de reversión</w:t>
      </w:r>
      <w:r>
        <w:rPr>
          <w:rFonts w:ascii="ITC Avant Garde" w:hAnsi="ITC Avant Garde" w:cs="Helvetica"/>
          <w:sz w:val="24"/>
        </w:rPr>
        <w:t>”</w:t>
      </w:r>
      <w:r w:rsidR="00301F75" w:rsidRPr="00A37710">
        <w:rPr>
          <w:rFonts w:ascii="ITC Avant Garde" w:hAnsi="ITC Avant Garde" w:cs="Helvetica"/>
          <w:sz w:val="24"/>
        </w:rPr>
        <w:t>.</w:t>
      </w:r>
      <w:r w:rsidR="00A75058">
        <w:rPr>
          <w:rStyle w:val="Refdenotaalpie"/>
          <w:rFonts w:ascii="ITC Avant Garde" w:hAnsi="ITC Avant Garde" w:cs="Helvetica"/>
          <w:sz w:val="24"/>
        </w:rPr>
        <w:footnoteReference w:id="51"/>
      </w:r>
    </w:p>
    <w:p w:rsidR="001852FA" w:rsidRDefault="00247D85" w:rsidP="00C36776">
      <w:pPr>
        <w:pStyle w:val="Prrafonumerado"/>
      </w:pPr>
      <w:r>
        <w:t xml:space="preserve">El OPR imputa que la titularidad de las obligaciones convertibles en acciones, en términos del </w:t>
      </w:r>
      <w:r w:rsidR="002E75C6">
        <w:t>Cúmulo de Operaciones</w:t>
      </w:r>
      <w:r w:rsidR="001852FA">
        <w:t>,</w:t>
      </w:r>
      <w:r>
        <w:t xml:space="preserve"> </w:t>
      </w:r>
      <w:r w:rsidR="001852FA">
        <w:t xml:space="preserve">otorgó a GTV a través de Arretis la capacidad o la </w:t>
      </w:r>
      <w:r>
        <w:t>posibilidad de</w:t>
      </w:r>
      <w:r w:rsidR="001852FA">
        <w:t>:</w:t>
      </w:r>
    </w:p>
    <w:p w:rsidR="001852FA" w:rsidRDefault="001852FA" w:rsidP="001852FA">
      <w:pPr>
        <w:pStyle w:val="Prrafonumerado"/>
        <w:numPr>
          <w:ilvl w:val="0"/>
          <w:numId w:val="43"/>
        </w:numPr>
        <w:ind w:hanging="436"/>
      </w:pPr>
      <w:r>
        <w:t>D</w:t>
      </w:r>
      <w:r w:rsidR="00247D85">
        <w:t xml:space="preserve">eterminar en todo momento el destino de </w:t>
      </w:r>
      <w:r w:rsidR="00247D85" w:rsidRPr="00247D85">
        <w:t>las obligaciones</w:t>
      </w:r>
      <w:r>
        <w:t xml:space="preserve"> que recaían sobre hasta el </w:t>
      </w:r>
      <w:r w:rsidR="00E639C7" w:rsidRPr="00CE5237">
        <w:rPr>
          <w:rFonts w:cs="Helvetica"/>
          <w:b/>
          <w:color w:val="0000FF"/>
        </w:rPr>
        <w:t>“CONFIDENCIAL POR LEY”</w:t>
      </w:r>
      <w:r w:rsidR="00E639C7" w:rsidRPr="00CE5237">
        <w:rPr>
          <w:rFonts w:cs="Helvetica"/>
          <w:i/>
          <w:color w:val="0000FF"/>
        </w:rPr>
        <w:t xml:space="preserve"> </w:t>
      </w:r>
      <w:r>
        <w:t>de las acciones de Tenedora Ar</w:t>
      </w:r>
      <w:r w:rsidR="000263AD">
        <w:t>es, que a su vez era titular de</w:t>
      </w:r>
      <w:r>
        <w:t xml:space="preserve"> </w:t>
      </w:r>
      <w:r w:rsidR="00CA63BA" w:rsidRPr="00CE5237">
        <w:rPr>
          <w:rFonts w:cs="Helvetica"/>
          <w:b/>
          <w:color w:val="0000FF"/>
        </w:rPr>
        <w:t>“CONFIDENCIAL POR LEY”</w:t>
      </w:r>
      <w:r w:rsidR="00CA63BA" w:rsidRPr="00CE5237">
        <w:rPr>
          <w:rFonts w:cs="Helvetica"/>
          <w:i/>
          <w:color w:val="0000FF"/>
        </w:rPr>
        <w:t xml:space="preserve"> </w:t>
      </w:r>
      <w:r>
        <w:t>de las acciones de Cablecom, una concesionaria autorizada para prestar</w:t>
      </w:r>
      <w:r w:rsidR="002E75C6">
        <w:t xml:space="preserve"> el STAR. </w:t>
      </w:r>
      <w:r w:rsidR="00CA63BA" w:rsidRPr="00CE5237">
        <w:rPr>
          <w:rFonts w:cs="Helvetica"/>
          <w:b/>
          <w:color w:val="0000FF"/>
        </w:rPr>
        <w:t>“CONFIDENCIAL POR LEY”</w:t>
      </w:r>
    </w:p>
    <w:p w:rsidR="001852FA" w:rsidRDefault="00E639C7" w:rsidP="001852FA">
      <w:pPr>
        <w:pStyle w:val="Prrafonumerado"/>
        <w:numPr>
          <w:ilvl w:val="0"/>
          <w:numId w:val="43"/>
        </w:numPr>
        <w:ind w:hanging="436"/>
      </w:pPr>
      <w:r w:rsidRPr="00CE5237">
        <w:rPr>
          <w:rFonts w:cs="Helvetica"/>
          <w:b/>
          <w:color w:val="0000FF"/>
        </w:rPr>
        <w:t>“CONFIDENCIAL POR LEY”</w:t>
      </w:r>
      <w:r w:rsidR="001852FA">
        <w:t xml:space="preserve">. </w:t>
      </w:r>
    </w:p>
    <w:p w:rsidR="001852FA" w:rsidRDefault="00E639C7" w:rsidP="001852FA">
      <w:pPr>
        <w:pStyle w:val="Prrafonumerado"/>
        <w:numPr>
          <w:ilvl w:val="0"/>
          <w:numId w:val="43"/>
        </w:numPr>
        <w:ind w:hanging="436"/>
      </w:pPr>
      <w:r w:rsidRPr="00CE5237">
        <w:rPr>
          <w:rFonts w:cs="Helvetica"/>
          <w:b/>
          <w:color w:val="0000FF"/>
        </w:rPr>
        <w:t>“CONFIDENCIAL POR LEY”</w:t>
      </w:r>
      <w:r w:rsidRPr="00CE5237">
        <w:rPr>
          <w:rFonts w:cs="Helvetica"/>
          <w:i/>
          <w:color w:val="0000FF"/>
        </w:rPr>
        <w:t xml:space="preserve"> </w:t>
      </w:r>
      <w:r w:rsidR="002E75C6">
        <w:t xml:space="preserve">a los accionistas de Tenedora Ares y su subsidiaria Cablecom, lo que reducía los incentivos del deudor a cubrir el monto de los créditos otorgados a Tenedora Ares, accionista al </w:t>
      </w:r>
      <w:r w:rsidRPr="00CE5237">
        <w:rPr>
          <w:rFonts w:cs="Helvetica"/>
          <w:b/>
          <w:color w:val="0000FF"/>
        </w:rPr>
        <w:t>“CONFIDENCIAL POR LEY”</w:t>
      </w:r>
      <w:r w:rsidRPr="00CE5237">
        <w:rPr>
          <w:rFonts w:cs="Helvetica"/>
          <w:i/>
          <w:color w:val="0000FF"/>
        </w:rPr>
        <w:t xml:space="preserve"> </w:t>
      </w:r>
      <w:r w:rsidR="002E75C6">
        <w:t xml:space="preserve">por ciento) de Cablecom y a otras personas morales tenedoras del </w:t>
      </w:r>
      <w:r w:rsidRPr="00CE5237">
        <w:rPr>
          <w:rFonts w:cs="Helvetica"/>
          <w:b/>
          <w:color w:val="0000FF"/>
        </w:rPr>
        <w:t>“CONFIDENCIAL POR LEY”</w:t>
      </w:r>
      <w:r>
        <w:rPr>
          <w:rFonts w:cs="Helvetica"/>
          <w:b/>
          <w:color w:val="0000FF"/>
        </w:rPr>
        <w:t xml:space="preserve"> </w:t>
      </w:r>
      <w:r w:rsidR="002E75C6">
        <w:t xml:space="preserve">de Cablecom. </w:t>
      </w:r>
    </w:p>
    <w:p w:rsidR="002E75C6" w:rsidRPr="00312085" w:rsidRDefault="002E75C6" w:rsidP="008E1916">
      <w:pPr>
        <w:pStyle w:val="NormalIFT"/>
      </w:pPr>
      <w:r w:rsidRPr="00312085">
        <w:lastRenderedPageBreak/>
        <w:t>Asimismo, el OPR concluye que los vínculos establecidos en el Cúmulo de Operaciones generaron intereses comerciales y financieros afines entre el grupo de interés económico encabezado por Grupo Televisa y el agente económico del que forman parte Tenedor</w:t>
      </w:r>
      <w:r w:rsidR="00312085" w:rsidRPr="00312085">
        <w:t>a</w:t>
      </w:r>
      <w:r w:rsidR="00002B9C">
        <w:t xml:space="preserve"> Ares y Ca</w:t>
      </w:r>
      <w:r w:rsidRPr="00312085">
        <w:t>blecom.</w:t>
      </w:r>
    </w:p>
    <w:p w:rsidR="001852FA" w:rsidRDefault="00E72B50" w:rsidP="001852FA">
      <w:pPr>
        <w:pStyle w:val="Prrafonumerado"/>
      </w:pPr>
      <w:r>
        <w:t xml:space="preserve">Al respecto, esta autoridad cuenta con elementos de convicción suficientes para determinar que el Cúmulo de Operaciones, así como las obligaciones de hacer y no hacer ahí convenidas, tenían por objeto garantizar las obligaciones y activos </w:t>
      </w:r>
      <w:r w:rsidR="00AD52A4">
        <w:t xml:space="preserve">amparados </w:t>
      </w:r>
      <w:r>
        <w:t xml:space="preserve">por el Cúmulo de Operaciones, elementos que </w:t>
      </w:r>
      <w:r w:rsidR="006F1AE3">
        <w:t xml:space="preserve">se establecen en cualquier </w:t>
      </w:r>
      <w:r>
        <w:t>instrumento financiero</w:t>
      </w:r>
      <w:r w:rsidR="006F1AE3">
        <w:t>, sin que se identifique que las particularidades de los que se analizaron en el OPR sean distintas o extraordinarias</w:t>
      </w:r>
    </w:p>
    <w:p w:rsidR="00E02FE2" w:rsidRDefault="000326CF" w:rsidP="001852FA">
      <w:pPr>
        <w:pStyle w:val="Prrafonumerado"/>
      </w:pPr>
      <w:r>
        <w:t>Asimismo</w:t>
      </w:r>
      <w:r w:rsidR="001852FA">
        <w:t xml:space="preserve">, del Expediente y del OPR no se desprenden elementos de convicción de que GTV haya </w:t>
      </w:r>
      <w:r w:rsidR="006F1AE3">
        <w:t xml:space="preserve">adquirido </w:t>
      </w:r>
      <w:r w:rsidR="001852FA">
        <w:t xml:space="preserve">la capacidad de controlar las decisiones de Tenedora Ares y su subsidiaria Cablecom </w:t>
      </w:r>
      <w:r w:rsidR="007B008D">
        <w:t xml:space="preserve">y sus demás accionistas </w:t>
      </w:r>
      <w:r w:rsidR="001852FA">
        <w:t xml:space="preserve">al participar en </w:t>
      </w:r>
      <w:r w:rsidR="007B008D">
        <w:t>la provisión del STAR</w:t>
      </w:r>
      <w:r w:rsidR="001852FA">
        <w:t xml:space="preserve">. </w:t>
      </w:r>
    </w:p>
    <w:p w:rsidR="00312085" w:rsidRDefault="00FF6E6A" w:rsidP="00346097">
      <w:pPr>
        <w:spacing w:after="120" w:line="240" w:lineRule="auto"/>
        <w:jc w:val="both"/>
        <w:rPr>
          <w:rFonts w:ascii="ITC Avant Garde" w:hAnsi="ITC Avant Garde"/>
          <w:sz w:val="24"/>
        </w:rPr>
      </w:pPr>
      <w:r>
        <w:rPr>
          <w:rFonts w:ascii="ITC Avant Garde" w:hAnsi="ITC Avant Garde"/>
          <w:sz w:val="24"/>
        </w:rPr>
        <w:t xml:space="preserve">Los términos y condiciones del Cúmulo de Operaciones </w:t>
      </w:r>
      <w:r w:rsidR="00312085">
        <w:rPr>
          <w:rFonts w:ascii="ITC Avant Garde" w:hAnsi="ITC Avant Garde"/>
          <w:sz w:val="24"/>
        </w:rPr>
        <w:t xml:space="preserve">referidos en el OPR constituyen medios para </w:t>
      </w:r>
      <w:r w:rsidR="00B95D50">
        <w:rPr>
          <w:rFonts w:ascii="ITC Avant Garde" w:hAnsi="ITC Avant Garde"/>
          <w:sz w:val="24"/>
        </w:rPr>
        <w:t xml:space="preserve">bloquear acciones </w:t>
      </w:r>
      <w:r w:rsidR="00312085">
        <w:rPr>
          <w:rFonts w:ascii="ITC Avant Garde" w:hAnsi="ITC Avant Garde"/>
          <w:sz w:val="24"/>
        </w:rPr>
        <w:t xml:space="preserve">de Tenedora Ares y de los demás accionistas de Cablecom. Sin embargo, tales condiciones </w:t>
      </w:r>
      <w:r w:rsidR="00312085">
        <w:rPr>
          <w:rFonts w:ascii="ITC Avant Garde" w:hAnsi="ITC Avant Garde"/>
          <w:i/>
          <w:sz w:val="24"/>
        </w:rPr>
        <w:t xml:space="preserve">per </w:t>
      </w:r>
      <w:r w:rsidR="00312085" w:rsidRPr="001A0462">
        <w:rPr>
          <w:rFonts w:ascii="ITC Avant Garde" w:hAnsi="ITC Avant Garde"/>
          <w:sz w:val="24"/>
        </w:rPr>
        <w:t>se</w:t>
      </w:r>
      <w:r w:rsidR="00312085">
        <w:rPr>
          <w:rFonts w:ascii="ITC Avant Garde" w:hAnsi="ITC Avant Garde"/>
          <w:sz w:val="24"/>
        </w:rPr>
        <w:t xml:space="preserve"> no acreditan la existencia de un medio de control de GTV, a través de Arretis, de Tenedora Ares y de los demás accionistas de Cablecom y tampoco sobre Cablecom. Tales elementos son comunes en los actos que involucran las obligaciones convertibles en acciones y </w:t>
      </w:r>
      <w:r w:rsidR="008A6835">
        <w:rPr>
          <w:rFonts w:ascii="ITC Avant Garde" w:hAnsi="ITC Avant Garde"/>
          <w:sz w:val="24"/>
        </w:rPr>
        <w:t>las</w:t>
      </w:r>
      <w:r w:rsidR="00AD52A4">
        <w:rPr>
          <w:rFonts w:ascii="ITC Avant Garde" w:hAnsi="ITC Avant Garde"/>
          <w:sz w:val="24"/>
        </w:rPr>
        <w:t xml:space="preserve"> garantía</w:t>
      </w:r>
      <w:r w:rsidR="00494BF1">
        <w:rPr>
          <w:rFonts w:ascii="ITC Avant Garde" w:hAnsi="ITC Avant Garde"/>
          <w:sz w:val="24"/>
        </w:rPr>
        <w:t>s</w:t>
      </w:r>
      <w:r w:rsidR="00AD52A4">
        <w:rPr>
          <w:rFonts w:ascii="ITC Avant Garde" w:hAnsi="ITC Avant Garde"/>
          <w:sz w:val="24"/>
        </w:rPr>
        <w:t xml:space="preserve"> prendarias</w:t>
      </w:r>
      <w:r w:rsidR="00312085">
        <w:rPr>
          <w:rFonts w:ascii="ITC Avant Garde" w:hAnsi="ITC Avant Garde"/>
          <w:sz w:val="24"/>
        </w:rPr>
        <w:t xml:space="preserve">. </w:t>
      </w:r>
    </w:p>
    <w:p w:rsidR="00312085" w:rsidRDefault="00312085" w:rsidP="00346097">
      <w:pPr>
        <w:spacing w:after="120" w:line="240" w:lineRule="auto"/>
        <w:jc w:val="both"/>
        <w:rPr>
          <w:rFonts w:ascii="ITC Avant Garde" w:hAnsi="ITC Avant Garde"/>
          <w:sz w:val="24"/>
        </w:rPr>
      </w:pPr>
      <w:r>
        <w:rPr>
          <w:rFonts w:ascii="ITC Avant Garde" w:hAnsi="ITC Avant Garde"/>
          <w:sz w:val="24"/>
        </w:rPr>
        <w:t xml:space="preserve">Para determinar si tales elementos constituyen medios o instrumentos de control de GTV sobre Cablecom y/o sus accionistas es válido usar evidencia indirecta para determinar si otorgaron a GTV la capacidad de trascender a las decisiones de Cablecom para participar </w:t>
      </w:r>
      <w:r w:rsidR="00CF203A">
        <w:rPr>
          <w:rFonts w:ascii="ITC Avant Garde" w:hAnsi="ITC Avant Garde"/>
          <w:sz w:val="24"/>
        </w:rPr>
        <w:t xml:space="preserve">en </w:t>
      </w:r>
      <w:r>
        <w:rPr>
          <w:rFonts w:ascii="ITC Avant Garde" w:hAnsi="ITC Avant Garde"/>
          <w:sz w:val="24"/>
        </w:rPr>
        <w:t>la actividad económica que realiza.</w:t>
      </w:r>
    </w:p>
    <w:p w:rsidR="00711CB6" w:rsidRDefault="00312085" w:rsidP="00346097">
      <w:pPr>
        <w:spacing w:after="120" w:line="240" w:lineRule="auto"/>
        <w:jc w:val="both"/>
        <w:rPr>
          <w:rFonts w:ascii="ITC Avant Garde" w:hAnsi="ITC Avant Garde"/>
          <w:sz w:val="24"/>
        </w:rPr>
      </w:pPr>
      <w:r>
        <w:rPr>
          <w:rFonts w:ascii="ITC Avant Garde" w:hAnsi="ITC Avant Garde"/>
          <w:sz w:val="24"/>
        </w:rPr>
        <w:t xml:space="preserve">En este caso, el Pleno del Instituto </w:t>
      </w:r>
      <w:r w:rsidR="00470992">
        <w:rPr>
          <w:rFonts w:ascii="ITC Avant Garde" w:hAnsi="ITC Avant Garde"/>
          <w:sz w:val="24"/>
        </w:rPr>
        <w:t xml:space="preserve">no encuentra elementos de convicción en el Expediente y en el OPR </w:t>
      </w:r>
      <w:r>
        <w:rPr>
          <w:rFonts w:ascii="ITC Avant Garde" w:hAnsi="ITC Avant Garde"/>
          <w:sz w:val="24"/>
        </w:rPr>
        <w:t>que</w:t>
      </w:r>
      <w:r w:rsidR="00B95D50">
        <w:rPr>
          <w:rFonts w:ascii="ITC Avant Garde" w:hAnsi="ITC Avant Garde"/>
          <w:sz w:val="24"/>
        </w:rPr>
        <w:t xml:space="preserve"> </w:t>
      </w:r>
      <w:r w:rsidR="00470992">
        <w:rPr>
          <w:rFonts w:ascii="ITC Avant Garde" w:hAnsi="ITC Avant Garde"/>
          <w:sz w:val="24"/>
        </w:rPr>
        <w:t xml:space="preserve">acrediten que los términos y condiciones contenidos en el Cúmulo de Operaciones </w:t>
      </w:r>
      <w:r w:rsidR="00711CB6">
        <w:rPr>
          <w:rFonts w:ascii="ITC Avant Garde" w:hAnsi="ITC Avant Garde"/>
          <w:sz w:val="24"/>
        </w:rPr>
        <w:t xml:space="preserve">le otorgaron a GTV y a Arretis la capacidad de controlar la conducta de Cablecom y sus accionistas para que éste dejara de competir en el STAR con el Grupo de Interés Económico encabezado por GTV. </w:t>
      </w:r>
    </w:p>
    <w:p w:rsidR="00FF6E6A" w:rsidRDefault="003C51DC" w:rsidP="0025662F">
      <w:pPr>
        <w:shd w:val="clear" w:color="auto" w:fill="FFFFFF" w:themeFill="background1"/>
        <w:spacing w:after="120" w:line="240" w:lineRule="auto"/>
        <w:jc w:val="both"/>
        <w:rPr>
          <w:rFonts w:ascii="ITC Avant Garde" w:hAnsi="ITC Avant Garde"/>
          <w:sz w:val="24"/>
        </w:rPr>
      </w:pPr>
      <w:r>
        <w:rPr>
          <w:rFonts w:ascii="ITC Avant Garde" w:hAnsi="ITC Avant Garde"/>
          <w:sz w:val="24"/>
        </w:rPr>
        <w:t xml:space="preserve">Si bien el Cúmulo de Operaciones se llevó a cabo entre competidores entre sí, no es suficiente la mera presunción de una alineación de </w:t>
      </w:r>
      <w:r w:rsidR="00E60F2D">
        <w:rPr>
          <w:rFonts w:ascii="ITC Avant Garde" w:hAnsi="ITC Avant Garde"/>
          <w:sz w:val="24"/>
        </w:rPr>
        <w:t>incentivos o</w:t>
      </w:r>
      <w:r>
        <w:rPr>
          <w:rFonts w:ascii="ITC Avant Garde" w:hAnsi="ITC Avant Garde"/>
          <w:sz w:val="24"/>
        </w:rPr>
        <w:t xml:space="preserve"> estrategias competitivas o políticas económicas entre GTV y Cablecom a través de Arretis</w:t>
      </w:r>
      <w:r w:rsidR="00E60F2D">
        <w:rPr>
          <w:rFonts w:ascii="ITC Avant Garde" w:hAnsi="ITC Avant Garde"/>
          <w:sz w:val="24"/>
        </w:rPr>
        <w:t xml:space="preserve"> para </w:t>
      </w:r>
      <w:r w:rsidR="00FF6E6A">
        <w:rPr>
          <w:rFonts w:ascii="ITC Avant Garde" w:hAnsi="ITC Avant Garde"/>
          <w:sz w:val="24"/>
        </w:rPr>
        <w:t>reputar</w:t>
      </w:r>
      <w:r w:rsidR="00E60F2D">
        <w:rPr>
          <w:rFonts w:ascii="ITC Avant Garde" w:hAnsi="ITC Avant Garde"/>
          <w:sz w:val="24"/>
        </w:rPr>
        <w:t xml:space="preserve"> que existió una concentración</w:t>
      </w:r>
      <w:r>
        <w:rPr>
          <w:rFonts w:ascii="ITC Avant Garde" w:hAnsi="ITC Avant Garde"/>
          <w:sz w:val="24"/>
        </w:rPr>
        <w:t>.</w:t>
      </w:r>
      <w:r w:rsidR="00B226D8">
        <w:rPr>
          <w:rFonts w:ascii="ITC Avant Garde" w:hAnsi="ITC Avant Garde"/>
          <w:sz w:val="24"/>
        </w:rPr>
        <w:t xml:space="preserve"> </w:t>
      </w:r>
    </w:p>
    <w:p w:rsidR="00FF6E6A" w:rsidRDefault="00B226D8" w:rsidP="0025662F">
      <w:pPr>
        <w:shd w:val="clear" w:color="auto" w:fill="FFFFFF" w:themeFill="background1"/>
        <w:spacing w:after="120" w:line="240" w:lineRule="auto"/>
        <w:jc w:val="both"/>
        <w:rPr>
          <w:rFonts w:ascii="ITC Avant Garde" w:hAnsi="ITC Avant Garde"/>
          <w:sz w:val="24"/>
        </w:rPr>
      </w:pPr>
      <w:r>
        <w:rPr>
          <w:rFonts w:ascii="ITC Avant Garde" w:hAnsi="ITC Avant Garde"/>
          <w:sz w:val="24"/>
        </w:rPr>
        <w:t xml:space="preserve">En primer lugar el hecho de que se pacte un crédito entre </w:t>
      </w:r>
      <w:r w:rsidR="005E60BA">
        <w:rPr>
          <w:rFonts w:ascii="ITC Avant Garde" w:hAnsi="ITC Avant Garde"/>
          <w:sz w:val="24"/>
        </w:rPr>
        <w:t>distintos agentes económicos</w:t>
      </w:r>
      <w:r>
        <w:rPr>
          <w:rFonts w:ascii="ITC Avant Garde" w:hAnsi="ITC Avant Garde"/>
          <w:sz w:val="24"/>
        </w:rPr>
        <w:t xml:space="preserve">, por sí mismo, no </w:t>
      </w:r>
      <w:r w:rsidR="0095714C">
        <w:rPr>
          <w:rFonts w:ascii="ITC Avant Garde" w:hAnsi="ITC Avant Garde"/>
          <w:sz w:val="24"/>
        </w:rPr>
        <w:t xml:space="preserve">es suficiente para </w:t>
      </w:r>
      <w:r>
        <w:rPr>
          <w:rFonts w:ascii="ITC Avant Garde" w:hAnsi="ITC Avant Garde"/>
          <w:sz w:val="24"/>
        </w:rPr>
        <w:t>colma</w:t>
      </w:r>
      <w:r w:rsidR="0095714C">
        <w:rPr>
          <w:rFonts w:ascii="ITC Avant Garde" w:hAnsi="ITC Avant Garde"/>
          <w:sz w:val="24"/>
        </w:rPr>
        <w:t>r</w:t>
      </w:r>
      <w:r>
        <w:rPr>
          <w:rFonts w:ascii="ITC Avant Garde" w:hAnsi="ITC Avant Garde"/>
          <w:sz w:val="24"/>
        </w:rPr>
        <w:t xml:space="preserve"> alguno de los supuestos del artículo 16 de la LFCE. Lo que tiene que acreditarse es una fusión, adquisición de control, o bien, cualquier acto por el que se concentren sociedades, asociaciones, partes sociales o cualquier activo. </w:t>
      </w:r>
    </w:p>
    <w:p w:rsidR="00FF6E6A" w:rsidRDefault="00FF6E6A" w:rsidP="0025662F">
      <w:pPr>
        <w:shd w:val="clear" w:color="auto" w:fill="FFFFFF" w:themeFill="background1"/>
        <w:spacing w:after="120" w:line="240" w:lineRule="auto"/>
        <w:jc w:val="both"/>
        <w:rPr>
          <w:rFonts w:ascii="ITC Avant Garde" w:hAnsi="ITC Avant Garde"/>
          <w:sz w:val="24"/>
        </w:rPr>
      </w:pPr>
      <w:r>
        <w:rPr>
          <w:rFonts w:ascii="ITC Avant Garde" w:hAnsi="ITC Avant Garde"/>
          <w:sz w:val="24"/>
        </w:rPr>
        <w:lastRenderedPageBreak/>
        <w:t xml:space="preserve">El Expediente y el OPR contienen información sobre suscriptores, precios del STAR y resultados de las operaciones de Cablecom de las cuales no se desprenden indicios de que a partir de la firma del Cúmulo de Operaciones, como lo imputó el OPR, </w:t>
      </w:r>
      <w:r w:rsidR="00E639C7" w:rsidRPr="00CE5237">
        <w:rPr>
          <w:rFonts w:ascii="ITC Avant Garde" w:hAnsi="ITC Avant Garde" w:cs="Helvetica"/>
          <w:b/>
          <w:color w:val="0000FF"/>
        </w:rPr>
        <w:t>“CONFIDENCIAL POR LEY”</w:t>
      </w:r>
      <w:r w:rsidR="00E639C7">
        <w:rPr>
          <w:rFonts w:ascii="ITC Avant Garde" w:hAnsi="ITC Avant Garde" w:cs="Helvetica"/>
          <w:b/>
          <w:color w:val="0000FF"/>
        </w:rPr>
        <w:t xml:space="preserve"> </w:t>
      </w:r>
      <w:r>
        <w:rPr>
          <w:rFonts w:ascii="ITC Avant Garde" w:hAnsi="ITC Avant Garde"/>
          <w:sz w:val="24"/>
        </w:rPr>
        <w:t xml:space="preserve">o que se </w:t>
      </w:r>
      <w:r w:rsidRPr="00C36776">
        <w:rPr>
          <w:rFonts w:ascii="ITC Avant Garde" w:hAnsi="ITC Avant Garde"/>
          <w:i/>
          <w:sz w:val="24"/>
        </w:rPr>
        <w:t xml:space="preserve">“extinguió el interés de los accionistas y las controladoras de Cablecom y tenedora Ares pudieran tener para desarrollar la empresa”. </w:t>
      </w:r>
    </w:p>
    <w:p w:rsidR="003C51DC" w:rsidRDefault="00FF6E6A" w:rsidP="0025662F">
      <w:pPr>
        <w:shd w:val="clear" w:color="auto" w:fill="FFFFFF" w:themeFill="background1"/>
        <w:spacing w:after="120" w:line="240" w:lineRule="auto"/>
        <w:jc w:val="both"/>
        <w:rPr>
          <w:rFonts w:ascii="ITC Avant Garde" w:hAnsi="ITC Avant Garde"/>
          <w:sz w:val="24"/>
        </w:rPr>
      </w:pPr>
      <w:r>
        <w:rPr>
          <w:rFonts w:ascii="ITC Avant Garde" w:hAnsi="ITC Avant Garde"/>
          <w:sz w:val="24"/>
        </w:rPr>
        <w:t xml:space="preserve">En las </w:t>
      </w:r>
      <w:r w:rsidR="0071157D">
        <w:rPr>
          <w:rFonts w:ascii="ITC Avant Garde" w:hAnsi="ITC Avant Garde"/>
          <w:sz w:val="24"/>
        </w:rPr>
        <w:t xml:space="preserve">dos siguientes tablas </w:t>
      </w:r>
      <w:r>
        <w:rPr>
          <w:rFonts w:ascii="ITC Avant Garde" w:hAnsi="ITC Avant Garde"/>
          <w:sz w:val="24"/>
        </w:rPr>
        <w:t>se presenta la información contenida en el Expediente y el OPR sobre e</w:t>
      </w:r>
      <w:r w:rsidR="00E60F2D">
        <w:rPr>
          <w:rFonts w:ascii="ITC Avant Garde" w:hAnsi="ITC Avant Garde"/>
          <w:sz w:val="24"/>
        </w:rPr>
        <w:t>l</w:t>
      </w:r>
      <w:r w:rsidR="0071157D">
        <w:rPr>
          <w:rFonts w:ascii="ITC Avant Garde" w:hAnsi="ITC Avant Garde"/>
          <w:sz w:val="24"/>
        </w:rPr>
        <w:t xml:space="preserve"> número de suscriptores del STAR y su</w:t>
      </w:r>
      <w:r w:rsidR="003C51DC">
        <w:rPr>
          <w:rFonts w:ascii="ITC Avant Garde" w:hAnsi="ITC Avant Garde"/>
          <w:sz w:val="24"/>
        </w:rPr>
        <w:t xml:space="preserve"> tasa de crecimiento mensual durante el periodo enero a agosto de dos mil catorce.</w:t>
      </w:r>
    </w:p>
    <w:tbl>
      <w:tblPr>
        <w:tblStyle w:val="Tablaconcuadrcula"/>
        <w:tblW w:w="9805" w:type="dxa"/>
        <w:tblLook w:val="04A0" w:firstRow="1" w:lastRow="0" w:firstColumn="1" w:lastColumn="0" w:noHBand="0" w:noVBand="1"/>
        <w:tblCaption w:val="Número de suscriptores "/>
      </w:tblPr>
      <w:tblGrid>
        <w:gridCol w:w="1338"/>
        <w:gridCol w:w="1343"/>
        <w:gridCol w:w="985"/>
        <w:gridCol w:w="1074"/>
        <w:gridCol w:w="985"/>
        <w:gridCol w:w="1074"/>
        <w:gridCol w:w="985"/>
        <w:gridCol w:w="1031"/>
        <w:gridCol w:w="990"/>
      </w:tblGrid>
      <w:tr w:rsidR="0071157D" w:rsidRPr="0071157D" w:rsidTr="00F957A8">
        <w:trPr>
          <w:trHeight w:val="300"/>
          <w:tblHeader/>
        </w:trPr>
        <w:tc>
          <w:tcPr>
            <w:tcW w:w="9805" w:type="dxa"/>
            <w:gridSpan w:val="9"/>
            <w:noWrap/>
            <w:vAlign w:val="center"/>
          </w:tcPr>
          <w:p w:rsidR="0071157D" w:rsidRPr="009D0F12" w:rsidRDefault="0071157D" w:rsidP="005653F3">
            <w:pPr>
              <w:shd w:val="clear" w:color="auto" w:fill="FFFFFF" w:themeFill="background1"/>
              <w:jc w:val="center"/>
              <w:rPr>
                <w:rFonts w:ascii="ITC Avant Garde" w:hAnsi="ITC Avant Garde"/>
                <w:b/>
                <w:color w:val="000000"/>
                <w:sz w:val="16"/>
                <w:szCs w:val="20"/>
              </w:rPr>
            </w:pPr>
            <w:r w:rsidRPr="009D0F12">
              <w:rPr>
                <w:rFonts w:ascii="ITC Avant Garde" w:hAnsi="ITC Avant Garde"/>
                <w:b/>
                <w:color w:val="000000"/>
                <w:sz w:val="16"/>
                <w:szCs w:val="20"/>
              </w:rPr>
              <w:t>Número de suscriptores del STAR</w:t>
            </w:r>
          </w:p>
        </w:tc>
      </w:tr>
      <w:tr w:rsidR="0071157D" w:rsidRPr="0071157D" w:rsidTr="005653F3">
        <w:trPr>
          <w:trHeight w:val="300"/>
        </w:trPr>
        <w:tc>
          <w:tcPr>
            <w:tcW w:w="1338" w:type="dxa"/>
            <w:noWrap/>
            <w:vAlign w:val="center"/>
          </w:tcPr>
          <w:p w:rsidR="0071157D" w:rsidRPr="009D0F12" w:rsidRDefault="0071157D" w:rsidP="005653F3">
            <w:pPr>
              <w:shd w:val="clear" w:color="auto" w:fill="FFFFFF" w:themeFill="background1"/>
              <w:jc w:val="center"/>
              <w:rPr>
                <w:rFonts w:ascii="ITC Avant Garde" w:eastAsia="Times New Roman" w:hAnsi="ITC Avant Garde" w:cs="Times New Roman"/>
                <w:b/>
                <w:color w:val="000000"/>
                <w:sz w:val="16"/>
                <w:szCs w:val="20"/>
                <w:lang w:eastAsia="es-MX"/>
              </w:rPr>
            </w:pPr>
          </w:p>
        </w:tc>
        <w:tc>
          <w:tcPr>
            <w:tcW w:w="1343" w:type="dxa"/>
            <w:noWrap/>
            <w:vAlign w:val="center"/>
          </w:tcPr>
          <w:p w:rsidR="0071157D" w:rsidRPr="00FB0F05" w:rsidRDefault="0071157D" w:rsidP="005653F3">
            <w:pPr>
              <w:shd w:val="clear" w:color="auto" w:fill="FFFFFF" w:themeFill="background1"/>
              <w:jc w:val="center"/>
              <w:rPr>
                <w:rFonts w:ascii="ITC Avant Garde" w:eastAsia="Times New Roman" w:hAnsi="ITC Avant Garde" w:cs="Times New Roman"/>
                <w:b/>
                <w:color w:val="000000"/>
                <w:sz w:val="16"/>
                <w:szCs w:val="20"/>
                <w:lang w:eastAsia="es-MX"/>
              </w:rPr>
            </w:pPr>
            <w:r w:rsidRPr="00FB0F05">
              <w:rPr>
                <w:rFonts w:ascii="ITC Avant Garde" w:hAnsi="ITC Avant Garde"/>
                <w:b/>
                <w:color w:val="000000"/>
                <w:sz w:val="16"/>
                <w:szCs w:val="20"/>
              </w:rPr>
              <w:t>Enero-2014</w:t>
            </w:r>
          </w:p>
        </w:tc>
        <w:tc>
          <w:tcPr>
            <w:tcW w:w="985" w:type="dxa"/>
            <w:noWrap/>
            <w:vAlign w:val="center"/>
          </w:tcPr>
          <w:p w:rsidR="0071157D" w:rsidRPr="00CA66A4" w:rsidRDefault="0071157D" w:rsidP="005653F3">
            <w:pPr>
              <w:shd w:val="clear" w:color="auto" w:fill="FFFFFF" w:themeFill="background1"/>
              <w:jc w:val="center"/>
              <w:rPr>
                <w:rFonts w:ascii="ITC Avant Garde" w:eastAsia="Times New Roman" w:hAnsi="ITC Avant Garde" w:cs="Times New Roman"/>
                <w:b/>
                <w:color w:val="000000"/>
                <w:sz w:val="16"/>
                <w:szCs w:val="20"/>
                <w:lang w:eastAsia="es-MX"/>
              </w:rPr>
            </w:pPr>
            <w:r w:rsidRPr="004C22DC">
              <w:rPr>
                <w:rFonts w:ascii="ITC Avant Garde" w:hAnsi="ITC Avant Garde"/>
                <w:b/>
                <w:color w:val="000000"/>
                <w:sz w:val="16"/>
                <w:szCs w:val="20"/>
              </w:rPr>
              <w:t>Febrero-2014</w:t>
            </w:r>
          </w:p>
        </w:tc>
        <w:tc>
          <w:tcPr>
            <w:tcW w:w="1074" w:type="dxa"/>
            <w:noWrap/>
            <w:vAlign w:val="center"/>
          </w:tcPr>
          <w:p w:rsidR="0071157D" w:rsidRPr="00CA66A4" w:rsidRDefault="0071157D" w:rsidP="005653F3">
            <w:pPr>
              <w:shd w:val="clear" w:color="auto" w:fill="FFFFFF" w:themeFill="background1"/>
              <w:jc w:val="center"/>
              <w:rPr>
                <w:rFonts w:ascii="ITC Avant Garde" w:eastAsia="Times New Roman" w:hAnsi="ITC Avant Garde" w:cs="Times New Roman"/>
                <w:b/>
                <w:color w:val="000000"/>
                <w:sz w:val="16"/>
                <w:szCs w:val="20"/>
                <w:lang w:eastAsia="es-MX"/>
              </w:rPr>
            </w:pPr>
            <w:r w:rsidRPr="00CA66A4">
              <w:rPr>
                <w:rFonts w:ascii="ITC Avant Garde" w:hAnsi="ITC Avant Garde"/>
                <w:b/>
                <w:color w:val="000000"/>
                <w:sz w:val="16"/>
                <w:szCs w:val="20"/>
              </w:rPr>
              <w:t>Marzo-2014</w:t>
            </w:r>
          </w:p>
        </w:tc>
        <w:tc>
          <w:tcPr>
            <w:tcW w:w="985" w:type="dxa"/>
            <w:noWrap/>
            <w:vAlign w:val="center"/>
          </w:tcPr>
          <w:p w:rsidR="0071157D" w:rsidRPr="00CA66A4" w:rsidRDefault="0071157D" w:rsidP="005653F3">
            <w:pPr>
              <w:shd w:val="clear" w:color="auto" w:fill="FFFFFF" w:themeFill="background1"/>
              <w:jc w:val="center"/>
              <w:rPr>
                <w:rFonts w:ascii="ITC Avant Garde" w:eastAsia="Times New Roman" w:hAnsi="ITC Avant Garde" w:cs="Times New Roman"/>
                <w:b/>
                <w:color w:val="000000"/>
                <w:sz w:val="16"/>
                <w:szCs w:val="20"/>
                <w:lang w:eastAsia="es-MX"/>
              </w:rPr>
            </w:pPr>
            <w:r w:rsidRPr="00CA66A4">
              <w:rPr>
                <w:rFonts w:ascii="ITC Avant Garde" w:hAnsi="ITC Avant Garde"/>
                <w:b/>
                <w:color w:val="000000"/>
                <w:sz w:val="16"/>
                <w:szCs w:val="20"/>
              </w:rPr>
              <w:t>Abril-2014</w:t>
            </w:r>
          </w:p>
        </w:tc>
        <w:tc>
          <w:tcPr>
            <w:tcW w:w="1074" w:type="dxa"/>
            <w:noWrap/>
            <w:vAlign w:val="center"/>
          </w:tcPr>
          <w:p w:rsidR="0071157D" w:rsidRPr="00CA66A4" w:rsidRDefault="0071157D" w:rsidP="005653F3">
            <w:pPr>
              <w:shd w:val="clear" w:color="auto" w:fill="FFFFFF" w:themeFill="background1"/>
              <w:jc w:val="center"/>
              <w:rPr>
                <w:rFonts w:ascii="ITC Avant Garde" w:eastAsia="Times New Roman" w:hAnsi="ITC Avant Garde" w:cs="Times New Roman"/>
                <w:b/>
                <w:color w:val="000000"/>
                <w:sz w:val="16"/>
                <w:szCs w:val="20"/>
                <w:lang w:eastAsia="es-MX"/>
              </w:rPr>
            </w:pPr>
            <w:r w:rsidRPr="00CA66A4">
              <w:rPr>
                <w:rFonts w:ascii="ITC Avant Garde" w:hAnsi="ITC Avant Garde"/>
                <w:b/>
                <w:color w:val="000000"/>
                <w:sz w:val="16"/>
                <w:szCs w:val="20"/>
              </w:rPr>
              <w:t>Mayo-2014</w:t>
            </w:r>
          </w:p>
        </w:tc>
        <w:tc>
          <w:tcPr>
            <w:tcW w:w="985" w:type="dxa"/>
            <w:noWrap/>
            <w:vAlign w:val="center"/>
          </w:tcPr>
          <w:p w:rsidR="0071157D" w:rsidRPr="00CA66A4" w:rsidRDefault="0071157D" w:rsidP="005653F3">
            <w:pPr>
              <w:shd w:val="clear" w:color="auto" w:fill="FFFFFF" w:themeFill="background1"/>
              <w:jc w:val="center"/>
              <w:rPr>
                <w:rFonts w:ascii="ITC Avant Garde" w:eastAsia="Times New Roman" w:hAnsi="ITC Avant Garde" w:cs="Times New Roman"/>
                <w:b/>
                <w:color w:val="000000"/>
                <w:sz w:val="16"/>
                <w:szCs w:val="20"/>
                <w:lang w:eastAsia="es-MX"/>
              </w:rPr>
            </w:pPr>
            <w:r w:rsidRPr="00CA66A4">
              <w:rPr>
                <w:rFonts w:ascii="ITC Avant Garde" w:hAnsi="ITC Avant Garde"/>
                <w:b/>
                <w:color w:val="000000"/>
                <w:sz w:val="16"/>
                <w:szCs w:val="20"/>
              </w:rPr>
              <w:t>Junio-2014</w:t>
            </w:r>
          </w:p>
        </w:tc>
        <w:tc>
          <w:tcPr>
            <w:tcW w:w="1031" w:type="dxa"/>
            <w:noWrap/>
            <w:vAlign w:val="center"/>
          </w:tcPr>
          <w:p w:rsidR="0071157D" w:rsidRPr="00CA66A4" w:rsidRDefault="0071157D" w:rsidP="005653F3">
            <w:pPr>
              <w:shd w:val="clear" w:color="auto" w:fill="FFFFFF" w:themeFill="background1"/>
              <w:jc w:val="center"/>
              <w:rPr>
                <w:rFonts w:ascii="ITC Avant Garde" w:eastAsia="Times New Roman" w:hAnsi="ITC Avant Garde" w:cs="Times New Roman"/>
                <w:b/>
                <w:color w:val="000000"/>
                <w:sz w:val="16"/>
                <w:szCs w:val="20"/>
                <w:lang w:eastAsia="es-MX"/>
              </w:rPr>
            </w:pPr>
            <w:r w:rsidRPr="00CA66A4">
              <w:rPr>
                <w:rFonts w:ascii="ITC Avant Garde" w:hAnsi="ITC Avant Garde"/>
                <w:b/>
                <w:color w:val="000000"/>
                <w:sz w:val="16"/>
                <w:szCs w:val="20"/>
              </w:rPr>
              <w:t>Julio-2014</w:t>
            </w:r>
          </w:p>
        </w:tc>
        <w:tc>
          <w:tcPr>
            <w:tcW w:w="990" w:type="dxa"/>
            <w:noWrap/>
            <w:vAlign w:val="center"/>
          </w:tcPr>
          <w:p w:rsidR="0071157D" w:rsidRPr="00CA66A4" w:rsidRDefault="0071157D" w:rsidP="005653F3">
            <w:pPr>
              <w:shd w:val="clear" w:color="auto" w:fill="FFFFFF" w:themeFill="background1"/>
              <w:jc w:val="center"/>
              <w:rPr>
                <w:rFonts w:ascii="ITC Avant Garde" w:eastAsia="Times New Roman" w:hAnsi="ITC Avant Garde" w:cs="Times New Roman"/>
                <w:b/>
                <w:color w:val="000000"/>
                <w:sz w:val="16"/>
                <w:szCs w:val="20"/>
                <w:lang w:eastAsia="es-MX"/>
              </w:rPr>
            </w:pPr>
            <w:r w:rsidRPr="00CA66A4">
              <w:rPr>
                <w:rFonts w:ascii="ITC Avant Garde" w:hAnsi="ITC Avant Garde"/>
                <w:b/>
                <w:color w:val="000000"/>
                <w:sz w:val="16"/>
                <w:szCs w:val="20"/>
              </w:rPr>
              <w:t>Agosto-2014</w:t>
            </w:r>
          </w:p>
        </w:tc>
      </w:tr>
    </w:tbl>
    <w:p w:rsidR="00F957A8" w:rsidRPr="00F957A8" w:rsidRDefault="00F957A8" w:rsidP="00F957A8">
      <w:pPr>
        <w:spacing w:after="0" w:line="240" w:lineRule="auto"/>
        <w:rPr>
          <w:sz w:val="2"/>
        </w:rPr>
      </w:pPr>
    </w:p>
    <w:tbl>
      <w:tblPr>
        <w:tblStyle w:val="Tablaconcuadrcula"/>
        <w:tblW w:w="9805" w:type="dxa"/>
        <w:tblLook w:val="04A0" w:firstRow="1" w:lastRow="0" w:firstColumn="1" w:lastColumn="0" w:noHBand="0" w:noVBand="1"/>
        <w:tblCaption w:val="Satélite"/>
      </w:tblPr>
      <w:tblGrid>
        <w:gridCol w:w="1338"/>
        <w:gridCol w:w="1343"/>
        <w:gridCol w:w="985"/>
        <w:gridCol w:w="1074"/>
        <w:gridCol w:w="985"/>
        <w:gridCol w:w="1074"/>
        <w:gridCol w:w="985"/>
        <w:gridCol w:w="1031"/>
        <w:gridCol w:w="990"/>
      </w:tblGrid>
      <w:tr w:rsidR="0071157D" w:rsidRPr="0071157D" w:rsidTr="00F957A8">
        <w:trPr>
          <w:trHeight w:val="300"/>
          <w:tblHeader/>
        </w:trPr>
        <w:tc>
          <w:tcPr>
            <w:tcW w:w="9805" w:type="dxa"/>
            <w:gridSpan w:val="9"/>
            <w:noWrap/>
            <w:vAlign w:val="center"/>
            <w:hideMark/>
          </w:tcPr>
          <w:p w:rsidR="0071157D" w:rsidRPr="009D0F12" w:rsidRDefault="0071157D" w:rsidP="005653F3">
            <w:pPr>
              <w:shd w:val="clear" w:color="auto" w:fill="FFFFFF" w:themeFill="background1"/>
              <w:jc w:val="center"/>
              <w:rPr>
                <w:rFonts w:ascii="ITC Avant Garde" w:eastAsia="Times New Roman" w:hAnsi="ITC Avant Garde" w:cs="Times New Roman"/>
                <w:b/>
                <w:color w:val="000000"/>
                <w:sz w:val="16"/>
                <w:szCs w:val="20"/>
                <w:lang w:eastAsia="es-MX"/>
              </w:rPr>
            </w:pPr>
            <w:r w:rsidRPr="009D0F12">
              <w:rPr>
                <w:rFonts w:ascii="ITC Avant Garde" w:eastAsia="Times New Roman" w:hAnsi="ITC Avant Garde" w:cs="Times New Roman"/>
                <w:b/>
                <w:color w:val="000000"/>
                <w:sz w:val="16"/>
                <w:szCs w:val="20"/>
                <w:lang w:eastAsia="es-MX"/>
              </w:rPr>
              <w:t>Satélite</w:t>
            </w:r>
          </w:p>
        </w:tc>
      </w:tr>
      <w:tr w:rsidR="0071157D" w:rsidRPr="0071157D" w:rsidTr="005653F3">
        <w:trPr>
          <w:trHeight w:val="300"/>
        </w:trPr>
        <w:tc>
          <w:tcPr>
            <w:tcW w:w="1338" w:type="dxa"/>
            <w:noWrap/>
            <w:vAlign w:val="center"/>
            <w:hideMark/>
          </w:tcPr>
          <w:p w:rsidR="0071157D" w:rsidRPr="009D0F12" w:rsidRDefault="0071157D" w:rsidP="005653F3">
            <w:pPr>
              <w:shd w:val="clear" w:color="auto" w:fill="FFFFFF" w:themeFill="background1"/>
              <w:ind w:firstLineChars="100" w:firstLine="160"/>
              <w:jc w:val="center"/>
              <w:rPr>
                <w:rFonts w:ascii="ITC Avant Garde" w:eastAsia="Times New Roman" w:hAnsi="ITC Avant Garde" w:cs="Times New Roman"/>
                <w:color w:val="000000"/>
                <w:sz w:val="16"/>
                <w:szCs w:val="20"/>
                <w:lang w:eastAsia="es-MX"/>
              </w:rPr>
            </w:pPr>
            <w:r w:rsidRPr="009D0F12">
              <w:rPr>
                <w:rFonts w:ascii="ITC Avant Garde" w:eastAsia="Times New Roman" w:hAnsi="ITC Avant Garde" w:cs="Times New Roman"/>
                <w:color w:val="000000"/>
                <w:sz w:val="16"/>
                <w:szCs w:val="20"/>
                <w:lang w:eastAsia="es-MX"/>
              </w:rPr>
              <w:t>SKY</w:t>
            </w:r>
          </w:p>
        </w:tc>
        <w:tc>
          <w:tcPr>
            <w:tcW w:w="1343" w:type="dxa"/>
            <w:noWrap/>
            <w:vAlign w:val="center"/>
            <w:hideMark/>
          </w:tcPr>
          <w:p w:rsidR="0071157D" w:rsidRPr="00FB0F05" w:rsidRDefault="0071157D" w:rsidP="005653F3">
            <w:pPr>
              <w:shd w:val="clear" w:color="auto" w:fill="FFFFFF" w:themeFill="background1"/>
              <w:ind w:firstLineChars="100" w:firstLine="161"/>
              <w:jc w:val="center"/>
              <w:rPr>
                <w:rFonts w:ascii="ITC Avant Garde" w:eastAsia="Times New Roman" w:hAnsi="ITC Avant Garde" w:cs="Times New Roman"/>
                <w:color w:val="000000"/>
                <w:sz w:val="16"/>
                <w:szCs w:val="20"/>
                <w:lang w:eastAsia="es-MX"/>
              </w:rPr>
            </w:pPr>
            <w:r w:rsidRPr="00FB0F05">
              <w:rPr>
                <w:rFonts w:ascii="ITC Avant Garde" w:hAnsi="ITC Avant Garde"/>
                <w:b/>
                <w:color w:val="000000"/>
                <w:sz w:val="16"/>
                <w:szCs w:val="20"/>
              </w:rPr>
              <w:t>5,694,484</w:t>
            </w:r>
          </w:p>
        </w:tc>
        <w:tc>
          <w:tcPr>
            <w:tcW w:w="985"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4C22DC">
              <w:rPr>
                <w:rFonts w:ascii="ITC Avant Garde" w:hAnsi="ITC Avant Garde"/>
                <w:b/>
                <w:color w:val="000000"/>
                <w:sz w:val="16"/>
                <w:szCs w:val="20"/>
              </w:rPr>
              <w:t>5,741,277</w:t>
            </w:r>
          </w:p>
        </w:tc>
        <w:tc>
          <w:tcPr>
            <w:tcW w:w="1074"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5,787,350</w:t>
            </w:r>
          </w:p>
        </w:tc>
        <w:tc>
          <w:tcPr>
            <w:tcW w:w="985"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5,845,207</w:t>
            </w:r>
          </w:p>
        </w:tc>
        <w:tc>
          <w:tcPr>
            <w:tcW w:w="1074"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5,915,150</w:t>
            </w:r>
          </w:p>
        </w:tc>
        <w:tc>
          <w:tcPr>
            <w:tcW w:w="985"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5,991,512</w:t>
            </w:r>
          </w:p>
        </w:tc>
        <w:tc>
          <w:tcPr>
            <w:tcW w:w="1031"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6,051,570</w:t>
            </w:r>
          </w:p>
        </w:tc>
        <w:tc>
          <w:tcPr>
            <w:tcW w:w="990"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6,110,593</w:t>
            </w:r>
          </w:p>
        </w:tc>
      </w:tr>
    </w:tbl>
    <w:p w:rsidR="00F957A8" w:rsidRPr="00F957A8" w:rsidRDefault="00F957A8" w:rsidP="00F957A8">
      <w:pPr>
        <w:spacing w:after="0" w:line="240" w:lineRule="auto"/>
        <w:rPr>
          <w:sz w:val="2"/>
        </w:rPr>
      </w:pPr>
    </w:p>
    <w:tbl>
      <w:tblPr>
        <w:tblStyle w:val="Tablaconcuadrcula"/>
        <w:tblW w:w="9805" w:type="dxa"/>
        <w:tblLook w:val="04A0" w:firstRow="1" w:lastRow="0" w:firstColumn="1" w:lastColumn="0" w:noHBand="0" w:noVBand="1"/>
        <w:tblCaption w:val="Cable"/>
      </w:tblPr>
      <w:tblGrid>
        <w:gridCol w:w="1338"/>
        <w:gridCol w:w="1343"/>
        <w:gridCol w:w="985"/>
        <w:gridCol w:w="1074"/>
        <w:gridCol w:w="985"/>
        <w:gridCol w:w="1074"/>
        <w:gridCol w:w="985"/>
        <w:gridCol w:w="1031"/>
        <w:gridCol w:w="990"/>
      </w:tblGrid>
      <w:tr w:rsidR="0071157D" w:rsidRPr="0071157D" w:rsidTr="00F957A8">
        <w:trPr>
          <w:trHeight w:val="300"/>
          <w:tblHeader/>
        </w:trPr>
        <w:tc>
          <w:tcPr>
            <w:tcW w:w="9805" w:type="dxa"/>
            <w:gridSpan w:val="9"/>
            <w:noWrap/>
            <w:vAlign w:val="center"/>
            <w:hideMark/>
          </w:tcPr>
          <w:p w:rsidR="0071157D" w:rsidRPr="009D0F12" w:rsidRDefault="0071157D" w:rsidP="005653F3">
            <w:pPr>
              <w:shd w:val="clear" w:color="auto" w:fill="FFFFFF" w:themeFill="background1"/>
              <w:jc w:val="center"/>
              <w:rPr>
                <w:rFonts w:ascii="ITC Avant Garde" w:eastAsia="Times New Roman" w:hAnsi="ITC Avant Garde" w:cs="Times New Roman"/>
                <w:b/>
                <w:color w:val="000000"/>
                <w:sz w:val="16"/>
                <w:szCs w:val="20"/>
                <w:lang w:eastAsia="es-MX"/>
              </w:rPr>
            </w:pPr>
            <w:r w:rsidRPr="009D0F12">
              <w:rPr>
                <w:rFonts w:ascii="ITC Avant Garde" w:eastAsia="Times New Roman" w:hAnsi="ITC Avant Garde" w:cs="Times New Roman"/>
                <w:b/>
                <w:color w:val="000000"/>
                <w:sz w:val="16"/>
                <w:szCs w:val="20"/>
                <w:lang w:eastAsia="es-MX"/>
              </w:rPr>
              <w:t>Cable</w:t>
            </w:r>
          </w:p>
        </w:tc>
      </w:tr>
      <w:tr w:rsidR="0071157D" w:rsidRPr="0071157D" w:rsidTr="005653F3">
        <w:trPr>
          <w:trHeight w:val="300"/>
        </w:trPr>
        <w:tc>
          <w:tcPr>
            <w:tcW w:w="1338" w:type="dxa"/>
            <w:noWrap/>
            <w:vAlign w:val="center"/>
            <w:hideMark/>
          </w:tcPr>
          <w:p w:rsidR="0071157D" w:rsidRPr="009D0F12" w:rsidRDefault="0071157D" w:rsidP="005653F3">
            <w:pPr>
              <w:shd w:val="clear" w:color="auto" w:fill="FFFFFF" w:themeFill="background1"/>
              <w:ind w:firstLineChars="100" w:firstLine="160"/>
              <w:jc w:val="center"/>
              <w:rPr>
                <w:rFonts w:ascii="ITC Avant Garde" w:eastAsia="Times New Roman" w:hAnsi="ITC Avant Garde" w:cs="Times New Roman"/>
                <w:color w:val="000000"/>
                <w:sz w:val="16"/>
                <w:szCs w:val="20"/>
                <w:lang w:eastAsia="es-MX"/>
              </w:rPr>
            </w:pPr>
            <w:r w:rsidRPr="009D0F12">
              <w:rPr>
                <w:rFonts w:ascii="ITC Avant Garde" w:eastAsia="Times New Roman" w:hAnsi="ITC Avant Garde" w:cs="Times New Roman"/>
                <w:color w:val="000000"/>
                <w:sz w:val="16"/>
                <w:szCs w:val="20"/>
                <w:lang w:eastAsia="es-MX"/>
              </w:rPr>
              <w:t>GTV</w:t>
            </w:r>
          </w:p>
        </w:tc>
        <w:tc>
          <w:tcPr>
            <w:tcW w:w="1343" w:type="dxa"/>
            <w:noWrap/>
            <w:vAlign w:val="center"/>
            <w:hideMark/>
          </w:tcPr>
          <w:p w:rsidR="0071157D" w:rsidRPr="00FB0F05" w:rsidRDefault="0071157D" w:rsidP="005653F3">
            <w:pPr>
              <w:shd w:val="clear" w:color="auto" w:fill="FFFFFF" w:themeFill="background1"/>
              <w:ind w:firstLineChars="100" w:firstLine="161"/>
              <w:jc w:val="center"/>
              <w:rPr>
                <w:rFonts w:ascii="ITC Avant Garde" w:eastAsia="Times New Roman" w:hAnsi="ITC Avant Garde" w:cs="Times New Roman"/>
                <w:color w:val="000000"/>
                <w:sz w:val="16"/>
                <w:szCs w:val="20"/>
                <w:lang w:eastAsia="es-MX"/>
              </w:rPr>
            </w:pPr>
            <w:r w:rsidRPr="00FB0F05">
              <w:rPr>
                <w:rFonts w:ascii="ITC Avant Garde" w:hAnsi="ITC Avant Garde"/>
                <w:b/>
                <w:color w:val="000000"/>
                <w:sz w:val="16"/>
                <w:szCs w:val="20"/>
              </w:rPr>
              <w:t>2,483,047</w:t>
            </w:r>
          </w:p>
        </w:tc>
        <w:tc>
          <w:tcPr>
            <w:tcW w:w="985"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4C22DC">
              <w:rPr>
                <w:rFonts w:ascii="ITC Avant Garde" w:hAnsi="ITC Avant Garde"/>
                <w:b/>
                <w:color w:val="000000"/>
                <w:sz w:val="16"/>
                <w:szCs w:val="20"/>
              </w:rPr>
              <w:t>2,482,953</w:t>
            </w:r>
          </w:p>
        </w:tc>
        <w:tc>
          <w:tcPr>
            <w:tcW w:w="1074"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2,484,587</w:t>
            </w:r>
          </w:p>
        </w:tc>
        <w:tc>
          <w:tcPr>
            <w:tcW w:w="985"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2,489,658</w:t>
            </w:r>
          </w:p>
        </w:tc>
        <w:tc>
          <w:tcPr>
            <w:tcW w:w="1074"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2,504,517</w:t>
            </w:r>
          </w:p>
        </w:tc>
        <w:tc>
          <w:tcPr>
            <w:tcW w:w="985"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2,516,769</w:t>
            </w:r>
          </w:p>
        </w:tc>
        <w:tc>
          <w:tcPr>
            <w:tcW w:w="1031"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2,515,314</w:t>
            </w:r>
          </w:p>
        </w:tc>
        <w:tc>
          <w:tcPr>
            <w:tcW w:w="990"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2,513,911</w:t>
            </w:r>
          </w:p>
        </w:tc>
      </w:tr>
      <w:tr w:rsidR="0071157D" w:rsidRPr="0071157D" w:rsidTr="005653F3">
        <w:trPr>
          <w:trHeight w:val="300"/>
        </w:trPr>
        <w:tc>
          <w:tcPr>
            <w:tcW w:w="1338" w:type="dxa"/>
            <w:noWrap/>
            <w:vAlign w:val="center"/>
            <w:hideMark/>
          </w:tcPr>
          <w:p w:rsidR="0071157D" w:rsidRPr="009D0F12" w:rsidRDefault="0071157D" w:rsidP="005653F3">
            <w:pPr>
              <w:shd w:val="clear" w:color="auto" w:fill="FFFFFF" w:themeFill="background1"/>
              <w:ind w:firstLineChars="100" w:firstLine="160"/>
              <w:jc w:val="center"/>
              <w:rPr>
                <w:rFonts w:ascii="ITC Avant Garde" w:eastAsia="Times New Roman" w:hAnsi="ITC Avant Garde" w:cs="Times New Roman"/>
                <w:color w:val="000000"/>
                <w:sz w:val="16"/>
                <w:szCs w:val="20"/>
                <w:lang w:eastAsia="es-MX"/>
              </w:rPr>
            </w:pPr>
            <w:r w:rsidRPr="009D0F12">
              <w:rPr>
                <w:rFonts w:ascii="ITC Avant Garde" w:eastAsia="Times New Roman" w:hAnsi="ITC Avant Garde" w:cs="Times New Roman"/>
                <w:color w:val="000000"/>
                <w:sz w:val="16"/>
                <w:szCs w:val="20"/>
                <w:lang w:eastAsia="es-MX"/>
              </w:rPr>
              <w:t>CABLECOM</w:t>
            </w:r>
          </w:p>
        </w:tc>
        <w:tc>
          <w:tcPr>
            <w:tcW w:w="1343" w:type="dxa"/>
            <w:noWrap/>
            <w:vAlign w:val="center"/>
            <w:hideMark/>
          </w:tcPr>
          <w:p w:rsidR="0071157D" w:rsidRPr="00FB0F05" w:rsidRDefault="0071157D" w:rsidP="005653F3">
            <w:pPr>
              <w:shd w:val="clear" w:color="auto" w:fill="FFFFFF" w:themeFill="background1"/>
              <w:ind w:firstLineChars="100" w:firstLine="161"/>
              <w:jc w:val="center"/>
              <w:rPr>
                <w:rFonts w:ascii="ITC Avant Garde" w:eastAsia="Times New Roman" w:hAnsi="ITC Avant Garde" w:cs="Times New Roman"/>
                <w:color w:val="000000"/>
                <w:sz w:val="16"/>
                <w:szCs w:val="20"/>
                <w:lang w:eastAsia="es-MX"/>
              </w:rPr>
            </w:pPr>
            <w:r w:rsidRPr="00FB0F05">
              <w:rPr>
                <w:rFonts w:ascii="ITC Avant Garde" w:hAnsi="ITC Avant Garde"/>
                <w:b/>
                <w:color w:val="000000"/>
                <w:sz w:val="16"/>
                <w:szCs w:val="20"/>
              </w:rPr>
              <w:t>749,839</w:t>
            </w:r>
          </w:p>
        </w:tc>
        <w:tc>
          <w:tcPr>
            <w:tcW w:w="985"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4C22DC">
              <w:rPr>
                <w:rFonts w:ascii="ITC Avant Garde" w:hAnsi="ITC Avant Garde"/>
                <w:b/>
                <w:color w:val="000000"/>
                <w:sz w:val="16"/>
                <w:szCs w:val="20"/>
              </w:rPr>
              <w:t>732,566</w:t>
            </w:r>
          </w:p>
        </w:tc>
        <w:tc>
          <w:tcPr>
            <w:tcW w:w="1074"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730,095</w:t>
            </w:r>
          </w:p>
        </w:tc>
        <w:tc>
          <w:tcPr>
            <w:tcW w:w="985"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729,406</w:t>
            </w:r>
          </w:p>
        </w:tc>
        <w:tc>
          <w:tcPr>
            <w:tcW w:w="1074"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728,640</w:t>
            </w:r>
          </w:p>
        </w:tc>
        <w:tc>
          <w:tcPr>
            <w:tcW w:w="985"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731,484</w:t>
            </w:r>
          </w:p>
        </w:tc>
        <w:tc>
          <w:tcPr>
            <w:tcW w:w="1031"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698,809</w:t>
            </w:r>
          </w:p>
        </w:tc>
        <w:tc>
          <w:tcPr>
            <w:tcW w:w="990" w:type="dxa"/>
            <w:noWrap/>
            <w:vAlign w:val="center"/>
            <w:hideMark/>
          </w:tcPr>
          <w:p w:rsidR="0071157D" w:rsidRPr="00CA66A4"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CA66A4">
              <w:rPr>
                <w:rFonts w:ascii="ITC Avant Garde" w:hAnsi="ITC Avant Garde"/>
                <w:b/>
                <w:color w:val="000000"/>
                <w:sz w:val="16"/>
                <w:szCs w:val="20"/>
              </w:rPr>
              <w:t>697,840</w:t>
            </w:r>
          </w:p>
        </w:tc>
      </w:tr>
      <w:tr w:rsidR="0071157D" w:rsidRPr="0071157D" w:rsidTr="005653F3">
        <w:trPr>
          <w:trHeight w:val="300"/>
        </w:trPr>
        <w:tc>
          <w:tcPr>
            <w:tcW w:w="9805" w:type="dxa"/>
            <w:gridSpan w:val="9"/>
            <w:noWrap/>
            <w:vAlign w:val="center"/>
          </w:tcPr>
          <w:p w:rsidR="0071157D" w:rsidRPr="00FB0F05" w:rsidRDefault="0071157D" w:rsidP="005653F3">
            <w:pPr>
              <w:shd w:val="clear" w:color="auto" w:fill="FFFFFF" w:themeFill="background1"/>
              <w:jc w:val="center"/>
              <w:rPr>
                <w:rFonts w:ascii="ITC Avant Garde" w:eastAsia="Times New Roman" w:hAnsi="ITC Avant Garde" w:cs="Times New Roman"/>
                <w:color w:val="000000"/>
                <w:sz w:val="16"/>
                <w:szCs w:val="20"/>
                <w:lang w:eastAsia="es-MX"/>
              </w:rPr>
            </w:pPr>
            <w:r w:rsidRPr="009D0F12">
              <w:rPr>
                <w:rFonts w:ascii="ITC Avant Garde" w:eastAsia="Times New Roman" w:hAnsi="ITC Avant Garde" w:cs="Times New Roman"/>
                <w:color w:val="000000"/>
                <w:sz w:val="16"/>
                <w:szCs w:val="20"/>
                <w:lang w:eastAsia="es-MX"/>
              </w:rPr>
              <w:t>Fuente: Elaboraci</w:t>
            </w:r>
            <w:r w:rsidRPr="00FB0F05">
              <w:rPr>
                <w:rFonts w:ascii="ITC Avant Garde" w:eastAsia="Times New Roman" w:hAnsi="ITC Avant Garde" w:cs="Times New Roman"/>
                <w:color w:val="000000"/>
                <w:sz w:val="16"/>
                <w:szCs w:val="20"/>
                <w:lang w:eastAsia="es-MX"/>
              </w:rPr>
              <w:t>ón propia con información sobre suscriptores de los Informes Trimestrales del IFT.</w:t>
            </w:r>
          </w:p>
        </w:tc>
      </w:tr>
    </w:tbl>
    <w:p w:rsidR="0071157D" w:rsidRPr="00F957A8" w:rsidRDefault="0071157D" w:rsidP="00F957A8">
      <w:pPr>
        <w:spacing w:after="0" w:line="240" w:lineRule="auto"/>
      </w:pPr>
    </w:p>
    <w:tbl>
      <w:tblPr>
        <w:tblStyle w:val="Tablaconcuadrcula"/>
        <w:tblW w:w="9565" w:type="dxa"/>
        <w:tblLook w:val="04A0" w:firstRow="1" w:lastRow="0" w:firstColumn="1" w:lastColumn="0" w:noHBand="0" w:noVBand="1"/>
        <w:tblCaption w:val="Tasa de crecimiento mensual"/>
      </w:tblPr>
      <w:tblGrid>
        <w:gridCol w:w="1293"/>
        <w:gridCol w:w="1072"/>
        <w:gridCol w:w="1170"/>
        <w:gridCol w:w="1080"/>
        <w:gridCol w:w="990"/>
        <w:gridCol w:w="1080"/>
        <w:gridCol w:w="990"/>
        <w:gridCol w:w="900"/>
        <w:gridCol w:w="990"/>
      </w:tblGrid>
      <w:tr w:rsidR="003C51DC" w:rsidRPr="00E131B7" w:rsidTr="00F957A8">
        <w:trPr>
          <w:trHeight w:val="300"/>
          <w:tblHeader/>
        </w:trPr>
        <w:tc>
          <w:tcPr>
            <w:tcW w:w="9565" w:type="dxa"/>
            <w:gridSpan w:val="9"/>
            <w:noWrap/>
            <w:vAlign w:val="center"/>
          </w:tcPr>
          <w:p w:rsidR="003C51DC" w:rsidRPr="00FB0F05" w:rsidRDefault="003C51DC" w:rsidP="00264E21">
            <w:pPr>
              <w:shd w:val="clear" w:color="auto" w:fill="FFFFFF" w:themeFill="background1"/>
              <w:jc w:val="center"/>
              <w:rPr>
                <w:rFonts w:ascii="ITC Avant Garde" w:hAnsi="ITC Avant Garde"/>
                <w:b/>
                <w:color w:val="000000"/>
                <w:sz w:val="16"/>
                <w:szCs w:val="20"/>
              </w:rPr>
            </w:pPr>
            <w:r w:rsidRPr="009D0F12">
              <w:rPr>
                <w:rFonts w:ascii="ITC Avant Garde" w:hAnsi="ITC Avant Garde"/>
                <w:b/>
                <w:color w:val="000000"/>
                <w:sz w:val="16"/>
                <w:szCs w:val="20"/>
              </w:rPr>
              <w:t>Tasa de crecimiento mensual de suscriptores de</w:t>
            </w:r>
            <w:r w:rsidR="0071157D" w:rsidRPr="00FB0F05">
              <w:rPr>
                <w:rFonts w:ascii="ITC Avant Garde" w:hAnsi="ITC Avant Garde"/>
                <w:b/>
                <w:color w:val="000000"/>
                <w:sz w:val="16"/>
                <w:szCs w:val="20"/>
              </w:rPr>
              <w:t>l STAR</w:t>
            </w:r>
          </w:p>
        </w:tc>
      </w:tr>
      <w:tr w:rsidR="003C51DC" w:rsidRPr="00E131B7" w:rsidTr="00F957A8">
        <w:trPr>
          <w:trHeight w:val="300"/>
        </w:trPr>
        <w:tc>
          <w:tcPr>
            <w:tcW w:w="1293" w:type="dxa"/>
            <w:noWrap/>
            <w:vAlign w:val="center"/>
          </w:tcPr>
          <w:p w:rsidR="003C51DC" w:rsidRPr="009D0F12" w:rsidRDefault="003C51DC" w:rsidP="00264E21">
            <w:pPr>
              <w:shd w:val="clear" w:color="auto" w:fill="FFFFFF" w:themeFill="background1"/>
              <w:jc w:val="center"/>
              <w:rPr>
                <w:rFonts w:ascii="ITC Avant Garde" w:eastAsia="Times New Roman" w:hAnsi="ITC Avant Garde" w:cs="Times New Roman"/>
                <w:b/>
                <w:color w:val="000000"/>
                <w:sz w:val="16"/>
                <w:szCs w:val="20"/>
                <w:lang w:eastAsia="es-MX"/>
              </w:rPr>
            </w:pPr>
          </w:p>
        </w:tc>
        <w:tc>
          <w:tcPr>
            <w:tcW w:w="1072" w:type="dxa"/>
            <w:noWrap/>
            <w:vAlign w:val="center"/>
          </w:tcPr>
          <w:p w:rsidR="003C51DC" w:rsidRPr="00FB0F05" w:rsidRDefault="003C51DC" w:rsidP="00264E21">
            <w:pPr>
              <w:shd w:val="clear" w:color="auto" w:fill="FFFFFF" w:themeFill="background1"/>
              <w:jc w:val="center"/>
              <w:rPr>
                <w:rFonts w:ascii="ITC Avant Garde" w:eastAsia="Times New Roman" w:hAnsi="ITC Avant Garde" w:cs="Times New Roman"/>
                <w:b/>
                <w:color w:val="000000"/>
                <w:sz w:val="16"/>
                <w:szCs w:val="20"/>
                <w:lang w:eastAsia="es-MX"/>
              </w:rPr>
            </w:pPr>
            <w:r w:rsidRPr="00FB0F05">
              <w:rPr>
                <w:rFonts w:ascii="ITC Avant Garde" w:hAnsi="ITC Avant Garde"/>
                <w:b/>
                <w:color w:val="000000"/>
                <w:sz w:val="16"/>
                <w:szCs w:val="20"/>
              </w:rPr>
              <w:t>Enero-2014</w:t>
            </w:r>
          </w:p>
        </w:tc>
        <w:tc>
          <w:tcPr>
            <w:tcW w:w="1170" w:type="dxa"/>
            <w:noWrap/>
            <w:vAlign w:val="center"/>
          </w:tcPr>
          <w:p w:rsidR="003C51DC" w:rsidRPr="00501725" w:rsidRDefault="003C51DC" w:rsidP="00264E21">
            <w:pPr>
              <w:shd w:val="clear" w:color="auto" w:fill="FFFFFF" w:themeFill="background1"/>
              <w:jc w:val="center"/>
              <w:rPr>
                <w:rFonts w:ascii="ITC Avant Garde" w:eastAsia="Times New Roman" w:hAnsi="ITC Avant Garde" w:cs="Times New Roman"/>
                <w:b/>
                <w:color w:val="000000"/>
                <w:sz w:val="16"/>
                <w:szCs w:val="20"/>
                <w:lang w:eastAsia="es-MX"/>
              </w:rPr>
            </w:pPr>
            <w:r w:rsidRPr="004C22DC">
              <w:rPr>
                <w:rFonts w:ascii="ITC Avant Garde" w:hAnsi="ITC Avant Garde"/>
                <w:b/>
                <w:color w:val="000000"/>
                <w:sz w:val="16"/>
                <w:szCs w:val="20"/>
              </w:rPr>
              <w:t>Febrero-2014</w:t>
            </w:r>
          </w:p>
        </w:tc>
        <w:tc>
          <w:tcPr>
            <w:tcW w:w="1080" w:type="dxa"/>
            <w:noWrap/>
            <w:vAlign w:val="center"/>
          </w:tcPr>
          <w:p w:rsidR="003C51DC" w:rsidRPr="00501725" w:rsidRDefault="003C51DC" w:rsidP="00264E21">
            <w:pPr>
              <w:shd w:val="clear" w:color="auto" w:fill="FFFFFF" w:themeFill="background1"/>
              <w:jc w:val="center"/>
              <w:rPr>
                <w:rFonts w:ascii="ITC Avant Garde" w:eastAsia="Times New Roman" w:hAnsi="ITC Avant Garde" w:cs="Times New Roman"/>
                <w:b/>
                <w:color w:val="000000"/>
                <w:sz w:val="16"/>
                <w:szCs w:val="20"/>
                <w:lang w:eastAsia="es-MX"/>
              </w:rPr>
            </w:pPr>
            <w:r w:rsidRPr="00501725">
              <w:rPr>
                <w:rFonts w:ascii="ITC Avant Garde" w:hAnsi="ITC Avant Garde"/>
                <w:b/>
                <w:color w:val="000000"/>
                <w:sz w:val="16"/>
                <w:szCs w:val="20"/>
              </w:rPr>
              <w:t>Marzo-2014</w:t>
            </w:r>
          </w:p>
        </w:tc>
        <w:tc>
          <w:tcPr>
            <w:tcW w:w="990" w:type="dxa"/>
            <w:noWrap/>
            <w:vAlign w:val="center"/>
          </w:tcPr>
          <w:p w:rsidR="003C51DC" w:rsidRPr="00501725" w:rsidRDefault="003C51DC" w:rsidP="00264E21">
            <w:pPr>
              <w:shd w:val="clear" w:color="auto" w:fill="FFFFFF" w:themeFill="background1"/>
              <w:jc w:val="center"/>
              <w:rPr>
                <w:rFonts w:ascii="ITC Avant Garde" w:eastAsia="Times New Roman" w:hAnsi="ITC Avant Garde" w:cs="Times New Roman"/>
                <w:b/>
                <w:color w:val="000000"/>
                <w:sz w:val="16"/>
                <w:szCs w:val="20"/>
                <w:lang w:eastAsia="es-MX"/>
              </w:rPr>
            </w:pPr>
            <w:r w:rsidRPr="00501725">
              <w:rPr>
                <w:rFonts w:ascii="ITC Avant Garde" w:hAnsi="ITC Avant Garde"/>
                <w:b/>
                <w:color w:val="000000"/>
                <w:sz w:val="16"/>
                <w:szCs w:val="20"/>
              </w:rPr>
              <w:t>Abril-2014</w:t>
            </w:r>
          </w:p>
        </w:tc>
        <w:tc>
          <w:tcPr>
            <w:tcW w:w="1080" w:type="dxa"/>
            <w:noWrap/>
            <w:vAlign w:val="center"/>
          </w:tcPr>
          <w:p w:rsidR="003C51DC" w:rsidRPr="00501725" w:rsidRDefault="003C51DC" w:rsidP="00264E21">
            <w:pPr>
              <w:shd w:val="clear" w:color="auto" w:fill="FFFFFF" w:themeFill="background1"/>
              <w:jc w:val="center"/>
              <w:rPr>
                <w:rFonts w:ascii="ITC Avant Garde" w:eastAsia="Times New Roman" w:hAnsi="ITC Avant Garde" w:cs="Times New Roman"/>
                <w:b/>
                <w:color w:val="000000"/>
                <w:sz w:val="16"/>
                <w:szCs w:val="20"/>
                <w:lang w:eastAsia="es-MX"/>
              </w:rPr>
            </w:pPr>
            <w:r w:rsidRPr="00501725">
              <w:rPr>
                <w:rFonts w:ascii="ITC Avant Garde" w:hAnsi="ITC Avant Garde"/>
                <w:b/>
                <w:color w:val="000000"/>
                <w:sz w:val="16"/>
                <w:szCs w:val="20"/>
              </w:rPr>
              <w:t>Mayo-2014</w:t>
            </w:r>
          </w:p>
        </w:tc>
        <w:tc>
          <w:tcPr>
            <w:tcW w:w="990" w:type="dxa"/>
            <w:noWrap/>
            <w:vAlign w:val="center"/>
          </w:tcPr>
          <w:p w:rsidR="003C51DC" w:rsidRPr="00501725" w:rsidRDefault="003C51DC" w:rsidP="00264E21">
            <w:pPr>
              <w:shd w:val="clear" w:color="auto" w:fill="FFFFFF" w:themeFill="background1"/>
              <w:jc w:val="center"/>
              <w:rPr>
                <w:rFonts w:ascii="ITC Avant Garde" w:eastAsia="Times New Roman" w:hAnsi="ITC Avant Garde" w:cs="Times New Roman"/>
                <w:b/>
                <w:color w:val="000000"/>
                <w:sz w:val="16"/>
                <w:szCs w:val="20"/>
                <w:lang w:eastAsia="es-MX"/>
              </w:rPr>
            </w:pPr>
            <w:r w:rsidRPr="00501725">
              <w:rPr>
                <w:rFonts w:ascii="ITC Avant Garde" w:hAnsi="ITC Avant Garde"/>
                <w:b/>
                <w:color w:val="000000"/>
                <w:sz w:val="16"/>
                <w:szCs w:val="20"/>
              </w:rPr>
              <w:t>Junio-2014</w:t>
            </w:r>
          </w:p>
        </w:tc>
        <w:tc>
          <w:tcPr>
            <w:tcW w:w="900" w:type="dxa"/>
            <w:noWrap/>
            <w:vAlign w:val="center"/>
          </w:tcPr>
          <w:p w:rsidR="003C51DC" w:rsidRPr="00501725" w:rsidRDefault="003C51DC" w:rsidP="00264E21">
            <w:pPr>
              <w:shd w:val="clear" w:color="auto" w:fill="FFFFFF" w:themeFill="background1"/>
              <w:jc w:val="center"/>
              <w:rPr>
                <w:rFonts w:ascii="ITC Avant Garde" w:eastAsia="Times New Roman" w:hAnsi="ITC Avant Garde" w:cs="Times New Roman"/>
                <w:b/>
                <w:color w:val="000000"/>
                <w:sz w:val="16"/>
                <w:szCs w:val="20"/>
                <w:lang w:eastAsia="es-MX"/>
              </w:rPr>
            </w:pPr>
            <w:r w:rsidRPr="00501725">
              <w:rPr>
                <w:rFonts w:ascii="ITC Avant Garde" w:hAnsi="ITC Avant Garde"/>
                <w:b/>
                <w:color w:val="000000"/>
                <w:sz w:val="16"/>
                <w:szCs w:val="20"/>
              </w:rPr>
              <w:t>Julio-2014</w:t>
            </w:r>
          </w:p>
        </w:tc>
        <w:tc>
          <w:tcPr>
            <w:tcW w:w="990" w:type="dxa"/>
            <w:noWrap/>
            <w:vAlign w:val="center"/>
          </w:tcPr>
          <w:p w:rsidR="003C51DC" w:rsidRPr="00501725" w:rsidRDefault="003C51DC" w:rsidP="00264E21">
            <w:pPr>
              <w:shd w:val="clear" w:color="auto" w:fill="FFFFFF" w:themeFill="background1"/>
              <w:jc w:val="center"/>
              <w:rPr>
                <w:rFonts w:ascii="ITC Avant Garde" w:eastAsia="Times New Roman" w:hAnsi="ITC Avant Garde" w:cs="Times New Roman"/>
                <w:b/>
                <w:color w:val="000000"/>
                <w:sz w:val="16"/>
                <w:szCs w:val="20"/>
                <w:lang w:eastAsia="es-MX"/>
              </w:rPr>
            </w:pPr>
            <w:r w:rsidRPr="00501725">
              <w:rPr>
                <w:rFonts w:ascii="ITC Avant Garde" w:hAnsi="ITC Avant Garde"/>
                <w:b/>
                <w:color w:val="000000"/>
                <w:sz w:val="16"/>
                <w:szCs w:val="20"/>
              </w:rPr>
              <w:t>Agosto-2014</w:t>
            </w:r>
          </w:p>
        </w:tc>
      </w:tr>
    </w:tbl>
    <w:p w:rsidR="00F957A8" w:rsidRPr="00F957A8" w:rsidRDefault="00F957A8" w:rsidP="00264E21">
      <w:pPr>
        <w:spacing w:after="0" w:line="240" w:lineRule="auto"/>
        <w:jc w:val="center"/>
        <w:rPr>
          <w:sz w:val="2"/>
        </w:rPr>
      </w:pPr>
    </w:p>
    <w:tbl>
      <w:tblPr>
        <w:tblStyle w:val="Tablaconcuadrcula"/>
        <w:tblW w:w="9565" w:type="dxa"/>
        <w:tblLook w:val="04A0" w:firstRow="1" w:lastRow="0" w:firstColumn="1" w:lastColumn="0" w:noHBand="0" w:noVBand="1"/>
        <w:tblCaption w:val="Satélite"/>
      </w:tblPr>
      <w:tblGrid>
        <w:gridCol w:w="1293"/>
        <w:gridCol w:w="1072"/>
        <w:gridCol w:w="1170"/>
        <w:gridCol w:w="1080"/>
        <w:gridCol w:w="990"/>
        <w:gridCol w:w="1080"/>
        <w:gridCol w:w="990"/>
        <w:gridCol w:w="900"/>
        <w:gridCol w:w="990"/>
      </w:tblGrid>
      <w:tr w:rsidR="003C51DC" w:rsidRPr="00E131B7" w:rsidTr="00215D15">
        <w:trPr>
          <w:trHeight w:val="300"/>
          <w:tblHeader/>
        </w:trPr>
        <w:tc>
          <w:tcPr>
            <w:tcW w:w="9565" w:type="dxa"/>
            <w:gridSpan w:val="9"/>
            <w:noWrap/>
            <w:vAlign w:val="center"/>
            <w:hideMark/>
          </w:tcPr>
          <w:p w:rsidR="003C51DC" w:rsidRPr="009D0F12" w:rsidRDefault="003C51DC" w:rsidP="00264E21">
            <w:pPr>
              <w:shd w:val="clear" w:color="auto" w:fill="FFFFFF" w:themeFill="background1"/>
              <w:jc w:val="center"/>
              <w:rPr>
                <w:rFonts w:ascii="ITC Avant Garde" w:eastAsia="Times New Roman" w:hAnsi="ITC Avant Garde" w:cs="Times New Roman"/>
                <w:b/>
                <w:color w:val="000000"/>
                <w:sz w:val="16"/>
                <w:szCs w:val="20"/>
                <w:lang w:eastAsia="es-MX"/>
              </w:rPr>
            </w:pPr>
            <w:r w:rsidRPr="009D0F12">
              <w:rPr>
                <w:rFonts w:ascii="ITC Avant Garde" w:eastAsia="Times New Roman" w:hAnsi="ITC Avant Garde" w:cs="Times New Roman"/>
                <w:b/>
                <w:color w:val="000000"/>
                <w:sz w:val="16"/>
                <w:szCs w:val="20"/>
                <w:lang w:eastAsia="es-MX"/>
              </w:rPr>
              <w:t>Satélite</w:t>
            </w:r>
          </w:p>
        </w:tc>
      </w:tr>
      <w:tr w:rsidR="003C51DC" w:rsidRPr="00E131B7" w:rsidTr="00F957A8">
        <w:trPr>
          <w:trHeight w:val="300"/>
        </w:trPr>
        <w:tc>
          <w:tcPr>
            <w:tcW w:w="1293" w:type="dxa"/>
            <w:noWrap/>
            <w:vAlign w:val="center"/>
            <w:hideMark/>
          </w:tcPr>
          <w:p w:rsidR="003C51DC" w:rsidRPr="009D0F12" w:rsidRDefault="003C51DC" w:rsidP="00264E21">
            <w:pPr>
              <w:shd w:val="clear" w:color="auto" w:fill="FFFFFF" w:themeFill="background1"/>
              <w:ind w:firstLineChars="100" w:firstLine="160"/>
              <w:jc w:val="center"/>
              <w:rPr>
                <w:rFonts w:ascii="ITC Avant Garde" w:eastAsia="Times New Roman" w:hAnsi="ITC Avant Garde" w:cs="Times New Roman"/>
                <w:color w:val="000000"/>
                <w:sz w:val="16"/>
                <w:szCs w:val="20"/>
                <w:lang w:eastAsia="es-MX"/>
              </w:rPr>
            </w:pPr>
            <w:r w:rsidRPr="009D0F12">
              <w:rPr>
                <w:rFonts w:ascii="ITC Avant Garde" w:eastAsia="Times New Roman" w:hAnsi="ITC Avant Garde" w:cs="Times New Roman"/>
                <w:color w:val="000000"/>
                <w:sz w:val="16"/>
                <w:szCs w:val="20"/>
                <w:lang w:eastAsia="es-MX"/>
              </w:rPr>
              <w:t>SKY</w:t>
            </w:r>
          </w:p>
        </w:tc>
        <w:tc>
          <w:tcPr>
            <w:tcW w:w="1072" w:type="dxa"/>
            <w:noWrap/>
            <w:vAlign w:val="center"/>
            <w:hideMark/>
          </w:tcPr>
          <w:p w:rsidR="003C51DC" w:rsidRPr="00FB0F05" w:rsidRDefault="003C51DC" w:rsidP="00264E21">
            <w:pPr>
              <w:shd w:val="clear" w:color="auto" w:fill="FFFFFF" w:themeFill="background1"/>
              <w:ind w:firstLineChars="100" w:firstLine="160"/>
              <w:jc w:val="center"/>
              <w:rPr>
                <w:rFonts w:ascii="ITC Avant Garde" w:eastAsia="Times New Roman" w:hAnsi="ITC Avant Garde" w:cs="Times New Roman"/>
                <w:color w:val="000000"/>
                <w:sz w:val="16"/>
                <w:szCs w:val="20"/>
                <w:lang w:eastAsia="es-MX"/>
              </w:rPr>
            </w:pPr>
            <w:r w:rsidRPr="00FB0F05">
              <w:rPr>
                <w:rFonts w:ascii="ITC Avant Garde" w:eastAsia="Times New Roman" w:hAnsi="ITC Avant Garde" w:cs="Times New Roman"/>
                <w:color w:val="000000"/>
                <w:sz w:val="16"/>
                <w:szCs w:val="20"/>
                <w:lang w:eastAsia="es-MX"/>
              </w:rPr>
              <w:t>-</w:t>
            </w:r>
          </w:p>
        </w:tc>
        <w:tc>
          <w:tcPr>
            <w:tcW w:w="1170" w:type="dxa"/>
            <w:noWrap/>
            <w:vAlign w:val="center"/>
            <w:hideMark/>
          </w:tcPr>
          <w:p w:rsidR="003C51DC" w:rsidRPr="004C22DC"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4C22DC">
              <w:rPr>
                <w:rFonts w:ascii="ITC Avant Garde" w:eastAsia="Times New Roman" w:hAnsi="ITC Avant Garde" w:cs="Times New Roman"/>
                <w:color w:val="000000"/>
                <w:sz w:val="16"/>
                <w:szCs w:val="20"/>
                <w:lang w:eastAsia="es-MX"/>
              </w:rPr>
              <w:t>0.82%</w:t>
            </w:r>
          </w:p>
        </w:tc>
        <w:tc>
          <w:tcPr>
            <w:tcW w:w="108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0.80%</w:t>
            </w:r>
          </w:p>
        </w:tc>
        <w:tc>
          <w:tcPr>
            <w:tcW w:w="99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1.00%</w:t>
            </w:r>
          </w:p>
        </w:tc>
        <w:tc>
          <w:tcPr>
            <w:tcW w:w="108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1.20%</w:t>
            </w:r>
          </w:p>
        </w:tc>
        <w:tc>
          <w:tcPr>
            <w:tcW w:w="99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1.29%</w:t>
            </w:r>
          </w:p>
        </w:tc>
        <w:tc>
          <w:tcPr>
            <w:tcW w:w="90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1.00%</w:t>
            </w:r>
          </w:p>
        </w:tc>
        <w:tc>
          <w:tcPr>
            <w:tcW w:w="99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0.98%</w:t>
            </w:r>
          </w:p>
        </w:tc>
      </w:tr>
    </w:tbl>
    <w:p w:rsidR="00F957A8" w:rsidRPr="00F957A8" w:rsidRDefault="00F957A8" w:rsidP="00264E21">
      <w:pPr>
        <w:spacing w:after="0" w:line="240" w:lineRule="auto"/>
        <w:jc w:val="center"/>
        <w:rPr>
          <w:sz w:val="2"/>
        </w:rPr>
      </w:pPr>
    </w:p>
    <w:tbl>
      <w:tblPr>
        <w:tblStyle w:val="Tablaconcuadrcula"/>
        <w:tblW w:w="9565" w:type="dxa"/>
        <w:tblLook w:val="04A0" w:firstRow="1" w:lastRow="0" w:firstColumn="1" w:lastColumn="0" w:noHBand="0" w:noVBand="1"/>
        <w:tblCaption w:val="Cable"/>
      </w:tblPr>
      <w:tblGrid>
        <w:gridCol w:w="1293"/>
        <w:gridCol w:w="1072"/>
        <w:gridCol w:w="1170"/>
        <w:gridCol w:w="1080"/>
        <w:gridCol w:w="990"/>
        <w:gridCol w:w="1080"/>
        <w:gridCol w:w="990"/>
        <w:gridCol w:w="900"/>
        <w:gridCol w:w="990"/>
      </w:tblGrid>
      <w:tr w:rsidR="003C51DC" w:rsidRPr="00E131B7" w:rsidTr="00215D15">
        <w:trPr>
          <w:trHeight w:val="300"/>
          <w:tblHeader/>
        </w:trPr>
        <w:tc>
          <w:tcPr>
            <w:tcW w:w="9565" w:type="dxa"/>
            <w:gridSpan w:val="9"/>
            <w:noWrap/>
            <w:vAlign w:val="center"/>
            <w:hideMark/>
          </w:tcPr>
          <w:p w:rsidR="003C51DC" w:rsidRPr="009D0F12" w:rsidRDefault="003C51DC" w:rsidP="00264E21">
            <w:pPr>
              <w:shd w:val="clear" w:color="auto" w:fill="FFFFFF" w:themeFill="background1"/>
              <w:jc w:val="center"/>
              <w:rPr>
                <w:rFonts w:ascii="ITC Avant Garde" w:eastAsia="Times New Roman" w:hAnsi="ITC Avant Garde" w:cs="Times New Roman"/>
                <w:b/>
                <w:color w:val="000000"/>
                <w:sz w:val="16"/>
                <w:szCs w:val="20"/>
                <w:lang w:eastAsia="es-MX"/>
              </w:rPr>
            </w:pPr>
            <w:r w:rsidRPr="009D0F12">
              <w:rPr>
                <w:rFonts w:ascii="ITC Avant Garde" w:eastAsia="Times New Roman" w:hAnsi="ITC Avant Garde" w:cs="Times New Roman"/>
                <w:b/>
                <w:color w:val="000000"/>
                <w:sz w:val="16"/>
                <w:szCs w:val="20"/>
                <w:lang w:eastAsia="es-MX"/>
              </w:rPr>
              <w:t>Cable</w:t>
            </w:r>
          </w:p>
        </w:tc>
      </w:tr>
      <w:tr w:rsidR="003C51DC" w:rsidRPr="00E131B7" w:rsidTr="00F957A8">
        <w:trPr>
          <w:trHeight w:val="300"/>
        </w:trPr>
        <w:tc>
          <w:tcPr>
            <w:tcW w:w="1293" w:type="dxa"/>
            <w:noWrap/>
            <w:vAlign w:val="center"/>
            <w:hideMark/>
          </w:tcPr>
          <w:p w:rsidR="003C51DC" w:rsidRPr="009D0F12" w:rsidRDefault="003C51DC" w:rsidP="00264E21">
            <w:pPr>
              <w:shd w:val="clear" w:color="auto" w:fill="FFFFFF" w:themeFill="background1"/>
              <w:ind w:firstLineChars="100" w:firstLine="160"/>
              <w:jc w:val="center"/>
              <w:rPr>
                <w:rFonts w:ascii="ITC Avant Garde" w:eastAsia="Times New Roman" w:hAnsi="ITC Avant Garde" w:cs="Times New Roman"/>
                <w:color w:val="000000"/>
                <w:sz w:val="16"/>
                <w:szCs w:val="20"/>
                <w:lang w:eastAsia="es-MX"/>
              </w:rPr>
            </w:pPr>
            <w:r w:rsidRPr="009D0F12">
              <w:rPr>
                <w:rFonts w:ascii="ITC Avant Garde" w:eastAsia="Times New Roman" w:hAnsi="ITC Avant Garde" w:cs="Times New Roman"/>
                <w:color w:val="000000"/>
                <w:sz w:val="16"/>
                <w:szCs w:val="20"/>
                <w:lang w:eastAsia="es-MX"/>
              </w:rPr>
              <w:t>GTV</w:t>
            </w:r>
          </w:p>
        </w:tc>
        <w:tc>
          <w:tcPr>
            <w:tcW w:w="1072" w:type="dxa"/>
            <w:noWrap/>
            <w:vAlign w:val="center"/>
            <w:hideMark/>
          </w:tcPr>
          <w:p w:rsidR="003C51DC" w:rsidRPr="00FB0F05" w:rsidRDefault="003C51DC" w:rsidP="00264E21">
            <w:pPr>
              <w:shd w:val="clear" w:color="auto" w:fill="FFFFFF" w:themeFill="background1"/>
              <w:ind w:firstLineChars="100" w:firstLine="160"/>
              <w:jc w:val="center"/>
              <w:rPr>
                <w:rFonts w:ascii="ITC Avant Garde" w:eastAsia="Times New Roman" w:hAnsi="ITC Avant Garde" w:cs="Times New Roman"/>
                <w:color w:val="000000"/>
                <w:sz w:val="16"/>
                <w:szCs w:val="20"/>
                <w:lang w:eastAsia="es-MX"/>
              </w:rPr>
            </w:pPr>
            <w:r w:rsidRPr="00FB0F05">
              <w:rPr>
                <w:rFonts w:ascii="ITC Avant Garde" w:eastAsia="Times New Roman" w:hAnsi="ITC Avant Garde" w:cs="Times New Roman"/>
                <w:color w:val="000000"/>
                <w:sz w:val="16"/>
                <w:szCs w:val="20"/>
                <w:lang w:eastAsia="es-MX"/>
              </w:rPr>
              <w:t>-</w:t>
            </w:r>
          </w:p>
        </w:tc>
        <w:tc>
          <w:tcPr>
            <w:tcW w:w="117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4C22DC">
              <w:rPr>
                <w:rFonts w:ascii="ITC Avant Garde" w:eastAsia="Times New Roman" w:hAnsi="ITC Avant Garde" w:cs="Times New Roman"/>
                <w:color w:val="000000"/>
                <w:sz w:val="16"/>
                <w:szCs w:val="20"/>
                <w:lang w:eastAsia="es-MX"/>
              </w:rPr>
              <w:t>0.00</w:t>
            </w:r>
            <w:r w:rsidRPr="00501725">
              <w:rPr>
                <w:rFonts w:ascii="ITC Avant Garde" w:eastAsia="Times New Roman" w:hAnsi="ITC Avant Garde" w:cs="Times New Roman"/>
                <w:color w:val="000000"/>
                <w:sz w:val="16"/>
                <w:szCs w:val="20"/>
                <w:lang w:eastAsia="es-MX"/>
              </w:rPr>
              <w:t>%</w:t>
            </w:r>
          </w:p>
        </w:tc>
        <w:tc>
          <w:tcPr>
            <w:tcW w:w="108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0.07%</w:t>
            </w:r>
          </w:p>
        </w:tc>
        <w:tc>
          <w:tcPr>
            <w:tcW w:w="99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0.20%</w:t>
            </w:r>
          </w:p>
        </w:tc>
        <w:tc>
          <w:tcPr>
            <w:tcW w:w="108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0.60%</w:t>
            </w:r>
          </w:p>
        </w:tc>
        <w:tc>
          <w:tcPr>
            <w:tcW w:w="99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0.49%</w:t>
            </w:r>
          </w:p>
        </w:tc>
        <w:tc>
          <w:tcPr>
            <w:tcW w:w="90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-0.06%</w:t>
            </w:r>
          </w:p>
        </w:tc>
        <w:tc>
          <w:tcPr>
            <w:tcW w:w="99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-0.06%</w:t>
            </w:r>
          </w:p>
        </w:tc>
      </w:tr>
      <w:tr w:rsidR="003C51DC" w:rsidRPr="00E131B7" w:rsidTr="00F957A8">
        <w:trPr>
          <w:trHeight w:val="300"/>
        </w:trPr>
        <w:tc>
          <w:tcPr>
            <w:tcW w:w="1293" w:type="dxa"/>
            <w:noWrap/>
            <w:vAlign w:val="center"/>
            <w:hideMark/>
          </w:tcPr>
          <w:p w:rsidR="003C51DC" w:rsidRPr="009D0F12" w:rsidRDefault="003C51DC" w:rsidP="00264E21">
            <w:pPr>
              <w:shd w:val="clear" w:color="auto" w:fill="FFFFFF" w:themeFill="background1"/>
              <w:ind w:firstLineChars="100" w:firstLine="160"/>
              <w:jc w:val="center"/>
              <w:rPr>
                <w:rFonts w:ascii="ITC Avant Garde" w:eastAsia="Times New Roman" w:hAnsi="ITC Avant Garde" w:cs="Times New Roman"/>
                <w:color w:val="000000"/>
                <w:sz w:val="16"/>
                <w:szCs w:val="20"/>
                <w:lang w:eastAsia="es-MX"/>
              </w:rPr>
            </w:pPr>
            <w:r w:rsidRPr="009D0F12">
              <w:rPr>
                <w:rFonts w:ascii="ITC Avant Garde" w:eastAsia="Times New Roman" w:hAnsi="ITC Avant Garde" w:cs="Times New Roman"/>
                <w:color w:val="000000"/>
                <w:sz w:val="16"/>
                <w:szCs w:val="20"/>
                <w:lang w:eastAsia="es-MX"/>
              </w:rPr>
              <w:t>CABLECOM</w:t>
            </w:r>
          </w:p>
        </w:tc>
        <w:tc>
          <w:tcPr>
            <w:tcW w:w="1072" w:type="dxa"/>
            <w:noWrap/>
            <w:vAlign w:val="center"/>
            <w:hideMark/>
          </w:tcPr>
          <w:p w:rsidR="003C51DC" w:rsidRPr="00FB0F05" w:rsidRDefault="003C51DC" w:rsidP="00264E21">
            <w:pPr>
              <w:shd w:val="clear" w:color="auto" w:fill="FFFFFF" w:themeFill="background1"/>
              <w:ind w:firstLineChars="100" w:firstLine="160"/>
              <w:jc w:val="center"/>
              <w:rPr>
                <w:rFonts w:ascii="ITC Avant Garde" w:eastAsia="Times New Roman" w:hAnsi="ITC Avant Garde" w:cs="Times New Roman"/>
                <w:color w:val="000000"/>
                <w:sz w:val="16"/>
                <w:szCs w:val="20"/>
                <w:lang w:eastAsia="es-MX"/>
              </w:rPr>
            </w:pPr>
            <w:r w:rsidRPr="00FB0F05">
              <w:rPr>
                <w:rFonts w:ascii="ITC Avant Garde" w:eastAsia="Times New Roman" w:hAnsi="ITC Avant Garde" w:cs="Times New Roman"/>
                <w:color w:val="000000"/>
                <w:sz w:val="16"/>
                <w:szCs w:val="20"/>
                <w:lang w:eastAsia="es-MX"/>
              </w:rPr>
              <w:t>-</w:t>
            </w:r>
          </w:p>
        </w:tc>
        <w:tc>
          <w:tcPr>
            <w:tcW w:w="1170" w:type="dxa"/>
            <w:noWrap/>
            <w:vAlign w:val="center"/>
            <w:hideMark/>
          </w:tcPr>
          <w:p w:rsidR="003C51DC" w:rsidRPr="004C22DC"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4C22DC">
              <w:rPr>
                <w:rFonts w:ascii="ITC Avant Garde" w:eastAsia="Times New Roman" w:hAnsi="ITC Avant Garde" w:cs="Times New Roman"/>
                <w:color w:val="000000"/>
                <w:sz w:val="16"/>
                <w:szCs w:val="20"/>
                <w:lang w:eastAsia="es-MX"/>
              </w:rPr>
              <w:t>-2.30%</w:t>
            </w:r>
          </w:p>
        </w:tc>
        <w:tc>
          <w:tcPr>
            <w:tcW w:w="108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-0.34%</w:t>
            </w:r>
          </w:p>
        </w:tc>
        <w:tc>
          <w:tcPr>
            <w:tcW w:w="99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-0.09%</w:t>
            </w:r>
          </w:p>
        </w:tc>
        <w:tc>
          <w:tcPr>
            <w:tcW w:w="108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-0.11%</w:t>
            </w:r>
          </w:p>
        </w:tc>
        <w:tc>
          <w:tcPr>
            <w:tcW w:w="99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0.39%</w:t>
            </w:r>
          </w:p>
        </w:tc>
        <w:tc>
          <w:tcPr>
            <w:tcW w:w="90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-4.47%</w:t>
            </w:r>
          </w:p>
        </w:tc>
        <w:tc>
          <w:tcPr>
            <w:tcW w:w="990" w:type="dxa"/>
            <w:noWrap/>
            <w:vAlign w:val="center"/>
            <w:hideMark/>
          </w:tcPr>
          <w:p w:rsidR="003C51DC" w:rsidRPr="00501725"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501725">
              <w:rPr>
                <w:rFonts w:ascii="ITC Avant Garde" w:eastAsia="Times New Roman" w:hAnsi="ITC Avant Garde" w:cs="Times New Roman"/>
                <w:color w:val="000000"/>
                <w:sz w:val="16"/>
                <w:szCs w:val="20"/>
                <w:lang w:eastAsia="es-MX"/>
              </w:rPr>
              <w:t>-0.14%</w:t>
            </w:r>
          </w:p>
        </w:tc>
      </w:tr>
      <w:tr w:rsidR="003C51DC" w:rsidRPr="00E131B7" w:rsidTr="00F957A8">
        <w:trPr>
          <w:trHeight w:val="300"/>
        </w:trPr>
        <w:tc>
          <w:tcPr>
            <w:tcW w:w="9565" w:type="dxa"/>
            <w:gridSpan w:val="9"/>
            <w:noWrap/>
            <w:vAlign w:val="center"/>
          </w:tcPr>
          <w:p w:rsidR="003C51DC" w:rsidRPr="009D0F12" w:rsidRDefault="003C51DC" w:rsidP="00264E21">
            <w:pPr>
              <w:shd w:val="clear" w:color="auto" w:fill="FFFFFF" w:themeFill="background1"/>
              <w:jc w:val="center"/>
              <w:rPr>
                <w:rFonts w:ascii="ITC Avant Garde" w:eastAsia="Times New Roman" w:hAnsi="ITC Avant Garde" w:cs="Times New Roman"/>
                <w:color w:val="000000"/>
                <w:sz w:val="16"/>
                <w:szCs w:val="20"/>
                <w:lang w:eastAsia="es-MX"/>
              </w:rPr>
            </w:pPr>
            <w:r w:rsidRPr="009D0F12">
              <w:rPr>
                <w:rFonts w:ascii="ITC Avant Garde" w:eastAsia="Times New Roman" w:hAnsi="ITC Avant Garde" w:cs="Times New Roman"/>
                <w:color w:val="000000"/>
                <w:sz w:val="16"/>
                <w:szCs w:val="20"/>
                <w:lang w:eastAsia="es-MX"/>
              </w:rPr>
              <w:t>Fuente: Elaboración propia con información sobre suscriptores de los Informes Trimestrales del IFT.</w:t>
            </w:r>
          </w:p>
        </w:tc>
      </w:tr>
    </w:tbl>
    <w:p w:rsidR="00FF6E6A" w:rsidRDefault="00FF6E6A" w:rsidP="0025662F">
      <w:pPr>
        <w:shd w:val="clear" w:color="auto" w:fill="FFFFFF" w:themeFill="background1"/>
        <w:spacing w:after="120" w:line="240" w:lineRule="auto"/>
        <w:jc w:val="both"/>
        <w:rPr>
          <w:rFonts w:ascii="ITC Avant Garde" w:hAnsi="ITC Avant Garde"/>
          <w:sz w:val="24"/>
        </w:rPr>
      </w:pPr>
    </w:p>
    <w:p w:rsidR="00FF6E6A" w:rsidRDefault="003C51DC" w:rsidP="0025662F">
      <w:pPr>
        <w:shd w:val="clear" w:color="auto" w:fill="FFFFFF" w:themeFill="background1"/>
        <w:spacing w:after="120" w:line="240" w:lineRule="auto"/>
        <w:jc w:val="both"/>
        <w:rPr>
          <w:rFonts w:ascii="ITC Avant Garde" w:hAnsi="ITC Avant Garde"/>
          <w:sz w:val="24"/>
        </w:rPr>
      </w:pPr>
      <w:r w:rsidRPr="000704FB">
        <w:rPr>
          <w:rFonts w:ascii="ITC Avant Garde" w:hAnsi="ITC Avant Garde"/>
          <w:sz w:val="24"/>
        </w:rPr>
        <w:t>Como se puede observar de la tabla anterior, GTV, a través de SKY, mantuvo una tasa de crecimiento con</w:t>
      </w:r>
      <w:r w:rsidR="006F7AD9">
        <w:rPr>
          <w:rFonts w:ascii="ITC Avant Garde" w:hAnsi="ITC Avant Garde"/>
          <w:sz w:val="24"/>
        </w:rPr>
        <w:t>s</w:t>
      </w:r>
      <w:r w:rsidRPr="000704FB">
        <w:rPr>
          <w:rFonts w:ascii="ITC Avant Garde" w:hAnsi="ITC Avant Garde"/>
          <w:sz w:val="24"/>
        </w:rPr>
        <w:t xml:space="preserve">tante a nivel nacional de entre 0.82% y 1.29% durante el periodo, mientras que Cablecom mantuvo una tasa de crecimiento negativa a lo largo del periodo, excepto en el mes de junio. </w:t>
      </w:r>
    </w:p>
    <w:p w:rsidR="003C51DC" w:rsidRPr="000704FB" w:rsidRDefault="003C51DC" w:rsidP="0025662F">
      <w:pPr>
        <w:shd w:val="clear" w:color="auto" w:fill="FFFFFF" w:themeFill="background1"/>
        <w:spacing w:after="120" w:line="240" w:lineRule="auto"/>
        <w:jc w:val="both"/>
        <w:rPr>
          <w:rFonts w:ascii="ITC Avant Garde" w:hAnsi="ITC Avant Garde"/>
          <w:sz w:val="24"/>
        </w:rPr>
      </w:pPr>
      <w:r w:rsidRPr="000704FB">
        <w:rPr>
          <w:rFonts w:ascii="ITC Avant Garde" w:hAnsi="ITC Avant Garde"/>
          <w:sz w:val="24"/>
        </w:rPr>
        <w:t xml:space="preserve">Lo anterior </w:t>
      </w:r>
      <w:r w:rsidR="00FF6E6A">
        <w:rPr>
          <w:rFonts w:ascii="ITC Avant Garde" w:hAnsi="ITC Avant Garde"/>
          <w:sz w:val="24"/>
        </w:rPr>
        <w:t xml:space="preserve">no es consistente con la imputación del OPR de que </w:t>
      </w:r>
      <w:r w:rsidRPr="000704FB">
        <w:rPr>
          <w:rFonts w:ascii="ITC Avant Garde" w:hAnsi="ITC Avant Garde"/>
          <w:sz w:val="24"/>
        </w:rPr>
        <w:t xml:space="preserve">GTV </w:t>
      </w:r>
      <w:r w:rsidR="00FF6E6A">
        <w:rPr>
          <w:rFonts w:ascii="ITC Avant Garde" w:hAnsi="ITC Avant Garde"/>
          <w:sz w:val="24"/>
        </w:rPr>
        <w:t>tuviera el control de Cablecom y sus accionistas para perseguir un</w:t>
      </w:r>
      <w:r w:rsidRPr="000704FB">
        <w:rPr>
          <w:rFonts w:ascii="ITC Avant Garde" w:hAnsi="ITC Avant Garde"/>
          <w:sz w:val="24"/>
        </w:rPr>
        <w:t xml:space="preserve"> interés común y </w:t>
      </w:r>
      <w:r w:rsidR="00FF6E6A">
        <w:rPr>
          <w:rFonts w:ascii="ITC Avant Garde" w:hAnsi="ITC Avant Garde"/>
          <w:sz w:val="24"/>
        </w:rPr>
        <w:t xml:space="preserve">la </w:t>
      </w:r>
      <w:r w:rsidRPr="000704FB">
        <w:rPr>
          <w:rFonts w:ascii="ITC Avant Garde" w:hAnsi="ITC Avant Garde"/>
          <w:sz w:val="24"/>
        </w:rPr>
        <w:t>alineación de objetivos económicos</w:t>
      </w:r>
      <w:r w:rsidR="00FF6E6A">
        <w:rPr>
          <w:rFonts w:ascii="ITC Avant Garde" w:hAnsi="ITC Avant Garde"/>
          <w:sz w:val="24"/>
        </w:rPr>
        <w:t xml:space="preserve">. </w:t>
      </w:r>
      <w:r w:rsidRPr="000704FB">
        <w:rPr>
          <w:rFonts w:ascii="ITC Avant Garde" w:hAnsi="ITC Avant Garde"/>
          <w:sz w:val="24"/>
        </w:rPr>
        <w:t>Es decir, no puede presumirse que un crecimiento mensual negativo de suscriptores de Cablecom pudiera representar interés económico de GTV o un beneficio común para ambos.</w:t>
      </w:r>
    </w:p>
    <w:p w:rsidR="003C51DC" w:rsidRDefault="00FF6E6A" w:rsidP="0025662F">
      <w:pPr>
        <w:shd w:val="clear" w:color="auto" w:fill="FFFFFF" w:themeFill="background1"/>
        <w:spacing w:after="120" w:line="240" w:lineRule="auto"/>
        <w:jc w:val="both"/>
        <w:rPr>
          <w:rFonts w:ascii="ITC Avant Garde" w:hAnsi="ITC Avant Garde"/>
          <w:sz w:val="24"/>
        </w:rPr>
      </w:pPr>
      <w:r>
        <w:rPr>
          <w:rFonts w:ascii="ITC Avant Garde" w:hAnsi="ITC Avant Garde"/>
          <w:sz w:val="24"/>
        </w:rPr>
        <w:t>Por otra parte</w:t>
      </w:r>
      <w:r w:rsidR="003C51DC" w:rsidRPr="000704FB">
        <w:rPr>
          <w:rFonts w:ascii="ITC Avant Garde" w:hAnsi="ITC Avant Garde"/>
          <w:sz w:val="24"/>
        </w:rPr>
        <w:t>, el siguiente gráfico del OPR muestra la evolución de los márgenes de ganancia del STAR durante el periodo 2009 a 2014.</w:t>
      </w:r>
      <w:r w:rsidR="003C51DC">
        <w:rPr>
          <w:rFonts w:ascii="ITC Avant Garde" w:hAnsi="ITC Avant Garde"/>
          <w:sz w:val="24"/>
        </w:rPr>
        <w:t xml:space="preserve"> </w:t>
      </w:r>
    </w:p>
    <w:p w:rsidR="00E639C7" w:rsidRPr="00E639C7" w:rsidRDefault="00E639C7" w:rsidP="00E639C7">
      <w:pPr>
        <w:shd w:val="clear" w:color="auto" w:fill="FFFFFF" w:themeFill="background1"/>
        <w:spacing w:after="120" w:line="240" w:lineRule="auto"/>
        <w:jc w:val="center"/>
        <w:rPr>
          <w:rFonts w:ascii="ITC Avant Garde" w:hAnsi="ITC Avant Garde"/>
          <w:sz w:val="24"/>
          <w:szCs w:val="24"/>
        </w:rPr>
      </w:pPr>
      <w:r w:rsidRPr="00E639C7">
        <w:rPr>
          <w:rFonts w:ascii="ITC Avant Garde" w:hAnsi="ITC Avant Garde" w:cs="Helvetica"/>
          <w:b/>
          <w:color w:val="0000FF"/>
          <w:sz w:val="24"/>
          <w:szCs w:val="24"/>
        </w:rPr>
        <w:lastRenderedPageBreak/>
        <w:t>“CONFIDENCIAL POR LEY”</w:t>
      </w:r>
    </w:p>
    <w:p w:rsidR="00D84A32" w:rsidRDefault="00D84A32" w:rsidP="003C51DC">
      <w:pPr>
        <w:spacing w:after="120" w:line="240" w:lineRule="auto"/>
        <w:jc w:val="both"/>
        <w:rPr>
          <w:rFonts w:ascii="ITC Avant Garde" w:hAnsi="ITC Avant Garde"/>
          <w:sz w:val="24"/>
        </w:rPr>
      </w:pPr>
      <w:r>
        <w:rPr>
          <w:rFonts w:ascii="ITC Avant Garde" w:hAnsi="ITC Avant Garde"/>
          <w:sz w:val="24"/>
        </w:rPr>
        <w:t>En este</w:t>
      </w:r>
      <w:r w:rsidR="003C51DC">
        <w:rPr>
          <w:rFonts w:ascii="ITC Avant Garde" w:hAnsi="ITC Avant Garde"/>
          <w:sz w:val="24"/>
        </w:rPr>
        <w:t xml:space="preserve"> gráfico </w:t>
      </w:r>
      <w:r>
        <w:rPr>
          <w:rFonts w:ascii="ITC Avant Garde" w:hAnsi="ITC Avant Garde"/>
          <w:sz w:val="24"/>
        </w:rPr>
        <w:t>se</w:t>
      </w:r>
      <w:r w:rsidR="003C51DC">
        <w:rPr>
          <w:rFonts w:ascii="ITC Avant Garde" w:hAnsi="ITC Avant Garde"/>
          <w:sz w:val="24"/>
        </w:rPr>
        <w:t xml:space="preserve"> observa que el margen de ganancia de</w:t>
      </w:r>
      <w:r w:rsidR="00E639C7">
        <w:rPr>
          <w:rFonts w:ascii="ITC Avant Garde" w:hAnsi="ITC Avant Garde"/>
          <w:sz w:val="24"/>
        </w:rPr>
        <w:t xml:space="preserve"> </w:t>
      </w:r>
      <w:r w:rsidR="00E639C7" w:rsidRPr="00CE5237">
        <w:rPr>
          <w:rFonts w:ascii="ITC Avant Garde" w:hAnsi="ITC Avant Garde" w:cs="Helvetica"/>
          <w:b/>
          <w:color w:val="0000FF"/>
        </w:rPr>
        <w:t>“CONFIDENCIAL POR LEY”</w:t>
      </w:r>
      <w:r>
        <w:rPr>
          <w:rFonts w:ascii="ITC Avant Garde" w:hAnsi="ITC Avant Garde"/>
          <w:sz w:val="24"/>
        </w:rPr>
        <w:t>. P</w:t>
      </w:r>
      <w:r w:rsidR="003C51DC">
        <w:rPr>
          <w:rFonts w:ascii="ITC Avant Garde" w:hAnsi="ITC Avant Garde"/>
          <w:sz w:val="24"/>
        </w:rPr>
        <w:t>articularmente, entre el año dos mil trece y dos mil catorce,</w:t>
      </w:r>
      <w:r w:rsidR="00E639C7">
        <w:rPr>
          <w:rFonts w:ascii="ITC Avant Garde" w:hAnsi="ITC Avant Garde"/>
          <w:sz w:val="24"/>
        </w:rPr>
        <w:t xml:space="preserve"> </w:t>
      </w:r>
      <w:r w:rsidR="00E639C7" w:rsidRPr="00CE5237">
        <w:rPr>
          <w:rFonts w:ascii="ITC Avant Garde" w:hAnsi="ITC Avant Garde" w:cs="Helvetica"/>
          <w:b/>
          <w:color w:val="0000FF"/>
        </w:rPr>
        <w:t>“CONFIDENCIAL POR LEY”</w:t>
      </w:r>
      <w:r w:rsidR="003C51DC">
        <w:rPr>
          <w:rFonts w:ascii="ITC Avant Garde" w:hAnsi="ITC Avant Garde"/>
          <w:sz w:val="24"/>
        </w:rPr>
        <w:t xml:space="preserve"> </w:t>
      </w:r>
      <w:r w:rsidR="001E66C1">
        <w:rPr>
          <w:rFonts w:ascii="ITC Avant Garde" w:hAnsi="ITC Avant Garde"/>
          <w:sz w:val="24"/>
        </w:rPr>
        <w:t xml:space="preserve">dentro de la </w:t>
      </w:r>
      <w:r w:rsidR="003C51DC">
        <w:rPr>
          <w:rFonts w:ascii="ITC Avant Garde" w:hAnsi="ITC Avant Garde"/>
          <w:sz w:val="24"/>
        </w:rPr>
        <w:t xml:space="preserve">misma tendencia observada en los años anteriores. </w:t>
      </w:r>
    </w:p>
    <w:p w:rsidR="00D84A32" w:rsidRDefault="00D84A32" w:rsidP="003C51DC">
      <w:pPr>
        <w:spacing w:after="120" w:line="240" w:lineRule="auto"/>
        <w:jc w:val="both"/>
        <w:rPr>
          <w:rFonts w:ascii="ITC Avant Garde" w:hAnsi="ITC Avant Garde"/>
          <w:sz w:val="24"/>
        </w:rPr>
      </w:pPr>
      <w:r>
        <w:rPr>
          <w:rFonts w:ascii="ITC Avant Garde" w:hAnsi="ITC Avant Garde"/>
          <w:sz w:val="24"/>
        </w:rPr>
        <w:t xml:space="preserve">El OPR no explica cómo es que esta información acredita que GTV tiene un interés económico para obtener beneficios de Cablecom y sus accionistas través de la alineación de </w:t>
      </w:r>
      <w:r w:rsidR="006C42BD">
        <w:rPr>
          <w:rFonts w:ascii="ITC Avant Garde" w:hAnsi="ITC Avant Garde"/>
          <w:sz w:val="24"/>
        </w:rPr>
        <w:t>incentivos</w:t>
      </w:r>
      <w:r>
        <w:rPr>
          <w:rFonts w:ascii="ITC Avant Garde" w:hAnsi="ITC Avant Garde"/>
          <w:sz w:val="24"/>
        </w:rPr>
        <w:t xml:space="preserve">. Si bien los accionistas de Cablecom, incluida Tenedora Ares, </w:t>
      </w:r>
      <w:r w:rsidR="00E639C7" w:rsidRPr="00CE5237">
        <w:rPr>
          <w:rFonts w:ascii="ITC Avant Garde" w:hAnsi="ITC Avant Garde" w:cs="Helvetica"/>
          <w:b/>
          <w:color w:val="0000FF"/>
        </w:rPr>
        <w:t>“CONFIDENCIAL POR LEY”</w:t>
      </w:r>
      <w:r w:rsidR="00CA63BA">
        <w:rPr>
          <w:rFonts w:ascii="ITC Avant Garde" w:hAnsi="ITC Avant Garde" w:cs="Helvetica"/>
          <w:b/>
          <w:color w:val="0000FF"/>
        </w:rPr>
        <w:t xml:space="preserve"> </w:t>
      </w:r>
      <w:r>
        <w:rPr>
          <w:rFonts w:ascii="ITC Avant Garde" w:hAnsi="ITC Avant Garde"/>
          <w:sz w:val="24"/>
        </w:rPr>
        <w:t>no se acredita que ello se tradujera en que Cablecom trasladara los beneficios derivados de sus actividades económicas en la provisión del STAR a GTV. Los resultados de las actividades económicas de Cablecom impactaban en el valor de sus acciones y tal valor se reflejaría al momento de adquirir las acciones de Cablecom, pero no antes.</w:t>
      </w:r>
      <w:r w:rsidR="00682B06">
        <w:rPr>
          <w:rFonts w:ascii="ITC Avant Garde" w:hAnsi="ITC Avant Garde"/>
          <w:sz w:val="24"/>
        </w:rPr>
        <w:t xml:space="preserve"> </w:t>
      </w:r>
      <w:r w:rsidR="00E639C7" w:rsidRPr="00CE5237">
        <w:rPr>
          <w:rFonts w:ascii="ITC Avant Garde" w:hAnsi="ITC Avant Garde" w:cs="Helvetica"/>
          <w:b/>
          <w:color w:val="0000FF"/>
        </w:rPr>
        <w:t>“CONFIDENCIAL POR LEY”</w:t>
      </w:r>
      <w:r w:rsidR="00E639C7">
        <w:rPr>
          <w:rFonts w:ascii="ITC Avant Garde" w:hAnsi="ITC Avant Garde" w:cs="Helvetica"/>
          <w:b/>
          <w:color w:val="0000FF"/>
        </w:rPr>
        <w:t xml:space="preserve"> </w:t>
      </w:r>
      <w:r w:rsidR="00682B06">
        <w:rPr>
          <w:rFonts w:ascii="ITC Avant Garde" w:hAnsi="ITC Avant Garde" w:cs="Helvetica"/>
          <w:sz w:val="24"/>
          <w:szCs w:val="24"/>
        </w:rPr>
        <w:t>Sin embargo, el valor de las acciones seguía siendo una variable en la que los accionistas de Cablecom podían influir y que a su vez los dotaba de incentivos para seguir operando a su empresa de manera eficiente</w:t>
      </w:r>
      <w:r w:rsidR="00225975">
        <w:rPr>
          <w:rFonts w:ascii="ITC Avant Garde" w:hAnsi="ITC Avant Garde" w:cs="Helvetica"/>
          <w:sz w:val="24"/>
          <w:szCs w:val="24"/>
        </w:rPr>
        <w:t>.</w:t>
      </w:r>
      <w:r w:rsidR="00682B06">
        <w:rPr>
          <w:rFonts w:ascii="ITC Avant Garde" w:hAnsi="ITC Avant Garde" w:cs="Helvetica"/>
          <w:sz w:val="24"/>
          <w:szCs w:val="24"/>
        </w:rPr>
        <w:t xml:space="preserve"> Esta situación puede corroborarse con las condiciones en las que fue pactado el precio de la Promesa Cablecom.</w:t>
      </w:r>
    </w:p>
    <w:p w:rsidR="00B95D50" w:rsidRDefault="00B95D50" w:rsidP="003C51DC">
      <w:pPr>
        <w:spacing w:after="120" w:line="240" w:lineRule="auto"/>
        <w:jc w:val="both"/>
        <w:rPr>
          <w:rFonts w:ascii="ITC Avant Garde" w:hAnsi="ITC Avant Garde"/>
          <w:sz w:val="24"/>
        </w:rPr>
      </w:pPr>
      <w:r>
        <w:rPr>
          <w:rFonts w:ascii="ITC Avant Garde" w:hAnsi="ITC Avant Garde"/>
          <w:sz w:val="24"/>
        </w:rPr>
        <w:t xml:space="preserve">En conclusión, no se considera que GTV y Arretis hayan adquirido el control </w:t>
      </w:r>
      <w:r w:rsidR="005E592E">
        <w:rPr>
          <w:rFonts w:ascii="ITC Avant Garde" w:hAnsi="ITC Avant Garde"/>
          <w:sz w:val="24"/>
        </w:rPr>
        <w:t xml:space="preserve">sobre </w:t>
      </w:r>
      <w:r>
        <w:rPr>
          <w:rFonts w:ascii="ITC Avant Garde" w:hAnsi="ITC Avant Garde"/>
          <w:sz w:val="24"/>
        </w:rPr>
        <w:t xml:space="preserve">Cablecom con motivo de la celebración del Cúmulo de Operaciones a partir del treinta y uno de julio de dos mil trece y </w:t>
      </w:r>
      <w:r w:rsidR="00225975">
        <w:rPr>
          <w:rFonts w:ascii="ITC Avant Garde" w:hAnsi="ITC Avant Garde"/>
          <w:sz w:val="24"/>
        </w:rPr>
        <w:t xml:space="preserve">que, </w:t>
      </w:r>
      <w:r w:rsidR="004026C9">
        <w:rPr>
          <w:rFonts w:ascii="ITC Avant Garde" w:hAnsi="ITC Avant Garde"/>
          <w:sz w:val="24"/>
        </w:rPr>
        <w:t xml:space="preserve">por </w:t>
      </w:r>
      <w:r>
        <w:rPr>
          <w:rFonts w:ascii="ITC Avant Garde" w:hAnsi="ITC Avant Garde"/>
          <w:sz w:val="24"/>
        </w:rPr>
        <w:t xml:space="preserve">ello, </w:t>
      </w:r>
      <w:r w:rsidR="004026C9">
        <w:rPr>
          <w:rFonts w:ascii="ITC Avant Garde" w:hAnsi="ITC Avant Garde"/>
          <w:sz w:val="24"/>
        </w:rPr>
        <w:t xml:space="preserve">se encontraran </w:t>
      </w:r>
      <w:r>
        <w:rPr>
          <w:rFonts w:ascii="ITC Avant Garde" w:hAnsi="ITC Avant Garde"/>
          <w:sz w:val="24"/>
        </w:rPr>
        <w:t>obligado</w:t>
      </w:r>
      <w:r w:rsidR="004026C9">
        <w:rPr>
          <w:rFonts w:ascii="ITC Avant Garde" w:hAnsi="ITC Avant Garde"/>
          <w:sz w:val="24"/>
        </w:rPr>
        <w:t>s a</w:t>
      </w:r>
      <w:r>
        <w:rPr>
          <w:rFonts w:ascii="ITC Avant Garde" w:hAnsi="ITC Avant Garde"/>
          <w:sz w:val="24"/>
        </w:rPr>
        <w:t xml:space="preserve"> notificar una concentración en términos de los artículos 16 y 20 de la LFCE, así como 18, fracción II, del RLFCE. No obstante, a continuación se analizan las conclusiones de la Autoridad Investigadora en lo particular.</w:t>
      </w:r>
    </w:p>
    <w:p w:rsidR="00B95D50" w:rsidRPr="00876E44" w:rsidRDefault="00B95D50">
      <w:pPr>
        <w:spacing w:after="120" w:line="240" w:lineRule="auto"/>
        <w:jc w:val="both"/>
        <w:rPr>
          <w:rFonts w:ascii="ITC Avant Garde" w:hAnsi="ITC Avant Garde" w:cs="Helvetica"/>
          <w:b/>
          <w:sz w:val="24"/>
          <w:szCs w:val="24"/>
        </w:rPr>
      </w:pPr>
      <w:r w:rsidRPr="00876E44">
        <w:rPr>
          <w:rFonts w:ascii="ITC Avant Garde" w:hAnsi="ITC Avant Garde"/>
          <w:b/>
          <w:sz w:val="24"/>
        </w:rPr>
        <w:t xml:space="preserve">Con relación a que </w:t>
      </w:r>
      <w:r w:rsidRPr="00876E44">
        <w:rPr>
          <w:rFonts w:ascii="ITC Avant Garde" w:hAnsi="ITC Avant Garde" w:cs="Helvetica"/>
          <w:b/>
          <w:sz w:val="24"/>
          <w:szCs w:val="24"/>
        </w:rPr>
        <w:t xml:space="preserve">GTV entregó el equivalente a </w:t>
      </w:r>
      <w:r w:rsidR="00E639C7" w:rsidRPr="00CE5237">
        <w:rPr>
          <w:rFonts w:ascii="ITC Avant Garde" w:hAnsi="ITC Avant Garde" w:cs="Helvetica"/>
          <w:b/>
          <w:color w:val="0000FF"/>
        </w:rPr>
        <w:t>“CONFIDENCIAL POR LEY”</w:t>
      </w:r>
      <w:r w:rsidR="00E639C7">
        <w:rPr>
          <w:rFonts w:ascii="ITC Avant Garde" w:hAnsi="ITC Avant Garde" w:cs="Helvetica"/>
          <w:b/>
          <w:color w:val="0000FF"/>
        </w:rPr>
        <w:t xml:space="preserve"> </w:t>
      </w:r>
      <w:r w:rsidRPr="00876E44">
        <w:rPr>
          <w:rFonts w:ascii="ITC Avant Garde" w:hAnsi="ITC Avant Garde" w:cs="Helvetica"/>
          <w:b/>
          <w:sz w:val="24"/>
          <w:szCs w:val="24"/>
        </w:rPr>
        <w:t>a Tenedora Ares, esta autoridad estima que dicha entrega únicamente se atribuye a las obligaciones derivadas del Acta de Emisión y al Contrato de Crédito; de conformidad con los actos siguientes:</w:t>
      </w:r>
    </w:p>
    <w:p w:rsidR="00B95D50" w:rsidRDefault="00B95D50">
      <w:pPr>
        <w:spacing w:after="120" w:line="240" w:lineRule="auto"/>
        <w:ind w:left="283"/>
        <w:jc w:val="both"/>
        <w:rPr>
          <w:rFonts w:ascii="ITC Avant Garde" w:hAnsi="ITC Avant Garde" w:cs="Helvetica"/>
          <w:sz w:val="24"/>
          <w:szCs w:val="24"/>
        </w:rPr>
      </w:pPr>
      <w:r>
        <w:rPr>
          <w:rFonts w:ascii="ITC Avant Garde" w:hAnsi="ITC Avant Garde" w:cs="Helvetica"/>
          <w:sz w:val="24"/>
          <w:szCs w:val="24"/>
        </w:rPr>
        <w:t xml:space="preserve">(i) El pago de </w:t>
      </w:r>
      <w:r w:rsidR="00E639C7" w:rsidRPr="00CE5237">
        <w:rPr>
          <w:rFonts w:ascii="ITC Avant Garde" w:hAnsi="ITC Avant Garde" w:cs="Helvetica"/>
          <w:b/>
          <w:color w:val="0000FF"/>
        </w:rPr>
        <w:t>“CONFIDENCIAL POR LEY”</w:t>
      </w:r>
      <w:r w:rsidR="00E639C7">
        <w:rPr>
          <w:rFonts w:ascii="ITC Avant Garde" w:hAnsi="ITC Avant Garde" w:cs="Helvetica"/>
          <w:b/>
          <w:color w:val="0000FF"/>
        </w:rPr>
        <w:t xml:space="preserve"> </w:t>
      </w:r>
      <w:r>
        <w:rPr>
          <w:rFonts w:ascii="ITC Avant Garde" w:hAnsi="ITC Avant Garde" w:cs="Helvetica"/>
          <w:sz w:val="24"/>
          <w:szCs w:val="24"/>
        </w:rPr>
        <w:t xml:space="preserve">el cual corresponde </w:t>
      </w:r>
      <w:r w:rsidR="004026C9">
        <w:rPr>
          <w:rFonts w:ascii="ITC Avant Garde" w:hAnsi="ITC Avant Garde" w:cs="Helvetica"/>
          <w:sz w:val="24"/>
          <w:szCs w:val="24"/>
        </w:rPr>
        <w:t xml:space="preserve">a </w:t>
      </w:r>
      <w:r>
        <w:rPr>
          <w:rFonts w:ascii="ITC Avant Garde" w:hAnsi="ITC Avant Garde" w:cs="Helvetica"/>
          <w:sz w:val="24"/>
          <w:szCs w:val="24"/>
        </w:rPr>
        <w:t>la</w:t>
      </w:r>
      <w:r w:rsidRPr="00D7270B">
        <w:rPr>
          <w:rFonts w:ascii="ITC Avant Garde" w:hAnsi="ITC Avant Garde" w:cs="Helvetica"/>
          <w:sz w:val="24"/>
          <w:szCs w:val="24"/>
        </w:rPr>
        <w:t xml:space="preserve"> adquisición de los obligaciones </w:t>
      </w:r>
      <w:r>
        <w:rPr>
          <w:rFonts w:ascii="ITC Avant Garde" w:hAnsi="ITC Avant Garde" w:cs="Helvetica"/>
          <w:sz w:val="24"/>
          <w:szCs w:val="24"/>
        </w:rPr>
        <w:t>amparada</w:t>
      </w:r>
      <w:r w:rsidRPr="00D7270B">
        <w:rPr>
          <w:rFonts w:ascii="ITC Avant Garde" w:hAnsi="ITC Avant Garde" w:cs="Helvetica"/>
          <w:sz w:val="24"/>
          <w:szCs w:val="24"/>
        </w:rPr>
        <w:t>s</w:t>
      </w:r>
      <w:r>
        <w:rPr>
          <w:rFonts w:ascii="ITC Avant Garde" w:hAnsi="ITC Avant Garde" w:cs="Helvetica"/>
          <w:sz w:val="24"/>
          <w:szCs w:val="24"/>
        </w:rPr>
        <w:t xml:space="preserve"> por el Acta</w:t>
      </w:r>
      <w:r w:rsidRPr="00D7270B">
        <w:rPr>
          <w:rFonts w:ascii="ITC Avant Garde" w:hAnsi="ITC Avant Garde" w:cs="Helvetica"/>
          <w:sz w:val="24"/>
          <w:szCs w:val="24"/>
        </w:rPr>
        <w:t xml:space="preserve"> de Emisión, es decir, 7</w:t>
      </w:r>
      <w:r w:rsidR="0058762B">
        <w:rPr>
          <w:rFonts w:ascii="ITC Avant Garde" w:hAnsi="ITC Avant Garde" w:cs="Helvetica"/>
          <w:sz w:val="24"/>
          <w:szCs w:val="24"/>
        </w:rPr>
        <w:t>’</w:t>
      </w:r>
      <w:r w:rsidRPr="00D7270B">
        <w:rPr>
          <w:rFonts w:ascii="ITC Avant Garde" w:hAnsi="ITC Avant Garde" w:cs="Helvetica"/>
          <w:sz w:val="24"/>
          <w:szCs w:val="24"/>
        </w:rPr>
        <w:t>000,000 (siete millones) de obligaciones</w:t>
      </w:r>
      <w:r>
        <w:rPr>
          <w:rFonts w:ascii="ITC Avant Garde" w:hAnsi="ITC Avant Garde" w:cs="Helvetica"/>
          <w:sz w:val="24"/>
          <w:szCs w:val="24"/>
        </w:rPr>
        <w:t xml:space="preserve"> nominativas, convertibles en acciones de Tenedora</w:t>
      </w:r>
      <w:r w:rsidRPr="00D7270B">
        <w:rPr>
          <w:rFonts w:ascii="ITC Avant Garde" w:hAnsi="ITC Avant Garde" w:cs="Helvetica"/>
          <w:sz w:val="24"/>
          <w:szCs w:val="24"/>
        </w:rPr>
        <w:t xml:space="preserve"> A</w:t>
      </w:r>
      <w:r>
        <w:rPr>
          <w:rFonts w:ascii="ITC Avant Garde" w:hAnsi="ITC Avant Garde" w:cs="Helvetica"/>
          <w:sz w:val="24"/>
          <w:szCs w:val="24"/>
        </w:rPr>
        <w:t xml:space="preserve">res, con valor nominal de </w:t>
      </w:r>
      <w:r w:rsidR="00E639C7" w:rsidRPr="00CE5237">
        <w:rPr>
          <w:rFonts w:ascii="ITC Avant Garde" w:hAnsi="ITC Avant Garde" w:cs="Helvetica"/>
          <w:b/>
          <w:color w:val="0000FF"/>
        </w:rPr>
        <w:t>“CONFIDENCIAL POR LEY”</w:t>
      </w:r>
      <w:r w:rsidR="00E639C7">
        <w:rPr>
          <w:rFonts w:ascii="ITC Avant Garde" w:hAnsi="ITC Avant Garde" w:cs="Helvetica"/>
          <w:b/>
          <w:color w:val="0000FF"/>
        </w:rPr>
        <w:t xml:space="preserve"> </w:t>
      </w:r>
      <w:r w:rsidRPr="00D7270B">
        <w:rPr>
          <w:rFonts w:ascii="ITC Avant Garde" w:hAnsi="ITC Avant Garde" w:cs="Helvetica"/>
          <w:sz w:val="24"/>
          <w:szCs w:val="24"/>
        </w:rPr>
        <w:t>D</w:t>
      </w:r>
      <w:r>
        <w:rPr>
          <w:rFonts w:ascii="ITC Avant Garde" w:hAnsi="ITC Avant Garde" w:cs="Helvetica"/>
          <w:sz w:val="24"/>
          <w:szCs w:val="24"/>
        </w:rPr>
        <w:t xml:space="preserve">icho pago quedó documentado con la emisión a favor de Arretis del </w:t>
      </w:r>
      <w:r w:rsidR="0058762B">
        <w:rPr>
          <w:rFonts w:ascii="ITC Avant Garde" w:hAnsi="ITC Avant Garde" w:cs="Helvetica"/>
          <w:sz w:val="24"/>
          <w:szCs w:val="24"/>
        </w:rPr>
        <w:t>“</w:t>
      </w:r>
      <w:r w:rsidRPr="00E741ED">
        <w:rPr>
          <w:rFonts w:ascii="ITC Avant Garde" w:hAnsi="ITC Avant Garde" w:cs="Helvetica"/>
          <w:i/>
          <w:szCs w:val="24"/>
        </w:rPr>
        <w:t>Título Nominativo No. 1</w:t>
      </w:r>
      <w:r w:rsidR="0058762B">
        <w:rPr>
          <w:rFonts w:ascii="ITC Avant Garde" w:hAnsi="ITC Avant Garde" w:cs="Helvetica"/>
          <w:sz w:val="24"/>
          <w:szCs w:val="24"/>
        </w:rPr>
        <w:t>”</w:t>
      </w:r>
      <w:r>
        <w:rPr>
          <w:rFonts w:ascii="ITC Avant Garde" w:hAnsi="ITC Avant Garde" w:cs="Helvetica"/>
          <w:sz w:val="24"/>
          <w:szCs w:val="24"/>
        </w:rPr>
        <w:t>.</w:t>
      </w:r>
    </w:p>
    <w:p w:rsidR="00B95D50" w:rsidRDefault="00B95D50">
      <w:pPr>
        <w:spacing w:after="120" w:line="240" w:lineRule="auto"/>
        <w:ind w:left="283"/>
        <w:jc w:val="both"/>
        <w:rPr>
          <w:rFonts w:ascii="ITC Avant Garde" w:hAnsi="ITC Avant Garde" w:cs="Helvetica"/>
          <w:sz w:val="24"/>
          <w:szCs w:val="24"/>
        </w:rPr>
      </w:pPr>
      <w:r>
        <w:rPr>
          <w:rFonts w:ascii="ITC Avant Garde" w:hAnsi="ITC Avant Garde" w:cs="Helvetica"/>
          <w:sz w:val="24"/>
          <w:szCs w:val="24"/>
        </w:rPr>
        <w:t xml:space="preserve">(ii) La entrega de </w:t>
      </w:r>
      <w:r w:rsidR="00E639C7" w:rsidRPr="00CE5237">
        <w:rPr>
          <w:rFonts w:ascii="ITC Avant Garde" w:hAnsi="ITC Avant Garde" w:cs="Helvetica"/>
          <w:b/>
          <w:color w:val="0000FF"/>
        </w:rPr>
        <w:t>“CONFIDENCIAL POR LEY”</w:t>
      </w:r>
      <w:r w:rsidR="00E639C7">
        <w:rPr>
          <w:rFonts w:ascii="ITC Avant Garde" w:hAnsi="ITC Avant Garde" w:cs="Helvetica"/>
          <w:b/>
          <w:color w:val="0000FF"/>
        </w:rPr>
        <w:t xml:space="preserve"> </w:t>
      </w:r>
      <w:r>
        <w:rPr>
          <w:rFonts w:ascii="ITC Avant Garde" w:hAnsi="ITC Avant Garde" w:cs="Helvetica"/>
          <w:sz w:val="24"/>
          <w:szCs w:val="24"/>
        </w:rPr>
        <w:t>en términos del Contrato de Crédito. Por l</w:t>
      </w:r>
      <w:r w:rsidR="00F43801">
        <w:rPr>
          <w:rFonts w:ascii="ITC Avant Garde" w:hAnsi="ITC Avant Garde" w:cs="Helvetica"/>
          <w:sz w:val="24"/>
          <w:szCs w:val="24"/>
        </w:rPr>
        <w:t>a</w:t>
      </w:r>
      <w:r>
        <w:rPr>
          <w:rFonts w:ascii="ITC Avant Garde" w:hAnsi="ITC Avant Garde" w:cs="Helvetica"/>
          <w:sz w:val="24"/>
          <w:szCs w:val="24"/>
        </w:rPr>
        <w:t xml:space="preserve"> entrega de dichos recursos, Tenedora</w:t>
      </w:r>
      <w:r w:rsidRPr="00A2781B">
        <w:rPr>
          <w:rFonts w:ascii="ITC Avant Garde" w:hAnsi="ITC Avant Garde" w:cs="Helvetica"/>
          <w:sz w:val="24"/>
          <w:szCs w:val="24"/>
        </w:rPr>
        <w:t xml:space="preserve"> Ares su</w:t>
      </w:r>
      <w:r>
        <w:rPr>
          <w:rFonts w:ascii="ITC Avant Garde" w:hAnsi="ITC Avant Garde" w:cs="Helvetica"/>
          <w:sz w:val="24"/>
          <w:szCs w:val="24"/>
        </w:rPr>
        <w:t xml:space="preserve">scribió </w:t>
      </w:r>
      <w:r w:rsidR="004026C9">
        <w:rPr>
          <w:rFonts w:ascii="ITC Avant Garde" w:hAnsi="ITC Avant Garde" w:cs="Helvetica"/>
          <w:sz w:val="24"/>
          <w:szCs w:val="24"/>
        </w:rPr>
        <w:t xml:space="preserve">a </w:t>
      </w:r>
      <w:r>
        <w:rPr>
          <w:rFonts w:ascii="ITC Avant Garde" w:hAnsi="ITC Avant Garde" w:cs="Helvetica"/>
          <w:sz w:val="24"/>
          <w:szCs w:val="24"/>
        </w:rPr>
        <w:t>favor de Arretis el Pagaré Ares.</w:t>
      </w:r>
      <w:r>
        <w:rPr>
          <w:rStyle w:val="Refdenotaalpie"/>
          <w:rFonts w:ascii="ITC Avant Garde" w:hAnsi="ITC Avant Garde" w:cs="Helvetica"/>
          <w:sz w:val="24"/>
          <w:szCs w:val="24"/>
        </w:rPr>
        <w:footnoteReference w:id="52"/>
      </w:r>
    </w:p>
    <w:p w:rsidR="00D84A32" w:rsidRDefault="00E60F2D">
      <w:pPr>
        <w:spacing w:after="120" w:line="240" w:lineRule="auto"/>
        <w:jc w:val="both"/>
        <w:rPr>
          <w:rFonts w:ascii="ITC Avant Garde" w:hAnsi="ITC Avant Garde" w:cs="Helvetica"/>
          <w:sz w:val="24"/>
          <w:szCs w:val="24"/>
        </w:rPr>
      </w:pPr>
      <w:r>
        <w:rPr>
          <w:rFonts w:ascii="ITC Avant Garde" w:hAnsi="ITC Avant Garde" w:cs="Helvetica"/>
          <w:sz w:val="24"/>
          <w:szCs w:val="24"/>
        </w:rPr>
        <w:t>Al respecto</w:t>
      </w:r>
      <w:r w:rsidR="0058762B">
        <w:rPr>
          <w:rFonts w:ascii="ITC Avant Garde" w:hAnsi="ITC Avant Garde" w:cs="Helvetica"/>
          <w:sz w:val="24"/>
          <w:szCs w:val="24"/>
        </w:rPr>
        <w:t>, este Pleno</w:t>
      </w:r>
      <w:r w:rsidR="00B95D50">
        <w:rPr>
          <w:rFonts w:ascii="ITC Avant Garde" w:hAnsi="ITC Avant Garde" w:cs="Helvetica"/>
          <w:sz w:val="24"/>
          <w:szCs w:val="24"/>
        </w:rPr>
        <w:t xml:space="preserve"> considera que la emisión de las obligaciones nominativas con garantía prendaria, convertibles en acciones </w:t>
      </w:r>
      <w:r w:rsidR="004026C9">
        <w:rPr>
          <w:rFonts w:ascii="ITC Avant Garde" w:hAnsi="ITC Avant Garde" w:cs="Helvetica"/>
          <w:sz w:val="24"/>
          <w:szCs w:val="24"/>
        </w:rPr>
        <w:t>r</w:t>
      </w:r>
      <w:r w:rsidR="00B95D50">
        <w:rPr>
          <w:rFonts w:ascii="ITC Avant Garde" w:hAnsi="ITC Avant Garde" w:cs="Helvetica"/>
          <w:sz w:val="24"/>
          <w:szCs w:val="24"/>
        </w:rPr>
        <w:t xml:space="preserve">epresentativas del capital social de Tenedora Ares, tuvieron como propósito el otorgamiento de un financiamiento para </w:t>
      </w:r>
      <w:r w:rsidR="00B95D50">
        <w:rPr>
          <w:rFonts w:ascii="ITC Avant Garde" w:hAnsi="ITC Avant Garde" w:cs="Helvetica"/>
          <w:sz w:val="24"/>
          <w:szCs w:val="24"/>
        </w:rPr>
        <w:lastRenderedPageBreak/>
        <w:t xml:space="preserve">que dicha empresa realizara inversiones, incluyendo la adquisición de acciones </w:t>
      </w:r>
      <w:r w:rsidR="004026C9">
        <w:rPr>
          <w:rFonts w:ascii="ITC Avant Garde" w:hAnsi="ITC Avant Garde" w:cs="Helvetica"/>
          <w:sz w:val="24"/>
          <w:szCs w:val="24"/>
        </w:rPr>
        <w:t xml:space="preserve">en </w:t>
      </w:r>
      <w:r w:rsidR="00B95D50">
        <w:rPr>
          <w:rFonts w:ascii="ITC Avant Garde" w:hAnsi="ITC Avant Garde" w:cs="Helvetica"/>
          <w:sz w:val="24"/>
          <w:szCs w:val="24"/>
        </w:rPr>
        <w:t xml:space="preserve">otras sociedades. </w:t>
      </w:r>
    </w:p>
    <w:p w:rsidR="0005663A" w:rsidRDefault="00B95D50">
      <w:pPr>
        <w:spacing w:after="120" w:line="240" w:lineRule="auto"/>
        <w:jc w:val="both"/>
        <w:rPr>
          <w:rFonts w:ascii="ITC Avant Garde" w:hAnsi="ITC Avant Garde" w:cs="Helvetica"/>
          <w:sz w:val="24"/>
          <w:szCs w:val="24"/>
        </w:rPr>
      </w:pPr>
      <w:r>
        <w:rPr>
          <w:rFonts w:ascii="ITC Avant Garde" w:hAnsi="ITC Avant Garde" w:cs="Helvetica"/>
          <w:sz w:val="24"/>
          <w:szCs w:val="24"/>
        </w:rPr>
        <w:t xml:space="preserve">Por su parte, el Contrato de Crédito tuvo como objeto </w:t>
      </w:r>
      <w:r w:rsidR="00E639C7" w:rsidRPr="00CE5237">
        <w:rPr>
          <w:rFonts w:ascii="ITC Avant Garde" w:hAnsi="ITC Avant Garde" w:cs="Helvetica"/>
          <w:b/>
          <w:color w:val="0000FF"/>
        </w:rPr>
        <w:t>“CONFIDENCIAL POR LEY”</w:t>
      </w:r>
    </w:p>
    <w:p w:rsidR="00B95D50" w:rsidRDefault="00D84A32">
      <w:pPr>
        <w:spacing w:after="120" w:line="240" w:lineRule="auto"/>
        <w:jc w:val="both"/>
        <w:rPr>
          <w:rFonts w:ascii="ITC Avant Garde" w:hAnsi="ITC Avant Garde" w:cs="Helvetica"/>
          <w:sz w:val="24"/>
          <w:szCs w:val="24"/>
        </w:rPr>
      </w:pPr>
      <w:r>
        <w:rPr>
          <w:rFonts w:ascii="ITC Avant Garde" w:hAnsi="ITC Avant Garde" w:cs="Helvetica"/>
          <w:sz w:val="24"/>
          <w:szCs w:val="24"/>
        </w:rPr>
        <w:t xml:space="preserve">Este Pleno determina que </w:t>
      </w:r>
      <w:r w:rsidR="00C21D68">
        <w:rPr>
          <w:rFonts w:ascii="ITC Avant Garde" w:hAnsi="ITC Avant Garde" w:cs="Helvetica"/>
          <w:sz w:val="24"/>
          <w:szCs w:val="24"/>
        </w:rPr>
        <w:t xml:space="preserve">la </w:t>
      </w:r>
      <w:r w:rsidR="00B95D50">
        <w:rPr>
          <w:rFonts w:ascii="ITC Avant Garde" w:hAnsi="ITC Avant Garde" w:cs="Helvetica"/>
          <w:sz w:val="24"/>
          <w:szCs w:val="24"/>
        </w:rPr>
        <w:t xml:space="preserve">entrega de </w:t>
      </w:r>
      <w:r w:rsidR="00E639C7" w:rsidRPr="00CE5237">
        <w:rPr>
          <w:rFonts w:ascii="ITC Avant Garde" w:hAnsi="ITC Avant Garde" w:cs="Helvetica"/>
          <w:b/>
          <w:color w:val="0000FF"/>
        </w:rPr>
        <w:t>“CONFIDENCIAL POR LEY”</w:t>
      </w:r>
      <w:r w:rsidR="00CA63BA">
        <w:rPr>
          <w:rFonts w:ascii="ITC Avant Garde" w:hAnsi="ITC Avant Garde" w:cs="Helvetica"/>
          <w:b/>
          <w:color w:val="0000FF"/>
        </w:rPr>
        <w:t xml:space="preserve"> </w:t>
      </w:r>
      <w:r w:rsidR="00C21D68">
        <w:rPr>
          <w:rFonts w:ascii="ITC Avant Garde" w:hAnsi="ITC Avant Garde" w:cs="Helvetica"/>
          <w:sz w:val="24"/>
          <w:szCs w:val="24"/>
        </w:rPr>
        <w:t xml:space="preserve">por parte de Arretis </w:t>
      </w:r>
      <w:r w:rsidR="00B95D50">
        <w:rPr>
          <w:rFonts w:ascii="ITC Avant Garde" w:hAnsi="ITC Avant Garde" w:cs="Helvetica"/>
          <w:sz w:val="24"/>
          <w:szCs w:val="24"/>
        </w:rPr>
        <w:t>a Tenedora Ares</w:t>
      </w:r>
      <w:r w:rsidR="00C21D68">
        <w:rPr>
          <w:rFonts w:ascii="ITC Avant Garde" w:hAnsi="ITC Avant Garde" w:cs="Helvetica"/>
          <w:sz w:val="24"/>
          <w:szCs w:val="24"/>
        </w:rPr>
        <w:t xml:space="preserve"> </w:t>
      </w:r>
      <w:r w:rsidR="00C21D68">
        <w:rPr>
          <w:rFonts w:ascii="ITC Avant Garde" w:hAnsi="ITC Avant Garde" w:cs="Helvetica"/>
          <w:i/>
          <w:sz w:val="24"/>
          <w:szCs w:val="24"/>
        </w:rPr>
        <w:t xml:space="preserve">per se </w:t>
      </w:r>
      <w:r w:rsidR="00C21D68">
        <w:rPr>
          <w:rFonts w:ascii="ITC Avant Garde" w:hAnsi="ITC Avant Garde" w:cs="Helvetica"/>
          <w:sz w:val="24"/>
          <w:szCs w:val="24"/>
        </w:rPr>
        <w:t xml:space="preserve">no acredita la existencia de control de Arretis sobre Tenedora Ares y Cablecom. El Acta de Emisión y el Contrato de Crédito, por sí mismos, no constituyen prueba de haber </w:t>
      </w:r>
      <w:r w:rsidR="00160A42">
        <w:rPr>
          <w:rFonts w:ascii="ITC Avant Garde" w:hAnsi="ITC Avant Garde" w:cs="Helvetica"/>
          <w:sz w:val="24"/>
          <w:szCs w:val="24"/>
        </w:rPr>
        <w:t>dota</w:t>
      </w:r>
      <w:r w:rsidR="00C21D68">
        <w:rPr>
          <w:rFonts w:ascii="ITC Avant Garde" w:hAnsi="ITC Avant Garde" w:cs="Helvetica"/>
          <w:sz w:val="24"/>
          <w:szCs w:val="24"/>
        </w:rPr>
        <w:t xml:space="preserve">do a GTV a través de Arretis </w:t>
      </w:r>
      <w:r w:rsidR="00160A42">
        <w:rPr>
          <w:rFonts w:ascii="ITC Avant Garde" w:hAnsi="ITC Avant Garde" w:cs="Helvetica"/>
          <w:sz w:val="24"/>
          <w:szCs w:val="24"/>
        </w:rPr>
        <w:t xml:space="preserve">de un instrumento </w:t>
      </w:r>
      <w:r w:rsidR="005E3121">
        <w:rPr>
          <w:rFonts w:ascii="ITC Avant Garde" w:hAnsi="ITC Avant Garde" w:cs="Helvetica"/>
          <w:sz w:val="24"/>
          <w:szCs w:val="24"/>
        </w:rPr>
        <w:t>o medio</w:t>
      </w:r>
      <w:r w:rsidR="00160A42">
        <w:rPr>
          <w:rFonts w:ascii="ITC Avant Garde" w:hAnsi="ITC Avant Garde" w:cs="Helvetica"/>
          <w:sz w:val="24"/>
          <w:szCs w:val="24"/>
        </w:rPr>
        <w:t xml:space="preserve"> para </w:t>
      </w:r>
      <w:r w:rsidR="00C21D68">
        <w:rPr>
          <w:rFonts w:ascii="ITC Avant Garde" w:hAnsi="ITC Avant Garde" w:cs="Helvetica"/>
          <w:sz w:val="24"/>
          <w:szCs w:val="24"/>
        </w:rPr>
        <w:t>controlar a</w:t>
      </w:r>
      <w:r w:rsidR="00160A42">
        <w:rPr>
          <w:rFonts w:ascii="ITC Avant Garde" w:hAnsi="ITC Avant Garde" w:cs="Helvetica"/>
          <w:sz w:val="24"/>
          <w:szCs w:val="24"/>
        </w:rPr>
        <w:t xml:space="preserve"> Cablecom</w:t>
      </w:r>
      <w:r w:rsidR="00C21D68">
        <w:rPr>
          <w:rFonts w:ascii="ITC Avant Garde" w:hAnsi="ITC Avant Garde" w:cs="Helvetica"/>
          <w:sz w:val="24"/>
          <w:szCs w:val="24"/>
        </w:rPr>
        <w:t xml:space="preserve"> y sus accionistas. Únicamente se acredita </w:t>
      </w:r>
      <w:r w:rsidR="009E5A15">
        <w:rPr>
          <w:rFonts w:ascii="ITC Avant Garde" w:hAnsi="ITC Avant Garde" w:cs="Helvetica"/>
          <w:sz w:val="24"/>
          <w:szCs w:val="24"/>
        </w:rPr>
        <w:t xml:space="preserve"> la prohibición</w:t>
      </w:r>
      <w:r w:rsidR="00225975">
        <w:rPr>
          <w:rFonts w:ascii="ITC Avant Garde" w:hAnsi="ITC Avant Garde" w:cs="Helvetica"/>
          <w:sz w:val="24"/>
          <w:szCs w:val="24"/>
        </w:rPr>
        <w:t xml:space="preserve"> de</w:t>
      </w:r>
      <w:r w:rsidR="00C21D68">
        <w:rPr>
          <w:rFonts w:ascii="ITC Avant Garde" w:hAnsi="ITC Avant Garde" w:cs="Helvetica"/>
          <w:sz w:val="24"/>
          <w:szCs w:val="24"/>
        </w:rPr>
        <w:t xml:space="preserve"> </w:t>
      </w:r>
      <w:r w:rsidR="00E639C7" w:rsidRPr="00CE5237">
        <w:rPr>
          <w:rFonts w:ascii="ITC Avant Garde" w:hAnsi="ITC Avant Garde" w:cs="Helvetica"/>
          <w:b/>
          <w:color w:val="0000FF"/>
        </w:rPr>
        <w:t>“CONFIDENCIAL POR LEY”</w:t>
      </w:r>
      <w:r w:rsidR="00E639C7">
        <w:rPr>
          <w:rFonts w:ascii="ITC Avant Garde" w:hAnsi="ITC Avant Garde" w:cs="Helvetica"/>
          <w:b/>
          <w:color w:val="0000FF"/>
        </w:rPr>
        <w:t xml:space="preserve"> </w:t>
      </w:r>
      <w:r w:rsidR="00C21D68">
        <w:rPr>
          <w:rFonts w:ascii="ITC Avant Garde" w:hAnsi="ITC Avant Garde" w:cs="Helvetica"/>
          <w:sz w:val="24"/>
          <w:szCs w:val="24"/>
        </w:rPr>
        <w:t>lo que es común en este tipo de instrumentos</w:t>
      </w:r>
      <w:r w:rsidR="00160A42">
        <w:rPr>
          <w:rFonts w:ascii="ITC Avant Garde" w:hAnsi="ITC Avant Garde" w:cs="Helvetica"/>
          <w:sz w:val="24"/>
          <w:szCs w:val="24"/>
        </w:rPr>
        <w:t xml:space="preserve">, </w:t>
      </w:r>
      <w:r w:rsidR="00C21D68">
        <w:rPr>
          <w:rFonts w:ascii="ITC Avant Garde" w:hAnsi="ITC Avant Garde" w:cs="Helvetica"/>
          <w:sz w:val="24"/>
          <w:szCs w:val="24"/>
        </w:rPr>
        <w:t>pero no se acredita que ello trascendiera a las decisiones de Cablecom y sus accionistas sobre sus actividades económicas</w:t>
      </w:r>
      <w:r w:rsidR="00160A42">
        <w:rPr>
          <w:rFonts w:ascii="ITC Avant Garde" w:hAnsi="ITC Avant Garde" w:cs="Helvetica"/>
          <w:sz w:val="24"/>
          <w:szCs w:val="24"/>
        </w:rPr>
        <w:t>.</w:t>
      </w:r>
      <w:r w:rsidR="00C21D68">
        <w:rPr>
          <w:rFonts w:ascii="ITC Avant Garde" w:hAnsi="ITC Avant Garde" w:cs="Helvetica"/>
          <w:sz w:val="24"/>
          <w:szCs w:val="24"/>
        </w:rPr>
        <w:t xml:space="preserve"> </w:t>
      </w:r>
      <w:r w:rsidR="003C51DC">
        <w:rPr>
          <w:rFonts w:ascii="ITC Avant Garde" w:hAnsi="ITC Avant Garde" w:cs="Helvetica"/>
          <w:sz w:val="24"/>
          <w:szCs w:val="24"/>
        </w:rPr>
        <w:t xml:space="preserve">En cualquier caso, la mera pretensión de adquirir a un competidor tampoco puede reputarse </w:t>
      </w:r>
      <w:r w:rsidR="00C21D68">
        <w:rPr>
          <w:rFonts w:ascii="ITC Avant Garde" w:hAnsi="ITC Avant Garde" w:cs="Helvetica"/>
          <w:sz w:val="24"/>
          <w:szCs w:val="24"/>
        </w:rPr>
        <w:t xml:space="preserve">como una concentración </w:t>
      </w:r>
      <w:r w:rsidR="003C51DC">
        <w:rPr>
          <w:rFonts w:ascii="ITC Avant Garde" w:hAnsi="ITC Avant Garde" w:cs="Helvetica"/>
          <w:sz w:val="24"/>
          <w:szCs w:val="24"/>
        </w:rPr>
        <w:t>bajo la LFCE</w:t>
      </w:r>
      <w:r w:rsidR="00C21D68">
        <w:rPr>
          <w:rFonts w:ascii="ITC Avant Garde" w:hAnsi="ITC Avant Garde" w:cs="Helvetica"/>
          <w:sz w:val="24"/>
          <w:szCs w:val="24"/>
        </w:rPr>
        <w:t xml:space="preserve">, en tanto no otorgue derechos que den la capacidad de </w:t>
      </w:r>
      <w:r w:rsidR="00C21D68">
        <w:rPr>
          <w:rFonts w:ascii="ITC Avant Garde" w:hAnsi="ITC Avant Garde" w:cs="Helvetica"/>
          <w:i/>
          <w:sz w:val="24"/>
          <w:szCs w:val="24"/>
        </w:rPr>
        <w:t>iure</w:t>
      </w:r>
      <w:r w:rsidR="00C21D68">
        <w:rPr>
          <w:rFonts w:ascii="ITC Avant Garde" w:hAnsi="ITC Avant Garde" w:cs="Helvetica"/>
          <w:sz w:val="24"/>
          <w:szCs w:val="24"/>
        </w:rPr>
        <w:t xml:space="preserve"> o </w:t>
      </w:r>
      <w:r w:rsidR="00C21D68">
        <w:rPr>
          <w:rFonts w:ascii="ITC Avant Garde" w:hAnsi="ITC Avant Garde" w:cs="Helvetica"/>
          <w:i/>
          <w:sz w:val="24"/>
          <w:szCs w:val="24"/>
        </w:rPr>
        <w:t>de facto</w:t>
      </w:r>
      <w:r w:rsidR="00C21D68">
        <w:rPr>
          <w:rFonts w:ascii="ITC Avant Garde" w:hAnsi="ITC Avant Garde" w:cs="Helvetica"/>
          <w:sz w:val="24"/>
          <w:szCs w:val="24"/>
        </w:rPr>
        <w:t xml:space="preserve"> para controlar a otro agente económico</w:t>
      </w:r>
      <w:r w:rsidR="003C51DC">
        <w:rPr>
          <w:rFonts w:ascii="ITC Avant Garde" w:hAnsi="ITC Avant Garde" w:cs="Helvetica"/>
          <w:sz w:val="24"/>
          <w:szCs w:val="24"/>
        </w:rPr>
        <w:t>.</w:t>
      </w:r>
    </w:p>
    <w:p w:rsidR="00B95D50" w:rsidRDefault="00B95D50">
      <w:pPr>
        <w:spacing w:after="120" w:line="240" w:lineRule="auto"/>
        <w:jc w:val="both"/>
        <w:rPr>
          <w:rFonts w:ascii="ITC Avant Garde" w:hAnsi="ITC Avant Garde" w:cs="Helvetica"/>
          <w:sz w:val="24"/>
          <w:szCs w:val="24"/>
        </w:rPr>
      </w:pPr>
      <w:r w:rsidRPr="0005663A">
        <w:rPr>
          <w:rFonts w:ascii="ITC Avant Garde" w:hAnsi="ITC Avant Garde" w:cs="Helvetica"/>
          <w:sz w:val="24"/>
          <w:szCs w:val="24"/>
        </w:rPr>
        <w:t>En ese sentido, del análisis del OPR no se advierte que el Cúmulo de Operaciones en</w:t>
      </w:r>
      <w:r>
        <w:rPr>
          <w:rFonts w:ascii="ITC Avant Garde" w:hAnsi="ITC Avant Garde" w:cs="Helvetica"/>
          <w:sz w:val="24"/>
          <w:szCs w:val="24"/>
        </w:rPr>
        <w:t xml:space="preserve"> su conjunto</w:t>
      </w:r>
      <w:r w:rsidR="001433F1">
        <w:rPr>
          <w:rFonts w:ascii="ITC Avant Garde" w:hAnsi="ITC Avant Garde" w:cs="Helvetica"/>
          <w:sz w:val="24"/>
          <w:szCs w:val="24"/>
        </w:rPr>
        <w:t>,</w:t>
      </w:r>
      <w:r>
        <w:rPr>
          <w:rFonts w:ascii="ITC Avant Garde" w:hAnsi="ITC Avant Garde" w:cs="Helvetica"/>
          <w:sz w:val="24"/>
          <w:szCs w:val="24"/>
        </w:rPr>
        <w:t xml:space="preserve"> o el Acta de Emisión con el Contrato de Crédito aisladamente, tuvieran como objeto o efecto inmediato al treinta y uno de julio de dos mil trece: </w:t>
      </w:r>
      <w:r w:rsidRPr="00F41917">
        <w:rPr>
          <w:rFonts w:ascii="ITC Avant Garde" w:hAnsi="ITC Avant Garde" w:cs="Helvetica"/>
          <w:b/>
          <w:sz w:val="24"/>
          <w:szCs w:val="24"/>
        </w:rPr>
        <w:t>(i)</w:t>
      </w:r>
      <w:r>
        <w:rPr>
          <w:rFonts w:ascii="ITC Avant Garde" w:hAnsi="ITC Avant Garde" w:cs="Helvetica"/>
          <w:sz w:val="24"/>
          <w:szCs w:val="24"/>
        </w:rPr>
        <w:t xml:space="preserve"> que Arretis (en calidad de accionista) adquiriera la mayoría de las acciones de Tenedora Ares; </w:t>
      </w:r>
      <w:r w:rsidRPr="00F41917">
        <w:rPr>
          <w:rFonts w:ascii="ITC Avant Garde" w:hAnsi="ITC Avant Garde" w:cs="Helvetica"/>
          <w:b/>
          <w:sz w:val="24"/>
          <w:szCs w:val="24"/>
        </w:rPr>
        <w:t>(ii)</w:t>
      </w:r>
      <w:r>
        <w:rPr>
          <w:rFonts w:ascii="ITC Avant Garde" w:hAnsi="ITC Avant Garde" w:cs="Helvetica"/>
          <w:sz w:val="24"/>
          <w:szCs w:val="24"/>
        </w:rPr>
        <w:t xml:space="preserve"> que Arretis tuviera la capacidad o derecho a designar la mayoría de los miembros del consejo de administración de Tenedora Ares; </w:t>
      </w:r>
      <w:r w:rsidRPr="00F41917">
        <w:rPr>
          <w:rFonts w:ascii="ITC Avant Garde" w:hAnsi="ITC Avant Garde" w:cs="Helvetica"/>
          <w:b/>
          <w:sz w:val="24"/>
          <w:szCs w:val="24"/>
        </w:rPr>
        <w:t>(iii)</w:t>
      </w:r>
      <w:r>
        <w:rPr>
          <w:rFonts w:ascii="ITC Avant Garde" w:hAnsi="ITC Avant Garde" w:cs="Helvetica"/>
          <w:sz w:val="24"/>
          <w:szCs w:val="24"/>
        </w:rPr>
        <w:t xml:space="preserve"> que Arretis tuviera el derecho a designar al director, gerente o fac</w:t>
      </w:r>
      <w:r w:rsidR="003C51DC">
        <w:rPr>
          <w:rFonts w:ascii="ITC Avant Garde" w:hAnsi="ITC Avant Garde" w:cs="Helvetica"/>
          <w:sz w:val="24"/>
          <w:szCs w:val="24"/>
        </w:rPr>
        <w:t xml:space="preserve">tor principal de otras personas; </w:t>
      </w:r>
      <w:r w:rsidR="003C51DC">
        <w:rPr>
          <w:rFonts w:ascii="ITC Avant Garde" w:hAnsi="ITC Avant Garde" w:cs="Helvetica"/>
          <w:b/>
          <w:sz w:val="24"/>
          <w:szCs w:val="24"/>
        </w:rPr>
        <w:t xml:space="preserve">(iv) </w:t>
      </w:r>
      <w:r w:rsidR="003C51DC">
        <w:rPr>
          <w:rFonts w:ascii="ITC Avant Garde" w:hAnsi="ITC Avant Garde" w:cs="Helvetica"/>
          <w:sz w:val="24"/>
          <w:szCs w:val="24"/>
        </w:rPr>
        <w:t xml:space="preserve">que por virtud de tal entrega de efectivo, Arretis tuviese la capacidad </w:t>
      </w:r>
      <w:r w:rsidR="0059374C">
        <w:rPr>
          <w:rFonts w:ascii="ITC Avant Garde" w:hAnsi="ITC Avant Garde" w:cs="Helvetica"/>
          <w:sz w:val="24"/>
          <w:szCs w:val="24"/>
        </w:rPr>
        <w:t xml:space="preserve">de </w:t>
      </w:r>
      <w:r w:rsidR="003C51DC">
        <w:rPr>
          <w:rFonts w:ascii="ITC Avant Garde" w:hAnsi="ITC Avant Garde" w:cs="Helvetica"/>
          <w:sz w:val="24"/>
          <w:szCs w:val="24"/>
        </w:rPr>
        <w:t xml:space="preserve">tomar decisiones relacionadas con la operación o actividad económica de Tenedora Ares o Cablecom. </w:t>
      </w:r>
    </w:p>
    <w:p w:rsidR="00B95D50" w:rsidRDefault="00B95D50">
      <w:pPr>
        <w:spacing w:after="120" w:line="240" w:lineRule="auto"/>
        <w:jc w:val="both"/>
        <w:rPr>
          <w:rFonts w:ascii="ITC Avant Garde" w:hAnsi="ITC Avant Garde" w:cs="Helvetica"/>
          <w:sz w:val="24"/>
          <w:szCs w:val="24"/>
        </w:rPr>
      </w:pPr>
      <w:r>
        <w:rPr>
          <w:rFonts w:ascii="ITC Avant Garde" w:hAnsi="ITC Avant Garde" w:cs="Helvetica"/>
          <w:sz w:val="24"/>
          <w:szCs w:val="24"/>
        </w:rPr>
        <w:t xml:space="preserve">Es importante señalar que para efectos del procedimiento que nos ocupa, Arretis tiene la calidad de un obligacionista en términos de la LGTOC; pero </w:t>
      </w:r>
      <w:r w:rsidRPr="00F41917">
        <w:rPr>
          <w:rFonts w:ascii="ITC Avant Garde" w:hAnsi="ITC Avant Garde" w:cs="Helvetica"/>
          <w:b/>
          <w:sz w:val="24"/>
          <w:szCs w:val="24"/>
        </w:rPr>
        <w:t>no</w:t>
      </w:r>
      <w:r>
        <w:rPr>
          <w:rFonts w:ascii="ITC Avant Garde" w:hAnsi="ITC Avant Garde" w:cs="Helvetica"/>
          <w:sz w:val="24"/>
          <w:szCs w:val="24"/>
        </w:rPr>
        <w:t xml:space="preserve"> de un accionista. Tal como lo indican las Emplazadas,</w:t>
      </w:r>
      <w:r w:rsidR="00DC7989">
        <w:rPr>
          <w:rFonts w:ascii="ITC Avant Garde" w:hAnsi="ITC Avant Garde" w:cs="Helvetica"/>
          <w:sz w:val="24"/>
          <w:szCs w:val="24"/>
        </w:rPr>
        <w:t xml:space="preserve"> generalmente,</w:t>
      </w:r>
      <w:r>
        <w:rPr>
          <w:rFonts w:ascii="ITC Avant Garde" w:hAnsi="ITC Avant Garde" w:cs="Helvetica"/>
          <w:sz w:val="24"/>
          <w:szCs w:val="24"/>
        </w:rPr>
        <w:t xml:space="preserve"> los obligacionistas no tienen ninguna intervención en las asambleas de accionistas de la empresa emisora de las obligaciones y tampoco existen pruebas en el Expediente para determinar la intervención de Arretis en alguna asamblea general de accionistas de Tenedora Ares o Cablecom</w:t>
      </w:r>
      <w:r w:rsidR="00016741">
        <w:rPr>
          <w:rFonts w:ascii="ITC Avant Garde" w:hAnsi="ITC Avant Garde" w:cs="Helvetica"/>
          <w:sz w:val="24"/>
          <w:szCs w:val="24"/>
        </w:rPr>
        <w:t>.</w:t>
      </w:r>
      <w:r>
        <w:rPr>
          <w:rFonts w:ascii="ITC Avant Garde" w:hAnsi="ITC Avant Garde" w:cs="Helvetica"/>
          <w:sz w:val="24"/>
          <w:szCs w:val="24"/>
        </w:rPr>
        <w:t xml:space="preserve"> </w:t>
      </w:r>
      <w:r w:rsidR="00016741">
        <w:rPr>
          <w:rFonts w:ascii="ITC Avant Garde" w:hAnsi="ITC Avant Garde" w:cs="Helvetica"/>
          <w:sz w:val="24"/>
          <w:szCs w:val="24"/>
        </w:rPr>
        <w:t>Por</w:t>
      </w:r>
      <w:r>
        <w:rPr>
          <w:rFonts w:ascii="ITC Avant Garde" w:hAnsi="ITC Avant Garde" w:cs="Helvetica"/>
          <w:sz w:val="24"/>
          <w:szCs w:val="24"/>
        </w:rPr>
        <w:t xml:space="preserve"> lo tanto, </w:t>
      </w:r>
      <w:r w:rsidR="00225975">
        <w:rPr>
          <w:rFonts w:ascii="ITC Avant Garde" w:hAnsi="ITC Avant Garde" w:cs="Helvetica"/>
          <w:sz w:val="24"/>
          <w:szCs w:val="24"/>
        </w:rPr>
        <w:t xml:space="preserve">en este caso </w:t>
      </w:r>
      <w:r>
        <w:rPr>
          <w:rFonts w:ascii="ITC Avant Garde" w:hAnsi="ITC Avant Garde" w:cs="Helvetica"/>
          <w:sz w:val="24"/>
          <w:szCs w:val="24"/>
        </w:rPr>
        <w:t xml:space="preserve">los obligacionistas de ninguna forma ejercen algún tipo de control sobre </w:t>
      </w:r>
      <w:r w:rsidR="001C6193">
        <w:rPr>
          <w:rFonts w:ascii="ITC Avant Garde" w:hAnsi="ITC Avant Garde" w:cs="Helvetica"/>
          <w:sz w:val="24"/>
          <w:szCs w:val="24"/>
        </w:rPr>
        <w:t xml:space="preserve">decisiones estratégicas </w:t>
      </w:r>
      <w:r>
        <w:rPr>
          <w:rFonts w:ascii="ITC Avant Garde" w:hAnsi="ITC Avant Garde" w:cs="Helvetica"/>
          <w:sz w:val="24"/>
          <w:szCs w:val="24"/>
        </w:rPr>
        <w:t xml:space="preserve">de la empresa emisora. Simplemente, los obligacionistas adquirieron títulos que sirven para garantizar el crédito a cargo de la empresa emisora. </w:t>
      </w:r>
    </w:p>
    <w:p w:rsidR="005B62A0" w:rsidRDefault="00B95D50">
      <w:pPr>
        <w:spacing w:after="120" w:line="240" w:lineRule="auto"/>
        <w:jc w:val="both"/>
        <w:rPr>
          <w:rFonts w:ascii="ITC Avant Garde" w:hAnsi="ITC Avant Garde" w:cs="Helvetica"/>
          <w:sz w:val="24"/>
          <w:szCs w:val="24"/>
        </w:rPr>
      </w:pPr>
      <w:r>
        <w:rPr>
          <w:rFonts w:ascii="ITC Avant Garde" w:hAnsi="ITC Avant Garde" w:cs="Helvetica"/>
          <w:sz w:val="24"/>
          <w:szCs w:val="24"/>
        </w:rPr>
        <w:t>La calidad de obligacionista se distingue en todo momento de la calidad de accionista en función al título que detentan, por su parte</w:t>
      </w:r>
      <w:r w:rsidR="001433F1">
        <w:rPr>
          <w:rFonts w:ascii="ITC Avant Garde" w:hAnsi="ITC Avant Garde" w:cs="Helvetica"/>
          <w:sz w:val="24"/>
          <w:szCs w:val="24"/>
        </w:rPr>
        <w:t>,</w:t>
      </w:r>
      <w:r>
        <w:rPr>
          <w:rFonts w:ascii="ITC Avant Garde" w:hAnsi="ITC Avant Garde" w:cs="Helvetica"/>
          <w:sz w:val="24"/>
          <w:szCs w:val="24"/>
        </w:rPr>
        <w:t xml:space="preserve"> el accionista posee acciones emitidas y representativas en un título valor y los obligacionistas únicamente poseen obligaciones emitidas y representadas por títulos de crédito.</w:t>
      </w:r>
      <w:r w:rsidR="00160A42">
        <w:rPr>
          <w:rFonts w:ascii="ITC Avant Garde" w:hAnsi="ITC Avant Garde" w:cs="Helvetica"/>
          <w:sz w:val="24"/>
          <w:szCs w:val="24"/>
        </w:rPr>
        <w:t xml:space="preserve"> Las acciones, por lo general, incorporan derechos corporativos que permitirán influir en la toma de decisiones sobre la operación del negocio y su estrategia competitiva. Las acciones también podrán dar una participación en las utilidades del negocio a su titular. Las </w:t>
      </w:r>
      <w:r w:rsidR="00160A42">
        <w:rPr>
          <w:rFonts w:ascii="ITC Avant Garde" w:hAnsi="ITC Avant Garde" w:cs="Helvetica"/>
          <w:sz w:val="24"/>
          <w:szCs w:val="24"/>
        </w:rPr>
        <w:lastRenderedPageBreak/>
        <w:t>utilidades son variables y dependen exclusivamente</w:t>
      </w:r>
      <w:r w:rsidR="00D22202">
        <w:rPr>
          <w:rFonts w:ascii="ITC Avant Garde" w:hAnsi="ITC Avant Garde" w:cs="Helvetica"/>
          <w:sz w:val="24"/>
          <w:szCs w:val="24"/>
        </w:rPr>
        <w:t xml:space="preserve"> de los resultados del negocio que a su vez dependen de las decisiones sobre la operación y estrategia competitiva. Las obligaciones</w:t>
      </w:r>
      <w:r w:rsidR="001C6193">
        <w:rPr>
          <w:rFonts w:ascii="ITC Avant Garde" w:hAnsi="ITC Avant Garde" w:cs="Helvetica"/>
          <w:sz w:val="24"/>
          <w:szCs w:val="24"/>
        </w:rPr>
        <w:t>, generalmente,</w:t>
      </w:r>
      <w:r w:rsidR="00D22202">
        <w:rPr>
          <w:rFonts w:ascii="ITC Avant Garde" w:hAnsi="ITC Avant Garde" w:cs="Helvetica"/>
          <w:sz w:val="24"/>
          <w:szCs w:val="24"/>
        </w:rPr>
        <w:t xml:space="preserve"> no tienen estas características. No incorporan derechos corporativos como los descritos y no dan derecho a una participación en las utilidades del negocio sino que dan derecho al pago del principal más un interés que son pactados previamente y no dependen del resultado del negocio. </w:t>
      </w:r>
      <w:r w:rsidR="005B62A0">
        <w:rPr>
          <w:rFonts w:ascii="ITC Avant Garde" w:hAnsi="ITC Avant Garde" w:cs="Helvetica"/>
          <w:sz w:val="24"/>
          <w:szCs w:val="24"/>
        </w:rPr>
        <w:t xml:space="preserve"> Es por ello que no habiendo otros elementos </w:t>
      </w:r>
      <w:r w:rsidR="00BB0D32">
        <w:rPr>
          <w:rFonts w:ascii="ITC Avant Garde" w:hAnsi="ITC Avant Garde" w:cs="Helvetica"/>
          <w:sz w:val="24"/>
          <w:szCs w:val="24"/>
        </w:rPr>
        <w:t>de convicción que permitan presumir lo</w:t>
      </w:r>
      <w:r w:rsidR="005B62A0">
        <w:rPr>
          <w:rFonts w:ascii="ITC Avant Garde" w:hAnsi="ITC Avant Garde" w:cs="Helvetica"/>
          <w:sz w:val="24"/>
          <w:szCs w:val="24"/>
        </w:rPr>
        <w:t xml:space="preserve"> contrario, la emisión de acciones en este caso no confirió control al acreedor sobre el obligado.</w:t>
      </w:r>
    </w:p>
    <w:p w:rsidR="00B95D50" w:rsidRDefault="00B95D50">
      <w:pPr>
        <w:spacing w:after="120" w:line="240" w:lineRule="auto"/>
        <w:jc w:val="both"/>
        <w:rPr>
          <w:rFonts w:ascii="ITC Avant Garde" w:hAnsi="ITC Avant Garde" w:cs="Helvetica"/>
          <w:sz w:val="24"/>
          <w:szCs w:val="24"/>
        </w:rPr>
      </w:pPr>
      <w:r>
        <w:rPr>
          <w:rFonts w:ascii="ITC Avant Garde" w:hAnsi="ITC Avant Garde" w:cs="Helvetica"/>
          <w:sz w:val="24"/>
          <w:szCs w:val="24"/>
        </w:rPr>
        <w:t>Por lo anterior, se estima que la</w:t>
      </w:r>
      <w:r w:rsidR="0005663A">
        <w:rPr>
          <w:rFonts w:ascii="ITC Avant Garde" w:hAnsi="ITC Avant Garde" w:cs="Helvetica"/>
          <w:sz w:val="24"/>
          <w:szCs w:val="24"/>
        </w:rPr>
        <w:t xml:space="preserve"> mera entrega de la cantidad de</w:t>
      </w:r>
      <w:r>
        <w:rPr>
          <w:rFonts w:ascii="ITC Avant Garde" w:hAnsi="ITC Avant Garde" w:cs="Helvetica"/>
          <w:sz w:val="24"/>
          <w:szCs w:val="24"/>
        </w:rPr>
        <w:t xml:space="preserve"> </w:t>
      </w:r>
      <w:r w:rsidR="00E639C7" w:rsidRPr="00CE5237">
        <w:rPr>
          <w:rFonts w:ascii="ITC Avant Garde" w:hAnsi="ITC Avant Garde" w:cs="Helvetica"/>
          <w:b/>
          <w:color w:val="0000FF"/>
        </w:rPr>
        <w:t>“CONFIDENCIAL POR LEY”</w:t>
      </w:r>
      <w:r w:rsidR="00E639C7">
        <w:rPr>
          <w:rFonts w:ascii="ITC Avant Garde" w:hAnsi="ITC Avant Garde" w:cs="Helvetica"/>
          <w:b/>
          <w:color w:val="0000FF"/>
        </w:rPr>
        <w:t xml:space="preserve"> </w:t>
      </w:r>
      <w:r>
        <w:rPr>
          <w:rFonts w:ascii="ITC Avant Garde" w:hAnsi="ITC Avant Garde" w:cs="Helvetica"/>
          <w:sz w:val="24"/>
          <w:szCs w:val="24"/>
        </w:rPr>
        <w:t>a Tenedora Ares, no configura el supuesto establecido en los artículos 16 y 20, fracción I, de la LFCE, así como 18, fracción II, del RLFCE.</w:t>
      </w:r>
    </w:p>
    <w:p w:rsidR="00B95D50" w:rsidRPr="00B0049C" w:rsidRDefault="00B95D50">
      <w:pPr>
        <w:spacing w:after="120" w:line="240" w:lineRule="auto"/>
        <w:jc w:val="both"/>
        <w:rPr>
          <w:rFonts w:ascii="ITC Avant Garde" w:hAnsi="ITC Avant Garde" w:cs="Helvetica"/>
          <w:b/>
          <w:sz w:val="24"/>
          <w:szCs w:val="24"/>
        </w:rPr>
      </w:pPr>
      <w:r w:rsidRPr="00B0049C">
        <w:rPr>
          <w:rFonts w:ascii="ITC Avant Garde" w:hAnsi="ITC Avant Garde" w:cs="Helvetica"/>
          <w:b/>
          <w:sz w:val="24"/>
          <w:szCs w:val="24"/>
        </w:rPr>
        <w:t>Con relación a</w:t>
      </w:r>
      <w:r w:rsidR="00016741">
        <w:rPr>
          <w:rFonts w:ascii="ITC Avant Garde" w:hAnsi="ITC Avant Garde" w:cs="Helvetica"/>
          <w:b/>
          <w:sz w:val="24"/>
          <w:szCs w:val="24"/>
        </w:rPr>
        <w:t>l hecho de que</w:t>
      </w:r>
      <w:r w:rsidRPr="00B0049C">
        <w:rPr>
          <w:rFonts w:ascii="ITC Avant Garde" w:hAnsi="ITC Avant Garde" w:cs="Helvetica"/>
          <w:b/>
          <w:sz w:val="24"/>
          <w:szCs w:val="24"/>
        </w:rPr>
        <w:t xml:space="preserve"> GTV adquirió el derecho a </w:t>
      </w:r>
      <w:r w:rsidR="00E639C7" w:rsidRPr="00CE5237">
        <w:rPr>
          <w:rFonts w:ascii="ITC Avant Garde" w:hAnsi="ITC Avant Garde" w:cs="Helvetica"/>
          <w:b/>
          <w:color w:val="0000FF"/>
        </w:rPr>
        <w:t>“CONFIDENCIAL POR LEY”</w:t>
      </w:r>
      <w:r w:rsidR="00E639C7">
        <w:rPr>
          <w:rFonts w:ascii="ITC Avant Garde" w:hAnsi="ITC Avant Garde" w:cs="Helvetica"/>
          <w:b/>
          <w:color w:val="0000FF"/>
        </w:rPr>
        <w:t xml:space="preserve"> </w:t>
      </w:r>
      <w:r w:rsidRPr="00B0049C">
        <w:rPr>
          <w:rFonts w:ascii="ITC Avant Garde" w:hAnsi="ITC Avant Garde" w:cs="Helvetica"/>
          <w:b/>
          <w:sz w:val="24"/>
          <w:szCs w:val="24"/>
        </w:rPr>
        <w:t xml:space="preserve">de la actividad de Cablecom y Tenedora Ares, esta autoridad considera que ello tampoco implicó la adquisición de control </w:t>
      </w:r>
      <w:r w:rsidR="008E1916">
        <w:rPr>
          <w:rFonts w:ascii="ITC Avant Garde" w:hAnsi="ITC Avant Garde" w:cs="Helvetica"/>
          <w:b/>
          <w:sz w:val="24"/>
          <w:szCs w:val="24"/>
        </w:rPr>
        <w:t xml:space="preserve">por </w:t>
      </w:r>
      <w:r w:rsidRPr="00B0049C">
        <w:rPr>
          <w:rFonts w:ascii="ITC Avant Garde" w:hAnsi="ITC Avant Garde" w:cs="Helvetica"/>
          <w:b/>
          <w:sz w:val="24"/>
          <w:szCs w:val="24"/>
        </w:rPr>
        <w:t xml:space="preserve">parte de GTV y Arretis, sobre las acciones de operación de </w:t>
      </w:r>
      <w:r>
        <w:rPr>
          <w:rFonts w:ascii="ITC Avant Garde" w:hAnsi="ITC Avant Garde" w:cs="Helvetica"/>
          <w:b/>
          <w:sz w:val="24"/>
          <w:szCs w:val="24"/>
        </w:rPr>
        <w:t xml:space="preserve">Tenedora Ares y </w:t>
      </w:r>
      <w:r w:rsidRPr="00B0049C">
        <w:rPr>
          <w:rFonts w:ascii="ITC Avant Garde" w:hAnsi="ITC Avant Garde" w:cs="Helvetica"/>
          <w:b/>
          <w:sz w:val="24"/>
          <w:szCs w:val="24"/>
        </w:rPr>
        <w:t>Cablecom para determinar su estrategia competitiva.</w:t>
      </w:r>
    </w:p>
    <w:p w:rsidR="00B95D50" w:rsidRDefault="00B95D50">
      <w:pPr>
        <w:spacing w:after="120" w:line="240" w:lineRule="auto"/>
        <w:jc w:val="both"/>
        <w:rPr>
          <w:rFonts w:ascii="ITC Avant Garde" w:hAnsi="ITC Avant Garde"/>
          <w:sz w:val="24"/>
          <w:szCs w:val="24"/>
        </w:rPr>
      </w:pPr>
      <w:r>
        <w:rPr>
          <w:rFonts w:ascii="ITC Avant Garde" w:hAnsi="ITC Avant Garde" w:cs="Helvetica"/>
          <w:sz w:val="24"/>
          <w:szCs w:val="24"/>
        </w:rPr>
        <w:t xml:space="preserve">Esta autoridad considera que tal como lo señala GTV en su Escrito de Contestación al OPR, </w:t>
      </w:r>
      <w:r w:rsidRPr="009F5210">
        <w:rPr>
          <w:rFonts w:ascii="ITC Avant Garde" w:hAnsi="ITC Avant Garde"/>
          <w:sz w:val="24"/>
          <w:szCs w:val="24"/>
        </w:rPr>
        <w:t xml:space="preserve">en </w:t>
      </w:r>
      <w:r w:rsidR="002A4087">
        <w:rPr>
          <w:rFonts w:ascii="ITC Avant Garde" w:hAnsi="ITC Avant Garde"/>
          <w:sz w:val="24"/>
          <w:szCs w:val="24"/>
        </w:rPr>
        <w:t xml:space="preserve">los actos que forman el Cúmulo de Operaciones analizados en el OPR, </w:t>
      </w:r>
      <w:r w:rsidRPr="009F5210">
        <w:rPr>
          <w:rFonts w:ascii="ITC Avant Garde" w:hAnsi="ITC Avant Garde"/>
          <w:sz w:val="24"/>
          <w:szCs w:val="24"/>
        </w:rPr>
        <w:t xml:space="preserve">es común incluir cláusulas </w:t>
      </w:r>
      <w:r>
        <w:rPr>
          <w:rFonts w:ascii="ITC Avant Garde" w:hAnsi="ITC Avant Garde"/>
          <w:sz w:val="24"/>
          <w:szCs w:val="24"/>
        </w:rPr>
        <w:t xml:space="preserve">que restrinjan </w:t>
      </w:r>
      <w:r w:rsidR="00E639C7" w:rsidRPr="00CE5237">
        <w:rPr>
          <w:rFonts w:ascii="ITC Avant Garde" w:hAnsi="ITC Avant Garde" w:cs="Helvetica"/>
          <w:b/>
          <w:color w:val="0000FF"/>
        </w:rPr>
        <w:t>“CONFIDENCIAL POR LEY”</w:t>
      </w:r>
      <w:r w:rsidR="00E639C7">
        <w:rPr>
          <w:rFonts w:ascii="ITC Avant Garde" w:hAnsi="ITC Avant Garde" w:cs="Helvetica"/>
          <w:b/>
          <w:color w:val="0000FF"/>
        </w:rPr>
        <w:t xml:space="preserve"> </w:t>
      </w:r>
      <w:r w:rsidRPr="009F5210">
        <w:rPr>
          <w:rFonts w:ascii="ITC Avant Garde" w:hAnsi="ITC Avant Garde"/>
          <w:sz w:val="24"/>
          <w:szCs w:val="24"/>
        </w:rPr>
        <w:t xml:space="preserve">por parte de la entidad acreditada y sus subsidiarias. Estas cláusulas </w:t>
      </w:r>
      <w:r w:rsidR="002A4087">
        <w:rPr>
          <w:rFonts w:ascii="ITC Avant Garde" w:hAnsi="ITC Avant Garde"/>
          <w:sz w:val="24"/>
          <w:szCs w:val="24"/>
        </w:rPr>
        <w:t>tienen el propósito de</w:t>
      </w:r>
      <w:r w:rsidRPr="009F5210">
        <w:rPr>
          <w:rFonts w:ascii="ITC Avant Garde" w:hAnsi="ITC Avant Garde"/>
          <w:sz w:val="24"/>
          <w:szCs w:val="24"/>
        </w:rPr>
        <w:t xml:space="preserve"> mitigar los riesgos y conflictos innatos en este tipo de opera</w:t>
      </w:r>
      <w:r>
        <w:rPr>
          <w:rFonts w:ascii="ITC Avant Garde" w:hAnsi="ITC Avant Garde"/>
          <w:sz w:val="24"/>
          <w:szCs w:val="24"/>
        </w:rPr>
        <w:t xml:space="preserve">ciones, tales como </w:t>
      </w:r>
      <w:r w:rsidRPr="009F5210">
        <w:rPr>
          <w:rFonts w:ascii="ITC Avant Garde" w:hAnsi="ITC Avant Garde"/>
          <w:sz w:val="24"/>
          <w:szCs w:val="24"/>
        </w:rPr>
        <w:t>pérdidas, incumplimiento u omis</w:t>
      </w:r>
      <w:r>
        <w:rPr>
          <w:rFonts w:ascii="ITC Avant Garde" w:hAnsi="ITC Avant Garde"/>
          <w:sz w:val="24"/>
          <w:szCs w:val="24"/>
        </w:rPr>
        <w:t>ión al pago del financiamiento, estableciendo ciertas limitantes de hacer o no hace</w:t>
      </w:r>
      <w:r w:rsidR="00936D0C">
        <w:rPr>
          <w:rFonts w:ascii="ITC Avant Garde" w:hAnsi="ITC Avant Garde"/>
          <w:sz w:val="24"/>
          <w:szCs w:val="24"/>
        </w:rPr>
        <w:t>r</w:t>
      </w:r>
      <w:r>
        <w:rPr>
          <w:rFonts w:ascii="ITC Avant Garde" w:hAnsi="ITC Avant Garde"/>
          <w:sz w:val="24"/>
          <w:szCs w:val="24"/>
        </w:rPr>
        <w:t xml:space="preserve"> dentro de los contratos de crédito</w:t>
      </w:r>
      <w:r w:rsidR="003A6CDF">
        <w:rPr>
          <w:rFonts w:ascii="ITC Avant Garde" w:hAnsi="ITC Avant Garde"/>
          <w:sz w:val="24"/>
          <w:szCs w:val="24"/>
        </w:rPr>
        <w:t>, por lo que en este caso no otorgan control</w:t>
      </w:r>
      <w:r>
        <w:rPr>
          <w:rFonts w:ascii="ITC Avant Garde" w:hAnsi="ITC Avant Garde"/>
          <w:sz w:val="24"/>
          <w:szCs w:val="24"/>
        </w:rPr>
        <w:t>.</w:t>
      </w:r>
    </w:p>
    <w:p w:rsidR="002A4087" w:rsidRDefault="002A4087">
      <w:pPr>
        <w:spacing w:after="120" w:line="240" w:lineRule="auto"/>
        <w:jc w:val="both"/>
        <w:rPr>
          <w:rFonts w:ascii="ITC Avant Garde" w:hAnsi="ITC Avant Garde"/>
          <w:sz w:val="24"/>
          <w:szCs w:val="24"/>
        </w:rPr>
      </w:pPr>
      <w:r>
        <w:rPr>
          <w:rFonts w:ascii="ITC Avant Garde" w:hAnsi="ITC Avant Garde"/>
          <w:sz w:val="24"/>
          <w:szCs w:val="24"/>
        </w:rPr>
        <w:t>Para determinar si un acto o contrato constituye un mecanismo para que un agente económico adquiera el control sobre otro, debe acreditarse mediante evidencia directa o indirecta de que uno de ellos obtuvo la capacidad de usar ese acto como medio para restringir la independencia del otro agente económico para desarrollar sus actividades económicas.</w:t>
      </w:r>
    </w:p>
    <w:p w:rsidR="00B95D50" w:rsidRPr="00D0753E" w:rsidRDefault="003A6CDF">
      <w:pPr>
        <w:spacing w:after="120" w:line="240" w:lineRule="auto"/>
        <w:jc w:val="both"/>
        <w:rPr>
          <w:rFonts w:ascii="ITC Avant Garde" w:hAnsi="ITC Avant Garde"/>
          <w:sz w:val="24"/>
        </w:rPr>
      </w:pPr>
      <w:r>
        <w:rPr>
          <w:rFonts w:ascii="ITC Avant Garde" w:hAnsi="ITC Avant Garde"/>
          <w:sz w:val="24"/>
        </w:rPr>
        <w:t>Corresponde</w:t>
      </w:r>
      <w:r w:rsidR="00B95D50" w:rsidRPr="00D0753E">
        <w:rPr>
          <w:rFonts w:ascii="ITC Avant Garde" w:hAnsi="ITC Avant Garde"/>
          <w:sz w:val="24"/>
        </w:rPr>
        <w:t xml:space="preserve"> a est</w:t>
      </w:r>
      <w:r>
        <w:rPr>
          <w:rFonts w:ascii="ITC Avant Garde" w:hAnsi="ITC Avant Garde"/>
          <w:sz w:val="24"/>
        </w:rPr>
        <w:t xml:space="preserve">e Pleno </w:t>
      </w:r>
      <w:r w:rsidR="00B95D50">
        <w:rPr>
          <w:rFonts w:ascii="ITC Avant Garde" w:hAnsi="ITC Avant Garde"/>
          <w:sz w:val="24"/>
        </w:rPr>
        <w:t>dilucidar si con motivo de la celebración del Cúmulo de Operaciones, GTV y Arretis obtuvieron un control sobre Tenedora Ares y Cablecom y</w:t>
      </w:r>
      <w:r w:rsidR="00936D0C">
        <w:rPr>
          <w:rFonts w:ascii="ITC Avant Garde" w:hAnsi="ITC Avant Garde"/>
          <w:sz w:val="24"/>
        </w:rPr>
        <w:t>,</w:t>
      </w:r>
      <w:r w:rsidR="00B95D50">
        <w:rPr>
          <w:rFonts w:ascii="ITC Avant Garde" w:hAnsi="ITC Avant Garde"/>
          <w:sz w:val="24"/>
        </w:rPr>
        <w:t xml:space="preserve"> con base en ello, determinar si existe una concentración </w:t>
      </w:r>
      <w:r w:rsidR="000704FB">
        <w:rPr>
          <w:rFonts w:ascii="ITC Avant Garde" w:hAnsi="ITC Avant Garde"/>
          <w:sz w:val="24"/>
        </w:rPr>
        <w:t xml:space="preserve">en términos de la LFCE. </w:t>
      </w:r>
    </w:p>
    <w:p w:rsidR="00B95D50" w:rsidRDefault="00B95D50">
      <w:pPr>
        <w:spacing w:after="120" w:line="240" w:lineRule="auto"/>
        <w:jc w:val="both"/>
        <w:rPr>
          <w:rFonts w:ascii="ITC Avant Garde" w:hAnsi="ITC Avant Garde" w:cs="Helvetica"/>
          <w:sz w:val="24"/>
          <w:szCs w:val="24"/>
        </w:rPr>
      </w:pPr>
      <w:r>
        <w:rPr>
          <w:rFonts w:ascii="ITC Avant Garde" w:hAnsi="ITC Avant Garde" w:cs="Helvetica"/>
          <w:sz w:val="24"/>
          <w:szCs w:val="24"/>
        </w:rPr>
        <w:t xml:space="preserve">De conformidad con lo anterior, este Pleno </w:t>
      </w:r>
      <w:r w:rsidR="003A6CDF">
        <w:rPr>
          <w:rFonts w:ascii="ITC Avant Garde" w:hAnsi="ITC Avant Garde" w:cs="Helvetica"/>
          <w:sz w:val="24"/>
          <w:szCs w:val="24"/>
        </w:rPr>
        <w:t xml:space="preserve">considera </w:t>
      </w:r>
      <w:r>
        <w:rPr>
          <w:rFonts w:ascii="ITC Avant Garde" w:hAnsi="ITC Avant Garde" w:cs="Helvetica"/>
          <w:sz w:val="24"/>
          <w:szCs w:val="24"/>
        </w:rPr>
        <w:t>que las obligaciones de hacer y no hacer</w:t>
      </w:r>
      <w:r w:rsidR="00E639C7">
        <w:rPr>
          <w:rFonts w:ascii="ITC Avant Garde" w:hAnsi="ITC Avant Garde" w:cs="Helvetica"/>
          <w:sz w:val="24"/>
          <w:szCs w:val="24"/>
        </w:rPr>
        <w:t xml:space="preserve"> </w:t>
      </w:r>
      <w:r w:rsidR="00E639C7" w:rsidRPr="00CE5237">
        <w:rPr>
          <w:rFonts w:ascii="ITC Avant Garde" w:hAnsi="ITC Avant Garde" w:cs="Helvetica"/>
          <w:b/>
          <w:color w:val="0000FF"/>
        </w:rPr>
        <w:t>“CONFIDENCIAL POR LEY”</w:t>
      </w:r>
      <w:r>
        <w:rPr>
          <w:rFonts w:ascii="ITC Avant Garde" w:hAnsi="ITC Avant Garde" w:cs="Helvetica"/>
          <w:sz w:val="24"/>
          <w:szCs w:val="24"/>
        </w:rPr>
        <w:t>, no otorgaron a Arretis el control de Tenedora Ares</w:t>
      </w:r>
      <w:r w:rsidR="00AE350A">
        <w:rPr>
          <w:rFonts w:ascii="ITC Avant Garde" w:hAnsi="ITC Avant Garde" w:cs="Helvetica"/>
          <w:sz w:val="24"/>
          <w:szCs w:val="24"/>
        </w:rPr>
        <w:t xml:space="preserve"> sobre el negocio</w:t>
      </w:r>
      <w:r>
        <w:rPr>
          <w:rFonts w:ascii="ITC Avant Garde" w:hAnsi="ITC Avant Garde" w:cs="Helvetica"/>
          <w:sz w:val="24"/>
          <w:szCs w:val="24"/>
        </w:rPr>
        <w:t xml:space="preserve">, dado que estas obligaciones únicamente buscaron limitar el comportamiento de la empresa acreditada, estableciendo ciertas </w:t>
      </w:r>
      <w:r w:rsidR="00936D0C">
        <w:rPr>
          <w:rFonts w:ascii="ITC Avant Garde" w:hAnsi="ITC Avant Garde" w:cs="Helvetica"/>
          <w:sz w:val="24"/>
          <w:szCs w:val="24"/>
        </w:rPr>
        <w:t xml:space="preserve">restricciones </w:t>
      </w:r>
      <w:r>
        <w:rPr>
          <w:rFonts w:ascii="ITC Avant Garde" w:hAnsi="ITC Avant Garde" w:cs="Helvetica"/>
          <w:sz w:val="24"/>
          <w:szCs w:val="24"/>
        </w:rPr>
        <w:t>dentro del contrato de crédito</w:t>
      </w:r>
      <w:r w:rsidR="003A6CDF">
        <w:rPr>
          <w:rFonts w:ascii="ITC Avant Garde" w:hAnsi="ITC Avant Garde" w:cs="Helvetica"/>
          <w:sz w:val="24"/>
          <w:szCs w:val="24"/>
        </w:rPr>
        <w:t xml:space="preserve"> con el </w:t>
      </w:r>
      <w:r w:rsidR="003A6CDF">
        <w:rPr>
          <w:rFonts w:ascii="ITC Avant Garde" w:hAnsi="ITC Avant Garde"/>
          <w:sz w:val="24"/>
          <w:szCs w:val="24"/>
        </w:rPr>
        <w:t>propósito de</w:t>
      </w:r>
      <w:r w:rsidR="003A6CDF" w:rsidRPr="009F5210">
        <w:rPr>
          <w:rFonts w:ascii="ITC Avant Garde" w:hAnsi="ITC Avant Garde"/>
          <w:sz w:val="24"/>
          <w:szCs w:val="24"/>
        </w:rPr>
        <w:t xml:space="preserve"> mitigar los riesgos y conflictos innatos en este tipo de opera</w:t>
      </w:r>
      <w:r w:rsidR="003A6CDF">
        <w:rPr>
          <w:rFonts w:ascii="ITC Avant Garde" w:hAnsi="ITC Avant Garde"/>
          <w:sz w:val="24"/>
          <w:szCs w:val="24"/>
        </w:rPr>
        <w:t xml:space="preserve">ciones, tales como </w:t>
      </w:r>
      <w:r w:rsidR="003A6CDF" w:rsidRPr="009F5210">
        <w:rPr>
          <w:rFonts w:ascii="ITC Avant Garde" w:hAnsi="ITC Avant Garde"/>
          <w:sz w:val="24"/>
          <w:szCs w:val="24"/>
        </w:rPr>
        <w:t>pérdidas, incumplimiento u omis</w:t>
      </w:r>
      <w:r w:rsidR="003A6CDF">
        <w:rPr>
          <w:rFonts w:ascii="ITC Avant Garde" w:hAnsi="ITC Avant Garde"/>
          <w:sz w:val="24"/>
          <w:szCs w:val="24"/>
        </w:rPr>
        <w:t>ión al pago del financiamiento</w:t>
      </w:r>
      <w:r>
        <w:rPr>
          <w:rFonts w:ascii="ITC Avant Garde" w:hAnsi="ITC Avant Garde" w:cs="Helvetica"/>
          <w:sz w:val="24"/>
          <w:szCs w:val="24"/>
        </w:rPr>
        <w:t>.</w:t>
      </w:r>
    </w:p>
    <w:p w:rsidR="00B95D50" w:rsidRDefault="00B95D50">
      <w:pPr>
        <w:spacing w:after="120" w:line="240" w:lineRule="auto"/>
        <w:jc w:val="both"/>
        <w:rPr>
          <w:rFonts w:ascii="ITC Avant Garde" w:hAnsi="ITC Avant Garde" w:cs="Helvetica"/>
          <w:sz w:val="24"/>
          <w:szCs w:val="24"/>
        </w:rPr>
      </w:pPr>
      <w:r>
        <w:rPr>
          <w:rFonts w:ascii="ITC Avant Garde" w:hAnsi="ITC Avant Garde" w:cs="Helvetica"/>
          <w:sz w:val="24"/>
          <w:szCs w:val="24"/>
        </w:rPr>
        <w:t xml:space="preserve">Específicamente, por lo que hace a la </w:t>
      </w:r>
      <w:r w:rsidR="00E639C7" w:rsidRPr="00CE5237">
        <w:rPr>
          <w:rFonts w:ascii="ITC Avant Garde" w:hAnsi="ITC Avant Garde" w:cs="Helvetica"/>
          <w:b/>
          <w:color w:val="0000FF"/>
        </w:rPr>
        <w:t>“CONFIDENCIAL POR LEY”</w:t>
      </w:r>
      <w:r w:rsidR="00E639C7">
        <w:rPr>
          <w:rFonts w:ascii="ITC Avant Garde" w:hAnsi="ITC Avant Garde" w:cs="Helvetica"/>
          <w:b/>
          <w:color w:val="0000FF"/>
        </w:rPr>
        <w:t xml:space="preserve"> </w:t>
      </w:r>
      <w:r>
        <w:rPr>
          <w:rFonts w:ascii="ITC Avant Garde" w:hAnsi="ITC Avant Garde" w:cs="Helvetica"/>
          <w:sz w:val="24"/>
          <w:szCs w:val="24"/>
        </w:rPr>
        <w:t xml:space="preserve">se considera que ésta </w:t>
      </w:r>
      <w:r w:rsidR="00BC462D">
        <w:rPr>
          <w:rFonts w:ascii="ITC Avant Garde" w:hAnsi="ITC Avant Garde" w:cs="Helvetica"/>
          <w:sz w:val="24"/>
          <w:szCs w:val="24"/>
        </w:rPr>
        <w:t>tuvo como objeto</w:t>
      </w:r>
      <w:r>
        <w:rPr>
          <w:rFonts w:ascii="ITC Avant Garde" w:hAnsi="ITC Avant Garde" w:cs="Helvetica"/>
          <w:sz w:val="24"/>
          <w:szCs w:val="24"/>
        </w:rPr>
        <w:t xml:space="preserve"> limitar que la compañía acreditada </w:t>
      </w:r>
      <w:r w:rsidR="00DA056E" w:rsidRPr="00CE5237">
        <w:rPr>
          <w:rFonts w:ascii="ITC Avant Garde" w:hAnsi="ITC Avant Garde" w:cs="Helvetica"/>
          <w:b/>
          <w:color w:val="0000FF"/>
        </w:rPr>
        <w:t>“CONFIDENCIAL POR LEY”</w:t>
      </w:r>
      <w:r w:rsidR="00DA056E">
        <w:rPr>
          <w:rFonts w:ascii="ITC Avant Garde" w:hAnsi="ITC Avant Garde" w:cs="Helvetica"/>
          <w:b/>
          <w:color w:val="0000FF"/>
        </w:rPr>
        <w:t xml:space="preserve"> </w:t>
      </w:r>
      <w:r>
        <w:rPr>
          <w:rFonts w:ascii="ITC Avant Garde" w:hAnsi="ITC Avant Garde" w:cs="Helvetica"/>
          <w:sz w:val="24"/>
          <w:szCs w:val="24"/>
        </w:rPr>
        <w:t xml:space="preserve">a sus </w:t>
      </w:r>
      <w:r>
        <w:rPr>
          <w:rFonts w:ascii="ITC Avant Garde" w:hAnsi="ITC Avant Garde" w:cs="Helvetica"/>
          <w:sz w:val="24"/>
          <w:szCs w:val="24"/>
        </w:rPr>
        <w:lastRenderedPageBreak/>
        <w:t xml:space="preserve">accionistas antes de que el acreedor reciba el pago de su crédito. Así, Arretis </w:t>
      </w:r>
      <w:r w:rsidR="00BC462D">
        <w:rPr>
          <w:rFonts w:ascii="ITC Avant Garde" w:hAnsi="ITC Avant Garde" w:cs="Helvetica"/>
          <w:sz w:val="24"/>
          <w:szCs w:val="24"/>
        </w:rPr>
        <w:t>minimizó</w:t>
      </w:r>
      <w:r>
        <w:rPr>
          <w:rFonts w:ascii="ITC Avant Garde" w:hAnsi="ITC Avant Garde" w:cs="Helvetica"/>
          <w:sz w:val="24"/>
          <w:szCs w:val="24"/>
        </w:rPr>
        <w:t xml:space="preserve"> el riesgo de no pago</w:t>
      </w:r>
      <w:r w:rsidR="002A4087">
        <w:rPr>
          <w:rFonts w:ascii="ITC Avant Garde" w:hAnsi="ITC Avant Garde" w:cs="Helvetica"/>
          <w:sz w:val="24"/>
          <w:szCs w:val="24"/>
        </w:rPr>
        <w:t xml:space="preserve"> de las obligaciones y del crédito otorgado</w:t>
      </w:r>
      <w:r>
        <w:rPr>
          <w:rFonts w:ascii="ITC Avant Garde" w:hAnsi="ITC Avant Garde" w:cs="Helvetica"/>
          <w:sz w:val="24"/>
          <w:szCs w:val="24"/>
        </w:rPr>
        <w:t>, garantizando que los flujos de efectivo generados por la operación se destinaran para el pago d</w:t>
      </w:r>
      <w:r w:rsidR="00D02EFF">
        <w:rPr>
          <w:rFonts w:ascii="ITC Avant Garde" w:hAnsi="ITC Avant Garde" w:cs="Helvetica"/>
          <w:sz w:val="24"/>
          <w:szCs w:val="24"/>
        </w:rPr>
        <w:t>e las obligaciones contratadas.</w:t>
      </w:r>
    </w:p>
    <w:p w:rsidR="00D02EFF" w:rsidRDefault="00D02EFF" w:rsidP="000704FB">
      <w:pPr>
        <w:spacing w:after="120" w:line="240" w:lineRule="auto"/>
        <w:jc w:val="both"/>
        <w:rPr>
          <w:rFonts w:ascii="ITC Avant Garde" w:hAnsi="ITC Avant Garde" w:cs="Helvetica"/>
          <w:sz w:val="24"/>
          <w:szCs w:val="24"/>
        </w:rPr>
      </w:pPr>
      <w:r>
        <w:rPr>
          <w:rFonts w:ascii="ITC Avant Garde" w:hAnsi="ITC Avant Garde" w:cs="Helvetica"/>
          <w:sz w:val="24"/>
          <w:szCs w:val="24"/>
        </w:rPr>
        <w:t xml:space="preserve">No pasa desapercibido para esta autoridad, que el Cúmulo de Operaciones no establecía los criterios o supuestos bajo los cuales Arretis </w:t>
      </w:r>
      <w:r w:rsidR="00DA056E" w:rsidRPr="00CE5237">
        <w:rPr>
          <w:rFonts w:ascii="ITC Avant Garde" w:hAnsi="ITC Avant Garde" w:cs="Helvetica"/>
          <w:b/>
          <w:color w:val="0000FF"/>
        </w:rPr>
        <w:t>“CONFIDENCIAL POR LEY”</w:t>
      </w:r>
      <w:r w:rsidR="00DA056E">
        <w:rPr>
          <w:rFonts w:ascii="ITC Avant Garde" w:hAnsi="ITC Avant Garde" w:cs="Helvetica"/>
          <w:b/>
          <w:color w:val="0000FF"/>
        </w:rPr>
        <w:t xml:space="preserve"> </w:t>
      </w:r>
      <w:r w:rsidR="00115184">
        <w:rPr>
          <w:rFonts w:ascii="ITC Avant Garde" w:hAnsi="ITC Avant Garde" w:cs="Helvetica"/>
          <w:sz w:val="24"/>
          <w:szCs w:val="24"/>
        </w:rPr>
        <w:t xml:space="preserve">y </w:t>
      </w:r>
      <w:r w:rsidR="00B74D47">
        <w:rPr>
          <w:rFonts w:ascii="ITC Avant Garde" w:hAnsi="ITC Avant Garde" w:cs="Helvetica"/>
          <w:sz w:val="24"/>
          <w:szCs w:val="24"/>
        </w:rPr>
        <w:t>tampoco</w:t>
      </w:r>
      <w:r>
        <w:rPr>
          <w:rFonts w:ascii="ITC Avant Garde" w:hAnsi="ITC Avant Garde" w:cs="Helvetica"/>
          <w:sz w:val="24"/>
          <w:szCs w:val="24"/>
        </w:rPr>
        <w:t xml:space="preserve"> se observan mecanismos que permit</w:t>
      </w:r>
      <w:r w:rsidR="00B74D47">
        <w:rPr>
          <w:rFonts w:ascii="ITC Avant Garde" w:hAnsi="ITC Avant Garde" w:cs="Helvetica"/>
          <w:sz w:val="24"/>
          <w:szCs w:val="24"/>
        </w:rPr>
        <w:t>ieran</w:t>
      </w:r>
      <w:r>
        <w:rPr>
          <w:rFonts w:ascii="ITC Avant Garde" w:hAnsi="ITC Avant Garde" w:cs="Helvetica"/>
          <w:sz w:val="24"/>
          <w:szCs w:val="24"/>
        </w:rPr>
        <w:t xml:space="preserve"> a Tenedora Ares y sus accionistas</w:t>
      </w:r>
      <w:r w:rsidR="00DA056E">
        <w:rPr>
          <w:rFonts w:ascii="ITC Avant Garde" w:hAnsi="ITC Avant Garde" w:cs="Helvetica"/>
          <w:sz w:val="24"/>
          <w:szCs w:val="24"/>
        </w:rPr>
        <w:t xml:space="preserve"> </w:t>
      </w:r>
      <w:r w:rsidR="00DA056E" w:rsidRPr="00CE5237">
        <w:rPr>
          <w:rFonts w:ascii="ITC Avant Garde" w:hAnsi="ITC Avant Garde" w:cs="Helvetica"/>
          <w:b/>
          <w:color w:val="0000FF"/>
        </w:rPr>
        <w:t>“CONFIDENCIAL POR LEY”</w:t>
      </w:r>
      <w:r w:rsidR="002A41E0">
        <w:rPr>
          <w:rFonts w:ascii="ITC Avant Garde" w:hAnsi="ITC Avant Garde" w:cs="Helvetica"/>
          <w:sz w:val="24"/>
          <w:szCs w:val="24"/>
        </w:rPr>
        <w:t xml:space="preserve">; sin embargo, dicha omisión no se considera </w:t>
      </w:r>
      <w:r w:rsidR="00115184">
        <w:rPr>
          <w:rFonts w:ascii="ITC Avant Garde" w:hAnsi="ITC Avant Garde" w:cs="Helvetica"/>
          <w:sz w:val="24"/>
          <w:szCs w:val="24"/>
        </w:rPr>
        <w:t xml:space="preserve">suficiente para </w:t>
      </w:r>
      <w:r w:rsidR="002A41E0">
        <w:rPr>
          <w:rFonts w:ascii="ITC Avant Garde" w:hAnsi="ITC Avant Garde" w:cs="Helvetica"/>
          <w:sz w:val="24"/>
          <w:szCs w:val="24"/>
        </w:rPr>
        <w:t>otorga</w:t>
      </w:r>
      <w:r w:rsidR="00115184">
        <w:rPr>
          <w:rFonts w:ascii="ITC Avant Garde" w:hAnsi="ITC Avant Garde" w:cs="Helvetica"/>
          <w:sz w:val="24"/>
          <w:szCs w:val="24"/>
        </w:rPr>
        <w:t>r</w:t>
      </w:r>
      <w:r w:rsidR="002A41E0">
        <w:rPr>
          <w:rFonts w:ascii="ITC Avant Garde" w:hAnsi="ITC Avant Garde" w:cs="Helvetica"/>
          <w:sz w:val="24"/>
          <w:szCs w:val="24"/>
        </w:rPr>
        <w:t xml:space="preserve"> </w:t>
      </w:r>
      <w:r w:rsidR="008E1916">
        <w:rPr>
          <w:rFonts w:ascii="ITC Avant Garde" w:hAnsi="ITC Avant Garde" w:cs="Helvetica"/>
          <w:sz w:val="24"/>
          <w:szCs w:val="24"/>
        </w:rPr>
        <w:t>control</w:t>
      </w:r>
      <w:r w:rsidR="003A6CDF">
        <w:rPr>
          <w:rFonts w:ascii="ITC Avant Garde" w:hAnsi="ITC Avant Garde" w:cs="Helvetica"/>
          <w:sz w:val="24"/>
          <w:szCs w:val="24"/>
        </w:rPr>
        <w:t xml:space="preserve"> </w:t>
      </w:r>
      <w:r w:rsidR="002A41E0">
        <w:rPr>
          <w:rFonts w:ascii="ITC Avant Garde" w:hAnsi="ITC Avant Garde" w:cs="Helvetica"/>
          <w:sz w:val="24"/>
          <w:szCs w:val="24"/>
        </w:rPr>
        <w:t>a Arretis sobre la operación del negocio de Tened</w:t>
      </w:r>
      <w:r w:rsidR="0035067C">
        <w:rPr>
          <w:rFonts w:ascii="ITC Avant Garde" w:hAnsi="ITC Avant Garde" w:cs="Helvetica"/>
          <w:sz w:val="24"/>
          <w:szCs w:val="24"/>
        </w:rPr>
        <w:t>ora Ares y Cablecom.</w:t>
      </w:r>
    </w:p>
    <w:p w:rsidR="00ED28C3" w:rsidRPr="00177775" w:rsidRDefault="00211D2C" w:rsidP="000704FB">
      <w:pPr>
        <w:spacing w:after="120" w:line="240" w:lineRule="auto"/>
        <w:jc w:val="both"/>
        <w:rPr>
          <w:rFonts w:ascii="ITC Avant Garde" w:hAnsi="ITC Avant Garde" w:cs="Helvetica"/>
          <w:i/>
          <w:sz w:val="24"/>
          <w:szCs w:val="24"/>
        </w:rPr>
      </w:pPr>
      <w:r>
        <w:rPr>
          <w:rFonts w:ascii="ITC Avant Garde" w:hAnsi="ITC Avant Garde" w:cs="Helvetica"/>
          <w:sz w:val="24"/>
          <w:szCs w:val="24"/>
        </w:rPr>
        <w:t>En el caso en concreto se aprecia que los</w:t>
      </w:r>
      <w:r w:rsidR="00B44906">
        <w:rPr>
          <w:rFonts w:ascii="ITC Avant Garde" w:hAnsi="ITC Avant Garde" w:cs="Helvetica"/>
          <w:sz w:val="24"/>
          <w:szCs w:val="24"/>
        </w:rPr>
        <w:t xml:space="preserve"> </w:t>
      </w:r>
      <w:r w:rsidR="00B44906" w:rsidRPr="009D0F12">
        <w:rPr>
          <w:rFonts w:ascii="ITC Avant Garde" w:hAnsi="ITC Avant Garde" w:cs="Helvetica"/>
          <w:i/>
          <w:sz w:val="24"/>
          <w:szCs w:val="24"/>
        </w:rPr>
        <w:t>covenants</w:t>
      </w:r>
      <w:r w:rsidR="00B44906">
        <w:rPr>
          <w:rFonts w:ascii="ITC Avant Garde" w:hAnsi="ITC Avant Garde" w:cs="Helvetica"/>
          <w:sz w:val="24"/>
          <w:szCs w:val="24"/>
        </w:rPr>
        <w:t xml:space="preserve"> de Cablecom </w:t>
      </w:r>
      <w:r w:rsidR="002A4087">
        <w:rPr>
          <w:rFonts w:ascii="ITC Avant Garde" w:hAnsi="ITC Avant Garde" w:cs="Helvetica"/>
          <w:sz w:val="24"/>
          <w:szCs w:val="24"/>
        </w:rPr>
        <w:t>no se apartan significativamente de su uso común,</w:t>
      </w:r>
      <w:r w:rsidR="00B44906">
        <w:rPr>
          <w:rFonts w:ascii="ITC Avant Garde" w:hAnsi="ITC Avant Garde" w:cs="Helvetica"/>
          <w:sz w:val="24"/>
          <w:szCs w:val="24"/>
        </w:rPr>
        <w:t xml:space="preserve"> de acuerdo a</w:t>
      </w:r>
      <w:r w:rsidR="002A4087">
        <w:rPr>
          <w:rFonts w:ascii="ITC Avant Garde" w:hAnsi="ITC Avant Garde" w:cs="Helvetica"/>
          <w:sz w:val="24"/>
          <w:szCs w:val="24"/>
        </w:rPr>
        <w:t>: (i) l</w:t>
      </w:r>
      <w:r w:rsidR="00B44906">
        <w:rPr>
          <w:rFonts w:ascii="ITC Avant Garde" w:hAnsi="ITC Avant Garde" w:cs="Helvetica"/>
          <w:sz w:val="24"/>
          <w:szCs w:val="24"/>
        </w:rPr>
        <w:t xml:space="preserve">os criterios que se muestran en algunas emisiones tanto nacionales como internacionales de bonos con calificación “High Yield” </w:t>
      </w:r>
      <w:r w:rsidR="00F863D6">
        <w:rPr>
          <w:rFonts w:ascii="ITC Avant Garde" w:hAnsi="ITC Avant Garde" w:cs="Helvetica"/>
          <w:sz w:val="24"/>
          <w:szCs w:val="24"/>
        </w:rPr>
        <w:t xml:space="preserve">tal como se indica en </w:t>
      </w:r>
      <w:r w:rsidR="00371617">
        <w:rPr>
          <w:rFonts w:ascii="ITC Avant Garde" w:hAnsi="ITC Avant Garde" w:cs="Helvetica"/>
          <w:sz w:val="24"/>
          <w:szCs w:val="24"/>
        </w:rPr>
        <w:t xml:space="preserve">la </w:t>
      </w:r>
      <w:r w:rsidR="00F863D6">
        <w:rPr>
          <w:rFonts w:ascii="ITC Avant Garde" w:hAnsi="ITC Avant Garde" w:cs="Helvetica"/>
          <w:sz w:val="24"/>
          <w:szCs w:val="24"/>
        </w:rPr>
        <w:t>prueba pericial en finanzas rendida por</w:t>
      </w:r>
      <w:r w:rsidR="00DA056E">
        <w:rPr>
          <w:rFonts w:ascii="ITC Avant Garde" w:hAnsi="ITC Avant Garde" w:cs="Helvetica"/>
          <w:sz w:val="24"/>
          <w:szCs w:val="24"/>
        </w:rPr>
        <w:t xml:space="preserve"> </w:t>
      </w:r>
      <w:r w:rsidR="00DA056E" w:rsidRPr="00CE5237">
        <w:rPr>
          <w:rFonts w:ascii="ITC Avant Garde" w:hAnsi="ITC Avant Garde" w:cs="Helvetica"/>
          <w:b/>
          <w:color w:val="0000FF"/>
        </w:rPr>
        <w:t>“CONFIDENCIAL POR LEY”</w:t>
      </w:r>
      <w:r w:rsidR="00305C2F">
        <w:rPr>
          <w:rStyle w:val="Refdenotaalpie"/>
          <w:rFonts w:ascii="ITC Avant Garde" w:hAnsi="ITC Avant Garde" w:cs="Helvetica"/>
          <w:sz w:val="24"/>
          <w:szCs w:val="24"/>
        </w:rPr>
        <w:footnoteReference w:id="53"/>
      </w:r>
      <w:r w:rsidR="00F863D6">
        <w:rPr>
          <w:rFonts w:ascii="ITC Avant Garde" w:hAnsi="ITC Avant Garde" w:cs="Helvetica"/>
          <w:sz w:val="24"/>
          <w:szCs w:val="24"/>
        </w:rPr>
        <w:t xml:space="preserve"> </w:t>
      </w:r>
      <w:r w:rsidR="00B31ABD">
        <w:rPr>
          <w:rFonts w:ascii="ITC Avant Garde" w:hAnsi="ITC Avant Garde" w:cs="Helvetica"/>
          <w:sz w:val="24"/>
          <w:szCs w:val="24"/>
        </w:rPr>
        <w:t xml:space="preserve">donde se </w:t>
      </w:r>
      <w:r w:rsidR="00674C2A">
        <w:rPr>
          <w:rFonts w:ascii="ITC Avant Garde" w:hAnsi="ITC Avant Garde" w:cs="Helvetica"/>
          <w:sz w:val="24"/>
          <w:szCs w:val="24"/>
        </w:rPr>
        <w:t>muestran</w:t>
      </w:r>
      <w:r w:rsidR="00B31ABD">
        <w:rPr>
          <w:rFonts w:ascii="ITC Avant Garde" w:hAnsi="ITC Avant Garde" w:cs="Helvetica"/>
          <w:sz w:val="24"/>
          <w:szCs w:val="24"/>
        </w:rPr>
        <w:t xml:space="preserve"> las obligaciones de dar, hacer y no hacer que presenta el bono convertible y el crédito corporativo de Cablecom con referencia a otros bonos corporativo</w:t>
      </w:r>
      <w:r w:rsidR="002A4087">
        <w:rPr>
          <w:rFonts w:ascii="ITC Avant Garde" w:hAnsi="ITC Avant Garde" w:cs="Helvetica"/>
          <w:sz w:val="24"/>
          <w:szCs w:val="24"/>
        </w:rPr>
        <w:t xml:space="preserve">s, y (ii) lo dispuesto en </w:t>
      </w:r>
      <w:r w:rsidR="00B95D50">
        <w:rPr>
          <w:rFonts w:ascii="ITC Avant Garde" w:hAnsi="ITC Avant Garde" w:cs="Helvetica"/>
          <w:sz w:val="24"/>
          <w:szCs w:val="24"/>
        </w:rPr>
        <w:t xml:space="preserve">el artículo 210 Bis, fracción VI, de la </w:t>
      </w:r>
      <w:r w:rsidR="0058284F">
        <w:rPr>
          <w:rFonts w:ascii="ITC Avant Garde" w:hAnsi="ITC Avant Garde" w:cs="Helvetica"/>
          <w:sz w:val="24"/>
          <w:szCs w:val="24"/>
        </w:rPr>
        <w:t>LGTOC</w:t>
      </w:r>
      <w:r w:rsidR="00B95D50">
        <w:rPr>
          <w:rFonts w:ascii="ITC Avant Garde" w:hAnsi="ITC Avant Garde" w:cs="Helvetica"/>
          <w:sz w:val="24"/>
          <w:szCs w:val="24"/>
        </w:rPr>
        <w:t xml:space="preserve">, </w:t>
      </w:r>
      <w:r w:rsidR="002A4087">
        <w:rPr>
          <w:rFonts w:ascii="ITC Avant Garde" w:hAnsi="ITC Avant Garde" w:cs="Helvetica"/>
          <w:sz w:val="24"/>
          <w:szCs w:val="24"/>
        </w:rPr>
        <w:t xml:space="preserve">el cual </w:t>
      </w:r>
      <w:r w:rsidR="00B95D50">
        <w:rPr>
          <w:rFonts w:ascii="ITC Avant Garde" w:hAnsi="ITC Avant Garde" w:cs="Helvetica"/>
          <w:sz w:val="24"/>
          <w:szCs w:val="24"/>
        </w:rPr>
        <w:t>establece que: “</w:t>
      </w:r>
      <w:r w:rsidR="00B95D50" w:rsidRPr="007D776A">
        <w:rPr>
          <w:rFonts w:ascii="ITC Avant Garde" w:hAnsi="ITC Avant Garde" w:cs="Helvetica"/>
          <w:i/>
          <w:szCs w:val="24"/>
        </w:rPr>
        <w:t>Durante la vigencia de la emisión de obligaciones convertibles, la emisora no podrá tomar ningún acuerdo que perjudique los derechos de los obligacionistas derivados de las bases establecidas para la conversión</w:t>
      </w:r>
      <w:r w:rsidR="00B95D50" w:rsidRPr="0093216B">
        <w:rPr>
          <w:rFonts w:ascii="ITC Avant Garde" w:hAnsi="ITC Avant Garde" w:cs="Helvetica"/>
          <w:sz w:val="24"/>
          <w:szCs w:val="24"/>
        </w:rPr>
        <w:t>”</w:t>
      </w:r>
      <w:r w:rsidR="00B95D50" w:rsidRPr="007D776A">
        <w:rPr>
          <w:rFonts w:ascii="ITC Avant Garde" w:hAnsi="ITC Avant Garde" w:cs="Helvetica"/>
          <w:sz w:val="24"/>
          <w:szCs w:val="24"/>
        </w:rPr>
        <w:t>.</w:t>
      </w:r>
      <w:r w:rsidR="00B95D50">
        <w:rPr>
          <w:rFonts w:ascii="ITC Avant Garde" w:hAnsi="ITC Avant Garde" w:cs="Helvetica"/>
          <w:sz w:val="24"/>
          <w:szCs w:val="24"/>
        </w:rPr>
        <w:t xml:space="preserve"> Asimismo, el artículo 212, párrafo segundo de la </w:t>
      </w:r>
      <w:r w:rsidR="0058284F">
        <w:rPr>
          <w:rFonts w:ascii="ITC Avant Garde" w:hAnsi="ITC Avant Garde" w:cs="Helvetica"/>
          <w:sz w:val="24"/>
          <w:szCs w:val="24"/>
        </w:rPr>
        <w:t>LGTOC</w:t>
      </w:r>
      <w:r w:rsidR="00B95D50">
        <w:rPr>
          <w:rFonts w:ascii="ITC Avant Garde" w:hAnsi="ITC Avant Garde" w:cs="Helvetica"/>
          <w:sz w:val="24"/>
          <w:szCs w:val="24"/>
        </w:rPr>
        <w:t>, señala que: “</w:t>
      </w:r>
      <w:r w:rsidR="00B95D50" w:rsidRPr="0093216B">
        <w:rPr>
          <w:rFonts w:ascii="ITC Avant Garde" w:hAnsi="ITC Avant Garde" w:cs="Helvetica"/>
          <w:i/>
          <w:szCs w:val="24"/>
        </w:rPr>
        <w:t>La sociedad emisora no podrá reducir su capital sino en proporción al reembolso que haga sobre las obligaciones, por ella emitidas, ni podrá cambiar su objeto, domicilio o denominación, sin el consentimiento de la Asamblea General de Obligacionistas</w:t>
      </w:r>
      <w:r w:rsidR="00B95D50">
        <w:rPr>
          <w:rFonts w:ascii="ITC Avant Garde" w:hAnsi="ITC Avant Garde" w:cs="Helvetica"/>
          <w:sz w:val="24"/>
          <w:szCs w:val="24"/>
        </w:rPr>
        <w:t>”</w:t>
      </w:r>
      <w:r w:rsidR="00B95D50" w:rsidRPr="0093216B">
        <w:rPr>
          <w:rFonts w:ascii="ITC Avant Garde" w:hAnsi="ITC Avant Garde" w:cs="Helvetica"/>
          <w:sz w:val="24"/>
          <w:szCs w:val="24"/>
        </w:rPr>
        <w:t>.</w:t>
      </w:r>
      <w:r w:rsidR="00682B06">
        <w:rPr>
          <w:rFonts w:ascii="ITC Avant Garde" w:hAnsi="ITC Avant Garde" w:cs="Helvetica"/>
          <w:sz w:val="24"/>
          <w:szCs w:val="24"/>
        </w:rPr>
        <w:t xml:space="preserve"> </w:t>
      </w:r>
      <w:r w:rsidR="00B95D50">
        <w:rPr>
          <w:rFonts w:ascii="ITC Avant Garde" w:hAnsi="ITC Avant Garde" w:cs="Helvetica"/>
          <w:sz w:val="24"/>
          <w:szCs w:val="24"/>
        </w:rPr>
        <w:t>En esos términos, se observa que la propia LGTOC</w:t>
      </w:r>
      <w:r w:rsidR="002D5C26">
        <w:rPr>
          <w:rFonts w:ascii="ITC Avant Garde" w:hAnsi="ITC Avant Garde" w:cs="Helvetica"/>
          <w:sz w:val="24"/>
          <w:szCs w:val="24"/>
        </w:rPr>
        <w:t>, ordenamiento</w:t>
      </w:r>
      <w:r w:rsidR="00B95D50">
        <w:rPr>
          <w:rFonts w:ascii="ITC Avant Garde" w:hAnsi="ITC Avant Garde" w:cs="Helvetica"/>
          <w:sz w:val="24"/>
          <w:szCs w:val="24"/>
        </w:rPr>
        <w:t xml:space="preserve"> que </w:t>
      </w:r>
      <w:r w:rsidR="00ED28C3">
        <w:rPr>
          <w:rFonts w:ascii="ITC Avant Garde" w:hAnsi="ITC Avant Garde" w:cs="Helvetica"/>
          <w:sz w:val="24"/>
          <w:szCs w:val="24"/>
        </w:rPr>
        <w:t xml:space="preserve">norma </w:t>
      </w:r>
      <w:r w:rsidR="00B95D50">
        <w:rPr>
          <w:rFonts w:ascii="ITC Avant Garde" w:hAnsi="ITC Avant Garde" w:cs="Helvetica"/>
          <w:sz w:val="24"/>
          <w:szCs w:val="24"/>
        </w:rPr>
        <w:t>la emisión de obligaciones convertibles en acciones</w:t>
      </w:r>
      <w:r w:rsidR="0011109D">
        <w:rPr>
          <w:rFonts w:ascii="ITC Avant Garde" w:hAnsi="ITC Avant Garde" w:cs="Helvetica"/>
          <w:sz w:val="24"/>
          <w:szCs w:val="24"/>
        </w:rPr>
        <w:t xml:space="preserve">, </w:t>
      </w:r>
      <w:r w:rsidR="00B95D50">
        <w:rPr>
          <w:rFonts w:ascii="ITC Avant Garde" w:hAnsi="ITC Avant Garde" w:cs="Helvetica"/>
          <w:sz w:val="24"/>
          <w:szCs w:val="24"/>
        </w:rPr>
        <w:t>prevé la oportunidad de establecer ciertas restricciones a las empresas emisoras con el objeto de garantizar los intereses de los obligacionistas.</w:t>
      </w:r>
      <w:r w:rsidR="00177775">
        <w:rPr>
          <w:rFonts w:ascii="ITC Avant Garde" w:hAnsi="ITC Avant Garde" w:cs="Helvetica"/>
          <w:i/>
          <w:sz w:val="24"/>
          <w:szCs w:val="24"/>
        </w:rPr>
        <w:t xml:space="preserve"> </w:t>
      </w:r>
      <w:r w:rsidR="00682B06">
        <w:rPr>
          <w:rFonts w:ascii="ITC Avant Garde" w:hAnsi="ITC Avant Garde" w:cs="Helvetica"/>
          <w:sz w:val="24"/>
          <w:szCs w:val="24"/>
        </w:rPr>
        <w:t xml:space="preserve">Aunado a lo anterior, </w:t>
      </w:r>
      <w:r w:rsidR="00ED28C3">
        <w:rPr>
          <w:rFonts w:ascii="ITC Avant Garde" w:hAnsi="ITC Avant Garde" w:cs="Helvetica"/>
          <w:sz w:val="24"/>
          <w:szCs w:val="24"/>
        </w:rPr>
        <w:t xml:space="preserve">Por otra parte, no se considera que </w:t>
      </w:r>
      <w:r w:rsidR="00DA056E" w:rsidRPr="00CE5237">
        <w:rPr>
          <w:rFonts w:ascii="ITC Avant Garde" w:hAnsi="ITC Avant Garde" w:cs="Helvetica"/>
          <w:b/>
          <w:color w:val="0000FF"/>
        </w:rPr>
        <w:t>“CONFIDENCIAL POR LEY”</w:t>
      </w:r>
      <w:r w:rsidR="00DA056E">
        <w:rPr>
          <w:rFonts w:ascii="ITC Avant Garde" w:hAnsi="ITC Avant Garde" w:cs="Helvetica"/>
          <w:b/>
          <w:color w:val="0000FF"/>
        </w:rPr>
        <w:t xml:space="preserve"> </w:t>
      </w:r>
      <w:r w:rsidR="00ED28C3">
        <w:rPr>
          <w:rFonts w:ascii="ITC Avant Garde" w:hAnsi="ITC Avant Garde" w:cs="Helvetica"/>
          <w:sz w:val="24"/>
          <w:szCs w:val="24"/>
        </w:rPr>
        <w:t xml:space="preserve">como sostiene el OPR. </w:t>
      </w:r>
    </w:p>
    <w:p w:rsidR="00B95D50" w:rsidRPr="003A7D43" w:rsidRDefault="00B95D50" w:rsidP="00315FEF">
      <w:pPr>
        <w:spacing w:after="120" w:line="240" w:lineRule="auto"/>
        <w:jc w:val="both"/>
        <w:rPr>
          <w:rFonts w:ascii="ITC Avant Garde" w:hAnsi="ITC Avant Garde" w:cs="Helvetica"/>
          <w:sz w:val="24"/>
          <w:szCs w:val="24"/>
        </w:rPr>
      </w:pPr>
      <w:r>
        <w:rPr>
          <w:rFonts w:ascii="ITC Avant Garde" w:hAnsi="ITC Avant Garde" w:cs="Helvetica"/>
          <w:sz w:val="24"/>
          <w:szCs w:val="24"/>
        </w:rPr>
        <w:t xml:space="preserve">En conclusión de lo anterior, esta autoridad no encuentra elementos para identificar </w:t>
      </w:r>
      <w:r w:rsidR="00211D2C">
        <w:rPr>
          <w:rFonts w:ascii="ITC Avant Garde" w:hAnsi="ITC Avant Garde" w:cs="Helvetica"/>
          <w:sz w:val="24"/>
          <w:szCs w:val="24"/>
        </w:rPr>
        <w:t xml:space="preserve">la existencia de un control adquirido por parte de Arretis sobre Tenedora Ares </w:t>
      </w:r>
      <w:r w:rsidR="000160DA">
        <w:rPr>
          <w:rFonts w:ascii="ITC Avant Garde" w:hAnsi="ITC Avant Garde" w:cs="Helvetica"/>
          <w:sz w:val="24"/>
          <w:szCs w:val="24"/>
        </w:rPr>
        <w:t xml:space="preserve">para determinar </w:t>
      </w:r>
      <w:r w:rsidR="00211D2C">
        <w:rPr>
          <w:rFonts w:ascii="ITC Avant Garde" w:hAnsi="ITC Avant Garde" w:cs="Helvetica"/>
          <w:sz w:val="24"/>
          <w:szCs w:val="24"/>
        </w:rPr>
        <w:t>la estrategia competitiva en la operación de los negocios de Tenedora Ares y Cablecom,</w:t>
      </w:r>
      <w:r w:rsidR="003547B4">
        <w:rPr>
          <w:rFonts w:ascii="ITC Avant Garde" w:hAnsi="ITC Avant Garde" w:cs="Helvetica"/>
          <w:sz w:val="24"/>
          <w:szCs w:val="24"/>
        </w:rPr>
        <w:t xml:space="preserve"> </w:t>
      </w:r>
      <w:r>
        <w:rPr>
          <w:rFonts w:ascii="ITC Avant Garde" w:hAnsi="ITC Avant Garde" w:cs="Helvetica"/>
          <w:sz w:val="24"/>
          <w:szCs w:val="24"/>
        </w:rPr>
        <w:t xml:space="preserve">con motivo de la celebración del Cúmulo de Operaciones, las obligaciones de hacer y no hacer y, en específico, </w:t>
      </w:r>
      <w:r w:rsidR="00DA056E" w:rsidRPr="00CE5237">
        <w:rPr>
          <w:rFonts w:ascii="ITC Avant Garde" w:hAnsi="ITC Avant Garde" w:cs="Helvetica"/>
          <w:b/>
          <w:color w:val="0000FF"/>
        </w:rPr>
        <w:t>“CONFIDENCIAL POR LEY”</w:t>
      </w:r>
      <w:r w:rsidR="00DA056E">
        <w:rPr>
          <w:rFonts w:ascii="ITC Avant Garde" w:hAnsi="ITC Avant Garde" w:cs="Helvetica"/>
          <w:b/>
          <w:color w:val="0000FF"/>
        </w:rPr>
        <w:t xml:space="preserve"> </w:t>
      </w:r>
      <w:r>
        <w:rPr>
          <w:rFonts w:ascii="ITC Avant Garde" w:hAnsi="ITC Avant Garde" w:cs="Helvetica"/>
          <w:sz w:val="24"/>
          <w:szCs w:val="24"/>
        </w:rPr>
        <w:t xml:space="preserve">que sirvió como base </w:t>
      </w:r>
      <w:r w:rsidR="0011109D">
        <w:rPr>
          <w:rFonts w:ascii="ITC Avant Garde" w:hAnsi="ITC Avant Garde" w:cs="Helvetica"/>
          <w:sz w:val="24"/>
          <w:szCs w:val="24"/>
        </w:rPr>
        <w:t xml:space="preserve">para que la </w:t>
      </w:r>
      <w:r>
        <w:rPr>
          <w:rFonts w:ascii="ITC Avant Garde" w:hAnsi="ITC Avant Garde" w:cs="Helvetica"/>
          <w:sz w:val="24"/>
          <w:szCs w:val="24"/>
        </w:rPr>
        <w:t>Autoridad Investigadora imputa</w:t>
      </w:r>
      <w:r w:rsidR="0011109D">
        <w:rPr>
          <w:rFonts w:ascii="ITC Avant Garde" w:hAnsi="ITC Avant Garde" w:cs="Helvetica"/>
          <w:sz w:val="24"/>
          <w:szCs w:val="24"/>
        </w:rPr>
        <w:t xml:space="preserve">ra </w:t>
      </w:r>
      <w:r>
        <w:rPr>
          <w:rFonts w:ascii="ITC Avant Garde" w:hAnsi="ITC Avant Garde" w:cs="Helvetica"/>
          <w:sz w:val="24"/>
          <w:szCs w:val="24"/>
        </w:rPr>
        <w:t>la realización de una concentración.</w:t>
      </w:r>
    </w:p>
    <w:p w:rsidR="00B95D50" w:rsidRDefault="00B95D50" w:rsidP="00315FEF">
      <w:pPr>
        <w:spacing w:after="120" w:line="240" w:lineRule="auto"/>
        <w:jc w:val="both"/>
        <w:rPr>
          <w:rFonts w:ascii="ITC Avant Garde" w:hAnsi="ITC Avant Garde" w:cs="Helvetica"/>
          <w:b/>
          <w:sz w:val="24"/>
          <w:szCs w:val="24"/>
        </w:rPr>
      </w:pPr>
      <w:r w:rsidRPr="000E0790">
        <w:rPr>
          <w:rFonts w:ascii="ITC Avant Garde" w:hAnsi="ITC Avant Garde" w:cs="Helvetica"/>
          <w:b/>
          <w:sz w:val="24"/>
          <w:szCs w:val="24"/>
        </w:rPr>
        <w:t xml:space="preserve">Con relación a que el </w:t>
      </w:r>
      <w:r w:rsidR="0011109D" w:rsidRPr="000E0790">
        <w:rPr>
          <w:rFonts w:ascii="ITC Avant Garde" w:hAnsi="ITC Avant Garde" w:cs="Helvetica"/>
          <w:b/>
          <w:sz w:val="24"/>
          <w:szCs w:val="24"/>
        </w:rPr>
        <w:t>C</w:t>
      </w:r>
      <w:r w:rsidR="0011109D">
        <w:rPr>
          <w:rFonts w:ascii="ITC Avant Garde" w:hAnsi="ITC Avant Garde" w:cs="Helvetica"/>
          <w:b/>
          <w:sz w:val="24"/>
          <w:szCs w:val="24"/>
        </w:rPr>
        <w:t>ú</w:t>
      </w:r>
      <w:r w:rsidR="0011109D" w:rsidRPr="000E0790">
        <w:rPr>
          <w:rFonts w:ascii="ITC Avant Garde" w:hAnsi="ITC Avant Garde" w:cs="Helvetica"/>
          <w:b/>
          <w:sz w:val="24"/>
          <w:szCs w:val="24"/>
        </w:rPr>
        <w:t>mulo</w:t>
      </w:r>
      <w:r w:rsidRPr="000E0790">
        <w:rPr>
          <w:rFonts w:ascii="ITC Avant Garde" w:hAnsi="ITC Avant Garde" w:cs="Helvetica"/>
          <w:b/>
          <w:sz w:val="24"/>
          <w:szCs w:val="24"/>
        </w:rPr>
        <w:t xml:space="preserve"> de Operaciones no contemplaban mecanismos a través de los cuales Cablecom o alguno de sus accionistas pudieran revertir sus efectos, esta autoridad estima que, </w:t>
      </w:r>
      <w:r w:rsidR="000E0790" w:rsidRPr="000E0790">
        <w:rPr>
          <w:rFonts w:ascii="ITC Avant Garde" w:hAnsi="ITC Avant Garde" w:cs="Helvetica"/>
          <w:b/>
          <w:sz w:val="24"/>
          <w:szCs w:val="24"/>
        </w:rPr>
        <w:t>tal s</w:t>
      </w:r>
      <w:r w:rsidR="000E0790">
        <w:rPr>
          <w:rFonts w:ascii="ITC Avant Garde" w:hAnsi="ITC Avant Garde" w:cs="Helvetica"/>
          <w:b/>
          <w:sz w:val="24"/>
          <w:szCs w:val="24"/>
        </w:rPr>
        <w:t>ituación no es relevante para</w:t>
      </w:r>
      <w:r w:rsidR="000E0790" w:rsidRPr="000E0790">
        <w:rPr>
          <w:rFonts w:ascii="ITC Avant Garde" w:hAnsi="ITC Avant Garde" w:cs="Helvetica"/>
          <w:b/>
          <w:sz w:val="24"/>
          <w:szCs w:val="24"/>
        </w:rPr>
        <w:t xml:space="preserve"> determinar la existencia de</w:t>
      </w:r>
      <w:r w:rsidR="008D71A8">
        <w:rPr>
          <w:rFonts w:ascii="ITC Avant Garde" w:hAnsi="ITC Avant Garde" w:cs="Helvetica"/>
          <w:b/>
          <w:sz w:val="24"/>
          <w:szCs w:val="24"/>
        </w:rPr>
        <w:t xml:space="preserve"> </w:t>
      </w:r>
      <w:r w:rsidR="00211D2C">
        <w:rPr>
          <w:rFonts w:ascii="ITC Avant Garde" w:hAnsi="ITC Avant Garde" w:cs="Helvetica"/>
          <w:b/>
          <w:sz w:val="24"/>
          <w:szCs w:val="24"/>
        </w:rPr>
        <w:t xml:space="preserve">control </w:t>
      </w:r>
      <w:r w:rsidR="000160DA">
        <w:rPr>
          <w:rFonts w:ascii="ITC Avant Garde" w:hAnsi="ITC Avant Garde" w:cs="Helvetica"/>
          <w:b/>
          <w:sz w:val="24"/>
          <w:szCs w:val="24"/>
        </w:rPr>
        <w:t>q</w:t>
      </w:r>
      <w:r w:rsidR="00211D2C">
        <w:rPr>
          <w:rFonts w:ascii="ITC Avant Garde" w:hAnsi="ITC Avant Garde" w:cs="Helvetica"/>
          <w:b/>
          <w:sz w:val="24"/>
          <w:szCs w:val="24"/>
        </w:rPr>
        <w:t xml:space="preserve">ue permita identificar </w:t>
      </w:r>
      <w:r w:rsidR="008D71A8">
        <w:rPr>
          <w:rFonts w:ascii="ITC Avant Garde" w:hAnsi="ITC Avant Garde" w:cs="Helvetica"/>
          <w:b/>
          <w:sz w:val="24"/>
          <w:szCs w:val="24"/>
        </w:rPr>
        <w:t>una concentración</w:t>
      </w:r>
      <w:r w:rsidR="00211D2C">
        <w:rPr>
          <w:rFonts w:ascii="ITC Avant Garde" w:hAnsi="ITC Avant Garde" w:cs="Helvetica"/>
          <w:b/>
          <w:sz w:val="24"/>
          <w:szCs w:val="24"/>
        </w:rPr>
        <w:t xml:space="preserve"> en este caso</w:t>
      </w:r>
      <w:r w:rsidR="008D71A8">
        <w:rPr>
          <w:rFonts w:ascii="ITC Avant Garde" w:hAnsi="ITC Avant Garde" w:cs="Helvetica"/>
          <w:b/>
          <w:sz w:val="24"/>
          <w:szCs w:val="24"/>
        </w:rPr>
        <w:t xml:space="preserve">, </w:t>
      </w:r>
      <w:r w:rsidR="008D71A8">
        <w:rPr>
          <w:rFonts w:ascii="ITC Avant Garde" w:hAnsi="ITC Avant Garde" w:cs="Helvetica"/>
          <w:b/>
          <w:sz w:val="24"/>
          <w:szCs w:val="24"/>
        </w:rPr>
        <w:lastRenderedPageBreak/>
        <w:t xml:space="preserve">independientemente de que </w:t>
      </w:r>
      <w:r w:rsidR="000D120D">
        <w:rPr>
          <w:rFonts w:ascii="ITC Avant Garde" w:hAnsi="ITC Avant Garde" w:cs="Helvetica"/>
          <w:b/>
          <w:sz w:val="24"/>
          <w:szCs w:val="24"/>
        </w:rPr>
        <w:t xml:space="preserve">los accionistas de Cablecom o Tenedora Ares estuvieran o no, habilitados para revertir los efectos del Cúmulo de Operaciones, ya sea porque estaban impedidos legalmente o </w:t>
      </w:r>
      <w:r w:rsidR="00A92A8F">
        <w:rPr>
          <w:rFonts w:ascii="ITC Avant Garde" w:hAnsi="ITC Avant Garde" w:cs="Helvetica"/>
          <w:b/>
          <w:sz w:val="24"/>
          <w:szCs w:val="24"/>
        </w:rPr>
        <w:t xml:space="preserve">carecían </w:t>
      </w:r>
      <w:r w:rsidR="00DC7989">
        <w:rPr>
          <w:rFonts w:ascii="ITC Avant Garde" w:hAnsi="ITC Avant Garde" w:cs="Helvetica"/>
          <w:b/>
          <w:sz w:val="24"/>
          <w:szCs w:val="24"/>
        </w:rPr>
        <w:t xml:space="preserve">de </w:t>
      </w:r>
      <w:r w:rsidR="00A92A8F">
        <w:rPr>
          <w:rFonts w:ascii="ITC Avant Garde" w:hAnsi="ITC Avant Garde" w:cs="Helvetica"/>
          <w:b/>
          <w:sz w:val="24"/>
          <w:szCs w:val="24"/>
        </w:rPr>
        <w:t xml:space="preserve">incentivos para ello. </w:t>
      </w:r>
    </w:p>
    <w:p w:rsidR="002C1800" w:rsidRDefault="006B1232" w:rsidP="00315FEF">
      <w:pPr>
        <w:spacing w:after="120" w:line="240" w:lineRule="auto"/>
        <w:jc w:val="both"/>
        <w:rPr>
          <w:rFonts w:ascii="ITC Avant Garde" w:hAnsi="ITC Avant Garde" w:cs="Helvetica"/>
          <w:sz w:val="24"/>
          <w:szCs w:val="24"/>
        </w:rPr>
      </w:pPr>
      <w:r>
        <w:rPr>
          <w:rFonts w:ascii="ITC Avant Garde" w:hAnsi="ITC Avant Garde" w:cs="Helvetica"/>
          <w:sz w:val="24"/>
          <w:szCs w:val="24"/>
        </w:rPr>
        <w:t>Anteriormente</w:t>
      </w:r>
      <w:r w:rsidR="0011109D">
        <w:rPr>
          <w:rFonts w:ascii="ITC Avant Garde" w:hAnsi="ITC Avant Garde" w:cs="Helvetica"/>
          <w:sz w:val="24"/>
          <w:szCs w:val="24"/>
        </w:rPr>
        <w:t>,</w:t>
      </w:r>
      <w:r>
        <w:rPr>
          <w:rFonts w:ascii="ITC Avant Garde" w:hAnsi="ITC Avant Garde" w:cs="Helvetica"/>
          <w:sz w:val="24"/>
          <w:szCs w:val="24"/>
        </w:rPr>
        <w:t xml:space="preserve"> se identificaron cuáles son los elementos que esta autoridad </w:t>
      </w:r>
      <w:r w:rsidR="00182295">
        <w:rPr>
          <w:rFonts w:ascii="ITC Avant Garde" w:hAnsi="ITC Avant Garde" w:cs="Helvetica"/>
          <w:sz w:val="24"/>
          <w:szCs w:val="24"/>
        </w:rPr>
        <w:t xml:space="preserve">ha adoptado para conformación de un GIE y la identificación de control </w:t>
      </w:r>
      <w:r w:rsidR="002C1800">
        <w:rPr>
          <w:rFonts w:ascii="ITC Avant Garde" w:hAnsi="ITC Avant Garde" w:cs="Helvetica"/>
          <w:sz w:val="24"/>
          <w:szCs w:val="24"/>
        </w:rPr>
        <w:t>de un agente económico sobre otro</w:t>
      </w:r>
      <w:r w:rsidR="00182295">
        <w:rPr>
          <w:rFonts w:ascii="ITC Avant Garde" w:hAnsi="ITC Avant Garde" w:cs="Helvetica"/>
          <w:sz w:val="24"/>
          <w:szCs w:val="24"/>
        </w:rPr>
        <w:t xml:space="preserve">. </w:t>
      </w:r>
    </w:p>
    <w:p w:rsidR="000E0790" w:rsidRDefault="00182295" w:rsidP="00315FEF">
      <w:pPr>
        <w:spacing w:after="120" w:line="240" w:lineRule="auto"/>
        <w:jc w:val="both"/>
        <w:rPr>
          <w:rFonts w:ascii="ITC Avant Garde" w:hAnsi="ITC Avant Garde" w:cs="Helvetica"/>
          <w:sz w:val="24"/>
          <w:szCs w:val="24"/>
        </w:rPr>
      </w:pPr>
      <w:r>
        <w:rPr>
          <w:rFonts w:ascii="ITC Avant Garde" w:hAnsi="ITC Avant Garde" w:cs="Helvetica"/>
          <w:sz w:val="24"/>
          <w:szCs w:val="24"/>
        </w:rPr>
        <w:t>Al resp</w:t>
      </w:r>
      <w:r w:rsidR="000A51B6">
        <w:rPr>
          <w:rFonts w:ascii="ITC Avant Garde" w:hAnsi="ITC Avant Garde" w:cs="Helvetica"/>
          <w:sz w:val="24"/>
          <w:szCs w:val="24"/>
        </w:rPr>
        <w:t>ecto, las restricciones de los accionistas de Tenedora Ares y Cablecom para revertir los efectos del Cúmulo de Operaciones no trascienden sobre los elementos que se deben considerar para identificar la existencia de una concentración.</w:t>
      </w:r>
    </w:p>
    <w:p w:rsidR="000A51B6" w:rsidRDefault="000A51B6" w:rsidP="00315FEF">
      <w:pPr>
        <w:spacing w:after="120" w:line="240" w:lineRule="auto"/>
        <w:jc w:val="both"/>
        <w:rPr>
          <w:rFonts w:ascii="ITC Avant Garde" w:hAnsi="ITC Avant Garde" w:cs="Helvetica"/>
          <w:sz w:val="24"/>
          <w:szCs w:val="24"/>
        </w:rPr>
      </w:pPr>
      <w:r>
        <w:rPr>
          <w:rFonts w:ascii="ITC Avant Garde" w:hAnsi="ITC Avant Garde" w:cs="Helvetica"/>
          <w:sz w:val="24"/>
          <w:szCs w:val="24"/>
        </w:rPr>
        <w:t xml:space="preserve">En todo caso, </w:t>
      </w:r>
      <w:r w:rsidR="00247FE5">
        <w:rPr>
          <w:rFonts w:ascii="ITC Avant Garde" w:hAnsi="ITC Avant Garde" w:cs="Helvetica"/>
          <w:sz w:val="24"/>
          <w:szCs w:val="24"/>
        </w:rPr>
        <w:t>la naturaleza y objetivos particulares de las cláusulas contenidas en el Cúmulo de Contratos, no son susceptibles de analizarse por esta autoridad, dado que únicamente corresponde analizar la Operación Investigada y el Cúmulo de Operaciones en su conjunto y si con motivo de ello</w:t>
      </w:r>
      <w:r w:rsidR="0011109D">
        <w:rPr>
          <w:rFonts w:ascii="ITC Avant Garde" w:hAnsi="ITC Avant Garde" w:cs="Helvetica"/>
          <w:sz w:val="24"/>
          <w:szCs w:val="24"/>
        </w:rPr>
        <w:t>,</w:t>
      </w:r>
      <w:r w:rsidR="00247FE5">
        <w:rPr>
          <w:rFonts w:ascii="ITC Avant Garde" w:hAnsi="ITC Avant Garde" w:cs="Helvetica"/>
          <w:sz w:val="24"/>
          <w:szCs w:val="24"/>
        </w:rPr>
        <w:t xml:space="preserve"> se configura la existencia de una concentración. No obstante, no debe pasar desapercibido </w:t>
      </w:r>
      <w:r w:rsidR="00E33D9A">
        <w:rPr>
          <w:rFonts w:ascii="ITC Avant Garde" w:hAnsi="ITC Avant Garde" w:cs="Helvetica"/>
          <w:sz w:val="24"/>
          <w:szCs w:val="24"/>
        </w:rPr>
        <w:t>que</w:t>
      </w:r>
      <w:r w:rsidR="0011109D">
        <w:rPr>
          <w:rFonts w:ascii="ITC Avant Garde" w:hAnsi="ITC Avant Garde" w:cs="Helvetica"/>
          <w:sz w:val="24"/>
          <w:szCs w:val="24"/>
        </w:rPr>
        <w:t>,</w:t>
      </w:r>
      <w:r w:rsidR="00E33D9A">
        <w:rPr>
          <w:rFonts w:ascii="ITC Avant Garde" w:hAnsi="ITC Avant Garde" w:cs="Helvetica"/>
          <w:sz w:val="24"/>
          <w:szCs w:val="24"/>
        </w:rPr>
        <w:t xml:space="preserve"> el Cúmulo de Operaciones</w:t>
      </w:r>
      <w:r w:rsidR="0011109D">
        <w:rPr>
          <w:rFonts w:ascii="ITC Avant Garde" w:hAnsi="ITC Avant Garde" w:cs="Helvetica"/>
          <w:sz w:val="24"/>
          <w:szCs w:val="24"/>
        </w:rPr>
        <w:t>,</w:t>
      </w:r>
      <w:r w:rsidR="00E33D9A">
        <w:rPr>
          <w:rFonts w:ascii="ITC Avant Garde" w:hAnsi="ITC Avant Garde" w:cs="Helvetica"/>
          <w:sz w:val="24"/>
          <w:szCs w:val="24"/>
        </w:rPr>
        <w:t xml:space="preserve"> comprende un acto entre particulares mediante la manife</w:t>
      </w:r>
      <w:r w:rsidR="001C6EF7">
        <w:rPr>
          <w:rFonts w:ascii="ITC Avant Garde" w:hAnsi="ITC Avant Garde" w:cs="Helvetica"/>
          <w:sz w:val="24"/>
          <w:szCs w:val="24"/>
        </w:rPr>
        <w:t>stación expresa de su voluntad, regidas por leyes distintas a la LFCE.</w:t>
      </w:r>
    </w:p>
    <w:p w:rsidR="00D14480" w:rsidRDefault="001C6EF7" w:rsidP="00315FEF">
      <w:pPr>
        <w:spacing w:after="120" w:line="240" w:lineRule="auto"/>
        <w:jc w:val="both"/>
        <w:rPr>
          <w:rFonts w:ascii="ITC Avant Garde" w:hAnsi="ITC Avant Garde" w:cs="Helvetica"/>
          <w:sz w:val="24"/>
          <w:szCs w:val="24"/>
        </w:rPr>
      </w:pPr>
      <w:r>
        <w:rPr>
          <w:rFonts w:ascii="ITC Avant Garde" w:hAnsi="ITC Avant Garde" w:cs="Helvetica"/>
          <w:sz w:val="24"/>
          <w:szCs w:val="24"/>
        </w:rPr>
        <w:t>Si bien</w:t>
      </w:r>
      <w:r w:rsidR="00E554E0">
        <w:rPr>
          <w:rFonts w:ascii="ITC Avant Garde" w:hAnsi="ITC Avant Garde" w:cs="Helvetica"/>
          <w:sz w:val="24"/>
          <w:szCs w:val="24"/>
        </w:rPr>
        <w:t xml:space="preserve"> existían restricciones legalmente temporales para la conversión de las obligaciones, la amortización de las obligaciones en efectivo o la amortización de las obligaciones mediante la entrega de acciones lib</w:t>
      </w:r>
      <w:r w:rsidR="0083170C">
        <w:rPr>
          <w:rFonts w:ascii="ITC Avant Garde" w:hAnsi="ITC Avant Garde" w:cs="Helvetica"/>
          <w:sz w:val="24"/>
          <w:szCs w:val="24"/>
        </w:rPr>
        <w:t>eradas y, con la facultad de Arretis para</w:t>
      </w:r>
      <w:r w:rsidR="00DA056E">
        <w:rPr>
          <w:rFonts w:ascii="ITC Avant Garde" w:hAnsi="ITC Avant Garde" w:cs="Helvetica"/>
          <w:sz w:val="24"/>
          <w:szCs w:val="24"/>
        </w:rPr>
        <w:t xml:space="preserve"> </w:t>
      </w:r>
      <w:r w:rsidR="00DA056E" w:rsidRPr="00CE5237">
        <w:rPr>
          <w:rFonts w:ascii="ITC Avant Garde" w:hAnsi="ITC Avant Garde" w:cs="Helvetica"/>
          <w:b/>
          <w:color w:val="0000FF"/>
        </w:rPr>
        <w:t>“CONFIDENCIAL POR LEY”</w:t>
      </w:r>
      <w:r w:rsidR="0083170C">
        <w:rPr>
          <w:rFonts w:ascii="ITC Avant Garde" w:hAnsi="ITC Avant Garde" w:cs="Helvetica"/>
          <w:sz w:val="24"/>
          <w:szCs w:val="24"/>
        </w:rPr>
        <w:t xml:space="preserve"> </w:t>
      </w:r>
      <w:r w:rsidR="0072719B">
        <w:rPr>
          <w:rFonts w:ascii="ITC Avant Garde" w:hAnsi="ITC Avant Garde" w:cs="Helvetica"/>
          <w:sz w:val="24"/>
          <w:szCs w:val="24"/>
        </w:rPr>
        <w:t xml:space="preserve">lo cierto es que, como se ha indicado en esta resolución, </w:t>
      </w:r>
      <w:r w:rsidR="00E72B50">
        <w:rPr>
          <w:rFonts w:ascii="ITC Avant Garde" w:hAnsi="ITC Avant Garde" w:cs="Helvetica"/>
          <w:sz w:val="24"/>
          <w:szCs w:val="24"/>
        </w:rPr>
        <w:t xml:space="preserve">estos elementos no son suficientes </w:t>
      </w:r>
      <w:r w:rsidR="00E72B50" w:rsidRPr="00E72B50">
        <w:rPr>
          <w:rFonts w:ascii="ITC Avant Garde" w:hAnsi="ITC Avant Garde" w:cs="Helvetica"/>
          <w:i/>
          <w:sz w:val="24"/>
          <w:szCs w:val="24"/>
        </w:rPr>
        <w:t>per se</w:t>
      </w:r>
      <w:r w:rsidR="00E72B50">
        <w:rPr>
          <w:rFonts w:ascii="ITC Avant Garde" w:hAnsi="ITC Avant Garde" w:cs="Helvetica"/>
          <w:sz w:val="24"/>
          <w:szCs w:val="24"/>
        </w:rPr>
        <w:t xml:space="preserve"> para acreditar que Arretis haya adquirido control sobre Teledora Ares y Cablecom</w:t>
      </w:r>
      <w:r w:rsidR="00602342">
        <w:rPr>
          <w:rFonts w:ascii="ITC Avant Garde" w:hAnsi="ITC Avant Garde" w:cs="Helvetica"/>
          <w:sz w:val="24"/>
          <w:szCs w:val="24"/>
        </w:rPr>
        <w:t>.</w:t>
      </w:r>
    </w:p>
    <w:p w:rsidR="00602342" w:rsidRDefault="00602342" w:rsidP="00315FEF">
      <w:pPr>
        <w:spacing w:after="120" w:line="240" w:lineRule="auto"/>
        <w:jc w:val="both"/>
        <w:rPr>
          <w:rFonts w:ascii="ITC Avant Garde" w:hAnsi="ITC Avant Garde" w:cs="Helvetica"/>
          <w:sz w:val="24"/>
          <w:szCs w:val="24"/>
        </w:rPr>
      </w:pPr>
      <w:r>
        <w:rPr>
          <w:rFonts w:ascii="ITC Avant Garde" w:hAnsi="ITC Avant Garde" w:cs="Helvetica"/>
          <w:sz w:val="24"/>
          <w:szCs w:val="24"/>
        </w:rPr>
        <w:t xml:space="preserve">Es importante </w:t>
      </w:r>
      <w:r w:rsidR="00E7508E">
        <w:rPr>
          <w:rFonts w:ascii="ITC Avant Garde" w:hAnsi="ITC Avant Garde" w:cs="Helvetica"/>
          <w:sz w:val="24"/>
          <w:szCs w:val="24"/>
        </w:rPr>
        <w:t xml:space="preserve">resaltar la cláusula </w:t>
      </w:r>
      <w:r w:rsidR="00DA056E" w:rsidRPr="00CE5237">
        <w:rPr>
          <w:rFonts w:ascii="ITC Avant Garde" w:hAnsi="ITC Avant Garde" w:cs="Helvetica"/>
          <w:b/>
          <w:color w:val="0000FF"/>
        </w:rPr>
        <w:t>“CONFIDENCIAL POR LEY”</w:t>
      </w:r>
      <w:r w:rsidR="00DA056E">
        <w:rPr>
          <w:rFonts w:ascii="ITC Avant Garde" w:hAnsi="ITC Avant Garde" w:cs="Helvetica"/>
          <w:b/>
          <w:color w:val="0000FF"/>
        </w:rPr>
        <w:t xml:space="preserve"> </w:t>
      </w:r>
      <w:r w:rsidR="00E7508E">
        <w:rPr>
          <w:rFonts w:ascii="ITC Avant Garde" w:hAnsi="ITC Avant Garde" w:cs="Helvetica"/>
          <w:sz w:val="24"/>
          <w:szCs w:val="24"/>
        </w:rPr>
        <w:t>contenida en el Acta de Emisión, donde una vez que las obligaciones fueran pagadas y se emitieran los títulos que ampararan las mismas, el obligacionista adquiriría el derecho a convertir las obligaciones en acciones del capital social de Tenedora Ares</w:t>
      </w:r>
      <w:r w:rsidR="00931858">
        <w:rPr>
          <w:rFonts w:ascii="ITC Avant Garde" w:hAnsi="ITC Avant Garde" w:cs="Helvetica"/>
          <w:sz w:val="24"/>
          <w:szCs w:val="24"/>
        </w:rPr>
        <w:t xml:space="preserve"> en cualquier momento, sujeto a la obtención de las autorizaciones o permisos gubernamentales necesarios. Es decir, la autorización por parte del Instituto para la realización de la concentración.</w:t>
      </w:r>
    </w:p>
    <w:p w:rsidR="00855B11" w:rsidRPr="00AD3DF9" w:rsidRDefault="00361245" w:rsidP="00315FEF">
      <w:pPr>
        <w:spacing w:after="120" w:line="240" w:lineRule="auto"/>
        <w:jc w:val="both"/>
        <w:rPr>
          <w:rFonts w:ascii="ITC Avant Garde" w:hAnsi="ITC Avant Garde" w:cs="Helvetica"/>
          <w:sz w:val="24"/>
          <w:szCs w:val="24"/>
        </w:rPr>
      </w:pPr>
      <w:r>
        <w:rPr>
          <w:rFonts w:ascii="ITC Avant Garde" w:hAnsi="ITC Avant Garde" w:cs="Helvetica"/>
          <w:sz w:val="24"/>
          <w:szCs w:val="24"/>
        </w:rPr>
        <w:t xml:space="preserve">En términos de lo anterior, esta autoridad encuentra que </w:t>
      </w:r>
      <w:r w:rsidR="00E72B50">
        <w:rPr>
          <w:rFonts w:ascii="ITC Avant Garde" w:hAnsi="ITC Avant Garde" w:cs="Helvetica"/>
          <w:sz w:val="24"/>
          <w:szCs w:val="24"/>
        </w:rPr>
        <w:t xml:space="preserve">al </w:t>
      </w:r>
      <w:r>
        <w:rPr>
          <w:rFonts w:ascii="ITC Avant Garde" w:hAnsi="ITC Avant Garde" w:cs="Helvetica"/>
          <w:sz w:val="24"/>
          <w:szCs w:val="24"/>
        </w:rPr>
        <w:t xml:space="preserve">contrario </w:t>
      </w:r>
      <w:r w:rsidR="00E72B50">
        <w:rPr>
          <w:rFonts w:ascii="ITC Avant Garde" w:hAnsi="ITC Avant Garde" w:cs="Helvetica"/>
          <w:sz w:val="24"/>
          <w:szCs w:val="24"/>
        </w:rPr>
        <w:t>de</w:t>
      </w:r>
      <w:r>
        <w:rPr>
          <w:rFonts w:ascii="ITC Avant Garde" w:hAnsi="ITC Avant Garde" w:cs="Helvetica"/>
          <w:sz w:val="24"/>
          <w:szCs w:val="24"/>
        </w:rPr>
        <w:t xml:space="preserve"> lo que señaló el OPR, </w:t>
      </w:r>
      <w:r w:rsidR="0041218D">
        <w:rPr>
          <w:rFonts w:ascii="ITC Avant Garde" w:hAnsi="ITC Avant Garde" w:cs="Helvetica"/>
          <w:sz w:val="24"/>
          <w:szCs w:val="24"/>
        </w:rPr>
        <w:t xml:space="preserve">sí </w:t>
      </w:r>
      <w:r w:rsidR="00913474">
        <w:rPr>
          <w:rFonts w:ascii="ITC Avant Garde" w:hAnsi="ITC Avant Garde" w:cs="Helvetica"/>
          <w:sz w:val="24"/>
          <w:szCs w:val="24"/>
        </w:rPr>
        <w:t xml:space="preserve">se contemplaban </w:t>
      </w:r>
      <w:r w:rsidR="0041218D">
        <w:rPr>
          <w:rFonts w:ascii="ITC Avant Garde" w:hAnsi="ITC Avant Garde" w:cs="Helvetica"/>
          <w:sz w:val="24"/>
          <w:szCs w:val="24"/>
        </w:rPr>
        <w:t xml:space="preserve">por lo menos dos formas de revertir los efectos del Cúmulo de Operaciones. En la primera, </w:t>
      </w:r>
      <w:r w:rsidR="004B648E">
        <w:rPr>
          <w:rFonts w:ascii="ITC Avant Garde" w:hAnsi="ITC Avant Garde" w:cs="Helvetica"/>
          <w:sz w:val="24"/>
          <w:szCs w:val="24"/>
        </w:rPr>
        <w:t xml:space="preserve">existía la posibilidad de que el Instituto no autorizara la concentración que en su caso se hubiese notificado de conformidad con la LFCE, dado que, al no obtenerse dicha autorización, Tenedora Ares </w:t>
      </w:r>
      <w:r w:rsidR="004A4D65">
        <w:rPr>
          <w:rFonts w:ascii="ITC Avant Garde" w:hAnsi="ITC Avant Garde" w:cs="Helvetica"/>
          <w:sz w:val="24"/>
          <w:szCs w:val="24"/>
        </w:rPr>
        <w:t>podría liberarse de su obligación a través del pago en efectivo de las obligaciones</w:t>
      </w:r>
      <w:r w:rsidR="00857F1C">
        <w:rPr>
          <w:rFonts w:ascii="ITC Avant Garde" w:hAnsi="ITC Avant Garde" w:cs="Helvetica"/>
          <w:sz w:val="24"/>
          <w:szCs w:val="24"/>
        </w:rPr>
        <w:t>. Sin embargo, esta notificación no ocurrió en virtud de que el Cúmulo de Operaciones fue materia del aviso previsto en el artículo Noveno Transitorio</w:t>
      </w:r>
      <w:r w:rsidR="004A4D65">
        <w:rPr>
          <w:rFonts w:ascii="ITC Avant Garde" w:hAnsi="ITC Avant Garde" w:cs="Helvetica"/>
          <w:sz w:val="24"/>
          <w:szCs w:val="24"/>
        </w:rPr>
        <w:t xml:space="preserve">. En la segunda, el supuesto atiende a un ámbito temporal, en el cual, </w:t>
      </w:r>
      <w:r w:rsidR="00623488">
        <w:rPr>
          <w:rFonts w:ascii="ITC Avant Garde" w:hAnsi="ITC Avant Garde" w:cs="Helvetica"/>
          <w:sz w:val="24"/>
          <w:szCs w:val="24"/>
        </w:rPr>
        <w:t xml:space="preserve">después del treinta y uno de julio de dos mil dieciocho (fecha identificada </w:t>
      </w:r>
      <w:r w:rsidR="00855B11">
        <w:rPr>
          <w:rFonts w:ascii="ITC Avant Garde" w:hAnsi="ITC Avant Garde" w:cs="Helvetica"/>
          <w:sz w:val="24"/>
          <w:szCs w:val="24"/>
        </w:rPr>
        <w:t>como Amortización Inicial</w:t>
      </w:r>
      <w:r w:rsidR="002A5179">
        <w:rPr>
          <w:rFonts w:ascii="ITC Avant Garde" w:hAnsi="ITC Avant Garde" w:cs="Helvetica"/>
          <w:sz w:val="24"/>
          <w:szCs w:val="24"/>
        </w:rPr>
        <w:t xml:space="preserve"> en el Acta de Emisión</w:t>
      </w:r>
      <w:r w:rsidR="00855B11">
        <w:rPr>
          <w:rFonts w:ascii="ITC Avant Garde" w:hAnsi="ITC Avant Garde" w:cs="Helvetica"/>
          <w:sz w:val="24"/>
          <w:szCs w:val="24"/>
        </w:rPr>
        <w:t>), Tenedora Ares podía amortizar las obligaciones en efectivo sin pena alguna.</w:t>
      </w:r>
    </w:p>
    <w:p w:rsidR="0035564E" w:rsidRDefault="00516976" w:rsidP="00516976">
      <w:pPr>
        <w:spacing w:after="120" w:line="240" w:lineRule="auto"/>
        <w:jc w:val="both"/>
        <w:rPr>
          <w:rFonts w:ascii="ITC Avant Garde" w:hAnsi="ITC Avant Garde"/>
          <w:sz w:val="24"/>
        </w:rPr>
      </w:pPr>
      <w:r>
        <w:rPr>
          <w:rFonts w:ascii="ITC Avant Garde" w:hAnsi="ITC Avant Garde"/>
          <w:sz w:val="24"/>
        </w:rPr>
        <w:lastRenderedPageBreak/>
        <w:t>En este sentido, no se encuentran elementos</w:t>
      </w:r>
      <w:r w:rsidR="00995260">
        <w:rPr>
          <w:rFonts w:ascii="ITC Avant Garde" w:hAnsi="ITC Avant Garde"/>
          <w:sz w:val="24"/>
        </w:rPr>
        <w:t xml:space="preserve"> de convicción </w:t>
      </w:r>
      <w:r w:rsidR="0035564E">
        <w:rPr>
          <w:rFonts w:ascii="ITC Avant Garde" w:hAnsi="ITC Avant Garde"/>
          <w:sz w:val="24"/>
        </w:rPr>
        <w:t xml:space="preserve">en el Expediente </w:t>
      </w:r>
      <w:r w:rsidR="00995260">
        <w:rPr>
          <w:rFonts w:ascii="ITC Avant Garde" w:hAnsi="ITC Avant Garde"/>
          <w:sz w:val="24"/>
        </w:rPr>
        <w:t xml:space="preserve">que permitan acreditar que el Cúmulo de Operaciones </w:t>
      </w:r>
      <w:r w:rsidR="00E72B50">
        <w:rPr>
          <w:rFonts w:ascii="ITC Avant Garde" w:hAnsi="ITC Avant Garde"/>
          <w:sz w:val="24"/>
        </w:rPr>
        <w:t>confirió control a Arretis sobre Tenedora Ares y Cablecom y, por lo tanto, que haya constituido</w:t>
      </w:r>
      <w:r w:rsidR="00995260">
        <w:rPr>
          <w:rFonts w:ascii="ITC Avant Garde" w:hAnsi="ITC Avant Garde"/>
          <w:sz w:val="24"/>
        </w:rPr>
        <w:t xml:space="preserve"> una concentración</w:t>
      </w:r>
      <w:r w:rsidR="0035564E">
        <w:rPr>
          <w:rFonts w:ascii="ITC Avant Garde" w:hAnsi="ITC Avant Garde"/>
          <w:sz w:val="24"/>
        </w:rPr>
        <w:t xml:space="preserve">. </w:t>
      </w:r>
      <w:r w:rsidR="00DA056E" w:rsidRPr="00CE5237">
        <w:rPr>
          <w:rFonts w:ascii="ITC Avant Garde" w:hAnsi="ITC Avant Garde" w:cs="Helvetica"/>
          <w:b/>
          <w:color w:val="0000FF"/>
        </w:rPr>
        <w:t>“CONFIDENCIAL POR LEY”</w:t>
      </w:r>
      <w:r w:rsidR="00DA056E">
        <w:rPr>
          <w:rFonts w:ascii="ITC Avant Garde" w:hAnsi="ITC Avant Garde" w:cs="Helvetica"/>
          <w:b/>
          <w:color w:val="0000FF"/>
        </w:rPr>
        <w:t xml:space="preserve"> </w:t>
      </w:r>
      <w:r w:rsidR="00995260">
        <w:rPr>
          <w:rFonts w:ascii="ITC Avant Garde" w:hAnsi="ITC Avant Garde"/>
          <w:sz w:val="24"/>
        </w:rPr>
        <w:t xml:space="preserve">no resulta atípica ni ajena a los mecanismos que suelen integrar los agentes económicos </w:t>
      </w:r>
      <w:r w:rsidR="0035564E">
        <w:rPr>
          <w:rFonts w:ascii="ITC Avant Garde" w:hAnsi="ITC Avant Garde"/>
          <w:sz w:val="24"/>
        </w:rPr>
        <w:t xml:space="preserve">en el mercado financiero para asegurar el pago de la </w:t>
      </w:r>
      <w:r w:rsidR="00633920">
        <w:rPr>
          <w:rFonts w:ascii="ITC Avant Garde" w:hAnsi="ITC Avant Garde"/>
          <w:sz w:val="24"/>
        </w:rPr>
        <w:t xml:space="preserve">deuda </w:t>
      </w:r>
      <w:r w:rsidR="0035564E">
        <w:rPr>
          <w:rFonts w:ascii="ITC Avant Garde" w:hAnsi="ITC Avant Garde"/>
          <w:sz w:val="24"/>
        </w:rPr>
        <w:t>que</w:t>
      </w:r>
      <w:r w:rsidR="00633920">
        <w:rPr>
          <w:rFonts w:ascii="ITC Avant Garde" w:hAnsi="ITC Avant Garde"/>
          <w:sz w:val="24"/>
        </w:rPr>
        <w:t xml:space="preserve"> las emplazadas pactaron</w:t>
      </w:r>
      <w:r w:rsidR="0035564E">
        <w:rPr>
          <w:rFonts w:ascii="ITC Avant Garde" w:hAnsi="ITC Avant Garde"/>
          <w:sz w:val="24"/>
        </w:rPr>
        <w:t xml:space="preserve">. Es decir, que los efectos y alcances de las cláusulas que integraron los instrumentos jurídicos en comento tienen una naturaleza mercantil y financiera, propia del objeto que </w:t>
      </w:r>
      <w:r w:rsidR="00A008DF">
        <w:rPr>
          <w:rFonts w:ascii="ITC Avant Garde" w:hAnsi="ITC Avant Garde"/>
          <w:sz w:val="24"/>
        </w:rPr>
        <w:t>persigui</w:t>
      </w:r>
      <w:r w:rsidR="00E72B50">
        <w:rPr>
          <w:rFonts w:ascii="ITC Avant Garde" w:hAnsi="ITC Avant Garde"/>
          <w:sz w:val="24"/>
        </w:rPr>
        <w:t>eron</w:t>
      </w:r>
      <w:r w:rsidR="0035564E">
        <w:rPr>
          <w:rFonts w:ascii="ITC Avant Garde" w:hAnsi="ITC Avant Garde"/>
          <w:sz w:val="24"/>
        </w:rPr>
        <w:t xml:space="preserve"> el Acta de Emisión y el Contrato de Crédito</w:t>
      </w:r>
      <w:r w:rsidR="00A008DF">
        <w:rPr>
          <w:rFonts w:ascii="ITC Avant Garde" w:hAnsi="ITC Avant Garde"/>
          <w:sz w:val="24"/>
        </w:rPr>
        <w:t>, así como sus instrumentos prendarios</w:t>
      </w:r>
      <w:r w:rsidR="0035564E">
        <w:rPr>
          <w:rFonts w:ascii="ITC Avant Garde" w:hAnsi="ITC Avant Garde"/>
          <w:sz w:val="24"/>
        </w:rPr>
        <w:t>.</w:t>
      </w:r>
    </w:p>
    <w:p w:rsidR="00B95D50" w:rsidRDefault="0035564E" w:rsidP="00726501">
      <w:pPr>
        <w:spacing w:after="120" w:line="240" w:lineRule="auto"/>
        <w:jc w:val="both"/>
        <w:rPr>
          <w:rFonts w:ascii="ITC Avant Garde" w:hAnsi="ITC Avant Garde"/>
          <w:sz w:val="24"/>
        </w:rPr>
      </w:pPr>
      <w:r>
        <w:rPr>
          <w:rFonts w:ascii="ITC Avant Garde" w:hAnsi="ITC Avant Garde"/>
          <w:sz w:val="24"/>
        </w:rPr>
        <w:t xml:space="preserve">En consecuencia, se concluye </w:t>
      </w:r>
      <w:r w:rsidR="00C34268">
        <w:rPr>
          <w:rFonts w:ascii="ITC Avant Garde" w:hAnsi="ITC Avant Garde"/>
          <w:sz w:val="24"/>
        </w:rPr>
        <w:t>en el presente caso</w:t>
      </w:r>
      <w:r>
        <w:rPr>
          <w:rFonts w:ascii="ITC Avant Garde" w:hAnsi="ITC Avant Garde"/>
          <w:sz w:val="24"/>
        </w:rPr>
        <w:t xml:space="preserve"> que </w:t>
      </w:r>
      <w:r w:rsidR="00DA056E" w:rsidRPr="00CE5237">
        <w:rPr>
          <w:rFonts w:ascii="ITC Avant Garde" w:hAnsi="ITC Avant Garde" w:cs="Helvetica"/>
          <w:b/>
          <w:color w:val="0000FF"/>
        </w:rPr>
        <w:t>“CONFIDENCIAL POR LEY”</w:t>
      </w:r>
      <w:r w:rsidR="00DA056E">
        <w:rPr>
          <w:rFonts w:ascii="ITC Avant Garde" w:hAnsi="ITC Avant Garde" w:cs="Helvetica"/>
          <w:b/>
          <w:color w:val="0000FF"/>
        </w:rPr>
        <w:t xml:space="preserve"> </w:t>
      </w:r>
      <w:r>
        <w:rPr>
          <w:rFonts w:ascii="ITC Avant Garde" w:hAnsi="ITC Avant Garde"/>
          <w:sz w:val="24"/>
        </w:rPr>
        <w:t xml:space="preserve">no configura </w:t>
      </w:r>
      <w:r w:rsidRPr="00E83468">
        <w:rPr>
          <w:rFonts w:ascii="ITC Avant Garde" w:hAnsi="ITC Avant Garde"/>
          <w:i/>
          <w:sz w:val="24"/>
        </w:rPr>
        <w:t>per se</w:t>
      </w:r>
      <w:r>
        <w:rPr>
          <w:rFonts w:ascii="ITC Avant Garde" w:hAnsi="ITC Avant Garde"/>
          <w:sz w:val="24"/>
        </w:rPr>
        <w:t xml:space="preserve"> un mecanismo de control de conformidad con el artículo 16 de la LFCE, razón por la que queda desvirtuada la imputación realizada en el OPR, respecto de que </w:t>
      </w:r>
      <w:r w:rsidR="008263BE">
        <w:rPr>
          <w:rFonts w:ascii="ITC Avant Garde" w:hAnsi="ITC Avant Garde"/>
          <w:sz w:val="24"/>
        </w:rPr>
        <w:t xml:space="preserve">la adquisición de control </w:t>
      </w:r>
      <w:r w:rsidR="008263BE">
        <w:rPr>
          <w:rFonts w:ascii="ITC Avant Garde" w:hAnsi="ITC Avant Garde"/>
          <w:i/>
          <w:sz w:val="24"/>
        </w:rPr>
        <w:t>de facto</w:t>
      </w:r>
      <w:r w:rsidR="008263BE">
        <w:rPr>
          <w:rFonts w:ascii="ITC Avant Garde" w:hAnsi="ITC Avant Garde"/>
          <w:sz w:val="24"/>
        </w:rPr>
        <w:t xml:space="preserve"> de GTV sobre Tenedora Ares y Cablecom actualizó la existencia de una concentración.</w:t>
      </w:r>
    </w:p>
    <w:p w:rsidR="00CD5934" w:rsidRPr="00807D5B" w:rsidRDefault="00CD5934" w:rsidP="00726501">
      <w:pPr>
        <w:spacing w:after="120" w:line="240" w:lineRule="auto"/>
        <w:jc w:val="both"/>
        <w:rPr>
          <w:rFonts w:ascii="ITC Avant Garde" w:hAnsi="ITC Avant Garde"/>
          <w:sz w:val="24"/>
        </w:rPr>
      </w:pPr>
      <w:r>
        <w:rPr>
          <w:rFonts w:ascii="ITC Avant Garde" w:hAnsi="ITC Avant Garde"/>
          <w:sz w:val="24"/>
        </w:rPr>
        <w:t xml:space="preserve">Así, analizada la evidencia directa presentada en el OPR con relación a la existencia de una concentración de conformidad con el contenido del Cúmulo de Operaciones y, al no existir </w:t>
      </w:r>
      <w:r w:rsidR="003F6CA5">
        <w:rPr>
          <w:rFonts w:ascii="ITC Avant Garde" w:hAnsi="ITC Avant Garde"/>
          <w:sz w:val="24"/>
        </w:rPr>
        <w:t>evidencia indirecta</w:t>
      </w:r>
      <w:r w:rsidR="002B21B4">
        <w:rPr>
          <w:rStyle w:val="Refdenotaalpie"/>
          <w:rFonts w:ascii="ITC Avant Garde" w:hAnsi="ITC Avant Garde"/>
          <w:sz w:val="24"/>
        </w:rPr>
        <w:footnoteReference w:id="54"/>
      </w:r>
      <w:r w:rsidR="003F6CA5">
        <w:rPr>
          <w:rFonts w:ascii="ITC Avant Garde" w:hAnsi="ITC Avant Garde"/>
          <w:sz w:val="24"/>
        </w:rPr>
        <w:t xml:space="preserve"> </w:t>
      </w:r>
      <w:r w:rsidR="00A245F7">
        <w:rPr>
          <w:rFonts w:ascii="ITC Avant Garde" w:hAnsi="ITC Avant Garde"/>
          <w:sz w:val="24"/>
        </w:rPr>
        <w:t xml:space="preserve">para acreditar los intereses comerciales y financieros afines entre las Emplazadas, </w:t>
      </w:r>
      <w:r w:rsidR="00633920">
        <w:rPr>
          <w:rFonts w:ascii="ITC Avant Garde" w:hAnsi="ITC Avant Garde"/>
          <w:sz w:val="24"/>
        </w:rPr>
        <w:t>una unidad de comportamiento en el mercado, la adquisición de control</w:t>
      </w:r>
      <w:r w:rsidR="00A245F7">
        <w:rPr>
          <w:rFonts w:ascii="ITC Avant Garde" w:hAnsi="ITC Avant Garde"/>
          <w:sz w:val="24"/>
        </w:rPr>
        <w:t xml:space="preserve">, </w:t>
      </w:r>
      <w:r w:rsidR="005A6434">
        <w:rPr>
          <w:rFonts w:ascii="ITC Avant Garde" w:hAnsi="ITC Avant Garde"/>
          <w:sz w:val="24"/>
        </w:rPr>
        <w:t>así como la disminución de los incentivos de Cablecom para competir,</w:t>
      </w:r>
      <w:r w:rsidR="002B21B4">
        <w:rPr>
          <w:rStyle w:val="Refdenotaalpie"/>
          <w:rFonts w:ascii="ITC Avant Garde" w:hAnsi="ITC Avant Garde"/>
          <w:sz w:val="24"/>
        </w:rPr>
        <w:footnoteReference w:id="55"/>
      </w:r>
      <w:r w:rsidR="005A6434">
        <w:rPr>
          <w:rFonts w:ascii="ITC Avant Garde" w:hAnsi="ITC Avant Garde"/>
          <w:sz w:val="24"/>
        </w:rPr>
        <w:t xml:space="preserve"> </w:t>
      </w:r>
      <w:r w:rsidR="00A245F7">
        <w:rPr>
          <w:rFonts w:ascii="ITC Avant Garde" w:hAnsi="ITC Avant Garde"/>
          <w:sz w:val="24"/>
        </w:rPr>
        <w:t>que a decir del OPR, se generaron con motivo de la concentración</w:t>
      </w:r>
      <w:r w:rsidR="002B21B4">
        <w:rPr>
          <w:rFonts w:ascii="ITC Avant Garde" w:hAnsi="ITC Avant Garde"/>
          <w:sz w:val="24"/>
        </w:rPr>
        <w:t>,</w:t>
      </w:r>
      <w:r w:rsidR="001B1046">
        <w:rPr>
          <w:rFonts w:ascii="ITC Avant Garde" w:hAnsi="ITC Avant Garde"/>
          <w:sz w:val="24"/>
        </w:rPr>
        <w:t xml:space="preserve"> </w:t>
      </w:r>
      <w:r w:rsidR="00611879">
        <w:rPr>
          <w:rFonts w:ascii="ITC Avant Garde" w:hAnsi="ITC Avant Garde"/>
          <w:sz w:val="24"/>
        </w:rPr>
        <w:t xml:space="preserve">resulta procedente decretar el cierre del Expediente. </w:t>
      </w:r>
    </w:p>
    <w:p w:rsidR="000F1312" w:rsidRDefault="001B1046" w:rsidP="00516976">
      <w:pPr>
        <w:spacing w:after="120" w:line="240" w:lineRule="auto"/>
        <w:jc w:val="both"/>
        <w:rPr>
          <w:rFonts w:ascii="ITC Avant Garde" w:hAnsi="ITC Avant Garde"/>
          <w:sz w:val="24"/>
        </w:rPr>
      </w:pPr>
      <w:r>
        <w:rPr>
          <w:rFonts w:ascii="ITC Avant Garde" w:hAnsi="ITC Avant Garde"/>
          <w:sz w:val="24"/>
        </w:rPr>
        <w:t>D</w:t>
      </w:r>
      <w:r w:rsidR="008263BE">
        <w:rPr>
          <w:rFonts w:ascii="ITC Avant Garde" w:hAnsi="ITC Avant Garde"/>
          <w:sz w:val="24"/>
        </w:rPr>
        <w:t>ado que el OPR también imputó la omisión de notificar una concentración con fundamento en el artículo 20, fracción I de la LFCE</w:t>
      </w:r>
      <w:r w:rsidR="00287A8B">
        <w:rPr>
          <w:rFonts w:ascii="ITC Avant Garde" w:hAnsi="ITC Avant Garde"/>
          <w:sz w:val="24"/>
        </w:rPr>
        <w:t xml:space="preserve"> y que dicha concentración era prohibida de conformidad con los artículos 16, 17 y 18 de la LFCE</w:t>
      </w:r>
      <w:r w:rsidR="008263BE">
        <w:rPr>
          <w:rFonts w:ascii="ITC Avant Garde" w:hAnsi="ITC Avant Garde"/>
          <w:sz w:val="24"/>
        </w:rPr>
        <w:t xml:space="preserve"> y</w:t>
      </w:r>
      <w:r w:rsidR="00287A8B">
        <w:rPr>
          <w:rFonts w:ascii="ITC Avant Garde" w:hAnsi="ITC Avant Garde"/>
          <w:sz w:val="24"/>
        </w:rPr>
        <w:t>,</w:t>
      </w:r>
      <w:r w:rsidR="008263BE">
        <w:rPr>
          <w:rFonts w:ascii="ITC Avant Garde" w:hAnsi="ITC Avant Garde"/>
          <w:sz w:val="24"/>
        </w:rPr>
        <w:t xml:space="preserve"> al no tenerse por acreditada la realización de una concentración, no es dable sostener que las Emplazadas incurrieron en responsabilidad por dicha</w:t>
      </w:r>
      <w:r w:rsidR="00287A8B">
        <w:rPr>
          <w:rFonts w:ascii="ITC Avant Garde" w:hAnsi="ITC Avant Garde"/>
          <w:sz w:val="24"/>
        </w:rPr>
        <w:t>s</w:t>
      </w:r>
      <w:r w:rsidR="008263BE">
        <w:rPr>
          <w:rFonts w:ascii="ITC Avant Garde" w:hAnsi="ITC Avant Garde"/>
          <w:sz w:val="24"/>
        </w:rPr>
        <w:t xml:space="preserve"> conducta</w:t>
      </w:r>
      <w:r w:rsidR="00287A8B">
        <w:rPr>
          <w:rFonts w:ascii="ITC Avant Garde" w:hAnsi="ITC Avant Garde"/>
          <w:sz w:val="24"/>
        </w:rPr>
        <w:t>s</w:t>
      </w:r>
      <w:r w:rsidR="008263BE">
        <w:rPr>
          <w:rFonts w:ascii="ITC Avant Garde" w:hAnsi="ITC Avant Garde"/>
          <w:sz w:val="24"/>
        </w:rPr>
        <w:t>. Lo anterior, bajo la lógica de que la</w:t>
      </w:r>
      <w:r w:rsidR="005073B2">
        <w:rPr>
          <w:rFonts w:ascii="ITC Avant Garde" w:hAnsi="ITC Avant Garde"/>
          <w:sz w:val="24"/>
        </w:rPr>
        <w:t>s</w:t>
      </w:r>
      <w:r w:rsidR="008263BE">
        <w:rPr>
          <w:rFonts w:ascii="ITC Avant Garde" w:hAnsi="ITC Avant Garde"/>
          <w:sz w:val="24"/>
        </w:rPr>
        <w:t xml:space="preserve"> imputaci</w:t>
      </w:r>
      <w:r w:rsidR="005073B2">
        <w:rPr>
          <w:rFonts w:ascii="ITC Avant Garde" w:hAnsi="ITC Avant Garde"/>
          <w:sz w:val="24"/>
        </w:rPr>
        <w:t>ones</w:t>
      </w:r>
      <w:r w:rsidR="000F1312">
        <w:rPr>
          <w:rFonts w:ascii="ITC Avant Garde" w:hAnsi="ITC Avant Garde"/>
          <w:sz w:val="24"/>
        </w:rPr>
        <w:t xml:space="preserve"> aquí referida</w:t>
      </w:r>
      <w:r w:rsidR="005073B2">
        <w:rPr>
          <w:rFonts w:ascii="ITC Avant Garde" w:hAnsi="ITC Avant Garde"/>
          <w:sz w:val="24"/>
        </w:rPr>
        <w:t>s</w:t>
      </w:r>
      <w:r w:rsidR="000F1312">
        <w:rPr>
          <w:rFonts w:ascii="ITC Avant Garde" w:hAnsi="ITC Avant Garde"/>
          <w:sz w:val="24"/>
        </w:rPr>
        <w:t xml:space="preserve"> </w:t>
      </w:r>
      <w:r w:rsidR="005073B2">
        <w:rPr>
          <w:rFonts w:ascii="ITC Avant Garde" w:hAnsi="ITC Avant Garde"/>
          <w:sz w:val="24"/>
        </w:rPr>
        <w:t>deben ser analizadas teniendo como base la existencia de una concentración</w:t>
      </w:r>
      <w:r w:rsidR="000F1312">
        <w:rPr>
          <w:rFonts w:ascii="ITC Avant Garde" w:hAnsi="ITC Avant Garde"/>
          <w:sz w:val="24"/>
        </w:rPr>
        <w:t>.</w:t>
      </w:r>
    </w:p>
    <w:p w:rsidR="00501725" w:rsidRDefault="00501725" w:rsidP="009D0F12">
      <w:pPr>
        <w:pStyle w:val="Prrafonumerado"/>
      </w:pPr>
      <w:r>
        <w:lastRenderedPageBreak/>
        <w:t>Toda vez que no se acredita que la Operación Investigada constituy</w:t>
      </w:r>
      <w:r w:rsidR="00A850E5">
        <w:t>a</w:t>
      </w:r>
      <w:r>
        <w:t xml:space="preserve"> una concentración, en consecuencia no es un acto sujeto a la notificación y autorización previa por parte del Instituto de conformidad con los artículos </w:t>
      </w:r>
      <w:r w:rsidRPr="009F5210">
        <w:t>16 y 20 de la LFCE, así como 18 del RLFCE</w:t>
      </w:r>
      <w:r>
        <w:t>.</w:t>
      </w:r>
    </w:p>
    <w:p w:rsidR="00501725" w:rsidRDefault="00A850E5" w:rsidP="00FB0F05">
      <w:pPr>
        <w:pStyle w:val="Prrafonumerado"/>
      </w:pPr>
      <w:r>
        <w:t>Toda vez que no se acredita que la Operación Investigada</w:t>
      </w:r>
      <w:r w:rsidRPr="00A850E5">
        <w:t xml:space="preserve"> </w:t>
      </w:r>
      <w:r>
        <w:t>constituya una concentración, en consecuencia no se tienen elementos para determinar que es indebida en términos de los artículos 17 y 18 de la LFCE.</w:t>
      </w:r>
    </w:p>
    <w:p w:rsidR="00B95D50" w:rsidRPr="003D4292" w:rsidRDefault="00B95D50" w:rsidP="00D14480">
      <w:pPr>
        <w:pStyle w:val="Prrafonumerado"/>
      </w:pPr>
      <w:r>
        <w:t>Finalmente,</w:t>
      </w:r>
      <w:r w:rsidRPr="003D4292">
        <w:t xml:space="preserve"> al considerar </w:t>
      </w:r>
      <w:r w:rsidRPr="003D4292">
        <w:rPr>
          <w:b/>
          <w:u w:val="single"/>
        </w:rPr>
        <w:t>fundadas</w:t>
      </w:r>
      <w:r w:rsidRPr="003D4292">
        <w:t xml:space="preserve"> las manifestaciones analizadas</w:t>
      </w:r>
      <w:r w:rsidR="00BB0D32">
        <w:t>, este Pleno considera que son</w:t>
      </w:r>
      <w:r w:rsidRPr="003D4292">
        <w:t xml:space="preserve"> </w:t>
      </w:r>
      <w:r w:rsidRPr="003D4292">
        <w:rPr>
          <w:b/>
          <w:u w:val="single"/>
        </w:rPr>
        <w:t>suficientes</w:t>
      </w:r>
      <w:r w:rsidRPr="003D4292">
        <w:t xml:space="preserve"> para desvirtuar las imputaciones del OPR</w:t>
      </w:r>
      <w:r>
        <w:t xml:space="preserve"> con relación a la existencia de una concentración</w:t>
      </w:r>
      <w:r w:rsidRPr="003D4292">
        <w:t xml:space="preserve">, </w:t>
      </w:r>
      <w:r w:rsidR="00BB0D32">
        <w:t xml:space="preserve">por lo cual </w:t>
      </w:r>
      <w:r w:rsidRPr="003D4292">
        <w:t>resulta innecesario el análisis del resto de los argumento</w:t>
      </w:r>
      <w:r>
        <w:t>s expuestos por las Emplazadas, dado que a nada práctico llevaría analizar</w:t>
      </w:r>
      <w:r w:rsidR="00A850E5">
        <w:t xml:space="preserve">los. </w:t>
      </w:r>
      <w:r w:rsidRPr="006F2B6A">
        <w:t>Sirven de sustento los siguientes criterios judiciales:</w:t>
      </w:r>
    </w:p>
    <w:p w:rsidR="00B95D50" w:rsidRDefault="00B95D50" w:rsidP="00726501">
      <w:pPr>
        <w:tabs>
          <w:tab w:val="left" w:pos="1139"/>
        </w:tabs>
        <w:spacing w:after="120" w:line="240" w:lineRule="auto"/>
        <w:ind w:left="284" w:right="510"/>
        <w:jc w:val="both"/>
        <w:rPr>
          <w:rFonts w:ascii="ITC Avant Garde" w:hAnsi="ITC Avant Garde"/>
        </w:rPr>
      </w:pPr>
      <w:r>
        <w:rPr>
          <w:rFonts w:ascii="ITC Avant Garde" w:hAnsi="ITC Avant Garde"/>
        </w:rPr>
        <w:t>“</w:t>
      </w:r>
      <w:r w:rsidRPr="00F75F83">
        <w:rPr>
          <w:rFonts w:ascii="ITC Avant Garde" w:hAnsi="ITC Avant Garde"/>
          <w:b/>
          <w:i/>
          <w:sz w:val="20"/>
        </w:rPr>
        <w:t>CONCEPTOS DE VIOLACION. ESTUDIO INNECESARIO DE LOS</w:t>
      </w:r>
      <w:r w:rsidRPr="00F75F83">
        <w:rPr>
          <w:rFonts w:ascii="ITC Avant Garde" w:hAnsi="ITC Avant Garde"/>
          <w:i/>
          <w:sz w:val="20"/>
        </w:rPr>
        <w:t xml:space="preserve">. Habiendo resultado fundado y suficiente para otorgar el amparo solicitado, uno de los conceptos de violación, resulta innecesario el estudio de los demás conceptos de violación vertidos en la </w:t>
      </w:r>
      <w:r w:rsidRPr="00CE7FEC">
        <w:rPr>
          <w:rFonts w:ascii="ITC Avant Garde" w:hAnsi="ITC Avant Garde"/>
          <w:i/>
          <w:sz w:val="18"/>
          <w:szCs w:val="18"/>
        </w:rPr>
        <w:t>demanda</w:t>
      </w:r>
      <w:r w:rsidRPr="00F75F83">
        <w:rPr>
          <w:rFonts w:ascii="ITC Avant Garde" w:hAnsi="ITC Avant Garde"/>
          <w:i/>
          <w:sz w:val="20"/>
        </w:rPr>
        <w:t xml:space="preserve"> de amparo</w:t>
      </w:r>
      <w:r>
        <w:rPr>
          <w:rFonts w:ascii="ITC Avant Garde" w:hAnsi="ITC Avant Garde"/>
        </w:rPr>
        <w:t>”</w:t>
      </w:r>
      <w:r w:rsidR="009F65B0">
        <w:rPr>
          <w:rFonts w:ascii="ITC Avant Garde" w:hAnsi="ITC Avant Garde"/>
        </w:rPr>
        <w:t>.</w:t>
      </w:r>
      <w:r>
        <w:rPr>
          <w:rStyle w:val="Refdenotaalpie"/>
          <w:rFonts w:ascii="ITC Avant Garde" w:hAnsi="ITC Avant Garde"/>
        </w:rPr>
        <w:footnoteReference w:id="56"/>
      </w:r>
    </w:p>
    <w:p w:rsidR="00F45666" w:rsidRPr="00B95D50" w:rsidRDefault="00B95D50" w:rsidP="00F45666">
      <w:pPr>
        <w:tabs>
          <w:tab w:val="left" w:pos="1139"/>
        </w:tabs>
        <w:spacing w:after="120" w:line="240" w:lineRule="auto"/>
        <w:ind w:left="284" w:right="510"/>
        <w:jc w:val="both"/>
        <w:rPr>
          <w:rFonts w:ascii="ITC Avant Garde" w:hAnsi="ITC Avant Garde"/>
        </w:rPr>
      </w:pPr>
      <w:r>
        <w:rPr>
          <w:rFonts w:ascii="ITC Avant Garde" w:hAnsi="ITC Avant Garde"/>
        </w:rPr>
        <w:t>“</w:t>
      </w:r>
      <w:r w:rsidRPr="00F75F83">
        <w:rPr>
          <w:rFonts w:ascii="ITC Avant Garde" w:hAnsi="ITC Avant Garde"/>
          <w:b/>
          <w:i/>
          <w:sz w:val="20"/>
          <w:szCs w:val="20"/>
        </w:rPr>
        <w:t>AGRAVIOS EN LA REVISIÓN FISCAL. SI UNO DE ELLOS RESULTA FUNDADO Y SUFICIENTE PARA DEJAR SIN EFECTOS EL FALLO IMPUGNADO, ES INNECESARIO EL ESTUDIO DE LOS RESTANTES</w:t>
      </w:r>
      <w:r w:rsidRPr="00F75F83">
        <w:rPr>
          <w:rFonts w:ascii="ITC Avant Garde" w:hAnsi="ITC Avant Garde"/>
          <w:i/>
          <w:sz w:val="20"/>
          <w:szCs w:val="20"/>
        </w:rPr>
        <w:t>. Si al analizar los agravios invocados en el recurso de revisión fiscal previsto en el artículo 63 de la Ley Federal de Procedimiento Contencioso Administrativo, uno de ellos resulta fundado y suficiente para dejar sin efectos el fallo impugnado, es innecesario el estudio de los restantes motivos de queja, pues con ellos no se obtendría algún otro efecto diverso al ya determinado</w:t>
      </w:r>
      <w:r>
        <w:rPr>
          <w:rFonts w:ascii="ITC Avant Garde" w:hAnsi="ITC Avant Garde"/>
        </w:rPr>
        <w:t>”</w:t>
      </w:r>
      <w:r w:rsidR="009F65B0">
        <w:rPr>
          <w:rFonts w:ascii="ITC Avant Garde" w:hAnsi="ITC Avant Garde"/>
        </w:rPr>
        <w:t>.</w:t>
      </w:r>
      <w:r>
        <w:rPr>
          <w:rStyle w:val="Refdenotaalpie"/>
          <w:rFonts w:ascii="ITC Avant Garde" w:hAnsi="ITC Avant Garde"/>
        </w:rPr>
        <w:footnoteReference w:id="57"/>
      </w:r>
    </w:p>
    <w:p w:rsidR="008C4E8E" w:rsidRPr="00AE5576" w:rsidRDefault="008C4E8E" w:rsidP="00AE5576">
      <w:pPr>
        <w:pStyle w:val="Ttulo2"/>
        <w:keepNext/>
        <w:keepLines/>
        <w:autoSpaceDE/>
        <w:autoSpaceDN/>
        <w:adjustRightInd/>
        <w:spacing w:before="40" w:after="240" w:line="276" w:lineRule="auto"/>
        <w:jc w:val="center"/>
        <w:rPr>
          <w:rFonts w:eastAsiaTheme="majorEastAsia" w:cstheme="majorBidi"/>
          <w:color w:val="000000" w:themeColor="text1"/>
          <w:sz w:val="28"/>
          <w:szCs w:val="28"/>
        </w:rPr>
      </w:pPr>
      <w:r w:rsidRPr="00AE5576">
        <w:rPr>
          <w:rFonts w:eastAsiaTheme="majorEastAsia" w:cstheme="majorBidi"/>
          <w:color w:val="000000" w:themeColor="text1"/>
          <w:sz w:val="28"/>
          <w:szCs w:val="28"/>
        </w:rPr>
        <w:t>III.</w:t>
      </w:r>
      <w:r w:rsidR="004E7A07" w:rsidRPr="00AE5576">
        <w:rPr>
          <w:rFonts w:eastAsiaTheme="majorEastAsia" w:cstheme="majorBidi"/>
          <w:color w:val="000000" w:themeColor="text1"/>
          <w:sz w:val="28"/>
          <w:szCs w:val="28"/>
        </w:rPr>
        <w:t xml:space="preserve"> </w:t>
      </w:r>
      <w:r w:rsidRPr="00AE5576">
        <w:rPr>
          <w:rFonts w:eastAsiaTheme="majorEastAsia" w:cstheme="majorBidi"/>
          <w:color w:val="000000" w:themeColor="text1"/>
          <w:sz w:val="28"/>
          <w:szCs w:val="28"/>
        </w:rPr>
        <w:t>RESOLUTIVOS</w:t>
      </w:r>
    </w:p>
    <w:p w:rsidR="002B060A" w:rsidRDefault="002B060A" w:rsidP="005840FB">
      <w:pPr>
        <w:spacing w:after="120" w:line="240" w:lineRule="auto"/>
        <w:jc w:val="both"/>
        <w:rPr>
          <w:rFonts w:ascii="ITC Avant Garde" w:hAnsi="ITC Avant Garde"/>
          <w:b/>
          <w:sz w:val="24"/>
        </w:rPr>
      </w:pPr>
      <w:r w:rsidRPr="00B95D50">
        <w:rPr>
          <w:rFonts w:ascii="ITC Avant Garde" w:hAnsi="ITC Avant Garde"/>
          <w:b/>
          <w:sz w:val="24"/>
        </w:rPr>
        <w:t xml:space="preserve">PRIMERO.- </w:t>
      </w:r>
      <w:r w:rsidRPr="00623DE6">
        <w:rPr>
          <w:rFonts w:ascii="ITC Avant Garde" w:hAnsi="ITC Avant Garde"/>
          <w:sz w:val="24"/>
        </w:rPr>
        <w:t xml:space="preserve">Por las razones señaladas en el Considerando Cuarto de la Presente Resolución, se consideran fundados los argumentos aquí analizados hechos valer por </w:t>
      </w:r>
      <w:r w:rsidRPr="00623DE6">
        <w:rPr>
          <w:rFonts w:ascii="ITC Avant Garde" w:hAnsi="ITC Avant Garde"/>
          <w:sz w:val="24"/>
          <w:lang w:val="es-ES_tradnl"/>
        </w:rPr>
        <w:t xml:space="preserve">Grupo Televisa, S.A.B., Arretis, S.A.P.I. de C.V. y Tenedora Ares, S.A.P.I. de C.V., en cuanto a no </w:t>
      </w:r>
      <w:r>
        <w:rPr>
          <w:rFonts w:ascii="ITC Avant Garde" w:hAnsi="ITC Avant Garde"/>
          <w:sz w:val="24"/>
          <w:lang w:val="es-ES_tradnl"/>
        </w:rPr>
        <w:t xml:space="preserve">haberse </w:t>
      </w:r>
      <w:r w:rsidRPr="00A3435F">
        <w:rPr>
          <w:rFonts w:ascii="ITC Avant Garde" w:hAnsi="ITC Avant Garde"/>
          <w:sz w:val="24"/>
          <w:lang w:val="es-ES_tradnl"/>
        </w:rPr>
        <w:t>acreditado</w:t>
      </w:r>
      <w:r w:rsidRPr="00623DE6">
        <w:rPr>
          <w:rFonts w:ascii="ITC Avant Garde" w:hAnsi="ITC Avant Garde"/>
          <w:sz w:val="24"/>
          <w:lang w:val="es-ES_tradnl"/>
        </w:rPr>
        <w:t xml:space="preserve"> la existencia de una concentración de conformidad con el artículo 16 de la Ley Federal de Competencia Económica aplicable</w:t>
      </w:r>
      <w:r>
        <w:rPr>
          <w:rFonts w:ascii="ITC Avant Garde" w:hAnsi="ITC Avant Garde"/>
          <w:sz w:val="24"/>
          <w:lang w:val="es-ES_tradnl"/>
        </w:rPr>
        <w:t>.</w:t>
      </w:r>
    </w:p>
    <w:p w:rsidR="002C1800" w:rsidRDefault="002B060A" w:rsidP="005840FB">
      <w:pPr>
        <w:spacing w:after="120" w:line="240" w:lineRule="auto"/>
        <w:jc w:val="both"/>
        <w:rPr>
          <w:rFonts w:ascii="ITC Avant Garde" w:hAnsi="ITC Avant Garde"/>
          <w:sz w:val="24"/>
          <w:lang w:val="es-ES_tradnl"/>
        </w:rPr>
      </w:pPr>
      <w:r>
        <w:rPr>
          <w:rFonts w:ascii="ITC Avant Garde" w:hAnsi="ITC Avant Garde"/>
          <w:b/>
          <w:sz w:val="24"/>
        </w:rPr>
        <w:t>SEGUNDO</w:t>
      </w:r>
      <w:r w:rsidR="008C4E8E" w:rsidRPr="00B95D50">
        <w:rPr>
          <w:rFonts w:ascii="ITC Avant Garde" w:hAnsi="ITC Avant Garde"/>
          <w:b/>
          <w:sz w:val="24"/>
        </w:rPr>
        <w:t xml:space="preserve">.- </w:t>
      </w:r>
      <w:r w:rsidRPr="00E83468">
        <w:rPr>
          <w:rFonts w:ascii="ITC Avant Garde" w:hAnsi="ITC Avant Garde"/>
          <w:sz w:val="24"/>
        </w:rPr>
        <w:t xml:space="preserve">En consecuencia se resuelve </w:t>
      </w:r>
      <w:r w:rsidR="00C34268" w:rsidRPr="00E83468">
        <w:rPr>
          <w:rFonts w:ascii="ITC Avant Garde" w:hAnsi="ITC Avant Garde"/>
          <w:sz w:val="24"/>
        </w:rPr>
        <w:t xml:space="preserve"> decreta</w:t>
      </w:r>
      <w:r w:rsidRPr="00E83468">
        <w:rPr>
          <w:rFonts w:ascii="ITC Avant Garde" w:hAnsi="ITC Avant Garde"/>
          <w:sz w:val="24"/>
        </w:rPr>
        <w:t>r</w:t>
      </w:r>
      <w:r w:rsidR="00C34268" w:rsidRPr="00E83468">
        <w:rPr>
          <w:rFonts w:ascii="ITC Avant Garde" w:hAnsi="ITC Avant Garde"/>
          <w:sz w:val="24"/>
        </w:rPr>
        <w:t xml:space="preserve"> el cierre </w:t>
      </w:r>
      <w:r w:rsidRPr="00E83468">
        <w:rPr>
          <w:rFonts w:ascii="ITC Avant Garde" w:hAnsi="ITC Avant Garde"/>
          <w:sz w:val="24"/>
          <w:lang w:val="es-ES_tradnl"/>
        </w:rPr>
        <w:t>del</w:t>
      </w:r>
      <w:r>
        <w:rPr>
          <w:rFonts w:ascii="ITC Avant Garde" w:hAnsi="ITC Avant Garde"/>
          <w:sz w:val="24"/>
          <w:lang w:val="es-ES_tradnl"/>
        </w:rPr>
        <w:t xml:space="preserve"> </w:t>
      </w:r>
      <w:r w:rsidR="00C34268">
        <w:rPr>
          <w:rFonts w:ascii="ITC Avant Garde" w:hAnsi="ITC Avant Garde"/>
          <w:sz w:val="24"/>
          <w:lang w:val="es-ES_tradnl"/>
        </w:rPr>
        <w:t xml:space="preserve"> </w:t>
      </w:r>
      <w:r w:rsidR="00713034">
        <w:rPr>
          <w:rFonts w:ascii="ITC Avant Garde" w:hAnsi="ITC Avant Garde"/>
          <w:sz w:val="24"/>
          <w:lang w:val="es-ES_tradnl"/>
        </w:rPr>
        <w:t>expediente E-l</w:t>
      </w:r>
      <w:r w:rsidR="00713034" w:rsidRPr="00BE20A6">
        <w:rPr>
          <w:rFonts w:ascii="ITC Avant Garde" w:hAnsi="ITC Avant Garde"/>
          <w:sz w:val="24"/>
          <w:lang w:val="es-ES_tradnl"/>
        </w:rPr>
        <w:t>FT</w:t>
      </w:r>
      <w:r w:rsidR="00713034">
        <w:rPr>
          <w:rFonts w:ascii="ITC Avant Garde" w:hAnsi="ITC Avant Garde"/>
          <w:sz w:val="24"/>
          <w:lang w:val="es-ES_tradnl"/>
        </w:rPr>
        <w:t xml:space="preserve">/UC/DGlPM/CP/0003/2013, </w:t>
      </w:r>
      <w:r w:rsidR="00713034">
        <w:rPr>
          <w:rFonts w:ascii="ITC Avant Garde" w:hAnsi="ITC Avant Garde"/>
          <w:sz w:val="24"/>
        </w:rPr>
        <w:t>d</w:t>
      </w:r>
      <w:r w:rsidR="004F72E0" w:rsidRPr="00B95D50">
        <w:rPr>
          <w:rFonts w:ascii="ITC Avant Garde" w:hAnsi="ITC Avant Garde"/>
          <w:sz w:val="24"/>
        </w:rPr>
        <w:t xml:space="preserve">e conformidad con el análisis realizado en el considerando </w:t>
      </w:r>
      <w:r w:rsidR="00CC5F31">
        <w:rPr>
          <w:rFonts w:ascii="ITC Avant Garde" w:hAnsi="ITC Avant Garde"/>
          <w:sz w:val="24"/>
        </w:rPr>
        <w:t xml:space="preserve">Cuarto </w:t>
      </w:r>
      <w:r w:rsidR="00A70A65">
        <w:rPr>
          <w:rFonts w:ascii="ITC Avant Garde" w:hAnsi="ITC Avant Garde"/>
          <w:sz w:val="24"/>
        </w:rPr>
        <w:t>de esta resolución</w:t>
      </w:r>
      <w:r>
        <w:rPr>
          <w:rFonts w:ascii="ITC Avant Garde" w:hAnsi="ITC Avant Garde"/>
          <w:sz w:val="24"/>
          <w:lang w:val="es-ES_tradnl"/>
        </w:rPr>
        <w:t xml:space="preserve"> respecto de las imputaciones relacionadas con la omisión de notificar una concentración.</w:t>
      </w:r>
      <w:r w:rsidR="0063562B">
        <w:rPr>
          <w:rFonts w:ascii="ITC Avant Garde" w:hAnsi="ITC Avant Garde"/>
          <w:sz w:val="24"/>
          <w:lang w:val="es-ES_tradnl"/>
        </w:rPr>
        <w:t xml:space="preserve"> </w:t>
      </w:r>
    </w:p>
    <w:p w:rsidR="008C4E8E" w:rsidRDefault="002C1800" w:rsidP="005840FB">
      <w:pPr>
        <w:spacing w:after="120" w:line="240" w:lineRule="auto"/>
        <w:jc w:val="both"/>
        <w:rPr>
          <w:rFonts w:ascii="ITC Avant Garde" w:hAnsi="ITC Avant Garde"/>
          <w:sz w:val="24"/>
          <w:lang w:val="es-ES_tradnl"/>
        </w:rPr>
      </w:pPr>
      <w:r>
        <w:rPr>
          <w:rFonts w:ascii="ITC Avant Garde" w:hAnsi="ITC Avant Garde"/>
          <w:sz w:val="24"/>
          <w:lang w:val="es-ES_tradnl"/>
        </w:rPr>
        <w:t>En consecuencia también procede decretar</w:t>
      </w:r>
      <w:r w:rsidR="009C6068">
        <w:rPr>
          <w:rFonts w:ascii="ITC Avant Garde" w:hAnsi="ITC Avant Garde"/>
          <w:sz w:val="24"/>
          <w:lang w:val="es-ES_tradnl"/>
        </w:rPr>
        <w:t xml:space="preserve"> el</w:t>
      </w:r>
      <w:r>
        <w:rPr>
          <w:rFonts w:ascii="ITC Avant Garde" w:hAnsi="ITC Avant Garde"/>
          <w:sz w:val="24"/>
          <w:lang w:val="es-ES_tradnl"/>
        </w:rPr>
        <w:t xml:space="preserve"> </w:t>
      </w:r>
      <w:r w:rsidR="00D14480">
        <w:rPr>
          <w:rFonts w:ascii="ITC Avant Garde" w:hAnsi="ITC Avant Garde"/>
          <w:sz w:val="24"/>
          <w:lang w:val="es-ES_tradnl"/>
        </w:rPr>
        <w:t>cierre d</w:t>
      </w:r>
      <w:r w:rsidR="007D20B7">
        <w:rPr>
          <w:rFonts w:ascii="ITC Avant Garde" w:hAnsi="ITC Avant Garde"/>
          <w:sz w:val="24"/>
          <w:lang w:val="es-ES_tradnl"/>
        </w:rPr>
        <w:t xml:space="preserve">el expediente </w:t>
      </w:r>
      <w:r w:rsidR="00C34268">
        <w:rPr>
          <w:rFonts w:ascii="ITC Avant Garde" w:hAnsi="ITC Avant Garde"/>
          <w:sz w:val="24"/>
          <w:lang w:val="es-ES_tradnl"/>
        </w:rPr>
        <w:t>respecto de</w:t>
      </w:r>
      <w:r w:rsidR="007D20B7">
        <w:rPr>
          <w:rFonts w:ascii="ITC Avant Garde" w:hAnsi="ITC Avant Garde"/>
          <w:sz w:val="24"/>
          <w:lang w:val="es-ES_tradnl"/>
        </w:rPr>
        <w:t xml:space="preserve"> las imputaciones relacionadas con la omisión de notificar una concentración y </w:t>
      </w:r>
      <w:r w:rsidR="002D6B97">
        <w:rPr>
          <w:rFonts w:ascii="ITC Avant Garde" w:hAnsi="ITC Avant Garde"/>
          <w:sz w:val="24"/>
          <w:lang w:val="es-ES_tradnl"/>
        </w:rPr>
        <w:t xml:space="preserve">que ésta es prohibida por la Ley Federal de Competencia Económica </w:t>
      </w:r>
      <w:r w:rsidR="00255428">
        <w:rPr>
          <w:rFonts w:ascii="ITC Avant Garde" w:hAnsi="ITC Avant Garde"/>
          <w:sz w:val="24"/>
          <w:lang w:val="es-ES_tradnl"/>
        </w:rPr>
        <w:t>de conformidad con sus artículos 17, 18 y 20.</w:t>
      </w:r>
    </w:p>
    <w:p w:rsidR="002B060A" w:rsidRPr="00F45666" w:rsidRDefault="002B060A" w:rsidP="00F45666">
      <w:pPr>
        <w:spacing w:after="120" w:line="240" w:lineRule="auto"/>
        <w:rPr>
          <w:rFonts w:ascii="ITC Avant Garde" w:hAnsi="ITC Avant Garde"/>
          <w:b/>
          <w:sz w:val="24"/>
        </w:rPr>
      </w:pPr>
      <w:r>
        <w:rPr>
          <w:rFonts w:ascii="ITC Avant Garde" w:hAnsi="ITC Avant Garde"/>
          <w:b/>
          <w:sz w:val="24"/>
        </w:rPr>
        <w:lastRenderedPageBreak/>
        <w:t>TERCERO</w:t>
      </w:r>
      <w:r w:rsidRPr="00B95D50">
        <w:rPr>
          <w:rFonts w:ascii="ITC Avant Garde" w:hAnsi="ITC Avant Garde"/>
          <w:b/>
          <w:sz w:val="24"/>
        </w:rPr>
        <w:t xml:space="preserve">.- </w:t>
      </w:r>
      <w:r w:rsidRPr="00E83468">
        <w:rPr>
          <w:rFonts w:ascii="ITC Avant Garde" w:hAnsi="ITC Avant Garde"/>
          <w:sz w:val="24"/>
        </w:rPr>
        <w:t>Se instruye a la Unidad de Competencia Económica proceder al archivo de las actuaciones.</w:t>
      </w:r>
    </w:p>
    <w:p w:rsidR="00F45666" w:rsidRDefault="00192226" w:rsidP="005840FB">
      <w:pPr>
        <w:spacing w:after="120" w:line="240" w:lineRule="auto"/>
        <w:rPr>
          <w:rFonts w:ascii="ITC Avant Garde" w:hAnsi="ITC Avant Garde"/>
          <w:sz w:val="24"/>
        </w:rPr>
      </w:pPr>
      <w:r>
        <w:rPr>
          <w:rFonts w:ascii="ITC Avant Garde" w:hAnsi="ITC Avant Garde"/>
          <w:b/>
          <w:sz w:val="24"/>
        </w:rPr>
        <w:t>CUARTO</w:t>
      </w:r>
      <w:r w:rsidR="008C4E8E" w:rsidRPr="00B95D50">
        <w:rPr>
          <w:rFonts w:ascii="ITC Avant Garde" w:hAnsi="ITC Avant Garde"/>
          <w:b/>
          <w:sz w:val="24"/>
        </w:rPr>
        <w:t xml:space="preserve">.- </w:t>
      </w:r>
      <w:r w:rsidR="008C4E8E" w:rsidRPr="00B95D50">
        <w:rPr>
          <w:rFonts w:ascii="ITC Avant Garde" w:hAnsi="ITC Avant Garde"/>
          <w:sz w:val="24"/>
        </w:rPr>
        <w:t>Notifíquese personalmente.</w:t>
      </w:r>
    </w:p>
    <w:p w:rsidR="00F45666" w:rsidRPr="009400C5" w:rsidRDefault="00F45666" w:rsidP="00F45666">
      <w:pPr>
        <w:spacing w:after="0" w:line="240" w:lineRule="auto"/>
        <w:jc w:val="both"/>
        <w:rPr>
          <w:rFonts w:ascii="ITC Avant Garde" w:hAnsi="ITC Avant Garde"/>
          <w:sz w:val="14"/>
          <w:szCs w:val="14"/>
          <w:lang w:val="es-ES_tradnl"/>
        </w:rPr>
      </w:pPr>
      <w:r w:rsidRPr="009400C5">
        <w:rPr>
          <w:rFonts w:ascii="ITC Avant Garde" w:hAnsi="ITC Avant Garde"/>
          <w:sz w:val="14"/>
          <w:szCs w:val="14"/>
          <w:lang w:val="es-ES_tradnl"/>
        </w:rPr>
        <w:t>El proyecto inicialmente puesto a consideración y votación del Pleno, por la Comisionada Ponente María Elena Estavillo Fl</w:t>
      </w:r>
      <w:r>
        <w:rPr>
          <w:rFonts w:ascii="ITC Avant Garde" w:hAnsi="ITC Avant Garde"/>
          <w:sz w:val="14"/>
          <w:szCs w:val="14"/>
          <w:lang w:val="es-ES_tradnl"/>
        </w:rPr>
        <w:t xml:space="preserve">ores, </w:t>
      </w:r>
      <w:r w:rsidRPr="009400C5">
        <w:rPr>
          <w:rFonts w:ascii="ITC Avant Garde" w:hAnsi="ITC Avant Garde"/>
          <w:sz w:val="14"/>
          <w:szCs w:val="14"/>
          <w:lang w:val="es-ES_tradnl"/>
        </w:rPr>
        <w:t xml:space="preserve">no fue aprobado dada la mayoría de votos en contra de los Comisionados Gabriel Oswaldo Contreras Saldívar, Mario Germán Fromow Rangel, Adolfo Cuevas Teja y Javier Juárez Mojica; y con los votos a favor de las Comisionadas Adriana Sofía Labardini Inzunza y María Elena Estavillo Flores; mediante Acuerdo P/IFT/EXT/050417/123. Sobre dicho proyecto, la Comisionada Adriana Sofía Labardini Inzunza manifestó que se aparta de las consideraciones relativas a que </w:t>
      </w:r>
      <w:r w:rsidRPr="009400C5">
        <w:rPr>
          <w:rFonts w:ascii="ITC Avant Garde" w:hAnsi="ITC Avant Garde"/>
          <w:bCs/>
          <w:sz w:val="14"/>
          <w:szCs w:val="14"/>
          <w:lang w:val="es-ES_tradnl"/>
        </w:rPr>
        <w:t xml:space="preserve">el mercado relevante tenga una </w:t>
      </w:r>
      <w:r w:rsidRPr="009400C5">
        <w:rPr>
          <w:rFonts w:ascii="ITC Avant Garde" w:hAnsi="ITC Avant Garde"/>
          <w:sz w:val="14"/>
          <w:szCs w:val="14"/>
          <w:lang w:val="es-ES_tradnl"/>
        </w:rPr>
        <w:t>dimensión geográfica nacional.</w:t>
      </w:r>
    </w:p>
    <w:p w:rsidR="00F45666" w:rsidRPr="009400C5" w:rsidRDefault="00F45666" w:rsidP="00F45666">
      <w:pPr>
        <w:spacing w:after="0" w:line="240" w:lineRule="auto"/>
        <w:jc w:val="both"/>
        <w:rPr>
          <w:rFonts w:ascii="ITC Avant Garde" w:hAnsi="ITC Avant Garde"/>
          <w:sz w:val="14"/>
          <w:szCs w:val="14"/>
          <w:lang w:val="es-ES_tradnl"/>
        </w:rPr>
      </w:pPr>
      <w:r w:rsidRPr="009400C5">
        <w:rPr>
          <w:rFonts w:ascii="ITC Avant Garde" w:hAnsi="ITC Avant Garde"/>
          <w:sz w:val="14"/>
          <w:szCs w:val="14"/>
          <w:lang w:val="es-ES_tradnl"/>
        </w:rPr>
        <w:t>Siendo así, se puso a consideración y votación del Pleno la modificación del proyecto en el sentido de ordenar el cierre del expediente en función de los elementos expuestos, lo que fue aprobado por mayoría de votos de los Comisionados Gabriel Oswaldo Contreras Saldívar, Mario Germán Fromow Rangel, Adolfo Cuevas Teja y Javier Juárez Mojica; y con los votos en contra de las Comisionadas Adriana Sofía Labardini Inzunza y María Elena Estavillo Flores.</w:t>
      </w:r>
    </w:p>
    <w:p w:rsidR="00F45666" w:rsidRPr="00875D80" w:rsidRDefault="00F45666" w:rsidP="00875D80">
      <w:pPr>
        <w:spacing w:after="0" w:line="240" w:lineRule="auto"/>
        <w:jc w:val="both"/>
        <w:rPr>
          <w:rFonts w:ascii="ITC Avant Garde" w:hAnsi="ITC Avant Garde"/>
          <w:sz w:val="14"/>
          <w:szCs w:val="14"/>
          <w:lang w:val="es-ES_tradnl"/>
        </w:rPr>
      </w:pPr>
      <w:r w:rsidRPr="009400C5">
        <w:rPr>
          <w:rFonts w:ascii="ITC Avant Garde" w:hAnsi="ITC Avant Garde"/>
          <w:sz w:val="14"/>
          <w:szCs w:val="14"/>
          <w:lang w:val="es-ES_tradnl"/>
        </w:rPr>
        <w:t xml:space="preserve">La presente Resolución fue aprobada por el Pleno del Instituto Federal de Telecomunicaciones en su VI Sesión Extraordinaria celebrada el 5 de abril de 2017, por </w:t>
      </w:r>
      <w:r w:rsidRPr="009400C5">
        <w:rPr>
          <w:rFonts w:ascii="ITC Avant Garde" w:hAnsi="ITC Avant Garde"/>
          <w:bCs/>
          <w:sz w:val="14"/>
          <w:szCs w:val="14"/>
          <w:lang w:val="es-ES_tradnl"/>
        </w:rPr>
        <w:t>mayoría</w:t>
      </w:r>
      <w:r w:rsidRPr="009400C5">
        <w:rPr>
          <w:rFonts w:ascii="ITC Avant Garde" w:hAnsi="ITC Avant Garde"/>
          <w:sz w:val="14"/>
          <w:szCs w:val="14"/>
          <w:lang w:val="es-ES_tradnl"/>
        </w:rPr>
        <w:t xml:space="preserve"> de votos de los Comisionados Gabriel Oswaldo Contreras Saldívar, Mario Germán Fromow Rangel, Adolfo Cuevas Teja y Javier Juárez Mojica; y con los votos en contra de las Comisionadas Adriana Sofía Labardini Inzunza y María Elena Estavillo Flores;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w:t>
      </w:r>
      <w:r w:rsidR="00875D80">
        <w:rPr>
          <w:rFonts w:ascii="ITC Avant Garde" w:hAnsi="ITC Avant Garde"/>
          <w:sz w:val="14"/>
          <w:szCs w:val="14"/>
          <w:lang w:val="es-ES_tradnl"/>
        </w:rPr>
        <w:t>uerdo P/IFT/EXT/050417/123-Bis.</w:t>
      </w:r>
    </w:p>
    <w:sectPr w:rsidR="00F45666" w:rsidRPr="00875D80" w:rsidSect="00F45666">
      <w:headerReference w:type="default" r:id="rId13"/>
      <w:pgSz w:w="12240" w:h="15840"/>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DBE" w:rsidRDefault="00841DBE" w:rsidP="00F41A5B">
      <w:pPr>
        <w:spacing w:after="0" w:line="240" w:lineRule="auto"/>
      </w:pPr>
      <w:r>
        <w:separator/>
      </w:r>
    </w:p>
  </w:endnote>
  <w:endnote w:type="continuationSeparator" w:id="0">
    <w:p w:rsidR="00841DBE" w:rsidRDefault="00841DBE" w:rsidP="00F41A5B">
      <w:pPr>
        <w:spacing w:after="0" w:line="240" w:lineRule="auto"/>
      </w:pPr>
      <w:r>
        <w:continuationSeparator/>
      </w:r>
    </w:p>
  </w:endnote>
  <w:endnote w:type="continuationNotice" w:id="1">
    <w:p w:rsidR="00841DBE" w:rsidRDefault="00841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820941"/>
      <w:docPartObj>
        <w:docPartGallery w:val="Page Numbers (Bottom of Page)"/>
        <w:docPartUnique/>
      </w:docPartObj>
    </w:sdtPr>
    <w:sdtEndPr>
      <w:rPr>
        <w:rFonts w:ascii="ITC Avant Garde" w:hAnsi="ITC Avant Garde"/>
        <w:sz w:val="16"/>
        <w:szCs w:val="16"/>
      </w:rPr>
    </w:sdtEndPr>
    <w:sdtContent>
      <w:p w:rsidR="006103FB" w:rsidRPr="00875D80" w:rsidRDefault="006103FB" w:rsidP="00875D80">
        <w:pPr>
          <w:pStyle w:val="Piedepgina"/>
          <w:jc w:val="right"/>
          <w:rPr>
            <w:rFonts w:ascii="ITC Avant Garde" w:hAnsi="ITC Avant Garde"/>
            <w:sz w:val="16"/>
            <w:szCs w:val="16"/>
          </w:rPr>
        </w:pPr>
        <w:r w:rsidRPr="00F45666">
          <w:rPr>
            <w:rFonts w:ascii="ITC Avant Garde" w:hAnsi="ITC Avant Garde"/>
            <w:sz w:val="16"/>
            <w:szCs w:val="16"/>
          </w:rPr>
          <w:fldChar w:fldCharType="begin"/>
        </w:r>
        <w:r w:rsidRPr="00F45666">
          <w:rPr>
            <w:rFonts w:ascii="ITC Avant Garde" w:hAnsi="ITC Avant Garde"/>
            <w:sz w:val="16"/>
            <w:szCs w:val="16"/>
          </w:rPr>
          <w:instrText>PAGE   \* MERGEFORMAT</w:instrText>
        </w:r>
        <w:r w:rsidRPr="00F45666">
          <w:rPr>
            <w:rFonts w:ascii="ITC Avant Garde" w:hAnsi="ITC Avant Garde"/>
            <w:sz w:val="16"/>
            <w:szCs w:val="16"/>
          </w:rPr>
          <w:fldChar w:fldCharType="separate"/>
        </w:r>
        <w:r w:rsidR="009E7E09" w:rsidRPr="009E7E09">
          <w:rPr>
            <w:rFonts w:ascii="ITC Avant Garde" w:hAnsi="ITC Avant Garde"/>
            <w:noProof/>
            <w:sz w:val="16"/>
            <w:szCs w:val="16"/>
            <w:lang w:val="es-ES"/>
          </w:rPr>
          <w:t>2</w:t>
        </w:r>
        <w:r w:rsidRPr="00F45666">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DBE" w:rsidRDefault="00841DBE" w:rsidP="00F41A5B">
      <w:pPr>
        <w:spacing w:after="0" w:line="240" w:lineRule="auto"/>
      </w:pPr>
      <w:r>
        <w:separator/>
      </w:r>
    </w:p>
  </w:footnote>
  <w:footnote w:type="continuationSeparator" w:id="0">
    <w:p w:rsidR="00841DBE" w:rsidRDefault="00841DBE" w:rsidP="00F41A5B">
      <w:pPr>
        <w:spacing w:after="0" w:line="240" w:lineRule="auto"/>
      </w:pPr>
      <w:r>
        <w:continuationSeparator/>
      </w:r>
    </w:p>
  </w:footnote>
  <w:footnote w:type="continuationNotice" w:id="1">
    <w:p w:rsidR="00841DBE" w:rsidRDefault="00841DBE">
      <w:pPr>
        <w:spacing w:after="0" w:line="240" w:lineRule="auto"/>
      </w:pPr>
    </w:p>
  </w:footnote>
  <w:footnote w:id="2">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Resolución disponible en http://dof.gob.mx/nota_detalle.php?codigo=4888039&amp;fecha=24/07/1998</w:t>
      </w:r>
    </w:p>
  </w:footnote>
  <w:footnote w:id="3">
    <w:p w:rsidR="006103FB" w:rsidRPr="00185C1F" w:rsidRDefault="006103FB" w:rsidP="009E4431">
      <w:pPr>
        <w:pStyle w:val="Textonotapie"/>
        <w:jc w:val="both"/>
        <w:rPr>
          <w:rFonts w:ascii="ITC Avant Garde" w:hAnsi="ITC Avant Garde"/>
          <w:i/>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185C1F">
        <w:rPr>
          <w:rFonts w:ascii="ITC Avant Garde" w:hAnsi="ITC Avant Garde"/>
          <w:i/>
          <w:sz w:val="18"/>
          <w:szCs w:val="18"/>
        </w:rPr>
        <w:t>Ídem.</w:t>
      </w:r>
    </w:p>
  </w:footnote>
  <w:footnote w:id="4">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Folios 4529 a 4536 del Expediente.</w:t>
      </w:r>
    </w:p>
  </w:footnote>
  <w:footnote w:id="5">
    <w:p w:rsidR="006103FB" w:rsidRPr="00185C1F" w:rsidRDefault="006103FB" w:rsidP="00371617">
      <w:pPr>
        <w:pStyle w:val="Textonotapie"/>
        <w:tabs>
          <w:tab w:val="left" w:pos="7876"/>
        </w:tabs>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http://dof.gob.mx/nota_detalle.php?</w:t>
      </w:r>
      <w:r>
        <w:rPr>
          <w:rFonts w:ascii="ITC Avant Garde" w:hAnsi="ITC Avant Garde"/>
          <w:sz w:val="18"/>
          <w:szCs w:val="18"/>
        </w:rPr>
        <w:t>codigo=5314949&amp;fecha=23/09/2013</w:t>
      </w:r>
    </w:p>
  </w:footnote>
  <w:footnote w:id="6">
    <w:p w:rsidR="006103FB" w:rsidRPr="00185C1F" w:rsidRDefault="006103FB" w:rsidP="00675198">
      <w:pPr>
        <w:autoSpaceDE w:val="0"/>
        <w:autoSpaceDN w:val="0"/>
        <w:adjustRightInd w:val="0"/>
        <w:spacing w:after="0" w:line="240" w:lineRule="auto"/>
        <w:jc w:val="both"/>
        <w:rPr>
          <w:rFonts w:ascii="ITC Avant Garde" w:hAnsi="ITC Avant Garde" w:cs="Helvetica"/>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185C1F">
        <w:rPr>
          <w:rFonts w:ascii="ITC Avant Garde" w:hAnsi="ITC Avant Garde" w:cs="Helvetica"/>
          <w:sz w:val="18"/>
          <w:szCs w:val="18"/>
        </w:rPr>
        <w:t>El extracto del acuerdo de inicio puede ser consultado en el sitio de internet del DOF:</w:t>
      </w:r>
    </w:p>
    <w:p w:rsidR="006103FB" w:rsidRPr="00185C1F" w:rsidRDefault="006103FB" w:rsidP="00371617">
      <w:pPr>
        <w:pStyle w:val="Textonotapie"/>
        <w:jc w:val="both"/>
        <w:rPr>
          <w:rFonts w:ascii="ITC Avant Garde" w:hAnsi="ITC Avant Garde"/>
          <w:sz w:val="18"/>
          <w:szCs w:val="18"/>
        </w:rPr>
      </w:pPr>
      <w:r w:rsidRPr="00185C1F">
        <w:rPr>
          <w:rFonts w:ascii="ITC Avant Garde" w:hAnsi="ITC Avant Garde"/>
          <w:sz w:val="18"/>
          <w:szCs w:val="18"/>
        </w:rPr>
        <w:t>http://dof.gob.mx/nota_detalle.php?codigo=5326732&amp;fecha=17/12/2013</w:t>
      </w:r>
    </w:p>
  </w:footnote>
  <w:footnote w:id="7">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185C1F">
        <w:rPr>
          <w:rFonts w:ascii="ITC Avant Garde" w:hAnsi="ITC Avant Garde" w:cs="Helvetica"/>
          <w:sz w:val="18"/>
          <w:szCs w:val="18"/>
        </w:rPr>
        <w:t>Corresponde a la fecha en que inicio el periodo de investigación.</w:t>
      </w:r>
    </w:p>
  </w:footnote>
  <w:footnote w:id="8">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185C1F">
        <w:rPr>
          <w:rFonts w:ascii="ITC Avant Garde" w:hAnsi="ITC Avant Garde" w:cs="Helvetica"/>
          <w:sz w:val="18"/>
          <w:szCs w:val="18"/>
        </w:rPr>
        <w:t>Corresponde a la fecha en que concluye el periodo de investigación.</w:t>
      </w:r>
    </w:p>
  </w:footnote>
  <w:footnote w:id="9">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185C1F">
        <w:rPr>
          <w:rFonts w:ascii="ITC Avant Garde" w:hAnsi="ITC Avant Garde" w:cs="Helvetica"/>
          <w:sz w:val="18"/>
          <w:szCs w:val="18"/>
        </w:rPr>
        <w:t>Corresponde a la fecha de emisión del acuerdo de ampliación del periodo de investigación.</w:t>
      </w:r>
    </w:p>
  </w:footnote>
  <w:footnote w:id="10">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185C1F">
        <w:rPr>
          <w:rFonts w:ascii="ITC Avant Garde" w:hAnsi="ITC Avant Garde" w:cs="Helvetica"/>
          <w:sz w:val="18"/>
          <w:szCs w:val="18"/>
        </w:rPr>
        <w:t>Corresponde a la fecha en que se notificó por listo el acuerdo de ampliación correspondiente.</w:t>
      </w:r>
    </w:p>
  </w:footnote>
  <w:footnote w:id="11">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Folios 6305 a 6306 del Expediente.</w:t>
      </w:r>
    </w:p>
  </w:footnote>
  <w:footnote w:id="12">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Folios 19255 a 19256 del Expediente.</w:t>
      </w:r>
    </w:p>
  </w:footnote>
  <w:footnote w:id="13">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Folios 19851 a 19852 del Expediente.</w:t>
      </w:r>
    </w:p>
  </w:footnote>
  <w:footnote w:id="14">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Folios 20161 a 20162 del Expediente.</w:t>
      </w:r>
    </w:p>
  </w:footnote>
  <w:footnote w:id="15">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Folios 22846 a 22848 del Expediente.</w:t>
      </w:r>
    </w:p>
  </w:footnote>
  <w:footnote w:id="16">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Folios 23188, 23190 y 23192 del Expediente.</w:t>
      </w:r>
    </w:p>
  </w:footnote>
  <w:footnote w:id="17">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 34774 del Expediente.</w:t>
      </w:r>
    </w:p>
  </w:footnote>
  <w:footnote w:id="18">
    <w:p w:rsidR="006103FB" w:rsidRPr="00185C1F" w:rsidRDefault="006103FB" w:rsidP="00371617">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Acuerdo número P/IFT/EXT/160714/114, disponible en:</w:t>
      </w:r>
    </w:p>
    <w:p w:rsidR="006103FB" w:rsidRPr="00185C1F" w:rsidRDefault="006103FB" w:rsidP="00371617">
      <w:pPr>
        <w:pStyle w:val="Textonotapie"/>
        <w:jc w:val="both"/>
        <w:rPr>
          <w:rFonts w:ascii="ITC Avant Garde" w:hAnsi="ITC Avant Garde"/>
          <w:sz w:val="18"/>
          <w:szCs w:val="18"/>
        </w:rPr>
      </w:pPr>
      <w:r w:rsidRPr="00185C1F">
        <w:rPr>
          <w:rFonts w:ascii="ITC Avant Garde" w:hAnsi="ITC Avant Garde"/>
          <w:sz w:val="18"/>
          <w:szCs w:val="18"/>
        </w:rPr>
        <w:t>http://www.ift.org.mx/sites/default/files/conocenos/pleno/sesiones/acuerdoliga/piftext160714114.pdf</w:t>
      </w:r>
    </w:p>
  </w:footnote>
  <w:footnote w:id="19">
    <w:p w:rsidR="006103FB" w:rsidRPr="00185C1F" w:rsidRDefault="006103FB" w:rsidP="00ED136C">
      <w:pPr>
        <w:pStyle w:val="Textonotapie"/>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Publicado en el DOF el veintitrés de mayo de dos mil catorce.</w:t>
      </w:r>
    </w:p>
  </w:footnote>
  <w:footnote w:id="20">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Página 121 del OPR.</w:t>
      </w:r>
    </w:p>
  </w:footnote>
  <w:footnote w:id="21">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Páginas 121 y 122 del OPR.</w:t>
      </w:r>
    </w:p>
  </w:footnote>
  <w:footnote w:id="22">
    <w:p w:rsidR="006103FB" w:rsidRPr="00185C1F" w:rsidRDefault="006103FB" w:rsidP="00E960DA">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5A36B7">
        <w:rPr>
          <w:rFonts w:ascii="ITC Avant Garde" w:hAnsi="ITC Avant Garde"/>
          <w:b/>
          <w:color w:val="0000FF"/>
          <w:sz w:val="18"/>
          <w:szCs w:val="18"/>
        </w:rPr>
        <w:t>“CONFIDENCIAL POR LEY”</w:t>
      </w:r>
      <w:r w:rsidRPr="00185C1F">
        <w:rPr>
          <w:rFonts w:ascii="ITC Avant Garde" w:hAnsi="ITC Avant Garde"/>
          <w:sz w:val="18"/>
          <w:szCs w:val="18"/>
        </w:rPr>
        <w:t>.</w:t>
      </w:r>
    </w:p>
  </w:footnote>
  <w:footnote w:id="23">
    <w:p w:rsidR="006103FB" w:rsidRPr="00185C1F" w:rsidRDefault="006103FB" w:rsidP="00072915">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072915">
        <w:rPr>
          <w:rFonts w:ascii="ITC Avant Garde" w:hAnsi="ITC Avant Garde"/>
          <w:b/>
          <w:color w:val="0000FF"/>
          <w:sz w:val="18"/>
          <w:szCs w:val="18"/>
        </w:rPr>
        <w:t>“CONFIDENCIAL POR LEY”</w:t>
      </w:r>
      <w:r w:rsidRPr="00185C1F">
        <w:rPr>
          <w:rFonts w:ascii="ITC Avant Garde" w:hAnsi="ITC Avant Garde"/>
          <w:sz w:val="18"/>
          <w:szCs w:val="18"/>
        </w:rPr>
        <w:t>.</w:t>
      </w:r>
    </w:p>
  </w:footnote>
  <w:footnote w:id="24">
    <w:p w:rsidR="006103FB" w:rsidRPr="00185C1F" w:rsidRDefault="006103FB" w:rsidP="00E960DA">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 13993 del Expediente.</w:t>
      </w:r>
    </w:p>
  </w:footnote>
  <w:footnote w:id="25">
    <w:p w:rsidR="006103FB" w:rsidRPr="00185C1F" w:rsidRDefault="006103FB" w:rsidP="00E960DA">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Folios 18854, 18855, 18862 y 18863 del Expediente.</w:t>
      </w:r>
    </w:p>
  </w:footnote>
  <w:footnote w:id="26">
    <w:p w:rsidR="006103FB" w:rsidRPr="00185C1F" w:rsidRDefault="006103FB" w:rsidP="00E960DA">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072915">
        <w:rPr>
          <w:rFonts w:ascii="ITC Avant Garde" w:hAnsi="ITC Avant Garde"/>
          <w:b/>
          <w:color w:val="0000FF"/>
          <w:sz w:val="18"/>
          <w:szCs w:val="18"/>
        </w:rPr>
        <w:t>“CONFIDENCIAL POR LEY”</w:t>
      </w:r>
      <w:r w:rsidRPr="00185C1F">
        <w:rPr>
          <w:rFonts w:ascii="ITC Avant Garde" w:hAnsi="ITC Avant Garde"/>
          <w:sz w:val="18"/>
          <w:szCs w:val="18"/>
        </w:rPr>
        <w:t>.</w:t>
      </w:r>
    </w:p>
  </w:footnote>
  <w:footnote w:id="27">
    <w:p w:rsidR="006103FB" w:rsidRPr="00185C1F" w:rsidRDefault="006103FB" w:rsidP="00E960DA">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Folios 18942 y 18943 del Expediente.</w:t>
      </w:r>
    </w:p>
  </w:footnote>
  <w:footnote w:id="28">
    <w:p w:rsidR="006103FB" w:rsidRPr="00185C1F" w:rsidRDefault="006103FB" w:rsidP="00E960DA">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 18943 del Expediente.</w:t>
      </w:r>
    </w:p>
  </w:footnote>
  <w:footnote w:id="29">
    <w:p w:rsidR="006103FB" w:rsidRPr="00185C1F" w:rsidRDefault="006103FB" w:rsidP="00E960DA">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072915">
        <w:rPr>
          <w:rFonts w:ascii="ITC Avant Garde" w:hAnsi="ITC Avant Garde"/>
          <w:b/>
          <w:color w:val="0000FF"/>
          <w:sz w:val="18"/>
          <w:szCs w:val="18"/>
        </w:rPr>
        <w:t>“CONFIDENCIAL POR LEY”</w:t>
      </w:r>
      <w:r w:rsidRPr="00185C1F">
        <w:rPr>
          <w:rFonts w:ascii="ITC Avant Garde" w:hAnsi="ITC Avant Garde"/>
          <w:sz w:val="18"/>
          <w:szCs w:val="18"/>
        </w:rPr>
        <w:t>.</w:t>
      </w:r>
    </w:p>
  </w:footnote>
  <w:footnote w:id="30">
    <w:p w:rsidR="006103FB" w:rsidRPr="00185C1F" w:rsidRDefault="006103FB" w:rsidP="00E960DA">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072915">
        <w:rPr>
          <w:rFonts w:ascii="ITC Avant Garde" w:hAnsi="ITC Avant Garde"/>
          <w:b/>
          <w:color w:val="0000FF"/>
          <w:sz w:val="18"/>
          <w:szCs w:val="18"/>
        </w:rPr>
        <w:t>“CONFIDENCIAL POR LEY”</w:t>
      </w:r>
      <w:r w:rsidRPr="00185C1F">
        <w:rPr>
          <w:rFonts w:ascii="ITC Avant Garde" w:hAnsi="ITC Avant Garde"/>
          <w:sz w:val="18"/>
          <w:szCs w:val="18"/>
        </w:rPr>
        <w:t>.</w:t>
      </w:r>
    </w:p>
  </w:footnote>
  <w:footnote w:id="31">
    <w:p w:rsidR="006103FB" w:rsidRPr="00185C1F" w:rsidRDefault="006103FB" w:rsidP="00DB7140">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Folios 18864 y 18865 del Expediente.</w:t>
      </w:r>
    </w:p>
  </w:footnote>
  <w:footnote w:id="32">
    <w:p w:rsidR="006103FB" w:rsidRPr="00185C1F" w:rsidRDefault="006103FB" w:rsidP="00DB7140">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072915">
        <w:rPr>
          <w:rFonts w:ascii="ITC Avant Garde" w:hAnsi="ITC Avant Garde"/>
          <w:b/>
          <w:color w:val="0000FF"/>
          <w:sz w:val="18"/>
          <w:szCs w:val="18"/>
        </w:rPr>
        <w:t>“CONFIDENCIAL POR LEY”</w:t>
      </w:r>
      <w:r w:rsidRPr="00185C1F">
        <w:rPr>
          <w:rFonts w:ascii="ITC Avant Garde" w:hAnsi="ITC Avant Garde"/>
          <w:sz w:val="18"/>
          <w:szCs w:val="18"/>
        </w:rPr>
        <w:t>.</w:t>
      </w:r>
    </w:p>
  </w:footnote>
  <w:footnote w:id="33">
    <w:p w:rsidR="006103FB" w:rsidRPr="00185C1F" w:rsidRDefault="006103FB" w:rsidP="00E960DA">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072915">
        <w:rPr>
          <w:rFonts w:ascii="ITC Avant Garde" w:hAnsi="ITC Avant Garde"/>
          <w:b/>
          <w:color w:val="0000FF"/>
          <w:sz w:val="18"/>
          <w:szCs w:val="18"/>
        </w:rPr>
        <w:t>“CONFIDENCIAL POR LEY”</w:t>
      </w:r>
      <w:r w:rsidRPr="00185C1F">
        <w:rPr>
          <w:rFonts w:ascii="ITC Avant Garde" w:hAnsi="ITC Avant Garde"/>
          <w:sz w:val="18"/>
          <w:szCs w:val="18"/>
        </w:rPr>
        <w:t>.</w:t>
      </w:r>
    </w:p>
  </w:footnote>
  <w:footnote w:id="34">
    <w:p w:rsidR="006103FB" w:rsidRPr="00185C1F" w:rsidRDefault="006103FB" w:rsidP="00875D80">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072915">
        <w:rPr>
          <w:rFonts w:ascii="ITC Avant Garde" w:hAnsi="ITC Avant Garde"/>
          <w:b/>
          <w:color w:val="0000FF"/>
          <w:sz w:val="18"/>
          <w:szCs w:val="18"/>
        </w:rPr>
        <w:t>“CONFIDENCIAL POR LEY”</w:t>
      </w:r>
      <w:r w:rsidRPr="00185C1F">
        <w:rPr>
          <w:rFonts w:ascii="ITC Avant Garde" w:hAnsi="ITC Avant Garde"/>
          <w:sz w:val="18"/>
          <w:szCs w:val="18"/>
        </w:rPr>
        <w:t>.</w:t>
      </w:r>
    </w:p>
  </w:footnote>
  <w:footnote w:id="35">
    <w:p w:rsidR="006103FB" w:rsidRPr="00185C1F" w:rsidRDefault="006103FB" w:rsidP="00E960DA">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072915">
        <w:rPr>
          <w:rFonts w:ascii="ITC Avant Garde" w:hAnsi="ITC Avant Garde"/>
          <w:b/>
          <w:color w:val="0000FF"/>
          <w:sz w:val="18"/>
          <w:szCs w:val="18"/>
        </w:rPr>
        <w:t>“CONFIDENCIAL POR LEY”</w:t>
      </w:r>
      <w:r w:rsidRPr="00185C1F">
        <w:rPr>
          <w:rFonts w:ascii="ITC Avant Garde" w:hAnsi="ITC Avant Garde"/>
          <w:sz w:val="18"/>
          <w:szCs w:val="18"/>
        </w:rPr>
        <w:t>.</w:t>
      </w:r>
    </w:p>
  </w:footnote>
  <w:footnote w:id="36">
    <w:p w:rsidR="006103FB" w:rsidRPr="00185C1F" w:rsidRDefault="006103FB" w:rsidP="00E960DA">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Páginas 170 a 186 del OPR.</w:t>
      </w:r>
    </w:p>
  </w:footnote>
  <w:footnote w:id="37">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Página 186 del OPR.</w:t>
      </w:r>
    </w:p>
  </w:footnote>
  <w:footnote w:id="38">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Páginas 186 a 204 del OPR.</w:t>
      </w:r>
    </w:p>
  </w:footnote>
  <w:footnote w:id="39">
    <w:p w:rsidR="006103FB" w:rsidRPr="00185C1F" w:rsidRDefault="006103FB" w:rsidP="009E4431">
      <w:pPr>
        <w:pStyle w:val="Textonotapie"/>
        <w:jc w:val="both"/>
        <w:rPr>
          <w:rFonts w:ascii="ITC Avant Garde" w:eastAsia="Times New Roman" w:hAnsi="ITC Avant Garde"/>
          <w:color w:val="000000"/>
          <w:sz w:val="18"/>
          <w:szCs w:val="18"/>
          <w:lang w:eastAsia="es-MX"/>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Sirven de apoyo a lo anterior, las siguientes tesis: “</w:t>
      </w:r>
      <w:r w:rsidRPr="00185C1F">
        <w:rPr>
          <w:rFonts w:ascii="ITC Avant Garde" w:eastAsia="Times New Roman" w:hAnsi="ITC Avant Garde"/>
          <w:b/>
          <w:i/>
          <w:color w:val="0D0D0D" w:themeColor="text1" w:themeTint="F2"/>
          <w:sz w:val="18"/>
          <w:szCs w:val="18"/>
          <w:u w:val="single"/>
          <w:lang w:eastAsia="es-MX"/>
        </w:rPr>
        <w:t xml:space="preserve">CONCEPTOS DE VIOLACION. EL JUEZ NO ESTA OBLIGADO A TRANSCRIBIRLOS </w:t>
      </w:r>
      <w:r w:rsidRPr="00185C1F">
        <w:rPr>
          <w:rFonts w:ascii="ITC Avant Garde" w:eastAsia="Times New Roman" w:hAnsi="ITC Avant Garde" w:cs="Tahoma"/>
          <w:color w:val="000000" w:themeColor="text1"/>
          <w:sz w:val="18"/>
          <w:szCs w:val="18"/>
          <w:lang w:eastAsia="es-MX"/>
        </w:rPr>
        <w:t xml:space="preserve">Localización:[TA]; 8a. Época; T.C.C.; S.J.F.; Tomo XIV; Julio de 1994; Pág. 501; </w:t>
      </w:r>
      <w:r w:rsidRPr="00185C1F">
        <w:rPr>
          <w:rFonts w:ascii="ITC Avant Garde" w:hAnsi="ITC Avant Garde" w:cs="Tahoma"/>
          <w:color w:val="000000" w:themeColor="text1"/>
          <w:sz w:val="18"/>
          <w:szCs w:val="18"/>
        </w:rPr>
        <w:t xml:space="preserve">Registro No. </w:t>
      </w:r>
      <w:r w:rsidRPr="00185C1F">
        <w:rPr>
          <w:rStyle w:val="visitado"/>
          <w:rFonts w:ascii="ITC Avant Garde" w:hAnsi="ITC Avant Garde" w:cs="Tahoma"/>
          <w:color w:val="000000" w:themeColor="text1"/>
          <w:sz w:val="18"/>
          <w:szCs w:val="18"/>
        </w:rPr>
        <w:t>211253;</w:t>
      </w:r>
    </w:p>
    <w:p w:rsidR="006103FB" w:rsidRPr="00185C1F" w:rsidRDefault="006103FB" w:rsidP="009E4431">
      <w:pPr>
        <w:pStyle w:val="Textonotapie"/>
        <w:jc w:val="both"/>
        <w:rPr>
          <w:rFonts w:ascii="ITC Avant Garde" w:hAnsi="ITC Avant Garde"/>
          <w:color w:val="000000" w:themeColor="text1"/>
          <w:sz w:val="18"/>
          <w:szCs w:val="18"/>
        </w:rPr>
      </w:pPr>
      <w:r w:rsidRPr="00185C1F">
        <w:rPr>
          <w:rFonts w:ascii="ITC Avant Garde" w:eastAsia="Times New Roman" w:hAnsi="ITC Avant Garde"/>
          <w:b/>
          <w:i/>
          <w:color w:val="000000"/>
          <w:sz w:val="18"/>
          <w:szCs w:val="18"/>
          <w:u w:val="single"/>
          <w:lang w:eastAsia="es-MX"/>
        </w:rPr>
        <w:t>“AGRAVIOS. LA FALTA DE TRANSCRIPCION DE LOS MISMOS EN LA SENTENCIA, NO CONSTITUYE VIOLACION DE GARANTIAS”</w:t>
      </w:r>
      <w:r w:rsidRPr="00185C1F">
        <w:rPr>
          <w:rFonts w:ascii="ITC Avant Garde" w:eastAsia="Times New Roman" w:hAnsi="ITC Avant Garde"/>
          <w:b/>
          <w:i/>
          <w:color w:val="000000"/>
          <w:sz w:val="18"/>
          <w:szCs w:val="18"/>
          <w:lang w:eastAsia="es-MX"/>
        </w:rPr>
        <w:t>.</w:t>
      </w:r>
      <w:r w:rsidRPr="00185C1F">
        <w:rPr>
          <w:rFonts w:ascii="ITC Avant Garde" w:eastAsia="Times New Roman" w:hAnsi="ITC Avant Garde"/>
          <w:b/>
          <w:color w:val="000000"/>
          <w:sz w:val="18"/>
          <w:szCs w:val="18"/>
          <w:lang w:eastAsia="es-MX"/>
        </w:rPr>
        <w:t xml:space="preserve"> </w:t>
      </w:r>
      <w:r w:rsidRPr="00185C1F">
        <w:rPr>
          <w:rFonts w:ascii="ITC Avant Garde" w:hAnsi="ITC Avant Garde" w:cs="Tahoma"/>
          <w:color w:val="000000" w:themeColor="text1"/>
          <w:sz w:val="18"/>
          <w:szCs w:val="18"/>
        </w:rPr>
        <w:t>Localización:</w:t>
      </w:r>
      <w:r w:rsidRPr="00185C1F">
        <w:rPr>
          <w:rFonts w:ascii="ITC Avant Garde" w:eastAsia="Times New Roman" w:hAnsi="ITC Avant Garde" w:cs="Tahoma"/>
          <w:color w:val="000000" w:themeColor="text1"/>
          <w:sz w:val="18"/>
          <w:szCs w:val="18"/>
          <w:lang w:eastAsia="es-MX"/>
        </w:rPr>
        <w:t xml:space="preserve"> [TA]</w:t>
      </w:r>
      <w:r w:rsidRPr="00185C1F">
        <w:rPr>
          <w:rFonts w:ascii="ITC Avant Garde" w:hAnsi="ITC Avant Garde" w:cs="Tahoma"/>
          <w:color w:val="000000" w:themeColor="text1"/>
          <w:sz w:val="18"/>
          <w:szCs w:val="18"/>
        </w:rPr>
        <w:t>; 8a. Época; T.C.C.; S.J.F.; Tomo XII; Noviembre de 1993; Pág. 288; Registro No.</w:t>
      </w:r>
      <w:r w:rsidRPr="00185C1F">
        <w:rPr>
          <w:rStyle w:val="apple-converted-space"/>
          <w:rFonts w:ascii="ITC Avant Garde" w:hAnsi="ITC Avant Garde" w:cs="Tahoma"/>
          <w:color w:val="000000" w:themeColor="text1"/>
          <w:sz w:val="18"/>
          <w:szCs w:val="18"/>
        </w:rPr>
        <w:t xml:space="preserve"> </w:t>
      </w:r>
      <w:r w:rsidRPr="00185C1F">
        <w:rPr>
          <w:rFonts w:ascii="ITC Avant Garde" w:hAnsi="ITC Avant Garde" w:cs="Tahoma"/>
          <w:color w:val="000000" w:themeColor="text1"/>
          <w:sz w:val="18"/>
          <w:szCs w:val="18"/>
        </w:rPr>
        <w:t>214290</w:t>
      </w:r>
      <w:r w:rsidRPr="00185C1F">
        <w:rPr>
          <w:rFonts w:ascii="ITC Avant Garde" w:eastAsia="Times New Roman" w:hAnsi="ITC Avant Garde"/>
          <w:color w:val="000000"/>
          <w:sz w:val="18"/>
          <w:szCs w:val="18"/>
          <w:lang w:eastAsia="es-MX"/>
        </w:rPr>
        <w:t xml:space="preserve">; </w:t>
      </w:r>
      <w:r w:rsidRPr="00185C1F">
        <w:rPr>
          <w:rFonts w:ascii="ITC Avant Garde" w:hAnsi="ITC Avant Garde"/>
          <w:sz w:val="18"/>
          <w:szCs w:val="18"/>
        </w:rPr>
        <w:t>“</w:t>
      </w:r>
      <w:r w:rsidRPr="00185C1F">
        <w:rPr>
          <w:rFonts w:ascii="ITC Avant Garde" w:eastAsia="Times New Roman" w:hAnsi="ITC Avant Garde"/>
          <w:b/>
          <w:color w:val="000000"/>
          <w:sz w:val="18"/>
          <w:szCs w:val="18"/>
          <w:u w:val="single"/>
          <w:lang w:eastAsia="es-MX"/>
        </w:rPr>
        <w:t>AGRAVIOS, EXAMEN DE LOS”</w:t>
      </w:r>
      <w:r w:rsidRPr="00185C1F">
        <w:rPr>
          <w:rFonts w:ascii="ITC Avant Garde" w:eastAsia="Times New Roman" w:hAnsi="ITC Avant Garde"/>
          <w:b/>
          <w:color w:val="000000"/>
          <w:sz w:val="18"/>
          <w:szCs w:val="18"/>
          <w:lang w:eastAsia="es-MX"/>
        </w:rPr>
        <w:t>.</w:t>
      </w:r>
      <w:r w:rsidRPr="00185C1F">
        <w:rPr>
          <w:rFonts w:ascii="ITC Avant Garde" w:eastAsia="Times New Roman" w:hAnsi="ITC Avant Garde"/>
          <w:color w:val="000000"/>
          <w:sz w:val="18"/>
          <w:szCs w:val="18"/>
          <w:lang w:eastAsia="es-MX"/>
        </w:rPr>
        <w:t xml:space="preserve"> </w:t>
      </w:r>
      <w:r w:rsidRPr="00185C1F">
        <w:rPr>
          <w:rFonts w:ascii="ITC Avant Garde" w:hAnsi="ITC Avant Garde" w:cs="Tahoma"/>
          <w:color w:val="000000" w:themeColor="text1"/>
          <w:sz w:val="18"/>
          <w:szCs w:val="18"/>
        </w:rPr>
        <w:t>Localización: [J]; 7a. Época; 3a. Sala; S.J.F.; Volumen 48; Cuarta Parte; Pág. 15; Registro No.241958.</w:t>
      </w:r>
    </w:p>
  </w:footnote>
  <w:footnote w:id="40">
    <w:p w:rsidR="006103FB" w:rsidRPr="00185C1F" w:rsidRDefault="006103FB" w:rsidP="009E4431">
      <w:pPr>
        <w:pStyle w:val="Textonotapie"/>
        <w:jc w:val="both"/>
        <w:rPr>
          <w:rFonts w:ascii="ITC Avant Garde" w:hAnsi="ITC Avant Garde"/>
          <w:i/>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La Primera Sala de la SCJN señaló: “</w:t>
      </w:r>
      <w:r w:rsidRPr="00185C1F">
        <w:rPr>
          <w:rFonts w:ascii="ITC Avant Garde" w:hAnsi="ITC Avant Garde"/>
          <w:i/>
          <w:sz w:val="18"/>
          <w:szCs w:val="18"/>
        </w:rPr>
        <w:t>Para considerar que existe un grupo económico y que puede tener el carácter de agente económico para efectos de la Ley Federal de Competencia Económica, se debe analizar si una persona, directa o Indirectamente, coordina las actividades del grupo para operar en los mercados y, además, puede ejercer una Influencia decisiva o control sobre la otra, ya sea de lure o de facto. El control de iure puede darse de diversas formas, entre otras cuando:</w:t>
      </w:r>
    </w:p>
    <w:p w:rsidR="006103FB" w:rsidRPr="00185C1F" w:rsidRDefault="006103FB" w:rsidP="009E4431">
      <w:pPr>
        <w:pStyle w:val="Textonotapie"/>
        <w:jc w:val="both"/>
        <w:rPr>
          <w:rFonts w:ascii="ITC Avant Garde" w:hAnsi="ITC Avant Garde"/>
          <w:i/>
          <w:sz w:val="18"/>
          <w:szCs w:val="18"/>
        </w:rPr>
      </w:pPr>
      <w:r w:rsidRPr="00185C1F">
        <w:rPr>
          <w:rFonts w:ascii="ITC Avant Garde" w:hAnsi="ITC Avant Garde"/>
          <w:i/>
          <w:sz w:val="18"/>
          <w:szCs w:val="18"/>
        </w:rPr>
        <w:t>a) Una persona adquiere la mayoría de las acciones de una empresa; b) Existe la facultad de dirigir o administrar a otra en virtud de un contrato, convenios de abastecimiento de largo plazo, el otorgamiento de créditos o cuando una parte importante de los Ingresos de una empresa dependan de la venta de los productos de otra; c) Se tiene la capacidad o derecho de designar la mayoría de los miembros del consejo de administración u órgano equivalente de otra; d) Existe la capacidad o el derecho de designar director, gerente o factor principal de la otra; o e) Tenga vínculos por parentesco consanguíneo o afinidad en una o diversas personas morales.</w:t>
      </w:r>
    </w:p>
  </w:footnote>
  <w:footnote w:id="41">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Artículo 2.- “</w:t>
      </w:r>
      <w:r w:rsidRPr="00185C1F">
        <w:rPr>
          <w:rFonts w:ascii="ITC Avant Garde" w:hAnsi="ITC Avant Garde"/>
          <w:i/>
          <w:sz w:val="18"/>
          <w:szCs w:val="18"/>
        </w:rPr>
        <w:t>Control, la capacidad de una persona o grupo de personas, de llevar a cabo cualquiera de los actos siguientes: a) Imponer, directa o indirectamente, decisiones en las asambleas generales de accionistas, de socios u órganos equivalentes, o nombrar o destituir a la mayoría de los consejeros, administradores o sus equivalentes, de una persona moral. b) Mantener la titularidad de derechos que permitan, directa o indirectamente, ejercer el voto respecto de más del cincuenta por ciento del capital social de una persona moral. c) Dirigir, directa o indirectamente, la administración, la estrategia o las principales políticas de una persona moral, ya sea a través de la propiedad de valores, por contrato o de cualquier otra forma</w:t>
      </w:r>
      <w:r w:rsidRPr="00185C1F">
        <w:rPr>
          <w:rFonts w:ascii="ITC Avant Garde" w:hAnsi="ITC Avant Garde"/>
          <w:sz w:val="18"/>
          <w:szCs w:val="18"/>
        </w:rPr>
        <w:t>”.</w:t>
      </w:r>
    </w:p>
  </w:footnote>
  <w:footnote w:id="42">
    <w:p w:rsidR="006103FB" w:rsidRPr="00185C1F" w:rsidRDefault="006103FB" w:rsidP="009E4431">
      <w:pPr>
        <w:pStyle w:val="Textonotapie"/>
        <w:jc w:val="both"/>
        <w:rPr>
          <w:rFonts w:ascii="ITC Avant Garde" w:hAnsi="ITC Avant Garde"/>
          <w:i/>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ARTICULO 55.- “[…] </w:t>
      </w:r>
      <w:r w:rsidRPr="00185C1F">
        <w:rPr>
          <w:rFonts w:ascii="ITC Avant Garde" w:hAnsi="ITC Avant Garde"/>
          <w:i/>
          <w:sz w:val="18"/>
          <w:szCs w:val="18"/>
        </w:rPr>
        <w:t>l. - Cuando una persona es tenedora o titular de acciones o partes sociales, con derecho pleno a voto, que representen más del 50% del capital social de otra persona;</w:t>
      </w:r>
    </w:p>
    <w:p w:rsidR="006103FB" w:rsidRPr="00185C1F" w:rsidRDefault="006103FB" w:rsidP="009E4431">
      <w:pPr>
        <w:pStyle w:val="Textonotapie"/>
        <w:jc w:val="both"/>
        <w:rPr>
          <w:rFonts w:ascii="ITC Avant Garde" w:hAnsi="ITC Avant Garde"/>
          <w:i/>
          <w:sz w:val="18"/>
          <w:szCs w:val="18"/>
        </w:rPr>
      </w:pPr>
      <w:r w:rsidRPr="00185C1F">
        <w:rPr>
          <w:rFonts w:ascii="ITC Avant Garde" w:hAnsi="ITC Avant Garde"/>
          <w:i/>
          <w:sz w:val="18"/>
          <w:szCs w:val="18"/>
        </w:rPr>
        <w:t>II.- Cuando una persona es tenedora o titular de acciones o partes sociales, con derecho pleno a voto, que representen menos del 50% del capital social de otra persona, si no hay otro accionista o socio de esta última que sea tenedor o titular, a su vez, de acciones o partes sociales, con derecho pleno a voto, que representen una proporción del capital social igual o mayor a la que representen las acciones o partes sociales de que sea tenedora o titular la primera;</w:t>
      </w:r>
    </w:p>
    <w:p w:rsidR="006103FB" w:rsidRPr="00185C1F" w:rsidRDefault="006103FB" w:rsidP="009E4431">
      <w:pPr>
        <w:pStyle w:val="Textonotapie"/>
        <w:jc w:val="both"/>
        <w:rPr>
          <w:rFonts w:ascii="ITC Avant Garde" w:hAnsi="ITC Avant Garde"/>
          <w:i/>
          <w:sz w:val="18"/>
          <w:szCs w:val="18"/>
        </w:rPr>
      </w:pPr>
      <w:r w:rsidRPr="00185C1F">
        <w:rPr>
          <w:rFonts w:ascii="ITC Avant Garde" w:hAnsi="ITC Avant Garde"/>
          <w:i/>
          <w:sz w:val="18"/>
          <w:szCs w:val="18"/>
        </w:rPr>
        <w:t>III.- Cuando una persona tenga la facultad de dirigir o administrar a otra en virtud de un contrato;</w:t>
      </w:r>
    </w:p>
    <w:p w:rsidR="006103FB" w:rsidRPr="00185C1F" w:rsidRDefault="006103FB" w:rsidP="009E4431">
      <w:pPr>
        <w:pStyle w:val="Textonotapie"/>
        <w:jc w:val="both"/>
        <w:rPr>
          <w:rFonts w:ascii="ITC Avant Garde" w:hAnsi="ITC Avant Garde"/>
          <w:i/>
          <w:sz w:val="18"/>
          <w:szCs w:val="18"/>
        </w:rPr>
      </w:pPr>
      <w:r w:rsidRPr="00185C1F">
        <w:rPr>
          <w:rFonts w:ascii="ITC Avant Garde" w:hAnsi="ITC Avant Garde"/>
          <w:i/>
          <w:sz w:val="18"/>
          <w:szCs w:val="18"/>
        </w:rPr>
        <w:t xml:space="preserve">IV.- Cuando una persona tenga la capacidad o derecho de designar la mayoría de los miembros del consejo de administración u órgano equivalente de otra, y </w:t>
      </w:r>
    </w:p>
    <w:p w:rsidR="006103FB" w:rsidRPr="00185C1F" w:rsidRDefault="006103FB" w:rsidP="009E4431">
      <w:pPr>
        <w:pStyle w:val="Textonotapie"/>
        <w:jc w:val="both"/>
        <w:rPr>
          <w:rFonts w:ascii="ITC Avant Garde" w:hAnsi="ITC Avant Garde"/>
          <w:sz w:val="18"/>
          <w:szCs w:val="18"/>
        </w:rPr>
      </w:pPr>
      <w:r w:rsidRPr="00185C1F">
        <w:rPr>
          <w:rFonts w:ascii="ITC Avant Garde" w:hAnsi="ITC Avant Garde"/>
          <w:i/>
          <w:sz w:val="18"/>
          <w:szCs w:val="18"/>
        </w:rPr>
        <w:t>V.- Cuando una persona tenga la capacidad o el derecho de designar al director, gerente o factor principal de otra</w:t>
      </w:r>
      <w:r w:rsidRPr="00185C1F">
        <w:rPr>
          <w:rFonts w:ascii="ITC Avant Garde" w:hAnsi="ITC Avant Garde"/>
          <w:sz w:val="18"/>
          <w:szCs w:val="18"/>
        </w:rPr>
        <w:t>”</w:t>
      </w:r>
    </w:p>
  </w:footnote>
  <w:footnote w:id="43">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185C1F">
        <w:rPr>
          <w:rFonts w:ascii="ITC Avant Garde" w:hAnsi="ITC Avant Garde"/>
          <w:i/>
          <w:sz w:val="18"/>
          <w:szCs w:val="18"/>
        </w:rPr>
        <w:t>Para considerar que existe un grupo de interés económico y que diversas personas pueden ser consideradas como un solo agente económico para efectos de la LFCE, se debe analizar si una persona. directa o indirectamente. coordina las actividades del grupo para operar en los mercados v. además. puede e/ercer una influencia decisiva o control sobre la otra. ya sea en los hechos (de facto) o como consecuencia de actos jurídicos (de iure).</w:t>
      </w:r>
      <w:r w:rsidRPr="00185C1F">
        <w:rPr>
          <w:rFonts w:ascii="ITC Avant Garde" w:hAnsi="ITC Avant Garde"/>
          <w:sz w:val="18"/>
          <w:szCs w:val="18"/>
        </w:rPr>
        <w:t xml:space="preserve"> </w:t>
      </w:r>
      <w:r w:rsidRPr="00185C1F">
        <w:rPr>
          <w:rFonts w:ascii="ITC Avant Garde" w:hAnsi="ITC Avant Garde"/>
          <w:i/>
          <w:sz w:val="18"/>
          <w:szCs w:val="18"/>
        </w:rPr>
        <w:t>El control de iure puede darse de diversas formas, entre otras cuando:</w:t>
      </w:r>
      <w:r w:rsidRPr="00185C1F">
        <w:rPr>
          <w:rFonts w:ascii="ITC Avant Garde" w:hAnsi="ITC Avant Garde"/>
          <w:sz w:val="18"/>
          <w:szCs w:val="18"/>
        </w:rPr>
        <w:t xml:space="preserve"> [mismos señaladas por la SCJN en el amparo en revisión 169/2007] </w:t>
      </w:r>
      <w:r w:rsidRPr="00185C1F">
        <w:rPr>
          <w:rFonts w:ascii="ITC Avant Garde" w:hAnsi="ITC Avant Garde"/>
          <w:i/>
          <w:sz w:val="18"/>
          <w:szCs w:val="18"/>
        </w:rPr>
        <w:t>Por otro lado, el análisis del control de facto debe atender no sólo al nivel de participación accionaria cuando ningún socio tiene mayoría absoluta, sino también a la posibilidad de que un socio minoritario pueda obtener la mayoría en las asambleas dado el nivel de asistencia: la posición de los otros accionistas (dispersión. vínculos de tipo estructural. económico o familiar con el accionista principal; y el interés financiero</w:t>
      </w:r>
      <w:r w:rsidRPr="00185C1F">
        <w:rPr>
          <w:rFonts w:ascii="ITC Avant Garde" w:hAnsi="ITC Avant Garde"/>
          <w:sz w:val="18"/>
          <w:szCs w:val="18"/>
        </w:rPr>
        <w:t>”.</w:t>
      </w:r>
    </w:p>
  </w:footnote>
  <w:footnote w:id="44">
    <w:p w:rsidR="006103FB" w:rsidRPr="00185C1F" w:rsidRDefault="006103FB">
      <w:pPr>
        <w:pStyle w:val="Textonotapie"/>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Sección 5.4. del OPR visible en fojas a 161 a 165. </w:t>
      </w:r>
    </w:p>
  </w:footnote>
  <w:footnote w:id="45">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Localización: [J]; 9a. Época; T.C.C.; S.J.F. y su Gaceta; Tomo XXVIII, Noviembre de 2008; Pág. 1244. I.4o.A. J/66. Registro No. 168470.</w:t>
      </w:r>
    </w:p>
  </w:footnote>
  <w:footnote w:id="46">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Localización: [J]; 9a. Época; T.C.C.; S.J.F. y su Gaceta; Tomo XXVIII, Octubre de 2008; Pág. 2286. I.4o.A. J/67. Registro No. 168587.</w:t>
      </w:r>
    </w:p>
  </w:footnote>
  <w:footnote w:id="47">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Documento consultable en el sitio de Internet del Instituto con la dirección siguiente: http://www.ift.org.mx/sites/default/files/contenidogeneral/temas-relevantes/elementos.pdf</w:t>
      </w:r>
    </w:p>
  </w:footnote>
  <w:footnote w:id="48">
    <w:p w:rsidR="006103FB" w:rsidRPr="00185C1F" w:rsidRDefault="006103FB">
      <w:pPr>
        <w:pStyle w:val="Textonotapie"/>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Foja 23106 del Expediente que corresponde a la página 163 del OPR. </w:t>
      </w:r>
    </w:p>
  </w:footnote>
  <w:footnote w:id="49">
    <w:p w:rsidR="006103FB" w:rsidRPr="00185C1F" w:rsidRDefault="006103FB" w:rsidP="00CA6E8A">
      <w:pPr>
        <w:pStyle w:val="Textonotapie"/>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Cláusula décimo segunda del Acta de Emisión. Página 43 del OPR,</w:t>
      </w:r>
    </w:p>
  </w:footnote>
  <w:footnote w:id="50">
    <w:p w:rsidR="006103FB" w:rsidRPr="00185C1F" w:rsidRDefault="006103FB" w:rsidP="00301F75">
      <w:pPr>
        <w:pStyle w:val="Textonotapie"/>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Cláusula vigésima primera del Acta de Emisión. Página 137 del OPR.</w:t>
      </w:r>
    </w:p>
  </w:footnote>
  <w:footnote w:id="51">
    <w:p w:rsidR="006103FB" w:rsidRPr="00185C1F" w:rsidRDefault="006103FB">
      <w:pPr>
        <w:pStyle w:val="Textonotapie"/>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Páginas 163 a 165 del OPR.</w:t>
      </w:r>
    </w:p>
  </w:footnote>
  <w:footnote w:id="52">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w:t>
      </w:r>
      <w:r w:rsidRPr="00CE5237">
        <w:rPr>
          <w:rFonts w:ascii="ITC Avant Garde" w:hAnsi="ITC Avant Garde" w:cs="Helvetica"/>
          <w:b/>
          <w:color w:val="0000FF"/>
        </w:rPr>
        <w:t>“CONFIDENCIAL POR LEY”</w:t>
      </w:r>
    </w:p>
  </w:footnote>
  <w:footnote w:id="53">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Pr>
          <w:rFonts w:ascii="ITC Avant Garde" w:hAnsi="ITC Avant Garde"/>
          <w:sz w:val="18"/>
          <w:szCs w:val="18"/>
        </w:rPr>
        <w:t xml:space="preserve"> </w:t>
      </w:r>
      <w:r w:rsidRPr="000F54B8">
        <w:rPr>
          <w:rFonts w:ascii="ITC Avant Garde" w:hAnsi="ITC Avant Garde"/>
          <w:b/>
          <w:color w:val="0000FF"/>
          <w:sz w:val="18"/>
          <w:szCs w:val="18"/>
        </w:rPr>
        <w:t>“CONFIDENCIAL POR LEY”</w:t>
      </w:r>
      <w:r w:rsidRPr="00185C1F">
        <w:rPr>
          <w:rFonts w:ascii="ITC Avant Garde" w:hAnsi="ITC Avant Garde"/>
          <w:sz w:val="18"/>
          <w:szCs w:val="18"/>
        </w:rPr>
        <w:t>.</w:t>
      </w:r>
    </w:p>
  </w:footnote>
  <w:footnote w:id="54">
    <w:p w:rsidR="006103FB" w:rsidRPr="00185C1F" w:rsidRDefault="006103FB" w:rsidP="00CE7FEC">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Sirve de apoyo el siguiente criterio jurisprudencial “</w:t>
      </w:r>
      <w:r w:rsidRPr="00185C1F">
        <w:rPr>
          <w:rFonts w:ascii="ITC Avant Garde" w:hAnsi="ITC Avant Garde"/>
          <w:b/>
          <w:i/>
          <w:sz w:val="18"/>
          <w:szCs w:val="18"/>
        </w:rPr>
        <w:t xml:space="preserve">PRUEBA INDIRECTA. SU CONCEPTO Y ELEMENTOS QUE LA INTEGRAN. </w:t>
      </w:r>
      <w:r w:rsidRPr="00185C1F">
        <w:rPr>
          <w:rFonts w:ascii="ITC Avant Garde" w:hAnsi="ITC Avant Garde"/>
          <w:i/>
          <w:sz w:val="18"/>
          <w:szCs w:val="18"/>
        </w:rPr>
        <w:t>Una prueba es indirecta cuando de la demostración de la existencia de un hecho secundario (hecho probado) sea posible extraer inferencias que fundamenten la hipótesis del hecho principal (hecho por probar o presunto). Así, la prueba indirecta ofrece elementos de confirmación de la hipótesis de existencia de un hecho principal, pero a través de un paso lógico, que parte de un hecho secundario. En ese orden de ideas, el grado de apoyo de la hipótesis a probar dependerá de: a) el nivel de aceptación de la existencia del hecho secundario, es decir, si ésta está suficientemente probada y, b) el grado de aprobación de la inferencia, que se funda en la eficiencia y suficiencia del hecho secundario, cuya existencia ha sido probada, lo que, por lo general, implica acudir a máximas de experiencia solventes y a argumentos basados en la sana crítica. En conclusión, para determinar el grado de aceptación de la inferencia, que parte del hecho secundario o probado hacia el principal o inferido presuntivamente (hecho por probar), es necesario conocer el criterio en el que dicha inferencia se apoya, que comúnmente son enunciados de carácter general que convencen de la pertinencia y suficiencia de los indicios para aseverar la hipótesis o conclusión, también conocidos como máximas de experiencia. Así, mientras más preciso y seguro sea el criterio, mayor será el grado de aceptación de la inferencia</w:t>
      </w:r>
      <w:r w:rsidRPr="00185C1F">
        <w:rPr>
          <w:rFonts w:ascii="ITC Avant Garde" w:hAnsi="ITC Avant Garde"/>
          <w:sz w:val="18"/>
          <w:szCs w:val="18"/>
        </w:rPr>
        <w:t>”. Localización: [J]; 9a. Época; T.C.C.; S.J.F. y su Gaceta; Tomo XXVIII, Octubre de 2008; Pág. 2287. I.4o.A. J/72. Registro No. 168 580.</w:t>
      </w:r>
    </w:p>
  </w:footnote>
  <w:footnote w:id="55">
    <w:p w:rsidR="006103FB" w:rsidRPr="00185C1F" w:rsidRDefault="006103FB">
      <w:pPr>
        <w:pStyle w:val="Textonotapie"/>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Páginas 163 a 165 del OPR.</w:t>
      </w:r>
    </w:p>
  </w:footnote>
  <w:footnote w:id="56">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Localización: [J]; 8a. Época; T.C.C.; S.J.F.; Tomo IX, Marzo de 1992; Pág. 89. II.3o. J/5. Registro No. 220006.</w:t>
      </w:r>
    </w:p>
  </w:footnote>
  <w:footnote w:id="57">
    <w:p w:rsidR="006103FB" w:rsidRPr="00185C1F" w:rsidRDefault="006103FB" w:rsidP="009E4431">
      <w:pPr>
        <w:pStyle w:val="Textonotapie"/>
        <w:jc w:val="both"/>
        <w:rPr>
          <w:rFonts w:ascii="ITC Avant Garde" w:hAnsi="ITC Avant Garde"/>
          <w:sz w:val="18"/>
          <w:szCs w:val="18"/>
        </w:rPr>
      </w:pPr>
      <w:r w:rsidRPr="00185C1F">
        <w:rPr>
          <w:rStyle w:val="Refdenotaalpie"/>
          <w:rFonts w:ascii="ITC Avant Garde" w:hAnsi="ITC Avant Garde"/>
          <w:sz w:val="18"/>
          <w:szCs w:val="18"/>
        </w:rPr>
        <w:footnoteRef/>
      </w:r>
      <w:r w:rsidRPr="00185C1F">
        <w:rPr>
          <w:rFonts w:ascii="ITC Avant Garde" w:hAnsi="ITC Avant Garde"/>
          <w:sz w:val="18"/>
          <w:szCs w:val="18"/>
        </w:rPr>
        <w:t xml:space="preserve"> Localización: [J]; 9a. Época; T.C.C.; S.J.F. y su Gaceta; Tomo XXX, Agosto de 2009; Pág. 1244. I.7o.A. J/47. Registro No. 166750.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FB" w:rsidRDefault="006103FB" w:rsidP="007D3D71">
    <w:pPr>
      <w:pStyle w:val="Encabezado"/>
      <w:jc w:val="both"/>
      <w:rPr>
        <w:rFonts w:ascii="ITC Avant Garde" w:hAnsi="ITC Avant Garde"/>
        <w:b/>
        <w:color w:val="0000FF"/>
        <w:sz w:val="24"/>
        <w:szCs w:val="24"/>
      </w:rPr>
    </w:pPr>
    <w:r w:rsidRPr="00DA056E">
      <w:rPr>
        <w:rFonts w:ascii="ITC Avant Garde" w:hAnsi="ITC Avant Garde"/>
        <w:b/>
        <w:color w:val="0000FF"/>
        <w:sz w:val="24"/>
        <w:szCs w:val="24"/>
      </w:rPr>
      <w:t xml:space="preserve">Los textos ocultos </w:t>
    </w:r>
    <w:r>
      <w:rPr>
        <w:rFonts w:ascii="ITC Avant Garde" w:hAnsi="ITC Avant Garde"/>
        <w:b/>
        <w:color w:val="0000FF"/>
        <w:sz w:val="24"/>
        <w:szCs w:val="24"/>
      </w:rPr>
      <w:t xml:space="preserve">marcados con la leyenda “CONFIDENCIAL POR LEY” en color negro, </w:t>
    </w:r>
    <w:r w:rsidRPr="00DA056E">
      <w:rPr>
        <w:rFonts w:ascii="ITC Avant Garde" w:hAnsi="ITC Avant Garde"/>
        <w:b/>
        <w:color w:val="0000FF"/>
        <w:sz w:val="24"/>
        <w:szCs w:val="24"/>
      </w:rPr>
      <w:t>corresponden a información clasificada como Confidencial, de conformidad con el artículo 31 bis, fracción II de la Ley Federal de Competencia Económica, en relación con el artículo 113 de la Ley Federal de Transparencia y Acceso a la Información Pública, así como los Lineamientos Trigésimo Octavo, y Cuadragésimo de los Lineamientos Generales en Materia de Clasificación y Desclasificación de la Información, así como para la elaboración de Versiones Públicas, por lo anterior, dicha información obra resguardada en cuerda separada al presente</w:t>
    </w:r>
    <w:r>
      <w:rPr>
        <w:rFonts w:ascii="ITC Avant Garde" w:hAnsi="ITC Avant Garde"/>
        <w:b/>
        <w:color w:val="0000FF"/>
        <w:sz w:val="24"/>
        <w:szCs w:val="24"/>
      </w:rPr>
      <w:t xml:space="preserve"> expediente.</w:t>
    </w:r>
  </w:p>
  <w:p w:rsidR="006103FB" w:rsidRPr="007D3D71" w:rsidRDefault="006103FB" w:rsidP="007D3D71">
    <w:pPr>
      <w:pStyle w:val="Encabezado"/>
      <w:jc w:val="both"/>
      <w:rPr>
        <w:rFonts w:ascii="ITC Avant Garde" w:hAnsi="ITC Avant Garde"/>
        <w:b/>
        <w:color w:val="0000FF"/>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FB" w:rsidRDefault="006103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5A585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965B87"/>
    <w:multiLevelType w:val="hybridMultilevel"/>
    <w:tmpl w:val="B7A60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C5FCF"/>
    <w:multiLevelType w:val="hybridMultilevel"/>
    <w:tmpl w:val="D87C9484"/>
    <w:lvl w:ilvl="0" w:tplc="DFB60A42">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3" w15:restartNumberingAfterBreak="0">
    <w:nsid w:val="069E1202"/>
    <w:multiLevelType w:val="hybridMultilevel"/>
    <w:tmpl w:val="8E0A9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34FF0"/>
    <w:multiLevelType w:val="hybridMultilevel"/>
    <w:tmpl w:val="CBFAC50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0C747294"/>
    <w:multiLevelType w:val="hybridMultilevel"/>
    <w:tmpl w:val="EF262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9E0056"/>
    <w:multiLevelType w:val="hybridMultilevel"/>
    <w:tmpl w:val="073E27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1371043"/>
    <w:multiLevelType w:val="hybridMultilevel"/>
    <w:tmpl w:val="1E68DAA8"/>
    <w:lvl w:ilvl="0" w:tplc="11E86FD0">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13E1F5F"/>
    <w:multiLevelType w:val="hybridMultilevel"/>
    <w:tmpl w:val="2F8C69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8B7D27"/>
    <w:multiLevelType w:val="hybridMultilevel"/>
    <w:tmpl w:val="2A961742"/>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5743DE"/>
    <w:multiLevelType w:val="hybridMultilevel"/>
    <w:tmpl w:val="C0F61EC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BE31502"/>
    <w:multiLevelType w:val="hybridMultilevel"/>
    <w:tmpl w:val="1E68DAA8"/>
    <w:lvl w:ilvl="0" w:tplc="11E86FD0">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0A6B64"/>
    <w:multiLevelType w:val="hybridMultilevel"/>
    <w:tmpl w:val="06BA6102"/>
    <w:lvl w:ilvl="0" w:tplc="13D8A0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0375CE"/>
    <w:multiLevelType w:val="hybridMultilevel"/>
    <w:tmpl w:val="55A647E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22D61D5D"/>
    <w:multiLevelType w:val="hybridMultilevel"/>
    <w:tmpl w:val="424CCA6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238D0933"/>
    <w:multiLevelType w:val="hybridMultilevel"/>
    <w:tmpl w:val="57748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412757"/>
    <w:multiLevelType w:val="hybridMultilevel"/>
    <w:tmpl w:val="0302E3BC"/>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15:restartNumberingAfterBreak="0">
    <w:nsid w:val="2C754315"/>
    <w:multiLevelType w:val="hybridMultilevel"/>
    <w:tmpl w:val="7D2C91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F36B8"/>
    <w:multiLevelType w:val="hybridMultilevel"/>
    <w:tmpl w:val="81BA6344"/>
    <w:lvl w:ilvl="0" w:tplc="BA34DF28">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FAE64AD"/>
    <w:multiLevelType w:val="hybridMultilevel"/>
    <w:tmpl w:val="FF261B74"/>
    <w:lvl w:ilvl="0" w:tplc="867E21DC">
      <w:start w:val="1"/>
      <w:numFmt w:val="lowerLetter"/>
      <w:lvlText w:val="%1."/>
      <w:lvlJc w:val="left"/>
      <w:pPr>
        <w:ind w:left="1429" w:hanging="360"/>
      </w:pPr>
      <w:rPr>
        <w:rFonts w:ascii="Times New Roman" w:eastAsia="Times New Roman" w:hAnsi="Times New Roman" w:hint="default"/>
        <w:color w:val="0F0F11"/>
        <w:w w:val="107"/>
        <w:sz w:val="26"/>
        <w:szCs w:val="2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30501F75"/>
    <w:multiLevelType w:val="hybridMultilevel"/>
    <w:tmpl w:val="E56CE46A"/>
    <w:lvl w:ilvl="0" w:tplc="6DCA7CD0">
      <w:start w:val="1"/>
      <w:numFmt w:val="decimal"/>
      <w:lvlText w:val="%1."/>
      <w:lvlJc w:val="left"/>
      <w:pPr>
        <w:ind w:hanging="692"/>
        <w:jc w:val="right"/>
      </w:pPr>
      <w:rPr>
        <w:rFonts w:ascii="Arial" w:eastAsia="Arial" w:hAnsi="Arial" w:hint="default"/>
        <w:i/>
        <w:color w:val="0F0E0F"/>
        <w:w w:val="97"/>
        <w:sz w:val="22"/>
        <w:szCs w:val="22"/>
      </w:rPr>
    </w:lvl>
    <w:lvl w:ilvl="1" w:tplc="A21C7B2A">
      <w:start w:val="1"/>
      <w:numFmt w:val="bullet"/>
      <w:lvlText w:val="•"/>
      <w:lvlJc w:val="left"/>
      <w:rPr>
        <w:rFonts w:hint="default"/>
      </w:rPr>
    </w:lvl>
    <w:lvl w:ilvl="2" w:tplc="5E80CDE0">
      <w:start w:val="1"/>
      <w:numFmt w:val="bullet"/>
      <w:lvlText w:val="•"/>
      <w:lvlJc w:val="left"/>
      <w:rPr>
        <w:rFonts w:hint="default"/>
      </w:rPr>
    </w:lvl>
    <w:lvl w:ilvl="3" w:tplc="8CE4912C">
      <w:start w:val="1"/>
      <w:numFmt w:val="bullet"/>
      <w:lvlText w:val="•"/>
      <w:lvlJc w:val="left"/>
      <w:rPr>
        <w:rFonts w:hint="default"/>
      </w:rPr>
    </w:lvl>
    <w:lvl w:ilvl="4" w:tplc="D1F686CC">
      <w:start w:val="1"/>
      <w:numFmt w:val="bullet"/>
      <w:lvlText w:val="•"/>
      <w:lvlJc w:val="left"/>
      <w:rPr>
        <w:rFonts w:hint="default"/>
      </w:rPr>
    </w:lvl>
    <w:lvl w:ilvl="5" w:tplc="A7EED6CE">
      <w:start w:val="1"/>
      <w:numFmt w:val="bullet"/>
      <w:lvlText w:val="•"/>
      <w:lvlJc w:val="left"/>
      <w:rPr>
        <w:rFonts w:hint="default"/>
      </w:rPr>
    </w:lvl>
    <w:lvl w:ilvl="6" w:tplc="4AB0B9DC">
      <w:start w:val="1"/>
      <w:numFmt w:val="bullet"/>
      <w:lvlText w:val="•"/>
      <w:lvlJc w:val="left"/>
      <w:rPr>
        <w:rFonts w:hint="default"/>
      </w:rPr>
    </w:lvl>
    <w:lvl w:ilvl="7" w:tplc="E58CE1C4">
      <w:start w:val="1"/>
      <w:numFmt w:val="bullet"/>
      <w:lvlText w:val="•"/>
      <w:lvlJc w:val="left"/>
      <w:rPr>
        <w:rFonts w:hint="default"/>
      </w:rPr>
    </w:lvl>
    <w:lvl w:ilvl="8" w:tplc="D19272D2">
      <w:start w:val="1"/>
      <w:numFmt w:val="bullet"/>
      <w:lvlText w:val="•"/>
      <w:lvlJc w:val="left"/>
      <w:rPr>
        <w:rFonts w:hint="default"/>
      </w:rPr>
    </w:lvl>
  </w:abstractNum>
  <w:abstractNum w:abstractNumId="21" w15:restartNumberingAfterBreak="0">
    <w:nsid w:val="324F3AE3"/>
    <w:multiLevelType w:val="hybridMultilevel"/>
    <w:tmpl w:val="12441372"/>
    <w:lvl w:ilvl="0" w:tplc="1BA4A8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E56DDE"/>
    <w:multiLevelType w:val="hybridMultilevel"/>
    <w:tmpl w:val="4E2436B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69778C3"/>
    <w:multiLevelType w:val="hybridMultilevel"/>
    <w:tmpl w:val="2A8A721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B81781C"/>
    <w:multiLevelType w:val="hybridMultilevel"/>
    <w:tmpl w:val="4C6E890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E9C3779"/>
    <w:multiLevelType w:val="hybridMultilevel"/>
    <w:tmpl w:val="35F690BE"/>
    <w:lvl w:ilvl="0" w:tplc="1946DD52">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677B54"/>
    <w:multiLevelType w:val="hybridMultilevel"/>
    <w:tmpl w:val="1ABCFC1C"/>
    <w:lvl w:ilvl="0" w:tplc="420AE000">
      <w:start w:val="1"/>
      <w:numFmt w:val="decimal"/>
      <w:suff w:val="space"/>
      <w:lvlText w:val="%1."/>
      <w:lvlJc w:val="left"/>
      <w:pPr>
        <w:ind w:left="0" w:firstLine="0"/>
      </w:pPr>
      <w:rPr>
        <w:rFonts w:hint="default"/>
      </w:rPr>
    </w:lvl>
    <w:lvl w:ilvl="1" w:tplc="080A0019" w:tentative="1">
      <w:start w:val="1"/>
      <w:numFmt w:val="lowerLetter"/>
      <w:lvlText w:val="%2."/>
      <w:lvlJc w:val="left"/>
      <w:pPr>
        <w:ind w:left="369" w:hanging="360"/>
      </w:pPr>
    </w:lvl>
    <w:lvl w:ilvl="2" w:tplc="080A001B" w:tentative="1">
      <w:start w:val="1"/>
      <w:numFmt w:val="lowerRoman"/>
      <w:lvlText w:val="%3."/>
      <w:lvlJc w:val="right"/>
      <w:pPr>
        <w:ind w:left="1089" w:hanging="180"/>
      </w:pPr>
    </w:lvl>
    <w:lvl w:ilvl="3" w:tplc="080A000F" w:tentative="1">
      <w:start w:val="1"/>
      <w:numFmt w:val="decimal"/>
      <w:lvlText w:val="%4."/>
      <w:lvlJc w:val="left"/>
      <w:pPr>
        <w:ind w:left="1809" w:hanging="360"/>
      </w:pPr>
    </w:lvl>
    <w:lvl w:ilvl="4" w:tplc="080A0019" w:tentative="1">
      <w:start w:val="1"/>
      <w:numFmt w:val="lowerLetter"/>
      <w:lvlText w:val="%5."/>
      <w:lvlJc w:val="left"/>
      <w:pPr>
        <w:ind w:left="2529" w:hanging="360"/>
      </w:pPr>
    </w:lvl>
    <w:lvl w:ilvl="5" w:tplc="080A001B" w:tentative="1">
      <w:start w:val="1"/>
      <w:numFmt w:val="lowerRoman"/>
      <w:lvlText w:val="%6."/>
      <w:lvlJc w:val="right"/>
      <w:pPr>
        <w:ind w:left="3249" w:hanging="180"/>
      </w:pPr>
    </w:lvl>
    <w:lvl w:ilvl="6" w:tplc="080A000F" w:tentative="1">
      <w:start w:val="1"/>
      <w:numFmt w:val="decimal"/>
      <w:lvlText w:val="%7."/>
      <w:lvlJc w:val="left"/>
      <w:pPr>
        <w:ind w:left="3969" w:hanging="360"/>
      </w:pPr>
    </w:lvl>
    <w:lvl w:ilvl="7" w:tplc="080A0019" w:tentative="1">
      <w:start w:val="1"/>
      <w:numFmt w:val="lowerLetter"/>
      <w:lvlText w:val="%8."/>
      <w:lvlJc w:val="left"/>
      <w:pPr>
        <w:ind w:left="4689" w:hanging="360"/>
      </w:pPr>
    </w:lvl>
    <w:lvl w:ilvl="8" w:tplc="080A001B" w:tentative="1">
      <w:start w:val="1"/>
      <w:numFmt w:val="lowerRoman"/>
      <w:lvlText w:val="%9."/>
      <w:lvlJc w:val="right"/>
      <w:pPr>
        <w:ind w:left="5409" w:hanging="180"/>
      </w:pPr>
    </w:lvl>
  </w:abstractNum>
  <w:abstractNum w:abstractNumId="27" w15:restartNumberingAfterBreak="0">
    <w:nsid w:val="45E110F1"/>
    <w:multiLevelType w:val="hybridMultilevel"/>
    <w:tmpl w:val="5F88631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48540DEF"/>
    <w:multiLevelType w:val="hybridMultilevel"/>
    <w:tmpl w:val="3D068A8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ED4972"/>
    <w:multiLevelType w:val="hybridMultilevel"/>
    <w:tmpl w:val="61C094AA"/>
    <w:lvl w:ilvl="0" w:tplc="185E3C3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586B75"/>
    <w:multiLevelType w:val="hybridMultilevel"/>
    <w:tmpl w:val="8B1E743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5EFD57E2"/>
    <w:multiLevelType w:val="hybridMultilevel"/>
    <w:tmpl w:val="8B8637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03E631D"/>
    <w:multiLevelType w:val="hybridMultilevel"/>
    <w:tmpl w:val="C6F2DD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A10404"/>
    <w:multiLevelType w:val="hybridMultilevel"/>
    <w:tmpl w:val="68481A7E"/>
    <w:lvl w:ilvl="0" w:tplc="D8560FA0">
      <w:start w:val="4"/>
      <w:numFmt w:val="upperRoman"/>
      <w:lvlText w:val="%1."/>
      <w:lvlJc w:val="left"/>
      <w:pPr>
        <w:ind w:hanging="428"/>
      </w:pPr>
      <w:rPr>
        <w:rFonts w:ascii="Arial" w:eastAsia="Arial" w:hAnsi="Arial" w:hint="default"/>
        <w:color w:val="0F0F0F"/>
        <w:w w:val="108"/>
        <w:sz w:val="22"/>
        <w:szCs w:val="22"/>
      </w:rPr>
    </w:lvl>
    <w:lvl w:ilvl="1" w:tplc="BE28A58C">
      <w:start w:val="1"/>
      <w:numFmt w:val="decimal"/>
      <w:lvlText w:val="%2."/>
      <w:lvlJc w:val="left"/>
      <w:pPr>
        <w:ind w:hanging="351"/>
      </w:pPr>
      <w:rPr>
        <w:rFonts w:ascii="Arial" w:eastAsia="Arial" w:hAnsi="Arial" w:hint="default"/>
        <w:i/>
        <w:color w:val="0F0F0F"/>
        <w:spacing w:val="-34"/>
        <w:w w:val="110"/>
        <w:sz w:val="22"/>
        <w:szCs w:val="22"/>
      </w:rPr>
    </w:lvl>
    <w:lvl w:ilvl="2" w:tplc="7E286768">
      <w:start w:val="1"/>
      <w:numFmt w:val="bullet"/>
      <w:lvlText w:val="•"/>
      <w:lvlJc w:val="left"/>
      <w:rPr>
        <w:rFonts w:hint="default"/>
      </w:rPr>
    </w:lvl>
    <w:lvl w:ilvl="3" w:tplc="7F6494A2">
      <w:start w:val="1"/>
      <w:numFmt w:val="bullet"/>
      <w:lvlText w:val="•"/>
      <w:lvlJc w:val="left"/>
      <w:rPr>
        <w:rFonts w:hint="default"/>
      </w:rPr>
    </w:lvl>
    <w:lvl w:ilvl="4" w:tplc="9F32B5D6">
      <w:start w:val="1"/>
      <w:numFmt w:val="bullet"/>
      <w:lvlText w:val="•"/>
      <w:lvlJc w:val="left"/>
      <w:rPr>
        <w:rFonts w:hint="default"/>
      </w:rPr>
    </w:lvl>
    <w:lvl w:ilvl="5" w:tplc="6A8E62E6">
      <w:start w:val="1"/>
      <w:numFmt w:val="bullet"/>
      <w:lvlText w:val="•"/>
      <w:lvlJc w:val="left"/>
      <w:rPr>
        <w:rFonts w:hint="default"/>
      </w:rPr>
    </w:lvl>
    <w:lvl w:ilvl="6" w:tplc="89725136">
      <w:start w:val="1"/>
      <w:numFmt w:val="bullet"/>
      <w:lvlText w:val="•"/>
      <w:lvlJc w:val="left"/>
      <w:rPr>
        <w:rFonts w:hint="default"/>
      </w:rPr>
    </w:lvl>
    <w:lvl w:ilvl="7" w:tplc="F828A3F8">
      <w:start w:val="1"/>
      <w:numFmt w:val="bullet"/>
      <w:lvlText w:val="•"/>
      <w:lvlJc w:val="left"/>
      <w:rPr>
        <w:rFonts w:hint="default"/>
      </w:rPr>
    </w:lvl>
    <w:lvl w:ilvl="8" w:tplc="0434B8DA">
      <w:start w:val="1"/>
      <w:numFmt w:val="bullet"/>
      <w:lvlText w:val="•"/>
      <w:lvlJc w:val="left"/>
      <w:rPr>
        <w:rFonts w:hint="default"/>
      </w:rPr>
    </w:lvl>
  </w:abstractNum>
  <w:abstractNum w:abstractNumId="34" w15:restartNumberingAfterBreak="0">
    <w:nsid w:val="6E684E94"/>
    <w:multiLevelType w:val="hybridMultilevel"/>
    <w:tmpl w:val="26945E4E"/>
    <w:lvl w:ilvl="0" w:tplc="53F69A48">
      <w:start w:val="1"/>
      <w:numFmt w:val="bullet"/>
      <w:lvlText w:val="-"/>
      <w:lvlJc w:val="left"/>
      <w:pPr>
        <w:ind w:left="644" w:hanging="360"/>
      </w:pPr>
      <w:rPr>
        <w:rFonts w:ascii="ITC Avant Garde" w:eastAsia="Arial" w:hAnsi="ITC Avant Garde" w:cstheme="minorBidi"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5" w15:restartNumberingAfterBreak="0">
    <w:nsid w:val="700B171E"/>
    <w:multiLevelType w:val="hybridMultilevel"/>
    <w:tmpl w:val="2FC03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A671A4"/>
    <w:multiLevelType w:val="hybridMultilevel"/>
    <w:tmpl w:val="FE581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79641B"/>
    <w:multiLevelType w:val="hybridMultilevel"/>
    <w:tmpl w:val="26DC107C"/>
    <w:lvl w:ilvl="0" w:tplc="BAF849AC">
      <w:start w:val="1"/>
      <w:numFmt w:val="decimal"/>
      <w:lvlText w:val="%1."/>
      <w:lvlJc w:val="left"/>
      <w:pPr>
        <w:ind w:left="720" w:hanging="360"/>
      </w:pPr>
      <w:rPr>
        <w:rFonts w:ascii="ITC Avant Garde" w:hAnsi="ITC Avant Garde" w:cstheme="minorBidi"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A90195"/>
    <w:multiLevelType w:val="hybridMultilevel"/>
    <w:tmpl w:val="67687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560084"/>
    <w:multiLevelType w:val="hybridMultilevel"/>
    <w:tmpl w:val="433019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D45A7F"/>
    <w:multiLevelType w:val="hybridMultilevel"/>
    <w:tmpl w:val="22FA2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A47882"/>
    <w:multiLevelType w:val="hybridMultilevel"/>
    <w:tmpl w:val="8F8C76E8"/>
    <w:lvl w:ilvl="0" w:tplc="4672D56E">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21"/>
  </w:num>
  <w:num w:numId="2">
    <w:abstractNumId w:val="28"/>
  </w:num>
  <w:num w:numId="3">
    <w:abstractNumId w:val="39"/>
  </w:num>
  <w:num w:numId="4">
    <w:abstractNumId w:val="17"/>
  </w:num>
  <w:num w:numId="5">
    <w:abstractNumId w:val="18"/>
  </w:num>
  <w:num w:numId="6">
    <w:abstractNumId w:val="37"/>
  </w:num>
  <w:num w:numId="7">
    <w:abstractNumId w:val="41"/>
  </w:num>
  <w:num w:numId="8">
    <w:abstractNumId w:val="2"/>
  </w:num>
  <w:num w:numId="9">
    <w:abstractNumId w:val="38"/>
  </w:num>
  <w:num w:numId="10">
    <w:abstractNumId w:val="36"/>
  </w:num>
  <w:num w:numId="11">
    <w:abstractNumId w:val="30"/>
  </w:num>
  <w:num w:numId="12">
    <w:abstractNumId w:val="6"/>
  </w:num>
  <w:num w:numId="13">
    <w:abstractNumId w:val="24"/>
  </w:num>
  <w:num w:numId="14">
    <w:abstractNumId w:val="27"/>
  </w:num>
  <w:num w:numId="15">
    <w:abstractNumId w:val="23"/>
  </w:num>
  <w:num w:numId="16">
    <w:abstractNumId w:val="15"/>
  </w:num>
  <w:num w:numId="17">
    <w:abstractNumId w:val="13"/>
  </w:num>
  <w:num w:numId="18">
    <w:abstractNumId w:val="31"/>
  </w:num>
  <w:num w:numId="19">
    <w:abstractNumId w:val="10"/>
  </w:num>
  <w:num w:numId="20">
    <w:abstractNumId w:val="4"/>
  </w:num>
  <w:num w:numId="21">
    <w:abstractNumId w:val="14"/>
  </w:num>
  <w:num w:numId="22">
    <w:abstractNumId w:val="33"/>
  </w:num>
  <w:num w:numId="23">
    <w:abstractNumId w:val="35"/>
  </w:num>
  <w:num w:numId="24">
    <w:abstractNumId w:val="5"/>
  </w:num>
  <w:num w:numId="25">
    <w:abstractNumId w:val="22"/>
  </w:num>
  <w:num w:numId="26">
    <w:abstractNumId w:val="40"/>
  </w:num>
  <w:num w:numId="27">
    <w:abstractNumId w:val="32"/>
  </w:num>
  <w:num w:numId="28">
    <w:abstractNumId w:val="8"/>
  </w:num>
  <w:num w:numId="29">
    <w:abstractNumId w:val="9"/>
  </w:num>
  <w:num w:numId="30">
    <w:abstractNumId w:val="12"/>
  </w:num>
  <w:num w:numId="31">
    <w:abstractNumId w:val="29"/>
  </w:num>
  <w:num w:numId="32">
    <w:abstractNumId w:val="1"/>
  </w:num>
  <w:num w:numId="33">
    <w:abstractNumId w:val="20"/>
  </w:num>
  <w:num w:numId="34">
    <w:abstractNumId w:val="19"/>
  </w:num>
  <w:num w:numId="35">
    <w:abstractNumId w:val="34"/>
  </w:num>
  <w:num w:numId="36">
    <w:abstractNumId w:val="0"/>
  </w:num>
  <w:num w:numId="37">
    <w:abstractNumId w:val="16"/>
  </w:num>
  <w:num w:numId="3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6"/>
  </w:num>
  <w:num w:numId="42">
    <w:abstractNumId w:val="25"/>
  </w:num>
  <w:num w:numId="43">
    <w:abstractNumId w:val="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B2"/>
    <w:rsid w:val="000000B2"/>
    <w:rsid w:val="000005ED"/>
    <w:rsid w:val="000015BE"/>
    <w:rsid w:val="00002266"/>
    <w:rsid w:val="00002953"/>
    <w:rsid w:val="00002B9C"/>
    <w:rsid w:val="00006BE1"/>
    <w:rsid w:val="00006F5E"/>
    <w:rsid w:val="00007851"/>
    <w:rsid w:val="00007994"/>
    <w:rsid w:val="00010856"/>
    <w:rsid w:val="00012436"/>
    <w:rsid w:val="0001269C"/>
    <w:rsid w:val="00013313"/>
    <w:rsid w:val="000136C4"/>
    <w:rsid w:val="00014A9C"/>
    <w:rsid w:val="00014CAB"/>
    <w:rsid w:val="000160DA"/>
    <w:rsid w:val="00016499"/>
    <w:rsid w:val="00016741"/>
    <w:rsid w:val="00017A59"/>
    <w:rsid w:val="0002027C"/>
    <w:rsid w:val="0002064C"/>
    <w:rsid w:val="00021500"/>
    <w:rsid w:val="00022FEF"/>
    <w:rsid w:val="00023084"/>
    <w:rsid w:val="000233D4"/>
    <w:rsid w:val="000236DA"/>
    <w:rsid w:val="00024819"/>
    <w:rsid w:val="000248FC"/>
    <w:rsid w:val="00025507"/>
    <w:rsid w:val="000263AD"/>
    <w:rsid w:val="00026BE0"/>
    <w:rsid w:val="0002748F"/>
    <w:rsid w:val="0002762B"/>
    <w:rsid w:val="00027D2B"/>
    <w:rsid w:val="0003038C"/>
    <w:rsid w:val="00031493"/>
    <w:rsid w:val="000326CF"/>
    <w:rsid w:val="000328C9"/>
    <w:rsid w:val="000345EE"/>
    <w:rsid w:val="00035567"/>
    <w:rsid w:val="00036434"/>
    <w:rsid w:val="000368FD"/>
    <w:rsid w:val="00036DDB"/>
    <w:rsid w:val="00036F03"/>
    <w:rsid w:val="00037DD6"/>
    <w:rsid w:val="0004014D"/>
    <w:rsid w:val="000403F5"/>
    <w:rsid w:val="000412C3"/>
    <w:rsid w:val="000420F7"/>
    <w:rsid w:val="000421A9"/>
    <w:rsid w:val="00043890"/>
    <w:rsid w:val="000438F7"/>
    <w:rsid w:val="00045043"/>
    <w:rsid w:val="000471B9"/>
    <w:rsid w:val="0005119F"/>
    <w:rsid w:val="00053C77"/>
    <w:rsid w:val="00054696"/>
    <w:rsid w:val="00054C46"/>
    <w:rsid w:val="0005663A"/>
    <w:rsid w:val="000568B1"/>
    <w:rsid w:val="00056F7C"/>
    <w:rsid w:val="00057107"/>
    <w:rsid w:val="00057316"/>
    <w:rsid w:val="0006062F"/>
    <w:rsid w:val="00061378"/>
    <w:rsid w:val="000632A9"/>
    <w:rsid w:val="00063B47"/>
    <w:rsid w:val="00063B62"/>
    <w:rsid w:val="00063E25"/>
    <w:rsid w:val="000645FC"/>
    <w:rsid w:val="00065658"/>
    <w:rsid w:val="000663B0"/>
    <w:rsid w:val="000667BD"/>
    <w:rsid w:val="0006770B"/>
    <w:rsid w:val="000704FB"/>
    <w:rsid w:val="00072434"/>
    <w:rsid w:val="00072915"/>
    <w:rsid w:val="00072A30"/>
    <w:rsid w:val="000744E6"/>
    <w:rsid w:val="00075F2F"/>
    <w:rsid w:val="00076FC7"/>
    <w:rsid w:val="0008239E"/>
    <w:rsid w:val="000840D1"/>
    <w:rsid w:val="00086499"/>
    <w:rsid w:val="000867F0"/>
    <w:rsid w:val="00087021"/>
    <w:rsid w:val="00090837"/>
    <w:rsid w:val="0009150B"/>
    <w:rsid w:val="0009244D"/>
    <w:rsid w:val="00093D76"/>
    <w:rsid w:val="00095147"/>
    <w:rsid w:val="00095262"/>
    <w:rsid w:val="00095C71"/>
    <w:rsid w:val="00096766"/>
    <w:rsid w:val="00096AD2"/>
    <w:rsid w:val="00096E38"/>
    <w:rsid w:val="00097AE6"/>
    <w:rsid w:val="000A054D"/>
    <w:rsid w:val="000A0F94"/>
    <w:rsid w:val="000A23AE"/>
    <w:rsid w:val="000A31A1"/>
    <w:rsid w:val="000A477F"/>
    <w:rsid w:val="000A4FDA"/>
    <w:rsid w:val="000A4FE3"/>
    <w:rsid w:val="000A51B6"/>
    <w:rsid w:val="000A5C7E"/>
    <w:rsid w:val="000A6FE7"/>
    <w:rsid w:val="000A7870"/>
    <w:rsid w:val="000B045B"/>
    <w:rsid w:val="000B06B0"/>
    <w:rsid w:val="000B0E98"/>
    <w:rsid w:val="000B109F"/>
    <w:rsid w:val="000B2192"/>
    <w:rsid w:val="000B228C"/>
    <w:rsid w:val="000B234C"/>
    <w:rsid w:val="000B421F"/>
    <w:rsid w:val="000B493F"/>
    <w:rsid w:val="000B4B8B"/>
    <w:rsid w:val="000B58EF"/>
    <w:rsid w:val="000B5CC6"/>
    <w:rsid w:val="000B5ED6"/>
    <w:rsid w:val="000B734C"/>
    <w:rsid w:val="000B763B"/>
    <w:rsid w:val="000C090B"/>
    <w:rsid w:val="000C1A07"/>
    <w:rsid w:val="000C1D3D"/>
    <w:rsid w:val="000C1F89"/>
    <w:rsid w:val="000C2D25"/>
    <w:rsid w:val="000C3AD4"/>
    <w:rsid w:val="000C3AD6"/>
    <w:rsid w:val="000C5656"/>
    <w:rsid w:val="000C5CCB"/>
    <w:rsid w:val="000C6154"/>
    <w:rsid w:val="000C775C"/>
    <w:rsid w:val="000C779C"/>
    <w:rsid w:val="000D0155"/>
    <w:rsid w:val="000D020A"/>
    <w:rsid w:val="000D0924"/>
    <w:rsid w:val="000D120D"/>
    <w:rsid w:val="000D23AF"/>
    <w:rsid w:val="000D3341"/>
    <w:rsid w:val="000D358C"/>
    <w:rsid w:val="000D4833"/>
    <w:rsid w:val="000D64A3"/>
    <w:rsid w:val="000D6B25"/>
    <w:rsid w:val="000D6F07"/>
    <w:rsid w:val="000D7C63"/>
    <w:rsid w:val="000E0790"/>
    <w:rsid w:val="000E0A72"/>
    <w:rsid w:val="000E0B9F"/>
    <w:rsid w:val="000E119B"/>
    <w:rsid w:val="000E138C"/>
    <w:rsid w:val="000E32A5"/>
    <w:rsid w:val="000E3774"/>
    <w:rsid w:val="000E3F46"/>
    <w:rsid w:val="000E4E43"/>
    <w:rsid w:val="000E537C"/>
    <w:rsid w:val="000E6EA4"/>
    <w:rsid w:val="000E72B0"/>
    <w:rsid w:val="000F02B0"/>
    <w:rsid w:val="000F1312"/>
    <w:rsid w:val="000F141A"/>
    <w:rsid w:val="000F17CD"/>
    <w:rsid w:val="000F1B47"/>
    <w:rsid w:val="000F2F19"/>
    <w:rsid w:val="000F3967"/>
    <w:rsid w:val="000F54B8"/>
    <w:rsid w:val="000F6A38"/>
    <w:rsid w:val="00101247"/>
    <w:rsid w:val="00103BE2"/>
    <w:rsid w:val="00104612"/>
    <w:rsid w:val="00105739"/>
    <w:rsid w:val="0010591E"/>
    <w:rsid w:val="00106417"/>
    <w:rsid w:val="00106F31"/>
    <w:rsid w:val="0010771A"/>
    <w:rsid w:val="0011065E"/>
    <w:rsid w:val="00110C7F"/>
    <w:rsid w:val="0011102F"/>
    <w:rsid w:val="0011109D"/>
    <w:rsid w:val="001112AC"/>
    <w:rsid w:val="00112FF6"/>
    <w:rsid w:val="00113613"/>
    <w:rsid w:val="00113B30"/>
    <w:rsid w:val="0011490F"/>
    <w:rsid w:val="00115184"/>
    <w:rsid w:val="001162D7"/>
    <w:rsid w:val="00116ABE"/>
    <w:rsid w:val="00117BAB"/>
    <w:rsid w:val="0012090F"/>
    <w:rsid w:val="00120D72"/>
    <w:rsid w:val="0012213D"/>
    <w:rsid w:val="00122623"/>
    <w:rsid w:val="00122A4B"/>
    <w:rsid w:val="001234E8"/>
    <w:rsid w:val="00124A3B"/>
    <w:rsid w:val="00125B2D"/>
    <w:rsid w:val="001301A2"/>
    <w:rsid w:val="00130890"/>
    <w:rsid w:val="00130B57"/>
    <w:rsid w:val="00131400"/>
    <w:rsid w:val="0013143B"/>
    <w:rsid w:val="001314C6"/>
    <w:rsid w:val="00131810"/>
    <w:rsid w:val="0013268A"/>
    <w:rsid w:val="00133548"/>
    <w:rsid w:val="00133923"/>
    <w:rsid w:val="00134246"/>
    <w:rsid w:val="001348F1"/>
    <w:rsid w:val="001354AD"/>
    <w:rsid w:val="00141871"/>
    <w:rsid w:val="00141C98"/>
    <w:rsid w:val="00141F88"/>
    <w:rsid w:val="001433F1"/>
    <w:rsid w:val="00143AFB"/>
    <w:rsid w:val="00143EB1"/>
    <w:rsid w:val="0014486E"/>
    <w:rsid w:val="00145B37"/>
    <w:rsid w:val="0014623D"/>
    <w:rsid w:val="001472DA"/>
    <w:rsid w:val="00147548"/>
    <w:rsid w:val="00147ABF"/>
    <w:rsid w:val="001510B3"/>
    <w:rsid w:val="001510BC"/>
    <w:rsid w:val="00153269"/>
    <w:rsid w:val="00153A7E"/>
    <w:rsid w:val="00153E4E"/>
    <w:rsid w:val="00154BF4"/>
    <w:rsid w:val="00156019"/>
    <w:rsid w:val="00156BA0"/>
    <w:rsid w:val="00156D1A"/>
    <w:rsid w:val="00157758"/>
    <w:rsid w:val="00157DDD"/>
    <w:rsid w:val="00160A42"/>
    <w:rsid w:val="00161EA5"/>
    <w:rsid w:val="001621AC"/>
    <w:rsid w:val="001627B1"/>
    <w:rsid w:val="00163B3C"/>
    <w:rsid w:val="00164CB4"/>
    <w:rsid w:val="0016663D"/>
    <w:rsid w:val="00167C15"/>
    <w:rsid w:val="00170D61"/>
    <w:rsid w:val="00171598"/>
    <w:rsid w:val="00171EF2"/>
    <w:rsid w:val="00172015"/>
    <w:rsid w:val="0017248A"/>
    <w:rsid w:val="00172CB1"/>
    <w:rsid w:val="00173FD6"/>
    <w:rsid w:val="00175A3F"/>
    <w:rsid w:val="00175E00"/>
    <w:rsid w:val="00176ECE"/>
    <w:rsid w:val="00177775"/>
    <w:rsid w:val="00177C20"/>
    <w:rsid w:val="00177C92"/>
    <w:rsid w:val="00180039"/>
    <w:rsid w:val="00180A16"/>
    <w:rsid w:val="0018107C"/>
    <w:rsid w:val="00182082"/>
    <w:rsid w:val="00182295"/>
    <w:rsid w:val="001831CA"/>
    <w:rsid w:val="0018336C"/>
    <w:rsid w:val="001838BD"/>
    <w:rsid w:val="001849CB"/>
    <w:rsid w:val="001852FA"/>
    <w:rsid w:val="00185500"/>
    <w:rsid w:val="001858C8"/>
    <w:rsid w:val="00185C1F"/>
    <w:rsid w:val="00186C22"/>
    <w:rsid w:val="00187104"/>
    <w:rsid w:val="00187766"/>
    <w:rsid w:val="00190B97"/>
    <w:rsid w:val="001918BF"/>
    <w:rsid w:val="00191D93"/>
    <w:rsid w:val="00192226"/>
    <w:rsid w:val="001922EC"/>
    <w:rsid w:val="0019247C"/>
    <w:rsid w:val="00192E2C"/>
    <w:rsid w:val="00193E35"/>
    <w:rsid w:val="001943F8"/>
    <w:rsid w:val="001957AE"/>
    <w:rsid w:val="001964B3"/>
    <w:rsid w:val="00196507"/>
    <w:rsid w:val="00196BF8"/>
    <w:rsid w:val="001A0462"/>
    <w:rsid w:val="001A05AA"/>
    <w:rsid w:val="001A0640"/>
    <w:rsid w:val="001A1102"/>
    <w:rsid w:val="001A3AC1"/>
    <w:rsid w:val="001A4776"/>
    <w:rsid w:val="001A59BD"/>
    <w:rsid w:val="001A5C96"/>
    <w:rsid w:val="001A616C"/>
    <w:rsid w:val="001A699B"/>
    <w:rsid w:val="001A6CBA"/>
    <w:rsid w:val="001A79F7"/>
    <w:rsid w:val="001B1046"/>
    <w:rsid w:val="001B4770"/>
    <w:rsid w:val="001B6712"/>
    <w:rsid w:val="001C18A1"/>
    <w:rsid w:val="001C1A75"/>
    <w:rsid w:val="001C1BF8"/>
    <w:rsid w:val="001C1F7A"/>
    <w:rsid w:val="001C31F4"/>
    <w:rsid w:val="001C36D7"/>
    <w:rsid w:val="001C3905"/>
    <w:rsid w:val="001C41FD"/>
    <w:rsid w:val="001C4BFC"/>
    <w:rsid w:val="001C4EFF"/>
    <w:rsid w:val="001C52B3"/>
    <w:rsid w:val="001C5906"/>
    <w:rsid w:val="001C5CE9"/>
    <w:rsid w:val="001C6193"/>
    <w:rsid w:val="001C6EF7"/>
    <w:rsid w:val="001C73F8"/>
    <w:rsid w:val="001D0B7E"/>
    <w:rsid w:val="001D1911"/>
    <w:rsid w:val="001D2BD6"/>
    <w:rsid w:val="001D66A1"/>
    <w:rsid w:val="001D7EDC"/>
    <w:rsid w:val="001E0151"/>
    <w:rsid w:val="001E079C"/>
    <w:rsid w:val="001E07B4"/>
    <w:rsid w:val="001E39A9"/>
    <w:rsid w:val="001E455B"/>
    <w:rsid w:val="001E4AD4"/>
    <w:rsid w:val="001E58AE"/>
    <w:rsid w:val="001E6419"/>
    <w:rsid w:val="001E66C1"/>
    <w:rsid w:val="001E6773"/>
    <w:rsid w:val="001E7187"/>
    <w:rsid w:val="001E7366"/>
    <w:rsid w:val="001E74C3"/>
    <w:rsid w:val="001F0021"/>
    <w:rsid w:val="001F0049"/>
    <w:rsid w:val="001F1569"/>
    <w:rsid w:val="001F304C"/>
    <w:rsid w:val="001F3187"/>
    <w:rsid w:val="001F32F1"/>
    <w:rsid w:val="001F345A"/>
    <w:rsid w:val="001F3786"/>
    <w:rsid w:val="001F3853"/>
    <w:rsid w:val="001F3982"/>
    <w:rsid w:val="001F44B9"/>
    <w:rsid w:val="001F47F7"/>
    <w:rsid w:val="001F570E"/>
    <w:rsid w:val="001F65A6"/>
    <w:rsid w:val="001F68D3"/>
    <w:rsid w:val="001F7C6D"/>
    <w:rsid w:val="00200116"/>
    <w:rsid w:val="00201024"/>
    <w:rsid w:val="002016DF"/>
    <w:rsid w:val="00202702"/>
    <w:rsid w:val="00202F7F"/>
    <w:rsid w:val="00203602"/>
    <w:rsid w:val="00204751"/>
    <w:rsid w:val="00205033"/>
    <w:rsid w:val="00206536"/>
    <w:rsid w:val="002066E4"/>
    <w:rsid w:val="00207A34"/>
    <w:rsid w:val="00207AC6"/>
    <w:rsid w:val="00207D72"/>
    <w:rsid w:val="00210747"/>
    <w:rsid w:val="00210BA7"/>
    <w:rsid w:val="00210D91"/>
    <w:rsid w:val="00211D2C"/>
    <w:rsid w:val="002123C5"/>
    <w:rsid w:val="00212BF3"/>
    <w:rsid w:val="00213FD5"/>
    <w:rsid w:val="0021564A"/>
    <w:rsid w:val="00215D15"/>
    <w:rsid w:val="00216437"/>
    <w:rsid w:val="0021765B"/>
    <w:rsid w:val="00220110"/>
    <w:rsid w:val="0022075B"/>
    <w:rsid w:val="00220ABA"/>
    <w:rsid w:val="00222321"/>
    <w:rsid w:val="00222E7D"/>
    <w:rsid w:val="00224317"/>
    <w:rsid w:val="00224DF1"/>
    <w:rsid w:val="00224E9C"/>
    <w:rsid w:val="00225975"/>
    <w:rsid w:val="0022634C"/>
    <w:rsid w:val="00226FE5"/>
    <w:rsid w:val="002271A6"/>
    <w:rsid w:val="002275F3"/>
    <w:rsid w:val="00227B22"/>
    <w:rsid w:val="00227F20"/>
    <w:rsid w:val="002309A6"/>
    <w:rsid w:val="00230A65"/>
    <w:rsid w:val="00230EB3"/>
    <w:rsid w:val="00232C99"/>
    <w:rsid w:val="0023364F"/>
    <w:rsid w:val="00233FBC"/>
    <w:rsid w:val="00234832"/>
    <w:rsid w:val="00235712"/>
    <w:rsid w:val="00236300"/>
    <w:rsid w:val="00236D16"/>
    <w:rsid w:val="00237A27"/>
    <w:rsid w:val="00242694"/>
    <w:rsid w:val="0024269B"/>
    <w:rsid w:val="0024668F"/>
    <w:rsid w:val="002470DA"/>
    <w:rsid w:val="00247A1D"/>
    <w:rsid w:val="00247D85"/>
    <w:rsid w:val="00247FE5"/>
    <w:rsid w:val="00251A32"/>
    <w:rsid w:val="00252E38"/>
    <w:rsid w:val="00253071"/>
    <w:rsid w:val="00253DB4"/>
    <w:rsid w:val="00254426"/>
    <w:rsid w:val="00255428"/>
    <w:rsid w:val="0025662F"/>
    <w:rsid w:val="002604B7"/>
    <w:rsid w:val="002609BA"/>
    <w:rsid w:val="002610FB"/>
    <w:rsid w:val="00262C74"/>
    <w:rsid w:val="0026476B"/>
    <w:rsid w:val="00264B03"/>
    <w:rsid w:val="00264E21"/>
    <w:rsid w:val="0026529C"/>
    <w:rsid w:val="00265316"/>
    <w:rsid w:val="002708AB"/>
    <w:rsid w:val="0027176A"/>
    <w:rsid w:val="002737FC"/>
    <w:rsid w:val="0027597E"/>
    <w:rsid w:val="00275AD9"/>
    <w:rsid w:val="002761FE"/>
    <w:rsid w:val="00276803"/>
    <w:rsid w:val="00276DB5"/>
    <w:rsid w:val="0027768B"/>
    <w:rsid w:val="00280882"/>
    <w:rsid w:val="002808F8"/>
    <w:rsid w:val="00282251"/>
    <w:rsid w:val="00283458"/>
    <w:rsid w:val="002839AC"/>
    <w:rsid w:val="00284108"/>
    <w:rsid w:val="00284EA9"/>
    <w:rsid w:val="00285FF3"/>
    <w:rsid w:val="0028686A"/>
    <w:rsid w:val="00287A8B"/>
    <w:rsid w:val="0029197B"/>
    <w:rsid w:val="00291C4F"/>
    <w:rsid w:val="00293122"/>
    <w:rsid w:val="0029388D"/>
    <w:rsid w:val="00293A6E"/>
    <w:rsid w:val="00293C63"/>
    <w:rsid w:val="00295E5F"/>
    <w:rsid w:val="00296283"/>
    <w:rsid w:val="00297ADA"/>
    <w:rsid w:val="002A0774"/>
    <w:rsid w:val="002A1449"/>
    <w:rsid w:val="002A2953"/>
    <w:rsid w:val="002A3780"/>
    <w:rsid w:val="002A4087"/>
    <w:rsid w:val="002A41E0"/>
    <w:rsid w:val="002A4B21"/>
    <w:rsid w:val="002A5179"/>
    <w:rsid w:val="002A5AF8"/>
    <w:rsid w:val="002A61A7"/>
    <w:rsid w:val="002A783D"/>
    <w:rsid w:val="002A79EB"/>
    <w:rsid w:val="002A7BAF"/>
    <w:rsid w:val="002A7FAB"/>
    <w:rsid w:val="002B03FD"/>
    <w:rsid w:val="002B060A"/>
    <w:rsid w:val="002B065A"/>
    <w:rsid w:val="002B12DD"/>
    <w:rsid w:val="002B1802"/>
    <w:rsid w:val="002B21B4"/>
    <w:rsid w:val="002B2D3B"/>
    <w:rsid w:val="002B31F2"/>
    <w:rsid w:val="002B3287"/>
    <w:rsid w:val="002B43D1"/>
    <w:rsid w:val="002B6560"/>
    <w:rsid w:val="002B700A"/>
    <w:rsid w:val="002C05D0"/>
    <w:rsid w:val="002C0EED"/>
    <w:rsid w:val="002C0F08"/>
    <w:rsid w:val="002C1800"/>
    <w:rsid w:val="002C285E"/>
    <w:rsid w:val="002C321E"/>
    <w:rsid w:val="002C35D1"/>
    <w:rsid w:val="002C688E"/>
    <w:rsid w:val="002C70A0"/>
    <w:rsid w:val="002D09F5"/>
    <w:rsid w:val="002D0F31"/>
    <w:rsid w:val="002D28A1"/>
    <w:rsid w:val="002D4B7E"/>
    <w:rsid w:val="002D5C26"/>
    <w:rsid w:val="002D6B70"/>
    <w:rsid w:val="002D6B97"/>
    <w:rsid w:val="002D6BB1"/>
    <w:rsid w:val="002D6EFF"/>
    <w:rsid w:val="002E0452"/>
    <w:rsid w:val="002E12CB"/>
    <w:rsid w:val="002E4D66"/>
    <w:rsid w:val="002E5D8D"/>
    <w:rsid w:val="002E600B"/>
    <w:rsid w:val="002E639E"/>
    <w:rsid w:val="002E6614"/>
    <w:rsid w:val="002E75C6"/>
    <w:rsid w:val="002E78E5"/>
    <w:rsid w:val="002F12AD"/>
    <w:rsid w:val="002F1530"/>
    <w:rsid w:val="002F15ED"/>
    <w:rsid w:val="002F2138"/>
    <w:rsid w:val="002F243F"/>
    <w:rsid w:val="002F26EC"/>
    <w:rsid w:val="002F2A51"/>
    <w:rsid w:val="002F2E35"/>
    <w:rsid w:val="002F4A4F"/>
    <w:rsid w:val="002F4C5C"/>
    <w:rsid w:val="002F4EBA"/>
    <w:rsid w:val="002F7529"/>
    <w:rsid w:val="0030037C"/>
    <w:rsid w:val="00300A21"/>
    <w:rsid w:val="00301397"/>
    <w:rsid w:val="00301F75"/>
    <w:rsid w:val="00303641"/>
    <w:rsid w:val="00303E1B"/>
    <w:rsid w:val="00304334"/>
    <w:rsid w:val="00304557"/>
    <w:rsid w:val="00304BE1"/>
    <w:rsid w:val="003057B1"/>
    <w:rsid w:val="00305C2F"/>
    <w:rsid w:val="00306068"/>
    <w:rsid w:val="00306688"/>
    <w:rsid w:val="003108AD"/>
    <w:rsid w:val="0031139C"/>
    <w:rsid w:val="003115FD"/>
    <w:rsid w:val="00312085"/>
    <w:rsid w:val="00312880"/>
    <w:rsid w:val="00312E25"/>
    <w:rsid w:val="003132F5"/>
    <w:rsid w:val="00313356"/>
    <w:rsid w:val="0031513B"/>
    <w:rsid w:val="00315341"/>
    <w:rsid w:val="00315F32"/>
    <w:rsid w:val="00315FB7"/>
    <w:rsid w:val="00315FEF"/>
    <w:rsid w:val="00316626"/>
    <w:rsid w:val="00316D8B"/>
    <w:rsid w:val="003171CF"/>
    <w:rsid w:val="003205ED"/>
    <w:rsid w:val="0032134E"/>
    <w:rsid w:val="003216B5"/>
    <w:rsid w:val="00322099"/>
    <w:rsid w:val="00322D2B"/>
    <w:rsid w:val="003234F6"/>
    <w:rsid w:val="00323B13"/>
    <w:rsid w:val="0032542C"/>
    <w:rsid w:val="00325717"/>
    <w:rsid w:val="00325820"/>
    <w:rsid w:val="00325B50"/>
    <w:rsid w:val="00325E94"/>
    <w:rsid w:val="00325F68"/>
    <w:rsid w:val="0032690A"/>
    <w:rsid w:val="00326CB4"/>
    <w:rsid w:val="00327F0F"/>
    <w:rsid w:val="00331098"/>
    <w:rsid w:val="00333303"/>
    <w:rsid w:val="003340AF"/>
    <w:rsid w:val="00334E56"/>
    <w:rsid w:val="003358D6"/>
    <w:rsid w:val="00335FA8"/>
    <w:rsid w:val="00336315"/>
    <w:rsid w:val="00336AFE"/>
    <w:rsid w:val="0034088F"/>
    <w:rsid w:val="0034101F"/>
    <w:rsid w:val="00341783"/>
    <w:rsid w:val="00341C2E"/>
    <w:rsid w:val="00342168"/>
    <w:rsid w:val="00342345"/>
    <w:rsid w:val="003425B1"/>
    <w:rsid w:val="003426CD"/>
    <w:rsid w:val="003427DB"/>
    <w:rsid w:val="00343204"/>
    <w:rsid w:val="00343486"/>
    <w:rsid w:val="00343F23"/>
    <w:rsid w:val="003450C2"/>
    <w:rsid w:val="00345649"/>
    <w:rsid w:val="00345A07"/>
    <w:rsid w:val="0034601D"/>
    <w:rsid w:val="00346097"/>
    <w:rsid w:val="00346270"/>
    <w:rsid w:val="003463F8"/>
    <w:rsid w:val="00346B71"/>
    <w:rsid w:val="00347259"/>
    <w:rsid w:val="00347A28"/>
    <w:rsid w:val="003501F2"/>
    <w:rsid w:val="0035067C"/>
    <w:rsid w:val="003514F5"/>
    <w:rsid w:val="003522A7"/>
    <w:rsid w:val="00354185"/>
    <w:rsid w:val="003547B4"/>
    <w:rsid w:val="00355350"/>
    <w:rsid w:val="0035564E"/>
    <w:rsid w:val="00356284"/>
    <w:rsid w:val="00357074"/>
    <w:rsid w:val="00360107"/>
    <w:rsid w:val="00360556"/>
    <w:rsid w:val="00361245"/>
    <w:rsid w:val="00363D6A"/>
    <w:rsid w:val="00364D2F"/>
    <w:rsid w:val="00365C8E"/>
    <w:rsid w:val="00365FC1"/>
    <w:rsid w:val="0036768D"/>
    <w:rsid w:val="00371393"/>
    <w:rsid w:val="003713B6"/>
    <w:rsid w:val="00371617"/>
    <w:rsid w:val="00372E66"/>
    <w:rsid w:val="00374234"/>
    <w:rsid w:val="003750CE"/>
    <w:rsid w:val="00375DE3"/>
    <w:rsid w:val="00376471"/>
    <w:rsid w:val="003776E8"/>
    <w:rsid w:val="00377A51"/>
    <w:rsid w:val="00380035"/>
    <w:rsid w:val="003802F2"/>
    <w:rsid w:val="00380CCB"/>
    <w:rsid w:val="00380E4F"/>
    <w:rsid w:val="00381BCF"/>
    <w:rsid w:val="00382128"/>
    <w:rsid w:val="0038290E"/>
    <w:rsid w:val="00385875"/>
    <w:rsid w:val="003858B6"/>
    <w:rsid w:val="00386643"/>
    <w:rsid w:val="003869A1"/>
    <w:rsid w:val="00387508"/>
    <w:rsid w:val="00387D7D"/>
    <w:rsid w:val="00390E07"/>
    <w:rsid w:val="00390EEB"/>
    <w:rsid w:val="00390EFC"/>
    <w:rsid w:val="003910C6"/>
    <w:rsid w:val="00391C33"/>
    <w:rsid w:val="00391CDB"/>
    <w:rsid w:val="0039233A"/>
    <w:rsid w:val="0039329A"/>
    <w:rsid w:val="0039392D"/>
    <w:rsid w:val="00394439"/>
    <w:rsid w:val="003947EF"/>
    <w:rsid w:val="00396CB7"/>
    <w:rsid w:val="00396DEB"/>
    <w:rsid w:val="003978CE"/>
    <w:rsid w:val="003A0CE5"/>
    <w:rsid w:val="003A3BD0"/>
    <w:rsid w:val="003A3EFA"/>
    <w:rsid w:val="003A45E1"/>
    <w:rsid w:val="003A4B33"/>
    <w:rsid w:val="003A5B49"/>
    <w:rsid w:val="003A5DF0"/>
    <w:rsid w:val="003A61DA"/>
    <w:rsid w:val="003A64FF"/>
    <w:rsid w:val="003A66C8"/>
    <w:rsid w:val="003A6CDF"/>
    <w:rsid w:val="003A7310"/>
    <w:rsid w:val="003A7CEC"/>
    <w:rsid w:val="003B156A"/>
    <w:rsid w:val="003B1DC6"/>
    <w:rsid w:val="003B28F0"/>
    <w:rsid w:val="003B38A2"/>
    <w:rsid w:val="003B3B68"/>
    <w:rsid w:val="003B46F9"/>
    <w:rsid w:val="003B4C97"/>
    <w:rsid w:val="003B5370"/>
    <w:rsid w:val="003B5720"/>
    <w:rsid w:val="003B57B4"/>
    <w:rsid w:val="003B678F"/>
    <w:rsid w:val="003B67C6"/>
    <w:rsid w:val="003B71A1"/>
    <w:rsid w:val="003B7431"/>
    <w:rsid w:val="003C0668"/>
    <w:rsid w:val="003C0915"/>
    <w:rsid w:val="003C299E"/>
    <w:rsid w:val="003C47DC"/>
    <w:rsid w:val="003C51DC"/>
    <w:rsid w:val="003C6E4D"/>
    <w:rsid w:val="003C7890"/>
    <w:rsid w:val="003D1274"/>
    <w:rsid w:val="003D166A"/>
    <w:rsid w:val="003D208A"/>
    <w:rsid w:val="003D20CF"/>
    <w:rsid w:val="003D2A1E"/>
    <w:rsid w:val="003D3414"/>
    <w:rsid w:val="003D43D1"/>
    <w:rsid w:val="003D69D1"/>
    <w:rsid w:val="003D78C1"/>
    <w:rsid w:val="003E03B1"/>
    <w:rsid w:val="003E0D20"/>
    <w:rsid w:val="003E2FDD"/>
    <w:rsid w:val="003E3520"/>
    <w:rsid w:val="003E3734"/>
    <w:rsid w:val="003E50A7"/>
    <w:rsid w:val="003E7165"/>
    <w:rsid w:val="003E71C4"/>
    <w:rsid w:val="003F023B"/>
    <w:rsid w:val="003F06ED"/>
    <w:rsid w:val="003F1067"/>
    <w:rsid w:val="003F2A03"/>
    <w:rsid w:val="003F2F06"/>
    <w:rsid w:val="003F3448"/>
    <w:rsid w:val="003F4759"/>
    <w:rsid w:val="003F476D"/>
    <w:rsid w:val="003F5ABC"/>
    <w:rsid w:val="003F6CA5"/>
    <w:rsid w:val="003F7974"/>
    <w:rsid w:val="00400044"/>
    <w:rsid w:val="00400428"/>
    <w:rsid w:val="00401306"/>
    <w:rsid w:val="00401B12"/>
    <w:rsid w:val="004026C9"/>
    <w:rsid w:val="00403A62"/>
    <w:rsid w:val="004053A4"/>
    <w:rsid w:val="004072DD"/>
    <w:rsid w:val="00410A1C"/>
    <w:rsid w:val="00411DA4"/>
    <w:rsid w:val="0041218D"/>
    <w:rsid w:val="00412858"/>
    <w:rsid w:val="004166A5"/>
    <w:rsid w:val="0041788D"/>
    <w:rsid w:val="00417FCE"/>
    <w:rsid w:val="004201F0"/>
    <w:rsid w:val="00421613"/>
    <w:rsid w:val="00422000"/>
    <w:rsid w:val="00423CFB"/>
    <w:rsid w:val="0042479E"/>
    <w:rsid w:val="00424898"/>
    <w:rsid w:val="00424F18"/>
    <w:rsid w:val="0042578E"/>
    <w:rsid w:val="00426412"/>
    <w:rsid w:val="0042684F"/>
    <w:rsid w:val="004305E8"/>
    <w:rsid w:val="004311C5"/>
    <w:rsid w:val="00431204"/>
    <w:rsid w:val="0043244E"/>
    <w:rsid w:val="00432599"/>
    <w:rsid w:val="00433DD1"/>
    <w:rsid w:val="00434572"/>
    <w:rsid w:val="004352E2"/>
    <w:rsid w:val="0043621B"/>
    <w:rsid w:val="0043644C"/>
    <w:rsid w:val="00436593"/>
    <w:rsid w:val="00440330"/>
    <w:rsid w:val="00440BFF"/>
    <w:rsid w:val="00441474"/>
    <w:rsid w:val="0044183C"/>
    <w:rsid w:val="004426EF"/>
    <w:rsid w:val="004432CF"/>
    <w:rsid w:val="004463F7"/>
    <w:rsid w:val="0045055F"/>
    <w:rsid w:val="00450C6D"/>
    <w:rsid w:val="004517A6"/>
    <w:rsid w:val="004518DE"/>
    <w:rsid w:val="004519DC"/>
    <w:rsid w:val="0045322D"/>
    <w:rsid w:val="00453420"/>
    <w:rsid w:val="00453651"/>
    <w:rsid w:val="00453703"/>
    <w:rsid w:val="004547D3"/>
    <w:rsid w:val="00454BCB"/>
    <w:rsid w:val="0045505C"/>
    <w:rsid w:val="00456ABE"/>
    <w:rsid w:val="0046025A"/>
    <w:rsid w:val="00461374"/>
    <w:rsid w:val="00465039"/>
    <w:rsid w:val="004657AF"/>
    <w:rsid w:val="00465D44"/>
    <w:rsid w:val="00470992"/>
    <w:rsid w:val="00470F5B"/>
    <w:rsid w:val="00471C7C"/>
    <w:rsid w:val="00471D1C"/>
    <w:rsid w:val="0047245B"/>
    <w:rsid w:val="004728FC"/>
    <w:rsid w:val="00472F85"/>
    <w:rsid w:val="00473B8E"/>
    <w:rsid w:val="00474B31"/>
    <w:rsid w:val="00476780"/>
    <w:rsid w:val="00480021"/>
    <w:rsid w:val="00484702"/>
    <w:rsid w:val="00484DD1"/>
    <w:rsid w:val="004859BE"/>
    <w:rsid w:val="00485AA1"/>
    <w:rsid w:val="004863DB"/>
    <w:rsid w:val="004867B3"/>
    <w:rsid w:val="00486EF6"/>
    <w:rsid w:val="00487FC7"/>
    <w:rsid w:val="00490FCF"/>
    <w:rsid w:val="004930BE"/>
    <w:rsid w:val="004931AB"/>
    <w:rsid w:val="0049335D"/>
    <w:rsid w:val="00493A48"/>
    <w:rsid w:val="00494273"/>
    <w:rsid w:val="0049467C"/>
    <w:rsid w:val="0049492C"/>
    <w:rsid w:val="00494BC4"/>
    <w:rsid w:val="00494BF1"/>
    <w:rsid w:val="004954D4"/>
    <w:rsid w:val="004977C1"/>
    <w:rsid w:val="004A112F"/>
    <w:rsid w:val="004A13DE"/>
    <w:rsid w:val="004A31EE"/>
    <w:rsid w:val="004A4251"/>
    <w:rsid w:val="004A4D65"/>
    <w:rsid w:val="004A5A54"/>
    <w:rsid w:val="004A5A89"/>
    <w:rsid w:val="004A5C3E"/>
    <w:rsid w:val="004A5F3B"/>
    <w:rsid w:val="004A670C"/>
    <w:rsid w:val="004A678E"/>
    <w:rsid w:val="004A6943"/>
    <w:rsid w:val="004A7BDE"/>
    <w:rsid w:val="004B04C2"/>
    <w:rsid w:val="004B0C4B"/>
    <w:rsid w:val="004B0DA0"/>
    <w:rsid w:val="004B135D"/>
    <w:rsid w:val="004B1909"/>
    <w:rsid w:val="004B1B57"/>
    <w:rsid w:val="004B2882"/>
    <w:rsid w:val="004B2CA7"/>
    <w:rsid w:val="004B43C6"/>
    <w:rsid w:val="004B648E"/>
    <w:rsid w:val="004B6DD3"/>
    <w:rsid w:val="004B7262"/>
    <w:rsid w:val="004C1648"/>
    <w:rsid w:val="004C16D9"/>
    <w:rsid w:val="004C198F"/>
    <w:rsid w:val="004C2139"/>
    <w:rsid w:val="004C22DC"/>
    <w:rsid w:val="004C24CA"/>
    <w:rsid w:val="004C3252"/>
    <w:rsid w:val="004C32DF"/>
    <w:rsid w:val="004C4471"/>
    <w:rsid w:val="004C548A"/>
    <w:rsid w:val="004C5B5C"/>
    <w:rsid w:val="004C609F"/>
    <w:rsid w:val="004C7823"/>
    <w:rsid w:val="004C7F24"/>
    <w:rsid w:val="004D2021"/>
    <w:rsid w:val="004D2528"/>
    <w:rsid w:val="004D3350"/>
    <w:rsid w:val="004D4A70"/>
    <w:rsid w:val="004D5126"/>
    <w:rsid w:val="004D57F7"/>
    <w:rsid w:val="004D595D"/>
    <w:rsid w:val="004D5B7F"/>
    <w:rsid w:val="004D6695"/>
    <w:rsid w:val="004E26F2"/>
    <w:rsid w:val="004E2E81"/>
    <w:rsid w:val="004E3016"/>
    <w:rsid w:val="004E369F"/>
    <w:rsid w:val="004E4FA5"/>
    <w:rsid w:val="004E50F6"/>
    <w:rsid w:val="004E6265"/>
    <w:rsid w:val="004E6AD4"/>
    <w:rsid w:val="004E6B10"/>
    <w:rsid w:val="004E7A07"/>
    <w:rsid w:val="004E7AC4"/>
    <w:rsid w:val="004F0AE7"/>
    <w:rsid w:val="004F0B5B"/>
    <w:rsid w:val="004F2B9F"/>
    <w:rsid w:val="004F3F8A"/>
    <w:rsid w:val="004F515E"/>
    <w:rsid w:val="004F72E0"/>
    <w:rsid w:val="004F74A4"/>
    <w:rsid w:val="00501725"/>
    <w:rsid w:val="00501AF3"/>
    <w:rsid w:val="00502DED"/>
    <w:rsid w:val="00502E67"/>
    <w:rsid w:val="005033EF"/>
    <w:rsid w:val="005049BB"/>
    <w:rsid w:val="0050526C"/>
    <w:rsid w:val="005061FB"/>
    <w:rsid w:val="00506ECC"/>
    <w:rsid w:val="00507174"/>
    <w:rsid w:val="0050733D"/>
    <w:rsid w:val="005073B2"/>
    <w:rsid w:val="005075EA"/>
    <w:rsid w:val="00510404"/>
    <w:rsid w:val="0051161B"/>
    <w:rsid w:val="00512F9A"/>
    <w:rsid w:val="0051342E"/>
    <w:rsid w:val="005134C8"/>
    <w:rsid w:val="00515078"/>
    <w:rsid w:val="00515600"/>
    <w:rsid w:val="00516976"/>
    <w:rsid w:val="005176E2"/>
    <w:rsid w:val="00520EAC"/>
    <w:rsid w:val="00521F90"/>
    <w:rsid w:val="005220EE"/>
    <w:rsid w:val="005273FE"/>
    <w:rsid w:val="00527A01"/>
    <w:rsid w:val="005311EA"/>
    <w:rsid w:val="00532F99"/>
    <w:rsid w:val="00533994"/>
    <w:rsid w:val="00534009"/>
    <w:rsid w:val="0053468B"/>
    <w:rsid w:val="00534BA0"/>
    <w:rsid w:val="00535B31"/>
    <w:rsid w:val="00536ADD"/>
    <w:rsid w:val="005375A9"/>
    <w:rsid w:val="0054031F"/>
    <w:rsid w:val="00541BBF"/>
    <w:rsid w:val="00542130"/>
    <w:rsid w:val="005465C0"/>
    <w:rsid w:val="0054670E"/>
    <w:rsid w:val="00546A83"/>
    <w:rsid w:val="0054707B"/>
    <w:rsid w:val="00547F72"/>
    <w:rsid w:val="0055057F"/>
    <w:rsid w:val="00550B1C"/>
    <w:rsid w:val="00551F37"/>
    <w:rsid w:val="00552216"/>
    <w:rsid w:val="00552307"/>
    <w:rsid w:val="005526AD"/>
    <w:rsid w:val="00552816"/>
    <w:rsid w:val="00552C72"/>
    <w:rsid w:val="005539E4"/>
    <w:rsid w:val="00553EA3"/>
    <w:rsid w:val="00554A28"/>
    <w:rsid w:val="00556053"/>
    <w:rsid w:val="00557A02"/>
    <w:rsid w:val="00560416"/>
    <w:rsid w:val="005605D3"/>
    <w:rsid w:val="0056423D"/>
    <w:rsid w:val="00564249"/>
    <w:rsid w:val="00564453"/>
    <w:rsid w:val="005648E8"/>
    <w:rsid w:val="00564996"/>
    <w:rsid w:val="00564CF5"/>
    <w:rsid w:val="005653F3"/>
    <w:rsid w:val="00565DF5"/>
    <w:rsid w:val="0056650C"/>
    <w:rsid w:val="00566649"/>
    <w:rsid w:val="00567921"/>
    <w:rsid w:val="00570D21"/>
    <w:rsid w:val="0057112B"/>
    <w:rsid w:val="00571141"/>
    <w:rsid w:val="0057196F"/>
    <w:rsid w:val="00572243"/>
    <w:rsid w:val="00574DA6"/>
    <w:rsid w:val="00574FFA"/>
    <w:rsid w:val="00575684"/>
    <w:rsid w:val="00575740"/>
    <w:rsid w:val="00577307"/>
    <w:rsid w:val="00580AEF"/>
    <w:rsid w:val="005819ED"/>
    <w:rsid w:val="00581AE9"/>
    <w:rsid w:val="00581C13"/>
    <w:rsid w:val="005827D3"/>
    <w:rsid w:val="0058284F"/>
    <w:rsid w:val="00582D38"/>
    <w:rsid w:val="00582F7C"/>
    <w:rsid w:val="00583BF2"/>
    <w:rsid w:val="005840FB"/>
    <w:rsid w:val="005851EC"/>
    <w:rsid w:val="0058593F"/>
    <w:rsid w:val="00585E89"/>
    <w:rsid w:val="005862BF"/>
    <w:rsid w:val="0058632C"/>
    <w:rsid w:val="0058762B"/>
    <w:rsid w:val="005879A2"/>
    <w:rsid w:val="005914ED"/>
    <w:rsid w:val="005929AD"/>
    <w:rsid w:val="00592ABC"/>
    <w:rsid w:val="00593586"/>
    <w:rsid w:val="0059374C"/>
    <w:rsid w:val="00593995"/>
    <w:rsid w:val="00593B12"/>
    <w:rsid w:val="0059550A"/>
    <w:rsid w:val="005959FB"/>
    <w:rsid w:val="0059610C"/>
    <w:rsid w:val="005969BE"/>
    <w:rsid w:val="00596C89"/>
    <w:rsid w:val="005A19B0"/>
    <w:rsid w:val="005A1BFA"/>
    <w:rsid w:val="005A2DB1"/>
    <w:rsid w:val="005A3545"/>
    <w:rsid w:val="005A363C"/>
    <w:rsid w:val="005A36B7"/>
    <w:rsid w:val="005A45FC"/>
    <w:rsid w:val="005A6434"/>
    <w:rsid w:val="005A7152"/>
    <w:rsid w:val="005A7911"/>
    <w:rsid w:val="005B025E"/>
    <w:rsid w:val="005B0BA7"/>
    <w:rsid w:val="005B190F"/>
    <w:rsid w:val="005B24F0"/>
    <w:rsid w:val="005B62A0"/>
    <w:rsid w:val="005B6FD7"/>
    <w:rsid w:val="005B7404"/>
    <w:rsid w:val="005B793B"/>
    <w:rsid w:val="005C2302"/>
    <w:rsid w:val="005C276F"/>
    <w:rsid w:val="005C3FAD"/>
    <w:rsid w:val="005C41C8"/>
    <w:rsid w:val="005C737D"/>
    <w:rsid w:val="005C7ACC"/>
    <w:rsid w:val="005D04BD"/>
    <w:rsid w:val="005D11E2"/>
    <w:rsid w:val="005D3621"/>
    <w:rsid w:val="005D4A96"/>
    <w:rsid w:val="005D4F30"/>
    <w:rsid w:val="005D560C"/>
    <w:rsid w:val="005D6033"/>
    <w:rsid w:val="005D6331"/>
    <w:rsid w:val="005D673A"/>
    <w:rsid w:val="005D686F"/>
    <w:rsid w:val="005D6D03"/>
    <w:rsid w:val="005D6E0D"/>
    <w:rsid w:val="005E12AC"/>
    <w:rsid w:val="005E3121"/>
    <w:rsid w:val="005E32AA"/>
    <w:rsid w:val="005E5725"/>
    <w:rsid w:val="005E592E"/>
    <w:rsid w:val="005E60BA"/>
    <w:rsid w:val="005E7378"/>
    <w:rsid w:val="005F04FD"/>
    <w:rsid w:val="005F116D"/>
    <w:rsid w:val="005F137C"/>
    <w:rsid w:val="005F1841"/>
    <w:rsid w:val="005F1A4A"/>
    <w:rsid w:val="005F2037"/>
    <w:rsid w:val="005F2549"/>
    <w:rsid w:val="005F3671"/>
    <w:rsid w:val="005F43EF"/>
    <w:rsid w:val="005F4492"/>
    <w:rsid w:val="005F44DD"/>
    <w:rsid w:val="005F5AA9"/>
    <w:rsid w:val="005F5C83"/>
    <w:rsid w:val="005F6E34"/>
    <w:rsid w:val="005F7095"/>
    <w:rsid w:val="006006A5"/>
    <w:rsid w:val="00600B1E"/>
    <w:rsid w:val="006017A5"/>
    <w:rsid w:val="00601FB8"/>
    <w:rsid w:val="00602342"/>
    <w:rsid w:val="0060347A"/>
    <w:rsid w:val="00604D7E"/>
    <w:rsid w:val="006053E8"/>
    <w:rsid w:val="00606AFB"/>
    <w:rsid w:val="006077B8"/>
    <w:rsid w:val="00607B48"/>
    <w:rsid w:val="006103FB"/>
    <w:rsid w:val="00610E6C"/>
    <w:rsid w:val="006112FE"/>
    <w:rsid w:val="00611879"/>
    <w:rsid w:val="00611EA6"/>
    <w:rsid w:val="00615C40"/>
    <w:rsid w:val="006169EF"/>
    <w:rsid w:val="00616E96"/>
    <w:rsid w:val="00621009"/>
    <w:rsid w:val="006217EE"/>
    <w:rsid w:val="0062201B"/>
    <w:rsid w:val="00623136"/>
    <w:rsid w:val="00623488"/>
    <w:rsid w:val="006244D4"/>
    <w:rsid w:val="00624856"/>
    <w:rsid w:val="0062577C"/>
    <w:rsid w:val="0063103D"/>
    <w:rsid w:val="00631868"/>
    <w:rsid w:val="00631A5C"/>
    <w:rsid w:val="00631D44"/>
    <w:rsid w:val="00633301"/>
    <w:rsid w:val="00633920"/>
    <w:rsid w:val="00633958"/>
    <w:rsid w:val="00635346"/>
    <w:rsid w:val="0063546C"/>
    <w:rsid w:val="0063562B"/>
    <w:rsid w:val="00635B33"/>
    <w:rsid w:val="00635D13"/>
    <w:rsid w:val="006367E6"/>
    <w:rsid w:val="00637DA4"/>
    <w:rsid w:val="00641ECB"/>
    <w:rsid w:val="0064317C"/>
    <w:rsid w:val="00645986"/>
    <w:rsid w:val="00645A3F"/>
    <w:rsid w:val="00645BB5"/>
    <w:rsid w:val="0064605D"/>
    <w:rsid w:val="006469B3"/>
    <w:rsid w:val="00646C1A"/>
    <w:rsid w:val="0064756B"/>
    <w:rsid w:val="00650E3B"/>
    <w:rsid w:val="0065154F"/>
    <w:rsid w:val="00652141"/>
    <w:rsid w:val="006524F0"/>
    <w:rsid w:val="0065293D"/>
    <w:rsid w:val="00652BA1"/>
    <w:rsid w:val="00653244"/>
    <w:rsid w:val="006532D3"/>
    <w:rsid w:val="006541C0"/>
    <w:rsid w:val="00654654"/>
    <w:rsid w:val="00657434"/>
    <w:rsid w:val="0065772F"/>
    <w:rsid w:val="00657E2B"/>
    <w:rsid w:val="0066121A"/>
    <w:rsid w:val="0066158C"/>
    <w:rsid w:val="00661F88"/>
    <w:rsid w:val="00663148"/>
    <w:rsid w:val="0066567A"/>
    <w:rsid w:val="00665E2F"/>
    <w:rsid w:val="006662B5"/>
    <w:rsid w:val="00666F88"/>
    <w:rsid w:val="006713DD"/>
    <w:rsid w:val="00673E15"/>
    <w:rsid w:val="00674702"/>
    <w:rsid w:val="006749D1"/>
    <w:rsid w:val="00674ADD"/>
    <w:rsid w:val="00674C2A"/>
    <w:rsid w:val="00675198"/>
    <w:rsid w:val="00676E66"/>
    <w:rsid w:val="006778F9"/>
    <w:rsid w:val="006802FB"/>
    <w:rsid w:val="006804FE"/>
    <w:rsid w:val="006807AF"/>
    <w:rsid w:val="00680F84"/>
    <w:rsid w:val="00682B06"/>
    <w:rsid w:val="00683A2C"/>
    <w:rsid w:val="00683D8C"/>
    <w:rsid w:val="00684143"/>
    <w:rsid w:val="00685857"/>
    <w:rsid w:val="00686D93"/>
    <w:rsid w:val="0068725F"/>
    <w:rsid w:val="00687E1B"/>
    <w:rsid w:val="006907BA"/>
    <w:rsid w:val="006918DC"/>
    <w:rsid w:val="0069403E"/>
    <w:rsid w:val="00694B9E"/>
    <w:rsid w:val="00694E98"/>
    <w:rsid w:val="00695D07"/>
    <w:rsid w:val="00697482"/>
    <w:rsid w:val="00697920"/>
    <w:rsid w:val="006A0A92"/>
    <w:rsid w:val="006A1CE8"/>
    <w:rsid w:val="006A217F"/>
    <w:rsid w:val="006A312D"/>
    <w:rsid w:val="006A339C"/>
    <w:rsid w:val="006A4208"/>
    <w:rsid w:val="006A4F05"/>
    <w:rsid w:val="006A67A4"/>
    <w:rsid w:val="006A6E1F"/>
    <w:rsid w:val="006A7B26"/>
    <w:rsid w:val="006A7C3F"/>
    <w:rsid w:val="006B1232"/>
    <w:rsid w:val="006B1BFE"/>
    <w:rsid w:val="006B2CAC"/>
    <w:rsid w:val="006B4461"/>
    <w:rsid w:val="006B70BE"/>
    <w:rsid w:val="006C0856"/>
    <w:rsid w:val="006C137F"/>
    <w:rsid w:val="006C4127"/>
    <w:rsid w:val="006C42BD"/>
    <w:rsid w:val="006C4F70"/>
    <w:rsid w:val="006C5E61"/>
    <w:rsid w:val="006C60B2"/>
    <w:rsid w:val="006C6DDE"/>
    <w:rsid w:val="006C7B53"/>
    <w:rsid w:val="006D1D3F"/>
    <w:rsid w:val="006D4490"/>
    <w:rsid w:val="006D6918"/>
    <w:rsid w:val="006D74CD"/>
    <w:rsid w:val="006E048A"/>
    <w:rsid w:val="006F0A00"/>
    <w:rsid w:val="006F0AA5"/>
    <w:rsid w:val="006F0F6D"/>
    <w:rsid w:val="006F0F74"/>
    <w:rsid w:val="006F168C"/>
    <w:rsid w:val="006F1AE3"/>
    <w:rsid w:val="006F1C84"/>
    <w:rsid w:val="006F1F80"/>
    <w:rsid w:val="006F2B6A"/>
    <w:rsid w:val="006F3E4E"/>
    <w:rsid w:val="006F468D"/>
    <w:rsid w:val="006F7AD9"/>
    <w:rsid w:val="007010C4"/>
    <w:rsid w:val="00701518"/>
    <w:rsid w:val="00701DE5"/>
    <w:rsid w:val="007037B4"/>
    <w:rsid w:val="00704034"/>
    <w:rsid w:val="00704DA5"/>
    <w:rsid w:val="00704DE5"/>
    <w:rsid w:val="007055A1"/>
    <w:rsid w:val="007069B6"/>
    <w:rsid w:val="00706AFC"/>
    <w:rsid w:val="00706E01"/>
    <w:rsid w:val="00710E23"/>
    <w:rsid w:val="00710F26"/>
    <w:rsid w:val="0071157D"/>
    <w:rsid w:val="00711677"/>
    <w:rsid w:val="00711931"/>
    <w:rsid w:val="00711CB6"/>
    <w:rsid w:val="00711D76"/>
    <w:rsid w:val="00712F8F"/>
    <w:rsid w:val="00713034"/>
    <w:rsid w:val="00720620"/>
    <w:rsid w:val="007209B9"/>
    <w:rsid w:val="00720BD1"/>
    <w:rsid w:val="007211AE"/>
    <w:rsid w:val="00721525"/>
    <w:rsid w:val="007232EF"/>
    <w:rsid w:val="0072587F"/>
    <w:rsid w:val="00726501"/>
    <w:rsid w:val="0072719B"/>
    <w:rsid w:val="007276F4"/>
    <w:rsid w:val="00731415"/>
    <w:rsid w:val="00733056"/>
    <w:rsid w:val="0073539A"/>
    <w:rsid w:val="00735A23"/>
    <w:rsid w:val="00736625"/>
    <w:rsid w:val="00736EE7"/>
    <w:rsid w:val="007373A3"/>
    <w:rsid w:val="00737BA9"/>
    <w:rsid w:val="00740170"/>
    <w:rsid w:val="007407FE"/>
    <w:rsid w:val="0074250E"/>
    <w:rsid w:val="00742F06"/>
    <w:rsid w:val="00744894"/>
    <w:rsid w:val="00744E69"/>
    <w:rsid w:val="007509FA"/>
    <w:rsid w:val="00750DF6"/>
    <w:rsid w:val="00751103"/>
    <w:rsid w:val="007521A6"/>
    <w:rsid w:val="00752C01"/>
    <w:rsid w:val="007531E3"/>
    <w:rsid w:val="007540A5"/>
    <w:rsid w:val="00755F72"/>
    <w:rsid w:val="007560BD"/>
    <w:rsid w:val="00756166"/>
    <w:rsid w:val="00756172"/>
    <w:rsid w:val="00756578"/>
    <w:rsid w:val="007570E9"/>
    <w:rsid w:val="00757B65"/>
    <w:rsid w:val="00757D6A"/>
    <w:rsid w:val="00760072"/>
    <w:rsid w:val="00763153"/>
    <w:rsid w:val="0076460D"/>
    <w:rsid w:val="0076462C"/>
    <w:rsid w:val="007657C5"/>
    <w:rsid w:val="0076599B"/>
    <w:rsid w:val="00765F0B"/>
    <w:rsid w:val="00767B93"/>
    <w:rsid w:val="00770468"/>
    <w:rsid w:val="00771912"/>
    <w:rsid w:val="00771F3E"/>
    <w:rsid w:val="00772A19"/>
    <w:rsid w:val="00774792"/>
    <w:rsid w:val="00774DF9"/>
    <w:rsid w:val="00775053"/>
    <w:rsid w:val="007771CB"/>
    <w:rsid w:val="00777B53"/>
    <w:rsid w:val="00780C7E"/>
    <w:rsid w:val="00781810"/>
    <w:rsid w:val="00781A98"/>
    <w:rsid w:val="007837AF"/>
    <w:rsid w:val="0078418F"/>
    <w:rsid w:val="00784317"/>
    <w:rsid w:val="007846E1"/>
    <w:rsid w:val="007850C9"/>
    <w:rsid w:val="0078774F"/>
    <w:rsid w:val="00787AAA"/>
    <w:rsid w:val="007902D3"/>
    <w:rsid w:val="007903AD"/>
    <w:rsid w:val="00790F0F"/>
    <w:rsid w:val="00792C4F"/>
    <w:rsid w:val="0079426F"/>
    <w:rsid w:val="00794734"/>
    <w:rsid w:val="0079555F"/>
    <w:rsid w:val="0079582F"/>
    <w:rsid w:val="007965DA"/>
    <w:rsid w:val="007A04DF"/>
    <w:rsid w:val="007A381E"/>
    <w:rsid w:val="007A3A67"/>
    <w:rsid w:val="007A5A58"/>
    <w:rsid w:val="007A5B69"/>
    <w:rsid w:val="007A6664"/>
    <w:rsid w:val="007A72D0"/>
    <w:rsid w:val="007B008D"/>
    <w:rsid w:val="007B0CAC"/>
    <w:rsid w:val="007B2458"/>
    <w:rsid w:val="007B24DD"/>
    <w:rsid w:val="007B5328"/>
    <w:rsid w:val="007C0301"/>
    <w:rsid w:val="007C10DA"/>
    <w:rsid w:val="007C34C5"/>
    <w:rsid w:val="007C4A7D"/>
    <w:rsid w:val="007C5EC0"/>
    <w:rsid w:val="007C6328"/>
    <w:rsid w:val="007D068F"/>
    <w:rsid w:val="007D0B5E"/>
    <w:rsid w:val="007D1C18"/>
    <w:rsid w:val="007D20B7"/>
    <w:rsid w:val="007D3D71"/>
    <w:rsid w:val="007D4D80"/>
    <w:rsid w:val="007D5172"/>
    <w:rsid w:val="007E1354"/>
    <w:rsid w:val="007E17BC"/>
    <w:rsid w:val="007E2163"/>
    <w:rsid w:val="007E3CC2"/>
    <w:rsid w:val="007E41F1"/>
    <w:rsid w:val="007E5030"/>
    <w:rsid w:val="007E5453"/>
    <w:rsid w:val="007E68F1"/>
    <w:rsid w:val="007F0ED2"/>
    <w:rsid w:val="007F1D39"/>
    <w:rsid w:val="007F20C3"/>
    <w:rsid w:val="007F23F1"/>
    <w:rsid w:val="007F270F"/>
    <w:rsid w:val="007F271C"/>
    <w:rsid w:val="007F2F8F"/>
    <w:rsid w:val="007F39A3"/>
    <w:rsid w:val="007F3CAA"/>
    <w:rsid w:val="007F6715"/>
    <w:rsid w:val="007F6BB1"/>
    <w:rsid w:val="007F7E15"/>
    <w:rsid w:val="00800A34"/>
    <w:rsid w:val="0080152D"/>
    <w:rsid w:val="008016EC"/>
    <w:rsid w:val="008017B4"/>
    <w:rsid w:val="00801B90"/>
    <w:rsid w:val="008020C4"/>
    <w:rsid w:val="00802DD1"/>
    <w:rsid w:val="008050FE"/>
    <w:rsid w:val="008056C4"/>
    <w:rsid w:val="00811277"/>
    <w:rsid w:val="00811653"/>
    <w:rsid w:val="008119B5"/>
    <w:rsid w:val="008130C6"/>
    <w:rsid w:val="00814BD0"/>
    <w:rsid w:val="00815016"/>
    <w:rsid w:val="00816C43"/>
    <w:rsid w:val="00817084"/>
    <w:rsid w:val="008176CF"/>
    <w:rsid w:val="00817E93"/>
    <w:rsid w:val="0082087D"/>
    <w:rsid w:val="00822AD2"/>
    <w:rsid w:val="00823A49"/>
    <w:rsid w:val="00823CBA"/>
    <w:rsid w:val="008263BE"/>
    <w:rsid w:val="00826B5B"/>
    <w:rsid w:val="00826F4C"/>
    <w:rsid w:val="00827BCF"/>
    <w:rsid w:val="0083170C"/>
    <w:rsid w:val="00832634"/>
    <w:rsid w:val="00833042"/>
    <w:rsid w:val="00833E21"/>
    <w:rsid w:val="008359B5"/>
    <w:rsid w:val="0083618F"/>
    <w:rsid w:val="00836229"/>
    <w:rsid w:val="00836952"/>
    <w:rsid w:val="008403F5"/>
    <w:rsid w:val="008405DB"/>
    <w:rsid w:val="00841DBE"/>
    <w:rsid w:val="008429A8"/>
    <w:rsid w:val="00842AA2"/>
    <w:rsid w:val="00843E73"/>
    <w:rsid w:val="0084421B"/>
    <w:rsid w:val="00845299"/>
    <w:rsid w:val="008516A3"/>
    <w:rsid w:val="008519A9"/>
    <w:rsid w:val="0085218E"/>
    <w:rsid w:val="008550D9"/>
    <w:rsid w:val="00855611"/>
    <w:rsid w:val="00855B11"/>
    <w:rsid w:val="00855CB1"/>
    <w:rsid w:val="00857076"/>
    <w:rsid w:val="00857594"/>
    <w:rsid w:val="00857AC0"/>
    <w:rsid w:val="00857C73"/>
    <w:rsid w:val="00857F1C"/>
    <w:rsid w:val="00861BEE"/>
    <w:rsid w:val="0086288C"/>
    <w:rsid w:val="00862A6A"/>
    <w:rsid w:val="00862C63"/>
    <w:rsid w:val="00866E5E"/>
    <w:rsid w:val="00867291"/>
    <w:rsid w:val="0086785B"/>
    <w:rsid w:val="00870523"/>
    <w:rsid w:val="0087116A"/>
    <w:rsid w:val="00872D32"/>
    <w:rsid w:val="00872E6A"/>
    <w:rsid w:val="0087318A"/>
    <w:rsid w:val="00874E1E"/>
    <w:rsid w:val="00875392"/>
    <w:rsid w:val="00875D80"/>
    <w:rsid w:val="00876B70"/>
    <w:rsid w:val="008774E5"/>
    <w:rsid w:val="008823CE"/>
    <w:rsid w:val="00883EEF"/>
    <w:rsid w:val="0088441D"/>
    <w:rsid w:val="00885028"/>
    <w:rsid w:val="00886D55"/>
    <w:rsid w:val="00887241"/>
    <w:rsid w:val="008874FE"/>
    <w:rsid w:val="00887A35"/>
    <w:rsid w:val="008901C8"/>
    <w:rsid w:val="008923FE"/>
    <w:rsid w:val="008928FF"/>
    <w:rsid w:val="008933F1"/>
    <w:rsid w:val="008935C7"/>
    <w:rsid w:val="0089404A"/>
    <w:rsid w:val="00894AE7"/>
    <w:rsid w:val="0089583E"/>
    <w:rsid w:val="008A1D65"/>
    <w:rsid w:val="008A3BCD"/>
    <w:rsid w:val="008A54D4"/>
    <w:rsid w:val="008A5C46"/>
    <w:rsid w:val="008A6835"/>
    <w:rsid w:val="008A6A39"/>
    <w:rsid w:val="008A6CBF"/>
    <w:rsid w:val="008A6FC3"/>
    <w:rsid w:val="008B11FD"/>
    <w:rsid w:val="008B13B7"/>
    <w:rsid w:val="008B2267"/>
    <w:rsid w:val="008B309C"/>
    <w:rsid w:val="008B47F8"/>
    <w:rsid w:val="008B596D"/>
    <w:rsid w:val="008B5A41"/>
    <w:rsid w:val="008B5D38"/>
    <w:rsid w:val="008B7018"/>
    <w:rsid w:val="008C06CE"/>
    <w:rsid w:val="008C0C72"/>
    <w:rsid w:val="008C148E"/>
    <w:rsid w:val="008C17FB"/>
    <w:rsid w:val="008C1C87"/>
    <w:rsid w:val="008C2934"/>
    <w:rsid w:val="008C30E2"/>
    <w:rsid w:val="008C314A"/>
    <w:rsid w:val="008C3230"/>
    <w:rsid w:val="008C3C61"/>
    <w:rsid w:val="008C42B1"/>
    <w:rsid w:val="008C4ACB"/>
    <w:rsid w:val="008C4E6A"/>
    <w:rsid w:val="008C4E8E"/>
    <w:rsid w:val="008C6468"/>
    <w:rsid w:val="008C677C"/>
    <w:rsid w:val="008D065F"/>
    <w:rsid w:val="008D1800"/>
    <w:rsid w:val="008D18E4"/>
    <w:rsid w:val="008D1E30"/>
    <w:rsid w:val="008D3F4C"/>
    <w:rsid w:val="008D409A"/>
    <w:rsid w:val="008D4982"/>
    <w:rsid w:val="008D5D38"/>
    <w:rsid w:val="008D67C8"/>
    <w:rsid w:val="008D71A8"/>
    <w:rsid w:val="008D7C36"/>
    <w:rsid w:val="008D7E64"/>
    <w:rsid w:val="008E182F"/>
    <w:rsid w:val="008E1916"/>
    <w:rsid w:val="008E3146"/>
    <w:rsid w:val="008E37C2"/>
    <w:rsid w:val="008E3965"/>
    <w:rsid w:val="008E49EA"/>
    <w:rsid w:val="008E4F6A"/>
    <w:rsid w:val="008E56A8"/>
    <w:rsid w:val="008E5DBE"/>
    <w:rsid w:val="008E6453"/>
    <w:rsid w:val="008E6CF3"/>
    <w:rsid w:val="008F0B23"/>
    <w:rsid w:val="008F1E73"/>
    <w:rsid w:val="008F30CB"/>
    <w:rsid w:val="008F4E72"/>
    <w:rsid w:val="008F6C24"/>
    <w:rsid w:val="008F76A1"/>
    <w:rsid w:val="008F78D8"/>
    <w:rsid w:val="00900D83"/>
    <w:rsid w:val="0090214D"/>
    <w:rsid w:val="009044DB"/>
    <w:rsid w:val="00905BE0"/>
    <w:rsid w:val="00905E47"/>
    <w:rsid w:val="009067B3"/>
    <w:rsid w:val="00906954"/>
    <w:rsid w:val="00911D5D"/>
    <w:rsid w:val="00911EDE"/>
    <w:rsid w:val="00913474"/>
    <w:rsid w:val="00913971"/>
    <w:rsid w:val="0091438C"/>
    <w:rsid w:val="00914615"/>
    <w:rsid w:val="00914C7F"/>
    <w:rsid w:val="00915A0A"/>
    <w:rsid w:val="009171E9"/>
    <w:rsid w:val="0091762C"/>
    <w:rsid w:val="009208AF"/>
    <w:rsid w:val="00921536"/>
    <w:rsid w:val="00921967"/>
    <w:rsid w:val="0092286E"/>
    <w:rsid w:val="0092314C"/>
    <w:rsid w:val="009231E6"/>
    <w:rsid w:val="00923949"/>
    <w:rsid w:val="009239BD"/>
    <w:rsid w:val="00923D66"/>
    <w:rsid w:val="00924AB1"/>
    <w:rsid w:val="0092506F"/>
    <w:rsid w:val="00926635"/>
    <w:rsid w:val="0092666A"/>
    <w:rsid w:val="00926876"/>
    <w:rsid w:val="009272E6"/>
    <w:rsid w:val="00927B50"/>
    <w:rsid w:val="00931858"/>
    <w:rsid w:val="009318EA"/>
    <w:rsid w:val="00932641"/>
    <w:rsid w:val="00932925"/>
    <w:rsid w:val="00933A40"/>
    <w:rsid w:val="00933A61"/>
    <w:rsid w:val="00933C0D"/>
    <w:rsid w:val="00933EC1"/>
    <w:rsid w:val="00934CC5"/>
    <w:rsid w:val="00936B56"/>
    <w:rsid w:val="00936D0C"/>
    <w:rsid w:val="009370F0"/>
    <w:rsid w:val="0093797B"/>
    <w:rsid w:val="00940252"/>
    <w:rsid w:val="009414EC"/>
    <w:rsid w:val="00941553"/>
    <w:rsid w:val="00941D60"/>
    <w:rsid w:val="00942618"/>
    <w:rsid w:val="00942FA1"/>
    <w:rsid w:val="00943722"/>
    <w:rsid w:val="00943F6B"/>
    <w:rsid w:val="00946931"/>
    <w:rsid w:val="00946B42"/>
    <w:rsid w:val="0094757F"/>
    <w:rsid w:val="00947790"/>
    <w:rsid w:val="00947816"/>
    <w:rsid w:val="00950427"/>
    <w:rsid w:val="00951849"/>
    <w:rsid w:val="009518E8"/>
    <w:rsid w:val="00951ECA"/>
    <w:rsid w:val="00952ADE"/>
    <w:rsid w:val="00953931"/>
    <w:rsid w:val="0095418A"/>
    <w:rsid w:val="0095462D"/>
    <w:rsid w:val="009553B1"/>
    <w:rsid w:val="00955C6A"/>
    <w:rsid w:val="00955D15"/>
    <w:rsid w:val="0095714C"/>
    <w:rsid w:val="0095756C"/>
    <w:rsid w:val="00957783"/>
    <w:rsid w:val="00957D08"/>
    <w:rsid w:val="00957F6A"/>
    <w:rsid w:val="00960D39"/>
    <w:rsid w:val="00964E47"/>
    <w:rsid w:val="00966383"/>
    <w:rsid w:val="00966A83"/>
    <w:rsid w:val="00967337"/>
    <w:rsid w:val="00967A1C"/>
    <w:rsid w:val="009706F7"/>
    <w:rsid w:val="00970993"/>
    <w:rsid w:val="00970D62"/>
    <w:rsid w:val="00971F1D"/>
    <w:rsid w:val="00972030"/>
    <w:rsid w:val="00973AF0"/>
    <w:rsid w:val="009747F8"/>
    <w:rsid w:val="0098132C"/>
    <w:rsid w:val="00981AC1"/>
    <w:rsid w:val="0098274A"/>
    <w:rsid w:val="00982819"/>
    <w:rsid w:val="00982D47"/>
    <w:rsid w:val="00983822"/>
    <w:rsid w:val="009840D9"/>
    <w:rsid w:val="00986A1A"/>
    <w:rsid w:val="00986F64"/>
    <w:rsid w:val="009901A6"/>
    <w:rsid w:val="009904DB"/>
    <w:rsid w:val="00990C67"/>
    <w:rsid w:val="00990D32"/>
    <w:rsid w:val="0099380C"/>
    <w:rsid w:val="00994B32"/>
    <w:rsid w:val="00994E66"/>
    <w:rsid w:val="00995260"/>
    <w:rsid w:val="009956EB"/>
    <w:rsid w:val="00995941"/>
    <w:rsid w:val="00996774"/>
    <w:rsid w:val="00997172"/>
    <w:rsid w:val="0099732D"/>
    <w:rsid w:val="009A0157"/>
    <w:rsid w:val="009A176D"/>
    <w:rsid w:val="009A2387"/>
    <w:rsid w:val="009A2E76"/>
    <w:rsid w:val="009A3CBD"/>
    <w:rsid w:val="009A5C35"/>
    <w:rsid w:val="009B1873"/>
    <w:rsid w:val="009B2148"/>
    <w:rsid w:val="009B29A5"/>
    <w:rsid w:val="009B30DC"/>
    <w:rsid w:val="009B3633"/>
    <w:rsid w:val="009B37FB"/>
    <w:rsid w:val="009B5021"/>
    <w:rsid w:val="009B617C"/>
    <w:rsid w:val="009B698D"/>
    <w:rsid w:val="009B6A75"/>
    <w:rsid w:val="009B6E95"/>
    <w:rsid w:val="009C1092"/>
    <w:rsid w:val="009C12B0"/>
    <w:rsid w:val="009C17E0"/>
    <w:rsid w:val="009C1BCD"/>
    <w:rsid w:val="009C1BE8"/>
    <w:rsid w:val="009C3EF5"/>
    <w:rsid w:val="009C558E"/>
    <w:rsid w:val="009C57EC"/>
    <w:rsid w:val="009C6068"/>
    <w:rsid w:val="009D0816"/>
    <w:rsid w:val="009D0F12"/>
    <w:rsid w:val="009D1D7E"/>
    <w:rsid w:val="009D3923"/>
    <w:rsid w:val="009D3C3F"/>
    <w:rsid w:val="009D4020"/>
    <w:rsid w:val="009D41BC"/>
    <w:rsid w:val="009D5FF5"/>
    <w:rsid w:val="009D6443"/>
    <w:rsid w:val="009E0354"/>
    <w:rsid w:val="009E0C82"/>
    <w:rsid w:val="009E1B28"/>
    <w:rsid w:val="009E3F40"/>
    <w:rsid w:val="009E4431"/>
    <w:rsid w:val="009E5057"/>
    <w:rsid w:val="009E5A15"/>
    <w:rsid w:val="009E5C54"/>
    <w:rsid w:val="009E62EE"/>
    <w:rsid w:val="009E693A"/>
    <w:rsid w:val="009E69E3"/>
    <w:rsid w:val="009E6ADD"/>
    <w:rsid w:val="009E7543"/>
    <w:rsid w:val="009E788F"/>
    <w:rsid w:val="009E7B0B"/>
    <w:rsid w:val="009E7E09"/>
    <w:rsid w:val="009F03D2"/>
    <w:rsid w:val="009F0641"/>
    <w:rsid w:val="009F25EE"/>
    <w:rsid w:val="009F2B3E"/>
    <w:rsid w:val="009F4EE7"/>
    <w:rsid w:val="009F5318"/>
    <w:rsid w:val="009F5B0D"/>
    <w:rsid w:val="009F5F56"/>
    <w:rsid w:val="009F65B0"/>
    <w:rsid w:val="009F7547"/>
    <w:rsid w:val="00A004FB"/>
    <w:rsid w:val="00A008D4"/>
    <w:rsid w:val="00A008DF"/>
    <w:rsid w:val="00A01547"/>
    <w:rsid w:val="00A01871"/>
    <w:rsid w:val="00A02D53"/>
    <w:rsid w:val="00A05F68"/>
    <w:rsid w:val="00A060F5"/>
    <w:rsid w:val="00A068AD"/>
    <w:rsid w:val="00A1074D"/>
    <w:rsid w:val="00A1107F"/>
    <w:rsid w:val="00A11DEE"/>
    <w:rsid w:val="00A13649"/>
    <w:rsid w:val="00A13A3D"/>
    <w:rsid w:val="00A14652"/>
    <w:rsid w:val="00A155CF"/>
    <w:rsid w:val="00A156F8"/>
    <w:rsid w:val="00A15737"/>
    <w:rsid w:val="00A16B17"/>
    <w:rsid w:val="00A17D0D"/>
    <w:rsid w:val="00A20A27"/>
    <w:rsid w:val="00A21F24"/>
    <w:rsid w:val="00A225C8"/>
    <w:rsid w:val="00A22B7C"/>
    <w:rsid w:val="00A23112"/>
    <w:rsid w:val="00A2366A"/>
    <w:rsid w:val="00A23FB5"/>
    <w:rsid w:val="00A24504"/>
    <w:rsid w:val="00A245F7"/>
    <w:rsid w:val="00A24EC3"/>
    <w:rsid w:val="00A25562"/>
    <w:rsid w:val="00A25996"/>
    <w:rsid w:val="00A26692"/>
    <w:rsid w:val="00A269E1"/>
    <w:rsid w:val="00A2740C"/>
    <w:rsid w:val="00A27919"/>
    <w:rsid w:val="00A31223"/>
    <w:rsid w:val="00A31E0A"/>
    <w:rsid w:val="00A32133"/>
    <w:rsid w:val="00A32AB1"/>
    <w:rsid w:val="00A3445C"/>
    <w:rsid w:val="00A344B3"/>
    <w:rsid w:val="00A36B55"/>
    <w:rsid w:val="00A36E49"/>
    <w:rsid w:val="00A371DF"/>
    <w:rsid w:val="00A37831"/>
    <w:rsid w:val="00A401F2"/>
    <w:rsid w:val="00A427AA"/>
    <w:rsid w:val="00A43028"/>
    <w:rsid w:val="00A43DE0"/>
    <w:rsid w:val="00A4531F"/>
    <w:rsid w:val="00A47A61"/>
    <w:rsid w:val="00A50692"/>
    <w:rsid w:val="00A508E8"/>
    <w:rsid w:val="00A52994"/>
    <w:rsid w:val="00A52D8C"/>
    <w:rsid w:val="00A52E4C"/>
    <w:rsid w:val="00A54782"/>
    <w:rsid w:val="00A57AB4"/>
    <w:rsid w:val="00A6014E"/>
    <w:rsid w:val="00A60B56"/>
    <w:rsid w:val="00A60E21"/>
    <w:rsid w:val="00A6210D"/>
    <w:rsid w:val="00A6298A"/>
    <w:rsid w:val="00A649AA"/>
    <w:rsid w:val="00A66032"/>
    <w:rsid w:val="00A667FA"/>
    <w:rsid w:val="00A67A4C"/>
    <w:rsid w:val="00A67BCD"/>
    <w:rsid w:val="00A70656"/>
    <w:rsid w:val="00A708B7"/>
    <w:rsid w:val="00A70A65"/>
    <w:rsid w:val="00A72918"/>
    <w:rsid w:val="00A734CB"/>
    <w:rsid w:val="00A73777"/>
    <w:rsid w:val="00A748BB"/>
    <w:rsid w:val="00A75058"/>
    <w:rsid w:val="00A752A6"/>
    <w:rsid w:val="00A75AF1"/>
    <w:rsid w:val="00A766D3"/>
    <w:rsid w:val="00A7737E"/>
    <w:rsid w:val="00A77661"/>
    <w:rsid w:val="00A8104B"/>
    <w:rsid w:val="00A822AD"/>
    <w:rsid w:val="00A82830"/>
    <w:rsid w:val="00A83733"/>
    <w:rsid w:val="00A84BD9"/>
    <w:rsid w:val="00A850E5"/>
    <w:rsid w:val="00A85E98"/>
    <w:rsid w:val="00A865ED"/>
    <w:rsid w:val="00A866CB"/>
    <w:rsid w:val="00A90C52"/>
    <w:rsid w:val="00A92A8F"/>
    <w:rsid w:val="00A94A15"/>
    <w:rsid w:val="00A955C0"/>
    <w:rsid w:val="00A963AC"/>
    <w:rsid w:val="00AA036C"/>
    <w:rsid w:val="00AA05E9"/>
    <w:rsid w:val="00AA13F6"/>
    <w:rsid w:val="00AA1E9D"/>
    <w:rsid w:val="00AA1FEF"/>
    <w:rsid w:val="00AA21B2"/>
    <w:rsid w:val="00AA3434"/>
    <w:rsid w:val="00AA360E"/>
    <w:rsid w:val="00AA477E"/>
    <w:rsid w:val="00AA4C22"/>
    <w:rsid w:val="00AA4CF2"/>
    <w:rsid w:val="00AA528D"/>
    <w:rsid w:val="00AA6870"/>
    <w:rsid w:val="00AA6E77"/>
    <w:rsid w:val="00AA7839"/>
    <w:rsid w:val="00AA79A8"/>
    <w:rsid w:val="00AA7B79"/>
    <w:rsid w:val="00AA7C6F"/>
    <w:rsid w:val="00AB020A"/>
    <w:rsid w:val="00AB1E1E"/>
    <w:rsid w:val="00AB442E"/>
    <w:rsid w:val="00AB69A7"/>
    <w:rsid w:val="00AB7306"/>
    <w:rsid w:val="00AB745A"/>
    <w:rsid w:val="00AB7993"/>
    <w:rsid w:val="00AC15AE"/>
    <w:rsid w:val="00AC18C9"/>
    <w:rsid w:val="00AC1AF8"/>
    <w:rsid w:val="00AC3C48"/>
    <w:rsid w:val="00AC4204"/>
    <w:rsid w:val="00AC4B36"/>
    <w:rsid w:val="00AC5241"/>
    <w:rsid w:val="00AC60FC"/>
    <w:rsid w:val="00AC6979"/>
    <w:rsid w:val="00AC76FC"/>
    <w:rsid w:val="00AC7BBB"/>
    <w:rsid w:val="00AD0EA5"/>
    <w:rsid w:val="00AD1B9D"/>
    <w:rsid w:val="00AD1CCE"/>
    <w:rsid w:val="00AD3DF9"/>
    <w:rsid w:val="00AD4E85"/>
    <w:rsid w:val="00AD52A4"/>
    <w:rsid w:val="00AD5617"/>
    <w:rsid w:val="00AD652D"/>
    <w:rsid w:val="00AD7990"/>
    <w:rsid w:val="00AE04A8"/>
    <w:rsid w:val="00AE0B38"/>
    <w:rsid w:val="00AE1A50"/>
    <w:rsid w:val="00AE264E"/>
    <w:rsid w:val="00AE350A"/>
    <w:rsid w:val="00AE3CB1"/>
    <w:rsid w:val="00AE4817"/>
    <w:rsid w:val="00AE4E68"/>
    <w:rsid w:val="00AE5576"/>
    <w:rsid w:val="00AE5884"/>
    <w:rsid w:val="00AE5C00"/>
    <w:rsid w:val="00AE72A3"/>
    <w:rsid w:val="00AE72D3"/>
    <w:rsid w:val="00AF026E"/>
    <w:rsid w:val="00AF044F"/>
    <w:rsid w:val="00AF1D6F"/>
    <w:rsid w:val="00AF1F09"/>
    <w:rsid w:val="00AF28CE"/>
    <w:rsid w:val="00AF30DA"/>
    <w:rsid w:val="00AF51BB"/>
    <w:rsid w:val="00AF56A0"/>
    <w:rsid w:val="00B00B79"/>
    <w:rsid w:val="00B01403"/>
    <w:rsid w:val="00B018D1"/>
    <w:rsid w:val="00B0268C"/>
    <w:rsid w:val="00B029E0"/>
    <w:rsid w:val="00B03859"/>
    <w:rsid w:val="00B06205"/>
    <w:rsid w:val="00B06281"/>
    <w:rsid w:val="00B06737"/>
    <w:rsid w:val="00B07154"/>
    <w:rsid w:val="00B10B9A"/>
    <w:rsid w:val="00B12059"/>
    <w:rsid w:val="00B1241C"/>
    <w:rsid w:val="00B149F0"/>
    <w:rsid w:val="00B15214"/>
    <w:rsid w:val="00B1685F"/>
    <w:rsid w:val="00B16916"/>
    <w:rsid w:val="00B1698D"/>
    <w:rsid w:val="00B17135"/>
    <w:rsid w:val="00B202BC"/>
    <w:rsid w:val="00B2047B"/>
    <w:rsid w:val="00B226D8"/>
    <w:rsid w:val="00B24628"/>
    <w:rsid w:val="00B2529B"/>
    <w:rsid w:val="00B26DC2"/>
    <w:rsid w:val="00B27A5D"/>
    <w:rsid w:val="00B27A73"/>
    <w:rsid w:val="00B27DF5"/>
    <w:rsid w:val="00B308B1"/>
    <w:rsid w:val="00B30E54"/>
    <w:rsid w:val="00B31A2E"/>
    <w:rsid w:val="00B31ABD"/>
    <w:rsid w:val="00B31B42"/>
    <w:rsid w:val="00B32A29"/>
    <w:rsid w:val="00B32A89"/>
    <w:rsid w:val="00B34793"/>
    <w:rsid w:val="00B35526"/>
    <w:rsid w:val="00B358C5"/>
    <w:rsid w:val="00B35D06"/>
    <w:rsid w:val="00B366D4"/>
    <w:rsid w:val="00B36A15"/>
    <w:rsid w:val="00B4193C"/>
    <w:rsid w:val="00B42641"/>
    <w:rsid w:val="00B447A1"/>
    <w:rsid w:val="00B44906"/>
    <w:rsid w:val="00B45861"/>
    <w:rsid w:val="00B4603D"/>
    <w:rsid w:val="00B46055"/>
    <w:rsid w:val="00B464CE"/>
    <w:rsid w:val="00B466A9"/>
    <w:rsid w:val="00B47BC7"/>
    <w:rsid w:val="00B50DB4"/>
    <w:rsid w:val="00B53865"/>
    <w:rsid w:val="00B5495D"/>
    <w:rsid w:val="00B5535F"/>
    <w:rsid w:val="00B61F2A"/>
    <w:rsid w:val="00B63625"/>
    <w:rsid w:val="00B64C3D"/>
    <w:rsid w:val="00B64F94"/>
    <w:rsid w:val="00B66BA7"/>
    <w:rsid w:val="00B66DC2"/>
    <w:rsid w:val="00B67D75"/>
    <w:rsid w:val="00B70192"/>
    <w:rsid w:val="00B7173F"/>
    <w:rsid w:val="00B721C5"/>
    <w:rsid w:val="00B74893"/>
    <w:rsid w:val="00B74D47"/>
    <w:rsid w:val="00B750E2"/>
    <w:rsid w:val="00B762E3"/>
    <w:rsid w:val="00B80351"/>
    <w:rsid w:val="00B83A38"/>
    <w:rsid w:val="00B83BB4"/>
    <w:rsid w:val="00B849F9"/>
    <w:rsid w:val="00B85D54"/>
    <w:rsid w:val="00B87343"/>
    <w:rsid w:val="00B874D4"/>
    <w:rsid w:val="00B9009C"/>
    <w:rsid w:val="00B90A76"/>
    <w:rsid w:val="00B90E7D"/>
    <w:rsid w:val="00B918BE"/>
    <w:rsid w:val="00B92F80"/>
    <w:rsid w:val="00B95583"/>
    <w:rsid w:val="00B95D50"/>
    <w:rsid w:val="00B9602D"/>
    <w:rsid w:val="00B96BCB"/>
    <w:rsid w:val="00B97498"/>
    <w:rsid w:val="00B975C8"/>
    <w:rsid w:val="00BA0D0B"/>
    <w:rsid w:val="00BA0F6C"/>
    <w:rsid w:val="00BA1700"/>
    <w:rsid w:val="00BA6872"/>
    <w:rsid w:val="00BB0D32"/>
    <w:rsid w:val="00BB3BED"/>
    <w:rsid w:val="00BB5726"/>
    <w:rsid w:val="00BB57CD"/>
    <w:rsid w:val="00BB66BA"/>
    <w:rsid w:val="00BC21BA"/>
    <w:rsid w:val="00BC2BA3"/>
    <w:rsid w:val="00BC374C"/>
    <w:rsid w:val="00BC3857"/>
    <w:rsid w:val="00BC3E02"/>
    <w:rsid w:val="00BC462D"/>
    <w:rsid w:val="00BC49F9"/>
    <w:rsid w:val="00BC530B"/>
    <w:rsid w:val="00BC7B7B"/>
    <w:rsid w:val="00BC7FB6"/>
    <w:rsid w:val="00BD1282"/>
    <w:rsid w:val="00BD16B0"/>
    <w:rsid w:val="00BD1C1C"/>
    <w:rsid w:val="00BD2288"/>
    <w:rsid w:val="00BD3363"/>
    <w:rsid w:val="00BD372D"/>
    <w:rsid w:val="00BD39C4"/>
    <w:rsid w:val="00BD4274"/>
    <w:rsid w:val="00BD4D5B"/>
    <w:rsid w:val="00BD5AF0"/>
    <w:rsid w:val="00BE0071"/>
    <w:rsid w:val="00BE20A6"/>
    <w:rsid w:val="00BE235E"/>
    <w:rsid w:val="00BE2C98"/>
    <w:rsid w:val="00BE2F20"/>
    <w:rsid w:val="00BE3B3F"/>
    <w:rsid w:val="00BE4672"/>
    <w:rsid w:val="00BE688A"/>
    <w:rsid w:val="00BE73CB"/>
    <w:rsid w:val="00BE7BB8"/>
    <w:rsid w:val="00BF0496"/>
    <w:rsid w:val="00BF076C"/>
    <w:rsid w:val="00BF1552"/>
    <w:rsid w:val="00BF25C4"/>
    <w:rsid w:val="00BF47C8"/>
    <w:rsid w:val="00BF6239"/>
    <w:rsid w:val="00BF628E"/>
    <w:rsid w:val="00BF6ED9"/>
    <w:rsid w:val="00BF7874"/>
    <w:rsid w:val="00C00352"/>
    <w:rsid w:val="00C01180"/>
    <w:rsid w:val="00C01AF4"/>
    <w:rsid w:val="00C01C62"/>
    <w:rsid w:val="00C0271D"/>
    <w:rsid w:val="00C04410"/>
    <w:rsid w:val="00C04F4A"/>
    <w:rsid w:val="00C059E4"/>
    <w:rsid w:val="00C062AC"/>
    <w:rsid w:val="00C06CC9"/>
    <w:rsid w:val="00C07168"/>
    <w:rsid w:val="00C071FE"/>
    <w:rsid w:val="00C0787E"/>
    <w:rsid w:val="00C1077F"/>
    <w:rsid w:val="00C14546"/>
    <w:rsid w:val="00C1610D"/>
    <w:rsid w:val="00C167AE"/>
    <w:rsid w:val="00C17406"/>
    <w:rsid w:val="00C1759C"/>
    <w:rsid w:val="00C2022F"/>
    <w:rsid w:val="00C207C8"/>
    <w:rsid w:val="00C21D68"/>
    <w:rsid w:val="00C21E84"/>
    <w:rsid w:val="00C230E3"/>
    <w:rsid w:val="00C234AA"/>
    <w:rsid w:val="00C23A1E"/>
    <w:rsid w:val="00C2406F"/>
    <w:rsid w:val="00C244C1"/>
    <w:rsid w:val="00C24F97"/>
    <w:rsid w:val="00C25DAD"/>
    <w:rsid w:val="00C2668B"/>
    <w:rsid w:val="00C26ADD"/>
    <w:rsid w:val="00C26AFE"/>
    <w:rsid w:val="00C3146D"/>
    <w:rsid w:val="00C316D7"/>
    <w:rsid w:val="00C31A49"/>
    <w:rsid w:val="00C3205E"/>
    <w:rsid w:val="00C334C6"/>
    <w:rsid w:val="00C3350F"/>
    <w:rsid w:val="00C34268"/>
    <w:rsid w:val="00C3464F"/>
    <w:rsid w:val="00C34A40"/>
    <w:rsid w:val="00C3526C"/>
    <w:rsid w:val="00C36776"/>
    <w:rsid w:val="00C36E27"/>
    <w:rsid w:val="00C36EC9"/>
    <w:rsid w:val="00C3717D"/>
    <w:rsid w:val="00C376B5"/>
    <w:rsid w:val="00C37C26"/>
    <w:rsid w:val="00C40A1C"/>
    <w:rsid w:val="00C4382F"/>
    <w:rsid w:val="00C446A9"/>
    <w:rsid w:val="00C453F2"/>
    <w:rsid w:val="00C458F8"/>
    <w:rsid w:val="00C459C9"/>
    <w:rsid w:val="00C4790F"/>
    <w:rsid w:val="00C47BB2"/>
    <w:rsid w:val="00C514CC"/>
    <w:rsid w:val="00C52135"/>
    <w:rsid w:val="00C52E5B"/>
    <w:rsid w:val="00C55480"/>
    <w:rsid w:val="00C55C1E"/>
    <w:rsid w:val="00C60E46"/>
    <w:rsid w:val="00C6101B"/>
    <w:rsid w:val="00C6221D"/>
    <w:rsid w:val="00C631D2"/>
    <w:rsid w:val="00C63981"/>
    <w:rsid w:val="00C63A77"/>
    <w:rsid w:val="00C63CE0"/>
    <w:rsid w:val="00C64407"/>
    <w:rsid w:val="00C665E4"/>
    <w:rsid w:val="00C66911"/>
    <w:rsid w:val="00C70426"/>
    <w:rsid w:val="00C70499"/>
    <w:rsid w:val="00C70EC3"/>
    <w:rsid w:val="00C70FAC"/>
    <w:rsid w:val="00C71443"/>
    <w:rsid w:val="00C71E80"/>
    <w:rsid w:val="00C734D7"/>
    <w:rsid w:val="00C73F75"/>
    <w:rsid w:val="00C74791"/>
    <w:rsid w:val="00C75F08"/>
    <w:rsid w:val="00C771BE"/>
    <w:rsid w:val="00C77E58"/>
    <w:rsid w:val="00C80FFD"/>
    <w:rsid w:val="00C837A2"/>
    <w:rsid w:val="00C83A00"/>
    <w:rsid w:val="00C848B5"/>
    <w:rsid w:val="00C84E04"/>
    <w:rsid w:val="00C90738"/>
    <w:rsid w:val="00C91561"/>
    <w:rsid w:val="00C9169E"/>
    <w:rsid w:val="00C92431"/>
    <w:rsid w:val="00C928B1"/>
    <w:rsid w:val="00C937FD"/>
    <w:rsid w:val="00C938FA"/>
    <w:rsid w:val="00C93CDA"/>
    <w:rsid w:val="00C9585E"/>
    <w:rsid w:val="00C95F7D"/>
    <w:rsid w:val="00C96CC2"/>
    <w:rsid w:val="00C97B6C"/>
    <w:rsid w:val="00CA201F"/>
    <w:rsid w:val="00CA2D93"/>
    <w:rsid w:val="00CA2DC8"/>
    <w:rsid w:val="00CA3725"/>
    <w:rsid w:val="00CA4D83"/>
    <w:rsid w:val="00CA50D2"/>
    <w:rsid w:val="00CA5612"/>
    <w:rsid w:val="00CA63BA"/>
    <w:rsid w:val="00CA66A4"/>
    <w:rsid w:val="00CA6E8A"/>
    <w:rsid w:val="00CA7E3B"/>
    <w:rsid w:val="00CB080E"/>
    <w:rsid w:val="00CB102B"/>
    <w:rsid w:val="00CB17A7"/>
    <w:rsid w:val="00CB1AA2"/>
    <w:rsid w:val="00CB24C0"/>
    <w:rsid w:val="00CB31B0"/>
    <w:rsid w:val="00CB3D63"/>
    <w:rsid w:val="00CB41C8"/>
    <w:rsid w:val="00CB6001"/>
    <w:rsid w:val="00CB64D5"/>
    <w:rsid w:val="00CB66AD"/>
    <w:rsid w:val="00CB73C6"/>
    <w:rsid w:val="00CB76C1"/>
    <w:rsid w:val="00CC0087"/>
    <w:rsid w:val="00CC03F3"/>
    <w:rsid w:val="00CC1DB0"/>
    <w:rsid w:val="00CC1E84"/>
    <w:rsid w:val="00CC4273"/>
    <w:rsid w:val="00CC5B2C"/>
    <w:rsid w:val="00CC5F31"/>
    <w:rsid w:val="00CC5F33"/>
    <w:rsid w:val="00CC6168"/>
    <w:rsid w:val="00CD01AD"/>
    <w:rsid w:val="00CD0B72"/>
    <w:rsid w:val="00CD0FA4"/>
    <w:rsid w:val="00CD21C1"/>
    <w:rsid w:val="00CD2899"/>
    <w:rsid w:val="00CD2D08"/>
    <w:rsid w:val="00CD3F1D"/>
    <w:rsid w:val="00CD4C05"/>
    <w:rsid w:val="00CD5934"/>
    <w:rsid w:val="00CD674A"/>
    <w:rsid w:val="00CD7880"/>
    <w:rsid w:val="00CE107C"/>
    <w:rsid w:val="00CE17E9"/>
    <w:rsid w:val="00CE250E"/>
    <w:rsid w:val="00CE2940"/>
    <w:rsid w:val="00CE2A36"/>
    <w:rsid w:val="00CE3640"/>
    <w:rsid w:val="00CE3E36"/>
    <w:rsid w:val="00CE4270"/>
    <w:rsid w:val="00CE495A"/>
    <w:rsid w:val="00CE5237"/>
    <w:rsid w:val="00CE569A"/>
    <w:rsid w:val="00CE571D"/>
    <w:rsid w:val="00CE5D93"/>
    <w:rsid w:val="00CE658F"/>
    <w:rsid w:val="00CE7FEC"/>
    <w:rsid w:val="00CF11EE"/>
    <w:rsid w:val="00CF1EE0"/>
    <w:rsid w:val="00CF203A"/>
    <w:rsid w:val="00CF396E"/>
    <w:rsid w:val="00CF411E"/>
    <w:rsid w:val="00CF45BE"/>
    <w:rsid w:val="00CF52FE"/>
    <w:rsid w:val="00CF56D7"/>
    <w:rsid w:val="00CF595C"/>
    <w:rsid w:val="00CF5EA9"/>
    <w:rsid w:val="00CF66DD"/>
    <w:rsid w:val="00CF670D"/>
    <w:rsid w:val="00CF78DC"/>
    <w:rsid w:val="00D014A2"/>
    <w:rsid w:val="00D02EFF"/>
    <w:rsid w:val="00D03120"/>
    <w:rsid w:val="00D048D5"/>
    <w:rsid w:val="00D062B5"/>
    <w:rsid w:val="00D066DF"/>
    <w:rsid w:val="00D0677C"/>
    <w:rsid w:val="00D07729"/>
    <w:rsid w:val="00D11562"/>
    <w:rsid w:val="00D125AF"/>
    <w:rsid w:val="00D128DE"/>
    <w:rsid w:val="00D12EEC"/>
    <w:rsid w:val="00D13661"/>
    <w:rsid w:val="00D1423B"/>
    <w:rsid w:val="00D14480"/>
    <w:rsid w:val="00D146C8"/>
    <w:rsid w:val="00D16A75"/>
    <w:rsid w:val="00D16AF0"/>
    <w:rsid w:val="00D22202"/>
    <w:rsid w:val="00D2481C"/>
    <w:rsid w:val="00D24D5F"/>
    <w:rsid w:val="00D2537C"/>
    <w:rsid w:val="00D25FDC"/>
    <w:rsid w:val="00D26A11"/>
    <w:rsid w:val="00D307A4"/>
    <w:rsid w:val="00D329A9"/>
    <w:rsid w:val="00D32E11"/>
    <w:rsid w:val="00D33C90"/>
    <w:rsid w:val="00D34075"/>
    <w:rsid w:val="00D340F8"/>
    <w:rsid w:val="00D345E7"/>
    <w:rsid w:val="00D346B9"/>
    <w:rsid w:val="00D35344"/>
    <w:rsid w:val="00D354BF"/>
    <w:rsid w:val="00D359C4"/>
    <w:rsid w:val="00D3608A"/>
    <w:rsid w:val="00D37407"/>
    <w:rsid w:val="00D37AFB"/>
    <w:rsid w:val="00D37C66"/>
    <w:rsid w:val="00D40D8D"/>
    <w:rsid w:val="00D41348"/>
    <w:rsid w:val="00D436BB"/>
    <w:rsid w:val="00D441B3"/>
    <w:rsid w:val="00D471FD"/>
    <w:rsid w:val="00D47E28"/>
    <w:rsid w:val="00D50857"/>
    <w:rsid w:val="00D510E6"/>
    <w:rsid w:val="00D51999"/>
    <w:rsid w:val="00D52989"/>
    <w:rsid w:val="00D54515"/>
    <w:rsid w:val="00D549CB"/>
    <w:rsid w:val="00D55858"/>
    <w:rsid w:val="00D559F3"/>
    <w:rsid w:val="00D56B63"/>
    <w:rsid w:val="00D57901"/>
    <w:rsid w:val="00D6021C"/>
    <w:rsid w:val="00D60C04"/>
    <w:rsid w:val="00D61003"/>
    <w:rsid w:val="00D61674"/>
    <w:rsid w:val="00D619CC"/>
    <w:rsid w:val="00D61E71"/>
    <w:rsid w:val="00D62036"/>
    <w:rsid w:val="00D62174"/>
    <w:rsid w:val="00D635BC"/>
    <w:rsid w:val="00D63618"/>
    <w:rsid w:val="00D63D30"/>
    <w:rsid w:val="00D642A2"/>
    <w:rsid w:val="00D648C7"/>
    <w:rsid w:val="00D65FBD"/>
    <w:rsid w:val="00D66E96"/>
    <w:rsid w:val="00D67365"/>
    <w:rsid w:val="00D67E38"/>
    <w:rsid w:val="00D727C6"/>
    <w:rsid w:val="00D72C6A"/>
    <w:rsid w:val="00D74843"/>
    <w:rsid w:val="00D752E8"/>
    <w:rsid w:val="00D76684"/>
    <w:rsid w:val="00D77BE4"/>
    <w:rsid w:val="00D801FA"/>
    <w:rsid w:val="00D80A1C"/>
    <w:rsid w:val="00D81526"/>
    <w:rsid w:val="00D82A22"/>
    <w:rsid w:val="00D82BC0"/>
    <w:rsid w:val="00D832B1"/>
    <w:rsid w:val="00D837AD"/>
    <w:rsid w:val="00D837F4"/>
    <w:rsid w:val="00D8463A"/>
    <w:rsid w:val="00D84A32"/>
    <w:rsid w:val="00D84BC3"/>
    <w:rsid w:val="00D8604C"/>
    <w:rsid w:val="00D86A27"/>
    <w:rsid w:val="00D870D4"/>
    <w:rsid w:val="00D91931"/>
    <w:rsid w:val="00D91A41"/>
    <w:rsid w:val="00D92727"/>
    <w:rsid w:val="00D95CE1"/>
    <w:rsid w:val="00DA056E"/>
    <w:rsid w:val="00DA0B79"/>
    <w:rsid w:val="00DA0BAD"/>
    <w:rsid w:val="00DA3420"/>
    <w:rsid w:val="00DA4A2B"/>
    <w:rsid w:val="00DA7442"/>
    <w:rsid w:val="00DA7D06"/>
    <w:rsid w:val="00DA7E4A"/>
    <w:rsid w:val="00DB01BD"/>
    <w:rsid w:val="00DB079B"/>
    <w:rsid w:val="00DB105D"/>
    <w:rsid w:val="00DB1651"/>
    <w:rsid w:val="00DB189F"/>
    <w:rsid w:val="00DB20DB"/>
    <w:rsid w:val="00DB4085"/>
    <w:rsid w:val="00DB5A3A"/>
    <w:rsid w:val="00DB629A"/>
    <w:rsid w:val="00DB654F"/>
    <w:rsid w:val="00DB7140"/>
    <w:rsid w:val="00DB7221"/>
    <w:rsid w:val="00DB747E"/>
    <w:rsid w:val="00DB7F72"/>
    <w:rsid w:val="00DC017E"/>
    <w:rsid w:val="00DC0CA6"/>
    <w:rsid w:val="00DC1E7E"/>
    <w:rsid w:val="00DC342F"/>
    <w:rsid w:val="00DC4F8E"/>
    <w:rsid w:val="00DC4FC9"/>
    <w:rsid w:val="00DC66EA"/>
    <w:rsid w:val="00DC6D40"/>
    <w:rsid w:val="00DC7989"/>
    <w:rsid w:val="00DD0B93"/>
    <w:rsid w:val="00DD2DDD"/>
    <w:rsid w:val="00DD3413"/>
    <w:rsid w:val="00DD4976"/>
    <w:rsid w:val="00DD53DF"/>
    <w:rsid w:val="00DD5AC9"/>
    <w:rsid w:val="00DD7C33"/>
    <w:rsid w:val="00DD7DF1"/>
    <w:rsid w:val="00DE01C4"/>
    <w:rsid w:val="00DE024B"/>
    <w:rsid w:val="00DE6646"/>
    <w:rsid w:val="00DF2B1D"/>
    <w:rsid w:val="00DF3440"/>
    <w:rsid w:val="00DF393B"/>
    <w:rsid w:val="00DF4F31"/>
    <w:rsid w:val="00DF5DE1"/>
    <w:rsid w:val="00DF5E70"/>
    <w:rsid w:val="00DF6F7B"/>
    <w:rsid w:val="00DF774E"/>
    <w:rsid w:val="00DF7F4B"/>
    <w:rsid w:val="00E0007C"/>
    <w:rsid w:val="00E02146"/>
    <w:rsid w:val="00E02307"/>
    <w:rsid w:val="00E02FE2"/>
    <w:rsid w:val="00E03C28"/>
    <w:rsid w:val="00E03CC8"/>
    <w:rsid w:val="00E048C9"/>
    <w:rsid w:val="00E05D3A"/>
    <w:rsid w:val="00E0771A"/>
    <w:rsid w:val="00E07C02"/>
    <w:rsid w:val="00E11D74"/>
    <w:rsid w:val="00E1216E"/>
    <w:rsid w:val="00E13C23"/>
    <w:rsid w:val="00E151D1"/>
    <w:rsid w:val="00E1542F"/>
    <w:rsid w:val="00E158DC"/>
    <w:rsid w:val="00E162AB"/>
    <w:rsid w:val="00E16C97"/>
    <w:rsid w:val="00E1723B"/>
    <w:rsid w:val="00E209E7"/>
    <w:rsid w:val="00E2254A"/>
    <w:rsid w:val="00E2256F"/>
    <w:rsid w:val="00E22788"/>
    <w:rsid w:val="00E23458"/>
    <w:rsid w:val="00E26EA3"/>
    <w:rsid w:val="00E276DB"/>
    <w:rsid w:val="00E27AE0"/>
    <w:rsid w:val="00E31521"/>
    <w:rsid w:val="00E32607"/>
    <w:rsid w:val="00E33D9A"/>
    <w:rsid w:val="00E343F7"/>
    <w:rsid w:val="00E3511C"/>
    <w:rsid w:val="00E358A7"/>
    <w:rsid w:val="00E36228"/>
    <w:rsid w:val="00E3628A"/>
    <w:rsid w:val="00E36D91"/>
    <w:rsid w:val="00E377BA"/>
    <w:rsid w:val="00E40E5C"/>
    <w:rsid w:val="00E415FC"/>
    <w:rsid w:val="00E4205C"/>
    <w:rsid w:val="00E435E6"/>
    <w:rsid w:val="00E44877"/>
    <w:rsid w:val="00E44D28"/>
    <w:rsid w:val="00E45400"/>
    <w:rsid w:val="00E45BCF"/>
    <w:rsid w:val="00E4647B"/>
    <w:rsid w:val="00E469A9"/>
    <w:rsid w:val="00E47707"/>
    <w:rsid w:val="00E500E2"/>
    <w:rsid w:val="00E50C29"/>
    <w:rsid w:val="00E51164"/>
    <w:rsid w:val="00E51DE7"/>
    <w:rsid w:val="00E539FA"/>
    <w:rsid w:val="00E53C42"/>
    <w:rsid w:val="00E549EA"/>
    <w:rsid w:val="00E554E0"/>
    <w:rsid w:val="00E5551F"/>
    <w:rsid w:val="00E56DE3"/>
    <w:rsid w:val="00E57546"/>
    <w:rsid w:val="00E57E49"/>
    <w:rsid w:val="00E60F2D"/>
    <w:rsid w:val="00E61BE7"/>
    <w:rsid w:val="00E6239E"/>
    <w:rsid w:val="00E639C7"/>
    <w:rsid w:val="00E64A1D"/>
    <w:rsid w:val="00E65B89"/>
    <w:rsid w:val="00E66110"/>
    <w:rsid w:val="00E6725A"/>
    <w:rsid w:val="00E67394"/>
    <w:rsid w:val="00E67482"/>
    <w:rsid w:val="00E677AC"/>
    <w:rsid w:val="00E678F0"/>
    <w:rsid w:val="00E702E5"/>
    <w:rsid w:val="00E70376"/>
    <w:rsid w:val="00E72B46"/>
    <w:rsid w:val="00E72B50"/>
    <w:rsid w:val="00E733B6"/>
    <w:rsid w:val="00E741ED"/>
    <w:rsid w:val="00E7508E"/>
    <w:rsid w:val="00E76174"/>
    <w:rsid w:val="00E7685C"/>
    <w:rsid w:val="00E770AF"/>
    <w:rsid w:val="00E7759B"/>
    <w:rsid w:val="00E77DFD"/>
    <w:rsid w:val="00E80BAA"/>
    <w:rsid w:val="00E81B83"/>
    <w:rsid w:val="00E81CEA"/>
    <w:rsid w:val="00E8240C"/>
    <w:rsid w:val="00E824C1"/>
    <w:rsid w:val="00E82904"/>
    <w:rsid w:val="00E83468"/>
    <w:rsid w:val="00E83B24"/>
    <w:rsid w:val="00E844A9"/>
    <w:rsid w:val="00E8582A"/>
    <w:rsid w:val="00E86D0B"/>
    <w:rsid w:val="00E874D7"/>
    <w:rsid w:val="00E9019F"/>
    <w:rsid w:val="00E91FA5"/>
    <w:rsid w:val="00E92327"/>
    <w:rsid w:val="00E93026"/>
    <w:rsid w:val="00E9386D"/>
    <w:rsid w:val="00E94414"/>
    <w:rsid w:val="00E94F45"/>
    <w:rsid w:val="00E960DA"/>
    <w:rsid w:val="00E97C51"/>
    <w:rsid w:val="00EA0088"/>
    <w:rsid w:val="00EA0E12"/>
    <w:rsid w:val="00EA19A7"/>
    <w:rsid w:val="00EA2375"/>
    <w:rsid w:val="00EA2654"/>
    <w:rsid w:val="00EA2E56"/>
    <w:rsid w:val="00EA51E7"/>
    <w:rsid w:val="00EA5383"/>
    <w:rsid w:val="00EA562A"/>
    <w:rsid w:val="00EA58DA"/>
    <w:rsid w:val="00EA595F"/>
    <w:rsid w:val="00EA6B20"/>
    <w:rsid w:val="00EA7E94"/>
    <w:rsid w:val="00EB06EC"/>
    <w:rsid w:val="00EB0D10"/>
    <w:rsid w:val="00EB20C6"/>
    <w:rsid w:val="00EB37CD"/>
    <w:rsid w:val="00EB48C6"/>
    <w:rsid w:val="00EB4E69"/>
    <w:rsid w:val="00EB4FD2"/>
    <w:rsid w:val="00EB5343"/>
    <w:rsid w:val="00EB536C"/>
    <w:rsid w:val="00EB54D5"/>
    <w:rsid w:val="00EB5741"/>
    <w:rsid w:val="00EB59C6"/>
    <w:rsid w:val="00EB6198"/>
    <w:rsid w:val="00EB7195"/>
    <w:rsid w:val="00EB78EC"/>
    <w:rsid w:val="00EC0B6C"/>
    <w:rsid w:val="00EC1F13"/>
    <w:rsid w:val="00EC256E"/>
    <w:rsid w:val="00EC2940"/>
    <w:rsid w:val="00EC2ED3"/>
    <w:rsid w:val="00EC4054"/>
    <w:rsid w:val="00EC4409"/>
    <w:rsid w:val="00EC4844"/>
    <w:rsid w:val="00EC6903"/>
    <w:rsid w:val="00EC7F5B"/>
    <w:rsid w:val="00ED062C"/>
    <w:rsid w:val="00ED136C"/>
    <w:rsid w:val="00ED28C3"/>
    <w:rsid w:val="00ED2E1C"/>
    <w:rsid w:val="00ED31C2"/>
    <w:rsid w:val="00ED3DCD"/>
    <w:rsid w:val="00ED4AC1"/>
    <w:rsid w:val="00ED5C94"/>
    <w:rsid w:val="00ED65AB"/>
    <w:rsid w:val="00ED7196"/>
    <w:rsid w:val="00ED7D05"/>
    <w:rsid w:val="00EE0264"/>
    <w:rsid w:val="00EE06A5"/>
    <w:rsid w:val="00EE0C85"/>
    <w:rsid w:val="00EE1337"/>
    <w:rsid w:val="00EE2CAC"/>
    <w:rsid w:val="00EE34E0"/>
    <w:rsid w:val="00EE381B"/>
    <w:rsid w:val="00EE466A"/>
    <w:rsid w:val="00EE48B8"/>
    <w:rsid w:val="00EE4D58"/>
    <w:rsid w:val="00EE526F"/>
    <w:rsid w:val="00EE57B1"/>
    <w:rsid w:val="00EE67C5"/>
    <w:rsid w:val="00EE68EE"/>
    <w:rsid w:val="00EE6A81"/>
    <w:rsid w:val="00EE71B2"/>
    <w:rsid w:val="00EF099B"/>
    <w:rsid w:val="00EF0BB6"/>
    <w:rsid w:val="00EF4805"/>
    <w:rsid w:val="00EF4CC9"/>
    <w:rsid w:val="00EF4DDF"/>
    <w:rsid w:val="00EF630B"/>
    <w:rsid w:val="00EF6C97"/>
    <w:rsid w:val="00EF7D94"/>
    <w:rsid w:val="00F02594"/>
    <w:rsid w:val="00F049DC"/>
    <w:rsid w:val="00F05000"/>
    <w:rsid w:val="00F059A0"/>
    <w:rsid w:val="00F05A91"/>
    <w:rsid w:val="00F074EF"/>
    <w:rsid w:val="00F07BAD"/>
    <w:rsid w:val="00F10469"/>
    <w:rsid w:val="00F114CE"/>
    <w:rsid w:val="00F11B4E"/>
    <w:rsid w:val="00F12168"/>
    <w:rsid w:val="00F12FBB"/>
    <w:rsid w:val="00F13636"/>
    <w:rsid w:val="00F14582"/>
    <w:rsid w:val="00F155EA"/>
    <w:rsid w:val="00F15E73"/>
    <w:rsid w:val="00F17004"/>
    <w:rsid w:val="00F20192"/>
    <w:rsid w:val="00F20504"/>
    <w:rsid w:val="00F2076D"/>
    <w:rsid w:val="00F20A78"/>
    <w:rsid w:val="00F2166B"/>
    <w:rsid w:val="00F2294D"/>
    <w:rsid w:val="00F22C38"/>
    <w:rsid w:val="00F2423F"/>
    <w:rsid w:val="00F2488E"/>
    <w:rsid w:val="00F24911"/>
    <w:rsid w:val="00F2550B"/>
    <w:rsid w:val="00F26671"/>
    <w:rsid w:val="00F27E28"/>
    <w:rsid w:val="00F31AA4"/>
    <w:rsid w:val="00F32278"/>
    <w:rsid w:val="00F33BE7"/>
    <w:rsid w:val="00F34725"/>
    <w:rsid w:val="00F348EA"/>
    <w:rsid w:val="00F349FA"/>
    <w:rsid w:val="00F3597E"/>
    <w:rsid w:val="00F36E5B"/>
    <w:rsid w:val="00F37558"/>
    <w:rsid w:val="00F413EE"/>
    <w:rsid w:val="00F41917"/>
    <w:rsid w:val="00F41A5B"/>
    <w:rsid w:val="00F41BF5"/>
    <w:rsid w:val="00F43499"/>
    <w:rsid w:val="00F43801"/>
    <w:rsid w:val="00F452E4"/>
    <w:rsid w:val="00F454DB"/>
    <w:rsid w:val="00F45666"/>
    <w:rsid w:val="00F4599D"/>
    <w:rsid w:val="00F46384"/>
    <w:rsid w:val="00F46518"/>
    <w:rsid w:val="00F46E93"/>
    <w:rsid w:val="00F47A08"/>
    <w:rsid w:val="00F51525"/>
    <w:rsid w:val="00F5250E"/>
    <w:rsid w:val="00F52DFF"/>
    <w:rsid w:val="00F534DF"/>
    <w:rsid w:val="00F538D5"/>
    <w:rsid w:val="00F5566C"/>
    <w:rsid w:val="00F55D27"/>
    <w:rsid w:val="00F57177"/>
    <w:rsid w:val="00F57F99"/>
    <w:rsid w:val="00F608F8"/>
    <w:rsid w:val="00F61078"/>
    <w:rsid w:val="00F61085"/>
    <w:rsid w:val="00F61CEB"/>
    <w:rsid w:val="00F622AB"/>
    <w:rsid w:val="00F624B6"/>
    <w:rsid w:val="00F62A19"/>
    <w:rsid w:val="00F62BF0"/>
    <w:rsid w:val="00F64D1D"/>
    <w:rsid w:val="00F65549"/>
    <w:rsid w:val="00F665C6"/>
    <w:rsid w:val="00F66A55"/>
    <w:rsid w:val="00F67A2F"/>
    <w:rsid w:val="00F67E7B"/>
    <w:rsid w:val="00F7020A"/>
    <w:rsid w:val="00F70F52"/>
    <w:rsid w:val="00F71B65"/>
    <w:rsid w:val="00F71F98"/>
    <w:rsid w:val="00F720BA"/>
    <w:rsid w:val="00F73052"/>
    <w:rsid w:val="00F73C9A"/>
    <w:rsid w:val="00F75177"/>
    <w:rsid w:val="00F75B5D"/>
    <w:rsid w:val="00F75F83"/>
    <w:rsid w:val="00F7624C"/>
    <w:rsid w:val="00F765D6"/>
    <w:rsid w:val="00F766DD"/>
    <w:rsid w:val="00F77DC6"/>
    <w:rsid w:val="00F823B3"/>
    <w:rsid w:val="00F82B6B"/>
    <w:rsid w:val="00F83085"/>
    <w:rsid w:val="00F83B3E"/>
    <w:rsid w:val="00F83DE9"/>
    <w:rsid w:val="00F840B6"/>
    <w:rsid w:val="00F8459C"/>
    <w:rsid w:val="00F84D91"/>
    <w:rsid w:val="00F85458"/>
    <w:rsid w:val="00F85E81"/>
    <w:rsid w:val="00F863D6"/>
    <w:rsid w:val="00F866DF"/>
    <w:rsid w:val="00F873F2"/>
    <w:rsid w:val="00F908E0"/>
    <w:rsid w:val="00F90C65"/>
    <w:rsid w:val="00F91C11"/>
    <w:rsid w:val="00F91FC7"/>
    <w:rsid w:val="00F92E28"/>
    <w:rsid w:val="00F94DD6"/>
    <w:rsid w:val="00F9513A"/>
    <w:rsid w:val="00F957A8"/>
    <w:rsid w:val="00F964A5"/>
    <w:rsid w:val="00F96590"/>
    <w:rsid w:val="00F96704"/>
    <w:rsid w:val="00F96787"/>
    <w:rsid w:val="00F96A39"/>
    <w:rsid w:val="00FA00B2"/>
    <w:rsid w:val="00FA16ED"/>
    <w:rsid w:val="00FA17DC"/>
    <w:rsid w:val="00FA1EB7"/>
    <w:rsid w:val="00FA3C8D"/>
    <w:rsid w:val="00FA41C6"/>
    <w:rsid w:val="00FA6139"/>
    <w:rsid w:val="00FA6EC5"/>
    <w:rsid w:val="00FA7EE4"/>
    <w:rsid w:val="00FB0A0D"/>
    <w:rsid w:val="00FB0F05"/>
    <w:rsid w:val="00FB12B7"/>
    <w:rsid w:val="00FB28C1"/>
    <w:rsid w:val="00FB3177"/>
    <w:rsid w:val="00FB3FC6"/>
    <w:rsid w:val="00FB523A"/>
    <w:rsid w:val="00FB5B8B"/>
    <w:rsid w:val="00FB759B"/>
    <w:rsid w:val="00FC17EB"/>
    <w:rsid w:val="00FC35AC"/>
    <w:rsid w:val="00FC4B49"/>
    <w:rsid w:val="00FC5E28"/>
    <w:rsid w:val="00FC6520"/>
    <w:rsid w:val="00FC7032"/>
    <w:rsid w:val="00FC7B7F"/>
    <w:rsid w:val="00FD152D"/>
    <w:rsid w:val="00FD1D3F"/>
    <w:rsid w:val="00FD383F"/>
    <w:rsid w:val="00FD3A7B"/>
    <w:rsid w:val="00FD3D9F"/>
    <w:rsid w:val="00FD4EA3"/>
    <w:rsid w:val="00FD55C1"/>
    <w:rsid w:val="00FD5841"/>
    <w:rsid w:val="00FE0025"/>
    <w:rsid w:val="00FE0DBC"/>
    <w:rsid w:val="00FE1ADD"/>
    <w:rsid w:val="00FE1B0E"/>
    <w:rsid w:val="00FE1F77"/>
    <w:rsid w:val="00FE3414"/>
    <w:rsid w:val="00FE39DF"/>
    <w:rsid w:val="00FE6547"/>
    <w:rsid w:val="00FE6A0F"/>
    <w:rsid w:val="00FE6A57"/>
    <w:rsid w:val="00FE75BB"/>
    <w:rsid w:val="00FF1160"/>
    <w:rsid w:val="00FF15DA"/>
    <w:rsid w:val="00FF471E"/>
    <w:rsid w:val="00FF5311"/>
    <w:rsid w:val="00FF55B7"/>
    <w:rsid w:val="00FF6E6A"/>
    <w:rsid w:val="00FF7A2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6BD1074-3E67-441A-9BEB-B09D1597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E0"/>
  </w:style>
  <w:style w:type="paragraph" w:styleId="Ttulo1">
    <w:name w:val="heading 1"/>
    <w:basedOn w:val="Normal"/>
    <w:next w:val="Normal"/>
    <w:link w:val="Ttulo1Car"/>
    <w:uiPriority w:val="1"/>
    <w:qFormat/>
    <w:rsid w:val="009A0157"/>
    <w:pPr>
      <w:jc w:val="center"/>
      <w:outlineLvl w:val="0"/>
    </w:pPr>
    <w:rPr>
      <w:rFonts w:ascii="ITC Avant Garde" w:hAnsi="ITC Avant Garde"/>
      <w:b/>
      <w:smallCaps/>
      <w:sz w:val="24"/>
      <w:szCs w:val="24"/>
    </w:rPr>
  </w:style>
  <w:style w:type="paragraph" w:styleId="Ttulo2">
    <w:name w:val="heading 2"/>
    <w:basedOn w:val="Normal"/>
    <w:next w:val="Normal"/>
    <w:link w:val="Ttulo2Car"/>
    <w:uiPriority w:val="9"/>
    <w:unhideWhenUsed/>
    <w:qFormat/>
    <w:rsid w:val="005C3FAD"/>
    <w:pPr>
      <w:autoSpaceDE w:val="0"/>
      <w:autoSpaceDN w:val="0"/>
      <w:adjustRightInd w:val="0"/>
      <w:spacing w:after="0" w:line="240" w:lineRule="auto"/>
      <w:outlineLvl w:val="1"/>
    </w:pPr>
    <w:rPr>
      <w:rFonts w:ascii="ITC Avant Garde" w:hAnsi="ITC Avant Garde" w:cs="Arial"/>
      <w:b/>
      <w:sz w:val="24"/>
      <w:szCs w:val="24"/>
    </w:rPr>
  </w:style>
  <w:style w:type="paragraph" w:styleId="Ttulo3">
    <w:name w:val="heading 3"/>
    <w:basedOn w:val="Normal"/>
    <w:link w:val="Ttulo3Car"/>
    <w:uiPriority w:val="1"/>
    <w:qFormat/>
    <w:rsid w:val="00B308B1"/>
    <w:pPr>
      <w:widowControl w:val="0"/>
      <w:spacing w:after="0" w:line="240" w:lineRule="auto"/>
      <w:outlineLvl w:val="2"/>
    </w:pPr>
    <w:rPr>
      <w:rFonts w:ascii="Arial" w:eastAsia="Arial" w:hAnsi="Arial"/>
      <w:sz w:val="78"/>
      <w:szCs w:val="78"/>
      <w:lang w:val="en-US"/>
    </w:rPr>
  </w:style>
  <w:style w:type="paragraph" w:styleId="Ttulo4">
    <w:name w:val="heading 4"/>
    <w:basedOn w:val="Normal"/>
    <w:link w:val="Ttulo4Car"/>
    <w:uiPriority w:val="1"/>
    <w:qFormat/>
    <w:rsid w:val="00B308B1"/>
    <w:pPr>
      <w:widowControl w:val="0"/>
      <w:spacing w:after="0" w:line="240" w:lineRule="auto"/>
      <w:outlineLvl w:val="3"/>
    </w:pPr>
    <w:rPr>
      <w:rFonts w:ascii="Arial" w:eastAsia="Arial" w:hAnsi="Arial"/>
      <w:sz w:val="55"/>
      <w:szCs w:val="55"/>
      <w:lang w:val="en-US"/>
    </w:rPr>
  </w:style>
  <w:style w:type="paragraph" w:styleId="Ttulo5">
    <w:name w:val="heading 5"/>
    <w:basedOn w:val="Normal"/>
    <w:link w:val="Ttulo5Car"/>
    <w:uiPriority w:val="1"/>
    <w:qFormat/>
    <w:rsid w:val="00B308B1"/>
    <w:pPr>
      <w:widowControl w:val="0"/>
      <w:spacing w:after="0" w:line="240" w:lineRule="auto"/>
      <w:ind w:left="108"/>
      <w:outlineLvl w:val="4"/>
    </w:pPr>
    <w:rPr>
      <w:rFonts w:ascii="Arial" w:eastAsia="Arial" w:hAnsi="Arial"/>
      <w:sz w:val="54"/>
      <w:szCs w:val="54"/>
      <w:lang w:val="en-US"/>
    </w:rPr>
  </w:style>
  <w:style w:type="paragraph" w:styleId="Ttulo6">
    <w:name w:val="heading 6"/>
    <w:basedOn w:val="Normal"/>
    <w:link w:val="Ttulo6Car"/>
    <w:uiPriority w:val="1"/>
    <w:qFormat/>
    <w:rsid w:val="00B308B1"/>
    <w:pPr>
      <w:widowControl w:val="0"/>
      <w:spacing w:after="0" w:line="240" w:lineRule="auto"/>
      <w:outlineLvl w:val="5"/>
    </w:pPr>
    <w:rPr>
      <w:rFonts w:ascii="Times New Roman" w:eastAsia="Times New Roman" w:hAnsi="Times New Roman"/>
      <w:sz w:val="53"/>
      <w:szCs w:val="53"/>
      <w:lang w:val="en-US"/>
    </w:rPr>
  </w:style>
  <w:style w:type="paragraph" w:styleId="Ttulo7">
    <w:name w:val="heading 7"/>
    <w:basedOn w:val="Normal"/>
    <w:link w:val="Ttulo7Car"/>
    <w:uiPriority w:val="1"/>
    <w:qFormat/>
    <w:rsid w:val="00B308B1"/>
    <w:pPr>
      <w:widowControl w:val="0"/>
      <w:spacing w:before="30" w:after="0" w:line="240" w:lineRule="auto"/>
      <w:outlineLvl w:val="6"/>
    </w:pPr>
    <w:rPr>
      <w:rFonts w:ascii="Arial" w:eastAsia="Arial" w:hAnsi="Arial"/>
      <w:b/>
      <w:bCs/>
      <w:sz w:val="50"/>
      <w:szCs w:val="50"/>
      <w:lang w:val="en-US"/>
    </w:rPr>
  </w:style>
  <w:style w:type="paragraph" w:styleId="Ttulo8">
    <w:name w:val="heading 8"/>
    <w:basedOn w:val="Normal"/>
    <w:link w:val="Ttulo8Car"/>
    <w:uiPriority w:val="1"/>
    <w:qFormat/>
    <w:rsid w:val="00B308B1"/>
    <w:pPr>
      <w:widowControl w:val="0"/>
      <w:spacing w:before="52" w:after="0" w:line="240" w:lineRule="auto"/>
      <w:outlineLvl w:val="7"/>
    </w:pPr>
    <w:rPr>
      <w:rFonts w:ascii="Courier New" w:eastAsia="Courier New" w:hAnsi="Courier New"/>
      <w:b/>
      <w:bCs/>
      <w:sz w:val="46"/>
      <w:szCs w:val="46"/>
      <w:lang w:val="en-US"/>
    </w:rPr>
  </w:style>
  <w:style w:type="paragraph" w:styleId="Ttulo9">
    <w:name w:val="heading 9"/>
    <w:basedOn w:val="Normal"/>
    <w:link w:val="Ttulo9Car"/>
    <w:uiPriority w:val="1"/>
    <w:qFormat/>
    <w:rsid w:val="00B308B1"/>
    <w:pPr>
      <w:widowControl w:val="0"/>
      <w:spacing w:after="0" w:line="240" w:lineRule="auto"/>
      <w:outlineLvl w:val="8"/>
    </w:pPr>
    <w:rPr>
      <w:rFonts w:ascii="Times New Roman" w:eastAsia="Times New Roman" w:hAnsi="Times New Roman"/>
      <w:sz w:val="46"/>
      <w:szCs w:val="4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A0157"/>
    <w:rPr>
      <w:rFonts w:ascii="ITC Avant Garde" w:hAnsi="ITC Avant Garde"/>
      <w:b/>
      <w:smallCaps/>
      <w:sz w:val="24"/>
      <w:szCs w:val="24"/>
    </w:rPr>
  </w:style>
  <w:style w:type="character" w:customStyle="1" w:styleId="Ttulo2Car">
    <w:name w:val="Título 2 Car"/>
    <w:basedOn w:val="Fuentedeprrafopredeter"/>
    <w:link w:val="Ttulo2"/>
    <w:uiPriority w:val="9"/>
    <w:rsid w:val="005C3FAD"/>
    <w:rPr>
      <w:rFonts w:ascii="ITC Avant Garde" w:hAnsi="ITC Avant Garde" w:cs="Arial"/>
      <w:b/>
      <w:sz w:val="24"/>
      <w:szCs w:val="24"/>
    </w:rPr>
  </w:style>
  <w:style w:type="character" w:customStyle="1" w:styleId="Ttulo3Car">
    <w:name w:val="Título 3 Car"/>
    <w:basedOn w:val="Fuentedeprrafopredeter"/>
    <w:link w:val="Ttulo3"/>
    <w:uiPriority w:val="1"/>
    <w:rsid w:val="00B308B1"/>
    <w:rPr>
      <w:rFonts w:ascii="Arial" w:eastAsia="Arial" w:hAnsi="Arial"/>
      <w:sz w:val="78"/>
      <w:szCs w:val="78"/>
      <w:lang w:val="en-US"/>
    </w:rPr>
  </w:style>
  <w:style w:type="character" w:customStyle="1" w:styleId="Ttulo4Car">
    <w:name w:val="Título 4 Car"/>
    <w:basedOn w:val="Fuentedeprrafopredeter"/>
    <w:link w:val="Ttulo4"/>
    <w:uiPriority w:val="1"/>
    <w:rsid w:val="00B308B1"/>
    <w:rPr>
      <w:rFonts w:ascii="Arial" w:eastAsia="Arial" w:hAnsi="Arial"/>
      <w:sz w:val="55"/>
      <w:szCs w:val="55"/>
      <w:lang w:val="en-US"/>
    </w:rPr>
  </w:style>
  <w:style w:type="character" w:customStyle="1" w:styleId="Ttulo5Car">
    <w:name w:val="Título 5 Car"/>
    <w:basedOn w:val="Fuentedeprrafopredeter"/>
    <w:link w:val="Ttulo5"/>
    <w:uiPriority w:val="1"/>
    <w:rsid w:val="00B308B1"/>
    <w:rPr>
      <w:rFonts w:ascii="Arial" w:eastAsia="Arial" w:hAnsi="Arial"/>
      <w:sz w:val="54"/>
      <w:szCs w:val="54"/>
      <w:lang w:val="en-US"/>
    </w:rPr>
  </w:style>
  <w:style w:type="character" w:customStyle="1" w:styleId="Ttulo6Car">
    <w:name w:val="Título 6 Car"/>
    <w:basedOn w:val="Fuentedeprrafopredeter"/>
    <w:link w:val="Ttulo6"/>
    <w:uiPriority w:val="1"/>
    <w:rsid w:val="00B308B1"/>
    <w:rPr>
      <w:rFonts w:ascii="Times New Roman" w:eastAsia="Times New Roman" w:hAnsi="Times New Roman"/>
      <w:sz w:val="53"/>
      <w:szCs w:val="53"/>
      <w:lang w:val="en-US"/>
    </w:rPr>
  </w:style>
  <w:style w:type="character" w:customStyle="1" w:styleId="Ttulo7Car">
    <w:name w:val="Título 7 Car"/>
    <w:basedOn w:val="Fuentedeprrafopredeter"/>
    <w:link w:val="Ttulo7"/>
    <w:uiPriority w:val="1"/>
    <w:rsid w:val="00B308B1"/>
    <w:rPr>
      <w:rFonts w:ascii="Arial" w:eastAsia="Arial" w:hAnsi="Arial"/>
      <w:b/>
      <w:bCs/>
      <w:sz w:val="50"/>
      <w:szCs w:val="50"/>
      <w:lang w:val="en-US"/>
    </w:rPr>
  </w:style>
  <w:style w:type="character" w:customStyle="1" w:styleId="Ttulo8Car">
    <w:name w:val="Título 8 Car"/>
    <w:basedOn w:val="Fuentedeprrafopredeter"/>
    <w:link w:val="Ttulo8"/>
    <w:uiPriority w:val="1"/>
    <w:rsid w:val="00B308B1"/>
    <w:rPr>
      <w:rFonts w:ascii="Courier New" w:eastAsia="Courier New" w:hAnsi="Courier New"/>
      <w:b/>
      <w:bCs/>
      <w:sz w:val="46"/>
      <w:szCs w:val="46"/>
      <w:lang w:val="en-US"/>
    </w:rPr>
  </w:style>
  <w:style w:type="character" w:customStyle="1" w:styleId="Ttulo9Car">
    <w:name w:val="Título 9 Car"/>
    <w:basedOn w:val="Fuentedeprrafopredeter"/>
    <w:link w:val="Ttulo9"/>
    <w:uiPriority w:val="1"/>
    <w:rsid w:val="00B308B1"/>
    <w:rPr>
      <w:rFonts w:ascii="Times New Roman" w:eastAsia="Times New Roman" w:hAnsi="Times New Roman"/>
      <w:sz w:val="46"/>
      <w:szCs w:val="46"/>
      <w:lang w:val="en-US"/>
    </w:rPr>
  </w:style>
  <w:style w:type="table" w:styleId="Tablaconcuadrcula">
    <w:name w:val="Table Grid"/>
    <w:basedOn w:val="Tablanormal"/>
    <w:uiPriority w:val="39"/>
    <w:rsid w:val="009A0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A0157"/>
    <w:rPr>
      <w:sz w:val="16"/>
      <w:szCs w:val="16"/>
    </w:rPr>
  </w:style>
  <w:style w:type="paragraph" w:styleId="Textocomentario">
    <w:name w:val="annotation text"/>
    <w:basedOn w:val="Normal"/>
    <w:link w:val="TextocomentarioCar"/>
    <w:uiPriority w:val="99"/>
    <w:unhideWhenUsed/>
    <w:rsid w:val="009A0157"/>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9A0157"/>
    <w:rPr>
      <w:sz w:val="20"/>
      <w:szCs w:val="20"/>
    </w:rPr>
  </w:style>
  <w:style w:type="paragraph" w:styleId="Textodeglobo">
    <w:name w:val="Balloon Text"/>
    <w:basedOn w:val="Normal"/>
    <w:link w:val="TextodegloboCar"/>
    <w:uiPriority w:val="99"/>
    <w:semiHidden/>
    <w:unhideWhenUsed/>
    <w:rsid w:val="009A01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157"/>
    <w:rPr>
      <w:rFonts w:ascii="Segoe UI" w:hAnsi="Segoe UI" w:cs="Segoe UI"/>
      <w:sz w:val="18"/>
      <w:szCs w:val="18"/>
    </w:rPr>
  </w:style>
  <w:style w:type="paragraph" w:styleId="Prrafodelista">
    <w:name w:val="List Paragraph"/>
    <w:basedOn w:val="Normal"/>
    <w:link w:val="PrrafodelistaCar"/>
    <w:uiPriority w:val="1"/>
    <w:qFormat/>
    <w:rsid w:val="00F75177"/>
    <w:pPr>
      <w:ind w:left="720"/>
      <w:contextualSpacing/>
    </w:p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F41A5B"/>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41A5B"/>
    <w:rPr>
      <w:sz w:val="20"/>
      <w:szCs w:val="20"/>
    </w:rPr>
  </w:style>
  <w:style w:type="character" w:styleId="Refdenotaalpie">
    <w:name w:val="footnote reference"/>
    <w:aliases w:val="Ref,de nota al pie,Ref. de nota al pie 2,Footnotes refss,Texto de nota al pie,Appel note de bas de page,referencia nota al pie,BVI fnr,Footnote number,f,4_G,16 Point,Superscript 6 Point,Texto nota al pie,Footnote Reference Char3,o,fr"/>
    <w:basedOn w:val="Fuentedeprrafopredeter"/>
    <w:uiPriority w:val="99"/>
    <w:unhideWhenUsed/>
    <w:qFormat/>
    <w:rsid w:val="00F41A5B"/>
    <w:rPr>
      <w:vertAlign w:val="superscript"/>
    </w:rPr>
  </w:style>
  <w:style w:type="paragraph" w:styleId="Asuntodelcomentario">
    <w:name w:val="annotation subject"/>
    <w:basedOn w:val="Textocomentario"/>
    <w:next w:val="Textocomentario"/>
    <w:link w:val="AsuntodelcomentarioCar"/>
    <w:uiPriority w:val="99"/>
    <w:semiHidden/>
    <w:unhideWhenUsed/>
    <w:rsid w:val="00960D39"/>
    <w:pPr>
      <w:spacing w:after="160"/>
    </w:pPr>
    <w:rPr>
      <w:b/>
      <w:bCs/>
    </w:rPr>
  </w:style>
  <w:style w:type="character" w:customStyle="1" w:styleId="AsuntodelcomentarioCar">
    <w:name w:val="Asunto del comentario Car"/>
    <w:basedOn w:val="TextocomentarioCar"/>
    <w:link w:val="Asuntodelcomentario"/>
    <w:uiPriority w:val="99"/>
    <w:semiHidden/>
    <w:rsid w:val="00960D39"/>
    <w:rPr>
      <w:b/>
      <w:bCs/>
      <w:sz w:val="20"/>
      <w:szCs w:val="20"/>
    </w:rPr>
  </w:style>
  <w:style w:type="paragraph" w:styleId="Sinespaciado">
    <w:name w:val="No Spacing"/>
    <w:uiPriority w:val="1"/>
    <w:qFormat/>
    <w:rsid w:val="00BF25C4"/>
    <w:pPr>
      <w:spacing w:after="0" w:line="240" w:lineRule="auto"/>
    </w:pPr>
  </w:style>
  <w:style w:type="character" w:styleId="Hipervnculo">
    <w:name w:val="Hyperlink"/>
    <w:basedOn w:val="Fuentedeprrafopredeter"/>
    <w:uiPriority w:val="99"/>
    <w:unhideWhenUsed/>
    <w:rsid w:val="00B46055"/>
    <w:rPr>
      <w:color w:val="0563C1" w:themeColor="hyperlink"/>
      <w:u w:val="single"/>
    </w:rPr>
  </w:style>
  <w:style w:type="character" w:customStyle="1" w:styleId="red">
    <w:name w:val="red"/>
    <w:basedOn w:val="Fuentedeprrafopredeter"/>
    <w:rsid w:val="0095756C"/>
  </w:style>
  <w:style w:type="character" w:customStyle="1" w:styleId="apple-converted-space">
    <w:name w:val="apple-converted-space"/>
    <w:basedOn w:val="Fuentedeprrafopredeter"/>
    <w:rsid w:val="0095756C"/>
  </w:style>
  <w:style w:type="paragraph" w:styleId="Encabezado">
    <w:name w:val="header"/>
    <w:basedOn w:val="Normal"/>
    <w:link w:val="EncabezadoCar"/>
    <w:uiPriority w:val="99"/>
    <w:unhideWhenUsed/>
    <w:rsid w:val="00C352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26C"/>
  </w:style>
  <w:style w:type="paragraph" w:styleId="Piedepgina">
    <w:name w:val="footer"/>
    <w:basedOn w:val="Normal"/>
    <w:link w:val="PiedepginaCar"/>
    <w:uiPriority w:val="99"/>
    <w:unhideWhenUsed/>
    <w:rsid w:val="00C352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526C"/>
  </w:style>
  <w:style w:type="paragraph" w:styleId="Textoindependiente">
    <w:name w:val="Body Text"/>
    <w:basedOn w:val="Normal"/>
    <w:link w:val="TextoindependienteCar"/>
    <w:uiPriority w:val="1"/>
    <w:qFormat/>
    <w:rsid w:val="00232C99"/>
    <w:pPr>
      <w:widowControl w:val="0"/>
      <w:spacing w:after="0" w:line="240" w:lineRule="auto"/>
      <w:ind w:left="11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232C99"/>
    <w:rPr>
      <w:rFonts w:ascii="Arial" w:eastAsia="Arial" w:hAnsi="Arial"/>
      <w:lang w:val="en-US"/>
    </w:rPr>
  </w:style>
  <w:style w:type="table" w:customStyle="1" w:styleId="TableNormal">
    <w:name w:val="Table Normal"/>
    <w:uiPriority w:val="2"/>
    <w:semiHidden/>
    <w:unhideWhenUsed/>
    <w:qFormat/>
    <w:rsid w:val="00B308B1"/>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B308B1"/>
    <w:pPr>
      <w:widowControl w:val="0"/>
      <w:spacing w:before="47" w:after="0" w:line="240" w:lineRule="auto"/>
    </w:pPr>
    <w:rPr>
      <w:rFonts w:ascii="Arial" w:eastAsia="Arial" w:hAnsi="Arial"/>
      <w:b/>
      <w:bCs/>
      <w:sz w:val="38"/>
      <w:szCs w:val="38"/>
      <w:lang w:val="en-US"/>
    </w:rPr>
  </w:style>
  <w:style w:type="paragraph" w:styleId="TDC2">
    <w:name w:val="toc 2"/>
    <w:basedOn w:val="Normal"/>
    <w:uiPriority w:val="1"/>
    <w:qFormat/>
    <w:rsid w:val="00B308B1"/>
    <w:pPr>
      <w:widowControl w:val="0"/>
      <w:spacing w:before="98" w:after="0" w:line="240" w:lineRule="auto"/>
    </w:pPr>
    <w:rPr>
      <w:rFonts w:ascii="Arial" w:eastAsia="Arial" w:hAnsi="Arial"/>
      <w:lang w:val="en-US"/>
    </w:rPr>
  </w:style>
  <w:style w:type="paragraph" w:styleId="TDC3">
    <w:name w:val="toc 3"/>
    <w:basedOn w:val="Normal"/>
    <w:uiPriority w:val="1"/>
    <w:qFormat/>
    <w:rsid w:val="00B308B1"/>
    <w:pPr>
      <w:widowControl w:val="0"/>
      <w:spacing w:after="0" w:line="240" w:lineRule="auto"/>
    </w:pPr>
    <w:rPr>
      <w:rFonts w:ascii="Arial" w:eastAsia="Arial" w:hAnsi="Arial"/>
      <w:b/>
      <w:bCs/>
      <w:i/>
      <w:lang w:val="en-US"/>
    </w:rPr>
  </w:style>
  <w:style w:type="paragraph" w:styleId="TDC4">
    <w:name w:val="toc 4"/>
    <w:basedOn w:val="Normal"/>
    <w:uiPriority w:val="1"/>
    <w:qFormat/>
    <w:rsid w:val="00B308B1"/>
    <w:pPr>
      <w:widowControl w:val="0"/>
      <w:spacing w:after="0" w:line="240" w:lineRule="auto"/>
      <w:ind w:left="571" w:hanging="456"/>
    </w:pPr>
    <w:rPr>
      <w:rFonts w:ascii="Arial" w:eastAsia="Arial" w:hAnsi="Arial"/>
      <w:lang w:val="en-US"/>
    </w:rPr>
  </w:style>
  <w:style w:type="paragraph" w:styleId="TDC5">
    <w:name w:val="toc 5"/>
    <w:basedOn w:val="Normal"/>
    <w:uiPriority w:val="1"/>
    <w:qFormat/>
    <w:rsid w:val="00B308B1"/>
    <w:pPr>
      <w:widowControl w:val="0"/>
      <w:spacing w:before="121" w:after="0" w:line="240" w:lineRule="auto"/>
      <w:ind w:left="571" w:hanging="428"/>
    </w:pPr>
    <w:rPr>
      <w:rFonts w:ascii="Arial" w:eastAsia="Arial" w:hAnsi="Arial"/>
      <w:lang w:val="en-US"/>
    </w:rPr>
  </w:style>
  <w:style w:type="paragraph" w:styleId="TDC6">
    <w:name w:val="toc 6"/>
    <w:basedOn w:val="Normal"/>
    <w:uiPriority w:val="1"/>
    <w:qFormat/>
    <w:rsid w:val="00B308B1"/>
    <w:pPr>
      <w:widowControl w:val="0"/>
      <w:spacing w:after="0" w:line="240" w:lineRule="auto"/>
      <w:ind w:left="772"/>
    </w:pPr>
    <w:rPr>
      <w:rFonts w:ascii="Arial" w:eastAsia="Arial" w:hAnsi="Arial"/>
      <w:lang w:val="en-US"/>
    </w:rPr>
  </w:style>
  <w:style w:type="paragraph" w:styleId="TDC7">
    <w:name w:val="toc 7"/>
    <w:basedOn w:val="Normal"/>
    <w:uiPriority w:val="1"/>
    <w:qFormat/>
    <w:rsid w:val="00B308B1"/>
    <w:pPr>
      <w:widowControl w:val="0"/>
      <w:spacing w:before="1" w:after="0" w:line="240" w:lineRule="auto"/>
      <w:ind w:left="546"/>
    </w:pPr>
    <w:rPr>
      <w:rFonts w:ascii="Arial" w:eastAsia="Arial" w:hAnsi="Arial"/>
      <w:lang w:val="en-US"/>
    </w:rPr>
  </w:style>
  <w:style w:type="paragraph" w:styleId="TDC8">
    <w:name w:val="toc 8"/>
    <w:basedOn w:val="Normal"/>
    <w:uiPriority w:val="1"/>
    <w:qFormat/>
    <w:rsid w:val="00B308B1"/>
    <w:pPr>
      <w:widowControl w:val="0"/>
      <w:spacing w:before="183" w:after="0" w:line="240" w:lineRule="auto"/>
      <w:ind w:left="4867"/>
    </w:pPr>
    <w:rPr>
      <w:rFonts w:ascii="Arial" w:eastAsia="Arial" w:hAnsi="Arial"/>
      <w:i/>
      <w:sz w:val="20"/>
      <w:szCs w:val="20"/>
      <w:lang w:val="en-US"/>
    </w:rPr>
  </w:style>
  <w:style w:type="paragraph" w:customStyle="1" w:styleId="TableParagraph">
    <w:name w:val="Table Paragraph"/>
    <w:basedOn w:val="Normal"/>
    <w:uiPriority w:val="1"/>
    <w:qFormat/>
    <w:rsid w:val="00B308B1"/>
    <w:pPr>
      <w:widowControl w:val="0"/>
      <w:spacing w:after="0" w:line="240" w:lineRule="auto"/>
    </w:pPr>
    <w:rPr>
      <w:lang w:val="en-US"/>
    </w:rPr>
  </w:style>
  <w:style w:type="paragraph" w:styleId="Listaconvietas">
    <w:name w:val="List Bullet"/>
    <w:basedOn w:val="Normal"/>
    <w:uiPriority w:val="99"/>
    <w:unhideWhenUsed/>
    <w:rsid w:val="00B308B1"/>
    <w:pPr>
      <w:numPr>
        <w:numId w:val="36"/>
      </w:numPr>
      <w:contextualSpacing/>
    </w:pPr>
  </w:style>
  <w:style w:type="character" w:customStyle="1" w:styleId="visitado">
    <w:name w:val="visitado"/>
    <w:basedOn w:val="Fuentedeprrafopredeter"/>
    <w:rsid w:val="00B95D50"/>
  </w:style>
  <w:style w:type="paragraph" w:styleId="Revisin">
    <w:name w:val="Revision"/>
    <w:hidden/>
    <w:uiPriority w:val="99"/>
    <w:semiHidden/>
    <w:rsid w:val="008016EC"/>
    <w:pPr>
      <w:spacing w:after="0" w:line="240" w:lineRule="auto"/>
    </w:pPr>
  </w:style>
  <w:style w:type="paragraph" w:customStyle="1" w:styleId="Default">
    <w:name w:val="Default"/>
    <w:rsid w:val="003E3734"/>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B74893"/>
    <w:rPr>
      <w:color w:val="954F72" w:themeColor="followedHyperlink"/>
      <w:u w:val="single"/>
    </w:rPr>
  </w:style>
  <w:style w:type="paragraph" w:customStyle="1" w:styleId="NormalIFT">
    <w:name w:val="Normal IFT"/>
    <w:basedOn w:val="Prrafodelista"/>
    <w:link w:val="NormalIFTCar"/>
    <w:autoRedefine/>
    <w:qFormat/>
    <w:rsid w:val="008E1916"/>
    <w:pPr>
      <w:autoSpaceDE w:val="0"/>
      <w:autoSpaceDN w:val="0"/>
      <w:adjustRightInd w:val="0"/>
      <w:spacing w:before="120" w:after="120" w:line="240" w:lineRule="auto"/>
      <w:ind w:left="0"/>
      <w:contextualSpacing w:val="0"/>
      <w:jc w:val="both"/>
    </w:pPr>
    <w:rPr>
      <w:rFonts w:ascii="ITC Avant Garde" w:eastAsia="Times New Roman" w:hAnsi="ITC Avant Garde" w:cs="Times New Roman"/>
      <w:bCs/>
      <w:color w:val="000000"/>
      <w:sz w:val="24"/>
      <w:szCs w:val="24"/>
      <w:lang w:eastAsia="es-MX"/>
    </w:rPr>
  </w:style>
  <w:style w:type="character" w:customStyle="1" w:styleId="NormalIFTCar">
    <w:name w:val="Normal IFT Car"/>
    <w:link w:val="NormalIFT"/>
    <w:rsid w:val="008E1916"/>
    <w:rPr>
      <w:rFonts w:ascii="ITC Avant Garde" w:eastAsia="Times New Roman" w:hAnsi="ITC Avant Garde" w:cs="Times New Roman"/>
      <w:bCs/>
      <w:color w:val="000000"/>
      <w:sz w:val="24"/>
      <w:szCs w:val="24"/>
      <w:lang w:eastAsia="es-MX"/>
    </w:rPr>
  </w:style>
  <w:style w:type="paragraph" w:customStyle="1" w:styleId="Prrafonumerado">
    <w:name w:val="Párrafo numerado"/>
    <w:basedOn w:val="Default"/>
    <w:qFormat/>
    <w:rsid w:val="003B3B68"/>
    <w:pPr>
      <w:spacing w:after="120"/>
      <w:jc w:val="both"/>
    </w:pPr>
    <w:rPr>
      <w:rFonts w:ascii="ITC Avant Garde" w:hAnsi="ITC Avant Garde"/>
    </w:rPr>
  </w:style>
  <w:style w:type="character" w:customStyle="1" w:styleId="PrrafodelistaCar">
    <w:name w:val="Párrafo de lista Car"/>
    <w:basedOn w:val="Fuentedeprrafopredeter"/>
    <w:link w:val="Prrafodelista"/>
    <w:uiPriority w:val="1"/>
    <w:locked/>
    <w:rsid w:val="00CA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9072">
      <w:bodyDiv w:val="1"/>
      <w:marLeft w:val="0"/>
      <w:marRight w:val="0"/>
      <w:marTop w:val="0"/>
      <w:marBottom w:val="0"/>
      <w:divBdr>
        <w:top w:val="none" w:sz="0" w:space="0" w:color="auto"/>
        <w:left w:val="none" w:sz="0" w:space="0" w:color="auto"/>
        <w:bottom w:val="none" w:sz="0" w:space="0" w:color="auto"/>
        <w:right w:val="none" w:sz="0" w:space="0" w:color="auto"/>
      </w:divBdr>
      <w:divsChild>
        <w:div w:id="165946898">
          <w:marLeft w:val="0"/>
          <w:marRight w:val="0"/>
          <w:marTop w:val="0"/>
          <w:marBottom w:val="0"/>
          <w:divBdr>
            <w:top w:val="none" w:sz="0" w:space="0" w:color="auto"/>
            <w:left w:val="none" w:sz="0" w:space="0" w:color="auto"/>
            <w:bottom w:val="none" w:sz="0" w:space="0" w:color="auto"/>
            <w:right w:val="none" w:sz="0" w:space="0" w:color="auto"/>
          </w:divBdr>
        </w:div>
      </w:divsChild>
    </w:div>
    <w:div w:id="111484852">
      <w:bodyDiv w:val="1"/>
      <w:marLeft w:val="0"/>
      <w:marRight w:val="0"/>
      <w:marTop w:val="0"/>
      <w:marBottom w:val="0"/>
      <w:divBdr>
        <w:top w:val="none" w:sz="0" w:space="0" w:color="auto"/>
        <w:left w:val="none" w:sz="0" w:space="0" w:color="auto"/>
        <w:bottom w:val="none" w:sz="0" w:space="0" w:color="auto"/>
        <w:right w:val="none" w:sz="0" w:space="0" w:color="auto"/>
      </w:divBdr>
      <w:divsChild>
        <w:div w:id="336158600">
          <w:marLeft w:val="0"/>
          <w:marRight w:val="0"/>
          <w:marTop w:val="0"/>
          <w:marBottom w:val="0"/>
          <w:divBdr>
            <w:top w:val="none" w:sz="0" w:space="0" w:color="auto"/>
            <w:left w:val="none" w:sz="0" w:space="0" w:color="auto"/>
            <w:bottom w:val="none" w:sz="0" w:space="0" w:color="auto"/>
            <w:right w:val="none" w:sz="0" w:space="0" w:color="auto"/>
          </w:divBdr>
        </w:div>
      </w:divsChild>
    </w:div>
    <w:div w:id="324751555">
      <w:bodyDiv w:val="1"/>
      <w:marLeft w:val="0"/>
      <w:marRight w:val="0"/>
      <w:marTop w:val="0"/>
      <w:marBottom w:val="0"/>
      <w:divBdr>
        <w:top w:val="none" w:sz="0" w:space="0" w:color="auto"/>
        <w:left w:val="none" w:sz="0" w:space="0" w:color="auto"/>
        <w:bottom w:val="none" w:sz="0" w:space="0" w:color="auto"/>
        <w:right w:val="none" w:sz="0" w:space="0" w:color="auto"/>
      </w:divBdr>
      <w:divsChild>
        <w:div w:id="2249207">
          <w:marLeft w:val="0"/>
          <w:marRight w:val="0"/>
          <w:marTop w:val="0"/>
          <w:marBottom w:val="0"/>
          <w:divBdr>
            <w:top w:val="none" w:sz="0" w:space="0" w:color="auto"/>
            <w:left w:val="none" w:sz="0" w:space="0" w:color="auto"/>
            <w:bottom w:val="none" w:sz="0" w:space="0" w:color="auto"/>
            <w:right w:val="none" w:sz="0" w:space="0" w:color="auto"/>
          </w:divBdr>
          <w:divsChild>
            <w:div w:id="586156476">
              <w:marLeft w:val="0"/>
              <w:marRight w:val="0"/>
              <w:marTop w:val="0"/>
              <w:marBottom w:val="0"/>
              <w:divBdr>
                <w:top w:val="single" w:sz="2" w:space="7" w:color="CFCFCF"/>
                <w:left w:val="single" w:sz="2" w:space="0" w:color="CFCFCF"/>
                <w:bottom w:val="single" w:sz="6" w:space="13" w:color="CFCFCF"/>
                <w:right w:val="single" w:sz="2" w:space="0" w:color="CFCFCF"/>
              </w:divBdr>
              <w:divsChild>
                <w:div w:id="1616787647">
                  <w:marLeft w:val="0"/>
                  <w:marRight w:val="0"/>
                  <w:marTop w:val="0"/>
                  <w:marBottom w:val="0"/>
                  <w:divBdr>
                    <w:top w:val="none" w:sz="0" w:space="0" w:color="auto"/>
                    <w:left w:val="none" w:sz="0" w:space="0" w:color="auto"/>
                    <w:bottom w:val="none" w:sz="0" w:space="0" w:color="auto"/>
                    <w:right w:val="none" w:sz="0" w:space="0" w:color="auto"/>
                  </w:divBdr>
                  <w:divsChild>
                    <w:div w:id="15789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9856">
      <w:bodyDiv w:val="1"/>
      <w:marLeft w:val="0"/>
      <w:marRight w:val="0"/>
      <w:marTop w:val="0"/>
      <w:marBottom w:val="0"/>
      <w:divBdr>
        <w:top w:val="none" w:sz="0" w:space="0" w:color="auto"/>
        <w:left w:val="none" w:sz="0" w:space="0" w:color="auto"/>
        <w:bottom w:val="none" w:sz="0" w:space="0" w:color="auto"/>
        <w:right w:val="none" w:sz="0" w:space="0" w:color="auto"/>
      </w:divBdr>
    </w:div>
    <w:div w:id="491027847">
      <w:bodyDiv w:val="1"/>
      <w:marLeft w:val="0"/>
      <w:marRight w:val="0"/>
      <w:marTop w:val="0"/>
      <w:marBottom w:val="0"/>
      <w:divBdr>
        <w:top w:val="none" w:sz="0" w:space="0" w:color="auto"/>
        <w:left w:val="none" w:sz="0" w:space="0" w:color="auto"/>
        <w:bottom w:val="none" w:sz="0" w:space="0" w:color="auto"/>
        <w:right w:val="none" w:sz="0" w:space="0" w:color="auto"/>
      </w:divBdr>
      <w:divsChild>
        <w:div w:id="1135295169">
          <w:marLeft w:val="0"/>
          <w:marRight w:val="0"/>
          <w:marTop w:val="0"/>
          <w:marBottom w:val="0"/>
          <w:divBdr>
            <w:top w:val="none" w:sz="0" w:space="0" w:color="auto"/>
            <w:left w:val="none" w:sz="0" w:space="0" w:color="auto"/>
            <w:bottom w:val="none" w:sz="0" w:space="0" w:color="auto"/>
            <w:right w:val="none" w:sz="0" w:space="0" w:color="auto"/>
          </w:divBdr>
        </w:div>
      </w:divsChild>
    </w:div>
    <w:div w:id="556670570">
      <w:bodyDiv w:val="1"/>
      <w:marLeft w:val="0"/>
      <w:marRight w:val="0"/>
      <w:marTop w:val="0"/>
      <w:marBottom w:val="0"/>
      <w:divBdr>
        <w:top w:val="none" w:sz="0" w:space="0" w:color="auto"/>
        <w:left w:val="none" w:sz="0" w:space="0" w:color="auto"/>
        <w:bottom w:val="none" w:sz="0" w:space="0" w:color="auto"/>
        <w:right w:val="none" w:sz="0" w:space="0" w:color="auto"/>
      </w:divBdr>
      <w:divsChild>
        <w:div w:id="1365515914">
          <w:marLeft w:val="0"/>
          <w:marRight w:val="0"/>
          <w:marTop w:val="0"/>
          <w:marBottom w:val="0"/>
          <w:divBdr>
            <w:top w:val="none" w:sz="0" w:space="0" w:color="auto"/>
            <w:left w:val="none" w:sz="0" w:space="0" w:color="auto"/>
            <w:bottom w:val="none" w:sz="0" w:space="0" w:color="auto"/>
            <w:right w:val="none" w:sz="0" w:space="0" w:color="auto"/>
          </w:divBdr>
        </w:div>
      </w:divsChild>
    </w:div>
    <w:div w:id="616564271">
      <w:bodyDiv w:val="1"/>
      <w:marLeft w:val="0"/>
      <w:marRight w:val="0"/>
      <w:marTop w:val="0"/>
      <w:marBottom w:val="0"/>
      <w:divBdr>
        <w:top w:val="none" w:sz="0" w:space="0" w:color="auto"/>
        <w:left w:val="none" w:sz="0" w:space="0" w:color="auto"/>
        <w:bottom w:val="none" w:sz="0" w:space="0" w:color="auto"/>
        <w:right w:val="none" w:sz="0" w:space="0" w:color="auto"/>
      </w:divBdr>
    </w:div>
    <w:div w:id="644940773">
      <w:bodyDiv w:val="1"/>
      <w:marLeft w:val="0"/>
      <w:marRight w:val="0"/>
      <w:marTop w:val="0"/>
      <w:marBottom w:val="0"/>
      <w:divBdr>
        <w:top w:val="none" w:sz="0" w:space="0" w:color="auto"/>
        <w:left w:val="none" w:sz="0" w:space="0" w:color="auto"/>
        <w:bottom w:val="none" w:sz="0" w:space="0" w:color="auto"/>
        <w:right w:val="none" w:sz="0" w:space="0" w:color="auto"/>
      </w:divBdr>
      <w:divsChild>
        <w:div w:id="1269191767">
          <w:marLeft w:val="0"/>
          <w:marRight w:val="0"/>
          <w:marTop w:val="0"/>
          <w:marBottom w:val="0"/>
          <w:divBdr>
            <w:top w:val="none" w:sz="0" w:space="0" w:color="auto"/>
            <w:left w:val="none" w:sz="0" w:space="0" w:color="auto"/>
            <w:bottom w:val="none" w:sz="0" w:space="0" w:color="auto"/>
            <w:right w:val="none" w:sz="0" w:space="0" w:color="auto"/>
          </w:divBdr>
        </w:div>
      </w:divsChild>
    </w:div>
    <w:div w:id="742802757">
      <w:bodyDiv w:val="1"/>
      <w:marLeft w:val="0"/>
      <w:marRight w:val="0"/>
      <w:marTop w:val="0"/>
      <w:marBottom w:val="0"/>
      <w:divBdr>
        <w:top w:val="none" w:sz="0" w:space="0" w:color="auto"/>
        <w:left w:val="none" w:sz="0" w:space="0" w:color="auto"/>
        <w:bottom w:val="none" w:sz="0" w:space="0" w:color="auto"/>
        <w:right w:val="none" w:sz="0" w:space="0" w:color="auto"/>
      </w:divBdr>
      <w:divsChild>
        <w:div w:id="1057557382">
          <w:marLeft w:val="0"/>
          <w:marRight w:val="0"/>
          <w:marTop w:val="0"/>
          <w:marBottom w:val="0"/>
          <w:divBdr>
            <w:top w:val="none" w:sz="0" w:space="0" w:color="auto"/>
            <w:left w:val="none" w:sz="0" w:space="0" w:color="auto"/>
            <w:bottom w:val="none" w:sz="0" w:space="0" w:color="auto"/>
            <w:right w:val="none" w:sz="0" w:space="0" w:color="auto"/>
          </w:divBdr>
        </w:div>
      </w:divsChild>
    </w:div>
    <w:div w:id="756943117">
      <w:bodyDiv w:val="1"/>
      <w:marLeft w:val="0"/>
      <w:marRight w:val="0"/>
      <w:marTop w:val="0"/>
      <w:marBottom w:val="0"/>
      <w:divBdr>
        <w:top w:val="none" w:sz="0" w:space="0" w:color="auto"/>
        <w:left w:val="none" w:sz="0" w:space="0" w:color="auto"/>
        <w:bottom w:val="none" w:sz="0" w:space="0" w:color="auto"/>
        <w:right w:val="none" w:sz="0" w:space="0" w:color="auto"/>
      </w:divBdr>
    </w:div>
    <w:div w:id="813065900">
      <w:bodyDiv w:val="1"/>
      <w:marLeft w:val="0"/>
      <w:marRight w:val="0"/>
      <w:marTop w:val="0"/>
      <w:marBottom w:val="0"/>
      <w:divBdr>
        <w:top w:val="none" w:sz="0" w:space="0" w:color="auto"/>
        <w:left w:val="none" w:sz="0" w:space="0" w:color="auto"/>
        <w:bottom w:val="none" w:sz="0" w:space="0" w:color="auto"/>
        <w:right w:val="none" w:sz="0" w:space="0" w:color="auto"/>
      </w:divBdr>
    </w:div>
    <w:div w:id="919753164">
      <w:bodyDiv w:val="1"/>
      <w:marLeft w:val="0"/>
      <w:marRight w:val="0"/>
      <w:marTop w:val="0"/>
      <w:marBottom w:val="0"/>
      <w:divBdr>
        <w:top w:val="none" w:sz="0" w:space="0" w:color="auto"/>
        <w:left w:val="none" w:sz="0" w:space="0" w:color="auto"/>
        <w:bottom w:val="none" w:sz="0" w:space="0" w:color="auto"/>
        <w:right w:val="none" w:sz="0" w:space="0" w:color="auto"/>
      </w:divBdr>
    </w:div>
    <w:div w:id="970282183">
      <w:bodyDiv w:val="1"/>
      <w:marLeft w:val="0"/>
      <w:marRight w:val="0"/>
      <w:marTop w:val="0"/>
      <w:marBottom w:val="0"/>
      <w:divBdr>
        <w:top w:val="none" w:sz="0" w:space="0" w:color="auto"/>
        <w:left w:val="none" w:sz="0" w:space="0" w:color="auto"/>
        <w:bottom w:val="none" w:sz="0" w:space="0" w:color="auto"/>
        <w:right w:val="none" w:sz="0" w:space="0" w:color="auto"/>
      </w:divBdr>
      <w:divsChild>
        <w:div w:id="1719863318">
          <w:marLeft w:val="0"/>
          <w:marRight w:val="0"/>
          <w:marTop w:val="0"/>
          <w:marBottom w:val="0"/>
          <w:divBdr>
            <w:top w:val="none" w:sz="0" w:space="0" w:color="auto"/>
            <w:left w:val="none" w:sz="0" w:space="0" w:color="auto"/>
            <w:bottom w:val="none" w:sz="0" w:space="0" w:color="auto"/>
            <w:right w:val="none" w:sz="0" w:space="0" w:color="auto"/>
          </w:divBdr>
        </w:div>
      </w:divsChild>
    </w:div>
    <w:div w:id="971518089">
      <w:bodyDiv w:val="1"/>
      <w:marLeft w:val="0"/>
      <w:marRight w:val="0"/>
      <w:marTop w:val="0"/>
      <w:marBottom w:val="0"/>
      <w:divBdr>
        <w:top w:val="none" w:sz="0" w:space="0" w:color="auto"/>
        <w:left w:val="none" w:sz="0" w:space="0" w:color="auto"/>
        <w:bottom w:val="none" w:sz="0" w:space="0" w:color="auto"/>
        <w:right w:val="none" w:sz="0" w:space="0" w:color="auto"/>
      </w:divBdr>
    </w:div>
    <w:div w:id="999887980">
      <w:bodyDiv w:val="1"/>
      <w:marLeft w:val="0"/>
      <w:marRight w:val="0"/>
      <w:marTop w:val="0"/>
      <w:marBottom w:val="0"/>
      <w:divBdr>
        <w:top w:val="none" w:sz="0" w:space="0" w:color="auto"/>
        <w:left w:val="none" w:sz="0" w:space="0" w:color="auto"/>
        <w:bottom w:val="none" w:sz="0" w:space="0" w:color="auto"/>
        <w:right w:val="none" w:sz="0" w:space="0" w:color="auto"/>
      </w:divBdr>
    </w:div>
    <w:div w:id="1027222740">
      <w:bodyDiv w:val="1"/>
      <w:marLeft w:val="0"/>
      <w:marRight w:val="0"/>
      <w:marTop w:val="0"/>
      <w:marBottom w:val="0"/>
      <w:divBdr>
        <w:top w:val="none" w:sz="0" w:space="0" w:color="auto"/>
        <w:left w:val="none" w:sz="0" w:space="0" w:color="auto"/>
        <w:bottom w:val="none" w:sz="0" w:space="0" w:color="auto"/>
        <w:right w:val="none" w:sz="0" w:space="0" w:color="auto"/>
      </w:divBdr>
      <w:divsChild>
        <w:div w:id="1837643815">
          <w:marLeft w:val="0"/>
          <w:marRight w:val="0"/>
          <w:marTop w:val="0"/>
          <w:marBottom w:val="0"/>
          <w:divBdr>
            <w:top w:val="none" w:sz="0" w:space="0" w:color="auto"/>
            <w:left w:val="none" w:sz="0" w:space="0" w:color="auto"/>
            <w:bottom w:val="none" w:sz="0" w:space="0" w:color="auto"/>
            <w:right w:val="none" w:sz="0" w:space="0" w:color="auto"/>
          </w:divBdr>
        </w:div>
      </w:divsChild>
    </w:div>
    <w:div w:id="1051341605">
      <w:bodyDiv w:val="1"/>
      <w:marLeft w:val="0"/>
      <w:marRight w:val="0"/>
      <w:marTop w:val="0"/>
      <w:marBottom w:val="0"/>
      <w:divBdr>
        <w:top w:val="none" w:sz="0" w:space="0" w:color="auto"/>
        <w:left w:val="none" w:sz="0" w:space="0" w:color="auto"/>
        <w:bottom w:val="none" w:sz="0" w:space="0" w:color="auto"/>
        <w:right w:val="none" w:sz="0" w:space="0" w:color="auto"/>
      </w:divBdr>
      <w:divsChild>
        <w:div w:id="1319066904">
          <w:marLeft w:val="0"/>
          <w:marRight w:val="0"/>
          <w:marTop w:val="0"/>
          <w:marBottom w:val="0"/>
          <w:divBdr>
            <w:top w:val="none" w:sz="0" w:space="0" w:color="auto"/>
            <w:left w:val="none" w:sz="0" w:space="0" w:color="auto"/>
            <w:bottom w:val="none" w:sz="0" w:space="0" w:color="auto"/>
            <w:right w:val="none" w:sz="0" w:space="0" w:color="auto"/>
          </w:divBdr>
          <w:divsChild>
            <w:div w:id="1869177301">
              <w:marLeft w:val="0"/>
              <w:marRight w:val="0"/>
              <w:marTop w:val="0"/>
              <w:marBottom w:val="0"/>
              <w:divBdr>
                <w:top w:val="single" w:sz="2" w:space="7" w:color="CFCFCF"/>
                <w:left w:val="single" w:sz="2" w:space="0" w:color="CFCFCF"/>
                <w:bottom w:val="single" w:sz="6" w:space="13" w:color="CFCFCF"/>
                <w:right w:val="single" w:sz="2" w:space="0" w:color="CFCFCF"/>
              </w:divBdr>
              <w:divsChild>
                <w:div w:id="998002586">
                  <w:marLeft w:val="0"/>
                  <w:marRight w:val="0"/>
                  <w:marTop w:val="0"/>
                  <w:marBottom w:val="0"/>
                  <w:divBdr>
                    <w:top w:val="none" w:sz="0" w:space="0" w:color="auto"/>
                    <w:left w:val="none" w:sz="0" w:space="0" w:color="auto"/>
                    <w:bottom w:val="none" w:sz="0" w:space="0" w:color="auto"/>
                    <w:right w:val="none" w:sz="0" w:space="0" w:color="auto"/>
                  </w:divBdr>
                  <w:divsChild>
                    <w:div w:id="16788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23717">
      <w:bodyDiv w:val="1"/>
      <w:marLeft w:val="0"/>
      <w:marRight w:val="0"/>
      <w:marTop w:val="0"/>
      <w:marBottom w:val="0"/>
      <w:divBdr>
        <w:top w:val="none" w:sz="0" w:space="0" w:color="auto"/>
        <w:left w:val="none" w:sz="0" w:space="0" w:color="auto"/>
        <w:bottom w:val="none" w:sz="0" w:space="0" w:color="auto"/>
        <w:right w:val="none" w:sz="0" w:space="0" w:color="auto"/>
      </w:divBdr>
    </w:div>
    <w:div w:id="1067335512">
      <w:bodyDiv w:val="1"/>
      <w:marLeft w:val="0"/>
      <w:marRight w:val="0"/>
      <w:marTop w:val="0"/>
      <w:marBottom w:val="0"/>
      <w:divBdr>
        <w:top w:val="none" w:sz="0" w:space="0" w:color="auto"/>
        <w:left w:val="none" w:sz="0" w:space="0" w:color="auto"/>
        <w:bottom w:val="none" w:sz="0" w:space="0" w:color="auto"/>
        <w:right w:val="none" w:sz="0" w:space="0" w:color="auto"/>
      </w:divBdr>
      <w:divsChild>
        <w:div w:id="81343133">
          <w:marLeft w:val="0"/>
          <w:marRight w:val="0"/>
          <w:marTop w:val="0"/>
          <w:marBottom w:val="0"/>
          <w:divBdr>
            <w:top w:val="none" w:sz="0" w:space="0" w:color="auto"/>
            <w:left w:val="none" w:sz="0" w:space="0" w:color="auto"/>
            <w:bottom w:val="none" w:sz="0" w:space="0" w:color="auto"/>
            <w:right w:val="none" w:sz="0" w:space="0" w:color="auto"/>
          </w:divBdr>
        </w:div>
      </w:divsChild>
    </w:div>
    <w:div w:id="1267032932">
      <w:bodyDiv w:val="1"/>
      <w:marLeft w:val="0"/>
      <w:marRight w:val="0"/>
      <w:marTop w:val="0"/>
      <w:marBottom w:val="0"/>
      <w:divBdr>
        <w:top w:val="none" w:sz="0" w:space="0" w:color="auto"/>
        <w:left w:val="none" w:sz="0" w:space="0" w:color="auto"/>
        <w:bottom w:val="none" w:sz="0" w:space="0" w:color="auto"/>
        <w:right w:val="none" w:sz="0" w:space="0" w:color="auto"/>
      </w:divBdr>
      <w:divsChild>
        <w:div w:id="1114983955">
          <w:marLeft w:val="0"/>
          <w:marRight w:val="0"/>
          <w:marTop w:val="0"/>
          <w:marBottom w:val="0"/>
          <w:divBdr>
            <w:top w:val="none" w:sz="0" w:space="0" w:color="auto"/>
            <w:left w:val="none" w:sz="0" w:space="0" w:color="auto"/>
            <w:bottom w:val="none" w:sz="0" w:space="0" w:color="auto"/>
            <w:right w:val="none" w:sz="0" w:space="0" w:color="auto"/>
          </w:divBdr>
        </w:div>
      </w:divsChild>
    </w:div>
    <w:div w:id="1280452074">
      <w:bodyDiv w:val="1"/>
      <w:marLeft w:val="0"/>
      <w:marRight w:val="0"/>
      <w:marTop w:val="0"/>
      <w:marBottom w:val="0"/>
      <w:divBdr>
        <w:top w:val="none" w:sz="0" w:space="0" w:color="auto"/>
        <w:left w:val="none" w:sz="0" w:space="0" w:color="auto"/>
        <w:bottom w:val="none" w:sz="0" w:space="0" w:color="auto"/>
        <w:right w:val="none" w:sz="0" w:space="0" w:color="auto"/>
      </w:divBdr>
      <w:divsChild>
        <w:div w:id="1357119924">
          <w:marLeft w:val="0"/>
          <w:marRight w:val="0"/>
          <w:marTop w:val="0"/>
          <w:marBottom w:val="0"/>
          <w:divBdr>
            <w:top w:val="none" w:sz="0" w:space="0" w:color="auto"/>
            <w:left w:val="none" w:sz="0" w:space="0" w:color="auto"/>
            <w:bottom w:val="none" w:sz="0" w:space="0" w:color="auto"/>
            <w:right w:val="none" w:sz="0" w:space="0" w:color="auto"/>
          </w:divBdr>
        </w:div>
      </w:divsChild>
    </w:div>
    <w:div w:id="1302006464">
      <w:bodyDiv w:val="1"/>
      <w:marLeft w:val="0"/>
      <w:marRight w:val="0"/>
      <w:marTop w:val="0"/>
      <w:marBottom w:val="0"/>
      <w:divBdr>
        <w:top w:val="none" w:sz="0" w:space="0" w:color="auto"/>
        <w:left w:val="none" w:sz="0" w:space="0" w:color="auto"/>
        <w:bottom w:val="none" w:sz="0" w:space="0" w:color="auto"/>
        <w:right w:val="none" w:sz="0" w:space="0" w:color="auto"/>
      </w:divBdr>
      <w:divsChild>
        <w:div w:id="1895267492">
          <w:marLeft w:val="0"/>
          <w:marRight w:val="0"/>
          <w:marTop w:val="0"/>
          <w:marBottom w:val="0"/>
          <w:divBdr>
            <w:top w:val="none" w:sz="0" w:space="0" w:color="auto"/>
            <w:left w:val="none" w:sz="0" w:space="0" w:color="auto"/>
            <w:bottom w:val="none" w:sz="0" w:space="0" w:color="auto"/>
            <w:right w:val="none" w:sz="0" w:space="0" w:color="auto"/>
          </w:divBdr>
        </w:div>
      </w:divsChild>
    </w:div>
    <w:div w:id="1397507134">
      <w:bodyDiv w:val="1"/>
      <w:marLeft w:val="0"/>
      <w:marRight w:val="0"/>
      <w:marTop w:val="0"/>
      <w:marBottom w:val="0"/>
      <w:divBdr>
        <w:top w:val="none" w:sz="0" w:space="0" w:color="auto"/>
        <w:left w:val="none" w:sz="0" w:space="0" w:color="auto"/>
        <w:bottom w:val="none" w:sz="0" w:space="0" w:color="auto"/>
        <w:right w:val="none" w:sz="0" w:space="0" w:color="auto"/>
      </w:divBdr>
    </w:div>
    <w:div w:id="1477600398">
      <w:bodyDiv w:val="1"/>
      <w:marLeft w:val="0"/>
      <w:marRight w:val="0"/>
      <w:marTop w:val="0"/>
      <w:marBottom w:val="0"/>
      <w:divBdr>
        <w:top w:val="none" w:sz="0" w:space="0" w:color="auto"/>
        <w:left w:val="none" w:sz="0" w:space="0" w:color="auto"/>
        <w:bottom w:val="none" w:sz="0" w:space="0" w:color="auto"/>
        <w:right w:val="none" w:sz="0" w:space="0" w:color="auto"/>
      </w:divBdr>
      <w:divsChild>
        <w:div w:id="319891620">
          <w:marLeft w:val="0"/>
          <w:marRight w:val="0"/>
          <w:marTop w:val="0"/>
          <w:marBottom w:val="0"/>
          <w:divBdr>
            <w:top w:val="none" w:sz="0" w:space="0" w:color="auto"/>
            <w:left w:val="none" w:sz="0" w:space="0" w:color="auto"/>
            <w:bottom w:val="none" w:sz="0" w:space="0" w:color="auto"/>
            <w:right w:val="none" w:sz="0" w:space="0" w:color="auto"/>
          </w:divBdr>
          <w:divsChild>
            <w:div w:id="202713828">
              <w:marLeft w:val="0"/>
              <w:marRight w:val="0"/>
              <w:marTop w:val="0"/>
              <w:marBottom w:val="0"/>
              <w:divBdr>
                <w:top w:val="single" w:sz="2" w:space="7" w:color="CFCFCF"/>
                <w:left w:val="single" w:sz="2" w:space="0" w:color="CFCFCF"/>
                <w:bottom w:val="single" w:sz="6" w:space="13" w:color="CFCFCF"/>
                <w:right w:val="single" w:sz="2" w:space="0" w:color="CFCFCF"/>
              </w:divBdr>
              <w:divsChild>
                <w:div w:id="1338457289">
                  <w:marLeft w:val="0"/>
                  <w:marRight w:val="0"/>
                  <w:marTop w:val="0"/>
                  <w:marBottom w:val="0"/>
                  <w:divBdr>
                    <w:top w:val="none" w:sz="0" w:space="0" w:color="auto"/>
                    <w:left w:val="none" w:sz="0" w:space="0" w:color="auto"/>
                    <w:bottom w:val="none" w:sz="0" w:space="0" w:color="auto"/>
                    <w:right w:val="none" w:sz="0" w:space="0" w:color="auto"/>
                  </w:divBdr>
                  <w:divsChild>
                    <w:div w:id="9406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04542">
      <w:bodyDiv w:val="1"/>
      <w:marLeft w:val="0"/>
      <w:marRight w:val="0"/>
      <w:marTop w:val="0"/>
      <w:marBottom w:val="0"/>
      <w:divBdr>
        <w:top w:val="none" w:sz="0" w:space="0" w:color="auto"/>
        <w:left w:val="none" w:sz="0" w:space="0" w:color="auto"/>
        <w:bottom w:val="none" w:sz="0" w:space="0" w:color="auto"/>
        <w:right w:val="none" w:sz="0" w:space="0" w:color="auto"/>
      </w:divBdr>
      <w:divsChild>
        <w:div w:id="671445586">
          <w:marLeft w:val="0"/>
          <w:marRight w:val="0"/>
          <w:marTop w:val="0"/>
          <w:marBottom w:val="0"/>
          <w:divBdr>
            <w:top w:val="none" w:sz="0" w:space="0" w:color="auto"/>
            <w:left w:val="none" w:sz="0" w:space="0" w:color="auto"/>
            <w:bottom w:val="none" w:sz="0" w:space="0" w:color="auto"/>
            <w:right w:val="none" w:sz="0" w:space="0" w:color="auto"/>
          </w:divBdr>
        </w:div>
      </w:divsChild>
    </w:div>
    <w:div w:id="1597052916">
      <w:bodyDiv w:val="1"/>
      <w:marLeft w:val="0"/>
      <w:marRight w:val="0"/>
      <w:marTop w:val="0"/>
      <w:marBottom w:val="0"/>
      <w:divBdr>
        <w:top w:val="none" w:sz="0" w:space="0" w:color="auto"/>
        <w:left w:val="none" w:sz="0" w:space="0" w:color="auto"/>
        <w:bottom w:val="none" w:sz="0" w:space="0" w:color="auto"/>
        <w:right w:val="none" w:sz="0" w:space="0" w:color="auto"/>
      </w:divBdr>
      <w:divsChild>
        <w:div w:id="2000308518">
          <w:marLeft w:val="0"/>
          <w:marRight w:val="0"/>
          <w:marTop w:val="0"/>
          <w:marBottom w:val="0"/>
          <w:divBdr>
            <w:top w:val="none" w:sz="0" w:space="0" w:color="auto"/>
            <w:left w:val="none" w:sz="0" w:space="0" w:color="auto"/>
            <w:bottom w:val="none" w:sz="0" w:space="0" w:color="auto"/>
            <w:right w:val="none" w:sz="0" w:space="0" w:color="auto"/>
          </w:divBdr>
        </w:div>
      </w:divsChild>
    </w:div>
    <w:div w:id="1643385314">
      <w:bodyDiv w:val="1"/>
      <w:marLeft w:val="0"/>
      <w:marRight w:val="0"/>
      <w:marTop w:val="0"/>
      <w:marBottom w:val="0"/>
      <w:divBdr>
        <w:top w:val="none" w:sz="0" w:space="0" w:color="auto"/>
        <w:left w:val="none" w:sz="0" w:space="0" w:color="auto"/>
        <w:bottom w:val="none" w:sz="0" w:space="0" w:color="auto"/>
        <w:right w:val="none" w:sz="0" w:space="0" w:color="auto"/>
      </w:divBdr>
      <w:divsChild>
        <w:div w:id="1878732259">
          <w:marLeft w:val="0"/>
          <w:marRight w:val="0"/>
          <w:marTop w:val="0"/>
          <w:marBottom w:val="0"/>
          <w:divBdr>
            <w:top w:val="none" w:sz="0" w:space="0" w:color="auto"/>
            <w:left w:val="none" w:sz="0" w:space="0" w:color="auto"/>
            <w:bottom w:val="none" w:sz="0" w:space="0" w:color="auto"/>
            <w:right w:val="none" w:sz="0" w:space="0" w:color="auto"/>
          </w:divBdr>
        </w:div>
      </w:divsChild>
    </w:div>
    <w:div w:id="1698237688">
      <w:bodyDiv w:val="1"/>
      <w:marLeft w:val="0"/>
      <w:marRight w:val="0"/>
      <w:marTop w:val="0"/>
      <w:marBottom w:val="0"/>
      <w:divBdr>
        <w:top w:val="none" w:sz="0" w:space="0" w:color="auto"/>
        <w:left w:val="none" w:sz="0" w:space="0" w:color="auto"/>
        <w:bottom w:val="none" w:sz="0" w:space="0" w:color="auto"/>
        <w:right w:val="none" w:sz="0" w:space="0" w:color="auto"/>
      </w:divBdr>
      <w:divsChild>
        <w:div w:id="339283861">
          <w:marLeft w:val="0"/>
          <w:marRight w:val="0"/>
          <w:marTop w:val="0"/>
          <w:marBottom w:val="0"/>
          <w:divBdr>
            <w:top w:val="none" w:sz="0" w:space="0" w:color="auto"/>
            <w:left w:val="none" w:sz="0" w:space="0" w:color="auto"/>
            <w:bottom w:val="none" w:sz="0" w:space="0" w:color="auto"/>
            <w:right w:val="none" w:sz="0" w:space="0" w:color="auto"/>
          </w:divBdr>
        </w:div>
      </w:divsChild>
    </w:div>
    <w:div w:id="1731877391">
      <w:bodyDiv w:val="1"/>
      <w:marLeft w:val="0"/>
      <w:marRight w:val="0"/>
      <w:marTop w:val="0"/>
      <w:marBottom w:val="0"/>
      <w:divBdr>
        <w:top w:val="none" w:sz="0" w:space="0" w:color="auto"/>
        <w:left w:val="none" w:sz="0" w:space="0" w:color="auto"/>
        <w:bottom w:val="none" w:sz="0" w:space="0" w:color="auto"/>
        <w:right w:val="none" w:sz="0" w:space="0" w:color="auto"/>
      </w:divBdr>
      <w:divsChild>
        <w:div w:id="395781268">
          <w:marLeft w:val="0"/>
          <w:marRight w:val="0"/>
          <w:marTop w:val="0"/>
          <w:marBottom w:val="0"/>
          <w:divBdr>
            <w:top w:val="none" w:sz="0" w:space="0" w:color="auto"/>
            <w:left w:val="none" w:sz="0" w:space="0" w:color="auto"/>
            <w:bottom w:val="none" w:sz="0" w:space="0" w:color="auto"/>
            <w:right w:val="none" w:sz="0" w:space="0" w:color="auto"/>
          </w:divBdr>
        </w:div>
      </w:divsChild>
    </w:div>
    <w:div w:id="2001539125">
      <w:bodyDiv w:val="1"/>
      <w:marLeft w:val="0"/>
      <w:marRight w:val="0"/>
      <w:marTop w:val="0"/>
      <w:marBottom w:val="0"/>
      <w:divBdr>
        <w:top w:val="none" w:sz="0" w:space="0" w:color="auto"/>
        <w:left w:val="none" w:sz="0" w:space="0" w:color="auto"/>
        <w:bottom w:val="none" w:sz="0" w:space="0" w:color="auto"/>
        <w:right w:val="none" w:sz="0" w:space="0" w:color="auto"/>
      </w:divBdr>
      <w:divsChild>
        <w:div w:id="1098210907">
          <w:marLeft w:val="0"/>
          <w:marRight w:val="0"/>
          <w:marTop w:val="0"/>
          <w:marBottom w:val="0"/>
          <w:divBdr>
            <w:top w:val="none" w:sz="0" w:space="0" w:color="auto"/>
            <w:left w:val="none" w:sz="0" w:space="0" w:color="auto"/>
            <w:bottom w:val="none" w:sz="0" w:space="0" w:color="auto"/>
            <w:right w:val="none" w:sz="0" w:space="0" w:color="auto"/>
          </w:divBdr>
        </w:div>
      </w:divsChild>
    </w:div>
    <w:div w:id="2017341792">
      <w:bodyDiv w:val="1"/>
      <w:marLeft w:val="0"/>
      <w:marRight w:val="0"/>
      <w:marTop w:val="0"/>
      <w:marBottom w:val="0"/>
      <w:divBdr>
        <w:top w:val="none" w:sz="0" w:space="0" w:color="auto"/>
        <w:left w:val="none" w:sz="0" w:space="0" w:color="auto"/>
        <w:bottom w:val="none" w:sz="0" w:space="0" w:color="auto"/>
        <w:right w:val="none" w:sz="0" w:space="0" w:color="auto"/>
      </w:divBdr>
      <w:divsChild>
        <w:div w:id="41995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C5BA-3866-43C6-8670-693C8C3A31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A80E21-48F2-44AB-84D2-D5112B58CC81}">
  <ds:schemaRefs>
    <ds:schemaRef ds:uri="http://schemas.microsoft.com/sharepoint/v3/contenttype/forms"/>
  </ds:schemaRefs>
</ds:datastoreItem>
</file>

<file path=customXml/itemProps3.xml><?xml version="1.0" encoding="utf-8"?>
<ds:datastoreItem xmlns:ds="http://schemas.openxmlformats.org/officeDocument/2006/customXml" ds:itemID="{ACCEF358-D9B6-486C-9069-5D995447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7E63E3-32F9-4487-9A5B-1412BCCC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35</Pages>
  <Words>12794</Words>
  <Characters>70373</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Anayeli Caridad Marquez Velasco</dc:creator>
  <cp:keywords/>
  <dc:description/>
  <cp:lastModifiedBy>Maria del Consuelo Gonzalez Moreno</cp:lastModifiedBy>
  <cp:revision>12</cp:revision>
  <cp:lastPrinted>2017-04-07T18:13:00Z</cp:lastPrinted>
  <dcterms:created xsi:type="dcterms:W3CDTF">2017-04-17T18:56:00Z</dcterms:created>
  <dcterms:modified xsi:type="dcterms:W3CDTF">2017-04-20T16:35:00Z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