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63" w:rsidRPr="00753963" w:rsidRDefault="00753963" w:rsidP="00753963">
      <w:pPr>
        <w:pStyle w:val="Ttulo1"/>
        <w:spacing w:after="240"/>
        <w:jc w:val="both"/>
        <w:rPr>
          <w:rFonts w:ascii="ITC Avant Garde" w:hAnsi="ITC Avant Garde"/>
          <w:b/>
          <w:color w:val="000000" w:themeColor="text1"/>
          <w:sz w:val="20"/>
        </w:rPr>
      </w:pPr>
      <w:r w:rsidRPr="00753963">
        <w:rPr>
          <w:rFonts w:ascii="ITC Avant Garde" w:hAnsi="ITC Avant Garde"/>
          <w:b/>
          <w:color w:val="000000" w:themeColor="text1"/>
          <w:sz w:val="20"/>
        </w:rPr>
        <w:t>VERSIÓN PÚBLICA DE LA RESOLUCIÓN CONTENIDA EN EL ACUERDO P/IFT/</w:t>
      </w:r>
      <w:r>
        <w:rPr>
          <w:rFonts w:ascii="ITC Avant Garde" w:hAnsi="ITC Avant Garde"/>
          <w:b/>
          <w:color w:val="000000" w:themeColor="text1"/>
          <w:sz w:val="20"/>
        </w:rPr>
        <w:t>EXT/011215/180</w:t>
      </w:r>
      <w:r w:rsidRPr="00753963">
        <w:rPr>
          <w:rFonts w:ascii="ITC Avant Garde" w:hAnsi="ITC Avant Garde"/>
          <w:b/>
          <w:color w:val="000000" w:themeColor="text1"/>
          <w:sz w:val="20"/>
        </w:rPr>
        <w:t xml:space="preserve"> APROBADA POR EL PLENO DEL INSTITUTO FEDERAL DE TELECOMUNICACIONES EN SU X</w:t>
      </w:r>
      <w:r>
        <w:rPr>
          <w:rFonts w:ascii="ITC Avant Garde" w:hAnsi="ITC Avant Garde"/>
          <w:b/>
          <w:color w:val="000000" w:themeColor="text1"/>
          <w:sz w:val="20"/>
        </w:rPr>
        <w:t>LIX</w:t>
      </w:r>
      <w:r w:rsidRPr="00753963">
        <w:rPr>
          <w:rFonts w:ascii="ITC Avant Garde" w:hAnsi="ITC Avant Garde"/>
          <w:b/>
          <w:color w:val="000000" w:themeColor="text1"/>
          <w:sz w:val="20"/>
        </w:rPr>
        <w:t xml:space="preserve"> SESIÓN </w:t>
      </w:r>
      <w:r>
        <w:rPr>
          <w:rFonts w:ascii="ITC Avant Garde" w:hAnsi="ITC Avant Garde"/>
          <w:b/>
          <w:color w:val="000000" w:themeColor="text1"/>
          <w:sz w:val="20"/>
        </w:rPr>
        <w:t>EXTRA</w:t>
      </w:r>
      <w:r w:rsidRPr="00753963">
        <w:rPr>
          <w:rFonts w:ascii="ITC Avant Garde" w:hAnsi="ITC Avant Garde"/>
          <w:b/>
          <w:color w:val="000000" w:themeColor="text1"/>
          <w:sz w:val="20"/>
        </w:rPr>
        <w:t xml:space="preserve">ORDINARIA CELEBRADA EL </w:t>
      </w:r>
      <w:r>
        <w:rPr>
          <w:rFonts w:ascii="ITC Avant Garde" w:hAnsi="ITC Avant Garde"/>
          <w:b/>
          <w:color w:val="000000" w:themeColor="text1"/>
          <w:sz w:val="20"/>
        </w:rPr>
        <w:t>1</w:t>
      </w:r>
      <w:r w:rsidRPr="00753963">
        <w:rPr>
          <w:rFonts w:ascii="ITC Avant Garde" w:hAnsi="ITC Avant Garde"/>
          <w:b/>
          <w:color w:val="000000" w:themeColor="text1"/>
          <w:sz w:val="20"/>
        </w:rPr>
        <w:t xml:space="preserve"> DE </w:t>
      </w:r>
      <w:r>
        <w:rPr>
          <w:rFonts w:ascii="ITC Avant Garde" w:hAnsi="ITC Avant Garde"/>
          <w:b/>
          <w:color w:val="000000" w:themeColor="text1"/>
          <w:sz w:val="20"/>
        </w:rPr>
        <w:t>DICIEMBRE</w:t>
      </w:r>
      <w:r w:rsidRPr="00753963">
        <w:rPr>
          <w:rFonts w:ascii="ITC Avant Garde" w:hAnsi="ITC Avant Garde"/>
          <w:b/>
          <w:color w:val="000000" w:themeColor="text1"/>
          <w:sz w:val="20"/>
        </w:rPr>
        <w:t xml:space="preserve"> DE 2015, POR MEDIO DE LA CUAL AUTORIZÓ </w:t>
      </w:r>
      <w:r>
        <w:rPr>
          <w:rFonts w:ascii="ITC Avant Garde" w:hAnsi="ITC Avant Garde"/>
          <w:b/>
          <w:color w:val="000000" w:themeColor="text1"/>
          <w:sz w:val="20"/>
        </w:rPr>
        <w:t>A LA EMPRESA RADIO BMP DE NUEVO LAREDO</w:t>
      </w:r>
      <w:r w:rsidRPr="00753963">
        <w:rPr>
          <w:rFonts w:ascii="ITC Avant Garde" w:hAnsi="ITC Avant Garde"/>
          <w:b/>
          <w:color w:val="000000" w:themeColor="text1"/>
          <w:sz w:val="20"/>
        </w:rPr>
        <w:t>, S.A. DE C.V.</w:t>
      </w:r>
      <w:r>
        <w:rPr>
          <w:rFonts w:ascii="ITC Avant Garde" w:hAnsi="ITC Avant Garde"/>
          <w:b/>
          <w:color w:val="000000" w:themeColor="text1"/>
          <w:sz w:val="20"/>
        </w:rPr>
        <w:t xml:space="preserve"> A LLEVAR A CABO LA ENAJENACIÓN DE ACCIONES.</w:t>
      </w:r>
    </w:p>
    <w:p w:rsidR="00753963" w:rsidRPr="00D410D5" w:rsidRDefault="00753963" w:rsidP="00753963">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Fecha de Clasificación:</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24</w:t>
      </w:r>
      <w:r w:rsidRPr="00D410D5">
        <w:rPr>
          <w:rFonts w:ascii="ITC Avant Garde" w:hAnsi="ITC Avant Garde"/>
          <w:sz w:val="20"/>
          <w:szCs w:val="20"/>
        </w:rPr>
        <w:t xml:space="preserve"> de abril de 201</w:t>
      </w:r>
      <w:r>
        <w:rPr>
          <w:rFonts w:ascii="ITC Avant Garde" w:hAnsi="ITC Avant Garde"/>
          <w:sz w:val="20"/>
          <w:szCs w:val="20"/>
        </w:rPr>
        <w:t>8</w:t>
      </w:r>
      <w:r w:rsidRPr="00D410D5">
        <w:rPr>
          <w:rFonts w:ascii="ITC Avant Garde" w:eastAsia="Times New Roman" w:hAnsi="ITC Avant Garde"/>
          <w:bCs/>
          <w:color w:val="000000"/>
          <w:sz w:val="20"/>
          <w:szCs w:val="20"/>
          <w:lang w:eastAsia="es-MX"/>
        </w:rPr>
        <w:t xml:space="preserve">. </w:t>
      </w:r>
    </w:p>
    <w:p w:rsidR="00753963" w:rsidRPr="00D410D5" w:rsidRDefault="00753963" w:rsidP="00753963">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hAnsi="ITC Avant Garde"/>
          <w:b/>
          <w:sz w:val="20"/>
          <w:szCs w:val="20"/>
        </w:rPr>
        <w:t>Unidad Administrativa:</w:t>
      </w:r>
      <w:r w:rsidRPr="00D410D5">
        <w:rPr>
          <w:rFonts w:ascii="ITC Avant Garde" w:hAnsi="ITC Avant Garde"/>
          <w:sz w:val="20"/>
          <w:szCs w:val="20"/>
        </w:rPr>
        <w:t xml:space="preserve"> </w:t>
      </w:r>
      <w:r>
        <w:rPr>
          <w:rFonts w:ascii="ITC Avant Garde" w:hAnsi="ITC Avant Garde"/>
          <w:sz w:val="20"/>
          <w:szCs w:val="20"/>
        </w:rPr>
        <w:t xml:space="preserve">Dirección General de Concesiones de Radiodifusión, por contener información Confidencial, de conformidad con lo dispuesto en los artículos 113 de la 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w:t>
      </w:r>
    </w:p>
    <w:p w:rsidR="00753963" w:rsidRPr="00D410D5" w:rsidRDefault="00753963" w:rsidP="00753963">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Núm. de Resolución:</w:t>
      </w:r>
      <w:r w:rsidRPr="00753963">
        <w:rPr>
          <w:rFonts w:ascii="ITC Avant Garde" w:eastAsia="Times New Roman" w:hAnsi="ITC Avant Garde"/>
          <w:bCs/>
          <w:color w:val="000000"/>
          <w:sz w:val="20"/>
          <w:szCs w:val="20"/>
          <w:lang w:eastAsia="es-MX"/>
        </w:rPr>
        <w:t xml:space="preserve"> </w:t>
      </w:r>
      <w:r w:rsidRPr="00753963">
        <w:rPr>
          <w:rFonts w:ascii="ITC Avant Garde" w:hAnsi="ITC Avant Garde"/>
          <w:color w:val="000000" w:themeColor="text1"/>
          <w:sz w:val="20"/>
        </w:rPr>
        <w:t>P/IFT/EXT/011215/180</w:t>
      </w:r>
      <w:r w:rsidRPr="00753963">
        <w:rPr>
          <w:rFonts w:ascii="ITC Avant Garde" w:hAnsi="ITC Avant Garde"/>
          <w:sz w:val="20"/>
          <w:szCs w:val="20"/>
        </w:rPr>
        <w:t>.</w:t>
      </w:r>
    </w:p>
    <w:p w:rsidR="00753963" w:rsidRDefault="00753963" w:rsidP="00753963">
      <w:pPr>
        <w:pStyle w:val="Textoindependiente"/>
        <w:spacing w:after="0" w:line="360" w:lineRule="auto"/>
        <w:jc w:val="both"/>
        <w:rPr>
          <w:rFonts w:ascii="ITC Avant Garde" w:hAnsi="ITC Avant Garde"/>
          <w:sz w:val="20"/>
          <w:szCs w:val="20"/>
        </w:rPr>
      </w:pPr>
      <w:r w:rsidRPr="00D410D5">
        <w:rPr>
          <w:rFonts w:ascii="ITC Avant Garde" w:eastAsia="Times New Roman" w:hAnsi="ITC Avant Garde"/>
          <w:b/>
          <w:bCs/>
          <w:color w:val="000000"/>
          <w:sz w:val="20"/>
          <w:szCs w:val="20"/>
          <w:lang w:eastAsia="es-MX"/>
        </w:rPr>
        <w:t>Descripción del asunto:</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La empresa denominada Radio</w:t>
      </w:r>
      <w:r>
        <w:rPr>
          <w:rFonts w:ascii="ITC Avant Garde" w:hAnsi="ITC Avant Garde"/>
          <w:sz w:val="20"/>
          <w:szCs w:val="20"/>
        </w:rPr>
        <w:t xml:space="preserve"> BMP de Nuevo Laredo</w:t>
      </w:r>
      <w:r>
        <w:rPr>
          <w:rFonts w:ascii="ITC Avant Garde" w:hAnsi="ITC Avant Garde"/>
          <w:sz w:val="20"/>
          <w:szCs w:val="20"/>
        </w:rPr>
        <w:t>, S</w:t>
      </w:r>
      <w:r w:rsidRPr="0030175A">
        <w:rPr>
          <w:rFonts w:ascii="ITC Avant Garde" w:hAnsi="ITC Avant Garde"/>
          <w:sz w:val="20"/>
          <w:szCs w:val="20"/>
        </w:rPr>
        <w:t>.A. de C.V.,</w:t>
      </w:r>
      <w:r>
        <w:rPr>
          <w:rFonts w:ascii="ITC Avant Garde" w:hAnsi="ITC Avant Garde"/>
          <w:sz w:val="20"/>
          <w:szCs w:val="20"/>
        </w:rPr>
        <w:t xml:space="preserve"> el </w:t>
      </w:r>
      <w:r>
        <w:rPr>
          <w:rFonts w:ascii="ITC Avant Garde" w:hAnsi="ITC Avant Garde"/>
          <w:sz w:val="20"/>
          <w:szCs w:val="20"/>
        </w:rPr>
        <w:t>2</w:t>
      </w:r>
      <w:r>
        <w:rPr>
          <w:rFonts w:ascii="ITC Avant Garde" w:hAnsi="ITC Avant Garde"/>
          <w:sz w:val="20"/>
          <w:szCs w:val="20"/>
        </w:rPr>
        <w:t xml:space="preserve"> de </w:t>
      </w:r>
      <w:r>
        <w:rPr>
          <w:rFonts w:ascii="ITC Avant Garde" w:hAnsi="ITC Avant Garde"/>
          <w:sz w:val="20"/>
          <w:szCs w:val="20"/>
        </w:rPr>
        <w:t>octubre</w:t>
      </w:r>
      <w:r>
        <w:rPr>
          <w:rFonts w:ascii="ITC Avant Garde" w:hAnsi="ITC Avant Garde"/>
          <w:sz w:val="20"/>
          <w:szCs w:val="20"/>
        </w:rPr>
        <w:t xml:space="preserve"> de 2015, presentó ante </w:t>
      </w:r>
      <w:r w:rsidRPr="0030175A">
        <w:rPr>
          <w:rFonts w:ascii="ITC Avant Garde" w:hAnsi="ITC Avant Garde"/>
          <w:sz w:val="20"/>
          <w:szCs w:val="20"/>
        </w:rPr>
        <w:t>el Instituto Federal de Telecomunicaciones</w:t>
      </w:r>
      <w:r>
        <w:rPr>
          <w:rFonts w:ascii="ITC Avant Garde" w:hAnsi="ITC Avant Garde"/>
          <w:sz w:val="20"/>
          <w:szCs w:val="20"/>
        </w:rPr>
        <w:t>, solicitud de autorización</w:t>
      </w:r>
      <w:r w:rsidRPr="0030175A">
        <w:rPr>
          <w:rFonts w:ascii="ITC Avant Garde" w:hAnsi="ITC Avant Garde"/>
          <w:sz w:val="20"/>
          <w:szCs w:val="20"/>
        </w:rPr>
        <w:t xml:space="preserve"> </w:t>
      </w:r>
      <w:r>
        <w:rPr>
          <w:rFonts w:ascii="ITC Avant Garde" w:hAnsi="ITC Avant Garde"/>
          <w:sz w:val="20"/>
          <w:szCs w:val="20"/>
        </w:rPr>
        <w:t xml:space="preserve">para llevar a cabo </w:t>
      </w:r>
      <w:r>
        <w:rPr>
          <w:rFonts w:ascii="ITC Avant Garde" w:hAnsi="ITC Avant Garde"/>
          <w:sz w:val="20"/>
          <w:szCs w:val="20"/>
        </w:rPr>
        <w:t>el cambio de titularidad de</w:t>
      </w:r>
      <w:r>
        <w:rPr>
          <w:rFonts w:ascii="ITC Avant Garde" w:hAnsi="ITC Avant Garde"/>
          <w:sz w:val="20"/>
          <w:szCs w:val="20"/>
        </w:rPr>
        <w:t xml:space="preserve"> </w:t>
      </w:r>
      <w:r w:rsidRPr="0030175A">
        <w:rPr>
          <w:rFonts w:ascii="ITC Avant Garde" w:hAnsi="ITC Avant Garde"/>
          <w:sz w:val="20"/>
          <w:szCs w:val="20"/>
        </w:rPr>
        <w:t>acciones</w:t>
      </w:r>
      <w:r>
        <w:rPr>
          <w:rFonts w:ascii="ITC Avant Garde" w:hAnsi="ITC Avant Garde"/>
          <w:sz w:val="20"/>
          <w:szCs w:val="20"/>
        </w:rPr>
        <w:t xml:space="preserve"> representativas del capital social de la concesionaria</w:t>
      </w:r>
      <w:r>
        <w:rPr>
          <w:rFonts w:ascii="ITC Avant Garde" w:hAnsi="ITC Avant Garde"/>
          <w:sz w:val="20"/>
          <w:szCs w:val="20"/>
        </w:rPr>
        <w:t xml:space="preserve">, en términos de lo establecido en el párrafo segundo del artículo 112 de la Ley Federal de Telecomunicaciones y Radiodifusión. </w:t>
      </w:r>
    </w:p>
    <w:p w:rsidR="00753963" w:rsidRPr="00D410D5" w:rsidRDefault="00753963" w:rsidP="00753963">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eastAsia="Times New Roman" w:hAnsi="ITC Avant Garde"/>
          <w:b/>
          <w:bCs/>
          <w:color w:val="000000"/>
          <w:sz w:val="20"/>
          <w:szCs w:val="20"/>
          <w:lang w:eastAsia="es-MX"/>
        </w:rPr>
        <w:t>Fundamento legal:</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Confidencial con</w:t>
      </w:r>
      <w:r>
        <w:rPr>
          <w:rFonts w:ascii="ITC Avant Garde" w:hAnsi="ITC Avant Garde"/>
          <w:sz w:val="20"/>
          <w:szCs w:val="20"/>
        </w:rPr>
        <w:t xml:space="preserve"> fundamento en el artículo 113 </w:t>
      </w:r>
      <w:r w:rsidRPr="00D410D5">
        <w:rPr>
          <w:rFonts w:ascii="ITC Avant Garde" w:hAnsi="ITC Avant Garde"/>
          <w:sz w:val="20"/>
          <w:szCs w:val="20"/>
        </w:rPr>
        <w:t xml:space="preserve">de la </w:t>
      </w:r>
      <w:r>
        <w:rPr>
          <w:rFonts w:ascii="ITC Avant Garde" w:hAnsi="ITC Avant Garde"/>
          <w:sz w:val="20"/>
          <w:szCs w:val="20"/>
        </w:rPr>
        <w:t xml:space="preserve">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 publicada en el DOF el 9 de mayo de 2016</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publicada en el DOF el 4 de mayo de 2015,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 publicado en el DOF el 15 de abril de 2016.</w:t>
      </w:r>
    </w:p>
    <w:p w:rsidR="00753963" w:rsidRPr="00D410D5" w:rsidRDefault="00753963" w:rsidP="00753963">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Motivación:</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 xml:space="preserve">Contiene datos </w:t>
      </w:r>
      <w:r>
        <w:rPr>
          <w:rFonts w:ascii="ITC Avant Garde" w:hAnsi="ITC Avant Garde"/>
          <w:sz w:val="20"/>
          <w:szCs w:val="20"/>
        </w:rPr>
        <w:t>referentes al patrimonio de una persona física o moral.</w:t>
      </w:r>
    </w:p>
    <w:p w:rsidR="00753963" w:rsidRDefault="00753963" w:rsidP="00753963">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Secciones clasificadas:</w:t>
      </w:r>
      <w:r w:rsidRPr="00D410D5">
        <w:rPr>
          <w:rFonts w:ascii="ITC Avant Garde" w:eastAsia="Times New Roman" w:hAnsi="ITC Avant Garde"/>
          <w:bCs/>
          <w:color w:val="000000"/>
          <w:sz w:val="20"/>
          <w:szCs w:val="20"/>
          <w:lang w:eastAsia="es-MX"/>
        </w:rPr>
        <w:t xml:space="preserve"> Las secciones </w:t>
      </w:r>
      <w:r>
        <w:rPr>
          <w:rFonts w:ascii="ITC Avant Garde" w:eastAsia="Times New Roman" w:hAnsi="ITC Avant Garde"/>
          <w:bCs/>
          <w:color w:val="000000"/>
          <w:sz w:val="20"/>
          <w:szCs w:val="20"/>
          <w:lang w:eastAsia="es-MX"/>
        </w:rPr>
        <w:t xml:space="preserve">que contienen la leyenda </w:t>
      </w:r>
      <w:r w:rsidRPr="0030175A">
        <w:rPr>
          <w:rFonts w:ascii="ITC Avant Garde" w:eastAsia="Times New Roman" w:hAnsi="ITC Avant Garde"/>
          <w:b/>
          <w:bCs/>
          <w:color w:val="0000CC"/>
          <w:sz w:val="20"/>
          <w:szCs w:val="20"/>
          <w:lang w:eastAsia="es-MX"/>
        </w:rPr>
        <w:t>“CONFIDENCIAL POR LEY”</w:t>
      </w:r>
      <w:r w:rsidRPr="0030175A">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 xml:space="preserve">del Acuerdo </w:t>
      </w:r>
      <w:r w:rsidRPr="00753963">
        <w:rPr>
          <w:rFonts w:ascii="ITC Avant Garde" w:hAnsi="ITC Avant Garde"/>
          <w:color w:val="000000" w:themeColor="text1"/>
          <w:sz w:val="20"/>
        </w:rPr>
        <w:t>P/IFT/EXT/011215/180</w:t>
      </w:r>
      <w:r w:rsidRPr="00753963">
        <w:rPr>
          <w:rFonts w:ascii="ITC Avant Garde" w:eastAsia="Times New Roman" w:hAnsi="ITC Avant Garde"/>
          <w:bCs/>
          <w:color w:val="000000"/>
          <w:sz w:val="20"/>
          <w:szCs w:val="20"/>
          <w:lang w:eastAsia="es-MX"/>
        </w:rPr>
        <w:t>.</w:t>
      </w:r>
    </w:p>
    <w:p w:rsidR="00753963" w:rsidRPr="00D410D5" w:rsidRDefault="00753963" w:rsidP="00753963">
      <w:pPr>
        <w:pStyle w:val="Textoindependiente"/>
        <w:spacing w:after="0" w:line="360" w:lineRule="auto"/>
        <w:jc w:val="both"/>
        <w:rPr>
          <w:rFonts w:ascii="ITC Avant Garde" w:eastAsia="Times New Roman" w:hAnsi="ITC Avant Garde"/>
          <w:bCs/>
          <w:color w:val="000000"/>
          <w:sz w:val="20"/>
          <w:szCs w:val="20"/>
          <w:lang w:eastAsia="es-MX"/>
        </w:rPr>
      </w:pPr>
      <w:r w:rsidRPr="00512EE0">
        <w:rPr>
          <w:rFonts w:ascii="ITC Avant Garde" w:eastAsia="Times New Roman" w:hAnsi="ITC Avant Garde"/>
          <w:b/>
          <w:bCs/>
          <w:color w:val="000000"/>
          <w:sz w:val="20"/>
          <w:szCs w:val="20"/>
          <w:lang w:eastAsia="es-MX"/>
        </w:rPr>
        <w:t>Firma y Cargo del Servidor P</w:t>
      </w:r>
      <w:r>
        <w:rPr>
          <w:rFonts w:ascii="ITC Avant Garde" w:eastAsia="Times New Roman" w:hAnsi="ITC Avant Garde"/>
          <w:b/>
          <w:bCs/>
          <w:color w:val="000000"/>
          <w:sz w:val="20"/>
          <w:szCs w:val="20"/>
          <w:lang w:eastAsia="es-MX"/>
        </w:rPr>
        <w:t xml:space="preserve">úblico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rsidR="00753963" w:rsidRDefault="00753963" w:rsidP="00753963">
      <w:pPr>
        <w:rPr>
          <w:rFonts w:ascii="ITC Avant Garde" w:hAnsi="ITC Avant Garde"/>
          <w:b/>
          <w:bCs/>
          <w:sz w:val="20"/>
        </w:rPr>
        <w:sectPr w:rsidR="00753963" w:rsidSect="00AF29A0">
          <w:headerReference w:type="even" r:id="rId8"/>
          <w:footerReference w:type="default" r:id="rId9"/>
          <w:headerReference w:type="first" r:id="rId10"/>
          <w:pgSz w:w="12240" w:h="15840"/>
          <w:pgMar w:top="1985" w:right="1418" w:bottom="1135" w:left="1418" w:header="709" w:footer="989" w:gutter="0"/>
          <w:cols w:space="708"/>
          <w:docGrid w:linePitch="360"/>
        </w:sectPr>
      </w:pPr>
      <w:r w:rsidRPr="000772A6">
        <w:rPr>
          <w:rFonts w:ascii="ITC Avant Garde" w:hAnsi="ITC Avant Garde"/>
          <w:b/>
          <w:bCs/>
          <w:sz w:val="20"/>
        </w:rPr>
        <w:t>Fin de la leyenda</w:t>
      </w:r>
      <w:r>
        <w:rPr>
          <w:rFonts w:ascii="ITC Avant Garde" w:hAnsi="ITC Avant Garde"/>
          <w:b/>
          <w:bCs/>
          <w:sz w:val="20"/>
        </w:rPr>
        <w:t>.</w:t>
      </w:r>
    </w:p>
    <w:p w:rsidR="00D33FA1" w:rsidRDefault="00ED3686" w:rsidP="00D33FA1">
      <w:pPr>
        <w:pStyle w:val="Ttulo1"/>
        <w:spacing w:after="240"/>
        <w:jc w:val="both"/>
        <w:rPr>
          <w:rFonts w:ascii="ITC Avant Garde" w:hAnsi="ITC Avant Garde"/>
          <w:b/>
          <w:color w:val="auto"/>
          <w:sz w:val="22"/>
          <w:szCs w:val="22"/>
        </w:rPr>
      </w:pPr>
      <w:r w:rsidRPr="00133F1D">
        <w:rPr>
          <w:rFonts w:ascii="ITC Avant Garde" w:hAnsi="ITC Avant Garde"/>
          <w:b/>
          <w:color w:val="auto"/>
          <w:sz w:val="22"/>
          <w:szCs w:val="22"/>
        </w:rPr>
        <w:lastRenderedPageBreak/>
        <w:t>RESOLUCIÓN MEDIANTE LA CUAL EL PLENO DEL INSTITUTO FEDERAL DE TELECOMUNICACIONES AUTORIZA LA ENAJENACIÓN DE ACCIONES DE LA EMPRESA RADIO BMP DE NUEVO LAREDO, S.A. DE C.V., CONCESIONARIA PARA EL USO, APROVECHAMIENTO Y EXPLOTACIÓN COMERCIAL DE LA FRECUENCIA 107.3 MHz, CON DISTINTIVO DE LLAMADA XHGTS-FM, EN NUEVO LAREDO, TAMAULIPAS.</w:t>
      </w:r>
    </w:p>
    <w:p w:rsidR="00D33FA1" w:rsidRDefault="00ED3686" w:rsidP="00D33FA1">
      <w:pPr>
        <w:pStyle w:val="Ttulo2"/>
        <w:spacing w:after="240"/>
        <w:jc w:val="center"/>
        <w:rPr>
          <w:rFonts w:ascii="ITC Avant Garde" w:hAnsi="ITC Avant Garde"/>
          <w:b/>
          <w:color w:val="auto"/>
          <w:sz w:val="22"/>
          <w:szCs w:val="22"/>
        </w:rPr>
      </w:pPr>
      <w:r w:rsidRPr="00133F1D">
        <w:rPr>
          <w:rFonts w:ascii="ITC Avant Garde" w:hAnsi="ITC Avant Garde"/>
          <w:b/>
          <w:color w:val="auto"/>
          <w:sz w:val="22"/>
          <w:szCs w:val="22"/>
        </w:rPr>
        <w:t>ANTECEDENTES</w:t>
      </w:r>
    </w:p>
    <w:p w:rsidR="00D33FA1" w:rsidRDefault="00ED3686" w:rsidP="00D33FA1">
      <w:pPr>
        <w:numPr>
          <w:ilvl w:val="0"/>
          <w:numId w:val="2"/>
        </w:numPr>
        <w:spacing w:after="240"/>
        <w:ind w:left="502"/>
        <w:jc w:val="both"/>
        <w:rPr>
          <w:rFonts w:ascii="ITC Avant Garde" w:hAnsi="ITC Avant Garde" w:cs="Calibri"/>
          <w:b/>
        </w:rPr>
      </w:pPr>
      <w:r w:rsidRPr="00911FEA">
        <w:rPr>
          <w:rFonts w:ascii="ITC Avant Garde" w:hAnsi="ITC Avant Garde" w:cs="Calibri"/>
          <w:b/>
        </w:rPr>
        <w:t>Refrendo de la Concesión.-</w:t>
      </w:r>
      <w:r w:rsidRPr="00911FEA">
        <w:rPr>
          <w:rFonts w:ascii="ITC Avant Garde" w:hAnsi="ITC Avant Garde" w:cs="Calibri"/>
        </w:rPr>
        <w:t xml:space="preserve"> El 17 de enero de 2005, de conformidad con el artículo 16 de la Ley Federal de Radio y Televisión, la Secretaría de Comunicaciones y Transportes (en lo sucesivo la “Secretaría”) otorgó el refrendo de la Concesión para instalar, operar y explotar comercialmente la frecuencia 107.3 MHz, con distintivo de llamada XHGTS-FM, en Nuevo Laredo, Tamaulipas (en lo sucesivo la “Concesión”), en favor de</w:t>
      </w:r>
      <w:r w:rsidRPr="00911FEA">
        <w:rPr>
          <w:rFonts w:ascii="ITC Avant Garde" w:hAnsi="ITC Avant Garde" w:cs="Calibri"/>
          <w:color w:val="000000" w:themeColor="text1"/>
        </w:rPr>
        <w:t xml:space="preserve"> Radio BMP de Nuevo Laredo, S.A. de C.V., </w:t>
      </w:r>
      <w:r w:rsidRPr="00911FEA">
        <w:rPr>
          <w:rFonts w:ascii="ITC Avant Garde" w:hAnsi="ITC Avant Garde" w:cs="Calibri"/>
        </w:rPr>
        <w:t>(en lo sucesivo “</w:t>
      </w:r>
      <w:r w:rsidRPr="00911FEA">
        <w:rPr>
          <w:rFonts w:ascii="ITC Avant Garde" w:hAnsi="ITC Avant Garde" w:cs="Calibri"/>
          <w:b/>
        </w:rPr>
        <w:t>BMP de Nuevo Laredo</w:t>
      </w:r>
      <w:r w:rsidRPr="00911FEA">
        <w:rPr>
          <w:rFonts w:ascii="ITC Avant Garde" w:hAnsi="ITC Avant Garde" w:cs="Calibri"/>
        </w:rPr>
        <w:t>”) para continuar operándola y explotándola comercialmente, con vigencia al 5 de octubre de 2016.</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b/>
          <w:bCs/>
          <w:color w:val="000000"/>
          <w:lang w:eastAsia="es-MX"/>
        </w:rPr>
        <w:t xml:space="preserve">Decreto de Reforma Constitucional.- </w:t>
      </w:r>
      <w:r w:rsidRPr="00911FEA">
        <w:rPr>
          <w:rFonts w:ascii="ITC Avant Garde" w:hAnsi="ITC Avant Garde"/>
          <w:bCs/>
          <w:color w:val="000000"/>
          <w:lang w:eastAsia="es-MX"/>
        </w:rPr>
        <w:t xml:space="preserve">Con fecha 11 de junio de 2013, se publicó en el </w:t>
      </w:r>
      <w:r>
        <w:rPr>
          <w:rFonts w:ascii="ITC Avant Garde" w:hAnsi="ITC Avant Garde"/>
          <w:bCs/>
          <w:color w:val="000000"/>
          <w:lang w:eastAsia="es-MX"/>
        </w:rPr>
        <w:t>Diario Oficial de la Federación (en lo sucesivo el “</w:t>
      </w:r>
      <w:r w:rsidRPr="00911FEA">
        <w:rPr>
          <w:rFonts w:ascii="ITC Avant Garde" w:hAnsi="ITC Avant Garde"/>
          <w:bCs/>
          <w:color w:val="000000"/>
          <w:lang w:eastAsia="es-MX"/>
        </w:rPr>
        <w:t>DOF</w:t>
      </w:r>
      <w:r>
        <w:rPr>
          <w:rFonts w:ascii="ITC Avant Garde" w:hAnsi="ITC Avant Garde"/>
          <w:bCs/>
          <w:color w:val="000000"/>
          <w:lang w:eastAsia="es-MX"/>
        </w:rPr>
        <w:t>”)</w:t>
      </w:r>
      <w:r w:rsidRPr="00911FEA">
        <w:rPr>
          <w:rFonts w:ascii="ITC Avant Garde" w:hAnsi="ITC Avant Garde"/>
          <w:bCs/>
          <w:color w:val="000000"/>
          <w:lang w:eastAsia="es-MX"/>
        </w:rPr>
        <w:t xml:space="preserve"> el “</w:t>
      </w:r>
      <w:r w:rsidRPr="00911FEA">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911FEA">
        <w:rPr>
          <w:rFonts w:ascii="ITC Avant Garde" w:hAnsi="ITC Avant Garde"/>
          <w:bCs/>
          <w:color w:val="000000"/>
          <w:lang w:eastAsia="es-MX"/>
        </w:rPr>
        <w:t>” (en lo sucesivo el “Decreto de Reforma Constitucional”), mediante el cual se creó el Instituto Federal de Telecomunicaciones (en lo sucesivo el “Instituto”).</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Arial"/>
          <w:b/>
          <w:kern w:val="1"/>
          <w:lang w:eastAsia="ar-SA"/>
        </w:rPr>
        <w:t xml:space="preserve">Decreto de </w:t>
      </w:r>
      <w:proofErr w:type="gramStart"/>
      <w:r w:rsidRPr="00911FEA">
        <w:rPr>
          <w:rFonts w:ascii="ITC Avant Garde" w:hAnsi="ITC Avant Garde" w:cs="Arial"/>
          <w:b/>
          <w:kern w:val="1"/>
          <w:lang w:eastAsia="ar-SA"/>
        </w:rPr>
        <w:t>Ley.-</w:t>
      </w:r>
      <w:proofErr w:type="gramEnd"/>
      <w:r w:rsidRPr="00911FEA">
        <w:rPr>
          <w:rFonts w:ascii="ITC Avant Garde" w:hAnsi="ITC Avant Garde" w:cs="Arial"/>
          <w:b/>
          <w:kern w:val="1"/>
          <w:lang w:eastAsia="ar-SA"/>
        </w:rPr>
        <w:t xml:space="preserve"> </w:t>
      </w:r>
      <w:r w:rsidRPr="00911FEA">
        <w:rPr>
          <w:rFonts w:ascii="ITC Avant Garde" w:hAnsi="ITC Avant Garde" w:cs="Arial"/>
          <w:kern w:val="1"/>
          <w:lang w:eastAsia="ar-SA"/>
        </w:rPr>
        <w:t>El 14 de julio de 2014 se publicó en el DOF, el “</w:t>
      </w:r>
      <w:r w:rsidRPr="00911FEA">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11FEA">
        <w:rPr>
          <w:rFonts w:ascii="ITC Avant Garde" w:hAnsi="ITC Avant Garde" w:cs="Arial"/>
          <w:kern w:val="1"/>
          <w:lang w:eastAsia="ar-SA"/>
        </w:rPr>
        <w:t>”, el cual entró en vigor el 13 de agosto de 2014.</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Arial"/>
          <w:b/>
          <w:kern w:val="1"/>
          <w:lang w:eastAsia="ar-SA"/>
        </w:rPr>
        <w:t xml:space="preserve">Estatuto </w:t>
      </w:r>
      <w:proofErr w:type="gramStart"/>
      <w:r w:rsidRPr="00911FEA">
        <w:rPr>
          <w:rFonts w:ascii="ITC Avant Garde" w:hAnsi="ITC Avant Garde" w:cs="Arial"/>
          <w:b/>
          <w:kern w:val="1"/>
          <w:lang w:eastAsia="ar-SA"/>
        </w:rPr>
        <w:t>Orgánico.-</w:t>
      </w:r>
      <w:proofErr w:type="gramEnd"/>
      <w:r w:rsidRPr="00911FEA">
        <w:rPr>
          <w:rFonts w:ascii="ITC Avant Garde" w:hAnsi="ITC Avant Garde"/>
          <w:kern w:val="1"/>
          <w:lang w:eastAsia="ar-SA"/>
        </w:rPr>
        <w:t xml:space="preserve"> </w:t>
      </w:r>
      <w:r w:rsidRPr="00911FEA">
        <w:rPr>
          <w:rFonts w:ascii="ITC Avant Garde" w:hAnsi="ITC Avant Garde" w:cs="Arial"/>
          <w:kern w:val="1"/>
          <w:lang w:eastAsia="ar-SA"/>
        </w:rPr>
        <w:t>El 4 de septiembre de 2014, se publicó en el DOF, el “</w:t>
      </w:r>
      <w:r w:rsidRPr="00911FEA">
        <w:rPr>
          <w:rFonts w:ascii="ITC Avant Garde" w:hAnsi="ITC Avant Garde" w:cs="Arial"/>
          <w:i/>
          <w:kern w:val="1"/>
          <w:lang w:eastAsia="ar-SA"/>
        </w:rPr>
        <w:t>Estatuto Orgánico del Instituto Federal de Telecomunicaciones</w:t>
      </w:r>
      <w:r w:rsidRPr="00911FEA">
        <w:rPr>
          <w:rFonts w:ascii="ITC Avant Garde" w:hAnsi="ITC Avant Garde" w:cs="Arial"/>
          <w:kern w:val="1"/>
          <w:lang w:eastAsia="ar-SA"/>
        </w:rPr>
        <w:t xml:space="preserve">” (en lo sucesivo el “Estatuto Orgánico”), mismo que entró en vigor el 26 de septiembre de 2014. El cual se modificó a través del </w:t>
      </w:r>
      <w:r w:rsidRPr="00911FEA">
        <w:rPr>
          <w:rFonts w:ascii="ITC Avant Garde" w:hAnsi="ITC Avant Garde" w:cs="Arial"/>
          <w:i/>
          <w:kern w:val="1"/>
          <w:lang w:eastAsia="ar-SA"/>
        </w:rPr>
        <w:t>“Acuerdo por el que se modifica el Estatuto Orgánico del Instituto Federal de Telecomunicaciones”</w:t>
      </w:r>
      <w:r w:rsidRPr="00911FEA">
        <w:rPr>
          <w:rFonts w:ascii="ITC Avant Garde" w:hAnsi="ITC Avant Garde" w:cs="Arial"/>
          <w:kern w:val="1"/>
          <w:lang w:eastAsia="ar-SA"/>
        </w:rPr>
        <w:t>, publicado en el DOF el 17 de octubre de 2014.</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Calibri"/>
          <w:b/>
        </w:rPr>
        <w:t>Inscripción de Gravamen en el Registro Público de Concesiones.</w:t>
      </w:r>
      <w:r w:rsidRPr="00911FEA">
        <w:rPr>
          <w:rFonts w:ascii="ITC Avant Garde" w:hAnsi="ITC Avant Garde" w:cs="Calibri"/>
        </w:rPr>
        <w:t xml:space="preserve">- Mediante oficio </w:t>
      </w:r>
      <w:r w:rsidRPr="00911FEA">
        <w:rPr>
          <w:rFonts w:ascii="ITC Avant Garde" w:hAnsi="ITC Avant Garde" w:cs="Arial"/>
          <w:kern w:val="1"/>
          <w:lang w:eastAsia="ar-SA"/>
        </w:rPr>
        <w:t xml:space="preserve">IFT/223/UCS/DGA-RPT/347/2015 del 7 de mayo de 2015, el Instituto, a través de la Dirección General Adjunta del Registro Público de Telecomunicaciones (en lo </w:t>
      </w:r>
      <w:r w:rsidRPr="00911FEA">
        <w:rPr>
          <w:rFonts w:ascii="ITC Avant Garde" w:hAnsi="ITC Avant Garde" w:cs="Arial"/>
          <w:kern w:val="1"/>
          <w:lang w:eastAsia="ar-SA"/>
        </w:rPr>
        <w:lastRenderedPageBreak/>
        <w:t xml:space="preserve">sucesivo DGA-RPT), notificó a </w:t>
      </w:r>
      <w:r w:rsidRPr="00911FEA">
        <w:rPr>
          <w:rFonts w:ascii="ITC Avant Garde" w:hAnsi="ITC Avant Garde" w:cs="Calibri"/>
          <w:b/>
        </w:rPr>
        <w:t>BMP de Nuevo Laredo</w:t>
      </w:r>
      <w:r w:rsidRPr="00911FEA">
        <w:rPr>
          <w:rFonts w:ascii="ITC Avant Garde" w:hAnsi="ITC Avant Garde" w:cs="Calibri"/>
        </w:rPr>
        <w:t>, que el gravamen relacionado con la Concesión y contenido en la escritura pública No. 51,828 del 23 de enero de 2015, quedo inscrito en el Registro Público de Concesiones en el Folio Electrónico FER034046CO-104968, con número de inscripción 009660 también del 7 de mayo de 2015.</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Arial"/>
          <w:b/>
          <w:kern w:val="1"/>
          <w:lang w:eastAsia="ar-SA"/>
        </w:rPr>
        <w:t xml:space="preserve">Autorización de Enajenación de </w:t>
      </w:r>
      <w:proofErr w:type="gramStart"/>
      <w:r w:rsidRPr="00911FEA">
        <w:rPr>
          <w:rFonts w:ascii="ITC Avant Garde" w:hAnsi="ITC Avant Garde" w:cs="Arial"/>
          <w:b/>
          <w:kern w:val="1"/>
          <w:lang w:eastAsia="ar-SA"/>
        </w:rPr>
        <w:t>Acciones</w:t>
      </w:r>
      <w:r w:rsidRPr="00911FEA">
        <w:rPr>
          <w:rFonts w:ascii="ITC Avant Garde" w:hAnsi="ITC Avant Garde" w:cs="Arial"/>
          <w:kern w:val="1"/>
          <w:lang w:eastAsia="ar-SA"/>
        </w:rPr>
        <w:t>.-</w:t>
      </w:r>
      <w:proofErr w:type="gramEnd"/>
      <w:r w:rsidRPr="00911FEA">
        <w:rPr>
          <w:rFonts w:ascii="ITC Avant Garde" w:hAnsi="ITC Avant Garde" w:cs="Arial"/>
          <w:kern w:val="1"/>
          <w:lang w:eastAsia="ar-SA"/>
        </w:rPr>
        <w:t xml:space="preserve"> En términos del Acuerdo P/IFT/030715/199 del 3 de julio de 2015, el Pleno del Instituto autorizó la transmisión de 1, 614,199 acciones del capital social fijo y variable de </w:t>
      </w:r>
      <w:r w:rsidRPr="00911FEA">
        <w:rPr>
          <w:rFonts w:ascii="ITC Avant Garde" w:hAnsi="ITC Avant Garde" w:cs="Calibri"/>
          <w:b/>
        </w:rPr>
        <w:t>BMP de Nuevo Laredo,</w:t>
      </w:r>
      <w:r w:rsidRPr="00911FEA">
        <w:rPr>
          <w:rFonts w:ascii="ITC Avant Garde" w:hAnsi="ITC Avant Garde" w:cs="Calibri"/>
        </w:rPr>
        <w:t xml:space="preserve"> a favor del fideicomiso No. 11038635.</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Calibri"/>
          <w:b/>
        </w:rPr>
        <w:t xml:space="preserve">Cancelación de Inscripción de Gravamen en el Registro Público de </w:t>
      </w:r>
      <w:proofErr w:type="gramStart"/>
      <w:r w:rsidRPr="00911FEA">
        <w:rPr>
          <w:rFonts w:ascii="ITC Avant Garde" w:hAnsi="ITC Avant Garde" w:cs="Calibri"/>
          <w:b/>
        </w:rPr>
        <w:t>Concesiones.</w:t>
      </w:r>
      <w:r w:rsidRPr="00911FEA">
        <w:rPr>
          <w:rFonts w:ascii="ITC Avant Garde" w:hAnsi="ITC Avant Garde" w:cs="Calibri"/>
        </w:rPr>
        <w:t>-</w:t>
      </w:r>
      <w:proofErr w:type="gramEnd"/>
      <w:r w:rsidRPr="00911FEA">
        <w:rPr>
          <w:rFonts w:ascii="ITC Avant Garde" w:hAnsi="ITC Avant Garde" w:cs="Calibri"/>
        </w:rPr>
        <w:t xml:space="preserve"> Mediante oficio </w:t>
      </w:r>
      <w:r w:rsidRPr="00911FEA">
        <w:rPr>
          <w:rFonts w:ascii="ITC Avant Garde" w:hAnsi="ITC Avant Garde" w:cs="Arial"/>
          <w:kern w:val="1"/>
          <w:lang w:eastAsia="ar-SA"/>
        </w:rPr>
        <w:t xml:space="preserve">IFT/223/UCS/DGA-RPT/972/2015 del 23 de septiembre de 2015, el Instituto, a través de la DGA-RPT, notificó a </w:t>
      </w:r>
      <w:r w:rsidRPr="00911FEA">
        <w:rPr>
          <w:rFonts w:ascii="ITC Avant Garde" w:hAnsi="ITC Avant Garde" w:cs="Calibri"/>
          <w:b/>
        </w:rPr>
        <w:t xml:space="preserve">BMP de Nuevo Laredo, </w:t>
      </w:r>
      <w:r w:rsidRPr="00911FEA">
        <w:rPr>
          <w:rFonts w:ascii="ITC Avant Garde" w:hAnsi="ITC Avant Garde" w:cs="Calibri"/>
        </w:rPr>
        <w:t>la cancelación de la inscripción en el Registro Público de Concesiones del folio 009660, del gravamen descrito en el Antecedente V, quedó debidamente cancelado.</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Calibri"/>
          <w:b/>
        </w:rPr>
        <w:t xml:space="preserve">Aviso de aumento de Capital </w:t>
      </w:r>
      <w:proofErr w:type="gramStart"/>
      <w:r w:rsidRPr="00911FEA">
        <w:rPr>
          <w:rFonts w:ascii="ITC Avant Garde" w:hAnsi="ITC Avant Garde" w:cs="Calibri"/>
          <w:b/>
        </w:rPr>
        <w:t>Social.-</w:t>
      </w:r>
      <w:proofErr w:type="gramEnd"/>
      <w:r w:rsidRPr="00911FEA">
        <w:rPr>
          <w:rFonts w:ascii="ITC Avant Garde" w:hAnsi="ITC Avant Garde" w:cs="Calibri"/>
        </w:rPr>
        <w:t xml:space="preserve"> El 29 de septiembre de 2015, el representante legal de </w:t>
      </w:r>
      <w:r w:rsidRPr="00911FEA">
        <w:rPr>
          <w:rFonts w:ascii="ITC Avant Garde" w:hAnsi="ITC Avant Garde" w:cs="Calibri"/>
          <w:b/>
        </w:rPr>
        <w:t xml:space="preserve">BMP de Nuevo Laredo </w:t>
      </w:r>
      <w:r w:rsidRPr="00911FEA">
        <w:rPr>
          <w:rFonts w:ascii="ITC Avant Garde" w:hAnsi="ITC Avant Garde" w:cs="Calibri"/>
        </w:rPr>
        <w:t>presentó a este Instituto, el escrito mediante el cual informa que su representada ha llevado a cabo un aumento de capital variable, mediante la suscripción de 26,500,000 acciones, derivado de la capitalización de pasivos por parte de su accionista Radio RGG de México, S. de R.L. de C.V., sin que ello modifique la porción de su participación en el capital de la sociedad.</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Arial"/>
          <w:b/>
          <w:kern w:val="1"/>
          <w:lang w:eastAsia="ar-SA"/>
        </w:rPr>
        <w:t xml:space="preserve">Solicitud de Enajenación de Acciones.- </w:t>
      </w:r>
      <w:r w:rsidRPr="00911FEA">
        <w:rPr>
          <w:rFonts w:ascii="ITC Avant Garde" w:hAnsi="ITC Avant Garde" w:cs="Arial"/>
          <w:kern w:val="1"/>
          <w:lang w:eastAsia="ar-SA"/>
        </w:rPr>
        <w:t>Con escrito presentado ante el Instituto el 2 de octubre de 2015, el representante legal de</w:t>
      </w:r>
      <w:r w:rsidRPr="00911FEA">
        <w:rPr>
          <w:rFonts w:ascii="ITC Avant Garde" w:hAnsi="ITC Avant Garde"/>
          <w:b/>
          <w:bCs/>
          <w:color w:val="000000"/>
          <w:lang w:eastAsia="es-MX"/>
        </w:rPr>
        <w:t xml:space="preserve"> </w:t>
      </w:r>
      <w:r w:rsidRPr="00911FEA">
        <w:rPr>
          <w:rFonts w:ascii="ITC Avant Garde" w:hAnsi="ITC Avant Garde" w:cs="Calibri"/>
          <w:b/>
        </w:rPr>
        <w:t>BMP de Nuevo Laredo</w:t>
      </w:r>
      <w:r w:rsidRPr="00911FEA">
        <w:rPr>
          <w:rFonts w:ascii="ITC Avant Garde" w:hAnsi="ITC Avant Garde" w:cs="Arial"/>
          <w:kern w:val="1"/>
          <w:lang w:eastAsia="ar-SA"/>
        </w:rPr>
        <w:t xml:space="preserve">, </w:t>
      </w:r>
      <w:r w:rsidRPr="00911FEA">
        <w:rPr>
          <w:rFonts w:ascii="ITC Avant Garde" w:hAnsi="ITC Avant Garde" w:cs="Arial"/>
          <w:kern w:val="2"/>
          <w:lang w:eastAsia="ar-SA"/>
        </w:rPr>
        <w:t xml:space="preserve">señaló la intención de su representada de llevar a cabo la enajenación de la totalidad de las acciones representativas del capital social de las que son titulares </w:t>
      </w:r>
      <w:r w:rsidRPr="00911FEA">
        <w:rPr>
          <w:rFonts w:ascii="ITC Avant Garde" w:hAnsi="ITC Avant Garde"/>
          <w:bCs/>
        </w:rPr>
        <w:t>Radio RGG de México, S. de R.L. de C.V. y Radio BMP de Reynosa, S.A. de C.V.</w:t>
      </w:r>
      <w:r w:rsidRPr="00911FEA">
        <w:rPr>
          <w:rFonts w:ascii="ITC Avant Garde" w:hAnsi="ITC Avant Garde" w:cs="Arial"/>
          <w:kern w:val="1"/>
          <w:lang w:eastAsia="ar-SA"/>
        </w:rPr>
        <w:t xml:space="preserve">, a favor de </w:t>
      </w:r>
      <w:r w:rsidRPr="00911FEA">
        <w:rPr>
          <w:rFonts w:ascii="ITC Avant Garde" w:hAnsi="ITC Avant Garde"/>
          <w:bCs/>
        </w:rPr>
        <w:t xml:space="preserve">los CC. Noé Cuellar González y Ruth Socorro </w:t>
      </w:r>
      <w:r w:rsidRPr="00911FEA">
        <w:rPr>
          <w:rFonts w:ascii="ITC Avant Garde" w:hAnsi="ITC Avant Garde"/>
          <w:color w:val="000000"/>
        </w:rPr>
        <w:t>Rodríguez Narváez</w:t>
      </w:r>
      <w:r w:rsidRPr="00911FEA">
        <w:rPr>
          <w:rFonts w:ascii="ITC Avant Garde" w:hAnsi="ITC Avant Garde" w:cs="Arial"/>
          <w:kern w:val="1"/>
          <w:lang w:eastAsia="ar-SA"/>
        </w:rPr>
        <w:t xml:space="preserve"> (en lo sucesivo la “Solicitud de Enajenación de Acciones”).</w:t>
      </w:r>
    </w:p>
    <w:p w:rsidR="00D33FA1" w:rsidRDefault="00ED3686" w:rsidP="00D33FA1">
      <w:pPr>
        <w:numPr>
          <w:ilvl w:val="0"/>
          <w:numId w:val="2"/>
        </w:numPr>
        <w:spacing w:after="240"/>
        <w:ind w:left="502"/>
        <w:jc w:val="both"/>
        <w:rPr>
          <w:rFonts w:ascii="ITC Avant Garde" w:hAnsi="ITC Avant Garde" w:cs="Calibri"/>
        </w:rPr>
      </w:pPr>
      <w:r w:rsidRPr="00911FEA">
        <w:rPr>
          <w:rFonts w:ascii="ITC Avant Garde" w:hAnsi="ITC Avant Garde" w:cs="Arial"/>
          <w:b/>
          <w:kern w:val="1"/>
          <w:lang w:eastAsia="ar-SA"/>
        </w:rPr>
        <w:t xml:space="preserve">Solicitud de Opinión Técnica a la Secretaría.- </w:t>
      </w:r>
      <w:r w:rsidRPr="00911FEA">
        <w:rPr>
          <w:rFonts w:ascii="ITC Avant Garde" w:hAnsi="ITC Avant Garde" w:cs="Arial"/>
          <w:kern w:val="1"/>
          <w:lang w:eastAsia="ar-SA"/>
        </w:rPr>
        <w:t xml:space="preserve">Mediante oficio IFT/223/UCS/2334/2015 notificado el 12 de octubre de 2015, el Instituto, a través de la Unidad de Concesiones y Servicios (en lo sucesivo la “UCS”),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911FEA">
        <w:rPr>
          <w:rFonts w:ascii="ITC Avant Garde" w:hAnsi="ITC Avant Garde"/>
          <w:bCs/>
        </w:rPr>
        <w:t>Federal de Telecomunicaciones y Radiodifusión (en lo sucesivo la “Ley”)</w:t>
      </w:r>
      <w:r w:rsidRPr="00911FEA">
        <w:rPr>
          <w:rFonts w:ascii="ITC Avant Garde" w:hAnsi="ITC Avant Garde" w:cs="Arial"/>
          <w:kern w:val="1"/>
          <w:lang w:eastAsia="ar-SA"/>
        </w:rPr>
        <w:t>.</w:t>
      </w:r>
    </w:p>
    <w:p w:rsidR="00D33FA1" w:rsidRDefault="00ED3686" w:rsidP="00D33FA1">
      <w:pPr>
        <w:numPr>
          <w:ilvl w:val="0"/>
          <w:numId w:val="2"/>
        </w:numPr>
        <w:spacing w:after="240"/>
        <w:ind w:left="502"/>
        <w:jc w:val="both"/>
        <w:rPr>
          <w:rFonts w:ascii="ITC Avant Garde" w:hAnsi="ITC Avant Garde" w:cs="Arial"/>
          <w:kern w:val="1"/>
          <w:lang w:eastAsia="ar-SA"/>
        </w:rPr>
      </w:pPr>
      <w:r w:rsidRPr="00911FEA">
        <w:rPr>
          <w:rFonts w:ascii="ITC Avant Garde" w:hAnsi="ITC Avant Garde" w:cs="Arial"/>
          <w:b/>
          <w:kern w:val="1"/>
          <w:lang w:eastAsia="ar-SA"/>
        </w:rPr>
        <w:lastRenderedPageBreak/>
        <w:t xml:space="preserve">Alcance al aviso de aumento de Capital Social.- </w:t>
      </w:r>
      <w:r w:rsidRPr="00911FEA">
        <w:rPr>
          <w:rFonts w:ascii="ITC Avant Garde" w:hAnsi="ITC Avant Garde" w:cs="Arial"/>
          <w:kern w:val="1"/>
          <w:lang w:eastAsia="ar-SA"/>
        </w:rPr>
        <w:t xml:space="preserve">A través del escrito recibido en este Instituto el 27 de octubre de 2015, el representante legal de </w:t>
      </w:r>
      <w:r w:rsidRPr="00277DB7">
        <w:rPr>
          <w:rFonts w:ascii="ITC Avant Garde" w:hAnsi="ITC Avant Garde" w:cs="Arial"/>
          <w:b/>
          <w:kern w:val="1"/>
          <w:lang w:eastAsia="ar-SA"/>
        </w:rPr>
        <w:t>BMP de Nuevo Laredo</w:t>
      </w:r>
      <w:r w:rsidRPr="00911FEA">
        <w:rPr>
          <w:rFonts w:ascii="ITC Avant Garde" w:hAnsi="ITC Avant Garde" w:cs="Arial"/>
          <w:kern w:val="1"/>
          <w:lang w:eastAsia="ar-SA"/>
        </w:rPr>
        <w:t xml:space="preserve"> en alcance al escrito señalado en el Antecedente VIII de la presente resolución, remitió una fe de erratas respecto de la integración del capital social de su representada, en particular al número de acciones en el capital fijo correspondiente al socio accionista Fideicomiso 11038635 (Radio RGG de México, S. de R.L. de C.V.), pues por error se incluyó la cantidad de 49,000 acciones, siendo el número correcto 49,999 acciones.</w:t>
      </w:r>
    </w:p>
    <w:p w:rsidR="00D33FA1" w:rsidRDefault="00ED3686" w:rsidP="00D33FA1">
      <w:pPr>
        <w:numPr>
          <w:ilvl w:val="0"/>
          <w:numId w:val="2"/>
        </w:numPr>
        <w:spacing w:after="240"/>
        <w:ind w:left="502"/>
        <w:jc w:val="both"/>
        <w:rPr>
          <w:rFonts w:ascii="ITC Avant Garde" w:hAnsi="ITC Avant Garde" w:cs="Arial"/>
          <w:kern w:val="1"/>
          <w:lang w:eastAsia="ar-SA"/>
        </w:rPr>
      </w:pPr>
      <w:r w:rsidRPr="00466223">
        <w:rPr>
          <w:rFonts w:ascii="ITC Avant Garde" w:hAnsi="ITC Avant Garde"/>
          <w:b/>
          <w:bCs/>
          <w:color w:val="000000"/>
          <w:lang w:eastAsia="es-MX"/>
        </w:rPr>
        <w:t xml:space="preserve">Opinión en Materia de Competencia </w:t>
      </w:r>
      <w:proofErr w:type="gramStart"/>
      <w:r w:rsidRPr="00466223">
        <w:rPr>
          <w:rFonts w:ascii="ITC Avant Garde" w:hAnsi="ITC Avant Garde"/>
          <w:b/>
          <w:bCs/>
          <w:color w:val="000000"/>
          <w:lang w:eastAsia="es-MX"/>
        </w:rPr>
        <w:t>Económica.-</w:t>
      </w:r>
      <w:proofErr w:type="gramEnd"/>
      <w:r w:rsidRPr="00466223">
        <w:rPr>
          <w:rFonts w:ascii="ITC Avant Garde" w:hAnsi="ITC Avant Garde"/>
          <w:bCs/>
          <w:color w:val="000000"/>
          <w:lang w:eastAsia="es-MX"/>
        </w:rPr>
        <w:t>Mediante oficio IFT/226/UCE/DG-CCON/</w:t>
      </w:r>
      <w:r>
        <w:rPr>
          <w:rFonts w:ascii="ITC Avant Garde" w:hAnsi="ITC Avant Garde"/>
          <w:bCs/>
          <w:color w:val="000000"/>
          <w:lang w:eastAsia="es-MX"/>
        </w:rPr>
        <w:t>295</w:t>
      </w:r>
      <w:r w:rsidRPr="00466223">
        <w:rPr>
          <w:rFonts w:ascii="ITC Avant Garde" w:hAnsi="ITC Avant Garde"/>
          <w:bCs/>
          <w:color w:val="000000"/>
          <w:lang w:eastAsia="es-MX"/>
        </w:rPr>
        <w:t xml:space="preserve">/2015 de fecha </w:t>
      </w:r>
      <w:r>
        <w:rPr>
          <w:rFonts w:ascii="ITC Avant Garde" w:hAnsi="ITC Avant Garde"/>
          <w:bCs/>
          <w:color w:val="000000"/>
          <w:lang w:eastAsia="es-MX"/>
        </w:rPr>
        <w:t>12</w:t>
      </w:r>
      <w:r>
        <w:rPr>
          <w:rFonts w:ascii="ITC Avant Garde" w:hAnsi="ITC Avant Garde" w:cs="Arial"/>
          <w:kern w:val="1"/>
          <w:lang w:eastAsia="ar-SA"/>
        </w:rPr>
        <w:t xml:space="preserve"> </w:t>
      </w:r>
      <w:r w:rsidRPr="00466223">
        <w:rPr>
          <w:rFonts w:ascii="ITC Avant Garde" w:hAnsi="ITC Avant Garde" w:cs="Arial"/>
          <w:kern w:val="1"/>
          <w:lang w:eastAsia="ar-SA"/>
        </w:rPr>
        <w:t xml:space="preserve">de </w:t>
      </w:r>
      <w:r>
        <w:rPr>
          <w:rFonts w:ascii="ITC Avant Garde" w:hAnsi="ITC Avant Garde" w:cs="Arial"/>
          <w:kern w:val="1"/>
          <w:lang w:eastAsia="ar-SA"/>
        </w:rPr>
        <w:t>noviem</w:t>
      </w:r>
      <w:r w:rsidRPr="00466223">
        <w:rPr>
          <w:rFonts w:ascii="ITC Avant Garde" w:hAnsi="ITC Avant Garde" w:cs="Arial"/>
          <w:kern w:val="1"/>
          <w:lang w:eastAsia="ar-SA"/>
        </w:rPr>
        <w:t>bre</w:t>
      </w:r>
      <w:r w:rsidRPr="00466223">
        <w:rPr>
          <w:rFonts w:ascii="ITC Avant Garde" w:hAnsi="ITC Avant Garde"/>
          <w:bCs/>
          <w:color w:val="000000"/>
          <w:lang w:eastAsia="es-MX"/>
        </w:rPr>
        <w:t xml:space="preserve"> de 2015</w:t>
      </w:r>
      <w:r>
        <w:rPr>
          <w:rFonts w:ascii="ITC Avant Garde" w:hAnsi="ITC Avant Garde"/>
          <w:bCs/>
          <w:color w:val="000000"/>
          <w:lang w:eastAsia="es-MX"/>
        </w:rPr>
        <w:t>,</w:t>
      </w:r>
      <w:r w:rsidRPr="00466223">
        <w:rPr>
          <w:rFonts w:ascii="ITC Avant Garde" w:hAnsi="ITC Avant Garde"/>
          <w:bCs/>
          <w:color w:val="000000"/>
          <w:lang w:eastAsia="es-MX"/>
        </w:rPr>
        <w:t xml:space="preserve"> la Unidad de Competencia Económica</w:t>
      </w:r>
      <w:r>
        <w:rPr>
          <w:rFonts w:ascii="ITC Avant Garde" w:hAnsi="ITC Avant Garde"/>
          <w:bCs/>
          <w:color w:val="000000"/>
          <w:lang w:eastAsia="es-MX"/>
        </w:rPr>
        <w:t xml:space="preserve"> (en lo sucesivo la “UCE”)</w:t>
      </w:r>
      <w:r w:rsidRPr="00466223">
        <w:rPr>
          <w:rFonts w:ascii="ITC Avant Garde" w:hAnsi="ITC Avant Garde"/>
          <w:bCs/>
          <w:color w:val="000000"/>
          <w:lang w:eastAsia="es-MX"/>
        </w:rPr>
        <w:t>, a través de la Dirección General de Concentraciones y Concesiones emitió opinión en materia de competencia económica, respecto de la Solicitud de Enajenación de Acciones</w:t>
      </w:r>
    </w:p>
    <w:p w:rsidR="00D33FA1" w:rsidRDefault="00ED3686" w:rsidP="00D33FA1">
      <w:pPr>
        <w:numPr>
          <w:ilvl w:val="0"/>
          <w:numId w:val="2"/>
        </w:numPr>
        <w:spacing w:after="240"/>
        <w:ind w:left="502"/>
        <w:jc w:val="both"/>
        <w:rPr>
          <w:rFonts w:ascii="ITC Avant Garde" w:hAnsi="ITC Avant Garde"/>
          <w:bCs/>
        </w:rPr>
      </w:pPr>
      <w:r w:rsidRPr="00E91C30">
        <w:rPr>
          <w:rFonts w:ascii="ITC Avant Garde" w:hAnsi="ITC Avant Garde" w:cs="Arial"/>
          <w:b/>
          <w:kern w:val="1"/>
          <w:lang w:eastAsia="ar-SA"/>
        </w:rPr>
        <w:t xml:space="preserve">Opinión Técnica de la </w:t>
      </w:r>
      <w:proofErr w:type="gramStart"/>
      <w:r w:rsidRPr="00E91C30">
        <w:rPr>
          <w:rFonts w:ascii="ITC Avant Garde" w:hAnsi="ITC Avant Garde" w:cs="Arial"/>
          <w:b/>
          <w:kern w:val="1"/>
          <w:lang w:eastAsia="ar-SA"/>
        </w:rPr>
        <w:t>Secretaría.-</w:t>
      </w:r>
      <w:proofErr w:type="gramEnd"/>
      <w:r w:rsidRPr="00E91C30">
        <w:rPr>
          <w:rFonts w:ascii="ITC Avant Garde" w:hAnsi="ITC Avant Garde" w:cs="Arial"/>
          <w:b/>
          <w:kern w:val="1"/>
          <w:lang w:eastAsia="ar-SA"/>
        </w:rPr>
        <w:t xml:space="preserve"> </w:t>
      </w:r>
      <w:r w:rsidRPr="00E91C30">
        <w:rPr>
          <w:rFonts w:ascii="ITC Avant Garde" w:hAnsi="ITC Avant Garde" w:cs="Arial"/>
          <w:kern w:val="1"/>
          <w:lang w:eastAsia="ar-SA"/>
        </w:rPr>
        <w:t>Mediante oficio 2.1.-</w:t>
      </w:r>
      <w:r>
        <w:rPr>
          <w:rFonts w:ascii="ITC Avant Garde" w:hAnsi="ITC Avant Garde" w:cs="Arial"/>
          <w:kern w:val="1"/>
          <w:lang w:eastAsia="ar-SA"/>
        </w:rPr>
        <w:t>1448</w:t>
      </w:r>
      <w:r w:rsidRPr="00E91C30">
        <w:rPr>
          <w:rFonts w:ascii="ITC Avant Garde" w:hAnsi="ITC Avant Garde" w:cs="Arial"/>
          <w:kern w:val="1"/>
          <w:lang w:eastAsia="ar-SA"/>
        </w:rPr>
        <w:t xml:space="preserve"> de fecha </w:t>
      </w:r>
      <w:r>
        <w:rPr>
          <w:rFonts w:ascii="ITC Avant Garde" w:hAnsi="ITC Avant Garde" w:cs="Arial"/>
          <w:kern w:val="1"/>
          <w:lang w:eastAsia="ar-SA"/>
        </w:rPr>
        <w:t>24</w:t>
      </w:r>
      <w:r w:rsidRPr="00E91C30">
        <w:rPr>
          <w:rFonts w:ascii="ITC Avant Garde" w:hAnsi="ITC Avant Garde" w:cs="Arial"/>
          <w:kern w:val="1"/>
          <w:lang w:eastAsia="ar-SA"/>
        </w:rPr>
        <w:t xml:space="preserve"> de </w:t>
      </w:r>
      <w:r>
        <w:rPr>
          <w:rFonts w:ascii="ITC Avant Garde" w:hAnsi="ITC Avant Garde" w:cs="Arial"/>
          <w:kern w:val="1"/>
          <w:lang w:eastAsia="ar-SA"/>
        </w:rPr>
        <w:t xml:space="preserve">noviembre </w:t>
      </w:r>
      <w:r w:rsidRPr="00E91C30">
        <w:rPr>
          <w:rFonts w:ascii="ITC Avant Garde" w:hAnsi="ITC Avant Garde" w:cs="Arial"/>
          <w:kern w:val="1"/>
          <w:lang w:eastAsia="ar-SA"/>
        </w:rPr>
        <w:t xml:space="preserve">de 2015, recibido en el Instituto </w:t>
      </w:r>
      <w:r>
        <w:rPr>
          <w:rFonts w:ascii="ITC Avant Garde" w:hAnsi="ITC Avant Garde" w:cs="Arial"/>
          <w:kern w:val="1"/>
          <w:lang w:eastAsia="ar-SA"/>
        </w:rPr>
        <w:t>26 del mismo mes y año</w:t>
      </w:r>
      <w:r w:rsidRPr="00E91C30">
        <w:rPr>
          <w:rFonts w:ascii="ITC Avant Garde" w:hAnsi="ITC Avant Garde" w:cs="Arial"/>
          <w:kern w:val="1"/>
          <w:lang w:eastAsia="ar-SA"/>
        </w:rPr>
        <w:t xml:space="preserve">, la Dirección General de Política de Telecomunicaciones y Radiodifusión de la </w:t>
      </w:r>
      <w:r w:rsidRPr="00E91C30">
        <w:rPr>
          <w:rFonts w:ascii="ITC Avant Garde" w:hAnsi="ITC Avant Garde"/>
          <w:bCs/>
          <w:color w:val="000000"/>
          <w:lang w:eastAsia="es-MX"/>
        </w:rPr>
        <w:t>Secretaría</w:t>
      </w:r>
      <w:r w:rsidRPr="00E91C30">
        <w:rPr>
          <w:rFonts w:ascii="ITC Avant Garde" w:hAnsi="ITC Avant Garde" w:cs="Arial"/>
          <w:kern w:val="1"/>
          <w:lang w:eastAsia="ar-SA"/>
        </w:rPr>
        <w:t xml:space="preserve">, remitió la opinión favorable a la Solicitud de Enajenación </w:t>
      </w:r>
      <w:r>
        <w:rPr>
          <w:rFonts w:ascii="ITC Avant Garde" w:hAnsi="ITC Avant Garde" w:cs="Arial"/>
          <w:kern w:val="1"/>
          <w:lang w:eastAsia="ar-SA"/>
        </w:rPr>
        <w:t>Acciones</w:t>
      </w:r>
      <w:r w:rsidRPr="00E91C30">
        <w:rPr>
          <w:rFonts w:ascii="ITC Avant Garde" w:hAnsi="ITC Avant Garde" w:cs="Arial"/>
          <w:kern w:val="1"/>
          <w:lang w:eastAsia="ar-SA"/>
        </w:rPr>
        <w:t>, contenida e</w:t>
      </w:r>
      <w:r>
        <w:rPr>
          <w:rFonts w:ascii="ITC Avant Garde" w:hAnsi="ITC Avant Garde" w:cs="Arial"/>
          <w:kern w:val="1"/>
          <w:lang w:eastAsia="ar-SA"/>
        </w:rPr>
        <w:t>n el diverso oficio número 1.-365</w:t>
      </w:r>
      <w:r w:rsidRPr="00E91C30">
        <w:rPr>
          <w:rFonts w:ascii="ITC Avant Garde" w:hAnsi="ITC Avant Garde" w:cs="Arial"/>
          <w:kern w:val="1"/>
          <w:lang w:eastAsia="ar-SA"/>
        </w:rPr>
        <w:t xml:space="preserve"> de fecha </w:t>
      </w:r>
      <w:r>
        <w:rPr>
          <w:rFonts w:ascii="ITC Avant Garde" w:hAnsi="ITC Avant Garde" w:cs="Arial"/>
          <w:kern w:val="1"/>
          <w:lang w:eastAsia="ar-SA"/>
        </w:rPr>
        <w:t>24 de noviembre</w:t>
      </w:r>
      <w:r w:rsidRPr="00E91C30">
        <w:rPr>
          <w:rFonts w:ascii="ITC Avant Garde" w:hAnsi="ITC Avant Garde" w:cs="Arial"/>
          <w:kern w:val="1"/>
          <w:lang w:eastAsia="ar-SA"/>
        </w:rPr>
        <w:t xml:space="preserve"> de 2015, suscrito por la Subsecretaria de Comunicaciones en ausencia del Secretario de Comunicaciones y Transportes.</w:t>
      </w:r>
    </w:p>
    <w:p w:rsidR="00D33FA1" w:rsidRDefault="00ED3686" w:rsidP="00D33FA1">
      <w:pPr>
        <w:spacing w:after="240"/>
        <w:jc w:val="both"/>
        <w:rPr>
          <w:rFonts w:ascii="ITC Avant Garde" w:hAnsi="ITC Avant Garde"/>
          <w:bCs/>
          <w:color w:val="000000"/>
          <w:lang w:eastAsia="es-MX"/>
        </w:rPr>
      </w:pPr>
      <w:r w:rsidRPr="00911FEA">
        <w:rPr>
          <w:rFonts w:ascii="ITC Avant Garde" w:hAnsi="ITC Avant Garde"/>
          <w:bCs/>
          <w:color w:val="000000"/>
          <w:lang w:eastAsia="es-MX"/>
        </w:rPr>
        <w:t>En virtud de los Antecedentes referidos y</w:t>
      </w:r>
    </w:p>
    <w:p w:rsidR="00D33FA1" w:rsidRDefault="00ED3686" w:rsidP="00D33FA1">
      <w:pPr>
        <w:pStyle w:val="Ttulo2"/>
        <w:spacing w:after="240"/>
        <w:jc w:val="center"/>
        <w:rPr>
          <w:rFonts w:ascii="ITC Avant Garde" w:hAnsi="ITC Avant Garde"/>
          <w:b/>
          <w:color w:val="auto"/>
          <w:sz w:val="22"/>
          <w:szCs w:val="22"/>
        </w:rPr>
      </w:pPr>
      <w:r w:rsidRPr="00133F1D">
        <w:rPr>
          <w:rFonts w:ascii="ITC Avant Garde" w:hAnsi="ITC Avant Garde"/>
          <w:b/>
          <w:color w:val="auto"/>
          <w:sz w:val="22"/>
          <w:szCs w:val="22"/>
        </w:rPr>
        <w:t>CONSIDERANDO</w:t>
      </w:r>
    </w:p>
    <w:p w:rsidR="00ED3686" w:rsidRPr="00911FEA" w:rsidRDefault="00ED3686" w:rsidP="00D33FA1">
      <w:pPr>
        <w:autoSpaceDE w:val="0"/>
        <w:autoSpaceDN w:val="0"/>
        <w:adjustRightInd w:val="0"/>
        <w:spacing w:after="240"/>
        <w:jc w:val="both"/>
        <w:rPr>
          <w:rFonts w:ascii="ITC Avant Garde" w:hAnsi="ITC Avant Garde"/>
          <w:bCs/>
          <w:lang w:val="es-ES"/>
        </w:rPr>
      </w:pPr>
      <w:proofErr w:type="gramStart"/>
      <w:r w:rsidRPr="00911FEA">
        <w:rPr>
          <w:rFonts w:ascii="ITC Avant Garde" w:hAnsi="ITC Avant Garde"/>
          <w:b/>
          <w:bCs/>
        </w:rPr>
        <w:t>Primero.-</w:t>
      </w:r>
      <w:proofErr w:type="gramEnd"/>
      <w:r w:rsidRPr="00911FEA">
        <w:rPr>
          <w:rFonts w:ascii="ITC Avant Garde" w:hAnsi="ITC Avant Garde"/>
          <w:bCs/>
        </w:rPr>
        <w:t xml:space="preserve"> </w:t>
      </w:r>
      <w:r w:rsidRPr="00911FEA">
        <w:rPr>
          <w:rFonts w:ascii="ITC Avant Garde" w:hAnsi="ITC Avant Garde"/>
          <w:b/>
          <w:bCs/>
        </w:rPr>
        <w:t>Ámbito</w:t>
      </w:r>
      <w:r w:rsidRPr="00911FEA">
        <w:rPr>
          <w:rFonts w:ascii="ITC Avant Garde" w:hAnsi="ITC Avant Garde"/>
          <w:bCs/>
        </w:rPr>
        <w:t xml:space="preserve"> </w:t>
      </w:r>
      <w:r w:rsidRPr="00911FEA">
        <w:rPr>
          <w:rFonts w:ascii="ITC Avant Garde" w:hAnsi="ITC Avant Garde"/>
          <w:b/>
          <w:bCs/>
        </w:rPr>
        <w:t>Competencial.</w:t>
      </w:r>
      <w:r w:rsidRPr="00911FEA">
        <w:rPr>
          <w:rFonts w:ascii="ITC Avant Garde" w:hAnsi="ITC Avant Garde"/>
          <w:bCs/>
        </w:rPr>
        <w:t xml:space="preserve"> Conforme lo dispone el artículo 28, párrafo décimo quinto y décimo sexto de la Constitución, e</w:t>
      </w:r>
      <w:r w:rsidRPr="00911FEA">
        <w:rPr>
          <w:rFonts w:ascii="ITC Avant Garde" w:hAnsi="ITC Avant Garde"/>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lang w:val="es-ES"/>
        </w:rPr>
        <w:t xml:space="preserve">Por su parte, el párrafo décimo séptimo del artículo 28 de la Constitución dispone que </w:t>
      </w:r>
      <w:r w:rsidRPr="00911FEA">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lastRenderedPageBreak/>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t>El artículo 112 de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(en lo sucesivo la “Ley de Competencia”),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D33FA1" w:rsidRDefault="00ED3686" w:rsidP="00D33FA1">
      <w:pPr>
        <w:autoSpaceDE w:val="0"/>
        <w:autoSpaceDN w:val="0"/>
        <w:adjustRightInd w:val="0"/>
        <w:spacing w:after="240"/>
        <w:jc w:val="both"/>
        <w:rPr>
          <w:rFonts w:ascii="ITC Avant Garde" w:hAnsi="ITC Avant Garde" w:cs="Tahoma"/>
          <w:bCs/>
          <w:lang w:eastAsia="es-MX"/>
        </w:rPr>
      </w:pPr>
      <w:r w:rsidRPr="00911FEA">
        <w:rPr>
          <w:rFonts w:ascii="ITC Avant Garde" w:hAnsi="ITC Avant Garde" w:cs="Tahoma"/>
          <w:bCs/>
          <w:lang w:eastAsia="es-MX"/>
        </w:rPr>
        <w:t xml:space="preserve">Igualmente, corresponde al Pleno del Instituto, conforme a lo establecido en los artículos 15 fracción IV y 17 fracción I de la </w:t>
      </w:r>
      <w:r w:rsidRPr="00911FEA">
        <w:rPr>
          <w:rFonts w:ascii="ITC Avant Garde" w:hAnsi="ITC Avant Garde"/>
          <w:bCs/>
          <w:lang w:eastAsia="es-MX"/>
        </w:rPr>
        <w:t xml:space="preserve">Ley y </w:t>
      </w:r>
      <w:r w:rsidRPr="00911FEA">
        <w:rPr>
          <w:rFonts w:ascii="ITC Avant Garde" w:hAnsi="ITC Avant Garde" w:cs="Tahoma"/>
          <w:bCs/>
          <w:lang w:eastAsia="es-MX"/>
        </w:rPr>
        <w:t>6 del Estatuto Orgánico</w:t>
      </w:r>
      <w:r w:rsidRPr="00911FEA">
        <w:rPr>
          <w:rFonts w:ascii="ITC Avant Garde" w:hAnsi="ITC Avant Garde"/>
          <w:bCs/>
          <w:lang w:eastAsia="es-MX"/>
        </w:rPr>
        <w:t>,</w:t>
      </w:r>
      <w:r w:rsidRPr="00911FEA">
        <w:rPr>
          <w:rFonts w:ascii="ITC Avant Garde" w:hAnsi="ITC Avant Garde" w:cs="Tahoma"/>
          <w:bCs/>
          <w:lang w:eastAsia="es-MX"/>
        </w:rPr>
        <w:t xml:space="preserve"> la facultad de </w:t>
      </w:r>
      <w:r w:rsidRPr="00911FEA">
        <w:rPr>
          <w:rFonts w:ascii="ITC Avant Garde" w:hAnsi="ITC Avant Garde" w:cs="Tahoma"/>
          <w:bCs/>
          <w:lang w:val="es-ES_tradnl" w:eastAsia="es-MX"/>
        </w:rPr>
        <w:t>autorizar cesiones o cambios de control accionario, titularidad u operación de sociedades relacionadas con concesiones</w:t>
      </w:r>
      <w:r w:rsidRPr="00911FEA">
        <w:rPr>
          <w:rFonts w:ascii="ITC Avant Garde" w:hAnsi="ITC Avant Garde" w:cs="Tahoma"/>
          <w:bCs/>
          <w:lang w:eastAsia="es-MX"/>
        </w:rPr>
        <w:t>.</w:t>
      </w:r>
    </w:p>
    <w:p w:rsidR="00D33FA1" w:rsidRDefault="00ED3686" w:rsidP="00D33FA1">
      <w:pPr>
        <w:autoSpaceDE w:val="0"/>
        <w:autoSpaceDN w:val="0"/>
        <w:adjustRightInd w:val="0"/>
        <w:spacing w:after="240"/>
        <w:jc w:val="both"/>
        <w:rPr>
          <w:rFonts w:ascii="ITC Avant Garde" w:hAnsi="ITC Avant Garde" w:cs="Tahoma"/>
          <w:bCs/>
          <w:lang w:eastAsia="es-MX"/>
        </w:rPr>
      </w:pPr>
      <w:r w:rsidRPr="00911FEA">
        <w:rPr>
          <w:rFonts w:ascii="ITC Avant Garde" w:hAnsi="ITC Avant Garde"/>
          <w:bCs/>
        </w:rPr>
        <w:t>En este sentido</w:t>
      </w:r>
      <w:r w:rsidRPr="00911FEA">
        <w:rPr>
          <w:rFonts w:ascii="ITC Avant Garde" w:hAnsi="ITC Avant Garde" w:cs="Tahoma"/>
          <w:bCs/>
          <w:lang w:eastAsia="es-MX"/>
        </w:rPr>
        <w:t xml:space="preserve">, conforme al artículo 32 del Estatuto Orgánico, </w:t>
      </w:r>
      <w:r w:rsidRPr="00911FEA">
        <w:rPr>
          <w:rFonts w:ascii="ITC Avant Garde" w:hAnsi="ITC Avant Garde"/>
          <w:bCs/>
        </w:rPr>
        <w:t xml:space="preserve">corresponden originariamente a </w:t>
      </w:r>
      <w:r w:rsidRPr="00911FEA">
        <w:rPr>
          <w:rFonts w:ascii="ITC Avant Garde" w:hAnsi="ITC Avant Garde" w:cs="Tahoma"/>
          <w:bCs/>
          <w:lang w:eastAsia="es-MX"/>
        </w:rPr>
        <w:t xml:space="preserve">la UCS las atribuciones conferidas a la Dirección General de Concesiones de Radiodifusión, por ende, corresponde a dicha Dirección General en términos del artículo 34 fracción IV del ordenamiento jurídico en cita, </w:t>
      </w:r>
      <w:r w:rsidRPr="00911FEA">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911FEA">
        <w:rPr>
          <w:rFonts w:ascii="ITC Avant Garde" w:hAnsi="ITC Avant Garde" w:cs="Tahoma"/>
          <w:bCs/>
          <w:lang w:eastAsia="es-MX"/>
        </w:rPr>
        <w:t>.</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t xml:space="preserve">Con respecto a lo planteado y considerando que el Instituto tiene a su cargo la regulación, promoción y supervisión de las telecomunicaciones y la radiodifusión, así como la facultad </w:t>
      </w:r>
      <w:r w:rsidRPr="00911FEA">
        <w:rPr>
          <w:rFonts w:ascii="ITC Avant Garde" w:hAnsi="ITC Avant Garde" w:cs="Tahoma"/>
          <w:bCs/>
          <w:lang w:eastAsia="es-MX"/>
        </w:rPr>
        <w:t xml:space="preserve">de </w:t>
      </w:r>
      <w:r w:rsidRPr="00911FEA">
        <w:rPr>
          <w:rFonts w:ascii="ITC Avant Garde" w:hAnsi="ITC Avant Garde" w:cs="Tahoma"/>
          <w:bCs/>
          <w:lang w:val="es-ES_tradnl" w:eastAsia="es-MX"/>
        </w:rPr>
        <w:t>autorizar cesiones o cambios de control accionario, titularidad u operación de sociedades relacionadas con concesiones</w:t>
      </w:r>
      <w:r w:rsidRPr="00911FEA">
        <w:rPr>
          <w:rFonts w:ascii="ITC Avant Garde" w:hAnsi="ITC Avant Garde"/>
          <w:bCs/>
        </w:rPr>
        <w:t>, el Pleno, como órgano máximo de gobierno y decisión del Instituto, se encuentra plenamente facultado para resolver la Solicitud de Enajenación de Acciones.</w:t>
      </w:r>
    </w:p>
    <w:p w:rsidR="00D33FA1" w:rsidRDefault="00ED3686" w:rsidP="00D33FA1">
      <w:pPr>
        <w:autoSpaceDE w:val="0"/>
        <w:autoSpaceDN w:val="0"/>
        <w:adjustRightInd w:val="0"/>
        <w:spacing w:after="240"/>
        <w:jc w:val="both"/>
        <w:rPr>
          <w:rFonts w:ascii="ITC Avant Garde" w:hAnsi="ITC Avant Garde"/>
          <w:bCs/>
        </w:rPr>
      </w:pPr>
      <w:proofErr w:type="gramStart"/>
      <w:r w:rsidRPr="00911FEA">
        <w:rPr>
          <w:rFonts w:ascii="ITC Avant Garde" w:hAnsi="ITC Avant Garde"/>
          <w:b/>
          <w:bCs/>
        </w:rPr>
        <w:t>Segundo.-</w:t>
      </w:r>
      <w:proofErr w:type="gramEnd"/>
      <w:r w:rsidRPr="00911FEA">
        <w:rPr>
          <w:rFonts w:ascii="ITC Avant Garde" w:hAnsi="ITC Avant Garde"/>
          <w:bCs/>
        </w:rPr>
        <w:t xml:space="preserve"> </w:t>
      </w:r>
      <w:r w:rsidRPr="00911FEA">
        <w:rPr>
          <w:rFonts w:ascii="ITC Avant Garde" w:hAnsi="ITC Avant Garde"/>
          <w:b/>
          <w:bCs/>
        </w:rPr>
        <w:t>Marco legal aplicable a la Solicitud de Enajenación de Acciones.</w:t>
      </w:r>
      <w:r w:rsidRPr="00911FEA">
        <w:rPr>
          <w:rFonts w:ascii="ITC Avant Garde" w:hAnsi="ITC Avant Garde"/>
          <w:bCs/>
        </w:rPr>
        <w:t xml:space="preserve"> Como quedó señalado en el Considerando que antecede, el artículo 112 de la Ley establece el procedimiento al que deben sujetarse los concesionarios que pretendan suscribir o </w:t>
      </w:r>
      <w:r w:rsidRPr="00911FEA">
        <w:rPr>
          <w:rFonts w:ascii="ITC Avant Garde" w:hAnsi="ITC Avant Garde"/>
          <w:bCs/>
        </w:rPr>
        <w:lastRenderedPageBreak/>
        <w:t>enajenar acciones en un acto o sucesión de actos, que represente el 10 % (diez por ciento) o más del monto de su capital social, el ordenamiento antes referido textualmente señala lo siguiente:</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w:t>
      </w:r>
      <w:r w:rsidRPr="00911FEA">
        <w:rPr>
          <w:rFonts w:ascii="ITC Avant Garde" w:hAnsi="ITC Avant Garde"/>
          <w:b/>
          <w:bCs/>
          <w:i/>
          <w:sz w:val="20"/>
          <w:szCs w:val="20"/>
        </w:rPr>
        <w:t xml:space="preserve">Artículo 112. </w:t>
      </w:r>
      <w:r w:rsidRPr="00911FEA">
        <w:rPr>
          <w:rFonts w:ascii="ITC Avant Garde" w:hAnsi="ITC Avant Garde"/>
          <w:bCs/>
          <w:i/>
          <w:sz w:val="20"/>
          <w:szCs w:val="20"/>
        </w:rPr>
        <w:t xml:space="preserve">(…) </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rsidR="00D33FA1" w:rsidRDefault="00ED3686" w:rsidP="00D33FA1">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911FEA">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D33FA1" w:rsidRDefault="00ED3686" w:rsidP="00D33FA1">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911FEA">
        <w:rPr>
          <w:rFonts w:ascii="ITC Avant Garde" w:hAnsi="ITC Avant Garde"/>
          <w:bCs/>
          <w:i/>
          <w:sz w:val="20"/>
        </w:rPr>
        <w:t>El Instituto tendrá un plazo de diez días hábiles contados a partir de la presentación del aviso, para solicitar la opinión de la Secretaría;</w:t>
      </w:r>
    </w:p>
    <w:p w:rsidR="00D33FA1" w:rsidRDefault="00ED3686" w:rsidP="00D33FA1">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911FEA">
        <w:rPr>
          <w:rFonts w:ascii="ITC Avant Garde" w:hAnsi="ITC Avant Garde"/>
          <w:bCs/>
          <w:i/>
          <w:sz w:val="20"/>
        </w:rPr>
        <w:t>La Secretaría tendrá un plazo de treinta días naturales para emitir opinión, y</w:t>
      </w:r>
    </w:p>
    <w:p w:rsidR="00D33FA1" w:rsidRDefault="00ED3686" w:rsidP="00D33FA1">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911FEA">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w:t>
      </w:r>
    </w:p>
    <w:p w:rsidR="00D33FA1" w:rsidRDefault="00ED3686" w:rsidP="00D33FA1">
      <w:pPr>
        <w:autoSpaceDE w:val="0"/>
        <w:autoSpaceDN w:val="0"/>
        <w:adjustRightInd w:val="0"/>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w:t>
      </w:r>
    </w:p>
    <w:p w:rsidR="00D33FA1" w:rsidRDefault="00ED3686" w:rsidP="00D33FA1">
      <w:pPr>
        <w:autoSpaceDE w:val="0"/>
        <w:autoSpaceDN w:val="0"/>
        <w:adjustRightInd w:val="0"/>
        <w:spacing w:after="240"/>
        <w:jc w:val="both"/>
        <w:rPr>
          <w:rFonts w:ascii="ITC Avant Garde" w:hAnsi="ITC Avant Garde" w:cs="Calibri"/>
        </w:rPr>
      </w:pPr>
      <w:r w:rsidRPr="00911FEA">
        <w:rPr>
          <w:rFonts w:ascii="ITC Avant Garde" w:hAnsi="ITC Avant Garde"/>
          <w:bCs/>
          <w:lang w:val="es-ES"/>
        </w:rPr>
        <w:lastRenderedPageBreak/>
        <w:t>Asimismo, el Decreto de Reforma Constitucional, incorporó en el artículo 28 párrafo décimo séptimo, la obligación del Instituto de notificar al Secretario del ramo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t>Ahora bien, aunado a los preceptos antes señalados, cabe destacar que para este tipo de solicitudes debe acatarse el requisito de procedencia establecido por el artículo 124 fracción II inciso m)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como es el caso que nos ocupa.</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t>El pago referido en el párrafo que antecede debe acompañarse al escrito con el cual se da el aviso conducente, toda vez que el hecho imponible del tributo es el estudio que realice este Instituto con motivo de dicha solicitud.</w:t>
      </w:r>
    </w:p>
    <w:p w:rsidR="00D33FA1" w:rsidRDefault="00ED3686" w:rsidP="00D33FA1">
      <w:pPr>
        <w:spacing w:after="240"/>
        <w:jc w:val="both"/>
        <w:rPr>
          <w:rFonts w:ascii="ITC Avant Garde" w:hAnsi="ITC Avant Garde"/>
          <w:bCs/>
        </w:rPr>
      </w:pPr>
      <w:proofErr w:type="gramStart"/>
      <w:r w:rsidRPr="00911FEA">
        <w:rPr>
          <w:rFonts w:ascii="ITC Avant Garde" w:hAnsi="ITC Avant Garde"/>
          <w:b/>
          <w:bCs/>
        </w:rPr>
        <w:t>Tercero.-</w:t>
      </w:r>
      <w:proofErr w:type="gramEnd"/>
      <w:r w:rsidRPr="00911FEA">
        <w:rPr>
          <w:rFonts w:ascii="ITC Avant Garde" w:hAnsi="ITC Avant Garde"/>
          <w:b/>
          <w:bCs/>
        </w:rPr>
        <w:t xml:space="preserve"> Concentración.</w:t>
      </w:r>
      <w:r w:rsidRPr="00911FEA">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911FEA">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911FEA">
        <w:rPr>
          <w:rFonts w:ascii="ITC Avant Garde" w:hAnsi="ITC Avant Garde"/>
          <w:bCs/>
        </w:rPr>
        <w:t>, garantizando lo dispuesto en los artículos 6o. y 7o. de la Constitución.</w:t>
      </w:r>
    </w:p>
    <w:p w:rsidR="00D33FA1" w:rsidRDefault="00ED3686" w:rsidP="00D33FA1">
      <w:pPr>
        <w:spacing w:after="240"/>
        <w:jc w:val="both"/>
        <w:rPr>
          <w:rFonts w:ascii="ITC Avant Garde" w:hAnsi="ITC Avant Garde"/>
          <w:bCs/>
        </w:rPr>
      </w:pPr>
      <w:r w:rsidRPr="00911FEA">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rsidR="00D33FA1" w:rsidRDefault="00ED3686" w:rsidP="00D33FA1">
      <w:pPr>
        <w:spacing w:after="240"/>
        <w:jc w:val="both"/>
        <w:rPr>
          <w:rFonts w:ascii="ITC Avant Garde" w:hAnsi="ITC Avant Garde"/>
          <w:bCs/>
        </w:rPr>
      </w:pPr>
      <w:r w:rsidRPr="00911FEA">
        <w:rPr>
          <w:rFonts w:ascii="ITC Avant Garde" w:hAnsi="ITC Avant Garde"/>
          <w:bCs/>
        </w:rPr>
        <w:t xml:space="preserve">Asimismo, el artículo 61 de la Ley de Competencia señala que se entiende por Concentración: la fusión, adquisición del control o cualquier acto por virtud del cual se unan sociedades, asociaciones, acciones, partes sociales, fideicomisos o activos en </w:t>
      </w:r>
      <w:r w:rsidRPr="00911FEA">
        <w:rPr>
          <w:rFonts w:ascii="ITC Avant Garde" w:hAnsi="ITC Avant Garde"/>
          <w:bCs/>
        </w:rPr>
        <w:lastRenderedPageBreak/>
        <w:t>general que se realice entre competidores, proveedores, clientes o cualesquiera otros agentes económicos.</w:t>
      </w:r>
    </w:p>
    <w:p w:rsidR="00D33FA1" w:rsidRDefault="00ED3686" w:rsidP="00D33FA1">
      <w:pPr>
        <w:spacing w:after="240"/>
        <w:jc w:val="both"/>
        <w:rPr>
          <w:rFonts w:ascii="ITC Avant Garde" w:hAnsi="ITC Avant Garde"/>
          <w:bCs/>
        </w:rPr>
      </w:pPr>
      <w:r w:rsidRPr="00911FEA">
        <w:rPr>
          <w:rFonts w:ascii="ITC Avant Garde" w:hAnsi="ITC Avant Garde"/>
          <w:bCs/>
        </w:rPr>
        <w:t>En este tenor, el artículo 86 de la Ley de Competencia ordena textualmente lo siguiente:</w:t>
      </w:r>
    </w:p>
    <w:p w:rsidR="00D33FA1" w:rsidRDefault="00ED3686" w:rsidP="00D33FA1">
      <w:pPr>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“Artículo 86. Las siguientes concentraciones deberán ser autorizadas por la Comisión antes de que se lleven a cabo:</w:t>
      </w:r>
    </w:p>
    <w:p w:rsidR="00D33FA1" w:rsidRDefault="00ED3686" w:rsidP="00D33FA1">
      <w:pPr>
        <w:pStyle w:val="Prrafodelista"/>
        <w:numPr>
          <w:ilvl w:val="0"/>
          <w:numId w:val="4"/>
        </w:numPr>
        <w:spacing w:after="240"/>
        <w:ind w:left="851" w:right="612" w:hanging="284"/>
        <w:contextualSpacing/>
        <w:jc w:val="both"/>
        <w:rPr>
          <w:rFonts w:ascii="ITC Avant Garde" w:hAnsi="ITC Avant Garde"/>
          <w:bCs/>
          <w:i/>
          <w:sz w:val="20"/>
        </w:rPr>
      </w:pPr>
      <w:r w:rsidRPr="00911FEA">
        <w:rPr>
          <w:rFonts w:ascii="ITC Avant Garde" w:hAnsi="ITC Avant Garde"/>
          <w:bCs/>
          <w:i/>
          <w:sz w:val="20"/>
        </w:rPr>
        <w:t xml:space="preserve">Cuando el acto o sucesión de actos que les den origen, independientemente del lugar de su celebración, </w:t>
      </w:r>
      <w:r w:rsidRPr="00911FEA">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911FEA">
        <w:rPr>
          <w:rFonts w:ascii="ITC Avant Garde" w:hAnsi="ITC Avant Garde"/>
          <w:bCs/>
          <w:i/>
          <w:sz w:val="20"/>
        </w:rPr>
        <w:t>;</w:t>
      </w:r>
    </w:p>
    <w:p w:rsidR="00D33FA1" w:rsidRDefault="00ED3686" w:rsidP="00D33FA1">
      <w:pPr>
        <w:pStyle w:val="Prrafodelista"/>
        <w:numPr>
          <w:ilvl w:val="0"/>
          <w:numId w:val="4"/>
        </w:numPr>
        <w:spacing w:after="240"/>
        <w:ind w:left="851" w:right="612" w:hanging="284"/>
        <w:contextualSpacing/>
        <w:jc w:val="both"/>
        <w:rPr>
          <w:rFonts w:ascii="ITC Avant Garde" w:hAnsi="ITC Avant Garde"/>
          <w:bCs/>
          <w:i/>
          <w:sz w:val="20"/>
        </w:rPr>
      </w:pPr>
      <w:r w:rsidRPr="00911FEA">
        <w:rPr>
          <w:rFonts w:ascii="ITC Avant Garde" w:hAnsi="ITC Avant Garde"/>
          <w:bCs/>
          <w:i/>
          <w:sz w:val="20"/>
        </w:rPr>
        <w:t xml:space="preserve">Cuando el acto o sucesión de actos que les den origen, </w:t>
      </w:r>
      <w:r w:rsidRPr="00911FEA">
        <w:rPr>
          <w:rFonts w:ascii="ITC Avant Garde" w:hAnsi="ITC Avant Garde"/>
          <w:bCs/>
          <w:i/>
          <w:sz w:val="20"/>
          <w:u w:val="single"/>
        </w:rPr>
        <w:t>impliquen la acumulación del treinta y cinco por ciento o más de los activos o acciones de un Agente Económico</w:t>
      </w:r>
      <w:r w:rsidRPr="00911FEA">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rsidR="00D33FA1" w:rsidRDefault="00ED3686" w:rsidP="00D33FA1">
      <w:pPr>
        <w:pStyle w:val="Prrafodelista"/>
        <w:numPr>
          <w:ilvl w:val="0"/>
          <w:numId w:val="4"/>
        </w:numPr>
        <w:spacing w:after="240"/>
        <w:ind w:left="851" w:right="612" w:hanging="284"/>
        <w:contextualSpacing/>
        <w:jc w:val="both"/>
        <w:rPr>
          <w:rFonts w:ascii="ITC Avant Garde" w:hAnsi="ITC Avant Garde"/>
          <w:bCs/>
          <w:i/>
          <w:sz w:val="20"/>
        </w:rPr>
      </w:pPr>
      <w:r w:rsidRPr="00911FEA">
        <w:rPr>
          <w:rFonts w:ascii="ITC Avant Garde" w:hAnsi="ITC Avant Garde"/>
          <w:bCs/>
          <w:i/>
          <w:sz w:val="20"/>
        </w:rPr>
        <w:t xml:space="preserve">Cuando el acto o sucesión de actos que les den origen </w:t>
      </w:r>
      <w:r w:rsidRPr="00911FEA">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911FEA">
        <w:rPr>
          <w:rFonts w:ascii="ITC Avant Garde" w:hAnsi="ITC Avant Garde"/>
          <w:bCs/>
          <w:i/>
          <w:sz w:val="20"/>
        </w:rPr>
        <w:t xml:space="preserve"> </w:t>
      </w:r>
      <w:r w:rsidRPr="00911FEA">
        <w:rPr>
          <w:rFonts w:ascii="ITC Avant Garde" w:hAnsi="ITC Avant Garde"/>
          <w:bCs/>
          <w:i/>
          <w:sz w:val="20"/>
          <w:u w:val="single"/>
        </w:rPr>
        <w:t>y en la concentración participen dos o más Agentes Económicos</w:t>
      </w:r>
      <w:r w:rsidRPr="00911FEA">
        <w:rPr>
          <w:rFonts w:ascii="ITC Avant Garde" w:hAnsi="ITC Avant Garde"/>
          <w:bCs/>
          <w:i/>
          <w:sz w:val="20"/>
        </w:rPr>
        <w:t xml:space="preserve"> </w:t>
      </w:r>
      <w:r w:rsidRPr="00911FEA">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911FEA">
        <w:rPr>
          <w:rFonts w:ascii="ITC Avant Garde" w:hAnsi="ITC Avant Garde"/>
          <w:bCs/>
          <w:i/>
          <w:sz w:val="20"/>
        </w:rPr>
        <w:t>.</w:t>
      </w:r>
    </w:p>
    <w:p w:rsidR="00D33FA1" w:rsidRDefault="00ED3686" w:rsidP="00D33FA1">
      <w:pPr>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rsidR="00D33FA1" w:rsidRDefault="00ED3686" w:rsidP="00D33FA1">
      <w:pPr>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rsidR="00D33FA1" w:rsidRDefault="00ED3686" w:rsidP="00D33FA1">
      <w:pPr>
        <w:spacing w:after="240" w:line="240" w:lineRule="auto"/>
        <w:ind w:left="567" w:right="612"/>
        <w:jc w:val="both"/>
        <w:rPr>
          <w:rFonts w:ascii="ITC Avant Garde" w:hAnsi="ITC Avant Garde"/>
          <w:bCs/>
          <w:i/>
          <w:sz w:val="20"/>
          <w:szCs w:val="20"/>
        </w:rPr>
      </w:pPr>
      <w:r w:rsidRPr="00911FEA">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rsidR="00D33FA1" w:rsidRDefault="00ED3686" w:rsidP="00D33FA1">
      <w:pPr>
        <w:spacing w:after="240"/>
        <w:jc w:val="both"/>
        <w:rPr>
          <w:rFonts w:ascii="ITC Avant Garde" w:hAnsi="ITC Avant Garde"/>
          <w:bCs/>
        </w:rPr>
      </w:pPr>
      <w:r w:rsidRPr="00911FEA">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rsidR="00D33FA1" w:rsidRDefault="00ED3686" w:rsidP="00D33FA1">
      <w:pPr>
        <w:spacing w:after="240"/>
        <w:jc w:val="both"/>
        <w:rPr>
          <w:rFonts w:ascii="ITC Avant Garde" w:hAnsi="ITC Avant Garde"/>
          <w:bCs/>
        </w:rPr>
      </w:pPr>
      <w:r w:rsidRPr="00911FEA">
        <w:rPr>
          <w:rFonts w:ascii="ITC Avant Garde" w:hAnsi="ITC Avant Garde"/>
          <w:bCs/>
        </w:rPr>
        <w:lastRenderedPageBreak/>
        <w:t xml:space="preserve">Al efecto, este Instituto, no tiene registro en sus archivos de ingreso de alguna solicitud previa de Concentración que haya sido notificada por </w:t>
      </w:r>
      <w:r w:rsidRPr="00911FEA">
        <w:rPr>
          <w:rFonts w:ascii="ITC Avant Garde" w:hAnsi="ITC Avant Garde" w:cs="Calibri"/>
          <w:b/>
          <w:color w:val="000000" w:themeColor="text1"/>
        </w:rPr>
        <w:t>BMP de Nuevo Laredo</w:t>
      </w:r>
      <w:r w:rsidRPr="00911FEA">
        <w:rPr>
          <w:rFonts w:ascii="ITC Avant Garde" w:hAnsi="ITC Avant Garde"/>
          <w:bCs/>
          <w:color w:val="000000"/>
          <w:lang w:eastAsia="es-MX"/>
        </w:rPr>
        <w:t xml:space="preserve">, </w:t>
      </w:r>
      <w:proofErr w:type="gramStart"/>
      <w:r w:rsidRPr="00911FEA">
        <w:rPr>
          <w:rFonts w:ascii="ITC Avant Garde" w:hAnsi="ITC Avant Garde"/>
          <w:bCs/>
        </w:rPr>
        <w:t>y</w:t>
      </w:r>
      <w:proofErr w:type="gramEnd"/>
      <w:r w:rsidRPr="00911FEA">
        <w:rPr>
          <w:rFonts w:ascii="ITC Avant Garde" w:hAnsi="ITC Avant Garde"/>
          <w:bCs/>
        </w:rPr>
        <w:t xml:space="preserve">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rsidR="00D33FA1" w:rsidRDefault="00ED3686" w:rsidP="00D33FA1">
      <w:pPr>
        <w:spacing w:after="240"/>
        <w:jc w:val="both"/>
        <w:rPr>
          <w:rFonts w:ascii="ITC Avant Garde" w:hAnsi="ITC Avant Garde"/>
          <w:bCs/>
        </w:rPr>
      </w:pPr>
      <w:r w:rsidRPr="00911FEA">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 determinó que la personas físicas interesadas en adquirir el 100% (cien por ciento) de las acciones representativas del capital social de</w:t>
      </w:r>
      <w:r w:rsidRPr="00911FEA">
        <w:rPr>
          <w:rFonts w:ascii="ITC Avant Garde" w:hAnsi="ITC Avant Garde"/>
          <w:bCs/>
          <w:color w:val="000000"/>
          <w:lang w:eastAsia="es-MX"/>
        </w:rPr>
        <w:t xml:space="preserve"> </w:t>
      </w:r>
      <w:r w:rsidRPr="00911FEA">
        <w:rPr>
          <w:rFonts w:ascii="ITC Avant Garde" w:hAnsi="ITC Avant Garde" w:cs="Calibri"/>
          <w:b/>
        </w:rPr>
        <w:t>BMP de Nuevo Laredo</w:t>
      </w:r>
      <w:r w:rsidRPr="00911FEA">
        <w:rPr>
          <w:rFonts w:ascii="ITC Avant Garde" w:hAnsi="ITC Avant Garde"/>
          <w:bCs/>
        </w:rPr>
        <w:t xml:space="preserve">, propiedad de las socias accionistas Radio RGG de México, S. de R.L. de C.V. y Radio BMP de Reynosa, S.A. de C.V. (i) actualmente no son concesionarios, pero el C. Noé Cuellar González participa en una empresa concesionaria de una frecuencia o canal para la prestación del servicio de radio abierta comercial en la localidad de Nuevo Laredo, Tamaulipas; (ii) con motivo de dicha enajenación, el C. Noé Cuellar González ostentará el 99.99% (noventa y nueve punto noventa y nueve por ciento) y Ruth Socorro </w:t>
      </w:r>
      <w:r w:rsidRPr="00911FEA">
        <w:rPr>
          <w:rFonts w:ascii="ITC Avant Garde" w:hAnsi="ITC Avant Garde"/>
          <w:color w:val="000000"/>
        </w:rPr>
        <w:t>Rodríguez Narváez ostentará el 0.01% (cero punto cero uno por ciento)</w:t>
      </w:r>
      <w:r w:rsidRPr="00911FEA">
        <w:rPr>
          <w:rFonts w:ascii="ITC Avant Garde" w:hAnsi="ITC Avant Garde"/>
          <w:bCs/>
        </w:rPr>
        <w:t xml:space="preserve"> del capital social y (iii) Los pretendidos adquirentes no tienen relación consanguínea con los socios accionistas que enajenan.</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t xml:space="preserve">Con base en la información disponible de este Instituto, y </w:t>
      </w:r>
      <w:r w:rsidRPr="00911FEA">
        <w:rPr>
          <w:rFonts w:ascii="ITC Avant Garde" w:hAnsi="ITC Avant Garde"/>
          <w:iCs/>
        </w:rPr>
        <w:t>en términos de la Opinión en materia de competencia económica, la UCE</w:t>
      </w:r>
      <w:r w:rsidRPr="00911FEA">
        <w:rPr>
          <w:rFonts w:ascii="ITC Avant Garde" w:hAnsi="ITC Avant Garde"/>
          <w:bCs/>
        </w:rPr>
        <w:t xml:space="preserve"> concluye que la enajenación de acciones </w:t>
      </w:r>
      <w:r w:rsidRPr="00911FEA">
        <w:rPr>
          <w:rFonts w:ascii="ITC Avant Garde" w:hAnsi="ITC Avant Garde"/>
          <w:b/>
          <w:bCs/>
        </w:rPr>
        <w:t>BMP de Nuevo Laredo</w:t>
      </w:r>
      <w:r w:rsidRPr="00911FEA">
        <w:rPr>
          <w:rFonts w:ascii="ITC Avant Garde" w:hAnsi="ITC Avant Garde"/>
          <w:bCs/>
        </w:rPr>
        <w:t xml:space="preserve"> que pretenden realizar las sociedades Radio RGG de México, S.A. de R.L. de C.V., y Radio BMP de Reynosa, SA de C.V., en favor de los CC. Noé Cuellar González y Ruth Socorro Rodríguez Narváez, previsiblemente no tendría efectos contrarios al proceso de competencia y libre concurrencia en la provisión de servicios de radio abierta comercial en la localidad de Nuevo Laredo, Tamaulipas, Ello en virtud de que, con la información disponible, se identifica que Radio BMP y XHNOE tienen después de la operación una participación de 25.0 %; y enfrenta la competencia de otro agente económico que tiene el mayor posicionamiento en la localidad evaluada, así como de otros tres competidores. </w:t>
      </w:r>
    </w:p>
    <w:p w:rsidR="00D33FA1" w:rsidRDefault="00ED3686" w:rsidP="00D33FA1">
      <w:pPr>
        <w:autoSpaceDE w:val="0"/>
        <w:autoSpaceDN w:val="0"/>
        <w:adjustRightInd w:val="0"/>
        <w:spacing w:after="240"/>
        <w:jc w:val="both"/>
        <w:rPr>
          <w:rFonts w:ascii="ITC Avant Garde" w:hAnsi="ITC Avant Garde" w:cs="Calibri"/>
          <w:b/>
        </w:rPr>
      </w:pPr>
      <w:r w:rsidRPr="00911FEA">
        <w:rPr>
          <w:rFonts w:ascii="ITC Avant Garde" w:hAnsi="ITC Avant Garde"/>
          <w:b/>
          <w:bCs/>
        </w:rPr>
        <w:t xml:space="preserve">Cuarto.- Instrucción al fiduciario en el Contrato de Fideicomiso 11038635.- </w:t>
      </w:r>
      <w:r w:rsidRPr="00911FEA">
        <w:rPr>
          <w:rFonts w:ascii="ITC Avant Garde" w:hAnsi="ITC Avant Garde"/>
          <w:bCs/>
        </w:rPr>
        <w:t xml:space="preserve">En términos del contrato de fideicomiso irrevocable de garantía de fecha 23 de enero de 2015, número 11038635, celebrado entre el C. Roberto González </w:t>
      </w:r>
      <w:proofErr w:type="spellStart"/>
      <w:r w:rsidRPr="00911FEA">
        <w:rPr>
          <w:rFonts w:ascii="ITC Avant Garde" w:hAnsi="ITC Avant Garde"/>
          <w:bCs/>
        </w:rPr>
        <w:t>González</w:t>
      </w:r>
      <w:proofErr w:type="spellEnd"/>
      <w:r w:rsidRPr="00911FEA">
        <w:rPr>
          <w:rFonts w:ascii="ITC Avant Garde" w:hAnsi="ITC Avant Garde"/>
          <w:bCs/>
        </w:rPr>
        <w:t xml:space="preserve">, BMBT RGG Holdings, S. de R.L. de C.V., RGG de México, S. de R.L. de C.V., BMBT México Holdings, S. de R.L. de C.V., y BMBT Comercial Holdings I, S. de R.L. de C.V., en su carácter de fideicomitentes, Atalaya </w:t>
      </w:r>
      <w:proofErr w:type="spellStart"/>
      <w:r w:rsidRPr="00911FEA">
        <w:rPr>
          <w:rFonts w:ascii="ITC Avant Garde" w:hAnsi="ITC Avant Garde"/>
          <w:bCs/>
        </w:rPr>
        <w:t>Administrative</w:t>
      </w:r>
      <w:proofErr w:type="spellEnd"/>
      <w:r w:rsidRPr="00911FEA">
        <w:rPr>
          <w:rFonts w:ascii="ITC Avant Garde" w:hAnsi="ITC Avant Garde"/>
          <w:bCs/>
        </w:rPr>
        <w:t xml:space="preserve"> LLC, en su carácter de fideicomisario en Primer Lugar, y </w:t>
      </w:r>
      <w:proofErr w:type="spellStart"/>
      <w:r w:rsidRPr="00911FEA">
        <w:rPr>
          <w:rFonts w:ascii="ITC Avant Garde" w:hAnsi="ITC Avant Garde"/>
          <w:lang w:eastAsia="es-MX"/>
        </w:rPr>
        <w:t>Scotiabank</w:t>
      </w:r>
      <w:proofErr w:type="spellEnd"/>
      <w:r w:rsidRPr="00911FEA">
        <w:rPr>
          <w:rFonts w:ascii="ITC Avant Garde" w:hAnsi="ITC Avant Garde"/>
          <w:lang w:eastAsia="es-MX"/>
        </w:rPr>
        <w:t xml:space="preserve"> Inverlat, S.A., Institución de Banca Múltiple, Grupo Financiero </w:t>
      </w:r>
      <w:proofErr w:type="spellStart"/>
      <w:r w:rsidRPr="00911FEA">
        <w:rPr>
          <w:rFonts w:ascii="ITC Avant Garde" w:hAnsi="ITC Avant Garde"/>
          <w:lang w:eastAsia="es-MX"/>
        </w:rPr>
        <w:t>Scotiabank</w:t>
      </w:r>
      <w:proofErr w:type="spellEnd"/>
      <w:r w:rsidRPr="00911FEA">
        <w:rPr>
          <w:rFonts w:ascii="ITC Avant Garde" w:hAnsi="ITC Avant Garde"/>
          <w:lang w:eastAsia="es-MX"/>
        </w:rPr>
        <w:t xml:space="preserve"> Inverlat, División Fiduciaria en su carácter de </w:t>
      </w:r>
      <w:r w:rsidRPr="00911FEA">
        <w:rPr>
          <w:rFonts w:ascii="ITC Avant Garde" w:hAnsi="ITC Avant Garde"/>
          <w:bCs/>
        </w:rPr>
        <w:t xml:space="preserve">Fiduciaria, ratificado, protocolizado, formalizado y elevado </w:t>
      </w:r>
      <w:r w:rsidRPr="00911FEA">
        <w:rPr>
          <w:rFonts w:ascii="ITC Avant Garde" w:hAnsi="ITC Avant Garde"/>
          <w:bCs/>
        </w:rPr>
        <w:lastRenderedPageBreak/>
        <w:t xml:space="preserve">a escritura pública, a través del instrumento notarial número 51, 830 pasado ante la fe del Lic. Francisco I. </w:t>
      </w:r>
      <w:proofErr w:type="spellStart"/>
      <w:r w:rsidRPr="00911FEA">
        <w:rPr>
          <w:rFonts w:ascii="ITC Avant Garde" w:hAnsi="ITC Avant Garde"/>
          <w:bCs/>
        </w:rPr>
        <w:t>Hugues</w:t>
      </w:r>
      <w:proofErr w:type="spellEnd"/>
      <w:r w:rsidRPr="00911FEA">
        <w:rPr>
          <w:rFonts w:ascii="ITC Avant Garde" w:hAnsi="ITC Avant Garde"/>
          <w:bCs/>
        </w:rPr>
        <w:t xml:space="preserve"> Vélez, titular de la Notaría Pública No. 212 del Distrito Federal; los fideicomitentes y el fideicomisario en Primer Lugar conjuntamente instruyeron al fiduciario proceda a la reversión a favor de Radio RGG de México, S. de R.L. de C.V., de 49,999 acciones de la clase I y 1,564,200 acciones de la clase II de la sociedad </w:t>
      </w:r>
      <w:r w:rsidRPr="00911FEA">
        <w:rPr>
          <w:rFonts w:ascii="ITC Avant Garde" w:hAnsi="ITC Avant Garde" w:cs="Calibri"/>
          <w:b/>
        </w:rPr>
        <w:t>BMP de Nuevo Laredo</w:t>
      </w:r>
    </w:p>
    <w:p w:rsidR="00D33FA1" w:rsidRDefault="00ED3686" w:rsidP="00D33FA1">
      <w:pPr>
        <w:autoSpaceDE w:val="0"/>
        <w:autoSpaceDN w:val="0"/>
        <w:adjustRightInd w:val="0"/>
        <w:spacing w:after="240"/>
        <w:jc w:val="both"/>
        <w:rPr>
          <w:rFonts w:ascii="ITC Avant Garde" w:hAnsi="ITC Avant Garde" w:cs="Calibri"/>
        </w:rPr>
      </w:pPr>
      <w:r w:rsidRPr="00911FEA">
        <w:rPr>
          <w:rFonts w:ascii="ITC Avant Garde" w:hAnsi="ITC Avant Garde" w:cs="Calibri"/>
        </w:rPr>
        <w:t xml:space="preserve">Resulta importante destacar, que una vez que </w:t>
      </w:r>
      <w:r w:rsidRPr="00911FEA">
        <w:rPr>
          <w:rFonts w:ascii="ITC Avant Garde" w:hAnsi="ITC Avant Garde"/>
          <w:bCs/>
        </w:rPr>
        <w:t xml:space="preserve">Atalaya </w:t>
      </w:r>
      <w:proofErr w:type="spellStart"/>
      <w:r w:rsidRPr="00911FEA">
        <w:rPr>
          <w:rFonts w:ascii="ITC Avant Garde" w:hAnsi="ITC Avant Garde"/>
          <w:bCs/>
        </w:rPr>
        <w:t>Administrative</w:t>
      </w:r>
      <w:proofErr w:type="spellEnd"/>
      <w:r w:rsidRPr="00911FEA">
        <w:rPr>
          <w:rFonts w:ascii="ITC Avant Garde" w:hAnsi="ITC Avant Garde"/>
          <w:bCs/>
        </w:rPr>
        <w:t xml:space="preserve"> LLC (fideicomisario en Primer Lugar), le notifique a</w:t>
      </w:r>
      <w:r w:rsidRPr="00911FEA">
        <w:rPr>
          <w:rFonts w:ascii="ITC Avant Garde" w:hAnsi="ITC Avant Garde"/>
          <w:lang w:eastAsia="es-MX"/>
        </w:rPr>
        <w:t xml:space="preserve"> </w:t>
      </w:r>
      <w:proofErr w:type="spellStart"/>
      <w:r w:rsidRPr="00911FEA">
        <w:rPr>
          <w:rFonts w:ascii="ITC Avant Garde" w:hAnsi="ITC Avant Garde"/>
          <w:bCs/>
        </w:rPr>
        <w:t>Scotiabank</w:t>
      </w:r>
      <w:proofErr w:type="spellEnd"/>
      <w:r w:rsidRPr="00911FEA">
        <w:rPr>
          <w:rFonts w:ascii="ITC Avant Garde" w:hAnsi="ITC Avant Garde"/>
          <w:bCs/>
        </w:rPr>
        <w:t xml:space="preserve"> Inverlat, S.A., Institución de Banca Múltiple, Grupo Financiero </w:t>
      </w:r>
      <w:proofErr w:type="spellStart"/>
      <w:r w:rsidRPr="00911FEA">
        <w:rPr>
          <w:rFonts w:ascii="ITC Avant Garde" w:hAnsi="ITC Avant Garde"/>
          <w:bCs/>
        </w:rPr>
        <w:t>Scotiabank</w:t>
      </w:r>
      <w:proofErr w:type="spellEnd"/>
      <w:r w:rsidRPr="00911FEA">
        <w:rPr>
          <w:rFonts w:ascii="ITC Avant Garde" w:hAnsi="ITC Avant Garde"/>
          <w:bCs/>
        </w:rPr>
        <w:t xml:space="preserve"> Inverlat, División Fiduciaria (Fiduciaria) que Radio RGG de México, S. de R.L. de C.V., ha entregado el producto de la compraventa de la totalidad de las acciones representativas del capital social de la sociedad </w:t>
      </w:r>
      <w:r w:rsidRPr="00911FEA">
        <w:rPr>
          <w:rFonts w:ascii="ITC Avant Garde" w:hAnsi="ITC Avant Garde" w:cs="Calibri"/>
          <w:b/>
        </w:rPr>
        <w:t xml:space="preserve">BMP de Nuevo Laredo </w:t>
      </w:r>
      <w:r w:rsidRPr="00911FEA">
        <w:rPr>
          <w:rFonts w:ascii="ITC Avant Garde" w:hAnsi="ITC Avant Garde" w:cs="Calibri"/>
        </w:rPr>
        <w:t xml:space="preserve">en los términos acordados, se procederá a la reversión formal de las acciones referidas en el párrafo que antecede. </w:t>
      </w:r>
    </w:p>
    <w:p w:rsidR="00D33FA1" w:rsidRDefault="00ED3686" w:rsidP="00D33FA1">
      <w:pPr>
        <w:autoSpaceDE w:val="0"/>
        <w:autoSpaceDN w:val="0"/>
        <w:adjustRightInd w:val="0"/>
        <w:spacing w:after="240"/>
        <w:jc w:val="both"/>
        <w:rPr>
          <w:rFonts w:ascii="ITC Avant Garde" w:hAnsi="ITC Avant Garde"/>
          <w:bCs/>
          <w:i/>
        </w:rPr>
      </w:pPr>
      <w:r>
        <w:rPr>
          <w:rFonts w:ascii="ITC Avant Garde" w:hAnsi="ITC Avant Garde" w:cs="Calibri"/>
          <w:b/>
        </w:rPr>
        <w:t>Quinto</w:t>
      </w:r>
      <w:r w:rsidRPr="00911FEA">
        <w:rPr>
          <w:rFonts w:ascii="ITC Avant Garde" w:hAnsi="ITC Avant Garde" w:cs="Calibri"/>
          <w:b/>
        </w:rPr>
        <w:t xml:space="preserve">.- Liberación del Gravamen.- </w:t>
      </w:r>
      <w:r w:rsidRPr="00911FEA">
        <w:rPr>
          <w:rFonts w:ascii="ITC Avant Garde" w:hAnsi="ITC Avant Garde" w:cs="Calibri"/>
        </w:rPr>
        <w:t xml:space="preserve">El 10 de septiembre de 2015, </w:t>
      </w:r>
      <w:r w:rsidRPr="00911FEA">
        <w:rPr>
          <w:rFonts w:ascii="ITC Avant Garde" w:hAnsi="ITC Avant Garde" w:cs="Calibri"/>
          <w:b/>
        </w:rPr>
        <w:t>BMP de Nuevo Laredo</w:t>
      </w:r>
      <w:r w:rsidRPr="00911FEA">
        <w:rPr>
          <w:rFonts w:ascii="ITC Avant Garde" w:hAnsi="ITC Avant Garde" w:cs="Calibri"/>
        </w:rPr>
        <w:t xml:space="preserve"> presentó ante la </w:t>
      </w:r>
      <w:r w:rsidRPr="00911FEA">
        <w:rPr>
          <w:rFonts w:ascii="ITC Avant Garde" w:hAnsi="ITC Avant Garde" w:cs="Arial"/>
          <w:kern w:val="1"/>
          <w:lang w:eastAsia="ar-SA"/>
        </w:rPr>
        <w:t>DGA-RPT</w:t>
      </w:r>
      <w:r w:rsidRPr="00911FEA">
        <w:rPr>
          <w:rFonts w:ascii="ITC Avant Garde" w:hAnsi="ITC Avant Garde" w:cs="Calibri"/>
        </w:rPr>
        <w:t xml:space="preserve">, la copia certificada de la escritura pública número 55,784, </w:t>
      </w:r>
      <w:r w:rsidRPr="00911FEA">
        <w:rPr>
          <w:rFonts w:ascii="ITC Avant Garde" w:hAnsi="ITC Avant Garde"/>
          <w:bCs/>
        </w:rPr>
        <w:t xml:space="preserve">pasado ante la fe del Lic. Guillermo Oliver </w:t>
      </w:r>
      <w:proofErr w:type="spellStart"/>
      <w:r w:rsidRPr="00911FEA">
        <w:rPr>
          <w:rFonts w:ascii="ITC Avant Garde" w:hAnsi="ITC Avant Garde"/>
          <w:bCs/>
        </w:rPr>
        <w:t>Bucio</w:t>
      </w:r>
      <w:proofErr w:type="spellEnd"/>
      <w:r w:rsidRPr="00911FEA">
        <w:rPr>
          <w:rFonts w:ascii="ITC Avant Garde" w:hAnsi="ITC Avant Garde"/>
          <w:bCs/>
        </w:rPr>
        <w:t xml:space="preserve">, titular de la Notaría Pública No. 246 del Distrito Federal, en el protocolo de la Notaría número 212, donde la Cláusula PRIMERA menciona que, </w:t>
      </w:r>
      <w:r w:rsidRPr="00911FEA">
        <w:rPr>
          <w:rFonts w:ascii="ITC Avant Garde" w:hAnsi="ITC Avant Garde"/>
          <w:bCs/>
          <w:i/>
        </w:rPr>
        <w:t xml:space="preserve">''ATALAYA </w:t>
      </w:r>
      <w:proofErr w:type="spellStart"/>
      <w:r w:rsidRPr="00911FEA">
        <w:rPr>
          <w:rFonts w:ascii="ITC Avant Garde" w:hAnsi="ITC Avant Garde"/>
          <w:bCs/>
          <w:i/>
        </w:rPr>
        <w:t>ADMINISTRATlVE</w:t>
      </w:r>
      <w:proofErr w:type="spellEnd"/>
      <w:r w:rsidRPr="00911FEA">
        <w:rPr>
          <w:rFonts w:ascii="ITC Avant Garde" w:hAnsi="ITC Avant Garde"/>
          <w:bCs/>
          <w:i/>
        </w:rPr>
        <w:t xml:space="preserve"> LLC como "Acreedor Hipotecario" y "RADIO BMP DE NUEVO LAREDO", SOCIEDAD ANÓNIMA DE CAPITAL VARIABLE, como "Deudor Hipotecario", con la comparecencia de "RADIO RGG DE MEXICO", SOCIEDAD DE RESPONSABILIDAD LIMITADA DE CAPITAL VARIABLE, representadas como ha quedado dicho, RATIFICAN PROTOCOLIZAN Y consecuentemente FORMALIZAN y ELEVAN A ESCRITURA PÚBLICA el DOCUMENTO que contiene el CONVENIO DE TERMINACIÓN DEL CONTRATO DE HIPOTÉCA INDUSTRIAL celebrado por los mismos, a que se refiere el antecedente segundo de este Instrumento, que obra agregado al apéndice marcado con la letra "A" Y que se tiene aquí por íntegramente reproducido como si a la letra se insertase. "</w:t>
      </w:r>
    </w:p>
    <w:p w:rsidR="00D33FA1" w:rsidRDefault="00ED3686" w:rsidP="00D33FA1">
      <w:pPr>
        <w:autoSpaceDE w:val="0"/>
        <w:autoSpaceDN w:val="0"/>
        <w:adjustRightInd w:val="0"/>
        <w:spacing w:after="240"/>
        <w:jc w:val="both"/>
        <w:rPr>
          <w:rFonts w:ascii="ITC Avant Garde" w:hAnsi="ITC Avant Garde"/>
          <w:bCs/>
          <w:i/>
        </w:rPr>
      </w:pPr>
      <w:proofErr w:type="gramStart"/>
      <w:r w:rsidRPr="00911FEA">
        <w:rPr>
          <w:rFonts w:ascii="ITC Avant Garde" w:hAnsi="ITC Avant Garde"/>
          <w:bCs/>
        </w:rPr>
        <w:t>Y</w:t>
      </w:r>
      <w:proofErr w:type="gramEnd"/>
      <w:r w:rsidRPr="00911FEA">
        <w:rPr>
          <w:rFonts w:ascii="ITC Avant Garde" w:hAnsi="ITC Avant Garde"/>
          <w:bCs/>
        </w:rPr>
        <w:t xml:space="preserve"> en consecuencia, la Cláusula SEGUNDA de la misma escritura señala que, </w:t>
      </w:r>
      <w:r w:rsidRPr="00911FEA">
        <w:rPr>
          <w:rFonts w:ascii="ITC Avant Garde" w:hAnsi="ITC Avant Garde"/>
          <w:bCs/>
          <w:i/>
        </w:rPr>
        <w:t xml:space="preserve">"Como consecuencia de lo anterior, "ATALAYA </w:t>
      </w:r>
      <w:proofErr w:type="spellStart"/>
      <w:r w:rsidRPr="00911FEA">
        <w:rPr>
          <w:rFonts w:ascii="ITC Avant Garde" w:hAnsi="ITC Avant Garde"/>
          <w:bCs/>
          <w:i/>
        </w:rPr>
        <w:t>ADMINlSTRATlVE</w:t>
      </w:r>
      <w:proofErr w:type="spellEnd"/>
      <w:r w:rsidRPr="00911FEA">
        <w:rPr>
          <w:rFonts w:ascii="ITC Avant Garde" w:hAnsi="ITC Avant Garde"/>
          <w:bCs/>
          <w:i/>
        </w:rPr>
        <w:t xml:space="preserve"> LLC", representado como al principio se Indicó, CANCELA LA HIPOTECA INDUSTRIAL que "RADIO BMP DE NUEVO LAREDO", SOCIEDAD ANÓNIMA DE CAPITAL VARIABLE, constituyó en su favor mediante el instrumento relacionado en el antecedente primero de este instrumento.”</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t xml:space="preserve">En términos de lo anterior, y a petición de </w:t>
      </w:r>
      <w:r w:rsidRPr="00911FEA">
        <w:rPr>
          <w:rFonts w:ascii="ITC Avant Garde" w:hAnsi="ITC Avant Garde" w:cs="Calibri"/>
          <w:b/>
        </w:rPr>
        <w:t xml:space="preserve">BMP de Nuevo Laredo </w:t>
      </w:r>
      <w:r w:rsidRPr="00911FEA">
        <w:rPr>
          <w:rFonts w:ascii="ITC Avant Garde" w:hAnsi="ITC Avant Garde" w:cs="Calibri"/>
        </w:rPr>
        <w:t xml:space="preserve">la </w:t>
      </w:r>
      <w:r w:rsidRPr="00911FEA">
        <w:rPr>
          <w:rFonts w:ascii="ITC Avant Garde" w:hAnsi="ITC Avant Garde" w:cs="Arial"/>
          <w:kern w:val="1"/>
          <w:lang w:eastAsia="ar-SA"/>
        </w:rPr>
        <w:t>DGA-RPT</w:t>
      </w:r>
      <w:r w:rsidRPr="00911FEA">
        <w:rPr>
          <w:rFonts w:ascii="ITC Avant Garde" w:hAnsi="ITC Avant Garde" w:cs="Calibri"/>
        </w:rPr>
        <w:t xml:space="preserve"> procedió a realizar la anotación correspondiente en el folio número 009660 de fecha 07 de mayo de 2015, por el cual se inscribió en el Registro Público de Concesiones el gravamen contenido en la escritura pública No. 51,828 del 23 de enero de 2015, impuesto al Título de Concesión para continuar usando comercialmente la frecuencia de radiodifusión </w:t>
      </w:r>
      <w:r w:rsidRPr="00911FEA">
        <w:rPr>
          <w:rFonts w:ascii="ITC Avant Garde" w:hAnsi="ITC Avant Garde" w:cs="Calibri"/>
        </w:rPr>
        <w:lastRenderedPageBreak/>
        <w:t>107.3 MHz., con distintivo XHGTS-FM, en Nuevo Laredo, Tamaulipas, quedando debidamente cancelada la inscripción del folio número 009660 en el Registro Público de Concesiones.</w:t>
      </w:r>
    </w:p>
    <w:p w:rsidR="00D33FA1" w:rsidRDefault="00ED3686" w:rsidP="00D33FA1">
      <w:pPr>
        <w:autoSpaceDE w:val="0"/>
        <w:autoSpaceDN w:val="0"/>
        <w:adjustRightInd w:val="0"/>
        <w:spacing w:after="240"/>
        <w:jc w:val="both"/>
        <w:rPr>
          <w:rFonts w:ascii="ITC Avant Garde" w:hAnsi="ITC Avant Garde"/>
          <w:bCs/>
        </w:rPr>
      </w:pPr>
      <w:proofErr w:type="gramStart"/>
      <w:r>
        <w:rPr>
          <w:rFonts w:ascii="ITC Avant Garde" w:hAnsi="ITC Avant Garde"/>
          <w:b/>
          <w:bCs/>
        </w:rPr>
        <w:t>Sexto</w:t>
      </w:r>
      <w:r w:rsidRPr="00911FEA">
        <w:rPr>
          <w:rFonts w:ascii="ITC Avant Garde" w:hAnsi="ITC Avant Garde"/>
          <w:b/>
          <w:bCs/>
        </w:rPr>
        <w:t>.-</w:t>
      </w:r>
      <w:proofErr w:type="gramEnd"/>
      <w:r w:rsidRPr="00911FEA">
        <w:rPr>
          <w:rFonts w:ascii="ITC Avant Garde" w:hAnsi="ITC Avant Garde"/>
          <w:b/>
          <w:bCs/>
        </w:rPr>
        <w:t>Análisis de la Solicitud de Enajenación de Acciones.</w:t>
      </w:r>
      <w:r w:rsidRPr="00911FEA">
        <w:rPr>
          <w:rFonts w:ascii="ITC Avant Garde" w:hAnsi="ITC Avant Garde"/>
          <w:bCs/>
        </w:rPr>
        <w:t xml:space="preserve"> De la revisión al marco legal aplicable, es dable concluir que los requisitos de procedencia que debe cumplir el concesionario que solicite autorización para llevar a cabo la suscripción o enajenación de acciones o partes sociales del capital son:</w:t>
      </w:r>
    </w:p>
    <w:p w:rsidR="00D33FA1" w:rsidRDefault="00ED3686" w:rsidP="00D33FA1">
      <w:pPr>
        <w:pStyle w:val="Prrafodelista"/>
        <w:numPr>
          <w:ilvl w:val="0"/>
          <w:numId w:val="1"/>
        </w:numPr>
        <w:spacing w:after="240" w:line="276" w:lineRule="auto"/>
        <w:ind w:left="1077" w:right="615" w:hanging="357"/>
        <w:jc w:val="both"/>
        <w:rPr>
          <w:rFonts w:ascii="ITC Avant Garde" w:eastAsia="Calibri" w:hAnsi="ITC Avant Garde"/>
          <w:bCs/>
          <w:sz w:val="22"/>
          <w:szCs w:val="22"/>
          <w:lang w:val="es-MX" w:eastAsia="en-US"/>
        </w:rPr>
      </w:pPr>
      <w:r w:rsidRPr="00911FEA">
        <w:rPr>
          <w:rFonts w:ascii="ITC Avant Garde" w:eastAsia="Calibri" w:hAnsi="ITC Avant Garde"/>
          <w:bCs/>
          <w:sz w:val="22"/>
          <w:szCs w:val="22"/>
          <w:lang w:val="es-MX" w:eastAsia="en-US"/>
        </w:rPr>
        <w:t>Que el titular de la concesión que actualice el supuesto normativo previsto por el artículo 112 de la Ley, dé aviso al Instituto por escrito que pretende llevar a cabo una enajenación de acciones, acompañando la documentación que permita conocer a los interesados en suscribir las mismas, previo a su realización.</w:t>
      </w:r>
    </w:p>
    <w:p w:rsidR="00D33FA1" w:rsidRDefault="00ED3686" w:rsidP="00D33FA1">
      <w:pPr>
        <w:pStyle w:val="Prrafodelista"/>
        <w:numPr>
          <w:ilvl w:val="0"/>
          <w:numId w:val="1"/>
        </w:numPr>
        <w:autoSpaceDE w:val="0"/>
        <w:autoSpaceDN w:val="0"/>
        <w:adjustRightInd w:val="0"/>
        <w:spacing w:after="240" w:line="276" w:lineRule="auto"/>
        <w:ind w:right="615"/>
        <w:jc w:val="both"/>
        <w:rPr>
          <w:rFonts w:ascii="ITC Avant Garde" w:hAnsi="ITC Avant Garde"/>
          <w:bCs/>
          <w:sz w:val="22"/>
          <w:szCs w:val="22"/>
        </w:rPr>
      </w:pPr>
      <w:r w:rsidRPr="00911FEA">
        <w:rPr>
          <w:rFonts w:ascii="ITC Avant Garde" w:eastAsia="Calibri" w:hAnsi="ITC Avant Garde"/>
          <w:bCs/>
          <w:sz w:val="22"/>
          <w:szCs w:val="22"/>
        </w:rPr>
        <w:t>Que el concesionario exhiba el comprobante del pago de los derechos establecidos en la Ley Federal de Derechos, referido en el Considerando Segundo de esta Resolución.</w:t>
      </w:r>
    </w:p>
    <w:p w:rsidR="00D33FA1" w:rsidRDefault="00ED3686" w:rsidP="00D33FA1">
      <w:pPr>
        <w:pStyle w:val="Prrafodelista"/>
        <w:numPr>
          <w:ilvl w:val="0"/>
          <w:numId w:val="1"/>
        </w:numPr>
        <w:autoSpaceDE w:val="0"/>
        <w:autoSpaceDN w:val="0"/>
        <w:adjustRightInd w:val="0"/>
        <w:spacing w:after="240" w:line="276" w:lineRule="auto"/>
        <w:ind w:right="615"/>
        <w:jc w:val="both"/>
        <w:rPr>
          <w:rFonts w:ascii="ITC Avant Garde" w:hAnsi="ITC Avant Garde"/>
          <w:bCs/>
          <w:sz w:val="22"/>
          <w:szCs w:val="22"/>
        </w:rPr>
      </w:pPr>
      <w:r w:rsidRPr="00911FEA">
        <w:rPr>
          <w:rFonts w:ascii="ITC Avant Garde" w:hAnsi="ITC Avant Garde"/>
          <w:bCs/>
          <w:sz w:val="22"/>
          <w:szCs w:val="22"/>
        </w:rPr>
        <w:t xml:space="preserve">Que la Secretaría emita su opinión técnica no vinculante respecto de las solicitudes de enajenación, </w:t>
      </w:r>
      <w:r w:rsidRPr="00911FEA">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rsidR="00D33FA1" w:rsidRDefault="00ED3686" w:rsidP="00D33FA1">
      <w:pPr>
        <w:autoSpaceDE w:val="0"/>
        <w:autoSpaceDN w:val="0"/>
        <w:adjustRightInd w:val="0"/>
        <w:spacing w:after="240"/>
        <w:jc w:val="both"/>
        <w:rPr>
          <w:rFonts w:ascii="ITC Avant Garde" w:hAnsi="ITC Avant Garde" w:cs="Arial"/>
          <w:kern w:val="1"/>
          <w:lang w:eastAsia="ar-SA"/>
        </w:rPr>
      </w:pPr>
      <w:r w:rsidRPr="00911FEA">
        <w:rPr>
          <w:rFonts w:ascii="ITC Avant Garde" w:hAnsi="ITC Avant Garde"/>
          <w:bCs/>
        </w:rPr>
        <w:t xml:space="preserve">En primera instancia, destaca que en el expediente administrativo consta el escrito presentado ante el Instituto el 2 de octubre de 2015, mediante el cual </w:t>
      </w:r>
      <w:r w:rsidRPr="00911FEA">
        <w:rPr>
          <w:rFonts w:ascii="ITC Avant Garde" w:hAnsi="ITC Avant Garde" w:cs="Calibri"/>
          <w:b/>
          <w:color w:val="000000" w:themeColor="text1"/>
        </w:rPr>
        <w:t>BMP de Nuevo Laredo</w:t>
      </w:r>
      <w:r w:rsidRPr="00911FEA">
        <w:rPr>
          <w:rFonts w:ascii="ITC Avant Garde" w:hAnsi="ITC Avant Garde"/>
          <w:bCs/>
        </w:rPr>
        <w:t>,</w:t>
      </w:r>
      <w:r w:rsidRPr="00911FEA">
        <w:rPr>
          <w:rFonts w:ascii="ITC Avant Garde" w:hAnsi="ITC Avant Garde" w:cs="Calibri"/>
          <w:b/>
        </w:rPr>
        <w:t xml:space="preserve"> </w:t>
      </w:r>
      <w:r w:rsidRPr="00911FEA">
        <w:rPr>
          <w:rFonts w:ascii="ITC Avant Garde" w:hAnsi="ITC Avant Garde" w:cs="Arial"/>
          <w:kern w:val="2"/>
          <w:lang w:eastAsia="ar-SA"/>
        </w:rPr>
        <w:t xml:space="preserve">señaló la intención de su representada de llevar a cabo la enajenación de la totalidad de las acciones representativas del capital social de las que son titulares </w:t>
      </w:r>
      <w:r w:rsidRPr="00911FEA">
        <w:rPr>
          <w:rFonts w:ascii="ITC Avant Garde" w:hAnsi="ITC Avant Garde"/>
          <w:bCs/>
        </w:rPr>
        <w:t>Radio RGG de México, S. de R.L. de C.V. y Radio BMP de Reynosa, S.A. de C.V.</w:t>
      </w:r>
    </w:p>
    <w:p w:rsidR="00ED3686" w:rsidRPr="00911FEA" w:rsidRDefault="00ED3686" w:rsidP="00D33FA1">
      <w:pPr>
        <w:widowControl w:val="0"/>
        <w:suppressAutoHyphens/>
        <w:autoSpaceDE w:val="0"/>
        <w:autoSpaceDN w:val="0"/>
        <w:adjustRightInd w:val="0"/>
        <w:spacing w:after="240"/>
        <w:jc w:val="both"/>
        <w:rPr>
          <w:rFonts w:ascii="ITC Avant Garde" w:hAnsi="ITC Avant Garde" w:cs="Calibri"/>
          <w:b/>
        </w:rPr>
      </w:pPr>
      <w:r w:rsidRPr="00911FEA">
        <w:rPr>
          <w:rFonts w:ascii="ITC Avant Garde" w:hAnsi="ITC Avant Garde"/>
          <w:bCs/>
        </w:rPr>
        <w:t xml:space="preserve">Conforme a lo anterior, </w:t>
      </w:r>
      <w:r w:rsidRPr="00911FEA">
        <w:rPr>
          <w:rFonts w:ascii="ITC Avant Garde" w:hAnsi="ITC Avant Garde"/>
          <w:bCs/>
          <w:color w:val="000000"/>
          <w:lang w:eastAsia="es-MX"/>
        </w:rPr>
        <w:t xml:space="preserve">de acuerdo con la información contenida en el expediente de dicha concesión integrado en el Instituto previo a la Solicitud </w:t>
      </w:r>
      <w:r w:rsidRPr="00911FEA">
        <w:rPr>
          <w:rFonts w:ascii="ITC Avant Garde" w:hAnsi="ITC Avant Garde" w:cs="Arial"/>
          <w:kern w:val="1"/>
          <w:lang w:eastAsia="ar-SA"/>
        </w:rPr>
        <w:t>de Enajenación de Acciones</w:t>
      </w:r>
      <w:r w:rsidRPr="00911FEA">
        <w:rPr>
          <w:rFonts w:ascii="ITC Avant Garde" w:hAnsi="ITC Avant Garde"/>
          <w:bCs/>
          <w:color w:val="000000"/>
          <w:lang w:eastAsia="es-MX"/>
        </w:rPr>
        <w:t xml:space="preserve">, y considerando el Aviso de Aumento de Capital Social descrito en el Antecedente VIII de la presente Resolución, se tiene registrada la siguiente distribución accionaria del capital social de </w:t>
      </w:r>
      <w:r w:rsidRPr="00911FEA">
        <w:rPr>
          <w:rFonts w:ascii="ITC Avant Garde" w:hAnsi="ITC Avant Garde" w:cs="Calibri"/>
          <w:b/>
          <w:color w:val="000000" w:themeColor="text1"/>
        </w:rPr>
        <w:t>BMP de Nuevo Laredo</w:t>
      </w:r>
      <w:r w:rsidRPr="00911FEA">
        <w:rPr>
          <w:rFonts w:ascii="ITC Avant Garde" w:hAnsi="ITC Avant Garde" w:cs="Calibri"/>
          <w:b/>
        </w:rPr>
        <w:t>:</w:t>
      </w:r>
    </w:p>
    <w:tbl>
      <w:tblPr>
        <w:tblStyle w:val="Tablaconcuadrcula"/>
        <w:tblW w:w="9383" w:type="dxa"/>
        <w:tblLayout w:type="fixed"/>
        <w:tblLook w:val="01E0" w:firstRow="1" w:lastRow="1" w:firstColumn="1" w:lastColumn="1" w:noHBand="0" w:noVBand="0"/>
        <w:tblCaption w:val="Distribución accionaria capital social BMP de Nuevo Laredo"/>
        <w:tblDescription w:val="En una tabla de 6 columnas y 4 filas, se proporcionan los nombres de los accionistas, el capital fijo de acciones, del importe, las variables de las acciones, el importe variable y su porcentaje. "/>
      </w:tblPr>
      <w:tblGrid>
        <w:gridCol w:w="2413"/>
        <w:gridCol w:w="1419"/>
        <w:gridCol w:w="1408"/>
        <w:gridCol w:w="1304"/>
        <w:gridCol w:w="1987"/>
        <w:gridCol w:w="852"/>
      </w:tblGrid>
      <w:tr w:rsidR="00ED3686" w:rsidRPr="005B5A12" w:rsidTr="00753963">
        <w:trPr>
          <w:trHeight w:val="20"/>
          <w:tblHeader/>
        </w:trPr>
        <w:tc>
          <w:tcPr>
            <w:tcW w:w="2413" w:type="dxa"/>
            <w:vAlign w:val="center"/>
          </w:tcPr>
          <w:p w:rsidR="00ED3686" w:rsidRPr="005B5A12" w:rsidRDefault="00563233" w:rsidP="00D33FA1">
            <w:pPr>
              <w:spacing w:after="0" w:line="240" w:lineRule="auto"/>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ACCIONISTAS</w:t>
            </w:r>
          </w:p>
        </w:tc>
        <w:tc>
          <w:tcPr>
            <w:tcW w:w="1419" w:type="dxa"/>
            <w:vAlign w:val="center"/>
          </w:tcPr>
          <w:p w:rsidR="00D33FA1" w:rsidRPr="005B5A12" w:rsidRDefault="00563233" w:rsidP="00D33FA1">
            <w:pPr>
              <w:spacing w:after="0" w:line="240" w:lineRule="auto"/>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FIJO</w:t>
            </w:r>
          </w:p>
          <w:p w:rsidR="00563233" w:rsidRPr="005B5A12" w:rsidRDefault="00563233" w:rsidP="00D33FA1">
            <w:pPr>
              <w:spacing w:after="0" w:line="240" w:lineRule="auto"/>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ACCIONES</w:t>
            </w:r>
          </w:p>
        </w:tc>
        <w:tc>
          <w:tcPr>
            <w:tcW w:w="1408" w:type="dxa"/>
            <w:vAlign w:val="center"/>
          </w:tcPr>
          <w:p w:rsidR="00D33FA1" w:rsidRPr="005B5A12" w:rsidRDefault="00563233" w:rsidP="00D33FA1">
            <w:pPr>
              <w:spacing w:after="0" w:line="240" w:lineRule="auto"/>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FIJO</w:t>
            </w:r>
          </w:p>
          <w:p w:rsidR="00563233" w:rsidRPr="005B5A12" w:rsidRDefault="00563233" w:rsidP="00D33FA1">
            <w:pPr>
              <w:spacing w:after="0" w:line="240" w:lineRule="auto"/>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IMPORTE</w:t>
            </w:r>
          </w:p>
        </w:tc>
        <w:tc>
          <w:tcPr>
            <w:tcW w:w="1304" w:type="dxa"/>
            <w:vAlign w:val="center"/>
          </w:tcPr>
          <w:p w:rsidR="00D33FA1" w:rsidRPr="005B5A12" w:rsidRDefault="00563233" w:rsidP="00D33FA1">
            <w:pPr>
              <w:spacing w:after="0" w:line="240" w:lineRule="auto"/>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VARIABLE</w:t>
            </w:r>
          </w:p>
          <w:p w:rsidR="00563233" w:rsidRPr="005B5A12" w:rsidRDefault="00563233" w:rsidP="00D33FA1">
            <w:pPr>
              <w:spacing w:after="0" w:line="240" w:lineRule="auto"/>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ACCIONES</w:t>
            </w:r>
          </w:p>
        </w:tc>
        <w:tc>
          <w:tcPr>
            <w:tcW w:w="1987" w:type="dxa"/>
            <w:vAlign w:val="center"/>
          </w:tcPr>
          <w:p w:rsidR="00D33FA1" w:rsidRPr="005B5A12" w:rsidRDefault="00563233" w:rsidP="00D33FA1">
            <w:pPr>
              <w:spacing w:after="0" w:line="240" w:lineRule="auto"/>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VARIABLE</w:t>
            </w:r>
          </w:p>
          <w:p w:rsidR="00563233" w:rsidRPr="005B5A12" w:rsidRDefault="00563233" w:rsidP="00D33FA1">
            <w:pPr>
              <w:spacing w:after="0" w:line="240" w:lineRule="auto"/>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IMPORTE</w:t>
            </w:r>
          </w:p>
        </w:tc>
        <w:tc>
          <w:tcPr>
            <w:tcW w:w="852" w:type="dxa"/>
            <w:vAlign w:val="center"/>
          </w:tcPr>
          <w:p w:rsidR="00ED3686" w:rsidRPr="005B5A12" w:rsidRDefault="00563233" w:rsidP="00D33FA1">
            <w:pPr>
              <w:spacing w:after="0" w:line="240" w:lineRule="auto"/>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w:t>
            </w:r>
          </w:p>
        </w:tc>
      </w:tr>
      <w:tr w:rsidR="00753963" w:rsidRPr="00911FEA" w:rsidTr="00753963">
        <w:trPr>
          <w:trHeight w:val="20"/>
        </w:trPr>
        <w:tc>
          <w:tcPr>
            <w:tcW w:w="2413" w:type="dxa"/>
          </w:tcPr>
          <w:p w:rsidR="00753963" w:rsidRPr="00911FEA" w:rsidRDefault="00753963" w:rsidP="00753963">
            <w:pPr>
              <w:spacing w:after="0" w:line="240" w:lineRule="auto"/>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Fideicomiso 11038635</w:t>
            </w:r>
          </w:p>
          <w:p w:rsidR="00753963" w:rsidRPr="00911FEA" w:rsidRDefault="00753963" w:rsidP="00753963">
            <w:pPr>
              <w:spacing w:after="0" w:line="240" w:lineRule="auto"/>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Radio RGG de México, S. de R.L. de C.V.</w:t>
            </w:r>
          </w:p>
        </w:tc>
        <w:tc>
          <w:tcPr>
            <w:tcW w:w="1419" w:type="dxa"/>
          </w:tcPr>
          <w:p w:rsidR="00753963" w:rsidRPr="00911FEA" w:rsidRDefault="00753963" w:rsidP="00753963">
            <w:pPr>
              <w:spacing w:after="0" w:line="240" w:lineRule="auto"/>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49,999</w:t>
            </w:r>
          </w:p>
        </w:tc>
        <w:tc>
          <w:tcPr>
            <w:tcW w:w="1408" w:type="dxa"/>
          </w:tcPr>
          <w:p w:rsidR="00753963" w:rsidRPr="00753963" w:rsidRDefault="00753963" w:rsidP="00753963">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304" w:type="dxa"/>
          </w:tcPr>
          <w:p w:rsidR="00753963" w:rsidRPr="00911FEA" w:rsidRDefault="00753963" w:rsidP="00753963">
            <w:pPr>
              <w:spacing w:after="0" w:line="240" w:lineRule="auto"/>
              <w:jc w:val="center"/>
              <w:rPr>
                <w:rFonts w:ascii="ITC Avant Garde" w:hAnsi="ITC Avant Garde"/>
                <w:b/>
                <w:bCs/>
                <w:color w:val="000000"/>
                <w:sz w:val="20"/>
                <w:szCs w:val="20"/>
                <w:lang w:eastAsia="es-MX"/>
              </w:rPr>
            </w:pPr>
            <w:r w:rsidRPr="00911FEA">
              <w:rPr>
                <w:rFonts w:ascii="ITC Avant Garde" w:hAnsi="ITC Avant Garde"/>
                <w:bCs/>
                <w:color w:val="000000"/>
                <w:sz w:val="20"/>
                <w:szCs w:val="20"/>
                <w:lang w:eastAsia="es-MX"/>
              </w:rPr>
              <w:t>28,064,200</w:t>
            </w:r>
          </w:p>
        </w:tc>
        <w:tc>
          <w:tcPr>
            <w:tcW w:w="1987" w:type="dxa"/>
          </w:tcPr>
          <w:p w:rsidR="00753963" w:rsidRPr="00753963" w:rsidRDefault="00753963" w:rsidP="00753963">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52" w:type="dxa"/>
          </w:tcPr>
          <w:p w:rsidR="00753963" w:rsidRPr="00911FEA" w:rsidRDefault="00753963" w:rsidP="00753963">
            <w:pPr>
              <w:spacing w:after="0" w:line="240" w:lineRule="auto"/>
              <w:jc w:val="center"/>
              <w:rPr>
                <w:rFonts w:ascii="ITC Avant Garde" w:hAnsi="ITC Avant Garde"/>
                <w:b/>
                <w:bCs/>
                <w:color w:val="000000"/>
                <w:sz w:val="20"/>
                <w:szCs w:val="20"/>
                <w:lang w:eastAsia="es-MX"/>
              </w:rPr>
            </w:pPr>
            <w:r w:rsidRPr="00911FEA">
              <w:rPr>
                <w:rFonts w:ascii="ITC Avant Garde" w:hAnsi="ITC Avant Garde"/>
                <w:bCs/>
                <w:color w:val="000000"/>
                <w:sz w:val="20"/>
                <w:szCs w:val="20"/>
                <w:lang w:eastAsia="es-MX"/>
              </w:rPr>
              <w:t>99.99</w:t>
            </w:r>
          </w:p>
        </w:tc>
      </w:tr>
      <w:tr w:rsidR="005B5A12" w:rsidRPr="00911FEA" w:rsidTr="00753963">
        <w:trPr>
          <w:trHeight w:val="20"/>
        </w:trPr>
        <w:tc>
          <w:tcPr>
            <w:tcW w:w="2413" w:type="dxa"/>
          </w:tcPr>
          <w:p w:rsidR="005B5A12" w:rsidRPr="00911FEA" w:rsidRDefault="005B5A12" w:rsidP="005B5A12">
            <w:pPr>
              <w:spacing w:after="0" w:line="240" w:lineRule="auto"/>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lastRenderedPageBreak/>
              <w:t>Radio BMP de Reynosa, S.A. de C.V.</w:t>
            </w:r>
          </w:p>
        </w:tc>
        <w:tc>
          <w:tcPr>
            <w:tcW w:w="1419" w:type="dxa"/>
          </w:tcPr>
          <w:p w:rsidR="005B5A12" w:rsidRPr="00911FEA" w:rsidRDefault="005B5A12" w:rsidP="005B5A12">
            <w:pPr>
              <w:spacing w:after="0" w:line="240" w:lineRule="auto"/>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1</w:t>
            </w:r>
          </w:p>
        </w:tc>
        <w:tc>
          <w:tcPr>
            <w:tcW w:w="1408"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304" w:type="dxa"/>
          </w:tcPr>
          <w:p w:rsidR="005B5A12" w:rsidRPr="00911FEA" w:rsidRDefault="005B5A12" w:rsidP="005B5A12">
            <w:pPr>
              <w:spacing w:after="0" w:line="240" w:lineRule="auto"/>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0</w:t>
            </w:r>
          </w:p>
        </w:tc>
        <w:tc>
          <w:tcPr>
            <w:tcW w:w="198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52" w:type="dxa"/>
          </w:tcPr>
          <w:p w:rsidR="005B5A12" w:rsidRPr="00911FEA" w:rsidRDefault="005B5A12" w:rsidP="005B5A12">
            <w:pPr>
              <w:spacing w:after="0" w:line="240" w:lineRule="auto"/>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0.01</w:t>
            </w:r>
          </w:p>
        </w:tc>
      </w:tr>
      <w:tr w:rsidR="005B5A12" w:rsidRPr="00911FEA" w:rsidTr="00753963">
        <w:trPr>
          <w:trHeight w:val="20"/>
        </w:trPr>
        <w:tc>
          <w:tcPr>
            <w:tcW w:w="2413" w:type="dxa"/>
          </w:tcPr>
          <w:p w:rsidR="005B5A12" w:rsidRPr="00911FEA" w:rsidRDefault="005B5A12" w:rsidP="005B5A12">
            <w:pPr>
              <w:spacing w:after="0" w:line="240" w:lineRule="auto"/>
              <w:ind w:left="1416"/>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TOTAL</w:t>
            </w:r>
          </w:p>
        </w:tc>
        <w:tc>
          <w:tcPr>
            <w:tcW w:w="1419" w:type="dxa"/>
          </w:tcPr>
          <w:p w:rsidR="005B5A12" w:rsidRPr="00911FEA" w:rsidRDefault="005B5A12" w:rsidP="005B5A12">
            <w:pPr>
              <w:spacing w:after="0" w:line="240" w:lineRule="auto"/>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50,000</w:t>
            </w:r>
          </w:p>
        </w:tc>
        <w:tc>
          <w:tcPr>
            <w:tcW w:w="1408"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304" w:type="dxa"/>
          </w:tcPr>
          <w:p w:rsidR="005B5A12" w:rsidRPr="00911FEA" w:rsidRDefault="005B5A12" w:rsidP="005B5A12">
            <w:pPr>
              <w:spacing w:after="0" w:line="240" w:lineRule="auto"/>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28,064,200</w:t>
            </w:r>
          </w:p>
        </w:tc>
        <w:tc>
          <w:tcPr>
            <w:tcW w:w="198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52" w:type="dxa"/>
          </w:tcPr>
          <w:p w:rsidR="005B5A12" w:rsidRPr="00911FEA" w:rsidRDefault="005B5A12" w:rsidP="005B5A12">
            <w:pPr>
              <w:spacing w:after="0" w:line="240" w:lineRule="auto"/>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100%</w:t>
            </w:r>
          </w:p>
        </w:tc>
      </w:tr>
    </w:tbl>
    <w:p w:rsidR="00ED3686" w:rsidRPr="00911FEA" w:rsidRDefault="00ED3686" w:rsidP="00D33FA1">
      <w:pPr>
        <w:autoSpaceDE w:val="0"/>
        <w:autoSpaceDN w:val="0"/>
        <w:adjustRightInd w:val="0"/>
        <w:spacing w:before="240" w:after="240"/>
        <w:jc w:val="both"/>
        <w:rPr>
          <w:rFonts w:ascii="ITC Avant Garde" w:hAnsi="ITC Avant Garde"/>
          <w:bCs/>
        </w:rPr>
      </w:pPr>
      <w:r w:rsidRPr="00911FEA">
        <w:rPr>
          <w:rFonts w:ascii="ITC Avant Garde" w:hAnsi="ITC Avant Garde"/>
          <w:bCs/>
        </w:rPr>
        <w:t xml:space="preserve">En seguimiento a lo anterior, de la Solicitud </w:t>
      </w:r>
      <w:r w:rsidRPr="00911FEA">
        <w:rPr>
          <w:rFonts w:ascii="ITC Avant Garde" w:hAnsi="ITC Avant Garde" w:cs="Arial"/>
          <w:kern w:val="1"/>
          <w:lang w:eastAsia="ar-SA"/>
        </w:rPr>
        <w:t>de Enajenación de Acciones</w:t>
      </w:r>
      <w:r w:rsidRPr="00911FEA">
        <w:rPr>
          <w:rFonts w:ascii="ITC Avant Garde" w:hAnsi="ITC Avant Garde"/>
          <w:bCs/>
        </w:rPr>
        <w:t xml:space="preserve"> se desprende que el cuadro accionario de </w:t>
      </w:r>
      <w:r w:rsidRPr="00911FEA">
        <w:rPr>
          <w:rFonts w:ascii="ITC Avant Garde" w:hAnsi="ITC Avant Garde" w:cs="Calibri"/>
          <w:b/>
          <w:color w:val="000000" w:themeColor="text1"/>
        </w:rPr>
        <w:t>BMP de Nuevo Laredo</w:t>
      </w:r>
      <w:r w:rsidRPr="00911FEA">
        <w:rPr>
          <w:rFonts w:ascii="ITC Avant Garde" w:hAnsi="ITC Avant Garde"/>
          <w:bCs/>
        </w:rPr>
        <w:t>,</w:t>
      </w:r>
      <w:r w:rsidRPr="00911FEA">
        <w:rPr>
          <w:rFonts w:ascii="ITC Avant Garde" w:hAnsi="ITC Avant Garde" w:cs="Calibri"/>
          <w:b/>
        </w:rPr>
        <w:t xml:space="preserve"> </w:t>
      </w:r>
      <w:r w:rsidRPr="00911FEA">
        <w:rPr>
          <w:rFonts w:ascii="ITC Avant Garde" w:hAnsi="ITC Avant Garde"/>
          <w:bCs/>
        </w:rPr>
        <w:t>propuesto quedaría de la siguiente forma:</w:t>
      </w:r>
    </w:p>
    <w:tbl>
      <w:tblPr>
        <w:tblStyle w:val="Tablaconcuadrcula"/>
        <w:tblW w:w="9453" w:type="dxa"/>
        <w:tblLayout w:type="fixed"/>
        <w:tblLook w:val="0620" w:firstRow="1" w:lastRow="0" w:firstColumn="0" w:lastColumn="0" w:noHBand="1" w:noVBand="1"/>
        <w:tblCaption w:val="Cuadro accionario BMP de Nuevo Laredo"/>
        <w:tblDescription w:val="En una tabla de 6 columnas y 4 filas, se proporcionan los nombres de los accionistas, el capital fijo de acciones, del importe, las variables de las acciones, el importe variable y su porcentaje. "/>
      </w:tblPr>
      <w:tblGrid>
        <w:gridCol w:w="2568"/>
        <w:gridCol w:w="1283"/>
        <w:gridCol w:w="1427"/>
        <w:gridCol w:w="1322"/>
        <w:gridCol w:w="1997"/>
        <w:gridCol w:w="856"/>
      </w:tblGrid>
      <w:tr w:rsidR="00ED3686" w:rsidRPr="005B5A12" w:rsidTr="005B5A12">
        <w:trPr>
          <w:trHeight w:val="20"/>
          <w:tblHeader/>
        </w:trPr>
        <w:tc>
          <w:tcPr>
            <w:tcW w:w="2568" w:type="dxa"/>
            <w:vAlign w:val="center"/>
          </w:tcPr>
          <w:p w:rsidR="00ED3686" w:rsidRPr="005B5A12" w:rsidRDefault="00D24B23" w:rsidP="00D33FA1">
            <w:pPr>
              <w:spacing w:after="0"/>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ACCIONISTAS</w:t>
            </w:r>
          </w:p>
        </w:tc>
        <w:tc>
          <w:tcPr>
            <w:tcW w:w="1283" w:type="dxa"/>
            <w:vAlign w:val="center"/>
          </w:tcPr>
          <w:p w:rsidR="00D33FA1" w:rsidRPr="005B5A12" w:rsidRDefault="00D24B23" w:rsidP="00D33FA1">
            <w:pPr>
              <w:spacing w:after="0"/>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FIJO</w:t>
            </w:r>
          </w:p>
          <w:p w:rsidR="00D24B23" w:rsidRPr="005B5A12" w:rsidRDefault="00D24B23" w:rsidP="00D33FA1">
            <w:pPr>
              <w:spacing w:after="0"/>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ACCIONES</w:t>
            </w:r>
          </w:p>
        </w:tc>
        <w:tc>
          <w:tcPr>
            <w:tcW w:w="1427" w:type="dxa"/>
            <w:vAlign w:val="center"/>
          </w:tcPr>
          <w:p w:rsidR="00D33FA1" w:rsidRPr="005B5A12" w:rsidRDefault="00D24B23" w:rsidP="00D33FA1">
            <w:pPr>
              <w:spacing w:after="0"/>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FIJO</w:t>
            </w:r>
          </w:p>
          <w:p w:rsidR="00D24B23" w:rsidRPr="005B5A12" w:rsidRDefault="00D24B23" w:rsidP="00D33FA1">
            <w:pPr>
              <w:spacing w:after="0"/>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IMPORTE</w:t>
            </w:r>
          </w:p>
        </w:tc>
        <w:tc>
          <w:tcPr>
            <w:tcW w:w="1322" w:type="dxa"/>
            <w:vAlign w:val="center"/>
          </w:tcPr>
          <w:p w:rsidR="00D33FA1" w:rsidRPr="005B5A12" w:rsidRDefault="00D24B23" w:rsidP="00D33FA1">
            <w:pPr>
              <w:spacing w:after="0"/>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VARIABLE</w:t>
            </w:r>
          </w:p>
          <w:p w:rsidR="00D24B23" w:rsidRPr="005B5A12" w:rsidRDefault="00D24B23" w:rsidP="00D33FA1">
            <w:pPr>
              <w:spacing w:after="0"/>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ACCIONES</w:t>
            </w:r>
          </w:p>
        </w:tc>
        <w:tc>
          <w:tcPr>
            <w:tcW w:w="1997" w:type="dxa"/>
            <w:vAlign w:val="center"/>
          </w:tcPr>
          <w:p w:rsidR="00D33FA1" w:rsidRPr="005B5A12" w:rsidRDefault="00D24B23" w:rsidP="00D33FA1">
            <w:pPr>
              <w:spacing w:after="0"/>
              <w:jc w:val="center"/>
              <w:rPr>
                <w:rFonts w:ascii="ITC Avant Garde" w:hAnsi="ITC Avant Garde"/>
                <w:b/>
                <w:bCs/>
                <w:color w:val="000000"/>
                <w:sz w:val="16"/>
                <w:szCs w:val="16"/>
                <w:lang w:eastAsia="es-MX"/>
              </w:rPr>
            </w:pPr>
            <w:r w:rsidRPr="005B5A12">
              <w:rPr>
                <w:rFonts w:ascii="ITC Avant Garde" w:hAnsi="ITC Avant Garde"/>
                <w:b/>
                <w:bCs/>
                <w:color w:val="000000"/>
                <w:sz w:val="16"/>
                <w:szCs w:val="16"/>
                <w:lang w:eastAsia="es-MX"/>
              </w:rPr>
              <w:t>CAPITAL VARIABLE</w:t>
            </w:r>
          </w:p>
          <w:p w:rsidR="00D24B23" w:rsidRPr="005B5A12" w:rsidRDefault="00D24B23" w:rsidP="00D33FA1">
            <w:pPr>
              <w:spacing w:after="0"/>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IMPORTE</w:t>
            </w:r>
          </w:p>
        </w:tc>
        <w:tc>
          <w:tcPr>
            <w:tcW w:w="856" w:type="dxa"/>
            <w:vAlign w:val="center"/>
          </w:tcPr>
          <w:p w:rsidR="00ED3686" w:rsidRPr="005B5A12" w:rsidRDefault="00D24B23" w:rsidP="00D33FA1">
            <w:pPr>
              <w:spacing w:after="0"/>
              <w:jc w:val="center"/>
              <w:rPr>
                <w:rFonts w:ascii="ITC Avant Garde" w:hAnsi="ITC Avant Garde"/>
                <w:bCs/>
                <w:color w:val="000000"/>
                <w:sz w:val="16"/>
                <w:szCs w:val="16"/>
                <w:lang w:eastAsia="es-MX"/>
              </w:rPr>
            </w:pPr>
            <w:r w:rsidRPr="005B5A12">
              <w:rPr>
                <w:rFonts w:ascii="ITC Avant Garde" w:hAnsi="ITC Avant Garde"/>
                <w:b/>
                <w:bCs/>
                <w:color w:val="000000"/>
                <w:sz w:val="16"/>
                <w:szCs w:val="16"/>
                <w:lang w:eastAsia="es-MX"/>
              </w:rPr>
              <w:t>%</w:t>
            </w:r>
          </w:p>
        </w:tc>
      </w:tr>
      <w:tr w:rsidR="005B5A12" w:rsidRPr="00911FEA" w:rsidTr="005B5A12">
        <w:trPr>
          <w:trHeight w:val="20"/>
        </w:trPr>
        <w:tc>
          <w:tcPr>
            <w:tcW w:w="2568"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Noé Cuellar González</w:t>
            </w:r>
          </w:p>
        </w:tc>
        <w:tc>
          <w:tcPr>
            <w:tcW w:w="1283"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49,999</w:t>
            </w:r>
          </w:p>
        </w:tc>
        <w:tc>
          <w:tcPr>
            <w:tcW w:w="142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322"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28,064,200</w:t>
            </w:r>
          </w:p>
        </w:tc>
        <w:tc>
          <w:tcPr>
            <w:tcW w:w="199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56"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99.99</w:t>
            </w:r>
          </w:p>
        </w:tc>
      </w:tr>
      <w:tr w:rsidR="005B5A12" w:rsidRPr="00911FEA" w:rsidTr="005B5A12">
        <w:trPr>
          <w:trHeight w:val="20"/>
        </w:trPr>
        <w:tc>
          <w:tcPr>
            <w:tcW w:w="2568"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Ruth del Socorro Rodríguez Narváez</w:t>
            </w:r>
          </w:p>
        </w:tc>
        <w:tc>
          <w:tcPr>
            <w:tcW w:w="1283"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1</w:t>
            </w:r>
          </w:p>
        </w:tc>
        <w:tc>
          <w:tcPr>
            <w:tcW w:w="142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322"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0</w:t>
            </w:r>
          </w:p>
        </w:tc>
        <w:tc>
          <w:tcPr>
            <w:tcW w:w="199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56"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0.01</w:t>
            </w:r>
          </w:p>
        </w:tc>
      </w:tr>
      <w:tr w:rsidR="005B5A12" w:rsidRPr="00911FEA" w:rsidTr="005B5A12">
        <w:trPr>
          <w:trHeight w:val="20"/>
        </w:trPr>
        <w:tc>
          <w:tcPr>
            <w:tcW w:w="2568" w:type="dxa"/>
          </w:tcPr>
          <w:p w:rsidR="005B5A12" w:rsidRPr="00911FEA" w:rsidRDefault="005B5A12" w:rsidP="005B5A12">
            <w:pPr>
              <w:spacing w:after="0"/>
              <w:ind w:left="1416"/>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TOTAL</w:t>
            </w:r>
          </w:p>
        </w:tc>
        <w:tc>
          <w:tcPr>
            <w:tcW w:w="1283" w:type="dxa"/>
          </w:tcPr>
          <w:p w:rsidR="005B5A12" w:rsidRPr="00911FEA" w:rsidRDefault="005B5A12" w:rsidP="005B5A12">
            <w:pPr>
              <w:spacing w:after="0"/>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50,000</w:t>
            </w:r>
          </w:p>
        </w:tc>
        <w:tc>
          <w:tcPr>
            <w:tcW w:w="142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322" w:type="dxa"/>
          </w:tcPr>
          <w:p w:rsidR="005B5A12" w:rsidRPr="00911FEA" w:rsidRDefault="005B5A12" w:rsidP="005B5A12">
            <w:pPr>
              <w:spacing w:after="0"/>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28,064,200</w:t>
            </w:r>
          </w:p>
        </w:tc>
        <w:tc>
          <w:tcPr>
            <w:tcW w:w="1997"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56" w:type="dxa"/>
          </w:tcPr>
          <w:p w:rsidR="005B5A12" w:rsidRPr="00911FEA" w:rsidRDefault="005B5A12" w:rsidP="005B5A12">
            <w:pPr>
              <w:spacing w:after="0"/>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100%</w:t>
            </w:r>
          </w:p>
        </w:tc>
      </w:tr>
    </w:tbl>
    <w:p w:rsidR="00D33FA1" w:rsidRDefault="00ED3686" w:rsidP="00D33FA1">
      <w:pPr>
        <w:autoSpaceDE w:val="0"/>
        <w:autoSpaceDN w:val="0"/>
        <w:adjustRightInd w:val="0"/>
        <w:spacing w:before="240" w:after="240"/>
        <w:jc w:val="both"/>
        <w:rPr>
          <w:rFonts w:ascii="ITC Avant Garde" w:hAnsi="ITC Avant Garde"/>
          <w:bCs/>
        </w:rPr>
      </w:pPr>
      <w:r w:rsidRPr="00911FEA">
        <w:rPr>
          <w:rFonts w:ascii="ITC Avant Garde" w:hAnsi="ITC Avant Garde"/>
          <w:bCs/>
        </w:rPr>
        <w:t xml:space="preserve">Asimismo, </w:t>
      </w:r>
      <w:r w:rsidRPr="00911FEA">
        <w:rPr>
          <w:rFonts w:ascii="ITC Avant Garde" w:hAnsi="ITC Avant Garde" w:cs="Calibri"/>
          <w:b/>
          <w:color w:val="000000" w:themeColor="text1"/>
        </w:rPr>
        <w:t>BMP de Nuevo Laredo</w:t>
      </w:r>
      <w:r w:rsidRPr="00911FEA">
        <w:rPr>
          <w:rFonts w:ascii="ITC Avant Garde" w:hAnsi="ITC Avant Garde"/>
          <w:bCs/>
        </w:rPr>
        <w:t>,</w:t>
      </w:r>
      <w:r w:rsidRPr="00911FEA">
        <w:rPr>
          <w:rFonts w:ascii="ITC Avant Garde" w:hAnsi="ITC Avant Garde" w:cs="Calibri"/>
        </w:rPr>
        <w:t xml:space="preserve"> </w:t>
      </w:r>
      <w:r w:rsidRPr="00911FEA">
        <w:rPr>
          <w:rFonts w:ascii="ITC Avant Garde" w:hAnsi="ITC Avant Garde"/>
          <w:bCs/>
        </w:rPr>
        <w:t xml:space="preserve">acompañó a su Solicitud </w:t>
      </w:r>
      <w:r w:rsidRPr="00911FEA">
        <w:rPr>
          <w:rFonts w:ascii="ITC Avant Garde" w:hAnsi="ITC Avant Garde" w:cs="Arial"/>
          <w:kern w:val="1"/>
          <w:lang w:eastAsia="ar-SA"/>
        </w:rPr>
        <w:t>de Enajenación de Acciones</w:t>
      </w:r>
      <w:r w:rsidRPr="00911FEA">
        <w:rPr>
          <w:rFonts w:ascii="ITC Avant Garde" w:hAnsi="ITC Avant Garde"/>
          <w:bCs/>
        </w:rPr>
        <w:t xml:space="preserve"> la información que permitió conocer la nacionalidad de las personas interesadas en llevar a cabo la adquisición de las acciones, con lo cual se satisface el requisito del referido artículo 112 de la Ley, en relación con el artículo Quinto Transitorio del Decreto de Reforma Constitucional.</w:t>
      </w:r>
    </w:p>
    <w:p w:rsidR="00D33FA1" w:rsidRDefault="00ED3686" w:rsidP="00D33FA1">
      <w:pPr>
        <w:autoSpaceDE w:val="0"/>
        <w:autoSpaceDN w:val="0"/>
        <w:adjustRightInd w:val="0"/>
        <w:spacing w:after="240"/>
        <w:jc w:val="both"/>
        <w:rPr>
          <w:rFonts w:ascii="ITC Avant Garde" w:hAnsi="ITC Avant Garde"/>
          <w:bCs/>
        </w:rPr>
      </w:pPr>
      <w:r w:rsidRPr="00E91C30">
        <w:rPr>
          <w:rFonts w:ascii="ITC Avant Garde" w:hAnsi="ITC Avant Garde"/>
          <w:color w:val="000000"/>
          <w:shd w:val="clear" w:color="auto" w:fill="FFFFFF"/>
        </w:rPr>
        <w:t xml:space="preserve">Por su parte, por cuanto hace a la opinión técnica de la Secretaría, mediante oficio </w:t>
      </w:r>
      <w:r w:rsidRPr="00E91C30">
        <w:rPr>
          <w:rFonts w:ascii="ITC Avant Garde" w:hAnsi="ITC Avant Garde" w:cs="Arial"/>
          <w:kern w:val="1"/>
          <w:lang w:eastAsia="ar-SA"/>
        </w:rPr>
        <w:t>1.-3</w:t>
      </w:r>
      <w:r>
        <w:rPr>
          <w:rFonts w:ascii="ITC Avant Garde" w:hAnsi="ITC Avant Garde" w:cs="Arial"/>
          <w:kern w:val="1"/>
          <w:lang w:eastAsia="ar-SA"/>
        </w:rPr>
        <w:t>65</w:t>
      </w:r>
      <w:r w:rsidRPr="00E91C30">
        <w:rPr>
          <w:rFonts w:ascii="ITC Avant Garde" w:hAnsi="ITC Avant Garde"/>
          <w:color w:val="000000"/>
          <w:shd w:val="clear" w:color="auto" w:fill="FFFFFF"/>
        </w:rPr>
        <w:t xml:space="preserve"> de fecha </w:t>
      </w:r>
      <w:r>
        <w:rPr>
          <w:rFonts w:ascii="ITC Avant Garde" w:hAnsi="ITC Avant Garde"/>
          <w:color w:val="000000"/>
          <w:shd w:val="clear" w:color="auto" w:fill="FFFFFF"/>
        </w:rPr>
        <w:t>24 de noviembre</w:t>
      </w:r>
      <w:r w:rsidRPr="00E91C30">
        <w:rPr>
          <w:rFonts w:ascii="ITC Avant Garde" w:hAnsi="ITC Avant Garde"/>
          <w:color w:val="000000"/>
          <w:shd w:val="clear" w:color="auto" w:fill="FFFFFF"/>
        </w:rPr>
        <w:t xml:space="preserve"> de 2015, ésta emitió opinión favorable a la </w:t>
      </w:r>
      <w:r w:rsidRPr="00E91C30">
        <w:rPr>
          <w:rFonts w:ascii="ITC Avant Garde" w:hAnsi="ITC Avant Garde"/>
          <w:bCs/>
          <w:color w:val="000000"/>
          <w:lang w:eastAsia="es-MX"/>
        </w:rPr>
        <w:t xml:space="preserve">Solicitud de Enajenación de </w:t>
      </w:r>
      <w:r>
        <w:rPr>
          <w:rFonts w:ascii="ITC Avant Garde" w:hAnsi="ITC Avant Garde"/>
          <w:bCs/>
          <w:color w:val="000000"/>
          <w:lang w:eastAsia="es-MX"/>
        </w:rPr>
        <w:t>Acciones</w:t>
      </w:r>
      <w:r w:rsidRPr="00E91C30">
        <w:rPr>
          <w:rFonts w:ascii="ITC Avant Garde" w:hAnsi="ITC Avant Garde"/>
          <w:bCs/>
          <w:color w:val="000000"/>
          <w:lang w:eastAsia="es-MX"/>
        </w:rPr>
        <w:t xml:space="preserve"> presentada por </w:t>
      </w:r>
      <w:r w:rsidRPr="00911FEA">
        <w:rPr>
          <w:rFonts w:ascii="ITC Avant Garde" w:hAnsi="ITC Avant Garde" w:cs="Calibri"/>
          <w:b/>
          <w:color w:val="000000" w:themeColor="text1"/>
        </w:rPr>
        <w:t>BMP de Nuevo Laredo</w:t>
      </w:r>
      <w:r w:rsidRPr="00E91C30">
        <w:rPr>
          <w:rFonts w:ascii="ITC Avant Garde" w:hAnsi="ITC Avant Garde" w:cs="Calibri"/>
          <w:b/>
          <w:color w:val="000000" w:themeColor="text1"/>
        </w:rPr>
        <w:t>.</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rPr>
        <w:t xml:space="preserve">Igualmente, </w:t>
      </w:r>
      <w:r w:rsidRPr="00911FEA">
        <w:rPr>
          <w:rFonts w:ascii="ITC Avant Garde" w:hAnsi="ITC Avant Garde" w:cs="Calibri"/>
          <w:b/>
          <w:color w:val="000000" w:themeColor="text1"/>
        </w:rPr>
        <w:t>BMP de Nuevo Laredo</w:t>
      </w:r>
      <w:r w:rsidRPr="00911FEA" w:rsidDel="00BE71FC">
        <w:rPr>
          <w:rFonts w:ascii="ITC Avant Garde" w:hAnsi="ITC Avant Garde" w:cs="Calibri"/>
          <w:color w:val="000000" w:themeColor="text1"/>
        </w:rPr>
        <w:t>,</w:t>
      </w:r>
      <w:r w:rsidRPr="00911FEA">
        <w:rPr>
          <w:rFonts w:ascii="ITC Avant Garde" w:hAnsi="ITC Avant Garde"/>
          <w:bCs/>
        </w:rPr>
        <w:t xml:space="preserve"> presentó comprobante de pago de derechos por concepto 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atendiendo de esta forma a lo dispuesto por el artículo 124 fracción II inciso m) de la Ley Federal de Derechos.</w:t>
      </w:r>
    </w:p>
    <w:p w:rsidR="00D33FA1" w:rsidRDefault="00ED3686" w:rsidP="00D33FA1">
      <w:pPr>
        <w:autoSpaceDE w:val="0"/>
        <w:autoSpaceDN w:val="0"/>
        <w:adjustRightInd w:val="0"/>
        <w:spacing w:after="240"/>
        <w:jc w:val="both"/>
        <w:rPr>
          <w:rFonts w:ascii="ITC Avant Garde" w:hAnsi="ITC Avant Garde"/>
          <w:bCs/>
        </w:rPr>
      </w:pPr>
      <w:r w:rsidRPr="00911FEA">
        <w:rPr>
          <w:rFonts w:ascii="ITC Avant Garde" w:hAnsi="ITC Avant Garde"/>
          <w:bCs/>
          <w:lang w:eastAsia="es-MX"/>
        </w:rPr>
        <w:t>Por lo anteriormente señalado, y con fundamento en los artículos 28 párrafos décimo quinto, décimo sexto y décimo séptimo de la Constitución Política de los Estados Unidos Mexicanos; 6 fracción IV, 7, 15 fracciones IV y XVIII, 17 fracción I y 112 de la Ley Federal de Telecomunicaciones y Radiodifusión; 5 y 86 de la Ley Federal de Competencia Económica; 35 fracción I, 36, 38, 39 y 57 fracción I de la Ley Federal de Procedimiento Administrativo y 1, 6, 32 y 34 fracción IV del Estatuto Orgánico del Instituto Federal de Telecomunicaciones, este órgano autónomo emite los siguientes</w:t>
      </w:r>
      <w:r w:rsidRPr="00911FEA">
        <w:rPr>
          <w:rFonts w:ascii="ITC Avant Garde" w:hAnsi="ITC Avant Garde"/>
          <w:bCs/>
        </w:rPr>
        <w:t>:</w:t>
      </w:r>
    </w:p>
    <w:p w:rsidR="00D33FA1" w:rsidRDefault="00ED3686" w:rsidP="00D33FA1">
      <w:pPr>
        <w:pStyle w:val="Ttulo2"/>
        <w:spacing w:after="240"/>
        <w:jc w:val="center"/>
        <w:rPr>
          <w:rFonts w:ascii="ITC Avant Garde" w:hAnsi="ITC Avant Garde"/>
          <w:b/>
          <w:color w:val="auto"/>
          <w:sz w:val="22"/>
          <w:szCs w:val="22"/>
          <w:lang w:eastAsia="es-MX"/>
        </w:rPr>
      </w:pPr>
      <w:r w:rsidRPr="00133F1D">
        <w:rPr>
          <w:rFonts w:ascii="ITC Avant Garde" w:hAnsi="ITC Avant Garde"/>
          <w:b/>
          <w:color w:val="auto"/>
          <w:sz w:val="22"/>
          <w:szCs w:val="22"/>
          <w:lang w:eastAsia="es-MX"/>
        </w:rPr>
        <w:lastRenderedPageBreak/>
        <w:t>RESOLUTIVOS</w:t>
      </w:r>
    </w:p>
    <w:p w:rsidR="00ED3686" w:rsidRPr="00911FEA" w:rsidRDefault="00ED3686" w:rsidP="00D33FA1">
      <w:pPr>
        <w:spacing w:after="240"/>
        <w:jc w:val="both"/>
        <w:rPr>
          <w:rFonts w:ascii="ITC Avant Garde" w:hAnsi="ITC Avant Garde"/>
          <w:bCs/>
        </w:rPr>
      </w:pPr>
      <w:proofErr w:type="gramStart"/>
      <w:r w:rsidRPr="00911FEA">
        <w:rPr>
          <w:rFonts w:ascii="ITC Avant Garde" w:hAnsi="ITC Avant Garde"/>
          <w:b/>
          <w:bCs/>
        </w:rPr>
        <w:t>Primero.-</w:t>
      </w:r>
      <w:proofErr w:type="gramEnd"/>
      <w:r w:rsidRPr="00911FEA">
        <w:rPr>
          <w:rFonts w:ascii="ITC Avant Garde" w:hAnsi="ITC Avant Garde"/>
          <w:b/>
          <w:bCs/>
        </w:rPr>
        <w:t xml:space="preserve"> </w:t>
      </w:r>
      <w:r w:rsidRPr="00911FEA">
        <w:rPr>
          <w:rFonts w:ascii="ITC Avant Garde" w:hAnsi="ITC Avant Garde"/>
          <w:bCs/>
        </w:rPr>
        <w:t xml:space="preserve">El Instituto Federal de Telecomunicaciones autoriza a la empresa </w:t>
      </w:r>
      <w:r w:rsidRPr="00911FEA">
        <w:rPr>
          <w:rFonts w:ascii="ITC Avant Garde" w:hAnsi="ITC Avant Garde"/>
          <w:b/>
          <w:bCs/>
        </w:rPr>
        <w:t xml:space="preserve">Radio </w:t>
      </w:r>
      <w:r w:rsidRPr="00911FEA">
        <w:rPr>
          <w:rFonts w:ascii="ITC Avant Garde" w:hAnsi="ITC Avant Garde" w:cs="Calibri"/>
          <w:b/>
          <w:color w:val="000000" w:themeColor="text1"/>
        </w:rPr>
        <w:t>BMP de Nuevo Laredo</w:t>
      </w:r>
      <w:r w:rsidRPr="00911FEA">
        <w:rPr>
          <w:rFonts w:ascii="ITC Avant Garde" w:hAnsi="ITC Avant Garde" w:cs="Calibri"/>
          <w:b/>
        </w:rPr>
        <w:t>,</w:t>
      </w:r>
      <w:r w:rsidRPr="00911FEA" w:rsidDel="00714243">
        <w:rPr>
          <w:rFonts w:ascii="ITC Avant Garde" w:hAnsi="ITC Avant Garde" w:cs="Calibri"/>
          <w:b/>
        </w:rPr>
        <w:t xml:space="preserve"> </w:t>
      </w:r>
      <w:r w:rsidRPr="00911FEA">
        <w:rPr>
          <w:rFonts w:ascii="ITC Avant Garde" w:hAnsi="ITC Avant Garde"/>
          <w:b/>
          <w:bCs/>
        </w:rPr>
        <w:t>S.A. de C.V.</w:t>
      </w:r>
      <w:r w:rsidRPr="00911FEA">
        <w:rPr>
          <w:rFonts w:ascii="ITC Avant Garde" w:hAnsi="ITC Avant Garde"/>
          <w:bCs/>
        </w:rPr>
        <w:t xml:space="preserve">, concesionaria </w:t>
      </w:r>
      <w:r w:rsidRPr="00911FEA">
        <w:rPr>
          <w:rFonts w:ascii="ITC Avant Garde" w:hAnsi="ITC Avant Garde"/>
          <w:bCs/>
          <w:color w:val="000000"/>
          <w:lang w:eastAsia="es-MX"/>
        </w:rPr>
        <w:t xml:space="preserve">para el uso, aprovechamiento y explotación comercial de la frecuencia </w:t>
      </w:r>
      <w:r w:rsidRPr="00911FEA">
        <w:rPr>
          <w:rFonts w:ascii="ITC Avant Garde" w:hAnsi="ITC Avant Garde"/>
          <w:b/>
          <w:bCs/>
          <w:color w:val="000000"/>
          <w:lang w:eastAsia="es-MX"/>
        </w:rPr>
        <w:t>107.3</w:t>
      </w:r>
      <w:r w:rsidRPr="00911FEA">
        <w:rPr>
          <w:rFonts w:ascii="ITC Avant Garde" w:hAnsi="ITC Avant Garde"/>
          <w:bCs/>
          <w:color w:val="000000"/>
          <w:lang w:eastAsia="es-MX"/>
        </w:rPr>
        <w:t xml:space="preserve"> </w:t>
      </w:r>
      <w:r w:rsidRPr="00911FEA">
        <w:rPr>
          <w:rFonts w:ascii="ITC Avant Garde" w:hAnsi="ITC Avant Garde"/>
          <w:b/>
          <w:bCs/>
          <w:color w:val="000000"/>
          <w:lang w:eastAsia="es-MX"/>
        </w:rPr>
        <w:t>MHz</w:t>
      </w:r>
      <w:r w:rsidRPr="00911FEA">
        <w:rPr>
          <w:rFonts w:ascii="ITC Avant Garde" w:hAnsi="ITC Avant Garde"/>
          <w:bCs/>
          <w:color w:val="000000"/>
          <w:lang w:eastAsia="es-MX"/>
        </w:rPr>
        <w:t xml:space="preserve">, con distintivo de llamada </w:t>
      </w:r>
      <w:r w:rsidRPr="00911FEA">
        <w:rPr>
          <w:rFonts w:ascii="ITC Avant Garde" w:hAnsi="ITC Avant Garde" w:cs="Calibri"/>
          <w:b/>
        </w:rPr>
        <w:t>XHGTS-FM</w:t>
      </w:r>
      <w:r w:rsidRPr="00911FEA">
        <w:rPr>
          <w:rFonts w:ascii="ITC Avant Garde" w:hAnsi="ITC Avant Garde"/>
          <w:bCs/>
          <w:color w:val="000000"/>
          <w:lang w:eastAsia="es-MX"/>
        </w:rPr>
        <w:t>, en</w:t>
      </w:r>
      <w:r w:rsidRPr="00911FEA">
        <w:rPr>
          <w:rFonts w:ascii="ITC Avant Garde" w:hAnsi="ITC Avant Garde"/>
          <w:b/>
          <w:bCs/>
          <w:color w:val="000000"/>
          <w:lang w:eastAsia="es-MX"/>
        </w:rPr>
        <w:t xml:space="preserve"> Nuevo Laredo, Tamaulipas</w:t>
      </w:r>
      <w:r w:rsidRPr="00911FEA">
        <w:rPr>
          <w:rFonts w:ascii="ITC Avant Garde" w:hAnsi="ITC Avant Garde"/>
          <w:bCs/>
          <w:color w:val="000000"/>
          <w:lang w:eastAsia="es-MX"/>
        </w:rPr>
        <w:t xml:space="preserve">, a </w:t>
      </w:r>
      <w:r w:rsidRPr="00911FEA">
        <w:rPr>
          <w:rFonts w:ascii="ITC Avant Garde" w:hAnsi="ITC Avant Garde"/>
          <w:bCs/>
        </w:rPr>
        <w:t>llevar a cabo la enajenación de acciones motivo de la solicitud descrita en el Antecedente IX de la presente Resolución, a efecto de que su estructura accionaria quede integrada de la siguiente manera:</w:t>
      </w:r>
    </w:p>
    <w:tbl>
      <w:tblPr>
        <w:tblStyle w:val="Tablaconcuadrcula"/>
        <w:tblW w:w="9377" w:type="dxa"/>
        <w:tblLayout w:type="fixed"/>
        <w:tblLook w:val="01E0" w:firstRow="1" w:lastRow="1" w:firstColumn="1" w:lastColumn="1" w:noHBand="0" w:noVBand="0"/>
        <w:tblCaption w:val="Estrctura accionaria de Radio BMP de Nuevo Laredo, S.A. de C.V."/>
        <w:tblDescription w:val="En una tabla de 6 columnas y 4 filas, se proporcionan los nombres de los accionistas, el capital fijo de acciones, del importe, las variables de las acciones, el importe variable y su porcentaje. "/>
      </w:tblPr>
      <w:tblGrid>
        <w:gridCol w:w="2160"/>
        <w:gridCol w:w="1301"/>
        <w:gridCol w:w="1415"/>
        <w:gridCol w:w="1671"/>
        <w:gridCol w:w="1981"/>
        <w:gridCol w:w="849"/>
      </w:tblGrid>
      <w:tr w:rsidR="00ED3686" w:rsidRPr="005B5A12" w:rsidTr="005B5A12">
        <w:trPr>
          <w:trHeight w:val="20"/>
          <w:tblHeader/>
        </w:trPr>
        <w:tc>
          <w:tcPr>
            <w:tcW w:w="2160" w:type="dxa"/>
            <w:vAlign w:val="center"/>
          </w:tcPr>
          <w:p w:rsidR="00ED3686" w:rsidRPr="005B5A12" w:rsidRDefault="00D24B23" w:rsidP="00D33FA1">
            <w:pPr>
              <w:spacing w:after="0"/>
              <w:jc w:val="center"/>
              <w:rPr>
                <w:rFonts w:ascii="ITC Avant Garde" w:hAnsi="ITC Avant Garde"/>
                <w:bCs/>
                <w:color w:val="000000"/>
                <w:sz w:val="18"/>
                <w:szCs w:val="18"/>
                <w:lang w:eastAsia="es-MX"/>
              </w:rPr>
            </w:pPr>
            <w:r w:rsidRPr="005B5A12">
              <w:rPr>
                <w:rFonts w:ascii="ITC Avant Garde" w:hAnsi="ITC Avant Garde"/>
                <w:b/>
                <w:bCs/>
                <w:color w:val="000000"/>
                <w:sz w:val="18"/>
                <w:szCs w:val="18"/>
                <w:lang w:eastAsia="es-MX"/>
              </w:rPr>
              <w:t>ACCIONISTAS</w:t>
            </w:r>
          </w:p>
        </w:tc>
        <w:tc>
          <w:tcPr>
            <w:tcW w:w="1301" w:type="dxa"/>
            <w:vAlign w:val="center"/>
          </w:tcPr>
          <w:p w:rsidR="00D33FA1" w:rsidRPr="005B5A12" w:rsidRDefault="00D24B23" w:rsidP="00D33FA1">
            <w:pPr>
              <w:spacing w:after="0"/>
              <w:jc w:val="center"/>
              <w:rPr>
                <w:rFonts w:ascii="ITC Avant Garde" w:hAnsi="ITC Avant Garde"/>
                <w:b/>
                <w:bCs/>
                <w:color w:val="000000"/>
                <w:sz w:val="18"/>
                <w:szCs w:val="18"/>
                <w:lang w:eastAsia="es-MX"/>
              </w:rPr>
            </w:pPr>
            <w:r w:rsidRPr="005B5A12">
              <w:rPr>
                <w:rFonts w:ascii="ITC Avant Garde" w:hAnsi="ITC Avant Garde"/>
                <w:b/>
                <w:bCs/>
                <w:color w:val="000000"/>
                <w:sz w:val="18"/>
                <w:szCs w:val="18"/>
                <w:lang w:eastAsia="es-MX"/>
              </w:rPr>
              <w:t>CAPITAL FIJO</w:t>
            </w:r>
          </w:p>
          <w:p w:rsidR="00D24B23" w:rsidRPr="005B5A12" w:rsidRDefault="00D24B23" w:rsidP="00D33FA1">
            <w:pPr>
              <w:spacing w:after="0"/>
              <w:jc w:val="center"/>
              <w:rPr>
                <w:rFonts w:ascii="ITC Avant Garde" w:hAnsi="ITC Avant Garde"/>
                <w:bCs/>
                <w:color w:val="000000"/>
                <w:sz w:val="18"/>
                <w:szCs w:val="18"/>
                <w:lang w:eastAsia="es-MX"/>
              </w:rPr>
            </w:pPr>
            <w:r w:rsidRPr="005B5A12">
              <w:rPr>
                <w:rFonts w:ascii="ITC Avant Garde" w:hAnsi="ITC Avant Garde"/>
                <w:b/>
                <w:bCs/>
                <w:color w:val="000000"/>
                <w:sz w:val="18"/>
                <w:szCs w:val="18"/>
                <w:lang w:eastAsia="es-MX"/>
              </w:rPr>
              <w:t>ACCIONES</w:t>
            </w:r>
          </w:p>
        </w:tc>
        <w:tc>
          <w:tcPr>
            <w:tcW w:w="1415" w:type="dxa"/>
            <w:vAlign w:val="center"/>
          </w:tcPr>
          <w:p w:rsidR="00D33FA1" w:rsidRPr="005B5A12" w:rsidRDefault="00D24B23" w:rsidP="00D33FA1">
            <w:pPr>
              <w:spacing w:after="0"/>
              <w:jc w:val="center"/>
              <w:rPr>
                <w:rFonts w:ascii="ITC Avant Garde" w:hAnsi="ITC Avant Garde"/>
                <w:b/>
                <w:bCs/>
                <w:color w:val="000000"/>
                <w:sz w:val="18"/>
                <w:szCs w:val="18"/>
                <w:lang w:eastAsia="es-MX"/>
              </w:rPr>
            </w:pPr>
            <w:r w:rsidRPr="005B5A12">
              <w:rPr>
                <w:rFonts w:ascii="ITC Avant Garde" w:hAnsi="ITC Avant Garde"/>
                <w:b/>
                <w:bCs/>
                <w:color w:val="000000"/>
                <w:sz w:val="18"/>
                <w:szCs w:val="18"/>
                <w:lang w:eastAsia="es-MX"/>
              </w:rPr>
              <w:t>CAPITAL FIJO</w:t>
            </w:r>
          </w:p>
          <w:p w:rsidR="00D24B23" w:rsidRPr="005B5A12" w:rsidRDefault="00D24B23" w:rsidP="00D33FA1">
            <w:pPr>
              <w:spacing w:after="0"/>
              <w:jc w:val="center"/>
              <w:rPr>
                <w:rFonts w:ascii="ITC Avant Garde" w:hAnsi="ITC Avant Garde"/>
                <w:bCs/>
                <w:color w:val="000000"/>
                <w:sz w:val="18"/>
                <w:szCs w:val="18"/>
                <w:lang w:eastAsia="es-MX"/>
              </w:rPr>
            </w:pPr>
            <w:r w:rsidRPr="005B5A12">
              <w:rPr>
                <w:rFonts w:ascii="ITC Avant Garde" w:hAnsi="ITC Avant Garde"/>
                <w:b/>
                <w:bCs/>
                <w:color w:val="000000"/>
                <w:sz w:val="18"/>
                <w:szCs w:val="18"/>
                <w:lang w:eastAsia="es-MX"/>
              </w:rPr>
              <w:t>IMPORTE</w:t>
            </w:r>
          </w:p>
        </w:tc>
        <w:tc>
          <w:tcPr>
            <w:tcW w:w="1671" w:type="dxa"/>
            <w:vAlign w:val="center"/>
          </w:tcPr>
          <w:p w:rsidR="00D33FA1" w:rsidRPr="005B5A12" w:rsidRDefault="00D24B23" w:rsidP="00D33FA1">
            <w:pPr>
              <w:spacing w:after="0"/>
              <w:jc w:val="center"/>
              <w:rPr>
                <w:rFonts w:ascii="ITC Avant Garde" w:hAnsi="ITC Avant Garde"/>
                <w:b/>
                <w:bCs/>
                <w:color w:val="000000"/>
                <w:sz w:val="18"/>
                <w:szCs w:val="18"/>
                <w:lang w:eastAsia="es-MX"/>
              </w:rPr>
            </w:pPr>
            <w:r w:rsidRPr="005B5A12">
              <w:rPr>
                <w:rFonts w:ascii="ITC Avant Garde" w:hAnsi="ITC Avant Garde"/>
                <w:b/>
                <w:bCs/>
                <w:color w:val="000000"/>
                <w:sz w:val="18"/>
                <w:szCs w:val="18"/>
                <w:lang w:eastAsia="es-MX"/>
              </w:rPr>
              <w:t>CAPITAL VARIABLE</w:t>
            </w:r>
          </w:p>
          <w:p w:rsidR="00D24B23" w:rsidRPr="005B5A12" w:rsidRDefault="00D24B23" w:rsidP="00D33FA1">
            <w:pPr>
              <w:spacing w:after="0"/>
              <w:jc w:val="center"/>
              <w:rPr>
                <w:rFonts w:ascii="ITC Avant Garde" w:hAnsi="ITC Avant Garde"/>
                <w:bCs/>
                <w:color w:val="000000"/>
                <w:sz w:val="18"/>
                <w:szCs w:val="18"/>
                <w:lang w:eastAsia="es-MX"/>
              </w:rPr>
            </w:pPr>
            <w:r w:rsidRPr="005B5A12">
              <w:rPr>
                <w:rFonts w:ascii="ITC Avant Garde" w:hAnsi="ITC Avant Garde"/>
                <w:b/>
                <w:bCs/>
                <w:color w:val="000000"/>
                <w:sz w:val="18"/>
                <w:szCs w:val="18"/>
                <w:lang w:eastAsia="es-MX"/>
              </w:rPr>
              <w:t>ACCIONES</w:t>
            </w:r>
          </w:p>
        </w:tc>
        <w:tc>
          <w:tcPr>
            <w:tcW w:w="1981" w:type="dxa"/>
            <w:vAlign w:val="center"/>
          </w:tcPr>
          <w:p w:rsidR="00D33FA1" w:rsidRPr="005B5A12" w:rsidRDefault="00D24B23" w:rsidP="00D33FA1">
            <w:pPr>
              <w:spacing w:after="0"/>
              <w:jc w:val="center"/>
              <w:rPr>
                <w:rFonts w:ascii="ITC Avant Garde" w:hAnsi="ITC Avant Garde"/>
                <w:b/>
                <w:bCs/>
                <w:color w:val="000000"/>
                <w:sz w:val="18"/>
                <w:szCs w:val="18"/>
                <w:lang w:eastAsia="es-MX"/>
              </w:rPr>
            </w:pPr>
            <w:r w:rsidRPr="005B5A12">
              <w:rPr>
                <w:rFonts w:ascii="ITC Avant Garde" w:hAnsi="ITC Avant Garde"/>
                <w:b/>
                <w:bCs/>
                <w:color w:val="000000"/>
                <w:sz w:val="18"/>
                <w:szCs w:val="18"/>
                <w:lang w:eastAsia="es-MX"/>
              </w:rPr>
              <w:t>CAPITAL VARIABLE</w:t>
            </w:r>
          </w:p>
          <w:p w:rsidR="00D24B23" w:rsidRPr="005B5A12" w:rsidRDefault="00D24B23" w:rsidP="00D33FA1">
            <w:pPr>
              <w:spacing w:after="0"/>
              <w:jc w:val="center"/>
              <w:rPr>
                <w:rFonts w:ascii="ITC Avant Garde" w:hAnsi="ITC Avant Garde"/>
                <w:bCs/>
                <w:color w:val="000000"/>
                <w:sz w:val="18"/>
                <w:szCs w:val="18"/>
                <w:lang w:eastAsia="es-MX"/>
              </w:rPr>
            </w:pPr>
            <w:r w:rsidRPr="005B5A12">
              <w:rPr>
                <w:rFonts w:ascii="ITC Avant Garde" w:hAnsi="ITC Avant Garde"/>
                <w:b/>
                <w:bCs/>
                <w:color w:val="000000"/>
                <w:sz w:val="18"/>
                <w:szCs w:val="18"/>
                <w:lang w:eastAsia="es-MX"/>
              </w:rPr>
              <w:t>IMPORTE</w:t>
            </w:r>
          </w:p>
        </w:tc>
        <w:tc>
          <w:tcPr>
            <w:tcW w:w="849" w:type="dxa"/>
            <w:vAlign w:val="center"/>
          </w:tcPr>
          <w:p w:rsidR="00ED3686" w:rsidRPr="005B5A12" w:rsidRDefault="00D24B23" w:rsidP="00D33FA1">
            <w:pPr>
              <w:spacing w:after="0"/>
              <w:jc w:val="center"/>
              <w:rPr>
                <w:rFonts w:ascii="ITC Avant Garde" w:hAnsi="ITC Avant Garde"/>
                <w:bCs/>
                <w:color w:val="000000"/>
                <w:sz w:val="18"/>
                <w:szCs w:val="18"/>
                <w:lang w:eastAsia="es-MX"/>
              </w:rPr>
            </w:pPr>
            <w:r w:rsidRPr="005B5A12">
              <w:rPr>
                <w:rFonts w:ascii="ITC Avant Garde" w:hAnsi="ITC Avant Garde"/>
                <w:b/>
                <w:bCs/>
                <w:color w:val="000000"/>
                <w:sz w:val="18"/>
                <w:szCs w:val="18"/>
                <w:lang w:eastAsia="es-MX"/>
              </w:rPr>
              <w:t>%</w:t>
            </w:r>
          </w:p>
        </w:tc>
      </w:tr>
      <w:tr w:rsidR="005B5A12" w:rsidRPr="00911FEA" w:rsidTr="005B5A12">
        <w:trPr>
          <w:trHeight w:val="20"/>
        </w:trPr>
        <w:tc>
          <w:tcPr>
            <w:tcW w:w="2160"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Noé Cuellar González</w:t>
            </w:r>
          </w:p>
        </w:tc>
        <w:tc>
          <w:tcPr>
            <w:tcW w:w="1301"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49,999</w:t>
            </w:r>
          </w:p>
        </w:tc>
        <w:tc>
          <w:tcPr>
            <w:tcW w:w="1415"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671"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28,064,200</w:t>
            </w:r>
          </w:p>
        </w:tc>
        <w:tc>
          <w:tcPr>
            <w:tcW w:w="1981"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49"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99.99</w:t>
            </w:r>
          </w:p>
        </w:tc>
      </w:tr>
      <w:tr w:rsidR="005B5A12" w:rsidRPr="00911FEA" w:rsidTr="005B5A12">
        <w:trPr>
          <w:trHeight w:val="20"/>
        </w:trPr>
        <w:tc>
          <w:tcPr>
            <w:tcW w:w="2160"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Ruth del Socorro Rodríguez Narváez</w:t>
            </w:r>
          </w:p>
        </w:tc>
        <w:tc>
          <w:tcPr>
            <w:tcW w:w="1301"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1</w:t>
            </w:r>
          </w:p>
        </w:tc>
        <w:tc>
          <w:tcPr>
            <w:tcW w:w="1415"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671"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0</w:t>
            </w:r>
          </w:p>
        </w:tc>
        <w:tc>
          <w:tcPr>
            <w:tcW w:w="1981"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49" w:type="dxa"/>
          </w:tcPr>
          <w:p w:rsidR="005B5A12" w:rsidRPr="00911FEA" w:rsidRDefault="005B5A12" w:rsidP="005B5A12">
            <w:pPr>
              <w:spacing w:after="0"/>
              <w:jc w:val="center"/>
              <w:rPr>
                <w:rFonts w:ascii="ITC Avant Garde" w:hAnsi="ITC Avant Garde"/>
                <w:bCs/>
                <w:color w:val="000000"/>
                <w:sz w:val="20"/>
                <w:szCs w:val="20"/>
                <w:lang w:eastAsia="es-MX"/>
              </w:rPr>
            </w:pPr>
            <w:r w:rsidRPr="00911FEA">
              <w:rPr>
                <w:rFonts w:ascii="ITC Avant Garde" w:hAnsi="ITC Avant Garde"/>
                <w:bCs/>
                <w:color w:val="000000"/>
                <w:sz w:val="20"/>
                <w:szCs w:val="20"/>
                <w:lang w:eastAsia="es-MX"/>
              </w:rPr>
              <w:t>0.01</w:t>
            </w:r>
          </w:p>
        </w:tc>
      </w:tr>
      <w:tr w:rsidR="005B5A12" w:rsidRPr="00911FEA" w:rsidTr="005B5A12">
        <w:trPr>
          <w:trHeight w:val="20"/>
        </w:trPr>
        <w:tc>
          <w:tcPr>
            <w:tcW w:w="2160" w:type="dxa"/>
          </w:tcPr>
          <w:p w:rsidR="005B5A12" w:rsidRPr="00911FEA" w:rsidRDefault="005B5A12" w:rsidP="005B5A12">
            <w:pPr>
              <w:spacing w:after="0"/>
              <w:ind w:left="29"/>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TOTAL</w:t>
            </w:r>
          </w:p>
        </w:tc>
        <w:tc>
          <w:tcPr>
            <w:tcW w:w="1301" w:type="dxa"/>
          </w:tcPr>
          <w:p w:rsidR="005B5A12" w:rsidRPr="00911FEA" w:rsidRDefault="005B5A12" w:rsidP="005B5A12">
            <w:pPr>
              <w:spacing w:after="0"/>
              <w:ind w:left="29"/>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50,000</w:t>
            </w:r>
          </w:p>
        </w:tc>
        <w:tc>
          <w:tcPr>
            <w:tcW w:w="1415"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1671" w:type="dxa"/>
          </w:tcPr>
          <w:p w:rsidR="005B5A12" w:rsidRPr="00911FEA" w:rsidRDefault="005B5A12" w:rsidP="005B5A12">
            <w:pPr>
              <w:spacing w:after="0"/>
              <w:ind w:left="29"/>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28,064,200</w:t>
            </w:r>
          </w:p>
        </w:tc>
        <w:tc>
          <w:tcPr>
            <w:tcW w:w="1981" w:type="dxa"/>
          </w:tcPr>
          <w:p w:rsidR="005B5A12" w:rsidRPr="00753963" w:rsidRDefault="005B5A12" w:rsidP="005B5A12">
            <w:pPr>
              <w:spacing w:after="0" w:line="240" w:lineRule="auto"/>
              <w:jc w:val="center"/>
              <w:rPr>
                <w:rFonts w:ascii="ITC Avant Garde" w:hAnsi="ITC Avant Garde"/>
                <w:bCs/>
                <w:color w:val="000000"/>
                <w:sz w:val="14"/>
                <w:szCs w:val="14"/>
                <w:lang w:eastAsia="es-MX"/>
              </w:rPr>
            </w:pPr>
            <w:r w:rsidRPr="00753963">
              <w:rPr>
                <w:rFonts w:ascii="ITC Avant Garde" w:eastAsia="Times New Roman" w:hAnsi="ITC Avant Garde"/>
                <w:b/>
                <w:bCs/>
                <w:color w:val="0000CC"/>
                <w:sz w:val="14"/>
                <w:szCs w:val="14"/>
                <w:lang w:eastAsia="es-MX"/>
              </w:rPr>
              <w:t>“CONFIDENCIAL POR LEY”</w:t>
            </w:r>
          </w:p>
        </w:tc>
        <w:tc>
          <w:tcPr>
            <w:tcW w:w="849" w:type="dxa"/>
          </w:tcPr>
          <w:p w:rsidR="005B5A12" w:rsidRPr="00911FEA" w:rsidRDefault="005B5A12" w:rsidP="005B5A12">
            <w:pPr>
              <w:spacing w:after="0"/>
              <w:ind w:left="29"/>
              <w:jc w:val="center"/>
              <w:rPr>
                <w:rFonts w:ascii="ITC Avant Garde" w:hAnsi="ITC Avant Garde"/>
                <w:b/>
                <w:bCs/>
                <w:color w:val="000000"/>
                <w:sz w:val="20"/>
                <w:szCs w:val="20"/>
                <w:lang w:eastAsia="es-MX"/>
              </w:rPr>
            </w:pPr>
            <w:r w:rsidRPr="00911FEA">
              <w:rPr>
                <w:rFonts w:ascii="ITC Avant Garde" w:hAnsi="ITC Avant Garde"/>
                <w:b/>
                <w:bCs/>
                <w:color w:val="000000"/>
                <w:sz w:val="20"/>
                <w:szCs w:val="20"/>
                <w:lang w:eastAsia="es-MX"/>
              </w:rPr>
              <w:t>100%</w:t>
            </w:r>
          </w:p>
        </w:tc>
      </w:tr>
    </w:tbl>
    <w:p w:rsidR="00D33FA1" w:rsidRDefault="00ED3686" w:rsidP="00D33FA1">
      <w:pPr>
        <w:autoSpaceDE w:val="0"/>
        <w:autoSpaceDN w:val="0"/>
        <w:adjustRightInd w:val="0"/>
        <w:spacing w:before="240" w:after="240"/>
        <w:jc w:val="both"/>
        <w:rPr>
          <w:rFonts w:ascii="ITC Avant Garde" w:hAnsi="ITC Avant Garde"/>
          <w:bCs/>
          <w:color w:val="000000"/>
          <w:lang w:eastAsia="es-MX"/>
        </w:rPr>
      </w:pPr>
      <w:proofErr w:type="gramStart"/>
      <w:r w:rsidRPr="00911FEA">
        <w:rPr>
          <w:rFonts w:ascii="ITC Avant Garde" w:hAnsi="ITC Avant Garde"/>
          <w:b/>
          <w:bCs/>
        </w:rPr>
        <w:t>Segundo.-</w:t>
      </w:r>
      <w:proofErr w:type="gramEnd"/>
      <w:r w:rsidRPr="00911FEA">
        <w:rPr>
          <w:rFonts w:ascii="ITC Avant Garde" w:hAnsi="ITC Avant Garde"/>
          <w:bCs/>
          <w:color w:val="000000"/>
          <w:lang w:eastAsia="es-MX"/>
        </w:rPr>
        <w:t xml:space="preserve"> Se instruye a la Unidad de Concesiones y Servicios a notificar personalmente al representante legal de </w:t>
      </w:r>
      <w:r w:rsidRPr="00911FEA">
        <w:rPr>
          <w:rFonts w:ascii="ITC Avant Garde" w:hAnsi="ITC Avant Garde"/>
          <w:b/>
          <w:bCs/>
          <w:color w:val="000000"/>
          <w:lang w:eastAsia="es-MX"/>
        </w:rPr>
        <w:t xml:space="preserve">Radio </w:t>
      </w:r>
      <w:r w:rsidRPr="00911FEA">
        <w:rPr>
          <w:rFonts w:ascii="ITC Avant Garde" w:hAnsi="ITC Avant Garde" w:cs="Calibri"/>
          <w:b/>
          <w:color w:val="000000" w:themeColor="text1"/>
        </w:rPr>
        <w:t>BMP de Nuevo Laredo</w:t>
      </w:r>
      <w:r w:rsidRPr="00911FEA">
        <w:rPr>
          <w:rFonts w:ascii="ITC Avant Garde" w:hAnsi="ITC Avant Garde" w:cs="Calibri"/>
          <w:b/>
        </w:rPr>
        <w:t>,</w:t>
      </w:r>
      <w:r w:rsidRPr="00911FEA" w:rsidDel="00714243">
        <w:rPr>
          <w:rFonts w:ascii="ITC Avant Garde" w:hAnsi="ITC Avant Garde" w:cs="Calibri"/>
          <w:b/>
        </w:rPr>
        <w:t xml:space="preserve"> </w:t>
      </w:r>
      <w:r w:rsidRPr="00911FEA">
        <w:rPr>
          <w:rFonts w:ascii="ITC Avant Garde" w:hAnsi="ITC Avant Garde"/>
          <w:b/>
          <w:bCs/>
        </w:rPr>
        <w:t>S.A. de C.V.</w:t>
      </w:r>
      <w:r w:rsidRPr="00911FEA">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p>
    <w:p w:rsidR="00D33FA1" w:rsidRDefault="00ED3686" w:rsidP="00D33FA1">
      <w:pPr>
        <w:autoSpaceDE w:val="0"/>
        <w:autoSpaceDN w:val="0"/>
        <w:adjustRightInd w:val="0"/>
        <w:spacing w:after="240"/>
        <w:jc w:val="both"/>
        <w:rPr>
          <w:rFonts w:ascii="ITC Avant Garde" w:hAnsi="ITC Avant Garde"/>
          <w:bCs/>
          <w:color w:val="000000"/>
          <w:lang w:eastAsia="es-MX"/>
        </w:rPr>
      </w:pPr>
      <w:proofErr w:type="gramStart"/>
      <w:r w:rsidRPr="00911FEA">
        <w:rPr>
          <w:rFonts w:ascii="ITC Avant Garde" w:hAnsi="ITC Avant Garde"/>
          <w:b/>
          <w:bCs/>
        </w:rPr>
        <w:t>Tercero.-</w:t>
      </w:r>
      <w:proofErr w:type="gramEnd"/>
      <w:r w:rsidRPr="00911FEA">
        <w:rPr>
          <w:rFonts w:ascii="ITC Avant Garde" w:hAnsi="ITC Avant Garde"/>
          <w:bCs/>
        </w:rPr>
        <w:t xml:space="preserve"> </w:t>
      </w:r>
      <w:r w:rsidRPr="00911FEA">
        <w:rPr>
          <w:rFonts w:ascii="ITC Avant Garde" w:hAnsi="ITC Avant Garde"/>
          <w:bCs/>
          <w:color w:val="000000"/>
          <w:lang w:eastAsia="es-MX"/>
        </w:rPr>
        <w:t>La presente autorización tendrá una vigencia de 90 (noventa) días naturales, contados a partir del día siguiente a aquel en que hubiere surtido efectos la notificación de la misma.</w:t>
      </w:r>
    </w:p>
    <w:p w:rsidR="00D33FA1" w:rsidRDefault="00ED3686" w:rsidP="00D33FA1">
      <w:pPr>
        <w:autoSpaceDE w:val="0"/>
        <w:autoSpaceDN w:val="0"/>
        <w:adjustRightInd w:val="0"/>
        <w:spacing w:after="240"/>
        <w:jc w:val="both"/>
        <w:rPr>
          <w:rFonts w:ascii="ITC Avant Garde" w:hAnsi="ITC Avant Garde"/>
          <w:bCs/>
          <w:color w:val="000000"/>
          <w:lang w:eastAsia="es-MX"/>
        </w:rPr>
      </w:pPr>
      <w:r w:rsidRPr="00911FEA">
        <w:rPr>
          <w:rFonts w:ascii="ITC Avant Garde" w:hAnsi="ITC Avant Garde"/>
          <w:bCs/>
          <w:color w:val="000000"/>
          <w:lang w:eastAsia="es-MX"/>
        </w:rPr>
        <w:t xml:space="preserve">Dentro de este plazo de vigencia </w:t>
      </w:r>
      <w:r w:rsidRPr="00911FEA">
        <w:rPr>
          <w:rFonts w:ascii="ITC Avant Garde" w:hAnsi="ITC Avant Garde"/>
          <w:b/>
          <w:bCs/>
          <w:color w:val="000000"/>
          <w:lang w:eastAsia="es-MX"/>
        </w:rPr>
        <w:t xml:space="preserve">Radio </w:t>
      </w:r>
      <w:r w:rsidRPr="00911FEA">
        <w:rPr>
          <w:rFonts w:ascii="ITC Avant Garde" w:hAnsi="ITC Avant Garde" w:cs="Calibri"/>
          <w:b/>
          <w:color w:val="000000" w:themeColor="text1"/>
        </w:rPr>
        <w:t>BMP de Nuevo Laredo, S.A. de C.V.</w:t>
      </w:r>
      <w:r w:rsidRPr="00911FEA">
        <w:rPr>
          <w:rFonts w:ascii="ITC Avant Garde" w:hAnsi="ITC Avant Garde" w:cs="Calibri"/>
          <w:b/>
        </w:rPr>
        <w:t xml:space="preserve"> </w:t>
      </w:r>
      <w:r w:rsidRPr="00911FEA">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y se acredite fehacientemente con documento idóneo el cumplimiento de la condición a que se hace referencia en el segundo párrafo del Cuarto Considerando de la presente Resolución, en términos de los artículos 177 fracción XI, en relación con el 180 de la Ley Federal de Telecomunicaciones y Radiodifusión. Concluido dicho plazo, sin que se hubiere dado cumplimiento al presente Resolutivo, </w:t>
      </w:r>
      <w:r w:rsidRPr="00911FEA">
        <w:rPr>
          <w:rFonts w:ascii="ITC Avant Garde" w:hAnsi="ITC Avant Garde"/>
          <w:b/>
          <w:bCs/>
          <w:color w:val="000000"/>
          <w:lang w:eastAsia="es-MX"/>
        </w:rPr>
        <w:t xml:space="preserve">Radio </w:t>
      </w:r>
      <w:r w:rsidRPr="00911FEA">
        <w:rPr>
          <w:rFonts w:ascii="ITC Avant Garde" w:hAnsi="ITC Avant Garde" w:cs="Calibri"/>
          <w:b/>
          <w:color w:val="000000" w:themeColor="text1"/>
        </w:rPr>
        <w:t>BMP de Nuevo Laredo, S.A. de C.V.</w:t>
      </w:r>
      <w:r w:rsidRPr="00911FEA">
        <w:rPr>
          <w:rFonts w:ascii="ITC Avant Garde" w:hAnsi="ITC Avant Garde" w:cs="Calibri"/>
          <w:b/>
        </w:rPr>
        <w:t xml:space="preserve"> </w:t>
      </w:r>
      <w:r w:rsidRPr="00911FEA">
        <w:rPr>
          <w:rFonts w:ascii="ITC Avant Garde" w:hAnsi="ITC Avant Garde"/>
          <w:bCs/>
          <w:color w:val="000000"/>
          <w:lang w:eastAsia="es-MX"/>
        </w:rPr>
        <w:t>deberá solicitar una nueva autorización.</w:t>
      </w:r>
    </w:p>
    <w:p w:rsidR="00D33FA1" w:rsidRDefault="00ED3686" w:rsidP="00D33FA1">
      <w:pPr>
        <w:autoSpaceDE w:val="0"/>
        <w:autoSpaceDN w:val="0"/>
        <w:adjustRightInd w:val="0"/>
        <w:spacing w:after="240"/>
        <w:jc w:val="both"/>
        <w:rPr>
          <w:rFonts w:ascii="ITC Avant Garde" w:hAnsi="ITC Avant Garde"/>
          <w:bCs/>
        </w:rPr>
      </w:pPr>
      <w:proofErr w:type="gramStart"/>
      <w:r w:rsidRPr="00911FEA">
        <w:rPr>
          <w:rFonts w:ascii="ITC Avant Garde" w:hAnsi="ITC Avant Garde"/>
          <w:b/>
          <w:bCs/>
        </w:rPr>
        <w:t>Cuarto.-</w:t>
      </w:r>
      <w:proofErr w:type="gramEnd"/>
      <w:r w:rsidRPr="00911FEA">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rsidR="00CE2AFF" w:rsidRDefault="00ED3686" w:rsidP="00D33FA1">
      <w:pPr>
        <w:spacing w:after="240" w:line="240" w:lineRule="auto"/>
        <w:ind w:right="44"/>
        <w:jc w:val="both"/>
      </w:pPr>
      <w:r>
        <w:rPr>
          <w:rFonts w:ascii="ITC Avant Garde" w:hAnsi="ITC Avant Garde"/>
          <w:color w:val="000000"/>
          <w:sz w:val="16"/>
          <w:szCs w:val="16"/>
        </w:rPr>
        <w:lastRenderedPageBreak/>
        <w:t>La presente Resolución fue aprobada por el Pleno del Instituto Federal de Telecomunicaciones en su XLIX Sesión Extraordinaria celebrada el 1° de diciembre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P/IFT/EXT/011215/180.</w:t>
      </w:r>
      <w:bookmarkStart w:id="0" w:name="_GoBack"/>
      <w:bookmarkEnd w:id="0"/>
    </w:p>
    <w:sectPr w:rsidR="00CE2AFF" w:rsidSect="00AF29A0">
      <w:pgSz w:w="12240" w:h="15840"/>
      <w:pgMar w:top="1985" w:right="1418" w:bottom="1135" w:left="1418" w:header="709" w:footer="9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74" w:rsidRDefault="005C6A74" w:rsidP="00133F1D">
      <w:pPr>
        <w:spacing w:after="0" w:line="240" w:lineRule="auto"/>
      </w:pPr>
      <w:r>
        <w:separator/>
      </w:r>
    </w:p>
  </w:endnote>
  <w:endnote w:type="continuationSeparator" w:id="0">
    <w:p w:rsidR="005C6A74" w:rsidRDefault="005C6A74" w:rsidP="0013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A0" w:rsidRPr="00AF29A0" w:rsidRDefault="005B5A12">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74" w:rsidRDefault="005C6A74" w:rsidP="00133F1D">
      <w:pPr>
        <w:spacing w:after="0" w:line="240" w:lineRule="auto"/>
      </w:pPr>
      <w:r>
        <w:separator/>
      </w:r>
    </w:p>
  </w:footnote>
  <w:footnote w:type="continuationSeparator" w:id="0">
    <w:p w:rsidR="005C6A74" w:rsidRDefault="005C6A74" w:rsidP="00133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C8" w:rsidRDefault="005B5A1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C8" w:rsidRPr="000F5E4B" w:rsidRDefault="005B5A12">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86"/>
    <w:rsid w:val="00133F1D"/>
    <w:rsid w:val="00137C2F"/>
    <w:rsid w:val="00415449"/>
    <w:rsid w:val="0052379F"/>
    <w:rsid w:val="00563233"/>
    <w:rsid w:val="005B5A12"/>
    <w:rsid w:val="005C6A74"/>
    <w:rsid w:val="00753963"/>
    <w:rsid w:val="007A24BC"/>
    <w:rsid w:val="009339ED"/>
    <w:rsid w:val="0099680E"/>
    <w:rsid w:val="00A468A8"/>
    <w:rsid w:val="00C552C1"/>
    <w:rsid w:val="00CE2AFF"/>
    <w:rsid w:val="00D24B23"/>
    <w:rsid w:val="00D33FA1"/>
    <w:rsid w:val="00D405D8"/>
    <w:rsid w:val="00DF1C72"/>
    <w:rsid w:val="00ED3686"/>
    <w:rsid w:val="00ED6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F92DF0"/>
  <w15:chartTrackingRefBased/>
  <w15:docId w15:val="{B6640EB5-F95A-4C5F-8E6A-5A141FA4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8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96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6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3686"/>
    <w:rPr>
      <w:rFonts w:ascii="Calibri" w:eastAsia="Calibri" w:hAnsi="Calibri" w:cs="Times New Roman"/>
    </w:rPr>
  </w:style>
  <w:style w:type="paragraph" w:styleId="Piedepgina">
    <w:name w:val="footer"/>
    <w:basedOn w:val="Normal"/>
    <w:link w:val="PiedepginaCar"/>
    <w:uiPriority w:val="99"/>
    <w:unhideWhenUsed/>
    <w:rsid w:val="00ED3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686"/>
    <w:rPr>
      <w:rFonts w:ascii="Calibri" w:eastAsia="Calibri" w:hAnsi="Calibri" w:cs="Times New Roman"/>
    </w:rPr>
  </w:style>
  <w:style w:type="paragraph" w:styleId="Prrafodelista">
    <w:name w:val="List Paragraph"/>
    <w:basedOn w:val="Normal"/>
    <w:link w:val="PrrafodelistaCar"/>
    <w:uiPriority w:val="34"/>
    <w:qFormat/>
    <w:rsid w:val="00ED3686"/>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ED3686"/>
    <w:rPr>
      <w:rFonts w:ascii="Arial" w:eastAsia="Times New Roman" w:hAnsi="Arial" w:cs="Times New Roman"/>
      <w:sz w:val="24"/>
      <w:szCs w:val="20"/>
      <w:lang w:val="es-ES" w:eastAsia="es-ES"/>
    </w:rPr>
  </w:style>
  <w:style w:type="paragraph" w:customStyle="1" w:styleId="Ttulo10">
    <w:name w:val="Título 1_"/>
    <w:basedOn w:val="Normal"/>
    <w:link w:val="Ttulo1Car0"/>
    <w:qFormat/>
    <w:rsid w:val="00563233"/>
    <w:pPr>
      <w:spacing w:after="0"/>
      <w:jc w:val="center"/>
    </w:pPr>
    <w:rPr>
      <w:rFonts w:ascii="ITC Avant Garde" w:hAnsi="ITC Avant Garde"/>
      <w:b/>
      <w:bCs/>
      <w:color w:val="000000"/>
      <w:lang w:eastAsia="es-MX"/>
    </w:rPr>
  </w:style>
  <w:style w:type="table" w:styleId="Tablaconcuadrcula">
    <w:name w:val="Table Grid"/>
    <w:basedOn w:val="Tablanormal"/>
    <w:uiPriority w:val="39"/>
    <w:rsid w:val="00D2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0">
    <w:name w:val="Título 1_ Car"/>
    <w:basedOn w:val="Fuentedeprrafopredeter"/>
    <w:link w:val="Ttulo10"/>
    <w:rsid w:val="00563233"/>
    <w:rPr>
      <w:rFonts w:ascii="ITC Avant Garde" w:eastAsia="Calibri" w:hAnsi="ITC Avant Garde" w:cs="Times New Roman"/>
      <w:b/>
      <w:bCs/>
      <w:color w:val="000000"/>
      <w:lang w:eastAsia="es-MX"/>
    </w:rPr>
  </w:style>
  <w:style w:type="character" w:customStyle="1" w:styleId="Ttulo2Car">
    <w:name w:val="Título 2 Car"/>
    <w:basedOn w:val="Fuentedeprrafopredeter"/>
    <w:link w:val="Ttulo2"/>
    <w:uiPriority w:val="9"/>
    <w:rsid w:val="0099680E"/>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99680E"/>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133F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133F1D"/>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4154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5449"/>
    <w:rPr>
      <w:rFonts w:ascii="Segoe UI" w:eastAsia="Calibri" w:hAnsi="Segoe UI" w:cs="Segoe UI"/>
      <w:sz w:val="18"/>
      <w:szCs w:val="18"/>
    </w:rPr>
  </w:style>
  <w:style w:type="table" w:styleId="Tabladecuadrcula1clara">
    <w:name w:val="Grid Table 1 Light"/>
    <w:basedOn w:val="Tablanormal"/>
    <w:uiPriority w:val="46"/>
    <w:rsid w:val="00D33F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nhideWhenUsed/>
    <w:rsid w:val="00753963"/>
    <w:pPr>
      <w:spacing w:after="120"/>
    </w:pPr>
  </w:style>
  <w:style w:type="character" w:customStyle="1" w:styleId="TextoindependienteCar">
    <w:name w:val="Texto independiente Car"/>
    <w:basedOn w:val="Fuentedeprrafopredeter"/>
    <w:link w:val="Textoindependiente"/>
    <w:rsid w:val="007539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D260-9760-4D6C-A55C-D34FADA7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5313</Words>
  <Characters>29224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Maria del Consuelo Gonzalez Moreno</cp:lastModifiedBy>
  <cp:revision>7</cp:revision>
  <dcterms:created xsi:type="dcterms:W3CDTF">2016-02-23T23:50:00Z</dcterms:created>
  <dcterms:modified xsi:type="dcterms:W3CDTF">2018-10-19T00:09:00Z</dcterms:modified>
</cp:coreProperties>
</file>