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4CAAA" w14:textId="72DF72E9" w:rsidR="009A22F4" w:rsidRPr="009A22F4" w:rsidRDefault="009A22F4" w:rsidP="009A22F4">
      <w:pPr>
        <w:keepNext/>
        <w:keepLines/>
        <w:spacing w:before="40" w:after="240" w:line="240" w:lineRule="auto"/>
        <w:jc w:val="center"/>
        <w:outlineLvl w:val="0"/>
        <w:rPr>
          <w:rFonts w:ascii="ITC Avant Garde" w:eastAsia="Times New Roman" w:hAnsi="ITC Avant Garde"/>
          <w:b/>
          <w:bCs/>
          <w:kern w:val="36"/>
          <w:sz w:val="20"/>
          <w:szCs w:val="20"/>
          <w:lang w:eastAsia="es-MX"/>
        </w:rPr>
      </w:pPr>
      <w:r w:rsidRPr="009A22F4">
        <w:rPr>
          <w:rFonts w:ascii="ITC Avant Garde" w:eastAsia="Times New Roman" w:hAnsi="ITC Avant Garde"/>
          <w:b/>
          <w:bCs/>
          <w:kern w:val="36"/>
          <w:sz w:val="20"/>
          <w:szCs w:val="20"/>
          <w:lang w:eastAsia="es-MX"/>
        </w:rPr>
        <w:t>VERSIÓN PÚBLICA DEL ACUERDO P/IFT/</w:t>
      </w:r>
      <w:r w:rsidRPr="0020537E">
        <w:rPr>
          <w:rFonts w:ascii="ITC Avant Garde" w:hAnsi="ITC Avant Garde"/>
          <w:b/>
          <w:sz w:val="20"/>
          <w:szCs w:val="20"/>
        </w:rPr>
        <w:t>280916/511</w:t>
      </w:r>
    </w:p>
    <w:p w14:paraId="1D1FB766" w14:textId="3F018DD8" w:rsidR="009A22F4" w:rsidRPr="009A22F4" w:rsidRDefault="009A22F4" w:rsidP="009A22F4">
      <w:pPr>
        <w:spacing w:after="0" w:line="360" w:lineRule="auto"/>
        <w:jc w:val="center"/>
        <w:rPr>
          <w:rFonts w:ascii="ITC Avant Garde" w:eastAsia="Times New Roman" w:hAnsi="ITC Avant Garde"/>
          <w:b/>
          <w:bCs/>
          <w:color w:val="000000"/>
          <w:sz w:val="20"/>
          <w:szCs w:val="20"/>
          <w:lang w:eastAsia="es-MX"/>
        </w:rPr>
      </w:pPr>
      <w:r w:rsidRPr="009A22F4">
        <w:rPr>
          <w:rFonts w:ascii="ITC Avant Garde" w:eastAsia="Times New Roman" w:hAnsi="ITC Avant Garde"/>
          <w:b/>
          <w:bCs/>
          <w:color w:val="000000"/>
          <w:sz w:val="20"/>
          <w:szCs w:val="20"/>
          <w:lang w:eastAsia="es-MX"/>
        </w:rPr>
        <w:t xml:space="preserve">DE LA SESIÓN DEL PLENO DEL INSTITUTO FEDERAL DE TELECOMUNICACIONES EN SU </w:t>
      </w:r>
      <w:r w:rsidRPr="0020537E">
        <w:rPr>
          <w:rFonts w:ascii="ITC Avant Garde" w:hAnsi="ITC Avant Garde"/>
          <w:b/>
          <w:sz w:val="20"/>
          <w:szCs w:val="20"/>
        </w:rPr>
        <w:t>XXXIII</w:t>
      </w:r>
      <w:r>
        <w:rPr>
          <w:rFonts w:ascii="ITC Avant Garde" w:hAnsi="ITC Avant Garde"/>
          <w:b/>
          <w:sz w:val="20"/>
          <w:szCs w:val="20"/>
        </w:rPr>
        <w:t xml:space="preserve"> </w:t>
      </w:r>
      <w:r w:rsidRPr="00BD2557">
        <w:rPr>
          <w:rFonts w:ascii="ITC Avant Garde" w:hAnsi="ITC Avant Garde"/>
          <w:b/>
          <w:sz w:val="20"/>
          <w:szCs w:val="20"/>
        </w:rPr>
        <w:t>SESIÓN ORDINARIA DEL 201</w:t>
      </w:r>
      <w:r>
        <w:rPr>
          <w:rFonts w:ascii="ITC Avant Garde" w:hAnsi="ITC Avant Garde"/>
          <w:b/>
          <w:sz w:val="20"/>
          <w:szCs w:val="20"/>
        </w:rPr>
        <w:t>6</w:t>
      </w:r>
      <w:r w:rsidRPr="00BD2557">
        <w:rPr>
          <w:rFonts w:ascii="ITC Avant Garde" w:hAnsi="ITC Avant Garde"/>
          <w:b/>
          <w:sz w:val="20"/>
          <w:szCs w:val="20"/>
        </w:rPr>
        <w:t xml:space="preserve">, CELEBRADA EL </w:t>
      </w:r>
      <w:r>
        <w:rPr>
          <w:rFonts w:ascii="ITC Avant Garde" w:hAnsi="ITC Avant Garde"/>
          <w:b/>
          <w:sz w:val="20"/>
          <w:szCs w:val="20"/>
        </w:rPr>
        <w:t>28</w:t>
      </w:r>
      <w:r w:rsidRPr="00BD2557">
        <w:rPr>
          <w:rFonts w:ascii="ITC Avant Garde" w:hAnsi="ITC Avant Garde"/>
          <w:b/>
          <w:sz w:val="20"/>
          <w:szCs w:val="20"/>
        </w:rPr>
        <w:t xml:space="preserve"> DE </w:t>
      </w:r>
      <w:r>
        <w:rPr>
          <w:rFonts w:ascii="ITC Avant Garde" w:hAnsi="ITC Avant Garde"/>
          <w:b/>
          <w:sz w:val="20"/>
          <w:szCs w:val="20"/>
        </w:rPr>
        <w:t>SEPTIEMBRE DE 2016</w:t>
      </w:r>
      <w:r w:rsidRPr="009A22F4">
        <w:rPr>
          <w:rFonts w:ascii="ITC Avant Garde" w:hAnsi="ITC Avant Garde"/>
          <w:b/>
          <w:sz w:val="20"/>
          <w:szCs w:val="20"/>
        </w:rPr>
        <w:t>.</w:t>
      </w:r>
    </w:p>
    <w:p w14:paraId="64CB7D26" w14:textId="77777777" w:rsidR="009A22F4" w:rsidRPr="009A22F4" w:rsidRDefault="009A22F4" w:rsidP="009A22F4">
      <w:pPr>
        <w:keepNext/>
        <w:keepLines/>
        <w:spacing w:before="360" w:after="240" w:line="360" w:lineRule="auto"/>
        <w:contextualSpacing/>
        <w:jc w:val="center"/>
        <w:outlineLvl w:val="1"/>
        <w:rPr>
          <w:rFonts w:ascii="ITC Avant Garde" w:eastAsia="Arial" w:hAnsi="ITC Avant Garde" w:cs="Arial"/>
          <w:b/>
          <w:color w:val="000000"/>
          <w:sz w:val="21"/>
          <w:szCs w:val="21"/>
          <w:lang w:eastAsia="es-MX"/>
        </w:rPr>
      </w:pPr>
      <w:r w:rsidRPr="009A22F4">
        <w:rPr>
          <w:rFonts w:ascii="ITC Avant Garde" w:eastAsia="Arial" w:hAnsi="ITC Avant Garde" w:cs="Arial"/>
          <w:b/>
          <w:color w:val="000000"/>
          <w:sz w:val="21"/>
          <w:szCs w:val="21"/>
          <w:lang w:eastAsia="es-MX"/>
        </w:rPr>
        <w:t>LEYENDA DE LA CLASIFICACIÓN</w:t>
      </w:r>
    </w:p>
    <w:p w14:paraId="6D8D0460" w14:textId="0E966DD5" w:rsidR="009A22F4" w:rsidRPr="009A22F4" w:rsidRDefault="009A22F4" w:rsidP="009A22F4">
      <w:pPr>
        <w:spacing w:after="0" w:line="360" w:lineRule="auto"/>
        <w:jc w:val="both"/>
        <w:rPr>
          <w:rFonts w:ascii="ITC Avant Garde" w:eastAsia="Times New Roman" w:hAnsi="ITC Avant Garde"/>
          <w:bCs/>
          <w:color w:val="000000"/>
          <w:sz w:val="19"/>
          <w:szCs w:val="19"/>
          <w:lang w:eastAsia="es-MX"/>
        </w:rPr>
      </w:pPr>
      <w:r w:rsidRPr="009A22F4">
        <w:rPr>
          <w:rFonts w:ascii="ITC Avant Garde" w:eastAsia="Times New Roman" w:hAnsi="ITC Avant Garde"/>
          <w:b/>
          <w:bCs/>
          <w:color w:val="000000"/>
          <w:sz w:val="19"/>
          <w:szCs w:val="19"/>
          <w:lang w:eastAsia="es-MX"/>
        </w:rPr>
        <w:t>Fecha de Clasificación:</w:t>
      </w:r>
      <w:r w:rsidRPr="009A22F4">
        <w:rPr>
          <w:rFonts w:ascii="ITC Avant Garde" w:eastAsia="Times New Roman" w:hAnsi="ITC Avant Garde"/>
          <w:bCs/>
          <w:color w:val="000000"/>
          <w:sz w:val="19"/>
          <w:szCs w:val="19"/>
          <w:lang w:eastAsia="es-MX"/>
        </w:rPr>
        <w:t xml:space="preserve"> </w:t>
      </w:r>
      <w:r w:rsidR="00B67AFD">
        <w:rPr>
          <w:rFonts w:ascii="ITC Avant Garde" w:hAnsi="ITC Avant Garde"/>
          <w:sz w:val="20"/>
          <w:szCs w:val="20"/>
        </w:rPr>
        <w:t>28</w:t>
      </w:r>
      <w:r w:rsidR="00B67AFD" w:rsidRPr="00EE00CF">
        <w:rPr>
          <w:rFonts w:ascii="ITC Avant Garde" w:hAnsi="ITC Avant Garde"/>
          <w:sz w:val="20"/>
          <w:szCs w:val="20"/>
        </w:rPr>
        <w:t xml:space="preserve"> de </w:t>
      </w:r>
      <w:r w:rsidR="00B67AFD">
        <w:rPr>
          <w:rFonts w:ascii="ITC Avant Garde" w:hAnsi="ITC Avant Garde"/>
          <w:sz w:val="20"/>
          <w:szCs w:val="20"/>
        </w:rPr>
        <w:t>septiembre</w:t>
      </w:r>
      <w:r w:rsidR="00B67AFD" w:rsidRPr="00EE00CF">
        <w:rPr>
          <w:rFonts w:ascii="ITC Avant Garde" w:hAnsi="ITC Avant Garde"/>
          <w:sz w:val="20"/>
          <w:szCs w:val="20"/>
        </w:rPr>
        <w:t xml:space="preserve"> de 201</w:t>
      </w:r>
      <w:r w:rsidR="00B67AFD">
        <w:rPr>
          <w:rFonts w:ascii="ITC Avant Garde" w:hAnsi="ITC Avant Garde"/>
          <w:sz w:val="20"/>
          <w:szCs w:val="20"/>
        </w:rPr>
        <w:t>6</w:t>
      </w:r>
      <w:r w:rsidRPr="009A22F4">
        <w:rPr>
          <w:rFonts w:ascii="ITC Avant Garde" w:eastAsia="Times New Roman" w:hAnsi="ITC Avant Garde"/>
          <w:bCs/>
          <w:color w:val="000000"/>
          <w:sz w:val="19"/>
          <w:szCs w:val="19"/>
          <w:lang w:eastAsia="es-MX"/>
        </w:rPr>
        <w:t xml:space="preserve">. </w:t>
      </w:r>
    </w:p>
    <w:p w14:paraId="55EDD474" w14:textId="418E5D11" w:rsidR="009A22F4" w:rsidRPr="009A22F4" w:rsidRDefault="009A22F4" w:rsidP="009A22F4">
      <w:pPr>
        <w:spacing w:after="120" w:line="360" w:lineRule="auto"/>
        <w:jc w:val="both"/>
        <w:rPr>
          <w:rFonts w:ascii="ITC Avant Garde" w:hAnsi="ITC Avant Garde" w:cs="Tahoma"/>
          <w:color w:val="000000"/>
          <w:sz w:val="20"/>
          <w:lang w:eastAsia="es-MX"/>
        </w:rPr>
      </w:pPr>
      <w:r w:rsidRPr="009A22F4">
        <w:rPr>
          <w:rFonts w:ascii="ITC Avant Garde" w:eastAsia="Times New Roman" w:hAnsi="ITC Avant Garde"/>
          <w:b/>
          <w:bCs/>
          <w:color w:val="000000"/>
          <w:sz w:val="19"/>
          <w:szCs w:val="19"/>
          <w:lang w:eastAsia="es-MX"/>
        </w:rPr>
        <w:t>Unidad Administrativa y Clasificación</w:t>
      </w:r>
      <w:r w:rsidRPr="009A22F4">
        <w:rPr>
          <w:rFonts w:ascii="ITC Avant Garde" w:hAnsi="ITC Avant Garde"/>
          <w:b/>
          <w:sz w:val="20"/>
        </w:rPr>
        <w:t>:</w:t>
      </w:r>
      <w:r w:rsidRPr="009A22F4">
        <w:rPr>
          <w:rFonts w:ascii="ITC Avant Garde" w:hAnsi="ITC Avant Garde"/>
          <w:sz w:val="20"/>
        </w:rPr>
        <w:t xml:space="preserve"> </w:t>
      </w:r>
      <w:r w:rsidRPr="009A22F4">
        <w:rPr>
          <w:rFonts w:ascii="ITC Avant Garde" w:hAnsi="ITC Avant Garde" w:cs="Tahoma"/>
          <w:color w:val="000000"/>
          <w:sz w:val="20"/>
          <w:szCs w:val="20"/>
          <w:lang w:eastAsia="es-MX"/>
        </w:rPr>
        <w:t>U</w:t>
      </w:r>
      <w:r w:rsidRPr="00EE00CF">
        <w:rPr>
          <w:rFonts w:ascii="ITC Avant Garde" w:hAnsi="ITC Avant Garde" w:cs="Tahoma"/>
          <w:color w:val="000000"/>
          <w:sz w:val="20"/>
          <w:szCs w:val="20"/>
          <w:lang w:eastAsia="es-MX"/>
        </w:rPr>
        <w:t>nidad de Concesiones y Servicios elabora versión pública y remite a la Secretaría Técnica del Pleno</w:t>
      </w:r>
      <w:r w:rsidR="001279EC">
        <w:rPr>
          <w:rFonts w:ascii="ITC Avant Garde" w:hAnsi="ITC Avant Garde" w:cs="Tahoma"/>
          <w:color w:val="000000"/>
          <w:sz w:val="20"/>
          <w:szCs w:val="20"/>
          <w:lang w:eastAsia="es-MX"/>
        </w:rPr>
        <w:t xml:space="preserve"> y</w:t>
      </w:r>
      <w:r w:rsidRPr="00EE00CF">
        <w:rPr>
          <w:rFonts w:ascii="ITC Avant Garde" w:hAnsi="ITC Avant Garde" w:cs="Tahoma"/>
          <w:color w:val="000000"/>
          <w:sz w:val="20"/>
          <w:szCs w:val="20"/>
          <w:lang w:eastAsia="es-MX"/>
        </w:rPr>
        <w:t xml:space="preserve"> </w:t>
      </w:r>
      <w:r w:rsidR="001279EC" w:rsidRPr="00EE00CF">
        <w:rPr>
          <w:rFonts w:ascii="ITC Avant Garde" w:hAnsi="ITC Avant Garde" w:cs="Tahoma"/>
          <w:color w:val="000000"/>
          <w:sz w:val="20"/>
          <w:szCs w:val="20"/>
          <w:lang w:eastAsia="es-MX"/>
        </w:rPr>
        <w:t xml:space="preserve">remite </w:t>
      </w:r>
      <w:r w:rsidR="001279EC">
        <w:rPr>
          <w:rFonts w:ascii="ITC Avant Garde" w:hAnsi="ITC Avant Garde" w:cs="Tahoma"/>
          <w:color w:val="000000"/>
          <w:sz w:val="20"/>
          <w:szCs w:val="20"/>
          <w:lang w:eastAsia="es-MX"/>
        </w:rPr>
        <w:t>el 2</w:t>
      </w:r>
      <w:r w:rsidR="001279EC" w:rsidRPr="00C05D07">
        <w:rPr>
          <w:rFonts w:ascii="ITC Avant Garde" w:hAnsi="ITC Avant Garde" w:cs="Tahoma"/>
          <w:color w:val="000000"/>
          <w:sz w:val="20"/>
          <w:szCs w:val="20"/>
          <w:lang w:eastAsia="es-MX"/>
        </w:rPr>
        <w:t xml:space="preserve"> de </w:t>
      </w:r>
      <w:r w:rsidR="001279EC">
        <w:rPr>
          <w:rFonts w:ascii="ITC Avant Garde" w:hAnsi="ITC Avant Garde" w:cs="Tahoma"/>
          <w:color w:val="000000"/>
          <w:sz w:val="20"/>
          <w:szCs w:val="20"/>
          <w:lang w:eastAsia="es-MX"/>
        </w:rPr>
        <w:t xml:space="preserve">junio de 2017 </w:t>
      </w:r>
      <w:r w:rsidR="001279EC" w:rsidRPr="00EE00CF">
        <w:rPr>
          <w:rFonts w:ascii="ITC Avant Garde" w:hAnsi="ITC Avant Garde" w:cs="Tahoma"/>
          <w:color w:val="000000"/>
          <w:sz w:val="20"/>
          <w:szCs w:val="20"/>
          <w:lang w:eastAsia="es-MX"/>
        </w:rPr>
        <w:t xml:space="preserve">a la Secretaría Técnica del Pleno, mediante oficio </w:t>
      </w:r>
      <w:r w:rsidR="001279EC">
        <w:rPr>
          <w:rFonts w:ascii="ITC Avant Garde" w:hAnsi="ITC Avant Garde" w:cs="Tahoma"/>
          <w:color w:val="000000"/>
          <w:sz w:val="20"/>
          <w:szCs w:val="20"/>
          <w:lang w:eastAsia="es-MX"/>
        </w:rPr>
        <w:t>IFT/223</w:t>
      </w:r>
      <w:r w:rsidR="001279EC" w:rsidRPr="00C05D07">
        <w:rPr>
          <w:rFonts w:ascii="ITC Avant Garde" w:hAnsi="ITC Avant Garde" w:cs="Tahoma"/>
          <w:color w:val="000000"/>
          <w:sz w:val="20"/>
          <w:szCs w:val="20"/>
          <w:lang w:eastAsia="es-MX"/>
        </w:rPr>
        <w:t>/UCS/DG-</w:t>
      </w:r>
      <w:r w:rsidR="001279EC">
        <w:rPr>
          <w:rFonts w:ascii="ITC Avant Garde" w:hAnsi="ITC Avant Garde" w:cs="Tahoma"/>
          <w:color w:val="000000"/>
          <w:sz w:val="20"/>
          <w:szCs w:val="20"/>
          <w:lang w:eastAsia="es-MX"/>
        </w:rPr>
        <w:t>CTEL/1112/2017</w:t>
      </w:r>
      <w:r w:rsidRPr="00EE00CF">
        <w:rPr>
          <w:rFonts w:ascii="ITC Avant Garde" w:hAnsi="ITC Avant Garde" w:cs="Tahoma"/>
          <w:color w:val="000000"/>
          <w:sz w:val="20"/>
          <w:szCs w:val="20"/>
          <w:lang w:eastAsia="es-MX"/>
        </w:rPr>
        <w:t xml:space="preserve">, por contener información </w:t>
      </w:r>
      <w:r w:rsidRPr="00EE00CF">
        <w:rPr>
          <w:rFonts w:ascii="ITC Avant Garde" w:hAnsi="ITC Avant Garde" w:cs="Tahoma"/>
          <w:b/>
          <w:color w:val="0000CC"/>
          <w:sz w:val="20"/>
          <w:szCs w:val="20"/>
          <w:lang w:eastAsia="es-MX"/>
        </w:rPr>
        <w:t>Confidencial</w:t>
      </w:r>
      <w:r w:rsidRPr="00EE00CF">
        <w:rPr>
          <w:rFonts w:ascii="ITC Avant Garde" w:hAnsi="ITC Avant Garde" w:cs="Tahoma"/>
          <w:color w:val="000000"/>
          <w:sz w:val="20"/>
          <w:szCs w:val="20"/>
          <w:lang w:eastAsia="es-MX"/>
        </w:rPr>
        <w:t>, de conformidad con los artículos 72, fracción V, inciso c), 98, fracción III y 104 de la Ley Federal de Transparencia y Acceso a la Información Pública</w:t>
      </w:r>
      <w:bookmarkStart w:id="0" w:name="_GoBack"/>
      <w:bookmarkEnd w:id="0"/>
      <w:r w:rsidRPr="00EE00CF">
        <w:rPr>
          <w:rFonts w:ascii="ITC Avant Garde" w:hAnsi="ITC Avant Garde" w:cs="Tahoma"/>
          <w:color w:val="000000"/>
          <w:sz w:val="20"/>
          <w:szCs w:val="20"/>
          <w:lang w:eastAsia="es-MX"/>
        </w:rPr>
        <w:t xml:space="preserve"> (“LFTAIP”); 106, 107 y 110 de la Ley General de Transparencia y Acceso a la Información Pública ("LGTAIP”); Lineamiento Séptimo, fracción III, Octavo, Noveno, Quincuagésimo Primero al Tercero, Sexagésimo, </w:t>
      </w:r>
      <w:r w:rsidRPr="009A22F4">
        <w:rPr>
          <w:rFonts w:ascii="ITC Avant Garde" w:hAnsi="ITC Avant Garde" w:cs="Tahoma"/>
          <w:color w:val="000000"/>
          <w:sz w:val="20"/>
          <w:szCs w:val="20"/>
          <w:lang w:eastAsia="es-MX"/>
        </w:rPr>
        <w:t>Sexagésimo Primero y Sexagésimo Tercero de los Lineamientos Generales en materia de Clasificación y Desclasificación de la Información, así como para la Elaboración de Versiones Públicas (“LGCDIEVP”)</w:t>
      </w:r>
      <w:r w:rsidRPr="009A22F4">
        <w:rPr>
          <w:rFonts w:ascii="ITC Avant Garde" w:hAnsi="ITC Avant Garde" w:cs="Tahoma"/>
          <w:color w:val="000000"/>
          <w:sz w:val="20"/>
          <w:lang w:eastAsia="es-MX"/>
        </w:rPr>
        <w:t>.</w:t>
      </w:r>
    </w:p>
    <w:p w14:paraId="1FFC5077" w14:textId="2AF35C9E" w:rsidR="009A22F4" w:rsidRPr="009A22F4" w:rsidRDefault="009A22F4" w:rsidP="009A22F4">
      <w:pPr>
        <w:spacing w:after="0" w:line="360" w:lineRule="auto"/>
        <w:jc w:val="both"/>
        <w:rPr>
          <w:rFonts w:ascii="ITC Avant Garde" w:eastAsia="Times New Roman" w:hAnsi="ITC Avant Garde"/>
          <w:bCs/>
          <w:color w:val="000000"/>
          <w:sz w:val="19"/>
          <w:szCs w:val="19"/>
          <w:lang w:eastAsia="es-MX"/>
        </w:rPr>
      </w:pPr>
      <w:r w:rsidRPr="009A22F4">
        <w:rPr>
          <w:rFonts w:ascii="ITC Avant Garde" w:eastAsia="Times New Roman" w:hAnsi="ITC Avant Garde"/>
          <w:b/>
          <w:bCs/>
          <w:color w:val="000000"/>
          <w:sz w:val="19"/>
          <w:szCs w:val="19"/>
          <w:lang w:eastAsia="es-MX"/>
        </w:rPr>
        <w:t>Núm. de Resolución:</w:t>
      </w:r>
      <w:r w:rsidRPr="009A22F4">
        <w:rPr>
          <w:rFonts w:ascii="ITC Avant Garde" w:eastAsia="Times New Roman" w:hAnsi="ITC Avant Garde"/>
          <w:bCs/>
          <w:color w:val="000000"/>
          <w:sz w:val="19"/>
          <w:szCs w:val="19"/>
          <w:lang w:eastAsia="es-MX"/>
        </w:rPr>
        <w:t xml:space="preserve"> </w:t>
      </w:r>
      <w:r w:rsidRPr="009A22F4">
        <w:rPr>
          <w:rFonts w:ascii="ITC Avant Garde" w:hAnsi="ITC Avant Garde"/>
          <w:sz w:val="19"/>
          <w:szCs w:val="19"/>
        </w:rPr>
        <w:t>P/IFT/</w:t>
      </w:r>
      <w:r w:rsidRPr="009A22F4">
        <w:rPr>
          <w:rFonts w:ascii="ITC Avant Garde" w:hAnsi="ITC Avant Garde"/>
          <w:sz w:val="18"/>
          <w:szCs w:val="18"/>
        </w:rPr>
        <w:t>280916/511</w:t>
      </w:r>
      <w:r w:rsidRPr="009A22F4">
        <w:rPr>
          <w:rFonts w:ascii="ITC Avant Garde" w:hAnsi="ITC Avant Garde"/>
          <w:sz w:val="19"/>
          <w:szCs w:val="19"/>
        </w:rPr>
        <w:t>.</w:t>
      </w:r>
    </w:p>
    <w:p w14:paraId="2DA7B568" w14:textId="5840F6CB" w:rsidR="009A22F4" w:rsidRPr="009A22F4" w:rsidRDefault="009A22F4" w:rsidP="009A22F4">
      <w:pPr>
        <w:spacing w:after="0" w:line="360" w:lineRule="auto"/>
        <w:jc w:val="both"/>
        <w:rPr>
          <w:rFonts w:ascii="ITC Avant Garde" w:eastAsia="Times New Roman" w:hAnsi="ITC Avant Garde"/>
          <w:bCs/>
          <w:color w:val="000000"/>
          <w:sz w:val="19"/>
          <w:szCs w:val="19"/>
          <w:lang w:eastAsia="es-MX"/>
        </w:rPr>
      </w:pPr>
      <w:r w:rsidRPr="009A22F4">
        <w:rPr>
          <w:rFonts w:ascii="ITC Avant Garde" w:eastAsia="Times New Roman" w:hAnsi="ITC Avant Garde"/>
          <w:b/>
          <w:bCs/>
          <w:color w:val="000000"/>
          <w:sz w:val="19"/>
          <w:szCs w:val="19"/>
          <w:lang w:eastAsia="es-MX"/>
        </w:rPr>
        <w:t>Descripción del asunto:</w:t>
      </w:r>
      <w:r w:rsidRPr="009A22F4">
        <w:rPr>
          <w:rFonts w:ascii="ITC Avant Garde" w:eastAsia="Times New Roman" w:hAnsi="ITC Avant Garde"/>
          <w:bCs/>
          <w:color w:val="000000"/>
          <w:sz w:val="19"/>
          <w:szCs w:val="19"/>
          <w:lang w:eastAsia="es-MX"/>
        </w:rPr>
        <w:t xml:space="preserve"> </w:t>
      </w:r>
      <w:r w:rsidRPr="009A22F4">
        <w:rPr>
          <w:rFonts w:ascii="ITC Avant Garde" w:hAnsi="ITC Avant Garde"/>
          <w:sz w:val="19"/>
          <w:szCs w:val="19"/>
        </w:rPr>
        <w:t>Resolución mediante la cual el Pleno del Instituto Federal de Telecomunicaciones autoriza la enajenación de acciones de la empresa Promoción y Asesoría Integral de Telecomunicaciones, S.C., titular de una concesión única para uso comercial para prestar servicios públicos de telecomunicaciones y radiodifusión.</w:t>
      </w:r>
    </w:p>
    <w:p w14:paraId="15E717E6" w14:textId="0D6ADB00" w:rsidR="009A22F4" w:rsidRPr="009A22F4" w:rsidRDefault="009A22F4" w:rsidP="009A22F4">
      <w:pPr>
        <w:spacing w:after="0" w:line="360" w:lineRule="auto"/>
        <w:jc w:val="both"/>
        <w:rPr>
          <w:rFonts w:ascii="ITC Avant Garde" w:hAnsi="ITC Avant Garde"/>
          <w:sz w:val="19"/>
          <w:szCs w:val="19"/>
        </w:rPr>
      </w:pPr>
      <w:r w:rsidRPr="009A22F4">
        <w:rPr>
          <w:rFonts w:ascii="ITC Avant Garde" w:eastAsia="Times New Roman" w:hAnsi="ITC Avant Garde"/>
          <w:b/>
          <w:bCs/>
          <w:color w:val="000000"/>
          <w:sz w:val="19"/>
          <w:szCs w:val="19"/>
          <w:lang w:eastAsia="es-MX"/>
        </w:rPr>
        <w:t>Fundamento legal:</w:t>
      </w:r>
      <w:r w:rsidRPr="009A22F4">
        <w:rPr>
          <w:rFonts w:ascii="ITC Avant Garde" w:eastAsia="Times New Roman" w:hAnsi="ITC Avant Garde"/>
          <w:bCs/>
          <w:color w:val="000000"/>
          <w:sz w:val="19"/>
          <w:szCs w:val="19"/>
          <w:lang w:eastAsia="es-MX"/>
        </w:rPr>
        <w:t xml:space="preserve"> </w:t>
      </w:r>
      <w:r w:rsidRPr="009A22F4">
        <w:rPr>
          <w:rFonts w:ascii="ITC Avant Garde" w:hAnsi="ITC Avant Garde"/>
          <w:sz w:val="19"/>
          <w:szCs w:val="19"/>
        </w:rPr>
        <w:t>Confidencial con fundamento en el artículo 113, fracción II y III de la Ley Federal de Transparencia y Acceso a la Información Pública; 116, último párrafo de la Ley General de Transparencia y Acceso a la Información Pública; y artículos Trigésimo Octavo, fracción III y Cuadragésimo, fracción I de los “LCCDIEVP”, publicados en el DOF el 15 de abril de 2016.</w:t>
      </w:r>
    </w:p>
    <w:p w14:paraId="5D8C801C" w14:textId="18123173" w:rsidR="009A22F4" w:rsidRPr="009A22F4" w:rsidRDefault="009A22F4" w:rsidP="009A22F4">
      <w:pPr>
        <w:spacing w:after="0" w:line="360" w:lineRule="auto"/>
        <w:jc w:val="both"/>
        <w:rPr>
          <w:rFonts w:ascii="ITC Avant Garde" w:eastAsia="Times New Roman" w:hAnsi="ITC Avant Garde"/>
          <w:bCs/>
          <w:color w:val="000000"/>
          <w:sz w:val="19"/>
          <w:szCs w:val="19"/>
          <w:lang w:eastAsia="es-MX"/>
        </w:rPr>
      </w:pPr>
      <w:r w:rsidRPr="009A22F4">
        <w:rPr>
          <w:rFonts w:ascii="ITC Avant Garde" w:eastAsia="Times New Roman" w:hAnsi="ITC Avant Garde"/>
          <w:b/>
          <w:bCs/>
          <w:color w:val="000000"/>
          <w:sz w:val="19"/>
          <w:szCs w:val="19"/>
          <w:lang w:eastAsia="es-MX"/>
        </w:rPr>
        <w:t>Motivación:</w:t>
      </w:r>
      <w:r w:rsidRPr="009A22F4">
        <w:rPr>
          <w:rFonts w:ascii="ITC Avant Garde" w:eastAsia="Times New Roman" w:hAnsi="ITC Avant Garde"/>
          <w:bCs/>
          <w:color w:val="000000"/>
          <w:sz w:val="19"/>
          <w:szCs w:val="19"/>
          <w:lang w:eastAsia="es-MX"/>
        </w:rPr>
        <w:t xml:space="preserve"> </w:t>
      </w:r>
      <w:r w:rsidRPr="009A22F4">
        <w:rPr>
          <w:rFonts w:ascii="ITC Avant Garde" w:hAnsi="ITC Avant Garde"/>
          <w:sz w:val="19"/>
          <w:szCs w:val="19"/>
        </w:rPr>
        <w:t>Contiene información referente al patrimonio de una persona moral, que fue presentada con dicho carácter por los particulares.</w:t>
      </w:r>
    </w:p>
    <w:p w14:paraId="721B9CCB" w14:textId="77777777" w:rsidR="009A22F4" w:rsidRPr="009A22F4" w:rsidRDefault="009A22F4" w:rsidP="009A22F4">
      <w:pPr>
        <w:spacing w:after="0" w:line="360" w:lineRule="auto"/>
        <w:jc w:val="both"/>
        <w:rPr>
          <w:rFonts w:ascii="ITC Avant Garde" w:eastAsia="Times New Roman" w:hAnsi="ITC Avant Garde"/>
          <w:bCs/>
          <w:color w:val="000000"/>
          <w:sz w:val="19"/>
          <w:szCs w:val="19"/>
          <w:lang w:eastAsia="es-MX"/>
        </w:rPr>
      </w:pPr>
      <w:r w:rsidRPr="009A22F4">
        <w:rPr>
          <w:rFonts w:ascii="ITC Avant Garde" w:eastAsia="Times New Roman" w:hAnsi="ITC Avant Garde"/>
          <w:b/>
          <w:bCs/>
          <w:color w:val="000000"/>
          <w:sz w:val="19"/>
          <w:szCs w:val="19"/>
          <w:lang w:eastAsia="es-MX"/>
        </w:rPr>
        <w:t>Secciones clasificadas:</w:t>
      </w:r>
      <w:r w:rsidRPr="009A22F4">
        <w:rPr>
          <w:rFonts w:ascii="ITC Avant Garde" w:eastAsia="Times New Roman" w:hAnsi="ITC Avant Garde"/>
          <w:bCs/>
          <w:color w:val="000000"/>
          <w:sz w:val="19"/>
          <w:szCs w:val="19"/>
          <w:lang w:eastAsia="es-MX"/>
        </w:rPr>
        <w:t xml:space="preserve"> Las secciones marcadas en color azul con la inscripción que dice </w:t>
      </w:r>
      <w:r w:rsidRPr="009A22F4">
        <w:rPr>
          <w:rFonts w:ascii="ITC Avant Garde" w:eastAsia="Times New Roman" w:hAnsi="ITC Avant Garde"/>
          <w:b/>
          <w:bCs/>
          <w:color w:val="0000CC"/>
          <w:sz w:val="19"/>
          <w:szCs w:val="19"/>
          <w:lang w:eastAsia="es-MX"/>
        </w:rPr>
        <w:t>“CONFIDENCIAL POR LEY”</w:t>
      </w:r>
      <w:r w:rsidRPr="009A22F4">
        <w:rPr>
          <w:rFonts w:ascii="ITC Avant Garde" w:eastAsia="Times New Roman" w:hAnsi="ITC Avant Garde"/>
          <w:bCs/>
          <w:color w:val="000000"/>
          <w:sz w:val="19"/>
          <w:szCs w:val="19"/>
          <w:lang w:eastAsia="es-MX"/>
        </w:rPr>
        <w:t>.</w:t>
      </w:r>
    </w:p>
    <w:p w14:paraId="59C4997D" w14:textId="77777777" w:rsidR="009A22F4" w:rsidRDefault="009A22F4" w:rsidP="009A22F4">
      <w:pPr>
        <w:rPr>
          <w:rFonts w:ascii="ITC Avant Garde" w:eastAsia="Times New Roman" w:hAnsi="ITC Avant Garde"/>
          <w:bCs/>
          <w:sz w:val="19"/>
          <w:szCs w:val="19"/>
        </w:rPr>
        <w:sectPr w:rsidR="009A22F4" w:rsidSect="004F2622">
          <w:headerReference w:type="even" r:id="rId8"/>
          <w:footerReference w:type="first" r:id="rId9"/>
          <w:pgSz w:w="12240" w:h="15840"/>
          <w:pgMar w:top="1843" w:right="1418" w:bottom="567" w:left="1418" w:header="709" w:footer="709" w:gutter="0"/>
          <w:cols w:space="708"/>
          <w:docGrid w:linePitch="360"/>
        </w:sectPr>
      </w:pPr>
      <w:r w:rsidRPr="009A22F4">
        <w:rPr>
          <w:rFonts w:ascii="ITC Avant Garde" w:eastAsia="Times New Roman" w:hAnsi="ITC Avant Garde"/>
          <w:bCs/>
          <w:sz w:val="19"/>
          <w:szCs w:val="19"/>
        </w:rPr>
        <w:t>Fin de la leyenda.</w:t>
      </w:r>
    </w:p>
    <w:p w14:paraId="7E62C4A8" w14:textId="52A89955" w:rsidR="00A07AF9" w:rsidRPr="00A07AF9" w:rsidRDefault="00870303" w:rsidP="00CA205F">
      <w:pPr>
        <w:pStyle w:val="Ttulo1"/>
        <w:spacing w:before="0" w:afterLines="120" w:after="288"/>
        <w:jc w:val="both"/>
        <w:rPr>
          <w:rFonts w:ascii="ITC Avant Garde" w:hAnsi="ITC Avant Garde"/>
          <w:b/>
          <w:color w:val="000000" w:themeColor="text1"/>
          <w:sz w:val="24"/>
          <w:szCs w:val="24"/>
          <w:lang w:eastAsia="es-MX"/>
        </w:rPr>
      </w:pPr>
      <w:r w:rsidRPr="00A07AF9">
        <w:rPr>
          <w:rFonts w:ascii="ITC Avant Garde" w:hAnsi="ITC Avant Garde"/>
          <w:b/>
          <w:color w:val="000000" w:themeColor="text1"/>
          <w:sz w:val="24"/>
          <w:szCs w:val="24"/>
          <w:lang w:eastAsia="es-MX"/>
        </w:rPr>
        <w:lastRenderedPageBreak/>
        <w:t>RESOLUCIÓN MEDIANTE</w:t>
      </w:r>
      <w:r w:rsidR="00D42CA3" w:rsidRPr="00A07AF9">
        <w:rPr>
          <w:rFonts w:ascii="ITC Avant Garde" w:hAnsi="ITC Avant Garde"/>
          <w:b/>
          <w:color w:val="000000" w:themeColor="text1"/>
          <w:sz w:val="24"/>
          <w:szCs w:val="24"/>
          <w:lang w:eastAsia="es-MX"/>
        </w:rPr>
        <w:t xml:space="preserve"> LA CUAL EL PLENO DEL INSTITUTO FEDERAL DE TELECOMUNICACIONES AUTORIZA LA ENAJENACIÓN DE ACCIONES DE </w:t>
      </w:r>
      <w:r w:rsidR="00221CD0" w:rsidRPr="00A07AF9">
        <w:rPr>
          <w:rFonts w:ascii="ITC Avant Garde" w:hAnsi="ITC Avant Garde"/>
          <w:b/>
          <w:color w:val="000000" w:themeColor="text1"/>
          <w:sz w:val="24"/>
          <w:szCs w:val="24"/>
          <w:lang w:eastAsia="es-MX"/>
        </w:rPr>
        <w:t xml:space="preserve">LA EMPRESA </w:t>
      </w:r>
      <w:r w:rsidR="00F822B0" w:rsidRPr="00A07AF9">
        <w:rPr>
          <w:rFonts w:ascii="ITC Avant Garde" w:hAnsi="ITC Avant Garde"/>
          <w:b/>
          <w:color w:val="000000" w:themeColor="text1"/>
          <w:sz w:val="24"/>
          <w:szCs w:val="24"/>
          <w:lang w:eastAsia="es-MX"/>
        </w:rPr>
        <w:t>PROMOCIÓN Y ASESORÍA INTEGRAL DE TELECOMUNICACIONES</w:t>
      </w:r>
      <w:r w:rsidR="00D42CA3" w:rsidRPr="00A07AF9">
        <w:rPr>
          <w:rFonts w:ascii="ITC Avant Garde" w:hAnsi="ITC Avant Garde"/>
          <w:b/>
          <w:color w:val="000000" w:themeColor="text1"/>
          <w:sz w:val="24"/>
          <w:szCs w:val="24"/>
          <w:lang w:eastAsia="es-MX"/>
        </w:rPr>
        <w:t xml:space="preserve">, S.C., </w:t>
      </w:r>
      <w:r w:rsidR="009A3FC1" w:rsidRPr="00A07AF9">
        <w:rPr>
          <w:rFonts w:ascii="ITC Avant Garde" w:hAnsi="ITC Avant Garde"/>
          <w:b/>
          <w:color w:val="000000" w:themeColor="text1"/>
          <w:sz w:val="24"/>
          <w:szCs w:val="24"/>
          <w:lang w:eastAsia="es-MX"/>
        </w:rPr>
        <w:t xml:space="preserve">TITULAR DE UNA CONCESIÓN ÚNICA </w:t>
      </w:r>
      <w:r w:rsidR="00380E72" w:rsidRPr="00A07AF9">
        <w:rPr>
          <w:rFonts w:ascii="ITC Avant Garde" w:hAnsi="ITC Avant Garde"/>
          <w:b/>
          <w:color w:val="000000" w:themeColor="text1"/>
          <w:sz w:val="24"/>
          <w:szCs w:val="24"/>
          <w:lang w:eastAsia="es-MX"/>
        </w:rPr>
        <w:t xml:space="preserve">PARA </w:t>
      </w:r>
      <w:r w:rsidR="009A3FC1" w:rsidRPr="00A07AF9">
        <w:rPr>
          <w:rFonts w:ascii="ITC Avant Garde" w:hAnsi="ITC Avant Garde"/>
          <w:b/>
          <w:color w:val="000000" w:themeColor="text1"/>
          <w:sz w:val="24"/>
          <w:szCs w:val="24"/>
          <w:lang w:eastAsia="es-MX"/>
        </w:rPr>
        <w:t>USO COMERCIAL PARA PRESTAR SERVICIOS PÚBLICOS DE TELECOMUNICACIONES Y RADIODIFUSIÓN</w:t>
      </w:r>
      <w:r w:rsidR="00D42CA3" w:rsidRPr="00A07AF9">
        <w:rPr>
          <w:rFonts w:ascii="ITC Avant Garde" w:hAnsi="ITC Avant Garde"/>
          <w:b/>
          <w:color w:val="000000" w:themeColor="text1"/>
          <w:sz w:val="24"/>
          <w:szCs w:val="24"/>
          <w:lang w:eastAsia="es-MX"/>
        </w:rPr>
        <w:t>.</w:t>
      </w:r>
    </w:p>
    <w:p w14:paraId="0321A0B9" w14:textId="77777777" w:rsidR="00A07AF9" w:rsidRPr="00A07AF9" w:rsidRDefault="00CE0F87" w:rsidP="00CA205F">
      <w:pPr>
        <w:pStyle w:val="Ttulo2"/>
        <w:spacing w:before="0" w:afterLines="120" w:after="288"/>
        <w:jc w:val="center"/>
        <w:rPr>
          <w:rFonts w:ascii="ITC Avant Garde" w:hAnsi="ITC Avant Garde"/>
          <w:b/>
          <w:color w:val="000000" w:themeColor="text1"/>
          <w:sz w:val="24"/>
          <w:szCs w:val="24"/>
        </w:rPr>
      </w:pPr>
      <w:r w:rsidRPr="00A07AF9">
        <w:rPr>
          <w:rFonts w:ascii="ITC Avant Garde" w:hAnsi="ITC Avant Garde"/>
          <w:b/>
          <w:color w:val="000000" w:themeColor="text1"/>
          <w:sz w:val="24"/>
          <w:szCs w:val="24"/>
        </w:rPr>
        <w:t>ANTECEDENTES</w:t>
      </w:r>
    </w:p>
    <w:p w14:paraId="20FA8C09" w14:textId="77777777" w:rsidR="00A07AF9" w:rsidRPr="00A07AF9" w:rsidRDefault="001846AC" w:rsidP="00CA205F">
      <w:pPr>
        <w:numPr>
          <w:ilvl w:val="0"/>
          <w:numId w:val="4"/>
        </w:numPr>
        <w:spacing w:afterLines="120" w:after="288" w:line="240" w:lineRule="auto"/>
        <w:ind w:left="567" w:hanging="567"/>
        <w:jc w:val="both"/>
        <w:rPr>
          <w:rFonts w:ascii="ITC Avant Garde" w:hAnsi="ITC Avant Garde"/>
          <w:b/>
          <w:bCs/>
          <w:color w:val="000000"/>
          <w:lang w:eastAsia="es-MX"/>
        </w:rPr>
      </w:pPr>
      <w:r w:rsidRPr="00A07AF9">
        <w:rPr>
          <w:rFonts w:ascii="ITC Avant Garde" w:hAnsi="ITC Avant Garde"/>
          <w:b/>
          <w:bCs/>
          <w:color w:val="000000"/>
          <w:lang w:eastAsia="es-MX"/>
        </w:rPr>
        <w:t xml:space="preserve">Decreto de Reforma Constitucional. </w:t>
      </w:r>
      <w:r w:rsidR="00AE7FCC" w:rsidRPr="00A07AF9">
        <w:rPr>
          <w:rFonts w:ascii="ITC Avant Garde" w:hAnsi="ITC Avant Garde"/>
          <w:bCs/>
          <w:color w:val="000000"/>
          <w:lang w:eastAsia="es-MX"/>
        </w:rPr>
        <w:t>El 11 de junio de 2013 se publicó en el Diario Oficial de la Federación el “Decreto por el que se reforman y adicionan diversas disposiciones de los artículos 6o., 7o., 27, 28, 73, 78, 94 y 105 de la Constitución Política de los Estados Unidos Mexicanos, en materia de telecomunicaciones”, mediante el cual se creó el Instituto Federal de Telecomunicaciones (el “Instituto”) como un órgano autónomo que tiene por objeto el desarrollo eficiente de la radiodifusión y las telecomunicaciones.</w:t>
      </w:r>
    </w:p>
    <w:p w14:paraId="5A5B93D0" w14:textId="77777777" w:rsidR="00A07AF9" w:rsidRPr="00A07AF9" w:rsidRDefault="00AE7FCC" w:rsidP="00CA205F">
      <w:pPr>
        <w:numPr>
          <w:ilvl w:val="0"/>
          <w:numId w:val="4"/>
        </w:numPr>
        <w:spacing w:afterLines="120" w:after="288" w:line="240" w:lineRule="auto"/>
        <w:ind w:left="567" w:hanging="567"/>
        <w:jc w:val="both"/>
        <w:rPr>
          <w:rFonts w:ascii="ITC Avant Garde" w:hAnsi="ITC Avant Garde"/>
          <w:b/>
          <w:bCs/>
          <w:color w:val="000000"/>
          <w:lang w:eastAsia="es-MX"/>
        </w:rPr>
      </w:pPr>
      <w:r w:rsidRPr="00A07AF9">
        <w:rPr>
          <w:rFonts w:ascii="ITC Avant Garde" w:hAnsi="ITC Avant Garde"/>
          <w:b/>
          <w:bCs/>
          <w:color w:val="000000"/>
          <w:lang w:eastAsia="es-MX"/>
        </w:rPr>
        <w:t xml:space="preserve">Decreto de Ley. </w:t>
      </w:r>
      <w:r w:rsidRPr="00A07AF9">
        <w:rPr>
          <w:rFonts w:ascii="ITC Avant Garde" w:hAnsi="ITC Avant Garde"/>
          <w:bCs/>
          <w:color w:val="000000"/>
          <w:lang w:eastAsia="es-MX"/>
        </w:rPr>
        <w:t>El 14 de julio de 2014 se publicó en el Diario Oficial de la Federación el “Decreto por el que se expiden la Ley Federal de Telecomunicaciones y Radiodifusión, y la Ley del Sistema Público de Radiodifusión del Estado Mexicano; y se reforman, adicionan y derogan diversas disposiciones en materia de telecomunicaciones y radiodifusión”, mismo que entró en vigor el 13 de agosto de 2014.</w:t>
      </w:r>
    </w:p>
    <w:p w14:paraId="3D9039BA" w14:textId="77777777" w:rsidR="00A07AF9" w:rsidRPr="00A07AF9" w:rsidRDefault="00AE7FCC" w:rsidP="00CA205F">
      <w:pPr>
        <w:numPr>
          <w:ilvl w:val="0"/>
          <w:numId w:val="4"/>
        </w:numPr>
        <w:spacing w:afterLines="120" w:after="288" w:line="240" w:lineRule="auto"/>
        <w:ind w:left="567" w:hanging="567"/>
        <w:jc w:val="both"/>
        <w:rPr>
          <w:rFonts w:ascii="ITC Avant Garde" w:hAnsi="ITC Avant Garde"/>
          <w:b/>
          <w:bCs/>
          <w:color w:val="000000"/>
          <w:lang w:eastAsia="es-MX"/>
        </w:rPr>
      </w:pPr>
      <w:r w:rsidRPr="00A07AF9">
        <w:rPr>
          <w:rFonts w:ascii="ITC Avant Garde" w:hAnsi="ITC Avant Garde"/>
          <w:b/>
          <w:bCs/>
          <w:color w:val="000000"/>
          <w:lang w:eastAsia="es-MX"/>
        </w:rPr>
        <w:t xml:space="preserve">Estatuto Orgánico. </w:t>
      </w:r>
      <w:r w:rsidRPr="00A07AF9">
        <w:rPr>
          <w:rFonts w:ascii="ITC Avant Garde" w:hAnsi="ITC Avant Garde"/>
          <w:bCs/>
          <w:color w:val="000000"/>
          <w:lang w:eastAsia="es-MX"/>
        </w:rPr>
        <w:t xml:space="preserve">El 4 de septiembre de 2014 se publicó en el Diario Oficial de la Federación el “Estatuto Orgánico del Instituto Federal de Telecomunicaciones” (el “Estatuto Orgánico”), mismo que entró en vigor el 26 de septiembre de 2014 y fue modificado el 17 de octubre de 2014. </w:t>
      </w:r>
    </w:p>
    <w:p w14:paraId="5CCEF6E2" w14:textId="77777777" w:rsidR="00A07AF9" w:rsidRPr="00A07AF9" w:rsidRDefault="00D00DB2" w:rsidP="00CA205F">
      <w:pPr>
        <w:numPr>
          <w:ilvl w:val="0"/>
          <w:numId w:val="4"/>
        </w:numPr>
        <w:spacing w:afterLines="120" w:after="288" w:line="240" w:lineRule="auto"/>
        <w:ind w:left="567" w:hanging="567"/>
        <w:jc w:val="both"/>
        <w:rPr>
          <w:rFonts w:ascii="ITC Avant Garde" w:hAnsi="ITC Avant Garde"/>
          <w:b/>
          <w:bCs/>
          <w:color w:val="000000"/>
          <w:lang w:eastAsia="es-MX"/>
        </w:rPr>
      </w:pPr>
      <w:r w:rsidRPr="00A07AF9">
        <w:rPr>
          <w:rFonts w:ascii="ITC Avant Garde" w:hAnsi="ITC Avant Garde"/>
          <w:b/>
          <w:bCs/>
          <w:color w:val="000000"/>
          <w:lang w:eastAsia="es-MX"/>
        </w:rPr>
        <w:t xml:space="preserve">Otorgamiento de las Concesiones. </w:t>
      </w:r>
      <w:r w:rsidRPr="00A07AF9">
        <w:rPr>
          <w:rFonts w:ascii="ITC Avant Garde" w:hAnsi="ITC Avant Garde"/>
          <w:bCs/>
          <w:color w:val="000000"/>
          <w:lang w:eastAsia="es-MX"/>
        </w:rPr>
        <w:t>El 4 de abril de 2016, el Instituto otorgó a favor de Promoción y Asesoría Integral de Telecomunicaciones, S.C., una concesión única para uso comercial, para prestar servicios públicos de telecomunicaciones y radiodifusión.</w:t>
      </w:r>
    </w:p>
    <w:p w14:paraId="1FDABFEE" w14:textId="77777777" w:rsidR="00A07AF9" w:rsidRPr="00A07AF9" w:rsidRDefault="00DE77AB" w:rsidP="00CA205F">
      <w:pPr>
        <w:numPr>
          <w:ilvl w:val="0"/>
          <w:numId w:val="4"/>
        </w:numPr>
        <w:spacing w:afterLines="120" w:after="288" w:line="240" w:lineRule="auto"/>
        <w:ind w:left="567" w:hanging="567"/>
        <w:jc w:val="both"/>
        <w:rPr>
          <w:rFonts w:ascii="ITC Avant Garde" w:hAnsi="ITC Avant Garde"/>
          <w:b/>
          <w:bCs/>
          <w:color w:val="000000"/>
          <w:lang w:eastAsia="es-MX"/>
        </w:rPr>
      </w:pPr>
      <w:r w:rsidRPr="00A07AF9">
        <w:rPr>
          <w:rFonts w:ascii="ITC Avant Garde" w:hAnsi="ITC Avant Garde"/>
          <w:b/>
          <w:bCs/>
          <w:color w:val="000000"/>
          <w:lang w:eastAsia="es-MX"/>
        </w:rPr>
        <w:t xml:space="preserve">Solicitud de Enajenación de Acciones. </w:t>
      </w:r>
      <w:r w:rsidRPr="00A07AF9">
        <w:rPr>
          <w:rFonts w:ascii="ITC Avant Garde" w:hAnsi="ITC Avant Garde"/>
          <w:bCs/>
          <w:color w:val="000000"/>
          <w:lang w:eastAsia="es-MX"/>
        </w:rPr>
        <w:t xml:space="preserve">Con escrito presentado ante el Instituto el </w:t>
      </w:r>
      <w:r w:rsidR="006B3948" w:rsidRPr="00A07AF9">
        <w:rPr>
          <w:rFonts w:ascii="ITC Avant Garde" w:hAnsi="ITC Avant Garde"/>
          <w:bCs/>
          <w:color w:val="000000"/>
          <w:lang w:eastAsia="es-MX"/>
        </w:rPr>
        <w:t>2</w:t>
      </w:r>
      <w:r w:rsidRPr="00A07AF9">
        <w:rPr>
          <w:rFonts w:ascii="ITC Avant Garde" w:hAnsi="ITC Avant Garde"/>
          <w:bCs/>
          <w:color w:val="000000"/>
          <w:lang w:eastAsia="es-MX"/>
        </w:rPr>
        <w:t xml:space="preserve"> de </w:t>
      </w:r>
      <w:r w:rsidR="006B3948" w:rsidRPr="00A07AF9">
        <w:rPr>
          <w:rFonts w:ascii="ITC Avant Garde" w:hAnsi="ITC Avant Garde"/>
          <w:bCs/>
          <w:color w:val="000000"/>
          <w:lang w:eastAsia="es-MX"/>
        </w:rPr>
        <w:t>agosto</w:t>
      </w:r>
      <w:r w:rsidRPr="00A07AF9">
        <w:rPr>
          <w:rFonts w:ascii="ITC Avant Garde" w:hAnsi="ITC Avant Garde"/>
          <w:bCs/>
          <w:color w:val="000000"/>
          <w:lang w:eastAsia="es-MX"/>
        </w:rPr>
        <w:t xml:space="preserve"> de 201</w:t>
      </w:r>
      <w:r w:rsidR="006B3948" w:rsidRPr="00A07AF9">
        <w:rPr>
          <w:rFonts w:ascii="ITC Avant Garde" w:hAnsi="ITC Avant Garde"/>
          <w:bCs/>
          <w:color w:val="000000"/>
          <w:lang w:eastAsia="es-MX"/>
        </w:rPr>
        <w:t>6</w:t>
      </w:r>
      <w:r w:rsidRPr="00A07AF9">
        <w:rPr>
          <w:rFonts w:ascii="ITC Avant Garde" w:hAnsi="ITC Avant Garde"/>
          <w:bCs/>
          <w:color w:val="000000"/>
          <w:lang w:eastAsia="es-MX"/>
        </w:rPr>
        <w:t xml:space="preserve">, </w:t>
      </w:r>
      <w:r w:rsidR="00A407D2" w:rsidRPr="00A07AF9">
        <w:rPr>
          <w:rFonts w:ascii="ITC Avant Garde" w:hAnsi="ITC Avant Garde"/>
          <w:bCs/>
          <w:color w:val="000000"/>
          <w:lang w:eastAsia="es-MX"/>
        </w:rPr>
        <w:t>el</w:t>
      </w:r>
      <w:r w:rsidR="003B4299" w:rsidRPr="00A07AF9">
        <w:rPr>
          <w:rFonts w:ascii="ITC Avant Garde" w:hAnsi="ITC Avant Garde"/>
          <w:bCs/>
          <w:color w:val="000000"/>
          <w:lang w:eastAsia="es-MX"/>
        </w:rPr>
        <w:t xml:space="preserve"> representante</w:t>
      </w:r>
      <w:r w:rsidRPr="00A07AF9">
        <w:rPr>
          <w:rFonts w:ascii="ITC Avant Garde" w:hAnsi="ITC Avant Garde"/>
          <w:bCs/>
          <w:color w:val="000000"/>
          <w:lang w:eastAsia="es-MX"/>
        </w:rPr>
        <w:t xml:space="preserve"> legal de </w:t>
      </w:r>
      <w:r w:rsidR="006B3948" w:rsidRPr="00A07AF9">
        <w:rPr>
          <w:rFonts w:ascii="ITC Avant Garde" w:hAnsi="ITC Avant Garde"/>
          <w:bCs/>
          <w:color w:val="000000"/>
          <w:lang w:eastAsia="es-MX"/>
        </w:rPr>
        <w:t>Promoción y Asesoría Integral de Telecomunicaciones, S.C.</w:t>
      </w:r>
      <w:r w:rsidR="001B7748" w:rsidRPr="00A07AF9">
        <w:rPr>
          <w:rFonts w:ascii="ITC Avant Garde" w:hAnsi="ITC Avant Garde"/>
          <w:bCs/>
          <w:color w:val="000000"/>
          <w:lang w:eastAsia="es-MX"/>
        </w:rPr>
        <w:t>,</w:t>
      </w:r>
      <w:r w:rsidR="003B4299" w:rsidRPr="00A07AF9">
        <w:rPr>
          <w:rFonts w:ascii="ITC Avant Garde" w:hAnsi="ITC Avant Garde"/>
          <w:bCs/>
          <w:color w:val="000000"/>
          <w:lang w:eastAsia="es-MX"/>
        </w:rPr>
        <w:t xml:space="preserve"> señaló</w:t>
      </w:r>
      <w:r w:rsidRPr="00A07AF9">
        <w:rPr>
          <w:rFonts w:ascii="ITC Avant Garde" w:hAnsi="ITC Avant Garde"/>
          <w:bCs/>
          <w:color w:val="000000"/>
          <w:lang w:eastAsia="es-MX"/>
        </w:rPr>
        <w:t xml:space="preserve"> la intención de su representada de </w:t>
      </w:r>
      <w:r w:rsidR="0093798E" w:rsidRPr="00A07AF9">
        <w:rPr>
          <w:rFonts w:ascii="ITC Avant Garde" w:hAnsi="ITC Avant Garde"/>
          <w:bCs/>
          <w:color w:val="000000"/>
          <w:lang w:eastAsia="es-MX"/>
        </w:rPr>
        <w:t xml:space="preserve">llevar a cabo la </w:t>
      </w:r>
      <w:r w:rsidR="006B0BA5" w:rsidRPr="00A07AF9">
        <w:rPr>
          <w:rFonts w:ascii="ITC Avant Garde" w:hAnsi="ITC Avant Garde"/>
          <w:bCs/>
          <w:color w:val="000000"/>
          <w:lang w:eastAsia="es-MX"/>
        </w:rPr>
        <w:t>enaje</w:t>
      </w:r>
      <w:r w:rsidR="0093798E" w:rsidRPr="00A07AF9">
        <w:rPr>
          <w:rFonts w:ascii="ITC Avant Garde" w:hAnsi="ITC Avant Garde"/>
          <w:bCs/>
          <w:color w:val="000000"/>
          <w:lang w:eastAsia="es-MX"/>
        </w:rPr>
        <w:t>nación</w:t>
      </w:r>
      <w:r w:rsidR="006B0BA5" w:rsidRPr="00A07AF9">
        <w:rPr>
          <w:rFonts w:ascii="ITC Avant Garde" w:hAnsi="ITC Avant Garde"/>
          <w:bCs/>
          <w:color w:val="000000"/>
          <w:lang w:eastAsia="es-MX"/>
        </w:rPr>
        <w:t xml:space="preserve"> </w:t>
      </w:r>
      <w:r w:rsidR="0093798E" w:rsidRPr="00A07AF9">
        <w:rPr>
          <w:rFonts w:ascii="ITC Avant Garde" w:hAnsi="ITC Avant Garde"/>
          <w:bCs/>
          <w:color w:val="000000"/>
          <w:lang w:eastAsia="es-MX"/>
        </w:rPr>
        <w:t xml:space="preserve">de </w:t>
      </w:r>
      <w:r w:rsidR="006B0BA5" w:rsidRPr="00A07AF9">
        <w:rPr>
          <w:rFonts w:ascii="ITC Avant Garde" w:hAnsi="ITC Avant Garde"/>
          <w:bCs/>
          <w:color w:val="000000"/>
          <w:lang w:eastAsia="es-MX"/>
        </w:rPr>
        <w:t xml:space="preserve">acciones de la empresa, propiedad del C. Marco Antonio Daniel Hernández Ramírez, a favor de los CC. Armando Daniel Hernández García y Daniela García </w:t>
      </w:r>
      <w:proofErr w:type="spellStart"/>
      <w:r w:rsidR="006B0BA5" w:rsidRPr="00A07AF9">
        <w:rPr>
          <w:rFonts w:ascii="ITC Avant Garde" w:hAnsi="ITC Avant Garde"/>
          <w:bCs/>
          <w:color w:val="000000"/>
          <w:lang w:eastAsia="es-MX"/>
        </w:rPr>
        <w:t>Nocetti</w:t>
      </w:r>
      <w:proofErr w:type="spellEnd"/>
      <w:r w:rsidRPr="00A07AF9">
        <w:rPr>
          <w:rFonts w:ascii="ITC Avant Garde" w:hAnsi="ITC Avant Garde"/>
          <w:bCs/>
          <w:color w:val="000000"/>
          <w:lang w:eastAsia="es-MX"/>
        </w:rPr>
        <w:t xml:space="preserve"> (la “Solicitud de Enajenación de Acciones”).</w:t>
      </w:r>
    </w:p>
    <w:p w14:paraId="2EEE6ADB" w14:textId="77777777" w:rsidR="00A07AF9" w:rsidRPr="00A07AF9" w:rsidRDefault="005E24CA" w:rsidP="00CA205F">
      <w:pPr>
        <w:spacing w:afterLines="120" w:after="288" w:line="240" w:lineRule="auto"/>
        <w:ind w:left="567"/>
        <w:jc w:val="both"/>
        <w:rPr>
          <w:rFonts w:ascii="ITC Avant Garde" w:hAnsi="ITC Avant Garde"/>
          <w:bCs/>
          <w:color w:val="000000"/>
          <w:lang w:eastAsia="es-MX"/>
        </w:rPr>
      </w:pPr>
      <w:r w:rsidRPr="00A07AF9">
        <w:rPr>
          <w:rFonts w:ascii="ITC Avant Garde" w:hAnsi="ITC Avant Garde"/>
          <w:bCs/>
          <w:color w:val="000000"/>
          <w:lang w:eastAsia="es-MX"/>
        </w:rPr>
        <w:t>Posteriormente, e</w:t>
      </w:r>
      <w:r w:rsidR="005C6823" w:rsidRPr="00A07AF9">
        <w:rPr>
          <w:rFonts w:ascii="ITC Avant Garde" w:hAnsi="ITC Avant Garde"/>
          <w:bCs/>
          <w:color w:val="000000"/>
          <w:lang w:eastAsia="es-MX"/>
        </w:rPr>
        <w:t>l 10 de agosto de 2016</w:t>
      </w:r>
      <w:r w:rsidR="00162C15" w:rsidRPr="00A07AF9">
        <w:rPr>
          <w:rFonts w:ascii="ITC Avant Garde" w:hAnsi="ITC Avant Garde"/>
          <w:bCs/>
          <w:color w:val="000000"/>
          <w:lang w:eastAsia="es-MX"/>
        </w:rPr>
        <w:t>,</w:t>
      </w:r>
      <w:r w:rsidR="005C6823" w:rsidRPr="00A07AF9">
        <w:rPr>
          <w:rFonts w:ascii="ITC Avant Garde" w:hAnsi="ITC Avant Garde"/>
          <w:bCs/>
          <w:color w:val="000000"/>
          <w:lang w:eastAsia="es-MX"/>
        </w:rPr>
        <w:t xml:space="preserve"> el representante legal de Promoción y Asesoría Integral de Telecomunicaciones, S.C., presentó </w:t>
      </w:r>
      <w:r w:rsidRPr="00A07AF9">
        <w:rPr>
          <w:rFonts w:ascii="ITC Avant Garde" w:hAnsi="ITC Avant Garde"/>
          <w:bCs/>
          <w:color w:val="000000"/>
          <w:lang w:eastAsia="es-MX"/>
        </w:rPr>
        <w:t xml:space="preserve">ante el Instituto </w:t>
      </w:r>
      <w:r w:rsidR="00D24C39" w:rsidRPr="00A07AF9">
        <w:rPr>
          <w:rFonts w:ascii="ITC Avant Garde" w:hAnsi="ITC Avant Garde"/>
          <w:bCs/>
          <w:color w:val="000000"/>
          <w:lang w:eastAsia="es-MX"/>
        </w:rPr>
        <w:t>el pago de derechos por el trámite relativo al estudio y, en su caso, la autorización de las solicitudes de modificaciones técnicas, administrativas, opera</w:t>
      </w:r>
      <w:r w:rsidR="00162C15" w:rsidRPr="00A07AF9">
        <w:rPr>
          <w:rFonts w:ascii="ITC Avant Garde" w:hAnsi="ITC Avant Garde"/>
          <w:bCs/>
          <w:color w:val="000000"/>
          <w:lang w:eastAsia="es-MX"/>
        </w:rPr>
        <w:t>tivas y legales, relativo</w:t>
      </w:r>
      <w:r w:rsidR="00D24C39" w:rsidRPr="00A07AF9">
        <w:rPr>
          <w:rFonts w:ascii="ITC Avant Garde" w:hAnsi="ITC Avant Garde"/>
          <w:bCs/>
          <w:color w:val="000000"/>
          <w:lang w:eastAsia="es-MX"/>
        </w:rPr>
        <w:t xml:space="preserve"> a la enajenación de acciones</w:t>
      </w:r>
      <w:r w:rsidR="005C6823" w:rsidRPr="00A07AF9">
        <w:rPr>
          <w:rFonts w:ascii="ITC Avant Garde" w:hAnsi="ITC Avant Garde"/>
          <w:bCs/>
          <w:color w:val="000000"/>
          <w:lang w:eastAsia="es-MX"/>
        </w:rPr>
        <w:t>.</w:t>
      </w:r>
    </w:p>
    <w:p w14:paraId="35EA2F55" w14:textId="77777777" w:rsidR="00A07AF9" w:rsidRPr="00A07AF9" w:rsidRDefault="00581FDE" w:rsidP="00CA205F">
      <w:pPr>
        <w:numPr>
          <w:ilvl w:val="0"/>
          <w:numId w:val="4"/>
        </w:numPr>
        <w:spacing w:afterLines="120" w:after="288" w:line="240" w:lineRule="auto"/>
        <w:ind w:left="567" w:hanging="567"/>
        <w:jc w:val="both"/>
        <w:rPr>
          <w:rFonts w:ascii="ITC Avant Garde" w:hAnsi="ITC Avant Garde"/>
          <w:bCs/>
          <w:color w:val="000000"/>
          <w:lang w:eastAsia="es-MX"/>
        </w:rPr>
      </w:pPr>
      <w:r w:rsidRPr="00A07AF9">
        <w:rPr>
          <w:rFonts w:ascii="ITC Avant Garde" w:hAnsi="ITC Avant Garde"/>
          <w:b/>
          <w:bCs/>
          <w:color w:val="000000"/>
          <w:lang w:eastAsia="es-MX"/>
        </w:rPr>
        <w:lastRenderedPageBreak/>
        <w:t xml:space="preserve">Solicitud de Opinión Técnica. </w:t>
      </w:r>
      <w:r w:rsidR="001E7950" w:rsidRPr="00A07AF9">
        <w:rPr>
          <w:rFonts w:ascii="ITC Avant Garde" w:hAnsi="ITC Avant Garde"/>
          <w:bCs/>
          <w:color w:val="000000"/>
          <w:lang w:eastAsia="es-MX"/>
        </w:rPr>
        <w:t>Mediante oficio IFT/</w:t>
      </w:r>
      <w:r w:rsidR="00141FE7" w:rsidRPr="00A07AF9">
        <w:rPr>
          <w:rFonts w:ascii="ITC Avant Garde" w:hAnsi="ITC Avant Garde"/>
          <w:bCs/>
          <w:color w:val="000000"/>
          <w:lang w:eastAsia="es-MX"/>
        </w:rPr>
        <w:t>223/UCS</w:t>
      </w:r>
      <w:r w:rsidR="001E7950" w:rsidRPr="00A07AF9">
        <w:rPr>
          <w:rFonts w:ascii="ITC Avant Garde" w:hAnsi="ITC Avant Garde"/>
          <w:bCs/>
          <w:color w:val="000000"/>
          <w:lang w:eastAsia="es-MX"/>
        </w:rPr>
        <w:t>/</w:t>
      </w:r>
      <w:r w:rsidR="00377790" w:rsidRPr="00A07AF9">
        <w:rPr>
          <w:rFonts w:ascii="ITC Avant Garde" w:hAnsi="ITC Avant Garde"/>
          <w:bCs/>
          <w:color w:val="000000"/>
          <w:lang w:eastAsia="es-MX"/>
        </w:rPr>
        <w:t>1289</w:t>
      </w:r>
      <w:r w:rsidR="001E7950" w:rsidRPr="00A07AF9">
        <w:rPr>
          <w:rFonts w:ascii="ITC Avant Garde" w:hAnsi="ITC Avant Garde"/>
          <w:bCs/>
          <w:color w:val="000000"/>
          <w:lang w:eastAsia="es-MX"/>
        </w:rPr>
        <w:t>/201</w:t>
      </w:r>
      <w:r w:rsidR="00377790" w:rsidRPr="00A07AF9">
        <w:rPr>
          <w:rFonts w:ascii="ITC Avant Garde" w:hAnsi="ITC Avant Garde"/>
          <w:bCs/>
          <w:color w:val="000000"/>
          <w:lang w:eastAsia="es-MX"/>
        </w:rPr>
        <w:t>6</w:t>
      </w:r>
      <w:r w:rsidR="001E7950" w:rsidRPr="00A07AF9">
        <w:rPr>
          <w:rFonts w:ascii="ITC Avant Garde" w:hAnsi="ITC Avant Garde"/>
          <w:bCs/>
          <w:color w:val="000000"/>
          <w:lang w:eastAsia="es-MX"/>
        </w:rPr>
        <w:t xml:space="preserve"> notificado el</w:t>
      </w:r>
      <w:r w:rsidRPr="00A07AF9">
        <w:rPr>
          <w:rFonts w:ascii="ITC Avant Garde" w:hAnsi="ITC Avant Garde"/>
          <w:bCs/>
          <w:color w:val="000000"/>
          <w:lang w:eastAsia="es-MX"/>
        </w:rPr>
        <w:t xml:space="preserve"> </w:t>
      </w:r>
      <w:r w:rsidR="00377790" w:rsidRPr="00A07AF9">
        <w:rPr>
          <w:rFonts w:ascii="ITC Avant Garde" w:hAnsi="ITC Avant Garde"/>
          <w:bCs/>
          <w:color w:val="000000"/>
          <w:lang w:eastAsia="es-MX"/>
        </w:rPr>
        <w:t>15</w:t>
      </w:r>
      <w:r w:rsidR="004125E6" w:rsidRPr="00A07AF9">
        <w:rPr>
          <w:rFonts w:ascii="ITC Avant Garde" w:hAnsi="ITC Avant Garde"/>
          <w:bCs/>
          <w:color w:val="000000"/>
          <w:lang w:eastAsia="es-MX"/>
        </w:rPr>
        <w:t xml:space="preserve"> de </w:t>
      </w:r>
      <w:r w:rsidR="00377790" w:rsidRPr="00A07AF9">
        <w:rPr>
          <w:rFonts w:ascii="ITC Avant Garde" w:hAnsi="ITC Avant Garde"/>
          <w:bCs/>
          <w:color w:val="000000"/>
          <w:lang w:eastAsia="es-MX"/>
        </w:rPr>
        <w:t>agosto</w:t>
      </w:r>
      <w:r w:rsidRPr="00A07AF9">
        <w:rPr>
          <w:rFonts w:ascii="ITC Avant Garde" w:hAnsi="ITC Avant Garde"/>
          <w:bCs/>
          <w:color w:val="000000"/>
          <w:lang w:eastAsia="es-MX"/>
        </w:rPr>
        <w:t xml:space="preserve"> de 201</w:t>
      </w:r>
      <w:r w:rsidR="00377790" w:rsidRPr="00A07AF9">
        <w:rPr>
          <w:rFonts w:ascii="ITC Avant Garde" w:hAnsi="ITC Avant Garde"/>
          <w:bCs/>
          <w:color w:val="000000"/>
          <w:lang w:eastAsia="es-MX"/>
        </w:rPr>
        <w:t>6</w:t>
      </w:r>
      <w:r w:rsidRPr="00A07AF9">
        <w:rPr>
          <w:rFonts w:ascii="ITC Avant Garde" w:hAnsi="ITC Avant Garde"/>
          <w:bCs/>
          <w:color w:val="000000"/>
          <w:lang w:eastAsia="es-MX"/>
        </w:rPr>
        <w:t xml:space="preserve">, </w:t>
      </w:r>
      <w:r w:rsidR="00141FE7" w:rsidRPr="00A07AF9">
        <w:rPr>
          <w:rFonts w:ascii="ITC Avant Garde" w:hAnsi="ITC Avant Garde"/>
          <w:bCs/>
          <w:color w:val="000000"/>
          <w:lang w:eastAsia="es-MX"/>
        </w:rPr>
        <w:t>la Unidad de Concesiones y Servicio</w:t>
      </w:r>
      <w:r w:rsidR="00CB4DA2" w:rsidRPr="00A07AF9">
        <w:rPr>
          <w:rFonts w:ascii="ITC Avant Garde" w:hAnsi="ITC Avant Garde"/>
          <w:bCs/>
          <w:color w:val="000000"/>
          <w:lang w:eastAsia="es-MX"/>
        </w:rPr>
        <w:t>s</w:t>
      </w:r>
      <w:r w:rsidR="00141FE7" w:rsidRPr="00A07AF9">
        <w:rPr>
          <w:rFonts w:ascii="ITC Avant Garde" w:hAnsi="ITC Avant Garde"/>
          <w:bCs/>
          <w:color w:val="000000"/>
          <w:lang w:eastAsia="es-MX"/>
        </w:rPr>
        <w:t xml:space="preserve"> del</w:t>
      </w:r>
      <w:r w:rsidRPr="00A07AF9">
        <w:rPr>
          <w:rFonts w:ascii="ITC Avant Garde" w:hAnsi="ITC Avant Garde"/>
          <w:bCs/>
          <w:color w:val="000000"/>
          <w:lang w:eastAsia="es-MX"/>
        </w:rPr>
        <w:t xml:space="preserve"> Instituto solicitó a la Secretaría</w:t>
      </w:r>
      <w:r w:rsidR="00F514BE" w:rsidRPr="00A07AF9">
        <w:rPr>
          <w:rFonts w:ascii="ITC Avant Garde" w:hAnsi="ITC Avant Garde"/>
          <w:bCs/>
          <w:color w:val="000000"/>
          <w:lang w:eastAsia="es-MX"/>
        </w:rPr>
        <w:t xml:space="preserve"> de Comunicaciones y Transportes (la “Secretaría”)</w:t>
      </w:r>
      <w:r w:rsidR="00162C15" w:rsidRPr="00A07AF9">
        <w:rPr>
          <w:rFonts w:ascii="ITC Avant Garde" w:hAnsi="ITC Avant Garde"/>
          <w:bCs/>
          <w:color w:val="000000"/>
          <w:lang w:eastAsia="es-MX"/>
        </w:rPr>
        <w:t>,</w:t>
      </w:r>
      <w:r w:rsidR="00F514BE" w:rsidRPr="00A07AF9">
        <w:rPr>
          <w:rFonts w:ascii="ITC Avant Garde" w:hAnsi="ITC Avant Garde"/>
          <w:bCs/>
          <w:color w:val="000000"/>
          <w:lang w:eastAsia="es-MX"/>
        </w:rPr>
        <w:t xml:space="preserve"> </w:t>
      </w:r>
      <w:r w:rsidRPr="00A07AF9">
        <w:rPr>
          <w:rFonts w:ascii="ITC Avant Garde" w:hAnsi="ITC Avant Garde"/>
          <w:bCs/>
          <w:color w:val="000000"/>
          <w:lang w:eastAsia="es-MX"/>
        </w:rPr>
        <w:t xml:space="preserve">la opinión técnica correspondiente a la </w:t>
      </w:r>
      <w:r w:rsidR="004125E6" w:rsidRPr="00A07AF9">
        <w:rPr>
          <w:rFonts w:ascii="ITC Avant Garde" w:hAnsi="ITC Avant Garde"/>
          <w:bCs/>
          <w:color w:val="000000"/>
          <w:lang w:eastAsia="es-MX"/>
        </w:rPr>
        <w:t>Solicitud de Enajenación de Acciones</w:t>
      </w:r>
      <w:r w:rsidRPr="00A07AF9">
        <w:rPr>
          <w:rFonts w:ascii="ITC Avant Garde" w:hAnsi="ITC Avant Garde"/>
          <w:bCs/>
          <w:color w:val="000000"/>
          <w:lang w:eastAsia="es-MX"/>
        </w:rPr>
        <w:t xml:space="preserve">, de conformidad con lo establecido </w:t>
      </w:r>
      <w:r w:rsidR="00162C15" w:rsidRPr="00A07AF9">
        <w:rPr>
          <w:rFonts w:ascii="ITC Avant Garde" w:hAnsi="ITC Avant Garde"/>
          <w:bCs/>
          <w:color w:val="000000"/>
          <w:lang w:eastAsia="es-MX"/>
        </w:rPr>
        <w:t xml:space="preserve">por los </w:t>
      </w:r>
      <w:r w:rsidRPr="00A07AF9">
        <w:rPr>
          <w:rFonts w:ascii="ITC Avant Garde" w:hAnsi="ITC Avant Garde"/>
          <w:bCs/>
          <w:color w:val="000000"/>
          <w:lang w:eastAsia="es-MX"/>
        </w:rPr>
        <w:t>artículo</w:t>
      </w:r>
      <w:r w:rsidR="00162C15" w:rsidRPr="00A07AF9">
        <w:rPr>
          <w:rFonts w:ascii="ITC Avant Garde" w:hAnsi="ITC Avant Garde"/>
          <w:bCs/>
          <w:color w:val="000000"/>
          <w:lang w:eastAsia="es-MX"/>
        </w:rPr>
        <w:t>s</w:t>
      </w:r>
      <w:r w:rsidRPr="00A07AF9">
        <w:rPr>
          <w:rFonts w:ascii="ITC Avant Garde" w:hAnsi="ITC Avant Garde"/>
          <w:bCs/>
          <w:color w:val="000000"/>
          <w:lang w:eastAsia="es-MX"/>
        </w:rPr>
        <w:t xml:space="preserve"> 28</w:t>
      </w:r>
      <w:r w:rsidR="00162C15" w:rsidRPr="00A07AF9">
        <w:rPr>
          <w:rFonts w:ascii="ITC Avant Garde" w:hAnsi="ITC Avant Garde"/>
          <w:bCs/>
          <w:color w:val="000000"/>
          <w:lang w:eastAsia="es-MX"/>
        </w:rPr>
        <w:t>,</w:t>
      </w:r>
      <w:r w:rsidRPr="00A07AF9">
        <w:rPr>
          <w:rFonts w:ascii="ITC Avant Garde" w:hAnsi="ITC Avant Garde"/>
          <w:bCs/>
          <w:color w:val="000000"/>
          <w:lang w:eastAsia="es-MX"/>
        </w:rPr>
        <w:t xml:space="preserve"> párrafo décimo séptimo</w:t>
      </w:r>
      <w:r w:rsidR="00162C15" w:rsidRPr="00A07AF9">
        <w:rPr>
          <w:rFonts w:ascii="ITC Avant Garde" w:hAnsi="ITC Avant Garde"/>
          <w:bCs/>
          <w:color w:val="000000"/>
          <w:lang w:eastAsia="es-MX"/>
        </w:rPr>
        <w:t>,</w:t>
      </w:r>
      <w:r w:rsidRPr="00A07AF9">
        <w:rPr>
          <w:rFonts w:ascii="ITC Avant Garde" w:hAnsi="ITC Avant Garde"/>
          <w:bCs/>
          <w:color w:val="000000"/>
          <w:lang w:eastAsia="es-MX"/>
        </w:rPr>
        <w:t xml:space="preserve"> de la Constitución Política de los Estados Unidos Mexicanos (la “Constitución”)</w:t>
      </w:r>
      <w:r w:rsidR="00162C15" w:rsidRPr="00A07AF9">
        <w:rPr>
          <w:rFonts w:ascii="ITC Avant Garde" w:hAnsi="ITC Avant Garde"/>
          <w:bCs/>
          <w:color w:val="000000"/>
          <w:lang w:eastAsia="es-MX"/>
        </w:rPr>
        <w:t xml:space="preserve"> y </w:t>
      </w:r>
      <w:r w:rsidR="00377790" w:rsidRPr="00A07AF9">
        <w:rPr>
          <w:rFonts w:ascii="ITC Avant Garde" w:hAnsi="ITC Avant Garde"/>
          <w:bCs/>
          <w:color w:val="000000"/>
          <w:lang w:eastAsia="es-MX"/>
        </w:rPr>
        <w:t>112, párrafo segundo, fracción II, de la Ley Federal de Telecomunicaciones y Radiodifusión (la “Ley”)</w:t>
      </w:r>
      <w:r w:rsidR="001E7950" w:rsidRPr="00A07AF9">
        <w:rPr>
          <w:rFonts w:ascii="ITC Avant Garde" w:hAnsi="ITC Avant Garde"/>
          <w:bCs/>
          <w:color w:val="000000"/>
          <w:lang w:eastAsia="es-MX"/>
        </w:rPr>
        <w:t>.</w:t>
      </w:r>
    </w:p>
    <w:p w14:paraId="0678757E" w14:textId="77777777" w:rsidR="00A07AF9" w:rsidRPr="00A07AF9" w:rsidRDefault="00E317F7" w:rsidP="00CA205F">
      <w:pPr>
        <w:numPr>
          <w:ilvl w:val="0"/>
          <w:numId w:val="4"/>
        </w:numPr>
        <w:spacing w:afterLines="120" w:after="288" w:line="240" w:lineRule="auto"/>
        <w:ind w:left="567" w:hanging="567"/>
        <w:jc w:val="both"/>
        <w:rPr>
          <w:rFonts w:ascii="ITC Avant Garde" w:hAnsi="ITC Avant Garde"/>
          <w:bCs/>
          <w:color w:val="000000"/>
          <w:lang w:eastAsia="es-MX"/>
        </w:rPr>
      </w:pPr>
      <w:r w:rsidRPr="00A07AF9">
        <w:rPr>
          <w:rFonts w:ascii="ITC Avant Garde" w:hAnsi="ITC Avant Garde"/>
          <w:b/>
          <w:bCs/>
          <w:color w:val="000000"/>
          <w:lang w:eastAsia="es-MX"/>
        </w:rPr>
        <w:t xml:space="preserve">Opinión en Materia de Competencia Económica. </w:t>
      </w:r>
      <w:r w:rsidRPr="00A07AF9">
        <w:rPr>
          <w:rFonts w:ascii="ITC Avant Garde" w:hAnsi="ITC Avant Garde"/>
          <w:bCs/>
          <w:color w:val="000000"/>
          <w:lang w:eastAsia="es-MX"/>
        </w:rPr>
        <w:t>El 24 de agosto de 2016</w:t>
      </w:r>
      <w:r w:rsidR="000B11A2" w:rsidRPr="00A07AF9">
        <w:rPr>
          <w:rFonts w:ascii="ITC Avant Garde" w:hAnsi="ITC Avant Garde"/>
          <w:bCs/>
          <w:color w:val="000000"/>
          <w:lang w:eastAsia="es-MX"/>
        </w:rPr>
        <w:t>,</w:t>
      </w:r>
      <w:r w:rsidRPr="00A07AF9">
        <w:rPr>
          <w:rFonts w:ascii="ITC Avant Garde" w:hAnsi="ITC Avant Garde"/>
          <w:bCs/>
          <w:color w:val="000000"/>
          <w:lang w:eastAsia="es-MX"/>
        </w:rPr>
        <w:t xml:space="preserve"> la U</w:t>
      </w:r>
      <w:r w:rsidR="00F514BE" w:rsidRPr="00A07AF9">
        <w:rPr>
          <w:rFonts w:ascii="ITC Avant Garde" w:hAnsi="ITC Avant Garde"/>
          <w:bCs/>
          <w:color w:val="000000"/>
          <w:lang w:eastAsia="es-MX"/>
        </w:rPr>
        <w:t xml:space="preserve">nidad de </w:t>
      </w:r>
      <w:r w:rsidRPr="00A07AF9">
        <w:rPr>
          <w:rFonts w:ascii="ITC Avant Garde" w:hAnsi="ITC Avant Garde"/>
          <w:bCs/>
          <w:color w:val="000000"/>
          <w:lang w:eastAsia="es-MX"/>
        </w:rPr>
        <w:t>C</w:t>
      </w:r>
      <w:r w:rsidR="00F514BE" w:rsidRPr="00A07AF9">
        <w:rPr>
          <w:rFonts w:ascii="ITC Avant Garde" w:hAnsi="ITC Avant Garde"/>
          <w:bCs/>
          <w:color w:val="000000"/>
          <w:lang w:eastAsia="es-MX"/>
        </w:rPr>
        <w:t xml:space="preserve">ompetencia </w:t>
      </w:r>
      <w:r w:rsidRPr="00A07AF9">
        <w:rPr>
          <w:rFonts w:ascii="ITC Avant Garde" w:hAnsi="ITC Avant Garde"/>
          <w:bCs/>
          <w:color w:val="000000"/>
          <w:lang w:eastAsia="es-MX"/>
        </w:rPr>
        <w:t>E</w:t>
      </w:r>
      <w:r w:rsidR="000B11A2" w:rsidRPr="00A07AF9">
        <w:rPr>
          <w:rFonts w:ascii="ITC Avant Garde" w:hAnsi="ITC Avant Garde"/>
          <w:bCs/>
          <w:color w:val="000000"/>
          <w:lang w:eastAsia="es-MX"/>
        </w:rPr>
        <w:t>conómica</w:t>
      </w:r>
      <w:r w:rsidR="00162C15" w:rsidRPr="00A07AF9">
        <w:rPr>
          <w:rFonts w:ascii="ITC Avant Garde" w:hAnsi="ITC Avant Garde"/>
          <w:bCs/>
          <w:color w:val="000000"/>
          <w:lang w:eastAsia="es-MX"/>
        </w:rPr>
        <w:t>, a través de la Dirección General de Concentraciones y Concesiones, mediante oficio IFT/226/UCE/DG-CCON/342/2016</w:t>
      </w:r>
      <w:r w:rsidRPr="00A07AF9">
        <w:rPr>
          <w:rFonts w:ascii="ITC Avant Garde" w:hAnsi="ITC Avant Garde"/>
          <w:bCs/>
          <w:color w:val="000000"/>
          <w:lang w:eastAsia="es-MX"/>
        </w:rPr>
        <w:t xml:space="preserve">, </w:t>
      </w:r>
      <w:r w:rsidR="00F514BE" w:rsidRPr="00A07AF9">
        <w:rPr>
          <w:rFonts w:ascii="ITC Avant Garde" w:hAnsi="ITC Avant Garde"/>
          <w:bCs/>
          <w:color w:val="000000"/>
          <w:lang w:eastAsia="es-MX"/>
        </w:rPr>
        <w:t>emitió</w:t>
      </w:r>
      <w:r w:rsidRPr="00A07AF9">
        <w:rPr>
          <w:rFonts w:ascii="ITC Avant Garde" w:hAnsi="ITC Avant Garde"/>
          <w:bCs/>
          <w:color w:val="000000"/>
          <w:lang w:eastAsia="es-MX"/>
        </w:rPr>
        <w:t xml:space="preserve"> opinión en materia de competencia económica</w:t>
      </w:r>
      <w:r w:rsidR="000B11A2" w:rsidRPr="00A07AF9">
        <w:rPr>
          <w:rFonts w:ascii="ITC Avant Garde" w:hAnsi="ITC Avant Garde"/>
          <w:bCs/>
          <w:color w:val="000000"/>
          <w:lang w:eastAsia="es-MX"/>
        </w:rPr>
        <w:t xml:space="preserve"> en sentido favorable</w:t>
      </w:r>
      <w:r w:rsidRPr="00A07AF9">
        <w:rPr>
          <w:rFonts w:ascii="ITC Avant Garde" w:hAnsi="ITC Avant Garde"/>
          <w:bCs/>
          <w:color w:val="000000"/>
          <w:lang w:eastAsia="es-MX"/>
        </w:rPr>
        <w:t xml:space="preserve"> respecto de la Solicitud de Enajenación de Acciones.</w:t>
      </w:r>
    </w:p>
    <w:p w14:paraId="70D986FE" w14:textId="77777777" w:rsidR="00A07AF9" w:rsidRPr="00A07AF9" w:rsidRDefault="00DD1F51" w:rsidP="00CA205F">
      <w:pPr>
        <w:numPr>
          <w:ilvl w:val="0"/>
          <w:numId w:val="4"/>
        </w:numPr>
        <w:spacing w:afterLines="120" w:after="288" w:line="240" w:lineRule="auto"/>
        <w:ind w:left="567" w:hanging="567"/>
        <w:jc w:val="both"/>
        <w:rPr>
          <w:rFonts w:ascii="ITC Avant Garde" w:hAnsi="ITC Avant Garde"/>
          <w:bCs/>
          <w:color w:val="000000"/>
          <w:lang w:eastAsia="es-MX"/>
        </w:rPr>
      </w:pPr>
      <w:r w:rsidRPr="00A07AF9">
        <w:rPr>
          <w:rFonts w:ascii="ITC Avant Garde" w:hAnsi="ITC Avant Garde"/>
          <w:b/>
          <w:bCs/>
          <w:color w:val="000000"/>
          <w:lang w:eastAsia="es-MX"/>
        </w:rPr>
        <w:t xml:space="preserve">Opinión Técnica de la Secretaría. </w:t>
      </w:r>
      <w:r w:rsidRPr="00A07AF9">
        <w:rPr>
          <w:rFonts w:ascii="ITC Avant Garde" w:hAnsi="ITC Avant Garde"/>
          <w:bCs/>
          <w:color w:val="000000"/>
          <w:lang w:eastAsia="es-MX"/>
        </w:rPr>
        <w:t xml:space="preserve">El 21 de septiembre de 2016, mediante oficio 2.1.-557/2016 la Dirección General de Política de Telecomunicaciones y de Radiodifusión de la Secretaría, remitió al Instituto el oficio 1.-229 con la opinión técnica de dicha Dependencia, respecto de la </w:t>
      </w:r>
      <w:r w:rsidR="00206FA4" w:rsidRPr="00A07AF9">
        <w:rPr>
          <w:rFonts w:ascii="ITC Avant Garde" w:hAnsi="ITC Avant Garde"/>
          <w:bCs/>
          <w:color w:val="000000"/>
          <w:lang w:eastAsia="es-MX"/>
        </w:rPr>
        <w:t>Solicitud de Enajenación de Acciones, en sentido favorable.</w:t>
      </w:r>
    </w:p>
    <w:p w14:paraId="3BA1F8A4" w14:textId="77777777" w:rsidR="00A07AF9" w:rsidRPr="00A07AF9" w:rsidRDefault="00B048BA" w:rsidP="00CA205F">
      <w:pPr>
        <w:spacing w:afterLines="120" w:after="288" w:line="240" w:lineRule="auto"/>
        <w:jc w:val="both"/>
        <w:rPr>
          <w:rFonts w:ascii="ITC Avant Garde" w:hAnsi="ITC Avant Garde"/>
          <w:bCs/>
          <w:color w:val="000000" w:themeColor="text1"/>
          <w:lang w:eastAsia="es-MX"/>
        </w:rPr>
      </w:pPr>
      <w:r w:rsidRPr="00A07AF9">
        <w:rPr>
          <w:rFonts w:ascii="ITC Avant Garde" w:hAnsi="ITC Avant Garde"/>
          <w:bCs/>
          <w:color w:val="000000" w:themeColor="text1"/>
          <w:lang w:eastAsia="es-MX"/>
        </w:rPr>
        <w:t>En virtud de los Antecedentes referidos y,</w:t>
      </w:r>
    </w:p>
    <w:p w14:paraId="71BD2758" w14:textId="77777777" w:rsidR="00A07AF9" w:rsidRPr="00A07AF9" w:rsidRDefault="00B048BA" w:rsidP="00CA205F">
      <w:pPr>
        <w:pStyle w:val="Ttulo2"/>
        <w:spacing w:before="0" w:afterLines="120" w:after="288"/>
        <w:jc w:val="center"/>
        <w:rPr>
          <w:rFonts w:ascii="ITC Avant Garde" w:hAnsi="ITC Avant Garde"/>
          <w:b/>
          <w:color w:val="000000" w:themeColor="text1"/>
          <w:sz w:val="24"/>
          <w:szCs w:val="24"/>
        </w:rPr>
      </w:pPr>
      <w:r w:rsidRPr="00A07AF9">
        <w:rPr>
          <w:rFonts w:ascii="ITC Avant Garde" w:hAnsi="ITC Avant Garde"/>
          <w:b/>
          <w:color w:val="000000" w:themeColor="text1"/>
          <w:sz w:val="24"/>
          <w:szCs w:val="24"/>
        </w:rPr>
        <w:t>CONSIDERANDO</w:t>
      </w:r>
    </w:p>
    <w:p w14:paraId="6381133E" w14:textId="77777777" w:rsidR="00A07AF9" w:rsidRPr="00A07AF9" w:rsidRDefault="00B048BA" w:rsidP="00CA205F">
      <w:pPr>
        <w:autoSpaceDE w:val="0"/>
        <w:autoSpaceDN w:val="0"/>
        <w:adjustRightInd w:val="0"/>
        <w:spacing w:afterLines="120" w:after="288" w:line="240" w:lineRule="auto"/>
        <w:jc w:val="both"/>
        <w:rPr>
          <w:rFonts w:ascii="ITC Avant Garde" w:hAnsi="ITC Avant Garde"/>
          <w:bCs/>
          <w:color w:val="000000" w:themeColor="text1"/>
          <w:lang w:eastAsia="es-MX"/>
        </w:rPr>
      </w:pPr>
      <w:proofErr w:type="gramStart"/>
      <w:r w:rsidRPr="00A07AF9">
        <w:rPr>
          <w:rFonts w:ascii="ITC Avant Garde" w:hAnsi="ITC Avant Garde"/>
          <w:b/>
          <w:bCs/>
        </w:rPr>
        <w:t>Primero.-</w:t>
      </w:r>
      <w:proofErr w:type="gramEnd"/>
      <w:r w:rsidRPr="00A07AF9">
        <w:rPr>
          <w:rFonts w:ascii="ITC Avant Garde" w:hAnsi="ITC Avant Garde"/>
          <w:bCs/>
        </w:rPr>
        <w:t xml:space="preserve"> </w:t>
      </w:r>
      <w:r w:rsidRPr="00A07AF9">
        <w:rPr>
          <w:rFonts w:ascii="ITC Avant Garde" w:hAnsi="ITC Avant Garde"/>
          <w:b/>
          <w:bCs/>
        </w:rPr>
        <w:t>Competencia.</w:t>
      </w:r>
      <w:r w:rsidRPr="00A07AF9">
        <w:rPr>
          <w:rFonts w:ascii="ITC Avant Garde" w:hAnsi="ITC Avant Garde"/>
          <w:bCs/>
        </w:rPr>
        <w:t xml:space="preserve"> </w:t>
      </w:r>
      <w:r w:rsidR="00D04074" w:rsidRPr="00A07AF9">
        <w:rPr>
          <w:rFonts w:ascii="ITC Avant Garde" w:hAnsi="ITC Avant Garde"/>
          <w:bCs/>
          <w:color w:val="000000" w:themeColor="text1"/>
          <w:lang w:eastAsia="es-MX"/>
        </w:rPr>
        <w:t xml:space="preserve">Conforme lo dispone el artículo 28 párrafo décimo </w:t>
      </w:r>
      <w:r w:rsidR="003A59B8" w:rsidRPr="00A07AF9">
        <w:rPr>
          <w:rFonts w:ascii="ITC Avant Garde" w:hAnsi="ITC Avant Garde"/>
          <w:bCs/>
          <w:color w:val="000000" w:themeColor="text1"/>
          <w:lang w:eastAsia="es-MX"/>
        </w:rPr>
        <w:t>séptimo</w:t>
      </w:r>
      <w:r w:rsidR="00D04074" w:rsidRPr="00A07AF9">
        <w:rPr>
          <w:rFonts w:ascii="ITC Avant Garde" w:hAnsi="ITC Avant Garde"/>
          <w:bCs/>
          <w:color w:val="000000" w:themeColor="text1"/>
          <w:lang w:eastAsia="es-MX"/>
        </w:rPr>
        <w:t xml:space="preserve"> de la Constitución, </w:t>
      </w:r>
      <w:r w:rsidR="00626EF3" w:rsidRPr="00A07AF9">
        <w:rPr>
          <w:rFonts w:ascii="ITC Avant Garde" w:hAnsi="ITC Avant Garde"/>
          <w:bCs/>
          <w:color w:val="000000" w:themeColor="text1"/>
          <w:lang w:eastAsia="es-MX"/>
        </w:rPr>
        <w:t>c</w:t>
      </w:r>
      <w:r w:rsidR="00F571C6" w:rsidRPr="00A07AF9">
        <w:rPr>
          <w:rFonts w:ascii="ITC Avant Garde" w:hAnsi="ITC Avant Garde"/>
          <w:bCs/>
          <w:color w:val="000000" w:themeColor="text1"/>
          <w:lang w:eastAsia="es-MX"/>
        </w:rPr>
        <w:t>orresponde al Instituto</w:t>
      </w:r>
      <w:r w:rsidR="007F33CB" w:rsidRPr="00A07AF9">
        <w:rPr>
          <w:rFonts w:ascii="ITC Avant Garde" w:hAnsi="ITC Avant Garde"/>
          <w:bCs/>
          <w:color w:val="000000" w:themeColor="text1"/>
          <w:lang w:eastAsia="es-MX"/>
        </w:rPr>
        <w:t xml:space="preserve"> el otorgamiento, la revocación, así como la autorización de cesiones o cambios de control accionario, titularidad u operación de sociedades relacionadas con concesiones en materia de radiodifusión y telecomunicaciones</w:t>
      </w:r>
      <w:r w:rsidR="00D04074" w:rsidRPr="00A07AF9">
        <w:rPr>
          <w:rFonts w:ascii="ITC Avant Garde" w:hAnsi="ITC Avant Garde"/>
          <w:bCs/>
          <w:color w:val="000000" w:themeColor="text1"/>
          <w:lang w:eastAsia="es-MX"/>
        </w:rPr>
        <w:t>.</w:t>
      </w:r>
    </w:p>
    <w:p w14:paraId="5812BB6C" w14:textId="77777777" w:rsidR="00A07AF9" w:rsidRPr="00A07AF9" w:rsidRDefault="00A62AEA" w:rsidP="00CA205F">
      <w:pPr>
        <w:autoSpaceDE w:val="0"/>
        <w:autoSpaceDN w:val="0"/>
        <w:adjustRightInd w:val="0"/>
        <w:spacing w:afterLines="120" w:after="288" w:line="240" w:lineRule="auto"/>
        <w:jc w:val="both"/>
        <w:rPr>
          <w:rFonts w:ascii="ITC Avant Garde" w:hAnsi="ITC Avant Garde"/>
          <w:bCs/>
        </w:rPr>
      </w:pPr>
      <w:r w:rsidRPr="00A07AF9">
        <w:rPr>
          <w:rFonts w:ascii="ITC Avant Garde" w:hAnsi="ITC Avant Garde"/>
          <w:bCs/>
          <w:color w:val="000000" w:themeColor="text1"/>
          <w:lang w:eastAsia="es-MX"/>
        </w:rPr>
        <w:t>Asimismo,</w:t>
      </w:r>
      <w:r w:rsidR="006376CC" w:rsidRPr="00A07AF9">
        <w:rPr>
          <w:rFonts w:ascii="ITC Avant Garde" w:hAnsi="ITC Avant Garde"/>
          <w:bCs/>
          <w:color w:val="000000" w:themeColor="text1"/>
          <w:lang w:eastAsia="es-MX"/>
        </w:rPr>
        <w:t xml:space="preserve"> de conformidad con el párrafo</w:t>
      </w:r>
      <w:r w:rsidR="006376CC" w:rsidRPr="00A07AF9">
        <w:rPr>
          <w:rFonts w:ascii="ITC Avant Garde" w:hAnsi="ITC Avant Garde"/>
          <w:bCs/>
        </w:rPr>
        <w:t xml:space="preserve"> décimo sexto del citado artículo,</w:t>
      </w:r>
      <w:r w:rsidRPr="00A07AF9">
        <w:rPr>
          <w:rFonts w:ascii="ITC Avant Garde" w:hAnsi="ITC Avant Garde"/>
          <w:bCs/>
        </w:rPr>
        <w:t xml:space="preserve"> el Instituto es la autoridad en materia de competencia económica </w:t>
      </w:r>
      <w:r w:rsidR="008D427F" w:rsidRPr="00A07AF9">
        <w:rPr>
          <w:rFonts w:ascii="ITC Avant Garde" w:hAnsi="ITC Avant Garde"/>
          <w:bCs/>
        </w:rPr>
        <w:t xml:space="preserve">en </w:t>
      </w:r>
      <w:r w:rsidRPr="00A07AF9">
        <w:rPr>
          <w:rFonts w:ascii="ITC Avant Garde" w:hAnsi="ITC Avant Garde"/>
          <w:bCs/>
        </w:rPr>
        <w:t xml:space="preserve">los sectores de </w:t>
      </w:r>
      <w:r w:rsidRPr="00A07AF9">
        <w:rPr>
          <w:rFonts w:ascii="ITC Avant Garde" w:hAnsi="ITC Avant Garde"/>
          <w:bCs/>
          <w:color w:val="000000" w:themeColor="text1"/>
          <w:lang w:eastAsia="es-MX"/>
        </w:rPr>
        <w:t>radiodifusión</w:t>
      </w:r>
      <w:r w:rsidRPr="00A07AF9">
        <w:rPr>
          <w:rFonts w:ascii="ITC Avant Garde" w:hAnsi="ITC Avant Garde"/>
          <w:bCs/>
        </w:rPr>
        <w:t xml:space="preserve"> y telecomunicaciones, por lo que entre otros aspectos, regulará de forma asimétrica a los participantes en estos mercados con el objeto de eliminar eficazmente las barreras a la competencia y la libre </w:t>
      </w:r>
      <w:r w:rsidR="00F571C6" w:rsidRPr="00A07AF9">
        <w:rPr>
          <w:rFonts w:ascii="ITC Avant Garde" w:hAnsi="ITC Avant Garde"/>
          <w:bCs/>
        </w:rPr>
        <w:t>concurrencia</w:t>
      </w:r>
      <w:r w:rsidRPr="00A07AF9">
        <w:rPr>
          <w:rFonts w:ascii="ITC Avant Garde" w:hAnsi="ITC Avant Garde"/>
          <w:bCs/>
        </w:rPr>
        <w:t xml:space="preserve">; impondrá límites al </w:t>
      </w:r>
      <w:proofErr w:type="spellStart"/>
      <w:r w:rsidRPr="00A07AF9">
        <w:rPr>
          <w:rFonts w:ascii="ITC Avant Garde" w:hAnsi="ITC Avant Garde"/>
          <w:bCs/>
        </w:rPr>
        <w:t>concesionamiento</w:t>
      </w:r>
      <w:proofErr w:type="spellEnd"/>
      <w:r w:rsidRPr="00A07AF9">
        <w:rPr>
          <w:rFonts w:ascii="ITC Avant Garde" w:hAnsi="ITC Avant Garde"/>
          <w:bCs/>
        </w:rPr>
        <w:t xml:space="preserve">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468FE1BA" w14:textId="77777777" w:rsidR="00A07AF9" w:rsidRPr="00A07AF9" w:rsidRDefault="000E4979" w:rsidP="00CA205F">
      <w:pPr>
        <w:autoSpaceDE w:val="0"/>
        <w:autoSpaceDN w:val="0"/>
        <w:adjustRightInd w:val="0"/>
        <w:spacing w:afterLines="120" w:after="288" w:line="240" w:lineRule="auto"/>
        <w:jc w:val="both"/>
        <w:rPr>
          <w:rFonts w:ascii="ITC Avant Garde" w:hAnsi="ITC Avant Garde"/>
          <w:bCs/>
        </w:rPr>
      </w:pPr>
      <w:r w:rsidRPr="00A07AF9">
        <w:rPr>
          <w:rFonts w:ascii="ITC Avant Garde" w:hAnsi="ITC Avant Garde"/>
          <w:bCs/>
        </w:rPr>
        <w:t>Ahora bien, e</w:t>
      </w:r>
      <w:r w:rsidR="00A675A4" w:rsidRPr="00A07AF9">
        <w:rPr>
          <w:rFonts w:ascii="ITC Avant Garde" w:hAnsi="ITC Avant Garde"/>
          <w:bCs/>
        </w:rPr>
        <w:t>l artículo 112 de la Ley establece que en cualquier supuesto de suscripción o enajenación de acciones o partes sociales en un acto o sucesión de actos, que represente el diez por ciento o más del monto de su capital social, y siempre que no se actualice la obligación de notificar la operación conforme a lo previsto en la Ley Federal de Competencia Económica</w:t>
      </w:r>
      <w:r w:rsidRPr="00A07AF9">
        <w:rPr>
          <w:rFonts w:ascii="ITC Avant Garde" w:hAnsi="ITC Avant Garde"/>
          <w:bCs/>
        </w:rPr>
        <w:t>,</w:t>
      </w:r>
      <w:r w:rsidR="00A675A4" w:rsidRPr="00A07AF9">
        <w:rPr>
          <w:rFonts w:ascii="ITC Avant Garde" w:hAnsi="ITC Avant Garde"/>
          <w:bCs/>
        </w:rPr>
        <w:t xml:space="preserve"> el concesionario estará obligado a dar aviso al Instituto de la intención de los interesados en realizar la suscripción o enajenación de las acciones </w:t>
      </w:r>
      <w:r w:rsidR="00A675A4" w:rsidRPr="00A07AF9">
        <w:rPr>
          <w:rFonts w:ascii="ITC Avant Garde" w:hAnsi="ITC Avant Garde"/>
          <w:bCs/>
        </w:rPr>
        <w:lastRenderedPageBreak/>
        <w:t>o partes sociales, ya sea directa o indirectamente, debiendo acompañar el aviso con la información detallada de las personas interesadas en adquirir las acciones o partes sociales.</w:t>
      </w:r>
    </w:p>
    <w:p w14:paraId="01BD7F7A" w14:textId="77777777" w:rsidR="00A07AF9" w:rsidRPr="00A07AF9" w:rsidRDefault="00D06882" w:rsidP="00CA205F">
      <w:pPr>
        <w:autoSpaceDE w:val="0"/>
        <w:autoSpaceDN w:val="0"/>
        <w:adjustRightInd w:val="0"/>
        <w:spacing w:afterLines="120" w:after="288" w:line="240" w:lineRule="auto"/>
        <w:jc w:val="both"/>
        <w:rPr>
          <w:rFonts w:ascii="ITC Avant Garde" w:hAnsi="ITC Avant Garde"/>
          <w:bCs/>
        </w:rPr>
      </w:pPr>
      <w:r w:rsidRPr="00A07AF9">
        <w:rPr>
          <w:rFonts w:ascii="ITC Avant Garde" w:hAnsi="ITC Avant Garde"/>
          <w:bCs/>
          <w:color w:val="000000" w:themeColor="text1"/>
          <w:lang w:eastAsia="es-MX"/>
        </w:rPr>
        <w:t>De igual manera</w:t>
      </w:r>
      <w:r w:rsidR="00BA5A10" w:rsidRPr="00A07AF9">
        <w:rPr>
          <w:rFonts w:ascii="ITC Avant Garde" w:hAnsi="ITC Avant Garde"/>
          <w:bCs/>
          <w:color w:val="000000" w:themeColor="text1"/>
          <w:lang w:eastAsia="es-MX"/>
        </w:rPr>
        <w:t>, corresponde al Pleno del Instituto conforme a lo establecido en los artículos 15 fracción IV y 17 fracción I de la Ley y 6</w:t>
      </w:r>
      <w:r w:rsidR="00526DC3" w:rsidRPr="00A07AF9">
        <w:rPr>
          <w:rFonts w:ascii="ITC Avant Garde" w:hAnsi="ITC Avant Garde"/>
          <w:bCs/>
          <w:color w:val="000000" w:themeColor="text1"/>
          <w:lang w:eastAsia="es-MX"/>
        </w:rPr>
        <w:t xml:space="preserve"> fracción XXXVII</w:t>
      </w:r>
      <w:r w:rsidR="00BA5A10" w:rsidRPr="00A07AF9">
        <w:rPr>
          <w:rFonts w:ascii="ITC Avant Garde" w:hAnsi="ITC Avant Garde"/>
          <w:bCs/>
          <w:color w:val="000000" w:themeColor="text1"/>
          <w:lang w:eastAsia="es-MX"/>
        </w:rPr>
        <w:t xml:space="preserve"> del Estatuto Orgánico, la facultad de autorizar cesiones o cambios de control accionario, titularidad u operación de sociedades relacionadas con concesiones</w:t>
      </w:r>
      <w:r w:rsidR="00D04074" w:rsidRPr="00A07AF9">
        <w:rPr>
          <w:rFonts w:ascii="ITC Avant Garde" w:hAnsi="ITC Avant Garde"/>
          <w:bCs/>
          <w:color w:val="000000" w:themeColor="text1"/>
          <w:lang w:eastAsia="es-MX"/>
        </w:rPr>
        <w:t>.</w:t>
      </w:r>
    </w:p>
    <w:p w14:paraId="160BF4D6" w14:textId="77777777" w:rsidR="00A07AF9" w:rsidRPr="00A07AF9" w:rsidRDefault="006E2D8C" w:rsidP="00CA205F">
      <w:pPr>
        <w:autoSpaceDE w:val="0"/>
        <w:autoSpaceDN w:val="0"/>
        <w:adjustRightInd w:val="0"/>
        <w:spacing w:afterLines="120" w:after="288" w:line="240" w:lineRule="auto"/>
        <w:jc w:val="both"/>
        <w:rPr>
          <w:rFonts w:ascii="ITC Avant Garde" w:hAnsi="ITC Avant Garde"/>
          <w:bCs/>
          <w:color w:val="000000" w:themeColor="text1"/>
          <w:lang w:eastAsia="es-MX"/>
        </w:rPr>
      </w:pPr>
      <w:r w:rsidRPr="00A07AF9">
        <w:rPr>
          <w:rFonts w:ascii="ITC Avant Garde" w:hAnsi="ITC Avant Garde"/>
          <w:bCs/>
          <w:color w:val="000000" w:themeColor="text1"/>
          <w:lang w:eastAsia="es-MX"/>
        </w:rPr>
        <w:t>En este sentido</w:t>
      </w:r>
      <w:r w:rsidR="00D04074" w:rsidRPr="00A07AF9">
        <w:rPr>
          <w:rFonts w:ascii="ITC Avant Garde" w:hAnsi="ITC Avant Garde"/>
          <w:bCs/>
          <w:color w:val="000000" w:themeColor="text1"/>
          <w:lang w:eastAsia="es-MX"/>
        </w:rPr>
        <w:t>, conforme a</w:t>
      </w:r>
      <w:r w:rsidR="008D427F" w:rsidRPr="00A07AF9">
        <w:rPr>
          <w:rFonts w:ascii="ITC Avant Garde" w:hAnsi="ITC Avant Garde"/>
          <w:bCs/>
          <w:color w:val="000000" w:themeColor="text1"/>
          <w:lang w:eastAsia="es-MX"/>
        </w:rPr>
        <w:t xml:space="preserve"> los</w:t>
      </w:r>
      <w:r w:rsidR="00D04074" w:rsidRPr="00A07AF9">
        <w:rPr>
          <w:rFonts w:ascii="ITC Avant Garde" w:hAnsi="ITC Avant Garde"/>
          <w:bCs/>
          <w:color w:val="000000" w:themeColor="text1"/>
          <w:lang w:eastAsia="es-MX"/>
        </w:rPr>
        <w:t xml:space="preserve"> artículo</w:t>
      </w:r>
      <w:r w:rsidR="008D427F" w:rsidRPr="00A07AF9">
        <w:rPr>
          <w:rFonts w:ascii="ITC Avant Garde" w:hAnsi="ITC Avant Garde"/>
          <w:bCs/>
          <w:color w:val="000000" w:themeColor="text1"/>
          <w:lang w:eastAsia="es-MX"/>
        </w:rPr>
        <w:t xml:space="preserve">s 32 y </w:t>
      </w:r>
      <w:r w:rsidR="00D04074" w:rsidRPr="00A07AF9">
        <w:rPr>
          <w:rFonts w:ascii="ITC Avant Garde" w:hAnsi="ITC Avant Garde"/>
          <w:bCs/>
          <w:color w:val="000000" w:themeColor="text1"/>
          <w:lang w:eastAsia="es-MX"/>
        </w:rPr>
        <w:t xml:space="preserve">33 fracción </w:t>
      </w:r>
      <w:r w:rsidR="003B2407" w:rsidRPr="00A07AF9">
        <w:rPr>
          <w:rFonts w:ascii="ITC Avant Garde" w:hAnsi="ITC Avant Garde"/>
          <w:bCs/>
          <w:color w:val="000000" w:themeColor="text1"/>
          <w:lang w:eastAsia="es-MX"/>
        </w:rPr>
        <w:t>IV</w:t>
      </w:r>
      <w:r w:rsidR="00D04074" w:rsidRPr="00A07AF9">
        <w:rPr>
          <w:rFonts w:ascii="ITC Avant Garde" w:hAnsi="ITC Avant Garde"/>
          <w:bCs/>
          <w:color w:val="000000" w:themeColor="text1"/>
          <w:lang w:eastAsia="es-MX"/>
        </w:rPr>
        <w:t xml:space="preserve"> del Estatuto Orgánico</w:t>
      </w:r>
      <w:r w:rsidR="003B2407" w:rsidRPr="00A07AF9">
        <w:rPr>
          <w:rFonts w:ascii="ITC Avant Garde" w:hAnsi="ITC Avant Garde"/>
          <w:bCs/>
          <w:color w:val="000000" w:themeColor="text1"/>
          <w:lang w:eastAsia="es-MX"/>
        </w:rPr>
        <w:t xml:space="preserve"> </w:t>
      </w:r>
      <w:r w:rsidR="00D04074" w:rsidRPr="00A07AF9">
        <w:rPr>
          <w:rFonts w:ascii="ITC Avant Garde" w:hAnsi="ITC Avant Garde"/>
          <w:bCs/>
          <w:color w:val="000000" w:themeColor="text1"/>
          <w:lang w:eastAsia="es-MX"/>
        </w:rPr>
        <w:t xml:space="preserve">corresponde a la </w:t>
      </w:r>
      <w:r w:rsidR="008D427F" w:rsidRPr="00A07AF9">
        <w:rPr>
          <w:rFonts w:ascii="ITC Avant Garde" w:hAnsi="ITC Avant Garde"/>
          <w:bCs/>
          <w:color w:val="000000" w:themeColor="text1"/>
          <w:lang w:eastAsia="es-MX"/>
        </w:rPr>
        <w:t>Unidad de Concesiones y Servicios</w:t>
      </w:r>
      <w:r w:rsidR="00712A47" w:rsidRPr="00A07AF9">
        <w:rPr>
          <w:rFonts w:ascii="ITC Avant Garde" w:hAnsi="ITC Avant Garde"/>
          <w:bCs/>
          <w:color w:val="000000" w:themeColor="text1"/>
          <w:lang w:eastAsia="es-MX"/>
        </w:rPr>
        <w:t>,</w:t>
      </w:r>
      <w:r w:rsidR="008D427F" w:rsidRPr="00A07AF9">
        <w:rPr>
          <w:rFonts w:ascii="ITC Avant Garde" w:hAnsi="ITC Avant Garde"/>
          <w:bCs/>
          <w:color w:val="000000" w:themeColor="text1"/>
          <w:lang w:eastAsia="es-MX"/>
        </w:rPr>
        <w:t xml:space="preserve"> a través de la </w:t>
      </w:r>
      <w:r w:rsidR="00D04074" w:rsidRPr="00A07AF9">
        <w:rPr>
          <w:rFonts w:ascii="ITC Avant Garde" w:hAnsi="ITC Avant Garde"/>
          <w:bCs/>
          <w:color w:val="000000" w:themeColor="text1"/>
          <w:lang w:eastAsia="es-MX"/>
        </w:rPr>
        <w:t xml:space="preserve">Dirección General de Concesiones de Telecomunicaciones, </w:t>
      </w:r>
      <w:r w:rsidR="008D4107" w:rsidRPr="00A07AF9">
        <w:rPr>
          <w:rFonts w:ascii="ITC Avant Garde" w:hAnsi="ITC Avant Garde"/>
          <w:bCs/>
          <w:color w:val="000000" w:themeColor="text1"/>
          <w:lang w:eastAsia="es-MX"/>
        </w:rPr>
        <w:t>tramitar y evaluar las solicitudes de cambios de control accionario, titularidad u operación de sociedades relacionadas con concesiones en materia de telecomunicaciones</w:t>
      </w:r>
      <w:r w:rsidR="008D427F" w:rsidRPr="00A07AF9">
        <w:rPr>
          <w:rFonts w:ascii="ITC Avant Garde" w:hAnsi="ITC Avant Garde"/>
          <w:bCs/>
          <w:color w:val="000000" w:themeColor="text1"/>
          <w:lang w:eastAsia="es-MX"/>
        </w:rPr>
        <w:t>,</w:t>
      </w:r>
      <w:r w:rsidR="008D4107" w:rsidRPr="00A07AF9">
        <w:rPr>
          <w:rFonts w:ascii="ITC Avant Garde" w:hAnsi="ITC Avant Garde"/>
          <w:bCs/>
          <w:color w:val="000000" w:themeColor="text1"/>
          <w:lang w:eastAsia="es-MX"/>
        </w:rPr>
        <w:t xml:space="preserve"> para someterlas a consideración del Pleno</w:t>
      </w:r>
      <w:r w:rsidR="008D427F" w:rsidRPr="00A07AF9">
        <w:rPr>
          <w:rFonts w:ascii="ITC Avant Garde" w:hAnsi="ITC Avant Garde"/>
          <w:bCs/>
          <w:color w:val="000000" w:themeColor="text1"/>
          <w:lang w:eastAsia="es-MX"/>
        </w:rPr>
        <w:t xml:space="preserve"> del Instituto</w:t>
      </w:r>
      <w:r w:rsidR="00D04074" w:rsidRPr="00A07AF9">
        <w:rPr>
          <w:rFonts w:ascii="ITC Avant Garde" w:hAnsi="ITC Avant Garde"/>
          <w:bCs/>
          <w:color w:val="000000" w:themeColor="text1"/>
          <w:lang w:eastAsia="es-MX"/>
        </w:rPr>
        <w:t>.</w:t>
      </w:r>
    </w:p>
    <w:p w14:paraId="4F2E6EBB" w14:textId="77777777" w:rsidR="00A07AF9" w:rsidRPr="00A07AF9" w:rsidRDefault="00712A47" w:rsidP="00CA205F">
      <w:pPr>
        <w:autoSpaceDE w:val="0"/>
        <w:autoSpaceDN w:val="0"/>
        <w:adjustRightInd w:val="0"/>
        <w:spacing w:afterLines="120" w:after="288" w:line="240" w:lineRule="auto"/>
        <w:jc w:val="both"/>
        <w:rPr>
          <w:rFonts w:ascii="ITC Avant Garde" w:hAnsi="ITC Avant Garde"/>
          <w:bCs/>
          <w:color w:val="000000" w:themeColor="text1"/>
          <w:lang w:eastAsia="es-MX"/>
        </w:rPr>
      </w:pPr>
      <w:r w:rsidRPr="00A07AF9">
        <w:rPr>
          <w:rFonts w:ascii="ITC Avant Garde" w:hAnsi="ITC Avant Garde"/>
          <w:bCs/>
          <w:color w:val="000000" w:themeColor="text1"/>
          <w:lang w:eastAsia="es-MX"/>
        </w:rPr>
        <w:t>En este orden de ideas,</w:t>
      </w:r>
      <w:r w:rsidR="00EA63A8" w:rsidRPr="00A07AF9">
        <w:rPr>
          <w:rFonts w:ascii="ITC Avant Garde" w:hAnsi="ITC Avant Garde"/>
          <w:bCs/>
          <w:color w:val="000000" w:themeColor="text1"/>
          <w:lang w:eastAsia="es-MX"/>
        </w:rPr>
        <w:t xml:space="preserve"> y considerando que</w:t>
      </w:r>
      <w:r w:rsidR="006E2D8C" w:rsidRPr="00A07AF9">
        <w:rPr>
          <w:rFonts w:ascii="ITC Avant Garde" w:hAnsi="ITC Avant Garde"/>
          <w:bCs/>
          <w:color w:val="000000" w:themeColor="text1"/>
          <w:lang w:eastAsia="es-MX"/>
        </w:rPr>
        <w:t xml:space="preserve"> el Instituto tiene a su cargo la regulación, promoción y supervisión de las telecomunicaciones, así como la facultad de autorizar cesiones o cambios de control accionario, titularidad u operación de sociedades relacionadas con concesiones</w:t>
      </w:r>
      <w:r w:rsidR="00EA63A8" w:rsidRPr="00A07AF9">
        <w:rPr>
          <w:rFonts w:ascii="ITC Avant Garde" w:hAnsi="ITC Avant Garde"/>
          <w:bCs/>
          <w:color w:val="000000" w:themeColor="text1"/>
          <w:lang w:eastAsia="es-MX"/>
        </w:rPr>
        <w:t>;</w:t>
      </w:r>
      <w:r w:rsidR="00141FE7" w:rsidRPr="00A07AF9">
        <w:rPr>
          <w:rFonts w:ascii="ITC Avant Garde" w:hAnsi="ITC Avant Garde"/>
          <w:bCs/>
          <w:color w:val="000000" w:themeColor="text1"/>
          <w:lang w:eastAsia="es-MX"/>
        </w:rPr>
        <w:t xml:space="preserve"> el Pleno</w:t>
      </w:r>
      <w:r w:rsidR="006A65F2" w:rsidRPr="00A07AF9">
        <w:rPr>
          <w:rFonts w:ascii="ITC Avant Garde" w:hAnsi="ITC Avant Garde"/>
          <w:bCs/>
          <w:color w:val="000000" w:themeColor="text1"/>
          <w:lang w:eastAsia="es-MX"/>
        </w:rPr>
        <w:t>,</w:t>
      </w:r>
      <w:r w:rsidR="006E2D8C" w:rsidRPr="00A07AF9">
        <w:rPr>
          <w:rFonts w:ascii="ITC Avant Garde" w:hAnsi="ITC Avant Garde"/>
          <w:bCs/>
          <w:color w:val="000000" w:themeColor="text1"/>
          <w:lang w:eastAsia="es-MX"/>
        </w:rPr>
        <w:t xml:space="preserve"> como órgano máximo de gobierno</w:t>
      </w:r>
      <w:r w:rsidR="006A65F2" w:rsidRPr="00A07AF9">
        <w:rPr>
          <w:rFonts w:ascii="ITC Avant Garde" w:hAnsi="ITC Avant Garde"/>
          <w:bCs/>
          <w:color w:val="000000" w:themeColor="text1"/>
          <w:lang w:eastAsia="es-MX"/>
        </w:rPr>
        <w:t xml:space="preserve"> y decisión</w:t>
      </w:r>
      <w:r w:rsidR="006E2D8C" w:rsidRPr="00A07AF9">
        <w:rPr>
          <w:rFonts w:ascii="ITC Avant Garde" w:hAnsi="ITC Avant Garde"/>
          <w:bCs/>
          <w:color w:val="000000" w:themeColor="text1"/>
          <w:lang w:eastAsia="es-MX"/>
        </w:rPr>
        <w:t xml:space="preserve"> del Instituto, se encuentra plenamente facultado para resolver la Solic</w:t>
      </w:r>
      <w:r w:rsidR="00D353F2" w:rsidRPr="00A07AF9">
        <w:rPr>
          <w:rFonts w:ascii="ITC Avant Garde" w:hAnsi="ITC Avant Garde"/>
          <w:bCs/>
          <w:color w:val="000000" w:themeColor="text1"/>
          <w:lang w:eastAsia="es-MX"/>
        </w:rPr>
        <w:t>itud de Enajenación de Acciones.</w:t>
      </w:r>
    </w:p>
    <w:p w14:paraId="0D88CCF6" w14:textId="77777777" w:rsidR="00A07AF9" w:rsidRPr="00A07AF9" w:rsidRDefault="00D04074" w:rsidP="00CA205F">
      <w:pPr>
        <w:autoSpaceDE w:val="0"/>
        <w:autoSpaceDN w:val="0"/>
        <w:adjustRightInd w:val="0"/>
        <w:spacing w:afterLines="120" w:after="288" w:line="240" w:lineRule="auto"/>
        <w:jc w:val="both"/>
        <w:rPr>
          <w:rFonts w:ascii="ITC Avant Garde" w:hAnsi="ITC Avant Garde"/>
          <w:bCs/>
          <w:color w:val="000000" w:themeColor="text1"/>
          <w:lang w:eastAsia="es-MX"/>
        </w:rPr>
      </w:pPr>
      <w:proofErr w:type="gramStart"/>
      <w:r w:rsidRPr="00A07AF9">
        <w:rPr>
          <w:rFonts w:ascii="ITC Avant Garde" w:hAnsi="ITC Avant Garde"/>
          <w:b/>
          <w:bCs/>
        </w:rPr>
        <w:t>Segundo.-</w:t>
      </w:r>
      <w:proofErr w:type="gramEnd"/>
      <w:r w:rsidRPr="00A07AF9">
        <w:rPr>
          <w:rFonts w:ascii="ITC Avant Garde" w:hAnsi="ITC Avant Garde"/>
          <w:bCs/>
        </w:rPr>
        <w:t xml:space="preserve"> </w:t>
      </w:r>
      <w:r w:rsidRPr="00A07AF9">
        <w:rPr>
          <w:rFonts w:ascii="ITC Avant Garde" w:hAnsi="ITC Avant Garde"/>
          <w:b/>
          <w:bCs/>
        </w:rPr>
        <w:t xml:space="preserve">Marco legal aplicable a la </w:t>
      </w:r>
      <w:r w:rsidR="00ED674B" w:rsidRPr="00A07AF9">
        <w:rPr>
          <w:rFonts w:ascii="ITC Avant Garde" w:hAnsi="ITC Avant Garde"/>
          <w:b/>
          <w:bCs/>
        </w:rPr>
        <w:t>Solicitud de Enajenación de Acciones</w:t>
      </w:r>
      <w:r w:rsidRPr="00A07AF9">
        <w:rPr>
          <w:rFonts w:ascii="ITC Avant Garde" w:hAnsi="ITC Avant Garde"/>
          <w:b/>
          <w:bCs/>
        </w:rPr>
        <w:t>.</w:t>
      </w:r>
      <w:r w:rsidRPr="00A07AF9">
        <w:rPr>
          <w:rFonts w:ascii="ITC Avant Garde" w:hAnsi="ITC Avant Garde"/>
          <w:bCs/>
        </w:rPr>
        <w:t xml:space="preserve"> </w:t>
      </w:r>
      <w:r w:rsidR="00AC415C" w:rsidRPr="00A07AF9">
        <w:rPr>
          <w:rFonts w:ascii="ITC Avant Garde" w:hAnsi="ITC Avant Garde"/>
          <w:bCs/>
        </w:rPr>
        <w:t xml:space="preserve">De </w:t>
      </w:r>
      <w:r w:rsidR="00AC415C" w:rsidRPr="00A07AF9">
        <w:rPr>
          <w:rFonts w:ascii="ITC Avant Garde" w:hAnsi="ITC Avant Garde"/>
          <w:bCs/>
          <w:color w:val="000000" w:themeColor="text1"/>
          <w:lang w:eastAsia="es-MX"/>
        </w:rPr>
        <w:t>conformidad con lo antes</w:t>
      </w:r>
      <w:r w:rsidR="00623B3E" w:rsidRPr="00A07AF9">
        <w:rPr>
          <w:rFonts w:ascii="ITC Avant Garde" w:hAnsi="ITC Avant Garde"/>
          <w:bCs/>
          <w:color w:val="000000" w:themeColor="text1"/>
          <w:lang w:eastAsia="es-MX"/>
        </w:rPr>
        <w:t xml:space="preserve"> señalado</w:t>
      </w:r>
      <w:r w:rsidR="00AC415C" w:rsidRPr="00A07AF9">
        <w:rPr>
          <w:rFonts w:ascii="ITC Avant Garde" w:hAnsi="ITC Avant Garde"/>
          <w:bCs/>
          <w:color w:val="000000" w:themeColor="text1"/>
          <w:lang w:eastAsia="es-MX"/>
        </w:rPr>
        <w:t>,</w:t>
      </w:r>
      <w:r w:rsidR="00623B3E" w:rsidRPr="00A07AF9">
        <w:rPr>
          <w:rFonts w:ascii="ITC Avant Garde" w:hAnsi="ITC Avant Garde"/>
          <w:bCs/>
          <w:color w:val="000000" w:themeColor="text1"/>
          <w:lang w:eastAsia="es-MX"/>
        </w:rPr>
        <w:t xml:space="preserve"> la normatividad aplicable que establece los requisitos de procedencia para solicitar la autorización para llevar a cabo la enajenación de acciones o partes sociales del capital</w:t>
      </w:r>
      <w:r w:rsidR="008D427F" w:rsidRPr="00A07AF9">
        <w:rPr>
          <w:rFonts w:ascii="ITC Avant Garde" w:hAnsi="ITC Avant Garde"/>
          <w:bCs/>
          <w:color w:val="000000" w:themeColor="text1"/>
          <w:lang w:eastAsia="es-MX"/>
        </w:rPr>
        <w:t xml:space="preserve"> de una empresa</w:t>
      </w:r>
      <w:r w:rsidR="00623B3E" w:rsidRPr="00A07AF9">
        <w:rPr>
          <w:rFonts w:ascii="ITC Avant Garde" w:hAnsi="ITC Avant Garde"/>
          <w:bCs/>
          <w:color w:val="000000" w:themeColor="text1"/>
          <w:lang w:eastAsia="es-MX"/>
        </w:rPr>
        <w:t xml:space="preserve">, se encuentra contenida en </w:t>
      </w:r>
      <w:r w:rsidR="00B22A79" w:rsidRPr="00A07AF9">
        <w:rPr>
          <w:rFonts w:ascii="ITC Avant Garde" w:hAnsi="ITC Avant Garde"/>
          <w:bCs/>
          <w:color w:val="000000" w:themeColor="text1"/>
          <w:lang w:eastAsia="es-MX"/>
        </w:rPr>
        <w:t xml:space="preserve">el artículo 112 de </w:t>
      </w:r>
      <w:r w:rsidR="00AC415C" w:rsidRPr="00A07AF9">
        <w:rPr>
          <w:rFonts w:ascii="ITC Avant Garde" w:hAnsi="ITC Avant Garde"/>
          <w:bCs/>
          <w:color w:val="000000" w:themeColor="text1"/>
          <w:lang w:eastAsia="es-MX"/>
        </w:rPr>
        <w:t>la Ley</w:t>
      </w:r>
      <w:r w:rsidR="00B22A79" w:rsidRPr="00A07AF9">
        <w:rPr>
          <w:rFonts w:ascii="ITC Avant Garde" w:hAnsi="ITC Avant Garde"/>
          <w:bCs/>
          <w:color w:val="000000" w:themeColor="text1"/>
          <w:lang w:eastAsia="es-MX"/>
        </w:rPr>
        <w:t>, el cual establece lo siguiente:</w:t>
      </w:r>
    </w:p>
    <w:p w14:paraId="2A1151F6" w14:textId="77777777" w:rsidR="00A07AF9" w:rsidRPr="00A07AF9" w:rsidRDefault="00FA5FD2" w:rsidP="00CA205F">
      <w:pPr>
        <w:spacing w:afterLines="120" w:after="288" w:line="240" w:lineRule="auto"/>
        <w:ind w:left="1134" w:right="616"/>
        <w:jc w:val="both"/>
        <w:rPr>
          <w:rFonts w:ascii="ITC Avant Garde" w:hAnsi="ITC Avant Garde"/>
          <w:bCs/>
          <w:color w:val="000000"/>
          <w:sz w:val="18"/>
          <w:szCs w:val="18"/>
          <w:lang w:eastAsia="es-MX"/>
        </w:rPr>
      </w:pPr>
      <w:r w:rsidRPr="00A07AF9">
        <w:rPr>
          <w:rFonts w:ascii="ITC Avant Garde" w:hAnsi="ITC Avant Garde"/>
          <w:b/>
          <w:bCs/>
          <w:color w:val="000000"/>
          <w:sz w:val="18"/>
          <w:szCs w:val="18"/>
          <w:lang w:eastAsia="es-MX"/>
        </w:rPr>
        <w:t>“</w:t>
      </w:r>
      <w:r w:rsidR="00701B8C" w:rsidRPr="00A07AF9">
        <w:rPr>
          <w:rFonts w:ascii="ITC Avant Garde" w:hAnsi="ITC Avant Garde"/>
          <w:b/>
          <w:bCs/>
          <w:color w:val="000000"/>
          <w:sz w:val="18"/>
          <w:szCs w:val="18"/>
          <w:lang w:eastAsia="es-MX"/>
        </w:rPr>
        <w:t>Artículo 112.</w:t>
      </w:r>
      <w:r w:rsidR="00701B8C" w:rsidRPr="00A07AF9">
        <w:rPr>
          <w:rFonts w:ascii="ITC Avant Garde" w:hAnsi="ITC Avant Garde"/>
          <w:bCs/>
          <w:color w:val="000000"/>
          <w:sz w:val="18"/>
          <w:szCs w:val="18"/>
          <w:lang w:eastAsia="es-MX"/>
        </w:rPr>
        <w:t xml:space="preserve"> El concesionario, cuando sea una persona moral, presentará al Instituto, a más tardar el treinta de junio de cada año, su estructura accionaria o de partes sociales de que se trate, con sus respectivos porcentajes de participación, acompañando además una relación de los accionistas que sean titulares del cinco por ciento o más del capital social de la empresa, así como el nombre de las personas físicas que participen directa o indirectamente con el diez por ciento o más del capital social de la empresa, sus principales accionistas y sus respectivos porcentajes de participación, a la que acompañará la información en el formato que determine el Instituto.</w:t>
      </w:r>
    </w:p>
    <w:p w14:paraId="1BAE42B2" w14:textId="77777777" w:rsidR="00A07AF9" w:rsidRPr="00A07AF9" w:rsidRDefault="00701B8C" w:rsidP="00CA205F">
      <w:pPr>
        <w:spacing w:afterLines="120" w:after="288" w:line="240" w:lineRule="auto"/>
        <w:ind w:left="1134" w:right="616"/>
        <w:jc w:val="both"/>
        <w:rPr>
          <w:rFonts w:ascii="ITC Avant Garde" w:hAnsi="ITC Avant Garde"/>
          <w:bCs/>
          <w:color w:val="000000"/>
          <w:sz w:val="18"/>
          <w:szCs w:val="18"/>
          <w:lang w:eastAsia="es-MX"/>
        </w:rPr>
      </w:pPr>
      <w:r w:rsidRPr="00A07AF9">
        <w:rPr>
          <w:rFonts w:ascii="ITC Avant Garde" w:hAnsi="ITC Avant Garde"/>
          <w:bCs/>
          <w:color w:val="000000"/>
          <w:sz w:val="18"/>
          <w:szCs w:val="18"/>
          <w:lang w:eastAsia="es-MX"/>
        </w:rPr>
        <w:t>En cualquier supuesto de suscripción o enajenación de acciones o partes sociales en un acto o sucesión de actos, que represente el diez por ciento o más del monto de su capital social, y siempre que no se actualice la obligación de notificar la operación conforme a lo previsto en la Ley Federal de Competencia Económica, el concesionario estará obligado a observar el régimen siguiente:</w:t>
      </w:r>
    </w:p>
    <w:p w14:paraId="3BA3CB25" w14:textId="75821D63" w:rsidR="00701B8C" w:rsidRPr="00A07AF9" w:rsidRDefault="00701B8C" w:rsidP="00CA205F">
      <w:pPr>
        <w:pStyle w:val="Prrafodelista"/>
        <w:numPr>
          <w:ilvl w:val="0"/>
          <w:numId w:val="8"/>
        </w:numPr>
        <w:spacing w:afterLines="120" w:after="288"/>
        <w:ind w:right="616"/>
        <w:jc w:val="both"/>
        <w:rPr>
          <w:rFonts w:ascii="ITC Avant Garde" w:hAnsi="ITC Avant Garde"/>
          <w:bCs/>
          <w:color w:val="000000"/>
          <w:sz w:val="18"/>
          <w:szCs w:val="18"/>
          <w:lang w:eastAsia="es-MX"/>
        </w:rPr>
      </w:pPr>
      <w:r w:rsidRPr="00A07AF9">
        <w:rPr>
          <w:rFonts w:ascii="ITC Avant Garde" w:hAnsi="ITC Avant Garde"/>
          <w:bCs/>
          <w:color w:val="000000"/>
          <w:sz w:val="18"/>
          <w:szCs w:val="18"/>
          <w:lang w:eastAsia="es-MX"/>
        </w:rPr>
        <w:t>El concesionario deberá dar aviso al Instituto de la intención de los interesados en realizar la suscripción o enajenación de las acciones o partes sociales, ya sea directa o indirectamente, debiendo acompañar el aviso con la información detallada de las personas interesadas en adquirir las acciones o partes sociales;</w:t>
      </w:r>
    </w:p>
    <w:p w14:paraId="631805F4" w14:textId="54EE1B7D" w:rsidR="00701B8C" w:rsidRPr="00A07AF9" w:rsidRDefault="00701B8C" w:rsidP="00CA205F">
      <w:pPr>
        <w:pStyle w:val="Prrafodelista"/>
        <w:numPr>
          <w:ilvl w:val="0"/>
          <w:numId w:val="8"/>
        </w:numPr>
        <w:spacing w:afterLines="120" w:after="288"/>
        <w:ind w:right="616"/>
        <w:jc w:val="both"/>
        <w:rPr>
          <w:rFonts w:ascii="ITC Avant Garde" w:hAnsi="ITC Avant Garde"/>
          <w:bCs/>
          <w:color w:val="000000"/>
          <w:sz w:val="18"/>
          <w:szCs w:val="18"/>
          <w:lang w:eastAsia="es-MX"/>
        </w:rPr>
      </w:pPr>
      <w:r w:rsidRPr="00A07AF9">
        <w:rPr>
          <w:rFonts w:ascii="ITC Avant Garde" w:hAnsi="ITC Avant Garde"/>
          <w:bCs/>
          <w:color w:val="000000"/>
          <w:sz w:val="18"/>
          <w:szCs w:val="18"/>
          <w:lang w:eastAsia="es-MX"/>
        </w:rPr>
        <w:lastRenderedPageBreak/>
        <w:t>El Instituto tendrá un plazo de diez días hábiles contados a partir de la presentación del aviso, para solicitar la opinión de la Secretaría;</w:t>
      </w:r>
    </w:p>
    <w:p w14:paraId="2BA93D94" w14:textId="33D74ADB" w:rsidR="00701B8C" w:rsidRPr="00A07AF9" w:rsidRDefault="00701B8C" w:rsidP="00CA205F">
      <w:pPr>
        <w:pStyle w:val="Prrafodelista"/>
        <w:numPr>
          <w:ilvl w:val="0"/>
          <w:numId w:val="8"/>
        </w:numPr>
        <w:spacing w:afterLines="120" w:after="288"/>
        <w:ind w:right="616"/>
        <w:jc w:val="both"/>
        <w:rPr>
          <w:rFonts w:ascii="ITC Avant Garde" w:hAnsi="ITC Avant Garde"/>
          <w:bCs/>
          <w:color w:val="000000"/>
          <w:sz w:val="18"/>
          <w:szCs w:val="18"/>
          <w:lang w:eastAsia="es-MX"/>
        </w:rPr>
      </w:pPr>
      <w:r w:rsidRPr="00A07AF9">
        <w:rPr>
          <w:rFonts w:ascii="ITC Avant Garde" w:hAnsi="ITC Avant Garde"/>
          <w:bCs/>
          <w:color w:val="000000"/>
          <w:sz w:val="18"/>
          <w:szCs w:val="18"/>
          <w:lang w:eastAsia="es-MX"/>
        </w:rPr>
        <w:t>La Secretaría tendrá un plazo de treinta días naturales para emitir opinión, y</w:t>
      </w:r>
    </w:p>
    <w:p w14:paraId="7592B60D" w14:textId="77777777" w:rsidR="00A07AF9" w:rsidRPr="00A07AF9" w:rsidRDefault="00701B8C" w:rsidP="00CA205F">
      <w:pPr>
        <w:spacing w:afterLines="120" w:after="288" w:line="240" w:lineRule="auto"/>
        <w:ind w:left="2124" w:right="616" w:hanging="696"/>
        <w:jc w:val="both"/>
        <w:rPr>
          <w:rFonts w:ascii="ITC Avant Garde" w:hAnsi="ITC Avant Garde"/>
          <w:bCs/>
          <w:color w:val="000000"/>
          <w:sz w:val="18"/>
          <w:szCs w:val="18"/>
          <w:lang w:eastAsia="es-MX"/>
        </w:rPr>
      </w:pPr>
      <w:r w:rsidRPr="00A07AF9">
        <w:rPr>
          <w:rFonts w:ascii="ITC Avant Garde" w:hAnsi="ITC Avant Garde"/>
          <w:bCs/>
          <w:color w:val="000000"/>
          <w:sz w:val="18"/>
          <w:szCs w:val="18"/>
          <w:lang w:eastAsia="es-MX"/>
        </w:rPr>
        <w:t xml:space="preserve">IV. </w:t>
      </w:r>
      <w:r w:rsidR="00281886" w:rsidRPr="00A07AF9">
        <w:rPr>
          <w:rFonts w:ascii="ITC Avant Garde" w:hAnsi="ITC Avant Garde"/>
          <w:bCs/>
          <w:color w:val="000000"/>
          <w:sz w:val="18"/>
          <w:szCs w:val="18"/>
          <w:lang w:eastAsia="es-MX"/>
        </w:rPr>
        <w:tab/>
      </w:r>
      <w:r w:rsidRPr="00A07AF9">
        <w:rPr>
          <w:rFonts w:ascii="ITC Avant Garde" w:hAnsi="ITC Avant Garde"/>
          <w:bCs/>
          <w:color w:val="000000"/>
          <w:sz w:val="18"/>
          <w:szCs w:val="18"/>
          <w:lang w:eastAsia="es-MX"/>
        </w:rPr>
        <w:t>El Instituto tendrá un plazo de quince días hábiles contados a partir de que reciba la opinión de la Secretaría o en caso que no se hubiere emitido opinión, a partir de que fenezca el plazo referido en la fracción que antecede, para objetar con causa justificada la operación de que se trate. Transcurrido dicho plazo sin que la operación hubiere sido objetada por el Instituto, se tendrá por autorizada.</w:t>
      </w:r>
    </w:p>
    <w:p w14:paraId="05F1A39D" w14:textId="07417784" w:rsidR="00701B8C" w:rsidRPr="00A07AF9" w:rsidRDefault="00701B8C" w:rsidP="00CA205F">
      <w:pPr>
        <w:spacing w:afterLines="120" w:after="288" w:line="240" w:lineRule="auto"/>
        <w:ind w:left="1134" w:right="616"/>
        <w:jc w:val="both"/>
        <w:rPr>
          <w:rFonts w:ascii="ITC Avant Garde" w:hAnsi="ITC Avant Garde"/>
          <w:bCs/>
          <w:color w:val="000000"/>
          <w:sz w:val="18"/>
          <w:szCs w:val="18"/>
          <w:lang w:eastAsia="es-MX"/>
        </w:rPr>
      </w:pPr>
      <w:r w:rsidRPr="00A07AF9">
        <w:rPr>
          <w:rFonts w:ascii="ITC Avant Garde" w:hAnsi="ITC Avant Garde"/>
          <w:bCs/>
          <w:color w:val="000000"/>
          <w:sz w:val="18"/>
          <w:szCs w:val="18"/>
          <w:lang w:eastAsia="es-MX"/>
        </w:rPr>
        <w:t>Las operaciones que no hubieren sido objetadas por el Instituto deberán inscribirse en el libro de registro de accionistas o socios de la persona moral, sin perjuicio de las autorizaciones que se requieran de otras autoridades conforme a las disposiciones legales, reglamentarias y administrativas aplicables.</w:t>
      </w:r>
    </w:p>
    <w:p w14:paraId="1166EDDE" w14:textId="77777777" w:rsidR="00A07AF9" w:rsidRPr="00A07AF9" w:rsidRDefault="00281886" w:rsidP="00CA205F">
      <w:pPr>
        <w:spacing w:afterLines="120" w:after="288" w:line="240" w:lineRule="auto"/>
        <w:ind w:left="1134" w:right="616"/>
        <w:jc w:val="both"/>
        <w:rPr>
          <w:rFonts w:ascii="ITC Avant Garde" w:hAnsi="ITC Avant Garde"/>
          <w:bCs/>
          <w:color w:val="000000"/>
          <w:sz w:val="18"/>
          <w:szCs w:val="18"/>
          <w:lang w:eastAsia="es-MX"/>
        </w:rPr>
      </w:pPr>
      <w:r w:rsidRPr="00A07AF9">
        <w:rPr>
          <w:rFonts w:ascii="ITC Avant Garde" w:hAnsi="ITC Avant Garde"/>
          <w:bCs/>
          <w:color w:val="000000"/>
          <w:sz w:val="18"/>
          <w:szCs w:val="18"/>
          <w:lang w:eastAsia="es-MX"/>
        </w:rPr>
        <w:t>…</w:t>
      </w:r>
    </w:p>
    <w:p w14:paraId="4663B58C" w14:textId="77777777" w:rsidR="00A07AF9" w:rsidRPr="00A07AF9" w:rsidRDefault="00701B8C" w:rsidP="00CA205F">
      <w:pPr>
        <w:spacing w:afterLines="120" w:after="288" w:line="240" w:lineRule="auto"/>
        <w:ind w:left="1134" w:right="616"/>
        <w:jc w:val="both"/>
        <w:rPr>
          <w:rFonts w:ascii="ITC Avant Garde" w:hAnsi="ITC Avant Garde"/>
          <w:bCs/>
          <w:color w:val="000000"/>
          <w:sz w:val="18"/>
          <w:szCs w:val="18"/>
          <w:lang w:eastAsia="es-MX"/>
        </w:rPr>
      </w:pPr>
      <w:r w:rsidRPr="00A07AF9">
        <w:rPr>
          <w:rFonts w:ascii="ITC Avant Garde" w:hAnsi="ITC Avant Garde"/>
          <w:bCs/>
          <w:color w:val="000000"/>
          <w:sz w:val="18"/>
          <w:szCs w:val="18"/>
          <w:lang w:eastAsia="es-MX"/>
        </w:rPr>
        <w:t>En caso de que el interesado en suscribir o adquirir acciones o partes sociales sea una persona moral, en el aviso al que se refiere la fracción I de este artículo, deberá presentar la información necesaria para que el Instituto conozca la identidad de las personas físicas que tengan intereses patrimoniales mayores al diez por ciento del capital de dicha persona moral.</w:t>
      </w:r>
    </w:p>
    <w:p w14:paraId="4E9A7FDD" w14:textId="34C00A9B" w:rsidR="00C517B5" w:rsidRPr="00A07AF9" w:rsidRDefault="00C517B5" w:rsidP="00CA205F">
      <w:pPr>
        <w:spacing w:afterLines="120" w:after="288" w:line="240" w:lineRule="auto"/>
        <w:ind w:left="1134" w:right="616"/>
        <w:jc w:val="both"/>
        <w:rPr>
          <w:rFonts w:ascii="ITC Avant Garde" w:hAnsi="ITC Avant Garde"/>
          <w:bCs/>
          <w:color w:val="000000"/>
          <w:sz w:val="18"/>
          <w:szCs w:val="18"/>
          <w:lang w:eastAsia="es-MX"/>
        </w:rPr>
      </w:pPr>
      <w:r w:rsidRPr="00A07AF9">
        <w:rPr>
          <w:rFonts w:ascii="ITC Avant Garde" w:hAnsi="ITC Avant Garde"/>
          <w:bCs/>
          <w:color w:val="000000"/>
          <w:sz w:val="18"/>
          <w:szCs w:val="18"/>
          <w:lang w:eastAsia="es-MX"/>
        </w:rPr>
        <w:t>En caso de que se actualice la obligación de notificar una concentración conforme a lo previsto en la Ley Federal de Competencia Económica, el Instituto dará trámite a la solicitud conforme a lo previsto para dicho procedimiento en la ley de la materia, considerando además los criterios establecidos en esta Ley</w:t>
      </w:r>
      <w:r w:rsidR="00441755" w:rsidRPr="00A07AF9">
        <w:rPr>
          <w:rFonts w:ascii="ITC Avant Garde" w:hAnsi="ITC Avant Garde"/>
          <w:bCs/>
          <w:color w:val="000000"/>
          <w:sz w:val="18"/>
          <w:szCs w:val="18"/>
          <w:lang w:eastAsia="es-MX"/>
        </w:rPr>
        <w:t>.</w:t>
      </w:r>
    </w:p>
    <w:p w14:paraId="69BF4F95" w14:textId="77777777" w:rsidR="00A07AF9" w:rsidRPr="00A07AF9" w:rsidRDefault="00441755" w:rsidP="00CA205F">
      <w:pPr>
        <w:spacing w:afterLines="120" w:after="288" w:line="240" w:lineRule="auto"/>
        <w:ind w:left="1134" w:right="616"/>
        <w:rPr>
          <w:rFonts w:ascii="ITC Avant Garde" w:hAnsi="ITC Avant Garde"/>
          <w:bCs/>
          <w:color w:val="000000"/>
          <w:sz w:val="18"/>
          <w:szCs w:val="18"/>
          <w:lang w:eastAsia="es-MX"/>
        </w:rPr>
      </w:pPr>
      <w:r w:rsidRPr="00A07AF9">
        <w:rPr>
          <w:rFonts w:ascii="ITC Avant Garde" w:hAnsi="ITC Avant Garde"/>
          <w:bCs/>
          <w:color w:val="000000"/>
          <w:sz w:val="18"/>
          <w:szCs w:val="18"/>
          <w:lang w:eastAsia="es-MX"/>
        </w:rPr>
        <w:t>[</w:t>
      </w:r>
      <w:r w:rsidR="00281886" w:rsidRPr="00A07AF9">
        <w:rPr>
          <w:rFonts w:ascii="ITC Avant Garde" w:hAnsi="ITC Avant Garde"/>
          <w:bCs/>
          <w:color w:val="000000"/>
          <w:sz w:val="18"/>
          <w:szCs w:val="18"/>
          <w:lang w:eastAsia="es-MX"/>
        </w:rPr>
        <w:t>…</w:t>
      </w:r>
      <w:r w:rsidRPr="00A07AF9">
        <w:rPr>
          <w:rFonts w:ascii="ITC Avant Garde" w:hAnsi="ITC Avant Garde"/>
          <w:bCs/>
          <w:color w:val="000000"/>
          <w:sz w:val="18"/>
          <w:szCs w:val="18"/>
          <w:lang w:eastAsia="es-MX"/>
        </w:rPr>
        <w:t>]</w:t>
      </w:r>
      <w:r w:rsidR="00281886" w:rsidRPr="00A07AF9">
        <w:rPr>
          <w:rFonts w:ascii="ITC Avant Garde" w:hAnsi="ITC Avant Garde"/>
          <w:bCs/>
          <w:color w:val="000000"/>
          <w:sz w:val="18"/>
          <w:szCs w:val="18"/>
          <w:lang w:eastAsia="es-MX"/>
        </w:rPr>
        <w:t>”</w:t>
      </w:r>
    </w:p>
    <w:p w14:paraId="68C172A3" w14:textId="77777777" w:rsidR="00A07AF9" w:rsidRPr="00A07AF9" w:rsidRDefault="00B27CA4" w:rsidP="00CA205F">
      <w:pPr>
        <w:autoSpaceDE w:val="0"/>
        <w:autoSpaceDN w:val="0"/>
        <w:adjustRightInd w:val="0"/>
        <w:spacing w:afterLines="120" w:after="288" w:line="240" w:lineRule="auto"/>
        <w:jc w:val="both"/>
        <w:rPr>
          <w:rFonts w:ascii="ITC Avant Garde" w:hAnsi="ITC Avant Garde"/>
          <w:bCs/>
          <w:color w:val="000000" w:themeColor="text1"/>
          <w:lang w:eastAsia="es-MX"/>
        </w:rPr>
      </w:pPr>
      <w:r w:rsidRPr="00A07AF9">
        <w:rPr>
          <w:rFonts w:ascii="ITC Avant Garde" w:hAnsi="ITC Avant Garde"/>
          <w:bCs/>
          <w:color w:val="000000" w:themeColor="text1"/>
          <w:lang w:eastAsia="es-MX"/>
        </w:rPr>
        <w:t xml:space="preserve">Ahora bien, cabe destacar que para este tipo de solicitudes debe acatarse el requisito de procedencia </w:t>
      </w:r>
      <w:r w:rsidR="00556639" w:rsidRPr="00A07AF9">
        <w:rPr>
          <w:rFonts w:ascii="ITC Avant Garde" w:hAnsi="ITC Avant Garde"/>
          <w:bCs/>
          <w:lang w:eastAsia="es-MX"/>
        </w:rPr>
        <w:t xml:space="preserve">establecido en el artículo 174-C fracción VII de la Ley Federal de Derechos, </w:t>
      </w:r>
      <w:r w:rsidRPr="00A07AF9">
        <w:rPr>
          <w:rFonts w:ascii="ITC Avant Garde" w:hAnsi="ITC Avant Garde"/>
          <w:bCs/>
          <w:color w:val="000000" w:themeColor="text1"/>
          <w:lang w:eastAsia="es-MX"/>
        </w:rPr>
        <w:t>correspondiente al pago de derechos relativo a</w:t>
      </w:r>
      <w:r w:rsidR="00BB2383" w:rsidRPr="00A07AF9">
        <w:rPr>
          <w:rFonts w:ascii="ITC Avant Garde" w:hAnsi="ITC Avant Garde"/>
          <w:bCs/>
          <w:color w:val="000000" w:themeColor="text1"/>
          <w:lang w:eastAsia="es-MX"/>
        </w:rPr>
        <w:t xml:space="preserve"> la suscripción o enajenación de acciones o partes sociales</w:t>
      </w:r>
      <w:r w:rsidRPr="00A07AF9">
        <w:rPr>
          <w:rFonts w:ascii="ITC Avant Garde" w:hAnsi="ITC Avant Garde"/>
          <w:bCs/>
          <w:color w:val="000000" w:themeColor="text1"/>
          <w:lang w:eastAsia="es-MX"/>
        </w:rPr>
        <w:t xml:space="preserve"> en las concesiones en materia de telecomunicaciones, </w:t>
      </w:r>
      <w:r w:rsidR="00556639" w:rsidRPr="00A07AF9">
        <w:rPr>
          <w:rFonts w:ascii="ITC Avant Garde" w:hAnsi="ITC Avant Garde"/>
          <w:bCs/>
          <w:color w:val="000000" w:themeColor="text1"/>
          <w:lang w:eastAsia="es-MX"/>
        </w:rPr>
        <w:t>como es el caso que nos ocupa</w:t>
      </w:r>
      <w:r w:rsidRPr="00A07AF9">
        <w:rPr>
          <w:rFonts w:ascii="ITC Avant Garde" w:hAnsi="ITC Avant Garde"/>
          <w:bCs/>
          <w:color w:val="000000" w:themeColor="text1"/>
          <w:lang w:eastAsia="es-MX"/>
        </w:rPr>
        <w:t>.</w:t>
      </w:r>
    </w:p>
    <w:p w14:paraId="23F300ED" w14:textId="77777777" w:rsidR="00A07AF9" w:rsidRPr="00A07AF9" w:rsidRDefault="000A1E6A" w:rsidP="00CA205F">
      <w:pPr>
        <w:autoSpaceDE w:val="0"/>
        <w:autoSpaceDN w:val="0"/>
        <w:adjustRightInd w:val="0"/>
        <w:spacing w:afterLines="120" w:after="288" w:line="240" w:lineRule="auto"/>
        <w:jc w:val="both"/>
        <w:rPr>
          <w:rFonts w:ascii="ITC Avant Garde" w:hAnsi="ITC Avant Garde"/>
          <w:bCs/>
          <w:color w:val="000000" w:themeColor="text1"/>
          <w:lang w:eastAsia="es-MX"/>
        </w:rPr>
      </w:pPr>
      <w:proofErr w:type="gramStart"/>
      <w:r w:rsidRPr="00A07AF9">
        <w:rPr>
          <w:rFonts w:ascii="ITC Avant Garde" w:hAnsi="ITC Avant Garde"/>
          <w:b/>
          <w:bCs/>
        </w:rPr>
        <w:t>Tercero.-</w:t>
      </w:r>
      <w:proofErr w:type="gramEnd"/>
      <w:r w:rsidRPr="00A07AF9">
        <w:rPr>
          <w:rFonts w:ascii="ITC Avant Garde" w:hAnsi="ITC Avant Garde"/>
          <w:b/>
          <w:bCs/>
        </w:rPr>
        <w:t xml:space="preserve"> Concentración.</w:t>
      </w:r>
      <w:r w:rsidRPr="00A07AF9">
        <w:rPr>
          <w:rFonts w:ascii="ITC Avant Garde" w:hAnsi="ITC Avant Garde"/>
          <w:bCs/>
        </w:rPr>
        <w:t xml:space="preserve"> </w:t>
      </w:r>
      <w:r w:rsidRPr="00A07AF9">
        <w:rPr>
          <w:rFonts w:ascii="ITC Avant Garde" w:hAnsi="ITC Avant Garde"/>
          <w:bCs/>
          <w:color w:val="000000" w:themeColor="text1"/>
          <w:lang w:eastAsia="es-MX"/>
        </w:rPr>
        <w:t xml:space="preserve">Como se señaló en el Considerando Primero de la presente Resolución, el Instituto es la autoridad en materia de competencia económica en los sectores de radiodifusión y telecomunicaciones, por lo que en estos ejercerá en forma exclusiva las facultades </w:t>
      </w:r>
      <w:r w:rsidR="00FA5FD2" w:rsidRPr="00A07AF9">
        <w:rPr>
          <w:rFonts w:ascii="ITC Avant Garde" w:hAnsi="ITC Avant Garde"/>
          <w:bCs/>
          <w:color w:val="000000" w:themeColor="text1"/>
          <w:lang w:eastAsia="es-MX"/>
        </w:rPr>
        <w:t>que</w:t>
      </w:r>
      <w:r w:rsidRPr="00A07AF9">
        <w:rPr>
          <w:rFonts w:ascii="ITC Avant Garde" w:hAnsi="ITC Avant Garde"/>
          <w:bCs/>
          <w:color w:val="000000" w:themeColor="text1"/>
          <w:lang w:eastAsia="es-MX"/>
        </w:rPr>
        <w:t xml:space="preserve"> las leyes establecen para la Comisión Federal de Competencia Económica y regulará de forma asimétrica a los participantes en estos mercados</w:t>
      </w:r>
      <w:r w:rsidR="00FA5FD2" w:rsidRPr="00A07AF9">
        <w:rPr>
          <w:rFonts w:ascii="ITC Avant Garde" w:hAnsi="ITC Avant Garde"/>
          <w:bCs/>
          <w:color w:val="000000" w:themeColor="text1"/>
          <w:lang w:eastAsia="es-MX"/>
        </w:rPr>
        <w:t>,</w:t>
      </w:r>
      <w:r w:rsidRPr="00A07AF9">
        <w:rPr>
          <w:rFonts w:ascii="ITC Avant Garde" w:hAnsi="ITC Avant Garde"/>
          <w:bCs/>
          <w:color w:val="000000" w:themeColor="text1"/>
          <w:lang w:eastAsia="es-MX"/>
        </w:rPr>
        <w:t xml:space="preserve"> con el objeto de eliminar eficazmente las barreras a la competencia y la libre concurrencia, garantizando lo dispuesto en los artículos 6o. y 7o. de la Constitución.</w:t>
      </w:r>
    </w:p>
    <w:p w14:paraId="472576D9" w14:textId="77777777" w:rsidR="00A07AF9" w:rsidRPr="00A07AF9" w:rsidRDefault="000A1E6A" w:rsidP="00CA205F">
      <w:pPr>
        <w:autoSpaceDE w:val="0"/>
        <w:autoSpaceDN w:val="0"/>
        <w:adjustRightInd w:val="0"/>
        <w:spacing w:afterLines="120" w:after="288" w:line="240" w:lineRule="auto"/>
        <w:jc w:val="both"/>
        <w:rPr>
          <w:rFonts w:ascii="ITC Avant Garde" w:hAnsi="ITC Avant Garde"/>
          <w:bCs/>
          <w:color w:val="000000" w:themeColor="text1"/>
          <w:lang w:eastAsia="es-MX"/>
        </w:rPr>
      </w:pPr>
      <w:r w:rsidRPr="00A07AF9">
        <w:rPr>
          <w:rFonts w:ascii="ITC Avant Garde" w:hAnsi="ITC Avant Garde"/>
          <w:bCs/>
          <w:color w:val="000000" w:themeColor="text1"/>
          <w:lang w:eastAsia="es-MX"/>
        </w:rPr>
        <w:t>En este sentido, la Ley en el artículo 112</w:t>
      </w:r>
      <w:r w:rsidR="003A19E2" w:rsidRPr="00A07AF9">
        <w:rPr>
          <w:rFonts w:ascii="ITC Avant Garde" w:hAnsi="ITC Avant Garde"/>
          <w:bCs/>
          <w:color w:val="000000" w:themeColor="text1"/>
          <w:lang w:eastAsia="es-MX"/>
        </w:rPr>
        <w:t>,</w:t>
      </w:r>
      <w:r w:rsidRPr="00A07AF9">
        <w:rPr>
          <w:rFonts w:ascii="ITC Avant Garde" w:hAnsi="ITC Avant Garde"/>
          <w:bCs/>
          <w:color w:val="000000" w:themeColor="text1"/>
          <w:lang w:eastAsia="es-MX"/>
        </w:rPr>
        <w:t xml:space="preserve"> establece como regla general la obligación que tienen a su cargo todos los concesionarios de telecomunicaciones y radiodifusión</w:t>
      </w:r>
      <w:r w:rsidR="003A19E2" w:rsidRPr="00A07AF9">
        <w:rPr>
          <w:rFonts w:ascii="ITC Avant Garde" w:hAnsi="ITC Avant Garde"/>
          <w:bCs/>
          <w:color w:val="000000" w:themeColor="text1"/>
          <w:lang w:eastAsia="es-MX"/>
        </w:rPr>
        <w:t>,</w:t>
      </w:r>
      <w:r w:rsidRPr="00A07AF9">
        <w:rPr>
          <w:rFonts w:ascii="ITC Avant Garde" w:hAnsi="ITC Avant Garde"/>
          <w:bCs/>
          <w:color w:val="000000" w:themeColor="text1"/>
          <w:lang w:eastAsia="es-MX"/>
        </w:rPr>
        <w:t xml:space="preserve"> de observar el régimen para cualquier supuesto de suscripción o enajenación de acciones o partes sociales en un acto o sucesión de actos, que represente el diez por ciento o más </w:t>
      </w:r>
      <w:r w:rsidRPr="00A07AF9">
        <w:rPr>
          <w:rFonts w:ascii="ITC Avant Garde" w:hAnsi="ITC Avant Garde"/>
          <w:bCs/>
          <w:color w:val="000000" w:themeColor="text1"/>
          <w:lang w:eastAsia="es-MX"/>
        </w:rPr>
        <w:lastRenderedPageBreak/>
        <w:t>del monto de su capital social; siempre y cuando no se actualice la obligación del concesionario de notificar al Instituto una concentración conforme a lo previsto en la Ley Federal de Competencia Económica (la “Ley de Competencia”).</w:t>
      </w:r>
    </w:p>
    <w:p w14:paraId="4373F74C" w14:textId="77777777" w:rsidR="00A07AF9" w:rsidRPr="00A07AF9" w:rsidRDefault="00FA1BA8" w:rsidP="00CA205F">
      <w:pPr>
        <w:autoSpaceDE w:val="0"/>
        <w:autoSpaceDN w:val="0"/>
        <w:adjustRightInd w:val="0"/>
        <w:spacing w:afterLines="120" w:after="288" w:line="240" w:lineRule="auto"/>
        <w:jc w:val="both"/>
        <w:rPr>
          <w:rFonts w:ascii="ITC Avant Garde" w:hAnsi="ITC Avant Garde"/>
          <w:bCs/>
          <w:color w:val="000000" w:themeColor="text1"/>
          <w:lang w:eastAsia="es-MX"/>
        </w:rPr>
      </w:pPr>
      <w:r w:rsidRPr="00A07AF9">
        <w:rPr>
          <w:rFonts w:ascii="ITC Avant Garde" w:hAnsi="ITC Avant Garde"/>
          <w:bCs/>
          <w:color w:val="000000" w:themeColor="text1"/>
          <w:lang w:eastAsia="es-MX"/>
        </w:rPr>
        <w:t>Asimismo, el artículo 61 d</w:t>
      </w:r>
      <w:r w:rsidR="00585784" w:rsidRPr="00A07AF9">
        <w:rPr>
          <w:rFonts w:ascii="ITC Avant Garde" w:hAnsi="ITC Avant Garde"/>
          <w:bCs/>
          <w:color w:val="000000" w:themeColor="text1"/>
          <w:lang w:eastAsia="es-MX"/>
        </w:rPr>
        <w:t>e la Ley Competencia, señala qué</w:t>
      </w:r>
      <w:r w:rsidRPr="00A07AF9">
        <w:rPr>
          <w:rFonts w:ascii="ITC Avant Garde" w:hAnsi="ITC Avant Garde"/>
          <w:bCs/>
          <w:color w:val="000000" w:themeColor="text1"/>
          <w:lang w:eastAsia="es-MX"/>
        </w:rPr>
        <w:t xml:space="preserve"> se entiende por Concentración: la fusión, adquisición del control o cualquier acto por virtud del cual se unan sociedades, asociaciones, acciones, partes sociales, fideicomisos o activos en general que se realice entre competidores, proveedores, clientes o cualesquiera otros agentes económicos.</w:t>
      </w:r>
    </w:p>
    <w:p w14:paraId="67BB83F3" w14:textId="77777777" w:rsidR="00A07AF9" w:rsidRPr="00A07AF9" w:rsidRDefault="00FA1BA8" w:rsidP="00CA205F">
      <w:pPr>
        <w:autoSpaceDE w:val="0"/>
        <w:autoSpaceDN w:val="0"/>
        <w:adjustRightInd w:val="0"/>
        <w:spacing w:afterLines="120" w:after="288" w:line="240" w:lineRule="auto"/>
        <w:jc w:val="both"/>
        <w:rPr>
          <w:rFonts w:ascii="ITC Avant Garde" w:hAnsi="ITC Avant Garde"/>
          <w:bCs/>
          <w:color w:val="000000" w:themeColor="text1"/>
          <w:lang w:eastAsia="es-MX"/>
        </w:rPr>
      </w:pPr>
      <w:r w:rsidRPr="00A07AF9">
        <w:rPr>
          <w:rFonts w:ascii="ITC Avant Garde" w:hAnsi="ITC Avant Garde"/>
          <w:bCs/>
          <w:color w:val="000000" w:themeColor="text1"/>
          <w:lang w:eastAsia="es-MX"/>
        </w:rPr>
        <w:t>En este tenor, el artículo 86 de la Ley de Competencia ordena textualmente lo siguiente:</w:t>
      </w:r>
    </w:p>
    <w:p w14:paraId="5EAE99CD" w14:textId="52E2F41B" w:rsidR="00FA1BA8" w:rsidRPr="00A07AF9" w:rsidRDefault="00FA1BA8" w:rsidP="00CA205F">
      <w:pPr>
        <w:autoSpaceDE w:val="0"/>
        <w:autoSpaceDN w:val="0"/>
        <w:adjustRightInd w:val="0"/>
        <w:spacing w:afterLines="120" w:after="288" w:line="240" w:lineRule="auto"/>
        <w:ind w:left="426" w:right="332"/>
        <w:jc w:val="both"/>
        <w:rPr>
          <w:rFonts w:ascii="ITC Avant Garde" w:hAnsi="ITC Avant Garde"/>
          <w:bCs/>
          <w:sz w:val="18"/>
          <w:szCs w:val="18"/>
        </w:rPr>
      </w:pPr>
      <w:r w:rsidRPr="00A07AF9">
        <w:rPr>
          <w:rFonts w:ascii="ITC Avant Garde" w:hAnsi="ITC Avant Garde"/>
          <w:bCs/>
          <w:sz w:val="18"/>
          <w:szCs w:val="18"/>
        </w:rPr>
        <w:t>“</w:t>
      </w:r>
      <w:r w:rsidRPr="00A07AF9">
        <w:rPr>
          <w:rFonts w:ascii="ITC Avant Garde" w:hAnsi="ITC Avant Garde"/>
          <w:b/>
          <w:bCs/>
          <w:sz w:val="18"/>
          <w:szCs w:val="18"/>
        </w:rPr>
        <w:t>Artículo 86.</w:t>
      </w:r>
      <w:r w:rsidRPr="00A07AF9">
        <w:rPr>
          <w:rFonts w:ascii="ITC Avant Garde" w:hAnsi="ITC Avant Garde"/>
          <w:bCs/>
          <w:sz w:val="18"/>
          <w:szCs w:val="18"/>
        </w:rPr>
        <w:t xml:space="preserve"> Las siguientes concentraciones deberán ser autorizadas por la Comisión antes de que se lleven a cabo:</w:t>
      </w:r>
    </w:p>
    <w:p w14:paraId="6B4F32EC" w14:textId="77777777" w:rsidR="00FA1BA8" w:rsidRPr="00A07AF9" w:rsidRDefault="00FA1BA8" w:rsidP="00CA205F">
      <w:pPr>
        <w:pStyle w:val="Prrafodelista"/>
        <w:numPr>
          <w:ilvl w:val="0"/>
          <w:numId w:val="9"/>
        </w:numPr>
        <w:autoSpaceDE w:val="0"/>
        <w:autoSpaceDN w:val="0"/>
        <w:adjustRightInd w:val="0"/>
        <w:spacing w:afterLines="120" w:after="288"/>
        <w:ind w:right="615" w:hanging="11"/>
        <w:jc w:val="both"/>
        <w:rPr>
          <w:rFonts w:ascii="ITC Avant Garde" w:hAnsi="ITC Avant Garde"/>
          <w:bCs/>
          <w:sz w:val="18"/>
          <w:szCs w:val="18"/>
        </w:rPr>
      </w:pPr>
      <w:r w:rsidRPr="00A07AF9">
        <w:rPr>
          <w:rFonts w:ascii="ITC Avant Garde" w:hAnsi="ITC Avant Garde"/>
          <w:bCs/>
          <w:sz w:val="18"/>
          <w:szCs w:val="18"/>
        </w:rPr>
        <w:t xml:space="preserve"> Cuando el acto o sucesión de actos que les den origen, independientemente del lugar de su celebración, importen en el territorio nacional, directa o indirectamente, un monto superior al equivalente a dieciocho millones de veces el salario mínimo general diario vigente para el Distrito Federal;</w:t>
      </w:r>
    </w:p>
    <w:p w14:paraId="7BB4D701" w14:textId="77777777" w:rsidR="004F2622" w:rsidRPr="00A07AF9" w:rsidRDefault="00FA1BA8" w:rsidP="00CA205F">
      <w:pPr>
        <w:pStyle w:val="Prrafodelista"/>
        <w:numPr>
          <w:ilvl w:val="0"/>
          <w:numId w:val="9"/>
        </w:numPr>
        <w:autoSpaceDE w:val="0"/>
        <w:autoSpaceDN w:val="0"/>
        <w:adjustRightInd w:val="0"/>
        <w:spacing w:afterLines="120" w:after="288"/>
        <w:ind w:right="615" w:hanging="11"/>
        <w:jc w:val="both"/>
        <w:rPr>
          <w:rFonts w:ascii="ITC Avant Garde" w:hAnsi="ITC Avant Garde"/>
          <w:bCs/>
          <w:sz w:val="18"/>
          <w:szCs w:val="18"/>
        </w:rPr>
      </w:pPr>
      <w:r w:rsidRPr="00A07AF9">
        <w:rPr>
          <w:rFonts w:ascii="ITC Avant Garde" w:hAnsi="ITC Avant Garde"/>
          <w:bCs/>
          <w:sz w:val="18"/>
          <w:szCs w:val="18"/>
        </w:rPr>
        <w:t>Cuando el acto o sucesión de actos que les den origen, impliquen la acumulación del treinta y cinco por ciento o más de los activos o acciones de un Agente Económico, cuyas ventas anuales originadas en el territorio nacional o activos en el territorio nacional importen más del equivalente a dieciocho millones de veces el salario mínimo general diario vigente para el Distrito Federal, o</w:t>
      </w:r>
    </w:p>
    <w:p w14:paraId="305297D1" w14:textId="63A931D4" w:rsidR="00FA1BA8" w:rsidRPr="00A07AF9" w:rsidRDefault="00FA1BA8" w:rsidP="00CA205F">
      <w:pPr>
        <w:pStyle w:val="Prrafodelista"/>
        <w:numPr>
          <w:ilvl w:val="0"/>
          <w:numId w:val="9"/>
        </w:numPr>
        <w:autoSpaceDE w:val="0"/>
        <w:autoSpaceDN w:val="0"/>
        <w:adjustRightInd w:val="0"/>
        <w:spacing w:afterLines="120" w:after="288"/>
        <w:ind w:right="615" w:hanging="11"/>
        <w:jc w:val="both"/>
        <w:rPr>
          <w:rFonts w:ascii="ITC Avant Garde" w:hAnsi="ITC Avant Garde"/>
          <w:bCs/>
          <w:sz w:val="18"/>
          <w:szCs w:val="18"/>
        </w:rPr>
      </w:pPr>
      <w:r w:rsidRPr="00A07AF9">
        <w:rPr>
          <w:rFonts w:ascii="ITC Avant Garde" w:hAnsi="ITC Avant Garde"/>
          <w:bCs/>
          <w:sz w:val="18"/>
          <w:szCs w:val="18"/>
        </w:rPr>
        <w:t xml:space="preserve"> Cuando el acto o sucesión de actos que les den origen impliquen una acumulación en el territorio nacional de activos o capital social superior al equivalente a ocho millones cuatrocientas mil veces el salario mínimo general diario vigente para el Distrito Federal y en la concentración participen dos o más Agentes Económicos cuyas ventas anuales originadas en el territorio nacional o activos en el territorio nacional conjunta o separadamente, importen más de cuarenta y ocho millones de veces el salario mínimo general diario vigente para el Distrito Federal.</w:t>
      </w:r>
    </w:p>
    <w:p w14:paraId="70A5BE84" w14:textId="77777777" w:rsidR="00A07AF9" w:rsidRPr="00A07AF9" w:rsidRDefault="00FA1BA8" w:rsidP="00CA205F">
      <w:pPr>
        <w:autoSpaceDE w:val="0"/>
        <w:autoSpaceDN w:val="0"/>
        <w:adjustRightInd w:val="0"/>
        <w:spacing w:afterLines="120" w:after="288" w:line="240" w:lineRule="auto"/>
        <w:ind w:left="426" w:right="332"/>
        <w:jc w:val="both"/>
        <w:rPr>
          <w:rFonts w:ascii="ITC Avant Garde" w:hAnsi="ITC Avant Garde"/>
          <w:bCs/>
          <w:sz w:val="18"/>
          <w:szCs w:val="18"/>
        </w:rPr>
      </w:pPr>
      <w:r w:rsidRPr="00A07AF9">
        <w:rPr>
          <w:rFonts w:ascii="ITC Avant Garde" w:hAnsi="ITC Avant Garde"/>
          <w:bCs/>
          <w:sz w:val="18"/>
          <w:szCs w:val="18"/>
        </w:rPr>
        <w:t>Los actos realizados en contravención a este artículo no producirán efectos jurídicos, sin perjuicio de la responsabilidad administrativa, civil o penal de los Agentes Económicos y de las personas que ordenaron o coadyuvaron en la ejecución, así como de los fedatarios públicos que hayan intervenido en los mismos.</w:t>
      </w:r>
    </w:p>
    <w:p w14:paraId="64D1892D" w14:textId="77777777" w:rsidR="00A07AF9" w:rsidRPr="00A07AF9" w:rsidRDefault="00FA1BA8" w:rsidP="00CA205F">
      <w:pPr>
        <w:autoSpaceDE w:val="0"/>
        <w:autoSpaceDN w:val="0"/>
        <w:adjustRightInd w:val="0"/>
        <w:spacing w:afterLines="120" w:after="288" w:line="240" w:lineRule="auto"/>
        <w:ind w:left="426" w:right="332"/>
        <w:jc w:val="both"/>
        <w:rPr>
          <w:rFonts w:ascii="ITC Avant Garde" w:hAnsi="ITC Avant Garde"/>
          <w:bCs/>
          <w:sz w:val="18"/>
          <w:szCs w:val="18"/>
        </w:rPr>
      </w:pPr>
      <w:r w:rsidRPr="00A07AF9">
        <w:rPr>
          <w:rFonts w:ascii="ITC Avant Garde" w:hAnsi="ITC Avant Garde"/>
          <w:bCs/>
          <w:sz w:val="18"/>
          <w:szCs w:val="18"/>
        </w:rPr>
        <w:t>Los actos relativos a una concentración no podrán registrarse en los libros corporativos, formalizarse en instrumento público ni inscribirse en el Registro Público de Comercio hasta que se obtenga la autorización favorable de la Comisión o haya transcurrido el plazo a que se refiere el artículo 90, fracción V, sin que el Pleno haya emitido resolución.</w:t>
      </w:r>
    </w:p>
    <w:p w14:paraId="6E0F4DB7" w14:textId="77777777" w:rsidR="00A07AF9" w:rsidRPr="00A07AF9" w:rsidRDefault="00FA1BA8" w:rsidP="00CA205F">
      <w:pPr>
        <w:autoSpaceDE w:val="0"/>
        <w:autoSpaceDN w:val="0"/>
        <w:adjustRightInd w:val="0"/>
        <w:spacing w:afterLines="120" w:after="288" w:line="240" w:lineRule="auto"/>
        <w:ind w:left="426" w:right="332"/>
        <w:jc w:val="both"/>
        <w:rPr>
          <w:rFonts w:ascii="ITC Avant Garde" w:hAnsi="ITC Avant Garde"/>
          <w:bCs/>
          <w:sz w:val="18"/>
          <w:szCs w:val="18"/>
        </w:rPr>
      </w:pPr>
      <w:r w:rsidRPr="00A07AF9">
        <w:rPr>
          <w:rFonts w:ascii="ITC Avant Garde" w:hAnsi="ITC Avant Garde"/>
          <w:bCs/>
          <w:sz w:val="18"/>
          <w:szCs w:val="18"/>
        </w:rPr>
        <w:t xml:space="preserve">Los Agentes Económicos involucrados que no se encuentren en los supuestos establecidos en las fracciones I, II y III de este artículo podrán notificarla voluntariamente a la Comisión.” </w:t>
      </w:r>
    </w:p>
    <w:p w14:paraId="20422D31" w14:textId="77777777" w:rsidR="00A07AF9" w:rsidRPr="00A07AF9" w:rsidRDefault="00FA1BA8" w:rsidP="00CA205F">
      <w:pPr>
        <w:autoSpaceDE w:val="0"/>
        <w:autoSpaceDN w:val="0"/>
        <w:adjustRightInd w:val="0"/>
        <w:spacing w:afterLines="120" w:after="288" w:line="240" w:lineRule="auto"/>
        <w:jc w:val="both"/>
        <w:rPr>
          <w:rFonts w:ascii="ITC Avant Garde" w:hAnsi="ITC Avant Garde"/>
          <w:bCs/>
        </w:rPr>
      </w:pPr>
      <w:r w:rsidRPr="00A07AF9">
        <w:rPr>
          <w:rFonts w:ascii="ITC Avant Garde" w:hAnsi="ITC Avant Garde"/>
          <w:bCs/>
        </w:rPr>
        <w:t xml:space="preserve">Como se desprende del citado precepto, únicamente los casos que encuadren en los supuestos normativos indicados en las fracciones I, II y III del mismo, deberán ser autorizados previamente por este Instituto en términos del artículo 87 de la Ley de Competencia; y de igual forma, los Agentes Económicos que participen directamente </w:t>
      </w:r>
      <w:r w:rsidRPr="00A07AF9">
        <w:rPr>
          <w:rFonts w:ascii="ITC Avant Garde" w:hAnsi="ITC Avant Garde"/>
          <w:bCs/>
        </w:rPr>
        <w:lastRenderedPageBreak/>
        <w:t>en la concentración de que se trate están obligados a notificarla a este Instituto, tal y como lo dispone el artículo 88 de la Ley de Competencia.</w:t>
      </w:r>
    </w:p>
    <w:p w14:paraId="2D88E575" w14:textId="77777777" w:rsidR="00A07AF9" w:rsidRPr="00A07AF9" w:rsidRDefault="00E171F7" w:rsidP="00CA205F">
      <w:pPr>
        <w:autoSpaceDE w:val="0"/>
        <w:autoSpaceDN w:val="0"/>
        <w:adjustRightInd w:val="0"/>
        <w:spacing w:afterLines="120" w:after="288" w:line="240" w:lineRule="auto"/>
        <w:jc w:val="both"/>
        <w:rPr>
          <w:rFonts w:ascii="ITC Avant Garde" w:hAnsi="ITC Avant Garde"/>
          <w:bCs/>
        </w:rPr>
      </w:pPr>
      <w:r w:rsidRPr="00A07AF9">
        <w:rPr>
          <w:rFonts w:ascii="ITC Avant Garde" w:hAnsi="ITC Avant Garde"/>
          <w:bCs/>
        </w:rPr>
        <w:t xml:space="preserve">No </w:t>
      </w:r>
      <w:proofErr w:type="gramStart"/>
      <w:r w:rsidRPr="00A07AF9">
        <w:rPr>
          <w:rFonts w:ascii="ITC Avant Garde" w:hAnsi="ITC Avant Garde"/>
          <w:bCs/>
        </w:rPr>
        <w:t>obstante</w:t>
      </w:r>
      <w:proofErr w:type="gramEnd"/>
      <w:r w:rsidRPr="00A07AF9">
        <w:rPr>
          <w:rFonts w:ascii="ITC Avant Garde" w:hAnsi="ITC Avant Garde"/>
          <w:bCs/>
        </w:rPr>
        <w:t xml:space="preserve"> lo anterior, el artículo 93 fracción I de la Ley de Competencia señala lo siguiente:</w:t>
      </w:r>
    </w:p>
    <w:p w14:paraId="52340125" w14:textId="25CC669A" w:rsidR="00E171F7" w:rsidRPr="00A07AF9" w:rsidRDefault="00E171F7" w:rsidP="00CA205F">
      <w:pPr>
        <w:autoSpaceDE w:val="0"/>
        <w:autoSpaceDN w:val="0"/>
        <w:adjustRightInd w:val="0"/>
        <w:spacing w:afterLines="120" w:after="288" w:line="240" w:lineRule="auto"/>
        <w:ind w:left="426" w:right="332"/>
        <w:jc w:val="both"/>
        <w:rPr>
          <w:rFonts w:ascii="ITC Avant Garde" w:hAnsi="ITC Avant Garde"/>
          <w:bCs/>
          <w:sz w:val="18"/>
          <w:szCs w:val="18"/>
        </w:rPr>
      </w:pPr>
      <w:r w:rsidRPr="00A07AF9">
        <w:rPr>
          <w:rFonts w:ascii="ITC Avant Garde" w:hAnsi="ITC Avant Garde"/>
          <w:b/>
          <w:bCs/>
          <w:sz w:val="18"/>
          <w:szCs w:val="18"/>
        </w:rPr>
        <w:t>Artículo 93.</w:t>
      </w:r>
      <w:r w:rsidRPr="00A07AF9">
        <w:rPr>
          <w:rFonts w:ascii="ITC Avant Garde" w:hAnsi="ITC Avant Garde"/>
          <w:bCs/>
          <w:sz w:val="18"/>
          <w:szCs w:val="18"/>
        </w:rPr>
        <w:t xml:space="preserve"> No se requerirá autorización de concentraciones a que se refiere el artículo 86 de esta Ley en los casos siguientes:</w:t>
      </w:r>
    </w:p>
    <w:p w14:paraId="13D53330" w14:textId="2D689E39" w:rsidR="00E171F7" w:rsidRPr="00A07AF9" w:rsidRDefault="00E171F7" w:rsidP="00CA205F">
      <w:pPr>
        <w:autoSpaceDE w:val="0"/>
        <w:autoSpaceDN w:val="0"/>
        <w:adjustRightInd w:val="0"/>
        <w:spacing w:afterLines="120" w:after="288" w:line="240" w:lineRule="auto"/>
        <w:ind w:left="426" w:right="332"/>
        <w:jc w:val="both"/>
        <w:rPr>
          <w:rFonts w:ascii="ITC Avant Garde" w:hAnsi="ITC Avant Garde"/>
          <w:bCs/>
          <w:sz w:val="18"/>
          <w:szCs w:val="18"/>
        </w:rPr>
      </w:pPr>
      <w:r w:rsidRPr="00A07AF9">
        <w:rPr>
          <w:rFonts w:ascii="ITC Avant Garde" w:hAnsi="ITC Avant Garde"/>
          <w:bCs/>
          <w:sz w:val="18"/>
          <w:szCs w:val="18"/>
        </w:rPr>
        <w:t>Cuando la transacción implique una reestructuración corporativa, en la cual los Agentes Económicos pertenezcan al mismo grupo de interés económico y ningún tercero participe en la concentración;</w:t>
      </w:r>
    </w:p>
    <w:p w14:paraId="218AAB4E" w14:textId="04E18F83" w:rsidR="00E171F7" w:rsidRPr="00A07AF9" w:rsidRDefault="00E171F7" w:rsidP="00CA205F">
      <w:pPr>
        <w:autoSpaceDE w:val="0"/>
        <w:autoSpaceDN w:val="0"/>
        <w:adjustRightInd w:val="0"/>
        <w:spacing w:afterLines="120" w:after="288" w:line="240" w:lineRule="auto"/>
        <w:ind w:left="426" w:right="332"/>
        <w:jc w:val="both"/>
        <w:rPr>
          <w:rFonts w:ascii="ITC Avant Garde" w:hAnsi="ITC Avant Garde"/>
          <w:bCs/>
          <w:sz w:val="18"/>
          <w:szCs w:val="18"/>
        </w:rPr>
      </w:pPr>
      <w:r w:rsidRPr="00A07AF9">
        <w:rPr>
          <w:rFonts w:ascii="ITC Avant Garde" w:hAnsi="ITC Avant Garde"/>
          <w:bCs/>
          <w:sz w:val="18"/>
          <w:szCs w:val="18"/>
        </w:rPr>
        <w:t>[…]”</w:t>
      </w:r>
    </w:p>
    <w:p w14:paraId="22455F46" w14:textId="77777777" w:rsidR="00A07AF9" w:rsidRPr="00A07AF9" w:rsidRDefault="00E171F7" w:rsidP="00CA205F">
      <w:pPr>
        <w:autoSpaceDE w:val="0"/>
        <w:autoSpaceDN w:val="0"/>
        <w:adjustRightInd w:val="0"/>
        <w:spacing w:afterLines="120" w:after="288" w:line="240" w:lineRule="auto"/>
        <w:jc w:val="both"/>
        <w:rPr>
          <w:rFonts w:ascii="ITC Avant Garde" w:hAnsi="ITC Avant Garde"/>
          <w:bCs/>
        </w:rPr>
      </w:pPr>
      <w:r w:rsidRPr="00A07AF9">
        <w:rPr>
          <w:rFonts w:ascii="ITC Avant Garde" w:hAnsi="ITC Avant Garde"/>
          <w:bCs/>
        </w:rPr>
        <w:t xml:space="preserve">De lo anterior se concluye que si la transacción de que se trate implica una reestructura corporativa, en la cual los agentes económicos involucrados pertenezcan al mismo grupo de interés económico, no se requerirá la autorización prevista en el artículo 86 de la Ley de Competencia. </w:t>
      </w:r>
    </w:p>
    <w:p w14:paraId="68DFE8B4" w14:textId="77777777" w:rsidR="00A07AF9" w:rsidRPr="00A07AF9" w:rsidRDefault="00126DEC" w:rsidP="00CA205F">
      <w:pPr>
        <w:autoSpaceDE w:val="0"/>
        <w:autoSpaceDN w:val="0"/>
        <w:adjustRightInd w:val="0"/>
        <w:spacing w:afterLines="120" w:after="288" w:line="240" w:lineRule="auto"/>
        <w:jc w:val="both"/>
        <w:rPr>
          <w:rFonts w:ascii="ITC Avant Garde" w:hAnsi="ITC Avant Garde"/>
          <w:bCs/>
        </w:rPr>
      </w:pPr>
      <w:proofErr w:type="gramStart"/>
      <w:r w:rsidRPr="00A07AF9">
        <w:rPr>
          <w:rFonts w:ascii="ITC Avant Garde" w:hAnsi="ITC Avant Garde"/>
          <w:b/>
          <w:bCs/>
        </w:rPr>
        <w:t>Cuarto</w:t>
      </w:r>
      <w:r w:rsidR="00D04074" w:rsidRPr="00A07AF9">
        <w:rPr>
          <w:rFonts w:ascii="ITC Avant Garde" w:hAnsi="ITC Avant Garde"/>
          <w:b/>
          <w:bCs/>
        </w:rPr>
        <w:t>.-</w:t>
      </w:r>
      <w:proofErr w:type="gramEnd"/>
      <w:r w:rsidR="00D04074" w:rsidRPr="00A07AF9">
        <w:rPr>
          <w:rFonts w:ascii="ITC Avant Garde" w:hAnsi="ITC Avant Garde"/>
          <w:b/>
          <w:bCs/>
        </w:rPr>
        <w:t xml:space="preserve"> </w:t>
      </w:r>
      <w:r w:rsidR="003172FD" w:rsidRPr="00A07AF9">
        <w:rPr>
          <w:rFonts w:ascii="ITC Avant Garde" w:hAnsi="ITC Avant Garde"/>
          <w:b/>
          <w:bCs/>
        </w:rPr>
        <w:t>Análisis de la Solicitu</w:t>
      </w:r>
      <w:r w:rsidR="00726BA0" w:rsidRPr="00A07AF9">
        <w:rPr>
          <w:rFonts w:ascii="ITC Avant Garde" w:hAnsi="ITC Avant Garde"/>
          <w:b/>
          <w:bCs/>
        </w:rPr>
        <w:t>d de Enajenación de Acciones</w:t>
      </w:r>
      <w:r w:rsidR="003172FD" w:rsidRPr="00A07AF9">
        <w:rPr>
          <w:rFonts w:ascii="ITC Avant Garde" w:hAnsi="ITC Avant Garde"/>
          <w:b/>
          <w:bCs/>
        </w:rPr>
        <w:t>.</w:t>
      </w:r>
      <w:r w:rsidR="003172FD" w:rsidRPr="00A07AF9">
        <w:rPr>
          <w:rFonts w:ascii="ITC Avant Garde" w:hAnsi="ITC Avant Garde"/>
          <w:bCs/>
        </w:rPr>
        <w:t xml:space="preserve"> </w:t>
      </w:r>
      <w:r w:rsidR="002512DD" w:rsidRPr="00A07AF9">
        <w:rPr>
          <w:rFonts w:ascii="ITC Avant Garde" w:hAnsi="ITC Avant Garde"/>
          <w:bCs/>
        </w:rPr>
        <w:t xml:space="preserve">De la revisión al marco legal aplicable, </w:t>
      </w:r>
      <w:r w:rsidR="005F6492" w:rsidRPr="00A07AF9">
        <w:rPr>
          <w:rFonts w:ascii="ITC Avant Garde" w:hAnsi="ITC Avant Garde"/>
          <w:bCs/>
        </w:rPr>
        <w:t>se concluye</w:t>
      </w:r>
      <w:r w:rsidR="002512DD" w:rsidRPr="00A07AF9">
        <w:rPr>
          <w:rFonts w:ascii="ITC Avant Garde" w:hAnsi="ITC Avant Garde"/>
          <w:bCs/>
        </w:rPr>
        <w:t xml:space="preserve"> que los requisitos de procedencia que debe cumplir </w:t>
      </w:r>
      <w:r w:rsidR="008E46F0" w:rsidRPr="00A07AF9">
        <w:rPr>
          <w:rFonts w:ascii="ITC Avant Garde" w:hAnsi="ITC Avant Garde"/>
          <w:bCs/>
        </w:rPr>
        <w:t>el c</w:t>
      </w:r>
      <w:r w:rsidR="002512DD" w:rsidRPr="00A07AF9">
        <w:rPr>
          <w:rFonts w:ascii="ITC Avant Garde" w:hAnsi="ITC Avant Garde"/>
          <w:bCs/>
        </w:rPr>
        <w:t>oncesionario que solicite autorización para llevar a cabo la suscripción o enajenación de acciones</w:t>
      </w:r>
      <w:r w:rsidR="008E46F0" w:rsidRPr="00A07AF9">
        <w:rPr>
          <w:rFonts w:ascii="ITC Avant Garde" w:hAnsi="ITC Avant Garde"/>
          <w:bCs/>
        </w:rPr>
        <w:t xml:space="preserve"> o partes sociales del capital</w:t>
      </w:r>
      <w:r w:rsidR="009F74AB" w:rsidRPr="00A07AF9">
        <w:rPr>
          <w:rFonts w:ascii="ITC Avant Garde" w:hAnsi="ITC Avant Garde"/>
          <w:bCs/>
        </w:rPr>
        <w:t>,</w:t>
      </w:r>
      <w:r w:rsidR="008E46F0" w:rsidRPr="00A07AF9">
        <w:rPr>
          <w:rFonts w:ascii="ITC Avant Garde" w:hAnsi="ITC Avant Garde"/>
          <w:bCs/>
        </w:rPr>
        <w:t xml:space="preserve"> </w:t>
      </w:r>
      <w:r w:rsidR="002512DD" w:rsidRPr="00A07AF9">
        <w:rPr>
          <w:rFonts w:ascii="ITC Avant Garde" w:hAnsi="ITC Avant Garde"/>
          <w:bCs/>
        </w:rPr>
        <w:t>son:</w:t>
      </w:r>
    </w:p>
    <w:p w14:paraId="5B7A6B1E" w14:textId="5A64D22D" w:rsidR="002512DD" w:rsidRPr="00A07AF9" w:rsidRDefault="002512DD" w:rsidP="00CA205F">
      <w:pPr>
        <w:pStyle w:val="Prrafodelista"/>
        <w:numPr>
          <w:ilvl w:val="0"/>
          <w:numId w:val="7"/>
        </w:numPr>
        <w:spacing w:afterLines="120" w:after="288"/>
        <w:ind w:left="1077" w:hanging="357"/>
        <w:jc w:val="both"/>
        <w:rPr>
          <w:rFonts w:ascii="ITC Avant Garde" w:eastAsia="Calibri" w:hAnsi="ITC Avant Garde"/>
          <w:bCs/>
          <w:sz w:val="22"/>
          <w:szCs w:val="22"/>
          <w:lang w:val="es-MX" w:eastAsia="en-US"/>
        </w:rPr>
      </w:pPr>
      <w:r w:rsidRPr="00A07AF9">
        <w:rPr>
          <w:rFonts w:ascii="ITC Avant Garde" w:eastAsia="Calibri" w:hAnsi="ITC Avant Garde"/>
          <w:bCs/>
          <w:sz w:val="22"/>
          <w:szCs w:val="22"/>
          <w:lang w:val="es-MX" w:eastAsia="en-US"/>
        </w:rPr>
        <w:t xml:space="preserve">Que el titular de la concesión dé aviso al Instituto por escrito que pretende llevar a cabo una enajenación de acciones, </w:t>
      </w:r>
      <w:r w:rsidR="000A1861" w:rsidRPr="00A07AF9">
        <w:rPr>
          <w:rFonts w:ascii="ITC Avant Garde" w:eastAsia="Calibri" w:hAnsi="ITC Avant Garde"/>
          <w:bCs/>
          <w:sz w:val="22"/>
          <w:szCs w:val="22"/>
          <w:lang w:val="es-MX" w:eastAsia="en-US"/>
        </w:rPr>
        <w:t>debiendo acompañar el aviso con la información detallada de las personas interesadas en adquirir las acciones o partes sociales</w:t>
      </w:r>
      <w:r w:rsidRPr="00A07AF9">
        <w:rPr>
          <w:rFonts w:ascii="ITC Avant Garde" w:eastAsia="Calibri" w:hAnsi="ITC Avant Garde"/>
          <w:bCs/>
          <w:sz w:val="22"/>
          <w:szCs w:val="22"/>
          <w:lang w:val="es-MX" w:eastAsia="en-US"/>
        </w:rPr>
        <w:t>.</w:t>
      </w:r>
    </w:p>
    <w:p w14:paraId="026C3425" w14:textId="2113BE58" w:rsidR="002512DD" w:rsidRPr="00A07AF9" w:rsidRDefault="002512DD" w:rsidP="00CA205F">
      <w:pPr>
        <w:pStyle w:val="Prrafodelista"/>
        <w:numPr>
          <w:ilvl w:val="0"/>
          <w:numId w:val="7"/>
        </w:numPr>
        <w:autoSpaceDE w:val="0"/>
        <w:autoSpaceDN w:val="0"/>
        <w:adjustRightInd w:val="0"/>
        <w:spacing w:afterLines="120" w:after="288"/>
        <w:jc w:val="both"/>
        <w:rPr>
          <w:rFonts w:ascii="ITC Avant Garde" w:hAnsi="ITC Avant Garde"/>
          <w:bCs/>
          <w:sz w:val="22"/>
          <w:szCs w:val="22"/>
        </w:rPr>
      </w:pPr>
      <w:r w:rsidRPr="00A07AF9">
        <w:rPr>
          <w:rFonts w:ascii="ITC Avant Garde" w:eastAsia="Calibri" w:hAnsi="ITC Avant Garde"/>
          <w:bCs/>
          <w:sz w:val="22"/>
          <w:szCs w:val="22"/>
        </w:rPr>
        <w:t>Que el concesionario exhiba comprobante de pago de derechos establecido en la Ley Federal de Derechos.</w:t>
      </w:r>
    </w:p>
    <w:p w14:paraId="2358910D" w14:textId="77777777" w:rsidR="00A07AF9" w:rsidRPr="00A07AF9" w:rsidRDefault="002F1E38" w:rsidP="00CA205F">
      <w:pPr>
        <w:pStyle w:val="Prrafodelista"/>
        <w:numPr>
          <w:ilvl w:val="0"/>
          <w:numId w:val="7"/>
        </w:numPr>
        <w:autoSpaceDE w:val="0"/>
        <w:autoSpaceDN w:val="0"/>
        <w:adjustRightInd w:val="0"/>
        <w:spacing w:afterLines="120" w:after="288"/>
        <w:jc w:val="both"/>
        <w:rPr>
          <w:rFonts w:ascii="ITC Avant Garde" w:hAnsi="ITC Avant Garde"/>
          <w:bCs/>
          <w:sz w:val="22"/>
          <w:szCs w:val="22"/>
        </w:rPr>
      </w:pPr>
      <w:r w:rsidRPr="00A07AF9">
        <w:rPr>
          <w:rFonts w:ascii="ITC Avant Garde" w:eastAsia="Calibri" w:hAnsi="ITC Avant Garde"/>
          <w:bCs/>
          <w:sz w:val="22"/>
          <w:szCs w:val="22"/>
        </w:rPr>
        <w:t>Que la Secretaría emita la opinión técnica no vinculante, prevista en el artículo 28 párrafo décimo séptimo de la Constitución y en el artículo 112 párrafo segundo fracción II</w:t>
      </w:r>
      <w:r w:rsidR="00A17975" w:rsidRPr="00A07AF9">
        <w:rPr>
          <w:rFonts w:ascii="ITC Avant Garde" w:eastAsia="Calibri" w:hAnsi="ITC Avant Garde"/>
          <w:bCs/>
          <w:sz w:val="22"/>
          <w:szCs w:val="22"/>
        </w:rPr>
        <w:t>I</w:t>
      </w:r>
      <w:r w:rsidRPr="00A07AF9">
        <w:rPr>
          <w:rFonts w:ascii="ITC Avant Garde" w:eastAsia="Calibri" w:hAnsi="ITC Avant Garde"/>
          <w:bCs/>
          <w:sz w:val="22"/>
          <w:szCs w:val="22"/>
        </w:rPr>
        <w:t xml:space="preserve"> de la Ley, respecto de las solicitudes de enajenación de acciones.</w:t>
      </w:r>
    </w:p>
    <w:p w14:paraId="71C678FC" w14:textId="77777777" w:rsidR="00A07AF9" w:rsidRPr="00A07AF9" w:rsidRDefault="002512DD" w:rsidP="00CA205F">
      <w:pPr>
        <w:autoSpaceDE w:val="0"/>
        <w:autoSpaceDN w:val="0"/>
        <w:adjustRightInd w:val="0"/>
        <w:spacing w:afterLines="120" w:after="288" w:line="240" w:lineRule="auto"/>
        <w:jc w:val="both"/>
        <w:rPr>
          <w:rFonts w:ascii="ITC Avant Garde" w:hAnsi="ITC Avant Garde"/>
          <w:bCs/>
          <w:color w:val="000000" w:themeColor="text1"/>
          <w:lang w:eastAsia="es-MX"/>
        </w:rPr>
      </w:pPr>
      <w:r w:rsidRPr="00A07AF9">
        <w:rPr>
          <w:rFonts w:ascii="ITC Avant Garde" w:hAnsi="ITC Avant Garde"/>
          <w:bCs/>
          <w:lang w:val="es-ES" w:eastAsia="es-ES"/>
        </w:rPr>
        <w:t>En primera instancia, destaca</w:t>
      </w:r>
      <w:r w:rsidR="003172FD" w:rsidRPr="00A07AF9">
        <w:rPr>
          <w:rFonts w:ascii="ITC Avant Garde" w:hAnsi="ITC Avant Garde"/>
          <w:bCs/>
          <w:lang w:val="es-ES" w:eastAsia="es-ES"/>
        </w:rPr>
        <w:t xml:space="preserve"> que en el e</w:t>
      </w:r>
      <w:r w:rsidR="004D3822" w:rsidRPr="00A07AF9">
        <w:rPr>
          <w:rFonts w:ascii="ITC Avant Garde" w:hAnsi="ITC Avant Garde"/>
          <w:bCs/>
          <w:lang w:val="es-ES" w:eastAsia="es-ES"/>
        </w:rPr>
        <w:t>xpediente administrativo consta</w:t>
      </w:r>
      <w:r w:rsidR="003172FD" w:rsidRPr="00A07AF9">
        <w:rPr>
          <w:rFonts w:ascii="ITC Avant Garde" w:hAnsi="ITC Avant Garde"/>
          <w:bCs/>
          <w:lang w:val="es-ES" w:eastAsia="es-ES"/>
        </w:rPr>
        <w:t xml:space="preserve"> </w:t>
      </w:r>
      <w:r w:rsidR="002F047E" w:rsidRPr="00A07AF9">
        <w:rPr>
          <w:rFonts w:ascii="ITC Avant Garde" w:hAnsi="ITC Avant Garde"/>
          <w:bCs/>
          <w:lang w:val="es-ES" w:eastAsia="es-ES"/>
        </w:rPr>
        <w:t>e</w:t>
      </w:r>
      <w:r w:rsidR="00553828" w:rsidRPr="00A07AF9">
        <w:rPr>
          <w:rFonts w:ascii="ITC Avant Garde" w:hAnsi="ITC Avant Garde"/>
          <w:bCs/>
          <w:lang w:val="es-ES" w:eastAsia="es-ES"/>
        </w:rPr>
        <w:t>l escrito</w:t>
      </w:r>
      <w:r w:rsidR="004D3822" w:rsidRPr="00A07AF9">
        <w:rPr>
          <w:rFonts w:ascii="ITC Avant Garde" w:hAnsi="ITC Avant Garde"/>
          <w:bCs/>
          <w:lang w:val="es-ES" w:eastAsia="es-ES"/>
        </w:rPr>
        <w:t xml:space="preserve"> </w:t>
      </w:r>
      <w:r w:rsidR="00331BF9" w:rsidRPr="00A07AF9">
        <w:rPr>
          <w:rFonts w:ascii="ITC Avant Garde" w:hAnsi="ITC Avant Garde"/>
          <w:bCs/>
          <w:lang w:val="es-ES" w:eastAsia="es-ES"/>
        </w:rPr>
        <w:t>presentado</w:t>
      </w:r>
      <w:r w:rsidR="006A53AA" w:rsidRPr="00A07AF9">
        <w:rPr>
          <w:rFonts w:ascii="ITC Avant Garde" w:hAnsi="ITC Avant Garde"/>
          <w:bCs/>
          <w:lang w:val="es-ES" w:eastAsia="es-ES"/>
        </w:rPr>
        <w:t xml:space="preserve"> ante este Instituto </w:t>
      </w:r>
      <w:r w:rsidR="002F047E" w:rsidRPr="00A07AF9">
        <w:rPr>
          <w:rFonts w:ascii="ITC Avant Garde" w:hAnsi="ITC Avant Garde"/>
          <w:bCs/>
          <w:lang w:val="es-ES" w:eastAsia="es-ES"/>
        </w:rPr>
        <w:t>e</w:t>
      </w:r>
      <w:r w:rsidR="00331BF9" w:rsidRPr="00A07AF9">
        <w:rPr>
          <w:rFonts w:ascii="ITC Avant Garde" w:hAnsi="ITC Avant Garde"/>
          <w:bCs/>
          <w:lang w:val="es-ES" w:eastAsia="es-ES"/>
        </w:rPr>
        <w:t>l</w:t>
      </w:r>
      <w:r w:rsidR="006A53AA" w:rsidRPr="00A07AF9">
        <w:rPr>
          <w:rFonts w:ascii="ITC Avant Garde" w:hAnsi="ITC Avant Garde"/>
          <w:bCs/>
          <w:lang w:val="es-ES" w:eastAsia="es-ES"/>
        </w:rPr>
        <w:t xml:space="preserve"> </w:t>
      </w:r>
      <w:r w:rsidR="007120C2" w:rsidRPr="00A07AF9">
        <w:rPr>
          <w:rFonts w:ascii="ITC Avant Garde" w:hAnsi="ITC Avant Garde"/>
          <w:bCs/>
          <w:lang w:val="es-ES" w:eastAsia="es-ES"/>
        </w:rPr>
        <w:t>2</w:t>
      </w:r>
      <w:r w:rsidR="006A53AA" w:rsidRPr="00A07AF9">
        <w:rPr>
          <w:rFonts w:ascii="ITC Avant Garde" w:hAnsi="ITC Avant Garde"/>
          <w:bCs/>
          <w:lang w:val="es-ES" w:eastAsia="es-ES"/>
        </w:rPr>
        <w:t xml:space="preserve"> </w:t>
      </w:r>
      <w:r w:rsidR="006F0187" w:rsidRPr="00A07AF9">
        <w:rPr>
          <w:rFonts w:ascii="ITC Avant Garde" w:hAnsi="ITC Avant Garde"/>
          <w:bCs/>
          <w:lang w:val="es-ES" w:eastAsia="es-ES"/>
        </w:rPr>
        <w:t xml:space="preserve">de </w:t>
      </w:r>
      <w:r w:rsidR="007120C2" w:rsidRPr="00A07AF9">
        <w:rPr>
          <w:rFonts w:ascii="ITC Avant Garde" w:hAnsi="ITC Avant Garde"/>
          <w:bCs/>
          <w:lang w:val="es-ES" w:eastAsia="es-ES"/>
        </w:rPr>
        <w:t>agosto</w:t>
      </w:r>
      <w:r w:rsidR="006A38C6" w:rsidRPr="00A07AF9">
        <w:rPr>
          <w:rFonts w:ascii="ITC Avant Garde" w:hAnsi="ITC Avant Garde"/>
          <w:bCs/>
          <w:lang w:val="es-ES" w:eastAsia="es-ES"/>
        </w:rPr>
        <w:t xml:space="preserve"> </w:t>
      </w:r>
      <w:r w:rsidR="004D3822" w:rsidRPr="00A07AF9">
        <w:rPr>
          <w:rFonts w:ascii="ITC Avant Garde" w:hAnsi="ITC Avant Garde"/>
          <w:bCs/>
          <w:lang w:val="es-ES" w:eastAsia="es-ES"/>
        </w:rPr>
        <w:t>de 201</w:t>
      </w:r>
      <w:r w:rsidR="007120C2" w:rsidRPr="00A07AF9">
        <w:rPr>
          <w:rFonts w:ascii="ITC Avant Garde" w:hAnsi="ITC Avant Garde"/>
          <w:bCs/>
          <w:lang w:val="es-ES" w:eastAsia="es-ES"/>
        </w:rPr>
        <w:t>6</w:t>
      </w:r>
      <w:r w:rsidR="004D3822" w:rsidRPr="00A07AF9">
        <w:rPr>
          <w:rFonts w:ascii="ITC Avant Garde" w:hAnsi="ITC Avant Garde"/>
          <w:bCs/>
          <w:lang w:val="es-ES" w:eastAsia="es-ES"/>
        </w:rPr>
        <w:t xml:space="preserve">, </w:t>
      </w:r>
      <w:r w:rsidR="003172FD" w:rsidRPr="00A07AF9">
        <w:rPr>
          <w:rFonts w:ascii="ITC Avant Garde" w:hAnsi="ITC Avant Garde"/>
          <w:bCs/>
          <w:lang w:val="es-ES" w:eastAsia="es-ES"/>
        </w:rPr>
        <w:t xml:space="preserve">mediante </w:t>
      </w:r>
      <w:r w:rsidR="004D3822" w:rsidRPr="00A07AF9">
        <w:rPr>
          <w:rFonts w:ascii="ITC Avant Garde" w:hAnsi="ITC Avant Garde"/>
          <w:bCs/>
          <w:lang w:val="es-ES" w:eastAsia="es-ES"/>
        </w:rPr>
        <w:t>el</w:t>
      </w:r>
      <w:r w:rsidR="003172FD" w:rsidRPr="00A07AF9">
        <w:rPr>
          <w:rFonts w:ascii="ITC Avant Garde" w:hAnsi="ITC Avant Garde"/>
          <w:bCs/>
          <w:lang w:val="es-ES" w:eastAsia="es-ES"/>
        </w:rPr>
        <w:t xml:space="preserve"> c</w:t>
      </w:r>
      <w:r w:rsidR="004D3822" w:rsidRPr="00A07AF9">
        <w:rPr>
          <w:rFonts w:ascii="ITC Avant Garde" w:hAnsi="ITC Avant Garde"/>
          <w:bCs/>
          <w:lang w:val="es-ES" w:eastAsia="es-ES"/>
        </w:rPr>
        <w:t>ual</w:t>
      </w:r>
      <w:r w:rsidR="003172FD" w:rsidRPr="00A07AF9">
        <w:rPr>
          <w:rFonts w:ascii="ITC Avant Garde" w:hAnsi="ITC Avant Garde"/>
          <w:bCs/>
          <w:lang w:val="es-ES" w:eastAsia="es-ES"/>
        </w:rPr>
        <w:t xml:space="preserve"> </w:t>
      </w:r>
      <w:r w:rsidR="007120C2" w:rsidRPr="00A07AF9">
        <w:rPr>
          <w:rFonts w:ascii="ITC Avant Garde" w:hAnsi="ITC Avant Garde"/>
          <w:bCs/>
          <w:lang w:val="es-ES" w:eastAsia="es-ES"/>
        </w:rPr>
        <w:t>Promoción y Asesoría Integral de Telecomunicaciones, S.C.</w:t>
      </w:r>
      <w:r w:rsidR="003818A7" w:rsidRPr="00A07AF9">
        <w:rPr>
          <w:rFonts w:ascii="ITC Avant Garde" w:hAnsi="ITC Avant Garde"/>
          <w:bCs/>
          <w:lang w:val="es-ES" w:eastAsia="es-ES"/>
        </w:rPr>
        <w:t>,</w:t>
      </w:r>
      <w:r w:rsidR="00380710" w:rsidRPr="00A07AF9">
        <w:rPr>
          <w:rFonts w:ascii="ITC Avant Garde" w:hAnsi="ITC Avant Garde"/>
          <w:bCs/>
          <w:lang w:val="es-ES" w:eastAsia="es-ES"/>
        </w:rPr>
        <w:t xml:space="preserve"> </w:t>
      </w:r>
      <w:r w:rsidR="000B11A2" w:rsidRPr="00A07AF9">
        <w:rPr>
          <w:rFonts w:ascii="ITC Avant Garde" w:hAnsi="ITC Avant Garde"/>
          <w:bCs/>
          <w:lang w:val="es-ES" w:eastAsia="es-ES"/>
        </w:rPr>
        <w:t>manifestó</w:t>
      </w:r>
      <w:r w:rsidR="003172FD" w:rsidRPr="00A07AF9">
        <w:rPr>
          <w:rFonts w:ascii="ITC Avant Garde" w:hAnsi="ITC Avant Garde"/>
          <w:bCs/>
          <w:lang w:val="es-ES" w:eastAsia="es-ES"/>
        </w:rPr>
        <w:t xml:space="preserve"> a través de su</w:t>
      </w:r>
      <w:r w:rsidR="00380710" w:rsidRPr="00A07AF9">
        <w:rPr>
          <w:rFonts w:ascii="ITC Avant Garde" w:hAnsi="ITC Avant Garde"/>
          <w:bCs/>
          <w:lang w:val="es-ES" w:eastAsia="es-ES"/>
        </w:rPr>
        <w:t xml:space="preserve"> representante</w:t>
      </w:r>
      <w:r w:rsidR="003172FD" w:rsidRPr="00A07AF9">
        <w:rPr>
          <w:rFonts w:ascii="ITC Avant Garde" w:hAnsi="ITC Avant Garde"/>
          <w:bCs/>
          <w:lang w:val="es-ES" w:eastAsia="es-ES"/>
        </w:rPr>
        <w:t xml:space="preserve"> legal</w:t>
      </w:r>
      <w:r w:rsidR="003A19E2" w:rsidRPr="00A07AF9">
        <w:rPr>
          <w:rFonts w:ascii="ITC Avant Garde" w:hAnsi="ITC Avant Garde"/>
          <w:bCs/>
          <w:lang w:val="es-ES" w:eastAsia="es-ES"/>
        </w:rPr>
        <w:t>,</w:t>
      </w:r>
      <w:r w:rsidR="003172FD" w:rsidRPr="00A07AF9">
        <w:rPr>
          <w:rFonts w:ascii="ITC Avant Garde" w:hAnsi="ITC Avant Garde"/>
          <w:bCs/>
          <w:lang w:val="es-ES" w:eastAsia="es-ES"/>
        </w:rPr>
        <w:t xml:space="preserve"> </w:t>
      </w:r>
      <w:r w:rsidR="003E02E9" w:rsidRPr="00A07AF9">
        <w:rPr>
          <w:rFonts w:ascii="ITC Avant Garde" w:hAnsi="ITC Avant Garde"/>
          <w:bCs/>
          <w:color w:val="000000" w:themeColor="text1"/>
          <w:lang w:eastAsia="es-MX"/>
        </w:rPr>
        <w:t xml:space="preserve">la intención de enajenar 18 </w:t>
      </w:r>
      <w:r w:rsidR="000B11A2" w:rsidRPr="00A07AF9">
        <w:rPr>
          <w:rFonts w:ascii="ITC Avant Garde" w:hAnsi="ITC Avant Garde"/>
          <w:bCs/>
          <w:color w:val="000000" w:themeColor="text1"/>
          <w:lang w:eastAsia="es-MX"/>
        </w:rPr>
        <w:t xml:space="preserve">de las 25 </w:t>
      </w:r>
      <w:r w:rsidR="003E02E9" w:rsidRPr="00A07AF9">
        <w:rPr>
          <w:rFonts w:ascii="ITC Avant Garde" w:hAnsi="ITC Avant Garde"/>
          <w:bCs/>
          <w:color w:val="000000" w:themeColor="text1"/>
          <w:lang w:eastAsia="es-MX"/>
        </w:rPr>
        <w:t xml:space="preserve">acciones propiedad del C. Marco Antonio Daniel Hernández Ramírez, a favor de los CC. </w:t>
      </w:r>
      <w:r w:rsidR="000B11A2" w:rsidRPr="00A07AF9">
        <w:rPr>
          <w:rFonts w:ascii="ITC Avant Garde" w:hAnsi="ITC Avant Garde"/>
          <w:bCs/>
          <w:color w:val="000000" w:themeColor="text1"/>
          <w:lang w:eastAsia="es-MX"/>
        </w:rPr>
        <w:t xml:space="preserve">Daniela García </w:t>
      </w:r>
      <w:proofErr w:type="spellStart"/>
      <w:r w:rsidR="000B11A2" w:rsidRPr="00A07AF9">
        <w:rPr>
          <w:rFonts w:ascii="ITC Avant Garde" w:hAnsi="ITC Avant Garde"/>
          <w:bCs/>
          <w:color w:val="000000" w:themeColor="text1"/>
          <w:lang w:eastAsia="es-MX"/>
        </w:rPr>
        <w:t>Nocetti</w:t>
      </w:r>
      <w:proofErr w:type="spellEnd"/>
      <w:r w:rsidR="000B11A2" w:rsidRPr="00A07AF9">
        <w:rPr>
          <w:rFonts w:ascii="ITC Avant Garde" w:hAnsi="ITC Avant Garde"/>
          <w:bCs/>
          <w:color w:val="000000" w:themeColor="text1"/>
          <w:lang w:eastAsia="es-MX"/>
        </w:rPr>
        <w:t xml:space="preserve"> y </w:t>
      </w:r>
      <w:r w:rsidR="003E02E9" w:rsidRPr="00A07AF9">
        <w:rPr>
          <w:rFonts w:ascii="ITC Avant Garde" w:hAnsi="ITC Avant Garde"/>
          <w:bCs/>
          <w:color w:val="000000" w:themeColor="text1"/>
          <w:lang w:eastAsia="es-MX"/>
        </w:rPr>
        <w:t>A</w:t>
      </w:r>
      <w:r w:rsidR="000B11A2" w:rsidRPr="00A07AF9">
        <w:rPr>
          <w:rFonts w:ascii="ITC Avant Garde" w:hAnsi="ITC Avant Garde"/>
          <w:bCs/>
          <w:color w:val="000000" w:themeColor="text1"/>
          <w:lang w:eastAsia="es-MX"/>
        </w:rPr>
        <w:t>rmando Daniel Hernández García</w:t>
      </w:r>
      <w:r w:rsidR="003E02E9" w:rsidRPr="00A07AF9">
        <w:rPr>
          <w:rFonts w:ascii="ITC Avant Garde" w:hAnsi="ITC Avant Garde"/>
          <w:bCs/>
          <w:color w:val="000000" w:themeColor="text1"/>
          <w:lang w:eastAsia="es-MX"/>
        </w:rPr>
        <w:t>.</w:t>
      </w:r>
    </w:p>
    <w:p w14:paraId="5872561D" w14:textId="17C1682E" w:rsidR="00B722A7" w:rsidRPr="00A07AF9" w:rsidRDefault="00DA6169" w:rsidP="00CA205F">
      <w:pPr>
        <w:autoSpaceDE w:val="0"/>
        <w:autoSpaceDN w:val="0"/>
        <w:adjustRightInd w:val="0"/>
        <w:spacing w:afterLines="120" w:after="288" w:line="240" w:lineRule="auto"/>
        <w:jc w:val="both"/>
        <w:rPr>
          <w:rFonts w:ascii="ITC Avant Garde" w:hAnsi="ITC Avant Garde"/>
          <w:bCs/>
        </w:rPr>
      </w:pPr>
      <w:r w:rsidRPr="00A07AF9">
        <w:rPr>
          <w:rFonts w:ascii="ITC Avant Garde" w:hAnsi="ITC Avant Garde"/>
          <w:bCs/>
        </w:rPr>
        <w:lastRenderedPageBreak/>
        <w:t>De esta manera</w:t>
      </w:r>
      <w:r w:rsidR="00B722A7" w:rsidRPr="00A07AF9">
        <w:rPr>
          <w:rFonts w:ascii="ITC Avant Garde" w:hAnsi="ITC Avant Garde"/>
          <w:bCs/>
        </w:rPr>
        <w:t xml:space="preserve">, la estructura accionaria de </w:t>
      </w:r>
      <w:r w:rsidR="00525631" w:rsidRPr="00A07AF9">
        <w:rPr>
          <w:rFonts w:ascii="ITC Avant Garde" w:hAnsi="ITC Avant Garde"/>
          <w:bCs/>
          <w:lang w:val="es-ES" w:eastAsia="es-ES"/>
        </w:rPr>
        <w:t>Promoción y Asesoría Integral de Telecomunicaciones, S.C.</w:t>
      </w:r>
      <w:r w:rsidR="003E3F7C" w:rsidRPr="00A07AF9">
        <w:rPr>
          <w:rFonts w:ascii="ITC Avant Garde" w:hAnsi="ITC Avant Garde"/>
          <w:bCs/>
        </w:rPr>
        <w:t>, previa</w:t>
      </w:r>
      <w:r w:rsidR="00CB20DF" w:rsidRPr="00A07AF9">
        <w:rPr>
          <w:rFonts w:ascii="ITC Avant Garde" w:hAnsi="ITC Avant Garde"/>
          <w:bCs/>
        </w:rPr>
        <w:t xml:space="preserve"> a la operación</w:t>
      </w:r>
      <w:r w:rsidR="00380710" w:rsidRPr="00A07AF9">
        <w:rPr>
          <w:rFonts w:ascii="ITC Avant Garde" w:hAnsi="ITC Avant Garde"/>
          <w:bCs/>
        </w:rPr>
        <w:t xml:space="preserve"> </w:t>
      </w:r>
      <w:r w:rsidR="00B722A7" w:rsidRPr="00A07AF9">
        <w:rPr>
          <w:rFonts w:ascii="ITC Avant Garde" w:hAnsi="ITC Avant Garde"/>
          <w:bCs/>
        </w:rPr>
        <w:t>se encuentra integrada de la siguiente manera:</w:t>
      </w:r>
    </w:p>
    <w:tbl>
      <w:tblPr>
        <w:tblStyle w:val="Tablaconcuadrcula"/>
        <w:tblW w:w="6688" w:type="dxa"/>
        <w:jc w:val="center"/>
        <w:tblLayout w:type="fixed"/>
        <w:tblLook w:val="0000" w:firstRow="0" w:lastRow="0" w:firstColumn="0" w:lastColumn="0" w:noHBand="0" w:noVBand="0"/>
        <w:tblCaption w:val="Estructura accionaria de Promoción y Asesoría Integral de Telecomunicaciones, S.C."/>
        <w:tblDescription w:val="Tabla de 3 columnas que proporciona información relativa a la estructura accionaria de Promoción y Asesoría Integral de Telecomunicaciones, S.C., previa a la operación. Además contiene información Conffidencial por Ley, que se encuentra oculta."/>
      </w:tblPr>
      <w:tblGrid>
        <w:gridCol w:w="2927"/>
        <w:gridCol w:w="1635"/>
        <w:gridCol w:w="2126"/>
      </w:tblGrid>
      <w:tr w:rsidR="00B72064" w:rsidRPr="00A07AF9" w14:paraId="0C3EBFB3" w14:textId="77777777" w:rsidTr="00CA205F">
        <w:trPr>
          <w:trHeight w:val="552"/>
          <w:tblHeader/>
          <w:jc w:val="center"/>
        </w:trPr>
        <w:tc>
          <w:tcPr>
            <w:tcW w:w="2857" w:type="dxa"/>
            <w:noWrap/>
          </w:tcPr>
          <w:p w14:paraId="51ECC0B6" w14:textId="77777777" w:rsidR="00B72064" w:rsidRPr="00A07AF9" w:rsidRDefault="00B72064" w:rsidP="00CA205F">
            <w:pPr>
              <w:autoSpaceDE w:val="0"/>
              <w:autoSpaceDN w:val="0"/>
              <w:adjustRightInd w:val="0"/>
              <w:spacing w:afterLines="120" w:after="288" w:line="240" w:lineRule="auto"/>
              <w:jc w:val="center"/>
              <w:rPr>
                <w:rFonts w:ascii="ITC Avant Garde" w:hAnsi="ITC Avant Garde"/>
                <w:b/>
                <w:bCs/>
                <w:color w:val="000000"/>
                <w:sz w:val="13"/>
                <w:szCs w:val="13"/>
              </w:rPr>
            </w:pPr>
            <w:r w:rsidRPr="00A07AF9">
              <w:rPr>
                <w:rFonts w:ascii="ITC Avant Garde" w:hAnsi="ITC Avant Garde"/>
                <w:b/>
                <w:bCs/>
                <w:color w:val="000000"/>
                <w:sz w:val="13"/>
                <w:szCs w:val="13"/>
              </w:rPr>
              <w:t>ACCIONISTA</w:t>
            </w:r>
          </w:p>
        </w:tc>
        <w:tc>
          <w:tcPr>
            <w:tcW w:w="1596" w:type="dxa"/>
          </w:tcPr>
          <w:p w14:paraId="02A9EDBF" w14:textId="77777777" w:rsidR="00B72064" w:rsidRPr="00A07AF9" w:rsidRDefault="00B72064" w:rsidP="00CA205F">
            <w:pPr>
              <w:autoSpaceDE w:val="0"/>
              <w:autoSpaceDN w:val="0"/>
              <w:adjustRightInd w:val="0"/>
              <w:spacing w:afterLines="120" w:after="288" w:line="240" w:lineRule="auto"/>
              <w:jc w:val="center"/>
              <w:rPr>
                <w:rFonts w:ascii="ITC Avant Garde" w:hAnsi="ITC Avant Garde"/>
                <w:b/>
                <w:bCs/>
                <w:color w:val="000000"/>
                <w:sz w:val="13"/>
                <w:szCs w:val="13"/>
              </w:rPr>
            </w:pPr>
            <w:r w:rsidRPr="00A07AF9">
              <w:rPr>
                <w:rFonts w:ascii="ITC Avant Garde" w:hAnsi="ITC Avant Garde"/>
                <w:b/>
                <w:bCs/>
                <w:color w:val="000000"/>
                <w:sz w:val="13"/>
                <w:szCs w:val="13"/>
              </w:rPr>
              <w:t>ACCIONES</w:t>
            </w:r>
          </w:p>
        </w:tc>
        <w:tc>
          <w:tcPr>
            <w:tcW w:w="2075" w:type="dxa"/>
          </w:tcPr>
          <w:p w14:paraId="7AF4611E" w14:textId="6300B80C" w:rsidR="00B72064" w:rsidRPr="00A07AF9" w:rsidRDefault="002C1DCE" w:rsidP="00CA205F">
            <w:pPr>
              <w:autoSpaceDE w:val="0"/>
              <w:autoSpaceDN w:val="0"/>
              <w:adjustRightInd w:val="0"/>
              <w:spacing w:afterLines="120" w:after="288" w:line="240" w:lineRule="auto"/>
              <w:jc w:val="center"/>
              <w:rPr>
                <w:rFonts w:ascii="ITC Avant Garde" w:hAnsi="ITC Avant Garde"/>
                <w:b/>
                <w:bCs/>
                <w:color w:val="000000"/>
                <w:sz w:val="13"/>
                <w:szCs w:val="13"/>
              </w:rPr>
            </w:pPr>
            <w:r w:rsidRPr="00A07AF9">
              <w:rPr>
                <w:rFonts w:ascii="ITC Avant Garde" w:hAnsi="ITC Avant Garde"/>
                <w:b/>
                <w:bCs/>
                <w:color w:val="000000"/>
                <w:sz w:val="13"/>
                <w:szCs w:val="13"/>
              </w:rPr>
              <w:t>CAPITAL</w:t>
            </w:r>
          </w:p>
        </w:tc>
      </w:tr>
      <w:tr w:rsidR="00B72064" w:rsidRPr="00A07AF9" w14:paraId="530C93F4" w14:textId="77777777" w:rsidTr="00CA205F">
        <w:trPr>
          <w:trHeight w:val="356"/>
          <w:jc w:val="center"/>
        </w:trPr>
        <w:tc>
          <w:tcPr>
            <w:tcW w:w="2857" w:type="dxa"/>
          </w:tcPr>
          <w:p w14:paraId="5E4CFCFC" w14:textId="4B369BB0" w:rsidR="00B72064" w:rsidRPr="00A07AF9" w:rsidRDefault="001615D6" w:rsidP="00CA205F">
            <w:pPr>
              <w:autoSpaceDE w:val="0"/>
              <w:autoSpaceDN w:val="0"/>
              <w:adjustRightInd w:val="0"/>
              <w:spacing w:afterLines="120" w:after="288" w:line="240" w:lineRule="auto"/>
              <w:rPr>
                <w:rFonts w:ascii="ITC Avant Garde" w:hAnsi="ITC Avant Garde"/>
                <w:bCs/>
                <w:color w:val="000000"/>
                <w:sz w:val="13"/>
                <w:szCs w:val="13"/>
              </w:rPr>
            </w:pPr>
            <w:r w:rsidRPr="00A07AF9">
              <w:rPr>
                <w:rFonts w:ascii="ITC Avant Garde" w:hAnsi="ITC Avant Garde"/>
                <w:bCs/>
                <w:color w:val="000000"/>
                <w:sz w:val="13"/>
                <w:szCs w:val="13"/>
              </w:rPr>
              <w:t>Marco Antonio Daniel Hernández Ramírez</w:t>
            </w:r>
          </w:p>
        </w:tc>
        <w:tc>
          <w:tcPr>
            <w:tcW w:w="1596" w:type="dxa"/>
          </w:tcPr>
          <w:p w14:paraId="4A9229E9" w14:textId="4D3AB6F5" w:rsidR="00B72064" w:rsidRPr="00A07AF9" w:rsidRDefault="001615D6" w:rsidP="00CA205F">
            <w:pPr>
              <w:autoSpaceDE w:val="0"/>
              <w:autoSpaceDN w:val="0"/>
              <w:adjustRightInd w:val="0"/>
              <w:spacing w:afterLines="120" w:after="288" w:line="240" w:lineRule="auto"/>
              <w:jc w:val="center"/>
              <w:rPr>
                <w:rFonts w:ascii="ITC Avant Garde" w:hAnsi="ITC Avant Garde"/>
                <w:bCs/>
                <w:color w:val="000000"/>
                <w:sz w:val="13"/>
                <w:szCs w:val="13"/>
              </w:rPr>
            </w:pPr>
            <w:r w:rsidRPr="00A07AF9">
              <w:rPr>
                <w:rFonts w:ascii="ITC Avant Garde" w:hAnsi="ITC Avant Garde"/>
                <w:bCs/>
                <w:color w:val="000000"/>
                <w:sz w:val="13"/>
                <w:szCs w:val="13"/>
              </w:rPr>
              <w:t>25</w:t>
            </w:r>
          </w:p>
        </w:tc>
        <w:tc>
          <w:tcPr>
            <w:tcW w:w="2075" w:type="dxa"/>
          </w:tcPr>
          <w:p w14:paraId="1EEF07D7" w14:textId="302B1EA0" w:rsidR="00B72064" w:rsidRPr="00562202" w:rsidRDefault="00562202" w:rsidP="00562202">
            <w:pPr>
              <w:autoSpaceDE w:val="0"/>
              <w:autoSpaceDN w:val="0"/>
              <w:adjustRightInd w:val="0"/>
              <w:spacing w:after="0" w:line="240" w:lineRule="auto"/>
              <w:jc w:val="center"/>
              <w:rPr>
                <w:rFonts w:ascii="ITC Avant Garde" w:hAnsi="ITC Avant Garde"/>
                <w:bCs/>
                <w:color w:val="000000"/>
                <w:sz w:val="16"/>
                <w:szCs w:val="16"/>
              </w:rPr>
            </w:pPr>
            <w:r w:rsidRPr="00562202">
              <w:rPr>
                <w:rFonts w:ascii="ITC Avant Garde" w:eastAsia="Times New Roman" w:hAnsi="ITC Avant Garde"/>
                <w:b/>
                <w:bCs/>
                <w:color w:val="0000CC"/>
                <w:sz w:val="16"/>
                <w:szCs w:val="16"/>
                <w:lang w:eastAsia="es-MX"/>
              </w:rPr>
              <w:t>“CONFIDENCIAL POR LEY”</w:t>
            </w:r>
          </w:p>
        </w:tc>
      </w:tr>
      <w:tr w:rsidR="001615D6" w:rsidRPr="00A07AF9" w14:paraId="31D79C59" w14:textId="77777777" w:rsidTr="00CA205F">
        <w:trPr>
          <w:trHeight w:val="356"/>
          <w:jc w:val="center"/>
        </w:trPr>
        <w:tc>
          <w:tcPr>
            <w:tcW w:w="2857" w:type="dxa"/>
          </w:tcPr>
          <w:p w14:paraId="2494D11B" w14:textId="47A7A965" w:rsidR="001615D6" w:rsidRPr="00A07AF9" w:rsidRDefault="001615D6" w:rsidP="00CA205F">
            <w:pPr>
              <w:autoSpaceDE w:val="0"/>
              <w:autoSpaceDN w:val="0"/>
              <w:adjustRightInd w:val="0"/>
              <w:spacing w:afterLines="120" w:after="288" w:line="240" w:lineRule="auto"/>
              <w:rPr>
                <w:rFonts w:ascii="ITC Avant Garde" w:hAnsi="ITC Avant Garde"/>
                <w:bCs/>
                <w:color w:val="000000"/>
                <w:sz w:val="13"/>
                <w:szCs w:val="13"/>
              </w:rPr>
            </w:pPr>
            <w:r w:rsidRPr="00A07AF9">
              <w:rPr>
                <w:rFonts w:ascii="ITC Avant Garde" w:hAnsi="ITC Avant Garde"/>
                <w:bCs/>
                <w:color w:val="000000"/>
                <w:sz w:val="13"/>
                <w:szCs w:val="13"/>
              </w:rPr>
              <w:t xml:space="preserve">Daniela García </w:t>
            </w:r>
            <w:proofErr w:type="spellStart"/>
            <w:r w:rsidRPr="00A07AF9">
              <w:rPr>
                <w:rFonts w:ascii="ITC Avant Garde" w:hAnsi="ITC Avant Garde"/>
                <w:bCs/>
                <w:color w:val="000000"/>
                <w:sz w:val="13"/>
                <w:szCs w:val="13"/>
              </w:rPr>
              <w:t>Nocetti</w:t>
            </w:r>
            <w:proofErr w:type="spellEnd"/>
          </w:p>
        </w:tc>
        <w:tc>
          <w:tcPr>
            <w:tcW w:w="1596" w:type="dxa"/>
          </w:tcPr>
          <w:p w14:paraId="7C26CE00" w14:textId="030140CC" w:rsidR="001615D6" w:rsidRPr="00A07AF9" w:rsidRDefault="001615D6" w:rsidP="00CA205F">
            <w:pPr>
              <w:autoSpaceDE w:val="0"/>
              <w:autoSpaceDN w:val="0"/>
              <w:adjustRightInd w:val="0"/>
              <w:spacing w:afterLines="120" w:after="288" w:line="240" w:lineRule="auto"/>
              <w:jc w:val="center"/>
              <w:rPr>
                <w:rFonts w:ascii="ITC Avant Garde" w:hAnsi="ITC Avant Garde"/>
                <w:bCs/>
                <w:color w:val="000000"/>
                <w:sz w:val="13"/>
                <w:szCs w:val="13"/>
              </w:rPr>
            </w:pPr>
            <w:r w:rsidRPr="00A07AF9">
              <w:rPr>
                <w:rFonts w:ascii="ITC Avant Garde" w:hAnsi="ITC Avant Garde"/>
                <w:bCs/>
                <w:color w:val="000000"/>
                <w:sz w:val="13"/>
                <w:szCs w:val="13"/>
              </w:rPr>
              <w:t>25</w:t>
            </w:r>
          </w:p>
        </w:tc>
        <w:tc>
          <w:tcPr>
            <w:tcW w:w="2075" w:type="dxa"/>
          </w:tcPr>
          <w:p w14:paraId="2CA0D9FD" w14:textId="6E64A721" w:rsidR="001615D6" w:rsidRPr="00A07AF9" w:rsidRDefault="00562202" w:rsidP="00562202">
            <w:pPr>
              <w:autoSpaceDE w:val="0"/>
              <w:autoSpaceDN w:val="0"/>
              <w:adjustRightInd w:val="0"/>
              <w:spacing w:after="0" w:line="240" w:lineRule="auto"/>
              <w:jc w:val="center"/>
              <w:rPr>
                <w:rFonts w:ascii="ITC Avant Garde" w:hAnsi="ITC Avant Garde"/>
                <w:bCs/>
                <w:color w:val="000000"/>
                <w:sz w:val="13"/>
                <w:szCs w:val="13"/>
              </w:rPr>
            </w:pPr>
            <w:r w:rsidRPr="00562202">
              <w:rPr>
                <w:rFonts w:ascii="ITC Avant Garde" w:eastAsia="Times New Roman" w:hAnsi="ITC Avant Garde"/>
                <w:b/>
                <w:bCs/>
                <w:color w:val="0000CC"/>
                <w:sz w:val="16"/>
                <w:szCs w:val="16"/>
                <w:lang w:eastAsia="es-MX"/>
              </w:rPr>
              <w:t>“CONFIDENCIAL POR LEY”</w:t>
            </w:r>
          </w:p>
        </w:tc>
      </w:tr>
      <w:tr w:rsidR="00B72064" w:rsidRPr="00A07AF9" w14:paraId="7BCDEA43" w14:textId="77777777" w:rsidTr="00CA205F">
        <w:trPr>
          <w:trHeight w:val="291"/>
          <w:jc w:val="center"/>
        </w:trPr>
        <w:tc>
          <w:tcPr>
            <w:tcW w:w="2857" w:type="dxa"/>
          </w:tcPr>
          <w:p w14:paraId="3795C937" w14:textId="77777777" w:rsidR="00B72064" w:rsidRPr="00A07AF9" w:rsidRDefault="00B72064" w:rsidP="00CA205F">
            <w:pPr>
              <w:autoSpaceDE w:val="0"/>
              <w:autoSpaceDN w:val="0"/>
              <w:adjustRightInd w:val="0"/>
              <w:spacing w:afterLines="120" w:after="288" w:line="240" w:lineRule="auto"/>
              <w:jc w:val="center"/>
              <w:rPr>
                <w:rFonts w:ascii="ITC Avant Garde" w:hAnsi="ITC Avant Garde"/>
                <w:b/>
                <w:bCs/>
                <w:color w:val="000000"/>
                <w:sz w:val="13"/>
                <w:szCs w:val="13"/>
              </w:rPr>
            </w:pPr>
            <w:r w:rsidRPr="00A07AF9">
              <w:rPr>
                <w:rFonts w:ascii="ITC Avant Garde" w:hAnsi="ITC Avant Garde"/>
                <w:b/>
                <w:bCs/>
                <w:color w:val="000000"/>
                <w:sz w:val="13"/>
                <w:szCs w:val="13"/>
              </w:rPr>
              <w:t>Total</w:t>
            </w:r>
          </w:p>
        </w:tc>
        <w:tc>
          <w:tcPr>
            <w:tcW w:w="1596" w:type="dxa"/>
          </w:tcPr>
          <w:p w14:paraId="08551661" w14:textId="3E4762A1" w:rsidR="00B72064" w:rsidRPr="00A07AF9" w:rsidRDefault="001615D6" w:rsidP="00CA205F">
            <w:pPr>
              <w:autoSpaceDE w:val="0"/>
              <w:autoSpaceDN w:val="0"/>
              <w:adjustRightInd w:val="0"/>
              <w:spacing w:afterLines="120" w:after="288" w:line="240" w:lineRule="auto"/>
              <w:jc w:val="center"/>
              <w:rPr>
                <w:rFonts w:ascii="ITC Avant Garde" w:hAnsi="ITC Avant Garde"/>
                <w:b/>
                <w:bCs/>
                <w:color w:val="000000"/>
                <w:sz w:val="13"/>
                <w:szCs w:val="13"/>
              </w:rPr>
            </w:pPr>
            <w:r w:rsidRPr="00A07AF9">
              <w:rPr>
                <w:rFonts w:ascii="ITC Avant Garde" w:hAnsi="ITC Avant Garde"/>
                <w:b/>
                <w:bCs/>
                <w:color w:val="000000"/>
                <w:sz w:val="13"/>
                <w:szCs w:val="13"/>
              </w:rPr>
              <w:t>50</w:t>
            </w:r>
          </w:p>
        </w:tc>
        <w:tc>
          <w:tcPr>
            <w:tcW w:w="2075" w:type="dxa"/>
          </w:tcPr>
          <w:p w14:paraId="45F5A529" w14:textId="12D9B03F" w:rsidR="00B72064" w:rsidRPr="00A07AF9" w:rsidRDefault="00562202" w:rsidP="00562202">
            <w:pPr>
              <w:autoSpaceDE w:val="0"/>
              <w:autoSpaceDN w:val="0"/>
              <w:adjustRightInd w:val="0"/>
              <w:spacing w:after="0" w:line="240" w:lineRule="auto"/>
              <w:jc w:val="center"/>
              <w:rPr>
                <w:rFonts w:ascii="ITC Avant Garde" w:hAnsi="ITC Avant Garde"/>
                <w:b/>
                <w:bCs/>
                <w:color w:val="000000"/>
                <w:sz w:val="13"/>
                <w:szCs w:val="13"/>
              </w:rPr>
            </w:pPr>
            <w:r w:rsidRPr="00562202">
              <w:rPr>
                <w:rFonts w:ascii="ITC Avant Garde" w:eastAsia="Times New Roman" w:hAnsi="ITC Avant Garde"/>
                <w:b/>
                <w:bCs/>
                <w:color w:val="0000CC"/>
                <w:sz w:val="16"/>
                <w:szCs w:val="16"/>
                <w:lang w:eastAsia="es-MX"/>
              </w:rPr>
              <w:t>“CONFIDENCIAL POR LEY”</w:t>
            </w:r>
          </w:p>
        </w:tc>
      </w:tr>
    </w:tbl>
    <w:p w14:paraId="68746C72" w14:textId="77777777" w:rsidR="00A07AF9" w:rsidRPr="00A07AF9" w:rsidRDefault="00404708" w:rsidP="00CA205F">
      <w:pPr>
        <w:autoSpaceDE w:val="0"/>
        <w:autoSpaceDN w:val="0"/>
        <w:adjustRightInd w:val="0"/>
        <w:spacing w:before="360" w:afterLines="120" w:after="288" w:line="240" w:lineRule="auto"/>
        <w:jc w:val="both"/>
        <w:rPr>
          <w:rFonts w:ascii="ITC Avant Garde" w:hAnsi="ITC Avant Garde"/>
          <w:bCs/>
          <w:lang w:val="es-ES" w:eastAsia="es-ES"/>
        </w:rPr>
      </w:pPr>
      <w:r w:rsidRPr="00A07AF9">
        <w:rPr>
          <w:rFonts w:ascii="ITC Avant Garde" w:hAnsi="ITC Avant Garde"/>
          <w:bCs/>
        </w:rPr>
        <w:t xml:space="preserve">En seguimiento a lo anterior, </w:t>
      </w:r>
      <w:r w:rsidR="007E6022" w:rsidRPr="00A07AF9">
        <w:rPr>
          <w:rFonts w:ascii="ITC Avant Garde" w:hAnsi="ITC Avant Garde"/>
          <w:bCs/>
        </w:rPr>
        <w:t xml:space="preserve">de la Solicitud de Enajenación de Acciones se desprende que </w:t>
      </w:r>
      <w:r w:rsidR="00134A89" w:rsidRPr="00A07AF9">
        <w:rPr>
          <w:rFonts w:ascii="ITC Avant Garde" w:hAnsi="ITC Avant Garde"/>
          <w:bCs/>
          <w:lang w:val="es-ES" w:eastAsia="es-ES"/>
        </w:rPr>
        <w:t xml:space="preserve">la C. Daniela García </w:t>
      </w:r>
      <w:proofErr w:type="spellStart"/>
      <w:r w:rsidR="00134A89" w:rsidRPr="00A07AF9">
        <w:rPr>
          <w:rFonts w:ascii="ITC Avant Garde" w:hAnsi="ITC Avant Garde"/>
          <w:bCs/>
          <w:lang w:val="es-ES" w:eastAsia="es-ES"/>
        </w:rPr>
        <w:t>Nocetti</w:t>
      </w:r>
      <w:proofErr w:type="spellEnd"/>
      <w:r w:rsidR="007E6022" w:rsidRPr="00A07AF9">
        <w:rPr>
          <w:rFonts w:ascii="ITC Avant Garde" w:hAnsi="ITC Avant Garde"/>
          <w:bCs/>
          <w:lang w:val="es-ES" w:eastAsia="es-ES"/>
        </w:rPr>
        <w:t>,</w:t>
      </w:r>
      <w:r w:rsidR="00937605" w:rsidRPr="00A07AF9">
        <w:rPr>
          <w:rFonts w:ascii="ITC Avant Garde" w:hAnsi="ITC Avant Garde"/>
          <w:bCs/>
          <w:lang w:val="es-ES" w:eastAsia="es-ES"/>
        </w:rPr>
        <w:t xml:space="preserve"> quien ya era accionista,</w:t>
      </w:r>
      <w:r w:rsidR="007E6022" w:rsidRPr="00A07AF9">
        <w:rPr>
          <w:rFonts w:ascii="ITC Avant Garde" w:hAnsi="ITC Avant Garde"/>
          <w:bCs/>
          <w:lang w:val="es-ES" w:eastAsia="es-ES"/>
        </w:rPr>
        <w:t xml:space="preserve"> adqui</w:t>
      </w:r>
      <w:r w:rsidR="00937605" w:rsidRPr="00A07AF9">
        <w:rPr>
          <w:rFonts w:ascii="ITC Avant Garde" w:hAnsi="ITC Avant Garde"/>
          <w:bCs/>
          <w:lang w:val="es-ES" w:eastAsia="es-ES"/>
        </w:rPr>
        <w:t>riría</w:t>
      </w:r>
      <w:r w:rsidR="007E6022" w:rsidRPr="00A07AF9">
        <w:rPr>
          <w:rFonts w:ascii="ITC Avant Garde" w:hAnsi="ITC Avant Garde"/>
          <w:bCs/>
          <w:lang w:val="es-ES" w:eastAsia="es-ES"/>
        </w:rPr>
        <w:t xml:space="preserve"> </w:t>
      </w:r>
      <w:r w:rsidR="00134A89" w:rsidRPr="00A07AF9">
        <w:rPr>
          <w:rFonts w:ascii="ITC Avant Garde" w:hAnsi="ITC Avant Garde"/>
          <w:bCs/>
          <w:lang w:val="es-ES" w:eastAsia="es-ES"/>
        </w:rPr>
        <w:t>1</w:t>
      </w:r>
      <w:r w:rsidR="007E6022" w:rsidRPr="00A07AF9">
        <w:rPr>
          <w:rFonts w:ascii="ITC Avant Garde" w:hAnsi="ITC Avant Garde"/>
          <w:bCs/>
          <w:lang w:val="es-ES" w:eastAsia="es-ES"/>
        </w:rPr>
        <w:t xml:space="preserve"> </w:t>
      </w:r>
      <w:r w:rsidR="00134A89" w:rsidRPr="00A07AF9">
        <w:rPr>
          <w:rFonts w:ascii="ITC Avant Garde" w:hAnsi="ITC Avant Garde"/>
          <w:bCs/>
          <w:lang w:val="es-ES" w:eastAsia="es-ES"/>
        </w:rPr>
        <w:t>acción, y que el C. Armando Daniel Hernández García</w:t>
      </w:r>
      <w:r w:rsidR="00937605" w:rsidRPr="00A07AF9">
        <w:rPr>
          <w:rFonts w:ascii="ITC Avant Garde" w:hAnsi="ITC Avant Garde"/>
          <w:bCs/>
          <w:lang w:val="es-ES" w:eastAsia="es-ES"/>
        </w:rPr>
        <w:t xml:space="preserve"> se integraría a la sociedad al</w:t>
      </w:r>
      <w:r w:rsidR="00134A89" w:rsidRPr="00A07AF9">
        <w:rPr>
          <w:rFonts w:ascii="ITC Avant Garde" w:hAnsi="ITC Avant Garde"/>
          <w:bCs/>
          <w:lang w:val="es-ES" w:eastAsia="es-ES"/>
        </w:rPr>
        <w:t xml:space="preserve"> adqui</w:t>
      </w:r>
      <w:r w:rsidR="00937605" w:rsidRPr="00A07AF9">
        <w:rPr>
          <w:rFonts w:ascii="ITC Avant Garde" w:hAnsi="ITC Avant Garde"/>
          <w:bCs/>
          <w:lang w:val="es-ES" w:eastAsia="es-ES"/>
        </w:rPr>
        <w:t>rir</w:t>
      </w:r>
      <w:r w:rsidR="00134A89" w:rsidRPr="00A07AF9">
        <w:rPr>
          <w:rFonts w:ascii="ITC Avant Garde" w:hAnsi="ITC Avant Garde"/>
          <w:bCs/>
          <w:lang w:val="es-ES" w:eastAsia="es-ES"/>
        </w:rPr>
        <w:t xml:space="preserve"> 17 acciones</w:t>
      </w:r>
      <w:r w:rsidR="00937605" w:rsidRPr="00A07AF9">
        <w:rPr>
          <w:rFonts w:ascii="ITC Avant Garde" w:hAnsi="ITC Avant Garde"/>
          <w:bCs/>
          <w:lang w:val="es-ES" w:eastAsia="es-ES"/>
        </w:rPr>
        <w:t>,</w:t>
      </w:r>
      <w:r w:rsidR="007E6022" w:rsidRPr="00A07AF9">
        <w:rPr>
          <w:rFonts w:ascii="ITC Avant Garde" w:hAnsi="ITC Avant Garde"/>
          <w:bCs/>
          <w:lang w:val="es-ES" w:eastAsia="es-ES"/>
        </w:rPr>
        <w:t xml:space="preserve"> las </w:t>
      </w:r>
      <w:r w:rsidR="00937605" w:rsidRPr="00A07AF9">
        <w:rPr>
          <w:rFonts w:ascii="ITC Avant Garde" w:hAnsi="ITC Avant Garde"/>
          <w:bCs/>
          <w:lang w:val="es-ES" w:eastAsia="es-ES"/>
        </w:rPr>
        <w:t>cuales provendrían d</w:t>
      </w:r>
      <w:r w:rsidR="00134A89" w:rsidRPr="00A07AF9">
        <w:rPr>
          <w:rFonts w:ascii="ITC Avant Garde" w:hAnsi="ITC Avant Garde"/>
          <w:bCs/>
          <w:lang w:val="es-ES" w:eastAsia="es-ES"/>
        </w:rPr>
        <w:t>e</w:t>
      </w:r>
      <w:r w:rsidR="00937605" w:rsidRPr="00A07AF9">
        <w:rPr>
          <w:rFonts w:ascii="ITC Avant Garde" w:hAnsi="ITC Avant Garde"/>
          <w:bCs/>
          <w:lang w:val="es-ES" w:eastAsia="es-ES"/>
        </w:rPr>
        <w:t xml:space="preserve"> </w:t>
      </w:r>
      <w:r w:rsidR="00134A89" w:rsidRPr="00A07AF9">
        <w:rPr>
          <w:rFonts w:ascii="ITC Avant Garde" w:hAnsi="ITC Avant Garde"/>
          <w:bCs/>
          <w:lang w:val="es-ES" w:eastAsia="es-ES"/>
        </w:rPr>
        <w:t>l</w:t>
      </w:r>
      <w:r w:rsidR="00937605" w:rsidRPr="00A07AF9">
        <w:rPr>
          <w:rFonts w:ascii="ITC Avant Garde" w:hAnsi="ITC Avant Garde"/>
          <w:bCs/>
          <w:lang w:val="es-ES" w:eastAsia="es-ES"/>
        </w:rPr>
        <w:t>a participación del</w:t>
      </w:r>
      <w:r w:rsidR="00134A89" w:rsidRPr="00A07AF9">
        <w:rPr>
          <w:rFonts w:ascii="ITC Avant Garde" w:hAnsi="ITC Avant Garde"/>
          <w:bCs/>
          <w:lang w:val="es-ES" w:eastAsia="es-ES"/>
        </w:rPr>
        <w:t xml:space="preserve"> C. Marco Antonio Daniel Hernández Ramírez.</w:t>
      </w:r>
    </w:p>
    <w:p w14:paraId="113B9BF0" w14:textId="661C584D" w:rsidR="003172FD" w:rsidRPr="00A07AF9" w:rsidRDefault="00E67F87" w:rsidP="00CA205F">
      <w:pPr>
        <w:autoSpaceDE w:val="0"/>
        <w:autoSpaceDN w:val="0"/>
        <w:adjustRightInd w:val="0"/>
        <w:spacing w:afterLines="120" w:after="288" w:line="240" w:lineRule="auto"/>
        <w:jc w:val="both"/>
        <w:rPr>
          <w:rFonts w:ascii="ITC Avant Garde" w:hAnsi="ITC Avant Garde"/>
          <w:bCs/>
        </w:rPr>
      </w:pPr>
      <w:r w:rsidRPr="00A07AF9">
        <w:rPr>
          <w:rFonts w:ascii="ITC Avant Garde" w:hAnsi="ITC Avant Garde"/>
          <w:bCs/>
        </w:rPr>
        <w:t xml:space="preserve">En </w:t>
      </w:r>
      <w:r w:rsidR="00404708" w:rsidRPr="00A07AF9">
        <w:rPr>
          <w:rFonts w:ascii="ITC Avant Garde" w:hAnsi="ITC Avant Garde"/>
          <w:bCs/>
        </w:rPr>
        <w:t>tal virtud</w:t>
      </w:r>
      <w:r w:rsidR="00896FD7" w:rsidRPr="00A07AF9">
        <w:rPr>
          <w:rFonts w:ascii="ITC Avant Garde" w:hAnsi="ITC Avant Garde"/>
          <w:bCs/>
        </w:rPr>
        <w:t xml:space="preserve">, </w:t>
      </w:r>
      <w:r w:rsidR="004C3ABA" w:rsidRPr="00A07AF9">
        <w:rPr>
          <w:rFonts w:ascii="ITC Avant Garde" w:hAnsi="ITC Avant Garde"/>
          <w:bCs/>
        </w:rPr>
        <w:t>de autorizarse la S</w:t>
      </w:r>
      <w:r w:rsidR="00B651C4" w:rsidRPr="00A07AF9">
        <w:rPr>
          <w:rFonts w:ascii="ITC Avant Garde" w:hAnsi="ITC Avant Garde"/>
          <w:bCs/>
        </w:rPr>
        <w:t xml:space="preserve">olicitud de Enajenación de Acciones, el cuadro accionario </w:t>
      </w:r>
      <w:r w:rsidR="007961CB" w:rsidRPr="00A07AF9">
        <w:rPr>
          <w:rFonts w:ascii="ITC Avant Garde" w:hAnsi="ITC Avant Garde"/>
          <w:bCs/>
        </w:rPr>
        <w:t xml:space="preserve">de </w:t>
      </w:r>
      <w:r w:rsidR="000914E9" w:rsidRPr="00A07AF9">
        <w:rPr>
          <w:rFonts w:ascii="ITC Avant Garde" w:hAnsi="ITC Avant Garde"/>
          <w:bCs/>
          <w:lang w:val="es-ES" w:eastAsia="es-ES"/>
        </w:rPr>
        <w:t>Promoción y Asesoría Integral de Telecomunicaciones, S.C.</w:t>
      </w:r>
      <w:r w:rsidR="008E5282" w:rsidRPr="00A07AF9">
        <w:rPr>
          <w:rFonts w:ascii="ITC Avant Garde" w:hAnsi="ITC Avant Garde"/>
          <w:bCs/>
        </w:rPr>
        <w:t>,</w:t>
      </w:r>
      <w:r w:rsidR="007961CB" w:rsidRPr="00A07AF9">
        <w:rPr>
          <w:rFonts w:ascii="ITC Avant Garde" w:hAnsi="ITC Avant Garde"/>
          <w:bCs/>
        </w:rPr>
        <w:t xml:space="preserve"> </w:t>
      </w:r>
      <w:r w:rsidR="00B651C4" w:rsidRPr="00A07AF9">
        <w:rPr>
          <w:rFonts w:ascii="ITC Avant Garde" w:hAnsi="ITC Avant Garde"/>
          <w:bCs/>
        </w:rPr>
        <w:t>quedaría de la siguiente forma</w:t>
      </w:r>
      <w:r w:rsidR="003172FD" w:rsidRPr="00A07AF9">
        <w:rPr>
          <w:rFonts w:ascii="ITC Avant Garde" w:hAnsi="ITC Avant Garde"/>
          <w:bCs/>
        </w:rPr>
        <w:t>:</w:t>
      </w:r>
    </w:p>
    <w:tbl>
      <w:tblPr>
        <w:tblStyle w:val="Tablaconcuadrcula"/>
        <w:tblW w:w="6749" w:type="dxa"/>
        <w:jc w:val="center"/>
        <w:tblLayout w:type="fixed"/>
        <w:tblLook w:val="0000" w:firstRow="0" w:lastRow="0" w:firstColumn="0" w:lastColumn="0" w:noHBand="0" w:noVBand="0"/>
        <w:tblCaption w:val="Cuadro accionario"/>
        <w:tblDescription w:val="Tabla de 3 columnas que proporciona información relativa al cuadro accionario si se autoriza la Solicitud de Enajenación de Acciones.  Además contiene información Conffidencial por Ley, que se encuentra oculta."/>
      </w:tblPr>
      <w:tblGrid>
        <w:gridCol w:w="2989"/>
        <w:gridCol w:w="1635"/>
        <w:gridCol w:w="2125"/>
      </w:tblGrid>
      <w:tr w:rsidR="00517B6C" w:rsidRPr="00A07AF9" w14:paraId="1A5EC6A1" w14:textId="77777777" w:rsidTr="00562202">
        <w:trPr>
          <w:trHeight w:val="552"/>
          <w:tblHeader/>
          <w:jc w:val="center"/>
        </w:trPr>
        <w:tc>
          <w:tcPr>
            <w:tcW w:w="2989" w:type="dxa"/>
            <w:noWrap/>
          </w:tcPr>
          <w:p w14:paraId="551653B0" w14:textId="0BDAE1A9" w:rsidR="00517B6C" w:rsidRPr="00A07AF9" w:rsidRDefault="00517B6C" w:rsidP="00CA205F">
            <w:pPr>
              <w:autoSpaceDE w:val="0"/>
              <w:autoSpaceDN w:val="0"/>
              <w:adjustRightInd w:val="0"/>
              <w:spacing w:afterLines="120" w:after="288" w:line="240" w:lineRule="auto"/>
              <w:jc w:val="center"/>
              <w:rPr>
                <w:rFonts w:ascii="ITC Avant Garde" w:hAnsi="ITC Avant Garde"/>
                <w:b/>
                <w:bCs/>
                <w:color w:val="000000"/>
                <w:sz w:val="13"/>
                <w:szCs w:val="13"/>
              </w:rPr>
            </w:pPr>
            <w:r w:rsidRPr="00A07AF9">
              <w:rPr>
                <w:rFonts w:ascii="ITC Avant Garde" w:hAnsi="ITC Avant Garde"/>
                <w:b/>
                <w:bCs/>
                <w:color w:val="000000"/>
                <w:sz w:val="13"/>
                <w:szCs w:val="13"/>
              </w:rPr>
              <w:t>ACCIONISTA</w:t>
            </w:r>
          </w:p>
        </w:tc>
        <w:tc>
          <w:tcPr>
            <w:tcW w:w="1635" w:type="dxa"/>
          </w:tcPr>
          <w:p w14:paraId="54956B27" w14:textId="63AECA1D" w:rsidR="00517B6C" w:rsidRPr="00A07AF9" w:rsidRDefault="00517B6C" w:rsidP="00CA205F">
            <w:pPr>
              <w:autoSpaceDE w:val="0"/>
              <w:autoSpaceDN w:val="0"/>
              <w:adjustRightInd w:val="0"/>
              <w:spacing w:afterLines="120" w:after="288" w:line="240" w:lineRule="auto"/>
              <w:jc w:val="center"/>
              <w:rPr>
                <w:rFonts w:ascii="ITC Avant Garde" w:hAnsi="ITC Avant Garde"/>
                <w:b/>
                <w:bCs/>
                <w:color w:val="000000"/>
                <w:sz w:val="13"/>
                <w:szCs w:val="13"/>
              </w:rPr>
            </w:pPr>
            <w:r w:rsidRPr="00A07AF9">
              <w:rPr>
                <w:rFonts w:ascii="ITC Avant Garde" w:hAnsi="ITC Avant Garde"/>
                <w:b/>
                <w:bCs/>
                <w:color w:val="000000"/>
                <w:sz w:val="13"/>
                <w:szCs w:val="13"/>
              </w:rPr>
              <w:t>ACCIONES</w:t>
            </w:r>
          </w:p>
        </w:tc>
        <w:tc>
          <w:tcPr>
            <w:tcW w:w="2125" w:type="dxa"/>
          </w:tcPr>
          <w:p w14:paraId="48204E0B" w14:textId="16EE5AF0" w:rsidR="00517B6C" w:rsidRPr="00A07AF9" w:rsidRDefault="00937605" w:rsidP="00CA205F">
            <w:pPr>
              <w:autoSpaceDE w:val="0"/>
              <w:autoSpaceDN w:val="0"/>
              <w:adjustRightInd w:val="0"/>
              <w:spacing w:afterLines="120" w:after="288" w:line="240" w:lineRule="auto"/>
              <w:jc w:val="center"/>
              <w:rPr>
                <w:rFonts w:ascii="ITC Avant Garde" w:hAnsi="ITC Avant Garde"/>
                <w:b/>
                <w:bCs/>
                <w:color w:val="000000"/>
                <w:sz w:val="13"/>
                <w:szCs w:val="13"/>
              </w:rPr>
            </w:pPr>
            <w:r w:rsidRPr="00A07AF9">
              <w:rPr>
                <w:rFonts w:ascii="ITC Avant Garde" w:hAnsi="ITC Avant Garde"/>
                <w:b/>
                <w:bCs/>
                <w:color w:val="000000"/>
                <w:sz w:val="13"/>
                <w:szCs w:val="13"/>
              </w:rPr>
              <w:t>CAPITAL</w:t>
            </w:r>
          </w:p>
        </w:tc>
      </w:tr>
      <w:tr w:rsidR="00562202" w:rsidRPr="00A07AF9" w14:paraId="23704C66" w14:textId="77777777" w:rsidTr="00562202">
        <w:trPr>
          <w:trHeight w:val="356"/>
          <w:jc w:val="center"/>
        </w:trPr>
        <w:tc>
          <w:tcPr>
            <w:tcW w:w="2989" w:type="dxa"/>
          </w:tcPr>
          <w:p w14:paraId="40F6D5AC" w14:textId="3087CA6E" w:rsidR="00562202" w:rsidRPr="00A07AF9" w:rsidRDefault="00562202" w:rsidP="00562202">
            <w:pPr>
              <w:autoSpaceDE w:val="0"/>
              <w:autoSpaceDN w:val="0"/>
              <w:adjustRightInd w:val="0"/>
              <w:spacing w:afterLines="120" w:after="288" w:line="240" w:lineRule="auto"/>
              <w:rPr>
                <w:rFonts w:ascii="ITC Avant Garde" w:hAnsi="ITC Avant Garde"/>
                <w:bCs/>
                <w:color w:val="000000"/>
                <w:sz w:val="13"/>
                <w:szCs w:val="13"/>
              </w:rPr>
            </w:pPr>
            <w:r w:rsidRPr="00A07AF9">
              <w:rPr>
                <w:rFonts w:ascii="ITC Avant Garde" w:hAnsi="ITC Avant Garde"/>
                <w:bCs/>
                <w:color w:val="000000"/>
                <w:sz w:val="13"/>
                <w:szCs w:val="13"/>
              </w:rPr>
              <w:t xml:space="preserve">Daniela García </w:t>
            </w:r>
            <w:proofErr w:type="spellStart"/>
            <w:r w:rsidRPr="00A07AF9">
              <w:rPr>
                <w:rFonts w:ascii="ITC Avant Garde" w:hAnsi="ITC Avant Garde"/>
                <w:bCs/>
                <w:color w:val="000000"/>
                <w:sz w:val="13"/>
                <w:szCs w:val="13"/>
              </w:rPr>
              <w:t>Nocetti</w:t>
            </w:r>
            <w:proofErr w:type="spellEnd"/>
          </w:p>
        </w:tc>
        <w:tc>
          <w:tcPr>
            <w:tcW w:w="1635" w:type="dxa"/>
          </w:tcPr>
          <w:p w14:paraId="586FF063" w14:textId="1DA93EF7" w:rsidR="00562202" w:rsidRPr="00A07AF9" w:rsidRDefault="00562202" w:rsidP="00562202">
            <w:pPr>
              <w:autoSpaceDE w:val="0"/>
              <w:autoSpaceDN w:val="0"/>
              <w:adjustRightInd w:val="0"/>
              <w:spacing w:afterLines="120" w:after="288" w:line="240" w:lineRule="auto"/>
              <w:jc w:val="center"/>
              <w:rPr>
                <w:rFonts w:ascii="ITC Avant Garde" w:hAnsi="ITC Avant Garde"/>
                <w:bCs/>
                <w:color w:val="000000"/>
                <w:sz w:val="13"/>
                <w:szCs w:val="13"/>
              </w:rPr>
            </w:pPr>
            <w:r w:rsidRPr="00A07AF9">
              <w:rPr>
                <w:rFonts w:ascii="ITC Avant Garde" w:hAnsi="ITC Avant Garde"/>
                <w:bCs/>
                <w:color w:val="000000"/>
                <w:sz w:val="13"/>
                <w:szCs w:val="13"/>
              </w:rPr>
              <w:t>26</w:t>
            </w:r>
          </w:p>
        </w:tc>
        <w:tc>
          <w:tcPr>
            <w:tcW w:w="2125" w:type="dxa"/>
          </w:tcPr>
          <w:p w14:paraId="388362C1" w14:textId="247A8127" w:rsidR="00562202" w:rsidRPr="00A07AF9" w:rsidRDefault="00562202" w:rsidP="00562202">
            <w:pPr>
              <w:autoSpaceDE w:val="0"/>
              <w:autoSpaceDN w:val="0"/>
              <w:adjustRightInd w:val="0"/>
              <w:spacing w:after="0" w:line="240" w:lineRule="auto"/>
              <w:jc w:val="center"/>
              <w:rPr>
                <w:rFonts w:ascii="ITC Avant Garde" w:hAnsi="ITC Avant Garde"/>
                <w:bCs/>
                <w:color w:val="000000"/>
                <w:sz w:val="13"/>
                <w:szCs w:val="13"/>
              </w:rPr>
            </w:pPr>
            <w:r w:rsidRPr="00016652">
              <w:rPr>
                <w:rFonts w:ascii="ITC Avant Garde" w:eastAsia="Times New Roman" w:hAnsi="ITC Avant Garde"/>
                <w:b/>
                <w:bCs/>
                <w:color w:val="0000CC"/>
                <w:sz w:val="16"/>
                <w:szCs w:val="16"/>
                <w:lang w:eastAsia="es-MX"/>
              </w:rPr>
              <w:t>“CONFIDENCIAL POR LEY”</w:t>
            </w:r>
          </w:p>
        </w:tc>
      </w:tr>
      <w:tr w:rsidR="00562202" w:rsidRPr="00A07AF9" w14:paraId="0E71C378" w14:textId="77777777" w:rsidTr="00562202">
        <w:trPr>
          <w:trHeight w:val="356"/>
          <w:jc w:val="center"/>
        </w:trPr>
        <w:tc>
          <w:tcPr>
            <w:tcW w:w="2989" w:type="dxa"/>
          </w:tcPr>
          <w:p w14:paraId="262FA712" w14:textId="71005E89" w:rsidR="00562202" w:rsidRPr="00A07AF9" w:rsidRDefault="00562202" w:rsidP="00562202">
            <w:pPr>
              <w:autoSpaceDE w:val="0"/>
              <w:autoSpaceDN w:val="0"/>
              <w:adjustRightInd w:val="0"/>
              <w:spacing w:afterLines="120" w:after="288" w:line="240" w:lineRule="auto"/>
              <w:rPr>
                <w:rFonts w:ascii="ITC Avant Garde" w:hAnsi="ITC Avant Garde"/>
                <w:bCs/>
                <w:color w:val="000000"/>
                <w:sz w:val="13"/>
                <w:szCs w:val="13"/>
              </w:rPr>
            </w:pPr>
            <w:r w:rsidRPr="00A07AF9">
              <w:rPr>
                <w:rFonts w:ascii="ITC Avant Garde" w:hAnsi="ITC Avant Garde"/>
                <w:bCs/>
                <w:color w:val="000000"/>
                <w:sz w:val="13"/>
                <w:szCs w:val="13"/>
              </w:rPr>
              <w:t>Armando Daniel Hernández García</w:t>
            </w:r>
          </w:p>
        </w:tc>
        <w:tc>
          <w:tcPr>
            <w:tcW w:w="1635" w:type="dxa"/>
          </w:tcPr>
          <w:p w14:paraId="0D2911FE" w14:textId="00E15869" w:rsidR="00562202" w:rsidRPr="00A07AF9" w:rsidRDefault="00562202" w:rsidP="00562202">
            <w:pPr>
              <w:autoSpaceDE w:val="0"/>
              <w:autoSpaceDN w:val="0"/>
              <w:adjustRightInd w:val="0"/>
              <w:spacing w:afterLines="120" w:after="288" w:line="240" w:lineRule="auto"/>
              <w:jc w:val="center"/>
              <w:rPr>
                <w:rFonts w:ascii="ITC Avant Garde" w:hAnsi="ITC Avant Garde"/>
                <w:bCs/>
                <w:color w:val="000000"/>
                <w:sz w:val="13"/>
                <w:szCs w:val="13"/>
              </w:rPr>
            </w:pPr>
            <w:r w:rsidRPr="00A07AF9">
              <w:rPr>
                <w:rFonts w:ascii="ITC Avant Garde" w:hAnsi="ITC Avant Garde"/>
                <w:bCs/>
                <w:color w:val="000000"/>
                <w:sz w:val="13"/>
                <w:szCs w:val="13"/>
              </w:rPr>
              <w:t>17</w:t>
            </w:r>
          </w:p>
        </w:tc>
        <w:tc>
          <w:tcPr>
            <w:tcW w:w="2125" w:type="dxa"/>
          </w:tcPr>
          <w:p w14:paraId="5C323D97" w14:textId="064C4F7B" w:rsidR="00562202" w:rsidRPr="00A07AF9" w:rsidRDefault="00562202" w:rsidP="00562202">
            <w:pPr>
              <w:autoSpaceDE w:val="0"/>
              <w:autoSpaceDN w:val="0"/>
              <w:adjustRightInd w:val="0"/>
              <w:spacing w:after="0" w:line="240" w:lineRule="auto"/>
              <w:jc w:val="center"/>
              <w:rPr>
                <w:rFonts w:ascii="ITC Avant Garde" w:hAnsi="ITC Avant Garde"/>
                <w:bCs/>
                <w:color w:val="000000"/>
                <w:sz w:val="13"/>
                <w:szCs w:val="13"/>
              </w:rPr>
            </w:pPr>
            <w:r w:rsidRPr="00016652">
              <w:rPr>
                <w:rFonts w:ascii="ITC Avant Garde" w:eastAsia="Times New Roman" w:hAnsi="ITC Avant Garde"/>
                <w:b/>
                <w:bCs/>
                <w:color w:val="0000CC"/>
                <w:sz w:val="16"/>
                <w:szCs w:val="16"/>
                <w:lang w:eastAsia="es-MX"/>
              </w:rPr>
              <w:t>“CONFIDENCIAL POR LEY”</w:t>
            </w:r>
          </w:p>
        </w:tc>
      </w:tr>
      <w:tr w:rsidR="00562202" w:rsidRPr="00A07AF9" w14:paraId="26F5BAAD" w14:textId="77777777" w:rsidTr="00562202">
        <w:trPr>
          <w:trHeight w:val="356"/>
          <w:jc w:val="center"/>
        </w:trPr>
        <w:tc>
          <w:tcPr>
            <w:tcW w:w="2989" w:type="dxa"/>
          </w:tcPr>
          <w:p w14:paraId="717D8566" w14:textId="03CC78BA" w:rsidR="00562202" w:rsidRPr="00A07AF9" w:rsidRDefault="00562202" w:rsidP="00562202">
            <w:pPr>
              <w:autoSpaceDE w:val="0"/>
              <w:autoSpaceDN w:val="0"/>
              <w:adjustRightInd w:val="0"/>
              <w:spacing w:afterLines="120" w:after="288" w:line="240" w:lineRule="auto"/>
              <w:rPr>
                <w:rFonts w:ascii="ITC Avant Garde" w:hAnsi="ITC Avant Garde"/>
                <w:bCs/>
                <w:color w:val="000000"/>
                <w:sz w:val="13"/>
                <w:szCs w:val="13"/>
              </w:rPr>
            </w:pPr>
            <w:r w:rsidRPr="00A07AF9">
              <w:rPr>
                <w:rFonts w:ascii="ITC Avant Garde" w:hAnsi="ITC Avant Garde"/>
                <w:bCs/>
                <w:color w:val="000000"/>
                <w:sz w:val="13"/>
                <w:szCs w:val="13"/>
              </w:rPr>
              <w:t>Marco Antonio Daniel Hernández Ramírez</w:t>
            </w:r>
          </w:p>
        </w:tc>
        <w:tc>
          <w:tcPr>
            <w:tcW w:w="1635" w:type="dxa"/>
          </w:tcPr>
          <w:p w14:paraId="777389B2" w14:textId="60095CFB" w:rsidR="00562202" w:rsidRPr="00A07AF9" w:rsidRDefault="00562202" w:rsidP="00562202">
            <w:pPr>
              <w:autoSpaceDE w:val="0"/>
              <w:autoSpaceDN w:val="0"/>
              <w:adjustRightInd w:val="0"/>
              <w:spacing w:afterLines="120" w:after="288" w:line="240" w:lineRule="auto"/>
              <w:jc w:val="center"/>
              <w:rPr>
                <w:rFonts w:ascii="ITC Avant Garde" w:hAnsi="ITC Avant Garde"/>
                <w:bCs/>
                <w:color w:val="000000"/>
                <w:sz w:val="13"/>
                <w:szCs w:val="13"/>
              </w:rPr>
            </w:pPr>
            <w:r w:rsidRPr="00A07AF9">
              <w:rPr>
                <w:rFonts w:ascii="ITC Avant Garde" w:hAnsi="ITC Avant Garde"/>
                <w:bCs/>
                <w:color w:val="000000"/>
                <w:sz w:val="13"/>
                <w:szCs w:val="13"/>
              </w:rPr>
              <w:t>7</w:t>
            </w:r>
          </w:p>
        </w:tc>
        <w:tc>
          <w:tcPr>
            <w:tcW w:w="2125" w:type="dxa"/>
          </w:tcPr>
          <w:p w14:paraId="26766462" w14:textId="4B163550" w:rsidR="00562202" w:rsidRPr="00A07AF9" w:rsidRDefault="00562202" w:rsidP="00562202">
            <w:pPr>
              <w:autoSpaceDE w:val="0"/>
              <w:autoSpaceDN w:val="0"/>
              <w:adjustRightInd w:val="0"/>
              <w:spacing w:after="0" w:line="240" w:lineRule="auto"/>
              <w:jc w:val="center"/>
              <w:rPr>
                <w:rFonts w:ascii="ITC Avant Garde" w:hAnsi="ITC Avant Garde"/>
                <w:bCs/>
                <w:color w:val="000000"/>
                <w:sz w:val="13"/>
                <w:szCs w:val="13"/>
              </w:rPr>
            </w:pPr>
            <w:r w:rsidRPr="00016652">
              <w:rPr>
                <w:rFonts w:ascii="ITC Avant Garde" w:eastAsia="Times New Roman" w:hAnsi="ITC Avant Garde"/>
                <w:b/>
                <w:bCs/>
                <w:color w:val="0000CC"/>
                <w:sz w:val="16"/>
                <w:szCs w:val="16"/>
                <w:lang w:eastAsia="es-MX"/>
              </w:rPr>
              <w:t>“CONFIDENCIAL POR LEY”</w:t>
            </w:r>
          </w:p>
        </w:tc>
      </w:tr>
      <w:tr w:rsidR="00562202" w:rsidRPr="00A07AF9" w14:paraId="0F220921" w14:textId="77777777" w:rsidTr="00562202">
        <w:trPr>
          <w:trHeight w:val="291"/>
          <w:jc w:val="center"/>
        </w:trPr>
        <w:tc>
          <w:tcPr>
            <w:tcW w:w="2989" w:type="dxa"/>
          </w:tcPr>
          <w:p w14:paraId="3D647E81" w14:textId="7C1983FA" w:rsidR="00562202" w:rsidRPr="00A07AF9" w:rsidRDefault="00562202" w:rsidP="00562202">
            <w:pPr>
              <w:autoSpaceDE w:val="0"/>
              <w:autoSpaceDN w:val="0"/>
              <w:adjustRightInd w:val="0"/>
              <w:spacing w:afterLines="120" w:after="288" w:line="240" w:lineRule="auto"/>
              <w:jc w:val="center"/>
              <w:rPr>
                <w:rFonts w:ascii="ITC Avant Garde" w:hAnsi="ITC Avant Garde"/>
                <w:b/>
                <w:bCs/>
                <w:color w:val="000000"/>
                <w:sz w:val="13"/>
                <w:szCs w:val="13"/>
              </w:rPr>
            </w:pPr>
            <w:r w:rsidRPr="00A07AF9">
              <w:rPr>
                <w:rFonts w:ascii="ITC Avant Garde" w:hAnsi="ITC Avant Garde"/>
                <w:b/>
                <w:bCs/>
                <w:color w:val="000000"/>
                <w:sz w:val="13"/>
                <w:szCs w:val="13"/>
              </w:rPr>
              <w:t>Total</w:t>
            </w:r>
          </w:p>
        </w:tc>
        <w:tc>
          <w:tcPr>
            <w:tcW w:w="1635" w:type="dxa"/>
          </w:tcPr>
          <w:p w14:paraId="5355DF46" w14:textId="7AC38568" w:rsidR="00562202" w:rsidRPr="00A07AF9" w:rsidRDefault="00562202" w:rsidP="00562202">
            <w:pPr>
              <w:autoSpaceDE w:val="0"/>
              <w:autoSpaceDN w:val="0"/>
              <w:adjustRightInd w:val="0"/>
              <w:spacing w:afterLines="120" w:after="288" w:line="240" w:lineRule="auto"/>
              <w:jc w:val="center"/>
              <w:rPr>
                <w:rFonts w:ascii="ITC Avant Garde" w:hAnsi="ITC Avant Garde"/>
                <w:b/>
                <w:bCs/>
                <w:color w:val="000000"/>
                <w:sz w:val="13"/>
                <w:szCs w:val="13"/>
              </w:rPr>
            </w:pPr>
            <w:r w:rsidRPr="00A07AF9">
              <w:rPr>
                <w:rFonts w:ascii="ITC Avant Garde" w:hAnsi="ITC Avant Garde"/>
                <w:b/>
                <w:bCs/>
                <w:color w:val="000000"/>
                <w:sz w:val="13"/>
                <w:szCs w:val="13"/>
              </w:rPr>
              <w:t>50</w:t>
            </w:r>
          </w:p>
        </w:tc>
        <w:tc>
          <w:tcPr>
            <w:tcW w:w="2125" w:type="dxa"/>
          </w:tcPr>
          <w:p w14:paraId="1D9C457A" w14:textId="05C95EC5" w:rsidR="00562202" w:rsidRPr="00A07AF9" w:rsidRDefault="00562202" w:rsidP="00562202">
            <w:pPr>
              <w:autoSpaceDE w:val="0"/>
              <w:autoSpaceDN w:val="0"/>
              <w:adjustRightInd w:val="0"/>
              <w:spacing w:after="0" w:line="240" w:lineRule="auto"/>
              <w:jc w:val="center"/>
              <w:rPr>
                <w:rFonts w:ascii="ITC Avant Garde" w:hAnsi="ITC Avant Garde"/>
                <w:b/>
                <w:bCs/>
                <w:color w:val="000000"/>
                <w:sz w:val="13"/>
                <w:szCs w:val="13"/>
              </w:rPr>
            </w:pPr>
            <w:r w:rsidRPr="00016652">
              <w:rPr>
                <w:rFonts w:ascii="ITC Avant Garde" w:eastAsia="Times New Roman" w:hAnsi="ITC Avant Garde"/>
                <w:b/>
                <w:bCs/>
                <w:color w:val="0000CC"/>
                <w:sz w:val="16"/>
                <w:szCs w:val="16"/>
                <w:lang w:eastAsia="es-MX"/>
              </w:rPr>
              <w:t>“CONFIDENCIAL POR LEY”</w:t>
            </w:r>
          </w:p>
        </w:tc>
      </w:tr>
    </w:tbl>
    <w:p w14:paraId="723906E9" w14:textId="77777777" w:rsidR="00A07AF9" w:rsidRPr="00A07AF9" w:rsidRDefault="00C06E77" w:rsidP="00CA205F">
      <w:pPr>
        <w:autoSpaceDE w:val="0"/>
        <w:autoSpaceDN w:val="0"/>
        <w:adjustRightInd w:val="0"/>
        <w:spacing w:before="360" w:afterLines="120" w:after="288" w:line="240" w:lineRule="auto"/>
        <w:jc w:val="both"/>
        <w:rPr>
          <w:rFonts w:ascii="ITC Avant Garde" w:hAnsi="ITC Avant Garde"/>
          <w:bCs/>
        </w:rPr>
      </w:pPr>
      <w:r w:rsidRPr="00A07AF9">
        <w:rPr>
          <w:rFonts w:ascii="ITC Avant Garde" w:hAnsi="ITC Avant Garde"/>
          <w:bCs/>
        </w:rPr>
        <w:t>Por otra parte</w:t>
      </w:r>
      <w:r w:rsidR="004D43D6" w:rsidRPr="00A07AF9">
        <w:rPr>
          <w:rFonts w:ascii="ITC Avant Garde" w:hAnsi="ITC Avant Garde"/>
          <w:bCs/>
        </w:rPr>
        <w:t xml:space="preserve">, la Dirección General de Concentraciones y Concesiones, adscrita a la Unidad de Competencia Económica, </w:t>
      </w:r>
      <w:r w:rsidRPr="00A07AF9">
        <w:rPr>
          <w:rFonts w:ascii="ITC Avant Garde" w:hAnsi="ITC Avant Garde"/>
          <w:bCs/>
        </w:rPr>
        <w:t>emitió</w:t>
      </w:r>
      <w:r w:rsidR="004D43D6" w:rsidRPr="00A07AF9">
        <w:rPr>
          <w:rFonts w:ascii="ITC Avant Garde" w:hAnsi="ITC Avant Garde"/>
          <w:bCs/>
        </w:rPr>
        <w:t xml:space="preserve"> opinión</w:t>
      </w:r>
      <w:r w:rsidR="00937605" w:rsidRPr="00A07AF9">
        <w:rPr>
          <w:rFonts w:ascii="ITC Avant Garde" w:hAnsi="ITC Avant Garde"/>
          <w:bCs/>
        </w:rPr>
        <w:t xml:space="preserve"> favorable</w:t>
      </w:r>
      <w:r w:rsidR="004D43D6" w:rsidRPr="00A07AF9">
        <w:rPr>
          <w:rFonts w:ascii="ITC Avant Garde" w:hAnsi="ITC Avant Garde"/>
          <w:bCs/>
        </w:rPr>
        <w:t xml:space="preserve"> respecto </w:t>
      </w:r>
      <w:r w:rsidRPr="00A07AF9">
        <w:rPr>
          <w:rFonts w:ascii="ITC Avant Garde" w:hAnsi="ITC Avant Garde"/>
          <w:bCs/>
        </w:rPr>
        <w:t>de la Solicitud de Enajenación de Acciones</w:t>
      </w:r>
      <w:r w:rsidR="004D43D6" w:rsidRPr="00A07AF9">
        <w:rPr>
          <w:rFonts w:ascii="ITC Avant Garde" w:hAnsi="ITC Avant Garde"/>
          <w:bCs/>
        </w:rPr>
        <w:t xml:space="preserve">, </w:t>
      </w:r>
      <w:r w:rsidR="00937605" w:rsidRPr="00A07AF9">
        <w:rPr>
          <w:rFonts w:ascii="ITC Avant Garde" w:hAnsi="ITC Avant Garde"/>
          <w:bCs/>
        </w:rPr>
        <w:t xml:space="preserve">señalando </w:t>
      </w:r>
      <w:r w:rsidR="004D43D6" w:rsidRPr="00A07AF9">
        <w:rPr>
          <w:rFonts w:ascii="ITC Avant Garde" w:hAnsi="ITC Avant Garde"/>
          <w:bCs/>
        </w:rPr>
        <w:t>entre otras cosas lo siguiente:</w:t>
      </w:r>
    </w:p>
    <w:p w14:paraId="66C72DDD" w14:textId="55712F86" w:rsidR="00A16383" w:rsidRPr="00A07AF9" w:rsidRDefault="00E25B91" w:rsidP="00CA205F">
      <w:pPr>
        <w:spacing w:afterLines="120" w:after="288" w:line="240" w:lineRule="auto"/>
        <w:ind w:left="567" w:right="612"/>
        <w:jc w:val="both"/>
        <w:rPr>
          <w:rFonts w:ascii="ITC Avant Garde" w:hAnsi="ITC Avant Garde"/>
          <w:bCs/>
          <w:sz w:val="18"/>
          <w:szCs w:val="18"/>
        </w:rPr>
      </w:pPr>
      <w:r w:rsidRPr="00A07AF9">
        <w:rPr>
          <w:rFonts w:ascii="ITC Avant Garde" w:hAnsi="ITC Avant Garde"/>
          <w:bCs/>
          <w:sz w:val="18"/>
          <w:szCs w:val="18"/>
        </w:rPr>
        <w:t>“[…]</w:t>
      </w:r>
    </w:p>
    <w:p w14:paraId="23E1AB3E" w14:textId="7E4D44B5" w:rsidR="00A16383" w:rsidRPr="00A07AF9" w:rsidRDefault="00A16383" w:rsidP="00CA205F">
      <w:pPr>
        <w:spacing w:afterLines="120" w:after="288" w:line="240" w:lineRule="auto"/>
        <w:ind w:left="567" w:right="612"/>
        <w:jc w:val="both"/>
        <w:rPr>
          <w:rFonts w:ascii="ITC Avant Garde" w:hAnsi="ITC Avant Garde"/>
          <w:b/>
          <w:bCs/>
          <w:sz w:val="18"/>
          <w:szCs w:val="18"/>
        </w:rPr>
      </w:pPr>
      <w:r w:rsidRPr="00A07AF9">
        <w:rPr>
          <w:rFonts w:ascii="ITC Avant Garde" w:hAnsi="ITC Avant Garde"/>
          <w:b/>
          <w:bCs/>
          <w:sz w:val="18"/>
          <w:szCs w:val="18"/>
        </w:rPr>
        <w:t>V. Análisis y opinión en materia de competencia económica de la Operación</w:t>
      </w:r>
    </w:p>
    <w:p w14:paraId="23733D99" w14:textId="77777777" w:rsidR="00A16383" w:rsidRPr="00A07AF9" w:rsidRDefault="00A16383" w:rsidP="00CA205F">
      <w:pPr>
        <w:spacing w:afterLines="120" w:after="288" w:line="240" w:lineRule="auto"/>
        <w:ind w:left="567" w:right="612"/>
        <w:jc w:val="both"/>
        <w:rPr>
          <w:rFonts w:ascii="ITC Avant Garde" w:hAnsi="ITC Avant Garde"/>
          <w:bCs/>
          <w:sz w:val="18"/>
          <w:szCs w:val="18"/>
        </w:rPr>
      </w:pPr>
      <w:r w:rsidRPr="00A07AF9">
        <w:rPr>
          <w:rFonts w:ascii="ITC Avant Garde" w:hAnsi="ITC Avant Garde"/>
          <w:bCs/>
          <w:sz w:val="18"/>
          <w:szCs w:val="18"/>
        </w:rPr>
        <w:t>A partir de la información remitida por la DGCT y disponible para esta DGCC, se tienen los siguientes elementos:</w:t>
      </w:r>
    </w:p>
    <w:p w14:paraId="59BEB793" w14:textId="77777777" w:rsidR="00A07AF9" w:rsidRPr="00A07AF9" w:rsidRDefault="00A16383" w:rsidP="00CA205F">
      <w:pPr>
        <w:pStyle w:val="Prrafodelista"/>
        <w:numPr>
          <w:ilvl w:val="0"/>
          <w:numId w:val="15"/>
        </w:numPr>
        <w:spacing w:afterLines="120" w:after="288"/>
        <w:ind w:right="612"/>
        <w:jc w:val="both"/>
        <w:rPr>
          <w:rFonts w:ascii="ITC Avant Garde" w:hAnsi="ITC Avant Garde"/>
          <w:bCs/>
          <w:sz w:val="18"/>
          <w:szCs w:val="18"/>
        </w:rPr>
      </w:pPr>
      <w:r w:rsidRPr="00A07AF9">
        <w:rPr>
          <w:rFonts w:ascii="ITC Avant Garde" w:hAnsi="ITC Avant Garde"/>
          <w:bCs/>
          <w:sz w:val="18"/>
          <w:szCs w:val="18"/>
        </w:rPr>
        <w:t xml:space="preserve">Uno de los Adquirientes, la C. Daniela García </w:t>
      </w:r>
      <w:proofErr w:type="spellStart"/>
      <w:r w:rsidRPr="00A07AF9">
        <w:rPr>
          <w:rFonts w:ascii="ITC Avant Garde" w:hAnsi="ITC Avant Garde"/>
          <w:bCs/>
          <w:sz w:val="18"/>
          <w:szCs w:val="18"/>
        </w:rPr>
        <w:t>Nocetti</w:t>
      </w:r>
      <w:proofErr w:type="spellEnd"/>
      <w:r w:rsidRPr="00A07AF9">
        <w:rPr>
          <w:rFonts w:ascii="ITC Avant Garde" w:hAnsi="ITC Avant Garde"/>
          <w:bCs/>
          <w:sz w:val="18"/>
          <w:szCs w:val="18"/>
        </w:rPr>
        <w:t>, actualmente cuenta con 50% de las acciones representativas del capital social de Promoción y Asesoría Integral de Telecomunicaciones, S.C. y después de la Operación su participación aumentaría a 52% (cincuenta y dos por ciento), adquiriendo el control de la sociedad;</w:t>
      </w:r>
    </w:p>
    <w:p w14:paraId="756475A0" w14:textId="77777777" w:rsidR="00A07AF9" w:rsidRPr="00A07AF9" w:rsidRDefault="00A16383" w:rsidP="00CA205F">
      <w:pPr>
        <w:pStyle w:val="Prrafodelista"/>
        <w:numPr>
          <w:ilvl w:val="0"/>
          <w:numId w:val="15"/>
        </w:numPr>
        <w:spacing w:afterLines="120" w:after="288"/>
        <w:ind w:right="612"/>
        <w:jc w:val="both"/>
        <w:rPr>
          <w:rFonts w:ascii="ITC Avant Garde" w:hAnsi="ITC Avant Garde"/>
          <w:bCs/>
          <w:sz w:val="18"/>
          <w:szCs w:val="18"/>
        </w:rPr>
      </w:pPr>
      <w:r w:rsidRPr="00A07AF9">
        <w:rPr>
          <w:rFonts w:ascii="ITC Avant Garde" w:hAnsi="ITC Avant Garde"/>
          <w:bCs/>
          <w:sz w:val="18"/>
          <w:szCs w:val="18"/>
        </w:rPr>
        <w:lastRenderedPageBreak/>
        <w:t>El otro Adquiriente, el C. Armando Daniel Hernández García, adquiriría en virtud de la Operación 34% (treinta y cuatro por ciento) de las acciones representativas del capital social de Promoción y Asesoría Integral de Telecomunicaciones, S.C.</w:t>
      </w:r>
    </w:p>
    <w:p w14:paraId="3632113D" w14:textId="0495798B" w:rsidR="00A16383" w:rsidRPr="00A07AF9" w:rsidRDefault="00A16383" w:rsidP="00CA205F">
      <w:pPr>
        <w:pStyle w:val="Prrafodelista"/>
        <w:numPr>
          <w:ilvl w:val="0"/>
          <w:numId w:val="15"/>
        </w:numPr>
        <w:spacing w:afterLines="120" w:after="288"/>
        <w:ind w:left="1281" w:right="612" w:hanging="357"/>
        <w:jc w:val="both"/>
        <w:rPr>
          <w:rFonts w:ascii="ITC Avant Garde" w:hAnsi="ITC Avant Garde"/>
          <w:bCs/>
          <w:sz w:val="18"/>
          <w:szCs w:val="18"/>
        </w:rPr>
      </w:pPr>
      <w:r w:rsidRPr="00A07AF9">
        <w:rPr>
          <w:rFonts w:ascii="ITC Avant Garde" w:hAnsi="ITC Avant Garde"/>
          <w:bCs/>
          <w:sz w:val="18"/>
          <w:szCs w:val="18"/>
        </w:rPr>
        <w:t xml:space="preserve">Los </w:t>
      </w:r>
      <w:r w:rsidRPr="00A07AF9">
        <w:rPr>
          <w:rFonts w:ascii="ITC Avant Garde" w:hAnsi="ITC Avant Garde"/>
          <w:b/>
          <w:bCs/>
          <w:sz w:val="18"/>
          <w:szCs w:val="18"/>
          <w:u w:val="single"/>
        </w:rPr>
        <w:t>Adquirientes tienen una relación consanguínea o de afinidad de primer grado con el Enajenante: son esposa e hijo, por lo que previsiblemente forman parte del mismo grupo de interés económico</w:t>
      </w:r>
      <w:r w:rsidRPr="00A07AF9">
        <w:rPr>
          <w:rFonts w:ascii="ITC Avant Garde" w:hAnsi="ITC Avant Garde"/>
          <w:bCs/>
          <w:sz w:val="18"/>
          <w:szCs w:val="18"/>
        </w:rPr>
        <w:t>.</w:t>
      </w:r>
    </w:p>
    <w:p w14:paraId="15D0F818" w14:textId="77777777" w:rsidR="00A07AF9" w:rsidRPr="00A07AF9" w:rsidRDefault="00A16383" w:rsidP="00CA205F">
      <w:pPr>
        <w:spacing w:afterLines="120" w:after="288" w:line="240" w:lineRule="auto"/>
        <w:ind w:left="567" w:right="612"/>
        <w:jc w:val="both"/>
        <w:rPr>
          <w:rFonts w:ascii="ITC Avant Garde" w:hAnsi="ITC Avant Garde"/>
          <w:bCs/>
          <w:sz w:val="18"/>
          <w:szCs w:val="18"/>
        </w:rPr>
      </w:pPr>
      <w:r w:rsidRPr="00A07AF9">
        <w:rPr>
          <w:rFonts w:ascii="ITC Avant Garde" w:hAnsi="ITC Avant Garde"/>
          <w:b/>
          <w:bCs/>
          <w:sz w:val="18"/>
          <w:szCs w:val="18"/>
          <w:u w:val="single"/>
        </w:rPr>
        <w:t>En virtud de lo anterior se concluye que la Operación constituye una reestructura que previsiblemente no tendrá efectos contrarios al proceso de competencia y libre concurrencia en la provisión de servicios de televisión restringida en la localidad</w:t>
      </w:r>
      <w:r w:rsidRPr="00A07AF9">
        <w:rPr>
          <w:rFonts w:ascii="ITC Avant Garde" w:hAnsi="ITC Avant Garde"/>
          <w:bCs/>
          <w:sz w:val="18"/>
          <w:szCs w:val="18"/>
        </w:rPr>
        <w:t>.</w:t>
      </w:r>
    </w:p>
    <w:p w14:paraId="4FB412D2" w14:textId="77777777" w:rsidR="00A07AF9" w:rsidRPr="00A07AF9" w:rsidRDefault="002540EC" w:rsidP="00CA205F">
      <w:pPr>
        <w:spacing w:afterLines="120" w:after="288" w:line="240" w:lineRule="auto"/>
        <w:ind w:left="567" w:right="612"/>
        <w:jc w:val="both"/>
        <w:rPr>
          <w:rFonts w:ascii="ITC Avant Garde" w:hAnsi="ITC Avant Garde"/>
          <w:bCs/>
          <w:sz w:val="18"/>
          <w:szCs w:val="18"/>
        </w:rPr>
      </w:pPr>
      <w:r w:rsidRPr="00A07AF9">
        <w:rPr>
          <w:rFonts w:ascii="ITC Avant Garde" w:hAnsi="ITC Avant Garde"/>
          <w:bCs/>
          <w:sz w:val="18"/>
          <w:szCs w:val="18"/>
        </w:rPr>
        <w:t>[</w:t>
      </w:r>
      <w:r w:rsidR="00A16383" w:rsidRPr="00A07AF9">
        <w:rPr>
          <w:rFonts w:ascii="ITC Avant Garde" w:hAnsi="ITC Avant Garde"/>
          <w:bCs/>
          <w:sz w:val="18"/>
          <w:szCs w:val="18"/>
        </w:rPr>
        <w:t>…</w:t>
      </w:r>
      <w:r w:rsidRPr="00A07AF9">
        <w:rPr>
          <w:rFonts w:ascii="ITC Avant Garde" w:hAnsi="ITC Avant Garde"/>
          <w:bCs/>
          <w:sz w:val="18"/>
          <w:szCs w:val="18"/>
        </w:rPr>
        <w:t>]</w:t>
      </w:r>
      <w:r w:rsidR="00A16383" w:rsidRPr="00A07AF9">
        <w:rPr>
          <w:rFonts w:ascii="ITC Avant Garde" w:hAnsi="ITC Avant Garde"/>
          <w:bCs/>
          <w:sz w:val="18"/>
          <w:szCs w:val="18"/>
        </w:rPr>
        <w:t>”</w:t>
      </w:r>
      <w:r w:rsidRPr="00A07AF9">
        <w:rPr>
          <w:rFonts w:ascii="ITC Avant Garde" w:hAnsi="ITC Avant Garde"/>
          <w:bCs/>
          <w:sz w:val="18"/>
          <w:szCs w:val="18"/>
        </w:rPr>
        <w:t xml:space="preserve"> (Énfasis añadido)</w:t>
      </w:r>
      <w:r w:rsidR="00DF2D64" w:rsidRPr="00A07AF9">
        <w:rPr>
          <w:rFonts w:ascii="ITC Avant Garde" w:hAnsi="ITC Avant Garde"/>
          <w:bCs/>
          <w:sz w:val="18"/>
          <w:szCs w:val="18"/>
        </w:rPr>
        <w:t>.</w:t>
      </w:r>
    </w:p>
    <w:p w14:paraId="1E5EAF59" w14:textId="0CCA8099" w:rsidR="00061EA0" w:rsidRPr="00A07AF9" w:rsidRDefault="00061EA0" w:rsidP="00CA205F">
      <w:pPr>
        <w:autoSpaceDE w:val="0"/>
        <w:autoSpaceDN w:val="0"/>
        <w:adjustRightInd w:val="0"/>
        <w:spacing w:afterLines="120" w:after="288" w:line="240" w:lineRule="auto"/>
        <w:jc w:val="both"/>
        <w:rPr>
          <w:rFonts w:ascii="ITC Avant Garde" w:hAnsi="ITC Avant Garde"/>
          <w:bCs/>
        </w:rPr>
      </w:pPr>
      <w:r w:rsidRPr="00A07AF9">
        <w:rPr>
          <w:rFonts w:ascii="ITC Avant Garde" w:hAnsi="ITC Avant Garde"/>
          <w:bCs/>
        </w:rPr>
        <w:t xml:space="preserve">De lo anterior, y considerando lo señalado por el artículo 93 fracción I de la Ley de Competencia, se concluye que la presente operación no constituye una concentración sujeta a la autorización prevista por el artículo 86 de la citada ley, toda vez que se considera una reestructura corporativa dentro del mismo grupo de interés económico y </w:t>
      </w:r>
      <w:r w:rsidR="003F722D" w:rsidRPr="00A07AF9">
        <w:rPr>
          <w:rFonts w:ascii="ITC Avant Garde" w:hAnsi="ITC Avant Garde"/>
          <w:bCs/>
        </w:rPr>
        <w:t>la misma</w:t>
      </w:r>
      <w:r w:rsidRPr="00A07AF9">
        <w:rPr>
          <w:rFonts w:ascii="ITC Avant Garde" w:hAnsi="ITC Avant Garde"/>
          <w:bCs/>
        </w:rPr>
        <w:t xml:space="preserve"> no tendrá efectos contrarios al proceso de competencia y libre concurrencia. </w:t>
      </w:r>
    </w:p>
    <w:p w14:paraId="0398FD6E" w14:textId="77777777" w:rsidR="00A07AF9" w:rsidRPr="00A07AF9" w:rsidRDefault="00655179" w:rsidP="00CA205F">
      <w:pPr>
        <w:autoSpaceDE w:val="0"/>
        <w:autoSpaceDN w:val="0"/>
        <w:adjustRightInd w:val="0"/>
        <w:spacing w:afterLines="120" w:after="288" w:line="240" w:lineRule="auto"/>
        <w:jc w:val="both"/>
        <w:rPr>
          <w:rFonts w:ascii="ITC Avant Garde" w:hAnsi="ITC Avant Garde"/>
          <w:bCs/>
        </w:rPr>
      </w:pPr>
      <w:r w:rsidRPr="00A07AF9">
        <w:rPr>
          <w:rFonts w:ascii="ITC Avant Garde" w:hAnsi="ITC Avant Garde"/>
          <w:bCs/>
        </w:rPr>
        <w:t xml:space="preserve">Por otra parte, </w:t>
      </w:r>
      <w:r w:rsidR="00AD017F" w:rsidRPr="00A07AF9">
        <w:rPr>
          <w:rFonts w:ascii="ITC Avant Garde" w:hAnsi="ITC Avant Garde"/>
          <w:bCs/>
        </w:rPr>
        <w:t xml:space="preserve">el 10 de agosto de 2016, </w:t>
      </w:r>
      <w:r w:rsidR="00E608B8" w:rsidRPr="00A07AF9">
        <w:rPr>
          <w:rFonts w:ascii="ITC Avant Garde" w:hAnsi="ITC Avant Garde"/>
          <w:bCs/>
        </w:rPr>
        <w:t>Promoción y Asesoría Integral de Telecomunicaciones, S.C.</w:t>
      </w:r>
      <w:r w:rsidR="007961CB" w:rsidRPr="00A07AF9">
        <w:rPr>
          <w:rFonts w:ascii="ITC Avant Garde" w:hAnsi="ITC Avant Garde"/>
          <w:bCs/>
        </w:rPr>
        <w:t xml:space="preserve"> </w:t>
      </w:r>
      <w:r w:rsidR="00530DC1" w:rsidRPr="00A07AF9">
        <w:rPr>
          <w:rFonts w:ascii="ITC Avant Garde" w:hAnsi="ITC Avant Garde"/>
          <w:bCs/>
        </w:rPr>
        <w:t xml:space="preserve">presentó </w:t>
      </w:r>
      <w:r w:rsidR="00937605" w:rsidRPr="00A07AF9">
        <w:rPr>
          <w:rFonts w:ascii="ITC Avant Garde" w:hAnsi="ITC Avant Garde"/>
          <w:bCs/>
        </w:rPr>
        <w:t xml:space="preserve">ante el Instituto alcance a la Solicitud de Enajenación de Acciones en el que incorporó el </w:t>
      </w:r>
      <w:r w:rsidR="00530DC1" w:rsidRPr="00A07AF9">
        <w:rPr>
          <w:rFonts w:ascii="ITC Avant Garde" w:hAnsi="ITC Avant Garde"/>
          <w:bCs/>
        </w:rPr>
        <w:t xml:space="preserve">comprobante de pago de derechos por concepto del estudio de solicitud de cambios o modificaciones de características técnicas, administrativas operativas y legales, </w:t>
      </w:r>
      <w:r w:rsidR="00806235" w:rsidRPr="00A07AF9">
        <w:rPr>
          <w:rFonts w:ascii="ITC Avant Garde" w:hAnsi="ITC Avant Garde"/>
          <w:bCs/>
        </w:rPr>
        <w:t>relativa</w:t>
      </w:r>
      <w:r w:rsidR="00530DC1" w:rsidRPr="00A07AF9">
        <w:rPr>
          <w:rFonts w:ascii="ITC Avant Garde" w:hAnsi="ITC Avant Garde"/>
          <w:bCs/>
        </w:rPr>
        <w:t xml:space="preserve"> a la suscripción o enajenación de acciones o partes sociales que requiera autorización en términos de la Ley, atendiendo de esta forma a lo dispuesto por el artículo 174-C fracción VII de la Ley Federal de Derechos vigente al momento de la presentación de la Solicitud de Enajenación de Acciones.</w:t>
      </w:r>
    </w:p>
    <w:p w14:paraId="51B07CD5" w14:textId="77777777" w:rsidR="00A07AF9" w:rsidRPr="00A07AF9" w:rsidRDefault="00CB20DF" w:rsidP="00CA205F">
      <w:pPr>
        <w:autoSpaceDE w:val="0"/>
        <w:autoSpaceDN w:val="0"/>
        <w:adjustRightInd w:val="0"/>
        <w:spacing w:afterLines="120" w:after="288" w:line="240" w:lineRule="auto"/>
        <w:jc w:val="both"/>
        <w:rPr>
          <w:rFonts w:ascii="ITC Avant Garde" w:hAnsi="ITC Avant Garde"/>
          <w:bCs/>
        </w:rPr>
      </w:pPr>
      <w:r w:rsidRPr="00A07AF9">
        <w:rPr>
          <w:rFonts w:ascii="ITC Avant Garde" w:hAnsi="ITC Avant Garde"/>
          <w:bCs/>
        </w:rPr>
        <w:t>Ahora bien, en relación con el tercer requisito de procedencia este Instituto mediante oficio IFT/223/UCS/</w:t>
      </w:r>
      <w:r w:rsidR="00530DC1" w:rsidRPr="00A07AF9">
        <w:rPr>
          <w:rFonts w:ascii="ITC Avant Garde" w:hAnsi="ITC Avant Garde"/>
          <w:bCs/>
        </w:rPr>
        <w:t>1289</w:t>
      </w:r>
      <w:r w:rsidRPr="00A07AF9">
        <w:rPr>
          <w:rFonts w:ascii="ITC Avant Garde" w:hAnsi="ITC Avant Garde"/>
          <w:bCs/>
        </w:rPr>
        <w:t>/201</w:t>
      </w:r>
      <w:r w:rsidR="00530DC1" w:rsidRPr="00A07AF9">
        <w:rPr>
          <w:rFonts w:ascii="ITC Avant Garde" w:hAnsi="ITC Avant Garde"/>
          <w:bCs/>
        </w:rPr>
        <w:t>6</w:t>
      </w:r>
      <w:r w:rsidRPr="00A07AF9">
        <w:rPr>
          <w:rFonts w:ascii="ITC Avant Garde" w:hAnsi="ITC Avant Garde"/>
          <w:bCs/>
        </w:rPr>
        <w:t xml:space="preserve"> notificado el </w:t>
      </w:r>
      <w:r w:rsidR="00530DC1" w:rsidRPr="00A07AF9">
        <w:rPr>
          <w:rFonts w:ascii="ITC Avant Garde" w:hAnsi="ITC Avant Garde"/>
          <w:bCs/>
        </w:rPr>
        <w:t>15</w:t>
      </w:r>
      <w:r w:rsidRPr="00A07AF9">
        <w:rPr>
          <w:rFonts w:ascii="ITC Avant Garde" w:hAnsi="ITC Avant Garde"/>
          <w:bCs/>
        </w:rPr>
        <w:t xml:space="preserve"> de </w:t>
      </w:r>
      <w:r w:rsidR="00530DC1" w:rsidRPr="00A07AF9">
        <w:rPr>
          <w:rFonts w:ascii="ITC Avant Garde" w:hAnsi="ITC Avant Garde"/>
          <w:bCs/>
        </w:rPr>
        <w:t>agosto</w:t>
      </w:r>
      <w:r w:rsidRPr="00A07AF9">
        <w:rPr>
          <w:rFonts w:ascii="ITC Avant Garde" w:hAnsi="ITC Avant Garde"/>
          <w:bCs/>
        </w:rPr>
        <w:t xml:space="preserve"> de 201</w:t>
      </w:r>
      <w:r w:rsidR="00530DC1" w:rsidRPr="00A07AF9">
        <w:rPr>
          <w:rFonts w:ascii="ITC Avant Garde" w:hAnsi="ITC Avant Garde"/>
          <w:bCs/>
        </w:rPr>
        <w:t>6</w:t>
      </w:r>
      <w:r w:rsidRPr="00A07AF9">
        <w:rPr>
          <w:rFonts w:ascii="ITC Avant Garde" w:hAnsi="ITC Avant Garde"/>
          <w:bCs/>
        </w:rPr>
        <w:t>, solicitó a la Secretaría la opinión técnica respecto de la Solicitud de Enajenación de Acciones.</w:t>
      </w:r>
    </w:p>
    <w:p w14:paraId="16AAD55E" w14:textId="77777777" w:rsidR="00A07AF9" w:rsidRPr="00A07AF9" w:rsidRDefault="00CB20DF" w:rsidP="00CA205F">
      <w:pPr>
        <w:autoSpaceDE w:val="0"/>
        <w:autoSpaceDN w:val="0"/>
        <w:adjustRightInd w:val="0"/>
        <w:spacing w:afterLines="120" w:after="288" w:line="240" w:lineRule="auto"/>
        <w:jc w:val="both"/>
        <w:rPr>
          <w:rFonts w:ascii="ITC Avant Garde" w:hAnsi="ITC Avant Garde"/>
          <w:bCs/>
        </w:rPr>
      </w:pPr>
      <w:r w:rsidRPr="00A07AF9">
        <w:rPr>
          <w:rFonts w:ascii="ITC Avant Garde" w:hAnsi="ITC Avant Garde"/>
          <w:bCs/>
        </w:rPr>
        <w:t xml:space="preserve">En relación con lo anterior, </w:t>
      </w:r>
      <w:r w:rsidR="0024415B" w:rsidRPr="00A07AF9">
        <w:rPr>
          <w:rFonts w:ascii="ITC Avant Garde" w:hAnsi="ITC Avant Garde"/>
          <w:bCs/>
        </w:rPr>
        <w:t>mediante oficio 2.1.-557/2016, la Dirección General de Política de Telecomunicaciones y de Radiodifusión, remitió el oficio 1.-229, mediante el cual la Secretaría emitió la opinión técnica en sentido favorable.</w:t>
      </w:r>
    </w:p>
    <w:p w14:paraId="447F8924" w14:textId="77777777" w:rsidR="00A07AF9" w:rsidRPr="00A07AF9" w:rsidRDefault="00D04074" w:rsidP="00CA205F">
      <w:pPr>
        <w:autoSpaceDE w:val="0"/>
        <w:autoSpaceDN w:val="0"/>
        <w:adjustRightInd w:val="0"/>
        <w:spacing w:afterLines="120" w:after="288" w:line="240" w:lineRule="auto"/>
        <w:jc w:val="both"/>
        <w:rPr>
          <w:rFonts w:ascii="ITC Avant Garde" w:hAnsi="ITC Avant Garde"/>
          <w:bCs/>
        </w:rPr>
      </w:pPr>
      <w:r w:rsidRPr="00A07AF9">
        <w:rPr>
          <w:rFonts w:ascii="ITC Avant Garde" w:hAnsi="ITC Avant Garde"/>
          <w:bCs/>
        </w:rPr>
        <w:t xml:space="preserve">Por lo anteriormente señalado, y con fundamento en los artículos 28 </w:t>
      </w:r>
      <w:r w:rsidR="00311B0A" w:rsidRPr="00A07AF9">
        <w:rPr>
          <w:rFonts w:ascii="ITC Avant Garde" w:hAnsi="ITC Avant Garde"/>
          <w:bCs/>
        </w:rPr>
        <w:t>párrafo</w:t>
      </w:r>
      <w:r w:rsidR="00440EBB" w:rsidRPr="00A07AF9">
        <w:rPr>
          <w:rFonts w:ascii="ITC Avant Garde" w:hAnsi="ITC Avant Garde"/>
          <w:bCs/>
        </w:rPr>
        <w:t>s</w:t>
      </w:r>
      <w:r w:rsidR="00311B0A" w:rsidRPr="00A07AF9">
        <w:rPr>
          <w:rFonts w:ascii="ITC Avant Garde" w:hAnsi="ITC Avant Garde"/>
          <w:bCs/>
        </w:rPr>
        <w:t xml:space="preserve"> </w:t>
      </w:r>
      <w:r w:rsidR="00CD7CD4" w:rsidRPr="00A07AF9">
        <w:rPr>
          <w:rFonts w:ascii="ITC Avant Garde" w:hAnsi="ITC Avant Garde"/>
          <w:bCs/>
        </w:rPr>
        <w:t xml:space="preserve">décimo </w:t>
      </w:r>
      <w:r w:rsidR="00440EBB" w:rsidRPr="00A07AF9">
        <w:rPr>
          <w:rFonts w:ascii="ITC Avant Garde" w:hAnsi="ITC Avant Garde"/>
          <w:bCs/>
        </w:rPr>
        <w:t xml:space="preserve">sexto y décimo </w:t>
      </w:r>
      <w:r w:rsidR="00CD7CD4" w:rsidRPr="00A07AF9">
        <w:rPr>
          <w:rFonts w:ascii="ITC Avant Garde" w:hAnsi="ITC Avant Garde"/>
          <w:bCs/>
        </w:rPr>
        <w:t>séptimo</w:t>
      </w:r>
      <w:r w:rsidRPr="00A07AF9">
        <w:rPr>
          <w:rFonts w:ascii="ITC Avant Garde" w:hAnsi="ITC Avant Garde"/>
          <w:bCs/>
        </w:rPr>
        <w:t xml:space="preserve"> de la Constitución Política de los Estados Unidos Mexicanos; </w:t>
      </w:r>
      <w:r w:rsidR="00DF0E2B" w:rsidRPr="00A07AF9">
        <w:rPr>
          <w:rFonts w:ascii="ITC Avant Garde" w:hAnsi="ITC Avant Garde"/>
          <w:bCs/>
        </w:rPr>
        <w:t>6 fracción</w:t>
      </w:r>
      <w:r w:rsidR="00967B8E" w:rsidRPr="00A07AF9">
        <w:rPr>
          <w:rFonts w:ascii="ITC Avant Garde" w:hAnsi="ITC Avant Garde"/>
          <w:bCs/>
        </w:rPr>
        <w:t xml:space="preserve"> IV,</w:t>
      </w:r>
      <w:r w:rsidR="004A700C" w:rsidRPr="00A07AF9">
        <w:rPr>
          <w:rFonts w:ascii="ITC Avant Garde" w:hAnsi="ITC Avant Garde"/>
          <w:bCs/>
        </w:rPr>
        <w:t xml:space="preserve"> 7,</w:t>
      </w:r>
      <w:r w:rsidR="00967B8E" w:rsidRPr="00A07AF9">
        <w:rPr>
          <w:rFonts w:ascii="ITC Avant Garde" w:hAnsi="ITC Avant Garde"/>
          <w:bCs/>
        </w:rPr>
        <w:t xml:space="preserve"> </w:t>
      </w:r>
      <w:r w:rsidR="00EC7353" w:rsidRPr="00A07AF9">
        <w:rPr>
          <w:rFonts w:ascii="ITC Avant Garde" w:hAnsi="ITC Avant Garde"/>
          <w:bCs/>
        </w:rPr>
        <w:t>15 fracción IV</w:t>
      </w:r>
      <w:r w:rsidR="00BF6187" w:rsidRPr="00A07AF9">
        <w:rPr>
          <w:rFonts w:ascii="ITC Avant Garde" w:hAnsi="ITC Avant Garde"/>
          <w:bCs/>
        </w:rPr>
        <w:t>,</w:t>
      </w:r>
      <w:r w:rsidR="00EC7353" w:rsidRPr="00A07AF9">
        <w:rPr>
          <w:rFonts w:ascii="ITC Avant Garde" w:hAnsi="ITC Avant Garde"/>
          <w:bCs/>
        </w:rPr>
        <w:t xml:space="preserve"> 17 fracción I</w:t>
      </w:r>
      <w:r w:rsidRPr="00A07AF9">
        <w:rPr>
          <w:rFonts w:ascii="ITC Avant Garde" w:hAnsi="ITC Avant Garde"/>
          <w:bCs/>
        </w:rPr>
        <w:t xml:space="preserve"> </w:t>
      </w:r>
      <w:r w:rsidR="00BF6187" w:rsidRPr="00A07AF9">
        <w:rPr>
          <w:rFonts w:ascii="ITC Avant Garde" w:hAnsi="ITC Avant Garde"/>
          <w:bCs/>
        </w:rPr>
        <w:t xml:space="preserve">y 112 </w:t>
      </w:r>
      <w:r w:rsidR="009931CA" w:rsidRPr="00A07AF9">
        <w:rPr>
          <w:rFonts w:ascii="ITC Avant Garde" w:hAnsi="ITC Avant Garde"/>
          <w:bCs/>
        </w:rPr>
        <w:t>de la Ley Federal de Telecomunicaciones y Radiodifusión;</w:t>
      </w:r>
      <w:r w:rsidR="00311B0A" w:rsidRPr="00A07AF9">
        <w:rPr>
          <w:rFonts w:ascii="ITC Avant Garde" w:hAnsi="ITC Avant Garde"/>
          <w:bCs/>
        </w:rPr>
        <w:t xml:space="preserve"> </w:t>
      </w:r>
      <w:r w:rsidR="00846937" w:rsidRPr="00A07AF9">
        <w:rPr>
          <w:rFonts w:ascii="ITC Avant Garde" w:hAnsi="ITC Avant Garde"/>
          <w:bCs/>
        </w:rPr>
        <w:t>5</w:t>
      </w:r>
      <w:r w:rsidR="00806235" w:rsidRPr="00A07AF9">
        <w:rPr>
          <w:rFonts w:ascii="ITC Avant Garde" w:hAnsi="ITC Avant Garde"/>
          <w:bCs/>
        </w:rPr>
        <w:t>, 86 y 93 fracción I</w:t>
      </w:r>
      <w:r w:rsidR="00846937" w:rsidRPr="00A07AF9">
        <w:rPr>
          <w:rFonts w:ascii="ITC Avant Garde" w:hAnsi="ITC Avant Garde"/>
          <w:bCs/>
        </w:rPr>
        <w:t xml:space="preserve"> de la Ley Federal de Competencia Económica; 11 fracción II, </w:t>
      </w:r>
      <w:r w:rsidR="009E014B" w:rsidRPr="00A07AF9">
        <w:rPr>
          <w:rFonts w:ascii="ITC Avant Garde" w:hAnsi="ITC Avant Garde"/>
          <w:bCs/>
        </w:rPr>
        <w:t>35</w:t>
      </w:r>
      <w:r w:rsidR="00967B8E" w:rsidRPr="00A07AF9">
        <w:rPr>
          <w:rFonts w:ascii="ITC Avant Garde" w:hAnsi="ITC Avant Garde"/>
          <w:bCs/>
        </w:rPr>
        <w:t xml:space="preserve"> fracción I, 36, 38 y 39 de la Ley Federal de Procedimiento Administrativo; </w:t>
      </w:r>
      <w:r w:rsidR="00AB0900" w:rsidRPr="00A07AF9">
        <w:rPr>
          <w:rFonts w:ascii="ITC Avant Garde" w:hAnsi="ITC Avant Garde"/>
          <w:bCs/>
          <w:color w:val="000000" w:themeColor="text1"/>
          <w:lang w:eastAsia="es-MX"/>
        </w:rPr>
        <w:t>174-C, fracción VII, de la Ley Federal de Derechos</w:t>
      </w:r>
      <w:r w:rsidR="00A029C5" w:rsidRPr="00A07AF9">
        <w:rPr>
          <w:rFonts w:ascii="ITC Avant Garde" w:hAnsi="ITC Avant Garde"/>
          <w:bCs/>
        </w:rPr>
        <w:t>;</w:t>
      </w:r>
      <w:r w:rsidR="00311B0A" w:rsidRPr="00A07AF9">
        <w:rPr>
          <w:rFonts w:ascii="ITC Avant Garde" w:hAnsi="ITC Avant Garde"/>
          <w:bCs/>
        </w:rPr>
        <w:t xml:space="preserve"> </w:t>
      </w:r>
      <w:r w:rsidR="002A5CD0" w:rsidRPr="00A07AF9">
        <w:rPr>
          <w:rFonts w:ascii="ITC Avant Garde" w:hAnsi="ITC Avant Garde"/>
          <w:bCs/>
        </w:rPr>
        <w:t>y</w:t>
      </w:r>
      <w:r w:rsidRPr="00A07AF9">
        <w:rPr>
          <w:rFonts w:ascii="ITC Avant Garde" w:hAnsi="ITC Avant Garde"/>
          <w:bCs/>
        </w:rPr>
        <w:t xml:space="preserve"> 1, 6</w:t>
      </w:r>
      <w:r w:rsidR="00DF0E2B" w:rsidRPr="00A07AF9">
        <w:rPr>
          <w:rFonts w:ascii="ITC Avant Garde" w:hAnsi="ITC Avant Garde"/>
          <w:bCs/>
        </w:rPr>
        <w:t xml:space="preserve"> fracción XXXVII</w:t>
      </w:r>
      <w:r w:rsidR="00476447" w:rsidRPr="00A07AF9">
        <w:rPr>
          <w:rFonts w:ascii="ITC Avant Garde" w:hAnsi="ITC Avant Garde"/>
          <w:bCs/>
        </w:rPr>
        <w:t>,</w:t>
      </w:r>
      <w:r w:rsidRPr="00A07AF9">
        <w:rPr>
          <w:rFonts w:ascii="ITC Avant Garde" w:hAnsi="ITC Avant Garde"/>
          <w:bCs/>
        </w:rPr>
        <w:t xml:space="preserve"> 32</w:t>
      </w:r>
      <w:r w:rsidR="00FD7602" w:rsidRPr="00A07AF9">
        <w:rPr>
          <w:rFonts w:ascii="ITC Avant Garde" w:hAnsi="ITC Avant Garde"/>
          <w:bCs/>
        </w:rPr>
        <w:t>,</w:t>
      </w:r>
      <w:r w:rsidR="00DF0E2B" w:rsidRPr="00A07AF9">
        <w:rPr>
          <w:rFonts w:ascii="ITC Avant Garde" w:hAnsi="ITC Avant Garde"/>
          <w:bCs/>
        </w:rPr>
        <w:t xml:space="preserve"> </w:t>
      </w:r>
      <w:r w:rsidRPr="00A07AF9">
        <w:rPr>
          <w:rFonts w:ascii="ITC Avant Garde" w:hAnsi="ITC Avant Garde"/>
          <w:bCs/>
        </w:rPr>
        <w:t xml:space="preserve">33 fracción </w:t>
      </w:r>
      <w:r w:rsidR="0073457C" w:rsidRPr="00A07AF9">
        <w:rPr>
          <w:rFonts w:ascii="ITC Avant Garde" w:hAnsi="ITC Avant Garde"/>
          <w:bCs/>
        </w:rPr>
        <w:t>IV</w:t>
      </w:r>
      <w:r w:rsidR="00A172BC" w:rsidRPr="00A07AF9">
        <w:rPr>
          <w:rFonts w:ascii="ITC Avant Garde" w:hAnsi="ITC Avant Garde"/>
          <w:bCs/>
        </w:rPr>
        <w:t xml:space="preserve"> y 50 fracción XIII</w:t>
      </w:r>
      <w:r w:rsidRPr="00A07AF9">
        <w:rPr>
          <w:rFonts w:ascii="ITC Avant Garde" w:hAnsi="ITC Avant Garde"/>
          <w:bCs/>
        </w:rPr>
        <w:t xml:space="preserve"> del Estatuto Orgánico del Instituto Federal de Telecomunicaciones, este órgano autónomo emite los siguientes:</w:t>
      </w:r>
    </w:p>
    <w:p w14:paraId="4DFE5806" w14:textId="77777777" w:rsidR="00A07AF9" w:rsidRPr="00A07AF9" w:rsidRDefault="00B048BA" w:rsidP="00CA205F">
      <w:pPr>
        <w:pStyle w:val="Ttulo2"/>
        <w:spacing w:before="0" w:afterLines="120" w:after="288"/>
        <w:jc w:val="center"/>
        <w:rPr>
          <w:rFonts w:ascii="ITC Avant Garde" w:hAnsi="ITC Avant Garde"/>
          <w:b/>
          <w:color w:val="000000" w:themeColor="text1"/>
          <w:sz w:val="24"/>
          <w:szCs w:val="24"/>
        </w:rPr>
      </w:pPr>
      <w:r w:rsidRPr="00A07AF9">
        <w:rPr>
          <w:rFonts w:ascii="ITC Avant Garde" w:hAnsi="ITC Avant Garde"/>
          <w:b/>
          <w:color w:val="000000" w:themeColor="text1"/>
          <w:sz w:val="24"/>
          <w:szCs w:val="24"/>
        </w:rPr>
        <w:lastRenderedPageBreak/>
        <w:t>RESOLUTIVOS</w:t>
      </w:r>
    </w:p>
    <w:p w14:paraId="37F9D80D" w14:textId="6BBD088F" w:rsidR="000A62EA" w:rsidRPr="00A07AF9" w:rsidRDefault="00C630FF" w:rsidP="00CA205F">
      <w:pPr>
        <w:spacing w:afterLines="120" w:after="288" w:line="240" w:lineRule="auto"/>
        <w:jc w:val="both"/>
        <w:rPr>
          <w:rFonts w:ascii="ITC Avant Garde" w:hAnsi="ITC Avant Garde"/>
          <w:bCs/>
        </w:rPr>
      </w:pPr>
      <w:proofErr w:type="gramStart"/>
      <w:r w:rsidRPr="00A07AF9">
        <w:rPr>
          <w:rFonts w:ascii="ITC Avant Garde" w:hAnsi="ITC Avant Garde"/>
          <w:b/>
          <w:bCs/>
        </w:rPr>
        <w:t>PRIMERO</w:t>
      </w:r>
      <w:r w:rsidR="00B048BA" w:rsidRPr="00A07AF9">
        <w:rPr>
          <w:rFonts w:ascii="ITC Avant Garde" w:hAnsi="ITC Avant Garde"/>
          <w:b/>
          <w:bCs/>
        </w:rPr>
        <w:t>.-</w:t>
      </w:r>
      <w:proofErr w:type="gramEnd"/>
      <w:r w:rsidR="008815FA" w:rsidRPr="00A07AF9">
        <w:rPr>
          <w:rFonts w:ascii="ITC Avant Garde" w:hAnsi="ITC Avant Garde"/>
          <w:b/>
          <w:bCs/>
        </w:rPr>
        <w:t xml:space="preserve"> </w:t>
      </w:r>
      <w:r w:rsidR="008810B4" w:rsidRPr="00A07AF9">
        <w:rPr>
          <w:rFonts w:ascii="ITC Avant Garde" w:hAnsi="ITC Avant Garde"/>
          <w:bCs/>
        </w:rPr>
        <w:t xml:space="preserve">Se </w:t>
      </w:r>
      <w:r w:rsidR="00416051" w:rsidRPr="00A07AF9">
        <w:rPr>
          <w:rFonts w:ascii="ITC Avant Garde" w:hAnsi="ITC Avant Garde"/>
          <w:bCs/>
        </w:rPr>
        <w:t>autoriza</w:t>
      </w:r>
      <w:r w:rsidR="00C4495D" w:rsidRPr="00A07AF9">
        <w:rPr>
          <w:rFonts w:ascii="ITC Avant Garde" w:hAnsi="ITC Avant Garde"/>
          <w:bCs/>
        </w:rPr>
        <w:t xml:space="preserve"> a</w:t>
      </w:r>
      <w:r w:rsidR="00416051" w:rsidRPr="00A07AF9">
        <w:rPr>
          <w:rFonts w:ascii="ITC Avant Garde" w:hAnsi="ITC Avant Garde"/>
          <w:bCs/>
        </w:rPr>
        <w:t xml:space="preserve"> la empresa </w:t>
      </w:r>
      <w:r w:rsidR="004E337B" w:rsidRPr="00A07AF9">
        <w:rPr>
          <w:rFonts w:ascii="ITC Avant Garde" w:hAnsi="ITC Avant Garde"/>
          <w:bCs/>
        </w:rPr>
        <w:t>Promoción y Asesoría Integral de Telecomunicaciones, S.C.</w:t>
      </w:r>
      <w:r w:rsidR="00416051" w:rsidRPr="00A07AF9">
        <w:rPr>
          <w:rFonts w:ascii="ITC Avant Garde" w:hAnsi="ITC Avant Garde"/>
          <w:bCs/>
        </w:rPr>
        <w:t xml:space="preserve">, </w:t>
      </w:r>
      <w:r w:rsidR="00504F34" w:rsidRPr="00A07AF9">
        <w:rPr>
          <w:rFonts w:ascii="ITC Avant Garde" w:hAnsi="ITC Avant Garde"/>
          <w:bCs/>
        </w:rPr>
        <w:t xml:space="preserve">a llevar a cabo </w:t>
      </w:r>
      <w:r w:rsidR="009A5FC4" w:rsidRPr="00A07AF9">
        <w:rPr>
          <w:rFonts w:ascii="ITC Avant Garde" w:hAnsi="ITC Avant Garde"/>
          <w:bCs/>
        </w:rPr>
        <w:t xml:space="preserve">la </w:t>
      </w:r>
      <w:r w:rsidR="00504F34" w:rsidRPr="00A07AF9">
        <w:rPr>
          <w:rFonts w:ascii="ITC Avant Garde" w:hAnsi="ITC Avant Garde"/>
          <w:bCs/>
        </w:rPr>
        <w:t xml:space="preserve">enajenación de acciones </w:t>
      </w:r>
      <w:r w:rsidR="00D72AA0" w:rsidRPr="00A07AF9">
        <w:rPr>
          <w:rFonts w:ascii="ITC Avant Garde" w:hAnsi="ITC Avant Garde"/>
          <w:bCs/>
        </w:rPr>
        <w:t>solicitada</w:t>
      </w:r>
      <w:r w:rsidR="00504F34" w:rsidRPr="00A07AF9">
        <w:rPr>
          <w:rFonts w:ascii="ITC Avant Garde" w:hAnsi="ITC Avant Garde"/>
          <w:bCs/>
        </w:rPr>
        <w:t xml:space="preserve">, </w:t>
      </w:r>
      <w:r w:rsidR="00416051" w:rsidRPr="00A07AF9">
        <w:rPr>
          <w:rFonts w:ascii="ITC Avant Garde" w:hAnsi="ITC Avant Garde"/>
          <w:bCs/>
        </w:rPr>
        <w:t xml:space="preserve">a efecto de que la estructura accionaria de dicha </w:t>
      </w:r>
      <w:r w:rsidR="00022B85" w:rsidRPr="00A07AF9">
        <w:rPr>
          <w:rFonts w:ascii="ITC Avant Garde" w:hAnsi="ITC Avant Garde"/>
          <w:bCs/>
        </w:rPr>
        <w:t>concesionaria</w:t>
      </w:r>
      <w:r w:rsidR="00416051" w:rsidRPr="00A07AF9">
        <w:rPr>
          <w:rFonts w:ascii="ITC Avant Garde" w:hAnsi="ITC Avant Garde"/>
          <w:bCs/>
        </w:rPr>
        <w:t xml:space="preserve"> quede de la siguiente manera:</w:t>
      </w:r>
    </w:p>
    <w:tbl>
      <w:tblPr>
        <w:tblStyle w:val="Tablaconcuadrcula"/>
        <w:tblW w:w="6749" w:type="dxa"/>
        <w:jc w:val="center"/>
        <w:tblLayout w:type="fixed"/>
        <w:tblLook w:val="0000" w:firstRow="0" w:lastRow="0" w:firstColumn="0" w:lastColumn="0" w:noHBand="0" w:noVBand="0"/>
        <w:tblCaption w:val="Estructura accionaria"/>
        <w:tblDescription w:val="Tabla de 3 columnas que proporciona información relativa a la estructura accionaria.  Además contiene información Conffidencial por Ley, que se encuentra oculta."/>
      </w:tblPr>
      <w:tblGrid>
        <w:gridCol w:w="2989"/>
        <w:gridCol w:w="1635"/>
        <w:gridCol w:w="2125"/>
      </w:tblGrid>
      <w:tr w:rsidR="0092006B" w:rsidRPr="00A07AF9" w14:paraId="21C436B5" w14:textId="77777777" w:rsidTr="00562202">
        <w:trPr>
          <w:trHeight w:val="552"/>
          <w:tblHeader/>
          <w:jc w:val="center"/>
        </w:trPr>
        <w:tc>
          <w:tcPr>
            <w:tcW w:w="2989" w:type="dxa"/>
            <w:noWrap/>
          </w:tcPr>
          <w:p w14:paraId="10212C72" w14:textId="77777777" w:rsidR="0092006B" w:rsidRPr="00A07AF9" w:rsidRDefault="0092006B" w:rsidP="00CA205F">
            <w:pPr>
              <w:autoSpaceDE w:val="0"/>
              <w:autoSpaceDN w:val="0"/>
              <w:adjustRightInd w:val="0"/>
              <w:spacing w:afterLines="120" w:after="288" w:line="240" w:lineRule="auto"/>
              <w:jc w:val="center"/>
              <w:rPr>
                <w:rFonts w:ascii="ITC Avant Garde" w:hAnsi="ITC Avant Garde"/>
                <w:b/>
                <w:bCs/>
                <w:color w:val="000000"/>
                <w:sz w:val="13"/>
                <w:szCs w:val="13"/>
              </w:rPr>
            </w:pPr>
            <w:r w:rsidRPr="00A07AF9">
              <w:rPr>
                <w:rFonts w:ascii="ITC Avant Garde" w:hAnsi="ITC Avant Garde"/>
                <w:b/>
                <w:bCs/>
                <w:color w:val="000000"/>
                <w:sz w:val="13"/>
                <w:szCs w:val="13"/>
              </w:rPr>
              <w:t>ACCIONISTA</w:t>
            </w:r>
          </w:p>
        </w:tc>
        <w:tc>
          <w:tcPr>
            <w:tcW w:w="1635" w:type="dxa"/>
          </w:tcPr>
          <w:p w14:paraId="63B2CB2F" w14:textId="77777777" w:rsidR="0092006B" w:rsidRPr="00A07AF9" w:rsidRDefault="0092006B" w:rsidP="00CA205F">
            <w:pPr>
              <w:autoSpaceDE w:val="0"/>
              <w:autoSpaceDN w:val="0"/>
              <w:adjustRightInd w:val="0"/>
              <w:spacing w:afterLines="120" w:after="288" w:line="240" w:lineRule="auto"/>
              <w:jc w:val="center"/>
              <w:rPr>
                <w:rFonts w:ascii="ITC Avant Garde" w:hAnsi="ITC Avant Garde"/>
                <w:b/>
                <w:bCs/>
                <w:color w:val="000000"/>
                <w:sz w:val="13"/>
                <w:szCs w:val="13"/>
              </w:rPr>
            </w:pPr>
            <w:r w:rsidRPr="00A07AF9">
              <w:rPr>
                <w:rFonts w:ascii="ITC Avant Garde" w:hAnsi="ITC Avant Garde"/>
                <w:b/>
                <w:bCs/>
                <w:color w:val="000000"/>
                <w:sz w:val="13"/>
                <w:szCs w:val="13"/>
              </w:rPr>
              <w:t>ACCIONES</w:t>
            </w:r>
          </w:p>
        </w:tc>
        <w:tc>
          <w:tcPr>
            <w:tcW w:w="2125" w:type="dxa"/>
          </w:tcPr>
          <w:p w14:paraId="5D29A5A3" w14:textId="121BD03E" w:rsidR="0092006B" w:rsidRPr="00A07AF9" w:rsidRDefault="0068460C" w:rsidP="00CA205F">
            <w:pPr>
              <w:autoSpaceDE w:val="0"/>
              <w:autoSpaceDN w:val="0"/>
              <w:adjustRightInd w:val="0"/>
              <w:spacing w:afterLines="120" w:after="288" w:line="240" w:lineRule="auto"/>
              <w:jc w:val="center"/>
              <w:rPr>
                <w:rFonts w:ascii="ITC Avant Garde" w:hAnsi="ITC Avant Garde"/>
                <w:b/>
                <w:bCs/>
                <w:color w:val="000000"/>
                <w:sz w:val="13"/>
                <w:szCs w:val="13"/>
              </w:rPr>
            </w:pPr>
            <w:r w:rsidRPr="00A07AF9">
              <w:rPr>
                <w:rFonts w:ascii="ITC Avant Garde" w:hAnsi="ITC Avant Garde"/>
                <w:b/>
                <w:bCs/>
                <w:color w:val="000000"/>
                <w:sz w:val="13"/>
                <w:szCs w:val="13"/>
              </w:rPr>
              <w:t>CAPITAL</w:t>
            </w:r>
          </w:p>
        </w:tc>
      </w:tr>
      <w:tr w:rsidR="00562202" w:rsidRPr="00A07AF9" w14:paraId="05876F5C" w14:textId="77777777" w:rsidTr="00562202">
        <w:trPr>
          <w:trHeight w:val="356"/>
          <w:jc w:val="center"/>
        </w:trPr>
        <w:tc>
          <w:tcPr>
            <w:tcW w:w="2989" w:type="dxa"/>
          </w:tcPr>
          <w:p w14:paraId="7F738515" w14:textId="77777777" w:rsidR="00562202" w:rsidRPr="00A07AF9" w:rsidRDefault="00562202" w:rsidP="00562202">
            <w:pPr>
              <w:autoSpaceDE w:val="0"/>
              <w:autoSpaceDN w:val="0"/>
              <w:adjustRightInd w:val="0"/>
              <w:spacing w:afterLines="120" w:after="288" w:line="240" w:lineRule="auto"/>
              <w:rPr>
                <w:rFonts w:ascii="ITC Avant Garde" w:hAnsi="ITC Avant Garde"/>
                <w:bCs/>
                <w:color w:val="000000"/>
                <w:sz w:val="13"/>
                <w:szCs w:val="13"/>
              </w:rPr>
            </w:pPr>
            <w:r w:rsidRPr="00A07AF9">
              <w:rPr>
                <w:rFonts w:ascii="ITC Avant Garde" w:hAnsi="ITC Avant Garde"/>
                <w:bCs/>
                <w:color w:val="000000"/>
                <w:sz w:val="13"/>
                <w:szCs w:val="13"/>
              </w:rPr>
              <w:t xml:space="preserve">Daniela García </w:t>
            </w:r>
            <w:proofErr w:type="spellStart"/>
            <w:r w:rsidRPr="00A07AF9">
              <w:rPr>
                <w:rFonts w:ascii="ITC Avant Garde" w:hAnsi="ITC Avant Garde"/>
                <w:bCs/>
                <w:color w:val="000000"/>
                <w:sz w:val="13"/>
                <w:szCs w:val="13"/>
              </w:rPr>
              <w:t>Nocetti</w:t>
            </w:r>
            <w:proofErr w:type="spellEnd"/>
          </w:p>
        </w:tc>
        <w:tc>
          <w:tcPr>
            <w:tcW w:w="1635" w:type="dxa"/>
          </w:tcPr>
          <w:p w14:paraId="0DC573D6" w14:textId="77777777" w:rsidR="00562202" w:rsidRPr="00A07AF9" w:rsidRDefault="00562202" w:rsidP="00562202">
            <w:pPr>
              <w:autoSpaceDE w:val="0"/>
              <w:autoSpaceDN w:val="0"/>
              <w:adjustRightInd w:val="0"/>
              <w:spacing w:afterLines="120" w:after="288" w:line="240" w:lineRule="auto"/>
              <w:jc w:val="center"/>
              <w:rPr>
                <w:rFonts w:ascii="ITC Avant Garde" w:hAnsi="ITC Avant Garde"/>
                <w:bCs/>
                <w:color w:val="000000"/>
                <w:sz w:val="13"/>
                <w:szCs w:val="13"/>
              </w:rPr>
            </w:pPr>
            <w:r w:rsidRPr="00A07AF9">
              <w:rPr>
                <w:rFonts w:ascii="ITC Avant Garde" w:hAnsi="ITC Avant Garde"/>
                <w:bCs/>
                <w:color w:val="000000"/>
                <w:sz w:val="13"/>
                <w:szCs w:val="13"/>
              </w:rPr>
              <w:t>26</w:t>
            </w:r>
          </w:p>
        </w:tc>
        <w:tc>
          <w:tcPr>
            <w:tcW w:w="2125" w:type="dxa"/>
          </w:tcPr>
          <w:p w14:paraId="6AF9A04C" w14:textId="08DC5562" w:rsidR="00562202" w:rsidRPr="00A07AF9" w:rsidRDefault="00562202" w:rsidP="00562202">
            <w:pPr>
              <w:autoSpaceDE w:val="0"/>
              <w:autoSpaceDN w:val="0"/>
              <w:adjustRightInd w:val="0"/>
              <w:spacing w:after="0" w:line="240" w:lineRule="auto"/>
              <w:jc w:val="center"/>
              <w:rPr>
                <w:rFonts w:ascii="ITC Avant Garde" w:hAnsi="ITC Avant Garde"/>
                <w:bCs/>
                <w:color w:val="000000"/>
                <w:sz w:val="13"/>
                <w:szCs w:val="13"/>
              </w:rPr>
            </w:pPr>
            <w:r w:rsidRPr="00016652">
              <w:rPr>
                <w:rFonts w:ascii="ITC Avant Garde" w:eastAsia="Times New Roman" w:hAnsi="ITC Avant Garde"/>
                <w:b/>
                <w:bCs/>
                <w:color w:val="0000CC"/>
                <w:sz w:val="16"/>
                <w:szCs w:val="16"/>
                <w:lang w:eastAsia="es-MX"/>
              </w:rPr>
              <w:t>“CONFIDENCIAL POR LEY”</w:t>
            </w:r>
          </w:p>
        </w:tc>
      </w:tr>
      <w:tr w:rsidR="00562202" w:rsidRPr="00A07AF9" w14:paraId="0112902F" w14:textId="77777777" w:rsidTr="00562202">
        <w:trPr>
          <w:trHeight w:val="356"/>
          <w:jc w:val="center"/>
        </w:trPr>
        <w:tc>
          <w:tcPr>
            <w:tcW w:w="2989" w:type="dxa"/>
          </w:tcPr>
          <w:p w14:paraId="37C7D7B1" w14:textId="77777777" w:rsidR="00562202" w:rsidRPr="00A07AF9" w:rsidRDefault="00562202" w:rsidP="00562202">
            <w:pPr>
              <w:autoSpaceDE w:val="0"/>
              <w:autoSpaceDN w:val="0"/>
              <w:adjustRightInd w:val="0"/>
              <w:spacing w:afterLines="120" w:after="288" w:line="240" w:lineRule="auto"/>
              <w:rPr>
                <w:rFonts w:ascii="ITC Avant Garde" w:hAnsi="ITC Avant Garde"/>
                <w:bCs/>
                <w:color w:val="000000"/>
                <w:sz w:val="13"/>
                <w:szCs w:val="13"/>
              </w:rPr>
            </w:pPr>
            <w:r w:rsidRPr="00A07AF9">
              <w:rPr>
                <w:rFonts w:ascii="ITC Avant Garde" w:hAnsi="ITC Avant Garde"/>
                <w:bCs/>
                <w:color w:val="000000"/>
                <w:sz w:val="13"/>
                <w:szCs w:val="13"/>
              </w:rPr>
              <w:t>Armando Daniel Hernández García</w:t>
            </w:r>
          </w:p>
        </w:tc>
        <w:tc>
          <w:tcPr>
            <w:tcW w:w="1635" w:type="dxa"/>
          </w:tcPr>
          <w:p w14:paraId="08AA6EC8" w14:textId="77777777" w:rsidR="00562202" w:rsidRPr="00A07AF9" w:rsidRDefault="00562202" w:rsidP="00562202">
            <w:pPr>
              <w:autoSpaceDE w:val="0"/>
              <w:autoSpaceDN w:val="0"/>
              <w:adjustRightInd w:val="0"/>
              <w:spacing w:afterLines="120" w:after="288" w:line="240" w:lineRule="auto"/>
              <w:jc w:val="center"/>
              <w:rPr>
                <w:rFonts w:ascii="ITC Avant Garde" w:hAnsi="ITC Avant Garde"/>
                <w:bCs/>
                <w:color w:val="000000"/>
                <w:sz w:val="13"/>
                <w:szCs w:val="13"/>
              </w:rPr>
            </w:pPr>
            <w:r w:rsidRPr="00A07AF9">
              <w:rPr>
                <w:rFonts w:ascii="ITC Avant Garde" w:hAnsi="ITC Avant Garde"/>
                <w:bCs/>
                <w:color w:val="000000"/>
                <w:sz w:val="13"/>
                <w:szCs w:val="13"/>
              </w:rPr>
              <w:t>17</w:t>
            </w:r>
          </w:p>
        </w:tc>
        <w:tc>
          <w:tcPr>
            <w:tcW w:w="2125" w:type="dxa"/>
          </w:tcPr>
          <w:p w14:paraId="0D689B18" w14:textId="0F3267EA" w:rsidR="00562202" w:rsidRPr="00A07AF9" w:rsidRDefault="00562202" w:rsidP="00562202">
            <w:pPr>
              <w:autoSpaceDE w:val="0"/>
              <w:autoSpaceDN w:val="0"/>
              <w:adjustRightInd w:val="0"/>
              <w:spacing w:after="0" w:line="240" w:lineRule="auto"/>
              <w:jc w:val="center"/>
              <w:rPr>
                <w:rFonts w:ascii="ITC Avant Garde" w:hAnsi="ITC Avant Garde"/>
                <w:bCs/>
                <w:color w:val="000000"/>
                <w:sz w:val="13"/>
                <w:szCs w:val="13"/>
              </w:rPr>
            </w:pPr>
            <w:r w:rsidRPr="00016652">
              <w:rPr>
                <w:rFonts w:ascii="ITC Avant Garde" w:eastAsia="Times New Roman" w:hAnsi="ITC Avant Garde"/>
                <w:b/>
                <w:bCs/>
                <w:color w:val="0000CC"/>
                <w:sz w:val="16"/>
                <w:szCs w:val="16"/>
                <w:lang w:eastAsia="es-MX"/>
              </w:rPr>
              <w:t>“CONFIDENCIAL POR LEY”</w:t>
            </w:r>
          </w:p>
        </w:tc>
      </w:tr>
      <w:tr w:rsidR="00562202" w:rsidRPr="00A07AF9" w14:paraId="5F92417D" w14:textId="77777777" w:rsidTr="00562202">
        <w:trPr>
          <w:trHeight w:val="356"/>
          <w:jc w:val="center"/>
        </w:trPr>
        <w:tc>
          <w:tcPr>
            <w:tcW w:w="2989" w:type="dxa"/>
          </w:tcPr>
          <w:p w14:paraId="403211D9" w14:textId="77777777" w:rsidR="00562202" w:rsidRPr="00A07AF9" w:rsidRDefault="00562202" w:rsidP="00562202">
            <w:pPr>
              <w:autoSpaceDE w:val="0"/>
              <w:autoSpaceDN w:val="0"/>
              <w:adjustRightInd w:val="0"/>
              <w:spacing w:afterLines="120" w:after="288" w:line="240" w:lineRule="auto"/>
              <w:rPr>
                <w:rFonts w:ascii="ITC Avant Garde" w:hAnsi="ITC Avant Garde"/>
                <w:bCs/>
                <w:color w:val="000000"/>
                <w:sz w:val="13"/>
                <w:szCs w:val="13"/>
              </w:rPr>
            </w:pPr>
            <w:r w:rsidRPr="00A07AF9">
              <w:rPr>
                <w:rFonts w:ascii="ITC Avant Garde" w:hAnsi="ITC Avant Garde"/>
                <w:bCs/>
                <w:color w:val="000000"/>
                <w:sz w:val="13"/>
                <w:szCs w:val="13"/>
              </w:rPr>
              <w:t>Marco Antonio Daniel Hernández Ramírez</w:t>
            </w:r>
          </w:p>
        </w:tc>
        <w:tc>
          <w:tcPr>
            <w:tcW w:w="1635" w:type="dxa"/>
          </w:tcPr>
          <w:p w14:paraId="5BE38334" w14:textId="77777777" w:rsidR="00562202" w:rsidRPr="00A07AF9" w:rsidRDefault="00562202" w:rsidP="00562202">
            <w:pPr>
              <w:autoSpaceDE w:val="0"/>
              <w:autoSpaceDN w:val="0"/>
              <w:adjustRightInd w:val="0"/>
              <w:spacing w:afterLines="120" w:after="288" w:line="240" w:lineRule="auto"/>
              <w:jc w:val="center"/>
              <w:rPr>
                <w:rFonts w:ascii="ITC Avant Garde" w:hAnsi="ITC Avant Garde"/>
                <w:bCs/>
                <w:color w:val="000000"/>
                <w:sz w:val="13"/>
                <w:szCs w:val="13"/>
              </w:rPr>
            </w:pPr>
            <w:r w:rsidRPr="00A07AF9">
              <w:rPr>
                <w:rFonts w:ascii="ITC Avant Garde" w:hAnsi="ITC Avant Garde"/>
                <w:bCs/>
                <w:color w:val="000000"/>
                <w:sz w:val="13"/>
                <w:szCs w:val="13"/>
              </w:rPr>
              <w:t>7</w:t>
            </w:r>
          </w:p>
        </w:tc>
        <w:tc>
          <w:tcPr>
            <w:tcW w:w="2125" w:type="dxa"/>
          </w:tcPr>
          <w:p w14:paraId="422D513C" w14:textId="12D2FB55" w:rsidR="00562202" w:rsidRPr="00A07AF9" w:rsidRDefault="00562202" w:rsidP="00562202">
            <w:pPr>
              <w:autoSpaceDE w:val="0"/>
              <w:autoSpaceDN w:val="0"/>
              <w:adjustRightInd w:val="0"/>
              <w:spacing w:after="0" w:line="240" w:lineRule="auto"/>
              <w:jc w:val="center"/>
              <w:rPr>
                <w:rFonts w:ascii="ITC Avant Garde" w:hAnsi="ITC Avant Garde"/>
                <w:bCs/>
                <w:color w:val="000000"/>
                <w:sz w:val="13"/>
                <w:szCs w:val="13"/>
              </w:rPr>
            </w:pPr>
            <w:r w:rsidRPr="00016652">
              <w:rPr>
                <w:rFonts w:ascii="ITC Avant Garde" w:eastAsia="Times New Roman" w:hAnsi="ITC Avant Garde"/>
                <w:b/>
                <w:bCs/>
                <w:color w:val="0000CC"/>
                <w:sz w:val="16"/>
                <w:szCs w:val="16"/>
                <w:lang w:eastAsia="es-MX"/>
              </w:rPr>
              <w:t>“CONFIDENCIAL POR LEY”</w:t>
            </w:r>
          </w:p>
        </w:tc>
      </w:tr>
      <w:tr w:rsidR="00562202" w:rsidRPr="00A07AF9" w14:paraId="17D89747" w14:textId="77777777" w:rsidTr="00562202">
        <w:trPr>
          <w:trHeight w:val="291"/>
          <w:jc w:val="center"/>
        </w:trPr>
        <w:tc>
          <w:tcPr>
            <w:tcW w:w="2989" w:type="dxa"/>
          </w:tcPr>
          <w:p w14:paraId="08E73852" w14:textId="77777777" w:rsidR="00562202" w:rsidRPr="00A07AF9" w:rsidRDefault="00562202" w:rsidP="00562202">
            <w:pPr>
              <w:autoSpaceDE w:val="0"/>
              <w:autoSpaceDN w:val="0"/>
              <w:adjustRightInd w:val="0"/>
              <w:spacing w:afterLines="120" w:after="288" w:line="240" w:lineRule="auto"/>
              <w:jc w:val="center"/>
              <w:rPr>
                <w:rFonts w:ascii="ITC Avant Garde" w:hAnsi="ITC Avant Garde"/>
                <w:b/>
                <w:bCs/>
                <w:color w:val="000000"/>
                <w:sz w:val="13"/>
                <w:szCs w:val="13"/>
              </w:rPr>
            </w:pPr>
            <w:r w:rsidRPr="00A07AF9">
              <w:rPr>
                <w:rFonts w:ascii="ITC Avant Garde" w:hAnsi="ITC Avant Garde"/>
                <w:b/>
                <w:bCs/>
                <w:color w:val="000000"/>
                <w:sz w:val="13"/>
                <w:szCs w:val="13"/>
              </w:rPr>
              <w:t>Total</w:t>
            </w:r>
          </w:p>
        </w:tc>
        <w:tc>
          <w:tcPr>
            <w:tcW w:w="1635" w:type="dxa"/>
          </w:tcPr>
          <w:p w14:paraId="29686873" w14:textId="77777777" w:rsidR="00562202" w:rsidRPr="00A07AF9" w:rsidRDefault="00562202" w:rsidP="00562202">
            <w:pPr>
              <w:autoSpaceDE w:val="0"/>
              <w:autoSpaceDN w:val="0"/>
              <w:adjustRightInd w:val="0"/>
              <w:spacing w:afterLines="120" w:after="288" w:line="240" w:lineRule="auto"/>
              <w:jc w:val="center"/>
              <w:rPr>
                <w:rFonts w:ascii="ITC Avant Garde" w:hAnsi="ITC Avant Garde"/>
                <w:b/>
                <w:bCs/>
                <w:color w:val="000000"/>
                <w:sz w:val="13"/>
                <w:szCs w:val="13"/>
              </w:rPr>
            </w:pPr>
            <w:r w:rsidRPr="00A07AF9">
              <w:rPr>
                <w:rFonts w:ascii="ITC Avant Garde" w:hAnsi="ITC Avant Garde"/>
                <w:b/>
                <w:bCs/>
                <w:color w:val="000000"/>
                <w:sz w:val="13"/>
                <w:szCs w:val="13"/>
              </w:rPr>
              <w:t>50</w:t>
            </w:r>
          </w:p>
        </w:tc>
        <w:tc>
          <w:tcPr>
            <w:tcW w:w="2125" w:type="dxa"/>
          </w:tcPr>
          <w:p w14:paraId="257BC245" w14:textId="0875A8AD" w:rsidR="00562202" w:rsidRPr="00A07AF9" w:rsidRDefault="00562202" w:rsidP="00562202">
            <w:pPr>
              <w:autoSpaceDE w:val="0"/>
              <w:autoSpaceDN w:val="0"/>
              <w:adjustRightInd w:val="0"/>
              <w:spacing w:after="0" w:line="240" w:lineRule="auto"/>
              <w:jc w:val="center"/>
              <w:rPr>
                <w:rFonts w:ascii="ITC Avant Garde" w:hAnsi="ITC Avant Garde"/>
                <w:b/>
                <w:bCs/>
                <w:color w:val="000000"/>
                <w:sz w:val="13"/>
                <w:szCs w:val="13"/>
              </w:rPr>
            </w:pPr>
            <w:r w:rsidRPr="00016652">
              <w:rPr>
                <w:rFonts w:ascii="ITC Avant Garde" w:eastAsia="Times New Roman" w:hAnsi="ITC Avant Garde"/>
                <w:b/>
                <w:bCs/>
                <w:color w:val="0000CC"/>
                <w:sz w:val="16"/>
                <w:szCs w:val="16"/>
                <w:lang w:eastAsia="es-MX"/>
              </w:rPr>
              <w:t>“CONFIDENCIAL POR LEY”</w:t>
            </w:r>
          </w:p>
        </w:tc>
      </w:tr>
    </w:tbl>
    <w:p w14:paraId="271A53C3" w14:textId="77777777" w:rsidR="00A07AF9" w:rsidRPr="00A07AF9" w:rsidRDefault="00872B46" w:rsidP="00CA205F">
      <w:pPr>
        <w:autoSpaceDE w:val="0"/>
        <w:autoSpaceDN w:val="0"/>
        <w:adjustRightInd w:val="0"/>
        <w:spacing w:before="360" w:afterLines="120" w:after="288" w:line="240" w:lineRule="auto"/>
        <w:jc w:val="both"/>
        <w:rPr>
          <w:rFonts w:ascii="ITC Avant Garde" w:hAnsi="ITC Avant Garde"/>
          <w:bCs/>
        </w:rPr>
      </w:pPr>
      <w:proofErr w:type="gramStart"/>
      <w:r w:rsidRPr="00A07AF9">
        <w:rPr>
          <w:rFonts w:ascii="ITC Avant Garde" w:hAnsi="ITC Avant Garde"/>
          <w:b/>
          <w:bCs/>
        </w:rPr>
        <w:t>SEGUND</w:t>
      </w:r>
      <w:r w:rsidR="00F77F3F" w:rsidRPr="00A07AF9">
        <w:rPr>
          <w:rFonts w:ascii="ITC Avant Garde" w:hAnsi="ITC Avant Garde"/>
          <w:b/>
          <w:bCs/>
        </w:rPr>
        <w:t>O.-</w:t>
      </w:r>
      <w:proofErr w:type="gramEnd"/>
      <w:r w:rsidR="00F77F3F" w:rsidRPr="00A07AF9">
        <w:rPr>
          <w:rFonts w:ascii="ITC Avant Garde" w:hAnsi="ITC Avant Garde"/>
          <w:bCs/>
        </w:rPr>
        <w:t xml:space="preserve"> </w:t>
      </w:r>
      <w:r w:rsidR="00DA7E6B" w:rsidRPr="00A07AF9">
        <w:rPr>
          <w:rFonts w:ascii="ITC Avant Garde" w:hAnsi="ITC Avant Garde"/>
          <w:bCs/>
        </w:rPr>
        <w:t>Se instruye a la Unidad de Concesiones y Servicios a notificar personalmente al representante legal de Promoción y Asesoría Integral de Telecomunicaciones, S.C., la autorización para llevar a cabo la enajenación de acciones a que se refiere la presente Resolución, de conformidad con el Resolutivo Primero anterior.</w:t>
      </w:r>
    </w:p>
    <w:p w14:paraId="47B75DC3" w14:textId="77777777" w:rsidR="00A07AF9" w:rsidRPr="00A07AF9" w:rsidRDefault="00846937" w:rsidP="00CA205F">
      <w:pPr>
        <w:autoSpaceDE w:val="0"/>
        <w:autoSpaceDN w:val="0"/>
        <w:adjustRightInd w:val="0"/>
        <w:spacing w:afterLines="120" w:after="288" w:line="240" w:lineRule="auto"/>
        <w:jc w:val="both"/>
        <w:rPr>
          <w:rFonts w:ascii="ITC Avant Garde" w:hAnsi="ITC Avant Garde"/>
          <w:bCs/>
        </w:rPr>
      </w:pPr>
      <w:proofErr w:type="gramStart"/>
      <w:r w:rsidRPr="00A07AF9">
        <w:rPr>
          <w:rFonts w:ascii="ITC Avant Garde" w:hAnsi="ITC Avant Garde"/>
          <w:b/>
          <w:bCs/>
        </w:rPr>
        <w:t>TERCERO.-</w:t>
      </w:r>
      <w:proofErr w:type="gramEnd"/>
      <w:r w:rsidRPr="00A07AF9">
        <w:rPr>
          <w:rFonts w:ascii="ITC Avant Garde" w:hAnsi="ITC Avant Garde"/>
          <w:bCs/>
        </w:rPr>
        <w:t xml:space="preserve"> La presente autorización tendrá una vigencia de 60 (sesenta) días naturales, contados a partir de aquel en que hubiere surtido efectos la notificación de la misma. </w:t>
      </w:r>
    </w:p>
    <w:p w14:paraId="4AF2E5EA" w14:textId="77777777" w:rsidR="00A07AF9" w:rsidRPr="00A07AF9" w:rsidRDefault="00231319" w:rsidP="00CA205F">
      <w:pPr>
        <w:autoSpaceDE w:val="0"/>
        <w:autoSpaceDN w:val="0"/>
        <w:adjustRightInd w:val="0"/>
        <w:spacing w:afterLines="120" w:after="288" w:line="240" w:lineRule="auto"/>
        <w:jc w:val="both"/>
        <w:rPr>
          <w:rFonts w:ascii="ITC Avant Garde" w:hAnsi="ITC Avant Garde"/>
          <w:bCs/>
        </w:rPr>
      </w:pPr>
      <w:r w:rsidRPr="00A07AF9">
        <w:rPr>
          <w:rFonts w:ascii="ITC Avant Garde" w:hAnsi="ITC Avant Garde"/>
          <w:bCs/>
        </w:rPr>
        <w:t>Dentro de este plazo de vigencia Promoción y Asesoría Integral de Telecomunicaciones, S.C., deberá presentar para su inscripción en el Registro Público de Concesiones, copia certificada del instrumento donde conste que se llevaron a cabo los movimientos a que se refiere el Resolutivo Primero anterior, en términos de los artículos 177 fracción XI, en relación con el 180 de la Ley Federal de Telecomunicaciones y Radiodifusión. Concluido dicho plazo, sin que se hubiere dado cumplimiento al presente Resolutivo, Promoción y Asesoría Integral de Telecomunicaciones, S.C., deberá solicitar una nueva autorización.</w:t>
      </w:r>
    </w:p>
    <w:p w14:paraId="0D583197" w14:textId="6094E3C5" w:rsidR="005E0A79" w:rsidRPr="00A07AF9" w:rsidRDefault="00846937" w:rsidP="00CA205F">
      <w:pPr>
        <w:autoSpaceDE w:val="0"/>
        <w:autoSpaceDN w:val="0"/>
        <w:adjustRightInd w:val="0"/>
        <w:spacing w:afterLines="120" w:after="288" w:line="240" w:lineRule="auto"/>
        <w:jc w:val="both"/>
        <w:rPr>
          <w:rFonts w:ascii="ITC Avant Garde" w:hAnsi="ITC Avant Garde"/>
          <w:bCs/>
        </w:rPr>
      </w:pPr>
      <w:proofErr w:type="gramStart"/>
      <w:r w:rsidRPr="00A07AF9">
        <w:rPr>
          <w:rFonts w:ascii="ITC Avant Garde" w:hAnsi="ITC Avant Garde"/>
          <w:b/>
          <w:bCs/>
        </w:rPr>
        <w:t>CUARTO.-</w:t>
      </w:r>
      <w:proofErr w:type="gramEnd"/>
      <w:r w:rsidRPr="00A07AF9">
        <w:rPr>
          <w:rFonts w:ascii="ITC Avant Garde" w:hAnsi="ITC Avant Garde"/>
          <w:b/>
          <w:bCs/>
        </w:rPr>
        <w:t xml:space="preserve"> </w:t>
      </w:r>
      <w:r w:rsidRPr="00A07AF9">
        <w:rPr>
          <w:rFonts w:ascii="ITC Avant Garde" w:hAnsi="ITC Avant Garde"/>
          <w:bCs/>
        </w:rPr>
        <w:t>La presente Resolución se emite en el ámbito de aplicación del artículo 112 de la Ley Federal de Telecomunicaciones y Radiodifusión y no prejuzga sobre las atribuciones que corresponda ejercer al Instituto Federal de Telecomunicaciones en materia de competencia económica.</w:t>
      </w:r>
    </w:p>
    <w:p w14:paraId="04B32BAB" w14:textId="726D411E" w:rsidR="00A07AF9" w:rsidRPr="00A07AF9" w:rsidRDefault="00494A30" w:rsidP="00CA205F">
      <w:pPr>
        <w:spacing w:afterLines="120" w:after="288" w:line="240" w:lineRule="auto"/>
        <w:jc w:val="both"/>
        <w:rPr>
          <w:rFonts w:ascii="ITC Avant Garde" w:hAnsi="ITC Avant Garde"/>
          <w:color w:val="000000"/>
          <w:sz w:val="14"/>
          <w:szCs w:val="20"/>
        </w:rPr>
      </w:pPr>
      <w:r w:rsidRPr="00A07AF9">
        <w:rPr>
          <w:rFonts w:ascii="ITC Avant Garde" w:hAnsi="ITC Avant Garde"/>
          <w:color w:val="000000"/>
          <w:sz w:val="14"/>
          <w:szCs w:val="20"/>
        </w:rPr>
        <w:t xml:space="preserve">La presente Resolución fue aprobada por el Pleno del Instituto Federal de Telecomunicaciones en su XXXIII Sesión Ordinaria celebrada el 28 de septiembre de 2016, por unanimidad de votos de los Comisionados presentes Gabriel Oswaldo Contreras Saldívar, Ernesto Estrada González, Adriana Sofía Labardini </w:t>
      </w:r>
      <w:proofErr w:type="spellStart"/>
      <w:r w:rsidRPr="00A07AF9">
        <w:rPr>
          <w:rFonts w:ascii="ITC Avant Garde" w:hAnsi="ITC Avant Garde"/>
          <w:color w:val="000000"/>
          <w:sz w:val="14"/>
          <w:szCs w:val="20"/>
        </w:rPr>
        <w:t>Inzunza</w:t>
      </w:r>
      <w:proofErr w:type="spellEnd"/>
      <w:r w:rsidRPr="00A07AF9">
        <w:rPr>
          <w:rFonts w:ascii="ITC Avant Garde" w:hAnsi="ITC Avant Garde"/>
          <w:color w:val="000000"/>
          <w:sz w:val="14"/>
          <w:szCs w:val="20"/>
        </w:rPr>
        <w:t xml:space="preserve">, María Elena </w:t>
      </w:r>
      <w:proofErr w:type="spellStart"/>
      <w:r w:rsidRPr="00A07AF9">
        <w:rPr>
          <w:rFonts w:ascii="ITC Avant Garde" w:hAnsi="ITC Avant Garde"/>
          <w:color w:val="000000"/>
          <w:sz w:val="14"/>
          <w:szCs w:val="20"/>
        </w:rPr>
        <w:t>Estavillo</w:t>
      </w:r>
      <w:proofErr w:type="spellEnd"/>
      <w:r w:rsidRPr="00A07AF9">
        <w:rPr>
          <w:rFonts w:ascii="ITC Avant Garde" w:hAnsi="ITC Avant Garde"/>
          <w:color w:val="000000"/>
          <w:sz w:val="14"/>
          <w:szCs w:val="20"/>
        </w:rPr>
        <w:t xml:space="preserve"> Flores, Mario Germán </w:t>
      </w:r>
      <w:proofErr w:type="spellStart"/>
      <w:r w:rsidRPr="00A07AF9">
        <w:rPr>
          <w:rFonts w:ascii="ITC Avant Garde" w:hAnsi="ITC Avant Garde"/>
          <w:color w:val="000000"/>
          <w:sz w:val="14"/>
          <w:szCs w:val="20"/>
        </w:rPr>
        <w:t>Fromow</w:t>
      </w:r>
      <w:proofErr w:type="spellEnd"/>
      <w:r w:rsidRPr="00A07AF9">
        <w:rPr>
          <w:rFonts w:ascii="ITC Avant Garde" w:hAnsi="ITC Avant Garde"/>
          <w:color w:val="000000"/>
          <w:sz w:val="14"/>
          <w:szCs w:val="20"/>
        </w:rPr>
        <w:t xml:space="preserve">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P/IFT/280916/511.</w:t>
      </w:r>
    </w:p>
    <w:sectPr w:rsidR="00A07AF9" w:rsidRPr="00A07AF9" w:rsidSect="00A25EE8">
      <w:headerReference w:type="default" r:id="rId10"/>
      <w:footerReference w:type="default" r:id="rId11"/>
      <w:pgSz w:w="12240" w:h="15840" w:code="1"/>
      <w:pgMar w:top="1843" w:right="1418" w:bottom="56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F021C" w14:textId="77777777" w:rsidR="00AB4A58" w:rsidRDefault="00AB4A58" w:rsidP="00072BC8">
      <w:pPr>
        <w:spacing w:after="0" w:line="240" w:lineRule="auto"/>
      </w:pPr>
      <w:r>
        <w:separator/>
      </w:r>
    </w:p>
  </w:endnote>
  <w:endnote w:type="continuationSeparator" w:id="0">
    <w:p w14:paraId="4C3A6355" w14:textId="77777777" w:rsidR="00AB4A58" w:rsidRDefault="00AB4A58"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entury Gothic"/>
    <w:panose1 w:val="020B0502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ECE00" w14:textId="105845CB" w:rsidR="009A22F4" w:rsidRPr="00A25EE8" w:rsidRDefault="00A25EE8" w:rsidP="00A25EE8">
    <w:pPr>
      <w:ind w:left="5670" w:right="49"/>
      <w:jc w:val="right"/>
      <w:rPr>
        <w:rFonts w:ascii="ITC Avant Garde" w:hAnsi="ITC Avant Garde" w:cs="Calibri"/>
        <w:sz w:val="20"/>
        <w:szCs w:val="18"/>
      </w:rPr>
    </w:pPr>
    <w:r w:rsidRPr="00AE0C71">
      <w:rPr>
        <w:rFonts w:ascii="ITC Avant Garde" w:hAnsi="ITC Avant Garde" w:cs="Calibri"/>
        <w:sz w:val="20"/>
        <w:szCs w:val="18"/>
      </w:rPr>
      <w:fldChar w:fldCharType="begin"/>
    </w:r>
    <w:r w:rsidRPr="00AE0C71">
      <w:rPr>
        <w:rFonts w:ascii="ITC Avant Garde" w:hAnsi="ITC Avant Garde" w:cs="Calibri"/>
        <w:sz w:val="20"/>
        <w:szCs w:val="18"/>
      </w:rPr>
      <w:instrText>PAGE</w:instrText>
    </w:r>
    <w:r w:rsidRPr="00AE0C71">
      <w:rPr>
        <w:rFonts w:ascii="ITC Avant Garde" w:hAnsi="ITC Avant Garde" w:cs="Calibri"/>
        <w:sz w:val="20"/>
        <w:szCs w:val="18"/>
      </w:rPr>
      <w:fldChar w:fldCharType="separate"/>
    </w:r>
    <w:r w:rsidR="001279EC">
      <w:rPr>
        <w:rFonts w:ascii="ITC Avant Garde" w:hAnsi="ITC Avant Garde" w:cs="Calibri"/>
        <w:noProof/>
        <w:sz w:val="20"/>
        <w:szCs w:val="18"/>
      </w:rPr>
      <w:t>1</w:t>
    </w:r>
    <w:r w:rsidRPr="00AE0C71">
      <w:rPr>
        <w:rFonts w:ascii="ITC Avant Garde" w:hAnsi="ITC Avant Garde" w:cs="Calibri"/>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8DF23" w14:textId="39585C5F" w:rsidR="009A22F4" w:rsidRPr="004F2622" w:rsidRDefault="009A22F4" w:rsidP="004F2622">
    <w:pPr>
      <w:ind w:left="5670" w:right="49"/>
      <w:jc w:val="right"/>
      <w:rPr>
        <w:rFonts w:ascii="ITC Avant Garde" w:hAnsi="ITC Avant Garde" w:cs="Calibri"/>
        <w:sz w:val="20"/>
        <w:szCs w:val="18"/>
      </w:rPr>
    </w:pPr>
    <w:r w:rsidRPr="00AE0C71">
      <w:rPr>
        <w:rFonts w:ascii="ITC Avant Garde" w:hAnsi="ITC Avant Garde" w:cs="Calibri"/>
        <w:sz w:val="20"/>
        <w:szCs w:val="18"/>
      </w:rPr>
      <w:fldChar w:fldCharType="begin"/>
    </w:r>
    <w:r w:rsidRPr="00AE0C71">
      <w:rPr>
        <w:rFonts w:ascii="ITC Avant Garde" w:hAnsi="ITC Avant Garde" w:cs="Calibri"/>
        <w:sz w:val="20"/>
        <w:szCs w:val="18"/>
      </w:rPr>
      <w:instrText>PAGE</w:instrText>
    </w:r>
    <w:r w:rsidRPr="00AE0C71">
      <w:rPr>
        <w:rFonts w:ascii="ITC Avant Garde" w:hAnsi="ITC Avant Garde" w:cs="Calibri"/>
        <w:sz w:val="20"/>
        <w:szCs w:val="18"/>
      </w:rPr>
      <w:fldChar w:fldCharType="separate"/>
    </w:r>
    <w:r w:rsidR="001279EC">
      <w:rPr>
        <w:rFonts w:ascii="ITC Avant Garde" w:hAnsi="ITC Avant Garde" w:cs="Calibri"/>
        <w:noProof/>
        <w:sz w:val="20"/>
        <w:szCs w:val="18"/>
      </w:rPr>
      <w:t>9</w:t>
    </w:r>
    <w:r w:rsidRPr="00AE0C71">
      <w:rPr>
        <w:rFonts w:ascii="ITC Avant Garde" w:hAnsi="ITC Avant Garde" w:cs="Calibri"/>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DB9A4" w14:textId="77777777" w:rsidR="00AB4A58" w:rsidRDefault="00AB4A58" w:rsidP="00072BC8">
      <w:pPr>
        <w:spacing w:after="0" w:line="240" w:lineRule="auto"/>
      </w:pPr>
      <w:r>
        <w:separator/>
      </w:r>
    </w:p>
  </w:footnote>
  <w:footnote w:type="continuationSeparator" w:id="0">
    <w:p w14:paraId="69BE1D35" w14:textId="77777777" w:rsidR="00AB4A58" w:rsidRDefault="00AB4A58" w:rsidP="00072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1940E" w14:textId="77777777" w:rsidR="006F5467" w:rsidRDefault="00AB4A58">
    <w:pPr>
      <w:pStyle w:val="Encabezado"/>
    </w:pPr>
    <w:r>
      <w:rPr>
        <w:noProof/>
        <w:lang w:eastAsia="es-MX"/>
      </w:rPr>
      <w:pict w14:anchorId="45558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595B3" w14:textId="77777777" w:rsidR="009A22F4" w:rsidRDefault="009A22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3131"/>
    <w:multiLevelType w:val="hybridMultilevel"/>
    <w:tmpl w:val="3AC4FE4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977D59"/>
    <w:multiLevelType w:val="hybridMultilevel"/>
    <w:tmpl w:val="32207050"/>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EA95FBC"/>
    <w:multiLevelType w:val="hybridMultilevel"/>
    <w:tmpl w:val="084A7944"/>
    <w:lvl w:ilvl="0" w:tplc="4EEE5C3E">
      <w:start w:val="1"/>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3" w15:restartNumberingAfterBreak="0">
    <w:nsid w:val="239118E3"/>
    <w:multiLevelType w:val="hybridMultilevel"/>
    <w:tmpl w:val="EEFE449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 w15:restartNumberingAfterBreak="0">
    <w:nsid w:val="25F72AD6"/>
    <w:multiLevelType w:val="hybridMultilevel"/>
    <w:tmpl w:val="37BCB1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45EE7362"/>
    <w:multiLevelType w:val="hybridMultilevel"/>
    <w:tmpl w:val="CD942F1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9" w15:restartNumberingAfterBreak="0">
    <w:nsid w:val="5A5F37EB"/>
    <w:multiLevelType w:val="hybridMultilevel"/>
    <w:tmpl w:val="86E4729C"/>
    <w:lvl w:ilvl="0" w:tplc="1E4CB6AC">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351662"/>
    <w:multiLevelType w:val="hybridMultilevel"/>
    <w:tmpl w:val="E8E2C5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6BA67DE5"/>
    <w:multiLevelType w:val="hybridMultilevel"/>
    <w:tmpl w:val="74EAA874"/>
    <w:lvl w:ilvl="0" w:tplc="DE1EA58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B8712D"/>
    <w:multiLevelType w:val="hybridMultilevel"/>
    <w:tmpl w:val="11A2B2C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7668DA"/>
    <w:multiLevelType w:val="hybridMultilevel"/>
    <w:tmpl w:val="07CA34CA"/>
    <w:lvl w:ilvl="0" w:tplc="3028E522">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A65F3B"/>
    <w:multiLevelType w:val="hybridMultilevel"/>
    <w:tmpl w:val="67EE6C9A"/>
    <w:lvl w:ilvl="0" w:tplc="7A349674">
      <w:start w:val="2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6"/>
  </w:num>
  <w:num w:numId="2">
    <w:abstractNumId w:val="10"/>
  </w:num>
  <w:num w:numId="3">
    <w:abstractNumId w:val="5"/>
  </w:num>
  <w:num w:numId="4">
    <w:abstractNumId w:val="7"/>
  </w:num>
  <w:num w:numId="5">
    <w:abstractNumId w:val="8"/>
  </w:num>
  <w:num w:numId="6">
    <w:abstractNumId w:val="13"/>
  </w:num>
  <w:num w:numId="7">
    <w:abstractNumId w:val="1"/>
  </w:num>
  <w:num w:numId="8">
    <w:abstractNumId w:val="2"/>
  </w:num>
  <w:num w:numId="9">
    <w:abstractNumId w:val="4"/>
  </w:num>
  <w:num w:numId="10">
    <w:abstractNumId w:val="12"/>
  </w:num>
  <w:num w:numId="11">
    <w:abstractNumId w:val="3"/>
  </w:num>
  <w:num w:numId="12">
    <w:abstractNumId w:val="14"/>
  </w:num>
  <w:num w:numId="13">
    <w:abstractNumId w:val="15"/>
  </w:num>
  <w:num w:numId="14">
    <w:abstractNumId w:val="0"/>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ACC"/>
    <w:rsid w:val="00000AF6"/>
    <w:rsid w:val="000013E4"/>
    <w:rsid w:val="0000341D"/>
    <w:rsid w:val="00004279"/>
    <w:rsid w:val="00010FB7"/>
    <w:rsid w:val="000116D0"/>
    <w:rsid w:val="00011FCA"/>
    <w:rsid w:val="00014EFF"/>
    <w:rsid w:val="000154B0"/>
    <w:rsid w:val="00016AC9"/>
    <w:rsid w:val="000173C1"/>
    <w:rsid w:val="00020418"/>
    <w:rsid w:val="00022A13"/>
    <w:rsid w:val="00022B85"/>
    <w:rsid w:val="00023EF7"/>
    <w:rsid w:val="00024F70"/>
    <w:rsid w:val="0002568E"/>
    <w:rsid w:val="00037344"/>
    <w:rsid w:val="00037D31"/>
    <w:rsid w:val="000448E7"/>
    <w:rsid w:val="0004564C"/>
    <w:rsid w:val="000500D9"/>
    <w:rsid w:val="00052CFA"/>
    <w:rsid w:val="0005470B"/>
    <w:rsid w:val="000611AD"/>
    <w:rsid w:val="00061EA0"/>
    <w:rsid w:val="00062C40"/>
    <w:rsid w:val="000645F4"/>
    <w:rsid w:val="00066E53"/>
    <w:rsid w:val="00070196"/>
    <w:rsid w:val="00071026"/>
    <w:rsid w:val="00072221"/>
    <w:rsid w:val="00072BC8"/>
    <w:rsid w:val="00072D11"/>
    <w:rsid w:val="00074BE0"/>
    <w:rsid w:val="00074C09"/>
    <w:rsid w:val="00075254"/>
    <w:rsid w:val="000775ED"/>
    <w:rsid w:val="00082D03"/>
    <w:rsid w:val="000837C7"/>
    <w:rsid w:val="00085181"/>
    <w:rsid w:val="000851CE"/>
    <w:rsid w:val="00090D4C"/>
    <w:rsid w:val="000914E9"/>
    <w:rsid w:val="00096CC8"/>
    <w:rsid w:val="0009705A"/>
    <w:rsid w:val="000A1861"/>
    <w:rsid w:val="000A1E6A"/>
    <w:rsid w:val="000A22CB"/>
    <w:rsid w:val="000A3E65"/>
    <w:rsid w:val="000A3F27"/>
    <w:rsid w:val="000A62EA"/>
    <w:rsid w:val="000B109B"/>
    <w:rsid w:val="000B11A2"/>
    <w:rsid w:val="000B1B50"/>
    <w:rsid w:val="000B1DF8"/>
    <w:rsid w:val="000B5E58"/>
    <w:rsid w:val="000B7FD1"/>
    <w:rsid w:val="000C1A62"/>
    <w:rsid w:val="000C474A"/>
    <w:rsid w:val="000C4C55"/>
    <w:rsid w:val="000D31F4"/>
    <w:rsid w:val="000D3D40"/>
    <w:rsid w:val="000D611E"/>
    <w:rsid w:val="000E3F73"/>
    <w:rsid w:val="000E40DE"/>
    <w:rsid w:val="000E4979"/>
    <w:rsid w:val="000F17CF"/>
    <w:rsid w:val="000F4D94"/>
    <w:rsid w:val="000F5AC1"/>
    <w:rsid w:val="000F5E4B"/>
    <w:rsid w:val="00100DE3"/>
    <w:rsid w:val="00106523"/>
    <w:rsid w:val="001074E7"/>
    <w:rsid w:val="00112C0E"/>
    <w:rsid w:val="00113076"/>
    <w:rsid w:val="00114E54"/>
    <w:rsid w:val="001154FD"/>
    <w:rsid w:val="001168E5"/>
    <w:rsid w:val="00116E48"/>
    <w:rsid w:val="0012257F"/>
    <w:rsid w:val="001246FE"/>
    <w:rsid w:val="00126DEC"/>
    <w:rsid w:val="001279EC"/>
    <w:rsid w:val="00127F83"/>
    <w:rsid w:val="00134A89"/>
    <w:rsid w:val="00136C0E"/>
    <w:rsid w:val="00137407"/>
    <w:rsid w:val="00137A66"/>
    <w:rsid w:val="00141FE7"/>
    <w:rsid w:val="001425EA"/>
    <w:rsid w:val="00144765"/>
    <w:rsid w:val="0014549E"/>
    <w:rsid w:val="0014766B"/>
    <w:rsid w:val="00147884"/>
    <w:rsid w:val="001503CA"/>
    <w:rsid w:val="00150EFA"/>
    <w:rsid w:val="00151C5F"/>
    <w:rsid w:val="001523E6"/>
    <w:rsid w:val="00153356"/>
    <w:rsid w:val="00156CDB"/>
    <w:rsid w:val="001615D6"/>
    <w:rsid w:val="0016161E"/>
    <w:rsid w:val="00162C15"/>
    <w:rsid w:val="00163FD3"/>
    <w:rsid w:val="00164246"/>
    <w:rsid w:val="0016577A"/>
    <w:rsid w:val="0017406A"/>
    <w:rsid w:val="00175D28"/>
    <w:rsid w:val="00176654"/>
    <w:rsid w:val="00177DEC"/>
    <w:rsid w:val="00177FB0"/>
    <w:rsid w:val="001801FE"/>
    <w:rsid w:val="00180454"/>
    <w:rsid w:val="00180C08"/>
    <w:rsid w:val="00181018"/>
    <w:rsid w:val="001846AC"/>
    <w:rsid w:val="0018572D"/>
    <w:rsid w:val="00190FBB"/>
    <w:rsid w:val="00193FA8"/>
    <w:rsid w:val="001A2028"/>
    <w:rsid w:val="001A3049"/>
    <w:rsid w:val="001A58D7"/>
    <w:rsid w:val="001A62B7"/>
    <w:rsid w:val="001A64C7"/>
    <w:rsid w:val="001A6B6F"/>
    <w:rsid w:val="001B12B0"/>
    <w:rsid w:val="001B58A1"/>
    <w:rsid w:val="001B6D97"/>
    <w:rsid w:val="001B7748"/>
    <w:rsid w:val="001C15FF"/>
    <w:rsid w:val="001C71A8"/>
    <w:rsid w:val="001D0F10"/>
    <w:rsid w:val="001D4B81"/>
    <w:rsid w:val="001D7AC9"/>
    <w:rsid w:val="001D7B26"/>
    <w:rsid w:val="001E285C"/>
    <w:rsid w:val="001E3808"/>
    <w:rsid w:val="001E5C52"/>
    <w:rsid w:val="001E7493"/>
    <w:rsid w:val="001E7950"/>
    <w:rsid w:val="001F198E"/>
    <w:rsid w:val="001F631A"/>
    <w:rsid w:val="001F666E"/>
    <w:rsid w:val="001F68A3"/>
    <w:rsid w:val="001F70DB"/>
    <w:rsid w:val="001F7833"/>
    <w:rsid w:val="002008E1"/>
    <w:rsid w:val="00202E7B"/>
    <w:rsid w:val="002052C0"/>
    <w:rsid w:val="00206FA4"/>
    <w:rsid w:val="0021629B"/>
    <w:rsid w:val="00216D6B"/>
    <w:rsid w:val="00221568"/>
    <w:rsid w:val="00221CD0"/>
    <w:rsid w:val="00223483"/>
    <w:rsid w:val="00223FEF"/>
    <w:rsid w:val="00224AFA"/>
    <w:rsid w:val="00225232"/>
    <w:rsid w:val="00225323"/>
    <w:rsid w:val="00226F42"/>
    <w:rsid w:val="0022735C"/>
    <w:rsid w:val="0022796A"/>
    <w:rsid w:val="00231319"/>
    <w:rsid w:val="002315C3"/>
    <w:rsid w:val="002328AE"/>
    <w:rsid w:val="00235B48"/>
    <w:rsid w:val="0023752B"/>
    <w:rsid w:val="002407D9"/>
    <w:rsid w:val="0024415B"/>
    <w:rsid w:val="002512DD"/>
    <w:rsid w:val="002518F4"/>
    <w:rsid w:val="00253E0D"/>
    <w:rsid w:val="00254051"/>
    <w:rsid w:val="002540EC"/>
    <w:rsid w:val="00262345"/>
    <w:rsid w:val="002656A1"/>
    <w:rsid w:val="00267C6A"/>
    <w:rsid w:val="002731B7"/>
    <w:rsid w:val="00274C72"/>
    <w:rsid w:val="002760D7"/>
    <w:rsid w:val="00276D2C"/>
    <w:rsid w:val="00276FC3"/>
    <w:rsid w:val="002779D1"/>
    <w:rsid w:val="00277BFB"/>
    <w:rsid w:val="00281886"/>
    <w:rsid w:val="00281968"/>
    <w:rsid w:val="00286D88"/>
    <w:rsid w:val="0028770F"/>
    <w:rsid w:val="002901D8"/>
    <w:rsid w:val="002915DF"/>
    <w:rsid w:val="0029348C"/>
    <w:rsid w:val="002937F4"/>
    <w:rsid w:val="002A489F"/>
    <w:rsid w:val="002A5CD0"/>
    <w:rsid w:val="002B00D1"/>
    <w:rsid w:val="002B35AD"/>
    <w:rsid w:val="002B5CCD"/>
    <w:rsid w:val="002B794C"/>
    <w:rsid w:val="002C1DCE"/>
    <w:rsid w:val="002C2F8D"/>
    <w:rsid w:val="002C324A"/>
    <w:rsid w:val="002C3B54"/>
    <w:rsid w:val="002C3EAE"/>
    <w:rsid w:val="002C5612"/>
    <w:rsid w:val="002C5AE0"/>
    <w:rsid w:val="002D08D4"/>
    <w:rsid w:val="002D0F52"/>
    <w:rsid w:val="002D211B"/>
    <w:rsid w:val="002D287C"/>
    <w:rsid w:val="002D52BD"/>
    <w:rsid w:val="002E1806"/>
    <w:rsid w:val="002E4A09"/>
    <w:rsid w:val="002E4C83"/>
    <w:rsid w:val="002E6CEC"/>
    <w:rsid w:val="002E6D11"/>
    <w:rsid w:val="002E772F"/>
    <w:rsid w:val="002F047E"/>
    <w:rsid w:val="002F19A3"/>
    <w:rsid w:val="002F1E38"/>
    <w:rsid w:val="002F42D9"/>
    <w:rsid w:val="0030086B"/>
    <w:rsid w:val="003043AE"/>
    <w:rsid w:val="003050F2"/>
    <w:rsid w:val="0030593F"/>
    <w:rsid w:val="00306582"/>
    <w:rsid w:val="00306A37"/>
    <w:rsid w:val="00306B89"/>
    <w:rsid w:val="00311B0A"/>
    <w:rsid w:val="003120FF"/>
    <w:rsid w:val="003139D2"/>
    <w:rsid w:val="00315BCE"/>
    <w:rsid w:val="00317244"/>
    <w:rsid w:val="003172FD"/>
    <w:rsid w:val="00317E61"/>
    <w:rsid w:val="00320141"/>
    <w:rsid w:val="0032128F"/>
    <w:rsid w:val="00322C94"/>
    <w:rsid w:val="00331BF9"/>
    <w:rsid w:val="003335A6"/>
    <w:rsid w:val="003349D8"/>
    <w:rsid w:val="00334D4F"/>
    <w:rsid w:val="00335F51"/>
    <w:rsid w:val="00336651"/>
    <w:rsid w:val="00341067"/>
    <w:rsid w:val="00342F03"/>
    <w:rsid w:val="00343EE9"/>
    <w:rsid w:val="003453A2"/>
    <w:rsid w:val="00345EE1"/>
    <w:rsid w:val="00347BAD"/>
    <w:rsid w:val="003501A4"/>
    <w:rsid w:val="00350911"/>
    <w:rsid w:val="00351D52"/>
    <w:rsid w:val="00353CD8"/>
    <w:rsid w:val="003546A7"/>
    <w:rsid w:val="003555E9"/>
    <w:rsid w:val="00363D3F"/>
    <w:rsid w:val="00367EE9"/>
    <w:rsid w:val="00371021"/>
    <w:rsid w:val="003733A5"/>
    <w:rsid w:val="003753BE"/>
    <w:rsid w:val="003753ED"/>
    <w:rsid w:val="00377637"/>
    <w:rsid w:val="00377790"/>
    <w:rsid w:val="00380710"/>
    <w:rsid w:val="00380E72"/>
    <w:rsid w:val="003818A7"/>
    <w:rsid w:val="00385C0C"/>
    <w:rsid w:val="00387BAB"/>
    <w:rsid w:val="00390C9D"/>
    <w:rsid w:val="003919D8"/>
    <w:rsid w:val="00395231"/>
    <w:rsid w:val="003A19E2"/>
    <w:rsid w:val="003A19FB"/>
    <w:rsid w:val="003A1B0D"/>
    <w:rsid w:val="003A59B8"/>
    <w:rsid w:val="003B0784"/>
    <w:rsid w:val="003B22D6"/>
    <w:rsid w:val="003B2407"/>
    <w:rsid w:val="003B4299"/>
    <w:rsid w:val="003B440E"/>
    <w:rsid w:val="003B51E6"/>
    <w:rsid w:val="003B589E"/>
    <w:rsid w:val="003B6BAC"/>
    <w:rsid w:val="003C29D1"/>
    <w:rsid w:val="003D2D2F"/>
    <w:rsid w:val="003D549F"/>
    <w:rsid w:val="003D6094"/>
    <w:rsid w:val="003E02E9"/>
    <w:rsid w:val="003E1E59"/>
    <w:rsid w:val="003E3F7C"/>
    <w:rsid w:val="003E4054"/>
    <w:rsid w:val="003E4F3A"/>
    <w:rsid w:val="003E5B75"/>
    <w:rsid w:val="003E5E7C"/>
    <w:rsid w:val="003F3B5A"/>
    <w:rsid w:val="003F5EA8"/>
    <w:rsid w:val="003F6566"/>
    <w:rsid w:val="003F6DC0"/>
    <w:rsid w:val="003F722D"/>
    <w:rsid w:val="00404708"/>
    <w:rsid w:val="004125E6"/>
    <w:rsid w:val="00415E0A"/>
    <w:rsid w:val="00416051"/>
    <w:rsid w:val="00420FA3"/>
    <w:rsid w:val="00427278"/>
    <w:rsid w:val="00427C38"/>
    <w:rsid w:val="00431BC9"/>
    <w:rsid w:val="00440EBB"/>
    <w:rsid w:val="00441755"/>
    <w:rsid w:val="004424A1"/>
    <w:rsid w:val="00443C67"/>
    <w:rsid w:val="00446858"/>
    <w:rsid w:val="004477BF"/>
    <w:rsid w:val="00450A26"/>
    <w:rsid w:val="004518C5"/>
    <w:rsid w:val="00452045"/>
    <w:rsid w:val="00453E39"/>
    <w:rsid w:val="00454A27"/>
    <w:rsid w:val="00460657"/>
    <w:rsid w:val="00460750"/>
    <w:rsid w:val="00461DE8"/>
    <w:rsid w:val="00463AC8"/>
    <w:rsid w:val="00473665"/>
    <w:rsid w:val="00476447"/>
    <w:rsid w:val="00483994"/>
    <w:rsid w:val="004848FF"/>
    <w:rsid w:val="00485093"/>
    <w:rsid w:val="00487FFB"/>
    <w:rsid w:val="00490B25"/>
    <w:rsid w:val="00494A30"/>
    <w:rsid w:val="004964D7"/>
    <w:rsid w:val="004A1C34"/>
    <w:rsid w:val="004A37DE"/>
    <w:rsid w:val="004A5250"/>
    <w:rsid w:val="004A58E3"/>
    <w:rsid w:val="004A700C"/>
    <w:rsid w:val="004A71B3"/>
    <w:rsid w:val="004B08AA"/>
    <w:rsid w:val="004B12EE"/>
    <w:rsid w:val="004B323F"/>
    <w:rsid w:val="004B56B1"/>
    <w:rsid w:val="004B5A48"/>
    <w:rsid w:val="004C00EE"/>
    <w:rsid w:val="004C0BCC"/>
    <w:rsid w:val="004C0E44"/>
    <w:rsid w:val="004C1528"/>
    <w:rsid w:val="004C249C"/>
    <w:rsid w:val="004C3ABA"/>
    <w:rsid w:val="004C4698"/>
    <w:rsid w:val="004D1AAD"/>
    <w:rsid w:val="004D3822"/>
    <w:rsid w:val="004D43D6"/>
    <w:rsid w:val="004D7684"/>
    <w:rsid w:val="004E15EF"/>
    <w:rsid w:val="004E2743"/>
    <w:rsid w:val="004E337B"/>
    <w:rsid w:val="004E775E"/>
    <w:rsid w:val="004F1332"/>
    <w:rsid w:val="004F2622"/>
    <w:rsid w:val="004F4E8E"/>
    <w:rsid w:val="004F5813"/>
    <w:rsid w:val="004F6E26"/>
    <w:rsid w:val="005005BE"/>
    <w:rsid w:val="0050163C"/>
    <w:rsid w:val="00502BE6"/>
    <w:rsid w:val="00504F34"/>
    <w:rsid w:val="00504FF0"/>
    <w:rsid w:val="00505436"/>
    <w:rsid w:val="005062A1"/>
    <w:rsid w:val="00510452"/>
    <w:rsid w:val="00511A1F"/>
    <w:rsid w:val="0051488F"/>
    <w:rsid w:val="005161E4"/>
    <w:rsid w:val="00517B6C"/>
    <w:rsid w:val="00524115"/>
    <w:rsid w:val="00525631"/>
    <w:rsid w:val="00525EB2"/>
    <w:rsid w:val="00526DC3"/>
    <w:rsid w:val="00530DC1"/>
    <w:rsid w:val="00530F3C"/>
    <w:rsid w:val="00531675"/>
    <w:rsid w:val="00531726"/>
    <w:rsid w:val="00531873"/>
    <w:rsid w:val="00532AFB"/>
    <w:rsid w:val="005331CC"/>
    <w:rsid w:val="0053565F"/>
    <w:rsid w:val="00537226"/>
    <w:rsid w:val="005375DB"/>
    <w:rsid w:val="00542B97"/>
    <w:rsid w:val="0054356A"/>
    <w:rsid w:val="00543990"/>
    <w:rsid w:val="00543F7C"/>
    <w:rsid w:val="0055304D"/>
    <w:rsid w:val="00553828"/>
    <w:rsid w:val="0055497B"/>
    <w:rsid w:val="00554FF3"/>
    <w:rsid w:val="00556639"/>
    <w:rsid w:val="00560794"/>
    <w:rsid w:val="005616D6"/>
    <w:rsid w:val="00562202"/>
    <w:rsid w:val="0056245E"/>
    <w:rsid w:val="0056275D"/>
    <w:rsid w:val="00563E87"/>
    <w:rsid w:val="005717F6"/>
    <w:rsid w:val="00572775"/>
    <w:rsid w:val="00575941"/>
    <w:rsid w:val="00577A20"/>
    <w:rsid w:val="00581FDE"/>
    <w:rsid w:val="005840B5"/>
    <w:rsid w:val="00584E1B"/>
    <w:rsid w:val="00585535"/>
    <w:rsid w:val="00585784"/>
    <w:rsid w:val="005866C9"/>
    <w:rsid w:val="005903DD"/>
    <w:rsid w:val="00594B56"/>
    <w:rsid w:val="005A1056"/>
    <w:rsid w:val="005A1FD9"/>
    <w:rsid w:val="005A4FB1"/>
    <w:rsid w:val="005A5075"/>
    <w:rsid w:val="005B0C52"/>
    <w:rsid w:val="005B782D"/>
    <w:rsid w:val="005B7D0F"/>
    <w:rsid w:val="005C086D"/>
    <w:rsid w:val="005C6080"/>
    <w:rsid w:val="005C6823"/>
    <w:rsid w:val="005C6AF8"/>
    <w:rsid w:val="005C6CB9"/>
    <w:rsid w:val="005D16B2"/>
    <w:rsid w:val="005D4A72"/>
    <w:rsid w:val="005D5063"/>
    <w:rsid w:val="005D58F5"/>
    <w:rsid w:val="005D6385"/>
    <w:rsid w:val="005D7D7C"/>
    <w:rsid w:val="005E0907"/>
    <w:rsid w:val="005E0A79"/>
    <w:rsid w:val="005E164A"/>
    <w:rsid w:val="005E24CA"/>
    <w:rsid w:val="005E37DE"/>
    <w:rsid w:val="005E4149"/>
    <w:rsid w:val="005E462B"/>
    <w:rsid w:val="005F2A3E"/>
    <w:rsid w:val="005F53A3"/>
    <w:rsid w:val="005F5B4B"/>
    <w:rsid w:val="005F60D7"/>
    <w:rsid w:val="005F6492"/>
    <w:rsid w:val="005F64A1"/>
    <w:rsid w:val="00600C7B"/>
    <w:rsid w:val="00612D3D"/>
    <w:rsid w:val="00620182"/>
    <w:rsid w:val="0062270B"/>
    <w:rsid w:val="00622ABA"/>
    <w:rsid w:val="00622E34"/>
    <w:rsid w:val="00623B3E"/>
    <w:rsid w:val="00624F5D"/>
    <w:rsid w:val="00625CA5"/>
    <w:rsid w:val="00626EF3"/>
    <w:rsid w:val="006277D4"/>
    <w:rsid w:val="00632357"/>
    <w:rsid w:val="006376CC"/>
    <w:rsid w:val="00642EC8"/>
    <w:rsid w:val="00644702"/>
    <w:rsid w:val="00644755"/>
    <w:rsid w:val="00644F4E"/>
    <w:rsid w:val="0064694C"/>
    <w:rsid w:val="006527CB"/>
    <w:rsid w:val="00654467"/>
    <w:rsid w:val="00655179"/>
    <w:rsid w:val="0065585C"/>
    <w:rsid w:val="006621D6"/>
    <w:rsid w:val="006649DC"/>
    <w:rsid w:val="00664C11"/>
    <w:rsid w:val="006651D2"/>
    <w:rsid w:val="00670C4E"/>
    <w:rsid w:val="0067323D"/>
    <w:rsid w:val="00674E5F"/>
    <w:rsid w:val="0067717E"/>
    <w:rsid w:val="0068412C"/>
    <w:rsid w:val="0068460C"/>
    <w:rsid w:val="006902A6"/>
    <w:rsid w:val="00692585"/>
    <w:rsid w:val="00693930"/>
    <w:rsid w:val="00695148"/>
    <w:rsid w:val="00695C99"/>
    <w:rsid w:val="00697F26"/>
    <w:rsid w:val="006A095E"/>
    <w:rsid w:val="006A26FC"/>
    <w:rsid w:val="006A38C6"/>
    <w:rsid w:val="006A4E88"/>
    <w:rsid w:val="006A53AA"/>
    <w:rsid w:val="006A65F2"/>
    <w:rsid w:val="006B0BA5"/>
    <w:rsid w:val="006B191F"/>
    <w:rsid w:val="006B2C48"/>
    <w:rsid w:val="006B3948"/>
    <w:rsid w:val="006B4376"/>
    <w:rsid w:val="006B6504"/>
    <w:rsid w:val="006B72B8"/>
    <w:rsid w:val="006C37D1"/>
    <w:rsid w:val="006D1383"/>
    <w:rsid w:val="006D1E43"/>
    <w:rsid w:val="006D21C8"/>
    <w:rsid w:val="006D59CB"/>
    <w:rsid w:val="006E1D6B"/>
    <w:rsid w:val="006E2D8C"/>
    <w:rsid w:val="006F0187"/>
    <w:rsid w:val="006F18DD"/>
    <w:rsid w:val="006F257F"/>
    <w:rsid w:val="006F4867"/>
    <w:rsid w:val="006F4F25"/>
    <w:rsid w:val="006F5467"/>
    <w:rsid w:val="006F59FB"/>
    <w:rsid w:val="00700FD3"/>
    <w:rsid w:val="00701B8C"/>
    <w:rsid w:val="00702F7A"/>
    <w:rsid w:val="0070679A"/>
    <w:rsid w:val="0071059B"/>
    <w:rsid w:val="00711548"/>
    <w:rsid w:val="0071165B"/>
    <w:rsid w:val="007120C2"/>
    <w:rsid w:val="00712A47"/>
    <w:rsid w:val="00714FBE"/>
    <w:rsid w:val="0072029C"/>
    <w:rsid w:val="0072207F"/>
    <w:rsid w:val="00724197"/>
    <w:rsid w:val="0072686B"/>
    <w:rsid w:val="00726BA0"/>
    <w:rsid w:val="0073223B"/>
    <w:rsid w:val="0073345E"/>
    <w:rsid w:val="0073457C"/>
    <w:rsid w:val="007350D4"/>
    <w:rsid w:val="00737250"/>
    <w:rsid w:val="007422FB"/>
    <w:rsid w:val="0074689A"/>
    <w:rsid w:val="007504EE"/>
    <w:rsid w:val="00750D1B"/>
    <w:rsid w:val="00751110"/>
    <w:rsid w:val="00754CAE"/>
    <w:rsid w:val="00760528"/>
    <w:rsid w:val="007619AB"/>
    <w:rsid w:val="00761C83"/>
    <w:rsid w:val="007631AF"/>
    <w:rsid w:val="00763340"/>
    <w:rsid w:val="007660E8"/>
    <w:rsid w:val="00771541"/>
    <w:rsid w:val="0077468A"/>
    <w:rsid w:val="007775B6"/>
    <w:rsid w:val="00777666"/>
    <w:rsid w:val="00777877"/>
    <w:rsid w:val="00780B84"/>
    <w:rsid w:val="0078216C"/>
    <w:rsid w:val="0078578F"/>
    <w:rsid w:val="00785FF6"/>
    <w:rsid w:val="00787EFC"/>
    <w:rsid w:val="0079033D"/>
    <w:rsid w:val="00793327"/>
    <w:rsid w:val="007942D6"/>
    <w:rsid w:val="00795C0A"/>
    <w:rsid w:val="007961CB"/>
    <w:rsid w:val="007A13D8"/>
    <w:rsid w:val="007A1D0E"/>
    <w:rsid w:val="007A3687"/>
    <w:rsid w:val="007A6F80"/>
    <w:rsid w:val="007B1149"/>
    <w:rsid w:val="007B2E7C"/>
    <w:rsid w:val="007B67A2"/>
    <w:rsid w:val="007B75EF"/>
    <w:rsid w:val="007B7D80"/>
    <w:rsid w:val="007C0890"/>
    <w:rsid w:val="007C20C8"/>
    <w:rsid w:val="007C255C"/>
    <w:rsid w:val="007C5464"/>
    <w:rsid w:val="007D3BBA"/>
    <w:rsid w:val="007D71AF"/>
    <w:rsid w:val="007E0B84"/>
    <w:rsid w:val="007E1CCE"/>
    <w:rsid w:val="007E4EFA"/>
    <w:rsid w:val="007E5CEC"/>
    <w:rsid w:val="007E5E60"/>
    <w:rsid w:val="007E6022"/>
    <w:rsid w:val="007E6235"/>
    <w:rsid w:val="007F0799"/>
    <w:rsid w:val="007F237A"/>
    <w:rsid w:val="007F2DE3"/>
    <w:rsid w:val="007F33CB"/>
    <w:rsid w:val="007F47D5"/>
    <w:rsid w:val="007F5A55"/>
    <w:rsid w:val="007F695A"/>
    <w:rsid w:val="00800A0D"/>
    <w:rsid w:val="00800D47"/>
    <w:rsid w:val="00801488"/>
    <w:rsid w:val="00801866"/>
    <w:rsid w:val="00801C10"/>
    <w:rsid w:val="0080212D"/>
    <w:rsid w:val="00804013"/>
    <w:rsid w:val="00806235"/>
    <w:rsid w:val="00807FBE"/>
    <w:rsid w:val="00812122"/>
    <w:rsid w:val="00813D1F"/>
    <w:rsid w:val="008147F1"/>
    <w:rsid w:val="00815766"/>
    <w:rsid w:val="00817BEA"/>
    <w:rsid w:val="00824E5F"/>
    <w:rsid w:val="00836972"/>
    <w:rsid w:val="008423FC"/>
    <w:rsid w:val="0084259E"/>
    <w:rsid w:val="00844F9C"/>
    <w:rsid w:val="008451E9"/>
    <w:rsid w:val="00845762"/>
    <w:rsid w:val="00846937"/>
    <w:rsid w:val="008469A7"/>
    <w:rsid w:val="00846A5F"/>
    <w:rsid w:val="00847626"/>
    <w:rsid w:val="00847E64"/>
    <w:rsid w:val="00852A0A"/>
    <w:rsid w:val="00852C0D"/>
    <w:rsid w:val="00854371"/>
    <w:rsid w:val="00855F4D"/>
    <w:rsid w:val="00856778"/>
    <w:rsid w:val="008606E6"/>
    <w:rsid w:val="00860B94"/>
    <w:rsid w:val="00862533"/>
    <w:rsid w:val="00862D8E"/>
    <w:rsid w:val="00863B4A"/>
    <w:rsid w:val="00864E1F"/>
    <w:rsid w:val="008678C2"/>
    <w:rsid w:val="00870303"/>
    <w:rsid w:val="00872B46"/>
    <w:rsid w:val="00875F59"/>
    <w:rsid w:val="008810B4"/>
    <w:rsid w:val="008815FA"/>
    <w:rsid w:val="00881C9B"/>
    <w:rsid w:val="00890752"/>
    <w:rsid w:val="0089190F"/>
    <w:rsid w:val="00892FB8"/>
    <w:rsid w:val="00893CB1"/>
    <w:rsid w:val="008964DE"/>
    <w:rsid w:val="00896FD7"/>
    <w:rsid w:val="00897FD3"/>
    <w:rsid w:val="008A363B"/>
    <w:rsid w:val="008A622F"/>
    <w:rsid w:val="008B04E6"/>
    <w:rsid w:val="008B2DEB"/>
    <w:rsid w:val="008B3B05"/>
    <w:rsid w:val="008B3C2A"/>
    <w:rsid w:val="008B3EE1"/>
    <w:rsid w:val="008B6A26"/>
    <w:rsid w:val="008B6B2A"/>
    <w:rsid w:val="008B75EA"/>
    <w:rsid w:val="008C1C90"/>
    <w:rsid w:val="008C66F1"/>
    <w:rsid w:val="008C754C"/>
    <w:rsid w:val="008D0688"/>
    <w:rsid w:val="008D22DC"/>
    <w:rsid w:val="008D4107"/>
    <w:rsid w:val="008D427F"/>
    <w:rsid w:val="008D4681"/>
    <w:rsid w:val="008D4761"/>
    <w:rsid w:val="008E1B1A"/>
    <w:rsid w:val="008E25B3"/>
    <w:rsid w:val="008E2F50"/>
    <w:rsid w:val="008E405B"/>
    <w:rsid w:val="008E46F0"/>
    <w:rsid w:val="008E5282"/>
    <w:rsid w:val="008E7D10"/>
    <w:rsid w:val="008F318F"/>
    <w:rsid w:val="008F5111"/>
    <w:rsid w:val="008F516F"/>
    <w:rsid w:val="008F5FE1"/>
    <w:rsid w:val="008F6219"/>
    <w:rsid w:val="0090537E"/>
    <w:rsid w:val="009061F9"/>
    <w:rsid w:val="00906442"/>
    <w:rsid w:val="00906D98"/>
    <w:rsid w:val="00906DAA"/>
    <w:rsid w:val="009075F1"/>
    <w:rsid w:val="00911BFF"/>
    <w:rsid w:val="00912184"/>
    <w:rsid w:val="00912C6D"/>
    <w:rsid w:val="009133DA"/>
    <w:rsid w:val="00913964"/>
    <w:rsid w:val="00913A3C"/>
    <w:rsid w:val="00916A7E"/>
    <w:rsid w:val="0092006B"/>
    <w:rsid w:val="00920E19"/>
    <w:rsid w:val="009216A5"/>
    <w:rsid w:val="00922A37"/>
    <w:rsid w:val="009246C3"/>
    <w:rsid w:val="009249E3"/>
    <w:rsid w:val="00925378"/>
    <w:rsid w:val="0092587C"/>
    <w:rsid w:val="00927D2D"/>
    <w:rsid w:val="00930132"/>
    <w:rsid w:val="00930A17"/>
    <w:rsid w:val="00933E4F"/>
    <w:rsid w:val="00934AE3"/>
    <w:rsid w:val="00936CD8"/>
    <w:rsid w:val="00937605"/>
    <w:rsid w:val="0093798E"/>
    <w:rsid w:val="00937A48"/>
    <w:rsid w:val="009403A5"/>
    <w:rsid w:val="00943829"/>
    <w:rsid w:val="0094499A"/>
    <w:rsid w:val="00945BBC"/>
    <w:rsid w:val="00947586"/>
    <w:rsid w:val="00950A84"/>
    <w:rsid w:val="00950DE2"/>
    <w:rsid w:val="00952086"/>
    <w:rsid w:val="00952974"/>
    <w:rsid w:val="009554C2"/>
    <w:rsid w:val="00956773"/>
    <w:rsid w:val="00957776"/>
    <w:rsid w:val="00960A0F"/>
    <w:rsid w:val="00965DA9"/>
    <w:rsid w:val="0096750B"/>
    <w:rsid w:val="00967B8E"/>
    <w:rsid w:val="00967DAA"/>
    <w:rsid w:val="00972ED0"/>
    <w:rsid w:val="00973BF1"/>
    <w:rsid w:val="00981429"/>
    <w:rsid w:val="009815E2"/>
    <w:rsid w:val="009909E8"/>
    <w:rsid w:val="00990AD9"/>
    <w:rsid w:val="009931CA"/>
    <w:rsid w:val="009955FD"/>
    <w:rsid w:val="00996ED5"/>
    <w:rsid w:val="009A16BE"/>
    <w:rsid w:val="009A22F4"/>
    <w:rsid w:val="009A2AB2"/>
    <w:rsid w:val="009A3FC1"/>
    <w:rsid w:val="009A5FC4"/>
    <w:rsid w:val="009A6296"/>
    <w:rsid w:val="009B3BA1"/>
    <w:rsid w:val="009B5408"/>
    <w:rsid w:val="009B7ADF"/>
    <w:rsid w:val="009C2967"/>
    <w:rsid w:val="009C2D6B"/>
    <w:rsid w:val="009C3C32"/>
    <w:rsid w:val="009C3F87"/>
    <w:rsid w:val="009C4586"/>
    <w:rsid w:val="009C655D"/>
    <w:rsid w:val="009D2F6F"/>
    <w:rsid w:val="009D3C28"/>
    <w:rsid w:val="009D568B"/>
    <w:rsid w:val="009D61E2"/>
    <w:rsid w:val="009D6D37"/>
    <w:rsid w:val="009D6E1C"/>
    <w:rsid w:val="009D6F4E"/>
    <w:rsid w:val="009E014B"/>
    <w:rsid w:val="009E0304"/>
    <w:rsid w:val="009E05BC"/>
    <w:rsid w:val="009F0BF7"/>
    <w:rsid w:val="009F0F46"/>
    <w:rsid w:val="009F31DD"/>
    <w:rsid w:val="009F3718"/>
    <w:rsid w:val="009F520D"/>
    <w:rsid w:val="009F685F"/>
    <w:rsid w:val="009F74AB"/>
    <w:rsid w:val="009F74E8"/>
    <w:rsid w:val="00A0116B"/>
    <w:rsid w:val="00A0248E"/>
    <w:rsid w:val="00A029C5"/>
    <w:rsid w:val="00A07AF9"/>
    <w:rsid w:val="00A13BBB"/>
    <w:rsid w:val="00A14782"/>
    <w:rsid w:val="00A15E3B"/>
    <w:rsid w:val="00A16383"/>
    <w:rsid w:val="00A172BC"/>
    <w:rsid w:val="00A17975"/>
    <w:rsid w:val="00A2130F"/>
    <w:rsid w:val="00A226B5"/>
    <w:rsid w:val="00A24A56"/>
    <w:rsid w:val="00A252C8"/>
    <w:rsid w:val="00A25303"/>
    <w:rsid w:val="00A25EE8"/>
    <w:rsid w:val="00A271AD"/>
    <w:rsid w:val="00A27AFC"/>
    <w:rsid w:val="00A27CEE"/>
    <w:rsid w:val="00A341D1"/>
    <w:rsid w:val="00A3626C"/>
    <w:rsid w:val="00A3726E"/>
    <w:rsid w:val="00A37CD4"/>
    <w:rsid w:val="00A37ECA"/>
    <w:rsid w:val="00A407D2"/>
    <w:rsid w:val="00A43F46"/>
    <w:rsid w:val="00A50730"/>
    <w:rsid w:val="00A5087D"/>
    <w:rsid w:val="00A522BC"/>
    <w:rsid w:val="00A607E8"/>
    <w:rsid w:val="00A609CF"/>
    <w:rsid w:val="00A62937"/>
    <w:rsid w:val="00A62AEA"/>
    <w:rsid w:val="00A63774"/>
    <w:rsid w:val="00A647C3"/>
    <w:rsid w:val="00A6521D"/>
    <w:rsid w:val="00A65FC0"/>
    <w:rsid w:val="00A675A4"/>
    <w:rsid w:val="00A706AA"/>
    <w:rsid w:val="00A7290B"/>
    <w:rsid w:val="00A771B4"/>
    <w:rsid w:val="00A83A95"/>
    <w:rsid w:val="00A870C4"/>
    <w:rsid w:val="00A87756"/>
    <w:rsid w:val="00A92FBE"/>
    <w:rsid w:val="00A94A91"/>
    <w:rsid w:val="00AA140D"/>
    <w:rsid w:val="00AA27C4"/>
    <w:rsid w:val="00AA3823"/>
    <w:rsid w:val="00AA5AA5"/>
    <w:rsid w:val="00AB0900"/>
    <w:rsid w:val="00AB1D22"/>
    <w:rsid w:val="00AB351B"/>
    <w:rsid w:val="00AB4A58"/>
    <w:rsid w:val="00AC27C4"/>
    <w:rsid w:val="00AC415C"/>
    <w:rsid w:val="00AC4669"/>
    <w:rsid w:val="00AC5AA6"/>
    <w:rsid w:val="00AD017F"/>
    <w:rsid w:val="00AD4541"/>
    <w:rsid w:val="00AD4C88"/>
    <w:rsid w:val="00AD5109"/>
    <w:rsid w:val="00AD79E7"/>
    <w:rsid w:val="00AE0C3C"/>
    <w:rsid w:val="00AE0C71"/>
    <w:rsid w:val="00AE1A21"/>
    <w:rsid w:val="00AE27F2"/>
    <w:rsid w:val="00AE2828"/>
    <w:rsid w:val="00AE4A92"/>
    <w:rsid w:val="00AE7FCC"/>
    <w:rsid w:val="00AF2F11"/>
    <w:rsid w:val="00AF3BF0"/>
    <w:rsid w:val="00B03E6F"/>
    <w:rsid w:val="00B048B6"/>
    <w:rsid w:val="00B048BA"/>
    <w:rsid w:val="00B05770"/>
    <w:rsid w:val="00B06B4F"/>
    <w:rsid w:val="00B12BB1"/>
    <w:rsid w:val="00B14326"/>
    <w:rsid w:val="00B16238"/>
    <w:rsid w:val="00B21DA6"/>
    <w:rsid w:val="00B22A79"/>
    <w:rsid w:val="00B24C85"/>
    <w:rsid w:val="00B26762"/>
    <w:rsid w:val="00B27CA4"/>
    <w:rsid w:val="00B30542"/>
    <w:rsid w:val="00B30AED"/>
    <w:rsid w:val="00B32A54"/>
    <w:rsid w:val="00B41491"/>
    <w:rsid w:val="00B419FA"/>
    <w:rsid w:val="00B440BF"/>
    <w:rsid w:val="00B46328"/>
    <w:rsid w:val="00B51993"/>
    <w:rsid w:val="00B5247B"/>
    <w:rsid w:val="00B53CB0"/>
    <w:rsid w:val="00B60429"/>
    <w:rsid w:val="00B645CC"/>
    <w:rsid w:val="00B650EF"/>
    <w:rsid w:val="00B651C4"/>
    <w:rsid w:val="00B67AFD"/>
    <w:rsid w:val="00B71CE0"/>
    <w:rsid w:val="00B72064"/>
    <w:rsid w:val="00B722A7"/>
    <w:rsid w:val="00B7554F"/>
    <w:rsid w:val="00B75A2B"/>
    <w:rsid w:val="00B76E10"/>
    <w:rsid w:val="00B80209"/>
    <w:rsid w:val="00B81A8F"/>
    <w:rsid w:val="00B8388F"/>
    <w:rsid w:val="00B85598"/>
    <w:rsid w:val="00B922C6"/>
    <w:rsid w:val="00B94A8A"/>
    <w:rsid w:val="00B950D9"/>
    <w:rsid w:val="00B95C13"/>
    <w:rsid w:val="00B969C1"/>
    <w:rsid w:val="00BA28CD"/>
    <w:rsid w:val="00BA5A10"/>
    <w:rsid w:val="00BB1A4D"/>
    <w:rsid w:val="00BB22C6"/>
    <w:rsid w:val="00BB2383"/>
    <w:rsid w:val="00BB44E2"/>
    <w:rsid w:val="00BB5951"/>
    <w:rsid w:val="00BB740D"/>
    <w:rsid w:val="00BC0ACF"/>
    <w:rsid w:val="00BC2CF2"/>
    <w:rsid w:val="00BC5E18"/>
    <w:rsid w:val="00BC6C0F"/>
    <w:rsid w:val="00BC73E5"/>
    <w:rsid w:val="00BD0CA8"/>
    <w:rsid w:val="00BD0E6B"/>
    <w:rsid w:val="00BD1400"/>
    <w:rsid w:val="00BD2EB2"/>
    <w:rsid w:val="00BD3EE4"/>
    <w:rsid w:val="00BE3074"/>
    <w:rsid w:val="00BE4DCD"/>
    <w:rsid w:val="00BE54B3"/>
    <w:rsid w:val="00BE588D"/>
    <w:rsid w:val="00BE6098"/>
    <w:rsid w:val="00BE7466"/>
    <w:rsid w:val="00BF0E90"/>
    <w:rsid w:val="00BF502E"/>
    <w:rsid w:val="00BF6187"/>
    <w:rsid w:val="00BF6AA7"/>
    <w:rsid w:val="00BF6C2B"/>
    <w:rsid w:val="00C00AAD"/>
    <w:rsid w:val="00C032E2"/>
    <w:rsid w:val="00C04B40"/>
    <w:rsid w:val="00C053CB"/>
    <w:rsid w:val="00C06E77"/>
    <w:rsid w:val="00C115DC"/>
    <w:rsid w:val="00C139DF"/>
    <w:rsid w:val="00C14F51"/>
    <w:rsid w:val="00C176C7"/>
    <w:rsid w:val="00C2123B"/>
    <w:rsid w:val="00C22BDF"/>
    <w:rsid w:val="00C2694C"/>
    <w:rsid w:val="00C32B0E"/>
    <w:rsid w:val="00C3629A"/>
    <w:rsid w:val="00C36669"/>
    <w:rsid w:val="00C37DA2"/>
    <w:rsid w:val="00C41FBD"/>
    <w:rsid w:val="00C42BF5"/>
    <w:rsid w:val="00C43AD2"/>
    <w:rsid w:val="00C43FD7"/>
    <w:rsid w:val="00C44634"/>
    <w:rsid w:val="00C4495D"/>
    <w:rsid w:val="00C45346"/>
    <w:rsid w:val="00C456FC"/>
    <w:rsid w:val="00C474CC"/>
    <w:rsid w:val="00C50175"/>
    <w:rsid w:val="00C517B5"/>
    <w:rsid w:val="00C57751"/>
    <w:rsid w:val="00C60855"/>
    <w:rsid w:val="00C630FF"/>
    <w:rsid w:val="00C649DD"/>
    <w:rsid w:val="00C7098A"/>
    <w:rsid w:val="00C7171B"/>
    <w:rsid w:val="00C72985"/>
    <w:rsid w:val="00C73945"/>
    <w:rsid w:val="00C775CE"/>
    <w:rsid w:val="00C80515"/>
    <w:rsid w:val="00C844A5"/>
    <w:rsid w:val="00C8772A"/>
    <w:rsid w:val="00C87BB0"/>
    <w:rsid w:val="00CA0857"/>
    <w:rsid w:val="00CA13A7"/>
    <w:rsid w:val="00CA205F"/>
    <w:rsid w:val="00CA41DB"/>
    <w:rsid w:val="00CA62D2"/>
    <w:rsid w:val="00CA6C2F"/>
    <w:rsid w:val="00CB14AE"/>
    <w:rsid w:val="00CB20DF"/>
    <w:rsid w:val="00CB22FF"/>
    <w:rsid w:val="00CB232A"/>
    <w:rsid w:val="00CB286F"/>
    <w:rsid w:val="00CB4DA2"/>
    <w:rsid w:val="00CB53BD"/>
    <w:rsid w:val="00CB7E82"/>
    <w:rsid w:val="00CC499F"/>
    <w:rsid w:val="00CC4CB6"/>
    <w:rsid w:val="00CC7478"/>
    <w:rsid w:val="00CC78F8"/>
    <w:rsid w:val="00CD037D"/>
    <w:rsid w:val="00CD4E89"/>
    <w:rsid w:val="00CD5806"/>
    <w:rsid w:val="00CD5C57"/>
    <w:rsid w:val="00CD723F"/>
    <w:rsid w:val="00CD7CD4"/>
    <w:rsid w:val="00CE0F87"/>
    <w:rsid w:val="00CE44C6"/>
    <w:rsid w:val="00CE61C7"/>
    <w:rsid w:val="00CF20DB"/>
    <w:rsid w:val="00CF3E99"/>
    <w:rsid w:val="00CF5CA1"/>
    <w:rsid w:val="00D00DB2"/>
    <w:rsid w:val="00D0256F"/>
    <w:rsid w:val="00D04074"/>
    <w:rsid w:val="00D04638"/>
    <w:rsid w:val="00D0491D"/>
    <w:rsid w:val="00D0520B"/>
    <w:rsid w:val="00D06882"/>
    <w:rsid w:val="00D07248"/>
    <w:rsid w:val="00D07B84"/>
    <w:rsid w:val="00D11BA4"/>
    <w:rsid w:val="00D11EA4"/>
    <w:rsid w:val="00D1306C"/>
    <w:rsid w:val="00D14256"/>
    <w:rsid w:val="00D16ECF"/>
    <w:rsid w:val="00D20C54"/>
    <w:rsid w:val="00D2148B"/>
    <w:rsid w:val="00D2209D"/>
    <w:rsid w:val="00D24C39"/>
    <w:rsid w:val="00D314A2"/>
    <w:rsid w:val="00D31D58"/>
    <w:rsid w:val="00D34890"/>
    <w:rsid w:val="00D353F2"/>
    <w:rsid w:val="00D4008B"/>
    <w:rsid w:val="00D4016B"/>
    <w:rsid w:val="00D41514"/>
    <w:rsid w:val="00D41E4B"/>
    <w:rsid w:val="00D42CA3"/>
    <w:rsid w:val="00D450A9"/>
    <w:rsid w:val="00D4606F"/>
    <w:rsid w:val="00D46B1F"/>
    <w:rsid w:val="00D46D14"/>
    <w:rsid w:val="00D4753F"/>
    <w:rsid w:val="00D50A2F"/>
    <w:rsid w:val="00D50FCD"/>
    <w:rsid w:val="00D51916"/>
    <w:rsid w:val="00D523E5"/>
    <w:rsid w:val="00D52D39"/>
    <w:rsid w:val="00D52E34"/>
    <w:rsid w:val="00D544FF"/>
    <w:rsid w:val="00D57D47"/>
    <w:rsid w:val="00D6466A"/>
    <w:rsid w:val="00D64817"/>
    <w:rsid w:val="00D7060F"/>
    <w:rsid w:val="00D72549"/>
    <w:rsid w:val="00D72AA0"/>
    <w:rsid w:val="00D74D09"/>
    <w:rsid w:val="00D764EB"/>
    <w:rsid w:val="00D8318B"/>
    <w:rsid w:val="00D83D42"/>
    <w:rsid w:val="00D85CF7"/>
    <w:rsid w:val="00D866A9"/>
    <w:rsid w:val="00D86EFA"/>
    <w:rsid w:val="00D93786"/>
    <w:rsid w:val="00D946FD"/>
    <w:rsid w:val="00D9688C"/>
    <w:rsid w:val="00DA00E5"/>
    <w:rsid w:val="00DA024C"/>
    <w:rsid w:val="00DA25E1"/>
    <w:rsid w:val="00DA2AAD"/>
    <w:rsid w:val="00DA6169"/>
    <w:rsid w:val="00DA773E"/>
    <w:rsid w:val="00DA7E6B"/>
    <w:rsid w:val="00DB0279"/>
    <w:rsid w:val="00DB0D6F"/>
    <w:rsid w:val="00DB17AE"/>
    <w:rsid w:val="00DB22BB"/>
    <w:rsid w:val="00DB2586"/>
    <w:rsid w:val="00DB2FDA"/>
    <w:rsid w:val="00DB3077"/>
    <w:rsid w:val="00DB4D97"/>
    <w:rsid w:val="00DB5631"/>
    <w:rsid w:val="00DC0BB9"/>
    <w:rsid w:val="00DC1E54"/>
    <w:rsid w:val="00DC3990"/>
    <w:rsid w:val="00DC5D03"/>
    <w:rsid w:val="00DC6F45"/>
    <w:rsid w:val="00DC7C50"/>
    <w:rsid w:val="00DC7E98"/>
    <w:rsid w:val="00DD1F51"/>
    <w:rsid w:val="00DD3C1E"/>
    <w:rsid w:val="00DD5383"/>
    <w:rsid w:val="00DD545D"/>
    <w:rsid w:val="00DE628B"/>
    <w:rsid w:val="00DE77AB"/>
    <w:rsid w:val="00DF0E2B"/>
    <w:rsid w:val="00DF183C"/>
    <w:rsid w:val="00DF1A0D"/>
    <w:rsid w:val="00DF2B18"/>
    <w:rsid w:val="00DF2D64"/>
    <w:rsid w:val="00DF3049"/>
    <w:rsid w:val="00E02B8F"/>
    <w:rsid w:val="00E044CE"/>
    <w:rsid w:val="00E051FB"/>
    <w:rsid w:val="00E05784"/>
    <w:rsid w:val="00E0578F"/>
    <w:rsid w:val="00E10D2B"/>
    <w:rsid w:val="00E127C0"/>
    <w:rsid w:val="00E12FB7"/>
    <w:rsid w:val="00E13581"/>
    <w:rsid w:val="00E151E1"/>
    <w:rsid w:val="00E161A3"/>
    <w:rsid w:val="00E166F5"/>
    <w:rsid w:val="00E171F7"/>
    <w:rsid w:val="00E17EBE"/>
    <w:rsid w:val="00E204A3"/>
    <w:rsid w:val="00E25B91"/>
    <w:rsid w:val="00E2673D"/>
    <w:rsid w:val="00E31360"/>
    <w:rsid w:val="00E317F7"/>
    <w:rsid w:val="00E333FF"/>
    <w:rsid w:val="00E34303"/>
    <w:rsid w:val="00E3789C"/>
    <w:rsid w:val="00E40139"/>
    <w:rsid w:val="00E417DF"/>
    <w:rsid w:val="00E4364C"/>
    <w:rsid w:val="00E43829"/>
    <w:rsid w:val="00E46E60"/>
    <w:rsid w:val="00E4756F"/>
    <w:rsid w:val="00E53E92"/>
    <w:rsid w:val="00E56D7B"/>
    <w:rsid w:val="00E5733A"/>
    <w:rsid w:val="00E608B8"/>
    <w:rsid w:val="00E631F5"/>
    <w:rsid w:val="00E6350E"/>
    <w:rsid w:val="00E67F87"/>
    <w:rsid w:val="00E711C9"/>
    <w:rsid w:val="00E71B15"/>
    <w:rsid w:val="00E72E32"/>
    <w:rsid w:val="00E74419"/>
    <w:rsid w:val="00E80ABC"/>
    <w:rsid w:val="00E82D3D"/>
    <w:rsid w:val="00E83F3C"/>
    <w:rsid w:val="00E85835"/>
    <w:rsid w:val="00E859C2"/>
    <w:rsid w:val="00E90189"/>
    <w:rsid w:val="00E95A06"/>
    <w:rsid w:val="00EA32ED"/>
    <w:rsid w:val="00EA344E"/>
    <w:rsid w:val="00EA63A8"/>
    <w:rsid w:val="00EA6872"/>
    <w:rsid w:val="00EB2EA7"/>
    <w:rsid w:val="00EB3806"/>
    <w:rsid w:val="00EB38E4"/>
    <w:rsid w:val="00EB4D56"/>
    <w:rsid w:val="00EB5293"/>
    <w:rsid w:val="00EB5335"/>
    <w:rsid w:val="00EB6286"/>
    <w:rsid w:val="00EC30A8"/>
    <w:rsid w:val="00EC4DFE"/>
    <w:rsid w:val="00EC7353"/>
    <w:rsid w:val="00ED1D21"/>
    <w:rsid w:val="00ED28A5"/>
    <w:rsid w:val="00ED36C3"/>
    <w:rsid w:val="00ED371C"/>
    <w:rsid w:val="00ED674B"/>
    <w:rsid w:val="00EE0F6C"/>
    <w:rsid w:val="00EE19CD"/>
    <w:rsid w:val="00EE35AC"/>
    <w:rsid w:val="00EE7C64"/>
    <w:rsid w:val="00EF47A4"/>
    <w:rsid w:val="00EF4D94"/>
    <w:rsid w:val="00EF6EB7"/>
    <w:rsid w:val="00F00632"/>
    <w:rsid w:val="00F00C9E"/>
    <w:rsid w:val="00F02247"/>
    <w:rsid w:val="00F02BD3"/>
    <w:rsid w:val="00F04757"/>
    <w:rsid w:val="00F05098"/>
    <w:rsid w:val="00F057B5"/>
    <w:rsid w:val="00F06169"/>
    <w:rsid w:val="00F06C7F"/>
    <w:rsid w:val="00F1023B"/>
    <w:rsid w:val="00F13DD3"/>
    <w:rsid w:val="00F15683"/>
    <w:rsid w:val="00F16161"/>
    <w:rsid w:val="00F16D23"/>
    <w:rsid w:val="00F17554"/>
    <w:rsid w:val="00F21ABD"/>
    <w:rsid w:val="00F21F6A"/>
    <w:rsid w:val="00F2216C"/>
    <w:rsid w:val="00F24198"/>
    <w:rsid w:val="00F26B2D"/>
    <w:rsid w:val="00F31839"/>
    <w:rsid w:val="00F31D76"/>
    <w:rsid w:val="00F32A5D"/>
    <w:rsid w:val="00F348AF"/>
    <w:rsid w:val="00F35FF0"/>
    <w:rsid w:val="00F360D2"/>
    <w:rsid w:val="00F44A31"/>
    <w:rsid w:val="00F4692B"/>
    <w:rsid w:val="00F46F29"/>
    <w:rsid w:val="00F47C55"/>
    <w:rsid w:val="00F50FB0"/>
    <w:rsid w:val="00F514BE"/>
    <w:rsid w:val="00F520A3"/>
    <w:rsid w:val="00F54187"/>
    <w:rsid w:val="00F56B35"/>
    <w:rsid w:val="00F571C6"/>
    <w:rsid w:val="00F66D46"/>
    <w:rsid w:val="00F67F8E"/>
    <w:rsid w:val="00F7266D"/>
    <w:rsid w:val="00F74059"/>
    <w:rsid w:val="00F74896"/>
    <w:rsid w:val="00F770A4"/>
    <w:rsid w:val="00F774D4"/>
    <w:rsid w:val="00F7772A"/>
    <w:rsid w:val="00F77F3F"/>
    <w:rsid w:val="00F77FE9"/>
    <w:rsid w:val="00F800B2"/>
    <w:rsid w:val="00F80AFD"/>
    <w:rsid w:val="00F81544"/>
    <w:rsid w:val="00F822B0"/>
    <w:rsid w:val="00F86B70"/>
    <w:rsid w:val="00F873EC"/>
    <w:rsid w:val="00F916B6"/>
    <w:rsid w:val="00F924DF"/>
    <w:rsid w:val="00F94130"/>
    <w:rsid w:val="00FA19A7"/>
    <w:rsid w:val="00FA1BA8"/>
    <w:rsid w:val="00FA26DC"/>
    <w:rsid w:val="00FA5FD2"/>
    <w:rsid w:val="00FA65E8"/>
    <w:rsid w:val="00FA6CBF"/>
    <w:rsid w:val="00FB1253"/>
    <w:rsid w:val="00FB6099"/>
    <w:rsid w:val="00FB6C4A"/>
    <w:rsid w:val="00FB72ED"/>
    <w:rsid w:val="00FC0A1C"/>
    <w:rsid w:val="00FC31C7"/>
    <w:rsid w:val="00FC3298"/>
    <w:rsid w:val="00FC37B5"/>
    <w:rsid w:val="00FC3EBC"/>
    <w:rsid w:val="00FC69A6"/>
    <w:rsid w:val="00FC6E17"/>
    <w:rsid w:val="00FD7279"/>
    <w:rsid w:val="00FD750B"/>
    <w:rsid w:val="00FD7602"/>
    <w:rsid w:val="00FD7685"/>
    <w:rsid w:val="00FE15DC"/>
    <w:rsid w:val="00FE374B"/>
    <w:rsid w:val="00FE483C"/>
    <w:rsid w:val="00FE7975"/>
    <w:rsid w:val="00FF123D"/>
    <w:rsid w:val="00FF1517"/>
    <w:rsid w:val="00FF1D74"/>
    <w:rsid w:val="00FF4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18B050D"/>
  <w15:docId w15:val="{5CF33E24-E1A4-4079-8789-3DB5B86C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03"/>
    <w:pPr>
      <w:spacing w:after="200" w:line="276" w:lineRule="auto"/>
    </w:pPr>
    <w:rPr>
      <w:sz w:val="22"/>
      <w:szCs w:val="22"/>
      <w:lang w:eastAsia="en-US"/>
    </w:rPr>
  </w:style>
  <w:style w:type="paragraph" w:styleId="Ttulo1">
    <w:name w:val="heading 1"/>
    <w:basedOn w:val="Normal"/>
    <w:next w:val="Normal"/>
    <w:link w:val="Ttulo1Car"/>
    <w:uiPriority w:val="9"/>
    <w:qFormat/>
    <w:rsid w:val="00A07A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A07A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D04074"/>
  </w:style>
  <w:style w:type="character" w:styleId="Refdecomentario">
    <w:name w:val="annotation reference"/>
    <w:basedOn w:val="Fuentedeprrafopredeter"/>
    <w:uiPriority w:val="99"/>
    <w:semiHidden/>
    <w:unhideWhenUsed/>
    <w:rsid w:val="004C0BCC"/>
    <w:rPr>
      <w:sz w:val="16"/>
      <w:szCs w:val="16"/>
    </w:rPr>
  </w:style>
  <w:style w:type="paragraph" w:styleId="Textocomentario">
    <w:name w:val="annotation text"/>
    <w:basedOn w:val="Normal"/>
    <w:link w:val="TextocomentarioCar"/>
    <w:uiPriority w:val="99"/>
    <w:semiHidden/>
    <w:unhideWhenUsed/>
    <w:rsid w:val="004C0BC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0BCC"/>
    <w:rPr>
      <w:lang w:eastAsia="en-US"/>
    </w:rPr>
  </w:style>
  <w:style w:type="paragraph" w:styleId="Asuntodelcomentario">
    <w:name w:val="annotation subject"/>
    <w:basedOn w:val="Textocomentario"/>
    <w:next w:val="Textocomentario"/>
    <w:link w:val="AsuntodelcomentarioCar"/>
    <w:uiPriority w:val="99"/>
    <w:semiHidden/>
    <w:unhideWhenUsed/>
    <w:rsid w:val="004C0BCC"/>
    <w:rPr>
      <w:b/>
      <w:bCs/>
    </w:rPr>
  </w:style>
  <w:style w:type="character" w:customStyle="1" w:styleId="AsuntodelcomentarioCar">
    <w:name w:val="Asunto del comentario Car"/>
    <w:basedOn w:val="TextocomentarioCar"/>
    <w:link w:val="Asuntodelcomentario"/>
    <w:uiPriority w:val="99"/>
    <w:semiHidden/>
    <w:rsid w:val="004C0BCC"/>
    <w:rPr>
      <w:b/>
      <w:bCs/>
      <w:lang w:eastAsia="en-US"/>
    </w:rPr>
  </w:style>
  <w:style w:type="character" w:customStyle="1" w:styleId="PrrafodelistaCar">
    <w:name w:val="Párrafo de lista Car"/>
    <w:link w:val="Prrafodelista"/>
    <w:uiPriority w:val="34"/>
    <w:rsid w:val="008E25B3"/>
    <w:rPr>
      <w:rFonts w:ascii="Arial" w:eastAsia="Times New Roman" w:hAnsi="Arial"/>
      <w:sz w:val="24"/>
      <w:lang w:val="es-ES" w:eastAsia="es-ES"/>
    </w:rPr>
  </w:style>
  <w:style w:type="character" w:customStyle="1" w:styleId="Ttulo1Car">
    <w:name w:val="Título 1 Car"/>
    <w:basedOn w:val="Fuentedeprrafopredeter"/>
    <w:link w:val="Ttulo1"/>
    <w:uiPriority w:val="9"/>
    <w:rsid w:val="00A07AF9"/>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uiPriority w:val="9"/>
    <w:rsid w:val="00A07AF9"/>
    <w:rPr>
      <w:rFonts w:asciiTheme="majorHAnsi" w:eastAsiaTheme="majorEastAsia" w:hAnsiTheme="majorHAnsi" w:cstheme="majorBidi"/>
      <w:color w:val="365F91" w:themeColor="accent1" w:themeShade="BF"/>
      <w:sz w:val="26"/>
      <w:szCs w:val="26"/>
      <w:lang w:eastAsia="en-US"/>
    </w:rPr>
  </w:style>
  <w:style w:type="table" w:styleId="Tablaconcuadrcula">
    <w:name w:val="Table Grid"/>
    <w:basedOn w:val="Tablanormal"/>
    <w:uiPriority w:val="59"/>
    <w:rsid w:val="00CA2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83974">
      <w:bodyDiv w:val="1"/>
      <w:marLeft w:val="0"/>
      <w:marRight w:val="0"/>
      <w:marTop w:val="0"/>
      <w:marBottom w:val="0"/>
      <w:divBdr>
        <w:top w:val="none" w:sz="0" w:space="0" w:color="auto"/>
        <w:left w:val="none" w:sz="0" w:space="0" w:color="auto"/>
        <w:bottom w:val="none" w:sz="0" w:space="0" w:color="auto"/>
        <w:right w:val="none" w:sz="0" w:space="0" w:color="auto"/>
      </w:divBdr>
    </w:div>
    <w:div w:id="666789632">
      <w:bodyDiv w:val="1"/>
      <w:marLeft w:val="0"/>
      <w:marRight w:val="0"/>
      <w:marTop w:val="0"/>
      <w:marBottom w:val="0"/>
      <w:divBdr>
        <w:top w:val="none" w:sz="0" w:space="0" w:color="auto"/>
        <w:left w:val="none" w:sz="0" w:space="0" w:color="auto"/>
        <w:bottom w:val="none" w:sz="0" w:space="0" w:color="auto"/>
        <w:right w:val="none" w:sz="0" w:space="0" w:color="auto"/>
      </w:divBdr>
    </w:div>
    <w:div w:id="1377319793">
      <w:bodyDiv w:val="1"/>
      <w:marLeft w:val="0"/>
      <w:marRight w:val="0"/>
      <w:marTop w:val="0"/>
      <w:marBottom w:val="0"/>
      <w:divBdr>
        <w:top w:val="none" w:sz="0" w:space="0" w:color="auto"/>
        <w:left w:val="none" w:sz="0" w:space="0" w:color="auto"/>
        <w:bottom w:val="none" w:sz="0" w:space="0" w:color="auto"/>
        <w:right w:val="none" w:sz="0" w:space="0" w:color="auto"/>
      </w:divBdr>
    </w:div>
    <w:div w:id="171148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D8D49-32FC-4410-A703-B142E3F9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4100</Words>
  <Characters>22551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Alejandro Patiño Ascencio</dc:creator>
  <cp:lastModifiedBy>Maria del Consuelo Gonzalez Moreno</cp:lastModifiedBy>
  <cp:revision>9</cp:revision>
  <cp:lastPrinted>2016-01-12T15:19:00Z</cp:lastPrinted>
  <dcterms:created xsi:type="dcterms:W3CDTF">2018-03-22T19:28:00Z</dcterms:created>
  <dcterms:modified xsi:type="dcterms:W3CDTF">2018-04-09T14:17:00Z</dcterms:modified>
</cp:coreProperties>
</file>