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2614F" w14:textId="77777777" w:rsidR="00F64D97" w:rsidRPr="00C5094E" w:rsidRDefault="00F64D97" w:rsidP="00F64D97">
      <w:pPr>
        <w:pStyle w:val="Ttulo1"/>
        <w:spacing w:before="40" w:after="240"/>
        <w:jc w:val="center"/>
        <w:rPr>
          <w:rFonts w:ascii="ITC Avant Garde" w:hAnsi="ITC Avant Garde"/>
          <w:color w:val="auto"/>
          <w:sz w:val="20"/>
          <w:szCs w:val="20"/>
        </w:rPr>
      </w:pPr>
      <w:r w:rsidRPr="00C5094E">
        <w:rPr>
          <w:rFonts w:ascii="ITC Avant Garde" w:hAnsi="ITC Avant Garde"/>
          <w:color w:val="auto"/>
          <w:sz w:val="20"/>
          <w:szCs w:val="20"/>
        </w:rPr>
        <w:t>VERSIÓN PÚBLICA DEL ACUERDO P/IFT/260417/191</w:t>
      </w:r>
    </w:p>
    <w:p w14:paraId="14CC031F" w14:textId="77777777" w:rsidR="00F64D97" w:rsidRPr="00F64D97" w:rsidRDefault="00F64D97" w:rsidP="00F64D97">
      <w:pPr>
        <w:pStyle w:val="Textoindependiente"/>
        <w:spacing w:line="360" w:lineRule="auto"/>
        <w:jc w:val="center"/>
        <w:rPr>
          <w:rFonts w:ascii="ITC Avant Garde" w:hAnsi="ITC Avant Garde"/>
          <w:b/>
          <w:bCs/>
          <w:i w:val="0"/>
          <w:sz w:val="20"/>
          <w:lang w:eastAsia="es-MX"/>
        </w:rPr>
      </w:pPr>
      <w:r w:rsidRPr="00F64D97">
        <w:rPr>
          <w:rFonts w:ascii="ITC Avant Garde" w:hAnsi="ITC Avant Garde"/>
          <w:b/>
          <w:bCs/>
          <w:i w:val="0"/>
          <w:sz w:val="20"/>
          <w:lang w:eastAsia="es-MX"/>
        </w:rPr>
        <w:t>DE LA SESIÓN DEL PLENO DEL INSTITUTO FEDERAL DE TELECOMUNICACIONES EN SU XV SESIÓN ORDINARIA DEL 2017, CELEBRADA EL 26 DE ABRIL DE 2017.</w:t>
      </w:r>
    </w:p>
    <w:p w14:paraId="71A0738E" w14:textId="77777777" w:rsidR="00F64D97" w:rsidRPr="00F64D97" w:rsidRDefault="00F64D97" w:rsidP="00F64D97">
      <w:pPr>
        <w:pStyle w:val="Ttulo2"/>
        <w:spacing w:before="360" w:after="240" w:line="360" w:lineRule="auto"/>
        <w:contextualSpacing/>
        <w:jc w:val="center"/>
        <w:rPr>
          <w:rFonts w:ascii="ITC Avant Garde" w:eastAsia="Arial" w:hAnsi="ITC Avant Garde" w:cs="Arial"/>
          <w:b w:val="0"/>
          <w:i w:val="0"/>
          <w:color w:val="000000"/>
          <w:sz w:val="21"/>
          <w:szCs w:val="21"/>
          <w:lang w:eastAsia="es-MX"/>
        </w:rPr>
      </w:pPr>
      <w:r w:rsidRPr="00F64D97">
        <w:rPr>
          <w:rFonts w:ascii="ITC Avant Garde" w:eastAsia="Arial" w:hAnsi="ITC Avant Garde" w:cs="Arial"/>
          <w:i w:val="0"/>
          <w:color w:val="000000"/>
          <w:sz w:val="21"/>
          <w:szCs w:val="21"/>
          <w:lang w:eastAsia="es-MX"/>
        </w:rPr>
        <w:t>LEYENDA DE LA CLASIFICACIÓN</w:t>
      </w:r>
    </w:p>
    <w:p w14:paraId="337E10BD" w14:textId="77777777" w:rsidR="00F64D97" w:rsidRPr="00F64D97" w:rsidRDefault="00F64D97" w:rsidP="00F64D97">
      <w:pPr>
        <w:pStyle w:val="Textoindependiente"/>
        <w:spacing w:line="360" w:lineRule="auto"/>
        <w:rPr>
          <w:rFonts w:ascii="ITC Avant Garde" w:eastAsia="Calibri" w:hAnsi="ITC Avant Garde"/>
          <w:i w:val="0"/>
          <w:color w:val="auto"/>
          <w:sz w:val="20"/>
          <w:lang w:eastAsia="en-US"/>
        </w:rPr>
      </w:pPr>
      <w:r w:rsidRPr="00F64D97">
        <w:rPr>
          <w:rFonts w:ascii="ITC Avant Garde" w:hAnsi="ITC Avant Garde"/>
          <w:b/>
          <w:bCs/>
          <w:i w:val="0"/>
          <w:sz w:val="19"/>
          <w:szCs w:val="19"/>
          <w:lang w:eastAsia="es-MX"/>
        </w:rPr>
        <w:t>Fecha de Clasificación:</w:t>
      </w:r>
      <w:r w:rsidRPr="00F64D97">
        <w:rPr>
          <w:rFonts w:ascii="ITC Avant Garde" w:hAnsi="ITC Avant Garde"/>
          <w:bCs/>
          <w:i w:val="0"/>
          <w:sz w:val="19"/>
          <w:szCs w:val="19"/>
          <w:lang w:eastAsia="es-MX"/>
        </w:rPr>
        <w:t xml:space="preserve"> </w:t>
      </w:r>
      <w:r w:rsidRPr="00F64D97">
        <w:rPr>
          <w:rFonts w:ascii="ITC Avant Garde" w:hAnsi="ITC Avant Garde"/>
          <w:i w:val="0"/>
          <w:sz w:val="20"/>
        </w:rPr>
        <w:t>26 de abril de 2017</w:t>
      </w:r>
      <w:r w:rsidRPr="00F64D97">
        <w:rPr>
          <w:rFonts w:ascii="ITC Avant Garde" w:eastAsia="Calibri" w:hAnsi="ITC Avant Garde"/>
          <w:i w:val="0"/>
          <w:color w:val="auto"/>
          <w:sz w:val="20"/>
          <w:lang w:eastAsia="en-US"/>
        </w:rPr>
        <w:t xml:space="preserve">. </w:t>
      </w:r>
    </w:p>
    <w:p w14:paraId="15B9B5FE" w14:textId="77777777" w:rsidR="00AC1D07" w:rsidRDefault="00AC1D07" w:rsidP="00F64D97">
      <w:pPr>
        <w:pStyle w:val="Textoindependiente"/>
        <w:spacing w:line="360" w:lineRule="auto"/>
        <w:rPr>
          <w:rFonts w:ascii="ITC Avant Garde" w:hAnsi="ITC Avant Garde" w:cs="Tahoma"/>
          <w:sz w:val="20"/>
          <w:lang w:eastAsia="es-MX"/>
        </w:rPr>
      </w:pPr>
      <w:r w:rsidRPr="00AC1D07">
        <w:rPr>
          <w:rFonts w:ascii="ITC Avant Garde" w:hAnsi="ITC Avant Garde"/>
          <w:b/>
          <w:i w:val="0"/>
          <w:sz w:val="19"/>
          <w:szCs w:val="19"/>
        </w:rPr>
        <w:t>Unidad Administrativa y Clasificación:</w:t>
      </w:r>
      <w:r w:rsidRPr="00AC1D07">
        <w:rPr>
          <w:rFonts w:ascii="ITC Avant Garde" w:hAnsi="ITC Avant Garde"/>
          <w:i w:val="0"/>
          <w:sz w:val="19"/>
          <w:szCs w:val="19"/>
        </w:rPr>
        <w:t xml:space="preserve"> Dirección de Contabilidad y Costeo de la Unidad de Política Regulatoria elabora versión pública y remite a la Secretaría Técnica del Pleno, mediante correo electrónico de fecha 18 de diciembre de 2017, por contener información </w:t>
      </w:r>
      <w:r w:rsidRPr="00AC1D07">
        <w:rPr>
          <w:rFonts w:ascii="ITC Avant Garde" w:hAnsi="ITC Avant Garde"/>
          <w:b/>
          <w:i w:val="0"/>
          <w:color w:val="0000CC"/>
          <w:sz w:val="19"/>
          <w:szCs w:val="19"/>
        </w:rPr>
        <w:t>Confidencial</w:t>
      </w:r>
      <w:r w:rsidRPr="00AC1D07">
        <w:rPr>
          <w:rFonts w:ascii="ITC Avant Garde" w:hAnsi="ITC Avant Garde"/>
          <w:i w:val="0"/>
          <w:sz w:val="19"/>
          <w:szCs w:val="19"/>
        </w:rPr>
        <w:t>, de conformidad con los artículos 72, fracción V, inciso c), 98, fracción III y 104 de la Ley Federal de Transparencia y Acceso a la Información Pública (“LFTAIP”); 106, 107 y 110 de la Ley General de Transparencia y Acceso a la Información Pública ("LGTAIP”); Lineamiento Séptimo, fracción III, Octavo, Noveno, Quincuagésimo Primero al Tercero, Sexagésimo, Sexagésimo Primero y Sexagésimo Tercero de los Lineamientos Generales en materia de Clasificación y Desclasificación de la Información, así como para la Elaboración de Versiones Públicas (“LGCDIEVP”).</w:t>
      </w:r>
    </w:p>
    <w:p w14:paraId="3FB5E4B5" w14:textId="79DFB1EC" w:rsidR="00F64D97" w:rsidRPr="00F64D97" w:rsidRDefault="00F64D97" w:rsidP="00F64D97">
      <w:pPr>
        <w:pStyle w:val="Textoindependiente"/>
        <w:spacing w:line="360" w:lineRule="auto"/>
        <w:rPr>
          <w:rFonts w:ascii="ITC Avant Garde" w:hAnsi="ITC Avant Garde"/>
          <w:bCs/>
          <w:i w:val="0"/>
          <w:sz w:val="19"/>
          <w:szCs w:val="19"/>
          <w:lang w:eastAsia="es-MX"/>
        </w:rPr>
      </w:pPr>
      <w:r w:rsidRPr="00F64D97">
        <w:rPr>
          <w:rFonts w:ascii="ITC Avant Garde" w:hAnsi="ITC Avant Garde"/>
          <w:b/>
          <w:bCs/>
          <w:i w:val="0"/>
          <w:sz w:val="19"/>
          <w:szCs w:val="19"/>
          <w:lang w:eastAsia="es-MX"/>
        </w:rPr>
        <w:t>Núm. de Resolución:</w:t>
      </w:r>
      <w:r w:rsidRPr="00F64D97">
        <w:rPr>
          <w:rFonts w:ascii="ITC Avant Garde" w:hAnsi="ITC Avant Garde"/>
          <w:bCs/>
          <w:i w:val="0"/>
          <w:sz w:val="19"/>
          <w:szCs w:val="19"/>
          <w:lang w:eastAsia="es-MX"/>
        </w:rPr>
        <w:t xml:space="preserve"> </w:t>
      </w:r>
      <w:r w:rsidRPr="00F64D97">
        <w:rPr>
          <w:rFonts w:ascii="ITC Avant Garde" w:hAnsi="ITC Avant Garde"/>
          <w:i w:val="0"/>
          <w:sz w:val="19"/>
          <w:szCs w:val="19"/>
        </w:rPr>
        <w:t>P/IFT/260417/191.</w:t>
      </w:r>
    </w:p>
    <w:p w14:paraId="4013D769" w14:textId="77777777" w:rsidR="00F64D97" w:rsidRPr="00F64D97" w:rsidRDefault="00F64D97" w:rsidP="00F64D97">
      <w:pPr>
        <w:pStyle w:val="Textoindependiente"/>
        <w:spacing w:line="360" w:lineRule="auto"/>
        <w:rPr>
          <w:rFonts w:ascii="ITC Avant Garde" w:hAnsi="ITC Avant Garde"/>
          <w:bCs/>
          <w:i w:val="0"/>
          <w:sz w:val="19"/>
          <w:szCs w:val="19"/>
          <w:lang w:eastAsia="es-MX"/>
        </w:rPr>
      </w:pPr>
      <w:r w:rsidRPr="00F64D97">
        <w:rPr>
          <w:rFonts w:ascii="ITC Avant Garde" w:hAnsi="ITC Avant Garde"/>
          <w:b/>
          <w:bCs/>
          <w:i w:val="0"/>
          <w:sz w:val="19"/>
          <w:szCs w:val="19"/>
          <w:lang w:eastAsia="es-MX"/>
        </w:rPr>
        <w:t>Descripción del asunto:</w:t>
      </w:r>
      <w:r w:rsidRPr="00F64D97">
        <w:rPr>
          <w:rFonts w:ascii="ITC Avant Garde" w:hAnsi="ITC Avant Garde"/>
          <w:bCs/>
          <w:i w:val="0"/>
          <w:sz w:val="19"/>
          <w:szCs w:val="19"/>
          <w:lang w:eastAsia="es-MX"/>
        </w:rPr>
        <w:t xml:space="preserve"> </w:t>
      </w:r>
      <w:r w:rsidRPr="00F64D97">
        <w:rPr>
          <w:rFonts w:ascii="ITC Avant Garde" w:hAnsi="ITC Avant Garde"/>
          <w:i w:val="0"/>
          <w:sz w:val="19"/>
          <w:szCs w:val="19"/>
        </w:rPr>
        <w:t>Resolución mediante la cual el Pleno del Instituto Federal de Telecomunicaciones establece los parámetros del Sistema de Precios Tope de conformidad con la Medida Cuadragésima del Anexo 2 de la Resolución de Preponderancia aplicable al Agente Económico Preponderante para el periodo 2017-2018.</w:t>
      </w:r>
    </w:p>
    <w:p w14:paraId="543BB7F3" w14:textId="77777777" w:rsidR="00F64D97" w:rsidRPr="00F64D97" w:rsidRDefault="00F64D97" w:rsidP="00F64D97">
      <w:pPr>
        <w:pStyle w:val="Textoindependiente"/>
        <w:spacing w:line="360" w:lineRule="auto"/>
        <w:rPr>
          <w:rFonts w:ascii="ITC Avant Garde" w:hAnsi="ITC Avant Garde"/>
          <w:i w:val="0"/>
          <w:sz w:val="19"/>
          <w:szCs w:val="19"/>
        </w:rPr>
      </w:pPr>
      <w:r w:rsidRPr="00F64D97">
        <w:rPr>
          <w:rFonts w:ascii="ITC Avant Garde" w:hAnsi="ITC Avant Garde"/>
          <w:b/>
          <w:bCs/>
          <w:i w:val="0"/>
          <w:sz w:val="19"/>
          <w:szCs w:val="19"/>
          <w:lang w:eastAsia="es-MX"/>
        </w:rPr>
        <w:t>Fundamento legal:</w:t>
      </w:r>
      <w:r w:rsidRPr="00F64D97">
        <w:rPr>
          <w:rFonts w:ascii="ITC Avant Garde" w:hAnsi="ITC Avant Garde"/>
          <w:bCs/>
          <w:i w:val="0"/>
          <w:sz w:val="19"/>
          <w:szCs w:val="19"/>
          <w:lang w:eastAsia="es-MX"/>
        </w:rPr>
        <w:t xml:space="preserve"> </w:t>
      </w:r>
      <w:r w:rsidRPr="00F64D97">
        <w:rPr>
          <w:rFonts w:ascii="ITC Avant Garde" w:hAnsi="ITC Avant Garde"/>
          <w:i w:val="0"/>
          <w:sz w:val="19"/>
          <w:szCs w:val="19"/>
        </w:rPr>
        <w:t>Confidencial con fundamento en el artículo 113, fracción III de la “LFTAIP” publicada en el Diario Oficial de la Federación (DOF) el 9 de mayo de 2016; así como el artículo 116 de la “LGTAIP”, publicada en el DOF el 4 de mayo de 2015; así como el Lineamiento Cuadragésimo, fracción II, de los “LCCDIEVP”, publicado en el DOF el 15 de abril de 2016.</w:t>
      </w:r>
    </w:p>
    <w:p w14:paraId="120CD932" w14:textId="77777777" w:rsidR="00F64D97" w:rsidRPr="00F64D97" w:rsidRDefault="00F64D97" w:rsidP="00F64D97">
      <w:pPr>
        <w:pStyle w:val="Textoindependiente"/>
        <w:spacing w:line="360" w:lineRule="auto"/>
        <w:rPr>
          <w:rFonts w:ascii="ITC Avant Garde" w:hAnsi="ITC Avant Garde"/>
          <w:bCs/>
          <w:i w:val="0"/>
          <w:sz w:val="19"/>
          <w:szCs w:val="19"/>
          <w:lang w:eastAsia="es-MX"/>
        </w:rPr>
      </w:pPr>
      <w:r w:rsidRPr="00F64D97">
        <w:rPr>
          <w:rFonts w:ascii="ITC Avant Garde" w:hAnsi="ITC Avant Garde"/>
          <w:b/>
          <w:bCs/>
          <w:i w:val="0"/>
          <w:sz w:val="19"/>
          <w:szCs w:val="19"/>
          <w:lang w:eastAsia="es-MX"/>
        </w:rPr>
        <w:t>Motivación:</w:t>
      </w:r>
      <w:r w:rsidRPr="00F64D97">
        <w:rPr>
          <w:rFonts w:ascii="ITC Avant Garde" w:hAnsi="ITC Avant Garde"/>
          <w:bCs/>
          <w:i w:val="0"/>
          <w:sz w:val="19"/>
          <w:szCs w:val="19"/>
          <w:lang w:eastAsia="es-MX"/>
        </w:rPr>
        <w:t xml:space="preserve"> </w:t>
      </w:r>
      <w:r w:rsidRPr="00F64D97">
        <w:rPr>
          <w:rFonts w:ascii="ITC Avant Garde" w:hAnsi="ITC Avant Garde"/>
          <w:i w:val="0"/>
          <w:sz w:val="19"/>
          <w:szCs w:val="19"/>
        </w:rPr>
        <w:t>Contiene información presentada con carácter Confidencial por los particulares, así como hechos y actos de carácter económico y contable que pudieran ser útiles a los competidores.</w:t>
      </w:r>
    </w:p>
    <w:p w14:paraId="11F50691" w14:textId="77777777" w:rsidR="00F64D97" w:rsidRPr="00F64D97" w:rsidRDefault="00F64D97" w:rsidP="00F64D97">
      <w:pPr>
        <w:pStyle w:val="Textoindependiente"/>
        <w:spacing w:line="360" w:lineRule="auto"/>
        <w:rPr>
          <w:rFonts w:ascii="ITC Avant Garde" w:hAnsi="ITC Avant Garde"/>
          <w:bCs/>
          <w:i w:val="0"/>
          <w:sz w:val="19"/>
          <w:szCs w:val="19"/>
          <w:lang w:eastAsia="es-MX"/>
        </w:rPr>
      </w:pPr>
      <w:r w:rsidRPr="00F64D97">
        <w:rPr>
          <w:rFonts w:ascii="ITC Avant Garde" w:hAnsi="ITC Avant Garde"/>
          <w:b/>
          <w:bCs/>
          <w:i w:val="0"/>
          <w:sz w:val="19"/>
          <w:szCs w:val="19"/>
          <w:lang w:eastAsia="es-MX"/>
        </w:rPr>
        <w:t>Secciones clasificadas:</w:t>
      </w:r>
      <w:r w:rsidRPr="00F64D97">
        <w:rPr>
          <w:rFonts w:ascii="ITC Avant Garde" w:hAnsi="ITC Avant Garde"/>
          <w:bCs/>
          <w:i w:val="0"/>
          <w:sz w:val="19"/>
          <w:szCs w:val="19"/>
          <w:lang w:eastAsia="es-MX"/>
        </w:rPr>
        <w:t xml:space="preserve"> Las secciones marcadas en color azul con la inscripción que dice </w:t>
      </w:r>
      <w:r w:rsidRPr="00F64D97">
        <w:rPr>
          <w:rFonts w:ascii="ITC Avant Garde" w:hAnsi="ITC Avant Garde"/>
          <w:b/>
          <w:bCs/>
          <w:i w:val="0"/>
          <w:color w:val="0000CC"/>
          <w:sz w:val="19"/>
          <w:szCs w:val="19"/>
          <w:lang w:eastAsia="es-MX"/>
        </w:rPr>
        <w:t>“CONFIDENCIAL POR LEY”</w:t>
      </w:r>
      <w:r w:rsidRPr="00F64D97">
        <w:rPr>
          <w:rFonts w:ascii="ITC Avant Garde" w:hAnsi="ITC Avant Garde"/>
          <w:bCs/>
          <w:i w:val="0"/>
          <w:sz w:val="19"/>
          <w:szCs w:val="19"/>
          <w:lang w:eastAsia="es-MX"/>
        </w:rPr>
        <w:t>.</w:t>
      </w:r>
    </w:p>
    <w:p w14:paraId="70B27019" w14:textId="77777777" w:rsidR="00F64D97" w:rsidRDefault="00F64D97" w:rsidP="00F64D97">
      <w:pPr>
        <w:pStyle w:val="Default"/>
        <w:spacing w:line="360" w:lineRule="auto"/>
        <w:ind w:left="709" w:right="-377"/>
        <w:jc w:val="both"/>
        <w:rPr>
          <w:rFonts w:ascii="ITC Avant Garde" w:eastAsia="Times New Roman" w:hAnsi="ITC Avant Garde" w:cs="Times New Roman"/>
          <w:bCs/>
          <w:sz w:val="19"/>
          <w:szCs w:val="19"/>
        </w:rPr>
        <w:sectPr w:rsidR="00F64D97" w:rsidSect="00F64D97">
          <w:headerReference w:type="even" r:id="rId11"/>
          <w:headerReference w:type="default" r:id="rId12"/>
          <w:headerReference w:type="first" r:id="rId13"/>
          <w:pgSz w:w="12240" w:h="15840"/>
          <w:pgMar w:top="1843" w:right="1418" w:bottom="1418" w:left="1418" w:header="709" w:footer="709" w:gutter="0"/>
          <w:cols w:space="708"/>
          <w:docGrid w:linePitch="360"/>
        </w:sectPr>
      </w:pPr>
      <w:r w:rsidRPr="00F64D97">
        <w:rPr>
          <w:rFonts w:ascii="ITC Avant Garde" w:eastAsia="Times New Roman" w:hAnsi="ITC Avant Garde" w:cs="Times New Roman"/>
          <w:bCs/>
          <w:sz w:val="19"/>
          <w:szCs w:val="19"/>
        </w:rPr>
        <w:t>Fin de la leyenda.</w:t>
      </w:r>
      <w:r>
        <w:rPr>
          <w:rFonts w:ascii="ITC Avant Garde" w:eastAsia="Times New Roman" w:hAnsi="ITC Avant Garde" w:cs="Times New Roman"/>
          <w:bCs/>
          <w:sz w:val="19"/>
          <w:szCs w:val="19"/>
        </w:rPr>
        <w:t xml:space="preserve"> </w:t>
      </w:r>
    </w:p>
    <w:p w14:paraId="7E6969E6" w14:textId="65FB4178" w:rsidR="008369E9" w:rsidRDefault="00994A53" w:rsidP="004A3E19">
      <w:pPr>
        <w:pStyle w:val="Ttulo1"/>
        <w:spacing w:before="240" w:after="240" w:line="240" w:lineRule="auto"/>
        <w:jc w:val="both"/>
        <w:rPr>
          <w:rFonts w:ascii="ITC Avant Garde" w:hAnsi="ITC Avant Garde"/>
          <w:color w:val="000000" w:themeColor="text1"/>
          <w:sz w:val="22"/>
          <w:szCs w:val="22"/>
        </w:rPr>
      </w:pPr>
      <w:r w:rsidRPr="00690809">
        <w:rPr>
          <w:rFonts w:ascii="ITC Avant Garde" w:hAnsi="ITC Avant Garde"/>
          <w:color w:val="000000" w:themeColor="text1"/>
          <w:sz w:val="22"/>
          <w:szCs w:val="22"/>
        </w:rPr>
        <w:lastRenderedPageBreak/>
        <w:t xml:space="preserve">RESOLUCIÓN POR LA QUE EL PLENO DEL INSTITUTO FEDERAL DE TELECOMUNICACIONES ESTABLECE LOS PARÁMETROS DEL SISTEMA DE PRECIOS TOPE DE CONFORMIDAD CON LA MEDIDA CUADRAGÉSIMA </w:t>
      </w:r>
      <w:r w:rsidR="001522C1" w:rsidRPr="00690809">
        <w:rPr>
          <w:rFonts w:ascii="ITC Avant Garde" w:hAnsi="ITC Avant Garde"/>
          <w:color w:val="000000" w:themeColor="text1"/>
          <w:sz w:val="22"/>
          <w:szCs w:val="22"/>
        </w:rPr>
        <w:t xml:space="preserve">DEL ANEXO 2 DE LA RESOLUCIÓN DE PREPONDERANCIA </w:t>
      </w:r>
      <w:r w:rsidRPr="00690809">
        <w:rPr>
          <w:rFonts w:ascii="ITC Avant Garde" w:hAnsi="ITC Avant Garde"/>
          <w:color w:val="000000" w:themeColor="text1"/>
          <w:sz w:val="22"/>
          <w:szCs w:val="22"/>
        </w:rPr>
        <w:t>APLICABLE AL AGENTE ECON</w:t>
      </w:r>
      <w:r w:rsidR="002470D2" w:rsidRPr="00690809">
        <w:rPr>
          <w:rFonts w:ascii="ITC Avant Garde" w:hAnsi="ITC Avant Garde"/>
          <w:color w:val="000000" w:themeColor="text1"/>
          <w:sz w:val="22"/>
          <w:szCs w:val="22"/>
        </w:rPr>
        <w:t>Ó</w:t>
      </w:r>
      <w:r w:rsidRPr="00690809">
        <w:rPr>
          <w:rFonts w:ascii="ITC Avant Garde" w:hAnsi="ITC Avant Garde"/>
          <w:color w:val="000000" w:themeColor="text1"/>
          <w:sz w:val="22"/>
          <w:szCs w:val="22"/>
        </w:rPr>
        <w:t>MICO PREPONDERANTE</w:t>
      </w:r>
      <w:r w:rsidR="004D185C" w:rsidRPr="00690809">
        <w:rPr>
          <w:rFonts w:ascii="ITC Avant Garde" w:hAnsi="ITC Avant Garde"/>
          <w:color w:val="000000" w:themeColor="text1"/>
          <w:sz w:val="22"/>
          <w:szCs w:val="22"/>
        </w:rPr>
        <w:t xml:space="preserve"> </w:t>
      </w:r>
      <w:r w:rsidR="009F24D8" w:rsidRPr="00690809">
        <w:rPr>
          <w:rFonts w:ascii="ITC Avant Garde" w:hAnsi="ITC Avant Garde"/>
          <w:color w:val="000000" w:themeColor="text1"/>
          <w:sz w:val="22"/>
          <w:szCs w:val="22"/>
        </w:rPr>
        <w:t xml:space="preserve">EN EL SECTOR DE TELECOMUNICACIONES </w:t>
      </w:r>
      <w:r w:rsidR="004D185C" w:rsidRPr="00690809">
        <w:rPr>
          <w:rFonts w:ascii="ITC Avant Garde" w:hAnsi="ITC Avant Garde"/>
          <w:color w:val="000000" w:themeColor="text1"/>
          <w:sz w:val="22"/>
          <w:szCs w:val="22"/>
        </w:rPr>
        <w:t>PARA EL PERIODO 201</w:t>
      </w:r>
      <w:r w:rsidR="00E20072" w:rsidRPr="00690809">
        <w:rPr>
          <w:rFonts w:ascii="ITC Avant Garde" w:hAnsi="ITC Avant Garde"/>
          <w:color w:val="000000" w:themeColor="text1"/>
          <w:sz w:val="22"/>
          <w:szCs w:val="22"/>
        </w:rPr>
        <w:t>7</w:t>
      </w:r>
      <w:r w:rsidR="004D185C" w:rsidRPr="00690809">
        <w:rPr>
          <w:rFonts w:ascii="ITC Avant Garde" w:hAnsi="ITC Avant Garde"/>
          <w:color w:val="000000" w:themeColor="text1"/>
          <w:sz w:val="22"/>
          <w:szCs w:val="22"/>
        </w:rPr>
        <w:t>-201</w:t>
      </w:r>
      <w:r w:rsidR="00E20072" w:rsidRPr="00690809">
        <w:rPr>
          <w:rFonts w:ascii="ITC Avant Garde" w:hAnsi="ITC Avant Garde"/>
          <w:color w:val="000000" w:themeColor="text1"/>
          <w:sz w:val="22"/>
          <w:szCs w:val="22"/>
        </w:rPr>
        <w:t>8</w:t>
      </w:r>
      <w:r w:rsidRPr="00690809">
        <w:rPr>
          <w:rFonts w:ascii="ITC Avant Garde" w:hAnsi="ITC Avant Garde"/>
          <w:color w:val="000000" w:themeColor="text1"/>
          <w:sz w:val="22"/>
          <w:szCs w:val="22"/>
        </w:rPr>
        <w:t>.</w:t>
      </w:r>
    </w:p>
    <w:p w14:paraId="7123F29A" w14:textId="77777777" w:rsidR="008369E9" w:rsidRDefault="00994A53" w:rsidP="004A3E19">
      <w:pPr>
        <w:pStyle w:val="Ttulo2"/>
        <w:keepLines/>
        <w:spacing w:before="40" w:after="240"/>
        <w:jc w:val="center"/>
        <w:rPr>
          <w:rFonts w:ascii="ITC Avant Garde" w:hAnsi="ITC Avant Garde" w:cs="Arial"/>
          <w:b w:val="0"/>
          <w:bCs w:val="0"/>
        </w:rPr>
      </w:pPr>
      <w:r w:rsidRPr="004A3E19">
        <w:rPr>
          <w:rFonts w:ascii="ITC Avant Garde" w:eastAsiaTheme="majorEastAsia" w:hAnsi="ITC Avant Garde" w:cstheme="majorBidi"/>
          <w:bCs w:val="0"/>
          <w:i w:val="0"/>
          <w:iCs w:val="0"/>
          <w:color w:val="000000" w:themeColor="text1"/>
          <w:sz w:val="22"/>
          <w:szCs w:val="22"/>
        </w:rPr>
        <w:t>ANTECEDENTES</w:t>
      </w:r>
    </w:p>
    <w:p w14:paraId="3F33E7B0" w14:textId="77777777" w:rsidR="008369E9" w:rsidRDefault="008D0E63" w:rsidP="008369E9">
      <w:pPr>
        <w:pStyle w:val="Prrafodelista"/>
        <w:numPr>
          <w:ilvl w:val="0"/>
          <w:numId w:val="31"/>
        </w:numPr>
        <w:adjustRightInd w:val="0"/>
        <w:spacing w:before="480" w:after="240" w:line="240" w:lineRule="auto"/>
        <w:jc w:val="both"/>
        <w:rPr>
          <w:rFonts w:ascii="ITC Avant Garde" w:eastAsia="Times New Roman" w:hAnsi="ITC Avant Garde" w:cs="Arial"/>
          <w:bCs/>
        </w:rPr>
      </w:pPr>
      <w:r w:rsidRPr="004C52B2">
        <w:rPr>
          <w:rFonts w:ascii="ITC Avant Garde" w:eastAsia="Times New Roman" w:hAnsi="ITC Avant Garde" w:cs="Arial"/>
          <w:b/>
          <w:bCs/>
        </w:rPr>
        <w:t xml:space="preserve">Concesión de Teléfonos de México, S.A.B. de C.V. </w:t>
      </w:r>
      <w:r w:rsidRPr="004C52B2">
        <w:rPr>
          <w:rFonts w:ascii="ITC Avant Garde" w:eastAsia="Times New Roman" w:hAnsi="ITC Avant Garde" w:cs="Arial"/>
          <w:bCs/>
        </w:rPr>
        <w:t>El 10 de marzo de 1976, la Secretar</w:t>
      </w:r>
      <w:r w:rsidR="00DF565C" w:rsidRPr="004C52B2">
        <w:rPr>
          <w:rFonts w:ascii="ITC Avant Garde" w:eastAsia="Times New Roman" w:hAnsi="ITC Avant Garde" w:cs="Arial"/>
          <w:bCs/>
        </w:rPr>
        <w:t>í</w:t>
      </w:r>
      <w:r w:rsidRPr="004C52B2">
        <w:rPr>
          <w:rFonts w:ascii="ITC Avant Garde" w:eastAsia="Times New Roman" w:hAnsi="ITC Avant Garde" w:cs="Arial"/>
          <w:bCs/>
        </w:rPr>
        <w:t>a de Comunicaciones y Transportes (en lo sucesivo, la “Secretaría”), otorgó a Teléfonos de México, S.A.B. de C.V., (en lo sucesivo, “T</w:t>
      </w:r>
      <w:r w:rsidR="006D2D32" w:rsidRPr="004C52B2">
        <w:rPr>
          <w:rFonts w:ascii="ITC Avant Garde" w:eastAsia="Times New Roman" w:hAnsi="ITC Avant Garde" w:cs="Arial"/>
          <w:bCs/>
        </w:rPr>
        <w:t>elmex</w:t>
      </w:r>
      <w:r w:rsidRPr="004C52B2">
        <w:rPr>
          <w:rFonts w:ascii="ITC Avant Garde" w:eastAsia="Times New Roman" w:hAnsi="ITC Avant Garde" w:cs="Arial"/>
          <w:bCs/>
        </w:rPr>
        <w:t xml:space="preserve">”), un título de concesión para construir, operar y explotar una red de servicio público telefónico. </w:t>
      </w:r>
    </w:p>
    <w:p w14:paraId="13AD692B" w14:textId="77777777" w:rsidR="008369E9" w:rsidRDefault="008D0E63" w:rsidP="008369E9">
      <w:pPr>
        <w:pStyle w:val="Prrafodelista"/>
        <w:adjustRightInd w:val="0"/>
        <w:spacing w:before="480" w:after="240" w:line="240" w:lineRule="auto"/>
        <w:ind w:left="1080"/>
        <w:jc w:val="both"/>
        <w:rPr>
          <w:rFonts w:ascii="ITC Avant Garde" w:eastAsia="Times New Roman" w:hAnsi="ITC Avant Garde" w:cs="Arial"/>
          <w:bCs/>
        </w:rPr>
      </w:pPr>
      <w:r w:rsidRPr="004C52B2">
        <w:rPr>
          <w:rFonts w:ascii="ITC Avant Garde" w:eastAsia="Times New Roman" w:hAnsi="ITC Avant Garde" w:cs="Arial"/>
          <w:bCs/>
        </w:rPr>
        <w:t>El 10 de diciembre de 1990, se publicó en el Diario Oficial de la Federación (en lo sucesivo, el “DOF”) la “Modificación al Título de Concesión de Teléfonos de México S.A. de C.V.”, para construir, instalar, mantener, operar y explotar una red pública telefónica por un periodo de 50 años a partir del 10 de marzo de 1976 con cobertura en todo el territorio nacional, con excepción del área concesionada a Teléfonos del Noroeste, S.A, de C.V. (en lo sucesivo, el “Título de Concesión de T</w:t>
      </w:r>
      <w:r w:rsidR="006D2D32" w:rsidRPr="004C52B2">
        <w:rPr>
          <w:rFonts w:ascii="ITC Avant Garde" w:eastAsia="Times New Roman" w:hAnsi="ITC Avant Garde" w:cs="Arial"/>
          <w:bCs/>
        </w:rPr>
        <w:t>elmex</w:t>
      </w:r>
      <w:r w:rsidRPr="004C52B2">
        <w:rPr>
          <w:rFonts w:ascii="ITC Avant Garde" w:eastAsia="Times New Roman" w:hAnsi="ITC Avant Garde" w:cs="Arial"/>
          <w:bCs/>
        </w:rPr>
        <w:t>”).</w:t>
      </w:r>
    </w:p>
    <w:p w14:paraId="1AC4C086" w14:textId="77777777" w:rsidR="008369E9" w:rsidRDefault="008D0E63" w:rsidP="008369E9">
      <w:pPr>
        <w:pStyle w:val="Prrafodelista"/>
        <w:numPr>
          <w:ilvl w:val="0"/>
          <w:numId w:val="31"/>
        </w:numPr>
        <w:adjustRightInd w:val="0"/>
        <w:spacing w:before="480" w:after="240" w:line="240" w:lineRule="auto"/>
        <w:jc w:val="both"/>
        <w:rPr>
          <w:rFonts w:ascii="ITC Avant Garde" w:eastAsia="Times New Roman" w:hAnsi="ITC Avant Garde" w:cs="Arial"/>
          <w:bCs/>
        </w:rPr>
      </w:pPr>
      <w:r w:rsidRPr="004C52B2">
        <w:rPr>
          <w:rFonts w:ascii="ITC Avant Garde" w:eastAsia="Times New Roman" w:hAnsi="ITC Avant Garde" w:cs="Arial"/>
          <w:b/>
          <w:bCs/>
        </w:rPr>
        <w:t xml:space="preserve">Concesión de Teléfonos del Noroeste, S.A. de C.V. </w:t>
      </w:r>
      <w:r w:rsidRPr="004C52B2">
        <w:rPr>
          <w:rFonts w:ascii="ITC Avant Garde" w:eastAsia="Times New Roman" w:hAnsi="ITC Avant Garde" w:cs="Arial"/>
          <w:bCs/>
        </w:rPr>
        <w:t xml:space="preserve">El 26 de mayo de 1980, la Secretaría otorgó a Teléfonos del Noroeste, S.A. de C.V. (en lo sucesivo, </w:t>
      </w:r>
      <w:r w:rsidR="00E718CC">
        <w:rPr>
          <w:rFonts w:ascii="ITC Avant Garde" w:eastAsia="Times New Roman" w:hAnsi="ITC Avant Garde" w:cs="Arial"/>
          <w:bCs/>
        </w:rPr>
        <w:t>“</w:t>
      </w:r>
      <w:r w:rsidRPr="004C52B2">
        <w:rPr>
          <w:rFonts w:ascii="ITC Avant Garde" w:eastAsia="Times New Roman" w:hAnsi="ITC Avant Garde" w:cs="Arial"/>
          <w:bCs/>
        </w:rPr>
        <w:t>T</w:t>
      </w:r>
      <w:r w:rsidR="002B151D" w:rsidRPr="004C52B2">
        <w:rPr>
          <w:rFonts w:ascii="ITC Avant Garde" w:eastAsia="Times New Roman" w:hAnsi="ITC Avant Garde" w:cs="Arial"/>
          <w:bCs/>
        </w:rPr>
        <w:t>elnor</w:t>
      </w:r>
      <w:r w:rsidR="00E718CC">
        <w:rPr>
          <w:rFonts w:ascii="ITC Avant Garde" w:eastAsia="Times New Roman" w:hAnsi="ITC Avant Garde" w:cs="Arial"/>
          <w:bCs/>
        </w:rPr>
        <w:t>”</w:t>
      </w:r>
      <w:r w:rsidRPr="004C52B2">
        <w:rPr>
          <w:rFonts w:ascii="ITC Avant Garde" w:eastAsia="Times New Roman" w:hAnsi="ITC Avant Garde" w:cs="Arial"/>
          <w:bCs/>
        </w:rPr>
        <w:t xml:space="preserve">), un título de concesión para construir, operar y explotar una red de servicio telefónico público. El 10 de diciembre de 1990, se otorgó la </w:t>
      </w:r>
      <w:r w:rsidR="00E718CC">
        <w:rPr>
          <w:rFonts w:ascii="ITC Avant Garde" w:eastAsia="Times New Roman" w:hAnsi="ITC Avant Garde" w:cs="Arial"/>
          <w:bCs/>
        </w:rPr>
        <w:t>“</w:t>
      </w:r>
      <w:r w:rsidRPr="004C52B2">
        <w:rPr>
          <w:rFonts w:ascii="ITC Avant Garde" w:eastAsia="Times New Roman" w:hAnsi="ITC Avant Garde" w:cs="Arial"/>
          <w:bCs/>
        </w:rPr>
        <w:t>Modificación al Título de Concesión de Teléfonos del Noroeste, S.A. de C.V.</w:t>
      </w:r>
      <w:r w:rsidR="00E718CC">
        <w:rPr>
          <w:rFonts w:ascii="ITC Avant Garde" w:eastAsia="Times New Roman" w:hAnsi="ITC Avant Garde" w:cs="Arial"/>
          <w:bCs/>
        </w:rPr>
        <w:t>”</w:t>
      </w:r>
      <w:r w:rsidRPr="004C52B2">
        <w:rPr>
          <w:rFonts w:ascii="ITC Avant Garde" w:eastAsia="Times New Roman" w:hAnsi="ITC Avant Garde" w:cs="Arial"/>
          <w:bCs/>
        </w:rPr>
        <w:t xml:space="preserve">, para construir, instalar, mantener, operar y explotar una red pública telefónica por un periodo de cuarenta y seis (46) años contados a partir del 26 de mayo de 1980, con cobertura en el </w:t>
      </w:r>
      <w:r w:rsidR="00E718CC">
        <w:rPr>
          <w:rFonts w:ascii="ITC Avant Garde" w:eastAsia="Times New Roman" w:hAnsi="ITC Avant Garde" w:cs="Arial"/>
          <w:bCs/>
        </w:rPr>
        <w:t>e</w:t>
      </w:r>
      <w:r w:rsidRPr="004C52B2">
        <w:rPr>
          <w:rFonts w:ascii="ITC Avant Garde" w:eastAsia="Times New Roman" w:hAnsi="ITC Avant Garde" w:cs="Arial"/>
          <w:bCs/>
        </w:rPr>
        <w:t xml:space="preserve">stado de Baja California Norte, el Municipio de San Luis Río Colorado y la Ciudad de </w:t>
      </w:r>
      <w:proofErr w:type="spellStart"/>
      <w:r w:rsidRPr="004C52B2">
        <w:rPr>
          <w:rFonts w:ascii="ITC Avant Garde" w:eastAsia="Times New Roman" w:hAnsi="ITC Avant Garde" w:cs="Arial"/>
          <w:bCs/>
        </w:rPr>
        <w:t>Sonoita</w:t>
      </w:r>
      <w:proofErr w:type="spellEnd"/>
      <w:r w:rsidRPr="004C52B2">
        <w:rPr>
          <w:rFonts w:ascii="ITC Avant Garde" w:eastAsia="Times New Roman" w:hAnsi="ITC Avant Garde" w:cs="Arial"/>
          <w:bCs/>
        </w:rPr>
        <w:t xml:space="preserve"> y sus áreas aledañas, en el estado de Sonora (en lo sucesivo, el “Título de Concesión de T</w:t>
      </w:r>
      <w:r w:rsidR="002B151D" w:rsidRPr="004C52B2">
        <w:rPr>
          <w:rFonts w:ascii="ITC Avant Garde" w:eastAsia="Times New Roman" w:hAnsi="ITC Avant Garde" w:cs="Arial"/>
          <w:bCs/>
        </w:rPr>
        <w:t>elnor</w:t>
      </w:r>
      <w:r w:rsidRPr="004C52B2">
        <w:rPr>
          <w:rFonts w:ascii="ITC Avant Garde" w:eastAsia="Times New Roman" w:hAnsi="ITC Avant Garde" w:cs="Arial"/>
          <w:bCs/>
        </w:rPr>
        <w:t>”).</w:t>
      </w:r>
    </w:p>
    <w:p w14:paraId="5900428C" w14:textId="77777777" w:rsidR="008369E9" w:rsidRDefault="008D0E63" w:rsidP="008369E9">
      <w:pPr>
        <w:pStyle w:val="Prrafodelista"/>
        <w:adjustRightInd w:val="0"/>
        <w:spacing w:before="480" w:after="240" w:line="240" w:lineRule="auto"/>
        <w:ind w:left="1080"/>
        <w:jc w:val="both"/>
        <w:rPr>
          <w:rFonts w:ascii="ITC Avant Garde" w:eastAsia="Times New Roman" w:hAnsi="ITC Avant Garde" w:cs="Arial"/>
          <w:bCs/>
        </w:rPr>
      </w:pPr>
      <w:r w:rsidRPr="0035673B">
        <w:rPr>
          <w:rFonts w:ascii="ITC Avant Garde" w:eastAsia="Times New Roman" w:hAnsi="ITC Avant Garde" w:cs="Arial"/>
          <w:bCs/>
        </w:rPr>
        <w:t>La condición 6-1 del Título de Concesión de T</w:t>
      </w:r>
      <w:r w:rsidR="002B151D" w:rsidRPr="0035673B">
        <w:rPr>
          <w:rFonts w:ascii="ITC Avant Garde" w:eastAsia="Times New Roman" w:hAnsi="ITC Avant Garde" w:cs="Arial"/>
          <w:bCs/>
        </w:rPr>
        <w:t>elnor</w:t>
      </w:r>
      <w:r w:rsidRPr="0035673B">
        <w:rPr>
          <w:rFonts w:ascii="ITC Avant Garde" w:eastAsia="Times New Roman" w:hAnsi="ITC Avant Garde" w:cs="Arial"/>
          <w:bCs/>
        </w:rPr>
        <w:t xml:space="preserve">, establece que mientras </w:t>
      </w:r>
      <w:r w:rsidRPr="004C52B2">
        <w:rPr>
          <w:rFonts w:ascii="ITC Avant Garde" w:eastAsia="Times New Roman" w:hAnsi="ITC Avant Garde" w:cs="Arial"/>
          <w:bCs/>
        </w:rPr>
        <w:t>T</w:t>
      </w:r>
      <w:r w:rsidR="002B151D" w:rsidRPr="004C52B2">
        <w:rPr>
          <w:rFonts w:ascii="ITC Avant Garde" w:eastAsia="Times New Roman" w:hAnsi="ITC Avant Garde" w:cs="Arial"/>
          <w:bCs/>
        </w:rPr>
        <w:t>elnor</w:t>
      </w:r>
      <w:r w:rsidRPr="004C52B2">
        <w:rPr>
          <w:rFonts w:ascii="ITC Avant Garde" w:eastAsia="Times New Roman" w:hAnsi="ITC Avant Garde" w:cs="Arial"/>
          <w:bCs/>
        </w:rPr>
        <w:t xml:space="preserve"> sea subsidiaria de T</w:t>
      </w:r>
      <w:r w:rsidR="006D2D32" w:rsidRPr="004C52B2">
        <w:rPr>
          <w:rFonts w:ascii="ITC Avant Garde" w:eastAsia="Times New Roman" w:hAnsi="ITC Avant Garde" w:cs="Arial"/>
          <w:bCs/>
        </w:rPr>
        <w:t>elmex</w:t>
      </w:r>
      <w:r w:rsidRPr="004C52B2">
        <w:rPr>
          <w:rFonts w:ascii="ITC Avant Garde" w:eastAsia="Times New Roman" w:hAnsi="ITC Avant Garde" w:cs="Arial"/>
          <w:bCs/>
        </w:rPr>
        <w:t>, las tarifas aplicables para cada servicio señalado en dicha condición, serán las tarifas equivalentes que cobre T</w:t>
      </w:r>
      <w:r w:rsidR="006D2D32" w:rsidRPr="004C52B2">
        <w:rPr>
          <w:rFonts w:ascii="ITC Avant Garde" w:eastAsia="Times New Roman" w:hAnsi="ITC Avant Garde" w:cs="Arial"/>
          <w:bCs/>
        </w:rPr>
        <w:t>elmex</w:t>
      </w:r>
      <w:r w:rsidRPr="004C52B2">
        <w:rPr>
          <w:rFonts w:ascii="ITC Avant Garde" w:eastAsia="Times New Roman" w:hAnsi="ITC Avant Garde" w:cs="Arial"/>
          <w:bCs/>
        </w:rPr>
        <w:t xml:space="preserve"> conforme al </w:t>
      </w:r>
      <w:r w:rsidR="009744B9">
        <w:rPr>
          <w:rFonts w:ascii="ITC Avant Garde" w:eastAsia="Times New Roman" w:hAnsi="ITC Avant Garde" w:cs="Arial"/>
          <w:bCs/>
        </w:rPr>
        <w:t>C</w:t>
      </w:r>
      <w:r w:rsidRPr="004C52B2">
        <w:rPr>
          <w:rFonts w:ascii="ITC Avant Garde" w:eastAsia="Times New Roman" w:hAnsi="ITC Avant Garde" w:cs="Arial"/>
          <w:bCs/>
        </w:rPr>
        <w:t>apítulo 6 de su Título de Concesión.</w:t>
      </w:r>
    </w:p>
    <w:p w14:paraId="4F301429" w14:textId="77777777" w:rsidR="008369E9" w:rsidRDefault="00994A53" w:rsidP="008369E9">
      <w:pPr>
        <w:pStyle w:val="Prrafodelista"/>
        <w:numPr>
          <w:ilvl w:val="0"/>
          <w:numId w:val="31"/>
        </w:numPr>
        <w:adjustRightInd w:val="0"/>
        <w:spacing w:before="480" w:after="240" w:line="240" w:lineRule="auto"/>
        <w:jc w:val="both"/>
        <w:rPr>
          <w:rFonts w:ascii="ITC Avant Garde" w:eastAsia="Times New Roman" w:hAnsi="ITC Avant Garde" w:cs="Arial"/>
          <w:b/>
          <w:bCs/>
        </w:rPr>
      </w:pPr>
      <w:r w:rsidRPr="004C52B2">
        <w:rPr>
          <w:rFonts w:ascii="ITC Avant Garde" w:eastAsia="Times New Roman" w:hAnsi="ITC Avant Garde" w:cs="Arial"/>
          <w:b/>
          <w:bCs/>
        </w:rPr>
        <w:t xml:space="preserve">Decreto de Reforma Constitucional en materia de </w:t>
      </w:r>
      <w:r w:rsidR="00E718CC">
        <w:rPr>
          <w:rFonts w:ascii="ITC Avant Garde" w:eastAsia="Times New Roman" w:hAnsi="ITC Avant Garde" w:cs="Arial"/>
          <w:b/>
          <w:bCs/>
        </w:rPr>
        <w:t>t</w:t>
      </w:r>
      <w:r w:rsidRPr="004C52B2">
        <w:rPr>
          <w:rFonts w:ascii="ITC Avant Garde" w:eastAsia="Times New Roman" w:hAnsi="ITC Avant Garde" w:cs="Arial"/>
          <w:b/>
          <w:bCs/>
        </w:rPr>
        <w:t xml:space="preserve">elecomunicaciones. </w:t>
      </w:r>
      <w:r w:rsidRPr="004C52B2">
        <w:rPr>
          <w:rFonts w:ascii="ITC Avant Garde" w:eastAsia="Times New Roman" w:hAnsi="ITC Avant Garde" w:cs="Arial"/>
          <w:bCs/>
        </w:rPr>
        <w:t>Con fecha 11 de junio de 2013, se publicó en el DOF el “Decreto por el que se reforman y adicionan diversas disposiciones de los artículos 6</w:t>
      </w:r>
      <w:r w:rsidR="009744B9">
        <w:rPr>
          <w:rFonts w:ascii="ITC Avant Garde" w:eastAsia="Times New Roman" w:hAnsi="ITC Avant Garde" w:cs="Arial"/>
          <w:bCs/>
        </w:rPr>
        <w:t>o.</w:t>
      </w:r>
      <w:r w:rsidRPr="004C52B2">
        <w:rPr>
          <w:rFonts w:ascii="ITC Avant Garde" w:eastAsia="Times New Roman" w:hAnsi="ITC Avant Garde" w:cs="Arial"/>
          <w:bCs/>
        </w:rPr>
        <w:t>, 7</w:t>
      </w:r>
      <w:r w:rsidR="009744B9">
        <w:rPr>
          <w:rFonts w:ascii="ITC Avant Garde" w:eastAsia="Times New Roman" w:hAnsi="ITC Avant Garde" w:cs="Arial"/>
          <w:bCs/>
        </w:rPr>
        <w:t>o.</w:t>
      </w:r>
      <w:r w:rsidRPr="004C52B2">
        <w:rPr>
          <w:rFonts w:ascii="ITC Avant Garde" w:eastAsia="Times New Roman" w:hAnsi="ITC Avant Garde" w:cs="Arial"/>
          <w:bCs/>
        </w:rPr>
        <w:t xml:space="preserve">, 27, 28, 73, 78, 94 y 105 de la Constitución Política de los Estados Unidos Mexicanos, en materia de telecomunicaciones” (en lo sucesivo, </w:t>
      </w:r>
      <w:r w:rsidR="005C58CE" w:rsidRPr="004C52B2">
        <w:rPr>
          <w:rFonts w:ascii="ITC Avant Garde" w:eastAsia="Times New Roman" w:hAnsi="ITC Avant Garde" w:cs="Arial"/>
          <w:bCs/>
        </w:rPr>
        <w:t>el “</w:t>
      </w:r>
      <w:r w:rsidRPr="004C52B2">
        <w:rPr>
          <w:rFonts w:ascii="ITC Avant Garde" w:eastAsia="Times New Roman" w:hAnsi="ITC Avant Garde" w:cs="Arial"/>
          <w:bCs/>
        </w:rPr>
        <w:t>Decreto Constitucional</w:t>
      </w:r>
      <w:r w:rsidR="005C58CE" w:rsidRPr="004C52B2">
        <w:rPr>
          <w:rFonts w:ascii="ITC Avant Garde" w:eastAsia="Times New Roman" w:hAnsi="ITC Avant Garde" w:cs="Arial"/>
          <w:bCs/>
        </w:rPr>
        <w:t>”</w:t>
      </w:r>
      <w:r w:rsidRPr="004C52B2">
        <w:rPr>
          <w:rFonts w:ascii="ITC Avant Garde" w:eastAsia="Times New Roman" w:hAnsi="ITC Avant Garde" w:cs="Arial"/>
          <w:bCs/>
        </w:rPr>
        <w:t xml:space="preserve">), mediante el cual se creó el Instituto Federal de Telecomunicaciones (en lo sucesivo, el </w:t>
      </w:r>
      <w:r w:rsidR="005C58CE" w:rsidRPr="004C52B2">
        <w:rPr>
          <w:rFonts w:ascii="ITC Avant Garde" w:eastAsia="Times New Roman" w:hAnsi="ITC Avant Garde" w:cs="Arial"/>
          <w:bCs/>
        </w:rPr>
        <w:t>“</w:t>
      </w:r>
      <w:r w:rsidRPr="004C52B2">
        <w:rPr>
          <w:rFonts w:ascii="ITC Avant Garde" w:eastAsia="Times New Roman" w:hAnsi="ITC Avant Garde" w:cs="Arial"/>
          <w:bCs/>
        </w:rPr>
        <w:t>Instituto</w:t>
      </w:r>
      <w:r w:rsidR="005C58CE" w:rsidRPr="004C52B2">
        <w:rPr>
          <w:rFonts w:ascii="ITC Avant Garde" w:eastAsia="Times New Roman" w:hAnsi="ITC Avant Garde" w:cs="Arial"/>
          <w:bCs/>
        </w:rPr>
        <w:t>”</w:t>
      </w:r>
      <w:r w:rsidRPr="004C52B2">
        <w:rPr>
          <w:rFonts w:ascii="ITC Avant Garde" w:eastAsia="Times New Roman" w:hAnsi="ITC Avant Garde" w:cs="Arial"/>
          <w:bCs/>
        </w:rPr>
        <w:t xml:space="preserve">), como un órgano autónomo con personalidad jurídica y patrimonio propios, cuyo objeto es regular, promover y supervisar el uso, </w:t>
      </w:r>
      <w:r w:rsidRPr="004C52B2">
        <w:rPr>
          <w:rFonts w:ascii="ITC Avant Garde" w:eastAsia="Times New Roman" w:hAnsi="ITC Avant Garde" w:cs="Arial"/>
          <w:bCs/>
        </w:rPr>
        <w:lastRenderedPageBreak/>
        <w:t>aprovechamiento y explotación del espectro radioeléctrico, las redes y la prestación de los servicios de radiodifusión y telecomunicaciones, además de ser la autoridad en materia de competencia económica en los sectores de los servicios antes aludidos.</w:t>
      </w:r>
    </w:p>
    <w:p w14:paraId="5A247985" w14:textId="77777777" w:rsidR="008369E9" w:rsidRDefault="00994A53" w:rsidP="008369E9">
      <w:pPr>
        <w:pStyle w:val="Prrafodelista"/>
        <w:numPr>
          <w:ilvl w:val="0"/>
          <w:numId w:val="31"/>
        </w:numPr>
        <w:adjustRightInd w:val="0"/>
        <w:spacing w:before="480" w:after="240" w:line="240" w:lineRule="auto"/>
        <w:jc w:val="both"/>
        <w:rPr>
          <w:rFonts w:ascii="ITC Avant Garde" w:eastAsia="Times New Roman" w:hAnsi="ITC Avant Garde" w:cs="Arial"/>
          <w:b/>
          <w:bCs/>
        </w:rPr>
      </w:pPr>
      <w:r w:rsidRPr="004C52B2">
        <w:rPr>
          <w:rFonts w:ascii="ITC Avant Garde" w:eastAsia="Times New Roman" w:hAnsi="ITC Avant Garde" w:cs="Arial"/>
          <w:b/>
          <w:bCs/>
        </w:rPr>
        <w:t xml:space="preserve">Integración del Instituto. </w:t>
      </w:r>
      <w:r w:rsidRPr="004C52B2">
        <w:rPr>
          <w:rFonts w:ascii="ITC Avant Garde" w:eastAsia="Times New Roman" w:hAnsi="ITC Avant Garde" w:cs="Arial"/>
          <w:bCs/>
        </w:rPr>
        <w:t xml:space="preserve">Con fecha 10 de septiembre de 2013, fue integrado el Instituto, en términos de lo dispuesto por el artículo Sexto </w:t>
      </w:r>
      <w:r w:rsidR="00E206FD" w:rsidRPr="004C52B2">
        <w:rPr>
          <w:rFonts w:ascii="ITC Avant Garde" w:eastAsia="Times New Roman" w:hAnsi="ITC Avant Garde" w:cs="Arial"/>
          <w:bCs/>
        </w:rPr>
        <w:t>T</w:t>
      </w:r>
      <w:r w:rsidRPr="004C52B2">
        <w:rPr>
          <w:rFonts w:ascii="ITC Avant Garde" w:eastAsia="Times New Roman" w:hAnsi="ITC Avant Garde" w:cs="Arial"/>
          <w:bCs/>
        </w:rPr>
        <w:t>ransitorio del Decreto Constitucional, mediante la ratificación por parte del Senado de la República de los nombramientos de los Comisionados que integran su órgano de gobierno y la designación de su Presidente.</w:t>
      </w:r>
    </w:p>
    <w:p w14:paraId="503BBDD7" w14:textId="77777777" w:rsidR="008369E9" w:rsidRDefault="00994A53" w:rsidP="008369E9">
      <w:pPr>
        <w:pStyle w:val="Prrafodelista"/>
        <w:numPr>
          <w:ilvl w:val="0"/>
          <w:numId w:val="31"/>
        </w:numPr>
        <w:adjustRightInd w:val="0"/>
        <w:spacing w:before="480" w:after="240" w:line="240" w:lineRule="auto"/>
        <w:jc w:val="both"/>
        <w:rPr>
          <w:rFonts w:ascii="ITC Avant Garde" w:eastAsia="Times New Roman" w:hAnsi="ITC Avant Garde" w:cs="Arial"/>
          <w:b/>
          <w:bCs/>
        </w:rPr>
      </w:pPr>
      <w:r w:rsidRPr="004C52B2">
        <w:rPr>
          <w:rFonts w:ascii="ITC Avant Garde" w:eastAsia="Times New Roman" w:hAnsi="ITC Avant Garde" w:cs="Arial"/>
          <w:b/>
          <w:bCs/>
        </w:rPr>
        <w:t xml:space="preserve">Resolución de </w:t>
      </w:r>
      <w:r w:rsidR="00A35D7F">
        <w:rPr>
          <w:rFonts w:ascii="ITC Avant Garde" w:eastAsia="Times New Roman" w:hAnsi="ITC Avant Garde" w:cs="Arial"/>
          <w:b/>
          <w:bCs/>
        </w:rPr>
        <w:t>P</w:t>
      </w:r>
      <w:r w:rsidRPr="004C52B2">
        <w:rPr>
          <w:rFonts w:ascii="ITC Avant Garde" w:eastAsia="Times New Roman" w:hAnsi="ITC Avant Garde" w:cs="Arial"/>
          <w:b/>
          <w:bCs/>
        </w:rPr>
        <w:t xml:space="preserve">reponderancia. </w:t>
      </w:r>
      <w:r w:rsidRPr="004C52B2">
        <w:rPr>
          <w:rFonts w:ascii="ITC Avant Garde" w:eastAsia="Times New Roman" w:hAnsi="ITC Avant Garde" w:cs="Arial"/>
          <w:bCs/>
        </w:rPr>
        <w:t>Con fecha 6 de marzo de 2014,</w:t>
      </w:r>
      <w:r w:rsidR="00A35D7F">
        <w:rPr>
          <w:rFonts w:ascii="ITC Avant Garde" w:eastAsia="Times New Roman" w:hAnsi="ITC Avant Garde" w:cs="Arial"/>
          <w:bCs/>
        </w:rPr>
        <w:t xml:space="preserve"> </w:t>
      </w:r>
      <w:r w:rsidRPr="004C52B2">
        <w:rPr>
          <w:rFonts w:ascii="ITC Avant Garde" w:eastAsia="Times New Roman" w:hAnsi="ITC Avant Garde" w:cs="Arial"/>
          <w:bCs/>
        </w:rPr>
        <w:t xml:space="preserve">el Pleno </w:t>
      </w:r>
      <w:r w:rsidR="00E718CC">
        <w:rPr>
          <w:rFonts w:ascii="ITC Avant Garde" w:eastAsia="Times New Roman" w:hAnsi="ITC Avant Garde" w:cs="Arial"/>
          <w:bCs/>
        </w:rPr>
        <w:t xml:space="preserve">del Instituto </w:t>
      </w:r>
      <w:r w:rsidRPr="004C52B2">
        <w:rPr>
          <w:rFonts w:ascii="ITC Avant Garde" w:eastAsia="Times New Roman" w:hAnsi="ITC Avant Garde" w:cs="Arial"/>
          <w:bCs/>
        </w:rPr>
        <w:t xml:space="preserve">en su V Sesión Extraordinaria, aprobó mediante acuerdo P/IFT/EXT/060314/76 la </w:t>
      </w:r>
      <w:r w:rsidR="009744B9">
        <w:rPr>
          <w:rFonts w:ascii="ITC Avant Garde" w:eastAsia="Times New Roman" w:hAnsi="ITC Avant Garde" w:cs="Arial"/>
          <w:bCs/>
        </w:rPr>
        <w:t>“</w:t>
      </w:r>
      <w:r w:rsidRPr="004C52B2">
        <w:rPr>
          <w:rFonts w:ascii="ITC Avant Garde" w:eastAsia="Times New Roman" w:hAnsi="ITC Avant Garde" w:cs="Arial"/>
          <w:bCs/>
        </w:rPr>
        <w:t xml:space="preserve">Resolución mediante la cual </w:t>
      </w:r>
      <w:r w:rsidR="009676D3" w:rsidRPr="004C52B2">
        <w:rPr>
          <w:rFonts w:ascii="ITC Avant Garde" w:eastAsia="Times New Roman" w:hAnsi="ITC Avant Garde" w:cs="Arial"/>
          <w:bCs/>
        </w:rPr>
        <w:t xml:space="preserve">el Pleno del Instituto Federal de Telecomunicaciones </w:t>
      </w:r>
      <w:r w:rsidRPr="004C52B2">
        <w:rPr>
          <w:rFonts w:ascii="ITC Avant Garde" w:eastAsia="Times New Roman" w:hAnsi="ITC Avant Garde" w:cs="Arial"/>
          <w:bCs/>
        </w:rPr>
        <w:t xml:space="preserve">determina al grupo de interés económico del que forman parte América Móvil, S.A.B. de C.V., Teléfonos de México, S.A.B. de C.V., Teléfonos del Noroeste, S.A. de C. V., </w:t>
      </w:r>
      <w:proofErr w:type="spellStart"/>
      <w:r w:rsidRPr="004C52B2">
        <w:rPr>
          <w:rFonts w:ascii="ITC Avant Garde" w:eastAsia="Times New Roman" w:hAnsi="ITC Avant Garde" w:cs="Arial"/>
          <w:bCs/>
        </w:rPr>
        <w:t>Radiomóv</w:t>
      </w:r>
      <w:r w:rsidR="00E206FD" w:rsidRPr="004C52B2">
        <w:rPr>
          <w:rFonts w:ascii="ITC Avant Garde" w:eastAsia="Times New Roman" w:hAnsi="ITC Avant Garde" w:cs="Arial"/>
          <w:bCs/>
        </w:rPr>
        <w:t>i</w:t>
      </w:r>
      <w:r w:rsidRPr="004C52B2">
        <w:rPr>
          <w:rFonts w:ascii="ITC Avant Garde" w:eastAsia="Times New Roman" w:hAnsi="ITC Avant Garde" w:cs="Arial"/>
          <w:bCs/>
        </w:rPr>
        <w:t>l</w:t>
      </w:r>
      <w:proofErr w:type="spellEnd"/>
      <w:r w:rsidRPr="004C52B2">
        <w:rPr>
          <w:rFonts w:ascii="ITC Avant Garde" w:eastAsia="Times New Roman" w:hAnsi="ITC Avant Garde" w:cs="Arial"/>
          <w:bCs/>
        </w:rPr>
        <w:t xml:space="preserve"> </w:t>
      </w:r>
      <w:proofErr w:type="spellStart"/>
      <w:r w:rsidRPr="004C52B2">
        <w:rPr>
          <w:rFonts w:ascii="ITC Avant Garde" w:eastAsia="Times New Roman" w:hAnsi="ITC Avant Garde" w:cs="Arial"/>
          <w:bCs/>
        </w:rPr>
        <w:t>Dipsa</w:t>
      </w:r>
      <w:proofErr w:type="spellEnd"/>
      <w:r w:rsidRPr="004C52B2">
        <w:rPr>
          <w:rFonts w:ascii="ITC Avant Garde" w:eastAsia="Times New Roman" w:hAnsi="ITC Avant Garde" w:cs="Arial"/>
          <w:bCs/>
        </w:rPr>
        <w:t>, S.A.B. de C. V., Grupo C</w:t>
      </w:r>
      <w:r w:rsidR="00E206FD" w:rsidRPr="004C52B2">
        <w:rPr>
          <w:rFonts w:ascii="ITC Avant Garde" w:eastAsia="Times New Roman" w:hAnsi="ITC Avant Garde" w:cs="Arial"/>
          <w:bCs/>
        </w:rPr>
        <w:t>a</w:t>
      </w:r>
      <w:r w:rsidRPr="004C52B2">
        <w:rPr>
          <w:rFonts w:ascii="ITC Avant Garde" w:eastAsia="Times New Roman" w:hAnsi="ITC Avant Garde" w:cs="Arial"/>
          <w:bCs/>
        </w:rPr>
        <w:t xml:space="preserve">rso, S.A.B. de C.V., y Grupo Financiero </w:t>
      </w:r>
      <w:proofErr w:type="spellStart"/>
      <w:r w:rsidRPr="004C52B2">
        <w:rPr>
          <w:rFonts w:ascii="ITC Avant Garde" w:eastAsia="Times New Roman" w:hAnsi="ITC Avant Garde" w:cs="Arial"/>
          <w:bCs/>
        </w:rPr>
        <w:t>lnbursa</w:t>
      </w:r>
      <w:proofErr w:type="spellEnd"/>
      <w:r w:rsidRPr="004C52B2">
        <w:rPr>
          <w:rFonts w:ascii="ITC Avant Garde" w:eastAsia="Times New Roman" w:hAnsi="ITC Avant Garde" w:cs="Arial"/>
          <w:bCs/>
        </w:rPr>
        <w:t>, S.A.B. de C.V., como agente económico preponderante en el sector de telecomunicaciones y le impone las medidas necesarias para evitar que se afecte la competencia y la libre concurrencia.</w:t>
      </w:r>
      <w:r w:rsidR="009744B9">
        <w:rPr>
          <w:rFonts w:ascii="ITC Avant Garde" w:eastAsia="Times New Roman" w:hAnsi="ITC Avant Garde" w:cs="Arial"/>
          <w:bCs/>
        </w:rPr>
        <w:t>”</w:t>
      </w:r>
      <w:r w:rsidR="00E206FD" w:rsidRPr="004C52B2">
        <w:rPr>
          <w:rFonts w:ascii="ITC Avant Garde" w:eastAsia="Times New Roman" w:hAnsi="ITC Avant Garde" w:cs="Arial"/>
          <w:bCs/>
        </w:rPr>
        <w:t xml:space="preserve"> (sic) </w:t>
      </w:r>
      <w:r w:rsidR="00303B3C" w:rsidRPr="004C52B2">
        <w:rPr>
          <w:rFonts w:ascii="ITC Avant Garde" w:eastAsia="Times New Roman" w:hAnsi="ITC Avant Garde" w:cs="Arial"/>
          <w:bCs/>
        </w:rPr>
        <w:t xml:space="preserve">(en lo sucesivo, la “Resolución de </w:t>
      </w:r>
      <w:r w:rsidR="00D934D1">
        <w:rPr>
          <w:rFonts w:ascii="ITC Avant Garde" w:eastAsia="Times New Roman" w:hAnsi="ITC Avant Garde" w:cs="Arial"/>
          <w:bCs/>
        </w:rPr>
        <w:t>Preponderancia</w:t>
      </w:r>
      <w:r w:rsidR="00303B3C" w:rsidRPr="004C52B2">
        <w:rPr>
          <w:rFonts w:ascii="ITC Avant Garde" w:eastAsia="Times New Roman" w:hAnsi="ITC Avant Garde" w:cs="Arial"/>
          <w:bCs/>
        </w:rPr>
        <w:t>”).</w:t>
      </w:r>
    </w:p>
    <w:p w14:paraId="4A63A69C" w14:textId="77777777" w:rsidR="008369E9" w:rsidRDefault="00994A53" w:rsidP="008369E9">
      <w:pPr>
        <w:pStyle w:val="Prrafodelista"/>
        <w:numPr>
          <w:ilvl w:val="0"/>
          <w:numId w:val="31"/>
        </w:numPr>
        <w:adjustRightInd w:val="0"/>
        <w:spacing w:before="480" w:after="240" w:line="240" w:lineRule="auto"/>
        <w:jc w:val="both"/>
        <w:rPr>
          <w:rFonts w:ascii="ITC Avant Garde" w:eastAsia="Times New Roman" w:hAnsi="ITC Avant Garde" w:cs="Arial"/>
          <w:bCs/>
        </w:rPr>
      </w:pPr>
      <w:r w:rsidRPr="004C52B2">
        <w:rPr>
          <w:rFonts w:ascii="ITC Avant Garde" w:eastAsia="Times New Roman" w:hAnsi="ITC Avant Garde" w:cs="Arial"/>
          <w:b/>
          <w:bCs/>
        </w:rPr>
        <w:t xml:space="preserve">Ley Federal de Telecomunicaciones y Radiodifusión. </w:t>
      </w:r>
      <w:r w:rsidRPr="004C52B2">
        <w:rPr>
          <w:rFonts w:ascii="ITC Avant Garde" w:eastAsia="Times New Roman" w:hAnsi="ITC Avant Garde" w:cs="Arial"/>
          <w:bCs/>
        </w:rPr>
        <w:t>El 14 de julio de 2014, fue publicado en el DOF el “Decreto por el que se expiden la Ley Federal de Telecomunicaciones y Radiodifusión, y la Ley del Sistema Público de Radiodifusión del Estado Mexicano; y se reforman, adicionan y derogan diversas disposiciones en materia de telecomunicaciones y radiodifusión”</w:t>
      </w:r>
      <w:r w:rsidR="00943641">
        <w:rPr>
          <w:rFonts w:ascii="ITC Avant Garde" w:eastAsia="Times New Roman" w:hAnsi="ITC Avant Garde" w:cs="Arial"/>
          <w:bCs/>
        </w:rPr>
        <w:t xml:space="preserve"> (en lo sucesivo, el “Decreto de Ley”),</w:t>
      </w:r>
      <w:r w:rsidRPr="004C52B2">
        <w:rPr>
          <w:rFonts w:ascii="ITC Avant Garde" w:eastAsia="Times New Roman" w:hAnsi="ITC Avant Garde" w:cs="Arial"/>
          <w:bCs/>
        </w:rPr>
        <w:t xml:space="preserve"> mediante el cual se expidió la Ley Federal de Telecomunicaciones y Radiodifusión (en lo sucesivo, la “LFTR”).</w:t>
      </w:r>
    </w:p>
    <w:p w14:paraId="295DD609" w14:textId="77777777" w:rsidR="008369E9" w:rsidRDefault="002632CB" w:rsidP="008369E9">
      <w:pPr>
        <w:pStyle w:val="Prrafodelista"/>
        <w:numPr>
          <w:ilvl w:val="0"/>
          <w:numId w:val="31"/>
        </w:numPr>
        <w:adjustRightInd w:val="0"/>
        <w:spacing w:before="480" w:after="240" w:line="240" w:lineRule="auto"/>
        <w:jc w:val="both"/>
        <w:rPr>
          <w:rFonts w:ascii="ITC Avant Garde" w:eastAsia="Times New Roman" w:hAnsi="ITC Avant Garde" w:cs="Arial"/>
          <w:bCs/>
        </w:rPr>
      </w:pPr>
      <w:r w:rsidRPr="004C52B2">
        <w:rPr>
          <w:rFonts w:ascii="ITC Avant Garde" w:eastAsia="Times New Roman" w:hAnsi="ITC Avant Garde" w:cs="Arial"/>
          <w:b/>
          <w:bCs/>
        </w:rPr>
        <w:t xml:space="preserve">Expedición del Estatuto Orgánico del Instituto. </w:t>
      </w:r>
      <w:r w:rsidRPr="004C52B2">
        <w:rPr>
          <w:rFonts w:ascii="ITC Avant Garde" w:eastAsia="Times New Roman" w:hAnsi="ITC Avant Garde" w:cs="Arial"/>
          <w:bCs/>
        </w:rPr>
        <w:t>El 4 de septiembre de 2014 se publicó en el DOF el “Estatuto Orgánico del Instituto Federal de Telecomunicaciones” (en lo sucesivo, el “Estatuto”), mismo que entró en vigor el 26 de septiembre de 2014</w:t>
      </w:r>
      <w:r w:rsidR="00124406" w:rsidRPr="004C52B2">
        <w:rPr>
          <w:rFonts w:ascii="ITC Avant Garde" w:eastAsia="Times New Roman" w:hAnsi="ITC Avant Garde" w:cs="Arial"/>
          <w:bCs/>
        </w:rPr>
        <w:t>, y cuya última modificación se publicó en el DOF el 17 de octubre de 2016</w:t>
      </w:r>
      <w:r w:rsidR="001528A0" w:rsidRPr="004C52B2">
        <w:rPr>
          <w:rFonts w:ascii="ITC Avant Garde" w:eastAsia="Times New Roman" w:hAnsi="ITC Avant Garde" w:cs="Arial"/>
          <w:bCs/>
        </w:rPr>
        <w:t>.</w:t>
      </w:r>
    </w:p>
    <w:p w14:paraId="7204440E" w14:textId="77777777" w:rsidR="008369E9" w:rsidRDefault="00994A53" w:rsidP="008369E9">
      <w:pPr>
        <w:pStyle w:val="Prrafodelista"/>
        <w:numPr>
          <w:ilvl w:val="0"/>
          <w:numId w:val="31"/>
        </w:numPr>
        <w:adjustRightInd w:val="0"/>
        <w:spacing w:before="480" w:after="240" w:line="240" w:lineRule="auto"/>
        <w:jc w:val="both"/>
        <w:rPr>
          <w:rFonts w:ascii="ITC Avant Garde" w:eastAsia="Times New Roman" w:hAnsi="ITC Avant Garde" w:cs="Arial"/>
          <w:b/>
          <w:bCs/>
        </w:rPr>
      </w:pPr>
      <w:r w:rsidRPr="004C52B2">
        <w:rPr>
          <w:rFonts w:ascii="ITC Avant Garde" w:eastAsia="Times New Roman" w:hAnsi="ITC Avant Garde" w:cs="Arial"/>
          <w:b/>
          <w:bCs/>
        </w:rPr>
        <w:t>Presentación de la propuesta de T</w:t>
      </w:r>
      <w:r w:rsidR="00C025AD" w:rsidRPr="004C52B2">
        <w:rPr>
          <w:rFonts w:ascii="ITC Avant Garde" w:eastAsia="Times New Roman" w:hAnsi="ITC Avant Garde" w:cs="Arial"/>
          <w:b/>
          <w:bCs/>
        </w:rPr>
        <w:t>elmex</w:t>
      </w:r>
      <w:r w:rsidRPr="004C52B2">
        <w:rPr>
          <w:rFonts w:ascii="ITC Avant Garde" w:eastAsia="Times New Roman" w:hAnsi="ITC Avant Garde" w:cs="Arial"/>
          <w:b/>
          <w:bCs/>
        </w:rPr>
        <w:t>.</w:t>
      </w:r>
      <w:r w:rsidRPr="004C52B2">
        <w:rPr>
          <w:rFonts w:ascii="ITC Avant Garde" w:eastAsia="Times New Roman" w:hAnsi="ITC Avant Garde" w:cs="Arial"/>
          <w:bCs/>
        </w:rPr>
        <w:t xml:space="preserve"> El 1 de julio de 201</w:t>
      </w:r>
      <w:r w:rsidR="009F4ECD" w:rsidRPr="004C52B2">
        <w:rPr>
          <w:rFonts w:ascii="ITC Avant Garde" w:eastAsia="Times New Roman" w:hAnsi="ITC Avant Garde" w:cs="Arial"/>
          <w:bCs/>
        </w:rPr>
        <w:t>6</w:t>
      </w:r>
      <w:r w:rsidRPr="004C52B2">
        <w:rPr>
          <w:rFonts w:ascii="ITC Avant Garde" w:eastAsia="Times New Roman" w:hAnsi="ITC Avant Garde" w:cs="Arial"/>
          <w:bCs/>
        </w:rPr>
        <w:t>, T</w:t>
      </w:r>
      <w:r w:rsidR="00C025AD" w:rsidRPr="004C52B2">
        <w:rPr>
          <w:rFonts w:ascii="ITC Avant Garde" w:eastAsia="Times New Roman" w:hAnsi="ITC Avant Garde" w:cs="Arial"/>
          <w:bCs/>
        </w:rPr>
        <w:t>elmex</w:t>
      </w:r>
      <w:r w:rsidRPr="004C52B2">
        <w:rPr>
          <w:rFonts w:ascii="ITC Avant Garde" w:eastAsia="Times New Roman" w:hAnsi="ITC Avant Garde" w:cs="Arial"/>
          <w:bCs/>
        </w:rPr>
        <w:t xml:space="preserve"> presentó el estudio técnico-económico, mediante el cual obtuvo el</w:t>
      </w:r>
      <w:r w:rsidR="009F4ECD" w:rsidRPr="004C52B2">
        <w:rPr>
          <w:rFonts w:ascii="ITC Avant Garde" w:eastAsia="Times New Roman" w:hAnsi="ITC Avant Garde" w:cs="Arial"/>
          <w:bCs/>
        </w:rPr>
        <w:t xml:space="preserve"> Factor </w:t>
      </w:r>
      <w:r w:rsidR="002D6143">
        <w:rPr>
          <w:rFonts w:ascii="ITC Avant Garde" w:eastAsia="Times New Roman" w:hAnsi="ITC Avant Garde" w:cs="Arial"/>
          <w:bCs/>
        </w:rPr>
        <w:t>de P</w:t>
      </w:r>
      <w:r w:rsidR="00E718CC">
        <w:rPr>
          <w:rFonts w:ascii="ITC Avant Garde" w:eastAsia="Times New Roman" w:hAnsi="ITC Avant Garde" w:cs="Arial"/>
          <w:bCs/>
        </w:rPr>
        <w:t xml:space="preserve">roductividad </w:t>
      </w:r>
      <w:r w:rsidR="009F4ECD" w:rsidRPr="004C52B2">
        <w:rPr>
          <w:rFonts w:ascii="ITC Avant Garde" w:eastAsia="Times New Roman" w:hAnsi="ITC Avant Garde" w:cs="Arial"/>
          <w:bCs/>
        </w:rPr>
        <w:t>“X” para el periodo 2017</w:t>
      </w:r>
      <w:r w:rsidRPr="004C52B2">
        <w:rPr>
          <w:rFonts w:ascii="ITC Avant Garde" w:eastAsia="Times New Roman" w:hAnsi="ITC Avant Garde" w:cs="Arial"/>
          <w:bCs/>
        </w:rPr>
        <w:t>-201</w:t>
      </w:r>
      <w:r w:rsidR="009F4ECD" w:rsidRPr="004C52B2">
        <w:rPr>
          <w:rFonts w:ascii="ITC Avant Garde" w:eastAsia="Times New Roman" w:hAnsi="ITC Avant Garde" w:cs="Arial"/>
          <w:bCs/>
        </w:rPr>
        <w:t>8</w:t>
      </w:r>
      <w:r w:rsidRPr="004C52B2">
        <w:rPr>
          <w:rFonts w:ascii="ITC Avant Garde" w:eastAsia="Times New Roman" w:hAnsi="ITC Avant Garde" w:cs="Arial"/>
          <w:bCs/>
        </w:rPr>
        <w:t>, bajo la metodología de la Productividad Total de los Factores, así como la propuesta de canasta que incluye el desglose de los servicios básicos controlados con la ponderación correspondiente.</w:t>
      </w:r>
      <w:r w:rsidRPr="004C52B2">
        <w:rPr>
          <w:rFonts w:ascii="ITC Avant Garde" w:eastAsia="Times New Roman" w:hAnsi="ITC Avant Garde" w:cs="Arial"/>
          <w:b/>
          <w:bCs/>
        </w:rPr>
        <w:t xml:space="preserve"> </w:t>
      </w:r>
    </w:p>
    <w:p w14:paraId="121FC0EE" w14:textId="77777777" w:rsidR="008369E9" w:rsidRDefault="00471A31" w:rsidP="008369E9">
      <w:pPr>
        <w:pStyle w:val="Prrafodelista"/>
        <w:numPr>
          <w:ilvl w:val="0"/>
          <w:numId w:val="31"/>
        </w:numPr>
        <w:adjustRightInd w:val="0"/>
        <w:spacing w:before="480" w:after="240" w:line="240" w:lineRule="auto"/>
        <w:jc w:val="both"/>
        <w:rPr>
          <w:rFonts w:ascii="ITC Avant Garde" w:eastAsia="Times New Roman" w:hAnsi="ITC Avant Garde" w:cs="Arial"/>
          <w:b/>
          <w:bCs/>
        </w:rPr>
      </w:pPr>
      <w:r w:rsidRPr="00F17AE3">
        <w:rPr>
          <w:rFonts w:ascii="ITC Avant Garde" w:eastAsia="Times New Roman" w:hAnsi="ITC Avant Garde" w:cs="Arial"/>
          <w:b/>
          <w:bCs/>
        </w:rPr>
        <w:t>Resolución</w:t>
      </w:r>
      <w:r w:rsidRPr="004C52B2">
        <w:rPr>
          <w:rFonts w:ascii="ITC Avant Garde" w:hAnsi="ITC Avant Garde"/>
          <w:b/>
          <w:bCs/>
        </w:rPr>
        <w:t xml:space="preserve"> de Precios Tope de 2015</w:t>
      </w:r>
      <w:r w:rsidR="00A53A6E">
        <w:rPr>
          <w:rFonts w:ascii="ITC Avant Garde" w:hAnsi="ITC Avant Garde"/>
          <w:b/>
          <w:bCs/>
        </w:rPr>
        <w:t>-2018</w:t>
      </w:r>
      <w:r w:rsidR="009F4ECD" w:rsidRPr="004C52B2">
        <w:rPr>
          <w:rFonts w:ascii="ITC Avant Garde" w:hAnsi="ITC Avant Garde"/>
          <w:b/>
          <w:bCs/>
        </w:rPr>
        <w:t xml:space="preserve"> </w:t>
      </w:r>
      <w:r w:rsidR="009F4ECD" w:rsidRPr="004C52B2">
        <w:rPr>
          <w:rFonts w:ascii="ITC Avant Garde" w:eastAsia="Times New Roman" w:hAnsi="ITC Avant Garde" w:cs="Arial"/>
          <w:b/>
          <w:bCs/>
        </w:rPr>
        <w:t>derivad</w:t>
      </w:r>
      <w:r w:rsidR="00E718CC">
        <w:rPr>
          <w:rFonts w:ascii="ITC Avant Garde" w:eastAsia="Times New Roman" w:hAnsi="ITC Avant Garde" w:cs="Arial"/>
          <w:b/>
          <w:bCs/>
        </w:rPr>
        <w:t>a</w:t>
      </w:r>
      <w:r w:rsidR="009F4ECD" w:rsidRPr="004C52B2">
        <w:rPr>
          <w:rFonts w:ascii="ITC Avant Garde" w:eastAsia="Times New Roman" w:hAnsi="ITC Avant Garde" w:cs="Arial"/>
          <w:b/>
          <w:bCs/>
        </w:rPr>
        <w:t xml:space="preserve"> del título de concesión</w:t>
      </w:r>
      <w:r w:rsidRPr="004C52B2">
        <w:rPr>
          <w:rFonts w:ascii="ITC Avant Garde" w:hAnsi="ITC Avant Garde"/>
          <w:b/>
          <w:bCs/>
        </w:rPr>
        <w:t xml:space="preserve">. </w:t>
      </w:r>
      <w:r w:rsidRPr="004C52B2">
        <w:rPr>
          <w:rFonts w:ascii="ITC Avant Garde" w:hAnsi="ITC Avant Garde"/>
        </w:rPr>
        <w:t xml:space="preserve">El 14 de julio de 2016, el Instituto emitió la “Resolución por la que el Pleno del Instituto Federal de Telecomunicaciones establece los parámetros del Sistema de Precios Tope aplicables a los servicios incluidos en la canasta de servicios básicos controlados de Teléfonos de México, S.A.B. de C.V. y Teléfonos del Noroeste, S.A. de C.V. para el periodo 2015-2018.”, en la cual se determinó que el nivel inicial de la canasta de los servicios básicos controlados sería de 0.0% </w:t>
      </w:r>
      <w:r w:rsidRPr="004C52B2">
        <w:rPr>
          <w:rFonts w:ascii="ITC Avant Garde" w:hAnsi="ITC Avant Garde"/>
        </w:rPr>
        <w:lastRenderedPageBreak/>
        <w:t>(cero punto cero por ciento) y se determinó un Factor de Ajuste por Productividad “X” de 1.39</w:t>
      </w:r>
      <w:r w:rsidR="0062755F">
        <w:rPr>
          <w:rFonts w:ascii="ITC Avant Garde" w:hAnsi="ITC Avant Garde"/>
        </w:rPr>
        <w:t>%</w:t>
      </w:r>
      <w:r w:rsidRPr="004C52B2">
        <w:rPr>
          <w:rFonts w:ascii="ITC Avant Garde" w:hAnsi="ITC Avant Garde"/>
        </w:rPr>
        <w:t xml:space="preserve"> (uno punto </w:t>
      </w:r>
      <w:r w:rsidR="001172A3" w:rsidRPr="004C52B2">
        <w:rPr>
          <w:rFonts w:ascii="ITC Avant Garde" w:hAnsi="ITC Avant Garde"/>
        </w:rPr>
        <w:t>treinta</w:t>
      </w:r>
      <w:r w:rsidRPr="004C52B2">
        <w:rPr>
          <w:rFonts w:ascii="ITC Avant Garde" w:hAnsi="ITC Avant Garde"/>
        </w:rPr>
        <w:t xml:space="preserve"> y nueve por ciento) anual</w:t>
      </w:r>
      <w:r w:rsidR="00B75A37">
        <w:rPr>
          <w:rFonts w:ascii="ITC Avant Garde" w:hAnsi="ITC Avant Garde"/>
        </w:rPr>
        <w:t>,</w:t>
      </w:r>
      <w:r w:rsidRPr="004C52B2">
        <w:rPr>
          <w:rFonts w:ascii="ITC Avant Garde" w:hAnsi="ITC Avant Garde"/>
        </w:rPr>
        <w:t xml:space="preserve"> </w:t>
      </w:r>
      <w:r w:rsidR="007E5E12" w:rsidRPr="004C52B2">
        <w:rPr>
          <w:rFonts w:ascii="ITC Avant Garde" w:hAnsi="ITC Avant Garde"/>
        </w:rPr>
        <w:t xml:space="preserve">vigente para </w:t>
      </w:r>
      <w:r w:rsidRPr="004C52B2">
        <w:rPr>
          <w:rFonts w:ascii="ITC Avant Garde" w:hAnsi="ITC Avant Garde"/>
        </w:rPr>
        <w:t>el período</w:t>
      </w:r>
      <w:r w:rsidR="007E5E12" w:rsidRPr="004C52B2">
        <w:rPr>
          <w:rFonts w:ascii="ITC Avant Garde" w:hAnsi="ITC Avant Garde"/>
        </w:rPr>
        <w:t xml:space="preserve"> del 1° de enero de</w:t>
      </w:r>
      <w:r w:rsidRPr="004C52B2">
        <w:rPr>
          <w:rFonts w:ascii="ITC Avant Garde" w:hAnsi="ITC Avant Garde"/>
        </w:rPr>
        <w:t xml:space="preserve"> 2015</w:t>
      </w:r>
      <w:r w:rsidR="007E5E12" w:rsidRPr="004C52B2">
        <w:rPr>
          <w:rFonts w:ascii="ITC Avant Garde" w:hAnsi="ITC Avant Garde"/>
        </w:rPr>
        <w:t xml:space="preserve"> al 31 de diciembre de</w:t>
      </w:r>
      <w:r w:rsidRPr="004C52B2">
        <w:rPr>
          <w:rFonts w:ascii="ITC Avant Garde" w:hAnsi="ITC Avant Garde"/>
        </w:rPr>
        <w:t xml:space="preserve"> 2018.</w:t>
      </w:r>
    </w:p>
    <w:p w14:paraId="1632A6DF" w14:textId="77777777" w:rsidR="008369E9" w:rsidRDefault="009F4ECD" w:rsidP="008369E9">
      <w:pPr>
        <w:pStyle w:val="Prrafodelista"/>
        <w:numPr>
          <w:ilvl w:val="0"/>
          <w:numId w:val="31"/>
        </w:numPr>
        <w:adjustRightInd w:val="0"/>
        <w:spacing w:before="480" w:after="240" w:line="240" w:lineRule="auto"/>
        <w:jc w:val="both"/>
        <w:rPr>
          <w:rFonts w:ascii="ITC Avant Garde" w:eastAsia="Times New Roman" w:hAnsi="ITC Avant Garde" w:cs="Arial"/>
          <w:b/>
          <w:bCs/>
        </w:rPr>
      </w:pPr>
      <w:r w:rsidRPr="004C52B2">
        <w:rPr>
          <w:rFonts w:ascii="ITC Avant Garde" w:eastAsia="Times New Roman" w:hAnsi="ITC Avant Garde" w:cs="Arial"/>
          <w:b/>
          <w:bCs/>
        </w:rPr>
        <w:t>Resolución de Precios Tope de 2015</w:t>
      </w:r>
      <w:r w:rsidR="00A53A6E">
        <w:rPr>
          <w:rFonts w:ascii="ITC Avant Garde" w:eastAsia="Times New Roman" w:hAnsi="ITC Avant Garde" w:cs="Arial"/>
          <w:b/>
          <w:bCs/>
        </w:rPr>
        <w:t>-2016</w:t>
      </w:r>
      <w:r w:rsidRPr="004C52B2">
        <w:rPr>
          <w:rFonts w:ascii="ITC Avant Garde" w:eastAsia="Times New Roman" w:hAnsi="ITC Avant Garde" w:cs="Arial"/>
          <w:b/>
          <w:bCs/>
        </w:rPr>
        <w:t xml:space="preserve"> derivad</w:t>
      </w:r>
      <w:r w:rsidR="00A53A6E">
        <w:rPr>
          <w:rFonts w:ascii="ITC Avant Garde" w:eastAsia="Times New Roman" w:hAnsi="ITC Avant Garde" w:cs="Arial"/>
          <w:b/>
          <w:bCs/>
        </w:rPr>
        <w:t>a</w:t>
      </w:r>
      <w:r w:rsidRPr="004C52B2">
        <w:rPr>
          <w:rFonts w:ascii="ITC Avant Garde" w:eastAsia="Times New Roman" w:hAnsi="ITC Avant Garde" w:cs="Arial"/>
          <w:b/>
          <w:bCs/>
        </w:rPr>
        <w:t xml:space="preserve"> de la </w:t>
      </w:r>
      <w:r w:rsidR="00E718CC">
        <w:rPr>
          <w:rFonts w:ascii="ITC Avant Garde" w:eastAsia="Times New Roman" w:hAnsi="ITC Avant Garde" w:cs="Arial"/>
          <w:b/>
          <w:bCs/>
        </w:rPr>
        <w:t>R</w:t>
      </w:r>
      <w:r w:rsidR="0062755F">
        <w:rPr>
          <w:rFonts w:ascii="ITC Avant Garde" w:eastAsia="Times New Roman" w:hAnsi="ITC Avant Garde" w:cs="Arial"/>
          <w:b/>
          <w:bCs/>
        </w:rPr>
        <w:t>esolución</w:t>
      </w:r>
      <w:r w:rsidR="0062755F" w:rsidRPr="004C52B2">
        <w:rPr>
          <w:rFonts w:ascii="ITC Avant Garde" w:eastAsia="Times New Roman" w:hAnsi="ITC Avant Garde" w:cs="Arial"/>
          <w:b/>
          <w:bCs/>
        </w:rPr>
        <w:t xml:space="preserve"> </w:t>
      </w:r>
      <w:r w:rsidRPr="004C52B2">
        <w:rPr>
          <w:rFonts w:ascii="ITC Avant Garde" w:eastAsia="Times New Roman" w:hAnsi="ITC Avant Garde" w:cs="Arial"/>
          <w:b/>
          <w:bCs/>
        </w:rPr>
        <w:t xml:space="preserve">de </w:t>
      </w:r>
      <w:r w:rsidR="00E718CC">
        <w:rPr>
          <w:rFonts w:ascii="ITC Avant Garde" w:eastAsia="Times New Roman" w:hAnsi="ITC Avant Garde" w:cs="Arial"/>
          <w:b/>
          <w:bCs/>
        </w:rPr>
        <w:t>P</w:t>
      </w:r>
      <w:r w:rsidRPr="004C52B2">
        <w:rPr>
          <w:rFonts w:ascii="ITC Avant Garde" w:eastAsia="Times New Roman" w:hAnsi="ITC Avant Garde" w:cs="Arial"/>
          <w:b/>
          <w:bCs/>
        </w:rPr>
        <w:t xml:space="preserve">reponderancia. </w:t>
      </w:r>
      <w:r w:rsidRPr="004C52B2">
        <w:rPr>
          <w:rFonts w:ascii="ITC Avant Garde" w:eastAsia="Times New Roman" w:hAnsi="ITC Avant Garde" w:cs="Arial"/>
          <w:bCs/>
        </w:rPr>
        <w:t xml:space="preserve">El 14 de julio de 2016, el Instituto emitió la “Resolución mediante la cual el pleno del Instituto Federal de Telecomunicaciones establece los parámetros del sistema de precios tope de conformidad con la medida cuadragésima aplicable al Agente Económico Preponderante para el periodo 2015-2016”, en la cual se determinó que el Factor de Ajuste por Productividad </w:t>
      </w:r>
      <w:r w:rsidR="0062755F">
        <w:rPr>
          <w:rFonts w:ascii="ITC Avant Garde" w:eastAsia="Times New Roman" w:hAnsi="ITC Avant Garde" w:cs="Arial"/>
          <w:bCs/>
        </w:rPr>
        <w:t>“</w:t>
      </w:r>
      <w:r w:rsidRPr="004C52B2">
        <w:rPr>
          <w:rFonts w:ascii="ITC Avant Garde" w:eastAsia="Times New Roman" w:hAnsi="ITC Avant Garde" w:cs="Arial"/>
          <w:bCs/>
        </w:rPr>
        <w:t>X</w:t>
      </w:r>
      <w:r w:rsidR="0062755F">
        <w:rPr>
          <w:rFonts w:ascii="ITC Avant Garde" w:eastAsia="Times New Roman" w:hAnsi="ITC Avant Garde" w:cs="Arial"/>
          <w:bCs/>
        </w:rPr>
        <w:t>”</w:t>
      </w:r>
      <w:r w:rsidRPr="004C52B2">
        <w:rPr>
          <w:rFonts w:ascii="ITC Avant Garde" w:eastAsia="Times New Roman" w:hAnsi="ITC Avant Garde" w:cs="Arial"/>
          <w:bCs/>
        </w:rPr>
        <w:t xml:space="preserve"> para establecer el límite máximo a la tarifa promedio ponderada de la canasta de servicios de telecomunicaciones fijos</w:t>
      </w:r>
      <w:r w:rsidR="0062755F">
        <w:rPr>
          <w:rFonts w:ascii="ITC Avant Garde" w:eastAsia="Times New Roman" w:hAnsi="ITC Avant Garde" w:cs="Arial"/>
          <w:bCs/>
        </w:rPr>
        <w:t xml:space="preserve"> </w:t>
      </w:r>
      <w:r w:rsidRPr="004C52B2">
        <w:rPr>
          <w:rFonts w:ascii="ITC Avant Garde" w:eastAsia="Times New Roman" w:hAnsi="ITC Avant Garde" w:cs="Arial"/>
          <w:bCs/>
        </w:rPr>
        <w:t>ser</w:t>
      </w:r>
      <w:r w:rsidR="0062755F">
        <w:rPr>
          <w:rFonts w:ascii="ITC Avant Garde" w:eastAsia="Times New Roman" w:hAnsi="ITC Avant Garde" w:cs="Arial"/>
          <w:bCs/>
        </w:rPr>
        <w:t>ía</w:t>
      </w:r>
      <w:r w:rsidRPr="004C52B2">
        <w:rPr>
          <w:rFonts w:ascii="ITC Avant Garde" w:eastAsia="Times New Roman" w:hAnsi="ITC Avant Garde" w:cs="Arial"/>
          <w:bCs/>
        </w:rPr>
        <w:t xml:space="preserve"> de 2.58% (dos punto cincuenta y ocho por ciento) anual y estar</w:t>
      </w:r>
      <w:r w:rsidR="0062755F">
        <w:rPr>
          <w:rFonts w:ascii="ITC Avant Garde" w:eastAsia="Times New Roman" w:hAnsi="ITC Avant Garde" w:cs="Arial"/>
          <w:bCs/>
        </w:rPr>
        <w:t>ía</w:t>
      </w:r>
      <w:r w:rsidRPr="004C52B2">
        <w:rPr>
          <w:rFonts w:ascii="ITC Avant Garde" w:eastAsia="Times New Roman" w:hAnsi="ITC Avant Garde" w:cs="Arial"/>
          <w:bCs/>
        </w:rPr>
        <w:t xml:space="preserve"> vigente hasta el 31 de diciembre de 2016.</w:t>
      </w:r>
    </w:p>
    <w:p w14:paraId="7ED4F285" w14:textId="77777777" w:rsidR="008369E9" w:rsidRDefault="002632CB" w:rsidP="008369E9">
      <w:pPr>
        <w:pStyle w:val="Prrafodelista"/>
        <w:numPr>
          <w:ilvl w:val="0"/>
          <w:numId w:val="31"/>
        </w:numPr>
        <w:adjustRightInd w:val="0"/>
        <w:spacing w:before="480" w:after="240" w:line="240" w:lineRule="auto"/>
        <w:jc w:val="both"/>
        <w:rPr>
          <w:rFonts w:ascii="ITC Avant Garde" w:eastAsia="Times New Roman" w:hAnsi="ITC Avant Garde"/>
          <w:bCs/>
          <w:lang w:eastAsia="es-MX"/>
        </w:rPr>
      </w:pPr>
      <w:r w:rsidRPr="00F17AE3">
        <w:rPr>
          <w:rFonts w:ascii="ITC Avant Garde" w:eastAsia="Times New Roman" w:hAnsi="ITC Avant Garde" w:cs="Arial"/>
          <w:b/>
          <w:bCs/>
        </w:rPr>
        <w:t>Primer</w:t>
      </w:r>
      <w:r w:rsidRPr="004C52B2">
        <w:rPr>
          <w:rFonts w:ascii="ITC Avant Garde" w:eastAsia="Times New Roman" w:hAnsi="ITC Avant Garde"/>
          <w:b/>
          <w:bCs/>
          <w:lang w:eastAsia="es-MX"/>
        </w:rPr>
        <w:t xml:space="preserve"> </w:t>
      </w:r>
      <w:r w:rsidR="007E7090">
        <w:rPr>
          <w:rFonts w:ascii="ITC Avant Garde" w:eastAsia="Times New Roman" w:hAnsi="ITC Avant Garde"/>
          <w:b/>
          <w:bCs/>
          <w:lang w:eastAsia="es-MX"/>
        </w:rPr>
        <w:t>r</w:t>
      </w:r>
      <w:r w:rsidRPr="004C52B2">
        <w:rPr>
          <w:rFonts w:ascii="ITC Avant Garde" w:eastAsia="Times New Roman" w:hAnsi="ITC Avant Garde"/>
          <w:b/>
          <w:bCs/>
          <w:lang w:eastAsia="es-MX"/>
        </w:rPr>
        <w:t xml:space="preserve">equerimiento de </w:t>
      </w:r>
      <w:r w:rsidR="007E7090">
        <w:rPr>
          <w:rFonts w:ascii="ITC Avant Garde" w:eastAsia="Times New Roman" w:hAnsi="ITC Avant Garde"/>
          <w:b/>
          <w:bCs/>
          <w:lang w:eastAsia="es-MX"/>
        </w:rPr>
        <w:t>i</w:t>
      </w:r>
      <w:r w:rsidRPr="004C52B2">
        <w:rPr>
          <w:rFonts w:ascii="ITC Avant Garde" w:eastAsia="Times New Roman" w:hAnsi="ITC Avant Garde"/>
          <w:b/>
          <w:bCs/>
          <w:lang w:eastAsia="es-MX"/>
        </w:rPr>
        <w:t>nformación.</w:t>
      </w:r>
      <w:r w:rsidRPr="004C52B2">
        <w:rPr>
          <w:rFonts w:ascii="ITC Avant Garde" w:eastAsia="Times New Roman" w:hAnsi="ITC Avant Garde"/>
          <w:bCs/>
          <w:lang w:eastAsia="es-MX"/>
        </w:rPr>
        <w:t xml:space="preserve"> El 10 de noviembre de 2016, mediante escrito IFT/22</w:t>
      </w:r>
      <w:r w:rsidR="005059FB" w:rsidRPr="004C52B2">
        <w:rPr>
          <w:rFonts w:ascii="ITC Avant Garde" w:eastAsia="Times New Roman" w:hAnsi="ITC Avant Garde"/>
          <w:bCs/>
          <w:lang w:eastAsia="es-MX"/>
        </w:rPr>
        <w:t xml:space="preserve">1/UPR/DG-DTR/256/2016 de fecha </w:t>
      </w:r>
      <w:r w:rsidRPr="004C52B2">
        <w:rPr>
          <w:rFonts w:ascii="ITC Avant Garde" w:eastAsia="Times New Roman" w:hAnsi="ITC Avant Garde"/>
          <w:bCs/>
          <w:lang w:eastAsia="es-MX"/>
        </w:rPr>
        <w:t xml:space="preserve">4 de noviembre de 2016, el Director General de Desarrollo de las Telecomunicaciones y la Radiodifusión de la Unidad de Política Regulatoria del Instituto, hizo del conocimiento de </w:t>
      </w:r>
      <w:r w:rsidR="0084384A" w:rsidRPr="004C52B2">
        <w:rPr>
          <w:rFonts w:ascii="ITC Avant Garde" w:eastAsia="Times New Roman" w:hAnsi="ITC Avant Garde"/>
          <w:bCs/>
          <w:lang w:eastAsia="es-MX"/>
        </w:rPr>
        <w:t>T</w:t>
      </w:r>
      <w:r w:rsidR="006D2D32" w:rsidRPr="004C52B2">
        <w:rPr>
          <w:rFonts w:ascii="ITC Avant Garde" w:eastAsia="Times New Roman" w:hAnsi="ITC Avant Garde"/>
          <w:bCs/>
          <w:lang w:eastAsia="es-MX"/>
        </w:rPr>
        <w:t>elmex</w:t>
      </w:r>
      <w:r w:rsidR="0084384A" w:rsidRPr="004C52B2">
        <w:rPr>
          <w:rFonts w:ascii="ITC Avant Garde" w:eastAsia="Times New Roman" w:hAnsi="ITC Avant Garde"/>
          <w:bCs/>
          <w:lang w:eastAsia="es-MX"/>
        </w:rPr>
        <w:t xml:space="preserve"> y T</w:t>
      </w:r>
      <w:r w:rsidR="002B151D" w:rsidRPr="004C52B2">
        <w:rPr>
          <w:rFonts w:ascii="ITC Avant Garde" w:eastAsia="Times New Roman" w:hAnsi="ITC Avant Garde"/>
          <w:bCs/>
          <w:lang w:eastAsia="es-MX"/>
        </w:rPr>
        <w:t>elnor</w:t>
      </w:r>
      <w:r w:rsidRPr="004C52B2">
        <w:rPr>
          <w:rFonts w:ascii="ITC Avant Garde" w:eastAsia="Times New Roman" w:hAnsi="ITC Avant Garde"/>
          <w:bCs/>
          <w:lang w:eastAsia="es-MX"/>
        </w:rPr>
        <w:t xml:space="preserve"> un requerimiento de información con la finalidad de incorporar elementos adicionales al análisis para determinar el Factor de Ajuste por Productividad “X” aplicable al periodo 2017-2018.</w:t>
      </w:r>
    </w:p>
    <w:p w14:paraId="324D233E" w14:textId="77777777" w:rsidR="008369E9" w:rsidRDefault="00D92C91" w:rsidP="008369E9">
      <w:pPr>
        <w:pStyle w:val="Prrafodelista"/>
        <w:numPr>
          <w:ilvl w:val="0"/>
          <w:numId w:val="31"/>
        </w:numPr>
        <w:adjustRightInd w:val="0"/>
        <w:spacing w:before="480" w:after="240" w:line="240" w:lineRule="auto"/>
        <w:jc w:val="both"/>
        <w:rPr>
          <w:rFonts w:ascii="ITC Avant Garde" w:eastAsia="Times New Roman" w:hAnsi="ITC Avant Garde"/>
          <w:bCs/>
          <w:lang w:eastAsia="es-MX"/>
        </w:rPr>
      </w:pPr>
      <w:r w:rsidRPr="004C52B2">
        <w:rPr>
          <w:rFonts w:ascii="ITC Avant Garde" w:eastAsia="Times New Roman" w:hAnsi="ITC Avant Garde"/>
          <w:b/>
          <w:bCs/>
          <w:lang w:eastAsia="es-MX"/>
        </w:rPr>
        <w:t xml:space="preserve">Entrega de información del </w:t>
      </w:r>
      <w:r w:rsidR="007E7090">
        <w:rPr>
          <w:rFonts w:ascii="ITC Avant Garde" w:eastAsia="Times New Roman" w:hAnsi="ITC Avant Garde"/>
          <w:b/>
          <w:bCs/>
          <w:lang w:eastAsia="es-MX"/>
        </w:rPr>
        <w:t>p</w:t>
      </w:r>
      <w:r w:rsidRPr="004C52B2">
        <w:rPr>
          <w:rFonts w:ascii="ITC Avant Garde" w:eastAsia="Times New Roman" w:hAnsi="ITC Avant Garde"/>
          <w:b/>
          <w:bCs/>
          <w:lang w:eastAsia="es-MX"/>
        </w:rPr>
        <w:t xml:space="preserve">rimer </w:t>
      </w:r>
      <w:r w:rsidR="007E7090">
        <w:rPr>
          <w:rFonts w:ascii="ITC Avant Garde" w:eastAsia="Times New Roman" w:hAnsi="ITC Avant Garde"/>
          <w:b/>
          <w:bCs/>
          <w:lang w:eastAsia="es-MX"/>
        </w:rPr>
        <w:t>r</w:t>
      </w:r>
      <w:r w:rsidR="002632CB" w:rsidRPr="004C52B2">
        <w:rPr>
          <w:rFonts w:ascii="ITC Avant Garde" w:eastAsia="Times New Roman" w:hAnsi="ITC Avant Garde"/>
          <w:b/>
          <w:bCs/>
          <w:lang w:eastAsia="es-MX"/>
        </w:rPr>
        <w:t>equerimiento</w:t>
      </w:r>
      <w:r w:rsidR="00100151" w:rsidRPr="004C52B2">
        <w:rPr>
          <w:rFonts w:ascii="ITC Avant Garde" w:eastAsia="Times New Roman" w:hAnsi="ITC Avant Garde"/>
          <w:b/>
          <w:bCs/>
          <w:lang w:eastAsia="es-MX"/>
        </w:rPr>
        <w:t xml:space="preserve"> de </w:t>
      </w:r>
      <w:r w:rsidR="007E7090">
        <w:rPr>
          <w:rFonts w:ascii="ITC Avant Garde" w:eastAsia="Times New Roman" w:hAnsi="ITC Avant Garde"/>
          <w:b/>
          <w:bCs/>
          <w:lang w:eastAsia="es-MX"/>
        </w:rPr>
        <w:t>i</w:t>
      </w:r>
      <w:r w:rsidR="00100151" w:rsidRPr="004C52B2">
        <w:rPr>
          <w:rFonts w:ascii="ITC Avant Garde" w:eastAsia="Times New Roman" w:hAnsi="ITC Avant Garde"/>
          <w:b/>
          <w:bCs/>
          <w:lang w:eastAsia="es-MX"/>
        </w:rPr>
        <w:t>nformación</w:t>
      </w:r>
      <w:r w:rsidR="002632CB" w:rsidRPr="004C52B2">
        <w:rPr>
          <w:rFonts w:ascii="ITC Avant Garde" w:eastAsia="Times New Roman" w:hAnsi="ITC Avant Garde"/>
          <w:b/>
          <w:bCs/>
          <w:lang w:eastAsia="es-MX"/>
        </w:rPr>
        <w:t>.</w:t>
      </w:r>
      <w:r w:rsidR="002632CB" w:rsidRPr="004C52B2">
        <w:rPr>
          <w:rFonts w:ascii="ITC Avant Garde" w:eastAsia="Times New Roman" w:hAnsi="ITC Avant Garde"/>
          <w:bCs/>
          <w:lang w:eastAsia="es-MX"/>
        </w:rPr>
        <w:t xml:space="preserve"> El 7 de diciembre </w:t>
      </w:r>
      <w:r w:rsidR="00717B5C" w:rsidRPr="004C52B2">
        <w:rPr>
          <w:rFonts w:ascii="ITC Avant Garde" w:eastAsia="Times New Roman" w:hAnsi="ITC Avant Garde"/>
          <w:bCs/>
          <w:lang w:eastAsia="es-MX"/>
        </w:rPr>
        <w:t>de 2016, mediante escrito Ref.IF</w:t>
      </w:r>
      <w:r w:rsidR="002632CB" w:rsidRPr="004C52B2">
        <w:rPr>
          <w:rFonts w:ascii="ITC Avant Garde" w:eastAsia="Times New Roman" w:hAnsi="ITC Avant Garde"/>
          <w:bCs/>
          <w:lang w:eastAsia="es-MX"/>
        </w:rPr>
        <w:t xml:space="preserve">T.763/2016, </w:t>
      </w:r>
      <w:r w:rsidRPr="004C52B2">
        <w:rPr>
          <w:rFonts w:ascii="ITC Avant Garde" w:eastAsia="Times New Roman" w:hAnsi="ITC Avant Garde"/>
          <w:bCs/>
          <w:lang w:eastAsia="es-MX"/>
        </w:rPr>
        <w:t>T</w:t>
      </w:r>
      <w:r w:rsidR="006D2D32" w:rsidRPr="004C52B2">
        <w:rPr>
          <w:rFonts w:ascii="ITC Avant Garde" w:eastAsia="Times New Roman" w:hAnsi="ITC Avant Garde"/>
          <w:bCs/>
          <w:lang w:eastAsia="es-MX"/>
        </w:rPr>
        <w:t>elmex</w:t>
      </w:r>
      <w:r w:rsidRPr="004C52B2">
        <w:rPr>
          <w:rFonts w:ascii="ITC Avant Garde" w:eastAsia="Times New Roman" w:hAnsi="ITC Avant Garde"/>
          <w:bCs/>
          <w:lang w:eastAsia="es-MX"/>
        </w:rPr>
        <w:t xml:space="preserve"> y T</w:t>
      </w:r>
      <w:r w:rsidR="002B151D" w:rsidRPr="004C52B2">
        <w:rPr>
          <w:rFonts w:ascii="ITC Avant Garde" w:eastAsia="Times New Roman" w:hAnsi="ITC Avant Garde"/>
          <w:bCs/>
          <w:lang w:eastAsia="es-MX"/>
        </w:rPr>
        <w:t>elnor</w:t>
      </w:r>
      <w:r w:rsidR="002632CB" w:rsidRPr="004C52B2">
        <w:rPr>
          <w:rFonts w:ascii="ITC Avant Garde" w:eastAsia="Times New Roman" w:hAnsi="ITC Avant Garde"/>
          <w:bCs/>
          <w:lang w:eastAsia="es-MX"/>
        </w:rPr>
        <w:t xml:space="preserve"> dieron respuesta</w:t>
      </w:r>
      <w:r w:rsidR="00FE04FB">
        <w:rPr>
          <w:rFonts w:ascii="ITC Avant Garde" w:eastAsia="Times New Roman" w:hAnsi="ITC Avant Garde"/>
          <w:bCs/>
          <w:lang w:eastAsia="es-MX"/>
        </w:rPr>
        <w:t xml:space="preserve"> </w:t>
      </w:r>
      <w:r w:rsidR="002632CB" w:rsidRPr="004C52B2">
        <w:rPr>
          <w:rFonts w:ascii="ITC Avant Garde" w:eastAsia="Times New Roman" w:hAnsi="ITC Avant Garde"/>
          <w:bCs/>
          <w:lang w:eastAsia="es-MX"/>
        </w:rPr>
        <w:t>al requerimiento formulado mediante escrito IFT/221/UPR/DG-DTR/256/2016.</w:t>
      </w:r>
    </w:p>
    <w:p w14:paraId="46111C8F" w14:textId="77777777" w:rsidR="008369E9" w:rsidRDefault="001C19DD" w:rsidP="008369E9">
      <w:pPr>
        <w:pStyle w:val="Prrafodelista"/>
        <w:numPr>
          <w:ilvl w:val="0"/>
          <w:numId w:val="31"/>
        </w:numPr>
        <w:adjustRightInd w:val="0"/>
        <w:spacing w:before="480" w:after="240" w:line="240" w:lineRule="auto"/>
        <w:jc w:val="both"/>
        <w:rPr>
          <w:rFonts w:ascii="ITC Avant Garde" w:eastAsia="Times New Roman" w:hAnsi="ITC Avant Garde"/>
          <w:bCs/>
          <w:lang w:eastAsia="es-MX"/>
        </w:rPr>
      </w:pPr>
      <w:r w:rsidRPr="004C52B2">
        <w:rPr>
          <w:rFonts w:ascii="ITC Avant Garde" w:eastAsia="Times New Roman" w:hAnsi="ITC Avant Garde"/>
          <w:b/>
          <w:bCs/>
          <w:lang w:eastAsia="es-MX"/>
        </w:rPr>
        <w:t xml:space="preserve">Segundo </w:t>
      </w:r>
      <w:r w:rsidR="007E7090">
        <w:rPr>
          <w:rFonts w:ascii="ITC Avant Garde" w:eastAsia="Times New Roman" w:hAnsi="ITC Avant Garde"/>
          <w:b/>
          <w:bCs/>
          <w:lang w:eastAsia="es-MX"/>
        </w:rPr>
        <w:t>r</w:t>
      </w:r>
      <w:r w:rsidRPr="004C52B2">
        <w:rPr>
          <w:rFonts w:ascii="ITC Avant Garde" w:eastAsia="Times New Roman" w:hAnsi="ITC Avant Garde"/>
          <w:b/>
          <w:bCs/>
          <w:lang w:eastAsia="es-MX"/>
        </w:rPr>
        <w:t xml:space="preserve">equerimiento de </w:t>
      </w:r>
      <w:r w:rsidR="007E7090">
        <w:rPr>
          <w:rFonts w:ascii="ITC Avant Garde" w:eastAsia="Times New Roman" w:hAnsi="ITC Avant Garde"/>
          <w:b/>
          <w:bCs/>
          <w:lang w:eastAsia="es-MX"/>
        </w:rPr>
        <w:t>i</w:t>
      </w:r>
      <w:r w:rsidRPr="004C52B2">
        <w:rPr>
          <w:rFonts w:ascii="ITC Avant Garde" w:eastAsia="Times New Roman" w:hAnsi="ITC Avant Garde"/>
          <w:b/>
          <w:bCs/>
          <w:lang w:eastAsia="es-MX"/>
        </w:rPr>
        <w:t>nformación.</w:t>
      </w:r>
      <w:r w:rsidRPr="004C52B2">
        <w:rPr>
          <w:rFonts w:ascii="ITC Avant Garde" w:eastAsia="Times New Roman" w:hAnsi="ITC Avant Garde"/>
          <w:bCs/>
          <w:lang w:eastAsia="es-MX"/>
        </w:rPr>
        <w:t xml:space="preserve"> El 10 de </w:t>
      </w:r>
      <w:r w:rsidR="00071FE8" w:rsidRPr="004C52B2">
        <w:rPr>
          <w:rFonts w:ascii="ITC Avant Garde" w:eastAsia="Times New Roman" w:hAnsi="ITC Avant Garde"/>
          <w:bCs/>
          <w:lang w:eastAsia="es-MX"/>
        </w:rPr>
        <w:t>enero de 2017</w:t>
      </w:r>
      <w:r w:rsidRPr="004C52B2">
        <w:rPr>
          <w:rFonts w:ascii="ITC Avant Garde" w:eastAsia="Times New Roman" w:hAnsi="ITC Avant Garde"/>
          <w:bCs/>
          <w:lang w:eastAsia="es-MX"/>
        </w:rPr>
        <w:t>, mediante escrito IFT/221/UPR/</w:t>
      </w:r>
      <w:r w:rsidR="0025791A" w:rsidRPr="004C52B2">
        <w:rPr>
          <w:rFonts w:ascii="ITC Avant Garde" w:eastAsia="Times New Roman" w:hAnsi="ITC Avant Garde"/>
          <w:bCs/>
          <w:lang w:eastAsia="es-MX"/>
        </w:rPr>
        <w:t>012/2017</w:t>
      </w:r>
      <w:r w:rsidR="005059FB" w:rsidRPr="004C52B2">
        <w:rPr>
          <w:rFonts w:ascii="ITC Avant Garde" w:eastAsia="Times New Roman" w:hAnsi="ITC Avant Garde"/>
          <w:bCs/>
          <w:lang w:eastAsia="es-MX"/>
        </w:rPr>
        <w:t xml:space="preserve"> de fecha </w:t>
      </w:r>
      <w:r w:rsidR="0025791A" w:rsidRPr="004C52B2">
        <w:rPr>
          <w:rFonts w:ascii="ITC Avant Garde" w:eastAsia="Times New Roman" w:hAnsi="ITC Avant Garde"/>
          <w:bCs/>
          <w:lang w:eastAsia="es-MX"/>
        </w:rPr>
        <w:t>5 de enero de 2017</w:t>
      </w:r>
      <w:r w:rsidRPr="004C52B2">
        <w:rPr>
          <w:rFonts w:ascii="ITC Avant Garde" w:eastAsia="Times New Roman" w:hAnsi="ITC Avant Garde"/>
          <w:bCs/>
          <w:lang w:eastAsia="es-MX"/>
        </w:rPr>
        <w:t xml:space="preserve">, el </w:t>
      </w:r>
      <w:r w:rsidR="008D2378" w:rsidRPr="004C52B2">
        <w:rPr>
          <w:rFonts w:ascii="ITC Avant Garde" w:eastAsia="Times New Roman" w:hAnsi="ITC Avant Garde"/>
          <w:bCs/>
          <w:lang w:eastAsia="es-MX"/>
        </w:rPr>
        <w:t xml:space="preserve">Titular de la </w:t>
      </w:r>
      <w:r w:rsidRPr="004C52B2">
        <w:rPr>
          <w:rFonts w:ascii="ITC Avant Garde" w:eastAsia="Times New Roman" w:hAnsi="ITC Avant Garde"/>
          <w:bCs/>
          <w:lang w:eastAsia="es-MX"/>
        </w:rPr>
        <w:t>Unidad de Política Regulatoria del Instituto, hizo del conocimiento de T</w:t>
      </w:r>
      <w:r w:rsidR="006D2D32" w:rsidRPr="004C52B2">
        <w:rPr>
          <w:rFonts w:ascii="ITC Avant Garde" w:eastAsia="Times New Roman" w:hAnsi="ITC Avant Garde"/>
          <w:bCs/>
          <w:lang w:eastAsia="es-MX"/>
        </w:rPr>
        <w:t>elmex</w:t>
      </w:r>
      <w:r w:rsidRPr="004C52B2">
        <w:rPr>
          <w:rFonts w:ascii="ITC Avant Garde" w:eastAsia="Times New Roman" w:hAnsi="ITC Avant Garde"/>
          <w:bCs/>
          <w:lang w:eastAsia="es-MX"/>
        </w:rPr>
        <w:t xml:space="preserve"> y T</w:t>
      </w:r>
      <w:r w:rsidR="002B151D" w:rsidRPr="004C52B2">
        <w:rPr>
          <w:rFonts w:ascii="ITC Avant Garde" w:eastAsia="Times New Roman" w:hAnsi="ITC Avant Garde"/>
          <w:bCs/>
          <w:lang w:eastAsia="es-MX"/>
        </w:rPr>
        <w:t>elnor</w:t>
      </w:r>
      <w:r w:rsidRPr="004C52B2">
        <w:rPr>
          <w:rFonts w:ascii="ITC Avant Garde" w:eastAsia="Times New Roman" w:hAnsi="ITC Avant Garde"/>
          <w:bCs/>
          <w:lang w:eastAsia="es-MX"/>
        </w:rPr>
        <w:t xml:space="preserve"> un </w:t>
      </w:r>
      <w:r w:rsidR="001046CB" w:rsidRPr="004C52B2">
        <w:rPr>
          <w:rFonts w:ascii="ITC Avant Garde" w:eastAsia="Times New Roman" w:hAnsi="ITC Avant Garde"/>
          <w:bCs/>
          <w:lang w:eastAsia="es-MX"/>
        </w:rPr>
        <w:t>segundo r</w:t>
      </w:r>
      <w:r w:rsidRPr="004C52B2">
        <w:rPr>
          <w:rFonts w:ascii="ITC Avant Garde" w:eastAsia="Times New Roman" w:hAnsi="ITC Avant Garde"/>
          <w:bCs/>
          <w:lang w:eastAsia="es-MX"/>
        </w:rPr>
        <w:t xml:space="preserve">equerimiento de información con la finalidad de </w:t>
      </w:r>
      <w:r w:rsidR="001046CB" w:rsidRPr="004C52B2">
        <w:rPr>
          <w:rFonts w:ascii="ITC Avant Garde" w:eastAsia="Times New Roman" w:hAnsi="ITC Avant Garde"/>
          <w:bCs/>
          <w:lang w:eastAsia="es-MX"/>
        </w:rPr>
        <w:t>contar con información más específica y adicional a la que se entregó</w:t>
      </w:r>
      <w:r w:rsidR="00CF7310">
        <w:rPr>
          <w:rFonts w:ascii="ITC Avant Garde" w:eastAsia="Times New Roman" w:hAnsi="ITC Avant Garde"/>
          <w:bCs/>
          <w:lang w:eastAsia="es-MX"/>
        </w:rPr>
        <w:t xml:space="preserve"> en el primer requerimiento de información</w:t>
      </w:r>
      <w:r w:rsidR="001046CB" w:rsidRPr="004C52B2">
        <w:rPr>
          <w:rFonts w:ascii="ITC Avant Garde" w:eastAsia="Times New Roman" w:hAnsi="ITC Avant Garde"/>
          <w:bCs/>
          <w:lang w:eastAsia="es-MX"/>
        </w:rPr>
        <w:t xml:space="preserve">, y a fin de tomar las consideraciones </w:t>
      </w:r>
      <w:r w:rsidR="002A6DC7" w:rsidRPr="004C52B2">
        <w:rPr>
          <w:rFonts w:ascii="ITC Avant Garde" w:eastAsia="Times New Roman" w:hAnsi="ITC Avant Garde"/>
          <w:bCs/>
          <w:lang w:eastAsia="es-MX"/>
        </w:rPr>
        <w:t xml:space="preserve">correspondientes </w:t>
      </w:r>
      <w:r w:rsidR="001046CB" w:rsidRPr="004C52B2">
        <w:rPr>
          <w:rFonts w:ascii="ITC Avant Garde" w:eastAsia="Times New Roman" w:hAnsi="ITC Avant Garde"/>
          <w:bCs/>
          <w:lang w:eastAsia="es-MX"/>
        </w:rPr>
        <w:t>para determinar los parámetros del sistema de precios tope del periodo 2017-2018</w:t>
      </w:r>
      <w:r w:rsidR="00B75A37">
        <w:rPr>
          <w:rFonts w:ascii="ITC Avant Garde" w:eastAsia="Times New Roman" w:hAnsi="ITC Avant Garde"/>
          <w:bCs/>
          <w:lang w:eastAsia="es-MX"/>
        </w:rPr>
        <w:t>.</w:t>
      </w:r>
    </w:p>
    <w:p w14:paraId="41C88F96" w14:textId="77777777" w:rsidR="008369E9" w:rsidRDefault="001C19DD" w:rsidP="008369E9">
      <w:pPr>
        <w:pStyle w:val="Prrafodelista"/>
        <w:numPr>
          <w:ilvl w:val="0"/>
          <w:numId w:val="31"/>
        </w:numPr>
        <w:adjustRightInd w:val="0"/>
        <w:spacing w:before="480" w:after="240" w:line="240" w:lineRule="auto"/>
        <w:jc w:val="both"/>
        <w:rPr>
          <w:rFonts w:ascii="ITC Avant Garde" w:eastAsia="Times New Roman" w:hAnsi="ITC Avant Garde"/>
          <w:bCs/>
          <w:lang w:eastAsia="es-MX"/>
        </w:rPr>
      </w:pPr>
      <w:r w:rsidRPr="004C52B2">
        <w:rPr>
          <w:rFonts w:ascii="ITC Avant Garde" w:eastAsia="Times New Roman" w:hAnsi="ITC Avant Garde"/>
          <w:b/>
          <w:bCs/>
          <w:lang w:eastAsia="es-MX"/>
        </w:rPr>
        <w:t xml:space="preserve">Entrega de información del </w:t>
      </w:r>
      <w:r w:rsidR="007E7090">
        <w:rPr>
          <w:rFonts w:ascii="ITC Avant Garde" w:eastAsia="Times New Roman" w:hAnsi="ITC Avant Garde"/>
          <w:b/>
          <w:bCs/>
          <w:lang w:eastAsia="es-MX"/>
        </w:rPr>
        <w:t>s</w:t>
      </w:r>
      <w:r w:rsidR="00100151" w:rsidRPr="004C52B2">
        <w:rPr>
          <w:rFonts w:ascii="ITC Avant Garde" w:eastAsia="Times New Roman" w:hAnsi="ITC Avant Garde"/>
          <w:b/>
          <w:bCs/>
          <w:lang w:eastAsia="es-MX"/>
        </w:rPr>
        <w:t xml:space="preserve">egundo </w:t>
      </w:r>
      <w:r w:rsidR="007E7090">
        <w:rPr>
          <w:rFonts w:ascii="ITC Avant Garde" w:eastAsia="Times New Roman" w:hAnsi="ITC Avant Garde"/>
          <w:b/>
          <w:bCs/>
          <w:lang w:eastAsia="es-MX"/>
        </w:rPr>
        <w:t>r</w:t>
      </w:r>
      <w:r w:rsidRPr="004C52B2">
        <w:rPr>
          <w:rFonts w:ascii="ITC Avant Garde" w:eastAsia="Times New Roman" w:hAnsi="ITC Avant Garde"/>
          <w:b/>
          <w:bCs/>
          <w:lang w:eastAsia="es-MX"/>
        </w:rPr>
        <w:t>equerimiento</w:t>
      </w:r>
      <w:r w:rsidR="00100151" w:rsidRPr="004C52B2">
        <w:rPr>
          <w:rFonts w:ascii="ITC Avant Garde" w:eastAsia="Times New Roman" w:hAnsi="ITC Avant Garde"/>
          <w:b/>
          <w:bCs/>
          <w:lang w:eastAsia="es-MX"/>
        </w:rPr>
        <w:t xml:space="preserve"> de </w:t>
      </w:r>
      <w:r w:rsidR="007E7090">
        <w:rPr>
          <w:rFonts w:ascii="ITC Avant Garde" w:eastAsia="Times New Roman" w:hAnsi="ITC Avant Garde"/>
          <w:b/>
          <w:bCs/>
          <w:lang w:eastAsia="es-MX"/>
        </w:rPr>
        <w:t>i</w:t>
      </w:r>
      <w:r w:rsidR="00100151" w:rsidRPr="004C52B2">
        <w:rPr>
          <w:rFonts w:ascii="ITC Avant Garde" w:eastAsia="Times New Roman" w:hAnsi="ITC Avant Garde"/>
          <w:b/>
          <w:bCs/>
          <w:lang w:eastAsia="es-MX"/>
        </w:rPr>
        <w:t>nformación</w:t>
      </w:r>
      <w:r w:rsidRPr="004C52B2">
        <w:rPr>
          <w:rFonts w:ascii="ITC Avant Garde" w:eastAsia="Times New Roman" w:hAnsi="ITC Avant Garde"/>
          <w:b/>
          <w:bCs/>
          <w:lang w:eastAsia="es-MX"/>
        </w:rPr>
        <w:t>.</w:t>
      </w:r>
      <w:r w:rsidR="003770C7" w:rsidRPr="004C52B2">
        <w:rPr>
          <w:rFonts w:ascii="ITC Avant Garde" w:eastAsia="Times New Roman" w:hAnsi="ITC Avant Garde"/>
          <w:bCs/>
          <w:lang w:eastAsia="es-MX"/>
        </w:rPr>
        <w:t xml:space="preserve"> El 2</w:t>
      </w:r>
      <w:r w:rsidRPr="004C52B2">
        <w:rPr>
          <w:rFonts w:ascii="ITC Avant Garde" w:eastAsia="Times New Roman" w:hAnsi="ITC Avant Garde"/>
          <w:bCs/>
          <w:lang w:eastAsia="es-MX"/>
        </w:rPr>
        <w:t xml:space="preserve"> de </w:t>
      </w:r>
      <w:r w:rsidR="003770C7" w:rsidRPr="004C52B2">
        <w:rPr>
          <w:rFonts w:ascii="ITC Avant Garde" w:eastAsia="Times New Roman" w:hAnsi="ITC Avant Garde"/>
          <w:bCs/>
          <w:lang w:eastAsia="es-MX"/>
        </w:rPr>
        <w:t>febrero de 2017</w:t>
      </w:r>
      <w:r w:rsidR="00112410" w:rsidRPr="004C52B2">
        <w:rPr>
          <w:rFonts w:ascii="ITC Avant Garde" w:eastAsia="Times New Roman" w:hAnsi="ITC Avant Garde"/>
          <w:bCs/>
          <w:lang w:eastAsia="es-MX"/>
        </w:rPr>
        <w:t>, mediante escrito Ref.IFT.084</w:t>
      </w:r>
      <w:r w:rsidR="00E6544B" w:rsidRPr="004C52B2">
        <w:rPr>
          <w:rFonts w:ascii="ITC Avant Garde" w:eastAsia="Times New Roman" w:hAnsi="ITC Avant Garde"/>
          <w:bCs/>
          <w:lang w:eastAsia="es-MX"/>
        </w:rPr>
        <w:t>/2017</w:t>
      </w:r>
      <w:r w:rsidRPr="004C52B2">
        <w:rPr>
          <w:rFonts w:ascii="ITC Avant Garde" w:eastAsia="Times New Roman" w:hAnsi="ITC Avant Garde"/>
          <w:bCs/>
          <w:lang w:eastAsia="es-MX"/>
        </w:rPr>
        <w:t>, T</w:t>
      </w:r>
      <w:r w:rsidR="006D2D32" w:rsidRPr="004C52B2">
        <w:rPr>
          <w:rFonts w:ascii="ITC Avant Garde" w:eastAsia="Times New Roman" w:hAnsi="ITC Avant Garde"/>
          <w:bCs/>
          <w:lang w:eastAsia="es-MX"/>
        </w:rPr>
        <w:t>elmex</w:t>
      </w:r>
      <w:r w:rsidRPr="004C52B2">
        <w:rPr>
          <w:rFonts w:ascii="ITC Avant Garde" w:eastAsia="Times New Roman" w:hAnsi="ITC Avant Garde"/>
          <w:bCs/>
          <w:lang w:eastAsia="es-MX"/>
        </w:rPr>
        <w:t xml:space="preserve"> y T</w:t>
      </w:r>
      <w:r w:rsidR="002B151D" w:rsidRPr="004C52B2">
        <w:rPr>
          <w:rFonts w:ascii="ITC Avant Garde" w:eastAsia="Times New Roman" w:hAnsi="ITC Avant Garde"/>
          <w:bCs/>
          <w:lang w:eastAsia="es-MX"/>
        </w:rPr>
        <w:t>elnor</w:t>
      </w:r>
      <w:r w:rsidRPr="004C52B2">
        <w:rPr>
          <w:rFonts w:ascii="ITC Avant Garde" w:eastAsia="Times New Roman" w:hAnsi="ITC Avant Garde"/>
          <w:bCs/>
          <w:lang w:eastAsia="es-MX"/>
        </w:rPr>
        <w:t xml:space="preserve"> dieron resp</w:t>
      </w:r>
      <w:r w:rsidR="00E6544B" w:rsidRPr="004C52B2">
        <w:rPr>
          <w:rFonts w:ascii="ITC Avant Garde" w:eastAsia="Times New Roman" w:hAnsi="ITC Avant Garde"/>
          <w:bCs/>
          <w:lang w:eastAsia="es-MX"/>
        </w:rPr>
        <w:t>uesta a</w:t>
      </w:r>
      <w:r w:rsidR="00CF7310">
        <w:rPr>
          <w:rFonts w:ascii="ITC Avant Garde" w:eastAsia="Times New Roman" w:hAnsi="ITC Avant Garde"/>
          <w:bCs/>
          <w:lang w:eastAsia="es-MX"/>
        </w:rPr>
        <w:t xml:space="preserve">l </w:t>
      </w:r>
      <w:r w:rsidR="00CF7310" w:rsidRPr="00F17AE3">
        <w:rPr>
          <w:rFonts w:ascii="ITC Avant Garde" w:eastAsia="Times New Roman" w:hAnsi="ITC Avant Garde"/>
          <w:bCs/>
          <w:lang w:eastAsia="es-MX"/>
        </w:rPr>
        <w:t>requerimiento formulado mediante escrito</w:t>
      </w:r>
      <w:r w:rsidR="00CF7310">
        <w:rPr>
          <w:rFonts w:ascii="ITC Avant Garde" w:eastAsia="Times New Roman" w:hAnsi="ITC Avant Garde"/>
          <w:bCs/>
          <w:lang w:eastAsia="es-MX"/>
        </w:rPr>
        <w:t xml:space="preserve"> </w:t>
      </w:r>
      <w:r w:rsidR="00E6544B" w:rsidRPr="004C52B2">
        <w:rPr>
          <w:rFonts w:ascii="ITC Avant Garde" w:eastAsia="Times New Roman" w:hAnsi="ITC Avant Garde"/>
          <w:bCs/>
          <w:lang w:eastAsia="es-MX"/>
        </w:rPr>
        <w:t>IFT/221/UPR/012/2017</w:t>
      </w:r>
      <w:r w:rsidRPr="004C52B2">
        <w:rPr>
          <w:rFonts w:ascii="ITC Avant Garde" w:eastAsia="Times New Roman" w:hAnsi="ITC Avant Garde"/>
          <w:bCs/>
          <w:lang w:eastAsia="es-MX"/>
        </w:rPr>
        <w:t>.</w:t>
      </w:r>
    </w:p>
    <w:p w14:paraId="1E38E79B" w14:textId="77777777" w:rsidR="008369E9" w:rsidRDefault="00994A53" w:rsidP="008369E9">
      <w:pPr>
        <w:adjustRightInd w:val="0"/>
        <w:spacing w:before="480" w:after="240" w:line="240" w:lineRule="auto"/>
        <w:jc w:val="both"/>
        <w:rPr>
          <w:rFonts w:ascii="ITC Avant Garde" w:eastAsia="Times New Roman" w:hAnsi="ITC Avant Garde" w:cs="Arial"/>
          <w:bCs/>
        </w:rPr>
      </w:pPr>
      <w:r w:rsidRPr="004C52B2">
        <w:rPr>
          <w:rFonts w:ascii="ITC Avant Garde" w:eastAsia="Times New Roman" w:hAnsi="ITC Avant Garde" w:cs="Arial"/>
          <w:bCs/>
        </w:rPr>
        <w:t>En virtud de los referidos Antecedentes, y</w:t>
      </w:r>
    </w:p>
    <w:p w14:paraId="62340D7A" w14:textId="77777777" w:rsidR="008369E9" w:rsidRPr="004A3E19" w:rsidRDefault="00994A53" w:rsidP="004A3E19">
      <w:pPr>
        <w:pStyle w:val="Ttulo2"/>
        <w:keepLines/>
        <w:spacing w:before="40" w:after="240"/>
        <w:jc w:val="center"/>
        <w:rPr>
          <w:rFonts w:ascii="ITC Avant Garde" w:eastAsiaTheme="majorEastAsia" w:hAnsi="ITC Avant Garde" w:cstheme="majorBidi"/>
          <w:bCs w:val="0"/>
          <w:i w:val="0"/>
          <w:iCs w:val="0"/>
          <w:color w:val="000000" w:themeColor="text1"/>
          <w:sz w:val="22"/>
          <w:szCs w:val="22"/>
        </w:rPr>
      </w:pPr>
      <w:r w:rsidRPr="004A3E19">
        <w:rPr>
          <w:rFonts w:ascii="ITC Avant Garde" w:eastAsiaTheme="majorEastAsia" w:hAnsi="ITC Avant Garde" w:cstheme="majorBidi"/>
          <w:bCs w:val="0"/>
          <w:i w:val="0"/>
          <w:iCs w:val="0"/>
          <w:color w:val="000000" w:themeColor="text1"/>
          <w:sz w:val="22"/>
          <w:szCs w:val="22"/>
        </w:rPr>
        <w:t>CONSIDERANDO</w:t>
      </w:r>
    </w:p>
    <w:p w14:paraId="76594AF8" w14:textId="0819D604" w:rsidR="008369E9" w:rsidRDefault="00994A53" w:rsidP="008369E9">
      <w:pPr>
        <w:adjustRightInd w:val="0"/>
        <w:spacing w:before="480" w:after="240" w:line="240" w:lineRule="auto"/>
        <w:jc w:val="both"/>
        <w:rPr>
          <w:rFonts w:ascii="ITC Avant Garde" w:eastAsia="Times New Roman" w:hAnsi="ITC Avant Garde" w:cs="Arial"/>
          <w:bCs/>
        </w:rPr>
      </w:pPr>
      <w:proofErr w:type="gramStart"/>
      <w:r w:rsidRPr="004C52B2">
        <w:rPr>
          <w:rFonts w:ascii="ITC Avant Garde" w:eastAsia="Times New Roman" w:hAnsi="ITC Avant Garde" w:cs="Arial"/>
          <w:b/>
          <w:bCs/>
        </w:rPr>
        <w:t>PRIMERO.-</w:t>
      </w:r>
      <w:proofErr w:type="gramEnd"/>
      <w:r w:rsidRPr="004C52B2">
        <w:rPr>
          <w:rFonts w:ascii="ITC Avant Garde" w:eastAsia="Times New Roman" w:hAnsi="ITC Avant Garde" w:cs="Arial"/>
          <w:b/>
          <w:bCs/>
        </w:rPr>
        <w:t xml:space="preserve"> Competencia del Instituto.</w:t>
      </w:r>
      <w:r w:rsidRPr="004C52B2">
        <w:rPr>
          <w:rFonts w:ascii="ITC Avant Garde" w:eastAsia="Times New Roman" w:hAnsi="ITC Avant Garde" w:cs="Arial"/>
          <w:bCs/>
        </w:rPr>
        <w:t xml:space="preserve"> </w:t>
      </w:r>
      <w:r w:rsidR="00E40208" w:rsidRPr="004C52B2">
        <w:rPr>
          <w:rFonts w:ascii="ITC Avant Garde" w:eastAsia="Times New Roman" w:hAnsi="ITC Avant Garde" w:cs="Arial"/>
          <w:bCs/>
        </w:rPr>
        <w:t>De</w:t>
      </w:r>
      <w:r w:rsidRPr="004C52B2">
        <w:rPr>
          <w:rFonts w:ascii="ITC Avant Garde" w:eastAsia="Times New Roman" w:hAnsi="ITC Avant Garde" w:cs="Arial"/>
          <w:bCs/>
        </w:rPr>
        <w:t xml:space="preserve"> conformidad con el artículo 28</w:t>
      </w:r>
      <w:r w:rsidR="00851693">
        <w:rPr>
          <w:rFonts w:ascii="ITC Avant Garde" w:eastAsia="Times New Roman" w:hAnsi="ITC Avant Garde" w:cs="Arial"/>
          <w:bCs/>
        </w:rPr>
        <w:t xml:space="preserve">, </w:t>
      </w:r>
      <w:proofErr w:type="gramStart"/>
      <w:r w:rsidR="00851693">
        <w:rPr>
          <w:rFonts w:ascii="ITC Avant Garde" w:eastAsia="Times New Roman" w:hAnsi="ITC Avant Garde" w:cs="Arial"/>
          <w:bCs/>
        </w:rPr>
        <w:t>párrafo</w:t>
      </w:r>
      <w:r w:rsidR="00F26E75">
        <w:rPr>
          <w:rFonts w:ascii="ITC Avant Garde" w:eastAsia="Times New Roman" w:hAnsi="ITC Avant Garde" w:cs="Arial"/>
          <w:bCs/>
        </w:rPr>
        <w:t>s</w:t>
      </w:r>
      <w:r w:rsidR="00851693">
        <w:rPr>
          <w:rFonts w:ascii="ITC Avant Garde" w:eastAsia="Times New Roman" w:hAnsi="ITC Avant Garde" w:cs="Arial"/>
          <w:bCs/>
        </w:rPr>
        <w:t xml:space="preserve"> décimo quinto</w:t>
      </w:r>
      <w:proofErr w:type="gramEnd"/>
      <w:r w:rsidRPr="004C52B2">
        <w:rPr>
          <w:rFonts w:ascii="ITC Avant Garde" w:eastAsia="Times New Roman" w:hAnsi="ITC Avant Garde" w:cs="Arial"/>
          <w:bCs/>
        </w:rPr>
        <w:t xml:space="preserve"> </w:t>
      </w:r>
      <w:r w:rsidR="00F26E75">
        <w:rPr>
          <w:rFonts w:ascii="ITC Avant Garde" w:eastAsia="Times New Roman" w:hAnsi="ITC Avant Garde" w:cs="Arial"/>
          <w:bCs/>
        </w:rPr>
        <w:t xml:space="preserve">y décimo sexto </w:t>
      </w:r>
      <w:r w:rsidRPr="004C52B2">
        <w:rPr>
          <w:rFonts w:ascii="ITC Avant Garde" w:eastAsia="Times New Roman" w:hAnsi="ITC Avant Garde" w:cs="Arial"/>
          <w:bCs/>
        </w:rPr>
        <w:t xml:space="preserve">de la Constitución, el Instituto es un órgano público </w:t>
      </w:r>
      <w:r w:rsidRPr="004C52B2">
        <w:rPr>
          <w:rFonts w:ascii="ITC Avant Garde" w:eastAsia="Times New Roman" w:hAnsi="ITC Avant Garde" w:cs="Arial"/>
          <w:bCs/>
        </w:rPr>
        <w:lastRenderedPageBreak/>
        <w:t xml:space="preserve">autónomo, independiente en sus decisiones y funcionamiento, con personalidad jurídica y patrimonio propios, que tiene por objeto el desarrollo eficiente de la radiodifusión </w:t>
      </w:r>
      <w:r w:rsidR="00F26E75">
        <w:rPr>
          <w:rFonts w:ascii="ITC Avant Garde" w:eastAsia="Times New Roman" w:hAnsi="ITC Avant Garde" w:cs="Arial"/>
          <w:bCs/>
        </w:rPr>
        <w:t>y las telecomunicaciones, conforme a lo dispuesto en</w:t>
      </w:r>
      <w:r w:rsidRPr="004C52B2">
        <w:rPr>
          <w:rFonts w:ascii="ITC Avant Garde" w:eastAsia="Times New Roman" w:hAnsi="ITC Avant Garde" w:cs="Arial"/>
          <w:bCs/>
        </w:rPr>
        <w:t xml:space="preserve"> la Constitución y en los términos que fij</w:t>
      </w:r>
      <w:r w:rsidR="00F26E75">
        <w:rPr>
          <w:rFonts w:ascii="ITC Avant Garde" w:eastAsia="Times New Roman" w:hAnsi="ITC Avant Garde" w:cs="Arial"/>
          <w:bCs/>
        </w:rPr>
        <w:t>en</w:t>
      </w:r>
      <w:r w:rsidRPr="004C52B2">
        <w:rPr>
          <w:rFonts w:ascii="ITC Avant Garde" w:eastAsia="Times New Roman" w:hAnsi="ITC Avant Garde" w:cs="Arial"/>
          <w:bCs/>
        </w:rPr>
        <w:t xml:space="preserve"> la</w:t>
      </w:r>
      <w:r w:rsidR="00F26E75">
        <w:rPr>
          <w:rFonts w:ascii="ITC Avant Garde" w:eastAsia="Times New Roman" w:hAnsi="ITC Avant Garde" w:cs="Arial"/>
          <w:bCs/>
        </w:rPr>
        <w:t>s</w:t>
      </w:r>
      <w:r w:rsidRPr="004C52B2">
        <w:rPr>
          <w:rFonts w:ascii="ITC Avant Garde" w:eastAsia="Times New Roman" w:hAnsi="ITC Avant Garde" w:cs="Arial"/>
          <w:bCs/>
        </w:rPr>
        <w:t xml:space="preserve"> ley</w:t>
      </w:r>
      <w:r w:rsidR="00F26E75">
        <w:rPr>
          <w:rFonts w:ascii="ITC Avant Garde" w:eastAsia="Times New Roman" w:hAnsi="ITC Avant Garde" w:cs="Arial"/>
          <w:bCs/>
        </w:rPr>
        <w:t xml:space="preserve">es. </w:t>
      </w:r>
      <w:r w:rsidR="00851693">
        <w:rPr>
          <w:rFonts w:ascii="ITC Avant Garde" w:eastAsia="Times New Roman" w:hAnsi="ITC Avant Garde" w:cs="Arial"/>
          <w:bCs/>
        </w:rPr>
        <w:t>P</w:t>
      </w:r>
      <w:r w:rsidRPr="004C52B2">
        <w:rPr>
          <w:rFonts w:ascii="ITC Avant Garde" w:eastAsia="Times New Roman" w:hAnsi="ITC Avant Garde" w:cs="Arial"/>
          <w:bCs/>
        </w:rPr>
        <w:t xml:space="preserve">ara tal efecto, tendrá a su cargo la regulación, promoción y supervisión del uso, aprovechamiento y explotación del espectro radioeléctrico, las redes </w:t>
      </w:r>
      <w:r w:rsidR="007C1F82">
        <w:rPr>
          <w:rFonts w:ascii="ITC Avant Garde" w:eastAsia="Times New Roman" w:hAnsi="ITC Avant Garde" w:cs="Arial"/>
          <w:bCs/>
        </w:rPr>
        <w:t xml:space="preserve">y la prestación de los servicios de radiodifusión y </w:t>
      </w:r>
      <w:r w:rsidRPr="004C52B2">
        <w:rPr>
          <w:rFonts w:ascii="ITC Avant Garde" w:eastAsia="Times New Roman" w:hAnsi="ITC Avant Garde" w:cs="Arial"/>
          <w:bCs/>
        </w:rPr>
        <w:t>telecomunicaciones, así como del acceso a la infraestructura activa</w:t>
      </w:r>
      <w:r w:rsidR="007C1F82">
        <w:rPr>
          <w:rFonts w:ascii="ITC Avant Garde" w:eastAsia="Times New Roman" w:hAnsi="ITC Avant Garde" w:cs="Arial"/>
          <w:bCs/>
        </w:rPr>
        <w:t xml:space="preserve">, </w:t>
      </w:r>
      <w:r w:rsidRPr="004C52B2">
        <w:rPr>
          <w:rFonts w:ascii="ITC Avant Garde" w:eastAsia="Times New Roman" w:hAnsi="ITC Avant Garde" w:cs="Arial"/>
          <w:bCs/>
        </w:rPr>
        <w:t>pasiva y otros insumos esenciales</w:t>
      </w:r>
      <w:r w:rsidR="009C0ADA">
        <w:rPr>
          <w:rFonts w:ascii="ITC Avant Garde" w:eastAsia="Times New Roman" w:hAnsi="ITC Avant Garde" w:cs="Arial"/>
          <w:bCs/>
        </w:rPr>
        <w:t>. Asimismo, es</w:t>
      </w:r>
      <w:r w:rsidR="009C0ADA" w:rsidRPr="009C0ADA">
        <w:rPr>
          <w:rFonts w:ascii="ITC Avant Garde" w:eastAsia="Times New Roman" w:hAnsi="ITC Avant Garde" w:cs="Arial"/>
          <w:bCs/>
        </w:rPr>
        <w:t xml:space="preserve"> la autoridad en materia de competencia</w:t>
      </w:r>
      <w:r w:rsidR="009C0ADA">
        <w:rPr>
          <w:rFonts w:ascii="ITC Avant Garde" w:eastAsia="Times New Roman" w:hAnsi="ITC Avant Garde" w:cs="Arial"/>
          <w:bCs/>
        </w:rPr>
        <w:t xml:space="preserve"> </w:t>
      </w:r>
      <w:r w:rsidR="009C0ADA" w:rsidRPr="009C0ADA">
        <w:rPr>
          <w:rFonts w:ascii="ITC Avant Garde" w:eastAsia="Times New Roman" w:hAnsi="ITC Avant Garde" w:cs="Arial"/>
          <w:bCs/>
        </w:rPr>
        <w:t>económica de los sectores de radiodifusión y telecomunicaciones, por lo que en éstos regulará de forma asimétrica a los partici</w:t>
      </w:r>
      <w:r w:rsidR="009C0ADA">
        <w:rPr>
          <w:rFonts w:ascii="ITC Avant Garde" w:eastAsia="Times New Roman" w:hAnsi="ITC Avant Garde" w:cs="Arial"/>
          <w:bCs/>
        </w:rPr>
        <w:t xml:space="preserve">pantes en estos mercados con el </w:t>
      </w:r>
      <w:r w:rsidR="009C0ADA" w:rsidRPr="009C0ADA">
        <w:rPr>
          <w:rFonts w:ascii="ITC Avant Garde" w:eastAsia="Times New Roman" w:hAnsi="ITC Avant Garde" w:cs="Arial"/>
          <w:bCs/>
        </w:rPr>
        <w:t>objeto de eliminar eficazmente las barreras a la competencia y la libre concurrencia; impondrá límites a la</w:t>
      </w:r>
      <w:r w:rsidR="009C0ADA">
        <w:rPr>
          <w:rFonts w:ascii="ITC Avant Garde" w:eastAsia="Times New Roman" w:hAnsi="ITC Avant Garde" w:cs="Arial"/>
          <w:bCs/>
        </w:rPr>
        <w:t xml:space="preserve"> </w:t>
      </w:r>
      <w:r w:rsidR="009C0ADA" w:rsidRPr="009C0ADA">
        <w:rPr>
          <w:rFonts w:ascii="ITC Avant Garde" w:eastAsia="Times New Roman" w:hAnsi="ITC Avant Garde" w:cs="Arial"/>
          <w:bCs/>
        </w:rPr>
        <w:t>concentración nacional y regi</w:t>
      </w:r>
      <w:r w:rsidR="009C0ADA">
        <w:rPr>
          <w:rFonts w:ascii="ITC Avant Garde" w:eastAsia="Times New Roman" w:hAnsi="ITC Avant Garde" w:cs="Arial"/>
          <w:bCs/>
        </w:rPr>
        <w:t xml:space="preserve">onal de frecuencias, al </w:t>
      </w:r>
      <w:r w:rsidR="009C0ADA" w:rsidRPr="009C0ADA">
        <w:rPr>
          <w:rFonts w:ascii="ITC Avant Garde" w:eastAsia="Times New Roman" w:hAnsi="ITC Avant Garde" w:cs="Arial"/>
          <w:bCs/>
        </w:rPr>
        <w:t>concesionamien</w:t>
      </w:r>
      <w:r w:rsidR="009C0ADA">
        <w:rPr>
          <w:rFonts w:ascii="ITC Avant Garde" w:eastAsia="Times New Roman" w:hAnsi="ITC Avant Garde" w:cs="Arial"/>
          <w:bCs/>
        </w:rPr>
        <w:t xml:space="preserve">to y a la propiedad cruzada que </w:t>
      </w:r>
      <w:r w:rsidR="009C0ADA" w:rsidRPr="009C0ADA">
        <w:rPr>
          <w:rFonts w:ascii="ITC Avant Garde" w:eastAsia="Times New Roman" w:hAnsi="ITC Avant Garde" w:cs="Arial"/>
          <w:bCs/>
        </w:rPr>
        <w:t>controle varios medios de comunicación que sean concesionarios de rad</w:t>
      </w:r>
      <w:r w:rsidR="009C0ADA">
        <w:rPr>
          <w:rFonts w:ascii="ITC Avant Garde" w:eastAsia="Times New Roman" w:hAnsi="ITC Avant Garde" w:cs="Arial"/>
          <w:bCs/>
        </w:rPr>
        <w:t xml:space="preserve">iodifusión y telecomunicaciones </w:t>
      </w:r>
      <w:r w:rsidR="009C0ADA" w:rsidRPr="009C0ADA">
        <w:rPr>
          <w:rFonts w:ascii="ITC Avant Garde" w:eastAsia="Times New Roman" w:hAnsi="ITC Avant Garde" w:cs="Arial"/>
          <w:bCs/>
        </w:rPr>
        <w:t>que sirvan a un mismo mercado o zona de cobertura geográfica, y ordenará la desincorporación de</w:t>
      </w:r>
      <w:r w:rsidR="009C0ADA">
        <w:rPr>
          <w:rFonts w:ascii="ITC Avant Garde" w:eastAsia="Times New Roman" w:hAnsi="ITC Avant Garde" w:cs="Arial"/>
          <w:bCs/>
        </w:rPr>
        <w:t xml:space="preserve"> </w:t>
      </w:r>
      <w:r w:rsidR="009C0ADA" w:rsidRPr="009C0ADA">
        <w:rPr>
          <w:rFonts w:ascii="ITC Avant Garde" w:eastAsia="Times New Roman" w:hAnsi="ITC Avant Garde" w:cs="Arial"/>
          <w:bCs/>
        </w:rPr>
        <w:t>activos, derechos o partes necesarias para asegurar el cumplimiento de estos límites, garantizando lo</w:t>
      </w:r>
      <w:r w:rsidR="009C0ADA">
        <w:rPr>
          <w:rFonts w:ascii="ITC Avant Garde" w:eastAsia="Times New Roman" w:hAnsi="ITC Avant Garde" w:cs="Arial"/>
          <w:bCs/>
        </w:rPr>
        <w:t xml:space="preserve"> </w:t>
      </w:r>
      <w:r w:rsidR="009C0ADA" w:rsidRPr="009C0ADA">
        <w:rPr>
          <w:rFonts w:ascii="ITC Avant Garde" w:eastAsia="Times New Roman" w:hAnsi="ITC Avant Garde" w:cs="Arial"/>
          <w:bCs/>
        </w:rPr>
        <w:t xml:space="preserve">dispuesto en los artículos 6o. y 7o. de </w:t>
      </w:r>
      <w:r w:rsidR="009C0ADA">
        <w:rPr>
          <w:rFonts w:ascii="ITC Avant Garde" w:eastAsia="Times New Roman" w:hAnsi="ITC Avant Garde" w:cs="Arial"/>
          <w:bCs/>
        </w:rPr>
        <w:t>la</w:t>
      </w:r>
      <w:r w:rsidR="009C0ADA" w:rsidRPr="009C0ADA">
        <w:rPr>
          <w:rFonts w:ascii="ITC Avant Garde" w:eastAsia="Times New Roman" w:hAnsi="ITC Avant Garde" w:cs="Arial"/>
          <w:bCs/>
        </w:rPr>
        <w:t xml:space="preserve"> Constitución</w:t>
      </w:r>
      <w:r w:rsidR="009C0ADA">
        <w:rPr>
          <w:rFonts w:ascii="ITC Avant Garde" w:eastAsia="Times New Roman" w:hAnsi="ITC Avant Garde" w:cs="Arial"/>
          <w:bCs/>
        </w:rPr>
        <w:t>.</w:t>
      </w:r>
    </w:p>
    <w:p w14:paraId="79D50D9A" w14:textId="77777777" w:rsidR="008369E9" w:rsidRDefault="00DB3881" w:rsidP="008369E9">
      <w:pPr>
        <w:adjustRightInd w:val="0"/>
        <w:spacing w:before="480" w:after="240" w:line="240" w:lineRule="auto"/>
        <w:jc w:val="both"/>
        <w:rPr>
          <w:rFonts w:ascii="ITC Avant Garde" w:eastAsia="Times New Roman" w:hAnsi="ITC Avant Garde" w:cs="Arial"/>
          <w:bCs/>
        </w:rPr>
      </w:pPr>
      <w:r>
        <w:rPr>
          <w:rFonts w:ascii="ITC Avant Garde" w:eastAsia="Times New Roman" w:hAnsi="ITC Avant Garde" w:cs="Arial"/>
          <w:bCs/>
        </w:rPr>
        <w:t>En cumplimiento</w:t>
      </w:r>
      <w:r w:rsidRPr="00A36195">
        <w:rPr>
          <w:rFonts w:ascii="ITC Avant Garde" w:eastAsia="Times New Roman" w:hAnsi="ITC Avant Garde" w:cs="Arial"/>
          <w:bCs/>
        </w:rPr>
        <w:t xml:space="preserve"> a lo establecido en el artículo Transitorio Octavo</w:t>
      </w:r>
      <w:r>
        <w:rPr>
          <w:rFonts w:ascii="ITC Avant Garde" w:eastAsia="Times New Roman" w:hAnsi="ITC Avant Garde" w:cs="Arial"/>
          <w:bCs/>
        </w:rPr>
        <w:t xml:space="preserve">, </w:t>
      </w:r>
      <w:r w:rsidRPr="00A36195">
        <w:rPr>
          <w:rFonts w:ascii="ITC Avant Garde" w:eastAsia="Times New Roman" w:hAnsi="ITC Avant Garde" w:cs="Arial"/>
          <w:bCs/>
        </w:rPr>
        <w:t>fracción</w:t>
      </w:r>
      <w:r>
        <w:rPr>
          <w:rFonts w:ascii="ITC Avant Garde" w:eastAsia="Times New Roman" w:hAnsi="ITC Avant Garde" w:cs="Arial"/>
          <w:bCs/>
        </w:rPr>
        <w:t xml:space="preserve"> III</w:t>
      </w:r>
      <w:r w:rsidRPr="00A36195">
        <w:rPr>
          <w:rFonts w:ascii="ITC Avant Garde" w:eastAsia="Times New Roman" w:hAnsi="ITC Avant Garde" w:cs="Arial"/>
          <w:bCs/>
        </w:rPr>
        <w:t xml:space="preserve"> del De</w:t>
      </w:r>
      <w:r>
        <w:rPr>
          <w:rFonts w:ascii="ITC Avant Garde" w:eastAsia="Times New Roman" w:hAnsi="ITC Avant Garde" w:cs="Arial"/>
          <w:bCs/>
        </w:rPr>
        <w:t>c</w:t>
      </w:r>
      <w:r w:rsidRPr="00A36195">
        <w:rPr>
          <w:rFonts w:ascii="ITC Avant Garde" w:eastAsia="Times New Roman" w:hAnsi="ITC Avant Garde" w:cs="Arial"/>
          <w:bCs/>
        </w:rPr>
        <w:t xml:space="preserve">reto Constitucional y mediante la Resolución </w:t>
      </w:r>
      <w:r>
        <w:rPr>
          <w:rFonts w:ascii="ITC Avant Garde" w:eastAsia="Times New Roman" w:hAnsi="ITC Avant Garde" w:cs="Arial"/>
          <w:bCs/>
        </w:rPr>
        <w:t>de Preponderancia, e</w:t>
      </w:r>
      <w:r w:rsidRPr="00A36195">
        <w:rPr>
          <w:rFonts w:ascii="ITC Avant Garde" w:eastAsia="Times New Roman" w:hAnsi="ITC Avant Garde" w:cs="Arial"/>
          <w:bCs/>
        </w:rPr>
        <w:t>l Instituto</w:t>
      </w:r>
      <w:r>
        <w:rPr>
          <w:rFonts w:ascii="ITC Avant Garde" w:eastAsia="Times New Roman" w:hAnsi="ITC Avant Garde" w:cs="Arial"/>
          <w:bCs/>
        </w:rPr>
        <w:t xml:space="preserve"> </w:t>
      </w:r>
      <w:r w:rsidRPr="00A36195">
        <w:rPr>
          <w:rFonts w:ascii="ITC Avant Garde" w:eastAsia="Times New Roman" w:hAnsi="ITC Avant Garde" w:cs="Arial"/>
          <w:bCs/>
        </w:rPr>
        <w:t>determinó la existencia de</w:t>
      </w:r>
      <w:r w:rsidR="0040300F">
        <w:rPr>
          <w:rFonts w:ascii="ITC Avant Garde" w:eastAsia="Times New Roman" w:hAnsi="ITC Avant Garde" w:cs="Arial"/>
          <w:bCs/>
        </w:rPr>
        <w:t>l</w:t>
      </w:r>
      <w:r w:rsidRPr="00A36195">
        <w:rPr>
          <w:rFonts w:ascii="ITC Avant Garde" w:eastAsia="Times New Roman" w:hAnsi="ITC Avant Garde" w:cs="Arial"/>
          <w:bCs/>
        </w:rPr>
        <w:t xml:space="preserve"> Agen</w:t>
      </w:r>
      <w:r>
        <w:rPr>
          <w:rFonts w:ascii="ITC Avant Garde" w:eastAsia="Times New Roman" w:hAnsi="ITC Avant Garde" w:cs="Arial"/>
          <w:bCs/>
        </w:rPr>
        <w:t>t</w:t>
      </w:r>
      <w:r w:rsidRPr="00A36195">
        <w:rPr>
          <w:rFonts w:ascii="ITC Avant Garde" w:eastAsia="Times New Roman" w:hAnsi="ITC Avant Garde" w:cs="Arial"/>
          <w:bCs/>
        </w:rPr>
        <w:t>e</w:t>
      </w:r>
      <w:r>
        <w:rPr>
          <w:rFonts w:ascii="ITC Avant Garde" w:eastAsia="Times New Roman" w:hAnsi="ITC Avant Garde" w:cs="Arial"/>
          <w:bCs/>
        </w:rPr>
        <w:t xml:space="preserve"> </w:t>
      </w:r>
      <w:r w:rsidRPr="00A36195">
        <w:rPr>
          <w:rFonts w:ascii="ITC Avant Garde" w:eastAsia="Times New Roman" w:hAnsi="ITC Avant Garde" w:cs="Arial"/>
          <w:bCs/>
        </w:rPr>
        <w:t>Económico Preponderante</w:t>
      </w:r>
      <w:r w:rsidR="0040300F">
        <w:rPr>
          <w:rFonts w:ascii="ITC Avant Garde" w:eastAsia="Times New Roman" w:hAnsi="ITC Avant Garde" w:cs="Arial"/>
          <w:bCs/>
        </w:rPr>
        <w:t xml:space="preserve"> en </w:t>
      </w:r>
      <w:r w:rsidR="007E7090">
        <w:rPr>
          <w:rFonts w:ascii="ITC Avant Garde" w:eastAsia="Times New Roman" w:hAnsi="ITC Avant Garde" w:cs="Arial"/>
          <w:bCs/>
        </w:rPr>
        <w:t>el</w:t>
      </w:r>
      <w:r w:rsidR="0040300F">
        <w:rPr>
          <w:rFonts w:ascii="ITC Avant Garde" w:eastAsia="Times New Roman" w:hAnsi="ITC Avant Garde" w:cs="Arial"/>
          <w:bCs/>
        </w:rPr>
        <w:t xml:space="preserve"> sector de </w:t>
      </w:r>
      <w:r w:rsidRPr="00A36195">
        <w:rPr>
          <w:rFonts w:ascii="ITC Avant Garde" w:eastAsia="Times New Roman" w:hAnsi="ITC Avant Garde" w:cs="Arial"/>
          <w:bCs/>
        </w:rPr>
        <w:t>telecomunicaciones</w:t>
      </w:r>
      <w:r>
        <w:rPr>
          <w:rFonts w:ascii="ITC Avant Garde" w:eastAsia="Times New Roman" w:hAnsi="ITC Avant Garde" w:cs="Arial"/>
          <w:bCs/>
        </w:rPr>
        <w:t xml:space="preserve">, </w:t>
      </w:r>
      <w:r w:rsidRPr="00A36195">
        <w:rPr>
          <w:rFonts w:ascii="ITC Avant Garde" w:eastAsia="Times New Roman" w:hAnsi="ITC Avant Garde" w:cs="Arial"/>
          <w:bCs/>
        </w:rPr>
        <w:t>e impuso las medidas necesarias para</w:t>
      </w:r>
      <w:r>
        <w:rPr>
          <w:rFonts w:ascii="ITC Avant Garde" w:eastAsia="Times New Roman" w:hAnsi="ITC Avant Garde" w:cs="Arial"/>
          <w:bCs/>
        </w:rPr>
        <w:t xml:space="preserve"> </w:t>
      </w:r>
      <w:r w:rsidRPr="00A36195">
        <w:rPr>
          <w:rFonts w:ascii="ITC Avant Garde" w:eastAsia="Times New Roman" w:hAnsi="ITC Avant Garde" w:cs="Arial"/>
          <w:bCs/>
        </w:rPr>
        <w:t>evitar que se afecte la competencia y la libre concurrencia y, con ello, a los</w:t>
      </w:r>
      <w:r>
        <w:rPr>
          <w:rFonts w:ascii="ITC Avant Garde" w:eastAsia="Times New Roman" w:hAnsi="ITC Avant Garde" w:cs="Arial"/>
          <w:bCs/>
        </w:rPr>
        <w:t xml:space="preserve"> u</w:t>
      </w:r>
      <w:r w:rsidRPr="00A36195">
        <w:rPr>
          <w:rFonts w:ascii="ITC Avant Garde" w:eastAsia="Times New Roman" w:hAnsi="ITC Avant Garde" w:cs="Arial"/>
          <w:bCs/>
        </w:rPr>
        <w:t xml:space="preserve">suarios </w:t>
      </w:r>
      <w:r>
        <w:rPr>
          <w:rFonts w:ascii="ITC Avant Garde" w:eastAsia="Times New Roman" w:hAnsi="ITC Avant Garde" w:cs="Arial"/>
          <w:bCs/>
        </w:rPr>
        <w:t>f</w:t>
      </w:r>
      <w:r w:rsidRPr="00A36195">
        <w:rPr>
          <w:rFonts w:ascii="ITC Avant Garde" w:eastAsia="Times New Roman" w:hAnsi="ITC Avant Garde" w:cs="Arial"/>
          <w:bCs/>
        </w:rPr>
        <w:t xml:space="preserve">inales. </w:t>
      </w:r>
      <w:r w:rsidR="007E7090">
        <w:rPr>
          <w:rFonts w:ascii="ITC Avant Garde" w:eastAsia="Times New Roman" w:hAnsi="ITC Avant Garde" w:cs="Arial"/>
          <w:bCs/>
        </w:rPr>
        <w:t>En el</w:t>
      </w:r>
      <w:r w:rsidR="0040300F">
        <w:rPr>
          <w:rFonts w:ascii="ITC Avant Garde" w:eastAsia="Times New Roman" w:hAnsi="ITC Avant Garde" w:cs="Arial"/>
          <w:bCs/>
        </w:rPr>
        <w:t xml:space="preserve"> Anexo 2 </w:t>
      </w:r>
      <w:r w:rsidR="007E7090">
        <w:rPr>
          <w:rFonts w:ascii="ITC Avant Garde" w:eastAsia="Times New Roman" w:hAnsi="ITC Avant Garde" w:cs="Arial"/>
          <w:bCs/>
        </w:rPr>
        <w:t xml:space="preserve">denominado </w:t>
      </w:r>
      <w:r w:rsidR="007E7090">
        <w:rPr>
          <w:rFonts w:ascii="ITC Avant Garde" w:eastAsia="Times New Roman" w:hAnsi="ITC Avant Garde" w:cs="Arial"/>
          <w:bCs/>
          <w:lang w:val="es-ES_tradnl" w:eastAsia="es-ES"/>
        </w:rPr>
        <w:t>“</w:t>
      </w:r>
      <w:r w:rsidR="007E7090" w:rsidRPr="00ED0F7E">
        <w:rPr>
          <w:rFonts w:ascii="ITC Avant Garde" w:eastAsia="Times New Roman" w:hAnsi="ITC Avant Garde" w:cs="Arial"/>
          <w:bCs/>
          <w:lang w:val="es-ES_tradnl" w:eastAsia="es-ES"/>
        </w:rPr>
        <w:t>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FIJOS</w:t>
      </w:r>
      <w:r w:rsidR="007E7090">
        <w:rPr>
          <w:rFonts w:ascii="ITC Avant Garde" w:eastAsia="Times New Roman" w:hAnsi="ITC Avant Garde" w:cs="Arial"/>
          <w:bCs/>
          <w:lang w:val="es-ES_tradnl" w:eastAsia="es-ES"/>
        </w:rPr>
        <w:t xml:space="preserve">” de la Resolución de Preponderancia se estableció la medida Cuadragésima </w:t>
      </w:r>
      <w:r w:rsidR="0040300F" w:rsidRPr="0040300F">
        <w:rPr>
          <w:rFonts w:ascii="ITC Avant Garde" w:eastAsia="Times New Roman" w:hAnsi="ITC Avant Garde" w:cs="Arial"/>
          <w:bCs/>
        </w:rPr>
        <w:t>relacionada con el control de precios a las tarifas aplicables por el Agente Económico Preponderante para la prestación de</w:t>
      </w:r>
      <w:r w:rsidR="0040300F">
        <w:rPr>
          <w:rFonts w:ascii="ITC Avant Garde" w:eastAsia="Times New Roman" w:hAnsi="ITC Avant Garde" w:cs="Arial"/>
          <w:bCs/>
        </w:rPr>
        <w:t xml:space="preserve"> los</w:t>
      </w:r>
      <w:r w:rsidR="0040300F" w:rsidRPr="0040300F">
        <w:rPr>
          <w:rFonts w:ascii="ITC Avant Garde" w:eastAsia="Times New Roman" w:hAnsi="ITC Avant Garde" w:cs="Arial"/>
          <w:bCs/>
        </w:rPr>
        <w:t xml:space="preserve"> servicios</w:t>
      </w:r>
      <w:r w:rsidR="0040300F">
        <w:rPr>
          <w:rFonts w:ascii="ITC Avant Garde" w:eastAsia="Times New Roman" w:hAnsi="ITC Avant Garde" w:cs="Arial"/>
          <w:bCs/>
        </w:rPr>
        <w:t xml:space="preserve"> de telecomunicaciones fijos.</w:t>
      </w:r>
    </w:p>
    <w:p w14:paraId="753A3CD3" w14:textId="77777777" w:rsidR="008369E9" w:rsidRDefault="00DB3881" w:rsidP="008369E9">
      <w:pPr>
        <w:adjustRightInd w:val="0"/>
        <w:spacing w:before="480" w:after="240" w:line="240" w:lineRule="auto"/>
        <w:jc w:val="both"/>
        <w:rPr>
          <w:rFonts w:ascii="ITC Avant Garde" w:eastAsia="Times New Roman" w:hAnsi="ITC Avant Garde" w:cs="Arial"/>
          <w:bCs/>
        </w:rPr>
      </w:pPr>
      <w:r>
        <w:rPr>
          <w:rFonts w:ascii="ITC Avant Garde" w:eastAsia="Times New Roman" w:hAnsi="ITC Avant Garde" w:cs="Arial"/>
          <w:bCs/>
        </w:rPr>
        <w:t xml:space="preserve">Por otro lado, </w:t>
      </w:r>
      <w:r w:rsidRPr="00A36195">
        <w:rPr>
          <w:rFonts w:ascii="ITC Avant Garde" w:eastAsia="Times New Roman" w:hAnsi="ITC Avant Garde" w:cs="Arial"/>
          <w:bCs/>
        </w:rPr>
        <w:t>el artículo Transitorio Trigésimo</w:t>
      </w:r>
      <w:r>
        <w:rPr>
          <w:rFonts w:ascii="ITC Avant Garde" w:eastAsia="Times New Roman" w:hAnsi="ITC Avant Garde" w:cs="Arial"/>
          <w:bCs/>
        </w:rPr>
        <w:t xml:space="preserve"> </w:t>
      </w:r>
      <w:r w:rsidRPr="00A36195">
        <w:rPr>
          <w:rFonts w:ascii="ITC Avant Garde" w:eastAsia="Times New Roman" w:hAnsi="ITC Avant Garde" w:cs="Arial"/>
          <w:bCs/>
        </w:rPr>
        <w:t>Quinto del Decreto</w:t>
      </w:r>
      <w:r>
        <w:rPr>
          <w:rFonts w:ascii="ITC Avant Garde" w:eastAsia="Times New Roman" w:hAnsi="ITC Avant Garde" w:cs="Arial"/>
          <w:bCs/>
        </w:rPr>
        <w:t xml:space="preserve"> de Ley dispone qu</w:t>
      </w:r>
      <w:r w:rsidR="00B75A37">
        <w:rPr>
          <w:rFonts w:ascii="ITC Avant Garde" w:eastAsia="Times New Roman" w:hAnsi="ITC Avant Garde" w:cs="Arial"/>
          <w:bCs/>
        </w:rPr>
        <w:t>e</w:t>
      </w:r>
      <w:r>
        <w:rPr>
          <w:rFonts w:ascii="ITC Avant Garde" w:eastAsia="Times New Roman" w:hAnsi="ITC Avant Garde" w:cs="Arial"/>
          <w:bCs/>
        </w:rPr>
        <w:t xml:space="preserve"> las </w:t>
      </w:r>
      <w:r w:rsidRPr="00A36195">
        <w:rPr>
          <w:rFonts w:ascii="ITC Avant Garde" w:eastAsia="Times New Roman" w:hAnsi="ITC Avant Garde" w:cs="Arial"/>
          <w:bCs/>
        </w:rPr>
        <w:t>resoluciones administrativas que el</w:t>
      </w:r>
      <w:r>
        <w:rPr>
          <w:rFonts w:ascii="ITC Avant Garde" w:eastAsia="Times New Roman" w:hAnsi="ITC Avant Garde" w:cs="Arial"/>
          <w:bCs/>
        </w:rPr>
        <w:t xml:space="preserve"> I</w:t>
      </w:r>
      <w:r w:rsidRPr="00A36195">
        <w:rPr>
          <w:rFonts w:ascii="ITC Avant Garde" w:eastAsia="Times New Roman" w:hAnsi="ITC Avant Garde" w:cs="Arial"/>
          <w:bCs/>
        </w:rPr>
        <w:t>nstituto hubiere emitido previamente a la</w:t>
      </w:r>
      <w:r>
        <w:rPr>
          <w:rFonts w:ascii="ITC Avant Garde" w:eastAsia="Times New Roman" w:hAnsi="ITC Avant Garde" w:cs="Arial"/>
          <w:bCs/>
        </w:rPr>
        <w:t xml:space="preserve"> </w:t>
      </w:r>
      <w:r w:rsidRPr="00A36195">
        <w:rPr>
          <w:rFonts w:ascii="ITC Avant Garde" w:eastAsia="Times New Roman" w:hAnsi="ITC Avant Garde" w:cs="Arial"/>
          <w:bCs/>
        </w:rPr>
        <w:t>entrada</w:t>
      </w:r>
      <w:r>
        <w:rPr>
          <w:rFonts w:ascii="ITC Avant Garde" w:eastAsia="Times New Roman" w:hAnsi="ITC Avant Garde" w:cs="Arial"/>
          <w:bCs/>
        </w:rPr>
        <w:t xml:space="preserve"> </w:t>
      </w:r>
      <w:r w:rsidRPr="00A36195">
        <w:rPr>
          <w:rFonts w:ascii="ITC Avant Garde" w:eastAsia="Times New Roman" w:hAnsi="ITC Avant Garde" w:cs="Arial"/>
          <w:bCs/>
        </w:rPr>
        <w:t>en vigor del mismo en materia de prepon</w:t>
      </w:r>
      <w:r>
        <w:rPr>
          <w:rFonts w:ascii="ITC Avant Garde" w:eastAsia="Times New Roman" w:hAnsi="ITC Avant Garde" w:cs="Arial"/>
          <w:bCs/>
        </w:rPr>
        <w:t>derancia, continuarán surtiendo todos sus</w:t>
      </w:r>
      <w:r w:rsidRPr="00A36195">
        <w:rPr>
          <w:rFonts w:ascii="ITC Avant Garde" w:eastAsia="Times New Roman" w:hAnsi="ITC Avant Garde" w:cs="Arial"/>
          <w:bCs/>
        </w:rPr>
        <w:t xml:space="preserve"> efecto</w:t>
      </w:r>
      <w:r>
        <w:rPr>
          <w:rFonts w:ascii="ITC Avant Garde" w:eastAsia="Times New Roman" w:hAnsi="ITC Avant Garde" w:cs="Arial"/>
          <w:bCs/>
        </w:rPr>
        <w:t>s, por lo que la Resolución de Preponderancia</w:t>
      </w:r>
      <w:r w:rsidRPr="00A36195">
        <w:rPr>
          <w:rFonts w:ascii="ITC Avant Garde" w:eastAsia="Times New Roman" w:hAnsi="ITC Avant Garde" w:cs="Arial"/>
          <w:bCs/>
        </w:rPr>
        <w:t xml:space="preserve"> y sus anexos se encuentran vigentes.</w:t>
      </w:r>
    </w:p>
    <w:p w14:paraId="67719E94" w14:textId="77777777" w:rsidR="008369E9" w:rsidRDefault="00994A53" w:rsidP="008369E9">
      <w:pPr>
        <w:adjustRightInd w:val="0"/>
        <w:spacing w:before="480" w:after="240" w:line="240" w:lineRule="auto"/>
        <w:jc w:val="both"/>
        <w:rPr>
          <w:rFonts w:ascii="ITC Avant Garde" w:eastAsia="Times New Roman" w:hAnsi="ITC Avant Garde" w:cs="Arial"/>
          <w:bCs/>
          <w:lang w:eastAsia="es-ES"/>
        </w:rPr>
      </w:pPr>
      <w:r w:rsidRPr="004C52B2">
        <w:rPr>
          <w:rFonts w:ascii="ITC Avant Garde" w:eastAsia="Times New Roman" w:hAnsi="ITC Avant Garde" w:cs="Arial"/>
          <w:bCs/>
          <w:lang w:eastAsia="es-ES"/>
        </w:rPr>
        <w:t xml:space="preserve">Por su parte, </w:t>
      </w:r>
      <w:r w:rsidR="001528A0" w:rsidRPr="004C52B2">
        <w:rPr>
          <w:rFonts w:ascii="ITC Avant Garde" w:eastAsia="Times New Roman" w:hAnsi="ITC Avant Garde" w:cs="Arial"/>
          <w:bCs/>
          <w:lang w:eastAsia="es-ES"/>
        </w:rPr>
        <w:t>la fracción I d</w:t>
      </w:r>
      <w:r w:rsidRPr="004C52B2">
        <w:rPr>
          <w:rFonts w:ascii="ITC Avant Garde" w:eastAsia="Times New Roman" w:hAnsi="ITC Avant Garde" w:cs="Arial"/>
          <w:bCs/>
          <w:lang w:eastAsia="es-ES"/>
        </w:rPr>
        <w:t>el artículo 6 del Estatuto,</w:t>
      </w:r>
      <w:r w:rsidR="003D3E3D" w:rsidRPr="004C52B2">
        <w:rPr>
          <w:rFonts w:ascii="ITC Avant Garde" w:eastAsia="Times New Roman" w:hAnsi="ITC Avant Garde" w:cs="Arial"/>
          <w:bCs/>
          <w:lang w:eastAsia="es-ES"/>
        </w:rPr>
        <w:t xml:space="preserve"> </w:t>
      </w:r>
      <w:r w:rsidRPr="004C52B2">
        <w:rPr>
          <w:rFonts w:ascii="ITC Avant Garde" w:eastAsia="Times New Roman" w:hAnsi="ITC Avant Garde" w:cs="Arial"/>
          <w:bCs/>
          <w:lang w:eastAsia="es-ES"/>
        </w:rPr>
        <w:t xml:space="preserve">establece que el Pleno del Instituto cuenta, con la </w:t>
      </w:r>
      <w:r w:rsidR="00603364" w:rsidRPr="004C52B2">
        <w:rPr>
          <w:rFonts w:ascii="ITC Avant Garde" w:eastAsia="Times New Roman" w:hAnsi="ITC Avant Garde" w:cs="Arial"/>
          <w:bCs/>
          <w:lang w:eastAsia="es-ES"/>
        </w:rPr>
        <w:t xml:space="preserve">atribución </w:t>
      </w:r>
      <w:r w:rsidRPr="004C52B2">
        <w:rPr>
          <w:rFonts w:ascii="ITC Avant Garde" w:eastAsia="Times New Roman" w:hAnsi="ITC Avant Garde" w:cs="Arial"/>
          <w:bCs/>
          <w:lang w:eastAsia="es-ES"/>
        </w:rPr>
        <w:t xml:space="preserve">de regular, promover y supervisar el uso, aprovechamiento y explotación eficiente del espectro radioeléctrico, los recursos orbitales, los servicios </w:t>
      </w:r>
      <w:r w:rsidRPr="004C52B2">
        <w:rPr>
          <w:rFonts w:ascii="ITC Avant Garde" w:eastAsia="Times New Roman" w:hAnsi="ITC Avant Garde" w:cs="Arial"/>
          <w:bCs/>
          <w:lang w:eastAsia="es-ES"/>
        </w:rPr>
        <w:lastRenderedPageBreak/>
        <w:t>satelitales, las redes de telecomunicaciones y la prestación de los servicios de radiodifusión y telecomunicaciones, así como el acceso a infraestructura activa, pasiva e insumos esenciales.</w:t>
      </w:r>
    </w:p>
    <w:p w14:paraId="291E1E50" w14:textId="77777777" w:rsidR="008369E9" w:rsidRDefault="00994A53" w:rsidP="008369E9">
      <w:pPr>
        <w:adjustRightInd w:val="0"/>
        <w:spacing w:before="480" w:after="240" w:line="240" w:lineRule="auto"/>
        <w:jc w:val="both"/>
        <w:rPr>
          <w:rFonts w:ascii="ITC Avant Garde" w:eastAsia="Times New Roman" w:hAnsi="ITC Avant Garde" w:cs="Arial"/>
          <w:bCs/>
        </w:rPr>
      </w:pPr>
      <w:r w:rsidRPr="004C52B2">
        <w:rPr>
          <w:rFonts w:ascii="ITC Avant Garde" w:eastAsia="Times New Roman" w:hAnsi="ITC Avant Garde" w:cs="Arial"/>
          <w:bCs/>
        </w:rPr>
        <w:t>En tales condiciones el Pleno del Instituto, como órgano colegiado cuenta con facultades de supervisión, a fin de asegurar que la prestación de los servicios de telecomunicaciones se realice con apego a las disposiciones legales, reglamentarias y administrativas aplicables.</w:t>
      </w:r>
    </w:p>
    <w:p w14:paraId="09042442" w14:textId="77777777" w:rsidR="008369E9" w:rsidRDefault="00204904" w:rsidP="008369E9">
      <w:pPr>
        <w:spacing w:before="480" w:after="240" w:line="240" w:lineRule="auto"/>
        <w:jc w:val="both"/>
        <w:rPr>
          <w:rFonts w:ascii="ITC Avant Garde" w:eastAsia="Times New Roman" w:hAnsi="ITC Avant Garde" w:cs="Arial"/>
        </w:rPr>
      </w:pPr>
      <w:proofErr w:type="gramStart"/>
      <w:r w:rsidRPr="004C52B2">
        <w:rPr>
          <w:rFonts w:ascii="ITC Avant Garde" w:eastAsia="Times New Roman" w:hAnsi="ITC Avant Garde" w:cs="Arial"/>
          <w:b/>
          <w:bCs/>
        </w:rPr>
        <w:t>SEGUNDO.-</w:t>
      </w:r>
      <w:proofErr w:type="gramEnd"/>
      <w:r w:rsidRPr="004C52B2">
        <w:rPr>
          <w:rFonts w:ascii="ITC Avant Garde" w:eastAsia="Times New Roman" w:hAnsi="ITC Avant Garde" w:cs="Arial"/>
          <w:b/>
          <w:bCs/>
        </w:rPr>
        <w:t xml:space="preserve"> Medidas relacionadas con </w:t>
      </w:r>
      <w:r w:rsidR="00F17866" w:rsidRPr="004C52B2">
        <w:rPr>
          <w:rFonts w:ascii="ITC Avant Garde" w:eastAsia="Times New Roman" w:hAnsi="ITC Avant Garde" w:cs="Arial"/>
          <w:b/>
          <w:bCs/>
        </w:rPr>
        <w:t>el control de precios a las tarifas aplicables por el Agente Económico Preponderante para la prestación de servicios</w:t>
      </w:r>
      <w:r w:rsidRPr="004C52B2">
        <w:rPr>
          <w:rFonts w:ascii="ITC Avant Garde" w:eastAsia="Times New Roman" w:hAnsi="ITC Avant Garde" w:cs="Arial"/>
          <w:b/>
          <w:bCs/>
        </w:rPr>
        <w:t xml:space="preserve">. </w:t>
      </w:r>
      <w:r w:rsidR="00051955" w:rsidRPr="004C52B2">
        <w:rPr>
          <w:rFonts w:ascii="ITC Avant Garde" w:eastAsia="Times New Roman" w:hAnsi="ITC Avant Garde" w:cs="Arial"/>
        </w:rPr>
        <w:t>L</w:t>
      </w:r>
      <w:r w:rsidRPr="004C52B2">
        <w:rPr>
          <w:rFonts w:ascii="ITC Avant Garde" w:eastAsia="Times New Roman" w:hAnsi="ITC Avant Garde" w:cs="Arial"/>
        </w:rPr>
        <w:t>a medida Cuadragésima</w:t>
      </w:r>
      <w:r w:rsidR="00051955" w:rsidRPr="004C52B2">
        <w:rPr>
          <w:rFonts w:ascii="ITC Avant Garde" w:eastAsia="Times New Roman" w:hAnsi="ITC Avant Garde" w:cs="Arial"/>
        </w:rPr>
        <w:t xml:space="preserve"> </w:t>
      </w:r>
      <w:r w:rsidR="00303B3C" w:rsidRPr="004C52B2">
        <w:rPr>
          <w:rFonts w:ascii="ITC Avant Garde" w:eastAsia="Times New Roman" w:hAnsi="ITC Avant Garde" w:cs="Arial"/>
        </w:rPr>
        <w:t xml:space="preserve">del Anexo 2 denominado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FIJOS” </w:t>
      </w:r>
      <w:r w:rsidR="00721F4D" w:rsidRPr="004C52B2">
        <w:rPr>
          <w:rFonts w:ascii="ITC Avant Garde" w:eastAsia="Times New Roman" w:hAnsi="ITC Avant Garde" w:cs="Arial"/>
        </w:rPr>
        <w:t xml:space="preserve">de la Resolución de </w:t>
      </w:r>
      <w:r w:rsidR="00721F4D">
        <w:rPr>
          <w:rFonts w:ascii="ITC Avant Garde" w:eastAsia="Times New Roman" w:hAnsi="ITC Avant Garde" w:cs="Arial"/>
        </w:rPr>
        <w:t>Preponderancia</w:t>
      </w:r>
      <w:r w:rsidR="00721F4D" w:rsidRPr="004C52B2">
        <w:rPr>
          <w:rFonts w:ascii="ITC Avant Garde" w:eastAsia="Times New Roman" w:hAnsi="ITC Avant Garde" w:cs="Arial"/>
        </w:rPr>
        <w:t xml:space="preserve"> </w:t>
      </w:r>
      <w:r w:rsidR="00051955" w:rsidRPr="004C52B2">
        <w:rPr>
          <w:rFonts w:ascii="ITC Avant Garde" w:eastAsia="Times New Roman" w:hAnsi="ITC Avant Garde" w:cs="Arial"/>
        </w:rPr>
        <w:t>establece que</w:t>
      </w:r>
      <w:r w:rsidRPr="004C52B2">
        <w:rPr>
          <w:rFonts w:ascii="ITC Avant Garde" w:eastAsia="Times New Roman" w:hAnsi="ITC Avant Garde" w:cs="Arial"/>
        </w:rPr>
        <w:t xml:space="preserve"> </w:t>
      </w:r>
      <w:r w:rsidR="00EF4290" w:rsidRPr="004C52B2">
        <w:rPr>
          <w:rFonts w:ascii="ITC Avant Garde" w:eastAsia="Times New Roman" w:hAnsi="ITC Avant Garde" w:cs="Arial"/>
        </w:rPr>
        <w:t xml:space="preserve">diversos servicios de </w:t>
      </w:r>
      <w:r w:rsidR="00051955" w:rsidRPr="004C52B2">
        <w:rPr>
          <w:rFonts w:ascii="ITC Avant Garde" w:eastAsia="Times New Roman" w:hAnsi="ITC Avant Garde" w:cs="Arial"/>
        </w:rPr>
        <w:t>telecomunicaciones</w:t>
      </w:r>
      <w:r w:rsidR="00EF4290" w:rsidRPr="004C52B2">
        <w:rPr>
          <w:rFonts w:ascii="ITC Avant Garde" w:eastAsia="Times New Roman" w:hAnsi="ITC Avant Garde" w:cs="Arial"/>
        </w:rPr>
        <w:t xml:space="preserve">, entre ellos </w:t>
      </w:r>
      <w:r w:rsidRPr="004C52B2">
        <w:rPr>
          <w:rFonts w:ascii="ITC Avant Garde" w:eastAsia="Times New Roman" w:hAnsi="ITC Avant Garde" w:cs="Arial"/>
        </w:rPr>
        <w:t>el servicio de acceso a Internet de banda ancha fija</w:t>
      </w:r>
      <w:r w:rsidR="00EF4290" w:rsidRPr="004C52B2">
        <w:rPr>
          <w:rFonts w:ascii="ITC Avant Garde" w:eastAsia="Times New Roman" w:hAnsi="ITC Avant Garde" w:cs="Arial"/>
        </w:rPr>
        <w:t>,</w:t>
      </w:r>
      <w:r w:rsidRPr="004C52B2">
        <w:rPr>
          <w:rFonts w:ascii="ITC Avant Garde" w:eastAsia="Times New Roman" w:hAnsi="ITC Avant Garde" w:cs="Arial"/>
        </w:rPr>
        <w:t xml:space="preserve"> </w:t>
      </w:r>
      <w:r w:rsidR="00051955" w:rsidRPr="004C52B2">
        <w:rPr>
          <w:rFonts w:ascii="ITC Avant Garde" w:eastAsia="Times New Roman" w:hAnsi="ITC Avant Garde" w:cs="Arial"/>
        </w:rPr>
        <w:t xml:space="preserve">se encuentran </w:t>
      </w:r>
      <w:r w:rsidRPr="004C52B2">
        <w:rPr>
          <w:rFonts w:ascii="ITC Avant Garde" w:eastAsia="Times New Roman" w:hAnsi="ITC Avant Garde" w:cs="Arial"/>
        </w:rPr>
        <w:t>sujeto</w:t>
      </w:r>
      <w:r w:rsidR="00EF4290" w:rsidRPr="004C52B2">
        <w:rPr>
          <w:rFonts w:ascii="ITC Avant Garde" w:eastAsia="Times New Roman" w:hAnsi="ITC Avant Garde" w:cs="Arial"/>
        </w:rPr>
        <w:t>s</w:t>
      </w:r>
      <w:r w:rsidRPr="004C52B2">
        <w:rPr>
          <w:rFonts w:ascii="ITC Avant Garde" w:eastAsia="Times New Roman" w:hAnsi="ITC Avant Garde" w:cs="Arial"/>
        </w:rPr>
        <w:t xml:space="preserve"> a un control de precios, </w:t>
      </w:r>
      <w:r w:rsidR="00EF4290" w:rsidRPr="004C52B2">
        <w:rPr>
          <w:rFonts w:ascii="ITC Avant Garde" w:eastAsia="Times New Roman" w:hAnsi="ITC Avant Garde" w:cs="Arial"/>
        </w:rPr>
        <w:t>aprobado por el Instituto</w:t>
      </w:r>
      <w:r w:rsidR="00303B3C" w:rsidRPr="004C52B2">
        <w:rPr>
          <w:rFonts w:ascii="ITC Avant Garde" w:eastAsia="Times New Roman" w:hAnsi="ITC Avant Garde" w:cs="Arial"/>
        </w:rPr>
        <w:t xml:space="preserve">, dicha </w:t>
      </w:r>
      <w:r w:rsidR="00EF4290" w:rsidRPr="004C52B2">
        <w:rPr>
          <w:rFonts w:ascii="ITC Avant Garde" w:eastAsia="Times New Roman" w:hAnsi="ITC Avant Garde" w:cs="Arial"/>
        </w:rPr>
        <w:t xml:space="preserve">medida </w:t>
      </w:r>
      <w:r w:rsidR="00303B3C" w:rsidRPr="004C52B2">
        <w:rPr>
          <w:rFonts w:ascii="ITC Avant Garde" w:eastAsia="Times New Roman" w:hAnsi="ITC Avant Garde" w:cs="Arial"/>
        </w:rPr>
        <w:t xml:space="preserve">señala expresamente </w:t>
      </w:r>
      <w:r w:rsidR="00051955" w:rsidRPr="004C52B2">
        <w:rPr>
          <w:rFonts w:ascii="ITC Avant Garde" w:eastAsia="Times New Roman" w:hAnsi="ITC Avant Garde" w:cs="Arial"/>
        </w:rPr>
        <w:t>que</w:t>
      </w:r>
      <w:r w:rsidRPr="004C52B2">
        <w:rPr>
          <w:rFonts w:ascii="ITC Avant Garde" w:eastAsia="Times New Roman" w:hAnsi="ITC Avant Garde" w:cs="Arial"/>
        </w:rPr>
        <w:t>:</w:t>
      </w:r>
    </w:p>
    <w:p w14:paraId="4CA26687" w14:textId="77777777" w:rsidR="008369E9" w:rsidRDefault="00CA7772" w:rsidP="008369E9">
      <w:pPr>
        <w:pStyle w:val="Citaiftcalibri"/>
        <w:spacing w:before="480" w:after="240"/>
        <w:rPr>
          <w:rFonts w:ascii="ITC Avant Garde" w:hAnsi="ITC Avant Garde"/>
          <w:sz w:val="20"/>
          <w:szCs w:val="22"/>
        </w:rPr>
      </w:pPr>
      <w:r w:rsidRPr="00F17AE3">
        <w:rPr>
          <w:rFonts w:ascii="ITC Avant Garde" w:hAnsi="ITC Avant Garde"/>
          <w:sz w:val="20"/>
          <w:szCs w:val="22"/>
        </w:rPr>
        <w:t>“</w:t>
      </w:r>
      <w:proofErr w:type="gramStart"/>
      <w:r w:rsidR="00851693" w:rsidRPr="00F17AE3">
        <w:rPr>
          <w:rFonts w:ascii="ITC Avant Garde" w:hAnsi="ITC Avant Garde"/>
          <w:b/>
          <w:sz w:val="20"/>
          <w:szCs w:val="22"/>
        </w:rPr>
        <w:t>CUADRAGÉSIMA.-</w:t>
      </w:r>
      <w:proofErr w:type="gramEnd"/>
      <w:r w:rsidR="00851693" w:rsidRPr="00F17AE3">
        <w:rPr>
          <w:rFonts w:ascii="ITC Avant Garde" w:hAnsi="ITC Avant Garde"/>
          <w:sz w:val="20"/>
          <w:szCs w:val="22"/>
        </w:rPr>
        <w:t xml:space="preserve"> </w:t>
      </w:r>
      <w:r w:rsidR="00204904" w:rsidRPr="00F17AE3">
        <w:rPr>
          <w:rFonts w:ascii="ITC Avant Garde" w:hAnsi="ITC Avant Garde"/>
          <w:sz w:val="20"/>
          <w:szCs w:val="22"/>
        </w:rPr>
        <w:t>Las tarifas aplicables por el Agente Económico Preponderante para la prestación de servicios al Usuario estarán sujetas a un control de precios autorizado por el Instituto, en el cual se aplicará un límite máximo a la tarifa promedio ponderada de la canasta de servicios de telecomunicaciones que deberá incluir de manera enunciativa más no limitativa:</w:t>
      </w:r>
    </w:p>
    <w:p w14:paraId="08BED801" w14:textId="77777777" w:rsidR="008369E9" w:rsidRDefault="00204904" w:rsidP="008369E9">
      <w:pPr>
        <w:pStyle w:val="Citaiftcalibri"/>
        <w:numPr>
          <w:ilvl w:val="0"/>
          <w:numId w:val="28"/>
        </w:numPr>
        <w:spacing w:before="480" w:after="240"/>
        <w:rPr>
          <w:rFonts w:ascii="ITC Avant Garde" w:hAnsi="ITC Avant Garde"/>
          <w:sz w:val="20"/>
          <w:szCs w:val="22"/>
        </w:rPr>
      </w:pPr>
      <w:r w:rsidRPr="00F17AE3">
        <w:rPr>
          <w:rFonts w:ascii="ITC Avant Garde" w:hAnsi="ITC Avant Garde"/>
          <w:sz w:val="20"/>
          <w:szCs w:val="22"/>
        </w:rPr>
        <w:t>Servicio Local fijo</w:t>
      </w:r>
    </w:p>
    <w:p w14:paraId="44E559CC" w14:textId="0D441AA5" w:rsidR="00204904" w:rsidRPr="00F17AE3" w:rsidRDefault="00204904" w:rsidP="008369E9">
      <w:pPr>
        <w:pStyle w:val="Citaiftcalibri"/>
        <w:numPr>
          <w:ilvl w:val="0"/>
          <w:numId w:val="29"/>
        </w:numPr>
        <w:spacing w:before="480" w:after="240"/>
        <w:rPr>
          <w:rFonts w:ascii="ITC Avant Garde" w:hAnsi="ITC Avant Garde"/>
          <w:sz w:val="20"/>
          <w:szCs w:val="22"/>
        </w:rPr>
      </w:pPr>
      <w:r w:rsidRPr="00F17AE3">
        <w:rPr>
          <w:rFonts w:ascii="ITC Avant Garde" w:hAnsi="ITC Avant Garde"/>
          <w:sz w:val="20"/>
          <w:szCs w:val="22"/>
        </w:rPr>
        <w:t>Cargo de instalación por línea</w:t>
      </w:r>
    </w:p>
    <w:p w14:paraId="2DB2C645" w14:textId="77777777" w:rsidR="00204904" w:rsidRPr="00F17AE3" w:rsidRDefault="00204904" w:rsidP="008369E9">
      <w:pPr>
        <w:pStyle w:val="Citaiftcalibri"/>
        <w:numPr>
          <w:ilvl w:val="0"/>
          <w:numId w:val="29"/>
        </w:numPr>
        <w:spacing w:before="480" w:after="240"/>
        <w:rPr>
          <w:rFonts w:ascii="ITC Avant Garde" w:hAnsi="ITC Avant Garde"/>
          <w:sz w:val="20"/>
          <w:szCs w:val="22"/>
        </w:rPr>
      </w:pPr>
      <w:r w:rsidRPr="00F17AE3">
        <w:rPr>
          <w:rFonts w:ascii="ITC Avant Garde" w:hAnsi="ITC Avant Garde"/>
          <w:sz w:val="20"/>
          <w:szCs w:val="22"/>
        </w:rPr>
        <w:t>Renta básica por línea</w:t>
      </w:r>
    </w:p>
    <w:p w14:paraId="3E6D12C4" w14:textId="77777777" w:rsidR="00204904" w:rsidRPr="00F17AE3" w:rsidRDefault="00204904" w:rsidP="008369E9">
      <w:pPr>
        <w:pStyle w:val="Citaiftcalibri"/>
        <w:numPr>
          <w:ilvl w:val="0"/>
          <w:numId w:val="29"/>
        </w:numPr>
        <w:spacing w:before="480" w:after="240"/>
        <w:rPr>
          <w:rFonts w:ascii="ITC Avant Garde" w:hAnsi="ITC Avant Garde"/>
          <w:sz w:val="20"/>
          <w:szCs w:val="22"/>
        </w:rPr>
      </w:pPr>
      <w:r w:rsidRPr="00F17AE3">
        <w:rPr>
          <w:rFonts w:ascii="ITC Avant Garde" w:hAnsi="ITC Avant Garde"/>
          <w:sz w:val="20"/>
          <w:szCs w:val="22"/>
        </w:rPr>
        <w:t>Tarifas por servicio local medido</w:t>
      </w:r>
    </w:p>
    <w:p w14:paraId="413E03B6" w14:textId="77777777" w:rsidR="008369E9" w:rsidRDefault="00204904" w:rsidP="008369E9">
      <w:pPr>
        <w:pStyle w:val="Citaiftcalibri"/>
        <w:numPr>
          <w:ilvl w:val="0"/>
          <w:numId w:val="29"/>
        </w:numPr>
        <w:spacing w:before="480" w:after="240"/>
        <w:rPr>
          <w:rFonts w:ascii="ITC Avant Garde" w:hAnsi="ITC Avant Garde"/>
          <w:sz w:val="20"/>
          <w:szCs w:val="22"/>
        </w:rPr>
      </w:pPr>
      <w:r w:rsidRPr="00F17AE3">
        <w:rPr>
          <w:rFonts w:ascii="ITC Avant Garde" w:hAnsi="ITC Avant Garde"/>
          <w:sz w:val="20"/>
          <w:szCs w:val="22"/>
        </w:rPr>
        <w:t>Tarifas por llamadas locales realizadas desde teléfonos fijos que terminan en teléfonos móviles bajo la modalidad “El que llama paga”.</w:t>
      </w:r>
    </w:p>
    <w:p w14:paraId="2AB97886" w14:textId="77777777" w:rsidR="008369E9" w:rsidRDefault="00204904" w:rsidP="008369E9">
      <w:pPr>
        <w:pStyle w:val="Citaiftcalibri"/>
        <w:numPr>
          <w:ilvl w:val="0"/>
          <w:numId w:val="28"/>
        </w:numPr>
        <w:spacing w:before="480" w:after="240"/>
        <w:rPr>
          <w:rFonts w:ascii="ITC Avant Garde" w:hAnsi="ITC Avant Garde"/>
          <w:sz w:val="20"/>
          <w:szCs w:val="22"/>
        </w:rPr>
      </w:pPr>
      <w:r w:rsidRPr="00F17AE3">
        <w:rPr>
          <w:rFonts w:ascii="ITC Avant Garde" w:hAnsi="ITC Avant Garde"/>
          <w:sz w:val="20"/>
          <w:szCs w:val="22"/>
        </w:rPr>
        <w:lastRenderedPageBreak/>
        <w:t>Servicio de acceso a Internet de banda ancha fija desagregado por velocidades ofertadas</w:t>
      </w:r>
    </w:p>
    <w:p w14:paraId="598E9168" w14:textId="77777777" w:rsidR="008369E9" w:rsidRDefault="00204904" w:rsidP="008369E9">
      <w:pPr>
        <w:pStyle w:val="Citaiftcalibri"/>
        <w:numPr>
          <w:ilvl w:val="0"/>
          <w:numId w:val="28"/>
        </w:numPr>
        <w:spacing w:before="480" w:after="240"/>
        <w:rPr>
          <w:rFonts w:ascii="ITC Avant Garde" w:hAnsi="ITC Avant Garde"/>
          <w:sz w:val="20"/>
          <w:szCs w:val="22"/>
        </w:rPr>
      </w:pPr>
      <w:r w:rsidRPr="00F17AE3">
        <w:rPr>
          <w:rFonts w:ascii="ITC Avant Garde" w:hAnsi="ITC Avant Garde"/>
          <w:sz w:val="20"/>
          <w:szCs w:val="22"/>
        </w:rPr>
        <w:t>Servicios de larga distancia</w:t>
      </w:r>
    </w:p>
    <w:p w14:paraId="6E4EAD2A" w14:textId="77777777" w:rsidR="008369E9" w:rsidRDefault="00204904" w:rsidP="008369E9">
      <w:pPr>
        <w:pStyle w:val="Citaiftcalibri"/>
        <w:spacing w:before="480" w:after="240"/>
        <w:rPr>
          <w:rFonts w:ascii="ITC Avant Garde" w:hAnsi="ITC Avant Garde"/>
          <w:sz w:val="20"/>
          <w:szCs w:val="22"/>
        </w:rPr>
      </w:pPr>
      <w:r w:rsidRPr="00F17AE3">
        <w:rPr>
          <w:rFonts w:ascii="ITC Avant Garde" w:hAnsi="ITC Avant Garde"/>
          <w:sz w:val="20"/>
          <w:szCs w:val="22"/>
        </w:rPr>
        <w:t xml:space="preserve">Además de un límite máximo a la tarifa promedio ponderada de la canasta de servicios, el esquema tarifario podrá incluir límites particulares a cualquier elemento de la canasta propuesta. Para dicha canasta se deberá observar que los ingresos que resulten de la aplicación de los precios del periodo actual a los volúmenes del periodo anterior no excedan a los ingresos tope. Es </w:t>
      </w:r>
      <w:proofErr w:type="gramStart"/>
      <w:r w:rsidRPr="00F17AE3">
        <w:rPr>
          <w:rFonts w:ascii="ITC Avant Garde" w:hAnsi="ITC Avant Garde"/>
          <w:sz w:val="20"/>
          <w:szCs w:val="22"/>
        </w:rPr>
        <w:t>decir</w:t>
      </w:r>
      <w:proofErr w:type="gramEnd"/>
      <w:r w:rsidRPr="00F17AE3">
        <w:rPr>
          <w:rFonts w:ascii="ITC Avant Garde" w:hAnsi="ITC Avant Garde"/>
          <w:sz w:val="20"/>
          <w:szCs w:val="22"/>
        </w:rPr>
        <w:t xml:space="preserve"> se deberá satisfacer lo establecido en la siguiente fórmula:</w:t>
      </w:r>
    </w:p>
    <w:p w14:paraId="67B866F7" w14:textId="4D6D1F18" w:rsidR="00204904" w:rsidRPr="00F17AE3" w:rsidRDefault="006A4E00" w:rsidP="001A6BC0">
      <w:pPr>
        <w:pStyle w:val="Citaiftcalibri"/>
        <w:rPr>
          <w:rFonts w:ascii="ITC Avant Garde" w:hAnsi="ITC Avant Garde"/>
          <w:sz w:val="20"/>
          <w:szCs w:val="22"/>
        </w:rPr>
      </w:pPr>
      <m:oMathPara>
        <m:oMath>
          <m:nary>
            <m:naryPr>
              <m:chr m:val="∑"/>
              <m:limLoc m:val="undOvr"/>
              <m:ctrlPr>
                <w:rPr>
                  <w:rFonts w:ascii="Cambria Math" w:hAnsi="Cambria Math"/>
                  <w:sz w:val="20"/>
                  <w:szCs w:val="22"/>
                </w:rPr>
              </m:ctrlPr>
            </m:naryPr>
            <m:sub>
              <m:r>
                <w:rPr>
                  <w:rFonts w:ascii="Cambria Math" w:hAnsi="Cambria Math"/>
                  <w:sz w:val="20"/>
                  <w:szCs w:val="22"/>
                </w:rPr>
                <m:t>i=1</m:t>
              </m:r>
            </m:sub>
            <m:sup>
              <m:r>
                <w:rPr>
                  <w:rFonts w:ascii="Cambria Math" w:hAnsi="Cambria Math"/>
                  <w:sz w:val="20"/>
                  <w:szCs w:val="22"/>
                </w:rPr>
                <m:t>n</m:t>
              </m:r>
            </m:sup>
            <m:e>
              <m:sSub>
                <m:sSubPr>
                  <m:ctrlPr>
                    <w:rPr>
                      <w:rFonts w:ascii="Cambria Math" w:hAnsi="Cambria Math"/>
                      <w:sz w:val="20"/>
                      <w:szCs w:val="22"/>
                    </w:rPr>
                  </m:ctrlPr>
                </m:sSubPr>
                <m:e>
                  <m:r>
                    <w:rPr>
                      <w:rFonts w:ascii="Cambria Math" w:hAnsi="Cambria Math"/>
                      <w:sz w:val="20"/>
                      <w:szCs w:val="22"/>
                    </w:rPr>
                    <m:t>P</m:t>
                  </m:r>
                </m:e>
                <m:sub>
                  <m:r>
                    <w:rPr>
                      <w:rFonts w:ascii="Cambria Math" w:hAnsi="Cambria Math"/>
                      <w:sz w:val="20"/>
                      <w:szCs w:val="22"/>
                    </w:rPr>
                    <m:t>it</m:t>
                  </m:r>
                </m:sub>
              </m:sSub>
              <m:sSub>
                <m:sSubPr>
                  <m:ctrlPr>
                    <w:rPr>
                      <w:rFonts w:ascii="Cambria Math" w:hAnsi="Cambria Math"/>
                      <w:sz w:val="20"/>
                      <w:szCs w:val="22"/>
                    </w:rPr>
                  </m:ctrlPr>
                </m:sSubPr>
                <m:e>
                  <m:r>
                    <w:rPr>
                      <w:rFonts w:ascii="Cambria Math" w:hAnsi="Cambria Math"/>
                      <w:sz w:val="20"/>
                      <w:szCs w:val="22"/>
                    </w:rPr>
                    <m:t>Q</m:t>
                  </m:r>
                </m:e>
                <m:sub>
                  <m:r>
                    <w:rPr>
                      <w:rFonts w:ascii="Cambria Math" w:hAnsi="Cambria Math"/>
                      <w:sz w:val="20"/>
                      <w:szCs w:val="22"/>
                    </w:rPr>
                    <m:t>it-1</m:t>
                  </m:r>
                </m:sub>
              </m:sSub>
              <m:r>
                <w:rPr>
                  <w:rFonts w:ascii="Cambria Math" w:hAnsi="Cambria Math"/>
                  <w:sz w:val="20"/>
                  <w:szCs w:val="22"/>
                </w:rPr>
                <m:t>≤</m:t>
              </m:r>
              <m:d>
                <m:dPr>
                  <m:ctrlPr>
                    <w:rPr>
                      <w:rFonts w:ascii="Cambria Math" w:hAnsi="Cambria Math"/>
                      <w:sz w:val="20"/>
                      <w:szCs w:val="22"/>
                    </w:rPr>
                  </m:ctrlPr>
                </m:dPr>
                <m:e>
                  <m:r>
                    <w:rPr>
                      <w:rFonts w:ascii="Cambria Math" w:hAnsi="Cambria Math"/>
                      <w:sz w:val="20"/>
                      <w:szCs w:val="22"/>
                    </w:rPr>
                    <m:t>1-X</m:t>
                  </m:r>
                </m:e>
              </m:d>
              <m:d>
                <m:dPr>
                  <m:ctrlPr>
                    <w:rPr>
                      <w:rFonts w:ascii="Cambria Math" w:hAnsi="Cambria Math"/>
                      <w:sz w:val="20"/>
                      <w:szCs w:val="22"/>
                    </w:rPr>
                  </m:ctrlPr>
                </m:dPr>
                <m:e>
                  <m:r>
                    <w:rPr>
                      <w:rFonts w:ascii="Cambria Math" w:hAnsi="Cambria Math"/>
                      <w:sz w:val="20"/>
                      <w:szCs w:val="22"/>
                    </w:rPr>
                    <m:t>1+π</m:t>
                  </m:r>
                </m:e>
              </m:d>
              <m:nary>
                <m:naryPr>
                  <m:chr m:val="∑"/>
                  <m:limLoc m:val="undOvr"/>
                  <m:ctrlPr>
                    <w:rPr>
                      <w:rFonts w:ascii="Cambria Math" w:hAnsi="Cambria Math"/>
                      <w:sz w:val="20"/>
                      <w:szCs w:val="22"/>
                    </w:rPr>
                  </m:ctrlPr>
                </m:naryPr>
                <m:sub>
                  <m:r>
                    <w:rPr>
                      <w:rFonts w:ascii="Cambria Math" w:hAnsi="Cambria Math"/>
                      <w:sz w:val="20"/>
                      <w:szCs w:val="22"/>
                    </w:rPr>
                    <m:t>i=1</m:t>
                  </m:r>
                </m:sub>
                <m:sup>
                  <m:r>
                    <w:rPr>
                      <w:rFonts w:ascii="Cambria Math" w:hAnsi="Cambria Math"/>
                      <w:sz w:val="20"/>
                      <w:szCs w:val="22"/>
                    </w:rPr>
                    <m:t>n</m:t>
                  </m:r>
                </m:sup>
                <m:e>
                  <m:sSub>
                    <m:sSubPr>
                      <m:ctrlPr>
                        <w:rPr>
                          <w:rFonts w:ascii="Cambria Math" w:hAnsi="Cambria Math"/>
                          <w:sz w:val="20"/>
                          <w:szCs w:val="22"/>
                        </w:rPr>
                      </m:ctrlPr>
                    </m:sSubPr>
                    <m:e>
                      <m:r>
                        <w:rPr>
                          <w:rFonts w:ascii="Cambria Math" w:hAnsi="Cambria Math"/>
                          <w:sz w:val="20"/>
                          <w:szCs w:val="22"/>
                        </w:rPr>
                        <m:t>P</m:t>
                      </m:r>
                    </m:e>
                    <m:sub>
                      <m:r>
                        <w:rPr>
                          <w:rFonts w:ascii="Cambria Math" w:hAnsi="Cambria Math"/>
                          <w:sz w:val="20"/>
                          <w:szCs w:val="22"/>
                        </w:rPr>
                        <m:t>it-1</m:t>
                      </m:r>
                    </m:sub>
                  </m:sSub>
                  <m:sSub>
                    <m:sSubPr>
                      <m:ctrlPr>
                        <w:rPr>
                          <w:rFonts w:ascii="Cambria Math" w:hAnsi="Cambria Math"/>
                          <w:sz w:val="20"/>
                          <w:szCs w:val="22"/>
                        </w:rPr>
                      </m:ctrlPr>
                    </m:sSubPr>
                    <m:e>
                      <m:r>
                        <w:rPr>
                          <w:rFonts w:ascii="Cambria Math" w:hAnsi="Cambria Math"/>
                          <w:sz w:val="20"/>
                          <w:szCs w:val="22"/>
                        </w:rPr>
                        <m:t>Q</m:t>
                      </m:r>
                    </m:e>
                    <m:sub>
                      <m:r>
                        <w:rPr>
                          <w:rFonts w:ascii="Cambria Math" w:hAnsi="Cambria Math"/>
                          <w:sz w:val="20"/>
                          <w:szCs w:val="22"/>
                        </w:rPr>
                        <m:t>it-1</m:t>
                      </m:r>
                    </m:sub>
                  </m:sSub>
                </m:e>
              </m:nary>
            </m:e>
          </m:nary>
        </m:oMath>
      </m:oMathPara>
    </w:p>
    <w:p w14:paraId="0F8E598D" w14:textId="77777777" w:rsidR="008369E9" w:rsidRDefault="00204904" w:rsidP="008369E9">
      <w:pPr>
        <w:pStyle w:val="Citaiftcalibri"/>
        <w:spacing w:before="240" w:after="240"/>
        <w:rPr>
          <w:rFonts w:ascii="ITC Avant Garde" w:hAnsi="ITC Avant Garde" w:cs="ITC Avant Garde"/>
          <w:color w:val="auto"/>
          <w:sz w:val="20"/>
          <w:szCs w:val="22"/>
          <w:lang w:eastAsia="en-US" w:bidi="he-IL"/>
        </w:rPr>
      </w:pPr>
      <w:r w:rsidRPr="00F17AE3">
        <w:rPr>
          <w:rFonts w:ascii="ITC Avant Garde" w:hAnsi="ITC Avant Garde" w:cs="ITC Avant Garde"/>
          <w:color w:val="auto"/>
          <w:sz w:val="20"/>
          <w:szCs w:val="22"/>
          <w:lang w:eastAsia="en-US" w:bidi="he-IL"/>
        </w:rPr>
        <w:t xml:space="preserve">En donde: </w:t>
      </w:r>
    </w:p>
    <w:p w14:paraId="3131ABE6" w14:textId="77777777" w:rsidR="008369E9" w:rsidRDefault="006A4E00" w:rsidP="008369E9">
      <w:pPr>
        <w:pStyle w:val="Citaiftcalibri"/>
        <w:spacing w:before="240" w:after="240"/>
        <w:rPr>
          <w:rFonts w:ascii="ITC Avant Garde" w:hAnsi="ITC Avant Garde" w:cs="ITC Avant Garde"/>
          <w:color w:val="auto"/>
          <w:sz w:val="20"/>
          <w:szCs w:val="22"/>
          <w:lang w:eastAsia="en-US" w:bidi="he-IL"/>
        </w:rPr>
      </w:pPr>
      <m:oMath>
        <m:sSub>
          <m:sSubPr>
            <m:ctrlPr>
              <w:rPr>
                <w:rFonts w:ascii="Cambria Math" w:hAnsi="Cambria Math" w:cs="ITC Avant Garde"/>
                <w:color w:val="auto"/>
                <w:sz w:val="20"/>
                <w:szCs w:val="22"/>
                <w:lang w:eastAsia="en-US" w:bidi="he-IL"/>
              </w:rPr>
            </m:ctrlPr>
          </m:sSubPr>
          <m:e>
            <m:r>
              <w:rPr>
                <w:rFonts w:ascii="Cambria Math" w:hAnsi="Cambria Math" w:cs="ITC Avant Garde"/>
                <w:color w:val="auto"/>
                <w:sz w:val="20"/>
                <w:szCs w:val="22"/>
                <w:lang w:eastAsia="en-US" w:bidi="he-IL"/>
              </w:rPr>
              <m:t>P</m:t>
            </m:r>
          </m:e>
          <m:sub>
            <m:r>
              <w:rPr>
                <w:rFonts w:ascii="Cambria Math" w:hAnsi="Cambria Math" w:cs="ITC Avant Garde"/>
                <w:color w:val="auto"/>
                <w:sz w:val="20"/>
                <w:szCs w:val="22"/>
                <w:lang w:eastAsia="en-US" w:bidi="he-IL"/>
              </w:rPr>
              <m:t>it</m:t>
            </m:r>
          </m:sub>
        </m:sSub>
      </m:oMath>
      <w:r w:rsidR="00204904" w:rsidRPr="00F17AE3">
        <w:rPr>
          <w:rFonts w:ascii="ITC Avant Garde" w:hAnsi="ITC Avant Garde" w:cs="ITC Avant Garde"/>
          <w:color w:val="auto"/>
          <w:sz w:val="20"/>
          <w:szCs w:val="22"/>
          <w:lang w:eastAsia="en-US" w:bidi="he-IL"/>
        </w:rPr>
        <w:t xml:space="preserve">: Precio del servicio </w:t>
      </w:r>
      <m:oMath>
        <m:r>
          <w:rPr>
            <w:rFonts w:ascii="Cambria Math" w:hAnsi="Cambria Math" w:cs="ITC Avant Garde"/>
            <w:color w:val="auto"/>
            <w:sz w:val="20"/>
            <w:szCs w:val="22"/>
            <w:lang w:eastAsia="en-US" w:bidi="he-IL"/>
          </w:rPr>
          <m:t>i</m:t>
        </m:r>
      </m:oMath>
      <w:r w:rsidR="00204904" w:rsidRPr="00F17AE3">
        <w:rPr>
          <w:rFonts w:ascii="ITC Avant Garde" w:hAnsi="ITC Avant Garde" w:cs="ITC Avant Garde"/>
          <w:color w:val="auto"/>
          <w:sz w:val="20"/>
          <w:szCs w:val="22"/>
          <w:lang w:eastAsia="en-US" w:bidi="he-IL"/>
        </w:rPr>
        <w:t xml:space="preserve"> durante el periodo actual. </w:t>
      </w:r>
    </w:p>
    <w:p w14:paraId="607F90A6" w14:textId="77777777" w:rsidR="008369E9" w:rsidRDefault="006A4E00" w:rsidP="008369E9">
      <w:pPr>
        <w:pStyle w:val="Citaiftcalibri"/>
        <w:spacing w:before="240" w:after="240"/>
        <w:rPr>
          <w:rFonts w:ascii="ITC Avant Garde" w:hAnsi="ITC Avant Garde" w:cs="ITC Avant Garde"/>
          <w:color w:val="auto"/>
          <w:sz w:val="20"/>
          <w:szCs w:val="22"/>
          <w:lang w:eastAsia="en-US" w:bidi="he-IL"/>
        </w:rPr>
      </w:pPr>
      <m:oMath>
        <m:sSub>
          <m:sSubPr>
            <m:ctrlPr>
              <w:rPr>
                <w:rFonts w:ascii="Cambria Math" w:hAnsi="Cambria Math" w:cs="ITC Avant Garde"/>
                <w:color w:val="auto"/>
                <w:sz w:val="20"/>
                <w:szCs w:val="22"/>
                <w:lang w:eastAsia="en-US" w:bidi="he-IL"/>
              </w:rPr>
            </m:ctrlPr>
          </m:sSubPr>
          <m:e>
            <m:r>
              <w:rPr>
                <w:rFonts w:ascii="Cambria Math" w:hAnsi="Cambria Math" w:cs="ITC Avant Garde"/>
                <w:color w:val="auto"/>
                <w:sz w:val="20"/>
                <w:szCs w:val="22"/>
                <w:lang w:eastAsia="en-US" w:bidi="he-IL"/>
              </w:rPr>
              <m:t>P</m:t>
            </m:r>
          </m:e>
          <m:sub>
            <m:r>
              <w:rPr>
                <w:rFonts w:ascii="Cambria Math" w:hAnsi="Cambria Math" w:cs="ITC Avant Garde"/>
                <w:color w:val="auto"/>
                <w:sz w:val="20"/>
                <w:szCs w:val="22"/>
                <w:lang w:eastAsia="en-US" w:bidi="he-IL"/>
              </w:rPr>
              <m:t>it-1</m:t>
            </m:r>
          </m:sub>
        </m:sSub>
      </m:oMath>
      <w:r w:rsidR="00204904" w:rsidRPr="00F17AE3">
        <w:rPr>
          <w:rFonts w:ascii="ITC Avant Garde" w:hAnsi="ITC Avant Garde" w:cs="ITC Avant Garde"/>
          <w:color w:val="auto"/>
          <w:sz w:val="20"/>
          <w:szCs w:val="22"/>
          <w:lang w:eastAsia="en-US" w:bidi="he-IL"/>
        </w:rPr>
        <w:t xml:space="preserve">: Precio del servicio </w:t>
      </w:r>
      <m:oMath>
        <m:r>
          <w:rPr>
            <w:rFonts w:ascii="Cambria Math" w:hAnsi="Cambria Math" w:cs="ITC Avant Garde"/>
            <w:color w:val="auto"/>
            <w:sz w:val="20"/>
            <w:szCs w:val="22"/>
            <w:lang w:eastAsia="en-US" w:bidi="he-IL"/>
          </w:rPr>
          <m:t>i</m:t>
        </m:r>
      </m:oMath>
      <w:r w:rsidR="00204904" w:rsidRPr="00F17AE3">
        <w:rPr>
          <w:rFonts w:ascii="ITC Avant Garde" w:hAnsi="ITC Avant Garde" w:cs="ITC Avant Garde"/>
          <w:color w:val="auto"/>
          <w:sz w:val="20"/>
          <w:szCs w:val="22"/>
          <w:lang w:eastAsia="en-US" w:bidi="he-IL"/>
        </w:rPr>
        <w:t xml:space="preserve"> durante el periodo anterior. </w:t>
      </w:r>
    </w:p>
    <w:p w14:paraId="73F7924F" w14:textId="77777777" w:rsidR="008369E9" w:rsidRDefault="006A4E00" w:rsidP="008369E9">
      <w:pPr>
        <w:pStyle w:val="Citaiftcalibri"/>
        <w:spacing w:before="240" w:after="240"/>
        <w:rPr>
          <w:rFonts w:ascii="ITC Avant Garde" w:hAnsi="ITC Avant Garde" w:cs="ITC Avant Garde"/>
          <w:color w:val="auto"/>
          <w:sz w:val="20"/>
          <w:szCs w:val="22"/>
          <w:lang w:eastAsia="en-US" w:bidi="he-IL"/>
        </w:rPr>
      </w:pPr>
      <m:oMath>
        <m:sSub>
          <m:sSubPr>
            <m:ctrlPr>
              <w:rPr>
                <w:rFonts w:ascii="Cambria Math" w:hAnsi="Cambria Math" w:cs="ITC Avant Garde"/>
                <w:color w:val="auto"/>
                <w:sz w:val="20"/>
                <w:szCs w:val="22"/>
                <w:lang w:eastAsia="en-US" w:bidi="he-IL"/>
              </w:rPr>
            </m:ctrlPr>
          </m:sSubPr>
          <m:e>
            <m:r>
              <w:rPr>
                <w:rFonts w:ascii="Cambria Math" w:hAnsi="Cambria Math" w:cs="ITC Avant Garde"/>
                <w:color w:val="auto"/>
                <w:sz w:val="20"/>
                <w:szCs w:val="22"/>
                <w:lang w:eastAsia="en-US" w:bidi="he-IL"/>
              </w:rPr>
              <m:t>Q</m:t>
            </m:r>
          </m:e>
          <m:sub>
            <m:r>
              <w:rPr>
                <w:rFonts w:ascii="Cambria Math" w:hAnsi="Cambria Math" w:cs="ITC Avant Garde"/>
                <w:color w:val="auto"/>
                <w:sz w:val="20"/>
                <w:szCs w:val="22"/>
                <w:lang w:eastAsia="en-US" w:bidi="he-IL"/>
              </w:rPr>
              <m:t>it-1</m:t>
            </m:r>
          </m:sub>
        </m:sSub>
      </m:oMath>
      <w:r w:rsidR="00204904" w:rsidRPr="00F17AE3">
        <w:rPr>
          <w:rFonts w:ascii="ITC Avant Garde" w:hAnsi="ITC Avant Garde" w:cs="ITC Avant Garde"/>
          <w:color w:val="auto"/>
          <w:sz w:val="20"/>
          <w:szCs w:val="22"/>
          <w:lang w:eastAsia="en-US" w:bidi="he-IL"/>
        </w:rPr>
        <w:t xml:space="preserve">: Cantidad del servicio </w:t>
      </w:r>
      <m:oMath>
        <m:r>
          <w:rPr>
            <w:rFonts w:ascii="Cambria Math" w:hAnsi="Cambria Math" w:cs="ITC Avant Garde"/>
            <w:color w:val="auto"/>
            <w:sz w:val="20"/>
            <w:szCs w:val="22"/>
            <w:lang w:eastAsia="en-US" w:bidi="he-IL"/>
          </w:rPr>
          <m:t>i</m:t>
        </m:r>
      </m:oMath>
      <w:r w:rsidR="00204904" w:rsidRPr="00F17AE3">
        <w:rPr>
          <w:rFonts w:ascii="ITC Avant Garde" w:hAnsi="ITC Avant Garde" w:cs="ITC Avant Garde"/>
          <w:color w:val="auto"/>
          <w:sz w:val="20"/>
          <w:szCs w:val="22"/>
          <w:lang w:eastAsia="en-US" w:bidi="he-IL"/>
        </w:rPr>
        <w:t xml:space="preserve"> durante el periodo anterior. </w:t>
      </w:r>
    </w:p>
    <w:p w14:paraId="616D5A65" w14:textId="77777777" w:rsidR="008369E9" w:rsidRDefault="007F697F" w:rsidP="008369E9">
      <w:pPr>
        <w:pStyle w:val="Citaiftcalibri"/>
        <w:spacing w:before="240" w:after="240"/>
        <w:rPr>
          <w:rFonts w:ascii="ITC Avant Garde" w:hAnsi="ITC Avant Garde" w:cs="ITC Avant Garde"/>
          <w:color w:val="auto"/>
          <w:sz w:val="20"/>
          <w:szCs w:val="22"/>
          <w:lang w:eastAsia="en-US" w:bidi="he-IL"/>
        </w:rPr>
      </w:pPr>
      <m:oMath>
        <m:r>
          <w:rPr>
            <w:rFonts w:ascii="Cambria Math" w:hAnsi="Cambria Math" w:cs="ITC Avant Garde"/>
            <w:color w:val="auto"/>
            <w:sz w:val="20"/>
            <w:szCs w:val="22"/>
            <w:lang w:eastAsia="en-US" w:bidi="he-IL"/>
          </w:rPr>
          <m:t>π</m:t>
        </m:r>
      </m:oMath>
      <w:r w:rsidR="00204904" w:rsidRPr="00F17AE3">
        <w:rPr>
          <w:rFonts w:ascii="ITC Avant Garde" w:hAnsi="ITC Avant Garde" w:cs="ITC Avant Garde"/>
          <w:color w:val="auto"/>
          <w:sz w:val="20"/>
          <w:szCs w:val="22"/>
          <w:lang w:eastAsia="en-US" w:bidi="he-IL"/>
        </w:rPr>
        <w:t xml:space="preserve">: Tasa de inflación del periodo. </w:t>
      </w:r>
    </w:p>
    <w:p w14:paraId="7F2644DD" w14:textId="77777777" w:rsidR="008369E9" w:rsidRDefault="007F697F" w:rsidP="008369E9">
      <w:pPr>
        <w:pStyle w:val="Citaiftcalibri"/>
        <w:spacing w:before="240" w:after="240"/>
        <w:rPr>
          <w:rFonts w:ascii="ITC Avant Garde" w:hAnsi="ITC Avant Garde" w:cs="ITC Avant Garde"/>
          <w:sz w:val="20"/>
          <w:szCs w:val="22"/>
          <w:lang w:bidi="he-IL"/>
        </w:rPr>
      </w:pPr>
      <m:oMath>
        <m:r>
          <w:rPr>
            <w:rFonts w:ascii="Cambria Math" w:hAnsi="Cambria Math"/>
            <w:sz w:val="20"/>
            <w:szCs w:val="22"/>
          </w:rPr>
          <m:t>X</m:t>
        </m:r>
      </m:oMath>
      <w:r w:rsidR="00204904" w:rsidRPr="00F17AE3">
        <w:rPr>
          <w:rFonts w:ascii="ITC Avant Garde" w:hAnsi="ITC Avant Garde" w:cs="ITC Avant Garde"/>
          <w:sz w:val="20"/>
          <w:szCs w:val="22"/>
          <w:lang w:bidi="he-IL"/>
        </w:rPr>
        <w:t>:</w:t>
      </w:r>
      <w:r w:rsidR="00204904" w:rsidRPr="00F17AE3">
        <w:rPr>
          <w:rFonts w:ascii="ITC Avant Garde" w:hAnsi="ITC Avant Garde"/>
          <w:sz w:val="20"/>
          <w:szCs w:val="22"/>
        </w:rPr>
        <w:t xml:space="preserve"> </w:t>
      </w:r>
      <w:r w:rsidR="00204904" w:rsidRPr="00F17AE3">
        <w:rPr>
          <w:rFonts w:ascii="ITC Avant Garde" w:hAnsi="ITC Avant Garde" w:cs="ITC Avant Garde"/>
          <w:sz w:val="20"/>
          <w:szCs w:val="22"/>
          <w:lang w:bidi="he-IL"/>
        </w:rPr>
        <w:t>Factor de Productividad.</w:t>
      </w:r>
    </w:p>
    <w:p w14:paraId="240F9D1C" w14:textId="77777777" w:rsidR="008369E9" w:rsidRDefault="00204904" w:rsidP="008369E9">
      <w:pPr>
        <w:pStyle w:val="Citaiftcalibri"/>
        <w:spacing w:before="240" w:after="240"/>
        <w:rPr>
          <w:rFonts w:ascii="ITC Avant Garde" w:hAnsi="ITC Avant Garde"/>
          <w:sz w:val="20"/>
          <w:szCs w:val="22"/>
        </w:rPr>
      </w:pPr>
      <w:r w:rsidRPr="00F17AE3">
        <w:rPr>
          <w:rFonts w:ascii="ITC Avant Garde" w:hAnsi="ITC Avant Garde"/>
          <w:sz w:val="20"/>
          <w:szCs w:val="22"/>
        </w:rPr>
        <w:t>El Factor de Productividad se establecerá con base en la metodología de productividad total de los factores, realizando un estudio técnico - económico que considere:</w:t>
      </w:r>
    </w:p>
    <w:p w14:paraId="03B637A5" w14:textId="7A2CCF0A" w:rsidR="00204904" w:rsidRPr="00F17AE3" w:rsidRDefault="00204904" w:rsidP="008369E9">
      <w:pPr>
        <w:pStyle w:val="Citaiftcalibri"/>
        <w:numPr>
          <w:ilvl w:val="0"/>
          <w:numId w:val="30"/>
        </w:numPr>
        <w:spacing w:before="240" w:after="240"/>
        <w:rPr>
          <w:rFonts w:ascii="ITC Avant Garde" w:hAnsi="ITC Avant Garde"/>
          <w:sz w:val="20"/>
          <w:szCs w:val="22"/>
        </w:rPr>
      </w:pPr>
      <w:r w:rsidRPr="00F17AE3">
        <w:rPr>
          <w:rFonts w:ascii="ITC Avant Garde" w:hAnsi="ITC Avant Garde"/>
          <w:sz w:val="20"/>
          <w:szCs w:val="22"/>
        </w:rPr>
        <w:t>Las ganancias de productividad de la empresa en la provisión de los servicios considerados en las canastas.</w:t>
      </w:r>
    </w:p>
    <w:p w14:paraId="008166C6" w14:textId="77777777" w:rsidR="00204904" w:rsidRPr="00F17AE3" w:rsidRDefault="00204904" w:rsidP="008369E9">
      <w:pPr>
        <w:pStyle w:val="Citaiftcalibri"/>
        <w:numPr>
          <w:ilvl w:val="0"/>
          <w:numId w:val="30"/>
        </w:numPr>
        <w:spacing w:before="240" w:after="240"/>
        <w:rPr>
          <w:rFonts w:ascii="ITC Avant Garde" w:hAnsi="ITC Avant Garde"/>
          <w:sz w:val="20"/>
          <w:szCs w:val="22"/>
        </w:rPr>
      </w:pPr>
      <w:r w:rsidRPr="00F17AE3">
        <w:rPr>
          <w:rFonts w:ascii="ITC Avant Garde" w:hAnsi="ITC Avant Garde"/>
          <w:sz w:val="20"/>
          <w:szCs w:val="22"/>
        </w:rPr>
        <w:t>Las ganancias de productividad de la economía en su conjunto.</w:t>
      </w:r>
    </w:p>
    <w:p w14:paraId="7F506562" w14:textId="77777777" w:rsidR="00204904" w:rsidRPr="00F17AE3" w:rsidRDefault="00204904" w:rsidP="008369E9">
      <w:pPr>
        <w:pStyle w:val="Citaiftcalibri"/>
        <w:numPr>
          <w:ilvl w:val="0"/>
          <w:numId w:val="30"/>
        </w:numPr>
        <w:spacing w:before="240" w:after="240"/>
        <w:rPr>
          <w:rFonts w:ascii="ITC Avant Garde" w:hAnsi="ITC Avant Garde"/>
          <w:sz w:val="20"/>
          <w:szCs w:val="22"/>
        </w:rPr>
      </w:pPr>
      <w:r w:rsidRPr="00F17AE3">
        <w:rPr>
          <w:rFonts w:ascii="ITC Avant Garde" w:hAnsi="ITC Avant Garde"/>
          <w:sz w:val="20"/>
          <w:szCs w:val="22"/>
        </w:rPr>
        <w:t>La evolución del precio de los insumos para la provisión de los servicios considerados en las canastas.</w:t>
      </w:r>
    </w:p>
    <w:p w14:paraId="6D18E079" w14:textId="77777777" w:rsidR="008369E9" w:rsidRDefault="00204904" w:rsidP="008369E9">
      <w:pPr>
        <w:pStyle w:val="Citaiftcalibri"/>
        <w:numPr>
          <w:ilvl w:val="0"/>
          <w:numId w:val="30"/>
        </w:numPr>
        <w:spacing w:before="240" w:after="240"/>
        <w:rPr>
          <w:rFonts w:ascii="ITC Avant Garde" w:hAnsi="ITC Avant Garde"/>
          <w:sz w:val="20"/>
          <w:szCs w:val="22"/>
        </w:rPr>
      </w:pPr>
      <w:r w:rsidRPr="00F17AE3">
        <w:rPr>
          <w:rFonts w:ascii="ITC Avant Garde" w:hAnsi="ITC Avant Garde"/>
          <w:sz w:val="20"/>
          <w:szCs w:val="22"/>
        </w:rPr>
        <w:t>La evolución de los precios de la economía en su conjunto.</w:t>
      </w:r>
    </w:p>
    <w:p w14:paraId="38F1C0AE" w14:textId="77777777" w:rsidR="008369E9" w:rsidRDefault="00204904" w:rsidP="008369E9">
      <w:pPr>
        <w:pStyle w:val="Citaiftcalibri"/>
        <w:spacing w:before="240" w:after="240"/>
        <w:rPr>
          <w:rFonts w:ascii="ITC Avant Garde" w:hAnsi="ITC Avant Garde"/>
          <w:sz w:val="20"/>
          <w:szCs w:val="22"/>
        </w:rPr>
      </w:pPr>
      <w:r w:rsidRPr="00F17AE3">
        <w:rPr>
          <w:rFonts w:ascii="ITC Avant Garde" w:hAnsi="ITC Avant Garde"/>
          <w:sz w:val="20"/>
          <w:szCs w:val="22"/>
        </w:rPr>
        <w:t>El Agente Económico Preponderante presentará al Instituto a más tardar el 1 de julio del año que corresponda, una propuesta de Canasta que incluya el desglose de los servicios antes señalados, la ponderación de los mismos dentro del total y del Factor de Productividad “X", que cumpla con lo establecido en la presente medida, acompañada de la justificación de la propuesta.</w:t>
      </w:r>
    </w:p>
    <w:p w14:paraId="2D053F05" w14:textId="77777777" w:rsidR="008369E9" w:rsidRDefault="00204904" w:rsidP="008369E9">
      <w:pPr>
        <w:pStyle w:val="Citaiftcalibri"/>
        <w:spacing w:before="240" w:after="240"/>
        <w:rPr>
          <w:rFonts w:ascii="ITC Avant Garde" w:hAnsi="ITC Avant Garde"/>
          <w:sz w:val="20"/>
          <w:szCs w:val="22"/>
        </w:rPr>
      </w:pPr>
      <w:r w:rsidRPr="00F17AE3">
        <w:rPr>
          <w:rFonts w:ascii="ITC Avant Garde" w:hAnsi="ITC Avant Garde"/>
          <w:sz w:val="20"/>
          <w:szCs w:val="22"/>
        </w:rPr>
        <w:lastRenderedPageBreak/>
        <w:t xml:space="preserve">A efecto de allegarse de los elementos de convicción que estime necesarios, el Instituto podrá requerir la documentación o información que estime relevante, la que deberá proporcionársele dentro de un plazo improrrogable de diez días hábiles. </w:t>
      </w:r>
    </w:p>
    <w:p w14:paraId="2CF55023" w14:textId="77777777" w:rsidR="008369E9" w:rsidRDefault="00204904" w:rsidP="008369E9">
      <w:pPr>
        <w:pStyle w:val="Citaiftcalibri"/>
        <w:spacing w:before="240" w:after="240"/>
        <w:rPr>
          <w:rFonts w:ascii="ITC Avant Garde" w:hAnsi="ITC Avant Garde"/>
          <w:sz w:val="20"/>
          <w:szCs w:val="22"/>
        </w:rPr>
      </w:pPr>
      <w:r w:rsidRPr="00F17AE3">
        <w:rPr>
          <w:rFonts w:ascii="ITC Avant Garde" w:hAnsi="ITC Avant Garde"/>
          <w:sz w:val="20"/>
          <w:szCs w:val="22"/>
        </w:rPr>
        <w:t>En caso de que el Agente Económico Preponderante no proporcione la información a que hace referencia el párrafo inmediato anterior, el Instituto evaluará la propuesta con la información que disponga, ello con independencia de las sanciones que resulten aplicables.</w:t>
      </w:r>
    </w:p>
    <w:p w14:paraId="3610C25E" w14:textId="77777777" w:rsidR="008369E9" w:rsidRDefault="00204904" w:rsidP="008369E9">
      <w:pPr>
        <w:pStyle w:val="Citaiftcalibri"/>
        <w:spacing w:before="240" w:after="240"/>
        <w:rPr>
          <w:rFonts w:ascii="ITC Avant Garde" w:hAnsi="ITC Avant Garde"/>
          <w:sz w:val="20"/>
          <w:szCs w:val="22"/>
        </w:rPr>
      </w:pPr>
      <w:r w:rsidRPr="00F17AE3">
        <w:rPr>
          <w:rFonts w:ascii="ITC Avant Garde" w:hAnsi="ITC Avant Garde"/>
          <w:sz w:val="20"/>
          <w:szCs w:val="22"/>
        </w:rPr>
        <w:t>El Instituto evaluará la propuesta y, en su caso la modificará y hará del conocimiento del Agente Económico Preponderante la resolución.</w:t>
      </w:r>
    </w:p>
    <w:p w14:paraId="00E6C278" w14:textId="77777777" w:rsidR="008369E9" w:rsidRDefault="00204904" w:rsidP="008369E9">
      <w:pPr>
        <w:pStyle w:val="Citaiftcalibri"/>
        <w:spacing w:before="240" w:after="240"/>
        <w:rPr>
          <w:rFonts w:ascii="ITC Avant Garde" w:hAnsi="ITC Avant Garde"/>
          <w:sz w:val="20"/>
          <w:szCs w:val="22"/>
        </w:rPr>
      </w:pPr>
      <w:r w:rsidRPr="00F17AE3">
        <w:rPr>
          <w:rFonts w:ascii="ITC Avant Garde" w:hAnsi="ITC Avant Garde"/>
          <w:sz w:val="20"/>
          <w:szCs w:val="22"/>
        </w:rPr>
        <w:t>El Agente Económico Preponderante deberá presentar para aprobación del Instituto las tarifas propuestas que se ajusten al control tarifario.</w:t>
      </w:r>
    </w:p>
    <w:p w14:paraId="545AE06B" w14:textId="77777777" w:rsidR="008369E9" w:rsidRDefault="00204904" w:rsidP="008369E9">
      <w:pPr>
        <w:pStyle w:val="Citaiftcalibri"/>
        <w:spacing w:before="240" w:after="240"/>
        <w:rPr>
          <w:rFonts w:ascii="ITC Avant Garde" w:hAnsi="ITC Avant Garde"/>
          <w:sz w:val="20"/>
          <w:szCs w:val="22"/>
        </w:rPr>
      </w:pPr>
      <w:r w:rsidRPr="00F17AE3">
        <w:rPr>
          <w:rFonts w:ascii="ITC Avant Garde" w:hAnsi="ITC Avant Garde"/>
          <w:sz w:val="20"/>
          <w:szCs w:val="22"/>
        </w:rPr>
        <w:t>La canasta deberá revisarse cada dos años.</w:t>
      </w:r>
      <w:r w:rsidR="00CA7772" w:rsidRPr="00F17AE3">
        <w:rPr>
          <w:rFonts w:ascii="ITC Avant Garde" w:hAnsi="ITC Avant Garde"/>
          <w:sz w:val="20"/>
          <w:szCs w:val="22"/>
        </w:rPr>
        <w:t>”</w:t>
      </w:r>
    </w:p>
    <w:p w14:paraId="30D3A2ED" w14:textId="77777777" w:rsidR="008369E9" w:rsidRDefault="008A5165" w:rsidP="008369E9">
      <w:pPr>
        <w:adjustRightInd w:val="0"/>
        <w:spacing w:before="240" w:after="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Cabe mencionar, que la condición 6-1 del Título de Concesión de T</w:t>
      </w:r>
      <w:r w:rsidR="002B151D" w:rsidRPr="004C52B2">
        <w:rPr>
          <w:rFonts w:ascii="ITC Avant Garde" w:eastAsia="Times New Roman" w:hAnsi="ITC Avant Garde" w:cs="Arial"/>
          <w:bCs/>
          <w:lang w:val="es-ES_tradnl" w:eastAsia="es-ES"/>
        </w:rPr>
        <w:t>elnor</w:t>
      </w:r>
      <w:r w:rsidRPr="004C52B2">
        <w:rPr>
          <w:rFonts w:ascii="ITC Avant Garde" w:eastAsia="Times New Roman" w:hAnsi="ITC Avant Garde" w:cs="Arial"/>
          <w:bCs/>
          <w:lang w:val="es-ES_tradnl" w:eastAsia="es-ES"/>
        </w:rPr>
        <w:t>, establece que mientras T</w:t>
      </w:r>
      <w:r w:rsidR="002B151D" w:rsidRPr="004C52B2">
        <w:rPr>
          <w:rFonts w:ascii="ITC Avant Garde" w:eastAsia="Times New Roman" w:hAnsi="ITC Avant Garde" w:cs="Arial"/>
          <w:bCs/>
          <w:lang w:val="es-ES_tradnl" w:eastAsia="es-ES"/>
        </w:rPr>
        <w:t>elnor</w:t>
      </w:r>
      <w:r w:rsidRPr="004C52B2">
        <w:rPr>
          <w:rFonts w:ascii="ITC Avant Garde" w:eastAsia="Times New Roman" w:hAnsi="ITC Avant Garde" w:cs="Arial"/>
          <w:bCs/>
          <w:lang w:val="es-ES_tradnl" w:eastAsia="es-ES"/>
        </w:rPr>
        <w:t xml:space="preserve"> sea subsidiaria de T</w:t>
      </w:r>
      <w:r w:rsidR="006D2D32" w:rsidRPr="004C52B2">
        <w:rPr>
          <w:rFonts w:ascii="ITC Avant Garde" w:eastAsia="Times New Roman" w:hAnsi="ITC Avant Garde" w:cs="Arial"/>
          <w:bCs/>
          <w:lang w:val="es-ES_tradnl" w:eastAsia="es-ES"/>
        </w:rPr>
        <w:t>elmex</w:t>
      </w:r>
      <w:r w:rsidRPr="004C52B2">
        <w:rPr>
          <w:rFonts w:ascii="ITC Avant Garde" w:eastAsia="Times New Roman" w:hAnsi="ITC Avant Garde" w:cs="Arial"/>
          <w:bCs/>
          <w:lang w:val="es-ES_tradnl" w:eastAsia="es-ES"/>
        </w:rPr>
        <w:t>, las tarifas aplicables para cada servicio señalado en dicha condición, serán las tarifas equivalentes que cobre T</w:t>
      </w:r>
      <w:r w:rsidR="006D2D32" w:rsidRPr="004C52B2">
        <w:rPr>
          <w:rFonts w:ascii="ITC Avant Garde" w:eastAsia="Times New Roman" w:hAnsi="ITC Avant Garde" w:cs="Arial"/>
          <w:bCs/>
          <w:lang w:val="es-ES_tradnl" w:eastAsia="es-ES"/>
        </w:rPr>
        <w:t>elmex</w:t>
      </w:r>
      <w:r w:rsidRPr="004C52B2">
        <w:rPr>
          <w:rFonts w:ascii="ITC Avant Garde" w:eastAsia="Times New Roman" w:hAnsi="ITC Avant Garde" w:cs="Arial"/>
          <w:bCs/>
          <w:lang w:val="es-ES_tradnl" w:eastAsia="es-ES"/>
        </w:rPr>
        <w:t xml:space="preserve"> conforme al </w:t>
      </w:r>
      <w:r w:rsidR="001A6BC0">
        <w:rPr>
          <w:rFonts w:ascii="ITC Avant Garde" w:eastAsia="Times New Roman" w:hAnsi="ITC Avant Garde" w:cs="Arial"/>
          <w:bCs/>
          <w:lang w:val="es-ES_tradnl" w:eastAsia="es-ES"/>
        </w:rPr>
        <w:t>C</w:t>
      </w:r>
      <w:r w:rsidRPr="004C52B2">
        <w:rPr>
          <w:rFonts w:ascii="ITC Avant Garde" w:eastAsia="Times New Roman" w:hAnsi="ITC Avant Garde" w:cs="Arial"/>
          <w:bCs/>
          <w:lang w:val="es-ES_tradnl" w:eastAsia="es-ES"/>
        </w:rPr>
        <w:t>apítulo 6 de su Título de Concesión.</w:t>
      </w:r>
    </w:p>
    <w:p w14:paraId="1C494461" w14:textId="77777777" w:rsidR="008369E9" w:rsidRDefault="00164B93" w:rsidP="008369E9">
      <w:pPr>
        <w:adjustRightInd w:val="0"/>
        <w:spacing w:before="240" w:after="240" w:line="240" w:lineRule="auto"/>
        <w:jc w:val="both"/>
        <w:rPr>
          <w:rFonts w:ascii="ITC Avant Garde" w:eastAsia="Times New Roman" w:hAnsi="ITC Avant Garde" w:cs="Arial"/>
          <w:bCs/>
          <w:lang w:val="es-ES_tradnl" w:eastAsia="es-ES"/>
        </w:rPr>
      </w:pPr>
      <w:proofErr w:type="gramStart"/>
      <w:r w:rsidRPr="004C52B2">
        <w:rPr>
          <w:rFonts w:ascii="ITC Avant Garde" w:eastAsia="Times New Roman" w:hAnsi="ITC Avant Garde" w:cs="Arial"/>
          <w:b/>
          <w:bCs/>
          <w:lang w:val="es-ES_tradnl" w:eastAsia="es-ES"/>
        </w:rPr>
        <w:t>TERCERO.</w:t>
      </w:r>
      <w:r w:rsidR="00635207">
        <w:rPr>
          <w:rFonts w:ascii="ITC Avant Garde" w:eastAsia="Times New Roman" w:hAnsi="ITC Avant Garde" w:cs="Arial"/>
          <w:b/>
          <w:bCs/>
          <w:lang w:val="es-ES_tradnl" w:eastAsia="es-ES"/>
        </w:rPr>
        <w:t>-</w:t>
      </w:r>
      <w:proofErr w:type="gramEnd"/>
      <w:r w:rsidRPr="004C52B2">
        <w:rPr>
          <w:rFonts w:ascii="ITC Avant Garde" w:eastAsia="Times New Roman" w:hAnsi="ITC Avant Garde" w:cs="Arial"/>
          <w:b/>
          <w:bCs/>
          <w:lang w:val="es-ES_tradnl" w:eastAsia="es-ES"/>
        </w:rPr>
        <w:t xml:space="preserve"> Medición de la productividad a partir de números índices. </w:t>
      </w:r>
      <w:r w:rsidRPr="004C52B2">
        <w:rPr>
          <w:rFonts w:ascii="ITC Avant Garde" w:eastAsia="Times New Roman" w:hAnsi="ITC Avant Garde" w:cs="Arial"/>
          <w:bCs/>
          <w:lang w:val="es-ES_tradnl" w:eastAsia="es-ES"/>
        </w:rPr>
        <w:t xml:space="preserve">Los números índices son utilizados ampliamente para medir los cambios en la productividad, en particular en análisis sectoriales. Mediante esta metodología se estima la productividad como una relación entre los cambios en la cantidad producida respecto a los cambios en las cantidades o precios de los insumos utilizados. </w:t>
      </w:r>
    </w:p>
    <w:p w14:paraId="0A16927B" w14:textId="77777777" w:rsidR="008369E9" w:rsidRDefault="00164B93" w:rsidP="008369E9">
      <w:pPr>
        <w:adjustRightInd w:val="0"/>
        <w:spacing w:before="240" w:after="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 xml:space="preserve">La metodología de números índices se emplea para analizar escenarios de producción de múltiples productos, por lo que es necesario agregar diversos tipos de cantidades y precios, de </w:t>
      </w:r>
      <w:r w:rsidR="00E302C0">
        <w:rPr>
          <w:rFonts w:ascii="ITC Avant Garde" w:eastAsia="Times New Roman" w:hAnsi="ITC Avant Garde" w:cs="Arial"/>
          <w:bCs/>
          <w:lang w:val="es-ES_tradnl" w:eastAsia="es-ES"/>
        </w:rPr>
        <w:t xml:space="preserve">esta </w:t>
      </w:r>
      <w:r w:rsidRPr="004C52B2">
        <w:rPr>
          <w:rFonts w:ascii="ITC Avant Garde" w:eastAsia="Times New Roman" w:hAnsi="ITC Avant Garde" w:cs="Arial"/>
          <w:bCs/>
          <w:lang w:val="es-ES_tradnl" w:eastAsia="es-ES"/>
        </w:rPr>
        <w:t xml:space="preserve">manera se analizan las variaciones agregadas en precios y cantidades entre diferentes periodos de tiempo. En general, </w:t>
      </w:r>
      <w:r w:rsidR="00BE7457" w:rsidRPr="004C52B2">
        <w:rPr>
          <w:rFonts w:ascii="ITC Avant Garde" w:eastAsia="Times New Roman" w:hAnsi="ITC Avant Garde" w:cs="Arial"/>
          <w:bCs/>
          <w:lang w:val="es-ES_tradnl" w:eastAsia="es-ES"/>
        </w:rPr>
        <w:t xml:space="preserve">esta </w:t>
      </w:r>
      <w:r w:rsidRPr="004C52B2">
        <w:rPr>
          <w:rFonts w:ascii="ITC Avant Garde" w:eastAsia="Times New Roman" w:hAnsi="ITC Avant Garde" w:cs="Arial"/>
          <w:bCs/>
          <w:lang w:val="es-ES_tradnl" w:eastAsia="es-ES"/>
        </w:rPr>
        <w:t xml:space="preserve">metodología solo requiere información sobre precios y </w:t>
      </w:r>
      <w:r w:rsidR="00F66F3C">
        <w:rPr>
          <w:rFonts w:ascii="ITC Avant Garde" w:eastAsia="Times New Roman" w:hAnsi="ITC Avant Garde" w:cs="Arial"/>
          <w:bCs/>
          <w:lang w:val="es-ES_tradnl" w:eastAsia="es-ES"/>
        </w:rPr>
        <w:t>cantidades</w:t>
      </w:r>
      <w:r w:rsidRPr="004C52B2">
        <w:rPr>
          <w:rFonts w:ascii="ITC Avant Garde" w:eastAsia="Times New Roman" w:hAnsi="ITC Avant Garde" w:cs="Arial"/>
          <w:bCs/>
          <w:lang w:val="es-ES_tradnl" w:eastAsia="es-ES"/>
        </w:rPr>
        <w:t xml:space="preserve">, por lo que puede ser fácilmente reproducible. </w:t>
      </w:r>
    </w:p>
    <w:p w14:paraId="17F0F292" w14:textId="77777777" w:rsidR="008369E9" w:rsidRDefault="00164B93" w:rsidP="008369E9">
      <w:pPr>
        <w:adjustRightInd w:val="0"/>
        <w:spacing w:before="240" w:after="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 xml:space="preserve">El índice de Fisher es utilizado </w:t>
      </w:r>
      <w:r w:rsidRPr="004C52B2">
        <w:rPr>
          <w:rFonts w:ascii="ITC Avant Garde" w:hAnsi="ITC Avant Garde"/>
        </w:rPr>
        <w:t xml:space="preserve">para obtener una medida de la productividad total de los factores. </w:t>
      </w:r>
      <w:r w:rsidRPr="004C52B2">
        <w:rPr>
          <w:rFonts w:ascii="ITC Avant Garde" w:eastAsia="Times New Roman" w:hAnsi="ITC Avant Garde" w:cs="Arial"/>
          <w:bCs/>
          <w:lang w:val="es-ES_tradnl" w:eastAsia="es-ES"/>
        </w:rPr>
        <w:t>Es un número índice que se emplea frecuentemente para analizar y comparar un conjunto de datos en distintos momentos del tiempo, es una medida que permite identificar l</w:t>
      </w:r>
      <w:r w:rsidR="006F00DC" w:rsidRPr="004C52B2">
        <w:rPr>
          <w:rFonts w:ascii="ITC Avant Garde" w:eastAsia="Times New Roman" w:hAnsi="ITC Avant Garde" w:cs="Arial"/>
          <w:bCs/>
          <w:lang w:val="es-ES_tradnl" w:eastAsia="es-ES"/>
        </w:rPr>
        <w:t>o</w:t>
      </w:r>
      <w:r w:rsidRPr="004C52B2">
        <w:rPr>
          <w:rFonts w:ascii="ITC Avant Garde" w:eastAsia="Times New Roman" w:hAnsi="ITC Avant Garde" w:cs="Arial"/>
          <w:bCs/>
          <w:lang w:val="es-ES_tradnl" w:eastAsia="es-ES"/>
        </w:rPr>
        <w:t xml:space="preserve">s </w:t>
      </w:r>
      <w:r w:rsidR="006F00DC" w:rsidRPr="004C52B2">
        <w:rPr>
          <w:rFonts w:ascii="ITC Avant Garde" w:eastAsia="Times New Roman" w:hAnsi="ITC Avant Garde" w:cs="Arial"/>
          <w:bCs/>
          <w:lang w:val="es-ES_tradnl" w:eastAsia="es-ES"/>
        </w:rPr>
        <w:t xml:space="preserve">cambios </w:t>
      </w:r>
      <w:r w:rsidRPr="004C52B2">
        <w:rPr>
          <w:rFonts w:ascii="ITC Avant Garde" w:eastAsia="Times New Roman" w:hAnsi="ITC Avant Garde" w:cs="Arial"/>
          <w:bCs/>
          <w:lang w:val="es-ES_tradnl" w:eastAsia="es-ES"/>
        </w:rPr>
        <w:t xml:space="preserve">de una variable a lo largo del tiempo. </w:t>
      </w:r>
    </w:p>
    <w:p w14:paraId="556F2066" w14:textId="77777777" w:rsidR="008369E9" w:rsidRDefault="00164B93" w:rsidP="008369E9">
      <w:pPr>
        <w:adjustRightInd w:val="0"/>
        <w:spacing w:before="240" w:after="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 xml:space="preserve">Este índice toma en cuenta la importancia relativa de las distintas magnitudes simples que lo componen, mediante factores de ponderación asignados a cada variable. Se puede calcular como la media geométrica de los índices de </w:t>
      </w:r>
      <w:proofErr w:type="spellStart"/>
      <w:r w:rsidRPr="004C52B2">
        <w:rPr>
          <w:rFonts w:ascii="ITC Avant Garde" w:eastAsia="Times New Roman" w:hAnsi="ITC Avant Garde" w:cs="Arial"/>
          <w:bCs/>
          <w:lang w:val="es-ES_tradnl" w:eastAsia="es-ES"/>
        </w:rPr>
        <w:t>Laspeyres</w:t>
      </w:r>
      <w:proofErr w:type="spellEnd"/>
      <w:r w:rsidRPr="004C52B2">
        <w:rPr>
          <w:rFonts w:ascii="ITC Avant Garde" w:eastAsia="Times New Roman" w:hAnsi="ITC Avant Garde" w:cs="Arial"/>
          <w:bCs/>
          <w:lang w:val="es-ES_tradnl" w:eastAsia="es-ES"/>
        </w:rPr>
        <w:t xml:space="preserve"> y </w:t>
      </w:r>
      <w:proofErr w:type="spellStart"/>
      <w:r w:rsidRPr="004C52B2">
        <w:rPr>
          <w:rFonts w:ascii="ITC Avant Garde" w:eastAsia="Times New Roman" w:hAnsi="ITC Avant Garde" w:cs="Arial"/>
          <w:bCs/>
          <w:lang w:val="es-ES_tradnl" w:eastAsia="es-ES"/>
        </w:rPr>
        <w:t>Paasche</w:t>
      </w:r>
      <w:proofErr w:type="spellEnd"/>
      <w:r w:rsidRPr="004C52B2">
        <w:rPr>
          <w:rFonts w:ascii="ITC Avant Garde" w:eastAsia="Times New Roman" w:hAnsi="ITC Avant Garde" w:cs="Arial"/>
          <w:bCs/>
          <w:lang w:val="es-ES_tradnl" w:eastAsia="es-ES"/>
        </w:rPr>
        <w:t xml:space="preserve"> mediante la siguiente ecuación:</w:t>
      </w:r>
    </w:p>
    <w:p w14:paraId="23F6F2F7" w14:textId="77777777" w:rsidR="008369E9" w:rsidRDefault="00164B93" w:rsidP="00164B93">
      <w:pPr>
        <w:pStyle w:val="Prrafodelista"/>
        <w:adjustRightInd w:val="0"/>
        <w:spacing w:after="0" w:line="240" w:lineRule="auto"/>
        <w:jc w:val="both"/>
        <w:rPr>
          <w:rFonts w:ascii="ITC Avant Garde" w:eastAsiaTheme="minorEastAsia" w:hAnsi="ITC Avant Garde"/>
        </w:rPr>
      </w:pPr>
      <m:oMathPara>
        <m:oMath>
          <m:r>
            <w:rPr>
              <w:rFonts w:ascii="Cambria Math" w:hAnsi="Cambria Math"/>
            </w:rPr>
            <w:lastRenderedPageBreak/>
            <m:t>F=</m:t>
          </m:r>
          <m:rad>
            <m:radPr>
              <m:degHide m:val="1"/>
              <m:ctrlPr>
                <w:rPr>
                  <w:rFonts w:ascii="Cambria Math" w:hAnsi="Cambria Math"/>
                  <w:i/>
                </w:rPr>
              </m:ctrlPr>
            </m:radPr>
            <m:deg/>
            <m:e>
              <m:d>
                <m:dPr>
                  <m:begChr m:val="["/>
                  <m:endChr m:val="]"/>
                  <m:ctrlPr>
                    <w:rPr>
                      <w:rFonts w:ascii="Cambria Math" w:hAnsi="Cambria Math"/>
                      <w:i/>
                    </w:rPr>
                  </m:ctrlPr>
                </m:dPr>
                <m:e>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sSubSup>
                            <m:sSubSupPr>
                              <m:ctrlPr>
                                <w:rPr>
                                  <w:rFonts w:ascii="Cambria Math" w:hAnsi="Cambria Math"/>
                                  <w:i/>
                                </w:rPr>
                              </m:ctrlPr>
                            </m:sSubSupPr>
                            <m:e>
                              <m:r>
                                <w:rPr>
                                  <w:rFonts w:ascii="Cambria Math" w:hAnsi="Cambria Math"/>
                                </w:rPr>
                                <m:t>P</m:t>
                              </m:r>
                            </m:e>
                            <m:sub>
                              <m:r>
                                <w:rPr>
                                  <w:rFonts w:ascii="Cambria Math" w:hAnsi="Cambria Math"/>
                                </w:rPr>
                                <m:t>n</m:t>
                              </m:r>
                            </m:sub>
                            <m:sup>
                              <m:d>
                                <m:dPr>
                                  <m:ctrlPr>
                                    <w:rPr>
                                      <w:rFonts w:ascii="Cambria Math" w:hAnsi="Cambria Math"/>
                                      <w:i/>
                                    </w:rPr>
                                  </m:ctrlPr>
                                </m:dPr>
                                <m:e>
                                  <m:r>
                                    <w:rPr>
                                      <w:rFonts w:ascii="Cambria Math" w:hAnsi="Cambria Math"/>
                                    </w:rPr>
                                    <m:t>i</m:t>
                                  </m:r>
                                </m:e>
                              </m:d>
                            </m:sup>
                          </m:sSubSup>
                        </m:e>
                      </m:nary>
                      <m:sSubSup>
                        <m:sSubSupPr>
                          <m:ctrlPr>
                            <w:rPr>
                              <w:rFonts w:ascii="Cambria Math" w:hAnsi="Cambria Math"/>
                              <w:i/>
                            </w:rPr>
                          </m:ctrlPr>
                        </m:sSubSupPr>
                        <m:e>
                          <m:r>
                            <w:rPr>
                              <w:rFonts w:ascii="Cambria Math" w:hAnsi="Cambria Math"/>
                            </w:rPr>
                            <m:t>q</m:t>
                          </m:r>
                        </m:e>
                        <m:sub>
                          <m:r>
                            <w:rPr>
                              <w:rFonts w:ascii="Cambria Math" w:hAnsi="Cambria Math"/>
                            </w:rPr>
                            <m:t>0</m:t>
                          </m:r>
                        </m:sub>
                        <m:sup>
                          <m:d>
                            <m:dPr>
                              <m:ctrlPr>
                                <w:rPr>
                                  <w:rFonts w:ascii="Cambria Math" w:hAnsi="Cambria Math"/>
                                  <w:i/>
                                </w:rPr>
                              </m:ctrlPr>
                            </m:dPr>
                            <m:e>
                              <m:r>
                                <w:rPr>
                                  <w:rFonts w:ascii="Cambria Math" w:hAnsi="Cambria Math"/>
                                </w:rPr>
                                <m:t>i</m:t>
                              </m:r>
                            </m:e>
                          </m:d>
                        </m:sup>
                      </m:sSubSup>
                    </m:num>
                    <m:den>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sSubSup>
                            <m:sSubSupPr>
                              <m:ctrlPr>
                                <w:rPr>
                                  <w:rFonts w:ascii="Cambria Math" w:hAnsi="Cambria Math"/>
                                  <w:i/>
                                </w:rPr>
                              </m:ctrlPr>
                            </m:sSubSupPr>
                            <m:e>
                              <m:r>
                                <w:rPr>
                                  <w:rFonts w:ascii="Cambria Math" w:hAnsi="Cambria Math"/>
                                </w:rPr>
                                <m:t>P</m:t>
                              </m:r>
                            </m:e>
                            <m:sub>
                              <m:r>
                                <w:rPr>
                                  <w:rFonts w:ascii="Cambria Math" w:hAnsi="Cambria Math"/>
                                </w:rPr>
                                <m:t>0</m:t>
                              </m:r>
                            </m:sub>
                            <m:sup>
                              <m:d>
                                <m:dPr>
                                  <m:ctrlPr>
                                    <w:rPr>
                                      <w:rFonts w:ascii="Cambria Math" w:hAnsi="Cambria Math"/>
                                      <w:i/>
                                    </w:rPr>
                                  </m:ctrlPr>
                                </m:dPr>
                                <m:e>
                                  <m:r>
                                    <w:rPr>
                                      <w:rFonts w:ascii="Cambria Math" w:hAnsi="Cambria Math"/>
                                    </w:rPr>
                                    <m:t>i</m:t>
                                  </m:r>
                                </m:e>
                              </m:d>
                            </m:sup>
                          </m:sSubSup>
                        </m:e>
                      </m:nary>
                      <m:sSubSup>
                        <m:sSubSupPr>
                          <m:ctrlPr>
                            <w:rPr>
                              <w:rFonts w:ascii="Cambria Math" w:hAnsi="Cambria Math"/>
                              <w:i/>
                            </w:rPr>
                          </m:ctrlPr>
                        </m:sSubSupPr>
                        <m:e>
                          <m:r>
                            <w:rPr>
                              <w:rFonts w:ascii="Cambria Math" w:hAnsi="Cambria Math"/>
                            </w:rPr>
                            <m:t>q</m:t>
                          </m:r>
                        </m:e>
                        <m:sub>
                          <m:r>
                            <w:rPr>
                              <w:rFonts w:ascii="Cambria Math" w:hAnsi="Cambria Math"/>
                            </w:rPr>
                            <m:t>0</m:t>
                          </m:r>
                        </m:sub>
                        <m:sup>
                          <m:d>
                            <m:dPr>
                              <m:ctrlPr>
                                <w:rPr>
                                  <w:rFonts w:ascii="Cambria Math" w:hAnsi="Cambria Math"/>
                                  <w:i/>
                                </w:rPr>
                              </m:ctrlPr>
                            </m:dPr>
                            <m:e>
                              <m:r>
                                <w:rPr>
                                  <w:rFonts w:ascii="Cambria Math" w:hAnsi="Cambria Math"/>
                                </w:rPr>
                                <m:t>i</m:t>
                              </m:r>
                            </m:e>
                          </m:d>
                        </m:sup>
                      </m:sSubSup>
                    </m:den>
                  </m:f>
                </m:e>
              </m:d>
              <m:d>
                <m:dPr>
                  <m:begChr m:val="["/>
                  <m:endChr m:val="]"/>
                  <m:ctrlPr>
                    <w:rPr>
                      <w:rFonts w:ascii="Cambria Math" w:hAnsi="Cambria Math"/>
                      <w:i/>
                    </w:rPr>
                  </m:ctrlPr>
                </m:dPr>
                <m:e>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sSubSup>
                            <m:sSubSupPr>
                              <m:ctrlPr>
                                <w:rPr>
                                  <w:rFonts w:ascii="Cambria Math" w:hAnsi="Cambria Math"/>
                                  <w:i/>
                                </w:rPr>
                              </m:ctrlPr>
                            </m:sSubSupPr>
                            <m:e>
                              <m:r>
                                <w:rPr>
                                  <w:rFonts w:ascii="Cambria Math" w:hAnsi="Cambria Math"/>
                                </w:rPr>
                                <m:t>P</m:t>
                              </m:r>
                            </m:e>
                            <m:sub>
                              <m:r>
                                <w:rPr>
                                  <w:rFonts w:ascii="Cambria Math" w:hAnsi="Cambria Math"/>
                                </w:rPr>
                                <m:t>n</m:t>
                              </m:r>
                            </m:sub>
                            <m:sup>
                              <m:d>
                                <m:dPr>
                                  <m:ctrlPr>
                                    <w:rPr>
                                      <w:rFonts w:ascii="Cambria Math" w:hAnsi="Cambria Math"/>
                                      <w:i/>
                                    </w:rPr>
                                  </m:ctrlPr>
                                </m:dPr>
                                <m:e>
                                  <m:r>
                                    <w:rPr>
                                      <w:rFonts w:ascii="Cambria Math" w:hAnsi="Cambria Math"/>
                                    </w:rPr>
                                    <m:t>i</m:t>
                                  </m:r>
                                </m:e>
                              </m:d>
                            </m:sup>
                          </m:sSubSup>
                        </m:e>
                      </m:nary>
                      <m:sSubSup>
                        <m:sSubSupPr>
                          <m:ctrlPr>
                            <w:rPr>
                              <w:rFonts w:ascii="Cambria Math" w:hAnsi="Cambria Math"/>
                              <w:i/>
                            </w:rPr>
                          </m:ctrlPr>
                        </m:sSubSupPr>
                        <m:e>
                          <m:r>
                            <w:rPr>
                              <w:rFonts w:ascii="Cambria Math" w:hAnsi="Cambria Math"/>
                            </w:rPr>
                            <m:t>q</m:t>
                          </m:r>
                        </m:e>
                        <m:sub>
                          <m:r>
                            <w:rPr>
                              <w:rFonts w:ascii="Cambria Math" w:hAnsi="Cambria Math"/>
                            </w:rPr>
                            <m:t>n</m:t>
                          </m:r>
                        </m:sub>
                        <m:sup>
                          <m:d>
                            <m:dPr>
                              <m:ctrlPr>
                                <w:rPr>
                                  <w:rFonts w:ascii="Cambria Math" w:hAnsi="Cambria Math"/>
                                  <w:i/>
                                </w:rPr>
                              </m:ctrlPr>
                            </m:dPr>
                            <m:e>
                              <m:r>
                                <w:rPr>
                                  <w:rFonts w:ascii="Cambria Math" w:hAnsi="Cambria Math"/>
                                </w:rPr>
                                <m:t>i</m:t>
                              </m:r>
                            </m:e>
                          </m:d>
                        </m:sup>
                      </m:sSubSup>
                    </m:num>
                    <m:den>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sSubSup>
                            <m:sSubSupPr>
                              <m:ctrlPr>
                                <w:rPr>
                                  <w:rFonts w:ascii="Cambria Math" w:hAnsi="Cambria Math"/>
                                  <w:i/>
                                </w:rPr>
                              </m:ctrlPr>
                            </m:sSubSupPr>
                            <m:e>
                              <m:r>
                                <w:rPr>
                                  <w:rFonts w:ascii="Cambria Math" w:hAnsi="Cambria Math"/>
                                </w:rPr>
                                <m:t>P</m:t>
                              </m:r>
                            </m:e>
                            <m:sub>
                              <m:r>
                                <w:rPr>
                                  <w:rFonts w:ascii="Cambria Math" w:hAnsi="Cambria Math"/>
                                </w:rPr>
                                <m:t>0</m:t>
                              </m:r>
                            </m:sub>
                            <m:sup>
                              <m:d>
                                <m:dPr>
                                  <m:ctrlPr>
                                    <w:rPr>
                                      <w:rFonts w:ascii="Cambria Math" w:hAnsi="Cambria Math"/>
                                      <w:i/>
                                    </w:rPr>
                                  </m:ctrlPr>
                                </m:dPr>
                                <m:e>
                                  <m:r>
                                    <w:rPr>
                                      <w:rFonts w:ascii="Cambria Math" w:hAnsi="Cambria Math"/>
                                    </w:rPr>
                                    <m:t>i</m:t>
                                  </m:r>
                                </m:e>
                              </m:d>
                            </m:sup>
                          </m:sSubSup>
                        </m:e>
                      </m:nary>
                      <m:sSubSup>
                        <m:sSubSupPr>
                          <m:ctrlPr>
                            <w:rPr>
                              <w:rFonts w:ascii="Cambria Math" w:hAnsi="Cambria Math"/>
                              <w:i/>
                            </w:rPr>
                          </m:ctrlPr>
                        </m:sSubSupPr>
                        <m:e>
                          <m:r>
                            <w:rPr>
                              <w:rFonts w:ascii="Cambria Math" w:hAnsi="Cambria Math"/>
                            </w:rPr>
                            <m:t>q</m:t>
                          </m:r>
                        </m:e>
                        <m:sub>
                          <m:r>
                            <w:rPr>
                              <w:rFonts w:ascii="Cambria Math" w:hAnsi="Cambria Math"/>
                            </w:rPr>
                            <m:t>n</m:t>
                          </m:r>
                        </m:sub>
                        <m:sup>
                          <m:d>
                            <m:dPr>
                              <m:ctrlPr>
                                <w:rPr>
                                  <w:rFonts w:ascii="Cambria Math" w:hAnsi="Cambria Math"/>
                                  <w:i/>
                                </w:rPr>
                              </m:ctrlPr>
                            </m:dPr>
                            <m:e>
                              <m:r>
                                <w:rPr>
                                  <w:rFonts w:ascii="Cambria Math" w:hAnsi="Cambria Math"/>
                                </w:rPr>
                                <m:t>i</m:t>
                              </m:r>
                            </m:e>
                          </m:d>
                        </m:sup>
                      </m:sSubSup>
                    </m:den>
                  </m:f>
                </m:e>
              </m:d>
            </m:e>
          </m:rad>
        </m:oMath>
      </m:oMathPara>
    </w:p>
    <w:p w14:paraId="79EA73C4" w14:textId="77777777" w:rsidR="008369E9" w:rsidRDefault="00164B93" w:rsidP="008369E9">
      <w:pPr>
        <w:adjustRightInd w:val="0"/>
        <w:spacing w:before="240" w:line="240" w:lineRule="auto"/>
        <w:jc w:val="both"/>
        <w:rPr>
          <w:rFonts w:ascii="ITC Avant Garde" w:eastAsiaTheme="minorEastAsia" w:hAnsi="ITC Avant Garde"/>
        </w:rPr>
      </w:pPr>
      <w:r w:rsidRPr="004C52B2">
        <w:rPr>
          <w:rFonts w:ascii="ITC Avant Garde" w:eastAsiaTheme="minorEastAsia" w:hAnsi="ITC Avant Garde"/>
        </w:rPr>
        <w:t>Donde:</w:t>
      </w:r>
    </w:p>
    <w:p w14:paraId="6F969E3B" w14:textId="53D3A840" w:rsidR="00164B93" w:rsidRPr="004C52B2" w:rsidRDefault="006A4E00" w:rsidP="008369E9">
      <w:pPr>
        <w:pStyle w:val="Prrafodelista"/>
        <w:adjustRightInd w:val="0"/>
        <w:spacing w:before="240" w:line="240" w:lineRule="auto"/>
        <w:ind w:left="1440"/>
        <w:jc w:val="both"/>
        <w:rPr>
          <w:rFonts w:ascii="ITC Avant Garde" w:eastAsiaTheme="minorEastAsia" w:hAnsi="ITC Avant Garde"/>
          <w:sz w:val="18"/>
          <w:szCs w:val="18"/>
        </w:rPr>
      </w:pPr>
      <m:oMath>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n</m:t>
            </m:r>
          </m:sub>
          <m:sup>
            <m:d>
              <m:dPr>
                <m:ctrlPr>
                  <w:rPr>
                    <w:rFonts w:ascii="Cambria Math" w:hAnsi="Cambria Math"/>
                    <w:i/>
                    <w:sz w:val="18"/>
                    <w:szCs w:val="18"/>
                  </w:rPr>
                </m:ctrlPr>
              </m:dPr>
              <m:e>
                <m:r>
                  <w:rPr>
                    <w:rFonts w:ascii="Cambria Math" w:hAnsi="Cambria Math"/>
                    <w:sz w:val="18"/>
                    <w:szCs w:val="18"/>
                  </w:rPr>
                  <m:t>i</m:t>
                </m:r>
              </m:e>
            </m:d>
          </m:sup>
        </m:sSubSup>
      </m:oMath>
      <w:r w:rsidR="00164B93" w:rsidRPr="004C52B2">
        <w:rPr>
          <w:rFonts w:ascii="ITC Avant Garde" w:eastAsiaTheme="minorEastAsia" w:hAnsi="ITC Avant Garde"/>
          <w:sz w:val="18"/>
          <w:szCs w:val="18"/>
        </w:rPr>
        <w:t xml:space="preserve"> es el precio del producto i en el año n.</w:t>
      </w:r>
    </w:p>
    <w:p w14:paraId="00413C97" w14:textId="77777777" w:rsidR="00164B93" w:rsidRPr="004C52B2" w:rsidRDefault="006A4E00" w:rsidP="008369E9">
      <w:pPr>
        <w:pStyle w:val="Prrafodelista"/>
        <w:adjustRightInd w:val="0"/>
        <w:spacing w:before="240" w:line="240" w:lineRule="auto"/>
        <w:ind w:left="1440"/>
        <w:jc w:val="both"/>
        <w:rPr>
          <w:rFonts w:ascii="ITC Avant Garde" w:eastAsiaTheme="minorEastAsia" w:hAnsi="ITC Avant Garde"/>
          <w:sz w:val="18"/>
          <w:szCs w:val="18"/>
        </w:rPr>
      </w:pPr>
      <m:oMath>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0</m:t>
            </m:r>
          </m:sub>
          <m:sup>
            <m:d>
              <m:dPr>
                <m:ctrlPr>
                  <w:rPr>
                    <w:rFonts w:ascii="Cambria Math" w:hAnsi="Cambria Math"/>
                    <w:i/>
                    <w:sz w:val="18"/>
                    <w:szCs w:val="18"/>
                  </w:rPr>
                </m:ctrlPr>
              </m:dPr>
              <m:e>
                <m:r>
                  <w:rPr>
                    <w:rFonts w:ascii="Cambria Math" w:hAnsi="Cambria Math"/>
                    <w:sz w:val="18"/>
                    <w:szCs w:val="18"/>
                  </w:rPr>
                  <m:t>i</m:t>
                </m:r>
              </m:e>
            </m:d>
          </m:sup>
        </m:sSubSup>
      </m:oMath>
      <w:r w:rsidR="00164B93" w:rsidRPr="004C52B2">
        <w:rPr>
          <w:rFonts w:ascii="ITC Avant Garde" w:eastAsiaTheme="minorEastAsia" w:hAnsi="ITC Avant Garde"/>
          <w:sz w:val="18"/>
          <w:szCs w:val="18"/>
        </w:rPr>
        <w:t xml:space="preserve"> es el precio del producto i en el año base.</w:t>
      </w:r>
    </w:p>
    <w:p w14:paraId="61BE29C5" w14:textId="77777777" w:rsidR="00164B93" w:rsidRPr="004C52B2" w:rsidRDefault="006A4E00" w:rsidP="008369E9">
      <w:pPr>
        <w:pStyle w:val="Prrafodelista"/>
        <w:adjustRightInd w:val="0"/>
        <w:spacing w:before="240" w:line="240" w:lineRule="auto"/>
        <w:ind w:left="1440"/>
        <w:jc w:val="both"/>
        <w:rPr>
          <w:rFonts w:ascii="ITC Avant Garde" w:eastAsiaTheme="minorEastAsia" w:hAnsi="ITC Avant Garde"/>
          <w:sz w:val="18"/>
          <w:szCs w:val="18"/>
        </w:rPr>
      </w:pPr>
      <m:oMath>
        <m:sSubSup>
          <m:sSubSupPr>
            <m:ctrlPr>
              <w:rPr>
                <w:rFonts w:ascii="Cambria Math" w:hAnsi="Cambria Math"/>
                <w:i/>
                <w:sz w:val="18"/>
                <w:szCs w:val="18"/>
              </w:rPr>
            </m:ctrlPr>
          </m:sSubSupPr>
          <m:e>
            <m:r>
              <w:rPr>
                <w:rFonts w:ascii="Cambria Math" w:hAnsi="Cambria Math"/>
                <w:sz w:val="18"/>
                <w:szCs w:val="18"/>
              </w:rPr>
              <m:t>q</m:t>
            </m:r>
          </m:e>
          <m:sub>
            <m:r>
              <w:rPr>
                <w:rFonts w:ascii="Cambria Math" w:hAnsi="Cambria Math"/>
                <w:sz w:val="18"/>
                <w:szCs w:val="18"/>
              </w:rPr>
              <m:t>n</m:t>
            </m:r>
          </m:sub>
          <m:sup>
            <m:d>
              <m:dPr>
                <m:ctrlPr>
                  <w:rPr>
                    <w:rFonts w:ascii="Cambria Math" w:hAnsi="Cambria Math"/>
                    <w:i/>
                    <w:sz w:val="18"/>
                    <w:szCs w:val="18"/>
                  </w:rPr>
                </m:ctrlPr>
              </m:dPr>
              <m:e>
                <m:r>
                  <w:rPr>
                    <w:rFonts w:ascii="Cambria Math" w:hAnsi="Cambria Math"/>
                    <w:sz w:val="18"/>
                    <w:szCs w:val="18"/>
                  </w:rPr>
                  <m:t>i</m:t>
                </m:r>
              </m:e>
            </m:d>
          </m:sup>
        </m:sSubSup>
      </m:oMath>
      <w:r w:rsidR="00164B93" w:rsidRPr="004C52B2">
        <w:rPr>
          <w:rFonts w:ascii="ITC Avant Garde" w:eastAsiaTheme="minorEastAsia" w:hAnsi="ITC Avant Garde"/>
          <w:sz w:val="18"/>
          <w:szCs w:val="18"/>
        </w:rPr>
        <w:t xml:space="preserve"> es la cantidad producida del producto i en el año n.</w:t>
      </w:r>
    </w:p>
    <w:p w14:paraId="5FF53CC5" w14:textId="77777777" w:rsidR="008369E9" w:rsidRDefault="006A4E00" w:rsidP="008369E9">
      <w:pPr>
        <w:pStyle w:val="Prrafodelista"/>
        <w:adjustRightInd w:val="0"/>
        <w:spacing w:before="240" w:line="240" w:lineRule="auto"/>
        <w:ind w:left="1440"/>
        <w:jc w:val="both"/>
        <w:rPr>
          <w:rFonts w:ascii="ITC Avant Garde" w:eastAsiaTheme="minorEastAsia" w:hAnsi="ITC Avant Garde"/>
          <w:i/>
          <w:sz w:val="18"/>
          <w:szCs w:val="18"/>
        </w:rPr>
      </w:pPr>
      <m:oMath>
        <m:sSubSup>
          <m:sSubSupPr>
            <m:ctrlPr>
              <w:rPr>
                <w:rFonts w:ascii="Cambria Math" w:hAnsi="Cambria Math"/>
                <w:i/>
                <w:sz w:val="18"/>
                <w:szCs w:val="18"/>
              </w:rPr>
            </m:ctrlPr>
          </m:sSubSupPr>
          <m:e>
            <m:r>
              <w:rPr>
                <w:rFonts w:ascii="Cambria Math" w:hAnsi="Cambria Math"/>
                <w:sz w:val="18"/>
                <w:szCs w:val="18"/>
              </w:rPr>
              <m:t>q</m:t>
            </m:r>
          </m:e>
          <m:sub>
            <m:r>
              <w:rPr>
                <w:rFonts w:ascii="Cambria Math" w:hAnsi="Cambria Math"/>
                <w:sz w:val="18"/>
                <w:szCs w:val="18"/>
              </w:rPr>
              <m:t>0</m:t>
            </m:r>
          </m:sub>
          <m:sup>
            <m:d>
              <m:dPr>
                <m:ctrlPr>
                  <w:rPr>
                    <w:rFonts w:ascii="Cambria Math" w:hAnsi="Cambria Math"/>
                    <w:i/>
                    <w:sz w:val="18"/>
                    <w:szCs w:val="18"/>
                  </w:rPr>
                </m:ctrlPr>
              </m:dPr>
              <m:e>
                <m:r>
                  <w:rPr>
                    <w:rFonts w:ascii="Cambria Math" w:hAnsi="Cambria Math"/>
                    <w:sz w:val="18"/>
                    <w:szCs w:val="18"/>
                  </w:rPr>
                  <m:t>i</m:t>
                </m:r>
              </m:e>
            </m:d>
          </m:sup>
        </m:sSubSup>
      </m:oMath>
      <w:r w:rsidR="00164B93" w:rsidRPr="004C52B2">
        <w:rPr>
          <w:rFonts w:ascii="ITC Avant Garde" w:eastAsiaTheme="minorEastAsia" w:hAnsi="ITC Avant Garde"/>
          <w:sz w:val="18"/>
          <w:szCs w:val="18"/>
        </w:rPr>
        <w:t xml:space="preserve"> es la cantidad producida del producto i en el año base.</w:t>
      </w:r>
    </w:p>
    <w:p w14:paraId="6D841A2A" w14:textId="77777777" w:rsidR="008369E9" w:rsidRDefault="00164B93" w:rsidP="008369E9">
      <w:pPr>
        <w:adjustRightInd w:val="0"/>
        <w:spacing w:before="240" w:line="240" w:lineRule="auto"/>
        <w:jc w:val="both"/>
        <w:rPr>
          <w:rFonts w:ascii="ITC Avant Garde" w:hAnsi="ITC Avant Garde"/>
        </w:rPr>
      </w:pPr>
      <w:r w:rsidRPr="004C52B2">
        <w:rPr>
          <w:rFonts w:ascii="ITC Avant Garde" w:hAnsi="ITC Avant Garde"/>
        </w:rPr>
        <w:t xml:space="preserve">El índice de </w:t>
      </w:r>
      <w:proofErr w:type="spellStart"/>
      <w:r w:rsidRPr="004C52B2">
        <w:rPr>
          <w:rFonts w:ascii="ITC Avant Garde" w:hAnsi="ITC Avant Garde"/>
        </w:rPr>
        <w:t>Laspeyres</w:t>
      </w:r>
      <w:proofErr w:type="spellEnd"/>
      <w:r w:rsidRPr="004C52B2">
        <w:rPr>
          <w:rFonts w:ascii="ITC Avant Garde" w:hAnsi="ITC Avant Garde"/>
        </w:rPr>
        <w:t xml:space="preserve"> tiende a ponderar más los bienes cuyos precios aumentan, debido a que este </w:t>
      </w:r>
      <w:r w:rsidRPr="004C52B2">
        <w:rPr>
          <w:rFonts w:ascii="ITC Avant Garde" w:eastAsiaTheme="minorEastAsia" w:hAnsi="ITC Avant Garde"/>
        </w:rPr>
        <w:t>incremento</w:t>
      </w:r>
      <w:r w:rsidRPr="004C52B2">
        <w:rPr>
          <w:rFonts w:ascii="ITC Avant Garde" w:hAnsi="ITC Avant Garde"/>
        </w:rPr>
        <w:t xml:space="preserve"> en el precio va acompañado de una reducción en la cantidad, que no se ve reflejada en el índice de </w:t>
      </w:r>
      <w:proofErr w:type="spellStart"/>
      <w:r w:rsidRPr="004C52B2">
        <w:rPr>
          <w:rFonts w:ascii="ITC Avant Garde" w:hAnsi="ITC Avant Garde"/>
        </w:rPr>
        <w:t>Laspeyres</w:t>
      </w:r>
      <w:proofErr w:type="spellEnd"/>
      <w:r w:rsidRPr="004C52B2">
        <w:rPr>
          <w:rFonts w:ascii="ITC Avant Garde" w:hAnsi="ITC Avant Garde"/>
        </w:rPr>
        <w:t xml:space="preserve"> que utiliza cantidades con base fija como ponderación. Por otra parte, el índice de </w:t>
      </w:r>
      <w:proofErr w:type="spellStart"/>
      <w:r w:rsidRPr="004C52B2">
        <w:rPr>
          <w:rFonts w:ascii="ITC Avant Garde" w:hAnsi="ITC Avant Garde"/>
        </w:rPr>
        <w:t>Paasche</w:t>
      </w:r>
      <w:proofErr w:type="spellEnd"/>
      <w:r w:rsidRPr="004C52B2">
        <w:rPr>
          <w:rFonts w:ascii="ITC Avant Garde" w:hAnsi="ITC Avant Garde"/>
        </w:rPr>
        <w:t xml:space="preserve"> tiende a ponderar más los productos o servicios cuyos precios bajan. Por lo anterior, el índice de Fisher es un esfuerzo por compensar estos efectos.</w:t>
      </w:r>
    </w:p>
    <w:p w14:paraId="36EE17E5" w14:textId="77777777" w:rsidR="008369E9" w:rsidRDefault="00164B93" w:rsidP="008369E9">
      <w:pPr>
        <w:adjustRightInd w:val="0"/>
        <w:spacing w:before="240" w:line="240" w:lineRule="auto"/>
        <w:jc w:val="both"/>
        <w:rPr>
          <w:rFonts w:ascii="ITC Avant Garde" w:eastAsia="Times New Roman" w:hAnsi="ITC Avant Garde" w:cs="Arial"/>
          <w:bCs/>
          <w:lang w:val="es-ES_tradnl" w:eastAsia="es-ES"/>
        </w:rPr>
      </w:pPr>
      <w:proofErr w:type="gramStart"/>
      <w:r w:rsidRPr="004C52B2">
        <w:rPr>
          <w:rFonts w:ascii="ITC Avant Garde" w:eastAsia="Times New Roman" w:hAnsi="ITC Avant Garde" w:cs="Arial"/>
          <w:b/>
          <w:bCs/>
          <w:lang w:val="es-ES_tradnl" w:eastAsia="es-ES"/>
        </w:rPr>
        <w:t>CUARTO</w:t>
      </w:r>
      <w:r w:rsidR="00B863F0" w:rsidRPr="004C52B2">
        <w:rPr>
          <w:rFonts w:ascii="ITC Avant Garde" w:eastAsia="Times New Roman" w:hAnsi="ITC Avant Garde" w:cs="Arial"/>
          <w:b/>
          <w:lang w:val="es-ES_tradnl" w:eastAsia="es-ES"/>
        </w:rPr>
        <w:t>.</w:t>
      </w:r>
      <w:r w:rsidR="00635207">
        <w:rPr>
          <w:rFonts w:ascii="ITC Avant Garde" w:eastAsia="Times New Roman" w:hAnsi="ITC Avant Garde" w:cs="Arial"/>
          <w:b/>
          <w:lang w:val="es-ES_tradnl" w:eastAsia="es-ES"/>
        </w:rPr>
        <w:t>-</w:t>
      </w:r>
      <w:proofErr w:type="gramEnd"/>
      <w:r w:rsidR="00B863F0" w:rsidRPr="004C52B2">
        <w:rPr>
          <w:rFonts w:ascii="ITC Avant Garde" w:eastAsia="Times New Roman" w:hAnsi="ITC Avant Garde" w:cs="Arial"/>
          <w:b/>
          <w:lang w:val="es-ES_tradnl" w:eastAsia="es-ES"/>
        </w:rPr>
        <w:t xml:space="preserve"> </w:t>
      </w:r>
      <w:r w:rsidR="005211CE">
        <w:rPr>
          <w:rFonts w:ascii="ITC Avant Garde" w:eastAsia="Times New Roman" w:hAnsi="ITC Avant Garde" w:cs="Arial"/>
          <w:b/>
          <w:lang w:val="es-ES_tradnl" w:eastAsia="es-ES"/>
        </w:rPr>
        <w:t>Aspectos m</w:t>
      </w:r>
      <w:r w:rsidR="009B378A" w:rsidRPr="004C52B2">
        <w:rPr>
          <w:rFonts w:ascii="ITC Avant Garde" w:eastAsia="Times New Roman" w:hAnsi="ITC Avant Garde" w:cs="Arial"/>
          <w:b/>
          <w:lang w:val="es-ES_tradnl" w:eastAsia="es-ES"/>
        </w:rPr>
        <w:t>etodol</w:t>
      </w:r>
      <w:r w:rsidR="005211CE">
        <w:rPr>
          <w:rFonts w:ascii="ITC Avant Garde" w:eastAsia="Times New Roman" w:hAnsi="ITC Avant Garde" w:cs="Arial"/>
          <w:b/>
          <w:lang w:val="es-ES_tradnl" w:eastAsia="es-ES"/>
        </w:rPr>
        <w:t>ógicos</w:t>
      </w:r>
      <w:r w:rsidR="009B378A" w:rsidRPr="004C52B2">
        <w:rPr>
          <w:rFonts w:ascii="ITC Avant Garde" w:eastAsia="Times New Roman" w:hAnsi="ITC Avant Garde" w:cs="Arial"/>
          <w:b/>
          <w:lang w:val="es-ES_tradnl" w:eastAsia="es-ES"/>
        </w:rPr>
        <w:t xml:space="preserve"> para </w:t>
      </w:r>
      <w:r w:rsidR="008B61CA" w:rsidRPr="004C52B2">
        <w:rPr>
          <w:rFonts w:ascii="ITC Avant Garde" w:eastAsia="Times New Roman" w:hAnsi="ITC Avant Garde" w:cs="Arial"/>
          <w:b/>
          <w:lang w:val="es-ES_tradnl" w:eastAsia="es-ES"/>
        </w:rPr>
        <w:t>el cá</w:t>
      </w:r>
      <w:r w:rsidR="009B378A" w:rsidRPr="004C52B2">
        <w:rPr>
          <w:rFonts w:ascii="ITC Avant Garde" w:eastAsia="Times New Roman" w:hAnsi="ITC Avant Garde" w:cs="Arial"/>
          <w:b/>
          <w:lang w:val="es-ES_tradnl" w:eastAsia="es-ES"/>
        </w:rPr>
        <w:t>lcul</w:t>
      </w:r>
      <w:r w:rsidR="008B61CA" w:rsidRPr="004C52B2">
        <w:rPr>
          <w:rFonts w:ascii="ITC Avant Garde" w:eastAsia="Times New Roman" w:hAnsi="ITC Avant Garde" w:cs="Arial"/>
          <w:b/>
          <w:lang w:val="es-ES_tradnl" w:eastAsia="es-ES"/>
        </w:rPr>
        <w:t>o</w:t>
      </w:r>
      <w:r w:rsidR="009B378A" w:rsidRPr="004C52B2">
        <w:rPr>
          <w:rFonts w:ascii="ITC Avant Garde" w:eastAsia="Times New Roman" w:hAnsi="ITC Avant Garde" w:cs="Arial"/>
          <w:b/>
          <w:lang w:val="es-ES_tradnl" w:eastAsia="es-ES"/>
        </w:rPr>
        <w:t xml:space="preserve"> </w:t>
      </w:r>
      <w:r w:rsidR="008B61CA" w:rsidRPr="004C52B2">
        <w:rPr>
          <w:rFonts w:ascii="ITC Avant Garde" w:eastAsia="Times New Roman" w:hAnsi="ITC Avant Garde" w:cs="Arial"/>
          <w:b/>
          <w:lang w:val="es-ES_tradnl" w:eastAsia="es-ES"/>
        </w:rPr>
        <w:t>d</w:t>
      </w:r>
      <w:r w:rsidR="009B378A" w:rsidRPr="004C52B2">
        <w:rPr>
          <w:rFonts w:ascii="ITC Avant Garde" w:eastAsia="Times New Roman" w:hAnsi="ITC Avant Garde" w:cs="Arial"/>
          <w:b/>
          <w:lang w:val="es-ES_tradnl" w:eastAsia="es-ES"/>
        </w:rPr>
        <w:t xml:space="preserve">el Factor de </w:t>
      </w:r>
      <w:r w:rsidR="00E302C0">
        <w:rPr>
          <w:rFonts w:ascii="ITC Avant Garde" w:eastAsia="Times New Roman" w:hAnsi="ITC Avant Garde" w:cs="Arial"/>
          <w:b/>
          <w:lang w:val="es-ES_tradnl" w:eastAsia="es-ES"/>
        </w:rPr>
        <w:t>P</w:t>
      </w:r>
      <w:r w:rsidR="009B378A" w:rsidRPr="004C52B2">
        <w:rPr>
          <w:rFonts w:ascii="ITC Avant Garde" w:eastAsia="Times New Roman" w:hAnsi="ITC Avant Garde" w:cs="Arial"/>
          <w:b/>
          <w:lang w:val="es-ES_tradnl" w:eastAsia="es-ES"/>
        </w:rPr>
        <w:t>roductividad “X”</w:t>
      </w:r>
      <w:r w:rsidR="00194FD7">
        <w:rPr>
          <w:rFonts w:ascii="ITC Avant Garde" w:eastAsia="Times New Roman" w:hAnsi="ITC Avant Garde" w:cs="Arial"/>
          <w:b/>
          <w:lang w:val="es-ES_tradnl" w:eastAsia="es-ES"/>
        </w:rPr>
        <w:t>.</w:t>
      </w:r>
      <w:r w:rsidR="00E9607D" w:rsidRPr="004C52B2">
        <w:rPr>
          <w:rFonts w:ascii="ITC Avant Garde" w:eastAsia="Times New Roman" w:hAnsi="ITC Avant Garde" w:cs="Arial"/>
          <w:b/>
          <w:bCs/>
          <w:lang w:val="es-ES_tradnl" w:eastAsia="es-ES"/>
        </w:rPr>
        <w:t xml:space="preserve"> </w:t>
      </w:r>
      <w:r w:rsidR="00E9607D" w:rsidRPr="004C52B2">
        <w:rPr>
          <w:rFonts w:ascii="ITC Avant Garde" w:eastAsia="Times New Roman" w:hAnsi="ITC Avant Garde" w:cs="Arial"/>
          <w:bCs/>
          <w:lang w:val="es-ES_tradnl" w:eastAsia="es-ES"/>
        </w:rPr>
        <w:t>El modelo de regulación para la fijación de precios tope se realiza a través de la f</w:t>
      </w:r>
      <w:r w:rsidR="004D2A8D" w:rsidRPr="004C52B2">
        <w:rPr>
          <w:rFonts w:ascii="ITC Avant Garde" w:eastAsia="Times New Roman" w:hAnsi="ITC Avant Garde" w:cs="Arial"/>
          <w:bCs/>
          <w:lang w:val="es-ES_tradnl" w:eastAsia="es-ES"/>
        </w:rPr>
        <w:t>ó</w:t>
      </w:r>
      <w:r w:rsidR="00E9607D" w:rsidRPr="004C52B2">
        <w:rPr>
          <w:rFonts w:ascii="ITC Avant Garde" w:eastAsia="Times New Roman" w:hAnsi="ITC Avant Garde" w:cs="Arial"/>
          <w:bCs/>
          <w:lang w:val="es-ES_tradnl" w:eastAsia="es-ES"/>
        </w:rPr>
        <w:t xml:space="preserve">rmula </w:t>
      </w:r>
      <w:r w:rsidR="00361100" w:rsidRPr="004C52B2">
        <w:rPr>
          <w:rFonts w:ascii="ITC Avant Garde" w:eastAsia="Times New Roman" w:hAnsi="ITC Avant Garde" w:cs="Arial"/>
          <w:bCs/>
          <w:lang w:val="es-ES_tradnl" w:eastAsia="es-ES"/>
        </w:rPr>
        <w:t>(1+</w:t>
      </w:r>
      <w:proofErr w:type="gramStart"/>
      <w:r w:rsidR="00E9607D" w:rsidRPr="004C52B2">
        <w:rPr>
          <w:rFonts w:ascii="ITC Avant Garde" w:eastAsia="Times New Roman" w:hAnsi="ITC Avant Garde" w:cs="Arial"/>
          <w:bCs/>
          <w:lang w:val="es-ES_tradnl" w:eastAsia="es-ES"/>
        </w:rPr>
        <w:t>IPC</w:t>
      </w:r>
      <w:r w:rsidR="00657C87" w:rsidRPr="004C52B2">
        <w:rPr>
          <w:rFonts w:ascii="ITC Avant Garde" w:eastAsia="Times New Roman" w:hAnsi="ITC Avant Garde" w:cs="Arial"/>
          <w:bCs/>
          <w:lang w:val="es-ES_tradnl" w:eastAsia="es-ES"/>
        </w:rPr>
        <w:t>)</w:t>
      </w:r>
      <w:r w:rsidR="00194FD7">
        <w:rPr>
          <w:rFonts w:ascii="ITC Avant Garde" w:eastAsia="Times New Roman" w:hAnsi="ITC Avant Garde" w:cs="Arial"/>
          <w:bCs/>
          <w:lang w:val="es-ES_tradnl" w:eastAsia="es-ES"/>
        </w:rPr>
        <w:t>·</w:t>
      </w:r>
      <w:proofErr w:type="gramEnd"/>
      <w:r w:rsidR="00361100" w:rsidRPr="004C52B2">
        <w:rPr>
          <w:rFonts w:ascii="ITC Avant Garde" w:eastAsia="Times New Roman" w:hAnsi="ITC Avant Garde" w:cs="Arial"/>
          <w:bCs/>
          <w:lang w:val="es-ES_tradnl" w:eastAsia="es-ES"/>
        </w:rPr>
        <w:t>(1</w:t>
      </w:r>
      <w:r w:rsidR="00E9607D" w:rsidRPr="004C52B2">
        <w:rPr>
          <w:rFonts w:ascii="ITC Avant Garde" w:eastAsia="Times New Roman" w:hAnsi="ITC Avant Garde" w:cs="Arial"/>
          <w:bCs/>
          <w:lang w:val="es-ES_tradnl" w:eastAsia="es-ES"/>
        </w:rPr>
        <w:t xml:space="preserve"> – X</w:t>
      </w:r>
      <w:r w:rsidR="00657C87" w:rsidRPr="004C52B2">
        <w:rPr>
          <w:rFonts w:ascii="ITC Avant Garde" w:eastAsia="Times New Roman" w:hAnsi="ITC Avant Garde" w:cs="Arial"/>
          <w:bCs/>
          <w:lang w:val="es-ES_tradnl" w:eastAsia="es-ES"/>
        </w:rPr>
        <w:t>)</w:t>
      </w:r>
      <w:r w:rsidR="00E9607D" w:rsidRPr="004C52B2">
        <w:rPr>
          <w:rFonts w:ascii="ITC Avant Garde" w:eastAsia="Times New Roman" w:hAnsi="ITC Avant Garde" w:cs="Arial"/>
          <w:bCs/>
          <w:lang w:val="es-ES_tradnl" w:eastAsia="es-ES"/>
        </w:rPr>
        <w:t>; donde el IPC</w:t>
      </w:r>
      <w:r w:rsidR="00657C87" w:rsidRPr="004C52B2">
        <w:rPr>
          <w:rFonts w:ascii="ITC Avant Garde" w:eastAsia="Times New Roman" w:hAnsi="ITC Avant Garde" w:cs="Arial"/>
          <w:bCs/>
          <w:lang w:val="es-ES_tradnl" w:eastAsia="es-ES"/>
        </w:rPr>
        <w:t xml:space="preserve"> (Índice de Precios al Consumidor)</w:t>
      </w:r>
      <w:r w:rsidR="00E9607D" w:rsidRPr="004C52B2">
        <w:rPr>
          <w:rFonts w:ascii="ITC Avant Garde" w:eastAsia="Times New Roman" w:hAnsi="ITC Avant Garde" w:cs="Arial"/>
          <w:bCs/>
          <w:lang w:val="es-ES_tradnl" w:eastAsia="es-ES"/>
        </w:rPr>
        <w:t xml:space="preserve"> se refiere a la variación porcentual del índice de precios al consumidor y </w:t>
      </w:r>
      <w:r w:rsidR="00E302C0">
        <w:rPr>
          <w:rFonts w:ascii="ITC Avant Garde" w:eastAsia="Times New Roman" w:hAnsi="ITC Avant Garde" w:cs="Arial"/>
          <w:bCs/>
          <w:lang w:val="es-ES_tradnl" w:eastAsia="es-ES"/>
        </w:rPr>
        <w:t>“</w:t>
      </w:r>
      <w:r w:rsidR="00E9607D" w:rsidRPr="004C52B2">
        <w:rPr>
          <w:rFonts w:ascii="ITC Avant Garde" w:eastAsia="Times New Roman" w:hAnsi="ITC Avant Garde" w:cs="Arial"/>
          <w:bCs/>
          <w:lang w:val="es-ES_tradnl" w:eastAsia="es-ES"/>
        </w:rPr>
        <w:t>X</w:t>
      </w:r>
      <w:r w:rsidR="00E302C0">
        <w:rPr>
          <w:rFonts w:ascii="ITC Avant Garde" w:eastAsia="Times New Roman" w:hAnsi="ITC Avant Garde" w:cs="Arial"/>
          <w:bCs/>
          <w:lang w:val="es-ES_tradnl" w:eastAsia="es-ES"/>
        </w:rPr>
        <w:t>”</w:t>
      </w:r>
      <w:r w:rsidR="00E9607D" w:rsidRPr="004C52B2">
        <w:rPr>
          <w:rFonts w:ascii="ITC Avant Garde" w:eastAsia="Times New Roman" w:hAnsi="ITC Avant Garde" w:cs="Arial"/>
          <w:bCs/>
          <w:lang w:val="es-ES_tradnl" w:eastAsia="es-ES"/>
        </w:rPr>
        <w:t xml:space="preserve"> representa el Factor de </w:t>
      </w:r>
      <w:r w:rsidR="00E302C0">
        <w:rPr>
          <w:rFonts w:ascii="ITC Avant Garde" w:eastAsia="Times New Roman" w:hAnsi="ITC Avant Garde" w:cs="Arial"/>
          <w:bCs/>
          <w:lang w:val="es-ES_tradnl" w:eastAsia="es-ES"/>
        </w:rPr>
        <w:t>P</w:t>
      </w:r>
      <w:r w:rsidR="00E9607D" w:rsidRPr="004C52B2">
        <w:rPr>
          <w:rFonts w:ascii="ITC Avant Garde" w:eastAsia="Times New Roman" w:hAnsi="ITC Avant Garde" w:cs="Arial"/>
          <w:bCs/>
          <w:lang w:val="es-ES_tradnl" w:eastAsia="es-ES"/>
        </w:rPr>
        <w:t>roductividad. Este modelo de regulación es aplicado a un conjunto de servicios, con la restricción de que la variación promedio ponderada de los nuevos precios debe cumplir con lo establecido por el régimen tarifario. De esta manera, se puede incrementar el bienestar de los consumidores e incentivar el uso eficiente de los recursos.</w:t>
      </w:r>
    </w:p>
    <w:p w14:paraId="0BFF3846" w14:textId="77777777" w:rsidR="008369E9" w:rsidRDefault="00E9607D" w:rsidP="008369E9">
      <w:pPr>
        <w:adjustRightInd w:val="0"/>
        <w:spacing w:before="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La regulación por precios tope incentiva a la empresa regulada a reducir sus costos y lograr el objetivo regulatorio de eficiencia productiva, lo cual permite trasladar gradualmente a los usuarios los beneficios causados por las ganancias en eficiencia de la empresa.</w:t>
      </w:r>
    </w:p>
    <w:p w14:paraId="01D350D7" w14:textId="77777777" w:rsidR="008369E9" w:rsidRDefault="00E9607D" w:rsidP="008369E9">
      <w:pPr>
        <w:adjustRightInd w:val="0"/>
        <w:spacing w:before="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En este esquema de regulación IPC – X se puede utilizar la siguiente relación:</w:t>
      </w:r>
    </w:p>
    <w:p w14:paraId="446D6A88" w14:textId="77777777" w:rsidR="008369E9" w:rsidRDefault="00E9607D" w:rsidP="00051955">
      <w:pPr>
        <w:adjustRightInd w:val="0"/>
        <w:spacing w:after="0" w:line="240" w:lineRule="auto"/>
        <w:jc w:val="both"/>
        <w:rPr>
          <w:rFonts w:ascii="ITC Avant Garde" w:eastAsia="Times New Roman" w:hAnsi="ITC Avant Garde" w:cs="Arial"/>
          <w:bCs/>
          <w:lang w:val="es-ES_tradnl" w:eastAsia="es-ES"/>
        </w:rPr>
      </w:pPr>
      <m:oMathPara>
        <m:oMath>
          <m:r>
            <m:rPr>
              <m:sty m:val="p"/>
            </m:rPr>
            <w:rPr>
              <w:rFonts w:ascii="Cambria Math" w:eastAsia="Times New Roman" w:hAnsi="Cambria Math" w:cs="Arial"/>
            </w:rPr>
            <m:t>X</m:t>
          </m:r>
          <m:r>
            <m:rPr>
              <m:sty m:val="p"/>
            </m:rPr>
            <w:rPr>
              <w:rFonts w:ascii="Cambria Math" w:eastAsia="Times New Roman" w:hAnsi="Cambria Math" w:cs="Arial"/>
              <w:lang w:val="es-ES_tradnl" w:eastAsia="es-ES"/>
            </w:rPr>
            <m:t xml:space="preserve">= </m:t>
          </m:r>
          <m:d>
            <m:dPr>
              <m:ctrlPr>
                <w:rPr>
                  <w:rFonts w:ascii="Cambria Math" w:eastAsia="Times New Roman" w:hAnsi="Cambria Math" w:cs="Arial"/>
                  <w:bCs/>
                  <w:lang w:val="es-ES_tradnl" w:eastAsia="es-ES"/>
                </w:rPr>
              </m:ctrlPr>
            </m:dPr>
            <m:e>
              <m:sSub>
                <m:sSubPr>
                  <m:ctrlPr>
                    <w:rPr>
                      <w:rFonts w:ascii="Cambria Math" w:eastAsia="Times New Roman" w:hAnsi="Cambria Math" w:cs="Arial"/>
                      <w:bCs/>
                      <w:lang w:val="es-ES_tradnl" w:eastAsia="es-ES"/>
                    </w:rPr>
                  </m:ctrlPr>
                </m:sSubPr>
                <m:e>
                  <m:r>
                    <m:rPr>
                      <m:sty m:val="p"/>
                    </m:rPr>
                    <w:rPr>
                      <w:rFonts w:ascii="Cambria Math" w:eastAsia="Times New Roman" w:hAnsi="Cambria Math" w:cs="Arial"/>
                      <w:lang w:val="es-ES_tradnl" w:eastAsia="es-ES"/>
                    </w:rPr>
                    <m:t>PTF</m:t>
                  </m:r>
                </m:e>
                <m:sub>
                  <m:r>
                    <m:rPr>
                      <m:sty m:val="p"/>
                    </m:rPr>
                    <w:rPr>
                      <w:rFonts w:ascii="Cambria Math" w:eastAsia="Times New Roman" w:hAnsi="Cambria Math" w:cs="Arial"/>
                      <w:lang w:val="es-ES_tradnl" w:eastAsia="es-ES"/>
                    </w:rPr>
                    <m:t>EMP</m:t>
                  </m:r>
                </m:sub>
              </m:sSub>
              <m:r>
                <m:rPr>
                  <m:sty m:val="p"/>
                </m:rPr>
                <w:rPr>
                  <w:rFonts w:ascii="Cambria Math" w:eastAsia="Times New Roman" w:hAnsi="Cambria Math" w:cs="Arial"/>
                  <w:lang w:val="es-ES_tradnl" w:eastAsia="es-ES"/>
                </w:rPr>
                <m:t>-</m:t>
              </m:r>
              <m:sSub>
                <m:sSubPr>
                  <m:ctrlPr>
                    <w:rPr>
                      <w:rFonts w:ascii="Cambria Math" w:eastAsia="Times New Roman" w:hAnsi="Cambria Math" w:cs="Arial"/>
                      <w:bCs/>
                      <w:lang w:val="es-ES_tradnl" w:eastAsia="es-ES"/>
                    </w:rPr>
                  </m:ctrlPr>
                </m:sSubPr>
                <m:e>
                  <m:r>
                    <m:rPr>
                      <m:sty m:val="p"/>
                    </m:rPr>
                    <w:rPr>
                      <w:rFonts w:ascii="Cambria Math" w:eastAsia="Times New Roman" w:hAnsi="Cambria Math" w:cs="Arial"/>
                      <w:lang w:val="es-ES_tradnl" w:eastAsia="es-ES"/>
                    </w:rPr>
                    <m:t>PTF</m:t>
                  </m:r>
                </m:e>
                <m:sub>
                  <m:r>
                    <m:rPr>
                      <m:sty m:val="p"/>
                    </m:rPr>
                    <w:rPr>
                      <w:rFonts w:ascii="Cambria Math" w:eastAsia="Times New Roman" w:hAnsi="Cambria Math" w:cs="Arial"/>
                      <w:lang w:val="es-ES_tradnl" w:eastAsia="es-ES"/>
                    </w:rPr>
                    <m:t>ECO</m:t>
                  </m:r>
                </m:sub>
              </m:sSub>
            </m:e>
          </m:d>
          <m:r>
            <m:rPr>
              <m:sty m:val="p"/>
            </m:rPr>
            <w:rPr>
              <w:rFonts w:ascii="Cambria Math" w:eastAsia="Times New Roman" w:hAnsi="Cambria Math" w:cs="Arial"/>
              <w:lang w:val="es-ES_tradnl" w:eastAsia="es-ES"/>
            </w:rPr>
            <m:t>+</m:t>
          </m:r>
          <m:d>
            <m:dPr>
              <m:ctrlPr>
                <w:rPr>
                  <w:rFonts w:ascii="Cambria Math" w:eastAsia="Times New Roman" w:hAnsi="Cambria Math" w:cs="Arial"/>
                  <w:bCs/>
                  <w:lang w:val="es-ES_tradnl" w:eastAsia="es-ES"/>
                </w:rPr>
              </m:ctrlPr>
            </m:dPr>
            <m:e>
              <m:sSub>
                <m:sSubPr>
                  <m:ctrlPr>
                    <w:rPr>
                      <w:rFonts w:ascii="Cambria Math" w:eastAsia="Times New Roman" w:hAnsi="Cambria Math" w:cs="Arial"/>
                      <w:bCs/>
                      <w:lang w:val="es-ES_tradnl" w:eastAsia="es-ES"/>
                    </w:rPr>
                  </m:ctrlPr>
                </m:sSubPr>
                <m:e>
                  <m:r>
                    <m:rPr>
                      <m:sty m:val="p"/>
                    </m:rPr>
                    <w:rPr>
                      <w:rFonts w:ascii="Cambria Math" w:eastAsia="Times New Roman" w:hAnsi="Cambria Math" w:cs="Arial"/>
                      <w:lang w:val="es-ES_tradnl" w:eastAsia="es-ES"/>
                    </w:rPr>
                    <m:t>W</m:t>
                  </m:r>
                </m:e>
                <m:sub>
                  <m:r>
                    <w:rPr>
                      <w:rFonts w:ascii="Cambria Math" w:eastAsia="Times New Roman" w:hAnsi="Cambria Math" w:cs="Arial"/>
                      <w:lang w:val="es-ES_tradnl" w:eastAsia="es-ES"/>
                    </w:rPr>
                    <m:t>ECO</m:t>
                  </m:r>
                </m:sub>
              </m:sSub>
              <m:r>
                <m:rPr>
                  <m:sty m:val="p"/>
                </m:rPr>
                <w:rPr>
                  <w:rFonts w:ascii="Cambria Math" w:eastAsia="Times New Roman" w:hAnsi="Cambria Math" w:cs="Arial"/>
                  <w:lang w:val="es-ES_tradnl" w:eastAsia="es-ES"/>
                </w:rPr>
                <m:t>-</m:t>
              </m:r>
              <m:sSub>
                <m:sSubPr>
                  <m:ctrlPr>
                    <w:rPr>
                      <w:rFonts w:ascii="Cambria Math" w:eastAsia="Times New Roman" w:hAnsi="Cambria Math" w:cs="Arial"/>
                      <w:bCs/>
                      <w:lang w:val="es-ES_tradnl" w:eastAsia="es-ES"/>
                    </w:rPr>
                  </m:ctrlPr>
                </m:sSubPr>
                <m:e>
                  <m:r>
                    <m:rPr>
                      <m:sty m:val="p"/>
                    </m:rPr>
                    <w:rPr>
                      <w:rFonts w:ascii="Cambria Math" w:eastAsia="Times New Roman" w:hAnsi="Cambria Math" w:cs="Arial"/>
                      <w:lang w:val="es-ES_tradnl" w:eastAsia="es-ES"/>
                    </w:rPr>
                    <m:t>W</m:t>
                  </m:r>
                </m:e>
                <m:sub>
                  <m:r>
                    <m:rPr>
                      <m:sty m:val="p"/>
                    </m:rPr>
                    <w:rPr>
                      <w:rFonts w:ascii="Cambria Math" w:eastAsia="Times New Roman" w:hAnsi="Cambria Math" w:cs="Arial"/>
                      <w:lang w:val="es-ES_tradnl" w:eastAsia="es-ES"/>
                    </w:rPr>
                    <m:t>EMP</m:t>
                  </m:r>
                </m:sub>
              </m:sSub>
            </m:e>
          </m:d>
        </m:oMath>
      </m:oMathPara>
    </w:p>
    <w:p w14:paraId="79FB63BD" w14:textId="77777777" w:rsidR="008369E9" w:rsidRDefault="00376BF9" w:rsidP="008369E9">
      <w:pPr>
        <w:adjustRightInd w:val="0"/>
        <w:spacing w:before="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D</w:t>
      </w:r>
      <w:r w:rsidR="00E9607D" w:rsidRPr="004C52B2">
        <w:rPr>
          <w:rFonts w:ascii="ITC Avant Garde" w:eastAsia="Times New Roman" w:hAnsi="ITC Avant Garde" w:cs="Arial"/>
          <w:bCs/>
          <w:lang w:val="es-ES_tradnl" w:eastAsia="es-ES"/>
        </w:rPr>
        <w:t>onde,</w:t>
      </w:r>
    </w:p>
    <w:p w14:paraId="756F9D75" w14:textId="349CAF3C" w:rsidR="00E9607D" w:rsidRPr="004C52B2" w:rsidRDefault="00E9607D" w:rsidP="008369E9">
      <w:pPr>
        <w:adjustRightInd w:val="0"/>
        <w:spacing w:before="240" w:line="240" w:lineRule="auto"/>
        <w:jc w:val="both"/>
        <w:rPr>
          <w:rFonts w:ascii="ITC Avant Garde" w:eastAsia="Times New Roman" w:hAnsi="ITC Avant Garde" w:cs="Arial"/>
          <w:bCs/>
          <w:sz w:val="18"/>
          <w:szCs w:val="18"/>
          <w:lang w:val="es-ES_tradnl" w:eastAsia="es-ES"/>
        </w:rPr>
      </w:pPr>
      <m:oMath>
        <m:r>
          <m:rPr>
            <m:sty m:val="p"/>
          </m:rPr>
          <w:rPr>
            <w:rFonts w:ascii="Cambria Math" w:eastAsia="Times New Roman" w:hAnsi="Cambria Math" w:cs="Arial"/>
            <w:sz w:val="18"/>
          </w:rPr>
          <m:t xml:space="preserve"> X</m:t>
        </m:r>
      </m:oMath>
      <w:r w:rsidRPr="004C52B2">
        <w:rPr>
          <w:rFonts w:ascii="ITC Avant Garde" w:eastAsia="Times New Roman" w:hAnsi="ITC Avant Garde" w:cs="Arial"/>
          <w:bCs/>
          <w:sz w:val="18"/>
          <w:szCs w:val="18"/>
          <w:lang w:val="es-ES_tradnl" w:eastAsia="es-ES"/>
        </w:rPr>
        <w:t xml:space="preserve"> = Factor de productividad de la empresa regulada.</w:t>
      </w:r>
    </w:p>
    <w:p w14:paraId="55F88B7C" w14:textId="77777777" w:rsidR="00E9607D" w:rsidRPr="004C52B2" w:rsidRDefault="006A4E00" w:rsidP="008369E9">
      <w:pPr>
        <w:adjustRightInd w:val="0"/>
        <w:spacing w:before="240" w:line="240" w:lineRule="auto"/>
        <w:jc w:val="both"/>
        <w:rPr>
          <w:rFonts w:ascii="ITC Avant Garde" w:eastAsia="Times New Roman" w:hAnsi="ITC Avant Garde" w:cs="Arial"/>
          <w:bCs/>
          <w:sz w:val="18"/>
          <w:szCs w:val="18"/>
          <w:lang w:val="es-ES_tradnl" w:eastAsia="es-ES"/>
        </w:rPr>
      </w:pPr>
      <m:oMath>
        <m:sSub>
          <m:sSubPr>
            <m:ctrlPr>
              <w:rPr>
                <w:rFonts w:ascii="Cambria Math" w:eastAsia="Times New Roman" w:hAnsi="Cambria Math" w:cs="Arial"/>
                <w:bCs/>
                <w:sz w:val="18"/>
                <w:szCs w:val="18"/>
                <w:lang w:val="es-ES_tradnl" w:eastAsia="es-ES"/>
              </w:rPr>
            </m:ctrlPr>
          </m:sSubPr>
          <m:e>
            <m:r>
              <m:rPr>
                <m:sty m:val="p"/>
              </m:rPr>
              <w:rPr>
                <w:rFonts w:ascii="Cambria Math" w:eastAsia="Times New Roman" w:hAnsi="Cambria Math" w:cs="Arial"/>
                <w:sz w:val="18"/>
                <w:szCs w:val="18"/>
                <w:lang w:val="es-ES_tradnl" w:eastAsia="es-ES"/>
              </w:rPr>
              <m:t>PTF</m:t>
            </m:r>
          </m:e>
          <m:sub>
            <m:r>
              <m:rPr>
                <m:sty m:val="p"/>
              </m:rPr>
              <w:rPr>
                <w:rFonts w:ascii="Cambria Math" w:eastAsia="Times New Roman" w:hAnsi="Cambria Math" w:cs="Arial"/>
                <w:sz w:val="18"/>
                <w:szCs w:val="18"/>
                <w:lang w:val="es-ES_tradnl" w:eastAsia="es-ES"/>
              </w:rPr>
              <m:t>EMP</m:t>
            </m:r>
          </m:sub>
        </m:sSub>
      </m:oMath>
      <w:r w:rsidR="00E9607D" w:rsidRPr="004C52B2">
        <w:rPr>
          <w:rFonts w:ascii="ITC Avant Garde" w:eastAsia="Times New Roman" w:hAnsi="ITC Avant Garde" w:cs="Arial"/>
          <w:bCs/>
          <w:sz w:val="18"/>
          <w:szCs w:val="18"/>
          <w:lang w:val="es-ES_tradnl" w:eastAsia="es-ES"/>
        </w:rPr>
        <w:t>= Tasa de cambio de la productividad de la empresa regulada.</w:t>
      </w:r>
    </w:p>
    <w:p w14:paraId="3B0C0929" w14:textId="77777777" w:rsidR="00E9607D" w:rsidRPr="004C52B2" w:rsidRDefault="006A4E00" w:rsidP="008369E9">
      <w:pPr>
        <w:adjustRightInd w:val="0"/>
        <w:spacing w:before="240" w:line="240" w:lineRule="auto"/>
        <w:jc w:val="both"/>
        <w:rPr>
          <w:rFonts w:ascii="ITC Avant Garde" w:eastAsia="Times New Roman" w:hAnsi="ITC Avant Garde" w:cs="Arial"/>
          <w:bCs/>
          <w:sz w:val="18"/>
          <w:szCs w:val="18"/>
          <w:lang w:val="es-ES_tradnl" w:eastAsia="es-ES"/>
        </w:rPr>
      </w:pPr>
      <m:oMath>
        <m:sSub>
          <m:sSubPr>
            <m:ctrlPr>
              <w:rPr>
                <w:rFonts w:ascii="Cambria Math" w:eastAsia="Times New Roman" w:hAnsi="Cambria Math" w:cs="Arial"/>
                <w:bCs/>
                <w:sz w:val="18"/>
                <w:szCs w:val="18"/>
                <w:lang w:val="es-ES_tradnl" w:eastAsia="es-ES"/>
              </w:rPr>
            </m:ctrlPr>
          </m:sSubPr>
          <m:e>
            <m:r>
              <m:rPr>
                <m:sty m:val="p"/>
              </m:rPr>
              <w:rPr>
                <w:rFonts w:ascii="Cambria Math" w:eastAsia="Times New Roman" w:hAnsi="Cambria Math" w:cs="Arial"/>
                <w:sz w:val="18"/>
                <w:szCs w:val="18"/>
                <w:lang w:val="es-ES_tradnl" w:eastAsia="es-ES"/>
              </w:rPr>
              <m:t>PTF</m:t>
            </m:r>
          </m:e>
          <m:sub>
            <m:r>
              <m:rPr>
                <m:sty m:val="p"/>
              </m:rPr>
              <w:rPr>
                <w:rFonts w:ascii="Cambria Math" w:eastAsia="Times New Roman" w:hAnsi="Cambria Math" w:cs="Arial"/>
                <w:sz w:val="18"/>
                <w:szCs w:val="18"/>
                <w:lang w:val="es-ES_tradnl" w:eastAsia="es-ES"/>
              </w:rPr>
              <m:t>ECO</m:t>
            </m:r>
          </m:sub>
        </m:sSub>
      </m:oMath>
      <w:r w:rsidR="00E9607D" w:rsidRPr="004C52B2">
        <w:rPr>
          <w:rFonts w:ascii="ITC Avant Garde" w:eastAsia="Times New Roman" w:hAnsi="ITC Avant Garde" w:cs="Arial"/>
          <w:bCs/>
          <w:sz w:val="18"/>
          <w:szCs w:val="18"/>
          <w:lang w:val="es-ES_tradnl" w:eastAsia="es-ES"/>
        </w:rPr>
        <w:t>= Tasa de cambio de la productividad de la economía.</w:t>
      </w:r>
    </w:p>
    <w:p w14:paraId="57C84010" w14:textId="77777777" w:rsidR="00E9607D" w:rsidRPr="004C52B2" w:rsidRDefault="006A4E00" w:rsidP="008369E9">
      <w:pPr>
        <w:adjustRightInd w:val="0"/>
        <w:spacing w:before="240" w:line="240" w:lineRule="auto"/>
        <w:jc w:val="both"/>
        <w:rPr>
          <w:rFonts w:ascii="ITC Avant Garde" w:eastAsia="Times New Roman" w:hAnsi="ITC Avant Garde" w:cs="Arial"/>
          <w:bCs/>
          <w:sz w:val="18"/>
          <w:szCs w:val="18"/>
          <w:lang w:val="es-ES_tradnl" w:eastAsia="es-ES"/>
        </w:rPr>
      </w:pPr>
      <m:oMath>
        <m:sSub>
          <m:sSubPr>
            <m:ctrlPr>
              <w:rPr>
                <w:rFonts w:ascii="Cambria Math" w:eastAsia="Times New Roman" w:hAnsi="Cambria Math" w:cs="Arial"/>
                <w:bCs/>
                <w:sz w:val="18"/>
                <w:szCs w:val="18"/>
                <w:lang w:val="es-ES_tradnl" w:eastAsia="es-ES"/>
              </w:rPr>
            </m:ctrlPr>
          </m:sSubPr>
          <m:e>
            <m:r>
              <m:rPr>
                <m:sty m:val="p"/>
              </m:rPr>
              <w:rPr>
                <w:rFonts w:ascii="Cambria Math" w:eastAsia="Times New Roman" w:hAnsi="Cambria Math" w:cs="Arial"/>
                <w:sz w:val="18"/>
                <w:szCs w:val="18"/>
                <w:lang w:val="es-ES_tradnl" w:eastAsia="es-ES"/>
              </w:rPr>
              <m:t>W</m:t>
            </m:r>
          </m:e>
          <m:sub>
            <m:r>
              <m:rPr>
                <m:sty m:val="p"/>
              </m:rPr>
              <w:rPr>
                <w:rFonts w:ascii="Cambria Math" w:eastAsia="Times New Roman" w:hAnsi="Cambria Math" w:cs="Arial"/>
                <w:sz w:val="18"/>
                <w:szCs w:val="18"/>
                <w:lang w:val="es-ES_tradnl" w:eastAsia="es-ES"/>
              </w:rPr>
              <m:t>ECO</m:t>
            </m:r>
          </m:sub>
        </m:sSub>
      </m:oMath>
      <w:r w:rsidR="00E9607D" w:rsidRPr="004C52B2">
        <w:rPr>
          <w:rFonts w:ascii="ITC Avant Garde" w:eastAsia="Times New Roman" w:hAnsi="ITC Avant Garde" w:cs="Arial"/>
          <w:bCs/>
          <w:sz w:val="18"/>
          <w:szCs w:val="18"/>
          <w:lang w:val="es-ES_tradnl" w:eastAsia="es-ES"/>
        </w:rPr>
        <w:t>=Tasa de crecimiento del precio de los insumos de la economía.</w:t>
      </w:r>
    </w:p>
    <w:p w14:paraId="57449010" w14:textId="77777777" w:rsidR="008369E9" w:rsidRDefault="006A4E00" w:rsidP="008369E9">
      <w:pPr>
        <w:adjustRightInd w:val="0"/>
        <w:spacing w:before="240" w:line="240" w:lineRule="auto"/>
        <w:jc w:val="both"/>
        <w:rPr>
          <w:rFonts w:ascii="ITC Avant Garde" w:eastAsia="Times New Roman" w:hAnsi="ITC Avant Garde" w:cs="Arial"/>
          <w:bCs/>
          <w:sz w:val="18"/>
          <w:szCs w:val="18"/>
          <w:lang w:val="es-ES_tradnl" w:eastAsia="es-ES"/>
        </w:rPr>
      </w:pPr>
      <m:oMath>
        <m:sSub>
          <m:sSubPr>
            <m:ctrlPr>
              <w:rPr>
                <w:rFonts w:ascii="Cambria Math" w:eastAsia="Times New Roman" w:hAnsi="Cambria Math" w:cs="Arial"/>
                <w:bCs/>
                <w:sz w:val="18"/>
                <w:szCs w:val="18"/>
                <w:lang w:val="es-ES_tradnl" w:eastAsia="es-ES"/>
              </w:rPr>
            </m:ctrlPr>
          </m:sSubPr>
          <m:e>
            <m:r>
              <m:rPr>
                <m:sty m:val="p"/>
              </m:rPr>
              <w:rPr>
                <w:rFonts w:ascii="Cambria Math" w:eastAsia="Times New Roman" w:hAnsi="Cambria Math" w:cs="Arial"/>
                <w:sz w:val="18"/>
                <w:szCs w:val="18"/>
                <w:lang w:val="es-ES_tradnl" w:eastAsia="es-ES"/>
              </w:rPr>
              <m:t>W</m:t>
            </m:r>
          </m:e>
          <m:sub>
            <m:r>
              <m:rPr>
                <m:sty m:val="p"/>
              </m:rPr>
              <w:rPr>
                <w:rFonts w:ascii="Cambria Math" w:eastAsia="Times New Roman" w:hAnsi="Cambria Math" w:cs="Arial"/>
                <w:sz w:val="18"/>
                <w:szCs w:val="18"/>
                <w:lang w:val="es-ES_tradnl" w:eastAsia="es-ES"/>
              </w:rPr>
              <m:t>EMP</m:t>
            </m:r>
          </m:sub>
        </m:sSub>
      </m:oMath>
      <w:r w:rsidR="00E9607D" w:rsidRPr="004C52B2">
        <w:rPr>
          <w:rFonts w:ascii="ITC Avant Garde" w:eastAsia="Times New Roman" w:hAnsi="ITC Avant Garde" w:cs="Arial"/>
          <w:bCs/>
          <w:sz w:val="18"/>
          <w:szCs w:val="18"/>
          <w:lang w:val="es-ES_tradnl" w:eastAsia="es-ES"/>
        </w:rPr>
        <w:t>=Tasa de crecimiento del precio de los insumos de la empresa regulada.</w:t>
      </w:r>
    </w:p>
    <w:p w14:paraId="471D609B" w14:textId="77777777" w:rsidR="008369E9" w:rsidRDefault="00E9607D" w:rsidP="008369E9">
      <w:pPr>
        <w:adjustRightInd w:val="0"/>
        <w:spacing w:before="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lastRenderedPageBreak/>
        <w:t>De la f</w:t>
      </w:r>
      <w:r w:rsidR="00EA5F89" w:rsidRPr="004C52B2">
        <w:rPr>
          <w:rFonts w:ascii="ITC Avant Garde" w:eastAsia="Times New Roman" w:hAnsi="ITC Avant Garde" w:cs="Arial"/>
          <w:bCs/>
          <w:lang w:val="es-ES_tradnl" w:eastAsia="es-ES"/>
        </w:rPr>
        <w:t>ó</w:t>
      </w:r>
      <w:r w:rsidRPr="004C52B2">
        <w:rPr>
          <w:rFonts w:ascii="ITC Avant Garde" w:eastAsia="Times New Roman" w:hAnsi="ITC Avant Garde" w:cs="Arial"/>
          <w:bCs/>
          <w:lang w:val="es-ES_tradnl" w:eastAsia="es-ES"/>
        </w:rPr>
        <w:t xml:space="preserve">rmula anterior, se desprende que la tasa de cambio de los precios del servicio regulado debe ser igual a la tasa de cambio en el IPC menos el valor del Factor de </w:t>
      </w:r>
      <w:r w:rsidR="00E302C0">
        <w:rPr>
          <w:rFonts w:ascii="ITC Avant Garde" w:eastAsia="Times New Roman" w:hAnsi="ITC Avant Garde" w:cs="Arial"/>
          <w:bCs/>
          <w:lang w:val="es-ES_tradnl" w:eastAsia="es-ES"/>
        </w:rPr>
        <w:t>P</w:t>
      </w:r>
      <w:r w:rsidRPr="004C52B2">
        <w:rPr>
          <w:rFonts w:ascii="ITC Avant Garde" w:eastAsia="Times New Roman" w:hAnsi="ITC Avant Garde" w:cs="Arial"/>
          <w:bCs/>
          <w:lang w:val="es-ES_tradnl" w:eastAsia="es-ES"/>
        </w:rPr>
        <w:t>roductividad “X”</w:t>
      </w:r>
      <w:r w:rsidR="00A02AC8" w:rsidRPr="004C52B2">
        <w:rPr>
          <w:rFonts w:ascii="ITC Avant Garde" w:eastAsia="Times New Roman" w:hAnsi="ITC Avant Garde" w:cs="Arial"/>
          <w:bCs/>
          <w:lang w:val="es-ES_tradnl" w:eastAsia="es-ES"/>
        </w:rPr>
        <w:t>,</w:t>
      </w:r>
      <w:r w:rsidRPr="004C52B2">
        <w:rPr>
          <w:rFonts w:ascii="ITC Avant Garde" w:eastAsia="Times New Roman" w:hAnsi="ITC Avant Garde" w:cs="Arial"/>
          <w:bCs/>
          <w:lang w:val="es-ES_tradnl" w:eastAsia="es-ES"/>
        </w:rPr>
        <w:t xml:space="preserve"> que considera las ganancias de productividad más la variación del precio de los insumos de la empresa regulada con respecto a la economía.</w:t>
      </w:r>
    </w:p>
    <w:p w14:paraId="7883628F" w14:textId="77777777" w:rsidR="008369E9" w:rsidRDefault="00E9607D" w:rsidP="008369E9">
      <w:pPr>
        <w:adjustRightInd w:val="0"/>
        <w:spacing w:before="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Asimismo, de la expresión a</w:t>
      </w:r>
      <w:r w:rsidR="00D31801" w:rsidRPr="004C52B2">
        <w:rPr>
          <w:rFonts w:ascii="ITC Avant Garde" w:eastAsia="Times New Roman" w:hAnsi="ITC Avant Garde" w:cs="Arial"/>
          <w:bCs/>
          <w:lang w:val="es-ES_tradnl" w:eastAsia="es-ES"/>
        </w:rPr>
        <w:t xml:space="preserve">nterior se puede deducir </w:t>
      </w:r>
      <w:proofErr w:type="gramStart"/>
      <w:r w:rsidR="00D31801" w:rsidRPr="004C52B2">
        <w:rPr>
          <w:rFonts w:ascii="ITC Avant Garde" w:eastAsia="Times New Roman" w:hAnsi="ITC Avant Garde" w:cs="Arial"/>
          <w:bCs/>
          <w:lang w:val="es-ES_tradnl" w:eastAsia="es-ES"/>
        </w:rPr>
        <w:t>que</w:t>
      </w:r>
      <w:proofErr w:type="gramEnd"/>
      <w:r w:rsidR="00D31801" w:rsidRPr="004C52B2">
        <w:rPr>
          <w:rFonts w:ascii="ITC Avant Garde" w:eastAsia="Times New Roman" w:hAnsi="ITC Avant Garde" w:cs="Arial"/>
          <w:bCs/>
          <w:lang w:val="es-ES_tradnl" w:eastAsia="es-ES"/>
        </w:rPr>
        <w:t xml:space="preserve"> si</w:t>
      </w:r>
      <w:r w:rsidRPr="004C52B2">
        <w:rPr>
          <w:rFonts w:ascii="ITC Avant Garde" w:eastAsia="Times New Roman" w:hAnsi="ITC Avant Garde" w:cs="Arial"/>
          <w:bCs/>
          <w:lang w:val="es-ES_tradnl" w:eastAsia="es-ES"/>
        </w:rPr>
        <w:t xml:space="preserve"> la empresa regulada obtiene ganancias de productividad mayores a las de la economía, la regulación de precios debería garantizar que en el siguiente periodo de revisión del Factor de </w:t>
      </w:r>
      <w:r w:rsidR="00E302C0">
        <w:rPr>
          <w:rFonts w:ascii="ITC Avant Garde" w:eastAsia="Times New Roman" w:hAnsi="ITC Avant Garde" w:cs="Arial"/>
          <w:bCs/>
          <w:lang w:val="es-ES_tradnl" w:eastAsia="es-ES"/>
        </w:rPr>
        <w:t>P</w:t>
      </w:r>
      <w:r w:rsidRPr="004C52B2">
        <w:rPr>
          <w:rFonts w:ascii="ITC Avant Garde" w:eastAsia="Times New Roman" w:hAnsi="ITC Avant Garde" w:cs="Arial"/>
          <w:bCs/>
          <w:lang w:val="es-ES_tradnl" w:eastAsia="es-ES"/>
        </w:rPr>
        <w:t>roductividad “X”, los usuarios sean beneficiados a través de la disminución en los precios ajustados por el nivel de inflación. Del mismo modo, cuando la tasa de crecimiento del precio de los insumos de la empresa regulada se incremente a una tasa menor que la tasa de crecimiento de los precios de los insumos de la economía, la regulación debería trasladar a los usuarios esta ventaja después de ajustar las tasas por el efecto de la inflación. En el caso de que la empresa regulada tenga las mismas tasas de crecimiento del precio de los insumos y la productividad que las de la economía, entonces la regulación de sus precios debería permitir subirlos exactamente al nivel de la inflación.</w:t>
      </w:r>
    </w:p>
    <w:p w14:paraId="4EE0981F" w14:textId="77777777" w:rsidR="008369E9" w:rsidRDefault="00A429DA" w:rsidP="008369E9">
      <w:pPr>
        <w:adjustRightInd w:val="0"/>
        <w:spacing w:before="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 xml:space="preserve">El principal componente en la determinación del Factor de </w:t>
      </w:r>
      <w:r w:rsidR="00E302C0">
        <w:rPr>
          <w:rFonts w:ascii="ITC Avant Garde" w:eastAsia="Times New Roman" w:hAnsi="ITC Avant Garde" w:cs="Arial"/>
          <w:bCs/>
          <w:lang w:val="es-ES_tradnl" w:eastAsia="es-ES"/>
        </w:rPr>
        <w:t>P</w:t>
      </w:r>
      <w:r w:rsidRPr="004C52B2">
        <w:rPr>
          <w:rFonts w:ascii="ITC Avant Garde" w:eastAsia="Times New Roman" w:hAnsi="ITC Avant Garde" w:cs="Arial"/>
          <w:bCs/>
          <w:lang w:val="es-ES_tradnl" w:eastAsia="es-ES"/>
        </w:rPr>
        <w:t>roductividad “X” es la tasa de cambio de la productividad. La tasa de crecimiento del precio de los insumos puede ser observada, por lo que no se requiere definir una metodología para su medición.</w:t>
      </w:r>
    </w:p>
    <w:p w14:paraId="31B53C85" w14:textId="77777777" w:rsidR="008369E9" w:rsidRDefault="00A429DA" w:rsidP="008369E9">
      <w:pPr>
        <w:adjustRightInd w:val="0"/>
        <w:spacing w:before="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 xml:space="preserve">La medición de la productividad está </w:t>
      </w:r>
      <w:r w:rsidR="00F66F3C">
        <w:rPr>
          <w:rFonts w:ascii="ITC Avant Garde" w:eastAsia="Times New Roman" w:hAnsi="ITC Avant Garde" w:cs="Arial"/>
          <w:bCs/>
          <w:lang w:val="es-ES_tradnl" w:eastAsia="es-ES"/>
        </w:rPr>
        <w:t>estrechamente</w:t>
      </w:r>
      <w:r w:rsidR="00F66F3C" w:rsidRPr="004C52B2">
        <w:rPr>
          <w:rFonts w:ascii="ITC Avant Garde" w:eastAsia="Times New Roman" w:hAnsi="ITC Avant Garde" w:cs="Arial"/>
          <w:bCs/>
          <w:lang w:val="es-ES_tradnl" w:eastAsia="es-ES"/>
        </w:rPr>
        <w:t xml:space="preserve"> </w:t>
      </w:r>
      <w:r w:rsidRPr="004C52B2">
        <w:rPr>
          <w:rFonts w:ascii="ITC Avant Garde" w:eastAsia="Times New Roman" w:hAnsi="ITC Avant Garde" w:cs="Arial"/>
          <w:bCs/>
          <w:lang w:val="es-ES_tradnl" w:eastAsia="es-ES"/>
        </w:rPr>
        <w:t>relacionada con el análisis del crecimiento económico. Uno de los modelos teóricos que se ha desarrollado para explicar los determinantes de dicho crecimiento identifica el avance tecnológico como la principal causa del crecimiento de largo plazo, el cual se considera aplicable a la regulación de precios tope de los servicios de telecomunicaciones fijos.</w:t>
      </w:r>
    </w:p>
    <w:p w14:paraId="6C8B70F8" w14:textId="77777777" w:rsidR="008369E9" w:rsidRDefault="00A429DA" w:rsidP="008369E9">
      <w:pPr>
        <w:adjustRightInd w:val="0"/>
        <w:spacing w:before="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En la literatura económica se ha desarrollado una metodología base para estudiar el crecimiento económico, llamada contabilidad del crecimiento, que ha permitido realizar estudios empíricos con la finalidad de descomponer el crecimiento económico en sus distintos componentes, los cuales están asociados por un lado al avance tecnológico y por otro a la acumulación de diferentes factores de producción.</w:t>
      </w:r>
    </w:p>
    <w:p w14:paraId="25B6359A" w14:textId="77777777" w:rsidR="008369E9" w:rsidRDefault="00A429DA" w:rsidP="008369E9">
      <w:pPr>
        <w:adjustRightInd w:val="0"/>
        <w:spacing w:before="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Para estimar empíricamente la tasa de cambio de la productividad se utiliza como base una función de producción estándar de la siguiente forma</w:t>
      </w:r>
      <w:r w:rsidR="00CA6E79" w:rsidRPr="004C52B2">
        <w:rPr>
          <w:rStyle w:val="Refdenotaalpie"/>
          <w:rFonts w:ascii="ITC Avant Garde" w:eastAsia="Times New Roman" w:hAnsi="ITC Avant Garde" w:cs="Arial"/>
          <w:bCs/>
          <w:lang w:val="es-ES_tradnl" w:eastAsia="es-ES"/>
        </w:rPr>
        <w:footnoteReference w:id="1"/>
      </w:r>
      <w:r w:rsidRPr="004C52B2">
        <w:rPr>
          <w:rFonts w:ascii="ITC Avant Garde" w:eastAsia="Times New Roman" w:hAnsi="ITC Avant Garde" w:cs="Arial"/>
          <w:bCs/>
          <w:lang w:val="es-ES_tradnl" w:eastAsia="es-ES"/>
        </w:rPr>
        <w:t>:</w:t>
      </w:r>
    </w:p>
    <w:p w14:paraId="76DEDA7A" w14:textId="77777777" w:rsidR="008369E9" w:rsidRDefault="00A429DA" w:rsidP="000D018F">
      <w:pPr>
        <w:adjustRightInd w:val="0"/>
        <w:spacing w:after="0" w:line="240" w:lineRule="auto"/>
        <w:jc w:val="both"/>
        <w:rPr>
          <w:rFonts w:ascii="ITC Avant Garde" w:eastAsia="Times New Roman" w:hAnsi="ITC Avant Garde" w:cs="Arial"/>
          <w:bCs/>
          <w:lang w:val="es-ES_tradnl" w:eastAsia="es-ES"/>
        </w:rPr>
      </w:pPr>
      <m:oMathPara>
        <m:oMath>
          <m:r>
            <w:rPr>
              <w:rFonts w:ascii="Cambria Math" w:eastAsia="Times New Roman" w:hAnsi="Cambria Math" w:cs="Arial"/>
              <w:lang w:val="es-ES_tradnl" w:eastAsia="es-ES"/>
            </w:rPr>
            <m:t>Y</m:t>
          </m:r>
          <m:r>
            <m:rPr>
              <m:sty m:val="p"/>
            </m:rPr>
            <w:rPr>
              <w:rFonts w:ascii="Cambria Math" w:eastAsia="Times New Roman" w:hAnsi="Cambria Math" w:cs="Arial"/>
              <w:lang w:val="es-ES_tradnl" w:eastAsia="es-ES"/>
            </w:rPr>
            <m:t>=</m:t>
          </m:r>
          <m:r>
            <w:rPr>
              <w:rFonts w:ascii="Cambria Math" w:eastAsia="Times New Roman" w:hAnsi="Cambria Math" w:cs="Arial"/>
              <w:lang w:val="es-ES_tradnl" w:eastAsia="es-ES"/>
            </w:rPr>
            <m:t>A</m:t>
          </m:r>
          <m:r>
            <m:rPr>
              <m:sty m:val="p"/>
            </m:rPr>
            <w:rPr>
              <w:rFonts w:ascii="Cambria Math" w:eastAsia="Times New Roman" w:hAnsi="Cambria Math" w:cs="Arial"/>
              <w:lang w:val="es-ES_tradnl" w:eastAsia="es-ES"/>
            </w:rPr>
            <m:t>∙</m:t>
          </m:r>
          <m:r>
            <w:rPr>
              <w:rFonts w:ascii="Cambria Math" w:eastAsia="Times New Roman" w:hAnsi="Cambria Math" w:cs="Arial"/>
              <w:lang w:val="es-ES_tradnl" w:eastAsia="es-ES"/>
            </w:rPr>
            <m:t>F</m:t>
          </m:r>
          <m:d>
            <m:dPr>
              <m:ctrlPr>
                <w:rPr>
                  <w:rFonts w:ascii="Cambria Math" w:eastAsia="Times New Roman" w:hAnsi="Cambria Math" w:cs="Arial"/>
                  <w:bCs/>
                  <w:lang w:val="es-ES_tradnl" w:eastAsia="es-ES"/>
                </w:rPr>
              </m:ctrlPr>
            </m:dPr>
            <m:e>
              <m:r>
                <w:rPr>
                  <w:rFonts w:ascii="Cambria Math" w:eastAsia="Times New Roman" w:hAnsi="Cambria Math" w:cs="Arial"/>
                  <w:lang w:val="es-ES_tradnl" w:eastAsia="es-ES"/>
                </w:rPr>
                <m:t>K</m:t>
              </m:r>
              <m:r>
                <m:rPr>
                  <m:sty m:val="p"/>
                </m:rPr>
                <w:rPr>
                  <w:rFonts w:ascii="Cambria Math" w:eastAsia="Times New Roman" w:hAnsi="Cambria Math" w:cs="Arial"/>
                  <w:lang w:val="es-ES_tradnl" w:eastAsia="es-ES"/>
                </w:rPr>
                <m:t>,</m:t>
              </m:r>
              <m:r>
                <w:rPr>
                  <w:rFonts w:ascii="Cambria Math" w:eastAsia="Times New Roman" w:hAnsi="Cambria Math" w:cs="Arial"/>
                  <w:lang w:val="es-ES_tradnl" w:eastAsia="es-ES"/>
                </w:rPr>
                <m:t>L</m:t>
              </m:r>
              <m:r>
                <m:rPr>
                  <m:sty m:val="p"/>
                </m:rPr>
                <w:rPr>
                  <w:rFonts w:ascii="Cambria Math" w:eastAsia="Times New Roman" w:hAnsi="Cambria Math" w:cs="Arial"/>
                  <w:lang w:val="es-ES_tradnl" w:eastAsia="es-ES"/>
                </w:rPr>
                <m:t>,</m:t>
              </m:r>
              <m:r>
                <w:rPr>
                  <w:rFonts w:ascii="Cambria Math" w:eastAsia="Times New Roman" w:hAnsi="Cambria Math" w:cs="Arial"/>
                  <w:lang w:val="es-ES_tradnl" w:eastAsia="es-ES"/>
                </w:rPr>
                <m:t>T</m:t>
              </m:r>
            </m:e>
          </m:d>
        </m:oMath>
      </m:oMathPara>
    </w:p>
    <w:p w14:paraId="18C93E81" w14:textId="77777777" w:rsidR="008369E9" w:rsidRDefault="0035312B" w:rsidP="008369E9">
      <w:pPr>
        <w:adjustRightInd w:val="0"/>
        <w:spacing w:before="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D</w:t>
      </w:r>
      <w:r w:rsidR="00A429DA" w:rsidRPr="004C52B2">
        <w:rPr>
          <w:rFonts w:ascii="ITC Avant Garde" w:eastAsia="Times New Roman" w:hAnsi="ITC Avant Garde" w:cs="Arial"/>
          <w:bCs/>
          <w:lang w:val="es-ES_tradnl" w:eastAsia="es-ES"/>
        </w:rPr>
        <w:t xml:space="preserve">onde la variable A representa el nivel tecnológico, K el </w:t>
      </w:r>
      <w:r w:rsidR="00A429DA" w:rsidRPr="00F17AE3">
        <w:rPr>
          <w:rFonts w:ascii="ITC Avant Garde" w:eastAsia="Times New Roman" w:hAnsi="ITC Avant Garde" w:cs="Arial"/>
          <w:bCs/>
          <w:i/>
          <w:lang w:val="es-ES_tradnl" w:eastAsia="es-ES"/>
        </w:rPr>
        <w:t>stock</w:t>
      </w:r>
      <w:r w:rsidR="00A429DA" w:rsidRPr="004C52B2">
        <w:rPr>
          <w:rFonts w:ascii="ITC Avant Garde" w:eastAsia="Times New Roman" w:hAnsi="ITC Avant Garde" w:cs="Arial"/>
          <w:bCs/>
          <w:lang w:val="es-ES_tradnl" w:eastAsia="es-ES"/>
        </w:rPr>
        <w:t xml:space="preserve"> de capital, L la cantidad de trabajo y T el uso de materiales. </w:t>
      </w:r>
    </w:p>
    <w:p w14:paraId="0599E468" w14:textId="77777777" w:rsidR="008369E9" w:rsidRDefault="00A429DA" w:rsidP="008369E9">
      <w:pPr>
        <w:adjustRightInd w:val="0"/>
        <w:spacing w:before="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lastRenderedPageBreak/>
        <w:t>Al aplicar logaritmos y diferenciar con respecto al tiempo la ecuación anterior</w:t>
      </w:r>
      <w:r w:rsidR="00D31801" w:rsidRPr="004C52B2">
        <w:rPr>
          <w:rFonts w:ascii="ITC Avant Garde" w:eastAsia="Times New Roman" w:hAnsi="ITC Avant Garde" w:cs="Arial"/>
          <w:bCs/>
          <w:lang w:val="es-ES_tradnl" w:eastAsia="es-ES"/>
        </w:rPr>
        <w:t>,</w:t>
      </w:r>
      <w:r w:rsidRPr="004C52B2">
        <w:rPr>
          <w:rFonts w:ascii="ITC Avant Garde" w:eastAsia="Times New Roman" w:hAnsi="ITC Avant Garde" w:cs="Arial"/>
          <w:bCs/>
          <w:lang w:val="es-ES_tradnl" w:eastAsia="es-ES"/>
        </w:rPr>
        <w:t xml:space="preserve"> se obtiene que la tasa de crecimiento del producto total se puede descomponer en las contribuciones del avance tecnológico y la acumulación de factores de producción:</w:t>
      </w:r>
    </w:p>
    <w:p w14:paraId="44B79188" w14:textId="77777777" w:rsidR="008369E9" w:rsidRDefault="006A4E00" w:rsidP="000D018F">
      <w:pPr>
        <w:adjustRightInd w:val="0"/>
        <w:spacing w:after="0" w:line="240" w:lineRule="auto"/>
        <w:jc w:val="both"/>
        <w:rPr>
          <w:rFonts w:ascii="ITC Avant Garde" w:eastAsia="Times New Roman" w:hAnsi="ITC Avant Garde" w:cs="Arial"/>
          <w:bCs/>
          <w:lang w:val="es-ES_tradnl" w:eastAsia="es-ES"/>
        </w:rPr>
      </w:pPr>
      <m:oMathPara>
        <m:oMath>
          <m:f>
            <m:fPr>
              <m:ctrlPr>
                <w:rPr>
                  <w:rFonts w:ascii="Cambria Math" w:eastAsia="Times New Roman" w:hAnsi="Cambria Math" w:cs="Arial"/>
                  <w:bCs/>
                  <w:lang w:val="es-ES_tradnl" w:eastAsia="es-ES"/>
                </w:rPr>
              </m:ctrlPr>
            </m:fPr>
            <m:num>
              <m:acc>
                <m:accPr>
                  <m:chr m:val="̇"/>
                  <m:ctrlPr>
                    <w:rPr>
                      <w:rFonts w:ascii="Cambria Math" w:eastAsia="Times New Roman" w:hAnsi="Cambria Math" w:cs="Arial"/>
                      <w:bCs/>
                      <w:lang w:val="es-ES_tradnl" w:eastAsia="es-ES"/>
                    </w:rPr>
                  </m:ctrlPr>
                </m:accPr>
                <m:e>
                  <m:r>
                    <w:rPr>
                      <w:rFonts w:ascii="Cambria Math" w:eastAsia="Times New Roman" w:hAnsi="Cambria Math" w:cs="Arial"/>
                      <w:lang w:val="es-ES_tradnl" w:eastAsia="es-ES"/>
                    </w:rPr>
                    <m:t>Y</m:t>
                  </m:r>
                </m:e>
              </m:acc>
            </m:num>
            <m:den>
              <m:r>
                <w:rPr>
                  <w:rFonts w:ascii="Cambria Math" w:eastAsia="Times New Roman" w:hAnsi="Cambria Math" w:cs="Arial"/>
                  <w:lang w:val="es-ES_tradnl" w:eastAsia="es-ES"/>
                </w:rPr>
                <m:t>Y</m:t>
              </m:r>
            </m:den>
          </m:f>
          <m:r>
            <m:rPr>
              <m:sty m:val="p"/>
            </m:rPr>
            <w:rPr>
              <w:rFonts w:ascii="Cambria Math" w:eastAsia="Times New Roman" w:hAnsi="Cambria Math" w:cs="Arial"/>
              <w:lang w:val="es-ES_tradnl" w:eastAsia="es-ES"/>
            </w:rPr>
            <m:t>=</m:t>
          </m:r>
          <m:f>
            <m:fPr>
              <m:ctrlPr>
                <w:rPr>
                  <w:rFonts w:ascii="Cambria Math" w:eastAsia="Times New Roman" w:hAnsi="Cambria Math" w:cs="Arial"/>
                  <w:bCs/>
                  <w:lang w:val="es-ES_tradnl" w:eastAsia="es-ES"/>
                </w:rPr>
              </m:ctrlPr>
            </m:fPr>
            <m:num>
              <m:acc>
                <m:accPr>
                  <m:chr m:val="̇"/>
                  <m:ctrlPr>
                    <w:rPr>
                      <w:rFonts w:ascii="Cambria Math" w:eastAsia="Times New Roman" w:hAnsi="Cambria Math" w:cs="Arial"/>
                      <w:bCs/>
                      <w:lang w:val="es-ES_tradnl" w:eastAsia="es-ES"/>
                    </w:rPr>
                  </m:ctrlPr>
                </m:accPr>
                <m:e>
                  <m:r>
                    <w:rPr>
                      <w:rFonts w:ascii="Cambria Math" w:eastAsia="Times New Roman" w:hAnsi="Cambria Math" w:cs="Arial"/>
                      <w:lang w:val="es-ES_tradnl" w:eastAsia="es-ES"/>
                    </w:rPr>
                    <m:t>A</m:t>
                  </m:r>
                </m:e>
              </m:acc>
            </m:num>
            <m:den>
              <m:r>
                <w:rPr>
                  <w:rFonts w:ascii="Cambria Math" w:eastAsia="Times New Roman" w:hAnsi="Cambria Math" w:cs="Arial"/>
                  <w:lang w:val="es-ES_tradnl" w:eastAsia="es-ES"/>
                </w:rPr>
                <m:t>A</m:t>
              </m:r>
            </m:den>
          </m:f>
          <m:r>
            <m:rPr>
              <m:sty m:val="p"/>
            </m:rPr>
            <w:rPr>
              <w:rFonts w:ascii="Cambria Math" w:eastAsia="Times New Roman" w:hAnsi="Cambria Math" w:cs="Arial"/>
              <w:lang w:val="es-ES_tradnl" w:eastAsia="es-ES"/>
            </w:rPr>
            <m:t>+</m:t>
          </m:r>
          <m:d>
            <m:dPr>
              <m:ctrlPr>
                <w:rPr>
                  <w:rFonts w:ascii="Cambria Math" w:eastAsia="Times New Roman" w:hAnsi="Cambria Math" w:cs="Arial"/>
                  <w:bCs/>
                  <w:lang w:val="es-ES_tradnl" w:eastAsia="es-ES"/>
                </w:rPr>
              </m:ctrlPr>
            </m:dPr>
            <m:e>
              <m:f>
                <m:fPr>
                  <m:ctrlPr>
                    <w:rPr>
                      <w:rFonts w:ascii="Cambria Math" w:eastAsia="Times New Roman" w:hAnsi="Cambria Math" w:cs="Arial"/>
                      <w:bCs/>
                      <w:lang w:val="es-ES_tradnl" w:eastAsia="es-ES"/>
                    </w:rPr>
                  </m:ctrlPr>
                </m:fPr>
                <m:num>
                  <m:sSub>
                    <m:sSubPr>
                      <m:ctrlPr>
                        <w:rPr>
                          <w:rFonts w:ascii="Cambria Math" w:eastAsia="Times New Roman" w:hAnsi="Cambria Math" w:cs="Arial"/>
                          <w:bCs/>
                          <w:lang w:val="es-ES_tradnl" w:eastAsia="es-ES"/>
                        </w:rPr>
                      </m:ctrlPr>
                    </m:sSubPr>
                    <m:e>
                      <m:r>
                        <w:rPr>
                          <w:rFonts w:ascii="Cambria Math" w:eastAsia="Times New Roman" w:hAnsi="Cambria Math" w:cs="Arial"/>
                          <w:lang w:val="es-ES_tradnl" w:eastAsia="es-ES"/>
                        </w:rPr>
                        <m:t>F</m:t>
                      </m:r>
                    </m:e>
                    <m:sub>
                      <m:r>
                        <w:rPr>
                          <w:rFonts w:ascii="Cambria Math" w:eastAsia="Times New Roman" w:hAnsi="Cambria Math" w:cs="Arial"/>
                          <w:lang w:val="es-ES_tradnl" w:eastAsia="es-ES"/>
                        </w:rPr>
                        <m:t>K</m:t>
                      </m:r>
                    </m:sub>
                  </m:sSub>
                  <m:r>
                    <w:rPr>
                      <w:rFonts w:ascii="Cambria Math" w:eastAsia="Times New Roman" w:hAnsi="Cambria Math" w:cs="Arial"/>
                      <w:lang w:val="es-ES_tradnl" w:eastAsia="es-ES"/>
                    </w:rPr>
                    <m:t>K</m:t>
                  </m:r>
                </m:num>
                <m:den>
                  <m:r>
                    <w:rPr>
                      <w:rFonts w:ascii="Cambria Math" w:eastAsia="Times New Roman" w:hAnsi="Cambria Math" w:cs="Arial"/>
                      <w:lang w:val="es-ES_tradnl" w:eastAsia="es-ES"/>
                    </w:rPr>
                    <m:t>Y</m:t>
                  </m:r>
                </m:den>
              </m:f>
            </m:e>
          </m:d>
          <m:d>
            <m:dPr>
              <m:ctrlPr>
                <w:rPr>
                  <w:rFonts w:ascii="Cambria Math" w:eastAsia="Times New Roman" w:hAnsi="Cambria Math" w:cs="Arial"/>
                  <w:bCs/>
                  <w:lang w:val="es-ES_tradnl" w:eastAsia="es-ES"/>
                </w:rPr>
              </m:ctrlPr>
            </m:dPr>
            <m:e>
              <m:f>
                <m:fPr>
                  <m:ctrlPr>
                    <w:rPr>
                      <w:rFonts w:ascii="Cambria Math" w:eastAsia="Times New Roman" w:hAnsi="Cambria Math" w:cs="Arial"/>
                      <w:bCs/>
                      <w:lang w:val="es-ES_tradnl" w:eastAsia="es-ES"/>
                    </w:rPr>
                  </m:ctrlPr>
                </m:fPr>
                <m:num>
                  <m:acc>
                    <m:accPr>
                      <m:chr m:val="̇"/>
                      <m:ctrlPr>
                        <w:rPr>
                          <w:rFonts w:ascii="Cambria Math" w:eastAsia="Times New Roman" w:hAnsi="Cambria Math" w:cs="Arial"/>
                          <w:bCs/>
                          <w:lang w:val="es-ES_tradnl" w:eastAsia="es-ES"/>
                        </w:rPr>
                      </m:ctrlPr>
                    </m:accPr>
                    <m:e>
                      <m:r>
                        <w:rPr>
                          <w:rFonts w:ascii="Cambria Math" w:eastAsia="Times New Roman" w:hAnsi="Cambria Math" w:cs="Arial"/>
                          <w:lang w:val="es-ES_tradnl" w:eastAsia="es-ES"/>
                        </w:rPr>
                        <m:t>K</m:t>
                      </m:r>
                    </m:e>
                  </m:acc>
                </m:num>
                <m:den>
                  <m:r>
                    <w:rPr>
                      <w:rFonts w:ascii="Cambria Math" w:eastAsia="Times New Roman" w:hAnsi="Cambria Math" w:cs="Arial"/>
                      <w:lang w:val="es-ES_tradnl" w:eastAsia="es-ES"/>
                    </w:rPr>
                    <m:t>K</m:t>
                  </m:r>
                </m:den>
              </m:f>
            </m:e>
          </m:d>
          <m:r>
            <m:rPr>
              <m:sty m:val="p"/>
            </m:rPr>
            <w:rPr>
              <w:rFonts w:ascii="Cambria Math" w:eastAsia="Times New Roman" w:hAnsi="Cambria Math" w:cs="Arial"/>
              <w:lang w:val="es-ES_tradnl" w:eastAsia="es-ES"/>
            </w:rPr>
            <m:t>+</m:t>
          </m:r>
          <m:d>
            <m:dPr>
              <m:ctrlPr>
                <w:rPr>
                  <w:rFonts w:ascii="Cambria Math" w:eastAsia="Times New Roman" w:hAnsi="Cambria Math" w:cs="Arial"/>
                  <w:bCs/>
                  <w:lang w:val="es-ES_tradnl" w:eastAsia="es-ES"/>
                </w:rPr>
              </m:ctrlPr>
            </m:dPr>
            <m:e>
              <m:f>
                <m:fPr>
                  <m:ctrlPr>
                    <w:rPr>
                      <w:rFonts w:ascii="Cambria Math" w:eastAsia="Times New Roman" w:hAnsi="Cambria Math" w:cs="Arial"/>
                      <w:bCs/>
                      <w:lang w:val="es-ES_tradnl" w:eastAsia="es-ES"/>
                    </w:rPr>
                  </m:ctrlPr>
                </m:fPr>
                <m:num>
                  <m:sSub>
                    <m:sSubPr>
                      <m:ctrlPr>
                        <w:rPr>
                          <w:rFonts w:ascii="Cambria Math" w:eastAsia="Times New Roman" w:hAnsi="Cambria Math" w:cs="Arial"/>
                          <w:bCs/>
                          <w:lang w:val="es-ES_tradnl" w:eastAsia="es-ES"/>
                        </w:rPr>
                      </m:ctrlPr>
                    </m:sSubPr>
                    <m:e>
                      <m:r>
                        <w:rPr>
                          <w:rFonts w:ascii="Cambria Math" w:eastAsia="Times New Roman" w:hAnsi="Cambria Math" w:cs="Arial"/>
                          <w:lang w:val="es-ES_tradnl" w:eastAsia="es-ES"/>
                        </w:rPr>
                        <m:t>F</m:t>
                      </m:r>
                    </m:e>
                    <m:sub>
                      <m:r>
                        <w:rPr>
                          <w:rFonts w:ascii="Cambria Math" w:eastAsia="Times New Roman" w:hAnsi="Cambria Math" w:cs="Arial"/>
                          <w:lang w:val="es-ES_tradnl" w:eastAsia="es-ES"/>
                        </w:rPr>
                        <m:t>L</m:t>
                      </m:r>
                    </m:sub>
                  </m:sSub>
                  <m:r>
                    <w:rPr>
                      <w:rFonts w:ascii="Cambria Math" w:eastAsia="Times New Roman" w:hAnsi="Cambria Math" w:cs="Arial"/>
                      <w:lang w:val="es-ES_tradnl" w:eastAsia="es-ES"/>
                    </w:rPr>
                    <m:t>L</m:t>
                  </m:r>
                </m:num>
                <m:den>
                  <m:r>
                    <w:rPr>
                      <w:rFonts w:ascii="Cambria Math" w:eastAsia="Times New Roman" w:hAnsi="Cambria Math" w:cs="Arial"/>
                      <w:lang w:val="es-ES_tradnl" w:eastAsia="es-ES"/>
                    </w:rPr>
                    <m:t>Y</m:t>
                  </m:r>
                </m:den>
              </m:f>
            </m:e>
          </m:d>
          <m:d>
            <m:dPr>
              <m:ctrlPr>
                <w:rPr>
                  <w:rFonts w:ascii="Cambria Math" w:eastAsia="Times New Roman" w:hAnsi="Cambria Math" w:cs="Arial"/>
                  <w:bCs/>
                  <w:lang w:val="es-ES_tradnl" w:eastAsia="es-ES"/>
                </w:rPr>
              </m:ctrlPr>
            </m:dPr>
            <m:e>
              <m:f>
                <m:fPr>
                  <m:ctrlPr>
                    <w:rPr>
                      <w:rFonts w:ascii="Cambria Math" w:eastAsia="Times New Roman" w:hAnsi="Cambria Math" w:cs="Arial"/>
                      <w:bCs/>
                      <w:lang w:val="es-ES_tradnl" w:eastAsia="es-ES"/>
                    </w:rPr>
                  </m:ctrlPr>
                </m:fPr>
                <m:num>
                  <m:acc>
                    <m:accPr>
                      <m:chr m:val="̇"/>
                      <m:ctrlPr>
                        <w:rPr>
                          <w:rFonts w:ascii="Cambria Math" w:eastAsia="Times New Roman" w:hAnsi="Cambria Math" w:cs="Arial"/>
                          <w:bCs/>
                          <w:lang w:val="es-ES_tradnl" w:eastAsia="es-ES"/>
                        </w:rPr>
                      </m:ctrlPr>
                    </m:accPr>
                    <m:e>
                      <m:r>
                        <w:rPr>
                          <w:rFonts w:ascii="Cambria Math" w:eastAsia="Times New Roman" w:hAnsi="Cambria Math" w:cs="Arial"/>
                          <w:lang w:val="es-ES_tradnl" w:eastAsia="es-ES"/>
                        </w:rPr>
                        <m:t>L</m:t>
                      </m:r>
                    </m:e>
                  </m:acc>
                </m:num>
                <m:den>
                  <m:r>
                    <w:rPr>
                      <w:rFonts w:ascii="Cambria Math" w:eastAsia="Times New Roman" w:hAnsi="Cambria Math" w:cs="Arial"/>
                      <w:lang w:val="es-ES_tradnl" w:eastAsia="es-ES"/>
                    </w:rPr>
                    <m:t>L</m:t>
                  </m:r>
                </m:den>
              </m:f>
            </m:e>
          </m:d>
          <m:r>
            <m:rPr>
              <m:sty m:val="p"/>
            </m:rPr>
            <w:rPr>
              <w:rFonts w:ascii="Cambria Math" w:eastAsia="Times New Roman" w:hAnsi="Cambria Math" w:cs="Arial"/>
              <w:lang w:val="es-ES_tradnl" w:eastAsia="es-ES"/>
            </w:rPr>
            <m:t>+</m:t>
          </m:r>
          <m:d>
            <m:dPr>
              <m:ctrlPr>
                <w:rPr>
                  <w:rFonts w:ascii="Cambria Math" w:eastAsia="Times New Roman" w:hAnsi="Cambria Math" w:cs="Arial"/>
                  <w:bCs/>
                  <w:lang w:val="es-ES_tradnl" w:eastAsia="es-ES"/>
                </w:rPr>
              </m:ctrlPr>
            </m:dPr>
            <m:e>
              <m:f>
                <m:fPr>
                  <m:ctrlPr>
                    <w:rPr>
                      <w:rFonts w:ascii="Cambria Math" w:eastAsia="Times New Roman" w:hAnsi="Cambria Math" w:cs="Arial"/>
                      <w:bCs/>
                      <w:lang w:val="es-ES_tradnl" w:eastAsia="es-ES"/>
                    </w:rPr>
                  </m:ctrlPr>
                </m:fPr>
                <m:num>
                  <m:sSub>
                    <m:sSubPr>
                      <m:ctrlPr>
                        <w:rPr>
                          <w:rFonts w:ascii="Cambria Math" w:eastAsia="Times New Roman" w:hAnsi="Cambria Math" w:cs="Arial"/>
                          <w:bCs/>
                          <w:lang w:val="es-ES_tradnl" w:eastAsia="es-ES"/>
                        </w:rPr>
                      </m:ctrlPr>
                    </m:sSubPr>
                    <m:e>
                      <m:r>
                        <w:rPr>
                          <w:rFonts w:ascii="Cambria Math" w:eastAsia="Times New Roman" w:hAnsi="Cambria Math" w:cs="Arial"/>
                          <w:lang w:val="es-ES_tradnl" w:eastAsia="es-ES"/>
                        </w:rPr>
                        <m:t>F</m:t>
                      </m:r>
                    </m:e>
                    <m:sub>
                      <m:r>
                        <w:rPr>
                          <w:rFonts w:ascii="Cambria Math" w:eastAsia="Times New Roman" w:hAnsi="Cambria Math" w:cs="Arial"/>
                          <w:lang w:val="es-ES_tradnl" w:eastAsia="es-ES"/>
                        </w:rPr>
                        <m:t>T</m:t>
                      </m:r>
                    </m:sub>
                  </m:sSub>
                  <m:r>
                    <w:rPr>
                      <w:rFonts w:ascii="Cambria Math" w:eastAsia="Times New Roman" w:hAnsi="Cambria Math" w:cs="Arial"/>
                      <w:lang w:val="es-ES_tradnl" w:eastAsia="es-ES"/>
                    </w:rPr>
                    <m:t>T</m:t>
                  </m:r>
                </m:num>
                <m:den>
                  <m:r>
                    <w:rPr>
                      <w:rFonts w:ascii="Cambria Math" w:eastAsia="Times New Roman" w:hAnsi="Cambria Math" w:cs="Arial"/>
                      <w:lang w:val="es-ES_tradnl" w:eastAsia="es-ES"/>
                    </w:rPr>
                    <m:t>Y</m:t>
                  </m:r>
                </m:den>
              </m:f>
            </m:e>
          </m:d>
          <m:d>
            <m:dPr>
              <m:ctrlPr>
                <w:rPr>
                  <w:rFonts w:ascii="Cambria Math" w:eastAsia="Times New Roman" w:hAnsi="Cambria Math" w:cs="Arial"/>
                  <w:bCs/>
                  <w:lang w:val="es-ES_tradnl" w:eastAsia="es-ES"/>
                </w:rPr>
              </m:ctrlPr>
            </m:dPr>
            <m:e>
              <m:f>
                <m:fPr>
                  <m:ctrlPr>
                    <w:rPr>
                      <w:rFonts w:ascii="Cambria Math" w:eastAsia="Times New Roman" w:hAnsi="Cambria Math" w:cs="Arial"/>
                      <w:bCs/>
                      <w:lang w:val="es-ES_tradnl" w:eastAsia="es-ES"/>
                    </w:rPr>
                  </m:ctrlPr>
                </m:fPr>
                <m:num>
                  <m:acc>
                    <m:accPr>
                      <m:chr m:val="̇"/>
                      <m:ctrlPr>
                        <w:rPr>
                          <w:rFonts w:ascii="Cambria Math" w:eastAsia="Times New Roman" w:hAnsi="Cambria Math" w:cs="Arial"/>
                          <w:bCs/>
                          <w:lang w:val="es-ES_tradnl" w:eastAsia="es-ES"/>
                        </w:rPr>
                      </m:ctrlPr>
                    </m:accPr>
                    <m:e>
                      <m:r>
                        <w:rPr>
                          <w:rFonts w:ascii="Cambria Math" w:eastAsia="Times New Roman" w:hAnsi="Cambria Math" w:cs="Arial"/>
                          <w:lang w:val="es-ES_tradnl" w:eastAsia="es-ES"/>
                        </w:rPr>
                        <m:t>T</m:t>
                      </m:r>
                    </m:e>
                  </m:acc>
                </m:num>
                <m:den>
                  <m:r>
                    <w:rPr>
                      <w:rFonts w:ascii="Cambria Math" w:eastAsia="Times New Roman" w:hAnsi="Cambria Math" w:cs="Arial"/>
                      <w:lang w:val="es-ES_tradnl" w:eastAsia="es-ES"/>
                    </w:rPr>
                    <m:t>T</m:t>
                  </m:r>
                </m:den>
              </m:f>
            </m:e>
          </m:d>
        </m:oMath>
      </m:oMathPara>
    </w:p>
    <w:p w14:paraId="0C35A04A" w14:textId="77777777" w:rsidR="008369E9" w:rsidRDefault="0035312B" w:rsidP="008369E9">
      <w:pPr>
        <w:adjustRightInd w:val="0"/>
        <w:spacing w:before="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D</w:t>
      </w:r>
      <w:r w:rsidR="00A429DA" w:rsidRPr="004C52B2">
        <w:rPr>
          <w:rFonts w:ascii="ITC Avant Garde" w:eastAsia="Times New Roman" w:hAnsi="ITC Avant Garde" w:cs="Arial"/>
          <w:bCs/>
          <w:lang w:val="es-ES_tradnl" w:eastAsia="es-ES"/>
        </w:rPr>
        <w:t xml:space="preserve">onde un punto sobre la variable como en </w:t>
      </w:r>
      <m:oMath>
        <m:acc>
          <m:accPr>
            <m:chr m:val="̇"/>
            <m:ctrlPr>
              <w:rPr>
                <w:rFonts w:ascii="Cambria Math" w:eastAsia="Times New Roman" w:hAnsi="Cambria Math" w:cs="Arial"/>
                <w:bCs/>
                <w:lang w:val="es-ES_tradnl" w:eastAsia="es-ES"/>
              </w:rPr>
            </m:ctrlPr>
          </m:accPr>
          <m:e>
            <m:r>
              <w:rPr>
                <w:rFonts w:ascii="Cambria Math" w:eastAsia="Times New Roman" w:hAnsi="Cambria Math" w:cs="Arial"/>
                <w:lang w:val="es-ES_tradnl" w:eastAsia="es-ES"/>
              </w:rPr>
              <m:t>Y</m:t>
            </m:r>
          </m:e>
        </m:acc>
      </m:oMath>
      <w:r w:rsidR="00A429DA" w:rsidRPr="004C52B2">
        <w:rPr>
          <w:rFonts w:ascii="ITC Avant Garde" w:eastAsia="Times New Roman" w:hAnsi="ITC Avant Garde" w:cs="Arial"/>
          <w:bCs/>
          <w:lang w:val="es-ES_tradnl" w:eastAsia="es-ES"/>
        </w:rPr>
        <w:t xml:space="preserve">, representa la derivada parcial con respecto al tiempo, es decir, </w:t>
      </w:r>
      <m:oMath>
        <m:acc>
          <m:accPr>
            <m:chr m:val="̇"/>
            <m:ctrlPr>
              <w:rPr>
                <w:rFonts w:ascii="Cambria Math" w:eastAsia="Times New Roman" w:hAnsi="Cambria Math" w:cs="Arial"/>
                <w:bCs/>
                <w:lang w:val="es-ES_tradnl" w:eastAsia="es-ES"/>
              </w:rPr>
            </m:ctrlPr>
          </m:accPr>
          <m:e>
            <m:r>
              <w:rPr>
                <w:rFonts w:ascii="Cambria Math" w:eastAsia="Times New Roman" w:hAnsi="Cambria Math" w:cs="Arial"/>
                <w:lang w:val="es-ES_tradnl" w:eastAsia="es-ES"/>
              </w:rPr>
              <m:t>Y</m:t>
            </m:r>
          </m:e>
        </m:acc>
        <m:r>
          <m:rPr>
            <m:sty m:val="p"/>
          </m:rPr>
          <w:rPr>
            <w:rFonts w:ascii="Cambria Math" w:eastAsia="Times New Roman" w:hAnsi="Cambria Math" w:cs="Arial"/>
            <w:lang w:val="es-ES_tradnl" w:eastAsia="es-ES"/>
          </w:rPr>
          <m:t>≡</m:t>
        </m:r>
        <m:r>
          <w:rPr>
            <w:rFonts w:ascii="Cambria Math" w:eastAsia="Times New Roman" w:hAnsi="Cambria Math" w:cs="Arial"/>
            <w:lang w:val="es-ES_tradnl" w:eastAsia="es-ES"/>
          </w:rPr>
          <m:t>∂Y</m:t>
        </m:r>
        <m:r>
          <m:rPr>
            <m:sty m:val="p"/>
          </m:rPr>
          <w:rPr>
            <w:rFonts w:ascii="Cambria Math" w:eastAsia="Times New Roman" w:hAnsi="Cambria Math" w:cs="Arial"/>
            <w:lang w:val="es-ES_tradnl" w:eastAsia="es-ES"/>
          </w:rPr>
          <m:t>(</m:t>
        </m:r>
        <m:r>
          <w:rPr>
            <w:rFonts w:ascii="Cambria Math" w:eastAsia="Times New Roman" w:hAnsi="Cambria Math" w:cs="Arial"/>
            <w:lang w:val="es-ES_tradnl" w:eastAsia="es-ES"/>
          </w:rPr>
          <m:t>t</m:t>
        </m:r>
        <m:r>
          <m:rPr>
            <m:sty m:val="p"/>
          </m:rPr>
          <w:rPr>
            <w:rFonts w:ascii="Cambria Math" w:eastAsia="Times New Roman" w:hAnsi="Cambria Math" w:cs="Arial"/>
            <w:lang w:val="es-ES_tradnl" w:eastAsia="es-ES"/>
          </w:rPr>
          <m:t>)/</m:t>
        </m:r>
        <m:r>
          <w:rPr>
            <w:rFonts w:ascii="Cambria Math" w:eastAsia="Times New Roman" w:hAnsi="Cambria Math" w:cs="Arial"/>
            <w:lang w:val="es-ES_tradnl" w:eastAsia="es-ES"/>
          </w:rPr>
          <m:t>∂t</m:t>
        </m:r>
      </m:oMath>
      <w:r w:rsidR="00A429DA" w:rsidRPr="004C52B2">
        <w:rPr>
          <w:rFonts w:ascii="ITC Avant Garde" w:eastAsia="Times New Roman" w:hAnsi="ITC Avant Garde" w:cs="Arial"/>
          <w:bCs/>
          <w:lang w:val="es-ES_tradnl" w:eastAsia="es-ES"/>
        </w:rPr>
        <w:t xml:space="preserve">, </w:t>
      </w:r>
      <m:oMath>
        <m:sSub>
          <m:sSubPr>
            <m:ctrlPr>
              <w:rPr>
                <w:rFonts w:ascii="Cambria Math" w:eastAsia="Times New Roman" w:hAnsi="Cambria Math" w:cs="Arial"/>
                <w:bCs/>
                <w:lang w:val="es-ES_tradnl" w:eastAsia="es-ES"/>
              </w:rPr>
            </m:ctrlPr>
          </m:sSubPr>
          <m:e>
            <m:r>
              <w:rPr>
                <w:rFonts w:ascii="Cambria Math" w:eastAsia="Times New Roman" w:hAnsi="Cambria Math" w:cs="Arial"/>
                <w:lang w:val="es-ES_tradnl" w:eastAsia="es-ES"/>
              </w:rPr>
              <m:t>F</m:t>
            </m:r>
          </m:e>
          <m:sub>
            <m:r>
              <w:rPr>
                <w:rFonts w:ascii="Cambria Math" w:eastAsia="Times New Roman" w:hAnsi="Cambria Math" w:cs="Arial"/>
                <w:lang w:val="es-ES_tradnl" w:eastAsia="es-ES"/>
              </w:rPr>
              <m:t>K</m:t>
            </m:r>
          </m:sub>
        </m:sSub>
        <m:r>
          <m:rPr>
            <m:sty m:val="p"/>
          </m:rPr>
          <w:rPr>
            <w:rFonts w:ascii="Cambria Math" w:eastAsia="Times New Roman" w:hAnsi="Cambria Math" w:cs="Arial"/>
            <w:lang w:val="es-ES_tradnl" w:eastAsia="es-ES"/>
          </w:rPr>
          <m:t>=</m:t>
        </m:r>
        <m:r>
          <w:rPr>
            <w:rFonts w:ascii="Cambria Math" w:eastAsia="Times New Roman" w:hAnsi="Cambria Math" w:cs="Arial"/>
            <w:lang w:val="es-ES_tradnl" w:eastAsia="es-ES"/>
          </w:rPr>
          <m:t>∂F</m:t>
        </m:r>
        <m:r>
          <m:rPr>
            <m:sty m:val="p"/>
          </m:rPr>
          <w:rPr>
            <w:rFonts w:ascii="Cambria Math" w:eastAsia="Times New Roman" w:hAnsi="Cambria Math" w:cs="Arial"/>
            <w:lang w:val="es-ES_tradnl" w:eastAsia="es-ES"/>
          </w:rPr>
          <m:t>/</m:t>
        </m:r>
        <m:r>
          <w:rPr>
            <w:rFonts w:ascii="Cambria Math" w:eastAsia="Times New Roman" w:hAnsi="Cambria Math" w:cs="Arial"/>
            <w:lang w:val="es-ES_tradnl" w:eastAsia="es-ES"/>
          </w:rPr>
          <m:t>∂K</m:t>
        </m:r>
      </m:oMath>
      <w:r w:rsidR="00A429DA" w:rsidRPr="004C52B2">
        <w:rPr>
          <w:rFonts w:ascii="ITC Avant Garde" w:eastAsia="Times New Roman" w:hAnsi="ITC Avant Garde" w:cs="Arial"/>
          <w:bCs/>
          <w:lang w:val="es-ES_tradnl" w:eastAsia="es-ES"/>
        </w:rPr>
        <w:t xml:space="preserve">, </w:t>
      </w:r>
      <m:oMath>
        <m:sSub>
          <m:sSubPr>
            <m:ctrlPr>
              <w:rPr>
                <w:rFonts w:ascii="Cambria Math" w:eastAsia="Times New Roman" w:hAnsi="Cambria Math" w:cs="Arial"/>
                <w:bCs/>
                <w:lang w:val="es-ES_tradnl" w:eastAsia="es-ES"/>
              </w:rPr>
            </m:ctrlPr>
          </m:sSubPr>
          <m:e>
            <m:r>
              <w:rPr>
                <w:rFonts w:ascii="Cambria Math" w:eastAsia="Times New Roman" w:hAnsi="Cambria Math" w:cs="Arial"/>
                <w:lang w:val="es-ES_tradnl" w:eastAsia="es-ES"/>
              </w:rPr>
              <m:t>F</m:t>
            </m:r>
          </m:e>
          <m:sub>
            <m:r>
              <w:rPr>
                <w:rFonts w:ascii="Cambria Math" w:eastAsia="Times New Roman" w:hAnsi="Cambria Math" w:cs="Arial"/>
                <w:lang w:val="es-ES_tradnl" w:eastAsia="es-ES"/>
              </w:rPr>
              <m:t>L</m:t>
            </m:r>
          </m:sub>
        </m:sSub>
        <m:r>
          <m:rPr>
            <m:sty m:val="p"/>
          </m:rPr>
          <w:rPr>
            <w:rFonts w:ascii="Cambria Math" w:eastAsia="Times New Roman" w:hAnsi="Cambria Math" w:cs="Arial"/>
            <w:lang w:val="es-ES_tradnl" w:eastAsia="es-ES"/>
          </w:rPr>
          <m:t>=</m:t>
        </m:r>
        <m:r>
          <w:rPr>
            <w:rFonts w:ascii="Cambria Math" w:eastAsia="Times New Roman" w:hAnsi="Cambria Math" w:cs="Arial"/>
            <w:lang w:val="es-ES_tradnl" w:eastAsia="es-ES"/>
          </w:rPr>
          <m:t>∂F</m:t>
        </m:r>
        <m:r>
          <m:rPr>
            <m:sty m:val="p"/>
          </m:rPr>
          <w:rPr>
            <w:rFonts w:ascii="Cambria Math" w:eastAsia="Times New Roman" w:hAnsi="Cambria Math" w:cs="Arial"/>
            <w:lang w:val="es-ES_tradnl" w:eastAsia="es-ES"/>
          </w:rPr>
          <m:t>/</m:t>
        </m:r>
        <m:r>
          <w:rPr>
            <w:rFonts w:ascii="Cambria Math" w:eastAsia="Times New Roman" w:hAnsi="Cambria Math" w:cs="Arial"/>
            <w:lang w:val="es-ES_tradnl" w:eastAsia="es-ES"/>
          </w:rPr>
          <m:t>∂L</m:t>
        </m:r>
      </m:oMath>
      <w:r w:rsidR="00A429DA" w:rsidRPr="004C52B2">
        <w:rPr>
          <w:rFonts w:ascii="ITC Avant Garde" w:eastAsia="Times New Roman" w:hAnsi="ITC Avant Garde" w:cs="Arial"/>
          <w:bCs/>
          <w:lang w:val="es-ES_tradnl" w:eastAsia="es-ES"/>
        </w:rPr>
        <w:t xml:space="preserve"> y </w:t>
      </w:r>
      <m:oMath>
        <m:sSub>
          <m:sSubPr>
            <m:ctrlPr>
              <w:rPr>
                <w:rFonts w:ascii="Cambria Math" w:eastAsia="Times New Roman" w:hAnsi="Cambria Math" w:cs="Arial"/>
                <w:bCs/>
                <w:lang w:val="es-ES_tradnl" w:eastAsia="es-ES"/>
              </w:rPr>
            </m:ctrlPr>
          </m:sSubPr>
          <m:e>
            <m:r>
              <w:rPr>
                <w:rFonts w:ascii="Cambria Math" w:eastAsia="Times New Roman" w:hAnsi="Cambria Math" w:cs="Arial"/>
                <w:lang w:val="es-ES_tradnl" w:eastAsia="es-ES"/>
              </w:rPr>
              <m:t>F</m:t>
            </m:r>
          </m:e>
          <m:sub>
            <m:r>
              <w:rPr>
                <w:rFonts w:ascii="Cambria Math" w:eastAsia="Times New Roman" w:hAnsi="Cambria Math" w:cs="Arial"/>
                <w:lang w:val="es-ES_tradnl" w:eastAsia="es-ES"/>
              </w:rPr>
              <m:t>T</m:t>
            </m:r>
          </m:sub>
        </m:sSub>
        <m:r>
          <m:rPr>
            <m:sty m:val="p"/>
          </m:rPr>
          <w:rPr>
            <w:rFonts w:ascii="Cambria Math" w:eastAsia="Times New Roman" w:hAnsi="Cambria Math" w:cs="Arial"/>
            <w:lang w:val="es-ES_tradnl" w:eastAsia="es-ES"/>
          </w:rPr>
          <m:t>=</m:t>
        </m:r>
        <m:r>
          <w:rPr>
            <w:rFonts w:ascii="Cambria Math" w:eastAsia="Times New Roman" w:hAnsi="Cambria Math" w:cs="Arial"/>
            <w:lang w:val="es-ES_tradnl" w:eastAsia="es-ES"/>
          </w:rPr>
          <m:t>∂F</m:t>
        </m:r>
        <m:r>
          <m:rPr>
            <m:sty m:val="p"/>
          </m:rPr>
          <w:rPr>
            <w:rFonts w:ascii="Cambria Math" w:eastAsia="Times New Roman" w:hAnsi="Cambria Math" w:cs="Arial"/>
            <w:lang w:val="es-ES_tradnl" w:eastAsia="es-ES"/>
          </w:rPr>
          <m:t>/</m:t>
        </m:r>
        <m:r>
          <w:rPr>
            <w:rFonts w:ascii="Cambria Math" w:eastAsia="Times New Roman" w:hAnsi="Cambria Math" w:cs="Arial"/>
            <w:lang w:val="es-ES_tradnl" w:eastAsia="es-ES"/>
          </w:rPr>
          <m:t>∂T</m:t>
        </m:r>
      </m:oMath>
      <w:r w:rsidR="00A429DA" w:rsidRPr="004C52B2">
        <w:rPr>
          <w:rFonts w:ascii="ITC Avant Garde" w:eastAsia="Times New Roman" w:hAnsi="ITC Avant Garde" w:cs="Arial"/>
          <w:bCs/>
          <w:lang w:val="es-ES_tradnl" w:eastAsia="es-ES"/>
        </w:rPr>
        <w:t xml:space="preserve">. </w:t>
      </w:r>
    </w:p>
    <w:p w14:paraId="08295AC5" w14:textId="77777777" w:rsidR="008369E9" w:rsidRDefault="00A429DA" w:rsidP="008369E9">
      <w:pPr>
        <w:adjustRightInd w:val="0"/>
        <w:spacing w:before="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 xml:space="preserve">La contribución del avance tecnológico en la tasa de crecimiento se puede obtener indirectamente como un residuo, es decir, como aquella parte del crecimiento que no se puede explicar por la acumulación de los factores de producción. Al reordenar los términos de la ecuación anterior, para despejar la tasa de crecimiento de la productividad </w:t>
      </w:r>
      <w:r w:rsidR="00E53D84" w:rsidRPr="004C52B2">
        <w:rPr>
          <w:rFonts w:ascii="ITC Avant Garde" w:eastAsia="Times New Roman" w:hAnsi="ITC Avant Garde" w:cs="Arial"/>
          <w:bCs/>
          <w:lang w:val="es-ES_tradnl" w:eastAsia="es-ES"/>
        </w:rPr>
        <w:t xml:space="preserve">o Productividad Total de los Factores </w:t>
      </w:r>
      <w:r w:rsidRPr="004C52B2">
        <w:rPr>
          <w:rFonts w:ascii="ITC Avant Garde" w:eastAsia="Times New Roman" w:hAnsi="ITC Avant Garde" w:cs="Arial"/>
          <w:bCs/>
          <w:lang w:val="es-ES_tradnl" w:eastAsia="es-ES"/>
        </w:rPr>
        <w:t>(</w:t>
      </w:r>
      <w:r w:rsidR="00BB7718" w:rsidRPr="004C52B2">
        <w:rPr>
          <w:rFonts w:ascii="ITC Avant Garde" w:eastAsia="Times New Roman" w:hAnsi="ITC Avant Garde" w:cs="Arial"/>
          <w:bCs/>
          <w:lang w:val="es-ES_tradnl" w:eastAsia="es-ES"/>
        </w:rPr>
        <w:t>en lo sucesivo, “</w:t>
      </w:r>
      <w:r w:rsidRPr="004C52B2">
        <w:rPr>
          <w:rFonts w:ascii="ITC Avant Garde" w:eastAsia="Times New Roman" w:hAnsi="ITC Avant Garde" w:cs="Arial"/>
          <w:bCs/>
          <w:lang w:val="es-ES_tradnl" w:eastAsia="es-ES"/>
        </w:rPr>
        <w:t>PTF</w:t>
      </w:r>
      <w:r w:rsidR="00BB7718" w:rsidRPr="004C52B2">
        <w:rPr>
          <w:rFonts w:ascii="ITC Avant Garde" w:eastAsia="Times New Roman" w:hAnsi="ITC Avant Garde" w:cs="Arial"/>
          <w:bCs/>
          <w:lang w:val="es-ES_tradnl" w:eastAsia="es-ES"/>
        </w:rPr>
        <w:t>”</w:t>
      </w:r>
      <w:r w:rsidRPr="004C52B2">
        <w:rPr>
          <w:rFonts w:ascii="ITC Avant Garde" w:eastAsia="Times New Roman" w:hAnsi="ITC Avant Garde" w:cs="Arial"/>
          <w:bCs/>
          <w:lang w:val="es-ES_tradnl" w:eastAsia="es-ES"/>
        </w:rPr>
        <w:t>) se obtiene:</w:t>
      </w:r>
    </w:p>
    <w:p w14:paraId="5415616C" w14:textId="77777777" w:rsidR="008369E9" w:rsidRDefault="00A429DA" w:rsidP="000D018F">
      <w:pPr>
        <w:adjustRightInd w:val="0"/>
        <w:spacing w:after="0" w:line="240" w:lineRule="auto"/>
        <w:jc w:val="both"/>
        <w:rPr>
          <w:rFonts w:ascii="ITC Avant Garde" w:eastAsia="Times New Roman" w:hAnsi="ITC Avant Garde" w:cs="Arial"/>
          <w:bCs/>
          <w:lang w:val="es-ES_tradnl" w:eastAsia="es-ES"/>
        </w:rPr>
      </w:pPr>
      <m:oMathPara>
        <m:oMath>
          <m:r>
            <w:rPr>
              <w:rFonts w:ascii="Cambria Math" w:eastAsia="Times New Roman" w:hAnsi="Cambria Math" w:cs="Arial"/>
              <w:lang w:val="es-ES_tradnl" w:eastAsia="es-ES"/>
            </w:rPr>
            <m:t>PTF</m:t>
          </m:r>
          <m:r>
            <m:rPr>
              <m:sty m:val="p"/>
            </m:rPr>
            <w:rPr>
              <w:rFonts w:ascii="Cambria Math" w:eastAsia="Times New Roman" w:hAnsi="Cambria Math" w:cs="Arial"/>
              <w:lang w:val="es-ES_tradnl" w:eastAsia="es-ES"/>
            </w:rPr>
            <m:t>=</m:t>
          </m:r>
          <m:f>
            <m:fPr>
              <m:ctrlPr>
                <w:rPr>
                  <w:rFonts w:ascii="Cambria Math" w:eastAsia="Times New Roman" w:hAnsi="Cambria Math" w:cs="Arial"/>
                  <w:bCs/>
                  <w:lang w:val="es-ES_tradnl" w:eastAsia="es-ES"/>
                </w:rPr>
              </m:ctrlPr>
            </m:fPr>
            <m:num>
              <m:acc>
                <m:accPr>
                  <m:chr m:val="̇"/>
                  <m:ctrlPr>
                    <w:rPr>
                      <w:rFonts w:ascii="Cambria Math" w:eastAsia="Times New Roman" w:hAnsi="Cambria Math" w:cs="Arial"/>
                      <w:bCs/>
                      <w:lang w:val="es-ES_tradnl" w:eastAsia="es-ES"/>
                    </w:rPr>
                  </m:ctrlPr>
                </m:accPr>
                <m:e>
                  <m:r>
                    <w:rPr>
                      <w:rFonts w:ascii="Cambria Math" w:eastAsia="Times New Roman" w:hAnsi="Cambria Math" w:cs="Arial"/>
                      <w:lang w:val="es-ES_tradnl" w:eastAsia="es-ES"/>
                    </w:rPr>
                    <m:t>Y</m:t>
                  </m:r>
                </m:e>
              </m:acc>
            </m:num>
            <m:den>
              <m:r>
                <w:rPr>
                  <w:rFonts w:ascii="Cambria Math" w:eastAsia="Times New Roman" w:hAnsi="Cambria Math" w:cs="Arial"/>
                  <w:lang w:val="es-ES_tradnl" w:eastAsia="es-ES"/>
                </w:rPr>
                <m:t>Y</m:t>
              </m:r>
            </m:den>
          </m:f>
          <m:r>
            <m:rPr>
              <m:sty m:val="p"/>
            </m:rPr>
            <w:rPr>
              <w:rFonts w:ascii="Cambria Math" w:eastAsia="Times New Roman" w:hAnsi="Cambria Math" w:cs="Arial"/>
              <w:lang w:val="es-ES_tradnl" w:eastAsia="es-ES"/>
            </w:rPr>
            <m:t>-</m:t>
          </m:r>
          <m:d>
            <m:dPr>
              <m:ctrlPr>
                <w:rPr>
                  <w:rFonts w:ascii="Cambria Math" w:eastAsia="Times New Roman" w:hAnsi="Cambria Math" w:cs="Arial"/>
                  <w:bCs/>
                  <w:lang w:val="es-ES_tradnl" w:eastAsia="es-ES"/>
                </w:rPr>
              </m:ctrlPr>
            </m:dPr>
            <m:e>
              <m:f>
                <m:fPr>
                  <m:ctrlPr>
                    <w:rPr>
                      <w:rFonts w:ascii="Cambria Math" w:eastAsia="Times New Roman" w:hAnsi="Cambria Math" w:cs="Arial"/>
                      <w:bCs/>
                      <w:lang w:val="es-ES_tradnl" w:eastAsia="es-ES"/>
                    </w:rPr>
                  </m:ctrlPr>
                </m:fPr>
                <m:num>
                  <m:sSub>
                    <m:sSubPr>
                      <m:ctrlPr>
                        <w:rPr>
                          <w:rFonts w:ascii="Cambria Math" w:eastAsia="Times New Roman" w:hAnsi="Cambria Math" w:cs="Arial"/>
                          <w:bCs/>
                          <w:lang w:val="es-ES_tradnl" w:eastAsia="es-ES"/>
                        </w:rPr>
                      </m:ctrlPr>
                    </m:sSubPr>
                    <m:e>
                      <m:r>
                        <w:rPr>
                          <w:rFonts w:ascii="Cambria Math" w:eastAsia="Times New Roman" w:hAnsi="Cambria Math" w:cs="Arial"/>
                          <w:lang w:val="es-ES_tradnl" w:eastAsia="es-ES"/>
                        </w:rPr>
                        <m:t>F</m:t>
                      </m:r>
                    </m:e>
                    <m:sub>
                      <m:r>
                        <w:rPr>
                          <w:rFonts w:ascii="Cambria Math" w:eastAsia="Times New Roman" w:hAnsi="Cambria Math" w:cs="Arial"/>
                          <w:lang w:val="es-ES_tradnl" w:eastAsia="es-ES"/>
                        </w:rPr>
                        <m:t>K</m:t>
                      </m:r>
                    </m:sub>
                  </m:sSub>
                  <m:r>
                    <w:rPr>
                      <w:rFonts w:ascii="Cambria Math" w:eastAsia="Times New Roman" w:hAnsi="Cambria Math" w:cs="Arial"/>
                      <w:lang w:val="es-ES_tradnl" w:eastAsia="es-ES"/>
                    </w:rPr>
                    <m:t>K</m:t>
                  </m:r>
                </m:num>
                <m:den>
                  <m:r>
                    <w:rPr>
                      <w:rFonts w:ascii="Cambria Math" w:eastAsia="Times New Roman" w:hAnsi="Cambria Math" w:cs="Arial"/>
                      <w:lang w:val="es-ES_tradnl" w:eastAsia="es-ES"/>
                    </w:rPr>
                    <m:t>Y</m:t>
                  </m:r>
                </m:den>
              </m:f>
            </m:e>
          </m:d>
          <m:d>
            <m:dPr>
              <m:ctrlPr>
                <w:rPr>
                  <w:rFonts w:ascii="Cambria Math" w:eastAsia="Times New Roman" w:hAnsi="Cambria Math" w:cs="Arial"/>
                  <w:bCs/>
                  <w:lang w:val="es-ES_tradnl" w:eastAsia="es-ES"/>
                </w:rPr>
              </m:ctrlPr>
            </m:dPr>
            <m:e>
              <m:f>
                <m:fPr>
                  <m:ctrlPr>
                    <w:rPr>
                      <w:rFonts w:ascii="Cambria Math" w:eastAsia="Times New Roman" w:hAnsi="Cambria Math" w:cs="Arial"/>
                      <w:bCs/>
                      <w:lang w:val="es-ES_tradnl" w:eastAsia="es-ES"/>
                    </w:rPr>
                  </m:ctrlPr>
                </m:fPr>
                <m:num>
                  <m:acc>
                    <m:accPr>
                      <m:chr m:val="̇"/>
                      <m:ctrlPr>
                        <w:rPr>
                          <w:rFonts w:ascii="Cambria Math" w:eastAsia="Times New Roman" w:hAnsi="Cambria Math" w:cs="Arial"/>
                          <w:bCs/>
                          <w:lang w:val="es-ES_tradnl" w:eastAsia="es-ES"/>
                        </w:rPr>
                      </m:ctrlPr>
                    </m:accPr>
                    <m:e>
                      <m:r>
                        <w:rPr>
                          <w:rFonts w:ascii="Cambria Math" w:eastAsia="Times New Roman" w:hAnsi="Cambria Math" w:cs="Arial"/>
                          <w:lang w:val="es-ES_tradnl" w:eastAsia="es-ES"/>
                        </w:rPr>
                        <m:t>K</m:t>
                      </m:r>
                    </m:e>
                  </m:acc>
                </m:num>
                <m:den>
                  <m:r>
                    <w:rPr>
                      <w:rFonts w:ascii="Cambria Math" w:eastAsia="Times New Roman" w:hAnsi="Cambria Math" w:cs="Arial"/>
                      <w:lang w:val="es-ES_tradnl" w:eastAsia="es-ES"/>
                    </w:rPr>
                    <m:t>K</m:t>
                  </m:r>
                </m:den>
              </m:f>
            </m:e>
          </m:d>
          <m:r>
            <m:rPr>
              <m:sty m:val="p"/>
            </m:rPr>
            <w:rPr>
              <w:rFonts w:ascii="Cambria Math" w:eastAsia="Times New Roman" w:hAnsi="Cambria Math" w:cs="Arial"/>
              <w:lang w:val="es-ES_tradnl" w:eastAsia="es-ES"/>
            </w:rPr>
            <m:t>-</m:t>
          </m:r>
          <m:d>
            <m:dPr>
              <m:ctrlPr>
                <w:rPr>
                  <w:rFonts w:ascii="Cambria Math" w:eastAsia="Times New Roman" w:hAnsi="Cambria Math" w:cs="Arial"/>
                  <w:bCs/>
                  <w:lang w:val="es-ES_tradnl" w:eastAsia="es-ES"/>
                </w:rPr>
              </m:ctrlPr>
            </m:dPr>
            <m:e>
              <m:f>
                <m:fPr>
                  <m:ctrlPr>
                    <w:rPr>
                      <w:rFonts w:ascii="Cambria Math" w:eastAsia="Times New Roman" w:hAnsi="Cambria Math" w:cs="Arial"/>
                      <w:bCs/>
                      <w:lang w:val="es-ES_tradnl" w:eastAsia="es-ES"/>
                    </w:rPr>
                  </m:ctrlPr>
                </m:fPr>
                <m:num>
                  <m:sSub>
                    <m:sSubPr>
                      <m:ctrlPr>
                        <w:rPr>
                          <w:rFonts w:ascii="Cambria Math" w:eastAsia="Times New Roman" w:hAnsi="Cambria Math" w:cs="Arial"/>
                          <w:bCs/>
                          <w:lang w:val="es-ES_tradnl" w:eastAsia="es-ES"/>
                        </w:rPr>
                      </m:ctrlPr>
                    </m:sSubPr>
                    <m:e>
                      <m:r>
                        <w:rPr>
                          <w:rFonts w:ascii="Cambria Math" w:eastAsia="Times New Roman" w:hAnsi="Cambria Math" w:cs="Arial"/>
                          <w:lang w:val="es-ES_tradnl" w:eastAsia="es-ES"/>
                        </w:rPr>
                        <m:t>F</m:t>
                      </m:r>
                    </m:e>
                    <m:sub>
                      <m:r>
                        <w:rPr>
                          <w:rFonts w:ascii="Cambria Math" w:eastAsia="Times New Roman" w:hAnsi="Cambria Math" w:cs="Arial"/>
                          <w:lang w:val="es-ES_tradnl" w:eastAsia="es-ES"/>
                        </w:rPr>
                        <m:t>L</m:t>
                      </m:r>
                    </m:sub>
                  </m:sSub>
                  <m:r>
                    <w:rPr>
                      <w:rFonts w:ascii="Cambria Math" w:eastAsia="Times New Roman" w:hAnsi="Cambria Math" w:cs="Arial"/>
                      <w:lang w:val="es-ES_tradnl" w:eastAsia="es-ES"/>
                    </w:rPr>
                    <m:t>L</m:t>
                  </m:r>
                </m:num>
                <m:den>
                  <m:r>
                    <w:rPr>
                      <w:rFonts w:ascii="Cambria Math" w:eastAsia="Times New Roman" w:hAnsi="Cambria Math" w:cs="Arial"/>
                      <w:lang w:val="es-ES_tradnl" w:eastAsia="es-ES"/>
                    </w:rPr>
                    <m:t>Y</m:t>
                  </m:r>
                </m:den>
              </m:f>
            </m:e>
          </m:d>
          <m:d>
            <m:dPr>
              <m:ctrlPr>
                <w:rPr>
                  <w:rFonts w:ascii="Cambria Math" w:eastAsia="Times New Roman" w:hAnsi="Cambria Math" w:cs="Arial"/>
                  <w:bCs/>
                  <w:lang w:val="es-ES_tradnl" w:eastAsia="es-ES"/>
                </w:rPr>
              </m:ctrlPr>
            </m:dPr>
            <m:e>
              <m:f>
                <m:fPr>
                  <m:ctrlPr>
                    <w:rPr>
                      <w:rFonts w:ascii="Cambria Math" w:eastAsia="Times New Roman" w:hAnsi="Cambria Math" w:cs="Arial"/>
                      <w:bCs/>
                      <w:lang w:val="es-ES_tradnl" w:eastAsia="es-ES"/>
                    </w:rPr>
                  </m:ctrlPr>
                </m:fPr>
                <m:num>
                  <m:acc>
                    <m:accPr>
                      <m:chr m:val="̇"/>
                      <m:ctrlPr>
                        <w:rPr>
                          <w:rFonts w:ascii="Cambria Math" w:eastAsia="Times New Roman" w:hAnsi="Cambria Math" w:cs="Arial"/>
                          <w:bCs/>
                          <w:lang w:val="es-ES_tradnl" w:eastAsia="es-ES"/>
                        </w:rPr>
                      </m:ctrlPr>
                    </m:accPr>
                    <m:e>
                      <m:r>
                        <w:rPr>
                          <w:rFonts w:ascii="Cambria Math" w:eastAsia="Times New Roman" w:hAnsi="Cambria Math" w:cs="Arial"/>
                          <w:lang w:val="es-ES_tradnl" w:eastAsia="es-ES"/>
                        </w:rPr>
                        <m:t>L</m:t>
                      </m:r>
                    </m:e>
                  </m:acc>
                </m:num>
                <m:den>
                  <m:r>
                    <w:rPr>
                      <w:rFonts w:ascii="Cambria Math" w:eastAsia="Times New Roman" w:hAnsi="Cambria Math" w:cs="Arial"/>
                      <w:lang w:val="es-ES_tradnl" w:eastAsia="es-ES"/>
                    </w:rPr>
                    <m:t>L</m:t>
                  </m:r>
                </m:den>
              </m:f>
            </m:e>
          </m:d>
          <m:r>
            <m:rPr>
              <m:sty m:val="p"/>
            </m:rPr>
            <w:rPr>
              <w:rFonts w:ascii="Cambria Math" w:eastAsia="Times New Roman" w:hAnsi="Cambria Math" w:cs="Arial"/>
              <w:lang w:val="es-ES_tradnl" w:eastAsia="es-ES"/>
            </w:rPr>
            <m:t>-</m:t>
          </m:r>
          <m:d>
            <m:dPr>
              <m:ctrlPr>
                <w:rPr>
                  <w:rFonts w:ascii="Cambria Math" w:eastAsia="Times New Roman" w:hAnsi="Cambria Math" w:cs="Arial"/>
                  <w:bCs/>
                  <w:lang w:val="es-ES_tradnl" w:eastAsia="es-ES"/>
                </w:rPr>
              </m:ctrlPr>
            </m:dPr>
            <m:e>
              <m:f>
                <m:fPr>
                  <m:ctrlPr>
                    <w:rPr>
                      <w:rFonts w:ascii="Cambria Math" w:eastAsia="Times New Roman" w:hAnsi="Cambria Math" w:cs="Arial"/>
                      <w:bCs/>
                      <w:lang w:val="es-ES_tradnl" w:eastAsia="es-ES"/>
                    </w:rPr>
                  </m:ctrlPr>
                </m:fPr>
                <m:num>
                  <m:sSub>
                    <m:sSubPr>
                      <m:ctrlPr>
                        <w:rPr>
                          <w:rFonts w:ascii="Cambria Math" w:eastAsia="Times New Roman" w:hAnsi="Cambria Math" w:cs="Arial"/>
                          <w:bCs/>
                          <w:lang w:val="es-ES_tradnl" w:eastAsia="es-ES"/>
                        </w:rPr>
                      </m:ctrlPr>
                    </m:sSubPr>
                    <m:e>
                      <m:r>
                        <w:rPr>
                          <w:rFonts w:ascii="Cambria Math" w:eastAsia="Times New Roman" w:hAnsi="Cambria Math" w:cs="Arial"/>
                          <w:lang w:val="es-ES_tradnl" w:eastAsia="es-ES"/>
                        </w:rPr>
                        <m:t>F</m:t>
                      </m:r>
                    </m:e>
                    <m:sub>
                      <m:r>
                        <w:rPr>
                          <w:rFonts w:ascii="Cambria Math" w:eastAsia="Times New Roman" w:hAnsi="Cambria Math" w:cs="Arial"/>
                          <w:lang w:val="es-ES_tradnl" w:eastAsia="es-ES"/>
                        </w:rPr>
                        <m:t>T</m:t>
                      </m:r>
                    </m:sub>
                  </m:sSub>
                  <m:r>
                    <w:rPr>
                      <w:rFonts w:ascii="Cambria Math" w:eastAsia="Times New Roman" w:hAnsi="Cambria Math" w:cs="Arial"/>
                      <w:lang w:val="es-ES_tradnl" w:eastAsia="es-ES"/>
                    </w:rPr>
                    <m:t>T</m:t>
                  </m:r>
                </m:num>
                <m:den>
                  <m:r>
                    <w:rPr>
                      <w:rFonts w:ascii="Cambria Math" w:eastAsia="Times New Roman" w:hAnsi="Cambria Math" w:cs="Arial"/>
                      <w:lang w:val="es-ES_tradnl" w:eastAsia="es-ES"/>
                    </w:rPr>
                    <m:t>Y</m:t>
                  </m:r>
                </m:den>
              </m:f>
            </m:e>
          </m:d>
          <m:d>
            <m:dPr>
              <m:ctrlPr>
                <w:rPr>
                  <w:rFonts w:ascii="Cambria Math" w:eastAsia="Times New Roman" w:hAnsi="Cambria Math" w:cs="Arial"/>
                  <w:bCs/>
                  <w:lang w:val="es-ES_tradnl" w:eastAsia="es-ES"/>
                </w:rPr>
              </m:ctrlPr>
            </m:dPr>
            <m:e>
              <m:f>
                <m:fPr>
                  <m:ctrlPr>
                    <w:rPr>
                      <w:rFonts w:ascii="Cambria Math" w:eastAsia="Times New Roman" w:hAnsi="Cambria Math" w:cs="Arial"/>
                      <w:bCs/>
                      <w:lang w:val="es-ES_tradnl" w:eastAsia="es-ES"/>
                    </w:rPr>
                  </m:ctrlPr>
                </m:fPr>
                <m:num>
                  <m:acc>
                    <m:accPr>
                      <m:chr m:val="̇"/>
                      <m:ctrlPr>
                        <w:rPr>
                          <w:rFonts w:ascii="Cambria Math" w:eastAsia="Times New Roman" w:hAnsi="Cambria Math" w:cs="Arial"/>
                          <w:bCs/>
                          <w:lang w:val="es-ES_tradnl" w:eastAsia="es-ES"/>
                        </w:rPr>
                      </m:ctrlPr>
                    </m:accPr>
                    <m:e>
                      <m:r>
                        <w:rPr>
                          <w:rFonts w:ascii="Cambria Math" w:eastAsia="Times New Roman" w:hAnsi="Cambria Math" w:cs="Arial"/>
                          <w:lang w:val="es-ES_tradnl" w:eastAsia="es-ES"/>
                        </w:rPr>
                        <m:t>T</m:t>
                      </m:r>
                    </m:e>
                  </m:acc>
                </m:num>
                <m:den>
                  <m:r>
                    <w:rPr>
                      <w:rFonts w:ascii="Cambria Math" w:eastAsia="Times New Roman" w:hAnsi="Cambria Math" w:cs="Arial"/>
                      <w:lang w:val="es-ES_tradnl" w:eastAsia="es-ES"/>
                    </w:rPr>
                    <m:t>T</m:t>
                  </m:r>
                </m:den>
              </m:f>
            </m:e>
          </m:d>
        </m:oMath>
      </m:oMathPara>
    </w:p>
    <w:p w14:paraId="72F8BA4F" w14:textId="77777777" w:rsidR="008369E9" w:rsidRDefault="00A429DA" w:rsidP="008369E9">
      <w:pPr>
        <w:adjustRightInd w:val="0"/>
        <w:spacing w:before="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 xml:space="preserve">De la expresión anterior, es posible deducir que la tasa de crecimiento de la productividad </w:t>
      </w:r>
      <w:r w:rsidR="00E32F21" w:rsidRPr="004C52B2">
        <w:rPr>
          <w:rFonts w:ascii="ITC Avant Garde" w:eastAsia="Times New Roman" w:hAnsi="ITC Avant Garde" w:cs="Arial"/>
          <w:bCs/>
          <w:lang w:val="es-ES_tradnl" w:eastAsia="es-ES"/>
        </w:rPr>
        <w:t>está</w:t>
      </w:r>
      <w:r w:rsidRPr="004C52B2">
        <w:rPr>
          <w:rFonts w:ascii="ITC Avant Garde" w:eastAsia="Times New Roman" w:hAnsi="ITC Avant Garde" w:cs="Arial"/>
          <w:bCs/>
          <w:lang w:val="es-ES_tradnl" w:eastAsia="es-ES"/>
        </w:rPr>
        <w:t xml:space="preserve"> dada por la diferencia entre la tasa de crecimiento del producto total y un promedio ponderado de la tasa de crecimiento de los diversos factores de producción. Es importante hacer notar que las ponderaciones de las tasas de crecimiento de cada factor de producción están dadas por la cantidad de cada factor multiplicada por su respectiva productividad marginal y dividida entre el producto total, es decir, por sus respectivas participaciones en el producto total. </w:t>
      </w:r>
    </w:p>
    <w:p w14:paraId="4EBAC17E" w14:textId="77777777" w:rsidR="008369E9" w:rsidRDefault="00A429DA" w:rsidP="008369E9">
      <w:pPr>
        <w:adjustRightInd w:val="0"/>
        <w:spacing w:before="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El término de mayor interés en la ecuación anterior, es el vinculado con las ponderaciones de los factores de producción ya que dichos términos dependen directamente de las productividades marginales de cada uno de los factores de producción considerados. Como resultado de este comportamiento, las productividades marginales de cada factor se igualan a los precios de cada uno de ellos. Por lo anterior, la ecuación para obtener la PTF se puede expresar como:</w:t>
      </w:r>
    </w:p>
    <w:p w14:paraId="5D775A97" w14:textId="77777777" w:rsidR="008369E9" w:rsidRDefault="00A429DA" w:rsidP="000D018F">
      <w:pPr>
        <w:adjustRightInd w:val="0"/>
        <w:spacing w:after="0" w:line="240" w:lineRule="auto"/>
        <w:jc w:val="both"/>
        <w:rPr>
          <w:rFonts w:ascii="ITC Avant Garde" w:eastAsia="Times New Roman" w:hAnsi="ITC Avant Garde" w:cs="Arial"/>
          <w:bCs/>
          <w:lang w:val="es-ES_tradnl" w:eastAsia="es-ES"/>
        </w:rPr>
      </w:pPr>
      <m:oMathPara>
        <m:oMath>
          <m:r>
            <w:rPr>
              <w:rFonts w:ascii="Cambria Math" w:eastAsia="Times New Roman" w:hAnsi="Cambria Math" w:cs="Arial"/>
              <w:lang w:val="es-ES_tradnl" w:eastAsia="es-ES"/>
            </w:rPr>
            <m:t>PTF</m:t>
          </m:r>
          <m:r>
            <m:rPr>
              <m:sty m:val="p"/>
            </m:rPr>
            <w:rPr>
              <w:rFonts w:ascii="Cambria Math" w:eastAsia="Times New Roman" w:hAnsi="Cambria Math" w:cs="Arial"/>
              <w:lang w:val="es-ES_tradnl" w:eastAsia="es-ES"/>
            </w:rPr>
            <m:t>=</m:t>
          </m:r>
          <m:f>
            <m:fPr>
              <m:ctrlPr>
                <w:rPr>
                  <w:rFonts w:ascii="Cambria Math" w:eastAsia="Times New Roman" w:hAnsi="Cambria Math" w:cs="Arial"/>
                  <w:bCs/>
                  <w:lang w:val="es-ES_tradnl" w:eastAsia="es-ES"/>
                </w:rPr>
              </m:ctrlPr>
            </m:fPr>
            <m:num>
              <m:acc>
                <m:accPr>
                  <m:chr m:val="̇"/>
                  <m:ctrlPr>
                    <w:rPr>
                      <w:rFonts w:ascii="Cambria Math" w:eastAsia="Times New Roman" w:hAnsi="Cambria Math" w:cs="Arial"/>
                      <w:bCs/>
                      <w:lang w:val="es-ES_tradnl" w:eastAsia="es-ES"/>
                    </w:rPr>
                  </m:ctrlPr>
                </m:accPr>
                <m:e>
                  <m:r>
                    <w:rPr>
                      <w:rFonts w:ascii="Cambria Math" w:eastAsia="Times New Roman" w:hAnsi="Cambria Math" w:cs="Arial"/>
                      <w:lang w:val="es-ES_tradnl" w:eastAsia="es-ES"/>
                    </w:rPr>
                    <m:t>Y</m:t>
                  </m:r>
                </m:e>
              </m:acc>
            </m:num>
            <m:den>
              <m:r>
                <w:rPr>
                  <w:rFonts w:ascii="Cambria Math" w:eastAsia="Times New Roman" w:hAnsi="Cambria Math" w:cs="Arial"/>
                  <w:lang w:val="es-ES_tradnl" w:eastAsia="es-ES"/>
                </w:rPr>
                <m:t>Y</m:t>
              </m:r>
            </m:den>
          </m:f>
          <m:r>
            <m:rPr>
              <m:sty m:val="p"/>
            </m:rPr>
            <w:rPr>
              <w:rFonts w:ascii="Cambria Math" w:eastAsia="Times New Roman" w:hAnsi="Cambria Math" w:cs="Arial"/>
              <w:lang w:val="es-ES_tradnl" w:eastAsia="es-ES"/>
            </w:rPr>
            <m:t>-</m:t>
          </m:r>
          <m:sSub>
            <m:sSubPr>
              <m:ctrlPr>
                <w:rPr>
                  <w:rFonts w:ascii="Cambria Math" w:eastAsia="Times New Roman" w:hAnsi="Cambria Math" w:cs="Arial"/>
                  <w:bCs/>
                  <w:lang w:val="es-ES_tradnl" w:eastAsia="es-ES"/>
                </w:rPr>
              </m:ctrlPr>
            </m:sSubPr>
            <m:e>
              <m:r>
                <w:rPr>
                  <w:rFonts w:ascii="Cambria Math" w:eastAsia="Times New Roman" w:hAnsi="Cambria Math" w:cs="Arial"/>
                  <w:lang w:val="es-ES_tradnl" w:eastAsia="es-ES"/>
                </w:rPr>
                <m:t>s</m:t>
              </m:r>
            </m:e>
            <m:sub>
              <m:r>
                <w:rPr>
                  <w:rFonts w:ascii="Cambria Math" w:eastAsia="Times New Roman" w:hAnsi="Cambria Math" w:cs="Arial"/>
                  <w:lang w:val="es-ES_tradnl" w:eastAsia="es-ES"/>
                </w:rPr>
                <m:t>K</m:t>
              </m:r>
            </m:sub>
          </m:sSub>
          <m:d>
            <m:dPr>
              <m:ctrlPr>
                <w:rPr>
                  <w:rFonts w:ascii="Cambria Math" w:eastAsia="Times New Roman" w:hAnsi="Cambria Math" w:cs="Arial"/>
                  <w:bCs/>
                  <w:lang w:val="es-ES_tradnl" w:eastAsia="es-ES"/>
                </w:rPr>
              </m:ctrlPr>
            </m:dPr>
            <m:e>
              <m:f>
                <m:fPr>
                  <m:ctrlPr>
                    <w:rPr>
                      <w:rFonts w:ascii="Cambria Math" w:eastAsia="Times New Roman" w:hAnsi="Cambria Math" w:cs="Arial"/>
                      <w:bCs/>
                      <w:lang w:val="es-ES_tradnl" w:eastAsia="es-ES"/>
                    </w:rPr>
                  </m:ctrlPr>
                </m:fPr>
                <m:num>
                  <m:acc>
                    <m:accPr>
                      <m:chr m:val="̇"/>
                      <m:ctrlPr>
                        <w:rPr>
                          <w:rFonts w:ascii="Cambria Math" w:eastAsia="Times New Roman" w:hAnsi="Cambria Math" w:cs="Arial"/>
                          <w:bCs/>
                          <w:lang w:val="es-ES_tradnl" w:eastAsia="es-ES"/>
                        </w:rPr>
                      </m:ctrlPr>
                    </m:accPr>
                    <m:e>
                      <m:r>
                        <w:rPr>
                          <w:rFonts w:ascii="Cambria Math" w:eastAsia="Times New Roman" w:hAnsi="Cambria Math" w:cs="Arial"/>
                          <w:lang w:val="es-ES_tradnl" w:eastAsia="es-ES"/>
                        </w:rPr>
                        <m:t>K</m:t>
                      </m:r>
                    </m:e>
                  </m:acc>
                </m:num>
                <m:den>
                  <m:r>
                    <w:rPr>
                      <w:rFonts w:ascii="Cambria Math" w:eastAsia="Times New Roman" w:hAnsi="Cambria Math" w:cs="Arial"/>
                      <w:lang w:val="es-ES_tradnl" w:eastAsia="es-ES"/>
                    </w:rPr>
                    <m:t>K</m:t>
                  </m:r>
                </m:den>
              </m:f>
            </m:e>
          </m:d>
          <m:r>
            <m:rPr>
              <m:sty m:val="p"/>
            </m:rPr>
            <w:rPr>
              <w:rFonts w:ascii="Cambria Math" w:eastAsia="Times New Roman" w:hAnsi="Cambria Math" w:cs="Arial"/>
              <w:lang w:val="es-ES_tradnl" w:eastAsia="es-ES"/>
            </w:rPr>
            <m:t>-</m:t>
          </m:r>
          <m:sSub>
            <m:sSubPr>
              <m:ctrlPr>
                <w:rPr>
                  <w:rFonts w:ascii="Cambria Math" w:eastAsia="Times New Roman" w:hAnsi="Cambria Math" w:cs="Arial"/>
                  <w:bCs/>
                  <w:lang w:val="es-ES_tradnl" w:eastAsia="es-ES"/>
                </w:rPr>
              </m:ctrlPr>
            </m:sSubPr>
            <m:e>
              <m:r>
                <w:rPr>
                  <w:rFonts w:ascii="Cambria Math" w:eastAsia="Times New Roman" w:hAnsi="Cambria Math" w:cs="Arial"/>
                  <w:lang w:val="es-ES_tradnl" w:eastAsia="es-ES"/>
                </w:rPr>
                <m:t>s</m:t>
              </m:r>
            </m:e>
            <m:sub>
              <m:r>
                <w:rPr>
                  <w:rFonts w:ascii="Cambria Math" w:eastAsia="Times New Roman" w:hAnsi="Cambria Math" w:cs="Arial"/>
                  <w:lang w:val="es-ES_tradnl" w:eastAsia="es-ES"/>
                </w:rPr>
                <m:t>L</m:t>
              </m:r>
            </m:sub>
          </m:sSub>
          <m:d>
            <m:dPr>
              <m:ctrlPr>
                <w:rPr>
                  <w:rFonts w:ascii="Cambria Math" w:eastAsia="Times New Roman" w:hAnsi="Cambria Math" w:cs="Arial"/>
                  <w:bCs/>
                  <w:lang w:val="es-ES_tradnl" w:eastAsia="es-ES"/>
                </w:rPr>
              </m:ctrlPr>
            </m:dPr>
            <m:e>
              <m:f>
                <m:fPr>
                  <m:ctrlPr>
                    <w:rPr>
                      <w:rFonts w:ascii="Cambria Math" w:eastAsia="Times New Roman" w:hAnsi="Cambria Math" w:cs="Arial"/>
                      <w:bCs/>
                      <w:lang w:val="es-ES_tradnl" w:eastAsia="es-ES"/>
                    </w:rPr>
                  </m:ctrlPr>
                </m:fPr>
                <m:num>
                  <m:acc>
                    <m:accPr>
                      <m:chr m:val="̇"/>
                      <m:ctrlPr>
                        <w:rPr>
                          <w:rFonts w:ascii="Cambria Math" w:eastAsia="Times New Roman" w:hAnsi="Cambria Math" w:cs="Arial"/>
                          <w:bCs/>
                          <w:lang w:val="es-ES_tradnl" w:eastAsia="es-ES"/>
                        </w:rPr>
                      </m:ctrlPr>
                    </m:accPr>
                    <m:e>
                      <m:r>
                        <w:rPr>
                          <w:rFonts w:ascii="Cambria Math" w:eastAsia="Times New Roman" w:hAnsi="Cambria Math" w:cs="Arial"/>
                          <w:lang w:val="es-ES_tradnl" w:eastAsia="es-ES"/>
                        </w:rPr>
                        <m:t>L</m:t>
                      </m:r>
                    </m:e>
                  </m:acc>
                </m:num>
                <m:den>
                  <m:r>
                    <w:rPr>
                      <w:rFonts w:ascii="Cambria Math" w:eastAsia="Times New Roman" w:hAnsi="Cambria Math" w:cs="Arial"/>
                      <w:lang w:val="es-ES_tradnl" w:eastAsia="es-ES"/>
                    </w:rPr>
                    <m:t>L</m:t>
                  </m:r>
                </m:den>
              </m:f>
            </m:e>
          </m:d>
          <m:r>
            <m:rPr>
              <m:sty m:val="p"/>
            </m:rPr>
            <w:rPr>
              <w:rFonts w:ascii="Cambria Math" w:eastAsia="Times New Roman" w:hAnsi="Cambria Math" w:cs="Arial"/>
              <w:lang w:val="es-ES_tradnl" w:eastAsia="es-ES"/>
            </w:rPr>
            <m:t>-</m:t>
          </m:r>
          <m:sSub>
            <m:sSubPr>
              <m:ctrlPr>
                <w:rPr>
                  <w:rFonts w:ascii="Cambria Math" w:eastAsia="Times New Roman" w:hAnsi="Cambria Math" w:cs="Arial"/>
                  <w:bCs/>
                  <w:lang w:val="es-ES_tradnl" w:eastAsia="es-ES"/>
                </w:rPr>
              </m:ctrlPr>
            </m:sSubPr>
            <m:e>
              <m:r>
                <w:rPr>
                  <w:rFonts w:ascii="Cambria Math" w:eastAsia="Times New Roman" w:hAnsi="Cambria Math" w:cs="Arial"/>
                  <w:lang w:val="es-ES_tradnl" w:eastAsia="es-ES"/>
                </w:rPr>
                <m:t>s</m:t>
              </m:r>
            </m:e>
            <m:sub>
              <m:r>
                <w:rPr>
                  <w:rFonts w:ascii="Cambria Math" w:eastAsia="Times New Roman" w:hAnsi="Cambria Math" w:cs="Arial"/>
                  <w:lang w:val="es-ES_tradnl" w:eastAsia="es-ES"/>
                </w:rPr>
                <m:t>T</m:t>
              </m:r>
            </m:sub>
          </m:sSub>
          <m:d>
            <m:dPr>
              <m:ctrlPr>
                <w:rPr>
                  <w:rFonts w:ascii="Cambria Math" w:eastAsia="Times New Roman" w:hAnsi="Cambria Math" w:cs="Arial"/>
                  <w:bCs/>
                  <w:lang w:val="es-ES_tradnl" w:eastAsia="es-ES"/>
                </w:rPr>
              </m:ctrlPr>
            </m:dPr>
            <m:e>
              <m:f>
                <m:fPr>
                  <m:ctrlPr>
                    <w:rPr>
                      <w:rFonts w:ascii="Cambria Math" w:eastAsia="Times New Roman" w:hAnsi="Cambria Math" w:cs="Arial"/>
                      <w:bCs/>
                      <w:lang w:val="es-ES_tradnl" w:eastAsia="es-ES"/>
                    </w:rPr>
                  </m:ctrlPr>
                </m:fPr>
                <m:num>
                  <m:acc>
                    <m:accPr>
                      <m:chr m:val="̇"/>
                      <m:ctrlPr>
                        <w:rPr>
                          <w:rFonts w:ascii="Cambria Math" w:eastAsia="Times New Roman" w:hAnsi="Cambria Math" w:cs="Arial"/>
                          <w:bCs/>
                          <w:lang w:val="es-ES_tradnl" w:eastAsia="es-ES"/>
                        </w:rPr>
                      </m:ctrlPr>
                    </m:accPr>
                    <m:e>
                      <m:r>
                        <w:rPr>
                          <w:rFonts w:ascii="Cambria Math" w:eastAsia="Times New Roman" w:hAnsi="Cambria Math" w:cs="Arial"/>
                          <w:lang w:val="es-ES_tradnl" w:eastAsia="es-ES"/>
                        </w:rPr>
                        <m:t>T</m:t>
                      </m:r>
                    </m:e>
                  </m:acc>
                </m:num>
                <m:den>
                  <m:r>
                    <w:rPr>
                      <w:rFonts w:ascii="Cambria Math" w:eastAsia="Times New Roman" w:hAnsi="Cambria Math" w:cs="Arial"/>
                      <w:lang w:val="es-ES_tradnl" w:eastAsia="es-ES"/>
                    </w:rPr>
                    <m:t>T</m:t>
                  </m:r>
                </m:den>
              </m:f>
            </m:e>
          </m:d>
        </m:oMath>
      </m:oMathPara>
    </w:p>
    <w:p w14:paraId="64E09135" w14:textId="77777777" w:rsidR="008369E9" w:rsidRDefault="00376BF9" w:rsidP="008369E9">
      <w:pPr>
        <w:adjustRightInd w:val="0"/>
        <w:spacing w:before="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D</w:t>
      </w:r>
      <w:r w:rsidR="00A429DA" w:rsidRPr="004C52B2">
        <w:rPr>
          <w:rFonts w:ascii="ITC Avant Garde" w:eastAsia="Times New Roman" w:hAnsi="ITC Avant Garde" w:cs="Arial"/>
          <w:bCs/>
          <w:lang w:val="es-ES_tradnl" w:eastAsia="es-ES"/>
        </w:rPr>
        <w:t xml:space="preserve">onde: </w:t>
      </w:r>
      <m:oMath>
        <m:sSub>
          <m:sSubPr>
            <m:ctrlPr>
              <w:rPr>
                <w:rFonts w:ascii="Cambria Math" w:eastAsia="Times New Roman" w:hAnsi="Cambria Math" w:cs="Arial"/>
                <w:bCs/>
                <w:lang w:val="es-ES_tradnl" w:eastAsia="es-ES"/>
              </w:rPr>
            </m:ctrlPr>
          </m:sSubPr>
          <m:e>
            <m:r>
              <w:rPr>
                <w:rFonts w:ascii="Cambria Math" w:eastAsia="Times New Roman" w:hAnsi="Cambria Math" w:cs="Arial"/>
                <w:lang w:val="es-ES_tradnl" w:eastAsia="es-ES"/>
              </w:rPr>
              <m:t>s</m:t>
            </m:r>
          </m:e>
          <m:sub>
            <m:r>
              <w:rPr>
                <w:rFonts w:ascii="Cambria Math" w:eastAsia="Times New Roman" w:hAnsi="Cambria Math" w:cs="Arial"/>
                <w:lang w:val="es-ES_tradnl" w:eastAsia="es-ES"/>
              </w:rPr>
              <m:t>K</m:t>
            </m:r>
          </m:sub>
        </m:sSub>
        <m:r>
          <m:rPr>
            <m:sty m:val="p"/>
          </m:rPr>
          <w:rPr>
            <w:rFonts w:ascii="Cambria Math" w:eastAsia="Times New Roman" w:hAnsi="Cambria Math" w:cs="Arial"/>
            <w:lang w:val="es-ES_tradnl" w:eastAsia="es-ES"/>
          </w:rPr>
          <m:t>=</m:t>
        </m:r>
        <m:r>
          <w:rPr>
            <w:rFonts w:ascii="Cambria Math" w:eastAsia="Times New Roman" w:hAnsi="Cambria Math" w:cs="Arial"/>
            <w:lang w:val="es-ES_tradnl" w:eastAsia="es-ES"/>
          </w:rPr>
          <m:t>PK</m:t>
        </m:r>
        <m:r>
          <m:rPr>
            <m:sty m:val="p"/>
          </m:rPr>
          <w:rPr>
            <w:rFonts w:ascii="Cambria Math" w:eastAsia="Times New Roman" w:hAnsi="Cambria Math" w:cs="Arial"/>
            <w:lang w:val="es-ES_tradnl" w:eastAsia="es-ES"/>
          </w:rPr>
          <m:t>/</m:t>
        </m:r>
        <m:r>
          <w:rPr>
            <w:rFonts w:ascii="Cambria Math" w:eastAsia="Times New Roman" w:hAnsi="Cambria Math" w:cs="Arial"/>
            <w:lang w:val="es-ES_tradnl" w:eastAsia="es-ES"/>
          </w:rPr>
          <m:t>Y</m:t>
        </m:r>
      </m:oMath>
      <w:r w:rsidR="00A429DA" w:rsidRPr="004C52B2">
        <w:rPr>
          <w:rFonts w:ascii="ITC Avant Garde" w:eastAsia="Times New Roman" w:hAnsi="ITC Avant Garde" w:cs="Arial"/>
          <w:bCs/>
          <w:lang w:val="es-ES_tradnl" w:eastAsia="es-ES"/>
        </w:rPr>
        <w:t xml:space="preserve">, </w:t>
      </w:r>
      <m:oMath>
        <m:sSub>
          <m:sSubPr>
            <m:ctrlPr>
              <w:rPr>
                <w:rFonts w:ascii="Cambria Math" w:eastAsia="Times New Roman" w:hAnsi="Cambria Math" w:cs="Arial"/>
                <w:bCs/>
                <w:lang w:val="es-ES_tradnl" w:eastAsia="es-ES"/>
              </w:rPr>
            </m:ctrlPr>
          </m:sSubPr>
          <m:e>
            <m:r>
              <w:rPr>
                <w:rFonts w:ascii="Cambria Math" w:eastAsia="Times New Roman" w:hAnsi="Cambria Math" w:cs="Arial"/>
                <w:lang w:val="es-ES_tradnl" w:eastAsia="es-ES"/>
              </w:rPr>
              <m:t>s</m:t>
            </m:r>
          </m:e>
          <m:sub>
            <m:r>
              <w:rPr>
                <w:rFonts w:ascii="Cambria Math" w:eastAsia="Times New Roman" w:hAnsi="Cambria Math" w:cs="Arial"/>
                <w:lang w:val="es-ES_tradnl" w:eastAsia="es-ES"/>
              </w:rPr>
              <m:t>L</m:t>
            </m:r>
          </m:sub>
        </m:sSub>
        <m:r>
          <m:rPr>
            <m:sty m:val="p"/>
          </m:rPr>
          <w:rPr>
            <w:rFonts w:ascii="Cambria Math" w:eastAsia="Times New Roman" w:hAnsi="Cambria Math" w:cs="Arial"/>
            <w:lang w:val="es-ES_tradnl" w:eastAsia="es-ES"/>
          </w:rPr>
          <m:t>=</m:t>
        </m:r>
        <m:r>
          <w:rPr>
            <w:rFonts w:ascii="Cambria Math" w:eastAsia="Times New Roman" w:hAnsi="Cambria Math" w:cs="Arial"/>
            <w:lang w:val="es-ES_tradnl" w:eastAsia="es-ES"/>
          </w:rPr>
          <m:t>QL</m:t>
        </m:r>
        <m:r>
          <m:rPr>
            <m:sty m:val="p"/>
          </m:rPr>
          <w:rPr>
            <w:rFonts w:ascii="Cambria Math" w:eastAsia="Times New Roman" w:hAnsi="Cambria Math" w:cs="Arial"/>
            <w:lang w:val="es-ES_tradnl" w:eastAsia="es-ES"/>
          </w:rPr>
          <m:t>/</m:t>
        </m:r>
        <m:r>
          <w:rPr>
            <w:rFonts w:ascii="Cambria Math" w:eastAsia="Times New Roman" w:hAnsi="Cambria Math" w:cs="Arial"/>
            <w:lang w:val="es-ES_tradnl" w:eastAsia="es-ES"/>
          </w:rPr>
          <m:t>Y</m:t>
        </m:r>
      </m:oMath>
      <w:r w:rsidR="00A429DA" w:rsidRPr="004C52B2">
        <w:rPr>
          <w:rFonts w:ascii="ITC Avant Garde" w:eastAsia="Times New Roman" w:hAnsi="ITC Avant Garde" w:cs="Arial"/>
          <w:bCs/>
          <w:lang w:val="es-ES_tradnl" w:eastAsia="es-ES"/>
        </w:rPr>
        <w:t xml:space="preserve">, </w:t>
      </w:r>
      <m:oMath>
        <m:sSub>
          <m:sSubPr>
            <m:ctrlPr>
              <w:rPr>
                <w:rFonts w:ascii="Cambria Math" w:eastAsia="Times New Roman" w:hAnsi="Cambria Math" w:cs="Arial"/>
                <w:bCs/>
                <w:lang w:val="es-ES_tradnl" w:eastAsia="es-ES"/>
              </w:rPr>
            </m:ctrlPr>
          </m:sSubPr>
          <m:e>
            <m:r>
              <w:rPr>
                <w:rFonts w:ascii="Cambria Math" w:eastAsia="Times New Roman" w:hAnsi="Cambria Math" w:cs="Arial"/>
                <w:lang w:val="es-ES_tradnl" w:eastAsia="es-ES"/>
              </w:rPr>
              <m:t>s</m:t>
            </m:r>
          </m:e>
          <m:sub>
            <m:r>
              <w:rPr>
                <w:rFonts w:ascii="Cambria Math" w:eastAsia="Times New Roman" w:hAnsi="Cambria Math" w:cs="Arial"/>
                <w:lang w:val="es-ES_tradnl" w:eastAsia="es-ES"/>
              </w:rPr>
              <m:t>T</m:t>
            </m:r>
          </m:sub>
        </m:sSub>
        <m:r>
          <m:rPr>
            <m:sty m:val="p"/>
          </m:rPr>
          <w:rPr>
            <w:rFonts w:ascii="Cambria Math" w:eastAsia="Times New Roman" w:hAnsi="Cambria Math" w:cs="Arial"/>
            <w:lang w:val="es-ES_tradnl" w:eastAsia="es-ES"/>
          </w:rPr>
          <m:t>=</m:t>
        </m:r>
        <m:r>
          <w:rPr>
            <w:rFonts w:ascii="Cambria Math" w:eastAsia="Times New Roman" w:hAnsi="Cambria Math" w:cs="Arial"/>
            <w:lang w:val="es-ES_tradnl" w:eastAsia="es-ES"/>
          </w:rPr>
          <m:t>RT</m:t>
        </m:r>
        <m:r>
          <m:rPr>
            <m:sty m:val="p"/>
          </m:rPr>
          <w:rPr>
            <w:rFonts w:ascii="Cambria Math" w:eastAsia="Times New Roman" w:hAnsi="Cambria Math" w:cs="Arial"/>
            <w:lang w:val="es-ES_tradnl" w:eastAsia="es-ES"/>
          </w:rPr>
          <m:t>/</m:t>
        </m:r>
        <m:r>
          <w:rPr>
            <w:rFonts w:ascii="Cambria Math" w:eastAsia="Times New Roman" w:hAnsi="Cambria Math" w:cs="Arial"/>
            <w:lang w:val="es-ES_tradnl" w:eastAsia="es-ES"/>
          </w:rPr>
          <m:t>Y</m:t>
        </m:r>
      </m:oMath>
      <w:r w:rsidR="00A429DA" w:rsidRPr="004C52B2">
        <w:rPr>
          <w:rFonts w:ascii="ITC Avant Garde" w:eastAsia="Times New Roman" w:hAnsi="ITC Avant Garde" w:cs="Arial"/>
          <w:bCs/>
          <w:lang w:val="es-ES_tradnl" w:eastAsia="es-ES"/>
        </w:rPr>
        <w:t>, y P, Q y R representan los precios del capital, mano de obra y materiales, respectivamente.</w:t>
      </w:r>
    </w:p>
    <w:p w14:paraId="3AE1CB8F" w14:textId="77777777" w:rsidR="008369E9" w:rsidRDefault="00A429DA" w:rsidP="008369E9">
      <w:pPr>
        <w:adjustRightInd w:val="0"/>
        <w:spacing w:before="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 xml:space="preserve">Considerando que la empresa regulada podría tener cierto poder en el mercado de factores, los precios de los factores no serán iguales a sus productos marginales, siendo la equivalencia relevante la igualdad entre los productos marginales y los respectivos ingresos marginales. Bajo estas condiciones la solución es ponderar la tasa de crecimiento de los diversos factores de producción por las participaciones de los pagos </w:t>
      </w:r>
      <w:r w:rsidRPr="004C52B2">
        <w:rPr>
          <w:rFonts w:ascii="ITC Avant Garde" w:eastAsia="Times New Roman" w:hAnsi="ITC Avant Garde" w:cs="Arial"/>
          <w:bCs/>
          <w:lang w:val="es-ES_tradnl" w:eastAsia="es-ES"/>
        </w:rPr>
        <w:lastRenderedPageBreak/>
        <w:t>de dichos factores en los gastos totales. Por lo anterior, la ecuación para medir las variaciones del nivel de productividad para las empresas se puede expresar como:</w:t>
      </w:r>
    </w:p>
    <w:p w14:paraId="6D1A2A0A" w14:textId="77777777" w:rsidR="008369E9" w:rsidRDefault="00A429DA" w:rsidP="000D018F">
      <w:pPr>
        <w:adjustRightInd w:val="0"/>
        <w:spacing w:after="0" w:line="240" w:lineRule="auto"/>
        <w:jc w:val="both"/>
        <w:rPr>
          <w:rFonts w:ascii="ITC Avant Garde" w:eastAsia="Times New Roman" w:hAnsi="ITC Avant Garde" w:cs="Arial"/>
          <w:bCs/>
          <w:lang w:val="es-ES_tradnl" w:eastAsia="es-ES"/>
        </w:rPr>
      </w:pPr>
      <m:oMathPara>
        <m:oMath>
          <m:r>
            <w:rPr>
              <w:rFonts w:ascii="Cambria Math" w:eastAsia="Times New Roman" w:hAnsi="Cambria Math" w:cs="Arial"/>
              <w:lang w:val="es-ES_tradnl" w:eastAsia="es-ES"/>
            </w:rPr>
            <m:t>PTF</m:t>
          </m:r>
          <m:r>
            <m:rPr>
              <m:sty m:val="p"/>
            </m:rPr>
            <w:rPr>
              <w:rFonts w:ascii="Cambria Math" w:eastAsia="Times New Roman" w:hAnsi="Cambria Math" w:cs="Arial"/>
              <w:lang w:val="es-ES_tradnl" w:eastAsia="es-ES"/>
            </w:rPr>
            <m:t>=</m:t>
          </m:r>
          <m:f>
            <m:fPr>
              <m:ctrlPr>
                <w:rPr>
                  <w:rFonts w:ascii="Cambria Math" w:eastAsia="Times New Roman" w:hAnsi="Cambria Math" w:cs="Arial"/>
                  <w:bCs/>
                  <w:lang w:val="es-ES_tradnl" w:eastAsia="es-ES"/>
                </w:rPr>
              </m:ctrlPr>
            </m:fPr>
            <m:num>
              <m:acc>
                <m:accPr>
                  <m:chr m:val="̇"/>
                  <m:ctrlPr>
                    <w:rPr>
                      <w:rFonts w:ascii="Cambria Math" w:eastAsia="Times New Roman" w:hAnsi="Cambria Math" w:cs="Arial"/>
                      <w:bCs/>
                      <w:lang w:val="es-ES_tradnl" w:eastAsia="es-ES"/>
                    </w:rPr>
                  </m:ctrlPr>
                </m:accPr>
                <m:e>
                  <m:r>
                    <w:rPr>
                      <w:rFonts w:ascii="Cambria Math" w:eastAsia="Times New Roman" w:hAnsi="Cambria Math" w:cs="Arial"/>
                      <w:lang w:val="es-ES_tradnl" w:eastAsia="es-ES"/>
                    </w:rPr>
                    <m:t>Y</m:t>
                  </m:r>
                </m:e>
              </m:acc>
            </m:num>
            <m:den>
              <m:r>
                <w:rPr>
                  <w:rFonts w:ascii="Cambria Math" w:eastAsia="Times New Roman" w:hAnsi="Cambria Math" w:cs="Arial"/>
                  <w:lang w:val="es-ES_tradnl" w:eastAsia="es-ES"/>
                </w:rPr>
                <m:t>Y</m:t>
              </m:r>
            </m:den>
          </m:f>
          <m:r>
            <m:rPr>
              <m:sty m:val="p"/>
            </m:rPr>
            <w:rPr>
              <w:rFonts w:ascii="Cambria Math" w:eastAsia="Times New Roman" w:hAnsi="Cambria Math" w:cs="Arial"/>
              <w:lang w:val="es-ES_tradnl" w:eastAsia="es-ES"/>
            </w:rPr>
            <m:t>-</m:t>
          </m:r>
          <m:sSubSup>
            <m:sSubSupPr>
              <m:ctrlPr>
                <w:rPr>
                  <w:rFonts w:ascii="Cambria Math" w:eastAsia="Times New Roman" w:hAnsi="Cambria Math" w:cs="Arial"/>
                  <w:bCs/>
                  <w:lang w:val="es-ES_tradnl" w:eastAsia="es-ES"/>
                </w:rPr>
              </m:ctrlPr>
            </m:sSubSupPr>
            <m:e>
              <m:r>
                <w:rPr>
                  <w:rFonts w:ascii="Cambria Math" w:eastAsia="Times New Roman" w:hAnsi="Cambria Math" w:cs="Arial"/>
                  <w:lang w:val="es-ES_tradnl" w:eastAsia="es-ES"/>
                </w:rPr>
                <m:t>s</m:t>
              </m:r>
            </m:e>
            <m:sub>
              <m:r>
                <w:rPr>
                  <w:rFonts w:ascii="Cambria Math" w:eastAsia="Times New Roman" w:hAnsi="Cambria Math" w:cs="Arial"/>
                  <w:lang w:val="es-ES_tradnl" w:eastAsia="es-ES"/>
                </w:rPr>
                <m:t>K</m:t>
              </m:r>
            </m:sub>
            <m:sup>
              <m:r>
                <w:rPr>
                  <w:rFonts w:ascii="Cambria Math" w:eastAsia="Times New Roman" w:hAnsi="Cambria Math" w:cs="Arial"/>
                  <w:lang w:val="es-ES_tradnl" w:eastAsia="es-ES"/>
                </w:rPr>
                <m:t>EMP</m:t>
              </m:r>
            </m:sup>
          </m:sSubSup>
          <m:d>
            <m:dPr>
              <m:ctrlPr>
                <w:rPr>
                  <w:rFonts w:ascii="Cambria Math" w:eastAsia="Times New Roman" w:hAnsi="Cambria Math" w:cs="Arial"/>
                  <w:bCs/>
                  <w:lang w:val="es-ES_tradnl" w:eastAsia="es-ES"/>
                </w:rPr>
              </m:ctrlPr>
            </m:dPr>
            <m:e>
              <m:f>
                <m:fPr>
                  <m:ctrlPr>
                    <w:rPr>
                      <w:rFonts w:ascii="Cambria Math" w:eastAsia="Times New Roman" w:hAnsi="Cambria Math" w:cs="Arial"/>
                      <w:bCs/>
                      <w:lang w:val="es-ES_tradnl" w:eastAsia="es-ES"/>
                    </w:rPr>
                  </m:ctrlPr>
                </m:fPr>
                <m:num>
                  <m:acc>
                    <m:accPr>
                      <m:chr m:val="̇"/>
                      <m:ctrlPr>
                        <w:rPr>
                          <w:rFonts w:ascii="Cambria Math" w:eastAsia="Times New Roman" w:hAnsi="Cambria Math" w:cs="Arial"/>
                          <w:bCs/>
                          <w:lang w:val="es-ES_tradnl" w:eastAsia="es-ES"/>
                        </w:rPr>
                      </m:ctrlPr>
                    </m:accPr>
                    <m:e>
                      <m:r>
                        <w:rPr>
                          <w:rFonts w:ascii="Cambria Math" w:eastAsia="Times New Roman" w:hAnsi="Cambria Math" w:cs="Arial"/>
                          <w:lang w:val="es-ES_tradnl" w:eastAsia="es-ES"/>
                        </w:rPr>
                        <m:t>K</m:t>
                      </m:r>
                    </m:e>
                  </m:acc>
                </m:num>
                <m:den>
                  <m:r>
                    <w:rPr>
                      <w:rFonts w:ascii="Cambria Math" w:eastAsia="Times New Roman" w:hAnsi="Cambria Math" w:cs="Arial"/>
                      <w:lang w:val="es-ES_tradnl" w:eastAsia="es-ES"/>
                    </w:rPr>
                    <m:t>K</m:t>
                  </m:r>
                </m:den>
              </m:f>
            </m:e>
          </m:d>
          <m:r>
            <m:rPr>
              <m:sty m:val="p"/>
            </m:rPr>
            <w:rPr>
              <w:rFonts w:ascii="Cambria Math" w:eastAsia="Times New Roman" w:hAnsi="Cambria Math" w:cs="Arial"/>
              <w:lang w:val="es-ES_tradnl" w:eastAsia="es-ES"/>
            </w:rPr>
            <m:t>-</m:t>
          </m:r>
          <m:sSubSup>
            <m:sSubSupPr>
              <m:ctrlPr>
                <w:rPr>
                  <w:rFonts w:ascii="Cambria Math" w:eastAsia="Times New Roman" w:hAnsi="Cambria Math" w:cs="Arial"/>
                  <w:bCs/>
                  <w:lang w:val="es-ES_tradnl" w:eastAsia="es-ES"/>
                </w:rPr>
              </m:ctrlPr>
            </m:sSubSupPr>
            <m:e>
              <m:r>
                <w:rPr>
                  <w:rFonts w:ascii="Cambria Math" w:eastAsia="Times New Roman" w:hAnsi="Cambria Math" w:cs="Arial"/>
                  <w:lang w:val="es-ES_tradnl" w:eastAsia="es-ES"/>
                </w:rPr>
                <m:t>s</m:t>
              </m:r>
            </m:e>
            <m:sub>
              <m:r>
                <w:rPr>
                  <w:rFonts w:ascii="Cambria Math" w:eastAsia="Times New Roman" w:hAnsi="Cambria Math" w:cs="Arial"/>
                  <w:lang w:val="es-ES_tradnl" w:eastAsia="es-ES"/>
                </w:rPr>
                <m:t>L</m:t>
              </m:r>
            </m:sub>
            <m:sup>
              <m:r>
                <w:rPr>
                  <w:rFonts w:ascii="Cambria Math" w:eastAsia="Times New Roman" w:hAnsi="Cambria Math" w:cs="Arial"/>
                  <w:lang w:val="es-ES_tradnl" w:eastAsia="es-ES"/>
                </w:rPr>
                <m:t>EMP</m:t>
              </m:r>
            </m:sup>
          </m:sSubSup>
          <m:d>
            <m:dPr>
              <m:ctrlPr>
                <w:rPr>
                  <w:rFonts w:ascii="Cambria Math" w:eastAsia="Times New Roman" w:hAnsi="Cambria Math" w:cs="Arial"/>
                  <w:bCs/>
                  <w:lang w:val="es-ES_tradnl" w:eastAsia="es-ES"/>
                </w:rPr>
              </m:ctrlPr>
            </m:dPr>
            <m:e>
              <m:f>
                <m:fPr>
                  <m:ctrlPr>
                    <w:rPr>
                      <w:rFonts w:ascii="Cambria Math" w:eastAsia="Times New Roman" w:hAnsi="Cambria Math" w:cs="Arial"/>
                      <w:bCs/>
                      <w:lang w:val="es-ES_tradnl" w:eastAsia="es-ES"/>
                    </w:rPr>
                  </m:ctrlPr>
                </m:fPr>
                <m:num>
                  <m:acc>
                    <m:accPr>
                      <m:chr m:val="̇"/>
                      <m:ctrlPr>
                        <w:rPr>
                          <w:rFonts w:ascii="Cambria Math" w:eastAsia="Times New Roman" w:hAnsi="Cambria Math" w:cs="Arial"/>
                          <w:bCs/>
                          <w:lang w:val="es-ES_tradnl" w:eastAsia="es-ES"/>
                        </w:rPr>
                      </m:ctrlPr>
                    </m:accPr>
                    <m:e>
                      <m:r>
                        <w:rPr>
                          <w:rFonts w:ascii="Cambria Math" w:eastAsia="Times New Roman" w:hAnsi="Cambria Math" w:cs="Arial"/>
                          <w:lang w:val="es-ES_tradnl" w:eastAsia="es-ES"/>
                        </w:rPr>
                        <m:t>L</m:t>
                      </m:r>
                    </m:e>
                  </m:acc>
                </m:num>
                <m:den>
                  <m:r>
                    <w:rPr>
                      <w:rFonts w:ascii="Cambria Math" w:eastAsia="Times New Roman" w:hAnsi="Cambria Math" w:cs="Arial"/>
                      <w:lang w:val="es-ES_tradnl" w:eastAsia="es-ES"/>
                    </w:rPr>
                    <m:t>L</m:t>
                  </m:r>
                </m:den>
              </m:f>
            </m:e>
          </m:d>
          <m:r>
            <m:rPr>
              <m:sty m:val="p"/>
            </m:rPr>
            <w:rPr>
              <w:rFonts w:ascii="Cambria Math" w:eastAsia="Times New Roman" w:hAnsi="Cambria Math" w:cs="Arial"/>
              <w:lang w:val="es-ES_tradnl" w:eastAsia="es-ES"/>
            </w:rPr>
            <m:t>-</m:t>
          </m:r>
          <m:sSubSup>
            <m:sSubSupPr>
              <m:ctrlPr>
                <w:rPr>
                  <w:rFonts w:ascii="Cambria Math" w:eastAsia="Times New Roman" w:hAnsi="Cambria Math" w:cs="Arial"/>
                  <w:bCs/>
                  <w:lang w:val="es-ES_tradnl" w:eastAsia="es-ES"/>
                </w:rPr>
              </m:ctrlPr>
            </m:sSubSupPr>
            <m:e>
              <m:r>
                <w:rPr>
                  <w:rFonts w:ascii="Cambria Math" w:eastAsia="Times New Roman" w:hAnsi="Cambria Math" w:cs="Arial"/>
                  <w:lang w:val="es-ES_tradnl" w:eastAsia="es-ES"/>
                </w:rPr>
                <m:t>s</m:t>
              </m:r>
            </m:e>
            <m:sub>
              <m:r>
                <w:rPr>
                  <w:rFonts w:ascii="Cambria Math" w:eastAsia="Times New Roman" w:hAnsi="Cambria Math" w:cs="Arial"/>
                  <w:lang w:val="es-ES_tradnl" w:eastAsia="es-ES"/>
                </w:rPr>
                <m:t>T</m:t>
              </m:r>
            </m:sub>
            <m:sup>
              <m:r>
                <w:rPr>
                  <w:rFonts w:ascii="Cambria Math" w:eastAsia="Times New Roman" w:hAnsi="Cambria Math" w:cs="Arial"/>
                  <w:lang w:val="es-ES_tradnl" w:eastAsia="es-ES"/>
                </w:rPr>
                <m:t>EMP</m:t>
              </m:r>
            </m:sup>
          </m:sSubSup>
          <m:d>
            <m:dPr>
              <m:ctrlPr>
                <w:rPr>
                  <w:rFonts w:ascii="Cambria Math" w:eastAsia="Times New Roman" w:hAnsi="Cambria Math" w:cs="Arial"/>
                  <w:bCs/>
                  <w:lang w:val="es-ES_tradnl" w:eastAsia="es-ES"/>
                </w:rPr>
              </m:ctrlPr>
            </m:dPr>
            <m:e>
              <m:f>
                <m:fPr>
                  <m:ctrlPr>
                    <w:rPr>
                      <w:rFonts w:ascii="Cambria Math" w:eastAsia="Times New Roman" w:hAnsi="Cambria Math" w:cs="Arial"/>
                      <w:bCs/>
                      <w:lang w:val="es-ES_tradnl" w:eastAsia="es-ES"/>
                    </w:rPr>
                  </m:ctrlPr>
                </m:fPr>
                <m:num>
                  <m:acc>
                    <m:accPr>
                      <m:chr m:val="̇"/>
                      <m:ctrlPr>
                        <w:rPr>
                          <w:rFonts w:ascii="Cambria Math" w:eastAsia="Times New Roman" w:hAnsi="Cambria Math" w:cs="Arial"/>
                          <w:bCs/>
                          <w:lang w:val="es-ES_tradnl" w:eastAsia="es-ES"/>
                        </w:rPr>
                      </m:ctrlPr>
                    </m:accPr>
                    <m:e>
                      <m:r>
                        <w:rPr>
                          <w:rFonts w:ascii="Cambria Math" w:eastAsia="Times New Roman" w:hAnsi="Cambria Math" w:cs="Arial"/>
                          <w:lang w:val="es-ES_tradnl" w:eastAsia="es-ES"/>
                        </w:rPr>
                        <m:t>T</m:t>
                      </m:r>
                    </m:e>
                  </m:acc>
                </m:num>
                <m:den>
                  <m:r>
                    <w:rPr>
                      <w:rFonts w:ascii="Cambria Math" w:eastAsia="Times New Roman" w:hAnsi="Cambria Math" w:cs="Arial"/>
                      <w:lang w:val="es-ES_tradnl" w:eastAsia="es-ES"/>
                    </w:rPr>
                    <m:t>T</m:t>
                  </m:r>
                </m:den>
              </m:f>
            </m:e>
          </m:d>
        </m:oMath>
      </m:oMathPara>
    </w:p>
    <w:p w14:paraId="652EAA8E" w14:textId="77777777" w:rsidR="008369E9" w:rsidRDefault="00376BF9" w:rsidP="008369E9">
      <w:pPr>
        <w:adjustRightInd w:val="0"/>
        <w:spacing w:before="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D</w:t>
      </w:r>
      <w:r w:rsidR="00A429DA" w:rsidRPr="004C52B2">
        <w:rPr>
          <w:rFonts w:ascii="ITC Avant Garde" w:eastAsia="Times New Roman" w:hAnsi="ITC Avant Garde" w:cs="Arial"/>
          <w:bCs/>
          <w:lang w:val="es-ES_tradnl" w:eastAsia="es-ES"/>
        </w:rPr>
        <w:t>onde</w:t>
      </w:r>
      <w:r w:rsidR="00B4542D" w:rsidRPr="004C52B2">
        <w:rPr>
          <w:rFonts w:ascii="ITC Avant Garde" w:eastAsia="Times New Roman" w:hAnsi="ITC Avant Garde" w:cs="Arial"/>
          <w:bCs/>
          <w:lang w:val="es-ES_tradnl" w:eastAsia="es-ES"/>
        </w:rPr>
        <w:t>:</w:t>
      </w:r>
    </w:p>
    <w:p w14:paraId="464BD334" w14:textId="77777777" w:rsidR="008369E9" w:rsidRDefault="006A4E00" w:rsidP="008369E9">
      <w:pPr>
        <w:adjustRightInd w:val="0"/>
        <w:spacing w:before="240" w:line="240" w:lineRule="auto"/>
        <w:jc w:val="both"/>
        <w:rPr>
          <w:rFonts w:ascii="ITC Avant Garde" w:eastAsia="Times New Roman" w:hAnsi="ITC Avant Garde" w:cs="Arial"/>
          <w:bCs/>
          <w:sz w:val="18"/>
          <w:szCs w:val="18"/>
          <w:lang w:val="es-ES_tradnl" w:eastAsia="es-ES"/>
        </w:rPr>
      </w:pPr>
      <m:oMath>
        <m:sSubSup>
          <m:sSubSupPr>
            <m:ctrlPr>
              <w:rPr>
                <w:rFonts w:ascii="Cambria Math" w:eastAsia="Times New Roman" w:hAnsi="Cambria Math" w:cs="Arial"/>
                <w:bCs/>
                <w:lang w:val="es-ES_tradnl" w:eastAsia="es-ES"/>
              </w:rPr>
            </m:ctrlPr>
          </m:sSubSupPr>
          <m:e>
            <m:r>
              <w:rPr>
                <w:rFonts w:ascii="Cambria Math" w:eastAsia="Times New Roman" w:hAnsi="Cambria Math" w:cs="Arial"/>
                <w:sz w:val="18"/>
                <w:szCs w:val="18"/>
                <w:lang w:val="es-ES_tradnl" w:eastAsia="es-ES"/>
              </w:rPr>
              <m:t>s</m:t>
            </m:r>
          </m:e>
          <m:sub>
            <m:r>
              <w:rPr>
                <w:rFonts w:ascii="Cambria Math" w:eastAsia="Times New Roman" w:hAnsi="Cambria Math" w:cs="Arial"/>
                <w:sz w:val="18"/>
                <w:szCs w:val="18"/>
                <w:lang w:val="es-ES_tradnl" w:eastAsia="es-ES"/>
              </w:rPr>
              <m:t>K</m:t>
            </m:r>
          </m:sub>
          <m:sup>
            <m:r>
              <w:rPr>
                <w:rFonts w:ascii="Cambria Math" w:eastAsia="Times New Roman" w:hAnsi="Cambria Math" w:cs="Arial"/>
                <w:sz w:val="18"/>
                <w:szCs w:val="18"/>
                <w:lang w:val="es-ES_tradnl" w:eastAsia="es-ES"/>
              </w:rPr>
              <m:t>EMP</m:t>
            </m:r>
          </m:sup>
        </m:sSubSup>
        <m:r>
          <m:rPr>
            <m:sty m:val="p"/>
          </m:rPr>
          <w:rPr>
            <w:rFonts w:ascii="Cambria Math" w:eastAsia="Times New Roman" w:hAnsi="Cambria Math" w:cs="Arial"/>
            <w:sz w:val="18"/>
            <w:szCs w:val="18"/>
            <w:lang w:val="es-ES_tradnl" w:eastAsia="es-ES"/>
          </w:rPr>
          <m:t>=</m:t>
        </m:r>
        <m:r>
          <w:rPr>
            <w:rFonts w:ascii="Cambria Math" w:eastAsia="Times New Roman" w:hAnsi="Cambria Math" w:cs="Arial"/>
            <w:sz w:val="18"/>
            <w:szCs w:val="18"/>
            <w:lang w:val="es-ES_tradnl" w:eastAsia="es-ES"/>
          </w:rPr>
          <m:t>PK</m:t>
        </m:r>
        <m:r>
          <m:rPr>
            <m:sty m:val="p"/>
          </m:rPr>
          <w:rPr>
            <w:rFonts w:ascii="Cambria Math" w:eastAsia="Times New Roman" w:hAnsi="Cambria Math" w:cs="Arial"/>
            <w:sz w:val="18"/>
            <w:szCs w:val="18"/>
            <w:lang w:val="es-ES_tradnl" w:eastAsia="es-ES"/>
          </w:rPr>
          <m:t>/</m:t>
        </m:r>
        <m:r>
          <w:rPr>
            <w:rFonts w:ascii="Cambria Math" w:eastAsia="Times New Roman" w:hAnsi="Cambria Math" w:cs="Arial"/>
            <w:sz w:val="18"/>
            <w:szCs w:val="18"/>
            <w:lang w:val="es-ES_tradnl" w:eastAsia="es-ES"/>
          </w:rPr>
          <m:t>C</m:t>
        </m:r>
      </m:oMath>
      <w:r w:rsidR="00A429DA" w:rsidRPr="004C52B2">
        <w:rPr>
          <w:rFonts w:ascii="ITC Avant Garde" w:eastAsia="Times New Roman" w:hAnsi="ITC Avant Garde" w:cs="Arial"/>
          <w:bCs/>
          <w:sz w:val="18"/>
          <w:szCs w:val="18"/>
          <w:lang w:val="es-ES_tradnl" w:eastAsia="es-ES"/>
        </w:rPr>
        <w:t xml:space="preserve">, </w:t>
      </w:r>
      <m:oMath>
        <m:sSubSup>
          <m:sSubSupPr>
            <m:ctrlPr>
              <w:rPr>
                <w:rFonts w:ascii="Cambria Math" w:eastAsia="Times New Roman" w:hAnsi="Cambria Math" w:cs="Arial"/>
                <w:bCs/>
                <w:lang w:val="es-ES_tradnl" w:eastAsia="es-ES"/>
              </w:rPr>
            </m:ctrlPr>
          </m:sSubSupPr>
          <m:e>
            <m:r>
              <w:rPr>
                <w:rFonts w:ascii="Cambria Math" w:eastAsia="Times New Roman" w:hAnsi="Cambria Math" w:cs="Arial"/>
                <w:sz w:val="18"/>
                <w:szCs w:val="18"/>
                <w:lang w:val="es-ES_tradnl" w:eastAsia="es-ES"/>
              </w:rPr>
              <m:t>s</m:t>
            </m:r>
          </m:e>
          <m:sub>
            <m:r>
              <w:rPr>
                <w:rFonts w:ascii="Cambria Math" w:eastAsia="Times New Roman" w:hAnsi="Cambria Math" w:cs="Arial"/>
                <w:sz w:val="18"/>
                <w:szCs w:val="18"/>
                <w:lang w:val="es-ES_tradnl" w:eastAsia="es-ES"/>
              </w:rPr>
              <m:t>L</m:t>
            </m:r>
          </m:sub>
          <m:sup>
            <m:r>
              <w:rPr>
                <w:rFonts w:ascii="Cambria Math" w:eastAsia="Times New Roman" w:hAnsi="Cambria Math" w:cs="Arial"/>
                <w:sz w:val="18"/>
                <w:szCs w:val="18"/>
                <w:lang w:val="es-ES_tradnl" w:eastAsia="es-ES"/>
              </w:rPr>
              <m:t>EMP</m:t>
            </m:r>
          </m:sup>
        </m:sSubSup>
        <m:r>
          <m:rPr>
            <m:sty m:val="p"/>
          </m:rPr>
          <w:rPr>
            <w:rFonts w:ascii="Cambria Math" w:eastAsia="Times New Roman" w:hAnsi="Cambria Math" w:cs="Arial"/>
            <w:sz w:val="18"/>
            <w:szCs w:val="18"/>
            <w:lang w:val="es-ES_tradnl" w:eastAsia="es-ES"/>
          </w:rPr>
          <m:t>=</m:t>
        </m:r>
        <m:r>
          <w:rPr>
            <w:rFonts w:ascii="Cambria Math" w:eastAsia="Times New Roman" w:hAnsi="Cambria Math" w:cs="Arial"/>
            <w:sz w:val="18"/>
            <w:szCs w:val="18"/>
            <w:lang w:val="es-ES_tradnl" w:eastAsia="es-ES"/>
          </w:rPr>
          <m:t>QL</m:t>
        </m:r>
        <m:r>
          <m:rPr>
            <m:sty m:val="p"/>
          </m:rPr>
          <w:rPr>
            <w:rFonts w:ascii="Cambria Math" w:eastAsia="Times New Roman" w:hAnsi="Cambria Math" w:cs="Arial"/>
            <w:sz w:val="18"/>
            <w:szCs w:val="18"/>
            <w:lang w:val="es-ES_tradnl" w:eastAsia="es-ES"/>
          </w:rPr>
          <m:t>/</m:t>
        </m:r>
        <m:r>
          <w:rPr>
            <w:rFonts w:ascii="Cambria Math" w:eastAsia="Times New Roman" w:hAnsi="Cambria Math" w:cs="Arial"/>
            <w:sz w:val="18"/>
            <w:szCs w:val="18"/>
            <w:lang w:val="es-ES_tradnl" w:eastAsia="es-ES"/>
          </w:rPr>
          <m:t>C</m:t>
        </m:r>
      </m:oMath>
      <w:r w:rsidR="00A429DA" w:rsidRPr="004C52B2">
        <w:rPr>
          <w:rFonts w:ascii="ITC Avant Garde" w:eastAsia="Times New Roman" w:hAnsi="ITC Avant Garde" w:cs="Arial"/>
          <w:bCs/>
          <w:sz w:val="18"/>
          <w:szCs w:val="18"/>
          <w:lang w:val="es-ES_tradnl" w:eastAsia="es-ES"/>
        </w:rPr>
        <w:t xml:space="preserve">, </w:t>
      </w:r>
      <m:oMath>
        <m:sSubSup>
          <m:sSubSupPr>
            <m:ctrlPr>
              <w:rPr>
                <w:rFonts w:ascii="Cambria Math" w:eastAsia="Times New Roman" w:hAnsi="Cambria Math" w:cs="Arial"/>
                <w:bCs/>
                <w:lang w:val="es-ES_tradnl" w:eastAsia="es-ES"/>
              </w:rPr>
            </m:ctrlPr>
          </m:sSubSupPr>
          <m:e>
            <m:r>
              <w:rPr>
                <w:rFonts w:ascii="Cambria Math" w:eastAsia="Times New Roman" w:hAnsi="Cambria Math" w:cs="Arial"/>
                <w:sz w:val="18"/>
                <w:szCs w:val="18"/>
                <w:lang w:val="es-ES_tradnl" w:eastAsia="es-ES"/>
              </w:rPr>
              <m:t>s</m:t>
            </m:r>
          </m:e>
          <m:sub>
            <m:r>
              <w:rPr>
                <w:rFonts w:ascii="Cambria Math" w:eastAsia="Times New Roman" w:hAnsi="Cambria Math" w:cs="Arial"/>
                <w:sz w:val="18"/>
                <w:szCs w:val="18"/>
                <w:lang w:val="es-ES_tradnl" w:eastAsia="es-ES"/>
              </w:rPr>
              <m:t>T</m:t>
            </m:r>
          </m:sub>
          <m:sup>
            <m:r>
              <w:rPr>
                <w:rFonts w:ascii="Cambria Math" w:eastAsia="Times New Roman" w:hAnsi="Cambria Math" w:cs="Arial"/>
                <w:sz w:val="18"/>
                <w:szCs w:val="18"/>
                <w:lang w:val="es-ES_tradnl" w:eastAsia="es-ES"/>
              </w:rPr>
              <m:t>EMP</m:t>
            </m:r>
          </m:sup>
        </m:sSubSup>
        <m:r>
          <m:rPr>
            <m:sty m:val="p"/>
          </m:rPr>
          <w:rPr>
            <w:rFonts w:ascii="Cambria Math" w:eastAsia="Times New Roman" w:hAnsi="Cambria Math" w:cs="Arial"/>
            <w:sz w:val="18"/>
            <w:szCs w:val="18"/>
            <w:lang w:val="es-ES_tradnl" w:eastAsia="es-ES"/>
          </w:rPr>
          <m:t>=</m:t>
        </m:r>
        <m:r>
          <w:rPr>
            <w:rFonts w:ascii="Cambria Math" w:eastAsia="Times New Roman" w:hAnsi="Cambria Math" w:cs="Arial"/>
            <w:sz w:val="18"/>
            <w:szCs w:val="18"/>
            <w:lang w:val="es-ES_tradnl" w:eastAsia="es-ES"/>
          </w:rPr>
          <m:t>RT</m:t>
        </m:r>
        <m:r>
          <m:rPr>
            <m:sty m:val="p"/>
          </m:rPr>
          <w:rPr>
            <w:rFonts w:ascii="Cambria Math" w:eastAsia="Times New Roman" w:hAnsi="Cambria Math" w:cs="Arial"/>
            <w:sz w:val="18"/>
            <w:szCs w:val="18"/>
            <w:lang w:val="es-ES_tradnl" w:eastAsia="es-ES"/>
          </w:rPr>
          <m:t>/</m:t>
        </m:r>
        <m:r>
          <w:rPr>
            <w:rFonts w:ascii="Cambria Math" w:eastAsia="Times New Roman" w:hAnsi="Cambria Math" w:cs="Arial"/>
            <w:sz w:val="18"/>
            <w:szCs w:val="18"/>
            <w:lang w:val="es-ES_tradnl" w:eastAsia="es-ES"/>
          </w:rPr>
          <m:t>C</m:t>
        </m:r>
      </m:oMath>
      <w:r w:rsidR="00A429DA" w:rsidRPr="004C52B2">
        <w:rPr>
          <w:rFonts w:ascii="ITC Avant Garde" w:eastAsia="Times New Roman" w:hAnsi="ITC Avant Garde" w:cs="Arial"/>
          <w:bCs/>
          <w:sz w:val="18"/>
          <w:szCs w:val="18"/>
          <w:lang w:val="es-ES_tradnl" w:eastAsia="es-ES"/>
        </w:rPr>
        <w:t xml:space="preserve"> y </w:t>
      </w:r>
      <m:oMath>
        <m:r>
          <w:rPr>
            <w:rFonts w:ascii="Cambria Math" w:eastAsia="Times New Roman" w:hAnsi="Cambria Math" w:cs="Arial"/>
            <w:sz w:val="18"/>
            <w:szCs w:val="18"/>
            <w:lang w:val="es-ES_tradnl" w:eastAsia="es-ES"/>
          </w:rPr>
          <m:t>C</m:t>
        </m:r>
        <m:r>
          <m:rPr>
            <m:sty m:val="p"/>
          </m:rPr>
          <w:rPr>
            <w:rFonts w:ascii="Cambria Math" w:eastAsia="Times New Roman" w:hAnsi="Cambria Math" w:cs="Arial"/>
            <w:sz w:val="18"/>
            <w:szCs w:val="18"/>
            <w:lang w:val="es-ES_tradnl" w:eastAsia="es-ES"/>
          </w:rPr>
          <m:t>=</m:t>
        </m:r>
        <m:r>
          <w:rPr>
            <w:rFonts w:ascii="Cambria Math" w:eastAsia="Times New Roman" w:hAnsi="Cambria Math" w:cs="Arial"/>
            <w:sz w:val="18"/>
            <w:szCs w:val="18"/>
            <w:lang w:val="es-ES_tradnl" w:eastAsia="es-ES"/>
          </w:rPr>
          <m:t>PK</m:t>
        </m:r>
        <m:r>
          <m:rPr>
            <m:sty m:val="p"/>
          </m:rPr>
          <w:rPr>
            <w:rFonts w:ascii="Cambria Math" w:eastAsia="Times New Roman" w:hAnsi="Cambria Math" w:cs="Arial"/>
            <w:sz w:val="18"/>
            <w:szCs w:val="18"/>
            <w:lang w:val="es-ES_tradnl" w:eastAsia="es-ES"/>
          </w:rPr>
          <m:t>+</m:t>
        </m:r>
        <m:r>
          <w:rPr>
            <w:rFonts w:ascii="Cambria Math" w:eastAsia="Times New Roman" w:hAnsi="Cambria Math" w:cs="Arial"/>
            <w:sz w:val="18"/>
            <w:szCs w:val="18"/>
            <w:lang w:val="es-ES_tradnl" w:eastAsia="es-ES"/>
          </w:rPr>
          <m:t>QL</m:t>
        </m:r>
        <m:r>
          <m:rPr>
            <m:sty m:val="p"/>
          </m:rPr>
          <w:rPr>
            <w:rFonts w:ascii="Cambria Math" w:eastAsia="Times New Roman" w:hAnsi="Cambria Math" w:cs="Arial"/>
            <w:sz w:val="18"/>
            <w:szCs w:val="18"/>
            <w:lang w:val="es-ES_tradnl" w:eastAsia="es-ES"/>
          </w:rPr>
          <m:t>+</m:t>
        </m:r>
        <m:r>
          <w:rPr>
            <w:rFonts w:ascii="Cambria Math" w:eastAsia="Times New Roman" w:hAnsi="Cambria Math" w:cs="Arial"/>
            <w:sz w:val="18"/>
            <w:szCs w:val="18"/>
            <w:lang w:val="es-ES_tradnl" w:eastAsia="es-ES"/>
          </w:rPr>
          <m:t>RT</m:t>
        </m:r>
      </m:oMath>
    </w:p>
    <w:p w14:paraId="1C8F2841" w14:textId="77777777" w:rsidR="008369E9" w:rsidRDefault="00A429DA" w:rsidP="008369E9">
      <w:pPr>
        <w:adjustRightInd w:val="0"/>
        <w:spacing w:before="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 xml:space="preserve">La </w:t>
      </w:r>
      <w:r w:rsidR="006D0FF2" w:rsidRPr="004C52B2">
        <w:rPr>
          <w:rFonts w:ascii="ITC Avant Garde" w:eastAsia="Times New Roman" w:hAnsi="ITC Avant Garde" w:cs="Arial"/>
          <w:bCs/>
          <w:lang w:val="es-ES_tradnl" w:eastAsia="es-ES"/>
        </w:rPr>
        <w:t>fórmula</w:t>
      </w:r>
      <w:r w:rsidRPr="004C52B2">
        <w:rPr>
          <w:rFonts w:ascii="ITC Avant Garde" w:eastAsia="Times New Roman" w:hAnsi="ITC Avant Garde" w:cs="Arial"/>
          <w:bCs/>
          <w:lang w:val="es-ES_tradnl" w:eastAsia="es-ES"/>
        </w:rPr>
        <w:t xml:space="preserve"> general se puede expresar como:</w:t>
      </w:r>
    </w:p>
    <w:p w14:paraId="3C4A94C3" w14:textId="77777777" w:rsidR="008369E9" w:rsidRDefault="00A429DA" w:rsidP="000D018F">
      <w:pPr>
        <w:adjustRightInd w:val="0"/>
        <w:spacing w:after="0" w:line="240" w:lineRule="auto"/>
        <w:jc w:val="both"/>
        <w:rPr>
          <w:rFonts w:ascii="ITC Avant Garde" w:eastAsia="Times New Roman" w:hAnsi="ITC Avant Garde" w:cs="Arial"/>
          <w:bCs/>
          <w:lang w:val="es-ES_tradnl" w:eastAsia="es-ES"/>
        </w:rPr>
      </w:pPr>
      <m:oMathPara>
        <m:oMath>
          <m:r>
            <w:rPr>
              <w:rFonts w:ascii="Cambria Math" w:eastAsia="Times New Roman" w:hAnsi="Cambria Math" w:cs="Arial"/>
              <w:lang w:val="es-ES_tradnl" w:eastAsia="es-ES"/>
            </w:rPr>
            <m:t>PTF</m:t>
          </m:r>
          <m:r>
            <m:rPr>
              <m:sty m:val="p"/>
            </m:rPr>
            <w:rPr>
              <w:rFonts w:ascii="Cambria Math" w:eastAsia="Times New Roman" w:hAnsi="Cambria Math" w:cs="Arial"/>
              <w:lang w:val="es-ES_tradnl" w:eastAsia="es-ES"/>
            </w:rPr>
            <m:t>=</m:t>
          </m:r>
          <m:f>
            <m:fPr>
              <m:ctrlPr>
                <w:rPr>
                  <w:rFonts w:ascii="Cambria Math" w:eastAsia="Times New Roman" w:hAnsi="Cambria Math" w:cs="Arial"/>
                  <w:bCs/>
                  <w:lang w:val="es-ES_tradnl" w:eastAsia="es-ES"/>
                </w:rPr>
              </m:ctrlPr>
            </m:fPr>
            <m:num>
              <m:acc>
                <m:accPr>
                  <m:chr m:val="̇"/>
                  <m:ctrlPr>
                    <w:rPr>
                      <w:rFonts w:ascii="Cambria Math" w:eastAsia="Times New Roman" w:hAnsi="Cambria Math" w:cs="Arial"/>
                      <w:bCs/>
                      <w:lang w:val="es-ES_tradnl" w:eastAsia="es-ES"/>
                    </w:rPr>
                  </m:ctrlPr>
                </m:accPr>
                <m:e>
                  <m:r>
                    <w:rPr>
                      <w:rFonts w:ascii="Cambria Math" w:eastAsia="Times New Roman" w:hAnsi="Cambria Math" w:cs="Arial"/>
                      <w:lang w:val="es-ES_tradnl" w:eastAsia="es-ES"/>
                    </w:rPr>
                    <m:t>Y</m:t>
                  </m:r>
                </m:e>
              </m:acc>
            </m:num>
            <m:den>
              <m:r>
                <w:rPr>
                  <w:rFonts w:ascii="Cambria Math" w:eastAsia="Times New Roman" w:hAnsi="Cambria Math" w:cs="Arial"/>
                  <w:lang w:val="es-ES_tradnl" w:eastAsia="es-ES"/>
                </w:rPr>
                <m:t>Y</m:t>
              </m:r>
            </m:den>
          </m:f>
          <m:r>
            <m:rPr>
              <m:sty m:val="p"/>
            </m:rPr>
            <w:rPr>
              <w:rFonts w:ascii="Cambria Math" w:eastAsia="Times New Roman" w:hAnsi="Cambria Math" w:cs="Arial"/>
              <w:lang w:val="es-ES_tradnl" w:eastAsia="es-ES"/>
            </w:rPr>
            <m:t>-</m:t>
          </m:r>
          <m:nary>
            <m:naryPr>
              <m:chr m:val="∑"/>
              <m:limLoc m:val="subSup"/>
              <m:supHide m:val="1"/>
              <m:ctrlPr>
                <w:rPr>
                  <w:rFonts w:ascii="Cambria Math" w:eastAsia="Times New Roman" w:hAnsi="Cambria Math" w:cs="Arial"/>
                  <w:bCs/>
                  <w:lang w:val="es-ES_tradnl" w:eastAsia="es-ES"/>
                </w:rPr>
              </m:ctrlPr>
            </m:naryPr>
            <m:sub>
              <m:r>
                <w:rPr>
                  <w:rFonts w:ascii="Cambria Math" w:eastAsia="Times New Roman" w:hAnsi="Cambria Math" w:cs="Arial"/>
                  <w:lang w:val="es-ES_tradnl" w:eastAsia="es-ES"/>
                </w:rPr>
                <m:t>j</m:t>
              </m:r>
            </m:sub>
            <m:sup/>
            <m:e>
              <m:sSub>
                <m:sSubPr>
                  <m:ctrlPr>
                    <w:rPr>
                      <w:rFonts w:ascii="Cambria Math" w:eastAsia="Times New Roman" w:hAnsi="Cambria Math" w:cs="Arial"/>
                      <w:bCs/>
                      <w:lang w:val="es-ES_tradnl" w:eastAsia="es-ES"/>
                    </w:rPr>
                  </m:ctrlPr>
                </m:sSubPr>
                <m:e>
                  <m:r>
                    <w:rPr>
                      <w:rFonts w:ascii="Cambria Math" w:eastAsia="Times New Roman" w:hAnsi="Cambria Math" w:cs="Arial"/>
                      <w:lang w:val="es-ES_tradnl" w:eastAsia="es-ES"/>
                    </w:rPr>
                    <m:t>α</m:t>
                  </m:r>
                </m:e>
                <m:sub>
                  <m:r>
                    <w:rPr>
                      <w:rFonts w:ascii="Cambria Math" w:eastAsia="Times New Roman" w:hAnsi="Cambria Math" w:cs="Arial"/>
                      <w:lang w:val="es-ES_tradnl" w:eastAsia="es-ES"/>
                    </w:rPr>
                    <m:t>j</m:t>
                  </m:r>
                </m:sub>
              </m:sSub>
            </m:e>
          </m:nary>
          <m:d>
            <m:dPr>
              <m:ctrlPr>
                <w:rPr>
                  <w:rFonts w:ascii="Cambria Math" w:eastAsia="Times New Roman" w:hAnsi="Cambria Math" w:cs="Arial"/>
                  <w:bCs/>
                  <w:lang w:val="es-ES_tradnl" w:eastAsia="es-ES"/>
                </w:rPr>
              </m:ctrlPr>
            </m:dPr>
            <m:e>
              <m:f>
                <m:fPr>
                  <m:ctrlPr>
                    <w:rPr>
                      <w:rFonts w:ascii="Cambria Math" w:eastAsia="Times New Roman" w:hAnsi="Cambria Math" w:cs="Arial"/>
                      <w:bCs/>
                      <w:lang w:val="es-ES_tradnl" w:eastAsia="es-ES"/>
                    </w:rPr>
                  </m:ctrlPr>
                </m:fPr>
                <m:num>
                  <m:acc>
                    <m:accPr>
                      <m:chr m:val="̇"/>
                      <m:ctrlPr>
                        <w:rPr>
                          <w:rFonts w:ascii="Cambria Math" w:eastAsia="Times New Roman" w:hAnsi="Cambria Math" w:cs="Arial"/>
                          <w:bCs/>
                          <w:lang w:val="es-ES_tradnl" w:eastAsia="es-ES"/>
                        </w:rPr>
                      </m:ctrlPr>
                    </m:accPr>
                    <m:e>
                      <m:sSub>
                        <m:sSubPr>
                          <m:ctrlPr>
                            <w:rPr>
                              <w:rFonts w:ascii="Cambria Math" w:eastAsia="Times New Roman" w:hAnsi="Cambria Math" w:cs="Arial"/>
                              <w:bCs/>
                              <w:lang w:val="es-ES_tradnl" w:eastAsia="es-ES"/>
                            </w:rPr>
                          </m:ctrlPr>
                        </m:sSubPr>
                        <m:e>
                          <m:r>
                            <w:rPr>
                              <w:rFonts w:ascii="Cambria Math" w:eastAsia="Times New Roman" w:hAnsi="Cambria Math" w:cs="Arial"/>
                              <w:lang w:val="es-ES_tradnl" w:eastAsia="es-ES"/>
                            </w:rPr>
                            <m:t>β</m:t>
                          </m:r>
                        </m:e>
                        <m:sub>
                          <m:r>
                            <w:rPr>
                              <w:rFonts w:ascii="Cambria Math" w:eastAsia="Times New Roman" w:hAnsi="Cambria Math" w:cs="Arial"/>
                              <w:lang w:val="es-ES_tradnl" w:eastAsia="es-ES"/>
                            </w:rPr>
                            <m:t>j</m:t>
                          </m:r>
                        </m:sub>
                      </m:sSub>
                    </m:e>
                  </m:acc>
                </m:num>
                <m:den>
                  <m:sSub>
                    <m:sSubPr>
                      <m:ctrlPr>
                        <w:rPr>
                          <w:rFonts w:ascii="Cambria Math" w:eastAsia="Times New Roman" w:hAnsi="Cambria Math" w:cs="Arial"/>
                          <w:bCs/>
                          <w:lang w:val="es-ES_tradnl" w:eastAsia="es-ES"/>
                        </w:rPr>
                      </m:ctrlPr>
                    </m:sSubPr>
                    <m:e>
                      <m:r>
                        <w:rPr>
                          <w:rFonts w:ascii="Cambria Math" w:eastAsia="Times New Roman" w:hAnsi="Cambria Math" w:cs="Arial"/>
                          <w:lang w:val="es-ES_tradnl" w:eastAsia="es-ES"/>
                        </w:rPr>
                        <m:t>β</m:t>
                      </m:r>
                    </m:e>
                    <m:sub>
                      <m:r>
                        <w:rPr>
                          <w:rFonts w:ascii="Cambria Math" w:eastAsia="Times New Roman" w:hAnsi="Cambria Math" w:cs="Arial"/>
                          <w:lang w:val="es-ES_tradnl" w:eastAsia="es-ES"/>
                        </w:rPr>
                        <m:t>j</m:t>
                      </m:r>
                    </m:sub>
                  </m:sSub>
                </m:den>
              </m:f>
            </m:e>
          </m:d>
        </m:oMath>
      </m:oMathPara>
    </w:p>
    <w:p w14:paraId="06BA67BF" w14:textId="77777777" w:rsidR="008369E9" w:rsidRDefault="00376BF9" w:rsidP="008369E9">
      <w:pPr>
        <w:adjustRightInd w:val="0"/>
        <w:spacing w:before="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D</w:t>
      </w:r>
      <w:r w:rsidR="00A429DA" w:rsidRPr="004C52B2">
        <w:rPr>
          <w:rFonts w:ascii="ITC Avant Garde" w:eastAsia="Times New Roman" w:hAnsi="ITC Avant Garde" w:cs="Arial"/>
          <w:bCs/>
          <w:lang w:val="es-ES_tradnl" w:eastAsia="es-ES"/>
        </w:rPr>
        <w:t>onde</w:t>
      </w:r>
      <w:r w:rsidR="00B4542D" w:rsidRPr="004C52B2">
        <w:rPr>
          <w:rFonts w:ascii="ITC Avant Garde" w:eastAsia="Times New Roman" w:hAnsi="ITC Avant Garde" w:cs="Arial"/>
          <w:bCs/>
          <w:lang w:val="es-ES_tradnl" w:eastAsia="es-ES"/>
        </w:rPr>
        <w:t>:</w:t>
      </w:r>
    </w:p>
    <w:p w14:paraId="587B1335" w14:textId="77777777" w:rsidR="008369E9" w:rsidRDefault="006A4E00" w:rsidP="008369E9">
      <w:pPr>
        <w:adjustRightInd w:val="0"/>
        <w:spacing w:before="240" w:line="240" w:lineRule="auto"/>
        <w:jc w:val="both"/>
        <w:rPr>
          <w:rFonts w:ascii="ITC Avant Garde" w:eastAsia="Times New Roman" w:hAnsi="ITC Avant Garde" w:cs="Arial"/>
          <w:bCs/>
          <w:sz w:val="18"/>
          <w:szCs w:val="18"/>
          <w:lang w:val="es-ES_tradnl" w:eastAsia="es-ES"/>
        </w:rPr>
      </w:pPr>
      <m:oMath>
        <m:sSub>
          <m:sSubPr>
            <m:ctrlPr>
              <w:rPr>
                <w:rFonts w:ascii="Cambria Math" w:eastAsia="Times New Roman" w:hAnsi="Cambria Math" w:cs="Arial"/>
                <w:bCs/>
                <w:lang w:val="es-ES_tradnl" w:eastAsia="es-ES"/>
              </w:rPr>
            </m:ctrlPr>
          </m:sSubPr>
          <m:e>
            <m:r>
              <w:rPr>
                <w:rFonts w:ascii="Cambria Math" w:eastAsia="Times New Roman" w:hAnsi="Cambria Math" w:cs="Arial"/>
                <w:sz w:val="18"/>
                <w:szCs w:val="18"/>
                <w:lang w:val="es-ES_tradnl" w:eastAsia="es-ES"/>
              </w:rPr>
              <m:t>α</m:t>
            </m:r>
          </m:e>
          <m:sub>
            <m:r>
              <w:rPr>
                <w:rFonts w:ascii="Cambria Math" w:eastAsia="Times New Roman" w:hAnsi="Cambria Math" w:cs="Arial"/>
                <w:sz w:val="18"/>
                <w:szCs w:val="18"/>
                <w:lang w:val="es-ES_tradnl" w:eastAsia="es-ES"/>
              </w:rPr>
              <m:t>j</m:t>
            </m:r>
          </m:sub>
        </m:sSub>
      </m:oMath>
      <w:r w:rsidR="00A429DA" w:rsidRPr="004C52B2">
        <w:rPr>
          <w:rFonts w:ascii="ITC Avant Garde" w:eastAsia="Times New Roman" w:hAnsi="ITC Avant Garde" w:cs="Arial"/>
          <w:bCs/>
          <w:sz w:val="18"/>
          <w:szCs w:val="18"/>
          <w:lang w:val="es-ES_tradnl" w:eastAsia="es-ES"/>
        </w:rPr>
        <w:t xml:space="preserve"> es la participación del factor de producción j-ésimo y </w:t>
      </w:r>
      <m:oMath>
        <m:sSub>
          <m:sSubPr>
            <m:ctrlPr>
              <w:rPr>
                <w:rFonts w:ascii="Cambria Math" w:eastAsia="Times New Roman" w:hAnsi="Cambria Math" w:cs="Arial"/>
                <w:bCs/>
                <w:lang w:val="es-ES_tradnl" w:eastAsia="es-ES"/>
              </w:rPr>
            </m:ctrlPr>
          </m:sSubPr>
          <m:e>
            <m:r>
              <w:rPr>
                <w:rFonts w:ascii="Cambria Math" w:eastAsia="Times New Roman" w:hAnsi="Cambria Math" w:cs="Arial"/>
                <w:sz w:val="18"/>
                <w:szCs w:val="18"/>
                <w:lang w:val="es-ES_tradnl" w:eastAsia="es-ES"/>
              </w:rPr>
              <m:t>β</m:t>
            </m:r>
          </m:e>
          <m:sub>
            <m:r>
              <w:rPr>
                <w:rFonts w:ascii="Cambria Math" w:eastAsia="Times New Roman" w:hAnsi="Cambria Math" w:cs="Arial"/>
                <w:sz w:val="18"/>
                <w:szCs w:val="18"/>
                <w:lang w:val="es-ES_tradnl" w:eastAsia="es-ES"/>
              </w:rPr>
              <m:t>j</m:t>
            </m:r>
          </m:sub>
        </m:sSub>
      </m:oMath>
      <w:r w:rsidR="00A429DA" w:rsidRPr="004C52B2">
        <w:rPr>
          <w:rFonts w:ascii="ITC Avant Garde" w:eastAsia="Times New Roman" w:hAnsi="ITC Avant Garde" w:cs="Arial"/>
          <w:bCs/>
          <w:sz w:val="18"/>
          <w:szCs w:val="18"/>
          <w:lang w:val="es-ES_tradnl" w:eastAsia="es-ES"/>
        </w:rPr>
        <w:t xml:space="preserve"> es el factor de producción j-ésimo.</w:t>
      </w:r>
    </w:p>
    <w:p w14:paraId="0EFAFFC2" w14:textId="77777777" w:rsidR="008369E9" w:rsidRDefault="00376BF9" w:rsidP="008369E9">
      <w:pPr>
        <w:adjustRightInd w:val="0"/>
        <w:spacing w:before="240" w:line="240" w:lineRule="auto"/>
        <w:jc w:val="both"/>
        <w:rPr>
          <w:rFonts w:ascii="ITC Avant Garde" w:eastAsia="Times New Roman" w:hAnsi="ITC Avant Garde" w:cs="Arial"/>
          <w:bCs/>
          <w:lang w:val="es-ES_tradnl" w:eastAsia="es-ES"/>
        </w:rPr>
      </w:pPr>
      <w:proofErr w:type="gramStart"/>
      <w:r w:rsidRPr="004C52B2">
        <w:rPr>
          <w:rFonts w:ascii="ITC Avant Garde" w:eastAsia="Times New Roman" w:hAnsi="ITC Avant Garde" w:cs="Arial"/>
          <w:b/>
          <w:bCs/>
          <w:lang w:eastAsia="es-ES"/>
        </w:rPr>
        <w:t>QUINTO</w:t>
      </w:r>
      <w:r w:rsidR="00F633E7" w:rsidRPr="004C52B2">
        <w:rPr>
          <w:rFonts w:ascii="ITC Avant Garde" w:eastAsia="Times New Roman" w:hAnsi="ITC Avant Garde" w:cs="Arial"/>
          <w:b/>
          <w:bCs/>
          <w:lang w:eastAsia="es-ES"/>
        </w:rPr>
        <w:t>.</w:t>
      </w:r>
      <w:r w:rsidR="00635207">
        <w:rPr>
          <w:rFonts w:ascii="ITC Avant Garde" w:eastAsia="Times New Roman" w:hAnsi="ITC Avant Garde" w:cs="Arial"/>
          <w:b/>
          <w:bCs/>
          <w:lang w:eastAsia="es-ES"/>
        </w:rPr>
        <w:t>-</w:t>
      </w:r>
      <w:proofErr w:type="gramEnd"/>
      <w:r w:rsidR="00F633E7" w:rsidRPr="004C52B2">
        <w:rPr>
          <w:rFonts w:ascii="ITC Avant Garde" w:eastAsia="Times New Roman" w:hAnsi="ITC Avant Garde" w:cs="Arial"/>
          <w:b/>
          <w:bCs/>
          <w:lang w:eastAsia="es-ES"/>
        </w:rPr>
        <w:t xml:space="preserve"> E</w:t>
      </w:r>
      <w:r w:rsidR="00071271" w:rsidRPr="004C52B2">
        <w:rPr>
          <w:rFonts w:ascii="ITC Avant Garde" w:eastAsia="Times New Roman" w:hAnsi="ITC Avant Garde" w:cs="Arial"/>
          <w:b/>
          <w:bCs/>
          <w:lang w:eastAsia="es-ES"/>
        </w:rPr>
        <w:t>studio presentado por Telmex</w:t>
      </w:r>
      <w:r w:rsidR="00071271" w:rsidRPr="004C52B2">
        <w:rPr>
          <w:rFonts w:ascii="ITC Avant Garde" w:eastAsia="Times New Roman" w:hAnsi="ITC Avant Garde" w:cs="Arial"/>
          <w:b/>
          <w:bCs/>
          <w:lang w:val="es-ES_tradnl" w:eastAsia="es-ES"/>
        </w:rPr>
        <w:t xml:space="preserve">. </w:t>
      </w:r>
      <w:r w:rsidR="00461E71" w:rsidRPr="004C52B2">
        <w:rPr>
          <w:rFonts w:ascii="ITC Avant Garde" w:eastAsia="Times New Roman" w:hAnsi="ITC Avant Garde" w:cs="Arial"/>
          <w:bCs/>
          <w:lang w:val="es-ES_tradnl" w:eastAsia="es-ES"/>
        </w:rPr>
        <w:t xml:space="preserve">Telmex presentó un estudio técnico-económico elaborado a partir de cálculos desarrollados por la consultora </w:t>
      </w:r>
      <w:proofErr w:type="spellStart"/>
      <w:r w:rsidR="00461E71" w:rsidRPr="004C52B2">
        <w:rPr>
          <w:rFonts w:ascii="ITC Avant Garde" w:eastAsia="Times New Roman" w:hAnsi="ITC Avant Garde" w:cs="Arial"/>
          <w:bCs/>
          <w:lang w:val="es-ES_tradnl" w:eastAsia="es-ES"/>
        </w:rPr>
        <w:t>Nera</w:t>
      </w:r>
      <w:proofErr w:type="spellEnd"/>
      <w:r w:rsidR="00461E71" w:rsidRPr="004C52B2">
        <w:rPr>
          <w:rFonts w:ascii="ITC Avant Garde" w:eastAsia="Times New Roman" w:hAnsi="ITC Avant Garde" w:cs="Arial"/>
          <w:bCs/>
          <w:i/>
          <w:iCs/>
          <w:lang w:val="es-ES_tradnl" w:eastAsia="es-ES"/>
        </w:rPr>
        <w:t xml:space="preserve"> </w:t>
      </w:r>
      <w:proofErr w:type="spellStart"/>
      <w:r w:rsidR="00461E71" w:rsidRPr="004C52B2">
        <w:rPr>
          <w:rFonts w:ascii="ITC Avant Garde" w:eastAsia="Times New Roman" w:hAnsi="ITC Avant Garde" w:cs="Arial"/>
          <w:bCs/>
          <w:i/>
          <w:iCs/>
          <w:lang w:val="es-ES_tradnl" w:eastAsia="es-ES"/>
        </w:rPr>
        <w:t>Economic</w:t>
      </w:r>
      <w:proofErr w:type="spellEnd"/>
      <w:r w:rsidR="00461E71" w:rsidRPr="004C52B2">
        <w:rPr>
          <w:rFonts w:ascii="ITC Avant Garde" w:eastAsia="Times New Roman" w:hAnsi="ITC Avant Garde" w:cs="Arial"/>
          <w:bCs/>
          <w:i/>
          <w:iCs/>
          <w:lang w:val="es-ES_tradnl" w:eastAsia="es-ES"/>
        </w:rPr>
        <w:t xml:space="preserve"> </w:t>
      </w:r>
      <w:proofErr w:type="spellStart"/>
      <w:r w:rsidR="00461E71" w:rsidRPr="004C52B2">
        <w:rPr>
          <w:rFonts w:ascii="ITC Avant Garde" w:eastAsia="Times New Roman" w:hAnsi="ITC Avant Garde" w:cs="Arial"/>
          <w:bCs/>
          <w:i/>
          <w:iCs/>
          <w:lang w:val="es-ES_tradnl" w:eastAsia="es-ES"/>
        </w:rPr>
        <w:t>Consulting</w:t>
      </w:r>
      <w:proofErr w:type="spellEnd"/>
      <w:r w:rsidR="00461E71" w:rsidRPr="004C52B2">
        <w:rPr>
          <w:rFonts w:ascii="ITC Avant Garde" w:eastAsia="Times New Roman" w:hAnsi="ITC Avant Garde" w:cs="Arial"/>
          <w:bCs/>
          <w:lang w:val="es-ES_tradnl" w:eastAsia="es-ES"/>
        </w:rPr>
        <w:t xml:space="preserve">, a fin de estimar el Factor de </w:t>
      </w:r>
      <w:r w:rsidR="008C36C1">
        <w:rPr>
          <w:rFonts w:ascii="ITC Avant Garde" w:eastAsia="Times New Roman" w:hAnsi="ITC Avant Garde" w:cs="Arial"/>
          <w:bCs/>
          <w:lang w:val="es-ES_tradnl" w:eastAsia="es-ES"/>
        </w:rPr>
        <w:t>P</w:t>
      </w:r>
      <w:r w:rsidR="00461E71" w:rsidRPr="004C52B2">
        <w:rPr>
          <w:rFonts w:ascii="ITC Avant Garde" w:eastAsia="Times New Roman" w:hAnsi="ITC Avant Garde" w:cs="Arial"/>
          <w:bCs/>
          <w:lang w:val="es-ES_tradnl" w:eastAsia="es-ES"/>
        </w:rPr>
        <w:t xml:space="preserve">roductividad </w:t>
      </w:r>
      <w:r w:rsidR="00C025AD" w:rsidRPr="004C52B2">
        <w:rPr>
          <w:rFonts w:ascii="ITC Avant Garde" w:eastAsia="Times New Roman" w:hAnsi="ITC Avant Garde" w:cs="Arial"/>
          <w:bCs/>
          <w:lang w:val="es-ES_tradnl" w:eastAsia="es-ES"/>
        </w:rPr>
        <w:t>“</w:t>
      </w:r>
      <w:r w:rsidR="00461E71" w:rsidRPr="004C52B2">
        <w:rPr>
          <w:rFonts w:ascii="ITC Avant Garde" w:eastAsia="Times New Roman" w:hAnsi="ITC Avant Garde" w:cs="Arial"/>
          <w:bCs/>
          <w:lang w:val="es-ES_tradnl" w:eastAsia="es-ES"/>
        </w:rPr>
        <w:t>X</w:t>
      </w:r>
      <w:r w:rsidR="00C025AD" w:rsidRPr="004C52B2">
        <w:rPr>
          <w:rFonts w:ascii="ITC Avant Garde" w:eastAsia="Times New Roman" w:hAnsi="ITC Avant Garde" w:cs="Arial"/>
          <w:bCs/>
          <w:lang w:val="es-ES_tradnl" w:eastAsia="es-ES"/>
        </w:rPr>
        <w:t>”</w:t>
      </w:r>
      <w:r w:rsidR="00461E71" w:rsidRPr="004C52B2">
        <w:rPr>
          <w:rFonts w:ascii="ITC Avant Garde" w:eastAsia="Times New Roman" w:hAnsi="ITC Avant Garde" w:cs="Arial"/>
          <w:bCs/>
          <w:lang w:val="es-ES_tradnl" w:eastAsia="es-ES"/>
        </w:rPr>
        <w:t>. La referida consultora empleó la metodología de la Productividad Total de</w:t>
      </w:r>
      <w:r w:rsidR="00E20072" w:rsidRPr="004C52B2">
        <w:rPr>
          <w:rFonts w:ascii="ITC Avant Garde" w:eastAsia="Times New Roman" w:hAnsi="ITC Avant Garde" w:cs="Arial"/>
          <w:bCs/>
          <w:lang w:val="es-ES_tradnl" w:eastAsia="es-ES"/>
        </w:rPr>
        <w:t xml:space="preserve"> </w:t>
      </w:r>
      <w:r w:rsidR="00F13D93">
        <w:rPr>
          <w:rFonts w:ascii="ITC Avant Garde" w:eastAsia="Times New Roman" w:hAnsi="ITC Avant Garde" w:cs="Arial"/>
          <w:bCs/>
          <w:lang w:val="es-ES_tradnl" w:eastAsia="es-ES"/>
        </w:rPr>
        <w:t xml:space="preserve">los </w:t>
      </w:r>
      <w:r w:rsidR="00E20072" w:rsidRPr="004C52B2">
        <w:rPr>
          <w:rFonts w:ascii="ITC Avant Garde" w:eastAsia="Times New Roman" w:hAnsi="ITC Avant Garde" w:cs="Arial"/>
          <w:bCs/>
          <w:lang w:val="es-ES_tradnl" w:eastAsia="es-ES"/>
        </w:rPr>
        <w:t>Factores, para el periodo 2017-2018</w:t>
      </w:r>
      <w:r w:rsidR="00461E71" w:rsidRPr="004C52B2">
        <w:rPr>
          <w:rFonts w:ascii="ITC Avant Garde" w:eastAsia="Times New Roman" w:hAnsi="ITC Avant Garde" w:cs="Arial"/>
          <w:bCs/>
          <w:lang w:val="es-ES_tradnl" w:eastAsia="es-ES"/>
        </w:rPr>
        <w:t xml:space="preserve">, a través del cálculo de las tasas de crecimiento de productividad tanto de Telmex como de la economía de México, así como </w:t>
      </w:r>
      <w:r w:rsidR="00275917">
        <w:rPr>
          <w:rFonts w:ascii="ITC Avant Garde" w:eastAsia="Times New Roman" w:hAnsi="ITC Avant Garde" w:cs="Arial"/>
          <w:bCs/>
          <w:lang w:val="es-ES_tradnl" w:eastAsia="es-ES"/>
        </w:rPr>
        <w:t xml:space="preserve">de </w:t>
      </w:r>
      <w:r w:rsidR="00461E71" w:rsidRPr="004C52B2">
        <w:rPr>
          <w:rFonts w:ascii="ITC Avant Garde" w:eastAsia="Times New Roman" w:hAnsi="ITC Avant Garde" w:cs="Arial"/>
          <w:bCs/>
          <w:lang w:val="es-ES_tradnl" w:eastAsia="es-ES"/>
        </w:rPr>
        <w:t xml:space="preserve">las tasas </w:t>
      </w:r>
      <w:r w:rsidR="0071669B" w:rsidRPr="004C52B2">
        <w:rPr>
          <w:rFonts w:ascii="ITC Avant Garde" w:eastAsia="Times New Roman" w:hAnsi="ITC Avant Garde" w:cs="Arial"/>
          <w:bCs/>
          <w:lang w:val="es-ES_tradnl" w:eastAsia="es-ES"/>
        </w:rPr>
        <w:t>de crecimiento de los insumos</w:t>
      </w:r>
      <w:r w:rsidR="002A00BA" w:rsidRPr="004C52B2">
        <w:rPr>
          <w:rFonts w:ascii="ITC Avant Garde" w:eastAsia="Times New Roman" w:hAnsi="ITC Avant Garde" w:cs="Arial"/>
          <w:bCs/>
          <w:lang w:val="es-ES_tradnl" w:eastAsia="es-ES"/>
        </w:rPr>
        <w:t>.</w:t>
      </w:r>
      <w:r w:rsidR="00303B3C" w:rsidRPr="004C52B2">
        <w:rPr>
          <w:rFonts w:ascii="ITC Avant Garde" w:eastAsia="Times New Roman" w:hAnsi="ITC Avant Garde" w:cs="Arial"/>
          <w:bCs/>
          <w:lang w:val="es-ES_tradnl" w:eastAsia="es-ES"/>
        </w:rPr>
        <w:t xml:space="preserve"> </w:t>
      </w:r>
      <w:r w:rsidR="002A00BA" w:rsidRPr="004C52B2">
        <w:rPr>
          <w:rFonts w:ascii="ITC Avant Garde" w:eastAsia="Times New Roman" w:hAnsi="ITC Avant Garde" w:cs="Arial"/>
          <w:bCs/>
          <w:lang w:val="es-ES_tradnl" w:eastAsia="es-ES"/>
        </w:rPr>
        <w:t>L</w:t>
      </w:r>
      <w:r w:rsidR="0071669B" w:rsidRPr="004C52B2">
        <w:rPr>
          <w:rFonts w:ascii="ITC Avant Garde" w:eastAsia="Times New Roman" w:hAnsi="ITC Avant Garde" w:cs="Arial"/>
          <w:bCs/>
          <w:lang w:val="es-ES_tradnl" w:eastAsia="es-ES"/>
        </w:rPr>
        <w:t>o anterior</w:t>
      </w:r>
      <w:r w:rsidR="00275917">
        <w:rPr>
          <w:rFonts w:ascii="ITC Avant Garde" w:eastAsia="Times New Roman" w:hAnsi="ITC Avant Garde" w:cs="Arial"/>
          <w:bCs/>
          <w:lang w:val="es-ES_tradnl" w:eastAsia="es-ES"/>
        </w:rPr>
        <w:t>,</w:t>
      </w:r>
      <w:r w:rsidR="0071669B" w:rsidRPr="004C52B2">
        <w:rPr>
          <w:rFonts w:ascii="ITC Avant Garde" w:eastAsia="Times New Roman" w:hAnsi="ITC Avant Garde" w:cs="Arial"/>
          <w:bCs/>
          <w:lang w:val="es-ES_tradnl" w:eastAsia="es-ES"/>
        </w:rPr>
        <w:t xml:space="preserve"> en virtud de que la tasa de crecimiento de productividad de una empresa, en un periodo determinado, puede definirse como la diferencia entre el crecimiento de la producción de los bienes y servicios de la empresa (</w:t>
      </w:r>
      <w:r w:rsidR="004527CA" w:rsidRPr="004C52B2">
        <w:rPr>
          <w:rFonts w:ascii="ITC Avant Garde" w:eastAsia="Times New Roman" w:hAnsi="ITC Avant Garde" w:cs="Arial"/>
          <w:bCs/>
          <w:lang w:val="es-ES_tradnl" w:eastAsia="es-ES"/>
        </w:rPr>
        <w:t>por su uso generalizado en el idioma ingl</w:t>
      </w:r>
      <w:r w:rsidR="009E4FAD" w:rsidRPr="004C52B2">
        <w:rPr>
          <w:rFonts w:ascii="ITC Avant Garde" w:eastAsia="Times New Roman" w:hAnsi="ITC Avant Garde" w:cs="Arial"/>
          <w:bCs/>
          <w:lang w:val="es-ES_tradnl" w:eastAsia="es-ES"/>
        </w:rPr>
        <w:t>é</w:t>
      </w:r>
      <w:r w:rsidR="004527CA" w:rsidRPr="004C52B2">
        <w:rPr>
          <w:rFonts w:ascii="ITC Avant Garde" w:eastAsia="Times New Roman" w:hAnsi="ITC Avant Garde" w:cs="Arial"/>
          <w:bCs/>
          <w:lang w:val="es-ES_tradnl" w:eastAsia="es-ES"/>
        </w:rPr>
        <w:t>s “</w:t>
      </w:r>
      <w:r w:rsidR="0071669B" w:rsidRPr="004C52B2">
        <w:rPr>
          <w:rFonts w:ascii="ITC Avant Garde" w:eastAsia="Times New Roman" w:hAnsi="ITC Avant Garde" w:cs="Arial"/>
          <w:bCs/>
          <w:i/>
          <w:iCs/>
          <w:lang w:val="es-ES_tradnl" w:eastAsia="es-ES"/>
        </w:rPr>
        <w:t>outputs</w:t>
      </w:r>
      <w:r w:rsidR="004527CA" w:rsidRPr="004C52B2">
        <w:rPr>
          <w:rFonts w:ascii="ITC Avant Garde" w:eastAsia="Times New Roman" w:hAnsi="ITC Avant Garde" w:cs="Arial"/>
          <w:bCs/>
          <w:i/>
          <w:iCs/>
          <w:lang w:val="es-ES_tradnl" w:eastAsia="es-ES"/>
        </w:rPr>
        <w:t>”</w:t>
      </w:r>
      <w:r w:rsidR="0071669B" w:rsidRPr="004C52B2">
        <w:rPr>
          <w:rFonts w:ascii="ITC Avant Garde" w:eastAsia="Times New Roman" w:hAnsi="ITC Avant Garde" w:cs="Arial"/>
          <w:bCs/>
          <w:lang w:val="es-ES_tradnl" w:eastAsia="es-ES"/>
        </w:rPr>
        <w:t>) y de sus insumos (</w:t>
      </w:r>
      <w:r w:rsidR="004527CA" w:rsidRPr="004C52B2">
        <w:rPr>
          <w:rFonts w:ascii="ITC Avant Garde" w:eastAsia="Times New Roman" w:hAnsi="ITC Avant Garde" w:cs="Arial"/>
          <w:bCs/>
          <w:lang w:val="es-ES_tradnl" w:eastAsia="es-ES"/>
        </w:rPr>
        <w:t>por su uso generalizado en el idioma ingl</w:t>
      </w:r>
      <w:r w:rsidR="00EA5F89" w:rsidRPr="004C52B2">
        <w:rPr>
          <w:rFonts w:ascii="ITC Avant Garde" w:eastAsia="Times New Roman" w:hAnsi="ITC Avant Garde" w:cs="Arial"/>
          <w:bCs/>
          <w:lang w:val="es-ES_tradnl" w:eastAsia="es-ES"/>
        </w:rPr>
        <w:t>é</w:t>
      </w:r>
      <w:r w:rsidR="004527CA" w:rsidRPr="004C52B2">
        <w:rPr>
          <w:rFonts w:ascii="ITC Avant Garde" w:eastAsia="Times New Roman" w:hAnsi="ITC Avant Garde" w:cs="Arial"/>
          <w:bCs/>
          <w:lang w:val="es-ES_tradnl" w:eastAsia="es-ES"/>
        </w:rPr>
        <w:t xml:space="preserve">s </w:t>
      </w:r>
      <w:r w:rsidR="009E4FAD" w:rsidRPr="004C52B2">
        <w:rPr>
          <w:rFonts w:ascii="ITC Avant Garde" w:eastAsia="Times New Roman" w:hAnsi="ITC Avant Garde" w:cs="Arial"/>
          <w:bCs/>
          <w:lang w:val="es-ES_tradnl" w:eastAsia="es-ES"/>
        </w:rPr>
        <w:t>“</w:t>
      </w:r>
      <w:r w:rsidR="0071669B" w:rsidRPr="004C52B2">
        <w:rPr>
          <w:rFonts w:ascii="ITC Avant Garde" w:eastAsia="Times New Roman" w:hAnsi="ITC Avant Garde" w:cs="Arial"/>
          <w:bCs/>
          <w:i/>
          <w:iCs/>
          <w:lang w:val="es-ES_tradnl" w:eastAsia="es-ES"/>
        </w:rPr>
        <w:t>inputs</w:t>
      </w:r>
      <w:r w:rsidR="009E4FAD" w:rsidRPr="004C52B2">
        <w:rPr>
          <w:rFonts w:ascii="ITC Avant Garde" w:eastAsia="Times New Roman" w:hAnsi="ITC Avant Garde" w:cs="Arial"/>
          <w:bCs/>
          <w:i/>
          <w:iCs/>
          <w:lang w:val="es-ES_tradnl" w:eastAsia="es-ES"/>
        </w:rPr>
        <w:t>”</w:t>
      </w:r>
      <w:r w:rsidR="0071669B" w:rsidRPr="004C52B2">
        <w:rPr>
          <w:rFonts w:ascii="ITC Avant Garde" w:eastAsia="Times New Roman" w:hAnsi="ITC Avant Garde" w:cs="Arial"/>
          <w:bCs/>
          <w:lang w:val="es-ES_tradnl" w:eastAsia="es-ES"/>
        </w:rPr>
        <w:t xml:space="preserve">). </w:t>
      </w:r>
    </w:p>
    <w:p w14:paraId="007AF899" w14:textId="77777777" w:rsidR="008369E9" w:rsidRDefault="0071669B" w:rsidP="008369E9">
      <w:pPr>
        <w:adjustRightInd w:val="0"/>
        <w:spacing w:before="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E</w:t>
      </w:r>
      <w:r w:rsidR="005E759B" w:rsidRPr="004C52B2">
        <w:rPr>
          <w:rFonts w:ascii="ITC Avant Garde" w:eastAsia="Times New Roman" w:hAnsi="ITC Avant Garde" w:cs="Arial"/>
          <w:bCs/>
          <w:lang w:val="es-ES_tradnl" w:eastAsia="es-ES"/>
        </w:rPr>
        <w:t xml:space="preserve">l cálculo del Factor de </w:t>
      </w:r>
      <w:r w:rsidR="008C36C1">
        <w:rPr>
          <w:rFonts w:ascii="ITC Avant Garde" w:eastAsia="Times New Roman" w:hAnsi="ITC Avant Garde" w:cs="Arial"/>
          <w:bCs/>
          <w:lang w:val="es-ES_tradnl" w:eastAsia="es-ES"/>
        </w:rPr>
        <w:t>P</w:t>
      </w:r>
      <w:r w:rsidR="005E759B" w:rsidRPr="004C52B2">
        <w:rPr>
          <w:rFonts w:ascii="ITC Avant Garde" w:eastAsia="Times New Roman" w:hAnsi="ITC Avant Garde" w:cs="Arial"/>
          <w:bCs/>
          <w:lang w:val="es-ES_tradnl" w:eastAsia="es-ES"/>
        </w:rPr>
        <w:t xml:space="preserve">roductividad </w:t>
      </w:r>
      <w:r w:rsidR="008C36C1">
        <w:rPr>
          <w:rFonts w:ascii="ITC Avant Garde" w:eastAsia="Times New Roman" w:hAnsi="ITC Avant Garde" w:cs="Arial"/>
          <w:bCs/>
          <w:lang w:val="es-ES_tradnl" w:eastAsia="es-ES"/>
        </w:rPr>
        <w:t xml:space="preserve">“X” </w:t>
      </w:r>
      <w:r w:rsidR="005E759B" w:rsidRPr="004C52B2">
        <w:rPr>
          <w:rFonts w:ascii="ITC Avant Garde" w:eastAsia="Times New Roman" w:hAnsi="ITC Avant Garde" w:cs="Arial"/>
          <w:bCs/>
          <w:lang w:val="es-ES_tradnl" w:eastAsia="es-ES"/>
        </w:rPr>
        <w:t>consideró la diferencia entre la tasa de crecimiento de la productividad de la empresa regulada y la tasa de crecimiento de productividad de la economía; y la diferencia entre la tasa de crecimiento de los precios de los insumos de la economía y la tasa de crecimiento de los precios de los insumos de la empresa, relacionados con la siguiente expresión.</w:t>
      </w:r>
    </w:p>
    <w:p w14:paraId="741AD425" w14:textId="77777777" w:rsidR="008369E9" w:rsidRDefault="005E759B" w:rsidP="005E759B">
      <w:pPr>
        <w:adjustRightInd w:val="0"/>
        <w:spacing w:after="0" w:line="240" w:lineRule="auto"/>
        <w:jc w:val="both"/>
        <w:rPr>
          <w:rFonts w:ascii="ITC Avant Garde" w:eastAsia="Times New Roman" w:hAnsi="ITC Avant Garde" w:cs="Arial"/>
          <w:bCs/>
          <w:lang w:val="es-ES_tradnl" w:eastAsia="es-ES"/>
        </w:rPr>
      </w:pPr>
      <m:oMathPara>
        <m:oMath>
          <m:r>
            <m:rPr>
              <m:sty m:val="p"/>
            </m:rPr>
            <w:rPr>
              <w:rFonts w:ascii="Cambria Math" w:eastAsia="Times New Roman" w:hAnsi="Cambria Math" w:cs="Arial"/>
              <w:lang w:val="es-ES_tradnl" w:eastAsia="es-ES"/>
            </w:rPr>
            <m:t xml:space="preserve">Factor X= </m:t>
          </m:r>
          <m:d>
            <m:dPr>
              <m:ctrlPr>
                <w:rPr>
                  <w:rFonts w:ascii="Cambria Math" w:eastAsia="Times New Roman" w:hAnsi="Cambria Math" w:cs="Arial"/>
                  <w:bCs/>
                  <w:lang w:val="es-ES_tradnl" w:eastAsia="es-ES"/>
                </w:rPr>
              </m:ctrlPr>
            </m:dPr>
            <m:e>
              <m:sSub>
                <m:sSubPr>
                  <m:ctrlPr>
                    <w:rPr>
                      <w:rFonts w:ascii="Cambria Math" w:eastAsia="Times New Roman" w:hAnsi="Cambria Math" w:cs="Arial"/>
                      <w:bCs/>
                      <w:lang w:val="es-ES_tradnl" w:eastAsia="es-ES"/>
                    </w:rPr>
                  </m:ctrlPr>
                </m:sSubPr>
                <m:e>
                  <m:r>
                    <m:rPr>
                      <m:sty m:val="p"/>
                    </m:rPr>
                    <w:rPr>
                      <w:rFonts w:ascii="Cambria Math" w:eastAsia="Times New Roman" w:hAnsi="Cambria Math" w:cs="Arial"/>
                      <w:lang w:val="es-ES_tradnl" w:eastAsia="es-ES"/>
                    </w:rPr>
                    <m:t>PTF</m:t>
                  </m:r>
                </m:e>
                <m:sub>
                  <m:r>
                    <m:rPr>
                      <m:sty m:val="p"/>
                    </m:rPr>
                    <w:rPr>
                      <w:rFonts w:ascii="Cambria Math" w:eastAsia="Times New Roman" w:hAnsi="Cambria Math" w:cs="Arial"/>
                      <w:lang w:val="es-ES_tradnl" w:eastAsia="es-ES"/>
                    </w:rPr>
                    <m:t>TELMEX</m:t>
                  </m:r>
                </m:sub>
              </m:sSub>
              <m:r>
                <m:rPr>
                  <m:sty m:val="p"/>
                </m:rPr>
                <w:rPr>
                  <w:rFonts w:ascii="Cambria Math" w:eastAsia="Times New Roman" w:hAnsi="Cambria Math" w:cs="Arial"/>
                  <w:lang w:val="es-ES_tradnl" w:eastAsia="es-ES"/>
                </w:rPr>
                <m:t>-</m:t>
              </m:r>
              <m:sSub>
                <m:sSubPr>
                  <m:ctrlPr>
                    <w:rPr>
                      <w:rFonts w:ascii="Cambria Math" w:eastAsia="Times New Roman" w:hAnsi="Cambria Math" w:cs="Arial"/>
                      <w:bCs/>
                      <w:lang w:val="es-ES_tradnl" w:eastAsia="es-ES"/>
                    </w:rPr>
                  </m:ctrlPr>
                </m:sSubPr>
                <m:e>
                  <m:r>
                    <m:rPr>
                      <m:sty m:val="p"/>
                    </m:rPr>
                    <w:rPr>
                      <w:rFonts w:ascii="Cambria Math" w:eastAsia="Times New Roman" w:hAnsi="Cambria Math" w:cs="Arial"/>
                      <w:lang w:val="es-ES_tradnl" w:eastAsia="es-ES"/>
                    </w:rPr>
                    <m:t>PTF</m:t>
                  </m:r>
                </m:e>
                <m:sub>
                  <m:r>
                    <m:rPr>
                      <m:sty m:val="p"/>
                    </m:rPr>
                    <w:rPr>
                      <w:rFonts w:ascii="Cambria Math" w:eastAsia="Times New Roman" w:hAnsi="Cambria Math" w:cs="Arial"/>
                      <w:lang w:val="es-ES_tradnl" w:eastAsia="es-ES"/>
                    </w:rPr>
                    <m:t>Economía</m:t>
                  </m:r>
                </m:sub>
              </m:sSub>
            </m:e>
          </m:d>
          <m:r>
            <m:rPr>
              <m:sty m:val="p"/>
            </m:rPr>
            <w:rPr>
              <w:rFonts w:ascii="Cambria Math" w:eastAsia="Times New Roman" w:hAnsi="Cambria Math" w:cs="Arial"/>
              <w:lang w:val="es-ES_tradnl" w:eastAsia="es-ES"/>
            </w:rPr>
            <m:t>+</m:t>
          </m:r>
          <m:d>
            <m:dPr>
              <m:ctrlPr>
                <w:rPr>
                  <w:rFonts w:ascii="Cambria Math" w:eastAsia="Times New Roman" w:hAnsi="Cambria Math" w:cs="Arial"/>
                  <w:bCs/>
                  <w:lang w:val="es-ES_tradnl" w:eastAsia="es-ES"/>
                </w:rPr>
              </m:ctrlPr>
            </m:dPr>
            <m:e>
              <m:sSub>
                <m:sSubPr>
                  <m:ctrlPr>
                    <w:rPr>
                      <w:rFonts w:ascii="Cambria Math" w:eastAsia="Times New Roman" w:hAnsi="Cambria Math" w:cs="Arial"/>
                      <w:bCs/>
                      <w:lang w:val="es-ES_tradnl" w:eastAsia="es-ES"/>
                    </w:rPr>
                  </m:ctrlPr>
                </m:sSubPr>
                <m:e>
                  <m:r>
                    <m:rPr>
                      <m:sty m:val="p"/>
                    </m:rPr>
                    <w:rPr>
                      <w:rFonts w:ascii="Cambria Math" w:eastAsia="Times New Roman" w:hAnsi="Cambria Math" w:cs="Arial"/>
                      <w:lang w:val="es-ES_tradnl" w:eastAsia="es-ES"/>
                    </w:rPr>
                    <m:t>dW</m:t>
                  </m:r>
                </m:e>
                <m:sub>
                  <m:r>
                    <m:rPr>
                      <m:sty m:val="p"/>
                    </m:rPr>
                    <w:rPr>
                      <w:rFonts w:ascii="Cambria Math" w:eastAsia="Times New Roman" w:hAnsi="Cambria Math" w:cs="Arial"/>
                      <w:lang w:val="es-ES_tradnl" w:eastAsia="es-ES"/>
                    </w:rPr>
                    <m:t>Economía</m:t>
                  </m:r>
                </m:sub>
              </m:sSub>
              <m:r>
                <m:rPr>
                  <m:sty m:val="p"/>
                </m:rPr>
                <w:rPr>
                  <w:rFonts w:ascii="Cambria Math" w:eastAsia="Times New Roman" w:hAnsi="Cambria Math" w:cs="Arial"/>
                  <w:lang w:val="es-ES_tradnl" w:eastAsia="es-ES"/>
                </w:rPr>
                <m:t>-</m:t>
              </m:r>
              <m:sSub>
                <m:sSubPr>
                  <m:ctrlPr>
                    <w:rPr>
                      <w:rFonts w:ascii="Cambria Math" w:eastAsia="Times New Roman" w:hAnsi="Cambria Math" w:cs="Arial"/>
                      <w:bCs/>
                      <w:lang w:val="es-ES_tradnl" w:eastAsia="es-ES"/>
                    </w:rPr>
                  </m:ctrlPr>
                </m:sSubPr>
                <m:e>
                  <m:r>
                    <m:rPr>
                      <m:sty m:val="p"/>
                    </m:rPr>
                    <w:rPr>
                      <w:rFonts w:ascii="Cambria Math" w:eastAsia="Times New Roman" w:hAnsi="Cambria Math" w:cs="Arial"/>
                      <w:lang w:val="es-ES_tradnl" w:eastAsia="es-ES"/>
                    </w:rPr>
                    <m:t>dW</m:t>
                  </m:r>
                </m:e>
                <m:sub>
                  <m:r>
                    <m:rPr>
                      <m:sty m:val="p"/>
                    </m:rPr>
                    <w:rPr>
                      <w:rFonts w:ascii="Cambria Math" w:eastAsia="Times New Roman" w:hAnsi="Cambria Math" w:cs="Arial"/>
                      <w:lang w:val="es-ES_tradnl" w:eastAsia="es-ES"/>
                    </w:rPr>
                    <m:t>TELMEX</m:t>
                  </m:r>
                </m:sub>
              </m:sSub>
            </m:e>
          </m:d>
        </m:oMath>
      </m:oMathPara>
    </w:p>
    <w:p w14:paraId="51655943" w14:textId="77777777" w:rsidR="008369E9" w:rsidRDefault="00B4542D" w:rsidP="008369E9">
      <w:pPr>
        <w:adjustRightInd w:val="0"/>
        <w:spacing w:before="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Donde:</w:t>
      </w:r>
      <w:r w:rsidR="005E759B" w:rsidRPr="004C52B2">
        <w:rPr>
          <w:rFonts w:ascii="ITC Avant Garde" w:eastAsia="Times New Roman" w:hAnsi="ITC Avant Garde" w:cs="Arial"/>
          <w:bCs/>
          <w:lang w:val="es-ES_tradnl" w:eastAsia="es-ES"/>
        </w:rPr>
        <w:t xml:space="preserve"> </w:t>
      </w:r>
    </w:p>
    <w:p w14:paraId="7D3EEBF4" w14:textId="77777777" w:rsidR="008369E9" w:rsidRDefault="006A4E00" w:rsidP="008369E9">
      <w:pPr>
        <w:adjustRightInd w:val="0"/>
        <w:spacing w:before="240" w:line="240" w:lineRule="auto"/>
        <w:jc w:val="both"/>
        <w:rPr>
          <w:rFonts w:ascii="ITC Avant Garde" w:eastAsia="Times New Roman" w:hAnsi="ITC Avant Garde" w:cs="Arial"/>
          <w:bCs/>
          <w:sz w:val="18"/>
          <w:szCs w:val="18"/>
          <w:lang w:val="es-ES_tradnl" w:eastAsia="es-ES"/>
        </w:rPr>
      </w:pPr>
      <m:oMath>
        <m:sSub>
          <m:sSubPr>
            <m:ctrlPr>
              <w:rPr>
                <w:rFonts w:ascii="Cambria Math" w:eastAsia="Times New Roman" w:hAnsi="Cambria Math" w:cs="Arial"/>
                <w:bCs/>
                <w:sz w:val="18"/>
                <w:szCs w:val="18"/>
                <w:lang w:val="es-ES_tradnl" w:eastAsia="es-ES"/>
              </w:rPr>
            </m:ctrlPr>
          </m:sSubPr>
          <m:e>
            <m:r>
              <m:rPr>
                <m:sty m:val="p"/>
              </m:rPr>
              <w:rPr>
                <w:rFonts w:ascii="Cambria Math" w:eastAsia="Times New Roman" w:hAnsi="Cambria Math" w:cs="Arial"/>
                <w:sz w:val="18"/>
                <w:szCs w:val="18"/>
                <w:lang w:val="es-ES_tradnl" w:eastAsia="es-ES"/>
              </w:rPr>
              <m:t>PTF</m:t>
            </m:r>
          </m:e>
          <m:sub>
            <m:r>
              <m:rPr>
                <m:sty m:val="p"/>
              </m:rPr>
              <w:rPr>
                <w:rFonts w:ascii="Cambria Math" w:eastAsia="Times New Roman" w:hAnsi="Cambria Math" w:cs="Arial"/>
                <w:sz w:val="18"/>
                <w:szCs w:val="18"/>
                <w:lang w:val="es-ES_tradnl" w:eastAsia="es-ES"/>
              </w:rPr>
              <m:t>TELMEX</m:t>
            </m:r>
          </m:sub>
        </m:sSub>
      </m:oMath>
      <w:r w:rsidR="00275917">
        <w:rPr>
          <w:rFonts w:ascii="ITC Avant Garde" w:eastAsia="Times New Roman" w:hAnsi="ITC Avant Garde" w:cs="Arial"/>
          <w:bCs/>
          <w:sz w:val="18"/>
          <w:szCs w:val="18"/>
          <w:lang w:val="es-ES_tradnl" w:eastAsia="es-ES"/>
        </w:rPr>
        <w:t xml:space="preserve"> </w:t>
      </w:r>
      <w:r w:rsidR="005E759B" w:rsidRPr="004C52B2">
        <w:rPr>
          <w:rFonts w:ascii="ITC Avant Garde" w:eastAsia="Times New Roman" w:hAnsi="ITC Avant Garde" w:cs="Arial"/>
          <w:bCs/>
          <w:sz w:val="18"/>
          <w:szCs w:val="18"/>
          <w:lang w:val="es-ES_tradnl" w:eastAsia="es-ES"/>
        </w:rPr>
        <w:t>= Tasa de crecimiento de la productividad de Telmex.</w:t>
      </w:r>
    </w:p>
    <w:p w14:paraId="75CA6AC5" w14:textId="77777777" w:rsidR="008369E9" w:rsidRDefault="006A4E00" w:rsidP="008369E9">
      <w:pPr>
        <w:adjustRightInd w:val="0"/>
        <w:spacing w:before="240" w:line="240" w:lineRule="auto"/>
        <w:jc w:val="both"/>
        <w:rPr>
          <w:rFonts w:ascii="ITC Avant Garde" w:eastAsia="Times New Roman" w:hAnsi="ITC Avant Garde" w:cs="Arial"/>
          <w:bCs/>
          <w:sz w:val="18"/>
          <w:szCs w:val="18"/>
          <w:lang w:val="es-ES_tradnl" w:eastAsia="es-ES"/>
        </w:rPr>
      </w:pPr>
      <m:oMath>
        <m:sSub>
          <m:sSubPr>
            <m:ctrlPr>
              <w:rPr>
                <w:rFonts w:ascii="Cambria Math" w:eastAsia="Times New Roman" w:hAnsi="Cambria Math" w:cs="Arial"/>
                <w:bCs/>
                <w:sz w:val="18"/>
                <w:szCs w:val="18"/>
                <w:lang w:val="es-ES_tradnl" w:eastAsia="es-ES"/>
              </w:rPr>
            </m:ctrlPr>
          </m:sSubPr>
          <m:e>
            <m:r>
              <m:rPr>
                <m:sty m:val="p"/>
              </m:rPr>
              <w:rPr>
                <w:rFonts w:ascii="Cambria Math" w:eastAsia="Times New Roman" w:hAnsi="Cambria Math" w:cs="Arial"/>
                <w:sz w:val="18"/>
                <w:szCs w:val="18"/>
                <w:lang w:val="es-ES_tradnl" w:eastAsia="es-ES"/>
              </w:rPr>
              <m:t>PTF</m:t>
            </m:r>
          </m:e>
          <m:sub>
            <m:r>
              <m:rPr>
                <m:sty m:val="p"/>
              </m:rPr>
              <w:rPr>
                <w:rFonts w:ascii="Cambria Math" w:eastAsia="Times New Roman" w:hAnsi="Cambria Math" w:cs="Arial"/>
                <w:sz w:val="18"/>
                <w:szCs w:val="18"/>
                <w:lang w:val="es-ES_tradnl" w:eastAsia="es-ES"/>
              </w:rPr>
              <m:t>Econom</m:t>
            </m:r>
            <m:r>
              <m:rPr>
                <m:sty m:val="p"/>
              </m:rPr>
              <w:rPr>
                <w:rFonts w:ascii="Cambria Math" w:eastAsia="Times New Roman" w:hAnsi="Cambria Math" w:cs="Arial" w:hint="eastAsia"/>
                <w:sz w:val="18"/>
                <w:szCs w:val="18"/>
                <w:lang w:val="es-ES_tradnl" w:eastAsia="es-ES"/>
              </w:rPr>
              <m:t>í</m:t>
            </m:r>
            <m:r>
              <m:rPr>
                <m:sty m:val="p"/>
              </m:rPr>
              <w:rPr>
                <w:rFonts w:ascii="Cambria Math" w:eastAsia="Times New Roman" w:hAnsi="Cambria Math" w:cs="Arial"/>
                <w:sz w:val="18"/>
                <w:szCs w:val="18"/>
                <w:lang w:val="es-ES_tradnl" w:eastAsia="es-ES"/>
              </w:rPr>
              <m:t>a</m:t>
            </m:r>
          </m:sub>
        </m:sSub>
      </m:oMath>
      <w:r w:rsidR="00275917">
        <w:rPr>
          <w:rFonts w:ascii="ITC Avant Garde" w:eastAsia="Times New Roman" w:hAnsi="ITC Avant Garde" w:cs="Arial"/>
          <w:bCs/>
          <w:sz w:val="18"/>
          <w:szCs w:val="18"/>
          <w:lang w:val="es-ES_tradnl" w:eastAsia="es-ES"/>
        </w:rPr>
        <w:t xml:space="preserve"> </w:t>
      </w:r>
      <w:r w:rsidR="005E759B" w:rsidRPr="004C52B2">
        <w:rPr>
          <w:rFonts w:ascii="ITC Avant Garde" w:eastAsia="Times New Roman" w:hAnsi="ITC Avant Garde" w:cs="Arial"/>
          <w:bCs/>
          <w:sz w:val="18"/>
          <w:szCs w:val="18"/>
          <w:lang w:val="es-ES_tradnl" w:eastAsia="es-ES"/>
        </w:rPr>
        <w:t>= Tasa de crecimiento de la productividad de la economía de México.</w:t>
      </w:r>
    </w:p>
    <w:p w14:paraId="47AD0ECD" w14:textId="77777777" w:rsidR="008369E9" w:rsidRDefault="006A4E00" w:rsidP="008369E9">
      <w:pPr>
        <w:adjustRightInd w:val="0"/>
        <w:spacing w:before="240" w:line="240" w:lineRule="auto"/>
        <w:jc w:val="both"/>
        <w:rPr>
          <w:rFonts w:ascii="ITC Avant Garde" w:eastAsia="Times New Roman" w:hAnsi="ITC Avant Garde" w:cs="Arial"/>
          <w:bCs/>
          <w:sz w:val="18"/>
          <w:szCs w:val="18"/>
          <w:lang w:val="es-ES_tradnl" w:eastAsia="es-ES"/>
        </w:rPr>
      </w:pPr>
      <m:oMath>
        <m:sSub>
          <m:sSubPr>
            <m:ctrlPr>
              <w:rPr>
                <w:rFonts w:ascii="Cambria Math" w:eastAsia="Times New Roman" w:hAnsi="Cambria Math" w:cs="Arial"/>
                <w:bCs/>
                <w:sz w:val="18"/>
                <w:szCs w:val="18"/>
                <w:lang w:val="es-ES_tradnl" w:eastAsia="es-ES"/>
              </w:rPr>
            </m:ctrlPr>
          </m:sSubPr>
          <m:e>
            <m:r>
              <m:rPr>
                <m:sty m:val="p"/>
              </m:rPr>
              <w:rPr>
                <w:rFonts w:ascii="Cambria Math" w:eastAsia="Times New Roman" w:hAnsi="Cambria Math" w:cs="Arial"/>
                <w:sz w:val="18"/>
                <w:szCs w:val="18"/>
                <w:lang w:val="es-ES_tradnl" w:eastAsia="es-ES"/>
              </w:rPr>
              <m:t>dW</m:t>
            </m:r>
          </m:e>
          <m:sub>
            <m:r>
              <m:rPr>
                <m:sty m:val="p"/>
              </m:rPr>
              <w:rPr>
                <w:rFonts w:ascii="Cambria Math" w:eastAsia="Times New Roman" w:hAnsi="Cambria Math" w:cs="Arial"/>
                <w:sz w:val="18"/>
                <w:szCs w:val="18"/>
                <w:lang w:val="es-ES_tradnl" w:eastAsia="es-ES"/>
              </w:rPr>
              <m:t>Econom</m:t>
            </m:r>
            <m:r>
              <m:rPr>
                <m:sty m:val="p"/>
              </m:rPr>
              <w:rPr>
                <w:rFonts w:ascii="Cambria Math" w:eastAsia="Times New Roman" w:hAnsi="Cambria Math" w:cs="Arial" w:hint="eastAsia"/>
                <w:sz w:val="18"/>
                <w:szCs w:val="18"/>
                <w:lang w:val="es-ES_tradnl" w:eastAsia="es-ES"/>
              </w:rPr>
              <m:t>í</m:t>
            </m:r>
            <m:r>
              <m:rPr>
                <m:sty m:val="p"/>
              </m:rPr>
              <w:rPr>
                <w:rFonts w:ascii="Cambria Math" w:eastAsia="Times New Roman" w:hAnsi="Cambria Math" w:cs="Arial"/>
                <w:sz w:val="18"/>
                <w:szCs w:val="18"/>
                <w:lang w:val="es-ES_tradnl" w:eastAsia="es-ES"/>
              </w:rPr>
              <m:t>a</m:t>
            </m:r>
          </m:sub>
        </m:sSub>
      </m:oMath>
      <w:r w:rsidR="00275917">
        <w:rPr>
          <w:rFonts w:ascii="ITC Avant Garde" w:eastAsia="Times New Roman" w:hAnsi="ITC Avant Garde" w:cs="Arial"/>
          <w:bCs/>
          <w:sz w:val="18"/>
          <w:szCs w:val="18"/>
          <w:lang w:val="es-ES_tradnl" w:eastAsia="es-ES"/>
        </w:rPr>
        <w:t xml:space="preserve"> </w:t>
      </w:r>
      <w:r w:rsidR="005E759B" w:rsidRPr="004C52B2">
        <w:rPr>
          <w:rFonts w:ascii="ITC Avant Garde" w:eastAsia="Times New Roman" w:hAnsi="ITC Avant Garde" w:cs="Arial"/>
          <w:bCs/>
          <w:sz w:val="18"/>
          <w:szCs w:val="18"/>
          <w:lang w:val="es-ES_tradnl" w:eastAsia="es-ES"/>
        </w:rPr>
        <w:t>=</w:t>
      </w:r>
      <w:r w:rsidR="00275917">
        <w:rPr>
          <w:rFonts w:ascii="ITC Avant Garde" w:eastAsia="Times New Roman" w:hAnsi="ITC Avant Garde" w:cs="Arial"/>
          <w:bCs/>
          <w:sz w:val="18"/>
          <w:szCs w:val="18"/>
          <w:lang w:val="es-ES_tradnl" w:eastAsia="es-ES"/>
        </w:rPr>
        <w:t xml:space="preserve"> </w:t>
      </w:r>
      <w:r w:rsidR="005E759B" w:rsidRPr="004C52B2">
        <w:rPr>
          <w:rFonts w:ascii="ITC Avant Garde" w:eastAsia="Times New Roman" w:hAnsi="ITC Avant Garde" w:cs="Arial"/>
          <w:bCs/>
          <w:sz w:val="18"/>
          <w:szCs w:val="18"/>
          <w:lang w:val="es-ES_tradnl" w:eastAsia="es-ES"/>
        </w:rPr>
        <w:t>Tasa de crecimiento del precio de los insumos de la economía de México.</w:t>
      </w:r>
    </w:p>
    <w:p w14:paraId="6E86CE74" w14:textId="77777777" w:rsidR="008369E9" w:rsidRDefault="006A4E00" w:rsidP="008369E9">
      <w:pPr>
        <w:adjustRightInd w:val="0"/>
        <w:spacing w:before="240" w:line="240" w:lineRule="auto"/>
        <w:jc w:val="both"/>
        <w:rPr>
          <w:rFonts w:ascii="ITC Avant Garde" w:eastAsia="Times New Roman" w:hAnsi="ITC Avant Garde" w:cs="Arial"/>
          <w:bCs/>
          <w:sz w:val="18"/>
          <w:szCs w:val="18"/>
          <w:lang w:val="es-ES_tradnl" w:eastAsia="es-ES"/>
        </w:rPr>
      </w:pPr>
      <m:oMath>
        <m:sSub>
          <m:sSubPr>
            <m:ctrlPr>
              <w:rPr>
                <w:rFonts w:ascii="Cambria Math" w:eastAsia="Times New Roman" w:hAnsi="Cambria Math" w:cs="Arial"/>
                <w:bCs/>
                <w:sz w:val="18"/>
                <w:szCs w:val="18"/>
                <w:lang w:val="es-ES_tradnl" w:eastAsia="es-ES"/>
              </w:rPr>
            </m:ctrlPr>
          </m:sSubPr>
          <m:e>
            <m:r>
              <m:rPr>
                <m:sty m:val="p"/>
              </m:rPr>
              <w:rPr>
                <w:rFonts w:ascii="Cambria Math" w:eastAsia="Times New Roman" w:hAnsi="Cambria Math" w:cs="Arial"/>
                <w:sz w:val="18"/>
                <w:szCs w:val="18"/>
                <w:lang w:val="es-ES_tradnl" w:eastAsia="es-ES"/>
              </w:rPr>
              <m:t>dW</m:t>
            </m:r>
          </m:e>
          <m:sub>
            <m:r>
              <m:rPr>
                <m:sty m:val="p"/>
              </m:rPr>
              <w:rPr>
                <w:rFonts w:ascii="Cambria Math" w:eastAsia="Times New Roman" w:hAnsi="Cambria Math" w:cs="Arial"/>
                <w:sz w:val="18"/>
                <w:szCs w:val="18"/>
                <w:lang w:val="es-ES_tradnl" w:eastAsia="es-ES"/>
              </w:rPr>
              <m:t>TELMEX</m:t>
            </m:r>
          </m:sub>
        </m:sSub>
      </m:oMath>
      <w:r w:rsidR="00275917">
        <w:rPr>
          <w:rFonts w:ascii="ITC Avant Garde" w:eastAsia="Times New Roman" w:hAnsi="ITC Avant Garde" w:cs="Arial"/>
          <w:bCs/>
          <w:sz w:val="18"/>
          <w:szCs w:val="18"/>
          <w:lang w:val="es-ES_tradnl" w:eastAsia="es-ES"/>
        </w:rPr>
        <w:t xml:space="preserve"> </w:t>
      </w:r>
      <w:r w:rsidR="005E759B" w:rsidRPr="004C52B2">
        <w:rPr>
          <w:rFonts w:ascii="ITC Avant Garde" w:eastAsia="Times New Roman" w:hAnsi="ITC Avant Garde" w:cs="Arial"/>
          <w:bCs/>
          <w:sz w:val="18"/>
          <w:szCs w:val="18"/>
          <w:lang w:val="es-ES_tradnl" w:eastAsia="es-ES"/>
        </w:rPr>
        <w:t>=</w:t>
      </w:r>
      <w:r w:rsidR="00275917">
        <w:rPr>
          <w:rFonts w:ascii="ITC Avant Garde" w:eastAsia="Times New Roman" w:hAnsi="ITC Avant Garde" w:cs="Arial"/>
          <w:bCs/>
          <w:sz w:val="18"/>
          <w:szCs w:val="18"/>
          <w:lang w:val="es-ES_tradnl" w:eastAsia="es-ES"/>
        </w:rPr>
        <w:t xml:space="preserve"> </w:t>
      </w:r>
      <w:r w:rsidR="005E759B" w:rsidRPr="004C52B2">
        <w:rPr>
          <w:rFonts w:ascii="ITC Avant Garde" w:eastAsia="Times New Roman" w:hAnsi="ITC Avant Garde" w:cs="Arial"/>
          <w:bCs/>
          <w:sz w:val="18"/>
          <w:szCs w:val="18"/>
          <w:lang w:val="es-ES_tradnl" w:eastAsia="es-ES"/>
        </w:rPr>
        <w:t>Tasa de crecimiento del precio de los insumos de Telmex.</w:t>
      </w:r>
    </w:p>
    <w:p w14:paraId="78441236" w14:textId="77777777" w:rsidR="008369E9" w:rsidRDefault="005E759B" w:rsidP="008369E9">
      <w:pPr>
        <w:adjustRightInd w:val="0"/>
        <w:spacing w:before="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Uno de los elementos incluidos en la metodología para el cálculo de</w:t>
      </w:r>
      <w:r w:rsidR="006A73D9" w:rsidRPr="004C52B2">
        <w:rPr>
          <w:rFonts w:ascii="ITC Avant Garde" w:eastAsia="Times New Roman" w:hAnsi="ITC Avant Garde" w:cs="Arial"/>
          <w:bCs/>
          <w:lang w:val="es-ES_tradnl" w:eastAsia="es-ES"/>
        </w:rPr>
        <w:t xml:space="preserve"> </w:t>
      </w:r>
      <w:r w:rsidRPr="004C52B2">
        <w:rPr>
          <w:rFonts w:ascii="ITC Avant Garde" w:eastAsia="Times New Roman" w:hAnsi="ITC Avant Garde" w:cs="Arial"/>
          <w:bCs/>
          <w:lang w:val="es-ES_tradnl" w:eastAsia="es-ES"/>
        </w:rPr>
        <w:t>l</w:t>
      </w:r>
      <w:r w:rsidR="006A73D9" w:rsidRPr="004C52B2">
        <w:rPr>
          <w:rFonts w:ascii="ITC Avant Garde" w:eastAsia="Times New Roman" w:hAnsi="ITC Avant Garde" w:cs="Arial"/>
          <w:bCs/>
          <w:lang w:val="es-ES_tradnl" w:eastAsia="es-ES"/>
        </w:rPr>
        <w:t>a</w:t>
      </w:r>
      <w:r w:rsidRPr="004C52B2">
        <w:rPr>
          <w:rFonts w:ascii="ITC Avant Garde" w:eastAsia="Times New Roman" w:hAnsi="ITC Avant Garde" w:cs="Arial"/>
          <w:bCs/>
          <w:lang w:val="es-ES_tradnl" w:eastAsia="es-ES"/>
        </w:rPr>
        <w:t xml:space="preserve"> PTF que permitió reflejar los cambios exógenos en el entorno macroeconómico</w:t>
      </w:r>
      <w:r w:rsidR="009E4FAD" w:rsidRPr="004C52B2">
        <w:rPr>
          <w:rFonts w:ascii="ITC Avant Garde" w:eastAsia="Times New Roman" w:hAnsi="ITC Avant Garde" w:cs="Arial"/>
          <w:bCs/>
          <w:lang w:val="es-ES_tradnl" w:eastAsia="es-ES"/>
        </w:rPr>
        <w:t xml:space="preserve"> fue la introducción de las tasas de crecimiento de la economía del país</w:t>
      </w:r>
      <w:r w:rsidRPr="004C52B2">
        <w:rPr>
          <w:rFonts w:ascii="ITC Avant Garde" w:eastAsia="Times New Roman" w:hAnsi="ITC Avant Garde" w:cs="Arial"/>
          <w:bCs/>
          <w:lang w:val="es-ES_tradnl" w:eastAsia="es-ES"/>
        </w:rPr>
        <w:t xml:space="preserve">. </w:t>
      </w:r>
    </w:p>
    <w:p w14:paraId="2FA2AAF9" w14:textId="77777777" w:rsidR="008369E9" w:rsidRDefault="009E4FAD" w:rsidP="008369E9">
      <w:pPr>
        <w:pStyle w:val="Sinespaciado"/>
        <w:spacing w:before="240" w:after="200"/>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 xml:space="preserve">Debido a que </w:t>
      </w:r>
      <w:r w:rsidR="0065312B" w:rsidRPr="004C52B2">
        <w:rPr>
          <w:rFonts w:ascii="ITC Avant Garde" w:eastAsia="Times New Roman" w:hAnsi="ITC Avant Garde" w:cs="Arial"/>
          <w:bCs/>
          <w:lang w:val="es-ES_tradnl" w:eastAsia="es-ES"/>
        </w:rPr>
        <w:t>Telmex</w:t>
      </w:r>
      <w:r w:rsidRPr="004C52B2">
        <w:rPr>
          <w:rFonts w:ascii="ITC Avant Garde" w:eastAsia="Times New Roman" w:hAnsi="ITC Avant Garde" w:cs="Arial"/>
          <w:bCs/>
          <w:lang w:val="es-ES_tradnl" w:eastAsia="es-ES"/>
        </w:rPr>
        <w:t xml:space="preserve"> </w:t>
      </w:r>
      <w:r w:rsidR="0065312B" w:rsidRPr="004C52B2">
        <w:rPr>
          <w:rFonts w:ascii="ITC Avant Garde" w:eastAsia="Times New Roman" w:hAnsi="ITC Avant Garde" w:cs="Arial"/>
          <w:bCs/>
          <w:lang w:val="es-ES_tradnl" w:eastAsia="es-ES"/>
        </w:rPr>
        <w:t>ofrece</w:t>
      </w:r>
      <w:r w:rsidRPr="004C52B2">
        <w:rPr>
          <w:rFonts w:ascii="ITC Avant Garde" w:eastAsia="Times New Roman" w:hAnsi="ITC Avant Garde" w:cs="Arial"/>
          <w:bCs/>
          <w:lang w:val="es-ES_tradnl" w:eastAsia="es-ES"/>
        </w:rPr>
        <w:t xml:space="preserve"> </w:t>
      </w:r>
      <w:r w:rsidR="005E759B" w:rsidRPr="004C52B2">
        <w:rPr>
          <w:rFonts w:ascii="ITC Avant Garde" w:eastAsia="Times New Roman" w:hAnsi="ITC Avant Garde" w:cs="Arial"/>
          <w:bCs/>
          <w:lang w:val="es-ES_tradnl" w:eastAsia="es-ES"/>
        </w:rPr>
        <w:t>múltiples productos se utilizó un índice de cantidad de los productos y un índice de</w:t>
      </w:r>
      <w:r w:rsidR="00AE5ADB" w:rsidRPr="004C52B2">
        <w:rPr>
          <w:rFonts w:ascii="ITC Avant Garde" w:eastAsia="Times New Roman" w:hAnsi="ITC Avant Garde" w:cs="Arial"/>
          <w:bCs/>
          <w:lang w:val="es-ES_tradnl" w:eastAsia="es-ES"/>
        </w:rPr>
        <w:t xml:space="preserve"> cantidad de insumos</w:t>
      </w:r>
      <w:r w:rsidR="0065312B" w:rsidRPr="004C52B2">
        <w:rPr>
          <w:rFonts w:ascii="ITC Avant Garde" w:eastAsia="Times New Roman" w:hAnsi="ITC Avant Garde" w:cs="Arial"/>
          <w:bCs/>
          <w:lang w:val="es-ES_tradnl" w:eastAsia="es-ES"/>
        </w:rPr>
        <w:t xml:space="preserve"> que permitiera integrar los diversos bienes y servicios</w:t>
      </w:r>
      <w:r w:rsidR="00AE5ADB" w:rsidRPr="004C52B2">
        <w:rPr>
          <w:rFonts w:ascii="ITC Avant Garde" w:eastAsia="Times New Roman" w:hAnsi="ITC Avant Garde" w:cs="Arial"/>
          <w:bCs/>
          <w:lang w:val="es-ES_tradnl" w:eastAsia="es-ES"/>
        </w:rPr>
        <w:t xml:space="preserve">. </w:t>
      </w:r>
      <w:r w:rsidR="0065312B" w:rsidRPr="004C52B2">
        <w:rPr>
          <w:rFonts w:ascii="ITC Avant Garde" w:eastAsia="Times New Roman" w:hAnsi="ITC Avant Garde" w:cs="Arial"/>
          <w:bCs/>
          <w:lang w:val="es-ES_tradnl" w:eastAsia="es-ES"/>
        </w:rPr>
        <w:t>Para ello s</w:t>
      </w:r>
      <w:r w:rsidR="00AE5ADB" w:rsidRPr="004C52B2">
        <w:rPr>
          <w:rFonts w:ascii="ITC Avant Garde" w:eastAsia="Times New Roman" w:hAnsi="ITC Avant Garde" w:cs="Arial"/>
          <w:bCs/>
          <w:lang w:val="es-ES_tradnl" w:eastAsia="es-ES"/>
        </w:rPr>
        <w:t xml:space="preserve">e </w:t>
      </w:r>
      <w:r w:rsidR="0065312B" w:rsidRPr="004C52B2">
        <w:rPr>
          <w:rFonts w:ascii="ITC Avant Garde" w:eastAsia="Times New Roman" w:hAnsi="ITC Avant Garde" w:cs="Arial"/>
          <w:bCs/>
          <w:lang w:val="es-ES_tradnl" w:eastAsia="es-ES"/>
        </w:rPr>
        <w:t xml:space="preserve">estimó </w:t>
      </w:r>
      <w:r w:rsidR="005E759B" w:rsidRPr="004C52B2">
        <w:rPr>
          <w:rFonts w:ascii="ITC Avant Garde" w:eastAsia="Times New Roman" w:hAnsi="ITC Avant Garde" w:cs="Arial"/>
          <w:bCs/>
          <w:lang w:val="es-ES_tradnl" w:eastAsia="es-ES"/>
        </w:rPr>
        <w:t xml:space="preserve">el índice de la suma ponderada de productos respecto de la suma ponderada de insumos </w:t>
      </w:r>
      <w:r w:rsidR="0065312B" w:rsidRPr="004C52B2">
        <w:rPr>
          <w:rFonts w:ascii="ITC Avant Garde" w:eastAsia="Times New Roman" w:hAnsi="ITC Avant Garde" w:cs="Arial"/>
          <w:bCs/>
          <w:lang w:val="es-ES_tradnl" w:eastAsia="es-ES"/>
        </w:rPr>
        <w:t xml:space="preserve">a fin de </w:t>
      </w:r>
      <w:r w:rsidR="005E759B" w:rsidRPr="004C52B2">
        <w:rPr>
          <w:rFonts w:ascii="ITC Avant Garde" w:eastAsia="Times New Roman" w:hAnsi="ITC Avant Garde" w:cs="Arial"/>
          <w:bCs/>
          <w:lang w:val="es-ES_tradnl" w:eastAsia="es-ES"/>
        </w:rPr>
        <w:t xml:space="preserve">calcular </w:t>
      </w:r>
      <w:r w:rsidR="006A73D9" w:rsidRPr="004C52B2">
        <w:rPr>
          <w:rFonts w:ascii="ITC Avant Garde" w:eastAsia="Times New Roman" w:hAnsi="ITC Avant Garde" w:cs="Arial"/>
          <w:bCs/>
          <w:lang w:val="es-ES_tradnl" w:eastAsia="es-ES"/>
        </w:rPr>
        <w:t>la</w:t>
      </w:r>
      <w:r w:rsidR="0065312B" w:rsidRPr="004C52B2">
        <w:rPr>
          <w:rFonts w:ascii="ITC Avant Garde" w:eastAsia="Times New Roman" w:hAnsi="ITC Avant Garde" w:cs="Arial"/>
          <w:bCs/>
          <w:lang w:val="es-ES_tradnl" w:eastAsia="es-ES"/>
        </w:rPr>
        <w:t>s tasas de crecimiento que definen la</w:t>
      </w:r>
      <w:r w:rsidR="006A73D9" w:rsidRPr="004C52B2">
        <w:rPr>
          <w:rFonts w:ascii="ITC Avant Garde" w:eastAsia="Times New Roman" w:hAnsi="ITC Avant Garde" w:cs="Arial"/>
          <w:bCs/>
          <w:lang w:val="es-ES_tradnl" w:eastAsia="es-ES"/>
        </w:rPr>
        <w:t xml:space="preserve"> </w:t>
      </w:r>
      <w:r w:rsidR="005E759B" w:rsidRPr="004C52B2">
        <w:rPr>
          <w:rFonts w:ascii="ITC Avant Garde" w:eastAsia="Times New Roman" w:hAnsi="ITC Avant Garde" w:cs="Arial"/>
          <w:bCs/>
          <w:lang w:val="es-ES_tradnl" w:eastAsia="es-ES"/>
        </w:rPr>
        <w:t>PTF. La</w:t>
      </w:r>
      <w:r w:rsidR="00AE5ADB" w:rsidRPr="004C52B2">
        <w:rPr>
          <w:rFonts w:ascii="ITC Avant Garde" w:eastAsia="Times New Roman" w:hAnsi="ITC Avant Garde" w:cs="Arial"/>
          <w:bCs/>
          <w:lang w:val="es-ES_tradnl" w:eastAsia="es-ES"/>
        </w:rPr>
        <w:t xml:space="preserve">s ponderaciones </w:t>
      </w:r>
      <w:r w:rsidR="0065312B" w:rsidRPr="004C52B2">
        <w:rPr>
          <w:rFonts w:ascii="ITC Avant Garde" w:eastAsia="Times New Roman" w:hAnsi="ITC Avant Garde" w:cs="Arial"/>
          <w:bCs/>
          <w:lang w:val="es-ES_tradnl" w:eastAsia="es-ES"/>
        </w:rPr>
        <w:t xml:space="preserve">se determinaron al calcular </w:t>
      </w:r>
      <w:r w:rsidR="005E759B" w:rsidRPr="004C52B2">
        <w:rPr>
          <w:rFonts w:ascii="ITC Avant Garde" w:eastAsia="Times New Roman" w:hAnsi="ITC Avant Garde" w:cs="Arial"/>
          <w:bCs/>
          <w:lang w:val="es-ES_tradnl" w:eastAsia="es-ES"/>
        </w:rPr>
        <w:t xml:space="preserve">la participación en los costos para los insumos y la participación en los ingresos para los productos. </w:t>
      </w:r>
    </w:p>
    <w:p w14:paraId="3EDBBE6B" w14:textId="77777777" w:rsidR="008369E9" w:rsidRDefault="005E759B" w:rsidP="008369E9">
      <w:pPr>
        <w:pStyle w:val="Sinespaciado"/>
        <w:spacing w:before="240" w:after="200"/>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 xml:space="preserve">A efecto de estimar las tasas de crecimiento de </w:t>
      </w:r>
      <w:r w:rsidR="005D3DC2" w:rsidRPr="004C52B2">
        <w:rPr>
          <w:rFonts w:ascii="ITC Avant Garde" w:eastAsia="Times New Roman" w:hAnsi="ITC Avant Garde" w:cs="Arial"/>
          <w:bCs/>
          <w:lang w:val="es-ES_tradnl" w:eastAsia="es-ES"/>
        </w:rPr>
        <w:t>la producción e insumos</w:t>
      </w:r>
      <w:r w:rsidRPr="004C52B2">
        <w:rPr>
          <w:rFonts w:ascii="ITC Avant Garde" w:eastAsia="Times New Roman" w:hAnsi="ITC Avant Garde" w:cs="Arial"/>
          <w:bCs/>
          <w:lang w:val="es-ES_tradnl" w:eastAsia="es-ES"/>
        </w:rPr>
        <w:t xml:space="preserve"> de Telmex, estos insumos se agregaron a través del </w:t>
      </w:r>
      <w:r w:rsidR="00BD70E8" w:rsidRPr="004C52B2">
        <w:rPr>
          <w:rFonts w:ascii="ITC Avant Garde" w:eastAsia="Times New Roman" w:hAnsi="ITC Avant Garde" w:cs="Arial"/>
          <w:bCs/>
          <w:lang w:val="es-ES_tradnl" w:eastAsia="es-ES"/>
        </w:rPr>
        <w:t>í</w:t>
      </w:r>
      <w:r w:rsidRPr="004C52B2">
        <w:rPr>
          <w:rFonts w:ascii="ITC Avant Garde" w:eastAsia="Times New Roman" w:hAnsi="ITC Avant Garde" w:cs="Arial"/>
          <w:bCs/>
          <w:lang w:val="es-ES_tradnl" w:eastAsia="es-ES"/>
        </w:rPr>
        <w:t>ndi</w:t>
      </w:r>
      <w:r w:rsidR="0071669B" w:rsidRPr="004C52B2">
        <w:rPr>
          <w:rFonts w:ascii="ITC Avant Garde" w:eastAsia="Times New Roman" w:hAnsi="ITC Avant Garde" w:cs="Arial"/>
          <w:bCs/>
          <w:lang w:val="es-ES_tradnl" w:eastAsia="es-ES"/>
        </w:rPr>
        <w:t>ce Ideal de Fisher, el cual se determinó</w:t>
      </w:r>
      <w:r w:rsidRPr="004C52B2">
        <w:rPr>
          <w:rFonts w:ascii="ITC Avant Garde" w:eastAsia="Times New Roman" w:hAnsi="ITC Avant Garde" w:cs="Arial"/>
          <w:bCs/>
          <w:lang w:val="es-ES_tradnl" w:eastAsia="es-ES"/>
        </w:rPr>
        <w:t xml:space="preserve"> </w:t>
      </w:r>
      <w:r w:rsidR="0071669B" w:rsidRPr="004C52B2">
        <w:rPr>
          <w:rFonts w:ascii="ITC Avant Garde" w:eastAsia="Times New Roman" w:hAnsi="ITC Avant Garde" w:cs="Arial"/>
          <w:bCs/>
          <w:lang w:val="es-ES_tradnl" w:eastAsia="es-ES"/>
        </w:rPr>
        <w:t>usando</w:t>
      </w:r>
      <w:r w:rsidRPr="004C52B2">
        <w:rPr>
          <w:rFonts w:ascii="ITC Avant Garde" w:eastAsia="Times New Roman" w:hAnsi="ITC Avant Garde" w:cs="Arial"/>
          <w:bCs/>
          <w:lang w:val="es-ES_tradnl" w:eastAsia="es-ES"/>
        </w:rPr>
        <w:t xml:space="preserve"> la media geométrica del </w:t>
      </w:r>
      <w:r w:rsidR="00BD70E8" w:rsidRPr="004C52B2">
        <w:rPr>
          <w:rFonts w:ascii="ITC Avant Garde" w:eastAsia="Times New Roman" w:hAnsi="ITC Avant Garde" w:cs="Arial"/>
          <w:bCs/>
          <w:lang w:val="es-ES_tradnl" w:eastAsia="es-ES"/>
        </w:rPr>
        <w:t>í</w:t>
      </w:r>
      <w:r w:rsidRPr="004C52B2">
        <w:rPr>
          <w:rFonts w:ascii="ITC Avant Garde" w:eastAsia="Times New Roman" w:hAnsi="ITC Avant Garde" w:cs="Arial"/>
          <w:bCs/>
          <w:lang w:val="es-ES_tradnl" w:eastAsia="es-ES"/>
        </w:rPr>
        <w:t xml:space="preserve">ndice de </w:t>
      </w:r>
      <w:proofErr w:type="spellStart"/>
      <w:r w:rsidRPr="004C52B2">
        <w:rPr>
          <w:rFonts w:ascii="ITC Avant Garde" w:eastAsia="Times New Roman" w:hAnsi="ITC Avant Garde" w:cs="Arial"/>
          <w:bCs/>
          <w:lang w:val="es-ES_tradnl" w:eastAsia="es-ES"/>
        </w:rPr>
        <w:t>Laspeyres</w:t>
      </w:r>
      <w:proofErr w:type="spellEnd"/>
      <w:r w:rsidRPr="004C52B2">
        <w:rPr>
          <w:rFonts w:ascii="ITC Avant Garde" w:eastAsia="Times New Roman" w:hAnsi="ITC Avant Garde" w:cs="Arial"/>
          <w:bCs/>
          <w:lang w:val="es-ES_tradnl" w:eastAsia="es-ES"/>
        </w:rPr>
        <w:t xml:space="preserve"> y el </w:t>
      </w:r>
      <w:r w:rsidR="00BD70E8" w:rsidRPr="004C52B2">
        <w:rPr>
          <w:rFonts w:ascii="ITC Avant Garde" w:eastAsia="Times New Roman" w:hAnsi="ITC Avant Garde" w:cs="Arial"/>
          <w:bCs/>
          <w:lang w:val="es-ES_tradnl" w:eastAsia="es-ES"/>
        </w:rPr>
        <w:t>í</w:t>
      </w:r>
      <w:r w:rsidRPr="004C52B2">
        <w:rPr>
          <w:rFonts w:ascii="ITC Avant Garde" w:eastAsia="Times New Roman" w:hAnsi="ITC Avant Garde" w:cs="Arial"/>
          <w:bCs/>
          <w:lang w:val="es-ES_tradnl" w:eastAsia="es-ES"/>
        </w:rPr>
        <w:t xml:space="preserve">ndice de </w:t>
      </w:r>
      <w:proofErr w:type="spellStart"/>
      <w:r w:rsidRPr="004C52B2">
        <w:rPr>
          <w:rFonts w:ascii="ITC Avant Garde" w:eastAsia="Times New Roman" w:hAnsi="ITC Avant Garde" w:cs="Arial"/>
          <w:bCs/>
          <w:lang w:val="es-ES_tradnl" w:eastAsia="es-ES"/>
        </w:rPr>
        <w:t>Paasche</w:t>
      </w:r>
      <w:proofErr w:type="spellEnd"/>
      <w:r w:rsidRPr="004C52B2">
        <w:rPr>
          <w:rFonts w:ascii="ITC Avant Garde" w:eastAsia="Times New Roman" w:hAnsi="ITC Avant Garde" w:cs="Arial"/>
          <w:bCs/>
          <w:lang w:val="es-ES_tradnl" w:eastAsia="es-ES"/>
        </w:rPr>
        <w:t xml:space="preserve">. </w:t>
      </w:r>
    </w:p>
    <w:p w14:paraId="1300E252" w14:textId="77777777" w:rsidR="008369E9" w:rsidRDefault="0071669B" w:rsidP="008369E9">
      <w:pPr>
        <w:pStyle w:val="Sinespaciado"/>
        <w:spacing w:before="240" w:after="200"/>
        <w:jc w:val="both"/>
        <w:rPr>
          <w:rFonts w:ascii="ITC Avant Garde" w:eastAsia="Times New Roman" w:hAnsi="ITC Avant Garde" w:cs="Arial"/>
          <w:bCs/>
          <w:lang w:val="es-ES_tradnl" w:eastAsia="es-ES"/>
        </w:rPr>
      </w:pPr>
      <w:r w:rsidRPr="004C52B2">
        <w:rPr>
          <w:rFonts w:ascii="ITC Avant Garde" w:hAnsi="ITC Avant Garde"/>
        </w:rPr>
        <w:t>En la</w:t>
      </w:r>
      <w:r w:rsidR="005E759B" w:rsidRPr="004C52B2">
        <w:rPr>
          <w:rFonts w:ascii="ITC Avant Garde" w:eastAsia="Times New Roman" w:hAnsi="ITC Avant Garde" w:cs="Arial"/>
          <w:bCs/>
          <w:lang w:val="es-ES_tradnl" w:eastAsia="es-ES"/>
        </w:rPr>
        <w:t xml:space="preserve"> </w:t>
      </w:r>
      <w:r w:rsidRPr="004C52B2">
        <w:rPr>
          <w:rFonts w:ascii="ITC Avant Garde" w:eastAsia="Times New Roman" w:hAnsi="ITC Avant Garde" w:cs="Arial"/>
          <w:bCs/>
          <w:lang w:val="es-ES_tradnl" w:eastAsia="es-ES"/>
        </w:rPr>
        <w:t>metodología empleada por Telmex</w:t>
      </w:r>
      <w:r w:rsidR="005E759B" w:rsidRPr="004C52B2">
        <w:rPr>
          <w:rFonts w:ascii="ITC Avant Garde" w:eastAsia="Times New Roman" w:hAnsi="ITC Avant Garde" w:cs="Arial"/>
          <w:bCs/>
          <w:lang w:val="es-ES_tradnl" w:eastAsia="es-ES"/>
        </w:rPr>
        <w:t xml:space="preserve">, el </w:t>
      </w:r>
      <w:r w:rsidR="00BD70E8" w:rsidRPr="004C52B2">
        <w:rPr>
          <w:rFonts w:ascii="ITC Avant Garde" w:eastAsia="Times New Roman" w:hAnsi="ITC Avant Garde" w:cs="Arial"/>
          <w:bCs/>
          <w:lang w:val="es-ES_tradnl" w:eastAsia="es-ES"/>
        </w:rPr>
        <w:t>í</w:t>
      </w:r>
      <w:r w:rsidR="005E759B" w:rsidRPr="004C52B2">
        <w:rPr>
          <w:rFonts w:ascii="ITC Avant Garde" w:eastAsia="Times New Roman" w:hAnsi="ITC Avant Garde" w:cs="Arial"/>
          <w:bCs/>
          <w:lang w:val="es-ES_tradnl" w:eastAsia="es-ES"/>
        </w:rPr>
        <w:t>ndice de Fisher</w:t>
      </w:r>
      <w:r w:rsidRPr="004C52B2">
        <w:rPr>
          <w:rFonts w:ascii="ITC Avant Garde" w:eastAsia="Times New Roman" w:hAnsi="ITC Avant Garde" w:cs="Arial"/>
          <w:bCs/>
          <w:lang w:val="es-ES_tradnl" w:eastAsia="es-ES"/>
        </w:rPr>
        <w:t xml:space="preserve"> se expresó</w:t>
      </w:r>
      <w:r w:rsidR="005E759B" w:rsidRPr="004C52B2">
        <w:rPr>
          <w:rFonts w:ascii="ITC Avant Garde" w:eastAsia="Times New Roman" w:hAnsi="ITC Avant Garde" w:cs="Arial"/>
          <w:bCs/>
          <w:lang w:val="es-ES_tradnl" w:eastAsia="es-ES"/>
        </w:rPr>
        <w:t xml:space="preserve"> en términos de la ponderación asignada a cada servicio</w:t>
      </w:r>
      <w:r w:rsidRPr="004C52B2">
        <w:rPr>
          <w:rFonts w:ascii="ITC Avant Garde" w:eastAsia="Times New Roman" w:hAnsi="ITC Avant Garde" w:cs="Arial"/>
          <w:bCs/>
          <w:lang w:val="es-ES_tradnl" w:eastAsia="es-ES"/>
        </w:rPr>
        <w:t>. Para el caso de la producción,</w:t>
      </w:r>
      <w:r w:rsidR="005E759B" w:rsidRPr="004C52B2">
        <w:rPr>
          <w:rFonts w:ascii="ITC Avant Garde" w:eastAsia="Times New Roman" w:hAnsi="ITC Avant Garde" w:cs="Arial"/>
          <w:bCs/>
          <w:lang w:val="es-ES_tradnl" w:eastAsia="es-ES"/>
        </w:rPr>
        <w:t xml:space="preserve"> </w:t>
      </w:r>
      <w:r w:rsidR="00A61B8E" w:rsidRPr="004C52B2">
        <w:rPr>
          <w:rFonts w:ascii="ITC Avant Garde" w:eastAsia="Times New Roman" w:hAnsi="ITC Avant Garde" w:cs="Arial"/>
          <w:bCs/>
          <w:lang w:val="es-ES_tradnl" w:eastAsia="es-ES"/>
        </w:rPr>
        <w:t xml:space="preserve">el índice </w:t>
      </w:r>
      <w:r w:rsidRPr="004C52B2">
        <w:rPr>
          <w:rFonts w:ascii="ITC Avant Garde" w:eastAsia="Times New Roman" w:hAnsi="ITC Avant Garde" w:cs="Arial"/>
          <w:bCs/>
          <w:lang w:val="es-ES_tradnl" w:eastAsia="es-ES"/>
        </w:rPr>
        <w:t>se determinó conforme a la siguiente fórmula:</w:t>
      </w:r>
    </w:p>
    <w:p w14:paraId="5D1E5104" w14:textId="77777777" w:rsidR="008369E9" w:rsidRDefault="006A4E00" w:rsidP="005E759B">
      <w:pPr>
        <w:adjustRightInd w:val="0"/>
        <w:spacing w:after="0" w:line="240" w:lineRule="auto"/>
        <w:jc w:val="both"/>
        <w:rPr>
          <w:rFonts w:ascii="ITC Avant Garde" w:eastAsia="Times New Roman" w:hAnsi="ITC Avant Garde" w:cs="Arial"/>
          <w:bCs/>
          <w:lang w:val="es-ES_tradnl" w:eastAsia="es-ES"/>
        </w:rPr>
      </w:pPr>
      <m:oMathPara>
        <m:oMath>
          <m:sSub>
            <m:sSubPr>
              <m:ctrlPr>
                <w:rPr>
                  <w:rFonts w:ascii="Cambria Math" w:eastAsia="Times New Roman" w:hAnsi="Cambria Math" w:cs="Arial"/>
                  <w:bCs/>
                  <w:i/>
                  <w:iCs/>
                  <w:lang w:val="es-ES_tradnl" w:eastAsia="es-ES"/>
                </w:rPr>
              </m:ctrlPr>
            </m:sSubPr>
            <m:e>
              <m:r>
                <w:rPr>
                  <w:rFonts w:ascii="Cambria Math" w:eastAsia="Times New Roman" w:hAnsi="Cambria Math" w:cs="Arial"/>
                  <w:lang w:val="es-ES_tradnl" w:eastAsia="es-ES"/>
                </w:rPr>
                <m:t>I</m:t>
              </m:r>
            </m:e>
            <m:sub>
              <m:r>
                <w:rPr>
                  <w:rFonts w:ascii="Cambria Math" w:eastAsia="Times New Roman" w:hAnsi="Cambria Math" w:cs="Arial"/>
                  <w:lang w:val="es-ES_tradnl" w:eastAsia="es-ES"/>
                </w:rPr>
                <m:t>0,1</m:t>
              </m:r>
            </m:sub>
          </m:sSub>
          <m:r>
            <w:rPr>
              <w:rFonts w:ascii="Cambria Math" w:eastAsia="Times New Roman" w:hAnsi="Cambria Math" w:cs="Arial"/>
              <w:lang w:val="es-ES_tradnl" w:eastAsia="es-ES"/>
            </w:rPr>
            <m:t xml:space="preserve">= </m:t>
          </m:r>
          <m:rad>
            <m:radPr>
              <m:degHide m:val="1"/>
              <m:ctrlPr>
                <w:rPr>
                  <w:rFonts w:ascii="Cambria Math" w:eastAsia="Times New Roman" w:hAnsi="Cambria Math" w:cs="Arial"/>
                  <w:bCs/>
                  <w:i/>
                  <w:iCs/>
                  <w:lang w:val="es-ES_tradnl" w:eastAsia="es-ES"/>
                </w:rPr>
              </m:ctrlPr>
            </m:radPr>
            <m:deg/>
            <m:e>
              <m:d>
                <m:dPr>
                  <m:ctrlPr>
                    <w:rPr>
                      <w:rFonts w:ascii="Cambria Math" w:eastAsia="Times New Roman" w:hAnsi="Cambria Math" w:cs="Arial"/>
                      <w:bCs/>
                      <w:i/>
                      <w:iCs/>
                      <w:lang w:val="es-ES_tradnl" w:eastAsia="es-ES"/>
                    </w:rPr>
                  </m:ctrlPr>
                </m:dPr>
                <m:e>
                  <m:nary>
                    <m:naryPr>
                      <m:chr m:val="∑"/>
                      <m:limLoc m:val="undOvr"/>
                      <m:ctrlPr>
                        <w:rPr>
                          <w:rFonts w:ascii="Cambria Math" w:eastAsia="Times New Roman" w:hAnsi="Cambria Math" w:cs="Arial"/>
                          <w:bCs/>
                          <w:i/>
                          <w:iCs/>
                          <w:lang w:val="es-ES_tradnl" w:eastAsia="es-ES"/>
                        </w:rPr>
                      </m:ctrlPr>
                    </m:naryPr>
                    <m:sub>
                      <m:r>
                        <w:rPr>
                          <w:rFonts w:ascii="Cambria Math" w:eastAsia="Times New Roman" w:hAnsi="Cambria Math" w:cs="Arial"/>
                          <w:lang w:val="es-ES_tradnl" w:eastAsia="es-ES"/>
                        </w:rPr>
                        <m:t>j=1</m:t>
                      </m:r>
                    </m:sub>
                    <m:sup>
                      <m:r>
                        <w:rPr>
                          <w:rFonts w:ascii="Cambria Math" w:eastAsia="Times New Roman" w:hAnsi="Cambria Math" w:cs="Arial"/>
                          <w:lang w:val="es-ES_tradnl" w:eastAsia="es-ES"/>
                        </w:rPr>
                        <m:t>n</m:t>
                      </m:r>
                    </m:sup>
                    <m:e>
                      <m:sSub>
                        <m:sSubPr>
                          <m:ctrlPr>
                            <w:rPr>
                              <w:rFonts w:ascii="Cambria Math" w:eastAsia="Times New Roman" w:hAnsi="Cambria Math" w:cs="Arial"/>
                              <w:bCs/>
                              <w:i/>
                              <w:iCs/>
                              <w:lang w:val="es-ES_tradnl" w:eastAsia="es-ES"/>
                            </w:rPr>
                          </m:ctrlPr>
                        </m:sSubPr>
                        <m:e>
                          <m:r>
                            <w:rPr>
                              <w:rFonts w:ascii="Cambria Math" w:eastAsia="Times New Roman" w:hAnsi="Cambria Math" w:cs="Arial"/>
                              <w:lang w:val="es-ES_tradnl" w:eastAsia="es-ES"/>
                            </w:rPr>
                            <m:t>w</m:t>
                          </m:r>
                        </m:e>
                        <m:sub>
                          <m:r>
                            <w:rPr>
                              <w:rFonts w:ascii="Cambria Math" w:eastAsia="Times New Roman" w:hAnsi="Cambria Math" w:cs="Arial"/>
                              <w:lang w:val="es-ES_tradnl" w:eastAsia="es-ES"/>
                            </w:rPr>
                            <m:t>0,j</m:t>
                          </m:r>
                        </m:sub>
                      </m:sSub>
                    </m:e>
                  </m:nary>
                  <m:f>
                    <m:fPr>
                      <m:ctrlPr>
                        <w:rPr>
                          <w:rFonts w:ascii="Cambria Math" w:eastAsia="Times New Roman" w:hAnsi="Cambria Math" w:cs="Arial"/>
                          <w:bCs/>
                          <w:i/>
                          <w:iCs/>
                          <w:lang w:val="es-ES_tradnl" w:eastAsia="es-ES"/>
                        </w:rPr>
                      </m:ctrlPr>
                    </m:fPr>
                    <m:num>
                      <m:sSub>
                        <m:sSubPr>
                          <m:ctrlPr>
                            <w:rPr>
                              <w:rFonts w:ascii="Cambria Math" w:eastAsia="Times New Roman" w:hAnsi="Cambria Math" w:cs="Arial"/>
                              <w:bCs/>
                              <w:i/>
                              <w:iCs/>
                              <w:lang w:val="es-ES_tradnl" w:eastAsia="es-ES"/>
                            </w:rPr>
                          </m:ctrlPr>
                        </m:sSubPr>
                        <m:e>
                          <m:r>
                            <w:rPr>
                              <w:rFonts w:ascii="Cambria Math" w:eastAsia="Times New Roman" w:hAnsi="Cambria Math" w:cs="Arial"/>
                              <w:lang w:val="es-ES_tradnl" w:eastAsia="es-ES"/>
                            </w:rPr>
                            <m:t>Q</m:t>
                          </m:r>
                        </m:e>
                        <m:sub>
                          <m:r>
                            <w:rPr>
                              <w:rFonts w:ascii="Cambria Math" w:eastAsia="Times New Roman" w:hAnsi="Cambria Math" w:cs="Arial"/>
                              <w:lang w:val="es-ES_tradnl" w:eastAsia="es-ES"/>
                            </w:rPr>
                            <m:t>1,j</m:t>
                          </m:r>
                        </m:sub>
                      </m:sSub>
                    </m:num>
                    <m:den>
                      <m:sSub>
                        <m:sSubPr>
                          <m:ctrlPr>
                            <w:rPr>
                              <w:rFonts w:ascii="Cambria Math" w:eastAsia="Times New Roman" w:hAnsi="Cambria Math" w:cs="Arial"/>
                              <w:bCs/>
                              <w:i/>
                              <w:iCs/>
                              <w:lang w:val="es-ES_tradnl" w:eastAsia="es-ES"/>
                            </w:rPr>
                          </m:ctrlPr>
                        </m:sSubPr>
                        <m:e>
                          <m:r>
                            <w:rPr>
                              <w:rFonts w:ascii="Cambria Math" w:eastAsia="Times New Roman" w:hAnsi="Cambria Math" w:cs="Arial"/>
                              <w:lang w:val="es-ES_tradnl" w:eastAsia="es-ES"/>
                            </w:rPr>
                            <m:t>Q</m:t>
                          </m:r>
                        </m:e>
                        <m:sub>
                          <m:r>
                            <w:rPr>
                              <w:rFonts w:ascii="Cambria Math" w:eastAsia="Times New Roman" w:hAnsi="Cambria Math" w:cs="Arial"/>
                              <w:lang w:val="es-ES_tradnl" w:eastAsia="es-ES"/>
                            </w:rPr>
                            <m:t>0,j</m:t>
                          </m:r>
                        </m:sub>
                      </m:sSub>
                    </m:den>
                  </m:f>
                </m:e>
              </m:d>
              <m:r>
                <w:rPr>
                  <w:rFonts w:ascii="Cambria Math" w:eastAsia="Times New Roman" w:hAnsi="Cambria Math" w:cs="Arial"/>
                  <w:lang w:val="es-ES_tradnl" w:eastAsia="es-ES"/>
                </w:rPr>
                <m:t>×</m:t>
              </m:r>
              <m:d>
                <m:dPr>
                  <m:ctrlPr>
                    <w:rPr>
                      <w:rFonts w:ascii="Cambria Math" w:eastAsia="Times New Roman" w:hAnsi="Cambria Math" w:cs="Arial"/>
                      <w:bCs/>
                      <w:i/>
                      <w:iCs/>
                      <w:lang w:val="es-ES_tradnl" w:eastAsia="es-ES"/>
                    </w:rPr>
                  </m:ctrlPr>
                </m:dPr>
                <m:e>
                  <m:f>
                    <m:fPr>
                      <m:ctrlPr>
                        <w:rPr>
                          <w:rFonts w:ascii="Cambria Math" w:eastAsia="Times New Roman" w:hAnsi="Cambria Math" w:cs="Arial"/>
                          <w:bCs/>
                          <w:i/>
                          <w:iCs/>
                          <w:lang w:val="es-ES_tradnl" w:eastAsia="es-ES"/>
                        </w:rPr>
                      </m:ctrlPr>
                    </m:fPr>
                    <m:num>
                      <m:r>
                        <w:rPr>
                          <w:rFonts w:ascii="Cambria Math" w:eastAsia="Times New Roman" w:hAnsi="Cambria Math" w:cs="Arial"/>
                          <w:lang w:val="es-ES_tradnl" w:eastAsia="es-ES"/>
                        </w:rPr>
                        <m:t>1</m:t>
                      </m:r>
                    </m:num>
                    <m:den>
                      <m:nary>
                        <m:naryPr>
                          <m:chr m:val="∑"/>
                          <m:limLoc m:val="undOvr"/>
                          <m:ctrlPr>
                            <w:rPr>
                              <w:rFonts w:ascii="Cambria Math" w:eastAsia="Times New Roman" w:hAnsi="Cambria Math" w:cs="Arial"/>
                              <w:bCs/>
                              <w:i/>
                              <w:iCs/>
                              <w:lang w:val="es-ES_tradnl" w:eastAsia="es-ES"/>
                            </w:rPr>
                          </m:ctrlPr>
                        </m:naryPr>
                        <m:sub>
                          <m:r>
                            <w:rPr>
                              <w:rFonts w:ascii="Cambria Math" w:eastAsia="Times New Roman" w:hAnsi="Cambria Math" w:cs="Arial"/>
                              <w:lang w:val="es-ES_tradnl" w:eastAsia="es-ES"/>
                            </w:rPr>
                            <m:t>j=1</m:t>
                          </m:r>
                        </m:sub>
                        <m:sup>
                          <m:r>
                            <w:rPr>
                              <w:rFonts w:ascii="Cambria Math" w:eastAsia="Times New Roman" w:hAnsi="Cambria Math" w:cs="Arial"/>
                              <w:lang w:val="es-ES_tradnl" w:eastAsia="es-ES"/>
                            </w:rPr>
                            <m:t>n</m:t>
                          </m:r>
                        </m:sup>
                        <m:e>
                          <m:sSub>
                            <m:sSubPr>
                              <m:ctrlPr>
                                <w:rPr>
                                  <w:rFonts w:ascii="Cambria Math" w:eastAsia="Times New Roman" w:hAnsi="Cambria Math" w:cs="Arial"/>
                                  <w:bCs/>
                                  <w:i/>
                                  <w:iCs/>
                                  <w:lang w:val="es-ES_tradnl" w:eastAsia="es-ES"/>
                                </w:rPr>
                              </m:ctrlPr>
                            </m:sSubPr>
                            <m:e>
                              <m:r>
                                <w:rPr>
                                  <w:rFonts w:ascii="Cambria Math" w:eastAsia="Times New Roman" w:hAnsi="Cambria Math" w:cs="Arial"/>
                                  <w:lang w:val="es-ES_tradnl" w:eastAsia="es-ES"/>
                                </w:rPr>
                                <m:t>w</m:t>
                              </m:r>
                            </m:e>
                            <m:sub>
                              <m:r>
                                <w:rPr>
                                  <w:rFonts w:ascii="Cambria Math" w:eastAsia="Times New Roman" w:hAnsi="Cambria Math" w:cs="Arial"/>
                                  <w:lang w:val="es-ES_tradnl" w:eastAsia="es-ES"/>
                                </w:rPr>
                                <m:t>1,j</m:t>
                              </m:r>
                            </m:sub>
                          </m:sSub>
                        </m:e>
                      </m:nary>
                      <m:f>
                        <m:fPr>
                          <m:ctrlPr>
                            <w:rPr>
                              <w:rFonts w:ascii="Cambria Math" w:eastAsia="Times New Roman" w:hAnsi="Cambria Math" w:cs="Arial"/>
                              <w:bCs/>
                              <w:i/>
                              <w:iCs/>
                              <w:lang w:val="es-ES_tradnl" w:eastAsia="es-ES"/>
                            </w:rPr>
                          </m:ctrlPr>
                        </m:fPr>
                        <m:num>
                          <m:sSub>
                            <m:sSubPr>
                              <m:ctrlPr>
                                <w:rPr>
                                  <w:rFonts w:ascii="Cambria Math" w:eastAsia="Times New Roman" w:hAnsi="Cambria Math" w:cs="Arial"/>
                                  <w:bCs/>
                                  <w:i/>
                                  <w:iCs/>
                                  <w:lang w:val="es-ES_tradnl" w:eastAsia="es-ES"/>
                                </w:rPr>
                              </m:ctrlPr>
                            </m:sSubPr>
                            <m:e>
                              <m:r>
                                <w:rPr>
                                  <w:rFonts w:ascii="Cambria Math" w:eastAsia="Times New Roman" w:hAnsi="Cambria Math" w:cs="Arial"/>
                                  <w:lang w:val="es-ES_tradnl" w:eastAsia="es-ES"/>
                                </w:rPr>
                                <m:t>Q</m:t>
                              </m:r>
                            </m:e>
                            <m:sub>
                              <m:r>
                                <w:rPr>
                                  <w:rFonts w:ascii="Cambria Math" w:eastAsia="Times New Roman" w:hAnsi="Cambria Math" w:cs="Arial"/>
                                  <w:lang w:val="es-ES_tradnl" w:eastAsia="es-ES"/>
                                </w:rPr>
                                <m:t>0,j</m:t>
                              </m:r>
                            </m:sub>
                          </m:sSub>
                        </m:num>
                        <m:den>
                          <m:sSub>
                            <m:sSubPr>
                              <m:ctrlPr>
                                <w:rPr>
                                  <w:rFonts w:ascii="Cambria Math" w:eastAsia="Times New Roman" w:hAnsi="Cambria Math" w:cs="Arial"/>
                                  <w:bCs/>
                                  <w:i/>
                                  <w:iCs/>
                                  <w:lang w:val="es-ES_tradnl" w:eastAsia="es-ES"/>
                                </w:rPr>
                              </m:ctrlPr>
                            </m:sSubPr>
                            <m:e>
                              <m:r>
                                <w:rPr>
                                  <w:rFonts w:ascii="Cambria Math" w:eastAsia="Times New Roman" w:hAnsi="Cambria Math" w:cs="Arial"/>
                                  <w:lang w:val="es-ES_tradnl" w:eastAsia="es-ES"/>
                                </w:rPr>
                                <m:t>Q</m:t>
                              </m:r>
                            </m:e>
                            <m:sub>
                              <m:r>
                                <w:rPr>
                                  <w:rFonts w:ascii="Cambria Math" w:eastAsia="Times New Roman" w:hAnsi="Cambria Math" w:cs="Arial"/>
                                  <w:lang w:val="es-ES_tradnl" w:eastAsia="es-ES"/>
                                </w:rPr>
                                <m:t>1,j</m:t>
                              </m:r>
                            </m:sub>
                          </m:sSub>
                        </m:den>
                      </m:f>
                    </m:den>
                  </m:f>
                </m:e>
              </m:d>
            </m:e>
          </m:rad>
        </m:oMath>
      </m:oMathPara>
    </w:p>
    <w:p w14:paraId="5C79457A" w14:textId="77777777" w:rsidR="008369E9" w:rsidRDefault="005E759B" w:rsidP="008369E9">
      <w:pPr>
        <w:pStyle w:val="Sinespaciado"/>
        <w:spacing w:before="240" w:after="200"/>
        <w:jc w:val="both"/>
        <w:rPr>
          <w:rFonts w:ascii="ITC Avant Garde" w:eastAsiaTheme="minorEastAsia" w:hAnsi="ITC Avant Garde"/>
        </w:rPr>
      </w:pPr>
      <w:r w:rsidRPr="004C52B2">
        <w:rPr>
          <w:rFonts w:ascii="ITC Avant Garde" w:eastAsia="Times New Roman" w:hAnsi="ITC Avant Garde" w:cs="Arial"/>
          <w:bCs/>
          <w:lang w:val="es-ES_tradnl" w:eastAsia="es-ES"/>
        </w:rPr>
        <w:t>Donde</w:t>
      </w:r>
      <w:r w:rsidRPr="004C52B2">
        <w:rPr>
          <w:rFonts w:ascii="ITC Avant Garde" w:eastAsiaTheme="minorEastAsia" w:hAnsi="ITC Avant Garde"/>
        </w:rPr>
        <w:t>:</w:t>
      </w:r>
    </w:p>
    <w:p w14:paraId="071BCA7B" w14:textId="6F16E5C2" w:rsidR="005575C1" w:rsidRPr="004C52B2" w:rsidRDefault="006A4E00" w:rsidP="008369E9">
      <w:pPr>
        <w:pStyle w:val="Sinespaciado"/>
        <w:spacing w:before="240" w:after="200"/>
        <w:jc w:val="both"/>
        <w:rPr>
          <w:rFonts w:ascii="ITC Avant Garde" w:eastAsiaTheme="minorEastAsia" w:hAnsi="ITC Avant Garde"/>
          <w:bCs/>
          <w:iCs/>
          <w:sz w:val="18"/>
          <w:szCs w:val="18"/>
          <w:lang w:val="es-ES_tradnl" w:eastAsia="es-ES"/>
        </w:rPr>
      </w:pPr>
      <m:oMath>
        <m:sSub>
          <m:sSubPr>
            <m:ctrlPr>
              <w:rPr>
                <w:rFonts w:ascii="Cambria Math" w:eastAsia="Times New Roman" w:hAnsi="Cambria Math" w:cs="Arial"/>
                <w:bCs/>
                <w:i/>
                <w:iCs/>
                <w:sz w:val="18"/>
                <w:szCs w:val="18"/>
                <w:lang w:val="es-ES_tradnl" w:eastAsia="es-ES"/>
              </w:rPr>
            </m:ctrlPr>
          </m:sSubPr>
          <m:e>
            <m:r>
              <w:rPr>
                <w:rFonts w:ascii="Cambria Math" w:eastAsia="Times New Roman" w:hAnsi="Cambria Math" w:cs="Arial"/>
                <w:sz w:val="18"/>
                <w:szCs w:val="18"/>
                <w:lang w:val="es-ES_tradnl" w:eastAsia="es-ES"/>
              </w:rPr>
              <m:t>I</m:t>
            </m:r>
          </m:e>
          <m:sub>
            <m:r>
              <w:rPr>
                <w:rFonts w:ascii="Cambria Math" w:eastAsia="Times New Roman" w:hAnsi="Cambria Math" w:cs="Arial"/>
                <w:sz w:val="18"/>
                <w:szCs w:val="18"/>
                <w:lang w:val="es-ES_tradnl" w:eastAsia="es-ES"/>
              </w:rPr>
              <m:t>0,1</m:t>
            </m:r>
          </m:sub>
        </m:sSub>
      </m:oMath>
      <w:r w:rsidR="000C4B36" w:rsidRPr="004C52B2">
        <w:rPr>
          <w:rFonts w:ascii="ITC Avant Garde" w:eastAsiaTheme="minorEastAsia" w:hAnsi="ITC Avant Garde"/>
          <w:bCs/>
          <w:iCs/>
          <w:sz w:val="18"/>
          <w:szCs w:val="18"/>
          <w:lang w:val="es-ES_tradnl" w:eastAsia="es-ES"/>
        </w:rPr>
        <w:t xml:space="preserve"> es el índice i</w:t>
      </w:r>
      <w:r w:rsidR="005575C1" w:rsidRPr="004C52B2">
        <w:rPr>
          <w:rFonts w:ascii="ITC Avant Garde" w:eastAsiaTheme="minorEastAsia" w:hAnsi="ITC Avant Garde"/>
          <w:bCs/>
          <w:iCs/>
          <w:sz w:val="18"/>
          <w:szCs w:val="18"/>
          <w:lang w:val="es-ES_tradnl" w:eastAsia="es-ES"/>
        </w:rPr>
        <w:t xml:space="preserve">deal de Fisher de las cantidades en un periodo de análisis </w:t>
      </w:r>
      <m:oMath>
        <m:r>
          <w:rPr>
            <w:rFonts w:ascii="Cambria Math" w:eastAsia="Times New Roman" w:hAnsi="Cambria Math" w:cs="Arial"/>
            <w:sz w:val="18"/>
            <w:szCs w:val="18"/>
            <w:lang w:val="es-ES_tradnl" w:eastAsia="es-ES"/>
          </w:rPr>
          <m:t>t</m:t>
        </m:r>
      </m:oMath>
      <w:r w:rsidR="005575C1" w:rsidRPr="004C52B2">
        <w:rPr>
          <w:rFonts w:ascii="ITC Avant Garde" w:eastAsiaTheme="minorEastAsia" w:hAnsi="ITC Avant Garde"/>
          <w:bCs/>
          <w:iCs/>
          <w:sz w:val="18"/>
          <w:szCs w:val="18"/>
          <w:lang w:val="es-ES_tradnl" w:eastAsia="es-ES"/>
        </w:rPr>
        <w:t xml:space="preserve"> =</w:t>
      </w:r>
      <w:r w:rsidR="008A2619">
        <w:rPr>
          <w:rFonts w:ascii="ITC Avant Garde" w:eastAsiaTheme="minorEastAsia" w:hAnsi="ITC Avant Garde"/>
          <w:bCs/>
          <w:iCs/>
          <w:sz w:val="18"/>
          <w:szCs w:val="18"/>
          <w:lang w:val="es-ES_tradnl" w:eastAsia="es-ES"/>
        </w:rPr>
        <w:t xml:space="preserve"> </w:t>
      </w:r>
      <w:r w:rsidR="005575C1" w:rsidRPr="004C52B2">
        <w:rPr>
          <w:rFonts w:ascii="ITC Avant Garde" w:eastAsiaTheme="minorEastAsia" w:hAnsi="ITC Avant Garde"/>
          <w:bCs/>
          <w:iCs/>
          <w:sz w:val="18"/>
          <w:szCs w:val="18"/>
          <w:lang w:val="es-ES_tradnl" w:eastAsia="es-ES"/>
        </w:rPr>
        <w:t>0,1.</w:t>
      </w:r>
    </w:p>
    <w:p w14:paraId="5033873B" w14:textId="6D08A567" w:rsidR="005E759B" w:rsidRPr="004C52B2" w:rsidRDefault="006A4E00" w:rsidP="008369E9">
      <w:pPr>
        <w:pStyle w:val="Sinespaciado"/>
        <w:spacing w:before="240" w:after="200"/>
        <w:jc w:val="both"/>
        <w:rPr>
          <w:rFonts w:ascii="ITC Avant Garde" w:eastAsiaTheme="minorEastAsia" w:hAnsi="ITC Avant Garde"/>
          <w:bCs/>
          <w:iCs/>
          <w:sz w:val="18"/>
          <w:szCs w:val="18"/>
          <w:lang w:val="es-ES_tradnl" w:eastAsia="es-ES"/>
        </w:rPr>
      </w:pPr>
      <m:oMath>
        <m:sSub>
          <m:sSubPr>
            <m:ctrlPr>
              <w:rPr>
                <w:rFonts w:ascii="Cambria Math" w:eastAsia="Times New Roman" w:hAnsi="Cambria Math" w:cs="Arial"/>
                <w:bCs/>
                <w:i/>
                <w:iCs/>
                <w:sz w:val="18"/>
                <w:szCs w:val="18"/>
                <w:lang w:val="es-ES_tradnl" w:eastAsia="es-ES"/>
              </w:rPr>
            </m:ctrlPr>
          </m:sSubPr>
          <m:e>
            <m:r>
              <w:rPr>
                <w:rFonts w:ascii="Cambria Math" w:eastAsia="Times New Roman" w:hAnsi="Cambria Math" w:cs="Arial"/>
                <w:sz w:val="18"/>
                <w:szCs w:val="18"/>
                <w:lang w:val="es-ES_tradnl" w:eastAsia="es-ES"/>
              </w:rPr>
              <m:t>w</m:t>
            </m:r>
          </m:e>
          <m:sub>
            <m:r>
              <w:rPr>
                <w:rFonts w:ascii="Cambria Math" w:eastAsia="Times New Roman" w:hAnsi="Cambria Math" w:cs="Arial"/>
                <w:sz w:val="18"/>
                <w:szCs w:val="18"/>
                <w:lang w:val="es-ES_tradnl" w:eastAsia="es-ES"/>
              </w:rPr>
              <m:t>t,j</m:t>
            </m:r>
          </m:sub>
        </m:sSub>
      </m:oMath>
      <w:r w:rsidR="005E759B" w:rsidRPr="004C52B2">
        <w:rPr>
          <w:rFonts w:ascii="ITC Avant Garde" w:eastAsiaTheme="minorEastAsia" w:hAnsi="ITC Avant Garde"/>
          <w:bCs/>
          <w:iCs/>
          <w:sz w:val="18"/>
          <w:szCs w:val="18"/>
          <w:lang w:val="es-ES_tradnl" w:eastAsia="es-ES"/>
        </w:rPr>
        <w:t xml:space="preserve"> es la ponderación </w:t>
      </w:r>
      <w:r w:rsidR="00DE1E19">
        <w:rPr>
          <w:rFonts w:ascii="ITC Avant Garde" w:eastAsiaTheme="minorEastAsia" w:hAnsi="ITC Avant Garde"/>
          <w:bCs/>
          <w:iCs/>
          <w:sz w:val="18"/>
          <w:szCs w:val="18"/>
          <w:lang w:val="es-ES_tradnl" w:eastAsia="es-ES"/>
        </w:rPr>
        <w:t xml:space="preserve">j </w:t>
      </w:r>
      <w:r w:rsidR="005E759B" w:rsidRPr="004C52B2">
        <w:rPr>
          <w:rFonts w:ascii="ITC Avant Garde" w:eastAsiaTheme="minorEastAsia" w:hAnsi="ITC Avant Garde"/>
          <w:bCs/>
          <w:iCs/>
          <w:sz w:val="18"/>
          <w:szCs w:val="18"/>
          <w:lang w:val="es-ES_tradnl" w:eastAsia="es-ES"/>
        </w:rPr>
        <w:t>de un producto o servicio</w:t>
      </w:r>
      <w:r w:rsidR="00DE1E19">
        <w:rPr>
          <w:rFonts w:ascii="ITC Avant Garde" w:eastAsiaTheme="minorEastAsia" w:hAnsi="ITC Avant Garde"/>
          <w:bCs/>
          <w:iCs/>
          <w:sz w:val="18"/>
          <w:szCs w:val="18"/>
          <w:lang w:val="es-ES_tradnl" w:eastAsia="es-ES"/>
        </w:rPr>
        <w:t xml:space="preserve"> en el periodo </w:t>
      </w:r>
      <m:oMath>
        <m:r>
          <w:rPr>
            <w:rFonts w:ascii="Cambria Math" w:eastAsia="Times New Roman" w:hAnsi="Cambria Math" w:cs="Arial"/>
            <w:sz w:val="18"/>
            <w:szCs w:val="18"/>
            <w:lang w:val="es-ES_tradnl" w:eastAsia="es-ES"/>
          </w:rPr>
          <m:t>t</m:t>
        </m:r>
      </m:oMath>
      <w:r w:rsidR="00DE1E19">
        <w:rPr>
          <w:rFonts w:ascii="ITC Avant Garde" w:eastAsiaTheme="minorEastAsia" w:hAnsi="ITC Avant Garde"/>
          <w:bCs/>
          <w:iCs/>
          <w:sz w:val="18"/>
          <w:szCs w:val="18"/>
          <w:lang w:val="es-ES_tradnl" w:eastAsia="es-ES"/>
        </w:rPr>
        <w:t xml:space="preserve">, </w:t>
      </w:r>
      <m:oMath>
        <m:r>
          <w:rPr>
            <w:rFonts w:ascii="Cambria Math" w:eastAsia="Times New Roman" w:hAnsi="Cambria Math" w:cs="Arial"/>
            <w:sz w:val="18"/>
            <w:szCs w:val="18"/>
            <w:lang w:val="es-ES_tradnl" w:eastAsia="es-ES"/>
          </w:rPr>
          <m:t>t</m:t>
        </m:r>
      </m:oMath>
      <w:r w:rsidR="00DE1E19" w:rsidRPr="004C52B2">
        <w:rPr>
          <w:rFonts w:ascii="ITC Avant Garde" w:eastAsiaTheme="minorEastAsia" w:hAnsi="ITC Avant Garde"/>
          <w:bCs/>
          <w:iCs/>
          <w:sz w:val="18"/>
          <w:szCs w:val="18"/>
          <w:lang w:val="es-ES_tradnl" w:eastAsia="es-ES"/>
        </w:rPr>
        <w:t xml:space="preserve"> =</w:t>
      </w:r>
      <w:r w:rsidR="00DE1E19">
        <w:rPr>
          <w:rFonts w:ascii="ITC Avant Garde" w:eastAsiaTheme="minorEastAsia" w:hAnsi="ITC Avant Garde"/>
          <w:bCs/>
          <w:iCs/>
          <w:sz w:val="18"/>
          <w:szCs w:val="18"/>
          <w:lang w:val="es-ES_tradnl" w:eastAsia="es-ES"/>
        </w:rPr>
        <w:t xml:space="preserve"> </w:t>
      </w:r>
      <w:r w:rsidR="00DE1E19" w:rsidRPr="004C52B2">
        <w:rPr>
          <w:rFonts w:ascii="ITC Avant Garde" w:eastAsiaTheme="minorEastAsia" w:hAnsi="ITC Avant Garde"/>
          <w:bCs/>
          <w:iCs/>
          <w:sz w:val="18"/>
          <w:szCs w:val="18"/>
          <w:lang w:val="es-ES_tradnl" w:eastAsia="es-ES"/>
        </w:rPr>
        <w:t>0,1</w:t>
      </w:r>
      <w:r w:rsidR="005E759B" w:rsidRPr="004C52B2">
        <w:rPr>
          <w:rFonts w:ascii="ITC Avant Garde" w:eastAsiaTheme="minorEastAsia" w:hAnsi="ITC Avant Garde"/>
          <w:bCs/>
          <w:iCs/>
          <w:sz w:val="18"/>
          <w:szCs w:val="18"/>
          <w:lang w:val="es-ES_tradnl" w:eastAsia="es-ES"/>
        </w:rPr>
        <w:t>.</w:t>
      </w:r>
      <w:r w:rsidR="00F27F83">
        <w:rPr>
          <w:rStyle w:val="Refdenotaalpie"/>
          <w:rFonts w:ascii="ITC Avant Garde" w:eastAsiaTheme="minorEastAsia" w:hAnsi="ITC Avant Garde"/>
          <w:bCs/>
          <w:iCs/>
          <w:sz w:val="18"/>
          <w:szCs w:val="18"/>
          <w:lang w:val="es-ES_tradnl" w:eastAsia="es-ES"/>
        </w:rPr>
        <w:footnoteReference w:id="2"/>
      </w:r>
    </w:p>
    <w:p w14:paraId="63D7C543" w14:textId="77777777" w:rsidR="005E759B" w:rsidRPr="004C52B2" w:rsidRDefault="005E759B" w:rsidP="008369E9">
      <w:pPr>
        <w:pStyle w:val="Sinespaciado"/>
        <w:spacing w:before="240" w:after="200"/>
        <w:jc w:val="both"/>
        <w:rPr>
          <w:rFonts w:ascii="ITC Avant Garde" w:eastAsiaTheme="minorEastAsia" w:hAnsi="ITC Avant Garde"/>
          <w:bCs/>
          <w:iCs/>
          <w:sz w:val="18"/>
          <w:szCs w:val="18"/>
          <w:lang w:val="es-ES_tradnl" w:eastAsia="es-ES"/>
        </w:rPr>
      </w:pPr>
      <m:oMath>
        <m:r>
          <w:rPr>
            <w:rFonts w:ascii="Cambria Math" w:eastAsiaTheme="minorEastAsia" w:hAnsi="Cambria Math"/>
            <w:sz w:val="18"/>
            <w:szCs w:val="18"/>
            <w:lang w:val="es-ES_tradnl" w:eastAsia="es-ES"/>
          </w:rPr>
          <m:t>j</m:t>
        </m:r>
      </m:oMath>
      <w:r w:rsidRPr="004C52B2">
        <w:rPr>
          <w:rFonts w:ascii="ITC Avant Garde" w:eastAsiaTheme="minorEastAsia" w:hAnsi="ITC Avant Garde"/>
          <w:bCs/>
          <w:iCs/>
          <w:sz w:val="18"/>
          <w:szCs w:val="18"/>
          <w:lang w:val="es-ES_tradnl" w:eastAsia="es-ES"/>
        </w:rPr>
        <w:t xml:space="preserve"> es el producto o servicio agregado.</w:t>
      </w:r>
    </w:p>
    <w:p w14:paraId="3370F3BD" w14:textId="77777777" w:rsidR="008369E9" w:rsidRDefault="006A4E00" w:rsidP="008369E9">
      <w:pPr>
        <w:pStyle w:val="Sinespaciado"/>
        <w:spacing w:before="240" w:after="200"/>
        <w:jc w:val="both"/>
        <w:rPr>
          <w:rFonts w:ascii="ITC Avant Garde" w:hAnsi="ITC Avant Garde"/>
          <w:lang w:val="es-ES_tradnl"/>
        </w:rPr>
      </w:pPr>
      <m:oMath>
        <m:sSub>
          <m:sSubPr>
            <m:ctrlPr>
              <w:rPr>
                <w:rFonts w:ascii="Cambria Math" w:eastAsia="Times New Roman" w:hAnsi="Cambria Math" w:cs="Arial"/>
                <w:bCs/>
                <w:i/>
                <w:iCs/>
                <w:sz w:val="18"/>
                <w:lang w:val="es-ES_tradnl" w:eastAsia="es-ES"/>
              </w:rPr>
            </m:ctrlPr>
          </m:sSubPr>
          <m:e>
            <m:r>
              <w:rPr>
                <w:rFonts w:ascii="Cambria Math" w:eastAsia="Times New Roman" w:hAnsi="Cambria Math" w:cs="Arial"/>
                <w:sz w:val="18"/>
                <w:lang w:val="es-ES_tradnl" w:eastAsia="es-ES"/>
              </w:rPr>
              <m:t>Q</m:t>
            </m:r>
          </m:e>
          <m:sub>
            <m:r>
              <w:rPr>
                <w:rFonts w:ascii="Cambria Math" w:eastAsia="Times New Roman" w:hAnsi="Cambria Math" w:cs="Arial"/>
                <w:sz w:val="18"/>
                <w:lang w:val="es-ES_tradnl" w:eastAsia="es-ES"/>
              </w:rPr>
              <m:t>t,j</m:t>
            </m:r>
          </m:sub>
        </m:sSub>
      </m:oMath>
      <w:r w:rsidR="009F24D8">
        <w:rPr>
          <w:rFonts w:ascii="ITC Avant Garde" w:hAnsi="ITC Avant Garde"/>
          <w:bCs/>
          <w:iCs/>
          <w:lang w:val="es-ES_tradnl" w:eastAsia="es-ES"/>
        </w:rPr>
        <w:t xml:space="preserve"> </w:t>
      </w:r>
      <w:r w:rsidR="009F24D8" w:rsidRPr="009062BA">
        <w:rPr>
          <w:rFonts w:ascii="ITC Avant Garde" w:eastAsiaTheme="minorEastAsia" w:hAnsi="ITC Avant Garde"/>
          <w:bCs/>
          <w:iCs/>
          <w:sz w:val="18"/>
          <w:szCs w:val="18"/>
          <w:lang w:val="es-ES_tradnl" w:eastAsia="es-ES"/>
        </w:rPr>
        <w:t>es la cantidad del producto o servicio</w:t>
      </w:r>
      <w:r w:rsidR="009F24D8">
        <w:rPr>
          <w:rFonts w:ascii="ITC Avant Garde" w:eastAsiaTheme="minorEastAsia" w:hAnsi="ITC Avant Garde"/>
          <w:bCs/>
          <w:iCs/>
          <w:sz w:val="18"/>
          <w:szCs w:val="18"/>
          <w:lang w:val="es-ES_tradnl" w:eastAsia="es-ES"/>
        </w:rPr>
        <w:t xml:space="preserve"> agregado.</w:t>
      </w:r>
    </w:p>
    <w:p w14:paraId="28B012D0" w14:textId="77777777" w:rsidR="008369E9" w:rsidRDefault="005E759B" w:rsidP="008369E9">
      <w:pPr>
        <w:pStyle w:val="Sinespaciado"/>
        <w:spacing w:before="240" w:after="200"/>
        <w:jc w:val="both"/>
        <w:rPr>
          <w:rFonts w:ascii="ITC Avant Garde" w:hAnsi="ITC Avant Garde"/>
          <w:lang w:val="es-ES_tradnl"/>
        </w:rPr>
      </w:pPr>
      <w:r w:rsidRPr="004C52B2">
        <w:rPr>
          <w:rFonts w:ascii="ITC Avant Garde" w:hAnsi="ITC Avant Garde"/>
          <w:lang w:val="es-ES_tradnl"/>
        </w:rPr>
        <w:lastRenderedPageBreak/>
        <w:t xml:space="preserve">De esta manera, el </w:t>
      </w:r>
      <w:r w:rsidR="00BD70E8" w:rsidRPr="004C52B2">
        <w:rPr>
          <w:rFonts w:ascii="ITC Avant Garde" w:hAnsi="ITC Avant Garde"/>
          <w:lang w:val="es-ES_tradnl"/>
        </w:rPr>
        <w:t>í</w:t>
      </w:r>
      <w:r w:rsidRPr="004C52B2">
        <w:rPr>
          <w:rFonts w:ascii="ITC Avant Garde" w:hAnsi="ITC Avant Garde"/>
          <w:lang w:val="es-ES_tradnl"/>
        </w:rPr>
        <w:t xml:space="preserve">ndice de Fisher encadenado, para el </w:t>
      </w:r>
      <w:r w:rsidR="0071669B" w:rsidRPr="004C52B2">
        <w:rPr>
          <w:rFonts w:ascii="ITC Avant Garde" w:hAnsi="ITC Avant Garde"/>
          <w:lang w:val="es-ES_tradnl"/>
        </w:rPr>
        <w:t>periodo de análisis</w:t>
      </w:r>
      <w:r w:rsidR="00265D09" w:rsidRPr="004C52B2">
        <w:rPr>
          <w:rFonts w:ascii="ITC Avant Garde" w:hAnsi="ITC Avant Garde"/>
          <w:lang w:val="es-ES_tradnl"/>
        </w:rPr>
        <w:t xml:space="preserve"> entre 0 y </w:t>
      </w:r>
      <m:oMath>
        <m:r>
          <w:rPr>
            <w:rFonts w:ascii="Cambria Math" w:eastAsia="Times New Roman" w:hAnsi="Cambria Math" w:cs="Arial"/>
            <w:lang w:val="es-ES_tradnl" w:eastAsia="es-ES"/>
          </w:rPr>
          <m:t>t</m:t>
        </m:r>
      </m:oMath>
      <w:r w:rsidR="0071669B" w:rsidRPr="004C52B2">
        <w:rPr>
          <w:rFonts w:ascii="ITC Avant Garde" w:hAnsi="ITC Avant Garde"/>
          <w:lang w:val="es-ES_tradnl"/>
        </w:rPr>
        <w:t>, correspondió</w:t>
      </w:r>
      <w:r w:rsidRPr="004C52B2">
        <w:rPr>
          <w:rFonts w:ascii="ITC Avant Garde" w:hAnsi="ITC Avant Garde"/>
          <w:lang w:val="es-ES_tradnl"/>
        </w:rPr>
        <w:t xml:space="preserve"> al producto de cada uno de los índices obtenidos de manera anual</w:t>
      </w:r>
      <w:r w:rsidR="000A15F4" w:rsidRPr="004C52B2">
        <w:rPr>
          <w:rFonts w:ascii="ITC Avant Garde" w:hAnsi="ITC Avant Garde"/>
          <w:lang w:val="es-ES_tradnl"/>
        </w:rPr>
        <w:t>, construido de la siguiente manera</w:t>
      </w:r>
      <w:r w:rsidRPr="004C52B2">
        <w:rPr>
          <w:rFonts w:ascii="ITC Avant Garde" w:hAnsi="ITC Avant Garde"/>
          <w:lang w:val="es-ES_tradnl"/>
        </w:rPr>
        <w:t>.</w:t>
      </w:r>
    </w:p>
    <w:p w14:paraId="5E664ADA" w14:textId="77777777" w:rsidR="008369E9" w:rsidRDefault="006A4E00" w:rsidP="0071669B">
      <w:pPr>
        <w:pStyle w:val="Sinespaciado"/>
        <w:jc w:val="both"/>
        <w:rPr>
          <w:rFonts w:ascii="ITC Avant Garde" w:hAnsi="ITC Avant Garde"/>
          <w:bCs/>
          <w:iCs/>
          <w:lang w:val="es-ES_tradnl" w:eastAsia="es-ES"/>
        </w:rPr>
      </w:pPr>
      <m:oMathPara>
        <m:oMath>
          <m:sSub>
            <m:sSubPr>
              <m:ctrlPr>
                <w:rPr>
                  <w:rFonts w:ascii="Cambria Math" w:eastAsia="Times New Roman" w:hAnsi="Cambria Math" w:cs="Arial"/>
                  <w:bCs/>
                  <w:i/>
                  <w:iCs/>
                  <w:lang w:val="es-ES_tradnl" w:eastAsia="es-ES"/>
                </w:rPr>
              </m:ctrlPr>
            </m:sSubPr>
            <m:e>
              <m:r>
                <w:rPr>
                  <w:rFonts w:ascii="Cambria Math" w:eastAsia="Times New Roman" w:hAnsi="Cambria Math" w:cs="Arial"/>
                  <w:lang w:val="es-ES_tradnl" w:eastAsia="es-ES"/>
                </w:rPr>
                <m:t>I</m:t>
              </m:r>
            </m:e>
            <m:sub>
              <m:r>
                <w:rPr>
                  <w:rFonts w:ascii="Cambria Math" w:eastAsia="Times New Roman" w:hAnsi="Cambria Math" w:cs="Arial"/>
                  <w:lang w:val="es-ES_tradnl" w:eastAsia="es-ES"/>
                </w:rPr>
                <m:t>0,t</m:t>
              </m:r>
            </m:sub>
          </m:sSub>
          <m:r>
            <w:rPr>
              <w:rFonts w:ascii="Cambria Math" w:eastAsia="Times New Roman" w:hAnsi="Cambria Math" w:cs="Arial"/>
              <w:lang w:val="es-ES_tradnl" w:eastAsia="es-ES"/>
            </w:rPr>
            <m:t>=</m:t>
          </m:r>
          <m:sSub>
            <m:sSubPr>
              <m:ctrlPr>
                <w:rPr>
                  <w:rFonts w:ascii="Cambria Math" w:eastAsia="Times New Roman" w:hAnsi="Cambria Math" w:cs="Arial"/>
                  <w:bCs/>
                  <w:i/>
                  <w:iCs/>
                  <w:lang w:val="es-ES_tradnl" w:eastAsia="es-ES"/>
                </w:rPr>
              </m:ctrlPr>
            </m:sSubPr>
            <m:e>
              <m:r>
                <w:rPr>
                  <w:rFonts w:ascii="Cambria Math" w:eastAsia="Times New Roman" w:hAnsi="Cambria Math" w:cs="Arial"/>
                  <w:lang w:val="es-ES_tradnl" w:eastAsia="es-ES"/>
                </w:rPr>
                <m:t>I</m:t>
              </m:r>
            </m:e>
            <m:sub>
              <m:r>
                <w:rPr>
                  <w:rFonts w:ascii="Cambria Math" w:eastAsia="Times New Roman" w:hAnsi="Cambria Math" w:cs="Arial"/>
                  <w:lang w:val="es-ES_tradnl" w:eastAsia="es-ES"/>
                </w:rPr>
                <m:t>0,0</m:t>
              </m:r>
            </m:sub>
          </m:sSub>
          <m:r>
            <w:rPr>
              <w:rFonts w:ascii="Cambria Math" w:eastAsia="Times New Roman" w:hAnsi="Cambria Math" w:cs="Arial"/>
              <w:lang w:val="es-ES_tradnl" w:eastAsia="es-ES"/>
            </w:rPr>
            <m:t>×</m:t>
          </m:r>
          <m:sSub>
            <m:sSubPr>
              <m:ctrlPr>
                <w:rPr>
                  <w:rFonts w:ascii="Cambria Math" w:eastAsia="Times New Roman" w:hAnsi="Cambria Math" w:cs="Arial"/>
                  <w:bCs/>
                  <w:i/>
                  <w:iCs/>
                  <w:lang w:val="es-ES_tradnl" w:eastAsia="es-ES"/>
                </w:rPr>
              </m:ctrlPr>
            </m:sSubPr>
            <m:e>
              <m:r>
                <w:rPr>
                  <w:rFonts w:ascii="Cambria Math" w:eastAsia="Times New Roman" w:hAnsi="Cambria Math" w:cs="Arial"/>
                  <w:lang w:val="es-ES_tradnl" w:eastAsia="es-ES"/>
                </w:rPr>
                <m:t>I</m:t>
              </m:r>
            </m:e>
            <m:sub>
              <m:r>
                <w:rPr>
                  <w:rFonts w:ascii="Cambria Math" w:eastAsia="Times New Roman" w:hAnsi="Cambria Math" w:cs="Arial"/>
                  <w:lang w:val="es-ES_tradnl" w:eastAsia="es-ES"/>
                </w:rPr>
                <m:t>0,1</m:t>
              </m:r>
            </m:sub>
          </m:sSub>
          <m:r>
            <w:rPr>
              <w:rFonts w:ascii="Cambria Math" w:eastAsia="Times New Roman" w:hAnsi="Cambria Math" w:cs="Arial"/>
              <w:lang w:val="es-ES_tradnl" w:eastAsia="es-ES"/>
            </w:rPr>
            <m:t>×</m:t>
          </m:r>
          <m:sSub>
            <m:sSubPr>
              <m:ctrlPr>
                <w:rPr>
                  <w:rFonts w:ascii="Cambria Math" w:eastAsia="Times New Roman" w:hAnsi="Cambria Math" w:cs="Arial"/>
                  <w:bCs/>
                  <w:i/>
                  <w:iCs/>
                  <w:lang w:val="es-ES_tradnl" w:eastAsia="es-ES"/>
                </w:rPr>
              </m:ctrlPr>
            </m:sSubPr>
            <m:e>
              <m:r>
                <w:rPr>
                  <w:rFonts w:ascii="Cambria Math" w:eastAsia="Times New Roman" w:hAnsi="Cambria Math" w:cs="Arial"/>
                  <w:lang w:val="es-ES_tradnl" w:eastAsia="es-ES"/>
                </w:rPr>
                <m:t>I</m:t>
              </m:r>
            </m:e>
            <m:sub>
              <m:r>
                <w:rPr>
                  <w:rFonts w:ascii="Cambria Math" w:eastAsia="Times New Roman" w:hAnsi="Cambria Math" w:cs="Arial"/>
                  <w:lang w:val="es-ES_tradnl" w:eastAsia="es-ES"/>
                </w:rPr>
                <m:t>1,2</m:t>
              </m:r>
            </m:sub>
          </m:sSub>
          <m:r>
            <w:rPr>
              <w:rFonts w:ascii="Cambria Math" w:eastAsia="Times New Roman" w:hAnsi="Cambria Math" w:cs="Arial"/>
              <w:lang w:val="es-ES_tradnl" w:eastAsia="es-ES"/>
            </w:rPr>
            <m:t>×</m:t>
          </m:r>
          <m:r>
            <w:rPr>
              <w:rFonts w:ascii="Cambria Math" w:eastAsia="Times New Roman" w:hAnsi="Cambria Math" w:cs="Arial" w:hint="eastAsia"/>
              <w:lang w:val="es-ES_tradnl" w:eastAsia="es-ES"/>
            </w:rPr>
            <m:t>…</m:t>
          </m:r>
          <m:r>
            <w:rPr>
              <w:rFonts w:ascii="Cambria Math" w:eastAsia="Times New Roman" w:hAnsi="Cambria Math" w:cs="Arial"/>
              <w:lang w:val="es-ES_tradnl" w:eastAsia="es-ES"/>
            </w:rPr>
            <m:t>×</m:t>
          </m:r>
          <m:sSub>
            <m:sSubPr>
              <m:ctrlPr>
                <w:rPr>
                  <w:rFonts w:ascii="Cambria Math" w:eastAsia="Times New Roman" w:hAnsi="Cambria Math" w:cs="Arial"/>
                  <w:bCs/>
                  <w:i/>
                  <w:iCs/>
                  <w:lang w:val="es-ES_tradnl" w:eastAsia="es-ES"/>
                </w:rPr>
              </m:ctrlPr>
            </m:sSubPr>
            <m:e>
              <m:r>
                <w:rPr>
                  <w:rFonts w:ascii="Cambria Math" w:eastAsia="Times New Roman" w:hAnsi="Cambria Math" w:cs="Arial"/>
                  <w:lang w:val="es-ES_tradnl" w:eastAsia="es-ES"/>
                </w:rPr>
                <m:t>I</m:t>
              </m:r>
            </m:e>
            <m:sub>
              <m:r>
                <w:rPr>
                  <w:rFonts w:ascii="Cambria Math" w:eastAsia="Times New Roman" w:hAnsi="Cambria Math" w:cs="Arial"/>
                  <w:lang w:val="es-ES_tradnl" w:eastAsia="es-ES"/>
                </w:rPr>
                <m:t>t-1,t</m:t>
              </m:r>
            </m:sub>
          </m:sSub>
        </m:oMath>
      </m:oMathPara>
    </w:p>
    <w:p w14:paraId="14AC5CEE" w14:textId="77777777" w:rsidR="008369E9" w:rsidRDefault="000A15F4" w:rsidP="008369E9">
      <w:pPr>
        <w:pStyle w:val="Sinespaciado"/>
        <w:spacing w:before="240" w:after="200"/>
        <w:jc w:val="both"/>
        <w:rPr>
          <w:rFonts w:ascii="ITC Avant Garde" w:eastAsia="Times New Roman" w:hAnsi="ITC Avant Garde" w:cs="Arial"/>
          <w:bCs/>
          <w:lang w:val="es-ES_tradnl" w:eastAsia="es-ES"/>
        </w:rPr>
      </w:pPr>
      <w:r w:rsidRPr="004C52B2">
        <w:rPr>
          <w:rFonts w:ascii="ITC Avant Garde" w:hAnsi="ITC Avant Garde"/>
          <w:lang w:val="es-ES_tradnl"/>
        </w:rPr>
        <w:t>Finalmente</w:t>
      </w:r>
      <w:r w:rsidR="00DB17A6">
        <w:rPr>
          <w:rFonts w:ascii="ITC Avant Garde" w:hAnsi="ITC Avant Garde"/>
          <w:lang w:val="es-ES_tradnl"/>
        </w:rPr>
        <w:t>,</w:t>
      </w:r>
      <w:r w:rsidR="00265D09" w:rsidRPr="004C52B2">
        <w:rPr>
          <w:rFonts w:ascii="ITC Avant Garde" w:hAnsi="ITC Avant Garde"/>
          <w:lang w:val="es-ES_tradnl"/>
        </w:rPr>
        <w:t xml:space="preserve"> l</w:t>
      </w:r>
      <w:r w:rsidR="0071669B" w:rsidRPr="004C52B2">
        <w:rPr>
          <w:rFonts w:ascii="ITC Avant Garde" w:eastAsia="Times New Roman" w:hAnsi="ITC Avant Garde" w:cs="Arial"/>
          <w:bCs/>
          <w:lang w:val="es-ES_tradnl" w:eastAsia="es-ES"/>
        </w:rPr>
        <w:t>a tasa de crecimiento de producción e insumos se obtuvo</w:t>
      </w:r>
      <w:r w:rsidR="005E759B" w:rsidRPr="004C52B2">
        <w:rPr>
          <w:rFonts w:ascii="ITC Avant Garde" w:eastAsia="Times New Roman" w:hAnsi="ITC Avant Garde" w:cs="Arial"/>
          <w:bCs/>
          <w:lang w:val="es-ES_tradnl" w:eastAsia="es-ES"/>
        </w:rPr>
        <w:t xml:space="preserve"> al efectuar el logaritmo neperiano del </w:t>
      </w:r>
      <w:r w:rsidR="00BD70E8" w:rsidRPr="004C52B2">
        <w:rPr>
          <w:rFonts w:ascii="ITC Avant Garde" w:eastAsia="Times New Roman" w:hAnsi="ITC Avant Garde" w:cs="Arial"/>
          <w:bCs/>
          <w:lang w:val="es-ES_tradnl" w:eastAsia="es-ES"/>
        </w:rPr>
        <w:t>í</w:t>
      </w:r>
      <w:r w:rsidR="005E759B" w:rsidRPr="004C52B2">
        <w:rPr>
          <w:rFonts w:ascii="ITC Avant Garde" w:eastAsia="Times New Roman" w:hAnsi="ITC Avant Garde" w:cs="Arial"/>
          <w:bCs/>
          <w:lang w:val="es-ES_tradnl" w:eastAsia="es-ES"/>
        </w:rPr>
        <w:t>ndice de Fisher</w:t>
      </w:r>
      <w:r w:rsidR="0071669B" w:rsidRPr="004C52B2">
        <w:rPr>
          <w:rFonts w:ascii="ITC Avant Garde" w:eastAsia="Times New Roman" w:hAnsi="ITC Avant Garde" w:cs="Arial"/>
          <w:bCs/>
          <w:lang w:val="es-ES_tradnl" w:eastAsia="es-ES"/>
        </w:rPr>
        <w:t xml:space="preserve"> encadenado.</w:t>
      </w:r>
    </w:p>
    <w:p w14:paraId="479A5BD4" w14:textId="77777777" w:rsidR="008369E9" w:rsidRDefault="00376BF9" w:rsidP="008369E9">
      <w:pPr>
        <w:adjustRightInd w:val="0"/>
        <w:spacing w:before="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
          <w:bCs/>
          <w:lang w:val="es-ES_tradnl" w:eastAsia="es-ES"/>
        </w:rPr>
        <w:t>5</w:t>
      </w:r>
      <w:r w:rsidR="00790E70" w:rsidRPr="004C52B2">
        <w:rPr>
          <w:rFonts w:ascii="ITC Avant Garde" w:eastAsia="Times New Roman" w:hAnsi="ITC Avant Garde" w:cs="Arial"/>
          <w:b/>
          <w:bCs/>
          <w:lang w:val="es-ES_tradnl" w:eastAsia="es-ES"/>
        </w:rPr>
        <w:t xml:space="preserve">.1 </w:t>
      </w:r>
      <w:r w:rsidR="009A4472" w:rsidRPr="004C52B2">
        <w:rPr>
          <w:rFonts w:ascii="ITC Avant Garde" w:eastAsia="Times New Roman" w:hAnsi="ITC Avant Garde" w:cs="Arial"/>
          <w:b/>
          <w:bCs/>
          <w:lang w:val="es-ES_tradnl" w:eastAsia="es-ES"/>
        </w:rPr>
        <w:t>Periodicidad de los datos</w:t>
      </w:r>
      <w:r w:rsidR="009A4472" w:rsidRPr="004C52B2">
        <w:rPr>
          <w:rFonts w:ascii="ITC Avant Garde" w:eastAsia="Times New Roman" w:hAnsi="ITC Avant Garde" w:cs="Arial"/>
          <w:bCs/>
          <w:lang w:val="es-ES_tradnl" w:eastAsia="es-ES"/>
        </w:rPr>
        <w:t xml:space="preserve">. Telmex empleó una serie de datos tanto para la productividad de la economía como para la productividad de la empresa, con </w:t>
      </w:r>
      <w:r w:rsidR="007042B7">
        <w:rPr>
          <w:rFonts w:ascii="ITC Avant Garde" w:eastAsia="Times New Roman" w:hAnsi="ITC Avant Garde" w:cs="Arial"/>
          <w:bCs/>
          <w:lang w:val="es-ES_tradnl" w:eastAsia="es-ES"/>
        </w:rPr>
        <w:t>quince</w:t>
      </w:r>
      <w:r w:rsidR="004B15B8">
        <w:rPr>
          <w:rFonts w:ascii="ITC Avant Garde" w:eastAsia="Times New Roman" w:hAnsi="ITC Avant Garde" w:cs="Arial"/>
          <w:bCs/>
          <w:lang w:val="es-ES_tradnl" w:eastAsia="es-ES"/>
        </w:rPr>
        <w:t xml:space="preserve"> </w:t>
      </w:r>
      <w:r w:rsidR="009A4472" w:rsidRPr="004C52B2">
        <w:rPr>
          <w:rFonts w:ascii="ITC Avant Garde" w:eastAsia="Times New Roman" w:hAnsi="ITC Avant Garde" w:cs="Arial"/>
          <w:bCs/>
          <w:lang w:val="es-ES_tradnl" w:eastAsia="es-ES"/>
        </w:rPr>
        <w:t>observaciones que consistieron en tasas de crecimiento anual de la productividad. El periodo inició en el a</w:t>
      </w:r>
      <w:r w:rsidR="00E20072" w:rsidRPr="004C52B2">
        <w:rPr>
          <w:rFonts w:ascii="ITC Avant Garde" w:eastAsia="Times New Roman" w:hAnsi="ITC Avant Garde" w:cs="Arial"/>
          <w:bCs/>
          <w:lang w:val="es-ES_tradnl" w:eastAsia="es-ES"/>
        </w:rPr>
        <w:t>ño 2000 y terminó en el año 2015</w:t>
      </w:r>
      <w:r w:rsidR="009A4472" w:rsidRPr="004C52B2">
        <w:rPr>
          <w:rFonts w:ascii="ITC Avant Garde" w:eastAsia="Times New Roman" w:hAnsi="ITC Avant Garde" w:cs="Arial"/>
          <w:bCs/>
          <w:lang w:val="es-ES_tradnl" w:eastAsia="es-ES"/>
        </w:rPr>
        <w:t>.</w:t>
      </w:r>
    </w:p>
    <w:p w14:paraId="29DBD764" w14:textId="77777777" w:rsidR="008369E9" w:rsidRDefault="00376BF9" w:rsidP="008369E9">
      <w:pPr>
        <w:adjustRightInd w:val="0"/>
        <w:spacing w:before="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
          <w:bCs/>
          <w:lang w:val="es-ES_tradnl" w:eastAsia="es-ES"/>
        </w:rPr>
        <w:t>5</w:t>
      </w:r>
      <w:r w:rsidR="00790E70" w:rsidRPr="004C52B2">
        <w:rPr>
          <w:rFonts w:ascii="ITC Avant Garde" w:eastAsia="Times New Roman" w:hAnsi="ITC Avant Garde" w:cs="Arial"/>
          <w:b/>
          <w:bCs/>
          <w:lang w:val="es-ES_tradnl" w:eastAsia="es-ES"/>
        </w:rPr>
        <w:t xml:space="preserve">.2 </w:t>
      </w:r>
      <w:r w:rsidR="009A4472" w:rsidRPr="004C52B2">
        <w:rPr>
          <w:rFonts w:ascii="ITC Avant Garde" w:eastAsia="Times New Roman" w:hAnsi="ITC Avant Garde" w:cs="Arial"/>
          <w:b/>
          <w:bCs/>
          <w:lang w:val="es-ES_tradnl" w:eastAsia="es-ES"/>
        </w:rPr>
        <w:t>Información de la economía</w:t>
      </w:r>
      <w:r w:rsidR="00E70305" w:rsidRPr="004C52B2">
        <w:rPr>
          <w:rFonts w:ascii="ITC Avant Garde" w:eastAsia="Times New Roman" w:hAnsi="ITC Avant Garde" w:cs="Arial"/>
          <w:bCs/>
          <w:lang w:val="es-ES_tradnl" w:eastAsia="es-ES"/>
        </w:rPr>
        <w:t xml:space="preserve">. </w:t>
      </w:r>
      <w:r w:rsidR="009A4472" w:rsidRPr="004C52B2">
        <w:rPr>
          <w:rFonts w:ascii="ITC Avant Garde" w:eastAsia="Times New Roman" w:hAnsi="ITC Avant Garde" w:cs="Arial"/>
          <w:bCs/>
          <w:lang w:val="es-ES_tradnl" w:eastAsia="es-ES"/>
        </w:rPr>
        <w:t>La informaci</w:t>
      </w:r>
      <w:r w:rsidR="00A45EE4" w:rsidRPr="004C52B2">
        <w:rPr>
          <w:rFonts w:ascii="ITC Avant Garde" w:eastAsia="Times New Roman" w:hAnsi="ITC Avant Garde" w:cs="Arial"/>
          <w:bCs/>
          <w:lang w:val="es-ES_tradnl" w:eastAsia="es-ES"/>
        </w:rPr>
        <w:t>ón sobre el comportamiento</w:t>
      </w:r>
      <w:r w:rsidR="004A3C95" w:rsidRPr="004C52B2">
        <w:rPr>
          <w:rFonts w:ascii="ITC Avant Garde" w:eastAsia="Times New Roman" w:hAnsi="ITC Avant Garde" w:cs="Arial"/>
          <w:bCs/>
          <w:lang w:val="es-ES_tradnl" w:eastAsia="es-ES"/>
        </w:rPr>
        <w:t xml:space="preserve"> </w:t>
      </w:r>
      <w:r w:rsidR="009A4472" w:rsidRPr="004C52B2">
        <w:rPr>
          <w:rFonts w:ascii="ITC Avant Garde" w:eastAsia="Times New Roman" w:hAnsi="ITC Avant Garde" w:cs="Arial"/>
          <w:bCs/>
          <w:lang w:val="es-ES_tradnl" w:eastAsia="es-ES"/>
        </w:rPr>
        <w:t>de la econom</w:t>
      </w:r>
      <w:r w:rsidR="00A45EE4" w:rsidRPr="004C52B2">
        <w:rPr>
          <w:rFonts w:ascii="ITC Avant Garde" w:eastAsia="Times New Roman" w:hAnsi="ITC Avant Garde" w:cs="Arial"/>
          <w:bCs/>
          <w:lang w:val="es-ES_tradnl" w:eastAsia="es-ES"/>
        </w:rPr>
        <w:t xml:space="preserve">ía que se utilizó en la estimación del </w:t>
      </w:r>
      <w:r w:rsidR="00672D4B">
        <w:rPr>
          <w:rFonts w:ascii="ITC Avant Garde" w:eastAsia="Times New Roman" w:hAnsi="ITC Avant Garde" w:cs="Arial"/>
          <w:bCs/>
          <w:lang w:val="es-ES_tradnl" w:eastAsia="es-ES"/>
        </w:rPr>
        <w:t>F</w:t>
      </w:r>
      <w:r w:rsidR="00A45EE4" w:rsidRPr="004C52B2">
        <w:rPr>
          <w:rFonts w:ascii="ITC Avant Garde" w:eastAsia="Times New Roman" w:hAnsi="ITC Avant Garde" w:cs="Arial"/>
          <w:bCs/>
          <w:lang w:val="es-ES_tradnl" w:eastAsia="es-ES"/>
        </w:rPr>
        <w:t>a</w:t>
      </w:r>
      <w:r w:rsidR="0071669B" w:rsidRPr="004C52B2">
        <w:rPr>
          <w:rFonts w:ascii="ITC Avant Garde" w:eastAsia="Times New Roman" w:hAnsi="ITC Avant Garde" w:cs="Arial"/>
          <w:bCs/>
          <w:lang w:val="es-ES_tradnl" w:eastAsia="es-ES"/>
        </w:rPr>
        <w:t xml:space="preserve">ctor de </w:t>
      </w:r>
      <w:r w:rsidR="00672D4B">
        <w:rPr>
          <w:rFonts w:ascii="ITC Avant Garde" w:eastAsia="Times New Roman" w:hAnsi="ITC Avant Garde" w:cs="Arial"/>
          <w:bCs/>
          <w:lang w:val="es-ES_tradnl" w:eastAsia="es-ES"/>
        </w:rPr>
        <w:t>P</w:t>
      </w:r>
      <w:r w:rsidR="0071669B" w:rsidRPr="004C52B2">
        <w:rPr>
          <w:rFonts w:ascii="ITC Avant Garde" w:eastAsia="Times New Roman" w:hAnsi="ITC Avant Garde" w:cs="Arial"/>
          <w:bCs/>
          <w:lang w:val="es-ES_tradnl" w:eastAsia="es-ES"/>
        </w:rPr>
        <w:t>roductividad</w:t>
      </w:r>
      <w:r w:rsidR="00C025AD" w:rsidRPr="004C52B2">
        <w:rPr>
          <w:rFonts w:ascii="ITC Avant Garde" w:eastAsia="Times New Roman" w:hAnsi="ITC Avant Garde" w:cs="Arial"/>
          <w:bCs/>
          <w:lang w:val="es-ES_tradnl" w:eastAsia="es-ES"/>
        </w:rPr>
        <w:t xml:space="preserve"> “X”</w:t>
      </w:r>
      <w:r w:rsidR="0071669B" w:rsidRPr="004C52B2">
        <w:rPr>
          <w:rFonts w:ascii="ITC Avant Garde" w:eastAsia="Times New Roman" w:hAnsi="ITC Avant Garde" w:cs="Arial"/>
          <w:bCs/>
          <w:lang w:val="es-ES_tradnl" w:eastAsia="es-ES"/>
        </w:rPr>
        <w:t>, consideró</w:t>
      </w:r>
      <w:r w:rsidR="00A45EE4" w:rsidRPr="004C52B2">
        <w:rPr>
          <w:rFonts w:ascii="ITC Avant Garde" w:eastAsia="Times New Roman" w:hAnsi="ITC Avant Garde" w:cs="Arial"/>
          <w:bCs/>
          <w:lang w:val="es-ES_tradnl" w:eastAsia="es-ES"/>
        </w:rPr>
        <w:t xml:space="preserve"> los precios agregados y estimados sobre </w:t>
      </w:r>
      <w:r w:rsidR="0075689A" w:rsidRPr="004C52B2">
        <w:rPr>
          <w:rFonts w:ascii="ITC Avant Garde" w:eastAsia="Times New Roman" w:hAnsi="ITC Avant Garde" w:cs="Arial"/>
          <w:bCs/>
          <w:lang w:val="es-ES_tradnl" w:eastAsia="es-ES"/>
        </w:rPr>
        <w:t>la productividad de la economía. P</w:t>
      </w:r>
      <w:r w:rsidR="00392070" w:rsidRPr="004C52B2">
        <w:rPr>
          <w:rFonts w:ascii="ITC Avant Garde" w:eastAsia="Times New Roman" w:hAnsi="ITC Avant Garde" w:cs="Arial"/>
          <w:bCs/>
          <w:lang w:val="es-ES_tradnl" w:eastAsia="es-ES"/>
        </w:rPr>
        <w:t>ara el c</w:t>
      </w:r>
      <w:r w:rsidR="00AB1FFA" w:rsidRPr="004C52B2">
        <w:rPr>
          <w:rFonts w:ascii="ITC Avant Garde" w:eastAsia="Times New Roman" w:hAnsi="ITC Avant Garde" w:cs="Arial"/>
          <w:bCs/>
          <w:lang w:val="es-ES_tradnl" w:eastAsia="es-ES"/>
        </w:rPr>
        <w:t>álculo del Factor Total de Productividad de la econom</w:t>
      </w:r>
      <w:r w:rsidR="00392070" w:rsidRPr="004C52B2">
        <w:rPr>
          <w:rFonts w:ascii="ITC Avant Garde" w:eastAsia="Times New Roman" w:hAnsi="ITC Avant Garde" w:cs="Arial"/>
          <w:bCs/>
          <w:lang w:val="es-ES_tradnl" w:eastAsia="es-ES"/>
        </w:rPr>
        <w:t>ía</w:t>
      </w:r>
      <w:r w:rsidR="004B15B8">
        <w:rPr>
          <w:rFonts w:ascii="ITC Avant Garde" w:eastAsia="Times New Roman" w:hAnsi="ITC Avant Garde" w:cs="Arial"/>
          <w:bCs/>
          <w:lang w:val="es-ES_tradnl" w:eastAsia="es-ES"/>
        </w:rPr>
        <w:t xml:space="preserve"> de México</w:t>
      </w:r>
      <w:r w:rsidR="00392070" w:rsidRPr="004C52B2">
        <w:rPr>
          <w:rFonts w:ascii="ITC Avant Garde" w:eastAsia="Times New Roman" w:hAnsi="ITC Avant Garde" w:cs="Arial"/>
          <w:bCs/>
          <w:lang w:val="es-ES_tradnl" w:eastAsia="es-ES"/>
        </w:rPr>
        <w:t>, s</w:t>
      </w:r>
      <w:r w:rsidR="00AB1FFA" w:rsidRPr="004C52B2">
        <w:rPr>
          <w:rFonts w:ascii="ITC Avant Garde" w:eastAsia="Times New Roman" w:hAnsi="ITC Avant Garde" w:cs="Arial"/>
          <w:bCs/>
          <w:lang w:val="es-ES_tradnl" w:eastAsia="es-ES"/>
        </w:rPr>
        <w:t xml:space="preserve">e </w:t>
      </w:r>
      <w:r w:rsidR="00E70305" w:rsidRPr="004C52B2">
        <w:rPr>
          <w:rFonts w:ascii="ITC Avant Garde" w:eastAsia="Times New Roman" w:hAnsi="ITC Avant Garde" w:cs="Arial"/>
          <w:bCs/>
          <w:lang w:val="es-ES_tradnl" w:eastAsia="es-ES"/>
        </w:rPr>
        <w:t>emplearon</w:t>
      </w:r>
      <w:r w:rsidR="00AB1FFA" w:rsidRPr="004C52B2">
        <w:rPr>
          <w:rFonts w:ascii="ITC Avant Garde" w:eastAsia="Times New Roman" w:hAnsi="ITC Avant Garde" w:cs="Arial"/>
          <w:bCs/>
          <w:lang w:val="es-ES_tradnl" w:eastAsia="es-ES"/>
        </w:rPr>
        <w:t xml:space="preserve"> los datos reportados por </w:t>
      </w:r>
      <w:r w:rsidR="00E70305" w:rsidRPr="004C52B2">
        <w:rPr>
          <w:rFonts w:ascii="ITC Avant Garde" w:eastAsia="Times New Roman" w:hAnsi="ITC Avant Garde" w:cs="Arial"/>
          <w:bCs/>
          <w:lang w:val="es-ES_tradnl" w:eastAsia="es-ES"/>
        </w:rPr>
        <w:t>el “</w:t>
      </w:r>
      <w:proofErr w:type="spellStart"/>
      <w:r w:rsidR="00E70305" w:rsidRPr="004C52B2">
        <w:rPr>
          <w:rFonts w:ascii="ITC Avant Garde" w:eastAsia="Times New Roman" w:hAnsi="ITC Avant Garde" w:cs="Arial"/>
          <w:bCs/>
          <w:i/>
          <w:lang w:val="es-ES_tradnl" w:eastAsia="es-ES"/>
        </w:rPr>
        <w:t>Conference</w:t>
      </w:r>
      <w:proofErr w:type="spellEnd"/>
      <w:r w:rsidR="00E70305" w:rsidRPr="004C52B2">
        <w:rPr>
          <w:rFonts w:ascii="ITC Avant Garde" w:eastAsia="Times New Roman" w:hAnsi="ITC Avant Garde" w:cs="Arial"/>
          <w:bCs/>
          <w:i/>
          <w:lang w:val="es-ES_tradnl" w:eastAsia="es-ES"/>
        </w:rPr>
        <w:t xml:space="preserve"> </w:t>
      </w:r>
      <w:proofErr w:type="spellStart"/>
      <w:r w:rsidR="00E70305" w:rsidRPr="004C52B2">
        <w:rPr>
          <w:rFonts w:ascii="ITC Avant Garde" w:eastAsia="Times New Roman" w:hAnsi="ITC Avant Garde" w:cs="Arial"/>
          <w:bCs/>
          <w:i/>
          <w:lang w:val="es-ES_tradnl" w:eastAsia="es-ES"/>
        </w:rPr>
        <w:t>Board</w:t>
      </w:r>
      <w:proofErr w:type="spellEnd"/>
      <w:r w:rsidR="001618F3" w:rsidRPr="004C52B2">
        <w:rPr>
          <w:rFonts w:ascii="ITC Avant Garde" w:eastAsia="Times New Roman" w:hAnsi="ITC Avant Garde" w:cs="Arial"/>
          <w:bCs/>
          <w:lang w:val="es-ES_tradnl" w:eastAsia="es-ES"/>
        </w:rPr>
        <w:t>”</w:t>
      </w:r>
      <w:r w:rsidR="0040037C" w:rsidRPr="004C52B2">
        <w:rPr>
          <w:rStyle w:val="Refdenotaalpie"/>
          <w:rFonts w:ascii="ITC Avant Garde" w:eastAsia="Times New Roman" w:hAnsi="ITC Avant Garde" w:cs="Arial"/>
          <w:bCs/>
          <w:i/>
          <w:lang w:val="es-ES_tradnl" w:eastAsia="es-ES"/>
        </w:rPr>
        <w:footnoteReference w:id="3"/>
      </w:r>
      <w:r w:rsidR="00E70305" w:rsidRPr="004C52B2">
        <w:rPr>
          <w:rFonts w:ascii="ITC Avant Garde" w:eastAsia="Times New Roman" w:hAnsi="ITC Avant Garde" w:cs="Arial"/>
          <w:bCs/>
          <w:lang w:val="es-ES_tradnl" w:eastAsia="es-ES"/>
        </w:rPr>
        <w:t>, para los años 2001 a 2014. Para el año 2015 se obtuvo el promedio de</w:t>
      </w:r>
      <w:r w:rsidR="004B15B8">
        <w:rPr>
          <w:rFonts w:ascii="ITC Avant Garde" w:eastAsia="Times New Roman" w:hAnsi="ITC Avant Garde" w:cs="Arial"/>
          <w:bCs/>
          <w:lang w:val="es-ES_tradnl" w:eastAsia="es-ES"/>
        </w:rPr>
        <w:t xml:space="preserve"> </w:t>
      </w:r>
      <w:r w:rsidR="00E70305" w:rsidRPr="004C52B2">
        <w:rPr>
          <w:rFonts w:ascii="ITC Avant Garde" w:eastAsia="Times New Roman" w:hAnsi="ITC Avant Garde" w:cs="Arial"/>
          <w:bCs/>
          <w:lang w:val="es-ES_tradnl" w:eastAsia="es-ES"/>
        </w:rPr>
        <w:t>l</w:t>
      </w:r>
      <w:r w:rsidR="004B15B8">
        <w:rPr>
          <w:rFonts w:ascii="ITC Avant Garde" w:eastAsia="Times New Roman" w:hAnsi="ITC Avant Garde" w:cs="Arial"/>
          <w:bCs/>
          <w:lang w:val="es-ES_tradnl" w:eastAsia="es-ES"/>
        </w:rPr>
        <w:t>a</w:t>
      </w:r>
      <w:r w:rsidR="00E70305" w:rsidRPr="004C52B2">
        <w:rPr>
          <w:rFonts w:ascii="ITC Avant Garde" w:eastAsia="Times New Roman" w:hAnsi="ITC Avant Garde" w:cs="Arial"/>
          <w:bCs/>
          <w:lang w:val="es-ES_tradnl" w:eastAsia="es-ES"/>
        </w:rPr>
        <w:t xml:space="preserve"> PTF de la economía de México para el periodo 2001 a 2014, al no existir disponibilidad del dato en el momento en que fue realizada la propuesta.</w:t>
      </w:r>
      <w:r w:rsidR="00392070" w:rsidRPr="004C52B2">
        <w:rPr>
          <w:rFonts w:ascii="ITC Avant Garde" w:eastAsia="Times New Roman" w:hAnsi="ITC Avant Garde" w:cs="Arial"/>
          <w:bCs/>
          <w:lang w:val="es-ES_tradnl" w:eastAsia="es-ES"/>
        </w:rPr>
        <w:t xml:space="preserve"> En el caso del cambio en los precios de los insumos de la economía</w:t>
      </w:r>
      <w:r w:rsidR="004B15B8">
        <w:rPr>
          <w:rFonts w:ascii="ITC Avant Garde" w:eastAsia="Times New Roman" w:hAnsi="ITC Avant Garde" w:cs="Arial"/>
          <w:bCs/>
          <w:lang w:val="es-ES_tradnl" w:eastAsia="es-ES"/>
        </w:rPr>
        <w:t xml:space="preserve"> de México</w:t>
      </w:r>
      <w:r w:rsidR="00392070" w:rsidRPr="004C52B2">
        <w:rPr>
          <w:rFonts w:ascii="ITC Avant Garde" w:eastAsia="Times New Roman" w:hAnsi="ITC Avant Garde" w:cs="Arial"/>
          <w:bCs/>
          <w:lang w:val="es-ES_tradnl" w:eastAsia="es-ES"/>
        </w:rPr>
        <w:t>, éstos se estimaron sumando el Factor Total de Productividad de la economía más la inflación de México</w:t>
      </w:r>
      <w:r w:rsidR="004527CA" w:rsidRPr="004C52B2">
        <w:rPr>
          <w:rFonts w:ascii="ITC Avant Garde" w:eastAsia="Times New Roman" w:hAnsi="ITC Avant Garde" w:cs="Arial"/>
          <w:bCs/>
          <w:lang w:val="es-ES_tradnl" w:eastAsia="es-ES"/>
        </w:rPr>
        <w:t>, para ello se utiliz</w:t>
      </w:r>
      <w:r w:rsidR="00F34171" w:rsidRPr="004C52B2">
        <w:rPr>
          <w:rFonts w:ascii="ITC Avant Garde" w:eastAsia="Times New Roman" w:hAnsi="ITC Avant Garde" w:cs="Arial"/>
          <w:bCs/>
          <w:lang w:val="es-ES_tradnl" w:eastAsia="es-ES"/>
        </w:rPr>
        <w:t>ó</w:t>
      </w:r>
      <w:r w:rsidR="004527CA" w:rsidRPr="004C52B2">
        <w:rPr>
          <w:rFonts w:ascii="ITC Avant Garde" w:eastAsia="Times New Roman" w:hAnsi="ITC Avant Garde" w:cs="Arial"/>
          <w:bCs/>
          <w:lang w:val="es-ES_tradnl" w:eastAsia="es-ES"/>
        </w:rPr>
        <w:t xml:space="preserve"> el</w:t>
      </w:r>
      <w:r w:rsidR="00392070" w:rsidRPr="004C52B2">
        <w:rPr>
          <w:rFonts w:ascii="ITC Avant Garde" w:eastAsia="Times New Roman" w:hAnsi="ITC Avant Garde" w:cs="Arial"/>
          <w:bCs/>
          <w:lang w:val="es-ES_tradnl" w:eastAsia="es-ES"/>
        </w:rPr>
        <w:t xml:space="preserve"> Índice Nacional de Precios al Consumidor</w:t>
      </w:r>
      <w:r w:rsidR="00877D95" w:rsidRPr="004C52B2">
        <w:rPr>
          <w:rFonts w:ascii="ITC Avant Garde" w:eastAsia="Times New Roman" w:hAnsi="ITC Avant Garde" w:cs="Arial"/>
          <w:bCs/>
          <w:lang w:val="es-ES_tradnl" w:eastAsia="es-ES"/>
        </w:rPr>
        <w:t xml:space="preserve"> (en lo sucesivo</w:t>
      </w:r>
      <w:r w:rsidR="005C5610">
        <w:rPr>
          <w:rFonts w:ascii="ITC Avant Garde" w:eastAsia="Times New Roman" w:hAnsi="ITC Avant Garde" w:cs="Arial"/>
          <w:bCs/>
          <w:lang w:val="es-ES_tradnl" w:eastAsia="es-ES"/>
        </w:rPr>
        <w:t>,</w:t>
      </w:r>
      <w:r w:rsidR="00877D95" w:rsidRPr="004C52B2">
        <w:rPr>
          <w:rFonts w:ascii="ITC Avant Garde" w:eastAsia="Times New Roman" w:hAnsi="ITC Avant Garde" w:cs="Arial"/>
          <w:bCs/>
          <w:lang w:val="es-ES_tradnl" w:eastAsia="es-ES"/>
        </w:rPr>
        <w:t xml:space="preserve"> el </w:t>
      </w:r>
      <w:r w:rsidR="004527CA" w:rsidRPr="004C52B2">
        <w:rPr>
          <w:rFonts w:ascii="ITC Avant Garde" w:eastAsia="Times New Roman" w:hAnsi="ITC Avant Garde" w:cs="Arial"/>
          <w:bCs/>
          <w:lang w:val="es-ES_tradnl" w:eastAsia="es-ES"/>
        </w:rPr>
        <w:t>“</w:t>
      </w:r>
      <w:r w:rsidR="00392070" w:rsidRPr="004C52B2">
        <w:rPr>
          <w:rFonts w:ascii="ITC Avant Garde" w:eastAsia="Times New Roman" w:hAnsi="ITC Avant Garde" w:cs="Arial"/>
          <w:bCs/>
          <w:lang w:val="es-ES_tradnl" w:eastAsia="es-ES"/>
        </w:rPr>
        <w:t>INPC</w:t>
      </w:r>
      <w:r w:rsidR="004527CA" w:rsidRPr="004C52B2">
        <w:rPr>
          <w:rFonts w:ascii="ITC Avant Garde" w:eastAsia="Times New Roman" w:hAnsi="ITC Avant Garde" w:cs="Arial"/>
          <w:bCs/>
          <w:lang w:val="es-ES_tradnl" w:eastAsia="es-ES"/>
        </w:rPr>
        <w:t>”</w:t>
      </w:r>
      <w:r w:rsidR="00392070" w:rsidRPr="004C52B2">
        <w:rPr>
          <w:rFonts w:ascii="ITC Avant Garde" w:eastAsia="Times New Roman" w:hAnsi="ITC Avant Garde" w:cs="Arial"/>
          <w:bCs/>
          <w:lang w:val="es-ES_tradnl" w:eastAsia="es-ES"/>
        </w:rPr>
        <w:t xml:space="preserve">) </w:t>
      </w:r>
      <w:r w:rsidR="004B15B8">
        <w:rPr>
          <w:rFonts w:ascii="ITC Avant Garde" w:eastAsia="Times New Roman" w:hAnsi="ITC Avant Garde" w:cs="Arial"/>
          <w:bCs/>
          <w:lang w:val="es-ES_tradnl" w:eastAsia="es-ES"/>
        </w:rPr>
        <w:t xml:space="preserve">reportado por el </w:t>
      </w:r>
      <w:r w:rsidR="004B15B8" w:rsidRPr="004B15B8">
        <w:rPr>
          <w:rFonts w:ascii="ITC Avant Garde" w:eastAsia="Times New Roman" w:hAnsi="ITC Avant Garde" w:cs="Arial"/>
          <w:bCs/>
          <w:lang w:val="es-ES_tradnl" w:eastAsia="es-ES"/>
        </w:rPr>
        <w:t>Instituto Nacional de Estadística y Geografía</w:t>
      </w:r>
      <w:r w:rsidR="004B15B8">
        <w:rPr>
          <w:rFonts w:ascii="ITC Avant Garde" w:eastAsia="Times New Roman" w:hAnsi="ITC Avant Garde" w:cs="Arial"/>
          <w:bCs/>
          <w:lang w:val="es-ES_tradnl" w:eastAsia="es-ES"/>
        </w:rPr>
        <w:t xml:space="preserve"> (en lo sucesivo, el “INEGI”) </w:t>
      </w:r>
      <w:r w:rsidR="00392070" w:rsidRPr="004C52B2">
        <w:rPr>
          <w:rFonts w:ascii="ITC Avant Garde" w:eastAsia="Times New Roman" w:hAnsi="ITC Avant Garde" w:cs="Arial"/>
          <w:bCs/>
          <w:lang w:val="es-ES_tradnl" w:eastAsia="es-ES"/>
        </w:rPr>
        <w:t>para cada año.</w:t>
      </w:r>
    </w:p>
    <w:p w14:paraId="27AFEE4C" w14:textId="77777777" w:rsidR="008369E9" w:rsidRDefault="00376BF9" w:rsidP="008369E9">
      <w:pPr>
        <w:adjustRightInd w:val="0"/>
        <w:spacing w:before="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
          <w:bCs/>
          <w:lang w:val="es-ES_tradnl" w:eastAsia="es-ES"/>
        </w:rPr>
        <w:t>5</w:t>
      </w:r>
      <w:r w:rsidR="00790E70" w:rsidRPr="004C52B2">
        <w:rPr>
          <w:rFonts w:ascii="ITC Avant Garde" w:eastAsia="Times New Roman" w:hAnsi="ITC Avant Garde" w:cs="Arial"/>
          <w:b/>
          <w:bCs/>
          <w:lang w:val="es-ES_tradnl" w:eastAsia="es-ES"/>
        </w:rPr>
        <w:t xml:space="preserve">.3 </w:t>
      </w:r>
      <w:r w:rsidR="00392070" w:rsidRPr="004C52B2">
        <w:rPr>
          <w:rFonts w:ascii="ITC Avant Garde" w:eastAsia="Times New Roman" w:hAnsi="ITC Avant Garde" w:cs="Arial"/>
          <w:b/>
          <w:bCs/>
          <w:lang w:val="es-ES_tradnl" w:eastAsia="es-ES"/>
        </w:rPr>
        <w:t>Información de Telmex</w:t>
      </w:r>
      <w:r w:rsidR="00392070" w:rsidRPr="004C52B2">
        <w:rPr>
          <w:rFonts w:ascii="ITC Avant Garde" w:eastAsia="Times New Roman" w:hAnsi="ITC Avant Garde" w:cs="Arial"/>
          <w:bCs/>
          <w:lang w:val="es-ES_tradnl" w:eastAsia="es-ES"/>
        </w:rPr>
        <w:t xml:space="preserve">. La información </w:t>
      </w:r>
      <w:r w:rsidR="00566B8C" w:rsidRPr="004C52B2">
        <w:rPr>
          <w:rFonts w:ascii="ITC Avant Garde" w:eastAsia="Times New Roman" w:hAnsi="ITC Avant Garde" w:cs="Arial"/>
          <w:bCs/>
          <w:lang w:val="es-ES_tradnl" w:eastAsia="es-ES"/>
        </w:rPr>
        <w:t>para</w:t>
      </w:r>
      <w:r w:rsidR="00392070" w:rsidRPr="004C52B2">
        <w:rPr>
          <w:rFonts w:ascii="ITC Avant Garde" w:eastAsia="Times New Roman" w:hAnsi="ITC Avant Garde" w:cs="Arial"/>
          <w:bCs/>
          <w:lang w:val="es-ES_tradnl" w:eastAsia="es-ES"/>
        </w:rPr>
        <w:t xml:space="preserve"> </w:t>
      </w:r>
      <w:r w:rsidR="00566B8C" w:rsidRPr="004C52B2">
        <w:rPr>
          <w:rFonts w:ascii="ITC Avant Garde" w:eastAsia="Times New Roman" w:hAnsi="ITC Avant Garde" w:cs="Arial"/>
          <w:bCs/>
          <w:lang w:val="es-ES_tradnl" w:eastAsia="es-ES"/>
        </w:rPr>
        <w:t xml:space="preserve">la </w:t>
      </w:r>
      <w:r w:rsidR="00392070" w:rsidRPr="004C52B2">
        <w:rPr>
          <w:rFonts w:ascii="ITC Avant Garde" w:eastAsia="Times New Roman" w:hAnsi="ITC Avant Garde" w:cs="Arial"/>
          <w:bCs/>
          <w:lang w:val="es-ES_tradnl" w:eastAsia="es-ES"/>
        </w:rPr>
        <w:t xml:space="preserve">estimación del </w:t>
      </w:r>
      <w:r w:rsidR="0070681E">
        <w:rPr>
          <w:rFonts w:ascii="ITC Avant Garde" w:eastAsia="Times New Roman" w:hAnsi="ITC Avant Garde" w:cs="Arial"/>
          <w:bCs/>
          <w:lang w:val="es-ES_tradnl" w:eastAsia="es-ES"/>
        </w:rPr>
        <w:t>F</w:t>
      </w:r>
      <w:r w:rsidR="00392070" w:rsidRPr="004C52B2">
        <w:rPr>
          <w:rFonts w:ascii="ITC Avant Garde" w:eastAsia="Times New Roman" w:hAnsi="ITC Avant Garde" w:cs="Arial"/>
          <w:bCs/>
          <w:lang w:val="es-ES_tradnl" w:eastAsia="es-ES"/>
        </w:rPr>
        <w:t xml:space="preserve">actor de </w:t>
      </w:r>
      <w:r w:rsidR="0070681E">
        <w:rPr>
          <w:rFonts w:ascii="ITC Avant Garde" w:eastAsia="Times New Roman" w:hAnsi="ITC Avant Garde" w:cs="Arial"/>
          <w:bCs/>
          <w:lang w:val="es-ES_tradnl" w:eastAsia="es-ES"/>
        </w:rPr>
        <w:t>P</w:t>
      </w:r>
      <w:r w:rsidR="00392070" w:rsidRPr="004C52B2">
        <w:rPr>
          <w:rFonts w:ascii="ITC Avant Garde" w:eastAsia="Times New Roman" w:hAnsi="ITC Avant Garde" w:cs="Arial"/>
          <w:bCs/>
          <w:lang w:val="es-ES_tradnl" w:eastAsia="es-ES"/>
        </w:rPr>
        <w:t>roductividad</w:t>
      </w:r>
      <w:r w:rsidR="00566B8C" w:rsidRPr="004C52B2">
        <w:rPr>
          <w:rFonts w:ascii="ITC Avant Garde" w:eastAsia="Times New Roman" w:hAnsi="ITC Avant Garde" w:cs="Arial"/>
          <w:bCs/>
          <w:lang w:val="es-ES_tradnl" w:eastAsia="es-ES"/>
        </w:rPr>
        <w:t xml:space="preserve"> </w:t>
      </w:r>
      <w:r w:rsidR="0070681E">
        <w:rPr>
          <w:rFonts w:ascii="ITC Avant Garde" w:eastAsia="Times New Roman" w:hAnsi="ITC Avant Garde" w:cs="Arial"/>
          <w:bCs/>
          <w:lang w:val="es-ES_tradnl" w:eastAsia="es-ES"/>
        </w:rPr>
        <w:t xml:space="preserve">“X” </w:t>
      </w:r>
      <w:r w:rsidR="00566B8C" w:rsidRPr="004C52B2">
        <w:rPr>
          <w:rFonts w:ascii="ITC Avant Garde" w:eastAsia="Times New Roman" w:hAnsi="ITC Avant Garde" w:cs="Arial"/>
          <w:bCs/>
          <w:lang w:val="es-ES_tradnl" w:eastAsia="es-ES"/>
        </w:rPr>
        <w:t>de Telmex</w:t>
      </w:r>
      <w:r w:rsidR="00F34171" w:rsidRPr="004C52B2">
        <w:rPr>
          <w:rFonts w:ascii="ITC Avant Garde" w:eastAsia="Times New Roman" w:hAnsi="ITC Avant Garde" w:cs="Arial"/>
          <w:bCs/>
          <w:lang w:val="es-ES_tradnl" w:eastAsia="es-ES"/>
        </w:rPr>
        <w:t xml:space="preserve"> que incluyó datos relativos al cambio en los precios de los insumos</w:t>
      </w:r>
      <w:r w:rsidR="00392070" w:rsidRPr="004C52B2">
        <w:rPr>
          <w:rFonts w:ascii="ITC Avant Garde" w:eastAsia="Times New Roman" w:hAnsi="ITC Avant Garde" w:cs="Arial"/>
          <w:bCs/>
          <w:lang w:val="es-ES_tradnl" w:eastAsia="es-ES"/>
        </w:rPr>
        <w:t xml:space="preserve">, </w:t>
      </w:r>
      <w:r w:rsidR="00566B8C" w:rsidRPr="004C52B2">
        <w:rPr>
          <w:rFonts w:ascii="ITC Avant Garde" w:eastAsia="Times New Roman" w:hAnsi="ITC Avant Garde" w:cs="Arial"/>
          <w:bCs/>
          <w:lang w:val="es-ES_tradnl" w:eastAsia="es-ES"/>
        </w:rPr>
        <w:t>fue aportad</w:t>
      </w:r>
      <w:r w:rsidR="00F34171" w:rsidRPr="004C52B2">
        <w:rPr>
          <w:rFonts w:ascii="ITC Avant Garde" w:eastAsia="Times New Roman" w:hAnsi="ITC Avant Garde" w:cs="Arial"/>
          <w:bCs/>
          <w:lang w:val="es-ES_tradnl" w:eastAsia="es-ES"/>
        </w:rPr>
        <w:t>a</w:t>
      </w:r>
      <w:r w:rsidR="00566B8C" w:rsidRPr="004C52B2">
        <w:rPr>
          <w:rFonts w:ascii="ITC Avant Garde" w:eastAsia="Times New Roman" w:hAnsi="ITC Avant Garde" w:cs="Arial"/>
          <w:bCs/>
          <w:lang w:val="es-ES_tradnl" w:eastAsia="es-ES"/>
        </w:rPr>
        <w:t xml:space="preserve"> por la propia empresa. </w:t>
      </w:r>
    </w:p>
    <w:p w14:paraId="29539A24" w14:textId="77777777" w:rsidR="008369E9" w:rsidRDefault="00566B8C" w:rsidP="008369E9">
      <w:pPr>
        <w:adjustRightInd w:val="0"/>
        <w:spacing w:before="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 xml:space="preserve">Para determinar </w:t>
      </w:r>
      <w:r w:rsidR="008F0BAF">
        <w:rPr>
          <w:rFonts w:ascii="ITC Avant Garde" w:eastAsia="Times New Roman" w:hAnsi="ITC Avant Garde" w:cs="Arial"/>
          <w:bCs/>
          <w:lang w:val="es-ES_tradnl" w:eastAsia="es-ES"/>
        </w:rPr>
        <w:t xml:space="preserve">la PTF </w:t>
      </w:r>
      <w:r w:rsidRPr="004C52B2">
        <w:rPr>
          <w:rFonts w:ascii="ITC Avant Garde" w:eastAsia="Times New Roman" w:hAnsi="ITC Avant Garde" w:cs="Arial"/>
          <w:bCs/>
          <w:lang w:val="es-ES_tradnl" w:eastAsia="es-ES"/>
        </w:rPr>
        <w:t xml:space="preserve">de la empresa, se realizó la diferencia entre el índice de producción y el índice de insumos. A </w:t>
      </w:r>
      <w:proofErr w:type="gramStart"/>
      <w:r w:rsidRPr="004C52B2">
        <w:rPr>
          <w:rFonts w:ascii="ITC Avant Garde" w:eastAsia="Times New Roman" w:hAnsi="ITC Avant Garde" w:cs="Arial"/>
          <w:bCs/>
          <w:lang w:val="es-ES_tradnl" w:eastAsia="es-ES"/>
        </w:rPr>
        <w:t>continuación</w:t>
      </w:r>
      <w:proofErr w:type="gramEnd"/>
      <w:r w:rsidRPr="004C52B2">
        <w:rPr>
          <w:rFonts w:ascii="ITC Avant Garde" w:eastAsia="Times New Roman" w:hAnsi="ITC Avant Garde" w:cs="Arial"/>
          <w:bCs/>
          <w:lang w:val="es-ES_tradnl" w:eastAsia="es-ES"/>
        </w:rPr>
        <w:t xml:space="preserve"> se explica a detalle</w:t>
      </w:r>
      <w:r w:rsidR="005C5610">
        <w:rPr>
          <w:rFonts w:ascii="ITC Avant Garde" w:eastAsia="Times New Roman" w:hAnsi="ITC Avant Garde" w:cs="Arial"/>
          <w:bCs/>
          <w:lang w:val="es-ES_tradnl" w:eastAsia="es-ES"/>
        </w:rPr>
        <w:t>.</w:t>
      </w:r>
    </w:p>
    <w:p w14:paraId="35B6CBED" w14:textId="77777777" w:rsidR="008369E9" w:rsidRDefault="00376BF9" w:rsidP="008369E9">
      <w:pPr>
        <w:pStyle w:val="Prrafodelista"/>
        <w:adjustRightInd w:val="0"/>
        <w:spacing w:before="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
          <w:bCs/>
          <w:lang w:val="es-ES_tradnl" w:eastAsia="es-ES"/>
        </w:rPr>
        <w:t>5</w:t>
      </w:r>
      <w:r w:rsidR="00790E70" w:rsidRPr="004C52B2">
        <w:rPr>
          <w:rFonts w:ascii="ITC Avant Garde" w:eastAsia="Times New Roman" w:hAnsi="ITC Avant Garde" w:cs="Arial"/>
          <w:b/>
          <w:bCs/>
          <w:lang w:val="es-ES_tradnl" w:eastAsia="es-ES"/>
        </w:rPr>
        <w:t xml:space="preserve">.3.1 </w:t>
      </w:r>
      <w:r w:rsidR="00461E71" w:rsidRPr="004C52B2">
        <w:rPr>
          <w:rFonts w:ascii="ITC Avant Garde" w:eastAsia="Times New Roman" w:hAnsi="ITC Avant Garde" w:cs="Arial"/>
          <w:b/>
          <w:bCs/>
          <w:lang w:val="es-ES_tradnl" w:eastAsia="es-ES"/>
        </w:rPr>
        <w:t xml:space="preserve">Índice de </w:t>
      </w:r>
      <w:r w:rsidR="00566B8C" w:rsidRPr="004C52B2">
        <w:rPr>
          <w:rFonts w:ascii="ITC Avant Garde" w:eastAsia="Times New Roman" w:hAnsi="ITC Avant Garde" w:cs="Arial"/>
          <w:b/>
          <w:bCs/>
          <w:iCs/>
          <w:lang w:val="es-ES_tradnl" w:eastAsia="es-ES"/>
        </w:rPr>
        <w:t>producción</w:t>
      </w:r>
      <w:r w:rsidR="00461E71" w:rsidRPr="004C52B2">
        <w:rPr>
          <w:rFonts w:ascii="ITC Avant Garde" w:eastAsia="Times New Roman" w:hAnsi="ITC Avant Garde" w:cs="Arial"/>
          <w:b/>
          <w:bCs/>
          <w:lang w:val="es-ES_tradnl" w:eastAsia="es-ES"/>
        </w:rPr>
        <w:t xml:space="preserve">. </w:t>
      </w:r>
      <w:r w:rsidR="00D77EE7" w:rsidRPr="004C52B2">
        <w:rPr>
          <w:rFonts w:ascii="ITC Avant Garde" w:eastAsia="Times New Roman" w:hAnsi="ITC Avant Garde" w:cs="Arial"/>
          <w:bCs/>
          <w:lang w:val="es-ES_tradnl" w:eastAsia="es-ES"/>
        </w:rPr>
        <w:t>La metodología para generar el índice de producto utiliz</w:t>
      </w:r>
      <w:r w:rsidR="001D6DAD" w:rsidRPr="004C52B2">
        <w:rPr>
          <w:rFonts w:ascii="ITC Avant Garde" w:eastAsia="Times New Roman" w:hAnsi="ITC Avant Garde" w:cs="Arial"/>
          <w:bCs/>
          <w:lang w:val="es-ES_tradnl" w:eastAsia="es-ES"/>
        </w:rPr>
        <w:t>ó</w:t>
      </w:r>
      <w:r w:rsidR="00D77EE7" w:rsidRPr="004C52B2">
        <w:rPr>
          <w:rFonts w:ascii="ITC Avant Garde" w:eastAsia="Times New Roman" w:hAnsi="ITC Avant Garde" w:cs="Arial"/>
          <w:bCs/>
          <w:lang w:val="es-ES_tradnl" w:eastAsia="es-ES"/>
        </w:rPr>
        <w:t xml:space="preserve"> un índice de agregación de bienes y servicios.</w:t>
      </w:r>
      <w:r w:rsidR="00776F21" w:rsidRPr="004C52B2">
        <w:rPr>
          <w:rFonts w:ascii="ITC Avant Garde" w:eastAsia="Times New Roman" w:hAnsi="ITC Avant Garde" w:cs="Arial"/>
          <w:bCs/>
          <w:lang w:val="es-ES_tradnl" w:eastAsia="es-ES"/>
        </w:rPr>
        <w:t xml:space="preserve"> </w:t>
      </w:r>
      <w:r w:rsidR="00D77EE7" w:rsidRPr="004C52B2">
        <w:rPr>
          <w:rFonts w:ascii="ITC Avant Garde" w:eastAsia="Times New Roman" w:hAnsi="ITC Avant Garde" w:cs="Arial"/>
          <w:bCs/>
          <w:lang w:val="es-ES_tradnl" w:eastAsia="es-ES"/>
        </w:rPr>
        <w:t xml:space="preserve">Debido a que los bienes y servicios de la empresa incluyen productos regulados y no regulados, </w:t>
      </w:r>
      <w:r w:rsidR="002E0F8D" w:rsidRPr="004C52B2">
        <w:rPr>
          <w:rFonts w:ascii="ITC Avant Garde" w:eastAsia="Times New Roman" w:hAnsi="ITC Avant Garde" w:cs="Arial"/>
          <w:bCs/>
          <w:lang w:val="es-ES_tradnl" w:eastAsia="es-ES"/>
        </w:rPr>
        <w:t>se incluyeron</w:t>
      </w:r>
      <w:r w:rsidR="00D77EE7" w:rsidRPr="004C52B2">
        <w:rPr>
          <w:rFonts w:ascii="ITC Avant Garde" w:eastAsia="Times New Roman" w:hAnsi="ITC Avant Garde" w:cs="Arial"/>
          <w:bCs/>
          <w:lang w:val="es-ES_tradnl" w:eastAsia="es-ES"/>
        </w:rPr>
        <w:t xml:space="preserve"> en el cálculo de la PTF aquellos productos que comparten los mismos insumos de producción. Para tal efecto, se emple</w:t>
      </w:r>
      <w:r w:rsidR="002E0F8D" w:rsidRPr="004C52B2">
        <w:rPr>
          <w:rFonts w:ascii="ITC Avant Garde" w:eastAsia="Times New Roman" w:hAnsi="ITC Avant Garde" w:cs="Arial"/>
          <w:bCs/>
          <w:lang w:val="es-ES_tradnl" w:eastAsia="es-ES"/>
        </w:rPr>
        <w:t>ó</w:t>
      </w:r>
      <w:r w:rsidR="00877D95" w:rsidRPr="004C52B2">
        <w:rPr>
          <w:rFonts w:ascii="ITC Avant Garde" w:eastAsia="Times New Roman" w:hAnsi="ITC Avant Garde" w:cs="Arial"/>
          <w:bCs/>
          <w:lang w:val="es-ES_tradnl" w:eastAsia="es-ES"/>
        </w:rPr>
        <w:t xml:space="preserve"> el índice de Fisher </w:t>
      </w:r>
      <w:r w:rsidR="00447667" w:rsidRPr="004C52B2">
        <w:rPr>
          <w:rFonts w:ascii="ITC Avant Garde" w:eastAsia="Times New Roman" w:hAnsi="ITC Avant Garde" w:cs="Arial"/>
          <w:bCs/>
          <w:lang w:val="es-ES_tradnl" w:eastAsia="es-ES"/>
        </w:rPr>
        <w:t xml:space="preserve">cuyo cálculo consideró </w:t>
      </w:r>
      <w:r w:rsidR="00D77EE7" w:rsidRPr="004C52B2">
        <w:rPr>
          <w:rFonts w:ascii="ITC Avant Garde" w:eastAsia="Times New Roman" w:hAnsi="ITC Avant Garde" w:cs="Arial"/>
          <w:bCs/>
          <w:lang w:val="es-ES_tradnl" w:eastAsia="es-ES"/>
        </w:rPr>
        <w:t>ponderaciones aplicadas a cada tipo de producto.</w:t>
      </w:r>
    </w:p>
    <w:p w14:paraId="3D120A96" w14:textId="77777777" w:rsidR="008369E9" w:rsidRDefault="001D6DAD" w:rsidP="000D1D86">
      <w:pPr>
        <w:pStyle w:val="Prrafodelista"/>
        <w:adjustRightInd w:val="0"/>
        <w:spacing w:beforeLines="200" w:before="480" w:afterLines="150" w:after="360" w:line="240" w:lineRule="auto"/>
        <w:contextualSpacing w:val="0"/>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lastRenderedPageBreak/>
        <w:t>L</w:t>
      </w:r>
      <w:r w:rsidR="00D77EE7" w:rsidRPr="004C52B2">
        <w:rPr>
          <w:rFonts w:ascii="ITC Avant Garde" w:eastAsia="Times New Roman" w:hAnsi="ITC Avant Garde" w:cs="Arial"/>
          <w:bCs/>
          <w:lang w:val="es-ES_tradnl" w:eastAsia="es-ES"/>
        </w:rPr>
        <w:t xml:space="preserve">a tasa de crecimiento de la productividad de </w:t>
      </w:r>
      <w:r w:rsidR="002E0F8D" w:rsidRPr="004C52B2">
        <w:rPr>
          <w:rFonts w:ascii="ITC Avant Garde" w:eastAsia="Times New Roman" w:hAnsi="ITC Avant Garde" w:cs="Arial"/>
          <w:bCs/>
          <w:lang w:val="es-ES_tradnl" w:eastAsia="es-ES"/>
        </w:rPr>
        <w:t>la</w:t>
      </w:r>
      <w:r w:rsidR="00D77EE7" w:rsidRPr="004C52B2">
        <w:rPr>
          <w:rFonts w:ascii="ITC Avant Garde" w:eastAsia="Times New Roman" w:hAnsi="ITC Avant Garde" w:cs="Arial"/>
          <w:bCs/>
          <w:lang w:val="es-ES_tradnl" w:eastAsia="es-ES"/>
        </w:rPr>
        <w:t xml:space="preserve"> empresa </w:t>
      </w:r>
      <w:r w:rsidR="002E0F8D" w:rsidRPr="004C52B2">
        <w:rPr>
          <w:rFonts w:ascii="ITC Avant Garde" w:eastAsia="Times New Roman" w:hAnsi="ITC Avant Garde" w:cs="Arial"/>
          <w:bCs/>
          <w:lang w:val="es-ES_tradnl" w:eastAsia="es-ES"/>
        </w:rPr>
        <w:t>se expresó</w:t>
      </w:r>
      <w:r w:rsidR="00D77EE7" w:rsidRPr="004C52B2">
        <w:rPr>
          <w:rFonts w:ascii="ITC Avant Garde" w:eastAsia="Times New Roman" w:hAnsi="ITC Avant Garde" w:cs="Arial"/>
          <w:bCs/>
          <w:lang w:val="es-ES_tradnl" w:eastAsia="es-ES"/>
        </w:rPr>
        <w:t xml:space="preserve"> mediante la diferencia entre el crecimiento de sus productos y de sus insumos</w:t>
      </w:r>
      <w:r w:rsidRPr="004C52B2">
        <w:rPr>
          <w:rFonts w:ascii="ITC Avant Garde" w:eastAsia="Times New Roman" w:hAnsi="ITC Avant Garde" w:cs="Arial"/>
          <w:bCs/>
          <w:lang w:val="es-ES_tradnl" w:eastAsia="es-ES"/>
        </w:rPr>
        <w:t xml:space="preserve"> en un periodo determinado</w:t>
      </w:r>
      <w:r w:rsidR="00D77EE7" w:rsidRPr="004C52B2">
        <w:rPr>
          <w:rFonts w:ascii="ITC Avant Garde" w:eastAsia="Times New Roman" w:hAnsi="ITC Avant Garde" w:cs="Arial"/>
          <w:bCs/>
          <w:lang w:val="es-ES_tradnl" w:eastAsia="es-ES"/>
        </w:rPr>
        <w:t xml:space="preserve">. Para determinar la tasa de crecimiento de los productos de la empresa, </w:t>
      </w:r>
      <w:r w:rsidR="00AF4FA3" w:rsidRPr="004C52B2">
        <w:rPr>
          <w:rFonts w:ascii="ITC Avant Garde" w:eastAsia="Times New Roman" w:hAnsi="ITC Avant Garde" w:cs="Arial"/>
          <w:bCs/>
          <w:lang w:val="es-ES_tradnl" w:eastAsia="es-ES"/>
        </w:rPr>
        <w:t xml:space="preserve">en primer </w:t>
      </w:r>
      <w:proofErr w:type="gramStart"/>
      <w:r w:rsidR="00AF4FA3" w:rsidRPr="004C52B2">
        <w:rPr>
          <w:rFonts w:ascii="ITC Avant Garde" w:eastAsia="Times New Roman" w:hAnsi="ITC Avant Garde" w:cs="Arial"/>
          <w:bCs/>
          <w:lang w:val="es-ES_tradnl" w:eastAsia="es-ES"/>
        </w:rPr>
        <w:t>término</w:t>
      </w:r>
      <w:proofErr w:type="gramEnd"/>
      <w:r w:rsidR="00AF4FA3" w:rsidRPr="004C52B2">
        <w:rPr>
          <w:rFonts w:ascii="ITC Avant Garde" w:eastAsia="Times New Roman" w:hAnsi="ITC Avant Garde" w:cs="Arial"/>
          <w:bCs/>
          <w:lang w:val="es-ES_tradnl" w:eastAsia="es-ES"/>
        </w:rPr>
        <w:t xml:space="preserve"> </w:t>
      </w:r>
      <w:r w:rsidR="00D77EE7" w:rsidRPr="004C52B2">
        <w:rPr>
          <w:rFonts w:ascii="ITC Avant Garde" w:eastAsia="Times New Roman" w:hAnsi="ITC Avant Garde" w:cs="Arial"/>
          <w:bCs/>
          <w:lang w:val="es-ES_tradnl" w:eastAsia="es-ES"/>
        </w:rPr>
        <w:t>se</w:t>
      </w:r>
      <w:r w:rsidR="002E0F8D" w:rsidRPr="004C52B2">
        <w:rPr>
          <w:rFonts w:ascii="ITC Avant Garde" w:eastAsia="Times New Roman" w:hAnsi="ITC Avant Garde" w:cs="Arial"/>
          <w:bCs/>
          <w:lang w:val="es-ES_tradnl" w:eastAsia="es-ES"/>
        </w:rPr>
        <w:t xml:space="preserve"> </w:t>
      </w:r>
      <w:r w:rsidR="00D77EE7" w:rsidRPr="004C52B2">
        <w:rPr>
          <w:rFonts w:ascii="ITC Avant Garde" w:eastAsia="Times New Roman" w:hAnsi="ITC Avant Garde" w:cs="Arial"/>
          <w:bCs/>
          <w:lang w:val="es-ES_tradnl" w:eastAsia="es-ES"/>
        </w:rPr>
        <w:t>identificar</w:t>
      </w:r>
      <w:r w:rsidR="002E0F8D" w:rsidRPr="004C52B2">
        <w:rPr>
          <w:rFonts w:ascii="ITC Avant Garde" w:eastAsia="Times New Roman" w:hAnsi="ITC Avant Garde" w:cs="Arial"/>
          <w:bCs/>
          <w:lang w:val="es-ES_tradnl" w:eastAsia="es-ES"/>
        </w:rPr>
        <w:t>on</w:t>
      </w:r>
      <w:r w:rsidR="00D77EE7" w:rsidRPr="004C52B2">
        <w:rPr>
          <w:rFonts w:ascii="ITC Avant Garde" w:eastAsia="Times New Roman" w:hAnsi="ITC Avant Garde" w:cs="Arial"/>
          <w:bCs/>
          <w:lang w:val="es-ES_tradnl" w:eastAsia="es-ES"/>
        </w:rPr>
        <w:t xml:space="preserve"> los servicios </w:t>
      </w:r>
      <w:r w:rsidR="00AF4FA3" w:rsidRPr="004C52B2">
        <w:rPr>
          <w:rFonts w:ascii="ITC Avant Garde" w:eastAsia="Times New Roman" w:hAnsi="ITC Avant Garde" w:cs="Arial"/>
          <w:bCs/>
          <w:lang w:val="es-ES_tradnl" w:eastAsia="es-ES"/>
        </w:rPr>
        <w:t xml:space="preserve">ofrecidos por la compañía </w:t>
      </w:r>
      <w:r w:rsidR="00D77EE7" w:rsidRPr="004C52B2">
        <w:rPr>
          <w:rFonts w:ascii="ITC Avant Garde" w:eastAsia="Times New Roman" w:hAnsi="ITC Avant Garde" w:cs="Arial"/>
          <w:bCs/>
          <w:lang w:val="es-ES_tradnl" w:eastAsia="es-ES"/>
        </w:rPr>
        <w:t xml:space="preserve">y </w:t>
      </w:r>
      <w:r w:rsidR="00AF4FA3" w:rsidRPr="004C52B2">
        <w:rPr>
          <w:rFonts w:ascii="ITC Avant Garde" w:eastAsia="Times New Roman" w:hAnsi="ITC Avant Garde" w:cs="Arial"/>
          <w:bCs/>
          <w:lang w:val="es-ES_tradnl" w:eastAsia="es-ES"/>
        </w:rPr>
        <w:t xml:space="preserve">posteriormente se efectuó </w:t>
      </w:r>
      <w:r w:rsidR="00D77EE7" w:rsidRPr="004C52B2">
        <w:rPr>
          <w:rFonts w:ascii="ITC Avant Garde" w:eastAsia="Times New Roman" w:hAnsi="ITC Avant Garde" w:cs="Arial"/>
          <w:bCs/>
          <w:lang w:val="es-ES_tradnl" w:eastAsia="es-ES"/>
        </w:rPr>
        <w:t>la agregación de cada una de las series de forma individual de los bienes y servicios en un índice único, con la finalidad de obtener una medición de la productividad conjunta de la empresa.</w:t>
      </w:r>
    </w:p>
    <w:p w14:paraId="7026AA38" w14:textId="77777777" w:rsidR="008369E9" w:rsidRDefault="001E2E23" w:rsidP="000D1D86">
      <w:pPr>
        <w:pStyle w:val="Prrafodelista"/>
        <w:numPr>
          <w:ilvl w:val="0"/>
          <w:numId w:val="14"/>
        </w:numPr>
        <w:adjustRightInd w:val="0"/>
        <w:spacing w:beforeLines="200" w:before="480" w:afterLines="150" w:after="360" w:line="240" w:lineRule="auto"/>
        <w:contextualSpacing w:val="0"/>
        <w:jc w:val="both"/>
        <w:rPr>
          <w:rFonts w:ascii="ITC Avant Garde" w:eastAsia="Times New Roman" w:hAnsi="ITC Avant Garde" w:cs="Arial"/>
          <w:bCs/>
          <w:lang w:val="es-ES_tradnl" w:eastAsia="es-ES"/>
        </w:rPr>
      </w:pPr>
      <w:r w:rsidRPr="004C52B2">
        <w:rPr>
          <w:rFonts w:ascii="ITC Avant Garde" w:eastAsia="Times New Roman" w:hAnsi="ITC Avant Garde" w:cs="Arial"/>
          <w:b/>
          <w:lang w:val="es-ES_tradnl" w:eastAsia="es-ES"/>
        </w:rPr>
        <w:t>Cantidad de producto.</w:t>
      </w:r>
      <w:r w:rsidRPr="004C52B2">
        <w:rPr>
          <w:rFonts w:ascii="ITC Avant Garde" w:eastAsia="Times New Roman" w:hAnsi="ITC Avant Garde" w:cs="Arial"/>
          <w:bCs/>
          <w:lang w:val="es-ES_tradnl" w:eastAsia="es-ES"/>
        </w:rPr>
        <w:t xml:space="preserve"> </w:t>
      </w:r>
    </w:p>
    <w:p w14:paraId="0EED16FD" w14:textId="77777777" w:rsidR="008369E9" w:rsidRDefault="001E2E23" w:rsidP="000D1D86">
      <w:pPr>
        <w:pStyle w:val="Prrafodelista"/>
        <w:adjustRightInd w:val="0"/>
        <w:spacing w:beforeLines="200" w:before="480" w:after="0" w:line="240" w:lineRule="auto"/>
        <w:ind w:left="1080"/>
        <w:contextualSpacing w:val="0"/>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Se</w:t>
      </w:r>
      <w:r w:rsidR="002E0F8D" w:rsidRPr="004C52B2">
        <w:rPr>
          <w:rFonts w:ascii="ITC Avant Garde" w:eastAsia="Times New Roman" w:hAnsi="ITC Avant Garde" w:cs="Arial"/>
          <w:bCs/>
          <w:lang w:val="es-ES_tradnl" w:eastAsia="es-ES"/>
        </w:rPr>
        <w:t xml:space="preserve"> i</w:t>
      </w:r>
      <w:r w:rsidRPr="004C52B2">
        <w:rPr>
          <w:rFonts w:ascii="ITC Avant Garde" w:eastAsia="Times New Roman" w:hAnsi="ITC Avant Garde" w:cs="Arial"/>
          <w:bCs/>
          <w:lang w:val="es-ES_tradnl" w:eastAsia="es-ES"/>
        </w:rPr>
        <w:t>dentificar</w:t>
      </w:r>
      <w:r w:rsidR="002E0F8D" w:rsidRPr="004C52B2">
        <w:rPr>
          <w:rFonts w:ascii="ITC Avant Garde" w:eastAsia="Times New Roman" w:hAnsi="ITC Avant Garde" w:cs="Arial"/>
          <w:bCs/>
          <w:lang w:val="es-ES_tradnl" w:eastAsia="es-ES"/>
        </w:rPr>
        <w:t>on</w:t>
      </w:r>
      <w:r w:rsidRPr="004C52B2">
        <w:rPr>
          <w:rFonts w:ascii="ITC Avant Garde" w:eastAsia="Times New Roman" w:hAnsi="ITC Avant Garde" w:cs="Arial"/>
          <w:bCs/>
          <w:lang w:val="es-ES_tradnl" w:eastAsia="es-ES"/>
        </w:rPr>
        <w:t xml:space="preserve"> todos los productos de la empresa regulada que comparten los mismos insumos de producción para calcular el índice de Fisher correspondiente a la cantidad de producto.</w:t>
      </w:r>
    </w:p>
    <w:p w14:paraId="2C1F8BE7" w14:textId="77777777" w:rsidR="008369E9" w:rsidRDefault="001E2E23" w:rsidP="000D1D86">
      <w:pPr>
        <w:pStyle w:val="Prrafodelista"/>
        <w:numPr>
          <w:ilvl w:val="0"/>
          <w:numId w:val="14"/>
        </w:numPr>
        <w:adjustRightInd w:val="0"/>
        <w:spacing w:beforeLines="200" w:before="480" w:after="120" w:line="240" w:lineRule="auto"/>
        <w:contextualSpacing w:val="0"/>
        <w:jc w:val="both"/>
        <w:rPr>
          <w:rFonts w:ascii="ITC Avant Garde" w:eastAsia="Times New Roman" w:hAnsi="ITC Avant Garde" w:cs="Arial"/>
          <w:bCs/>
          <w:lang w:val="es-ES_tradnl" w:eastAsia="es-ES"/>
        </w:rPr>
      </w:pPr>
      <w:r w:rsidRPr="004C52B2">
        <w:rPr>
          <w:rFonts w:ascii="ITC Avant Garde" w:eastAsia="Times New Roman" w:hAnsi="ITC Avant Garde" w:cs="Arial"/>
          <w:b/>
          <w:lang w:val="es-ES_tradnl" w:eastAsia="es-ES"/>
        </w:rPr>
        <w:t>Ponderación del producto.</w:t>
      </w:r>
    </w:p>
    <w:p w14:paraId="2ADF9D5D" w14:textId="77777777" w:rsidR="008369E9" w:rsidRDefault="001E2E23" w:rsidP="000D1D86">
      <w:pPr>
        <w:pStyle w:val="Prrafodelista"/>
        <w:adjustRightInd w:val="0"/>
        <w:spacing w:beforeLines="150" w:before="360" w:after="0" w:line="240" w:lineRule="auto"/>
        <w:ind w:left="1080"/>
        <w:contextualSpacing w:val="0"/>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 xml:space="preserve">En el cálculo del índice de Fisher, </w:t>
      </w:r>
      <w:r w:rsidR="001D6DAD" w:rsidRPr="004C52B2">
        <w:rPr>
          <w:rFonts w:ascii="ITC Avant Garde" w:eastAsia="Times New Roman" w:hAnsi="ITC Avant Garde" w:cs="Arial"/>
          <w:bCs/>
          <w:lang w:val="es-ES_tradnl" w:eastAsia="es-ES"/>
        </w:rPr>
        <w:t>se</w:t>
      </w:r>
      <w:r w:rsidRPr="004C52B2">
        <w:rPr>
          <w:rFonts w:ascii="ITC Avant Garde" w:eastAsia="Times New Roman" w:hAnsi="ITC Avant Garde" w:cs="Arial"/>
          <w:bCs/>
          <w:lang w:val="es-ES_tradnl" w:eastAsia="es-ES"/>
        </w:rPr>
        <w:t xml:space="preserve"> emplear</w:t>
      </w:r>
      <w:r w:rsidR="001D6DAD" w:rsidRPr="004C52B2">
        <w:rPr>
          <w:rFonts w:ascii="ITC Avant Garde" w:eastAsia="Times New Roman" w:hAnsi="ITC Avant Garde" w:cs="Arial"/>
          <w:bCs/>
          <w:lang w:val="es-ES_tradnl" w:eastAsia="es-ES"/>
        </w:rPr>
        <w:t>on</w:t>
      </w:r>
      <w:r w:rsidRPr="004C52B2">
        <w:rPr>
          <w:rFonts w:ascii="ITC Avant Garde" w:eastAsia="Times New Roman" w:hAnsi="ITC Avant Garde" w:cs="Arial"/>
          <w:bCs/>
          <w:lang w:val="es-ES_tradnl" w:eastAsia="es-ES"/>
        </w:rPr>
        <w:t xml:space="preserve"> ponderaciones en los productos de la empresa regulada debido a la diversidad de productos que se tienen.</w:t>
      </w:r>
    </w:p>
    <w:p w14:paraId="514534E4" w14:textId="77777777" w:rsidR="008369E9" w:rsidRDefault="001E2E23" w:rsidP="000D1D86">
      <w:pPr>
        <w:pStyle w:val="Prrafodelista"/>
        <w:adjustRightInd w:val="0"/>
        <w:spacing w:beforeLines="150" w:before="360" w:afterLines="200" w:after="480" w:line="240" w:lineRule="auto"/>
        <w:ind w:left="1080"/>
        <w:contextualSpacing w:val="0"/>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Para estimar las ponderaciones de los diversos productos, se emplear</w:t>
      </w:r>
      <w:r w:rsidR="00122E0A" w:rsidRPr="004C52B2">
        <w:rPr>
          <w:rFonts w:ascii="ITC Avant Garde" w:eastAsia="Times New Roman" w:hAnsi="ITC Avant Garde" w:cs="Arial"/>
          <w:bCs/>
          <w:lang w:val="es-ES_tradnl" w:eastAsia="es-ES"/>
        </w:rPr>
        <w:t>on</w:t>
      </w:r>
      <w:r w:rsidRPr="004C52B2">
        <w:rPr>
          <w:rFonts w:ascii="ITC Avant Garde" w:eastAsia="Times New Roman" w:hAnsi="ITC Avant Garde" w:cs="Arial"/>
          <w:bCs/>
          <w:lang w:val="es-ES_tradnl" w:eastAsia="es-ES"/>
        </w:rPr>
        <w:t xml:space="preserve"> los ingresos correspondientes a cada uno de ellos. De esta manera, la ponderación de cada uno de los productos para un periodo en particular, </w:t>
      </w:r>
      <w:r w:rsidR="00122E0A" w:rsidRPr="004C52B2">
        <w:rPr>
          <w:rFonts w:ascii="ITC Avant Garde" w:eastAsia="Times New Roman" w:hAnsi="ITC Avant Garde" w:cs="Arial"/>
          <w:bCs/>
          <w:lang w:val="es-ES_tradnl" w:eastAsia="es-ES"/>
        </w:rPr>
        <w:t>se</w:t>
      </w:r>
      <w:r w:rsidRPr="004C52B2">
        <w:rPr>
          <w:rFonts w:ascii="ITC Avant Garde" w:eastAsia="Times New Roman" w:hAnsi="ITC Avant Garde" w:cs="Arial"/>
          <w:bCs/>
          <w:lang w:val="es-ES_tradnl" w:eastAsia="es-ES"/>
        </w:rPr>
        <w:t xml:space="preserve"> determin</w:t>
      </w:r>
      <w:r w:rsidR="00122E0A" w:rsidRPr="004C52B2">
        <w:rPr>
          <w:rFonts w:ascii="ITC Avant Garde" w:eastAsia="Times New Roman" w:hAnsi="ITC Avant Garde" w:cs="Arial"/>
          <w:bCs/>
          <w:lang w:val="es-ES_tradnl" w:eastAsia="es-ES"/>
        </w:rPr>
        <w:t>ó</w:t>
      </w:r>
      <w:r w:rsidRPr="004C52B2">
        <w:rPr>
          <w:rFonts w:ascii="ITC Avant Garde" w:eastAsia="Times New Roman" w:hAnsi="ITC Avant Garde" w:cs="Arial"/>
          <w:bCs/>
          <w:lang w:val="es-ES_tradnl" w:eastAsia="es-ES"/>
        </w:rPr>
        <w:t xml:space="preserve"> por el ingreso generado del producto sobre los ingresos de todos los productos de la empresa.</w:t>
      </w:r>
    </w:p>
    <w:p w14:paraId="29E88A25" w14:textId="77777777" w:rsidR="008369E9" w:rsidRDefault="001E2E23" w:rsidP="000D1D86">
      <w:pPr>
        <w:pStyle w:val="Prrafodelista"/>
        <w:adjustRightInd w:val="0"/>
        <w:spacing w:beforeLines="240" w:before="576" w:afterLines="200" w:after="480" w:line="240" w:lineRule="auto"/>
        <w:contextualSpacing w:val="0"/>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En el informe presentado por Telmex, e</w:t>
      </w:r>
      <w:r w:rsidR="00461E71" w:rsidRPr="004C52B2">
        <w:rPr>
          <w:rFonts w:ascii="ITC Avant Garde" w:eastAsia="Times New Roman" w:hAnsi="ITC Avant Garde" w:cs="Arial"/>
          <w:bCs/>
          <w:lang w:val="es-ES_tradnl" w:eastAsia="es-ES"/>
        </w:rPr>
        <w:t xml:space="preserve">n primer </w:t>
      </w:r>
      <w:proofErr w:type="gramStart"/>
      <w:r w:rsidR="00461E71" w:rsidRPr="004C52B2">
        <w:rPr>
          <w:rFonts w:ascii="ITC Avant Garde" w:eastAsia="Times New Roman" w:hAnsi="ITC Avant Garde" w:cs="Arial"/>
          <w:bCs/>
          <w:lang w:val="es-ES_tradnl" w:eastAsia="es-ES"/>
        </w:rPr>
        <w:t>término</w:t>
      </w:r>
      <w:proofErr w:type="gramEnd"/>
      <w:r w:rsidRPr="004C52B2">
        <w:rPr>
          <w:rFonts w:ascii="ITC Avant Garde" w:eastAsia="Times New Roman" w:hAnsi="ITC Avant Garde" w:cs="Arial"/>
          <w:bCs/>
          <w:lang w:val="es-ES_tradnl" w:eastAsia="es-ES"/>
        </w:rPr>
        <w:t xml:space="preserve"> se </w:t>
      </w:r>
      <w:r w:rsidR="00461E71" w:rsidRPr="004C52B2">
        <w:rPr>
          <w:rFonts w:ascii="ITC Avant Garde" w:eastAsia="Times New Roman" w:hAnsi="ITC Avant Garde" w:cs="Arial"/>
          <w:bCs/>
          <w:lang w:val="es-ES_tradnl" w:eastAsia="es-ES"/>
        </w:rPr>
        <w:t>estimó la tasa</w:t>
      </w:r>
      <w:r w:rsidR="00566B8C" w:rsidRPr="004C52B2">
        <w:rPr>
          <w:rFonts w:ascii="ITC Avant Garde" w:eastAsia="Times New Roman" w:hAnsi="ITC Avant Garde" w:cs="Arial"/>
          <w:bCs/>
          <w:lang w:val="es-ES_tradnl" w:eastAsia="es-ES"/>
        </w:rPr>
        <w:t xml:space="preserve"> de crecimiento de la producción</w:t>
      </w:r>
      <w:r w:rsidR="00461E71" w:rsidRPr="004C52B2">
        <w:rPr>
          <w:rFonts w:ascii="ITC Avant Garde" w:eastAsia="Times New Roman" w:hAnsi="ITC Avant Garde" w:cs="Arial"/>
          <w:bCs/>
          <w:lang w:val="es-ES_tradnl" w:eastAsia="es-ES"/>
        </w:rPr>
        <w:t xml:space="preserve"> a partir de índices de agregación de los bienes y servicios ofrecidos por Telmex. Para ello </w:t>
      </w:r>
      <w:r w:rsidR="005C5610">
        <w:rPr>
          <w:rFonts w:ascii="ITC Avant Garde" w:eastAsia="Times New Roman" w:hAnsi="ITC Avant Garde" w:cs="Arial"/>
          <w:bCs/>
          <w:lang w:val="es-ES_tradnl" w:eastAsia="es-ES"/>
        </w:rPr>
        <w:t xml:space="preserve">se </w:t>
      </w:r>
      <w:r w:rsidR="00461E71" w:rsidRPr="004C52B2">
        <w:rPr>
          <w:rFonts w:ascii="ITC Avant Garde" w:eastAsia="Times New Roman" w:hAnsi="ITC Avant Garde" w:cs="Arial"/>
          <w:bCs/>
          <w:lang w:val="es-ES_tradnl" w:eastAsia="es-ES"/>
        </w:rPr>
        <w:t>realizó como primer paso,</w:t>
      </w:r>
      <w:r w:rsidR="008C2802" w:rsidRPr="004C52B2">
        <w:rPr>
          <w:rFonts w:ascii="ITC Avant Garde" w:eastAsia="Times New Roman" w:hAnsi="ITC Avant Garde" w:cs="Arial"/>
          <w:bCs/>
          <w:lang w:val="es-ES_tradnl" w:eastAsia="es-ES"/>
        </w:rPr>
        <w:t xml:space="preserve"> la identificación de diecisiete servicios que corresponden a la totalidad de ingresos de la empresa. En </w:t>
      </w:r>
      <w:r w:rsidR="00D77EE7" w:rsidRPr="004C52B2">
        <w:rPr>
          <w:rFonts w:ascii="ITC Avant Garde" w:eastAsia="Times New Roman" w:hAnsi="ITC Avant Garde" w:cs="Arial"/>
          <w:bCs/>
          <w:lang w:val="es-ES_tradnl" w:eastAsia="es-ES"/>
        </w:rPr>
        <w:t>la Tabla</w:t>
      </w:r>
      <w:r w:rsidR="008C2802" w:rsidRPr="004C52B2">
        <w:rPr>
          <w:rFonts w:ascii="ITC Avant Garde" w:eastAsia="Times New Roman" w:hAnsi="ITC Avant Garde" w:cs="Arial"/>
          <w:bCs/>
          <w:lang w:val="es-ES_tradnl" w:eastAsia="es-ES"/>
        </w:rPr>
        <w:t xml:space="preserve"> </w:t>
      </w:r>
      <w:r w:rsidR="00D77EE7" w:rsidRPr="004C52B2">
        <w:rPr>
          <w:rFonts w:ascii="ITC Avant Garde" w:eastAsia="Times New Roman" w:hAnsi="ITC Avant Garde" w:cs="Arial"/>
          <w:bCs/>
          <w:lang w:val="es-ES_tradnl" w:eastAsia="es-ES"/>
        </w:rPr>
        <w:t>I</w:t>
      </w:r>
      <w:r w:rsidR="008C2802" w:rsidRPr="004C52B2">
        <w:rPr>
          <w:rFonts w:ascii="ITC Avant Garde" w:eastAsia="Times New Roman" w:hAnsi="ITC Avant Garde" w:cs="Arial"/>
          <w:bCs/>
          <w:lang w:val="es-ES_tradnl" w:eastAsia="es-ES"/>
        </w:rPr>
        <w:t xml:space="preserve"> se muestran las diecisiete categorías de servicios considerados y sus respectivos indicadores de cantidad.</w:t>
      </w:r>
    </w:p>
    <w:p w14:paraId="06A81A32" w14:textId="77777777" w:rsidR="000D1D86" w:rsidRDefault="008C2802" w:rsidP="000D1D86">
      <w:pPr>
        <w:adjustRightInd w:val="0"/>
        <w:spacing w:beforeLines="240" w:before="576" w:afterLines="200" w:after="480" w:line="240" w:lineRule="auto"/>
        <w:ind w:left="720"/>
        <w:jc w:val="both"/>
        <w:rPr>
          <w:rFonts w:ascii="ITC Avant Garde" w:eastAsia="Times New Roman" w:hAnsi="ITC Avant Garde" w:cs="Arial"/>
          <w:bCs/>
          <w:lang w:val="es-ES_tradnl" w:eastAsia="es-ES"/>
        </w:rPr>
        <w:sectPr w:rsidR="000D1D86" w:rsidSect="00C5094E">
          <w:headerReference w:type="default" r:id="rId14"/>
          <w:pgSz w:w="12240" w:h="15840"/>
          <w:pgMar w:top="2370" w:right="1418" w:bottom="1418" w:left="1418" w:header="709" w:footer="709" w:gutter="0"/>
          <w:cols w:space="708"/>
          <w:docGrid w:linePitch="360"/>
        </w:sectPr>
      </w:pPr>
      <w:r w:rsidRPr="004C52B2">
        <w:rPr>
          <w:rFonts w:ascii="ITC Avant Garde" w:eastAsia="Times New Roman" w:hAnsi="ITC Avant Garde" w:cs="Arial"/>
          <w:bCs/>
          <w:lang w:val="es-ES_tradnl" w:eastAsia="es-ES"/>
        </w:rPr>
        <w:t xml:space="preserve">Como se muestra en </w:t>
      </w:r>
      <w:r w:rsidR="00D77EE7" w:rsidRPr="004C52B2">
        <w:rPr>
          <w:rFonts w:ascii="ITC Avant Garde" w:eastAsia="Times New Roman" w:hAnsi="ITC Avant Garde" w:cs="Arial"/>
          <w:bCs/>
          <w:lang w:val="es-ES_tradnl" w:eastAsia="es-ES"/>
        </w:rPr>
        <w:t>la Tabla I</w:t>
      </w:r>
      <w:r w:rsidRPr="004C52B2">
        <w:rPr>
          <w:rFonts w:ascii="ITC Avant Garde" w:eastAsia="Times New Roman" w:hAnsi="ITC Avant Garde" w:cs="Arial"/>
          <w:bCs/>
          <w:lang w:val="es-ES_tradnl" w:eastAsia="es-ES"/>
        </w:rPr>
        <w:t xml:space="preserve">, los servicios </w:t>
      </w:r>
      <w:r w:rsidR="005C5610">
        <w:rPr>
          <w:rFonts w:ascii="ITC Avant Garde" w:eastAsia="Times New Roman" w:hAnsi="ITC Avant Garde" w:cs="Arial"/>
          <w:bCs/>
          <w:lang w:val="es-ES_tradnl" w:eastAsia="es-ES"/>
        </w:rPr>
        <w:t>“</w:t>
      </w:r>
      <w:r w:rsidR="001B63FC" w:rsidRPr="004C52B2">
        <w:rPr>
          <w:rFonts w:ascii="ITC Avant Garde" w:eastAsia="Times New Roman" w:hAnsi="ITC Avant Garde" w:cs="Arial"/>
          <w:bCs/>
          <w:lang w:val="es-ES_tradnl" w:eastAsia="es-ES"/>
        </w:rPr>
        <w:t>V</w:t>
      </w:r>
      <w:r w:rsidRPr="004C52B2">
        <w:rPr>
          <w:rFonts w:ascii="ITC Avant Garde" w:eastAsia="Times New Roman" w:hAnsi="ITC Avant Garde" w:cs="Arial"/>
          <w:bCs/>
          <w:lang w:val="es-ES_tradnl" w:eastAsia="es-ES"/>
        </w:rPr>
        <w:t>entas en Tiendas Telmex</w:t>
      </w:r>
      <w:r w:rsidR="005C5610">
        <w:rPr>
          <w:rFonts w:ascii="ITC Avant Garde" w:eastAsia="Times New Roman" w:hAnsi="ITC Avant Garde" w:cs="Arial"/>
          <w:bCs/>
          <w:lang w:val="es-ES_tradnl" w:eastAsia="es-ES"/>
        </w:rPr>
        <w:t>”</w:t>
      </w:r>
      <w:r w:rsidRPr="004C52B2">
        <w:rPr>
          <w:rFonts w:ascii="ITC Avant Garde" w:eastAsia="Times New Roman" w:hAnsi="ITC Avant Garde" w:cs="Arial"/>
          <w:bCs/>
          <w:lang w:val="es-ES_tradnl" w:eastAsia="es-ES"/>
        </w:rPr>
        <w:t xml:space="preserve">, </w:t>
      </w:r>
      <w:r w:rsidR="005C5610">
        <w:rPr>
          <w:rFonts w:ascii="ITC Avant Garde" w:eastAsia="Times New Roman" w:hAnsi="ITC Avant Garde" w:cs="Arial"/>
          <w:bCs/>
          <w:lang w:val="es-ES_tradnl" w:eastAsia="es-ES"/>
        </w:rPr>
        <w:t>“</w:t>
      </w:r>
      <w:r w:rsidR="001B63FC" w:rsidRPr="004C52B2">
        <w:rPr>
          <w:rFonts w:ascii="ITC Avant Garde" w:eastAsia="Times New Roman" w:hAnsi="ITC Avant Garde" w:cs="Arial"/>
          <w:bCs/>
          <w:lang w:val="es-ES_tradnl" w:eastAsia="es-ES"/>
        </w:rPr>
        <w:t>S</w:t>
      </w:r>
      <w:r w:rsidRPr="004C52B2">
        <w:rPr>
          <w:rFonts w:ascii="ITC Avant Garde" w:eastAsia="Times New Roman" w:hAnsi="ITC Avant Garde" w:cs="Arial"/>
          <w:bCs/>
          <w:lang w:val="es-ES_tradnl" w:eastAsia="es-ES"/>
        </w:rPr>
        <w:t>ervicios de facturación</w:t>
      </w:r>
      <w:r w:rsidR="005C5610">
        <w:rPr>
          <w:rFonts w:ascii="ITC Avant Garde" w:eastAsia="Times New Roman" w:hAnsi="ITC Avant Garde" w:cs="Arial"/>
          <w:bCs/>
          <w:lang w:val="es-ES_tradnl" w:eastAsia="es-ES"/>
        </w:rPr>
        <w:t>”</w:t>
      </w:r>
      <w:r w:rsidRPr="004C52B2">
        <w:rPr>
          <w:rFonts w:ascii="ITC Avant Garde" w:eastAsia="Times New Roman" w:hAnsi="ITC Avant Garde" w:cs="Arial"/>
          <w:bCs/>
          <w:lang w:val="es-ES_tradnl" w:eastAsia="es-ES"/>
        </w:rPr>
        <w:t xml:space="preserve">, </w:t>
      </w:r>
      <w:r w:rsidR="005C5610">
        <w:rPr>
          <w:rFonts w:ascii="ITC Avant Garde" w:eastAsia="Times New Roman" w:hAnsi="ITC Avant Garde" w:cs="Arial"/>
          <w:bCs/>
          <w:lang w:val="es-ES_tradnl" w:eastAsia="es-ES"/>
        </w:rPr>
        <w:t>“</w:t>
      </w:r>
      <w:r w:rsidR="001B63FC" w:rsidRPr="004C52B2">
        <w:rPr>
          <w:rFonts w:ascii="ITC Avant Garde" w:eastAsia="Times New Roman" w:hAnsi="ITC Avant Garde" w:cs="Arial"/>
          <w:bCs/>
          <w:lang w:val="es-ES_tradnl" w:eastAsia="es-ES"/>
        </w:rPr>
        <w:t>O</w:t>
      </w:r>
      <w:r w:rsidRPr="004C52B2">
        <w:rPr>
          <w:rFonts w:ascii="ITC Avant Garde" w:eastAsia="Times New Roman" w:hAnsi="ITC Avant Garde" w:cs="Arial"/>
          <w:bCs/>
          <w:lang w:val="es-ES_tradnl" w:eastAsia="es-ES"/>
        </w:rPr>
        <w:t>tros ingresos de servicio local</w:t>
      </w:r>
      <w:r w:rsidR="005C5610">
        <w:rPr>
          <w:rFonts w:ascii="ITC Avant Garde" w:eastAsia="Times New Roman" w:hAnsi="ITC Avant Garde" w:cs="Arial"/>
          <w:bCs/>
          <w:lang w:val="es-ES_tradnl" w:eastAsia="es-ES"/>
        </w:rPr>
        <w:t>”</w:t>
      </w:r>
      <w:r w:rsidRPr="004C52B2">
        <w:rPr>
          <w:rFonts w:ascii="ITC Avant Garde" w:eastAsia="Times New Roman" w:hAnsi="ITC Avant Garde" w:cs="Arial"/>
          <w:bCs/>
          <w:lang w:val="es-ES_tradnl" w:eastAsia="es-ES"/>
        </w:rPr>
        <w:t xml:space="preserve"> y </w:t>
      </w:r>
      <w:r w:rsidR="005C5610">
        <w:rPr>
          <w:rFonts w:ascii="ITC Avant Garde" w:eastAsia="Times New Roman" w:hAnsi="ITC Avant Garde" w:cs="Arial"/>
          <w:bCs/>
          <w:lang w:val="es-ES_tradnl" w:eastAsia="es-ES"/>
        </w:rPr>
        <w:t>“</w:t>
      </w:r>
      <w:r w:rsidR="001B63FC" w:rsidRPr="004C52B2">
        <w:rPr>
          <w:rFonts w:ascii="ITC Avant Garde" w:eastAsia="Times New Roman" w:hAnsi="ITC Avant Garde" w:cs="Arial"/>
          <w:bCs/>
          <w:lang w:val="es-ES_tradnl" w:eastAsia="es-ES"/>
        </w:rPr>
        <w:t>O</w:t>
      </w:r>
      <w:r w:rsidRPr="004C52B2">
        <w:rPr>
          <w:rFonts w:ascii="ITC Avant Garde" w:eastAsia="Times New Roman" w:hAnsi="ITC Avant Garde" w:cs="Arial"/>
          <w:bCs/>
          <w:lang w:val="es-ES_tradnl" w:eastAsia="es-ES"/>
        </w:rPr>
        <w:t>tros ingresos</w:t>
      </w:r>
      <w:r w:rsidR="005C5610">
        <w:rPr>
          <w:rFonts w:ascii="ITC Avant Garde" w:eastAsia="Times New Roman" w:hAnsi="ITC Avant Garde" w:cs="Arial"/>
          <w:bCs/>
          <w:lang w:val="es-ES_tradnl" w:eastAsia="es-ES"/>
        </w:rPr>
        <w:t>”</w:t>
      </w:r>
      <w:r w:rsidRPr="004C52B2">
        <w:rPr>
          <w:rFonts w:ascii="ITC Avant Garde" w:eastAsia="Times New Roman" w:hAnsi="ITC Avant Garde" w:cs="Arial"/>
          <w:bCs/>
          <w:lang w:val="es-ES_tradnl" w:eastAsia="es-ES"/>
        </w:rPr>
        <w:t xml:space="preserve">, no tienen un indicador de cantidades específicos </w:t>
      </w:r>
      <w:r w:rsidR="00393AB8">
        <w:rPr>
          <w:rFonts w:ascii="ITC Avant Garde" w:eastAsia="Times New Roman" w:hAnsi="ITC Avant Garde" w:cs="Arial"/>
          <w:bCs/>
          <w:lang w:val="es-ES_tradnl" w:eastAsia="es-ES"/>
        </w:rPr>
        <w:t>(tales como número de instalaciones, número de líneas, número de minutos o llamadas)</w:t>
      </w:r>
      <w:r w:rsidRPr="004C52B2">
        <w:rPr>
          <w:rFonts w:ascii="ITC Avant Garde" w:eastAsia="Times New Roman" w:hAnsi="ITC Avant Garde" w:cs="Arial"/>
          <w:bCs/>
          <w:lang w:val="es-ES_tradnl" w:eastAsia="es-ES"/>
        </w:rPr>
        <w:t>. Sin embargo, se estim</w:t>
      </w:r>
      <w:r w:rsidR="00122E0A" w:rsidRPr="004C52B2">
        <w:rPr>
          <w:rFonts w:ascii="ITC Avant Garde" w:eastAsia="Times New Roman" w:hAnsi="ITC Avant Garde" w:cs="Arial"/>
          <w:bCs/>
          <w:lang w:val="es-ES_tradnl" w:eastAsia="es-ES"/>
        </w:rPr>
        <w:t>ó</w:t>
      </w:r>
      <w:r w:rsidRPr="004C52B2">
        <w:rPr>
          <w:rFonts w:ascii="ITC Avant Garde" w:eastAsia="Times New Roman" w:hAnsi="ITC Avant Garde" w:cs="Arial"/>
          <w:bCs/>
          <w:lang w:val="es-ES_tradnl" w:eastAsia="es-ES"/>
        </w:rPr>
        <w:t xml:space="preserve"> un indicador de cantidades a partir de los ingresos reportados por la empresa para est</w:t>
      </w:r>
      <w:r w:rsidR="00890F91" w:rsidRPr="004C52B2">
        <w:rPr>
          <w:rFonts w:ascii="ITC Avant Garde" w:eastAsia="Times New Roman" w:hAnsi="ITC Avant Garde" w:cs="Arial"/>
          <w:bCs/>
          <w:lang w:val="es-ES_tradnl" w:eastAsia="es-ES"/>
        </w:rPr>
        <w:t>a</w:t>
      </w:r>
      <w:r w:rsidRPr="004C52B2">
        <w:rPr>
          <w:rFonts w:ascii="ITC Avant Garde" w:eastAsia="Times New Roman" w:hAnsi="ITC Avant Garde" w:cs="Arial"/>
          <w:bCs/>
          <w:lang w:val="es-ES_tradnl" w:eastAsia="es-ES"/>
        </w:rPr>
        <w:t xml:space="preserve">s categorías, y </w:t>
      </w:r>
      <w:r w:rsidR="00122E0A" w:rsidRPr="004C52B2">
        <w:rPr>
          <w:rFonts w:ascii="ITC Avant Garde" w:eastAsia="Times New Roman" w:hAnsi="ITC Avant Garde" w:cs="Arial"/>
          <w:bCs/>
          <w:lang w:val="es-ES_tradnl" w:eastAsia="es-ES"/>
        </w:rPr>
        <w:t xml:space="preserve">se </w:t>
      </w:r>
      <w:r w:rsidRPr="004C52B2">
        <w:rPr>
          <w:rFonts w:ascii="ITC Avant Garde" w:eastAsia="Times New Roman" w:hAnsi="ITC Avant Garde" w:cs="Arial"/>
          <w:bCs/>
          <w:lang w:val="es-ES_tradnl" w:eastAsia="es-ES"/>
        </w:rPr>
        <w:t>deflact</w:t>
      </w:r>
      <w:r w:rsidR="00122E0A" w:rsidRPr="004C52B2">
        <w:rPr>
          <w:rFonts w:ascii="ITC Avant Garde" w:eastAsia="Times New Roman" w:hAnsi="ITC Avant Garde" w:cs="Arial"/>
          <w:bCs/>
          <w:lang w:val="es-ES_tradnl" w:eastAsia="es-ES"/>
        </w:rPr>
        <w:t>ó</w:t>
      </w:r>
      <w:r w:rsidR="00FF4BE7" w:rsidRPr="004C52B2">
        <w:rPr>
          <w:rFonts w:ascii="ITC Avant Garde" w:eastAsia="Times New Roman" w:hAnsi="ITC Avant Garde" w:cs="Arial"/>
          <w:bCs/>
          <w:lang w:val="es-ES_tradnl" w:eastAsia="es-ES"/>
        </w:rPr>
        <w:t xml:space="preserve"> por el INPC, lo anterior </w:t>
      </w:r>
      <w:r w:rsidR="00122E0A" w:rsidRPr="004C52B2">
        <w:rPr>
          <w:rFonts w:ascii="ITC Avant Garde" w:eastAsia="Times New Roman" w:hAnsi="ITC Avant Garde" w:cs="Arial"/>
          <w:bCs/>
          <w:lang w:val="es-ES_tradnl" w:eastAsia="es-ES"/>
        </w:rPr>
        <w:t>debido a</w:t>
      </w:r>
      <w:r w:rsidR="00FF4BE7" w:rsidRPr="004C52B2">
        <w:rPr>
          <w:rFonts w:ascii="ITC Avant Garde" w:eastAsia="Times New Roman" w:hAnsi="ITC Avant Garde" w:cs="Arial"/>
          <w:bCs/>
          <w:lang w:val="es-ES_tradnl" w:eastAsia="es-ES"/>
        </w:rPr>
        <w:t xml:space="preserve"> que existen </w:t>
      </w:r>
    </w:p>
    <w:p w14:paraId="372C477A" w14:textId="28D175FC" w:rsidR="008369E9" w:rsidRDefault="00FF4BE7" w:rsidP="000D1D86">
      <w:pPr>
        <w:adjustRightInd w:val="0"/>
        <w:spacing w:beforeLines="240" w:before="576" w:afterLines="200" w:after="480" w:line="240" w:lineRule="auto"/>
        <w:ind w:left="720"/>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lastRenderedPageBreak/>
        <w:t xml:space="preserve">algunos servicios </w:t>
      </w:r>
      <w:proofErr w:type="gramStart"/>
      <w:r w:rsidRPr="004C52B2">
        <w:rPr>
          <w:rFonts w:ascii="ITC Avant Garde" w:eastAsia="Times New Roman" w:hAnsi="ITC Avant Garde" w:cs="Arial"/>
          <w:bCs/>
          <w:lang w:val="es-ES_tradnl" w:eastAsia="es-ES"/>
        </w:rPr>
        <w:t>que</w:t>
      </w:r>
      <w:proofErr w:type="gramEnd"/>
      <w:r w:rsidRPr="004C52B2">
        <w:rPr>
          <w:rFonts w:ascii="ITC Avant Garde" w:eastAsia="Times New Roman" w:hAnsi="ITC Avant Garde" w:cs="Arial"/>
          <w:bCs/>
          <w:lang w:val="es-ES_tradnl" w:eastAsia="es-ES"/>
        </w:rPr>
        <w:t xml:space="preserve"> si bien no se producen de forma conjunta con otros productos de telecomunicaciones, si utilizan insumos que se ocupan en la producción conjunta de todos los servicios, por ejemplo, empleados, lo</w:t>
      </w:r>
      <w:r w:rsidR="00EF64B7">
        <w:rPr>
          <w:rFonts w:ascii="ITC Avant Garde" w:eastAsia="Times New Roman" w:hAnsi="ITC Avant Garde" w:cs="Arial"/>
          <w:bCs/>
          <w:lang w:val="es-ES_tradnl" w:eastAsia="es-ES"/>
        </w:rPr>
        <w:t>s</w:t>
      </w:r>
      <w:r w:rsidRPr="004C52B2">
        <w:rPr>
          <w:rFonts w:ascii="ITC Avant Garde" w:eastAsia="Times New Roman" w:hAnsi="ITC Avant Garde" w:cs="Arial"/>
          <w:bCs/>
          <w:lang w:val="es-ES_tradnl" w:eastAsia="es-ES"/>
        </w:rPr>
        <w:t xml:space="preserve"> cuales no era posible identificar y separar para cada uno de los servicios.</w:t>
      </w:r>
      <w:r w:rsidR="003159A0" w:rsidRPr="004C52B2">
        <w:rPr>
          <w:rFonts w:ascii="ITC Avant Garde" w:eastAsia="Times New Roman" w:hAnsi="ITC Avant Garde" w:cs="Arial"/>
          <w:bCs/>
          <w:lang w:val="es-ES_tradnl" w:eastAsia="es-ES"/>
        </w:rPr>
        <w:t xml:space="preserve"> </w:t>
      </w:r>
      <w:r w:rsidR="00375CFF" w:rsidRPr="004C52B2">
        <w:rPr>
          <w:rFonts w:ascii="ITC Avant Garde" w:eastAsia="Times New Roman" w:hAnsi="ITC Avant Garde" w:cs="Arial"/>
          <w:bCs/>
          <w:lang w:val="es-ES_tradnl" w:eastAsia="es-ES"/>
        </w:rPr>
        <w:t xml:space="preserve">Respecto al </w:t>
      </w:r>
      <w:r w:rsidR="003159A0" w:rsidRPr="004C52B2">
        <w:rPr>
          <w:rFonts w:ascii="ITC Avant Garde" w:eastAsia="Times New Roman" w:hAnsi="ITC Avant Garde" w:cs="Arial"/>
          <w:bCs/>
          <w:lang w:val="es-ES_tradnl" w:eastAsia="es-ES"/>
        </w:rPr>
        <w:t>servicio “El que recibe paga”</w:t>
      </w:r>
      <w:r w:rsidR="00375CFF" w:rsidRPr="004C52B2">
        <w:rPr>
          <w:rFonts w:ascii="ITC Avant Garde" w:eastAsia="Times New Roman" w:hAnsi="ITC Avant Garde" w:cs="Arial"/>
          <w:bCs/>
          <w:lang w:val="es-ES_tradnl" w:eastAsia="es-ES"/>
        </w:rPr>
        <w:t>,</w:t>
      </w:r>
      <w:r w:rsidR="003159A0" w:rsidRPr="004C52B2">
        <w:rPr>
          <w:rFonts w:ascii="ITC Avant Garde" w:eastAsia="Times New Roman" w:hAnsi="ITC Avant Garde" w:cs="Arial"/>
          <w:bCs/>
          <w:lang w:val="es-ES_tradnl" w:eastAsia="es-ES"/>
        </w:rPr>
        <w:t xml:space="preserve"> </w:t>
      </w:r>
      <w:r w:rsidR="00C42DC0" w:rsidRPr="004C52B2">
        <w:rPr>
          <w:rFonts w:ascii="ITC Avant Garde" w:eastAsia="Times New Roman" w:hAnsi="ITC Avant Garde" w:cs="Arial"/>
          <w:bCs/>
          <w:lang w:val="es-ES_tradnl" w:eastAsia="es-ES"/>
        </w:rPr>
        <w:t xml:space="preserve">éste </w:t>
      </w:r>
      <w:r w:rsidR="00C42DC0" w:rsidRPr="004C52B2">
        <w:rPr>
          <w:rFonts w:ascii="ITC Avant Garde" w:eastAsia="Times New Roman" w:hAnsi="ITC Avant Garde" w:cs="Arial"/>
          <w:bCs/>
          <w:lang w:eastAsia="es-ES"/>
        </w:rPr>
        <w:t>ya se encuentra reflejado</w:t>
      </w:r>
      <w:r w:rsidR="00375CFF" w:rsidRPr="004C52B2">
        <w:rPr>
          <w:rFonts w:ascii="ITC Avant Garde" w:eastAsia="Times New Roman" w:hAnsi="ITC Avant Garde" w:cs="Arial"/>
          <w:bCs/>
          <w:lang w:eastAsia="es-ES"/>
        </w:rPr>
        <w:t xml:space="preserve"> en el </w:t>
      </w:r>
      <w:r w:rsidR="005C5610">
        <w:rPr>
          <w:rFonts w:ascii="ITC Avant Garde" w:eastAsia="Times New Roman" w:hAnsi="ITC Avant Garde" w:cs="Arial"/>
          <w:bCs/>
          <w:lang w:eastAsia="es-ES"/>
        </w:rPr>
        <w:t>“S</w:t>
      </w:r>
      <w:r w:rsidR="00375CFF" w:rsidRPr="004C52B2">
        <w:rPr>
          <w:rFonts w:ascii="ITC Avant Garde" w:eastAsia="Times New Roman" w:hAnsi="ITC Avant Garde" w:cs="Arial"/>
          <w:bCs/>
          <w:lang w:eastAsia="es-ES"/>
        </w:rPr>
        <w:t>ervicio medido</w:t>
      </w:r>
      <w:r w:rsidR="005C5610">
        <w:rPr>
          <w:rFonts w:ascii="ITC Avant Garde" w:eastAsia="Times New Roman" w:hAnsi="ITC Avant Garde" w:cs="Arial"/>
          <w:bCs/>
          <w:lang w:eastAsia="es-ES"/>
        </w:rPr>
        <w:t>”</w:t>
      </w:r>
      <w:r w:rsidR="00375CFF" w:rsidRPr="004C52B2">
        <w:rPr>
          <w:rFonts w:ascii="ITC Avant Garde" w:eastAsia="Times New Roman" w:hAnsi="ITC Avant Garde" w:cs="Arial"/>
          <w:bCs/>
          <w:lang w:eastAsia="es-ES"/>
        </w:rPr>
        <w:t xml:space="preserve"> y en el servicio de </w:t>
      </w:r>
      <w:r w:rsidR="005C5610">
        <w:rPr>
          <w:rFonts w:ascii="ITC Avant Garde" w:eastAsia="Times New Roman" w:hAnsi="ITC Avant Garde" w:cs="Arial"/>
          <w:bCs/>
          <w:lang w:eastAsia="es-ES"/>
        </w:rPr>
        <w:t>“I</w:t>
      </w:r>
      <w:r w:rsidR="00375CFF" w:rsidRPr="004C52B2">
        <w:rPr>
          <w:rFonts w:ascii="ITC Avant Garde" w:eastAsia="Times New Roman" w:hAnsi="ITC Avant Garde" w:cs="Arial"/>
          <w:bCs/>
          <w:lang w:eastAsia="es-ES"/>
        </w:rPr>
        <w:t xml:space="preserve">nterconexión </w:t>
      </w:r>
      <w:r w:rsidR="005C5610">
        <w:rPr>
          <w:rFonts w:ascii="ITC Avant Garde" w:eastAsia="Times New Roman" w:hAnsi="ITC Avant Garde" w:cs="Arial"/>
          <w:bCs/>
          <w:lang w:eastAsia="es-ES"/>
        </w:rPr>
        <w:t>C</w:t>
      </w:r>
      <w:r w:rsidR="00375CFF" w:rsidRPr="004C52B2">
        <w:rPr>
          <w:rFonts w:ascii="ITC Avant Garde" w:eastAsia="Times New Roman" w:hAnsi="ITC Avant Garde" w:cs="Arial"/>
          <w:bCs/>
          <w:lang w:eastAsia="es-ES"/>
        </w:rPr>
        <w:t xml:space="preserve">elular y de </w:t>
      </w:r>
      <w:r w:rsidR="005C5610">
        <w:rPr>
          <w:rFonts w:ascii="ITC Avant Garde" w:eastAsia="Times New Roman" w:hAnsi="ITC Avant Garde" w:cs="Arial"/>
          <w:bCs/>
          <w:lang w:eastAsia="es-ES"/>
        </w:rPr>
        <w:t>O</w:t>
      </w:r>
      <w:r w:rsidR="00375CFF" w:rsidRPr="004C52B2">
        <w:rPr>
          <w:rFonts w:ascii="ITC Avant Garde" w:eastAsia="Times New Roman" w:hAnsi="ITC Avant Garde" w:cs="Arial"/>
          <w:bCs/>
          <w:lang w:eastAsia="es-ES"/>
        </w:rPr>
        <w:t>peradores</w:t>
      </w:r>
      <w:r w:rsidR="005C5610">
        <w:rPr>
          <w:rFonts w:ascii="ITC Avant Garde" w:eastAsia="Times New Roman" w:hAnsi="ITC Avant Garde" w:cs="Arial"/>
          <w:bCs/>
          <w:lang w:eastAsia="es-ES"/>
        </w:rPr>
        <w:t>”</w:t>
      </w:r>
      <w:r w:rsidR="00375CFF" w:rsidRPr="004C52B2">
        <w:rPr>
          <w:rFonts w:ascii="ITC Avant Garde" w:eastAsia="Times New Roman" w:hAnsi="ITC Avant Garde" w:cs="Arial"/>
          <w:bCs/>
          <w:lang w:eastAsia="es-ES"/>
        </w:rPr>
        <w:t>.</w:t>
      </w:r>
    </w:p>
    <w:p w14:paraId="0CE28EFF" w14:textId="0538108E" w:rsidR="008369E9" w:rsidRDefault="00461E71" w:rsidP="000D1D86">
      <w:pPr>
        <w:pStyle w:val="Prrafodelista"/>
        <w:adjustRightInd w:val="0"/>
        <w:spacing w:beforeLines="240" w:before="576" w:afterLines="200" w:after="480" w:line="240" w:lineRule="auto"/>
        <w:contextualSpacing w:val="0"/>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A fin de c</w:t>
      </w:r>
      <w:r w:rsidR="00122E0A" w:rsidRPr="004C52B2">
        <w:rPr>
          <w:rFonts w:ascii="ITC Avant Garde" w:eastAsia="Times New Roman" w:hAnsi="ITC Avant Garde" w:cs="Arial"/>
          <w:bCs/>
          <w:lang w:val="es-ES_tradnl" w:eastAsia="es-ES"/>
        </w:rPr>
        <w:t>alcular</w:t>
      </w:r>
      <w:r w:rsidRPr="004C52B2">
        <w:rPr>
          <w:rFonts w:ascii="ITC Avant Garde" w:eastAsia="Times New Roman" w:hAnsi="ITC Avant Garde" w:cs="Arial"/>
          <w:bCs/>
          <w:lang w:val="es-ES_tradnl" w:eastAsia="es-ES"/>
        </w:rPr>
        <w:t xml:space="preserve"> el índice </w:t>
      </w:r>
      <w:r w:rsidR="00860677" w:rsidRPr="004C52B2">
        <w:rPr>
          <w:rFonts w:ascii="ITC Avant Garde" w:eastAsia="Times New Roman" w:hAnsi="ITC Avant Garde" w:cs="Arial"/>
          <w:bCs/>
          <w:lang w:val="es-ES_tradnl" w:eastAsia="es-ES"/>
        </w:rPr>
        <w:t>de Fisher, se emplearon</w:t>
      </w:r>
      <w:r w:rsidRPr="004C52B2">
        <w:rPr>
          <w:rFonts w:ascii="ITC Avant Garde" w:eastAsia="Times New Roman" w:hAnsi="ITC Avant Garde" w:cs="Arial"/>
          <w:bCs/>
          <w:lang w:val="es-ES_tradnl" w:eastAsia="es-ES"/>
        </w:rPr>
        <w:t xml:space="preserve"> los ingresos de cada uno de los </w:t>
      </w:r>
      <w:r w:rsidR="00AC1D07">
        <w:rPr>
          <w:rFonts w:ascii="ITC Avant Garde" w:eastAsia="Times New Roman" w:hAnsi="ITC Avant Garde" w:cs="Arial"/>
          <w:bCs/>
          <w:lang w:val="es-ES_tradnl" w:eastAsia="es-ES"/>
        </w:rPr>
        <w:t>productos y servicios, en donde</w:t>
      </w:r>
      <w:r w:rsidRPr="004C52B2">
        <w:rPr>
          <w:rFonts w:ascii="ITC Avant Garde" w:eastAsia="Times New Roman" w:hAnsi="ITC Avant Garde" w:cs="Arial"/>
          <w:bCs/>
          <w:lang w:val="es-ES_tradnl" w:eastAsia="es-ES"/>
        </w:rPr>
        <w:t xml:space="preserve"> </w:t>
      </w:r>
      <w:r w:rsidR="00CA43D5">
        <w:rPr>
          <w:rFonts w:ascii="ITC Avant Garde" w:eastAsia="Times New Roman" w:hAnsi="ITC Avant Garde" w:cs="Arial"/>
          <w:bCs/>
          <w:lang w:val="es-ES_tradnl" w:eastAsia="es-ES"/>
        </w:rPr>
        <w:t xml:space="preserve">la ponderación </w:t>
      </w:r>
      <w:r w:rsidRPr="004C52B2">
        <w:rPr>
          <w:rFonts w:ascii="ITC Avant Garde" w:eastAsia="Times New Roman" w:hAnsi="ITC Avant Garde" w:cs="Arial"/>
          <w:bCs/>
          <w:lang w:val="es-ES_tradnl" w:eastAsia="es-ES"/>
        </w:rPr>
        <w:t xml:space="preserve">de cada uno, en un año particular, equivale al ingreso generado por dicho producto o servicio sobre los ingresos de todos los productos de Telmex. De esta manera, </w:t>
      </w:r>
      <w:r w:rsidR="00122E0A" w:rsidRPr="004C52B2">
        <w:rPr>
          <w:rFonts w:ascii="ITC Avant Garde" w:eastAsia="Times New Roman" w:hAnsi="ITC Avant Garde" w:cs="Arial"/>
          <w:bCs/>
          <w:lang w:val="es-ES_tradnl" w:eastAsia="es-ES"/>
        </w:rPr>
        <w:t xml:space="preserve">se </w:t>
      </w:r>
      <w:r w:rsidRPr="004C52B2">
        <w:rPr>
          <w:rFonts w:ascii="ITC Avant Garde" w:eastAsia="Times New Roman" w:hAnsi="ITC Avant Garde" w:cs="Arial"/>
          <w:bCs/>
          <w:lang w:val="es-ES_tradnl" w:eastAsia="es-ES"/>
        </w:rPr>
        <w:t>present</w:t>
      </w:r>
      <w:r w:rsidR="00122E0A" w:rsidRPr="004C52B2">
        <w:rPr>
          <w:rFonts w:ascii="ITC Avant Garde" w:eastAsia="Times New Roman" w:hAnsi="ITC Avant Garde" w:cs="Arial"/>
          <w:bCs/>
          <w:lang w:val="es-ES_tradnl" w:eastAsia="es-ES"/>
        </w:rPr>
        <w:t>aron</w:t>
      </w:r>
      <w:r w:rsidRPr="004C52B2">
        <w:rPr>
          <w:rFonts w:ascii="ITC Avant Garde" w:eastAsia="Times New Roman" w:hAnsi="ITC Avant Garde" w:cs="Arial"/>
          <w:bCs/>
          <w:lang w:val="es-ES_tradnl" w:eastAsia="es-ES"/>
        </w:rPr>
        <w:t xml:space="preserve"> las ponde</w:t>
      </w:r>
      <w:r w:rsidR="00860677" w:rsidRPr="004C52B2">
        <w:rPr>
          <w:rFonts w:ascii="ITC Avant Garde" w:eastAsia="Times New Roman" w:hAnsi="ITC Avant Garde" w:cs="Arial"/>
          <w:bCs/>
          <w:lang w:val="es-ES_tradnl" w:eastAsia="es-ES"/>
        </w:rPr>
        <w:t xml:space="preserve">raciones en </w:t>
      </w:r>
      <w:r w:rsidR="00122E0A" w:rsidRPr="004C52B2">
        <w:rPr>
          <w:rFonts w:ascii="ITC Avant Garde" w:eastAsia="Times New Roman" w:hAnsi="ITC Avant Garde" w:cs="Arial"/>
          <w:bCs/>
          <w:lang w:val="es-ES_tradnl" w:eastAsia="es-ES"/>
        </w:rPr>
        <w:t xml:space="preserve">términos de </w:t>
      </w:r>
      <w:r w:rsidR="00860677" w:rsidRPr="004C52B2">
        <w:rPr>
          <w:rFonts w:ascii="ITC Avant Garde" w:eastAsia="Times New Roman" w:hAnsi="ITC Avant Garde" w:cs="Arial"/>
          <w:bCs/>
          <w:lang w:val="es-ES_tradnl" w:eastAsia="es-ES"/>
        </w:rPr>
        <w:t>porcentaje de la producción empleada</w:t>
      </w:r>
      <w:r w:rsidRPr="004C52B2">
        <w:rPr>
          <w:rFonts w:ascii="ITC Avant Garde" w:eastAsia="Times New Roman" w:hAnsi="ITC Avant Garde" w:cs="Arial"/>
          <w:bCs/>
          <w:lang w:val="es-ES_tradnl" w:eastAsia="es-ES"/>
        </w:rPr>
        <w:t xml:space="preserve"> en la metodología. </w:t>
      </w:r>
      <w:r w:rsidR="00860677" w:rsidRPr="004C52B2">
        <w:rPr>
          <w:rFonts w:ascii="ITC Avant Garde" w:eastAsia="Times New Roman" w:hAnsi="ITC Avant Garde" w:cs="Arial"/>
          <w:bCs/>
          <w:lang w:val="es-ES_tradnl" w:eastAsia="es-ES"/>
        </w:rPr>
        <w:t>El</w:t>
      </w:r>
      <w:r w:rsidRPr="004C52B2">
        <w:rPr>
          <w:rFonts w:ascii="ITC Avant Garde" w:eastAsia="Times New Roman" w:hAnsi="ITC Avant Garde" w:cs="Arial"/>
          <w:bCs/>
          <w:lang w:val="es-ES_tradnl" w:eastAsia="es-ES"/>
        </w:rPr>
        <w:t xml:space="preserve"> índice de Fisher encadenado</w:t>
      </w:r>
      <w:r w:rsidR="00D733BE" w:rsidRPr="004C52B2">
        <w:rPr>
          <w:rFonts w:ascii="ITC Avant Garde" w:eastAsia="Times New Roman" w:hAnsi="ITC Avant Garde" w:cs="Arial"/>
          <w:bCs/>
          <w:lang w:val="es-ES_tradnl" w:eastAsia="es-ES"/>
        </w:rPr>
        <w:t xml:space="preserve"> para el periodo 2000 a 2015</w:t>
      </w:r>
      <w:r w:rsidRPr="004C52B2">
        <w:rPr>
          <w:rFonts w:ascii="ITC Avant Garde" w:eastAsia="Times New Roman" w:hAnsi="ITC Avant Garde" w:cs="Arial"/>
          <w:bCs/>
          <w:lang w:val="es-ES_tradnl" w:eastAsia="es-ES"/>
        </w:rPr>
        <w:t xml:space="preserve"> </w:t>
      </w:r>
      <w:r w:rsidR="00D31A21" w:rsidRPr="004C52B2">
        <w:rPr>
          <w:rFonts w:ascii="ITC Avant Garde" w:eastAsia="Times New Roman" w:hAnsi="ITC Avant Garde" w:cs="Arial"/>
          <w:bCs/>
          <w:lang w:val="es-ES_tradnl" w:eastAsia="es-ES"/>
        </w:rPr>
        <w:t>presentó</w:t>
      </w:r>
      <w:r w:rsidRPr="004C52B2">
        <w:rPr>
          <w:rFonts w:ascii="ITC Avant Garde" w:eastAsia="Times New Roman" w:hAnsi="ITC Avant Garde" w:cs="Arial"/>
          <w:bCs/>
          <w:lang w:val="es-ES_tradnl" w:eastAsia="es-ES"/>
        </w:rPr>
        <w:t xml:space="preserve"> una tasa de crecimiento anual promedio de </w:t>
      </w:r>
      <w:r w:rsidR="002C2AEE" w:rsidRPr="002C2AEE">
        <w:rPr>
          <w:rFonts w:ascii="ITC Avant Garde" w:hAnsi="ITC Avant Garde"/>
          <w:b/>
          <w:bCs/>
          <w:color w:val="0000CC"/>
          <w:lang w:eastAsia="es-MX"/>
        </w:rPr>
        <w:t>“CONFIDENCIAL POR LEY”</w:t>
      </w:r>
      <w:r w:rsidRPr="004C52B2">
        <w:rPr>
          <w:rFonts w:ascii="ITC Avant Garde" w:eastAsia="Times New Roman" w:hAnsi="ITC Avant Garde" w:cs="Arial"/>
          <w:bCs/>
          <w:lang w:val="es-ES_tradnl" w:eastAsia="es-ES"/>
        </w:rPr>
        <w:t>.</w:t>
      </w:r>
    </w:p>
    <w:p w14:paraId="32044185" w14:textId="656EB3DF" w:rsidR="000E28BF" w:rsidRDefault="000E28BF" w:rsidP="000D1D86">
      <w:pPr>
        <w:pStyle w:val="Prrafodelista"/>
        <w:adjustRightInd w:val="0"/>
        <w:spacing w:beforeLines="240" w:before="576" w:afterLines="200" w:after="480" w:line="240" w:lineRule="auto"/>
        <w:contextualSpacing w:val="0"/>
        <w:jc w:val="both"/>
        <w:rPr>
          <w:rFonts w:ascii="ITC Avant Garde" w:eastAsia="Times New Roman" w:hAnsi="ITC Avant Garde" w:cs="Arial"/>
          <w:b/>
          <w:bCs/>
          <w:lang w:val="es-ES_tradnl" w:eastAsia="es-ES"/>
        </w:rPr>
      </w:pPr>
      <w:r w:rsidRPr="004C52B2" w:rsidDel="00D77EE7">
        <w:rPr>
          <w:rFonts w:ascii="ITC Avant Garde" w:eastAsia="Times New Roman" w:hAnsi="ITC Avant Garde" w:cs="Arial"/>
          <w:b/>
          <w:bCs/>
          <w:lang w:val="es-ES_tradnl" w:eastAsia="es-ES"/>
        </w:rPr>
        <w:t xml:space="preserve">Tabla I. </w:t>
      </w:r>
      <w:r w:rsidRPr="004C52B2">
        <w:rPr>
          <w:rFonts w:ascii="ITC Avant Garde" w:eastAsia="Times New Roman" w:hAnsi="ITC Avant Garde" w:cs="Arial"/>
          <w:b/>
          <w:bCs/>
          <w:lang w:val="es-ES_tradnl" w:eastAsia="es-ES"/>
        </w:rPr>
        <w:t xml:space="preserve">Identificación y descripción de los productos de Telmex utilizados para la construcción del índice de la cantidad de </w:t>
      </w:r>
      <w:r w:rsidR="003054C5">
        <w:rPr>
          <w:rFonts w:ascii="ITC Avant Garde" w:eastAsia="Times New Roman" w:hAnsi="ITC Avant Garde" w:cs="Arial"/>
          <w:b/>
          <w:bCs/>
          <w:lang w:val="es-ES_tradnl" w:eastAsia="es-ES"/>
        </w:rPr>
        <w:t>producto</w:t>
      </w:r>
      <w:r w:rsidRPr="004C52B2">
        <w:rPr>
          <w:rFonts w:ascii="ITC Avant Garde" w:eastAsia="Times New Roman" w:hAnsi="ITC Avant Garde" w:cs="Arial"/>
          <w:b/>
          <w:bCs/>
          <w:lang w:val="es-ES_tradnl" w:eastAsia="es-ES"/>
        </w:rPr>
        <w:t>.</w:t>
      </w:r>
    </w:p>
    <w:p w14:paraId="62F75331" w14:textId="7828BABA" w:rsidR="000D1D86" w:rsidRDefault="000D1D86" w:rsidP="000D1D86">
      <w:pPr>
        <w:pStyle w:val="Prrafodelista"/>
        <w:adjustRightInd w:val="0"/>
        <w:spacing w:beforeLines="240" w:before="576" w:afterLines="200" w:after="480" w:line="240" w:lineRule="auto"/>
        <w:contextualSpacing w:val="0"/>
        <w:jc w:val="center"/>
        <w:rPr>
          <w:rFonts w:ascii="ITC Avant Garde" w:eastAsia="Times New Roman" w:hAnsi="ITC Avant Garde" w:cs="Arial"/>
          <w:b/>
          <w:bCs/>
          <w:lang w:val="es-ES_tradnl" w:eastAsia="es-ES"/>
        </w:rPr>
      </w:pPr>
      <w:r>
        <w:rPr>
          <w:rFonts w:ascii="ITC Avant Garde" w:hAnsi="ITC Avant Garde"/>
          <w:b/>
          <w:bCs/>
          <w:color w:val="0000CC"/>
          <w:lang w:eastAsia="es-MX"/>
        </w:rPr>
        <w:t xml:space="preserve">TABLA QUE CONTIENEN INFORMACIÓN </w:t>
      </w:r>
      <w:r w:rsidRPr="002C2AEE">
        <w:rPr>
          <w:rFonts w:ascii="ITC Avant Garde" w:hAnsi="ITC Avant Garde"/>
          <w:b/>
          <w:bCs/>
          <w:color w:val="0000CC"/>
          <w:lang w:eastAsia="es-MX"/>
        </w:rPr>
        <w:t>“CONFIDENCIAL POR LEY”</w:t>
      </w:r>
    </w:p>
    <w:p w14:paraId="4FAEE806" w14:textId="77777777" w:rsidR="008369E9" w:rsidRDefault="00691590" w:rsidP="000D1D86">
      <w:pPr>
        <w:pStyle w:val="Prrafodelista"/>
        <w:adjustRightInd w:val="0"/>
        <w:spacing w:beforeLines="150" w:before="360" w:afterLines="150" w:after="360" w:line="240" w:lineRule="auto"/>
        <w:contextualSpacing w:val="0"/>
        <w:jc w:val="both"/>
        <w:rPr>
          <w:rFonts w:ascii="ITC Avant Garde" w:eastAsia="Times New Roman" w:hAnsi="ITC Avant Garde" w:cs="Arial"/>
          <w:bCs/>
          <w:i/>
          <w:sz w:val="16"/>
          <w:szCs w:val="16"/>
          <w:lang w:val="es-ES_tradnl" w:eastAsia="es-ES"/>
        </w:rPr>
      </w:pPr>
      <w:r w:rsidRPr="000A1332" w:rsidDel="00D77EE7">
        <w:rPr>
          <w:rFonts w:ascii="ITC Avant Garde" w:eastAsia="Times New Roman" w:hAnsi="ITC Avant Garde" w:cs="Arial"/>
          <w:bCs/>
          <w:i/>
          <w:sz w:val="16"/>
          <w:szCs w:val="16"/>
          <w:lang w:val="es-ES_tradnl" w:eastAsia="es-ES"/>
        </w:rPr>
        <w:t>Fuente: Informe “Cálculo de la Productividad Total de los Factores y del Factor X de Telmex S.A.B. en México”, presentado por Telmex</w:t>
      </w:r>
      <w:r w:rsidR="002E7F03" w:rsidRPr="000A1332">
        <w:rPr>
          <w:rFonts w:ascii="ITC Avant Garde" w:eastAsia="Times New Roman" w:hAnsi="ITC Avant Garde" w:cs="Arial"/>
          <w:bCs/>
          <w:i/>
          <w:sz w:val="16"/>
          <w:szCs w:val="16"/>
          <w:lang w:val="es-ES_tradnl" w:eastAsia="es-ES"/>
        </w:rPr>
        <w:t>, para el periodo 2017-2018</w:t>
      </w:r>
      <w:r w:rsidRPr="000A1332" w:rsidDel="00D77EE7">
        <w:rPr>
          <w:rFonts w:ascii="ITC Avant Garde" w:eastAsia="Times New Roman" w:hAnsi="ITC Avant Garde" w:cs="Arial"/>
          <w:bCs/>
          <w:i/>
          <w:sz w:val="16"/>
          <w:szCs w:val="16"/>
          <w:lang w:val="es-ES_tradnl" w:eastAsia="es-ES"/>
        </w:rPr>
        <w:t>.</w:t>
      </w:r>
    </w:p>
    <w:p w14:paraId="7E141DB1" w14:textId="01F5D9BD" w:rsidR="008369E9" w:rsidRDefault="00376BF9" w:rsidP="000D1D86">
      <w:pPr>
        <w:pStyle w:val="Prrafodelista"/>
        <w:adjustRightInd w:val="0"/>
        <w:spacing w:beforeLines="150" w:before="360" w:afterLines="150" w:after="360" w:line="240" w:lineRule="auto"/>
        <w:contextualSpacing w:val="0"/>
        <w:jc w:val="both"/>
      </w:pPr>
      <w:r w:rsidRPr="004C52B2">
        <w:rPr>
          <w:rFonts w:ascii="ITC Avant Garde" w:eastAsia="Times New Roman" w:hAnsi="ITC Avant Garde" w:cs="Arial"/>
          <w:b/>
          <w:lang w:val="es-ES_tradnl" w:eastAsia="es-ES"/>
        </w:rPr>
        <w:t>5</w:t>
      </w:r>
      <w:r w:rsidR="00790E70" w:rsidRPr="004C52B2">
        <w:rPr>
          <w:rFonts w:ascii="ITC Avant Garde" w:eastAsia="Times New Roman" w:hAnsi="ITC Avant Garde" w:cs="Arial"/>
          <w:b/>
          <w:lang w:val="es-ES_tradnl" w:eastAsia="es-ES"/>
        </w:rPr>
        <w:t xml:space="preserve">.3.2 </w:t>
      </w:r>
      <w:r w:rsidR="00461E71" w:rsidRPr="004C52B2">
        <w:rPr>
          <w:rFonts w:ascii="ITC Avant Garde" w:eastAsia="Times New Roman" w:hAnsi="ITC Avant Garde" w:cs="Arial"/>
          <w:b/>
          <w:lang w:val="es-ES_tradnl" w:eastAsia="es-ES"/>
        </w:rPr>
        <w:t xml:space="preserve">Índice de </w:t>
      </w:r>
      <w:r w:rsidR="00860677" w:rsidRPr="004C52B2">
        <w:rPr>
          <w:rFonts w:ascii="ITC Avant Garde" w:eastAsia="Times New Roman" w:hAnsi="ITC Avant Garde" w:cs="Arial"/>
          <w:b/>
          <w:iCs/>
          <w:lang w:val="es-ES_tradnl" w:eastAsia="es-ES"/>
        </w:rPr>
        <w:t>insumos</w:t>
      </w:r>
      <w:r w:rsidR="00461E71" w:rsidRPr="004C52B2">
        <w:rPr>
          <w:rFonts w:ascii="ITC Avant Garde" w:eastAsia="Times New Roman" w:hAnsi="ITC Avant Garde" w:cs="Arial"/>
          <w:b/>
          <w:lang w:val="es-ES_tradnl" w:eastAsia="es-ES"/>
        </w:rPr>
        <w:t>.</w:t>
      </w:r>
      <w:r w:rsidR="00461E71" w:rsidRPr="004C52B2">
        <w:rPr>
          <w:rFonts w:ascii="ITC Avant Garde" w:eastAsia="Times New Roman" w:hAnsi="ITC Avant Garde" w:cs="Arial"/>
          <w:bCs/>
          <w:lang w:val="es-ES_tradnl" w:eastAsia="es-ES"/>
        </w:rPr>
        <w:t xml:space="preserve"> </w:t>
      </w:r>
      <w:r w:rsidR="00890F91" w:rsidRPr="004C52B2">
        <w:rPr>
          <w:rFonts w:ascii="ITC Avant Garde" w:eastAsia="Times New Roman" w:hAnsi="ITC Avant Garde" w:cs="Arial"/>
          <w:bCs/>
          <w:lang w:val="es-ES_tradnl" w:eastAsia="es-ES"/>
        </w:rPr>
        <w:t>P</w:t>
      </w:r>
      <w:r w:rsidR="00461E71" w:rsidRPr="004C52B2">
        <w:rPr>
          <w:rFonts w:ascii="ITC Avant Garde" w:eastAsia="Times New Roman" w:hAnsi="ITC Avant Garde" w:cs="Arial"/>
          <w:bCs/>
          <w:lang w:val="es-ES_tradnl" w:eastAsia="es-ES"/>
        </w:rPr>
        <w:t>ara estimar</w:t>
      </w:r>
      <w:r w:rsidR="00EF032F" w:rsidRPr="004C52B2">
        <w:rPr>
          <w:rFonts w:ascii="ITC Avant Garde" w:eastAsia="Times New Roman" w:hAnsi="ITC Avant Garde" w:cs="Arial"/>
          <w:bCs/>
          <w:lang w:val="es-ES_tradnl" w:eastAsia="es-ES"/>
        </w:rPr>
        <w:t xml:space="preserve"> la tasa de crecimiento del índ</w:t>
      </w:r>
      <w:r w:rsidR="003D7BE9" w:rsidRPr="004C52B2">
        <w:rPr>
          <w:rFonts w:ascii="ITC Avant Garde" w:eastAsia="Times New Roman" w:hAnsi="ITC Avant Garde" w:cs="Arial"/>
          <w:bCs/>
          <w:lang w:val="es-ES_tradnl" w:eastAsia="es-ES"/>
        </w:rPr>
        <w:t>ice</w:t>
      </w:r>
      <w:r w:rsidR="00EF032F" w:rsidRPr="004C52B2">
        <w:rPr>
          <w:rFonts w:ascii="ITC Avant Garde" w:eastAsia="Times New Roman" w:hAnsi="ITC Avant Garde" w:cs="Arial"/>
          <w:bCs/>
          <w:lang w:val="es-ES_tradnl" w:eastAsia="es-ES"/>
        </w:rPr>
        <w:t xml:space="preserve"> de precio de insumos y la tasa de crecimiento de la cantidad de insumo</w:t>
      </w:r>
      <w:r w:rsidR="00461E71" w:rsidRPr="004C52B2">
        <w:rPr>
          <w:rFonts w:ascii="ITC Avant Garde" w:eastAsia="Times New Roman" w:hAnsi="ITC Avant Garde" w:cs="Arial"/>
          <w:bCs/>
          <w:lang w:val="es-ES_tradnl" w:eastAsia="es-ES"/>
        </w:rPr>
        <w:t xml:space="preserve"> </w:t>
      </w:r>
      <w:r w:rsidR="00860677" w:rsidRPr="004C52B2">
        <w:rPr>
          <w:rFonts w:ascii="ITC Avant Garde" w:eastAsia="Times New Roman" w:hAnsi="ITC Avant Garde" w:cs="Arial"/>
          <w:bCs/>
          <w:lang w:val="es-ES_tradnl" w:eastAsia="es-ES"/>
        </w:rPr>
        <w:t xml:space="preserve">se </w:t>
      </w:r>
      <w:r w:rsidR="00461E71" w:rsidRPr="004C52B2">
        <w:rPr>
          <w:rFonts w:ascii="ITC Avant Garde" w:eastAsia="Times New Roman" w:hAnsi="ITC Avant Garde" w:cs="Arial"/>
          <w:bCs/>
          <w:lang w:val="es-ES_tradnl" w:eastAsia="es-ES"/>
        </w:rPr>
        <w:t>consideró el crecimiento de tres insumos de producción: mano de obra, materiales rentas y servicios (MRS) y capital, los cuales fueron agregados a través del índice ideal de Fisher</w:t>
      </w:r>
      <w:r w:rsidR="00890F91" w:rsidRPr="004C52B2">
        <w:rPr>
          <w:rFonts w:ascii="ITC Avant Garde" w:eastAsia="Times New Roman" w:hAnsi="ITC Avant Garde" w:cs="Arial"/>
          <w:bCs/>
          <w:lang w:val="es-ES_tradnl" w:eastAsia="es-ES"/>
        </w:rPr>
        <w:t xml:space="preserve"> de cantidades</w:t>
      </w:r>
      <w:r w:rsidR="00EF032F" w:rsidRPr="004C52B2">
        <w:rPr>
          <w:rFonts w:ascii="ITC Avant Garde" w:eastAsia="Times New Roman" w:hAnsi="ITC Avant Garde" w:cs="Arial"/>
          <w:bCs/>
          <w:lang w:val="es-ES_tradnl" w:eastAsia="es-ES"/>
        </w:rPr>
        <w:t xml:space="preserve"> </w:t>
      </w:r>
      <w:r w:rsidR="00890F91" w:rsidRPr="004C52B2">
        <w:rPr>
          <w:rFonts w:ascii="ITC Avant Garde" w:eastAsia="Times New Roman" w:hAnsi="ITC Avant Garde" w:cs="Arial"/>
          <w:bCs/>
          <w:lang w:val="es-ES_tradnl" w:eastAsia="es-ES"/>
        </w:rPr>
        <w:t>y de precios</w:t>
      </w:r>
      <w:r w:rsidR="00461E71" w:rsidRPr="004C52B2">
        <w:rPr>
          <w:rFonts w:ascii="ITC Avant Garde" w:eastAsia="Times New Roman" w:hAnsi="ITC Avant Garde" w:cs="Arial"/>
          <w:bCs/>
          <w:lang w:val="es-ES_tradnl" w:eastAsia="es-ES"/>
        </w:rPr>
        <w:t xml:space="preserve">. </w:t>
      </w:r>
      <w:r w:rsidR="00860677" w:rsidRPr="004C52B2">
        <w:rPr>
          <w:rFonts w:ascii="ITC Avant Garde" w:eastAsia="Times New Roman" w:hAnsi="ITC Avant Garde" w:cs="Arial"/>
          <w:bCs/>
          <w:lang w:val="es-ES_tradnl" w:eastAsia="es-ES"/>
        </w:rPr>
        <w:t xml:space="preserve">Algunos de los componentes para calcular </w:t>
      </w:r>
      <w:r w:rsidR="006B74B8" w:rsidRPr="004C52B2">
        <w:rPr>
          <w:rFonts w:ascii="ITC Avant Garde" w:eastAsia="Times New Roman" w:hAnsi="ITC Avant Garde" w:cs="Arial"/>
          <w:bCs/>
          <w:lang w:val="es-ES_tradnl" w:eastAsia="es-ES"/>
        </w:rPr>
        <w:t xml:space="preserve">el índice de cantidades de los insumos, también </w:t>
      </w:r>
      <w:r w:rsidR="00122E0A" w:rsidRPr="004C52B2">
        <w:rPr>
          <w:rFonts w:ascii="ITC Avant Garde" w:eastAsia="Times New Roman" w:hAnsi="ITC Avant Garde" w:cs="Arial"/>
          <w:bCs/>
          <w:lang w:val="es-ES_tradnl" w:eastAsia="es-ES"/>
        </w:rPr>
        <w:t xml:space="preserve">fueron </w:t>
      </w:r>
      <w:r w:rsidR="006B74B8" w:rsidRPr="004C52B2">
        <w:rPr>
          <w:rFonts w:ascii="ITC Avant Garde" w:eastAsia="Times New Roman" w:hAnsi="ITC Avant Garde" w:cs="Arial"/>
          <w:bCs/>
          <w:lang w:val="es-ES_tradnl" w:eastAsia="es-ES"/>
        </w:rPr>
        <w:t>usados para calcular el índice de precios de los insumos que mide cómo los precios de los insumos de Telmex cambia</w:t>
      </w:r>
      <w:r w:rsidR="00122E0A" w:rsidRPr="004C52B2">
        <w:rPr>
          <w:rFonts w:ascii="ITC Avant Garde" w:eastAsia="Times New Roman" w:hAnsi="ITC Avant Garde" w:cs="Arial"/>
          <w:bCs/>
          <w:lang w:val="es-ES_tradnl" w:eastAsia="es-ES"/>
        </w:rPr>
        <w:t>ron</w:t>
      </w:r>
      <w:r w:rsidR="002E7F03" w:rsidRPr="004C52B2">
        <w:rPr>
          <w:rFonts w:ascii="ITC Avant Garde" w:eastAsia="Times New Roman" w:hAnsi="ITC Avant Garde" w:cs="Arial"/>
          <w:bCs/>
          <w:lang w:val="es-ES_tradnl" w:eastAsia="es-ES"/>
        </w:rPr>
        <w:t xml:space="preserve"> durante el periodo 2000 a 2015</w:t>
      </w:r>
      <w:r w:rsidR="006B74B8" w:rsidRPr="004C52B2">
        <w:rPr>
          <w:rFonts w:ascii="ITC Avant Garde" w:eastAsia="Times New Roman" w:hAnsi="ITC Avant Garde" w:cs="Arial"/>
          <w:bCs/>
          <w:lang w:val="es-ES_tradnl" w:eastAsia="es-ES"/>
        </w:rPr>
        <w:t>.</w:t>
      </w:r>
    </w:p>
    <w:p w14:paraId="5268249B" w14:textId="77777777" w:rsidR="008369E9" w:rsidRDefault="00461E71" w:rsidP="000D1D86">
      <w:pPr>
        <w:pStyle w:val="Prrafodelista"/>
        <w:numPr>
          <w:ilvl w:val="0"/>
          <w:numId w:val="12"/>
        </w:numPr>
        <w:adjustRightInd w:val="0"/>
        <w:spacing w:beforeLines="150" w:before="360" w:afterLines="150" w:after="360" w:line="240" w:lineRule="auto"/>
        <w:contextualSpacing w:val="0"/>
        <w:jc w:val="both"/>
        <w:rPr>
          <w:rFonts w:ascii="ITC Avant Garde" w:eastAsia="Times New Roman" w:hAnsi="ITC Avant Garde" w:cs="Arial"/>
          <w:bCs/>
          <w:lang w:val="es-ES_tradnl" w:eastAsia="es-ES"/>
        </w:rPr>
      </w:pPr>
      <w:r w:rsidRPr="004C52B2">
        <w:rPr>
          <w:rFonts w:ascii="ITC Avant Garde" w:eastAsia="Times New Roman" w:hAnsi="ITC Avant Garde" w:cs="Arial"/>
          <w:b/>
          <w:lang w:val="es-ES_tradnl" w:eastAsia="es-ES"/>
        </w:rPr>
        <w:t>Mano de obra.</w:t>
      </w:r>
      <w:r w:rsidRPr="004C52B2">
        <w:rPr>
          <w:rFonts w:ascii="ITC Avant Garde" w:eastAsia="Times New Roman" w:hAnsi="ITC Avant Garde" w:cs="Arial"/>
          <w:bCs/>
          <w:lang w:val="es-ES_tradnl" w:eastAsia="es-ES"/>
        </w:rPr>
        <w:t xml:space="preserve"> </w:t>
      </w:r>
    </w:p>
    <w:p w14:paraId="61A72DD7" w14:textId="77777777" w:rsidR="00C5094E" w:rsidRDefault="00EB75AA" w:rsidP="000D1D86">
      <w:pPr>
        <w:pStyle w:val="Prrafodelista"/>
        <w:adjustRightInd w:val="0"/>
        <w:spacing w:beforeLines="240" w:before="576" w:afterLines="200" w:after="480" w:line="240" w:lineRule="auto"/>
        <w:ind w:left="1440"/>
        <w:contextualSpacing w:val="0"/>
        <w:jc w:val="both"/>
        <w:rPr>
          <w:rFonts w:ascii="ITC Avant Garde" w:eastAsia="Times New Roman" w:hAnsi="ITC Avant Garde" w:cs="Arial"/>
          <w:bCs/>
          <w:lang w:val="es-ES_tradnl" w:eastAsia="es-ES"/>
        </w:rPr>
        <w:sectPr w:rsidR="00C5094E" w:rsidSect="00C5094E">
          <w:headerReference w:type="default" r:id="rId15"/>
          <w:pgSz w:w="12240" w:h="15840"/>
          <w:pgMar w:top="2370" w:right="1418" w:bottom="1418" w:left="1418" w:header="709" w:footer="709" w:gutter="0"/>
          <w:cols w:space="708"/>
          <w:docGrid w:linePitch="360"/>
        </w:sectPr>
      </w:pPr>
      <w:r w:rsidRPr="004C52B2">
        <w:rPr>
          <w:rFonts w:ascii="ITC Avant Garde" w:eastAsia="Times New Roman" w:hAnsi="ITC Avant Garde" w:cs="Arial"/>
          <w:bCs/>
          <w:lang w:val="es-ES_tradnl" w:eastAsia="es-ES"/>
        </w:rPr>
        <w:t xml:space="preserve">En el informe de Telmex, el primer insumo fue calculado con base en la cantidad de la mano de obra. </w:t>
      </w:r>
      <w:r w:rsidR="007740C8" w:rsidRPr="004C52B2">
        <w:rPr>
          <w:rFonts w:ascii="ITC Avant Garde" w:eastAsia="Times New Roman" w:hAnsi="ITC Avant Garde" w:cs="Arial"/>
          <w:bCs/>
          <w:lang w:val="es-ES_tradnl" w:eastAsia="es-ES"/>
        </w:rPr>
        <w:t>La determinación de este insumo de producción consider</w:t>
      </w:r>
      <w:r w:rsidR="00C30707" w:rsidRPr="004C52B2">
        <w:rPr>
          <w:rFonts w:ascii="ITC Avant Garde" w:eastAsia="Times New Roman" w:hAnsi="ITC Avant Garde" w:cs="Arial"/>
          <w:bCs/>
          <w:lang w:val="es-ES_tradnl" w:eastAsia="es-ES"/>
        </w:rPr>
        <w:t>ó</w:t>
      </w:r>
      <w:r w:rsidR="007740C8" w:rsidRPr="004C52B2">
        <w:rPr>
          <w:rFonts w:ascii="ITC Avant Garde" w:eastAsia="Times New Roman" w:hAnsi="ITC Avant Garde" w:cs="Arial"/>
          <w:bCs/>
          <w:lang w:val="es-ES_tradnl" w:eastAsia="es-ES"/>
        </w:rPr>
        <w:t xml:space="preserve"> los siguientes aspectos:</w:t>
      </w:r>
    </w:p>
    <w:p w14:paraId="134D624F" w14:textId="309941B0" w:rsidR="008369E9" w:rsidRDefault="007740C8" w:rsidP="00C5094E">
      <w:pPr>
        <w:pStyle w:val="Prrafodelista"/>
        <w:numPr>
          <w:ilvl w:val="0"/>
          <w:numId w:val="15"/>
        </w:numPr>
        <w:adjustRightInd w:val="0"/>
        <w:spacing w:before="240" w:line="240" w:lineRule="auto"/>
        <w:contextualSpacing w:val="0"/>
        <w:jc w:val="both"/>
        <w:rPr>
          <w:rFonts w:ascii="ITC Avant Garde" w:eastAsia="Times New Roman" w:hAnsi="ITC Avant Garde" w:cs="Arial"/>
          <w:bCs/>
          <w:lang w:val="es-ES_tradnl" w:eastAsia="es-ES"/>
        </w:rPr>
      </w:pPr>
      <w:r w:rsidRPr="004C52B2">
        <w:rPr>
          <w:rFonts w:ascii="ITC Avant Garde" w:eastAsia="Times New Roman" w:hAnsi="ITC Avant Garde" w:cs="Arial"/>
          <w:b/>
          <w:bCs/>
          <w:lang w:val="es-ES_tradnl" w:eastAsia="es-ES"/>
        </w:rPr>
        <w:lastRenderedPageBreak/>
        <w:t>Cantidad de mano de obra.</w:t>
      </w:r>
      <w:r w:rsidRPr="004C52B2">
        <w:rPr>
          <w:rFonts w:ascii="ITC Avant Garde" w:eastAsia="Times New Roman" w:hAnsi="ITC Avant Garde" w:cs="Arial"/>
          <w:bCs/>
          <w:lang w:val="es-ES_tradnl" w:eastAsia="es-ES"/>
        </w:rPr>
        <w:t xml:space="preserve"> </w:t>
      </w:r>
      <w:r w:rsidR="002C2AEE" w:rsidRPr="002C2AEE">
        <w:rPr>
          <w:rFonts w:ascii="ITC Avant Garde" w:hAnsi="ITC Avant Garde"/>
          <w:b/>
          <w:bCs/>
          <w:color w:val="0000CC"/>
          <w:lang w:eastAsia="es-MX"/>
        </w:rPr>
        <w:t>“CONFIDENCIAL POR LEY”</w:t>
      </w:r>
      <w:r w:rsidR="00EB75AA" w:rsidRPr="004C52B2">
        <w:rPr>
          <w:rFonts w:ascii="ITC Avant Garde" w:eastAsia="Times New Roman" w:hAnsi="ITC Avant Garde" w:cs="Arial"/>
          <w:bCs/>
          <w:lang w:val="es-ES_tradnl" w:eastAsia="es-ES"/>
        </w:rPr>
        <w:t>.</w:t>
      </w:r>
    </w:p>
    <w:p w14:paraId="7E4247C4" w14:textId="44A7E598" w:rsidR="008369E9" w:rsidRDefault="007740C8" w:rsidP="00C5094E">
      <w:pPr>
        <w:pStyle w:val="Prrafodelista"/>
        <w:numPr>
          <w:ilvl w:val="0"/>
          <w:numId w:val="15"/>
        </w:numPr>
        <w:adjustRightInd w:val="0"/>
        <w:spacing w:before="240" w:line="240" w:lineRule="auto"/>
        <w:contextualSpacing w:val="0"/>
        <w:jc w:val="both"/>
        <w:rPr>
          <w:rFonts w:ascii="ITC Avant Garde" w:eastAsia="Times New Roman" w:hAnsi="ITC Avant Garde" w:cs="Arial"/>
          <w:bCs/>
          <w:lang w:val="es-ES_tradnl" w:eastAsia="es-ES"/>
        </w:rPr>
      </w:pPr>
      <w:r w:rsidRPr="004C52B2">
        <w:rPr>
          <w:rFonts w:ascii="ITC Avant Garde" w:eastAsia="Times New Roman" w:hAnsi="ITC Avant Garde" w:cs="Arial"/>
          <w:b/>
          <w:bCs/>
          <w:lang w:val="es-ES_tradnl" w:eastAsia="es-ES"/>
        </w:rPr>
        <w:t>Ponderación de mano de obra.</w:t>
      </w:r>
      <w:r w:rsidRPr="004C52B2">
        <w:rPr>
          <w:rFonts w:ascii="ITC Avant Garde" w:eastAsia="Times New Roman" w:hAnsi="ITC Avant Garde" w:cs="Arial"/>
          <w:bCs/>
          <w:lang w:val="es-ES_tradnl" w:eastAsia="es-ES"/>
        </w:rPr>
        <w:t xml:space="preserve"> </w:t>
      </w:r>
      <w:r w:rsidR="002C2AEE" w:rsidRPr="002C2AEE">
        <w:rPr>
          <w:rFonts w:ascii="ITC Avant Garde" w:hAnsi="ITC Avant Garde"/>
          <w:b/>
          <w:bCs/>
          <w:color w:val="0000CC"/>
          <w:lang w:eastAsia="es-MX"/>
        </w:rPr>
        <w:t>“CONFIDENCIAL POR LEY”</w:t>
      </w:r>
      <w:r w:rsidR="00EB75AA" w:rsidRPr="004C52B2">
        <w:rPr>
          <w:rFonts w:ascii="ITC Avant Garde" w:eastAsia="Times New Roman" w:hAnsi="ITC Avant Garde" w:cs="Arial"/>
          <w:bCs/>
          <w:lang w:val="es-ES_tradnl" w:eastAsia="es-ES"/>
        </w:rPr>
        <w:t>.</w:t>
      </w:r>
    </w:p>
    <w:p w14:paraId="48BBEA61" w14:textId="4D965511" w:rsidR="008369E9" w:rsidRDefault="007740C8" w:rsidP="00C5094E">
      <w:pPr>
        <w:pStyle w:val="Prrafodelista"/>
        <w:numPr>
          <w:ilvl w:val="0"/>
          <w:numId w:val="15"/>
        </w:numPr>
        <w:adjustRightInd w:val="0"/>
        <w:spacing w:before="240" w:line="240" w:lineRule="auto"/>
        <w:contextualSpacing w:val="0"/>
        <w:jc w:val="both"/>
        <w:rPr>
          <w:rFonts w:ascii="ITC Avant Garde" w:eastAsia="Times New Roman" w:hAnsi="ITC Avant Garde" w:cs="Arial"/>
          <w:bCs/>
          <w:lang w:val="es-ES_tradnl" w:eastAsia="es-ES"/>
        </w:rPr>
      </w:pPr>
      <w:r w:rsidRPr="004C52B2">
        <w:rPr>
          <w:rFonts w:ascii="ITC Avant Garde" w:eastAsia="Times New Roman" w:hAnsi="ITC Avant Garde" w:cs="Arial"/>
          <w:b/>
          <w:bCs/>
          <w:lang w:val="es-ES_tradnl" w:eastAsia="es-ES"/>
        </w:rPr>
        <w:t>Precio de la mano de obra</w:t>
      </w:r>
      <w:r w:rsidRPr="004C52B2">
        <w:rPr>
          <w:rFonts w:ascii="ITC Avant Garde" w:eastAsia="Times New Roman" w:hAnsi="ITC Avant Garde" w:cs="Arial"/>
          <w:bCs/>
          <w:lang w:val="es-ES_tradnl" w:eastAsia="es-ES"/>
        </w:rPr>
        <w:t xml:space="preserve">. </w:t>
      </w:r>
      <w:r w:rsidR="002C2AEE" w:rsidRPr="002C2AEE">
        <w:rPr>
          <w:rFonts w:ascii="ITC Avant Garde" w:hAnsi="ITC Avant Garde"/>
          <w:b/>
          <w:bCs/>
          <w:color w:val="0000CC"/>
          <w:lang w:eastAsia="es-MX"/>
        </w:rPr>
        <w:t>“CONFIDENCIAL POR LEY”</w:t>
      </w:r>
      <w:r w:rsidR="00461E71" w:rsidRPr="004C52B2">
        <w:rPr>
          <w:rFonts w:ascii="ITC Avant Garde" w:eastAsia="Times New Roman" w:hAnsi="ITC Avant Garde" w:cs="Arial"/>
          <w:bCs/>
          <w:lang w:val="es-ES_tradnl" w:eastAsia="es-ES"/>
        </w:rPr>
        <w:t>.</w:t>
      </w:r>
    </w:p>
    <w:p w14:paraId="70AB7153" w14:textId="77777777" w:rsidR="008369E9" w:rsidRDefault="00461E71" w:rsidP="00C5094E">
      <w:pPr>
        <w:pStyle w:val="Prrafodelista"/>
        <w:numPr>
          <w:ilvl w:val="0"/>
          <w:numId w:val="12"/>
        </w:numPr>
        <w:adjustRightInd w:val="0"/>
        <w:spacing w:before="240" w:line="240" w:lineRule="auto"/>
        <w:contextualSpacing w:val="0"/>
        <w:jc w:val="both"/>
        <w:rPr>
          <w:rFonts w:ascii="ITC Avant Garde" w:eastAsia="Times New Roman" w:hAnsi="ITC Avant Garde" w:cs="Arial"/>
          <w:bCs/>
          <w:lang w:val="es-ES_tradnl" w:eastAsia="es-ES"/>
        </w:rPr>
      </w:pPr>
      <w:r w:rsidRPr="004C52B2">
        <w:rPr>
          <w:rFonts w:ascii="ITC Avant Garde" w:eastAsia="Times New Roman" w:hAnsi="ITC Avant Garde" w:cs="Arial"/>
          <w:b/>
          <w:lang w:val="es-ES_tradnl" w:eastAsia="es-ES"/>
        </w:rPr>
        <w:t>Materiales, Rentas y Servicios.</w:t>
      </w:r>
      <w:r w:rsidRPr="004C52B2">
        <w:rPr>
          <w:rFonts w:ascii="ITC Avant Garde" w:eastAsia="Times New Roman" w:hAnsi="ITC Avant Garde" w:cs="Arial"/>
          <w:bCs/>
          <w:lang w:val="es-ES_tradnl" w:eastAsia="es-ES"/>
        </w:rPr>
        <w:t xml:space="preserve"> </w:t>
      </w:r>
    </w:p>
    <w:p w14:paraId="10B36CCF" w14:textId="77777777" w:rsidR="008369E9" w:rsidRDefault="00C66128" w:rsidP="00C5094E">
      <w:pPr>
        <w:pStyle w:val="Prrafodelista"/>
        <w:adjustRightInd w:val="0"/>
        <w:spacing w:before="240" w:line="240" w:lineRule="auto"/>
        <w:ind w:left="1440"/>
        <w:contextualSpacing w:val="0"/>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Los materiales, rentas y servicios son considerados un insumo importante del proceso de producción de una empresa de telefonía. Para la cantidad de MRS</w:t>
      </w:r>
      <w:r w:rsidR="006A5F02" w:rsidRPr="004C52B2">
        <w:rPr>
          <w:rFonts w:ascii="ITC Avant Garde" w:eastAsia="Times New Roman" w:hAnsi="ITC Avant Garde" w:cs="Arial"/>
          <w:bCs/>
          <w:lang w:val="es-ES_tradnl" w:eastAsia="es-ES"/>
        </w:rPr>
        <w:t>,</w:t>
      </w:r>
      <w:r w:rsidRPr="004C52B2">
        <w:rPr>
          <w:rFonts w:ascii="ITC Avant Garde" w:eastAsia="Times New Roman" w:hAnsi="ITC Avant Garde" w:cs="Arial"/>
          <w:bCs/>
          <w:lang w:val="es-ES_tradnl" w:eastAsia="es-ES"/>
        </w:rPr>
        <w:t xml:space="preserve"> primero se obtuvieron los gastos de MRS y después </w:t>
      </w:r>
      <w:r w:rsidR="00662AF1" w:rsidRPr="004C52B2">
        <w:rPr>
          <w:rFonts w:ascii="ITC Avant Garde" w:eastAsia="Times New Roman" w:hAnsi="ITC Avant Garde" w:cs="Arial"/>
          <w:bCs/>
          <w:lang w:val="es-ES_tradnl" w:eastAsia="es-ES"/>
        </w:rPr>
        <w:t>s</w:t>
      </w:r>
      <w:r w:rsidRPr="004C52B2">
        <w:rPr>
          <w:rFonts w:ascii="ITC Avant Garde" w:eastAsia="Times New Roman" w:hAnsi="ITC Avant Garde" w:cs="Arial"/>
          <w:bCs/>
          <w:lang w:val="es-ES_tradnl" w:eastAsia="es-ES"/>
        </w:rPr>
        <w:t>e deflactaron por un índice de precios</w:t>
      </w:r>
      <w:r w:rsidR="000C4F94" w:rsidRPr="004C52B2">
        <w:rPr>
          <w:rFonts w:ascii="ITC Avant Garde" w:eastAsia="Times New Roman" w:hAnsi="ITC Avant Garde" w:cs="Arial"/>
          <w:bCs/>
          <w:lang w:val="es-ES_tradnl" w:eastAsia="es-ES"/>
        </w:rPr>
        <w:t>.</w:t>
      </w:r>
      <w:r w:rsidRPr="004C52B2">
        <w:rPr>
          <w:rFonts w:ascii="ITC Avant Garde" w:eastAsia="Times New Roman" w:hAnsi="ITC Avant Garde" w:cs="Arial"/>
          <w:bCs/>
          <w:lang w:val="es-ES_tradnl" w:eastAsia="es-ES"/>
        </w:rPr>
        <w:t xml:space="preserve"> </w:t>
      </w:r>
    </w:p>
    <w:p w14:paraId="2297B89F" w14:textId="77777777" w:rsidR="008369E9" w:rsidRDefault="002F7353" w:rsidP="00C5094E">
      <w:pPr>
        <w:pStyle w:val="Prrafodelista"/>
        <w:adjustRightInd w:val="0"/>
        <w:spacing w:before="240" w:line="240" w:lineRule="auto"/>
        <w:ind w:left="1440"/>
        <w:contextualSpacing w:val="0"/>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 xml:space="preserve">Respecto a la obtención de los gastos de MRS, éstos se calcularon </w:t>
      </w:r>
      <w:r w:rsidR="000C4F94" w:rsidRPr="004C52B2">
        <w:rPr>
          <w:rFonts w:ascii="ITC Avant Garde" w:eastAsia="Times New Roman" w:hAnsi="ITC Avant Garde" w:cs="Arial"/>
          <w:bCs/>
          <w:lang w:val="es-ES_tradnl" w:eastAsia="es-ES"/>
        </w:rPr>
        <w:t>al extraer los</w:t>
      </w:r>
      <w:r w:rsidRPr="004C52B2">
        <w:rPr>
          <w:rFonts w:ascii="ITC Avant Garde" w:eastAsia="Times New Roman" w:hAnsi="ITC Avant Garde" w:cs="Arial"/>
          <w:bCs/>
          <w:lang w:val="es-ES_tradnl" w:eastAsia="es-ES"/>
        </w:rPr>
        <w:t xml:space="preserve"> gastos operativos</w:t>
      </w:r>
      <w:r w:rsidR="000C4F94" w:rsidRPr="004C52B2">
        <w:rPr>
          <w:rFonts w:ascii="ITC Avant Garde" w:eastAsia="Times New Roman" w:hAnsi="ITC Avant Garde" w:cs="Arial"/>
          <w:bCs/>
          <w:lang w:val="es-ES_tradnl" w:eastAsia="es-ES"/>
        </w:rPr>
        <w:t xml:space="preserve"> de los</w:t>
      </w:r>
      <w:r w:rsidRPr="004C52B2">
        <w:rPr>
          <w:rFonts w:ascii="ITC Avant Garde" w:eastAsia="Times New Roman" w:hAnsi="ITC Avant Garde" w:cs="Arial"/>
          <w:bCs/>
          <w:lang w:val="es-ES_tradnl" w:eastAsia="es-ES"/>
        </w:rPr>
        <w:t xml:space="preserve"> gastos de man</w:t>
      </w:r>
      <w:r w:rsidR="00897B4F" w:rsidRPr="004C52B2">
        <w:rPr>
          <w:rFonts w:ascii="ITC Avant Garde" w:eastAsia="Times New Roman" w:hAnsi="ITC Avant Garde" w:cs="Arial"/>
          <w:bCs/>
          <w:lang w:val="es-ES_tradnl" w:eastAsia="es-ES"/>
        </w:rPr>
        <w:t>o</w:t>
      </w:r>
      <w:r w:rsidRPr="004C52B2">
        <w:rPr>
          <w:rFonts w:ascii="ITC Avant Garde" w:eastAsia="Times New Roman" w:hAnsi="ITC Avant Garde" w:cs="Arial"/>
          <w:bCs/>
          <w:lang w:val="es-ES_tradnl" w:eastAsia="es-ES"/>
        </w:rPr>
        <w:t xml:space="preserve"> de obra (</w:t>
      </w:r>
      <w:r w:rsidR="00BA63D6" w:rsidRPr="004C52B2">
        <w:rPr>
          <w:rFonts w:ascii="ITC Avant Garde" w:eastAsia="Times New Roman" w:hAnsi="ITC Avant Garde" w:cs="Arial"/>
          <w:bCs/>
          <w:lang w:val="es-ES_tradnl" w:eastAsia="es-ES"/>
        </w:rPr>
        <w:t xml:space="preserve">compensación laboral total), </w:t>
      </w:r>
      <w:r w:rsidR="000C4F94" w:rsidRPr="004C52B2">
        <w:rPr>
          <w:rFonts w:ascii="ITC Avant Garde" w:eastAsia="Times New Roman" w:hAnsi="ITC Avant Garde" w:cs="Arial"/>
          <w:bCs/>
          <w:lang w:val="es-ES_tradnl" w:eastAsia="es-ES"/>
        </w:rPr>
        <w:t>posteriormente se sustrajeron los gastos</w:t>
      </w:r>
      <w:r w:rsidR="00BA63D6" w:rsidRPr="004C52B2">
        <w:rPr>
          <w:rFonts w:ascii="ITC Avant Garde" w:eastAsia="Times New Roman" w:hAnsi="ITC Avant Garde" w:cs="Arial"/>
          <w:bCs/>
          <w:lang w:val="es-ES_tradnl" w:eastAsia="es-ES"/>
        </w:rPr>
        <w:t xml:space="preserve"> </w:t>
      </w:r>
      <w:r w:rsidR="006A545D">
        <w:rPr>
          <w:rFonts w:ascii="ITC Avant Garde" w:eastAsia="Times New Roman" w:hAnsi="ITC Avant Garde" w:cs="Arial"/>
          <w:bCs/>
          <w:lang w:val="es-ES_tradnl" w:eastAsia="es-ES"/>
        </w:rPr>
        <w:t xml:space="preserve">de </w:t>
      </w:r>
      <w:r w:rsidR="00BA63D6" w:rsidRPr="004C52B2">
        <w:rPr>
          <w:rFonts w:ascii="ITC Avant Garde" w:eastAsia="Times New Roman" w:hAnsi="ITC Avant Garde" w:cs="Arial"/>
          <w:bCs/>
          <w:lang w:val="es-ES_tradnl" w:eastAsia="es-ES"/>
        </w:rPr>
        <w:t>depreciación y amortización</w:t>
      </w:r>
      <w:r w:rsidR="000C4F94" w:rsidRPr="004C52B2">
        <w:rPr>
          <w:rFonts w:ascii="ITC Avant Garde" w:eastAsia="Times New Roman" w:hAnsi="ITC Avant Garde" w:cs="Arial"/>
          <w:bCs/>
          <w:lang w:val="es-ES_tradnl" w:eastAsia="es-ES"/>
        </w:rPr>
        <w:t xml:space="preserve"> debido a que estos conceptos resultan atribuibles al capital</w:t>
      </w:r>
      <w:r w:rsidR="00BA63D6" w:rsidRPr="004C52B2">
        <w:rPr>
          <w:rFonts w:ascii="ITC Avant Garde" w:eastAsia="Times New Roman" w:hAnsi="ITC Avant Garde" w:cs="Arial"/>
          <w:bCs/>
          <w:lang w:val="es-ES_tradnl" w:eastAsia="es-ES"/>
        </w:rPr>
        <w:t>.</w:t>
      </w:r>
    </w:p>
    <w:p w14:paraId="586AACAD" w14:textId="77777777" w:rsidR="008369E9" w:rsidRDefault="00662AF1" w:rsidP="00C5094E">
      <w:pPr>
        <w:pStyle w:val="Prrafodelista"/>
        <w:adjustRightInd w:val="0"/>
        <w:spacing w:before="240" w:line="240" w:lineRule="auto"/>
        <w:ind w:left="1440"/>
        <w:contextualSpacing w:val="0"/>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Para</w:t>
      </w:r>
      <w:r w:rsidR="00CE5D54" w:rsidRPr="004C52B2">
        <w:rPr>
          <w:rFonts w:ascii="ITC Avant Garde" w:eastAsia="Times New Roman" w:hAnsi="ITC Avant Garde" w:cs="Arial"/>
          <w:bCs/>
          <w:lang w:val="es-ES_tradnl" w:eastAsia="es-ES"/>
        </w:rPr>
        <w:t xml:space="preserve"> deflactar los gastos de </w:t>
      </w:r>
      <w:r w:rsidR="00D31A21" w:rsidRPr="004C52B2">
        <w:rPr>
          <w:rFonts w:ascii="ITC Avant Garde" w:eastAsia="Times New Roman" w:hAnsi="ITC Avant Garde" w:cs="Arial"/>
          <w:bCs/>
          <w:lang w:val="es-ES_tradnl" w:eastAsia="es-ES"/>
        </w:rPr>
        <w:t>MRS</w:t>
      </w:r>
      <w:r w:rsidR="00BA63D6" w:rsidRPr="004C52B2">
        <w:rPr>
          <w:rFonts w:ascii="ITC Avant Garde" w:eastAsia="Times New Roman" w:hAnsi="ITC Avant Garde" w:cs="Arial"/>
          <w:bCs/>
          <w:lang w:val="es-ES_tradnl" w:eastAsia="es-ES"/>
        </w:rPr>
        <w:t xml:space="preserve">, se dividió el gasto de MRS entre el deflactor del Producto Interno Bruto de México para </w:t>
      </w:r>
      <w:r w:rsidR="00955A39" w:rsidRPr="004C52B2">
        <w:rPr>
          <w:rFonts w:ascii="ITC Avant Garde" w:eastAsia="Times New Roman" w:hAnsi="ITC Avant Garde" w:cs="Arial"/>
          <w:bCs/>
          <w:lang w:val="es-ES_tradnl" w:eastAsia="es-ES"/>
        </w:rPr>
        <w:t>cada año del periodo 2000 a 2015</w:t>
      </w:r>
      <w:r w:rsidR="00BA63D6" w:rsidRPr="004C52B2">
        <w:rPr>
          <w:rFonts w:ascii="ITC Avant Garde" w:eastAsia="Times New Roman" w:hAnsi="ITC Avant Garde" w:cs="Arial"/>
          <w:bCs/>
          <w:lang w:val="es-ES_tradnl" w:eastAsia="es-ES"/>
        </w:rPr>
        <w:t>. Se utilizaron las siguientes series:</w:t>
      </w:r>
    </w:p>
    <w:p w14:paraId="2B8BC16E" w14:textId="31926648" w:rsidR="00BA63D6" w:rsidRPr="004C52B2" w:rsidRDefault="00BA63D6" w:rsidP="00C5094E">
      <w:pPr>
        <w:pStyle w:val="Prrafodelista"/>
        <w:numPr>
          <w:ilvl w:val="0"/>
          <w:numId w:val="8"/>
        </w:numPr>
        <w:adjustRightInd w:val="0"/>
        <w:spacing w:before="240" w:line="240" w:lineRule="auto"/>
        <w:contextualSpacing w:val="0"/>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Gastos operativos de Te</w:t>
      </w:r>
      <w:r w:rsidR="00955A39" w:rsidRPr="004C52B2">
        <w:rPr>
          <w:rFonts w:ascii="ITC Avant Garde" w:eastAsia="Times New Roman" w:hAnsi="ITC Avant Garde" w:cs="Arial"/>
          <w:bCs/>
          <w:lang w:val="es-ES_tradnl" w:eastAsia="es-ES"/>
        </w:rPr>
        <w:t>lmex para el periodo 2000 a 2015</w:t>
      </w:r>
      <w:r w:rsidRPr="004C52B2">
        <w:rPr>
          <w:rFonts w:ascii="ITC Avant Garde" w:eastAsia="Times New Roman" w:hAnsi="ITC Avant Garde" w:cs="Arial"/>
          <w:bCs/>
          <w:lang w:val="es-ES_tradnl" w:eastAsia="es-ES"/>
        </w:rPr>
        <w:t>.</w:t>
      </w:r>
    </w:p>
    <w:p w14:paraId="2B8853A2" w14:textId="77777777" w:rsidR="00BA63D6" w:rsidRPr="004C52B2" w:rsidRDefault="00BA63D6" w:rsidP="00C5094E">
      <w:pPr>
        <w:pStyle w:val="Prrafodelista"/>
        <w:numPr>
          <w:ilvl w:val="0"/>
          <w:numId w:val="8"/>
        </w:numPr>
        <w:adjustRightInd w:val="0"/>
        <w:spacing w:before="240" w:line="240" w:lineRule="auto"/>
        <w:contextualSpacing w:val="0"/>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Compensaciones laborales de Telmex para e</w:t>
      </w:r>
      <w:r w:rsidR="00955A39" w:rsidRPr="004C52B2">
        <w:rPr>
          <w:rFonts w:ascii="ITC Avant Garde" w:eastAsia="Times New Roman" w:hAnsi="ITC Avant Garde" w:cs="Arial"/>
          <w:bCs/>
          <w:lang w:val="es-ES_tradnl" w:eastAsia="es-ES"/>
        </w:rPr>
        <w:t>l periodo 2000 a 2015</w:t>
      </w:r>
      <w:r w:rsidRPr="004C52B2">
        <w:rPr>
          <w:rFonts w:ascii="ITC Avant Garde" w:eastAsia="Times New Roman" w:hAnsi="ITC Avant Garde" w:cs="Arial"/>
          <w:bCs/>
          <w:lang w:val="es-ES_tradnl" w:eastAsia="es-ES"/>
        </w:rPr>
        <w:t>.</w:t>
      </w:r>
    </w:p>
    <w:p w14:paraId="27FD29F2" w14:textId="77777777" w:rsidR="00BA63D6" w:rsidRPr="004C52B2" w:rsidRDefault="00BA63D6" w:rsidP="00C5094E">
      <w:pPr>
        <w:pStyle w:val="Prrafodelista"/>
        <w:numPr>
          <w:ilvl w:val="0"/>
          <w:numId w:val="8"/>
        </w:numPr>
        <w:adjustRightInd w:val="0"/>
        <w:spacing w:before="240" w:line="240" w:lineRule="auto"/>
        <w:contextualSpacing w:val="0"/>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Depreciación y amortización de Te</w:t>
      </w:r>
      <w:r w:rsidR="00955A39" w:rsidRPr="004C52B2">
        <w:rPr>
          <w:rFonts w:ascii="ITC Avant Garde" w:eastAsia="Times New Roman" w:hAnsi="ITC Avant Garde" w:cs="Arial"/>
          <w:bCs/>
          <w:lang w:val="es-ES_tradnl" w:eastAsia="es-ES"/>
        </w:rPr>
        <w:t>lmex para el periodo 2000 a 2015</w:t>
      </w:r>
      <w:r w:rsidRPr="004C52B2">
        <w:rPr>
          <w:rFonts w:ascii="ITC Avant Garde" w:eastAsia="Times New Roman" w:hAnsi="ITC Avant Garde" w:cs="Arial"/>
          <w:bCs/>
          <w:lang w:val="es-ES_tradnl" w:eastAsia="es-ES"/>
        </w:rPr>
        <w:t>.</w:t>
      </w:r>
    </w:p>
    <w:p w14:paraId="39BD32DA" w14:textId="77777777" w:rsidR="008369E9" w:rsidRDefault="00BA63D6" w:rsidP="00C5094E">
      <w:pPr>
        <w:pStyle w:val="Prrafodelista"/>
        <w:numPr>
          <w:ilvl w:val="0"/>
          <w:numId w:val="8"/>
        </w:numPr>
        <w:adjustRightInd w:val="0"/>
        <w:spacing w:before="240" w:line="240" w:lineRule="auto"/>
        <w:contextualSpacing w:val="0"/>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 xml:space="preserve">Serie de índice de precios implícitos, producto interno bruto a precios de mercado (deflactor del </w:t>
      </w:r>
      <w:r w:rsidR="00955A39" w:rsidRPr="004C52B2">
        <w:rPr>
          <w:rFonts w:ascii="ITC Avant Garde" w:eastAsia="Times New Roman" w:hAnsi="ITC Avant Garde" w:cs="Arial"/>
          <w:bCs/>
          <w:lang w:val="es-ES_tradnl" w:eastAsia="es-ES"/>
        </w:rPr>
        <w:t>PIB) para el periodo 2000 a 2015</w:t>
      </w:r>
      <w:r w:rsidRPr="004C52B2">
        <w:rPr>
          <w:rFonts w:ascii="ITC Avant Garde" w:eastAsia="Times New Roman" w:hAnsi="ITC Avant Garde" w:cs="Arial"/>
          <w:bCs/>
          <w:lang w:val="es-ES_tradnl" w:eastAsia="es-ES"/>
        </w:rPr>
        <w:t>.</w:t>
      </w:r>
    </w:p>
    <w:p w14:paraId="0DD17DB0" w14:textId="77777777" w:rsidR="008369E9" w:rsidRDefault="00461E71" w:rsidP="00C5094E">
      <w:pPr>
        <w:pStyle w:val="Prrafodelista"/>
        <w:numPr>
          <w:ilvl w:val="0"/>
          <w:numId w:val="12"/>
        </w:numPr>
        <w:adjustRightInd w:val="0"/>
        <w:spacing w:before="240" w:line="240" w:lineRule="auto"/>
        <w:contextualSpacing w:val="0"/>
        <w:jc w:val="both"/>
        <w:rPr>
          <w:rFonts w:ascii="ITC Avant Garde" w:eastAsia="Times New Roman" w:hAnsi="ITC Avant Garde" w:cs="Arial"/>
          <w:bCs/>
          <w:lang w:val="es-ES_tradnl" w:eastAsia="es-ES"/>
        </w:rPr>
      </w:pPr>
      <w:r w:rsidRPr="004C52B2">
        <w:rPr>
          <w:rFonts w:ascii="ITC Avant Garde" w:eastAsia="Times New Roman" w:hAnsi="ITC Avant Garde" w:cs="Arial"/>
          <w:b/>
          <w:lang w:val="es-ES_tradnl" w:eastAsia="es-ES"/>
        </w:rPr>
        <w:t>Capital.</w:t>
      </w:r>
      <w:r w:rsidRPr="004C52B2">
        <w:rPr>
          <w:rFonts w:ascii="ITC Avant Garde" w:eastAsia="Times New Roman" w:hAnsi="ITC Avant Garde" w:cs="Arial"/>
          <w:bCs/>
          <w:lang w:val="es-ES_tradnl" w:eastAsia="es-ES"/>
        </w:rPr>
        <w:t xml:space="preserve"> </w:t>
      </w:r>
    </w:p>
    <w:p w14:paraId="09974F2F" w14:textId="77777777" w:rsidR="008369E9" w:rsidRDefault="004F6FE5" w:rsidP="00C5094E">
      <w:pPr>
        <w:pStyle w:val="Prrafodelista"/>
        <w:adjustRightInd w:val="0"/>
        <w:spacing w:before="240" w:line="240" w:lineRule="auto"/>
        <w:ind w:left="1440"/>
        <w:contextualSpacing w:val="0"/>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Respecto al insumo de capital, se tomó en cuenta la cantidad</w:t>
      </w:r>
      <w:r w:rsidR="00E8026A" w:rsidRPr="004C52B2">
        <w:rPr>
          <w:rFonts w:ascii="ITC Avant Garde" w:eastAsia="Times New Roman" w:hAnsi="ITC Avant Garde" w:cs="Arial"/>
          <w:bCs/>
          <w:lang w:val="es-ES_tradnl" w:eastAsia="es-ES"/>
        </w:rPr>
        <w:t xml:space="preserve"> en un periodo de</w:t>
      </w:r>
      <w:r w:rsidR="000C4B36" w:rsidRPr="004C52B2">
        <w:rPr>
          <w:rFonts w:ascii="ITC Avant Garde" w:eastAsia="Times New Roman" w:hAnsi="ITC Avant Garde" w:cs="Arial"/>
          <w:bCs/>
          <w:lang w:val="es-ES_tradnl" w:eastAsia="es-ES"/>
        </w:rPr>
        <w:t>terminado de manera que permiti</w:t>
      </w:r>
      <w:r w:rsidR="00E8026A" w:rsidRPr="004C52B2">
        <w:rPr>
          <w:rFonts w:ascii="ITC Avant Garde" w:eastAsia="Times New Roman" w:hAnsi="ITC Avant Garde" w:cs="Arial"/>
          <w:bCs/>
          <w:lang w:val="es-ES_tradnl" w:eastAsia="es-ES"/>
        </w:rPr>
        <w:t>era establecer una comparación del nivel de capital a través del tiempo</w:t>
      </w:r>
      <w:r w:rsidRPr="004C52B2">
        <w:rPr>
          <w:rFonts w:ascii="ITC Avant Garde" w:eastAsia="Times New Roman" w:hAnsi="ITC Avant Garde" w:cs="Arial"/>
          <w:bCs/>
          <w:lang w:val="es-ES_tradnl" w:eastAsia="es-ES"/>
        </w:rPr>
        <w:t>,</w:t>
      </w:r>
      <w:r w:rsidR="00E8026A" w:rsidRPr="004C52B2">
        <w:rPr>
          <w:rFonts w:ascii="ITC Avant Garde" w:eastAsia="Times New Roman" w:hAnsi="ITC Avant Garde" w:cs="Arial"/>
          <w:bCs/>
          <w:lang w:val="es-ES_tradnl" w:eastAsia="es-ES"/>
        </w:rPr>
        <w:t xml:space="preserve"> el precio considerando diversos factores como leyes del impuesto sobre la renta, la depreciación, las tasas de interés y las diferencias entre los costos económicos y los costos contables y la</w:t>
      </w:r>
      <w:r w:rsidRPr="004C52B2">
        <w:rPr>
          <w:rFonts w:ascii="ITC Avant Garde" w:eastAsia="Times New Roman" w:hAnsi="ITC Avant Garde" w:cs="Arial"/>
          <w:bCs/>
          <w:lang w:val="es-ES_tradnl" w:eastAsia="es-ES"/>
        </w:rPr>
        <w:t xml:space="preserve"> ponderación. </w:t>
      </w:r>
    </w:p>
    <w:p w14:paraId="71351E14" w14:textId="6A3FE581" w:rsidR="00830436" w:rsidRDefault="002C2AEE" w:rsidP="00830436">
      <w:pPr>
        <w:pStyle w:val="Prrafodelista"/>
        <w:adjustRightInd w:val="0"/>
        <w:spacing w:before="240" w:line="240" w:lineRule="auto"/>
        <w:ind w:left="1440"/>
        <w:contextualSpacing w:val="0"/>
        <w:jc w:val="both"/>
        <w:rPr>
          <w:rFonts w:ascii="ITC Avant Garde" w:eastAsia="Times New Roman" w:hAnsi="ITC Avant Garde" w:cs="Arial"/>
          <w:bCs/>
          <w:lang w:val="es-ES_tradnl" w:eastAsia="es-ES"/>
        </w:rPr>
        <w:sectPr w:rsidR="00830436" w:rsidSect="00F64D97">
          <w:headerReference w:type="default" r:id="rId16"/>
          <w:pgSz w:w="12240" w:h="15840"/>
          <w:pgMar w:top="2370" w:right="1418" w:bottom="1418" w:left="1418" w:header="709" w:footer="709" w:gutter="0"/>
          <w:pgNumType w:start="1"/>
          <w:cols w:space="708"/>
          <w:docGrid w:linePitch="360"/>
        </w:sectPr>
      </w:pPr>
      <w:r w:rsidRPr="002C2AEE">
        <w:rPr>
          <w:rFonts w:ascii="ITC Avant Garde" w:hAnsi="ITC Avant Garde"/>
          <w:b/>
          <w:bCs/>
          <w:color w:val="0000CC"/>
          <w:lang w:eastAsia="es-MX"/>
        </w:rPr>
        <w:t>“CONFIDENCIAL POR LEY”</w:t>
      </w:r>
      <w:r w:rsidR="00D11664" w:rsidRPr="004C52B2">
        <w:rPr>
          <w:rFonts w:ascii="ITC Avant Garde" w:eastAsia="Times New Roman" w:hAnsi="ITC Avant Garde" w:cs="Arial"/>
          <w:bCs/>
          <w:lang w:val="es-ES_tradnl" w:eastAsia="es-ES"/>
        </w:rPr>
        <w:t>.</w:t>
      </w:r>
    </w:p>
    <w:p w14:paraId="10372227" w14:textId="77777777" w:rsidR="008369E9" w:rsidRDefault="004A39F7" w:rsidP="002C2AEE">
      <w:pPr>
        <w:pStyle w:val="Prrafodelista"/>
        <w:numPr>
          <w:ilvl w:val="0"/>
          <w:numId w:val="13"/>
        </w:numPr>
        <w:adjustRightInd w:val="0"/>
        <w:spacing w:before="240" w:line="240" w:lineRule="auto"/>
        <w:contextualSpacing w:val="0"/>
        <w:jc w:val="both"/>
        <w:rPr>
          <w:rFonts w:ascii="ITC Avant Garde" w:eastAsia="Times New Roman" w:hAnsi="ITC Avant Garde" w:cs="Arial"/>
          <w:b/>
          <w:bCs/>
          <w:lang w:val="es-ES_tradnl" w:eastAsia="es-ES"/>
        </w:rPr>
      </w:pPr>
      <w:r w:rsidRPr="004C52B2">
        <w:rPr>
          <w:rFonts w:ascii="ITC Avant Garde" w:eastAsia="Times New Roman" w:hAnsi="ITC Avant Garde" w:cs="Arial"/>
          <w:b/>
          <w:bCs/>
          <w:lang w:val="es-ES_tradnl" w:eastAsia="es-ES"/>
        </w:rPr>
        <w:lastRenderedPageBreak/>
        <w:t>Cantidad de capital</w:t>
      </w:r>
    </w:p>
    <w:p w14:paraId="0085A9FF" w14:textId="77777777" w:rsidR="008369E9" w:rsidRDefault="004F6FE5" w:rsidP="002C2AEE">
      <w:pPr>
        <w:pStyle w:val="Prrafodelista"/>
        <w:adjustRightInd w:val="0"/>
        <w:spacing w:before="240" w:line="240" w:lineRule="auto"/>
        <w:ind w:left="2160"/>
        <w:contextualSpacing w:val="0"/>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El cálculo del índice de la cantidad</w:t>
      </w:r>
      <w:r w:rsidR="00CE5D54" w:rsidRPr="004C52B2">
        <w:rPr>
          <w:rFonts w:ascii="ITC Avant Garde" w:eastAsia="Times New Roman" w:hAnsi="ITC Avant Garde" w:cs="Arial"/>
          <w:bCs/>
          <w:lang w:val="es-ES_tradnl" w:eastAsia="es-ES"/>
        </w:rPr>
        <w:t xml:space="preserve"> de capital requirió </w:t>
      </w:r>
      <w:r w:rsidRPr="004C52B2">
        <w:rPr>
          <w:rFonts w:ascii="ITC Avant Garde" w:eastAsia="Times New Roman" w:hAnsi="ITC Avant Garde" w:cs="Arial"/>
          <w:bCs/>
          <w:lang w:val="es-ES_tradnl" w:eastAsia="es-ES"/>
        </w:rPr>
        <w:t xml:space="preserve">el cálculo del </w:t>
      </w:r>
      <w:r w:rsidR="00236EDC">
        <w:rPr>
          <w:rFonts w:ascii="ITC Avant Garde" w:eastAsia="Times New Roman" w:hAnsi="ITC Avant Garde" w:cs="Arial"/>
          <w:bCs/>
          <w:lang w:val="es-ES_tradnl" w:eastAsia="es-ES"/>
        </w:rPr>
        <w:t>capital de referencia (</w:t>
      </w:r>
      <w:r w:rsidRPr="004C52B2">
        <w:rPr>
          <w:rFonts w:ascii="ITC Avant Garde" w:eastAsia="Times New Roman" w:hAnsi="ITC Avant Garde" w:cs="Arial"/>
          <w:bCs/>
          <w:lang w:val="es-ES_tradnl" w:eastAsia="es-ES"/>
        </w:rPr>
        <w:t>“</w:t>
      </w:r>
      <w:proofErr w:type="spellStart"/>
      <w:r w:rsidRPr="004C52B2">
        <w:rPr>
          <w:rFonts w:ascii="ITC Avant Garde" w:eastAsia="Times New Roman" w:hAnsi="ITC Avant Garde" w:cs="Arial"/>
          <w:bCs/>
          <w:i/>
          <w:lang w:val="es-ES_tradnl" w:eastAsia="es-ES"/>
        </w:rPr>
        <w:t>benchmark</w:t>
      </w:r>
      <w:proofErr w:type="spellEnd"/>
      <w:r w:rsidRPr="004C52B2">
        <w:rPr>
          <w:rFonts w:ascii="ITC Avant Garde" w:eastAsia="Times New Roman" w:hAnsi="ITC Avant Garde" w:cs="Arial"/>
          <w:bCs/>
          <w:i/>
          <w:lang w:val="es-ES_tradnl" w:eastAsia="es-ES"/>
        </w:rPr>
        <w:t xml:space="preserve"> capital stock</w:t>
      </w:r>
      <w:r w:rsidRPr="004C52B2">
        <w:rPr>
          <w:rFonts w:ascii="ITC Avant Garde" w:eastAsia="Times New Roman" w:hAnsi="ITC Avant Garde" w:cs="Arial"/>
          <w:bCs/>
          <w:lang w:val="es-ES_tradnl" w:eastAsia="es-ES"/>
        </w:rPr>
        <w:t>”</w:t>
      </w:r>
      <w:r w:rsidR="00236EDC">
        <w:rPr>
          <w:rFonts w:ascii="ITC Avant Garde" w:eastAsia="Times New Roman" w:hAnsi="ITC Avant Garde" w:cs="Arial"/>
          <w:bCs/>
          <w:lang w:val="es-ES_tradnl" w:eastAsia="es-ES"/>
        </w:rPr>
        <w:t>)</w:t>
      </w:r>
      <w:r w:rsidRPr="004C52B2">
        <w:rPr>
          <w:rFonts w:ascii="ITC Avant Garde" w:eastAsia="Times New Roman" w:hAnsi="ITC Avant Garde" w:cs="Arial"/>
          <w:bCs/>
          <w:lang w:val="es-ES_tradnl" w:eastAsia="es-ES"/>
        </w:rPr>
        <w:t xml:space="preserve">, que se define como el valor neto de las inversiones de Telmex en el </w:t>
      </w:r>
      <w:r w:rsidR="00662BE6" w:rsidRPr="004C52B2">
        <w:rPr>
          <w:rFonts w:ascii="ITC Avant Garde" w:eastAsia="Times New Roman" w:hAnsi="ITC Avant Garde" w:cs="Arial"/>
          <w:bCs/>
          <w:lang w:val="es-ES_tradnl" w:eastAsia="es-ES"/>
        </w:rPr>
        <w:t>primer año de</w:t>
      </w:r>
      <w:r w:rsidR="00CE5D54" w:rsidRPr="004C52B2">
        <w:rPr>
          <w:rFonts w:ascii="ITC Avant Garde" w:eastAsia="Times New Roman" w:hAnsi="ITC Avant Garde" w:cs="Arial"/>
          <w:bCs/>
          <w:lang w:val="es-ES_tradnl" w:eastAsia="es-ES"/>
        </w:rPr>
        <w:t xml:space="preserve"> análisis</w:t>
      </w:r>
      <w:r w:rsidR="00662BE6" w:rsidRPr="004C52B2">
        <w:rPr>
          <w:rFonts w:ascii="ITC Avant Garde" w:eastAsia="Times New Roman" w:hAnsi="ITC Avant Garde" w:cs="Arial"/>
          <w:bCs/>
          <w:lang w:val="es-ES_tradnl" w:eastAsia="es-ES"/>
        </w:rPr>
        <w:t xml:space="preserve"> (</w:t>
      </w:r>
      <w:r w:rsidRPr="004C52B2">
        <w:rPr>
          <w:rFonts w:ascii="ITC Avant Garde" w:eastAsia="Times New Roman" w:hAnsi="ITC Avant Garde" w:cs="Arial"/>
          <w:bCs/>
          <w:lang w:val="es-ES_tradnl" w:eastAsia="es-ES"/>
        </w:rPr>
        <w:t>2000</w:t>
      </w:r>
      <w:r w:rsidR="00662BE6" w:rsidRPr="004C52B2">
        <w:rPr>
          <w:rFonts w:ascii="ITC Avant Garde" w:eastAsia="Times New Roman" w:hAnsi="ITC Avant Garde" w:cs="Arial"/>
          <w:bCs/>
          <w:lang w:val="es-ES_tradnl" w:eastAsia="es-ES"/>
        </w:rPr>
        <w:t>)</w:t>
      </w:r>
      <w:r w:rsidRPr="004C52B2">
        <w:rPr>
          <w:rFonts w:ascii="ITC Avant Garde" w:eastAsia="Times New Roman" w:hAnsi="ITC Avant Garde" w:cs="Arial"/>
          <w:bCs/>
          <w:lang w:val="es-ES_tradnl" w:eastAsia="es-ES"/>
        </w:rPr>
        <w:t>. Para obtener la cantidad de capital para el periodo 2000 a 201</w:t>
      </w:r>
      <w:r w:rsidR="00955A39" w:rsidRPr="004C52B2">
        <w:rPr>
          <w:rFonts w:ascii="ITC Avant Garde" w:eastAsia="Times New Roman" w:hAnsi="ITC Avant Garde" w:cs="Arial"/>
          <w:bCs/>
          <w:lang w:val="es-ES_tradnl" w:eastAsia="es-ES"/>
        </w:rPr>
        <w:t>5</w:t>
      </w:r>
      <w:r w:rsidRPr="004C52B2">
        <w:rPr>
          <w:rFonts w:ascii="ITC Avant Garde" w:eastAsia="Times New Roman" w:hAnsi="ITC Avant Garde" w:cs="Arial"/>
          <w:bCs/>
          <w:lang w:val="es-ES_tradnl" w:eastAsia="es-ES"/>
        </w:rPr>
        <w:t>, se empleó un modelo de inventario perpetuo.</w:t>
      </w:r>
    </w:p>
    <w:p w14:paraId="363FBD06" w14:textId="77777777" w:rsidR="008369E9" w:rsidRDefault="004F6FE5" w:rsidP="002C2AEE">
      <w:pPr>
        <w:pStyle w:val="Prrafodelista"/>
        <w:adjustRightInd w:val="0"/>
        <w:spacing w:before="240" w:line="240" w:lineRule="auto"/>
        <w:ind w:left="2160"/>
        <w:contextualSpacing w:val="0"/>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 xml:space="preserve">El valor histórico de la planta neta en el primer periodo para el cual se contaba con datos </w:t>
      </w:r>
      <w:r w:rsidR="00F50DA7" w:rsidRPr="004C52B2">
        <w:rPr>
          <w:rFonts w:ascii="ITC Avant Garde" w:eastAsia="Times New Roman" w:hAnsi="ITC Avant Garde" w:cs="Arial"/>
          <w:bCs/>
          <w:lang w:val="es-ES_tradnl" w:eastAsia="es-ES"/>
        </w:rPr>
        <w:t>correspondió</w:t>
      </w:r>
      <w:r w:rsidR="00C338E2" w:rsidRPr="004C52B2">
        <w:rPr>
          <w:rFonts w:ascii="ITC Avant Garde" w:eastAsia="Times New Roman" w:hAnsi="ITC Avant Garde" w:cs="Arial"/>
          <w:bCs/>
          <w:lang w:val="es-ES_tradnl" w:eastAsia="es-ES"/>
        </w:rPr>
        <w:t xml:space="preserve"> a la inversión neta acumulada de Telmex del año 2000. La inver</w:t>
      </w:r>
      <w:r w:rsidR="00F50DA7" w:rsidRPr="004C52B2">
        <w:rPr>
          <w:rFonts w:ascii="ITC Avant Garde" w:eastAsia="Times New Roman" w:hAnsi="ITC Avant Garde" w:cs="Arial"/>
          <w:bCs/>
          <w:lang w:val="es-ES_tradnl" w:eastAsia="es-ES"/>
        </w:rPr>
        <w:t>sión neta acumulada se obtuvo al</w:t>
      </w:r>
      <w:r w:rsidR="00C338E2" w:rsidRPr="004C52B2">
        <w:rPr>
          <w:rFonts w:ascii="ITC Avant Garde" w:eastAsia="Times New Roman" w:hAnsi="ITC Avant Garde" w:cs="Arial"/>
          <w:bCs/>
          <w:lang w:val="es-ES_tradnl" w:eastAsia="es-ES"/>
        </w:rPr>
        <w:t xml:space="preserve"> sustraer la depreciación acumulada hasta ese año en libros de la planta y equipo de Telmex.</w:t>
      </w:r>
    </w:p>
    <w:p w14:paraId="217B9979" w14:textId="2C1935D9" w:rsidR="008369E9" w:rsidRDefault="00C338E2" w:rsidP="002C2AEE">
      <w:pPr>
        <w:pStyle w:val="Prrafodelista"/>
        <w:adjustRightInd w:val="0"/>
        <w:spacing w:before="240" w:line="240" w:lineRule="auto"/>
        <w:ind w:left="2160"/>
        <w:contextualSpacing w:val="0"/>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Asimismo, el valor de “</w:t>
      </w:r>
      <w:proofErr w:type="spellStart"/>
      <w:r w:rsidRPr="004C52B2">
        <w:rPr>
          <w:rFonts w:ascii="ITC Avant Garde" w:eastAsia="Times New Roman" w:hAnsi="ITC Avant Garde" w:cs="Arial"/>
          <w:bCs/>
          <w:i/>
          <w:lang w:val="es-ES_tradnl" w:eastAsia="es-ES"/>
        </w:rPr>
        <w:t>benchmark</w:t>
      </w:r>
      <w:proofErr w:type="spellEnd"/>
      <w:r w:rsidRPr="004C52B2">
        <w:rPr>
          <w:rFonts w:ascii="ITC Avant Garde" w:eastAsia="Times New Roman" w:hAnsi="ITC Avant Garde" w:cs="Arial"/>
          <w:bCs/>
          <w:i/>
          <w:lang w:val="es-ES_tradnl" w:eastAsia="es-ES"/>
        </w:rPr>
        <w:t xml:space="preserve"> capital stock</w:t>
      </w:r>
      <w:r w:rsidRPr="004C52B2">
        <w:rPr>
          <w:rFonts w:ascii="ITC Avant Garde" w:eastAsia="Times New Roman" w:hAnsi="ITC Avant Garde" w:cs="Arial"/>
          <w:bCs/>
          <w:lang w:val="es-ES_tradnl" w:eastAsia="es-ES"/>
        </w:rPr>
        <w:t>” fue ajustado por el índice de precios implícitos del PIB a precios de mercado considerando el año 2000 como año base, con la finalidad</w:t>
      </w:r>
      <w:r w:rsidR="00F50DA7" w:rsidRPr="004C52B2">
        <w:rPr>
          <w:rFonts w:ascii="ITC Avant Garde" w:eastAsia="Times New Roman" w:hAnsi="ITC Avant Garde" w:cs="Arial"/>
          <w:bCs/>
          <w:lang w:val="es-ES_tradnl" w:eastAsia="es-ES"/>
        </w:rPr>
        <w:t xml:space="preserve"> de traer a valor </w:t>
      </w:r>
      <w:r w:rsidR="00F50DA7" w:rsidRPr="002C2AEE">
        <w:rPr>
          <w:rFonts w:ascii="ITC Avant Garde" w:eastAsia="Times New Roman" w:hAnsi="ITC Avant Garde" w:cs="Arial"/>
          <w:bCs/>
          <w:lang w:val="es-ES_tradnl" w:eastAsia="es-ES"/>
        </w:rPr>
        <w:t xml:space="preserve">presente la planta neta de Telmex del año 2000. </w:t>
      </w:r>
      <w:r w:rsidR="006F07F5" w:rsidRPr="002C2AEE">
        <w:rPr>
          <w:rFonts w:ascii="ITC Avant Garde" w:eastAsia="Times New Roman" w:hAnsi="ITC Avant Garde" w:cs="Arial"/>
          <w:bCs/>
          <w:lang w:val="es-ES_tradnl" w:eastAsia="es-ES"/>
        </w:rPr>
        <w:t xml:space="preserve">El factor de ajuste ascendió a </w:t>
      </w:r>
      <w:r w:rsidR="00830436" w:rsidRPr="002C2AEE">
        <w:rPr>
          <w:rFonts w:ascii="ITC Avant Garde" w:hAnsi="ITC Avant Garde"/>
          <w:b/>
          <w:bCs/>
          <w:color w:val="0000CC"/>
          <w:lang w:eastAsia="es-MX"/>
        </w:rPr>
        <w:t>“CONFIDENCIAL POR LEY”</w:t>
      </w:r>
      <w:r w:rsidR="006F07F5" w:rsidRPr="002C2AEE">
        <w:rPr>
          <w:rFonts w:ascii="ITC Avant Garde" w:eastAsia="Times New Roman" w:hAnsi="ITC Avant Garde" w:cs="Arial"/>
          <w:bCs/>
          <w:lang w:val="es-ES_tradnl" w:eastAsia="es-ES"/>
        </w:rPr>
        <w:t>.</w:t>
      </w:r>
    </w:p>
    <w:p w14:paraId="3EA07FF0" w14:textId="77777777" w:rsidR="008369E9" w:rsidRDefault="006F07F5" w:rsidP="002C2AEE">
      <w:pPr>
        <w:adjustRightInd w:val="0"/>
        <w:spacing w:before="240" w:line="240" w:lineRule="auto"/>
        <w:ind w:left="2160"/>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Después de determinar el “</w:t>
      </w:r>
      <w:proofErr w:type="spellStart"/>
      <w:r w:rsidRPr="004C52B2">
        <w:rPr>
          <w:rFonts w:ascii="ITC Avant Garde" w:eastAsia="Times New Roman" w:hAnsi="ITC Avant Garde" w:cs="Arial"/>
          <w:bCs/>
          <w:i/>
          <w:lang w:val="es-ES_tradnl" w:eastAsia="es-ES"/>
        </w:rPr>
        <w:t>benchmark</w:t>
      </w:r>
      <w:proofErr w:type="spellEnd"/>
      <w:r w:rsidRPr="004C52B2">
        <w:rPr>
          <w:rFonts w:ascii="ITC Avant Garde" w:eastAsia="Times New Roman" w:hAnsi="ITC Avant Garde" w:cs="Arial"/>
          <w:bCs/>
          <w:i/>
          <w:lang w:val="es-ES_tradnl" w:eastAsia="es-ES"/>
        </w:rPr>
        <w:t xml:space="preserve"> capital stock</w:t>
      </w:r>
      <w:r w:rsidRPr="004C52B2">
        <w:rPr>
          <w:rFonts w:ascii="ITC Avant Garde" w:eastAsia="Times New Roman" w:hAnsi="ITC Avant Garde" w:cs="Arial"/>
          <w:bCs/>
          <w:lang w:val="es-ES_tradnl" w:eastAsia="es-ES"/>
        </w:rPr>
        <w:t xml:space="preserve">” de Telmex, se estimó la cantidad </w:t>
      </w:r>
      <w:r w:rsidR="00B43248" w:rsidRPr="004C52B2">
        <w:rPr>
          <w:rFonts w:ascii="ITC Avant Garde" w:eastAsia="Times New Roman" w:hAnsi="ITC Avant Garde" w:cs="Arial"/>
          <w:bCs/>
          <w:lang w:val="es-ES_tradnl" w:eastAsia="es-ES"/>
        </w:rPr>
        <w:t>del insumo de capital de Tel</w:t>
      </w:r>
      <w:r w:rsidR="00B7300F" w:rsidRPr="004C52B2">
        <w:rPr>
          <w:rFonts w:ascii="ITC Avant Garde" w:eastAsia="Times New Roman" w:hAnsi="ITC Avant Garde" w:cs="Arial"/>
          <w:bCs/>
          <w:lang w:val="es-ES_tradnl" w:eastAsia="es-ES"/>
        </w:rPr>
        <w:t xml:space="preserve">mex, conforme a la fórmula del inventario perpetuo. </w:t>
      </w:r>
    </w:p>
    <w:p w14:paraId="2614FC87" w14:textId="77777777" w:rsidR="008369E9" w:rsidRDefault="004A39F7" w:rsidP="002C2AEE">
      <w:pPr>
        <w:pStyle w:val="Prrafodelista"/>
        <w:numPr>
          <w:ilvl w:val="0"/>
          <w:numId w:val="13"/>
        </w:numPr>
        <w:adjustRightInd w:val="0"/>
        <w:spacing w:before="240" w:line="240" w:lineRule="auto"/>
        <w:contextualSpacing w:val="0"/>
        <w:jc w:val="both"/>
        <w:rPr>
          <w:rFonts w:ascii="ITC Avant Garde" w:eastAsia="Times New Roman" w:hAnsi="ITC Avant Garde" w:cs="Arial"/>
          <w:b/>
          <w:bCs/>
          <w:lang w:val="es-ES_tradnl" w:eastAsia="es-ES"/>
        </w:rPr>
      </w:pPr>
      <w:r w:rsidRPr="004C52B2">
        <w:rPr>
          <w:rFonts w:ascii="ITC Avant Garde" w:eastAsia="Times New Roman" w:hAnsi="ITC Avant Garde" w:cs="Arial"/>
          <w:b/>
          <w:bCs/>
          <w:lang w:val="es-ES_tradnl" w:eastAsia="es-ES"/>
        </w:rPr>
        <w:t>Ponderación del capital</w:t>
      </w:r>
    </w:p>
    <w:p w14:paraId="437240A9" w14:textId="77777777" w:rsidR="008369E9" w:rsidRDefault="00E16B21" w:rsidP="002C2AEE">
      <w:pPr>
        <w:pStyle w:val="Prrafodelista"/>
        <w:adjustRightInd w:val="0"/>
        <w:spacing w:before="240" w:line="240" w:lineRule="auto"/>
        <w:ind w:left="2160"/>
        <w:contextualSpacing w:val="0"/>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Para calcular la ponderación de capital se multiplicó el precio de capital por la cantidad de capital</w:t>
      </w:r>
      <w:r w:rsidR="00236EDC">
        <w:rPr>
          <w:rFonts w:ascii="ITC Avant Garde" w:eastAsia="Times New Roman" w:hAnsi="ITC Avant Garde" w:cs="Arial"/>
          <w:bCs/>
          <w:lang w:val="es-ES_tradnl" w:eastAsia="es-ES"/>
        </w:rPr>
        <w:t xml:space="preserve"> entre e</w:t>
      </w:r>
      <w:r w:rsidR="00C7736E">
        <w:rPr>
          <w:rFonts w:ascii="ITC Avant Garde" w:eastAsia="Times New Roman" w:hAnsi="ITC Avant Garde" w:cs="Arial"/>
          <w:bCs/>
          <w:lang w:val="es-ES_tradnl" w:eastAsia="es-ES"/>
        </w:rPr>
        <w:t>l total de insumos considerados:</w:t>
      </w:r>
      <w:r w:rsidR="00236EDC">
        <w:rPr>
          <w:rFonts w:ascii="ITC Avant Garde" w:eastAsia="Times New Roman" w:hAnsi="ITC Avant Garde" w:cs="Arial"/>
          <w:bCs/>
          <w:lang w:val="es-ES_tradnl" w:eastAsia="es-ES"/>
        </w:rPr>
        <w:t xml:space="preserve"> mano de obra, MRS y capital</w:t>
      </w:r>
      <w:r w:rsidR="00F71653">
        <w:rPr>
          <w:rFonts w:ascii="ITC Avant Garde" w:eastAsia="Times New Roman" w:hAnsi="ITC Avant Garde" w:cs="Arial"/>
          <w:bCs/>
          <w:lang w:val="es-ES_tradnl" w:eastAsia="es-ES"/>
        </w:rPr>
        <w:t>.</w:t>
      </w:r>
      <w:r w:rsidR="00F959E9" w:rsidRPr="004C52B2">
        <w:rPr>
          <w:rFonts w:ascii="ITC Avant Garde" w:eastAsia="Times New Roman" w:hAnsi="ITC Avant Garde" w:cs="Arial"/>
          <w:bCs/>
          <w:lang w:val="es-ES_tradnl" w:eastAsia="es-ES"/>
        </w:rPr>
        <w:t xml:space="preserve"> </w:t>
      </w:r>
    </w:p>
    <w:p w14:paraId="2E40835F" w14:textId="77777777" w:rsidR="008369E9" w:rsidRDefault="00E16B21" w:rsidP="002C2AEE">
      <w:pPr>
        <w:pStyle w:val="Prrafodelista"/>
        <w:numPr>
          <w:ilvl w:val="0"/>
          <w:numId w:val="13"/>
        </w:numPr>
        <w:adjustRightInd w:val="0"/>
        <w:spacing w:before="240" w:line="240" w:lineRule="auto"/>
        <w:contextualSpacing w:val="0"/>
        <w:jc w:val="both"/>
        <w:rPr>
          <w:rFonts w:ascii="ITC Avant Garde" w:eastAsia="Times New Roman" w:hAnsi="ITC Avant Garde" w:cs="Arial"/>
          <w:b/>
          <w:bCs/>
          <w:lang w:val="es-ES_tradnl" w:eastAsia="es-ES"/>
        </w:rPr>
      </w:pPr>
      <w:r w:rsidRPr="004C52B2">
        <w:rPr>
          <w:rFonts w:ascii="ITC Avant Garde" w:eastAsia="Times New Roman" w:hAnsi="ITC Avant Garde" w:cs="Arial"/>
          <w:b/>
          <w:bCs/>
          <w:lang w:val="es-ES_tradnl" w:eastAsia="es-ES"/>
        </w:rPr>
        <w:t>Precio de capital</w:t>
      </w:r>
      <w:r w:rsidR="00790E70" w:rsidRPr="004C52B2">
        <w:rPr>
          <w:rFonts w:ascii="ITC Avant Garde" w:eastAsia="Times New Roman" w:hAnsi="ITC Avant Garde" w:cs="Arial"/>
          <w:b/>
          <w:bCs/>
          <w:lang w:val="es-ES_tradnl" w:eastAsia="es-ES"/>
        </w:rPr>
        <w:t xml:space="preserve">. </w:t>
      </w:r>
    </w:p>
    <w:p w14:paraId="505BF7F8" w14:textId="77777777" w:rsidR="00484170" w:rsidRDefault="002C2AEE" w:rsidP="002C2AEE">
      <w:pPr>
        <w:pStyle w:val="Prrafodelista"/>
        <w:adjustRightInd w:val="0"/>
        <w:spacing w:before="240" w:line="240" w:lineRule="auto"/>
        <w:ind w:left="2160"/>
        <w:contextualSpacing w:val="0"/>
        <w:jc w:val="both"/>
        <w:rPr>
          <w:rFonts w:ascii="ITC Avant Garde" w:eastAsia="Times New Roman" w:hAnsi="ITC Avant Garde" w:cs="Arial"/>
          <w:bCs/>
          <w:sz w:val="18"/>
          <w:szCs w:val="18"/>
        </w:rPr>
      </w:pPr>
      <w:r w:rsidRPr="002C2AEE">
        <w:rPr>
          <w:rFonts w:ascii="ITC Avant Garde" w:hAnsi="ITC Avant Garde"/>
          <w:b/>
          <w:bCs/>
          <w:color w:val="0000CC"/>
          <w:lang w:eastAsia="es-MX"/>
        </w:rPr>
        <w:t>“CONFIDENCIAL POR LEY”</w:t>
      </w:r>
      <w:r w:rsidR="00B43248" w:rsidRPr="004C52B2">
        <w:rPr>
          <w:rFonts w:ascii="ITC Avant Garde" w:eastAsia="Times New Roman" w:hAnsi="ITC Avant Garde" w:cs="Arial"/>
          <w:bCs/>
          <w:sz w:val="18"/>
          <w:szCs w:val="18"/>
        </w:rPr>
        <w:t>.</w:t>
      </w:r>
    </w:p>
    <w:p w14:paraId="04680EC3" w14:textId="7EC9974C" w:rsidR="008369E9" w:rsidRDefault="00B43248" w:rsidP="002C2AEE">
      <w:pPr>
        <w:pStyle w:val="Prrafodelista"/>
        <w:adjustRightInd w:val="0"/>
        <w:spacing w:before="240" w:line="240" w:lineRule="auto"/>
        <w:ind w:left="2160"/>
        <w:contextualSpacing w:val="0"/>
        <w:jc w:val="both"/>
        <w:rPr>
          <w:rFonts w:ascii="ITC Avant Garde" w:eastAsia="Times New Roman" w:hAnsi="ITC Avant Garde" w:cs="Arial"/>
          <w:bCs/>
        </w:rPr>
      </w:pPr>
      <w:r w:rsidRPr="004C52B2">
        <w:rPr>
          <w:rFonts w:ascii="ITC Avant Garde" w:eastAsia="Times New Roman" w:hAnsi="ITC Avant Garde" w:cs="Arial"/>
          <w:bCs/>
        </w:rPr>
        <w:t xml:space="preserve">A efecto de calcular la inflación esperada, se estimaron los valores de rendimiento de los bonos gubernamentales de México a largo plazo (veinte años), para el caso del periodo </w:t>
      </w:r>
      <w:r w:rsidR="002908DE" w:rsidRPr="004C52B2">
        <w:rPr>
          <w:rFonts w:ascii="ITC Avant Garde" w:eastAsia="Times New Roman" w:hAnsi="ITC Avant Garde" w:cs="Arial"/>
          <w:bCs/>
        </w:rPr>
        <w:t xml:space="preserve">de </w:t>
      </w:r>
      <w:r w:rsidRPr="004C52B2">
        <w:rPr>
          <w:rFonts w:ascii="ITC Avant Garde" w:eastAsia="Times New Roman" w:hAnsi="ITC Avant Garde" w:cs="Arial"/>
          <w:bCs/>
        </w:rPr>
        <w:t>2000 a 2002 se utilizó la misma tasa de crecimiento de cambio que el INPC para el periodo</w:t>
      </w:r>
      <w:r w:rsidR="002908DE" w:rsidRPr="004C52B2">
        <w:rPr>
          <w:rFonts w:ascii="ITC Avant Garde" w:eastAsia="Times New Roman" w:hAnsi="ITC Avant Garde" w:cs="Arial"/>
          <w:bCs/>
        </w:rPr>
        <w:t xml:space="preserve"> de</w:t>
      </w:r>
      <w:r w:rsidRPr="004C52B2">
        <w:rPr>
          <w:rFonts w:ascii="ITC Avant Garde" w:eastAsia="Times New Roman" w:hAnsi="ITC Avant Garde" w:cs="Arial"/>
          <w:bCs/>
        </w:rPr>
        <w:t xml:space="preserve"> julio </w:t>
      </w:r>
      <w:r w:rsidR="002908DE" w:rsidRPr="004C52B2">
        <w:rPr>
          <w:rFonts w:ascii="ITC Avant Garde" w:eastAsia="Times New Roman" w:hAnsi="ITC Avant Garde" w:cs="Arial"/>
          <w:bCs/>
        </w:rPr>
        <w:t xml:space="preserve">de </w:t>
      </w:r>
      <w:r w:rsidRPr="004C52B2">
        <w:rPr>
          <w:rFonts w:ascii="ITC Avant Garde" w:eastAsia="Times New Roman" w:hAnsi="ITC Avant Garde" w:cs="Arial"/>
          <w:bCs/>
        </w:rPr>
        <w:t xml:space="preserve">2000 a julio </w:t>
      </w:r>
      <w:r w:rsidR="002908DE" w:rsidRPr="004C52B2">
        <w:rPr>
          <w:rFonts w:ascii="ITC Avant Garde" w:eastAsia="Times New Roman" w:hAnsi="ITC Avant Garde" w:cs="Arial"/>
          <w:bCs/>
        </w:rPr>
        <w:t xml:space="preserve">de </w:t>
      </w:r>
      <w:r w:rsidRPr="004C52B2">
        <w:rPr>
          <w:rFonts w:ascii="ITC Avant Garde" w:eastAsia="Times New Roman" w:hAnsi="ITC Avant Garde" w:cs="Arial"/>
          <w:bCs/>
        </w:rPr>
        <w:t xml:space="preserve">2001, y la tasa de cambio de los bonos gubernamentales de México a diez años. </w:t>
      </w:r>
      <w:r w:rsidR="004B2C96" w:rsidRPr="004C52B2">
        <w:rPr>
          <w:rFonts w:ascii="ITC Avant Garde" w:eastAsia="Times New Roman" w:hAnsi="ITC Avant Garde" w:cs="Arial"/>
          <w:bCs/>
        </w:rPr>
        <w:t>Asimismo</w:t>
      </w:r>
      <w:r w:rsidRPr="004C52B2">
        <w:rPr>
          <w:rFonts w:ascii="ITC Avant Garde" w:eastAsia="Times New Roman" w:hAnsi="ITC Avant Garde" w:cs="Arial"/>
          <w:bCs/>
        </w:rPr>
        <w:t xml:space="preserve">, se obtuvo una tasa de retorno libre de riesgo en México para cada año al extraer el valor a mediados de año de la serie y, posteriormente se obtuvo la tasa de retorno libre de riesgo sin inflación para cada año al extraer la inflación anual reportada. La tasa de retorno promedio libre de riesgo neto de la inflación se obtuvo del promedio de la </w:t>
      </w:r>
      <w:r w:rsidRPr="004C52B2">
        <w:rPr>
          <w:rFonts w:ascii="ITC Avant Garde" w:eastAsia="Times New Roman" w:hAnsi="ITC Avant Garde" w:cs="Arial"/>
          <w:bCs/>
        </w:rPr>
        <w:lastRenderedPageBreak/>
        <w:t xml:space="preserve">serie, correspondiente al periodo </w:t>
      </w:r>
      <w:r w:rsidR="009E719F" w:rsidRPr="004C52B2">
        <w:rPr>
          <w:rFonts w:ascii="ITC Avant Garde" w:eastAsia="Times New Roman" w:hAnsi="ITC Avant Garde" w:cs="Arial"/>
          <w:bCs/>
        </w:rPr>
        <w:t>2000-2015</w:t>
      </w:r>
      <w:r w:rsidRPr="004C52B2">
        <w:rPr>
          <w:rFonts w:ascii="ITC Avant Garde" w:eastAsia="Times New Roman" w:hAnsi="ITC Avant Garde" w:cs="Arial"/>
          <w:bCs/>
        </w:rPr>
        <w:t xml:space="preserve">. Luego se sustrajo la tasa de retorno promedio libre de riesgo neto de la inflación de la tasa de retorno del bono gubernamental de México a largo plazo, a fin de estimar la tasa de inflación esperada a largo plazo para cada año. </w:t>
      </w:r>
      <w:r w:rsidR="002C2AEE" w:rsidRPr="002C2AEE">
        <w:rPr>
          <w:rFonts w:ascii="ITC Avant Garde" w:hAnsi="ITC Avant Garde"/>
          <w:b/>
          <w:bCs/>
          <w:color w:val="0000CC"/>
          <w:lang w:eastAsia="es-MX"/>
        </w:rPr>
        <w:t>“CONFIDENCIAL POR LEY”</w:t>
      </w:r>
      <w:r w:rsidRPr="004C52B2">
        <w:rPr>
          <w:rFonts w:ascii="ITC Avant Garde" w:eastAsia="Times New Roman" w:hAnsi="ITC Avant Garde" w:cs="Arial"/>
          <w:bCs/>
        </w:rPr>
        <w:t xml:space="preserve">. </w:t>
      </w:r>
    </w:p>
    <w:p w14:paraId="6D4AA4C0" w14:textId="1A61CCB4" w:rsidR="008369E9" w:rsidRDefault="000658A8" w:rsidP="00484170">
      <w:pPr>
        <w:pStyle w:val="Prrafodelista"/>
        <w:adjustRightInd w:val="0"/>
        <w:spacing w:before="240" w:line="240" w:lineRule="auto"/>
        <w:contextualSpacing w:val="0"/>
        <w:jc w:val="both"/>
        <w:rPr>
          <w:rFonts w:ascii="ITC Avant Garde" w:eastAsia="Times New Roman" w:hAnsi="ITC Avant Garde" w:cs="Arial"/>
          <w:lang w:val="es-ES_tradnl" w:eastAsia="es-ES"/>
        </w:rPr>
      </w:pPr>
      <w:r w:rsidRPr="004C52B2">
        <w:rPr>
          <w:rFonts w:ascii="ITC Avant Garde" w:eastAsia="Times New Roman" w:hAnsi="ITC Avant Garde" w:cs="Arial"/>
          <w:lang w:val="es-ES_tradnl" w:eastAsia="es-ES"/>
        </w:rPr>
        <w:t>Para obtener el índice de Fisher, se emplearon las cantidades y precios ponderados de cada insumo. De esta man</w:t>
      </w:r>
      <w:r w:rsidR="009E719F" w:rsidRPr="004C52B2">
        <w:rPr>
          <w:rFonts w:ascii="ITC Avant Garde" w:eastAsia="Times New Roman" w:hAnsi="ITC Avant Garde" w:cs="Arial"/>
          <w:lang w:val="es-ES_tradnl" w:eastAsia="es-ES"/>
        </w:rPr>
        <w:t>era, para el periodo 2000 a 2015</w:t>
      </w:r>
      <w:r w:rsidRPr="004C52B2">
        <w:rPr>
          <w:rFonts w:ascii="ITC Avant Garde" w:eastAsia="Times New Roman" w:hAnsi="ITC Avant Garde" w:cs="Arial"/>
          <w:lang w:val="es-ES_tradnl" w:eastAsia="es-ES"/>
        </w:rPr>
        <w:t xml:space="preserve">, </w:t>
      </w:r>
      <w:r w:rsidR="008110A8" w:rsidRPr="004C52B2">
        <w:rPr>
          <w:rFonts w:ascii="ITC Avant Garde" w:eastAsia="Times New Roman" w:hAnsi="ITC Avant Garde" w:cs="Arial"/>
          <w:lang w:val="es-ES_tradnl" w:eastAsia="es-ES"/>
        </w:rPr>
        <w:t>la tasa de</w:t>
      </w:r>
      <w:r w:rsidRPr="004C52B2">
        <w:rPr>
          <w:rFonts w:ascii="ITC Avant Garde" w:eastAsia="Times New Roman" w:hAnsi="ITC Avant Garde" w:cs="Arial"/>
          <w:lang w:val="es-ES_tradnl" w:eastAsia="es-ES"/>
        </w:rPr>
        <w:t xml:space="preserve"> crecimiento promedio de cantidades de insumo</w:t>
      </w:r>
      <w:r w:rsidR="008110A8" w:rsidRPr="004C52B2">
        <w:rPr>
          <w:rFonts w:ascii="ITC Avant Garde" w:eastAsia="Times New Roman" w:hAnsi="ITC Avant Garde" w:cs="Arial"/>
          <w:lang w:val="es-ES_tradnl" w:eastAsia="es-ES"/>
        </w:rPr>
        <w:t>s</w:t>
      </w:r>
      <w:r w:rsidR="009E719F" w:rsidRPr="004C52B2">
        <w:rPr>
          <w:rFonts w:ascii="ITC Avant Garde" w:eastAsia="Times New Roman" w:hAnsi="ITC Avant Garde" w:cs="Arial"/>
          <w:lang w:val="es-ES_tradnl" w:eastAsia="es-ES"/>
        </w:rPr>
        <w:t xml:space="preserve"> fue de </w:t>
      </w:r>
      <w:r w:rsidR="00484170" w:rsidRPr="002C2AEE">
        <w:rPr>
          <w:rFonts w:ascii="ITC Avant Garde" w:hAnsi="ITC Avant Garde"/>
          <w:b/>
          <w:bCs/>
          <w:color w:val="0000CC"/>
          <w:lang w:eastAsia="es-MX"/>
        </w:rPr>
        <w:t>“CONFIDENCIAL POR LEY”</w:t>
      </w:r>
      <w:r w:rsidRPr="004C52B2">
        <w:rPr>
          <w:rFonts w:ascii="ITC Avant Garde" w:eastAsia="Times New Roman" w:hAnsi="ITC Avant Garde" w:cs="Arial"/>
          <w:lang w:val="es-ES_tradnl" w:eastAsia="es-ES"/>
        </w:rPr>
        <w:t xml:space="preserve"> y la tasa de crecimien</w:t>
      </w:r>
      <w:r w:rsidR="009E719F" w:rsidRPr="004C52B2">
        <w:rPr>
          <w:rFonts w:ascii="ITC Avant Garde" w:eastAsia="Times New Roman" w:hAnsi="ITC Avant Garde" w:cs="Arial"/>
          <w:lang w:val="es-ES_tradnl" w:eastAsia="es-ES"/>
        </w:rPr>
        <w:t xml:space="preserve">to de precios de insumos de </w:t>
      </w:r>
      <w:r w:rsidR="00484170" w:rsidRPr="002C2AEE">
        <w:rPr>
          <w:rFonts w:ascii="ITC Avant Garde" w:hAnsi="ITC Avant Garde"/>
          <w:b/>
          <w:bCs/>
          <w:color w:val="0000CC"/>
          <w:lang w:eastAsia="es-MX"/>
        </w:rPr>
        <w:t>“CONFIDENCIAL POR LEY”</w:t>
      </w:r>
      <w:r w:rsidRPr="004C52B2">
        <w:rPr>
          <w:rFonts w:ascii="ITC Avant Garde" w:eastAsia="Times New Roman" w:hAnsi="ITC Avant Garde" w:cs="Arial"/>
          <w:lang w:val="es-ES_tradnl" w:eastAsia="es-ES"/>
        </w:rPr>
        <w:t>.</w:t>
      </w:r>
    </w:p>
    <w:p w14:paraId="6FCF9F7A" w14:textId="77777777" w:rsidR="008369E9" w:rsidRDefault="00376BF9" w:rsidP="00484170">
      <w:pPr>
        <w:pStyle w:val="Prrafodelista"/>
        <w:adjustRightInd w:val="0"/>
        <w:spacing w:before="240" w:line="240" w:lineRule="auto"/>
        <w:contextualSpacing w:val="0"/>
        <w:jc w:val="both"/>
        <w:rPr>
          <w:rFonts w:ascii="ITC Avant Garde" w:eastAsia="Times New Roman" w:hAnsi="ITC Avant Garde" w:cs="Arial"/>
          <w:bCs/>
          <w:lang w:val="es-ES_tradnl" w:eastAsia="es-ES"/>
        </w:rPr>
      </w:pPr>
      <w:r w:rsidRPr="004C52B2">
        <w:rPr>
          <w:rFonts w:ascii="ITC Avant Garde" w:eastAsia="Times New Roman" w:hAnsi="ITC Avant Garde" w:cs="Arial"/>
          <w:b/>
          <w:bCs/>
          <w:lang w:val="es-ES_tradnl" w:eastAsia="es-ES"/>
        </w:rPr>
        <w:t>5</w:t>
      </w:r>
      <w:r w:rsidR="00790E70" w:rsidRPr="004C52B2">
        <w:rPr>
          <w:rFonts w:ascii="ITC Avant Garde" w:eastAsia="Times New Roman" w:hAnsi="ITC Avant Garde" w:cs="Arial"/>
          <w:b/>
          <w:bCs/>
          <w:lang w:val="es-ES_tradnl" w:eastAsia="es-ES"/>
        </w:rPr>
        <w:t>.</w:t>
      </w:r>
      <w:r w:rsidR="00C57EA7" w:rsidRPr="004C52B2">
        <w:rPr>
          <w:rFonts w:ascii="ITC Avant Garde" w:eastAsia="Times New Roman" w:hAnsi="ITC Avant Garde" w:cs="Arial"/>
          <w:b/>
          <w:bCs/>
          <w:lang w:val="es-ES_tradnl" w:eastAsia="es-ES"/>
        </w:rPr>
        <w:t>3</w:t>
      </w:r>
      <w:r w:rsidR="00790E70" w:rsidRPr="004C52B2">
        <w:rPr>
          <w:rFonts w:ascii="ITC Avant Garde" w:eastAsia="Times New Roman" w:hAnsi="ITC Avant Garde" w:cs="Arial"/>
          <w:b/>
          <w:bCs/>
          <w:lang w:val="es-ES_tradnl" w:eastAsia="es-ES"/>
        </w:rPr>
        <w:t xml:space="preserve">.3 </w:t>
      </w:r>
      <w:r w:rsidR="00D45B0F" w:rsidRPr="004C52B2">
        <w:rPr>
          <w:rFonts w:ascii="ITC Avant Garde" w:eastAsia="Times New Roman" w:hAnsi="ITC Avant Garde" w:cs="Arial"/>
          <w:b/>
          <w:bCs/>
          <w:lang w:val="es-ES_tradnl" w:eastAsia="es-ES"/>
        </w:rPr>
        <w:t>Resultados</w:t>
      </w:r>
      <w:r w:rsidR="00C57EA7" w:rsidRPr="004C52B2">
        <w:rPr>
          <w:rFonts w:ascii="ITC Avant Garde" w:eastAsia="Times New Roman" w:hAnsi="ITC Avant Garde" w:cs="Arial"/>
          <w:bCs/>
          <w:lang w:val="es-ES_tradnl" w:eastAsia="es-ES"/>
        </w:rPr>
        <w:t xml:space="preserve">. </w:t>
      </w:r>
      <w:r w:rsidR="003E74B4" w:rsidRPr="004C52B2">
        <w:rPr>
          <w:rFonts w:ascii="ITC Avant Garde" w:eastAsia="Times New Roman" w:hAnsi="ITC Avant Garde" w:cs="Arial"/>
          <w:bCs/>
          <w:lang w:val="es-ES_tradnl" w:eastAsia="es-ES"/>
        </w:rPr>
        <w:t xml:space="preserve">Conforme al cálculo del </w:t>
      </w:r>
      <w:r w:rsidR="001E307F" w:rsidRPr="004C52B2">
        <w:rPr>
          <w:rFonts w:ascii="ITC Avant Garde" w:eastAsia="Times New Roman" w:hAnsi="ITC Avant Garde" w:cs="Arial"/>
          <w:bCs/>
          <w:lang w:val="es-ES_tradnl" w:eastAsia="es-ES"/>
        </w:rPr>
        <w:t>F</w:t>
      </w:r>
      <w:r w:rsidR="003E74B4" w:rsidRPr="004C52B2">
        <w:rPr>
          <w:rFonts w:ascii="ITC Avant Garde" w:eastAsia="Times New Roman" w:hAnsi="ITC Avant Garde" w:cs="Arial"/>
          <w:bCs/>
          <w:lang w:val="es-ES_tradnl" w:eastAsia="es-ES"/>
        </w:rPr>
        <w:t xml:space="preserve">actor </w:t>
      </w:r>
      <w:r w:rsidR="0070681E">
        <w:rPr>
          <w:rFonts w:ascii="ITC Avant Garde" w:eastAsia="Times New Roman" w:hAnsi="ITC Avant Garde" w:cs="Arial"/>
          <w:bCs/>
          <w:lang w:val="es-ES_tradnl" w:eastAsia="es-ES"/>
        </w:rPr>
        <w:t>de P</w:t>
      </w:r>
      <w:r w:rsidR="000135A8">
        <w:rPr>
          <w:rFonts w:ascii="ITC Avant Garde" w:eastAsia="Times New Roman" w:hAnsi="ITC Avant Garde" w:cs="Arial"/>
          <w:bCs/>
          <w:lang w:val="es-ES_tradnl" w:eastAsia="es-ES"/>
        </w:rPr>
        <w:t xml:space="preserve">roductividad </w:t>
      </w:r>
      <w:r w:rsidR="001E307F" w:rsidRPr="004C52B2">
        <w:rPr>
          <w:rFonts w:ascii="ITC Avant Garde" w:eastAsia="Times New Roman" w:hAnsi="ITC Avant Garde" w:cs="Arial"/>
          <w:bCs/>
          <w:lang w:val="es-ES_tradnl" w:eastAsia="es-ES"/>
        </w:rPr>
        <w:t>“</w:t>
      </w:r>
      <w:r w:rsidR="003E74B4" w:rsidRPr="004C52B2">
        <w:rPr>
          <w:rFonts w:ascii="ITC Avant Garde" w:eastAsia="Times New Roman" w:hAnsi="ITC Avant Garde" w:cs="Arial"/>
          <w:bCs/>
          <w:lang w:val="es-ES_tradnl" w:eastAsia="es-ES"/>
        </w:rPr>
        <w:t>X</w:t>
      </w:r>
      <w:r w:rsidR="001E307F" w:rsidRPr="004C52B2">
        <w:rPr>
          <w:rFonts w:ascii="ITC Avant Garde" w:eastAsia="Times New Roman" w:hAnsi="ITC Avant Garde" w:cs="Arial"/>
          <w:bCs/>
          <w:lang w:val="es-ES_tradnl" w:eastAsia="es-ES"/>
        </w:rPr>
        <w:t>”</w:t>
      </w:r>
      <w:r w:rsidR="003E74B4" w:rsidRPr="004C52B2">
        <w:rPr>
          <w:rFonts w:ascii="ITC Avant Garde" w:eastAsia="Times New Roman" w:hAnsi="ITC Avant Garde" w:cs="Arial"/>
          <w:bCs/>
          <w:lang w:val="es-ES_tradnl" w:eastAsia="es-ES"/>
        </w:rPr>
        <w:t xml:space="preserve"> equivalente a la suma de la diferencia entre </w:t>
      </w:r>
      <w:r w:rsidR="006A73D9" w:rsidRPr="004C52B2">
        <w:rPr>
          <w:rFonts w:ascii="ITC Avant Garde" w:eastAsia="Times New Roman" w:hAnsi="ITC Avant Garde" w:cs="Arial"/>
          <w:bCs/>
          <w:lang w:val="es-ES_tradnl" w:eastAsia="es-ES"/>
        </w:rPr>
        <w:t>la</w:t>
      </w:r>
      <w:r w:rsidR="003E74B4" w:rsidRPr="004C52B2">
        <w:rPr>
          <w:rFonts w:ascii="ITC Avant Garde" w:eastAsia="Times New Roman" w:hAnsi="ITC Avant Garde" w:cs="Arial"/>
          <w:bCs/>
          <w:lang w:val="es-ES_tradnl" w:eastAsia="es-ES"/>
        </w:rPr>
        <w:t xml:space="preserve"> </w:t>
      </w:r>
      <w:r w:rsidR="00D31A21" w:rsidRPr="004C52B2">
        <w:rPr>
          <w:rFonts w:ascii="ITC Avant Garde" w:eastAsia="Times New Roman" w:hAnsi="ITC Avant Garde" w:cs="Arial"/>
          <w:bCs/>
          <w:lang w:val="es-ES_tradnl" w:eastAsia="es-ES"/>
        </w:rPr>
        <w:t xml:space="preserve">PTF </w:t>
      </w:r>
      <w:r w:rsidR="003E74B4" w:rsidRPr="004C52B2">
        <w:rPr>
          <w:rFonts w:ascii="ITC Avant Garde" w:eastAsia="Times New Roman" w:hAnsi="ITC Avant Garde" w:cs="Arial"/>
          <w:bCs/>
          <w:lang w:val="es-ES_tradnl" w:eastAsia="es-ES"/>
        </w:rPr>
        <w:t xml:space="preserve">de Telmex con </w:t>
      </w:r>
      <w:r w:rsidR="006A73D9" w:rsidRPr="004C52B2">
        <w:rPr>
          <w:rFonts w:ascii="ITC Avant Garde" w:eastAsia="Times New Roman" w:hAnsi="ITC Avant Garde" w:cs="Arial"/>
          <w:bCs/>
          <w:lang w:val="es-ES_tradnl" w:eastAsia="es-ES"/>
        </w:rPr>
        <w:t>la</w:t>
      </w:r>
      <w:r w:rsidR="003E74B4" w:rsidRPr="004C52B2">
        <w:rPr>
          <w:rFonts w:ascii="ITC Avant Garde" w:eastAsia="Times New Roman" w:hAnsi="ITC Avant Garde" w:cs="Arial"/>
          <w:bCs/>
          <w:lang w:val="es-ES_tradnl" w:eastAsia="es-ES"/>
        </w:rPr>
        <w:t xml:space="preserve"> </w:t>
      </w:r>
      <w:r w:rsidR="00D31A21" w:rsidRPr="004C52B2">
        <w:rPr>
          <w:rFonts w:ascii="ITC Avant Garde" w:eastAsia="Times New Roman" w:hAnsi="ITC Avant Garde" w:cs="Arial"/>
          <w:bCs/>
          <w:lang w:val="es-ES_tradnl" w:eastAsia="es-ES"/>
        </w:rPr>
        <w:t xml:space="preserve">PTF </w:t>
      </w:r>
      <w:r w:rsidR="003E74B4" w:rsidRPr="004C52B2">
        <w:rPr>
          <w:rFonts w:ascii="ITC Avant Garde" w:eastAsia="Times New Roman" w:hAnsi="ITC Avant Garde" w:cs="Arial"/>
          <w:bCs/>
          <w:lang w:val="es-ES_tradnl" w:eastAsia="es-ES"/>
        </w:rPr>
        <w:t xml:space="preserve">de la economía de México, y la suma de la diferencia entre la tasa de crecimiento de los precios de los insumos de la economía y la de los insumos de Telmex, se obtuvo un </w:t>
      </w:r>
      <w:r w:rsidR="001E307F" w:rsidRPr="004C52B2">
        <w:rPr>
          <w:rFonts w:ascii="ITC Avant Garde" w:eastAsia="Times New Roman" w:hAnsi="ITC Avant Garde" w:cs="Arial"/>
          <w:bCs/>
          <w:lang w:val="es-ES_tradnl" w:eastAsia="es-ES"/>
        </w:rPr>
        <w:t>F</w:t>
      </w:r>
      <w:r w:rsidR="003E74B4" w:rsidRPr="004C52B2">
        <w:rPr>
          <w:rFonts w:ascii="ITC Avant Garde" w:eastAsia="Times New Roman" w:hAnsi="ITC Avant Garde" w:cs="Arial"/>
          <w:bCs/>
          <w:lang w:val="es-ES_tradnl" w:eastAsia="es-ES"/>
        </w:rPr>
        <w:t xml:space="preserve">actor </w:t>
      </w:r>
      <w:r w:rsidR="0070681E">
        <w:rPr>
          <w:rFonts w:ascii="ITC Avant Garde" w:eastAsia="Times New Roman" w:hAnsi="ITC Avant Garde" w:cs="Arial"/>
          <w:bCs/>
          <w:lang w:val="es-ES_tradnl" w:eastAsia="es-ES"/>
        </w:rPr>
        <w:t>de P</w:t>
      </w:r>
      <w:r w:rsidR="000135A8">
        <w:rPr>
          <w:rFonts w:ascii="ITC Avant Garde" w:eastAsia="Times New Roman" w:hAnsi="ITC Avant Garde" w:cs="Arial"/>
          <w:bCs/>
          <w:lang w:val="es-ES_tradnl" w:eastAsia="es-ES"/>
        </w:rPr>
        <w:t xml:space="preserve">roductividad </w:t>
      </w:r>
      <w:r w:rsidR="001E307F" w:rsidRPr="004C52B2">
        <w:rPr>
          <w:rFonts w:ascii="ITC Avant Garde" w:eastAsia="Times New Roman" w:hAnsi="ITC Avant Garde" w:cs="Arial"/>
          <w:bCs/>
          <w:lang w:val="es-ES_tradnl" w:eastAsia="es-ES"/>
        </w:rPr>
        <w:t>“</w:t>
      </w:r>
      <w:r w:rsidR="003E74B4" w:rsidRPr="004C52B2">
        <w:rPr>
          <w:rFonts w:ascii="ITC Avant Garde" w:eastAsia="Times New Roman" w:hAnsi="ITC Avant Garde" w:cs="Arial"/>
          <w:bCs/>
          <w:lang w:val="es-ES_tradnl" w:eastAsia="es-ES"/>
        </w:rPr>
        <w:t>X</w:t>
      </w:r>
      <w:r w:rsidR="001E307F" w:rsidRPr="004C52B2">
        <w:rPr>
          <w:rFonts w:ascii="ITC Avant Garde" w:eastAsia="Times New Roman" w:hAnsi="ITC Avant Garde" w:cs="Arial"/>
          <w:bCs/>
          <w:lang w:val="es-ES_tradnl" w:eastAsia="es-ES"/>
        </w:rPr>
        <w:t>”</w:t>
      </w:r>
      <w:r w:rsidR="009A289D" w:rsidRPr="004C52B2">
        <w:rPr>
          <w:rFonts w:ascii="ITC Avant Garde" w:eastAsia="Times New Roman" w:hAnsi="ITC Avant Garde" w:cs="Arial"/>
          <w:bCs/>
          <w:lang w:val="es-ES_tradnl" w:eastAsia="es-ES"/>
        </w:rPr>
        <w:t xml:space="preserve"> de 0.83</w:t>
      </w:r>
      <w:r w:rsidR="003E74B4" w:rsidRPr="004C52B2">
        <w:rPr>
          <w:rFonts w:ascii="ITC Avant Garde" w:eastAsia="Times New Roman" w:hAnsi="ITC Avant Garde" w:cs="Arial"/>
          <w:bCs/>
          <w:lang w:val="es-ES_tradnl" w:eastAsia="es-ES"/>
        </w:rPr>
        <w:t xml:space="preserve">% </w:t>
      </w:r>
      <w:r w:rsidR="00935361" w:rsidRPr="004C52B2">
        <w:rPr>
          <w:rFonts w:ascii="ITC Avant Garde" w:eastAsia="Times New Roman" w:hAnsi="ITC Avant Garde" w:cs="Arial"/>
          <w:bCs/>
          <w:lang w:val="es-ES_tradnl" w:eastAsia="es-ES"/>
        </w:rPr>
        <w:t xml:space="preserve">que corresponde al </w:t>
      </w:r>
      <w:r w:rsidR="003E74B4" w:rsidRPr="004C52B2">
        <w:rPr>
          <w:rFonts w:ascii="ITC Avant Garde" w:eastAsia="Times New Roman" w:hAnsi="ITC Avant Garde" w:cs="Arial"/>
          <w:bCs/>
          <w:lang w:val="es-ES_tradnl" w:eastAsia="es-ES"/>
        </w:rPr>
        <w:t>promedio en el periodo de 2000 a 201</w:t>
      </w:r>
      <w:r w:rsidR="009A289D" w:rsidRPr="004C52B2">
        <w:rPr>
          <w:rFonts w:ascii="ITC Avant Garde" w:eastAsia="Times New Roman" w:hAnsi="ITC Avant Garde" w:cs="Arial"/>
          <w:bCs/>
          <w:lang w:val="es-ES_tradnl" w:eastAsia="es-ES"/>
        </w:rPr>
        <w:t>5</w:t>
      </w:r>
      <w:r w:rsidR="003E74B4" w:rsidRPr="004C52B2">
        <w:rPr>
          <w:rFonts w:ascii="ITC Avant Garde" w:eastAsia="Times New Roman" w:hAnsi="ITC Avant Garde" w:cs="Arial"/>
          <w:bCs/>
          <w:lang w:val="es-ES_tradnl" w:eastAsia="es-ES"/>
        </w:rPr>
        <w:t>.</w:t>
      </w:r>
      <w:r w:rsidR="001B3AA8" w:rsidRPr="004C52B2">
        <w:rPr>
          <w:rFonts w:ascii="ITC Avant Garde" w:eastAsia="Times New Roman" w:hAnsi="ITC Avant Garde" w:cs="Arial"/>
          <w:bCs/>
          <w:lang w:val="es-ES_tradnl" w:eastAsia="es-ES"/>
        </w:rPr>
        <w:t xml:space="preserve"> La </w:t>
      </w:r>
      <w:r w:rsidR="000135A8">
        <w:rPr>
          <w:rFonts w:ascii="ITC Avant Garde" w:eastAsia="Times New Roman" w:hAnsi="ITC Avant Garde" w:cs="Arial"/>
          <w:bCs/>
          <w:lang w:val="es-ES_tradnl" w:eastAsia="es-ES"/>
        </w:rPr>
        <w:t>T</w:t>
      </w:r>
      <w:r w:rsidR="001B3AA8" w:rsidRPr="004C52B2">
        <w:rPr>
          <w:rFonts w:ascii="ITC Avant Garde" w:eastAsia="Times New Roman" w:hAnsi="ITC Avant Garde" w:cs="Arial"/>
          <w:bCs/>
          <w:lang w:val="es-ES_tradnl" w:eastAsia="es-ES"/>
        </w:rPr>
        <w:t xml:space="preserve">abla II muestra la evolución del Factor </w:t>
      </w:r>
      <w:r w:rsidR="000135A8">
        <w:rPr>
          <w:rFonts w:ascii="ITC Avant Garde" w:eastAsia="Times New Roman" w:hAnsi="ITC Avant Garde" w:cs="Arial"/>
          <w:bCs/>
          <w:lang w:val="es-ES_tradnl" w:eastAsia="es-ES"/>
        </w:rPr>
        <w:t xml:space="preserve">de productividad </w:t>
      </w:r>
      <w:r w:rsidR="001B3AA8" w:rsidRPr="004C52B2">
        <w:rPr>
          <w:rFonts w:ascii="ITC Avant Garde" w:eastAsia="Times New Roman" w:hAnsi="ITC Avant Garde" w:cs="Arial"/>
          <w:bCs/>
          <w:lang w:val="es-ES_tradnl" w:eastAsia="es-ES"/>
        </w:rPr>
        <w:t>“X” de Telmex y sus componentes en el periodo 2000 a 201</w:t>
      </w:r>
      <w:r w:rsidR="009A289D" w:rsidRPr="004C52B2">
        <w:rPr>
          <w:rFonts w:ascii="ITC Avant Garde" w:eastAsia="Times New Roman" w:hAnsi="ITC Avant Garde" w:cs="Arial"/>
          <w:bCs/>
          <w:lang w:val="es-ES_tradnl" w:eastAsia="es-ES"/>
        </w:rPr>
        <w:t>5</w:t>
      </w:r>
      <w:r w:rsidR="001B3AA8" w:rsidRPr="004C52B2">
        <w:rPr>
          <w:rFonts w:ascii="ITC Avant Garde" w:eastAsia="Times New Roman" w:hAnsi="ITC Avant Garde" w:cs="Arial"/>
          <w:bCs/>
          <w:lang w:val="es-ES_tradnl" w:eastAsia="es-ES"/>
        </w:rPr>
        <w:t>.</w:t>
      </w:r>
      <w:r w:rsidR="00A53229" w:rsidRPr="004C52B2">
        <w:rPr>
          <w:rFonts w:ascii="ITC Avant Garde" w:eastAsia="Times New Roman" w:hAnsi="ITC Avant Garde" w:cs="Arial"/>
          <w:bCs/>
          <w:lang w:val="es-ES_tradnl" w:eastAsia="es-ES"/>
        </w:rPr>
        <w:t xml:space="preserve"> </w:t>
      </w:r>
    </w:p>
    <w:p w14:paraId="4A89E866" w14:textId="77777777" w:rsidR="008369E9" w:rsidRDefault="00D57957" w:rsidP="00484170">
      <w:pPr>
        <w:adjustRightInd w:val="0"/>
        <w:spacing w:before="240" w:after="480" w:line="240" w:lineRule="auto"/>
        <w:ind w:left="720"/>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Cabe mencionar que Telmex realizó un ajuste</w:t>
      </w:r>
      <w:r w:rsidR="00D77EE7" w:rsidRPr="004C52B2">
        <w:rPr>
          <w:rFonts w:ascii="ITC Avant Garde" w:eastAsia="Times New Roman" w:hAnsi="ITC Avant Garde" w:cs="Arial"/>
          <w:bCs/>
          <w:lang w:val="es-ES_tradnl" w:eastAsia="es-ES"/>
        </w:rPr>
        <w:t xml:space="preserve"> </w:t>
      </w:r>
      <w:r w:rsidRPr="004C52B2">
        <w:rPr>
          <w:rFonts w:ascii="ITC Avant Garde" w:eastAsia="Times New Roman" w:hAnsi="ITC Avant Garde" w:cs="Arial"/>
          <w:bCs/>
          <w:lang w:val="es-ES_tradnl" w:eastAsia="es-ES"/>
        </w:rPr>
        <w:t xml:space="preserve">al factor calculado </w:t>
      </w:r>
      <w:r w:rsidR="00A53229" w:rsidRPr="004C52B2">
        <w:rPr>
          <w:rFonts w:ascii="ITC Avant Garde" w:eastAsia="Times New Roman" w:hAnsi="ITC Avant Garde" w:cs="Arial"/>
          <w:bCs/>
          <w:lang w:val="es-ES_tradnl" w:eastAsia="es-ES"/>
        </w:rPr>
        <w:t xml:space="preserve">de 1/(1+inflación). </w:t>
      </w:r>
      <w:r w:rsidR="00461E71" w:rsidRPr="004C52B2">
        <w:rPr>
          <w:rFonts w:ascii="ITC Avant Garde" w:eastAsia="Times New Roman" w:hAnsi="ITC Avant Garde" w:cs="Arial"/>
          <w:bCs/>
          <w:lang w:val="es-ES_tradnl" w:eastAsia="es-ES"/>
        </w:rPr>
        <w:t>Bajo las consideraciones descritas</w:t>
      </w:r>
      <w:r w:rsidR="003E74B4" w:rsidRPr="004C52B2">
        <w:rPr>
          <w:rFonts w:ascii="ITC Avant Garde" w:eastAsia="Times New Roman" w:hAnsi="ITC Avant Garde" w:cs="Arial"/>
          <w:bCs/>
          <w:lang w:val="es-ES_tradnl" w:eastAsia="es-ES"/>
        </w:rPr>
        <w:t xml:space="preserve">, </w:t>
      </w:r>
      <w:r w:rsidR="00202BC0" w:rsidRPr="004C52B2">
        <w:rPr>
          <w:rFonts w:ascii="ITC Avant Garde" w:eastAsia="Times New Roman" w:hAnsi="ITC Avant Garde" w:cs="Arial"/>
          <w:bCs/>
          <w:lang w:val="es-ES_tradnl" w:eastAsia="es-ES"/>
        </w:rPr>
        <w:t>el</w:t>
      </w:r>
      <w:r w:rsidR="00461E71" w:rsidRPr="004C52B2">
        <w:rPr>
          <w:rFonts w:ascii="ITC Avant Garde" w:eastAsia="Times New Roman" w:hAnsi="ITC Avant Garde" w:cs="Arial"/>
          <w:bCs/>
          <w:lang w:val="es-ES_tradnl" w:eastAsia="es-ES"/>
        </w:rPr>
        <w:t xml:space="preserve"> Factor </w:t>
      </w:r>
      <w:r w:rsidR="000135A8">
        <w:rPr>
          <w:rFonts w:ascii="ITC Avant Garde" w:eastAsia="Times New Roman" w:hAnsi="ITC Avant Garde" w:cs="Arial"/>
          <w:bCs/>
          <w:lang w:val="es-ES_tradnl" w:eastAsia="es-ES"/>
        </w:rPr>
        <w:t xml:space="preserve">de </w:t>
      </w:r>
      <w:r w:rsidR="0070681E">
        <w:rPr>
          <w:rFonts w:ascii="ITC Avant Garde" w:eastAsia="Times New Roman" w:hAnsi="ITC Avant Garde" w:cs="Arial"/>
          <w:bCs/>
          <w:lang w:val="es-ES_tradnl" w:eastAsia="es-ES"/>
        </w:rPr>
        <w:t>P</w:t>
      </w:r>
      <w:r w:rsidR="000135A8">
        <w:rPr>
          <w:rFonts w:ascii="ITC Avant Garde" w:eastAsia="Times New Roman" w:hAnsi="ITC Avant Garde" w:cs="Arial"/>
          <w:bCs/>
          <w:lang w:val="es-ES_tradnl" w:eastAsia="es-ES"/>
        </w:rPr>
        <w:t>roductividad “</w:t>
      </w:r>
      <w:r w:rsidR="00461E71" w:rsidRPr="004C52B2">
        <w:rPr>
          <w:rFonts w:ascii="ITC Avant Garde" w:eastAsia="Times New Roman" w:hAnsi="ITC Avant Garde" w:cs="Arial"/>
          <w:bCs/>
          <w:lang w:val="es-ES_tradnl" w:eastAsia="es-ES"/>
        </w:rPr>
        <w:t>X</w:t>
      </w:r>
      <w:r w:rsidR="000135A8">
        <w:rPr>
          <w:rFonts w:ascii="ITC Avant Garde" w:eastAsia="Times New Roman" w:hAnsi="ITC Avant Garde" w:cs="Arial"/>
          <w:bCs/>
          <w:lang w:val="es-ES_tradnl" w:eastAsia="es-ES"/>
        </w:rPr>
        <w:t>”</w:t>
      </w:r>
      <w:r w:rsidR="00461E71" w:rsidRPr="004C52B2">
        <w:rPr>
          <w:rFonts w:ascii="ITC Avant Garde" w:eastAsia="Times New Roman" w:hAnsi="ITC Avant Garde" w:cs="Arial"/>
          <w:bCs/>
          <w:lang w:val="es-ES_tradnl" w:eastAsia="es-ES"/>
        </w:rPr>
        <w:t xml:space="preserve"> promedi</w:t>
      </w:r>
      <w:r w:rsidR="009A289D" w:rsidRPr="004C52B2">
        <w:rPr>
          <w:rFonts w:ascii="ITC Avant Garde" w:eastAsia="Times New Roman" w:hAnsi="ITC Avant Garde" w:cs="Arial"/>
          <w:bCs/>
          <w:lang w:val="es-ES_tradnl" w:eastAsia="es-ES"/>
        </w:rPr>
        <w:t>o anual de 0.83</w:t>
      </w:r>
      <w:r w:rsidR="003E74B4" w:rsidRPr="004C52B2">
        <w:rPr>
          <w:rFonts w:ascii="ITC Avant Garde" w:eastAsia="Times New Roman" w:hAnsi="ITC Avant Garde" w:cs="Arial"/>
          <w:bCs/>
          <w:lang w:val="es-ES_tradnl" w:eastAsia="es-ES"/>
        </w:rPr>
        <w:t>%</w:t>
      </w:r>
      <w:r w:rsidR="007007BD" w:rsidRPr="004C52B2">
        <w:rPr>
          <w:rFonts w:ascii="ITC Avant Garde" w:eastAsia="Times New Roman" w:hAnsi="ITC Avant Garde" w:cs="Arial"/>
          <w:bCs/>
          <w:lang w:val="es-ES_tradnl" w:eastAsia="es-ES"/>
        </w:rPr>
        <w:t xml:space="preserve"> corresponde a un valor </w:t>
      </w:r>
      <w:r w:rsidR="009A289D" w:rsidRPr="004C52B2">
        <w:rPr>
          <w:rFonts w:ascii="ITC Avant Garde" w:eastAsia="Times New Roman" w:hAnsi="ITC Avant Garde" w:cs="Arial"/>
          <w:bCs/>
          <w:lang w:val="es-ES_tradnl" w:eastAsia="es-ES"/>
        </w:rPr>
        <w:t>ajustado de 0.78</w:t>
      </w:r>
      <w:r w:rsidR="00461E71" w:rsidRPr="004C52B2">
        <w:rPr>
          <w:rFonts w:ascii="ITC Avant Garde" w:eastAsia="Times New Roman" w:hAnsi="ITC Avant Garde" w:cs="Arial"/>
          <w:bCs/>
          <w:lang w:val="es-ES_tradnl" w:eastAsia="es-ES"/>
        </w:rPr>
        <w:t>% para una canasta global de servicios dur</w:t>
      </w:r>
      <w:r w:rsidRPr="004C52B2">
        <w:rPr>
          <w:rFonts w:ascii="ITC Avant Garde" w:eastAsia="Times New Roman" w:hAnsi="ITC Avant Garde" w:cs="Arial"/>
          <w:bCs/>
          <w:lang w:val="es-ES_tradnl" w:eastAsia="es-ES"/>
        </w:rPr>
        <w:t>ante</w:t>
      </w:r>
      <w:r w:rsidR="009A289D" w:rsidRPr="004C52B2">
        <w:rPr>
          <w:rFonts w:ascii="ITC Avant Garde" w:eastAsia="Times New Roman" w:hAnsi="ITC Avant Garde" w:cs="Arial"/>
          <w:bCs/>
          <w:lang w:val="es-ES_tradnl" w:eastAsia="es-ES"/>
        </w:rPr>
        <w:t xml:space="preserve"> el periodo de 2000 a 2015</w:t>
      </w:r>
      <w:r w:rsidR="00461E71" w:rsidRPr="004C52B2">
        <w:rPr>
          <w:rFonts w:ascii="ITC Avant Garde" w:eastAsia="Times New Roman" w:hAnsi="ITC Avant Garde" w:cs="Arial"/>
          <w:bCs/>
          <w:lang w:val="es-ES_tradnl" w:eastAsia="es-ES"/>
        </w:rPr>
        <w:t>.</w:t>
      </w:r>
    </w:p>
    <w:p w14:paraId="78A1FB2B" w14:textId="18E25B89" w:rsidR="008369E9" w:rsidRDefault="00461E71" w:rsidP="00484170">
      <w:pPr>
        <w:pStyle w:val="Prrafodelista"/>
        <w:adjustRightInd w:val="0"/>
        <w:spacing w:before="240" w:after="480" w:line="240" w:lineRule="auto"/>
        <w:contextualSpacing w:val="0"/>
        <w:jc w:val="both"/>
      </w:pPr>
      <m:oMathPara>
        <m:oMath>
          <m:r>
            <w:rPr>
              <w:rFonts w:ascii="Cambria Math" w:hAnsi="Cambria Math"/>
            </w:rPr>
            <m:t xml:space="preserve">Factor X= </m:t>
          </m:r>
          <m:d>
            <m:dPr>
              <m:ctrlPr>
                <w:rPr>
                  <w:rFonts w:ascii="Cambria Math" w:hAnsi="Cambria Math"/>
                  <w:i/>
                </w:rPr>
              </m:ctrlPr>
            </m:dPr>
            <m:e>
              <m:r>
                <m:rPr>
                  <m:sty m:val="b"/>
                </m:rPr>
                <w:rPr>
                  <w:rFonts w:ascii="Cambria Math" w:hAnsi="Cambria Math"/>
                  <w:color w:val="0000CC"/>
                  <w:lang w:eastAsia="es-MX"/>
                </w:rPr>
                <m:t>“CONFIDENCIAL POR LEY”</m:t>
              </m:r>
              <m:r>
                <w:rPr>
                  <w:rFonts w:ascii="Cambria Math" w:hAnsi="Cambria Math"/>
                </w:rPr>
                <m:t>-</m:t>
              </m:r>
              <m:d>
                <m:dPr>
                  <m:ctrlPr>
                    <w:rPr>
                      <w:rFonts w:ascii="Cambria Math" w:hAnsi="Cambria Math"/>
                      <w:i/>
                    </w:rPr>
                  </m:ctrlPr>
                </m:dPr>
                <m:e>
                  <m:r>
                    <w:rPr>
                      <w:rFonts w:ascii="Cambria Math" w:hAnsi="Cambria Math"/>
                    </w:rPr>
                    <m:t>-</m:t>
                  </m:r>
                  <m:r>
                    <m:rPr>
                      <m:sty m:val="b"/>
                    </m:rPr>
                    <w:rPr>
                      <w:rFonts w:ascii="Cambria Math" w:hAnsi="Cambria Math"/>
                      <w:color w:val="0000CC"/>
                      <w:lang w:eastAsia="es-MX"/>
                    </w:rPr>
                    <m:t>“CONFIDENCIAL POR LEY”</m:t>
                  </m:r>
                </m:e>
              </m:d>
            </m:e>
          </m:d>
          <m:r>
            <w:rPr>
              <w:rFonts w:ascii="Cambria Math" w:hAnsi="Cambria Math"/>
            </w:rPr>
            <m:t>+</m:t>
          </m:r>
          <m:d>
            <m:dPr>
              <m:ctrlPr>
                <w:rPr>
                  <w:rFonts w:ascii="Cambria Math" w:hAnsi="Cambria Math"/>
                  <w:i/>
                </w:rPr>
              </m:ctrlPr>
            </m:dPr>
            <m:e>
              <m:r>
                <m:rPr>
                  <m:sty m:val="b"/>
                </m:rPr>
                <w:rPr>
                  <w:rFonts w:ascii="Cambria Math" w:hAnsi="Cambria Math"/>
                  <w:color w:val="0000CC"/>
                  <w:lang w:eastAsia="es-MX"/>
                </w:rPr>
                <m:t>“CONFIDENCIAL POR LEY”</m:t>
              </m:r>
              <m:r>
                <w:rPr>
                  <w:rFonts w:ascii="Cambria Math" w:hAnsi="Cambria Math"/>
                </w:rPr>
                <m:t>-</m:t>
              </m:r>
              <m:r>
                <m:rPr>
                  <m:sty m:val="b"/>
                </m:rPr>
                <w:rPr>
                  <w:rFonts w:ascii="Cambria Math" w:hAnsi="Cambria Math"/>
                  <w:color w:val="0000CC"/>
                  <w:lang w:eastAsia="es-MX"/>
                </w:rPr>
                <m:t>“CONFIDENCIAL POR LEY”</m:t>
              </m:r>
            </m:e>
          </m:d>
          <m:r>
            <w:rPr>
              <w:rFonts w:ascii="Cambria Math" w:hAnsi="Cambria Math"/>
            </w:rPr>
            <m:t>=0.83%</m:t>
          </m:r>
        </m:oMath>
      </m:oMathPara>
    </w:p>
    <w:p w14:paraId="7CF18077" w14:textId="7C5C3674" w:rsidR="00461E71" w:rsidRPr="004C52B2" w:rsidRDefault="00461E71" w:rsidP="00484170">
      <w:pPr>
        <w:pStyle w:val="Prrafodelista"/>
        <w:adjustRightInd w:val="0"/>
        <w:spacing w:before="240" w:after="720" w:line="240" w:lineRule="auto"/>
        <w:contextualSpacing w:val="0"/>
        <w:jc w:val="both"/>
      </w:pPr>
      <m:oMathPara>
        <m:oMath>
          <m:r>
            <w:rPr>
              <w:rFonts w:ascii="Cambria Math" w:hAnsi="Cambria Math"/>
            </w:rPr>
            <m:t xml:space="preserve">Factor X Ajuste= </m:t>
          </m:r>
          <m:f>
            <m:fPr>
              <m:ctrlPr>
                <w:rPr>
                  <w:rFonts w:ascii="Cambria Math" w:hAnsi="Cambria Math"/>
                  <w:i/>
                </w:rPr>
              </m:ctrlPr>
            </m:fPr>
            <m:num>
              <m:r>
                <w:rPr>
                  <w:rFonts w:ascii="Cambria Math" w:hAnsi="Cambria Math"/>
                </w:rPr>
                <m:t>Factor X</m:t>
              </m:r>
            </m:num>
            <m:den>
              <m:r>
                <w:rPr>
                  <w:rFonts w:ascii="Cambria Math" w:hAnsi="Cambria Math"/>
                </w:rPr>
                <m:t>1+</m:t>
              </m:r>
              <m:r>
                <w:rPr>
                  <w:rFonts w:ascii="Cambria Math" w:eastAsia="Times New Roman" w:hAnsi="Cambria Math" w:cs="Arial"/>
                </w:rPr>
                <m:t>π</m:t>
              </m:r>
            </m:den>
          </m:f>
          <m:r>
            <w:rPr>
              <w:rFonts w:ascii="Cambria Math" w:hAnsi="Cambria Math"/>
            </w:rPr>
            <m:t>=0.78%</m:t>
          </m:r>
        </m:oMath>
      </m:oMathPara>
    </w:p>
    <w:p w14:paraId="59AD412F" w14:textId="77777777" w:rsidR="00484170" w:rsidRDefault="005C5E2C" w:rsidP="00484170">
      <w:pPr>
        <w:adjustRightInd w:val="0"/>
        <w:spacing w:before="240" w:line="240" w:lineRule="auto"/>
        <w:jc w:val="center"/>
        <w:rPr>
          <w:rFonts w:ascii="ITC Avant Garde" w:eastAsia="Times New Roman" w:hAnsi="ITC Avant Garde" w:cs="Arial"/>
          <w:b/>
          <w:bCs/>
          <w:lang w:val="es-ES_tradnl" w:eastAsia="es-ES"/>
        </w:rPr>
        <w:sectPr w:rsidR="00484170" w:rsidSect="00F64D97">
          <w:headerReference w:type="default" r:id="rId17"/>
          <w:pgSz w:w="12240" w:h="15840"/>
          <w:pgMar w:top="2370" w:right="1418" w:bottom="1418" w:left="1418" w:header="709" w:footer="709" w:gutter="0"/>
          <w:pgNumType w:start="1"/>
          <w:cols w:space="708"/>
          <w:docGrid w:linePitch="360"/>
        </w:sectPr>
      </w:pPr>
      <w:r w:rsidRPr="004C52B2" w:rsidDel="00D77EE7">
        <w:rPr>
          <w:rFonts w:ascii="ITC Avant Garde" w:eastAsia="Times New Roman" w:hAnsi="ITC Avant Garde" w:cs="Arial"/>
          <w:b/>
          <w:bCs/>
          <w:lang w:val="es-ES_tradnl" w:eastAsia="es-ES"/>
        </w:rPr>
        <w:t>Tabla I</w:t>
      </w:r>
      <w:r w:rsidR="001B3AA8" w:rsidRPr="004C52B2">
        <w:rPr>
          <w:rFonts w:ascii="ITC Avant Garde" w:eastAsia="Times New Roman" w:hAnsi="ITC Avant Garde" w:cs="Arial"/>
          <w:b/>
          <w:bCs/>
          <w:lang w:val="es-ES_tradnl" w:eastAsia="es-ES"/>
        </w:rPr>
        <w:t>I</w:t>
      </w:r>
      <w:r w:rsidRPr="004C52B2" w:rsidDel="00D77EE7">
        <w:rPr>
          <w:rFonts w:ascii="ITC Avant Garde" w:eastAsia="Times New Roman" w:hAnsi="ITC Avant Garde" w:cs="Arial"/>
          <w:b/>
          <w:bCs/>
          <w:lang w:val="es-ES_tradnl" w:eastAsia="es-ES"/>
        </w:rPr>
        <w:t xml:space="preserve">. </w:t>
      </w:r>
      <w:r w:rsidR="00AB38F8" w:rsidRPr="004C52B2" w:rsidDel="00D77EE7">
        <w:rPr>
          <w:rFonts w:ascii="ITC Avant Garde" w:eastAsia="Times New Roman" w:hAnsi="ITC Avant Garde" w:cs="Arial"/>
          <w:b/>
          <w:bCs/>
          <w:lang w:val="es-ES_tradnl" w:eastAsia="es-ES"/>
        </w:rPr>
        <w:t xml:space="preserve">Evolución del Factor </w:t>
      </w:r>
      <w:r w:rsidR="002D6143">
        <w:rPr>
          <w:rFonts w:ascii="ITC Avant Garde" w:eastAsia="Times New Roman" w:hAnsi="ITC Avant Garde" w:cs="Arial"/>
          <w:b/>
          <w:bCs/>
          <w:lang w:val="es-ES_tradnl" w:eastAsia="es-ES"/>
        </w:rPr>
        <w:t xml:space="preserve">de Productividad </w:t>
      </w:r>
      <w:r w:rsidR="00C025AD" w:rsidRPr="004C52B2" w:rsidDel="00D77EE7">
        <w:rPr>
          <w:rFonts w:ascii="ITC Avant Garde" w:eastAsia="Times New Roman" w:hAnsi="ITC Avant Garde" w:cs="Arial"/>
          <w:b/>
          <w:bCs/>
          <w:lang w:val="es-ES_tradnl" w:eastAsia="es-ES"/>
        </w:rPr>
        <w:t>“</w:t>
      </w:r>
      <w:r w:rsidR="00AB38F8" w:rsidRPr="004C52B2" w:rsidDel="00D77EE7">
        <w:rPr>
          <w:rFonts w:ascii="ITC Avant Garde" w:eastAsia="Times New Roman" w:hAnsi="ITC Avant Garde" w:cs="Arial"/>
          <w:b/>
          <w:bCs/>
          <w:lang w:val="es-ES_tradnl" w:eastAsia="es-ES"/>
        </w:rPr>
        <w:t>X</w:t>
      </w:r>
      <w:r w:rsidR="00C025AD" w:rsidRPr="004C52B2" w:rsidDel="00D77EE7">
        <w:rPr>
          <w:rFonts w:ascii="ITC Avant Garde" w:eastAsia="Times New Roman" w:hAnsi="ITC Avant Garde" w:cs="Arial"/>
          <w:b/>
          <w:bCs/>
          <w:lang w:val="es-ES_tradnl" w:eastAsia="es-ES"/>
        </w:rPr>
        <w:t>”</w:t>
      </w:r>
      <w:r w:rsidR="00AB38F8" w:rsidRPr="004C52B2" w:rsidDel="00D77EE7">
        <w:rPr>
          <w:rFonts w:ascii="ITC Avant Garde" w:eastAsia="Times New Roman" w:hAnsi="ITC Avant Garde" w:cs="Arial"/>
          <w:b/>
          <w:bCs/>
          <w:lang w:val="es-ES_tradnl" w:eastAsia="es-ES"/>
        </w:rPr>
        <w:t xml:space="preserve"> de Telmex y sus componentes, periodo 2000 a 201</w:t>
      </w:r>
      <w:r w:rsidR="009335FF" w:rsidRPr="004C52B2">
        <w:rPr>
          <w:rFonts w:ascii="ITC Avant Garde" w:eastAsia="Times New Roman" w:hAnsi="ITC Avant Garde" w:cs="Arial"/>
          <w:b/>
          <w:bCs/>
          <w:lang w:val="es-ES_tradnl" w:eastAsia="es-ES"/>
        </w:rPr>
        <w:t>5</w:t>
      </w:r>
      <w:r w:rsidR="00AB38F8" w:rsidRPr="004C52B2" w:rsidDel="00D77EE7">
        <w:rPr>
          <w:rFonts w:ascii="ITC Avant Garde" w:eastAsia="Times New Roman" w:hAnsi="ITC Avant Garde" w:cs="Arial"/>
          <w:b/>
          <w:bCs/>
          <w:lang w:val="es-ES_tradnl" w:eastAsia="es-ES"/>
        </w:rPr>
        <w:t>.</w:t>
      </w:r>
    </w:p>
    <w:p w14:paraId="105A10F1" w14:textId="0189C1DF" w:rsidR="004308F9" w:rsidRDefault="004308F9" w:rsidP="00461E71">
      <w:pPr>
        <w:adjustRightInd w:val="0"/>
        <w:spacing w:after="0" w:line="240" w:lineRule="auto"/>
        <w:jc w:val="both"/>
        <w:rPr>
          <w:rFonts w:ascii="ITC Avant Garde" w:eastAsia="Times New Roman" w:hAnsi="ITC Avant Garde" w:cs="Arial"/>
          <w:bCs/>
          <w:i/>
          <w:sz w:val="16"/>
          <w:szCs w:val="18"/>
          <w:lang w:val="es-ES_tradnl" w:eastAsia="es-ES"/>
        </w:rPr>
      </w:pPr>
      <w:r>
        <w:rPr>
          <w:rFonts w:ascii="ITC Avant Garde" w:eastAsia="Times New Roman" w:hAnsi="ITC Avant Garde" w:cs="Arial"/>
          <w:bCs/>
          <w:i/>
          <w:noProof/>
          <w:sz w:val="16"/>
          <w:szCs w:val="18"/>
          <w:lang w:eastAsia="es-MX"/>
        </w:rPr>
        <w:lastRenderedPageBreak/>
        <w:drawing>
          <wp:inline distT="0" distB="0" distL="0" distR="0" wp14:anchorId="1CDF38F1" wp14:editId="60E92C93">
            <wp:extent cx="6255626" cy="5235195"/>
            <wp:effectExtent l="0" t="0" r="0" b="3810"/>
            <wp:docPr id="1" name="Imagen 1" descr="Imagen de Tabla de 11 columnas que proporciona información relativa a la Evolución del Factor de Productividad “X” de Telmex y sus componentes, periodo 2000 a 2015. El promedio 2000-2015 para el factor X Anual es de 0.83%, mientras que para el Factor X Ajuste es de 0.78%." title="Tabla II. Evolución del Factor de Productividad “X” de Telmex y sus componentes, periodo 2000 a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a confidencial1.jpg"/>
                    <pic:cNvPicPr/>
                  </pic:nvPicPr>
                  <pic:blipFill>
                    <a:blip r:embed="rId18">
                      <a:extLst>
                        <a:ext uri="{28A0092B-C50C-407E-A947-70E740481C1C}">
                          <a14:useLocalDpi xmlns:a14="http://schemas.microsoft.com/office/drawing/2010/main" val="0"/>
                        </a:ext>
                      </a:extLst>
                    </a:blip>
                    <a:stretch>
                      <a:fillRect/>
                    </a:stretch>
                  </pic:blipFill>
                  <pic:spPr>
                    <a:xfrm>
                      <a:off x="0" y="0"/>
                      <a:ext cx="6261492" cy="5240104"/>
                    </a:xfrm>
                    <a:prstGeom prst="rect">
                      <a:avLst/>
                    </a:prstGeom>
                  </pic:spPr>
                </pic:pic>
              </a:graphicData>
            </a:graphic>
          </wp:inline>
        </w:drawing>
      </w:r>
    </w:p>
    <w:p w14:paraId="56DE346A" w14:textId="58675CA5" w:rsidR="008369E9" w:rsidRDefault="00AB63E2" w:rsidP="00461E71">
      <w:pPr>
        <w:adjustRightInd w:val="0"/>
        <w:spacing w:after="0" w:line="240" w:lineRule="auto"/>
        <w:jc w:val="both"/>
        <w:rPr>
          <w:rFonts w:ascii="ITC Avant Garde" w:eastAsia="Times New Roman" w:hAnsi="ITC Avant Garde" w:cs="Arial"/>
          <w:bCs/>
          <w:i/>
          <w:sz w:val="20"/>
          <w:lang w:val="es-ES_tradnl" w:eastAsia="es-ES"/>
        </w:rPr>
      </w:pPr>
      <w:r w:rsidRPr="00F17AE3" w:rsidDel="00D77EE7">
        <w:rPr>
          <w:rFonts w:ascii="ITC Avant Garde" w:eastAsia="Times New Roman" w:hAnsi="ITC Avant Garde" w:cs="Arial"/>
          <w:bCs/>
          <w:i/>
          <w:sz w:val="16"/>
          <w:szCs w:val="18"/>
          <w:lang w:val="es-ES_tradnl" w:eastAsia="es-ES"/>
        </w:rPr>
        <w:t>Fuente: Informe “Cálculo de la Productividad Total de los Factores y del Factor X de Telmex S.A.B. en México”, presentado por Telmex.</w:t>
      </w:r>
    </w:p>
    <w:p w14:paraId="33D2E083" w14:textId="77777777" w:rsidR="00484170" w:rsidRDefault="006119C8" w:rsidP="008369E9">
      <w:pPr>
        <w:adjustRightInd w:val="0"/>
        <w:spacing w:before="240" w:line="240" w:lineRule="auto"/>
        <w:jc w:val="both"/>
        <w:rPr>
          <w:rFonts w:ascii="ITC Avant Garde" w:eastAsia="Times New Roman" w:hAnsi="ITC Avant Garde" w:cs="Arial"/>
          <w:bCs/>
          <w:lang w:eastAsia="es-ES"/>
        </w:rPr>
        <w:sectPr w:rsidR="00484170" w:rsidSect="00F64D97">
          <w:pgSz w:w="12240" w:h="15840"/>
          <w:pgMar w:top="2370" w:right="1418" w:bottom="1418" w:left="1418" w:header="709" w:footer="709" w:gutter="0"/>
          <w:pgNumType w:start="1"/>
          <w:cols w:space="708"/>
          <w:docGrid w:linePitch="360"/>
        </w:sectPr>
      </w:pPr>
      <w:proofErr w:type="gramStart"/>
      <w:r w:rsidRPr="004C52B2">
        <w:rPr>
          <w:rFonts w:ascii="ITC Avant Garde" w:eastAsia="Times New Roman" w:hAnsi="ITC Avant Garde" w:cs="Arial"/>
          <w:b/>
          <w:bCs/>
          <w:lang w:val="es-ES_tradnl" w:eastAsia="es-ES"/>
        </w:rPr>
        <w:t>SEXTO.</w:t>
      </w:r>
      <w:r w:rsidR="00635207">
        <w:rPr>
          <w:rFonts w:ascii="ITC Avant Garde" w:eastAsia="Times New Roman" w:hAnsi="ITC Avant Garde" w:cs="Arial"/>
          <w:b/>
          <w:bCs/>
          <w:lang w:val="es-ES_tradnl" w:eastAsia="es-ES"/>
        </w:rPr>
        <w:t>-</w:t>
      </w:r>
      <w:proofErr w:type="gramEnd"/>
      <w:r w:rsidRPr="004C52B2">
        <w:rPr>
          <w:rFonts w:ascii="ITC Avant Garde" w:eastAsia="Times New Roman" w:hAnsi="ITC Avant Garde" w:cs="Arial"/>
          <w:b/>
          <w:bCs/>
          <w:lang w:val="es-ES_tradnl" w:eastAsia="es-ES"/>
        </w:rPr>
        <w:t xml:space="preserve"> Requerimiento y análisis de información solicitada a Telmex.</w:t>
      </w:r>
      <w:r w:rsidRPr="004C52B2">
        <w:rPr>
          <w:rFonts w:ascii="ITC Avant Garde" w:eastAsia="Times New Roman" w:hAnsi="ITC Avant Garde" w:cs="Arial"/>
          <w:bCs/>
          <w:lang w:val="es-ES_tradnl" w:eastAsia="es-ES"/>
        </w:rPr>
        <w:t xml:space="preserve"> Con el fin de obtener información adicional y más específica relativa al cálculo del </w:t>
      </w:r>
      <w:r w:rsidR="0070681E">
        <w:rPr>
          <w:rFonts w:ascii="ITC Avant Garde" w:eastAsia="Times New Roman" w:hAnsi="ITC Avant Garde" w:cs="Arial"/>
          <w:bCs/>
          <w:lang w:val="es-ES_tradnl" w:eastAsia="es-ES"/>
        </w:rPr>
        <w:t>F</w:t>
      </w:r>
      <w:r w:rsidRPr="004C52B2">
        <w:rPr>
          <w:rFonts w:ascii="ITC Avant Garde" w:eastAsia="Times New Roman" w:hAnsi="ITC Avant Garde" w:cs="Arial"/>
          <w:bCs/>
          <w:lang w:val="es-ES_tradnl" w:eastAsia="es-ES"/>
        </w:rPr>
        <w:t xml:space="preserve">actor de </w:t>
      </w:r>
      <w:r w:rsidR="0070681E">
        <w:rPr>
          <w:rFonts w:ascii="ITC Avant Garde" w:eastAsia="Times New Roman" w:hAnsi="ITC Avant Garde" w:cs="Arial"/>
          <w:bCs/>
          <w:lang w:val="es-ES_tradnl" w:eastAsia="es-ES"/>
        </w:rPr>
        <w:t>P</w:t>
      </w:r>
      <w:r w:rsidRPr="004C52B2">
        <w:rPr>
          <w:rFonts w:ascii="ITC Avant Garde" w:eastAsia="Times New Roman" w:hAnsi="ITC Avant Garde" w:cs="Arial"/>
          <w:bCs/>
          <w:lang w:val="es-ES_tradnl" w:eastAsia="es-ES"/>
        </w:rPr>
        <w:t xml:space="preserve">roductividad </w:t>
      </w:r>
      <w:r w:rsidR="0070681E">
        <w:rPr>
          <w:rFonts w:ascii="ITC Avant Garde" w:eastAsia="Times New Roman" w:hAnsi="ITC Avant Garde" w:cs="Arial"/>
          <w:bCs/>
          <w:lang w:val="es-ES_tradnl" w:eastAsia="es-ES"/>
        </w:rPr>
        <w:t xml:space="preserve">“X” </w:t>
      </w:r>
      <w:r w:rsidRPr="004C52B2">
        <w:rPr>
          <w:rFonts w:ascii="ITC Avant Garde" w:eastAsia="Times New Roman" w:hAnsi="ITC Avant Garde" w:cs="Arial"/>
          <w:bCs/>
          <w:lang w:val="es-ES_tradnl" w:eastAsia="es-ES"/>
        </w:rPr>
        <w:t xml:space="preserve">propuesto por Telmex, el Instituto realizó un primer requerimiento de información a Telmex. </w:t>
      </w:r>
      <w:r w:rsidRPr="004C52B2">
        <w:rPr>
          <w:rFonts w:ascii="ITC Avant Garde" w:eastAsia="Times New Roman" w:hAnsi="ITC Avant Garde" w:cs="Arial"/>
          <w:bCs/>
          <w:lang w:eastAsia="es-ES"/>
        </w:rPr>
        <w:t xml:space="preserve">Posteriormente, y con el objeto de obtener el nivel de detalle suficiente en la información de Telmex </w:t>
      </w:r>
      <w:r w:rsidR="00681814">
        <w:rPr>
          <w:rFonts w:ascii="ITC Avant Garde" w:eastAsia="Times New Roman" w:hAnsi="ITC Avant Garde" w:cs="Arial"/>
          <w:bCs/>
          <w:lang w:eastAsia="es-ES"/>
        </w:rPr>
        <w:t xml:space="preserve">y </w:t>
      </w:r>
      <w:r w:rsidRPr="004C52B2">
        <w:rPr>
          <w:rFonts w:ascii="ITC Avant Garde" w:eastAsia="Times New Roman" w:hAnsi="ITC Avant Garde" w:cs="Arial"/>
          <w:bCs/>
          <w:lang w:eastAsia="es-ES"/>
        </w:rPr>
        <w:t xml:space="preserve">a fin de realizar las consideraciones necesarias para determinar los parámetros del sistema de precios tope correspondiente al periodo 2017-2018, se realizó un segundo requerimiento de información. En ambos casos, Telmex realizó la entrega de la información, agotando los plazos señalados en la legislación aplicable. Asimismo, y con el fin de asegurar el entendimiento de los requerimientos de información y avance en la conformación del mismo por parte del Telmex, así como validar las </w:t>
      </w:r>
    </w:p>
    <w:p w14:paraId="45056B3D" w14:textId="0B14B0E4" w:rsidR="008369E9" w:rsidRDefault="006119C8" w:rsidP="008369E9">
      <w:pPr>
        <w:adjustRightInd w:val="0"/>
        <w:spacing w:before="240" w:line="240" w:lineRule="auto"/>
        <w:jc w:val="both"/>
        <w:rPr>
          <w:rFonts w:ascii="ITC Avant Garde" w:eastAsia="Times New Roman" w:hAnsi="ITC Avant Garde" w:cs="Arial"/>
          <w:bCs/>
          <w:lang w:eastAsia="es-ES"/>
        </w:rPr>
      </w:pPr>
      <w:r w:rsidRPr="004C52B2">
        <w:rPr>
          <w:rFonts w:ascii="ITC Avant Garde" w:eastAsia="Times New Roman" w:hAnsi="ITC Avant Garde" w:cs="Arial"/>
          <w:bCs/>
          <w:lang w:eastAsia="es-ES"/>
        </w:rPr>
        <w:lastRenderedPageBreak/>
        <w:t xml:space="preserve">consideraciones del Instituto durante el proceso de revisión de la información, se sostuvieron diversas reuniones de trabajo con </w:t>
      </w:r>
      <w:r w:rsidR="007D067E">
        <w:rPr>
          <w:rFonts w:ascii="ITC Avant Garde" w:eastAsia="Times New Roman" w:hAnsi="ITC Avant Garde" w:cs="Arial"/>
          <w:bCs/>
          <w:lang w:eastAsia="es-ES"/>
        </w:rPr>
        <w:t>Telmex</w:t>
      </w:r>
      <w:r w:rsidRPr="004C52B2">
        <w:rPr>
          <w:rFonts w:ascii="ITC Avant Garde" w:eastAsia="Times New Roman" w:hAnsi="ITC Avant Garde" w:cs="Arial"/>
          <w:bCs/>
          <w:lang w:eastAsia="es-ES"/>
        </w:rPr>
        <w:t>, en las que se abordaron temas relativos a la información entregada.</w:t>
      </w:r>
    </w:p>
    <w:p w14:paraId="3A1E1045" w14:textId="77777777" w:rsidR="008369E9" w:rsidRDefault="006119C8" w:rsidP="008369E9">
      <w:pPr>
        <w:adjustRightInd w:val="0"/>
        <w:spacing w:before="240" w:line="240" w:lineRule="auto"/>
        <w:jc w:val="both"/>
        <w:rPr>
          <w:rFonts w:ascii="ITC Avant Garde" w:eastAsia="Times New Roman" w:hAnsi="ITC Avant Garde" w:cs="Arial"/>
          <w:bCs/>
          <w:lang w:eastAsia="es-ES"/>
        </w:rPr>
      </w:pPr>
      <w:r w:rsidRPr="004C52B2">
        <w:rPr>
          <w:rFonts w:ascii="ITC Avant Garde" w:eastAsia="Times New Roman" w:hAnsi="ITC Avant Garde" w:cs="Arial"/>
          <w:bCs/>
          <w:lang w:eastAsia="es-ES"/>
        </w:rPr>
        <w:t xml:space="preserve">A </w:t>
      </w:r>
      <w:proofErr w:type="gramStart"/>
      <w:r w:rsidRPr="004C52B2">
        <w:rPr>
          <w:rFonts w:ascii="ITC Avant Garde" w:eastAsia="Times New Roman" w:hAnsi="ITC Avant Garde" w:cs="Arial"/>
          <w:bCs/>
          <w:lang w:eastAsia="es-ES"/>
        </w:rPr>
        <w:t>continuación</w:t>
      </w:r>
      <w:proofErr w:type="gramEnd"/>
      <w:r w:rsidRPr="004C52B2">
        <w:rPr>
          <w:rFonts w:ascii="ITC Avant Garde" w:eastAsia="Times New Roman" w:hAnsi="ITC Avant Garde" w:cs="Arial"/>
          <w:bCs/>
          <w:lang w:eastAsia="es-ES"/>
        </w:rPr>
        <w:t xml:space="preserve"> se incluye una breve descripción de la información remitida por Telmex, y las consideraciones derivadas del análisis realizado por el Instituto.</w:t>
      </w:r>
    </w:p>
    <w:p w14:paraId="23EB382C" w14:textId="7BEFD07C" w:rsidR="006119C8" w:rsidRPr="00F17AE3" w:rsidRDefault="00490963" w:rsidP="008369E9">
      <w:pPr>
        <w:adjustRightInd w:val="0"/>
        <w:spacing w:before="240" w:line="259" w:lineRule="auto"/>
        <w:jc w:val="both"/>
        <w:rPr>
          <w:rFonts w:ascii="ITC Avant Garde" w:hAnsi="ITC Avant Garde"/>
        </w:rPr>
      </w:pPr>
      <w:r>
        <w:rPr>
          <w:rFonts w:ascii="ITC Avant Garde" w:hAnsi="ITC Avant Garde"/>
          <w:b/>
        </w:rPr>
        <w:t xml:space="preserve">6.1 </w:t>
      </w:r>
      <w:r w:rsidR="006119C8" w:rsidRPr="00F17AE3">
        <w:rPr>
          <w:rFonts w:ascii="ITC Avant Garde" w:hAnsi="ITC Avant Garde"/>
          <w:b/>
        </w:rPr>
        <w:t>Informes auditados.</w:t>
      </w:r>
      <w:r w:rsidR="006119C8" w:rsidRPr="00F17AE3">
        <w:rPr>
          <w:rFonts w:ascii="ITC Avant Garde" w:hAnsi="ITC Avant Garde"/>
        </w:rPr>
        <w:t xml:space="preserve"> Telmex entregó </w:t>
      </w:r>
      <w:r w:rsidR="006119C8" w:rsidRPr="00F17AE3">
        <w:rPr>
          <w:rFonts w:ascii="ITC Avant Garde" w:eastAsia="Arial" w:hAnsi="ITC Avant Garde" w:cs="Segoe UI Symbol"/>
          <w:lang w:val="es-ES_tradnl"/>
        </w:rPr>
        <w:t xml:space="preserve">los estados financieros </w:t>
      </w:r>
      <w:r w:rsidR="009A73F1">
        <w:rPr>
          <w:rFonts w:ascii="ITC Avant Garde" w:eastAsia="Arial" w:hAnsi="ITC Avant Garde" w:cs="Segoe UI Symbol"/>
          <w:lang w:val="es-ES_tradnl"/>
        </w:rPr>
        <w:t xml:space="preserve">auditados </w:t>
      </w:r>
      <w:r w:rsidR="006119C8" w:rsidRPr="00F17AE3">
        <w:rPr>
          <w:rFonts w:ascii="ITC Avant Garde" w:eastAsia="Arial" w:hAnsi="ITC Avant Garde" w:cs="Segoe UI Symbol"/>
          <w:lang w:val="es-ES_tradnl"/>
        </w:rPr>
        <w:t xml:space="preserve">de Telmex, </w:t>
      </w:r>
      <w:proofErr w:type="spellStart"/>
      <w:r w:rsidR="006119C8" w:rsidRPr="00F17AE3">
        <w:rPr>
          <w:rFonts w:ascii="ITC Avant Garde" w:eastAsia="Arial" w:hAnsi="ITC Avant Garde" w:cs="Segoe UI Symbol"/>
          <w:lang w:val="es-ES_tradnl"/>
        </w:rPr>
        <w:t>Telnor</w:t>
      </w:r>
      <w:proofErr w:type="spellEnd"/>
      <w:r w:rsidR="006119C8" w:rsidRPr="00F17AE3">
        <w:rPr>
          <w:rFonts w:ascii="ITC Avant Garde" w:eastAsia="Arial" w:hAnsi="ITC Avant Garde" w:cs="Segoe UI Symbol"/>
          <w:lang w:val="es-ES_tradnl"/>
        </w:rPr>
        <w:t xml:space="preserve"> y </w:t>
      </w:r>
      <w:proofErr w:type="spellStart"/>
      <w:r w:rsidR="006119C8" w:rsidRPr="00F17AE3">
        <w:rPr>
          <w:rFonts w:ascii="ITC Avant Garde" w:eastAsia="Arial" w:hAnsi="ITC Avant Garde" w:cs="Segoe UI Symbol"/>
          <w:lang w:val="es-ES_tradnl"/>
        </w:rPr>
        <w:t>Uninet</w:t>
      </w:r>
      <w:proofErr w:type="spellEnd"/>
      <w:r w:rsidR="006119C8" w:rsidRPr="00F17AE3">
        <w:rPr>
          <w:rFonts w:ascii="ITC Avant Garde" w:eastAsia="Arial" w:hAnsi="ITC Avant Garde" w:cs="Segoe UI Symbol"/>
          <w:lang w:val="es-ES_tradnl"/>
        </w:rPr>
        <w:t xml:space="preserve"> S.A. de C.V. (en lo sucesivo, “</w:t>
      </w:r>
      <w:proofErr w:type="spellStart"/>
      <w:r w:rsidR="006119C8" w:rsidRPr="00F17AE3">
        <w:rPr>
          <w:rFonts w:ascii="ITC Avant Garde" w:eastAsia="Arial" w:hAnsi="ITC Avant Garde" w:cs="Segoe UI Symbol"/>
          <w:lang w:val="es-ES_tradnl"/>
        </w:rPr>
        <w:t>Uninet</w:t>
      </w:r>
      <w:proofErr w:type="spellEnd"/>
      <w:r w:rsidR="006119C8" w:rsidRPr="00F17AE3">
        <w:rPr>
          <w:rFonts w:ascii="ITC Avant Garde" w:eastAsia="Arial" w:hAnsi="ITC Avant Garde" w:cs="Segoe UI Symbol"/>
          <w:lang w:val="es-ES_tradnl"/>
        </w:rPr>
        <w:t>”)</w:t>
      </w:r>
      <w:r w:rsidR="00681814">
        <w:rPr>
          <w:rFonts w:ascii="ITC Avant Garde" w:eastAsia="Arial" w:hAnsi="ITC Avant Garde" w:cs="Segoe UI Symbol"/>
          <w:lang w:val="es-ES_tradnl"/>
        </w:rPr>
        <w:t xml:space="preserve"> </w:t>
      </w:r>
      <w:r w:rsidR="006119C8" w:rsidRPr="00F17AE3">
        <w:rPr>
          <w:rFonts w:ascii="ITC Avant Garde" w:eastAsia="Arial" w:hAnsi="ITC Avant Garde" w:cs="Segoe UI Symbol"/>
          <w:lang w:val="es-ES_tradnl"/>
        </w:rPr>
        <w:t>correspondiente</w:t>
      </w:r>
      <w:r w:rsidR="00681814">
        <w:rPr>
          <w:rFonts w:ascii="ITC Avant Garde" w:eastAsia="Arial" w:hAnsi="ITC Avant Garde" w:cs="Segoe UI Symbol"/>
          <w:lang w:val="es-ES_tradnl"/>
        </w:rPr>
        <w:t>s</w:t>
      </w:r>
      <w:r w:rsidR="006119C8" w:rsidRPr="00F17AE3">
        <w:rPr>
          <w:rFonts w:ascii="ITC Avant Garde" w:eastAsia="Arial" w:hAnsi="ITC Avant Garde" w:cs="Segoe UI Symbol"/>
          <w:lang w:val="es-ES_tradnl"/>
        </w:rPr>
        <w:t xml:space="preserve"> a los años: 2007, 2008, 2009, 2010, 2011, 2012, 2013, 2014 y 2015. Al respecto, se señala que los informes de los estados financieros entregados por el agente poseen validez jurídica, legal y contable, por lo que la información empleada para la obtención del </w:t>
      </w:r>
      <w:r w:rsidR="00F30624" w:rsidRPr="00F17AE3">
        <w:rPr>
          <w:rFonts w:ascii="ITC Avant Garde" w:eastAsia="Arial" w:hAnsi="ITC Avant Garde" w:cs="Segoe UI Symbol"/>
          <w:lang w:val="es-ES_tradnl"/>
        </w:rPr>
        <w:t>F</w:t>
      </w:r>
      <w:r w:rsidR="006119C8" w:rsidRPr="00F17AE3">
        <w:rPr>
          <w:rFonts w:ascii="ITC Avant Garde" w:eastAsia="Arial" w:hAnsi="ITC Avant Garde" w:cs="Segoe UI Symbol"/>
          <w:lang w:val="es-ES_tradnl"/>
        </w:rPr>
        <w:t xml:space="preserve">actor de </w:t>
      </w:r>
      <w:r w:rsidR="0070681E">
        <w:rPr>
          <w:rFonts w:ascii="ITC Avant Garde" w:eastAsia="Arial" w:hAnsi="ITC Avant Garde" w:cs="Segoe UI Symbol"/>
          <w:lang w:val="es-ES_tradnl"/>
        </w:rPr>
        <w:t>P</w:t>
      </w:r>
      <w:r w:rsidR="006119C8" w:rsidRPr="00F17AE3">
        <w:rPr>
          <w:rFonts w:ascii="ITC Avant Garde" w:eastAsia="Arial" w:hAnsi="ITC Avant Garde" w:cs="Segoe UI Symbol"/>
          <w:lang w:val="es-ES_tradnl"/>
        </w:rPr>
        <w:t xml:space="preserve">roductividad </w:t>
      </w:r>
      <w:r w:rsidR="00F30624" w:rsidRPr="00F17AE3">
        <w:rPr>
          <w:rFonts w:ascii="ITC Avant Garde" w:eastAsia="Arial" w:hAnsi="ITC Avant Garde" w:cs="Segoe UI Symbol"/>
          <w:lang w:val="es-ES_tradnl"/>
        </w:rPr>
        <w:t xml:space="preserve">“X” </w:t>
      </w:r>
      <w:r w:rsidR="006119C8" w:rsidRPr="00F17AE3">
        <w:rPr>
          <w:rFonts w:ascii="ITC Avant Garde" w:eastAsia="Arial" w:hAnsi="ITC Avant Garde" w:cs="Segoe UI Symbol"/>
          <w:lang w:val="es-ES_tradnl"/>
        </w:rPr>
        <w:t xml:space="preserve">es considerada en los mismos términos en tanto </w:t>
      </w:r>
      <w:r w:rsidR="00681814">
        <w:rPr>
          <w:rFonts w:ascii="ITC Avant Garde" w:eastAsia="Arial" w:hAnsi="ITC Avant Garde" w:cs="Segoe UI Symbol"/>
          <w:lang w:val="es-ES_tradnl"/>
        </w:rPr>
        <w:t xml:space="preserve">que </w:t>
      </w:r>
      <w:r w:rsidR="006119C8" w:rsidRPr="00F17AE3">
        <w:rPr>
          <w:rFonts w:ascii="ITC Avant Garde" w:eastAsia="Arial" w:hAnsi="ITC Avant Garde" w:cs="Segoe UI Symbol"/>
          <w:lang w:val="es-ES_tradnl"/>
        </w:rPr>
        <w:t>result</w:t>
      </w:r>
      <w:r w:rsidR="00681814">
        <w:rPr>
          <w:rFonts w:ascii="ITC Avant Garde" w:eastAsia="Arial" w:hAnsi="ITC Avant Garde" w:cs="Segoe UI Symbol"/>
          <w:lang w:val="es-ES_tradnl"/>
        </w:rPr>
        <w:t>a</w:t>
      </w:r>
      <w:r w:rsidR="006119C8" w:rsidRPr="00F17AE3">
        <w:rPr>
          <w:rFonts w:ascii="ITC Avant Garde" w:eastAsia="Arial" w:hAnsi="ITC Avant Garde" w:cs="Segoe UI Symbol"/>
          <w:lang w:val="es-ES_tradnl"/>
        </w:rPr>
        <w:t xml:space="preserve"> consistente con los informes entregados.</w:t>
      </w:r>
    </w:p>
    <w:p w14:paraId="11D6BD77" w14:textId="77777777" w:rsidR="006119C8" w:rsidRPr="00F17AE3" w:rsidRDefault="00490963" w:rsidP="008369E9">
      <w:pPr>
        <w:adjustRightInd w:val="0"/>
        <w:spacing w:before="240" w:line="259" w:lineRule="auto"/>
        <w:jc w:val="both"/>
        <w:rPr>
          <w:rFonts w:ascii="ITC Avant Garde" w:eastAsia="Arial" w:hAnsi="ITC Avant Garde" w:cs="Segoe UI Symbol"/>
          <w:lang w:val="es-ES_tradnl"/>
        </w:rPr>
      </w:pPr>
      <w:r>
        <w:rPr>
          <w:rFonts w:ascii="ITC Avant Garde" w:hAnsi="ITC Avant Garde"/>
          <w:b/>
          <w:bCs/>
          <w:color w:val="000000"/>
          <w:lang w:eastAsia="es-MX"/>
        </w:rPr>
        <w:t xml:space="preserve">6.2 </w:t>
      </w:r>
      <w:r w:rsidR="006119C8" w:rsidRPr="00F17AE3">
        <w:rPr>
          <w:rFonts w:ascii="ITC Avant Garde" w:hAnsi="ITC Avant Garde"/>
          <w:b/>
          <w:bCs/>
          <w:color w:val="000000"/>
          <w:lang w:eastAsia="es-MX"/>
        </w:rPr>
        <w:t xml:space="preserve">Estudios de precios de transferencia para las transacciones realizadas entre Telmex, </w:t>
      </w:r>
      <w:proofErr w:type="spellStart"/>
      <w:r w:rsidR="006119C8" w:rsidRPr="00F17AE3">
        <w:rPr>
          <w:rFonts w:ascii="ITC Avant Garde" w:hAnsi="ITC Avant Garde"/>
          <w:b/>
          <w:bCs/>
          <w:color w:val="000000"/>
          <w:lang w:eastAsia="es-MX"/>
        </w:rPr>
        <w:t>Telnor</w:t>
      </w:r>
      <w:proofErr w:type="spellEnd"/>
      <w:r w:rsidR="006119C8" w:rsidRPr="00F17AE3">
        <w:rPr>
          <w:rFonts w:ascii="ITC Avant Garde" w:hAnsi="ITC Avant Garde"/>
          <w:b/>
          <w:bCs/>
          <w:color w:val="000000"/>
          <w:lang w:eastAsia="es-MX"/>
        </w:rPr>
        <w:t xml:space="preserve"> y </w:t>
      </w:r>
      <w:proofErr w:type="spellStart"/>
      <w:r w:rsidR="006119C8" w:rsidRPr="00F17AE3">
        <w:rPr>
          <w:rFonts w:ascii="ITC Avant Garde" w:hAnsi="ITC Avant Garde"/>
          <w:b/>
          <w:bCs/>
          <w:color w:val="000000"/>
          <w:lang w:eastAsia="es-MX"/>
        </w:rPr>
        <w:t>Uninet</w:t>
      </w:r>
      <w:proofErr w:type="spellEnd"/>
      <w:r w:rsidR="006119C8" w:rsidRPr="00F17AE3">
        <w:rPr>
          <w:rFonts w:ascii="ITC Avant Garde" w:hAnsi="ITC Avant Garde"/>
          <w:b/>
          <w:bCs/>
          <w:color w:val="000000"/>
          <w:lang w:eastAsia="es-MX"/>
        </w:rPr>
        <w:t>.</w:t>
      </w:r>
      <w:r w:rsidR="006119C8" w:rsidRPr="00F17AE3">
        <w:rPr>
          <w:rFonts w:ascii="ITC Avant Garde" w:hAnsi="ITC Avant Garde"/>
          <w:bCs/>
          <w:color w:val="000000"/>
          <w:lang w:eastAsia="es-MX"/>
        </w:rPr>
        <w:t xml:space="preserve"> Telmex entregó un análisis de precios por operaciones con partes relaciona</w:t>
      </w:r>
      <w:r w:rsidR="00EB5CE8">
        <w:rPr>
          <w:rFonts w:ascii="ITC Avant Garde" w:hAnsi="ITC Avant Garde"/>
          <w:bCs/>
          <w:color w:val="000000"/>
          <w:lang w:eastAsia="es-MX"/>
        </w:rPr>
        <w:t>das</w:t>
      </w:r>
      <w:r w:rsidR="006119C8" w:rsidRPr="00F17AE3">
        <w:rPr>
          <w:rFonts w:ascii="ITC Avant Garde" w:hAnsi="ITC Avant Garde"/>
          <w:bCs/>
          <w:color w:val="000000"/>
          <w:lang w:eastAsia="es-MX"/>
        </w:rPr>
        <w:t xml:space="preserve"> entre Telmex y </w:t>
      </w:r>
      <w:proofErr w:type="spellStart"/>
      <w:r w:rsidR="006119C8" w:rsidRPr="00F17AE3">
        <w:rPr>
          <w:rFonts w:ascii="ITC Avant Garde" w:hAnsi="ITC Avant Garde"/>
          <w:bCs/>
          <w:color w:val="000000"/>
          <w:lang w:eastAsia="es-MX"/>
        </w:rPr>
        <w:t>Uninet</w:t>
      </w:r>
      <w:proofErr w:type="spellEnd"/>
      <w:r w:rsidR="006119C8" w:rsidRPr="00F17AE3">
        <w:rPr>
          <w:rFonts w:ascii="ITC Avant Garde" w:hAnsi="ITC Avant Garde"/>
          <w:bCs/>
          <w:color w:val="000000"/>
          <w:lang w:eastAsia="es-MX"/>
        </w:rPr>
        <w:t xml:space="preserve"> para los años 2009, 2011, 2013</w:t>
      </w:r>
      <w:r w:rsidR="008479A6" w:rsidRPr="00F17AE3">
        <w:rPr>
          <w:rFonts w:ascii="ITC Avant Garde" w:hAnsi="ITC Avant Garde"/>
          <w:bCs/>
          <w:color w:val="000000"/>
          <w:lang w:eastAsia="es-MX"/>
        </w:rPr>
        <w:t xml:space="preserve"> y</w:t>
      </w:r>
      <w:r w:rsidR="006119C8" w:rsidRPr="00F17AE3">
        <w:rPr>
          <w:rFonts w:ascii="ITC Avant Garde" w:hAnsi="ITC Avant Garde"/>
          <w:bCs/>
          <w:color w:val="000000"/>
          <w:lang w:eastAsia="es-MX"/>
        </w:rPr>
        <w:t xml:space="preserve"> 2015. Asimismo, remitió estudios entre Telmex y Telnor que corresponden a los años 2007, 2009, 2011, 2013</w:t>
      </w:r>
      <w:r w:rsidR="008479A6" w:rsidRPr="00F17AE3">
        <w:rPr>
          <w:rFonts w:ascii="ITC Avant Garde" w:hAnsi="ITC Avant Garde"/>
          <w:bCs/>
          <w:color w:val="000000"/>
          <w:lang w:eastAsia="es-MX"/>
        </w:rPr>
        <w:t xml:space="preserve"> y</w:t>
      </w:r>
      <w:r w:rsidR="006119C8" w:rsidRPr="00F17AE3">
        <w:rPr>
          <w:rFonts w:ascii="ITC Avant Garde" w:hAnsi="ITC Avant Garde"/>
          <w:bCs/>
          <w:color w:val="000000"/>
          <w:lang w:eastAsia="es-MX"/>
        </w:rPr>
        <w:t xml:space="preserve"> 2015.</w:t>
      </w:r>
      <w:r w:rsidR="006119C8" w:rsidRPr="004C52B2">
        <w:t xml:space="preserve"> </w:t>
      </w:r>
      <w:r w:rsidR="006119C8" w:rsidRPr="00F17AE3">
        <w:rPr>
          <w:rFonts w:ascii="ITC Avant Garde" w:hAnsi="ITC Avant Garde"/>
          <w:bCs/>
          <w:color w:val="000000"/>
          <w:lang w:eastAsia="es-MX"/>
        </w:rPr>
        <w:t xml:space="preserve">Si bien el agente no emitió señalamiento respecto a la </w:t>
      </w:r>
      <w:proofErr w:type="spellStart"/>
      <w:r w:rsidR="006119C8" w:rsidRPr="00F17AE3">
        <w:rPr>
          <w:rFonts w:ascii="ITC Avant Garde" w:hAnsi="ITC Avant Garde"/>
          <w:bCs/>
          <w:color w:val="000000"/>
          <w:lang w:eastAsia="es-MX"/>
        </w:rPr>
        <w:t>auditabilidad</w:t>
      </w:r>
      <w:proofErr w:type="spellEnd"/>
      <w:r w:rsidR="006119C8" w:rsidRPr="00F17AE3">
        <w:rPr>
          <w:rFonts w:ascii="ITC Avant Garde" w:hAnsi="ITC Avant Garde"/>
          <w:bCs/>
          <w:color w:val="000000"/>
          <w:lang w:eastAsia="es-MX"/>
        </w:rPr>
        <w:t xml:space="preserve"> de los estudios, </w:t>
      </w:r>
      <w:r w:rsidR="006119C8" w:rsidRPr="00F17AE3">
        <w:rPr>
          <w:rFonts w:ascii="ITC Avant Garde" w:hAnsi="ITC Avant Garde"/>
        </w:rPr>
        <w:t xml:space="preserve">el Instituto considera la información contenida en los estudios </w:t>
      </w:r>
      <w:r w:rsidR="006119C8" w:rsidRPr="00F17AE3">
        <w:rPr>
          <w:rFonts w:ascii="ITC Avant Garde" w:eastAsia="Arial" w:hAnsi="ITC Avant Garde" w:cs="Segoe UI Symbol"/>
          <w:lang w:val="es-ES_tradnl"/>
        </w:rPr>
        <w:t xml:space="preserve">como una referencia para el análisis y cálculo del </w:t>
      </w:r>
      <w:r w:rsidR="0070681E">
        <w:rPr>
          <w:rFonts w:ascii="ITC Avant Garde" w:eastAsia="Arial" w:hAnsi="ITC Avant Garde" w:cs="Segoe UI Symbol"/>
          <w:lang w:val="es-ES_tradnl"/>
        </w:rPr>
        <w:t>F</w:t>
      </w:r>
      <w:r w:rsidR="006119C8" w:rsidRPr="00F17AE3">
        <w:rPr>
          <w:rFonts w:ascii="ITC Avant Garde" w:eastAsia="Arial" w:hAnsi="ITC Avant Garde" w:cs="Segoe UI Symbol"/>
          <w:lang w:val="es-ES_tradnl"/>
        </w:rPr>
        <w:t xml:space="preserve">actor de </w:t>
      </w:r>
      <w:r w:rsidR="0070681E">
        <w:rPr>
          <w:rFonts w:ascii="ITC Avant Garde" w:eastAsia="Arial" w:hAnsi="ITC Avant Garde" w:cs="Segoe UI Symbol"/>
          <w:lang w:val="es-ES_tradnl"/>
        </w:rPr>
        <w:t>P</w:t>
      </w:r>
      <w:r w:rsidR="006119C8" w:rsidRPr="00F17AE3">
        <w:rPr>
          <w:rFonts w:ascii="ITC Avant Garde" w:eastAsia="Arial" w:hAnsi="ITC Avant Garde" w:cs="Segoe UI Symbol"/>
          <w:lang w:val="es-ES_tradnl"/>
        </w:rPr>
        <w:t>roductividad</w:t>
      </w:r>
      <w:r w:rsidR="0070681E">
        <w:rPr>
          <w:rFonts w:ascii="ITC Avant Garde" w:eastAsia="Arial" w:hAnsi="ITC Avant Garde" w:cs="Segoe UI Symbol"/>
          <w:lang w:val="es-ES_tradnl"/>
        </w:rPr>
        <w:t xml:space="preserve"> “X”</w:t>
      </w:r>
      <w:r w:rsidR="006119C8" w:rsidRPr="00F17AE3">
        <w:rPr>
          <w:rFonts w:ascii="ITC Avant Garde" w:eastAsia="Arial" w:hAnsi="ITC Avant Garde" w:cs="Segoe UI Symbol"/>
          <w:lang w:val="es-ES_tradnl"/>
        </w:rPr>
        <w:t>. Los estudios demuestran que los montos o precios de contraprestación en las operaciones realizadas entre Telmex-</w:t>
      </w:r>
      <w:proofErr w:type="spellStart"/>
      <w:r w:rsidR="006119C8" w:rsidRPr="00F17AE3">
        <w:rPr>
          <w:rFonts w:ascii="ITC Avant Garde" w:eastAsia="Arial" w:hAnsi="ITC Avant Garde" w:cs="Segoe UI Symbol"/>
          <w:lang w:val="es-ES_tradnl"/>
        </w:rPr>
        <w:t>Telnor</w:t>
      </w:r>
      <w:proofErr w:type="spellEnd"/>
      <w:r w:rsidR="006119C8" w:rsidRPr="00F17AE3">
        <w:rPr>
          <w:rFonts w:ascii="ITC Avant Garde" w:eastAsia="Arial" w:hAnsi="ITC Avant Garde" w:cs="Segoe UI Symbol"/>
          <w:lang w:val="es-ES_tradnl"/>
        </w:rPr>
        <w:t xml:space="preserve"> y Telmex-</w:t>
      </w:r>
      <w:proofErr w:type="spellStart"/>
      <w:r w:rsidR="006119C8" w:rsidRPr="00F17AE3">
        <w:rPr>
          <w:rFonts w:ascii="ITC Avant Garde" w:eastAsia="Arial" w:hAnsi="ITC Avant Garde" w:cs="Segoe UI Symbol"/>
          <w:lang w:val="es-ES_tradnl"/>
        </w:rPr>
        <w:t>Uninet</w:t>
      </w:r>
      <w:proofErr w:type="spellEnd"/>
      <w:r w:rsidR="006119C8" w:rsidRPr="00F17AE3">
        <w:rPr>
          <w:rFonts w:ascii="ITC Avant Garde" w:eastAsia="Arial" w:hAnsi="ITC Avant Garde" w:cs="Segoe UI Symbol"/>
          <w:lang w:val="es-ES_tradnl"/>
        </w:rPr>
        <w:t xml:space="preserve"> en los años señalados, son consistentes con los precios o montos de contraprestación que se habrían obtenido en operaciones comparables entre partes independientes realizadas bajo circunstancias similares. </w:t>
      </w:r>
      <w:r w:rsidR="0051669B">
        <w:rPr>
          <w:rFonts w:ascii="ITC Avant Garde" w:eastAsia="Arial" w:hAnsi="ITC Avant Garde" w:cs="Segoe UI Symbol"/>
          <w:lang w:val="es-ES_tradnl"/>
        </w:rPr>
        <w:t xml:space="preserve"> Es importante señalar que esta observación es pertinente para la consideración de la información del estudio para los propósitos de est</w:t>
      </w:r>
      <w:r w:rsidR="00013E51">
        <w:rPr>
          <w:rFonts w:ascii="ITC Avant Garde" w:eastAsia="Arial" w:hAnsi="ITC Avant Garde" w:cs="Segoe UI Symbol"/>
          <w:lang w:val="es-ES_tradnl"/>
        </w:rPr>
        <w:t>a resolución, pero con la misma</w:t>
      </w:r>
      <w:r w:rsidR="0051669B">
        <w:rPr>
          <w:rFonts w:ascii="ITC Avant Garde" w:eastAsia="Arial" w:hAnsi="ITC Avant Garde" w:cs="Segoe UI Symbol"/>
          <w:lang w:val="es-ES_tradnl"/>
        </w:rPr>
        <w:t xml:space="preserve"> no se prejuzga sobre </w:t>
      </w:r>
      <w:r w:rsidR="00013E51">
        <w:rPr>
          <w:rFonts w:ascii="ITC Avant Garde" w:eastAsia="Arial" w:hAnsi="ITC Avant Garde" w:cs="Segoe UI Symbol"/>
          <w:lang w:val="es-ES_tradnl"/>
        </w:rPr>
        <w:t>otros procedimientos que consideren los precios de transferencia en relación con los que se hubiera obtenido entre partes independientes.</w:t>
      </w:r>
    </w:p>
    <w:p w14:paraId="1FF80E8D" w14:textId="77777777" w:rsidR="00484170" w:rsidRDefault="006119C8" w:rsidP="008369E9">
      <w:pPr>
        <w:adjustRightInd w:val="0"/>
        <w:spacing w:before="240" w:line="259" w:lineRule="auto"/>
        <w:jc w:val="both"/>
        <w:rPr>
          <w:rFonts w:ascii="ITC Avant Garde" w:eastAsia="Arial" w:hAnsi="ITC Avant Garde" w:cs="Segoe UI Symbol"/>
          <w:lang w:val="es-ES_tradnl"/>
        </w:rPr>
        <w:sectPr w:rsidR="00484170" w:rsidSect="00F64D97">
          <w:headerReference w:type="default" r:id="rId19"/>
          <w:pgSz w:w="12240" w:h="15840"/>
          <w:pgMar w:top="2370" w:right="1418" w:bottom="1418" w:left="1418" w:header="709" w:footer="709" w:gutter="0"/>
          <w:pgNumType w:start="1"/>
          <w:cols w:space="708"/>
          <w:docGrid w:linePitch="360"/>
        </w:sectPr>
      </w:pPr>
      <w:r w:rsidRPr="00F17AE3">
        <w:rPr>
          <w:rFonts w:ascii="ITC Avant Garde" w:eastAsia="Arial" w:hAnsi="ITC Avant Garde" w:cs="Segoe UI Symbol"/>
          <w:lang w:val="es-ES_tradnl"/>
        </w:rPr>
        <w:t xml:space="preserve">Respecto a </w:t>
      </w:r>
      <w:r w:rsidRPr="00F17AE3">
        <w:rPr>
          <w:rFonts w:ascii="ITC Avant Garde" w:hAnsi="ITC Avant Garde"/>
          <w:bCs/>
          <w:color w:val="000000"/>
          <w:lang w:eastAsia="es-MX"/>
        </w:rPr>
        <w:t xml:space="preserve">las operaciones realizadas durante el ejercicio 2015 entre Telmex y </w:t>
      </w:r>
      <w:proofErr w:type="spellStart"/>
      <w:r w:rsidRPr="00F17AE3">
        <w:rPr>
          <w:rFonts w:ascii="ITC Avant Garde" w:hAnsi="ITC Avant Garde"/>
          <w:bCs/>
          <w:color w:val="000000"/>
          <w:lang w:eastAsia="es-MX"/>
        </w:rPr>
        <w:t>Uninet</w:t>
      </w:r>
      <w:proofErr w:type="spellEnd"/>
      <w:r w:rsidRPr="00F17AE3">
        <w:rPr>
          <w:rFonts w:ascii="ITC Avant Garde" w:hAnsi="ITC Avant Garde"/>
          <w:bCs/>
          <w:color w:val="000000"/>
          <w:lang w:eastAsia="es-MX"/>
        </w:rPr>
        <w:t xml:space="preserve">, </w:t>
      </w:r>
      <w:r w:rsidRPr="00F17AE3">
        <w:rPr>
          <w:rFonts w:ascii="ITC Avant Garde" w:eastAsia="Arial" w:hAnsi="ITC Avant Garde" w:cs="Segoe UI Symbol"/>
          <w:lang w:val="es-ES_tradnl"/>
        </w:rPr>
        <w:t>el estudio concluye que para la operación de</w:t>
      </w:r>
      <w:r w:rsidR="00E5481F" w:rsidRPr="00F17AE3">
        <w:rPr>
          <w:rFonts w:ascii="ITC Avant Garde" w:eastAsia="Arial" w:hAnsi="ITC Avant Garde" w:cs="Segoe UI Symbol"/>
          <w:lang w:val="es-ES_tradnl"/>
        </w:rPr>
        <w:t>l</w:t>
      </w:r>
      <w:r w:rsidRPr="00F17AE3">
        <w:rPr>
          <w:rFonts w:ascii="ITC Avant Garde" w:eastAsia="Arial" w:hAnsi="ITC Avant Garde" w:cs="Segoe UI Symbol"/>
          <w:lang w:val="es-ES_tradnl"/>
        </w:rPr>
        <w:t xml:space="preserve"> Servicio de datos y acceso e interconexión a la Red de Internet entre </w:t>
      </w:r>
      <w:proofErr w:type="spellStart"/>
      <w:r w:rsidRPr="00F17AE3">
        <w:rPr>
          <w:rFonts w:ascii="ITC Avant Garde" w:eastAsia="Arial" w:hAnsi="ITC Avant Garde" w:cs="Segoe UI Symbol"/>
          <w:lang w:val="es-ES_tradnl"/>
        </w:rPr>
        <w:t>Uninet</w:t>
      </w:r>
      <w:proofErr w:type="spellEnd"/>
      <w:r w:rsidRPr="00F17AE3">
        <w:rPr>
          <w:rFonts w:ascii="ITC Avant Garde" w:eastAsia="Arial" w:hAnsi="ITC Avant Garde" w:cs="Segoe UI Symbol"/>
          <w:lang w:val="es-ES_tradnl"/>
        </w:rPr>
        <w:t xml:space="preserve"> y Telmex, y bajo el método empleado “Márgenes Transaccionales de Utilidad”, el margen de utilidad se encuentra dentro del rango </w:t>
      </w:r>
      <w:proofErr w:type="spellStart"/>
      <w:r w:rsidRPr="00F17AE3">
        <w:rPr>
          <w:rFonts w:ascii="ITC Avant Garde" w:eastAsia="Arial" w:hAnsi="ITC Avant Garde" w:cs="Segoe UI Symbol"/>
          <w:lang w:val="es-ES_tradnl"/>
        </w:rPr>
        <w:t>intercuartil</w:t>
      </w:r>
      <w:proofErr w:type="spellEnd"/>
      <w:r w:rsidRPr="00F17AE3">
        <w:rPr>
          <w:rFonts w:ascii="ITC Avant Garde" w:eastAsia="Arial" w:hAnsi="ITC Avant Garde" w:cs="Segoe UI Symbol"/>
          <w:lang w:val="es-ES_tradnl"/>
        </w:rPr>
        <w:t xml:space="preserve"> obtenido de márgenes de utilidad de compañías independientes comparables, de manera que la operación se pactó con precios o montos que se habrían acordado con terceros independientes en operaciones comparables.</w:t>
      </w:r>
    </w:p>
    <w:p w14:paraId="0A848A96" w14:textId="3D32C79C" w:rsidR="006119C8" w:rsidRPr="00F17AE3" w:rsidRDefault="006119C8" w:rsidP="008369E9">
      <w:pPr>
        <w:adjustRightInd w:val="0"/>
        <w:spacing w:before="240" w:line="259" w:lineRule="auto"/>
        <w:jc w:val="both"/>
        <w:rPr>
          <w:rFonts w:ascii="ITC Avant Garde" w:eastAsia="Arial" w:hAnsi="ITC Avant Garde" w:cs="Segoe UI Symbol"/>
        </w:rPr>
      </w:pPr>
      <w:r w:rsidRPr="00F17AE3">
        <w:rPr>
          <w:rFonts w:ascii="ITC Avant Garde" w:eastAsia="Arial" w:hAnsi="ITC Avant Garde" w:cs="Segoe UI Symbol"/>
          <w:lang w:val="es-ES_tradnl"/>
        </w:rPr>
        <w:lastRenderedPageBreak/>
        <w:t xml:space="preserve">Al respecto, se señala que </w:t>
      </w:r>
      <w:r w:rsidR="00522FB8">
        <w:rPr>
          <w:rFonts w:ascii="ITC Avant Garde" w:eastAsia="Arial" w:hAnsi="ITC Avant Garde" w:cs="Segoe UI Symbol"/>
          <w:lang w:val="es-ES_tradnl"/>
        </w:rPr>
        <w:t xml:space="preserve">en el ejercicio 2015, </w:t>
      </w:r>
      <w:r w:rsidRPr="00F17AE3">
        <w:rPr>
          <w:rFonts w:ascii="ITC Avant Garde" w:eastAsia="Arial" w:hAnsi="ITC Avant Garde" w:cs="Segoe UI Symbol"/>
          <w:lang w:val="es-ES_tradnl"/>
        </w:rPr>
        <w:t xml:space="preserve">el total de costos de Telmex por operaciones con </w:t>
      </w:r>
      <w:proofErr w:type="spellStart"/>
      <w:r w:rsidRPr="00F17AE3">
        <w:rPr>
          <w:rFonts w:ascii="ITC Avant Garde" w:eastAsia="Arial" w:hAnsi="ITC Avant Garde" w:cs="Segoe UI Symbol"/>
          <w:lang w:val="es-ES_tradnl"/>
        </w:rPr>
        <w:t>Uninet</w:t>
      </w:r>
      <w:proofErr w:type="spellEnd"/>
      <w:r w:rsidRPr="00F17AE3">
        <w:rPr>
          <w:rFonts w:ascii="ITC Avant Garde" w:eastAsia="Arial" w:hAnsi="ITC Avant Garde" w:cs="Segoe UI Symbol"/>
          <w:lang w:val="es-ES_tradnl"/>
        </w:rPr>
        <w:t xml:space="preserve">, conforme a lo indicado en el estudio de precios de transferencia asciende a </w:t>
      </w:r>
      <w:r w:rsidR="00484170" w:rsidRPr="002C2AEE">
        <w:rPr>
          <w:rFonts w:ascii="ITC Avant Garde" w:hAnsi="ITC Avant Garde"/>
          <w:b/>
          <w:bCs/>
          <w:color w:val="0000CC"/>
          <w:lang w:eastAsia="es-MX"/>
        </w:rPr>
        <w:t>“CONFIDENCIAL POR LEY”</w:t>
      </w:r>
      <w:r w:rsidRPr="00F17AE3">
        <w:rPr>
          <w:rFonts w:ascii="ITC Avant Garde" w:eastAsia="Arial" w:hAnsi="ITC Avant Garde" w:cs="Segoe UI Symbol"/>
          <w:lang w:val="es-ES_tradnl"/>
        </w:rPr>
        <w:t xml:space="preserve">. Dicho monto es consistente con lo reportado en los archivos de consolidaciones entregados por el agente, en los que se indica que los costos de Telmex con </w:t>
      </w:r>
      <w:proofErr w:type="spellStart"/>
      <w:r w:rsidRPr="00F17AE3">
        <w:rPr>
          <w:rFonts w:ascii="ITC Avant Garde" w:eastAsia="Arial" w:hAnsi="ITC Avant Garde" w:cs="Segoe UI Symbol"/>
          <w:lang w:val="es-ES_tradnl"/>
        </w:rPr>
        <w:t>Uninet</w:t>
      </w:r>
      <w:proofErr w:type="spellEnd"/>
      <w:r w:rsidRPr="00F17AE3">
        <w:rPr>
          <w:rFonts w:ascii="ITC Avant Garde" w:eastAsia="Arial" w:hAnsi="ITC Avant Garde" w:cs="Segoe UI Symbol"/>
          <w:lang w:val="es-ES_tradnl"/>
        </w:rPr>
        <w:t xml:space="preserve"> que fueron considerados en la consolidación fue de </w:t>
      </w:r>
      <w:r w:rsidR="00484170" w:rsidRPr="002C2AEE">
        <w:rPr>
          <w:rFonts w:ascii="ITC Avant Garde" w:hAnsi="ITC Avant Garde"/>
          <w:b/>
          <w:bCs/>
          <w:color w:val="0000CC"/>
          <w:lang w:eastAsia="es-MX"/>
        </w:rPr>
        <w:t>“CONFIDENCIAL POR LEY”</w:t>
      </w:r>
      <w:r w:rsidRPr="00F17AE3">
        <w:rPr>
          <w:rFonts w:ascii="ITC Avant Garde" w:eastAsia="Arial" w:hAnsi="ITC Avant Garde" w:cs="Segoe UI Symbol"/>
          <w:lang w:val="es-ES_tradnl"/>
        </w:rPr>
        <w:t xml:space="preserve">. Por otro lado, </w:t>
      </w:r>
      <w:r w:rsidRPr="00F17AE3">
        <w:rPr>
          <w:rFonts w:ascii="ITC Avant Garde" w:hAnsi="ITC Avant Garde"/>
          <w:bCs/>
          <w:color w:val="000000"/>
          <w:lang w:eastAsia="es-MX"/>
        </w:rPr>
        <w:t xml:space="preserve">en los estados </w:t>
      </w:r>
      <w:r w:rsidR="00522FB8">
        <w:rPr>
          <w:rFonts w:ascii="ITC Avant Garde" w:hAnsi="ITC Avant Garde"/>
          <w:bCs/>
          <w:color w:val="000000"/>
          <w:lang w:eastAsia="es-MX"/>
        </w:rPr>
        <w:t xml:space="preserve">financieros </w:t>
      </w:r>
      <w:r w:rsidRPr="00F17AE3">
        <w:rPr>
          <w:rFonts w:ascii="ITC Avant Garde" w:hAnsi="ITC Avant Garde"/>
          <w:bCs/>
          <w:color w:val="000000"/>
          <w:lang w:eastAsia="es-MX"/>
        </w:rPr>
        <w:t xml:space="preserve">no consolidados de </w:t>
      </w:r>
      <w:proofErr w:type="spellStart"/>
      <w:r w:rsidRPr="00F17AE3">
        <w:rPr>
          <w:rFonts w:ascii="ITC Avant Garde" w:hAnsi="ITC Avant Garde"/>
          <w:bCs/>
          <w:color w:val="000000"/>
          <w:lang w:eastAsia="es-MX"/>
        </w:rPr>
        <w:t>Uninet</w:t>
      </w:r>
      <w:proofErr w:type="spellEnd"/>
      <w:r w:rsidRPr="00F17AE3">
        <w:rPr>
          <w:rFonts w:ascii="ITC Avant Garde" w:hAnsi="ITC Avant Garde"/>
          <w:bCs/>
          <w:color w:val="000000"/>
          <w:lang w:eastAsia="es-MX"/>
        </w:rPr>
        <w:t xml:space="preserve">, los ingresos </w:t>
      </w:r>
      <w:r w:rsidR="00522FB8">
        <w:rPr>
          <w:rFonts w:ascii="ITC Avant Garde" w:hAnsi="ITC Avant Garde"/>
          <w:bCs/>
          <w:color w:val="000000"/>
          <w:lang w:eastAsia="es-MX"/>
        </w:rPr>
        <w:t xml:space="preserve">con partes relacionadas </w:t>
      </w:r>
      <w:r w:rsidRPr="00F17AE3">
        <w:rPr>
          <w:rFonts w:ascii="ITC Avant Garde" w:hAnsi="ITC Avant Garde"/>
          <w:bCs/>
          <w:color w:val="000000"/>
          <w:lang w:eastAsia="es-MX"/>
        </w:rPr>
        <w:t xml:space="preserve">reportados de </w:t>
      </w:r>
      <w:proofErr w:type="spellStart"/>
      <w:r w:rsidRPr="00F17AE3">
        <w:rPr>
          <w:rFonts w:ascii="ITC Avant Garde" w:hAnsi="ITC Avant Garde"/>
          <w:bCs/>
          <w:color w:val="000000"/>
          <w:lang w:eastAsia="es-MX"/>
        </w:rPr>
        <w:t>Uninet</w:t>
      </w:r>
      <w:proofErr w:type="spellEnd"/>
      <w:r w:rsidRPr="00F17AE3">
        <w:rPr>
          <w:rFonts w:ascii="ITC Avant Garde" w:hAnsi="ITC Avant Garde"/>
          <w:bCs/>
          <w:color w:val="000000"/>
          <w:lang w:eastAsia="es-MX"/>
        </w:rPr>
        <w:t xml:space="preserve"> debidos </w:t>
      </w:r>
      <w:r w:rsidR="00522FB8">
        <w:rPr>
          <w:rFonts w:ascii="ITC Avant Garde" w:hAnsi="ITC Avant Garde"/>
          <w:bCs/>
          <w:color w:val="000000"/>
          <w:lang w:eastAsia="es-MX"/>
        </w:rPr>
        <w:t xml:space="preserve">principalmente </w:t>
      </w:r>
      <w:r w:rsidRPr="00F17AE3">
        <w:rPr>
          <w:rFonts w:ascii="ITC Avant Garde" w:hAnsi="ITC Avant Garde"/>
          <w:bCs/>
          <w:color w:val="000000"/>
          <w:lang w:eastAsia="es-MX"/>
        </w:rPr>
        <w:t xml:space="preserve">a Telmex </w:t>
      </w:r>
      <w:r w:rsidR="00522FB8">
        <w:rPr>
          <w:rFonts w:ascii="ITC Avant Garde" w:hAnsi="ITC Avant Garde"/>
          <w:bCs/>
          <w:color w:val="000000"/>
          <w:lang w:eastAsia="es-MX"/>
        </w:rPr>
        <w:t xml:space="preserve">y Red Uno S.A. de C.V., corresponden a </w:t>
      </w:r>
      <w:r w:rsidR="00484170" w:rsidRPr="002C2AEE">
        <w:rPr>
          <w:rFonts w:ascii="ITC Avant Garde" w:hAnsi="ITC Avant Garde"/>
          <w:b/>
          <w:bCs/>
          <w:color w:val="0000CC"/>
          <w:lang w:eastAsia="es-MX"/>
        </w:rPr>
        <w:t>“CONFIDENCIAL POR LEY”</w:t>
      </w:r>
      <w:r w:rsidR="00522FB8">
        <w:rPr>
          <w:rFonts w:ascii="ITC Avant Garde" w:hAnsi="ITC Avant Garde"/>
          <w:bCs/>
          <w:color w:val="000000"/>
          <w:lang w:eastAsia="es-MX"/>
        </w:rPr>
        <w:t xml:space="preserve"> </w:t>
      </w:r>
      <w:r w:rsidRPr="00F17AE3">
        <w:rPr>
          <w:rFonts w:ascii="ITC Avant Garde" w:hAnsi="ITC Avant Garde"/>
          <w:bCs/>
          <w:color w:val="000000"/>
          <w:lang w:eastAsia="es-MX"/>
        </w:rPr>
        <w:t>en el año 2015</w:t>
      </w:r>
      <w:r w:rsidR="00522FB8">
        <w:rPr>
          <w:rFonts w:ascii="ITC Avant Garde" w:hAnsi="ITC Avant Garde"/>
          <w:bCs/>
          <w:color w:val="000000"/>
          <w:lang w:eastAsia="es-MX"/>
        </w:rPr>
        <w:t>,</w:t>
      </w:r>
      <w:r w:rsidRPr="00F17AE3">
        <w:rPr>
          <w:rFonts w:ascii="ITC Avant Garde" w:hAnsi="ITC Avant Garde"/>
          <w:bCs/>
          <w:color w:val="000000"/>
          <w:lang w:eastAsia="es-MX"/>
        </w:rPr>
        <w:t xml:space="preserve"> cifra cercana a los gastos de Telmex con </w:t>
      </w:r>
      <w:proofErr w:type="spellStart"/>
      <w:r w:rsidRPr="00F17AE3">
        <w:rPr>
          <w:rFonts w:ascii="ITC Avant Garde" w:hAnsi="ITC Avant Garde"/>
          <w:bCs/>
          <w:color w:val="000000"/>
          <w:lang w:eastAsia="es-MX"/>
        </w:rPr>
        <w:t>Uninet</w:t>
      </w:r>
      <w:proofErr w:type="spellEnd"/>
      <w:r w:rsidRPr="00F17AE3">
        <w:rPr>
          <w:rFonts w:ascii="ITC Avant Garde" w:hAnsi="ITC Avant Garde"/>
          <w:bCs/>
          <w:color w:val="000000"/>
          <w:lang w:eastAsia="es-MX"/>
        </w:rPr>
        <w:t xml:space="preserve"> reportados en el estudio de </w:t>
      </w:r>
      <w:r w:rsidR="00522FB8">
        <w:rPr>
          <w:rFonts w:ascii="ITC Avant Garde" w:hAnsi="ITC Avant Garde"/>
          <w:bCs/>
          <w:color w:val="000000"/>
          <w:lang w:eastAsia="es-MX"/>
        </w:rPr>
        <w:t>precios</w:t>
      </w:r>
      <w:r w:rsidRPr="00F17AE3">
        <w:rPr>
          <w:rFonts w:ascii="ITC Avant Garde" w:hAnsi="ITC Avant Garde"/>
          <w:bCs/>
          <w:color w:val="000000"/>
          <w:lang w:eastAsia="es-MX"/>
        </w:rPr>
        <w:t xml:space="preserve"> de transferencia.</w:t>
      </w:r>
    </w:p>
    <w:p w14:paraId="19C55344" w14:textId="507DD50C" w:rsidR="006119C8" w:rsidRPr="00F17AE3" w:rsidRDefault="006119C8" w:rsidP="008369E9">
      <w:pPr>
        <w:adjustRightInd w:val="0"/>
        <w:spacing w:before="240" w:line="259" w:lineRule="auto"/>
        <w:jc w:val="both"/>
        <w:rPr>
          <w:rFonts w:ascii="ITC Avant Garde" w:hAnsi="ITC Avant Garde"/>
          <w:bCs/>
          <w:color w:val="000000"/>
          <w:lang w:eastAsia="es-MX"/>
        </w:rPr>
      </w:pPr>
      <w:r w:rsidRPr="00F17AE3">
        <w:rPr>
          <w:rFonts w:ascii="ITC Avant Garde" w:eastAsia="Arial" w:hAnsi="ITC Avant Garde" w:cs="Segoe UI Symbol"/>
          <w:lang w:val="es-ES_tradnl"/>
        </w:rPr>
        <w:t xml:space="preserve">En lo que hace a </w:t>
      </w:r>
      <w:r w:rsidRPr="00F17AE3">
        <w:rPr>
          <w:rFonts w:ascii="ITC Avant Garde" w:hAnsi="ITC Avant Garde"/>
          <w:bCs/>
          <w:color w:val="000000"/>
          <w:lang w:eastAsia="es-MX"/>
        </w:rPr>
        <w:t xml:space="preserve">las operaciones realizadas durante el ejercicio 2015 entre Telmex y Telnor, el estudio </w:t>
      </w:r>
      <w:r w:rsidR="00EE5D1D">
        <w:rPr>
          <w:rFonts w:ascii="ITC Avant Garde" w:hAnsi="ITC Avant Garde"/>
          <w:bCs/>
          <w:color w:val="000000"/>
          <w:lang w:eastAsia="es-MX"/>
        </w:rPr>
        <w:t xml:space="preserve">de precios de transferencia únicamente se refiere a la tarifa de “Reventa” de los servicios </w:t>
      </w:r>
      <w:r w:rsidR="00EE5D1D" w:rsidRPr="004E39BA">
        <w:rPr>
          <w:rFonts w:ascii="ITC Avant Garde" w:hAnsi="ITC Avant Garde"/>
          <w:bCs/>
          <w:color w:val="000000"/>
          <w:lang w:eastAsia="es-MX"/>
        </w:rPr>
        <w:t>telefónicos origin</w:t>
      </w:r>
      <w:r w:rsidR="00EE5D1D">
        <w:rPr>
          <w:rFonts w:ascii="ITC Avant Garde" w:hAnsi="ITC Avant Garde"/>
          <w:bCs/>
          <w:color w:val="000000"/>
          <w:lang w:eastAsia="es-MX"/>
        </w:rPr>
        <w:t xml:space="preserve">ados por la interconexión de sus redes </w:t>
      </w:r>
      <w:r w:rsidR="00EE5D1D" w:rsidRPr="004E39BA">
        <w:rPr>
          <w:rFonts w:ascii="ITC Avant Garde" w:hAnsi="ITC Avant Garde"/>
          <w:bCs/>
          <w:color w:val="000000"/>
          <w:lang w:eastAsia="es-MX"/>
        </w:rPr>
        <w:t>para cursar tráfico de entrada y salida</w:t>
      </w:r>
      <w:r w:rsidR="00EE5D1D">
        <w:rPr>
          <w:rFonts w:ascii="ITC Avant Garde" w:hAnsi="ITC Avant Garde"/>
          <w:bCs/>
          <w:color w:val="000000"/>
          <w:lang w:eastAsia="es-MX"/>
        </w:rPr>
        <w:t xml:space="preserve"> (denominados en el estudio como </w:t>
      </w:r>
      <w:r w:rsidR="00EE5D1D" w:rsidRPr="00F17AE3">
        <w:rPr>
          <w:rFonts w:ascii="ITC Avant Garde" w:hAnsi="ITC Avant Garde"/>
          <w:bCs/>
          <w:color w:val="000000"/>
          <w:lang w:eastAsia="es-MX"/>
        </w:rPr>
        <w:t>“Enlace Nacional por Cobrar”</w:t>
      </w:r>
      <w:r w:rsidR="00EE5D1D">
        <w:rPr>
          <w:rFonts w:ascii="ITC Avant Garde" w:hAnsi="ITC Avant Garde"/>
          <w:bCs/>
          <w:color w:val="000000"/>
          <w:lang w:eastAsia="es-MX"/>
        </w:rPr>
        <w:t xml:space="preserve"> y </w:t>
      </w:r>
      <w:r w:rsidR="00EE5D1D" w:rsidRPr="00F17AE3">
        <w:rPr>
          <w:rFonts w:ascii="ITC Avant Garde" w:hAnsi="ITC Avant Garde"/>
          <w:bCs/>
          <w:color w:val="000000"/>
          <w:lang w:eastAsia="es-MX"/>
        </w:rPr>
        <w:t>“Enlace Nacional por Pagar”</w:t>
      </w:r>
      <w:r w:rsidR="00EE5D1D">
        <w:rPr>
          <w:rFonts w:ascii="ITC Avant Garde" w:hAnsi="ITC Avant Garde"/>
          <w:bCs/>
          <w:color w:val="000000"/>
          <w:lang w:eastAsia="es-MX"/>
        </w:rPr>
        <w:t xml:space="preserve">). Dicho estudio </w:t>
      </w:r>
      <w:r w:rsidRPr="00F17AE3">
        <w:rPr>
          <w:rFonts w:ascii="ITC Avant Garde" w:hAnsi="ITC Avant Garde"/>
          <w:bCs/>
          <w:color w:val="000000"/>
          <w:lang w:eastAsia="es-MX"/>
        </w:rPr>
        <w:t>concluye que en la operación por “Enlace Nacional por Cobrar”</w:t>
      </w:r>
      <w:r w:rsidR="00EE5D1D">
        <w:rPr>
          <w:rFonts w:ascii="ITC Avant Garde" w:hAnsi="ITC Avant Garde"/>
          <w:bCs/>
          <w:color w:val="000000"/>
          <w:lang w:eastAsia="es-MX"/>
        </w:rPr>
        <w:t xml:space="preserve"> y </w:t>
      </w:r>
      <w:r w:rsidR="00EE5D1D" w:rsidRPr="00F17AE3">
        <w:rPr>
          <w:rFonts w:ascii="ITC Avant Garde" w:hAnsi="ITC Avant Garde"/>
          <w:bCs/>
          <w:color w:val="000000"/>
          <w:lang w:eastAsia="es-MX"/>
        </w:rPr>
        <w:t xml:space="preserve">“Enlace Nacional por </w:t>
      </w:r>
      <w:proofErr w:type="gramStart"/>
      <w:r w:rsidR="00EE5D1D">
        <w:rPr>
          <w:rFonts w:ascii="ITC Avant Garde" w:hAnsi="ITC Avant Garde"/>
          <w:bCs/>
          <w:color w:val="000000"/>
          <w:lang w:eastAsia="es-MX"/>
        </w:rPr>
        <w:t>Pagar</w:t>
      </w:r>
      <w:r w:rsidR="00EE5D1D" w:rsidRPr="00F17AE3">
        <w:rPr>
          <w:rFonts w:ascii="ITC Avant Garde" w:hAnsi="ITC Avant Garde"/>
          <w:bCs/>
          <w:color w:val="000000"/>
          <w:lang w:eastAsia="es-MX"/>
        </w:rPr>
        <w:t xml:space="preserve">” </w:t>
      </w:r>
      <w:r w:rsidR="00EE5D1D">
        <w:rPr>
          <w:rFonts w:ascii="ITC Avant Garde" w:hAnsi="ITC Avant Garde"/>
          <w:bCs/>
          <w:color w:val="000000"/>
          <w:lang w:eastAsia="es-MX"/>
        </w:rPr>
        <w:t xml:space="preserve"> </w:t>
      </w:r>
      <w:r w:rsidRPr="00F17AE3">
        <w:rPr>
          <w:rFonts w:ascii="ITC Avant Garde" w:hAnsi="ITC Avant Garde"/>
          <w:bCs/>
          <w:color w:val="000000"/>
          <w:lang w:eastAsia="es-MX"/>
        </w:rPr>
        <w:t>entre</w:t>
      </w:r>
      <w:proofErr w:type="gramEnd"/>
      <w:r w:rsidRPr="00F17AE3">
        <w:rPr>
          <w:rFonts w:ascii="ITC Avant Garde" w:hAnsi="ITC Avant Garde"/>
          <w:bCs/>
          <w:color w:val="000000"/>
          <w:lang w:eastAsia="es-MX"/>
        </w:rPr>
        <w:t xml:space="preserve"> Telmex y Telnor, la tarifa de</w:t>
      </w:r>
      <w:r w:rsidR="004E39BA">
        <w:rPr>
          <w:rFonts w:ascii="ITC Avant Garde" w:hAnsi="ITC Avant Garde"/>
          <w:bCs/>
          <w:color w:val="000000"/>
          <w:lang w:eastAsia="es-MX"/>
        </w:rPr>
        <w:t xml:space="preserve">bida a </w:t>
      </w:r>
      <w:r w:rsidRPr="00F17AE3">
        <w:rPr>
          <w:rFonts w:ascii="ITC Avant Garde" w:hAnsi="ITC Avant Garde"/>
          <w:bCs/>
          <w:color w:val="000000"/>
          <w:lang w:eastAsia="es-MX"/>
        </w:rPr>
        <w:t>“Reventa” es igual a la regulada por el Instituto</w:t>
      </w:r>
      <w:r w:rsidR="00EE5D1D">
        <w:rPr>
          <w:rFonts w:ascii="ITC Avant Garde" w:hAnsi="ITC Avant Garde"/>
          <w:bCs/>
          <w:color w:val="000000"/>
          <w:lang w:eastAsia="es-MX"/>
        </w:rPr>
        <w:t xml:space="preserve"> (equivalente a $0.01190 pesos), </w:t>
      </w:r>
      <w:r w:rsidRPr="00F17AE3">
        <w:rPr>
          <w:rFonts w:ascii="ITC Avant Garde" w:hAnsi="ITC Avant Garde"/>
          <w:bCs/>
          <w:color w:val="000000"/>
          <w:lang w:eastAsia="es-MX"/>
        </w:rPr>
        <w:t xml:space="preserve">de manera que las tarifas se acordaron con precios o montos que se habrían empleado con o entre partes independientes en operaciones comparables. </w:t>
      </w:r>
      <w:r w:rsidR="00F12C2F">
        <w:rPr>
          <w:rFonts w:ascii="ITC Avant Garde" w:hAnsi="ITC Avant Garde"/>
          <w:bCs/>
          <w:color w:val="000000"/>
          <w:lang w:eastAsia="es-MX"/>
        </w:rPr>
        <w:t>Por otra parte, se señala que este procedimiento no tiene por objeto revisar las condiciones de competencia en que se ofrecen los servicios</w:t>
      </w:r>
      <w:r w:rsidRPr="00F17AE3">
        <w:rPr>
          <w:rFonts w:ascii="ITC Avant Garde" w:hAnsi="ITC Avant Garde"/>
          <w:bCs/>
          <w:color w:val="000000"/>
          <w:lang w:eastAsia="es-MX"/>
        </w:rPr>
        <w:t>.</w:t>
      </w:r>
    </w:p>
    <w:p w14:paraId="42182913" w14:textId="4BA1C83D" w:rsidR="006119C8" w:rsidRPr="00F17AE3" w:rsidRDefault="00817191" w:rsidP="008369E9">
      <w:pPr>
        <w:adjustRightInd w:val="0"/>
        <w:spacing w:before="240" w:line="259" w:lineRule="auto"/>
        <w:jc w:val="both"/>
        <w:rPr>
          <w:rFonts w:ascii="ITC Avant Garde" w:hAnsi="ITC Avant Garde"/>
          <w:bCs/>
          <w:color w:val="000000"/>
          <w:lang w:eastAsia="es-MX"/>
        </w:rPr>
      </w:pPr>
      <w:r w:rsidRPr="00F17AE3">
        <w:rPr>
          <w:rFonts w:ascii="ITC Avant Garde" w:eastAsia="Arial" w:hAnsi="ITC Avant Garde" w:cs="Segoe UI Symbol"/>
          <w:b/>
        </w:rPr>
        <w:t xml:space="preserve">6.3 </w:t>
      </w:r>
      <w:r w:rsidR="006119C8" w:rsidRPr="00F17AE3">
        <w:rPr>
          <w:rFonts w:ascii="ITC Avant Garde" w:eastAsia="Times New Roman" w:hAnsi="ITC Avant Garde" w:cs="Arial"/>
          <w:b/>
          <w:bCs/>
          <w:lang w:val="es-ES_tradnl" w:eastAsia="es-ES"/>
        </w:rPr>
        <w:t xml:space="preserve">Información del número de usuarios por plan y paquete. </w:t>
      </w:r>
      <w:r w:rsidR="006119C8" w:rsidRPr="00F17AE3">
        <w:rPr>
          <w:rFonts w:ascii="ITC Avant Garde" w:eastAsia="Times New Roman" w:hAnsi="ITC Avant Garde" w:cs="Arial"/>
          <w:bCs/>
          <w:lang w:val="es-ES_tradnl" w:eastAsia="es-ES"/>
        </w:rPr>
        <w:t xml:space="preserve">Telmex remitió </w:t>
      </w:r>
      <w:r w:rsidR="006119C8" w:rsidRPr="00F17AE3">
        <w:rPr>
          <w:rFonts w:ascii="ITC Avant Garde" w:hAnsi="ITC Avant Garde"/>
          <w:bCs/>
          <w:color w:val="000000"/>
          <w:lang w:eastAsia="es-MX"/>
        </w:rPr>
        <w:t xml:space="preserve">información relativa a los planes y paquetes ofrecidos por Telmex y Telnor durante el periodo de mayo de 2014 a septiembre de 2016, incluyendo </w:t>
      </w:r>
      <w:r w:rsidR="00C30F70">
        <w:rPr>
          <w:rFonts w:ascii="ITC Avant Garde" w:hAnsi="ITC Avant Garde"/>
          <w:bCs/>
          <w:color w:val="000000"/>
          <w:lang w:eastAsia="es-MX"/>
        </w:rPr>
        <w:t>información</w:t>
      </w:r>
      <w:r w:rsidR="00C30F70" w:rsidRPr="00F17AE3">
        <w:rPr>
          <w:rFonts w:ascii="ITC Avant Garde" w:hAnsi="ITC Avant Garde"/>
          <w:bCs/>
          <w:color w:val="000000"/>
          <w:lang w:eastAsia="es-MX"/>
        </w:rPr>
        <w:t xml:space="preserve"> </w:t>
      </w:r>
      <w:r w:rsidR="006119C8" w:rsidRPr="00F17AE3">
        <w:rPr>
          <w:rFonts w:ascii="ITC Avant Garde" w:hAnsi="ITC Avant Garde"/>
          <w:bCs/>
          <w:color w:val="000000"/>
          <w:lang w:eastAsia="es-MX"/>
        </w:rPr>
        <w:t>respecto al número de suscriptores y precio de cada paquete, asimismo se incluyó información histórica de las velocidades por paquete ofrecid</w:t>
      </w:r>
      <w:r w:rsidR="00BE430D">
        <w:rPr>
          <w:rFonts w:ascii="ITC Avant Garde" w:hAnsi="ITC Avant Garde"/>
          <w:bCs/>
          <w:color w:val="000000"/>
          <w:lang w:eastAsia="es-MX"/>
        </w:rPr>
        <w:t>as</w:t>
      </w:r>
      <w:r w:rsidR="006119C8" w:rsidRPr="00F17AE3">
        <w:rPr>
          <w:rFonts w:ascii="ITC Avant Garde" w:hAnsi="ITC Avant Garde"/>
          <w:bCs/>
          <w:color w:val="000000"/>
          <w:lang w:eastAsia="es-MX"/>
        </w:rPr>
        <w:t xml:space="preserve"> en el periodo señalado. Al respecto, se observó un incremento sustancial en las velocidades de los servicios de banda ancha fija, </w:t>
      </w:r>
      <w:r w:rsidR="001E29FF" w:rsidRPr="002C2AEE">
        <w:rPr>
          <w:rFonts w:ascii="ITC Avant Garde" w:hAnsi="ITC Avant Garde"/>
          <w:b/>
          <w:bCs/>
          <w:color w:val="0000CC"/>
          <w:lang w:eastAsia="es-MX"/>
        </w:rPr>
        <w:t>“CONFIDENCIAL POR LEY”</w:t>
      </w:r>
      <w:r w:rsidR="006119C8" w:rsidRPr="00F17AE3">
        <w:rPr>
          <w:rFonts w:ascii="ITC Avant Garde" w:hAnsi="ITC Avant Garde"/>
          <w:bCs/>
          <w:color w:val="000000"/>
          <w:lang w:eastAsia="es-MX"/>
        </w:rPr>
        <w:t>. En este sentido, cabe destacar que las características o atributos de los paquetes se han estado modificando, lo cual es congruente con los avances tecnológicos y la demanda de los usuarios respecto al empleo de velocidades cada vez mayores.</w:t>
      </w:r>
    </w:p>
    <w:p w14:paraId="33ECA1C8" w14:textId="1B65F139" w:rsidR="006119C8" w:rsidRPr="00F17AE3" w:rsidRDefault="00817191" w:rsidP="008369E9">
      <w:pPr>
        <w:adjustRightInd w:val="0"/>
        <w:spacing w:before="240" w:line="259" w:lineRule="auto"/>
        <w:jc w:val="both"/>
        <w:rPr>
          <w:rFonts w:ascii="ITC Avant Garde" w:hAnsi="ITC Avant Garde"/>
        </w:rPr>
      </w:pPr>
      <w:r>
        <w:rPr>
          <w:rFonts w:ascii="ITC Avant Garde" w:eastAsia="Times New Roman" w:hAnsi="ITC Avant Garde" w:cs="Arial"/>
          <w:b/>
          <w:bCs/>
          <w:lang w:val="es-ES_tradnl" w:eastAsia="es-ES"/>
        </w:rPr>
        <w:t xml:space="preserve">6.4 </w:t>
      </w:r>
      <w:r w:rsidR="006119C8" w:rsidRPr="00F17AE3">
        <w:rPr>
          <w:rFonts w:ascii="ITC Avant Garde" w:eastAsia="Times New Roman" w:hAnsi="ITC Avant Garde" w:cs="Arial"/>
          <w:b/>
          <w:bCs/>
          <w:lang w:val="es-ES_tradnl" w:eastAsia="es-ES"/>
        </w:rPr>
        <w:t>Gastos operativos.</w:t>
      </w:r>
      <w:r w:rsidR="006119C8" w:rsidRPr="00F17AE3">
        <w:rPr>
          <w:rFonts w:ascii="ITC Avant Garde" w:eastAsia="Times New Roman" w:hAnsi="ITC Avant Garde" w:cs="Arial"/>
          <w:bCs/>
          <w:lang w:val="es-ES_tradnl" w:eastAsia="es-ES"/>
        </w:rPr>
        <w:t xml:space="preserve"> Telmex entregó </w:t>
      </w:r>
      <w:r w:rsidR="00A80916" w:rsidRPr="00F17AE3">
        <w:rPr>
          <w:rFonts w:ascii="ITC Avant Garde" w:eastAsia="Times New Roman" w:hAnsi="ITC Avant Garde" w:cs="Arial"/>
          <w:bCs/>
          <w:lang w:val="es-ES_tradnl" w:eastAsia="es-ES"/>
        </w:rPr>
        <w:t>el</w:t>
      </w:r>
      <w:r w:rsidR="006119C8" w:rsidRPr="00F17AE3">
        <w:rPr>
          <w:rFonts w:ascii="ITC Avant Garde" w:eastAsia="Times New Roman" w:hAnsi="ITC Avant Garde" w:cs="Arial"/>
          <w:bCs/>
          <w:lang w:val="es-ES_tradnl" w:eastAsia="es-ES"/>
        </w:rPr>
        <w:t xml:space="preserve"> “Cálculo de la Productividad Total de los Factores y del Factor X de Teléfonos de México, S.A. B. de C.V.”, para el periodo 2017-2018, incluyendo las series de datos empleadas para el cálculo de </w:t>
      </w:r>
      <w:r w:rsidR="006119C8" w:rsidRPr="00F17AE3">
        <w:rPr>
          <w:rFonts w:ascii="ITC Avant Garde" w:eastAsia="Times New Roman" w:hAnsi="ITC Avant Garde" w:cs="Arial"/>
          <w:bCs/>
          <w:i/>
          <w:lang w:val="es-ES_tradnl" w:eastAsia="es-ES"/>
        </w:rPr>
        <w:t>outputs</w:t>
      </w:r>
      <w:r w:rsidR="006119C8" w:rsidRPr="00F17AE3">
        <w:rPr>
          <w:rFonts w:ascii="ITC Avant Garde" w:eastAsia="Times New Roman" w:hAnsi="ITC Avant Garde" w:cs="Arial"/>
          <w:bCs/>
          <w:lang w:val="es-ES_tradnl" w:eastAsia="es-ES"/>
        </w:rPr>
        <w:t xml:space="preserve"> e </w:t>
      </w:r>
      <w:r w:rsidR="006119C8" w:rsidRPr="00F17AE3">
        <w:rPr>
          <w:rFonts w:ascii="ITC Avant Garde" w:eastAsia="Times New Roman" w:hAnsi="ITC Avant Garde" w:cs="Arial"/>
          <w:bCs/>
          <w:i/>
          <w:lang w:val="es-ES_tradnl" w:eastAsia="es-ES"/>
        </w:rPr>
        <w:t>inputs</w:t>
      </w:r>
      <w:r w:rsidR="006119C8" w:rsidRPr="00F17AE3">
        <w:rPr>
          <w:rFonts w:ascii="ITC Avant Garde" w:eastAsia="Times New Roman" w:hAnsi="ITC Avant Garde" w:cs="Arial"/>
          <w:bCs/>
          <w:lang w:val="es-ES_tradnl" w:eastAsia="es-ES"/>
        </w:rPr>
        <w:t xml:space="preserve">, correspondientes al periodo 2000 a 2015. Asimismo, incluyó información desagregada de los elementos que componen los Gastos operativos totales de Telmex para el periodo 2008-2015. </w:t>
      </w:r>
      <w:r w:rsidR="001E29FF" w:rsidRPr="002C2AEE">
        <w:rPr>
          <w:rFonts w:ascii="ITC Avant Garde" w:hAnsi="ITC Avant Garde"/>
          <w:b/>
          <w:bCs/>
          <w:color w:val="0000CC"/>
          <w:lang w:eastAsia="es-MX"/>
        </w:rPr>
        <w:t>“CONFIDENCIAL POR LEY”</w:t>
      </w:r>
      <w:r w:rsidR="00D22314" w:rsidRPr="00D22314">
        <w:rPr>
          <w:rFonts w:ascii="ITC Avant Garde" w:hAnsi="ITC Avant Garde"/>
        </w:rPr>
        <w:t>.</w:t>
      </w:r>
    </w:p>
    <w:p w14:paraId="6C3C6466" w14:textId="11EDC198" w:rsidR="00B83AC1" w:rsidRDefault="00C411E6" w:rsidP="001E29FF">
      <w:pPr>
        <w:adjustRightInd w:val="0"/>
        <w:spacing w:before="360" w:line="240" w:lineRule="auto"/>
        <w:jc w:val="center"/>
        <w:rPr>
          <w:rFonts w:ascii="ITC Avant Garde" w:eastAsia="Times New Roman" w:hAnsi="ITC Avant Garde" w:cs="Arial"/>
          <w:b/>
          <w:bCs/>
          <w:lang w:val="es-ES_tradnl" w:eastAsia="es-ES"/>
        </w:rPr>
      </w:pPr>
      <w:r w:rsidRPr="004C52B2" w:rsidDel="00D77EE7">
        <w:rPr>
          <w:rFonts w:ascii="ITC Avant Garde" w:eastAsia="Times New Roman" w:hAnsi="ITC Avant Garde" w:cs="Arial"/>
          <w:b/>
          <w:bCs/>
          <w:lang w:val="es-ES_tradnl" w:eastAsia="es-ES"/>
        </w:rPr>
        <w:lastRenderedPageBreak/>
        <w:t>Tabla I</w:t>
      </w:r>
      <w:r w:rsidRPr="004C52B2">
        <w:rPr>
          <w:rFonts w:ascii="ITC Avant Garde" w:eastAsia="Times New Roman" w:hAnsi="ITC Avant Garde" w:cs="Arial"/>
          <w:b/>
          <w:bCs/>
          <w:lang w:val="es-ES_tradnl" w:eastAsia="es-ES"/>
        </w:rPr>
        <w:t>II</w:t>
      </w:r>
      <w:r w:rsidRPr="004C52B2" w:rsidDel="00D77EE7">
        <w:rPr>
          <w:rFonts w:ascii="ITC Avant Garde" w:eastAsia="Times New Roman" w:hAnsi="ITC Avant Garde" w:cs="Arial"/>
          <w:b/>
          <w:bCs/>
          <w:lang w:val="es-ES_tradnl" w:eastAsia="es-ES"/>
        </w:rPr>
        <w:t xml:space="preserve">. </w:t>
      </w:r>
      <w:r w:rsidRPr="004C52B2">
        <w:rPr>
          <w:rFonts w:ascii="ITC Avant Garde" w:eastAsia="Times New Roman" w:hAnsi="ITC Avant Garde" w:cs="Arial"/>
          <w:b/>
          <w:bCs/>
          <w:lang w:val="es-ES_tradnl" w:eastAsia="es-ES"/>
        </w:rPr>
        <w:t xml:space="preserve">Costos </w:t>
      </w:r>
      <w:r w:rsidRPr="004C52B2" w:rsidDel="00D77EE7">
        <w:rPr>
          <w:rFonts w:ascii="ITC Avant Garde" w:eastAsia="Times New Roman" w:hAnsi="ITC Avant Garde" w:cs="Arial"/>
          <w:b/>
          <w:bCs/>
          <w:lang w:val="es-ES_tradnl" w:eastAsia="es-ES"/>
        </w:rPr>
        <w:t>de Telmex</w:t>
      </w:r>
      <w:r w:rsidRPr="004C52B2">
        <w:rPr>
          <w:rFonts w:ascii="ITC Avant Garde" w:eastAsia="Times New Roman" w:hAnsi="ITC Avant Garde" w:cs="Arial"/>
          <w:b/>
          <w:bCs/>
          <w:lang w:val="es-ES_tradnl" w:eastAsia="es-ES"/>
        </w:rPr>
        <w:t>, periodo 2013</w:t>
      </w:r>
      <w:r w:rsidRPr="004C52B2" w:rsidDel="00D77EE7">
        <w:rPr>
          <w:rFonts w:ascii="ITC Avant Garde" w:eastAsia="Times New Roman" w:hAnsi="ITC Avant Garde" w:cs="Arial"/>
          <w:b/>
          <w:bCs/>
          <w:lang w:val="es-ES_tradnl" w:eastAsia="es-ES"/>
        </w:rPr>
        <w:t xml:space="preserve"> a 201</w:t>
      </w:r>
      <w:r w:rsidRPr="004C52B2">
        <w:rPr>
          <w:rFonts w:ascii="ITC Avant Garde" w:eastAsia="Times New Roman" w:hAnsi="ITC Avant Garde" w:cs="Arial"/>
          <w:b/>
          <w:bCs/>
          <w:lang w:val="es-ES_tradnl" w:eastAsia="es-ES"/>
        </w:rPr>
        <w:t>5</w:t>
      </w:r>
      <w:r w:rsidRPr="004C52B2" w:rsidDel="00D77EE7">
        <w:rPr>
          <w:rFonts w:ascii="ITC Avant Garde" w:eastAsia="Times New Roman" w:hAnsi="ITC Avant Garde" w:cs="Arial"/>
          <w:b/>
          <w:bCs/>
          <w:lang w:val="es-ES_tradnl" w:eastAsia="es-ES"/>
        </w:rPr>
        <w:t>.</w:t>
      </w:r>
    </w:p>
    <w:p w14:paraId="69289838" w14:textId="7D20805A" w:rsidR="001E29FF" w:rsidRPr="004C52B2" w:rsidDel="00D77EE7" w:rsidRDefault="001E29FF" w:rsidP="001E29FF">
      <w:pPr>
        <w:adjustRightInd w:val="0"/>
        <w:spacing w:before="600" w:line="240" w:lineRule="auto"/>
        <w:jc w:val="center"/>
        <w:rPr>
          <w:rFonts w:ascii="ITC Avant Garde" w:eastAsia="Times New Roman" w:hAnsi="ITC Avant Garde" w:cs="Arial"/>
          <w:b/>
          <w:bCs/>
          <w:lang w:val="es-ES_tradnl" w:eastAsia="es-ES"/>
        </w:rPr>
      </w:pPr>
      <w:r>
        <w:rPr>
          <w:rFonts w:ascii="ITC Avant Garde" w:hAnsi="ITC Avant Garde"/>
          <w:b/>
          <w:bCs/>
          <w:color w:val="0000CC"/>
          <w:lang w:eastAsia="es-MX"/>
        </w:rPr>
        <w:t xml:space="preserve">3 TABLAS QUE CONTIENEN INFORMACIÓN </w:t>
      </w:r>
      <w:r w:rsidRPr="002C2AEE">
        <w:rPr>
          <w:rFonts w:ascii="ITC Avant Garde" w:hAnsi="ITC Avant Garde"/>
          <w:b/>
          <w:bCs/>
          <w:color w:val="0000CC"/>
          <w:lang w:eastAsia="es-MX"/>
        </w:rPr>
        <w:t>“CONFIDENCIAL POR LEY”</w:t>
      </w:r>
    </w:p>
    <w:p w14:paraId="216F4604" w14:textId="41572EC4" w:rsidR="004A3E19" w:rsidRPr="004A3E19" w:rsidRDefault="004A3E19">
      <w:pPr>
        <w:rPr>
          <w:sz w:val="2"/>
          <w:szCs w:val="2"/>
        </w:rPr>
      </w:pPr>
    </w:p>
    <w:p w14:paraId="7C12A02A" w14:textId="71976ADC" w:rsidR="004A3E19" w:rsidRPr="004A3E19" w:rsidRDefault="004A3E19">
      <w:pPr>
        <w:rPr>
          <w:sz w:val="2"/>
          <w:szCs w:val="2"/>
        </w:rPr>
      </w:pPr>
    </w:p>
    <w:p w14:paraId="26BF1A9C" w14:textId="77777777" w:rsidR="008369E9" w:rsidRDefault="006119C8" w:rsidP="006119C8">
      <w:pPr>
        <w:jc w:val="center"/>
        <w:rPr>
          <w:rFonts w:ascii="ITC Avant Garde" w:hAnsi="ITC Avant Garde"/>
          <w:i/>
          <w:sz w:val="16"/>
          <w:szCs w:val="18"/>
        </w:rPr>
      </w:pPr>
      <w:r w:rsidRPr="00F17AE3">
        <w:rPr>
          <w:rFonts w:ascii="ITC Avant Garde" w:hAnsi="ITC Avant Garde"/>
          <w:i/>
          <w:sz w:val="16"/>
          <w:szCs w:val="18"/>
        </w:rPr>
        <w:t xml:space="preserve">Fuente: </w:t>
      </w:r>
      <w:r w:rsidR="00C411E6" w:rsidRPr="00F17AE3">
        <w:rPr>
          <w:rFonts w:ascii="ITC Avant Garde" w:hAnsi="ITC Avant Garde"/>
          <w:i/>
          <w:sz w:val="16"/>
          <w:szCs w:val="18"/>
        </w:rPr>
        <w:t xml:space="preserve">Elaboración propia </w:t>
      </w:r>
      <w:r w:rsidRPr="00F17AE3">
        <w:rPr>
          <w:rFonts w:ascii="ITC Avant Garde" w:hAnsi="ITC Avant Garde"/>
          <w:i/>
          <w:sz w:val="16"/>
          <w:szCs w:val="18"/>
        </w:rPr>
        <w:t>con información presentada por Telmex</w:t>
      </w:r>
      <w:r w:rsidR="00C411E6" w:rsidRPr="00F17AE3">
        <w:rPr>
          <w:rFonts w:ascii="ITC Avant Garde" w:hAnsi="ITC Avant Garde"/>
          <w:i/>
          <w:sz w:val="16"/>
          <w:szCs w:val="18"/>
        </w:rPr>
        <w:t xml:space="preserve"> y </w:t>
      </w:r>
      <w:r w:rsidRPr="00F17AE3">
        <w:rPr>
          <w:rFonts w:ascii="ITC Avant Garde" w:hAnsi="ITC Avant Garde"/>
          <w:i/>
          <w:sz w:val="16"/>
          <w:szCs w:val="18"/>
        </w:rPr>
        <w:t>Telnor.</w:t>
      </w:r>
    </w:p>
    <w:p w14:paraId="3F4E38D5" w14:textId="77777777" w:rsidR="008369E9" w:rsidRDefault="00E96FE3" w:rsidP="008369E9">
      <w:pPr>
        <w:adjustRightInd w:val="0"/>
        <w:spacing w:before="240" w:line="240" w:lineRule="auto"/>
        <w:jc w:val="both"/>
        <w:rPr>
          <w:rFonts w:ascii="ITC Avant Garde" w:eastAsia="Times New Roman" w:hAnsi="ITC Avant Garde" w:cs="Arial"/>
          <w:bCs/>
          <w:lang w:val="es-ES_tradnl" w:eastAsia="es-ES"/>
        </w:rPr>
      </w:pPr>
      <w:proofErr w:type="gramStart"/>
      <w:r w:rsidRPr="004C52B2">
        <w:rPr>
          <w:rFonts w:ascii="ITC Avant Garde" w:eastAsia="Times New Roman" w:hAnsi="ITC Avant Garde" w:cs="Arial"/>
          <w:b/>
          <w:bCs/>
          <w:lang w:val="es-ES_tradnl" w:eastAsia="es-ES"/>
        </w:rPr>
        <w:t>SÉPTIMO</w:t>
      </w:r>
      <w:r w:rsidR="00D57957" w:rsidRPr="004C52B2">
        <w:rPr>
          <w:rFonts w:ascii="ITC Avant Garde" w:eastAsia="Times New Roman" w:hAnsi="ITC Avant Garde" w:cs="Arial"/>
          <w:b/>
          <w:bCs/>
          <w:lang w:val="es-ES_tradnl" w:eastAsia="es-ES"/>
        </w:rPr>
        <w:t>.</w:t>
      </w:r>
      <w:r w:rsidR="00635207">
        <w:rPr>
          <w:rFonts w:ascii="ITC Avant Garde" w:eastAsia="Times New Roman" w:hAnsi="ITC Avant Garde" w:cs="Arial"/>
          <w:b/>
          <w:bCs/>
          <w:lang w:val="es-ES_tradnl" w:eastAsia="es-ES"/>
        </w:rPr>
        <w:t>-</w:t>
      </w:r>
      <w:proofErr w:type="gramEnd"/>
      <w:r w:rsidR="00D57957" w:rsidRPr="004C52B2">
        <w:rPr>
          <w:rFonts w:ascii="ITC Avant Garde" w:eastAsia="Times New Roman" w:hAnsi="ITC Avant Garde" w:cs="Arial"/>
          <w:b/>
          <w:bCs/>
          <w:lang w:val="es-ES_tradnl" w:eastAsia="es-ES"/>
        </w:rPr>
        <w:t xml:space="preserve"> Análisis de la propuesta de Telmex por parte del Instituto.</w:t>
      </w:r>
      <w:r w:rsidR="002908DE" w:rsidRPr="004C52B2">
        <w:rPr>
          <w:rFonts w:ascii="ITC Avant Garde" w:eastAsia="Times New Roman" w:hAnsi="ITC Avant Garde" w:cs="Arial"/>
          <w:bCs/>
          <w:lang w:val="es-ES_tradnl" w:eastAsia="es-ES"/>
        </w:rPr>
        <w:t xml:space="preserve"> </w:t>
      </w:r>
      <w:r w:rsidR="00461E71" w:rsidRPr="004C52B2">
        <w:rPr>
          <w:rFonts w:ascii="ITC Avant Garde" w:eastAsia="Times New Roman" w:hAnsi="ITC Avant Garde" w:cs="Arial"/>
          <w:bCs/>
          <w:lang w:val="es-ES_tradnl" w:eastAsia="es-ES"/>
        </w:rPr>
        <w:t>E</w:t>
      </w:r>
      <w:r w:rsidR="002908DE" w:rsidRPr="004C52B2">
        <w:rPr>
          <w:rFonts w:ascii="ITC Avant Garde" w:eastAsia="Times New Roman" w:hAnsi="ITC Avant Garde" w:cs="Arial"/>
          <w:bCs/>
          <w:lang w:val="es-ES_tradnl" w:eastAsia="es-ES"/>
        </w:rPr>
        <w:t>l</w:t>
      </w:r>
      <w:r w:rsidR="00461E71" w:rsidRPr="004C52B2">
        <w:rPr>
          <w:rFonts w:ascii="ITC Avant Garde" w:eastAsia="Times New Roman" w:hAnsi="ITC Avant Garde" w:cs="Arial"/>
          <w:bCs/>
          <w:lang w:val="es-ES_tradnl" w:eastAsia="es-ES"/>
        </w:rPr>
        <w:t xml:space="preserve"> Instituto ha analizado la metodología empleada </w:t>
      </w:r>
      <w:r w:rsidR="00454222" w:rsidRPr="004C52B2">
        <w:rPr>
          <w:rFonts w:ascii="ITC Avant Garde" w:eastAsia="Times New Roman" w:hAnsi="ITC Avant Garde" w:cs="Arial"/>
          <w:bCs/>
          <w:lang w:val="es-ES_tradnl" w:eastAsia="es-ES"/>
        </w:rPr>
        <w:t>por T</w:t>
      </w:r>
      <w:r w:rsidR="006D2D32" w:rsidRPr="004C52B2">
        <w:rPr>
          <w:rFonts w:ascii="ITC Avant Garde" w:eastAsia="Times New Roman" w:hAnsi="ITC Avant Garde" w:cs="Arial"/>
          <w:bCs/>
          <w:lang w:val="es-ES_tradnl" w:eastAsia="es-ES"/>
        </w:rPr>
        <w:t>elmex</w:t>
      </w:r>
      <w:r w:rsidR="002E686D">
        <w:rPr>
          <w:rFonts w:ascii="ITC Avant Garde" w:eastAsia="Times New Roman" w:hAnsi="ITC Avant Garde" w:cs="Arial"/>
          <w:bCs/>
          <w:lang w:val="es-ES_tradnl" w:eastAsia="es-ES"/>
        </w:rPr>
        <w:t xml:space="preserve">, </w:t>
      </w:r>
      <w:r w:rsidR="00454222" w:rsidRPr="004C52B2">
        <w:rPr>
          <w:rFonts w:ascii="ITC Avant Garde" w:eastAsia="Times New Roman" w:hAnsi="ITC Avant Garde" w:cs="Arial"/>
          <w:bCs/>
          <w:lang w:val="es-ES_tradnl" w:eastAsia="es-ES"/>
        </w:rPr>
        <w:t xml:space="preserve">descrita </w:t>
      </w:r>
      <w:r w:rsidR="00A27FBB" w:rsidRPr="004C52B2">
        <w:rPr>
          <w:rFonts w:ascii="ITC Avant Garde" w:eastAsia="Times New Roman" w:hAnsi="ITC Avant Garde" w:cs="Arial"/>
          <w:bCs/>
          <w:lang w:val="es-ES_tradnl" w:eastAsia="es-ES"/>
        </w:rPr>
        <w:t xml:space="preserve">en el </w:t>
      </w:r>
      <w:r w:rsidR="002E686D">
        <w:rPr>
          <w:rFonts w:ascii="ITC Avant Garde" w:eastAsia="Times New Roman" w:hAnsi="ITC Avant Garde" w:cs="Arial"/>
          <w:bCs/>
          <w:lang w:val="es-ES_tradnl" w:eastAsia="es-ES"/>
        </w:rPr>
        <w:t>C</w:t>
      </w:r>
      <w:r w:rsidR="00A27FBB" w:rsidRPr="004C52B2">
        <w:rPr>
          <w:rFonts w:ascii="ITC Avant Garde" w:eastAsia="Times New Roman" w:hAnsi="ITC Avant Garde" w:cs="Arial"/>
          <w:bCs/>
          <w:lang w:val="es-ES_tradnl" w:eastAsia="es-ES"/>
        </w:rPr>
        <w:t xml:space="preserve">onsiderando </w:t>
      </w:r>
      <w:r w:rsidR="00A65B17" w:rsidRPr="004C52B2">
        <w:rPr>
          <w:rFonts w:ascii="ITC Avant Garde" w:eastAsia="Times New Roman" w:hAnsi="ITC Avant Garde" w:cs="Arial"/>
          <w:bCs/>
          <w:lang w:val="es-ES_tradnl" w:eastAsia="es-ES"/>
        </w:rPr>
        <w:t>QUINTO</w:t>
      </w:r>
      <w:r w:rsidR="002E686D">
        <w:rPr>
          <w:rFonts w:ascii="ITC Avant Garde" w:eastAsia="Times New Roman" w:hAnsi="ITC Avant Garde" w:cs="Arial"/>
          <w:bCs/>
          <w:lang w:val="es-ES_tradnl" w:eastAsia="es-ES"/>
        </w:rPr>
        <w:t>,</w:t>
      </w:r>
      <w:r w:rsidR="00A65B17" w:rsidRPr="004C52B2">
        <w:rPr>
          <w:rFonts w:ascii="ITC Avant Garde" w:eastAsia="Times New Roman" w:hAnsi="ITC Avant Garde" w:cs="Arial"/>
          <w:bCs/>
          <w:lang w:val="es-ES_tradnl" w:eastAsia="es-ES"/>
        </w:rPr>
        <w:t xml:space="preserve"> </w:t>
      </w:r>
      <w:r w:rsidR="00F633E7" w:rsidRPr="004C52B2">
        <w:rPr>
          <w:rFonts w:ascii="ITC Avant Garde" w:eastAsia="Times New Roman" w:hAnsi="ITC Avant Garde" w:cs="Arial"/>
          <w:bCs/>
          <w:lang w:val="es-ES_tradnl" w:eastAsia="es-ES"/>
        </w:rPr>
        <w:t xml:space="preserve">y ha determinado que dicha metodología </w:t>
      </w:r>
      <w:r w:rsidR="00CA6673" w:rsidRPr="004C52B2">
        <w:rPr>
          <w:rFonts w:ascii="ITC Avant Garde" w:eastAsia="Times New Roman" w:hAnsi="ITC Avant Garde" w:cs="Arial"/>
          <w:bCs/>
          <w:lang w:val="es-ES_tradnl" w:eastAsia="es-ES"/>
        </w:rPr>
        <w:t xml:space="preserve">de la </w:t>
      </w:r>
      <w:r w:rsidR="002E686D">
        <w:rPr>
          <w:rFonts w:ascii="ITC Avant Garde" w:eastAsia="Times New Roman" w:hAnsi="ITC Avant Garde" w:cs="Arial"/>
          <w:bCs/>
          <w:lang w:val="es-ES_tradnl" w:eastAsia="es-ES"/>
        </w:rPr>
        <w:t>P</w:t>
      </w:r>
      <w:r w:rsidR="00CA6673" w:rsidRPr="004C52B2">
        <w:rPr>
          <w:rFonts w:ascii="ITC Avant Garde" w:eastAsia="Times New Roman" w:hAnsi="ITC Avant Garde" w:cs="Arial"/>
          <w:bCs/>
          <w:lang w:val="es-ES_tradnl" w:eastAsia="es-ES"/>
        </w:rPr>
        <w:t xml:space="preserve">roductividad </w:t>
      </w:r>
      <w:r w:rsidR="002E686D">
        <w:rPr>
          <w:rFonts w:ascii="ITC Avant Garde" w:eastAsia="Times New Roman" w:hAnsi="ITC Avant Garde" w:cs="Arial"/>
          <w:bCs/>
          <w:lang w:val="es-ES_tradnl" w:eastAsia="es-ES"/>
        </w:rPr>
        <w:t>T</w:t>
      </w:r>
      <w:r w:rsidR="00CA6673" w:rsidRPr="004C52B2">
        <w:rPr>
          <w:rFonts w:ascii="ITC Avant Garde" w:eastAsia="Times New Roman" w:hAnsi="ITC Avant Garde" w:cs="Arial"/>
          <w:bCs/>
          <w:lang w:val="es-ES_tradnl" w:eastAsia="es-ES"/>
        </w:rPr>
        <w:t xml:space="preserve">otal de los </w:t>
      </w:r>
      <w:r w:rsidR="002E686D">
        <w:rPr>
          <w:rFonts w:ascii="ITC Avant Garde" w:eastAsia="Times New Roman" w:hAnsi="ITC Avant Garde" w:cs="Arial"/>
          <w:bCs/>
          <w:lang w:val="es-ES_tradnl" w:eastAsia="es-ES"/>
        </w:rPr>
        <w:t>F</w:t>
      </w:r>
      <w:r w:rsidR="00CA6673" w:rsidRPr="004C52B2">
        <w:rPr>
          <w:rFonts w:ascii="ITC Avant Garde" w:eastAsia="Times New Roman" w:hAnsi="ITC Avant Garde" w:cs="Arial"/>
          <w:bCs/>
          <w:lang w:val="es-ES_tradnl" w:eastAsia="es-ES"/>
        </w:rPr>
        <w:t xml:space="preserve">actores </w:t>
      </w:r>
      <w:r w:rsidR="00F633E7" w:rsidRPr="004C52B2">
        <w:rPr>
          <w:rFonts w:ascii="ITC Avant Garde" w:eastAsia="Times New Roman" w:hAnsi="ITC Avant Garde" w:cs="Arial"/>
          <w:bCs/>
          <w:lang w:val="es-ES_tradnl" w:eastAsia="es-ES"/>
        </w:rPr>
        <w:t>es consistente con lo previsto en la medida Cuadragésima</w:t>
      </w:r>
      <w:r w:rsidR="00A2644C" w:rsidRPr="004C52B2">
        <w:rPr>
          <w:rFonts w:ascii="ITC Avant Garde" w:eastAsia="Times New Roman" w:hAnsi="ITC Avant Garde" w:cs="Arial"/>
          <w:bCs/>
          <w:lang w:val="es-ES_tradnl" w:eastAsia="es-ES"/>
        </w:rPr>
        <w:t xml:space="preserve"> </w:t>
      </w:r>
      <w:r w:rsidR="00A2644C" w:rsidRPr="004C52B2">
        <w:rPr>
          <w:rFonts w:ascii="ITC Avant Garde" w:eastAsia="Times New Roman" w:hAnsi="ITC Avant Garde" w:cs="Arial"/>
        </w:rPr>
        <w:t xml:space="preserve">del Anexo 2 de la Resolución de </w:t>
      </w:r>
      <w:r w:rsidR="00D934D1">
        <w:rPr>
          <w:rFonts w:ascii="ITC Avant Garde" w:eastAsia="Times New Roman" w:hAnsi="ITC Avant Garde" w:cs="Arial"/>
        </w:rPr>
        <w:t>Preponderancia</w:t>
      </w:r>
      <w:r w:rsidR="00F633E7" w:rsidRPr="004C52B2">
        <w:rPr>
          <w:rFonts w:ascii="ITC Avant Garde" w:eastAsia="Times New Roman" w:hAnsi="ITC Avant Garde" w:cs="Arial"/>
          <w:bCs/>
          <w:lang w:val="es-ES_tradnl" w:eastAsia="es-ES"/>
        </w:rPr>
        <w:t xml:space="preserve"> aplicable al Agente Económico Preponderante</w:t>
      </w:r>
      <w:r w:rsidR="00CA6673" w:rsidRPr="004C52B2">
        <w:rPr>
          <w:rFonts w:ascii="ITC Avant Garde" w:eastAsia="Times New Roman" w:hAnsi="ITC Avant Garde" w:cs="Arial"/>
          <w:bCs/>
          <w:lang w:val="es-ES_tradnl" w:eastAsia="es-ES"/>
        </w:rPr>
        <w:t>.</w:t>
      </w:r>
    </w:p>
    <w:p w14:paraId="5AFCC327" w14:textId="77777777" w:rsidR="008369E9" w:rsidRDefault="00CA6673" w:rsidP="008369E9">
      <w:pPr>
        <w:adjustRightInd w:val="0"/>
        <w:spacing w:before="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 xml:space="preserve">Sin embargo, </w:t>
      </w:r>
      <w:r w:rsidR="00454222" w:rsidRPr="004C52B2">
        <w:rPr>
          <w:rFonts w:ascii="ITC Avant Garde" w:eastAsia="Times New Roman" w:hAnsi="ITC Avant Garde" w:cs="Arial"/>
          <w:bCs/>
          <w:lang w:val="es-ES_tradnl" w:eastAsia="es-ES"/>
        </w:rPr>
        <w:t xml:space="preserve">existen </w:t>
      </w:r>
      <w:r w:rsidRPr="004C52B2">
        <w:rPr>
          <w:rFonts w:ascii="ITC Avant Garde" w:eastAsia="Times New Roman" w:hAnsi="ITC Avant Garde" w:cs="Arial"/>
          <w:bCs/>
          <w:lang w:val="es-ES_tradnl" w:eastAsia="es-ES"/>
        </w:rPr>
        <w:t xml:space="preserve">algunas precisiones relacionadas </w:t>
      </w:r>
      <w:r w:rsidR="00454222" w:rsidRPr="004C52B2">
        <w:rPr>
          <w:rFonts w:ascii="ITC Avant Garde" w:eastAsia="Times New Roman" w:hAnsi="ITC Avant Garde" w:cs="Arial"/>
          <w:bCs/>
          <w:lang w:val="es-ES_tradnl" w:eastAsia="es-ES"/>
        </w:rPr>
        <w:t>a</w:t>
      </w:r>
      <w:r w:rsidRPr="004C52B2">
        <w:rPr>
          <w:rFonts w:ascii="ITC Avant Garde" w:eastAsia="Times New Roman" w:hAnsi="ITC Avant Garde" w:cs="Arial"/>
          <w:bCs/>
          <w:lang w:val="es-ES_tradnl" w:eastAsia="es-ES"/>
        </w:rPr>
        <w:t>l estableci</w:t>
      </w:r>
      <w:r w:rsidR="00683B46" w:rsidRPr="004C52B2">
        <w:rPr>
          <w:rFonts w:ascii="ITC Avant Garde" w:eastAsia="Times New Roman" w:hAnsi="ITC Avant Garde" w:cs="Arial"/>
          <w:bCs/>
          <w:lang w:val="es-ES_tradnl" w:eastAsia="es-ES"/>
        </w:rPr>
        <w:t>miento del periodo de análisis</w:t>
      </w:r>
      <w:r w:rsidR="00FE1C26" w:rsidRPr="004C52B2">
        <w:rPr>
          <w:rFonts w:ascii="ITC Avant Garde" w:eastAsia="Times New Roman" w:hAnsi="ITC Avant Garde" w:cs="Arial"/>
          <w:bCs/>
          <w:lang w:val="es-ES_tradnl" w:eastAsia="es-ES"/>
        </w:rPr>
        <w:t xml:space="preserve">, entre otros aspectos </w:t>
      </w:r>
      <w:r w:rsidR="00107893">
        <w:rPr>
          <w:rFonts w:ascii="ITC Avant Garde" w:eastAsia="Times New Roman" w:hAnsi="ITC Avant Garde" w:cs="Arial"/>
          <w:bCs/>
          <w:lang w:val="es-ES_tradnl" w:eastAsia="es-ES"/>
        </w:rPr>
        <w:t>que se analizaron</w:t>
      </w:r>
      <w:r w:rsidR="00135589">
        <w:rPr>
          <w:rFonts w:ascii="ITC Avant Garde" w:eastAsia="Times New Roman" w:hAnsi="ITC Avant Garde" w:cs="Arial"/>
          <w:bCs/>
          <w:lang w:val="es-ES_tradnl" w:eastAsia="es-ES"/>
        </w:rPr>
        <w:t xml:space="preserve"> para el cálculo de los parámetros del sistema de precios tope</w:t>
      </w:r>
      <w:r w:rsidR="00107893">
        <w:rPr>
          <w:rFonts w:ascii="ITC Avant Garde" w:eastAsia="Times New Roman" w:hAnsi="ITC Avant Garde" w:cs="Arial"/>
          <w:bCs/>
          <w:lang w:val="es-ES_tradnl" w:eastAsia="es-ES"/>
        </w:rPr>
        <w:t xml:space="preserve">, tales </w:t>
      </w:r>
      <w:r w:rsidR="00FE1C26" w:rsidRPr="004C52B2">
        <w:rPr>
          <w:rFonts w:ascii="ITC Avant Garde" w:eastAsia="Times New Roman" w:hAnsi="ITC Avant Garde" w:cs="Arial"/>
          <w:bCs/>
          <w:lang w:val="es-ES_tradnl" w:eastAsia="es-ES"/>
        </w:rPr>
        <w:t xml:space="preserve">como la revisión de </w:t>
      </w:r>
      <w:r w:rsidR="005F448D" w:rsidRPr="004C52B2">
        <w:rPr>
          <w:rFonts w:ascii="ITC Avant Garde" w:eastAsia="Times New Roman" w:hAnsi="ITC Avant Garde" w:cs="Arial"/>
          <w:bCs/>
          <w:lang w:val="es-ES_tradnl" w:eastAsia="es-ES"/>
        </w:rPr>
        <w:t xml:space="preserve">los </w:t>
      </w:r>
      <w:r w:rsidR="00904D71">
        <w:rPr>
          <w:rFonts w:ascii="ITC Avant Garde" w:eastAsia="Times New Roman" w:hAnsi="ITC Avant Garde" w:cs="Arial"/>
          <w:bCs/>
          <w:lang w:val="es-ES_tradnl" w:eastAsia="es-ES"/>
        </w:rPr>
        <w:t>Gastos</w:t>
      </w:r>
      <w:r w:rsidR="00904D71" w:rsidRPr="004C52B2">
        <w:rPr>
          <w:rFonts w:ascii="ITC Avant Garde" w:eastAsia="Times New Roman" w:hAnsi="ITC Avant Garde" w:cs="Arial"/>
          <w:bCs/>
          <w:lang w:val="es-ES_tradnl" w:eastAsia="es-ES"/>
        </w:rPr>
        <w:t xml:space="preserve"> </w:t>
      </w:r>
      <w:r w:rsidR="00107893">
        <w:rPr>
          <w:rFonts w:ascii="ITC Avant Garde" w:eastAsia="Times New Roman" w:hAnsi="ITC Avant Garde" w:cs="Arial"/>
          <w:bCs/>
          <w:lang w:val="es-ES_tradnl" w:eastAsia="es-ES"/>
        </w:rPr>
        <w:t>O</w:t>
      </w:r>
      <w:r w:rsidR="005F448D" w:rsidRPr="004C52B2">
        <w:rPr>
          <w:rFonts w:ascii="ITC Avant Garde" w:eastAsia="Times New Roman" w:hAnsi="ITC Avant Garde" w:cs="Arial"/>
          <w:bCs/>
          <w:lang w:val="es-ES_tradnl" w:eastAsia="es-ES"/>
        </w:rPr>
        <w:t xml:space="preserve">perativos Totales, la revisión de la </w:t>
      </w:r>
      <w:r w:rsidR="00FE1C26" w:rsidRPr="004C52B2">
        <w:rPr>
          <w:rFonts w:ascii="ITC Avant Garde" w:eastAsia="Times New Roman" w:hAnsi="ITC Avant Garde" w:cs="Arial"/>
          <w:bCs/>
          <w:lang w:val="es-ES_tradnl" w:eastAsia="es-ES"/>
        </w:rPr>
        <w:t xml:space="preserve">información </w:t>
      </w:r>
      <w:r w:rsidR="005F448D" w:rsidRPr="004C52B2">
        <w:rPr>
          <w:rFonts w:ascii="ITC Avant Garde" w:eastAsia="Times New Roman" w:hAnsi="ITC Avant Garde" w:cs="Arial"/>
          <w:bCs/>
          <w:lang w:val="es-ES_tradnl" w:eastAsia="es-ES"/>
        </w:rPr>
        <w:t xml:space="preserve">de separación </w:t>
      </w:r>
      <w:r w:rsidR="00FE1C26" w:rsidRPr="004C52B2">
        <w:rPr>
          <w:rFonts w:ascii="ITC Avant Garde" w:eastAsia="Times New Roman" w:hAnsi="ITC Avant Garde" w:cs="Arial"/>
          <w:bCs/>
          <w:lang w:val="es-ES_tradnl" w:eastAsia="es-ES"/>
        </w:rPr>
        <w:t xml:space="preserve">contable y la adopción de normas contables que se </w:t>
      </w:r>
      <w:r w:rsidR="00107893">
        <w:rPr>
          <w:rFonts w:ascii="ITC Avant Garde" w:eastAsia="Times New Roman" w:hAnsi="ITC Avant Garde" w:cs="Arial"/>
          <w:bCs/>
          <w:lang w:val="es-ES_tradnl" w:eastAsia="es-ES"/>
        </w:rPr>
        <w:t>describen</w:t>
      </w:r>
      <w:r w:rsidR="00107893" w:rsidRPr="004C52B2">
        <w:rPr>
          <w:rFonts w:ascii="ITC Avant Garde" w:eastAsia="Times New Roman" w:hAnsi="ITC Avant Garde" w:cs="Arial"/>
          <w:bCs/>
          <w:lang w:val="es-ES_tradnl" w:eastAsia="es-ES"/>
        </w:rPr>
        <w:t xml:space="preserve"> </w:t>
      </w:r>
      <w:r w:rsidR="00FE1C26" w:rsidRPr="004C52B2">
        <w:rPr>
          <w:rFonts w:ascii="ITC Avant Garde" w:eastAsia="Times New Roman" w:hAnsi="ITC Avant Garde" w:cs="Arial"/>
          <w:bCs/>
          <w:lang w:val="es-ES_tradnl" w:eastAsia="es-ES"/>
        </w:rPr>
        <w:t>a continuación</w:t>
      </w:r>
      <w:r w:rsidR="003D6401" w:rsidRPr="004C52B2">
        <w:rPr>
          <w:rFonts w:ascii="ITC Avant Garde" w:eastAsia="Times New Roman" w:hAnsi="ITC Avant Garde" w:cs="Arial"/>
          <w:bCs/>
          <w:lang w:val="es-ES_tradnl" w:eastAsia="es-ES"/>
        </w:rPr>
        <w:t>.</w:t>
      </w:r>
    </w:p>
    <w:p w14:paraId="43228735" w14:textId="77777777" w:rsidR="008369E9" w:rsidRDefault="00817191" w:rsidP="008369E9">
      <w:pPr>
        <w:adjustRightInd w:val="0"/>
        <w:spacing w:before="240" w:line="240" w:lineRule="auto"/>
        <w:jc w:val="both"/>
        <w:rPr>
          <w:rFonts w:ascii="ITC Avant Garde" w:eastAsia="Times New Roman" w:hAnsi="ITC Avant Garde" w:cs="Arial"/>
          <w:bCs/>
          <w:lang w:val="es-ES_tradnl" w:eastAsia="es-ES"/>
        </w:rPr>
      </w:pPr>
      <w:r>
        <w:rPr>
          <w:rFonts w:ascii="ITC Avant Garde" w:eastAsia="Times New Roman" w:hAnsi="ITC Avant Garde" w:cs="Arial"/>
          <w:b/>
          <w:bCs/>
          <w:lang w:val="es-ES_tradnl" w:eastAsia="es-ES"/>
        </w:rPr>
        <w:t xml:space="preserve">7.1 </w:t>
      </w:r>
      <w:r w:rsidR="00683B46" w:rsidRPr="00F17AE3">
        <w:rPr>
          <w:rFonts w:ascii="ITC Avant Garde" w:eastAsia="Times New Roman" w:hAnsi="ITC Avant Garde" w:cs="Arial"/>
          <w:b/>
          <w:bCs/>
          <w:lang w:val="es-ES_tradnl" w:eastAsia="es-ES"/>
        </w:rPr>
        <w:t>Periodo de estimación</w:t>
      </w:r>
      <w:r>
        <w:rPr>
          <w:rFonts w:ascii="ITC Avant Garde" w:eastAsia="Times New Roman" w:hAnsi="ITC Avant Garde" w:cs="Arial"/>
          <w:b/>
          <w:bCs/>
          <w:lang w:val="es-ES_tradnl" w:eastAsia="es-ES"/>
        </w:rPr>
        <w:t>.</w:t>
      </w:r>
      <w:r>
        <w:rPr>
          <w:rFonts w:ascii="ITC Avant Garde" w:eastAsia="Times New Roman" w:hAnsi="ITC Avant Garde" w:cs="Arial"/>
          <w:bCs/>
          <w:lang w:val="es-ES_tradnl" w:eastAsia="es-ES"/>
        </w:rPr>
        <w:t xml:space="preserve"> </w:t>
      </w:r>
      <w:r w:rsidR="00047093" w:rsidRPr="004C52B2">
        <w:rPr>
          <w:rFonts w:ascii="ITC Avant Garde" w:eastAsia="Times New Roman" w:hAnsi="ITC Avant Garde" w:cs="Arial"/>
          <w:bCs/>
          <w:lang w:val="es-ES_tradnl" w:eastAsia="es-ES"/>
        </w:rPr>
        <w:t>En lo que respecta al periodo de estimación, se considera conveniente utilizar el</w:t>
      </w:r>
      <w:r w:rsidR="00454222" w:rsidRPr="004C52B2">
        <w:rPr>
          <w:rFonts w:ascii="ITC Avant Garde" w:eastAsia="Times New Roman" w:hAnsi="ITC Avant Garde" w:cs="Arial"/>
          <w:bCs/>
          <w:lang w:val="es-ES_tradnl" w:eastAsia="es-ES"/>
        </w:rPr>
        <w:t xml:space="preserve"> comprendido entre los años</w:t>
      </w:r>
      <w:r w:rsidR="009D22AF" w:rsidRPr="004C52B2">
        <w:rPr>
          <w:rFonts w:ascii="ITC Avant Garde" w:eastAsia="Times New Roman" w:hAnsi="ITC Avant Garde" w:cs="Arial"/>
          <w:bCs/>
          <w:lang w:val="es-ES_tradnl" w:eastAsia="es-ES"/>
        </w:rPr>
        <w:t xml:space="preserve"> 20</w:t>
      </w:r>
      <w:r w:rsidR="000D2EE1" w:rsidRPr="004C52B2">
        <w:rPr>
          <w:rFonts w:ascii="ITC Avant Garde" w:eastAsia="Times New Roman" w:hAnsi="ITC Avant Garde" w:cs="Arial"/>
          <w:bCs/>
          <w:lang w:val="es-ES_tradnl" w:eastAsia="es-ES"/>
        </w:rPr>
        <w:t>0</w:t>
      </w:r>
      <w:r w:rsidR="000C1BF3" w:rsidRPr="004C52B2">
        <w:rPr>
          <w:rFonts w:ascii="ITC Avant Garde" w:eastAsia="Times New Roman" w:hAnsi="ITC Avant Garde" w:cs="Arial"/>
          <w:bCs/>
          <w:lang w:val="es-ES_tradnl" w:eastAsia="es-ES"/>
        </w:rPr>
        <w:t>8</w:t>
      </w:r>
      <w:r w:rsidR="00047093" w:rsidRPr="004C52B2">
        <w:rPr>
          <w:rFonts w:ascii="ITC Avant Garde" w:eastAsia="Times New Roman" w:hAnsi="ITC Avant Garde" w:cs="Arial"/>
          <w:bCs/>
          <w:lang w:val="es-ES_tradnl" w:eastAsia="es-ES"/>
        </w:rPr>
        <w:t xml:space="preserve"> </w:t>
      </w:r>
      <w:r w:rsidR="00454222" w:rsidRPr="004C52B2">
        <w:rPr>
          <w:rFonts w:ascii="ITC Avant Garde" w:eastAsia="Times New Roman" w:hAnsi="ITC Avant Garde" w:cs="Arial"/>
          <w:bCs/>
          <w:lang w:val="es-ES_tradnl" w:eastAsia="es-ES"/>
        </w:rPr>
        <w:t>y</w:t>
      </w:r>
      <w:r w:rsidR="009D22AF" w:rsidRPr="004C52B2">
        <w:rPr>
          <w:rFonts w:ascii="ITC Avant Garde" w:eastAsia="Times New Roman" w:hAnsi="ITC Avant Garde" w:cs="Arial"/>
          <w:bCs/>
          <w:lang w:val="es-ES_tradnl" w:eastAsia="es-ES"/>
        </w:rPr>
        <w:t xml:space="preserve"> 2015</w:t>
      </w:r>
      <w:r w:rsidR="00047093" w:rsidRPr="004C52B2">
        <w:rPr>
          <w:rFonts w:ascii="ITC Avant Garde" w:eastAsia="Times New Roman" w:hAnsi="ITC Avant Garde" w:cs="Arial"/>
          <w:bCs/>
          <w:lang w:val="es-ES_tradnl" w:eastAsia="es-ES"/>
        </w:rPr>
        <w:t xml:space="preserve">, </w:t>
      </w:r>
      <w:r w:rsidR="003C725F" w:rsidRPr="004C52B2">
        <w:rPr>
          <w:rFonts w:ascii="ITC Avant Garde" w:eastAsia="Times New Roman" w:hAnsi="ITC Avant Garde" w:cs="Arial"/>
          <w:bCs/>
          <w:lang w:val="es-ES_tradnl" w:eastAsia="es-ES"/>
        </w:rPr>
        <w:t xml:space="preserve">a fin de </w:t>
      </w:r>
      <w:r w:rsidR="00047093" w:rsidRPr="004C52B2">
        <w:rPr>
          <w:rFonts w:ascii="ITC Avant Garde" w:eastAsia="Times New Roman" w:hAnsi="ITC Avant Garde" w:cs="Arial"/>
          <w:bCs/>
          <w:lang w:val="es-ES_tradnl" w:eastAsia="es-ES"/>
        </w:rPr>
        <w:t xml:space="preserve">calcular tasas de variación </w:t>
      </w:r>
      <w:r w:rsidR="003C725F" w:rsidRPr="004C52B2">
        <w:rPr>
          <w:rFonts w:ascii="ITC Avant Garde" w:eastAsia="Times New Roman" w:hAnsi="ITC Avant Garde" w:cs="Arial"/>
          <w:bCs/>
          <w:lang w:val="es-ES_tradnl" w:eastAsia="es-ES"/>
        </w:rPr>
        <w:t>anual</w:t>
      </w:r>
      <w:r w:rsidR="00047093" w:rsidRPr="004C52B2">
        <w:rPr>
          <w:rFonts w:ascii="ITC Avant Garde" w:eastAsia="Times New Roman" w:hAnsi="ITC Avant Garde" w:cs="Arial"/>
          <w:bCs/>
          <w:lang w:val="es-ES_tradnl" w:eastAsia="es-ES"/>
        </w:rPr>
        <w:t>. Este periodo ha sido determinado en función de lo siguiente:</w:t>
      </w:r>
    </w:p>
    <w:p w14:paraId="720EC4D7" w14:textId="77777777" w:rsidR="008369E9" w:rsidRDefault="009248C9" w:rsidP="008369E9">
      <w:pPr>
        <w:pStyle w:val="Prrafodelista"/>
        <w:numPr>
          <w:ilvl w:val="0"/>
          <w:numId w:val="9"/>
        </w:numPr>
        <w:adjustRightInd w:val="0"/>
        <w:spacing w:before="240" w:line="240" w:lineRule="auto"/>
        <w:ind w:left="360"/>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 xml:space="preserve">Uno de los objetivos de la regulación de los precios tope, es que los precios de los servicios de telecomunicaciones puedan reflejar las ganancias en la eficiencia operativa de las empresas. La existencia de potenciales beneficios generados por la diferencia entre precios y costos, genera los incentivos para que la empresa reduzca sus costos de producción y alcance niveles de eficiencia cada vez más cercanos al óptimo. </w:t>
      </w:r>
    </w:p>
    <w:p w14:paraId="6620ED85" w14:textId="7333F8BE" w:rsidR="001E29FF" w:rsidRDefault="00683B46" w:rsidP="008369E9">
      <w:pPr>
        <w:pStyle w:val="Sinespaciado"/>
        <w:numPr>
          <w:ilvl w:val="0"/>
          <w:numId w:val="16"/>
        </w:numPr>
        <w:spacing w:before="240" w:after="200"/>
        <w:jc w:val="both"/>
        <w:rPr>
          <w:rFonts w:ascii="ITC Avant Garde" w:eastAsia="Times New Roman" w:hAnsi="ITC Avant Garde" w:cs="Arial"/>
          <w:bCs/>
          <w:lang w:val="es-ES_tradnl" w:eastAsia="es-ES"/>
        </w:rPr>
        <w:sectPr w:rsidR="001E29FF" w:rsidSect="00F64D97">
          <w:headerReference w:type="default" r:id="rId20"/>
          <w:pgSz w:w="12240" w:h="15840"/>
          <w:pgMar w:top="2370" w:right="1418" w:bottom="1418" w:left="1418" w:header="709" w:footer="709" w:gutter="0"/>
          <w:pgNumType w:start="1"/>
          <w:cols w:space="708"/>
          <w:docGrid w:linePitch="360"/>
        </w:sectPr>
      </w:pPr>
      <w:r w:rsidRPr="004C52B2">
        <w:rPr>
          <w:rFonts w:ascii="ITC Avant Garde" w:hAnsi="ITC Avant Garde"/>
        </w:rPr>
        <w:t>En el sector de telecomunicaciones</w:t>
      </w:r>
      <w:r w:rsidR="00E61DE3" w:rsidRPr="004C52B2">
        <w:rPr>
          <w:rFonts w:ascii="ITC Avant Garde" w:hAnsi="ITC Avant Garde"/>
        </w:rPr>
        <w:t xml:space="preserve"> se han observado</w:t>
      </w:r>
      <w:r w:rsidRPr="004C52B2">
        <w:rPr>
          <w:rFonts w:ascii="ITC Avant Garde" w:hAnsi="ITC Avant Garde"/>
        </w:rPr>
        <w:t xml:space="preserve"> cambios</w:t>
      </w:r>
      <w:r w:rsidR="00E61DE3" w:rsidRPr="004C52B2">
        <w:rPr>
          <w:rFonts w:ascii="ITC Avant Garde" w:hAnsi="ITC Avant Garde"/>
        </w:rPr>
        <w:t xml:space="preserve"> significativos</w:t>
      </w:r>
      <w:r w:rsidRPr="004C52B2">
        <w:rPr>
          <w:rFonts w:ascii="ITC Avant Garde" w:hAnsi="ITC Avant Garde"/>
        </w:rPr>
        <w:t xml:space="preserve"> en los </w:t>
      </w:r>
      <w:r w:rsidR="00E61DE3" w:rsidRPr="004C52B2">
        <w:rPr>
          <w:rFonts w:ascii="ITC Avant Garde" w:hAnsi="ITC Avant Garde"/>
        </w:rPr>
        <w:t>componentes de</w:t>
      </w:r>
      <w:r w:rsidRPr="004C52B2">
        <w:rPr>
          <w:rFonts w:ascii="ITC Avant Garde" w:hAnsi="ITC Avant Garde"/>
        </w:rPr>
        <w:t xml:space="preserve"> la productividad total de los factores</w:t>
      </w:r>
      <w:r w:rsidR="00E61DE3" w:rsidRPr="004C52B2">
        <w:rPr>
          <w:rFonts w:ascii="ITC Avant Garde" w:hAnsi="ITC Avant Garde"/>
        </w:rPr>
        <w:t xml:space="preserve"> en un periodo corto de tiempo. Entre los que destacan </w:t>
      </w:r>
      <w:r w:rsidRPr="004C52B2">
        <w:rPr>
          <w:rFonts w:ascii="ITC Avant Garde" w:hAnsi="ITC Avant Garde"/>
        </w:rPr>
        <w:t>cambios en los precios,</w:t>
      </w:r>
      <w:r w:rsidR="00E61DE3" w:rsidRPr="004C52B2">
        <w:rPr>
          <w:rFonts w:ascii="ITC Avant Garde" w:hAnsi="ITC Avant Garde"/>
        </w:rPr>
        <w:t xml:space="preserve"> en los volúmenes de</w:t>
      </w:r>
      <w:r w:rsidRPr="004C52B2">
        <w:rPr>
          <w:rFonts w:ascii="ITC Avant Garde" w:hAnsi="ITC Avant Garde"/>
        </w:rPr>
        <w:t xml:space="preserve"> producción</w:t>
      </w:r>
      <w:r w:rsidR="00E61DE3" w:rsidRPr="004C52B2">
        <w:rPr>
          <w:rFonts w:ascii="ITC Avant Garde" w:hAnsi="ITC Avant Garde"/>
        </w:rPr>
        <w:t xml:space="preserve"> como consecuencia de</w:t>
      </w:r>
      <w:r w:rsidRPr="004C52B2">
        <w:rPr>
          <w:rFonts w:ascii="ITC Avant Garde" w:hAnsi="ITC Avant Garde"/>
        </w:rPr>
        <w:t xml:space="preserve"> los hábitos de consumo,</w:t>
      </w:r>
      <w:r w:rsidR="00E61DE3" w:rsidRPr="004C52B2">
        <w:rPr>
          <w:rFonts w:ascii="ITC Avant Garde" w:hAnsi="ITC Avant Garde"/>
        </w:rPr>
        <w:t xml:space="preserve"> desarrollo de nuevas tecnologías, adopción de nuevos estándares, entre otros</w:t>
      </w:r>
      <w:r w:rsidRPr="004C52B2">
        <w:rPr>
          <w:rFonts w:ascii="ITC Avant Garde" w:hAnsi="ITC Avant Garde"/>
        </w:rPr>
        <w:t>.</w:t>
      </w:r>
      <w:r w:rsidR="009248C9" w:rsidRPr="004C52B2">
        <w:rPr>
          <w:rFonts w:ascii="ITC Avant Garde" w:hAnsi="ITC Avant Garde"/>
        </w:rPr>
        <w:t xml:space="preserve"> </w:t>
      </w:r>
      <w:r w:rsidR="009248C9" w:rsidRPr="004C52B2">
        <w:rPr>
          <w:rFonts w:ascii="ITC Avant Garde" w:eastAsia="Times New Roman" w:hAnsi="ITC Avant Garde" w:cs="Arial"/>
          <w:bCs/>
          <w:lang w:val="es-ES_tradnl" w:eastAsia="es-ES"/>
        </w:rPr>
        <w:t xml:space="preserve">Un ejemplo es el despliegue de fibra </w:t>
      </w:r>
      <w:r w:rsidR="003519B6">
        <w:rPr>
          <w:rFonts w:ascii="ITC Avant Garde" w:eastAsia="Times New Roman" w:hAnsi="ITC Avant Garde" w:cs="Arial"/>
          <w:bCs/>
          <w:lang w:val="es-ES_tradnl" w:eastAsia="es-ES"/>
        </w:rPr>
        <w:t xml:space="preserve">óptica </w:t>
      </w:r>
      <w:r w:rsidR="009248C9" w:rsidRPr="004C52B2">
        <w:rPr>
          <w:rFonts w:ascii="ITC Avant Garde" w:eastAsia="Times New Roman" w:hAnsi="ITC Avant Garde" w:cs="Arial"/>
          <w:bCs/>
          <w:lang w:val="es-ES_tradnl" w:eastAsia="es-ES"/>
        </w:rPr>
        <w:t xml:space="preserve">a la casa que constituye un fenómeno reciente en los proveedores de telefonía y banda ancha fija, situación que ha permitido modificar las características de los servicios de telecomunicaciones, tal es el caso del incremento en las velocidades de transmisión de datos, </w:t>
      </w:r>
      <w:r w:rsidR="003519B6">
        <w:rPr>
          <w:rFonts w:ascii="ITC Avant Garde" w:eastAsia="Times New Roman" w:hAnsi="ITC Avant Garde" w:cs="Arial"/>
          <w:bCs/>
          <w:lang w:val="es-ES_tradnl" w:eastAsia="es-ES"/>
        </w:rPr>
        <w:t xml:space="preserve">la provisión de </w:t>
      </w:r>
      <w:r w:rsidR="009248C9" w:rsidRPr="004C52B2">
        <w:rPr>
          <w:rFonts w:ascii="ITC Avant Garde" w:eastAsia="Times New Roman" w:hAnsi="ITC Avant Garde" w:cs="Arial"/>
          <w:bCs/>
          <w:lang w:val="es-ES_tradnl" w:eastAsia="es-ES"/>
        </w:rPr>
        <w:t>servicios de televisión por Internet y voz sobre IP, entre otros servicios convergentes. El cambio tecnológico implica transitar del par de cobre trenzado a la fibra óptica</w:t>
      </w:r>
      <w:r w:rsidR="00FD0EAE">
        <w:rPr>
          <w:rFonts w:ascii="ITC Avant Garde" w:eastAsia="Times New Roman" w:hAnsi="ITC Avant Garde" w:cs="Arial"/>
          <w:bCs/>
          <w:lang w:val="es-ES_tradnl" w:eastAsia="es-ES"/>
        </w:rPr>
        <w:t xml:space="preserve"> para la prestación de servicios </w:t>
      </w:r>
      <w:r w:rsidR="001E29FF">
        <w:rPr>
          <w:rFonts w:ascii="ITC Avant Garde" w:eastAsia="Times New Roman" w:hAnsi="ITC Avant Garde" w:cs="Arial"/>
          <w:bCs/>
          <w:lang w:val="es-ES_tradnl" w:eastAsia="es-ES"/>
        </w:rPr>
        <w:t>de telecomunicaciones</w:t>
      </w:r>
    </w:p>
    <w:p w14:paraId="4C85B3B2" w14:textId="77777777" w:rsidR="008369E9" w:rsidRDefault="003C725F" w:rsidP="008369E9">
      <w:pPr>
        <w:pStyle w:val="Prrafodelista"/>
        <w:numPr>
          <w:ilvl w:val="0"/>
          <w:numId w:val="9"/>
        </w:numPr>
        <w:adjustRightInd w:val="0"/>
        <w:spacing w:before="240" w:line="240" w:lineRule="auto"/>
        <w:ind w:left="360"/>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lastRenderedPageBreak/>
        <w:t>E</w:t>
      </w:r>
      <w:r w:rsidR="0018124C" w:rsidRPr="004C52B2">
        <w:rPr>
          <w:rFonts w:ascii="ITC Avant Garde" w:eastAsia="Times New Roman" w:hAnsi="ITC Avant Garde" w:cs="Arial"/>
          <w:bCs/>
          <w:lang w:val="es-ES_tradnl" w:eastAsia="es-ES"/>
        </w:rPr>
        <w:t>l periodo de revisión previsto en la medida Cuadragésima</w:t>
      </w:r>
      <w:r w:rsidR="00A2644C" w:rsidRPr="004C52B2">
        <w:rPr>
          <w:rFonts w:ascii="ITC Avant Garde" w:eastAsia="Times New Roman" w:hAnsi="ITC Avant Garde" w:cs="Arial"/>
        </w:rPr>
        <w:t xml:space="preserve"> del Anexo 2 de la Resolución de </w:t>
      </w:r>
      <w:r w:rsidR="00D934D1">
        <w:rPr>
          <w:rFonts w:ascii="ITC Avant Garde" w:eastAsia="Times New Roman" w:hAnsi="ITC Avant Garde" w:cs="Arial"/>
        </w:rPr>
        <w:t>Preponderancia</w:t>
      </w:r>
      <w:r w:rsidR="0018124C" w:rsidRPr="004C52B2">
        <w:rPr>
          <w:rFonts w:ascii="ITC Avant Garde" w:eastAsia="Times New Roman" w:hAnsi="ITC Avant Garde" w:cs="Arial"/>
          <w:bCs/>
          <w:lang w:val="es-ES_tradnl" w:eastAsia="es-ES"/>
        </w:rPr>
        <w:t xml:space="preserve"> aplicable al Agente Económico Preponderante</w:t>
      </w:r>
      <w:r w:rsidR="00A2644C" w:rsidRPr="004C52B2">
        <w:rPr>
          <w:rFonts w:ascii="ITC Avant Garde" w:eastAsia="Times New Roman" w:hAnsi="ITC Avant Garde" w:cs="Arial"/>
          <w:bCs/>
          <w:lang w:val="es-ES_tradnl" w:eastAsia="es-ES"/>
        </w:rPr>
        <w:t>,</w:t>
      </w:r>
      <w:r w:rsidR="0018124C" w:rsidRPr="004C52B2">
        <w:rPr>
          <w:rFonts w:ascii="ITC Avant Garde" w:eastAsia="Times New Roman" w:hAnsi="ITC Avant Garde" w:cs="Arial"/>
          <w:bCs/>
          <w:lang w:val="es-ES_tradnl" w:eastAsia="es-ES"/>
        </w:rPr>
        <w:t xml:space="preserve"> es por un periodo de dos años, lo cual </w:t>
      </w:r>
      <w:r w:rsidR="00B32BC1" w:rsidRPr="004C52B2">
        <w:rPr>
          <w:rFonts w:ascii="ITC Avant Garde" w:eastAsia="Times New Roman" w:hAnsi="ITC Avant Garde" w:cs="Arial"/>
          <w:bCs/>
          <w:lang w:val="es-ES_tradnl" w:eastAsia="es-ES"/>
        </w:rPr>
        <w:t xml:space="preserve">requiere que el ejercicio de estimación con la metodología prevista en el </w:t>
      </w:r>
      <w:r w:rsidR="002E686D">
        <w:rPr>
          <w:rFonts w:ascii="ITC Avant Garde" w:eastAsia="Times New Roman" w:hAnsi="ITC Avant Garde" w:cs="Arial"/>
          <w:bCs/>
          <w:lang w:val="es-ES_tradnl" w:eastAsia="es-ES"/>
        </w:rPr>
        <w:t>C</w:t>
      </w:r>
      <w:r w:rsidR="00B32BC1" w:rsidRPr="004C52B2">
        <w:rPr>
          <w:rFonts w:ascii="ITC Avant Garde" w:eastAsia="Times New Roman" w:hAnsi="ITC Avant Garde" w:cs="Arial"/>
          <w:bCs/>
          <w:lang w:val="es-ES_tradnl" w:eastAsia="es-ES"/>
        </w:rPr>
        <w:t xml:space="preserve">onsiderando </w:t>
      </w:r>
      <w:r w:rsidRPr="004C52B2">
        <w:rPr>
          <w:rFonts w:ascii="ITC Avant Garde" w:eastAsia="Times New Roman" w:hAnsi="ITC Avant Garde" w:cs="Arial"/>
          <w:bCs/>
          <w:lang w:val="es-ES_tradnl" w:eastAsia="es-ES"/>
        </w:rPr>
        <w:t>CUARTO</w:t>
      </w:r>
      <w:r w:rsidR="00B32BC1" w:rsidRPr="004C52B2">
        <w:rPr>
          <w:rFonts w:ascii="ITC Avant Garde" w:eastAsia="Times New Roman" w:hAnsi="ITC Avant Garde" w:cs="Arial"/>
          <w:bCs/>
          <w:lang w:val="es-ES_tradnl" w:eastAsia="es-ES"/>
        </w:rPr>
        <w:t xml:space="preserve">, refleje las condiciones </w:t>
      </w:r>
      <w:r w:rsidR="00DB027D" w:rsidRPr="004C52B2">
        <w:rPr>
          <w:rFonts w:ascii="ITC Avant Garde" w:eastAsia="Times New Roman" w:hAnsi="ITC Avant Garde" w:cs="Arial"/>
          <w:bCs/>
          <w:lang w:val="es-ES_tradnl" w:eastAsia="es-ES"/>
        </w:rPr>
        <w:t xml:space="preserve">de productividad y </w:t>
      </w:r>
      <w:r w:rsidR="00A62588" w:rsidRPr="004C52B2">
        <w:rPr>
          <w:rFonts w:ascii="ITC Avant Garde" w:eastAsia="Times New Roman" w:hAnsi="ITC Avant Garde" w:cs="Arial"/>
          <w:bCs/>
          <w:lang w:val="es-ES_tradnl" w:eastAsia="es-ES"/>
        </w:rPr>
        <w:t xml:space="preserve">los </w:t>
      </w:r>
      <w:r w:rsidR="00DB027D" w:rsidRPr="004C52B2">
        <w:rPr>
          <w:rFonts w:ascii="ITC Avant Garde" w:eastAsia="Times New Roman" w:hAnsi="ITC Avant Garde" w:cs="Arial"/>
          <w:bCs/>
          <w:lang w:val="es-ES_tradnl" w:eastAsia="es-ES"/>
        </w:rPr>
        <w:t xml:space="preserve">precios </w:t>
      </w:r>
      <w:r w:rsidR="00B32BC1" w:rsidRPr="004C52B2">
        <w:rPr>
          <w:rFonts w:ascii="ITC Avant Garde" w:eastAsia="Times New Roman" w:hAnsi="ITC Avant Garde" w:cs="Arial"/>
          <w:bCs/>
          <w:lang w:val="es-ES_tradnl" w:eastAsia="es-ES"/>
        </w:rPr>
        <w:t xml:space="preserve">más recientes posibles. </w:t>
      </w:r>
      <w:r w:rsidR="00DB027D" w:rsidRPr="004C52B2">
        <w:rPr>
          <w:rFonts w:ascii="ITC Avant Garde" w:eastAsia="Times New Roman" w:hAnsi="ITC Avant Garde" w:cs="Arial"/>
          <w:bCs/>
          <w:lang w:val="es-ES_tradnl" w:eastAsia="es-ES"/>
        </w:rPr>
        <w:t xml:space="preserve">El </w:t>
      </w:r>
      <w:r w:rsidR="0070681E">
        <w:rPr>
          <w:rFonts w:ascii="ITC Avant Garde" w:eastAsia="Times New Roman" w:hAnsi="ITC Avant Garde" w:cs="Arial"/>
          <w:bCs/>
          <w:lang w:val="es-ES_tradnl" w:eastAsia="es-ES"/>
        </w:rPr>
        <w:t>F</w:t>
      </w:r>
      <w:r w:rsidR="00DB027D" w:rsidRPr="004C52B2">
        <w:rPr>
          <w:rFonts w:ascii="ITC Avant Garde" w:eastAsia="Times New Roman" w:hAnsi="ITC Avant Garde" w:cs="Arial"/>
          <w:bCs/>
          <w:lang w:val="es-ES_tradnl" w:eastAsia="es-ES"/>
        </w:rPr>
        <w:t xml:space="preserve">actor de </w:t>
      </w:r>
      <w:r w:rsidR="0070681E">
        <w:rPr>
          <w:rFonts w:ascii="ITC Avant Garde" w:eastAsia="Times New Roman" w:hAnsi="ITC Avant Garde" w:cs="Arial"/>
          <w:bCs/>
          <w:lang w:val="es-ES_tradnl" w:eastAsia="es-ES"/>
        </w:rPr>
        <w:t>P</w:t>
      </w:r>
      <w:r w:rsidR="00DB027D" w:rsidRPr="004C52B2">
        <w:rPr>
          <w:rFonts w:ascii="ITC Avant Garde" w:eastAsia="Times New Roman" w:hAnsi="ITC Avant Garde" w:cs="Arial"/>
          <w:bCs/>
          <w:lang w:val="es-ES_tradnl" w:eastAsia="es-ES"/>
        </w:rPr>
        <w:t xml:space="preserve">roductividad </w:t>
      </w:r>
      <w:r w:rsidR="0070681E">
        <w:rPr>
          <w:rFonts w:ascii="ITC Avant Garde" w:eastAsia="Times New Roman" w:hAnsi="ITC Avant Garde" w:cs="Arial"/>
          <w:bCs/>
          <w:lang w:val="es-ES_tradnl" w:eastAsia="es-ES"/>
        </w:rPr>
        <w:t xml:space="preserve">“X” </w:t>
      </w:r>
      <w:r w:rsidR="00DB027D" w:rsidRPr="004C52B2">
        <w:rPr>
          <w:rFonts w:ascii="ITC Avant Garde" w:eastAsia="Times New Roman" w:hAnsi="ITC Avant Garde" w:cs="Arial"/>
          <w:bCs/>
          <w:lang w:val="es-ES_tradnl" w:eastAsia="es-ES"/>
        </w:rPr>
        <w:t>en un periodo corto, debe considerar el momento en el que se encuentra la empresa dentro del ciclo de productividad como consecuencia del cambio tecnológico</w:t>
      </w:r>
      <w:r w:rsidR="006A32BC" w:rsidRPr="004C52B2">
        <w:rPr>
          <w:rFonts w:ascii="ITC Avant Garde" w:eastAsia="Times New Roman" w:hAnsi="ITC Avant Garde" w:cs="Arial"/>
          <w:bCs/>
          <w:lang w:val="es-ES_tradnl" w:eastAsia="es-ES"/>
        </w:rPr>
        <w:t>.</w:t>
      </w:r>
      <w:r w:rsidR="00DB027D" w:rsidRPr="004C52B2">
        <w:rPr>
          <w:rFonts w:ascii="ITC Avant Garde" w:eastAsia="Times New Roman" w:hAnsi="ITC Avant Garde" w:cs="Arial"/>
          <w:bCs/>
          <w:lang w:val="es-ES_tradnl" w:eastAsia="es-ES"/>
        </w:rPr>
        <w:t xml:space="preserve"> </w:t>
      </w:r>
      <w:r w:rsidR="00047093" w:rsidRPr="004C52B2">
        <w:rPr>
          <w:rFonts w:ascii="ITC Avant Garde" w:eastAsia="Times New Roman" w:hAnsi="ITC Avant Garde" w:cs="Arial"/>
          <w:bCs/>
          <w:lang w:val="es-ES_tradnl" w:eastAsia="es-ES"/>
        </w:rPr>
        <w:t xml:space="preserve">En </w:t>
      </w:r>
      <w:r w:rsidR="009D2F0B" w:rsidRPr="004C52B2">
        <w:rPr>
          <w:rFonts w:ascii="ITC Avant Garde" w:eastAsia="Times New Roman" w:hAnsi="ITC Avant Garde" w:cs="Arial"/>
          <w:bCs/>
          <w:lang w:val="es-ES_tradnl" w:eastAsia="es-ES"/>
        </w:rPr>
        <w:t xml:space="preserve">resumen, </w:t>
      </w:r>
      <w:r w:rsidR="00047093" w:rsidRPr="004C52B2">
        <w:rPr>
          <w:rFonts w:ascii="ITC Avant Garde" w:eastAsia="Times New Roman" w:hAnsi="ITC Avant Garde" w:cs="Arial"/>
          <w:bCs/>
          <w:lang w:val="es-ES_tradnl" w:eastAsia="es-ES"/>
        </w:rPr>
        <w:t xml:space="preserve">se busca estimar </w:t>
      </w:r>
      <w:r w:rsidR="009D2F0B" w:rsidRPr="004C52B2">
        <w:rPr>
          <w:rFonts w:ascii="ITC Avant Garde" w:eastAsia="Times New Roman" w:hAnsi="ITC Avant Garde" w:cs="Arial"/>
          <w:bCs/>
          <w:lang w:val="es-ES_tradnl" w:eastAsia="es-ES"/>
        </w:rPr>
        <w:t xml:space="preserve">una tendencia de los cambios en </w:t>
      </w:r>
      <w:r w:rsidR="00047093" w:rsidRPr="004C52B2">
        <w:rPr>
          <w:rFonts w:ascii="ITC Avant Garde" w:eastAsia="Times New Roman" w:hAnsi="ITC Avant Garde" w:cs="Arial"/>
          <w:bCs/>
          <w:lang w:val="es-ES_tradnl" w:eastAsia="es-ES"/>
        </w:rPr>
        <w:t xml:space="preserve">productividad </w:t>
      </w:r>
      <w:r w:rsidR="009D2F0B" w:rsidRPr="004C52B2">
        <w:rPr>
          <w:rFonts w:ascii="ITC Avant Garde" w:eastAsia="Times New Roman" w:hAnsi="ITC Avant Garde" w:cs="Arial"/>
          <w:bCs/>
          <w:lang w:val="es-ES_tradnl" w:eastAsia="es-ES"/>
        </w:rPr>
        <w:t xml:space="preserve">que permita reflejar las condiciones </w:t>
      </w:r>
      <w:r w:rsidR="006A32BC" w:rsidRPr="004C52B2">
        <w:rPr>
          <w:rFonts w:ascii="ITC Avant Garde" w:eastAsia="Times New Roman" w:hAnsi="ITC Avant Garde" w:cs="Arial"/>
          <w:bCs/>
          <w:lang w:val="es-ES_tradnl" w:eastAsia="es-ES"/>
        </w:rPr>
        <w:t xml:space="preserve">más </w:t>
      </w:r>
      <w:r w:rsidR="009D2F0B" w:rsidRPr="004C52B2">
        <w:rPr>
          <w:rFonts w:ascii="ITC Avant Garde" w:eastAsia="Times New Roman" w:hAnsi="ITC Avant Garde" w:cs="Arial"/>
          <w:bCs/>
          <w:lang w:val="es-ES_tradnl" w:eastAsia="es-ES"/>
        </w:rPr>
        <w:t xml:space="preserve">actuales </w:t>
      </w:r>
      <w:r w:rsidR="00F93892" w:rsidRPr="004C52B2">
        <w:rPr>
          <w:rFonts w:ascii="ITC Avant Garde" w:eastAsia="Times New Roman" w:hAnsi="ITC Avant Garde" w:cs="Arial"/>
          <w:bCs/>
          <w:lang w:val="es-ES_tradnl" w:eastAsia="es-ES"/>
        </w:rPr>
        <w:t xml:space="preserve">del mercado por lo que </w:t>
      </w:r>
      <w:r w:rsidR="00047093" w:rsidRPr="004C52B2">
        <w:rPr>
          <w:rFonts w:ascii="ITC Avant Garde" w:eastAsia="Times New Roman" w:hAnsi="ITC Avant Garde" w:cs="Arial"/>
          <w:bCs/>
          <w:lang w:val="es-ES_tradnl" w:eastAsia="es-ES"/>
        </w:rPr>
        <w:t>se</w:t>
      </w:r>
      <w:r w:rsidR="009D2F0B" w:rsidRPr="004C52B2">
        <w:rPr>
          <w:rFonts w:ascii="ITC Avant Garde" w:eastAsia="Times New Roman" w:hAnsi="ITC Avant Garde" w:cs="Arial"/>
          <w:bCs/>
          <w:lang w:val="es-ES_tradnl" w:eastAsia="es-ES"/>
        </w:rPr>
        <w:t xml:space="preserve"> </w:t>
      </w:r>
      <w:r w:rsidR="00047093" w:rsidRPr="004C52B2">
        <w:rPr>
          <w:rFonts w:ascii="ITC Avant Garde" w:eastAsia="Times New Roman" w:hAnsi="ITC Avant Garde" w:cs="Arial"/>
          <w:bCs/>
          <w:lang w:val="es-ES_tradnl" w:eastAsia="es-ES"/>
        </w:rPr>
        <w:t>recomienda utilizar un número de observaciones que permita estimar un</w:t>
      </w:r>
      <w:r w:rsidR="009D2F0B" w:rsidRPr="004C52B2">
        <w:rPr>
          <w:rFonts w:ascii="ITC Avant Garde" w:eastAsia="Times New Roman" w:hAnsi="ITC Avant Garde" w:cs="Arial"/>
          <w:bCs/>
          <w:lang w:val="es-ES_tradnl" w:eastAsia="es-ES"/>
        </w:rPr>
        <w:t xml:space="preserve"> predictor de la productividad en el corto plazo, en virtud de que la próxima revisi</w:t>
      </w:r>
      <w:r w:rsidR="00F93892" w:rsidRPr="004C52B2">
        <w:rPr>
          <w:rFonts w:ascii="ITC Avant Garde" w:eastAsia="Times New Roman" w:hAnsi="ITC Avant Garde" w:cs="Arial"/>
          <w:bCs/>
          <w:lang w:val="es-ES_tradnl" w:eastAsia="es-ES"/>
        </w:rPr>
        <w:t>ón de precios tope será</w:t>
      </w:r>
      <w:r w:rsidR="009D2F0B" w:rsidRPr="004C52B2">
        <w:rPr>
          <w:rFonts w:ascii="ITC Avant Garde" w:eastAsia="Times New Roman" w:hAnsi="ITC Avant Garde" w:cs="Arial"/>
          <w:bCs/>
          <w:lang w:val="es-ES_tradnl" w:eastAsia="es-ES"/>
        </w:rPr>
        <w:t xml:space="preserve"> en dos años</w:t>
      </w:r>
      <w:r w:rsidR="00F93892" w:rsidRPr="004C52B2">
        <w:rPr>
          <w:rFonts w:ascii="ITC Avant Garde" w:eastAsia="Times New Roman" w:hAnsi="ITC Avant Garde" w:cs="Arial"/>
          <w:bCs/>
          <w:lang w:val="es-ES_tradnl" w:eastAsia="es-ES"/>
        </w:rPr>
        <w:t>.</w:t>
      </w:r>
    </w:p>
    <w:p w14:paraId="301861AA" w14:textId="77777777" w:rsidR="008369E9" w:rsidRDefault="006A78C3" w:rsidP="008369E9">
      <w:pPr>
        <w:adjustRightInd w:val="0"/>
        <w:spacing w:before="240" w:line="240" w:lineRule="auto"/>
        <w:jc w:val="both"/>
        <w:rPr>
          <w:rFonts w:ascii="ITC Avant Garde" w:eastAsia="Times New Roman" w:hAnsi="ITC Avant Garde" w:cs="Segoe UI"/>
        </w:rPr>
      </w:pPr>
      <w:r w:rsidRPr="004C52B2">
        <w:rPr>
          <w:rFonts w:ascii="ITC Avant Garde" w:eastAsia="Times New Roman" w:hAnsi="ITC Avant Garde" w:cs="Arial"/>
          <w:bCs/>
          <w:lang w:val="es-ES_tradnl" w:eastAsia="es-ES"/>
        </w:rPr>
        <w:t>S</w:t>
      </w:r>
      <w:r w:rsidR="005B5E7F" w:rsidRPr="004C52B2">
        <w:rPr>
          <w:rFonts w:ascii="ITC Avant Garde" w:eastAsia="Times New Roman" w:hAnsi="ITC Avant Garde" w:cs="Arial"/>
          <w:bCs/>
          <w:lang w:val="es-ES_tradnl" w:eastAsia="es-ES"/>
        </w:rPr>
        <w:t xml:space="preserve">e considera que el periodo durante el cual se realizó el análisis, 2000-2015, </w:t>
      </w:r>
      <w:r w:rsidRPr="004C52B2">
        <w:rPr>
          <w:rFonts w:ascii="ITC Avant Garde" w:eastAsia="Times New Roman" w:hAnsi="ITC Avant Garde" w:cs="Arial"/>
          <w:bCs/>
          <w:lang w:val="es-ES_tradnl" w:eastAsia="es-ES"/>
        </w:rPr>
        <w:t xml:space="preserve">refleja condiciones estructurales que afectan la productividad en el largo plazo. Como se ha señalado, en los últimos años han acontecido cambios significativos que afectan los servicios regulados, por lo que el periodo de análisis más acotado y actualizado permitiría </w:t>
      </w:r>
      <w:r w:rsidR="005B5E7F" w:rsidRPr="004C52B2">
        <w:rPr>
          <w:rFonts w:ascii="ITC Avant Garde" w:eastAsia="Times New Roman" w:hAnsi="ITC Avant Garde" w:cs="Arial"/>
          <w:bCs/>
          <w:lang w:val="es-ES_tradnl" w:eastAsia="es-ES"/>
        </w:rPr>
        <w:t>refleja</w:t>
      </w:r>
      <w:r w:rsidRPr="004C52B2">
        <w:rPr>
          <w:rFonts w:ascii="ITC Avant Garde" w:eastAsia="Times New Roman" w:hAnsi="ITC Avant Garde" w:cs="Arial"/>
          <w:bCs/>
          <w:lang w:val="es-ES_tradnl" w:eastAsia="es-ES"/>
        </w:rPr>
        <w:t>r</w:t>
      </w:r>
      <w:r w:rsidR="005B5E7F" w:rsidRPr="004C52B2">
        <w:rPr>
          <w:rFonts w:ascii="ITC Avant Garde" w:eastAsia="Times New Roman" w:hAnsi="ITC Avant Garde" w:cs="Arial"/>
          <w:bCs/>
          <w:lang w:val="es-ES_tradnl" w:eastAsia="es-ES"/>
        </w:rPr>
        <w:t xml:space="preserve"> las ganancias de productividad que puede tener la empresa en los próximos dos años como consecuencia del cambio tecnológico o variaciones en los precios relativos de los insumos. </w:t>
      </w:r>
      <w:r w:rsidR="005B5E7F" w:rsidRPr="004C52B2">
        <w:rPr>
          <w:rFonts w:ascii="ITC Avant Garde" w:eastAsia="Times New Roman" w:hAnsi="ITC Avant Garde" w:cs="Segoe UI"/>
        </w:rPr>
        <w:t>En este sentido, el Instituto considera que un periodo más corto de análisis reflejará las condiciones de productividad y de precios relativos de los servicios ofrecidos, por lo que estima conveniente acotar el análisis al periodo de 20</w:t>
      </w:r>
      <w:r w:rsidR="00672A12" w:rsidRPr="004C52B2">
        <w:rPr>
          <w:rFonts w:ascii="ITC Avant Garde" w:eastAsia="Times New Roman" w:hAnsi="ITC Avant Garde" w:cs="Segoe UI"/>
        </w:rPr>
        <w:t>0</w:t>
      </w:r>
      <w:r w:rsidR="000C1BF3" w:rsidRPr="004C52B2">
        <w:rPr>
          <w:rFonts w:ascii="ITC Avant Garde" w:eastAsia="Times New Roman" w:hAnsi="ITC Avant Garde" w:cs="Segoe UI"/>
        </w:rPr>
        <w:t>8</w:t>
      </w:r>
      <w:r w:rsidR="005B5E7F" w:rsidRPr="004C52B2">
        <w:rPr>
          <w:rFonts w:ascii="ITC Avant Garde" w:eastAsia="Times New Roman" w:hAnsi="ITC Avant Garde" w:cs="Segoe UI"/>
        </w:rPr>
        <w:t xml:space="preserve"> a 2015.</w:t>
      </w:r>
    </w:p>
    <w:p w14:paraId="456325F5" w14:textId="08F0350B" w:rsidR="008369E9" w:rsidRDefault="00817191" w:rsidP="008369E9">
      <w:pPr>
        <w:spacing w:before="240" w:line="240" w:lineRule="auto"/>
        <w:jc w:val="both"/>
        <w:rPr>
          <w:rFonts w:ascii="ITC Avant Garde" w:eastAsia="Times New Roman" w:hAnsi="ITC Avant Garde" w:cs="Arial"/>
          <w:bCs/>
          <w:lang w:val="es-ES_tradnl" w:eastAsia="es-ES"/>
        </w:rPr>
      </w:pPr>
      <w:r>
        <w:rPr>
          <w:rFonts w:ascii="ITC Avant Garde" w:eastAsia="Times New Roman" w:hAnsi="ITC Avant Garde" w:cs="Arial"/>
          <w:b/>
          <w:bCs/>
          <w:lang w:val="es-ES_tradnl" w:eastAsia="es-ES"/>
        </w:rPr>
        <w:t xml:space="preserve">7.2 </w:t>
      </w:r>
      <w:r w:rsidR="00D37726" w:rsidRPr="00F17AE3">
        <w:rPr>
          <w:rFonts w:ascii="ITC Avant Garde" w:eastAsia="Times New Roman" w:hAnsi="ITC Avant Garde" w:cs="Arial"/>
          <w:b/>
          <w:bCs/>
          <w:lang w:val="es-ES_tradnl" w:eastAsia="es-ES"/>
        </w:rPr>
        <w:t>Costos y gastos de operación</w:t>
      </w:r>
      <w:r w:rsidR="00B2693F" w:rsidRPr="00F17AE3">
        <w:rPr>
          <w:rFonts w:ascii="ITC Avant Garde" w:hAnsi="ITC Avant Garde"/>
          <w:b/>
        </w:rPr>
        <w:t>.</w:t>
      </w:r>
      <w:r>
        <w:rPr>
          <w:rFonts w:ascii="ITC Avant Garde" w:eastAsia="Times New Roman" w:hAnsi="ITC Avant Garde" w:cs="Arial"/>
          <w:bCs/>
          <w:lang w:val="es-ES_tradnl" w:eastAsia="es-ES"/>
        </w:rPr>
        <w:t xml:space="preserve"> </w:t>
      </w:r>
      <w:r w:rsidR="003D5EF7" w:rsidRPr="004C52B2">
        <w:rPr>
          <w:rFonts w:ascii="ITC Avant Garde" w:eastAsia="Times New Roman" w:hAnsi="ITC Avant Garde" w:cs="Arial"/>
          <w:bCs/>
          <w:lang w:val="es-ES_tradnl" w:eastAsia="es-ES"/>
        </w:rPr>
        <w:t>El principal factor que afect</w:t>
      </w:r>
      <w:r w:rsidR="00EA0E64">
        <w:rPr>
          <w:rFonts w:ascii="ITC Avant Garde" w:eastAsia="Times New Roman" w:hAnsi="ITC Avant Garde" w:cs="Arial"/>
          <w:bCs/>
          <w:lang w:val="es-ES_tradnl" w:eastAsia="es-ES"/>
        </w:rPr>
        <w:t>ó</w:t>
      </w:r>
      <w:r w:rsidR="003D5EF7" w:rsidRPr="004C52B2">
        <w:rPr>
          <w:rFonts w:ascii="ITC Avant Garde" w:eastAsia="Times New Roman" w:hAnsi="ITC Avant Garde" w:cs="Arial"/>
          <w:bCs/>
          <w:lang w:val="es-ES_tradnl" w:eastAsia="es-ES"/>
        </w:rPr>
        <w:t xml:space="preserve"> el cálculo del Factor </w:t>
      </w:r>
      <w:r w:rsidR="00D934D1">
        <w:rPr>
          <w:rFonts w:ascii="ITC Avant Garde" w:eastAsia="Times New Roman" w:hAnsi="ITC Avant Garde" w:cs="Arial"/>
          <w:bCs/>
          <w:lang w:val="es-ES_tradnl" w:eastAsia="es-ES"/>
        </w:rPr>
        <w:t xml:space="preserve">de </w:t>
      </w:r>
      <w:r w:rsidR="00904D71">
        <w:rPr>
          <w:rFonts w:ascii="ITC Avant Garde" w:eastAsia="Times New Roman" w:hAnsi="ITC Avant Garde" w:cs="Arial"/>
          <w:bCs/>
          <w:lang w:val="es-ES_tradnl" w:eastAsia="es-ES"/>
        </w:rPr>
        <w:t>P</w:t>
      </w:r>
      <w:r w:rsidR="00D934D1">
        <w:rPr>
          <w:rFonts w:ascii="ITC Avant Garde" w:eastAsia="Times New Roman" w:hAnsi="ITC Avant Garde" w:cs="Arial"/>
          <w:bCs/>
          <w:lang w:val="es-ES_tradnl" w:eastAsia="es-ES"/>
        </w:rPr>
        <w:t>roductividad “</w:t>
      </w:r>
      <w:r w:rsidR="003D5EF7" w:rsidRPr="004C52B2">
        <w:rPr>
          <w:rFonts w:ascii="ITC Avant Garde" w:eastAsia="Times New Roman" w:hAnsi="ITC Avant Garde" w:cs="Arial"/>
          <w:bCs/>
          <w:lang w:val="es-ES_tradnl" w:eastAsia="es-ES"/>
        </w:rPr>
        <w:t>X</w:t>
      </w:r>
      <w:r w:rsidR="00D934D1">
        <w:rPr>
          <w:rFonts w:ascii="ITC Avant Garde" w:eastAsia="Times New Roman" w:hAnsi="ITC Avant Garde" w:cs="Arial"/>
          <w:bCs/>
          <w:lang w:val="es-ES_tradnl" w:eastAsia="es-ES"/>
        </w:rPr>
        <w:t>”</w:t>
      </w:r>
      <w:r w:rsidR="003D5EF7" w:rsidRPr="004C52B2">
        <w:rPr>
          <w:rFonts w:ascii="ITC Avant Garde" w:eastAsia="Times New Roman" w:hAnsi="ITC Avant Garde" w:cs="Arial"/>
          <w:bCs/>
          <w:lang w:val="es-ES_tradnl" w:eastAsia="es-ES"/>
        </w:rPr>
        <w:t xml:space="preserve"> para esta revisi</w:t>
      </w:r>
      <w:r w:rsidR="004C2033" w:rsidRPr="004C52B2">
        <w:rPr>
          <w:rFonts w:ascii="ITC Avant Garde" w:eastAsia="Times New Roman" w:hAnsi="ITC Avant Garde" w:cs="Arial"/>
          <w:bCs/>
          <w:lang w:val="es-ES_tradnl" w:eastAsia="es-ES"/>
        </w:rPr>
        <w:t xml:space="preserve">ón es el correspondiente a los </w:t>
      </w:r>
      <w:r w:rsidR="005E3403" w:rsidRPr="004C52B2">
        <w:rPr>
          <w:rFonts w:ascii="ITC Avant Garde" w:eastAsia="Times New Roman" w:hAnsi="ITC Avant Garde" w:cs="Arial"/>
          <w:bCs/>
          <w:lang w:val="es-ES_tradnl" w:eastAsia="es-ES"/>
        </w:rPr>
        <w:t>G</w:t>
      </w:r>
      <w:r w:rsidR="004C2033" w:rsidRPr="004C52B2">
        <w:rPr>
          <w:rFonts w:ascii="ITC Avant Garde" w:eastAsia="Times New Roman" w:hAnsi="ITC Avant Garde" w:cs="Arial"/>
          <w:bCs/>
          <w:lang w:val="es-ES_tradnl" w:eastAsia="es-ES"/>
        </w:rPr>
        <w:t xml:space="preserve">astos </w:t>
      </w:r>
      <w:r w:rsidR="00FE1C26" w:rsidRPr="004C52B2">
        <w:rPr>
          <w:rFonts w:ascii="ITC Avant Garde" w:eastAsia="Times New Roman" w:hAnsi="ITC Avant Garde" w:cs="Arial"/>
          <w:bCs/>
          <w:lang w:val="es-ES_tradnl" w:eastAsia="es-ES"/>
        </w:rPr>
        <w:t>O</w:t>
      </w:r>
      <w:r w:rsidR="003D5EF7" w:rsidRPr="004C52B2">
        <w:rPr>
          <w:rFonts w:ascii="ITC Avant Garde" w:eastAsia="Times New Roman" w:hAnsi="ITC Avant Garde" w:cs="Arial"/>
          <w:bCs/>
          <w:lang w:val="es-ES_tradnl" w:eastAsia="es-ES"/>
        </w:rPr>
        <w:t>perativos</w:t>
      </w:r>
      <w:r w:rsidR="005E3403" w:rsidRPr="004C52B2">
        <w:rPr>
          <w:rFonts w:ascii="ITC Avant Garde" w:eastAsia="Times New Roman" w:hAnsi="ITC Avant Garde" w:cs="Arial"/>
          <w:bCs/>
          <w:lang w:val="es-ES_tradnl" w:eastAsia="es-ES"/>
        </w:rPr>
        <w:t xml:space="preserve"> Totales</w:t>
      </w:r>
      <w:r w:rsidR="003D5EF7" w:rsidRPr="004C52B2">
        <w:rPr>
          <w:rFonts w:ascii="ITC Avant Garde" w:eastAsia="Times New Roman" w:hAnsi="ITC Avant Garde" w:cs="Arial"/>
          <w:bCs/>
          <w:lang w:val="es-ES_tradnl" w:eastAsia="es-ES"/>
        </w:rPr>
        <w:t>.</w:t>
      </w:r>
      <w:r w:rsidR="00FE1C26" w:rsidRPr="004C52B2">
        <w:rPr>
          <w:rFonts w:ascii="ITC Avant Garde" w:eastAsia="Times New Roman" w:hAnsi="ITC Avant Garde" w:cs="Arial"/>
          <w:bCs/>
          <w:lang w:val="es-ES_tradnl" w:eastAsia="es-ES"/>
        </w:rPr>
        <w:t xml:space="preserve"> </w:t>
      </w:r>
      <w:r w:rsidR="005E3403" w:rsidRPr="004C52B2">
        <w:rPr>
          <w:rFonts w:ascii="ITC Avant Garde" w:eastAsia="Times New Roman" w:hAnsi="ITC Avant Garde" w:cs="Arial"/>
          <w:bCs/>
          <w:lang w:val="es-ES_tradnl" w:eastAsia="es-ES"/>
        </w:rPr>
        <w:t xml:space="preserve">En la siguiente figura se muestra la tendencia de los Gastos </w:t>
      </w:r>
      <w:r w:rsidR="00FE1C26" w:rsidRPr="004C52B2">
        <w:rPr>
          <w:rFonts w:ascii="ITC Avant Garde" w:eastAsia="Times New Roman" w:hAnsi="ITC Avant Garde" w:cs="Arial"/>
          <w:bCs/>
          <w:lang w:val="es-ES_tradnl" w:eastAsia="es-ES"/>
        </w:rPr>
        <w:t>O</w:t>
      </w:r>
      <w:r w:rsidR="005E3403" w:rsidRPr="004C52B2">
        <w:rPr>
          <w:rFonts w:ascii="ITC Avant Garde" w:eastAsia="Times New Roman" w:hAnsi="ITC Avant Garde" w:cs="Arial"/>
          <w:bCs/>
          <w:lang w:val="es-ES_tradnl" w:eastAsia="es-ES"/>
        </w:rPr>
        <w:t xml:space="preserve">perativos </w:t>
      </w:r>
      <w:r w:rsidR="00FE1C26" w:rsidRPr="004C52B2">
        <w:rPr>
          <w:rFonts w:ascii="ITC Avant Garde" w:eastAsia="Times New Roman" w:hAnsi="ITC Avant Garde" w:cs="Arial"/>
          <w:bCs/>
          <w:lang w:val="es-ES_tradnl" w:eastAsia="es-ES"/>
        </w:rPr>
        <w:t>T</w:t>
      </w:r>
      <w:r w:rsidR="005E3403" w:rsidRPr="004C52B2">
        <w:rPr>
          <w:rFonts w:ascii="ITC Avant Garde" w:eastAsia="Times New Roman" w:hAnsi="ITC Avant Garde" w:cs="Arial"/>
          <w:bCs/>
          <w:lang w:val="es-ES_tradnl" w:eastAsia="es-ES"/>
        </w:rPr>
        <w:t>otales de Telmex en los últimos años.</w:t>
      </w:r>
    </w:p>
    <w:p w14:paraId="022FA2F1" w14:textId="59303265" w:rsidR="001E29FF" w:rsidRDefault="001E29FF" w:rsidP="00E646DD">
      <w:pPr>
        <w:spacing w:before="720" w:after="480" w:line="240" w:lineRule="auto"/>
        <w:jc w:val="center"/>
        <w:rPr>
          <w:rFonts w:ascii="ITC Avant Garde" w:hAnsi="ITC Avant Garde"/>
          <w:b/>
          <w:bCs/>
          <w:color w:val="0000CC"/>
          <w:lang w:eastAsia="es-MX"/>
        </w:rPr>
      </w:pPr>
      <w:r>
        <w:rPr>
          <w:rFonts w:ascii="ITC Avant Garde" w:hAnsi="ITC Avant Garde"/>
          <w:b/>
          <w:bCs/>
          <w:color w:val="0000CC"/>
          <w:lang w:eastAsia="es-MX"/>
        </w:rPr>
        <w:t xml:space="preserve">GRAFICO QUE CONTIENE INFORMACIÓN </w:t>
      </w:r>
      <w:r w:rsidRPr="002C2AEE">
        <w:rPr>
          <w:rFonts w:ascii="ITC Avant Garde" w:hAnsi="ITC Avant Garde"/>
          <w:b/>
          <w:bCs/>
          <w:color w:val="0000CC"/>
          <w:lang w:eastAsia="es-MX"/>
        </w:rPr>
        <w:t>“CONFIDENCIAL POR LEY”</w:t>
      </w:r>
    </w:p>
    <w:p w14:paraId="290A28B4" w14:textId="3722CC46" w:rsidR="00AC1D07" w:rsidRPr="00AC1D07" w:rsidRDefault="00AC1D07" w:rsidP="00AC1D07">
      <w:pPr>
        <w:spacing w:line="240" w:lineRule="auto"/>
        <w:jc w:val="center"/>
        <w:rPr>
          <w:rFonts w:ascii="ITC Avant Garde" w:eastAsia="Times New Roman" w:hAnsi="ITC Avant Garde" w:cs="Arial"/>
          <w:bCs/>
          <w:color w:val="000000" w:themeColor="text1"/>
          <w:lang w:val="es-ES_tradnl" w:eastAsia="es-ES"/>
        </w:rPr>
      </w:pPr>
      <w:r w:rsidRPr="00AC1D07">
        <w:rPr>
          <w:rFonts w:ascii="ITC Avant Garde" w:hAnsi="ITC Avant Garde"/>
          <w:b/>
          <w:bCs/>
          <w:color w:val="000000" w:themeColor="text1"/>
          <w:lang w:eastAsia="es-MX"/>
        </w:rPr>
        <w:t>Gastos Operativos totales de Telmex</w:t>
      </w:r>
    </w:p>
    <w:p w14:paraId="7A7E6937" w14:textId="77777777" w:rsidR="000E3D68" w:rsidRPr="00F17AE3" w:rsidRDefault="000E3D68" w:rsidP="0053417D">
      <w:pPr>
        <w:shd w:val="clear" w:color="auto" w:fill="FFFFFF"/>
        <w:spacing w:after="0" w:line="240" w:lineRule="auto"/>
        <w:jc w:val="center"/>
        <w:rPr>
          <w:rFonts w:ascii="ITC Avant Garde" w:eastAsia="Times New Roman" w:hAnsi="ITC Avant Garde" w:cs="Segoe UI"/>
          <w:i/>
          <w:sz w:val="16"/>
        </w:rPr>
      </w:pPr>
      <w:r w:rsidRPr="00F17AE3">
        <w:rPr>
          <w:rFonts w:ascii="ITC Avant Garde" w:eastAsia="Times New Roman" w:hAnsi="ITC Avant Garde" w:cs="Segoe UI"/>
          <w:i/>
          <w:sz w:val="16"/>
        </w:rPr>
        <w:t>Fuente: Elaboración propia con información proporc</w:t>
      </w:r>
      <w:r w:rsidR="006D2D32" w:rsidRPr="00F17AE3">
        <w:rPr>
          <w:rFonts w:ascii="ITC Avant Garde" w:eastAsia="Times New Roman" w:hAnsi="ITC Avant Garde" w:cs="Segoe UI"/>
          <w:i/>
          <w:sz w:val="16"/>
        </w:rPr>
        <w:t>ionada por Telmex</w:t>
      </w:r>
      <w:r w:rsidRPr="00F17AE3">
        <w:rPr>
          <w:rFonts w:ascii="ITC Avant Garde" w:eastAsia="Times New Roman" w:hAnsi="ITC Avant Garde" w:cs="Segoe UI"/>
          <w:i/>
          <w:sz w:val="16"/>
        </w:rPr>
        <w:t xml:space="preserve"> y T</w:t>
      </w:r>
      <w:r w:rsidR="002B151D" w:rsidRPr="00F17AE3">
        <w:rPr>
          <w:rFonts w:ascii="ITC Avant Garde" w:eastAsia="Times New Roman" w:hAnsi="ITC Avant Garde" w:cs="Segoe UI"/>
          <w:i/>
          <w:sz w:val="16"/>
        </w:rPr>
        <w:t>elnor</w:t>
      </w:r>
      <w:r w:rsidRPr="00F17AE3">
        <w:rPr>
          <w:rFonts w:ascii="ITC Avant Garde" w:eastAsia="Times New Roman" w:hAnsi="ITC Avant Garde" w:cs="Segoe UI"/>
          <w:i/>
          <w:sz w:val="16"/>
        </w:rPr>
        <w:t>.</w:t>
      </w:r>
    </w:p>
    <w:p w14:paraId="1572A13A" w14:textId="77777777" w:rsidR="008369E9" w:rsidRDefault="00817191" w:rsidP="008369E9">
      <w:pPr>
        <w:adjustRightInd w:val="0"/>
        <w:spacing w:before="240" w:line="240" w:lineRule="auto"/>
        <w:jc w:val="both"/>
        <w:rPr>
          <w:rFonts w:ascii="ITC Avant Garde" w:eastAsia="Times New Roman" w:hAnsi="ITC Avant Garde" w:cs="Arial"/>
          <w:bCs/>
          <w:lang w:val="es-ES_tradnl" w:eastAsia="es-ES"/>
        </w:rPr>
      </w:pPr>
      <w:r>
        <w:rPr>
          <w:rFonts w:ascii="ITC Avant Garde" w:eastAsia="Times New Roman" w:hAnsi="ITC Avant Garde" w:cs="Arial"/>
          <w:b/>
          <w:bCs/>
          <w:lang w:val="es-ES_tradnl" w:eastAsia="es-ES"/>
        </w:rPr>
        <w:t>7.</w:t>
      </w:r>
      <w:r w:rsidR="00FD0EAE">
        <w:rPr>
          <w:rFonts w:ascii="ITC Avant Garde" w:eastAsia="Times New Roman" w:hAnsi="ITC Avant Garde" w:cs="Arial"/>
          <w:b/>
          <w:bCs/>
          <w:lang w:val="es-ES_tradnl" w:eastAsia="es-ES"/>
        </w:rPr>
        <w:t>3</w:t>
      </w:r>
      <w:r>
        <w:rPr>
          <w:rFonts w:ascii="ITC Avant Garde" w:eastAsia="Times New Roman" w:hAnsi="ITC Avant Garde" w:cs="Arial"/>
          <w:b/>
          <w:bCs/>
          <w:lang w:val="es-ES_tradnl" w:eastAsia="es-ES"/>
        </w:rPr>
        <w:t xml:space="preserve"> </w:t>
      </w:r>
      <w:r w:rsidR="006B0D46" w:rsidRPr="00F17AE3">
        <w:rPr>
          <w:rFonts w:ascii="ITC Avant Garde" w:eastAsia="Times New Roman" w:hAnsi="ITC Avant Garde" w:cs="Arial"/>
          <w:b/>
          <w:bCs/>
          <w:lang w:val="es-ES_tradnl" w:eastAsia="es-ES"/>
        </w:rPr>
        <w:t xml:space="preserve">NIC 19. </w:t>
      </w:r>
      <w:r w:rsidR="006B0D46" w:rsidRPr="004C52B2">
        <w:rPr>
          <w:rFonts w:ascii="ITC Avant Garde" w:eastAsia="Times New Roman" w:hAnsi="ITC Avant Garde" w:cs="Arial"/>
          <w:bCs/>
          <w:lang w:val="es-ES_tradnl" w:eastAsia="es-ES"/>
        </w:rPr>
        <w:t>La NIC 19 es la Norma Internacional de Contabilidad 19: Beneficios a los empleados. Se refiere a todas las formas de contraprestación concedida por una entidad a cambio de los servicios prestados por los empleados o por indemnizaciones por cese</w:t>
      </w:r>
      <w:r w:rsidR="006B0D46" w:rsidRPr="004C52B2">
        <w:rPr>
          <w:rStyle w:val="Refdenotaalpie"/>
          <w:rFonts w:ascii="ITC Avant Garde" w:eastAsia="Times New Roman" w:hAnsi="ITC Avant Garde" w:cs="Arial"/>
          <w:bCs/>
          <w:lang w:val="es-ES_tradnl" w:eastAsia="es-ES"/>
        </w:rPr>
        <w:footnoteReference w:id="4"/>
      </w:r>
      <w:r w:rsidR="006B0D46" w:rsidRPr="004C52B2">
        <w:rPr>
          <w:rFonts w:ascii="ITC Avant Garde" w:eastAsia="Times New Roman" w:hAnsi="ITC Avant Garde" w:cs="Arial"/>
          <w:bCs/>
          <w:lang w:val="es-ES_tradnl" w:eastAsia="es-ES"/>
        </w:rPr>
        <w:t>.</w:t>
      </w:r>
    </w:p>
    <w:p w14:paraId="38A7867C" w14:textId="77777777" w:rsidR="008369E9" w:rsidRDefault="006B0D46" w:rsidP="008369E9">
      <w:pPr>
        <w:adjustRightInd w:val="0"/>
        <w:spacing w:before="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lastRenderedPageBreak/>
        <w:t>Su objetivo es prescribir el tratamiento contable y la información a revelar sobre los beneficios a los empleados. Se requiere que una entidad reconozca los siguientes puntos:</w:t>
      </w:r>
    </w:p>
    <w:p w14:paraId="51AE9E0A" w14:textId="699FF5D9" w:rsidR="006B0D46" w:rsidRPr="004C52B2" w:rsidRDefault="006B0D46" w:rsidP="008369E9">
      <w:pPr>
        <w:pStyle w:val="Prrafodelista"/>
        <w:numPr>
          <w:ilvl w:val="0"/>
          <w:numId w:val="22"/>
        </w:numPr>
        <w:adjustRightInd w:val="0"/>
        <w:spacing w:before="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un pasivo cuando el empleado ha prestado servicios a cambio de beneficios a los empleados a pagar en el futuro; y</w:t>
      </w:r>
    </w:p>
    <w:p w14:paraId="42AEEA49" w14:textId="77777777" w:rsidR="008369E9" w:rsidRDefault="006B0D46" w:rsidP="008369E9">
      <w:pPr>
        <w:pStyle w:val="Prrafodelista"/>
        <w:numPr>
          <w:ilvl w:val="0"/>
          <w:numId w:val="22"/>
        </w:numPr>
        <w:adjustRightInd w:val="0"/>
        <w:spacing w:before="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un gasto cuando la entidad consume el beneficio económico procedente del servicio prestado por el empleado a cambio de los beneficios a los empleados.</w:t>
      </w:r>
    </w:p>
    <w:p w14:paraId="0D6B6743" w14:textId="77777777" w:rsidR="008369E9" w:rsidRDefault="006B0D46" w:rsidP="008369E9">
      <w:pPr>
        <w:adjustRightInd w:val="0"/>
        <w:spacing w:before="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La norma es aplicada por los empleadores al contabilizar todos los beneficios a los empleados, excepto aquéllos a las que sea de aplicación la Norma Internacional de Información Financiera 2 Pagos Basados en Acciones.</w:t>
      </w:r>
    </w:p>
    <w:p w14:paraId="023FF00E" w14:textId="77777777" w:rsidR="008369E9" w:rsidRDefault="00AA1568" w:rsidP="008369E9">
      <w:pPr>
        <w:adjustRightInd w:val="0"/>
        <w:spacing w:before="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Conforme a los estados financieros de Telmex, se reconocen como beneficios a los empleados las pensiones y primas de antigüedad:</w:t>
      </w:r>
    </w:p>
    <w:p w14:paraId="159313EF" w14:textId="792114BA" w:rsidR="008369E9" w:rsidRPr="00AC1D07" w:rsidRDefault="001E29FF" w:rsidP="00E646DD">
      <w:pPr>
        <w:pStyle w:val="Citaiftcalibri"/>
        <w:spacing w:before="240" w:after="200"/>
        <w:jc w:val="center"/>
        <w:rPr>
          <w:rFonts w:ascii="ITC Avant Garde" w:hAnsi="ITC Avant Garde"/>
          <w:i w:val="0"/>
          <w:sz w:val="20"/>
        </w:rPr>
      </w:pPr>
      <w:r w:rsidRPr="00AC1D07">
        <w:rPr>
          <w:rFonts w:ascii="ITC Avant Garde" w:hAnsi="ITC Avant Garde"/>
          <w:b/>
          <w:bCs w:val="0"/>
          <w:i w:val="0"/>
          <w:color w:val="0000CC"/>
          <w:sz w:val="22"/>
          <w:szCs w:val="22"/>
          <w:lang w:eastAsia="es-MX"/>
        </w:rPr>
        <w:t>“CONFIDENCIAL POR LEY”</w:t>
      </w:r>
    </w:p>
    <w:p w14:paraId="60C5E6AC" w14:textId="77777777" w:rsidR="008369E9" w:rsidRDefault="00141B51" w:rsidP="008369E9">
      <w:pPr>
        <w:adjustRightInd w:val="0"/>
        <w:spacing w:before="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De lo anterior, se desprende que las formas de contraprestación relativas a las pensiones y primas de antigüedad que da Telmex a sus empleados no son consecuencia de transacciones, es decir, dichos beneficios se deben a los servicios pres</w:t>
      </w:r>
      <w:r w:rsidR="005008D4">
        <w:rPr>
          <w:rFonts w:ascii="ITC Avant Garde" w:eastAsia="Times New Roman" w:hAnsi="ITC Avant Garde" w:cs="Arial"/>
          <w:bCs/>
          <w:lang w:val="es-ES_tradnl" w:eastAsia="es-ES"/>
        </w:rPr>
        <w:t>t</w:t>
      </w:r>
      <w:r w:rsidRPr="004C52B2">
        <w:rPr>
          <w:rFonts w:ascii="ITC Avant Garde" w:eastAsia="Times New Roman" w:hAnsi="ITC Avant Garde" w:cs="Arial"/>
          <w:bCs/>
          <w:lang w:val="es-ES_tradnl" w:eastAsia="es-ES"/>
        </w:rPr>
        <w:t>ados por los empleados. De esta manera, conforme a la NIC 19 la empresa debe reconocer tales participaciones como un gasto operativo.</w:t>
      </w:r>
    </w:p>
    <w:p w14:paraId="63F1593F" w14:textId="77777777" w:rsidR="008369E9" w:rsidRDefault="001253F8" w:rsidP="008369E9">
      <w:pPr>
        <w:adjustRightInd w:val="0"/>
        <w:spacing w:before="240" w:line="240" w:lineRule="auto"/>
        <w:jc w:val="both"/>
        <w:rPr>
          <w:rFonts w:ascii="ITC Avant Garde" w:eastAsia="Times New Roman" w:hAnsi="ITC Avant Garde" w:cs="Arial"/>
          <w:bCs/>
          <w:lang w:val="es-ES_tradnl" w:eastAsia="es-ES"/>
        </w:rPr>
      </w:pPr>
      <w:r w:rsidRPr="00F17AE3">
        <w:rPr>
          <w:rFonts w:ascii="ITC Avant Garde" w:eastAsia="Times New Roman" w:hAnsi="ITC Avant Garde" w:cs="Arial"/>
          <w:bCs/>
          <w:lang w:val="es-ES_tradnl" w:eastAsia="es-ES"/>
        </w:rPr>
        <w:t>Por otra parte, e</w:t>
      </w:r>
      <w:r w:rsidR="005F448D" w:rsidRPr="00F17AE3">
        <w:rPr>
          <w:rFonts w:ascii="ITC Avant Garde" w:eastAsia="Times New Roman" w:hAnsi="ITC Avant Garde" w:cs="Arial"/>
          <w:bCs/>
          <w:lang w:val="es-ES_tradnl" w:eastAsia="es-ES"/>
        </w:rPr>
        <w:t>n la propuesta entregada por Telmex 2017-2018</w:t>
      </w:r>
      <w:r w:rsidR="005F448D" w:rsidRPr="00892A83">
        <w:rPr>
          <w:rFonts w:eastAsia="Times New Roman" w:cs="Arial"/>
          <w:bCs/>
          <w:vertAlign w:val="superscript"/>
          <w:lang w:val="es-ES_tradnl" w:eastAsia="es-ES"/>
        </w:rPr>
        <w:footnoteReference w:id="5"/>
      </w:r>
      <w:r w:rsidR="005F448D" w:rsidRPr="00F17AE3">
        <w:rPr>
          <w:rFonts w:ascii="ITC Avant Garde" w:eastAsia="Times New Roman" w:hAnsi="ITC Avant Garde" w:cs="Arial"/>
          <w:bCs/>
          <w:lang w:val="es-ES_tradnl" w:eastAsia="es-ES"/>
        </w:rPr>
        <w:t>, en el apartado que muestra el rubro de Materiales, Rentas y Servicios (MRS) se desprende que los Gastos Operativos Totales a partir de 2013 tuvieron ajustes conforme a la norma contable NIC 19. En la siguiente tabla se muestran las cantidades repo</w:t>
      </w:r>
      <w:r w:rsidR="00824EDC" w:rsidRPr="004C52B2">
        <w:rPr>
          <w:rFonts w:ascii="ITC Avant Garde" w:eastAsia="Times New Roman" w:hAnsi="ITC Avant Garde" w:cs="Arial"/>
          <w:bCs/>
          <w:lang w:val="es-ES_tradnl" w:eastAsia="es-ES"/>
        </w:rPr>
        <w:t>rta</w:t>
      </w:r>
      <w:r w:rsidR="005F448D" w:rsidRPr="00F17AE3">
        <w:rPr>
          <w:rFonts w:ascii="ITC Avant Garde" w:eastAsia="Times New Roman" w:hAnsi="ITC Avant Garde" w:cs="Arial"/>
          <w:bCs/>
          <w:lang w:val="es-ES_tradnl" w:eastAsia="es-ES"/>
        </w:rPr>
        <w:t>das por Telmex en el rubro de Gastos Operativos Totales</w:t>
      </w:r>
      <w:r w:rsidR="00481062">
        <w:rPr>
          <w:rFonts w:ascii="ITC Avant Garde" w:eastAsia="Times New Roman" w:hAnsi="ITC Avant Garde" w:cs="Arial"/>
          <w:bCs/>
          <w:lang w:val="es-ES_tradnl" w:eastAsia="es-ES"/>
        </w:rPr>
        <w:t xml:space="preserve"> y se resaltan las cantidades para los años</w:t>
      </w:r>
      <w:r w:rsidR="009617F9">
        <w:rPr>
          <w:rFonts w:ascii="ITC Avant Garde" w:eastAsia="Times New Roman" w:hAnsi="ITC Avant Garde" w:cs="Arial"/>
          <w:bCs/>
          <w:lang w:val="es-ES_tradnl" w:eastAsia="es-ES"/>
        </w:rPr>
        <w:t xml:space="preserve"> </w:t>
      </w:r>
      <w:r w:rsidR="00481062">
        <w:rPr>
          <w:rFonts w:ascii="ITC Avant Garde" w:eastAsia="Times New Roman" w:hAnsi="ITC Avant Garde" w:cs="Arial"/>
          <w:bCs/>
          <w:lang w:val="es-ES_tradnl" w:eastAsia="es-ES"/>
        </w:rPr>
        <w:t>2014 y 2015</w:t>
      </w:r>
      <w:r w:rsidR="00911516">
        <w:rPr>
          <w:rFonts w:ascii="ITC Avant Garde" w:eastAsia="Times New Roman" w:hAnsi="ITC Avant Garde" w:cs="Arial"/>
          <w:bCs/>
          <w:lang w:val="es-ES_tradnl" w:eastAsia="es-ES"/>
        </w:rPr>
        <w:t>,</w:t>
      </w:r>
      <w:r w:rsidR="009617F9">
        <w:rPr>
          <w:rFonts w:ascii="ITC Avant Garde" w:eastAsia="Times New Roman" w:hAnsi="ITC Avant Garde" w:cs="Arial"/>
          <w:bCs/>
          <w:lang w:val="es-ES_tradnl" w:eastAsia="es-ES"/>
        </w:rPr>
        <w:t xml:space="preserve"> ya que se observan incrementos considerables respecto a los años anteriores</w:t>
      </w:r>
      <w:r w:rsidR="005F448D" w:rsidRPr="00F17AE3">
        <w:rPr>
          <w:rFonts w:ascii="ITC Avant Garde" w:eastAsia="Times New Roman" w:hAnsi="ITC Avant Garde" w:cs="Arial"/>
          <w:bCs/>
          <w:lang w:val="es-ES_tradnl" w:eastAsia="es-ES"/>
        </w:rPr>
        <w:t>.</w:t>
      </w:r>
    </w:p>
    <w:p w14:paraId="7AA3016C" w14:textId="232F2D80" w:rsidR="001253F8" w:rsidRPr="004C52B2" w:rsidRDefault="001253F8" w:rsidP="001253F8">
      <w:pPr>
        <w:jc w:val="center"/>
        <w:rPr>
          <w:rFonts w:ascii="ITC Avant Garde" w:hAnsi="ITC Avant Garde"/>
          <w:b/>
        </w:rPr>
      </w:pPr>
      <w:r w:rsidRPr="004C52B2">
        <w:rPr>
          <w:rFonts w:ascii="ITC Avant Garde" w:hAnsi="ITC Avant Garde"/>
          <w:b/>
        </w:rPr>
        <w:t>Tabla</w:t>
      </w:r>
      <w:r w:rsidR="00516316" w:rsidRPr="004C52B2">
        <w:rPr>
          <w:rFonts w:ascii="ITC Avant Garde" w:hAnsi="ITC Avant Garde"/>
          <w:b/>
        </w:rPr>
        <w:t xml:space="preserve"> </w:t>
      </w:r>
      <w:r w:rsidR="00FD0EAE">
        <w:rPr>
          <w:rFonts w:ascii="ITC Avant Garde" w:hAnsi="ITC Avant Garde"/>
          <w:b/>
        </w:rPr>
        <w:t>I</w:t>
      </w:r>
      <w:r w:rsidR="00516316" w:rsidRPr="004C52B2">
        <w:rPr>
          <w:rFonts w:ascii="ITC Avant Garde" w:hAnsi="ITC Avant Garde"/>
          <w:b/>
        </w:rPr>
        <w:t>V</w:t>
      </w:r>
      <w:r w:rsidRPr="004C52B2">
        <w:rPr>
          <w:rFonts w:ascii="ITC Avant Garde" w:hAnsi="ITC Avant Garde"/>
          <w:b/>
        </w:rPr>
        <w:t>. Evolución de los gastos en MRS, cantidad de MRS y el deflactor del PIB, periodo 2000 a 2015.</w:t>
      </w:r>
    </w:p>
    <w:p w14:paraId="519A1EB9" w14:textId="5C3B01DC" w:rsidR="00E646DD" w:rsidRDefault="00E646DD" w:rsidP="00E646DD">
      <w:pPr>
        <w:spacing w:before="480" w:after="600"/>
        <w:jc w:val="center"/>
        <w:rPr>
          <w:rFonts w:ascii="ITC Avant Garde" w:eastAsia="Times New Roman" w:hAnsi="ITC Avant Garde"/>
          <w:i/>
          <w:color w:val="000000"/>
          <w:sz w:val="16"/>
          <w:szCs w:val="16"/>
          <w:lang w:eastAsia="es-MX"/>
        </w:rPr>
      </w:pPr>
      <w:r>
        <w:rPr>
          <w:rFonts w:ascii="ITC Avant Garde" w:hAnsi="ITC Avant Garde"/>
          <w:b/>
          <w:bCs/>
          <w:color w:val="0000CC"/>
          <w:lang w:eastAsia="es-MX"/>
        </w:rPr>
        <w:t xml:space="preserve">TABLA QUE CONTIENE INFORMACIÓN </w:t>
      </w:r>
      <w:r w:rsidRPr="002C2AEE">
        <w:rPr>
          <w:rFonts w:ascii="ITC Avant Garde" w:hAnsi="ITC Avant Garde"/>
          <w:b/>
          <w:bCs/>
          <w:color w:val="0000CC"/>
          <w:lang w:eastAsia="es-MX"/>
        </w:rPr>
        <w:t>“CONFIDENCIAL POR LEY”</w:t>
      </w:r>
    </w:p>
    <w:p w14:paraId="506B88FD" w14:textId="5B045E14" w:rsidR="008369E9" w:rsidRDefault="005F448D" w:rsidP="005F448D">
      <w:pPr>
        <w:jc w:val="both"/>
        <w:rPr>
          <w:rFonts w:ascii="ITC Avant Garde" w:hAnsi="ITC Avant Garde"/>
          <w:i/>
          <w:sz w:val="16"/>
        </w:rPr>
      </w:pPr>
      <w:r w:rsidRPr="004C52B2">
        <w:rPr>
          <w:rFonts w:ascii="ITC Avant Garde" w:eastAsia="Times New Roman" w:hAnsi="ITC Avant Garde"/>
          <w:i/>
          <w:color w:val="000000"/>
          <w:sz w:val="16"/>
          <w:szCs w:val="16"/>
          <w:lang w:eastAsia="es-MX"/>
        </w:rPr>
        <w:t xml:space="preserve">Fuente: </w:t>
      </w:r>
      <w:r w:rsidRPr="004C52B2">
        <w:rPr>
          <w:rFonts w:ascii="ITC Avant Garde" w:hAnsi="ITC Avant Garde"/>
          <w:i/>
          <w:sz w:val="16"/>
        </w:rPr>
        <w:t>Información proporcionada por Telmex. “Cálculo de la Productividad Total de los Factores y del Factor X de Teléfonos de México, S.A.B. de C.V.”, 2016.</w:t>
      </w:r>
    </w:p>
    <w:p w14:paraId="67FAFF53" w14:textId="77777777" w:rsidR="008369E9" w:rsidRDefault="000368CF" w:rsidP="008369E9">
      <w:pPr>
        <w:adjustRightInd w:val="0"/>
        <w:spacing w:before="240" w:line="240" w:lineRule="auto"/>
        <w:jc w:val="both"/>
        <w:rPr>
          <w:rFonts w:ascii="ITC Avant Garde" w:eastAsia="Times New Roman" w:hAnsi="ITC Avant Garde" w:cs="Arial"/>
          <w:bCs/>
          <w:lang w:val="es-ES_tradnl" w:eastAsia="es-ES"/>
        </w:rPr>
      </w:pPr>
      <w:r>
        <w:rPr>
          <w:rFonts w:ascii="ITC Avant Garde" w:eastAsia="Times New Roman" w:hAnsi="ITC Avant Garde" w:cs="Arial"/>
          <w:bCs/>
          <w:lang w:val="es-ES_tradnl" w:eastAsia="es-ES"/>
        </w:rPr>
        <w:lastRenderedPageBreak/>
        <w:t>Además</w:t>
      </w:r>
      <w:r w:rsidR="005F448D" w:rsidRPr="00F17AE3">
        <w:rPr>
          <w:rFonts w:ascii="ITC Avant Garde" w:eastAsia="Times New Roman" w:hAnsi="ITC Avant Garde" w:cs="Arial"/>
          <w:bCs/>
          <w:lang w:val="es-ES_tradnl" w:eastAsia="es-ES"/>
        </w:rPr>
        <w:t>, en el “Anexo I: Ajustes metodológicos realizados a la información financiera de Telmex” de la propuesta, se señala lo siguiente:</w:t>
      </w:r>
    </w:p>
    <w:p w14:paraId="6D41DC3F" w14:textId="44C6FEED" w:rsidR="008369E9" w:rsidRPr="00E646DD" w:rsidRDefault="00E646DD" w:rsidP="00E646DD">
      <w:pPr>
        <w:pStyle w:val="Citaiftcalibri"/>
        <w:spacing w:before="240" w:after="200"/>
        <w:ind w:left="0"/>
        <w:rPr>
          <w:rFonts w:ascii="ITC Avant Garde" w:hAnsi="ITC Avant Garde"/>
          <w:i w:val="0"/>
          <w:sz w:val="20"/>
        </w:rPr>
      </w:pPr>
      <w:r w:rsidRPr="00E646DD">
        <w:rPr>
          <w:rFonts w:ascii="ITC Avant Garde" w:hAnsi="ITC Avant Garde"/>
          <w:b/>
          <w:i w:val="0"/>
          <w:color w:val="0000CC"/>
          <w:lang w:eastAsia="es-MX"/>
        </w:rPr>
        <w:t>“CONFIDENCIAL POR LEY”</w:t>
      </w:r>
    </w:p>
    <w:p w14:paraId="4FC673A4" w14:textId="77777777" w:rsidR="008369E9" w:rsidRDefault="005F448D" w:rsidP="008369E9">
      <w:pPr>
        <w:adjustRightInd w:val="0"/>
        <w:spacing w:before="240" w:line="240" w:lineRule="auto"/>
        <w:jc w:val="both"/>
        <w:rPr>
          <w:rFonts w:ascii="ITC Avant Garde" w:eastAsia="Times New Roman" w:hAnsi="ITC Avant Garde" w:cs="Arial"/>
          <w:bCs/>
          <w:lang w:val="es-ES_tradnl" w:eastAsia="es-ES"/>
        </w:rPr>
      </w:pPr>
      <w:r w:rsidRPr="00F17AE3">
        <w:rPr>
          <w:rFonts w:ascii="ITC Avant Garde" w:eastAsia="Times New Roman" w:hAnsi="ITC Avant Garde" w:cs="Arial"/>
          <w:bCs/>
          <w:lang w:val="es-ES_tradnl" w:eastAsia="es-ES"/>
        </w:rPr>
        <w:t>De lo anterior, se desprende que los cambios derivados de la NIC 19 sobre la contabilización de los planes de beneficios definidos y beneficios por terminación requieren que sean registrados directamente en otras partidas de utilidad integral del capital contable en cada periodo reportado.</w:t>
      </w:r>
    </w:p>
    <w:p w14:paraId="657343BE" w14:textId="12AB46C3" w:rsidR="008369E9" w:rsidRDefault="005F448D" w:rsidP="008369E9">
      <w:pPr>
        <w:adjustRightInd w:val="0"/>
        <w:spacing w:before="240" w:line="240" w:lineRule="auto"/>
        <w:jc w:val="both"/>
        <w:rPr>
          <w:rFonts w:ascii="ITC Avant Garde" w:eastAsia="Times New Roman" w:hAnsi="ITC Avant Garde" w:cs="Arial"/>
          <w:bCs/>
          <w:lang w:val="es-ES_tradnl" w:eastAsia="es-ES"/>
        </w:rPr>
      </w:pPr>
      <w:r w:rsidRPr="00F17AE3">
        <w:rPr>
          <w:rFonts w:ascii="ITC Avant Garde" w:eastAsia="Times New Roman" w:hAnsi="ITC Avant Garde" w:cs="Arial"/>
          <w:bCs/>
          <w:lang w:val="es-ES_tradnl" w:eastAsia="es-ES"/>
        </w:rPr>
        <w:t xml:space="preserve">En este sentido, en el primer requerimiento de información que se realizó a Telmex se solicitó que se explicaran los ajustes metodológicos de la información financiera de Telmex relacionados con la NIC 19. Al respecto, Telmex señaló </w:t>
      </w:r>
      <w:proofErr w:type="gramStart"/>
      <w:r w:rsidRPr="00F17AE3">
        <w:rPr>
          <w:rFonts w:ascii="ITC Avant Garde" w:eastAsia="Times New Roman" w:hAnsi="ITC Avant Garde" w:cs="Arial"/>
          <w:bCs/>
          <w:lang w:val="es-ES_tradnl" w:eastAsia="es-ES"/>
        </w:rPr>
        <w:t>que</w:t>
      </w:r>
      <w:proofErr w:type="gramEnd"/>
      <w:r w:rsidRPr="00F17AE3">
        <w:rPr>
          <w:rFonts w:ascii="ITC Avant Garde" w:eastAsia="Times New Roman" w:hAnsi="ITC Avant Garde" w:cs="Arial"/>
          <w:bCs/>
          <w:lang w:val="es-ES_tradnl" w:eastAsia="es-ES"/>
        </w:rPr>
        <w:t xml:space="preserve"> con la finalidad de homologar la información financiera, se efectuaron ajustes proforma a los resultados de 2013, de tal forma que quedaran los gastos de pensiones y antigüedades con base en las disposiciones de la NIC 19 que estuvo vigente hasta el 31 de diciembre de 2012, logrando con esto comparabilidad con los años anteriores</w:t>
      </w:r>
      <w:r w:rsidR="00064019" w:rsidRPr="004C52B2">
        <w:rPr>
          <w:rFonts w:ascii="ITC Avant Garde" w:eastAsia="Times New Roman" w:hAnsi="ITC Avant Garde" w:cs="Arial"/>
          <w:bCs/>
          <w:lang w:val="es-ES_tradnl" w:eastAsia="es-ES"/>
        </w:rPr>
        <w:t>. A</w:t>
      </w:r>
      <w:r w:rsidRPr="00F17AE3">
        <w:rPr>
          <w:rFonts w:ascii="ITC Avant Garde" w:eastAsia="Times New Roman" w:hAnsi="ITC Avant Garde" w:cs="Arial"/>
          <w:bCs/>
          <w:lang w:val="es-ES_tradnl" w:eastAsia="es-ES"/>
        </w:rPr>
        <w:t>simismo, señaló que a partir del 1 de enero de 2013 la empresa adoptó la enmienda a la NIC 19, Beneficios a los Empleados, lo cual tiene como efecto inmediato que se dejen de considerar como gastos de operación los beneficios de los empleados generados por las ganancias/pérdidas actuariales (remediciones) y en su lugar que sean registradas directamente en otra partida de utilidad integral del capital contable en cada periodo reportado. Además, Telmex señaló que para dar cumplimiento a la modificación, a partir de 2013 se separ</w:t>
      </w:r>
      <w:r w:rsidR="00064019" w:rsidRPr="004C52B2">
        <w:rPr>
          <w:rFonts w:ascii="ITC Avant Garde" w:eastAsia="Times New Roman" w:hAnsi="ITC Avant Garde" w:cs="Arial"/>
          <w:bCs/>
          <w:lang w:val="es-ES_tradnl" w:eastAsia="es-ES"/>
        </w:rPr>
        <w:t>aron</w:t>
      </w:r>
      <w:r w:rsidRPr="00F17AE3">
        <w:rPr>
          <w:rFonts w:ascii="ITC Avant Garde" w:eastAsia="Times New Roman" w:hAnsi="ITC Avant Garde" w:cs="Arial"/>
          <w:bCs/>
          <w:lang w:val="es-ES_tradnl" w:eastAsia="es-ES"/>
        </w:rPr>
        <w:t xml:space="preserve"> del rubro de Gastos de Operación dichas remediciones y en su lugar se capturan bajo la cuenta de “Intereses Pasivo Neto Laboral OBD” como un costo de financiamiento, y que a fin de evitar que un cambio contable se vea reflejado en la metodología </w:t>
      </w:r>
      <w:r w:rsidR="00B83AC1">
        <w:rPr>
          <w:rFonts w:ascii="ITC Avant Garde" w:eastAsia="Times New Roman" w:hAnsi="ITC Avant Garde" w:cs="Arial"/>
          <w:bCs/>
          <w:lang w:val="es-ES_tradnl" w:eastAsia="es-ES"/>
        </w:rPr>
        <w:t xml:space="preserve">de la </w:t>
      </w:r>
      <w:r w:rsidR="00064019" w:rsidRPr="004C52B2">
        <w:rPr>
          <w:rFonts w:ascii="ITC Avant Garde" w:eastAsia="Times New Roman" w:hAnsi="ITC Avant Garde" w:cs="Arial"/>
          <w:bCs/>
          <w:lang w:val="es-ES_tradnl" w:eastAsia="es-ES"/>
        </w:rPr>
        <w:t>P</w:t>
      </w:r>
      <w:r w:rsidRPr="00F17AE3">
        <w:rPr>
          <w:rFonts w:ascii="ITC Avant Garde" w:eastAsia="Times New Roman" w:hAnsi="ITC Avant Garde" w:cs="Arial"/>
          <w:bCs/>
          <w:lang w:val="es-ES_tradnl" w:eastAsia="es-ES"/>
        </w:rPr>
        <w:t xml:space="preserve">TF como un cambio real de gastos, y por tanto </w:t>
      </w:r>
      <w:r w:rsidR="00B83AC1">
        <w:rPr>
          <w:rFonts w:ascii="ITC Avant Garde" w:eastAsia="Times New Roman" w:hAnsi="ITC Avant Garde" w:cs="Arial"/>
          <w:bCs/>
          <w:lang w:val="es-ES_tradnl" w:eastAsia="es-ES"/>
        </w:rPr>
        <w:t xml:space="preserve">un </w:t>
      </w:r>
      <w:r w:rsidRPr="00F17AE3">
        <w:rPr>
          <w:rFonts w:ascii="ITC Avant Garde" w:eastAsia="Times New Roman" w:hAnsi="ITC Avant Garde" w:cs="Arial"/>
          <w:bCs/>
          <w:lang w:val="es-ES_tradnl" w:eastAsia="es-ES"/>
        </w:rPr>
        <w:t>cambio en los niveles de productividad, es fundamental mantener la consistencia de la información a lo largo de la serie.</w:t>
      </w:r>
    </w:p>
    <w:p w14:paraId="59DD233D" w14:textId="77777777" w:rsidR="008369E9" w:rsidRDefault="005F448D" w:rsidP="008369E9">
      <w:pPr>
        <w:adjustRightInd w:val="0"/>
        <w:spacing w:before="240" w:line="240" w:lineRule="auto"/>
        <w:jc w:val="both"/>
        <w:rPr>
          <w:rFonts w:ascii="ITC Avant Garde" w:eastAsia="Times New Roman" w:hAnsi="ITC Avant Garde" w:cs="Arial"/>
          <w:bCs/>
          <w:lang w:val="es-ES_tradnl" w:eastAsia="es-ES"/>
        </w:rPr>
      </w:pPr>
      <w:r w:rsidRPr="00F17AE3">
        <w:rPr>
          <w:rFonts w:ascii="ITC Avant Garde" w:eastAsia="Times New Roman" w:hAnsi="ITC Avant Garde" w:cs="Arial"/>
          <w:bCs/>
          <w:lang w:val="es-ES_tradnl" w:eastAsia="es-ES"/>
        </w:rPr>
        <w:t>De esta manera, Telmex señala que para mantener la compatibilidad de las cifras realizó un ajuste proforma para los años 2013, 2014 y 2015, que consistió en integrar la cuenta de “Intereses Pasivo Neto Laboral OBD” al rubro de Gastos de Operación totales, a fin de que fuesen comparables con los valores del resto de la serie 2000-2012.</w:t>
      </w:r>
    </w:p>
    <w:p w14:paraId="3B1ECA84" w14:textId="11FAB421" w:rsidR="005F448D" w:rsidRPr="004C52B2" w:rsidRDefault="005F448D" w:rsidP="00AF40CD">
      <w:pPr>
        <w:adjustRightInd w:val="0"/>
        <w:spacing w:before="240" w:after="1680" w:line="240" w:lineRule="auto"/>
        <w:jc w:val="both"/>
        <w:rPr>
          <w:rFonts w:ascii="ITC Avant Garde" w:eastAsia="Times New Roman" w:hAnsi="ITC Avant Garde" w:cs="Arial"/>
          <w:bCs/>
          <w:lang w:val="es-ES_tradnl" w:eastAsia="es-ES"/>
        </w:rPr>
      </w:pPr>
      <w:r w:rsidRPr="00F17AE3">
        <w:rPr>
          <w:rFonts w:ascii="ITC Avant Garde" w:eastAsia="Times New Roman" w:hAnsi="ITC Avant Garde" w:cs="Arial"/>
          <w:bCs/>
          <w:lang w:val="es-ES_tradnl" w:eastAsia="es-ES"/>
        </w:rPr>
        <w:t xml:space="preserve">No </w:t>
      </w:r>
      <w:proofErr w:type="gramStart"/>
      <w:r w:rsidRPr="00F17AE3">
        <w:rPr>
          <w:rFonts w:ascii="ITC Avant Garde" w:eastAsia="Times New Roman" w:hAnsi="ITC Avant Garde" w:cs="Arial"/>
          <w:bCs/>
          <w:lang w:val="es-ES_tradnl" w:eastAsia="es-ES"/>
        </w:rPr>
        <w:t>obstante</w:t>
      </w:r>
      <w:proofErr w:type="gramEnd"/>
      <w:r w:rsidRPr="00F17AE3">
        <w:rPr>
          <w:rFonts w:ascii="ITC Avant Garde" w:eastAsia="Times New Roman" w:hAnsi="ITC Avant Garde" w:cs="Arial"/>
          <w:bCs/>
          <w:lang w:val="es-ES_tradnl" w:eastAsia="es-ES"/>
        </w:rPr>
        <w:t xml:space="preserve"> lo anterior, se revisaron los estados financieros no consolidados auditados de Telmex para los años 2013, 2014 y 2015. A </w:t>
      </w:r>
      <w:proofErr w:type="gramStart"/>
      <w:r w:rsidRPr="00F17AE3">
        <w:rPr>
          <w:rFonts w:ascii="ITC Avant Garde" w:eastAsia="Times New Roman" w:hAnsi="ITC Avant Garde" w:cs="Arial"/>
          <w:bCs/>
          <w:lang w:val="es-ES_tradnl" w:eastAsia="es-ES"/>
        </w:rPr>
        <w:t>continuación</w:t>
      </w:r>
      <w:proofErr w:type="gramEnd"/>
      <w:r w:rsidRPr="00F17AE3">
        <w:rPr>
          <w:rFonts w:ascii="ITC Avant Garde" w:eastAsia="Times New Roman" w:hAnsi="ITC Avant Garde" w:cs="Arial"/>
          <w:bCs/>
          <w:lang w:val="es-ES_tradnl" w:eastAsia="es-ES"/>
        </w:rPr>
        <w:t xml:space="preserve"> se muestran los Costos y Gastos Operativos reportados:</w:t>
      </w:r>
    </w:p>
    <w:p w14:paraId="277FD3D9" w14:textId="01532B6C" w:rsidR="00516316" w:rsidRDefault="00516316" w:rsidP="008369E9">
      <w:pPr>
        <w:adjustRightInd w:val="0"/>
        <w:spacing w:before="240" w:line="240" w:lineRule="auto"/>
        <w:jc w:val="center"/>
        <w:rPr>
          <w:rFonts w:ascii="ITC Avant Garde" w:eastAsia="Times New Roman" w:hAnsi="ITC Avant Garde" w:cs="Arial"/>
          <w:b/>
          <w:bCs/>
          <w:lang w:val="es-ES_tradnl" w:eastAsia="es-ES"/>
        </w:rPr>
      </w:pPr>
      <w:r w:rsidRPr="004C52B2" w:rsidDel="00D77EE7">
        <w:rPr>
          <w:rFonts w:ascii="ITC Avant Garde" w:eastAsia="Times New Roman" w:hAnsi="ITC Avant Garde" w:cs="Arial"/>
          <w:b/>
          <w:bCs/>
          <w:lang w:val="es-ES_tradnl" w:eastAsia="es-ES"/>
        </w:rPr>
        <w:lastRenderedPageBreak/>
        <w:t xml:space="preserve">Tabla </w:t>
      </w:r>
      <w:r w:rsidRPr="004C52B2">
        <w:rPr>
          <w:rFonts w:ascii="ITC Avant Garde" w:eastAsia="Times New Roman" w:hAnsi="ITC Avant Garde" w:cs="Arial"/>
          <w:b/>
          <w:bCs/>
          <w:lang w:val="es-ES_tradnl" w:eastAsia="es-ES"/>
        </w:rPr>
        <w:t>V</w:t>
      </w:r>
      <w:r w:rsidRPr="004C52B2" w:rsidDel="00D77EE7">
        <w:rPr>
          <w:rFonts w:ascii="ITC Avant Garde" w:eastAsia="Times New Roman" w:hAnsi="ITC Avant Garde" w:cs="Arial"/>
          <w:b/>
          <w:bCs/>
          <w:lang w:val="es-ES_tradnl" w:eastAsia="es-ES"/>
        </w:rPr>
        <w:t xml:space="preserve">. </w:t>
      </w:r>
      <w:r w:rsidRPr="004C52B2">
        <w:rPr>
          <w:rFonts w:ascii="ITC Avant Garde" w:eastAsia="Times New Roman" w:hAnsi="ITC Avant Garde" w:cs="Arial"/>
          <w:b/>
          <w:bCs/>
          <w:lang w:val="es-ES_tradnl" w:eastAsia="es-ES"/>
        </w:rPr>
        <w:t>Costos y Gastos de Operación de Telmex, periodo 2013 a 2015</w:t>
      </w:r>
      <w:r w:rsidRPr="004C52B2" w:rsidDel="00D77EE7">
        <w:rPr>
          <w:rFonts w:ascii="ITC Avant Garde" w:eastAsia="Times New Roman" w:hAnsi="ITC Avant Garde" w:cs="Arial"/>
          <w:b/>
          <w:bCs/>
          <w:lang w:val="es-ES_tradnl" w:eastAsia="es-ES"/>
        </w:rPr>
        <w:t>.</w:t>
      </w:r>
    </w:p>
    <w:p w14:paraId="6EB576FE" w14:textId="429F2B98" w:rsidR="00E646DD" w:rsidRDefault="00E646DD" w:rsidP="00AF40CD">
      <w:pPr>
        <w:adjustRightInd w:val="0"/>
        <w:spacing w:before="600" w:after="600" w:line="240" w:lineRule="auto"/>
        <w:jc w:val="center"/>
        <w:rPr>
          <w:rFonts w:ascii="ITC Avant Garde" w:eastAsia="Times New Roman" w:hAnsi="ITC Avant Garde" w:cs="Arial"/>
          <w:b/>
          <w:bCs/>
          <w:lang w:val="es-ES_tradnl" w:eastAsia="es-ES"/>
        </w:rPr>
      </w:pPr>
      <w:r>
        <w:rPr>
          <w:rFonts w:ascii="ITC Avant Garde" w:hAnsi="ITC Avant Garde"/>
          <w:b/>
          <w:bCs/>
          <w:color w:val="0000CC"/>
          <w:lang w:eastAsia="es-MX"/>
        </w:rPr>
        <w:t xml:space="preserve">TABLA QUE CONTIENE INFORMACIÓN </w:t>
      </w:r>
      <w:r w:rsidRPr="002C2AEE">
        <w:rPr>
          <w:rFonts w:ascii="ITC Avant Garde" w:hAnsi="ITC Avant Garde"/>
          <w:b/>
          <w:bCs/>
          <w:color w:val="0000CC"/>
          <w:lang w:eastAsia="es-MX"/>
        </w:rPr>
        <w:t>“CONFIDENCIAL POR LEY”</w:t>
      </w:r>
    </w:p>
    <w:p w14:paraId="59D2DC77" w14:textId="77777777" w:rsidR="005F448D" w:rsidRPr="004C52B2" w:rsidRDefault="005F448D" w:rsidP="005F448D">
      <w:pPr>
        <w:jc w:val="both"/>
        <w:rPr>
          <w:rFonts w:ascii="ITC Avant Garde" w:hAnsi="ITC Avant Garde"/>
          <w:i/>
          <w:sz w:val="16"/>
        </w:rPr>
      </w:pPr>
      <w:r w:rsidRPr="004C52B2">
        <w:rPr>
          <w:rFonts w:ascii="ITC Avant Garde" w:hAnsi="ITC Avant Garde"/>
          <w:i/>
          <w:sz w:val="16"/>
        </w:rPr>
        <w:t>Fuente: Información proporcionada por Telmex. Estados Financieros no Consolidados de Telmex con Dictamen de los Auditores Independientes, para los ejercicios 2013, 2014 y 2015.</w:t>
      </w:r>
    </w:p>
    <w:p w14:paraId="79A61283" w14:textId="77777777" w:rsidR="008369E9" w:rsidRDefault="005F448D" w:rsidP="008369E9">
      <w:pPr>
        <w:adjustRightInd w:val="0"/>
        <w:spacing w:before="240" w:line="240" w:lineRule="auto"/>
        <w:jc w:val="both"/>
        <w:rPr>
          <w:rFonts w:ascii="ITC Avant Garde" w:eastAsia="Times New Roman" w:hAnsi="ITC Avant Garde" w:cs="Arial"/>
          <w:bCs/>
          <w:lang w:val="es-ES_tradnl" w:eastAsia="es-ES"/>
        </w:rPr>
      </w:pPr>
      <w:r w:rsidRPr="00F17AE3">
        <w:rPr>
          <w:rFonts w:ascii="ITC Avant Garde" w:eastAsia="Times New Roman" w:hAnsi="ITC Avant Garde" w:cs="Arial"/>
          <w:bCs/>
          <w:lang w:val="es-ES_tradnl" w:eastAsia="es-ES"/>
        </w:rPr>
        <w:t>Las cantidades que asume Telmex para la NIC 19 se refieren a un costo de financiamiento denominado “Intereses pasivo neto laboral”, y aparecen dentro del rubro denominado “Costo de financiamiento”:</w:t>
      </w:r>
    </w:p>
    <w:p w14:paraId="7C417777" w14:textId="067E4618" w:rsidR="00B83AC1" w:rsidRDefault="00516316" w:rsidP="008369E9">
      <w:pPr>
        <w:adjustRightInd w:val="0"/>
        <w:spacing w:before="240" w:line="240" w:lineRule="auto"/>
        <w:jc w:val="center"/>
        <w:rPr>
          <w:rFonts w:ascii="ITC Avant Garde" w:eastAsia="Times New Roman" w:hAnsi="ITC Avant Garde" w:cs="Arial"/>
          <w:b/>
          <w:bCs/>
          <w:lang w:val="es-ES_tradnl" w:eastAsia="es-ES"/>
        </w:rPr>
      </w:pPr>
      <w:r w:rsidRPr="004C52B2" w:rsidDel="00D77EE7">
        <w:rPr>
          <w:rFonts w:ascii="ITC Avant Garde" w:eastAsia="Times New Roman" w:hAnsi="ITC Avant Garde" w:cs="Arial"/>
          <w:b/>
          <w:bCs/>
          <w:lang w:val="es-ES_tradnl" w:eastAsia="es-ES"/>
        </w:rPr>
        <w:t xml:space="preserve">Tabla </w:t>
      </w:r>
      <w:r w:rsidRPr="004C52B2">
        <w:rPr>
          <w:rFonts w:ascii="ITC Avant Garde" w:eastAsia="Times New Roman" w:hAnsi="ITC Avant Garde" w:cs="Arial"/>
          <w:b/>
          <w:bCs/>
          <w:lang w:val="es-ES_tradnl" w:eastAsia="es-ES"/>
        </w:rPr>
        <w:t>VI</w:t>
      </w:r>
      <w:r w:rsidRPr="004C52B2" w:rsidDel="00D77EE7">
        <w:rPr>
          <w:rFonts w:ascii="ITC Avant Garde" w:eastAsia="Times New Roman" w:hAnsi="ITC Avant Garde" w:cs="Arial"/>
          <w:b/>
          <w:bCs/>
          <w:lang w:val="es-ES_tradnl" w:eastAsia="es-ES"/>
        </w:rPr>
        <w:t xml:space="preserve">. </w:t>
      </w:r>
      <w:r w:rsidRPr="004C52B2">
        <w:rPr>
          <w:rFonts w:ascii="ITC Avant Garde" w:eastAsia="Times New Roman" w:hAnsi="ITC Avant Garde" w:cs="Arial"/>
          <w:b/>
          <w:bCs/>
          <w:lang w:val="es-ES_tradnl" w:eastAsia="es-ES"/>
        </w:rPr>
        <w:t xml:space="preserve">Costos de </w:t>
      </w:r>
      <w:r w:rsidR="001B6AA7" w:rsidRPr="004C52B2">
        <w:rPr>
          <w:rFonts w:ascii="ITC Avant Garde" w:eastAsia="Times New Roman" w:hAnsi="ITC Avant Garde" w:cs="Arial"/>
          <w:b/>
          <w:bCs/>
          <w:lang w:val="es-ES_tradnl" w:eastAsia="es-ES"/>
        </w:rPr>
        <w:t>financiamiento</w:t>
      </w:r>
      <w:r w:rsidRPr="004C52B2">
        <w:rPr>
          <w:rFonts w:ascii="ITC Avant Garde" w:eastAsia="Times New Roman" w:hAnsi="ITC Avant Garde" w:cs="Arial"/>
          <w:b/>
          <w:bCs/>
          <w:lang w:val="es-ES_tradnl" w:eastAsia="es-ES"/>
        </w:rPr>
        <w:t xml:space="preserve"> de Telmex, periodo 2013 a 2015</w:t>
      </w:r>
      <w:r w:rsidRPr="004C52B2" w:rsidDel="00D77EE7">
        <w:rPr>
          <w:rFonts w:ascii="ITC Avant Garde" w:eastAsia="Times New Roman" w:hAnsi="ITC Avant Garde" w:cs="Arial"/>
          <w:b/>
          <w:bCs/>
          <w:lang w:val="es-ES_tradnl" w:eastAsia="es-ES"/>
        </w:rPr>
        <w:t>.</w:t>
      </w:r>
    </w:p>
    <w:p w14:paraId="3553A9A3" w14:textId="655E8658" w:rsidR="00E646DD" w:rsidRPr="004C52B2" w:rsidDel="00D77EE7" w:rsidRDefault="00AF40CD" w:rsidP="00AF40CD">
      <w:pPr>
        <w:adjustRightInd w:val="0"/>
        <w:spacing w:before="480" w:after="480" w:line="240" w:lineRule="auto"/>
        <w:jc w:val="center"/>
        <w:rPr>
          <w:rFonts w:ascii="ITC Avant Garde" w:eastAsia="Times New Roman" w:hAnsi="ITC Avant Garde" w:cs="Arial"/>
          <w:b/>
          <w:bCs/>
          <w:lang w:val="es-ES_tradnl" w:eastAsia="es-ES"/>
        </w:rPr>
      </w:pPr>
      <w:r>
        <w:rPr>
          <w:rFonts w:ascii="ITC Avant Garde" w:hAnsi="ITC Avant Garde"/>
          <w:b/>
          <w:bCs/>
          <w:color w:val="0000CC"/>
          <w:lang w:eastAsia="es-MX"/>
        </w:rPr>
        <w:t>TABLA</w:t>
      </w:r>
      <w:r w:rsidR="00E646DD">
        <w:rPr>
          <w:rFonts w:ascii="ITC Avant Garde" w:hAnsi="ITC Avant Garde"/>
          <w:b/>
          <w:bCs/>
          <w:color w:val="0000CC"/>
          <w:lang w:eastAsia="es-MX"/>
        </w:rPr>
        <w:t xml:space="preserve"> QUE CONTIENE INFORMACIÓN </w:t>
      </w:r>
      <w:r w:rsidR="00E646DD" w:rsidRPr="002C2AEE">
        <w:rPr>
          <w:rFonts w:ascii="ITC Avant Garde" w:hAnsi="ITC Avant Garde"/>
          <w:b/>
          <w:bCs/>
          <w:color w:val="0000CC"/>
          <w:lang w:eastAsia="es-MX"/>
        </w:rPr>
        <w:t>“CONFIDENCIAL POR LEY”</w:t>
      </w:r>
    </w:p>
    <w:p w14:paraId="21B4A658" w14:textId="77777777" w:rsidR="005F448D" w:rsidRPr="004C52B2" w:rsidRDefault="005F448D" w:rsidP="005F448D">
      <w:pPr>
        <w:jc w:val="both"/>
        <w:rPr>
          <w:rFonts w:ascii="ITC Avant Garde" w:hAnsi="ITC Avant Garde"/>
          <w:i/>
          <w:sz w:val="16"/>
        </w:rPr>
      </w:pPr>
      <w:r w:rsidRPr="004C52B2">
        <w:rPr>
          <w:rFonts w:ascii="ITC Avant Garde" w:hAnsi="ITC Avant Garde"/>
          <w:i/>
          <w:sz w:val="16"/>
        </w:rPr>
        <w:t>Fuente: Información proporcionada por Telmex. Estados Financieros no Consolidados de Telmex con Dictamen de los Auditores Independientes, para los ejercicios 2013, 2014 y 2015.</w:t>
      </w:r>
    </w:p>
    <w:p w14:paraId="50FAB349" w14:textId="77777777" w:rsidR="00AF40CD" w:rsidRDefault="005F448D" w:rsidP="00AF40CD">
      <w:pPr>
        <w:adjustRightInd w:val="0"/>
        <w:spacing w:before="240" w:line="240" w:lineRule="auto"/>
        <w:jc w:val="both"/>
        <w:rPr>
          <w:rFonts w:ascii="ITC Avant Garde" w:eastAsia="Times New Roman" w:hAnsi="ITC Avant Garde" w:cs="Arial"/>
          <w:bCs/>
          <w:lang w:val="es-ES_tradnl" w:eastAsia="es-ES"/>
        </w:rPr>
      </w:pPr>
      <w:r w:rsidRPr="00F17AE3">
        <w:rPr>
          <w:rFonts w:ascii="ITC Avant Garde" w:eastAsia="Times New Roman" w:hAnsi="ITC Avant Garde" w:cs="Arial"/>
          <w:bCs/>
          <w:lang w:val="es-ES_tradnl" w:eastAsia="es-ES"/>
        </w:rPr>
        <w:t>Al integrar los Costos y Gastos de Operación y el Costo de financiamiento de los estados financieros no consolidados y auditados de Telmex para los añ</w:t>
      </w:r>
      <w:r w:rsidR="00DC7640" w:rsidRPr="00F17AE3">
        <w:rPr>
          <w:rFonts w:ascii="ITC Avant Garde" w:eastAsia="Times New Roman" w:hAnsi="ITC Avant Garde" w:cs="Arial"/>
          <w:bCs/>
          <w:lang w:val="es-ES_tradnl" w:eastAsia="es-ES"/>
        </w:rPr>
        <w:t>os 2013, 2014 y 2015 se observa que las cantidades son consistentes</w:t>
      </w:r>
      <w:r w:rsidRPr="00F17AE3">
        <w:rPr>
          <w:rFonts w:ascii="ITC Avant Garde" w:eastAsia="Times New Roman" w:hAnsi="ITC Avant Garde" w:cs="Arial"/>
          <w:bCs/>
          <w:lang w:val="es-ES_tradnl" w:eastAsia="es-ES"/>
        </w:rPr>
        <w:t xml:space="preserve"> con las cantidades reportadas en la propuesta para el cálculo de la </w:t>
      </w:r>
      <w:r w:rsidR="00616416">
        <w:rPr>
          <w:rFonts w:ascii="ITC Avant Garde" w:eastAsia="Times New Roman" w:hAnsi="ITC Avant Garde" w:cs="Arial"/>
          <w:bCs/>
          <w:lang w:val="es-ES_tradnl" w:eastAsia="es-ES"/>
        </w:rPr>
        <w:t>PTF</w:t>
      </w:r>
      <w:r w:rsidRPr="00F17AE3">
        <w:rPr>
          <w:rFonts w:ascii="ITC Avant Garde" w:eastAsia="Times New Roman" w:hAnsi="ITC Avant Garde" w:cs="Arial"/>
          <w:bCs/>
          <w:lang w:val="es-ES_tradnl" w:eastAsia="es-ES"/>
        </w:rPr>
        <w:t xml:space="preserve"> y del Factor </w:t>
      </w:r>
      <w:r w:rsidR="00B055BE">
        <w:rPr>
          <w:rFonts w:ascii="ITC Avant Garde" w:eastAsia="Times New Roman" w:hAnsi="ITC Avant Garde" w:cs="Arial"/>
          <w:bCs/>
          <w:lang w:val="es-ES_tradnl" w:eastAsia="es-ES"/>
        </w:rPr>
        <w:t>de Productividad “</w:t>
      </w:r>
      <w:r w:rsidRPr="00F17AE3">
        <w:rPr>
          <w:rFonts w:ascii="ITC Avant Garde" w:eastAsia="Times New Roman" w:hAnsi="ITC Avant Garde" w:cs="Arial"/>
          <w:bCs/>
          <w:lang w:val="es-ES_tradnl" w:eastAsia="es-ES"/>
        </w:rPr>
        <w:t>X</w:t>
      </w:r>
      <w:r w:rsidR="00B055BE">
        <w:rPr>
          <w:rFonts w:ascii="ITC Avant Garde" w:eastAsia="Times New Roman" w:hAnsi="ITC Avant Garde" w:cs="Arial"/>
          <w:bCs/>
          <w:lang w:val="es-ES_tradnl" w:eastAsia="es-ES"/>
        </w:rPr>
        <w:t>”</w:t>
      </w:r>
      <w:r w:rsidRPr="00F17AE3">
        <w:rPr>
          <w:rFonts w:ascii="ITC Avant Garde" w:eastAsia="Times New Roman" w:hAnsi="ITC Avant Garde" w:cs="Arial"/>
          <w:bCs/>
          <w:lang w:val="es-ES_tradnl" w:eastAsia="es-ES"/>
        </w:rPr>
        <w:t>, como se muestra en la siguiente tabla:</w:t>
      </w:r>
    </w:p>
    <w:p w14:paraId="57717516" w14:textId="592F9624" w:rsidR="000F0FA7" w:rsidRDefault="00516316" w:rsidP="00AF40CD">
      <w:pPr>
        <w:adjustRightInd w:val="0"/>
        <w:spacing w:before="240" w:line="240" w:lineRule="auto"/>
        <w:jc w:val="center"/>
        <w:rPr>
          <w:rFonts w:ascii="ITC Avant Garde" w:eastAsia="Times New Roman" w:hAnsi="ITC Avant Garde" w:cs="Arial"/>
          <w:b/>
          <w:bCs/>
          <w:lang w:val="es-ES_tradnl" w:eastAsia="es-ES"/>
        </w:rPr>
      </w:pPr>
      <w:r w:rsidRPr="004C52B2" w:rsidDel="00D77EE7">
        <w:rPr>
          <w:rFonts w:ascii="ITC Avant Garde" w:eastAsia="Times New Roman" w:hAnsi="ITC Avant Garde" w:cs="Arial"/>
          <w:b/>
          <w:bCs/>
          <w:lang w:val="es-ES_tradnl" w:eastAsia="es-ES"/>
        </w:rPr>
        <w:t xml:space="preserve">Tabla </w:t>
      </w:r>
      <w:r w:rsidR="00D8153B">
        <w:rPr>
          <w:rFonts w:ascii="ITC Avant Garde" w:eastAsia="Times New Roman" w:hAnsi="ITC Avant Garde" w:cs="Arial"/>
          <w:b/>
          <w:bCs/>
          <w:lang w:val="es-ES_tradnl" w:eastAsia="es-ES"/>
        </w:rPr>
        <w:t>VII</w:t>
      </w:r>
      <w:r w:rsidRPr="004C52B2" w:rsidDel="00D77EE7">
        <w:rPr>
          <w:rFonts w:ascii="ITC Avant Garde" w:eastAsia="Times New Roman" w:hAnsi="ITC Avant Garde" w:cs="Arial"/>
          <w:b/>
          <w:bCs/>
          <w:lang w:val="es-ES_tradnl" w:eastAsia="es-ES"/>
        </w:rPr>
        <w:t xml:space="preserve">. </w:t>
      </w:r>
      <w:r w:rsidRPr="004C52B2">
        <w:rPr>
          <w:rFonts w:ascii="ITC Avant Garde" w:eastAsia="Times New Roman" w:hAnsi="ITC Avant Garde" w:cs="Arial"/>
          <w:b/>
          <w:bCs/>
          <w:lang w:val="es-ES_tradnl" w:eastAsia="es-ES"/>
        </w:rPr>
        <w:t>Comparativa de Costos y Gastos de Operación de Telmex, periodo 2013 a 2015</w:t>
      </w:r>
      <w:r w:rsidRPr="004C52B2" w:rsidDel="00D77EE7">
        <w:rPr>
          <w:rFonts w:ascii="ITC Avant Garde" w:eastAsia="Times New Roman" w:hAnsi="ITC Avant Garde" w:cs="Arial"/>
          <w:b/>
          <w:bCs/>
          <w:lang w:val="es-ES_tradnl" w:eastAsia="es-ES"/>
        </w:rPr>
        <w:t>.</w:t>
      </w:r>
    </w:p>
    <w:p w14:paraId="119FD173" w14:textId="3C171689" w:rsidR="00AF40CD" w:rsidRPr="004C52B2" w:rsidDel="00D77EE7" w:rsidRDefault="00AF40CD" w:rsidP="00AF40CD">
      <w:pPr>
        <w:adjustRightInd w:val="0"/>
        <w:spacing w:before="480" w:after="480" w:line="240" w:lineRule="auto"/>
        <w:jc w:val="center"/>
        <w:rPr>
          <w:rFonts w:ascii="ITC Avant Garde" w:eastAsia="Times New Roman" w:hAnsi="ITC Avant Garde" w:cs="Arial"/>
          <w:b/>
          <w:bCs/>
          <w:lang w:val="es-ES_tradnl" w:eastAsia="es-ES"/>
        </w:rPr>
      </w:pPr>
      <w:r>
        <w:rPr>
          <w:rFonts w:ascii="ITC Avant Garde" w:hAnsi="ITC Avant Garde"/>
          <w:b/>
          <w:bCs/>
          <w:color w:val="0000CC"/>
          <w:lang w:eastAsia="es-MX"/>
        </w:rPr>
        <w:t xml:space="preserve">TABLA QUE CONTIENE INFORMACIÓN </w:t>
      </w:r>
      <w:r w:rsidRPr="002C2AEE">
        <w:rPr>
          <w:rFonts w:ascii="ITC Avant Garde" w:hAnsi="ITC Avant Garde"/>
          <w:b/>
          <w:bCs/>
          <w:color w:val="0000CC"/>
          <w:lang w:eastAsia="es-MX"/>
        </w:rPr>
        <w:t>“CONFIDENCIAL POR LEY”</w:t>
      </w:r>
    </w:p>
    <w:p w14:paraId="2CCEDA00" w14:textId="77777777" w:rsidR="008369E9" w:rsidRDefault="005F448D" w:rsidP="005F448D">
      <w:pPr>
        <w:jc w:val="both"/>
        <w:rPr>
          <w:rFonts w:ascii="ITC Avant Garde" w:hAnsi="ITC Avant Garde"/>
          <w:i/>
          <w:sz w:val="16"/>
        </w:rPr>
      </w:pPr>
      <w:r w:rsidRPr="004C52B2">
        <w:rPr>
          <w:rFonts w:ascii="ITC Avant Garde" w:hAnsi="ITC Avant Garde"/>
          <w:i/>
          <w:sz w:val="16"/>
        </w:rPr>
        <w:t>Fuente: Elaboración propia con información proporcionada por Telmex.</w:t>
      </w:r>
    </w:p>
    <w:p w14:paraId="623DEAB7" w14:textId="77777777" w:rsidR="008369E9" w:rsidRDefault="005F448D" w:rsidP="008369E9">
      <w:pPr>
        <w:adjustRightInd w:val="0"/>
        <w:spacing w:before="240" w:line="240" w:lineRule="auto"/>
        <w:jc w:val="both"/>
        <w:rPr>
          <w:rFonts w:ascii="ITC Avant Garde" w:eastAsia="Times New Roman" w:hAnsi="ITC Avant Garde" w:cs="Arial"/>
          <w:bCs/>
          <w:lang w:val="es-ES_tradnl" w:eastAsia="es-ES"/>
        </w:rPr>
      </w:pPr>
      <w:r w:rsidRPr="00F17AE3">
        <w:rPr>
          <w:rFonts w:ascii="ITC Avant Garde" w:eastAsia="Times New Roman" w:hAnsi="ITC Avant Garde" w:cs="Arial"/>
          <w:bCs/>
          <w:lang w:val="es-ES_tradnl" w:eastAsia="es-ES"/>
        </w:rPr>
        <w:t xml:space="preserve">En este sentido, las cantidades que Telmex incorpora sobre la NIC 19 para efectos del cálculo de la </w:t>
      </w:r>
      <w:r w:rsidR="00756F1D">
        <w:rPr>
          <w:rFonts w:ascii="ITC Avant Garde" w:eastAsia="Times New Roman" w:hAnsi="ITC Avant Garde" w:cs="Arial"/>
          <w:bCs/>
          <w:lang w:val="es-ES_tradnl" w:eastAsia="es-ES"/>
        </w:rPr>
        <w:t xml:space="preserve">PTF </w:t>
      </w:r>
      <w:r w:rsidRPr="00F17AE3">
        <w:rPr>
          <w:rFonts w:ascii="ITC Avant Garde" w:eastAsia="Times New Roman" w:hAnsi="ITC Avant Garde" w:cs="Arial"/>
          <w:bCs/>
          <w:lang w:val="es-ES_tradnl" w:eastAsia="es-ES"/>
        </w:rPr>
        <w:t xml:space="preserve">y del Factor </w:t>
      </w:r>
      <w:r w:rsidR="0070681E">
        <w:rPr>
          <w:rFonts w:ascii="ITC Avant Garde" w:eastAsia="Times New Roman" w:hAnsi="ITC Avant Garde" w:cs="Arial"/>
          <w:bCs/>
          <w:lang w:val="es-ES_tradnl" w:eastAsia="es-ES"/>
        </w:rPr>
        <w:t>de P</w:t>
      </w:r>
      <w:r w:rsidR="000D73B3">
        <w:rPr>
          <w:rFonts w:ascii="ITC Avant Garde" w:eastAsia="Times New Roman" w:hAnsi="ITC Avant Garde" w:cs="Arial"/>
          <w:bCs/>
          <w:lang w:val="es-ES_tradnl" w:eastAsia="es-ES"/>
        </w:rPr>
        <w:t xml:space="preserve">roductividad </w:t>
      </w:r>
      <w:r w:rsidRPr="00F17AE3">
        <w:rPr>
          <w:rFonts w:ascii="ITC Avant Garde" w:eastAsia="Times New Roman" w:hAnsi="ITC Avant Garde" w:cs="Arial"/>
          <w:bCs/>
          <w:lang w:val="es-ES_tradnl" w:eastAsia="es-ES"/>
        </w:rPr>
        <w:t xml:space="preserve">“X” </w:t>
      </w:r>
      <w:r w:rsidR="00DC7640" w:rsidRPr="00F17AE3">
        <w:rPr>
          <w:rFonts w:ascii="ITC Avant Garde" w:eastAsia="Times New Roman" w:hAnsi="ITC Avant Garde" w:cs="Arial"/>
          <w:bCs/>
          <w:lang w:val="es-ES_tradnl" w:eastAsia="es-ES"/>
        </w:rPr>
        <w:t>se consideran adecuadas</w:t>
      </w:r>
      <w:r w:rsidRPr="00F17AE3">
        <w:rPr>
          <w:rFonts w:ascii="ITC Avant Garde" w:eastAsia="Times New Roman" w:hAnsi="ITC Avant Garde" w:cs="Arial"/>
          <w:bCs/>
          <w:lang w:val="es-ES_tradnl" w:eastAsia="es-ES"/>
        </w:rPr>
        <w:t>.</w:t>
      </w:r>
    </w:p>
    <w:p w14:paraId="0E4C8663" w14:textId="77777777" w:rsidR="008369E9" w:rsidRDefault="005F448D" w:rsidP="008369E9">
      <w:pPr>
        <w:adjustRightInd w:val="0"/>
        <w:spacing w:before="240" w:line="240" w:lineRule="auto"/>
        <w:jc w:val="both"/>
        <w:rPr>
          <w:rFonts w:ascii="ITC Avant Garde" w:eastAsia="Times New Roman" w:hAnsi="ITC Avant Garde" w:cs="Arial"/>
          <w:bCs/>
          <w:lang w:val="es-ES_tradnl" w:eastAsia="es-ES"/>
        </w:rPr>
      </w:pPr>
      <w:r w:rsidRPr="00F17AE3">
        <w:rPr>
          <w:rFonts w:ascii="ITC Avant Garde" w:eastAsia="Times New Roman" w:hAnsi="ITC Avant Garde" w:cs="Arial"/>
          <w:bCs/>
          <w:lang w:val="es-ES_tradnl" w:eastAsia="es-ES"/>
        </w:rPr>
        <w:t xml:space="preserve">Por lo anterior, los efectos que señala Telmex en los Gastos Operativos Totales para el cálculo de la </w:t>
      </w:r>
      <w:r w:rsidR="00756F1D">
        <w:rPr>
          <w:rFonts w:ascii="ITC Avant Garde" w:eastAsia="Times New Roman" w:hAnsi="ITC Avant Garde" w:cs="Arial"/>
          <w:bCs/>
          <w:lang w:val="es-ES_tradnl" w:eastAsia="es-ES"/>
        </w:rPr>
        <w:t>PTF</w:t>
      </w:r>
      <w:r w:rsidRPr="00F17AE3">
        <w:rPr>
          <w:rFonts w:ascii="ITC Avant Garde" w:eastAsia="Times New Roman" w:hAnsi="ITC Avant Garde" w:cs="Arial"/>
          <w:bCs/>
          <w:lang w:val="es-ES_tradnl" w:eastAsia="es-ES"/>
        </w:rPr>
        <w:t xml:space="preserve"> y del Factor </w:t>
      </w:r>
      <w:r w:rsidR="005C046F">
        <w:rPr>
          <w:rFonts w:ascii="ITC Avant Garde" w:eastAsia="Times New Roman" w:hAnsi="ITC Avant Garde" w:cs="Arial"/>
          <w:bCs/>
          <w:lang w:val="es-ES_tradnl" w:eastAsia="es-ES"/>
        </w:rPr>
        <w:t>de</w:t>
      </w:r>
      <w:r w:rsidR="0070681E">
        <w:rPr>
          <w:rFonts w:ascii="ITC Avant Garde" w:eastAsia="Times New Roman" w:hAnsi="ITC Avant Garde" w:cs="Arial"/>
          <w:bCs/>
          <w:lang w:val="es-ES_tradnl" w:eastAsia="es-ES"/>
        </w:rPr>
        <w:t xml:space="preserve"> P</w:t>
      </w:r>
      <w:r w:rsidR="005C046F">
        <w:rPr>
          <w:rFonts w:ascii="ITC Avant Garde" w:eastAsia="Times New Roman" w:hAnsi="ITC Avant Garde" w:cs="Arial"/>
          <w:bCs/>
          <w:lang w:val="es-ES_tradnl" w:eastAsia="es-ES"/>
        </w:rPr>
        <w:t xml:space="preserve">roductividad </w:t>
      </w:r>
      <w:r w:rsidRPr="00F17AE3">
        <w:rPr>
          <w:rFonts w:ascii="ITC Avant Garde" w:eastAsia="Times New Roman" w:hAnsi="ITC Avant Garde" w:cs="Arial"/>
          <w:bCs/>
          <w:lang w:val="es-ES_tradnl" w:eastAsia="es-ES"/>
        </w:rPr>
        <w:t xml:space="preserve">“X” derivados de la adopción de la NIC 19 </w:t>
      </w:r>
      <w:r w:rsidR="00DC7640" w:rsidRPr="00F17AE3">
        <w:rPr>
          <w:rFonts w:ascii="ITC Avant Garde" w:eastAsia="Times New Roman" w:hAnsi="ITC Avant Garde" w:cs="Arial"/>
          <w:bCs/>
          <w:lang w:val="es-ES_tradnl" w:eastAsia="es-ES"/>
        </w:rPr>
        <w:t>se consideran consistentes</w:t>
      </w:r>
      <w:r w:rsidRPr="00F17AE3">
        <w:rPr>
          <w:rFonts w:ascii="ITC Avant Garde" w:eastAsia="Times New Roman" w:hAnsi="ITC Avant Garde" w:cs="Arial"/>
          <w:bCs/>
          <w:lang w:val="es-ES_tradnl" w:eastAsia="es-ES"/>
        </w:rPr>
        <w:t xml:space="preserve">, por lo que </w:t>
      </w:r>
      <w:r w:rsidR="00DC7640" w:rsidRPr="00F17AE3">
        <w:rPr>
          <w:rFonts w:ascii="ITC Avant Garde" w:eastAsia="Times New Roman" w:hAnsi="ITC Avant Garde" w:cs="Arial"/>
          <w:bCs/>
          <w:lang w:val="es-ES_tradnl" w:eastAsia="es-ES"/>
        </w:rPr>
        <w:t xml:space="preserve">su adopción </w:t>
      </w:r>
      <w:r w:rsidR="000E7FBD" w:rsidRPr="00F17AE3">
        <w:rPr>
          <w:rFonts w:ascii="ITC Avant Garde" w:eastAsia="Times New Roman" w:hAnsi="ITC Avant Garde" w:cs="Arial"/>
          <w:bCs/>
          <w:lang w:val="es-ES_tradnl" w:eastAsia="es-ES"/>
        </w:rPr>
        <w:t>resulta procedente</w:t>
      </w:r>
      <w:r w:rsidRPr="00F17AE3">
        <w:rPr>
          <w:rFonts w:ascii="ITC Avant Garde" w:eastAsia="Times New Roman" w:hAnsi="ITC Avant Garde" w:cs="Arial"/>
          <w:bCs/>
          <w:lang w:val="es-ES_tradnl" w:eastAsia="es-ES"/>
        </w:rPr>
        <w:t>.</w:t>
      </w:r>
    </w:p>
    <w:p w14:paraId="158BCF28" w14:textId="77777777" w:rsidR="00AF40CD" w:rsidRDefault="00817191" w:rsidP="00AF40CD">
      <w:pPr>
        <w:adjustRightInd w:val="0"/>
        <w:spacing w:before="240" w:line="240" w:lineRule="auto"/>
        <w:jc w:val="both"/>
        <w:rPr>
          <w:rFonts w:ascii="ITC Avant Garde" w:hAnsi="ITC Avant Garde"/>
        </w:rPr>
      </w:pPr>
      <w:r>
        <w:rPr>
          <w:rFonts w:ascii="ITC Avant Garde" w:hAnsi="ITC Avant Garde"/>
          <w:b/>
        </w:rPr>
        <w:t>7.</w:t>
      </w:r>
      <w:r w:rsidR="00D8153B">
        <w:rPr>
          <w:rFonts w:ascii="ITC Avant Garde" w:hAnsi="ITC Avant Garde"/>
          <w:b/>
        </w:rPr>
        <w:t>4</w:t>
      </w:r>
      <w:r>
        <w:rPr>
          <w:rFonts w:ascii="ITC Avant Garde" w:hAnsi="ITC Avant Garde"/>
          <w:b/>
        </w:rPr>
        <w:t xml:space="preserve"> </w:t>
      </w:r>
      <w:r w:rsidR="001A5CCA" w:rsidRPr="00F17AE3">
        <w:rPr>
          <w:rFonts w:ascii="ITC Avant Garde" w:hAnsi="ITC Avant Garde"/>
          <w:b/>
        </w:rPr>
        <w:t xml:space="preserve">Cálculo del Factor </w:t>
      </w:r>
      <w:r w:rsidR="002D6143" w:rsidRPr="00F17AE3">
        <w:rPr>
          <w:rFonts w:ascii="ITC Avant Garde" w:hAnsi="ITC Avant Garde"/>
          <w:b/>
        </w:rPr>
        <w:t xml:space="preserve">de Productividad </w:t>
      </w:r>
      <w:r w:rsidR="001A5CCA" w:rsidRPr="00F17AE3">
        <w:rPr>
          <w:rFonts w:ascii="ITC Avant Garde" w:hAnsi="ITC Avant Garde"/>
          <w:b/>
        </w:rPr>
        <w:t>“X”.</w:t>
      </w:r>
      <w:r w:rsidR="00656EA0" w:rsidRPr="00F17AE3">
        <w:rPr>
          <w:rFonts w:ascii="ITC Avant Garde" w:hAnsi="ITC Avant Garde"/>
          <w:b/>
        </w:rPr>
        <w:t xml:space="preserve"> </w:t>
      </w:r>
      <w:r w:rsidR="00656EA0" w:rsidRPr="004C52B2">
        <w:rPr>
          <w:rFonts w:ascii="ITC Avant Garde" w:hAnsi="ITC Avant Garde"/>
        </w:rPr>
        <w:t>Al considerar</w:t>
      </w:r>
      <w:r w:rsidR="001A5CCA" w:rsidRPr="004C52B2">
        <w:rPr>
          <w:rFonts w:ascii="ITC Avant Garde" w:hAnsi="ITC Avant Garde"/>
        </w:rPr>
        <w:t xml:space="preserve"> los cambios en el periodo de estimación</w:t>
      </w:r>
      <w:r w:rsidR="00656EA0" w:rsidRPr="004C52B2">
        <w:rPr>
          <w:rFonts w:ascii="ITC Avant Garde" w:hAnsi="ITC Avant Garde"/>
        </w:rPr>
        <w:t xml:space="preserve"> y</w:t>
      </w:r>
      <w:r w:rsidR="001A5CCA" w:rsidRPr="004C52B2">
        <w:rPr>
          <w:rFonts w:ascii="ITC Avant Garde" w:hAnsi="ITC Avant Garde"/>
        </w:rPr>
        <w:t xml:space="preserve"> garantizando la consistencia </w:t>
      </w:r>
      <w:r w:rsidR="00656EA0" w:rsidRPr="004C52B2">
        <w:rPr>
          <w:rFonts w:ascii="ITC Avant Garde" w:hAnsi="ITC Avant Garde"/>
        </w:rPr>
        <w:t xml:space="preserve">de la serie sobre la tasa de crecimiento del </w:t>
      </w:r>
      <w:r w:rsidR="00656EA0" w:rsidRPr="004C52B2">
        <w:rPr>
          <w:rFonts w:ascii="ITC Avant Garde" w:hAnsi="ITC Avant Garde"/>
        </w:rPr>
        <w:lastRenderedPageBreak/>
        <w:t>índice de precios de los insumos y la tasa de crecimiento de</w:t>
      </w:r>
      <w:r w:rsidR="007D7F6C" w:rsidRPr="004C52B2">
        <w:rPr>
          <w:rFonts w:ascii="ITC Avant Garde" w:hAnsi="ITC Avant Garde"/>
        </w:rPr>
        <w:t xml:space="preserve"> la PTF</w:t>
      </w:r>
      <w:r w:rsidR="00656EA0" w:rsidRPr="004C52B2">
        <w:rPr>
          <w:rFonts w:ascii="ITC Avant Garde" w:hAnsi="ITC Avant Garde"/>
        </w:rPr>
        <w:t xml:space="preserve"> de la economía de México, se obtiene</w:t>
      </w:r>
      <w:r w:rsidR="005B5E7F" w:rsidRPr="004C52B2">
        <w:rPr>
          <w:rFonts w:ascii="ITC Avant Garde" w:hAnsi="ITC Avant Garde"/>
        </w:rPr>
        <w:t xml:space="preserve"> un Factor </w:t>
      </w:r>
      <w:r w:rsidR="0070681E">
        <w:rPr>
          <w:rFonts w:ascii="ITC Avant Garde" w:hAnsi="ITC Avant Garde"/>
        </w:rPr>
        <w:t>de P</w:t>
      </w:r>
      <w:r w:rsidR="005C046F">
        <w:rPr>
          <w:rFonts w:ascii="ITC Avant Garde" w:hAnsi="ITC Avant Garde"/>
        </w:rPr>
        <w:t xml:space="preserve">roductividad </w:t>
      </w:r>
      <w:r w:rsidR="005B5E7F" w:rsidRPr="004C52B2">
        <w:rPr>
          <w:rFonts w:ascii="ITC Avant Garde" w:hAnsi="ITC Avant Garde"/>
        </w:rPr>
        <w:t xml:space="preserve">“X” de </w:t>
      </w:r>
      <w:r w:rsidR="007227E9" w:rsidRPr="004C52B2">
        <w:rPr>
          <w:rFonts w:ascii="ITC Avant Garde" w:hAnsi="ITC Avant Garde"/>
        </w:rPr>
        <w:t>0.91</w:t>
      </w:r>
      <w:r w:rsidR="007D7F6C" w:rsidRPr="004C52B2">
        <w:rPr>
          <w:rFonts w:ascii="ITC Avant Garde" w:hAnsi="ITC Avant Garde"/>
        </w:rPr>
        <w:t>%.</w:t>
      </w:r>
    </w:p>
    <w:p w14:paraId="3565184F" w14:textId="2C27FFC4" w:rsidR="00B83AC1" w:rsidRPr="004C52B2" w:rsidRDefault="00393280" w:rsidP="00AF40CD">
      <w:pPr>
        <w:adjustRightInd w:val="0"/>
        <w:spacing w:before="240" w:line="240" w:lineRule="auto"/>
        <w:jc w:val="center"/>
        <w:rPr>
          <w:rFonts w:ascii="ITC Avant Garde" w:eastAsia="Times New Roman" w:hAnsi="ITC Avant Garde" w:cs="Segoe UI"/>
          <w:b/>
        </w:rPr>
      </w:pPr>
      <w:r w:rsidRPr="004C52B2">
        <w:rPr>
          <w:rFonts w:ascii="ITC Avant Garde" w:eastAsia="Times New Roman" w:hAnsi="ITC Avant Garde" w:cs="Segoe UI"/>
          <w:b/>
        </w:rPr>
        <w:t xml:space="preserve">Tabla </w:t>
      </w:r>
      <w:r w:rsidR="00D8153B">
        <w:rPr>
          <w:rFonts w:ascii="ITC Avant Garde" w:eastAsia="Times New Roman" w:hAnsi="ITC Avant Garde" w:cs="Segoe UI"/>
          <w:b/>
        </w:rPr>
        <w:t>VIII</w:t>
      </w:r>
      <w:r w:rsidRPr="004C52B2">
        <w:rPr>
          <w:rFonts w:ascii="ITC Avant Garde" w:eastAsia="Times New Roman" w:hAnsi="ITC Avant Garde" w:cs="Segoe UI"/>
          <w:b/>
        </w:rPr>
        <w:t xml:space="preserve">. Evolución del Factor </w:t>
      </w:r>
      <w:r w:rsidR="002D6143">
        <w:rPr>
          <w:rFonts w:ascii="ITC Avant Garde" w:eastAsia="Times New Roman" w:hAnsi="ITC Avant Garde" w:cs="Segoe UI"/>
          <w:b/>
        </w:rPr>
        <w:t xml:space="preserve">de Productividad </w:t>
      </w:r>
      <w:r w:rsidRPr="004C52B2">
        <w:rPr>
          <w:rFonts w:ascii="ITC Avant Garde" w:eastAsia="Times New Roman" w:hAnsi="ITC Avant Garde" w:cs="Segoe UI"/>
          <w:b/>
        </w:rPr>
        <w:t>“</w:t>
      </w:r>
      <w:r w:rsidR="006C34F6" w:rsidRPr="004C52B2">
        <w:rPr>
          <w:rFonts w:ascii="ITC Avant Garde" w:eastAsia="Times New Roman" w:hAnsi="ITC Avant Garde" w:cs="Segoe UI"/>
          <w:b/>
        </w:rPr>
        <w:t xml:space="preserve">X” de Telmex y sus componentes, </w:t>
      </w:r>
      <w:r w:rsidRPr="004C52B2">
        <w:rPr>
          <w:rFonts w:ascii="ITC Avant Garde" w:eastAsia="Times New Roman" w:hAnsi="ITC Avant Garde" w:cs="Segoe UI"/>
          <w:b/>
        </w:rPr>
        <w:t xml:space="preserve">y Factor </w:t>
      </w:r>
      <w:r w:rsidR="002D6143">
        <w:rPr>
          <w:rFonts w:ascii="ITC Avant Garde" w:eastAsia="Times New Roman" w:hAnsi="ITC Avant Garde" w:cs="Segoe UI"/>
          <w:b/>
        </w:rPr>
        <w:t xml:space="preserve">de Productividad </w:t>
      </w:r>
      <w:r w:rsidRPr="004C52B2">
        <w:rPr>
          <w:rFonts w:ascii="ITC Avant Garde" w:eastAsia="Times New Roman" w:hAnsi="ITC Avant Garde" w:cs="Segoe UI"/>
          <w:b/>
        </w:rPr>
        <w:t>“X”</w:t>
      </w:r>
      <w:r w:rsidR="002D6143">
        <w:rPr>
          <w:rFonts w:ascii="ITC Avant Garde" w:eastAsia="Times New Roman" w:hAnsi="ITC Avant Garde" w:cs="Segoe UI"/>
          <w:b/>
        </w:rPr>
        <w:t xml:space="preserve"> para el periodo de análisis</w:t>
      </w:r>
      <w:r w:rsidR="006C34F6" w:rsidRPr="004C52B2">
        <w:rPr>
          <w:rFonts w:ascii="ITC Avant Garde" w:eastAsia="Times New Roman" w:hAnsi="ITC Avant Garde" w:cs="Segoe UI"/>
          <w:b/>
        </w:rPr>
        <w:t>.</w:t>
      </w:r>
    </w:p>
    <w:p w14:paraId="3B733162" w14:textId="4E642924" w:rsidR="004308F9" w:rsidRDefault="004308F9" w:rsidP="00393280">
      <w:pPr>
        <w:adjustRightInd w:val="0"/>
        <w:spacing w:after="0" w:line="240" w:lineRule="auto"/>
        <w:jc w:val="both"/>
        <w:rPr>
          <w:rFonts w:ascii="ITC Avant Garde" w:eastAsia="Times New Roman" w:hAnsi="ITC Avant Garde" w:cs="Arial"/>
          <w:bCs/>
          <w:i/>
          <w:sz w:val="16"/>
          <w:szCs w:val="16"/>
          <w:lang w:val="es-ES_tradnl" w:eastAsia="es-ES"/>
        </w:rPr>
      </w:pPr>
      <w:r>
        <w:rPr>
          <w:rFonts w:ascii="ITC Avant Garde" w:eastAsia="Times New Roman" w:hAnsi="ITC Avant Garde" w:cs="Arial"/>
          <w:bCs/>
          <w:i/>
          <w:noProof/>
          <w:sz w:val="16"/>
          <w:szCs w:val="16"/>
          <w:lang w:eastAsia="es-MX"/>
        </w:rPr>
        <w:drawing>
          <wp:inline distT="0" distB="0" distL="0" distR="0" wp14:anchorId="738B2C75" wp14:editId="33872C24">
            <wp:extent cx="6276512" cy="3494664"/>
            <wp:effectExtent l="0" t="0" r="0" b="0"/>
            <wp:docPr id="2" name="Imagen 2" descr="Imagen de tabla de 10 columnas que proporciona información relativa a la Evolución del Factor de Productividad “X” de Telmex y sus componentes, y Factor de Productividad “X” para el periodo de análisis. Para el promedio 2008-2015 el Factor X anual es de 0.91%." title="Tabla VIII. Evolución del Factor de Productividad “X” de Telmex y sus componentes, y Factor de Productividad “X” para el periodo de anál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a confidencial2.jpg"/>
                    <pic:cNvPicPr/>
                  </pic:nvPicPr>
                  <pic:blipFill>
                    <a:blip r:embed="rId21">
                      <a:extLst>
                        <a:ext uri="{28A0092B-C50C-407E-A947-70E740481C1C}">
                          <a14:useLocalDpi xmlns:a14="http://schemas.microsoft.com/office/drawing/2010/main" val="0"/>
                        </a:ext>
                      </a:extLst>
                    </a:blip>
                    <a:stretch>
                      <a:fillRect/>
                    </a:stretch>
                  </pic:blipFill>
                  <pic:spPr>
                    <a:xfrm>
                      <a:off x="0" y="0"/>
                      <a:ext cx="6285258" cy="3499533"/>
                    </a:xfrm>
                    <a:prstGeom prst="rect">
                      <a:avLst/>
                    </a:prstGeom>
                  </pic:spPr>
                </pic:pic>
              </a:graphicData>
            </a:graphic>
          </wp:inline>
        </w:drawing>
      </w:r>
    </w:p>
    <w:p w14:paraId="74B5C352" w14:textId="48CEAA97" w:rsidR="008369E9" w:rsidRDefault="00393280" w:rsidP="00393280">
      <w:pPr>
        <w:adjustRightInd w:val="0"/>
        <w:spacing w:after="0" w:line="240" w:lineRule="auto"/>
        <w:jc w:val="both"/>
        <w:rPr>
          <w:rFonts w:ascii="ITC Avant Garde" w:eastAsia="Times New Roman" w:hAnsi="ITC Avant Garde" w:cs="Arial"/>
          <w:bCs/>
          <w:i/>
          <w:sz w:val="16"/>
          <w:szCs w:val="16"/>
          <w:lang w:val="es-ES_tradnl" w:eastAsia="es-ES"/>
        </w:rPr>
      </w:pPr>
      <w:r w:rsidRPr="00F17AE3">
        <w:rPr>
          <w:rFonts w:ascii="ITC Avant Garde" w:eastAsia="Times New Roman" w:hAnsi="ITC Avant Garde" w:cs="Arial"/>
          <w:bCs/>
          <w:i/>
          <w:sz w:val="16"/>
          <w:szCs w:val="16"/>
          <w:lang w:val="es-ES_tradnl" w:eastAsia="es-ES"/>
        </w:rPr>
        <w:t xml:space="preserve">Fuente: </w:t>
      </w:r>
      <w:r w:rsidR="00333160" w:rsidRPr="00F17AE3">
        <w:rPr>
          <w:rFonts w:ascii="ITC Avant Garde" w:eastAsia="Times New Roman" w:hAnsi="ITC Avant Garde" w:cs="Arial"/>
          <w:bCs/>
          <w:i/>
          <w:sz w:val="16"/>
          <w:szCs w:val="16"/>
          <w:lang w:val="es-ES_tradnl" w:eastAsia="es-ES"/>
        </w:rPr>
        <w:t>Con datos del i</w:t>
      </w:r>
      <w:r w:rsidRPr="00F17AE3">
        <w:rPr>
          <w:rFonts w:ascii="ITC Avant Garde" w:eastAsia="Times New Roman" w:hAnsi="ITC Avant Garde" w:cs="Arial"/>
          <w:bCs/>
          <w:i/>
          <w:sz w:val="16"/>
          <w:szCs w:val="16"/>
          <w:lang w:val="es-ES_tradnl" w:eastAsia="es-ES"/>
        </w:rPr>
        <w:t>nforme “Cálculo de la Productividad Total de los Factores y del Facto</w:t>
      </w:r>
      <w:r w:rsidR="00333160" w:rsidRPr="00F17AE3">
        <w:rPr>
          <w:rFonts w:ascii="ITC Avant Garde" w:eastAsia="Times New Roman" w:hAnsi="ITC Avant Garde" w:cs="Arial"/>
          <w:bCs/>
          <w:i/>
          <w:sz w:val="16"/>
          <w:szCs w:val="16"/>
          <w:lang w:val="es-ES_tradnl" w:eastAsia="es-ES"/>
        </w:rPr>
        <w:t>r X de Telmex S.A.B. en México”</w:t>
      </w:r>
      <w:r w:rsidRPr="00F17AE3">
        <w:rPr>
          <w:rFonts w:ascii="ITC Avant Garde" w:eastAsia="Times New Roman" w:hAnsi="ITC Avant Garde" w:cs="Arial"/>
          <w:bCs/>
          <w:i/>
          <w:sz w:val="16"/>
          <w:szCs w:val="16"/>
          <w:lang w:val="es-ES_tradnl" w:eastAsia="es-ES"/>
        </w:rPr>
        <w:t xml:space="preserve"> </w:t>
      </w:r>
      <w:r w:rsidR="00333160" w:rsidRPr="00F17AE3">
        <w:rPr>
          <w:rFonts w:ascii="ITC Avant Garde" w:eastAsia="Times New Roman" w:hAnsi="ITC Avant Garde" w:cs="Arial"/>
          <w:bCs/>
          <w:i/>
          <w:sz w:val="16"/>
          <w:szCs w:val="16"/>
          <w:lang w:val="es-ES_tradnl" w:eastAsia="es-ES"/>
        </w:rPr>
        <w:t>(</w:t>
      </w:r>
      <w:r w:rsidRPr="00F17AE3">
        <w:rPr>
          <w:rFonts w:ascii="ITC Avant Garde" w:eastAsia="Times New Roman" w:hAnsi="ITC Avant Garde" w:cs="Arial"/>
          <w:bCs/>
          <w:i/>
          <w:sz w:val="16"/>
          <w:szCs w:val="16"/>
          <w:lang w:val="es-ES_tradnl" w:eastAsia="es-ES"/>
        </w:rPr>
        <w:t>presentado por Telmex</w:t>
      </w:r>
      <w:r w:rsidR="00333160" w:rsidRPr="00F17AE3">
        <w:rPr>
          <w:rFonts w:ascii="ITC Avant Garde" w:eastAsia="Times New Roman" w:hAnsi="ITC Avant Garde" w:cs="Arial"/>
          <w:bCs/>
          <w:i/>
          <w:sz w:val="16"/>
          <w:szCs w:val="16"/>
          <w:lang w:val="es-ES_tradnl" w:eastAsia="es-ES"/>
        </w:rPr>
        <w:t>)</w:t>
      </w:r>
      <w:r w:rsidRPr="00F17AE3">
        <w:rPr>
          <w:rFonts w:ascii="ITC Avant Garde" w:eastAsia="Times New Roman" w:hAnsi="ITC Avant Garde" w:cs="Arial"/>
          <w:bCs/>
          <w:i/>
          <w:sz w:val="16"/>
          <w:szCs w:val="16"/>
          <w:lang w:val="es-ES_tradnl" w:eastAsia="es-ES"/>
        </w:rPr>
        <w:t xml:space="preserve"> y estimaciones del Instituto Federal de Telecomunicaciones. </w:t>
      </w:r>
    </w:p>
    <w:p w14:paraId="011FAD7A" w14:textId="77777777" w:rsidR="008369E9" w:rsidRDefault="00E96FE3" w:rsidP="008369E9">
      <w:pPr>
        <w:adjustRightInd w:val="0"/>
        <w:spacing w:before="240" w:line="240" w:lineRule="auto"/>
        <w:jc w:val="both"/>
        <w:rPr>
          <w:rFonts w:ascii="ITC Avant Garde" w:eastAsia="Times New Roman" w:hAnsi="ITC Avant Garde" w:cs="Arial"/>
          <w:bCs/>
          <w:lang w:val="es-ES_tradnl" w:eastAsia="es-ES"/>
        </w:rPr>
      </w:pPr>
      <w:proofErr w:type="gramStart"/>
      <w:r w:rsidRPr="004C52B2">
        <w:rPr>
          <w:rFonts w:ascii="ITC Avant Garde" w:eastAsia="Times New Roman" w:hAnsi="ITC Avant Garde" w:cs="Arial"/>
          <w:b/>
          <w:bCs/>
          <w:lang w:val="es-ES_tradnl" w:eastAsia="es-ES"/>
        </w:rPr>
        <w:t>OCTAVO</w:t>
      </w:r>
      <w:r w:rsidR="00C20012" w:rsidRPr="004C52B2">
        <w:rPr>
          <w:rFonts w:ascii="ITC Avant Garde" w:eastAsia="Times New Roman" w:hAnsi="ITC Avant Garde" w:cs="Arial"/>
          <w:b/>
          <w:bCs/>
          <w:lang w:val="es-ES_tradnl" w:eastAsia="es-ES"/>
        </w:rPr>
        <w:t>.</w:t>
      </w:r>
      <w:r w:rsidR="00635207">
        <w:rPr>
          <w:rFonts w:ascii="ITC Avant Garde" w:eastAsia="Times New Roman" w:hAnsi="ITC Avant Garde" w:cs="Arial"/>
          <w:b/>
          <w:bCs/>
          <w:lang w:val="es-ES_tradnl" w:eastAsia="es-ES"/>
        </w:rPr>
        <w:t>-</w:t>
      </w:r>
      <w:proofErr w:type="gramEnd"/>
      <w:r w:rsidR="00C20012" w:rsidRPr="004C52B2">
        <w:rPr>
          <w:rFonts w:ascii="ITC Avant Garde" w:eastAsia="Times New Roman" w:hAnsi="ITC Avant Garde" w:cs="Arial"/>
          <w:b/>
          <w:bCs/>
          <w:lang w:val="es-ES_tradnl" w:eastAsia="es-ES"/>
        </w:rPr>
        <w:t xml:space="preserve"> Evolución de Precios. </w:t>
      </w:r>
      <w:r w:rsidR="00C20012" w:rsidRPr="004C52B2">
        <w:rPr>
          <w:rFonts w:ascii="ITC Avant Garde" w:eastAsia="Times New Roman" w:hAnsi="ITC Avant Garde" w:cs="Arial"/>
          <w:bCs/>
          <w:lang w:val="es-ES_tradnl" w:eastAsia="es-ES"/>
        </w:rPr>
        <w:t xml:space="preserve">Si bien el establecimiento de un sistema de precios tope busca hacer eficiente la operación de una </w:t>
      </w:r>
      <w:r w:rsidR="00257EE9" w:rsidRPr="004C52B2">
        <w:rPr>
          <w:rFonts w:ascii="ITC Avant Garde" w:eastAsia="Times New Roman" w:hAnsi="ITC Avant Garde" w:cs="Arial"/>
          <w:bCs/>
          <w:lang w:val="es-ES_tradnl" w:eastAsia="es-ES"/>
        </w:rPr>
        <w:t>empresa</w:t>
      </w:r>
      <w:r w:rsidR="00C20012" w:rsidRPr="004C52B2">
        <w:rPr>
          <w:rFonts w:ascii="ITC Avant Garde" w:eastAsia="Times New Roman" w:hAnsi="ITC Avant Garde" w:cs="Arial"/>
          <w:bCs/>
          <w:lang w:val="es-ES_tradnl" w:eastAsia="es-ES"/>
        </w:rPr>
        <w:t xml:space="preserve">, también </w:t>
      </w:r>
      <w:r w:rsidR="00131817" w:rsidRPr="004C52B2">
        <w:rPr>
          <w:rFonts w:ascii="ITC Avant Garde" w:eastAsia="Times New Roman" w:hAnsi="ITC Avant Garde" w:cs="Arial"/>
          <w:bCs/>
          <w:lang w:val="es-ES_tradnl" w:eastAsia="es-ES"/>
        </w:rPr>
        <w:t xml:space="preserve">pretende </w:t>
      </w:r>
      <w:r w:rsidR="0028046F">
        <w:rPr>
          <w:rFonts w:ascii="ITC Avant Garde" w:eastAsia="Times New Roman" w:hAnsi="ITC Avant Garde" w:cs="Arial"/>
          <w:bCs/>
          <w:lang w:val="es-ES_tradnl" w:eastAsia="es-ES"/>
        </w:rPr>
        <w:t xml:space="preserve">que dichas ganancias en eficiencia se reflejen en menores </w:t>
      </w:r>
      <w:r w:rsidR="00C20012" w:rsidRPr="004C52B2">
        <w:rPr>
          <w:rFonts w:ascii="ITC Avant Garde" w:eastAsia="Times New Roman" w:hAnsi="ITC Avant Garde" w:cs="Arial"/>
          <w:bCs/>
          <w:lang w:val="es-ES_tradnl" w:eastAsia="es-ES"/>
        </w:rPr>
        <w:t xml:space="preserve">precios finales de los servicios ofrecidos al usuario. </w:t>
      </w:r>
      <w:r w:rsidR="00131817" w:rsidRPr="004C52B2">
        <w:rPr>
          <w:rFonts w:ascii="ITC Avant Garde" w:eastAsia="Times New Roman" w:hAnsi="ITC Avant Garde" w:cs="Arial"/>
          <w:bCs/>
          <w:lang w:val="es-ES_tradnl" w:eastAsia="es-ES"/>
        </w:rPr>
        <w:t xml:space="preserve">Es decir, </w:t>
      </w:r>
      <w:r w:rsidR="00855846" w:rsidRPr="004C52B2">
        <w:rPr>
          <w:rFonts w:ascii="ITC Avant Garde" w:eastAsia="Times New Roman" w:hAnsi="ITC Avant Garde" w:cs="Arial"/>
          <w:bCs/>
          <w:lang w:val="es-ES_tradnl" w:eastAsia="es-ES"/>
        </w:rPr>
        <w:t xml:space="preserve">por un </w:t>
      </w:r>
      <w:proofErr w:type="gramStart"/>
      <w:r w:rsidR="00855846" w:rsidRPr="004C52B2">
        <w:rPr>
          <w:rFonts w:ascii="ITC Avant Garde" w:eastAsia="Times New Roman" w:hAnsi="ITC Avant Garde" w:cs="Arial"/>
          <w:bCs/>
          <w:lang w:val="es-ES_tradnl" w:eastAsia="es-ES"/>
        </w:rPr>
        <w:t>lado</w:t>
      </w:r>
      <w:proofErr w:type="gramEnd"/>
      <w:r w:rsidR="00855846" w:rsidRPr="004C52B2">
        <w:rPr>
          <w:rFonts w:ascii="ITC Avant Garde" w:eastAsia="Times New Roman" w:hAnsi="ITC Avant Garde" w:cs="Arial"/>
          <w:bCs/>
          <w:lang w:val="es-ES_tradnl" w:eastAsia="es-ES"/>
        </w:rPr>
        <w:t xml:space="preserve"> debe</w:t>
      </w:r>
      <w:r w:rsidR="002B24C7" w:rsidRPr="004C52B2">
        <w:rPr>
          <w:rFonts w:ascii="ITC Avant Garde" w:eastAsia="Times New Roman" w:hAnsi="ITC Avant Garde" w:cs="Arial"/>
          <w:bCs/>
          <w:lang w:val="es-ES_tradnl" w:eastAsia="es-ES"/>
        </w:rPr>
        <w:t xml:space="preserve"> genera</w:t>
      </w:r>
      <w:r w:rsidR="00855846" w:rsidRPr="004C52B2">
        <w:rPr>
          <w:rFonts w:ascii="ITC Avant Garde" w:eastAsia="Times New Roman" w:hAnsi="ITC Avant Garde" w:cs="Arial"/>
          <w:bCs/>
          <w:lang w:val="es-ES_tradnl" w:eastAsia="es-ES"/>
        </w:rPr>
        <w:t>r</w:t>
      </w:r>
      <w:r w:rsidR="00257EE9" w:rsidRPr="004C52B2">
        <w:rPr>
          <w:rFonts w:ascii="ITC Avant Garde" w:eastAsia="Times New Roman" w:hAnsi="ITC Avant Garde" w:cs="Arial"/>
          <w:bCs/>
          <w:lang w:val="es-ES_tradnl" w:eastAsia="es-ES"/>
        </w:rPr>
        <w:t xml:space="preserve"> incentivos para que la empresa</w:t>
      </w:r>
      <w:r w:rsidR="00C20012" w:rsidRPr="004C52B2">
        <w:rPr>
          <w:rFonts w:ascii="ITC Avant Garde" w:eastAsia="Times New Roman" w:hAnsi="ITC Avant Garde" w:cs="Arial"/>
          <w:bCs/>
          <w:lang w:val="es-ES_tradnl" w:eastAsia="es-ES"/>
        </w:rPr>
        <w:t xml:space="preserve"> reduzca sus costos de producción </w:t>
      </w:r>
      <w:r w:rsidR="00257EE9" w:rsidRPr="004C52B2">
        <w:rPr>
          <w:rFonts w:ascii="ITC Avant Garde" w:eastAsia="Times New Roman" w:hAnsi="ITC Avant Garde" w:cs="Arial"/>
          <w:bCs/>
          <w:lang w:val="es-ES_tradnl" w:eastAsia="es-ES"/>
        </w:rPr>
        <w:t>con la finalidad de</w:t>
      </w:r>
      <w:r w:rsidR="00C20012" w:rsidRPr="004C52B2">
        <w:rPr>
          <w:rFonts w:ascii="ITC Avant Garde" w:eastAsia="Times New Roman" w:hAnsi="ITC Avant Garde" w:cs="Arial"/>
          <w:bCs/>
          <w:lang w:val="es-ES_tradnl" w:eastAsia="es-ES"/>
        </w:rPr>
        <w:t xml:space="preserve"> mantener los márgenes de </w:t>
      </w:r>
      <w:r w:rsidR="00257EE9" w:rsidRPr="004C52B2">
        <w:rPr>
          <w:rFonts w:ascii="ITC Avant Garde" w:eastAsia="Times New Roman" w:hAnsi="ITC Avant Garde" w:cs="Arial"/>
          <w:bCs/>
          <w:lang w:val="es-ES_tradnl" w:eastAsia="es-ES"/>
        </w:rPr>
        <w:t>utilidad</w:t>
      </w:r>
      <w:r w:rsidR="00C20012" w:rsidRPr="004C52B2">
        <w:rPr>
          <w:rFonts w:ascii="ITC Avant Garde" w:eastAsia="Times New Roman" w:hAnsi="ITC Avant Garde" w:cs="Arial"/>
          <w:bCs/>
          <w:lang w:val="es-ES_tradnl" w:eastAsia="es-ES"/>
        </w:rPr>
        <w:t xml:space="preserve">, </w:t>
      </w:r>
      <w:r w:rsidR="00131817" w:rsidRPr="004C52B2">
        <w:rPr>
          <w:rFonts w:ascii="ITC Avant Garde" w:eastAsia="Times New Roman" w:hAnsi="ITC Avant Garde" w:cs="Arial"/>
          <w:bCs/>
          <w:lang w:val="es-ES_tradnl" w:eastAsia="es-ES"/>
        </w:rPr>
        <w:t>incrementando su</w:t>
      </w:r>
      <w:r w:rsidR="00C20012" w:rsidRPr="004C52B2">
        <w:rPr>
          <w:rFonts w:ascii="ITC Avant Garde" w:eastAsia="Times New Roman" w:hAnsi="ITC Avant Garde" w:cs="Arial"/>
          <w:bCs/>
          <w:lang w:val="es-ES_tradnl" w:eastAsia="es-ES"/>
        </w:rPr>
        <w:t xml:space="preserve"> eficiencia y productividad</w:t>
      </w:r>
      <w:r w:rsidR="00855846" w:rsidRPr="004C52B2">
        <w:rPr>
          <w:rFonts w:ascii="ITC Avant Garde" w:eastAsia="Times New Roman" w:hAnsi="ITC Avant Garde" w:cs="Arial"/>
          <w:bCs/>
          <w:lang w:val="es-ES_tradnl" w:eastAsia="es-ES"/>
        </w:rPr>
        <w:t>; y por otro lado,</w:t>
      </w:r>
      <w:r w:rsidR="00257EE9" w:rsidRPr="004C52B2">
        <w:rPr>
          <w:rFonts w:ascii="ITC Avant Garde" w:eastAsia="Times New Roman" w:hAnsi="ITC Avant Garde" w:cs="Arial"/>
          <w:bCs/>
          <w:lang w:val="es-ES_tradnl" w:eastAsia="es-ES"/>
        </w:rPr>
        <w:t xml:space="preserve"> </w:t>
      </w:r>
      <w:r w:rsidR="00855846" w:rsidRPr="004C52B2">
        <w:rPr>
          <w:rFonts w:ascii="ITC Avant Garde" w:eastAsia="Times New Roman" w:hAnsi="ITC Avant Garde" w:cs="Arial"/>
          <w:bCs/>
          <w:lang w:val="es-ES_tradnl" w:eastAsia="es-ES"/>
        </w:rPr>
        <w:t>generar</w:t>
      </w:r>
      <w:r w:rsidR="002B24C7" w:rsidRPr="004C52B2">
        <w:rPr>
          <w:rFonts w:ascii="ITC Avant Garde" w:eastAsia="Times New Roman" w:hAnsi="ITC Avant Garde" w:cs="Arial"/>
          <w:bCs/>
          <w:lang w:val="es-ES_tradnl" w:eastAsia="es-ES"/>
        </w:rPr>
        <w:t xml:space="preserve"> un</w:t>
      </w:r>
      <w:r w:rsidR="0028046F">
        <w:rPr>
          <w:rFonts w:ascii="ITC Avant Garde" w:eastAsia="Times New Roman" w:hAnsi="ITC Avant Garde" w:cs="Arial"/>
          <w:bCs/>
          <w:lang w:val="es-ES_tradnl" w:eastAsia="es-ES"/>
        </w:rPr>
        <w:t xml:space="preserve"> mecanismo para que dichos beneficios se reflejen en mejores </w:t>
      </w:r>
      <w:r w:rsidR="00C20012" w:rsidRPr="004C52B2">
        <w:rPr>
          <w:rFonts w:ascii="ITC Avant Garde" w:eastAsia="Times New Roman" w:hAnsi="ITC Avant Garde" w:cs="Arial"/>
          <w:bCs/>
          <w:lang w:val="es-ES_tradnl" w:eastAsia="es-ES"/>
        </w:rPr>
        <w:t xml:space="preserve">precios al </w:t>
      </w:r>
      <w:r w:rsidR="002B24C7" w:rsidRPr="004C52B2">
        <w:rPr>
          <w:rFonts w:ascii="ITC Avant Garde" w:eastAsia="Times New Roman" w:hAnsi="ITC Avant Garde" w:cs="Arial"/>
          <w:bCs/>
          <w:lang w:val="es-ES_tradnl" w:eastAsia="es-ES"/>
        </w:rPr>
        <w:t>usuario final</w:t>
      </w:r>
      <w:r w:rsidR="00C20012" w:rsidRPr="004C52B2">
        <w:rPr>
          <w:rFonts w:ascii="ITC Avant Garde" w:eastAsia="Times New Roman" w:hAnsi="ITC Avant Garde" w:cs="Arial"/>
          <w:bCs/>
          <w:lang w:val="es-ES_tradnl" w:eastAsia="es-ES"/>
        </w:rPr>
        <w:t>.</w:t>
      </w:r>
    </w:p>
    <w:p w14:paraId="5D68D4FD" w14:textId="77777777" w:rsidR="00AF40CD" w:rsidRDefault="00C20012" w:rsidP="008369E9">
      <w:pPr>
        <w:adjustRightInd w:val="0"/>
        <w:spacing w:before="240" w:line="240" w:lineRule="auto"/>
        <w:jc w:val="both"/>
        <w:rPr>
          <w:rFonts w:ascii="ITC Avant Garde" w:eastAsia="Times New Roman" w:hAnsi="ITC Avant Garde" w:cs="Arial"/>
          <w:bCs/>
          <w:lang w:val="es-ES_tradnl" w:eastAsia="es-ES"/>
        </w:rPr>
        <w:sectPr w:rsidR="00AF40CD" w:rsidSect="00E00114">
          <w:headerReference w:type="default" r:id="rId22"/>
          <w:pgSz w:w="12240" w:h="15840"/>
          <w:pgMar w:top="2370" w:right="1418" w:bottom="1418" w:left="1418" w:header="709" w:footer="709" w:gutter="0"/>
          <w:cols w:space="708"/>
          <w:docGrid w:linePitch="360"/>
        </w:sectPr>
      </w:pPr>
      <w:r w:rsidRPr="004C52B2">
        <w:rPr>
          <w:rFonts w:ascii="ITC Avant Garde" w:eastAsia="Times New Roman" w:hAnsi="ITC Avant Garde" w:cs="Arial"/>
          <w:bCs/>
          <w:lang w:val="es-ES_tradnl" w:eastAsia="es-ES"/>
        </w:rPr>
        <w:t>Derivado de lo anterior, se consider</w:t>
      </w:r>
      <w:r w:rsidR="00131817" w:rsidRPr="004C52B2">
        <w:rPr>
          <w:rFonts w:ascii="ITC Avant Garde" w:eastAsia="Times New Roman" w:hAnsi="ITC Avant Garde" w:cs="Arial"/>
          <w:bCs/>
          <w:lang w:val="es-ES_tradnl" w:eastAsia="es-ES"/>
        </w:rPr>
        <w:t>ó</w:t>
      </w:r>
      <w:r w:rsidRPr="004C52B2">
        <w:rPr>
          <w:rFonts w:ascii="ITC Avant Garde" w:eastAsia="Times New Roman" w:hAnsi="ITC Avant Garde" w:cs="Arial"/>
          <w:bCs/>
          <w:lang w:val="es-ES_tradnl" w:eastAsia="es-ES"/>
        </w:rPr>
        <w:t xml:space="preserve"> que </w:t>
      </w:r>
      <w:r w:rsidR="001F28EA" w:rsidRPr="004C52B2">
        <w:rPr>
          <w:rFonts w:ascii="ITC Avant Garde" w:eastAsia="Times New Roman" w:hAnsi="ITC Avant Garde" w:cs="Arial"/>
          <w:bCs/>
          <w:lang w:val="es-ES_tradnl" w:eastAsia="es-ES"/>
        </w:rPr>
        <w:t xml:space="preserve">para garantizar la efectividad del </w:t>
      </w:r>
      <w:r w:rsidR="0070681E">
        <w:rPr>
          <w:rFonts w:ascii="ITC Avant Garde" w:eastAsia="Times New Roman" w:hAnsi="ITC Avant Garde" w:cs="Arial"/>
          <w:bCs/>
          <w:lang w:val="es-ES_tradnl" w:eastAsia="es-ES"/>
        </w:rPr>
        <w:t>F</w:t>
      </w:r>
      <w:r w:rsidR="001F28EA" w:rsidRPr="004C52B2">
        <w:rPr>
          <w:rFonts w:ascii="ITC Avant Garde" w:eastAsia="Times New Roman" w:hAnsi="ITC Avant Garde" w:cs="Arial"/>
          <w:bCs/>
          <w:lang w:val="es-ES_tradnl" w:eastAsia="es-ES"/>
        </w:rPr>
        <w:t>act</w:t>
      </w:r>
      <w:r w:rsidR="00F03E18" w:rsidRPr="004C52B2">
        <w:rPr>
          <w:rFonts w:ascii="ITC Avant Garde" w:eastAsia="Times New Roman" w:hAnsi="ITC Avant Garde" w:cs="Arial"/>
          <w:bCs/>
          <w:lang w:val="es-ES_tradnl" w:eastAsia="es-ES"/>
        </w:rPr>
        <w:t xml:space="preserve">or de </w:t>
      </w:r>
      <w:r w:rsidR="0070681E">
        <w:rPr>
          <w:rFonts w:ascii="ITC Avant Garde" w:eastAsia="Times New Roman" w:hAnsi="ITC Avant Garde" w:cs="Arial"/>
          <w:bCs/>
          <w:lang w:val="es-ES_tradnl" w:eastAsia="es-ES"/>
        </w:rPr>
        <w:t>P</w:t>
      </w:r>
      <w:r w:rsidR="00F03E18" w:rsidRPr="004C52B2">
        <w:rPr>
          <w:rFonts w:ascii="ITC Avant Garde" w:eastAsia="Times New Roman" w:hAnsi="ITC Avant Garde" w:cs="Arial"/>
          <w:bCs/>
          <w:lang w:val="es-ES_tradnl" w:eastAsia="es-ES"/>
        </w:rPr>
        <w:t xml:space="preserve">roductividad </w:t>
      </w:r>
      <w:r w:rsidR="0070681E">
        <w:rPr>
          <w:rFonts w:ascii="ITC Avant Garde" w:eastAsia="Times New Roman" w:hAnsi="ITC Avant Garde" w:cs="Arial"/>
          <w:bCs/>
          <w:lang w:val="es-ES_tradnl" w:eastAsia="es-ES"/>
        </w:rPr>
        <w:t xml:space="preserve">“X” </w:t>
      </w:r>
      <w:r w:rsidR="00F03E18" w:rsidRPr="004C52B2">
        <w:rPr>
          <w:rFonts w:ascii="ITC Avant Garde" w:eastAsia="Times New Roman" w:hAnsi="ITC Avant Garde" w:cs="Arial"/>
          <w:bCs/>
          <w:lang w:val="es-ES_tradnl" w:eastAsia="es-ES"/>
        </w:rPr>
        <w:t>establecido</w:t>
      </w:r>
      <w:r w:rsidR="001F28EA" w:rsidRPr="004C52B2">
        <w:rPr>
          <w:rFonts w:ascii="ITC Avant Garde" w:eastAsia="Times New Roman" w:hAnsi="ITC Avant Garde" w:cs="Arial"/>
          <w:bCs/>
          <w:lang w:val="es-ES_tradnl" w:eastAsia="es-ES"/>
        </w:rPr>
        <w:t xml:space="preserve"> se debe contemplar la</w:t>
      </w:r>
      <w:r w:rsidRPr="004C52B2">
        <w:rPr>
          <w:rFonts w:ascii="ITC Avant Garde" w:eastAsia="Times New Roman" w:hAnsi="ITC Avant Garde" w:cs="Arial"/>
          <w:bCs/>
          <w:lang w:val="es-ES_tradnl" w:eastAsia="es-ES"/>
        </w:rPr>
        <w:t xml:space="preserve"> evolución </w:t>
      </w:r>
      <w:r w:rsidR="001F28EA" w:rsidRPr="004C52B2">
        <w:rPr>
          <w:rFonts w:ascii="ITC Avant Garde" w:eastAsia="Times New Roman" w:hAnsi="ITC Avant Garde" w:cs="Arial"/>
          <w:bCs/>
          <w:lang w:val="es-ES_tradnl" w:eastAsia="es-ES"/>
        </w:rPr>
        <w:t xml:space="preserve">reciente </w:t>
      </w:r>
      <w:r w:rsidRPr="004C52B2">
        <w:rPr>
          <w:rFonts w:ascii="ITC Avant Garde" w:eastAsia="Times New Roman" w:hAnsi="ITC Avant Garde" w:cs="Arial"/>
          <w:bCs/>
          <w:lang w:val="es-ES_tradnl" w:eastAsia="es-ES"/>
        </w:rPr>
        <w:t>de</w:t>
      </w:r>
      <w:r w:rsidR="001F28EA" w:rsidRPr="004C52B2">
        <w:rPr>
          <w:rFonts w:ascii="ITC Avant Garde" w:eastAsia="Times New Roman" w:hAnsi="ITC Avant Garde" w:cs="Arial"/>
          <w:bCs/>
          <w:lang w:val="es-ES_tradnl" w:eastAsia="es-ES"/>
        </w:rPr>
        <w:t xml:space="preserve"> los</w:t>
      </w:r>
      <w:r w:rsidRPr="004C52B2">
        <w:rPr>
          <w:rFonts w:ascii="ITC Avant Garde" w:eastAsia="Times New Roman" w:hAnsi="ITC Avant Garde" w:cs="Arial"/>
          <w:bCs/>
          <w:lang w:val="es-ES_tradnl" w:eastAsia="es-ES"/>
        </w:rPr>
        <w:t xml:space="preserve"> precios </w:t>
      </w:r>
      <w:r w:rsidR="001F28EA" w:rsidRPr="004C52B2">
        <w:rPr>
          <w:rFonts w:ascii="ITC Avant Garde" w:eastAsia="Times New Roman" w:hAnsi="ITC Avant Garde" w:cs="Arial"/>
          <w:bCs/>
          <w:lang w:val="es-ES_tradnl" w:eastAsia="es-ES"/>
        </w:rPr>
        <w:t xml:space="preserve">de los servicios </w:t>
      </w:r>
      <w:r w:rsidRPr="004C52B2">
        <w:rPr>
          <w:rFonts w:ascii="ITC Avant Garde" w:eastAsia="Times New Roman" w:hAnsi="ITC Avant Garde" w:cs="Arial"/>
          <w:bCs/>
          <w:lang w:val="es-ES_tradnl" w:eastAsia="es-ES"/>
        </w:rPr>
        <w:t xml:space="preserve">en el mercado. </w:t>
      </w:r>
      <w:r w:rsidR="002B24C7" w:rsidRPr="004C52B2">
        <w:rPr>
          <w:rFonts w:ascii="ITC Avant Garde" w:eastAsia="Times New Roman" w:hAnsi="ITC Avant Garde" w:cs="Arial"/>
          <w:bCs/>
          <w:lang w:val="es-ES_tradnl" w:eastAsia="es-ES"/>
        </w:rPr>
        <w:t xml:space="preserve">Una de las características del comportamiento de los precios de </w:t>
      </w:r>
      <w:r w:rsidR="001F28EA" w:rsidRPr="004C52B2">
        <w:rPr>
          <w:rFonts w:ascii="ITC Avant Garde" w:eastAsia="Times New Roman" w:hAnsi="ITC Avant Garde" w:cs="Arial"/>
          <w:bCs/>
          <w:lang w:val="es-ES_tradnl" w:eastAsia="es-ES"/>
        </w:rPr>
        <w:t>l</w:t>
      </w:r>
      <w:r w:rsidR="002B24C7" w:rsidRPr="004C52B2">
        <w:rPr>
          <w:rFonts w:ascii="ITC Avant Garde" w:eastAsia="Times New Roman" w:hAnsi="ITC Avant Garde" w:cs="Arial"/>
          <w:bCs/>
          <w:lang w:val="es-ES_tradnl" w:eastAsia="es-ES"/>
        </w:rPr>
        <w:t>os servicios de telecomunicaciones</w:t>
      </w:r>
      <w:r w:rsidR="001F28EA" w:rsidRPr="004C52B2">
        <w:rPr>
          <w:rFonts w:ascii="ITC Avant Garde" w:eastAsia="Times New Roman" w:hAnsi="ITC Avant Garde" w:cs="Arial"/>
          <w:bCs/>
          <w:lang w:val="es-ES_tradnl" w:eastAsia="es-ES"/>
        </w:rPr>
        <w:t xml:space="preserve"> que son materia del sistema de precios tope</w:t>
      </w:r>
      <w:r w:rsidR="002B24C7" w:rsidRPr="004C52B2">
        <w:rPr>
          <w:rFonts w:ascii="ITC Avant Garde" w:eastAsia="Times New Roman" w:hAnsi="ITC Avant Garde" w:cs="Arial"/>
          <w:bCs/>
          <w:lang w:val="es-ES_tradnl" w:eastAsia="es-ES"/>
        </w:rPr>
        <w:t xml:space="preserve">, es que los operadores han optado por aumentar la calidad o </w:t>
      </w:r>
      <w:r w:rsidR="001F28EA" w:rsidRPr="004C52B2">
        <w:rPr>
          <w:rFonts w:ascii="ITC Avant Garde" w:eastAsia="Times New Roman" w:hAnsi="ITC Avant Garde" w:cs="Arial"/>
          <w:bCs/>
          <w:lang w:val="es-ES_tradnl" w:eastAsia="es-ES"/>
        </w:rPr>
        <w:t xml:space="preserve">ciertas </w:t>
      </w:r>
      <w:r w:rsidR="002B24C7" w:rsidRPr="004C52B2">
        <w:rPr>
          <w:rFonts w:ascii="ITC Avant Garde" w:eastAsia="Times New Roman" w:hAnsi="ITC Avant Garde" w:cs="Arial"/>
          <w:bCs/>
          <w:lang w:val="es-ES_tradnl" w:eastAsia="es-ES"/>
        </w:rPr>
        <w:t xml:space="preserve">características </w:t>
      </w:r>
      <w:r w:rsidR="001F28EA" w:rsidRPr="004C52B2">
        <w:rPr>
          <w:rFonts w:ascii="ITC Avant Garde" w:eastAsia="Times New Roman" w:hAnsi="ITC Avant Garde" w:cs="Arial"/>
          <w:bCs/>
          <w:lang w:val="es-ES_tradnl" w:eastAsia="es-ES"/>
        </w:rPr>
        <w:t xml:space="preserve">o atributos </w:t>
      </w:r>
      <w:r w:rsidR="002B24C7" w:rsidRPr="004C52B2">
        <w:rPr>
          <w:rFonts w:ascii="ITC Avant Garde" w:eastAsia="Times New Roman" w:hAnsi="ITC Avant Garde" w:cs="Arial"/>
          <w:bCs/>
          <w:lang w:val="es-ES_tradnl" w:eastAsia="es-ES"/>
        </w:rPr>
        <w:t>del servicio</w:t>
      </w:r>
      <w:r w:rsidR="00CE7491">
        <w:rPr>
          <w:rFonts w:ascii="ITC Avant Garde" w:eastAsia="Times New Roman" w:hAnsi="ITC Avant Garde" w:cs="Arial"/>
          <w:bCs/>
          <w:lang w:val="es-ES_tradnl" w:eastAsia="es-ES"/>
        </w:rPr>
        <w:t xml:space="preserve"> ofreci</w:t>
      </w:r>
      <w:bookmarkStart w:id="0" w:name="_GoBack"/>
      <w:bookmarkEnd w:id="0"/>
      <w:r w:rsidR="00CE7491">
        <w:rPr>
          <w:rFonts w:ascii="ITC Avant Garde" w:eastAsia="Times New Roman" w:hAnsi="ITC Avant Garde" w:cs="Arial"/>
          <w:bCs/>
          <w:lang w:val="es-ES_tradnl" w:eastAsia="es-ES"/>
        </w:rPr>
        <w:t>dos al mismo precio o a un precio similar</w:t>
      </w:r>
      <w:r w:rsidR="001F28EA" w:rsidRPr="004C52B2">
        <w:rPr>
          <w:rFonts w:ascii="ITC Avant Garde" w:eastAsia="Times New Roman" w:hAnsi="ITC Avant Garde" w:cs="Arial"/>
          <w:bCs/>
          <w:lang w:val="es-ES_tradnl" w:eastAsia="es-ES"/>
        </w:rPr>
        <w:t>.</w:t>
      </w:r>
    </w:p>
    <w:p w14:paraId="375D2B60" w14:textId="77777777" w:rsidR="008369E9" w:rsidRDefault="00C20012" w:rsidP="008369E9">
      <w:pPr>
        <w:adjustRightInd w:val="0"/>
        <w:spacing w:before="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lastRenderedPageBreak/>
        <w:t>En lo que respecta a los servicios de telecomunicaciones, se ha empezado a observar un cambio en las ofertas comerciales presentadas por los operadores, particularmente en aquellas que incluyen el servicio de banda ancha fija. Este servicio, el de la banda ancha</w:t>
      </w:r>
      <w:r w:rsidR="005C046F">
        <w:rPr>
          <w:rFonts w:ascii="ITC Avant Garde" w:eastAsia="Times New Roman" w:hAnsi="ITC Avant Garde" w:cs="Arial"/>
          <w:bCs/>
          <w:lang w:val="es-ES_tradnl" w:eastAsia="es-ES"/>
        </w:rPr>
        <w:t xml:space="preserve"> fija</w:t>
      </w:r>
      <w:r w:rsidRPr="004C52B2">
        <w:rPr>
          <w:rFonts w:ascii="ITC Avant Garde" w:eastAsia="Times New Roman" w:hAnsi="ITC Avant Garde" w:cs="Arial"/>
          <w:bCs/>
          <w:lang w:val="es-ES_tradnl" w:eastAsia="es-ES"/>
        </w:rPr>
        <w:t>, refleja los cambios producidos en los atributos del servicio ocasionados por la rápida evolución tecnológica, y en consecuencia ha reducido la duración de la vigencia de los planes y paquetes.</w:t>
      </w:r>
    </w:p>
    <w:p w14:paraId="5334402A" w14:textId="77777777" w:rsidR="008369E9" w:rsidRDefault="00C20012" w:rsidP="008369E9">
      <w:pPr>
        <w:adjustRightInd w:val="0"/>
        <w:spacing w:before="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 xml:space="preserve">El avance tecnológico, principalmente en la infraestructura de acceso como la implementación de redes de fibra </w:t>
      </w:r>
      <w:r w:rsidR="005C046F">
        <w:rPr>
          <w:rFonts w:ascii="ITC Avant Garde" w:eastAsia="Times New Roman" w:hAnsi="ITC Avant Garde" w:cs="Arial"/>
          <w:bCs/>
          <w:lang w:val="es-ES_tradnl" w:eastAsia="es-ES"/>
        </w:rPr>
        <w:t xml:space="preserve">óptica </w:t>
      </w:r>
      <w:r w:rsidRPr="004C52B2">
        <w:rPr>
          <w:rFonts w:ascii="ITC Avant Garde" w:eastAsia="Times New Roman" w:hAnsi="ITC Avant Garde" w:cs="Arial"/>
          <w:bCs/>
          <w:lang w:val="es-ES_tradnl" w:eastAsia="es-ES"/>
        </w:rPr>
        <w:t xml:space="preserve">de última milla, ha permitido un cambio constante y cada vez más frecuente en las características de los planes y paquetes de banda ancha que se ofertan a un mismo precio, en donde la principal diferencia entre un paquete entrante respecto del anterior es la velocidad máxima anunciada al usuario final. </w:t>
      </w:r>
      <w:proofErr w:type="gramStart"/>
      <w:r w:rsidRPr="004C52B2">
        <w:rPr>
          <w:rFonts w:ascii="ITC Avant Garde" w:eastAsia="Times New Roman" w:hAnsi="ITC Avant Garde" w:cs="Arial"/>
          <w:bCs/>
          <w:lang w:val="es-ES_tradnl" w:eastAsia="es-ES"/>
        </w:rPr>
        <w:t>Así</w:t>
      </w:r>
      <w:proofErr w:type="gramEnd"/>
      <w:r w:rsidRPr="004C52B2">
        <w:rPr>
          <w:rFonts w:ascii="ITC Avant Garde" w:eastAsia="Times New Roman" w:hAnsi="ITC Avant Garde" w:cs="Arial"/>
          <w:bCs/>
          <w:lang w:val="es-ES_tradnl" w:eastAsia="es-ES"/>
        </w:rPr>
        <w:t xml:space="preserve"> por ejemplo, si el operador duplica la velocidad ofrecida en el paquete básico de servicio de acceso a Internet, el índice de precios de este servicio permanecerá inalterable</w:t>
      </w:r>
      <w:r w:rsidR="00D94767" w:rsidRPr="004C52B2">
        <w:rPr>
          <w:rFonts w:ascii="ITC Avant Garde" w:eastAsia="Times New Roman" w:hAnsi="ITC Avant Garde" w:cs="Arial"/>
          <w:bCs/>
          <w:lang w:val="es-ES_tradnl" w:eastAsia="es-ES"/>
        </w:rPr>
        <w:t xml:space="preserve"> a menos que reconozca la evolución de los atributos del servicio a través del tiempo.</w:t>
      </w:r>
    </w:p>
    <w:p w14:paraId="6E84705D" w14:textId="77777777" w:rsidR="008369E9" w:rsidRDefault="00E96FE3" w:rsidP="008369E9">
      <w:pPr>
        <w:adjustRightInd w:val="0"/>
        <w:spacing w:before="240" w:line="240" w:lineRule="auto"/>
        <w:jc w:val="both"/>
        <w:rPr>
          <w:rFonts w:ascii="ITC Avant Garde" w:eastAsia="Times New Roman" w:hAnsi="ITC Avant Garde" w:cs="Arial"/>
          <w:bCs/>
          <w:lang w:val="es-ES_tradnl" w:eastAsia="es-ES"/>
        </w:rPr>
      </w:pPr>
      <w:proofErr w:type="gramStart"/>
      <w:r w:rsidRPr="004C52B2">
        <w:rPr>
          <w:rFonts w:ascii="ITC Avant Garde" w:eastAsia="Times New Roman" w:hAnsi="ITC Avant Garde" w:cs="Arial"/>
          <w:b/>
          <w:bCs/>
          <w:lang w:val="es-ES_tradnl" w:eastAsia="es-ES"/>
        </w:rPr>
        <w:t>NOVENO</w:t>
      </w:r>
      <w:r w:rsidR="00DF09A2" w:rsidRPr="004C52B2">
        <w:rPr>
          <w:rFonts w:ascii="ITC Avant Garde" w:eastAsia="Times New Roman" w:hAnsi="ITC Avant Garde" w:cs="Arial"/>
          <w:b/>
          <w:bCs/>
          <w:lang w:val="es-ES_tradnl" w:eastAsia="es-ES"/>
        </w:rPr>
        <w:t>.</w:t>
      </w:r>
      <w:r w:rsidR="00635207">
        <w:rPr>
          <w:rFonts w:ascii="ITC Avant Garde" w:eastAsia="Times New Roman" w:hAnsi="ITC Avant Garde" w:cs="Arial"/>
          <w:b/>
          <w:bCs/>
          <w:lang w:val="es-ES_tradnl" w:eastAsia="es-ES"/>
        </w:rPr>
        <w:t>-</w:t>
      </w:r>
      <w:proofErr w:type="gramEnd"/>
      <w:r w:rsidR="00DF09A2" w:rsidRPr="004C52B2">
        <w:rPr>
          <w:rFonts w:ascii="ITC Avant Garde" w:eastAsia="Times New Roman" w:hAnsi="ITC Avant Garde" w:cs="Arial"/>
          <w:b/>
          <w:bCs/>
          <w:lang w:val="es-ES_tradnl" w:eastAsia="es-ES"/>
        </w:rPr>
        <w:t xml:space="preserve"> Complementariedad entre</w:t>
      </w:r>
      <w:r w:rsidR="00537E43" w:rsidRPr="004C52B2">
        <w:rPr>
          <w:rFonts w:ascii="ITC Avant Garde" w:eastAsia="Times New Roman" w:hAnsi="ITC Avant Garde" w:cs="Arial"/>
          <w:b/>
          <w:bCs/>
          <w:lang w:val="es-ES_tradnl" w:eastAsia="es-ES"/>
        </w:rPr>
        <w:t xml:space="preserve"> los sistemas de precios tope</w:t>
      </w:r>
      <w:r w:rsidR="00537E43" w:rsidRPr="004C52B2">
        <w:rPr>
          <w:rFonts w:ascii="ITC Avant Garde" w:eastAsia="Times New Roman" w:hAnsi="ITC Avant Garde" w:cs="Arial"/>
          <w:bCs/>
          <w:lang w:val="es-ES_tradnl" w:eastAsia="es-ES"/>
        </w:rPr>
        <w:t xml:space="preserve">. </w:t>
      </w:r>
      <w:r w:rsidR="00D94767" w:rsidRPr="004C52B2">
        <w:rPr>
          <w:rFonts w:ascii="ITC Avant Garde" w:eastAsia="Times New Roman" w:hAnsi="ITC Avant Garde" w:cs="Arial"/>
          <w:bCs/>
          <w:lang w:val="es-ES_tradnl" w:eastAsia="es-ES"/>
        </w:rPr>
        <w:t xml:space="preserve">El Instituto determinó de conformidad con </w:t>
      </w:r>
      <w:r w:rsidR="00537E43" w:rsidRPr="004C52B2">
        <w:rPr>
          <w:rFonts w:ascii="ITC Avant Garde" w:eastAsia="Times New Roman" w:hAnsi="ITC Avant Garde" w:cs="Arial"/>
          <w:bCs/>
          <w:lang w:val="es-ES_tradnl" w:eastAsia="es-ES"/>
        </w:rPr>
        <w:t>la condición 6.2 d</w:t>
      </w:r>
      <w:r w:rsidR="00D94767" w:rsidRPr="004C52B2">
        <w:rPr>
          <w:rFonts w:ascii="ITC Avant Garde" w:eastAsia="Times New Roman" w:hAnsi="ITC Avant Garde" w:cs="Arial"/>
          <w:bCs/>
          <w:lang w:val="es-ES_tradnl" w:eastAsia="es-ES"/>
        </w:rPr>
        <w:t xml:space="preserve">el </w:t>
      </w:r>
      <w:r w:rsidR="005C046F">
        <w:rPr>
          <w:rFonts w:ascii="ITC Avant Garde" w:eastAsia="Times New Roman" w:hAnsi="ITC Avant Garde" w:cs="Arial"/>
          <w:bCs/>
          <w:lang w:val="es-ES_tradnl" w:eastAsia="es-ES"/>
        </w:rPr>
        <w:t>T</w:t>
      </w:r>
      <w:r w:rsidR="00D94767" w:rsidRPr="004C52B2">
        <w:rPr>
          <w:rFonts w:ascii="ITC Avant Garde" w:eastAsia="Times New Roman" w:hAnsi="ITC Avant Garde" w:cs="Arial"/>
          <w:bCs/>
          <w:lang w:val="es-ES_tradnl" w:eastAsia="es-ES"/>
        </w:rPr>
        <w:t xml:space="preserve">ítulo de </w:t>
      </w:r>
      <w:r w:rsidR="005C046F">
        <w:rPr>
          <w:rFonts w:ascii="ITC Avant Garde" w:eastAsia="Times New Roman" w:hAnsi="ITC Avant Garde" w:cs="Arial"/>
          <w:bCs/>
          <w:lang w:val="es-ES_tradnl" w:eastAsia="es-ES"/>
        </w:rPr>
        <w:t>C</w:t>
      </w:r>
      <w:r w:rsidR="00D94767" w:rsidRPr="004C52B2">
        <w:rPr>
          <w:rFonts w:ascii="ITC Avant Garde" w:eastAsia="Times New Roman" w:hAnsi="ITC Avant Garde" w:cs="Arial"/>
          <w:bCs/>
          <w:lang w:val="es-ES_tradnl" w:eastAsia="es-ES"/>
        </w:rPr>
        <w:t xml:space="preserve">oncesión de </w:t>
      </w:r>
      <w:r w:rsidR="00537E43" w:rsidRPr="004C52B2">
        <w:rPr>
          <w:rFonts w:ascii="ITC Avant Garde" w:eastAsia="Times New Roman" w:hAnsi="ITC Avant Garde" w:cs="Arial"/>
          <w:bCs/>
          <w:lang w:val="es-ES_tradnl" w:eastAsia="es-ES"/>
        </w:rPr>
        <w:t>Telmex, un</w:t>
      </w:r>
      <w:r w:rsidR="00D94767" w:rsidRPr="004C52B2">
        <w:rPr>
          <w:rFonts w:ascii="ITC Avant Garde" w:eastAsia="Times New Roman" w:hAnsi="ITC Avant Garde" w:cs="Arial"/>
          <w:bCs/>
          <w:lang w:val="es-ES_tradnl" w:eastAsia="es-ES"/>
        </w:rPr>
        <w:t xml:space="preserve"> Factor </w:t>
      </w:r>
      <w:r w:rsidR="00537E43" w:rsidRPr="004C52B2">
        <w:rPr>
          <w:rFonts w:ascii="ITC Avant Garde" w:eastAsia="Times New Roman" w:hAnsi="ITC Avant Garde" w:cs="Arial"/>
          <w:bCs/>
          <w:lang w:val="es-ES_tradnl" w:eastAsia="es-ES"/>
        </w:rPr>
        <w:t xml:space="preserve">de Ajuste por Productividad </w:t>
      </w:r>
      <w:r w:rsidR="00D94767" w:rsidRPr="004C52B2">
        <w:rPr>
          <w:rFonts w:ascii="ITC Avant Garde" w:eastAsia="Times New Roman" w:hAnsi="ITC Avant Garde" w:cs="Arial"/>
          <w:bCs/>
          <w:lang w:val="es-ES_tradnl" w:eastAsia="es-ES"/>
        </w:rPr>
        <w:t xml:space="preserve">“X” </w:t>
      </w:r>
      <w:r w:rsidR="00E36D99" w:rsidRPr="004C52B2">
        <w:rPr>
          <w:rFonts w:ascii="ITC Avant Garde" w:eastAsia="Times New Roman" w:hAnsi="ITC Avant Garde" w:cs="Arial"/>
          <w:bCs/>
          <w:lang w:val="es-ES_tradnl" w:eastAsia="es-ES"/>
        </w:rPr>
        <w:t>de</w:t>
      </w:r>
      <w:r w:rsidR="00E36D99" w:rsidRPr="004C52B2">
        <w:rPr>
          <w:rFonts w:ascii="ITC Avant Garde" w:hAnsi="ITC Avant Garde" w:cs="Arial"/>
          <w:color w:val="000000"/>
        </w:rPr>
        <w:t xml:space="preserve"> </w:t>
      </w:r>
      <w:r w:rsidR="004A0465" w:rsidRPr="004C52B2">
        <w:rPr>
          <w:rFonts w:ascii="ITC Avant Garde" w:hAnsi="ITC Avant Garde" w:cs="Arial"/>
          <w:color w:val="000000"/>
        </w:rPr>
        <w:t>0.35</w:t>
      </w:r>
      <w:r w:rsidR="00E36D99" w:rsidRPr="004C52B2">
        <w:rPr>
          <w:rFonts w:ascii="ITC Avant Garde" w:hAnsi="ITC Avant Garde" w:cs="Arial"/>
          <w:color w:val="000000"/>
        </w:rPr>
        <w:t>% (</w:t>
      </w:r>
      <w:proofErr w:type="gramStart"/>
      <w:r w:rsidR="004A0465" w:rsidRPr="004C52B2">
        <w:rPr>
          <w:rFonts w:ascii="ITC Avant Garde" w:hAnsi="ITC Avant Garde" w:cs="Arial"/>
          <w:color w:val="000000"/>
        </w:rPr>
        <w:t>cero punto</w:t>
      </w:r>
      <w:proofErr w:type="gramEnd"/>
      <w:r w:rsidR="004A0465" w:rsidRPr="004C52B2">
        <w:rPr>
          <w:rFonts w:ascii="ITC Avant Garde" w:hAnsi="ITC Avant Garde" w:cs="Arial"/>
          <w:color w:val="000000"/>
        </w:rPr>
        <w:t xml:space="preserve"> treinta y cinco por ciento</w:t>
      </w:r>
      <w:r w:rsidR="00E36D99" w:rsidRPr="004C52B2">
        <w:rPr>
          <w:rFonts w:ascii="ITC Avant Garde" w:hAnsi="ITC Avant Garde" w:cs="Arial"/>
          <w:color w:val="000000"/>
        </w:rPr>
        <w:t>) trimestral, equivalente a</w:t>
      </w:r>
      <w:r w:rsidR="00F03E18" w:rsidRPr="004C52B2">
        <w:rPr>
          <w:rFonts w:ascii="ITC Avant Garde" w:hAnsi="ITC Avant Garde" w:cs="Arial"/>
          <w:color w:val="000000"/>
        </w:rPr>
        <w:t xml:space="preserve"> </w:t>
      </w:r>
      <w:r w:rsidR="004A0465" w:rsidRPr="004C52B2">
        <w:rPr>
          <w:rFonts w:ascii="ITC Avant Garde" w:hAnsi="ITC Avant Garde" w:cs="Arial"/>
          <w:color w:val="000000"/>
        </w:rPr>
        <w:t>1.39</w:t>
      </w:r>
      <w:r w:rsidR="00E36D99" w:rsidRPr="004C52B2">
        <w:rPr>
          <w:rFonts w:ascii="ITC Avant Garde" w:hAnsi="ITC Avant Garde" w:cs="Arial"/>
          <w:color w:val="000000"/>
        </w:rPr>
        <w:t>% (</w:t>
      </w:r>
      <w:r w:rsidR="004A0465" w:rsidRPr="004C52B2">
        <w:rPr>
          <w:rFonts w:ascii="ITC Avant Garde" w:hAnsi="ITC Avant Garde" w:cs="Arial"/>
          <w:color w:val="000000"/>
        </w:rPr>
        <w:t>uno punto treinta y nueve por ciento</w:t>
      </w:r>
      <w:r w:rsidR="00E36D99" w:rsidRPr="004C52B2">
        <w:rPr>
          <w:rFonts w:ascii="ITC Avant Garde" w:hAnsi="ITC Avant Garde" w:cs="Arial"/>
          <w:color w:val="000000"/>
        </w:rPr>
        <w:t>) anual</w:t>
      </w:r>
      <w:r w:rsidR="00DF09A2" w:rsidRPr="004C52B2">
        <w:rPr>
          <w:rFonts w:ascii="ITC Avant Garde" w:hAnsi="ITC Avant Garde" w:cs="Arial"/>
          <w:color w:val="000000"/>
        </w:rPr>
        <w:t>,</w:t>
      </w:r>
      <w:r w:rsidR="009A1962" w:rsidRPr="004C52B2">
        <w:rPr>
          <w:rFonts w:ascii="ITC Avant Garde" w:eastAsia="Times New Roman" w:hAnsi="ITC Avant Garde" w:cs="Arial"/>
          <w:bCs/>
          <w:lang w:val="es-ES_tradnl" w:eastAsia="es-ES"/>
        </w:rPr>
        <w:t xml:space="preserve"> </w:t>
      </w:r>
      <w:r w:rsidR="00DF09A2" w:rsidRPr="004C52B2">
        <w:rPr>
          <w:rFonts w:ascii="ITC Avant Garde" w:eastAsia="Times New Roman" w:hAnsi="ITC Avant Garde" w:cs="Arial"/>
          <w:bCs/>
          <w:lang w:val="es-ES_tradnl" w:eastAsia="es-ES"/>
        </w:rPr>
        <w:t>aplicable a</w:t>
      </w:r>
      <w:r w:rsidR="00D94767" w:rsidRPr="004C52B2">
        <w:rPr>
          <w:rFonts w:ascii="ITC Avant Garde" w:eastAsia="Times New Roman" w:hAnsi="ITC Avant Garde" w:cs="Arial"/>
          <w:bCs/>
          <w:lang w:val="es-ES_tradnl" w:eastAsia="es-ES"/>
        </w:rPr>
        <w:t xml:space="preserve"> la canasta de servicios </w:t>
      </w:r>
      <w:r w:rsidR="00DF09A2" w:rsidRPr="004C52B2">
        <w:rPr>
          <w:rFonts w:ascii="ITC Avant Garde" w:eastAsia="Times New Roman" w:hAnsi="ITC Avant Garde" w:cs="Arial"/>
          <w:bCs/>
          <w:lang w:val="es-ES_tradnl" w:eastAsia="es-ES"/>
        </w:rPr>
        <w:t>públicos de telefonía básica</w:t>
      </w:r>
      <w:r w:rsidR="00B447FE" w:rsidRPr="004C52B2">
        <w:rPr>
          <w:rFonts w:ascii="ITC Avant Garde" w:eastAsia="Times New Roman" w:hAnsi="ITC Avant Garde" w:cs="Arial"/>
          <w:bCs/>
          <w:lang w:val="es-ES_tradnl" w:eastAsia="es-ES"/>
        </w:rPr>
        <w:t xml:space="preserve">, vigente </w:t>
      </w:r>
      <w:r w:rsidR="00F03E18" w:rsidRPr="004C52B2">
        <w:rPr>
          <w:rFonts w:ascii="ITC Avant Garde" w:eastAsia="Times New Roman" w:hAnsi="ITC Avant Garde" w:cs="Arial"/>
          <w:bCs/>
          <w:lang w:val="es-ES_tradnl" w:eastAsia="es-ES"/>
        </w:rPr>
        <w:t>del 1 de enero de 201</w:t>
      </w:r>
      <w:r w:rsidR="005C046F">
        <w:rPr>
          <w:rFonts w:ascii="ITC Avant Garde" w:eastAsia="Times New Roman" w:hAnsi="ITC Avant Garde" w:cs="Arial"/>
          <w:bCs/>
          <w:lang w:val="es-ES_tradnl" w:eastAsia="es-ES"/>
        </w:rPr>
        <w:t>5</w:t>
      </w:r>
      <w:r w:rsidR="001172A3" w:rsidRPr="004C52B2">
        <w:rPr>
          <w:rFonts w:ascii="ITC Avant Garde" w:eastAsia="Times New Roman" w:hAnsi="ITC Avant Garde" w:cs="Arial"/>
          <w:bCs/>
          <w:lang w:val="es-ES_tradnl" w:eastAsia="es-ES"/>
        </w:rPr>
        <w:t xml:space="preserve"> </w:t>
      </w:r>
      <w:r w:rsidR="00B447FE" w:rsidRPr="004C52B2">
        <w:rPr>
          <w:rFonts w:ascii="ITC Avant Garde" w:hAnsi="ITC Avant Garde" w:cs="Arial"/>
          <w:color w:val="000000"/>
        </w:rPr>
        <w:t>hasta el 31 de diciembre de 2018.</w:t>
      </w:r>
      <w:r w:rsidR="00D94767" w:rsidRPr="004C52B2">
        <w:rPr>
          <w:rFonts w:ascii="ITC Avant Garde" w:eastAsia="Times New Roman" w:hAnsi="ITC Avant Garde" w:cs="Arial"/>
          <w:bCs/>
          <w:lang w:val="es-ES_tradnl" w:eastAsia="es-ES"/>
        </w:rPr>
        <w:t xml:space="preserve"> </w:t>
      </w:r>
    </w:p>
    <w:p w14:paraId="10DC562E" w14:textId="77777777" w:rsidR="008369E9" w:rsidRDefault="00DF09A2" w:rsidP="008369E9">
      <w:pPr>
        <w:spacing w:before="240" w:line="240" w:lineRule="auto"/>
        <w:jc w:val="both"/>
        <w:rPr>
          <w:rFonts w:ascii="ITC Avant Garde" w:hAnsi="ITC Avant Garde" w:cs="Arial"/>
          <w:color w:val="000000"/>
        </w:rPr>
      </w:pPr>
      <w:r w:rsidRPr="004C52B2">
        <w:rPr>
          <w:rFonts w:ascii="ITC Avant Garde" w:hAnsi="ITC Avant Garde" w:cs="Arial"/>
          <w:color w:val="000000"/>
        </w:rPr>
        <w:t xml:space="preserve">La </w:t>
      </w:r>
      <w:r w:rsidR="00511D02" w:rsidRPr="004C52B2">
        <w:rPr>
          <w:rFonts w:ascii="ITC Avant Garde" w:eastAsia="Times New Roman" w:hAnsi="ITC Avant Garde" w:cs="Arial"/>
          <w:bCs/>
          <w:lang w:val="es-ES_tradnl" w:eastAsia="es-ES"/>
        </w:rPr>
        <w:t xml:space="preserve">canasta de servicios públicos de telefonía básica para este control tarifario </w:t>
      </w:r>
      <w:r w:rsidR="00050971" w:rsidRPr="004C52B2">
        <w:rPr>
          <w:rFonts w:ascii="ITC Avant Garde" w:eastAsia="Times New Roman" w:hAnsi="ITC Avant Garde" w:cs="Arial"/>
          <w:bCs/>
          <w:lang w:val="es-ES_tradnl" w:eastAsia="es-ES"/>
        </w:rPr>
        <w:t xml:space="preserve">derivado del </w:t>
      </w:r>
      <w:r w:rsidR="005C046F">
        <w:rPr>
          <w:rFonts w:ascii="ITC Avant Garde" w:eastAsia="Times New Roman" w:hAnsi="ITC Avant Garde" w:cs="Arial"/>
          <w:bCs/>
          <w:lang w:val="es-ES_tradnl" w:eastAsia="es-ES"/>
        </w:rPr>
        <w:t>T</w:t>
      </w:r>
      <w:r w:rsidR="00050971" w:rsidRPr="004C52B2">
        <w:rPr>
          <w:rFonts w:ascii="ITC Avant Garde" w:eastAsia="Times New Roman" w:hAnsi="ITC Avant Garde" w:cs="Arial"/>
          <w:bCs/>
          <w:lang w:val="es-ES_tradnl" w:eastAsia="es-ES"/>
        </w:rPr>
        <w:t xml:space="preserve">ítulo de </w:t>
      </w:r>
      <w:r w:rsidR="005C046F">
        <w:rPr>
          <w:rFonts w:ascii="ITC Avant Garde" w:eastAsia="Times New Roman" w:hAnsi="ITC Avant Garde" w:cs="Arial"/>
          <w:bCs/>
          <w:lang w:val="es-ES_tradnl" w:eastAsia="es-ES"/>
        </w:rPr>
        <w:t>C</w:t>
      </w:r>
      <w:r w:rsidR="00050971" w:rsidRPr="004C52B2">
        <w:rPr>
          <w:rFonts w:ascii="ITC Avant Garde" w:eastAsia="Times New Roman" w:hAnsi="ITC Avant Garde" w:cs="Arial"/>
          <w:bCs/>
          <w:lang w:val="es-ES_tradnl" w:eastAsia="es-ES"/>
        </w:rPr>
        <w:t xml:space="preserve">oncesión de Telmex y </w:t>
      </w:r>
      <w:r w:rsidR="005C046F">
        <w:rPr>
          <w:rFonts w:ascii="ITC Avant Garde" w:eastAsia="Times New Roman" w:hAnsi="ITC Avant Garde" w:cs="Arial"/>
          <w:bCs/>
          <w:lang w:val="es-ES_tradnl" w:eastAsia="es-ES"/>
        </w:rPr>
        <w:t>del T</w:t>
      </w:r>
      <w:r w:rsidR="005C046F" w:rsidRPr="004C52B2">
        <w:rPr>
          <w:rFonts w:ascii="ITC Avant Garde" w:eastAsia="Times New Roman" w:hAnsi="ITC Avant Garde" w:cs="Arial"/>
          <w:bCs/>
          <w:lang w:val="es-ES_tradnl" w:eastAsia="es-ES"/>
        </w:rPr>
        <w:t xml:space="preserve">ítulo de </w:t>
      </w:r>
      <w:r w:rsidR="005C046F">
        <w:rPr>
          <w:rFonts w:ascii="ITC Avant Garde" w:eastAsia="Times New Roman" w:hAnsi="ITC Avant Garde" w:cs="Arial"/>
          <w:bCs/>
          <w:lang w:val="es-ES_tradnl" w:eastAsia="es-ES"/>
        </w:rPr>
        <w:t>C</w:t>
      </w:r>
      <w:r w:rsidR="005C046F" w:rsidRPr="004C52B2">
        <w:rPr>
          <w:rFonts w:ascii="ITC Avant Garde" w:eastAsia="Times New Roman" w:hAnsi="ITC Avant Garde" w:cs="Arial"/>
          <w:bCs/>
          <w:lang w:val="es-ES_tradnl" w:eastAsia="es-ES"/>
        </w:rPr>
        <w:t xml:space="preserve">oncesión </w:t>
      </w:r>
      <w:r w:rsidR="005C046F">
        <w:rPr>
          <w:rFonts w:ascii="ITC Avant Garde" w:eastAsia="Times New Roman" w:hAnsi="ITC Avant Garde" w:cs="Arial"/>
          <w:bCs/>
          <w:lang w:val="es-ES_tradnl" w:eastAsia="es-ES"/>
        </w:rPr>
        <w:t xml:space="preserve">de </w:t>
      </w:r>
      <w:r w:rsidR="00050971" w:rsidRPr="004C52B2">
        <w:rPr>
          <w:rFonts w:ascii="ITC Avant Garde" w:eastAsia="Times New Roman" w:hAnsi="ITC Avant Garde" w:cs="Arial"/>
          <w:bCs/>
          <w:lang w:val="es-ES_tradnl" w:eastAsia="es-ES"/>
        </w:rPr>
        <w:t xml:space="preserve">Telnor, </w:t>
      </w:r>
      <w:r w:rsidR="00511D02" w:rsidRPr="004C52B2">
        <w:rPr>
          <w:rFonts w:ascii="ITC Avant Garde" w:eastAsia="Times New Roman" w:hAnsi="ITC Avant Garde" w:cs="Arial"/>
          <w:bCs/>
          <w:lang w:val="es-ES_tradnl" w:eastAsia="es-ES"/>
        </w:rPr>
        <w:t>incluye:</w:t>
      </w:r>
    </w:p>
    <w:p w14:paraId="1D4E9C66" w14:textId="69D7A4DB" w:rsidR="00511D02" w:rsidRPr="004C52B2" w:rsidRDefault="00511D02" w:rsidP="008369E9">
      <w:pPr>
        <w:numPr>
          <w:ilvl w:val="0"/>
          <w:numId w:val="17"/>
        </w:numPr>
        <w:spacing w:before="240" w:line="240" w:lineRule="auto"/>
        <w:jc w:val="both"/>
        <w:rPr>
          <w:rFonts w:ascii="ITC Avant Garde" w:hAnsi="ITC Avant Garde" w:cs="Arial"/>
          <w:color w:val="000000"/>
        </w:rPr>
      </w:pPr>
      <w:r w:rsidRPr="004C52B2">
        <w:rPr>
          <w:rFonts w:ascii="ITC Avant Garde" w:hAnsi="ITC Avant Garde" w:cs="Arial"/>
          <w:color w:val="000000"/>
        </w:rPr>
        <w:t>Servicio local residencial</w:t>
      </w:r>
    </w:p>
    <w:p w14:paraId="6BD2A3A9" w14:textId="77777777" w:rsidR="00511D02" w:rsidRPr="004C52B2" w:rsidRDefault="00511D02" w:rsidP="008369E9">
      <w:pPr>
        <w:numPr>
          <w:ilvl w:val="0"/>
          <w:numId w:val="18"/>
        </w:numPr>
        <w:spacing w:before="240" w:line="240" w:lineRule="auto"/>
        <w:jc w:val="both"/>
        <w:rPr>
          <w:rFonts w:ascii="ITC Avant Garde" w:hAnsi="ITC Avant Garde" w:cs="Arial"/>
          <w:color w:val="000000"/>
        </w:rPr>
      </w:pPr>
      <w:r w:rsidRPr="004C52B2">
        <w:rPr>
          <w:rFonts w:ascii="ITC Avant Garde" w:hAnsi="ITC Avant Garde" w:cs="Arial"/>
          <w:color w:val="000000"/>
        </w:rPr>
        <w:t xml:space="preserve">Cargo de instalación de línea </w:t>
      </w:r>
    </w:p>
    <w:p w14:paraId="0ADD7A7E" w14:textId="77777777" w:rsidR="00511D02" w:rsidRPr="004C52B2" w:rsidRDefault="00511D02" w:rsidP="008369E9">
      <w:pPr>
        <w:numPr>
          <w:ilvl w:val="0"/>
          <w:numId w:val="18"/>
        </w:numPr>
        <w:spacing w:before="240" w:line="240" w:lineRule="auto"/>
        <w:jc w:val="both"/>
        <w:rPr>
          <w:rFonts w:ascii="ITC Avant Garde" w:hAnsi="ITC Avant Garde" w:cs="Arial"/>
          <w:color w:val="000000"/>
        </w:rPr>
      </w:pPr>
      <w:r w:rsidRPr="004C52B2">
        <w:rPr>
          <w:rFonts w:ascii="ITC Avant Garde" w:hAnsi="ITC Avant Garde" w:cs="Arial"/>
          <w:color w:val="000000"/>
        </w:rPr>
        <w:t xml:space="preserve">Renta básica por línea </w:t>
      </w:r>
    </w:p>
    <w:p w14:paraId="6C4860B8" w14:textId="77777777" w:rsidR="008369E9" w:rsidRDefault="00511D02" w:rsidP="008369E9">
      <w:pPr>
        <w:numPr>
          <w:ilvl w:val="0"/>
          <w:numId w:val="18"/>
        </w:numPr>
        <w:spacing w:before="240" w:line="240" w:lineRule="auto"/>
        <w:jc w:val="both"/>
        <w:rPr>
          <w:rFonts w:ascii="ITC Avant Garde" w:hAnsi="ITC Avant Garde" w:cs="Arial"/>
          <w:color w:val="000000"/>
        </w:rPr>
      </w:pPr>
      <w:r w:rsidRPr="004C52B2">
        <w:rPr>
          <w:rFonts w:ascii="ITC Avant Garde" w:hAnsi="ITC Avant Garde" w:cs="Arial"/>
          <w:color w:val="000000"/>
        </w:rPr>
        <w:t>Tarifas por servicio local medido</w:t>
      </w:r>
    </w:p>
    <w:p w14:paraId="43CC1D25" w14:textId="6FE2D669" w:rsidR="00511D02" w:rsidRPr="004C52B2" w:rsidRDefault="00511D02" w:rsidP="008369E9">
      <w:pPr>
        <w:numPr>
          <w:ilvl w:val="0"/>
          <w:numId w:val="17"/>
        </w:numPr>
        <w:spacing w:before="240" w:line="240" w:lineRule="auto"/>
        <w:jc w:val="both"/>
        <w:rPr>
          <w:rFonts w:ascii="ITC Avant Garde" w:hAnsi="ITC Avant Garde" w:cs="Arial"/>
          <w:color w:val="000000"/>
        </w:rPr>
      </w:pPr>
      <w:r w:rsidRPr="004C52B2">
        <w:rPr>
          <w:rFonts w:ascii="ITC Avant Garde" w:hAnsi="ITC Avant Garde" w:cs="Arial"/>
          <w:color w:val="000000"/>
        </w:rPr>
        <w:t>Servicio local comercial</w:t>
      </w:r>
    </w:p>
    <w:p w14:paraId="0886E405" w14:textId="77777777" w:rsidR="00511D02" w:rsidRPr="004C52B2" w:rsidRDefault="00511D02" w:rsidP="008369E9">
      <w:pPr>
        <w:numPr>
          <w:ilvl w:val="0"/>
          <w:numId w:val="19"/>
        </w:numPr>
        <w:spacing w:before="240" w:line="240" w:lineRule="auto"/>
        <w:jc w:val="both"/>
        <w:rPr>
          <w:rFonts w:ascii="ITC Avant Garde" w:hAnsi="ITC Avant Garde" w:cs="Arial"/>
          <w:color w:val="000000"/>
        </w:rPr>
      </w:pPr>
      <w:r w:rsidRPr="004C52B2">
        <w:rPr>
          <w:rFonts w:ascii="ITC Avant Garde" w:hAnsi="ITC Avant Garde" w:cs="Arial"/>
          <w:color w:val="000000"/>
        </w:rPr>
        <w:t>Cargo de instalación por línea</w:t>
      </w:r>
    </w:p>
    <w:p w14:paraId="39E6438C" w14:textId="77777777" w:rsidR="00511D02" w:rsidRPr="004C52B2" w:rsidRDefault="00511D02" w:rsidP="008369E9">
      <w:pPr>
        <w:numPr>
          <w:ilvl w:val="0"/>
          <w:numId w:val="19"/>
        </w:numPr>
        <w:spacing w:before="240" w:line="240" w:lineRule="auto"/>
        <w:jc w:val="both"/>
        <w:rPr>
          <w:rFonts w:ascii="ITC Avant Garde" w:hAnsi="ITC Avant Garde" w:cs="Arial"/>
          <w:color w:val="000000"/>
        </w:rPr>
      </w:pPr>
      <w:r w:rsidRPr="004C52B2">
        <w:rPr>
          <w:rFonts w:ascii="ITC Avant Garde" w:hAnsi="ITC Avant Garde" w:cs="Arial"/>
          <w:color w:val="000000"/>
        </w:rPr>
        <w:t xml:space="preserve">Renta básica por línea </w:t>
      </w:r>
    </w:p>
    <w:p w14:paraId="1068BB18" w14:textId="77777777" w:rsidR="008369E9" w:rsidRDefault="00511D02" w:rsidP="008369E9">
      <w:pPr>
        <w:numPr>
          <w:ilvl w:val="0"/>
          <w:numId w:val="19"/>
        </w:numPr>
        <w:spacing w:before="240" w:line="240" w:lineRule="auto"/>
        <w:jc w:val="both"/>
        <w:rPr>
          <w:rFonts w:ascii="ITC Avant Garde" w:hAnsi="ITC Avant Garde" w:cs="Arial"/>
          <w:color w:val="000000"/>
        </w:rPr>
      </w:pPr>
      <w:r w:rsidRPr="004C52B2">
        <w:rPr>
          <w:rFonts w:ascii="ITC Avant Garde" w:hAnsi="ITC Avant Garde" w:cs="Arial"/>
          <w:color w:val="000000"/>
        </w:rPr>
        <w:t>Tarifas por servicio local medido</w:t>
      </w:r>
    </w:p>
    <w:p w14:paraId="01488DEE" w14:textId="2FB3664F" w:rsidR="00511D02" w:rsidRPr="004C52B2" w:rsidRDefault="00511D02" w:rsidP="008369E9">
      <w:pPr>
        <w:numPr>
          <w:ilvl w:val="0"/>
          <w:numId w:val="17"/>
        </w:numPr>
        <w:spacing w:before="240" w:line="240" w:lineRule="auto"/>
        <w:jc w:val="both"/>
        <w:rPr>
          <w:rFonts w:ascii="ITC Avant Garde" w:hAnsi="ITC Avant Garde" w:cs="Arial"/>
          <w:color w:val="000000"/>
        </w:rPr>
      </w:pPr>
      <w:r w:rsidRPr="004C52B2">
        <w:rPr>
          <w:rFonts w:ascii="ITC Avant Garde" w:hAnsi="ITC Avant Garde" w:cs="Arial"/>
          <w:color w:val="000000"/>
        </w:rPr>
        <w:t>Servicio de larga distancia internacional</w:t>
      </w:r>
    </w:p>
    <w:p w14:paraId="57799FA1" w14:textId="77777777" w:rsidR="00511D02" w:rsidRPr="004C52B2" w:rsidRDefault="00511D02" w:rsidP="008369E9">
      <w:pPr>
        <w:numPr>
          <w:ilvl w:val="0"/>
          <w:numId w:val="21"/>
        </w:numPr>
        <w:spacing w:before="240" w:line="240" w:lineRule="auto"/>
        <w:jc w:val="both"/>
        <w:rPr>
          <w:rFonts w:ascii="ITC Avant Garde" w:hAnsi="ITC Avant Garde" w:cs="Arial"/>
          <w:color w:val="000000"/>
        </w:rPr>
      </w:pPr>
      <w:r w:rsidRPr="004C52B2">
        <w:rPr>
          <w:rFonts w:ascii="ITC Avant Garde" w:hAnsi="ITC Avant Garde" w:cs="Arial"/>
          <w:color w:val="000000"/>
        </w:rPr>
        <w:lastRenderedPageBreak/>
        <w:t>Tarifa por servicio residencial o comercial de larga distancia internacional a Estados Unidos de América y Canadá, facturado en México.</w:t>
      </w:r>
    </w:p>
    <w:p w14:paraId="170D0242" w14:textId="77777777" w:rsidR="008369E9" w:rsidRDefault="00511D02" w:rsidP="008369E9">
      <w:pPr>
        <w:numPr>
          <w:ilvl w:val="0"/>
          <w:numId w:val="21"/>
        </w:numPr>
        <w:spacing w:before="240" w:line="240" w:lineRule="auto"/>
        <w:jc w:val="both"/>
        <w:rPr>
          <w:rFonts w:ascii="ITC Avant Garde" w:hAnsi="ITC Avant Garde" w:cs="Arial"/>
          <w:color w:val="000000"/>
        </w:rPr>
      </w:pPr>
      <w:r w:rsidRPr="004C52B2">
        <w:rPr>
          <w:rFonts w:ascii="ITC Avant Garde" w:hAnsi="ITC Avant Garde" w:cs="Arial"/>
          <w:color w:val="000000"/>
        </w:rPr>
        <w:t>Tarifa por servicio residencial o comercial de larga distancia internacional a los demás países, facturado en México.</w:t>
      </w:r>
    </w:p>
    <w:p w14:paraId="7FDAB062" w14:textId="77777777" w:rsidR="008369E9" w:rsidRDefault="003F050C" w:rsidP="008369E9">
      <w:pPr>
        <w:adjustRightInd w:val="0"/>
        <w:spacing w:before="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 xml:space="preserve">Telmex y Telnor deberán cumplir simultáneamente con dos controles tarifarios, el </w:t>
      </w:r>
      <w:r w:rsidR="006142B5" w:rsidRPr="004C52B2">
        <w:rPr>
          <w:rFonts w:ascii="ITC Avant Garde" w:hAnsi="ITC Avant Garde" w:cs="Arial"/>
          <w:color w:val="000000"/>
        </w:rPr>
        <w:t>primero de 0.35% (cero punto treinta y cinco por ciento) trimestral, equivalente a 1.39% (uno punto treinta y nueve por ciento) anual</w:t>
      </w:r>
      <w:r w:rsidR="002E17A9">
        <w:rPr>
          <w:rFonts w:ascii="ITC Avant Garde" w:hAnsi="ITC Avant Garde" w:cs="Arial"/>
          <w:color w:val="000000"/>
        </w:rPr>
        <w:t xml:space="preserve"> conforme a lo señalado en la </w:t>
      </w:r>
      <w:r w:rsidR="002E17A9" w:rsidRPr="004C52B2">
        <w:rPr>
          <w:rFonts w:ascii="ITC Avant Garde" w:hAnsi="ITC Avant Garde"/>
        </w:rPr>
        <w:t>“Resolución por la que el Pleno del Instituto Federal de Telecomunicaciones establece los parámetros del Sistema de Precios Tope aplicables a los servicios incluidos en la canasta de servicios básicos controlados de Teléfonos de México, S.A.B. de C.V. y Teléfonos del Noroeste, S.A. de C</w:t>
      </w:r>
      <w:r w:rsidR="002E17A9">
        <w:rPr>
          <w:rFonts w:ascii="ITC Avant Garde" w:hAnsi="ITC Avant Garde"/>
        </w:rPr>
        <w:t xml:space="preserve">.V. para el periodo 2015-2018.”, </w:t>
      </w:r>
      <w:r w:rsidR="002E17A9">
        <w:rPr>
          <w:rFonts w:ascii="ITC Avant Garde" w:hAnsi="ITC Avant Garde" w:cs="Arial"/>
        </w:rPr>
        <w:t>aprobada por el Pleno del Instituto mediante Acuerdo P/IFT/140716/405 el 14 de julio de 2016</w:t>
      </w:r>
      <w:r w:rsidR="002E17A9">
        <w:rPr>
          <w:rFonts w:ascii="ITC Avant Garde" w:eastAsia="Times New Roman" w:hAnsi="ITC Avant Garde" w:cs="Arial"/>
          <w:bCs/>
          <w:lang w:val="es-ES_tradnl" w:eastAsia="es-ES"/>
        </w:rPr>
        <w:t>.E</w:t>
      </w:r>
      <w:r w:rsidR="00805288" w:rsidRPr="004C52B2">
        <w:rPr>
          <w:rFonts w:ascii="ITC Avant Garde" w:eastAsia="Times New Roman" w:hAnsi="ITC Avant Garde" w:cs="Arial"/>
          <w:bCs/>
          <w:lang w:val="es-ES_tradnl" w:eastAsia="es-ES"/>
        </w:rPr>
        <w:t xml:space="preserve">l </w:t>
      </w:r>
      <w:r w:rsidR="006142B5" w:rsidRPr="004C52B2">
        <w:rPr>
          <w:rFonts w:ascii="ITC Avant Garde" w:eastAsia="Times New Roman" w:hAnsi="ITC Avant Garde" w:cs="Arial"/>
          <w:bCs/>
          <w:lang w:val="es-ES_tradnl" w:eastAsia="es-ES"/>
        </w:rPr>
        <w:t xml:space="preserve">segundo </w:t>
      </w:r>
      <w:r w:rsidR="00D6753D" w:rsidRPr="004C52B2">
        <w:rPr>
          <w:rFonts w:ascii="ITC Avant Garde" w:eastAsia="Times New Roman" w:hAnsi="ITC Avant Garde" w:cs="Arial"/>
          <w:bCs/>
          <w:lang w:val="es-ES_tradnl" w:eastAsia="es-ES"/>
        </w:rPr>
        <w:t xml:space="preserve">de </w:t>
      </w:r>
      <w:r w:rsidR="004110AF" w:rsidRPr="00F17AE3">
        <w:rPr>
          <w:rFonts w:ascii="ITC Avant Garde" w:eastAsia="Times New Roman" w:hAnsi="ITC Avant Garde" w:cs="Arial"/>
          <w:bCs/>
          <w:lang w:val="es-ES_tradnl" w:eastAsia="es-ES"/>
        </w:rPr>
        <w:t xml:space="preserve">0.91% </w:t>
      </w:r>
      <w:r w:rsidR="004110AF" w:rsidRPr="00F17AE3">
        <w:rPr>
          <w:rFonts w:ascii="ITC Avant Garde" w:hAnsi="ITC Avant Garde" w:cs="Arial"/>
          <w:color w:val="000000"/>
        </w:rPr>
        <w:t>(cero punto noventa y uno por ciento)</w:t>
      </w:r>
      <w:r w:rsidR="000B627B" w:rsidRPr="004C52B2">
        <w:rPr>
          <w:rFonts w:ascii="ITC Avant Garde" w:hAnsi="ITC Avant Garde" w:cs="Arial"/>
          <w:color w:val="000000"/>
        </w:rPr>
        <w:t xml:space="preserve"> anual</w:t>
      </w:r>
      <w:r w:rsidR="00805288" w:rsidRPr="004C52B2">
        <w:rPr>
          <w:rFonts w:ascii="ITC Avant Garde" w:eastAsia="Times New Roman" w:hAnsi="ITC Avant Garde" w:cs="Arial"/>
          <w:bCs/>
          <w:lang w:val="es-ES_tradnl" w:eastAsia="es-ES"/>
        </w:rPr>
        <w:t xml:space="preserve"> aplicable a l</w:t>
      </w:r>
      <w:r w:rsidR="002E17A9">
        <w:rPr>
          <w:rFonts w:ascii="ITC Avant Garde" w:eastAsia="Times New Roman" w:hAnsi="ITC Avant Garde" w:cs="Arial"/>
          <w:bCs/>
          <w:lang w:val="es-ES_tradnl" w:eastAsia="es-ES"/>
        </w:rPr>
        <w:t>os servicios regulados, conforme a la medida Cuadragésima del Anexo 2 de la Resolución de Preponderancia</w:t>
      </w:r>
      <w:r w:rsidR="002E17A9" w:rsidRPr="004C52B2" w:rsidDel="002E17A9">
        <w:rPr>
          <w:rFonts w:ascii="ITC Avant Garde" w:eastAsia="Times New Roman" w:hAnsi="ITC Avant Garde" w:cs="Arial"/>
          <w:bCs/>
          <w:lang w:val="es-ES_tradnl" w:eastAsia="es-ES"/>
        </w:rPr>
        <w:t xml:space="preserve"> </w:t>
      </w:r>
      <w:r w:rsidR="00805288" w:rsidRPr="004C52B2">
        <w:rPr>
          <w:rFonts w:ascii="ITC Avant Garde" w:eastAsia="Times New Roman" w:hAnsi="ITC Avant Garde" w:cs="Arial"/>
          <w:bCs/>
          <w:lang w:val="es-ES_tradnl" w:eastAsia="es-ES"/>
        </w:rPr>
        <w:t xml:space="preserve"> </w:t>
      </w:r>
      <w:r w:rsidR="002E17A9">
        <w:rPr>
          <w:rFonts w:ascii="ITC Avant Garde" w:eastAsia="Times New Roman" w:hAnsi="ITC Avant Garde" w:cs="Arial"/>
          <w:bCs/>
          <w:lang w:val="es-ES_tradnl" w:eastAsia="es-ES"/>
        </w:rPr>
        <w:t>para el</w:t>
      </w:r>
      <w:r w:rsidR="006C1C92">
        <w:rPr>
          <w:rFonts w:ascii="ITC Avant Garde" w:eastAsia="Times New Roman" w:hAnsi="ITC Avant Garde" w:cs="Arial"/>
          <w:bCs/>
          <w:lang w:val="es-ES_tradnl" w:eastAsia="es-ES"/>
        </w:rPr>
        <w:t xml:space="preserve"> periodo que va de  2017 a 2018</w:t>
      </w:r>
      <w:r w:rsidR="002E17A9">
        <w:rPr>
          <w:rFonts w:ascii="ITC Avant Garde" w:eastAsia="Times New Roman" w:hAnsi="ITC Avant Garde" w:cs="Arial"/>
          <w:bCs/>
          <w:lang w:val="es-ES_tradnl" w:eastAsia="es-ES"/>
        </w:rPr>
        <w:t>, que incluye los siguientes servicios:</w:t>
      </w:r>
    </w:p>
    <w:p w14:paraId="38D53C9E" w14:textId="77777777" w:rsidR="008369E9" w:rsidRDefault="002E17A9" w:rsidP="008369E9">
      <w:pPr>
        <w:pStyle w:val="Prrafodelista"/>
        <w:numPr>
          <w:ilvl w:val="0"/>
          <w:numId w:val="7"/>
        </w:numPr>
        <w:spacing w:before="240" w:line="240" w:lineRule="auto"/>
        <w:jc w:val="both"/>
        <w:rPr>
          <w:rFonts w:ascii="ITC Avant Garde" w:eastAsia="Times New Roman" w:hAnsi="ITC Avant Garde" w:cs="Arial"/>
          <w:iCs/>
        </w:rPr>
      </w:pPr>
      <w:r w:rsidRPr="007A6FE8">
        <w:rPr>
          <w:rFonts w:ascii="ITC Avant Garde" w:eastAsia="Times New Roman" w:hAnsi="ITC Avant Garde" w:cs="Arial"/>
          <w:iCs/>
        </w:rPr>
        <w:t>Servicio Local fijo</w:t>
      </w:r>
    </w:p>
    <w:p w14:paraId="49F7A599" w14:textId="03ADAD12" w:rsidR="002E17A9" w:rsidRPr="007A6FE8" w:rsidRDefault="002E17A9" w:rsidP="008369E9">
      <w:pPr>
        <w:pStyle w:val="Prrafodelista"/>
        <w:numPr>
          <w:ilvl w:val="1"/>
          <w:numId w:val="7"/>
        </w:numPr>
        <w:spacing w:before="240" w:line="240" w:lineRule="auto"/>
        <w:jc w:val="both"/>
        <w:rPr>
          <w:rFonts w:ascii="ITC Avant Garde" w:eastAsia="Times New Roman" w:hAnsi="ITC Avant Garde" w:cs="Arial"/>
          <w:iCs/>
        </w:rPr>
      </w:pPr>
      <w:r w:rsidRPr="007A6FE8">
        <w:rPr>
          <w:rFonts w:ascii="ITC Avant Garde" w:eastAsia="Times New Roman" w:hAnsi="ITC Avant Garde" w:cs="Arial"/>
          <w:iCs/>
        </w:rPr>
        <w:t>Cargo de instalación por línea</w:t>
      </w:r>
    </w:p>
    <w:p w14:paraId="3C98AF6E" w14:textId="77777777" w:rsidR="002E17A9" w:rsidRPr="007A6FE8" w:rsidRDefault="002E17A9" w:rsidP="008369E9">
      <w:pPr>
        <w:pStyle w:val="Prrafodelista"/>
        <w:numPr>
          <w:ilvl w:val="1"/>
          <w:numId w:val="7"/>
        </w:numPr>
        <w:spacing w:before="240" w:line="240" w:lineRule="auto"/>
        <w:jc w:val="both"/>
        <w:rPr>
          <w:rFonts w:ascii="ITC Avant Garde" w:eastAsia="Times New Roman" w:hAnsi="ITC Avant Garde" w:cs="Arial"/>
          <w:iCs/>
        </w:rPr>
      </w:pPr>
      <w:r w:rsidRPr="007A6FE8">
        <w:rPr>
          <w:rFonts w:ascii="ITC Avant Garde" w:eastAsia="Times New Roman" w:hAnsi="ITC Avant Garde" w:cs="Arial"/>
          <w:iCs/>
        </w:rPr>
        <w:t>Renta básica por línea</w:t>
      </w:r>
    </w:p>
    <w:p w14:paraId="488EE86D" w14:textId="77777777" w:rsidR="002E17A9" w:rsidRPr="007A6FE8" w:rsidRDefault="002E17A9" w:rsidP="008369E9">
      <w:pPr>
        <w:pStyle w:val="Prrafodelista"/>
        <w:numPr>
          <w:ilvl w:val="1"/>
          <w:numId w:val="7"/>
        </w:numPr>
        <w:spacing w:before="240" w:line="240" w:lineRule="auto"/>
        <w:jc w:val="both"/>
        <w:rPr>
          <w:rFonts w:ascii="ITC Avant Garde" w:eastAsia="Times New Roman" w:hAnsi="ITC Avant Garde" w:cs="Arial"/>
          <w:iCs/>
        </w:rPr>
      </w:pPr>
      <w:r w:rsidRPr="007A6FE8">
        <w:rPr>
          <w:rFonts w:ascii="ITC Avant Garde" w:eastAsia="Times New Roman" w:hAnsi="ITC Avant Garde" w:cs="Arial"/>
          <w:iCs/>
        </w:rPr>
        <w:t>Tarifas por servicio local medido</w:t>
      </w:r>
    </w:p>
    <w:p w14:paraId="33F7BE84" w14:textId="77777777" w:rsidR="008369E9" w:rsidRDefault="002E17A9" w:rsidP="008369E9">
      <w:pPr>
        <w:pStyle w:val="Prrafodelista"/>
        <w:numPr>
          <w:ilvl w:val="1"/>
          <w:numId w:val="7"/>
        </w:numPr>
        <w:spacing w:before="240" w:line="240" w:lineRule="auto"/>
        <w:jc w:val="both"/>
        <w:rPr>
          <w:rFonts w:ascii="ITC Avant Garde" w:eastAsia="Times New Roman" w:hAnsi="ITC Avant Garde" w:cs="Arial"/>
          <w:iCs/>
        </w:rPr>
      </w:pPr>
      <w:r w:rsidRPr="007A6FE8">
        <w:rPr>
          <w:rFonts w:ascii="ITC Avant Garde" w:eastAsia="Times New Roman" w:hAnsi="ITC Avant Garde" w:cs="Arial"/>
          <w:iCs/>
        </w:rPr>
        <w:t>Tarifas por llamadas locales realizadas desde teléfonos fijos que terminan en teléfonos móviles bajo la modalidad “El que llama paga”.</w:t>
      </w:r>
    </w:p>
    <w:p w14:paraId="412C7128" w14:textId="77777777" w:rsidR="008369E9" w:rsidRDefault="002E17A9" w:rsidP="008369E9">
      <w:pPr>
        <w:pStyle w:val="Prrafodelista"/>
        <w:numPr>
          <w:ilvl w:val="0"/>
          <w:numId w:val="7"/>
        </w:numPr>
        <w:spacing w:before="240" w:line="240" w:lineRule="auto"/>
        <w:jc w:val="both"/>
        <w:rPr>
          <w:rFonts w:ascii="ITC Avant Garde" w:eastAsia="Times New Roman" w:hAnsi="ITC Avant Garde" w:cs="Arial"/>
          <w:iCs/>
        </w:rPr>
      </w:pPr>
      <w:r w:rsidRPr="007A6FE8">
        <w:rPr>
          <w:rFonts w:ascii="ITC Avant Garde" w:eastAsia="Times New Roman" w:hAnsi="ITC Avant Garde" w:cs="Arial"/>
          <w:iCs/>
        </w:rPr>
        <w:t>Servicio de acceso a Internet de banda ancha fija desagregado por velocidades ofertadas</w:t>
      </w:r>
    </w:p>
    <w:p w14:paraId="06556AB3" w14:textId="77777777" w:rsidR="008369E9" w:rsidRDefault="002E17A9" w:rsidP="008369E9">
      <w:pPr>
        <w:pStyle w:val="Prrafodelista"/>
        <w:numPr>
          <w:ilvl w:val="0"/>
          <w:numId w:val="7"/>
        </w:numPr>
        <w:adjustRightInd w:val="0"/>
        <w:spacing w:before="240" w:line="240" w:lineRule="auto"/>
        <w:jc w:val="both"/>
        <w:rPr>
          <w:rFonts w:ascii="ITC Avant Garde" w:eastAsia="Times New Roman" w:hAnsi="ITC Avant Garde" w:cs="Arial"/>
          <w:bCs/>
          <w:lang w:val="es-ES_tradnl" w:eastAsia="es-ES"/>
        </w:rPr>
      </w:pPr>
      <w:r w:rsidRPr="002E17A9">
        <w:rPr>
          <w:rFonts w:ascii="ITC Avant Garde" w:eastAsia="Times New Roman" w:hAnsi="ITC Avant Garde" w:cs="Arial"/>
          <w:iCs/>
        </w:rPr>
        <w:t>Servicios de larga distancia</w:t>
      </w:r>
    </w:p>
    <w:p w14:paraId="721A0C68" w14:textId="77777777" w:rsidR="008369E9" w:rsidRDefault="00987C08" w:rsidP="008369E9">
      <w:pPr>
        <w:adjustRightInd w:val="0"/>
        <w:spacing w:before="240" w:line="240" w:lineRule="auto"/>
        <w:jc w:val="both"/>
        <w:rPr>
          <w:rFonts w:ascii="ITC Avant Garde" w:hAnsi="ITC Avant Garde"/>
        </w:rPr>
      </w:pPr>
      <w:r w:rsidRPr="004C52B2">
        <w:rPr>
          <w:rFonts w:ascii="ITC Avant Garde" w:eastAsia="Times New Roman" w:hAnsi="ITC Avant Garde" w:cs="Arial"/>
          <w:bCs/>
          <w:lang w:val="es-ES_tradnl" w:eastAsia="es-ES"/>
        </w:rPr>
        <w:t xml:space="preserve">Por lo anterior, en la autorización de los precios de los servicios de telecomunicaciones, el Instituto observará que Telmex y Telnor cumplan con lo </w:t>
      </w:r>
      <w:r w:rsidR="005A281A">
        <w:rPr>
          <w:rFonts w:ascii="ITC Avant Garde" w:eastAsia="Times New Roman" w:hAnsi="ITC Avant Garde" w:cs="Arial"/>
          <w:bCs/>
          <w:lang w:val="es-ES_tradnl" w:eastAsia="es-ES"/>
        </w:rPr>
        <w:t>anteriormente señalado</w:t>
      </w:r>
      <w:r w:rsidRPr="004C52B2">
        <w:rPr>
          <w:rFonts w:ascii="ITC Avant Garde" w:hAnsi="ITC Avant Garde"/>
        </w:rPr>
        <w:t>.</w:t>
      </w:r>
      <w:r w:rsidRPr="004C52B2">
        <w:rPr>
          <w:rFonts w:ascii="ITC Avant Garde" w:eastAsia="Times New Roman" w:hAnsi="ITC Avant Garde" w:cs="Arial"/>
          <w:bCs/>
          <w:lang w:val="es-ES_tradnl" w:eastAsia="es-ES"/>
        </w:rPr>
        <w:t xml:space="preserve"> </w:t>
      </w:r>
    </w:p>
    <w:p w14:paraId="76DFCF6D" w14:textId="77777777" w:rsidR="008369E9" w:rsidRDefault="0038222A" w:rsidP="008369E9">
      <w:pPr>
        <w:adjustRightInd w:val="0"/>
        <w:spacing w:before="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Tel</w:t>
      </w:r>
      <w:r w:rsidR="001B47BF" w:rsidRPr="004C52B2">
        <w:rPr>
          <w:rFonts w:ascii="ITC Avant Garde" w:eastAsia="Times New Roman" w:hAnsi="ITC Avant Garde" w:cs="Arial"/>
          <w:bCs/>
          <w:lang w:val="es-ES_tradnl" w:eastAsia="es-ES"/>
        </w:rPr>
        <w:t>mex y Telnor tienen la posibilidad</w:t>
      </w:r>
      <w:r w:rsidRPr="004C52B2">
        <w:rPr>
          <w:rFonts w:ascii="ITC Avant Garde" w:eastAsia="Times New Roman" w:hAnsi="ITC Avant Garde" w:cs="Arial"/>
          <w:bCs/>
          <w:lang w:val="es-ES_tradnl" w:eastAsia="es-ES"/>
        </w:rPr>
        <w:t xml:space="preserve"> de balancear los precios que establecen para cada uno de l</w:t>
      </w:r>
      <w:r w:rsidR="000D642E" w:rsidRPr="004C52B2">
        <w:rPr>
          <w:rFonts w:ascii="ITC Avant Garde" w:eastAsia="Times New Roman" w:hAnsi="ITC Avant Garde" w:cs="Arial"/>
          <w:bCs/>
          <w:lang w:val="es-ES_tradnl" w:eastAsia="es-ES"/>
        </w:rPr>
        <w:t xml:space="preserve">os servicios </w:t>
      </w:r>
      <w:r w:rsidR="001B47BF" w:rsidRPr="004C52B2">
        <w:rPr>
          <w:rFonts w:ascii="ITC Avant Garde" w:eastAsia="Times New Roman" w:hAnsi="ITC Avant Garde" w:cs="Arial"/>
          <w:bCs/>
          <w:lang w:val="es-ES_tradnl" w:eastAsia="es-ES"/>
        </w:rPr>
        <w:t>objeto de la regulación</w:t>
      </w:r>
      <w:r w:rsidR="000D642E" w:rsidRPr="004C52B2">
        <w:rPr>
          <w:rFonts w:ascii="ITC Avant Garde" w:eastAsia="Times New Roman" w:hAnsi="ITC Avant Garde" w:cs="Arial"/>
          <w:bCs/>
          <w:lang w:val="es-ES_tradnl" w:eastAsia="es-ES"/>
        </w:rPr>
        <w:t>. En las propuestas de modificación a las tarifas de los servicios de telefonía básica</w:t>
      </w:r>
      <w:r w:rsidR="00095C66" w:rsidRPr="004C52B2">
        <w:rPr>
          <w:rFonts w:ascii="ITC Avant Garde" w:eastAsia="Times New Roman" w:hAnsi="ITC Avant Garde" w:cs="Arial"/>
          <w:bCs/>
          <w:lang w:val="es-ES_tradnl" w:eastAsia="es-ES"/>
        </w:rPr>
        <w:t xml:space="preserve"> (servicio local residencial y comercial que incluye cargo de instalación de línea, renta básica y tarifas por servicio medido</w:t>
      </w:r>
      <w:r w:rsidR="00511BD0" w:rsidRPr="004C52B2">
        <w:rPr>
          <w:rFonts w:ascii="ITC Avant Garde" w:eastAsia="Times New Roman" w:hAnsi="ITC Avant Garde" w:cs="Arial"/>
          <w:bCs/>
          <w:lang w:val="es-ES_tradnl" w:eastAsia="es-ES"/>
        </w:rPr>
        <w:t>;</w:t>
      </w:r>
      <w:r w:rsidR="00095C66" w:rsidRPr="004C52B2">
        <w:rPr>
          <w:rFonts w:ascii="ITC Avant Garde" w:eastAsia="Times New Roman" w:hAnsi="ITC Avant Garde" w:cs="Arial"/>
          <w:bCs/>
          <w:lang w:val="es-ES_tradnl" w:eastAsia="es-ES"/>
        </w:rPr>
        <w:t xml:space="preserve"> así como el servicio de larga distancia internacional, que incluye la tarifa por servicio residencial o comercial a Estados Unidos de América, Canadá, y demás países),</w:t>
      </w:r>
      <w:r w:rsidR="000D642E" w:rsidRPr="004C52B2">
        <w:rPr>
          <w:rFonts w:ascii="ITC Avant Garde" w:eastAsia="Times New Roman" w:hAnsi="ITC Avant Garde" w:cs="Arial"/>
          <w:bCs/>
          <w:lang w:val="es-ES_tradnl" w:eastAsia="es-ES"/>
        </w:rPr>
        <w:t xml:space="preserve"> Telmex deberá establecer un nivel de precios </w:t>
      </w:r>
      <w:r w:rsidR="007C7B3C" w:rsidRPr="004C52B2">
        <w:rPr>
          <w:rFonts w:ascii="ITC Avant Garde" w:eastAsia="Times New Roman" w:hAnsi="ITC Avant Garde" w:cs="Arial"/>
          <w:bCs/>
          <w:lang w:val="es-ES_tradnl" w:eastAsia="es-ES"/>
        </w:rPr>
        <w:t xml:space="preserve">de los servicios, </w:t>
      </w:r>
      <w:r w:rsidR="000D642E" w:rsidRPr="004C52B2">
        <w:rPr>
          <w:rFonts w:ascii="ITC Avant Garde" w:eastAsia="Times New Roman" w:hAnsi="ITC Avant Garde" w:cs="Arial"/>
          <w:bCs/>
          <w:lang w:val="es-ES_tradnl" w:eastAsia="es-ES"/>
        </w:rPr>
        <w:t>consistente</w:t>
      </w:r>
      <w:r w:rsidRPr="004C52B2">
        <w:rPr>
          <w:rFonts w:ascii="ITC Avant Garde" w:eastAsia="Times New Roman" w:hAnsi="ITC Avant Garde" w:cs="Arial"/>
          <w:bCs/>
          <w:lang w:val="es-ES_tradnl" w:eastAsia="es-ES"/>
        </w:rPr>
        <w:t xml:space="preserve"> con el Factor de 1.39%</w:t>
      </w:r>
      <w:r w:rsidR="000D642E" w:rsidRPr="004C52B2">
        <w:rPr>
          <w:rFonts w:ascii="ITC Avant Garde" w:eastAsia="Times New Roman" w:hAnsi="ITC Avant Garde" w:cs="Arial"/>
          <w:bCs/>
          <w:lang w:val="es-ES_tradnl" w:eastAsia="es-ES"/>
        </w:rPr>
        <w:t>,</w:t>
      </w:r>
      <w:r w:rsidRPr="004C52B2">
        <w:rPr>
          <w:rFonts w:ascii="ITC Avant Garde" w:eastAsia="Times New Roman" w:hAnsi="ITC Avant Garde" w:cs="Arial"/>
          <w:bCs/>
          <w:lang w:val="es-ES_tradnl" w:eastAsia="es-ES"/>
        </w:rPr>
        <w:t xml:space="preserve"> y al mismo tiempo, </w:t>
      </w:r>
      <w:r w:rsidR="000D642E" w:rsidRPr="004C52B2">
        <w:rPr>
          <w:rFonts w:ascii="ITC Avant Garde" w:eastAsia="Times New Roman" w:hAnsi="ITC Avant Garde" w:cs="Arial"/>
          <w:bCs/>
          <w:lang w:val="es-ES_tradnl" w:eastAsia="es-ES"/>
        </w:rPr>
        <w:t>para los</w:t>
      </w:r>
      <w:r w:rsidRPr="004C52B2">
        <w:rPr>
          <w:rFonts w:ascii="ITC Avant Garde" w:eastAsia="Times New Roman" w:hAnsi="ITC Avant Garde" w:cs="Arial"/>
          <w:bCs/>
          <w:lang w:val="es-ES_tradnl" w:eastAsia="es-ES"/>
        </w:rPr>
        <w:t xml:space="preserve"> servicios establecidos en el control tarifario de la Medida Cuadragésima, </w:t>
      </w:r>
      <w:r w:rsidR="000D642E" w:rsidRPr="004C52B2">
        <w:rPr>
          <w:rFonts w:ascii="ITC Avant Garde" w:eastAsia="Times New Roman" w:hAnsi="ITC Avant Garde" w:cs="Arial"/>
          <w:bCs/>
          <w:lang w:val="es-ES_tradnl" w:eastAsia="es-ES"/>
        </w:rPr>
        <w:t xml:space="preserve">un </w:t>
      </w:r>
      <w:r w:rsidR="0029045F" w:rsidRPr="004C52B2">
        <w:rPr>
          <w:rFonts w:ascii="ITC Avant Garde" w:eastAsia="Times New Roman" w:hAnsi="ITC Avant Garde" w:cs="Arial"/>
          <w:bCs/>
          <w:lang w:val="es-ES_tradnl" w:eastAsia="es-ES"/>
        </w:rPr>
        <w:t xml:space="preserve">Factor </w:t>
      </w:r>
      <w:r w:rsidR="00B055BE">
        <w:rPr>
          <w:rFonts w:ascii="ITC Avant Garde" w:eastAsia="Times New Roman" w:hAnsi="ITC Avant Garde" w:cs="Arial"/>
          <w:bCs/>
          <w:lang w:val="es-ES_tradnl" w:eastAsia="es-ES"/>
        </w:rPr>
        <w:t xml:space="preserve">de Productividad </w:t>
      </w:r>
      <w:r w:rsidR="0029045F" w:rsidRPr="004C52B2">
        <w:rPr>
          <w:rFonts w:ascii="ITC Avant Garde" w:eastAsia="Times New Roman" w:hAnsi="ITC Avant Garde" w:cs="Arial"/>
          <w:bCs/>
          <w:lang w:val="es-ES_tradnl" w:eastAsia="es-ES"/>
        </w:rPr>
        <w:t xml:space="preserve">“X” </w:t>
      </w:r>
      <w:r w:rsidR="004110AF" w:rsidRPr="00F17AE3">
        <w:rPr>
          <w:rFonts w:ascii="ITC Avant Garde" w:eastAsia="Times New Roman" w:hAnsi="ITC Avant Garde" w:cs="Arial"/>
          <w:bCs/>
          <w:lang w:val="es-ES_tradnl" w:eastAsia="es-ES"/>
        </w:rPr>
        <w:t>de 0.91%</w:t>
      </w:r>
      <w:r w:rsidR="006C1C92" w:rsidRPr="006C1C92">
        <w:rPr>
          <w:rFonts w:ascii="ITC Avant Garde" w:eastAsia="Times New Roman" w:hAnsi="ITC Avant Garde" w:cs="Arial"/>
          <w:bCs/>
          <w:lang w:val="es-ES_tradnl" w:eastAsia="es-ES"/>
        </w:rPr>
        <w:t xml:space="preserve"> </w:t>
      </w:r>
      <w:r w:rsidR="006C1C92">
        <w:rPr>
          <w:rFonts w:ascii="ITC Avant Garde" w:eastAsia="Times New Roman" w:hAnsi="ITC Avant Garde" w:cs="Arial"/>
          <w:bCs/>
          <w:lang w:val="es-ES_tradnl" w:eastAsia="es-ES"/>
        </w:rPr>
        <w:t>para el periodo de 2017 a 2018</w:t>
      </w:r>
      <w:r w:rsidR="004110AF" w:rsidRPr="00F17AE3">
        <w:rPr>
          <w:rFonts w:ascii="ITC Avant Garde" w:eastAsia="Times New Roman" w:hAnsi="ITC Avant Garde" w:cs="Arial"/>
          <w:bCs/>
          <w:lang w:val="es-ES_tradnl" w:eastAsia="es-ES"/>
        </w:rPr>
        <w:t>.</w:t>
      </w:r>
      <w:r w:rsidR="00095C66" w:rsidRPr="004C52B2">
        <w:rPr>
          <w:rFonts w:ascii="ITC Avant Garde" w:eastAsia="Times New Roman" w:hAnsi="ITC Avant Garde" w:cs="Arial"/>
          <w:bCs/>
          <w:lang w:val="es-ES_tradnl" w:eastAsia="es-ES"/>
        </w:rPr>
        <w:t xml:space="preserve"> </w:t>
      </w:r>
    </w:p>
    <w:p w14:paraId="5328E4C5" w14:textId="77777777" w:rsidR="008369E9" w:rsidRDefault="00095C66" w:rsidP="008369E9">
      <w:pPr>
        <w:adjustRightInd w:val="0"/>
        <w:spacing w:before="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P</w:t>
      </w:r>
      <w:r w:rsidR="007C7B3C" w:rsidRPr="004C52B2">
        <w:rPr>
          <w:rFonts w:ascii="ITC Avant Garde" w:eastAsia="Times New Roman" w:hAnsi="ITC Avant Garde" w:cs="Arial"/>
          <w:bCs/>
          <w:lang w:val="es-ES_tradnl" w:eastAsia="es-ES"/>
        </w:rPr>
        <w:t>or lo</w:t>
      </w:r>
      <w:r w:rsidRPr="004C52B2">
        <w:rPr>
          <w:rFonts w:ascii="ITC Avant Garde" w:eastAsia="Times New Roman" w:hAnsi="ITC Avant Garde" w:cs="Arial"/>
          <w:bCs/>
          <w:lang w:val="es-ES_tradnl" w:eastAsia="es-ES"/>
        </w:rPr>
        <w:t xml:space="preserve"> anterior, Telmex</w:t>
      </w:r>
      <w:r w:rsidR="007C7B3C" w:rsidRPr="004C52B2">
        <w:rPr>
          <w:rFonts w:ascii="ITC Avant Garde" w:eastAsia="Times New Roman" w:hAnsi="ITC Avant Garde" w:cs="Arial"/>
          <w:bCs/>
          <w:lang w:val="es-ES_tradnl" w:eastAsia="es-ES"/>
        </w:rPr>
        <w:t xml:space="preserve"> podrá hacer modificaciones a sus planes, paquetes y descuentos para </w:t>
      </w:r>
      <w:r w:rsidR="00761B46" w:rsidRPr="004C52B2">
        <w:rPr>
          <w:rFonts w:ascii="ITC Avant Garde" w:eastAsia="Times New Roman" w:hAnsi="ITC Avant Garde" w:cs="Arial"/>
          <w:bCs/>
          <w:lang w:val="es-ES_tradnl" w:eastAsia="es-ES"/>
        </w:rPr>
        <w:t xml:space="preserve">reaccionar a las condiciones competitivas del mercado, </w:t>
      </w:r>
      <w:r w:rsidR="007C7B3C" w:rsidRPr="004C52B2">
        <w:rPr>
          <w:rFonts w:ascii="ITC Avant Garde" w:eastAsia="Times New Roman" w:hAnsi="ITC Avant Garde" w:cs="Arial"/>
          <w:bCs/>
          <w:lang w:val="es-ES_tradnl" w:eastAsia="es-ES"/>
        </w:rPr>
        <w:t xml:space="preserve">siempre y cuando cumpla con ambos factores de productividad, según </w:t>
      </w:r>
      <w:r w:rsidR="00511BD0" w:rsidRPr="004C52B2">
        <w:rPr>
          <w:rFonts w:ascii="ITC Avant Garde" w:eastAsia="Times New Roman" w:hAnsi="ITC Avant Garde" w:cs="Arial"/>
          <w:bCs/>
          <w:lang w:val="es-ES_tradnl" w:eastAsia="es-ES"/>
        </w:rPr>
        <w:t>el servicio modificado</w:t>
      </w:r>
      <w:r w:rsidR="00B90FAE" w:rsidRPr="004C52B2">
        <w:rPr>
          <w:rFonts w:ascii="ITC Avant Garde" w:eastAsia="Times New Roman" w:hAnsi="ITC Avant Garde" w:cs="Arial"/>
          <w:bCs/>
          <w:lang w:val="es-ES_tradnl" w:eastAsia="es-ES"/>
        </w:rPr>
        <w:t xml:space="preserve">. Este esquema </w:t>
      </w:r>
      <w:r w:rsidR="00B90FAE" w:rsidRPr="004C52B2">
        <w:rPr>
          <w:rFonts w:ascii="ITC Avant Garde" w:eastAsia="Times New Roman" w:hAnsi="ITC Avant Garde" w:cs="Arial"/>
          <w:bCs/>
          <w:lang w:val="es-ES_tradnl" w:eastAsia="es-ES"/>
        </w:rPr>
        <w:lastRenderedPageBreak/>
        <w:t>promueve la eficiencia operativa de la empresa y su productividad</w:t>
      </w:r>
      <w:r w:rsidR="00511BD0" w:rsidRPr="004C52B2">
        <w:rPr>
          <w:rFonts w:ascii="ITC Avant Garde" w:eastAsia="Times New Roman" w:hAnsi="ITC Avant Garde" w:cs="Arial"/>
          <w:bCs/>
          <w:lang w:val="es-ES_tradnl" w:eastAsia="es-ES"/>
        </w:rPr>
        <w:t xml:space="preserve"> en beneficio de los usuarios finales</w:t>
      </w:r>
      <w:r w:rsidR="006111E6" w:rsidRPr="004C52B2">
        <w:rPr>
          <w:rFonts w:ascii="ITC Avant Garde" w:eastAsia="Times New Roman" w:hAnsi="ITC Avant Garde" w:cs="Arial"/>
          <w:bCs/>
          <w:lang w:val="es-ES_tradnl" w:eastAsia="es-ES"/>
        </w:rPr>
        <w:t>.</w:t>
      </w:r>
    </w:p>
    <w:p w14:paraId="404C1B22" w14:textId="77777777" w:rsidR="008369E9" w:rsidRDefault="000D018F" w:rsidP="008369E9">
      <w:pPr>
        <w:adjustRightInd w:val="0"/>
        <w:spacing w:before="240" w:line="240" w:lineRule="auto"/>
        <w:jc w:val="both"/>
        <w:rPr>
          <w:rFonts w:ascii="ITC Avant Garde" w:eastAsia="Times New Roman" w:hAnsi="ITC Avant Garde" w:cs="Arial"/>
          <w:bCs/>
          <w:lang w:val="es-ES_tradnl" w:eastAsia="es-ES"/>
        </w:rPr>
      </w:pPr>
      <w:r w:rsidRPr="004C52B2">
        <w:rPr>
          <w:rFonts w:ascii="ITC Avant Garde" w:eastAsia="Times New Roman" w:hAnsi="ITC Avant Garde" w:cs="Arial"/>
          <w:bCs/>
          <w:lang w:val="es-ES_tradnl" w:eastAsia="es-ES"/>
        </w:rPr>
        <w:t>Por lo ante</w:t>
      </w:r>
      <w:r w:rsidR="00303B3C" w:rsidRPr="004C52B2">
        <w:rPr>
          <w:rFonts w:ascii="ITC Avant Garde" w:eastAsia="Times New Roman" w:hAnsi="ITC Avant Garde" w:cs="Arial"/>
          <w:bCs/>
          <w:lang w:val="es-ES_tradnl" w:eastAsia="es-ES"/>
        </w:rPr>
        <w:t xml:space="preserve">s </w:t>
      </w:r>
      <w:r w:rsidRPr="004C52B2">
        <w:rPr>
          <w:rFonts w:ascii="ITC Avant Garde" w:eastAsia="Times New Roman" w:hAnsi="ITC Avant Garde" w:cs="Arial"/>
          <w:bCs/>
          <w:lang w:val="es-ES_tradnl" w:eastAsia="es-ES"/>
        </w:rPr>
        <w:t>expuesto y con fundamento en los artículos 6</w:t>
      </w:r>
      <w:r w:rsidR="00D044E2" w:rsidRPr="004C52B2">
        <w:rPr>
          <w:rFonts w:ascii="ITC Avant Garde" w:eastAsia="Times New Roman" w:hAnsi="ITC Avant Garde" w:cs="Arial"/>
          <w:bCs/>
          <w:lang w:val="es-ES_tradnl" w:eastAsia="es-ES"/>
        </w:rPr>
        <w:t>o.</w:t>
      </w:r>
      <w:r w:rsidR="00722078">
        <w:rPr>
          <w:rFonts w:ascii="ITC Avant Garde" w:eastAsia="Times New Roman" w:hAnsi="ITC Avant Garde" w:cs="Arial"/>
          <w:bCs/>
          <w:lang w:val="es-ES_tradnl" w:eastAsia="es-ES"/>
        </w:rPr>
        <w:t>, apartado B, fracción II</w:t>
      </w:r>
      <w:r w:rsidRPr="004C52B2">
        <w:rPr>
          <w:rFonts w:ascii="ITC Avant Garde" w:eastAsia="Times New Roman" w:hAnsi="ITC Avant Garde" w:cs="Arial"/>
          <w:bCs/>
          <w:lang w:val="es-ES_tradnl" w:eastAsia="es-ES"/>
        </w:rPr>
        <w:t xml:space="preserve"> y 28</w:t>
      </w:r>
      <w:r w:rsidR="00722078">
        <w:rPr>
          <w:rFonts w:ascii="ITC Avant Garde" w:eastAsia="Times New Roman" w:hAnsi="ITC Avant Garde" w:cs="Arial"/>
          <w:bCs/>
          <w:lang w:val="es-ES_tradnl" w:eastAsia="es-ES"/>
        </w:rPr>
        <w:t>,</w:t>
      </w:r>
      <w:r w:rsidRPr="004C52B2">
        <w:rPr>
          <w:rFonts w:ascii="ITC Avant Garde" w:eastAsia="Times New Roman" w:hAnsi="ITC Avant Garde" w:cs="Arial"/>
          <w:bCs/>
          <w:lang w:val="es-ES_tradnl" w:eastAsia="es-ES"/>
        </w:rPr>
        <w:t xml:space="preserve"> párrafo</w:t>
      </w:r>
      <w:r w:rsidR="00722078">
        <w:rPr>
          <w:rFonts w:ascii="ITC Avant Garde" w:eastAsia="Times New Roman" w:hAnsi="ITC Avant Garde" w:cs="Arial"/>
          <w:bCs/>
          <w:lang w:val="es-ES_tradnl" w:eastAsia="es-ES"/>
        </w:rPr>
        <w:t>s</w:t>
      </w:r>
      <w:r w:rsidRPr="004C52B2">
        <w:rPr>
          <w:rFonts w:ascii="ITC Avant Garde" w:eastAsia="Times New Roman" w:hAnsi="ITC Avant Garde" w:cs="Arial"/>
          <w:bCs/>
          <w:lang w:val="es-ES_tradnl" w:eastAsia="es-ES"/>
        </w:rPr>
        <w:t xml:space="preserve"> décimo quinto </w:t>
      </w:r>
      <w:r w:rsidR="00722078">
        <w:rPr>
          <w:rFonts w:ascii="ITC Avant Garde" w:eastAsia="Times New Roman" w:hAnsi="ITC Avant Garde" w:cs="Arial"/>
          <w:bCs/>
          <w:lang w:val="es-ES_tradnl" w:eastAsia="es-ES"/>
        </w:rPr>
        <w:t xml:space="preserve">y décimo sexto </w:t>
      </w:r>
      <w:r w:rsidRPr="004C52B2">
        <w:rPr>
          <w:rFonts w:ascii="ITC Avant Garde" w:eastAsia="Times New Roman" w:hAnsi="ITC Avant Garde" w:cs="Arial"/>
          <w:bCs/>
          <w:lang w:val="es-ES_tradnl" w:eastAsia="es-ES"/>
        </w:rPr>
        <w:t xml:space="preserve">de la Constitución Política de los Estados Unidos Mexicanos; </w:t>
      </w:r>
      <w:r w:rsidR="007E3EF0">
        <w:rPr>
          <w:rFonts w:ascii="ITC Avant Garde" w:eastAsia="Times New Roman" w:hAnsi="ITC Avant Garde" w:cs="Arial"/>
          <w:bCs/>
          <w:lang w:val="es-ES_tradnl" w:eastAsia="es-ES"/>
        </w:rPr>
        <w:t>Transitorio Trigésimo Quinto</w:t>
      </w:r>
      <w:r w:rsidR="007E3EF0" w:rsidRPr="004C52B2">
        <w:rPr>
          <w:rFonts w:ascii="ITC Avant Garde" w:eastAsia="Times New Roman" w:hAnsi="ITC Avant Garde" w:cs="Arial"/>
          <w:bCs/>
          <w:lang w:val="es-ES_tradnl" w:eastAsia="es-ES"/>
        </w:rPr>
        <w:t xml:space="preserve"> de</w:t>
      </w:r>
      <w:r w:rsidR="007E3EF0">
        <w:rPr>
          <w:rFonts w:ascii="ITC Avant Garde" w:eastAsia="Times New Roman" w:hAnsi="ITC Avant Garde" w:cs="Arial"/>
          <w:bCs/>
          <w:lang w:val="es-ES_tradnl" w:eastAsia="es-ES"/>
        </w:rPr>
        <w:t>l “</w:t>
      </w:r>
      <w:r w:rsidR="007E3EF0" w:rsidRPr="007E3EF0">
        <w:rPr>
          <w:rFonts w:ascii="ITC Avant Garde" w:eastAsia="Times New Roman" w:hAnsi="ITC Avant Garde" w:cs="Arial"/>
          <w:bCs/>
          <w:lang w:val="es-ES_tradnl" w:eastAsia="es-ES"/>
        </w:rPr>
        <w:t>Decreto por el que se expiden la Ley Federal de Telecomunicaciones y</w:t>
      </w:r>
      <w:r w:rsidR="007E3EF0">
        <w:rPr>
          <w:rFonts w:ascii="ITC Avant Garde" w:eastAsia="Times New Roman" w:hAnsi="ITC Avant Garde" w:cs="Arial"/>
          <w:bCs/>
          <w:lang w:val="es-ES_tradnl" w:eastAsia="es-ES"/>
        </w:rPr>
        <w:t xml:space="preserve"> </w:t>
      </w:r>
      <w:r w:rsidR="007E3EF0" w:rsidRPr="007E3EF0">
        <w:rPr>
          <w:rFonts w:ascii="ITC Avant Garde" w:eastAsia="Times New Roman" w:hAnsi="ITC Avant Garde" w:cs="Arial"/>
          <w:bCs/>
          <w:lang w:val="es-ES_tradnl" w:eastAsia="es-ES"/>
        </w:rPr>
        <w:t xml:space="preserve">Radiodifusión, y </w:t>
      </w:r>
      <w:r w:rsidR="007E3EF0">
        <w:rPr>
          <w:rFonts w:ascii="ITC Avant Garde" w:eastAsia="Times New Roman" w:hAnsi="ITC Avant Garde" w:cs="Arial"/>
          <w:bCs/>
          <w:lang w:val="es-ES_tradnl" w:eastAsia="es-ES"/>
        </w:rPr>
        <w:t>la</w:t>
      </w:r>
      <w:r w:rsidR="007E3EF0" w:rsidRPr="007E3EF0">
        <w:rPr>
          <w:rFonts w:ascii="ITC Avant Garde" w:eastAsia="Times New Roman" w:hAnsi="ITC Avant Garde" w:cs="Arial"/>
          <w:bCs/>
          <w:lang w:val="es-ES_tradnl" w:eastAsia="es-ES"/>
        </w:rPr>
        <w:t xml:space="preserve"> Ley del Sistema Público de Radiodifusión del Estado Mexicano; y</w:t>
      </w:r>
      <w:r w:rsidR="007E3EF0">
        <w:rPr>
          <w:rFonts w:ascii="ITC Avant Garde" w:eastAsia="Times New Roman" w:hAnsi="ITC Avant Garde" w:cs="Arial"/>
          <w:bCs/>
          <w:lang w:val="es-ES_tradnl" w:eastAsia="es-ES"/>
        </w:rPr>
        <w:t xml:space="preserve"> </w:t>
      </w:r>
      <w:r w:rsidR="007E3EF0" w:rsidRPr="007E3EF0">
        <w:rPr>
          <w:rFonts w:ascii="ITC Avant Garde" w:eastAsia="Times New Roman" w:hAnsi="ITC Avant Garde" w:cs="Arial"/>
          <w:bCs/>
          <w:lang w:val="es-ES_tradnl" w:eastAsia="es-ES"/>
        </w:rPr>
        <w:t>se reforman, adicionan y derogan diversas disposiciones en materia de</w:t>
      </w:r>
      <w:r w:rsidR="007E3EF0">
        <w:rPr>
          <w:rFonts w:ascii="ITC Avant Garde" w:eastAsia="Times New Roman" w:hAnsi="ITC Avant Garde" w:cs="Arial"/>
          <w:bCs/>
          <w:lang w:val="es-ES_tradnl" w:eastAsia="es-ES"/>
        </w:rPr>
        <w:t xml:space="preserve"> </w:t>
      </w:r>
      <w:r w:rsidR="007E3EF0" w:rsidRPr="007E3EF0">
        <w:rPr>
          <w:rFonts w:ascii="ITC Avant Garde" w:eastAsia="Times New Roman" w:hAnsi="ITC Avant Garde" w:cs="Arial"/>
          <w:bCs/>
          <w:lang w:val="es-ES_tradnl" w:eastAsia="es-ES"/>
        </w:rPr>
        <w:t>tel</w:t>
      </w:r>
      <w:r w:rsidR="007E3EF0">
        <w:rPr>
          <w:rFonts w:ascii="ITC Avant Garde" w:eastAsia="Times New Roman" w:hAnsi="ITC Avant Garde" w:cs="Arial"/>
          <w:bCs/>
          <w:lang w:val="es-ES_tradnl" w:eastAsia="es-ES"/>
        </w:rPr>
        <w:t xml:space="preserve">ecomunicaciones y radiodifusión”; </w:t>
      </w:r>
      <w:r w:rsidRPr="004C52B2">
        <w:rPr>
          <w:rFonts w:ascii="ITC Avant Garde" w:eastAsia="Times New Roman" w:hAnsi="ITC Avant Garde" w:cs="Arial"/>
          <w:bCs/>
          <w:lang w:val="es-ES_tradnl" w:eastAsia="es-ES"/>
        </w:rPr>
        <w:t xml:space="preserve">1, 2, 7, 15 </w:t>
      </w:r>
      <w:r w:rsidRPr="00892A83">
        <w:rPr>
          <w:rFonts w:ascii="ITC Avant Garde" w:eastAsia="Times New Roman" w:hAnsi="ITC Avant Garde" w:cs="Arial"/>
          <w:bCs/>
          <w:lang w:val="es-ES_tradnl" w:eastAsia="es-ES"/>
        </w:rPr>
        <w:t>fracciones</w:t>
      </w:r>
      <w:r w:rsidR="00B92E73" w:rsidRPr="00444C44" w:rsidDel="00B92E73">
        <w:rPr>
          <w:rFonts w:ascii="ITC Avant Garde" w:eastAsia="Times New Roman" w:hAnsi="ITC Avant Garde" w:cs="Arial"/>
          <w:bCs/>
          <w:lang w:val="es-ES_tradnl" w:eastAsia="es-ES"/>
        </w:rPr>
        <w:t xml:space="preserve"> </w:t>
      </w:r>
      <w:r w:rsidR="007E3EF0">
        <w:rPr>
          <w:rFonts w:ascii="ITC Avant Garde" w:eastAsia="Times New Roman" w:hAnsi="ITC Avant Garde" w:cs="Arial"/>
          <w:bCs/>
          <w:lang w:val="es-ES_tradnl" w:eastAsia="es-ES"/>
        </w:rPr>
        <w:t>XVIII</w:t>
      </w:r>
      <w:r w:rsidR="00982392">
        <w:rPr>
          <w:rFonts w:ascii="ITC Avant Garde" w:eastAsia="Times New Roman" w:hAnsi="ITC Avant Garde" w:cs="Arial"/>
          <w:bCs/>
          <w:lang w:val="es-ES_tradnl" w:eastAsia="es-ES"/>
        </w:rPr>
        <w:t>,</w:t>
      </w:r>
      <w:r w:rsidR="00B92E73" w:rsidRPr="00444C44">
        <w:rPr>
          <w:rFonts w:ascii="ITC Avant Garde" w:eastAsia="Times New Roman" w:hAnsi="ITC Avant Garde" w:cs="Arial"/>
          <w:bCs/>
          <w:lang w:val="es-ES_tradnl" w:eastAsia="es-ES"/>
        </w:rPr>
        <w:t xml:space="preserve"> </w:t>
      </w:r>
      <w:r w:rsidR="00B92E73" w:rsidRPr="00892A83">
        <w:rPr>
          <w:rFonts w:ascii="ITC Avant Garde" w:eastAsia="Times New Roman" w:hAnsi="ITC Avant Garde" w:cs="Arial"/>
          <w:bCs/>
          <w:lang w:val="es-ES_tradnl" w:eastAsia="es-ES"/>
        </w:rPr>
        <w:t>XXVII</w:t>
      </w:r>
      <w:r w:rsidR="00B92E73">
        <w:rPr>
          <w:rFonts w:ascii="ITC Avant Garde" w:eastAsia="Times New Roman" w:hAnsi="ITC Avant Garde" w:cs="Arial"/>
          <w:bCs/>
          <w:lang w:val="es-ES_tradnl" w:eastAsia="es-ES"/>
        </w:rPr>
        <w:t xml:space="preserve"> y</w:t>
      </w:r>
      <w:r w:rsidR="00982392">
        <w:rPr>
          <w:rFonts w:ascii="ITC Avant Garde" w:eastAsia="Times New Roman" w:hAnsi="ITC Avant Garde" w:cs="Arial"/>
          <w:bCs/>
          <w:lang w:val="es-ES_tradnl" w:eastAsia="es-ES"/>
        </w:rPr>
        <w:t xml:space="preserve"> XXVIII</w:t>
      </w:r>
      <w:r w:rsidRPr="004C52B2">
        <w:rPr>
          <w:rFonts w:ascii="ITC Avant Garde" w:eastAsia="Times New Roman" w:hAnsi="ITC Avant Garde" w:cs="Arial"/>
          <w:bCs/>
          <w:lang w:val="es-ES_tradnl" w:eastAsia="es-ES"/>
        </w:rPr>
        <w:t xml:space="preserve"> de la Ley Federal de Telecomunicaciones y Radiodifusión</w:t>
      </w:r>
      <w:r w:rsidR="00DD5F18">
        <w:rPr>
          <w:rFonts w:ascii="ITC Avant Garde" w:eastAsia="Times New Roman" w:hAnsi="ITC Avant Garde" w:cs="Arial"/>
          <w:bCs/>
          <w:lang w:val="es-ES_tradnl" w:eastAsia="es-ES"/>
        </w:rPr>
        <w:t>;</w:t>
      </w:r>
      <w:r w:rsidRPr="004C52B2">
        <w:rPr>
          <w:rFonts w:ascii="ITC Avant Garde" w:eastAsia="Times New Roman" w:hAnsi="ITC Avant Garde" w:cs="Arial"/>
          <w:bCs/>
          <w:lang w:val="es-ES_tradnl" w:eastAsia="es-ES"/>
        </w:rPr>
        <w:t xml:space="preserve"> </w:t>
      </w:r>
      <w:r w:rsidR="00B92E73" w:rsidRPr="00B92E73">
        <w:rPr>
          <w:rFonts w:ascii="ITC Avant Garde" w:eastAsia="Times New Roman" w:hAnsi="ITC Avant Garde" w:cs="Arial"/>
          <w:bCs/>
          <w:lang w:val="es-ES_tradnl" w:eastAsia="es-ES"/>
        </w:rPr>
        <w:t xml:space="preserve">32, 35, fracción I, 36 y 38 de la Ley Federal de Procedimiento Administrativo; </w:t>
      </w:r>
      <w:r w:rsidR="00DD5B85" w:rsidRPr="004C52B2">
        <w:rPr>
          <w:rFonts w:ascii="ITC Avant Garde" w:eastAsia="Times New Roman" w:hAnsi="ITC Avant Garde" w:cs="Arial"/>
          <w:bCs/>
          <w:lang w:val="es-ES_tradnl" w:eastAsia="es-ES"/>
        </w:rPr>
        <w:t>1</w:t>
      </w:r>
      <w:r w:rsidRPr="004C52B2">
        <w:rPr>
          <w:rFonts w:ascii="ITC Avant Garde" w:eastAsia="Times New Roman" w:hAnsi="ITC Avant Garde" w:cs="Arial"/>
          <w:bCs/>
          <w:lang w:val="es-ES_tradnl" w:eastAsia="es-ES"/>
        </w:rPr>
        <w:t>, 4 fracción I</w:t>
      </w:r>
      <w:r w:rsidR="00B92E73">
        <w:rPr>
          <w:rFonts w:ascii="ITC Avant Garde" w:eastAsia="Times New Roman" w:hAnsi="ITC Avant Garde" w:cs="Arial"/>
          <w:bCs/>
          <w:lang w:val="es-ES_tradnl" w:eastAsia="es-ES"/>
        </w:rPr>
        <w:t xml:space="preserve"> y fracción 6</w:t>
      </w:r>
      <w:r w:rsidRPr="004C52B2">
        <w:rPr>
          <w:rFonts w:ascii="ITC Avant Garde" w:eastAsia="Times New Roman" w:hAnsi="ITC Avant Garde" w:cs="Arial"/>
          <w:bCs/>
          <w:lang w:val="es-ES_tradnl" w:eastAsia="es-ES"/>
        </w:rPr>
        <w:t>, fracci</w:t>
      </w:r>
      <w:r w:rsidR="00B92E73">
        <w:rPr>
          <w:rFonts w:ascii="ITC Avant Garde" w:eastAsia="Times New Roman" w:hAnsi="ITC Avant Garde" w:cs="Arial"/>
          <w:bCs/>
          <w:lang w:val="es-ES_tradnl" w:eastAsia="es-ES"/>
        </w:rPr>
        <w:t>o</w:t>
      </w:r>
      <w:r w:rsidRPr="004C52B2">
        <w:rPr>
          <w:rFonts w:ascii="ITC Avant Garde" w:eastAsia="Times New Roman" w:hAnsi="ITC Avant Garde" w:cs="Arial"/>
          <w:bCs/>
          <w:lang w:val="es-ES_tradnl" w:eastAsia="es-ES"/>
        </w:rPr>
        <w:t>n</w:t>
      </w:r>
      <w:r w:rsidR="00B92E73">
        <w:rPr>
          <w:rFonts w:ascii="ITC Avant Garde" w:eastAsia="Times New Roman" w:hAnsi="ITC Avant Garde" w:cs="Arial"/>
          <w:bCs/>
          <w:lang w:val="es-ES_tradnl" w:eastAsia="es-ES"/>
        </w:rPr>
        <w:t>es</w:t>
      </w:r>
      <w:r w:rsidRPr="004C52B2">
        <w:rPr>
          <w:rFonts w:ascii="ITC Avant Garde" w:eastAsia="Times New Roman" w:hAnsi="ITC Avant Garde" w:cs="Arial"/>
          <w:bCs/>
          <w:lang w:val="es-ES_tradnl" w:eastAsia="es-ES"/>
        </w:rPr>
        <w:t xml:space="preserve"> </w:t>
      </w:r>
      <w:r w:rsidR="007E3EF0">
        <w:rPr>
          <w:rFonts w:ascii="ITC Avant Garde" w:eastAsia="Times New Roman" w:hAnsi="ITC Avant Garde" w:cs="Arial"/>
          <w:bCs/>
          <w:lang w:val="es-ES_tradnl" w:eastAsia="es-ES"/>
        </w:rPr>
        <w:t>I</w:t>
      </w:r>
      <w:r w:rsidR="00B92E73">
        <w:rPr>
          <w:rFonts w:ascii="ITC Avant Garde" w:eastAsia="Times New Roman" w:hAnsi="ITC Avant Garde" w:cs="Arial"/>
          <w:bCs/>
          <w:lang w:val="es-ES_tradnl" w:eastAsia="es-ES"/>
        </w:rPr>
        <w:t xml:space="preserve"> y</w:t>
      </w:r>
      <w:r w:rsidR="007E3EF0">
        <w:rPr>
          <w:rFonts w:ascii="ITC Avant Garde" w:eastAsia="Times New Roman" w:hAnsi="ITC Avant Garde" w:cs="Arial"/>
          <w:bCs/>
          <w:lang w:val="es-ES_tradnl" w:eastAsia="es-ES"/>
        </w:rPr>
        <w:t xml:space="preserve"> </w:t>
      </w:r>
      <w:r w:rsidRPr="004C52B2">
        <w:rPr>
          <w:rFonts w:ascii="ITC Avant Garde" w:eastAsia="Times New Roman" w:hAnsi="ITC Avant Garde" w:cs="Arial"/>
          <w:bCs/>
          <w:lang w:val="es-ES_tradnl" w:eastAsia="es-ES"/>
        </w:rPr>
        <w:t>VI</w:t>
      </w:r>
      <w:r w:rsidR="007D56CC" w:rsidRPr="004C52B2">
        <w:rPr>
          <w:rFonts w:ascii="ITC Avant Garde" w:eastAsia="Times New Roman" w:hAnsi="ITC Avant Garde" w:cs="Arial"/>
          <w:bCs/>
          <w:lang w:val="es-ES_tradnl" w:eastAsia="es-ES"/>
        </w:rPr>
        <w:t xml:space="preserve"> </w:t>
      </w:r>
      <w:r w:rsidRPr="004C52B2">
        <w:rPr>
          <w:rFonts w:ascii="ITC Avant Garde" w:eastAsia="Times New Roman" w:hAnsi="ITC Avant Garde" w:cs="Arial"/>
          <w:bCs/>
          <w:lang w:val="es-ES_tradnl" w:eastAsia="es-ES"/>
        </w:rPr>
        <w:t>del Estatuto Orgánico del Instituto Federal de Telecomunicaciones</w:t>
      </w:r>
      <w:r w:rsidR="000A1470" w:rsidRPr="004C52B2">
        <w:rPr>
          <w:rFonts w:ascii="ITC Avant Garde" w:eastAsia="Times New Roman" w:hAnsi="ITC Avant Garde" w:cs="Arial"/>
          <w:bCs/>
          <w:lang w:val="es-ES_tradnl" w:eastAsia="es-ES"/>
        </w:rPr>
        <w:t>;</w:t>
      </w:r>
      <w:r w:rsidRPr="004C52B2">
        <w:rPr>
          <w:rFonts w:ascii="ITC Avant Garde" w:eastAsia="Times New Roman" w:hAnsi="ITC Avant Garde" w:cs="Arial"/>
          <w:bCs/>
          <w:lang w:val="es-ES_tradnl" w:eastAsia="es-ES"/>
        </w:rPr>
        <w:t xml:space="preserve"> </w:t>
      </w:r>
      <w:r w:rsidR="000A1470" w:rsidRPr="004C52B2">
        <w:rPr>
          <w:rFonts w:ascii="ITC Avant Garde" w:eastAsia="Times New Roman" w:hAnsi="ITC Avant Garde" w:cs="Arial"/>
          <w:bCs/>
          <w:lang w:val="es-ES_tradnl" w:eastAsia="es-ES"/>
        </w:rPr>
        <w:t xml:space="preserve">y </w:t>
      </w:r>
      <w:r w:rsidRPr="004C52B2">
        <w:rPr>
          <w:rFonts w:ascii="ITC Avant Garde" w:eastAsia="Times New Roman" w:hAnsi="ITC Avant Garde" w:cs="Arial"/>
          <w:bCs/>
          <w:lang w:val="es-ES_tradnl" w:eastAsia="es-ES"/>
        </w:rPr>
        <w:t>medida Cuadragésima del Anexo 2</w:t>
      </w:r>
      <w:r w:rsidR="00ED0F7E">
        <w:rPr>
          <w:rFonts w:ascii="ITC Avant Garde" w:eastAsia="Times New Roman" w:hAnsi="ITC Avant Garde" w:cs="Arial"/>
          <w:bCs/>
          <w:lang w:val="es-ES_tradnl" w:eastAsia="es-ES"/>
        </w:rPr>
        <w:t xml:space="preserve"> </w:t>
      </w:r>
      <w:r w:rsidRPr="004C52B2">
        <w:rPr>
          <w:rFonts w:ascii="ITC Avant Garde" w:eastAsia="Times New Roman" w:hAnsi="ITC Avant Garde" w:cs="Arial"/>
          <w:bCs/>
          <w:lang w:val="es-ES_tradnl" w:eastAsia="es-ES"/>
        </w:rPr>
        <w:t xml:space="preserve">de la </w:t>
      </w:r>
      <w:r w:rsidR="007013CA" w:rsidRPr="004C52B2">
        <w:rPr>
          <w:rFonts w:ascii="ITC Avant Garde" w:eastAsia="Times New Roman" w:hAnsi="ITC Avant Garde" w:cs="Arial"/>
          <w:bCs/>
          <w:lang w:val="es-ES_tradnl" w:eastAsia="es-ES"/>
        </w:rPr>
        <w:t>“</w:t>
      </w:r>
      <w:r w:rsidR="00ED0F7E" w:rsidRPr="004C52B2">
        <w:rPr>
          <w:rFonts w:ascii="ITC Avant Garde" w:eastAsia="Times New Roman" w:hAnsi="ITC Avant Garde" w:cs="Arial"/>
          <w:bCs/>
          <w:lang w:val="es-ES_tradnl" w:eastAsia="es-ES"/>
        </w:rPr>
        <w:t>RESOLUCIÓN MEDIANTE LA CUAL EL PLENO DEL INSTITUTO FEDERAL DE TELECOMUNICACIONES DETERMINA AL GRUPO DE INTERÉS ECONÓMICO DEL QUE FORMAN PARTE AMÉRICA MÓVIL, S.A.B. DE C.V., TELÉFONOS DE MÉXICO, S.A.B. DE C.V., TELÉFONOS DEL NOROESTE, S.A. DE C. V., RADIOMÓVIL DIPSA, S.A.B. DE C. V., GRUPO CARSO, S.A.B. DE C.V., Y GRUPO FINANCIERO LNBURSA, S.A.B. DE C.V., COMO AGENTE ECONÓMICO PREPONDERANTE EN EL SECTOR DE TELECOMUNICACIONES Y LE IMPONE LAS MEDIDAS NECESARIAS PARA EVITAR QUE SE AFECTE LA COMPETENCIA Y LA LIBRE CONCURRENCIA.</w:t>
      </w:r>
      <w:r w:rsidR="007013CA" w:rsidRPr="004C52B2">
        <w:rPr>
          <w:rFonts w:ascii="ITC Avant Garde" w:eastAsia="Times New Roman" w:hAnsi="ITC Avant Garde" w:cs="Arial"/>
          <w:bCs/>
          <w:lang w:val="es-ES_tradnl" w:eastAsia="es-ES"/>
        </w:rPr>
        <w:t>”</w:t>
      </w:r>
      <w:r w:rsidR="000A1470" w:rsidRPr="004C52B2">
        <w:rPr>
          <w:rFonts w:ascii="ITC Avant Garde" w:eastAsia="Times New Roman" w:hAnsi="ITC Avant Garde" w:cs="Arial"/>
          <w:bCs/>
          <w:lang w:val="es-ES_tradnl" w:eastAsia="es-ES"/>
        </w:rPr>
        <w:t>(sic)</w:t>
      </w:r>
      <w:r w:rsidRPr="004C52B2">
        <w:rPr>
          <w:rFonts w:ascii="ITC Avant Garde" w:eastAsia="Times New Roman" w:hAnsi="ITC Avant Garde" w:cs="Arial"/>
          <w:bCs/>
          <w:lang w:val="es-ES_tradnl" w:eastAsia="es-ES"/>
        </w:rPr>
        <w:t xml:space="preserve">, el Pleno del Instituto </w:t>
      </w:r>
      <w:r w:rsidR="000A1470" w:rsidRPr="004C52B2">
        <w:rPr>
          <w:rFonts w:ascii="ITC Avant Garde" w:eastAsia="Times New Roman" w:hAnsi="ITC Avant Garde" w:cs="Arial"/>
          <w:bCs/>
          <w:lang w:val="es-ES_tradnl" w:eastAsia="es-ES"/>
        </w:rPr>
        <w:t>resuelve</w:t>
      </w:r>
      <w:r w:rsidRPr="004C52B2">
        <w:rPr>
          <w:rFonts w:ascii="ITC Avant Garde" w:eastAsia="Times New Roman" w:hAnsi="ITC Avant Garde" w:cs="Arial"/>
          <w:bCs/>
          <w:lang w:val="es-ES_tradnl" w:eastAsia="es-ES"/>
        </w:rPr>
        <w:t>:</w:t>
      </w:r>
    </w:p>
    <w:p w14:paraId="6ABC8BE7" w14:textId="77777777" w:rsidR="008369E9" w:rsidRPr="004A3E19" w:rsidRDefault="000F0FA7" w:rsidP="004A3E19">
      <w:pPr>
        <w:pStyle w:val="Ttulo2"/>
        <w:keepLines/>
        <w:spacing w:before="40" w:after="240"/>
        <w:jc w:val="center"/>
        <w:rPr>
          <w:rFonts w:ascii="ITC Avant Garde" w:eastAsiaTheme="majorEastAsia" w:hAnsi="ITC Avant Garde" w:cstheme="majorBidi"/>
          <w:bCs w:val="0"/>
          <w:i w:val="0"/>
          <w:iCs w:val="0"/>
          <w:color w:val="000000" w:themeColor="text1"/>
          <w:sz w:val="22"/>
          <w:szCs w:val="22"/>
        </w:rPr>
      </w:pPr>
      <w:r w:rsidRPr="004A3E19">
        <w:rPr>
          <w:rFonts w:ascii="ITC Avant Garde" w:eastAsiaTheme="majorEastAsia" w:hAnsi="ITC Avant Garde" w:cstheme="majorBidi"/>
          <w:bCs w:val="0"/>
          <w:i w:val="0"/>
          <w:iCs w:val="0"/>
          <w:color w:val="000000" w:themeColor="text1"/>
          <w:sz w:val="22"/>
          <w:szCs w:val="22"/>
        </w:rPr>
        <w:t>R</w:t>
      </w:r>
      <w:r w:rsidR="00E00114" w:rsidRPr="004A3E19">
        <w:rPr>
          <w:rFonts w:ascii="ITC Avant Garde" w:eastAsiaTheme="majorEastAsia" w:hAnsi="ITC Avant Garde" w:cstheme="majorBidi"/>
          <w:bCs w:val="0"/>
          <w:i w:val="0"/>
          <w:iCs w:val="0"/>
          <w:color w:val="000000" w:themeColor="text1"/>
          <w:sz w:val="22"/>
          <w:szCs w:val="22"/>
        </w:rPr>
        <w:t>ESOLUTIVOS</w:t>
      </w:r>
    </w:p>
    <w:p w14:paraId="5910EFA9" w14:textId="42B9BE0B" w:rsidR="008369E9" w:rsidRDefault="00E00114" w:rsidP="008369E9">
      <w:pPr>
        <w:spacing w:before="240" w:line="240" w:lineRule="auto"/>
        <w:jc w:val="both"/>
        <w:rPr>
          <w:rFonts w:ascii="ITC Avant Garde" w:hAnsi="ITC Avant Garde" w:cs="Arial"/>
        </w:rPr>
      </w:pPr>
      <w:r w:rsidRPr="004C52B2">
        <w:rPr>
          <w:rFonts w:ascii="ITC Avant Garde" w:hAnsi="ITC Avant Garde" w:cs="Arial"/>
          <w:b/>
        </w:rPr>
        <w:t>PRIMERO.-</w:t>
      </w:r>
      <w:r w:rsidRPr="004C52B2">
        <w:rPr>
          <w:rFonts w:ascii="ITC Avant Garde" w:hAnsi="ITC Avant Garde" w:cs="Arial"/>
        </w:rPr>
        <w:t xml:space="preserve"> El Factor de Ajuste por Productividad </w:t>
      </w:r>
      <w:r w:rsidR="00647709" w:rsidRPr="004C52B2">
        <w:rPr>
          <w:rFonts w:ascii="ITC Avant Garde" w:hAnsi="ITC Avant Garde" w:cs="Arial"/>
        </w:rPr>
        <w:t>“</w:t>
      </w:r>
      <w:r w:rsidRPr="004C52B2">
        <w:rPr>
          <w:rFonts w:ascii="ITC Avant Garde" w:hAnsi="ITC Avant Garde" w:cs="Arial"/>
        </w:rPr>
        <w:t>X</w:t>
      </w:r>
      <w:r w:rsidR="00647709" w:rsidRPr="004C52B2">
        <w:rPr>
          <w:rFonts w:ascii="ITC Avant Garde" w:hAnsi="ITC Avant Garde" w:cs="Arial"/>
        </w:rPr>
        <w:t>”</w:t>
      </w:r>
      <w:r w:rsidRPr="004C52B2">
        <w:rPr>
          <w:rFonts w:ascii="ITC Avant Garde" w:hAnsi="ITC Avant Garde" w:cs="Arial"/>
        </w:rPr>
        <w:t xml:space="preserve"> para establecer el </w:t>
      </w:r>
      <w:r w:rsidRPr="004C52B2">
        <w:rPr>
          <w:rFonts w:ascii="ITC Avant Garde" w:eastAsia="Times New Roman" w:hAnsi="ITC Avant Garde" w:cs="Arial"/>
          <w:bCs/>
          <w:lang w:val="es-ES_tradnl" w:eastAsia="es-ES"/>
        </w:rPr>
        <w:t>límite máximo a la tarifa promedio ponderada de la canasta de servicios de telecomunicaciones fijos</w:t>
      </w:r>
      <w:r w:rsidRPr="004C52B2">
        <w:rPr>
          <w:rFonts w:ascii="ITC Avant Garde" w:hAnsi="ITC Avant Garde" w:cs="Arial"/>
        </w:rPr>
        <w:t xml:space="preserve">, al que se refiere la </w:t>
      </w:r>
      <w:r w:rsidR="00BD761B" w:rsidRPr="004C52B2">
        <w:rPr>
          <w:rFonts w:ascii="ITC Avant Garde" w:hAnsi="ITC Avant Garde" w:cs="Arial"/>
        </w:rPr>
        <w:t>m</w:t>
      </w:r>
      <w:r w:rsidRPr="004C52B2">
        <w:rPr>
          <w:rFonts w:ascii="ITC Avant Garde" w:hAnsi="ITC Avant Garde" w:cs="Arial"/>
        </w:rPr>
        <w:t xml:space="preserve">edida Cuadragésima </w:t>
      </w:r>
      <w:r w:rsidR="00A2644C" w:rsidRPr="004C52B2">
        <w:rPr>
          <w:rFonts w:ascii="ITC Avant Garde" w:eastAsia="Times New Roman" w:hAnsi="ITC Avant Garde" w:cs="Arial"/>
          <w:bCs/>
          <w:lang w:val="es-ES_tradnl" w:eastAsia="es-ES"/>
        </w:rPr>
        <w:t xml:space="preserve">del Anexo 2 de la </w:t>
      </w:r>
      <w:r w:rsidR="00647709" w:rsidRPr="004C52B2">
        <w:rPr>
          <w:rFonts w:ascii="ITC Avant Garde" w:eastAsia="Times New Roman" w:hAnsi="ITC Avant Garde" w:cs="Arial"/>
          <w:bCs/>
          <w:lang w:val="es-ES_tradnl" w:eastAsia="es-ES"/>
        </w:rPr>
        <w:t>“</w:t>
      </w:r>
      <w:r w:rsidR="00A2644C" w:rsidRPr="004C52B2">
        <w:rPr>
          <w:rFonts w:ascii="ITC Avant Garde" w:eastAsia="Times New Roman" w:hAnsi="ITC Avant Garde" w:cs="Arial"/>
          <w:bCs/>
          <w:lang w:val="es-ES_tradnl" w:eastAsia="es-ES"/>
        </w:rPr>
        <w:t xml:space="preserve">Resolución mediante la cual el Pleno del Instituto Federal de Telecomunicaciones determina al grupo de interés económico del que forman parte América Móvil, S.A.B. de C.V., Teléfonos de México, S.A.B. de C.V., Teléfonos del Noroeste, S.A. de C. V., </w:t>
      </w:r>
      <w:proofErr w:type="spellStart"/>
      <w:r w:rsidR="00A2644C" w:rsidRPr="004C52B2">
        <w:rPr>
          <w:rFonts w:ascii="ITC Avant Garde" w:eastAsia="Times New Roman" w:hAnsi="ITC Avant Garde" w:cs="Arial"/>
          <w:bCs/>
          <w:lang w:val="es-ES_tradnl" w:eastAsia="es-ES"/>
        </w:rPr>
        <w:t>Radiomóvil</w:t>
      </w:r>
      <w:proofErr w:type="spellEnd"/>
      <w:r w:rsidR="00A2644C" w:rsidRPr="004C52B2">
        <w:rPr>
          <w:rFonts w:ascii="ITC Avant Garde" w:eastAsia="Times New Roman" w:hAnsi="ITC Avant Garde" w:cs="Arial"/>
          <w:bCs/>
          <w:lang w:val="es-ES_tradnl" w:eastAsia="es-ES"/>
        </w:rPr>
        <w:t xml:space="preserve"> </w:t>
      </w:r>
      <w:proofErr w:type="spellStart"/>
      <w:r w:rsidR="00A2644C" w:rsidRPr="004C52B2">
        <w:rPr>
          <w:rFonts w:ascii="ITC Avant Garde" w:eastAsia="Times New Roman" w:hAnsi="ITC Avant Garde" w:cs="Arial"/>
          <w:bCs/>
          <w:lang w:val="es-ES_tradnl" w:eastAsia="es-ES"/>
        </w:rPr>
        <w:t>Dipsa</w:t>
      </w:r>
      <w:proofErr w:type="spellEnd"/>
      <w:r w:rsidR="00A2644C" w:rsidRPr="004C52B2">
        <w:rPr>
          <w:rFonts w:ascii="ITC Avant Garde" w:eastAsia="Times New Roman" w:hAnsi="ITC Avant Garde" w:cs="Arial"/>
          <w:bCs/>
          <w:lang w:val="es-ES_tradnl" w:eastAsia="es-ES"/>
        </w:rPr>
        <w:t>, S.A.B. de C. V., Grupo C</w:t>
      </w:r>
      <w:r w:rsidR="00B7242F" w:rsidRPr="004C52B2">
        <w:rPr>
          <w:rFonts w:ascii="ITC Avant Garde" w:eastAsia="Times New Roman" w:hAnsi="ITC Avant Garde" w:cs="Arial"/>
          <w:bCs/>
          <w:lang w:val="es-ES_tradnl" w:eastAsia="es-ES"/>
        </w:rPr>
        <w:t>a</w:t>
      </w:r>
      <w:r w:rsidR="00A2644C" w:rsidRPr="004C52B2">
        <w:rPr>
          <w:rFonts w:ascii="ITC Avant Garde" w:eastAsia="Times New Roman" w:hAnsi="ITC Avant Garde" w:cs="Arial"/>
          <w:bCs/>
          <w:lang w:val="es-ES_tradnl" w:eastAsia="es-ES"/>
        </w:rPr>
        <w:t xml:space="preserve">rso, S.A.B. de C.V., y Grupo Financiero </w:t>
      </w:r>
      <w:proofErr w:type="spellStart"/>
      <w:r w:rsidR="00A2644C" w:rsidRPr="004C52B2">
        <w:rPr>
          <w:rFonts w:ascii="ITC Avant Garde" w:eastAsia="Times New Roman" w:hAnsi="ITC Avant Garde" w:cs="Arial"/>
          <w:bCs/>
          <w:lang w:val="es-ES_tradnl" w:eastAsia="es-ES"/>
        </w:rPr>
        <w:t>lnbursa</w:t>
      </w:r>
      <w:proofErr w:type="spellEnd"/>
      <w:r w:rsidR="00A2644C" w:rsidRPr="004C52B2">
        <w:rPr>
          <w:rFonts w:ascii="ITC Avant Garde" w:eastAsia="Times New Roman" w:hAnsi="ITC Avant Garde" w:cs="Arial"/>
          <w:bCs/>
          <w:lang w:val="es-ES_tradnl" w:eastAsia="es-ES"/>
        </w:rPr>
        <w:t>, S.A.B. de C.V., como agente económico preponderante en el sector de telecomunicaciones y le impone las medidas necesarias para evitar que se afecte la competencia y la libre concurrencia</w:t>
      </w:r>
      <w:r w:rsidR="007D56CC" w:rsidRPr="004C52B2">
        <w:rPr>
          <w:rFonts w:ascii="ITC Avant Garde" w:eastAsia="Times New Roman" w:hAnsi="ITC Avant Garde" w:cs="Arial"/>
          <w:bCs/>
          <w:lang w:val="es-ES_tradnl" w:eastAsia="es-ES"/>
        </w:rPr>
        <w:t>.</w:t>
      </w:r>
      <w:r w:rsidR="00647709" w:rsidRPr="004C52B2">
        <w:rPr>
          <w:rFonts w:ascii="ITC Avant Garde" w:eastAsia="Times New Roman" w:hAnsi="ITC Avant Garde" w:cs="Arial"/>
          <w:bCs/>
          <w:lang w:val="es-ES_tradnl" w:eastAsia="es-ES"/>
        </w:rPr>
        <w:t>”(sic)</w:t>
      </w:r>
      <w:r w:rsidRPr="004C52B2">
        <w:rPr>
          <w:rFonts w:ascii="ITC Avant Garde" w:hAnsi="ITC Avant Garde" w:cs="Arial"/>
        </w:rPr>
        <w:t xml:space="preserve">, será de </w:t>
      </w:r>
      <w:r w:rsidR="0082579C" w:rsidRPr="00F17AE3">
        <w:rPr>
          <w:rFonts w:ascii="ITC Avant Garde" w:hAnsi="ITC Avant Garde" w:cs="Arial"/>
        </w:rPr>
        <w:t>0.91</w:t>
      </w:r>
      <w:r w:rsidR="000B627B" w:rsidRPr="00F17AE3">
        <w:rPr>
          <w:rFonts w:ascii="ITC Avant Garde" w:hAnsi="ITC Avant Garde" w:cs="Arial"/>
        </w:rPr>
        <w:t xml:space="preserve">% </w:t>
      </w:r>
      <w:r w:rsidR="000B627B" w:rsidRPr="00F17AE3">
        <w:rPr>
          <w:rFonts w:ascii="ITC Avant Garde" w:hAnsi="ITC Avant Garde" w:cs="Arial"/>
          <w:color w:val="000000"/>
        </w:rPr>
        <w:t>(</w:t>
      </w:r>
      <w:r w:rsidR="0082579C" w:rsidRPr="00F17AE3">
        <w:rPr>
          <w:rFonts w:ascii="ITC Avant Garde" w:hAnsi="ITC Avant Garde" w:cs="Arial"/>
          <w:color w:val="000000"/>
        </w:rPr>
        <w:t>cero</w:t>
      </w:r>
      <w:r w:rsidR="000B627B" w:rsidRPr="00F17AE3">
        <w:rPr>
          <w:rFonts w:ascii="ITC Avant Garde" w:hAnsi="ITC Avant Garde" w:cs="Arial"/>
          <w:color w:val="000000"/>
        </w:rPr>
        <w:t xml:space="preserve"> punto </w:t>
      </w:r>
      <w:r w:rsidR="0082579C" w:rsidRPr="00F17AE3">
        <w:rPr>
          <w:rFonts w:ascii="ITC Avant Garde" w:hAnsi="ITC Avant Garde" w:cs="Arial"/>
          <w:color w:val="000000"/>
        </w:rPr>
        <w:t>noventa</w:t>
      </w:r>
      <w:r w:rsidR="000B627B" w:rsidRPr="00F17AE3">
        <w:rPr>
          <w:rFonts w:ascii="ITC Avant Garde" w:hAnsi="ITC Avant Garde" w:cs="Arial"/>
          <w:color w:val="000000"/>
        </w:rPr>
        <w:t xml:space="preserve"> y </w:t>
      </w:r>
      <w:r w:rsidR="0082579C" w:rsidRPr="00F17AE3">
        <w:rPr>
          <w:rFonts w:ascii="ITC Avant Garde" w:hAnsi="ITC Avant Garde" w:cs="Arial"/>
          <w:color w:val="000000"/>
        </w:rPr>
        <w:t>uno</w:t>
      </w:r>
      <w:r w:rsidR="000B627B" w:rsidRPr="00F17AE3">
        <w:rPr>
          <w:rFonts w:ascii="ITC Avant Garde" w:hAnsi="ITC Avant Garde" w:cs="Arial"/>
          <w:color w:val="000000"/>
        </w:rPr>
        <w:t xml:space="preserve"> por ciento)</w:t>
      </w:r>
      <w:r w:rsidR="000B627B" w:rsidRPr="004C52B2">
        <w:rPr>
          <w:rFonts w:ascii="ITC Avant Garde" w:hAnsi="ITC Avant Garde" w:cs="Arial"/>
          <w:color w:val="000000"/>
        </w:rPr>
        <w:t xml:space="preserve"> </w:t>
      </w:r>
      <w:r w:rsidRPr="004C52B2">
        <w:rPr>
          <w:rFonts w:ascii="ITC Avant Garde" w:hAnsi="ITC Avant Garde" w:cs="Arial"/>
        </w:rPr>
        <w:t>anual</w:t>
      </w:r>
      <w:r w:rsidR="007D1524" w:rsidRPr="004C52B2">
        <w:rPr>
          <w:rFonts w:ascii="ITC Avant Garde" w:hAnsi="ITC Avant Garde" w:cs="Arial"/>
        </w:rPr>
        <w:t xml:space="preserve"> </w:t>
      </w:r>
      <w:r w:rsidRPr="004C52B2">
        <w:rPr>
          <w:rFonts w:ascii="ITC Avant Garde" w:hAnsi="ITC Avant Garde" w:cs="Arial"/>
        </w:rPr>
        <w:t xml:space="preserve">y estará </w:t>
      </w:r>
      <w:r w:rsidR="001172A3" w:rsidRPr="004C52B2">
        <w:rPr>
          <w:rFonts w:ascii="ITC Avant Garde" w:hAnsi="ITC Avant Garde" w:cs="Arial"/>
        </w:rPr>
        <w:t>vigente</w:t>
      </w:r>
      <w:r w:rsidR="0029045F" w:rsidRPr="004C52B2">
        <w:rPr>
          <w:rFonts w:ascii="ITC Avant Garde" w:hAnsi="ITC Avant Garde" w:cs="Arial"/>
        </w:rPr>
        <w:t xml:space="preserve"> del 1 de enero de 2017</w:t>
      </w:r>
      <w:r w:rsidR="001172A3" w:rsidRPr="004C52B2">
        <w:rPr>
          <w:rFonts w:ascii="ITC Avant Garde" w:hAnsi="ITC Avant Garde" w:cs="Arial"/>
        </w:rPr>
        <w:t xml:space="preserve"> </w:t>
      </w:r>
      <w:r w:rsidR="0029045F" w:rsidRPr="004C52B2">
        <w:rPr>
          <w:rFonts w:ascii="ITC Avant Garde" w:hAnsi="ITC Avant Garde" w:cs="Arial"/>
        </w:rPr>
        <w:t>hasta el 31 de diciembre de 2018</w:t>
      </w:r>
      <w:r w:rsidRPr="004C52B2">
        <w:rPr>
          <w:rFonts w:ascii="ITC Avant Garde" w:hAnsi="ITC Avant Garde" w:cs="Arial"/>
        </w:rPr>
        <w:t xml:space="preserve">. </w:t>
      </w:r>
    </w:p>
    <w:p w14:paraId="63C53F6E" w14:textId="77777777" w:rsidR="008369E9" w:rsidRDefault="00E00114" w:rsidP="008369E9">
      <w:pPr>
        <w:spacing w:before="240" w:line="240" w:lineRule="auto"/>
        <w:jc w:val="both"/>
        <w:rPr>
          <w:rFonts w:ascii="ITC Avant Garde" w:hAnsi="ITC Avant Garde" w:cs="Arial"/>
        </w:rPr>
      </w:pPr>
      <w:proofErr w:type="gramStart"/>
      <w:r w:rsidRPr="004C52B2">
        <w:rPr>
          <w:rFonts w:ascii="ITC Avant Garde" w:hAnsi="ITC Avant Garde" w:cs="Arial"/>
          <w:b/>
        </w:rPr>
        <w:t>SEGUNDO.-</w:t>
      </w:r>
      <w:proofErr w:type="gramEnd"/>
      <w:r w:rsidRPr="004C52B2">
        <w:rPr>
          <w:rFonts w:ascii="ITC Avant Garde" w:hAnsi="ITC Avant Garde" w:cs="Arial"/>
          <w:b/>
        </w:rPr>
        <w:t xml:space="preserve"> </w:t>
      </w:r>
      <w:r w:rsidRPr="004C52B2">
        <w:rPr>
          <w:rFonts w:ascii="ITC Avant Garde" w:hAnsi="ITC Avant Garde" w:cs="Arial"/>
        </w:rPr>
        <w:t xml:space="preserve">El Factor de Ajuste por Productividad </w:t>
      </w:r>
      <w:r w:rsidR="007D56CC" w:rsidRPr="004C52B2">
        <w:rPr>
          <w:rFonts w:ascii="ITC Avant Garde" w:hAnsi="ITC Avant Garde" w:cs="Arial"/>
        </w:rPr>
        <w:t>“</w:t>
      </w:r>
      <w:r w:rsidRPr="004C52B2">
        <w:rPr>
          <w:rFonts w:ascii="ITC Avant Garde" w:hAnsi="ITC Avant Garde" w:cs="Arial"/>
        </w:rPr>
        <w:t>X</w:t>
      </w:r>
      <w:r w:rsidR="007D56CC" w:rsidRPr="004C52B2">
        <w:rPr>
          <w:rFonts w:ascii="ITC Avant Garde" w:hAnsi="ITC Avant Garde" w:cs="Arial"/>
        </w:rPr>
        <w:t>”</w:t>
      </w:r>
      <w:r w:rsidRPr="004C52B2">
        <w:rPr>
          <w:rFonts w:ascii="ITC Avant Garde" w:eastAsia="Times New Roman" w:hAnsi="ITC Avant Garde" w:cs="Arial"/>
          <w:bCs/>
          <w:lang w:val="es-ES_tradnl" w:eastAsia="es-ES"/>
        </w:rPr>
        <w:t xml:space="preserve"> del Resolutivo PRIMERO, deberá aplicarse a los siguientes servicios de telecomunicaciones fijos: </w:t>
      </w:r>
    </w:p>
    <w:p w14:paraId="49AFB5A8" w14:textId="77777777" w:rsidR="008369E9" w:rsidRDefault="007D1524" w:rsidP="008369E9">
      <w:pPr>
        <w:pStyle w:val="Prrafodelista"/>
        <w:numPr>
          <w:ilvl w:val="0"/>
          <w:numId w:val="32"/>
        </w:numPr>
        <w:spacing w:before="240" w:line="240" w:lineRule="auto"/>
        <w:jc w:val="both"/>
        <w:rPr>
          <w:rFonts w:ascii="ITC Avant Garde" w:eastAsia="Times New Roman" w:hAnsi="ITC Avant Garde" w:cs="Arial"/>
          <w:i/>
          <w:iCs/>
        </w:rPr>
      </w:pPr>
      <w:r w:rsidRPr="004C52B2">
        <w:rPr>
          <w:rFonts w:ascii="ITC Avant Garde" w:eastAsia="Times New Roman" w:hAnsi="ITC Avant Garde" w:cs="Arial"/>
          <w:i/>
          <w:iCs/>
        </w:rPr>
        <w:t>Servicio Local fijo</w:t>
      </w:r>
    </w:p>
    <w:p w14:paraId="3FAA79D2" w14:textId="211F5294" w:rsidR="007D1524" w:rsidRPr="004C52B2" w:rsidRDefault="007D1524" w:rsidP="008369E9">
      <w:pPr>
        <w:pStyle w:val="Prrafodelista"/>
        <w:numPr>
          <w:ilvl w:val="1"/>
          <w:numId w:val="32"/>
        </w:numPr>
        <w:spacing w:before="240" w:line="240" w:lineRule="auto"/>
        <w:jc w:val="both"/>
        <w:rPr>
          <w:rFonts w:ascii="ITC Avant Garde" w:eastAsia="Times New Roman" w:hAnsi="ITC Avant Garde" w:cs="Arial"/>
          <w:i/>
          <w:iCs/>
        </w:rPr>
      </w:pPr>
      <w:r w:rsidRPr="004C52B2">
        <w:rPr>
          <w:rFonts w:ascii="ITC Avant Garde" w:eastAsia="Times New Roman" w:hAnsi="ITC Avant Garde" w:cs="Arial"/>
          <w:i/>
          <w:iCs/>
        </w:rPr>
        <w:t>Cargo de instalación por línea</w:t>
      </w:r>
    </w:p>
    <w:p w14:paraId="0A103693" w14:textId="77777777" w:rsidR="007D1524" w:rsidRPr="004C52B2" w:rsidRDefault="007D1524" w:rsidP="008369E9">
      <w:pPr>
        <w:pStyle w:val="Prrafodelista"/>
        <w:numPr>
          <w:ilvl w:val="1"/>
          <w:numId w:val="32"/>
        </w:numPr>
        <w:spacing w:before="240" w:line="240" w:lineRule="auto"/>
        <w:jc w:val="both"/>
        <w:rPr>
          <w:rFonts w:ascii="ITC Avant Garde" w:eastAsia="Times New Roman" w:hAnsi="ITC Avant Garde" w:cs="Arial"/>
          <w:i/>
          <w:iCs/>
        </w:rPr>
      </w:pPr>
      <w:r w:rsidRPr="004C52B2">
        <w:rPr>
          <w:rFonts w:ascii="ITC Avant Garde" w:eastAsia="Times New Roman" w:hAnsi="ITC Avant Garde" w:cs="Arial"/>
          <w:i/>
          <w:iCs/>
        </w:rPr>
        <w:t>Renta básica por línea</w:t>
      </w:r>
    </w:p>
    <w:p w14:paraId="2B0A4B3E" w14:textId="77777777" w:rsidR="007D1524" w:rsidRPr="004C52B2" w:rsidRDefault="007D1524" w:rsidP="008369E9">
      <w:pPr>
        <w:pStyle w:val="Prrafodelista"/>
        <w:numPr>
          <w:ilvl w:val="1"/>
          <w:numId w:val="32"/>
        </w:numPr>
        <w:spacing w:before="240" w:line="240" w:lineRule="auto"/>
        <w:jc w:val="both"/>
        <w:rPr>
          <w:rFonts w:ascii="ITC Avant Garde" w:eastAsia="Times New Roman" w:hAnsi="ITC Avant Garde" w:cs="Arial"/>
          <w:i/>
          <w:iCs/>
        </w:rPr>
      </w:pPr>
      <w:r w:rsidRPr="004C52B2">
        <w:rPr>
          <w:rFonts w:ascii="ITC Avant Garde" w:eastAsia="Times New Roman" w:hAnsi="ITC Avant Garde" w:cs="Arial"/>
          <w:i/>
          <w:iCs/>
        </w:rPr>
        <w:t>Tarifas por servicio local medido</w:t>
      </w:r>
    </w:p>
    <w:p w14:paraId="3BAC455B" w14:textId="77777777" w:rsidR="008369E9" w:rsidRDefault="007D1524" w:rsidP="008369E9">
      <w:pPr>
        <w:pStyle w:val="Prrafodelista"/>
        <w:numPr>
          <w:ilvl w:val="1"/>
          <w:numId w:val="32"/>
        </w:numPr>
        <w:spacing w:before="240" w:line="240" w:lineRule="auto"/>
        <w:jc w:val="both"/>
        <w:rPr>
          <w:rFonts w:ascii="ITC Avant Garde" w:eastAsia="Times New Roman" w:hAnsi="ITC Avant Garde" w:cs="Arial"/>
          <w:i/>
          <w:iCs/>
        </w:rPr>
      </w:pPr>
      <w:r w:rsidRPr="004C52B2">
        <w:rPr>
          <w:rFonts w:ascii="ITC Avant Garde" w:eastAsia="Times New Roman" w:hAnsi="ITC Avant Garde" w:cs="Arial"/>
          <w:i/>
          <w:iCs/>
        </w:rPr>
        <w:t>Tarifas por llamadas locales realizadas desde teléfonos fijos que terminan en teléfonos móviles bajo la modalidad “El que llama paga”.</w:t>
      </w:r>
    </w:p>
    <w:p w14:paraId="66B9FE9A" w14:textId="77777777" w:rsidR="008369E9" w:rsidRDefault="007D1524" w:rsidP="008369E9">
      <w:pPr>
        <w:pStyle w:val="Prrafodelista"/>
        <w:numPr>
          <w:ilvl w:val="0"/>
          <w:numId w:val="32"/>
        </w:numPr>
        <w:spacing w:before="240" w:line="240" w:lineRule="auto"/>
        <w:jc w:val="both"/>
        <w:rPr>
          <w:rFonts w:ascii="ITC Avant Garde" w:eastAsia="Times New Roman" w:hAnsi="ITC Avant Garde" w:cs="Arial"/>
          <w:i/>
          <w:iCs/>
        </w:rPr>
      </w:pPr>
      <w:r w:rsidRPr="004C52B2">
        <w:rPr>
          <w:rFonts w:ascii="ITC Avant Garde" w:eastAsia="Times New Roman" w:hAnsi="ITC Avant Garde" w:cs="Arial"/>
          <w:i/>
          <w:iCs/>
        </w:rPr>
        <w:lastRenderedPageBreak/>
        <w:t>Servicio de acceso a Internet de banda ancha fija desagregado por velocidades ofertadas</w:t>
      </w:r>
    </w:p>
    <w:p w14:paraId="4C9776C5" w14:textId="77777777" w:rsidR="008369E9" w:rsidRDefault="007D1524" w:rsidP="008369E9">
      <w:pPr>
        <w:pStyle w:val="Prrafodelista"/>
        <w:numPr>
          <w:ilvl w:val="0"/>
          <w:numId w:val="32"/>
        </w:numPr>
        <w:spacing w:before="240" w:line="240" w:lineRule="auto"/>
        <w:jc w:val="both"/>
        <w:rPr>
          <w:rFonts w:ascii="ITC Avant Garde" w:eastAsia="Times New Roman" w:hAnsi="ITC Avant Garde" w:cs="Arial"/>
          <w:i/>
          <w:iCs/>
        </w:rPr>
      </w:pPr>
      <w:r w:rsidRPr="004C52B2">
        <w:rPr>
          <w:rFonts w:ascii="ITC Avant Garde" w:eastAsia="Times New Roman" w:hAnsi="ITC Avant Garde" w:cs="Arial"/>
          <w:i/>
          <w:iCs/>
        </w:rPr>
        <w:t>Servicios de larga distancia</w:t>
      </w:r>
    </w:p>
    <w:p w14:paraId="43008C51" w14:textId="77777777" w:rsidR="008369E9" w:rsidRDefault="00E00114" w:rsidP="008369E9">
      <w:pPr>
        <w:spacing w:before="240" w:line="240" w:lineRule="auto"/>
        <w:jc w:val="both"/>
        <w:rPr>
          <w:rFonts w:ascii="ITC Avant Garde" w:hAnsi="ITC Avant Garde" w:cs="Arial"/>
        </w:rPr>
      </w:pPr>
      <w:proofErr w:type="gramStart"/>
      <w:r w:rsidRPr="004C52B2">
        <w:rPr>
          <w:rFonts w:ascii="ITC Avant Garde" w:hAnsi="ITC Avant Garde" w:cs="Arial"/>
          <w:b/>
        </w:rPr>
        <w:t>TERCERO.-</w:t>
      </w:r>
      <w:proofErr w:type="gramEnd"/>
      <w:r w:rsidRPr="004C52B2">
        <w:rPr>
          <w:rFonts w:ascii="ITC Avant Garde" w:hAnsi="ITC Avant Garde" w:cs="Arial"/>
        </w:rPr>
        <w:t xml:space="preserve"> </w:t>
      </w:r>
      <w:r w:rsidR="00A715A7" w:rsidRPr="004C52B2">
        <w:rPr>
          <w:rFonts w:ascii="ITC Avant Garde" w:hAnsi="ITC Avant Garde" w:cs="Arial"/>
        </w:rPr>
        <w:t>Además del control tarifario al que se sujeta conforme a su título de concesión, e</w:t>
      </w:r>
      <w:r w:rsidR="002C64E0" w:rsidRPr="004C52B2">
        <w:rPr>
          <w:rFonts w:ascii="ITC Avant Garde" w:hAnsi="ITC Avant Garde" w:cs="Arial"/>
        </w:rPr>
        <w:t>l Agente Económico Preponderante</w:t>
      </w:r>
      <w:r w:rsidRPr="004C52B2">
        <w:rPr>
          <w:rFonts w:ascii="ITC Avant Garde" w:hAnsi="ITC Avant Garde" w:cs="Arial"/>
        </w:rPr>
        <w:t xml:space="preserve"> deberá aplicar una política tarifaria en la canasta de servicios de telecomunicaciones fijos del Resolutivo SEGUNDO, considerando el Factor de Ajuste por Productividad “X” de </w:t>
      </w:r>
      <w:r w:rsidR="004110AF" w:rsidRPr="00F17AE3">
        <w:rPr>
          <w:rFonts w:ascii="ITC Avant Garde" w:hAnsi="ITC Avant Garde" w:cs="Arial"/>
        </w:rPr>
        <w:t xml:space="preserve">0.91% </w:t>
      </w:r>
      <w:r w:rsidR="004110AF" w:rsidRPr="00F17AE3">
        <w:rPr>
          <w:rFonts w:ascii="ITC Avant Garde" w:hAnsi="ITC Avant Garde" w:cs="Arial"/>
          <w:color w:val="000000"/>
        </w:rPr>
        <w:t>(</w:t>
      </w:r>
      <w:r w:rsidR="0067666F" w:rsidRPr="00F17AE3">
        <w:rPr>
          <w:rFonts w:ascii="ITC Avant Garde" w:hAnsi="ITC Avant Garde" w:cs="Arial"/>
          <w:color w:val="000000"/>
        </w:rPr>
        <w:t>cero</w:t>
      </w:r>
      <w:r w:rsidR="004110AF" w:rsidRPr="00F17AE3">
        <w:rPr>
          <w:rFonts w:ascii="ITC Avant Garde" w:hAnsi="ITC Avant Garde" w:cs="Arial"/>
          <w:color w:val="000000"/>
        </w:rPr>
        <w:t xml:space="preserve"> punto </w:t>
      </w:r>
      <w:r w:rsidR="0067666F" w:rsidRPr="00F17AE3">
        <w:rPr>
          <w:rFonts w:ascii="ITC Avant Garde" w:hAnsi="ITC Avant Garde" w:cs="Arial"/>
          <w:color w:val="000000"/>
        </w:rPr>
        <w:t>noventa</w:t>
      </w:r>
      <w:r w:rsidR="004110AF" w:rsidRPr="00F17AE3">
        <w:rPr>
          <w:rFonts w:ascii="ITC Avant Garde" w:hAnsi="ITC Avant Garde" w:cs="Arial"/>
          <w:color w:val="000000"/>
        </w:rPr>
        <w:t xml:space="preserve"> y </w:t>
      </w:r>
      <w:r w:rsidR="0067666F" w:rsidRPr="00F17AE3">
        <w:rPr>
          <w:rFonts w:ascii="ITC Avant Garde" w:hAnsi="ITC Avant Garde" w:cs="Arial"/>
          <w:color w:val="000000"/>
        </w:rPr>
        <w:t>uno</w:t>
      </w:r>
      <w:r w:rsidR="004110AF" w:rsidRPr="00F17AE3">
        <w:rPr>
          <w:rFonts w:ascii="ITC Avant Garde" w:hAnsi="ITC Avant Garde" w:cs="Arial"/>
          <w:color w:val="000000"/>
        </w:rPr>
        <w:t xml:space="preserve"> por ciento)</w:t>
      </w:r>
      <w:r w:rsidR="000B627B" w:rsidRPr="004C52B2">
        <w:rPr>
          <w:rFonts w:ascii="ITC Avant Garde" w:hAnsi="ITC Avant Garde" w:cs="Arial"/>
          <w:color w:val="000000"/>
        </w:rPr>
        <w:t xml:space="preserve"> </w:t>
      </w:r>
      <w:r w:rsidRPr="004C52B2">
        <w:rPr>
          <w:rFonts w:ascii="ITC Avant Garde" w:hAnsi="ITC Avant Garde" w:cs="Arial"/>
        </w:rPr>
        <w:t xml:space="preserve">anual, </w:t>
      </w:r>
      <w:r w:rsidR="00D2226E" w:rsidRPr="004C52B2">
        <w:rPr>
          <w:rFonts w:ascii="ITC Avant Garde" w:hAnsi="ITC Avant Garde" w:cs="Arial"/>
        </w:rPr>
        <w:t>vigente</w:t>
      </w:r>
      <w:r w:rsidRPr="004C52B2">
        <w:rPr>
          <w:rFonts w:ascii="ITC Avant Garde" w:hAnsi="ITC Avant Garde" w:cs="Arial"/>
        </w:rPr>
        <w:t xml:space="preserve"> </w:t>
      </w:r>
      <w:r w:rsidR="00DD1447">
        <w:rPr>
          <w:rFonts w:ascii="ITC Avant Garde" w:hAnsi="ITC Avant Garde" w:cs="Arial"/>
        </w:rPr>
        <w:t>hasta e</w:t>
      </w:r>
      <w:r w:rsidR="0029045F" w:rsidRPr="004C52B2">
        <w:rPr>
          <w:rFonts w:ascii="ITC Avant Garde" w:hAnsi="ITC Avant Garde" w:cs="Arial"/>
        </w:rPr>
        <w:t>l 31 de diciembre de 2018</w:t>
      </w:r>
      <w:r w:rsidRPr="004C52B2">
        <w:rPr>
          <w:rFonts w:ascii="ITC Avant Garde" w:hAnsi="ITC Avant Garde" w:cs="Arial"/>
        </w:rPr>
        <w:t>.</w:t>
      </w:r>
    </w:p>
    <w:p w14:paraId="1CEDB51F" w14:textId="77777777" w:rsidR="008369E9" w:rsidRDefault="006C1C92" w:rsidP="008369E9">
      <w:pPr>
        <w:spacing w:before="240" w:line="240" w:lineRule="auto"/>
        <w:jc w:val="both"/>
        <w:rPr>
          <w:rFonts w:ascii="ITC Avant Garde" w:hAnsi="ITC Avant Garde" w:cs="Arial"/>
        </w:rPr>
      </w:pPr>
      <w:proofErr w:type="gramStart"/>
      <w:r>
        <w:rPr>
          <w:rFonts w:ascii="ITC Avant Garde" w:hAnsi="ITC Avant Garde" w:cs="Arial"/>
          <w:b/>
        </w:rPr>
        <w:t>CUARTO</w:t>
      </w:r>
      <w:r w:rsidR="00E00114" w:rsidRPr="004C52B2">
        <w:rPr>
          <w:rFonts w:ascii="ITC Avant Garde" w:hAnsi="ITC Avant Garde" w:cs="Arial"/>
          <w:b/>
        </w:rPr>
        <w:t>.-</w:t>
      </w:r>
      <w:proofErr w:type="gramEnd"/>
      <w:r w:rsidR="00583873" w:rsidRPr="004C52B2">
        <w:rPr>
          <w:rFonts w:ascii="ITC Avant Garde" w:hAnsi="ITC Avant Garde" w:cs="Arial"/>
          <w:b/>
        </w:rPr>
        <w:t xml:space="preserve"> </w:t>
      </w:r>
      <w:r w:rsidR="00583873" w:rsidRPr="004C52B2">
        <w:rPr>
          <w:rFonts w:ascii="ITC Avant Garde" w:hAnsi="ITC Avant Garde" w:cs="Arial"/>
        </w:rPr>
        <w:t>El Agente Económico Preponderante deberá presentar para aprobación del Instituto las tarifas propuestas que se ajusten al control tarifario,</w:t>
      </w:r>
      <w:r w:rsidR="00DD1447">
        <w:rPr>
          <w:rFonts w:ascii="ITC Avant Garde" w:hAnsi="ITC Avant Garde" w:cs="Arial"/>
        </w:rPr>
        <w:t xml:space="preserve"> dentro de un plazo de </w:t>
      </w:r>
      <w:r w:rsidR="00AC4290">
        <w:rPr>
          <w:rFonts w:ascii="ITC Avant Garde" w:hAnsi="ITC Avant Garde" w:cs="Arial"/>
        </w:rPr>
        <w:t>diez</w:t>
      </w:r>
      <w:r w:rsidR="00583873" w:rsidRPr="004C52B2">
        <w:rPr>
          <w:rFonts w:ascii="ITC Avant Garde" w:hAnsi="ITC Avant Garde" w:cs="Arial"/>
        </w:rPr>
        <w:t xml:space="preserve"> días hábiles posteriores a</w:t>
      </w:r>
      <w:r w:rsidR="00F17035" w:rsidRPr="004C52B2">
        <w:rPr>
          <w:rFonts w:ascii="ITC Avant Garde" w:hAnsi="ITC Avant Garde" w:cs="Arial"/>
        </w:rPr>
        <w:t xml:space="preserve"> que surta efectos</w:t>
      </w:r>
      <w:r w:rsidR="00583873" w:rsidRPr="004C52B2">
        <w:rPr>
          <w:rFonts w:ascii="ITC Avant Garde" w:hAnsi="ITC Avant Garde" w:cs="Arial"/>
        </w:rPr>
        <w:t xml:space="preserve"> la </w:t>
      </w:r>
      <w:r w:rsidR="00F17035" w:rsidRPr="004C52B2">
        <w:rPr>
          <w:rFonts w:ascii="ITC Avant Garde" w:hAnsi="ITC Avant Garde" w:cs="Arial"/>
        </w:rPr>
        <w:t>notificación</w:t>
      </w:r>
      <w:r w:rsidR="00583873" w:rsidRPr="004C52B2">
        <w:rPr>
          <w:rFonts w:ascii="ITC Avant Garde" w:hAnsi="ITC Avant Garde" w:cs="Arial"/>
        </w:rPr>
        <w:t xml:space="preserve"> de la presente resolución.</w:t>
      </w:r>
    </w:p>
    <w:p w14:paraId="47C98B4B" w14:textId="77777777" w:rsidR="008369E9" w:rsidRDefault="006C1C92" w:rsidP="008369E9">
      <w:pPr>
        <w:adjustRightInd w:val="0"/>
        <w:spacing w:before="240" w:line="240" w:lineRule="auto"/>
        <w:jc w:val="both"/>
        <w:rPr>
          <w:rFonts w:ascii="ITC Avant Garde" w:eastAsia="Times New Roman" w:hAnsi="ITC Avant Garde" w:cs="Arial"/>
          <w:color w:val="000000"/>
          <w:lang w:eastAsia="es-ES"/>
        </w:rPr>
      </w:pPr>
      <w:proofErr w:type="gramStart"/>
      <w:r>
        <w:rPr>
          <w:rFonts w:ascii="ITC Avant Garde" w:eastAsia="Times New Roman" w:hAnsi="ITC Avant Garde" w:cs="Arial"/>
          <w:b/>
          <w:color w:val="000000"/>
          <w:lang w:eastAsia="es-ES"/>
        </w:rPr>
        <w:t>QUINTO</w:t>
      </w:r>
      <w:r w:rsidR="000B18FC" w:rsidRPr="004C52B2">
        <w:rPr>
          <w:rFonts w:ascii="ITC Avant Garde" w:eastAsia="Times New Roman" w:hAnsi="ITC Avant Garde" w:cs="Arial"/>
          <w:b/>
          <w:color w:val="000000"/>
          <w:lang w:eastAsia="es-ES"/>
        </w:rPr>
        <w:t>.-</w:t>
      </w:r>
      <w:proofErr w:type="gramEnd"/>
      <w:r w:rsidR="000B18FC" w:rsidRPr="004C52B2">
        <w:rPr>
          <w:rFonts w:ascii="ITC Avant Garde" w:eastAsia="Times New Roman" w:hAnsi="ITC Avant Garde" w:cs="Arial"/>
          <w:color w:val="000000"/>
          <w:lang w:eastAsia="es-ES"/>
        </w:rPr>
        <w:t xml:space="preserve"> Notifíquese a Teléfonos de México, S.A.B. de C.V. y </w:t>
      </w:r>
      <w:r w:rsidR="000B18FC" w:rsidRPr="004C52B2">
        <w:rPr>
          <w:rFonts w:ascii="ITC Avant Garde" w:hAnsi="ITC Avant Garde" w:cs="Arial"/>
          <w:color w:val="000000"/>
        </w:rPr>
        <w:t>a Teléfonos del Noroeste S.A. de C.V.</w:t>
      </w:r>
    </w:p>
    <w:p w14:paraId="4CFF3BBA" w14:textId="664A3469" w:rsidR="008369E9" w:rsidRDefault="00664C6C" w:rsidP="00664C6C">
      <w:pPr>
        <w:pStyle w:val="Prrafodelista"/>
        <w:spacing w:after="0" w:line="240" w:lineRule="auto"/>
        <w:ind w:left="0"/>
        <w:jc w:val="both"/>
        <w:rPr>
          <w:rFonts w:ascii="ITC Avant Garde" w:hAnsi="ITC Avant Garde"/>
          <w:sz w:val="13"/>
          <w:szCs w:val="13"/>
        </w:rPr>
      </w:pPr>
      <w:r w:rsidRPr="00664C6C">
        <w:rPr>
          <w:rFonts w:ascii="ITC Avant Garde" w:hAnsi="ITC Avant Garde"/>
          <w:sz w:val="13"/>
          <w:szCs w:val="13"/>
        </w:rPr>
        <w:t xml:space="preserve">La presente Resolución fue aprobada por el Pleno del Instituto Federal de Telecomunicaciones en su XV Sesión Ordinaria celebrada el 26 de abril de 2017, </w:t>
      </w:r>
      <w:r w:rsidRPr="00664C6C">
        <w:rPr>
          <w:rFonts w:ascii="ITC Avant Garde" w:hAnsi="ITC Avant Garde"/>
          <w:bCs/>
          <w:sz w:val="13"/>
          <w:szCs w:val="13"/>
        </w:rPr>
        <w:t>por unanimidad</w:t>
      </w:r>
      <w:r w:rsidRPr="00664C6C">
        <w:rPr>
          <w:rFonts w:ascii="ITC Avant Garde" w:hAnsi="ITC Avant Garde"/>
          <w:sz w:val="13"/>
          <w:szCs w:val="13"/>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P/IFT/260417/191.</w:t>
      </w:r>
    </w:p>
    <w:p w14:paraId="7257B178" w14:textId="06BE48E5" w:rsidR="00317947" w:rsidRPr="00664C6C" w:rsidRDefault="00664C6C" w:rsidP="00664C6C">
      <w:pPr>
        <w:spacing w:line="240" w:lineRule="auto"/>
        <w:jc w:val="both"/>
        <w:rPr>
          <w:rFonts w:ascii="ITC Avant Garde" w:eastAsia="Times New Roman" w:hAnsi="ITC Avant Garde" w:cs="Arial"/>
          <w:sz w:val="13"/>
          <w:szCs w:val="13"/>
          <w:lang w:eastAsia="es-ES"/>
        </w:rPr>
      </w:pPr>
      <w:r w:rsidRPr="00664C6C">
        <w:rPr>
          <w:rFonts w:ascii="ITC Avant Garde" w:hAnsi="ITC Avant Garde"/>
          <w:sz w:val="13"/>
          <w:szCs w:val="13"/>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317947" w:rsidRPr="00664C6C" w:rsidSect="00E00114">
      <w:headerReference w:type="default" r:id="rId23"/>
      <w:pgSz w:w="12240" w:h="15840"/>
      <w:pgMar w:top="237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D80DF" w14:textId="77777777" w:rsidR="006A4E00" w:rsidRDefault="006A4E00">
      <w:pPr>
        <w:spacing w:after="0" w:line="240" w:lineRule="auto"/>
      </w:pPr>
      <w:r>
        <w:separator/>
      </w:r>
    </w:p>
  </w:endnote>
  <w:endnote w:type="continuationSeparator" w:id="0">
    <w:p w14:paraId="6F430F2F" w14:textId="77777777" w:rsidR="006A4E00" w:rsidRDefault="006A4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ACED3" w14:textId="77777777" w:rsidR="006A4E00" w:rsidRDefault="006A4E00">
      <w:pPr>
        <w:spacing w:after="0" w:line="240" w:lineRule="auto"/>
      </w:pPr>
      <w:r>
        <w:separator/>
      </w:r>
    </w:p>
  </w:footnote>
  <w:footnote w:type="continuationSeparator" w:id="0">
    <w:p w14:paraId="39053D1F" w14:textId="77777777" w:rsidR="006A4E00" w:rsidRDefault="006A4E00">
      <w:pPr>
        <w:spacing w:after="0" w:line="240" w:lineRule="auto"/>
      </w:pPr>
      <w:r>
        <w:continuationSeparator/>
      </w:r>
    </w:p>
  </w:footnote>
  <w:footnote w:id="1">
    <w:p w14:paraId="08D98976" w14:textId="77777777" w:rsidR="000D1D86" w:rsidRPr="00CA6E79" w:rsidRDefault="000D1D86" w:rsidP="00CA6E79">
      <w:pPr>
        <w:adjustRightInd w:val="0"/>
        <w:spacing w:after="0" w:line="240" w:lineRule="auto"/>
        <w:jc w:val="both"/>
        <w:rPr>
          <w:sz w:val="20"/>
          <w:szCs w:val="20"/>
          <w:lang w:val="en-US"/>
        </w:rPr>
      </w:pPr>
      <w:r w:rsidRPr="00F17AE3">
        <w:rPr>
          <w:rFonts w:ascii="ITC Avant Garde" w:eastAsia="Times New Roman" w:hAnsi="ITC Avant Garde" w:cs="Arial"/>
          <w:bCs/>
          <w:sz w:val="16"/>
          <w:szCs w:val="20"/>
          <w:vertAlign w:val="superscript"/>
          <w:lang w:val="es-ES_tradnl" w:eastAsia="es-ES"/>
        </w:rPr>
        <w:footnoteRef/>
      </w:r>
      <w:r w:rsidRPr="002A00BA">
        <w:rPr>
          <w:rFonts w:ascii="ITC Avant Garde" w:eastAsia="Times New Roman" w:hAnsi="ITC Avant Garde" w:cs="Arial"/>
          <w:bCs/>
          <w:sz w:val="16"/>
          <w:szCs w:val="20"/>
          <w:lang w:val="en-US" w:eastAsia="es-ES"/>
        </w:rPr>
        <w:t xml:space="preserve"> Bernstein, J. and Sappington, D. (2000) "How to determine the X in RPI - X regulation: A user’s guide", Telecommunications Policy, 24:63-68.</w:t>
      </w:r>
    </w:p>
  </w:footnote>
  <w:footnote w:id="2">
    <w:p w14:paraId="7F3D3C3B" w14:textId="77777777" w:rsidR="000D1D86" w:rsidRDefault="000D1D86" w:rsidP="00F27F83">
      <w:pPr>
        <w:pStyle w:val="Textonotapie"/>
        <w:jc w:val="both"/>
        <w:rPr>
          <w:rFonts w:ascii="ITC Avant Garde" w:eastAsia="Times New Roman" w:hAnsi="ITC Avant Garde" w:cs="Arial"/>
          <w:bCs/>
          <w:sz w:val="16"/>
          <w:szCs w:val="16"/>
          <w:lang w:val="es-ES_tradnl" w:eastAsia="es-ES"/>
        </w:rPr>
      </w:pPr>
      <w:r w:rsidRPr="00F27F83">
        <w:rPr>
          <w:rStyle w:val="Refdenotaalpie"/>
          <w:rFonts w:ascii="ITC Avant Garde" w:hAnsi="ITC Avant Garde"/>
        </w:rPr>
        <w:footnoteRef/>
      </w:r>
      <w:r>
        <w:t xml:space="preserve"> </w:t>
      </w:r>
      <w:r>
        <w:rPr>
          <w:rFonts w:ascii="ITC Avant Garde" w:eastAsia="Times New Roman" w:hAnsi="ITC Avant Garde" w:cs="Arial"/>
          <w:bCs/>
          <w:sz w:val="16"/>
          <w:szCs w:val="16"/>
          <w:lang w:val="es-ES_tradnl" w:eastAsia="es-ES"/>
        </w:rPr>
        <w:t xml:space="preserve">Con la finalidad de aclarar la fórmula utilizada por Telmex, se señala que w se refiere a la </w:t>
      </w:r>
      <w:r w:rsidRPr="008C661B">
        <w:rPr>
          <w:rFonts w:ascii="ITC Avant Garde" w:eastAsia="Times New Roman" w:hAnsi="ITC Avant Garde" w:cs="Arial"/>
          <w:bCs/>
          <w:sz w:val="16"/>
          <w:szCs w:val="16"/>
          <w:lang w:val="es-ES_tradnl" w:eastAsia="es-ES"/>
        </w:rPr>
        <w:t>ponderació</w:t>
      </w:r>
      <w:r>
        <w:rPr>
          <w:rFonts w:ascii="ITC Avant Garde" w:eastAsia="Times New Roman" w:hAnsi="ITC Avant Garde" w:cs="Arial"/>
          <w:bCs/>
          <w:sz w:val="16"/>
          <w:szCs w:val="16"/>
          <w:lang w:val="es-ES_tradnl" w:eastAsia="es-ES"/>
        </w:rPr>
        <w:t xml:space="preserve">n de uno de los productos o servicios de Telmex, tomando en consideración su peso relativo en </w:t>
      </w:r>
      <w:r w:rsidRPr="008C661B">
        <w:rPr>
          <w:rFonts w:ascii="ITC Avant Garde" w:eastAsia="Times New Roman" w:hAnsi="ITC Avant Garde" w:cs="Arial"/>
          <w:bCs/>
          <w:sz w:val="16"/>
          <w:szCs w:val="16"/>
          <w:lang w:val="es-ES_tradnl" w:eastAsia="es-ES"/>
        </w:rPr>
        <w:t xml:space="preserve">los ingresos </w:t>
      </w:r>
      <w:r>
        <w:rPr>
          <w:rFonts w:ascii="ITC Avant Garde" w:eastAsia="Times New Roman" w:hAnsi="ITC Avant Garde" w:cs="Arial"/>
          <w:bCs/>
          <w:sz w:val="16"/>
          <w:szCs w:val="16"/>
          <w:lang w:val="es-ES_tradnl" w:eastAsia="es-ES"/>
        </w:rPr>
        <w:t xml:space="preserve">generados por </w:t>
      </w:r>
      <w:r w:rsidRPr="008C661B">
        <w:rPr>
          <w:rFonts w:ascii="ITC Avant Garde" w:eastAsia="Times New Roman" w:hAnsi="ITC Avant Garde" w:cs="Arial"/>
          <w:bCs/>
          <w:sz w:val="16"/>
          <w:szCs w:val="16"/>
          <w:lang w:val="es-ES_tradnl" w:eastAsia="es-ES"/>
        </w:rPr>
        <w:t xml:space="preserve">todos los productos </w:t>
      </w:r>
      <w:r>
        <w:rPr>
          <w:rFonts w:ascii="ITC Avant Garde" w:eastAsia="Times New Roman" w:hAnsi="ITC Avant Garde" w:cs="Arial"/>
          <w:bCs/>
          <w:sz w:val="16"/>
          <w:szCs w:val="16"/>
          <w:lang w:val="es-ES_tradnl" w:eastAsia="es-ES"/>
        </w:rPr>
        <w:t xml:space="preserve">o servicios </w:t>
      </w:r>
      <w:r w:rsidRPr="008C661B">
        <w:rPr>
          <w:rFonts w:ascii="ITC Avant Garde" w:eastAsia="Times New Roman" w:hAnsi="ITC Avant Garde" w:cs="Arial"/>
          <w:bCs/>
          <w:sz w:val="16"/>
          <w:szCs w:val="16"/>
          <w:lang w:val="es-ES_tradnl" w:eastAsia="es-ES"/>
        </w:rPr>
        <w:t xml:space="preserve">de </w:t>
      </w:r>
      <w:r>
        <w:rPr>
          <w:rFonts w:ascii="ITC Avant Garde" w:eastAsia="Times New Roman" w:hAnsi="ITC Avant Garde" w:cs="Arial"/>
          <w:bCs/>
          <w:sz w:val="16"/>
          <w:szCs w:val="16"/>
          <w:lang w:val="es-ES_tradnl" w:eastAsia="es-ES"/>
        </w:rPr>
        <w:t xml:space="preserve">Telmex, </w:t>
      </w:r>
      <w:r w:rsidRPr="008C661B">
        <w:rPr>
          <w:rFonts w:ascii="ITC Avant Garde" w:eastAsia="Times New Roman" w:hAnsi="ITC Avant Garde" w:cs="Arial"/>
          <w:bCs/>
          <w:sz w:val="16"/>
          <w:szCs w:val="16"/>
          <w:lang w:val="es-ES_tradnl" w:eastAsia="es-ES"/>
        </w:rPr>
        <w:t>para un periodo en particular.</w:t>
      </w:r>
      <w:r>
        <w:rPr>
          <w:rFonts w:ascii="ITC Avant Garde" w:eastAsia="Times New Roman" w:hAnsi="ITC Avant Garde" w:cs="Arial"/>
          <w:bCs/>
          <w:sz w:val="16"/>
          <w:szCs w:val="16"/>
          <w:lang w:val="es-ES_tradnl" w:eastAsia="es-ES"/>
        </w:rPr>
        <w:t xml:space="preserve"> En ese sentido, se calcula mediante la siguiente expresión:</w:t>
      </w:r>
    </w:p>
    <w:p w14:paraId="6B3CAB93" w14:textId="77777777" w:rsidR="000D1D86" w:rsidRPr="006D023B" w:rsidRDefault="006A4E00" w:rsidP="00F27F83">
      <w:pPr>
        <w:pStyle w:val="Textonotapie"/>
        <w:jc w:val="both"/>
        <w:rPr>
          <w:rFonts w:ascii="ITC Avant Garde" w:eastAsia="Times New Roman" w:hAnsi="ITC Avant Garde" w:cs="Arial"/>
          <w:bCs/>
          <w:iCs/>
          <w:sz w:val="16"/>
          <w:szCs w:val="16"/>
          <w:lang w:val="es-ES_tradnl" w:eastAsia="es-ES"/>
        </w:rPr>
      </w:pPr>
      <m:oMathPara>
        <m:oMath>
          <m:sSub>
            <m:sSubPr>
              <m:ctrlPr>
                <w:rPr>
                  <w:rFonts w:ascii="Cambria Math" w:eastAsia="Times New Roman" w:hAnsi="Cambria Math" w:cs="Arial"/>
                  <w:bCs/>
                  <w:i/>
                  <w:iCs/>
                  <w:sz w:val="16"/>
                  <w:szCs w:val="16"/>
                  <w:lang w:val="es-ES_tradnl" w:eastAsia="es-ES"/>
                </w:rPr>
              </m:ctrlPr>
            </m:sSubPr>
            <m:e>
              <m:r>
                <w:rPr>
                  <w:rFonts w:ascii="Cambria Math" w:eastAsia="Times New Roman" w:hAnsi="Cambria Math" w:cs="Arial"/>
                  <w:sz w:val="16"/>
                  <w:szCs w:val="16"/>
                  <w:lang w:val="es-ES_tradnl" w:eastAsia="es-ES"/>
                </w:rPr>
                <m:t>w</m:t>
              </m:r>
            </m:e>
            <m:sub>
              <m:r>
                <w:rPr>
                  <w:rFonts w:ascii="Cambria Math" w:eastAsia="Times New Roman" w:hAnsi="Cambria Math" w:cs="Arial"/>
                  <w:sz w:val="16"/>
                  <w:szCs w:val="16"/>
                  <w:lang w:val="es-ES_tradnl" w:eastAsia="es-ES"/>
                </w:rPr>
                <m:t>t,j</m:t>
              </m:r>
            </m:sub>
          </m:sSub>
          <m:r>
            <w:rPr>
              <w:rFonts w:ascii="Cambria Math" w:eastAsia="Times New Roman" w:hAnsi="Cambria Math" w:cs="Arial"/>
              <w:sz w:val="16"/>
              <w:szCs w:val="16"/>
              <w:lang w:val="es-ES_tradnl" w:eastAsia="es-ES"/>
            </w:rPr>
            <m:t>=</m:t>
          </m:r>
          <m:f>
            <m:fPr>
              <m:ctrlPr>
                <w:rPr>
                  <w:rFonts w:ascii="Cambria Math" w:eastAsia="Times New Roman" w:hAnsi="Cambria Math" w:cs="Arial"/>
                  <w:bCs/>
                  <w:i/>
                  <w:iCs/>
                  <w:sz w:val="16"/>
                  <w:szCs w:val="16"/>
                  <w:lang w:val="es-ES_tradnl" w:eastAsia="es-ES"/>
                </w:rPr>
              </m:ctrlPr>
            </m:fPr>
            <m:num>
              <m:sSub>
                <m:sSubPr>
                  <m:ctrlPr>
                    <w:rPr>
                      <w:rFonts w:ascii="Cambria Math" w:eastAsia="Times New Roman" w:hAnsi="Cambria Math" w:cs="Arial"/>
                      <w:bCs/>
                      <w:i/>
                      <w:iCs/>
                      <w:sz w:val="16"/>
                      <w:szCs w:val="16"/>
                      <w:lang w:val="es-ES_tradnl" w:eastAsia="es-ES"/>
                    </w:rPr>
                  </m:ctrlPr>
                </m:sSubPr>
                <m:e>
                  <m:r>
                    <w:rPr>
                      <w:rFonts w:ascii="Cambria Math" w:eastAsia="Times New Roman" w:hAnsi="Cambria Math" w:cs="Arial"/>
                      <w:sz w:val="16"/>
                      <w:szCs w:val="16"/>
                      <w:lang w:val="es-ES_tradnl" w:eastAsia="es-ES"/>
                    </w:rPr>
                    <m:t>P</m:t>
                  </m:r>
                </m:e>
                <m:sub>
                  <m:r>
                    <w:rPr>
                      <w:rFonts w:ascii="Cambria Math" w:eastAsia="Times New Roman" w:hAnsi="Cambria Math" w:cs="Arial"/>
                      <w:sz w:val="16"/>
                      <w:szCs w:val="16"/>
                      <w:lang w:val="es-ES_tradnl" w:eastAsia="es-ES"/>
                    </w:rPr>
                    <m:t>t,j</m:t>
                  </m:r>
                </m:sub>
              </m:sSub>
              <m:r>
                <w:rPr>
                  <w:rFonts w:ascii="Cambria Math" w:eastAsia="Times New Roman" w:hAnsi="Cambria Math" w:cs="Arial"/>
                  <w:sz w:val="16"/>
                  <w:szCs w:val="16"/>
                  <w:lang w:val="es-ES_tradnl" w:eastAsia="es-ES"/>
                </w:rPr>
                <m:t>∙</m:t>
              </m:r>
              <m:sSub>
                <m:sSubPr>
                  <m:ctrlPr>
                    <w:rPr>
                      <w:rFonts w:ascii="Cambria Math" w:eastAsia="Times New Roman" w:hAnsi="Cambria Math" w:cs="Arial"/>
                      <w:bCs/>
                      <w:i/>
                      <w:iCs/>
                      <w:sz w:val="16"/>
                      <w:szCs w:val="16"/>
                      <w:lang w:val="es-ES_tradnl" w:eastAsia="es-ES"/>
                    </w:rPr>
                  </m:ctrlPr>
                </m:sSubPr>
                <m:e>
                  <m:r>
                    <w:rPr>
                      <w:rFonts w:ascii="Cambria Math" w:eastAsia="Times New Roman" w:hAnsi="Cambria Math" w:cs="Arial"/>
                      <w:sz w:val="16"/>
                      <w:szCs w:val="16"/>
                      <w:lang w:val="es-ES_tradnl" w:eastAsia="es-ES"/>
                    </w:rPr>
                    <m:t>Q</m:t>
                  </m:r>
                </m:e>
                <m:sub>
                  <m:r>
                    <w:rPr>
                      <w:rFonts w:ascii="Cambria Math" w:eastAsia="Times New Roman" w:hAnsi="Cambria Math" w:cs="Arial"/>
                      <w:sz w:val="16"/>
                      <w:szCs w:val="16"/>
                      <w:lang w:val="es-ES_tradnl" w:eastAsia="es-ES"/>
                    </w:rPr>
                    <m:t>t,j</m:t>
                  </m:r>
                </m:sub>
              </m:sSub>
            </m:num>
            <m:den>
              <m:nary>
                <m:naryPr>
                  <m:chr m:val="∑"/>
                  <m:limLoc m:val="undOvr"/>
                  <m:ctrlPr>
                    <w:rPr>
                      <w:rFonts w:ascii="Cambria Math" w:eastAsia="Times New Roman" w:hAnsi="Cambria Math" w:cs="Arial"/>
                      <w:bCs/>
                      <w:i/>
                      <w:iCs/>
                      <w:sz w:val="16"/>
                      <w:szCs w:val="16"/>
                      <w:lang w:val="es-ES_tradnl" w:eastAsia="es-ES"/>
                    </w:rPr>
                  </m:ctrlPr>
                </m:naryPr>
                <m:sub>
                  <m:r>
                    <w:rPr>
                      <w:rFonts w:ascii="Cambria Math" w:eastAsia="Times New Roman" w:hAnsi="Cambria Math" w:cs="Arial"/>
                      <w:sz w:val="16"/>
                      <w:szCs w:val="16"/>
                      <w:lang w:val="es-ES_tradnl" w:eastAsia="es-ES"/>
                    </w:rPr>
                    <m:t>j=1</m:t>
                  </m:r>
                </m:sub>
                <m:sup>
                  <m:r>
                    <w:rPr>
                      <w:rFonts w:ascii="Cambria Math" w:eastAsia="Times New Roman" w:hAnsi="Cambria Math" w:cs="Arial"/>
                      <w:sz w:val="16"/>
                      <w:szCs w:val="16"/>
                      <w:lang w:val="es-ES_tradnl" w:eastAsia="es-ES"/>
                    </w:rPr>
                    <m:t>n</m:t>
                  </m:r>
                </m:sup>
                <m:e>
                  <m:sSub>
                    <m:sSubPr>
                      <m:ctrlPr>
                        <w:rPr>
                          <w:rFonts w:ascii="Cambria Math" w:eastAsia="Times New Roman" w:hAnsi="Cambria Math" w:cs="Arial"/>
                          <w:bCs/>
                          <w:i/>
                          <w:iCs/>
                          <w:sz w:val="16"/>
                          <w:szCs w:val="16"/>
                          <w:lang w:val="es-ES_tradnl" w:eastAsia="es-ES"/>
                        </w:rPr>
                      </m:ctrlPr>
                    </m:sSubPr>
                    <m:e>
                      <m:r>
                        <w:rPr>
                          <w:rFonts w:ascii="Cambria Math" w:eastAsia="Times New Roman" w:hAnsi="Cambria Math" w:cs="Arial"/>
                          <w:sz w:val="16"/>
                          <w:szCs w:val="16"/>
                          <w:lang w:val="es-ES_tradnl" w:eastAsia="es-ES"/>
                        </w:rPr>
                        <m:t>P</m:t>
                      </m:r>
                    </m:e>
                    <m:sub>
                      <m:r>
                        <w:rPr>
                          <w:rFonts w:ascii="Cambria Math" w:eastAsia="Times New Roman" w:hAnsi="Cambria Math" w:cs="Arial"/>
                          <w:sz w:val="16"/>
                          <w:szCs w:val="16"/>
                          <w:lang w:val="es-ES_tradnl" w:eastAsia="es-ES"/>
                        </w:rPr>
                        <m:t>t,j</m:t>
                      </m:r>
                    </m:sub>
                  </m:sSub>
                  <m:r>
                    <w:rPr>
                      <w:rFonts w:ascii="Cambria Math" w:eastAsia="Times New Roman" w:hAnsi="Cambria Math" w:cs="Arial"/>
                      <w:sz w:val="16"/>
                      <w:szCs w:val="16"/>
                      <w:lang w:val="es-ES_tradnl" w:eastAsia="es-ES"/>
                    </w:rPr>
                    <m:t>∙</m:t>
                  </m:r>
                  <m:sSub>
                    <m:sSubPr>
                      <m:ctrlPr>
                        <w:rPr>
                          <w:rFonts w:ascii="Cambria Math" w:eastAsia="Times New Roman" w:hAnsi="Cambria Math" w:cs="Arial"/>
                          <w:bCs/>
                          <w:i/>
                          <w:iCs/>
                          <w:sz w:val="16"/>
                          <w:szCs w:val="16"/>
                          <w:lang w:val="es-ES_tradnl" w:eastAsia="es-ES"/>
                        </w:rPr>
                      </m:ctrlPr>
                    </m:sSubPr>
                    <m:e>
                      <m:r>
                        <w:rPr>
                          <w:rFonts w:ascii="Cambria Math" w:eastAsia="Times New Roman" w:hAnsi="Cambria Math" w:cs="Arial"/>
                          <w:sz w:val="16"/>
                          <w:szCs w:val="16"/>
                          <w:lang w:val="es-ES_tradnl" w:eastAsia="es-ES"/>
                        </w:rPr>
                        <m:t>Q</m:t>
                      </m:r>
                    </m:e>
                    <m:sub>
                      <m:r>
                        <w:rPr>
                          <w:rFonts w:ascii="Cambria Math" w:eastAsia="Times New Roman" w:hAnsi="Cambria Math" w:cs="Arial"/>
                          <w:sz w:val="16"/>
                          <w:szCs w:val="16"/>
                          <w:lang w:val="es-ES_tradnl" w:eastAsia="es-ES"/>
                        </w:rPr>
                        <m:t>t,j</m:t>
                      </m:r>
                    </m:sub>
                  </m:sSub>
                </m:e>
              </m:nary>
            </m:den>
          </m:f>
        </m:oMath>
      </m:oMathPara>
    </w:p>
    <w:p w14:paraId="7FBE5CCC" w14:textId="118F2842" w:rsidR="000D1D86" w:rsidRDefault="000D1D86" w:rsidP="006B4354">
      <w:pPr>
        <w:pStyle w:val="Textonotapie"/>
        <w:jc w:val="both"/>
      </w:pPr>
      <w:proofErr w:type="spellStart"/>
      <w:r>
        <w:rPr>
          <w:rFonts w:ascii="ITC Avant Garde" w:eastAsia="Times New Roman" w:hAnsi="ITC Avant Garde" w:cs="Arial"/>
          <w:bCs/>
          <w:iCs/>
          <w:sz w:val="16"/>
          <w:szCs w:val="22"/>
          <w:lang w:val="es-ES_tradnl" w:eastAsia="es-ES"/>
        </w:rPr>
        <w:t>Donde</w:t>
      </w:r>
      <w:proofErr w:type="spellEnd"/>
      <w:r>
        <w:rPr>
          <w:rFonts w:ascii="ITC Avant Garde" w:eastAsia="Times New Roman" w:hAnsi="ITC Avant Garde" w:cs="Arial"/>
          <w:bCs/>
          <w:iCs/>
          <w:sz w:val="16"/>
          <w:szCs w:val="22"/>
          <w:lang w:val="es-ES_tradnl" w:eastAsia="es-ES"/>
        </w:rPr>
        <w:t xml:space="preserve">: </w:t>
      </w:r>
      <w:r>
        <w:rPr>
          <w:rFonts w:ascii="ITC Avant Garde" w:eastAsia="Times New Roman" w:hAnsi="ITC Avant Garde" w:cs="Arial"/>
          <w:bCs/>
          <w:iCs/>
          <w:sz w:val="16"/>
          <w:szCs w:val="16"/>
          <w:lang w:val="es-ES_tradnl" w:eastAsia="es-ES"/>
        </w:rPr>
        <w:t xml:space="preserve">el numerador </w:t>
      </w:r>
      <m:oMath>
        <m:sSub>
          <m:sSubPr>
            <m:ctrlPr>
              <w:rPr>
                <w:rFonts w:ascii="Cambria Math" w:eastAsia="Times New Roman" w:hAnsi="Cambria Math" w:cs="Arial"/>
                <w:bCs/>
                <w:i/>
                <w:iCs/>
                <w:sz w:val="16"/>
                <w:szCs w:val="16"/>
                <w:lang w:val="es-ES_tradnl" w:eastAsia="es-ES"/>
              </w:rPr>
            </m:ctrlPr>
          </m:sSubPr>
          <m:e>
            <m:r>
              <w:rPr>
                <w:rFonts w:ascii="Cambria Math" w:eastAsia="Times New Roman" w:hAnsi="Cambria Math" w:cs="Arial"/>
                <w:sz w:val="16"/>
                <w:szCs w:val="16"/>
                <w:lang w:val="es-ES_tradnl" w:eastAsia="es-ES"/>
              </w:rPr>
              <m:t>P</m:t>
            </m:r>
          </m:e>
          <m:sub>
            <m:r>
              <w:rPr>
                <w:rFonts w:ascii="Cambria Math" w:eastAsia="Times New Roman" w:hAnsi="Cambria Math" w:cs="Arial"/>
                <w:sz w:val="16"/>
                <w:szCs w:val="16"/>
                <w:lang w:val="es-ES_tradnl" w:eastAsia="es-ES"/>
              </w:rPr>
              <m:t>t,j</m:t>
            </m:r>
          </m:sub>
        </m:sSub>
        <m:r>
          <w:rPr>
            <w:rFonts w:ascii="Cambria Math" w:eastAsia="Times New Roman" w:hAnsi="Cambria Math" w:cs="Arial"/>
            <w:sz w:val="16"/>
            <w:szCs w:val="16"/>
            <w:lang w:val="es-ES_tradnl" w:eastAsia="es-ES"/>
          </w:rPr>
          <m:t>∙</m:t>
        </m:r>
        <m:sSub>
          <m:sSubPr>
            <m:ctrlPr>
              <w:rPr>
                <w:rFonts w:ascii="Cambria Math" w:eastAsia="Times New Roman" w:hAnsi="Cambria Math" w:cs="Arial"/>
                <w:bCs/>
                <w:i/>
                <w:iCs/>
                <w:sz w:val="16"/>
                <w:szCs w:val="16"/>
                <w:lang w:val="es-ES_tradnl" w:eastAsia="es-ES"/>
              </w:rPr>
            </m:ctrlPr>
          </m:sSubPr>
          <m:e>
            <m:r>
              <w:rPr>
                <w:rFonts w:ascii="Cambria Math" w:eastAsia="Times New Roman" w:hAnsi="Cambria Math" w:cs="Arial"/>
                <w:sz w:val="16"/>
                <w:szCs w:val="16"/>
                <w:lang w:val="es-ES_tradnl" w:eastAsia="es-ES"/>
              </w:rPr>
              <m:t>Q</m:t>
            </m:r>
          </m:e>
          <m:sub>
            <m:r>
              <w:rPr>
                <w:rFonts w:ascii="Cambria Math" w:eastAsia="Times New Roman" w:hAnsi="Cambria Math" w:cs="Arial"/>
                <w:sz w:val="16"/>
                <w:szCs w:val="16"/>
                <w:lang w:val="es-ES_tradnl" w:eastAsia="es-ES"/>
              </w:rPr>
              <m:t>t,j</m:t>
            </m:r>
          </m:sub>
        </m:sSub>
      </m:oMath>
      <w:r>
        <w:rPr>
          <w:rFonts w:ascii="ITC Avant Garde" w:eastAsia="Times New Roman" w:hAnsi="ITC Avant Garde" w:cs="Arial"/>
          <w:bCs/>
          <w:iCs/>
          <w:sz w:val="16"/>
          <w:szCs w:val="16"/>
          <w:lang w:val="es-ES_tradnl" w:eastAsia="es-ES"/>
        </w:rPr>
        <w:t xml:space="preserve"> corresponde al </w:t>
      </w:r>
      <w:r w:rsidRPr="007A520B">
        <w:rPr>
          <w:rFonts w:ascii="ITC Avant Garde" w:eastAsia="Times New Roman" w:hAnsi="ITC Avant Garde" w:cs="Arial"/>
          <w:bCs/>
          <w:sz w:val="16"/>
          <w:szCs w:val="16"/>
          <w:lang w:val="es-ES_tradnl" w:eastAsia="es-ES"/>
        </w:rPr>
        <w:t xml:space="preserve">ingreso generado del producto </w:t>
      </w:r>
      <w:r w:rsidRPr="00F27F83">
        <w:rPr>
          <w:rFonts w:ascii="ITC Avant Garde" w:eastAsia="Times New Roman" w:hAnsi="ITC Avant Garde" w:cs="Arial"/>
          <w:bCs/>
          <w:i/>
          <w:sz w:val="16"/>
          <w:szCs w:val="16"/>
          <w:lang w:val="es-ES_tradnl" w:eastAsia="es-ES"/>
        </w:rPr>
        <w:t>j</w:t>
      </w:r>
      <w:r>
        <w:rPr>
          <w:rFonts w:ascii="ITC Avant Garde" w:eastAsia="Times New Roman" w:hAnsi="ITC Avant Garde" w:cs="Arial"/>
          <w:bCs/>
          <w:sz w:val="16"/>
          <w:szCs w:val="16"/>
          <w:lang w:val="es-ES_tradnl" w:eastAsia="es-ES"/>
        </w:rPr>
        <w:t xml:space="preserve"> en el periodo </w:t>
      </w:r>
      <m:oMath>
        <m:r>
          <w:rPr>
            <w:rFonts w:ascii="Cambria Math" w:eastAsia="Times New Roman" w:hAnsi="Cambria Math" w:cs="Arial"/>
            <w:sz w:val="18"/>
            <w:szCs w:val="18"/>
            <w:lang w:val="es-ES_tradnl" w:eastAsia="es-ES"/>
          </w:rPr>
          <m:t>t</m:t>
        </m:r>
      </m:oMath>
      <w:r>
        <w:rPr>
          <w:rFonts w:ascii="ITC Avant Garde" w:eastAsia="Times New Roman" w:hAnsi="ITC Avant Garde" w:cs="Arial"/>
          <w:sz w:val="18"/>
          <w:szCs w:val="18"/>
          <w:lang w:val="es-ES_tradnl" w:eastAsia="es-ES"/>
        </w:rPr>
        <w:t xml:space="preserve"> </w:t>
      </w:r>
      <w:r w:rsidRPr="00F27F83">
        <w:rPr>
          <w:rFonts w:ascii="ITC Avant Garde" w:eastAsia="Times New Roman" w:hAnsi="ITC Avant Garde" w:cs="Arial"/>
          <w:bCs/>
          <w:sz w:val="16"/>
          <w:szCs w:val="16"/>
          <w:lang w:val="es-ES_tradnl" w:eastAsia="es-ES"/>
        </w:rPr>
        <w:t>y el denominador</w:t>
      </w:r>
      <w:r>
        <w:rPr>
          <w:rFonts w:ascii="ITC Avant Garde" w:eastAsia="Times New Roman" w:hAnsi="ITC Avant Garde" w:cs="Arial"/>
          <w:sz w:val="18"/>
          <w:szCs w:val="18"/>
          <w:lang w:val="es-ES_tradnl" w:eastAsia="es-ES"/>
        </w:rPr>
        <w:t xml:space="preserve"> </w:t>
      </w:r>
      <m:oMath>
        <m:nary>
          <m:naryPr>
            <m:chr m:val="∑"/>
            <m:limLoc m:val="undOvr"/>
            <m:ctrlPr>
              <w:rPr>
                <w:rFonts w:ascii="Cambria Math" w:eastAsia="Times New Roman" w:hAnsi="Cambria Math" w:cs="Arial"/>
                <w:bCs/>
                <w:i/>
                <w:iCs/>
                <w:sz w:val="16"/>
                <w:szCs w:val="16"/>
                <w:lang w:val="es-ES_tradnl" w:eastAsia="es-ES"/>
              </w:rPr>
            </m:ctrlPr>
          </m:naryPr>
          <m:sub>
            <m:r>
              <w:rPr>
                <w:rFonts w:ascii="Cambria Math" w:eastAsia="Times New Roman" w:hAnsi="Cambria Math" w:cs="Arial"/>
                <w:sz w:val="16"/>
                <w:szCs w:val="16"/>
                <w:lang w:val="es-ES_tradnl" w:eastAsia="es-ES"/>
              </w:rPr>
              <m:t>j=1</m:t>
            </m:r>
          </m:sub>
          <m:sup>
            <m:r>
              <w:rPr>
                <w:rFonts w:ascii="Cambria Math" w:eastAsia="Times New Roman" w:hAnsi="Cambria Math" w:cs="Arial"/>
                <w:sz w:val="16"/>
                <w:szCs w:val="16"/>
                <w:lang w:val="es-ES_tradnl" w:eastAsia="es-ES"/>
              </w:rPr>
              <m:t>n</m:t>
            </m:r>
          </m:sup>
          <m:e>
            <m:sSub>
              <m:sSubPr>
                <m:ctrlPr>
                  <w:rPr>
                    <w:rFonts w:ascii="Cambria Math" w:eastAsia="Times New Roman" w:hAnsi="Cambria Math" w:cs="Arial"/>
                    <w:bCs/>
                    <w:i/>
                    <w:iCs/>
                    <w:sz w:val="16"/>
                    <w:szCs w:val="16"/>
                    <w:lang w:val="es-ES_tradnl" w:eastAsia="es-ES"/>
                  </w:rPr>
                </m:ctrlPr>
              </m:sSubPr>
              <m:e>
                <m:r>
                  <w:rPr>
                    <w:rFonts w:ascii="Cambria Math" w:eastAsia="Times New Roman" w:hAnsi="Cambria Math" w:cs="Arial"/>
                    <w:sz w:val="16"/>
                    <w:szCs w:val="16"/>
                    <w:lang w:val="es-ES_tradnl" w:eastAsia="es-ES"/>
                  </w:rPr>
                  <m:t>P</m:t>
                </m:r>
              </m:e>
              <m:sub>
                <m:r>
                  <w:rPr>
                    <w:rFonts w:ascii="Cambria Math" w:eastAsia="Times New Roman" w:hAnsi="Cambria Math" w:cs="Arial"/>
                    <w:sz w:val="16"/>
                    <w:szCs w:val="16"/>
                    <w:lang w:val="es-ES_tradnl" w:eastAsia="es-ES"/>
                  </w:rPr>
                  <m:t>t,j</m:t>
                </m:r>
              </m:sub>
            </m:sSub>
            <m:r>
              <w:rPr>
                <w:rFonts w:ascii="Cambria Math" w:eastAsia="Times New Roman" w:hAnsi="Cambria Math" w:cs="Arial"/>
                <w:sz w:val="16"/>
                <w:szCs w:val="16"/>
                <w:lang w:val="es-ES_tradnl" w:eastAsia="es-ES"/>
              </w:rPr>
              <m:t>∙</m:t>
            </m:r>
            <m:sSub>
              <m:sSubPr>
                <m:ctrlPr>
                  <w:rPr>
                    <w:rFonts w:ascii="Cambria Math" w:eastAsia="Times New Roman" w:hAnsi="Cambria Math" w:cs="Arial"/>
                    <w:bCs/>
                    <w:i/>
                    <w:iCs/>
                    <w:sz w:val="16"/>
                    <w:szCs w:val="16"/>
                    <w:lang w:val="es-ES_tradnl" w:eastAsia="es-ES"/>
                  </w:rPr>
                </m:ctrlPr>
              </m:sSubPr>
              <m:e>
                <m:r>
                  <w:rPr>
                    <w:rFonts w:ascii="Cambria Math" w:eastAsia="Times New Roman" w:hAnsi="Cambria Math" w:cs="Arial"/>
                    <w:sz w:val="16"/>
                    <w:szCs w:val="16"/>
                    <w:lang w:val="es-ES_tradnl" w:eastAsia="es-ES"/>
                  </w:rPr>
                  <m:t>Q</m:t>
                </m:r>
              </m:e>
              <m:sub>
                <m:r>
                  <w:rPr>
                    <w:rFonts w:ascii="Cambria Math" w:eastAsia="Times New Roman" w:hAnsi="Cambria Math" w:cs="Arial"/>
                    <w:sz w:val="16"/>
                    <w:szCs w:val="16"/>
                    <w:lang w:val="es-ES_tradnl" w:eastAsia="es-ES"/>
                  </w:rPr>
                  <m:t>t,j</m:t>
                </m:r>
              </m:sub>
            </m:sSub>
          </m:e>
        </m:nary>
      </m:oMath>
      <w:r>
        <w:rPr>
          <w:rFonts w:ascii="ITC Avant Garde" w:eastAsia="Times New Roman" w:hAnsi="ITC Avant Garde" w:cs="Arial"/>
          <w:sz w:val="18"/>
          <w:szCs w:val="18"/>
          <w:lang w:val="es-ES_tradnl" w:eastAsia="es-ES"/>
        </w:rPr>
        <w:t xml:space="preserve"> </w:t>
      </w:r>
      <w:r w:rsidRPr="00F27F83">
        <w:rPr>
          <w:rFonts w:ascii="ITC Avant Garde" w:eastAsia="Times New Roman" w:hAnsi="ITC Avant Garde" w:cs="Arial"/>
          <w:bCs/>
          <w:sz w:val="16"/>
          <w:szCs w:val="16"/>
          <w:lang w:val="es-ES_tradnl" w:eastAsia="es-ES"/>
        </w:rPr>
        <w:t>corresponde a los ingresos de todos los productos de la empresa en el periodo</w:t>
      </w:r>
      <w:r>
        <w:rPr>
          <w:rFonts w:ascii="ITC Avant Garde" w:eastAsia="Times New Roman" w:hAnsi="ITC Avant Garde" w:cs="Arial"/>
          <w:sz w:val="18"/>
          <w:szCs w:val="18"/>
          <w:lang w:val="es-ES_tradnl" w:eastAsia="es-ES"/>
        </w:rPr>
        <w:t xml:space="preserve"> </w:t>
      </w:r>
      <m:oMath>
        <m:r>
          <w:rPr>
            <w:rFonts w:ascii="Cambria Math" w:eastAsia="Times New Roman" w:hAnsi="Cambria Math" w:cs="Arial"/>
            <w:sz w:val="18"/>
            <w:szCs w:val="18"/>
            <w:lang w:val="es-ES_tradnl" w:eastAsia="es-ES"/>
          </w:rPr>
          <m:t>t</m:t>
        </m:r>
      </m:oMath>
      <w:r>
        <w:rPr>
          <w:rFonts w:ascii="ITC Avant Garde" w:eastAsia="Times New Roman" w:hAnsi="ITC Avant Garde" w:cs="Arial"/>
          <w:sz w:val="18"/>
          <w:szCs w:val="18"/>
          <w:lang w:val="es-ES_tradnl" w:eastAsia="es-ES"/>
        </w:rPr>
        <w:t>.</w:t>
      </w:r>
    </w:p>
  </w:footnote>
  <w:footnote w:id="3">
    <w:p w14:paraId="1C7B1A75" w14:textId="77777777" w:rsidR="000D1D86" w:rsidRPr="008A4C80" w:rsidRDefault="000D1D86" w:rsidP="0040037C">
      <w:pPr>
        <w:pStyle w:val="Textonotapie"/>
        <w:jc w:val="both"/>
        <w:rPr>
          <w:sz w:val="16"/>
          <w:szCs w:val="16"/>
        </w:rPr>
      </w:pPr>
      <w:r w:rsidRPr="00D733BE">
        <w:rPr>
          <w:rFonts w:ascii="ITC Avant Garde" w:eastAsia="Times New Roman" w:hAnsi="ITC Avant Garde" w:cs="Arial"/>
          <w:bCs/>
          <w:sz w:val="16"/>
          <w:szCs w:val="16"/>
          <w:vertAlign w:val="superscript"/>
          <w:lang w:val="es-ES_tradnl" w:eastAsia="es-ES"/>
        </w:rPr>
        <w:footnoteRef/>
      </w:r>
      <w:r w:rsidRPr="008A4C80">
        <w:rPr>
          <w:rFonts w:ascii="ITC Avant Garde" w:eastAsia="Times New Roman" w:hAnsi="ITC Avant Garde" w:cs="Arial"/>
          <w:bCs/>
          <w:sz w:val="16"/>
          <w:szCs w:val="16"/>
          <w:lang w:val="es-ES_tradnl" w:eastAsia="es-ES"/>
        </w:rPr>
        <w:t xml:space="preserve"> El </w:t>
      </w:r>
      <w:proofErr w:type="spellStart"/>
      <w:r w:rsidRPr="008A4C80">
        <w:rPr>
          <w:rFonts w:ascii="ITC Avant Garde" w:eastAsia="Times New Roman" w:hAnsi="ITC Avant Garde" w:cs="Arial"/>
          <w:bCs/>
          <w:sz w:val="16"/>
          <w:szCs w:val="16"/>
          <w:lang w:val="es-ES_tradnl" w:eastAsia="es-ES"/>
        </w:rPr>
        <w:t>Conference</w:t>
      </w:r>
      <w:proofErr w:type="spellEnd"/>
      <w:r w:rsidRPr="008A4C80">
        <w:rPr>
          <w:rFonts w:ascii="ITC Avant Garde" w:eastAsia="Times New Roman" w:hAnsi="ITC Avant Garde" w:cs="Arial"/>
          <w:bCs/>
          <w:sz w:val="16"/>
          <w:szCs w:val="16"/>
          <w:lang w:val="es-ES_tradnl" w:eastAsia="es-ES"/>
        </w:rPr>
        <w:t xml:space="preserve"> </w:t>
      </w:r>
      <w:proofErr w:type="spellStart"/>
      <w:r w:rsidRPr="008A4C80">
        <w:rPr>
          <w:rFonts w:ascii="ITC Avant Garde" w:eastAsia="Times New Roman" w:hAnsi="ITC Avant Garde" w:cs="Arial"/>
          <w:bCs/>
          <w:sz w:val="16"/>
          <w:szCs w:val="16"/>
          <w:lang w:val="es-ES_tradnl" w:eastAsia="es-ES"/>
        </w:rPr>
        <w:t>Board</w:t>
      </w:r>
      <w:proofErr w:type="spellEnd"/>
      <w:r w:rsidRPr="008A4C80">
        <w:rPr>
          <w:rFonts w:ascii="ITC Avant Garde" w:eastAsia="Times New Roman" w:hAnsi="ITC Avant Garde" w:cs="Arial"/>
          <w:bCs/>
          <w:sz w:val="16"/>
          <w:szCs w:val="16"/>
          <w:lang w:val="es-ES_tradnl" w:eastAsia="es-ES"/>
        </w:rPr>
        <w:t xml:space="preserve"> es una organización mundial de afiliación independiente y de interés público, que representa una fuente independiente de </w:t>
      </w:r>
      <w:r>
        <w:rPr>
          <w:rFonts w:ascii="ITC Avant Garde" w:eastAsia="Times New Roman" w:hAnsi="ITC Avant Garde" w:cs="Arial"/>
          <w:bCs/>
          <w:sz w:val="16"/>
          <w:szCs w:val="16"/>
          <w:lang w:val="es-ES_tradnl" w:eastAsia="es-ES"/>
        </w:rPr>
        <w:t xml:space="preserve">información </w:t>
      </w:r>
      <w:r w:rsidRPr="008A4C80">
        <w:rPr>
          <w:rFonts w:ascii="ITC Avant Garde" w:eastAsia="Times New Roman" w:hAnsi="ITC Avant Garde" w:cs="Arial"/>
          <w:bCs/>
          <w:sz w:val="16"/>
          <w:szCs w:val="16"/>
          <w:lang w:val="es-ES_tradnl" w:eastAsia="es-ES"/>
        </w:rPr>
        <w:t>económic</w:t>
      </w:r>
      <w:r>
        <w:rPr>
          <w:rFonts w:ascii="ITC Avant Garde" w:eastAsia="Times New Roman" w:hAnsi="ITC Avant Garde" w:cs="Arial"/>
          <w:bCs/>
          <w:sz w:val="16"/>
          <w:szCs w:val="16"/>
          <w:lang w:val="es-ES_tradnl" w:eastAsia="es-ES"/>
        </w:rPr>
        <w:t>a</w:t>
      </w:r>
      <w:r w:rsidRPr="008A4C80">
        <w:rPr>
          <w:rFonts w:ascii="ITC Avant Garde" w:eastAsia="Times New Roman" w:hAnsi="ITC Avant Garde" w:cs="Arial"/>
          <w:bCs/>
          <w:sz w:val="16"/>
          <w:szCs w:val="16"/>
          <w:lang w:val="es-ES_tradnl" w:eastAsia="es-ES"/>
        </w:rPr>
        <w:t xml:space="preserve"> y de negocios. En el marco económico provee información y análisis de diferentes variables económicas tales como los principales indicadores económicos de diversos países.</w:t>
      </w:r>
    </w:p>
  </w:footnote>
  <w:footnote w:id="4">
    <w:p w14:paraId="19EB43C7" w14:textId="77777777" w:rsidR="000D1D86" w:rsidRPr="00355ED7" w:rsidRDefault="000D1D86" w:rsidP="006B0D46">
      <w:pPr>
        <w:adjustRightInd w:val="0"/>
        <w:spacing w:after="0" w:line="240" w:lineRule="auto"/>
        <w:jc w:val="both"/>
        <w:rPr>
          <w:sz w:val="16"/>
          <w:szCs w:val="16"/>
          <w:lang w:val="es-ES_tradnl"/>
        </w:rPr>
      </w:pPr>
      <w:r w:rsidRPr="00355ED7">
        <w:rPr>
          <w:rFonts w:ascii="ITC Avant Garde" w:eastAsia="Times New Roman" w:hAnsi="ITC Avant Garde" w:cs="Arial"/>
          <w:bCs/>
          <w:sz w:val="16"/>
          <w:szCs w:val="16"/>
          <w:vertAlign w:val="superscript"/>
          <w:lang w:val="es-ES_tradnl" w:eastAsia="es-ES"/>
        </w:rPr>
        <w:footnoteRef/>
      </w:r>
      <w:r w:rsidRPr="00355ED7">
        <w:rPr>
          <w:rFonts w:ascii="ITC Avant Garde" w:eastAsia="Times New Roman" w:hAnsi="ITC Avant Garde" w:cs="Arial"/>
          <w:bCs/>
          <w:sz w:val="16"/>
          <w:szCs w:val="16"/>
          <w:vertAlign w:val="superscript"/>
          <w:lang w:val="es-ES_tradnl" w:eastAsia="es-ES"/>
        </w:rPr>
        <w:t xml:space="preserve"> </w:t>
      </w:r>
      <w:r w:rsidRPr="00355ED7">
        <w:rPr>
          <w:rFonts w:ascii="ITC Avant Garde" w:eastAsia="Times New Roman" w:hAnsi="ITC Avant Garde" w:cs="Arial"/>
          <w:bCs/>
          <w:sz w:val="16"/>
          <w:szCs w:val="16"/>
          <w:lang w:val="es-ES_tradnl" w:eastAsia="es-ES"/>
        </w:rPr>
        <w:t>http://www.ifrs.org/IFRSs/Documents/Spanish%20IAS%20and%20IFRSs%20PDFs%202012/IAS%2019.pdf</w:t>
      </w:r>
    </w:p>
  </w:footnote>
  <w:footnote w:id="5">
    <w:p w14:paraId="7193DD71" w14:textId="77777777" w:rsidR="000D1D86" w:rsidRPr="00761B10" w:rsidRDefault="000D1D86" w:rsidP="005F448D">
      <w:pPr>
        <w:pStyle w:val="Textonotapie"/>
        <w:jc w:val="both"/>
        <w:rPr>
          <w:rFonts w:ascii="ITC Avant Garde" w:hAnsi="ITC Avant Garde"/>
        </w:rPr>
      </w:pPr>
      <w:r w:rsidRPr="00F17AE3">
        <w:rPr>
          <w:rStyle w:val="Refdenotaalpie"/>
          <w:rFonts w:ascii="ITC Avant Garde" w:hAnsi="ITC Avant Garde"/>
          <w:sz w:val="16"/>
        </w:rPr>
        <w:footnoteRef/>
      </w:r>
      <w:r w:rsidRPr="00F17AE3">
        <w:rPr>
          <w:rFonts w:ascii="ITC Avant Garde" w:hAnsi="ITC Avant Garde"/>
          <w:sz w:val="16"/>
        </w:rPr>
        <w:t xml:space="preserve"> </w:t>
      </w:r>
      <w:r>
        <w:rPr>
          <w:rFonts w:ascii="ITC Avant Garde" w:hAnsi="ITC Avant Garde"/>
          <w:sz w:val="16"/>
        </w:rPr>
        <w:t>“</w:t>
      </w:r>
      <w:r w:rsidRPr="00F17AE3">
        <w:rPr>
          <w:rFonts w:ascii="ITC Avant Garde" w:hAnsi="ITC Avant Garde"/>
          <w:sz w:val="16"/>
        </w:rPr>
        <w:t>Cálculo de la Productividad Total de los Factores y del Factor X de Teléfonos de México, S.A.B. de C.V.</w:t>
      </w:r>
      <w:r>
        <w:rPr>
          <w:rFonts w:ascii="ITC Avant Garde" w:hAnsi="ITC Avant Garde"/>
          <w:sz w:val="16"/>
        </w:rPr>
        <w:t>”</w:t>
      </w:r>
      <w:r w:rsidRPr="00F17AE3">
        <w:rPr>
          <w:rFonts w:ascii="ITC Avant Garde" w:hAnsi="ITC Avant Garde"/>
          <w:sz w:val="16"/>
        </w:rPr>
        <w: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22C52" w14:textId="77777777" w:rsidR="000D1D86" w:rsidRDefault="006A4E00">
    <w:pPr>
      <w:pStyle w:val="Encabezado"/>
    </w:pPr>
    <w:r>
      <w:rPr>
        <w:noProof/>
        <w:lang w:eastAsia="es-MX"/>
      </w:rPr>
      <w:pict w14:anchorId="60F33E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BD995" w14:textId="0D14023D" w:rsidR="000D1D86" w:rsidRPr="00AC1D07" w:rsidRDefault="000D1D86" w:rsidP="00AC1D07">
    <w:pPr>
      <w:pStyle w:val="Encabezado"/>
      <w:jc w:val="both"/>
      <w:rPr>
        <w:b/>
        <w:color w:val="0000FF"/>
        <w:sz w:val="16"/>
        <w:szCs w:val="16"/>
      </w:rPr>
    </w:pPr>
    <w:r w:rsidRPr="00252069">
      <w:rPr>
        <w:b/>
        <w:color w:val="0000FF"/>
        <w:sz w:val="16"/>
        <w:szCs w:val="16"/>
      </w:rPr>
      <w:t xml:space="preserve">Texto oculto </w:t>
    </w:r>
    <w:r>
      <w:rPr>
        <w:b/>
        <w:color w:val="0000FF"/>
        <w:sz w:val="16"/>
        <w:szCs w:val="16"/>
      </w:rPr>
      <w:tab/>
      <w:t>que corresponde a información y cálculos de Telmex. En virtud de que se trata de información que comprende hechos y actos de carácter económico y contable que pudieran ser útiles para los competidores de Telmex, ya que proveen información relativa a detalles sobre el manejo del negocio, sobre su proceso de toma de decisiones o información que puede afectar sus negociaciones, acuerdos de los órganos de administración, políticas de dividendos y sus modificaciones o actas de asamblea. Lo anterior en términos de la fracción II, del artículo cuadragésimo de los Lineamientos generales en materia de clasificación y desclasificación de la información, así como para la elaboración de versiones p</w:t>
    </w:r>
    <w:r w:rsidRPr="00252069">
      <w:rPr>
        <w:b/>
        <w:color w:val="0000FF"/>
        <w:sz w:val="16"/>
        <w:szCs w:val="16"/>
      </w:rPr>
      <w:t xml:space="preserve">úblicas, </w:t>
    </w:r>
    <w:r>
      <w:rPr>
        <w:b/>
        <w:color w:val="0000FF"/>
        <w:sz w:val="16"/>
        <w:szCs w:val="16"/>
      </w:rPr>
      <w:t>en relación con la fracción III del artículo 113 de la Ley Federal de Transparencia y Acceso a la Información Pública y el último párrafo del artículo 116 de la Ley General de Transparencia y Acceso a la Información Pública.</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46504" w14:textId="77777777" w:rsidR="000D1D86" w:rsidRPr="002C2AEE" w:rsidRDefault="000D1D86" w:rsidP="002C2A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6915B" w14:textId="0A9A3207" w:rsidR="000D1D86" w:rsidRDefault="000D1D86" w:rsidP="00317947">
    <w:pPr>
      <w:pStyle w:val="Encabezado"/>
      <w:tabs>
        <w:tab w:val="clear" w:pos="4419"/>
        <w:tab w:val="clear" w:pos="8838"/>
        <w:tab w:val="left" w:pos="773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C6F37" w14:textId="77777777" w:rsidR="000D1D86" w:rsidRDefault="006A4E00">
    <w:pPr>
      <w:pStyle w:val="Encabezado"/>
    </w:pPr>
    <w:r>
      <w:rPr>
        <w:noProof/>
        <w:lang w:eastAsia="es-MX"/>
      </w:rPr>
      <w:pict w14:anchorId="6EB74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8A084" w14:textId="6B2941E2" w:rsidR="000D1D86" w:rsidRPr="000D1D86" w:rsidRDefault="000D1D86" w:rsidP="000D1D86">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77DA4" w14:textId="6A953A76" w:rsidR="000D1D86" w:rsidRPr="00AC1D07" w:rsidRDefault="000D1D86" w:rsidP="00AC1D07">
    <w:pPr>
      <w:pStyle w:val="Encabezado"/>
      <w:spacing w:after="240"/>
      <w:jc w:val="both"/>
      <w:rPr>
        <w:b/>
        <w:color w:val="0000FF"/>
        <w:sz w:val="16"/>
        <w:szCs w:val="16"/>
      </w:rPr>
    </w:pPr>
    <w:r w:rsidRPr="00252069">
      <w:rPr>
        <w:b/>
        <w:color w:val="0000FF"/>
        <w:sz w:val="16"/>
        <w:szCs w:val="16"/>
      </w:rPr>
      <w:t xml:space="preserve">Texto oculto </w:t>
    </w:r>
    <w:r>
      <w:rPr>
        <w:b/>
        <w:color w:val="0000FF"/>
        <w:sz w:val="16"/>
        <w:szCs w:val="16"/>
      </w:rPr>
      <w:tab/>
      <w:t>que corresponde a información y cálculos de Telmex. En virtud de que se trata de información que comprende hechos y actos de carácter económico y contable que pudieran ser útiles para los competidores de Telmex, ya que proveen información relativa a detalles sobre el manejo del negocio, sobre su proceso de toma de decisiones o información que puede afectar sus negociaciones, acuerdos de los órganos de administración, políticas de dividendos y sus modificaciones o actas de asamblea. Lo anterior en términos de la fracción II, del artículo cuadragésimo de los Lineamientos generales en materia de clasificación y desclasificación de la información, así como para la elaboración de versiones p</w:t>
    </w:r>
    <w:r w:rsidRPr="00252069">
      <w:rPr>
        <w:b/>
        <w:color w:val="0000FF"/>
        <w:sz w:val="16"/>
        <w:szCs w:val="16"/>
      </w:rPr>
      <w:t xml:space="preserve">úblicas, </w:t>
    </w:r>
    <w:r>
      <w:rPr>
        <w:b/>
        <w:color w:val="0000FF"/>
        <w:sz w:val="16"/>
        <w:szCs w:val="16"/>
      </w:rPr>
      <w:t>en relación con la fracción III del artículo 113 de la Ley Federal de Transparencia y Acceso a la Información Pública y el último párrafo del artículo 116 de la Ley General de Transparencia y Acceso a la Información Pública.</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5ABA7" w14:textId="41919E52" w:rsidR="000D1D86" w:rsidRPr="00AC1D07" w:rsidRDefault="000D1D86" w:rsidP="00AC1D07">
    <w:pPr>
      <w:pStyle w:val="Encabezado"/>
      <w:jc w:val="both"/>
      <w:rPr>
        <w:b/>
        <w:color w:val="0000FF"/>
        <w:sz w:val="16"/>
        <w:szCs w:val="16"/>
      </w:rPr>
    </w:pPr>
    <w:r w:rsidRPr="00252069">
      <w:rPr>
        <w:b/>
        <w:color w:val="0000FF"/>
        <w:sz w:val="16"/>
        <w:szCs w:val="16"/>
      </w:rPr>
      <w:t xml:space="preserve">Texto oculto </w:t>
    </w:r>
    <w:r>
      <w:rPr>
        <w:b/>
        <w:color w:val="0000FF"/>
        <w:sz w:val="16"/>
        <w:szCs w:val="16"/>
      </w:rPr>
      <w:tab/>
      <w:t>que corresponde a información de Telmex. En virtud de que se trata de información que comprende hechos y actos de carácter económico y contable que pudieran ser útiles para los competidores de Telmex, ya que proveen información relativa a detalles sobre el manejo del negocio, sobre su proceso de toma de decisiones o información que puede afectar sus negociaciones, acuerdos de los órganos de administración, políticas de dividendos y sus modificaciones o actas de asamblea. Lo anterior en términos de la fracción II, del artículo cuadragésimo de los Lineamientos generales en materia de clasificación y desclasificación de la información, así como para la elaboración de versiones p</w:t>
    </w:r>
    <w:r w:rsidRPr="00252069">
      <w:rPr>
        <w:b/>
        <w:color w:val="0000FF"/>
        <w:sz w:val="16"/>
        <w:szCs w:val="16"/>
      </w:rPr>
      <w:t xml:space="preserve">úblicas, </w:t>
    </w:r>
    <w:r>
      <w:rPr>
        <w:b/>
        <w:color w:val="0000FF"/>
        <w:sz w:val="16"/>
        <w:szCs w:val="16"/>
      </w:rPr>
      <w:t>en relación con la fracción III del artículo 113 de la Ley Federal de Transparencia y Acceso a la Información Pública y el último párrafo del artículo 116 de la Ley General de Transparencia y Acceso a la Información Pública.</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59FB6" w14:textId="29B499A4" w:rsidR="000D1D86" w:rsidRPr="00AC1D07" w:rsidRDefault="000D1D86" w:rsidP="00AC1D07">
    <w:pPr>
      <w:pStyle w:val="Encabezado"/>
      <w:jc w:val="both"/>
      <w:rPr>
        <w:b/>
        <w:color w:val="0000FF"/>
        <w:sz w:val="16"/>
        <w:szCs w:val="16"/>
      </w:rPr>
    </w:pPr>
    <w:r w:rsidRPr="00252069">
      <w:rPr>
        <w:b/>
        <w:color w:val="0000FF"/>
        <w:sz w:val="16"/>
        <w:szCs w:val="16"/>
      </w:rPr>
      <w:t xml:space="preserve">Texto oculto </w:t>
    </w:r>
    <w:r>
      <w:rPr>
        <w:b/>
        <w:color w:val="0000FF"/>
        <w:sz w:val="16"/>
        <w:szCs w:val="16"/>
      </w:rPr>
      <w:tab/>
      <w:t>que corresponde a información y cálculos de Telmex. En virtud de que se trata de información que comprende hechos y actos de carácter económico y contable que pudieran ser útiles para los competidores de Telmex, ya que proveen información relativa a detalles sobre el manejo del negocio, sobre su proceso de toma de decisiones o información que puede afectar sus negociaciones, acuerdos de los órganos de administración, políticas de dividendos y sus modificaciones o actas de asamblea. Lo anterior en términos de la fracción II, del artículo cuadragésimo de los Lineamientos generales en materia de clasificación y desclasificación de la información, así como para la elaboración de versiones p</w:t>
    </w:r>
    <w:r w:rsidRPr="00252069">
      <w:rPr>
        <w:b/>
        <w:color w:val="0000FF"/>
        <w:sz w:val="16"/>
        <w:szCs w:val="16"/>
      </w:rPr>
      <w:t xml:space="preserve">úblicas, </w:t>
    </w:r>
    <w:r>
      <w:rPr>
        <w:b/>
        <w:color w:val="0000FF"/>
        <w:sz w:val="16"/>
        <w:szCs w:val="16"/>
      </w:rPr>
      <w:t>en relación con la fracción III del artículo 113 de la Ley Federal de Transparencia y Acceso a la Información Pública y el último párrafo del artículo 116 de la Ley General de Transparencia y Acceso a la Información Pública.</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209E5" w14:textId="77777777" w:rsidR="000D1D86" w:rsidRPr="00AF40CD" w:rsidRDefault="000D1D86" w:rsidP="00AF40CD">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83201" w14:textId="4EB036B9" w:rsidR="000D1D86" w:rsidRPr="00AC1D07" w:rsidRDefault="000D1D86" w:rsidP="00AC1D07">
    <w:pPr>
      <w:pStyle w:val="Encabezado"/>
      <w:jc w:val="both"/>
      <w:rPr>
        <w:b/>
        <w:color w:val="0000FF"/>
        <w:sz w:val="16"/>
        <w:szCs w:val="16"/>
      </w:rPr>
    </w:pPr>
    <w:r w:rsidRPr="00252069">
      <w:rPr>
        <w:b/>
        <w:color w:val="0000FF"/>
        <w:sz w:val="16"/>
        <w:szCs w:val="16"/>
      </w:rPr>
      <w:t xml:space="preserve">Texto oculto </w:t>
    </w:r>
    <w:r>
      <w:rPr>
        <w:b/>
        <w:color w:val="0000FF"/>
        <w:sz w:val="16"/>
        <w:szCs w:val="16"/>
      </w:rPr>
      <w:tab/>
      <w:t>que corresponde a información y cálculos de Telmex. En virtud de que se trata de información que comprende hechos y actos de carácter económico y contable que pudieran ser útiles para los competidores de Telmex, ya que proveen información relativa a detalles sobre el manejo del negocio, sobre su proceso de toma de decisiones o información que puede afectar sus negociaciones, acuerdos de los órganos de administración, políticas de dividendos y sus modificaciones o actas de asamblea. Lo anterior en términos de la fracción II, del artículo cuadragésimo de los Lineamientos generales en materia de clasificación y desclasificación de la información, así como para la elaboración de versiones p</w:t>
    </w:r>
    <w:r w:rsidRPr="00252069">
      <w:rPr>
        <w:b/>
        <w:color w:val="0000FF"/>
        <w:sz w:val="16"/>
        <w:szCs w:val="16"/>
      </w:rPr>
      <w:t xml:space="preserve">úblicas, </w:t>
    </w:r>
    <w:r>
      <w:rPr>
        <w:b/>
        <w:color w:val="0000FF"/>
        <w:sz w:val="16"/>
        <w:szCs w:val="16"/>
      </w:rPr>
      <w:t>en relación con la fracción III del artículo 113 de la Ley Federal de Transparencia y Acceso a la Información Pública y el último párrafo del artículo 116 de la Ley General de Transparencia y Acceso a la Información Pública.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EFC2AC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9F295D"/>
    <w:multiLevelType w:val="hybridMultilevel"/>
    <w:tmpl w:val="F0A0F00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712799A"/>
    <w:multiLevelType w:val="hybridMultilevel"/>
    <w:tmpl w:val="771E419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85606D3"/>
    <w:multiLevelType w:val="hybridMultilevel"/>
    <w:tmpl w:val="1C6EFDF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89906AF"/>
    <w:multiLevelType w:val="hybridMultilevel"/>
    <w:tmpl w:val="7FD800BA"/>
    <w:lvl w:ilvl="0" w:tplc="0409000F">
      <w:start w:val="1"/>
      <w:numFmt w:val="decimal"/>
      <w:lvlText w:val="%1."/>
      <w:lvlJc w:val="left"/>
      <w:pPr>
        <w:ind w:left="720" w:hanging="360"/>
      </w:pPr>
      <w:rPr>
        <w:rFonts w:hint="default"/>
      </w:rPr>
    </w:lvl>
    <w:lvl w:ilvl="1" w:tplc="48F07AD6">
      <w:numFmt w:val="bullet"/>
      <w:lvlText w:val="-"/>
      <w:lvlJc w:val="left"/>
      <w:pPr>
        <w:ind w:left="1440" w:hanging="360"/>
      </w:pPr>
      <w:rPr>
        <w:rFonts w:ascii="ITC Avant Garde" w:eastAsia="Times New Roman" w:hAnsi="ITC Avant Garde"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B3436"/>
    <w:multiLevelType w:val="hybridMultilevel"/>
    <w:tmpl w:val="F0A0F00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0C444A1E"/>
    <w:multiLevelType w:val="hybridMultilevel"/>
    <w:tmpl w:val="0AC470D2"/>
    <w:lvl w:ilvl="0" w:tplc="080A0001">
      <w:start w:val="1"/>
      <w:numFmt w:val="bullet"/>
      <w:lvlText w:val=""/>
      <w:lvlJc w:val="left"/>
      <w:pPr>
        <w:ind w:left="2520" w:hanging="360"/>
      </w:pPr>
      <w:rPr>
        <w:rFonts w:ascii="Symbol" w:hAnsi="Symbol" w:hint="default"/>
      </w:rPr>
    </w:lvl>
    <w:lvl w:ilvl="1" w:tplc="080A0019" w:tentative="1">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7" w15:restartNumberingAfterBreak="0">
    <w:nsid w:val="15545DBE"/>
    <w:multiLevelType w:val="hybridMultilevel"/>
    <w:tmpl w:val="27BCC31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231B42"/>
    <w:multiLevelType w:val="hybridMultilevel"/>
    <w:tmpl w:val="F0A0F00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32226CDF"/>
    <w:multiLevelType w:val="hybridMultilevel"/>
    <w:tmpl w:val="F5A8CE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385990"/>
    <w:multiLevelType w:val="hybridMultilevel"/>
    <w:tmpl w:val="6ED42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087C4E"/>
    <w:multiLevelType w:val="hybridMultilevel"/>
    <w:tmpl w:val="0C568354"/>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2" w15:restartNumberingAfterBreak="0">
    <w:nsid w:val="3A755042"/>
    <w:multiLevelType w:val="hybridMultilevel"/>
    <w:tmpl w:val="7B143A00"/>
    <w:lvl w:ilvl="0" w:tplc="E6CCDE3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EF0442"/>
    <w:multiLevelType w:val="hybridMultilevel"/>
    <w:tmpl w:val="F28A5F0A"/>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4" w15:restartNumberingAfterBreak="0">
    <w:nsid w:val="444D0715"/>
    <w:multiLevelType w:val="hybridMultilevel"/>
    <w:tmpl w:val="D936AC78"/>
    <w:lvl w:ilvl="0" w:tplc="F7DA2562">
      <w:start w:val="1"/>
      <w:numFmt w:val="bullet"/>
      <w:pStyle w:val="ListBullet2Compact"/>
      <w:lvlText w:val="–"/>
      <w:lvlJc w:val="left"/>
      <w:pPr>
        <w:ind w:left="107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48A07780"/>
    <w:multiLevelType w:val="hybridMultilevel"/>
    <w:tmpl w:val="175807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74E023E"/>
    <w:multiLevelType w:val="hybridMultilevel"/>
    <w:tmpl w:val="652220E2"/>
    <w:lvl w:ilvl="0" w:tplc="3AF09398">
      <w:start w:val="1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B7A31FE"/>
    <w:multiLevelType w:val="hybridMultilevel"/>
    <w:tmpl w:val="34088B3E"/>
    <w:lvl w:ilvl="0" w:tplc="22BE3B7A">
      <w:start w:val="2"/>
      <w:numFmt w:val="bullet"/>
      <w:lvlText w:val="-"/>
      <w:lvlJc w:val="left"/>
      <w:pPr>
        <w:ind w:left="1571" w:hanging="360"/>
      </w:pPr>
      <w:rPr>
        <w:rFonts w:ascii="Times New Roman" w:eastAsia="Times New Roman" w:hAnsi="Times New Roman" w:cs="Times New Roman"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8" w15:restartNumberingAfterBreak="0">
    <w:nsid w:val="624F2C98"/>
    <w:multiLevelType w:val="hybridMultilevel"/>
    <w:tmpl w:val="6AAEF230"/>
    <w:lvl w:ilvl="0" w:tplc="BC8CC23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31D24D5"/>
    <w:multiLevelType w:val="hybridMultilevel"/>
    <w:tmpl w:val="669496BA"/>
    <w:lvl w:ilvl="0" w:tplc="E0B299C6">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3476F65"/>
    <w:multiLevelType w:val="hybridMultilevel"/>
    <w:tmpl w:val="DBD6388A"/>
    <w:lvl w:ilvl="0" w:tplc="6812F800">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692C783C"/>
    <w:multiLevelType w:val="hybridMultilevel"/>
    <w:tmpl w:val="136EE5A4"/>
    <w:lvl w:ilvl="0" w:tplc="7584B06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AFD3E5F"/>
    <w:multiLevelType w:val="hybridMultilevel"/>
    <w:tmpl w:val="EAAA3B62"/>
    <w:lvl w:ilvl="0" w:tplc="38A21054">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6D4A7B49"/>
    <w:multiLevelType w:val="hybridMultilevel"/>
    <w:tmpl w:val="C9205D4C"/>
    <w:lvl w:ilvl="0" w:tplc="A92EBB26">
      <w:start w:val="1"/>
      <w:numFmt w:val="decimal"/>
      <w:pStyle w:val="NumeracinIFT"/>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D715217"/>
    <w:multiLevelType w:val="hybridMultilevel"/>
    <w:tmpl w:val="B6B02C60"/>
    <w:lvl w:ilvl="0" w:tplc="C1A674C4">
      <w:start w:val="1"/>
      <w:numFmt w:val="decimal"/>
      <w:lvlText w:val="%1."/>
      <w:lvlJc w:val="left"/>
      <w:pPr>
        <w:ind w:left="720" w:hanging="360"/>
      </w:pPr>
      <w:rPr>
        <w:rFonts w:hint="default"/>
        <w:b/>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EE35C7C"/>
    <w:multiLevelType w:val="hybridMultilevel"/>
    <w:tmpl w:val="7FD800BA"/>
    <w:lvl w:ilvl="0" w:tplc="0409000F">
      <w:start w:val="1"/>
      <w:numFmt w:val="decimal"/>
      <w:lvlText w:val="%1."/>
      <w:lvlJc w:val="left"/>
      <w:pPr>
        <w:ind w:left="720" w:hanging="360"/>
      </w:pPr>
      <w:rPr>
        <w:rFonts w:hint="default"/>
      </w:rPr>
    </w:lvl>
    <w:lvl w:ilvl="1" w:tplc="48F07AD6">
      <w:numFmt w:val="bullet"/>
      <w:lvlText w:val="-"/>
      <w:lvlJc w:val="left"/>
      <w:pPr>
        <w:ind w:left="1440" w:hanging="360"/>
      </w:pPr>
      <w:rPr>
        <w:rFonts w:ascii="ITC Avant Garde" w:eastAsia="Times New Roman" w:hAnsi="ITC Avant Garde"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8517C1"/>
    <w:multiLevelType w:val="hybridMultilevel"/>
    <w:tmpl w:val="972AA660"/>
    <w:lvl w:ilvl="0" w:tplc="2E8E728A">
      <w:start w:val="1"/>
      <w:numFmt w:val="lowerLetter"/>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7" w15:restartNumberingAfterBreak="0">
    <w:nsid w:val="72A5749F"/>
    <w:multiLevelType w:val="hybridMultilevel"/>
    <w:tmpl w:val="7612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5460FA"/>
    <w:multiLevelType w:val="hybridMultilevel"/>
    <w:tmpl w:val="A94A013E"/>
    <w:lvl w:ilvl="0" w:tplc="0E204844">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9" w15:restartNumberingAfterBreak="0">
    <w:nsid w:val="7A026E64"/>
    <w:multiLevelType w:val="multilevel"/>
    <w:tmpl w:val="9C70F47A"/>
    <w:styleLink w:val="Estilo1"/>
    <w:lvl w:ilvl="0">
      <w:start w:val="1"/>
      <w:numFmt w:val="upperRoman"/>
      <w:lvlText w:val="%1.-"/>
      <w:lvlJc w:val="left"/>
      <w:pPr>
        <w:tabs>
          <w:tab w:val="num" w:pos="1220"/>
        </w:tabs>
        <w:ind w:left="1220" w:hanging="680"/>
      </w:pPr>
      <w:rPr>
        <w:rFonts w:ascii="Arial" w:hAnsi="Arial" w:hint="default"/>
        <w:b/>
        <w:i w:val="0"/>
        <w:sz w:val="22"/>
      </w:rPr>
    </w:lvl>
    <w:lvl w:ilvl="1">
      <w:start w:val="1"/>
      <w:numFmt w:val="upperRoman"/>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B8E4F43"/>
    <w:multiLevelType w:val="hybridMultilevel"/>
    <w:tmpl w:val="F0A0F00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CDA0CE2"/>
    <w:multiLevelType w:val="hybridMultilevel"/>
    <w:tmpl w:val="BEA4157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23"/>
  </w:num>
  <w:num w:numId="2">
    <w:abstractNumId w:val="0"/>
  </w:num>
  <w:num w:numId="3">
    <w:abstractNumId w:val="14"/>
  </w:num>
  <w:num w:numId="4">
    <w:abstractNumId w:val="29"/>
  </w:num>
  <w:num w:numId="5">
    <w:abstractNumId w:val="4"/>
  </w:num>
  <w:num w:numId="6">
    <w:abstractNumId w:val="27"/>
  </w:num>
  <w:num w:numId="7">
    <w:abstractNumId w:val="25"/>
  </w:num>
  <w:num w:numId="8">
    <w:abstractNumId w:val="11"/>
  </w:num>
  <w:num w:numId="9">
    <w:abstractNumId w:val="10"/>
  </w:num>
  <w:num w:numId="10">
    <w:abstractNumId w:val="19"/>
  </w:num>
  <w:num w:numId="11">
    <w:abstractNumId w:val="21"/>
  </w:num>
  <w:num w:numId="12">
    <w:abstractNumId w:val="26"/>
  </w:num>
  <w:num w:numId="13">
    <w:abstractNumId w:val="6"/>
  </w:num>
  <w:num w:numId="14">
    <w:abstractNumId w:val="20"/>
  </w:num>
  <w:num w:numId="15">
    <w:abstractNumId w:val="13"/>
  </w:num>
  <w:num w:numId="16">
    <w:abstractNumId w:val="2"/>
  </w:num>
  <w:num w:numId="17">
    <w:abstractNumId w:val="15"/>
  </w:num>
  <w:num w:numId="18">
    <w:abstractNumId w:val="30"/>
  </w:num>
  <w:num w:numId="19">
    <w:abstractNumId w:val="5"/>
  </w:num>
  <w:num w:numId="20">
    <w:abstractNumId w:val="8"/>
  </w:num>
  <w:num w:numId="21">
    <w:abstractNumId w:val="1"/>
  </w:num>
  <w:num w:numId="22">
    <w:abstractNumId w:val="3"/>
  </w:num>
  <w:num w:numId="23">
    <w:abstractNumId w:val="22"/>
  </w:num>
  <w:num w:numId="24">
    <w:abstractNumId w:val="7"/>
  </w:num>
  <w:num w:numId="25">
    <w:abstractNumId w:val="9"/>
  </w:num>
  <w:num w:numId="26">
    <w:abstractNumId w:val="16"/>
  </w:num>
  <w:num w:numId="27">
    <w:abstractNumId w:val="24"/>
  </w:num>
  <w:num w:numId="28">
    <w:abstractNumId w:val="28"/>
  </w:num>
  <w:num w:numId="29">
    <w:abstractNumId w:val="17"/>
  </w:num>
  <w:num w:numId="30">
    <w:abstractNumId w:val="31"/>
  </w:num>
  <w:num w:numId="31">
    <w:abstractNumId w:val="18"/>
  </w:num>
  <w:num w:numId="3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904"/>
    <w:rsid w:val="00003D48"/>
    <w:rsid w:val="0000666D"/>
    <w:rsid w:val="00013338"/>
    <w:rsid w:val="000135A8"/>
    <w:rsid w:val="00013E51"/>
    <w:rsid w:val="000154AE"/>
    <w:rsid w:val="000231A8"/>
    <w:rsid w:val="00023993"/>
    <w:rsid w:val="0002616E"/>
    <w:rsid w:val="00032631"/>
    <w:rsid w:val="00032D4D"/>
    <w:rsid w:val="00035C37"/>
    <w:rsid w:val="000368CF"/>
    <w:rsid w:val="00045B70"/>
    <w:rsid w:val="00046473"/>
    <w:rsid w:val="00047093"/>
    <w:rsid w:val="00050971"/>
    <w:rsid w:val="00051955"/>
    <w:rsid w:val="0005224A"/>
    <w:rsid w:val="00057683"/>
    <w:rsid w:val="00063EAA"/>
    <w:rsid w:val="00064019"/>
    <w:rsid w:val="0006478E"/>
    <w:rsid w:val="000658A8"/>
    <w:rsid w:val="000704CA"/>
    <w:rsid w:val="00071271"/>
    <w:rsid w:val="00071FE8"/>
    <w:rsid w:val="00073D6E"/>
    <w:rsid w:val="00074896"/>
    <w:rsid w:val="0007642D"/>
    <w:rsid w:val="0008420C"/>
    <w:rsid w:val="000842AF"/>
    <w:rsid w:val="000844F0"/>
    <w:rsid w:val="000929ED"/>
    <w:rsid w:val="000930F9"/>
    <w:rsid w:val="00095C66"/>
    <w:rsid w:val="0009699F"/>
    <w:rsid w:val="000A00CB"/>
    <w:rsid w:val="000A1332"/>
    <w:rsid w:val="000A1470"/>
    <w:rsid w:val="000A15F4"/>
    <w:rsid w:val="000A207D"/>
    <w:rsid w:val="000A3E5B"/>
    <w:rsid w:val="000A761A"/>
    <w:rsid w:val="000B18FC"/>
    <w:rsid w:val="000B22BD"/>
    <w:rsid w:val="000B5B08"/>
    <w:rsid w:val="000B627B"/>
    <w:rsid w:val="000B7F95"/>
    <w:rsid w:val="000C0504"/>
    <w:rsid w:val="000C1BF3"/>
    <w:rsid w:val="000C4B36"/>
    <w:rsid w:val="000C4F94"/>
    <w:rsid w:val="000D018F"/>
    <w:rsid w:val="000D1044"/>
    <w:rsid w:val="000D1D86"/>
    <w:rsid w:val="000D2C30"/>
    <w:rsid w:val="000D2EE1"/>
    <w:rsid w:val="000D607E"/>
    <w:rsid w:val="000D642E"/>
    <w:rsid w:val="000D6A12"/>
    <w:rsid w:val="000D6FEF"/>
    <w:rsid w:val="000D73B3"/>
    <w:rsid w:val="000D7958"/>
    <w:rsid w:val="000E1744"/>
    <w:rsid w:val="000E28BF"/>
    <w:rsid w:val="000E3D68"/>
    <w:rsid w:val="000E6549"/>
    <w:rsid w:val="000E7FBD"/>
    <w:rsid w:val="000F020F"/>
    <w:rsid w:val="000F0FA7"/>
    <w:rsid w:val="000F2627"/>
    <w:rsid w:val="000F3111"/>
    <w:rsid w:val="00100151"/>
    <w:rsid w:val="00101907"/>
    <w:rsid w:val="001046CB"/>
    <w:rsid w:val="001047F9"/>
    <w:rsid w:val="00107893"/>
    <w:rsid w:val="00107B66"/>
    <w:rsid w:val="001122AA"/>
    <w:rsid w:val="00112410"/>
    <w:rsid w:val="00112EB2"/>
    <w:rsid w:val="00115A83"/>
    <w:rsid w:val="00116801"/>
    <w:rsid w:val="001172A3"/>
    <w:rsid w:val="00117B81"/>
    <w:rsid w:val="00122E0A"/>
    <w:rsid w:val="00124406"/>
    <w:rsid w:val="001253F8"/>
    <w:rsid w:val="00130579"/>
    <w:rsid w:val="00131817"/>
    <w:rsid w:val="00134FAE"/>
    <w:rsid w:val="00135589"/>
    <w:rsid w:val="00141B51"/>
    <w:rsid w:val="00145CF4"/>
    <w:rsid w:val="00150E86"/>
    <w:rsid w:val="001522C1"/>
    <w:rsid w:val="001528A0"/>
    <w:rsid w:val="0015303A"/>
    <w:rsid w:val="00153BA3"/>
    <w:rsid w:val="001618F3"/>
    <w:rsid w:val="00161B2D"/>
    <w:rsid w:val="0016266F"/>
    <w:rsid w:val="0016360B"/>
    <w:rsid w:val="00163A52"/>
    <w:rsid w:val="00164B93"/>
    <w:rsid w:val="00167521"/>
    <w:rsid w:val="001678E3"/>
    <w:rsid w:val="00170013"/>
    <w:rsid w:val="0017040A"/>
    <w:rsid w:val="001809F5"/>
    <w:rsid w:val="0018124C"/>
    <w:rsid w:val="0018636A"/>
    <w:rsid w:val="001900DC"/>
    <w:rsid w:val="00192297"/>
    <w:rsid w:val="00194940"/>
    <w:rsid w:val="00194FD7"/>
    <w:rsid w:val="001A07BF"/>
    <w:rsid w:val="001A36C3"/>
    <w:rsid w:val="001A5CCA"/>
    <w:rsid w:val="001A6BC0"/>
    <w:rsid w:val="001B24FF"/>
    <w:rsid w:val="001B3AA8"/>
    <w:rsid w:val="001B47BF"/>
    <w:rsid w:val="001B63CD"/>
    <w:rsid w:val="001B63FC"/>
    <w:rsid w:val="001B6612"/>
    <w:rsid w:val="001B6AA7"/>
    <w:rsid w:val="001C19DD"/>
    <w:rsid w:val="001C1F7F"/>
    <w:rsid w:val="001C26DA"/>
    <w:rsid w:val="001C5842"/>
    <w:rsid w:val="001C7E14"/>
    <w:rsid w:val="001D2975"/>
    <w:rsid w:val="001D2D28"/>
    <w:rsid w:val="001D3721"/>
    <w:rsid w:val="001D5884"/>
    <w:rsid w:val="001D6DAD"/>
    <w:rsid w:val="001D75CB"/>
    <w:rsid w:val="001E1CB7"/>
    <w:rsid w:val="001E226F"/>
    <w:rsid w:val="001E29FF"/>
    <w:rsid w:val="001E2E23"/>
    <w:rsid w:val="001E307F"/>
    <w:rsid w:val="001E6F0B"/>
    <w:rsid w:val="001E7F9A"/>
    <w:rsid w:val="001F28EA"/>
    <w:rsid w:val="001F3EC5"/>
    <w:rsid w:val="00202BC0"/>
    <w:rsid w:val="00204041"/>
    <w:rsid w:val="00204904"/>
    <w:rsid w:val="002057E2"/>
    <w:rsid w:val="00205C43"/>
    <w:rsid w:val="00206066"/>
    <w:rsid w:val="00210502"/>
    <w:rsid w:val="00210585"/>
    <w:rsid w:val="0021125A"/>
    <w:rsid w:val="00213523"/>
    <w:rsid w:val="002162FD"/>
    <w:rsid w:val="00216BF0"/>
    <w:rsid w:val="002269AE"/>
    <w:rsid w:val="0022702E"/>
    <w:rsid w:val="002306AB"/>
    <w:rsid w:val="002320E5"/>
    <w:rsid w:val="00233BD5"/>
    <w:rsid w:val="00236EDC"/>
    <w:rsid w:val="00240EA1"/>
    <w:rsid w:val="0024267B"/>
    <w:rsid w:val="002449BF"/>
    <w:rsid w:val="00245D5B"/>
    <w:rsid w:val="0024696B"/>
    <w:rsid w:val="002470D2"/>
    <w:rsid w:val="00250081"/>
    <w:rsid w:val="00250923"/>
    <w:rsid w:val="00250A40"/>
    <w:rsid w:val="00250D06"/>
    <w:rsid w:val="002510A5"/>
    <w:rsid w:val="00252069"/>
    <w:rsid w:val="0025253B"/>
    <w:rsid w:val="0025679E"/>
    <w:rsid w:val="0025791A"/>
    <w:rsid w:val="00257EE9"/>
    <w:rsid w:val="00257F84"/>
    <w:rsid w:val="002606A1"/>
    <w:rsid w:val="00261A57"/>
    <w:rsid w:val="002623CA"/>
    <w:rsid w:val="00262405"/>
    <w:rsid w:val="00262AD3"/>
    <w:rsid w:val="002632CB"/>
    <w:rsid w:val="00265D09"/>
    <w:rsid w:val="00273F29"/>
    <w:rsid w:val="00275917"/>
    <w:rsid w:val="0027740D"/>
    <w:rsid w:val="0028046F"/>
    <w:rsid w:val="002873AA"/>
    <w:rsid w:val="0029045F"/>
    <w:rsid w:val="002908DE"/>
    <w:rsid w:val="002909EA"/>
    <w:rsid w:val="00291534"/>
    <w:rsid w:val="0029340D"/>
    <w:rsid w:val="00295680"/>
    <w:rsid w:val="00297851"/>
    <w:rsid w:val="002A00BA"/>
    <w:rsid w:val="002A00DB"/>
    <w:rsid w:val="002A07B5"/>
    <w:rsid w:val="002A3A53"/>
    <w:rsid w:val="002A44E3"/>
    <w:rsid w:val="002A6DC7"/>
    <w:rsid w:val="002B04DB"/>
    <w:rsid w:val="002B151D"/>
    <w:rsid w:val="002B24C7"/>
    <w:rsid w:val="002B2CE1"/>
    <w:rsid w:val="002B317F"/>
    <w:rsid w:val="002B4450"/>
    <w:rsid w:val="002B7B18"/>
    <w:rsid w:val="002C16E7"/>
    <w:rsid w:val="002C294D"/>
    <w:rsid w:val="002C2AEE"/>
    <w:rsid w:val="002C2D77"/>
    <w:rsid w:val="002C5E08"/>
    <w:rsid w:val="002C64E0"/>
    <w:rsid w:val="002C6EE1"/>
    <w:rsid w:val="002D094F"/>
    <w:rsid w:val="002D12D9"/>
    <w:rsid w:val="002D1CB3"/>
    <w:rsid w:val="002D2F6A"/>
    <w:rsid w:val="002D52DA"/>
    <w:rsid w:val="002D5389"/>
    <w:rsid w:val="002D6143"/>
    <w:rsid w:val="002D63DD"/>
    <w:rsid w:val="002E0B83"/>
    <w:rsid w:val="002E0F8D"/>
    <w:rsid w:val="002E145F"/>
    <w:rsid w:val="002E17A9"/>
    <w:rsid w:val="002E55AB"/>
    <w:rsid w:val="002E686D"/>
    <w:rsid w:val="002E6A7A"/>
    <w:rsid w:val="002E78AA"/>
    <w:rsid w:val="002E7F03"/>
    <w:rsid w:val="002F04E4"/>
    <w:rsid w:val="002F3313"/>
    <w:rsid w:val="002F6BD7"/>
    <w:rsid w:val="002F7353"/>
    <w:rsid w:val="002F7F40"/>
    <w:rsid w:val="00303B3C"/>
    <w:rsid w:val="003054C5"/>
    <w:rsid w:val="003061AC"/>
    <w:rsid w:val="003061B3"/>
    <w:rsid w:val="00310240"/>
    <w:rsid w:val="003159A0"/>
    <w:rsid w:val="00315C87"/>
    <w:rsid w:val="0031642E"/>
    <w:rsid w:val="003171E3"/>
    <w:rsid w:val="003177F2"/>
    <w:rsid w:val="00317947"/>
    <w:rsid w:val="00323F3E"/>
    <w:rsid w:val="003271DF"/>
    <w:rsid w:val="00331186"/>
    <w:rsid w:val="003320A7"/>
    <w:rsid w:val="00333160"/>
    <w:rsid w:val="00335580"/>
    <w:rsid w:val="00337E2F"/>
    <w:rsid w:val="00340889"/>
    <w:rsid w:val="003411A6"/>
    <w:rsid w:val="003448FC"/>
    <w:rsid w:val="00345A14"/>
    <w:rsid w:val="00350B10"/>
    <w:rsid w:val="003519B6"/>
    <w:rsid w:val="0035312B"/>
    <w:rsid w:val="0035673B"/>
    <w:rsid w:val="003567FC"/>
    <w:rsid w:val="00356EEC"/>
    <w:rsid w:val="00361100"/>
    <w:rsid w:val="0036225B"/>
    <w:rsid w:val="003628E7"/>
    <w:rsid w:val="00363EE2"/>
    <w:rsid w:val="00365EB1"/>
    <w:rsid w:val="00371A8F"/>
    <w:rsid w:val="00371EEC"/>
    <w:rsid w:val="00374E6F"/>
    <w:rsid w:val="00375CFF"/>
    <w:rsid w:val="00376BF9"/>
    <w:rsid w:val="003770C7"/>
    <w:rsid w:val="0038222A"/>
    <w:rsid w:val="00392070"/>
    <w:rsid w:val="00393280"/>
    <w:rsid w:val="00393AB8"/>
    <w:rsid w:val="00394190"/>
    <w:rsid w:val="00396CBF"/>
    <w:rsid w:val="003A067B"/>
    <w:rsid w:val="003A4C1D"/>
    <w:rsid w:val="003A4FCE"/>
    <w:rsid w:val="003A6006"/>
    <w:rsid w:val="003B3172"/>
    <w:rsid w:val="003C0456"/>
    <w:rsid w:val="003C474B"/>
    <w:rsid w:val="003C61E6"/>
    <w:rsid w:val="003C6554"/>
    <w:rsid w:val="003C6F60"/>
    <w:rsid w:val="003C725F"/>
    <w:rsid w:val="003C7CDC"/>
    <w:rsid w:val="003D17DF"/>
    <w:rsid w:val="003D228C"/>
    <w:rsid w:val="003D2F83"/>
    <w:rsid w:val="003D3E3D"/>
    <w:rsid w:val="003D5EF7"/>
    <w:rsid w:val="003D60B8"/>
    <w:rsid w:val="003D6401"/>
    <w:rsid w:val="003D7BE9"/>
    <w:rsid w:val="003E1A08"/>
    <w:rsid w:val="003E2CA7"/>
    <w:rsid w:val="003E2E69"/>
    <w:rsid w:val="003E74B4"/>
    <w:rsid w:val="003E7C01"/>
    <w:rsid w:val="003F050C"/>
    <w:rsid w:val="003F0F3B"/>
    <w:rsid w:val="003F2A6D"/>
    <w:rsid w:val="003F2C71"/>
    <w:rsid w:val="0040037C"/>
    <w:rsid w:val="004007DC"/>
    <w:rsid w:val="00400F66"/>
    <w:rsid w:val="0040300F"/>
    <w:rsid w:val="004110AF"/>
    <w:rsid w:val="00420AA4"/>
    <w:rsid w:val="00425404"/>
    <w:rsid w:val="00426780"/>
    <w:rsid w:val="004308F9"/>
    <w:rsid w:val="00431E66"/>
    <w:rsid w:val="0043400F"/>
    <w:rsid w:val="00436F0D"/>
    <w:rsid w:val="00437FE6"/>
    <w:rsid w:val="00441E63"/>
    <w:rsid w:val="004426A3"/>
    <w:rsid w:val="00442C93"/>
    <w:rsid w:val="00443384"/>
    <w:rsid w:val="00444C44"/>
    <w:rsid w:val="00444FCC"/>
    <w:rsid w:val="00445732"/>
    <w:rsid w:val="00447667"/>
    <w:rsid w:val="00451E83"/>
    <w:rsid w:val="004527CA"/>
    <w:rsid w:val="00454222"/>
    <w:rsid w:val="00457D6F"/>
    <w:rsid w:val="00461E71"/>
    <w:rsid w:val="00462196"/>
    <w:rsid w:val="00465B3D"/>
    <w:rsid w:val="00471A31"/>
    <w:rsid w:val="00473A9A"/>
    <w:rsid w:val="00477445"/>
    <w:rsid w:val="00481062"/>
    <w:rsid w:val="0048213E"/>
    <w:rsid w:val="00483754"/>
    <w:rsid w:val="00484170"/>
    <w:rsid w:val="0048524A"/>
    <w:rsid w:val="0048532B"/>
    <w:rsid w:val="004874A7"/>
    <w:rsid w:val="00490963"/>
    <w:rsid w:val="004A0465"/>
    <w:rsid w:val="004A39F7"/>
    <w:rsid w:val="004A3C95"/>
    <w:rsid w:val="004A3E19"/>
    <w:rsid w:val="004A50EB"/>
    <w:rsid w:val="004B15B8"/>
    <w:rsid w:val="004B2C96"/>
    <w:rsid w:val="004B4141"/>
    <w:rsid w:val="004B5F88"/>
    <w:rsid w:val="004C2033"/>
    <w:rsid w:val="004C52B2"/>
    <w:rsid w:val="004D185C"/>
    <w:rsid w:val="004D2A8D"/>
    <w:rsid w:val="004D4C97"/>
    <w:rsid w:val="004D558B"/>
    <w:rsid w:val="004D78D7"/>
    <w:rsid w:val="004E075A"/>
    <w:rsid w:val="004E163D"/>
    <w:rsid w:val="004E39BA"/>
    <w:rsid w:val="004F166D"/>
    <w:rsid w:val="004F1D27"/>
    <w:rsid w:val="004F2951"/>
    <w:rsid w:val="004F6001"/>
    <w:rsid w:val="004F6FE5"/>
    <w:rsid w:val="004F7F01"/>
    <w:rsid w:val="005008D4"/>
    <w:rsid w:val="005059FB"/>
    <w:rsid w:val="00511BD0"/>
    <w:rsid w:val="00511D02"/>
    <w:rsid w:val="005150C3"/>
    <w:rsid w:val="00516316"/>
    <w:rsid w:val="0051669B"/>
    <w:rsid w:val="0051742C"/>
    <w:rsid w:val="005211CE"/>
    <w:rsid w:val="00522FB8"/>
    <w:rsid w:val="00523AAC"/>
    <w:rsid w:val="00524AF5"/>
    <w:rsid w:val="00525707"/>
    <w:rsid w:val="00526753"/>
    <w:rsid w:val="00527E99"/>
    <w:rsid w:val="0053417D"/>
    <w:rsid w:val="00535814"/>
    <w:rsid w:val="00537E43"/>
    <w:rsid w:val="00541DD9"/>
    <w:rsid w:val="00545496"/>
    <w:rsid w:val="005500ED"/>
    <w:rsid w:val="0055061A"/>
    <w:rsid w:val="0055234C"/>
    <w:rsid w:val="00553C6F"/>
    <w:rsid w:val="005575C1"/>
    <w:rsid w:val="005620E8"/>
    <w:rsid w:val="00562864"/>
    <w:rsid w:val="00566B8C"/>
    <w:rsid w:val="00573F27"/>
    <w:rsid w:val="00574F78"/>
    <w:rsid w:val="005824B8"/>
    <w:rsid w:val="00583873"/>
    <w:rsid w:val="005927C0"/>
    <w:rsid w:val="0059458C"/>
    <w:rsid w:val="0059512A"/>
    <w:rsid w:val="005A0700"/>
    <w:rsid w:val="005A1EE0"/>
    <w:rsid w:val="005A27E2"/>
    <w:rsid w:val="005A281A"/>
    <w:rsid w:val="005A57E3"/>
    <w:rsid w:val="005A67E2"/>
    <w:rsid w:val="005B0D47"/>
    <w:rsid w:val="005B10DE"/>
    <w:rsid w:val="005B136B"/>
    <w:rsid w:val="005B4046"/>
    <w:rsid w:val="005B447A"/>
    <w:rsid w:val="005B5E7F"/>
    <w:rsid w:val="005C046F"/>
    <w:rsid w:val="005C311D"/>
    <w:rsid w:val="005C3DCA"/>
    <w:rsid w:val="005C5610"/>
    <w:rsid w:val="005C58CE"/>
    <w:rsid w:val="005C5E2C"/>
    <w:rsid w:val="005D0F64"/>
    <w:rsid w:val="005D3DC2"/>
    <w:rsid w:val="005D4667"/>
    <w:rsid w:val="005E3403"/>
    <w:rsid w:val="005E4B3F"/>
    <w:rsid w:val="005E759B"/>
    <w:rsid w:val="005F160B"/>
    <w:rsid w:val="005F390F"/>
    <w:rsid w:val="005F448D"/>
    <w:rsid w:val="00603364"/>
    <w:rsid w:val="006058E6"/>
    <w:rsid w:val="0060634E"/>
    <w:rsid w:val="00606E08"/>
    <w:rsid w:val="006109F3"/>
    <w:rsid w:val="006111E6"/>
    <w:rsid w:val="006119C8"/>
    <w:rsid w:val="00611B3F"/>
    <w:rsid w:val="00613F72"/>
    <w:rsid w:val="006140D2"/>
    <w:rsid w:val="006141D4"/>
    <w:rsid w:val="006142B5"/>
    <w:rsid w:val="00616170"/>
    <w:rsid w:val="00616416"/>
    <w:rsid w:val="00621667"/>
    <w:rsid w:val="00621F4F"/>
    <w:rsid w:val="00624B1A"/>
    <w:rsid w:val="0062755F"/>
    <w:rsid w:val="00635207"/>
    <w:rsid w:val="00637D90"/>
    <w:rsid w:val="00642AF3"/>
    <w:rsid w:val="00644443"/>
    <w:rsid w:val="00644E1B"/>
    <w:rsid w:val="006464AC"/>
    <w:rsid w:val="00647709"/>
    <w:rsid w:val="0065312B"/>
    <w:rsid w:val="00653C91"/>
    <w:rsid w:val="00653CA2"/>
    <w:rsid w:val="00656EA0"/>
    <w:rsid w:val="00657C87"/>
    <w:rsid w:val="00660561"/>
    <w:rsid w:val="00660A1A"/>
    <w:rsid w:val="0066123B"/>
    <w:rsid w:val="006622D8"/>
    <w:rsid w:val="00662AF1"/>
    <w:rsid w:val="00662BE6"/>
    <w:rsid w:val="00664C6C"/>
    <w:rsid w:val="0066638D"/>
    <w:rsid w:val="00672A12"/>
    <w:rsid w:val="00672D4B"/>
    <w:rsid w:val="0067666F"/>
    <w:rsid w:val="00677F7B"/>
    <w:rsid w:val="00681814"/>
    <w:rsid w:val="006820E9"/>
    <w:rsid w:val="006821A2"/>
    <w:rsid w:val="00683653"/>
    <w:rsid w:val="00683B46"/>
    <w:rsid w:val="00690809"/>
    <w:rsid w:val="00691590"/>
    <w:rsid w:val="00696FFE"/>
    <w:rsid w:val="00697759"/>
    <w:rsid w:val="006A0631"/>
    <w:rsid w:val="006A182F"/>
    <w:rsid w:val="006A18A1"/>
    <w:rsid w:val="006A32BC"/>
    <w:rsid w:val="006A3686"/>
    <w:rsid w:val="006A49B8"/>
    <w:rsid w:val="006A4E00"/>
    <w:rsid w:val="006A545D"/>
    <w:rsid w:val="006A57B7"/>
    <w:rsid w:val="006A5F02"/>
    <w:rsid w:val="006A66D1"/>
    <w:rsid w:val="006A73D9"/>
    <w:rsid w:val="006A78C3"/>
    <w:rsid w:val="006B0D46"/>
    <w:rsid w:val="006B4354"/>
    <w:rsid w:val="006B463B"/>
    <w:rsid w:val="006B6FF7"/>
    <w:rsid w:val="006B74B8"/>
    <w:rsid w:val="006B7AF7"/>
    <w:rsid w:val="006C0BAA"/>
    <w:rsid w:val="006C0C9F"/>
    <w:rsid w:val="006C1C92"/>
    <w:rsid w:val="006C2238"/>
    <w:rsid w:val="006C34F6"/>
    <w:rsid w:val="006C45FC"/>
    <w:rsid w:val="006C6066"/>
    <w:rsid w:val="006C741D"/>
    <w:rsid w:val="006C76B4"/>
    <w:rsid w:val="006D0F8E"/>
    <w:rsid w:val="006D0FF2"/>
    <w:rsid w:val="006D2D32"/>
    <w:rsid w:val="006D356F"/>
    <w:rsid w:val="006D3DA0"/>
    <w:rsid w:val="006D4C44"/>
    <w:rsid w:val="006D4DAE"/>
    <w:rsid w:val="006D70BC"/>
    <w:rsid w:val="006E1093"/>
    <w:rsid w:val="006E3AA3"/>
    <w:rsid w:val="006E4DCC"/>
    <w:rsid w:val="006E7E70"/>
    <w:rsid w:val="006F00DC"/>
    <w:rsid w:val="006F07F5"/>
    <w:rsid w:val="006F2AFB"/>
    <w:rsid w:val="006F7FA5"/>
    <w:rsid w:val="007007BD"/>
    <w:rsid w:val="007013CA"/>
    <w:rsid w:val="007042B7"/>
    <w:rsid w:val="0070681E"/>
    <w:rsid w:val="007078BA"/>
    <w:rsid w:val="0071168D"/>
    <w:rsid w:val="0071669B"/>
    <w:rsid w:val="00717B5C"/>
    <w:rsid w:val="00720435"/>
    <w:rsid w:val="007207B0"/>
    <w:rsid w:val="00721F4D"/>
    <w:rsid w:val="00722078"/>
    <w:rsid w:val="007227E9"/>
    <w:rsid w:val="00723081"/>
    <w:rsid w:val="00725034"/>
    <w:rsid w:val="00725510"/>
    <w:rsid w:val="00727824"/>
    <w:rsid w:val="00727F58"/>
    <w:rsid w:val="007323EE"/>
    <w:rsid w:val="007324BA"/>
    <w:rsid w:val="00736076"/>
    <w:rsid w:val="00736F51"/>
    <w:rsid w:val="00737355"/>
    <w:rsid w:val="00737A8A"/>
    <w:rsid w:val="007407BA"/>
    <w:rsid w:val="00740C4D"/>
    <w:rsid w:val="00741EF2"/>
    <w:rsid w:val="0075070A"/>
    <w:rsid w:val="0075689A"/>
    <w:rsid w:val="00756F1D"/>
    <w:rsid w:val="0076008E"/>
    <w:rsid w:val="0076097F"/>
    <w:rsid w:val="00761B46"/>
    <w:rsid w:val="007656E0"/>
    <w:rsid w:val="007673B9"/>
    <w:rsid w:val="007740C8"/>
    <w:rsid w:val="00774DFC"/>
    <w:rsid w:val="00776F21"/>
    <w:rsid w:val="0078243A"/>
    <w:rsid w:val="00783780"/>
    <w:rsid w:val="007839CD"/>
    <w:rsid w:val="00784FDB"/>
    <w:rsid w:val="007854E8"/>
    <w:rsid w:val="00786F53"/>
    <w:rsid w:val="00790E70"/>
    <w:rsid w:val="00793FC3"/>
    <w:rsid w:val="007A38D7"/>
    <w:rsid w:val="007B065B"/>
    <w:rsid w:val="007B1D23"/>
    <w:rsid w:val="007B2133"/>
    <w:rsid w:val="007B7BEC"/>
    <w:rsid w:val="007C0595"/>
    <w:rsid w:val="007C0933"/>
    <w:rsid w:val="007C1D18"/>
    <w:rsid w:val="007C1F82"/>
    <w:rsid w:val="007C403E"/>
    <w:rsid w:val="007C4696"/>
    <w:rsid w:val="007C76F1"/>
    <w:rsid w:val="007C7B3C"/>
    <w:rsid w:val="007D067E"/>
    <w:rsid w:val="007D1524"/>
    <w:rsid w:val="007D1F36"/>
    <w:rsid w:val="007D3495"/>
    <w:rsid w:val="007D56CC"/>
    <w:rsid w:val="007D5A17"/>
    <w:rsid w:val="007D7F6C"/>
    <w:rsid w:val="007E0E29"/>
    <w:rsid w:val="007E2AF6"/>
    <w:rsid w:val="007E3EF0"/>
    <w:rsid w:val="007E5E12"/>
    <w:rsid w:val="007E7090"/>
    <w:rsid w:val="007E71C6"/>
    <w:rsid w:val="007E7D08"/>
    <w:rsid w:val="007F289F"/>
    <w:rsid w:val="007F34C9"/>
    <w:rsid w:val="007F547F"/>
    <w:rsid w:val="007F697F"/>
    <w:rsid w:val="008001D5"/>
    <w:rsid w:val="0080087F"/>
    <w:rsid w:val="00805288"/>
    <w:rsid w:val="0080758C"/>
    <w:rsid w:val="00810B8B"/>
    <w:rsid w:val="008110A8"/>
    <w:rsid w:val="0081681D"/>
    <w:rsid w:val="0081701E"/>
    <w:rsid w:val="00817032"/>
    <w:rsid w:val="00817191"/>
    <w:rsid w:val="00822325"/>
    <w:rsid w:val="00822DB9"/>
    <w:rsid w:val="00824EDC"/>
    <w:rsid w:val="0082579C"/>
    <w:rsid w:val="008275BD"/>
    <w:rsid w:val="00830436"/>
    <w:rsid w:val="00830FFD"/>
    <w:rsid w:val="008327A3"/>
    <w:rsid w:val="00833DA1"/>
    <w:rsid w:val="00834273"/>
    <w:rsid w:val="008369E9"/>
    <w:rsid w:val="00836A50"/>
    <w:rsid w:val="008409F8"/>
    <w:rsid w:val="0084384A"/>
    <w:rsid w:val="008479A6"/>
    <w:rsid w:val="00850266"/>
    <w:rsid w:val="00851693"/>
    <w:rsid w:val="00851BBB"/>
    <w:rsid w:val="008536A2"/>
    <w:rsid w:val="00853F00"/>
    <w:rsid w:val="00854F61"/>
    <w:rsid w:val="00855846"/>
    <w:rsid w:val="00860677"/>
    <w:rsid w:val="00865B35"/>
    <w:rsid w:val="00867105"/>
    <w:rsid w:val="00867513"/>
    <w:rsid w:val="00867711"/>
    <w:rsid w:val="008701F4"/>
    <w:rsid w:val="00871046"/>
    <w:rsid w:val="00872DEB"/>
    <w:rsid w:val="008754D1"/>
    <w:rsid w:val="00877D95"/>
    <w:rsid w:val="00883B03"/>
    <w:rsid w:val="008854C4"/>
    <w:rsid w:val="008870F4"/>
    <w:rsid w:val="00890F91"/>
    <w:rsid w:val="00892A83"/>
    <w:rsid w:val="00893AF7"/>
    <w:rsid w:val="00894E14"/>
    <w:rsid w:val="008955A5"/>
    <w:rsid w:val="00897B4F"/>
    <w:rsid w:val="008A04C2"/>
    <w:rsid w:val="008A04E4"/>
    <w:rsid w:val="008A08E9"/>
    <w:rsid w:val="008A1E94"/>
    <w:rsid w:val="008A2619"/>
    <w:rsid w:val="008A4C80"/>
    <w:rsid w:val="008A5165"/>
    <w:rsid w:val="008A62E1"/>
    <w:rsid w:val="008A63A0"/>
    <w:rsid w:val="008B2D4A"/>
    <w:rsid w:val="008B61CA"/>
    <w:rsid w:val="008B6FD2"/>
    <w:rsid w:val="008C076B"/>
    <w:rsid w:val="008C2802"/>
    <w:rsid w:val="008C33AC"/>
    <w:rsid w:val="008C36C1"/>
    <w:rsid w:val="008C4169"/>
    <w:rsid w:val="008C7FDA"/>
    <w:rsid w:val="008D0E63"/>
    <w:rsid w:val="008D2378"/>
    <w:rsid w:val="008D4436"/>
    <w:rsid w:val="008E1C2C"/>
    <w:rsid w:val="008E2467"/>
    <w:rsid w:val="008E4308"/>
    <w:rsid w:val="008E7979"/>
    <w:rsid w:val="008E7AEC"/>
    <w:rsid w:val="008F076B"/>
    <w:rsid w:val="008F0BAF"/>
    <w:rsid w:val="008F400E"/>
    <w:rsid w:val="008F45B5"/>
    <w:rsid w:val="008F7671"/>
    <w:rsid w:val="00900362"/>
    <w:rsid w:val="0090349E"/>
    <w:rsid w:val="00903FE4"/>
    <w:rsid w:val="00904D71"/>
    <w:rsid w:val="009062BA"/>
    <w:rsid w:val="00906441"/>
    <w:rsid w:val="00911516"/>
    <w:rsid w:val="009175C2"/>
    <w:rsid w:val="009200DC"/>
    <w:rsid w:val="00922699"/>
    <w:rsid w:val="009248C9"/>
    <w:rsid w:val="0092699C"/>
    <w:rsid w:val="00931F7D"/>
    <w:rsid w:val="009335FF"/>
    <w:rsid w:val="00935361"/>
    <w:rsid w:val="009362E3"/>
    <w:rsid w:val="00943641"/>
    <w:rsid w:val="00943679"/>
    <w:rsid w:val="00944011"/>
    <w:rsid w:val="00947650"/>
    <w:rsid w:val="009534D7"/>
    <w:rsid w:val="00954EDB"/>
    <w:rsid w:val="00955A39"/>
    <w:rsid w:val="009617F9"/>
    <w:rsid w:val="0096523B"/>
    <w:rsid w:val="00966096"/>
    <w:rsid w:val="009676D3"/>
    <w:rsid w:val="0097126A"/>
    <w:rsid w:val="00972C1A"/>
    <w:rsid w:val="009744B9"/>
    <w:rsid w:val="009804FD"/>
    <w:rsid w:val="00982392"/>
    <w:rsid w:val="0098428E"/>
    <w:rsid w:val="00984593"/>
    <w:rsid w:val="009858AB"/>
    <w:rsid w:val="00986992"/>
    <w:rsid w:val="009872B4"/>
    <w:rsid w:val="00987C08"/>
    <w:rsid w:val="00987FBB"/>
    <w:rsid w:val="00993A5B"/>
    <w:rsid w:val="00994A53"/>
    <w:rsid w:val="009A176F"/>
    <w:rsid w:val="009A1962"/>
    <w:rsid w:val="009A289D"/>
    <w:rsid w:val="009A4472"/>
    <w:rsid w:val="009A73F1"/>
    <w:rsid w:val="009A7DBC"/>
    <w:rsid w:val="009B0E03"/>
    <w:rsid w:val="009B122E"/>
    <w:rsid w:val="009B1BF8"/>
    <w:rsid w:val="009B2091"/>
    <w:rsid w:val="009B378A"/>
    <w:rsid w:val="009B42FD"/>
    <w:rsid w:val="009C0ADA"/>
    <w:rsid w:val="009C401C"/>
    <w:rsid w:val="009C6577"/>
    <w:rsid w:val="009D04DB"/>
    <w:rsid w:val="009D168E"/>
    <w:rsid w:val="009D22AF"/>
    <w:rsid w:val="009D2F0B"/>
    <w:rsid w:val="009D609D"/>
    <w:rsid w:val="009D6144"/>
    <w:rsid w:val="009D6A8E"/>
    <w:rsid w:val="009E1963"/>
    <w:rsid w:val="009E2B23"/>
    <w:rsid w:val="009E2C33"/>
    <w:rsid w:val="009E4FAD"/>
    <w:rsid w:val="009E5BE6"/>
    <w:rsid w:val="009E5C92"/>
    <w:rsid w:val="009E719F"/>
    <w:rsid w:val="009F24D8"/>
    <w:rsid w:val="009F442D"/>
    <w:rsid w:val="009F4ECD"/>
    <w:rsid w:val="009F54F6"/>
    <w:rsid w:val="009F718B"/>
    <w:rsid w:val="009F7CA0"/>
    <w:rsid w:val="00A00A01"/>
    <w:rsid w:val="00A00E69"/>
    <w:rsid w:val="00A02AC8"/>
    <w:rsid w:val="00A03E82"/>
    <w:rsid w:val="00A078F3"/>
    <w:rsid w:val="00A10292"/>
    <w:rsid w:val="00A1088B"/>
    <w:rsid w:val="00A11C1B"/>
    <w:rsid w:val="00A1344B"/>
    <w:rsid w:val="00A15402"/>
    <w:rsid w:val="00A1741F"/>
    <w:rsid w:val="00A2644C"/>
    <w:rsid w:val="00A27FBB"/>
    <w:rsid w:val="00A32A84"/>
    <w:rsid w:val="00A33CF3"/>
    <w:rsid w:val="00A3493C"/>
    <w:rsid w:val="00A35D7F"/>
    <w:rsid w:val="00A36F01"/>
    <w:rsid w:val="00A41E19"/>
    <w:rsid w:val="00A429DA"/>
    <w:rsid w:val="00A42D5C"/>
    <w:rsid w:val="00A449E7"/>
    <w:rsid w:val="00A45EE4"/>
    <w:rsid w:val="00A506EE"/>
    <w:rsid w:val="00A5202A"/>
    <w:rsid w:val="00A5215E"/>
    <w:rsid w:val="00A53229"/>
    <w:rsid w:val="00A53A6E"/>
    <w:rsid w:val="00A61B8E"/>
    <w:rsid w:val="00A62588"/>
    <w:rsid w:val="00A628FD"/>
    <w:rsid w:val="00A65B17"/>
    <w:rsid w:val="00A66FCA"/>
    <w:rsid w:val="00A67000"/>
    <w:rsid w:val="00A715A7"/>
    <w:rsid w:val="00A71629"/>
    <w:rsid w:val="00A753FF"/>
    <w:rsid w:val="00A761FF"/>
    <w:rsid w:val="00A80916"/>
    <w:rsid w:val="00A83783"/>
    <w:rsid w:val="00A9110B"/>
    <w:rsid w:val="00A9279A"/>
    <w:rsid w:val="00A94985"/>
    <w:rsid w:val="00A9623A"/>
    <w:rsid w:val="00A9695C"/>
    <w:rsid w:val="00A97EE3"/>
    <w:rsid w:val="00AA1568"/>
    <w:rsid w:val="00AA1A7B"/>
    <w:rsid w:val="00AA528B"/>
    <w:rsid w:val="00AA5F72"/>
    <w:rsid w:val="00AA759F"/>
    <w:rsid w:val="00AB039B"/>
    <w:rsid w:val="00AB1FFA"/>
    <w:rsid w:val="00AB38F8"/>
    <w:rsid w:val="00AB63E2"/>
    <w:rsid w:val="00AC124C"/>
    <w:rsid w:val="00AC1D07"/>
    <w:rsid w:val="00AC2A9C"/>
    <w:rsid w:val="00AC4290"/>
    <w:rsid w:val="00AC77C2"/>
    <w:rsid w:val="00AD0AD3"/>
    <w:rsid w:val="00AD319E"/>
    <w:rsid w:val="00AD4332"/>
    <w:rsid w:val="00AE281A"/>
    <w:rsid w:val="00AE3F86"/>
    <w:rsid w:val="00AE42A8"/>
    <w:rsid w:val="00AE5ADB"/>
    <w:rsid w:val="00AF40CD"/>
    <w:rsid w:val="00AF4FA3"/>
    <w:rsid w:val="00B00F18"/>
    <w:rsid w:val="00B02AAC"/>
    <w:rsid w:val="00B03412"/>
    <w:rsid w:val="00B055BE"/>
    <w:rsid w:val="00B07572"/>
    <w:rsid w:val="00B12776"/>
    <w:rsid w:val="00B1350D"/>
    <w:rsid w:val="00B13D1B"/>
    <w:rsid w:val="00B1653E"/>
    <w:rsid w:val="00B16935"/>
    <w:rsid w:val="00B17798"/>
    <w:rsid w:val="00B177F1"/>
    <w:rsid w:val="00B17AD1"/>
    <w:rsid w:val="00B20761"/>
    <w:rsid w:val="00B22622"/>
    <w:rsid w:val="00B26305"/>
    <w:rsid w:val="00B2693F"/>
    <w:rsid w:val="00B27FD5"/>
    <w:rsid w:val="00B32BC1"/>
    <w:rsid w:val="00B359F9"/>
    <w:rsid w:val="00B36F6F"/>
    <w:rsid w:val="00B40DFF"/>
    <w:rsid w:val="00B41F35"/>
    <w:rsid w:val="00B43248"/>
    <w:rsid w:val="00B447FE"/>
    <w:rsid w:val="00B44800"/>
    <w:rsid w:val="00B4542D"/>
    <w:rsid w:val="00B4597B"/>
    <w:rsid w:val="00B45B5A"/>
    <w:rsid w:val="00B471EA"/>
    <w:rsid w:val="00B5025C"/>
    <w:rsid w:val="00B525D4"/>
    <w:rsid w:val="00B52FBF"/>
    <w:rsid w:val="00B55DD6"/>
    <w:rsid w:val="00B63151"/>
    <w:rsid w:val="00B67FAD"/>
    <w:rsid w:val="00B7242F"/>
    <w:rsid w:val="00B7300F"/>
    <w:rsid w:val="00B734BC"/>
    <w:rsid w:val="00B75A37"/>
    <w:rsid w:val="00B75FFC"/>
    <w:rsid w:val="00B836F2"/>
    <w:rsid w:val="00B83AC1"/>
    <w:rsid w:val="00B83CDE"/>
    <w:rsid w:val="00B863F0"/>
    <w:rsid w:val="00B90FAE"/>
    <w:rsid w:val="00B91A85"/>
    <w:rsid w:val="00B92E73"/>
    <w:rsid w:val="00B94EE1"/>
    <w:rsid w:val="00B95401"/>
    <w:rsid w:val="00BA63D6"/>
    <w:rsid w:val="00BA73E4"/>
    <w:rsid w:val="00BA7C60"/>
    <w:rsid w:val="00BB059B"/>
    <w:rsid w:val="00BB2C6B"/>
    <w:rsid w:val="00BB2EF4"/>
    <w:rsid w:val="00BB3F57"/>
    <w:rsid w:val="00BB5BBA"/>
    <w:rsid w:val="00BB7718"/>
    <w:rsid w:val="00BC1204"/>
    <w:rsid w:val="00BC165D"/>
    <w:rsid w:val="00BC1BEC"/>
    <w:rsid w:val="00BC33D7"/>
    <w:rsid w:val="00BC586A"/>
    <w:rsid w:val="00BC6915"/>
    <w:rsid w:val="00BD00A1"/>
    <w:rsid w:val="00BD350C"/>
    <w:rsid w:val="00BD5725"/>
    <w:rsid w:val="00BD573F"/>
    <w:rsid w:val="00BD6EF4"/>
    <w:rsid w:val="00BD70E8"/>
    <w:rsid w:val="00BD734D"/>
    <w:rsid w:val="00BD761B"/>
    <w:rsid w:val="00BE1309"/>
    <w:rsid w:val="00BE15FF"/>
    <w:rsid w:val="00BE1A4A"/>
    <w:rsid w:val="00BE4251"/>
    <w:rsid w:val="00BE430D"/>
    <w:rsid w:val="00BE7457"/>
    <w:rsid w:val="00BF062C"/>
    <w:rsid w:val="00BF50C2"/>
    <w:rsid w:val="00BF74AB"/>
    <w:rsid w:val="00C025AD"/>
    <w:rsid w:val="00C035B8"/>
    <w:rsid w:val="00C06914"/>
    <w:rsid w:val="00C13F13"/>
    <w:rsid w:val="00C14FBD"/>
    <w:rsid w:val="00C1714D"/>
    <w:rsid w:val="00C20012"/>
    <w:rsid w:val="00C26E43"/>
    <w:rsid w:val="00C27956"/>
    <w:rsid w:val="00C30707"/>
    <w:rsid w:val="00C30B8F"/>
    <w:rsid w:val="00C30D9A"/>
    <w:rsid w:val="00C30F70"/>
    <w:rsid w:val="00C327CD"/>
    <w:rsid w:val="00C338E2"/>
    <w:rsid w:val="00C3540C"/>
    <w:rsid w:val="00C3604B"/>
    <w:rsid w:val="00C377BA"/>
    <w:rsid w:val="00C411E6"/>
    <w:rsid w:val="00C42C48"/>
    <w:rsid w:val="00C42DC0"/>
    <w:rsid w:val="00C47972"/>
    <w:rsid w:val="00C5094E"/>
    <w:rsid w:val="00C50EDE"/>
    <w:rsid w:val="00C53BAC"/>
    <w:rsid w:val="00C54D01"/>
    <w:rsid w:val="00C56F26"/>
    <w:rsid w:val="00C57EA7"/>
    <w:rsid w:val="00C64E4E"/>
    <w:rsid w:val="00C6531A"/>
    <w:rsid w:val="00C65BED"/>
    <w:rsid w:val="00C66128"/>
    <w:rsid w:val="00C67732"/>
    <w:rsid w:val="00C70A7C"/>
    <w:rsid w:val="00C71CFD"/>
    <w:rsid w:val="00C73454"/>
    <w:rsid w:val="00C75971"/>
    <w:rsid w:val="00C7736E"/>
    <w:rsid w:val="00C81D7F"/>
    <w:rsid w:val="00C826AD"/>
    <w:rsid w:val="00C83E6F"/>
    <w:rsid w:val="00C84C17"/>
    <w:rsid w:val="00C9005C"/>
    <w:rsid w:val="00C947B6"/>
    <w:rsid w:val="00C957FA"/>
    <w:rsid w:val="00CA43D5"/>
    <w:rsid w:val="00CA5C02"/>
    <w:rsid w:val="00CA6673"/>
    <w:rsid w:val="00CA6E79"/>
    <w:rsid w:val="00CA7772"/>
    <w:rsid w:val="00CB19D5"/>
    <w:rsid w:val="00CB41B7"/>
    <w:rsid w:val="00CB4E4B"/>
    <w:rsid w:val="00CB616F"/>
    <w:rsid w:val="00CB6907"/>
    <w:rsid w:val="00CC11EF"/>
    <w:rsid w:val="00CC23CD"/>
    <w:rsid w:val="00CC2746"/>
    <w:rsid w:val="00CD1A79"/>
    <w:rsid w:val="00CD4AC9"/>
    <w:rsid w:val="00CD51B2"/>
    <w:rsid w:val="00CD7A9B"/>
    <w:rsid w:val="00CE082D"/>
    <w:rsid w:val="00CE083A"/>
    <w:rsid w:val="00CE4637"/>
    <w:rsid w:val="00CE5D54"/>
    <w:rsid w:val="00CE7491"/>
    <w:rsid w:val="00CF1327"/>
    <w:rsid w:val="00CF23A0"/>
    <w:rsid w:val="00CF7310"/>
    <w:rsid w:val="00D00CF3"/>
    <w:rsid w:val="00D043ED"/>
    <w:rsid w:val="00D044E2"/>
    <w:rsid w:val="00D04D89"/>
    <w:rsid w:val="00D05E45"/>
    <w:rsid w:val="00D07787"/>
    <w:rsid w:val="00D07CA6"/>
    <w:rsid w:val="00D10406"/>
    <w:rsid w:val="00D105CB"/>
    <w:rsid w:val="00D11664"/>
    <w:rsid w:val="00D11956"/>
    <w:rsid w:val="00D11AA9"/>
    <w:rsid w:val="00D147C3"/>
    <w:rsid w:val="00D14B69"/>
    <w:rsid w:val="00D14C10"/>
    <w:rsid w:val="00D20C83"/>
    <w:rsid w:val="00D21127"/>
    <w:rsid w:val="00D21514"/>
    <w:rsid w:val="00D2226E"/>
    <w:rsid w:val="00D22314"/>
    <w:rsid w:val="00D23B39"/>
    <w:rsid w:val="00D25570"/>
    <w:rsid w:val="00D30FBB"/>
    <w:rsid w:val="00D31801"/>
    <w:rsid w:val="00D31A21"/>
    <w:rsid w:val="00D3489D"/>
    <w:rsid w:val="00D37726"/>
    <w:rsid w:val="00D404A1"/>
    <w:rsid w:val="00D413FA"/>
    <w:rsid w:val="00D42BDA"/>
    <w:rsid w:val="00D45B0F"/>
    <w:rsid w:val="00D46F31"/>
    <w:rsid w:val="00D502D2"/>
    <w:rsid w:val="00D50F48"/>
    <w:rsid w:val="00D52690"/>
    <w:rsid w:val="00D54ABA"/>
    <w:rsid w:val="00D5633B"/>
    <w:rsid w:val="00D56476"/>
    <w:rsid w:val="00D57957"/>
    <w:rsid w:val="00D60F6F"/>
    <w:rsid w:val="00D61357"/>
    <w:rsid w:val="00D6753D"/>
    <w:rsid w:val="00D70DF1"/>
    <w:rsid w:val="00D70EA6"/>
    <w:rsid w:val="00D71BF9"/>
    <w:rsid w:val="00D733BE"/>
    <w:rsid w:val="00D73B60"/>
    <w:rsid w:val="00D77EE7"/>
    <w:rsid w:val="00D800AF"/>
    <w:rsid w:val="00D8153B"/>
    <w:rsid w:val="00D83A6B"/>
    <w:rsid w:val="00D92C91"/>
    <w:rsid w:val="00D934D1"/>
    <w:rsid w:val="00D94767"/>
    <w:rsid w:val="00D94A78"/>
    <w:rsid w:val="00DA0ABD"/>
    <w:rsid w:val="00DA4E8B"/>
    <w:rsid w:val="00DB027D"/>
    <w:rsid w:val="00DB17A6"/>
    <w:rsid w:val="00DB34D9"/>
    <w:rsid w:val="00DB3881"/>
    <w:rsid w:val="00DB3CDE"/>
    <w:rsid w:val="00DC6A2A"/>
    <w:rsid w:val="00DC6A45"/>
    <w:rsid w:val="00DC7640"/>
    <w:rsid w:val="00DD1447"/>
    <w:rsid w:val="00DD2CA5"/>
    <w:rsid w:val="00DD5B85"/>
    <w:rsid w:val="00DD5D4F"/>
    <w:rsid w:val="00DD5F18"/>
    <w:rsid w:val="00DE1E19"/>
    <w:rsid w:val="00DE27DB"/>
    <w:rsid w:val="00DE2801"/>
    <w:rsid w:val="00DE367A"/>
    <w:rsid w:val="00DE4039"/>
    <w:rsid w:val="00DF09A2"/>
    <w:rsid w:val="00DF2F39"/>
    <w:rsid w:val="00DF34B2"/>
    <w:rsid w:val="00DF4CDC"/>
    <w:rsid w:val="00DF565C"/>
    <w:rsid w:val="00DF5CE7"/>
    <w:rsid w:val="00E00114"/>
    <w:rsid w:val="00E00686"/>
    <w:rsid w:val="00E009F6"/>
    <w:rsid w:val="00E01DF9"/>
    <w:rsid w:val="00E02190"/>
    <w:rsid w:val="00E02687"/>
    <w:rsid w:val="00E02F89"/>
    <w:rsid w:val="00E0693D"/>
    <w:rsid w:val="00E14459"/>
    <w:rsid w:val="00E14545"/>
    <w:rsid w:val="00E14932"/>
    <w:rsid w:val="00E15D06"/>
    <w:rsid w:val="00E16B21"/>
    <w:rsid w:val="00E20072"/>
    <w:rsid w:val="00E2021C"/>
    <w:rsid w:val="00E206FD"/>
    <w:rsid w:val="00E24716"/>
    <w:rsid w:val="00E2481B"/>
    <w:rsid w:val="00E25219"/>
    <w:rsid w:val="00E302C0"/>
    <w:rsid w:val="00E32F21"/>
    <w:rsid w:val="00E33364"/>
    <w:rsid w:val="00E337B2"/>
    <w:rsid w:val="00E33928"/>
    <w:rsid w:val="00E34337"/>
    <w:rsid w:val="00E35169"/>
    <w:rsid w:val="00E355C5"/>
    <w:rsid w:val="00E368BD"/>
    <w:rsid w:val="00E36D99"/>
    <w:rsid w:val="00E36E57"/>
    <w:rsid w:val="00E36FE4"/>
    <w:rsid w:val="00E40208"/>
    <w:rsid w:val="00E44CC2"/>
    <w:rsid w:val="00E50F50"/>
    <w:rsid w:val="00E53A62"/>
    <w:rsid w:val="00E53D84"/>
    <w:rsid w:val="00E5481F"/>
    <w:rsid w:val="00E56648"/>
    <w:rsid w:val="00E61DE3"/>
    <w:rsid w:val="00E62A03"/>
    <w:rsid w:val="00E62BF0"/>
    <w:rsid w:val="00E646DD"/>
    <w:rsid w:val="00E6544B"/>
    <w:rsid w:val="00E6737F"/>
    <w:rsid w:val="00E67A27"/>
    <w:rsid w:val="00E67BEA"/>
    <w:rsid w:val="00E70305"/>
    <w:rsid w:val="00E718CC"/>
    <w:rsid w:val="00E72A66"/>
    <w:rsid w:val="00E72E64"/>
    <w:rsid w:val="00E737B6"/>
    <w:rsid w:val="00E76A63"/>
    <w:rsid w:val="00E76B8B"/>
    <w:rsid w:val="00E8026A"/>
    <w:rsid w:val="00E81209"/>
    <w:rsid w:val="00E83C4D"/>
    <w:rsid w:val="00E852F9"/>
    <w:rsid w:val="00E866A2"/>
    <w:rsid w:val="00E904A3"/>
    <w:rsid w:val="00E90BEC"/>
    <w:rsid w:val="00E911A1"/>
    <w:rsid w:val="00E93065"/>
    <w:rsid w:val="00E9607D"/>
    <w:rsid w:val="00E96FE3"/>
    <w:rsid w:val="00EA0E64"/>
    <w:rsid w:val="00EA350F"/>
    <w:rsid w:val="00EA5F89"/>
    <w:rsid w:val="00EA7F31"/>
    <w:rsid w:val="00EB5CE8"/>
    <w:rsid w:val="00EB75AA"/>
    <w:rsid w:val="00EB7649"/>
    <w:rsid w:val="00EB7CD6"/>
    <w:rsid w:val="00EC0105"/>
    <w:rsid w:val="00EC5AF6"/>
    <w:rsid w:val="00ED009E"/>
    <w:rsid w:val="00ED0EBF"/>
    <w:rsid w:val="00ED0F7E"/>
    <w:rsid w:val="00ED145E"/>
    <w:rsid w:val="00ED7521"/>
    <w:rsid w:val="00EE0330"/>
    <w:rsid w:val="00EE21F0"/>
    <w:rsid w:val="00EE29DD"/>
    <w:rsid w:val="00EE2BA2"/>
    <w:rsid w:val="00EE3A39"/>
    <w:rsid w:val="00EE513F"/>
    <w:rsid w:val="00EE5D1D"/>
    <w:rsid w:val="00EE76D5"/>
    <w:rsid w:val="00EF032F"/>
    <w:rsid w:val="00EF4290"/>
    <w:rsid w:val="00EF5DB5"/>
    <w:rsid w:val="00EF64B7"/>
    <w:rsid w:val="00EF706C"/>
    <w:rsid w:val="00EF75DC"/>
    <w:rsid w:val="00F00F23"/>
    <w:rsid w:val="00F02422"/>
    <w:rsid w:val="00F03AB0"/>
    <w:rsid w:val="00F03E18"/>
    <w:rsid w:val="00F10135"/>
    <w:rsid w:val="00F12C2F"/>
    <w:rsid w:val="00F13923"/>
    <w:rsid w:val="00F13D93"/>
    <w:rsid w:val="00F17035"/>
    <w:rsid w:val="00F17866"/>
    <w:rsid w:val="00F17AE3"/>
    <w:rsid w:val="00F20B55"/>
    <w:rsid w:val="00F212AA"/>
    <w:rsid w:val="00F24535"/>
    <w:rsid w:val="00F252DC"/>
    <w:rsid w:val="00F256B4"/>
    <w:rsid w:val="00F25E3A"/>
    <w:rsid w:val="00F26E75"/>
    <w:rsid w:val="00F27F83"/>
    <w:rsid w:val="00F30624"/>
    <w:rsid w:val="00F34171"/>
    <w:rsid w:val="00F3476C"/>
    <w:rsid w:val="00F35C89"/>
    <w:rsid w:val="00F37BAD"/>
    <w:rsid w:val="00F40104"/>
    <w:rsid w:val="00F40C33"/>
    <w:rsid w:val="00F47B16"/>
    <w:rsid w:val="00F50DA7"/>
    <w:rsid w:val="00F53314"/>
    <w:rsid w:val="00F534B0"/>
    <w:rsid w:val="00F60AF7"/>
    <w:rsid w:val="00F627FC"/>
    <w:rsid w:val="00F62C66"/>
    <w:rsid w:val="00F633E7"/>
    <w:rsid w:val="00F6340B"/>
    <w:rsid w:val="00F64D97"/>
    <w:rsid w:val="00F667AC"/>
    <w:rsid w:val="00F66F3C"/>
    <w:rsid w:val="00F70F13"/>
    <w:rsid w:val="00F71653"/>
    <w:rsid w:val="00F7583D"/>
    <w:rsid w:val="00F75A1F"/>
    <w:rsid w:val="00F767A9"/>
    <w:rsid w:val="00F769FD"/>
    <w:rsid w:val="00F872DE"/>
    <w:rsid w:val="00F87A58"/>
    <w:rsid w:val="00F91D27"/>
    <w:rsid w:val="00F92EA8"/>
    <w:rsid w:val="00F93892"/>
    <w:rsid w:val="00F959E9"/>
    <w:rsid w:val="00F96F24"/>
    <w:rsid w:val="00FA0982"/>
    <w:rsid w:val="00FA37BD"/>
    <w:rsid w:val="00FA46A1"/>
    <w:rsid w:val="00FA5292"/>
    <w:rsid w:val="00FA76A4"/>
    <w:rsid w:val="00FB0F38"/>
    <w:rsid w:val="00FB14D8"/>
    <w:rsid w:val="00FB274E"/>
    <w:rsid w:val="00FB368F"/>
    <w:rsid w:val="00FC0BBD"/>
    <w:rsid w:val="00FC3CA3"/>
    <w:rsid w:val="00FC63E9"/>
    <w:rsid w:val="00FD0EAE"/>
    <w:rsid w:val="00FD5DF1"/>
    <w:rsid w:val="00FD6264"/>
    <w:rsid w:val="00FE047E"/>
    <w:rsid w:val="00FE04FB"/>
    <w:rsid w:val="00FE0BFC"/>
    <w:rsid w:val="00FE0F06"/>
    <w:rsid w:val="00FE1C26"/>
    <w:rsid w:val="00FE4A98"/>
    <w:rsid w:val="00FE7E31"/>
    <w:rsid w:val="00FF4BE7"/>
    <w:rsid w:val="00FF6DDD"/>
    <w:rsid w:val="00FF71BE"/>
    <w:rsid w:val="00FF738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7A56BC8"/>
  <w15:docId w15:val="{CC02A107-EF23-4425-9D5F-01EA6957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904"/>
    <w:rPr>
      <w:rFonts w:ascii="Calibri" w:eastAsia="Calibri" w:hAnsi="Calibri" w:cs="Times New Roman"/>
      <w:lang w:val="es-MX" w:bidi="ar-SA"/>
    </w:rPr>
  </w:style>
  <w:style w:type="paragraph" w:styleId="Ttulo1">
    <w:name w:val="heading 1"/>
    <w:basedOn w:val="Normal"/>
    <w:next w:val="Normal"/>
    <w:link w:val="Ttulo1Car"/>
    <w:uiPriority w:val="9"/>
    <w:qFormat/>
    <w:rsid w:val="00204904"/>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204904"/>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iPriority w:val="9"/>
    <w:semiHidden/>
    <w:unhideWhenUsed/>
    <w:qFormat/>
    <w:rsid w:val="00204904"/>
    <w:pPr>
      <w:keepNext/>
      <w:spacing w:before="240" w:after="60"/>
      <w:outlineLvl w:val="2"/>
    </w:pPr>
    <w:rPr>
      <w:rFonts w:ascii="Calibri Light" w:eastAsia="Times New Roman"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4904"/>
    <w:rPr>
      <w:rFonts w:ascii="Cambria" w:eastAsia="Times New Roman" w:hAnsi="Cambria" w:cs="Times New Roman"/>
      <w:b/>
      <w:bCs/>
      <w:color w:val="365F91"/>
      <w:sz w:val="28"/>
      <w:szCs w:val="28"/>
      <w:lang w:bidi="ar-SA"/>
    </w:rPr>
  </w:style>
  <w:style w:type="character" w:customStyle="1" w:styleId="Ttulo2Car">
    <w:name w:val="Título 2 Car"/>
    <w:basedOn w:val="Fuentedeprrafopredeter"/>
    <w:link w:val="Ttulo2"/>
    <w:uiPriority w:val="9"/>
    <w:rsid w:val="00204904"/>
    <w:rPr>
      <w:rFonts w:ascii="Calibri Light" w:eastAsia="Times New Roman" w:hAnsi="Calibri Light" w:cs="Times New Roman"/>
      <w:b/>
      <w:bCs/>
      <w:i/>
      <w:iCs/>
      <w:sz w:val="28"/>
      <w:szCs w:val="28"/>
      <w:lang w:val="es-MX" w:bidi="ar-SA"/>
    </w:rPr>
  </w:style>
  <w:style w:type="character" w:customStyle="1" w:styleId="Ttulo3Car">
    <w:name w:val="Título 3 Car"/>
    <w:basedOn w:val="Fuentedeprrafopredeter"/>
    <w:link w:val="Ttulo3"/>
    <w:uiPriority w:val="9"/>
    <w:semiHidden/>
    <w:rsid w:val="00204904"/>
    <w:rPr>
      <w:rFonts w:ascii="Calibri Light" w:eastAsia="Times New Roman" w:hAnsi="Calibri Light" w:cs="Times New Roman"/>
      <w:b/>
      <w:bCs/>
      <w:sz w:val="26"/>
      <w:szCs w:val="26"/>
      <w:lang w:val="es-MX" w:bidi="ar-SA"/>
    </w:rPr>
  </w:style>
  <w:style w:type="paragraph" w:styleId="Encabezado">
    <w:name w:val="header"/>
    <w:basedOn w:val="Normal"/>
    <w:link w:val="EncabezadoCar"/>
    <w:uiPriority w:val="99"/>
    <w:unhideWhenUsed/>
    <w:rsid w:val="002049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4904"/>
    <w:rPr>
      <w:rFonts w:ascii="Calibri" w:eastAsia="Calibri" w:hAnsi="Calibri" w:cs="Times New Roman"/>
      <w:lang w:val="es-MX" w:bidi="ar-SA"/>
    </w:rPr>
  </w:style>
  <w:style w:type="paragraph" w:styleId="Piedepgina">
    <w:name w:val="footer"/>
    <w:basedOn w:val="Normal"/>
    <w:link w:val="PiedepginaCar"/>
    <w:unhideWhenUsed/>
    <w:rsid w:val="00204904"/>
    <w:pPr>
      <w:tabs>
        <w:tab w:val="center" w:pos="4419"/>
        <w:tab w:val="right" w:pos="8838"/>
      </w:tabs>
      <w:spacing w:after="0" w:line="240" w:lineRule="auto"/>
    </w:pPr>
  </w:style>
  <w:style w:type="character" w:customStyle="1" w:styleId="PiedepginaCar">
    <w:name w:val="Pie de página Car"/>
    <w:basedOn w:val="Fuentedeprrafopredeter"/>
    <w:link w:val="Piedepgina"/>
    <w:rsid w:val="00204904"/>
    <w:rPr>
      <w:rFonts w:ascii="Calibri" w:eastAsia="Calibri" w:hAnsi="Calibri" w:cs="Times New Roman"/>
      <w:lang w:val="es-MX" w:bidi="ar-SA"/>
    </w:rPr>
  </w:style>
  <w:style w:type="paragraph" w:customStyle="1" w:styleId="estilo30">
    <w:name w:val="estilo30"/>
    <w:basedOn w:val="Normal"/>
    <w:rsid w:val="00204904"/>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204904"/>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204904"/>
    <w:pPr>
      <w:autoSpaceDE w:val="0"/>
      <w:autoSpaceDN w:val="0"/>
      <w:adjustRightInd w:val="0"/>
      <w:spacing w:after="0" w:line="240" w:lineRule="auto"/>
    </w:pPr>
    <w:rPr>
      <w:rFonts w:ascii="Tahoma" w:eastAsia="Calibri" w:hAnsi="Tahoma" w:cs="Tahoma"/>
      <w:color w:val="000000"/>
      <w:sz w:val="24"/>
      <w:szCs w:val="24"/>
      <w:lang w:val="es-MX" w:eastAsia="es-MX" w:bidi="ar-SA"/>
    </w:rPr>
  </w:style>
  <w:style w:type="table" w:styleId="Tablaconcuadrcula">
    <w:name w:val="Table Grid"/>
    <w:basedOn w:val="Tablanormal"/>
    <w:uiPriority w:val="59"/>
    <w:rsid w:val="002049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204904"/>
    <w:pPr>
      <w:ind w:left="720"/>
      <w:contextualSpacing/>
    </w:pPr>
  </w:style>
  <w:style w:type="paragraph" w:styleId="Textodeglobo">
    <w:name w:val="Balloon Text"/>
    <w:basedOn w:val="Normal"/>
    <w:link w:val="TextodegloboCar"/>
    <w:uiPriority w:val="99"/>
    <w:semiHidden/>
    <w:unhideWhenUsed/>
    <w:rsid w:val="00204904"/>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204904"/>
    <w:rPr>
      <w:rFonts w:ascii="Tahoma" w:eastAsia="Calibri" w:hAnsi="Tahoma" w:cs="Times New Roman"/>
      <w:sz w:val="16"/>
      <w:szCs w:val="16"/>
      <w:lang w:bidi="ar-SA"/>
    </w:rPr>
  </w:style>
  <w:style w:type="paragraph" w:styleId="Textoindependiente">
    <w:name w:val="Body Text"/>
    <w:aliases w:val="IFT cita calibri,IFT cita"/>
    <w:basedOn w:val="Cita"/>
    <w:link w:val="TextoindependienteCar"/>
    <w:qFormat/>
    <w:rsid w:val="00204904"/>
    <w:pPr>
      <w:spacing w:after="0" w:line="240" w:lineRule="auto"/>
      <w:ind w:left="708"/>
      <w:jc w:val="both"/>
    </w:pPr>
    <w:rPr>
      <w:rFonts w:eastAsia="Times New Roman"/>
      <w:sz w:val="18"/>
      <w:szCs w:val="20"/>
      <w:lang w:eastAsia="es-ES"/>
    </w:rPr>
  </w:style>
  <w:style w:type="character" w:customStyle="1" w:styleId="TextoindependienteCar">
    <w:name w:val="Texto independiente Car"/>
    <w:aliases w:val="IFT cita calibri Car,IFT cita Car"/>
    <w:basedOn w:val="Fuentedeprrafopredeter"/>
    <w:link w:val="Textoindependiente"/>
    <w:rsid w:val="00204904"/>
    <w:rPr>
      <w:rFonts w:ascii="Calibri" w:eastAsia="Times New Roman" w:hAnsi="Calibri" w:cs="Times New Roman"/>
      <w:i/>
      <w:iCs/>
      <w:color w:val="000000"/>
      <w:sz w:val="18"/>
      <w:szCs w:val="20"/>
      <w:lang w:eastAsia="es-ES" w:bidi="ar-SA"/>
    </w:rPr>
  </w:style>
  <w:style w:type="paragraph" w:customStyle="1" w:styleId="Texto">
    <w:name w:val="Texto"/>
    <w:basedOn w:val="Normal"/>
    <w:link w:val="TextoCar"/>
    <w:rsid w:val="00204904"/>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204904"/>
    <w:rPr>
      <w:rFonts w:ascii="Arial" w:eastAsia="Times New Roman" w:hAnsi="Arial" w:cs="Times New Roman"/>
      <w:sz w:val="18"/>
      <w:szCs w:val="20"/>
      <w:lang w:val="es-ES" w:eastAsia="es-ES" w:bidi="ar-SA"/>
    </w:rPr>
  </w:style>
  <w:style w:type="character" w:customStyle="1" w:styleId="apple-converted-space">
    <w:name w:val="apple-converted-space"/>
    <w:basedOn w:val="Fuentedeprrafopredeter"/>
    <w:rsid w:val="00204904"/>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204904"/>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204904"/>
    <w:rPr>
      <w:rFonts w:ascii="Calibri" w:eastAsia="Calibri" w:hAnsi="Calibri" w:cs="Times New Roman"/>
      <w:sz w:val="20"/>
      <w:szCs w:val="20"/>
      <w:lang w:bidi="ar-SA"/>
    </w:rPr>
  </w:style>
  <w:style w:type="character" w:styleId="Refdenotaalpie">
    <w:name w:val="footnote reference"/>
    <w:aliases w:val="Ref,de nota al pie,(NECG) Footnote Reference,o,fr,Style 3,Appel note de bas de p,Style 12,Style 124,Ref. de nota al pie 2,Style 13,Style 7, de nota al pie"/>
    <w:uiPriority w:val="99"/>
    <w:unhideWhenUsed/>
    <w:qFormat/>
    <w:rsid w:val="00204904"/>
    <w:rPr>
      <w:vertAlign w:val="superscript"/>
    </w:rPr>
  </w:style>
  <w:style w:type="character" w:customStyle="1" w:styleId="Cuerpodeltexto">
    <w:name w:val="Cuerpo del texto_"/>
    <w:link w:val="Cuerpodeltexto0"/>
    <w:rsid w:val="00204904"/>
    <w:rPr>
      <w:rFonts w:ascii="Arial" w:eastAsia="Arial" w:hAnsi="Arial" w:cs="Arial"/>
      <w:sz w:val="21"/>
      <w:szCs w:val="21"/>
      <w:shd w:val="clear" w:color="auto" w:fill="FFFFFF"/>
    </w:rPr>
  </w:style>
  <w:style w:type="character" w:customStyle="1" w:styleId="Ttulo4">
    <w:name w:val="Título #4_"/>
    <w:link w:val="Ttulo40"/>
    <w:uiPriority w:val="99"/>
    <w:rsid w:val="00204904"/>
    <w:rPr>
      <w:rFonts w:ascii="Arial" w:eastAsia="Arial" w:hAnsi="Arial" w:cs="Arial"/>
      <w:b/>
      <w:bCs/>
      <w:sz w:val="21"/>
      <w:szCs w:val="21"/>
      <w:shd w:val="clear" w:color="auto" w:fill="FFFFFF"/>
    </w:rPr>
  </w:style>
  <w:style w:type="paragraph" w:customStyle="1" w:styleId="Cuerpodeltexto0">
    <w:name w:val="Cuerpo del texto"/>
    <w:basedOn w:val="Normal"/>
    <w:link w:val="Cuerpodeltexto"/>
    <w:rsid w:val="00204904"/>
    <w:pPr>
      <w:widowControl w:val="0"/>
      <w:shd w:val="clear" w:color="auto" w:fill="FFFFFF"/>
      <w:spacing w:after="0" w:line="256" w:lineRule="exact"/>
      <w:ind w:hanging="700"/>
      <w:jc w:val="both"/>
    </w:pPr>
    <w:rPr>
      <w:rFonts w:ascii="Arial" w:eastAsia="Arial" w:hAnsi="Arial" w:cs="Arial"/>
      <w:sz w:val="21"/>
      <w:szCs w:val="21"/>
      <w:lang w:val="en-US" w:bidi="he-IL"/>
    </w:rPr>
  </w:style>
  <w:style w:type="paragraph" w:customStyle="1" w:styleId="Ttulo40">
    <w:name w:val="Título #4"/>
    <w:basedOn w:val="Normal"/>
    <w:link w:val="Ttulo4"/>
    <w:uiPriority w:val="99"/>
    <w:rsid w:val="00204904"/>
    <w:pPr>
      <w:widowControl w:val="0"/>
      <w:shd w:val="clear" w:color="auto" w:fill="FFFFFF"/>
      <w:spacing w:before="1020" w:after="300" w:line="0" w:lineRule="atLeast"/>
      <w:ind w:hanging="420"/>
      <w:jc w:val="both"/>
      <w:outlineLvl w:val="3"/>
    </w:pPr>
    <w:rPr>
      <w:rFonts w:ascii="Arial" w:eastAsia="Arial" w:hAnsi="Arial" w:cs="Arial"/>
      <w:b/>
      <w:bCs/>
      <w:sz w:val="21"/>
      <w:szCs w:val="21"/>
      <w:lang w:val="en-US" w:bidi="he-IL"/>
    </w:rPr>
  </w:style>
  <w:style w:type="character" w:customStyle="1" w:styleId="CuerpodeltextoCursiva">
    <w:name w:val="Cuerpo del texto + Cursiva"/>
    <w:uiPriority w:val="99"/>
    <w:rsid w:val="00204904"/>
    <w:rPr>
      <w:rFonts w:ascii="Arial" w:eastAsia="Arial" w:hAnsi="Arial" w:cs="Arial"/>
      <w:b w:val="0"/>
      <w:bCs w:val="0"/>
      <w:i/>
      <w:iCs/>
      <w:smallCaps w:val="0"/>
      <w:strike w:val="0"/>
      <w:color w:val="000000"/>
      <w:spacing w:val="0"/>
      <w:w w:val="100"/>
      <w:position w:val="0"/>
      <w:sz w:val="21"/>
      <w:szCs w:val="21"/>
      <w:u w:val="none"/>
      <w:lang w:val="es-ES"/>
    </w:rPr>
  </w:style>
  <w:style w:type="paragraph" w:customStyle="1" w:styleId="Estilo">
    <w:name w:val="Estilo"/>
    <w:basedOn w:val="Sinespaciado"/>
    <w:link w:val="EstiloCar"/>
    <w:qFormat/>
    <w:rsid w:val="00204904"/>
    <w:pPr>
      <w:jc w:val="both"/>
    </w:pPr>
    <w:rPr>
      <w:rFonts w:ascii="Arial" w:hAnsi="Arial"/>
      <w:sz w:val="24"/>
    </w:rPr>
  </w:style>
  <w:style w:type="character" w:customStyle="1" w:styleId="EstiloCar">
    <w:name w:val="Estilo Car"/>
    <w:link w:val="Estilo"/>
    <w:rsid w:val="00204904"/>
    <w:rPr>
      <w:rFonts w:ascii="Arial" w:eastAsia="Calibri" w:hAnsi="Arial" w:cs="Times New Roman"/>
      <w:sz w:val="24"/>
      <w:lang w:bidi="ar-SA"/>
    </w:rPr>
  </w:style>
  <w:style w:type="paragraph" w:styleId="Sinespaciado">
    <w:name w:val="No Spacing"/>
    <w:uiPriority w:val="1"/>
    <w:qFormat/>
    <w:rsid w:val="00204904"/>
    <w:pPr>
      <w:spacing w:after="0" w:line="240" w:lineRule="auto"/>
    </w:pPr>
    <w:rPr>
      <w:rFonts w:ascii="Calibri" w:eastAsia="Calibri" w:hAnsi="Calibri" w:cs="Times New Roman"/>
      <w:lang w:val="es-MX" w:bidi="ar-SA"/>
    </w:rPr>
  </w:style>
  <w:style w:type="character" w:customStyle="1" w:styleId="CuerpodeltextoTimesNewRoman">
    <w:name w:val="Cuerpo del texto + Times New Roman"/>
    <w:uiPriority w:val="99"/>
    <w:rsid w:val="0020490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rPr>
  </w:style>
  <w:style w:type="paragraph" w:customStyle="1" w:styleId="texto0">
    <w:name w:val="texto"/>
    <w:basedOn w:val="Normal"/>
    <w:uiPriority w:val="99"/>
    <w:rsid w:val="00204904"/>
    <w:pPr>
      <w:spacing w:after="101" w:line="216" w:lineRule="atLeast"/>
      <w:ind w:firstLine="288"/>
      <w:jc w:val="both"/>
    </w:pPr>
    <w:rPr>
      <w:rFonts w:ascii="Arial" w:eastAsia="Times New Roman" w:hAnsi="Arial" w:cs="Arial"/>
      <w:sz w:val="18"/>
      <w:szCs w:val="20"/>
      <w:lang w:val="es-ES_tradnl" w:eastAsia="es-MX"/>
    </w:rPr>
  </w:style>
  <w:style w:type="paragraph" w:customStyle="1" w:styleId="ROMANOS">
    <w:name w:val="ROMANOS"/>
    <w:basedOn w:val="Normal"/>
    <w:link w:val="ROMANOSCar"/>
    <w:rsid w:val="00204904"/>
    <w:pPr>
      <w:tabs>
        <w:tab w:val="left" w:pos="720"/>
      </w:tabs>
      <w:spacing w:after="101" w:line="216" w:lineRule="atLeast"/>
      <w:ind w:left="720" w:hanging="432"/>
      <w:jc w:val="both"/>
    </w:pPr>
    <w:rPr>
      <w:rFonts w:ascii="Arial" w:eastAsia="Times New Roman" w:hAnsi="Arial"/>
      <w:sz w:val="18"/>
      <w:szCs w:val="20"/>
      <w:lang w:val="es-ES_tradnl"/>
    </w:rPr>
  </w:style>
  <w:style w:type="paragraph" w:customStyle="1" w:styleId="INCISO">
    <w:name w:val="INCISO"/>
    <w:basedOn w:val="Normal"/>
    <w:link w:val="INCISOCar"/>
    <w:rsid w:val="00204904"/>
    <w:pPr>
      <w:tabs>
        <w:tab w:val="left" w:pos="1152"/>
      </w:tabs>
      <w:spacing w:after="101" w:line="216" w:lineRule="atLeast"/>
      <w:ind w:left="1152" w:hanging="432"/>
      <w:jc w:val="both"/>
    </w:pPr>
    <w:rPr>
      <w:rFonts w:ascii="Arial" w:eastAsia="Times New Roman" w:hAnsi="Arial"/>
      <w:sz w:val="18"/>
      <w:szCs w:val="20"/>
      <w:lang w:val="es-ES_tradnl" w:eastAsia="es-ES"/>
    </w:rPr>
  </w:style>
  <w:style w:type="character" w:customStyle="1" w:styleId="ROMANOSCar">
    <w:name w:val="ROMANOS Car"/>
    <w:link w:val="ROMANOS"/>
    <w:locked/>
    <w:rsid w:val="00204904"/>
    <w:rPr>
      <w:rFonts w:ascii="Arial" w:eastAsia="Times New Roman" w:hAnsi="Arial" w:cs="Times New Roman"/>
      <w:sz w:val="18"/>
      <w:szCs w:val="20"/>
      <w:lang w:val="es-ES_tradnl" w:bidi="ar-SA"/>
    </w:rPr>
  </w:style>
  <w:style w:type="character" w:customStyle="1" w:styleId="INCISOCar">
    <w:name w:val="INCISO Car"/>
    <w:link w:val="INCISO"/>
    <w:rsid w:val="00204904"/>
    <w:rPr>
      <w:rFonts w:ascii="Arial" w:eastAsia="Times New Roman" w:hAnsi="Arial" w:cs="Times New Roman"/>
      <w:sz w:val="18"/>
      <w:szCs w:val="20"/>
      <w:lang w:val="es-ES_tradnl" w:eastAsia="es-ES" w:bidi="ar-SA"/>
    </w:rPr>
  </w:style>
  <w:style w:type="character" w:customStyle="1" w:styleId="ANOTACIONCar">
    <w:name w:val="ANOTACION Car"/>
    <w:link w:val="ANOTACION"/>
    <w:locked/>
    <w:rsid w:val="00204904"/>
    <w:rPr>
      <w:rFonts w:ascii="Times New Roman" w:eastAsia="Times New Roman" w:hAnsi="Times New Roman"/>
      <w:b/>
      <w:sz w:val="18"/>
      <w:lang w:val="es-ES_tradnl" w:eastAsia="es-ES"/>
    </w:rPr>
  </w:style>
  <w:style w:type="paragraph" w:customStyle="1" w:styleId="ANOTACION">
    <w:name w:val="ANOTACION"/>
    <w:basedOn w:val="Normal"/>
    <w:link w:val="ANOTACIONCar"/>
    <w:rsid w:val="00204904"/>
    <w:pPr>
      <w:spacing w:before="101" w:after="101" w:line="216" w:lineRule="atLeast"/>
      <w:jc w:val="center"/>
    </w:pPr>
    <w:rPr>
      <w:rFonts w:ascii="Times New Roman" w:eastAsia="Times New Roman" w:hAnsi="Times New Roman" w:cstheme="minorBidi"/>
      <w:b/>
      <w:sz w:val="18"/>
      <w:lang w:val="es-ES_tradnl" w:eastAsia="es-ES" w:bidi="he-IL"/>
    </w:rPr>
  </w:style>
  <w:style w:type="character" w:styleId="Hipervnculo">
    <w:name w:val="Hyperlink"/>
    <w:uiPriority w:val="99"/>
    <w:unhideWhenUsed/>
    <w:rsid w:val="00204904"/>
    <w:rPr>
      <w:color w:val="0000FF"/>
      <w:u w:val="single"/>
    </w:rPr>
  </w:style>
  <w:style w:type="character" w:styleId="Refdecomentario">
    <w:name w:val="annotation reference"/>
    <w:unhideWhenUsed/>
    <w:rsid w:val="00204904"/>
    <w:rPr>
      <w:sz w:val="16"/>
      <w:szCs w:val="16"/>
    </w:rPr>
  </w:style>
  <w:style w:type="paragraph" w:styleId="Textocomentario">
    <w:name w:val="annotation text"/>
    <w:basedOn w:val="Normal"/>
    <w:link w:val="TextocomentarioCar"/>
    <w:uiPriority w:val="99"/>
    <w:unhideWhenUsed/>
    <w:rsid w:val="00204904"/>
    <w:pPr>
      <w:spacing w:line="240" w:lineRule="auto"/>
    </w:pPr>
    <w:rPr>
      <w:rFonts w:eastAsia="Times New Roman"/>
      <w:sz w:val="20"/>
      <w:szCs w:val="20"/>
    </w:rPr>
  </w:style>
  <w:style w:type="character" w:customStyle="1" w:styleId="TextocomentarioCar">
    <w:name w:val="Texto comentario Car"/>
    <w:basedOn w:val="Fuentedeprrafopredeter"/>
    <w:link w:val="Textocomentario"/>
    <w:uiPriority w:val="99"/>
    <w:rsid w:val="00204904"/>
    <w:rPr>
      <w:rFonts w:ascii="Calibri" w:eastAsia="Times New Roman" w:hAnsi="Calibri" w:cs="Times New Roman"/>
      <w:sz w:val="20"/>
      <w:szCs w:val="20"/>
      <w:lang w:bidi="ar-SA"/>
    </w:rPr>
  </w:style>
  <w:style w:type="paragraph" w:customStyle="1" w:styleId="IFTnormal">
    <w:name w:val="IFT normal"/>
    <w:basedOn w:val="Normal"/>
    <w:qFormat/>
    <w:rsid w:val="00204904"/>
    <w:pPr>
      <w:ind w:left="426"/>
      <w:jc w:val="both"/>
    </w:pPr>
    <w:rPr>
      <w:rFonts w:ascii="ITC Avant Garde" w:eastAsia="Times New Roman" w:hAnsi="ITC Avant Garde"/>
      <w:iCs/>
      <w:lang w:val="es-ES" w:eastAsia="es-MX"/>
    </w:rPr>
  </w:style>
  <w:style w:type="paragraph" w:customStyle="1" w:styleId="BodyTextFlush">
    <w:name w:val="Body Text Flush"/>
    <w:basedOn w:val="Textoindependiente"/>
    <w:next w:val="Textoindependiente"/>
    <w:rsid w:val="00204904"/>
    <w:pPr>
      <w:spacing w:after="140" w:line="360" w:lineRule="auto"/>
    </w:pPr>
    <w:rPr>
      <w:rFonts w:ascii="Times New Roman" w:hAnsi="Times New Roman"/>
      <w:lang w:val="en-US"/>
    </w:rPr>
  </w:style>
  <w:style w:type="paragraph" w:customStyle="1" w:styleId="NumeracinIFT">
    <w:name w:val="Numeración IFT"/>
    <w:basedOn w:val="Prrafodelista"/>
    <w:link w:val="NumeracinIFTCar"/>
    <w:qFormat/>
    <w:rsid w:val="00204904"/>
    <w:pPr>
      <w:numPr>
        <w:numId w:val="1"/>
      </w:numPr>
      <w:ind w:left="0"/>
      <w:jc w:val="both"/>
    </w:pPr>
    <w:rPr>
      <w:rFonts w:ascii="ITC Avant Garde" w:eastAsia="Times New Roman" w:hAnsi="ITC Avant Garde"/>
      <w:iCs/>
    </w:rPr>
  </w:style>
  <w:style w:type="character" w:customStyle="1" w:styleId="PrrafodelistaCar">
    <w:name w:val="Párrafo de lista Car"/>
    <w:link w:val="Prrafodelista"/>
    <w:uiPriority w:val="34"/>
    <w:rsid w:val="00204904"/>
    <w:rPr>
      <w:rFonts w:ascii="Calibri" w:eastAsia="Calibri" w:hAnsi="Calibri" w:cs="Times New Roman"/>
      <w:lang w:bidi="ar-SA"/>
    </w:rPr>
  </w:style>
  <w:style w:type="character" w:customStyle="1" w:styleId="NumeracinIFTCar">
    <w:name w:val="Numeración IFT Car"/>
    <w:link w:val="NumeracinIFT"/>
    <w:rsid w:val="00204904"/>
    <w:rPr>
      <w:rFonts w:ascii="ITC Avant Garde" w:eastAsia="Times New Roman" w:hAnsi="ITC Avant Garde" w:cs="Times New Roman"/>
      <w:iCs/>
      <w:lang w:bidi="ar-SA"/>
    </w:rPr>
  </w:style>
  <w:style w:type="paragraph" w:customStyle="1" w:styleId="CM13">
    <w:name w:val="CM13"/>
    <w:basedOn w:val="Normal"/>
    <w:next w:val="Normal"/>
    <w:uiPriority w:val="99"/>
    <w:rsid w:val="00204904"/>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styleId="Textoindependiente3">
    <w:name w:val="Body Text 3"/>
    <w:basedOn w:val="Normal"/>
    <w:link w:val="Textoindependiente3Car"/>
    <w:uiPriority w:val="99"/>
    <w:semiHidden/>
    <w:unhideWhenUsed/>
    <w:rsid w:val="0020490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04904"/>
    <w:rPr>
      <w:rFonts w:ascii="Calibri" w:eastAsia="Calibri" w:hAnsi="Calibri" w:cs="Times New Roman"/>
      <w:sz w:val="16"/>
      <w:szCs w:val="16"/>
      <w:lang w:bidi="ar-SA"/>
    </w:rPr>
  </w:style>
  <w:style w:type="paragraph" w:customStyle="1" w:styleId="IFT1">
    <w:name w:val="IFT 1"/>
    <w:basedOn w:val="Normal"/>
    <w:link w:val="IFT1Car"/>
    <w:qFormat/>
    <w:rsid w:val="00204904"/>
    <w:pPr>
      <w:jc w:val="both"/>
    </w:pPr>
    <w:rPr>
      <w:rFonts w:ascii="ITC Avant Garde" w:eastAsia="Times New Roman" w:hAnsi="ITC Avant Garde"/>
      <w:iCs/>
    </w:rPr>
  </w:style>
  <w:style w:type="character" w:customStyle="1" w:styleId="IFT1Car">
    <w:name w:val="IFT 1 Car"/>
    <w:link w:val="IFT1"/>
    <w:rsid w:val="00204904"/>
    <w:rPr>
      <w:rFonts w:ascii="ITC Avant Garde" w:eastAsia="Times New Roman" w:hAnsi="ITC Avant Garde" w:cs="Times New Roman"/>
      <w:iCs/>
      <w:lang w:bidi="ar-SA"/>
    </w:rPr>
  </w:style>
  <w:style w:type="character" w:customStyle="1" w:styleId="hps">
    <w:name w:val="hps"/>
    <w:basedOn w:val="Fuentedeprrafopredeter"/>
    <w:rsid w:val="00204904"/>
  </w:style>
  <w:style w:type="paragraph" w:styleId="Listaconvietas">
    <w:name w:val="List Bullet"/>
    <w:basedOn w:val="Normal"/>
    <w:uiPriority w:val="99"/>
    <w:unhideWhenUsed/>
    <w:rsid w:val="00204904"/>
    <w:pPr>
      <w:numPr>
        <w:numId w:val="2"/>
      </w:numPr>
      <w:contextualSpacing/>
    </w:pPr>
  </w:style>
  <w:style w:type="numbering" w:customStyle="1" w:styleId="Sinlista1">
    <w:name w:val="Sin lista1"/>
    <w:next w:val="Sinlista"/>
    <w:uiPriority w:val="99"/>
    <w:semiHidden/>
    <w:unhideWhenUsed/>
    <w:rsid w:val="00204904"/>
  </w:style>
  <w:style w:type="paragraph" w:customStyle="1" w:styleId="a">
    <w:next w:val="Normal"/>
    <w:uiPriority w:val="35"/>
    <w:qFormat/>
    <w:rsid w:val="00204904"/>
    <w:pPr>
      <w:keepNext/>
      <w:tabs>
        <w:tab w:val="left" w:pos="2041"/>
      </w:tabs>
      <w:spacing w:after="160" w:line="280" w:lineRule="atLeast"/>
    </w:pPr>
    <w:rPr>
      <w:rFonts w:ascii="Arial" w:eastAsia="Calibri" w:hAnsi="Arial" w:cs="Arial"/>
      <w:bCs/>
      <w:i/>
      <w:sz w:val="18"/>
      <w:szCs w:val="18"/>
      <w:lang w:val="en-GB" w:bidi="ar-SA"/>
    </w:rPr>
  </w:style>
  <w:style w:type="paragraph" w:styleId="Asuntodelcomentario">
    <w:name w:val="annotation subject"/>
    <w:basedOn w:val="Textocomentario"/>
    <w:next w:val="Textocomentario"/>
    <w:link w:val="AsuntodelcomentarioCar"/>
    <w:uiPriority w:val="99"/>
    <w:semiHidden/>
    <w:unhideWhenUsed/>
    <w:rsid w:val="00204904"/>
    <w:rPr>
      <w:b/>
      <w:bCs/>
    </w:rPr>
  </w:style>
  <w:style w:type="character" w:customStyle="1" w:styleId="AsuntodelcomentarioCar">
    <w:name w:val="Asunto del comentario Car"/>
    <w:basedOn w:val="TextocomentarioCar"/>
    <w:link w:val="Asuntodelcomentario"/>
    <w:uiPriority w:val="99"/>
    <w:semiHidden/>
    <w:rsid w:val="00204904"/>
    <w:rPr>
      <w:rFonts w:ascii="Calibri" w:eastAsia="Times New Roman" w:hAnsi="Calibri" w:cs="Times New Roman"/>
      <w:b/>
      <w:bCs/>
      <w:sz w:val="20"/>
      <w:szCs w:val="20"/>
      <w:lang w:bidi="ar-SA"/>
    </w:rPr>
  </w:style>
  <w:style w:type="numbering" w:customStyle="1" w:styleId="Sinlista2">
    <w:name w:val="Sin lista2"/>
    <w:next w:val="Sinlista"/>
    <w:uiPriority w:val="99"/>
    <w:semiHidden/>
    <w:unhideWhenUsed/>
    <w:rsid w:val="00204904"/>
  </w:style>
  <w:style w:type="paragraph" w:customStyle="1" w:styleId="ListBullet2Compact">
    <w:name w:val="List Bullet 2 Compact"/>
    <w:basedOn w:val="Listaconvietas2"/>
    <w:qFormat/>
    <w:rsid w:val="00204904"/>
    <w:pPr>
      <w:keepLines/>
      <w:numPr>
        <w:numId w:val="3"/>
      </w:numPr>
      <w:spacing w:after="0" w:line="320" w:lineRule="atLeast"/>
      <w:ind w:left="714" w:hanging="357"/>
      <w:contextualSpacing w:val="0"/>
      <w:jc w:val="both"/>
    </w:pPr>
    <w:rPr>
      <w:rFonts w:ascii="Times New Roman" w:hAnsi="Times New Roman"/>
      <w:lang w:val="en-GB"/>
    </w:rPr>
  </w:style>
  <w:style w:type="paragraph" w:styleId="Listaconvietas2">
    <w:name w:val="List Bullet 2"/>
    <w:basedOn w:val="Normal"/>
    <w:uiPriority w:val="99"/>
    <w:semiHidden/>
    <w:unhideWhenUsed/>
    <w:rsid w:val="00204904"/>
    <w:pPr>
      <w:ind w:left="1077" w:hanging="360"/>
      <w:contextualSpacing/>
    </w:pPr>
  </w:style>
  <w:style w:type="paragraph" w:styleId="Cita">
    <w:name w:val="Quote"/>
    <w:basedOn w:val="Normal"/>
    <w:next w:val="Normal"/>
    <w:link w:val="CitaCar"/>
    <w:uiPriority w:val="29"/>
    <w:qFormat/>
    <w:rsid w:val="00204904"/>
    <w:rPr>
      <w:i/>
      <w:iCs/>
      <w:color w:val="000000"/>
    </w:rPr>
  </w:style>
  <w:style w:type="character" w:customStyle="1" w:styleId="CitaCar">
    <w:name w:val="Cita Car"/>
    <w:basedOn w:val="Fuentedeprrafopredeter"/>
    <w:link w:val="Cita"/>
    <w:uiPriority w:val="29"/>
    <w:rsid w:val="00204904"/>
    <w:rPr>
      <w:rFonts w:ascii="Calibri" w:eastAsia="Calibri" w:hAnsi="Calibri" w:cs="Times New Roman"/>
      <w:i/>
      <w:iCs/>
      <w:color w:val="000000"/>
      <w:lang w:bidi="ar-SA"/>
    </w:rPr>
  </w:style>
  <w:style w:type="paragraph" w:customStyle="1" w:styleId="Citaiftcalibri">
    <w:name w:val="Cita ift calibri"/>
    <w:basedOn w:val="Textoindependiente"/>
    <w:link w:val="CitaiftcalibriCar"/>
    <w:qFormat/>
    <w:rsid w:val="00204904"/>
    <w:pPr>
      <w:ind w:left="851" w:right="757"/>
    </w:pPr>
    <w:rPr>
      <w:bCs/>
      <w:szCs w:val="18"/>
    </w:rPr>
  </w:style>
  <w:style w:type="character" w:customStyle="1" w:styleId="CitaiftcalibriCar">
    <w:name w:val="Cita ift calibri Car"/>
    <w:link w:val="Citaiftcalibri"/>
    <w:rsid w:val="00204904"/>
    <w:rPr>
      <w:rFonts w:ascii="Calibri" w:eastAsia="Times New Roman" w:hAnsi="Calibri" w:cs="Times New Roman"/>
      <w:bCs/>
      <w:i/>
      <w:iCs/>
      <w:color w:val="000000"/>
      <w:sz w:val="18"/>
      <w:szCs w:val="18"/>
      <w:lang w:eastAsia="es-ES" w:bidi="ar-SA"/>
    </w:rPr>
  </w:style>
  <w:style w:type="paragraph" w:customStyle="1" w:styleId="Border">
    <w:name w:val="Border"/>
    <w:next w:val="Descripcin"/>
    <w:link w:val="BorderChar"/>
    <w:qFormat/>
    <w:rsid w:val="00204904"/>
    <w:pPr>
      <w:spacing w:after="600" w:line="320" w:lineRule="atLeast"/>
      <w:jc w:val="center"/>
    </w:pPr>
    <w:rPr>
      <w:rFonts w:ascii="Times New Roman" w:eastAsia="Calibri" w:hAnsi="Times New Roman" w:cs="Times New Roman"/>
      <w:lang w:val="en-GB" w:bidi="ar-SA"/>
    </w:rPr>
  </w:style>
  <w:style w:type="character" w:customStyle="1" w:styleId="BorderChar">
    <w:name w:val="Border Char"/>
    <w:link w:val="Border"/>
    <w:rsid w:val="00204904"/>
    <w:rPr>
      <w:rFonts w:ascii="Times New Roman" w:eastAsia="Calibri" w:hAnsi="Times New Roman" w:cs="Times New Roman"/>
      <w:lang w:val="en-GB" w:bidi="ar-SA"/>
    </w:rPr>
  </w:style>
  <w:style w:type="character" w:customStyle="1" w:styleId="TextoCarCar">
    <w:name w:val="Texto Car Car"/>
    <w:locked/>
    <w:rsid w:val="00204904"/>
    <w:rPr>
      <w:rFonts w:eastAsia="Times New Roman" w:cs="Arial"/>
      <w:sz w:val="18"/>
      <w:szCs w:val="20"/>
      <w:lang w:eastAsia="es-ES"/>
    </w:rPr>
  </w:style>
  <w:style w:type="paragraph" w:customStyle="1" w:styleId="Prrafodelista1">
    <w:name w:val="Párrafo de lista1"/>
    <w:basedOn w:val="Normal"/>
    <w:rsid w:val="00204904"/>
    <w:pPr>
      <w:ind w:left="720"/>
      <w:contextualSpacing/>
    </w:pPr>
    <w:rPr>
      <w:rFonts w:eastAsia="Times New Roman"/>
    </w:rPr>
  </w:style>
  <w:style w:type="character" w:styleId="Textoennegrita">
    <w:name w:val="Strong"/>
    <w:uiPriority w:val="22"/>
    <w:qFormat/>
    <w:rsid w:val="00204904"/>
    <w:rPr>
      <w:b/>
      <w:bCs/>
    </w:rPr>
  </w:style>
  <w:style w:type="character" w:customStyle="1" w:styleId="Hipervnculo1">
    <w:name w:val="Hipervínculo1"/>
    <w:uiPriority w:val="99"/>
    <w:unhideWhenUsed/>
    <w:rsid w:val="00204904"/>
    <w:rPr>
      <w:color w:val="0000FF"/>
      <w:u w:val="single"/>
    </w:rPr>
  </w:style>
  <w:style w:type="character" w:styleId="CitaHTML">
    <w:name w:val="HTML Cite"/>
    <w:uiPriority w:val="99"/>
    <w:semiHidden/>
    <w:unhideWhenUsed/>
    <w:rsid w:val="00204904"/>
    <w:rPr>
      <w:i/>
      <w:iCs/>
    </w:rPr>
  </w:style>
  <w:style w:type="paragraph" w:customStyle="1" w:styleId="CM1">
    <w:name w:val="CM1"/>
    <w:basedOn w:val="Default"/>
    <w:next w:val="Default"/>
    <w:uiPriority w:val="99"/>
    <w:rsid w:val="00204904"/>
    <w:pPr>
      <w:widowControl w:val="0"/>
      <w:spacing w:line="413" w:lineRule="atLeast"/>
    </w:pPr>
    <w:rPr>
      <w:rFonts w:ascii="Arial" w:eastAsia="Times New Roman" w:hAnsi="Arial" w:cs="Arial"/>
      <w:color w:val="auto"/>
      <w:lang w:val="es-ES" w:eastAsia="es-ES"/>
    </w:rPr>
  </w:style>
  <w:style w:type="paragraph" w:customStyle="1" w:styleId="CM16">
    <w:name w:val="CM16"/>
    <w:basedOn w:val="Default"/>
    <w:next w:val="Default"/>
    <w:uiPriority w:val="99"/>
    <w:rsid w:val="00204904"/>
    <w:pPr>
      <w:widowControl w:val="0"/>
    </w:pPr>
    <w:rPr>
      <w:rFonts w:ascii="Arial" w:eastAsia="Times New Roman" w:hAnsi="Arial" w:cs="Arial"/>
      <w:color w:val="auto"/>
      <w:lang w:val="es-ES" w:eastAsia="es-ES"/>
    </w:rPr>
  </w:style>
  <w:style w:type="paragraph" w:customStyle="1" w:styleId="CM17">
    <w:name w:val="CM17"/>
    <w:basedOn w:val="Default"/>
    <w:next w:val="Default"/>
    <w:uiPriority w:val="99"/>
    <w:rsid w:val="00204904"/>
    <w:pPr>
      <w:widowControl w:val="0"/>
    </w:pPr>
    <w:rPr>
      <w:rFonts w:ascii="Arial" w:eastAsia="Times New Roman" w:hAnsi="Arial" w:cs="Arial"/>
      <w:color w:val="auto"/>
      <w:lang w:val="es-ES" w:eastAsia="es-ES"/>
    </w:rPr>
  </w:style>
  <w:style w:type="paragraph" w:customStyle="1" w:styleId="CM6">
    <w:name w:val="CM6"/>
    <w:basedOn w:val="Default"/>
    <w:next w:val="Default"/>
    <w:uiPriority w:val="99"/>
    <w:rsid w:val="00204904"/>
    <w:pPr>
      <w:widowControl w:val="0"/>
      <w:spacing w:line="411" w:lineRule="atLeast"/>
    </w:pPr>
    <w:rPr>
      <w:rFonts w:ascii="Arial" w:eastAsia="Times New Roman" w:hAnsi="Arial" w:cs="Arial"/>
      <w:color w:val="auto"/>
      <w:lang w:val="es-ES" w:eastAsia="es-ES"/>
    </w:rPr>
  </w:style>
  <w:style w:type="paragraph" w:customStyle="1" w:styleId="CM8">
    <w:name w:val="CM8"/>
    <w:basedOn w:val="Default"/>
    <w:next w:val="Default"/>
    <w:uiPriority w:val="99"/>
    <w:rsid w:val="00204904"/>
    <w:pPr>
      <w:widowControl w:val="0"/>
      <w:spacing w:line="413" w:lineRule="atLeast"/>
    </w:pPr>
    <w:rPr>
      <w:rFonts w:ascii="Arial" w:eastAsia="Times New Roman" w:hAnsi="Arial" w:cs="Arial"/>
      <w:color w:val="auto"/>
      <w:lang w:val="es-ES" w:eastAsia="es-ES"/>
    </w:rPr>
  </w:style>
  <w:style w:type="paragraph" w:customStyle="1" w:styleId="encabezado0">
    <w:name w:val="encabezado"/>
    <w:basedOn w:val="Normal"/>
    <w:uiPriority w:val="99"/>
    <w:rsid w:val="00204904"/>
    <w:pPr>
      <w:spacing w:before="100" w:beforeAutospacing="1" w:after="100" w:afterAutospacing="1" w:line="240" w:lineRule="auto"/>
    </w:pPr>
    <w:rPr>
      <w:rFonts w:ascii="Arial" w:hAnsi="Arial" w:cs="Arial"/>
      <w:b/>
      <w:bCs/>
      <w:sz w:val="18"/>
      <w:szCs w:val="18"/>
      <w:lang w:val="es-ES" w:eastAsia="es-ES"/>
    </w:rPr>
  </w:style>
  <w:style w:type="paragraph" w:customStyle="1" w:styleId="precedente">
    <w:name w:val="precedente"/>
    <w:basedOn w:val="Normal"/>
    <w:uiPriority w:val="99"/>
    <w:semiHidden/>
    <w:rsid w:val="00204904"/>
    <w:pPr>
      <w:spacing w:before="100" w:beforeAutospacing="1" w:after="100" w:afterAutospacing="1" w:line="240" w:lineRule="auto"/>
      <w:jc w:val="both"/>
    </w:pPr>
    <w:rPr>
      <w:rFonts w:ascii="Arial" w:hAnsi="Arial" w:cs="Arial"/>
      <w:i/>
      <w:iCs/>
      <w:sz w:val="20"/>
      <w:szCs w:val="20"/>
      <w:lang w:val="es-ES" w:eastAsia="es-ES"/>
    </w:rPr>
  </w:style>
  <w:style w:type="character" w:customStyle="1" w:styleId="Notaalpie">
    <w:name w:val="Nota al pie"/>
    <w:rsid w:val="00204904"/>
    <w:rPr>
      <w:rFonts w:ascii="Arial" w:eastAsia="Arial" w:hAnsi="Arial" w:cs="Arial"/>
      <w:b/>
      <w:bCs/>
      <w:i w:val="0"/>
      <w:iCs w:val="0"/>
      <w:smallCaps w:val="0"/>
      <w:strike w:val="0"/>
      <w:color w:val="000000"/>
      <w:spacing w:val="0"/>
      <w:w w:val="100"/>
      <w:position w:val="0"/>
      <w:sz w:val="17"/>
      <w:szCs w:val="17"/>
      <w:u w:val="none"/>
      <w:lang w:val="es-ES"/>
    </w:rPr>
  </w:style>
  <w:style w:type="character" w:customStyle="1" w:styleId="Cuerpodeltexto3">
    <w:name w:val="Cuerpo del texto (3)_"/>
    <w:link w:val="Cuerpodeltexto30"/>
    <w:rsid w:val="00204904"/>
    <w:rPr>
      <w:rFonts w:eastAsia="Arial"/>
      <w:i/>
      <w:iCs/>
      <w:sz w:val="23"/>
      <w:szCs w:val="23"/>
      <w:shd w:val="clear" w:color="auto" w:fill="FFFFFF"/>
    </w:rPr>
  </w:style>
  <w:style w:type="paragraph" w:customStyle="1" w:styleId="Cuerpodeltexto30">
    <w:name w:val="Cuerpo del texto (3)"/>
    <w:basedOn w:val="Normal"/>
    <w:link w:val="Cuerpodeltexto3"/>
    <w:rsid w:val="00204904"/>
    <w:pPr>
      <w:widowControl w:val="0"/>
      <w:shd w:val="clear" w:color="auto" w:fill="FFFFFF"/>
      <w:spacing w:before="360" w:after="180" w:line="413" w:lineRule="exact"/>
      <w:jc w:val="both"/>
    </w:pPr>
    <w:rPr>
      <w:rFonts w:asciiTheme="minorHAnsi" w:eastAsia="Arial" w:hAnsiTheme="minorHAnsi" w:cstheme="minorBidi"/>
      <w:i/>
      <w:iCs/>
      <w:sz w:val="23"/>
      <w:szCs w:val="23"/>
      <w:lang w:val="en-US" w:bidi="he-IL"/>
    </w:rPr>
  </w:style>
  <w:style w:type="numbering" w:customStyle="1" w:styleId="Estilo1">
    <w:name w:val="Estilo1"/>
    <w:uiPriority w:val="99"/>
    <w:rsid w:val="00204904"/>
    <w:pPr>
      <w:numPr>
        <w:numId w:val="4"/>
      </w:numPr>
    </w:pPr>
  </w:style>
  <w:style w:type="paragraph" w:customStyle="1" w:styleId="CM58">
    <w:name w:val="CM58"/>
    <w:basedOn w:val="Default"/>
    <w:next w:val="Default"/>
    <w:uiPriority w:val="99"/>
    <w:rsid w:val="00204904"/>
    <w:pPr>
      <w:widowControl w:val="0"/>
    </w:pPr>
    <w:rPr>
      <w:rFonts w:ascii="Arial" w:eastAsia="Times New Roman" w:hAnsi="Arial" w:cs="Arial"/>
      <w:color w:val="auto"/>
      <w:lang w:val="es-ES" w:eastAsia="es-ES"/>
    </w:rPr>
  </w:style>
  <w:style w:type="paragraph" w:customStyle="1" w:styleId="CM60">
    <w:name w:val="CM60"/>
    <w:basedOn w:val="Default"/>
    <w:next w:val="Default"/>
    <w:uiPriority w:val="99"/>
    <w:rsid w:val="00204904"/>
    <w:pPr>
      <w:widowControl w:val="0"/>
    </w:pPr>
    <w:rPr>
      <w:rFonts w:ascii="Arial" w:eastAsia="Times New Roman" w:hAnsi="Arial" w:cs="Arial"/>
      <w:color w:val="auto"/>
      <w:lang w:val="es-ES" w:eastAsia="es-ES"/>
    </w:rPr>
  </w:style>
  <w:style w:type="paragraph" w:styleId="Revisin">
    <w:name w:val="Revision"/>
    <w:hidden/>
    <w:uiPriority w:val="99"/>
    <w:semiHidden/>
    <w:rsid w:val="00204904"/>
    <w:pPr>
      <w:spacing w:after="0" w:line="240" w:lineRule="auto"/>
    </w:pPr>
    <w:rPr>
      <w:rFonts w:ascii="Calibri" w:eastAsia="Calibri" w:hAnsi="Calibri" w:cs="Times New Roman"/>
      <w:lang w:val="es-MX" w:bidi="ar-SA"/>
    </w:rPr>
  </w:style>
  <w:style w:type="character" w:customStyle="1" w:styleId="aqj">
    <w:name w:val="aqj"/>
    <w:rsid w:val="00204904"/>
  </w:style>
  <w:style w:type="table" w:customStyle="1" w:styleId="Sombreadoclaro1">
    <w:name w:val="Sombreado claro1"/>
    <w:basedOn w:val="Tablanormal"/>
    <w:uiPriority w:val="60"/>
    <w:rsid w:val="00204904"/>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rafodelista2">
    <w:name w:val="Párrafo de lista2"/>
    <w:basedOn w:val="Normal"/>
    <w:rsid w:val="00204904"/>
    <w:pPr>
      <w:ind w:left="720"/>
      <w:contextualSpacing/>
    </w:pPr>
    <w:rPr>
      <w:rFonts w:eastAsia="Times New Roman"/>
    </w:rPr>
  </w:style>
  <w:style w:type="table" w:customStyle="1" w:styleId="Sombreadoclaro2">
    <w:name w:val="Sombreado claro2"/>
    <w:basedOn w:val="Tablanormal"/>
    <w:uiPriority w:val="60"/>
    <w:rsid w:val="00204904"/>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extoindependiente2">
    <w:name w:val="Body Text 2"/>
    <w:basedOn w:val="Normal"/>
    <w:link w:val="Textoindependiente2Car"/>
    <w:unhideWhenUsed/>
    <w:rsid w:val="00204904"/>
    <w:pPr>
      <w:spacing w:after="120" w:line="480" w:lineRule="auto"/>
    </w:pPr>
  </w:style>
  <w:style w:type="character" w:customStyle="1" w:styleId="Textoindependiente2Car">
    <w:name w:val="Texto independiente 2 Car"/>
    <w:basedOn w:val="Fuentedeprrafopredeter"/>
    <w:link w:val="Textoindependiente2"/>
    <w:rsid w:val="00204904"/>
    <w:rPr>
      <w:rFonts w:ascii="Calibri" w:eastAsia="Calibri" w:hAnsi="Calibri" w:cs="Times New Roman"/>
      <w:lang w:val="es-MX" w:bidi="ar-SA"/>
    </w:rPr>
  </w:style>
  <w:style w:type="paragraph" w:customStyle="1" w:styleId="QuoteinFootnote">
    <w:name w:val="Quote in Footnote"/>
    <w:basedOn w:val="Textonotapie"/>
    <w:next w:val="Textonotapie"/>
    <w:rsid w:val="00204904"/>
    <w:pPr>
      <w:keepLines/>
      <w:spacing w:before="120" w:after="120" w:line="240" w:lineRule="auto"/>
      <w:ind w:left="851" w:right="851"/>
      <w:jc w:val="both"/>
    </w:pPr>
    <w:rPr>
      <w:rFonts w:ascii="Times New Roman" w:eastAsia="Times New Roman" w:hAnsi="Times New Roman"/>
      <w:i/>
      <w:lang w:val="en-US"/>
    </w:rPr>
  </w:style>
  <w:style w:type="paragraph" w:customStyle="1" w:styleId="BodyTextNew">
    <w:name w:val="Body Text New"/>
    <w:basedOn w:val="Textoindependiente2"/>
    <w:link w:val="BodyTextNewChar"/>
    <w:qFormat/>
    <w:rsid w:val="00204904"/>
    <w:pPr>
      <w:tabs>
        <w:tab w:val="num" w:pos="360"/>
      </w:tabs>
      <w:spacing w:after="240" w:line="360" w:lineRule="auto"/>
      <w:ind w:left="360" w:hanging="360"/>
      <w:jc w:val="both"/>
    </w:pPr>
    <w:rPr>
      <w:rFonts w:ascii="Times New Roman" w:eastAsia="Times New Roman" w:hAnsi="Times New Roman"/>
      <w:sz w:val="24"/>
      <w:szCs w:val="24"/>
      <w:lang w:val="es-AR"/>
    </w:rPr>
  </w:style>
  <w:style w:type="character" w:customStyle="1" w:styleId="BodyTextNewChar">
    <w:name w:val="Body Text New Char"/>
    <w:link w:val="BodyTextNew"/>
    <w:rsid w:val="00204904"/>
    <w:rPr>
      <w:rFonts w:ascii="Times New Roman" w:eastAsia="Times New Roman" w:hAnsi="Times New Roman" w:cs="Times New Roman"/>
      <w:sz w:val="24"/>
      <w:szCs w:val="24"/>
      <w:lang w:val="es-AR" w:bidi="ar-SA"/>
    </w:rPr>
  </w:style>
  <w:style w:type="paragraph" w:customStyle="1" w:styleId="p1">
    <w:name w:val="p1"/>
    <w:basedOn w:val="Normal"/>
    <w:rsid w:val="00204904"/>
    <w:pPr>
      <w:spacing w:after="0" w:line="240" w:lineRule="auto"/>
    </w:pPr>
    <w:rPr>
      <w:rFonts w:ascii="Times New Roman" w:eastAsia="Cambria" w:hAnsi="Times New Roman"/>
      <w:sz w:val="24"/>
      <w:szCs w:val="24"/>
      <w:lang w:eastAsia="es-MX"/>
    </w:rPr>
  </w:style>
  <w:style w:type="character" w:customStyle="1" w:styleId="s1">
    <w:name w:val="s1"/>
    <w:rsid w:val="00204904"/>
  </w:style>
  <w:style w:type="character" w:styleId="nfasis">
    <w:name w:val="Emphasis"/>
    <w:uiPriority w:val="20"/>
    <w:qFormat/>
    <w:rsid w:val="00204904"/>
    <w:rPr>
      <w:i/>
      <w:iCs/>
    </w:rPr>
  </w:style>
  <w:style w:type="paragraph" w:styleId="Descripcin">
    <w:name w:val="caption"/>
    <w:basedOn w:val="Normal"/>
    <w:next w:val="Normal"/>
    <w:uiPriority w:val="35"/>
    <w:semiHidden/>
    <w:unhideWhenUsed/>
    <w:qFormat/>
    <w:rsid w:val="00204904"/>
    <w:pPr>
      <w:spacing w:line="240" w:lineRule="auto"/>
    </w:pPr>
    <w:rPr>
      <w:b/>
      <w:bCs/>
      <w:color w:val="4F81BD" w:themeColor="accent1"/>
      <w:sz w:val="18"/>
      <w:szCs w:val="18"/>
    </w:rPr>
  </w:style>
  <w:style w:type="character" w:styleId="Textodelmarcadordeposicin">
    <w:name w:val="Placeholder Text"/>
    <w:basedOn w:val="Fuentedeprrafopredeter"/>
    <w:uiPriority w:val="99"/>
    <w:semiHidden/>
    <w:rsid w:val="00265D09"/>
    <w:rPr>
      <w:color w:val="808080"/>
    </w:rPr>
  </w:style>
  <w:style w:type="table" w:customStyle="1" w:styleId="Tabladecuadrcula6concolores-nfasis61">
    <w:name w:val="Tabla de cuadrícula 6 con colores - Énfasis 61"/>
    <w:basedOn w:val="Tablanormal"/>
    <w:uiPriority w:val="51"/>
    <w:rsid w:val="008001D5"/>
    <w:pPr>
      <w:spacing w:after="0" w:line="240" w:lineRule="auto"/>
    </w:pPr>
    <w:rPr>
      <w:color w:val="E36C0A" w:themeColor="accent6" w:themeShade="BF"/>
      <w:lang w:val="es-MX" w:bidi="ar-SA"/>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6concolores1">
    <w:name w:val="Tabla de cuadrícula 6 con colores1"/>
    <w:basedOn w:val="Tablanormal"/>
    <w:uiPriority w:val="51"/>
    <w:rsid w:val="001A07B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5oscura1">
    <w:name w:val="Tabla de cuadrícula 5 oscura1"/>
    <w:basedOn w:val="Tablanormal"/>
    <w:uiPriority w:val="50"/>
    <w:rsid w:val="0076097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extonotaalfinal">
    <w:name w:val="endnote text"/>
    <w:basedOn w:val="Normal"/>
    <w:link w:val="TextonotaalfinalCar"/>
    <w:uiPriority w:val="99"/>
    <w:semiHidden/>
    <w:unhideWhenUsed/>
    <w:rsid w:val="001618F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618F3"/>
    <w:rPr>
      <w:rFonts w:ascii="Calibri" w:eastAsia="Calibri" w:hAnsi="Calibri" w:cs="Times New Roman"/>
      <w:sz w:val="20"/>
      <w:szCs w:val="20"/>
      <w:lang w:val="es-MX" w:bidi="ar-SA"/>
    </w:rPr>
  </w:style>
  <w:style w:type="character" w:styleId="Refdenotaalfinal">
    <w:name w:val="endnote reference"/>
    <w:basedOn w:val="Fuentedeprrafopredeter"/>
    <w:uiPriority w:val="99"/>
    <w:semiHidden/>
    <w:unhideWhenUsed/>
    <w:rsid w:val="001618F3"/>
    <w:rPr>
      <w:vertAlign w:val="superscript"/>
    </w:rPr>
  </w:style>
  <w:style w:type="table" w:customStyle="1" w:styleId="Tabladecuadrcula41">
    <w:name w:val="Tabla de cuadrícula 41"/>
    <w:basedOn w:val="Tablanormal"/>
    <w:uiPriority w:val="49"/>
    <w:rsid w:val="00BC1BE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4">
    <w:name w:val="Plain Table 4"/>
    <w:basedOn w:val="Tablanormal"/>
    <w:uiPriority w:val="99"/>
    <w:rsid w:val="00522FB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4505">
      <w:bodyDiv w:val="1"/>
      <w:marLeft w:val="0"/>
      <w:marRight w:val="0"/>
      <w:marTop w:val="0"/>
      <w:marBottom w:val="0"/>
      <w:divBdr>
        <w:top w:val="none" w:sz="0" w:space="0" w:color="auto"/>
        <w:left w:val="none" w:sz="0" w:space="0" w:color="auto"/>
        <w:bottom w:val="none" w:sz="0" w:space="0" w:color="auto"/>
        <w:right w:val="none" w:sz="0" w:space="0" w:color="auto"/>
      </w:divBdr>
    </w:div>
    <w:div w:id="109206206">
      <w:bodyDiv w:val="1"/>
      <w:marLeft w:val="0"/>
      <w:marRight w:val="0"/>
      <w:marTop w:val="0"/>
      <w:marBottom w:val="0"/>
      <w:divBdr>
        <w:top w:val="none" w:sz="0" w:space="0" w:color="auto"/>
        <w:left w:val="none" w:sz="0" w:space="0" w:color="auto"/>
        <w:bottom w:val="none" w:sz="0" w:space="0" w:color="auto"/>
        <w:right w:val="none" w:sz="0" w:space="0" w:color="auto"/>
      </w:divBdr>
    </w:div>
    <w:div w:id="266667962">
      <w:bodyDiv w:val="1"/>
      <w:marLeft w:val="0"/>
      <w:marRight w:val="0"/>
      <w:marTop w:val="0"/>
      <w:marBottom w:val="0"/>
      <w:divBdr>
        <w:top w:val="none" w:sz="0" w:space="0" w:color="auto"/>
        <w:left w:val="none" w:sz="0" w:space="0" w:color="auto"/>
        <w:bottom w:val="none" w:sz="0" w:space="0" w:color="auto"/>
        <w:right w:val="none" w:sz="0" w:space="0" w:color="auto"/>
      </w:divBdr>
    </w:div>
    <w:div w:id="286358825">
      <w:bodyDiv w:val="1"/>
      <w:marLeft w:val="0"/>
      <w:marRight w:val="0"/>
      <w:marTop w:val="0"/>
      <w:marBottom w:val="0"/>
      <w:divBdr>
        <w:top w:val="none" w:sz="0" w:space="0" w:color="auto"/>
        <w:left w:val="none" w:sz="0" w:space="0" w:color="auto"/>
        <w:bottom w:val="none" w:sz="0" w:space="0" w:color="auto"/>
        <w:right w:val="none" w:sz="0" w:space="0" w:color="auto"/>
      </w:divBdr>
    </w:div>
    <w:div w:id="292058359">
      <w:bodyDiv w:val="1"/>
      <w:marLeft w:val="0"/>
      <w:marRight w:val="0"/>
      <w:marTop w:val="0"/>
      <w:marBottom w:val="0"/>
      <w:divBdr>
        <w:top w:val="none" w:sz="0" w:space="0" w:color="auto"/>
        <w:left w:val="none" w:sz="0" w:space="0" w:color="auto"/>
        <w:bottom w:val="none" w:sz="0" w:space="0" w:color="auto"/>
        <w:right w:val="none" w:sz="0" w:space="0" w:color="auto"/>
      </w:divBdr>
    </w:div>
    <w:div w:id="327636728">
      <w:bodyDiv w:val="1"/>
      <w:marLeft w:val="0"/>
      <w:marRight w:val="0"/>
      <w:marTop w:val="0"/>
      <w:marBottom w:val="0"/>
      <w:divBdr>
        <w:top w:val="none" w:sz="0" w:space="0" w:color="auto"/>
        <w:left w:val="none" w:sz="0" w:space="0" w:color="auto"/>
        <w:bottom w:val="none" w:sz="0" w:space="0" w:color="auto"/>
        <w:right w:val="none" w:sz="0" w:space="0" w:color="auto"/>
      </w:divBdr>
    </w:div>
    <w:div w:id="499926936">
      <w:bodyDiv w:val="1"/>
      <w:marLeft w:val="0"/>
      <w:marRight w:val="0"/>
      <w:marTop w:val="0"/>
      <w:marBottom w:val="0"/>
      <w:divBdr>
        <w:top w:val="none" w:sz="0" w:space="0" w:color="auto"/>
        <w:left w:val="none" w:sz="0" w:space="0" w:color="auto"/>
        <w:bottom w:val="none" w:sz="0" w:space="0" w:color="auto"/>
        <w:right w:val="none" w:sz="0" w:space="0" w:color="auto"/>
      </w:divBdr>
      <w:divsChild>
        <w:div w:id="928319954">
          <w:marLeft w:val="547"/>
          <w:marRight w:val="0"/>
          <w:marTop w:val="200"/>
          <w:marBottom w:val="0"/>
          <w:divBdr>
            <w:top w:val="none" w:sz="0" w:space="0" w:color="auto"/>
            <w:left w:val="none" w:sz="0" w:space="0" w:color="auto"/>
            <w:bottom w:val="none" w:sz="0" w:space="0" w:color="auto"/>
            <w:right w:val="none" w:sz="0" w:space="0" w:color="auto"/>
          </w:divBdr>
        </w:div>
        <w:div w:id="2066833508">
          <w:marLeft w:val="547"/>
          <w:marRight w:val="0"/>
          <w:marTop w:val="200"/>
          <w:marBottom w:val="0"/>
          <w:divBdr>
            <w:top w:val="none" w:sz="0" w:space="0" w:color="auto"/>
            <w:left w:val="none" w:sz="0" w:space="0" w:color="auto"/>
            <w:bottom w:val="none" w:sz="0" w:space="0" w:color="auto"/>
            <w:right w:val="none" w:sz="0" w:space="0" w:color="auto"/>
          </w:divBdr>
        </w:div>
        <w:div w:id="1432355491">
          <w:marLeft w:val="547"/>
          <w:marRight w:val="0"/>
          <w:marTop w:val="200"/>
          <w:marBottom w:val="0"/>
          <w:divBdr>
            <w:top w:val="none" w:sz="0" w:space="0" w:color="auto"/>
            <w:left w:val="none" w:sz="0" w:space="0" w:color="auto"/>
            <w:bottom w:val="none" w:sz="0" w:space="0" w:color="auto"/>
            <w:right w:val="none" w:sz="0" w:space="0" w:color="auto"/>
          </w:divBdr>
        </w:div>
      </w:divsChild>
    </w:div>
    <w:div w:id="523711500">
      <w:bodyDiv w:val="1"/>
      <w:marLeft w:val="0"/>
      <w:marRight w:val="0"/>
      <w:marTop w:val="0"/>
      <w:marBottom w:val="0"/>
      <w:divBdr>
        <w:top w:val="none" w:sz="0" w:space="0" w:color="auto"/>
        <w:left w:val="none" w:sz="0" w:space="0" w:color="auto"/>
        <w:bottom w:val="none" w:sz="0" w:space="0" w:color="auto"/>
        <w:right w:val="none" w:sz="0" w:space="0" w:color="auto"/>
      </w:divBdr>
    </w:div>
    <w:div w:id="812480848">
      <w:bodyDiv w:val="1"/>
      <w:marLeft w:val="0"/>
      <w:marRight w:val="0"/>
      <w:marTop w:val="0"/>
      <w:marBottom w:val="0"/>
      <w:divBdr>
        <w:top w:val="none" w:sz="0" w:space="0" w:color="auto"/>
        <w:left w:val="none" w:sz="0" w:space="0" w:color="auto"/>
        <w:bottom w:val="none" w:sz="0" w:space="0" w:color="auto"/>
        <w:right w:val="none" w:sz="0" w:space="0" w:color="auto"/>
      </w:divBdr>
      <w:divsChild>
        <w:div w:id="2054495426">
          <w:marLeft w:val="0"/>
          <w:marRight w:val="0"/>
          <w:marTop w:val="0"/>
          <w:marBottom w:val="101"/>
          <w:divBdr>
            <w:top w:val="none" w:sz="0" w:space="0" w:color="auto"/>
            <w:left w:val="none" w:sz="0" w:space="0" w:color="auto"/>
            <w:bottom w:val="none" w:sz="0" w:space="0" w:color="auto"/>
            <w:right w:val="none" w:sz="0" w:space="0" w:color="auto"/>
          </w:divBdr>
        </w:div>
        <w:div w:id="1244148686">
          <w:marLeft w:val="0"/>
          <w:marRight w:val="0"/>
          <w:marTop w:val="0"/>
          <w:marBottom w:val="101"/>
          <w:divBdr>
            <w:top w:val="none" w:sz="0" w:space="0" w:color="auto"/>
            <w:left w:val="none" w:sz="0" w:space="0" w:color="auto"/>
            <w:bottom w:val="none" w:sz="0" w:space="0" w:color="auto"/>
            <w:right w:val="none" w:sz="0" w:space="0" w:color="auto"/>
          </w:divBdr>
        </w:div>
        <w:div w:id="1920942669">
          <w:marLeft w:val="0"/>
          <w:marRight w:val="0"/>
          <w:marTop w:val="0"/>
          <w:marBottom w:val="101"/>
          <w:divBdr>
            <w:top w:val="none" w:sz="0" w:space="0" w:color="auto"/>
            <w:left w:val="none" w:sz="0" w:space="0" w:color="auto"/>
            <w:bottom w:val="none" w:sz="0" w:space="0" w:color="auto"/>
            <w:right w:val="none" w:sz="0" w:space="0" w:color="auto"/>
          </w:divBdr>
        </w:div>
        <w:div w:id="707070526">
          <w:marLeft w:val="0"/>
          <w:marRight w:val="0"/>
          <w:marTop w:val="0"/>
          <w:marBottom w:val="101"/>
          <w:divBdr>
            <w:top w:val="none" w:sz="0" w:space="0" w:color="auto"/>
            <w:left w:val="none" w:sz="0" w:space="0" w:color="auto"/>
            <w:bottom w:val="none" w:sz="0" w:space="0" w:color="auto"/>
            <w:right w:val="none" w:sz="0" w:space="0" w:color="auto"/>
          </w:divBdr>
        </w:div>
        <w:div w:id="1750537392">
          <w:marLeft w:val="0"/>
          <w:marRight w:val="0"/>
          <w:marTop w:val="0"/>
          <w:marBottom w:val="101"/>
          <w:divBdr>
            <w:top w:val="none" w:sz="0" w:space="0" w:color="auto"/>
            <w:left w:val="none" w:sz="0" w:space="0" w:color="auto"/>
            <w:bottom w:val="none" w:sz="0" w:space="0" w:color="auto"/>
            <w:right w:val="none" w:sz="0" w:space="0" w:color="auto"/>
          </w:divBdr>
        </w:div>
      </w:divsChild>
    </w:div>
    <w:div w:id="1004288065">
      <w:bodyDiv w:val="1"/>
      <w:marLeft w:val="0"/>
      <w:marRight w:val="0"/>
      <w:marTop w:val="0"/>
      <w:marBottom w:val="0"/>
      <w:divBdr>
        <w:top w:val="none" w:sz="0" w:space="0" w:color="auto"/>
        <w:left w:val="none" w:sz="0" w:space="0" w:color="auto"/>
        <w:bottom w:val="none" w:sz="0" w:space="0" w:color="auto"/>
        <w:right w:val="none" w:sz="0" w:space="0" w:color="auto"/>
      </w:divBdr>
    </w:div>
    <w:div w:id="1008292228">
      <w:bodyDiv w:val="1"/>
      <w:marLeft w:val="0"/>
      <w:marRight w:val="0"/>
      <w:marTop w:val="0"/>
      <w:marBottom w:val="0"/>
      <w:divBdr>
        <w:top w:val="none" w:sz="0" w:space="0" w:color="auto"/>
        <w:left w:val="none" w:sz="0" w:space="0" w:color="auto"/>
        <w:bottom w:val="none" w:sz="0" w:space="0" w:color="auto"/>
        <w:right w:val="none" w:sz="0" w:space="0" w:color="auto"/>
      </w:divBdr>
    </w:div>
    <w:div w:id="1103116026">
      <w:bodyDiv w:val="1"/>
      <w:marLeft w:val="0"/>
      <w:marRight w:val="0"/>
      <w:marTop w:val="0"/>
      <w:marBottom w:val="0"/>
      <w:divBdr>
        <w:top w:val="none" w:sz="0" w:space="0" w:color="auto"/>
        <w:left w:val="none" w:sz="0" w:space="0" w:color="auto"/>
        <w:bottom w:val="none" w:sz="0" w:space="0" w:color="auto"/>
        <w:right w:val="none" w:sz="0" w:space="0" w:color="auto"/>
      </w:divBdr>
    </w:div>
    <w:div w:id="1129006310">
      <w:bodyDiv w:val="1"/>
      <w:marLeft w:val="0"/>
      <w:marRight w:val="0"/>
      <w:marTop w:val="0"/>
      <w:marBottom w:val="0"/>
      <w:divBdr>
        <w:top w:val="none" w:sz="0" w:space="0" w:color="auto"/>
        <w:left w:val="none" w:sz="0" w:space="0" w:color="auto"/>
        <w:bottom w:val="none" w:sz="0" w:space="0" w:color="auto"/>
        <w:right w:val="none" w:sz="0" w:space="0" w:color="auto"/>
      </w:divBdr>
    </w:div>
    <w:div w:id="1130249525">
      <w:bodyDiv w:val="1"/>
      <w:marLeft w:val="0"/>
      <w:marRight w:val="0"/>
      <w:marTop w:val="0"/>
      <w:marBottom w:val="0"/>
      <w:divBdr>
        <w:top w:val="none" w:sz="0" w:space="0" w:color="auto"/>
        <w:left w:val="none" w:sz="0" w:space="0" w:color="auto"/>
        <w:bottom w:val="none" w:sz="0" w:space="0" w:color="auto"/>
        <w:right w:val="none" w:sz="0" w:space="0" w:color="auto"/>
      </w:divBdr>
      <w:divsChild>
        <w:div w:id="1908147045">
          <w:marLeft w:val="1166"/>
          <w:marRight w:val="0"/>
          <w:marTop w:val="200"/>
          <w:marBottom w:val="0"/>
          <w:divBdr>
            <w:top w:val="none" w:sz="0" w:space="0" w:color="auto"/>
            <w:left w:val="none" w:sz="0" w:space="0" w:color="auto"/>
            <w:bottom w:val="none" w:sz="0" w:space="0" w:color="auto"/>
            <w:right w:val="none" w:sz="0" w:space="0" w:color="auto"/>
          </w:divBdr>
        </w:div>
      </w:divsChild>
    </w:div>
    <w:div w:id="1151362937">
      <w:bodyDiv w:val="1"/>
      <w:marLeft w:val="0"/>
      <w:marRight w:val="0"/>
      <w:marTop w:val="0"/>
      <w:marBottom w:val="0"/>
      <w:divBdr>
        <w:top w:val="none" w:sz="0" w:space="0" w:color="auto"/>
        <w:left w:val="none" w:sz="0" w:space="0" w:color="auto"/>
        <w:bottom w:val="none" w:sz="0" w:space="0" w:color="auto"/>
        <w:right w:val="none" w:sz="0" w:space="0" w:color="auto"/>
      </w:divBdr>
      <w:divsChild>
        <w:div w:id="1932351324">
          <w:marLeft w:val="547"/>
          <w:marRight w:val="0"/>
          <w:marTop w:val="200"/>
          <w:marBottom w:val="0"/>
          <w:divBdr>
            <w:top w:val="none" w:sz="0" w:space="0" w:color="auto"/>
            <w:left w:val="none" w:sz="0" w:space="0" w:color="auto"/>
            <w:bottom w:val="none" w:sz="0" w:space="0" w:color="auto"/>
            <w:right w:val="none" w:sz="0" w:space="0" w:color="auto"/>
          </w:divBdr>
        </w:div>
        <w:div w:id="1942639000">
          <w:marLeft w:val="1166"/>
          <w:marRight w:val="0"/>
          <w:marTop w:val="200"/>
          <w:marBottom w:val="0"/>
          <w:divBdr>
            <w:top w:val="none" w:sz="0" w:space="0" w:color="auto"/>
            <w:left w:val="none" w:sz="0" w:space="0" w:color="auto"/>
            <w:bottom w:val="none" w:sz="0" w:space="0" w:color="auto"/>
            <w:right w:val="none" w:sz="0" w:space="0" w:color="auto"/>
          </w:divBdr>
        </w:div>
        <w:div w:id="365302981">
          <w:marLeft w:val="1166"/>
          <w:marRight w:val="0"/>
          <w:marTop w:val="200"/>
          <w:marBottom w:val="0"/>
          <w:divBdr>
            <w:top w:val="none" w:sz="0" w:space="0" w:color="auto"/>
            <w:left w:val="none" w:sz="0" w:space="0" w:color="auto"/>
            <w:bottom w:val="none" w:sz="0" w:space="0" w:color="auto"/>
            <w:right w:val="none" w:sz="0" w:space="0" w:color="auto"/>
          </w:divBdr>
        </w:div>
      </w:divsChild>
    </w:div>
    <w:div w:id="1176917672">
      <w:bodyDiv w:val="1"/>
      <w:marLeft w:val="0"/>
      <w:marRight w:val="0"/>
      <w:marTop w:val="0"/>
      <w:marBottom w:val="0"/>
      <w:divBdr>
        <w:top w:val="none" w:sz="0" w:space="0" w:color="auto"/>
        <w:left w:val="none" w:sz="0" w:space="0" w:color="auto"/>
        <w:bottom w:val="none" w:sz="0" w:space="0" w:color="auto"/>
        <w:right w:val="none" w:sz="0" w:space="0" w:color="auto"/>
      </w:divBdr>
    </w:div>
    <w:div w:id="1231237629">
      <w:bodyDiv w:val="1"/>
      <w:marLeft w:val="0"/>
      <w:marRight w:val="0"/>
      <w:marTop w:val="0"/>
      <w:marBottom w:val="0"/>
      <w:divBdr>
        <w:top w:val="none" w:sz="0" w:space="0" w:color="auto"/>
        <w:left w:val="none" w:sz="0" w:space="0" w:color="auto"/>
        <w:bottom w:val="none" w:sz="0" w:space="0" w:color="auto"/>
        <w:right w:val="none" w:sz="0" w:space="0" w:color="auto"/>
      </w:divBdr>
    </w:div>
    <w:div w:id="1257980492">
      <w:bodyDiv w:val="1"/>
      <w:marLeft w:val="0"/>
      <w:marRight w:val="0"/>
      <w:marTop w:val="0"/>
      <w:marBottom w:val="0"/>
      <w:divBdr>
        <w:top w:val="none" w:sz="0" w:space="0" w:color="auto"/>
        <w:left w:val="none" w:sz="0" w:space="0" w:color="auto"/>
        <w:bottom w:val="none" w:sz="0" w:space="0" w:color="auto"/>
        <w:right w:val="none" w:sz="0" w:space="0" w:color="auto"/>
      </w:divBdr>
    </w:div>
    <w:div w:id="1460800287">
      <w:bodyDiv w:val="1"/>
      <w:marLeft w:val="0"/>
      <w:marRight w:val="0"/>
      <w:marTop w:val="0"/>
      <w:marBottom w:val="0"/>
      <w:divBdr>
        <w:top w:val="none" w:sz="0" w:space="0" w:color="auto"/>
        <w:left w:val="none" w:sz="0" w:space="0" w:color="auto"/>
        <w:bottom w:val="none" w:sz="0" w:space="0" w:color="auto"/>
        <w:right w:val="none" w:sz="0" w:space="0" w:color="auto"/>
      </w:divBdr>
    </w:div>
    <w:div w:id="1584293335">
      <w:bodyDiv w:val="1"/>
      <w:marLeft w:val="0"/>
      <w:marRight w:val="0"/>
      <w:marTop w:val="0"/>
      <w:marBottom w:val="0"/>
      <w:divBdr>
        <w:top w:val="none" w:sz="0" w:space="0" w:color="auto"/>
        <w:left w:val="none" w:sz="0" w:space="0" w:color="auto"/>
        <w:bottom w:val="none" w:sz="0" w:space="0" w:color="auto"/>
        <w:right w:val="none" w:sz="0" w:space="0" w:color="auto"/>
      </w:divBdr>
    </w:div>
    <w:div w:id="1669215255">
      <w:bodyDiv w:val="1"/>
      <w:marLeft w:val="0"/>
      <w:marRight w:val="0"/>
      <w:marTop w:val="0"/>
      <w:marBottom w:val="0"/>
      <w:divBdr>
        <w:top w:val="none" w:sz="0" w:space="0" w:color="auto"/>
        <w:left w:val="none" w:sz="0" w:space="0" w:color="auto"/>
        <w:bottom w:val="none" w:sz="0" w:space="0" w:color="auto"/>
        <w:right w:val="none" w:sz="0" w:space="0" w:color="auto"/>
      </w:divBdr>
      <w:divsChild>
        <w:div w:id="434834794">
          <w:marLeft w:val="1166"/>
          <w:marRight w:val="0"/>
          <w:marTop w:val="200"/>
          <w:marBottom w:val="0"/>
          <w:divBdr>
            <w:top w:val="none" w:sz="0" w:space="0" w:color="auto"/>
            <w:left w:val="none" w:sz="0" w:space="0" w:color="auto"/>
            <w:bottom w:val="none" w:sz="0" w:space="0" w:color="auto"/>
            <w:right w:val="none" w:sz="0" w:space="0" w:color="auto"/>
          </w:divBdr>
        </w:div>
        <w:div w:id="1198855847">
          <w:marLeft w:val="1166"/>
          <w:marRight w:val="0"/>
          <w:marTop w:val="200"/>
          <w:marBottom w:val="0"/>
          <w:divBdr>
            <w:top w:val="none" w:sz="0" w:space="0" w:color="auto"/>
            <w:left w:val="none" w:sz="0" w:space="0" w:color="auto"/>
            <w:bottom w:val="none" w:sz="0" w:space="0" w:color="auto"/>
            <w:right w:val="none" w:sz="0" w:space="0" w:color="auto"/>
          </w:divBdr>
        </w:div>
        <w:div w:id="382755115">
          <w:marLeft w:val="1166"/>
          <w:marRight w:val="0"/>
          <w:marTop w:val="200"/>
          <w:marBottom w:val="0"/>
          <w:divBdr>
            <w:top w:val="none" w:sz="0" w:space="0" w:color="auto"/>
            <w:left w:val="none" w:sz="0" w:space="0" w:color="auto"/>
            <w:bottom w:val="none" w:sz="0" w:space="0" w:color="auto"/>
            <w:right w:val="none" w:sz="0" w:space="0" w:color="auto"/>
          </w:divBdr>
        </w:div>
      </w:divsChild>
    </w:div>
    <w:div w:id="1684353429">
      <w:bodyDiv w:val="1"/>
      <w:marLeft w:val="0"/>
      <w:marRight w:val="0"/>
      <w:marTop w:val="0"/>
      <w:marBottom w:val="0"/>
      <w:divBdr>
        <w:top w:val="none" w:sz="0" w:space="0" w:color="auto"/>
        <w:left w:val="none" w:sz="0" w:space="0" w:color="auto"/>
        <w:bottom w:val="none" w:sz="0" w:space="0" w:color="auto"/>
        <w:right w:val="none" w:sz="0" w:space="0" w:color="auto"/>
      </w:divBdr>
    </w:div>
    <w:div w:id="1819880711">
      <w:bodyDiv w:val="1"/>
      <w:marLeft w:val="0"/>
      <w:marRight w:val="0"/>
      <w:marTop w:val="0"/>
      <w:marBottom w:val="0"/>
      <w:divBdr>
        <w:top w:val="none" w:sz="0" w:space="0" w:color="auto"/>
        <w:left w:val="none" w:sz="0" w:space="0" w:color="auto"/>
        <w:bottom w:val="none" w:sz="0" w:space="0" w:color="auto"/>
        <w:right w:val="none" w:sz="0" w:space="0" w:color="auto"/>
      </w:divBdr>
    </w:div>
    <w:div w:id="1842282604">
      <w:bodyDiv w:val="1"/>
      <w:marLeft w:val="0"/>
      <w:marRight w:val="0"/>
      <w:marTop w:val="0"/>
      <w:marBottom w:val="0"/>
      <w:divBdr>
        <w:top w:val="none" w:sz="0" w:space="0" w:color="auto"/>
        <w:left w:val="none" w:sz="0" w:space="0" w:color="auto"/>
        <w:bottom w:val="none" w:sz="0" w:space="0" w:color="auto"/>
        <w:right w:val="none" w:sz="0" w:space="0" w:color="auto"/>
      </w:divBdr>
    </w:div>
    <w:div w:id="1843006062">
      <w:bodyDiv w:val="1"/>
      <w:marLeft w:val="0"/>
      <w:marRight w:val="0"/>
      <w:marTop w:val="0"/>
      <w:marBottom w:val="0"/>
      <w:divBdr>
        <w:top w:val="none" w:sz="0" w:space="0" w:color="auto"/>
        <w:left w:val="none" w:sz="0" w:space="0" w:color="auto"/>
        <w:bottom w:val="none" w:sz="0" w:space="0" w:color="auto"/>
        <w:right w:val="none" w:sz="0" w:space="0" w:color="auto"/>
      </w:divBdr>
      <w:divsChild>
        <w:div w:id="716466993">
          <w:marLeft w:val="0"/>
          <w:marRight w:val="0"/>
          <w:marTop w:val="0"/>
          <w:marBottom w:val="0"/>
          <w:divBdr>
            <w:top w:val="none" w:sz="0" w:space="0" w:color="auto"/>
            <w:left w:val="none" w:sz="0" w:space="0" w:color="auto"/>
            <w:bottom w:val="none" w:sz="0" w:space="0" w:color="auto"/>
            <w:right w:val="none" w:sz="0" w:space="0" w:color="auto"/>
          </w:divBdr>
          <w:divsChild>
            <w:div w:id="16758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0592">
      <w:bodyDiv w:val="1"/>
      <w:marLeft w:val="0"/>
      <w:marRight w:val="0"/>
      <w:marTop w:val="0"/>
      <w:marBottom w:val="0"/>
      <w:divBdr>
        <w:top w:val="none" w:sz="0" w:space="0" w:color="auto"/>
        <w:left w:val="none" w:sz="0" w:space="0" w:color="auto"/>
        <w:bottom w:val="none" w:sz="0" w:space="0" w:color="auto"/>
        <w:right w:val="none" w:sz="0" w:space="0" w:color="auto"/>
      </w:divBdr>
    </w:div>
    <w:div w:id="2070880903">
      <w:bodyDiv w:val="1"/>
      <w:marLeft w:val="0"/>
      <w:marRight w:val="0"/>
      <w:marTop w:val="0"/>
      <w:marBottom w:val="0"/>
      <w:divBdr>
        <w:top w:val="none" w:sz="0" w:space="0" w:color="auto"/>
        <w:left w:val="none" w:sz="0" w:space="0" w:color="auto"/>
        <w:bottom w:val="none" w:sz="0" w:space="0" w:color="auto"/>
        <w:right w:val="none" w:sz="0" w:space="0" w:color="auto"/>
      </w:divBdr>
    </w:div>
    <w:div w:id="209376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image" Target="media/image3.jp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0.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B01A7-E6F9-4728-AA11-97036A999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ADC811E-D038-43B7-A75F-BAA1EB7B8B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794920-29B4-47E3-88FF-7704E83A051B}">
  <ds:schemaRefs>
    <ds:schemaRef ds:uri="http://schemas.microsoft.com/sharepoint/v3/contenttype/forms"/>
  </ds:schemaRefs>
</ds:datastoreItem>
</file>

<file path=customXml/itemProps4.xml><?xml version="1.0" encoding="utf-8"?>
<ds:datastoreItem xmlns:ds="http://schemas.openxmlformats.org/officeDocument/2006/customXml" ds:itemID="{A22F6E56-9D7A-4B84-BE24-D026E8CE3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11221</Words>
  <Characters>61721</Characters>
  <Application>Microsoft Office Word</Application>
  <DocSecurity>0</DocSecurity>
  <Lines>514</Lines>
  <Paragraphs>145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Luffi</Company>
  <LinksUpToDate>false</LinksUpToDate>
  <CharactersWithSpaces>72797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Vladimir Salazar Altamirano</dc:creator>
  <cp:lastModifiedBy>Maria del Consuelo Gonzalez Moreno</cp:lastModifiedBy>
  <cp:revision>7</cp:revision>
  <cp:lastPrinted>2017-05-03T16:53:00Z</cp:lastPrinted>
  <dcterms:created xsi:type="dcterms:W3CDTF">2018-02-19T22:35:00Z</dcterms:created>
  <dcterms:modified xsi:type="dcterms:W3CDTF">2018-02-20T18:32:00Z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