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AAA39" w14:textId="4F6A2AAA" w:rsidR="00C07F03" w:rsidRPr="00C07F03" w:rsidRDefault="00C07F03" w:rsidP="00C07F03">
      <w:pPr>
        <w:pStyle w:val="Ttulo1"/>
        <w:keepNext/>
        <w:keepLines/>
        <w:spacing w:before="40" w:beforeAutospacing="0" w:after="240" w:afterAutospacing="0"/>
        <w:jc w:val="center"/>
        <w:rPr>
          <w:rFonts w:ascii="ITC Avant Garde" w:eastAsiaTheme="majorEastAsia" w:hAnsi="ITC Avant Garde" w:cstheme="majorBidi"/>
          <w:bCs w:val="0"/>
          <w:color w:val="000000" w:themeColor="text1"/>
          <w:kern w:val="0"/>
          <w:sz w:val="22"/>
          <w:szCs w:val="22"/>
          <w:lang w:eastAsia="en-US"/>
        </w:rPr>
      </w:pPr>
      <w:r w:rsidRPr="00C07F03">
        <w:rPr>
          <w:rFonts w:ascii="ITC Avant Garde" w:eastAsiaTheme="majorEastAsia" w:hAnsi="ITC Avant Garde" w:cstheme="majorBidi"/>
          <w:bCs w:val="0"/>
          <w:color w:val="000000" w:themeColor="text1"/>
          <w:kern w:val="0"/>
          <w:sz w:val="22"/>
          <w:szCs w:val="22"/>
          <w:lang w:eastAsia="en-US"/>
        </w:rPr>
        <w:t>VERSIÓN PÚBLICA DEL ACUERDO P/IFT/260417/188</w:t>
      </w:r>
    </w:p>
    <w:p w14:paraId="2FD14FAF" w14:textId="74ADF959" w:rsidR="00C07F03" w:rsidRPr="005B4B17" w:rsidRDefault="00C07F03" w:rsidP="00C07F03">
      <w:pPr>
        <w:pStyle w:val="Textoindependiente"/>
        <w:spacing w:after="0" w:line="360" w:lineRule="auto"/>
        <w:jc w:val="center"/>
        <w:rPr>
          <w:rFonts w:ascii="ITC Avant Garde" w:hAnsi="ITC Avant Garde"/>
          <w:b/>
          <w:sz w:val="20"/>
          <w:szCs w:val="20"/>
        </w:rPr>
      </w:pPr>
      <w:r w:rsidRPr="005B4B17">
        <w:rPr>
          <w:rFonts w:ascii="ITC Avant Garde" w:hAnsi="ITC Avant Garde"/>
          <w:b/>
          <w:sz w:val="20"/>
          <w:szCs w:val="20"/>
        </w:rPr>
        <w:t>DE LA SESIÓN DEL PLENO DEL INSTITUTO FEDERAL</w:t>
      </w:r>
      <w:r>
        <w:rPr>
          <w:rFonts w:ascii="ITC Avant Garde" w:hAnsi="ITC Avant Garde"/>
          <w:b/>
          <w:sz w:val="20"/>
          <w:szCs w:val="20"/>
        </w:rPr>
        <w:t xml:space="preserve"> DE TELECOMUNICACIONES EN SU XV</w:t>
      </w:r>
      <w:r w:rsidRPr="00BD2557">
        <w:rPr>
          <w:rFonts w:ascii="ITC Avant Garde" w:hAnsi="ITC Avant Garde"/>
          <w:b/>
          <w:sz w:val="20"/>
          <w:szCs w:val="20"/>
        </w:rPr>
        <w:t xml:space="preserve"> SESIÓN ORDINARIA DEL 201</w:t>
      </w:r>
      <w:r>
        <w:rPr>
          <w:rFonts w:ascii="ITC Avant Garde" w:hAnsi="ITC Avant Garde"/>
          <w:b/>
          <w:sz w:val="20"/>
          <w:szCs w:val="20"/>
        </w:rPr>
        <w:t>7</w:t>
      </w:r>
      <w:r w:rsidRPr="00BD2557">
        <w:rPr>
          <w:rFonts w:ascii="ITC Avant Garde" w:hAnsi="ITC Avant Garde"/>
          <w:b/>
          <w:sz w:val="20"/>
          <w:szCs w:val="20"/>
        </w:rPr>
        <w:t xml:space="preserve">, CELEBRADA EL </w:t>
      </w:r>
      <w:r>
        <w:rPr>
          <w:rFonts w:ascii="ITC Avant Garde" w:hAnsi="ITC Avant Garde"/>
          <w:b/>
          <w:sz w:val="20"/>
          <w:szCs w:val="20"/>
        </w:rPr>
        <w:t>26</w:t>
      </w:r>
      <w:r w:rsidRPr="00BD2557">
        <w:rPr>
          <w:rFonts w:ascii="ITC Avant Garde" w:hAnsi="ITC Avant Garde"/>
          <w:b/>
          <w:sz w:val="20"/>
          <w:szCs w:val="20"/>
        </w:rPr>
        <w:t xml:space="preserve"> DE </w:t>
      </w:r>
      <w:r>
        <w:rPr>
          <w:rFonts w:ascii="ITC Avant Garde" w:hAnsi="ITC Avant Garde"/>
          <w:b/>
          <w:sz w:val="20"/>
          <w:szCs w:val="20"/>
        </w:rPr>
        <w:t>ABRIL</w:t>
      </w:r>
      <w:r w:rsidRPr="00BD2557">
        <w:rPr>
          <w:rFonts w:ascii="ITC Avant Garde" w:hAnsi="ITC Avant Garde"/>
          <w:b/>
          <w:sz w:val="20"/>
          <w:szCs w:val="20"/>
        </w:rPr>
        <w:t xml:space="preserve"> DE 2017</w:t>
      </w:r>
      <w:r>
        <w:rPr>
          <w:rFonts w:ascii="ITC Avant Garde" w:hAnsi="ITC Avant Garde"/>
          <w:b/>
          <w:sz w:val="20"/>
          <w:szCs w:val="20"/>
        </w:rPr>
        <w:t>.</w:t>
      </w:r>
    </w:p>
    <w:p w14:paraId="0BEAC1EC" w14:textId="77777777" w:rsidR="00C07F03" w:rsidRPr="00644EFB" w:rsidRDefault="00C07F03" w:rsidP="00C07F03">
      <w:pPr>
        <w:pStyle w:val="Ttulo2"/>
        <w:spacing w:before="360" w:after="240" w:line="360" w:lineRule="auto"/>
        <w:contextualSpacing/>
        <w:jc w:val="center"/>
        <w:rPr>
          <w:rFonts w:ascii="ITC Avant Garde" w:eastAsia="Arial" w:hAnsi="ITC Avant Garde" w:cs="Arial"/>
          <w:b/>
          <w:color w:val="000000"/>
          <w:sz w:val="21"/>
          <w:szCs w:val="21"/>
          <w:lang w:eastAsia="es-MX"/>
        </w:rPr>
      </w:pPr>
      <w:r w:rsidRPr="00644EFB">
        <w:rPr>
          <w:rFonts w:ascii="ITC Avant Garde" w:eastAsia="Arial" w:hAnsi="ITC Avant Garde" w:cs="Arial"/>
          <w:b/>
          <w:color w:val="000000"/>
          <w:sz w:val="21"/>
          <w:szCs w:val="21"/>
          <w:lang w:eastAsia="es-MX"/>
        </w:rPr>
        <w:t>LEYENDA DE LA CLASIFICACIÓN</w:t>
      </w:r>
    </w:p>
    <w:p w14:paraId="481E29F0" w14:textId="098F391D" w:rsidR="00C07F03" w:rsidRPr="00C07F03" w:rsidRDefault="00C07F03" w:rsidP="00C07F03">
      <w:pPr>
        <w:pStyle w:val="Textoindependiente"/>
        <w:spacing w:after="0" w:line="360" w:lineRule="auto"/>
        <w:jc w:val="both"/>
        <w:rPr>
          <w:rFonts w:ascii="ITC Avant Garde" w:eastAsia="Times New Roman" w:hAnsi="ITC Avant Garde"/>
          <w:bCs/>
          <w:color w:val="000000"/>
          <w:sz w:val="19"/>
          <w:szCs w:val="19"/>
          <w:lang w:eastAsia="es-MX"/>
        </w:rPr>
      </w:pPr>
      <w:r w:rsidRPr="00C07F03">
        <w:rPr>
          <w:rFonts w:ascii="ITC Avant Garde" w:eastAsia="Times New Roman" w:hAnsi="ITC Avant Garde"/>
          <w:b/>
          <w:bCs/>
          <w:color w:val="000000"/>
          <w:sz w:val="19"/>
          <w:szCs w:val="19"/>
          <w:lang w:eastAsia="es-MX"/>
        </w:rPr>
        <w:t>Fecha de Clasificación:</w:t>
      </w:r>
      <w:r w:rsidRPr="00C07F03">
        <w:rPr>
          <w:rFonts w:ascii="ITC Avant Garde" w:eastAsia="Times New Roman" w:hAnsi="ITC Avant Garde"/>
          <w:bCs/>
          <w:color w:val="000000"/>
          <w:sz w:val="19"/>
          <w:szCs w:val="19"/>
          <w:lang w:eastAsia="es-MX"/>
        </w:rPr>
        <w:t xml:space="preserve"> </w:t>
      </w:r>
      <w:r w:rsidRPr="00C07F03">
        <w:rPr>
          <w:rFonts w:ascii="ITC Avant Garde" w:hAnsi="ITC Avant Garde"/>
          <w:sz w:val="19"/>
          <w:szCs w:val="19"/>
        </w:rPr>
        <w:t>26 de abril de 2017</w:t>
      </w:r>
      <w:r w:rsidRPr="00C07F03">
        <w:rPr>
          <w:rFonts w:ascii="ITC Avant Garde" w:eastAsia="Times New Roman" w:hAnsi="ITC Avant Garde"/>
          <w:bCs/>
          <w:color w:val="000000"/>
          <w:sz w:val="19"/>
          <w:szCs w:val="19"/>
          <w:lang w:eastAsia="es-MX"/>
        </w:rPr>
        <w:t xml:space="preserve">. </w:t>
      </w:r>
    </w:p>
    <w:p w14:paraId="483BC6A9" w14:textId="77777777" w:rsidR="00C07F03" w:rsidRPr="00C07F03" w:rsidRDefault="00C07F03" w:rsidP="00C07F03">
      <w:pPr>
        <w:pStyle w:val="Textoindependiente"/>
        <w:spacing w:after="0" w:line="360" w:lineRule="auto"/>
        <w:jc w:val="both"/>
        <w:rPr>
          <w:rFonts w:ascii="ITC Avant Garde" w:hAnsi="ITC Avant Garde"/>
          <w:sz w:val="19"/>
          <w:szCs w:val="19"/>
        </w:rPr>
      </w:pPr>
      <w:r w:rsidRPr="00C07F03">
        <w:rPr>
          <w:rFonts w:ascii="ITC Avant Garde" w:eastAsia="Times New Roman" w:hAnsi="ITC Avant Garde"/>
          <w:b/>
          <w:bCs/>
          <w:color w:val="000000"/>
          <w:sz w:val="19"/>
          <w:szCs w:val="19"/>
          <w:lang w:eastAsia="es-MX"/>
        </w:rPr>
        <w:t>Unidad Administrativa:</w:t>
      </w:r>
      <w:r w:rsidRPr="00C07F03">
        <w:rPr>
          <w:rFonts w:ascii="ITC Avant Garde" w:eastAsia="Times New Roman" w:hAnsi="ITC Avant Garde"/>
          <w:bCs/>
          <w:color w:val="000000"/>
          <w:sz w:val="19"/>
          <w:szCs w:val="19"/>
          <w:lang w:eastAsia="es-MX"/>
        </w:rPr>
        <w:t xml:space="preserve"> </w:t>
      </w:r>
      <w:r w:rsidRPr="00C07F03">
        <w:rPr>
          <w:rFonts w:ascii="ITC Avant Garde" w:hAnsi="ITC Avant Garde"/>
          <w:sz w:val="19"/>
          <w:szCs w:val="19"/>
        </w:rPr>
        <w:t>Secretaría Técnica del Pleno.</w:t>
      </w:r>
    </w:p>
    <w:p w14:paraId="38411F81" w14:textId="1D9AB5D7" w:rsidR="00C07F03" w:rsidRPr="00C07F03" w:rsidRDefault="00C07F03" w:rsidP="00C07F03">
      <w:pPr>
        <w:pStyle w:val="Textoindependiente"/>
        <w:spacing w:after="0" w:line="360" w:lineRule="auto"/>
        <w:jc w:val="both"/>
        <w:rPr>
          <w:rFonts w:ascii="ITC Avant Garde" w:hAnsi="ITC Avant Garde"/>
          <w:sz w:val="19"/>
          <w:szCs w:val="19"/>
        </w:rPr>
      </w:pPr>
      <w:r w:rsidRPr="00C07F03">
        <w:rPr>
          <w:rFonts w:ascii="ITC Avant Garde" w:hAnsi="ITC Avant Garde"/>
          <w:b/>
          <w:sz w:val="19"/>
          <w:szCs w:val="19"/>
        </w:rPr>
        <w:t>Clasificación:</w:t>
      </w:r>
      <w:r w:rsidRPr="00C07F03">
        <w:rPr>
          <w:rFonts w:ascii="ITC Avant Garde" w:hAnsi="ITC Avant Garde"/>
          <w:sz w:val="19"/>
          <w:szCs w:val="19"/>
        </w:rPr>
        <w:t xml:space="preserve"> Confidencial, </w:t>
      </w:r>
      <w:r w:rsidRPr="00C07F03">
        <w:rPr>
          <w:rFonts w:ascii="ITC Avant Garde" w:hAnsi="ITC Avant Garde" w:cs="Tahoma"/>
          <w:color w:val="000000"/>
          <w:sz w:val="19"/>
          <w:szCs w:val="19"/>
          <w:lang w:eastAsia="es-MX"/>
        </w:rPr>
        <w:t>de conformidad con los artículos 72, fracción V, inciso c), 98, fracción III y 104 de la Ley Federal de Transparencia y Acceso a la Información Pública (“LFTAIP”); 106, 107 y 110 de la Ley General de Transparencia y Acceso a la Información Pública ("LGTAIP”); así como el Lineamiento Séptimo, fracción III, Quincuagésimo Primero al Cuarto, Sexagésimo y Sexagésimo Primero de los Lineamientos Generales en materia de Clasificación y Desclasificación de la Información, así como para la Elaboración de Versiones Públicas (“LGCDIEVP”), así como la versión pública elaborada por la Dirección General de Sanciones y remitida mediante correo electrónico de fecha 15 de mayo de 2017</w:t>
      </w:r>
      <w:r w:rsidRPr="00C07F03">
        <w:rPr>
          <w:rFonts w:ascii="ITC Avant Garde" w:hAnsi="ITC Avant Garde"/>
          <w:sz w:val="19"/>
          <w:szCs w:val="19"/>
        </w:rPr>
        <w:t>.</w:t>
      </w:r>
    </w:p>
    <w:p w14:paraId="35627719" w14:textId="0CB0D7A8" w:rsidR="00C07F03" w:rsidRPr="00C07F03" w:rsidRDefault="00C07F03" w:rsidP="00C07F03">
      <w:pPr>
        <w:pStyle w:val="Textoindependiente"/>
        <w:spacing w:after="0" w:line="360" w:lineRule="auto"/>
        <w:jc w:val="both"/>
        <w:rPr>
          <w:rFonts w:ascii="ITC Avant Garde" w:eastAsia="Times New Roman" w:hAnsi="ITC Avant Garde"/>
          <w:bCs/>
          <w:color w:val="000000"/>
          <w:sz w:val="19"/>
          <w:szCs w:val="19"/>
          <w:lang w:eastAsia="es-MX"/>
        </w:rPr>
      </w:pPr>
      <w:r w:rsidRPr="00C07F03">
        <w:rPr>
          <w:rFonts w:ascii="ITC Avant Garde" w:eastAsia="Times New Roman" w:hAnsi="ITC Avant Garde"/>
          <w:b/>
          <w:bCs/>
          <w:color w:val="000000"/>
          <w:sz w:val="19"/>
          <w:szCs w:val="19"/>
          <w:lang w:eastAsia="es-MX"/>
        </w:rPr>
        <w:t>Núm. de Resolución:</w:t>
      </w:r>
      <w:r w:rsidRPr="00C07F03">
        <w:rPr>
          <w:rFonts w:ascii="ITC Avant Garde" w:eastAsia="Times New Roman" w:hAnsi="ITC Avant Garde"/>
          <w:bCs/>
          <w:color w:val="000000"/>
          <w:sz w:val="19"/>
          <w:szCs w:val="19"/>
          <w:lang w:eastAsia="es-MX"/>
        </w:rPr>
        <w:t xml:space="preserve"> </w:t>
      </w:r>
      <w:r w:rsidRPr="00C07F03">
        <w:rPr>
          <w:rFonts w:ascii="ITC Avant Garde" w:hAnsi="ITC Avant Garde"/>
          <w:sz w:val="19"/>
          <w:szCs w:val="19"/>
        </w:rPr>
        <w:t>P/IFT/260417/188.</w:t>
      </w:r>
    </w:p>
    <w:p w14:paraId="1D7FCEC1" w14:textId="00E6152C" w:rsidR="00C07F03" w:rsidRPr="00C07F03" w:rsidRDefault="00C07F03" w:rsidP="00C07F03">
      <w:pPr>
        <w:pStyle w:val="Textoindependiente"/>
        <w:spacing w:after="0" w:line="360" w:lineRule="auto"/>
        <w:jc w:val="both"/>
        <w:rPr>
          <w:rFonts w:ascii="ITC Avant Garde" w:eastAsia="Times New Roman" w:hAnsi="ITC Avant Garde"/>
          <w:bCs/>
          <w:color w:val="000000"/>
          <w:sz w:val="19"/>
          <w:szCs w:val="19"/>
          <w:lang w:eastAsia="es-MX"/>
        </w:rPr>
      </w:pPr>
      <w:r w:rsidRPr="00C07F03">
        <w:rPr>
          <w:rFonts w:ascii="ITC Avant Garde" w:eastAsia="Times New Roman" w:hAnsi="ITC Avant Garde"/>
          <w:b/>
          <w:bCs/>
          <w:color w:val="000000"/>
          <w:sz w:val="19"/>
          <w:szCs w:val="19"/>
          <w:lang w:eastAsia="es-MX"/>
        </w:rPr>
        <w:t>Descripción del asunto:</w:t>
      </w:r>
      <w:r w:rsidRPr="00C07F03">
        <w:rPr>
          <w:rFonts w:ascii="ITC Avant Garde" w:eastAsia="Times New Roman" w:hAnsi="ITC Avant Garde"/>
          <w:bCs/>
          <w:color w:val="000000"/>
          <w:sz w:val="19"/>
          <w:szCs w:val="19"/>
          <w:lang w:eastAsia="es-MX"/>
        </w:rPr>
        <w:t xml:space="preserve"> </w:t>
      </w:r>
      <w:r w:rsidRPr="00C07F03">
        <w:rPr>
          <w:rFonts w:ascii="ITC Avant Garde" w:hAnsi="ITC Avant Garde"/>
          <w:sz w:val="19"/>
          <w:szCs w:val="19"/>
        </w:rPr>
        <w:t xml:space="preserve">Resolución mediante la cual el Pleno del Instituto Federal de Telecomunicaciones declara la pérdida de bienes en beneficio de la Nación, derivado del procedimiento administrativo instruido en contra de </w:t>
      </w:r>
      <w:r w:rsidRPr="00C07F03">
        <w:rPr>
          <w:rFonts w:ascii="ITC Avant Garde" w:eastAsia="Times New Roman" w:hAnsi="ITC Avant Garde"/>
          <w:b/>
          <w:bCs/>
          <w:color w:val="0000CC"/>
          <w:sz w:val="19"/>
          <w:szCs w:val="19"/>
          <w:lang w:eastAsia="es-MX"/>
        </w:rPr>
        <w:t>“CONFIDENCIAL POR LEY”</w:t>
      </w:r>
      <w:r w:rsidRPr="00C07F03">
        <w:rPr>
          <w:rFonts w:ascii="ITC Avant Garde" w:eastAsia="Times New Roman" w:hAnsi="ITC Avant Garde"/>
          <w:b/>
          <w:bCs/>
          <w:color w:val="0000CC"/>
          <w:sz w:val="19"/>
          <w:szCs w:val="19"/>
          <w:lang w:eastAsia="es-MX"/>
        </w:rPr>
        <w:t xml:space="preserve"> </w:t>
      </w:r>
      <w:r w:rsidRPr="00C07F03">
        <w:rPr>
          <w:rFonts w:ascii="ITC Avant Garde" w:hAnsi="ITC Avant Garde"/>
          <w:sz w:val="19"/>
          <w:szCs w:val="19"/>
        </w:rPr>
        <w:t>en su carácter de propietario de los bienes asegurados  y responsable de la operación de la estación de radiodifusión, utilizando la frecuencia de 97.3 MHz, en la Ciudad de México, sin contar con la respectiva concesión para prestar el servicio de radiodifusión.</w:t>
      </w:r>
    </w:p>
    <w:p w14:paraId="4B2B7F54" w14:textId="77777777" w:rsidR="00C07F03" w:rsidRPr="00C07F03" w:rsidRDefault="00C07F03" w:rsidP="00C07F03">
      <w:pPr>
        <w:pStyle w:val="Textoindependiente"/>
        <w:spacing w:after="0" w:line="360" w:lineRule="auto"/>
        <w:jc w:val="both"/>
        <w:rPr>
          <w:rFonts w:ascii="ITC Avant Garde" w:hAnsi="ITC Avant Garde"/>
          <w:sz w:val="19"/>
          <w:szCs w:val="19"/>
        </w:rPr>
      </w:pPr>
      <w:r w:rsidRPr="00C07F03">
        <w:rPr>
          <w:rFonts w:ascii="ITC Avant Garde" w:eastAsia="Times New Roman" w:hAnsi="ITC Avant Garde"/>
          <w:b/>
          <w:bCs/>
          <w:color w:val="000000"/>
          <w:sz w:val="19"/>
          <w:szCs w:val="19"/>
          <w:lang w:eastAsia="es-MX"/>
        </w:rPr>
        <w:t>Fundamento legal:</w:t>
      </w:r>
      <w:r w:rsidRPr="00C07F03">
        <w:rPr>
          <w:rFonts w:ascii="ITC Avant Garde" w:eastAsia="Times New Roman" w:hAnsi="ITC Avant Garde"/>
          <w:bCs/>
          <w:color w:val="000000"/>
          <w:sz w:val="19"/>
          <w:szCs w:val="19"/>
          <w:lang w:eastAsia="es-MX"/>
        </w:rPr>
        <w:t xml:space="preserve"> </w:t>
      </w:r>
      <w:r w:rsidRPr="00C07F03">
        <w:rPr>
          <w:rFonts w:ascii="ITC Avant Garde" w:hAnsi="ITC Avant Garde"/>
          <w:sz w:val="19"/>
          <w:szCs w:val="19"/>
        </w:rPr>
        <w:t>Confidencial con fundamento en el artículo 113, fracción I de la “LFTAIP” publicada en el Diario Oficial de la Federación (DOF) el 9 de mayo de 2016; así como el artículo 116 de la “LGTAIP”, publicada en el DOF el 4 de mayo de 2015; así como el Lineamiento Trigésimo Octavo, fracción I de los “LCCDIEVP”, publicado en el DOF el 15 de abril de 2016.</w:t>
      </w:r>
    </w:p>
    <w:p w14:paraId="5EC0A2B7" w14:textId="77777777" w:rsidR="00C07F03" w:rsidRPr="00C07F03" w:rsidRDefault="00C07F03" w:rsidP="00C07F03">
      <w:pPr>
        <w:pStyle w:val="Textoindependiente"/>
        <w:spacing w:after="0" w:line="360" w:lineRule="auto"/>
        <w:jc w:val="both"/>
        <w:rPr>
          <w:rFonts w:ascii="ITC Avant Garde" w:eastAsia="Times New Roman" w:hAnsi="ITC Avant Garde"/>
          <w:bCs/>
          <w:color w:val="000000"/>
          <w:sz w:val="19"/>
          <w:szCs w:val="19"/>
          <w:lang w:eastAsia="es-MX"/>
        </w:rPr>
      </w:pPr>
      <w:r w:rsidRPr="00C07F03">
        <w:rPr>
          <w:rFonts w:ascii="ITC Avant Garde" w:eastAsia="Times New Roman" w:hAnsi="ITC Avant Garde"/>
          <w:b/>
          <w:bCs/>
          <w:color w:val="000000"/>
          <w:sz w:val="19"/>
          <w:szCs w:val="19"/>
          <w:lang w:eastAsia="es-MX"/>
        </w:rPr>
        <w:t>Motivación:</w:t>
      </w:r>
      <w:r w:rsidRPr="00C07F03">
        <w:rPr>
          <w:rFonts w:ascii="ITC Avant Garde" w:eastAsia="Times New Roman" w:hAnsi="ITC Avant Garde"/>
          <w:bCs/>
          <w:color w:val="000000"/>
          <w:sz w:val="19"/>
          <w:szCs w:val="19"/>
          <w:lang w:eastAsia="es-MX"/>
        </w:rPr>
        <w:t xml:space="preserve"> </w:t>
      </w:r>
      <w:r w:rsidRPr="00C07F03">
        <w:rPr>
          <w:rFonts w:ascii="ITC Avant Garde" w:hAnsi="ITC Avant Garde"/>
          <w:sz w:val="19"/>
          <w:szCs w:val="19"/>
        </w:rPr>
        <w:t>Contiene datos personales concernientes a una persona identificada o identificable.</w:t>
      </w:r>
    </w:p>
    <w:p w14:paraId="1F2F2139" w14:textId="77777777" w:rsidR="00C07F03" w:rsidRPr="00C07F03" w:rsidRDefault="00C07F03" w:rsidP="00C07F03">
      <w:pPr>
        <w:pStyle w:val="Textoindependiente"/>
        <w:spacing w:after="0" w:line="360" w:lineRule="auto"/>
        <w:jc w:val="both"/>
        <w:rPr>
          <w:rFonts w:ascii="ITC Avant Garde" w:eastAsia="Times New Roman" w:hAnsi="ITC Avant Garde"/>
          <w:bCs/>
          <w:color w:val="000000"/>
          <w:sz w:val="19"/>
          <w:szCs w:val="19"/>
          <w:lang w:eastAsia="es-MX"/>
        </w:rPr>
      </w:pPr>
      <w:r w:rsidRPr="00C07F03">
        <w:rPr>
          <w:rFonts w:ascii="ITC Avant Garde" w:eastAsia="Times New Roman" w:hAnsi="ITC Avant Garde"/>
          <w:b/>
          <w:bCs/>
          <w:color w:val="000000"/>
          <w:sz w:val="19"/>
          <w:szCs w:val="19"/>
          <w:lang w:eastAsia="es-MX"/>
        </w:rPr>
        <w:t>Secciones Confidenciales:</w:t>
      </w:r>
      <w:r w:rsidRPr="00C07F03">
        <w:rPr>
          <w:rFonts w:ascii="ITC Avant Garde" w:eastAsia="Times New Roman" w:hAnsi="ITC Avant Garde"/>
          <w:bCs/>
          <w:color w:val="000000"/>
          <w:sz w:val="19"/>
          <w:szCs w:val="19"/>
          <w:lang w:eastAsia="es-MX"/>
        </w:rPr>
        <w:t xml:space="preserve"> Las secciones marcadas en color azul con la inscripción que dice </w:t>
      </w:r>
      <w:r w:rsidRPr="00C07F03">
        <w:rPr>
          <w:rFonts w:ascii="ITC Avant Garde" w:eastAsia="Times New Roman" w:hAnsi="ITC Avant Garde"/>
          <w:b/>
          <w:bCs/>
          <w:color w:val="0000CC"/>
          <w:sz w:val="19"/>
          <w:szCs w:val="19"/>
          <w:lang w:eastAsia="es-MX"/>
        </w:rPr>
        <w:t>“CONFIDENCIAL POR LEY”</w:t>
      </w:r>
      <w:r w:rsidRPr="00C07F03">
        <w:rPr>
          <w:rFonts w:ascii="ITC Avant Garde" w:eastAsia="Times New Roman" w:hAnsi="ITC Avant Garde"/>
          <w:bCs/>
          <w:color w:val="000000"/>
          <w:sz w:val="19"/>
          <w:szCs w:val="19"/>
          <w:lang w:eastAsia="es-MX"/>
        </w:rPr>
        <w:t>.</w:t>
      </w:r>
    </w:p>
    <w:p w14:paraId="6E1A39E8" w14:textId="77777777" w:rsidR="00C07F03" w:rsidRPr="00495D1F" w:rsidRDefault="00C07F03" w:rsidP="00C07F03">
      <w:pPr>
        <w:pStyle w:val="Textoindependiente"/>
        <w:spacing w:after="0" w:line="360" w:lineRule="auto"/>
        <w:jc w:val="both"/>
        <w:rPr>
          <w:rFonts w:ascii="ITC Avant Garde" w:eastAsia="Times New Roman" w:hAnsi="ITC Avant Garde"/>
          <w:bCs/>
          <w:color w:val="000000"/>
          <w:sz w:val="20"/>
          <w:szCs w:val="20"/>
          <w:lang w:eastAsia="es-MX"/>
        </w:rPr>
        <w:sectPr w:rsidR="00C07F03" w:rsidRPr="00495D1F" w:rsidSect="00191470">
          <w:headerReference w:type="even" r:id="rId8"/>
          <w:headerReference w:type="default" r:id="rId9"/>
          <w:footerReference w:type="default" r:id="rId10"/>
          <w:headerReference w:type="first" r:id="rId11"/>
          <w:pgSz w:w="12240" w:h="15840"/>
          <w:pgMar w:top="2127" w:right="1750" w:bottom="1418" w:left="1701" w:header="709" w:footer="992" w:gutter="0"/>
          <w:cols w:space="708"/>
          <w:docGrid w:linePitch="360"/>
        </w:sectPr>
      </w:pPr>
    </w:p>
    <w:p w14:paraId="1DBC51F6" w14:textId="2A336844" w:rsidR="003C5E62" w:rsidRPr="0034602F" w:rsidRDefault="008072EF" w:rsidP="00583167">
      <w:pPr>
        <w:pStyle w:val="Ttulo1"/>
        <w:spacing w:before="240" w:beforeAutospacing="0" w:after="240" w:afterAutospacing="0"/>
        <w:ind w:right="4584"/>
        <w:jc w:val="both"/>
        <w:rPr>
          <w:rFonts w:ascii="ITC Avant Garde" w:hAnsi="ITC Avant Garde"/>
          <w:sz w:val="22"/>
        </w:rPr>
      </w:pPr>
      <w:r w:rsidRPr="0034602F">
        <w:rPr>
          <w:rFonts w:ascii="ITC Avant Garde" w:hAnsi="ITC Avant Garde"/>
          <w:sz w:val="22"/>
        </w:rPr>
        <w:lastRenderedPageBreak/>
        <w:t xml:space="preserve">PROPIETARIO Y/O POSEEDOR Y/O RESPONSABLE Y/O ENCARGADO DEL INMUEBLE Y/O DE LAS INSTALACIONES Y EQUIPOS DE RADIODIFUSIÓN LOCALIZADOS EN EL INMUEBLE UBICADO EN </w:t>
      </w:r>
      <w:r w:rsidR="00AB5731" w:rsidRPr="00AB5731">
        <w:rPr>
          <w:rFonts w:ascii="ITC Avant Garde" w:eastAsia="Calibri" w:hAnsi="ITC Avant Garde"/>
          <w:color w:val="0000FF"/>
          <w:kern w:val="0"/>
          <w:sz w:val="22"/>
          <w:szCs w:val="22"/>
          <w:lang w:eastAsia="en-US"/>
        </w:rPr>
        <w:t>“CONFIDENCIAL POR LEY”</w:t>
      </w:r>
      <w:r w:rsidRPr="0034602F">
        <w:rPr>
          <w:rFonts w:ascii="ITC Avant Garde" w:hAnsi="ITC Avant Garde"/>
          <w:sz w:val="22"/>
        </w:rPr>
        <w:t xml:space="preserve"> DELEGACIÓN TLALPAN, EN LA CIUDAD DE MÉXICO, DONDE SE DETECTARON LAS INSTALACIONES DE LA ESTACIÓN DE RADIODIFUSIÓN, OPERANDO LA FRECUENCIA DE 97.3 MHz</w:t>
      </w:r>
      <w:r w:rsidR="002A0ABA" w:rsidRPr="0034602F">
        <w:rPr>
          <w:rFonts w:ascii="ITC Avant Garde" w:hAnsi="ITC Avant Garde"/>
          <w:sz w:val="22"/>
        </w:rPr>
        <w:t>.</w:t>
      </w:r>
    </w:p>
    <w:p w14:paraId="27903522" w14:textId="1641AE42" w:rsidR="003C5E62" w:rsidRPr="0034602F" w:rsidRDefault="00AB5731" w:rsidP="00AB5731">
      <w:pPr>
        <w:spacing w:before="240" w:after="240" w:line="240" w:lineRule="auto"/>
        <w:ind w:right="4302"/>
        <w:jc w:val="both"/>
        <w:rPr>
          <w:rFonts w:ascii="ITC Avant Garde" w:hAnsi="ITC Avant Garde"/>
          <w:b/>
        </w:rPr>
      </w:pPr>
      <w:r>
        <w:rPr>
          <w:rFonts w:ascii="ITC Avant Garde" w:hAnsi="ITC Avant Garde"/>
          <w:b/>
          <w:bCs/>
          <w:color w:val="0000FF"/>
        </w:rPr>
        <w:t>“CONFIDENCIAL POR LEY”</w:t>
      </w:r>
      <w:r w:rsidR="009705F4" w:rsidRPr="0034602F">
        <w:rPr>
          <w:rFonts w:ascii="ITC Avant Garde" w:hAnsi="ITC Avant Garde"/>
        </w:rPr>
        <w:t>, Delegación Tlalpan, en la Ciudad de México</w:t>
      </w:r>
      <w:r w:rsidR="00240A5C" w:rsidRPr="0034602F">
        <w:rPr>
          <w:rFonts w:ascii="ITC Avant Garde" w:hAnsi="ITC Avant Garde"/>
          <w:b/>
        </w:rPr>
        <w:t>.</w:t>
      </w:r>
    </w:p>
    <w:p w14:paraId="2AE8A71B" w14:textId="5EF2AFD0" w:rsidR="003C5E62" w:rsidRPr="0034602F" w:rsidRDefault="00584F31" w:rsidP="00583167">
      <w:pPr>
        <w:spacing w:before="240" w:after="240" w:line="240" w:lineRule="auto"/>
        <w:ind w:right="4302"/>
        <w:jc w:val="both"/>
        <w:rPr>
          <w:rFonts w:ascii="ITC Avant Garde" w:hAnsi="ITC Avant Garde"/>
          <w:b/>
        </w:rPr>
      </w:pPr>
      <w:r>
        <w:rPr>
          <w:rFonts w:ascii="ITC Avant Garde" w:hAnsi="ITC Avant Garde"/>
          <w:b/>
          <w:bCs/>
          <w:color w:val="0000FF"/>
        </w:rPr>
        <w:t>“CONFIDENCIAL POR LEY”</w:t>
      </w:r>
    </w:p>
    <w:p w14:paraId="7E03B012" w14:textId="070D00EB" w:rsidR="003C5E62" w:rsidRPr="0034602F" w:rsidRDefault="00584F31" w:rsidP="00583167">
      <w:pPr>
        <w:spacing w:before="240" w:after="240" w:line="240" w:lineRule="auto"/>
        <w:ind w:right="4301"/>
        <w:jc w:val="both"/>
        <w:rPr>
          <w:rFonts w:ascii="ITC Avant Garde" w:hAnsi="ITC Avant Garde"/>
        </w:rPr>
      </w:pPr>
      <w:r>
        <w:rPr>
          <w:rFonts w:ascii="ITC Avant Garde" w:hAnsi="ITC Avant Garde"/>
          <w:b/>
          <w:bCs/>
          <w:color w:val="0000FF"/>
        </w:rPr>
        <w:t>“CONFIDENCIAL POR LEY”</w:t>
      </w:r>
      <w:r w:rsidR="00A419E8" w:rsidRPr="0034602F">
        <w:rPr>
          <w:rStyle w:val="Refdenotaalpie"/>
          <w:rFonts w:ascii="ITC Avant Garde" w:hAnsi="ITC Avant Garde"/>
        </w:rPr>
        <w:footnoteReference w:id="2"/>
      </w:r>
      <w:r w:rsidR="00E900A2" w:rsidRPr="0034602F">
        <w:rPr>
          <w:rFonts w:ascii="ITC Avant Garde" w:hAnsi="ITC Avant Garde"/>
        </w:rPr>
        <w:t>.</w:t>
      </w:r>
    </w:p>
    <w:p w14:paraId="17D0E76D" w14:textId="77777777" w:rsidR="00AB5731" w:rsidRDefault="004C0C2C" w:rsidP="00583167">
      <w:pPr>
        <w:pStyle w:val="Textoindependiente"/>
        <w:spacing w:before="240" w:after="240" w:line="360" w:lineRule="auto"/>
        <w:jc w:val="both"/>
        <w:rPr>
          <w:rFonts w:ascii="ITC Avant Garde" w:hAnsi="ITC Avant Garde"/>
          <w:b/>
          <w:caps/>
        </w:rPr>
        <w:sectPr w:rsidR="00AB5731" w:rsidSect="006345CE">
          <w:headerReference w:type="even" r:id="rId12"/>
          <w:headerReference w:type="default" r:id="rId13"/>
          <w:footerReference w:type="default" r:id="rId14"/>
          <w:headerReference w:type="first" r:id="rId15"/>
          <w:pgSz w:w="12240" w:h="15840"/>
          <w:pgMar w:top="426" w:right="1418" w:bottom="1418" w:left="1418" w:header="709" w:footer="420" w:gutter="0"/>
          <w:cols w:space="708"/>
          <w:docGrid w:linePitch="360"/>
        </w:sectPr>
      </w:pPr>
      <w:r w:rsidRPr="0034602F">
        <w:rPr>
          <w:rFonts w:ascii="ITC Avant Garde" w:eastAsia="Times New Roman" w:hAnsi="ITC Avant Garde"/>
          <w:b/>
          <w:bCs/>
          <w:color w:val="000000"/>
          <w:lang w:eastAsia="es-MX"/>
        </w:rPr>
        <w:t xml:space="preserve">Ciudad de </w:t>
      </w:r>
      <w:r w:rsidR="00AD7161" w:rsidRPr="0034602F">
        <w:rPr>
          <w:rFonts w:ascii="ITC Avant Garde" w:eastAsia="Times New Roman" w:hAnsi="ITC Avant Garde"/>
          <w:b/>
          <w:bCs/>
          <w:color w:val="000000"/>
          <w:lang w:eastAsia="es-MX"/>
        </w:rPr>
        <w:t xml:space="preserve">México, a </w:t>
      </w:r>
      <w:r w:rsidR="0026628D" w:rsidRPr="0034602F">
        <w:rPr>
          <w:rFonts w:ascii="ITC Avant Garde" w:eastAsia="Times New Roman" w:hAnsi="ITC Avant Garde"/>
          <w:b/>
          <w:bCs/>
          <w:color w:val="000000"/>
          <w:lang w:eastAsia="es-MX"/>
        </w:rPr>
        <w:t>veintiséis</w:t>
      </w:r>
      <w:r w:rsidR="00240A5C" w:rsidRPr="0034602F">
        <w:rPr>
          <w:rFonts w:ascii="ITC Avant Garde" w:eastAsia="Times New Roman" w:hAnsi="ITC Avant Garde"/>
          <w:b/>
          <w:bCs/>
          <w:color w:val="000000"/>
          <w:lang w:eastAsia="es-MX"/>
        </w:rPr>
        <w:t xml:space="preserve"> </w:t>
      </w:r>
      <w:r w:rsidR="002B7F5E" w:rsidRPr="0034602F">
        <w:rPr>
          <w:rFonts w:ascii="ITC Avant Garde" w:eastAsia="Times New Roman" w:hAnsi="ITC Avant Garde"/>
          <w:b/>
          <w:bCs/>
          <w:color w:val="000000"/>
          <w:lang w:eastAsia="es-MX"/>
        </w:rPr>
        <w:t xml:space="preserve">de </w:t>
      </w:r>
      <w:r w:rsidR="0026628D" w:rsidRPr="0034602F">
        <w:rPr>
          <w:rFonts w:ascii="ITC Avant Garde" w:eastAsia="Times New Roman" w:hAnsi="ITC Avant Garde"/>
          <w:b/>
          <w:bCs/>
          <w:color w:val="000000"/>
          <w:lang w:eastAsia="es-MX"/>
        </w:rPr>
        <w:t>abril</w:t>
      </w:r>
      <w:r w:rsidR="002B7F5E" w:rsidRPr="0034602F">
        <w:rPr>
          <w:rFonts w:ascii="ITC Avant Garde" w:eastAsia="Times New Roman" w:hAnsi="ITC Avant Garde"/>
          <w:b/>
          <w:bCs/>
          <w:color w:val="000000"/>
          <w:lang w:eastAsia="es-MX"/>
        </w:rPr>
        <w:t xml:space="preserve"> de </w:t>
      </w:r>
      <w:r w:rsidR="00B16358" w:rsidRPr="0034602F">
        <w:rPr>
          <w:rFonts w:ascii="ITC Avant Garde" w:eastAsia="Times New Roman" w:hAnsi="ITC Avant Garde"/>
          <w:b/>
          <w:bCs/>
          <w:color w:val="000000"/>
          <w:lang w:eastAsia="es-MX"/>
        </w:rPr>
        <w:t>dos mil diecis</w:t>
      </w:r>
      <w:r w:rsidR="00B86F42" w:rsidRPr="0034602F">
        <w:rPr>
          <w:rFonts w:ascii="ITC Avant Garde" w:eastAsia="Times New Roman" w:hAnsi="ITC Avant Garde"/>
          <w:b/>
          <w:bCs/>
          <w:color w:val="000000"/>
          <w:lang w:eastAsia="es-MX"/>
        </w:rPr>
        <w:t>iete</w:t>
      </w:r>
      <w:r w:rsidR="004F3596" w:rsidRPr="0034602F">
        <w:rPr>
          <w:rFonts w:ascii="ITC Avant Garde" w:eastAsia="Times New Roman" w:hAnsi="ITC Avant Garde"/>
          <w:b/>
          <w:bCs/>
          <w:color w:val="000000"/>
          <w:lang w:eastAsia="es-MX"/>
        </w:rPr>
        <w:t>.-</w:t>
      </w:r>
      <w:r w:rsidR="004F3596" w:rsidRPr="0034602F">
        <w:rPr>
          <w:rFonts w:ascii="ITC Avant Garde" w:eastAsia="Times New Roman" w:hAnsi="ITC Avant Garde"/>
          <w:bCs/>
          <w:color w:val="000000"/>
          <w:lang w:eastAsia="es-MX"/>
        </w:rPr>
        <w:t xml:space="preserve"> Visto para resolver el expediente </w:t>
      </w:r>
      <w:r w:rsidR="008711F2" w:rsidRPr="0034602F">
        <w:rPr>
          <w:rFonts w:ascii="ITC Avant Garde" w:hAnsi="ITC Avant Garde"/>
          <w:b/>
        </w:rPr>
        <w:t>E-IFT.UC.DG-SAN.</w:t>
      </w:r>
      <w:r w:rsidR="00240A5C" w:rsidRPr="0034602F">
        <w:rPr>
          <w:rFonts w:ascii="ITC Avant Garde" w:hAnsi="ITC Avant Garde"/>
          <w:b/>
        </w:rPr>
        <w:t>V</w:t>
      </w:r>
      <w:r w:rsidR="008711F2" w:rsidRPr="0034602F">
        <w:rPr>
          <w:rFonts w:ascii="ITC Avant Garde" w:hAnsi="ITC Avant Garde"/>
          <w:b/>
        </w:rPr>
        <w:t>.</w:t>
      </w:r>
      <w:r w:rsidR="006C4C89" w:rsidRPr="0034602F">
        <w:rPr>
          <w:rFonts w:ascii="ITC Avant Garde" w:hAnsi="ITC Avant Garde"/>
          <w:b/>
        </w:rPr>
        <w:t>0</w:t>
      </w:r>
      <w:r w:rsidR="00240A5C" w:rsidRPr="0034602F">
        <w:rPr>
          <w:rFonts w:ascii="ITC Avant Garde" w:hAnsi="ITC Avant Garde"/>
          <w:b/>
        </w:rPr>
        <w:t>305</w:t>
      </w:r>
      <w:r w:rsidR="008711F2" w:rsidRPr="0034602F">
        <w:rPr>
          <w:rFonts w:ascii="ITC Avant Garde" w:hAnsi="ITC Avant Garde"/>
          <w:b/>
        </w:rPr>
        <w:t>/201</w:t>
      </w:r>
      <w:r w:rsidR="00784A88" w:rsidRPr="0034602F">
        <w:rPr>
          <w:rFonts w:ascii="ITC Avant Garde" w:hAnsi="ITC Avant Garde"/>
          <w:b/>
        </w:rPr>
        <w:t>6</w:t>
      </w:r>
      <w:r w:rsidR="004F3596" w:rsidRPr="0034602F">
        <w:rPr>
          <w:rFonts w:ascii="ITC Avant Garde" w:eastAsia="Times New Roman" w:hAnsi="ITC Avant Garde"/>
          <w:bCs/>
          <w:color w:val="000000"/>
          <w:lang w:eastAsia="es-MX"/>
        </w:rPr>
        <w:t xml:space="preserve">, </w:t>
      </w:r>
      <w:r w:rsidR="007C78F4" w:rsidRPr="0034602F">
        <w:rPr>
          <w:rFonts w:ascii="ITC Avant Garde" w:eastAsia="Times New Roman" w:hAnsi="ITC Avant Garde"/>
          <w:bCs/>
          <w:color w:val="000000"/>
          <w:lang w:eastAsia="es-MX"/>
        </w:rPr>
        <w:t>formado con motivo del procedimiento administrativo de imposición de sanci</w:t>
      </w:r>
      <w:r w:rsidR="00454263" w:rsidRPr="0034602F">
        <w:rPr>
          <w:rFonts w:ascii="ITC Avant Garde" w:eastAsia="Times New Roman" w:hAnsi="ITC Avant Garde"/>
          <w:bCs/>
          <w:color w:val="000000"/>
          <w:lang w:eastAsia="es-MX"/>
        </w:rPr>
        <w:t>ones</w:t>
      </w:r>
      <w:r w:rsidR="007C78F4" w:rsidRPr="0034602F">
        <w:rPr>
          <w:rFonts w:ascii="ITC Avant Garde" w:eastAsia="Times New Roman" w:hAnsi="ITC Avant Garde"/>
          <w:bCs/>
          <w:color w:val="000000"/>
          <w:lang w:eastAsia="es-MX"/>
        </w:rPr>
        <w:t xml:space="preserve"> y declaratoria de pérdida de bienes, instalaciones y equipos en beneficio de la Nación, iniciado mediante acuerdo de</w:t>
      </w:r>
      <w:r w:rsidR="004F3596" w:rsidRPr="0034602F">
        <w:rPr>
          <w:rFonts w:ascii="ITC Avant Garde" w:eastAsia="Times New Roman" w:hAnsi="ITC Avant Garde"/>
          <w:bCs/>
          <w:color w:val="000000"/>
          <w:lang w:eastAsia="es-MX"/>
        </w:rPr>
        <w:t xml:space="preserve"> </w:t>
      </w:r>
      <w:r w:rsidR="00B83928" w:rsidRPr="0034602F">
        <w:rPr>
          <w:rFonts w:ascii="ITC Avant Garde" w:eastAsia="Times New Roman" w:hAnsi="ITC Avant Garde"/>
          <w:bCs/>
          <w:color w:val="000000"/>
          <w:lang w:eastAsia="es-MX"/>
        </w:rPr>
        <w:t>veintitrés de enero de dos mil diecisiete</w:t>
      </w:r>
      <w:r w:rsidR="00E90B72" w:rsidRPr="0034602F">
        <w:rPr>
          <w:rFonts w:ascii="ITC Avant Garde" w:eastAsia="Times New Roman" w:hAnsi="ITC Avant Garde"/>
          <w:bCs/>
          <w:color w:val="000000"/>
          <w:lang w:eastAsia="es-MX"/>
        </w:rPr>
        <w:t xml:space="preserve"> y notificado el </w:t>
      </w:r>
      <w:r w:rsidR="002A0ABA" w:rsidRPr="0034602F">
        <w:rPr>
          <w:rFonts w:ascii="ITC Avant Garde" w:eastAsia="Times New Roman" w:hAnsi="ITC Avant Garde"/>
          <w:bCs/>
          <w:color w:val="000000"/>
          <w:lang w:eastAsia="es-MX"/>
        </w:rPr>
        <w:t>veinticinco</w:t>
      </w:r>
      <w:r w:rsidR="00B83928" w:rsidRPr="0034602F">
        <w:rPr>
          <w:rFonts w:ascii="ITC Avant Garde" w:eastAsia="Times New Roman" w:hAnsi="ITC Avant Garde"/>
          <w:bCs/>
          <w:color w:val="000000"/>
          <w:lang w:eastAsia="es-MX"/>
        </w:rPr>
        <w:t xml:space="preserve"> </w:t>
      </w:r>
      <w:r w:rsidR="00D73D1B" w:rsidRPr="0034602F">
        <w:rPr>
          <w:rFonts w:ascii="ITC Avant Garde" w:eastAsia="Times New Roman" w:hAnsi="ITC Avant Garde"/>
          <w:bCs/>
          <w:color w:val="000000"/>
          <w:lang w:eastAsia="es-MX"/>
        </w:rPr>
        <w:t xml:space="preserve">del mismo mes y año </w:t>
      </w:r>
      <w:r w:rsidR="0026628D" w:rsidRPr="0034602F">
        <w:rPr>
          <w:rFonts w:ascii="ITC Avant Garde" w:eastAsia="Times New Roman" w:hAnsi="ITC Avant Garde"/>
          <w:bCs/>
          <w:color w:val="000000"/>
          <w:lang w:eastAsia="es-MX"/>
        </w:rPr>
        <w:t xml:space="preserve">por conducto de la Unidad de Cumplimiento del Instituto Federal de Telecomunicaciones (en adelante el </w:t>
      </w:r>
      <w:r w:rsidR="0026628D" w:rsidRPr="0034602F">
        <w:rPr>
          <w:rFonts w:ascii="ITC Avant Garde" w:eastAsia="Times New Roman" w:hAnsi="ITC Avant Garde"/>
          <w:b/>
          <w:bCs/>
          <w:color w:val="000000"/>
          <w:lang w:eastAsia="es-MX"/>
        </w:rPr>
        <w:t>“IFT”</w:t>
      </w:r>
      <w:r w:rsidR="0026628D" w:rsidRPr="0034602F">
        <w:rPr>
          <w:rFonts w:ascii="ITC Avant Garde" w:eastAsia="Times New Roman" w:hAnsi="ITC Avant Garde"/>
          <w:bCs/>
          <w:color w:val="000000"/>
          <w:lang w:eastAsia="es-MX"/>
        </w:rPr>
        <w:t xml:space="preserve"> o </w:t>
      </w:r>
      <w:r w:rsidR="0026628D" w:rsidRPr="0034602F">
        <w:rPr>
          <w:rFonts w:ascii="ITC Avant Garde" w:eastAsia="Times New Roman" w:hAnsi="ITC Avant Garde"/>
          <w:b/>
          <w:bCs/>
          <w:color w:val="000000"/>
          <w:lang w:eastAsia="es-MX"/>
        </w:rPr>
        <w:t>“Instituto”</w:t>
      </w:r>
      <w:r w:rsidR="0026628D" w:rsidRPr="0034602F">
        <w:rPr>
          <w:rFonts w:ascii="ITC Avant Garde" w:eastAsia="Times New Roman" w:hAnsi="ITC Avant Garde"/>
          <w:bCs/>
          <w:color w:val="000000"/>
          <w:lang w:eastAsia="es-MX"/>
        </w:rPr>
        <w:t>), en contra del</w:t>
      </w:r>
      <w:r w:rsidR="00A92810" w:rsidRPr="0034602F">
        <w:rPr>
          <w:rFonts w:ascii="ITC Avant Garde" w:eastAsia="Times New Roman" w:hAnsi="ITC Avant Garde"/>
          <w:bCs/>
          <w:color w:val="000000"/>
          <w:lang w:eastAsia="es-MX"/>
        </w:rPr>
        <w:t xml:space="preserve"> </w:t>
      </w:r>
      <w:r w:rsidR="0026628D" w:rsidRPr="0034602F">
        <w:rPr>
          <w:rFonts w:ascii="ITC Avant Garde" w:hAnsi="ITC Avant Garde"/>
          <w:b/>
          <w:caps/>
        </w:rPr>
        <w:t xml:space="preserve">PROPIETARIO y/o poseedor y/o responsable y/o encargado DEL INMUEBLE Y/O de las instalaciones y equipos de radiodifusión localizados en el inmueble ubicado </w:t>
      </w:r>
    </w:p>
    <w:p w14:paraId="3C6098BE" w14:textId="1879E849" w:rsidR="003C5E62" w:rsidRPr="0034602F" w:rsidRDefault="0026628D" w:rsidP="00583167">
      <w:pPr>
        <w:pStyle w:val="Textoindependiente"/>
        <w:spacing w:before="240" w:after="240" w:line="360" w:lineRule="auto"/>
        <w:jc w:val="both"/>
        <w:rPr>
          <w:rFonts w:ascii="ITC Avant Garde" w:hAnsi="ITC Avant Garde"/>
          <w:color w:val="000000"/>
        </w:rPr>
      </w:pPr>
      <w:r w:rsidRPr="0034602F">
        <w:rPr>
          <w:rFonts w:ascii="ITC Avant Garde" w:hAnsi="ITC Avant Garde"/>
          <w:b/>
          <w:caps/>
        </w:rPr>
        <w:lastRenderedPageBreak/>
        <w:t xml:space="preserve">en </w:t>
      </w:r>
      <w:r w:rsidR="00AB5731">
        <w:rPr>
          <w:rFonts w:ascii="ITC Avant Garde" w:hAnsi="ITC Avant Garde"/>
          <w:b/>
          <w:bCs/>
          <w:color w:val="0000FF"/>
        </w:rPr>
        <w:t>“CONFIDENCIAL POR LEY”</w:t>
      </w:r>
      <w:r w:rsidRPr="0034602F">
        <w:rPr>
          <w:rFonts w:ascii="ITC Avant Garde" w:hAnsi="ITC Avant Garde"/>
          <w:b/>
          <w:caps/>
        </w:rPr>
        <w:t>, delegación tlalPan, en la ciudad de méxico, DONDE SE DETECTARON LAS INSTALACIONES DE LA ESTACIÓN DE RADIODIFUSIÓN, OPERANDO LA FRECUENCIA DE 97.3 MH</w:t>
      </w:r>
      <w:r w:rsidRPr="0034602F">
        <w:rPr>
          <w:rFonts w:ascii="ITC Avant Garde" w:hAnsi="ITC Avant Garde"/>
          <w:b/>
        </w:rPr>
        <w:t xml:space="preserve">z y/o </w:t>
      </w:r>
      <w:r w:rsidR="00584F31">
        <w:rPr>
          <w:rFonts w:ascii="ITC Avant Garde" w:hAnsi="ITC Avant Garde"/>
          <w:b/>
          <w:bCs/>
          <w:color w:val="0000FF"/>
        </w:rPr>
        <w:t>“CONFIDENCIAL POR LEY”</w:t>
      </w:r>
      <w:r w:rsidR="002A0ABA" w:rsidRPr="0034602F">
        <w:rPr>
          <w:rFonts w:ascii="ITC Avant Garde" w:hAnsi="ITC Avant Garde"/>
          <w:b/>
        </w:rPr>
        <w:t xml:space="preserve"> EN SU CARÁCTER DE PRESUNTO PROPIETARIO DE LOS BIENES ASEGURADOS</w:t>
      </w:r>
      <w:r w:rsidR="002A0ABA" w:rsidRPr="0034602F">
        <w:rPr>
          <w:rFonts w:ascii="ITC Avant Garde" w:hAnsi="ITC Avant Garde"/>
          <w:b/>
          <w:caps/>
        </w:rPr>
        <w:t xml:space="preserve"> en el inmueble </w:t>
      </w:r>
      <w:r w:rsidR="005909A3" w:rsidRPr="0034602F">
        <w:rPr>
          <w:rFonts w:ascii="ITC Avant Garde" w:hAnsi="ITC Avant Garde"/>
          <w:b/>
          <w:caps/>
        </w:rPr>
        <w:t xml:space="preserve">antes citado </w:t>
      </w:r>
      <w:r w:rsidR="00ED49D4" w:rsidRPr="0034602F">
        <w:rPr>
          <w:rFonts w:ascii="ITC Avant Garde" w:hAnsi="ITC Avant Garde"/>
          <w:b/>
        </w:rPr>
        <w:t>(en lo sucesivo el “PRESUNTO RESPONSABLE”),</w:t>
      </w:r>
      <w:r w:rsidR="00D27FF5" w:rsidRPr="0034602F">
        <w:rPr>
          <w:rFonts w:ascii="ITC Avant Garde" w:hAnsi="ITC Avant Garde" w:cs="Arial"/>
          <w:b/>
        </w:rPr>
        <w:t xml:space="preserve"> </w:t>
      </w:r>
      <w:r w:rsidR="007C78F4" w:rsidRPr="0034602F">
        <w:rPr>
          <w:rFonts w:ascii="ITC Avant Garde" w:hAnsi="ITC Avant Garde"/>
        </w:rPr>
        <w:t>por l</w:t>
      </w:r>
      <w:r w:rsidR="00454263" w:rsidRPr="0034602F">
        <w:rPr>
          <w:rFonts w:ascii="ITC Avant Garde" w:hAnsi="ITC Avant Garde"/>
        </w:rPr>
        <w:t>a</w:t>
      </w:r>
      <w:r w:rsidR="007C78F4" w:rsidRPr="0034602F">
        <w:rPr>
          <w:rFonts w:ascii="ITC Avant Garde" w:hAnsi="ITC Avant Garde"/>
        </w:rPr>
        <w:t xml:space="preserve"> pr</w:t>
      </w:r>
      <w:r w:rsidR="00454263" w:rsidRPr="0034602F">
        <w:rPr>
          <w:rFonts w:ascii="ITC Avant Garde" w:hAnsi="ITC Avant Garde"/>
        </w:rPr>
        <w:t>esunta infracción a</w:t>
      </w:r>
      <w:r w:rsidR="007C78F4" w:rsidRPr="0034602F">
        <w:rPr>
          <w:rFonts w:ascii="ITC Avant Garde" w:hAnsi="ITC Avant Garde"/>
        </w:rPr>
        <w:t>l artículo 66</w:t>
      </w:r>
      <w:r w:rsidR="00B8119C" w:rsidRPr="0034602F">
        <w:rPr>
          <w:rFonts w:ascii="ITC Avant Garde" w:hAnsi="ITC Avant Garde"/>
        </w:rPr>
        <w:t xml:space="preserve"> en relación con el </w:t>
      </w:r>
      <w:r w:rsidR="00690BE9" w:rsidRPr="0034602F">
        <w:rPr>
          <w:rFonts w:ascii="ITC Avant Garde" w:hAnsi="ITC Avant Garde"/>
        </w:rPr>
        <w:t>75</w:t>
      </w:r>
      <w:r w:rsidR="007C78F4" w:rsidRPr="0034602F">
        <w:rPr>
          <w:rFonts w:ascii="ITC Avant Garde" w:hAnsi="ITC Avant Garde"/>
        </w:rPr>
        <w:t xml:space="preserve"> y </w:t>
      </w:r>
      <w:r w:rsidR="00454263" w:rsidRPr="0034602F">
        <w:rPr>
          <w:rFonts w:ascii="ITC Avant Garde" w:hAnsi="ITC Avant Garde"/>
        </w:rPr>
        <w:t xml:space="preserve">la probable </w:t>
      </w:r>
      <w:r w:rsidR="007C78F4" w:rsidRPr="0034602F">
        <w:rPr>
          <w:rFonts w:ascii="ITC Avant Garde" w:hAnsi="ITC Avant Garde"/>
        </w:rPr>
        <w:t xml:space="preserve">actualización de la hipótesis normativa prevista en el artículo 305, </w:t>
      </w:r>
      <w:r w:rsidR="00B8119C" w:rsidRPr="0034602F">
        <w:rPr>
          <w:rFonts w:ascii="ITC Avant Garde" w:hAnsi="ITC Avant Garde"/>
        </w:rPr>
        <w:t>tod</w:t>
      </w:r>
      <w:r w:rsidR="007C78F4" w:rsidRPr="0034602F">
        <w:rPr>
          <w:rFonts w:ascii="ITC Avant Garde" w:hAnsi="ITC Avant Garde"/>
        </w:rPr>
        <w:t>os de la Ley Federal de Telecomunicaciones y Radiodifusión (</w:t>
      </w:r>
      <w:r w:rsidR="00F84C52" w:rsidRPr="0034602F">
        <w:rPr>
          <w:rFonts w:ascii="ITC Avant Garde" w:hAnsi="ITC Avant Garde"/>
        </w:rPr>
        <w:t xml:space="preserve">en adelante </w:t>
      </w:r>
      <w:r w:rsidR="007C78F4" w:rsidRPr="0034602F">
        <w:rPr>
          <w:rFonts w:ascii="ITC Avant Garde" w:hAnsi="ITC Avant Garde"/>
        </w:rPr>
        <w:t>la “</w:t>
      </w:r>
      <w:proofErr w:type="spellStart"/>
      <w:r w:rsidR="007C78F4" w:rsidRPr="0034602F">
        <w:rPr>
          <w:rFonts w:ascii="ITC Avant Garde" w:hAnsi="ITC Avant Garde"/>
          <w:b/>
        </w:rPr>
        <w:t>LFTyR</w:t>
      </w:r>
      <w:proofErr w:type="spellEnd"/>
      <w:r w:rsidR="007C78F4" w:rsidRPr="0034602F">
        <w:rPr>
          <w:rFonts w:ascii="ITC Avant Garde" w:hAnsi="ITC Avant Garde"/>
          <w:b/>
        </w:rPr>
        <w:t>”</w:t>
      </w:r>
      <w:r w:rsidR="007C78F4" w:rsidRPr="0034602F">
        <w:rPr>
          <w:rFonts w:ascii="ITC Avant Garde" w:hAnsi="ITC Avant Garde"/>
        </w:rPr>
        <w:t>). Al respecto, se emite la presente Resolución de conformidad con lo siguiente, y</w:t>
      </w:r>
    </w:p>
    <w:p w14:paraId="395B29C1" w14:textId="77777777" w:rsidR="003C5E62" w:rsidRPr="0034602F" w:rsidRDefault="004F3596" w:rsidP="00583167">
      <w:pPr>
        <w:pStyle w:val="Ttulo2"/>
        <w:spacing w:before="240" w:after="240"/>
        <w:jc w:val="center"/>
        <w:rPr>
          <w:rFonts w:ascii="ITC Avant Garde" w:eastAsiaTheme="majorEastAsia" w:hAnsi="ITC Avant Garde" w:cstheme="majorBidi"/>
          <w:b/>
          <w:color w:val="000000" w:themeColor="text1"/>
          <w:sz w:val="22"/>
          <w:szCs w:val="22"/>
        </w:rPr>
      </w:pPr>
      <w:r w:rsidRPr="0034602F">
        <w:rPr>
          <w:rFonts w:ascii="ITC Avant Garde" w:eastAsiaTheme="majorEastAsia" w:hAnsi="ITC Avant Garde" w:cstheme="majorBidi"/>
          <w:b/>
          <w:color w:val="000000" w:themeColor="text1"/>
          <w:sz w:val="22"/>
          <w:szCs w:val="22"/>
        </w:rPr>
        <w:t>RESULTANDO</w:t>
      </w:r>
    </w:p>
    <w:p w14:paraId="1809F49C" w14:textId="7DDBCA8E" w:rsidR="003C5E62" w:rsidRDefault="00E1402E" w:rsidP="00583167">
      <w:pPr>
        <w:pStyle w:val="Prrafodelista"/>
        <w:spacing w:before="240" w:after="240" w:line="360" w:lineRule="auto"/>
        <w:ind w:left="0"/>
        <w:jc w:val="both"/>
        <w:rPr>
          <w:rFonts w:ascii="ITC Avant Garde" w:hAnsi="ITC Avant Garde"/>
        </w:rPr>
      </w:pPr>
      <w:r w:rsidRPr="0034602F">
        <w:rPr>
          <w:rFonts w:ascii="ITC Avant Garde" w:eastAsia="Times New Roman" w:hAnsi="ITC Avant Garde"/>
          <w:b/>
          <w:bCs/>
          <w:color w:val="000000"/>
          <w:lang w:eastAsia="es-MX"/>
        </w:rPr>
        <w:t>PRIMERO</w:t>
      </w:r>
      <w:r w:rsidR="002F3FD8" w:rsidRPr="0034602F">
        <w:rPr>
          <w:rFonts w:ascii="ITC Avant Garde" w:eastAsia="Times New Roman" w:hAnsi="ITC Avant Garde"/>
          <w:bCs/>
          <w:color w:val="000000"/>
          <w:lang w:eastAsia="es-MX"/>
        </w:rPr>
        <w:t xml:space="preserve">. </w:t>
      </w:r>
      <w:r w:rsidR="007F49A3" w:rsidRPr="0034602F">
        <w:rPr>
          <w:rFonts w:ascii="ITC Avant Garde" w:eastAsia="Times New Roman" w:hAnsi="ITC Avant Garde"/>
          <w:bCs/>
          <w:color w:val="000000"/>
          <w:lang w:eastAsia="es-MX"/>
        </w:rPr>
        <w:t xml:space="preserve"> </w:t>
      </w:r>
      <w:r w:rsidR="00EE180E" w:rsidRPr="0034602F">
        <w:rPr>
          <w:rFonts w:ascii="ITC Avant Garde" w:hAnsi="ITC Avant Garde"/>
        </w:rPr>
        <w:t>Mediante oficio IFT/225/UC/DGA-VESRE/623/2016 de quince de agosto de dos mil dieciséis, la Dirección General Adjunta de Vigilancia del Espectro Radioeléctrico (en adelante “</w:t>
      </w:r>
      <w:r w:rsidR="005B2278" w:rsidRPr="0034602F">
        <w:rPr>
          <w:rFonts w:ascii="ITC Avant Garde" w:hAnsi="ITC Avant Garde"/>
          <w:b/>
        </w:rPr>
        <w:t>DGAVER</w:t>
      </w:r>
      <w:r w:rsidR="00EE180E" w:rsidRPr="0034602F">
        <w:rPr>
          <w:rFonts w:ascii="ITC Avant Garde" w:hAnsi="ITC Avant Garde"/>
        </w:rPr>
        <w:t>”), indicó a la</w:t>
      </w:r>
      <w:r w:rsidR="001B0029" w:rsidRPr="0034602F">
        <w:rPr>
          <w:rFonts w:ascii="ITC Avant Garde" w:hAnsi="ITC Avant Garde"/>
        </w:rPr>
        <w:t xml:space="preserve"> Dirección General de Verificación (en adelante la</w:t>
      </w:r>
      <w:r w:rsidR="00EE180E" w:rsidRPr="0034602F">
        <w:rPr>
          <w:rFonts w:ascii="ITC Avant Garde" w:hAnsi="ITC Avant Garde"/>
        </w:rPr>
        <w:t xml:space="preserve"> </w:t>
      </w:r>
      <w:r w:rsidR="00EE180E" w:rsidRPr="0034602F">
        <w:rPr>
          <w:rFonts w:ascii="ITC Avant Garde" w:hAnsi="ITC Avant Garde"/>
          <w:b/>
        </w:rPr>
        <w:t>“DGV”</w:t>
      </w:r>
      <w:r w:rsidR="001B0029" w:rsidRPr="0034602F">
        <w:rPr>
          <w:rFonts w:ascii="ITC Avant Garde" w:hAnsi="ITC Avant Garde"/>
        </w:rPr>
        <w:t>)</w:t>
      </w:r>
      <w:r w:rsidR="00EE180E" w:rsidRPr="0034602F">
        <w:rPr>
          <w:rFonts w:ascii="ITC Avant Garde" w:hAnsi="ITC Avant Garde"/>
        </w:rPr>
        <w:t xml:space="preserve"> que derivado de los trabajos de </w:t>
      </w:r>
      <w:proofErr w:type="spellStart"/>
      <w:r w:rsidR="00EE180E" w:rsidRPr="0034602F">
        <w:rPr>
          <w:rFonts w:ascii="ITC Avant Garde" w:hAnsi="ITC Avant Garde"/>
        </w:rPr>
        <w:t>radiomonitoreo</w:t>
      </w:r>
      <w:proofErr w:type="spellEnd"/>
      <w:r w:rsidR="00EE180E" w:rsidRPr="0034602F">
        <w:rPr>
          <w:rFonts w:ascii="ITC Avant Garde" w:hAnsi="ITC Avant Garde"/>
        </w:rPr>
        <w:t xml:space="preserve"> y medición de parámetros técnicos al servicio de Radiodifusión en Frecuencia Modulada (en adelante </w:t>
      </w:r>
      <w:r w:rsidR="00EE180E" w:rsidRPr="0034602F">
        <w:rPr>
          <w:rFonts w:ascii="ITC Avant Garde" w:hAnsi="ITC Avant Garde"/>
          <w:b/>
        </w:rPr>
        <w:t>FM</w:t>
      </w:r>
      <w:r w:rsidR="00EE180E" w:rsidRPr="0034602F">
        <w:rPr>
          <w:rFonts w:ascii="ITC Avant Garde" w:hAnsi="ITC Avant Garde"/>
        </w:rPr>
        <w:t xml:space="preserve">), en la Ciudad de México, se detectó una señal operando en la frecuencia </w:t>
      </w:r>
      <w:r w:rsidR="00EE180E" w:rsidRPr="0034602F">
        <w:rPr>
          <w:rFonts w:ascii="ITC Avant Garde" w:hAnsi="ITC Avant Garde"/>
          <w:b/>
        </w:rPr>
        <w:t>97.3 MHz</w:t>
      </w:r>
      <w:r w:rsidR="00EE180E" w:rsidRPr="0034602F">
        <w:rPr>
          <w:rFonts w:ascii="ITC Avant Garde" w:hAnsi="ITC Avant Garde"/>
        </w:rPr>
        <w:t xml:space="preserve">, en </w:t>
      </w:r>
      <w:r w:rsidR="00AB5731">
        <w:rPr>
          <w:rFonts w:ascii="ITC Avant Garde" w:hAnsi="ITC Avant Garde"/>
          <w:b/>
          <w:bCs/>
          <w:color w:val="0000FF"/>
        </w:rPr>
        <w:t>“CONFIDENCIAL POR LEY”</w:t>
      </w:r>
      <w:r w:rsidR="00EE180E" w:rsidRPr="0034602F">
        <w:rPr>
          <w:rFonts w:ascii="ITC Avant Garde" w:hAnsi="ITC Avant Garde"/>
        </w:rPr>
        <w:t>, Delegación Tl</w:t>
      </w:r>
      <w:r w:rsidR="00AB5731">
        <w:rPr>
          <w:rFonts w:ascii="ITC Avant Garde" w:hAnsi="ITC Avant Garde"/>
        </w:rPr>
        <w:t xml:space="preserve">alpan, en la Ciudad de México, </w:t>
      </w:r>
      <w:r w:rsidR="00C45806" w:rsidRPr="0034602F">
        <w:rPr>
          <w:rFonts w:ascii="ITC Avant Garde" w:hAnsi="ITC Avant Garde"/>
        </w:rPr>
        <w:t xml:space="preserve">coordenadas </w:t>
      </w:r>
      <w:r w:rsidR="00AB5731">
        <w:rPr>
          <w:rFonts w:ascii="ITC Avant Garde" w:hAnsi="ITC Avant Garde"/>
          <w:b/>
          <w:bCs/>
          <w:color w:val="0000FF"/>
        </w:rPr>
        <w:t>“CONFIDENCIAL POR LEY”</w:t>
      </w:r>
      <w:r w:rsidR="00C45806" w:rsidRPr="0034602F">
        <w:rPr>
          <w:rFonts w:ascii="ITC Avant Garde" w:hAnsi="ITC Avant Garde"/>
        </w:rPr>
        <w:t xml:space="preserve">, </w:t>
      </w:r>
      <w:r w:rsidR="00EE180E" w:rsidRPr="0034602F">
        <w:rPr>
          <w:rFonts w:ascii="ITC Avant Garde" w:hAnsi="ITC Avant Garde"/>
        </w:rPr>
        <w:t xml:space="preserve">adjuntando para tal efecto el informe de </w:t>
      </w:r>
      <w:proofErr w:type="spellStart"/>
      <w:r w:rsidR="00EE180E" w:rsidRPr="0034602F">
        <w:rPr>
          <w:rFonts w:ascii="ITC Avant Garde" w:hAnsi="ITC Avant Garde"/>
        </w:rPr>
        <w:t>radiomonitoreo</w:t>
      </w:r>
      <w:proofErr w:type="spellEnd"/>
      <w:r w:rsidR="00EE180E" w:rsidRPr="0034602F">
        <w:rPr>
          <w:rFonts w:ascii="ITC Avant Garde" w:hAnsi="ITC Avant Garde"/>
        </w:rPr>
        <w:t xml:space="preserve"> número IFT/732/2016.</w:t>
      </w:r>
    </w:p>
    <w:p w14:paraId="0E0A4895" w14:textId="77777777" w:rsidR="007C3BD1" w:rsidRPr="0034602F" w:rsidRDefault="007C3BD1" w:rsidP="00583167">
      <w:pPr>
        <w:pStyle w:val="Prrafodelista"/>
        <w:spacing w:before="240" w:after="240" w:line="360" w:lineRule="auto"/>
        <w:ind w:left="0"/>
        <w:jc w:val="both"/>
        <w:rPr>
          <w:rFonts w:ascii="ITC Avant Garde" w:hAnsi="ITC Avant Garde"/>
        </w:rPr>
      </w:pPr>
    </w:p>
    <w:p w14:paraId="1A1CB8D2" w14:textId="77777777" w:rsidR="003C5E62" w:rsidRDefault="005B2278" w:rsidP="00583167">
      <w:pPr>
        <w:pStyle w:val="Prrafodelista"/>
        <w:spacing w:before="240" w:after="240" w:line="360" w:lineRule="auto"/>
        <w:ind w:left="0"/>
        <w:jc w:val="both"/>
        <w:rPr>
          <w:rFonts w:ascii="ITC Avant Garde" w:hAnsi="ITC Avant Garde"/>
        </w:rPr>
      </w:pPr>
      <w:r w:rsidRPr="0034602F">
        <w:rPr>
          <w:rFonts w:ascii="ITC Avant Garde" w:hAnsi="ITC Avant Garde"/>
        </w:rPr>
        <w:t>En consecuencia, dicha DGAVER solicitó a la DGV realizar las acciones necesarias para que se realizara la visita de verificación en el domicilio referido, con la finalidad de constatar si dicho usuario contaba con la concesión o autorización correspondiente</w:t>
      </w:r>
      <w:r w:rsidR="00EE180E" w:rsidRPr="0034602F">
        <w:rPr>
          <w:rFonts w:ascii="ITC Avant Garde" w:hAnsi="ITC Avant Garde"/>
        </w:rPr>
        <w:t>.</w:t>
      </w:r>
    </w:p>
    <w:p w14:paraId="3B8F4483" w14:textId="77777777" w:rsidR="007C3BD1" w:rsidRPr="0034602F" w:rsidRDefault="007C3BD1" w:rsidP="00583167">
      <w:pPr>
        <w:pStyle w:val="Prrafodelista"/>
        <w:spacing w:before="240" w:after="240" w:line="360" w:lineRule="auto"/>
        <w:ind w:left="0"/>
        <w:jc w:val="both"/>
        <w:rPr>
          <w:rFonts w:ascii="ITC Avant Garde" w:hAnsi="ITC Avant Garde"/>
        </w:rPr>
      </w:pPr>
    </w:p>
    <w:p w14:paraId="4216AE93" w14:textId="77777777" w:rsidR="00AB5731" w:rsidRDefault="009703C0" w:rsidP="00583167">
      <w:pPr>
        <w:pStyle w:val="Prrafodelista"/>
        <w:spacing w:before="240" w:after="240" w:line="360" w:lineRule="auto"/>
        <w:ind w:left="0"/>
        <w:jc w:val="both"/>
        <w:rPr>
          <w:rFonts w:ascii="ITC Avant Garde" w:hAnsi="ITC Avant Garde"/>
        </w:rPr>
        <w:sectPr w:rsidR="00AB5731" w:rsidSect="006345CE">
          <w:headerReference w:type="default" r:id="rId16"/>
          <w:pgSz w:w="12240" w:h="15840"/>
          <w:pgMar w:top="426" w:right="1418" w:bottom="1418" w:left="1418" w:header="709" w:footer="420" w:gutter="0"/>
          <w:cols w:space="708"/>
          <w:docGrid w:linePitch="360"/>
        </w:sectPr>
      </w:pPr>
      <w:r w:rsidRPr="0034602F">
        <w:rPr>
          <w:rFonts w:ascii="ITC Avant Garde" w:hAnsi="ITC Avant Garde"/>
          <w:b/>
        </w:rPr>
        <w:t>SEGUNDO.</w:t>
      </w:r>
      <w:r w:rsidR="00105BB0" w:rsidRPr="0034602F">
        <w:rPr>
          <w:rFonts w:ascii="ITC Avant Garde" w:hAnsi="ITC Avant Garde"/>
          <w:b/>
        </w:rPr>
        <w:t xml:space="preserve"> </w:t>
      </w:r>
      <w:r w:rsidR="005A1245" w:rsidRPr="0034602F">
        <w:rPr>
          <w:rFonts w:ascii="ITC Avant Garde" w:hAnsi="ITC Avant Garde"/>
        </w:rPr>
        <w:t>En atención a</w:t>
      </w:r>
      <w:r w:rsidR="001B0029" w:rsidRPr="0034602F">
        <w:rPr>
          <w:rFonts w:ascii="ITC Avant Garde" w:hAnsi="ITC Avant Garde"/>
        </w:rPr>
        <w:t xml:space="preserve"> </w:t>
      </w:r>
      <w:r w:rsidR="005A1245" w:rsidRPr="0034602F">
        <w:rPr>
          <w:rFonts w:ascii="ITC Avant Garde" w:hAnsi="ITC Avant Garde"/>
        </w:rPr>
        <w:t xml:space="preserve">lo anterior, personal de </w:t>
      </w:r>
      <w:r w:rsidR="001B0029" w:rsidRPr="0034602F">
        <w:rPr>
          <w:rFonts w:ascii="ITC Avant Garde" w:hAnsi="ITC Avant Garde"/>
        </w:rPr>
        <w:t xml:space="preserve">la </w:t>
      </w:r>
      <w:r w:rsidR="001B0029" w:rsidRPr="0034602F">
        <w:rPr>
          <w:rFonts w:ascii="ITC Avant Garde" w:hAnsi="ITC Avant Garde"/>
          <w:b/>
        </w:rPr>
        <w:t>DGV</w:t>
      </w:r>
      <w:r w:rsidR="005909A3" w:rsidRPr="0034602F">
        <w:rPr>
          <w:rFonts w:ascii="ITC Avant Garde" w:hAnsi="ITC Avant Garde"/>
        </w:rPr>
        <w:t xml:space="preserve"> se avocó</w:t>
      </w:r>
      <w:r w:rsidR="005A1245" w:rsidRPr="0034602F">
        <w:rPr>
          <w:rFonts w:ascii="ITC Avant Garde" w:hAnsi="ITC Avant Garde"/>
        </w:rPr>
        <w:t xml:space="preserve"> a la búsqueda en la infraestructura de estaciones de FM de la </w:t>
      </w:r>
      <w:r w:rsidR="005A1245" w:rsidRPr="0034602F">
        <w:rPr>
          <w:rFonts w:ascii="ITC Avant Garde" w:hAnsi="ITC Avant Garde" w:cs="Arial"/>
          <w:sz w:val="21"/>
          <w:szCs w:val="21"/>
        </w:rPr>
        <w:t>página de internet del Instituto</w:t>
      </w:r>
      <w:r w:rsidR="005A1245" w:rsidRPr="0034602F">
        <w:rPr>
          <w:rStyle w:val="Refdenotaalpie"/>
          <w:rFonts w:ascii="ITC Avant Garde" w:hAnsi="ITC Avant Garde" w:cs="Arial"/>
          <w:sz w:val="21"/>
          <w:szCs w:val="21"/>
        </w:rPr>
        <w:footnoteReference w:id="3"/>
      </w:r>
      <w:r w:rsidR="005A1245" w:rsidRPr="0034602F">
        <w:rPr>
          <w:rFonts w:ascii="ITC Avant Garde" w:hAnsi="ITC Avant Garde" w:cs="Arial"/>
          <w:sz w:val="21"/>
          <w:szCs w:val="21"/>
        </w:rPr>
        <w:t>,</w:t>
      </w:r>
      <w:r w:rsidR="005A1245" w:rsidRPr="0034602F">
        <w:rPr>
          <w:rFonts w:ascii="ITC Avant Garde" w:hAnsi="ITC Avant Garde"/>
        </w:rPr>
        <w:t xml:space="preserve"> con el objeto </w:t>
      </w:r>
    </w:p>
    <w:p w14:paraId="06217AB0" w14:textId="74642CC6" w:rsidR="003C5E62" w:rsidRDefault="005A1245" w:rsidP="00583167">
      <w:pPr>
        <w:pStyle w:val="Prrafodelista"/>
        <w:spacing w:before="240" w:after="240" w:line="360" w:lineRule="auto"/>
        <w:ind w:left="0"/>
        <w:jc w:val="both"/>
        <w:rPr>
          <w:rFonts w:ascii="ITC Avant Garde" w:hAnsi="ITC Avant Garde"/>
        </w:rPr>
      </w:pPr>
      <w:proofErr w:type="gramStart"/>
      <w:r w:rsidRPr="0034602F">
        <w:rPr>
          <w:rFonts w:ascii="ITC Avant Garde" w:hAnsi="ITC Avant Garde"/>
        </w:rPr>
        <w:lastRenderedPageBreak/>
        <w:t>de</w:t>
      </w:r>
      <w:proofErr w:type="gramEnd"/>
      <w:r w:rsidRPr="0034602F">
        <w:rPr>
          <w:rFonts w:ascii="ITC Avant Garde" w:hAnsi="ITC Avant Garde"/>
        </w:rPr>
        <w:t xml:space="preserve"> constatar si la frecuencia 97.3 MHz, en la Ciudad de México se encontraba registrada, sin embargo dicha búsqueda no arrojó registro alguno.</w:t>
      </w:r>
    </w:p>
    <w:p w14:paraId="02441AE7" w14:textId="77777777" w:rsidR="007C3BD1" w:rsidRPr="0034602F" w:rsidRDefault="007C3BD1" w:rsidP="00583167">
      <w:pPr>
        <w:pStyle w:val="Prrafodelista"/>
        <w:spacing w:before="240" w:after="240" w:line="360" w:lineRule="auto"/>
        <w:ind w:left="0"/>
        <w:jc w:val="both"/>
        <w:rPr>
          <w:rFonts w:ascii="ITC Avant Garde" w:hAnsi="ITC Avant Garde"/>
        </w:rPr>
      </w:pPr>
    </w:p>
    <w:p w14:paraId="52A9631C" w14:textId="595256C0" w:rsidR="003C5E62" w:rsidRPr="0034602F" w:rsidRDefault="00105BB0" w:rsidP="00583167">
      <w:pPr>
        <w:pStyle w:val="Prrafodelista"/>
        <w:spacing w:before="240" w:after="240" w:line="360" w:lineRule="auto"/>
        <w:ind w:left="0"/>
        <w:jc w:val="both"/>
        <w:rPr>
          <w:rFonts w:ascii="ITC Avant Garde" w:hAnsi="ITC Avant Garde" w:cs="Arial"/>
        </w:rPr>
      </w:pPr>
      <w:r w:rsidRPr="0034602F">
        <w:rPr>
          <w:rFonts w:ascii="ITC Avant Garde" w:hAnsi="ITC Avant Garde"/>
          <w:b/>
        </w:rPr>
        <w:t xml:space="preserve">TERCERO. </w:t>
      </w:r>
      <w:r w:rsidR="001B0029" w:rsidRPr="0034602F">
        <w:rPr>
          <w:rFonts w:ascii="ITC Avant Garde" w:hAnsi="ITC Avant Garde"/>
        </w:rPr>
        <w:t>E</w:t>
      </w:r>
      <w:r w:rsidR="005A1245" w:rsidRPr="0034602F">
        <w:rPr>
          <w:rFonts w:ascii="ITC Avant Garde" w:hAnsi="ITC Avant Garde"/>
        </w:rPr>
        <w:t xml:space="preserve">n ejercicio de las atribuciones previstas en el artículo 43, fracción VI del Estatuto Orgánico del Instituto y en cumplimiento al Programa de Trabajo de la </w:t>
      </w:r>
      <w:r w:rsidR="005A1245" w:rsidRPr="0034602F">
        <w:rPr>
          <w:rFonts w:ascii="ITC Avant Garde" w:hAnsi="ITC Avant Garde"/>
          <w:b/>
        </w:rPr>
        <w:t>“DGV”,</w:t>
      </w:r>
      <w:r w:rsidR="005A1245" w:rsidRPr="0034602F">
        <w:rPr>
          <w:rFonts w:ascii="ITC Avant Garde" w:hAnsi="ITC Avant Garde"/>
        </w:rPr>
        <w:t xml:space="preserve"> se emitió la orden de inspección-verificación </w:t>
      </w:r>
      <w:r w:rsidR="005A1245" w:rsidRPr="0034602F">
        <w:rPr>
          <w:rFonts w:ascii="ITC Avant Garde" w:hAnsi="ITC Avant Garde"/>
          <w:b/>
        </w:rPr>
        <w:t xml:space="preserve">IFT/UC/DGV/352/2016 </w:t>
      </w:r>
      <w:r w:rsidR="005A1245" w:rsidRPr="0034602F">
        <w:rPr>
          <w:rFonts w:ascii="ITC Avant Garde" w:hAnsi="ITC Avant Garde"/>
        </w:rPr>
        <w:t xml:space="preserve">de diecisiete de agosto de dos mil dieciséis, dirigida al “PROPIETARIO Y/O POSEEDOR Y/O RESPONSABLE Y/O ENCARGADO del inmueble ubicado en </w:t>
      </w:r>
      <w:r w:rsidR="00AB5731">
        <w:rPr>
          <w:rFonts w:ascii="ITC Avant Garde" w:hAnsi="ITC Avant Garde"/>
          <w:b/>
          <w:bCs/>
          <w:color w:val="0000FF"/>
        </w:rPr>
        <w:t>“CONFIDENCIAL POR LEY”</w:t>
      </w:r>
      <w:r w:rsidR="005A1245" w:rsidRPr="0034602F">
        <w:rPr>
          <w:rFonts w:ascii="ITC Avant Garde" w:hAnsi="ITC Avant Garde"/>
        </w:rPr>
        <w:t>, Delegación Tlalpan, en la Ciudad de México”, así como de las instalaciones y equipos de radiodifusión localizados en el mismo</w:t>
      </w:r>
      <w:r w:rsidR="001B0029" w:rsidRPr="0034602F">
        <w:rPr>
          <w:rFonts w:ascii="ITC Avant Garde" w:hAnsi="ITC Avant Garde"/>
        </w:rPr>
        <w:t xml:space="preserve">, con el objeto de “… verificar que la estación que transmite en la frecuencia </w:t>
      </w:r>
      <w:r w:rsidR="001B0029" w:rsidRPr="0034602F">
        <w:rPr>
          <w:rFonts w:ascii="ITC Avant Garde" w:hAnsi="ITC Avant Garde"/>
          <w:b/>
        </w:rPr>
        <w:t>97.3 MHz</w:t>
      </w:r>
      <w:r w:rsidR="001B0029" w:rsidRPr="0034602F">
        <w:rPr>
          <w:rFonts w:ascii="ITC Avant Garde" w:hAnsi="ITC Avant Garde"/>
        </w:rPr>
        <w:t>, cuente con la concesión o autorización emitida por autoridad competente que permita el uso legal de la frecuencia referida, así como verificar los equipos de radiodifusión instalados para su transmisión”.</w:t>
      </w:r>
    </w:p>
    <w:p w14:paraId="4BA909EA" w14:textId="3F5E14BB" w:rsidR="003C5E62" w:rsidRPr="0034602F" w:rsidRDefault="00105BB0" w:rsidP="00583167">
      <w:pPr>
        <w:pStyle w:val="Textoindependiente"/>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
          <w:bCs/>
          <w:color w:val="000000"/>
          <w:lang w:eastAsia="es-MX"/>
        </w:rPr>
        <w:t>CUARTO</w:t>
      </w:r>
      <w:r w:rsidR="00496C0E" w:rsidRPr="0034602F">
        <w:rPr>
          <w:rFonts w:ascii="ITC Avant Garde" w:eastAsia="Times New Roman" w:hAnsi="ITC Avant Garde"/>
          <w:b/>
          <w:bCs/>
          <w:color w:val="000000"/>
          <w:lang w:eastAsia="es-MX"/>
        </w:rPr>
        <w:t xml:space="preserve">. </w:t>
      </w:r>
      <w:r w:rsidR="00210A80" w:rsidRPr="0034602F">
        <w:rPr>
          <w:rFonts w:ascii="ITC Avant Garde" w:hAnsi="ITC Avant Garde" w:cs="Tahoma"/>
        </w:rPr>
        <w:t xml:space="preserve">En consecuencia, el </w:t>
      </w:r>
      <w:r w:rsidR="00210A80" w:rsidRPr="0034602F">
        <w:rPr>
          <w:rFonts w:ascii="ITC Avant Garde" w:hAnsi="ITC Avant Garde"/>
        </w:rPr>
        <w:t>dieciocho de agosto</w:t>
      </w:r>
      <w:r w:rsidR="00210A80" w:rsidRPr="0034602F">
        <w:rPr>
          <w:rFonts w:ascii="ITC Avant Garde" w:hAnsi="ITC Avant Garde" w:cs="Tahoma"/>
        </w:rPr>
        <w:t xml:space="preserve"> de dos mil dieciséis, los inspectores-verificadores de telecomunicaciones y radiodifusión </w:t>
      </w:r>
      <w:r w:rsidR="00210A80" w:rsidRPr="0034602F">
        <w:rPr>
          <w:rFonts w:ascii="ITC Avant Garde" w:hAnsi="ITC Avant Garde" w:cs="Tahoma"/>
          <w:b/>
        </w:rPr>
        <w:t>(en adelante “LOS VERIFICADORES”)</w:t>
      </w:r>
      <w:r w:rsidR="00210A80" w:rsidRPr="0034602F">
        <w:rPr>
          <w:rFonts w:ascii="ITC Avant Garde" w:hAnsi="ITC Avant Garde" w:cs="Tahoma"/>
        </w:rPr>
        <w:t xml:space="preserve">, realizaron la comisión de verificación a la visitada y levantaron el acta de verificación ordinaria número </w:t>
      </w:r>
      <w:r w:rsidR="00210A80" w:rsidRPr="0034602F">
        <w:rPr>
          <w:rFonts w:ascii="ITC Avant Garde" w:hAnsi="ITC Avant Garde" w:cs="Tahoma"/>
          <w:b/>
        </w:rPr>
        <w:t>IFT/UC/DGV/352/2016</w:t>
      </w:r>
      <w:r w:rsidR="00210A80" w:rsidRPr="0034602F">
        <w:rPr>
          <w:rFonts w:ascii="ITC Avant Garde" w:hAnsi="ITC Avant Garde" w:cs="Tahoma"/>
        </w:rPr>
        <w:t xml:space="preserve">, en el inmueble ubicado en </w:t>
      </w:r>
      <w:r w:rsidR="00AB5731">
        <w:rPr>
          <w:rFonts w:ascii="ITC Avant Garde" w:hAnsi="ITC Avant Garde"/>
          <w:b/>
          <w:bCs/>
          <w:color w:val="0000FF"/>
        </w:rPr>
        <w:t>“CONFIDENCIAL POR LEY”</w:t>
      </w:r>
      <w:r w:rsidR="00210A80" w:rsidRPr="0034602F">
        <w:rPr>
          <w:rFonts w:ascii="ITC Avant Garde" w:hAnsi="ITC Avant Garde"/>
        </w:rPr>
        <w:t xml:space="preserve">, Delegación Tlalpan, en la Ciudad de México, </w:t>
      </w:r>
      <w:r w:rsidR="00210A80" w:rsidRPr="0034602F">
        <w:rPr>
          <w:rFonts w:ascii="ITC Avant Garde" w:hAnsi="ITC Avant Garde" w:cs="Tahoma"/>
        </w:rPr>
        <w:t>la cual se dio por terminada el mismo día de su inicio.</w:t>
      </w:r>
    </w:p>
    <w:p w14:paraId="1BADE3C2" w14:textId="77777777" w:rsidR="00AB5731" w:rsidRDefault="00AA240D" w:rsidP="00583167">
      <w:pPr>
        <w:pStyle w:val="Textoindependiente"/>
        <w:spacing w:before="240" w:after="240" w:line="360" w:lineRule="auto"/>
        <w:jc w:val="both"/>
        <w:rPr>
          <w:rFonts w:ascii="ITC Avant Garde" w:hAnsi="ITC Avant Garde"/>
          <w:b/>
          <w:bCs/>
          <w:color w:val="0000FF"/>
        </w:rPr>
        <w:sectPr w:rsidR="00AB5731" w:rsidSect="006345CE">
          <w:pgSz w:w="12240" w:h="15840"/>
          <w:pgMar w:top="426" w:right="1418" w:bottom="1418" w:left="1418" w:header="709" w:footer="420" w:gutter="0"/>
          <w:cols w:space="708"/>
          <w:docGrid w:linePitch="360"/>
        </w:sectPr>
      </w:pPr>
      <w:r w:rsidRPr="0034602F">
        <w:rPr>
          <w:rFonts w:ascii="ITC Avant Garde" w:eastAsia="Times New Roman" w:hAnsi="ITC Avant Garde"/>
          <w:b/>
          <w:bCs/>
          <w:color w:val="000000"/>
          <w:lang w:eastAsia="es-MX"/>
        </w:rPr>
        <w:t>QUINTO</w:t>
      </w:r>
      <w:r w:rsidRPr="0034602F">
        <w:rPr>
          <w:rFonts w:ascii="ITC Avant Garde" w:eastAsia="Times New Roman" w:hAnsi="ITC Avant Garde"/>
          <w:bCs/>
          <w:color w:val="000000"/>
          <w:lang w:eastAsia="es-MX"/>
        </w:rPr>
        <w:t xml:space="preserve">. </w:t>
      </w:r>
      <w:r w:rsidR="00455644" w:rsidRPr="0034602F">
        <w:rPr>
          <w:rFonts w:ascii="ITC Avant Garde" w:hAnsi="ITC Avant Garde" w:cs="Tahoma"/>
        </w:rPr>
        <w:t xml:space="preserve">Dentro del acta de verificación ordinaria número </w:t>
      </w:r>
      <w:r w:rsidR="00455644" w:rsidRPr="0034602F">
        <w:rPr>
          <w:rFonts w:ascii="ITC Avant Garde" w:hAnsi="ITC Avant Garde" w:cs="Tahoma"/>
          <w:b/>
        </w:rPr>
        <w:t>IFT/UC/DGV/352/2016</w:t>
      </w:r>
      <w:r w:rsidR="00455644" w:rsidRPr="0034602F">
        <w:rPr>
          <w:rFonts w:ascii="ITC Avant Garde" w:hAnsi="ITC Avant Garde" w:cs="Tahoma"/>
        </w:rPr>
        <w:t xml:space="preserve">, </w:t>
      </w:r>
      <w:r w:rsidR="00455644" w:rsidRPr="0034602F">
        <w:rPr>
          <w:rFonts w:ascii="ITC Avant Garde" w:hAnsi="ITC Avant Garde" w:cs="Tahoma"/>
          <w:b/>
        </w:rPr>
        <w:t>“LOS VERIFICADORES”</w:t>
      </w:r>
      <w:r w:rsidR="00455644" w:rsidRPr="0034602F">
        <w:rPr>
          <w:rFonts w:ascii="ITC Avant Garde" w:hAnsi="ITC Avant Garde" w:cs="Tahoma"/>
        </w:rPr>
        <w:t xml:space="preserve">, hicieron constar que en el inmueble </w:t>
      </w:r>
      <w:r w:rsidR="00455644" w:rsidRPr="0034602F">
        <w:rPr>
          <w:rFonts w:ascii="ITC Avant Garde" w:hAnsi="ITC Avant Garde"/>
        </w:rPr>
        <w:t xml:space="preserve">citado, se detectaron equipos de radiodifusión operando la frecuencia </w:t>
      </w:r>
      <w:r w:rsidR="00455644" w:rsidRPr="0034602F">
        <w:rPr>
          <w:rFonts w:ascii="ITC Avant Garde" w:hAnsi="ITC Avant Garde"/>
          <w:b/>
        </w:rPr>
        <w:t>97.3 MHz</w:t>
      </w:r>
      <w:r w:rsidR="00455644" w:rsidRPr="0034602F">
        <w:rPr>
          <w:rFonts w:ascii="ITC Avant Garde" w:hAnsi="ITC Avant Garde"/>
        </w:rPr>
        <w:t>. Asimismo, se asentó que la diligencia fue atendida por una persona que no quiso proporcionar su nombre y señalo que es “el</w:t>
      </w:r>
      <w:r w:rsidR="00AB5731">
        <w:rPr>
          <w:rFonts w:ascii="ITC Avant Garde" w:hAnsi="ITC Avant Garde"/>
        </w:rPr>
        <w:t xml:space="preserve"> </w:t>
      </w:r>
      <w:r w:rsidR="00AB5731">
        <w:rPr>
          <w:rFonts w:ascii="ITC Avant Garde" w:hAnsi="ITC Avant Garde"/>
          <w:b/>
          <w:bCs/>
          <w:color w:val="0000FF"/>
        </w:rPr>
        <w:t>“CONFIDENCIAL POR LEY”</w:t>
      </w:r>
      <w:r w:rsidR="00455644" w:rsidRPr="0034602F">
        <w:rPr>
          <w:rFonts w:ascii="ITC Avant Garde" w:hAnsi="ITC Avant Garde"/>
        </w:rPr>
        <w:t xml:space="preserve">; a quien se le requirió mostrar alguna identificación, a lo que manifestó “no se las enseño porque no quiero tener problemas con la ley”; razón por la cual se asentó su media filiación en los siguientes términos: “(…) del sexo </w:t>
      </w:r>
      <w:r w:rsidR="007C3BD1">
        <w:rPr>
          <w:rFonts w:ascii="ITC Avant Garde" w:hAnsi="ITC Avant Garde"/>
          <w:b/>
          <w:bCs/>
          <w:color w:val="0000FF"/>
        </w:rPr>
        <w:t>“CONFIDENCIAL POR LEY”</w:t>
      </w:r>
      <w:r w:rsidR="00AB5731">
        <w:rPr>
          <w:rFonts w:ascii="ITC Avant Garde" w:hAnsi="ITC Avant Garde"/>
        </w:rPr>
        <w:t xml:space="preserve"> </w:t>
      </w:r>
      <w:r w:rsidR="00455644" w:rsidRPr="0034602F">
        <w:rPr>
          <w:rFonts w:ascii="ITC Avant Garde" w:hAnsi="ITC Avant Garde"/>
        </w:rPr>
        <w:t xml:space="preserve">de aproximadamente </w:t>
      </w:r>
      <w:r w:rsidR="007C3BD1">
        <w:rPr>
          <w:rFonts w:ascii="ITC Avant Garde" w:hAnsi="ITC Avant Garde"/>
          <w:b/>
          <w:bCs/>
          <w:color w:val="0000FF"/>
        </w:rPr>
        <w:t>“CONFIDENCIAL POR LEY”</w:t>
      </w:r>
      <w:r w:rsidR="00455644" w:rsidRPr="0034602F">
        <w:rPr>
          <w:rFonts w:ascii="ITC Avant Garde" w:hAnsi="ITC Avant Garde"/>
        </w:rPr>
        <w:t xml:space="preserve"> de edad, de tez </w:t>
      </w:r>
      <w:r w:rsidR="001D069E">
        <w:rPr>
          <w:rFonts w:ascii="ITC Avant Garde" w:hAnsi="ITC Avant Garde"/>
          <w:b/>
          <w:bCs/>
          <w:color w:val="0000FF"/>
        </w:rPr>
        <w:t>“CONFIDENCIAL POR LEY”</w:t>
      </w:r>
      <w:r w:rsidR="00455644" w:rsidRPr="0034602F">
        <w:rPr>
          <w:rFonts w:ascii="ITC Avant Garde" w:hAnsi="ITC Avant Garde"/>
        </w:rPr>
        <w:t xml:space="preserve">, cabello </w:t>
      </w:r>
      <w:r w:rsidR="001D069E">
        <w:rPr>
          <w:rFonts w:ascii="ITC Avant Garde" w:hAnsi="ITC Avant Garde"/>
          <w:b/>
          <w:bCs/>
          <w:color w:val="0000FF"/>
        </w:rPr>
        <w:t>“CONFIDENCIAL POR LEY”</w:t>
      </w:r>
      <w:r w:rsidR="00455644" w:rsidRPr="0034602F">
        <w:rPr>
          <w:rFonts w:ascii="ITC Avant Garde" w:hAnsi="ITC Avant Garde"/>
        </w:rPr>
        <w:t xml:space="preserve"> y </w:t>
      </w:r>
      <w:r w:rsidR="001D069E">
        <w:rPr>
          <w:rFonts w:ascii="ITC Avant Garde" w:hAnsi="ITC Avant Garde"/>
          <w:b/>
          <w:bCs/>
          <w:color w:val="0000FF"/>
        </w:rPr>
        <w:t xml:space="preserve">“CONFIDENCIAL POR </w:t>
      </w:r>
    </w:p>
    <w:p w14:paraId="039FDEA5" w14:textId="71E5E5CD" w:rsidR="003C5E62" w:rsidRPr="0034602F" w:rsidRDefault="001D069E" w:rsidP="00583167">
      <w:pPr>
        <w:pStyle w:val="Textoindependiente"/>
        <w:spacing w:before="240" w:after="240" w:line="360" w:lineRule="auto"/>
        <w:jc w:val="both"/>
        <w:rPr>
          <w:rFonts w:ascii="ITC Avant Garde" w:hAnsi="ITC Avant Garde" w:cs="Tahoma"/>
        </w:rPr>
      </w:pPr>
      <w:r>
        <w:rPr>
          <w:rFonts w:ascii="ITC Avant Garde" w:hAnsi="ITC Avant Garde"/>
          <w:b/>
          <w:bCs/>
          <w:color w:val="0000FF"/>
        </w:rPr>
        <w:lastRenderedPageBreak/>
        <w:t>LEY”</w:t>
      </w:r>
      <w:r w:rsidR="00455644" w:rsidRPr="0034602F">
        <w:rPr>
          <w:rFonts w:ascii="ITC Avant Garde" w:hAnsi="ITC Avant Garde"/>
        </w:rPr>
        <w:t xml:space="preserve"> de estatura”, en lo sucesivo </w:t>
      </w:r>
      <w:r w:rsidR="00455644" w:rsidRPr="0034602F">
        <w:rPr>
          <w:rFonts w:ascii="ITC Avant Garde" w:hAnsi="ITC Avant Garde"/>
          <w:b/>
        </w:rPr>
        <w:t>“LA VISITADA”</w:t>
      </w:r>
      <w:r w:rsidR="00455644" w:rsidRPr="0034602F">
        <w:rPr>
          <w:rFonts w:ascii="ITC Avant Garde" w:hAnsi="ITC Avant Garde"/>
        </w:rPr>
        <w:t>, y ante la negativa de designar testigos de asistencia, “</w:t>
      </w:r>
      <w:r w:rsidR="00455644" w:rsidRPr="0034602F">
        <w:rPr>
          <w:rFonts w:ascii="ITC Avant Garde" w:hAnsi="ITC Avant Garde"/>
          <w:b/>
        </w:rPr>
        <w:t xml:space="preserve">LOS VERIFICADORES” </w:t>
      </w:r>
      <w:r w:rsidR="00455644" w:rsidRPr="0034602F">
        <w:rPr>
          <w:rFonts w:ascii="ITC Avant Garde" w:hAnsi="ITC Avant Garde"/>
        </w:rPr>
        <w:t>nombraron a</w:t>
      </w:r>
      <w:r w:rsidR="00455644" w:rsidRPr="0034602F">
        <w:rPr>
          <w:rFonts w:ascii="ITC Avant Garde" w:hAnsi="ITC Avant Garde"/>
          <w:b/>
        </w:rPr>
        <w:t xml:space="preserve"> Daniel Rodriguez Agonizantes y Pedro Daniel Reyes Gómez, </w:t>
      </w:r>
      <w:r w:rsidR="00455644" w:rsidRPr="0034602F">
        <w:rPr>
          <w:rFonts w:ascii="ITC Avant Garde" w:hAnsi="ITC Avant Garde" w:cs="Tahoma"/>
        </w:rPr>
        <w:t>quienes aceptaron el cargo conferido.</w:t>
      </w:r>
    </w:p>
    <w:p w14:paraId="071B03E0" w14:textId="77777777" w:rsidR="003C5E62" w:rsidRPr="0034602F" w:rsidRDefault="00673DE7" w:rsidP="00583167">
      <w:pPr>
        <w:pStyle w:val="Textoindependiente"/>
        <w:spacing w:before="240" w:after="240" w:line="360" w:lineRule="auto"/>
        <w:jc w:val="both"/>
        <w:rPr>
          <w:rFonts w:ascii="ITC Avant Garde" w:hAnsi="ITC Avant Garde"/>
        </w:rPr>
      </w:pPr>
      <w:r w:rsidRPr="0034602F">
        <w:rPr>
          <w:rFonts w:ascii="ITC Avant Garde" w:eastAsia="Times New Roman" w:hAnsi="ITC Avant Garde"/>
          <w:b/>
          <w:bCs/>
          <w:color w:val="000000"/>
          <w:lang w:eastAsia="es-MX"/>
        </w:rPr>
        <w:t>SEXTO</w:t>
      </w:r>
      <w:r w:rsidR="00A96264" w:rsidRPr="0034602F">
        <w:rPr>
          <w:rFonts w:ascii="ITC Avant Garde" w:eastAsia="Times New Roman" w:hAnsi="ITC Avant Garde"/>
          <w:bCs/>
          <w:color w:val="000000"/>
          <w:lang w:eastAsia="es-MX"/>
        </w:rPr>
        <w:t xml:space="preserve">. </w:t>
      </w:r>
      <w:r w:rsidR="00594967" w:rsidRPr="0034602F">
        <w:rPr>
          <w:rFonts w:ascii="ITC Avant Garde" w:hAnsi="ITC Avant Garde"/>
        </w:rPr>
        <w:t xml:space="preserve">Una vez cubiertos los requisitos de ley, </w:t>
      </w:r>
      <w:r w:rsidR="00594967" w:rsidRPr="0034602F">
        <w:rPr>
          <w:rFonts w:ascii="ITC Avant Garde" w:hAnsi="ITC Avant Garde"/>
          <w:b/>
        </w:rPr>
        <w:t>“</w:t>
      </w:r>
      <w:r w:rsidR="00594967" w:rsidRPr="0034602F">
        <w:rPr>
          <w:rFonts w:ascii="ITC Avant Garde" w:hAnsi="ITC Avant Garde" w:cs="Tahoma"/>
          <w:b/>
        </w:rPr>
        <w:t>LOS VERIFICADORES”</w:t>
      </w:r>
      <w:r w:rsidR="00594967" w:rsidRPr="0034602F">
        <w:rPr>
          <w:rFonts w:ascii="ITC Avant Garde" w:hAnsi="ITC Avant Garde" w:cs="Tahoma"/>
        </w:rPr>
        <w:t xml:space="preserve"> acompañados de la persona que atendió la visita en el inmueble señalado y de los testigos de asistencia, procedieron a verificar las instalaciones de la </w:t>
      </w:r>
      <w:r w:rsidR="00594967" w:rsidRPr="0034602F">
        <w:rPr>
          <w:rFonts w:ascii="ITC Avant Garde" w:hAnsi="ITC Avant Garde"/>
        </w:rPr>
        <w:t xml:space="preserve">radiodifusora que opera la frecuencia </w:t>
      </w:r>
      <w:r w:rsidR="00594967" w:rsidRPr="0034602F">
        <w:rPr>
          <w:rFonts w:ascii="ITC Avant Garde" w:hAnsi="ITC Avant Garde"/>
          <w:b/>
        </w:rPr>
        <w:t xml:space="preserve">97.3 MHz, </w:t>
      </w:r>
      <w:r w:rsidR="00594967" w:rsidRPr="0034602F">
        <w:rPr>
          <w:rFonts w:ascii="ITC Avant Garde" w:hAnsi="ITC Avant Garde"/>
        </w:rPr>
        <w:t>encontrando que:</w:t>
      </w:r>
    </w:p>
    <w:p w14:paraId="1B0D910B" w14:textId="7CEAAE55" w:rsidR="003C5E62" w:rsidRPr="0034602F" w:rsidRDefault="00594967" w:rsidP="00583167">
      <w:pPr>
        <w:pStyle w:val="Textoindependiente"/>
        <w:spacing w:before="240" w:after="240"/>
        <w:ind w:left="1134" w:right="1183"/>
        <w:jc w:val="both"/>
        <w:rPr>
          <w:rFonts w:ascii="ITC Avant Garde" w:hAnsi="ITC Avant Garde" w:cs="Arial"/>
          <w:sz w:val="21"/>
          <w:szCs w:val="21"/>
        </w:rPr>
      </w:pPr>
      <w:r w:rsidRPr="0034602F">
        <w:rPr>
          <w:rFonts w:ascii="ITC Avant Garde" w:hAnsi="ITC Avant Garde"/>
        </w:rPr>
        <w:t>“…</w:t>
      </w:r>
      <w:r w:rsidRPr="0034602F">
        <w:rPr>
          <w:rFonts w:ascii="ITC Avant Garde" w:hAnsi="ITC Avant Garde" w:cs="Arial"/>
          <w:sz w:val="21"/>
          <w:szCs w:val="21"/>
        </w:rPr>
        <w:t xml:space="preserve">se trata de un inmueble de </w:t>
      </w:r>
      <w:r w:rsidR="00AB5731">
        <w:rPr>
          <w:rFonts w:ascii="ITC Avant Garde" w:hAnsi="ITC Avant Garde"/>
          <w:b/>
          <w:bCs/>
          <w:color w:val="0000FF"/>
        </w:rPr>
        <w:t>“CONFIDENCIAL POR LEY”</w:t>
      </w:r>
      <w:r w:rsidRPr="0034602F">
        <w:rPr>
          <w:rFonts w:ascii="ITC Avant Garde" w:hAnsi="ITC Avant Garde" w:cs="Arial"/>
          <w:sz w:val="21"/>
          <w:szCs w:val="21"/>
        </w:rPr>
        <w:t xml:space="preserve">, con fachada de color </w:t>
      </w:r>
      <w:r w:rsidR="00AB5731">
        <w:rPr>
          <w:rFonts w:ascii="ITC Avant Garde" w:hAnsi="ITC Avant Garde"/>
          <w:b/>
          <w:bCs/>
          <w:color w:val="0000FF"/>
        </w:rPr>
        <w:t>“CONFIDENCIAL POR LEY”</w:t>
      </w:r>
      <w:r w:rsidRPr="0034602F">
        <w:rPr>
          <w:rFonts w:ascii="ITC Avant Garde" w:hAnsi="ITC Avant Garde" w:cs="Arial"/>
          <w:sz w:val="21"/>
          <w:szCs w:val="21"/>
        </w:rPr>
        <w:t>, sin barda perimetral y sin puerta, ubicándose los equipos de la estación en un cuarto ubicado en la azotea del inmueble lugar donde hay una terraza, con los equipos instalados y operando en la frecuencia 97.3 MHz, en el techo del cuarto a un lado del tinaco se encuentra colocado una antena omnidireccional…”</w:t>
      </w:r>
    </w:p>
    <w:p w14:paraId="02E2CEC0" w14:textId="77777777" w:rsidR="003C5E62" w:rsidRPr="0034602F" w:rsidRDefault="00651A77" w:rsidP="00583167">
      <w:pPr>
        <w:pStyle w:val="Textoindependiente"/>
        <w:spacing w:before="240" w:after="240" w:line="360" w:lineRule="auto"/>
        <w:ind w:right="49"/>
        <w:jc w:val="both"/>
        <w:rPr>
          <w:rFonts w:ascii="ITC Avant Garde" w:eastAsia="Times New Roman" w:hAnsi="ITC Avant Garde"/>
          <w:bCs/>
          <w:color w:val="000000"/>
          <w:lang w:eastAsia="es-MX"/>
        </w:rPr>
      </w:pPr>
      <w:r w:rsidRPr="0034602F">
        <w:rPr>
          <w:rFonts w:ascii="ITC Avant Garde" w:hAnsi="ITC Avant Garde" w:cs="Tahoma"/>
        </w:rPr>
        <w:t xml:space="preserve">Asimismo, solicitaron a la persona que recibió la visita en el inmueble señalado, informara si la estación que transmite en la frecuencia </w:t>
      </w:r>
      <w:r w:rsidRPr="0034602F">
        <w:rPr>
          <w:rFonts w:ascii="ITC Avant Garde" w:hAnsi="ITC Avant Garde" w:cs="Tahoma"/>
          <w:b/>
        </w:rPr>
        <w:t>97.3 MHz</w:t>
      </w:r>
      <w:r w:rsidRPr="0034602F">
        <w:rPr>
          <w:rFonts w:ascii="ITC Avant Garde" w:hAnsi="ITC Avant Garde" w:cs="Tahoma"/>
        </w:rPr>
        <w:t xml:space="preserve">, cuenta con concesión o permiso expedido por el Instituto para hacer uso de esa </w:t>
      </w:r>
      <w:r w:rsidRPr="0034602F">
        <w:rPr>
          <w:rFonts w:ascii="ITC Avant Garde" w:hAnsi="ITC Avant Garde"/>
        </w:rPr>
        <w:t>frecuencia</w:t>
      </w:r>
      <w:r w:rsidRPr="0034602F">
        <w:rPr>
          <w:rFonts w:ascii="ITC Avant Garde" w:hAnsi="ITC Avant Garde"/>
          <w:b/>
        </w:rPr>
        <w:t xml:space="preserve">, </w:t>
      </w:r>
      <w:r w:rsidRPr="0034602F">
        <w:rPr>
          <w:rFonts w:ascii="ITC Avant Garde" w:hAnsi="ITC Avant Garde" w:cs="Tahoma"/>
        </w:rPr>
        <w:t xml:space="preserve">a lo que </w:t>
      </w:r>
      <w:r w:rsidRPr="0034602F">
        <w:rPr>
          <w:rFonts w:ascii="ITC Avant Garde" w:hAnsi="ITC Avant Garde"/>
          <w:b/>
        </w:rPr>
        <w:t xml:space="preserve">“LA VISITADA” </w:t>
      </w:r>
      <w:r w:rsidRPr="0034602F">
        <w:rPr>
          <w:rFonts w:ascii="ITC Avant Garde" w:hAnsi="ITC Avant Garde" w:cs="Tahoma"/>
        </w:rPr>
        <w:t xml:space="preserve">manifestó </w:t>
      </w:r>
      <w:r w:rsidR="005909A3" w:rsidRPr="0034602F">
        <w:rPr>
          <w:rFonts w:ascii="ITC Avant Garde" w:hAnsi="ITC Avant Garde" w:cs="Tahoma"/>
        </w:rPr>
        <w:t xml:space="preserve">que </w:t>
      </w:r>
      <w:r w:rsidRPr="0034602F">
        <w:rPr>
          <w:rFonts w:ascii="ITC Avant Garde" w:hAnsi="ITC Avant Garde" w:cs="Tahoma"/>
        </w:rPr>
        <w:t>lo descono</w:t>
      </w:r>
      <w:r w:rsidR="005909A3" w:rsidRPr="0034602F">
        <w:rPr>
          <w:rFonts w:ascii="ITC Avant Garde" w:hAnsi="ITC Avant Garde" w:cs="Tahoma"/>
        </w:rPr>
        <w:t>cía</w:t>
      </w:r>
      <w:r w:rsidRPr="0034602F">
        <w:rPr>
          <w:rFonts w:ascii="ITC Avant Garde" w:hAnsi="ITC Avant Garde" w:cs="Tahoma"/>
        </w:rPr>
        <w:t>.</w:t>
      </w:r>
    </w:p>
    <w:p w14:paraId="2A23D59B" w14:textId="77777777" w:rsidR="00AB5731" w:rsidRDefault="009476B9" w:rsidP="00583167">
      <w:pPr>
        <w:pStyle w:val="Textoindependiente"/>
        <w:spacing w:before="240" w:after="240" w:line="360" w:lineRule="auto"/>
        <w:jc w:val="both"/>
        <w:rPr>
          <w:rFonts w:ascii="ITC Avant Garde" w:hAnsi="ITC Avant Garde"/>
        </w:rPr>
        <w:sectPr w:rsidR="00AB5731" w:rsidSect="006345CE">
          <w:headerReference w:type="default" r:id="rId17"/>
          <w:pgSz w:w="12240" w:h="15840"/>
          <w:pgMar w:top="426" w:right="1418" w:bottom="1418" w:left="1418" w:header="709" w:footer="420" w:gutter="0"/>
          <w:cols w:space="708"/>
          <w:docGrid w:linePitch="360"/>
        </w:sectPr>
      </w:pPr>
      <w:r w:rsidRPr="0034602F">
        <w:rPr>
          <w:rFonts w:ascii="ITC Avant Garde" w:eastAsia="Times New Roman" w:hAnsi="ITC Avant Garde"/>
          <w:b/>
          <w:bCs/>
          <w:color w:val="000000"/>
          <w:lang w:eastAsia="es-MX"/>
        </w:rPr>
        <w:t>S</w:t>
      </w:r>
      <w:r w:rsidR="00D26C81" w:rsidRPr="0034602F">
        <w:rPr>
          <w:rFonts w:ascii="ITC Avant Garde" w:eastAsia="Times New Roman" w:hAnsi="ITC Avant Garde"/>
          <w:b/>
          <w:bCs/>
          <w:color w:val="000000"/>
          <w:lang w:eastAsia="es-MX"/>
        </w:rPr>
        <w:t>ÉPTIMO</w:t>
      </w:r>
      <w:r w:rsidR="00FE1FC5" w:rsidRPr="0034602F">
        <w:rPr>
          <w:rFonts w:ascii="ITC Avant Garde" w:eastAsia="Times New Roman" w:hAnsi="ITC Avant Garde"/>
          <w:b/>
          <w:bCs/>
          <w:color w:val="000000"/>
          <w:lang w:eastAsia="es-MX"/>
        </w:rPr>
        <w:t xml:space="preserve">. </w:t>
      </w:r>
      <w:r w:rsidR="00651A77" w:rsidRPr="0034602F">
        <w:rPr>
          <w:rFonts w:ascii="ITC Avant Garde" w:hAnsi="ITC Avant Garde"/>
        </w:rPr>
        <w:t xml:space="preserve">En razón de que </w:t>
      </w:r>
      <w:r w:rsidR="00651A77" w:rsidRPr="0034602F">
        <w:rPr>
          <w:rFonts w:ascii="ITC Avant Garde" w:hAnsi="ITC Avant Garde"/>
          <w:b/>
        </w:rPr>
        <w:t xml:space="preserve">“LA VISITADA” </w:t>
      </w:r>
      <w:r w:rsidR="00651A77" w:rsidRPr="0034602F">
        <w:rPr>
          <w:rFonts w:ascii="ITC Avant Garde" w:hAnsi="ITC Avant Garde"/>
        </w:rPr>
        <w:t xml:space="preserve">no exhibió el respectivo título de concesión o permiso otorgado por autoridad competente que ampare o legitime la prestación del servicio de radiodifusión a través del uso, aprovechamiento o explotación de la frecuencia </w:t>
      </w:r>
      <w:r w:rsidR="00651A77" w:rsidRPr="0034602F">
        <w:rPr>
          <w:rFonts w:ascii="ITC Avant Garde" w:hAnsi="ITC Avant Garde"/>
          <w:b/>
        </w:rPr>
        <w:t>97.3 MHz, “</w:t>
      </w:r>
      <w:r w:rsidR="00651A77" w:rsidRPr="0034602F">
        <w:rPr>
          <w:rFonts w:ascii="ITC Avant Garde" w:hAnsi="ITC Avant Garde" w:cs="Tahoma"/>
          <w:b/>
        </w:rPr>
        <w:t>LOS VERIFICADORES”</w:t>
      </w:r>
      <w:r w:rsidR="00651A77" w:rsidRPr="0034602F">
        <w:rPr>
          <w:rFonts w:ascii="ITC Avant Garde" w:hAnsi="ITC Avant Garde" w:cs="Tahoma"/>
        </w:rPr>
        <w:t xml:space="preserve"> procedieron al aseguramiento de los equipos encontrados en el inmueble en donde se practicó la visita, destinados a la operación de la estación</w:t>
      </w:r>
      <w:r w:rsidR="00651A77" w:rsidRPr="0034602F">
        <w:rPr>
          <w:rFonts w:ascii="ITC Avant Garde" w:hAnsi="ITC Avant Garde"/>
          <w:b/>
        </w:rPr>
        <w:t xml:space="preserve">, </w:t>
      </w:r>
      <w:r w:rsidR="00651A77" w:rsidRPr="0034602F">
        <w:rPr>
          <w:rFonts w:ascii="ITC Avant Garde" w:hAnsi="ITC Avant Garde"/>
        </w:rPr>
        <w:t xml:space="preserve">quedando como depositario interventor de los mismos, Raúl Leonel </w:t>
      </w:r>
      <w:proofErr w:type="spellStart"/>
      <w:r w:rsidR="00651A77" w:rsidRPr="0034602F">
        <w:rPr>
          <w:rFonts w:ascii="ITC Avant Garde" w:hAnsi="ITC Avant Garde"/>
        </w:rPr>
        <w:t>Mulhia</w:t>
      </w:r>
      <w:proofErr w:type="spellEnd"/>
      <w:r w:rsidR="00651A77" w:rsidRPr="0034602F">
        <w:rPr>
          <w:rFonts w:ascii="ITC Avant Garde" w:hAnsi="ITC Avant Garde"/>
        </w:rPr>
        <w:t xml:space="preserve"> </w:t>
      </w:r>
      <w:proofErr w:type="spellStart"/>
      <w:r w:rsidR="00651A77" w:rsidRPr="0034602F">
        <w:rPr>
          <w:rFonts w:ascii="ITC Avant Garde" w:hAnsi="ITC Avant Garde"/>
        </w:rPr>
        <w:t>Arzaluz</w:t>
      </w:r>
      <w:proofErr w:type="spellEnd"/>
      <w:r w:rsidR="00651A77" w:rsidRPr="0034602F">
        <w:rPr>
          <w:rFonts w:ascii="ITC Avant Garde" w:hAnsi="ITC Avant Garde"/>
        </w:rPr>
        <w:t>, conforme a lo siguiente:</w:t>
      </w:r>
    </w:p>
    <w:tbl>
      <w:tblPr>
        <w:tblStyle w:val="Tablaconcuadrcula6"/>
        <w:tblW w:w="5000" w:type="pct"/>
        <w:tblLook w:val="04A0" w:firstRow="1" w:lastRow="0" w:firstColumn="1" w:lastColumn="0" w:noHBand="0" w:noVBand="1"/>
        <w:tblCaption w:val="Equipos Asegurados"/>
        <w:tblDescription w:val="La tabla muestra los equipos asegurados."/>
      </w:tblPr>
      <w:tblGrid>
        <w:gridCol w:w="1944"/>
        <w:gridCol w:w="1821"/>
        <w:gridCol w:w="1830"/>
        <w:gridCol w:w="1836"/>
        <w:gridCol w:w="1963"/>
      </w:tblGrid>
      <w:tr w:rsidR="00651A77" w:rsidRPr="0034602F" w14:paraId="5209E8E3" w14:textId="77777777" w:rsidTr="004F1BD1">
        <w:trPr>
          <w:tblHeader/>
        </w:trPr>
        <w:tc>
          <w:tcPr>
            <w:tcW w:w="1035" w:type="pct"/>
            <w:shd w:val="clear" w:color="auto" w:fill="767171" w:themeFill="background2" w:themeFillShade="80"/>
            <w:hideMark/>
          </w:tcPr>
          <w:p w14:paraId="6EB36294" w14:textId="77777777" w:rsidR="00651A77" w:rsidRPr="0034602F" w:rsidRDefault="00651A77" w:rsidP="006B79B1">
            <w:pPr>
              <w:spacing w:after="0"/>
              <w:jc w:val="center"/>
              <w:rPr>
                <w:rFonts w:ascii="ITC Avant Garde" w:hAnsi="ITC Avant Garde" w:cs="Arial"/>
                <w:b/>
                <w:sz w:val="18"/>
                <w:szCs w:val="18"/>
              </w:rPr>
            </w:pPr>
            <w:r w:rsidRPr="0034602F">
              <w:rPr>
                <w:rFonts w:ascii="ITC Avant Garde" w:hAnsi="ITC Avant Garde" w:cs="Arial"/>
                <w:b/>
                <w:sz w:val="18"/>
                <w:szCs w:val="18"/>
              </w:rPr>
              <w:lastRenderedPageBreak/>
              <w:t>Equipo</w:t>
            </w:r>
          </w:p>
        </w:tc>
        <w:tc>
          <w:tcPr>
            <w:tcW w:w="969" w:type="pct"/>
            <w:shd w:val="clear" w:color="auto" w:fill="767171" w:themeFill="background2" w:themeFillShade="80"/>
            <w:hideMark/>
          </w:tcPr>
          <w:p w14:paraId="72D9B9E1" w14:textId="77777777" w:rsidR="00651A77" w:rsidRPr="0034602F" w:rsidRDefault="00651A77" w:rsidP="006B79B1">
            <w:pPr>
              <w:spacing w:after="0"/>
              <w:jc w:val="center"/>
              <w:rPr>
                <w:rFonts w:ascii="ITC Avant Garde" w:hAnsi="ITC Avant Garde" w:cs="Arial"/>
                <w:b/>
                <w:sz w:val="18"/>
                <w:szCs w:val="18"/>
              </w:rPr>
            </w:pPr>
            <w:r w:rsidRPr="0034602F">
              <w:rPr>
                <w:rFonts w:ascii="ITC Avant Garde" w:hAnsi="ITC Avant Garde" w:cs="Arial"/>
                <w:b/>
                <w:sz w:val="18"/>
                <w:szCs w:val="18"/>
              </w:rPr>
              <w:t>Marca</w:t>
            </w:r>
          </w:p>
        </w:tc>
        <w:tc>
          <w:tcPr>
            <w:tcW w:w="974" w:type="pct"/>
            <w:shd w:val="clear" w:color="auto" w:fill="767171" w:themeFill="background2" w:themeFillShade="80"/>
            <w:hideMark/>
          </w:tcPr>
          <w:p w14:paraId="25BCDF28" w14:textId="77777777" w:rsidR="00651A77" w:rsidRPr="0034602F" w:rsidRDefault="00651A77" w:rsidP="006B79B1">
            <w:pPr>
              <w:spacing w:after="0"/>
              <w:jc w:val="center"/>
              <w:rPr>
                <w:rFonts w:ascii="ITC Avant Garde" w:hAnsi="ITC Avant Garde" w:cs="Arial"/>
                <w:b/>
                <w:sz w:val="18"/>
                <w:szCs w:val="18"/>
              </w:rPr>
            </w:pPr>
            <w:r w:rsidRPr="0034602F">
              <w:rPr>
                <w:rFonts w:ascii="ITC Avant Garde" w:hAnsi="ITC Avant Garde" w:cs="Arial"/>
                <w:b/>
                <w:sz w:val="18"/>
                <w:szCs w:val="18"/>
              </w:rPr>
              <w:t>Modelo</w:t>
            </w:r>
          </w:p>
        </w:tc>
        <w:tc>
          <w:tcPr>
            <w:tcW w:w="977" w:type="pct"/>
            <w:shd w:val="clear" w:color="auto" w:fill="767171" w:themeFill="background2" w:themeFillShade="80"/>
            <w:hideMark/>
          </w:tcPr>
          <w:p w14:paraId="59C9C318" w14:textId="77777777" w:rsidR="00651A77" w:rsidRPr="0034602F" w:rsidRDefault="00651A77" w:rsidP="006B79B1">
            <w:pPr>
              <w:spacing w:after="0"/>
              <w:jc w:val="center"/>
              <w:rPr>
                <w:rFonts w:ascii="ITC Avant Garde" w:hAnsi="ITC Avant Garde" w:cs="Arial"/>
                <w:b/>
                <w:sz w:val="18"/>
                <w:szCs w:val="18"/>
              </w:rPr>
            </w:pPr>
            <w:r w:rsidRPr="0034602F">
              <w:rPr>
                <w:rFonts w:ascii="ITC Avant Garde" w:hAnsi="ITC Avant Garde" w:cs="Arial"/>
                <w:b/>
                <w:sz w:val="18"/>
                <w:szCs w:val="18"/>
              </w:rPr>
              <w:t>Número de Serie</w:t>
            </w:r>
          </w:p>
        </w:tc>
        <w:tc>
          <w:tcPr>
            <w:tcW w:w="1045" w:type="pct"/>
            <w:shd w:val="clear" w:color="auto" w:fill="767171" w:themeFill="background2" w:themeFillShade="80"/>
            <w:hideMark/>
          </w:tcPr>
          <w:p w14:paraId="2C4E4716" w14:textId="77777777" w:rsidR="00651A77" w:rsidRPr="0034602F" w:rsidRDefault="00651A77" w:rsidP="006B79B1">
            <w:pPr>
              <w:spacing w:after="0"/>
              <w:jc w:val="center"/>
              <w:rPr>
                <w:rFonts w:ascii="ITC Avant Garde" w:hAnsi="ITC Avant Garde" w:cs="Arial"/>
                <w:b/>
                <w:sz w:val="18"/>
                <w:szCs w:val="18"/>
              </w:rPr>
            </w:pPr>
            <w:r w:rsidRPr="0034602F">
              <w:rPr>
                <w:rFonts w:ascii="ITC Avant Garde" w:hAnsi="ITC Avant Garde" w:cs="Arial"/>
                <w:b/>
                <w:sz w:val="18"/>
                <w:szCs w:val="18"/>
              </w:rPr>
              <w:t>Sello de aseguramiento</w:t>
            </w:r>
          </w:p>
        </w:tc>
      </w:tr>
      <w:tr w:rsidR="00583167" w:rsidRPr="0034602F" w14:paraId="268A0CAD" w14:textId="77777777" w:rsidTr="00AB5731">
        <w:trPr>
          <w:tblHeader/>
        </w:trPr>
        <w:tc>
          <w:tcPr>
            <w:tcW w:w="1035" w:type="pct"/>
            <w:hideMark/>
          </w:tcPr>
          <w:p w14:paraId="61383AC2" w14:textId="77777777" w:rsidR="00583167" w:rsidRPr="0034602F" w:rsidRDefault="00583167" w:rsidP="006B79B1">
            <w:pPr>
              <w:spacing w:after="0"/>
              <w:jc w:val="both"/>
              <w:rPr>
                <w:rFonts w:ascii="ITC Avant Garde" w:hAnsi="ITC Avant Garde" w:cs="Arial"/>
                <w:sz w:val="18"/>
                <w:szCs w:val="18"/>
              </w:rPr>
            </w:pPr>
            <w:r w:rsidRPr="0034602F">
              <w:rPr>
                <w:rFonts w:ascii="ITC Avant Garde" w:hAnsi="ITC Avant Garde" w:cs="Arial"/>
                <w:sz w:val="18"/>
                <w:szCs w:val="18"/>
              </w:rPr>
              <w:t>Transmisor</w:t>
            </w:r>
          </w:p>
        </w:tc>
        <w:tc>
          <w:tcPr>
            <w:tcW w:w="969" w:type="pct"/>
            <w:vAlign w:val="center"/>
            <w:hideMark/>
          </w:tcPr>
          <w:p w14:paraId="45330CB4" w14:textId="12B5B06E" w:rsidR="00583167" w:rsidRPr="0034602F" w:rsidRDefault="00583167" w:rsidP="006B79B1">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974" w:type="pct"/>
            <w:hideMark/>
          </w:tcPr>
          <w:p w14:paraId="527B2244" w14:textId="119716A4" w:rsidR="00583167" w:rsidRPr="0034602F" w:rsidRDefault="00583167" w:rsidP="006B79B1">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977" w:type="pct"/>
            <w:hideMark/>
          </w:tcPr>
          <w:p w14:paraId="58DE727A" w14:textId="48D06FEB" w:rsidR="00583167" w:rsidRPr="0034602F" w:rsidRDefault="00583167" w:rsidP="006B79B1">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1045" w:type="pct"/>
            <w:hideMark/>
          </w:tcPr>
          <w:p w14:paraId="68DAA21C" w14:textId="77777777" w:rsidR="00583167" w:rsidRPr="0034602F" w:rsidRDefault="00583167" w:rsidP="006B79B1">
            <w:pPr>
              <w:spacing w:after="0"/>
              <w:jc w:val="center"/>
              <w:rPr>
                <w:rFonts w:ascii="ITC Avant Garde" w:hAnsi="ITC Avant Garde" w:cs="Arial"/>
                <w:sz w:val="18"/>
                <w:szCs w:val="18"/>
              </w:rPr>
            </w:pPr>
            <w:r w:rsidRPr="0034602F">
              <w:rPr>
                <w:rFonts w:ascii="ITC Avant Garde" w:hAnsi="ITC Avant Garde" w:cs="Arial"/>
                <w:sz w:val="18"/>
                <w:szCs w:val="18"/>
              </w:rPr>
              <w:t>015-16</w:t>
            </w:r>
          </w:p>
        </w:tc>
      </w:tr>
      <w:tr w:rsidR="00583167" w:rsidRPr="0034602F" w14:paraId="738F3E63" w14:textId="77777777" w:rsidTr="00AB5731">
        <w:trPr>
          <w:tblHeader/>
        </w:trPr>
        <w:tc>
          <w:tcPr>
            <w:tcW w:w="1035" w:type="pct"/>
            <w:hideMark/>
          </w:tcPr>
          <w:p w14:paraId="19151008" w14:textId="77777777" w:rsidR="00583167" w:rsidRPr="0034602F" w:rsidRDefault="00583167" w:rsidP="006B79B1">
            <w:pPr>
              <w:spacing w:after="0"/>
              <w:jc w:val="both"/>
              <w:rPr>
                <w:rFonts w:ascii="ITC Avant Garde" w:hAnsi="ITC Avant Garde" w:cs="Arial"/>
                <w:sz w:val="18"/>
                <w:szCs w:val="18"/>
              </w:rPr>
            </w:pPr>
            <w:r w:rsidRPr="0034602F">
              <w:rPr>
                <w:rFonts w:ascii="ITC Avant Garde" w:hAnsi="ITC Avant Garde" w:cs="Arial"/>
                <w:sz w:val="18"/>
                <w:szCs w:val="18"/>
              </w:rPr>
              <w:t>CPU armado</w:t>
            </w:r>
          </w:p>
        </w:tc>
        <w:tc>
          <w:tcPr>
            <w:tcW w:w="969" w:type="pct"/>
            <w:hideMark/>
          </w:tcPr>
          <w:p w14:paraId="5814CBCF" w14:textId="2C231F53" w:rsidR="00583167" w:rsidRPr="0034602F" w:rsidRDefault="00583167" w:rsidP="006B79B1">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974" w:type="pct"/>
            <w:hideMark/>
          </w:tcPr>
          <w:p w14:paraId="30DBBA4A" w14:textId="4C032881" w:rsidR="00583167" w:rsidRPr="0034602F" w:rsidRDefault="00583167" w:rsidP="006B79B1">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977" w:type="pct"/>
            <w:hideMark/>
          </w:tcPr>
          <w:p w14:paraId="7886668C" w14:textId="5BDD9DC7" w:rsidR="00583167" w:rsidRPr="0034602F" w:rsidRDefault="00583167" w:rsidP="006B79B1">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1045" w:type="pct"/>
            <w:hideMark/>
          </w:tcPr>
          <w:p w14:paraId="5718F581" w14:textId="77777777" w:rsidR="00583167" w:rsidRPr="0034602F" w:rsidRDefault="00583167" w:rsidP="006B79B1">
            <w:pPr>
              <w:spacing w:after="0"/>
              <w:jc w:val="center"/>
              <w:rPr>
                <w:rFonts w:ascii="ITC Avant Garde" w:hAnsi="ITC Avant Garde" w:cs="Arial"/>
                <w:sz w:val="18"/>
                <w:szCs w:val="18"/>
              </w:rPr>
            </w:pPr>
            <w:r w:rsidRPr="0034602F">
              <w:rPr>
                <w:rFonts w:ascii="ITC Avant Garde" w:hAnsi="ITC Avant Garde" w:cs="Arial"/>
                <w:sz w:val="18"/>
                <w:szCs w:val="18"/>
              </w:rPr>
              <w:t>055-16</w:t>
            </w:r>
          </w:p>
        </w:tc>
      </w:tr>
      <w:tr w:rsidR="00583167" w:rsidRPr="0034602F" w14:paraId="4D39BDD6" w14:textId="77777777" w:rsidTr="00AB5731">
        <w:trPr>
          <w:tblHeader/>
        </w:trPr>
        <w:tc>
          <w:tcPr>
            <w:tcW w:w="1035" w:type="pct"/>
            <w:hideMark/>
          </w:tcPr>
          <w:p w14:paraId="595944B7" w14:textId="77777777" w:rsidR="00583167" w:rsidRPr="0034602F" w:rsidRDefault="00583167" w:rsidP="006B79B1">
            <w:pPr>
              <w:spacing w:after="0"/>
              <w:jc w:val="both"/>
              <w:rPr>
                <w:rFonts w:ascii="ITC Avant Garde" w:hAnsi="ITC Avant Garde" w:cs="Arial"/>
                <w:sz w:val="18"/>
                <w:szCs w:val="18"/>
              </w:rPr>
            </w:pPr>
            <w:r w:rsidRPr="0034602F">
              <w:rPr>
                <w:rFonts w:ascii="ITC Avant Garde" w:hAnsi="ITC Avant Garde" w:cs="Arial"/>
                <w:sz w:val="18"/>
                <w:szCs w:val="18"/>
              </w:rPr>
              <w:t>Antena omnidireccional</w:t>
            </w:r>
          </w:p>
        </w:tc>
        <w:tc>
          <w:tcPr>
            <w:tcW w:w="969" w:type="pct"/>
            <w:hideMark/>
          </w:tcPr>
          <w:p w14:paraId="50ADF7EC" w14:textId="6A754088" w:rsidR="00583167" w:rsidRPr="0034602F" w:rsidRDefault="00583167" w:rsidP="006B79B1">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974" w:type="pct"/>
            <w:hideMark/>
          </w:tcPr>
          <w:p w14:paraId="3D0CF19A" w14:textId="1A60CA07" w:rsidR="00583167" w:rsidRPr="0034602F" w:rsidRDefault="00583167" w:rsidP="006B79B1">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977" w:type="pct"/>
            <w:hideMark/>
          </w:tcPr>
          <w:p w14:paraId="349D64C2" w14:textId="33790331" w:rsidR="00583167" w:rsidRPr="0034602F" w:rsidRDefault="00583167" w:rsidP="006B79B1">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1045" w:type="pct"/>
            <w:hideMark/>
          </w:tcPr>
          <w:p w14:paraId="152F28B7" w14:textId="77777777" w:rsidR="00583167" w:rsidRPr="0034602F" w:rsidRDefault="00583167" w:rsidP="006B79B1">
            <w:pPr>
              <w:spacing w:after="0"/>
              <w:jc w:val="center"/>
              <w:rPr>
                <w:rFonts w:ascii="ITC Avant Garde" w:hAnsi="ITC Avant Garde" w:cs="Arial"/>
                <w:sz w:val="18"/>
                <w:szCs w:val="18"/>
              </w:rPr>
            </w:pPr>
            <w:r w:rsidRPr="0034602F">
              <w:rPr>
                <w:rFonts w:ascii="ITC Avant Garde" w:hAnsi="ITC Avant Garde" w:cs="Arial"/>
                <w:sz w:val="18"/>
                <w:szCs w:val="18"/>
              </w:rPr>
              <w:t>056-16</w:t>
            </w:r>
          </w:p>
        </w:tc>
      </w:tr>
    </w:tbl>
    <w:p w14:paraId="497F6FA9" w14:textId="4C3040AF" w:rsidR="003C5E62" w:rsidRPr="0034602F" w:rsidRDefault="00B35F9A" w:rsidP="00583167">
      <w:pPr>
        <w:pStyle w:val="Textoindependiente"/>
        <w:spacing w:before="240" w:after="240" w:line="360" w:lineRule="auto"/>
        <w:ind w:right="49"/>
        <w:jc w:val="both"/>
        <w:rPr>
          <w:rFonts w:ascii="ITC Avant Garde" w:hAnsi="ITC Avant Garde" w:cs="Arial"/>
          <w:sz w:val="21"/>
          <w:szCs w:val="21"/>
        </w:rPr>
      </w:pPr>
      <w:r w:rsidRPr="0034602F">
        <w:rPr>
          <w:rFonts w:ascii="ITC Avant Garde" w:eastAsia="Times New Roman" w:hAnsi="ITC Avant Garde"/>
          <w:b/>
          <w:bCs/>
          <w:color w:val="000000"/>
          <w:lang w:eastAsia="es-MX"/>
        </w:rPr>
        <w:t>OCTAVO</w:t>
      </w:r>
      <w:r w:rsidR="00163EF0" w:rsidRPr="0034602F">
        <w:rPr>
          <w:rFonts w:ascii="ITC Avant Garde" w:eastAsia="Times New Roman" w:hAnsi="ITC Avant Garde"/>
          <w:bCs/>
          <w:color w:val="000000"/>
          <w:lang w:eastAsia="es-MX"/>
        </w:rPr>
        <w:t xml:space="preserve">. </w:t>
      </w:r>
      <w:r w:rsidR="00651A77" w:rsidRPr="0034602F">
        <w:rPr>
          <w:rFonts w:ascii="ITC Avant Garde" w:hAnsi="ITC Avant Garde"/>
        </w:rPr>
        <w:t xml:space="preserve">Previo a la conclusión de la diligencia, en términos del artículo 68 de la Ley Federal de Procedimiento Administrativo (en lo sucesivo la </w:t>
      </w:r>
      <w:r w:rsidR="00651A77" w:rsidRPr="0034602F">
        <w:rPr>
          <w:rFonts w:ascii="ITC Avant Garde" w:hAnsi="ITC Avant Garde"/>
          <w:b/>
        </w:rPr>
        <w:t>“LFPA”</w:t>
      </w:r>
      <w:r w:rsidR="00651A77" w:rsidRPr="0034602F">
        <w:rPr>
          <w:rFonts w:ascii="ITC Avant Garde" w:hAnsi="ITC Avant Garde"/>
        </w:rPr>
        <w:t xml:space="preserve">), </w:t>
      </w:r>
      <w:r w:rsidR="00651A77" w:rsidRPr="0034602F">
        <w:rPr>
          <w:rFonts w:ascii="ITC Avant Garde" w:hAnsi="ITC Avant Garde"/>
          <w:b/>
        </w:rPr>
        <w:t>“LOS VERIFICADORES”</w:t>
      </w:r>
      <w:r w:rsidR="00651A77" w:rsidRPr="0034602F">
        <w:rPr>
          <w:rFonts w:ascii="ITC Avant Garde" w:hAnsi="ITC Avant Garde"/>
        </w:rPr>
        <w:t xml:space="preserve"> informaron a la persona que recibió la visita, que le asistía el derecho de manifestar lo que a sus intereses conviniera, respecto de los hechos asentados en el acta de verificación de mérito, ante lo cual manifestó: </w:t>
      </w:r>
      <w:r w:rsidR="00651A77" w:rsidRPr="0034602F">
        <w:rPr>
          <w:rFonts w:ascii="ITC Avant Garde" w:hAnsi="ITC Avant Garde" w:cs="Arial"/>
          <w:sz w:val="21"/>
          <w:szCs w:val="21"/>
        </w:rPr>
        <w:t>“</w:t>
      </w:r>
      <w:r w:rsidR="00651A77" w:rsidRPr="0034602F">
        <w:rPr>
          <w:rFonts w:ascii="ITC Avant Garde" w:hAnsi="ITC Avant Garde" w:cs="Arial"/>
        </w:rPr>
        <w:t xml:space="preserve"> solo soy </w:t>
      </w:r>
      <w:r w:rsidR="00AB5731">
        <w:rPr>
          <w:rFonts w:ascii="ITC Avant Garde" w:hAnsi="ITC Avant Garde"/>
          <w:b/>
          <w:bCs/>
          <w:color w:val="0000FF"/>
        </w:rPr>
        <w:t>“CONFIDENCIAL POR LEY”</w:t>
      </w:r>
      <w:r w:rsidR="00651A77" w:rsidRPr="0034602F">
        <w:rPr>
          <w:rFonts w:ascii="ITC Avant Garde" w:hAnsi="ITC Avant Garde" w:cs="Arial"/>
        </w:rPr>
        <w:t xml:space="preserve"> y solo sé que el que rentaba el cuarto se llama </w:t>
      </w:r>
      <w:r w:rsidR="001D069E">
        <w:rPr>
          <w:rFonts w:ascii="ITC Avant Garde" w:hAnsi="ITC Avant Garde"/>
          <w:b/>
          <w:bCs/>
          <w:color w:val="0000FF"/>
        </w:rPr>
        <w:t>“CONFIDENCIAL POR LEY”</w:t>
      </w:r>
      <w:r w:rsidR="00651A77" w:rsidRPr="0034602F">
        <w:rPr>
          <w:rFonts w:ascii="ITC Avant Garde" w:hAnsi="ITC Avant Garde" w:cs="Arial"/>
        </w:rPr>
        <w:t>”</w:t>
      </w:r>
      <w:r w:rsidR="00651A77" w:rsidRPr="0034602F">
        <w:rPr>
          <w:rFonts w:ascii="ITC Avant Garde" w:hAnsi="ITC Avant Garde" w:cs="Arial"/>
          <w:sz w:val="21"/>
          <w:szCs w:val="21"/>
        </w:rPr>
        <w:t>.</w:t>
      </w:r>
    </w:p>
    <w:p w14:paraId="3F8ED95B" w14:textId="77777777" w:rsidR="003C5E62" w:rsidRPr="0034602F" w:rsidRDefault="00861333" w:rsidP="00583167">
      <w:pPr>
        <w:spacing w:before="240" w:after="240" w:line="360" w:lineRule="auto"/>
        <w:jc w:val="both"/>
        <w:rPr>
          <w:rFonts w:ascii="ITC Avant Garde" w:hAnsi="ITC Avant Garde"/>
        </w:rPr>
      </w:pPr>
      <w:r w:rsidRPr="0034602F">
        <w:rPr>
          <w:rFonts w:ascii="ITC Avant Garde" w:hAnsi="ITC Avant Garde"/>
        </w:rPr>
        <w:t xml:space="preserve">Asimismo, en términos del artículo 524 de la Ley de Vías Generales de Comunicación, se informó a la persona que recibió la visita, que contaba con el término de diez días hábiles, contados a partir del día hábil siguiente a dicha actuación, para que exhibiera las manifestaciones y pruebas de su intención, en las oficinas del Instituto Federal de Telecomunicaciones. </w:t>
      </w:r>
    </w:p>
    <w:p w14:paraId="24632F72" w14:textId="77777777" w:rsidR="003C5E62" w:rsidRPr="0034602F" w:rsidRDefault="00861333" w:rsidP="00583167">
      <w:pPr>
        <w:spacing w:before="240" w:after="240" w:line="360" w:lineRule="auto"/>
        <w:jc w:val="both"/>
        <w:rPr>
          <w:rFonts w:ascii="ITC Avant Garde" w:eastAsia="Times New Roman" w:hAnsi="ITC Avant Garde"/>
          <w:b/>
          <w:bCs/>
          <w:color w:val="000000"/>
          <w:lang w:eastAsia="es-MX"/>
        </w:rPr>
      </w:pPr>
      <w:r w:rsidRPr="0034602F">
        <w:rPr>
          <w:rFonts w:ascii="ITC Avant Garde" w:hAnsi="ITC Avant Garde"/>
        </w:rPr>
        <w:t>Dicho plazo transcurrió del diecinueve de agosto al dos de septiembre de dos mil dieciséis, sin contar los días veinte, veintiuno</w:t>
      </w:r>
      <w:r w:rsidR="005909A3" w:rsidRPr="0034602F">
        <w:rPr>
          <w:rFonts w:ascii="ITC Avant Garde" w:hAnsi="ITC Avant Garde"/>
        </w:rPr>
        <w:t>,</w:t>
      </w:r>
      <w:r w:rsidRPr="0034602F">
        <w:rPr>
          <w:rFonts w:ascii="ITC Avant Garde" w:hAnsi="ITC Avant Garde"/>
        </w:rPr>
        <w:t xml:space="preserve"> veintisiete y veintiocho de agosto de dos mil dieciséis, por ser sábados</w:t>
      </w:r>
      <w:r w:rsidR="0087347E" w:rsidRPr="0034602F">
        <w:rPr>
          <w:rFonts w:ascii="ITC Avant Garde" w:hAnsi="ITC Avant Garde"/>
        </w:rPr>
        <w:t xml:space="preserve"> y</w:t>
      </w:r>
      <w:r w:rsidRPr="0034602F">
        <w:rPr>
          <w:rFonts w:ascii="ITC Avant Garde" w:hAnsi="ITC Avant Garde"/>
        </w:rPr>
        <w:t xml:space="preserve"> domingos</w:t>
      </w:r>
      <w:r w:rsidR="005909A3" w:rsidRPr="0034602F">
        <w:rPr>
          <w:rFonts w:ascii="ITC Avant Garde" w:hAnsi="ITC Avant Garde"/>
        </w:rPr>
        <w:t>,</w:t>
      </w:r>
      <w:r w:rsidRPr="0034602F">
        <w:rPr>
          <w:rFonts w:ascii="ITC Avant Garde" w:hAnsi="ITC Avant Garde"/>
        </w:rPr>
        <w:t xml:space="preserve"> </w:t>
      </w:r>
      <w:r w:rsidR="0087347E" w:rsidRPr="0034602F">
        <w:rPr>
          <w:rFonts w:ascii="ITC Avant Garde" w:eastAsia="Times New Roman" w:hAnsi="ITC Avant Garde"/>
          <w:bCs/>
          <w:lang w:eastAsia="es-MX"/>
        </w:rPr>
        <w:t>en términos del “ACUERDO mediante el cual el Pleno del Instituto Federal de Telecomunicaciones aprueba su calendario anual de sesiones ordinarias y el calendario anual de labores para el año 2016 y principios de 2017</w:t>
      </w:r>
      <w:r w:rsidR="0087347E" w:rsidRPr="0034602F">
        <w:rPr>
          <w:rFonts w:ascii="ITC Avant Garde" w:eastAsia="Times New Roman" w:hAnsi="ITC Avant Garde"/>
          <w:bCs/>
          <w:color w:val="000000" w:themeColor="text1"/>
          <w:lang w:eastAsia="es-MX"/>
        </w:rPr>
        <w:t xml:space="preserve">, </w:t>
      </w:r>
      <w:r w:rsidR="005909A3" w:rsidRPr="0034602F">
        <w:rPr>
          <w:rFonts w:ascii="ITC Avant Garde" w:hAnsi="ITC Avant Garde"/>
        </w:rPr>
        <w:t xml:space="preserve">así como el primero de septiembre de dos mil dieciséis, por ser </w:t>
      </w:r>
      <w:r w:rsidRPr="0034602F">
        <w:rPr>
          <w:rFonts w:ascii="ITC Avant Garde" w:hAnsi="ITC Avant Garde"/>
        </w:rPr>
        <w:t xml:space="preserve">día inhábil </w:t>
      </w:r>
      <w:r w:rsidRPr="0034602F">
        <w:rPr>
          <w:rFonts w:ascii="ITC Avant Garde" w:eastAsia="Times New Roman" w:hAnsi="ITC Avant Garde"/>
          <w:bCs/>
          <w:lang w:eastAsia="es-MX"/>
        </w:rPr>
        <w:t>en términos del artículo 28 de la Ley Federal de Procedimiento Administrativo</w:t>
      </w:r>
      <w:r w:rsidR="0087347E" w:rsidRPr="0034602F">
        <w:rPr>
          <w:rFonts w:ascii="ITC Avant Garde" w:eastAsia="Times New Roman" w:hAnsi="ITC Avant Garde"/>
          <w:bCs/>
          <w:lang w:eastAsia="es-MX"/>
        </w:rPr>
        <w:t>.</w:t>
      </w:r>
    </w:p>
    <w:p w14:paraId="4E1D1FFF" w14:textId="77777777" w:rsidR="00AB5731" w:rsidRDefault="00861333" w:rsidP="00583167">
      <w:pPr>
        <w:spacing w:before="240" w:after="240" w:line="360" w:lineRule="auto"/>
        <w:jc w:val="both"/>
        <w:rPr>
          <w:rFonts w:ascii="ITC Avant Garde" w:hAnsi="ITC Avant Garde"/>
        </w:rPr>
        <w:sectPr w:rsidR="00AB5731" w:rsidSect="006345CE">
          <w:headerReference w:type="default" r:id="rId18"/>
          <w:pgSz w:w="12240" w:h="15840"/>
          <w:pgMar w:top="426" w:right="1418" w:bottom="1418" w:left="1418" w:header="709" w:footer="420" w:gutter="0"/>
          <w:cols w:space="708"/>
          <w:docGrid w:linePitch="360"/>
        </w:sectPr>
      </w:pPr>
      <w:r w:rsidRPr="0034602F">
        <w:rPr>
          <w:rFonts w:ascii="ITC Avant Garde" w:hAnsi="ITC Avant Garde"/>
        </w:rPr>
        <w:t xml:space="preserve">Transcurrido el plazo a que se refiere el </w:t>
      </w:r>
      <w:r w:rsidR="001B0029" w:rsidRPr="0034602F">
        <w:rPr>
          <w:rFonts w:ascii="ITC Avant Garde" w:hAnsi="ITC Avant Garde"/>
        </w:rPr>
        <w:t>párrafo</w:t>
      </w:r>
      <w:r w:rsidRPr="0034602F">
        <w:rPr>
          <w:rFonts w:ascii="ITC Avant Garde" w:hAnsi="ITC Avant Garde"/>
        </w:rPr>
        <w:t xml:space="preserve"> que antecede, no existe constancia alguna de que el</w:t>
      </w:r>
      <w:r w:rsidRPr="0034602F">
        <w:rPr>
          <w:rFonts w:ascii="ITC Avant Garde" w:hAnsi="ITC Avant Garde"/>
          <w:b/>
        </w:rPr>
        <w:t xml:space="preserve"> “PRESUNTO RESPONSABLE”</w:t>
      </w:r>
      <w:r w:rsidRPr="0034602F">
        <w:rPr>
          <w:rFonts w:ascii="ITC Avant Garde" w:hAnsi="ITC Avant Garde"/>
        </w:rPr>
        <w:t xml:space="preserve"> o su representación legal hubieran exhibido pruebas y defensas de su parte.</w:t>
      </w:r>
    </w:p>
    <w:p w14:paraId="0F4CB82F" w14:textId="7517E8A0" w:rsidR="003C5E62" w:rsidRPr="0034602F" w:rsidRDefault="001B0029" w:rsidP="00583167">
      <w:pPr>
        <w:spacing w:before="240" w:after="240" w:line="360" w:lineRule="auto"/>
        <w:jc w:val="both"/>
        <w:rPr>
          <w:rFonts w:ascii="ITC Avant Garde" w:hAnsi="ITC Avant Garde"/>
        </w:rPr>
      </w:pPr>
      <w:r w:rsidRPr="0034602F">
        <w:rPr>
          <w:rFonts w:ascii="ITC Avant Garde" w:hAnsi="ITC Avant Garde"/>
          <w:b/>
        </w:rPr>
        <w:lastRenderedPageBreak/>
        <w:t>NOVENO</w:t>
      </w:r>
      <w:r w:rsidR="004630E1" w:rsidRPr="0034602F">
        <w:rPr>
          <w:rFonts w:ascii="ITC Avant Garde" w:hAnsi="ITC Avant Garde"/>
        </w:rPr>
        <w:t xml:space="preserve">. </w:t>
      </w:r>
      <w:r w:rsidR="004E0403" w:rsidRPr="0034602F">
        <w:rPr>
          <w:rFonts w:ascii="ITC Avant Garde" w:eastAsia="Times New Roman" w:hAnsi="ITC Avant Garde"/>
          <w:bCs/>
          <w:color w:val="000000"/>
          <w:lang w:eastAsia="es-MX"/>
        </w:rPr>
        <w:t xml:space="preserve">Mediante oficio </w:t>
      </w:r>
      <w:r w:rsidR="004E0403" w:rsidRPr="0034602F">
        <w:rPr>
          <w:rFonts w:ascii="ITC Avant Garde" w:hAnsi="ITC Avant Garde"/>
          <w:b/>
        </w:rPr>
        <w:t xml:space="preserve">IFT/225/UC/DG-VER/3389/2016 </w:t>
      </w:r>
      <w:r w:rsidR="004E0403" w:rsidRPr="0034602F">
        <w:rPr>
          <w:rFonts w:ascii="ITC Avant Garde" w:hAnsi="ITC Avant Garde"/>
        </w:rPr>
        <w:t>de siete de diciembre de dos mil dieciséis</w:t>
      </w:r>
      <w:r w:rsidR="004E0403" w:rsidRPr="0034602F">
        <w:rPr>
          <w:rFonts w:ascii="ITC Avant Garde" w:eastAsia="Times New Roman" w:hAnsi="ITC Avant Garde"/>
          <w:bCs/>
          <w:color w:val="000000"/>
          <w:lang w:eastAsia="es-MX"/>
        </w:rPr>
        <w:t xml:space="preserve">, la </w:t>
      </w:r>
      <w:r w:rsidR="004E0403" w:rsidRPr="0034602F">
        <w:rPr>
          <w:rFonts w:ascii="ITC Avant Garde" w:eastAsia="Times New Roman" w:hAnsi="ITC Avant Garde"/>
          <w:b/>
          <w:bCs/>
          <w:color w:val="000000"/>
          <w:lang w:eastAsia="es-MX"/>
        </w:rPr>
        <w:t xml:space="preserve">DGV </w:t>
      </w:r>
      <w:r w:rsidR="004E0403" w:rsidRPr="0034602F">
        <w:rPr>
          <w:rFonts w:ascii="ITC Avant Garde" w:eastAsia="Times New Roman" w:hAnsi="ITC Avant Garde"/>
          <w:bCs/>
          <w:color w:val="000000"/>
          <w:lang w:eastAsia="es-MX"/>
        </w:rPr>
        <w:t xml:space="preserve">remitió al Titular de la Unidad de Cumplimiento un “Dictamen por el cual se propone el inicio del </w:t>
      </w:r>
      <w:r w:rsidR="004E0403" w:rsidRPr="0034602F">
        <w:rPr>
          <w:rFonts w:ascii="ITC Avant Garde" w:eastAsia="Times New Roman" w:hAnsi="ITC Avant Garde"/>
          <w:b/>
          <w:bCs/>
          <w:color w:val="000000"/>
          <w:lang w:eastAsia="es-MX"/>
        </w:rPr>
        <w:t xml:space="preserve">PROCEDIMIENTO </w:t>
      </w:r>
      <w:r w:rsidR="004E0403" w:rsidRPr="0034602F">
        <w:rPr>
          <w:rFonts w:ascii="ITC Avant Garde" w:hAnsi="ITC Avant Garde"/>
          <w:b/>
        </w:rPr>
        <w:t>ADMINISTRATIVO</w:t>
      </w:r>
      <w:r w:rsidR="004E0403" w:rsidRPr="0034602F">
        <w:rPr>
          <w:rFonts w:ascii="ITC Avant Garde" w:eastAsia="Times New Roman" w:hAnsi="ITC Avant Garde"/>
          <w:b/>
          <w:bCs/>
          <w:color w:val="000000"/>
          <w:lang w:eastAsia="es-MX"/>
        </w:rPr>
        <w:t xml:space="preserve"> DE IMPOSICIÓN DE SANCIONES y la DECLARATORIA DE PÉRDIDA DE BIENES, INSTALACIONES Y EQUIPOS EN BENEFICIO DE LA NACIÓN</w:t>
      </w:r>
      <w:r w:rsidR="004E0403" w:rsidRPr="0034602F">
        <w:rPr>
          <w:rFonts w:ascii="ITC Avant Garde" w:eastAsia="Times New Roman" w:hAnsi="ITC Avant Garde"/>
          <w:bCs/>
          <w:color w:val="000000"/>
          <w:lang w:eastAsia="es-MX"/>
        </w:rPr>
        <w:t xml:space="preserve"> en contra del </w:t>
      </w:r>
      <w:r w:rsidR="004E0403" w:rsidRPr="0034602F">
        <w:rPr>
          <w:rFonts w:ascii="ITC Avant Garde" w:hAnsi="ITC Avant Garde"/>
        </w:rPr>
        <w:t>PROPIETARIO, Y/O POSEEDOR Y/O RESPONSABLE, Y/O ENCARGADO</w:t>
      </w:r>
      <w:r w:rsidR="004E0403" w:rsidRPr="0034602F">
        <w:rPr>
          <w:rFonts w:ascii="ITC Avant Garde" w:hAnsi="ITC Avant Garde"/>
          <w:b/>
        </w:rPr>
        <w:t xml:space="preserve"> </w:t>
      </w:r>
      <w:r w:rsidR="004E0403" w:rsidRPr="0034602F">
        <w:rPr>
          <w:rFonts w:ascii="ITC Avant Garde" w:hAnsi="ITC Avant Garde"/>
        </w:rPr>
        <w:t xml:space="preserve">de las instalaciones y equipos de radiodifusión localizados en el inmueble ubicado en: </w:t>
      </w:r>
      <w:r w:rsidR="00AB5731">
        <w:rPr>
          <w:rFonts w:ascii="ITC Avant Garde" w:hAnsi="ITC Avant Garde"/>
          <w:b/>
          <w:bCs/>
          <w:color w:val="0000FF"/>
        </w:rPr>
        <w:t>“CONFIDENCIAL POR LEY”</w:t>
      </w:r>
      <w:r w:rsidR="004E0403" w:rsidRPr="0034602F">
        <w:rPr>
          <w:rFonts w:ascii="ITC Avant Garde" w:hAnsi="ITC Avant Garde"/>
        </w:rPr>
        <w:t xml:space="preserve">, Delegación Tlalpan en la Ciudad de México (donde se detectaron las instalaciones de la estación de radiodifusión, operando la frecuencia </w:t>
      </w:r>
      <w:r w:rsidR="004E0403" w:rsidRPr="0034602F">
        <w:rPr>
          <w:rFonts w:ascii="ITC Avant Garde" w:hAnsi="ITC Avant Garde"/>
          <w:b/>
        </w:rPr>
        <w:t xml:space="preserve">97.3 MHz), </w:t>
      </w:r>
      <w:r w:rsidR="004E0403" w:rsidRPr="0034602F">
        <w:rPr>
          <w:rFonts w:ascii="ITC Avant Garde" w:hAnsi="ITC Avant Garde"/>
        </w:rPr>
        <w:t>por la presunta infracción de</w:t>
      </w:r>
      <w:r w:rsidR="004E0403" w:rsidRPr="0034602F">
        <w:rPr>
          <w:rFonts w:ascii="ITC Avant Garde" w:eastAsia="Times New Roman" w:hAnsi="ITC Avant Garde"/>
          <w:bCs/>
          <w:color w:val="000000"/>
          <w:lang w:eastAsia="es-MX"/>
        </w:rPr>
        <w:t xml:space="preserve">l </w:t>
      </w:r>
      <w:r w:rsidR="004E0403" w:rsidRPr="0034602F">
        <w:rPr>
          <w:rFonts w:ascii="ITC Avant Garde" w:eastAsia="Times New Roman" w:hAnsi="ITC Avant Garde"/>
          <w:b/>
          <w:bCs/>
          <w:color w:val="000000"/>
          <w:lang w:eastAsia="es-MX"/>
        </w:rPr>
        <w:t>artículo 66</w:t>
      </w:r>
      <w:r w:rsidR="004E0403" w:rsidRPr="0034602F">
        <w:rPr>
          <w:rFonts w:ascii="ITC Avant Garde" w:eastAsia="Times New Roman" w:hAnsi="ITC Avant Garde"/>
          <w:bCs/>
          <w:color w:val="000000"/>
          <w:lang w:eastAsia="es-MX"/>
        </w:rPr>
        <w:t xml:space="preserve"> en relación con el </w:t>
      </w:r>
      <w:r w:rsidR="004E0403" w:rsidRPr="0034602F">
        <w:rPr>
          <w:rFonts w:ascii="ITC Avant Garde" w:eastAsia="Times New Roman" w:hAnsi="ITC Avant Garde"/>
          <w:b/>
          <w:bCs/>
          <w:color w:val="000000"/>
          <w:lang w:eastAsia="es-MX"/>
        </w:rPr>
        <w:t>artículo</w:t>
      </w:r>
      <w:r w:rsidR="004E0403" w:rsidRPr="0034602F">
        <w:rPr>
          <w:rFonts w:ascii="ITC Avant Garde" w:eastAsia="Times New Roman" w:hAnsi="ITC Avant Garde"/>
          <w:bCs/>
          <w:color w:val="000000"/>
          <w:lang w:eastAsia="es-MX"/>
        </w:rPr>
        <w:t xml:space="preserve"> </w:t>
      </w:r>
      <w:r w:rsidR="004E0403" w:rsidRPr="0034602F">
        <w:rPr>
          <w:rFonts w:ascii="ITC Avant Garde" w:eastAsia="Times New Roman" w:hAnsi="ITC Avant Garde"/>
          <w:b/>
          <w:bCs/>
          <w:color w:val="000000"/>
          <w:lang w:eastAsia="es-MX"/>
        </w:rPr>
        <w:t>75</w:t>
      </w:r>
      <w:r w:rsidR="004E0403" w:rsidRPr="0034602F">
        <w:rPr>
          <w:rFonts w:ascii="ITC Avant Garde" w:eastAsia="Times New Roman" w:hAnsi="ITC Avant Garde"/>
          <w:bCs/>
          <w:color w:val="000000"/>
          <w:lang w:eastAsia="es-MX"/>
        </w:rPr>
        <w:t xml:space="preserve">, y la probable actualización de la hipótesis normativa prevista en el </w:t>
      </w:r>
      <w:r w:rsidR="004E0403" w:rsidRPr="0034602F">
        <w:rPr>
          <w:rFonts w:ascii="ITC Avant Garde" w:eastAsia="Times New Roman" w:hAnsi="ITC Avant Garde"/>
          <w:b/>
          <w:bCs/>
          <w:color w:val="000000"/>
          <w:lang w:eastAsia="es-MX"/>
        </w:rPr>
        <w:t>artículo 305, todos de la Ley Federal de Telecomunicaciones y Radiodifusión</w:t>
      </w:r>
      <w:r w:rsidR="004E0403" w:rsidRPr="0034602F">
        <w:rPr>
          <w:rFonts w:ascii="ITC Avant Garde" w:eastAsia="Times New Roman" w:hAnsi="ITC Avant Garde"/>
          <w:bCs/>
          <w:color w:val="000000"/>
          <w:lang w:eastAsia="es-MX"/>
        </w:rPr>
        <w:t xml:space="preserve">, derivado de la visita de inspección y verificación que consta en el </w:t>
      </w:r>
      <w:r w:rsidR="004E0403" w:rsidRPr="0034602F">
        <w:rPr>
          <w:rFonts w:ascii="ITC Avant Garde" w:eastAsia="Times New Roman" w:hAnsi="ITC Avant Garde"/>
          <w:b/>
          <w:bCs/>
          <w:color w:val="000000"/>
          <w:lang w:eastAsia="es-MX"/>
        </w:rPr>
        <w:t>Acta Verificación número IFT/UC/DGV/</w:t>
      </w:r>
      <w:r w:rsidR="00DC49BE" w:rsidRPr="0034602F">
        <w:rPr>
          <w:rFonts w:ascii="ITC Avant Garde" w:eastAsia="Times New Roman" w:hAnsi="ITC Avant Garde"/>
          <w:b/>
          <w:bCs/>
          <w:color w:val="000000"/>
          <w:lang w:eastAsia="es-MX"/>
        </w:rPr>
        <w:t>352</w:t>
      </w:r>
      <w:r w:rsidR="004E0403" w:rsidRPr="0034602F">
        <w:rPr>
          <w:rFonts w:ascii="ITC Avant Garde" w:eastAsia="Times New Roman" w:hAnsi="ITC Avant Garde"/>
          <w:b/>
          <w:bCs/>
          <w:color w:val="000000"/>
          <w:lang w:eastAsia="es-MX"/>
        </w:rPr>
        <w:t>/2016.”</w:t>
      </w:r>
    </w:p>
    <w:p w14:paraId="71FE424F" w14:textId="77777777" w:rsidR="00AB5731" w:rsidRDefault="00785F3F" w:rsidP="00583167">
      <w:pPr>
        <w:spacing w:before="240" w:after="240" w:line="360" w:lineRule="auto"/>
        <w:jc w:val="both"/>
        <w:rPr>
          <w:rFonts w:ascii="ITC Avant Garde" w:eastAsia="Times New Roman" w:hAnsi="ITC Avant Garde"/>
          <w:bCs/>
          <w:color w:val="000000"/>
          <w:lang w:eastAsia="es-MX"/>
        </w:rPr>
        <w:sectPr w:rsidR="00AB5731" w:rsidSect="006345CE">
          <w:headerReference w:type="default" r:id="rId19"/>
          <w:pgSz w:w="12240" w:h="15840"/>
          <w:pgMar w:top="426" w:right="1418" w:bottom="1418" w:left="1418" w:header="709" w:footer="420" w:gutter="0"/>
          <w:cols w:space="708"/>
          <w:docGrid w:linePitch="360"/>
        </w:sectPr>
      </w:pPr>
      <w:r w:rsidRPr="0034602F">
        <w:rPr>
          <w:rFonts w:ascii="ITC Avant Garde" w:hAnsi="ITC Avant Garde"/>
          <w:b/>
        </w:rPr>
        <w:t>DÉCIMO</w:t>
      </w:r>
      <w:r w:rsidRPr="0034602F">
        <w:rPr>
          <w:rFonts w:ascii="ITC Avant Garde" w:hAnsi="ITC Avant Garde"/>
        </w:rPr>
        <w:t xml:space="preserve">. </w:t>
      </w:r>
      <w:r w:rsidR="004F3596" w:rsidRPr="0034602F">
        <w:rPr>
          <w:rFonts w:ascii="ITC Avant Garde" w:eastAsia="Times New Roman" w:hAnsi="ITC Avant Garde"/>
          <w:bCs/>
          <w:color w:val="000000"/>
          <w:lang w:eastAsia="es-MX"/>
        </w:rPr>
        <w:t>En virtud de lo anterior, por acuerdo</w:t>
      </w:r>
      <w:r w:rsidR="004F3596" w:rsidRPr="0034602F">
        <w:rPr>
          <w:rFonts w:ascii="ITC Avant Garde" w:eastAsia="Times New Roman" w:hAnsi="ITC Avant Garde"/>
          <w:b/>
          <w:bCs/>
          <w:color w:val="000000"/>
          <w:lang w:eastAsia="es-MX"/>
        </w:rPr>
        <w:t xml:space="preserve"> </w:t>
      </w:r>
      <w:r w:rsidR="004F3596" w:rsidRPr="0034602F">
        <w:rPr>
          <w:rFonts w:ascii="ITC Avant Garde" w:eastAsia="Times New Roman" w:hAnsi="ITC Avant Garde"/>
          <w:bCs/>
          <w:color w:val="000000"/>
          <w:lang w:eastAsia="es-MX"/>
        </w:rPr>
        <w:t xml:space="preserve">de </w:t>
      </w:r>
      <w:r w:rsidRPr="0034602F">
        <w:rPr>
          <w:rFonts w:ascii="ITC Avant Garde" w:eastAsia="Times New Roman" w:hAnsi="ITC Avant Garde"/>
          <w:bCs/>
          <w:color w:val="000000"/>
          <w:lang w:eastAsia="es-MX"/>
        </w:rPr>
        <w:t>veintitrés</w:t>
      </w:r>
      <w:r w:rsidR="00B83928" w:rsidRPr="0034602F">
        <w:rPr>
          <w:rFonts w:ascii="ITC Avant Garde" w:eastAsia="Times New Roman" w:hAnsi="ITC Avant Garde"/>
          <w:bCs/>
          <w:color w:val="000000"/>
          <w:lang w:eastAsia="es-MX"/>
        </w:rPr>
        <w:t xml:space="preserve"> de enero de dos mil diecisiete</w:t>
      </w:r>
      <w:r w:rsidR="004F3596" w:rsidRPr="0034602F">
        <w:rPr>
          <w:rFonts w:ascii="ITC Avant Garde" w:eastAsia="Times New Roman" w:hAnsi="ITC Avant Garde"/>
          <w:bCs/>
          <w:color w:val="000000"/>
          <w:lang w:eastAsia="es-MX"/>
        </w:rPr>
        <w:t xml:space="preserve">, </w:t>
      </w:r>
      <w:r w:rsidR="000166A6" w:rsidRPr="0034602F">
        <w:rPr>
          <w:rFonts w:ascii="ITC Avant Garde" w:eastAsia="Times New Roman" w:hAnsi="ITC Avant Garde"/>
          <w:bCs/>
          <w:color w:val="000000"/>
          <w:lang w:eastAsia="es-MX"/>
        </w:rPr>
        <w:t xml:space="preserve">el </w:t>
      </w:r>
      <w:r w:rsidR="004F3596" w:rsidRPr="0034602F">
        <w:rPr>
          <w:rFonts w:ascii="ITC Avant Garde" w:eastAsia="Times New Roman" w:hAnsi="ITC Avant Garde"/>
          <w:b/>
          <w:bCs/>
          <w:color w:val="000000"/>
          <w:lang w:eastAsia="es-MX"/>
        </w:rPr>
        <w:t>Instituto</w:t>
      </w:r>
      <w:r w:rsidR="004F3596" w:rsidRPr="0034602F">
        <w:rPr>
          <w:rFonts w:ascii="ITC Avant Garde" w:eastAsia="Times New Roman" w:hAnsi="ITC Avant Garde"/>
          <w:bCs/>
          <w:color w:val="000000"/>
          <w:lang w:eastAsia="es-MX"/>
        </w:rPr>
        <w:t xml:space="preserve"> por conducto del Titular de la Unidad de Cumplimiento inició el procedimiento administrativo de imposición de sanción y declaratoria de pérdida de bienes, instalaciones y equipos en beneficio de la Nación, en contra</w:t>
      </w:r>
      <w:r w:rsidR="004F3596" w:rsidRPr="0034602F">
        <w:rPr>
          <w:rFonts w:ascii="ITC Avant Garde" w:hAnsi="ITC Avant Garde"/>
        </w:rPr>
        <w:t xml:space="preserve"> </w:t>
      </w:r>
      <w:r w:rsidR="0047731F" w:rsidRPr="0034602F">
        <w:rPr>
          <w:rFonts w:ascii="ITC Avant Garde" w:hAnsi="ITC Avant Garde"/>
        </w:rPr>
        <w:t>del</w:t>
      </w:r>
      <w:r w:rsidR="0042045F" w:rsidRPr="0034602F">
        <w:rPr>
          <w:rFonts w:ascii="ITC Avant Garde" w:hAnsi="ITC Avant Garde"/>
        </w:rPr>
        <w:t xml:space="preserve"> </w:t>
      </w:r>
      <w:r w:rsidR="0042045F" w:rsidRPr="0034602F">
        <w:rPr>
          <w:rFonts w:ascii="ITC Avant Garde" w:hAnsi="ITC Avant Garde"/>
          <w:b/>
        </w:rPr>
        <w:t xml:space="preserve">PROPIETARIO, RESPONSABLE, OCUPANTE Y/O ENCARGADO DEL INMUEBLE, ESTACIÓN, ESTUDIOS Y/O PLANTA TRANSMISORA, DONDE SE DETECTARON LAS INSTALACIONES DE LA ESTACIÓN DE RADIODIFUSIÓN, OPERANDO LA FRECUENCIA DE 97.3 MHz </w:t>
      </w:r>
      <w:r w:rsidR="00C61801" w:rsidRPr="0034602F">
        <w:rPr>
          <w:rFonts w:ascii="ITC Avant Garde" w:hAnsi="ITC Avant Garde"/>
          <w:b/>
        </w:rPr>
        <w:t>Y</w:t>
      </w:r>
      <w:r w:rsidR="0042045F" w:rsidRPr="0034602F">
        <w:rPr>
          <w:rFonts w:ascii="ITC Avant Garde" w:hAnsi="ITC Avant Garde"/>
          <w:b/>
        </w:rPr>
        <w:t>/O</w:t>
      </w:r>
      <w:r w:rsidR="00C61801" w:rsidRPr="0034602F">
        <w:rPr>
          <w:rFonts w:ascii="ITC Avant Garde" w:hAnsi="ITC Avant Garde"/>
          <w:b/>
        </w:rPr>
        <w:t xml:space="preserve"> </w:t>
      </w:r>
      <w:r w:rsidR="00244362">
        <w:rPr>
          <w:rFonts w:ascii="ITC Avant Garde" w:hAnsi="ITC Avant Garde"/>
          <w:b/>
          <w:bCs/>
          <w:color w:val="0000FF"/>
        </w:rPr>
        <w:t>“CONFIDENCIAL POR LEY”</w:t>
      </w:r>
      <w:r w:rsidR="00A01799" w:rsidRPr="0034602F">
        <w:rPr>
          <w:rFonts w:ascii="ITC Avant Garde" w:eastAsia="Times New Roman" w:hAnsi="ITC Avant Garde"/>
          <w:bCs/>
          <w:color w:val="000000"/>
          <w:lang w:eastAsia="es-MX"/>
        </w:rPr>
        <w:t xml:space="preserve"> </w:t>
      </w:r>
      <w:r w:rsidR="000166A6" w:rsidRPr="0034602F">
        <w:rPr>
          <w:rFonts w:ascii="ITC Avant Garde" w:eastAsia="Times New Roman" w:hAnsi="ITC Avant Garde"/>
          <w:bCs/>
          <w:color w:val="000000"/>
          <w:lang w:eastAsia="es-MX"/>
        </w:rPr>
        <w:t>por presumirse la infracción al artículo 66</w:t>
      </w:r>
      <w:r w:rsidR="00B8119C" w:rsidRPr="0034602F">
        <w:rPr>
          <w:rFonts w:ascii="ITC Avant Garde" w:eastAsia="Times New Roman" w:hAnsi="ITC Avant Garde"/>
          <w:bCs/>
          <w:color w:val="000000"/>
          <w:lang w:eastAsia="es-MX"/>
        </w:rPr>
        <w:t xml:space="preserve"> </w:t>
      </w:r>
      <w:r w:rsidR="00B8119C" w:rsidRPr="0034602F">
        <w:rPr>
          <w:rFonts w:ascii="ITC Avant Garde" w:hAnsi="ITC Avant Garde"/>
        </w:rPr>
        <w:t xml:space="preserve">en relación con el </w:t>
      </w:r>
      <w:r w:rsidR="00232142" w:rsidRPr="0034602F">
        <w:rPr>
          <w:rFonts w:ascii="ITC Avant Garde" w:hAnsi="ITC Avant Garde"/>
        </w:rPr>
        <w:t>75</w:t>
      </w:r>
      <w:r w:rsidR="000166A6" w:rsidRPr="0034602F">
        <w:rPr>
          <w:rFonts w:ascii="ITC Avant Garde" w:eastAsia="Times New Roman" w:hAnsi="ITC Avant Garde"/>
          <w:bCs/>
          <w:color w:val="000000"/>
          <w:lang w:eastAsia="es-MX"/>
        </w:rPr>
        <w:t xml:space="preserve"> y la actualización de la hipótesis normativa prevista en el artículo 305, </w:t>
      </w:r>
      <w:r w:rsidR="00B8119C" w:rsidRPr="0034602F">
        <w:rPr>
          <w:rFonts w:ascii="ITC Avant Garde" w:eastAsia="Times New Roman" w:hAnsi="ITC Avant Garde"/>
          <w:bCs/>
          <w:color w:val="000000"/>
          <w:lang w:eastAsia="es-MX"/>
        </w:rPr>
        <w:t>tod</w:t>
      </w:r>
      <w:r w:rsidR="000166A6" w:rsidRPr="0034602F">
        <w:rPr>
          <w:rFonts w:ascii="ITC Avant Garde" w:eastAsia="Times New Roman" w:hAnsi="ITC Avant Garde"/>
          <w:bCs/>
          <w:color w:val="000000"/>
          <w:lang w:eastAsia="es-MX"/>
        </w:rPr>
        <w:t xml:space="preserve">os de la </w:t>
      </w:r>
      <w:proofErr w:type="spellStart"/>
      <w:r w:rsidR="000166A6" w:rsidRPr="0034602F">
        <w:rPr>
          <w:rFonts w:ascii="ITC Avant Garde" w:eastAsia="Times New Roman" w:hAnsi="ITC Avant Garde"/>
          <w:b/>
          <w:bCs/>
          <w:color w:val="000000"/>
          <w:lang w:eastAsia="es-MX"/>
        </w:rPr>
        <w:t>LFTyR</w:t>
      </w:r>
      <w:proofErr w:type="spellEnd"/>
      <w:r w:rsidR="000166A6" w:rsidRPr="0034602F">
        <w:rPr>
          <w:rFonts w:ascii="ITC Avant Garde" w:eastAsia="Times New Roman" w:hAnsi="ITC Avant Garde"/>
          <w:bCs/>
          <w:color w:val="000000"/>
          <w:lang w:eastAsia="es-MX"/>
        </w:rPr>
        <w:t xml:space="preserve">, ya que </w:t>
      </w:r>
      <w:r w:rsidR="008467B6" w:rsidRPr="0034602F">
        <w:rPr>
          <w:rFonts w:ascii="ITC Avant Garde" w:eastAsia="Times New Roman" w:hAnsi="ITC Avant Garde"/>
          <w:bCs/>
          <w:color w:val="000000"/>
          <w:lang w:eastAsia="es-MX"/>
        </w:rPr>
        <w:t xml:space="preserve">se estimó que </w:t>
      </w:r>
      <w:r w:rsidR="000166A6" w:rsidRPr="0034602F">
        <w:rPr>
          <w:rFonts w:ascii="ITC Avant Garde" w:eastAsia="Times New Roman" w:hAnsi="ITC Avant Garde"/>
          <w:bCs/>
          <w:color w:val="000000"/>
          <w:lang w:eastAsia="es-MX"/>
        </w:rPr>
        <w:t xml:space="preserve">de la propuesta </w:t>
      </w:r>
      <w:r w:rsidR="004F3596" w:rsidRPr="0034602F">
        <w:rPr>
          <w:rFonts w:ascii="ITC Avant Garde" w:eastAsia="Times New Roman" w:hAnsi="ITC Avant Garde"/>
          <w:bCs/>
          <w:color w:val="000000"/>
          <w:lang w:eastAsia="es-MX"/>
        </w:rPr>
        <w:t xml:space="preserve">de la </w:t>
      </w:r>
      <w:r w:rsidR="004F3596" w:rsidRPr="0034602F">
        <w:rPr>
          <w:rFonts w:ascii="ITC Avant Garde" w:hAnsi="ITC Avant Garde"/>
          <w:b/>
        </w:rPr>
        <w:t>DGV</w:t>
      </w:r>
      <w:r w:rsidR="004F3596" w:rsidRPr="0034602F">
        <w:rPr>
          <w:rFonts w:ascii="ITC Avant Garde" w:hAnsi="ITC Avant Garde"/>
          <w:color w:val="000000"/>
        </w:rPr>
        <w:t>,</w:t>
      </w:r>
      <w:r w:rsidR="004F3596" w:rsidRPr="0034602F">
        <w:rPr>
          <w:rFonts w:ascii="ITC Avant Garde" w:eastAsia="Times New Roman" w:hAnsi="ITC Avant Garde"/>
          <w:bCs/>
          <w:color w:val="000000"/>
          <w:lang w:eastAsia="es-MX"/>
        </w:rPr>
        <w:t xml:space="preserve"> </w:t>
      </w:r>
      <w:r w:rsidR="000166A6" w:rsidRPr="0034602F">
        <w:rPr>
          <w:rFonts w:ascii="ITC Avant Garde" w:eastAsia="Times New Roman" w:hAnsi="ITC Avant Garde"/>
          <w:bCs/>
          <w:color w:val="000000"/>
          <w:lang w:eastAsia="es-MX"/>
        </w:rPr>
        <w:t xml:space="preserve">se </w:t>
      </w:r>
      <w:r w:rsidR="008467B6" w:rsidRPr="0034602F">
        <w:rPr>
          <w:rFonts w:ascii="ITC Avant Garde" w:eastAsia="Times New Roman" w:hAnsi="ITC Avant Garde"/>
          <w:bCs/>
          <w:color w:val="000000"/>
          <w:lang w:eastAsia="es-MX"/>
        </w:rPr>
        <w:t xml:space="preserve">desprendían </w:t>
      </w:r>
      <w:r w:rsidR="000166A6" w:rsidRPr="0034602F">
        <w:rPr>
          <w:rFonts w:ascii="ITC Avant Garde" w:eastAsia="Times New Roman" w:hAnsi="ITC Avant Garde"/>
          <w:bCs/>
          <w:color w:val="000000"/>
          <w:lang w:eastAsia="es-MX"/>
        </w:rPr>
        <w:t xml:space="preserve">elementos suficientes para </w:t>
      </w:r>
      <w:r w:rsidR="0087347E" w:rsidRPr="0034602F">
        <w:rPr>
          <w:rFonts w:ascii="ITC Avant Garde" w:eastAsia="Times New Roman" w:hAnsi="ITC Avant Garde"/>
          <w:bCs/>
          <w:color w:val="000000"/>
          <w:lang w:eastAsia="es-MX"/>
        </w:rPr>
        <w:t>presumir</w:t>
      </w:r>
      <w:r w:rsidR="000166A6" w:rsidRPr="0034602F">
        <w:rPr>
          <w:rFonts w:ascii="ITC Avant Garde" w:eastAsia="Times New Roman" w:hAnsi="ITC Avant Garde"/>
          <w:bCs/>
          <w:color w:val="000000"/>
          <w:lang w:eastAsia="es-MX"/>
        </w:rPr>
        <w:t xml:space="preserve"> la </w:t>
      </w:r>
      <w:r w:rsidR="00CE5B03" w:rsidRPr="0034602F">
        <w:rPr>
          <w:rFonts w:ascii="ITC Avant Garde" w:eastAsia="Times New Roman" w:hAnsi="ITC Avant Garde"/>
          <w:bCs/>
          <w:color w:val="000000"/>
          <w:lang w:eastAsia="es-MX"/>
        </w:rPr>
        <w:t>presta</w:t>
      </w:r>
      <w:r w:rsidR="000166A6" w:rsidRPr="0034602F">
        <w:rPr>
          <w:rFonts w:ascii="ITC Avant Garde" w:eastAsia="Times New Roman" w:hAnsi="ITC Avant Garde"/>
          <w:bCs/>
          <w:color w:val="000000"/>
          <w:lang w:eastAsia="es-MX"/>
        </w:rPr>
        <w:t>ción d</w:t>
      </w:r>
      <w:r w:rsidR="00CE5B03" w:rsidRPr="0034602F">
        <w:rPr>
          <w:rFonts w:ascii="ITC Avant Garde" w:eastAsia="Times New Roman" w:hAnsi="ITC Avant Garde"/>
          <w:bCs/>
          <w:color w:val="000000"/>
          <w:lang w:eastAsia="es-MX"/>
        </w:rPr>
        <w:t xml:space="preserve">el servicio de radiodifusión </w:t>
      </w:r>
      <w:r w:rsidR="000166A6" w:rsidRPr="0034602F">
        <w:rPr>
          <w:rFonts w:ascii="ITC Avant Garde" w:eastAsia="Times New Roman" w:hAnsi="ITC Avant Garde"/>
          <w:bCs/>
          <w:color w:val="000000"/>
          <w:lang w:eastAsia="es-MX"/>
        </w:rPr>
        <w:t xml:space="preserve">a través de la operación, uso y explotación de una vía general de comunicación (espectro radioeléctrico) consistente en la </w:t>
      </w:r>
      <w:r w:rsidR="00CE5B03" w:rsidRPr="0034602F">
        <w:rPr>
          <w:rFonts w:ascii="ITC Avant Garde" w:hAnsi="ITC Avant Garde"/>
        </w:rPr>
        <w:t>frecuencia</w:t>
      </w:r>
      <w:r w:rsidR="004F3596" w:rsidRPr="0034602F">
        <w:rPr>
          <w:rFonts w:ascii="ITC Avant Garde" w:hAnsi="ITC Avant Garde"/>
          <w:b/>
        </w:rPr>
        <w:t xml:space="preserve"> </w:t>
      </w:r>
      <w:r w:rsidR="00152098" w:rsidRPr="0034602F">
        <w:rPr>
          <w:rFonts w:ascii="ITC Avant Garde" w:hAnsi="ITC Avant Garde"/>
          <w:b/>
        </w:rPr>
        <w:t>97.3</w:t>
      </w:r>
      <w:r w:rsidR="004C0C2C" w:rsidRPr="0034602F">
        <w:rPr>
          <w:rFonts w:ascii="ITC Avant Garde" w:hAnsi="ITC Avant Garde"/>
          <w:b/>
        </w:rPr>
        <w:t xml:space="preserve"> </w:t>
      </w:r>
      <w:r w:rsidR="00041D1C" w:rsidRPr="0034602F">
        <w:rPr>
          <w:rFonts w:ascii="ITC Avant Garde" w:hAnsi="ITC Avant Garde"/>
          <w:b/>
        </w:rPr>
        <w:t>MHz</w:t>
      </w:r>
      <w:r w:rsidR="004F3596" w:rsidRPr="0034602F">
        <w:rPr>
          <w:rFonts w:ascii="ITC Avant Garde" w:eastAsia="Times New Roman" w:hAnsi="ITC Avant Garde"/>
          <w:bCs/>
          <w:color w:val="000000"/>
          <w:lang w:eastAsia="es-MX"/>
        </w:rPr>
        <w:t xml:space="preserve"> </w:t>
      </w:r>
      <w:r w:rsidR="000166A6" w:rsidRPr="0034602F">
        <w:rPr>
          <w:rFonts w:ascii="ITC Avant Garde" w:eastAsia="Times New Roman" w:hAnsi="ITC Avant Garde"/>
          <w:bCs/>
          <w:color w:val="000000"/>
          <w:lang w:eastAsia="es-MX"/>
        </w:rPr>
        <w:t>por parte de</w:t>
      </w:r>
      <w:r w:rsidR="00760751" w:rsidRPr="0034602F">
        <w:rPr>
          <w:rFonts w:ascii="ITC Avant Garde" w:eastAsia="Times New Roman" w:hAnsi="ITC Avant Garde"/>
          <w:bCs/>
          <w:color w:val="000000"/>
          <w:lang w:eastAsia="es-MX"/>
        </w:rPr>
        <w:t>l</w:t>
      </w:r>
      <w:r w:rsidR="000166A6" w:rsidRPr="0034602F">
        <w:rPr>
          <w:rFonts w:ascii="ITC Avant Garde" w:eastAsia="Times New Roman" w:hAnsi="ITC Avant Garde"/>
          <w:bCs/>
          <w:color w:val="000000"/>
          <w:lang w:eastAsia="es-MX"/>
        </w:rPr>
        <w:t xml:space="preserve"> </w:t>
      </w:r>
      <w:r w:rsidR="008467B6" w:rsidRPr="0034602F">
        <w:rPr>
          <w:rFonts w:ascii="ITC Avant Garde" w:hAnsi="ITC Avant Garde"/>
          <w:b/>
        </w:rPr>
        <w:t>PRESUNTO RESPONSABLE</w:t>
      </w:r>
      <w:r w:rsidR="00760751" w:rsidRPr="0034602F">
        <w:rPr>
          <w:rFonts w:ascii="ITC Avant Garde" w:eastAsia="Times New Roman" w:hAnsi="ITC Avant Garde"/>
          <w:bCs/>
          <w:color w:val="000000"/>
          <w:lang w:eastAsia="es-MX"/>
        </w:rPr>
        <w:t>,</w:t>
      </w:r>
      <w:r w:rsidR="000166A6" w:rsidRPr="0034602F">
        <w:rPr>
          <w:rFonts w:ascii="ITC Avant Garde" w:eastAsia="Times New Roman" w:hAnsi="ITC Avant Garde"/>
          <w:bCs/>
          <w:color w:val="000000"/>
          <w:lang w:eastAsia="es-MX"/>
        </w:rPr>
        <w:t xml:space="preserve"> </w:t>
      </w:r>
      <w:r w:rsidR="00CE5B03" w:rsidRPr="0034602F">
        <w:rPr>
          <w:rFonts w:ascii="ITC Avant Garde" w:eastAsia="Times New Roman" w:hAnsi="ITC Avant Garde"/>
          <w:bCs/>
          <w:color w:val="000000"/>
          <w:lang w:eastAsia="es-MX"/>
        </w:rPr>
        <w:t>sin contar con la concesión, permiso o autorización correspondiente, de conformidad con lo establecido en</w:t>
      </w:r>
      <w:r w:rsidR="000166A6" w:rsidRPr="0034602F">
        <w:rPr>
          <w:rFonts w:ascii="ITC Avant Garde" w:eastAsia="Times New Roman" w:hAnsi="ITC Avant Garde"/>
          <w:bCs/>
          <w:color w:val="000000"/>
          <w:lang w:eastAsia="es-MX"/>
        </w:rPr>
        <w:t xml:space="preserve"> la</w:t>
      </w:r>
      <w:r w:rsidR="00CE5B03" w:rsidRPr="0034602F">
        <w:rPr>
          <w:rFonts w:ascii="ITC Avant Garde" w:eastAsia="Times New Roman" w:hAnsi="ITC Avant Garde"/>
          <w:bCs/>
          <w:color w:val="000000"/>
          <w:lang w:eastAsia="es-MX"/>
        </w:rPr>
        <w:t xml:space="preserve"> </w:t>
      </w:r>
      <w:proofErr w:type="spellStart"/>
      <w:r w:rsidR="00CE5B03" w:rsidRPr="0034602F">
        <w:rPr>
          <w:rFonts w:ascii="ITC Avant Garde" w:eastAsia="Times New Roman" w:hAnsi="ITC Avant Garde"/>
          <w:b/>
          <w:bCs/>
          <w:color w:val="000000"/>
          <w:lang w:eastAsia="es-MX"/>
        </w:rPr>
        <w:t>LFTyR</w:t>
      </w:r>
      <w:proofErr w:type="spellEnd"/>
      <w:r w:rsidR="00CE5B03" w:rsidRPr="0034602F">
        <w:rPr>
          <w:rFonts w:ascii="ITC Avant Garde" w:eastAsia="Times New Roman" w:hAnsi="ITC Avant Garde"/>
          <w:bCs/>
          <w:color w:val="000000"/>
          <w:lang w:eastAsia="es-MX"/>
        </w:rPr>
        <w:t>.</w:t>
      </w:r>
    </w:p>
    <w:p w14:paraId="15BD2147" w14:textId="392E4384" w:rsidR="003C5E62" w:rsidRPr="0034602F" w:rsidRDefault="00364388" w:rsidP="00583167">
      <w:pPr>
        <w:pStyle w:val="Textoindependiente"/>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
          <w:bCs/>
          <w:color w:val="000000"/>
          <w:lang w:eastAsia="es-MX"/>
        </w:rPr>
        <w:lastRenderedPageBreak/>
        <w:t>DÉCIMO</w:t>
      </w:r>
      <w:r w:rsidR="00B3425C" w:rsidRPr="0034602F">
        <w:rPr>
          <w:rFonts w:ascii="ITC Avant Garde" w:eastAsia="Times New Roman" w:hAnsi="ITC Avant Garde"/>
          <w:b/>
          <w:bCs/>
          <w:color w:val="000000"/>
          <w:lang w:eastAsia="es-MX"/>
        </w:rPr>
        <w:t xml:space="preserve"> </w:t>
      </w:r>
      <w:r w:rsidR="00DC49BE" w:rsidRPr="0034602F">
        <w:rPr>
          <w:rFonts w:ascii="ITC Avant Garde" w:eastAsia="Times New Roman" w:hAnsi="ITC Avant Garde"/>
          <w:b/>
          <w:bCs/>
          <w:color w:val="000000"/>
          <w:lang w:eastAsia="es-MX"/>
        </w:rPr>
        <w:t>PRIMERO</w:t>
      </w:r>
      <w:r w:rsidR="004F3596" w:rsidRPr="0034602F">
        <w:rPr>
          <w:rFonts w:ascii="ITC Avant Garde" w:eastAsia="Times New Roman" w:hAnsi="ITC Avant Garde"/>
          <w:b/>
          <w:bCs/>
          <w:color w:val="000000"/>
          <w:lang w:eastAsia="es-MX"/>
        </w:rPr>
        <w:t>.</w:t>
      </w:r>
      <w:r w:rsidR="00BD453C" w:rsidRPr="0034602F">
        <w:rPr>
          <w:rFonts w:ascii="ITC Avant Garde" w:eastAsia="Times New Roman" w:hAnsi="ITC Avant Garde"/>
          <w:b/>
          <w:bCs/>
          <w:color w:val="000000"/>
          <w:lang w:eastAsia="es-MX"/>
        </w:rPr>
        <w:t xml:space="preserve"> </w:t>
      </w:r>
      <w:r w:rsidR="00BD453C" w:rsidRPr="0034602F">
        <w:rPr>
          <w:rFonts w:ascii="ITC Avant Garde" w:eastAsia="Times New Roman" w:hAnsi="ITC Avant Garde"/>
          <w:bCs/>
          <w:color w:val="000000"/>
          <w:lang w:eastAsia="es-MX"/>
        </w:rPr>
        <w:t xml:space="preserve">Previo citatorio que fue dejado el día </w:t>
      </w:r>
      <w:r w:rsidR="004C33BF" w:rsidRPr="0034602F">
        <w:rPr>
          <w:rFonts w:ascii="ITC Avant Garde" w:eastAsia="Times New Roman" w:hAnsi="ITC Avant Garde"/>
          <w:bCs/>
          <w:color w:val="000000"/>
          <w:lang w:eastAsia="es-MX"/>
        </w:rPr>
        <w:t xml:space="preserve">veintitrés de enero de dos mil diecisiete, el veinticuatro de enero siguiente se notificó al  </w:t>
      </w:r>
      <w:r w:rsidR="004C33BF" w:rsidRPr="0034602F">
        <w:rPr>
          <w:rFonts w:ascii="ITC Avant Garde" w:eastAsia="Times New Roman" w:hAnsi="ITC Avant Garde"/>
          <w:b/>
          <w:bCs/>
          <w:color w:val="000000"/>
          <w:lang w:eastAsia="es-MX"/>
        </w:rPr>
        <w:t xml:space="preserve">PROPIETARIO Y/O POSEEDOR Y/O RESPONSABLE Y/O ENCARGADO DEL INMUEBLE Y/O DE LAS INSTALACIONES Y EQUIPOS DE RADIODIFUSIÓN LOCALIZADOS EN EL INMUEBLE UBICADO EN </w:t>
      </w:r>
      <w:r w:rsidR="00AB5731">
        <w:rPr>
          <w:rFonts w:ascii="ITC Avant Garde" w:hAnsi="ITC Avant Garde"/>
          <w:b/>
          <w:bCs/>
          <w:color w:val="0000FF"/>
        </w:rPr>
        <w:t>“CONFIDENCIAL POR LEY”</w:t>
      </w:r>
      <w:r w:rsidR="004C33BF" w:rsidRPr="0034602F">
        <w:rPr>
          <w:rFonts w:ascii="ITC Avant Garde" w:eastAsia="Times New Roman" w:hAnsi="ITC Avant Garde"/>
          <w:b/>
          <w:bCs/>
          <w:color w:val="000000"/>
          <w:lang w:eastAsia="es-MX"/>
        </w:rPr>
        <w:t xml:space="preserve"> DELEGACIÓN TLALPAN, EN LA CIUDAD DE MÉXICO, DONDE SE DETECTARON LAS INSTALACIONES DE LA ESTACIÓN DE RADIODIFUSIÓN, OPERANDO LA FRECUENCIA DE 97.3 MHz</w:t>
      </w:r>
      <w:r w:rsidR="004C33BF" w:rsidRPr="0034602F">
        <w:rPr>
          <w:rFonts w:ascii="ITC Avant Garde" w:eastAsia="Times New Roman" w:hAnsi="ITC Avant Garde"/>
          <w:bCs/>
          <w:color w:val="000000"/>
          <w:lang w:eastAsia="es-MX"/>
        </w:rPr>
        <w:t xml:space="preserve">, el inicio del procedimiento sancionatorio en el cual se concedió un plazo de quince días para que en uso del beneficio de la garantía de audiencia consagrada en los artículos 14 y 16 de la Constitución Política de los Estados Unidos Mexicanos (en adelante “CPEUM”) y 72 de la LFPA de aplicación supletoria en términos del artículo 6, fracción IV, de la </w:t>
      </w:r>
      <w:proofErr w:type="spellStart"/>
      <w:r w:rsidR="004C33BF" w:rsidRPr="0034602F">
        <w:rPr>
          <w:rFonts w:ascii="ITC Avant Garde" w:eastAsia="Times New Roman" w:hAnsi="ITC Avant Garde"/>
          <w:bCs/>
          <w:color w:val="000000"/>
          <w:lang w:eastAsia="es-MX"/>
        </w:rPr>
        <w:t>LFTyR</w:t>
      </w:r>
      <w:proofErr w:type="spellEnd"/>
      <w:r w:rsidR="004C33BF" w:rsidRPr="0034602F">
        <w:rPr>
          <w:rFonts w:ascii="ITC Avant Garde" w:eastAsia="Times New Roman" w:hAnsi="ITC Avant Garde"/>
          <w:bCs/>
          <w:color w:val="000000"/>
          <w:lang w:eastAsia="es-MX"/>
        </w:rPr>
        <w:t>, expusiera lo que a su derecho conviniera y, en su caso, aportara las pruebas con que contara.</w:t>
      </w:r>
    </w:p>
    <w:p w14:paraId="3E4E8A99" w14:textId="54513C79" w:rsidR="003C5E62" w:rsidRPr="0034602F" w:rsidRDefault="004C33BF" w:rsidP="00583167">
      <w:pPr>
        <w:pStyle w:val="Textoindependiente"/>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El termino concedido al PROPIETARIO Y/O POSEEDOR Y/O RESPONSABLE Y/O ENCARGADO DEL INMUEBLE Y/O DE LAS INSTALACIONES Y EQUIPOS DE RADIODIFUSIÓN LOCALIZADOS EN EL INMUEBLE UBICADO EN </w:t>
      </w:r>
      <w:r w:rsidR="00AB5731">
        <w:rPr>
          <w:rFonts w:ascii="ITC Avant Garde" w:hAnsi="ITC Avant Garde"/>
          <w:b/>
          <w:bCs/>
          <w:color w:val="0000FF"/>
        </w:rPr>
        <w:t>“CONFIDENCIAL POR LEY”</w:t>
      </w:r>
      <w:r w:rsidRPr="0034602F">
        <w:rPr>
          <w:rFonts w:ascii="ITC Avant Garde" w:eastAsia="Times New Roman" w:hAnsi="ITC Avant Garde"/>
          <w:bCs/>
          <w:color w:val="000000"/>
          <w:lang w:eastAsia="es-MX"/>
        </w:rPr>
        <w:t xml:space="preserve">, DELEGACIÓN TLALPAN, EN LA CIUDAD DE MÉXICO, DONDE SE DETECTARON LAS INSTALACIONES DE LA ESTACIÓN DE RADIODIFUSIÓN, OPERANDO LA FRECUENCIA DE 97.3 MHz, en el acuerdo de inicio para presentar manifestaciones y pruebas transcurrió del veinticinco de enero de dos mil diecisiete al  quince de febrero de dos mil diecisiete, sin considerar los días </w:t>
      </w:r>
      <w:r w:rsidR="00434B74" w:rsidRPr="0034602F">
        <w:rPr>
          <w:rFonts w:ascii="ITC Avant Garde" w:eastAsia="Times New Roman" w:hAnsi="ITC Avant Garde"/>
          <w:bCs/>
          <w:color w:val="000000"/>
          <w:lang w:eastAsia="es-MX"/>
        </w:rPr>
        <w:t>veintiocho y veintinueve de enero; cuatro, cinco, once y doce de febrero, así como el seis de febrero todos de dos mil diecisiete</w:t>
      </w:r>
      <w:r w:rsidRPr="0034602F">
        <w:rPr>
          <w:rFonts w:ascii="ITC Avant Garde" w:eastAsia="Times New Roman" w:hAnsi="ITC Avant Garde"/>
          <w:bCs/>
          <w:color w:val="000000"/>
          <w:lang w:eastAsia="es-MX"/>
        </w:rPr>
        <w:t xml:space="preserve"> todos de dos mil diecisiete, por ser sábados, domingos y día inhábil, en términos del artículo 28 de la Ley Federal de Procedimiento Administrativo y del “ACUERDO mediante el cual el Pleno del Instituto Federal de Telecomunicaciones aprueba su calendario anual de sesiones ordinarias y el calendario anual de labores para el año 2017 y principios de 2018”.</w:t>
      </w:r>
    </w:p>
    <w:p w14:paraId="7897021A" w14:textId="77777777" w:rsidR="00AB5731" w:rsidRDefault="004C33BF" w:rsidP="00583167">
      <w:pPr>
        <w:pStyle w:val="Textoindependiente"/>
        <w:spacing w:before="240" w:after="240" w:line="360" w:lineRule="auto"/>
        <w:jc w:val="both"/>
        <w:rPr>
          <w:rFonts w:ascii="ITC Avant Garde" w:eastAsia="Times New Roman" w:hAnsi="ITC Avant Garde"/>
          <w:bCs/>
          <w:color w:val="000000"/>
          <w:lang w:eastAsia="es-MX"/>
        </w:rPr>
        <w:sectPr w:rsidR="00AB5731" w:rsidSect="006345CE">
          <w:headerReference w:type="default" r:id="rId20"/>
          <w:pgSz w:w="12240" w:h="15840"/>
          <w:pgMar w:top="426" w:right="1418" w:bottom="1418" w:left="1418" w:header="709" w:footer="420" w:gutter="0"/>
          <w:cols w:space="708"/>
          <w:docGrid w:linePitch="360"/>
        </w:sectPr>
      </w:pPr>
      <w:r w:rsidRPr="0034602F">
        <w:rPr>
          <w:rFonts w:ascii="ITC Avant Garde" w:eastAsia="Times New Roman" w:hAnsi="ITC Avant Garde"/>
          <w:bCs/>
          <w:color w:val="000000"/>
          <w:lang w:eastAsia="es-MX"/>
        </w:rPr>
        <w:t xml:space="preserve">En tanto que, previo citatorio de </w:t>
      </w:r>
      <w:r w:rsidR="00531921" w:rsidRPr="0034602F">
        <w:rPr>
          <w:rFonts w:ascii="ITC Avant Garde" w:eastAsia="Times New Roman" w:hAnsi="ITC Avant Garde"/>
          <w:bCs/>
          <w:color w:val="000000"/>
          <w:lang w:eastAsia="es-MX"/>
        </w:rPr>
        <w:t>veinticuatro</w:t>
      </w:r>
      <w:r w:rsidR="00B3425C" w:rsidRPr="0034602F">
        <w:rPr>
          <w:rFonts w:ascii="ITC Avant Garde" w:eastAsia="Times New Roman" w:hAnsi="ITC Avant Garde"/>
          <w:bCs/>
          <w:color w:val="000000"/>
          <w:lang w:eastAsia="es-MX"/>
        </w:rPr>
        <w:t xml:space="preserve"> de enero de dos mil diecisiete</w:t>
      </w:r>
      <w:r w:rsidR="00BD453C" w:rsidRPr="0034602F">
        <w:rPr>
          <w:rFonts w:ascii="ITC Avant Garde" w:eastAsia="Times New Roman" w:hAnsi="ITC Avant Garde"/>
          <w:bCs/>
          <w:color w:val="000000"/>
          <w:lang w:eastAsia="es-MX"/>
        </w:rPr>
        <w:t>,</w:t>
      </w:r>
      <w:r w:rsidR="004F3596" w:rsidRPr="0034602F">
        <w:rPr>
          <w:rFonts w:ascii="ITC Avant Garde" w:eastAsia="Times New Roman" w:hAnsi="ITC Avant Garde"/>
          <w:bCs/>
          <w:color w:val="000000"/>
          <w:lang w:eastAsia="es-MX"/>
        </w:rPr>
        <w:t xml:space="preserve"> </w:t>
      </w:r>
      <w:r w:rsidR="008467B6" w:rsidRPr="0034602F">
        <w:rPr>
          <w:rFonts w:ascii="ITC Avant Garde" w:eastAsia="Times New Roman" w:hAnsi="ITC Avant Garde"/>
          <w:bCs/>
          <w:color w:val="000000"/>
          <w:lang w:eastAsia="es-MX"/>
        </w:rPr>
        <w:t>el</w:t>
      </w:r>
      <w:r w:rsidR="006048D0" w:rsidRPr="0034602F">
        <w:rPr>
          <w:rFonts w:ascii="ITC Avant Garde" w:eastAsia="Times New Roman" w:hAnsi="ITC Avant Garde"/>
          <w:bCs/>
          <w:color w:val="000000"/>
          <w:lang w:eastAsia="es-MX"/>
        </w:rPr>
        <w:t xml:space="preserve"> </w:t>
      </w:r>
      <w:r w:rsidR="00531921" w:rsidRPr="0034602F">
        <w:rPr>
          <w:rFonts w:ascii="ITC Avant Garde" w:eastAsia="Times New Roman" w:hAnsi="ITC Avant Garde"/>
          <w:bCs/>
          <w:color w:val="000000"/>
          <w:lang w:eastAsia="es-MX"/>
        </w:rPr>
        <w:t>veinticinco</w:t>
      </w:r>
      <w:r w:rsidR="00A02A67" w:rsidRPr="0034602F">
        <w:rPr>
          <w:rFonts w:ascii="ITC Avant Garde" w:eastAsia="Times New Roman" w:hAnsi="ITC Avant Garde"/>
          <w:bCs/>
          <w:color w:val="000000"/>
          <w:lang w:eastAsia="es-MX"/>
        </w:rPr>
        <w:t xml:space="preserve"> </w:t>
      </w:r>
      <w:r w:rsidR="00531921" w:rsidRPr="0034602F">
        <w:rPr>
          <w:rFonts w:ascii="ITC Avant Garde" w:eastAsia="Times New Roman" w:hAnsi="ITC Avant Garde"/>
          <w:bCs/>
          <w:color w:val="000000"/>
          <w:lang w:eastAsia="es-MX"/>
        </w:rPr>
        <w:t>de enero</w:t>
      </w:r>
      <w:r w:rsidR="00A02A67" w:rsidRPr="0034602F">
        <w:rPr>
          <w:rFonts w:ascii="ITC Avant Garde" w:eastAsia="Times New Roman" w:hAnsi="ITC Avant Garde"/>
          <w:bCs/>
          <w:color w:val="000000"/>
          <w:lang w:eastAsia="es-MX"/>
        </w:rPr>
        <w:t xml:space="preserve"> siguiente</w:t>
      </w:r>
      <w:r w:rsidR="006048D0" w:rsidRPr="0034602F">
        <w:rPr>
          <w:rFonts w:ascii="ITC Avant Garde" w:eastAsia="Times New Roman" w:hAnsi="ITC Avant Garde"/>
          <w:bCs/>
          <w:color w:val="000000"/>
          <w:lang w:eastAsia="es-MX"/>
        </w:rPr>
        <w:t xml:space="preserve">, </w:t>
      </w:r>
      <w:r w:rsidR="005F05DE" w:rsidRPr="0034602F">
        <w:rPr>
          <w:rFonts w:ascii="ITC Avant Garde" w:eastAsia="Times New Roman" w:hAnsi="ITC Avant Garde"/>
          <w:bCs/>
          <w:color w:val="000000"/>
          <w:lang w:eastAsia="es-MX"/>
        </w:rPr>
        <w:t>se notific</w:t>
      </w:r>
      <w:r w:rsidR="00051CBC" w:rsidRPr="0034602F">
        <w:rPr>
          <w:rFonts w:ascii="ITC Avant Garde" w:eastAsia="Times New Roman" w:hAnsi="ITC Avant Garde"/>
          <w:bCs/>
          <w:color w:val="000000"/>
          <w:lang w:eastAsia="es-MX"/>
        </w:rPr>
        <w:t>ó</w:t>
      </w:r>
      <w:r w:rsidR="005F05DE" w:rsidRPr="0034602F">
        <w:rPr>
          <w:rFonts w:ascii="ITC Avant Garde" w:eastAsia="Times New Roman" w:hAnsi="ITC Avant Garde"/>
          <w:bCs/>
          <w:color w:val="000000"/>
          <w:lang w:eastAsia="es-MX"/>
        </w:rPr>
        <w:t xml:space="preserve"> </w:t>
      </w:r>
      <w:r w:rsidRPr="0034602F">
        <w:rPr>
          <w:rFonts w:ascii="ITC Avant Garde" w:eastAsia="Times New Roman" w:hAnsi="ITC Avant Garde"/>
          <w:bCs/>
          <w:color w:val="000000"/>
          <w:lang w:eastAsia="es-MX"/>
        </w:rPr>
        <w:t xml:space="preserve">a </w:t>
      </w:r>
      <w:r w:rsidR="00244362">
        <w:rPr>
          <w:rFonts w:ascii="ITC Avant Garde" w:hAnsi="ITC Avant Garde"/>
          <w:b/>
          <w:bCs/>
          <w:color w:val="0000FF"/>
        </w:rPr>
        <w:t>“CONFIDENCIAL POR LEY”</w:t>
      </w:r>
      <w:r w:rsidRPr="0034602F">
        <w:rPr>
          <w:rFonts w:ascii="ITC Avant Garde" w:eastAsia="Times New Roman" w:hAnsi="ITC Avant Garde"/>
          <w:bCs/>
          <w:color w:val="000000"/>
          <w:lang w:eastAsia="es-MX"/>
        </w:rPr>
        <w:t xml:space="preserve"> </w:t>
      </w:r>
      <w:r w:rsidR="005F05DE" w:rsidRPr="0034602F">
        <w:rPr>
          <w:rFonts w:ascii="ITC Avant Garde" w:eastAsia="Times New Roman" w:hAnsi="ITC Avant Garde"/>
          <w:bCs/>
          <w:color w:val="000000"/>
          <w:lang w:eastAsia="es-MX"/>
        </w:rPr>
        <w:t xml:space="preserve">el inicio del procedimiento sancionatorio </w:t>
      </w:r>
      <w:r w:rsidR="00191A94" w:rsidRPr="0034602F">
        <w:rPr>
          <w:rFonts w:ascii="ITC Avant Garde" w:eastAsia="Times New Roman" w:hAnsi="ITC Avant Garde"/>
          <w:bCs/>
          <w:color w:val="000000"/>
          <w:lang w:eastAsia="es-MX"/>
        </w:rPr>
        <w:t>en el cual se conced</w:t>
      </w:r>
      <w:r w:rsidR="00F12445" w:rsidRPr="0034602F">
        <w:rPr>
          <w:rFonts w:ascii="ITC Avant Garde" w:eastAsia="Times New Roman" w:hAnsi="ITC Avant Garde"/>
          <w:bCs/>
          <w:color w:val="000000"/>
          <w:lang w:eastAsia="es-MX"/>
        </w:rPr>
        <w:t>ió</w:t>
      </w:r>
      <w:r w:rsidR="009D1AEA" w:rsidRPr="0034602F">
        <w:rPr>
          <w:rFonts w:ascii="ITC Avant Garde" w:eastAsia="Times New Roman" w:hAnsi="ITC Avant Garde"/>
          <w:bCs/>
          <w:color w:val="000000"/>
          <w:lang w:eastAsia="es-MX"/>
        </w:rPr>
        <w:t xml:space="preserve"> </w:t>
      </w:r>
      <w:r w:rsidR="00CE5B03" w:rsidRPr="0034602F">
        <w:rPr>
          <w:rFonts w:ascii="ITC Avant Garde" w:eastAsia="Times New Roman" w:hAnsi="ITC Avant Garde"/>
          <w:bCs/>
          <w:color w:val="000000"/>
          <w:lang w:eastAsia="es-MX"/>
        </w:rPr>
        <w:t xml:space="preserve">un plazo de quince días para que en uso del </w:t>
      </w:r>
    </w:p>
    <w:p w14:paraId="22107E7B" w14:textId="12844D52" w:rsidR="003C5E62" w:rsidRPr="0034602F" w:rsidRDefault="00CE5B03" w:rsidP="00583167">
      <w:pPr>
        <w:pStyle w:val="Textoindependiente"/>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lastRenderedPageBreak/>
        <w:t xml:space="preserve">beneficio de la garantía de audiencia consagrada en los artículos 14 </w:t>
      </w:r>
      <w:r w:rsidR="007D4C61" w:rsidRPr="0034602F">
        <w:rPr>
          <w:rFonts w:ascii="ITC Avant Garde" w:eastAsia="Times New Roman" w:hAnsi="ITC Avant Garde"/>
          <w:bCs/>
          <w:color w:val="000000"/>
          <w:lang w:eastAsia="es-MX"/>
        </w:rPr>
        <w:t xml:space="preserve">y 16 </w:t>
      </w:r>
      <w:r w:rsidRPr="0034602F">
        <w:rPr>
          <w:rFonts w:ascii="ITC Avant Garde" w:eastAsia="Times New Roman" w:hAnsi="ITC Avant Garde"/>
          <w:bCs/>
          <w:color w:val="000000"/>
          <w:lang w:eastAsia="es-MX"/>
        </w:rPr>
        <w:t>de la Constitución Política de los Estados Unidos Mexicanos (</w:t>
      </w:r>
      <w:r w:rsidR="008467B6" w:rsidRPr="0034602F">
        <w:rPr>
          <w:rFonts w:ascii="ITC Avant Garde" w:eastAsia="Times New Roman" w:hAnsi="ITC Avant Garde"/>
          <w:bCs/>
          <w:color w:val="000000"/>
          <w:lang w:eastAsia="es-MX"/>
        </w:rPr>
        <w:t xml:space="preserve">en adelante </w:t>
      </w:r>
      <w:r w:rsidRPr="0034602F">
        <w:rPr>
          <w:rFonts w:ascii="ITC Avant Garde" w:eastAsia="Times New Roman" w:hAnsi="ITC Avant Garde"/>
          <w:b/>
          <w:bCs/>
          <w:color w:val="000000"/>
          <w:lang w:eastAsia="es-MX"/>
        </w:rPr>
        <w:t>“CPEUM”</w:t>
      </w:r>
      <w:r w:rsidRPr="0034602F">
        <w:rPr>
          <w:rFonts w:ascii="ITC Avant Garde" w:eastAsia="Times New Roman" w:hAnsi="ITC Avant Garde"/>
          <w:bCs/>
          <w:color w:val="000000"/>
          <w:lang w:eastAsia="es-MX"/>
        </w:rPr>
        <w:t>)</w:t>
      </w:r>
      <w:r w:rsidRPr="0034602F">
        <w:rPr>
          <w:rFonts w:ascii="ITC Avant Garde" w:eastAsia="Times New Roman" w:hAnsi="ITC Avant Garde"/>
          <w:b/>
          <w:bCs/>
          <w:color w:val="000000"/>
          <w:lang w:eastAsia="es-MX"/>
        </w:rPr>
        <w:t xml:space="preserve"> </w:t>
      </w:r>
      <w:r w:rsidRPr="0034602F">
        <w:rPr>
          <w:rFonts w:ascii="ITC Avant Garde" w:eastAsia="Times New Roman" w:hAnsi="ITC Avant Garde"/>
          <w:bCs/>
          <w:color w:val="000000"/>
          <w:lang w:eastAsia="es-MX"/>
        </w:rPr>
        <w:t xml:space="preserve">y 72 de la </w:t>
      </w:r>
      <w:r w:rsidRPr="0034602F">
        <w:rPr>
          <w:rFonts w:ascii="ITC Avant Garde" w:eastAsia="Times New Roman" w:hAnsi="ITC Avant Garde"/>
          <w:b/>
          <w:bCs/>
          <w:color w:val="000000"/>
          <w:lang w:eastAsia="es-MX"/>
        </w:rPr>
        <w:t>LFPA</w:t>
      </w:r>
      <w:r w:rsidRPr="0034602F">
        <w:rPr>
          <w:rFonts w:ascii="ITC Avant Garde" w:eastAsia="Times New Roman" w:hAnsi="ITC Avant Garde"/>
          <w:bCs/>
          <w:color w:val="000000"/>
          <w:lang w:eastAsia="es-MX"/>
        </w:rPr>
        <w:t xml:space="preserve"> de aplicación supletoria en términos del artículo 6, fracción IV</w:t>
      </w:r>
      <w:r w:rsidR="00FB0A36" w:rsidRPr="0034602F">
        <w:rPr>
          <w:rFonts w:ascii="ITC Avant Garde" w:eastAsia="Times New Roman" w:hAnsi="ITC Avant Garde"/>
          <w:bCs/>
          <w:color w:val="000000"/>
          <w:lang w:eastAsia="es-MX"/>
        </w:rPr>
        <w:t>,</w:t>
      </w:r>
      <w:r w:rsidRPr="0034602F">
        <w:rPr>
          <w:rFonts w:ascii="ITC Avant Garde" w:eastAsia="Times New Roman" w:hAnsi="ITC Avant Garde"/>
          <w:bCs/>
          <w:color w:val="000000"/>
          <w:lang w:eastAsia="es-MX"/>
        </w:rPr>
        <w:t xml:space="preserve">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expusiera lo que a su derecho conviniera y, en su caso</w:t>
      </w:r>
      <w:r w:rsidR="008467B6" w:rsidRPr="0034602F">
        <w:rPr>
          <w:rFonts w:ascii="ITC Avant Garde" w:eastAsia="Times New Roman" w:hAnsi="ITC Avant Garde"/>
          <w:bCs/>
          <w:color w:val="000000"/>
          <w:lang w:eastAsia="es-MX"/>
        </w:rPr>
        <w:t>,</w:t>
      </w:r>
      <w:r w:rsidRPr="0034602F">
        <w:rPr>
          <w:rFonts w:ascii="ITC Avant Garde" w:eastAsia="Times New Roman" w:hAnsi="ITC Avant Garde"/>
          <w:bCs/>
          <w:color w:val="000000"/>
          <w:lang w:eastAsia="es-MX"/>
        </w:rPr>
        <w:t xml:space="preserve"> aportara las pruebas con que contara</w:t>
      </w:r>
      <w:r w:rsidR="004F3596" w:rsidRPr="0034602F">
        <w:rPr>
          <w:rFonts w:ascii="ITC Avant Garde" w:eastAsia="Times New Roman" w:hAnsi="ITC Avant Garde"/>
          <w:bCs/>
          <w:color w:val="000000"/>
          <w:lang w:eastAsia="es-MX"/>
        </w:rPr>
        <w:t xml:space="preserve">. </w:t>
      </w:r>
    </w:p>
    <w:p w14:paraId="40CE2F9C" w14:textId="440A780F" w:rsidR="009476B9" w:rsidRPr="0034602F" w:rsidRDefault="004F3596" w:rsidP="00583167">
      <w:pPr>
        <w:spacing w:before="240" w:after="240" w:line="360" w:lineRule="auto"/>
        <w:jc w:val="both"/>
        <w:rPr>
          <w:rFonts w:ascii="ITC Avant Garde" w:hAnsi="ITC Avant Garde"/>
          <w:color w:val="222222"/>
          <w:shd w:val="clear" w:color="auto" w:fill="FFFFFF"/>
        </w:rPr>
      </w:pPr>
      <w:r w:rsidRPr="0034602F">
        <w:rPr>
          <w:rFonts w:ascii="ITC Avant Garde" w:eastAsia="Times New Roman" w:hAnsi="ITC Avant Garde"/>
          <w:bCs/>
          <w:color w:val="000000"/>
          <w:lang w:eastAsia="es-MX"/>
        </w:rPr>
        <w:t>El término concedido</w:t>
      </w:r>
      <w:r w:rsidR="00CE5B03" w:rsidRPr="0034602F">
        <w:rPr>
          <w:rFonts w:ascii="ITC Avant Garde" w:eastAsia="Times New Roman" w:hAnsi="ITC Avant Garde"/>
          <w:bCs/>
          <w:color w:val="000000"/>
          <w:lang w:eastAsia="es-MX"/>
        </w:rPr>
        <w:t xml:space="preserve"> </w:t>
      </w:r>
      <w:r w:rsidR="0047731F" w:rsidRPr="0034602F">
        <w:rPr>
          <w:rFonts w:ascii="ITC Avant Garde" w:eastAsia="Times New Roman" w:hAnsi="ITC Avant Garde"/>
          <w:bCs/>
          <w:color w:val="000000"/>
          <w:lang w:eastAsia="es-MX"/>
        </w:rPr>
        <w:t>a</w:t>
      </w:r>
      <w:r w:rsidR="00434B74" w:rsidRPr="0034602F">
        <w:rPr>
          <w:rFonts w:ascii="ITC Avant Garde" w:eastAsia="Times New Roman" w:hAnsi="ITC Avant Garde"/>
          <w:bCs/>
          <w:color w:val="000000"/>
          <w:lang w:eastAsia="es-MX"/>
        </w:rPr>
        <w:t xml:space="preserve"> </w:t>
      </w:r>
      <w:r w:rsidR="00244362">
        <w:rPr>
          <w:rFonts w:ascii="ITC Avant Garde" w:hAnsi="ITC Avant Garde"/>
          <w:b/>
          <w:bCs/>
          <w:color w:val="0000FF"/>
        </w:rPr>
        <w:t>“CONFIDENCIAL POR LEY”</w:t>
      </w:r>
      <w:r w:rsidR="00434B74" w:rsidRPr="0034602F">
        <w:rPr>
          <w:rFonts w:ascii="ITC Avant Garde" w:hAnsi="ITC Avant Garde"/>
          <w:b/>
        </w:rPr>
        <w:t xml:space="preserve"> </w:t>
      </w:r>
      <w:r w:rsidR="00302C6A" w:rsidRPr="0034602F">
        <w:rPr>
          <w:rFonts w:ascii="ITC Avant Garde" w:eastAsia="Times New Roman" w:hAnsi="ITC Avant Garde"/>
          <w:bCs/>
          <w:color w:val="000000"/>
          <w:lang w:eastAsia="es-MX"/>
        </w:rPr>
        <w:t>en el acuerdo de inicio</w:t>
      </w:r>
      <w:r w:rsidRPr="0034602F">
        <w:rPr>
          <w:rFonts w:ascii="ITC Avant Garde" w:eastAsia="Times New Roman" w:hAnsi="ITC Avant Garde"/>
          <w:bCs/>
          <w:color w:val="000000"/>
          <w:lang w:eastAsia="es-MX"/>
        </w:rPr>
        <w:t xml:space="preserve"> </w:t>
      </w:r>
      <w:r w:rsidR="00CE5B03" w:rsidRPr="0034602F">
        <w:rPr>
          <w:rFonts w:ascii="ITC Avant Garde" w:eastAsia="Times New Roman" w:hAnsi="ITC Avant Garde"/>
          <w:bCs/>
          <w:color w:val="000000"/>
          <w:lang w:eastAsia="es-MX"/>
        </w:rPr>
        <w:t xml:space="preserve">para presentar manifestaciones y pruebas transcurrió del </w:t>
      </w:r>
      <w:r w:rsidR="00506B66" w:rsidRPr="0034602F">
        <w:rPr>
          <w:rFonts w:ascii="ITC Avant Garde" w:eastAsia="Times New Roman" w:hAnsi="ITC Avant Garde"/>
          <w:bCs/>
          <w:color w:val="000000"/>
          <w:lang w:eastAsia="es-MX"/>
        </w:rPr>
        <w:t>veintiséis de enero al dieciséis de febrero de dos mil diecisiete</w:t>
      </w:r>
      <w:r w:rsidR="00AE6BD0" w:rsidRPr="0034602F">
        <w:rPr>
          <w:rFonts w:ascii="ITC Avant Garde" w:eastAsia="Times New Roman" w:hAnsi="ITC Avant Garde"/>
          <w:bCs/>
          <w:color w:val="000000"/>
          <w:lang w:eastAsia="es-MX"/>
        </w:rPr>
        <w:t>,</w:t>
      </w:r>
      <w:r w:rsidR="0080259B" w:rsidRPr="0034602F">
        <w:rPr>
          <w:rFonts w:ascii="ITC Avant Garde" w:eastAsia="Times New Roman" w:hAnsi="ITC Avant Garde"/>
          <w:bCs/>
          <w:color w:val="000000"/>
          <w:lang w:eastAsia="es-MX"/>
        </w:rPr>
        <w:t xml:space="preserve"> sin</w:t>
      </w:r>
      <w:r w:rsidR="00E02AF9" w:rsidRPr="0034602F">
        <w:rPr>
          <w:rFonts w:ascii="ITC Avant Garde" w:eastAsia="Times New Roman" w:hAnsi="ITC Avant Garde"/>
          <w:bCs/>
          <w:color w:val="000000"/>
          <w:lang w:eastAsia="es-MX"/>
        </w:rPr>
        <w:t xml:space="preserve"> considerar los días </w:t>
      </w:r>
      <w:r w:rsidR="00506B66" w:rsidRPr="0034602F">
        <w:rPr>
          <w:rFonts w:ascii="ITC Avant Garde" w:eastAsia="Times New Roman" w:hAnsi="ITC Avant Garde"/>
          <w:bCs/>
          <w:color w:val="000000"/>
          <w:lang w:eastAsia="es-MX"/>
        </w:rPr>
        <w:t>veintiséis, veintisiete, treinta</w:t>
      </w:r>
      <w:r w:rsidR="00DC49BE" w:rsidRPr="0034602F">
        <w:rPr>
          <w:rFonts w:ascii="ITC Avant Garde" w:eastAsia="Times New Roman" w:hAnsi="ITC Avant Garde"/>
          <w:bCs/>
          <w:color w:val="000000"/>
          <w:lang w:eastAsia="es-MX"/>
        </w:rPr>
        <w:t xml:space="preserve"> y</w:t>
      </w:r>
      <w:r w:rsidR="00506B66" w:rsidRPr="0034602F">
        <w:rPr>
          <w:rFonts w:ascii="ITC Avant Garde" w:eastAsia="Times New Roman" w:hAnsi="ITC Avant Garde"/>
          <w:bCs/>
          <w:color w:val="000000"/>
          <w:lang w:eastAsia="es-MX"/>
        </w:rPr>
        <w:t xml:space="preserve"> treinta y uno</w:t>
      </w:r>
      <w:r w:rsidR="00DC49BE" w:rsidRPr="0034602F">
        <w:rPr>
          <w:rFonts w:ascii="ITC Avant Garde" w:eastAsia="Times New Roman" w:hAnsi="ITC Avant Garde"/>
          <w:bCs/>
          <w:color w:val="000000"/>
          <w:lang w:eastAsia="es-MX"/>
        </w:rPr>
        <w:t xml:space="preserve"> de</w:t>
      </w:r>
      <w:r w:rsidR="00506B66" w:rsidRPr="0034602F">
        <w:rPr>
          <w:rFonts w:ascii="ITC Avant Garde" w:eastAsia="Times New Roman" w:hAnsi="ITC Avant Garde"/>
          <w:bCs/>
          <w:color w:val="000000"/>
          <w:lang w:eastAsia="es-MX"/>
        </w:rPr>
        <w:t xml:space="preserve"> enero, así como uno, dos, tres, siete, ocho, nueve, diez, trece, catorce, quince y dieciséis de febrero</w:t>
      </w:r>
      <w:r w:rsidR="00506B66" w:rsidRPr="0034602F">
        <w:rPr>
          <w:rFonts w:ascii="ITC Avant Garde" w:eastAsia="Times New Roman" w:hAnsi="ITC Avant Garde"/>
          <w:bCs/>
          <w:lang w:eastAsia="es-MX"/>
        </w:rPr>
        <w:t xml:space="preserve"> sin considerar los días </w:t>
      </w:r>
      <w:r w:rsidR="00434B74" w:rsidRPr="0034602F">
        <w:rPr>
          <w:rFonts w:ascii="ITC Avant Garde" w:eastAsia="Times New Roman" w:hAnsi="ITC Avant Garde"/>
          <w:bCs/>
          <w:lang w:eastAsia="es-MX"/>
        </w:rPr>
        <w:t>veintiocho y veintinueve de enero; cuatro, cinco, once y doce de febrero, así mismo el seis de febrero todos de dos mil diecisiete</w:t>
      </w:r>
      <w:r w:rsidR="00506B66" w:rsidRPr="0034602F">
        <w:rPr>
          <w:rFonts w:ascii="ITC Avant Garde" w:eastAsia="Times New Roman" w:hAnsi="ITC Avant Garde"/>
          <w:bCs/>
          <w:lang w:eastAsia="es-MX"/>
        </w:rPr>
        <w:t xml:space="preserve"> todos de dos mil diecisiete, por ser sábados, domingos y día inhábil, en términos del artículo 28 de la Ley Federal de Procedimiento Administrativo y del “ACUERDO mediante el cual el Pleno del Instituto Federal de Telecomunicaciones aprueba su calendario anual de sesiones ordinarias y el calendario anual de labores para el año 2017 y principios de 2018”.</w:t>
      </w:r>
    </w:p>
    <w:p w14:paraId="04B1A430" w14:textId="77777777" w:rsidR="003C5E62" w:rsidRPr="0034602F" w:rsidRDefault="00364388" w:rsidP="00583167">
      <w:pPr>
        <w:spacing w:before="240" w:after="240" w:line="380" w:lineRule="atLeast"/>
        <w:jc w:val="both"/>
        <w:rPr>
          <w:rFonts w:ascii="ITC Avant Garde" w:eastAsia="Times New Roman" w:hAnsi="ITC Avant Garde"/>
          <w:bCs/>
          <w:color w:val="000000"/>
          <w:lang w:eastAsia="es-MX"/>
        </w:rPr>
      </w:pPr>
      <w:r w:rsidRPr="0034602F">
        <w:rPr>
          <w:rFonts w:ascii="ITC Avant Garde" w:eastAsia="Times New Roman" w:hAnsi="ITC Avant Garde"/>
          <w:b/>
          <w:bCs/>
          <w:color w:val="000000"/>
          <w:lang w:eastAsia="es-MX"/>
        </w:rPr>
        <w:t xml:space="preserve">DÉCIMO </w:t>
      </w:r>
      <w:r w:rsidR="00DC49BE" w:rsidRPr="0034602F">
        <w:rPr>
          <w:rFonts w:ascii="ITC Avant Garde" w:eastAsia="Times New Roman" w:hAnsi="ITC Avant Garde"/>
          <w:b/>
          <w:bCs/>
          <w:color w:val="000000"/>
          <w:lang w:eastAsia="es-MX"/>
        </w:rPr>
        <w:t>SEGUNDO</w:t>
      </w:r>
      <w:r w:rsidR="00B5621D" w:rsidRPr="0034602F">
        <w:rPr>
          <w:rFonts w:ascii="ITC Avant Garde" w:eastAsia="Times New Roman" w:hAnsi="ITC Avant Garde"/>
          <w:b/>
          <w:bCs/>
          <w:color w:val="000000"/>
          <w:lang w:eastAsia="es-MX"/>
        </w:rPr>
        <w:t xml:space="preserve">. </w:t>
      </w:r>
      <w:r w:rsidR="00ED6EB4" w:rsidRPr="0034602F">
        <w:rPr>
          <w:rFonts w:ascii="ITC Avant Garde" w:eastAsia="Times New Roman" w:hAnsi="ITC Avant Garde"/>
          <w:bCs/>
          <w:color w:val="000000"/>
          <w:lang w:eastAsia="es-MX"/>
        </w:rPr>
        <w:t xml:space="preserve">De las constancias que forman el presente expediente se observó que el </w:t>
      </w:r>
      <w:r w:rsidR="00ED6EB4" w:rsidRPr="0034602F">
        <w:rPr>
          <w:rFonts w:ascii="ITC Avant Garde" w:hAnsi="ITC Avant Garde"/>
          <w:b/>
        </w:rPr>
        <w:t xml:space="preserve">PRESUNTO RESPONSABLE </w:t>
      </w:r>
      <w:r w:rsidR="00ED6EB4" w:rsidRPr="0034602F">
        <w:rPr>
          <w:rFonts w:ascii="ITC Avant Garde" w:hAnsi="ITC Avant Garde"/>
        </w:rPr>
        <w:t xml:space="preserve">no </w:t>
      </w:r>
      <w:r w:rsidR="00ED6EB4" w:rsidRPr="0034602F">
        <w:rPr>
          <w:rFonts w:ascii="ITC Avant Garde" w:eastAsia="Times New Roman" w:hAnsi="ITC Avant Garde"/>
          <w:bCs/>
          <w:color w:val="000000"/>
          <w:lang w:eastAsia="es-MX"/>
        </w:rPr>
        <w:t xml:space="preserve">presentó escrito de manifestaciones y pruebas, por lo que mediante acuerdo de diecisiete de febrero de dos mil diecisiete, notificado por lista el </w:t>
      </w:r>
      <w:r w:rsidR="002A226D" w:rsidRPr="0034602F">
        <w:rPr>
          <w:rFonts w:ascii="ITC Avant Garde" w:eastAsia="Times New Roman" w:hAnsi="ITC Avant Garde"/>
          <w:bCs/>
          <w:color w:val="000000"/>
          <w:lang w:eastAsia="es-MX"/>
        </w:rPr>
        <w:t>mismo día</w:t>
      </w:r>
      <w:r w:rsidR="00ED6EB4" w:rsidRPr="0034602F">
        <w:rPr>
          <w:rFonts w:ascii="ITC Avant Garde" w:eastAsia="Times New Roman" w:hAnsi="ITC Avant Garde"/>
          <w:bCs/>
          <w:color w:val="000000"/>
          <w:lang w:eastAsia="es-MX"/>
        </w:rPr>
        <w:t xml:space="preserve">, se hizo efectivo el apercibimiento decretado en el acuerdo de inicio del procedimiento administrativo en que se actúa y se tuvo por </w:t>
      </w:r>
      <w:proofErr w:type="spellStart"/>
      <w:r w:rsidR="00ED6EB4" w:rsidRPr="0034602F">
        <w:rPr>
          <w:rFonts w:ascii="ITC Avant Garde" w:eastAsia="Times New Roman" w:hAnsi="ITC Avant Garde"/>
          <w:bCs/>
          <w:color w:val="000000"/>
          <w:lang w:eastAsia="es-MX"/>
        </w:rPr>
        <w:t>precluido</w:t>
      </w:r>
      <w:proofErr w:type="spellEnd"/>
      <w:r w:rsidR="00ED6EB4" w:rsidRPr="0034602F">
        <w:rPr>
          <w:rFonts w:ascii="ITC Avant Garde" w:eastAsia="Times New Roman" w:hAnsi="ITC Avant Garde"/>
          <w:bCs/>
          <w:color w:val="000000"/>
          <w:lang w:eastAsia="es-MX"/>
        </w:rPr>
        <w:t xml:space="preserve"> su derecho para manifestar lo que a su derecho conviniera y ofrecer pruebas.</w:t>
      </w:r>
    </w:p>
    <w:p w14:paraId="17427582" w14:textId="77777777" w:rsidR="003C5E62" w:rsidRPr="0034602F" w:rsidRDefault="002A226D" w:rsidP="00583167">
      <w:pPr>
        <w:spacing w:before="240" w:after="240" w:line="380" w:lineRule="atLeast"/>
        <w:jc w:val="both"/>
        <w:rPr>
          <w:rFonts w:ascii="ITC Avant Garde" w:hAnsi="ITC Avant Garde"/>
        </w:rPr>
      </w:pPr>
      <w:r w:rsidRPr="0034602F">
        <w:rPr>
          <w:rFonts w:ascii="ITC Avant Garde" w:eastAsia="Times New Roman" w:hAnsi="ITC Avant Garde"/>
          <w:bCs/>
          <w:color w:val="000000"/>
          <w:lang w:eastAsia="es-MX"/>
        </w:rPr>
        <w:t xml:space="preserve">En consecuencia, por así corresponder al estado procesal que guardaba el presente asunto, con fundamento en el artículo 56 de la </w:t>
      </w:r>
      <w:r w:rsidRPr="0034602F">
        <w:rPr>
          <w:rFonts w:ascii="ITC Avant Garde" w:eastAsia="Times New Roman" w:hAnsi="ITC Avant Garde"/>
          <w:b/>
          <w:bCs/>
          <w:color w:val="000000"/>
          <w:lang w:eastAsia="es-MX"/>
        </w:rPr>
        <w:t>“LFPA”</w:t>
      </w:r>
      <w:r w:rsidRPr="0034602F">
        <w:rPr>
          <w:rFonts w:ascii="ITC Avant Garde" w:eastAsia="Times New Roman" w:hAnsi="ITC Avant Garde"/>
          <w:bCs/>
          <w:color w:val="000000"/>
          <w:lang w:eastAsia="es-MX"/>
        </w:rPr>
        <w:t xml:space="preserve">, se pusieron a disposición </w:t>
      </w:r>
      <w:r w:rsidR="0087347E" w:rsidRPr="0034602F">
        <w:rPr>
          <w:rFonts w:ascii="ITC Avant Garde" w:eastAsia="Times New Roman" w:hAnsi="ITC Avant Garde"/>
          <w:bCs/>
          <w:color w:val="000000"/>
          <w:lang w:eastAsia="es-MX"/>
        </w:rPr>
        <w:t xml:space="preserve">del </w:t>
      </w:r>
      <w:r w:rsidR="0087347E" w:rsidRPr="0034602F">
        <w:rPr>
          <w:rFonts w:ascii="ITC Avant Garde" w:eastAsia="Times New Roman" w:hAnsi="ITC Avant Garde"/>
          <w:b/>
          <w:bCs/>
          <w:color w:val="000000"/>
          <w:lang w:eastAsia="es-MX"/>
        </w:rPr>
        <w:t>PRESUNTO RESPONSABLE</w:t>
      </w:r>
      <w:r w:rsidR="0087347E" w:rsidRPr="0034602F">
        <w:rPr>
          <w:rFonts w:ascii="ITC Avant Garde" w:eastAsia="Times New Roman" w:hAnsi="ITC Avant Garde"/>
          <w:bCs/>
          <w:color w:val="000000"/>
          <w:lang w:eastAsia="es-MX"/>
        </w:rPr>
        <w:t xml:space="preserve"> </w:t>
      </w:r>
      <w:r w:rsidRPr="0034602F">
        <w:rPr>
          <w:rFonts w:ascii="ITC Avant Garde" w:eastAsia="Times New Roman" w:hAnsi="ITC Avant Garde"/>
          <w:bCs/>
          <w:color w:val="000000"/>
          <w:lang w:eastAsia="es-MX"/>
        </w:rPr>
        <w:t>los autos del presente expediente para que dentro de un término de diez días hábiles formulara los alegatos que a su derecho convinieran, en el entendido que transcurrido dicho plazo, con alegatos o sin ellos, se emitiría la Resolución que conforme a derecho correspondiera.</w:t>
      </w:r>
    </w:p>
    <w:p w14:paraId="1FF1F229" w14:textId="77777777" w:rsidR="00AB5731" w:rsidRDefault="002064A3" w:rsidP="00583167">
      <w:pPr>
        <w:spacing w:before="240" w:after="240" w:line="360" w:lineRule="auto"/>
        <w:ind w:right="-94"/>
        <w:jc w:val="both"/>
        <w:rPr>
          <w:rFonts w:ascii="ITC Avant Garde" w:eastAsia="Times New Roman" w:hAnsi="ITC Avant Garde"/>
          <w:bCs/>
          <w:color w:val="000000"/>
          <w:lang w:eastAsia="es-MX"/>
        </w:rPr>
        <w:sectPr w:rsidR="00AB5731" w:rsidSect="006345CE">
          <w:headerReference w:type="default" r:id="rId21"/>
          <w:pgSz w:w="12240" w:h="15840"/>
          <w:pgMar w:top="426" w:right="1418" w:bottom="1418" w:left="1418" w:header="709" w:footer="420" w:gutter="0"/>
          <w:cols w:space="708"/>
          <w:docGrid w:linePitch="360"/>
        </w:sectPr>
      </w:pPr>
      <w:r w:rsidRPr="0034602F">
        <w:rPr>
          <w:rFonts w:ascii="ITC Avant Garde" w:hAnsi="ITC Avant Garde"/>
          <w:b/>
        </w:rPr>
        <w:t xml:space="preserve">DÉCIMO </w:t>
      </w:r>
      <w:r w:rsidR="00452499" w:rsidRPr="0034602F">
        <w:rPr>
          <w:rFonts w:ascii="ITC Avant Garde" w:hAnsi="ITC Avant Garde"/>
          <w:b/>
        </w:rPr>
        <w:t>TERCERO</w:t>
      </w:r>
      <w:r w:rsidRPr="0034602F">
        <w:rPr>
          <w:rFonts w:ascii="ITC Avant Garde" w:hAnsi="ITC Avant Garde"/>
          <w:b/>
        </w:rPr>
        <w:t xml:space="preserve">. </w:t>
      </w:r>
      <w:r w:rsidR="002A226D" w:rsidRPr="0034602F">
        <w:rPr>
          <w:rFonts w:ascii="ITC Avant Garde" w:hAnsi="ITC Avant Garde"/>
          <w:color w:val="000000"/>
        </w:rPr>
        <w:t xml:space="preserve">El término concedido al </w:t>
      </w:r>
      <w:r w:rsidR="00A121C8" w:rsidRPr="0034602F">
        <w:rPr>
          <w:rFonts w:ascii="ITC Avant Garde" w:hAnsi="ITC Avant Garde"/>
          <w:b/>
        </w:rPr>
        <w:t>PRESUNTO RESPONSABLE</w:t>
      </w:r>
      <w:r w:rsidR="002A226D" w:rsidRPr="0034602F">
        <w:rPr>
          <w:rFonts w:ascii="ITC Avant Garde" w:eastAsia="Times New Roman" w:hAnsi="ITC Avant Garde"/>
          <w:bCs/>
          <w:color w:val="000000"/>
          <w:lang w:eastAsia="es-MX"/>
        </w:rPr>
        <w:t xml:space="preserve"> para presentar alegatos transcurrió del </w:t>
      </w:r>
      <w:r w:rsidR="00A121C8" w:rsidRPr="0034602F">
        <w:rPr>
          <w:rFonts w:ascii="ITC Avant Garde" w:eastAsia="Times New Roman" w:hAnsi="ITC Avant Garde"/>
          <w:bCs/>
          <w:color w:val="000000"/>
          <w:lang w:eastAsia="es-MX"/>
        </w:rPr>
        <w:t>veinte de febrero al tres de marzo de dos mil diecisiete</w:t>
      </w:r>
      <w:r w:rsidR="002A226D" w:rsidRPr="0034602F">
        <w:rPr>
          <w:rFonts w:ascii="ITC Avant Garde" w:eastAsia="Times New Roman" w:hAnsi="ITC Avant Garde"/>
          <w:bCs/>
          <w:color w:val="000000"/>
          <w:lang w:eastAsia="es-MX"/>
        </w:rPr>
        <w:t xml:space="preserve">, lo anterior </w:t>
      </w:r>
    </w:p>
    <w:p w14:paraId="5F34F048" w14:textId="55F12A55" w:rsidR="003C5E62" w:rsidRPr="0034602F" w:rsidRDefault="002A226D" w:rsidP="00583167">
      <w:pPr>
        <w:spacing w:before="240" w:after="240" w:line="360" w:lineRule="auto"/>
        <w:ind w:right="-94"/>
        <w:jc w:val="both"/>
        <w:rPr>
          <w:rFonts w:ascii="ITC Avant Garde" w:hAnsi="ITC Avant Garde"/>
        </w:rPr>
      </w:pPr>
      <w:r w:rsidRPr="0034602F">
        <w:rPr>
          <w:rFonts w:ascii="ITC Avant Garde" w:eastAsia="Times New Roman" w:hAnsi="ITC Avant Garde"/>
          <w:bCs/>
          <w:color w:val="000000"/>
          <w:lang w:eastAsia="es-MX"/>
        </w:rPr>
        <w:lastRenderedPageBreak/>
        <w:t xml:space="preserve">sin considerar los días </w:t>
      </w:r>
      <w:r w:rsidR="00A121C8" w:rsidRPr="0034602F">
        <w:rPr>
          <w:rFonts w:ascii="ITC Avant Garde" w:eastAsia="Times New Roman" w:hAnsi="ITC Avant Garde"/>
          <w:bCs/>
          <w:lang w:eastAsia="es-MX"/>
        </w:rPr>
        <w:t>dieciocho, diecinueve, veinticinco y veintiséis de febrero</w:t>
      </w:r>
      <w:r w:rsidR="00A121C8" w:rsidRPr="0034602F">
        <w:rPr>
          <w:rFonts w:ascii="ITC Avant Garde" w:eastAsia="Times New Roman" w:hAnsi="ITC Avant Garde"/>
          <w:bCs/>
          <w:color w:val="000000"/>
          <w:lang w:eastAsia="es-MX"/>
        </w:rPr>
        <w:t xml:space="preserve"> de dos mil diecisiete, por ser sábados y domingos </w:t>
      </w:r>
      <w:r w:rsidR="00A121C8" w:rsidRPr="0034602F">
        <w:rPr>
          <w:rFonts w:ascii="ITC Avant Garde" w:eastAsia="Times New Roman" w:hAnsi="ITC Avant Garde"/>
          <w:bCs/>
          <w:lang w:eastAsia="es-MX"/>
        </w:rPr>
        <w:t>en términos del artículo 28 de la Ley Federal de Procedimiento Administrativo</w:t>
      </w:r>
      <w:r w:rsidRPr="0034602F">
        <w:rPr>
          <w:rFonts w:ascii="ITC Avant Garde" w:eastAsia="Times New Roman" w:hAnsi="ITC Avant Garde"/>
          <w:bCs/>
          <w:color w:val="000000"/>
          <w:lang w:eastAsia="es-MX"/>
        </w:rPr>
        <w:t>.</w:t>
      </w:r>
    </w:p>
    <w:p w14:paraId="5A8231E5" w14:textId="77777777" w:rsidR="003C5E62" w:rsidRPr="0034602F" w:rsidRDefault="002D2C61" w:rsidP="00583167">
      <w:pPr>
        <w:spacing w:before="240" w:after="240" w:line="380" w:lineRule="atLeast"/>
        <w:jc w:val="both"/>
        <w:rPr>
          <w:rFonts w:ascii="ITC Avant Garde" w:eastAsia="Times New Roman" w:hAnsi="ITC Avant Garde"/>
          <w:bCs/>
          <w:color w:val="000000"/>
          <w:lang w:eastAsia="es-MX"/>
        </w:rPr>
      </w:pPr>
      <w:r w:rsidRPr="0034602F">
        <w:rPr>
          <w:rFonts w:ascii="ITC Avant Garde" w:hAnsi="ITC Avant Garde"/>
          <w:b/>
        </w:rPr>
        <w:t xml:space="preserve">DÉCIMO </w:t>
      </w:r>
      <w:r w:rsidR="00452499" w:rsidRPr="0034602F">
        <w:rPr>
          <w:rFonts w:ascii="ITC Avant Garde" w:hAnsi="ITC Avant Garde"/>
          <w:b/>
        </w:rPr>
        <w:t>CUARTO</w:t>
      </w:r>
      <w:r w:rsidRPr="0034602F">
        <w:rPr>
          <w:rFonts w:ascii="ITC Avant Garde" w:hAnsi="ITC Avant Garde"/>
          <w:b/>
        </w:rPr>
        <w:t xml:space="preserve">. </w:t>
      </w:r>
      <w:r w:rsidR="00E72E98" w:rsidRPr="0034602F">
        <w:rPr>
          <w:rFonts w:ascii="ITC Avant Garde" w:eastAsia="Times New Roman" w:hAnsi="ITC Avant Garde"/>
          <w:bCs/>
        </w:rPr>
        <w:t>D</w:t>
      </w:r>
      <w:r w:rsidR="00E72E98" w:rsidRPr="0034602F">
        <w:rPr>
          <w:rFonts w:ascii="ITC Avant Garde" w:eastAsia="Times New Roman" w:hAnsi="ITC Avant Garde"/>
          <w:bCs/>
          <w:color w:val="000000"/>
          <w:lang w:eastAsia="es-MX"/>
        </w:rPr>
        <w:t>e las constancias que forman el presente expediente se advierte que</w:t>
      </w:r>
      <w:r w:rsidR="00E72E98" w:rsidRPr="0034602F">
        <w:rPr>
          <w:rFonts w:ascii="ITC Avant Garde" w:hAnsi="ITC Avant Garde"/>
        </w:rPr>
        <w:t xml:space="preserve"> el </w:t>
      </w:r>
      <w:r w:rsidR="00E72E98" w:rsidRPr="0034602F">
        <w:rPr>
          <w:rFonts w:ascii="ITC Avant Garde" w:hAnsi="ITC Avant Garde"/>
          <w:b/>
        </w:rPr>
        <w:t xml:space="preserve">PRESUNTO RESPONSABLE </w:t>
      </w:r>
      <w:r w:rsidR="00E72E98" w:rsidRPr="0034602F">
        <w:rPr>
          <w:rFonts w:ascii="ITC Avant Garde" w:hAnsi="ITC Avant Garde"/>
        </w:rPr>
        <w:t>no</w:t>
      </w:r>
      <w:r w:rsidR="00E72E98" w:rsidRPr="0034602F">
        <w:rPr>
          <w:rFonts w:ascii="ITC Avant Garde" w:hAnsi="ITC Avant Garde"/>
          <w:b/>
        </w:rPr>
        <w:t xml:space="preserve"> </w:t>
      </w:r>
      <w:r w:rsidR="00E72E98" w:rsidRPr="0034602F">
        <w:rPr>
          <w:rFonts w:ascii="ITC Avant Garde" w:eastAsia="Times New Roman" w:hAnsi="ITC Avant Garde"/>
          <w:bCs/>
          <w:color w:val="000000"/>
          <w:lang w:eastAsia="es-MX"/>
        </w:rPr>
        <w:t>presentó sus alegatos, por lo que mediante acuerdo de nueve de marzo de dos mil diecisiete, publicado en la lista diaria de notificaciones en la página del “</w:t>
      </w:r>
      <w:r w:rsidR="00E72E98" w:rsidRPr="0034602F">
        <w:rPr>
          <w:rFonts w:ascii="ITC Avant Garde" w:eastAsia="Times New Roman" w:hAnsi="ITC Avant Garde"/>
          <w:b/>
          <w:bCs/>
          <w:color w:val="000000"/>
          <w:lang w:eastAsia="es-MX"/>
        </w:rPr>
        <w:t>Instituto”</w:t>
      </w:r>
      <w:r w:rsidR="00E72E98" w:rsidRPr="0034602F">
        <w:rPr>
          <w:rFonts w:ascii="ITC Avant Garde" w:eastAsia="Times New Roman" w:hAnsi="ITC Avant Garde"/>
          <w:bCs/>
          <w:color w:val="000000"/>
          <w:lang w:eastAsia="es-MX"/>
        </w:rPr>
        <w:t xml:space="preserve"> el mismo día de su emisión, se tuvo por perdido su derecho para ello</w:t>
      </w:r>
      <w:r w:rsidR="00E72E98" w:rsidRPr="0034602F">
        <w:rPr>
          <w:rFonts w:ascii="ITC Avant Garde" w:eastAsia="Times New Roman" w:hAnsi="ITC Avant Garde"/>
          <w:bCs/>
          <w:color w:val="000000"/>
        </w:rPr>
        <w:t xml:space="preserve"> </w:t>
      </w:r>
      <w:r w:rsidR="00E72E98" w:rsidRPr="0034602F">
        <w:rPr>
          <w:rFonts w:ascii="ITC Avant Garde" w:eastAsia="Times New Roman" w:hAnsi="ITC Avant Garde"/>
          <w:bCs/>
          <w:color w:val="000000"/>
          <w:lang w:eastAsia="es-MX"/>
        </w:rPr>
        <w:t>y por lo tanto fue remitido el presente expediente a este órgano colegiado para la emisión de la Resolución que conforme a derecho resulte procedente.</w:t>
      </w:r>
    </w:p>
    <w:p w14:paraId="39C15387" w14:textId="77777777" w:rsidR="003C5E62" w:rsidRPr="0034602F" w:rsidRDefault="004F3596" w:rsidP="00583167">
      <w:pPr>
        <w:pStyle w:val="Ttulo2"/>
        <w:spacing w:before="240" w:after="240"/>
        <w:jc w:val="center"/>
        <w:rPr>
          <w:rFonts w:ascii="ITC Avant Garde" w:eastAsiaTheme="majorEastAsia" w:hAnsi="ITC Avant Garde" w:cstheme="majorBidi"/>
          <w:b/>
          <w:color w:val="000000" w:themeColor="text1"/>
          <w:sz w:val="22"/>
          <w:szCs w:val="22"/>
        </w:rPr>
      </w:pPr>
      <w:r w:rsidRPr="0034602F">
        <w:rPr>
          <w:rFonts w:ascii="ITC Avant Garde" w:eastAsiaTheme="majorEastAsia" w:hAnsi="ITC Avant Garde" w:cstheme="majorBidi"/>
          <w:b/>
          <w:color w:val="000000" w:themeColor="text1"/>
          <w:sz w:val="22"/>
          <w:szCs w:val="22"/>
        </w:rPr>
        <w:t xml:space="preserve">CONSIDERANDO </w:t>
      </w:r>
    </w:p>
    <w:p w14:paraId="5C2E41F3" w14:textId="77777777" w:rsidR="003C5E62" w:rsidRPr="0034602F" w:rsidRDefault="004F3596" w:rsidP="00583167">
      <w:pPr>
        <w:pStyle w:val="Textoindependiente"/>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
          <w:bCs/>
          <w:color w:val="000000"/>
          <w:lang w:eastAsia="es-MX"/>
        </w:rPr>
        <w:t xml:space="preserve">PRIMERO. </w:t>
      </w:r>
      <w:r w:rsidRPr="0034602F">
        <w:rPr>
          <w:rFonts w:ascii="ITC Avant Garde" w:eastAsia="Times New Roman" w:hAnsi="ITC Avant Garde"/>
          <w:b/>
          <w:bCs/>
          <w:smallCaps/>
          <w:color w:val="000000"/>
          <w:lang w:eastAsia="es-MX"/>
        </w:rPr>
        <w:t>Competencia</w:t>
      </w:r>
      <w:r w:rsidRPr="0034602F">
        <w:rPr>
          <w:rFonts w:ascii="ITC Avant Garde" w:eastAsia="Times New Roman" w:hAnsi="ITC Avant Garde"/>
          <w:b/>
          <w:bCs/>
          <w:color w:val="000000"/>
          <w:lang w:eastAsia="es-MX"/>
        </w:rPr>
        <w:t>.</w:t>
      </w:r>
      <w:r w:rsidRPr="0034602F">
        <w:rPr>
          <w:rFonts w:ascii="ITC Avant Garde" w:eastAsia="Times New Roman" w:hAnsi="ITC Avant Garde"/>
          <w:bCs/>
          <w:color w:val="000000"/>
          <w:lang w:eastAsia="es-MX"/>
        </w:rPr>
        <w:t xml:space="preserve"> </w:t>
      </w:r>
    </w:p>
    <w:p w14:paraId="528DBFDC" w14:textId="77777777" w:rsidR="003C5E62" w:rsidRPr="0034602F" w:rsidRDefault="00A923BD" w:rsidP="00583167">
      <w:pPr>
        <w:pStyle w:val="Textoindependiente"/>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El Pleno del </w:t>
      </w:r>
      <w:r w:rsidRPr="0034602F">
        <w:rPr>
          <w:rFonts w:ascii="ITC Avant Garde" w:eastAsia="Times New Roman" w:hAnsi="ITC Avant Garde"/>
          <w:b/>
          <w:bCs/>
          <w:color w:val="000000"/>
          <w:lang w:eastAsia="es-MX"/>
        </w:rPr>
        <w:t>Instituto</w:t>
      </w:r>
      <w:r w:rsidRPr="0034602F">
        <w:rPr>
          <w:rFonts w:ascii="ITC Avant Garde" w:eastAsia="Times New Roman" w:hAnsi="ITC Avant Garde"/>
          <w:bCs/>
          <w:color w:val="000000"/>
          <w:lang w:eastAsia="es-MX"/>
        </w:rPr>
        <w:t xml:space="preserve"> es competente para conocer y resolver el presente procedimiento administrativo de imposición de sanción y declarar la pérdida de bienes, instalaciones y equipos en beneficio de la Nación, con fundamento en los artículos 14,  16 y 28, párrafos, décimo quinto, décimo sexto y vigésimo, fracci</w:t>
      </w:r>
      <w:r w:rsidR="007D4C61" w:rsidRPr="0034602F">
        <w:rPr>
          <w:rFonts w:ascii="ITC Avant Garde" w:eastAsia="Times New Roman" w:hAnsi="ITC Avant Garde"/>
          <w:bCs/>
          <w:color w:val="000000"/>
          <w:lang w:eastAsia="es-MX"/>
        </w:rPr>
        <w:t>ón</w:t>
      </w:r>
      <w:r w:rsidRPr="0034602F">
        <w:rPr>
          <w:rFonts w:ascii="ITC Avant Garde" w:eastAsia="Times New Roman" w:hAnsi="ITC Avant Garde"/>
          <w:bCs/>
          <w:color w:val="000000"/>
          <w:lang w:eastAsia="es-MX"/>
        </w:rPr>
        <w:t xml:space="preserve"> I de la </w:t>
      </w:r>
      <w:r w:rsidRPr="0034602F">
        <w:rPr>
          <w:rFonts w:ascii="ITC Avant Garde" w:eastAsia="Times New Roman" w:hAnsi="ITC Avant Garde"/>
          <w:b/>
          <w:bCs/>
          <w:color w:val="000000"/>
          <w:lang w:eastAsia="es-MX"/>
        </w:rPr>
        <w:t>CPEUM</w:t>
      </w:r>
      <w:r w:rsidRPr="0034602F">
        <w:rPr>
          <w:rFonts w:ascii="ITC Avant Garde" w:eastAsia="Times New Roman" w:hAnsi="ITC Avant Garde"/>
          <w:bCs/>
          <w:color w:val="000000"/>
          <w:lang w:eastAsia="es-MX"/>
        </w:rPr>
        <w:t>;</w:t>
      </w:r>
      <w:r w:rsidRPr="0034602F">
        <w:rPr>
          <w:rFonts w:ascii="ITC Avant Garde" w:eastAsia="Times New Roman" w:hAnsi="ITC Avant Garde"/>
          <w:b/>
          <w:bCs/>
          <w:color w:val="000000"/>
          <w:lang w:eastAsia="es-MX"/>
        </w:rPr>
        <w:t xml:space="preserve"> </w:t>
      </w:r>
      <w:r w:rsidRPr="0034602F">
        <w:rPr>
          <w:rFonts w:ascii="ITC Avant Garde" w:eastAsia="Times New Roman" w:hAnsi="ITC Avant Garde"/>
          <w:bCs/>
          <w:color w:val="000000"/>
          <w:lang w:eastAsia="es-MX"/>
        </w:rPr>
        <w:t>1, 2, 6, fracciones II, IV y VII, 7, 15</w:t>
      </w:r>
      <w:r w:rsidR="00FB0A36" w:rsidRPr="0034602F">
        <w:rPr>
          <w:rFonts w:ascii="ITC Avant Garde" w:eastAsia="Times New Roman" w:hAnsi="ITC Avant Garde"/>
          <w:bCs/>
          <w:color w:val="000000"/>
          <w:lang w:eastAsia="es-MX"/>
        </w:rPr>
        <w:t>,</w:t>
      </w:r>
      <w:r w:rsidRPr="0034602F">
        <w:rPr>
          <w:rFonts w:ascii="ITC Avant Garde" w:eastAsia="Times New Roman" w:hAnsi="ITC Avant Garde"/>
          <w:bCs/>
          <w:color w:val="000000"/>
          <w:lang w:eastAsia="es-MX"/>
        </w:rPr>
        <w:t xml:space="preserve"> fracción XXX, 17, penúltimo y último párrafos, 66, 75, 297, primer párrafo,  298, inciso E), fracción I</w:t>
      </w:r>
      <w:r w:rsidR="0087347E" w:rsidRPr="0034602F">
        <w:rPr>
          <w:rFonts w:ascii="ITC Avant Garde" w:eastAsia="Times New Roman" w:hAnsi="ITC Avant Garde"/>
          <w:bCs/>
          <w:color w:val="000000"/>
          <w:lang w:eastAsia="es-MX"/>
        </w:rPr>
        <w:t>,</w:t>
      </w:r>
      <w:r w:rsidR="002D2A65" w:rsidRPr="0034602F">
        <w:rPr>
          <w:rFonts w:ascii="ITC Avant Garde" w:eastAsia="Times New Roman" w:hAnsi="ITC Avant Garde"/>
          <w:bCs/>
          <w:color w:val="000000"/>
          <w:lang w:eastAsia="es-MX"/>
        </w:rPr>
        <w:t xml:space="preserve"> </w:t>
      </w:r>
      <w:r w:rsidR="00796A83" w:rsidRPr="0034602F">
        <w:rPr>
          <w:rFonts w:ascii="ITC Avant Garde" w:eastAsia="Times New Roman" w:hAnsi="ITC Avant Garde"/>
          <w:bCs/>
          <w:color w:val="000000"/>
          <w:lang w:eastAsia="es-MX"/>
        </w:rPr>
        <w:t xml:space="preserve">299, 301 </w:t>
      </w:r>
      <w:r w:rsidRPr="0034602F">
        <w:rPr>
          <w:rFonts w:ascii="ITC Avant Garde" w:eastAsia="Times New Roman" w:hAnsi="ITC Avant Garde"/>
          <w:bCs/>
          <w:color w:val="000000"/>
          <w:lang w:eastAsia="es-MX"/>
        </w:rPr>
        <w:t xml:space="preserve">y 305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3, 8, 9, 12, 13, 14, 16</w:t>
      </w:r>
      <w:r w:rsidR="007D4C61" w:rsidRPr="0034602F">
        <w:rPr>
          <w:rFonts w:ascii="ITC Avant Garde" w:eastAsia="Times New Roman" w:hAnsi="ITC Avant Garde"/>
          <w:bCs/>
          <w:color w:val="000000"/>
          <w:lang w:eastAsia="es-MX"/>
        </w:rPr>
        <w:t xml:space="preserve"> fracción X</w:t>
      </w:r>
      <w:r w:rsidRPr="0034602F">
        <w:rPr>
          <w:rFonts w:ascii="ITC Avant Garde" w:eastAsia="Times New Roman" w:hAnsi="ITC Avant Garde"/>
          <w:bCs/>
          <w:color w:val="000000"/>
          <w:lang w:eastAsia="es-MX"/>
        </w:rPr>
        <w:t xml:space="preserve">,  28, 49, 50, 59, 70, fracciones II y VI, 72, 73, 74 y 75 de la </w:t>
      </w:r>
      <w:r w:rsidRPr="0034602F">
        <w:rPr>
          <w:rFonts w:ascii="ITC Avant Garde" w:eastAsia="Times New Roman" w:hAnsi="ITC Avant Garde"/>
          <w:b/>
          <w:bCs/>
          <w:color w:val="000000"/>
          <w:lang w:eastAsia="es-MX"/>
        </w:rPr>
        <w:t>LFPA</w:t>
      </w:r>
      <w:r w:rsidRPr="0034602F">
        <w:rPr>
          <w:rFonts w:ascii="ITC Avant Garde" w:eastAsia="Times New Roman" w:hAnsi="ITC Avant Garde"/>
          <w:bCs/>
          <w:color w:val="000000"/>
          <w:lang w:eastAsia="es-MX"/>
        </w:rPr>
        <w:t>; y 1, 4, fracción I y 6, fracción XVII</w:t>
      </w:r>
      <w:r w:rsidR="00FB0A36" w:rsidRPr="0034602F">
        <w:rPr>
          <w:rFonts w:ascii="ITC Avant Garde" w:eastAsia="Times New Roman" w:hAnsi="ITC Avant Garde"/>
          <w:bCs/>
          <w:color w:val="000000"/>
          <w:lang w:eastAsia="es-MX"/>
        </w:rPr>
        <w:t>,</w:t>
      </w:r>
      <w:r w:rsidRPr="0034602F">
        <w:rPr>
          <w:rFonts w:ascii="ITC Avant Garde" w:eastAsia="Times New Roman" w:hAnsi="ITC Avant Garde"/>
          <w:bCs/>
          <w:color w:val="000000"/>
          <w:lang w:eastAsia="es-MX"/>
        </w:rPr>
        <w:t xml:space="preserve"> del Estatuto Orgánico del Instituto Federal de Telecomunicaciones</w:t>
      </w:r>
      <w:r w:rsidR="008D00C2" w:rsidRPr="0034602F">
        <w:rPr>
          <w:rFonts w:ascii="ITC Avant Garde" w:eastAsia="Times New Roman" w:hAnsi="ITC Avant Garde"/>
          <w:bCs/>
          <w:color w:val="000000"/>
          <w:lang w:eastAsia="es-MX"/>
        </w:rPr>
        <w:t xml:space="preserve"> (</w:t>
      </w:r>
      <w:r w:rsidR="00913CDA" w:rsidRPr="0034602F">
        <w:rPr>
          <w:rFonts w:ascii="ITC Avant Garde" w:eastAsia="Times New Roman" w:hAnsi="ITC Avant Garde"/>
          <w:bCs/>
          <w:color w:val="000000"/>
          <w:lang w:eastAsia="es-MX"/>
        </w:rPr>
        <w:t xml:space="preserve">en adelante el </w:t>
      </w:r>
      <w:r w:rsidR="008D00C2" w:rsidRPr="0034602F">
        <w:rPr>
          <w:rFonts w:ascii="ITC Avant Garde" w:eastAsia="Times New Roman" w:hAnsi="ITC Avant Garde"/>
          <w:b/>
          <w:bCs/>
          <w:color w:val="000000"/>
          <w:lang w:eastAsia="es-MX"/>
        </w:rPr>
        <w:t>“ESTATUTO”</w:t>
      </w:r>
      <w:r w:rsidR="008D00C2" w:rsidRPr="0034602F">
        <w:rPr>
          <w:rFonts w:ascii="ITC Avant Garde" w:eastAsia="Times New Roman" w:hAnsi="ITC Avant Garde"/>
          <w:bCs/>
          <w:color w:val="000000"/>
          <w:lang w:eastAsia="es-MX"/>
        </w:rPr>
        <w:t>)</w:t>
      </w:r>
      <w:r w:rsidR="004F3596" w:rsidRPr="0034602F">
        <w:rPr>
          <w:rFonts w:ascii="ITC Avant Garde" w:eastAsia="Times New Roman" w:hAnsi="ITC Avant Garde"/>
          <w:bCs/>
          <w:color w:val="000000"/>
          <w:lang w:eastAsia="es-MX"/>
        </w:rPr>
        <w:t>.</w:t>
      </w:r>
    </w:p>
    <w:p w14:paraId="439846AE" w14:textId="77777777" w:rsidR="003C5E62" w:rsidRPr="0034602F" w:rsidRDefault="0047731F" w:rsidP="00583167">
      <w:pPr>
        <w:pStyle w:val="Textoindependiente"/>
        <w:spacing w:before="240" w:after="240" w:line="360" w:lineRule="auto"/>
        <w:jc w:val="both"/>
        <w:rPr>
          <w:rFonts w:ascii="ITC Avant Garde" w:eastAsia="Times New Roman" w:hAnsi="ITC Avant Garde"/>
          <w:b/>
          <w:bCs/>
          <w:smallCaps/>
          <w:color w:val="000000"/>
          <w:lang w:eastAsia="es-MX"/>
        </w:rPr>
      </w:pPr>
      <w:r w:rsidRPr="0034602F">
        <w:rPr>
          <w:rFonts w:ascii="ITC Avant Garde" w:eastAsia="Times New Roman" w:hAnsi="ITC Avant Garde"/>
          <w:b/>
          <w:bCs/>
          <w:color w:val="000000"/>
          <w:lang w:eastAsia="es-MX"/>
        </w:rPr>
        <w:t xml:space="preserve">SEGUNDO. </w:t>
      </w:r>
      <w:r w:rsidRPr="0034602F">
        <w:rPr>
          <w:rFonts w:ascii="ITC Avant Garde" w:eastAsia="Times New Roman" w:hAnsi="ITC Avant Garde"/>
          <w:b/>
          <w:bCs/>
          <w:smallCaps/>
          <w:color w:val="000000"/>
          <w:lang w:eastAsia="es-MX"/>
        </w:rPr>
        <w:t>Consideración previa</w:t>
      </w:r>
    </w:p>
    <w:p w14:paraId="770E19DC"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La Soberanía del Estado sobre el </w:t>
      </w:r>
      <w:r w:rsidRPr="0034602F">
        <w:rPr>
          <w:rFonts w:ascii="ITC Avant Garde" w:hAnsi="ITC Avant Garde"/>
        </w:rPr>
        <w:t>espacio aéreo situado sobre el territorio nacional, que es el medio en que se propagan las señales de audio o de audio y video asociados mediante la instalación, funcionamiento y operación de estaciones de radio y televisión,</w:t>
      </w:r>
      <w:r w:rsidRPr="0034602F">
        <w:rPr>
          <w:rFonts w:ascii="ITC Avant Garde" w:eastAsia="Times New Roman" w:hAnsi="ITC Avant Garde"/>
          <w:bCs/>
          <w:color w:val="000000"/>
          <w:lang w:eastAsia="es-MX"/>
        </w:rPr>
        <w:t xml:space="preserve"> se ejerce observando lo dispuesto en los artículos 27 párrafos cuarto y sexto y 28 de la </w:t>
      </w:r>
      <w:r w:rsidRPr="0034602F">
        <w:rPr>
          <w:rFonts w:ascii="ITC Avant Garde" w:eastAsia="Times New Roman" w:hAnsi="ITC Avant Garde"/>
          <w:b/>
          <w:bCs/>
          <w:color w:val="000000"/>
          <w:lang w:eastAsia="es-MX"/>
        </w:rPr>
        <w:t>CPEUM</w:t>
      </w:r>
      <w:r w:rsidRPr="0034602F">
        <w:rPr>
          <w:rFonts w:ascii="ITC Avant Garde" w:eastAsia="Times New Roman" w:hAnsi="ITC Avant Garde"/>
          <w:bCs/>
          <w:color w:val="000000"/>
          <w:lang w:eastAsia="es-MX"/>
        </w:rPr>
        <w:t xml:space="preserve">, los cuales prevén que el dominio de la Nación sobre el espectro radioeléctrico es inalienable e imprescriptible y que la explotación, uso o aprovechamiento de dicho recurso por los particulares o por sociedades debidamente constituidas conforme a las leyes mexicanas, sólo puede realizarse mediante títulos de concesión otorgados por el </w:t>
      </w:r>
      <w:r w:rsidRPr="0034602F">
        <w:rPr>
          <w:rFonts w:ascii="ITC Avant Garde" w:eastAsia="Times New Roman" w:hAnsi="ITC Avant Garde"/>
          <w:b/>
          <w:bCs/>
          <w:color w:val="000000"/>
          <w:lang w:eastAsia="es-MX"/>
        </w:rPr>
        <w:lastRenderedPageBreak/>
        <w:t>IFT</w:t>
      </w:r>
      <w:r w:rsidRPr="0034602F">
        <w:rPr>
          <w:rFonts w:ascii="ITC Avant Garde" w:eastAsia="Times New Roman" w:hAnsi="ITC Avant Garde"/>
          <w:bCs/>
          <w:color w:val="000000"/>
          <w:lang w:eastAsia="es-MX"/>
        </w:rPr>
        <w:t>, de acuerdo con las reglas y condiciones que establezca la normatividad aplicable en la materia.</w:t>
      </w:r>
    </w:p>
    <w:p w14:paraId="536C80CA"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Asimismo, de conformidad con lo establecido en el artículo 28, párrafos décimo quinto y décimo sexto de la </w:t>
      </w:r>
      <w:r w:rsidRPr="0034602F">
        <w:rPr>
          <w:rFonts w:ascii="ITC Avant Garde" w:eastAsia="Times New Roman" w:hAnsi="ITC Avant Garde"/>
          <w:b/>
          <w:bCs/>
          <w:color w:val="000000"/>
          <w:lang w:eastAsia="es-MX"/>
        </w:rPr>
        <w:t>CPEUM</w:t>
      </w:r>
      <w:r w:rsidRPr="0034602F">
        <w:rPr>
          <w:rFonts w:ascii="ITC Avant Garde" w:eastAsia="Times New Roman" w:hAnsi="ITC Avant Garde"/>
          <w:bCs/>
          <w:color w:val="000000"/>
          <w:lang w:eastAsia="es-MX"/>
        </w:rPr>
        <w:t xml:space="preserve">, el </w:t>
      </w:r>
      <w:r w:rsidRPr="0034602F">
        <w:rPr>
          <w:rFonts w:ascii="ITC Avant Garde" w:eastAsia="Times New Roman" w:hAnsi="ITC Avant Garde"/>
          <w:b/>
          <w:bCs/>
          <w:color w:val="000000"/>
          <w:lang w:eastAsia="es-MX"/>
        </w:rPr>
        <w:t>IFT</w:t>
      </w:r>
      <w:r w:rsidRPr="0034602F">
        <w:rPr>
          <w:rFonts w:ascii="ITC Avant Garde" w:eastAsia="Times New Roman" w:hAnsi="ITC Avant Garde"/>
          <w:bCs/>
          <w:color w:val="000000"/>
          <w:lang w:eastAsia="es-MX"/>
        </w:rPr>
        <w:t xml:space="preserve"> es un órgano autónomo, con personalidad jurídica y patrimonio propio, que tiene por objeto el desarrollo eficiente de la radiodifusión y las 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14:paraId="7D60047A"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Conforme a lo anterior, el </w:t>
      </w:r>
      <w:r w:rsidRPr="0034602F">
        <w:rPr>
          <w:rFonts w:ascii="ITC Avant Garde" w:eastAsia="Times New Roman" w:hAnsi="ITC Avant Garde"/>
          <w:b/>
          <w:bCs/>
          <w:color w:val="000000"/>
          <w:lang w:eastAsia="es-MX"/>
        </w:rPr>
        <w:t>IFT</w:t>
      </w:r>
      <w:r w:rsidRPr="0034602F">
        <w:rPr>
          <w:rFonts w:ascii="ITC Avant Garde" w:eastAsia="Times New Roman" w:hAnsi="ITC Avant Garde"/>
          <w:bCs/>
          <w:color w:val="000000"/>
          <w:lang w:eastAsia="es-MX"/>
        </w:rPr>
        <w:t xml:space="preserve"> es el encargado de vigilar la debida observancia a lo dispuesto en las concesiones y autorizaciones que se otorguen para el uso, aprovechamiento y explotación de bandas de frecuencias del espectro radioeléctrico,</w:t>
      </w:r>
      <w:r w:rsidRPr="0034602F">
        <w:t xml:space="preserve"> </w:t>
      </w:r>
      <w:r w:rsidRPr="0034602F">
        <w:rPr>
          <w:rFonts w:ascii="ITC Avant Garde" w:eastAsia="Times New Roman" w:hAnsi="ITC Avant Garde"/>
          <w:bCs/>
          <w:color w:val="000000"/>
          <w:lang w:eastAsia="es-MX"/>
        </w:rPr>
        <w:t>dedicadas al servicio público de radiodifusión como vehículo de información y de expresión, a fin de asegurar que se realice de conformidad con las disposiciones jurídicas aplicables.</w:t>
      </w:r>
    </w:p>
    <w:p w14:paraId="677A09F6"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Bajo esas consideraciones, el ejercicio de las facultades de supervisión y verificación por parte del </w:t>
      </w:r>
      <w:r w:rsidRPr="0034602F">
        <w:rPr>
          <w:rFonts w:ascii="ITC Avant Garde" w:eastAsia="Times New Roman" w:hAnsi="ITC Avant Garde"/>
          <w:b/>
          <w:bCs/>
          <w:color w:val="000000"/>
          <w:lang w:eastAsia="es-MX"/>
        </w:rPr>
        <w:t>IFT</w:t>
      </w:r>
      <w:r w:rsidRPr="0034602F">
        <w:rPr>
          <w:rFonts w:ascii="ITC Avant Garde" w:eastAsia="Times New Roman" w:hAnsi="ITC Avant Garde"/>
          <w:bCs/>
          <w:color w:val="000000"/>
          <w:lang w:eastAsia="es-MX"/>
        </w:rPr>
        <w:t xml:space="preserve"> traen aparejada la relativa a imponer sanciones por el incumplimiento a lo establecido en las leyes correspondientes o en los respectivos títulos de concesión, asignaciones o permisos, con la finalidad de inhibir aquellas conductas que atenten contra los objetivos de la normatividad en la materia.</w:t>
      </w:r>
    </w:p>
    <w:p w14:paraId="6FE8FF34"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Ahora bien, para determinar la procedencia en la imposición de una sanción,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xml:space="preserve"> aplicable en el caso en concreto, no sólo establece obligaciones para los concesionarios y permisionarios y en general para cualquier persona, sino también señala supuestos de incumplimiento específicos y las consecuencias jurídicas a las que se harán acreedores en casos de infringir la normatividad en la materia.</w:t>
      </w:r>
    </w:p>
    <w:p w14:paraId="27362B9C"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Es decir, al pretender imponer una sanción, esta autoridad debe analizar, minuciosamente, la conducta que se le imputa al </w:t>
      </w:r>
      <w:r w:rsidR="00A01799" w:rsidRPr="0034602F">
        <w:rPr>
          <w:rFonts w:ascii="ITC Avant Garde" w:hAnsi="ITC Avant Garde"/>
          <w:b/>
        </w:rPr>
        <w:t>PRESUNTO RESPONSABLE</w:t>
      </w:r>
      <w:r w:rsidR="00A01799" w:rsidRPr="0034602F">
        <w:rPr>
          <w:rFonts w:ascii="ITC Avant Garde" w:eastAsia="Times New Roman" w:hAnsi="ITC Avant Garde"/>
          <w:bCs/>
          <w:color w:val="000000"/>
          <w:lang w:eastAsia="es-MX"/>
        </w:rPr>
        <w:t xml:space="preserve"> </w:t>
      </w:r>
      <w:r w:rsidRPr="0034602F">
        <w:rPr>
          <w:rFonts w:ascii="ITC Avant Garde" w:eastAsia="Times New Roman" w:hAnsi="ITC Avant Garde"/>
          <w:bCs/>
          <w:color w:val="000000"/>
          <w:lang w:eastAsia="es-MX"/>
        </w:rPr>
        <w:t>y determinar si la misma es susceptible de ser sancionada en términos del precepto legal o normativo que se considera violado.</w:t>
      </w:r>
    </w:p>
    <w:p w14:paraId="2F21A255"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lastRenderedPageBreak/>
        <w:t xml:space="preserve">En este orden de ideas, la H. Suprema Corte de Justicia de la Nación, ha sostenido que el desarrollo jurisprudencial de los principios del derecho penal en el campo administrativo sancionador irá formando los principios propios para este campo del </w:t>
      </w:r>
      <w:proofErr w:type="spellStart"/>
      <w:r w:rsidRPr="0034602F">
        <w:rPr>
          <w:rFonts w:ascii="ITC Avant Garde" w:eastAsia="Times New Roman" w:hAnsi="ITC Avant Garde"/>
          <w:bCs/>
          <w:color w:val="000000"/>
          <w:lang w:eastAsia="es-MX"/>
        </w:rPr>
        <w:t>ius</w:t>
      </w:r>
      <w:proofErr w:type="spellEnd"/>
      <w:r w:rsidRPr="0034602F">
        <w:rPr>
          <w:rFonts w:ascii="ITC Avant Garde" w:eastAsia="Times New Roman" w:hAnsi="ITC Avant Garde"/>
          <w:bCs/>
          <w:color w:val="000000"/>
          <w:lang w:eastAsia="es-MX"/>
        </w:rPr>
        <w:t xml:space="preserve"> </w:t>
      </w:r>
      <w:proofErr w:type="spellStart"/>
      <w:r w:rsidRPr="0034602F">
        <w:rPr>
          <w:rFonts w:ascii="ITC Avant Garde" w:eastAsia="Times New Roman" w:hAnsi="ITC Avant Garde"/>
          <w:bCs/>
          <w:color w:val="000000"/>
          <w:lang w:eastAsia="es-MX"/>
        </w:rPr>
        <w:t>puniendi</w:t>
      </w:r>
      <w:proofErr w:type="spellEnd"/>
      <w:r w:rsidRPr="0034602F">
        <w:rPr>
          <w:rFonts w:ascii="ITC Avant Garde" w:eastAsia="Times New Roman" w:hAnsi="ITC Avant Garde"/>
          <w:bCs/>
          <w:color w:val="000000"/>
          <w:lang w:eastAsia="es-MX"/>
        </w:rPr>
        <w:t xml:space="preserve"> del Estado, sin embargo, en tanto esto sucede, es válido considerar de manera prudente las técnicas garantistas del derecho penal, como lo es el principio de inaplicabilidad de la analogía en materia penal o tipicidad.</w:t>
      </w:r>
    </w:p>
    <w:p w14:paraId="6F3F281D"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En ese sentido, el derecho administrativo sancionador y el derecho penal al ser manifestaciones de la potestad punitiva del Est</w:t>
      </w:r>
      <w:r w:rsidR="002B7F5E" w:rsidRPr="0034602F">
        <w:rPr>
          <w:rFonts w:ascii="ITC Avant Garde" w:eastAsia="Times New Roman" w:hAnsi="ITC Avant Garde"/>
          <w:bCs/>
          <w:color w:val="000000"/>
          <w:lang w:eastAsia="es-MX"/>
        </w:rPr>
        <w:t xml:space="preserve">ado y dada la unidad de éstos, </w:t>
      </w:r>
      <w:r w:rsidRPr="0034602F">
        <w:rPr>
          <w:rFonts w:ascii="ITC Avant Garde" w:eastAsia="Times New Roman" w:hAnsi="ITC Avant Garde"/>
          <w:bCs/>
          <w:color w:val="000000"/>
          <w:lang w:eastAsia="es-MX"/>
        </w:rPr>
        <w:t xml:space="preserve">en la interpretación constitucional de los principios del derecho administrativo sancionador, </w:t>
      </w:r>
      <w:r w:rsidR="002B7F5E" w:rsidRPr="0034602F">
        <w:rPr>
          <w:rFonts w:ascii="ITC Avant Garde" w:eastAsia="Times New Roman" w:hAnsi="ITC Avant Garde"/>
          <w:bCs/>
          <w:color w:val="000000"/>
          <w:lang w:eastAsia="es-MX"/>
        </w:rPr>
        <w:t xml:space="preserve">debe acudirse al </w:t>
      </w:r>
      <w:r w:rsidRPr="0034602F">
        <w:rPr>
          <w:rFonts w:ascii="ITC Avant Garde" w:eastAsia="Times New Roman" w:hAnsi="ITC Avant Garde"/>
          <w:bCs/>
          <w:color w:val="000000"/>
          <w:lang w:eastAsia="es-MX"/>
        </w:rPr>
        <w:t>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por el poder legislativo, sin que sea lícito ampliar ésta por analogía o por mayoría de razón.</w:t>
      </w:r>
    </w:p>
    <w:p w14:paraId="53C72E70"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Así, en la especie se considera que la conducta desplegada por el presunto infractor vulnera el contenido del artículo 66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xml:space="preserve">, que al efecto establece que se requiere </w:t>
      </w:r>
      <w:r w:rsidRPr="0034602F">
        <w:rPr>
          <w:rFonts w:ascii="ITC Avant Garde" w:hAnsi="ITC Avant Garde"/>
        </w:rPr>
        <w:t xml:space="preserve">de concesión única </w:t>
      </w:r>
      <w:r w:rsidRPr="0034602F">
        <w:rPr>
          <w:rFonts w:ascii="ITC Avant Garde" w:eastAsia="Times New Roman" w:hAnsi="ITC Avant Garde"/>
          <w:bCs/>
          <w:color w:val="000000"/>
          <w:lang w:eastAsia="es-MX"/>
        </w:rPr>
        <w:t xml:space="preserve">otorgada por el </w:t>
      </w:r>
      <w:r w:rsidRPr="0034602F">
        <w:rPr>
          <w:rFonts w:ascii="ITC Avant Garde" w:eastAsia="Times New Roman" w:hAnsi="ITC Avant Garde"/>
          <w:b/>
          <w:bCs/>
          <w:color w:val="000000"/>
          <w:lang w:eastAsia="es-MX"/>
        </w:rPr>
        <w:t>IFT</w:t>
      </w:r>
      <w:r w:rsidRPr="0034602F">
        <w:rPr>
          <w:rFonts w:ascii="ITC Avant Garde" w:hAnsi="ITC Avant Garde"/>
        </w:rPr>
        <w:t xml:space="preserve"> para prestar todo tipo de servicios públicos de telecomunicaciones y radiodifusión.</w:t>
      </w:r>
      <w:r w:rsidRPr="0034602F">
        <w:rPr>
          <w:rFonts w:ascii="ITC Avant Garde" w:eastAsia="Times New Roman" w:hAnsi="ITC Avant Garde"/>
          <w:bCs/>
          <w:color w:val="000000"/>
          <w:lang w:eastAsia="es-MX"/>
        </w:rPr>
        <w:t xml:space="preserve"> </w:t>
      </w:r>
    </w:p>
    <w:p w14:paraId="04DEFB77"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Desde luego, el mencionado precepto dispone lo siguiente:</w:t>
      </w:r>
    </w:p>
    <w:p w14:paraId="33365EEC" w14:textId="77777777" w:rsidR="003C5E62" w:rsidRPr="0034602F" w:rsidRDefault="0047731F" w:rsidP="00583167">
      <w:pPr>
        <w:pStyle w:val="Textoindependiente"/>
        <w:spacing w:before="240" w:after="240" w:line="240" w:lineRule="auto"/>
        <w:ind w:left="567" w:right="567"/>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w:t>
      </w:r>
      <w:r w:rsidRPr="0034602F">
        <w:rPr>
          <w:rFonts w:ascii="ITC Avant Garde" w:eastAsia="Times New Roman" w:hAnsi="ITC Avant Garde"/>
          <w:b/>
          <w:bCs/>
          <w:color w:val="000000"/>
          <w:lang w:eastAsia="es-MX"/>
        </w:rPr>
        <w:t>Artículo 66.</w:t>
      </w:r>
      <w:r w:rsidRPr="0034602F">
        <w:rPr>
          <w:rFonts w:ascii="ITC Avant Garde" w:eastAsia="Times New Roman" w:hAnsi="ITC Avant Garde"/>
          <w:bCs/>
          <w:color w:val="000000"/>
          <w:lang w:eastAsia="es-MX"/>
        </w:rPr>
        <w:t xml:space="preserve"> Se requerirá concesión única para prestar todo tipo de servicios públicos de telecomunicaciones y radiodifusión.”</w:t>
      </w:r>
    </w:p>
    <w:p w14:paraId="1B2C4D03" w14:textId="77777777" w:rsidR="003C5E62" w:rsidRPr="0034602F" w:rsidRDefault="0047731F" w:rsidP="00583167">
      <w:pPr>
        <w:pStyle w:val="Textoindependiente"/>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Lo anterior, en relación con el artículo 75,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el cual dispone que corresponde al Instituto el otorgamiento de concesión para usar, aprovechar y explotar bandas de frecuencia del espectro radioeléctrico.</w:t>
      </w:r>
    </w:p>
    <w:p w14:paraId="63EEE427"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Ahora bien, para efectos de cumplir con el citado principio de tipicidad, resulta importante hacer notar que la conducta antes referida, misma que resulta contraria a la ley, es susceptible de ser sancionada en términos de la fracción I del inciso E) del artículo 298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xml:space="preserve">, mismo que establece que la sanción que en su caso procede imponer a quien preste servicios de telecomunicaciones o radiodifusión sin contar con concesión </w:t>
      </w:r>
      <w:r w:rsidRPr="0034602F">
        <w:rPr>
          <w:rFonts w:ascii="ITC Avant Garde" w:eastAsia="Times New Roman" w:hAnsi="ITC Avant Garde"/>
          <w:bCs/>
          <w:color w:val="000000"/>
          <w:lang w:eastAsia="es-MX"/>
        </w:rPr>
        <w:lastRenderedPageBreak/>
        <w:t xml:space="preserve">o autorización, </w:t>
      </w:r>
      <w:r w:rsidR="00F12445" w:rsidRPr="0034602F">
        <w:rPr>
          <w:rFonts w:ascii="ITC Avant Garde" w:eastAsia="Times New Roman" w:hAnsi="ITC Avant Garde"/>
          <w:bCs/>
          <w:color w:val="000000"/>
          <w:lang w:eastAsia="es-MX"/>
        </w:rPr>
        <w:t>consiste en</w:t>
      </w:r>
      <w:r w:rsidRPr="0034602F">
        <w:rPr>
          <w:rFonts w:ascii="ITC Avant Garde" w:eastAsia="Times New Roman" w:hAnsi="ITC Avant Garde"/>
          <w:bCs/>
          <w:color w:val="000000"/>
          <w:lang w:eastAsia="es-MX"/>
        </w:rPr>
        <w:t xml:space="preserve"> una multa por el equivalente del 6.01% hasta el 10% de los ingresos acumulables de la persona infractora. </w:t>
      </w:r>
    </w:p>
    <w:p w14:paraId="28C9C528"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En efecto, el artículo 298, inciso E), fracción I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establece expresamente lo siguiente:</w:t>
      </w:r>
    </w:p>
    <w:p w14:paraId="34B7F4FF" w14:textId="1013820F" w:rsidR="003C5E62" w:rsidRPr="0034602F" w:rsidRDefault="0047731F" w:rsidP="00583167">
      <w:pPr>
        <w:spacing w:before="240" w:after="240" w:line="240" w:lineRule="auto"/>
        <w:ind w:left="709" w:right="616"/>
        <w:jc w:val="both"/>
        <w:rPr>
          <w:rFonts w:ascii="ITC Avant Garde" w:eastAsia="Times New Roman" w:hAnsi="ITC Avant Garde"/>
          <w:sz w:val="20"/>
          <w:szCs w:val="20"/>
          <w:lang w:eastAsia="es-ES"/>
        </w:rPr>
      </w:pPr>
      <w:r w:rsidRPr="0034602F">
        <w:rPr>
          <w:rFonts w:ascii="ITC Avant Garde" w:hAnsi="ITC Avant Garde"/>
          <w:color w:val="000000"/>
          <w:sz w:val="20"/>
          <w:szCs w:val="20"/>
        </w:rPr>
        <w:t>“</w:t>
      </w:r>
      <w:r w:rsidRPr="0034602F">
        <w:rPr>
          <w:rFonts w:ascii="ITC Avant Garde" w:hAnsi="ITC Avant Garde"/>
          <w:b/>
          <w:color w:val="000000"/>
          <w:sz w:val="20"/>
          <w:szCs w:val="20"/>
        </w:rPr>
        <w:t>Artículo 298.</w:t>
      </w:r>
      <w:r w:rsidRPr="0034602F">
        <w:rPr>
          <w:rFonts w:ascii="ITC Avant Garde" w:hAnsi="ITC Avant Garde"/>
          <w:color w:val="000000"/>
          <w:sz w:val="20"/>
          <w:szCs w:val="20"/>
        </w:rPr>
        <w:t xml:space="preserve"> Las infracciones a lo dispuesto en esta Ley y a las disposiciones que deriven de ella, se sancionarán por el Instituto de conformidad con lo siguiente</w:t>
      </w:r>
      <w:proofErr w:type="gramStart"/>
      <w:r w:rsidRPr="0034602F">
        <w:rPr>
          <w:rFonts w:ascii="ITC Avant Garde" w:hAnsi="ITC Avant Garde"/>
          <w:color w:val="000000"/>
          <w:sz w:val="20"/>
          <w:szCs w:val="20"/>
        </w:rPr>
        <w:t xml:space="preserve">: </w:t>
      </w:r>
      <w:r w:rsidRPr="0034602F">
        <w:rPr>
          <w:rFonts w:ascii="ITC Avant Garde" w:hAnsi="ITC Avant Garde"/>
          <w:color w:val="000000"/>
          <w:sz w:val="20"/>
          <w:szCs w:val="20"/>
        </w:rPr>
        <w:cr/>
      </w:r>
      <w:r w:rsidRPr="0034602F">
        <w:rPr>
          <w:rFonts w:ascii="ITC Avant Garde" w:eastAsia="Times New Roman" w:hAnsi="ITC Avant Garde"/>
          <w:sz w:val="20"/>
          <w:szCs w:val="20"/>
          <w:lang w:eastAsia="es-ES"/>
        </w:rPr>
        <w:t>[</w:t>
      </w:r>
      <w:proofErr w:type="gramEnd"/>
      <w:r w:rsidRPr="0034602F">
        <w:rPr>
          <w:rFonts w:ascii="ITC Avant Garde" w:eastAsia="Times New Roman" w:hAnsi="ITC Avant Garde"/>
          <w:sz w:val="20"/>
          <w:szCs w:val="20"/>
          <w:lang w:eastAsia="es-ES"/>
        </w:rPr>
        <w:t>…]</w:t>
      </w:r>
    </w:p>
    <w:p w14:paraId="4DB31F9E" w14:textId="77777777" w:rsidR="003C5E62" w:rsidRPr="0034602F" w:rsidRDefault="0047731F" w:rsidP="00583167">
      <w:pPr>
        <w:spacing w:before="240" w:after="240" w:line="240" w:lineRule="auto"/>
        <w:ind w:left="709" w:right="616"/>
        <w:jc w:val="both"/>
        <w:rPr>
          <w:rFonts w:ascii="ITC Avant Garde" w:hAnsi="ITC Avant Garde"/>
          <w:color w:val="000000"/>
          <w:sz w:val="20"/>
          <w:szCs w:val="20"/>
        </w:rPr>
      </w:pPr>
      <w:r w:rsidRPr="0034602F">
        <w:rPr>
          <w:rFonts w:ascii="ITC Avant Garde" w:hAnsi="ITC Avant Garde"/>
          <w:color w:val="000000"/>
          <w:sz w:val="20"/>
          <w:szCs w:val="20"/>
        </w:rPr>
        <w:t>E). Con multa por el equivalente de 6.01% hasta 10% de los ingresos de la persona infractora que:</w:t>
      </w:r>
    </w:p>
    <w:p w14:paraId="43729D44" w14:textId="6ABEE6CC" w:rsidR="003C5E62" w:rsidRPr="0034602F" w:rsidRDefault="0047731F" w:rsidP="00583167">
      <w:pPr>
        <w:spacing w:before="240" w:after="240" w:line="240" w:lineRule="auto"/>
        <w:ind w:left="709" w:right="616"/>
        <w:jc w:val="both"/>
        <w:rPr>
          <w:rFonts w:ascii="ITC Avant Garde" w:eastAsia="Times New Roman" w:hAnsi="ITC Avant Garde"/>
          <w:bCs/>
          <w:color w:val="000000"/>
          <w:sz w:val="20"/>
          <w:szCs w:val="20"/>
          <w:lang w:eastAsia="es-MX"/>
        </w:rPr>
      </w:pPr>
      <w:r w:rsidRPr="0034602F">
        <w:rPr>
          <w:rFonts w:ascii="ITC Avant Garde" w:hAnsi="ITC Avant Garde"/>
          <w:color w:val="000000"/>
          <w:sz w:val="20"/>
          <w:szCs w:val="20"/>
        </w:rPr>
        <w:t>I. Preste servicios de telecomunicaciones o radiodifusión sin contar con concesión o autorización…</w:t>
      </w:r>
    </w:p>
    <w:p w14:paraId="1102AE47"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Asimismo, la comisión de la conducta en análisis, actualiza la primera de las hipótesis normativas previstas en el artículo 305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misma que establece como consecuencia, la pérdida en beneficio de la Nación, de los bienes, instalaciones y equipos empleados en la comisión de dichas infracciones. En efecto dicho precepto legal expresamente establece:</w:t>
      </w:r>
    </w:p>
    <w:p w14:paraId="13DB0169" w14:textId="77777777" w:rsidR="003C5E62" w:rsidRPr="0034602F" w:rsidRDefault="0047731F" w:rsidP="00583167">
      <w:pPr>
        <w:spacing w:before="240" w:after="240" w:line="240" w:lineRule="auto"/>
        <w:ind w:left="709" w:right="616"/>
        <w:jc w:val="both"/>
        <w:rPr>
          <w:rFonts w:ascii="ITC Avant Garde" w:eastAsia="Times New Roman" w:hAnsi="ITC Avant Garde"/>
          <w:bCs/>
          <w:color w:val="000000"/>
          <w:sz w:val="20"/>
          <w:szCs w:val="20"/>
          <w:lang w:eastAsia="es-MX"/>
        </w:rPr>
      </w:pPr>
      <w:r w:rsidRPr="0034602F">
        <w:rPr>
          <w:rFonts w:ascii="ITC Avant Garde" w:eastAsia="Times New Roman" w:hAnsi="ITC Avant Garde"/>
          <w:bCs/>
          <w:color w:val="000000"/>
          <w:sz w:val="20"/>
          <w:szCs w:val="20"/>
          <w:lang w:eastAsia="es-MX"/>
        </w:rPr>
        <w:t>“</w:t>
      </w:r>
      <w:r w:rsidRPr="0034602F">
        <w:rPr>
          <w:rFonts w:ascii="ITC Avant Garde" w:eastAsia="Times New Roman" w:hAnsi="ITC Avant Garde"/>
          <w:b/>
          <w:bCs/>
          <w:color w:val="000000"/>
          <w:sz w:val="20"/>
          <w:szCs w:val="20"/>
          <w:lang w:eastAsia="es-MX"/>
        </w:rPr>
        <w:t>Artículo 305.</w:t>
      </w:r>
      <w:r w:rsidRPr="0034602F">
        <w:rPr>
          <w:rFonts w:ascii="ITC Avant Garde" w:eastAsia="Times New Roman" w:hAnsi="ITC Avant Garde"/>
          <w:bCs/>
          <w:color w:val="000000"/>
          <w:sz w:val="20"/>
          <w:szCs w:val="20"/>
          <w:lang w:eastAsia="es-MX"/>
        </w:rPr>
        <w:t xml:space="preserve"> </w:t>
      </w:r>
      <w:r w:rsidRPr="0034602F">
        <w:rPr>
          <w:rFonts w:ascii="ITC Avant Garde" w:eastAsia="Times New Roman" w:hAnsi="ITC Avant Garde"/>
          <w:b/>
          <w:bCs/>
          <w:color w:val="000000"/>
          <w:sz w:val="20"/>
          <w:szCs w:val="20"/>
          <w:u w:val="single"/>
          <w:lang w:eastAsia="es-MX"/>
        </w:rPr>
        <w:t>Las personas que presten servicios</w:t>
      </w:r>
      <w:r w:rsidRPr="0034602F">
        <w:rPr>
          <w:rFonts w:ascii="ITC Avant Garde" w:eastAsia="Times New Roman" w:hAnsi="ITC Avant Garde"/>
          <w:bCs/>
          <w:color w:val="000000"/>
          <w:sz w:val="20"/>
          <w:szCs w:val="20"/>
          <w:lang w:eastAsia="es-MX"/>
        </w:rPr>
        <w:t xml:space="preserve"> de telecomunicaciones o </w:t>
      </w:r>
      <w:r w:rsidRPr="0034602F">
        <w:rPr>
          <w:rFonts w:ascii="ITC Avant Garde" w:eastAsia="Times New Roman" w:hAnsi="ITC Avant Garde"/>
          <w:b/>
          <w:bCs/>
          <w:color w:val="000000"/>
          <w:sz w:val="20"/>
          <w:szCs w:val="20"/>
          <w:u w:val="single"/>
          <w:lang w:eastAsia="es-MX"/>
        </w:rPr>
        <w:t>de radiodifusión, sin contar con concesión o autorización,</w:t>
      </w:r>
      <w:r w:rsidRPr="0034602F">
        <w:rPr>
          <w:rFonts w:ascii="ITC Avant Garde" w:eastAsia="Times New Roman" w:hAnsi="ITC Avant Garde"/>
          <w:bCs/>
          <w:color w:val="000000"/>
          <w:sz w:val="20"/>
          <w:szCs w:val="20"/>
          <w:lang w:eastAsia="es-MX"/>
        </w:rPr>
        <w:t xml:space="preserve"> o que por cualquier otro medio invadan u obstruyan las vías generales de comunicación, </w:t>
      </w:r>
      <w:r w:rsidRPr="0034602F">
        <w:rPr>
          <w:rFonts w:ascii="ITC Avant Garde" w:eastAsia="Times New Roman" w:hAnsi="ITC Avant Garde"/>
          <w:b/>
          <w:bCs/>
          <w:color w:val="000000"/>
          <w:sz w:val="20"/>
          <w:szCs w:val="20"/>
          <w:u w:val="single"/>
          <w:lang w:eastAsia="es-MX"/>
        </w:rPr>
        <w:t>perderán en beneficio de la Nación los bienes, instalaciones y equipos empleados en la comisión de dichas infracciones.</w:t>
      </w:r>
      <w:r w:rsidRPr="0034602F">
        <w:rPr>
          <w:rFonts w:ascii="ITC Avant Garde" w:eastAsia="Times New Roman" w:hAnsi="ITC Avant Garde"/>
          <w:bCs/>
          <w:color w:val="000000"/>
          <w:sz w:val="20"/>
          <w:szCs w:val="20"/>
          <w:lang w:eastAsia="es-MX"/>
        </w:rPr>
        <w:t>”</w:t>
      </w:r>
    </w:p>
    <w:p w14:paraId="54556655" w14:textId="2EE4A001" w:rsidR="0047731F"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14:paraId="336738A4" w14:textId="77777777" w:rsidR="003C5E62" w:rsidRPr="0034602F" w:rsidRDefault="0047731F" w:rsidP="00583167">
      <w:pPr>
        <w:spacing w:before="240" w:after="240" w:line="360" w:lineRule="auto"/>
        <w:jc w:val="both"/>
        <w:rPr>
          <w:rFonts w:ascii="ITC Avant Garde" w:hAnsi="ITC Avant Garde"/>
          <w:color w:val="000000"/>
        </w:rPr>
      </w:pPr>
      <w:r w:rsidRPr="0034602F">
        <w:rPr>
          <w:rFonts w:ascii="ITC Avant Garde" w:eastAsia="Times New Roman" w:hAnsi="ITC Avant Garde"/>
          <w:bCs/>
          <w:color w:val="000000"/>
          <w:lang w:eastAsia="es-MX"/>
        </w:rPr>
        <w:t xml:space="preserve">Por otra parte, resulta importante mencionar que para el ejercicio de la facultad sancionadora, en el caso de incumplimiento de las disposiciones legales en materia de radiodifusión, el artículo 297 primer párrafo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xml:space="preserve"> establece que para la imposición de las sanciones previstas en dicho cuerpo normativo, se estará a lo previsto por la </w:t>
      </w:r>
      <w:r w:rsidRPr="0034602F">
        <w:rPr>
          <w:rFonts w:ascii="ITC Avant Garde" w:eastAsia="Times New Roman" w:hAnsi="ITC Avant Garde"/>
          <w:b/>
          <w:bCs/>
          <w:color w:val="000000"/>
          <w:lang w:eastAsia="es-MX"/>
        </w:rPr>
        <w:t>LFPA</w:t>
      </w:r>
      <w:r w:rsidRPr="0034602F">
        <w:rPr>
          <w:rFonts w:ascii="ITC Avant Garde" w:eastAsia="Times New Roman" w:hAnsi="ITC Avant Garde"/>
          <w:bCs/>
          <w:color w:val="000000"/>
          <w:lang w:eastAsia="es-MX"/>
        </w:rPr>
        <w:t>, la cual prevé dentro de su Título Cuarto, Capítulo Único, el procedimiento para la imposición de sanciones.</w:t>
      </w:r>
    </w:p>
    <w:p w14:paraId="5C74C07E"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lastRenderedPageBreak/>
        <w:t xml:space="preserve">En efecto, los artículos 70 y 72 de la </w:t>
      </w:r>
      <w:r w:rsidRPr="0034602F">
        <w:rPr>
          <w:rFonts w:ascii="ITC Avant Garde" w:eastAsia="Times New Roman" w:hAnsi="ITC Avant Garde"/>
          <w:b/>
          <w:bCs/>
          <w:color w:val="000000"/>
          <w:lang w:eastAsia="es-MX"/>
        </w:rPr>
        <w:t>LFPA</w:t>
      </w:r>
      <w:r w:rsidRPr="0034602F">
        <w:rPr>
          <w:rFonts w:ascii="ITC Avant Garde" w:eastAsia="Times New Roman" w:hAnsi="ITC Avant Garde"/>
          <w:bCs/>
          <w:color w:val="000000"/>
          <w:lang w:eastAsia="es-MX"/>
        </w:rPr>
        <w:t>, establecen que para la imposición de una sanción, se deben cubrir dos premisas: i) que la sanción se encuentre prevista en la ley y ii) que previamente a la imposición de la misma, la autoridad competente notifique al presunto infractor el inicio del procedimiento respectivo, otorgando al efecto un plazo de quince días para que el presunto infractor exponga lo que a su derecho convenga, y en su caso aporte las pruebas con que cuente.</w:t>
      </w:r>
    </w:p>
    <w:p w14:paraId="3716EDD8"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Así las cosas, al iniciarse el procedimiento administrativo de imposición de sanción en contra de</w:t>
      </w:r>
      <w:r w:rsidRPr="0034602F">
        <w:rPr>
          <w:rFonts w:ascii="ITC Avant Garde" w:eastAsia="Times New Roman" w:hAnsi="ITC Avant Garde"/>
          <w:bCs/>
          <w:lang w:eastAsia="es-MX"/>
        </w:rPr>
        <w:t xml:space="preserve">l </w:t>
      </w:r>
      <w:r w:rsidR="00A01799" w:rsidRPr="0034602F">
        <w:rPr>
          <w:rFonts w:ascii="ITC Avant Garde" w:hAnsi="ITC Avant Garde"/>
          <w:b/>
        </w:rPr>
        <w:t>PRESUNTO RESPONSABLE</w:t>
      </w:r>
      <w:r w:rsidRPr="0034602F">
        <w:rPr>
          <w:rFonts w:ascii="ITC Avant Garde" w:hAnsi="ITC Avant Garde"/>
          <w:b/>
        </w:rPr>
        <w:t>,</w:t>
      </w:r>
      <w:r w:rsidRPr="0034602F">
        <w:rPr>
          <w:rFonts w:ascii="ITC Avant Garde" w:eastAsia="Times New Roman" w:hAnsi="ITC Avant Garde"/>
          <w:bCs/>
          <w:lang w:eastAsia="es-MX"/>
        </w:rPr>
        <w:t xml:space="preserve"> </w:t>
      </w:r>
      <w:r w:rsidRPr="0034602F">
        <w:rPr>
          <w:rFonts w:ascii="ITC Avant Garde" w:eastAsia="Times New Roman" w:hAnsi="ITC Avant Garde"/>
          <w:bCs/>
          <w:color w:val="000000"/>
          <w:lang w:eastAsia="es-MX"/>
        </w:rPr>
        <w:t xml:space="preserve">se presumió el incumplimiento de lo establecido en el artículo 66 </w:t>
      </w:r>
      <w:r w:rsidRPr="0034602F">
        <w:rPr>
          <w:rFonts w:ascii="ITC Avant Garde" w:hAnsi="ITC Avant Garde"/>
          <w:bCs/>
        </w:rPr>
        <w:t>en relación con el 75</w:t>
      </w:r>
      <w:r w:rsidRPr="0034602F">
        <w:rPr>
          <w:rFonts w:ascii="ITC Avant Garde" w:eastAsia="Times New Roman" w:hAnsi="ITC Avant Garde"/>
          <w:bCs/>
          <w:color w:val="000000"/>
          <w:lang w:eastAsia="es-MX"/>
        </w:rPr>
        <w:t xml:space="preserve">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xml:space="preserve"> ya que no contaba con la concesión correspondiente para la prestación del servicio público de radiodifusión, en concreto para </w:t>
      </w:r>
      <w:r w:rsidRPr="0034602F">
        <w:rPr>
          <w:rFonts w:ascii="ITC Avant Garde" w:hAnsi="ITC Avant Garde"/>
        </w:rPr>
        <w:t xml:space="preserve">operar la </w:t>
      </w:r>
      <w:r w:rsidRPr="0034602F">
        <w:rPr>
          <w:rFonts w:ascii="ITC Avant Garde" w:eastAsia="Times New Roman" w:hAnsi="ITC Avant Garde"/>
          <w:bCs/>
          <w:color w:val="000000"/>
          <w:lang w:eastAsia="es-MX"/>
        </w:rPr>
        <w:t xml:space="preserve">frecuencia </w:t>
      </w:r>
      <w:r w:rsidR="00332DBE" w:rsidRPr="0034602F">
        <w:rPr>
          <w:rFonts w:ascii="ITC Avant Garde" w:hAnsi="ITC Avant Garde"/>
          <w:b/>
        </w:rPr>
        <w:t>97.3</w:t>
      </w:r>
      <w:r w:rsidRPr="0034602F">
        <w:rPr>
          <w:rFonts w:ascii="ITC Avant Garde" w:hAnsi="ITC Avant Garde"/>
          <w:b/>
        </w:rPr>
        <w:t xml:space="preserve"> </w:t>
      </w:r>
      <w:r w:rsidRPr="0034602F">
        <w:rPr>
          <w:rFonts w:ascii="ITC Avant Garde" w:eastAsia="Times New Roman" w:hAnsi="ITC Avant Garde"/>
          <w:b/>
          <w:bCs/>
          <w:color w:val="000000"/>
          <w:lang w:eastAsia="es-MX"/>
        </w:rPr>
        <w:t>MHz</w:t>
      </w:r>
      <w:r w:rsidR="002C00F1" w:rsidRPr="0034602F">
        <w:rPr>
          <w:rFonts w:ascii="ITC Avant Garde" w:eastAsia="Times New Roman" w:hAnsi="ITC Avant Garde"/>
          <w:bCs/>
          <w:color w:val="000000"/>
          <w:lang w:eastAsia="es-MX"/>
        </w:rPr>
        <w:t>, conducta que de acreditarse actualizaría la hipótesis normativa prevista en el artículo 305 del citado ordenamiento.</w:t>
      </w:r>
    </w:p>
    <w:p w14:paraId="2EF4F639" w14:textId="77777777" w:rsidR="003C5E62" w:rsidRPr="0034602F" w:rsidRDefault="00DB17BB"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En este sentido, a través de la notificación del acuerdo de inicio de procedimiento, la Unidad de Cumplimiento dio a conocer al </w:t>
      </w:r>
      <w:r w:rsidRPr="0034602F">
        <w:rPr>
          <w:rFonts w:ascii="ITC Avant Garde" w:hAnsi="ITC Avant Garde"/>
          <w:b/>
        </w:rPr>
        <w:t>PRESUNTO RESPONSABLE</w:t>
      </w:r>
      <w:r w:rsidRPr="0034602F">
        <w:rPr>
          <w:rFonts w:ascii="ITC Avant Garde" w:eastAsia="Times New Roman" w:hAnsi="ITC Avant Garde"/>
          <w:bCs/>
          <w:color w:val="000000"/>
          <w:lang w:eastAsia="es-MX"/>
        </w:rPr>
        <w:t xml:space="preserve"> la conducta que, supuestamente, viola el artículo 66 </w:t>
      </w:r>
      <w:r w:rsidRPr="0034602F">
        <w:rPr>
          <w:rFonts w:ascii="ITC Avant Garde" w:hAnsi="ITC Avant Garde"/>
          <w:bCs/>
        </w:rPr>
        <w:t>en relación con el 75</w:t>
      </w:r>
      <w:r w:rsidRPr="0034602F">
        <w:rPr>
          <w:rFonts w:ascii="ITC Avant Garde" w:eastAsia="Times New Roman" w:hAnsi="ITC Avant Garde"/>
          <w:bCs/>
          <w:color w:val="000000"/>
          <w:lang w:eastAsia="es-MX"/>
        </w:rPr>
        <w:t xml:space="preserve">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así como las sanciones previstas en los artículos 298, inciso E), fracción I y 305 de dicha ley por la comisión de la misma.</w:t>
      </w:r>
    </w:p>
    <w:p w14:paraId="5C84F6A4"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Por ello, se le otorgó un término de quince días hábiles para que en uso de su garantía de audiencia rindiera las pruebas y manifestara por escrito lo que a su derecho conviniera, de conformidad con el artículo 14 de la </w:t>
      </w:r>
      <w:r w:rsidRPr="0034602F">
        <w:rPr>
          <w:rFonts w:ascii="ITC Avant Garde" w:eastAsia="Times New Roman" w:hAnsi="ITC Avant Garde"/>
          <w:b/>
          <w:bCs/>
          <w:color w:val="000000"/>
          <w:lang w:eastAsia="es-MX"/>
        </w:rPr>
        <w:t>CPEUM</w:t>
      </w:r>
      <w:r w:rsidRPr="0034602F">
        <w:rPr>
          <w:rFonts w:ascii="ITC Avant Garde" w:eastAsia="Times New Roman" w:hAnsi="ITC Avant Garde"/>
          <w:bCs/>
          <w:color w:val="000000"/>
          <w:lang w:eastAsia="es-MX"/>
        </w:rPr>
        <w:t xml:space="preserve"> en relación con el artículo 72 de la </w:t>
      </w:r>
      <w:r w:rsidRPr="0034602F">
        <w:rPr>
          <w:rFonts w:ascii="ITC Avant Garde" w:eastAsia="Times New Roman" w:hAnsi="ITC Avant Garde"/>
          <w:b/>
          <w:bCs/>
          <w:color w:val="000000"/>
          <w:lang w:eastAsia="es-MX"/>
        </w:rPr>
        <w:t>LFPA</w:t>
      </w:r>
      <w:r w:rsidRPr="0034602F">
        <w:rPr>
          <w:rFonts w:ascii="ITC Avant Garde" w:eastAsia="Times New Roman" w:hAnsi="ITC Avant Garde"/>
          <w:bCs/>
          <w:color w:val="000000"/>
          <w:lang w:eastAsia="es-MX"/>
        </w:rPr>
        <w:t>.</w:t>
      </w:r>
    </w:p>
    <w:p w14:paraId="5D9BDCE7"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Concluido el periodo de pruebas, de acuerdo con lo que dispone el artículo 56 de la </w:t>
      </w:r>
      <w:r w:rsidRPr="0034602F">
        <w:rPr>
          <w:rFonts w:ascii="ITC Avant Garde" w:eastAsia="Times New Roman" w:hAnsi="ITC Avant Garde"/>
          <w:b/>
          <w:bCs/>
          <w:color w:val="000000"/>
          <w:lang w:eastAsia="es-MX"/>
        </w:rPr>
        <w:t>LFPA</w:t>
      </w:r>
      <w:r w:rsidRPr="0034602F">
        <w:rPr>
          <w:rFonts w:ascii="ITC Avant Garde" w:eastAsia="Times New Roman" w:hAnsi="ITC Avant Garde"/>
          <w:bCs/>
          <w:color w:val="000000"/>
          <w:lang w:eastAsia="es-MX"/>
        </w:rPr>
        <w:t>, la Unidad de Cumplimiento puso las actuaciones a disposición del interesado, para que formulara sus alegatos.</w:t>
      </w:r>
    </w:p>
    <w:p w14:paraId="31CC16DC" w14:textId="77777777" w:rsidR="008F58E2" w:rsidRDefault="0047731F" w:rsidP="00583167">
      <w:pPr>
        <w:spacing w:before="240" w:after="240" w:line="360" w:lineRule="auto"/>
        <w:jc w:val="both"/>
        <w:rPr>
          <w:rFonts w:ascii="ITC Avant Garde" w:eastAsia="Times New Roman" w:hAnsi="ITC Avant Garde"/>
          <w:bCs/>
          <w:color w:val="000000"/>
          <w:lang w:eastAsia="es-MX"/>
        </w:rPr>
        <w:sectPr w:rsidR="008F58E2" w:rsidSect="006345CE">
          <w:headerReference w:type="default" r:id="rId22"/>
          <w:pgSz w:w="12240" w:h="15840"/>
          <w:pgMar w:top="426" w:right="1418" w:bottom="1418" w:left="1418" w:header="709" w:footer="420" w:gutter="0"/>
          <w:cols w:space="708"/>
          <w:docGrid w:linePitch="360"/>
        </w:sectPr>
      </w:pPr>
      <w:r w:rsidRPr="0034602F">
        <w:rPr>
          <w:rFonts w:ascii="ITC Avant Garde" w:eastAsia="Times New Roman" w:hAnsi="ITC Avant Garde"/>
          <w:bCs/>
          <w:color w:val="000000"/>
          <w:lang w:eastAsia="es-MX"/>
        </w:rPr>
        <w:t xml:space="preserve">Una vez desahogado el periodo probatorio y vencido el plazo para formular alegatos, la Unidad de Cumplimiento remitió </w:t>
      </w:r>
      <w:r w:rsidRPr="0034602F">
        <w:rPr>
          <w:rFonts w:ascii="ITC Avant Garde" w:eastAsia="Times New Roman" w:hAnsi="ITC Avant Garde"/>
          <w:bCs/>
          <w:lang w:eastAsia="es-MX"/>
        </w:rPr>
        <w:t xml:space="preserve">el expediente de mérito </w:t>
      </w:r>
      <w:r w:rsidRPr="0034602F">
        <w:rPr>
          <w:rFonts w:ascii="ITC Avant Garde" w:eastAsia="Times New Roman" w:hAnsi="ITC Avant Garde"/>
          <w:bCs/>
          <w:color w:val="000000"/>
          <w:lang w:eastAsia="es-MX"/>
        </w:rPr>
        <w:t xml:space="preserve">en estado de resolución al Pleno de este </w:t>
      </w:r>
      <w:r w:rsidRPr="0034602F">
        <w:rPr>
          <w:rFonts w:ascii="ITC Avant Garde" w:eastAsia="Times New Roman" w:hAnsi="ITC Avant Garde"/>
          <w:b/>
          <w:bCs/>
          <w:color w:val="000000"/>
          <w:lang w:eastAsia="es-MX"/>
        </w:rPr>
        <w:t xml:space="preserve">IFT, </w:t>
      </w:r>
      <w:r w:rsidRPr="0034602F">
        <w:rPr>
          <w:rFonts w:ascii="ITC Avant Garde" w:eastAsia="Times New Roman" w:hAnsi="ITC Avant Garde"/>
          <w:bCs/>
          <w:color w:val="000000"/>
          <w:lang w:eastAsia="es-MX"/>
        </w:rPr>
        <w:t>quien se encuentra facultado para dictar la resolución que en derecho corresponda.</w:t>
      </w:r>
    </w:p>
    <w:p w14:paraId="2FA2C8E5" w14:textId="3F7681BB" w:rsidR="0047731F"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lastRenderedPageBreak/>
        <w:t xml:space="preserve">Bajo ese contexto, el procedimiento administrativo de imposición de sanciones que se sustancia, se realizó conforme a los términos y principios procesales que establece la </w:t>
      </w:r>
      <w:r w:rsidRPr="0034602F">
        <w:rPr>
          <w:rFonts w:ascii="ITC Avant Garde" w:eastAsia="Times New Roman" w:hAnsi="ITC Avant Garde"/>
          <w:b/>
          <w:bCs/>
          <w:color w:val="000000"/>
          <w:lang w:eastAsia="es-MX"/>
        </w:rPr>
        <w:t xml:space="preserve">LFPA </w:t>
      </w:r>
      <w:r w:rsidRPr="0034602F">
        <w:rPr>
          <w:rFonts w:ascii="ITC Avant Garde" w:eastAsia="Times New Roman" w:hAnsi="ITC Avant Garde"/>
          <w:bCs/>
          <w:color w:val="000000"/>
          <w:lang w:eastAsia="es-MX"/>
        </w:rPr>
        <w:t>y los artículos 14 y 16 de la</w:t>
      </w:r>
      <w:r w:rsidRPr="0034602F">
        <w:rPr>
          <w:rFonts w:ascii="ITC Avant Garde" w:eastAsia="Times New Roman" w:hAnsi="ITC Avant Garde"/>
          <w:b/>
          <w:bCs/>
          <w:color w:val="000000"/>
          <w:lang w:eastAsia="es-MX"/>
        </w:rPr>
        <w:t xml:space="preserve"> CPEUM  </w:t>
      </w:r>
      <w:r w:rsidRPr="0034602F">
        <w:rPr>
          <w:rFonts w:ascii="ITC Avant Garde" w:eastAsia="Times New Roman" w:hAnsi="ITC Avant Garde"/>
          <w:bCs/>
          <w:color w:val="000000"/>
          <w:lang w:eastAsia="es-MX"/>
        </w:rPr>
        <w:t>consistentes en: i) otorgar garantía de audiencia al presunto infractor; ii) desahogar pruebas; iii) recibir alegatos, y iv) emitir la resolu</w:t>
      </w:r>
      <w:r w:rsidR="00DA0C51" w:rsidRPr="0034602F">
        <w:rPr>
          <w:rFonts w:ascii="ITC Avant Garde" w:eastAsia="Times New Roman" w:hAnsi="ITC Avant Garde"/>
          <w:bCs/>
          <w:color w:val="000000"/>
          <w:lang w:eastAsia="es-MX"/>
        </w:rPr>
        <w:t>ción que en derecho corresponda</w:t>
      </w:r>
      <w:r w:rsidRPr="0034602F">
        <w:rPr>
          <w:rFonts w:ascii="ITC Avant Garde" w:eastAsia="Times New Roman" w:hAnsi="ITC Avant Garde"/>
          <w:bCs/>
          <w:color w:val="000000"/>
          <w:lang w:eastAsia="es-MX"/>
        </w:rPr>
        <w:t xml:space="preserve">. </w:t>
      </w:r>
    </w:p>
    <w:p w14:paraId="09900F80" w14:textId="77777777" w:rsidR="003C5E62" w:rsidRPr="0034602F" w:rsidRDefault="0047731F"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En las relatadas condiciones, al tramitarse el procedimiento administrativo de imposición de sanción bajo las anteriores premisas, debe tenerse por satisfecho el cumplimiento de lo dispuesto en la </w:t>
      </w:r>
      <w:r w:rsidRPr="0034602F">
        <w:rPr>
          <w:rFonts w:ascii="ITC Avant Garde" w:eastAsia="Times New Roman" w:hAnsi="ITC Avant Garde"/>
          <w:b/>
          <w:bCs/>
          <w:color w:val="000000"/>
          <w:lang w:eastAsia="es-MX"/>
        </w:rPr>
        <w:t>CPEUM</w:t>
      </w:r>
      <w:r w:rsidRPr="0034602F">
        <w:rPr>
          <w:rFonts w:ascii="ITC Avant Garde" w:eastAsia="Times New Roman" w:hAnsi="ITC Avant Garde"/>
          <w:bCs/>
          <w:color w:val="000000"/>
          <w:lang w:eastAsia="es-MX"/>
        </w:rPr>
        <w:t>, las leyes ordinarias y los criterios judiciales que informan cual debe ser el actuar de la autoridad para resolver el presente caso.</w:t>
      </w:r>
    </w:p>
    <w:p w14:paraId="3EDD522F" w14:textId="77777777" w:rsidR="003C5E62" w:rsidRPr="0034602F" w:rsidRDefault="004F3596" w:rsidP="00583167">
      <w:pPr>
        <w:pStyle w:val="Textoindependiente"/>
        <w:tabs>
          <w:tab w:val="left" w:pos="851"/>
        </w:tabs>
        <w:spacing w:before="240" w:after="240" w:line="240" w:lineRule="auto"/>
        <w:jc w:val="both"/>
        <w:rPr>
          <w:rFonts w:ascii="ITC Avant Garde" w:eastAsia="Times New Roman" w:hAnsi="ITC Avant Garde"/>
          <w:bCs/>
          <w:color w:val="000000"/>
          <w:lang w:eastAsia="es-MX"/>
        </w:rPr>
      </w:pPr>
      <w:r w:rsidRPr="0034602F">
        <w:rPr>
          <w:rFonts w:ascii="ITC Avant Garde" w:eastAsia="Times New Roman" w:hAnsi="ITC Avant Garde"/>
          <w:b/>
          <w:bCs/>
          <w:color w:val="000000"/>
          <w:lang w:eastAsia="es-MX"/>
        </w:rPr>
        <w:t>TERCERO.</w:t>
      </w:r>
      <w:r w:rsidRPr="0034602F">
        <w:rPr>
          <w:rFonts w:ascii="ITC Avant Garde" w:hAnsi="ITC Avant Garde"/>
          <w:b/>
          <w:smallCaps/>
          <w:color w:val="000000"/>
        </w:rPr>
        <w:t xml:space="preserve"> </w:t>
      </w:r>
      <w:r w:rsidR="00EC6953" w:rsidRPr="0034602F">
        <w:t xml:space="preserve"> </w:t>
      </w:r>
      <w:r w:rsidR="00EC6953" w:rsidRPr="0034602F">
        <w:rPr>
          <w:rFonts w:ascii="ITC Avant Garde" w:eastAsia="Times New Roman" w:hAnsi="ITC Avant Garde"/>
          <w:b/>
          <w:bCs/>
          <w:smallCaps/>
          <w:color w:val="000000"/>
          <w:lang w:eastAsia="es-MX"/>
        </w:rPr>
        <w:t xml:space="preserve">HECHOS MOTIVO DEL PROCEDIMIENTO ADMINISTRATIVO DE IMPOSICIÓN DE SANCIÓN Y </w:t>
      </w:r>
      <w:r w:rsidR="006864B9" w:rsidRPr="0034602F">
        <w:rPr>
          <w:rFonts w:ascii="ITC Avant Garde" w:eastAsia="Times New Roman" w:hAnsi="ITC Avant Garde"/>
          <w:b/>
          <w:bCs/>
          <w:smallCaps/>
          <w:color w:val="000000"/>
          <w:sz w:val="28"/>
          <w:lang w:eastAsia="es-MX"/>
        </w:rPr>
        <w:t xml:space="preserve">declaratoria de </w:t>
      </w:r>
      <w:r w:rsidR="00EC6953" w:rsidRPr="0034602F">
        <w:rPr>
          <w:rFonts w:ascii="ITC Avant Garde" w:eastAsia="Times New Roman" w:hAnsi="ITC Avant Garde"/>
          <w:b/>
          <w:bCs/>
          <w:smallCaps/>
          <w:color w:val="000000"/>
          <w:lang w:eastAsia="es-MX"/>
        </w:rPr>
        <w:t>PÉRDIDA DE BIENES, INSTALACIONES Y EQUIPOS EN BENEFICIO DE LA NACIÓN</w:t>
      </w:r>
      <w:r w:rsidRPr="0034602F">
        <w:rPr>
          <w:rFonts w:ascii="ITC Avant Garde" w:eastAsia="Times New Roman" w:hAnsi="ITC Avant Garde"/>
          <w:b/>
          <w:bCs/>
          <w:smallCaps/>
          <w:color w:val="000000"/>
          <w:lang w:eastAsia="es-MX"/>
        </w:rPr>
        <w:t>.</w:t>
      </w:r>
    </w:p>
    <w:p w14:paraId="52F32B4D" w14:textId="7714B5AC" w:rsidR="003C5E62" w:rsidRPr="0034602F" w:rsidRDefault="00EC6953" w:rsidP="00583167">
      <w:pPr>
        <w:pStyle w:val="Textoindependiente"/>
        <w:spacing w:before="240" w:after="240" w:line="360" w:lineRule="auto"/>
        <w:jc w:val="both"/>
        <w:rPr>
          <w:rFonts w:ascii="ITC Avant Garde" w:hAnsi="ITC Avant Garde"/>
          <w:b/>
        </w:rPr>
      </w:pPr>
      <w:r w:rsidRPr="0034602F">
        <w:rPr>
          <w:rFonts w:ascii="ITC Avant Garde" w:hAnsi="ITC Avant Garde"/>
        </w:rPr>
        <w:t xml:space="preserve">Con la finalidad de dar cumplimiento a la orden de inspección-verificación </w:t>
      </w:r>
      <w:r w:rsidR="00AF3AB0" w:rsidRPr="0034602F">
        <w:rPr>
          <w:rFonts w:ascii="ITC Avant Garde" w:hAnsi="ITC Avant Garde"/>
          <w:b/>
        </w:rPr>
        <w:t xml:space="preserve">IFT/UC/DGV/352/2016 </w:t>
      </w:r>
      <w:r w:rsidR="00AF3AB0" w:rsidRPr="0034602F">
        <w:rPr>
          <w:rFonts w:ascii="ITC Avant Garde" w:hAnsi="ITC Avant Garde"/>
        </w:rPr>
        <w:t>de diecisiete de agosto de dos mil dieciséis</w:t>
      </w:r>
      <w:r w:rsidRPr="0034602F">
        <w:rPr>
          <w:rFonts w:ascii="ITC Avant Garde" w:hAnsi="ITC Avant Garde"/>
        </w:rPr>
        <w:t>, dirigida al</w:t>
      </w:r>
      <w:r w:rsidR="004F3596" w:rsidRPr="0034602F">
        <w:rPr>
          <w:rFonts w:ascii="ITC Avant Garde" w:hAnsi="ITC Avant Garde"/>
        </w:rPr>
        <w:t xml:space="preserve"> </w:t>
      </w:r>
      <w:r w:rsidR="00044545" w:rsidRPr="0034602F">
        <w:rPr>
          <w:rFonts w:ascii="ITC Avant Garde" w:hAnsi="ITC Avant Garde"/>
          <w:b/>
        </w:rPr>
        <w:t xml:space="preserve">PROPIETARIO Y/O POSEEDOR Y/O RESPONSABLE Y/O ENCARGADO DEL INMUEBLE UBICADO EN: </w:t>
      </w:r>
      <w:r w:rsidR="008F58E2" w:rsidRPr="008F58E2">
        <w:rPr>
          <w:rFonts w:ascii="ITC Avant Garde" w:hAnsi="ITC Avant Garde"/>
          <w:b/>
          <w:color w:val="0000FF"/>
        </w:rPr>
        <w:t>“CONFIDENCIAL POR LEY”</w:t>
      </w:r>
      <w:r w:rsidR="00AF3AB0" w:rsidRPr="008F58E2">
        <w:rPr>
          <w:rFonts w:ascii="ITC Avant Garde" w:hAnsi="ITC Avant Garde"/>
          <w:b/>
          <w:color w:val="0000FF"/>
        </w:rPr>
        <w:t>,</w:t>
      </w:r>
      <w:r w:rsidR="00AF3AB0" w:rsidRPr="0034602F">
        <w:rPr>
          <w:rFonts w:ascii="ITC Avant Garde" w:hAnsi="ITC Avant Garde"/>
          <w:b/>
        </w:rPr>
        <w:t xml:space="preserve"> Delegación Tlalpan, en la Ciudad de México</w:t>
      </w:r>
      <w:r w:rsidR="00044545" w:rsidRPr="0034602F">
        <w:rPr>
          <w:rFonts w:ascii="ITC Avant Garde" w:hAnsi="ITC Avant Garde"/>
          <w:b/>
        </w:rPr>
        <w:t>, así como de las instalaciones y equipos de radiodifusión localizados en el mismo</w:t>
      </w:r>
      <w:r w:rsidR="00044545" w:rsidRPr="0034602F">
        <w:rPr>
          <w:rFonts w:ascii="ITC Avant Garde" w:hAnsi="ITC Avant Garde"/>
        </w:rPr>
        <w:t xml:space="preserve">, </w:t>
      </w:r>
      <w:r w:rsidR="00796A83" w:rsidRPr="0034602F">
        <w:rPr>
          <w:rFonts w:ascii="ITC Avant Garde" w:hAnsi="ITC Avant Garde"/>
        </w:rPr>
        <w:t xml:space="preserve">el </w:t>
      </w:r>
      <w:r w:rsidR="00895B7E" w:rsidRPr="0034602F">
        <w:rPr>
          <w:rFonts w:ascii="ITC Avant Garde" w:hAnsi="ITC Avant Garde"/>
        </w:rPr>
        <w:t>dieciocho de agosto</w:t>
      </w:r>
      <w:r w:rsidR="00895B7E" w:rsidRPr="0034602F">
        <w:rPr>
          <w:rFonts w:ascii="ITC Avant Garde" w:hAnsi="ITC Avant Garde" w:cs="Tahoma"/>
        </w:rPr>
        <w:t xml:space="preserve"> de dos mil dieciséis</w:t>
      </w:r>
      <w:r w:rsidR="004F3596" w:rsidRPr="0034602F">
        <w:rPr>
          <w:rFonts w:ascii="ITC Avant Garde" w:hAnsi="ITC Avant Garde"/>
        </w:rPr>
        <w:t xml:space="preserve"> </w:t>
      </w:r>
      <w:r w:rsidR="004E75C0" w:rsidRPr="0034602F">
        <w:rPr>
          <w:rFonts w:ascii="ITC Avant Garde" w:hAnsi="ITC Avant Garde"/>
          <w:b/>
        </w:rPr>
        <w:t>LOS</w:t>
      </w:r>
      <w:r w:rsidR="00B17FFA" w:rsidRPr="0034602F">
        <w:rPr>
          <w:rFonts w:ascii="ITC Avant Garde" w:hAnsi="ITC Avant Garde"/>
          <w:b/>
        </w:rPr>
        <w:t xml:space="preserve"> VERIFICADOR</w:t>
      </w:r>
      <w:r w:rsidR="004E75C0" w:rsidRPr="0034602F">
        <w:rPr>
          <w:rFonts w:ascii="ITC Avant Garde" w:hAnsi="ITC Avant Garde"/>
          <w:b/>
        </w:rPr>
        <w:t>ES</w:t>
      </w:r>
      <w:r w:rsidR="00B17FFA" w:rsidRPr="0034602F">
        <w:rPr>
          <w:rFonts w:ascii="ITC Avant Garde" w:hAnsi="ITC Avant Garde"/>
        </w:rPr>
        <w:t xml:space="preserve"> </w:t>
      </w:r>
      <w:r w:rsidRPr="0034602F">
        <w:rPr>
          <w:rFonts w:ascii="ITC Avant Garde" w:hAnsi="ITC Avant Garde"/>
        </w:rPr>
        <w:t>se constituy</w:t>
      </w:r>
      <w:r w:rsidR="004E75C0" w:rsidRPr="0034602F">
        <w:rPr>
          <w:rFonts w:ascii="ITC Avant Garde" w:hAnsi="ITC Avant Garde"/>
        </w:rPr>
        <w:t>eron</w:t>
      </w:r>
      <w:r w:rsidRPr="0034602F">
        <w:rPr>
          <w:rFonts w:ascii="ITC Avant Garde" w:hAnsi="ITC Avant Garde"/>
        </w:rPr>
        <w:t xml:space="preserve"> en dich</w:t>
      </w:r>
      <w:r w:rsidR="0047731F" w:rsidRPr="0034602F">
        <w:rPr>
          <w:rFonts w:ascii="ITC Avant Garde" w:hAnsi="ITC Avant Garde"/>
        </w:rPr>
        <w:t>o</w:t>
      </w:r>
      <w:r w:rsidRPr="0034602F">
        <w:rPr>
          <w:rFonts w:ascii="ITC Avant Garde" w:hAnsi="ITC Avant Garde"/>
        </w:rPr>
        <w:t xml:space="preserve"> </w:t>
      </w:r>
      <w:r w:rsidR="0047731F" w:rsidRPr="0034602F">
        <w:rPr>
          <w:rFonts w:ascii="ITC Avant Garde" w:hAnsi="ITC Avant Garde"/>
        </w:rPr>
        <w:t>lugar</w:t>
      </w:r>
      <w:r w:rsidRPr="0034602F">
        <w:rPr>
          <w:rFonts w:ascii="ITC Avant Garde" w:hAnsi="ITC Avant Garde"/>
        </w:rPr>
        <w:t xml:space="preserve"> donde </w:t>
      </w:r>
      <w:r w:rsidR="0039464E" w:rsidRPr="0034602F">
        <w:rPr>
          <w:rFonts w:ascii="ITC Avant Garde" w:hAnsi="ITC Avant Garde"/>
        </w:rPr>
        <w:t>practicaron un recorrido visual a efecto determinar la ubicación del domicilio donde se transmitía</w:t>
      </w:r>
      <w:r w:rsidR="00F12445" w:rsidRPr="0034602F">
        <w:rPr>
          <w:rFonts w:ascii="ITC Avant Garde" w:hAnsi="ITC Avant Garde"/>
        </w:rPr>
        <w:t xml:space="preserve"> en</w:t>
      </w:r>
      <w:r w:rsidR="0039464E" w:rsidRPr="0034602F">
        <w:rPr>
          <w:rFonts w:ascii="ITC Avant Garde" w:hAnsi="ITC Avant Garde"/>
        </w:rPr>
        <w:t xml:space="preserve"> </w:t>
      </w:r>
      <w:r w:rsidRPr="0034602F">
        <w:rPr>
          <w:rFonts w:ascii="ITC Avant Garde" w:hAnsi="ITC Avant Garde"/>
        </w:rPr>
        <w:t>la frecuencia</w:t>
      </w:r>
      <w:r w:rsidR="004F3596" w:rsidRPr="0034602F">
        <w:rPr>
          <w:rFonts w:ascii="ITC Avant Garde" w:hAnsi="ITC Avant Garde"/>
        </w:rPr>
        <w:t xml:space="preserve"> </w:t>
      </w:r>
      <w:r w:rsidR="00ED49D4" w:rsidRPr="0034602F">
        <w:rPr>
          <w:rFonts w:ascii="ITC Avant Garde" w:hAnsi="ITC Avant Garde"/>
          <w:b/>
        </w:rPr>
        <w:t>9</w:t>
      </w:r>
      <w:r w:rsidR="00044545" w:rsidRPr="0034602F">
        <w:rPr>
          <w:rFonts w:ascii="ITC Avant Garde" w:hAnsi="ITC Avant Garde"/>
          <w:b/>
        </w:rPr>
        <w:t>7.3</w:t>
      </w:r>
      <w:r w:rsidR="004C0C2C" w:rsidRPr="0034602F">
        <w:rPr>
          <w:rFonts w:ascii="ITC Avant Garde" w:hAnsi="ITC Avant Garde"/>
          <w:b/>
        </w:rPr>
        <w:t xml:space="preserve"> </w:t>
      </w:r>
      <w:r w:rsidR="00041D1C" w:rsidRPr="0034602F">
        <w:rPr>
          <w:rFonts w:ascii="ITC Avant Garde" w:hAnsi="ITC Avant Garde"/>
          <w:b/>
        </w:rPr>
        <w:t>MH</w:t>
      </w:r>
      <w:r w:rsidR="00F42CF6" w:rsidRPr="0034602F">
        <w:rPr>
          <w:rFonts w:ascii="ITC Avant Garde" w:hAnsi="ITC Avant Garde"/>
          <w:b/>
        </w:rPr>
        <w:t>z</w:t>
      </w:r>
      <w:r w:rsidR="00F12445" w:rsidRPr="0034602F">
        <w:rPr>
          <w:rFonts w:ascii="ITC Avant Garde" w:hAnsi="ITC Avant Garde"/>
          <w:b/>
        </w:rPr>
        <w:t>,</w:t>
      </w:r>
      <w:r w:rsidR="004F3596" w:rsidRPr="0034602F">
        <w:rPr>
          <w:rFonts w:ascii="ITC Avant Garde" w:hAnsi="ITC Avant Garde"/>
        </w:rPr>
        <w:t xml:space="preserve"> </w:t>
      </w:r>
      <w:r w:rsidRPr="0034602F">
        <w:rPr>
          <w:rFonts w:ascii="ITC Avant Garde" w:hAnsi="ITC Avant Garde"/>
        </w:rPr>
        <w:t>obteni</w:t>
      </w:r>
      <w:r w:rsidR="00FB1804" w:rsidRPr="0034602F">
        <w:rPr>
          <w:rFonts w:ascii="ITC Avant Garde" w:hAnsi="ITC Avant Garde"/>
        </w:rPr>
        <w:t>e</w:t>
      </w:r>
      <w:r w:rsidRPr="0034602F">
        <w:rPr>
          <w:rFonts w:ascii="ITC Avant Garde" w:hAnsi="ITC Avant Garde"/>
        </w:rPr>
        <w:t xml:space="preserve">ndo </w:t>
      </w:r>
      <w:r w:rsidR="00B06DF2" w:rsidRPr="0034602F">
        <w:rPr>
          <w:rFonts w:ascii="ITC Avant Garde" w:hAnsi="ITC Avant Garde"/>
        </w:rPr>
        <w:t>una gráfica del monitoreo respectivo</w:t>
      </w:r>
      <w:r w:rsidRPr="0034602F">
        <w:rPr>
          <w:rFonts w:ascii="ITC Avant Garde" w:hAnsi="ITC Avant Garde"/>
        </w:rPr>
        <w:t>.</w:t>
      </w:r>
    </w:p>
    <w:p w14:paraId="510658F9" w14:textId="77777777" w:rsidR="003C5E62" w:rsidRPr="0034602F" w:rsidRDefault="004A2C20" w:rsidP="00583167">
      <w:pPr>
        <w:spacing w:before="240" w:after="240" w:line="360" w:lineRule="auto"/>
        <w:jc w:val="center"/>
        <w:rPr>
          <w:rFonts w:ascii="ITC Avant Garde" w:eastAsia="Times New Roman" w:hAnsi="ITC Avant Garde"/>
          <w:bCs/>
          <w:color w:val="000000"/>
          <w:lang w:eastAsia="es-MX"/>
        </w:rPr>
      </w:pPr>
      <w:r w:rsidRPr="0034602F">
        <w:rPr>
          <w:rFonts w:ascii="ITC Avant Garde" w:eastAsia="Times New Roman" w:hAnsi="ITC Avant Garde"/>
          <w:bCs/>
          <w:noProof/>
          <w:color w:val="000000"/>
          <w:lang w:eastAsia="es-MX"/>
        </w:rPr>
        <w:lastRenderedPageBreak/>
        <w:drawing>
          <wp:inline distT="0" distB="0" distL="0" distR="0" wp14:anchorId="643EFA53" wp14:editId="2AAA1B6B">
            <wp:extent cx="4469130" cy="4959297"/>
            <wp:effectExtent l="2857" t="0" r="0" b="0"/>
            <wp:docPr id="2" name="Imagen 2" descr="La imagen muestra la gráfica del monitoreo " title="Gráfica del monitor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4471425" cy="4961843"/>
                    </a:xfrm>
                    <a:prstGeom prst="rect">
                      <a:avLst/>
                    </a:prstGeom>
                    <a:noFill/>
                    <a:ln>
                      <a:noFill/>
                    </a:ln>
                  </pic:spPr>
                </pic:pic>
              </a:graphicData>
            </a:graphic>
          </wp:inline>
        </w:drawing>
      </w:r>
    </w:p>
    <w:p w14:paraId="62A6191C" w14:textId="6C544DBB" w:rsidR="003C5E62" w:rsidRPr="0034602F" w:rsidRDefault="00E01369"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En consecuencia,</w:t>
      </w:r>
      <w:r w:rsidR="004F3596" w:rsidRPr="0034602F">
        <w:rPr>
          <w:rFonts w:ascii="ITC Avant Garde" w:hAnsi="ITC Avant Garde"/>
        </w:rPr>
        <w:t xml:space="preserve"> </w:t>
      </w:r>
      <w:r w:rsidR="00226C8D" w:rsidRPr="0034602F">
        <w:rPr>
          <w:rFonts w:ascii="ITC Avant Garde" w:hAnsi="ITC Avant Garde"/>
        </w:rPr>
        <w:t>en esa misma fecha</w:t>
      </w:r>
      <w:r w:rsidR="004F3596" w:rsidRPr="0034602F">
        <w:rPr>
          <w:rFonts w:ascii="ITC Avant Garde" w:hAnsi="ITC Avant Garde"/>
        </w:rPr>
        <w:t xml:space="preserve"> </w:t>
      </w:r>
      <w:r w:rsidR="004E75C0" w:rsidRPr="0034602F">
        <w:rPr>
          <w:rFonts w:ascii="ITC Avant Garde" w:eastAsia="Times New Roman" w:hAnsi="ITC Avant Garde"/>
          <w:b/>
          <w:bCs/>
          <w:color w:val="000000"/>
          <w:lang w:eastAsia="es-MX"/>
        </w:rPr>
        <w:t>LOS</w:t>
      </w:r>
      <w:r w:rsidR="00AB25ED" w:rsidRPr="0034602F">
        <w:rPr>
          <w:rFonts w:ascii="ITC Avant Garde" w:eastAsia="Times New Roman" w:hAnsi="ITC Avant Garde"/>
          <w:b/>
          <w:bCs/>
          <w:color w:val="000000"/>
          <w:lang w:eastAsia="es-MX"/>
        </w:rPr>
        <w:t xml:space="preserve"> VERIFICADOR</w:t>
      </w:r>
      <w:r w:rsidR="004E75C0" w:rsidRPr="0034602F">
        <w:rPr>
          <w:rFonts w:ascii="ITC Avant Garde" w:eastAsia="Times New Roman" w:hAnsi="ITC Avant Garde"/>
          <w:b/>
          <w:bCs/>
          <w:color w:val="000000"/>
          <w:lang w:eastAsia="es-MX"/>
        </w:rPr>
        <w:t>ES</w:t>
      </w:r>
      <w:r w:rsidRPr="0034602F">
        <w:rPr>
          <w:rFonts w:ascii="ITC Avant Garde" w:eastAsia="Times New Roman" w:hAnsi="ITC Avant Garde"/>
          <w:bCs/>
          <w:color w:val="000000"/>
          <w:lang w:eastAsia="es-MX"/>
        </w:rPr>
        <w:t xml:space="preserve"> </w:t>
      </w:r>
      <w:r w:rsidR="003D5DCC" w:rsidRPr="0034602F">
        <w:rPr>
          <w:rFonts w:ascii="ITC Avant Garde" w:eastAsia="Times New Roman" w:hAnsi="ITC Avant Garde"/>
          <w:bCs/>
          <w:color w:val="000000"/>
          <w:lang w:eastAsia="es-MX"/>
        </w:rPr>
        <w:t>se constituyeron</w:t>
      </w:r>
      <w:r w:rsidR="00A075DC" w:rsidRPr="0034602F">
        <w:rPr>
          <w:rFonts w:ascii="ITC Avant Garde" w:eastAsia="Times New Roman" w:hAnsi="ITC Avant Garde"/>
          <w:bCs/>
          <w:color w:val="000000"/>
          <w:lang w:eastAsia="es-MX"/>
        </w:rPr>
        <w:t xml:space="preserve"> en el domicilio ubicado en</w:t>
      </w:r>
      <w:r w:rsidR="005042C0" w:rsidRPr="0034602F">
        <w:rPr>
          <w:rFonts w:ascii="ITC Avant Garde" w:hAnsi="ITC Avant Garde"/>
        </w:rPr>
        <w:t xml:space="preserve">: </w:t>
      </w:r>
      <w:r w:rsidR="008F58E2">
        <w:rPr>
          <w:rFonts w:ascii="ITC Avant Garde" w:hAnsi="ITC Avant Garde"/>
          <w:b/>
          <w:bCs/>
          <w:color w:val="0000FF"/>
        </w:rPr>
        <w:t>“CONFIDENCIAL POR LEY”</w:t>
      </w:r>
      <w:r w:rsidR="00416EF8" w:rsidRPr="0034602F">
        <w:rPr>
          <w:rFonts w:ascii="ITC Avant Garde" w:hAnsi="ITC Avant Garde"/>
        </w:rPr>
        <w:t>, Delegación Tlalpan, en la Ciudad de México</w:t>
      </w:r>
      <w:r w:rsidR="000D24D2" w:rsidRPr="0034602F">
        <w:rPr>
          <w:rFonts w:ascii="ITC Avant Garde" w:eastAsia="Times New Roman" w:hAnsi="ITC Avant Garde"/>
          <w:bCs/>
          <w:color w:val="000000"/>
          <w:lang w:eastAsia="es-MX"/>
        </w:rPr>
        <w:t xml:space="preserve"> </w:t>
      </w:r>
      <w:r w:rsidR="00A075DC" w:rsidRPr="0034602F">
        <w:rPr>
          <w:rFonts w:ascii="ITC Avant Garde" w:eastAsia="Times New Roman" w:hAnsi="ITC Avant Garde"/>
          <w:bCs/>
          <w:color w:val="000000"/>
          <w:lang w:eastAsia="es-MX"/>
        </w:rPr>
        <w:t xml:space="preserve">y </w:t>
      </w:r>
      <w:r w:rsidRPr="0034602F">
        <w:rPr>
          <w:rFonts w:ascii="ITC Avant Garde" w:eastAsia="Times New Roman" w:hAnsi="ITC Avant Garde"/>
          <w:bCs/>
          <w:color w:val="000000"/>
          <w:lang w:eastAsia="es-MX"/>
        </w:rPr>
        <w:t>levant</w:t>
      </w:r>
      <w:r w:rsidR="00B7169D" w:rsidRPr="0034602F">
        <w:rPr>
          <w:rFonts w:ascii="ITC Avant Garde" w:eastAsia="Times New Roman" w:hAnsi="ITC Avant Garde"/>
          <w:bCs/>
          <w:color w:val="000000"/>
          <w:lang w:eastAsia="es-MX"/>
        </w:rPr>
        <w:t xml:space="preserve">aron </w:t>
      </w:r>
      <w:r w:rsidRPr="0034602F">
        <w:rPr>
          <w:rFonts w:ascii="ITC Avant Garde" w:eastAsia="Times New Roman" w:hAnsi="ITC Avant Garde"/>
          <w:bCs/>
          <w:color w:val="000000"/>
          <w:lang w:eastAsia="es-MX"/>
        </w:rPr>
        <w:t xml:space="preserve">el </w:t>
      </w:r>
      <w:r w:rsidR="00B7169D" w:rsidRPr="0034602F">
        <w:rPr>
          <w:rFonts w:ascii="ITC Avant Garde" w:hAnsi="ITC Avant Garde"/>
          <w:b/>
        </w:rPr>
        <w:t xml:space="preserve">acta </w:t>
      </w:r>
      <w:r w:rsidR="00E83C03" w:rsidRPr="0034602F">
        <w:rPr>
          <w:rFonts w:ascii="ITC Avant Garde" w:hAnsi="ITC Avant Garde"/>
          <w:b/>
        </w:rPr>
        <w:t xml:space="preserve">de </w:t>
      </w:r>
      <w:r w:rsidR="00B7169D" w:rsidRPr="0034602F">
        <w:rPr>
          <w:rFonts w:ascii="ITC Avant Garde" w:hAnsi="ITC Avant Garde"/>
          <w:b/>
        </w:rPr>
        <w:t xml:space="preserve">verificación ordinaria número </w:t>
      </w:r>
      <w:r w:rsidR="00C93EA0" w:rsidRPr="0034602F">
        <w:rPr>
          <w:rFonts w:ascii="ITC Avant Garde" w:hAnsi="ITC Avant Garde"/>
          <w:b/>
        </w:rPr>
        <w:t>IFT/UC/DGV/</w:t>
      </w:r>
      <w:r w:rsidR="004C697D" w:rsidRPr="0034602F">
        <w:rPr>
          <w:rFonts w:ascii="ITC Avant Garde" w:hAnsi="ITC Avant Garde" w:cs="Tahoma"/>
          <w:b/>
        </w:rPr>
        <w:t>352</w:t>
      </w:r>
      <w:r w:rsidR="00C93EA0" w:rsidRPr="0034602F">
        <w:rPr>
          <w:rFonts w:ascii="ITC Avant Garde" w:hAnsi="ITC Avant Garde"/>
          <w:b/>
        </w:rPr>
        <w:t>/2016</w:t>
      </w:r>
      <w:r w:rsidR="00A075DC" w:rsidRPr="0034602F">
        <w:rPr>
          <w:rFonts w:ascii="ITC Avant Garde" w:hAnsi="ITC Avant Garde"/>
        </w:rPr>
        <w:t xml:space="preserve">, </w:t>
      </w:r>
      <w:r w:rsidRPr="0034602F">
        <w:rPr>
          <w:rFonts w:ascii="ITC Avant Garde" w:eastAsia="Times New Roman" w:hAnsi="ITC Avant Garde"/>
          <w:bCs/>
          <w:color w:val="000000"/>
          <w:lang w:eastAsia="es-MX"/>
        </w:rPr>
        <w:t xml:space="preserve">dándose por terminada </w:t>
      </w:r>
      <w:r w:rsidR="00A075DC" w:rsidRPr="0034602F">
        <w:rPr>
          <w:rFonts w:ascii="ITC Avant Garde" w:eastAsia="Times New Roman" w:hAnsi="ITC Avant Garde"/>
          <w:bCs/>
          <w:color w:val="000000"/>
          <w:lang w:eastAsia="es-MX"/>
        </w:rPr>
        <w:t xml:space="preserve">dicha diligencia </w:t>
      </w:r>
      <w:r w:rsidRPr="0034602F">
        <w:rPr>
          <w:rFonts w:ascii="ITC Avant Garde" w:eastAsia="Times New Roman" w:hAnsi="ITC Avant Garde"/>
          <w:bCs/>
          <w:color w:val="000000"/>
          <w:lang w:eastAsia="es-MX"/>
        </w:rPr>
        <w:t>el mismo día de su inicio.</w:t>
      </w:r>
    </w:p>
    <w:p w14:paraId="34CB376B" w14:textId="6B5DAC96" w:rsidR="003C5E62" w:rsidRPr="0034602F" w:rsidRDefault="00BB78E1" w:rsidP="00583167">
      <w:pPr>
        <w:spacing w:before="240" w:after="240" w:line="360" w:lineRule="auto"/>
        <w:jc w:val="both"/>
        <w:rPr>
          <w:rFonts w:ascii="ITC Avant Garde" w:eastAsia="Times New Roman" w:hAnsi="ITC Avant Garde"/>
          <w:bCs/>
          <w:color w:val="000000"/>
          <w:lang w:eastAsia="es-MX"/>
        </w:rPr>
      </w:pPr>
      <w:r w:rsidRPr="0034602F">
        <w:rPr>
          <w:rFonts w:ascii="ITC Avant Garde" w:hAnsi="ITC Avant Garde"/>
        </w:rPr>
        <w:t xml:space="preserve">En dicho domicilio </w:t>
      </w:r>
      <w:r w:rsidRPr="0034602F">
        <w:rPr>
          <w:rFonts w:ascii="ITC Avant Garde" w:eastAsia="Times New Roman" w:hAnsi="ITC Avant Garde"/>
          <w:lang w:eastAsia="es-ES"/>
        </w:rPr>
        <w:t xml:space="preserve">se encontraba una persona </w:t>
      </w:r>
      <w:r w:rsidR="00ED49A7" w:rsidRPr="0034602F">
        <w:rPr>
          <w:rFonts w:ascii="ITC Avant Garde" w:hAnsi="ITC Avant Garde"/>
        </w:rPr>
        <w:t xml:space="preserve">del sexo </w:t>
      </w:r>
      <w:r w:rsidR="002463B0">
        <w:rPr>
          <w:rFonts w:ascii="ITC Avant Garde" w:hAnsi="ITC Avant Garde"/>
          <w:b/>
          <w:bCs/>
          <w:color w:val="0000FF"/>
        </w:rPr>
        <w:t>“CONFIDENCIAL POR LEY”</w:t>
      </w:r>
      <w:r w:rsidR="00C51CAE" w:rsidRPr="0034602F">
        <w:rPr>
          <w:rFonts w:ascii="ITC Avant Garde" w:hAnsi="ITC Avant Garde"/>
        </w:rPr>
        <w:t xml:space="preserve"> </w:t>
      </w:r>
      <w:r w:rsidR="00ED49A7" w:rsidRPr="0034602F">
        <w:rPr>
          <w:rFonts w:ascii="ITC Avant Garde" w:hAnsi="ITC Avant Garde"/>
        </w:rPr>
        <w:t xml:space="preserve">quien se negó a dar su nombre, de aproximadamente </w:t>
      </w:r>
      <w:r w:rsidR="002463B0">
        <w:rPr>
          <w:rFonts w:ascii="ITC Avant Garde" w:hAnsi="ITC Avant Garde"/>
          <w:b/>
          <w:bCs/>
          <w:color w:val="0000FF"/>
        </w:rPr>
        <w:t>“CONFIDENCIAL POR LEY”</w:t>
      </w:r>
      <w:r w:rsidR="00ED49A7" w:rsidRPr="0034602F">
        <w:rPr>
          <w:rFonts w:ascii="ITC Avant Garde" w:hAnsi="ITC Avant Garde"/>
        </w:rPr>
        <w:t xml:space="preserve"> de edad, </w:t>
      </w:r>
      <w:r w:rsidR="002463B0">
        <w:rPr>
          <w:rFonts w:ascii="ITC Avant Garde" w:hAnsi="ITC Avant Garde"/>
          <w:b/>
          <w:bCs/>
          <w:color w:val="0000FF"/>
        </w:rPr>
        <w:t>“CONFIDENCIAL POR LEY”</w:t>
      </w:r>
      <w:r w:rsidR="00C51CAE" w:rsidRPr="0034602F">
        <w:rPr>
          <w:rFonts w:ascii="ITC Avant Garde" w:hAnsi="ITC Avant Garde"/>
        </w:rPr>
        <w:t xml:space="preserve"> de tez </w:t>
      </w:r>
      <w:r w:rsidR="002463B0">
        <w:rPr>
          <w:rFonts w:ascii="ITC Avant Garde" w:hAnsi="ITC Avant Garde"/>
          <w:b/>
          <w:bCs/>
          <w:color w:val="0000FF"/>
        </w:rPr>
        <w:t>“CONFIDENCIAL POR LEY”</w:t>
      </w:r>
      <w:r w:rsidR="00C51CAE" w:rsidRPr="0034602F">
        <w:rPr>
          <w:rFonts w:ascii="ITC Avant Garde" w:hAnsi="ITC Avant Garde"/>
        </w:rPr>
        <w:t xml:space="preserve">, cabello </w:t>
      </w:r>
      <w:r w:rsidR="002463B0">
        <w:rPr>
          <w:rFonts w:ascii="ITC Avant Garde" w:hAnsi="ITC Avant Garde"/>
          <w:b/>
          <w:bCs/>
          <w:color w:val="0000FF"/>
        </w:rPr>
        <w:t>“CONFIDENCIAL POR LEY”</w:t>
      </w:r>
      <w:r w:rsidR="00C51CAE" w:rsidRPr="0034602F">
        <w:rPr>
          <w:rFonts w:ascii="ITC Avant Garde" w:hAnsi="ITC Avant Garde"/>
        </w:rPr>
        <w:t xml:space="preserve"> y </w:t>
      </w:r>
      <w:r w:rsidR="002463B0">
        <w:rPr>
          <w:rFonts w:ascii="ITC Avant Garde" w:hAnsi="ITC Avant Garde"/>
          <w:b/>
          <w:bCs/>
          <w:color w:val="0000FF"/>
        </w:rPr>
        <w:t>“CONFIDENCIAL POR LEY”</w:t>
      </w:r>
      <w:r w:rsidR="00C51CAE" w:rsidRPr="0034602F">
        <w:rPr>
          <w:rFonts w:ascii="ITC Avant Garde" w:hAnsi="ITC Avant Garde"/>
        </w:rPr>
        <w:t xml:space="preserve"> de estatura</w:t>
      </w:r>
      <w:r w:rsidR="00ED49A7" w:rsidRPr="0034602F">
        <w:rPr>
          <w:rFonts w:ascii="ITC Avant Garde" w:hAnsi="ITC Avant Garde"/>
        </w:rPr>
        <w:t xml:space="preserve">, quien solo proporcionó el nombre del </w:t>
      </w:r>
      <w:r w:rsidR="008A7635" w:rsidRPr="0034602F">
        <w:rPr>
          <w:rFonts w:ascii="ITC Avant Garde" w:eastAsia="Times New Roman" w:hAnsi="ITC Avant Garde"/>
          <w:b/>
          <w:bCs/>
          <w:color w:val="000000"/>
          <w:lang w:eastAsia="es-MX"/>
        </w:rPr>
        <w:t>C.</w:t>
      </w:r>
      <w:r w:rsidR="008A7635" w:rsidRPr="0034602F">
        <w:rPr>
          <w:rFonts w:ascii="ITC Avant Garde" w:eastAsia="Times New Roman" w:hAnsi="ITC Avant Garde"/>
          <w:bCs/>
          <w:color w:val="000000"/>
          <w:lang w:eastAsia="es-MX"/>
        </w:rPr>
        <w:t xml:space="preserve"> </w:t>
      </w:r>
      <w:r w:rsidR="002463B0">
        <w:rPr>
          <w:rFonts w:ascii="ITC Avant Garde" w:hAnsi="ITC Avant Garde"/>
          <w:b/>
          <w:bCs/>
          <w:color w:val="0000FF"/>
        </w:rPr>
        <w:t>“CONFIDENCIAL POR LEY”</w:t>
      </w:r>
      <w:r w:rsidR="00ED49A7" w:rsidRPr="0034602F">
        <w:rPr>
          <w:rFonts w:ascii="ITC Avant Garde" w:hAnsi="ITC Avant Garde"/>
          <w:b/>
        </w:rPr>
        <w:t xml:space="preserve"> </w:t>
      </w:r>
      <w:r w:rsidR="008A7635" w:rsidRPr="0034602F">
        <w:rPr>
          <w:rFonts w:ascii="ITC Avant Garde" w:hAnsi="ITC Avant Garde"/>
        </w:rPr>
        <w:t>com</w:t>
      </w:r>
      <w:r w:rsidR="00820F9A" w:rsidRPr="0034602F">
        <w:rPr>
          <w:rFonts w:ascii="ITC Avant Garde" w:hAnsi="ITC Avant Garde"/>
        </w:rPr>
        <w:t>o responsable de la estación, a quien</w:t>
      </w:r>
      <w:r w:rsidR="008A7635" w:rsidRPr="0034602F">
        <w:rPr>
          <w:rFonts w:ascii="ITC Avant Garde" w:hAnsi="ITC Avant Garde"/>
        </w:rPr>
        <w:t xml:space="preserve"> </w:t>
      </w:r>
      <w:r w:rsidR="00ED49A7" w:rsidRPr="0034602F">
        <w:rPr>
          <w:rFonts w:ascii="ITC Avant Garde" w:hAnsi="ITC Avant Garde"/>
        </w:rPr>
        <w:t xml:space="preserve">le rentaba el </w:t>
      </w:r>
      <w:r w:rsidR="00BF53B8" w:rsidRPr="0034602F">
        <w:rPr>
          <w:rFonts w:ascii="ITC Avant Garde" w:hAnsi="ITC Avant Garde"/>
        </w:rPr>
        <w:t>cuarto</w:t>
      </w:r>
      <w:r w:rsidR="002C2101" w:rsidRPr="0034602F">
        <w:rPr>
          <w:rFonts w:ascii="ITC Avant Garde" w:eastAsia="Times New Roman" w:hAnsi="ITC Avant Garde"/>
          <w:lang w:eastAsia="es-ES"/>
        </w:rPr>
        <w:t xml:space="preserve">. </w:t>
      </w:r>
      <w:r w:rsidR="00894C21" w:rsidRPr="0034602F">
        <w:rPr>
          <w:rFonts w:ascii="ITC Avant Garde" w:eastAsia="Times New Roman" w:hAnsi="ITC Avant Garde"/>
          <w:lang w:eastAsia="es-ES"/>
        </w:rPr>
        <w:t>En dicho acto</w:t>
      </w:r>
      <w:r w:rsidRPr="0034602F">
        <w:rPr>
          <w:rFonts w:ascii="ITC Avant Garde" w:eastAsia="Times New Roman" w:hAnsi="ITC Avant Garde"/>
          <w:lang w:eastAsia="es-ES"/>
        </w:rPr>
        <w:t xml:space="preserve"> </w:t>
      </w:r>
      <w:r w:rsidR="002C2101" w:rsidRPr="0034602F">
        <w:rPr>
          <w:rFonts w:ascii="ITC Avant Garde" w:eastAsia="Times New Roman" w:hAnsi="ITC Avant Garde"/>
          <w:b/>
          <w:bCs/>
          <w:color w:val="000000"/>
          <w:lang w:eastAsia="es-MX"/>
        </w:rPr>
        <w:t>LOS VERIFICADORES</w:t>
      </w:r>
      <w:r w:rsidR="002C2101" w:rsidRPr="0034602F">
        <w:rPr>
          <w:rFonts w:ascii="ITC Avant Garde" w:eastAsia="Times New Roman" w:hAnsi="ITC Avant Garde"/>
          <w:bCs/>
          <w:color w:val="000000"/>
          <w:lang w:eastAsia="es-MX"/>
        </w:rPr>
        <w:t xml:space="preserve"> le hicieron saber el objeto de </w:t>
      </w:r>
      <w:r w:rsidR="00770AAD" w:rsidRPr="0034602F">
        <w:rPr>
          <w:rFonts w:ascii="ITC Avant Garde" w:eastAsia="Times New Roman" w:hAnsi="ITC Avant Garde"/>
          <w:bCs/>
          <w:color w:val="000000"/>
          <w:lang w:eastAsia="es-MX"/>
        </w:rPr>
        <w:t xml:space="preserve">la visita </w:t>
      </w:r>
      <w:r w:rsidR="00770AAD" w:rsidRPr="0034602F">
        <w:rPr>
          <w:rFonts w:ascii="ITC Avant Garde" w:eastAsia="Times New Roman" w:hAnsi="ITC Avant Garde"/>
          <w:bCs/>
          <w:color w:val="000000"/>
          <w:lang w:eastAsia="es-MX"/>
        </w:rPr>
        <w:lastRenderedPageBreak/>
        <w:t>haciéndole entrega de</w:t>
      </w:r>
      <w:r w:rsidR="004656CF" w:rsidRPr="0034602F">
        <w:rPr>
          <w:rFonts w:ascii="ITC Avant Garde" w:eastAsia="Times New Roman" w:hAnsi="ITC Avant Garde"/>
          <w:bCs/>
          <w:color w:val="000000"/>
          <w:lang w:eastAsia="es-MX"/>
        </w:rPr>
        <w:t xml:space="preserve">l oficio </w:t>
      </w:r>
      <w:r w:rsidR="003D2B1A" w:rsidRPr="0034602F">
        <w:rPr>
          <w:rFonts w:ascii="ITC Avant Garde" w:hAnsi="ITC Avant Garde" w:cs="Tahoma"/>
          <w:b/>
        </w:rPr>
        <w:t>IFT/UC/DG-VER/1805/2016</w:t>
      </w:r>
      <w:r w:rsidR="004656CF" w:rsidRPr="0034602F">
        <w:rPr>
          <w:rFonts w:ascii="ITC Avant Garde" w:eastAsia="Times New Roman" w:hAnsi="ITC Avant Garde"/>
          <w:bCs/>
          <w:color w:val="000000"/>
          <w:lang w:eastAsia="es-MX"/>
        </w:rPr>
        <w:t xml:space="preserve"> que contiene la </w:t>
      </w:r>
      <w:r w:rsidR="006D6C8E" w:rsidRPr="0034602F">
        <w:rPr>
          <w:rFonts w:ascii="ITC Avant Garde" w:hAnsi="ITC Avant Garde"/>
        </w:rPr>
        <w:t xml:space="preserve">orden de inspección-verificación ordinaria </w:t>
      </w:r>
      <w:r w:rsidR="00BF53B8" w:rsidRPr="0034602F">
        <w:rPr>
          <w:rFonts w:ascii="ITC Avant Garde" w:hAnsi="ITC Avant Garde" w:cs="Tahoma"/>
          <w:b/>
        </w:rPr>
        <w:t>IFT/UC/DGV/352/2016</w:t>
      </w:r>
      <w:r w:rsidR="00ED49A7" w:rsidRPr="0034602F">
        <w:rPr>
          <w:rFonts w:ascii="ITC Avant Garde" w:eastAsia="Times New Roman" w:hAnsi="ITC Avant Garde"/>
          <w:bCs/>
          <w:color w:val="000000"/>
          <w:lang w:eastAsia="es-MX"/>
        </w:rPr>
        <w:t xml:space="preserve"> de </w:t>
      </w:r>
      <w:r w:rsidR="00770AAD" w:rsidRPr="0034602F">
        <w:rPr>
          <w:rFonts w:ascii="ITC Avant Garde" w:hAnsi="ITC Avant Garde"/>
        </w:rPr>
        <w:t>diecisiete de agosto de dos mil dieciséis</w:t>
      </w:r>
      <w:r w:rsidR="002C2101" w:rsidRPr="0034602F">
        <w:rPr>
          <w:rFonts w:ascii="ITC Avant Garde" w:eastAsia="Times New Roman" w:hAnsi="ITC Avant Garde"/>
          <w:bCs/>
          <w:color w:val="000000"/>
          <w:lang w:val="x-none" w:eastAsia="es-MX"/>
        </w:rPr>
        <w:t xml:space="preserve">, </w:t>
      </w:r>
      <w:r w:rsidR="0008178A" w:rsidRPr="0034602F">
        <w:rPr>
          <w:rFonts w:ascii="ITC Avant Garde" w:eastAsia="Times New Roman" w:hAnsi="ITC Avant Garde"/>
          <w:bCs/>
          <w:color w:val="000000"/>
          <w:lang w:eastAsia="es-MX"/>
        </w:rPr>
        <w:t>solicitándole firm</w:t>
      </w:r>
      <w:r w:rsidR="00421235" w:rsidRPr="0034602F">
        <w:rPr>
          <w:rFonts w:ascii="ITC Avant Garde" w:eastAsia="Times New Roman" w:hAnsi="ITC Avant Garde"/>
          <w:bCs/>
          <w:color w:val="000000"/>
          <w:lang w:eastAsia="es-MX"/>
        </w:rPr>
        <w:t>ara</w:t>
      </w:r>
      <w:r w:rsidR="0008178A" w:rsidRPr="0034602F">
        <w:rPr>
          <w:rFonts w:ascii="ITC Avant Garde" w:eastAsia="Times New Roman" w:hAnsi="ITC Avant Garde"/>
          <w:bCs/>
          <w:color w:val="000000"/>
          <w:lang w:eastAsia="es-MX"/>
        </w:rPr>
        <w:t xml:space="preserve"> una copia como constancia de acuse de recibo</w:t>
      </w:r>
      <w:r w:rsidR="00544C9E" w:rsidRPr="0034602F">
        <w:rPr>
          <w:rFonts w:ascii="ITC Avant Garde" w:eastAsia="Times New Roman" w:hAnsi="ITC Avant Garde"/>
          <w:bCs/>
          <w:color w:val="000000"/>
          <w:lang w:eastAsia="es-MX"/>
        </w:rPr>
        <w:t xml:space="preserve">, </w:t>
      </w:r>
      <w:r w:rsidR="00544C9E" w:rsidRPr="0034602F">
        <w:rPr>
          <w:rFonts w:ascii="ITC Avant Garde" w:hAnsi="ITC Avant Garde" w:cs="Tahoma"/>
        </w:rPr>
        <w:t>quien se negó a firmar la orden de visita y manifestando: “solo les recibo el documento pero no les firmo nada”.</w:t>
      </w:r>
    </w:p>
    <w:p w14:paraId="3EE048E1" w14:textId="77777777" w:rsidR="003C5E62" w:rsidRPr="0034602F" w:rsidRDefault="00894C21"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lang w:eastAsia="es-ES"/>
        </w:rPr>
        <w:t xml:space="preserve">Asimismo, la persona que atendió la diligencia no nombró testigos de asistencia, </w:t>
      </w:r>
      <w:r w:rsidR="001771E3" w:rsidRPr="0034602F">
        <w:rPr>
          <w:rFonts w:ascii="ITC Avant Garde" w:eastAsia="Times New Roman" w:hAnsi="ITC Avant Garde"/>
          <w:lang w:eastAsia="es-ES"/>
        </w:rPr>
        <w:t xml:space="preserve">por lo que </w:t>
      </w:r>
      <w:r w:rsidRPr="0034602F">
        <w:rPr>
          <w:rFonts w:ascii="ITC Avant Garde" w:hAnsi="ITC Avant Garde"/>
          <w:b/>
        </w:rPr>
        <w:t xml:space="preserve">LOS VERIFICADORES </w:t>
      </w:r>
      <w:r w:rsidR="002C2101" w:rsidRPr="0034602F">
        <w:rPr>
          <w:rFonts w:ascii="ITC Avant Garde" w:eastAsia="Times New Roman" w:hAnsi="ITC Avant Garde"/>
          <w:bCs/>
          <w:color w:val="000000"/>
          <w:lang w:eastAsia="es-MX"/>
        </w:rPr>
        <w:t xml:space="preserve">nombraron como testigos </w:t>
      </w:r>
      <w:r w:rsidR="001771E3" w:rsidRPr="0034602F">
        <w:rPr>
          <w:rFonts w:ascii="ITC Avant Garde" w:eastAsia="Times New Roman" w:hAnsi="ITC Avant Garde"/>
          <w:bCs/>
          <w:color w:val="000000"/>
          <w:lang w:eastAsia="es-MX"/>
        </w:rPr>
        <w:t xml:space="preserve">de asistencia </w:t>
      </w:r>
      <w:r w:rsidR="002C2101" w:rsidRPr="0034602F">
        <w:rPr>
          <w:rFonts w:ascii="ITC Avant Garde" w:eastAsia="Times New Roman" w:hAnsi="ITC Avant Garde"/>
          <w:bCs/>
          <w:color w:val="000000"/>
          <w:lang w:eastAsia="es-MX"/>
        </w:rPr>
        <w:t>a</w:t>
      </w:r>
      <w:r w:rsidR="00ED49A7" w:rsidRPr="0034602F">
        <w:rPr>
          <w:rFonts w:ascii="ITC Avant Garde" w:hAnsi="ITC Avant Garde"/>
        </w:rPr>
        <w:t xml:space="preserve"> los CC. </w:t>
      </w:r>
      <w:r w:rsidR="00544C9E" w:rsidRPr="0034602F">
        <w:rPr>
          <w:rFonts w:ascii="ITC Avant Garde" w:hAnsi="ITC Avant Garde"/>
          <w:b/>
        </w:rPr>
        <w:t>Daniel Rodriguez Agonizantes y Pedro Daniel Reyes Gómez</w:t>
      </w:r>
      <w:r w:rsidR="00AF2744" w:rsidRPr="0034602F">
        <w:rPr>
          <w:rFonts w:ascii="ITC Avant Garde" w:hAnsi="ITC Avant Garde"/>
        </w:rPr>
        <w:t>,</w:t>
      </w:r>
      <w:r w:rsidR="002C2101" w:rsidRPr="0034602F">
        <w:rPr>
          <w:rFonts w:ascii="ITC Avant Garde" w:eastAsia="Times New Roman" w:hAnsi="ITC Avant Garde"/>
          <w:bCs/>
          <w:color w:val="000000"/>
          <w:lang w:eastAsia="es-MX"/>
        </w:rPr>
        <w:t xml:space="preserve"> quienes aceptaron</w:t>
      </w:r>
      <w:r w:rsidR="00480802" w:rsidRPr="0034602F">
        <w:rPr>
          <w:rFonts w:ascii="ITC Avant Garde" w:eastAsia="Times New Roman" w:hAnsi="ITC Avant Garde"/>
          <w:bCs/>
          <w:color w:val="000000"/>
          <w:lang w:eastAsia="es-MX"/>
        </w:rPr>
        <w:t xml:space="preserve"> el cargo.</w:t>
      </w:r>
    </w:p>
    <w:p w14:paraId="117DA14D" w14:textId="77777777" w:rsidR="003C5E62" w:rsidRPr="0034602F" w:rsidRDefault="00A96264" w:rsidP="00583167">
      <w:pPr>
        <w:spacing w:before="240" w:after="240" w:line="360" w:lineRule="auto"/>
        <w:jc w:val="both"/>
        <w:rPr>
          <w:rFonts w:ascii="ITC Avant Garde" w:hAnsi="ITC Avant Garde"/>
        </w:rPr>
      </w:pPr>
      <w:r w:rsidRPr="0034602F">
        <w:rPr>
          <w:rFonts w:ascii="ITC Avant Garde" w:hAnsi="ITC Avant Garde"/>
        </w:rPr>
        <w:t>Una vez cubiertos los requisitos de ley</w:t>
      </w:r>
      <w:r w:rsidRPr="0034602F">
        <w:rPr>
          <w:rFonts w:ascii="ITC Avant Garde" w:eastAsia="Times New Roman" w:hAnsi="ITC Avant Garde"/>
          <w:bCs/>
          <w:color w:val="000000"/>
          <w:lang w:eastAsia="es-MX"/>
        </w:rPr>
        <w:t xml:space="preserve">, </w:t>
      </w:r>
      <w:r w:rsidRPr="0034602F">
        <w:rPr>
          <w:rFonts w:ascii="ITC Avant Garde" w:eastAsia="Times New Roman" w:hAnsi="ITC Avant Garde"/>
          <w:b/>
          <w:bCs/>
          <w:color w:val="000000"/>
          <w:lang w:eastAsia="es-MX"/>
        </w:rPr>
        <w:t>LOS VERIFICADORES</w:t>
      </w:r>
      <w:r w:rsidRPr="0034602F">
        <w:rPr>
          <w:rFonts w:ascii="ITC Avant Garde" w:eastAsia="Times New Roman" w:hAnsi="ITC Avant Garde"/>
          <w:bCs/>
          <w:color w:val="000000"/>
          <w:lang w:eastAsia="es-MX"/>
        </w:rPr>
        <w:t xml:space="preserve">, acompañados de la persona que ocupaba el inmueble en el que se practicó la diligencia y de los testigos de asistencia, procedieron a verificar </w:t>
      </w:r>
      <w:r w:rsidR="00894C21" w:rsidRPr="0034602F">
        <w:rPr>
          <w:rFonts w:ascii="ITC Avant Garde" w:eastAsia="Times New Roman" w:hAnsi="ITC Avant Garde"/>
          <w:lang w:eastAsia="es-ES"/>
        </w:rPr>
        <w:t xml:space="preserve">las instalaciones del inmueble, </w:t>
      </w:r>
      <w:r w:rsidR="00894C21" w:rsidRPr="0034602F">
        <w:rPr>
          <w:rFonts w:ascii="ITC Avant Garde" w:hAnsi="ITC Avant Garde"/>
        </w:rPr>
        <w:t xml:space="preserve">encontrando </w:t>
      </w:r>
      <w:r w:rsidRPr="0034602F">
        <w:rPr>
          <w:rFonts w:ascii="ITC Avant Garde" w:eastAsia="Times New Roman" w:hAnsi="ITC Avant Garde"/>
          <w:bCs/>
          <w:color w:val="000000"/>
          <w:lang w:eastAsia="es-MX"/>
        </w:rPr>
        <w:t xml:space="preserve">instalados y en operación: </w:t>
      </w:r>
      <w:r w:rsidR="002B7F5E" w:rsidRPr="0034602F">
        <w:rPr>
          <w:rFonts w:ascii="ITC Avant Garde" w:eastAsia="Times New Roman" w:hAnsi="ITC Avant Garde"/>
          <w:bCs/>
          <w:color w:val="000000"/>
          <w:lang w:eastAsia="es-MX"/>
        </w:rPr>
        <w:t>u</w:t>
      </w:r>
      <w:r w:rsidR="00922F8D" w:rsidRPr="0034602F">
        <w:rPr>
          <w:rFonts w:ascii="ITC Avant Garde" w:eastAsia="Times New Roman" w:hAnsi="ITC Avant Garde"/>
          <w:bCs/>
          <w:color w:val="000000"/>
          <w:lang w:eastAsia="es-MX"/>
        </w:rPr>
        <w:t>n Tran</w:t>
      </w:r>
      <w:r w:rsidR="002B7F5E" w:rsidRPr="0034602F">
        <w:rPr>
          <w:rFonts w:ascii="ITC Avant Garde" w:eastAsia="Times New Roman" w:hAnsi="ITC Avant Garde"/>
          <w:bCs/>
          <w:color w:val="000000"/>
          <w:lang w:eastAsia="es-MX"/>
        </w:rPr>
        <w:t xml:space="preserve">smisor, sin marca, sin modelo, </w:t>
      </w:r>
      <w:r w:rsidR="008F6296" w:rsidRPr="0034602F">
        <w:rPr>
          <w:rFonts w:ascii="ITC Avant Garde" w:eastAsia="Times New Roman" w:hAnsi="ITC Avant Garde"/>
          <w:bCs/>
          <w:color w:val="000000"/>
          <w:lang w:eastAsia="es-MX"/>
        </w:rPr>
        <w:t xml:space="preserve">ni número de serie, </w:t>
      </w:r>
      <w:r w:rsidR="002B7F5E" w:rsidRPr="0034602F">
        <w:rPr>
          <w:rFonts w:ascii="ITC Avant Garde" w:eastAsia="Times New Roman" w:hAnsi="ITC Avant Garde"/>
          <w:bCs/>
          <w:color w:val="000000"/>
          <w:lang w:eastAsia="es-MX"/>
        </w:rPr>
        <w:t>u</w:t>
      </w:r>
      <w:r w:rsidR="00922F8D" w:rsidRPr="0034602F">
        <w:rPr>
          <w:rFonts w:ascii="ITC Avant Garde" w:eastAsia="Times New Roman" w:hAnsi="ITC Avant Garde"/>
          <w:bCs/>
          <w:color w:val="000000"/>
          <w:lang w:eastAsia="es-MX"/>
        </w:rPr>
        <w:t xml:space="preserve">n CPU armado, </w:t>
      </w:r>
      <w:r w:rsidR="00733D42" w:rsidRPr="0034602F">
        <w:rPr>
          <w:rFonts w:ascii="ITC Avant Garde" w:eastAsia="Times New Roman" w:hAnsi="ITC Avant Garde"/>
          <w:bCs/>
          <w:color w:val="000000"/>
          <w:lang w:eastAsia="es-MX"/>
        </w:rPr>
        <w:t xml:space="preserve">sin marca, sin modelo, ni número de serie, </w:t>
      </w:r>
      <w:r w:rsidR="00733D42" w:rsidRPr="0034602F">
        <w:rPr>
          <w:rFonts w:ascii="ITC Avant Garde" w:hAnsi="ITC Avant Garde" w:cs="Arial"/>
          <w:sz w:val="21"/>
          <w:szCs w:val="21"/>
        </w:rPr>
        <w:t>en el techo del cuarto a un lado del tinaco se encuentra colocad</w:t>
      </w:r>
      <w:r w:rsidR="002D34E7" w:rsidRPr="0034602F">
        <w:rPr>
          <w:rFonts w:ascii="ITC Avant Garde" w:hAnsi="ITC Avant Garde" w:cs="Arial"/>
          <w:sz w:val="21"/>
          <w:szCs w:val="21"/>
        </w:rPr>
        <w:t>a</w:t>
      </w:r>
      <w:r w:rsidR="00733D42" w:rsidRPr="0034602F">
        <w:rPr>
          <w:rFonts w:ascii="ITC Avant Garde" w:hAnsi="ITC Avant Garde" w:cs="Arial"/>
          <w:sz w:val="21"/>
          <w:szCs w:val="21"/>
        </w:rPr>
        <w:t xml:space="preserve"> una antena omnidireccional</w:t>
      </w:r>
      <w:r w:rsidR="00D30D7D" w:rsidRPr="0034602F">
        <w:rPr>
          <w:rFonts w:ascii="ITC Avant Garde" w:hAnsi="ITC Avant Garde"/>
        </w:rPr>
        <w:t>,</w:t>
      </w:r>
      <w:r w:rsidR="00CE0B42" w:rsidRPr="0034602F">
        <w:rPr>
          <w:rFonts w:ascii="ITC Avant Garde" w:hAnsi="ITC Avant Garde"/>
        </w:rPr>
        <w:t xml:space="preserve"> </w:t>
      </w:r>
      <w:r w:rsidR="00F12445" w:rsidRPr="0034602F">
        <w:rPr>
          <w:rFonts w:ascii="ITC Avant Garde" w:hAnsi="ITC Avant Garde"/>
        </w:rPr>
        <w:t>los cuales operaban</w:t>
      </w:r>
      <w:r w:rsidR="00CE0B42" w:rsidRPr="0034602F">
        <w:rPr>
          <w:rFonts w:ascii="ITC Avant Garde" w:hAnsi="ITC Avant Garde"/>
        </w:rPr>
        <w:t xml:space="preserve"> </w:t>
      </w:r>
      <w:r w:rsidR="00B67120" w:rsidRPr="0034602F">
        <w:rPr>
          <w:rFonts w:ascii="ITC Avant Garde" w:hAnsi="ITC Avant Garde"/>
        </w:rPr>
        <w:t xml:space="preserve">en la frecuencia </w:t>
      </w:r>
      <w:r w:rsidR="00922F8D" w:rsidRPr="0034602F">
        <w:rPr>
          <w:rFonts w:ascii="ITC Avant Garde" w:hAnsi="ITC Avant Garde"/>
          <w:b/>
        </w:rPr>
        <w:t>97</w:t>
      </w:r>
      <w:r w:rsidR="00ED49D4" w:rsidRPr="0034602F">
        <w:rPr>
          <w:rFonts w:ascii="ITC Avant Garde" w:hAnsi="ITC Avant Garde"/>
          <w:b/>
        </w:rPr>
        <w:t>.</w:t>
      </w:r>
      <w:r w:rsidR="00922F8D" w:rsidRPr="0034602F">
        <w:rPr>
          <w:rFonts w:ascii="ITC Avant Garde" w:hAnsi="ITC Avant Garde"/>
          <w:b/>
        </w:rPr>
        <w:t>3</w:t>
      </w:r>
      <w:r w:rsidR="00B67120" w:rsidRPr="0034602F">
        <w:rPr>
          <w:rFonts w:ascii="ITC Avant Garde" w:hAnsi="ITC Avant Garde"/>
          <w:b/>
        </w:rPr>
        <w:t xml:space="preserve"> MHz</w:t>
      </w:r>
      <w:r w:rsidR="00CE0B42" w:rsidRPr="0034602F">
        <w:rPr>
          <w:rFonts w:ascii="ITC Avant Garde" w:hAnsi="ITC Avant Garde"/>
        </w:rPr>
        <w:t>.</w:t>
      </w:r>
    </w:p>
    <w:p w14:paraId="26FED981" w14:textId="77777777" w:rsidR="003C5E62" w:rsidRPr="0034602F" w:rsidRDefault="00A96264"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Posteriormente, </w:t>
      </w:r>
      <w:r w:rsidRPr="0034602F">
        <w:rPr>
          <w:rFonts w:ascii="ITC Avant Garde" w:eastAsia="Times New Roman" w:hAnsi="ITC Avant Garde"/>
          <w:b/>
          <w:bCs/>
          <w:color w:val="000000"/>
          <w:lang w:eastAsia="es-MX"/>
        </w:rPr>
        <w:t>LOS VERIFICADORES</w:t>
      </w:r>
      <w:r w:rsidRPr="0034602F">
        <w:rPr>
          <w:rFonts w:ascii="ITC Avant Garde" w:eastAsia="Times New Roman" w:hAnsi="ITC Avant Garde"/>
          <w:bCs/>
          <w:color w:val="000000"/>
          <w:lang w:eastAsia="es-MX"/>
        </w:rPr>
        <w:t xml:space="preserve"> solicitaron a la persona que atendió la visita, </w:t>
      </w:r>
      <w:r w:rsidR="0010330D" w:rsidRPr="0034602F">
        <w:rPr>
          <w:rFonts w:ascii="ITC Avant Garde" w:eastAsia="Times New Roman" w:hAnsi="ITC Avant Garde"/>
          <w:bCs/>
          <w:color w:val="000000"/>
          <w:lang w:eastAsia="es-MX"/>
        </w:rPr>
        <w:t>manifestara bajo protesta de decir verdad lo siguiente:</w:t>
      </w:r>
    </w:p>
    <w:p w14:paraId="797A0C23" w14:textId="1BA1BDE6" w:rsidR="00CF0E13" w:rsidRPr="0034602F" w:rsidRDefault="00434B74" w:rsidP="00583167">
      <w:pPr>
        <w:pStyle w:val="Textoindependiente"/>
        <w:numPr>
          <w:ilvl w:val="0"/>
          <w:numId w:val="5"/>
        </w:num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Primero. ¿</w:t>
      </w:r>
      <w:r w:rsidR="00E86411" w:rsidRPr="0034602F">
        <w:rPr>
          <w:rFonts w:ascii="ITC Avant Garde" w:eastAsia="Times New Roman" w:hAnsi="ITC Avant Garde"/>
          <w:bCs/>
          <w:color w:val="000000"/>
          <w:lang w:eastAsia="es-MX"/>
        </w:rPr>
        <w:t>Qu</w:t>
      </w:r>
      <w:r w:rsidR="00B67120" w:rsidRPr="0034602F">
        <w:rPr>
          <w:rFonts w:ascii="ITC Avant Garde" w:eastAsia="Times New Roman" w:hAnsi="ITC Avant Garde"/>
          <w:bCs/>
          <w:color w:val="000000"/>
          <w:lang w:eastAsia="es-MX"/>
        </w:rPr>
        <w:t>é</w:t>
      </w:r>
      <w:r w:rsidR="00E86411" w:rsidRPr="0034602F">
        <w:rPr>
          <w:rFonts w:ascii="ITC Avant Garde" w:eastAsia="Times New Roman" w:hAnsi="ITC Avant Garde"/>
          <w:bCs/>
          <w:color w:val="000000"/>
          <w:lang w:eastAsia="es-MX"/>
        </w:rPr>
        <w:t xml:space="preserve"> persona es el propietario o poseedor de la estación de radiodifusión que transmite desde ese inmueble</w:t>
      </w:r>
      <w:r w:rsidR="00CF0E13" w:rsidRPr="0034602F">
        <w:rPr>
          <w:rFonts w:ascii="ITC Avant Garde" w:eastAsia="Times New Roman" w:hAnsi="ITC Avant Garde"/>
          <w:bCs/>
          <w:color w:val="000000"/>
          <w:lang w:eastAsia="es-MX"/>
        </w:rPr>
        <w:t>?</w:t>
      </w:r>
    </w:p>
    <w:p w14:paraId="4A623BBA" w14:textId="0165161C" w:rsidR="00922F8D" w:rsidRPr="0034602F" w:rsidRDefault="00CF0E13" w:rsidP="00583167">
      <w:pPr>
        <w:pStyle w:val="Textoindependiente"/>
        <w:tabs>
          <w:tab w:val="left" w:pos="851"/>
        </w:tabs>
        <w:spacing w:before="240" w:after="240" w:line="360" w:lineRule="auto"/>
        <w:ind w:left="720"/>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Respuesta</w:t>
      </w:r>
      <w:r w:rsidR="00E86411" w:rsidRPr="0034602F">
        <w:rPr>
          <w:rFonts w:ascii="ITC Avant Garde" w:eastAsia="Times New Roman" w:hAnsi="ITC Avant Garde"/>
          <w:bCs/>
          <w:color w:val="000000"/>
          <w:lang w:eastAsia="es-MX"/>
        </w:rPr>
        <w:t xml:space="preserve">: </w:t>
      </w:r>
      <w:r w:rsidR="002463B0">
        <w:rPr>
          <w:rFonts w:ascii="ITC Avant Garde" w:hAnsi="ITC Avant Garde"/>
          <w:b/>
          <w:bCs/>
          <w:color w:val="0000FF"/>
        </w:rPr>
        <w:t>“CONFIDENCIAL POR LEY”</w:t>
      </w:r>
      <w:r w:rsidR="00DD733E" w:rsidRPr="0034602F">
        <w:rPr>
          <w:rFonts w:ascii="ITC Avant Garde" w:eastAsia="Times New Roman" w:hAnsi="ITC Avant Garde"/>
          <w:bCs/>
          <w:color w:val="000000"/>
          <w:lang w:eastAsia="es-MX"/>
        </w:rPr>
        <w:t>.</w:t>
      </w:r>
    </w:p>
    <w:p w14:paraId="30FD3F59" w14:textId="77777777" w:rsidR="006D6786" w:rsidRDefault="00CF0E13" w:rsidP="00583167">
      <w:pPr>
        <w:pStyle w:val="Textoindependiente"/>
        <w:numPr>
          <w:ilvl w:val="0"/>
          <w:numId w:val="5"/>
        </w:numPr>
        <w:tabs>
          <w:tab w:val="left" w:pos="851"/>
        </w:tabs>
        <w:spacing w:before="240" w:after="240" w:line="360" w:lineRule="auto"/>
        <w:jc w:val="both"/>
        <w:rPr>
          <w:rFonts w:ascii="ITC Avant Garde" w:eastAsia="Times New Roman" w:hAnsi="ITC Avant Garde"/>
          <w:bCs/>
          <w:color w:val="000000"/>
          <w:lang w:eastAsia="es-MX"/>
        </w:rPr>
        <w:sectPr w:rsidR="006D6786" w:rsidSect="006345CE">
          <w:headerReference w:type="default" r:id="rId24"/>
          <w:pgSz w:w="12240" w:h="15840"/>
          <w:pgMar w:top="426" w:right="1418" w:bottom="1418" w:left="1418" w:header="709" w:footer="420" w:gutter="0"/>
          <w:cols w:space="708"/>
          <w:docGrid w:linePitch="360"/>
        </w:sectPr>
      </w:pPr>
      <w:r w:rsidRPr="0034602F">
        <w:rPr>
          <w:rFonts w:ascii="ITC Avant Garde" w:eastAsia="Times New Roman" w:hAnsi="ITC Avant Garde"/>
          <w:bCs/>
          <w:color w:val="000000"/>
          <w:lang w:eastAsia="es-MX"/>
        </w:rPr>
        <w:t xml:space="preserve">Segundo. </w:t>
      </w:r>
      <w:r w:rsidR="00434B74" w:rsidRPr="0034602F">
        <w:rPr>
          <w:rFonts w:ascii="ITC Avant Garde" w:eastAsia="Times New Roman" w:hAnsi="ITC Avant Garde"/>
          <w:bCs/>
          <w:color w:val="000000"/>
          <w:lang w:eastAsia="es-MX"/>
        </w:rPr>
        <w:t xml:space="preserve">¿Sabe si desde dicho inmueble se </w:t>
      </w:r>
      <w:r w:rsidR="00261765" w:rsidRPr="0034602F">
        <w:rPr>
          <w:rFonts w:ascii="ITC Avant Garde" w:eastAsia="Times New Roman" w:hAnsi="ITC Avant Garde"/>
          <w:bCs/>
          <w:color w:val="000000"/>
          <w:lang w:eastAsia="es-MX"/>
        </w:rPr>
        <w:t>está</w:t>
      </w:r>
      <w:r w:rsidR="00434B74" w:rsidRPr="0034602F">
        <w:rPr>
          <w:rFonts w:ascii="ITC Avant Garde" w:eastAsia="Times New Roman" w:hAnsi="ITC Avant Garde"/>
          <w:bCs/>
          <w:color w:val="000000"/>
          <w:lang w:eastAsia="es-MX"/>
        </w:rPr>
        <w:t xml:space="preserve"> operando una estación de radiodifusión la cual opera en la banda de frecuencia modulada 97.3 MHz?, </w:t>
      </w:r>
      <w:r w:rsidRPr="0034602F">
        <w:rPr>
          <w:rFonts w:ascii="ITC Avant Garde" w:eastAsia="Times New Roman" w:hAnsi="ITC Avant Garde"/>
          <w:bCs/>
          <w:color w:val="000000"/>
          <w:lang w:eastAsia="es-MX"/>
        </w:rPr>
        <w:t>Respuesta: “no, no lo sabía”.</w:t>
      </w:r>
    </w:p>
    <w:p w14:paraId="0979ECDF" w14:textId="33D545FF" w:rsidR="00CF0E13" w:rsidRPr="0034602F" w:rsidRDefault="00CF0E13" w:rsidP="00583167">
      <w:pPr>
        <w:pStyle w:val="Textoindependiente"/>
        <w:numPr>
          <w:ilvl w:val="0"/>
          <w:numId w:val="5"/>
        </w:num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lastRenderedPageBreak/>
        <w:t>Tercero. ¿Si la estación que transmite en  la frecuencia 97.3 MHz desde este inmueble cuenta con la concesión o permiso otorgado por la Autoridad Federal para hacer uso de una frecuencia del espectro radioeléctrico?</w:t>
      </w:r>
    </w:p>
    <w:p w14:paraId="76DDBE2A" w14:textId="268E926A" w:rsidR="00CF0E13" w:rsidRPr="0034602F" w:rsidRDefault="00CF0E13" w:rsidP="00583167">
      <w:pPr>
        <w:pStyle w:val="Textoindependiente"/>
        <w:tabs>
          <w:tab w:val="left" w:pos="851"/>
        </w:tabs>
        <w:spacing w:before="240" w:after="240" w:line="360" w:lineRule="auto"/>
        <w:ind w:left="720"/>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Respuesta: “lo desconozco”.</w:t>
      </w:r>
    </w:p>
    <w:p w14:paraId="295E6D29" w14:textId="34E95DC8" w:rsidR="00CF0E13" w:rsidRPr="0034602F" w:rsidRDefault="00CF0E13" w:rsidP="00583167">
      <w:pPr>
        <w:pStyle w:val="Textoindependiente"/>
        <w:numPr>
          <w:ilvl w:val="0"/>
          <w:numId w:val="5"/>
        </w:num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Cuarto. ¿Sabe </w:t>
      </w:r>
      <w:r w:rsidR="00261765" w:rsidRPr="0034602F">
        <w:rPr>
          <w:rFonts w:ascii="ITC Avant Garde" w:eastAsia="Times New Roman" w:hAnsi="ITC Avant Garde"/>
          <w:bCs/>
          <w:color w:val="000000"/>
          <w:lang w:eastAsia="es-MX"/>
        </w:rPr>
        <w:t>quién</w:t>
      </w:r>
      <w:r w:rsidRPr="0034602F">
        <w:rPr>
          <w:rFonts w:ascii="ITC Avant Garde" w:eastAsia="Times New Roman" w:hAnsi="ITC Avant Garde"/>
          <w:bCs/>
          <w:color w:val="000000"/>
          <w:lang w:eastAsia="es-MX"/>
        </w:rPr>
        <w:t xml:space="preserve"> se anuncia en esta estación de radio?</w:t>
      </w:r>
    </w:p>
    <w:p w14:paraId="40571603" w14:textId="07B195A6" w:rsidR="00CF0E13" w:rsidRPr="0034602F" w:rsidRDefault="00CF0E13" w:rsidP="00583167">
      <w:pPr>
        <w:pStyle w:val="Textoindependiente"/>
        <w:tabs>
          <w:tab w:val="left" w:pos="851"/>
        </w:tabs>
        <w:spacing w:before="240" w:after="240" w:line="360" w:lineRule="auto"/>
        <w:ind w:left="720"/>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Respuesta: “les repito que desconocía que había una estación aquí”</w:t>
      </w:r>
    </w:p>
    <w:p w14:paraId="04324733" w14:textId="0F565258" w:rsidR="00CF0E13" w:rsidRPr="0034602F" w:rsidRDefault="00CF0E13" w:rsidP="00583167">
      <w:pPr>
        <w:pStyle w:val="Textoindependiente"/>
        <w:numPr>
          <w:ilvl w:val="0"/>
          <w:numId w:val="5"/>
        </w:num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¿Sabe que anuncian en esta estación de radio?</w:t>
      </w:r>
    </w:p>
    <w:p w14:paraId="62025A7D" w14:textId="27A66E2F" w:rsidR="00CF0E13" w:rsidRPr="0034602F" w:rsidRDefault="00261765" w:rsidP="00583167">
      <w:pPr>
        <w:pStyle w:val="Textoindependiente"/>
        <w:tabs>
          <w:tab w:val="left" w:pos="851"/>
        </w:tabs>
        <w:spacing w:before="240" w:after="240" w:line="360" w:lineRule="auto"/>
        <w:ind w:left="720"/>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Respuesta: “no</w:t>
      </w:r>
      <w:r w:rsidR="00CF0E13" w:rsidRPr="0034602F">
        <w:rPr>
          <w:rFonts w:ascii="ITC Avant Garde" w:eastAsia="Times New Roman" w:hAnsi="ITC Avant Garde"/>
          <w:bCs/>
          <w:color w:val="000000"/>
          <w:lang w:eastAsia="es-MX"/>
        </w:rPr>
        <w:t>”.</w:t>
      </w:r>
    </w:p>
    <w:p w14:paraId="4356A030" w14:textId="3A32BC00" w:rsidR="00CF0E13" w:rsidRPr="0034602F" w:rsidRDefault="00CF0E13" w:rsidP="00583167">
      <w:pPr>
        <w:pStyle w:val="Textoindependiente"/>
        <w:numPr>
          <w:ilvl w:val="0"/>
          <w:numId w:val="5"/>
        </w:num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¿Sabe si pagan alguna cantidad por anunciarse?</w:t>
      </w:r>
    </w:p>
    <w:p w14:paraId="627F212C" w14:textId="77777777" w:rsidR="003C5E62" w:rsidRPr="0034602F" w:rsidRDefault="00CF0E13" w:rsidP="00583167">
      <w:pPr>
        <w:pStyle w:val="Textoindependiente"/>
        <w:tabs>
          <w:tab w:val="left" w:pos="851"/>
        </w:tabs>
        <w:spacing w:before="240" w:after="240" w:line="360" w:lineRule="auto"/>
        <w:ind w:left="720"/>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Respuesta: “no lo </w:t>
      </w:r>
      <w:r w:rsidR="00261765" w:rsidRPr="0034602F">
        <w:rPr>
          <w:rFonts w:ascii="ITC Avant Garde" w:eastAsia="Times New Roman" w:hAnsi="ITC Avant Garde"/>
          <w:bCs/>
          <w:color w:val="000000"/>
          <w:lang w:eastAsia="es-MX"/>
        </w:rPr>
        <w:t>sé</w:t>
      </w:r>
      <w:r w:rsidRPr="0034602F">
        <w:rPr>
          <w:rFonts w:ascii="ITC Avant Garde" w:eastAsia="Times New Roman" w:hAnsi="ITC Avant Garde"/>
          <w:bCs/>
          <w:color w:val="000000"/>
          <w:lang w:eastAsia="es-MX"/>
        </w:rPr>
        <w:t>”.</w:t>
      </w:r>
    </w:p>
    <w:p w14:paraId="268C0B2B" w14:textId="77777777" w:rsidR="003C5E62" w:rsidRPr="0034602F" w:rsidRDefault="00E86411"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Por lo anterior, se le solicitó a dicha persona </w:t>
      </w:r>
      <w:r w:rsidR="00A96264" w:rsidRPr="0034602F">
        <w:rPr>
          <w:rFonts w:ascii="ITC Avant Garde" w:eastAsia="Times New Roman" w:hAnsi="ITC Avant Garde"/>
          <w:bCs/>
          <w:color w:val="000000"/>
          <w:lang w:eastAsia="es-MX"/>
        </w:rPr>
        <w:t xml:space="preserve">informara si cuenta con concesión o permiso </w:t>
      </w:r>
      <w:r w:rsidR="00DD733E" w:rsidRPr="0034602F">
        <w:rPr>
          <w:rFonts w:ascii="ITC Avant Garde" w:eastAsia="Times New Roman" w:hAnsi="ITC Avant Garde"/>
          <w:bCs/>
          <w:color w:val="000000"/>
          <w:lang w:eastAsia="es-MX"/>
        </w:rPr>
        <w:t>otorgado por Autoridad Federal para hacer uso de una frecuencia del espectro radioeléctrico</w:t>
      </w:r>
      <w:r w:rsidR="00A96264" w:rsidRPr="0034602F">
        <w:rPr>
          <w:rFonts w:ascii="ITC Avant Garde" w:eastAsia="Times New Roman" w:hAnsi="ITC Avant Garde"/>
          <w:bCs/>
          <w:color w:val="000000"/>
          <w:lang w:eastAsia="es-MX"/>
        </w:rPr>
        <w:t xml:space="preserve"> que amparara la instalación y operación de la frecuencia </w:t>
      </w:r>
      <w:r w:rsidR="00DD733E" w:rsidRPr="0034602F">
        <w:rPr>
          <w:rFonts w:ascii="ITC Avant Garde" w:eastAsia="Times New Roman" w:hAnsi="ITC Avant Garde"/>
          <w:b/>
          <w:bCs/>
          <w:color w:val="000000"/>
          <w:lang w:eastAsia="es-MX"/>
        </w:rPr>
        <w:t xml:space="preserve">97.3 </w:t>
      </w:r>
      <w:r w:rsidR="00261765" w:rsidRPr="0034602F">
        <w:rPr>
          <w:rFonts w:ascii="ITC Avant Garde" w:eastAsia="Times New Roman" w:hAnsi="ITC Avant Garde"/>
          <w:b/>
          <w:bCs/>
          <w:color w:val="000000"/>
          <w:lang w:eastAsia="es-MX"/>
        </w:rPr>
        <w:t>MHz,</w:t>
      </w:r>
      <w:r w:rsidR="00A96264" w:rsidRPr="0034602F">
        <w:rPr>
          <w:rFonts w:ascii="ITC Avant Garde" w:eastAsia="Times New Roman" w:hAnsi="ITC Avant Garde"/>
          <w:bCs/>
          <w:color w:val="000000"/>
          <w:lang w:eastAsia="es-MX"/>
        </w:rPr>
        <w:t xml:space="preserve"> ya que en términos del artículo 66 de la </w:t>
      </w:r>
      <w:proofErr w:type="spellStart"/>
      <w:r w:rsidR="00A96264" w:rsidRPr="0034602F">
        <w:rPr>
          <w:rFonts w:ascii="ITC Avant Garde" w:eastAsia="Times New Roman" w:hAnsi="ITC Avant Garde"/>
          <w:b/>
          <w:bCs/>
          <w:color w:val="000000"/>
          <w:lang w:eastAsia="es-MX"/>
        </w:rPr>
        <w:t>LFTyR</w:t>
      </w:r>
      <w:proofErr w:type="spellEnd"/>
      <w:r w:rsidR="00A96264" w:rsidRPr="0034602F">
        <w:rPr>
          <w:rFonts w:ascii="ITC Avant Garde" w:eastAsia="Times New Roman" w:hAnsi="ITC Avant Garde"/>
          <w:bCs/>
          <w:color w:val="000000"/>
          <w:lang w:eastAsia="es-MX"/>
        </w:rPr>
        <w:t xml:space="preserve">, se requiere de concesión única para prestar todo tipo de servicios públicos de telecomunicaciones y radiodifusión, </w:t>
      </w:r>
      <w:r w:rsidR="00A96264" w:rsidRPr="0034602F">
        <w:rPr>
          <w:rFonts w:ascii="ITC Avant Garde" w:hAnsi="ITC Avant Garde"/>
        </w:rPr>
        <w:t xml:space="preserve">a lo que la visitada </w:t>
      </w:r>
      <w:r w:rsidR="00A96264" w:rsidRPr="0034602F">
        <w:rPr>
          <w:rFonts w:ascii="ITC Avant Garde" w:eastAsia="Times New Roman" w:hAnsi="ITC Avant Garde"/>
          <w:bCs/>
          <w:color w:val="000000"/>
          <w:lang w:eastAsia="es-MX"/>
        </w:rPr>
        <w:t xml:space="preserve">manifestó </w:t>
      </w:r>
      <w:r w:rsidR="00DD733E" w:rsidRPr="0034602F">
        <w:rPr>
          <w:rFonts w:ascii="ITC Avant Garde" w:eastAsia="Times New Roman" w:hAnsi="ITC Avant Garde"/>
          <w:bCs/>
          <w:color w:val="000000"/>
          <w:lang w:eastAsia="es-MX"/>
        </w:rPr>
        <w:t>“</w:t>
      </w:r>
      <w:r w:rsidR="001040D7" w:rsidRPr="0034602F">
        <w:rPr>
          <w:rFonts w:ascii="ITC Avant Garde" w:hAnsi="ITC Avant Garde" w:cs="Tahoma"/>
        </w:rPr>
        <w:t>lo desconozco</w:t>
      </w:r>
      <w:r w:rsidR="001040D7" w:rsidRPr="0034602F">
        <w:rPr>
          <w:rFonts w:ascii="ITC Avant Garde" w:eastAsia="Times New Roman" w:hAnsi="ITC Avant Garde"/>
          <w:bCs/>
          <w:color w:val="000000"/>
          <w:lang w:eastAsia="es-MX"/>
        </w:rPr>
        <w:t>”</w:t>
      </w:r>
      <w:r w:rsidR="000C5DEC" w:rsidRPr="0034602F">
        <w:rPr>
          <w:rFonts w:ascii="ITC Avant Garde" w:eastAsia="Times New Roman" w:hAnsi="ITC Avant Garde"/>
          <w:bCs/>
          <w:color w:val="000000"/>
          <w:lang w:eastAsia="es-MX"/>
        </w:rPr>
        <w:t>.</w:t>
      </w:r>
    </w:p>
    <w:p w14:paraId="564DDBAE" w14:textId="77777777" w:rsidR="006D6786" w:rsidRDefault="00B913AA" w:rsidP="00583167">
      <w:pPr>
        <w:spacing w:before="240" w:after="240" w:line="360" w:lineRule="auto"/>
        <w:jc w:val="both"/>
        <w:rPr>
          <w:rFonts w:ascii="ITC Avant Garde" w:hAnsi="ITC Avant Garde"/>
        </w:rPr>
        <w:sectPr w:rsidR="006D6786" w:rsidSect="006345CE">
          <w:headerReference w:type="default" r:id="rId25"/>
          <w:pgSz w:w="12240" w:h="15840"/>
          <w:pgMar w:top="426" w:right="1418" w:bottom="1418" w:left="1418" w:header="709" w:footer="420" w:gutter="0"/>
          <w:cols w:space="708"/>
          <w:docGrid w:linePitch="360"/>
        </w:sectPr>
      </w:pPr>
      <w:r w:rsidRPr="0034602F">
        <w:rPr>
          <w:rFonts w:ascii="ITC Avant Garde" w:eastAsia="Times New Roman" w:hAnsi="ITC Avant Garde"/>
          <w:bCs/>
          <w:color w:val="000000"/>
          <w:lang w:eastAsia="es-MX"/>
        </w:rPr>
        <w:t xml:space="preserve">En razón de que </w:t>
      </w:r>
      <w:r w:rsidR="00F42CF6" w:rsidRPr="0034602F">
        <w:rPr>
          <w:rFonts w:ascii="ITC Avant Garde" w:eastAsia="Times New Roman" w:hAnsi="ITC Avant Garde"/>
          <w:bCs/>
          <w:color w:val="000000"/>
          <w:lang w:eastAsia="es-MX"/>
        </w:rPr>
        <w:t>dicha persona</w:t>
      </w:r>
      <w:r w:rsidRPr="0034602F">
        <w:rPr>
          <w:rFonts w:ascii="ITC Avant Garde" w:eastAsia="Times New Roman" w:hAnsi="ITC Avant Garde"/>
          <w:bCs/>
          <w:color w:val="000000"/>
          <w:lang w:eastAsia="es-MX"/>
        </w:rPr>
        <w:t xml:space="preserve"> no exhibió el respectivo título de concesión o permiso otorgado por autoridad competente que amparara o legitimara la prestación del servicio de radiodifusión a través del uso, aprovechamiento o explotación de la frecuencia </w:t>
      </w:r>
      <w:r w:rsidR="00ED49D4" w:rsidRPr="0034602F">
        <w:rPr>
          <w:rFonts w:ascii="ITC Avant Garde" w:eastAsia="Times New Roman" w:hAnsi="ITC Avant Garde"/>
          <w:b/>
          <w:bCs/>
          <w:color w:val="000000"/>
          <w:lang w:eastAsia="es-MX"/>
        </w:rPr>
        <w:t>9</w:t>
      </w:r>
      <w:r w:rsidR="00922F8D" w:rsidRPr="0034602F">
        <w:rPr>
          <w:rFonts w:ascii="ITC Avant Garde" w:eastAsia="Times New Roman" w:hAnsi="ITC Avant Garde"/>
          <w:b/>
          <w:bCs/>
          <w:color w:val="000000"/>
          <w:lang w:eastAsia="es-MX"/>
        </w:rPr>
        <w:t>7</w:t>
      </w:r>
      <w:r w:rsidR="00ED49D4" w:rsidRPr="0034602F">
        <w:rPr>
          <w:rFonts w:ascii="ITC Avant Garde" w:eastAsia="Times New Roman" w:hAnsi="ITC Avant Garde"/>
          <w:b/>
          <w:bCs/>
          <w:color w:val="000000"/>
          <w:lang w:eastAsia="es-MX"/>
        </w:rPr>
        <w:t>.</w:t>
      </w:r>
      <w:r w:rsidR="00922F8D" w:rsidRPr="0034602F">
        <w:rPr>
          <w:rFonts w:ascii="ITC Avant Garde" w:eastAsia="Times New Roman" w:hAnsi="ITC Avant Garde"/>
          <w:b/>
          <w:bCs/>
          <w:color w:val="000000"/>
          <w:lang w:eastAsia="es-MX"/>
        </w:rPr>
        <w:t>3</w:t>
      </w:r>
      <w:r w:rsidR="00055885" w:rsidRPr="0034602F">
        <w:rPr>
          <w:rFonts w:ascii="ITC Avant Garde" w:eastAsia="Times New Roman" w:hAnsi="ITC Avant Garde"/>
          <w:b/>
          <w:bCs/>
          <w:color w:val="000000"/>
          <w:lang w:eastAsia="es-MX"/>
        </w:rPr>
        <w:t xml:space="preserve"> MHz</w:t>
      </w:r>
      <w:r w:rsidR="004F3596" w:rsidRPr="0034602F">
        <w:rPr>
          <w:rFonts w:ascii="ITC Avant Garde" w:hAnsi="ITC Avant Garde"/>
          <w:b/>
        </w:rPr>
        <w:t xml:space="preserve">, </w:t>
      </w:r>
      <w:r w:rsidR="00601057" w:rsidRPr="0034602F">
        <w:rPr>
          <w:rFonts w:ascii="ITC Avant Garde" w:eastAsia="Times New Roman" w:hAnsi="ITC Avant Garde"/>
          <w:b/>
          <w:bCs/>
          <w:color w:val="000000"/>
          <w:lang w:eastAsia="es-MX"/>
        </w:rPr>
        <w:t>LOS</w:t>
      </w:r>
      <w:r w:rsidR="006A7D04" w:rsidRPr="0034602F">
        <w:rPr>
          <w:rFonts w:ascii="ITC Avant Garde" w:eastAsia="Times New Roman" w:hAnsi="ITC Avant Garde"/>
          <w:b/>
          <w:bCs/>
          <w:color w:val="000000"/>
          <w:lang w:eastAsia="es-MX"/>
        </w:rPr>
        <w:t xml:space="preserve"> VERIFICADOR</w:t>
      </w:r>
      <w:r w:rsidR="00601057" w:rsidRPr="0034602F">
        <w:rPr>
          <w:rFonts w:ascii="ITC Avant Garde" w:eastAsia="Times New Roman" w:hAnsi="ITC Avant Garde"/>
          <w:b/>
          <w:bCs/>
          <w:color w:val="000000"/>
          <w:lang w:eastAsia="es-MX"/>
        </w:rPr>
        <w:t>ES</w:t>
      </w:r>
      <w:r w:rsidR="006A7D04" w:rsidRPr="0034602F">
        <w:rPr>
          <w:rFonts w:ascii="ITC Avant Garde" w:eastAsia="Times New Roman" w:hAnsi="ITC Avant Garde"/>
          <w:bCs/>
          <w:color w:val="000000"/>
          <w:lang w:eastAsia="es-MX"/>
        </w:rPr>
        <w:t xml:space="preserve"> </w:t>
      </w:r>
      <w:r w:rsidRPr="0034602F">
        <w:rPr>
          <w:rFonts w:ascii="ITC Avant Garde" w:eastAsia="Times New Roman" w:hAnsi="ITC Avant Garde"/>
          <w:bCs/>
          <w:color w:val="000000"/>
          <w:lang w:eastAsia="es-MX"/>
        </w:rPr>
        <w:t>procedi</w:t>
      </w:r>
      <w:r w:rsidR="00601057" w:rsidRPr="0034602F">
        <w:rPr>
          <w:rFonts w:ascii="ITC Avant Garde" w:eastAsia="Times New Roman" w:hAnsi="ITC Avant Garde"/>
          <w:bCs/>
          <w:color w:val="000000"/>
          <w:lang w:eastAsia="es-MX"/>
        </w:rPr>
        <w:t>eron</w:t>
      </w:r>
      <w:r w:rsidRPr="0034602F">
        <w:rPr>
          <w:rFonts w:ascii="ITC Avant Garde" w:eastAsia="Times New Roman" w:hAnsi="ITC Avant Garde"/>
          <w:bCs/>
          <w:color w:val="000000"/>
          <w:lang w:eastAsia="es-MX"/>
        </w:rPr>
        <w:t xml:space="preserve"> al aseguramiento</w:t>
      </w:r>
      <w:r w:rsidRPr="0034602F">
        <w:rPr>
          <w:rFonts w:ascii="ITC Avant Garde" w:hAnsi="ITC Avant Garde" w:cs="Tahoma"/>
        </w:rPr>
        <w:t xml:space="preserve"> </w:t>
      </w:r>
      <w:r w:rsidR="004F3596" w:rsidRPr="0034602F">
        <w:rPr>
          <w:rFonts w:ascii="ITC Avant Garde" w:hAnsi="ITC Avant Garde" w:cs="Tahoma"/>
        </w:rPr>
        <w:t>del equipo encontrado</w:t>
      </w:r>
      <w:r w:rsidR="004F3596" w:rsidRPr="0034602F">
        <w:rPr>
          <w:rFonts w:ascii="ITC Avant Garde" w:hAnsi="ITC Avant Garde"/>
        </w:rPr>
        <w:t xml:space="preserve"> en el inmueble en donde se practicó la visita, quedando como interventor especial (depositario) </w:t>
      </w:r>
      <w:r w:rsidR="00EB47C5" w:rsidRPr="0034602F">
        <w:rPr>
          <w:rFonts w:ascii="ITC Avant Garde" w:hAnsi="ITC Avant Garde"/>
        </w:rPr>
        <w:t>del mismo</w:t>
      </w:r>
      <w:r w:rsidR="004F3596" w:rsidRPr="0034602F">
        <w:rPr>
          <w:rFonts w:ascii="ITC Avant Garde" w:hAnsi="ITC Avant Garde"/>
        </w:rPr>
        <w:t xml:space="preserve">, </w:t>
      </w:r>
      <w:r w:rsidR="00601057" w:rsidRPr="0034602F">
        <w:rPr>
          <w:rFonts w:ascii="ITC Avant Garde" w:hAnsi="ITC Avant Garde"/>
          <w:b/>
        </w:rPr>
        <w:t xml:space="preserve">RAÚL </w:t>
      </w:r>
      <w:r w:rsidR="00CD7E47" w:rsidRPr="0034602F">
        <w:rPr>
          <w:rFonts w:ascii="ITC Avant Garde" w:hAnsi="ITC Avant Garde"/>
          <w:b/>
        </w:rPr>
        <w:t>LEONEL MULHIA ARZALUZ</w:t>
      </w:r>
      <w:r w:rsidR="004F3596" w:rsidRPr="0034602F">
        <w:rPr>
          <w:rFonts w:ascii="ITC Avant Garde" w:hAnsi="ITC Avant Garde"/>
          <w:b/>
        </w:rPr>
        <w:t xml:space="preserve">, </w:t>
      </w:r>
      <w:r w:rsidR="000C1BF2" w:rsidRPr="0034602F">
        <w:rPr>
          <w:rFonts w:ascii="ITC Avant Garde" w:hAnsi="ITC Avant Garde"/>
        </w:rPr>
        <w:t xml:space="preserve">Subdirector de Supervisión de este Instituto Federal de Telecomunicaciones, </w:t>
      </w:r>
      <w:r w:rsidR="004F3596" w:rsidRPr="0034602F">
        <w:rPr>
          <w:rFonts w:ascii="ITC Avant Garde" w:hAnsi="ITC Avant Garde"/>
        </w:rPr>
        <w:t xml:space="preserve">quien aceptó y protestó el cargo, </w:t>
      </w:r>
      <w:r w:rsidR="009D6790" w:rsidRPr="0034602F">
        <w:rPr>
          <w:rFonts w:ascii="ITC Avant Garde" w:hAnsi="ITC Avant Garde"/>
        </w:rPr>
        <w:t xml:space="preserve">situación </w:t>
      </w:r>
      <w:r w:rsidR="004F3596" w:rsidRPr="0034602F">
        <w:rPr>
          <w:rFonts w:ascii="ITC Avant Garde" w:hAnsi="ITC Avant Garde"/>
        </w:rPr>
        <w:t xml:space="preserve">que se hizo constar en el </w:t>
      </w:r>
      <w:r w:rsidR="00971DDC" w:rsidRPr="0034602F">
        <w:rPr>
          <w:rFonts w:ascii="ITC Avant Garde" w:hAnsi="ITC Avant Garde"/>
          <w:b/>
        </w:rPr>
        <w:t>ACTA VERIFICACIÓN ORDINARIA</w:t>
      </w:r>
      <w:r w:rsidR="004F3596" w:rsidRPr="0034602F">
        <w:rPr>
          <w:rFonts w:ascii="ITC Avant Garde" w:hAnsi="ITC Avant Garde"/>
          <w:b/>
          <w:color w:val="000000"/>
        </w:rPr>
        <w:t xml:space="preserve">, </w:t>
      </w:r>
      <w:r w:rsidR="004F3596" w:rsidRPr="0034602F">
        <w:rPr>
          <w:rFonts w:ascii="ITC Avant Garde" w:hAnsi="ITC Avant Garde"/>
        </w:rPr>
        <w:t>conforme a lo siguiente</w:t>
      </w:r>
    </w:p>
    <w:tbl>
      <w:tblPr>
        <w:tblStyle w:val="Tablaconcuadrcula6"/>
        <w:tblW w:w="5000" w:type="pct"/>
        <w:tblLook w:val="04A0" w:firstRow="1" w:lastRow="0" w:firstColumn="1" w:lastColumn="0" w:noHBand="0" w:noVBand="1"/>
        <w:tblCaption w:val="Equipos asegurados"/>
        <w:tblDescription w:val="Esta tabla muestra los equipos asegurados "/>
      </w:tblPr>
      <w:tblGrid>
        <w:gridCol w:w="1698"/>
        <w:gridCol w:w="2202"/>
        <w:gridCol w:w="1176"/>
        <w:gridCol w:w="2054"/>
        <w:gridCol w:w="2264"/>
      </w:tblGrid>
      <w:tr w:rsidR="0025255B" w:rsidRPr="0034602F" w14:paraId="4E88F294" w14:textId="77777777" w:rsidTr="00B36690">
        <w:trPr>
          <w:tblHeader/>
        </w:trPr>
        <w:tc>
          <w:tcPr>
            <w:tcW w:w="904" w:type="pct"/>
            <w:shd w:val="clear" w:color="auto" w:fill="808080" w:themeFill="background1" w:themeFillShade="80"/>
            <w:hideMark/>
          </w:tcPr>
          <w:p w14:paraId="3D7906DE" w14:textId="6AF6AA6B" w:rsidR="0025255B" w:rsidRPr="0034602F" w:rsidRDefault="0025255B" w:rsidP="00583167">
            <w:pPr>
              <w:spacing w:after="0"/>
              <w:jc w:val="center"/>
              <w:rPr>
                <w:rFonts w:ascii="ITC Avant Garde" w:hAnsi="ITC Avant Garde" w:cs="Arial"/>
                <w:b/>
                <w:sz w:val="18"/>
                <w:szCs w:val="18"/>
              </w:rPr>
            </w:pPr>
            <w:r w:rsidRPr="0034602F">
              <w:rPr>
                <w:rFonts w:ascii="ITC Avant Garde" w:hAnsi="ITC Avant Garde" w:cs="Arial"/>
                <w:b/>
                <w:sz w:val="18"/>
                <w:szCs w:val="18"/>
              </w:rPr>
              <w:lastRenderedPageBreak/>
              <w:t>Equipo</w:t>
            </w:r>
          </w:p>
        </w:tc>
        <w:tc>
          <w:tcPr>
            <w:tcW w:w="1172" w:type="pct"/>
            <w:shd w:val="clear" w:color="auto" w:fill="808080" w:themeFill="background1" w:themeFillShade="80"/>
            <w:hideMark/>
          </w:tcPr>
          <w:p w14:paraId="67093D6D" w14:textId="30929010" w:rsidR="0025255B" w:rsidRPr="0034602F" w:rsidRDefault="0025255B" w:rsidP="00583167">
            <w:pPr>
              <w:spacing w:after="0"/>
              <w:jc w:val="center"/>
              <w:rPr>
                <w:rFonts w:ascii="ITC Avant Garde" w:hAnsi="ITC Avant Garde" w:cs="Arial"/>
                <w:b/>
                <w:sz w:val="18"/>
                <w:szCs w:val="18"/>
              </w:rPr>
            </w:pPr>
            <w:r w:rsidRPr="0034602F">
              <w:rPr>
                <w:rFonts w:ascii="ITC Avant Garde" w:hAnsi="ITC Avant Garde" w:cs="Arial"/>
                <w:b/>
                <w:sz w:val="18"/>
                <w:szCs w:val="18"/>
              </w:rPr>
              <w:t>Marca</w:t>
            </w:r>
          </w:p>
        </w:tc>
        <w:tc>
          <w:tcPr>
            <w:tcW w:w="626" w:type="pct"/>
            <w:shd w:val="clear" w:color="auto" w:fill="808080" w:themeFill="background1" w:themeFillShade="80"/>
            <w:hideMark/>
          </w:tcPr>
          <w:p w14:paraId="68866313" w14:textId="783684D0" w:rsidR="0025255B" w:rsidRPr="0034602F" w:rsidRDefault="0025255B" w:rsidP="00583167">
            <w:pPr>
              <w:spacing w:after="0"/>
              <w:jc w:val="center"/>
              <w:rPr>
                <w:rFonts w:ascii="ITC Avant Garde" w:hAnsi="ITC Avant Garde" w:cs="Arial"/>
                <w:b/>
                <w:sz w:val="18"/>
                <w:szCs w:val="18"/>
              </w:rPr>
            </w:pPr>
            <w:r w:rsidRPr="0034602F">
              <w:rPr>
                <w:rFonts w:ascii="ITC Avant Garde" w:hAnsi="ITC Avant Garde" w:cs="Arial"/>
                <w:b/>
                <w:sz w:val="18"/>
                <w:szCs w:val="18"/>
              </w:rPr>
              <w:t>Modelo</w:t>
            </w:r>
          </w:p>
        </w:tc>
        <w:tc>
          <w:tcPr>
            <w:tcW w:w="1093" w:type="pct"/>
            <w:shd w:val="clear" w:color="auto" w:fill="808080" w:themeFill="background1" w:themeFillShade="80"/>
            <w:hideMark/>
          </w:tcPr>
          <w:p w14:paraId="0693C000" w14:textId="27B6E0FF" w:rsidR="0025255B" w:rsidRPr="0034602F" w:rsidRDefault="0025255B" w:rsidP="00583167">
            <w:pPr>
              <w:spacing w:after="0"/>
              <w:jc w:val="center"/>
              <w:rPr>
                <w:rFonts w:ascii="ITC Avant Garde" w:hAnsi="ITC Avant Garde" w:cs="Arial"/>
                <w:b/>
                <w:sz w:val="18"/>
                <w:szCs w:val="18"/>
              </w:rPr>
            </w:pPr>
            <w:r w:rsidRPr="0034602F">
              <w:rPr>
                <w:rFonts w:ascii="ITC Avant Garde" w:hAnsi="ITC Avant Garde" w:cs="Arial"/>
                <w:b/>
                <w:sz w:val="18"/>
                <w:szCs w:val="18"/>
              </w:rPr>
              <w:t>Número de Serie</w:t>
            </w:r>
          </w:p>
        </w:tc>
        <w:tc>
          <w:tcPr>
            <w:tcW w:w="1205" w:type="pct"/>
            <w:shd w:val="clear" w:color="auto" w:fill="808080" w:themeFill="background1" w:themeFillShade="80"/>
            <w:hideMark/>
          </w:tcPr>
          <w:p w14:paraId="6D396948" w14:textId="6110805D" w:rsidR="0025255B" w:rsidRPr="0034602F" w:rsidRDefault="0025255B" w:rsidP="00583167">
            <w:pPr>
              <w:spacing w:after="0"/>
              <w:jc w:val="center"/>
              <w:rPr>
                <w:rFonts w:ascii="ITC Avant Garde" w:hAnsi="ITC Avant Garde" w:cs="Arial"/>
                <w:b/>
                <w:sz w:val="18"/>
                <w:szCs w:val="18"/>
              </w:rPr>
            </w:pPr>
            <w:r w:rsidRPr="0034602F">
              <w:rPr>
                <w:rFonts w:ascii="ITC Avant Garde" w:hAnsi="ITC Avant Garde" w:cs="Arial"/>
                <w:b/>
                <w:sz w:val="18"/>
                <w:szCs w:val="18"/>
              </w:rPr>
              <w:t>Sello de aseguramiento</w:t>
            </w:r>
          </w:p>
        </w:tc>
      </w:tr>
      <w:tr w:rsidR="00583167" w:rsidRPr="0034602F" w14:paraId="76A0FEFA" w14:textId="77777777" w:rsidTr="00B36690">
        <w:trPr>
          <w:tblHeader/>
        </w:trPr>
        <w:tc>
          <w:tcPr>
            <w:tcW w:w="904" w:type="pct"/>
            <w:hideMark/>
          </w:tcPr>
          <w:p w14:paraId="76CF08AE" w14:textId="55748AE7" w:rsidR="00583167" w:rsidRPr="0034602F" w:rsidRDefault="00583167" w:rsidP="00583167">
            <w:pPr>
              <w:spacing w:after="0"/>
              <w:jc w:val="both"/>
              <w:rPr>
                <w:rFonts w:ascii="ITC Avant Garde" w:hAnsi="ITC Avant Garde" w:cs="Arial"/>
                <w:sz w:val="18"/>
                <w:szCs w:val="18"/>
              </w:rPr>
            </w:pPr>
            <w:r w:rsidRPr="0034602F">
              <w:rPr>
                <w:rFonts w:ascii="ITC Avant Garde" w:hAnsi="ITC Avant Garde" w:cs="Arial"/>
                <w:sz w:val="18"/>
                <w:szCs w:val="18"/>
              </w:rPr>
              <w:t>Transmisor</w:t>
            </w:r>
          </w:p>
        </w:tc>
        <w:tc>
          <w:tcPr>
            <w:tcW w:w="1172" w:type="pct"/>
            <w:hideMark/>
          </w:tcPr>
          <w:p w14:paraId="7F8CF125" w14:textId="742FB8A5"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626" w:type="pct"/>
            <w:hideMark/>
          </w:tcPr>
          <w:p w14:paraId="5D0C150C" w14:textId="234650C9"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1093" w:type="pct"/>
            <w:hideMark/>
          </w:tcPr>
          <w:p w14:paraId="339049E6" w14:textId="364813C5"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1205" w:type="pct"/>
            <w:hideMark/>
          </w:tcPr>
          <w:p w14:paraId="416FBC8B" w14:textId="20059201"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015-16</w:t>
            </w:r>
          </w:p>
        </w:tc>
      </w:tr>
      <w:tr w:rsidR="00583167" w:rsidRPr="0034602F" w14:paraId="4F32B800" w14:textId="77777777" w:rsidTr="00B36690">
        <w:trPr>
          <w:tblHeader/>
        </w:trPr>
        <w:tc>
          <w:tcPr>
            <w:tcW w:w="904" w:type="pct"/>
            <w:hideMark/>
          </w:tcPr>
          <w:p w14:paraId="1962BEE6" w14:textId="09E6565D" w:rsidR="00583167" w:rsidRPr="0034602F" w:rsidRDefault="00583167" w:rsidP="00583167">
            <w:pPr>
              <w:spacing w:after="0"/>
              <w:jc w:val="both"/>
              <w:rPr>
                <w:rFonts w:ascii="ITC Avant Garde" w:hAnsi="ITC Avant Garde" w:cs="Arial"/>
                <w:sz w:val="18"/>
                <w:szCs w:val="18"/>
              </w:rPr>
            </w:pPr>
            <w:r w:rsidRPr="0034602F">
              <w:rPr>
                <w:rFonts w:ascii="ITC Avant Garde" w:hAnsi="ITC Avant Garde" w:cs="Arial"/>
                <w:sz w:val="18"/>
                <w:szCs w:val="18"/>
              </w:rPr>
              <w:t>CPU armado</w:t>
            </w:r>
          </w:p>
        </w:tc>
        <w:tc>
          <w:tcPr>
            <w:tcW w:w="1172" w:type="pct"/>
            <w:hideMark/>
          </w:tcPr>
          <w:p w14:paraId="7C423D9D" w14:textId="0AA76DA9"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626" w:type="pct"/>
            <w:hideMark/>
          </w:tcPr>
          <w:p w14:paraId="1442BBDB" w14:textId="2204BDF4"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1093" w:type="pct"/>
            <w:hideMark/>
          </w:tcPr>
          <w:p w14:paraId="5F2D71EF" w14:textId="41FA1AD4"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1205" w:type="pct"/>
            <w:hideMark/>
          </w:tcPr>
          <w:p w14:paraId="6D78D28F" w14:textId="2EB63898"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055-16</w:t>
            </w:r>
          </w:p>
        </w:tc>
      </w:tr>
      <w:tr w:rsidR="00583167" w:rsidRPr="0034602F" w14:paraId="2FE676A7" w14:textId="77777777" w:rsidTr="00B36690">
        <w:trPr>
          <w:tblHeader/>
        </w:trPr>
        <w:tc>
          <w:tcPr>
            <w:tcW w:w="904" w:type="pct"/>
            <w:hideMark/>
          </w:tcPr>
          <w:p w14:paraId="67C9C22C" w14:textId="3923363B" w:rsidR="00583167" w:rsidRPr="0034602F" w:rsidRDefault="00583167" w:rsidP="00583167">
            <w:pPr>
              <w:spacing w:after="0"/>
              <w:jc w:val="both"/>
              <w:rPr>
                <w:rFonts w:ascii="ITC Avant Garde" w:hAnsi="ITC Avant Garde" w:cs="Arial"/>
                <w:sz w:val="18"/>
                <w:szCs w:val="18"/>
              </w:rPr>
            </w:pPr>
            <w:r w:rsidRPr="0034602F">
              <w:rPr>
                <w:rFonts w:ascii="ITC Avant Garde" w:hAnsi="ITC Avant Garde" w:cs="Arial"/>
                <w:sz w:val="18"/>
                <w:szCs w:val="18"/>
              </w:rPr>
              <w:t>Antena omnidireccional</w:t>
            </w:r>
          </w:p>
        </w:tc>
        <w:tc>
          <w:tcPr>
            <w:tcW w:w="1172" w:type="pct"/>
            <w:hideMark/>
          </w:tcPr>
          <w:p w14:paraId="422AFA96" w14:textId="6A4E4E7B"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626" w:type="pct"/>
            <w:hideMark/>
          </w:tcPr>
          <w:p w14:paraId="05DC15DA" w14:textId="091BD25A"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1093" w:type="pct"/>
            <w:hideMark/>
          </w:tcPr>
          <w:p w14:paraId="673EF900" w14:textId="72985107"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1205" w:type="pct"/>
            <w:hideMark/>
          </w:tcPr>
          <w:p w14:paraId="75E366AA" w14:textId="56D02209"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056-16</w:t>
            </w:r>
          </w:p>
        </w:tc>
      </w:tr>
    </w:tbl>
    <w:p w14:paraId="64027B88" w14:textId="7A7229CF" w:rsidR="003C5E62" w:rsidRPr="0034602F" w:rsidRDefault="00E86411" w:rsidP="00583167">
      <w:pPr>
        <w:spacing w:before="240" w:after="240" w:line="360" w:lineRule="auto"/>
        <w:jc w:val="both"/>
        <w:rPr>
          <w:rFonts w:ascii="ITC Avant Garde" w:eastAsia="Times New Roman" w:hAnsi="ITC Avant Garde"/>
          <w:lang w:eastAsia="es-ES"/>
        </w:rPr>
      </w:pPr>
      <w:r w:rsidRPr="0034602F">
        <w:rPr>
          <w:rFonts w:ascii="ITC Avant Garde" w:eastAsia="Times New Roman" w:hAnsi="ITC Avant Garde"/>
          <w:lang w:eastAsia="es-ES"/>
        </w:rPr>
        <w:t>Previ</w:t>
      </w:r>
      <w:r w:rsidR="00226C8D" w:rsidRPr="0034602F">
        <w:rPr>
          <w:rFonts w:ascii="ITC Avant Garde" w:eastAsia="Times New Roman" w:hAnsi="ITC Avant Garde"/>
          <w:lang w:eastAsia="es-ES"/>
        </w:rPr>
        <w:t xml:space="preserve">amente </w:t>
      </w:r>
      <w:r w:rsidRPr="0034602F">
        <w:rPr>
          <w:rFonts w:ascii="ITC Avant Garde" w:eastAsia="Times New Roman" w:hAnsi="ITC Avant Garde"/>
          <w:lang w:eastAsia="es-ES"/>
        </w:rPr>
        <w:t xml:space="preserve">a la conclusión de la diligencia, en términos del artículo 68 de la </w:t>
      </w:r>
      <w:r w:rsidRPr="0034602F">
        <w:rPr>
          <w:rFonts w:ascii="ITC Avant Garde" w:eastAsia="Times New Roman" w:hAnsi="ITC Avant Garde"/>
          <w:b/>
          <w:lang w:eastAsia="es-ES"/>
        </w:rPr>
        <w:t>LFPA, LOS VERIFICADORES</w:t>
      </w:r>
      <w:r w:rsidR="008F1DDF" w:rsidRPr="0034602F">
        <w:rPr>
          <w:rFonts w:ascii="ITC Avant Garde" w:eastAsia="Times New Roman" w:hAnsi="ITC Avant Garde"/>
          <w:b/>
          <w:lang w:eastAsia="es-ES"/>
        </w:rPr>
        <w:t xml:space="preserve"> </w:t>
      </w:r>
      <w:r w:rsidR="008F1DDF" w:rsidRPr="0034602F">
        <w:rPr>
          <w:rFonts w:ascii="ITC Avant Garde" w:eastAsia="Times New Roman" w:hAnsi="ITC Avant Garde"/>
          <w:lang w:eastAsia="es-ES"/>
        </w:rPr>
        <w:t xml:space="preserve">informaron </w:t>
      </w:r>
      <w:r w:rsidR="00894C21" w:rsidRPr="0034602F">
        <w:rPr>
          <w:rFonts w:ascii="ITC Avant Garde" w:hAnsi="ITC Avant Garde"/>
        </w:rPr>
        <w:t xml:space="preserve">a </w:t>
      </w:r>
      <w:r w:rsidR="00894C21" w:rsidRPr="0034602F">
        <w:rPr>
          <w:rFonts w:ascii="ITC Avant Garde" w:hAnsi="ITC Avant Garde"/>
          <w:b/>
        </w:rPr>
        <w:t>LA VISITADA</w:t>
      </w:r>
      <w:r w:rsidR="008F1DDF" w:rsidRPr="0034602F">
        <w:rPr>
          <w:rFonts w:ascii="ITC Avant Garde" w:eastAsia="Times New Roman" w:hAnsi="ITC Avant Garde"/>
          <w:lang w:eastAsia="es-ES"/>
        </w:rPr>
        <w:t xml:space="preserve">, que le asistía el derecho de manifestar lo que a sus intereses conviniera, respecto de los hechos asentados en el acta de verificación, a lo que dicha persona </w:t>
      </w:r>
      <w:r w:rsidR="00964433" w:rsidRPr="0034602F">
        <w:rPr>
          <w:rFonts w:ascii="ITC Avant Garde" w:eastAsia="Times New Roman" w:hAnsi="ITC Avant Garde"/>
          <w:lang w:eastAsia="es-ES"/>
        </w:rPr>
        <w:t>manifestó</w:t>
      </w:r>
      <w:r w:rsidR="00BC057C" w:rsidRPr="0034602F">
        <w:rPr>
          <w:rFonts w:ascii="ITC Avant Garde" w:eastAsia="Times New Roman" w:hAnsi="ITC Avant Garde"/>
          <w:lang w:eastAsia="es-ES"/>
        </w:rPr>
        <w:t xml:space="preserve">: </w:t>
      </w:r>
      <w:r w:rsidR="00765D42" w:rsidRPr="0034602F">
        <w:rPr>
          <w:rFonts w:ascii="ITC Avant Garde" w:hAnsi="ITC Avant Garde" w:cs="Arial"/>
          <w:sz w:val="21"/>
          <w:szCs w:val="21"/>
        </w:rPr>
        <w:t>“</w:t>
      </w:r>
      <w:r w:rsidR="00765D42" w:rsidRPr="0034602F">
        <w:rPr>
          <w:rFonts w:ascii="ITC Avant Garde" w:hAnsi="ITC Avant Garde" w:cs="Arial"/>
        </w:rPr>
        <w:t xml:space="preserve">solo soy encargado de cuidar la casa y solo sé que el que rentaba el cuarto se llama </w:t>
      </w:r>
      <w:r w:rsidR="00981321">
        <w:rPr>
          <w:rFonts w:ascii="ITC Avant Garde" w:hAnsi="ITC Avant Garde"/>
          <w:b/>
          <w:bCs/>
          <w:color w:val="0000FF"/>
        </w:rPr>
        <w:t>“CONFIDENCIAL POR LEY”</w:t>
      </w:r>
      <w:r w:rsidR="00765D42" w:rsidRPr="0034602F">
        <w:rPr>
          <w:rFonts w:ascii="ITC Avant Garde" w:hAnsi="ITC Avant Garde" w:cs="Arial"/>
        </w:rPr>
        <w:t>”</w:t>
      </w:r>
      <w:r w:rsidR="00A526B3" w:rsidRPr="0034602F">
        <w:rPr>
          <w:rFonts w:ascii="ITC Avant Garde" w:eastAsia="Times New Roman" w:hAnsi="ITC Avant Garde"/>
          <w:lang w:eastAsia="es-ES"/>
        </w:rPr>
        <w:t>.</w:t>
      </w:r>
    </w:p>
    <w:p w14:paraId="082D1C36" w14:textId="77777777" w:rsidR="003C5E62" w:rsidRPr="0034602F" w:rsidRDefault="00A96264" w:rsidP="00583167">
      <w:pPr>
        <w:spacing w:before="240" w:after="240" w:line="360" w:lineRule="auto"/>
        <w:jc w:val="both"/>
        <w:rPr>
          <w:rFonts w:ascii="ITC Avant Garde" w:eastAsia="Times New Roman" w:hAnsi="ITC Avant Garde"/>
          <w:lang w:eastAsia="es-ES"/>
        </w:rPr>
      </w:pPr>
      <w:r w:rsidRPr="0034602F">
        <w:rPr>
          <w:rFonts w:ascii="ITC Avant Garde" w:eastAsia="Times New Roman" w:hAnsi="ITC Avant Garde"/>
          <w:lang w:eastAsia="es-ES"/>
        </w:rPr>
        <w:t xml:space="preserve">Dado lo anterior, </w:t>
      </w:r>
      <w:r w:rsidRPr="0034602F">
        <w:rPr>
          <w:rFonts w:ascii="ITC Avant Garde" w:eastAsia="Times New Roman" w:hAnsi="ITC Avant Garde"/>
          <w:b/>
          <w:lang w:eastAsia="es-ES"/>
        </w:rPr>
        <w:t>LOS VERIFICADORES</w:t>
      </w:r>
      <w:r w:rsidRPr="0034602F">
        <w:rPr>
          <w:rFonts w:ascii="ITC Avant Garde" w:eastAsia="Times New Roman" w:hAnsi="ITC Avant Garde"/>
          <w:lang w:eastAsia="es-ES"/>
        </w:rPr>
        <w:t xml:space="preserve"> con fundamento en el artículo 524 de la </w:t>
      </w:r>
      <w:r w:rsidR="002E79A6" w:rsidRPr="0034602F">
        <w:rPr>
          <w:rFonts w:ascii="ITC Avant Garde" w:eastAsia="Times New Roman" w:hAnsi="ITC Avant Garde"/>
          <w:lang w:eastAsia="es-ES"/>
        </w:rPr>
        <w:t>Ley de Vías Generales de Comunicación (</w:t>
      </w:r>
      <w:r w:rsidR="00F50D72" w:rsidRPr="0034602F">
        <w:rPr>
          <w:rFonts w:ascii="ITC Avant Garde" w:eastAsia="Times New Roman" w:hAnsi="ITC Avant Garde"/>
          <w:lang w:eastAsia="es-ES"/>
        </w:rPr>
        <w:t>en adelante “</w:t>
      </w:r>
      <w:r w:rsidR="00567A43" w:rsidRPr="0034602F">
        <w:rPr>
          <w:rFonts w:ascii="ITC Avant Garde" w:eastAsia="Times New Roman" w:hAnsi="ITC Avant Garde"/>
          <w:b/>
          <w:lang w:eastAsia="es-ES"/>
        </w:rPr>
        <w:t>LVGC</w:t>
      </w:r>
      <w:r w:rsidR="00F50D72" w:rsidRPr="0034602F">
        <w:rPr>
          <w:rFonts w:ascii="ITC Avant Garde" w:eastAsia="Times New Roman" w:hAnsi="ITC Avant Garde"/>
          <w:b/>
          <w:lang w:eastAsia="es-ES"/>
        </w:rPr>
        <w:t>”</w:t>
      </w:r>
      <w:r w:rsidR="002E79A6" w:rsidRPr="0034602F">
        <w:rPr>
          <w:rFonts w:ascii="ITC Avant Garde" w:eastAsia="Times New Roman" w:hAnsi="ITC Avant Garde"/>
          <w:lang w:eastAsia="es-ES"/>
        </w:rPr>
        <w:t>)</w:t>
      </w:r>
      <w:r w:rsidRPr="0034602F">
        <w:rPr>
          <w:rFonts w:ascii="ITC Avant Garde" w:eastAsia="Times New Roman" w:hAnsi="ITC Avant Garde"/>
          <w:lang w:eastAsia="es-ES"/>
        </w:rPr>
        <w:t xml:space="preserve"> notificaron a la persona que recibió la diligencia, que tenía un plazo de diez días hábiles para que en ejercicio de su garantía de audiencia presentara por escrito las pruebas y defensas que estimara procedentes ante el </w:t>
      </w:r>
      <w:r w:rsidRPr="0034602F">
        <w:rPr>
          <w:rFonts w:ascii="ITC Avant Garde" w:eastAsia="Times New Roman" w:hAnsi="ITC Avant Garde"/>
          <w:b/>
          <w:lang w:eastAsia="es-ES"/>
        </w:rPr>
        <w:t>Instituto</w:t>
      </w:r>
      <w:r w:rsidRPr="0034602F">
        <w:rPr>
          <w:rFonts w:ascii="ITC Avant Garde" w:eastAsia="Times New Roman" w:hAnsi="ITC Avant Garde"/>
          <w:lang w:eastAsia="es-ES"/>
        </w:rPr>
        <w:t>.</w:t>
      </w:r>
    </w:p>
    <w:p w14:paraId="278EC618" w14:textId="77777777" w:rsidR="003C5E62" w:rsidRPr="0034602F" w:rsidRDefault="006A7D04" w:rsidP="00583167">
      <w:pPr>
        <w:spacing w:before="240" w:after="240" w:line="360" w:lineRule="auto"/>
        <w:jc w:val="both"/>
        <w:rPr>
          <w:rFonts w:ascii="ITC Avant Garde" w:eastAsia="Times New Roman" w:hAnsi="ITC Avant Garde"/>
          <w:bCs/>
          <w:lang w:eastAsia="es-MX"/>
        </w:rPr>
      </w:pPr>
      <w:r w:rsidRPr="0034602F">
        <w:rPr>
          <w:rFonts w:ascii="ITC Avant Garde" w:eastAsia="Times New Roman" w:hAnsi="ITC Avant Garde"/>
          <w:lang w:eastAsia="es-ES"/>
        </w:rPr>
        <w:t xml:space="preserve">El término de diez días hábiles otorgado a </w:t>
      </w:r>
      <w:r w:rsidR="00894C21" w:rsidRPr="0034602F">
        <w:rPr>
          <w:rFonts w:ascii="ITC Avant Garde" w:hAnsi="ITC Avant Garde"/>
          <w:b/>
        </w:rPr>
        <w:t xml:space="preserve">LA VISITADA </w:t>
      </w:r>
      <w:r w:rsidRPr="0034602F">
        <w:rPr>
          <w:rFonts w:ascii="ITC Avant Garde" w:eastAsia="Times New Roman" w:hAnsi="ITC Avant Garde"/>
          <w:lang w:eastAsia="es-ES"/>
        </w:rPr>
        <w:t xml:space="preserve">para presentar pruebas y defensas en relación a los hechos contenidos en el </w:t>
      </w:r>
      <w:r w:rsidR="00971DDC" w:rsidRPr="0034602F">
        <w:rPr>
          <w:rFonts w:ascii="ITC Avant Garde" w:eastAsia="Times New Roman" w:hAnsi="ITC Avant Garde"/>
          <w:b/>
          <w:lang w:eastAsia="es-ES"/>
        </w:rPr>
        <w:t xml:space="preserve">ACTA VERIFICACIÓN ORDINARIA </w:t>
      </w:r>
      <w:r w:rsidR="00AE6BD0" w:rsidRPr="0034602F">
        <w:rPr>
          <w:rFonts w:ascii="ITC Avant Garde" w:eastAsia="Times New Roman" w:hAnsi="ITC Avant Garde"/>
          <w:lang w:eastAsia="es-ES"/>
        </w:rPr>
        <w:t>transcurrió del</w:t>
      </w:r>
      <w:r w:rsidR="00AE6BD0" w:rsidRPr="0034602F">
        <w:rPr>
          <w:rFonts w:ascii="ITC Avant Garde" w:hAnsi="ITC Avant Garde"/>
        </w:rPr>
        <w:t xml:space="preserve"> </w:t>
      </w:r>
      <w:r w:rsidR="00C23F7A" w:rsidRPr="0034602F">
        <w:rPr>
          <w:rFonts w:ascii="ITC Avant Garde" w:hAnsi="ITC Avant Garde"/>
        </w:rPr>
        <w:t xml:space="preserve">diecinueve de agosto al dos de septiembre de dos mil dieciséis, sin contar los días veinte, veintiuno veintisiete y veintiocho de agosto de dos mil dieciséis, </w:t>
      </w:r>
      <w:r w:rsidR="00820F9A" w:rsidRPr="0034602F">
        <w:rPr>
          <w:rFonts w:ascii="ITC Avant Garde" w:hAnsi="ITC Avant Garde"/>
        </w:rPr>
        <w:t xml:space="preserve">por ser sábados, domingos </w:t>
      </w:r>
      <w:r w:rsidR="00820F9A" w:rsidRPr="0034602F">
        <w:rPr>
          <w:rFonts w:ascii="ITC Avant Garde" w:eastAsia="Times New Roman" w:hAnsi="ITC Avant Garde"/>
          <w:bCs/>
          <w:lang w:eastAsia="es-MX"/>
        </w:rPr>
        <w:t xml:space="preserve">en términos del “ACUERDO mediante el cual el Pleno del Instituto Federal de Telecomunicaciones aprueba su calendario anual de sesiones ordinarias y el calendario anual de labores para el año 2016 y principios de 2017”, </w:t>
      </w:r>
      <w:r w:rsidR="00C23F7A" w:rsidRPr="0034602F">
        <w:rPr>
          <w:rFonts w:ascii="ITC Avant Garde" w:hAnsi="ITC Avant Garde"/>
        </w:rPr>
        <w:t xml:space="preserve">así como el </w:t>
      </w:r>
      <w:r w:rsidR="00820F9A" w:rsidRPr="0034602F">
        <w:rPr>
          <w:rFonts w:ascii="ITC Avant Garde" w:hAnsi="ITC Avant Garde"/>
        </w:rPr>
        <w:t>primero</w:t>
      </w:r>
      <w:r w:rsidR="00C23F7A" w:rsidRPr="0034602F">
        <w:rPr>
          <w:rFonts w:ascii="ITC Avant Garde" w:hAnsi="ITC Avant Garde"/>
        </w:rPr>
        <w:t xml:space="preserve"> de septiembre de dos mil dieciséis, </w:t>
      </w:r>
      <w:r w:rsidR="00820F9A" w:rsidRPr="0034602F">
        <w:rPr>
          <w:rFonts w:ascii="ITC Avant Garde" w:hAnsi="ITC Avant Garde"/>
        </w:rPr>
        <w:t xml:space="preserve">por ser </w:t>
      </w:r>
      <w:r w:rsidR="00C23F7A" w:rsidRPr="0034602F">
        <w:rPr>
          <w:rFonts w:ascii="ITC Avant Garde" w:hAnsi="ITC Avant Garde"/>
        </w:rPr>
        <w:t xml:space="preserve">día inhábil </w:t>
      </w:r>
      <w:r w:rsidR="00C23F7A" w:rsidRPr="0034602F">
        <w:rPr>
          <w:rFonts w:ascii="ITC Avant Garde" w:eastAsia="Times New Roman" w:hAnsi="ITC Avant Garde"/>
          <w:bCs/>
          <w:lang w:eastAsia="es-MX"/>
        </w:rPr>
        <w:t>en términos del artículo 28 de la Ley Federal de Procedimiento Administrativo</w:t>
      </w:r>
      <w:r w:rsidR="00820F9A" w:rsidRPr="0034602F">
        <w:rPr>
          <w:rFonts w:ascii="ITC Avant Garde" w:eastAsia="Times New Roman" w:hAnsi="ITC Avant Garde"/>
          <w:bCs/>
          <w:lang w:eastAsia="es-MX"/>
        </w:rPr>
        <w:t>.</w:t>
      </w:r>
    </w:p>
    <w:p w14:paraId="1243A024" w14:textId="77777777" w:rsidR="003C5E62" w:rsidRPr="0034602F" w:rsidRDefault="00F50D72" w:rsidP="00583167">
      <w:pPr>
        <w:spacing w:before="240" w:after="240" w:line="360" w:lineRule="auto"/>
        <w:jc w:val="both"/>
        <w:rPr>
          <w:rFonts w:ascii="ITC Avant Garde" w:hAnsi="ITC Avant Garde"/>
        </w:rPr>
      </w:pPr>
      <w:r w:rsidRPr="0034602F">
        <w:rPr>
          <w:rFonts w:ascii="ITC Avant Garde" w:hAnsi="ITC Avant Garde"/>
        </w:rPr>
        <w:t>Cabe precisar que el plazo concedido trascurrió sin que el</w:t>
      </w:r>
      <w:r w:rsidRPr="0034602F">
        <w:rPr>
          <w:rFonts w:ascii="ITC Avant Garde" w:hAnsi="ITC Avant Garde"/>
          <w:b/>
        </w:rPr>
        <w:t xml:space="preserve"> PRESUNTO RESPONSABLE </w:t>
      </w:r>
      <w:r w:rsidRPr="0034602F">
        <w:rPr>
          <w:rFonts w:ascii="ITC Avant Garde" w:hAnsi="ITC Avant Garde"/>
        </w:rPr>
        <w:t>hubiera exhibido pruebas y defensas de su parte.</w:t>
      </w:r>
    </w:p>
    <w:p w14:paraId="46E49595" w14:textId="77777777" w:rsidR="003C5E62" w:rsidRPr="0034602F" w:rsidRDefault="00A0552D" w:rsidP="00583167">
      <w:pPr>
        <w:spacing w:before="240" w:after="240" w:line="360" w:lineRule="auto"/>
        <w:jc w:val="both"/>
        <w:rPr>
          <w:rFonts w:ascii="ITC Avant Garde" w:hAnsi="ITC Avant Garde"/>
          <w:bCs/>
        </w:rPr>
      </w:pPr>
      <w:r w:rsidRPr="0034602F">
        <w:rPr>
          <w:rFonts w:ascii="ITC Avant Garde" w:hAnsi="ITC Avant Garde"/>
        </w:rPr>
        <w:t>D</w:t>
      </w:r>
      <w:r w:rsidR="007B7F3C" w:rsidRPr="0034602F">
        <w:rPr>
          <w:rFonts w:ascii="ITC Avant Garde" w:hAnsi="ITC Avant Garde"/>
        </w:rPr>
        <w:t>erivado d</w:t>
      </w:r>
      <w:r w:rsidRPr="0034602F">
        <w:rPr>
          <w:rFonts w:ascii="ITC Avant Garde" w:hAnsi="ITC Avant Garde"/>
        </w:rPr>
        <w:t>e lo anterior</w:t>
      </w:r>
      <w:r w:rsidR="007B7F3C" w:rsidRPr="0034602F">
        <w:rPr>
          <w:rFonts w:ascii="ITC Avant Garde" w:hAnsi="ITC Avant Garde"/>
        </w:rPr>
        <w:t xml:space="preserve"> y una vez </w:t>
      </w:r>
      <w:proofErr w:type="gramStart"/>
      <w:r w:rsidR="00AD2C9C" w:rsidRPr="0034602F">
        <w:rPr>
          <w:rFonts w:ascii="ITC Avant Garde" w:hAnsi="ITC Avant Garde"/>
        </w:rPr>
        <w:t>analizadas</w:t>
      </w:r>
      <w:proofErr w:type="gramEnd"/>
      <w:r w:rsidR="007B7F3C" w:rsidRPr="0034602F">
        <w:rPr>
          <w:rFonts w:ascii="ITC Avant Garde" w:hAnsi="ITC Avant Garde"/>
        </w:rPr>
        <w:t xml:space="preserve"> las constancias respectivas</w:t>
      </w:r>
      <w:r w:rsidR="00AD2C9C" w:rsidRPr="0034602F">
        <w:rPr>
          <w:rFonts w:ascii="ITC Avant Garde" w:hAnsi="ITC Avant Garde"/>
        </w:rPr>
        <w:t xml:space="preserve">, la </w:t>
      </w:r>
      <w:r w:rsidR="00CD7E47" w:rsidRPr="0034602F">
        <w:rPr>
          <w:rFonts w:ascii="ITC Avant Garde" w:hAnsi="ITC Avant Garde"/>
          <w:b/>
        </w:rPr>
        <w:t>DGV</w:t>
      </w:r>
      <w:r w:rsidR="00AD2C9C" w:rsidRPr="0034602F">
        <w:rPr>
          <w:rFonts w:ascii="ITC Avant Garde" w:hAnsi="ITC Avant Garde"/>
        </w:rPr>
        <w:t xml:space="preserve"> estimó</w:t>
      </w:r>
      <w:r w:rsidRPr="0034602F">
        <w:rPr>
          <w:rFonts w:ascii="ITC Avant Garde" w:hAnsi="ITC Avant Garde"/>
        </w:rPr>
        <w:t xml:space="preserve"> que </w:t>
      </w:r>
      <w:r w:rsidR="00AD2C9C" w:rsidRPr="0034602F">
        <w:rPr>
          <w:rFonts w:ascii="ITC Avant Garde" w:eastAsia="ヒラギノ角ゴ Pro W3" w:hAnsi="ITC Avant Garde"/>
          <w:color w:val="000000"/>
        </w:rPr>
        <w:t>con su conducta</w:t>
      </w:r>
      <w:r w:rsidR="00572E59" w:rsidRPr="0034602F">
        <w:rPr>
          <w:rFonts w:ascii="ITC Avant Garde" w:hAnsi="ITC Avant Garde"/>
        </w:rPr>
        <w:t xml:space="preserve"> </w:t>
      </w:r>
      <w:r w:rsidR="00F42CF6" w:rsidRPr="0034602F">
        <w:rPr>
          <w:rFonts w:ascii="ITC Avant Garde" w:hAnsi="ITC Avant Garde" w:cs="Arial"/>
        </w:rPr>
        <w:t xml:space="preserve">el </w:t>
      </w:r>
      <w:r w:rsidR="00A01799" w:rsidRPr="0034602F">
        <w:rPr>
          <w:rFonts w:ascii="ITC Avant Garde" w:hAnsi="ITC Avant Garde"/>
          <w:b/>
        </w:rPr>
        <w:t>PRESUNTO RESPONSABLE</w:t>
      </w:r>
      <w:r w:rsidR="00A01799" w:rsidRPr="0034602F">
        <w:rPr>
          <w:rFonts w:ascii="ITC Avant Garde" w:eastAsia="ヒラギノ角ゴ Pro W3" w:hAnsi="ITC Avant Garde"/>
          <w:color w:val="000000"/>
        </w:rPr>
        <w:t xml:space="preserve"> </w:t>
      </w:r>
      <w:r w:rsidRPr="0034602F">
        <w:rPr>
          <w:rFonts w:ascii="ITC Avant Garde" w:eastAsia="ヒラギノ角ゴ Pro W3" w:hAnsi="ITC Avant Garde"/>
          <w:color w:val="000000"/>
        </w:rPr>
        <w:t>presu</w:t>
      </w:r>
      <w:r w:rsidR="00BF051C" w:rsidRPr="0034602F">
        <w:rPr>
          <w:rFonts w:ascii="ITC Avant Garde" w:eastAsia="ヒラギノ角ゴ Pro W3" w:hAnsi="ITC Avant Garde"/>
          <w:color w:val="000000"/>
        </w:rPr>
        <w:t xml:space="preserve">miblemente </w:t>
      </w:r>
      <w:r w:rsidRPr="0034602F">
        <w:rPr>
          <w:rFonts w:ascii="ITC Avant Garde" w:eastAsia="ヒラギノ角ゴ Pro W3" w:hAnsi="ITC Avant Garde"/>
          <w:color w:val="000000"/>
        </w:rPr>
        <w:t xml:space="preserve">contravino lo </w:t>
      </w:r>
      <w:r w:rsidRPr="0034602F">
        <w:rPr>
          <w:rFonts w:ascii="ITC Avant Garde" w:eastAsia="ヒラギノ角ゴ Pro W3" w:hAnsi="ITC Avant Garde"/>
          <w:color w:val="000000"/>
        </w:rPr>
        <w:lastRenderedPageBreak/>
        <w:t>dispuesto por el artículo</w:t>
      </w:r>
      <w:r w:rsidRPr="0034602F">
        <w:rPr>
          <w:rFonts w:ascii="ITC Avant Garde" w:hAnsi="ITC Avant Garde"/>
          <w:bCs/>
        </w:rPr>
        <w:t xml:space="preserve"> 66</w:t>
      </w:r>
      <w:r w:rsidR="00F72948" w:rsidRPr="0034602F">
        <w:rPr>
          <w:rFonts w:ascii="ITC Avant Garde" w:hAnsi="ITC Avant Garde"/>
          <w:bCs/>
        </w:rPr>
        <w:t xml:space="preserve"> </w:t>
      </w:r>
      <w:r w:rsidR="00F72948" w:rsidRPr="0034602F">
        <w:rPr>
          <w:rFonts w:ascii="ITC Avant Garde" w:hAnsi="ITC Avant Garde"/>
        </w:rPr>
        <w:t>en relación con el 75</w:t>
      </w:r>
      <w:r w:rsidRPr="0034602F">
        <w:rPr>
          <w:rFonts w:ascii="ITC Avant Garde" w:hAnsi="ITC Avant Garde"/>
          <w:bCs/>
        </w:rPr>
        <w:t xml:space="preserve"> y actualizó la hipótesis normativa prevista en el artículo 305, </w:t>
      </w:r>
      <w:r w:rsidR="00964433" w:rsidRPr="0034602F">
        <w:rPr>
          <w:rFonts w:ascii="ITC Avant Garde" w:hAnsi="ITC Avant Garde"/>
          <w:bCs/>
        </w:rPr>
        <w:t xml:space="preserve">todos </w:t>
      </w:r>
      <w:r w:rsidRPr="0034602F">
        <w:rPr>
          <w:rFonts w:ascii="ITC Avant Garde" w:hAnsi="ITC Avant Garde"/>
          <w:bCs/>
        </w:rPr>
        <w:t xml:space="preserve">de la </w:t>
      </w:r>
      <w:proofErr w:type="spellStart"/>
      <w:r w:rsidRPr="0034602F">
        <w:rPr>
          <w:rFonts w:ascii="ITC Avant Garde" w:hAnsi="ITC Avant Garde"/>
          <w:b/>
          <w:bCs/>
        </w:rPr>
        <w:t>LFTyR</w:t>
      </w:r>
      <w:proofErr w:type="spellEnd"/>
      <w:r w:rsidRPr="0034602F">
        <w:rPr>
          <w:rFonts w:ascii="ITC Avant Garde" w:hAnsi="ITC Avant Garde"/>
          <w:bCs/>
        </w:rPr>
        <w:t>.</w:t>
      </w:r>
      <w:r w:rsidR="00AD2C9C" w:rsidRPr="0034602F">
        <w:rPr>
          <w:rFonts w:ascii="ITC Avant Garde" w:hAnsi="ITC Avant Garde"/>
          <w:bCs/>
        </w:rPr>
        <w:t xml:space="preserve"> Lo anterior de conformidad con lo siguiente:</w:t>
      </w:r>
    </w:p>
    <w:p w14:paraId="462151C4" w14:textId="77777777" w:rsidR="003C5E62" w:rsidRPr="0034602F" w:rsidRDefault="004F3596" w:rsidP="00583167">
      <w:pPr>
        <w:spacing w:before="240" w:after="240" w:line="360" w:lineRule="auto"/>
        <w:jc w:val="both"/>
        <w:rPr>
          <w:rFonts w:ascii="ITC Avant Garde" w:eastAsia="Times New Roman" w:hAnsi="ITC Avant Garde"/>
          <w:b/>
          <w:bCs/>
          <w:color w:val="000000"/>
          <w:lang w:eastAsia="es-MX"/>
        </w:rPr>
      </w:pPr>
      <w:r w:rsidRPr="0034602F">
        <w:rPr>
          <w:rFonts w:ascii="ITC Avant Garde" w:hAnsi="ITC Avant Garde"/>
          <w:b/>
          <w:u w:val="single"/>
        </w:rPr>
        <w:t xml:space="preserve">A) </w:t>
      </w:r>
      <w:r w:rsidRPr="0034602F">
        <w:rPr>
          <w:rFonts w:ascii="ITC Avant Garde" w:hAnsi="ITC Avant Garde"/>
          <w:b/>
          <w:bCs/>
          <w:u w:val="single"/>
        </w:rPr>
        <w:t xml:space="preserve">Artículo 66 </w:t>
      </w:r>
      <w:r w:rsidR="00220B37" w:rsidRPr="0034602F">
        <w:rPr>
          <w:rFonts w:ascii="ITC Avant Garde" w:eastAsia="Times New Roman" w:hAnsi="ITC Avant Garde"/>
          <w:b/>
          <w:bCs/>
          <w:color w:val="000000"/>
          <w:u w:val="single"/>
          <w:lang w:eastAsia="es-MX"/>
        </w:rPr>
        <w:t xml:space="preserve">en relación con el 75 </w:t>
      </w:r>
      <w:r w:rsidR="00220B37" w:rsidRPr="0034602F">
        <w:rPr>
          <w:rFonts w:ascii="ITC Avant Garde" w:hAnsi="ITC Avant Garde"/>
          <w:b/>
          <w:bCs/>
          <w:u w:val="single"/>
        </w:rPr>
        <w:t xml:space="preserve">de la </w:t>
      </w:r>
      <w:proofErr w:type="spellStart"/>
      <w:r w:rsidR="00220B37" w:rsidRPr="0034602F">
        <w:rPr>
          <w:rFonts w:ascii="ITC Avant Garde" w:eastAsia="Times New Roman" w:hAnsi="ITC Avant Garde"/>
          <w:b/>
          <w:bCs/>
          <w:color w:val="000000"/>
          <w:u w:val="single"/>
          <w:lang w:eastAsia="es-MX"/>
        </w:rPr>
        <w:t>LFTyR</w:t>
      </w:r>
      <w:proofErr w:type="spellEnd"/>
      <w:r w:rsidRPr="0034602F">
        <w:rPr>
          <w:rFonts w:ascii="ITC Avant Garde" w:hAnsi="ITC Avant Garde"/>
          <w:b/>
          <w:bCs/>
          <w:u w:val="single"/>
        </w:rPr>
        <w:t>.</w:t>
      </w:r>
    </w:p>
    <w:p w14:paraId="55BF8671" w14:textId="77777777" w:rsidR="003C5E62" w:rsidRPr="0034602F" w:rsidRDefault="00A0552D" w:rsidP="00583167">
      <w:pPr>
        <w:spacing w:before="240" w:after="240" w:line="360" w:lineRule="auto"/>
        <w:jc w:val="both"/>
        <w:rPr>
          <w:rFonts w:ascii="ITC Avant Garde" w:hAnsi="ITC Avant Garde"/>
        </w:rPr>
      </w:pPr>
      <w:r w:rsidRPr="0034602F">
        <w:rPr>
          <w:rFonts w:ascii="ITC Avant Garde" w:hAnsi="ITC Avant Garde"/>
        </w:rPr>
        <w:t xml:space="preserve">El artículo 66 de la </w:t>
      </w:r>
      <w:proofErr w:type="spellStart"/>
      <w:r w:rsidRPr="0034602F">
        <w:rPr>
          <w:rFonts w:ascii="ITC Avant Garde" w:hAnsi="ITC Avant Garde"/>
          <w:b/>
        </w:rPr>
        <w:t>LFTyR</w:t>
      </w:r>
      <w:proofErr w:type="spellEnd"/>
      <w:r w:rsidRPr="0034602F">
        <w:rPr>
          <w:rFonts w:ascii="ITC Avant Garde" w:hAnsi="ITC Avant Garde"/>
        </w:rPr>
        <w:t xml:space="preserve">, establece que: “Se requerirá </w:t>
      </w:r>
      <w:r w:rsidRPr="0034602F">
        <w:rPr>
          <w:rFonts w:ascii="ITC Avant Garde" w:hAnsi="ITC Avant Garde"/>
          <w:u w:val="single"/>
        </w:rPr>
        <w:t>concesión única</w:t>
      </w:r>
      <w:r w:rsidRPr="0034602F">
        <w:rPr>
          <w:rFonts w:ascii="ITC Avant Garde" w:hAnsi="ITC Avant Garde"/>
        </w:rPr>
        <w:t xml:space="preserve"> para prestar todo tipo de servicios públicos de telecomunicaciones y radiodifusión.”</w:t>
      </w:r>
    </w:p>
    <w:p w14:paraId="17A2309A" w14:textId="77777777" w:rsidR="003C5E62" w:rsidRPr="0034602F" w:rsidRDefault="002C6FA8" w:rsidP="00583167">
      <w:pPr>
        <w:spacing w:before="240" w:after="240" w:line="360" w:lineRule="auto"/>
        <w:jc w:val="both"/>
        <w:rPr>
          <w:rFonts w:ascii="ITC Avant Garde" w:eastAsia="Times New Roman" w:hAnsi="ITC Avant Garde"/>
          <w:lang w:eastAsia="es-MX"/>
        </w:rPr>
      </w:pPr>
      <w:r w:rsidRPr="0034602F">
        <w:rPr>
          <w:rFonts w:ascii="ITC Avant Garde" w:hAnsi="ITC Avant Garde"/>
        </w:rPr>
        <w:t>Por su parte e</w:t>
      </w:r>
      <w:r w:rsidR="00220B37" w:rsidRPr="0034602F">
        <w:rPr>
          <w:rFonts w:ascii="ITC Avant Garde" w:eastAsia="Times New Roman" w:hAnsi="ITC Avant Garde"/>
          <w:lang w:eastAsia="es-MX"/>
        </w:rPr>
        <w:t xml:space="preserve">l artículo 75 de la </w:t>
      </w:r>
      <w:proofErr w:type="spellStart"/>
      <w:r w:rsidR="00220B37" w:rsidRPr="0034602F">
        <w:rPr>
          <w:rFonts w:ascii="ITC Avant Garde" w:eastAsia="Times New Roman" w:hAnsi="ITC Avant Garde"/>
          <w:b/>
          <w:lang w:eastAsia="es-MX"/>
        </w:rPr>
        <w:t>LFTyR</w:t>
      </w:r>
      <w:proofErr w:type="spellEnd"/>
      <w:r w:rsidR="00220B37" w:rsidRPr="0034602F">
        <w:rPr>
          <w:rFonts w:ascii="ITC Avant Garde" w:eastAsia="Times New Roman" w:hAnsi="ITC Avant Garde"/>
          <w:lang w:eastAsia="es-MX"/>
        </w:rPr>
        <w:t xml:space="preserve">, dispone que “Las concesiones para usar, aprovechar y explotar bandas de frecuencias del espectro radioeléctrico de uso determinado y para la ocupación y explotación de recursos orbitales, </w:t>
      </w:r>
      <w:r w:rsidR="00232142" w:rsidRPr="0034602F">
        <w:rPr>
          <w:rFonts w:ascii="ITC Avant Garde" w:eastAsia="Times New Roman" w:hAnsi="ITC Avant Garde"/>
          <w:lang w:eastAsia="es-MX"/>
        </w:rPr>
        <w:t xml:space="preserve">se otorgarán por el Instituto por un plazo de hasta veinte años y podrán ser prorrogadas hasta por plazos iguales conforme a lo dispuesto en el Capítulo VI de este Título.” </w:t>
      </w:r>
    </w:p>
    <w:p w14:paraId="637C2FBF" w14:textId="3ABA2506" w:rsidR="003C5E62" w:rsidRPr="0034602F" w:rsidRDefault="00E45728" w:rsidP="00583167">
      <w:pPr>
        <w:spacing w:before="240" w:after="240" w:line="360" w:lineRule="auto"/>
        <w:jc w:val="both"/>
        <w:rPr>
          <w:rFonts w:ascii="ITC Avant Garde" w:hAnsi="ITC Avant Garde"/>
          <w:color w:val="000000"/>
        </w:rPr>
      </w:pPr>
      <w:r w:rsidRPr="0034602F">
        <w:rPr>
          <w:rFonts w:ascii="ITC Avant Garde" w:hAnsi="ITC Avant Garde"/>
        </w:rPr>
        <w:t xml:space="preserve">En este sentido, dicha concesión para usar, aprovechar y explotar bandas de frecuencias del espectro radioeléctrico, </w:t>
      </w:r>
      <w:r w:rsidR="00220B37" w:rsidRPr="0034602F">
        <w:rPr>
          <w:rFonts w:ascii="ITC Avant Garde" w:hAnsi="ITC Avant Garde"/>
        </w:rPr>
        <w:t xml:space="preserve">es el título habilitante que otorga a su titular la legitimación para prestar servicios de radiodifusión. </w:t>
      </w:r>
      <w:r w:rsidR="008A7548" w:rsidRPr="0034602F">
        <w:rPr>
          <w:rFonts w:ascii="ITC Avant Garde" w:hAnsi="ITC Avant Garde"/>
        </w:rPr>
        <w:t xml:space="preserve">Sin embargo, de </w:t>
      </w:r>
      <w:r w:rsidR="00D642A2" w:rsidRPr="0034602F">
        <w:rPr>
          <w:rFonts w:ascii="ITC Avant Garde" w:hAnsi="ITC Avant Garde"/>
        </w:rPr>
        <w:t xml:space="preserve">lo constatado por los verificadores así como de </w:t>
      </w:r>
      <w:r w:rsidR="008A7548" w:rsidRPr="0034602F">
        <w:rPr>
          <w:rFonts w:ascii="ITC Avant Garde" w:hAnsi="ITC Avant Garde"/>
        </w:rPr>
        <w:t xml:space="preserve">las manifestaciones expresas realizadas </w:t>
      </w:r>
      <w:r w:rsidR="00D642A2" w:rsidRPr="0034602F">
        <w:rPr>
          <w:rFonts w:ascii="ITC Avant Garde" w:hAnsi="ITC Avant Garde"/>
        </w:rPr>
        <w:t>en</w:t>
      </w:r>
      <w:r w:rsidR="008A7548" w:rsidRPr="0034602F">
        <w:rPr>
          <w:rFonts w:ascii="ITC Avant Garde" w:hAnsi="ITC Avant Garde"/>
        </w:rPr>
        <w:t xml:space="preserve"> la diligencia, se demuestra fehacientemente que el </w:t>
      </w:r>
      <w:r w:rsidR="00A01799" w:rsidRPr="0034602F">
        <w:rPr>
          <w:rFonts w:ascii="ITC Avant Garde" w:hAnsi="ITC Avant Garde"/>
          <w:b/>
        </w:rPr>
        <w:t>PRESUNTO RESPONSABLE</w:t>
      </w:r>
      <w:r w:rsidR="008A7548" w:rsidRPr="0034602F">
        <w:rPr>
          <w:rFonts w:ascii="ITC Avant Garde" w:hAnsi="ITC Avant Garde"/>
        </w:rPr>
        <w:t xml:space="preserve"> al momento de la </w:t>
      </w:r>
      <w:r w:rsidR="00D642A2" w:rsidRPr="0034602F">
        <w:rPr>
          <w:rFonts w:ascii="ITC Avant Garde" w:hAnsi="ITC Avant Garde"/>
        </w:rPr>
        <w:t>vista</w:t>
      </w:r>
      <w:r w:rsidR="008A7548" w:rsidRPr="0034602F">
        <w:rPr>
          <w:rFonts w:ascii="ITC Avant Garde" w:hAnsi="ITC Avant Garde"/>
        </w:rPr>
        <w:t xml:space="preserve">, usaba la frecuencia </w:t>
      </w:r>
      <w:r w:rsidR="00ED49D4" w:rsidRPr="0034602F">
        <w:rPr>
          <w:rFonts w:ascii="ITC Avant Garde" w:eastAsia="Times New Roman" w:hAnsi="ITC Avant Garde"/>
          <w:b/>
          <w:bCs/>
          <w:color w:val="000000"/>
          <w:lang w:eastAsia="es-MX"/>
        </w:rPr>
        <w:t>9</w:t>
      </w:r>
      <w:r w:rsidR="00301184" w:rsidRPr="0034602F">
        <w:rPr>
          <w:rFonts w:ascii="ITC Avant Garde" w:eastAsia="Times New Roman" w:hAnsi="ITC Avant Garde"/>
          <w:b/>
          <w:bCs/>
          <w:color w:val="000000"/>
          <w:lang w:eastAsia="es-MX"/>
        </w:rPr>
        <w:t>7</w:t>
      </w:r>
      <w:r w:rsidR="00ED49D4" w:rsidRPr="0034602F">
        <w:rPr>
          <w:rFonts w:ascii="ITC Avant Garde" w:eastAsia="Times New Roman" w:hAnsi="ITC Avant Garde"/>
          <w:b/>
          <w:bCs/>
          <w:color w:val="000000"/>
          <w:lang w:eastAsia="es-MX"/>
        </w:rPr>
        <w:t>.</w:t>
      </w:r>
      <w:r w:rsidR="00301184" w:rsidRPr="0034602F">
        <w:rPr>
          <w:rFonts w:ascii="ITC Avant Garde" w:eastAsia="Times New Roman" w:hAnsi="ITC Avant Garde"/>
          <w:b/>
          <w:bCs/>
          <w:color w:val="000000"/>
          <w:lang w:eastAsia="es-MX"/>
        </w:rPr>
        <w:t>3</w:t>
      </w:r>
      <w:r w:rsidR="008A7548" w:rsidRPr="0034602F">
        <w:rPr>
          <w:rFonts w:ascii="ITC Avant Garde" w:hAnsi="ITC Avant Garde"/>
          <w:b/>
        </w:rPr>
        <w:t xml:space="preserve"> MHz</w:t>
      </w:r>
      <w:r w:rsidR="008A7548" w:rsidRPr="0034602F">
        <w:rPr>
          <w:rFonts w:ascii="ITC Avant Garde" w:hAnsi="ITC Avant Garde"/>
        </w:rPr>
        <w:t xml:space="preserve"> </w:t>
      </w:r>
      <w:r w:rsidR="00A0552D" w:rsidRPr="0034602F">
        <w:rPr>
          <w:rFonts w:ascii="ITC Avant Garde" w:hAnsi="ITC Avant Garde"/>
        </w:rPr>
        <w:t xml:space="preserve">de la banda de </w:t>
      </w:r>
      <w:r w:rsidR="00D642A2" w:rsidRPr="0034602F">
        <w:rPr>
          <w:rFonts w:ascii="ITC Avant Garde" w:hAnsi="ITC Avant Garde"/>
          <w:b/>
          <w:sz w:val="21"/>
          <w:szCs w:val="21"/>
        </w:rPr>
        <w:t>FM</w:t>
      </w:r>
      <w:r w:rsidR="00BF051C" w:rsidRPr="0034602F">
        <w:rPr>
          <w:rFonts w:ascii="ITC Avant Garde" w:hAnsi="ITC Avant Garde"/>
        </w:rPr>
        <w:t xml:space="preserve"> en</w:t>
      </w:r>
      <w:r w:rsidR="00301184" w:rsidRPr="0034602F">
        <w:rPr>
          <w:rFonts w:ascii="ITC Avant Garde" w:hAnsi="ITC Avant Garde"/>
        </w:rPr>
        <w:t xml:space="preserve"> el inmueble ubicado en </w:t>
      </w:r>
      <w:r w:rsidR="00FD77B7" w:rsidRPr="0034602F">
        <w:rPr>
          <w:rFonts w:ascii="ITC Avant Garde" w:hAnsi="ITC Avant Garde"/>
        </w:rPr>
        <w:t xml:space="preserve">la </w:t>
      </w:r>
      <w:r w:rsidR="000519D1" w:rsidRPr="000519D1">
        <w:rPr>
          <w:rFonts w:ascii="ITC Avant Garde" w:hAnsi="ITC Avant Garde"/>
          <w:b/>
          <w:color w:val="0000FF"/>
        </w:rPr>
        <w:t>“CONFIDENCIAL POR LEY”</w:t>
      </w:r>
      <w:r w:rsidR="00FD77B7" w:rsidRPr="0034602F">
        <w:rPr>
          <w:rFonts w:ascii="ITC Avant Garde" w:hAnsi="ITC Avant Garde"/>
        </w:rPr>
        <w:t>, Delegación Tlalpan, Código Postal 14400, en la Ciudad de México</w:t>
      </w:r>
      <w:r w:rsidR="00301184" w:rsidRPr="0034602F" w:rsidDel="005042C0">
        <w:rPr>
          <w:rFonts w:ascii="ITC Avant Garde" w:hAnsi="ITC Avant Garde"/>
          <w:b/>
        </w:rPr>
        <w:t xml:space="preserve"> </w:t>
      </w:r>
      <w:r w:rsidR="00301184" w:rsidRPr="0034602F">
        <w:rPr>
          <w:rFonts w:ascii="ITC Avant Garde" w:hAnsi="ITC Avant Garde"/>
        </w:rPr>
        <w:t>si</w:t>
      </w:r>
      <w:r w:rsidR="00A0552D" w:rsidRPr="0034602F">
        <w:rPr>
          <w:rFonts w:ascii="ITC Avant Garde" w:hAnsi="ITC Avant Garde"/>
        </w:rPr>
        <w:t xml:space="preserve">n contar con el documento idóneo que ampare la prestación </w:t>
      </w:r>
      <w:r w:rsidR="00AD2C9C" w:rsidRPr="0034602F">
        <w:rPr>
          <w:rFonts w:ascii="ITC Avant Garde" w:hAnsi="ITC Avant Garde"/>
        </w:rPr>
        <w:t>de dicho</w:t>
      </w:r>
      <w:r w:rsidR="00A0552D" w:rsidRPr="0034602F">
        <w:rPr>
          <w:rFonts w:ascii="ITC Avant Garde" w:hAnsi="ITC Avant Garde"/>
        </w:rPr>
        <w:t xml:space="preserve"> servicio. </w:t>
      </w:r>
    </w:p>
    <w:p w14:paraId="026F23C6" w14:textId="77777777" w:rsidR="003C5E62" w:rsidRPr="0034602F" w:rsidRDefault="00BF051C" w:rsidP="00583167">
      <w:pPr>
        <w:spacing w:before="240" w:after="240" w:line="360" w:lineRule="auto"/>
        <w:jc w:val="both"/>
        <w:rPr>
          <w:rFonts w:ascii="ITC Avant Garde" w:hAnsi="ITC Avant Garde"/>
        </w:rPr>
      </w:pPr>
      <w:r w:rsidRPr="0034602F">
        <w:rPr>
          <w:rFonts w:ascii="ITC Avant Garde" w:hAnsi="ITC Avant Garde"/>
        </w:rPr>
        <w:t xml:space="preserve">Asimismo, </w:t>
      </w:r>
      <w:r w:rsidR="00A0552D" w:rsidRPr="0034602F">
        <w:rPr>
          <w:rFonts w:ascii="ITC Avant Garde" w:hAnsi="ITC Avant Garde"/>
        </w:rPr>
        <w:t xml:space="preserve">se constató que el uso de la frecuencia </w:t>
      </w:r>
      <w:r w:rsidR="00ED49D4" w:rsidRPr="0034602F">
        <w:rPr>
          <w:rFonts w:ascii="ITC Avant Garde" w:eastAsia="Times New Roman" w:hAnsi="ITC Avant Garde"/>
          <w:b/>
          <w:bCs/>
          <w:color w:val="000000"/>
          <w:lang w:eastAsia="es-MX"/>
        </w:rPr>
        <w:t>9</w:t>
      </w:r>
      <w:r w:rsidR="00301184" w:rsidRPr="0034602F">
        <w:rPr>
          <w:rFonts w:ascii="ITC Avant Garde" w:eastAsia="Times New Roman" w:hAnsi="ITC Avant Garde"/>
          <w:b/>
          <w:bCs/>
          <w:color w:val="000000"/>
          <w:lang w:eastAsia="es-MX"/>
        </w:rPr>
        <w:t>7.3</w:t>
      </w:r>
      <w:r w:rsidR="00B571DA" w:rsidRPr="0034602F">
        <w:rPr>
          <w:rFonts w:ascii="ITC Avant Garde" w:hAnsi="ITC Avant Garde"/>
          <w:b/>
        </w:rPr>
        <w:t xml:space="preserve"> </w:t>
      </w:r>
      <w:r w:rsidR="00041D1C" w:rsidRPr="0034602F">
        <w:rPr>
          <w:rFonts w:ascii="ITC Avant Garde" w:hAnsi="ITC Avant Garde"/>
          <w:b/>
        </w:rPr>
        <w:t>MHz</w:t>
      </w:r>
      <w:r w:rsidR="00A0552D" w:rsidRPr="0034602F">
        <w:rPr>
          <w:rFonts w:ascii="ITC Avant Garde" w:hAnsi="ITC Avant Garde"/>
        </w:rPr>
        <w:t xml:space="preserve"> no estaba registrada a</w:t>
      </w:r>
      <w:r w:rsidR="00A0552D" w:rsidRPr="0034602F">
        <w:rPr>
          <w:rFonts w:ascii="ITC Avant Garde" w:eastAsia="Times New Roman" w:hAnsi="ITC Avant Garde"/>
          <w:bCs/>
          <w:color w:val="000000"/>
          <w:lang w:eastAsia="es-MX"/>
        </w:rPr>
        <w:t xml:space="preserve"> concesionario o autorizado alguno para esa entidad, dentro de la infraestructura de Estaciones de Radio </w:t>
      </w:r>
      <w:r w:rsidR="00A0552D" w:rsidRPr="0034602F">
        <w:rPr>
          <w:rFonts w:ascii="ITC Avant Garde" w:eastAsia="Times New Roman" w:hAnsi="ITC Avant Garde"/>
          <w:b/>
          <w:bCs/>
          <w:color w:val="000000"/>
          <w:lang w:eastAsia="es-MX"/>
        </w:rPr>
        <w:t>FM</w:t>
      </w:r>
      <w:r w:rsidR="00A0552D" w:rsidRPr="0034602F">
        <w:rPr>
          <w:rFonts w:ascii="ITC Avant Garde" w:eastAsia="Times New Roman" w:hAnsi="ITC Avant Garde"/>
          <w:bCs/>
          <w:color w:val="000000"/>
          <w:lang w:eastAsia="es-MX"/>
        </w:rPr>
        <w:t xml:space="preserve"> publicada en la página web del Instituto.</w:t>
      </w:r>
    </w:p>
    <w:p w14:paraId="56BA2532" w14:textId="77777777" w:rsidR="003C5E62" w:rsidRPr="0034602F" w:rsidRDefault="00A0552D" w:rsidP="00583167">
      <w:pPr>
        <w:spacing w:before="240" w:after="240" w:line="360" w:lineRule="auto"/>
        <w:jc w:val="both"/>
        <w:rPr>
          <w:rFonts w:ascii="ITC Avant Garde" w:eastAsia="Times New Roman" w:hAnsi="ITC Avant Garde"/>
          <w:bCs/>
          <w:color w:val="000000"/>
          <w:lang w:eastAsia="es-MX"/>
        </w:rPr>
      </w:pPr>
      <w:r w:rsidRPr="0034602F">
        <w:rPr>
          <w:rFonts w:ascii="ITC Avant Garde" w:hAnsi="ITC Avant Garde"/>
        </w:rPr>
        <w:t>A</w:t>
      </w:r>
      <w:r w:rsidR="00BF051C" w:rsidRPr="0034602F">
        <w:rPr>
          <w:rFonts w:ascii="ITC Avant Garde" w:hAnsi="ITC Avant Garde"/>
        </w:rPr>
        <w:t>hora bien</w:t>
      </w:r>
      <w:r w:rsidRPr="0034602F">
        <w:rPr>
          <w:rFonts w:ascii="ITC Avant Garde" w:hAnsi="ITC Avant Garde"/>
        </w:rPr>
        <w:t>, d</w:t>
      </w:r>
      <w:r w:rsidRPr="0034602F">
        <w:rPr>
          <w:rFonts w:ascii="ITC Avant Garde" w:eastAsia="Times New Roman" w:hAnsi="ITC Avant Garde"/>
          <w:bCs/>
          <w:color w:val="000000"/>
          <w:lang w:eastAsia="es-MX"/>
        </w:rPr>
        <w:t xml:space="preserve">e los hechos que se hicieron constar en el </w:t>
      </w:r>
      <w:r w:rsidR="00E11BA0" w:rsidRPr="0034602F">
        <w:rPr>
          <w:rFonts w:ascii="ITC Avant Garde" w:eastAsia="Times New Roman" w:hAnsi="ITC Avant Garde"/>
          <w:b/>
          <w:bCs/>
          <w:color w:val="000000"/>
          <w:lang w:eastAsia="es-MX"/>
        </w:rPr>
        <w:t xml:space="preserve">ACTA VERIFICACIÓN ORDINARIA </w:t>
      </w:r>
      <w:r w:rsidRPr="0034602F">
        <w:rPr>
          <w:rFonts w:ascii="ITC Avant Garde" w:eastAsia="Times New Roman" w:hAnsi="ITC Avant Garde"/>
          <w:bCs/>
          <w:color w:val="000000"/>
          <w:lang w:eastAsia="es-MX"/>
        </w:rPr>
        <w:t>durante el desarrollo de la visita de inspección-verificación, se desprende lo siguiente</w:t>
      </w:r>
      <w:r w:rsidR="004F3596" w:rsidRPr="0034602F">
        <w:rPr>
          <w:rFonts w:ascii="ITC Avant Garde" w:eastAsia="Times New Roman" w:hAnsi="ITC Avant Garde"/>
          <w:bCs/>
          <w:color w:val="000000"/>
          <w:lang w:eastAsia="es-MX"/>
        </w:rPr>
        <w:t>:</w:t>
      </w:r>
    </w:p>
    <w:p w14:paraId="51732D3D" w14:textId="77777777" w:rsidR="006D6786" w:rsidRDefault="008A7548" w:rsidP="00583167">
      <w:pPr>
        <w:numPr>
          <w:ilvl w:val="0"/>
          <w:numId w:val="2"/>
        </w:numPr>
        <w:spacing w:before="240" w:after="240" w:line="360" w:lineRule="auto"/>
        <w:jc w:val="both"/>
        <w:rPr>
          <w:rFonts w:ascii="ITC Avant Garde" w:hAnsi="ITC Avant Garde" w:cs="Arial"/>
          <w:sz w:val="21"/>
          <w:szCs w:val="21"/>
        </w:rPr>
        <w:sectPr w:rsidR="006D6786" w:rsidSect="006345CE">
          <w:headerReference w:type="default" r:id="rId26"/>
          <w:pgSz w:w="12240" w:h="15840"/>
          <w:pgMar w:top="426" w:right="1418" w:bottom="1418" w:left="1418" w:header="709" w:footer="420" w:gutter="0"/>
          <w:cols w:space="708"/>
          <w:docGrid w:linePitch="360"/>
        </w:sectPr>
      </w:pPr>
      <w:r w:rsidRPr="0034602F">
        <w:rPr>
          <w:rFonts w:ascii="ITC Avant Garde" w:hAnsi="ITC Avant Garde"/>
        </w:rPr>
        <w:t>E</w:t>
      </w:r>
      <w:r w:rsidR="00A96264" w:rsidRPr="0034602F">
        <w:rPr>
          <w:rFonts w:ascii="ITC Avant Garde" w:hAnsi="ITC Avant Garde"/>
        </w:rPr>
        <w:t xml:space="preserve">l uso de la frecuencia </w:t>
      </w:r>
      <w:r w:rsidR="00301184" w:rsidRPr="0034602F">
        <w:rPr>
          <w:rFonts w:ascii="ITC Avant Garde" w:eastAsia="Times New Roman" w:hAnsi="ITC Avant Garde"/>
          <w:b/>
          <w:bCs/>
          <w:color w:val="000000"/>
          <w:lang w:eastAsia="es-MX"/>
        </w:rPr>
        <w:t>97.3</w:t>
      </w:r>
      <w:r w:rsidR="00301184" w:rsidRPr="0034602F">
        <w:rPr>
          <w:rFonts w:ascii="ITC Avant Garde" w:hAnsi="ITC Avant Garde"/>
          <w:b/>
        </w:rPr>
        <w:t xml:space="preserve"> MHz</w:t>
      </w:r>
      <w:r w:rsidR="00A96264" w:rsidRPr="0034602F">
        <w:rPr>
          <w:rFonts w:ascii="ITC Avant Garde" w:hAnsi="ITC Avant Garde"/>
        </w:rPr>
        <w:t xml:space="preserve">, mediante </w:t>
      </w:r>
      <w:r w:rsidR="00301184" w:rsidRPr="0034602F">
        <w:rPr>
          <w:rFonts w:ascii="ITC Avant Garde" w:hAnsi="ITC Avant Garde"/>
        </w:rPr>
        <w:t>u</w:t>
      </w:r>
      <w:r w:rsidR="00301184" w:rsidRPr="0034602F">
        <w:rPr>
          <w:rFonts w:ascii="ITC Avant Garde" w:eastAsia="Times New Roman" w:hAnsi="ITC Avant Garde"/>
          <w:bCs/>
          <w:color w:val="000000"/>
          <w:lang w:eastAsia="es-MX"/>
        </w:rPr>
        <w:t xml:space="preserve">n Transmisor, sin marca, sin modelo, </w:t>
      </w:r>
      <w:r w:rsidR="00FD77B7" w:rsidRPr="0034602F">
        <w:rPr>
          <w:rFonts w:ascii="ITC Avant Garde" w:eastAsia="Times New Roman" w:hAnsi="ITC Avant Garde"/>
          <w:bCs/>
          <w:color w:val="000000"/>
          <w:lang w:eastAsia="es-MX"/>
        </w:rPr>
        <w:t xml:space="preserve">ni número de serie, </w:t>
      </w:r>
      <w:r w:rsidR="00301184" w:rsidRPr="0034602F">
        <w:rPr>
          <w:rFonts w:ascii="ITC Avant Garde" w:eastAsia="Times New Roman" w:hAnsi="ITC Avant Garde"/>
          <w:bCs/>
          <w:color w:val="000000"/>
          <w:lang w:eastAsia="es-MX"/>
        </w:rPr>
        <w:t xml:space="preserve">Un CPU armado, </w:t>
      </w:r>
      <w:r w:rsidR="00FD77B7" w:rsidRPr="0034602F">
        <w:rPr>
          <w:rFonts w:ascii="ITC Avant Garde" w:eastAsia="Times New Roman" w:hAnsi="ITC Avant Garde"/>
          <w:bCs/>
          <w:color w:val="000000"/>
          <w:lang w:eastAsia="es-MX"/>
        </w:rPr>
        <w:t xml:space="preserve">sin marca, sin modelo, ni número de serie, </w:t>
      </w:r>
      <w:r w:rsidR="00DF2735" w:rsidRPr="0034602F">
        <w:rPr>
          <w:rFonts w:ascii="ITC Avant Garde" w:hAnsi="ITC Avant Garde" w:cs="Arial"/>
          <w:sz w:val="21"/>
          <w:szCs w:val="21"/>
        </w:rPr>
        <w:t xml:space="preserve">en </w:t>
      </w:r>
    </w:p>
    <w:p w14:paraId="1920E435" w14:textId="34EF0A84" w:rsidR="003C5E62" w:rsidRPr="0034602F" w:rsidRDefault="00DF2735" w:rsidP="006D6786">
      <w:pPr>
        <w:spacing w:before="240" w:after="240" w:line="360" w:lineRule="auto"/>
        <w:ind w:left="720"/>
        <w:jc w:val="both"/>
        <w:rPr>
          <w:rFonts w:ascii="ITC Avant Garde" w:hAnsi="ITC Avant Garde"/>
        </w:rPr>
      </w:pPr>
      <w:proofErr w:type="gramStart"/>
      <w:r w:rsidRPr="0034602F">
        <w:rPr>
          <w:rFonts w:ascii="ITC Avant Garde" w:hAnsi="ITC Avant Garde" w:cs="Arial"/>
          <w:sz w:val="21"/>
          <w:szCs w:val="21"/>
        </w:rPr>
        <w:lastRenderedPageBreak/>
        <w:t>el</w:t>
      </w:r>
      <w:proofErr w:type="gramEnd"/>
      <w:r w:rsidRPr="0034602F">
        <w:rPr>
          <w:rFonts w:ascii="ITC Avant Garde" w:hAnsi="ITC Avant Garde" w:cs="Arial"/>
          <w:sz w:val="21"/>
          <w:szCs w:val="21"/>
        </w:rPr>
        <w:t xml:space="preserve"> techo del cuarto a un lado del tinaco se encuentra colocado una antena omnidireccional</w:t>
      </w:r>
      <w:r w:rsidR="00301184" w:rsidRPr="0034602F">
        <w:rPr>
          <w:rFonts w:ascii="ITC Avant Garde" w:hAnsi="ITC Avant Garde"/>
        </w:rPr>
        <w:t xml:space="preserve">, </w:t>
      </w:r>
      <w:r w:rsidR="00B571DA" w:rsidRPr="0034602F">
        <w:rPr>
          <w:rFonts w:ascii="ITC Avant Garde" w:hAnsi="ITC Avant Garde"/>
        </w:rPr>
        <w:t>conectado a equipos de transmisión para FM</w:t>
      </w:r>
      <w:r w:rsidR="004F3596" w:rsidRPr="0034602F">
        <w:rPr>
          <w:rFonts w:ascii="ITC Avant Garde" w:hAnsi="ITC Avant Garde"/>
        </w:rPr>
        <w:t>, con lo que se acredita el uso</w:t>
      </w:r>
      <w:r w:rsidR="001A07AC" w:rsidRPr="0034602F">
        <w:rPr>
          <w:rFonts w:ascii="ITC Avant Garde" w:hAnsi="ITC Avant Garde"/>
        </w:rPr>
        <w:t xml:space="preserve"> y</w:t>
      </w:r>
      <w:r w:rsidR="004F3596" w:rsidRPr="0034602F">
        <w:rPr>
          <w:rFonts w:ascii="ITC Avant Garde" w:hAnsi="ITC Avant Garde"/>
        </w:rPr>
        <w:t xml:space="preserve"> aprovechamiento del espectro radioeléctrico,</w:t>
      </w:r>
      <w:r w:rsidR="00572E59" w:rsidRPr="0034602F">
        <w:rPr>
          <w:rFonts w:ascii="ITC Avant Garde" w:hAnsi="ITC Avant Garde"/>
        </w:rPr>
        <w:t xml:space="preserve"> </w:t>
      </w:r>
      <w:r w:rsidR="004F3596" w:rsidRPr="0034602F">
        <w:rPr>
          <w:rFonts w:ascii="ITC Avant Garde" w:hAnsi="ITC Avant Garde"/>
        </w:rPr>
        <w:t xml:space="preserve">correspondiente a la banda de </w:t>
      </w:r>
      <w:r w:rsidR="004F3596" w:rsidRPr="0034602F">
        <w:rPr>
          <w:rFonts w:ascii="ITC Avant Garde" w:hAnsi="ITC Avant Garde"/>
          <w:b/>
        </w:rPr>
        <w:t>FM</w:t>
      </w:r>
      <w:r w:rsidR="004F3596" w:rsidRPr="0034602F">
        <w:rPr>
          <w:rFonts w:ascii="ITC Avant Garde" w:hAnsi="ITC Avant Garde"/>
        </w:rPr>
        <w:t xml:space="preserve">, </w:t>
      </w:r>
      <w:r w:rsidR="00CB4D8A" w:rsidRPr="0034602F">
        <w:rPr>
          <w:rFonts w:ascii="ITC Avant Garde" w:hAnsi="ITC Avant Garde"/>
        </w:rPr>
        <w:t>sin contar con concesión o permiso</w:t>
      </w:r>
      <w:r w:rsidR="004F3596" w:rsidRPr="0034602F">
        <w:rPr>
          <w:rFonts w:ascii="ITC Avant Garde" w:hAnsi="ITC Avant Garde"/>
        </w:rPr>
        <w:t>.</w:t>
      </w:r>
    </w:p>
    <w:p w14:paraId="233E178E" w14:textId="77777777" w:rsidR="003C5E62" w:rsidRPr="0034602F" w:rsidRDefault="004F3596" w:rsidP="00583167">
      <w:pPr>
        <w:pStyle w:val="Listavistosa-nfasis11"/>
        <w:numPr>
          <w:ilvl w:val="0"/>
          <w:numId w:val="2"/>
        </w:numPr>
        <w:spacing w:before="240" w:after="240" w:line="360" w:lineRule="auto"/>
        <w:jc w:val="both"/>
        <w:rPr>
          <w:rFonts w:ascii="ITC Avant Garde" w:hAnsi="ITC Avant Garde"/>
        </w:rPr>
      </w:pPr>
      <w:r w:rsidRPr="0034602F">
        <w:rPr>
          <w:rFonts w:ascii="ITC Avant Garde" w:hAnsi="ITC Avant Garde"/>
        </w:rPr>
        <w:t>Del monitoreo realizado</w:t>
      </w:r>
      <w:r w:rsidR="00D642A2" w:rsidRPr="0034602F">
        <w:rPr>
          <w:rFonts w:ascii="ITC Avant Garde" w:hAnsi="ITC Avant Garde"/>
        </w:rPr>
        <w:t xml:space="preserve"> </w:t>
      </w:r>
      <w:r w:rsidR="002B7F5E" w:rsidRPr="0034602F">
        <w:rPr>
          <w:rFonts w:ascii="ITC Avant Garde" w:hAnsi="ITC Avant Garde"/>
        </w:rPr>
        <w:t>se constató</w:t>
      </w:r>
      <w:r w:rsidRPr="0034602F">
        <w:rPr>
          <w:rFonts w:ascii="ITC Avant Garde" w:hAnsi="ITC Avant Garde"/>
        </w:rPr>
        <w:t xml:space="preserve"> que </w:t>
      </w:r>
      <w:r w:rsidR="008A7548" w:rsidRPr="0034602F">
        <w:rPr>
          <w:rFonts w:ascii="ITC Avant Garde" w:hAnsi="ITC Avant Garde"/>
        </w:rPr>
        <w:t xml:space="preserve">el </w:t>
      </w:r>
      <w:r w:rsidR="00A01799" w:rsidRPr="0034602F">
        <w:rPr>
          <w:rFonts w:ascii="ITC Avant Garde" w:hAnsi="ITC Avant Garde"/>
          <w:b/>
        </w:rPr>
        <w:t>PRESUNTO RESPONSABLE</w:t>
      </w:r>
      <w:r w:rsidR="008A7548" w:rsidRPr="0034602F">
        <w:rPr>
          <w:rFonts w:ascii="ITC Avant Garde" w:hAnsi="ITC Avant Garde"/>
          <w:b/>
        </w:rPr>
        <w:t xml:space="preserve"> </w:t>
      </w:r>
      <w:r w:rsidRPr="0034602F">
        <w:rPr>
          <w:rFonts w:ascii="ITC Avant Garde" w:hAnsi="ITC Avant Garde"/>
        </w:rPr>
        <w:t xml:space="preserve">se encontraba prestando servicios de radiodifusión mediante el uso de la frecuencia </w:t>
      </w:r>
      <w:r w:rsidR="00301184" w:rsidRPr="0034602F">
        <w:rPr>
          <w:rFonts w:ascii="ITC Avant Garde" w:eastAsia="Times New Roman" w:hAnsi="ITC Avant Garde"/>
          <w:b/>
          <w:bCs/>
          <w:color w:val="000000"/>
          <w:lang w:eastAsia="es-MX"/>
        </w:rPr>
        <w:t>97.3</w:t>
      </w:r>
      <w:r w:rsidR="00301184" w:rsidRPr="0034602F">
        <w:rPr>
          <w:rFonts w:ascii="ITC Avant Garde" w:hAnsi="ITC Avant Garde"/>
          <w:b/>
        </w:rPr>
        <w:t xml:space="preserve"> MHz</w:t>
      </w:r>
      <w:r w:rsidR="00301184" w:rsidRPr="0034602F" w:rsidDel="00301184">
        <w:rPr>
          <w:rFonts w:ascii="ITC Avant Garde" w:hAnsi="ITC Avant Garde"/>
          <w:b/>
        </w:rPr>
        <w:t xml:space="preserve"> </w:t>
      </w:r>
      <w:r w:rsidR="00FA5F65" w:rsidRPr="0034602F">
        <w:rPr>
          <w:rFonts w:ascii="ITC Avant Garde" w:hAnsi="ITC Avant Garde"/>
        </w:rPr>
        <w:t xml:space="preserve">en la banda de </w:t>
      </w:r>
      <w:r w:rsidR="003F6331" w:rsidRPr="0034602F">
        <w:rPr>
          <w:rFonts w:ascii="ITC Avant Garde" w:hAnsi="ITC Avant Garde"/>
        </w:rPr>
        <w:t>FM</w:t>
      </w:r>
      <w:r w:rsidR="00FA5F65" w:rsidRPr="0034602F">
        <w:rPr>
          <w:rFonts w:ascii="ITC Avant Garde" w:hAnsi="ITC Avant Garde"/>
        </w:rPr>
        <w:t>.</w:t>
      </w:r>
    </w:p>
    <w:p w14:paraId="2D6FF4F8" w14:textId="77777777" w:rsidR="003C5E62" w:rsidRPr="0034602F" w:rsidRDefault="006F1A94" w:rsidP="00583167">
      <w:pPr>
        <w:numPr>
          <w:ilvl w:val="0"/>
          <w:numId w:val="2"/>
        </w:numPr>
        <w:spacing w:before="240" w:after="240" w:line="360" w:lineRule="auto"/>
        <w:contextualSpacing/>
        <w:jc w:val="both"/>
        <w:rPr>
          <w:rFonts w:ascii="ITC Avant Garde" w:eastAsia="Times New Roman" w:hAnsi="ITC Avant Garde"/>
          <w:bCs/>
          <w:color w:val="000000"/>
          <w:lang w:eastAsia="es-MX"/>
        </w:rPr>
      </w:pPr>
      <w:r w:rsidRPr="0034602F">
        <w:rPr>
          <w:rFonts w:ascii="ITC Avant Garde" w:hAnsi="ITC Avant Garde"/>
        </w:rPr>
        <w:t xml:space="preserve">En cuanto al cuestionamiento de </w:t>
      </w:r>
      <w:r w:rsidRPr="0034602F">
        <w:rPr>
          <w:rFonts w:ascii="ITC Avant Garde" w:eastAsia="Times New Roman" w:hAnsi="ITC Avant Garde"/>
          <w:b/>
          <w:bCs/>
          <w:color w:val="000000"/>
          <w:lang w:eastAsia="es-MX"/>
        </w:rPr>
        <w:t>LOS VERIFICADORES</w:t>
      </w:r>
      <w:r w:rsidRPr="0034602F">
        <w:rPr>
          <w:rFonts w:ascii="ITC Avant Garde" w:hAnsi="ITC Avant Garde"/>
          <w:b/>
        </w:rPr>
        <w:t>,</w:t>
      </w:r>
      <w:r w:rsidRPr="0034602F">
        <w:rPr>
          <w:rFonts w:ascii="ITC Avant Garde" w:hAnsi="ITC Avant Garde"/>
        </w:rPr>
        <w:t xml:space="preserve"> respecto a que si contaba con concesión o permiso, para el uso de la frecuencia </w:t>
      </w:r>
      <w:r w:rsidRPr="0034602F">
        <w:rPr>
          <w:rFonts w:ascii="ITC Avant Garde" w:eastAsia="Times New Roman" w:hAnsi="ITC Avant Garde"/>
          <w:b/>
          <w:bCs/>
          <w:color w:val="000000"/>
          <w:lang w:eastAsia="es-MX"/>
        </w:rPr>
        <w:t>97.3</w:t>
      </w:r>
      <w:r w:rsidRPr="0034602F">
        <w:rPr>
          <w:rFonts w:ascii="ITC Avant Garde" w:hAnsi="ITC Avant Garde"/>
          <w:b/>
        </w:rPr>
        <w:t xml:space="preserve"> MHz</w:t>
      </w:r>
      <w:r w:rsidRPr="0034602F" w:rsidDel="00301184">
        <w:rPr>
          <w:rFonts w:ascii="ITC Avant Garde" w:hAnsi="ITC Avant Garde"/>
          <w:b/>
        </w:rPr>
        <w:t xml:space="preserve"> </w:t>
      </w:r>
      <w:r w:rsidRPr="0034602F">
        <w:rPr>
          <w:rFonts w:ascii="ITC Avant Garde" w:hAnsi="ITC Avant Garde"/>
        </w:rPr>
        <w:t xml:space="preserve">en la banda de </w:t>
      </w:r>
      <w:r w:rsidRPr="0034602F">
        <w:rPr>
          <w:rFonts w:ascii="ITC Avant Garde" w:hAnsi="ITC Avant Garde"/>
          <w:b/>
        </w:rPr>
        <w:t>FM</w:t>
      </w:r>
      <w:r w:rsidRPr="0034602F">
        <w:rPr>
          <w:rFonts w:ascii="ITC Avant Garde" w:hAnsi="ITC Avant Garde"/>
        </w:rPr>
        <w:t xml:space="preserve">, la persona que atendió la diligencia manifestó: </w:t>
      </w:r>
      <w:r w:rsidR="00606B63" w:rsidRPr="0034602F">
        <w:rPr>
          <w:rFonts w:ascii="ITC Avant Garde" w:hAnsi="ITC Avant Garde" w:cs="Tahoma"/>
        </w:rPr>
        <w:t>lo desconozco</w:t>
      </w:r>
      <w:r w:rsidRPr="0034602F">
        <w:rPr>
          <w:rFonts w:ascii="ITC Avant Garde" w:hAnsi="ITC Avant Garde"/>
        </w:rPr>
        <w:t>.</w:t>
      </w:r>
    </w:p>
    <w:p w14:paraId="15E15A57" w14:textId="201A565D" w:rsidR="004F3596" w:rsidRPr="0034602F" w:rsidRDefault="00C93D2C"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Po</w:t>
      </w:r>
      <w:r w:rsidR="00CB4D8A" w:rsidRPr="0034602F">
        <w:rPr>
          <w:rFonts w:ascii="ITC Avant Garde" w:eastAsia="Times New Roman" w:hAnsi="ITC Avant Garde"/>
          <w:bCs/>
          <w:color w:val="000000"/>
          <w:lang w:eastAsia="es-MX"/>
        </w:rPr>
        <w:t xml:space="preserve">r tanto, se acredita </w:t>
      </w:r>
      <w:r w:rsidR="00CB4D8A" w:rsidRPr="0034602F">
        <w:rPr>
          <w:rFonts w:ascii="ITC Avant Garde" w:hAnsi="ITC Avant Garde"/>
        </w:rPr>
        <w:t>la infracción al artículo</w:t>
      </w:r>
      <w:r w:rsidR="00CB4D8A" w:rsidRPr="0034602F">
        <w:rPr>
          <w:rFonts w:ascii="ITC Avant Garde" w:hAnsi="ITC Avant Garde"/>
          <w:bCs/>
        </w:rPr>
        <w:t xml:space="preserve"> 66</w:t>
      </w:r>
      <w:r w:rsidR="002C6FA8" w:rsidRPr="0034602F">
        <w:rPr>
          <w:rFonts w:ascii="ITC Avant Garde" w:hAnsi="ITC Avant Garde"/>
          <w:bCs/>
        </w:rPr>
        <w:t xml:space="preserve"> en relación con el 75,</w:t>
      </w:r>
      <w:r w:rsidR="00CB4D8A" w:rsidRPr="0034602F">
        <w:rPr>
          <w:rFonts w:ascii="ITC Avant Garde" w:hAnsi="ITC Avant Garde"/>
          <w:bCs/>
        </w:rPr>
        <w:t xml:space="preserve"> </w:t>
      </w:r>
      <w:r w:rsidR="002D34E7" w:rsidRPr="0034602F">
        <w:rPr>
          <w:rFonts w:ascii="ITC Avant Garde" w:hAnsi="ITC Avant Garde"/>
          <w:bCs/>
        </w:rPr>
        <w:t xml:space="preserve">ambos </w:t>
      </w:r>
      <w:r w:rsidR="00CB4D8A" w:rsidRPr="0034602F">
        <w:rPr>
          <w:rFonts w:ascii="ITC Avant Garde" w:hAnsi="ITC Avant Garde"/>
          <w:bCs/>
        </w:rPr>
        <w:t xml:space="preserve">de la </w:t>
      </w:r>
      <w:proofErr w:type="spellStart"/>
      <w:r w:rsidR="00CB4D8A" w:rsidRPr="0034602F">
        <w:rPr>
          <w:rFonts w:ascii="ITC Avant Garde" w:hAnsi="ITC Avant Garde"/>
          <w:b/>
          <w:bCs/>
        </w:rPr>
        <w:t>LFTyR</w:t>
      </w:r>
      <w:proofErr w:type="spellEnd"/>
      <w:r w:rsidR="00CB4D8A" w:rsidRPr="0034602F">
        <w:rPr>
          <w:rFonts w:ascii="ITC Avant Garde" w:hAnsi="ITC Avant Garde"/>
          <w:b/>
          <w:bCs/>
        </w:rPr>
        <w:t xml:space="preserve">, </w:t>
      </w:r>
      <w:r w:rsidR="00CB4D8A" w:rsidRPr="0034602F">
        <w:rPr>
          <w:rFonts w:ascii="ITC Avant Garde" w:hAnsi="ITC Avant Garde"/>
          <w:bCs/>
        </w:rPr>
        <w:t>toda vez que</w:t>
      </w:r>
      <w:r w:rsidR="00CB4D8A" w:rsidRPr="0034602F">
        <w:rPr>
          <w:rFonts w:ascii="ITC Avant Garde" w:eastAsia="Times New Roman" w:hAnsi="ITC Avant Garde"/>
          <w:bCs/>
          <w:color w:val="000000"/>
          <w:lang w:eastAsia="es-MX"/>
        </w:rPr>
        <w:t xml:space="preserve"> al momento de llevarse a cabo la visita de inspección-verificación,</w:t>
      </w:r>
      <w:r w:rsidR="00FA5F65" w:rsidRPr="0034602F">
        <w:rPr>
          <w:rFonts w:ascii="ITC Avant Garde" w:eastAsia="Times New Roman" w:hAnsi="ITC Avant Garde"/>
          <w:bCs/>
          <w:color w:val="000000"/>
          <w:lang w:eastAsia="es-MX"/>
        </w:rPr>
        <w:t xml:space="preserve"> se detectó que en el </w:t>
      </w:r>
      <w:r w:rsidR="00CB4D8A" w:rsidRPr="0034602F">
        <w:rPr>
          <w:rFonts w:ascii="ITC Avant Garde" w:eastAsia="Times New Roman" w:hAnsi="ITC Avant Garde"/>
          <w:bCs/>
          <w:color w:val="000000"/>
          <w:lang w:eastAsia="es-MX"/>
        </w:rPr>
        <w:t xml:space="preserve">inmueble visitado </w:t>
      </w:r>
      <w:r w:rsidR="00BF051C" w:rsidRPr="0034602F">
        <w:rPr>
          <w:rFonts w:ascii="ITC Avant Garde" w:eastAsia="Times New Roman" w:hAnsi="ITC Avant Garde"/>
          <w:bCs/>
          <w:color w:val="000000"/>
          <w:lang w:eastAsia="es-MX"/>
        </w:rPr>
        <w:t>se presta</w:t>
      </w:r>
      <w:r w:rsidR="00FA5F65" w:rsidRPr="0034602F">
        <w:rPr>
          <w:rFonts w:ascii="ITC Avant Garde" w:eastAsia="Times New Roman" w:hAnsi="ITC Avant Garde"/>
          <w:bCs/>
          <w:color w:val="000000"/>
          <w:lang w:eastAsia="es-MX"/>
        </w:rPr>
        <w:t>ba</w:t>
      </w:r>
      <w:r w:rsidR="00BF051C" w:rsidRPr="0034602F">
        <w:rPr>
          <w:rFonts w:ascii="ITC Avant Garde" w:eastAsia="Times New Roman" w:hAnsi="ITC Avant Garde"/>
          <w:bCs/>
          <w:color w:val="000000"/>
          <w:lang w:eastAsia="es-MX"/>
        </w:rPr>
        <w:t xml:space="preserve"> el servicio de radiodifusión a través del uso de la frecuencia </w:t>
      </w:r>
      <w:r w:rsidRPr="0034602F">
        <w:rPr>
          <w:rFonts w:ascii="ITC Avant Garde" w:eastAsia="Times New Roman" w:hAnsi="ITC Avant Garde"/>
          <w:b/>
          <w:bCs/>
          <w:color w:val="000000"/>
          <w:lang w:eastAsia="es-MX"/>
        </w:rPr>
        <w:t xml:space="preserve">97.3 MHz </w:t>
      </w:r>
      <w:r w:rsidR="00BF051C" w:rsidRPr="0034602F">
        <w:rPr>
          <w:rFonts w:ascii="ITC Avant Garde" w:eastAsia="Times New Roman" w:hAnsi="ITC Avant Garde"/>
          <w:bCs/>
          <w:color w:val="000000"/>
          <w:lang w:eastAsia="es-MX"/>
        </w:rPr>
        <w:t xml:space="preserve">de </w:t>
      </w:r>
      <w:r w:rsidR="00BF051C" w:rsidRPr="0034602F">
        <w:rPr>
          <w:rFonts w:ascii="ITC Avant Garde" w:eastAsia="Times New Roman" w:hAnsi="ITC Avant Garde"/>
          <w:b/>
          <w:bCs/>
          <w:color w:val="000000"/>
          <w:lang w:eastAsia="es-MX"/>
        </w:rPr>
        <w:t>FM</w:t>
      </w:r>
      <w:r w:rsidR="00BF051C" w:rsidRPr="0034602F">
        <w:rPr>
          <w:rFonts w:ascii="ITC Avant Garde" w:eastAsia="Times New Roman" w:hAnsi="ITC Avant Garde"/>
          <w:bCs/>
          <w:color w:val="000000"/>
          <w:lang w:eastAsia="es-MX"/>
        </w:rPr>
        <w:t xml:space="preserve">, sin contar con la respectiva </w:t>
      </w:r>
      <w:r w:rsidR="00CB4D8A" w:rsidRPr="0034602F">
        <w:rPr>
          <w:rFonts w:ascii="ITC Avant Garde" w:eastAsia="Times New Roman" w:hAnsi="ITC Avant Garde"/>
          <w:bCs/>
          <w:color w:val="000000"/>
          <w:lang w:eastAsia="es-MX"/>
        </w:rPr>
        <w:t>concesión</w:t>
      </w:r>
      <w:r w:rsidR="004F591A" w:rsidRPr="0034602F">
        <w:rPr>
          <w:rFonts w:ascii="ITC Avant Garde" w:eastAsia="Times New Roman" w:hAnsi="ITC Avant Garde"/>
          <w:bCs/>
          <w:color w:val="000000"/>
          <w:lang w:eastAsia="es-MX"/>
        </w:rPr>
        <w:t>, permiso o autorización</w:t>
      </w:r>
      <w:r w:rsidR="00CB4D8A" w:rsidRPr="0034602F">
        <w:rPr>
          <w:rFonts w:ascii="ITC Avant Garde" w:eastAsia="Times New Roman" w:hAnsi="ITC Avant Garde"/>
          <w:bCs/>
          <w:color w:val="000000"/>
          <w:lang w:eastAsia="es-MX"/>
        </w:rPr>
        <w:t xml:space="preserve"> emitida</w:t>
      </w:r>
      <w:r w:rsidR="00BC6E55" w:rsidRPr="0034602F">
        <w:rPr>
          <w:rFonts w:ascii="ITC Avant Garde" w:eastAsia="Times New Roman" w:hAnsi="ITC Avant Garde"/>
          <w:bCs/>
          <w:color w:val="000000"/>
          <w:lang w:eastAsia="es-MX"/>
        </w:rPr>
        <w:t xml:space="preserve"> por autoridad competente</w:t>
      </w:r>
      <w:r w:rsidR="004F3596" w:rsidRPr="0034602F">
        <w:rPr>
          <w:rFonts w:ascii="ITC Avant Garde" w:eastAsia="Times New Roman" w:hAnsi="ITC Avant Garde"/>
          <w:bCs/>
          <w:color w:val="000000"/>
          <w:lang w:eastAsia="es-MX"/>
        </w:rPr>
        <w:t>.</w:t>
      </w:r>
    </w:p>
    <w:p w14:paraId="464EAAB9" w14:textId="77777777" w:rsidR="003C5E62" w:rsidRPr="0034602F" w:rsidRDefault="004F3596"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
          <w:lang w:eastAsia="es-MX"/>
        </w:rPr>
        <w:t xml:space="preserve">B) </w:t>
      </w:r>
      <w:r w:rsidRPr="0034602F">
        <w:rPr>
          <w:rFonts w:ascii="ITC Avant Garde" w:hAnsi="ITC Avant Garde"/>
          <w:b/>
          <w:bCs/>
          <w:u w:val="single"/>
        </w:rPr>
        <w:t xml:space="preserve">Artículo 305 de la </w:t>
      </w:r>
      <w:proofErr w:type="spellStart"/>
      <w:r w:rsidRPr="0034602F">
        <w:rPr>
          <w:rFonts w:ascii="ITC Avant Garde" w:hAnsi="ITC Avant Garde"/>
          <w:b/>
          <w:bCs/>
          <w:u w:val="single"/>
        </w:rPr>
        <w:t>LFTyR</w:t>
      </w:r>
      <w:proofErr w:type="spellEnd"/>
      <w:r w:rsidRPr="0034602F">
        <w:rPr>
          <w:rFonts w:ascii="ITC Avant Garde" w:hAnsi="ITC Avant Garde"/>
          <w:b/>
          <w:bCs/>
          <w:u w:val="single"/>
        </w:rPr>
        <w:t>.</w:t>
      </w:r>
    </w:p>
    <w:p w14:paraId="1D6A6D72" w14:textId="77777777" w:rsidR="003C5E62" w:rsidRPr="0034602F" w:rsidRDefault="00CB4D8A" w:rsidP="00583167">
      <w:pPr>
        <w:spacing w:before="240" w:after="240" w:line="360" w:lineRule="auto"/>
        <w:jc w:val="both"/>
        <w:rPr>
          <w:rFonts w:ascii="ITC Avant Garde" w:eastAsia="Times New Roman" w:hAnsi="ITC Avant Garde"/>
          <w:bCs/>
          <w:color w:val="000000"/>
          <w:u w:val="single"/>
          <w:lang w:eastAsia="es-MX"/>
        </w:rPr>
      </w:pPr>
      <w:r w:rsidRPr="0034602F">
        <w:rPr>
          <w:rFonts w:ascii="ITC Avant Garde" w:hAnsi="ITC Avant Garde"/>
        </w:rPr>
        <w:t xml:space="preserve">En lo que respecta al artículo 305 de la </w:t>
      </w:r>
      <w:proofErr w:type="spellStart"/>
      <w:r w:rsidRPr="0034602F">
        <w:rPr>
          <w:rFonts w:ascii="ITC Avant Garde" w:hAnsi="ITC Avant Garde"/>
          <w:b/>
        </w:rPr>
        <w:t>LFTyR</w:t>
      </w:r>
      <w:proofErr w:type="spellEnd"/>
      <w:r w:rsidRPr="0034602F">
        <w:rPr>
          <w:rFonts w:ascii="ITC Avant Garde" w:hAnsi="ITC Avant Garde"/>
          <w:b/>
        </w:rPr>
        <w:t>,</w:t>
      </w:r>
      <w:r w:rsidRPr="0034602F">
        <w:rPr>
          <w:rFonts w:ascii="ITC Avant Garde" w:hAnsi="ITC Avant Garde"/>
        </w:rPr>
        <w:t xml:space="preserve"> dicha disposición establece que </w:t>
      </w:r>
      <w:r w:rsidRPr="0034602F">
        <w:rPr>
          <w:rFonts w:ascii="ITC Avant Garde" w:eastAsia="Times New Roman" w:hAnsi="ITC Avant Garde"/>
          <w:bCs/>
          <w:color w:val="000000"/>
          <w:lang w:eastAsia="es-MX"/>
        </w:rPr>
        <w:t>“L</w:t>
      </w:r>
      <w:r w:rsidRPr="0034602F">
        <w:rPr>
          <w:rFonts w:ascii="ITC Avant Garde" w:eastAsia="Times New Roman" w:hAnsi="ITC Avant Garde"/>
          <w:bCs/>
          <w:color w:val="000000"/>
          <w:u w:val="single"/>
          <w:lang w:eastAsia="es-MX"/>
        </w:rPr>
        <w:t>as personas que presten servicios de radiodifusión, sin contar con concesión o autorización</w:t>
      </w:r>
      <w:r w:rsidRPr="0034602F">
        <w:rPr>
          <w:rFonts w:ascii="ITC Avant Garde" w:eastAsia="Times New Roman" w:hAnsi="ITC Avant Garde"/>
          <w:bCs/>
          <w:color w:val="000000"/>
          <w:lang w:eastAsia="es-MX"/>
        </w:rPr>
        <w:t xml:space="preserve">, o que por cualquier otro medio invadan u obstruyan las vías generales de comunicación, </w:t>
      </w:r>
      <w:r w:rsidRPr="0034602F">
        <w:rPr>
          <w:rFonts w:ascii="ITC Avant Garde" w:eastAsia="Times New Roman" w:hAnsi="ITC Avant Garde"/>
          <w:bCs/>
          <w:color w:val="000000"/>
          <w:u w:val="single"/>
          <w:lang w:eastAsia="es-MX"/>
        </w:rPr>
        <w:t>perderán en beneficio de la Nación los bienes, instalaciones y equipos empleados en la comisión de dichas infracciones”.</w:t>
      </w:r>
    </w:p>
    <w:p w14:paraId="60E6E069" w14:textId="77777777" w:rsidR="003C5E62" w:rsidRPr="0034602F" w:rsidRDefault="00CB4D8A" w:rsidP="00583167">
      <w:pPr>
        <w:spacing w:before="240" w:after="240" w:line="360" w:lineRule="auto"/>
        <w:jc w:val="both"/>
        <w:rPr>
          <w:rFonts w:ascii="ITC Avant Garde" w:eastAsia="Times New Roman" w:hAnsi="ITC Avant Garde"/>
          <w:bCs/>
          <w:color w:val="000000"/>
          <w:u w:val="single"/>
          <w:lang w:eastAsia="es-MX"/>
        </w:rPr>
      </w:pPr>
      <w:r w:rsidRPr="0034602F">
        <w:rPr>
          <w:rFonts w:ascii="ITC Avant Garde" w:eastAsia="Times New Roman" w:hAnsi="ITC Avant Garde"/>
          <w:bCs/>
          <w:color w:val="000000"/>
          <w:lang w:eastAsia="es-MX"/>
        </w:rPr>
        <w:t>En efecto, el espectro radioeléctrico constituye un bien de uso común que está sujeto al régimen de dominio público de la Federación, pudiendo hacer uso de él todos los habitantes de la República Mexicana, con las restricciones establecidas en las leyes</w:t>
      </w:r>
      <w:r w:rsidR="00AD2C9C" w:rsidRPr="0034602F">
        <w:rPr>
          <w:rFonts w:ascii="ITC Avant Garde" w:eastAsia="Times New Roman" w:hAnsi="ITC Avant Garde"/>
          <w:bCs/>
          <w:color w:val="000000"/>
          <w:lang w:eastAsia="es-MX"/>
        </w:rPr>
        <w:t xml:space="preserve">, </w:t>
      </w:r>
      <w:r w:rsidRPr="0034602F">
        <w:rPr>
          <w:rFonts w:ascii="ITC Avant Garde" w:eastAsia="Times New Roman" w:hAnsi="ITC Avant Garde"/>
          <w:bCs/>
          <w:color w:val="000000"/>
          <w:lang w:eastAsia="es-MX"/>
        </w:rPr>
        <w:t xml:space="preserve">reglamentos </w:t>
      </w:r>
      <w:r w:rsidR="00AD2C9C" w:rsidRPr="0034602F">
        <w:rPr>
          <w:rFonts w:ascii="ITC Avant Garde" w:eastAsia="Times New Roman" w:hAnsi="ITC Avant Garde"/>
          <w:bCs/>
          <w:color w:val="000000"/>
          <w:lang w:eastAsia="es-MX"/>
        </w:rPr>
        <w:t xml:space="preserve">y disposiciones </w:t>
      </w:r>
      <w:r w:rsidRPr="0034602F">
        <w:rPr>
          <w:rFonts w:ascii="ITC Avant Garde" w:eastAsia="Times New Roman" w:hAnsi="ITC Avant Garde"/>
          <w:bCs/>
          <w:color w:val="000000"/>
          <w:lang w:eastAsia="es-MX"/>
        </w:rPr>
        <w:t>administrativ</w:t>
      </w:r>
      <w:r w:rsidR="00BC6E55" w:rsidRPr="0034602F">
        <w:rPr>
          <w:rFonts w:ascii="ITC Avant Garde" w:eastAsia="Times New Roman" w:hAnsi="ITC Avant Garde"/>
          <w:bCs/>
          <w:color w:val="000000"/>
          <w:lang w:eastAsia="es-MX"/>
        </w:rPr>
        <w:t>a</w:t>
      </w:r>
      <w:r w:rsidRPr="0034602F">
        <w:rPr>
          <w:rFonts w:ascii="ITC Avant Garde" w:eastAsia="Times New Roman" w:hAnsi="ITC Avant Garde"/>
          <w:bCs/>
          <w:color w:val="000000"/>
          <w:lang w:eastAsia="es-MX"/>
        </w:rPr>
        <w:t>s aplicables, pero para su aprovechamiento se requiere concesión otorgada conforme a las condiciones y requisitos legalmente establecidos, los que no crean derechos reales, pues sólo otorgan frente a la administración y sin perjuicio de terceros, el derecho al uso, aprovechamiento o explotación conforme a las leyes y al título correspondiente</w:t>
      </w:r>
      <w:r w:rsidR="004F3596" w:rsidRPr="0034602F">
        <w:rPr>
          <w:rFonts w:ascii="ITC Avant Garde" w:eastAsia="Times New Roman" w:hAnsi="ITC Avant Garde"/>
          <w:bCs/>
          <w:color w:val="000000"/>
          <w:lang w:eastAsia="es-MX"/>
        </w:rPr>
        <w:t>.</w:t>
      </w:r>
    </w:p>
    <w:p w14:paraId="5C330C63" w14:textId="77777777" w:rsidR="003C5E62" w:rsidRPr="0034602F" w:rsidRDefault="00CB4D8A" w:rsidP="00583167">
      <w:pPr>
        <w:spacing w:before="240" w:after="240" w:line="360" w:lineRule="auto"/>
        <w:jc w:val="both"/>
        <w:rPr>
          <w:rFonts w:ascii="ITC Avant Garde" w:hAnsi="ITC Avant Garde"/>
        </w:rPr>
      </w:pPr>
      <w:r w:rsidRPr="0034602F">
        <w:rPr>
          <w:rFonts w:ascii="ITC Avant Garde" w:hAnsi="ITC Avant Garde"/>
          <w:lang w:val="es-ES_tradnl"/>
        </w:rPr>
        <w:lastRenderedPageBreak/>
        <w:t>Al respecto, durante la diligencia de inspección-verificación,</w:t>
      </w:r>
      <w:r w:rsidRPr="0034602F">
        <w:rPr>
          <w:rFonts w:ascii="ITC Avant Garde" w:hAnsi="ITC Avant Garde"/>
          <w:b/>
        </w:rPr>
        <w:t xml:space="preserve"> </w:t>
      </w:r>
      <w:r w:rsidR="008D00C2" w:rsidRPr="0034602F">
        <w:rPr>
          <w:rFonts w:ascii="ITC Avant Garde" w:eastAsia="Times New Roman" w:hAnsi="ITC Avant Garde"/>
          <w:b/>
          <w:bCs/>
          <w:color w:val="000000"/>
          <w:lang w:eastAsia="es-MX"/>
        </w:rPr>
        <w:t>LOS</w:t>
      </w:r>
      <w:r w:rsidR="00752FBC" w:rsidRPr="0034602F">
        <w:rPr>
          <w:rFonts w:ascii="ITC Avant Garde" w:eastAsia="Times New Roman" w:hAnsi="ITC Avant Garde"/>
          <w:b/>
          <w:bCs/>
          <w:color w:val="000000"/>
          <w:lang w:eastAsia="es-MX"/>
        </w:rPr>
        <w:t xml:space="preserve"> VERIFICADOR</w:t>
      </w:r>
      <w:r w:rsidR="008D00C2" w:rsidRPr="0034602F">
        <w:rPr>
          <w:rFonts w:ascii="ITC Avant Garde" w:eastAsia="Times New Roman" w:hAnsi="ITC Avant Garde"/>
          <w:b/>
          <w:bCs/>
          <w:color w:val="000000"/>
          <w:lang w:eastAsia="es-MX"/>
        </w:rPr>
        <w:t>ES</w:t>
      </w:r>
      <w:r w:rsidRPr="0034602F">
        <w:rPr>
          <w:rFonts w:ascii="ITC Avant Garde" w:hAnsi="ITC Avant Garde"/>
        </w:rPr>
        <w:t>, realiz</w:t>
      </w:r>
      <w:r w:rsidR="00FA5F65" w:rsidRPr="0034602F">
        <w:rPr>
          <w:rFonts w:ascii="ITC Avant Garde" w:hAnsi="ITC Avant Garde"/>
        </w:rPr>
        <w:t>aron</w:t>
      </w:r>
      <w:r w:rsidRPr="0034602F">
        <w:rPr>
          <w:rFonts w:ascii="ITC Avant Garde" w:hAnsi="ITC Avant Garde"/>
        </w:rPr>
        <w:t xml:space="preserve"> el monito</w:t>
      </w:r>
      <w:r w:rsidR="005F09DA" w:rsidRPr="0034602F">
        <w:rPr>
          <w:rFonts w:ascii="ITC Avant Garde" w:hAnsi="ITC Avant Garde"/>
        </w:rPr>
        <w:t xml:space="preserve">reo de </w:t>
      </w:r>
      <w:r w:rsidR="004E0B5E" w:rsidRPr="0034602F">
        <w:rPr>
          <w:rFonts w:ascii="ITC Avant Garde" w:hAnsi="ITC Avant Garde"/>
        </w:rPr>
        <w:t>frecuencias</w:t>
      </w:r>
      <w:r w:rsidR="005F09DA" w:rsidRPr="0034602F">
        <w:rPr>
          <w:rFonts w:ascii="ITC Avant Garde" w:hAnsi="ITC Avant Garde"/>
        </w:rPr>
        <w:t xml:space="preserve"> en </w:t>
      </w:r>
      <w:r w:rsidR="005F09DA" w:rsidRPr="0034602F">
        <w:rPr>
          <w:rFonts w:ascii="ITC Avant Garde" w:hAnsi="ITC Avant Garde"/>
          <w:b/>
        </w:rPr>
        <w:t>FM</w:t>
      </w:r>
      <w:r w:rsidRPr="0034602F">
        <w:rPr>
          <w:rFonts w:ascii="ITC Avant Garde" w:hAnsi="ITC Avant Garde"/>
        </w:rPr>
        <w:t xml:space="preserve"> y corrobor</w:t>
      </w:r>
      <w:r w:rsidR="008D00C2" w:rsidRPr="0034602F">
        <w:rPr>
          <w:rFonts w:ascii="ITC Avant Garde" w:hAnsi="ITC Avant Garde"/>
        </w:rPr>
        <w:t>aron</w:t>
      </w:r>
      <w:r w:rsidRPr="0034602F">
        <w:rPr>
          <w:rFonts w:ascii="ITC Avant Garde" w:hAnsi="ITC Avant Garde"/>
        </w:rPr>
        <w:t xml:space="preserve"> que la frecuencia </w:t>
      </w:r>
      <w:r w:rsidR="00C93D2C" w:rsidRPr="0034602F">
        <w:rPr>
          <w:rFonts w:ascii="ITC Avant Garde" w:eastAsia="Times New Roman" w:hAnsi="ITC Avant Garde"/>
          <w:b/>
          <w:bCs/>
          <w:color w:val="000000"/>
          <w:lang w:eastAsia="es-MX"/>
        </w:rPr>
        <w:t>97.3 MHz</w:t>
      </w:r>
      <w:r w:rsidR="00C93D2C" w:rsidRPr="0034602F" w:rsidDel="00C93D2C">
        <w:rPr>
          <w:rFonts w:ascii="ITC Avant Garde" w:hAnsi="ITC Avant Garde"/>
          <w:b/>
        </w:rPr>
        <w:t xml:space="preserve"> </w:t>
      </w:r>
      <w:r w:rsidRPr="0034602F">
        <w:rPr>
          <w:rFonts w:ascii="ITC Avant Garde" w:hAnsi="ITC Avant Garde"/>
        </w:rPr>
        <w:t xml:space="preserve">estaba siendo utilizada. </w:t>
      </w:r>
    </w:p>
    <w:p w14:paraId="1CE1B8EF" w14:textId="77777777" w:rsidR="003C5E62" w:rsidRPr="0034602F" w:rsidRDefault="00CB4D8A" w:rsidP="00583167">
      <w:pPr>
        <w:spacing w:before="240" w:after="240" w:line="360" w:lineRule="auto"/>
        <w:jc w:val="both"/>
        <w:rPr>
          <w:rFonts w:ascii="ITC Avant Garde" w:hAnsi="ITC Avant Garde"/>
        </w:rPr>
      </w:pPr>
      <w:r w:rsidRPr="0034602F">
        <w:rPr>
          <w:rFonts w:ascii="ITC Avant Garde" w:hAnsi="ITC Avant Garde"/>
        </w:rPr>
        <w:t xml:space="preserve">Asimismo, se corroboró que </w:t>
      </w:r>
      <w:r w:rsidR="004E0B5E" w:rsidRPr="0034602F">
        <w:rPr>
          <w:rFonts w:ascii="ITC Avant Garde" w:hAnsi="ITC Avant Garde" w:cs="Arial"/>
        </w:rPr>
        <w:t xml:space="preserve">el </w:t>
      </w:r>
      <w:r w:rsidR="001D5571" w:rsidRPr="0034602F">
        <w:rPr>
          <w:rFonts w:ascii="ITC Avant Garde" w:hAnsi="ITC Avant Garde" w:cs="Arial"/>
          <w:b/>
        </w:rPr>
        <w:t>PRESUNTO RESPONSABLE</w:t>
      </w:r>
      <w:r w:rsidR="00C93D2C" w:rsidRPr="0034602F">
        <w:rPr>
          <w:rFonts w:ascii="ITC Avant Garde" w:hAnsi="ITC Avant Garde" w:cs="Arial"/>
        </w:rPr>
        <w:t xml:space="preserve"> </w:t>
      </w:r>
      <w:r w:rsidR="00BC6E55" w:rsidRPr="0034602F">
        <w:rPr>
          <w:rFonts w:ascii="ITC Avant Garde" w:hAnsi="ITC Avant Garde"/>
        </w:rPr>
        <w:t xml:space="preserve">se encontraba </w:t>
      </w:r>
      <w:r w:rsidRPr="0034602F">
        <w:rPr>
          <w:rFonts w:ascii="ITC Avant Garde" w:hAnsi="ITC Avant Garde"/>
        </w:rPr>
        <w:t>presta</w:t>
      </w:r>
      <w:r w:rsidR="00BC6E55" w:rsidRPr="0034602F">
        <w:rPr>
          <w:rFonts w:ascii="ITC Avant Garde" w:hAnsi="ITC Avant Garde"/>
        </w:rPr>
        <w:t>ndo</w:t>
      </w:r>
      <w:r w:rsidRPr="0034602F">
        <w:rPr>
          <w:rFonts w:ascii="ITC Avant Garde" w:hAnsi="ITC Avant Garde"/>
        </w:rPr>
        <w:t xml:space="preserve"> el servicio de radiodifusión sin contar con el título de concesión</w:t>
      </w:r>
      <w:r w:rsidR="003C4A84" w:rsidRPr="0034602F">
        <w:rPr>
          <w:rFonts w:ascii="ITC Avant Garde" w:hAnsi="ITC Avant Garde"/>
        </w:rPr>
        <w:t>,</w:t>
      </w:r>
      <w:r w:rsidRPr="0034602F">
        <w:rPr>
          <w:rFonts w:ascii="ITC Avant Garde" w:hAnsi="ITC Avant Garde"/>
        </w:rPr>
        <w:t xml:space="preserve"> permiso </w:t>
      </w:r>
      <w:r w:rsidR="004F591A" w:rsidRPr="0034602F">
        <w:rPr>
          <w:rFonts w:ascii="ITC Avant Garde" w:hAnsi="ITC Avant Garde"/>
        </w:rPr>
        <w:t>o autorización</w:t>
      </w:r>
      <w:r w:rsidR="009E3B31" w:rsidRPr="0034602F">
        <w:rPr>
          <w:rFonts w:ascii="ITC Avant Garde" w:hAnsi="ITC Avant Garde"/>
        </w:rPr>
        <w:t xml:space="preserve"> </w:t>
      </w:r>
      <w:r w:rsidR="003C4A84" w:rsidRPr="0034602F">
        <w:rPr>
          <w:rFonts w:ascii="ITC Avant Garde" w:hAnsi="ITC Avant Garde"/>
        </w:rPr>
        <w:t>respectivos</w:t>
      </w:r>
      <w:r w:rsidRPr="0034602F">
        <w:rPr>
          <w:rFonts w:ascii="ITC Avant Garde" w:hAnsi="ITC Avant Garde"/>
        </w:rPr>
        <w:t xml:space="preserve">. En consecuencia, se </w:t>
      </w:r>
      <w:r w:rsidRPr="0034602F">
        <w:rPr>
          <w:rFonts w:ascii="ITC Avant Garde" w:hAnsi="ITC Avant Garde"/>
          <w:bCs/>
        </w:rPr>
        <w:t xml:space="preserve">actualiza la hipótesis normativa prevista en el artículo 305, de la </w:t>
      </w:r>
      <w:proofErr w:type="spellStart"/>
      <w:r w:rsidRPr="0034602F">
        <w:rPr>
          <w:rFonts w:ascii="ITC Avant Garde" w:hAnsi="ITC Avant Garde"/>
          <w:b/>
          <w:bCs/>
        </w:rPr>
        <w:t>LFTyR</w:t>
      </w:r>
      <w:proofErr w:type="spellEnd"/>
      <w:r w:rsidRPr="0034602F">
        <w:rPr>
          <w:rFonts w:ascii="ITC Avant Garde" w:hAnsi="ITC Avant Garde"/>
          <w:bCs/>
        </w:rPr>
        <w:t>.</w:t>
      </w:r>
    </w:p>
    <w:p w14:paraId="4D279C31" w14:textId="77777777" w:rsidR="003C5E62" w:rsidRPr="0034602F" w:rsidRDefault="00BC6E55" w:rsidP="00583167">
      <w:pPr>
        <w:pStyle w:val="Textoindependiente"/>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Ahora bien, </w:t>
      </w:r>
      <w:r w:rsidR="00CB4D8A" w:rsidRPr="0034602F">
        <w:rPr>
          <w:rFonts w:ascii="ITC Avant Garde" w:eastAsia="Times New Roman" w:hAnsi="ITC Avant Garde"/>
          <w:bCs/>
          <w:color w:val="000000"/>
          <w:lang w:eastAsia="es-MX"/>
        </w:rPr>
        <w:t xml:space="preserve">en el dictamen remitido por la </w:t>
      </w:r>
      <w:r w:rsidR="00CB4D8A" w:rsidRPr="0034602F">
        <w:rPr>
          <w:rFonts w:ascii="ITC Avant Garde" w:eastAsia="Times New Roman" w:hAnsi="ITC Avant Garde"/>
          <w:b/>
          <w:bCs/>
          <w:color w:val="000000"/>
          <w:lang w:eastAsia="es-MX"/>
        </w:rPr>
        <w:t>DGV</w:t>
      </w:r>
      <w:r w:rsidR="00CB4D8A" w:rsidRPr="0034602F">
        <w:rPr>
          <w:rFonts w:ascii="ITC Avant Garde" w:eastAsia="Times New Roman" w:hAnsi="ITC Avant Garde"/>
          <w:bCs/>
          <w:color w:val="000000"/>
          <w:lang w:eastAsia="es-MX"/>
        </w:rPr>
        <w:t xml:space="preserve"> se consideró que </w:t>
      </w:r>
      <w:r w:rsidR="008A7548" w:rsidRPr="0034602F">
        <w:rPr>
          <w:rFonts w:ascii="ITC Avant Garde" w:eastAsia="Times New Roman" w:hAnsi="ITC Avant Garde"/>
          <w:bCs/>
          <w:color w:val="000000"/>
          <w:lang w:eastAsia="es-MX"/>
        </w:rPr>
        <w:t xml:space="preserve">el </w:t>
      </w:r>
      <w:r w:rsidR="00A01799" w:rsidRPr="0034602F">
        <w:rPr>
          <w:rFonts w:ascii="ITC Avant Garde" w:hAnsi="ITC Avant Garde"/>
          <w:b/>
        </w:rPr>
        <w:t>PRESUNTO RESPONSABLE</w:t>
      </w:r>
      <w:r w:rsidR="008A7548" w:rsidRPr="0034602F">
        <w:rPr>
          <w:rFonts w:ascii="ITC Avant Garde" w:eastAsia="Times New Roman" w:hAnsi="ITC Avant Garde"/>
          <w:b/>
          <w:bCs/>
          <w:color w:val="000000"/>
          <w:lang w:eastAsia="es-MX"/>
        </w:rPr>
        <w:t xml:space="preserve"> </w:t>
      </w:r>
      <w:r w:rsidR="00CB4D8A" w:rsidRPr="0034602F">
        <w:rPr>
          <w:rFonts w:ascii="ITC Avant Garde" w:eastAsia="Times New Roman" w:hAnsi="ITC Avant Garde"/>
          <w:bCs/>
          <w:color w:val="000000"/>
          <w:lang w:eastAsia="es-MX"/>
        </w:rPr>
        <w:t xml:space="preserve">prestaba el servicio público de radiodifusión a través del uso, aprovechamiento o explotación de la banda de frecuencia </w:t>
      </w:r>
      <w:r w:rsidR="00C93D2C" w:rsidRPr="0034602F">
        <w:rPr>
          <w:rFonts w:ascii="ITC Avant Garde" w:eastAsia="Times New Roman" w:hAnsi="ITC Avant Garde"/>
          <w:b/>
          <w:bCs/>
          <w:color w:val="000000"/>
          <w:lang w:eastAsia="es-MX"/>
        </w:rPr>
        <w:t>97.3 MHz</w:t>
      </w:r>
      <w:r w:rsidR="00CB4D8A" w:rsidRPr="0034602F">
        <w:rPr>
          <w:rFonts w:ascii="ITC Avant Garde" w:eastAsia="Times New Roman" w:hAnsi="ITC Avant Garde"/>
          <w:bCs/>
          <w:color w:val="000000"/>
          <w:lang w:eastAsia="es-MX"/>
        </w:rPr>
        <w:t>, sin contar con la concesión o permiso otorga</w:t>
      </w:r>
      <w:r w:rsidRPr="0034602F">
        <w:rPr>
          <w:rFonts w:ascii="ITC Avant Garde" w:eastAsia="Times New Roman" w:hAnsi="ITC Avant Garde"/>
          <w:bCs/>
          <w:color w:val="000000"/>
          <w:lang w:eastAsia="es-MX"/>
        </w:rPr>
        <w:t xml:space="preserve">do por la autoridad competente y en consecuencia </w:t>
      </w:r>
      <w:r w:rsidR="00CB4D8A" w:rsidRPr="0034602F">
        <w:rPr>
          <w:rFonts w:ascii="ITC Avant Garde" w:eastAsia="Times New Roman" w:hAnsi="ITC Avant Garde"/>
          <w:bCs/>
          <w:color w:val="000000"/>
          <w:lang w:eastAsia="es-MX"/>
        </w:rPr>
        <w:t xml:space="preserve">el </w:t>
      </w:r>
      <w:r w:rsidR="00AD2C9C" w:rsidRPr="0034602F">
        <w:rPr>
          <w:rFonts w:ascii="ITC Avant Garde" w:eastAsia="Times New Roman" w:hAnsi="ITC Avant Garde"/>
          <w:bCs/>
          <w:color w:val="000000"/>
          <w:lang w:eastAsia="es-MX"/>
        </w:rPr>
        <w:t>T</w:t>
      </w:r>
      <w:r w:rsidR="00CB4D8A" w:rsidRPr="0034602F">
        <w:rPr>
          <w:rFonts w:ascii="ITC Avant Garde" w:eastAsia="Times New Roman" w:hAnsi="ITC Avant Garde"/>
          <w:bCs/>
          <w:color w:val="000000"/>
          <w:lang w:eastAsia="es-MX"/>
        </w:rPr>
        <w:t>itular de la Unidad de Cumplimiento inició el procedimiento de imposición de sanción respectivo, mismo que se procede a resolver por éste Órgano Colegiado.</w:t>
      </w:r>
    </w:p>
    <w:p w14:paraId="266B753C" w14:textId="77777777" w:rsidR="003C5E62" w:rsidRPr="0034602F" w:rsidRDefault="00CB4D8A"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Lo anterior considerando que</w:t>
      </w:r>
      <w:r w:rsidRPr="0034602F" w:rsidDel="00913BDC">
        <w:rPr>
          <w:rFonts w:ascii="ITC Avant Garde" w:eastAsia="Times New Roman" w:hAnsi="ITC Avant Garde"/>
          <w:bCs/>
          <w:color w:val="000000"/>
          <w:lang w:eastAsia="es-MX"/>
        </w:rPr>
        <w:t xml:space="preserve"> </w:t>
      </w:r>
      <w:r w:rsidRPr="0034602F">
        <w:rPr>
          <w:rFonts w:ascii="ITC Avant Garde" w:eastAsia="Times New Roman" w:hAnsi="ITC Avant Garde"/>
          <w:bCs/>
          <w:color w:val="000000"/>
          <w:lang w:eastAsia="es-MX"/>
        </w:rPr>
        <w:t xml:space="preserve">de conformidad con los artículos 15, fracción XXX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xml:space="preserve"> y </w:t>
      </w:r>
      <w:r w:rsidR="00AD2C9C" w:rsidRPr="0034602F">
        <w:rPr>
          <w:rFonts w:ascii="ITC Avant Garde" w:eastAsia="Times New Roman" w:hAnsi="ITC Avant Garde"/>
          <w:bCs/>
          <w:color w:val="000000"/>
          <w:lang w:eastAsia="es-MX"/>
        </w:rPr>
        <w:t>41 e</w:t>
      </w:r>
      <w:r w:rsidR="00BC6E55" w:rsidRPr="0034602F">
        <w:rPr>
          <w:rFonts w:ascii="ITC Avant Garde" w:eastAsia="Times New Roman" w:hAnsi="ITC Avant Garde"/>
          <w:bCs/>
          <w:color w:val="000000"/>
          <w:lang w:eastAsia="es-MX"/>
        </w:rPr>
        <w:t>n relación con el 44 fracción I</w:t>
      </w:r>
      <w:r w:rsidR="00B5756E" w:rsidRPr="0034602F">
        <w:rPr>
          <w:rFonts w:ascii="ITC Avant Garde" w:eastAsia="Times New Roman" w:hAnsi="ITC Avant Garde"/>
          <w:bCs/>
          <w:color w:val="000000"/>
          <w:lang w:eastAsia="es-MX"/>
        </w:rPr>
        <w:t>,</w:t>
      </w:r>
      <w:r w:rsidR="00BC6E55" w:rsidRPr="0034602F">
        <w:rPr>
          <w:rFonts w:ascii="ITC Avant Garde" w:eastAsia="Times New Roman" w:hAnsi="ITC Avant Garde"/>
          <w:bCs/>
          <w:color w:val="000000"/>
          <w:lang w:eastAsia="es-MX"/>
        </w:rPr>
        <w:t xml:space="preserve"> y</w:t>
      </w:r>
      <w:r w:rsidR="00AD2C9C" w:rsidRPr="0034602F">
        <w:rPr>
          <w:rFonts w:ascii="ITC Avant Garde" w:eastAsia="Times New Roman" w:hAnsi="ITC Avant Garde"/>
          <w:bCs/>
          <w:color w:val="000000"/>
          <w:lang w:eastAsia="es-MX"/>
        </w:rPr>
        <w:t xml:space="preserve"> </w:t>
      </w:r>
      <w:r w:rsidRPr="0034602F">
        <w:rPr>
          <w:rFonts w:ascii="ITC Avant Garde" w:eastAsia="Times New Roman" w:hAnsi="ITC Avant Garde"/>
          <w:bCs/>
          <w:color w:val="000000"/>
          <w:lang w:eastAsia="es-MX"/>
        </w:rPr>
        <w:t xml:space="preserve">6, fracción XVII del </w:t>
      </w:r>
      <w:r w:rsidRPr="0034602F">
        <w:rPr>
          <w:rFonts w:ascii="ITC Avant Garde" w:eastAsia="Times New Roman" w:hAnsi="ITC Avant Garde"/>
          <w:b/>
          <w:bCs/>
          <w:color w:val="000000"/>
          <w:lang w:eastAsia="es-MX"/>
        </w:rPr>
        <w:t>ESTATUTO</w:t>
      </w:r>
      <w:r w:rsidRPr="0034602F">
        <w:rPr>
          <w:rFonts w:ascii="ITC Avant Garde" w:eastAsia="Times New Roman" w:hAnsi="ITC Avant Garde"/>
          <w:bCs/>
          <w:color w:val="000000"/>
          <w:lang w:eastAsia="es-MX"/>
        </w:rPr>
        <w:t xml:space="preserve">, </w:t>
      </w:r>
      <w:r w:rsidR="00AD2C9C" w:rsidRPr="0034602F">
        <w:rPr>
          <w:rFonts w:ascii="ITC Avant Garde" w:eastAsia="Times New Roman" w:hAnsi="ITC Avant Garde"/>
          <w:bCs/>
          <w:color w:val="000000"/>
          <w:lang w:eastAsia="es-MX"/>
        </w:rPr>
        <w:t xml:space="preserve">el Titular de la Unidad de Cumplimiento tiene facultad para sustanciar procedimientos administrativos sancionatorios y </w:t>
      </w:r>
      <w:r w:rsidRPr="0034602F">
        <w:rPr>
          <w:rFonts w:ascii="ITC Avant Garde" w:eastAsia="Times New Roman" w:hAnsi="ITC Avant Garde"/>
          <w:bCs/>
          <w:color w:val="000000"/>
          <w:lang w:eastAsia="es-MX"/>
        </w:rPr>
        <w:t>el Pleno del</w:t>
      </w:r>
      <w:r w:rsidRPr="0034602F">
        <w:rPr>
          <w:rFonts w:ascii="ITC Avant Garde" w:eastAsia="Times New Roman" w:hAnsi="ITC Avant Garde"/>
          <w:b/>
          <w:bCs/>
          <w:color w:val="000000"/>
          <w:lang w:eastAsia="es-MX"/>
        </w:rPr>
        <w:t xml:space="preserve"> </w:t>
      </w:r>
      <w:r w:rsidRPr="0034602F">
        <w:rPr>
          <w:rFonts w:ascii="ITC Avant Garde" w:eastAsia="Times New Roman" w:hAnsi="ITC Avant Garde"/>
          <w:bCs/>
          <w:color w:val="000000"/>
          <w:lang w:eastAsia="es-MX"/>
        </w:rPr>
        <w:t>Instituto se encuentra facultado para imponer las sanciones respectivas y declarar la pérdida de los bienes</w:t>
      </w:r>
      <w:r w:rsidR="00BC6E55" w:rsidRPr="0034602F">
        <w:rPr>
          <w:rFonts w:ascii="ITC Avant Garde" w:eastAsia="Times New Roman" w:hAnsi="ITC Avant Garde"/>
          <w:bCs/>
          <w:color w:val="000000"/>
          <w:lang w:eastAsia="es-MX"/>
        </w:rPr>
        <w:t>,</w:t>
      </w:r>
      <w:r w:rsidRPr="0034602F">
        <w:rPr>
          <w:rFonts w:ascii="ITC Avant Garde" w:eastAsia="Times New Roman" w:hAnsi="ITC Avant Garde"/>
          <w:bCs/>
          <w:color w:val="000000"/>
          <w:lang w:eastAsia="es-MX"/>
        </w:rPr>
        <w:t xml:space="preserve"> instalaciones y equipos a favor de la Nación, por el incumplimiento e infracción a las disposiciones legales, reglamentarias y administrativas en materia de telecomunicaciones y radiodifusión.</w:t>
      </w:r>
    </w:p>
    <w:p w14:paraId="7987C4DA" w14:textId="77777777" w:rsidR="003C5E62" w:rsidRPr="0034602F" w:rsidRDefault="004F3596" w:rsidP="00583167">
      <w:pPr>
        <w:pStyle w:val="Textoindependiente"/>
        <w:tabs>
          <w:tab w:val="left" w:pos="851"/>
        </w:tabs>
        <w:spacing w:before="240" w:after="240" w:line="360" w:lineRule="auto"/>
        <w:jc w:val="both"/>
        <w:rPr>
          <w:rFonts w:ascii="ITC Avant Garde" w:eastAsia="Times New Roman" w:hAnsi="ITC Avant Garde"/>
          <w:b/>
          <w:bCs/>
          <w:smallCaps/>
          <w:color w:val="000000"/>
          <w:lang w:eastAsia="es-MX"/>
        </w:rPr>
      </w:pPr>
      <w:r w:rsidRPr="0034602F">
        <w:rPr>
          <w:rFonts w:ascii="ITC Avant Garde" w:eastAsia="Times New Roman" w:hAnsi="ITC Avant Garde"/>
          <w:b/>
          <w:bCs/>
          <w:color w:val="000000"/>
          <w:lang w:eastAsia="es-MX"/>
        </w:rPr>
        <w:t xml:space="preserve">CUARTO. </w:t>
      </w:r>
      <w:r w:rsidR="00B06DF2" w:rsidRPr="0034602F">
        <w:rPr>
          <w:rFonts w:ascii="ITC Avant Garde" w:eastAsia="Times New Roman" w:hAnsi="ITC Avant Garde"/>
          <w:b/>
          <w:bCs/>
          <w:smallCaps/>
          <w:color w:val="000000"/>
          <w:lang w:eastAsia="es-MX"/>
        </w:rPr>
        <w:t>Manifestaciones y pruebas</w:t>
      </w:r>
      <w:r w:rsidR="00DF4E60" w:rsidRPr="0034602F">
        <w:rPr>
          <w:rFonts w:ascii="ITC Avant Garde" w:eastAsia="Times New Roman" w:hAnsi="ITC Avant Garde"/>
          <w:b/>
          <w:bCs/>
          <w:smallCaps/>
          <w:color w:val="000000"/>
          <w:lang w:eastAsia="es-MX"/>
        </w:rPr>
        <w:t>.</w:t>
      </w:r>
    </w:p>
    <w:p w14:paraId="187DF92C" w14:textId="77777777" w:rsidR="006D6786" w:rsidRDefault="002C00F1" w:rsidP="00583167">
      <w:pPr>
        <w:pStyle w:val="Textoindependiente"/>
        <w:spacing w:before="240" w:after="240" w:line="360" w:lineRule="auto"/>
        <w:jc w:val="both"/>
        <w:rPr>
          <w:rFonts w:ascii="ITC Avant Garde" w:eastAsia="Times New Roman" w:hAnsi="ITC Avant Garde"/>
          <w:b/>
          <w:bCs/>
          <w:color w:val="000000"/>
          <w:lang w:eastAsia="es-MX"/>
        </w:rPr>
        <w:sectPr w:rsidR="006D6786" w:rsidSect="006345CE">
          <w:headerReference w:type="default" r:id="rId27"/>
          <w:pgSz w:w="12240" w:h="15840"/>
          <w:pgMar w:top="426" w:right="1418" w:bottom="1418" w:left="1418" w:header="709" w:footer="420" w:gutter="0"/>
          <w:cols w:space="708"/>
          <w:docGrid w:linePitch="360"/>
        </w:sectPr>
      </w:pPr>
      <w:r w:rsidRPr="0034602F">
        <w:rPr>
          <w:rFonts w:ascii="ITC Avant Garde" w:eastAsia="Times New Roman" w:hAnsi="ITC Avant Garde"/>
          <w:bCs/>
          <w:lang w:eastAsia="es-MX"/>
        </w:rPr>
        <w:t>Mediante</w:t>
      </w:r>
      <w:r w:rsidR="008A7548" w:rsidRPr="0034602F">
        <w:rPr>
          <w:rFonts w:ascii="ITC Avant Garde" w:eastAsia="Times New Roman" w:hAnsi="ITC Avant Garde"/>
          <w:bCs/>
          <w:lang w:eastAsia="es-MX"/>
        </w:rPr>
        <w:t xml:space="preserve"> </w:t>
      </w:r>
      <w:r w:rsidR="002D34E7" w:rsidRPr="0034602F">
        <w:rPr>
          <w:rFonts w:ascii="ITC Avant Garde" w:eastAsia="Times New Roman" w:hAnsi="ITC Avant Garde"/>
          <w:bCs/>
          <w:lang w:eastAsia="es-MX"/>
        </w:rPr>
        <w:t xml:space="preserve">oficio </w:t>
      </w:r>
      <w:r w:rsidR="002D34E7" w:rsidRPr="0034602F">
        <w:rPr>
          <w:rFonts w:ascii="ITC Avant Garde" w:hAnsi="ITC Avant Garde"/>
          <w:b/>
        </w:rPr>
        <w:t xml:space="preserve">IFT/225/UC/DG-VER/3389/2016 </w:t>
      </w:r>
      <w:r w:rsidR="002D34E7" w:rsidRPr="0034602F">
        <w:rPr>
          <w:rFonts w:ascii="ITC Avant Garde" w:hAnsi="ITC Avant Garde"/>
        </w:rPr>
        <w:t>de siete de diciembre de dos mil dieciséis</w:t>
      </w:r>
      <w:r w:rsidR="008A7548" w:rsidRPr="0034602F">
        <w:rPr>
          <w:rFonts w:ascii="ITC Avant Garde" w:eastAsia="Times New Roman" w:hAnsi="ITC Avant Garde"/>
          <w:bCs/>
          <w:color w:val="000000"/>
          <w:lang w:eastAsia="es-MX"/>
        </w:rPr>
        <w:t xml:space="preserve">, </w:t>
      </w:r>
      <w:r w:rsidRPr="0034602F">
        <w:rPr>
          <w:rFonts w:ascii="ITC Avant Garde" w:eastAsia="Times New Roman" w:hAnsi="ITC Avant Garde"/>
          <w:bCs/>
          <w:color w:val="000000"/>
          <w:lang w:eastAsia="es-MX"/>
        </w:rPr>
        <w:t xml:space="preserve">la </w:t>
      </w:r>
      <w:r w:rsidRPr="0034602F">
        <w:rPr>
          <w:rFonts w:ascii="ITC Avant Garde" w:eastAsia="Times New Roman" w:hAnsi="ITC Avant Garde"/>
          <w:b/>
          <w:bCs/>
          <w:color w:val="000000"/>
          <w:lang w:eastAsia="es-MX"/>
        </w:rPr>
        <w:t xml:space="preserve">DGV </w:t>
      </w:r>
      <w:r w:rsidRPr="0034602F">
        <w:rPr>
          <w:rFonts w:ascii="ITC Avant Garde" w:eastAsia="Times New Roman" w:hAnsi="ITC Avant Garde"/>
          <w:bCs/>
          <w:color w:val="000000"/>
          <w:lang w:eastAsia="es-MX"/>
        </w:rPr>
        <w:t xml:space="preserve">remitió al Titular de la Unidad de Cumplimiento </w:t>
      </w:r>
      <w:r w:rsidR="008A7548" w:rsidRPr="0034602F">
        <w:rPr>
          <w:rFonts w:ascii="ITC Avant Garde" w:eastAsia="Times New Roman" w:hAnsi="ITC Avant Garde"/>
          <w:bCs/>
          <w:color w:val="000000"/>
          <w:lang w:eastAsia="es-MX"/>
        </w:rPr>
        <w:t xml:space="preserve">un “Dictamen por el cual se propone el inicio de </w:t>
      </w:r>
      <w:r w:rsidR="008A7548" w:rsidRPr="0034602F">
        <w:rPr>
          <w:rFonts w:ascii="ITC Avant Garde" w:eastAsia="Times New Roman" w:hAnsi="ITC Avant Garde"/>
          <w:b/>
          <w:bCs/>
          <w:caps/>
          <w:color w:val="000000"/>
          <w:lang w:eastAsia="es-MX"/>
        </w:rPr>
        <w:t xml:space="preserve">procedimiento administrativo de imposición de sanciONES </w:t>
      </w:r>
      <w:r w:rsidR="008A7548" w:rsidRPr="0034602F">
        <w:rPr>
          <w:rFonts w:ascii="ITC Avant Garde" w:eastAsia="Times New Roman" w:hAnsi="ITC Avant Garde"/>
          <w:bCs/>
          <w:color w:val="000000"/>
          <w:lang w:eastAsia="es-MX"/>
        </w:rPr>
        <w:t xml:space="preserve">y la </w:t>
      </w:r>
      <w:r w:rsidR="008A7548" w:rsidRPr="0034602F">
        <w:rPr>
          <w:rFonts w:ascii="ITC Avant Garde" w:eastAsia="Times New Roman" w:hAnsi="ITC Avant Garde"/>
          <w:b/>
          <w:bCs/>
          <w:caps/>
          <w:color w:val="000000"/>
          <w:lang w:eastAsia="es-MX"/>
        </w:rPr>
        <w:t>declaratoria de pérdida de bienes, instalaciones y equipos en beneficio de la Nación</w:t>
      </w:r>
      <w:r w:rsidR="008A7548" w:rsidRPr="0034602F">
        <w:rPr>
          <w:rFonts w:ascii="ITC Avant Garde" w:eastAsia="Times New Roman" w:hAnsi="ITC Avant Garde"/>
          <w:bCs/>
          <w:color w:val="000000"/>
          <w:lang w:eastAsia="es-MX"/>
        </w:rPr>
        <w:t xml:space="preserve">, en contra del </w:t>
      </w:r>
      <w:r w:rsidR="008A7548" w:rsidRPr="0034602F">
        <w:rPr>
          <w:rFonts w:ascii="ITC Avant Garde" w:hAnsi="ITC Avant Garde"/>
          <w:caps/>
        </w:rPr>
        <w:t xml:space="preserve">propietario, y/o POSEEDOR Y/O responsable, y/o encargado </w:t>
      </w:r>
      <w:r w:rsidR="008A7548" w:rsidRPr="0034602F">
        <w:rPr>
          <w:rFonts w:ascii="ITC Avant Garde" w:hAnsi="ITC Avant Garde"/>
        </w:rPr>
        <w:t>de las instalaciones y equipos de radiodifusión</w:t>
      </w:r>
      <w:r w:rsidR="008A7548" w:rsidRPr="0034602F">
        <w:rPr>
          <w:rFonts w:ascii="ITC Avant Garde" w:hAnsi="ITC Avant Garde"/>
          <w:b/>
        </w:rPr>
        <w:t xml:space="preserve"> </w:t>
      </w:r>
      <w:r w:rsidR="008A7548" w:rsidRPr="0034602F">
        <w:rPr>
          <w:rFonts w:ascii="ITC Avant Garde" w:hAnsi="ITC Avant Garde"/>
        </w:rPr>
        <w:t xml:space="preserve">localizados en el inmueble donde se detectó una estación de radiodifusión, operando la frecuencia de </w:t>
      </w:r>
      <w:r w:rsidR="00C93D2C" w:rsidRPr="0034602F">
        <w:rPr>
          <w:rFonts w:ascii="ITC Avant Garde" w:eastAsia="Times New Roman" w:hAnsi="ITC Avant Garde"/>
          <w:b/>
          <w:bCs/>
          <w:color w:val="000000"/>
          <w:lang w:eastAsia="es-MX"/>
        </w:rPr>
        <w:t>97.3 MHz,</w:t>
      </w:r>
      <w:r w:rsidR="008A7548" w:rsidRPr="0034602F">
        <w:rPr>
          <w:rFonts w:ascii="ITC Avant Garde" w:hAnsi="ITC Avant Garde"/>
          <w:b/>
          <w:color w:val="000000"/>
        </w:rPr>
        <w:t xml:space="preserve"> </w:t>
      </w:r>
      <w:r w:rsidR="008A7548" w:rsidRPr="0034602F">
        <w:rPr>
          <w:rFonts w:ascii="ITC Avant Garde" w:hAnsi="ITC Avant Garde"/>
        </w:rPr>
        <w:t>por la presunta infracción de</w:t>
      </w:r>
      <w:r w:rsidR="008A7548" w:rsidRPr="0034602F">
        <w:rPr>
          <w:rFonts w:ascii="ITC Avant Garde" w:eastAsia="Times New Roman" w:hAnsi="ITC Avant Garde"/>
          <w:bCs/>
          <w:color w:val="000000"/>
          <w:lang w:eastAsia="es-MX"/>
        </w:rPr>
        <w:t xml:space="preserve">l </w:t>
      </w:r>
      <w:r w:rsidR="008A7548" w:rsidRPr="0034602F">
        <w:rPr>
          <w:rFonts w:ascii="ITC Avant Garde" w:eastAsia="Times New Roman" w:hAnsi="ITC Avant Garde"/>
          <w:b/>
          <w:bCs/>
          <w:color w:val="000000"/>
          <w:lang w:eastAsia="es-MX"/>
        </w:rPr>
        <w:t>artículo 66</w:t>
      </w:r>
      <w:r w:rsidR="008A7548" w:rsidRPr="0034602F">
        <w:rPr>
          <w:rFonts w:ascii="ITC Avant Garde" w:eastAsia="Times New Roman" w:hAnsi="ITC Avant Garde"/>
          <w:bCs/>
          <w:color w:val="000000"/>
          <w:lang w:eastAsia="es-MX"/>
        </w:rPr>
        <w:t xml:space="preserve"> en relación con el </w:t>
      </w:r>
      <w:r w:rsidR="008A7548" w:rsidRPr="0034602F">
        <w:rPr>
          <w:rFonts w:ascii="ITC Avant Garde" w:eastAsia="Times New Roman" w:hAnsi="ITC Avant Garde"/>
          <w:b/>
          <w:bCs/>
          <w:color w:val="000000"/>
          <w:lang w:eastAsia="es-MX"/>
        </w:rPr>
        <w:t>artículo</w:t>
      </w:r>
      <w:r w:rsidR="008A7548" w:rsidRPr="0034602F">
        <w:rPr>
          <w:rFonts w:ascii="ITC Avant Garde" w:eastAsia="Times New Roman" w:hAnsi="ITC Avant Garde"/>
          <w:bCs/>
          <w:color w:val="000000"/>
          <w:lang w:eastAsia="es-MX"/>
        </w:rPr>
        <w:t xml:space="preserve"> </w:t>
      </w:r>
      <w:r w:rsidR="008A7548" w:rsidRPr="0034602F">
        <w:rPr>
          <w:rFonts w:ascii="ITC Avant Garde" w:eastAsia="Times New Roman" w:hAnsi="ITC Avant Garde"/>
          <w:b/>
          <w:bCs/>
          <w:color w:val="000000"/>
          <w:lang w:eastAsia="es-MX"/>
        </w:rPr>
        <w:t>75</w:t>
      </w:r>
      <w:r w:rsidR="008A7548" w:rsidRPr="0034602F">
        <w:rPr>
          <w:rFonts w:ascii="ITC Avant Garde" w:eastAsia="Times New Roman" w:hAnsi="ITC Avant Garde"/>
          <w:bCs/>
          <w:color w:val="000000"/>
          <w:lang w:eastAsia="es-MX"/>
        </w:rPr>
        <w:t xml:space="preserve">, y la probable actualización de la hipótesis normativa prevista en el </w:t>
      </w:r>
      <w:r w:rsidR="008A7548" w:rsidRPr="0034602F">
        <w:rPr>
          <w:rFonts w:ascii="ITC Avant Garde" w:eastAsia="Times New Roman" w:hAnsi="ITC Avant Garde"/>
          <w:b/>
          <w:bCs/>
          <w:color w:val="000000"/>
          <w:lang w:eastAsia="es-MX"/>
        </w:rPr>
        <w:t xml:space="preserve">artículo 305, todos de la Ley Federal </w:t>
      </w:r>
    </w:p>
    <w:p w14:paraId="230678F6" w14:textId="0ADB41F5" w:rsidR="003C5E62" w:rsidRPr="0034602F" w:rsidRDefault="008A7548" w:rsidP="00583167">
      <w:pPr>
        <w:pStyle w:val="Textoindependiente"/>
        <w:spacing w:before="240" w:after="240" w:line="360" w:lineRule="auto"/>
        <w:jc w:val="both"/>
        <w:rPr>
          <w:rFonts w:ascii="ITC Avant Garde" w:eastAsia="Times New Roman" w:hAnsi="ITC Avant Garde"/>
          <w:b/>
          <w:bCs/>
          <w:color w:val="000000"/>
          <w:lang w:eastAsia="es-MX"/>
        </w:rPr>
      </w:pPr>
      <w:proofErr w:type="gramStart"/>
      <w:r w:rsidRPr="0034602F">
        <w:rPr>
          <w:rFonts w:ascii="ITC Avant Garde" w:eastAsia="Times New Roman" w:hAnsi="ITC Avant Garde"/>
          <w:b/>
          <w:bCs/>
          <w:color w:val="000000"/>
          <w:lang w:eastAsia="es-MX"/>
        </w:rPr>
        <w:lastRenderedPageBreak/>
        <w:t>de</w:t>
      </w:r>
      <w:proofErr w:type="gramEnd"/>
      <w:r w:rsidRPr="0034602F">
        <w:rPr>
          <w:rFonts w:ascii="ITC Avant Garde" w:eastAsia="Times New Roman" w:hAnsi="ITC Avant Garde"/>
          <w:b/>
          <w:bCs/>
          <w:color w:val="000000"/>
          <w:lang w:eastAsia="es-MX"/>
        </w:rPr>
        <w:t xml:space="preserve"> Telecomunicaciones y Radiodifusión</w:t>
      </w:r>
      <w:r w:rsidRPr="0034602F">
        <w:rPr>
          <w:rFonts w:ascii="ITC Avant Garde" w:eastAsia="Times New Roman" w:hAnsi="ITC Avant Garde"/>
          <w:bCs/>
          <w:color w:val="000000"/>
          <w:lang w:eastAsia="es-MX"/>
        </w:rPr>
        <w:t xml:space="preserve">, derivado de la visita de inspección y verificación que consta en el </w:t>
      </w:r>
      <w:r w:rsidRPr="0034602F">
        <w:rPr>
          <w:rFonts w:ascii="ITC Avant Garde" w:eastAsia="Times New Roman" w:hAnsi="ITC Avant Garde"/>
          <w:b/>
          <w:bCs/>
          <w:color w:val="000000"/>
          <w:lang w:eastAsia="es-MX"/>
        </w:rPr>
        <w:t xml:space="preserve">Acta Verificación número </w:t>
      </w:r>
      <w:r w:rsidR="0008348D" w:rsidRPr="0034602F">
        <w:rPr>
          <w:rFonts w:ascii="ITC Avant Garde" w:hAnsi="ITC Avant Garde"/>
          <w:b/>
        </w:rPr>
        <w:t>IFT/UC/DGV/352/2016</w:t>
      </w:r>
      <w:r w:rsidRPr="0034602F">
        <w:rPr>
          <w:rFonts w:ascii="ITC Avant Garde" w:eastAsia="Times New Roman" w:hAnsi="ITC Avant Garde"/>
          <w:b/>
          <w:bCs/>
          <w:color w:val="000000"/>
          <w:lang w:eastAsia="es-MX"/>
        </w:rPr>
        <w:t>.”</w:t>
      </w:r>
    </w:p>
    <w:p w14:paraId="2A6AE7E7" w14:textId="162F36C1" w:rsidR="003C5E62" w:rsidRPr="0034602F" w:rsidRDefault="002C00F1" w:rsidP="00583167">
      <w:p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En consecuencia, m</w:t>
      </w:r>
      <w:r w:rsidR="007B2189" w:rsidRPr="0034602F">
        <w:rPr>
          <w:rFonts w:ascii="ITC Avant Garde" w:eastAsia="Times New Roman" w:hAnsi="ITC Avant Garde"/>
          <w:bCs/>
          <w:color w:val="000000"/>
          <w:lang w:eastAsia="es-MX"/>
        </w:rPr>
        <w:t xml:space="preserve">ediante acuerdo de </w:t>
      </w:r>
      <w:r w:rsidR="0008348D" w:rsidRPr="0034602F">
        <w:rPr>
          <w:rFonts w:ascii="ITC Avant Garde" w:eastAsia="Times New Roman" w:hAnsi="ITC Avant Garde"/>
          <w:bCs/>
          <w:color w:val="000000"/>
          <w:lang w:eastAsia="es-MX"/>
        </w:rPr>
        <w:t>veintitrés</w:t>
      </w:r>
      <w:r w:rsidR="00B83928" w:rsidRPr="0034602F">
        <w:rPr>
          <w:rFonts w:ascii="ITC Avant Garde" w:eastAsia="Times New Roman" w:hAnsi="ITC Avant Garde"/>
          <w:bCs/>
          <w:color w:val="000000"/>
          <w:lang w:eastAsia="es-MX"/>
        </w:rPr>
        <w:t xml:space="preserve"> de enero de dos mil diecisiete</w:t>
      </w:r>
      <w:r w:rsidR="00B571DA" w:rsidRPr="0034602F">
        <w:rPr>
          <w:rFonts w:ascii="ITC Avant Garde" w:eastAsia="Times New Roman" w:hAnsi="ITC Avant Garde"/>
          <w:bCs/>
          <w:color w:val="000000"/>
          <w:lang w:eastAsia="es-MX"/>
        </w:rPr>
        <w:t xml:space="preserve"> </w:t>
      </w:r>
      <w:r w:rsidR="007B2189" w:rsidRPr="0034602F">
        <w:rPr>
          <w:rFonts w:ascii="ITC Avant Garde" w:eastAsia="Times New Roman" w:hAnsi="ITC Avant Garde"/>
          <w:bCs/>
          <w:color w:val="000000"/>
          <w:lang w:eastAsia="es-MX"/>
        </w:rPr>
        <w:t xml:space="preserve">el Titular de la Unidad de Cumplimiento inició el procedimiento administrativo de imposición de sanción y la declaratoria de pérdida de bienes, instalaciones y equipos en beneficio de la Nación, en el que se le otorgó </w:t>
      </w:r>
      <w:r w:rsidR="008A7548" w:rsidRPr="0034602F">
        <w:rPr>
          <w:rFonts w:ascii="ITC Avant Garde" w:eastAsia="Times New Roman" w:hAnsi="ITC Avant Garde"/>
          <w:bCs/>
          <w:color w:val="000000"/>
          <w:lang w:eastAsia="es-MX"/>
        </w:rPr>
        <w:t xml:space="preserve">al </w:t>
      </w:r>
      <w:r w:rsidR="008A7635" w:rsidRPr="0034602F">
        <w:rPr>
          <w:rFonts w:ascii="ITC Avant Garde" w:eastAsia="Times New Roman" w:hAnsi="ITC Avant Garde"/>
          <w:b/>
          <w:bCs/>
          <w:color w:val="000000"/>
          <w:lang w:eastAsia="es-MX"/>
        </w:rPr>
        <w:t>PROPIETARIO, RESPONSABLE, OCUPANTE Y/O ENCARGADO DEL INMUEBLE DONDE SE DETECTÓ LA ESTACIÓN</w:t>
      </w:r>
      <w:r w:rsidR="008A7635" w:rsidRPr="0034602F">
        <w:rPr>
          <w:rFonts w:ascii="ITC Avant Garde" w:eastAsia="Times New Roman" w:hAnsi="ITC Avant Garde"/>
          <w:bCs/>
          <w:color w:val="000000"/>
          <w:lang w:eastAsia="es-MX"/>
        </w:rPr>
        <w:t xml:space="preserve"> y al </w:t>
      </w:r>
      <w:r w:rsidR="008A7635" w:rsidRPr="0034602F">
        <w:rPr>
          <w:rFonts w:ascii="ITC Avant Garde" w:eastAsia="Times New Roman" w:hAnsi="ITC Avant Garde"/>
          <w:b/>
          <w:bCs/>
          <w:color w:val="000000"/>
          <w:lang w:eastAsia="es-MX"/>
        </w:rPr>
        <w:t>C.</w:t>
      </w:r>
      <w:r w:rsidR="008A7635" w:rsidRPr="0034602F">
        <w:rPr>
          <w:rFonts w:ascii="ITC Avant Garde" w:eastAsia="Times New Roman" w:hAnsi="ITC Avant Garde"/>
          <w:bCs/>
          <w:color w:val="000000"/>
          <w:lang w:eastAsia="es-MX"/>
        </w:rPr>
        <w:t xml:space="preserve"> </w:t>
      </w:r>
      <w:r w:rsidR="009D2C5D">
        <w:rPr>
          <w:rFonts w:ascii="ITC Avant Garde" w:hAnsi="ITC Avant Garde"/>
          <w:b/>
          <w:bCs/>
          <w:color w:val="0000FF"/>
        </w:rPr>
        <w:t>“CONFIDENCIAL POR LEY”</w:t>
      </w:r>
      <w:r w:rsidR="008A7635" w:rsidRPr="0034602F">
        <w:rPr>
          <w:rFonts w:ascii="ITC Avant Garde" w:eastAsia="Times New Roman" w:hAnsi="ITC Avant Garde"/>
          <w:b/>
          <w:bCs/>
          <w:lang w:eastAsia="es-MX"/>
        </w:rPr>
        <w:t>,</w:t>
      </w:r>
      <w:r w:rsidR="00A01799" w:rsidRPr="0034602F">
        <w:rPr>
          <w:rFonts w:ascii="ITC Avant Garde" w:eastAsia="Times New Roman" w:hAnsi="ITC Avant Garde"/>
          <w:bCs/>
          <w:color w:val="000000"/>
          <w:lang w:eastAsia="es-MX"/>
        </w:rPr>
        <w:t xml:space="preserve"> </w:t>
      </w:r>
      <w:r w:rsidR="008A7548" w:rsidRPr="0034602F">
        <w:rPr>
          <w:rFonts w:ascii="ITC Avant Garde" w:eastAsia="Times New Roman" w:hAnsi="ITC Avant Garde"/>
          <w:bCs/>
          <w:color w:val="000000"/>
          <w:lang w:eastAsia="es-MX"/>
        </w:rPr>
        <w:t>un término de quince días hábiles para que manifestara</w:t>
      </w:r>
      <w:r w:rsidR="008A7635" w:rsidRPr="0034602F">
        <w:rPr>
          <w:rFonts w:ascii="ITC Avant Garde" w:eastAsia="Times New Roman" w:hAnsi="ITC Avant Garde"/>
          <w:bCs/>
          <w:color w:val="000000"/>
          <w:lang w:eastAsia="es-MX"/>
        </w:rPr>
        <w:t>n</w:t>
      </w:r>
      <w:r w:rsidR="008A7548" w:rsidRPr="0034602F">
        <w:rPr>
          <w:rFonts w:ascii="ITC Avant Garde" w:eastAsia="Times New Roman" w:hAnsi="ITC Avant Garde"/>
          <w:bCs/>
          <w:color w:val="000000"/>
          <w:lang w:eastAsia="es-MX"/>
        </w:rPr>
        <w:t xml:space="preserve"> lo que a su derecho conviniera y, en su caso, aportara</w:t>
      </w:r>
      <w:r w:rsidR="008A7635" w:rsidRPr="0034602F">
        <w:rPr>
          <w:rFonts w:ascii="ITC Avant Garde" w:eastAsia="Times New Roman" w:hAnsi="ITC Avant Garde"/>
          <w:bCs/>
          <w:color w:val="000000"/>
          <w:lang w:eastAsia="es-MX"/>
        </w:rPr>
        <w:t>n</w:t>
      </w:r>
      <w:r w:rsidR="008A7548" w:rsidRPr="0034602F">
        <w:rPr>
          <w:rFonts w:ascii="ITC Avant Garde" w:eastAsia="Times New Roman" w:hAnsi="ITC Avant Garde"/>
          <w:bCs/>
          <w:color w:val="000000"/>
          <w:lang w:eastAsia="es-MX"/>
        </w:rPr>
        <w:t xml:space="preserve"> las pruebas con que contara</w:t>
      </w:r>
      <w:r w:rsidR="008A7635" w:rsidRPr="0034602F">
        <w:rPr>
          <w:rFonts w:ascii="ITC Avant Garde" w:eastAsia="Times New Roman" w:hAnsi="ITC Avant Garde"/>
          <w:bCs/>
          <w:color w:val="000000"/>
          <w:lang w:eastAsia="es-MX"/>
        </w:rPr>
        <w:t>n</w:t>
      </w:r>
      <w:r w:rsidR="008A7548" w:rsidRPr="0034602F">
        <w:rPr>
          <w:rFonts w:ascii="ITC Avant Garde" w:eastAsia="Times New Roman" w:hAnsi="ITC Avant Garde"/>
          <w:bCs/>
          <w:color w:val="000000"/>
          <w:lang w:eastAsia="es-MX"/>
        </w:rPr>
        <w:t xml:space="preserve"> con relación con los presuntos incumplimientos </w:t>
      </w:r>
      <w:r w:rsidR="008A7635" w:rsidRPr="0034602F">
        <w:rPr>
          <w:rFonts w:ascii="ITC Avant Garde" w:eastAsia="Times New Roman" w:hAnsi="ITC Avant Garde"/>
          <w:bCs/>
          <w:color w:val="000000"/>
          <w:lang w:eastAsia="es-MX"/>
        </w:rPr>
        <w:t>imputados</w:t>
      </w:r>
      <w:r w:rsidR="008A7548" w:rsidRPr="0034602F">
        <w:rPr>
          <w:rFonts w:ascii="ITC Avant Garde" w:eastAsia="Times New Roman" w:hAnsi="ITC Avant Garde"/>
          <w:bCs/>
          <w:color w:val="000000"/>
          <w:lang w:eastAsia="es-MX"/>
        </w:rPr>
        <w:t>.</w:t>
      </w:r>
    </w:p>
    <w:p w14:paraId="1A16A374" w14:textId="699D2CD4" w:rsidR="003C5E62" w:rsidRPr="0034602F" w:rsidRDefault="007B2189" w:rsidP="00583167">
      <w:p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Dicho acuerdo fue notificado el </w:t>
      </w:r>
      <w:r w:rsidR="00CF0E13" w:rsidRPr="0034602F">
        <w:rPr>
          <w:rFonts w:ascii="ITC Avant Garde" w:eastAsia="Times New Roman" w:hAnsi="ITC Avant Garde"/>
          <w:bCs/>
          <w:color w:val="000000"/>
          <w:lang w:eastAsia="es-MX"/>
        </w:rPr>
        <w:t xml:space="preserve">veinticuatro de enero de dos mil dieciséis por cuanto hace al  </w:t>
      </w:r>
      <w:r w:rsidR="00CF0E13" w:rsidRPr="0034602F">
        <w:rPr>
          <w:rFonts w:ascii="ITC Avant Garde" w:eastAsia="Times New Roman" w:hAnsi="ITC Avant Garde"/>
          <w:b/>
          <w:bCs/>
          <w:color w:val="000000"/>
          <w:lang w:eastAsia="es-MX"/>
        </w:rPr>
        <w:t xml:space="preserve">PROPIETARIO Y/O POSEEDOR Y/O RESPONSABLE Y/O ENCARGADO DEL INMUEBLE Y/O DE LAS INSTALACIONES Y EQUIPOS DE RADIODIFUSIÓN LOCALIZADOS EN EL INMUEBLE UBICADO EN </w:t>
      </w:r>
      <w:r w:rsidR="000519D1" w:rsidRPr="000519D1">
        <w:rPr>
          <w:rFonts w:ascii="ITC Avant Garde" w:hAnsi="ITC Avant Garde"/>
          <w:b/>
          <w:color w:val="0000FF"/>
        </w:rPr>
        <w:t>“CONFIDENCIAL POR LEY”</w:t>
      </w:r>
      <w:r w:rsidR="00CF0E13" w:rsidRPr="0034602F">
        <w:rPr>
          <w:rFonts w:ascii="ITC Avant Garde" w:eastAsia="Times New Roman" w:hAnsi="ITC Avant Garde"/>
          <w:b/>
          <w:bCs/>
          <w:color w:val="000000"/>
          <w:lang w:eastAsia="es-MX"/>
        </w:rPr>
        <w:t>, DELEGACIÓN TLALPAN, EN LA CIUDAD DE MÉXICO, DONDE SE DETECTARON LAS INSTALACIONES DE LA ESTACIÓN DE RADIODIFUSIÓN, OPERANDO LA FRECUENCIA DE 97.3 MHz</w:t>
      </w:r>
      <w:r w:rsidR="004A2C20" w:rsidRPr="0034602F">
        <w:rPr>
          <w:rFonts w:ascii="ITC Avant Garde" w:eastAsia="Times New Roman" w:hAnsi="ITC Avant Garde"/>
          <w:bCs/>
          <w:color w:val="000000"/>
          <w:lang w:eastAsia="es-MX"/>
        </w:rPr>
        <w:t xml:space="preserve"> y el </w:t>
      </w:r>
      <w:r w:rsidR="0008348D" w:rsidRPr="0034602F">
        <w:rPr>
          <w:rFonts w:ascii="ITC Avant Garde" w:eastAsia="Times New Roman" w:hAnsi="ITC Avant Garde"/>
          <w:bCs/>
          <w:color w:val="000000"/>
          <w:lang w:eastAsia="es-MX"/>
        </w:rPr>
        <w:t>veinticinco de enero</w:t>
      </w:r>
      <w:r w:rsidR="001A7852" w:rsidRPr="0034602F">
        <w:rPr>
          <w:rFonts w:ascii="ITC Avant Garde" w:eastAsia="Times New Roman" w:hAnsi="ITC Avant Garde"/>
          <w:bCs/>
          <w:color w:val="000000"/>
          <w:lang w:eastAsia="es-MX"/>
        </w:rPr>
        <w:t xml:space="preserve"> </w:t>
      </w:r>
      <w:r w:rsidR="0008348D" w:rsidRPr="0034602F">
        <w:rPr>
          <w:rFonts w:ascii="ITC Avant Garde" w:eastAsia="Times New Roman" w:hAnsi="ITC Avant Garde"/>
          <w:bCs/>
          <w:color w:val="000000"/>
          <w:lang w:eastAsia="es-MX"/>
        </w:rPr>
        <w:t>de dos mil diecisiete</w:t>
      </w:r>
      <w:r w:rsidRPr="0034602F">
        <w:rPr>
          <w:rFonts w:ascii="ITC Avant Garde" w:eastAsia="Times New Roman" w:hAnsi="ITC Avant Garde"/>
          <w:bCs/>
          <w:color w:val="000000"/>
          <w:lang w:eastAsia="es-MX"/>
        </w:rPr>
        <w:t xml:space="preserve">, </w:t>
      </w:r>
      <w:r w:rsidR="004A2C20" w:rsidRPr="0034602F">
        <w:rPr>
          <w:rFonts w:ascii="ITC Avant Garde" w:eastAsia="Times New Roman" w:hAnsi="ITC Avant Garde"/>
          <w:bCs/>
          <w:color w:val="000000"/>
          <w:lang w:eastAsia="es-MX"/>
        </w:rPr>
        <w:t xml:space="preserve">respecto de </w:t>
      </w:r>
      <w:r w:rsidR="009D2C5D">
        <w:rPr>
          <w:rFonts w:ascii="ITC Avant Garde" w:hAnsi="ITC Avant Garde"/>
          <w:b/>
          <w:bCs/>
          <w:color w:val="0000FF"/>
        </w:rPr>
        <w:t>“CONFIDENCIAL POR LEY”</w:t>
      </w:r>
      <w:r w:rsidR="004A2C20" w:rsidRPr="0034602F">
        <w:rPr>
          <w:rFonts w:ascii="ITC Avant Garde" w:eastAsia="Times New Roman" w:hAnsi="ITC Avant Garde"/>
          <w:bCs/>
          <w:color w:val="000000"/>
          <w:lang w:eastAsia="es-MX"/>
        </w:rPr>
        <w:t xml:space="preserve">, </w:t>
      </w:r>
      <w:r w:rsidRPr="0034602F">
        <w:rPr>
          <w:rFonts w:ascii="ITC Avant Garde" w:eastAsia="Times New Roman" w:hAnsi="ITC Avant Garde"/>
          <w:bCs/>
          <w:color w:val="000000"/>
          <w:lang w:eastAsia="es-MX"/>
        </w:rPr>
        <w:t xml:space="preserve">por lo que el plazo de quince días hábiles </w:t>
      </w:r>
      <w:r w:rsidR="00B571DA" w:rsidRPr="0034602F">
        <w:rPr>
          <w:rFonts w:ascii="ITC Avant Garde" w:eastAsia="Times New Roman" w:hAnsi="ITC Avant Garde"/>
          <w:bCs/>
          <w:color w:val="000000"/>
          <w:lang w:eastAsia="es-MX"/>
        </w:rPr>
        <w:t xml:space="preserve">transcurrió </w:t>
      </w:r>
      <w:r w:rsidRPr="0034602F">
        <w:rPr>
          <w:rFonts w:ascii="ITC Avant Garde" w:eastAsia="Times New Roman" w:hAnsi="ITC Avant Garde"/>
          <w:bCs/>
          <w:color w:val="000000"/>
          <w:lang w:eastAsia="es-MX"/>
        </w:rPr>
        <w:t>del</w:t>
      </w:r>
      <w:r w:rsidR="00B502BF" w:rsidRPr="0034602F">
        <w:rPr>
          <w:rFonts w:ascii="ITC Avant Garde" w:eastAsia="Times New Roman" w:hAnsi="ITC Avant Garde"/>
          <w:bCs/>
          <w:color w:val="000000"/>
          <w:lang w:eastAsia="es-MX"/>
        </w:rPr>
        <w:t xml:space="preserve"> </w:t>
      </w:r>
      <w:r w:rsidR="004A2C20" w:rsidRPr="0034602F">
        <w:rPr>
          <w:rFonts w:ascii="ITC Avant Garde" w:eastAsia="Times New Roman" w:hAnsi="ITC Avant Garde"/>
          <w:bCs/>
          <w:color w:val="000000"/>
          <w:lang w:eastAsia="es-MX"/>
        </w:rPr>
        <w:t xml:space="preserve">veinticinco de enero de dos mil diecisiete al  quince de febrero de dos mil diecisiete para el primero de los citados y del </w:t>
      </w:r>
      <w:r w:rsidR="000B4BBF" w:rsidRPr="0034602F">
        <w:rPr>
          <w:rFonts w:ascii="ITC Avant Garde" w:eastAsia="Times New Roman" w:hAnsi="ITC Avant Garde"/>
          <w:bCs/>
          <w:color w:val="000000"/>
          <w:lang w:eastAsia="es-MX"/>
        </w:rPr>
        <w:t>veintiséis de enero al dieciséis de febrero de dos mil diecisiete</w:t>
      </w:r>
      <w:r w:rsidR="004A2C20" w:rsidRPr="0034602F">
        <w:rPr>
          <w:rFonts w:ascii="ITC Avant Garde" w:eastAsia="Times New Roman" w:hAnsi="ITC Avant Garde"/>
          <w:bCs/>
          <w:color w:val="000000"/>
          <w:lang w:eastAsia="es-MX"/>
        </w:rPr>
        <w:t xml:space="preserve"> para el segundo</w:t>
      </w:r>
      <w:r w:rsidR="001A7852" w:rsidRPr="0034602F">
        <w:rPr>
          <w:rFonts w:ascii="ITC Avant Garde" w:eastAsia="Times New Roman" w:hAnsi="ITC Avant Garde"/>
          <w:bCs/>
          <w:color w:val="000000"/>
          <w:lang w:eastAsia="es-MX"/>
        </w:rPr>
        <w:t>.</w:t>
      </w:r>
    </w:p>
    <w:p w14:paraId="7001CD66" w14:textId="77777777" w:rsidR="006D6786" w:rsidRDefault="008A7548" w:rsidP="00583167">
      <w:pPr>
        <w:tabs>
          <w:tab w:val="left" w:pos="851"/>
        </w:tabs>
        <w:spacing w:before="240" w:after="240" w:line="360" w:lineRule="auto"/>
        <w:jc w:val="both"/>
        <w:rPr>
          <w:rFonts w:ascii="ITC Avant Garde" w:eastAsia="Times New Roman" w:hAnsi="ITC Avant Garde"/>
          <w:bCs/>
          <w:lang w:eastAsia="es-MX"/>
        </w:rPr>
        <w:sectPr w:rsidR="006D6786" w:rsidSect="006345CE">
          <w:headerReference w:type="default" r:id="rId28"/>
          <w:pgSz w:w="12240" w:h="15840"/>
          <w:pgMar w:top="426" w:right="1418" w:bottom="1418" w:left="1418" w:header="709" w:footer="420" w:gutter="0"/>
          <w:cols w:space="708"/>
          <w:docGrid w:linePitch="360"/>
        </w:sectPr>
      </w:pPr>
      <w:r w:rsidRPr="0034602F">
        <w:rPr>
          <w:rFonts w:ascii="ITC Avant Garde" w:eastAsia="Times New Roman" w:hAnsi="ITC Avant Garde"/>
          <w:bCs/>
          <w:color w:val="000000"/>
          <w:lang w:eastAsia="es-MX"/>
        </w:rPr>
        <w:t xml:space="preserve">Lo anterior, sin considerar </w:t>
      </w:r>
      <w:r w:rsidR="004A2C20" w:rsidRPr="0034602F">
        <w:rPr>
          <w:rFonts w:ascii="ITC Avant Garde" w:eastAsia="Times New Roman" w:hAnsi="ITC Avant Garde"/>
          <w:bCs/>
          <w:color w:val="000000"/>
          <w:lang w:eastAsia="es-MX"/>
        </w:rPr>
        <w:t xml:space="preserve">en ambos casos, </w:t>
      </w:r>
      <w:r w:rsidRPr="0034602F">
        <w:rPr>
          <w:rFonts w:ascii="ITC Avant Garde" w:eastAsia="Times New Roman" w:hAnsi="ITC Avant Garde"/>
          <w:bCs/>
          <w:color w:val="000000"/>
          <w:lang w:eastAsia="es-MX"/>
        </w:rPr>
        <w:t xml:space="preserve">los días </w:t>
      </w:r>
      <w:r w:rsidR="004A2C20" w:rsidRPr="0034602F">
        <w:rPr>
          <w:rFonts w:ascii="ITC Avant Garde" w:eastAsia="Times New Roman" w:hAnsi="ITC Avant Garde"/>
          <w:bCs/>
          <w:color w:val="000000"/>
          <w:lang w:eastAsia="es-MX"/>
        </w:rPr>
        <w:t>veintiocho y veintinueve de enero; cuatro, cinco, once y doce de febrero, así como el seis de febrero todos de dos mil diecisiete todos de dos mil diecisiete, por ser sábados, domingos y día inhábil, en términos del artículo 28 de la Ley Federal de Procedimiento Administrativo y del “ACUERDO mediante el cual el Pleno del Instituto Federal de Telecomunicaciones aprueba su calendario anual de sesiones ordinarias y el calendario anual de labores para el año 2017 y principios de 2018”</w:t>
      </w:r>
      <w:r w:rsidR="001A7852" w:rsidRPr="0034602F">
        <w:rPr>
          <w:rFonts w:ascii="ITC Avant Garde" w:eastAsia="Times New Roman" w:hAnsi="ITC Avant Garde"/>
          <w:bCs/>
          <w:lang w:eastAsia="es-MX"/>
        </w:rPr>
        <w:t>.</w:t>
      </w:r>
    </w:p>
    <w:p w14:paraId="59CC62C7" w14:textId="77777777" w:rsidR="003C5E62" w:rsidRPr="0034602F" w:rsidRDefault="00CF5603" w:rsidP="00583167">
      <w:pPr>
        <w:spacing w:before="240" w:after="240" w:line="360" w:lineRule="auto"/>
        <w:jc w:val="both"/>
        <w:rPr>
          <w:rFonts w:ascii="ITC Avant Garde" w:hAnsi="ITC Avant Garde"/>
        </w:rPr>
      </w:pPr>
      <w:r w:rsidRPr="0034602F">
        <w:rPr>
          <w:rFonts w:ascii="ITC Avant Garde" w:eastAsia="Times New Roman" w:hAnsi="ITC Avant Garde"/>
          <w:bCs/>
          <w:color w:val="000000"/>
          <w:lang w:eastAsia="es-MX"/>
        </w:rPr>
        <w:lastRenderedPageBreak/>
        <w:t xml:space="preserve">Ahora bien, en aras de cumplir con los principios de legalidad y seguridad jurídica consagrados en los artículos 14 y 16 de la </w:t>
      </w:r>
      <w:r w:rsidRPr="0034602F">
        <w:rPr>
          <w:rFonts w:ascii="ITC Avant Garde" w:eastAsia="Times New Roman" w:hAnsi="ITC Avant Garde"/>
          <w:b/>
          <w:bCs/>
          <w:color w:val="000000"/>
          <w:lang w:eastAsia="es-MX"/>
        </w:rPr>
        <w:t>CPEUM</w:t>
      </w:r>
      <w:r w:rsidRPr="0034602F">
        <w:rPr>
          <w:rFonts w:ascii="ITC Avant Garde" w:eastAsia="Times New Roman" w:hAnsi="ITC Avant Garde"/>
          <w:bCs/>
          <w:color w:val="000000"/>
          <w:lang w:eastAsia="es-MX"/>
        </w:rPr>
        <w:t xml:space="preserve">, así como con el principio de exhaustividad en el dictado de las resoluciones administrativas, de conformidad con los artículos 13 y 16, fracción X, de la </w:t>
      </w:r>
      <w:r w:rsidRPr="0034602F">
        <w:rPr>
          <w:rFonts w:ascii="ITC Avant Garde" w:eastAsia="Times New Roman" w:hAnsi="ITC Avant Garde"/>
          <w:b/>
          <w:bCs/>
          <w:color w:val="000000"/>
          <w:lang w:eastAsia="es-MX"/>
        </w:rPr>
        <w:t>LFPA</w:t>
      </w:r>
      <w:r w:rsidRPr="0034602F">
        <w:rPr>
          <w:rFonts w:ascii="ITC Avant Garde" w:eastAsia="Times New Roman" w:hAnsi="ITC Avant Garde"/>
          <w:bCs/>
          <w:color w:val="000000"/>
          <w:lang w:eastAsia="es-MX"/>
        </w:rPr>
        <w:t xml:space="preserve">, esta autoridad procede a estudiar y analizar en esta parte de la resolución los argumentos que, en su caso, hubieran sido presentados por el </w:t>
      </w:r>
      <w:r w:rsidRPr="0034602F">
        <w:rPr>
          <w:rFonts w:ascii="ITC Avant Garde" w:eastAsia="Times New Roman" w:hAnsi="ITC Avant Garde"/>
          <w:b/>
          <w:bCs/>
          <w:color w:val="000000"/>
          <w:lang w:eastAsia="es-MX"/>
        </w:rPr>
        <w:t>PRESUNTO INFRACTOR</w:t>
      </w:r>
      <w:r w:rsidRPr="0034602F">
        <w:rPr>
          <w:rFonts w:ascii="ITC Avant Garde" w:hAnsi="ITC Avant Garde"/>
          <w:b/>
        </w:rPr>
        <w:t xml:space="preserve">, </w:t>
      </w:r>
      <w:r w:rsidRPr="0034602F">
        <w:rPr>
          <w:rFonts w:ascii="ITC Avant Garde" w:eastAsia="Times New Roman" w:hAnsi="ITC Avant Garde"/>
          <w:bCs/>
          <w:color w:val="000000"/>
          <w:lang w:eastAsia="es-MX"/>
        </w:rPr>
        <w:t xml:space="preserve">aclarando que </w:t>
      </w:r>
      <w:r w:rsidRPr="0034602F">
        <w:rPr>
          <w:rFonts w:ascii="ITC Avant Garde" w:hAnsi="ITC Avant Garde"/>
        </w:rPr>
        <w:t xml:space="preserve">el procedimiento administrativo sancionador, ha sido definido por el Pleno de la </w:t>
      </w:r>
      <w:r w:rsidRPr="0034602F">
        <w:rPr>
          <w:rFonts w:ascii="ITC Avant Garde" w:hAnsi="ITC Avant Garde"/>
          <w:b/>
        </w:rPr>
        <w:t>SCJN</w:t>
      </w:r>
      <w:r w:rsidRPr="0034602F">
        <w:rPr>
          <w:rFonts w:ascii="ITC Avant Garde" w:hAnsi="ITC Avant Garde"/>
        </w:rPr>
        <w:t xml:space="preserve"> como “el conjunto de actos o formalidades concatenados entre sí en forma de juicio por autoridad competente, </w:t>
      </w:r>
      <w:r w:rsidRPr="0034602F">
        <w:rPr>
          <w:rFonts w:ascii="ITC Avant Garde" w:hAnsi="ITC Avant Garde"/>
          <w:b/>
          <w:u w:val="single"/>
        </w:rPr>
        <w:t>con el objeto de conocer irregularidades o faltas</w:t>
      </w:r>
      <w:r w:rsidRPr="0034602F">
        <w:rPr>
          <w:rFonts w:ascii="ITC Avant Garde" w:hAnsi="ITC Avant Garde"/>
        </w:rPr>
        <w:t xml:space="preserve"> ya sean de servidores públicos o particulares, cuya finalidad, en todo caso, sea imponer alguna sanción.”</w:t>
      </w:r>
      <w:r w:rsidRPr="0034602F">
        <w:rPr>
          <w:rStyle w:val="Refdenotaalpie"/>
          <w:rFonts w:ascii="ITC Avant Garde" w:hAnsi="ITC Avant Garde"/>
        </w:rPr>
        <w:footnoteReference w:id="4"/>
      </w:r>
    </w:p>
    <w:p w14:paraId="54C7A2AF" w14:textId="77777777" w:rsidR="003C5E62" w:rsidRPr="0034602F" w:rsidRDefault="00CF5603" w:rsidP="00583167">
      <w:pPr>
        <w:spacing w:before="240" w:after="240" w:line="360" w:lineRule="auto"/>
        <w:jc w:val="both"/>
        <w:rPr>
          <w:rFonts w:ascii="ITC Avant Garde" w:hAnsi="ITC Avant Garde"/>
        </w:rPr>
      </w:pPr>
      <w:r w:rsidRPr="0034602F">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proofErr w:type="spellStart"/>
      <w:r w:rsidRPr="0034602F">
        <w:rPr>
          <w:rFonts w:ascii="ITC Avant Garde" w:hAnsi="ITC Avant Garde"/>
        </w:rPr>
        <w:t>litis</w:t>
      </w:r>
      <w:proofErr w:type="spellEnd"/>
      <w:r w:rsidRPr="0034602F">
        <w:rPr>
          <w:rFonts w:ascii="ITC Avant Garde" w:hAnsi="ITC Avant Garde"/>
        </w:rPr>
        <w:t xml:space="preserve"> del mismo se sujeta únicamente a acreditar o desvirtuar la comisión de la conducta sancionable, lo cual se fortalece con la imposibilidad de impugnar actos emitidos durante el procedimiento. </w:t>
      </w:r>
    </w:p>
    <w:p w14:paraId="17FCDBB9" w14:textId="77777777" w:rsidR="003C5E62" w:rsidRPr="0034602F" w:rsidRDefault="00CF5603" w:rsidP="00583167">
      <w:pPr>
        <w:tabs>
          <w:tab w:val="left" w:pos="851"/>
        </w:tabs>
        <w:spacing w:before="240" w:after="240" w:line="360" w:lineRule="auto"/>
        <w:jc w:val="both"/>
        <w:rPr>
          <w:rFonts w:ascii="ITC Avant Garde" w:eastAsia="Times New Roman" w:hAnsi="ITC Avant Garde"/>
          <w:bCs/>
          <w:color w:val="000000"/>
          <w:sz w:val="16"/>
          <w:szCs w:val="16"/>
          <w:lang w:eastAsia="es-MX"/>
        </w:rPr>
      </w:pPr>
      <w:r w:rsidRPr="0034602F">
        <w:rPr>
          <w:rFonts w:ascii="ITC Avant Garde" w:hAnsi="ITC Avant Garde"/>
        </w:rPr>
        <w:t xml:space="preserve">Por tanto, el análisis de los mismos debe en todo caso estar encaminado a desvirtuar las imputaciones realizadas por la autoridad, relacionadas con la comisión de las conductas presuntamente sancionables; como lo es la probable infracción a lo dispuesto en los artículos 66 en relación con el 75 y la presunta actualización de la hipótesis normativa prevista en el artículo 305, todos de la </w:t>
      </w:r>
      <w:proofErr w:type="spellStart"/>
      <w:r w:rsidRPr="0034602F">
        <w:rPr>
          <w:rFonts w:ascii="ITC Avant Garde" w:hAnsi="ITC Avant Garde"/>
          <w:b/>
        </w:rPr>
        <w:t>LFTyR</w:t>
      </w:r>
      <w:proofErr w:type="spellEnd"/>
      <w:r w:rsidRPr="0034602F">
        <w:rPr>
          <w:rFonts w:ascii="ITC Avant Garde" w:hAnsi="ITC Avant Garde"/>
          <w:b/>
        </w:rPr>
        <w:t>.</w:t>
      </w:r>
    </w:p>
    <w:p w14:paraId="17654226" w14:textId="77777777" w:rsidR="006D6786" w:rsidRDefault="00CF5603" w:rsidP="00583167">
      <w:pPr>
        <w:tabs>
          <w:tab w:val="left" w:pos="851"/>
        </w:tabs>
        <w:spacing w:before="240" w:after="240" w:line="360" w:lineRule="auto"/>
        <w:jc w:val="both"/>
        <w:rPr>
          <w:rFonts w:ascii="ITC Avant Garde" w:eastAsia="Times New Roman" w:hAnsi="ITC Avant Garde"/>
          <w:bCs/>
          <w:color w:val="000000"/>
          <w:lang w:eastAsia="es-MX"/>
        </w:rPr>
        <w:sectPr w:rsidR="006D6786" w:rsidSect="006345CE">
          <w:headerReference w:type="default" r:id="rId29"/>
          <w:pgSz w:w="12240" w:h="15840"/>
          <w:pgMar w:top="426" w:right="1418" w:bottom="1418" w:left="1418" w:header="709" w:footer="420" w:gutter="0"/>
          <w:cols w:space="708"/>
          <w:docGrid w:linePitch="360"/>
        </w:sectPr>
      </w:pPr>
      <w:r w:rsidRPr="0034602F">
        <w:rPr>
          <w:rFonts w:ascii="ITC Avant Garde" w:eastAsia="Times New Roman" w:hAnsi="ITC Avant Garde"/>
          <w:bCs/>
          <w:color w:val="000000"/>
          <w:lang w:eastAsia="es-MX"/>
        </w:rPr>
        <w:t xml:space="preserve">No obstante lo anterior, de acuerdo a lo señalado en los Resultandos </w:t>
      </w:r>
      <w:r w:rsidR="005B4493" w:rsidRPr="0034602F">
        <w:rPr>
          <w:rFonts w:ascii="ITC Avant Garde" w:eastAsia="Times New Roman" w:hAnsi="ITC Avant Garde"/>
          <w:b/>
          <w:bCs/>
          <w:color w:val="000000"/>
          <w:lang w:eastAsia="es-MX"/>
        </w:rPr>
        <w:t>DÉCIMO PRIMERO Y DÉCIMO SEGUNDO</w:t>
      </w:r>
      <w:r w:rsidRPr="0034602F">
        <w:rPr>
          <w:rFonts w:ascii="ITC Avant Garde" w:eastAsia="Times New Roman" w:hAnsi="ITC Avant Garde"/>
          <w:bCs/>
          <w:color w:val="000000"/>
          <w:lang w:eastAsia="es-MX"/>
        </w:rPr>
        <w:t xml:space="preserve"> de la presente Resolución, y toda vez que el </w:t>
      </w:r>
      <w:r w:rsidRPr="0034602F">
        <w:rPr>
          <w:rFonts w:ascii="ITC Avant Garde" w:hAnsi="ITC Avant Garde"/>
          <w:b/>
        </w:rPr>
        <w:t>PRESUNTO RESPONSABLE</w:t>
      </w:r>
      <w:r w:rsidRPr="0034602F">
        <w:rPr>
          <w:rFonts w:ascii="ITC Avant Garde" w:hAnsi="ITC Avant Garde" w:cs="Arial"/>
        </w:rPr>
        <w:t xml:space="preserve"> omitió</w:t>
      </w:r>
      <w:r w:rsidRPr="0034602F">
        <w:rPr>
          <w:rFonts w:ascii="ITC Avant Garde" w:hAnsi="ITC Avant Garde" w:cs="Arial"/>
          <w:b/>
        </w:rPr>
        <w:t xml:space="preserve"> </w:t>
      </w:r>
      <w:r w:rsidRPr="0034602F">
        <w:rPr>
          <w:rFonts w:ascii="ITC Avant Garde" w:eastAsia="Times New Roman" w:hAnsi="ITC Avant Garde"/>
          <w:bCs/>
          <w:color w:val="000000"/>
          <w:lang w:eastAsia="es-MX"/>
        </w:rPr>
        <w:t xml:space="preserve">presentar pruebas y defensas dentro del plazo establecido para ello, por proveído de </w:t>
      </w:r>
      <w:r w:rsidR="005B4493" w:rsidRPr="0034602F">
        <w:rPr>
          <w:rFonts w:ascii="ITC Avant Garde" w:eastAsia="Times New Roman" w:hAnsi="ITC Avant Garde"/>
          <w:bCs/>
          <w:color w:val="000000"/>
          <w:lang w:eastAsia="es-MX"/>
        </w:rPr>
        <w:t>diecisiete de febrero</w:t>
      </w:r>
      <w:r w:rsidRPr="0034602F">
        <w:rPr>
          <w:rFonts w:ascii="ITC Avant Garde" w:eastAsia="Times New Roman" w:hAnsi="ITC Avant Garde"/>
          <w:bCs/>
          <w:color w:val="000000"/>
          <w:lang w:eastAsia="es-MX"/>
        </w:rPr>
        <w:t xml:space="preserve"> de dos mil diecisiete, notificado por publicación de lista diaria de notificaciones en la página de este </w:t>
      </w:r>
      <w:r w:rsidRPr="0034602F">
        <w:rPr>
          <w:rFonts w:ascii="ITC Avant Garde" w:eastAsia="Times New Roman" w:hAnsi="ITC Avant Garde"/>
          <w:b/>
          <w:bCs/>
          <w:color w:val="000000"/>
          <w:lang w:eastAsia="es-MX"/>
        </w:rPr>
        <w:t>IFT</w:t>
      </w:r>
      <w:r w:rsidRPr="0034602F">
        <w:rPr>
          <w:rFonts w:ascii="ITC Avant Garde" w:eastAsia="Times New Roman" w:hAnsi="ITC Avant Garde"/>
          <w:bCs/>
          <w:color w:val="000000"/>
          <w:lang w:eastAsia="es-MX"/>
        </w:rPr>
        <w:t xml:space="preserve"> </w:t>
      </w:r>
      <w:r w:rsidR="005B4493" w:rsidRPr="0034602F">
        <w:rPr>
          <w:rFonts w:ascii="ITC Avant Garde" w:eastAsia="Times New Roman" w:hAnsi="ITC Avant Garde"/>
          <w:bCs/>
          <w:color w:val="000000"/>
          <w:lang w:eastAsia="es-MX"/>
        </w:rPr>
        <w:t>en la  misma fecha</w:t>
      </w:r>
      <w:r w:rsidRPr="0034602F">
        <w:rPr>
          <w:rFonts w:ascii="ITC Avant Garde" w:eastAsia="Times New Roman" w:hAnsi="ITC Avant Garde"/>
          <w:bCs/>
          <w:color w:val="000000"/>
          <w:lang w:eastAsia="es-MX"/>
        </w:rPr>
        <w:t xml:space="preserve">, se le hizo efectivo el apercibimiento decretado </w:t>
      </w:r>
      <w:r w:rsidRPr="0034602F">
        <w:rPr>
          <w:rFonts w:ascii="ITC Avant Garde" w:hAnsi="ITC Avant Garde"/>
        </w:rPr>
        <w:t xml:space="preserve">en el </w:t>
      </w:r>
      <w:r w:rsidRPr="0034602F">
        <w:rPr>
          <w:rFonts w:ascii="ITC Avant Garde" w:eastAsia="Times New Roman" w:hAnsi="ITC Avant Garde"/>
          <w:bCs/>
          <w:color w:val="000000"/>
          <w:lang w:eastAsia="es-MX"/>
        </w:rPr>
        <w:t xml:space="preserve">acuerdo de nueve de diciembre de dos mil dieciséis, por lo que se le tuvo por </w:t>
      </w:r>
      <w:proofErr w:type="spellStart"/>
      <w:r w:rsidRPr="0034602F">
        <w:rPr>
          <w:rFonts w:ascii="ITC Avant Garde" w:eastAsia="Times New Roman" w:hAnsi="ITC Avant Garde"/>
          <w:bCs/>
          <w:color w:val="000000"/>
          <w:lang w:eastAsia="es-MX"/>
        </w:rPr>
        <w:t>precluido</w:t>
      </w:r>
      <w:proofErr w:type="spellEnd"/>
      <w:r w:rsidRPr="0034602F">
        <w:rPr>
          <w:rFonts w:ascii="ITC Avant Garde" w:eastAsia="Times New Roman" w:hAnsi="ITC Avant Garde"/>
          <w:bCs/>
          <w:color w:val="000000"/>
          <w:lang w:eastAsia="es-MX"/>
        </w:rPr>
        <w:t xml:space="preserve"> su derecho para presentar pruebas y defensas de su parte. Lo anterior, con fundamento en los artículos 72 de la </w:t>
      </w:r>
    </w:p>
    <w:p w14:paraId="63E0FA0B" w14:textId="28D891FC" w:rsidR="003C5E62" w:rsidRPr="0034602F" w:rsidRDefault="00CF5603" w:rsidP="00583167">
      <w:p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
          <w:bCs/>
          <w:color w:val="000000"/>
          <w:lang w:eastAsia="es-MX"/>
        </w:rPr>
        <w:lastRenderedPageBreak/>
        <w:t>LFPA</w:t>
      </w:r>
      <w:r w:rsidRPr="0034602F">
        <w:rPr>
          <w:rFonts w:ascii="ITC Avant Garde" w:eastAsia="Times New Roman" w:hAnsi="ITC Avant Garde"/>
          <w:bCs/>
          <w:color w:val="000000"/>
          <w:lang w:eastAsia="es-MX"/>
        </w:rPr>
        <w:t xml:space="preserve"> y 288 del Código Federal de Procedimientos Civiles (“</w:t>
      </w:r>
      <w:r w:rsidRPr="0034602F">
        <w:rPr>
          <w:rFonts w:ascii="ITC Avant Garde" w:eastAsia="Times New Roman" w:hAnsi="ITC Avant Garde"/>
          <w:b/>
          <w:bCs/>
          <w:color w:val="000000"/>
          <w:lang w:eastAsia="es-MX"/>
        </w:rPr>
        <w:t>CFPC”</w:t>
      </w:r>
      <w:r w:rsidRPr="0034602F">
        <w:rPr>
          <w:rFonts w:ascii="ITC Avant Garde" w:eastAsia="Times New Roman" w:hAnsi="ITC Avant Garde"/>
          <w:bCs/>
          <w:color w:val="000000"/>
          <w:lang w:eastAsia="es-MX"/>
        </w:rPr>
        <w:t xml:space="preserve">), de aplicación supletoria en términos de los artículos 6, fracciones IV y VII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xml:space="preserve"> y 2 de la </w:t>
      </w:r>
      <w:r w:rsidRPr="0034602F">
        <w:rPr>
          <w:rFonts w:ascii="ITC Avant Garde" w:eastAsia="Times New Roman" w:hAnsi="ITC Avant Garde"/>
          <w:b/>
          <w:bCs/>
          <w:color w:val="000000"/>
          <w:lang w:eastAsia="es-MX"/>
        </w:rPr>
        <w:t>LFPA</w:t>
      </w:r>
      <w:r w:rsidRPr="0034602F">
        <w:rPr>
          <w:rFonts w:ascii="ITC Avant Garde" w:eastAsia="Times New Roman" w:hAnsi="ITC Avant Garde"/>
          <w:bCs/>
          <w:color w:val="000000"/>
          <w:lang w:eastAsia="es-MX"/>
        </w:rPr>
        <w:t>.</w:t>
      </w:r>
    </w:p>
    <w:p w14:paraId="03239F82" w14:textId="5A860E57" w:rsidR="00CF5603" w:rsidRPr="0034602F" w:rsidRDefault="00CF5603" w:rsidP="00583167">
      <w:p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Sirve de apoyo a lo anterior el criterio sostenido por la Primera Sala de la Suprema</w:t>
      </w:r>
    </w:p>
    <w:p w14:paraId="21E2E082" w14:textId="77777777" w:rsidR="003C5E62" w:rsidRPr="0034602F" w:rsidRDefault="00CF5603" w:rsidP="00583167">
      <w:p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Corte de Justicia de la Nación, publicado en el Semanario Judicial de la Federación y su Gaceta, Libro XXII, en Julio de 2013, Tomo 1, Materia(s): Constitucional, Tesis: la. CCV/2013 (100.), Página: 565 cuyo Rubro y texto son del tenor siguiente:</w:t>
      </w:r>
    </w:p>
    <w:p w14:paraId="7BA38DB7" w14:textId="77777777" w:rsidR="003C5E62" w:rsidRPr="0034602F" w:rsidRDefault="00CF5603" w:rsidP="00583167">
      <w:pPr>
        <w:pStyle w:val="Textoindependiente"/>
        <w:spacing w:before="240" w:after="240" w:line="240" w:lineRule="auto"/>
        <w:ind w:left="567" w:right="284"/>
        <w:jc w:val="both"/>
        <w:rPr>
          <w:rFonts w:ascii="ITC Avant Garde" w:eastAsia="Times New Roman" w:hAnsi="ITC Avant Garde"/>
          <w:bCs/>
          <w:color w:val="000000"/>
          <w:sz w:val="20"/>
          <w:szCs w:val="20"/>
          <w:lang w:eastAsia="es-MX"/>
        </w:rPr>
      </w:pPr>
      <w:r w:rsidRPr="0034602F">
        <w:rPr>
          <w:rFonts w:ascii="ITC Avant Garde" w:eastAsia="Times New Roman" w:hAnsi="ITC Avant Garde"/>
          <w:b/>
          <w:bCs/>
          <w:color w:val="000000"/>
          <w:sz w:val="20"/>
          <w:szCs w:val="20"/>
          <w:lang w:eastAsia="es-MX"/>
        </w:rPr>
        <w:t>“PRECLUSIÓN DE UN DERECHO PROCESAL NO CONTRAVIENE EL PRINCIPIO DE JUSTICIA PRONTA PREVISTO EN EL ARTÍCULO 17 DE LA CONSTITUCIÓN POLITICA DE LOS ESTADOS UNIDOS MEXICANOS.</w:t>
      </w:r>
      <w:r w:rsidRPr="0034602F">
        <w:rPr>
          <w:rFonts w:ascii="ITC Avant Garde" w:eastAsia="Times New Roman" w:hAnsi="ITC Avant Garde"/>
          <w:bCs/>
          <w:color w:val="000000"/>
          <w:sz w:val="20"/>
          <w:szCs w:val="20"/>
          <w:lang w:eastAsia="es-MX"/>
        </w:rPr>
        <w:t xml:space="preserve"> La preclusión es una sanción que da seguridad e irreversibilidad al desarrollo del proceso, pues consiste en la pérdida, extinción o consumación de una facultad procesal, y por la cual las distintas etapas del/procedimiento adquieren firmeza y se da sustento a las fases subsecuentes, lo cual no sólo permite que el juicio se desarrolle ordenadamente, sino que establece un límite a la posibilidad de discusión, lo cual coadyuva a que la controversia se solucione en el menor tiempo posible; de ahí que dicha institución no contraviene el principio de justicia pronta que prevé el artículo 17 de la Constitución Política de los Estados Unidos Mexicanos, que se traduce en la obligación de las autoridades encargadas de su impartición, de resolver las controversias ante ellas planteadas, dentro de los términos y plazos que al efecto establezcan las leyes.”</w:t>
      </w:r>
    </w:p>
    <w:p w14:paraId="005805C5" w14:textId="44C43560" w:rsidR="003C5E62" w:rsidRPr="0034602F" w:rsidRDefault="009D0592" w:rsidP="00583167">
      <w:pPr>
        <w:spacing w:before="240" w:after="240" w:line="360" w:lineRule="auto"/>
        <w:jc w:val="both"/>
        <w:rPr>
          <w:rFonts w:ascii="ITC Avant Garde" w:hAnsi="ITC Avant Garde"/>
        </w:rPr>
      </w:pPr>
      <w:r w:rsidRPr="0034602F">
        <w:rPr>
          <w:rFonts w:ascii="ITC Avant Garde" w:hAnsi="ITC Avant Garde"/>
        </w:rPr>
        <w:t xml:space="preserve">Ahora bien, no obstante haber sido legalmente notificado </w:t>
      </w:r>
      <w:r w:rsidR="005557FF" w:rsidRPr="0034602F">
        <w:rPr>
          <w:rFonts w:ascii="ITC Avant Garde" w:hAnsi="ITC Avant Garde"/>
        </w:rPr>
        <w:t xml:space="preserve">el </w:t>
      </w:r>
      <w:r w:rsidR="00295A4F" w:rsidRPr="0034602F">
        <w:rPr>
          <w:rFonts w:ascii="ITC Avant Garde" w:hAnsi="ITC Avant Garde"/>
          <w:b/>
        </w:rPr>
        <w:t xml:space="preserve">PROPIETARIO Y/O POSEEDOR </w:t>
      </w:r>
      <w:r w:rsidRPr="0034602F">
        <w:rPr>
          <w:rFonts w:ascii="ITC Avant Garde" w:hAnsi="ITC Avant Garde"/>
        </w:rPr>
        <w:t>en el domicilio en el que se detectaron los equipos de su propiedad prestando el servicio de radiodifusión,</w:t>
      </w:r>
      <w:r w:rsidR="005557FF" w:rsidRPr="0034602F">
        <w:rPr>
          <w:rFonts w:ascii="ITC Avant Garde" w:hAnsi="ITC Avant Garde"/>
        </w:rPr>
        <w:t xml:space="preserve"> así como </w:t>
      </w:r>
      <w:r w:rsidR="00295A4F" w:rsidRPr="0034602F">
        <w:rPr>
          <w:rFonts w:ascii="ITC Avant Garde" w:hAnsi="ITC Avant Garde"/>
        </w:rPr>
        <w:t xml:space="preserve">a </w:t>
      </w:r>
      <w:r w:rsidR="009D2C5D">
        <w:rPr>
          <w:rFonts w:ascii="ITC Avant Garde" w:hAnsi="ITC Avant Garde"/>
          <w:b/>
          <w:bCs/>
          <w:color w:val="0000FF"/>
        </w:rPr>
        <w:t>“CONFIDENCIAL POR LEY”</w:t>
      </w:r>
      <w:r w:rsidR="00295A4F" w:rsidRPr="0034602F">
        <w:rPr>
          <w:rFonts w:ascii="ITC Avant Garde" w:hAnsi="ITC Avant Garde"/>
          <w:b/>
        </w:rPr>
        <w:t xml:space="preserve"> </w:t>
      </w:r>
      <w:r w:rsidR="005557FF" w:rsidRPr="0034602F">
        <w:rPr>
          <w:rFonts w:ascii="ITC Avant Garde" w:hAnsi="ITC Avant Garde"/>
        </w:rPr>
        <w:t>en su domicilio particular</w:t>
      </w:r>
      <w:r w:rsidRPr="0034602F">
        <w:rPr>
          <w:rFonts w:ascii="ITC Avant Garde" w:hAnsi="ITC Avant Garde"/>
        </w:rPr>
        <w:t xml:space="preserve"> </w:t>
      </w:r>
      <w:r w:rsidR="00295A4F" w:rsidRPr="0034602F">
        <w:rPr>
          <w:rFonts w:ascii="ITC Avant Garde" w:hAnsi="ITC Avant Garde"/>
        </w:rPr>
        <w:t>según constancias que obran en la Unidad de Cumplimiento</w:t>
      </w:r>
      <w:r w:rsidR="00E14403" w:rsidRPr="0034602F">
        <w:rPr>
          <w:rStyle w:val="Refdenotaalpie"/>
          <w:rFonts w:ascii="ITC Avant Garde" w:hAnsi="ITC Avant Garde"/>
        </w:rPr>
        <w:footnoteReference w:id="5"/>
      </w:r>
      <w:r w:rsidR="00295A4F" w:rsidRPr="0034602F">
        <w:rPr>
          <w:rFonts w:ascii="ITC Avant Garde" w:hAnsi="ITC Avant Garde"/>
        </w:rPr>
        <w:t xml:space="preserve">, ninguna </w:t>
      </w:r>
      <w:r w:rsidRPr="0034602F">
        <w:rPr>
          <w:rFonts w:ascii="ITC Avant Garde" w:hAnsi="ITC Avant Garde"/>
        </w:rPr>
        <w:t>persona compareció al presente procedimiento a defender sus intereses.</w:t>
      </w:r>
    </w:p>
    <w:p w14:paraId="7209DF31" w14:textId="77777777" w:rsidR="006D6786" w:rsidRDefault="009D0592" w:rsidP="00583167">
      <w:pPr>
        <w:tabs>
          <w:tab w:val="left" w:pos="851"/>
        </w:tabs>
        <w:spacing w:before="240" w:after="240" w:line="360" w:lineRule="auto"/>
        <w:jc w:val="both"/>
        <w:rPr>
          <w:rFonts w:ascii="ITC Avant Garde" w:eastAsia="Times New Roman" w:hAnsi="ITC Avant Garde"/>
          <w:bCs/>
          <w:color w:val="000000"/>
          <w:lang w:eastAsia="es-MX"/>
        </w:rPr>
        <w:sectPr w:rsidR="006D6786" w:rsidSect="006345CE">
          <w:headerReference w:type="default" r:id="rId30"/>
          <w:pgSz w:w="12240" w:h="15840"/>
          <w:pgMar w:top="426" w:right="1418" w:bottom="1418" w:left="1418" w:header="709" w:footer="420" w:gutter="0"/>
          <w:cols w:space="708"/>
          <w:docGrid w:linePitch="360"/>
        </w:sectPr>
      </w:pPr>
      <w:r w:rsidRPr="0034602F">
        <w:rPr>
          <w:rFonts w:ascii="ITC Avant Garde" w:eastAsia="Times New Roman" w:hAnsi="ITC Avant Garde"/>
          <w:bCs/>
          <w:color w:val="000000"/>
          <w:lang w:eastAsia="es-MX"/>
        </w:rPr>
        <w:t>Ello es así, considerando que</w:t>
      </w:r>
      <w:r w:rsidR="00200D2C" w:rsidRPr="0034602F">
        <w:rPr>
          <w:rFonts w:ascii="ITC Avant Garde" w:eastAsia="Times New Roman" w:hAnsi="ITC Avant Garde"/>
          <w:bCs/>
          <w:color w:val="000000"/>
          <w:lang w:eastAsia="es-MX"/>
        </w:rPr>
        <w:t xml:space="preserve"> el</w:t>
      </w:r>
      <w:r w:rsidRPr="0034602F">
        <w:rPr>
          <w:rFonts w:ascii="ITC Avant Garde" w:eastAsia="Times New Roman" w:hAnsi="ITC Avant Garde"/>
          <w:bCs/>
          <w:color w:val="000000"/>
          <w:lang w:eastAsia="es-MX"/>
        </w:rPr>
        <w:t xml:space="preserve"> </w:t>
      </w:r>
      <w:r w:rsidR="00F75C53" w:rsidRPr="0034602F">
        <w:rPr>
          <w:rFonts w:ascii="ITC Avant Garde" w:hAnsi="ITC Avant Garde"/>
          <w:b/>
        </w:rPr>
        <w:t>PRESUNTO RESPONSABLE</w:t>
      </w:r>
      <w:r w:rsidRPr="0034602F">
        <w:rPr>
          <w:rFonts w:ascii="ITC Avant Garde" w:hAnsi="ITC Avant Garde" w:cs="Arial"/>
          <w:b/>
        </w:rPr>
        <w:t xml:space="preserve">, </w:t>
      </w:r>
      <w:r w:rsidRPr="0034602F">
        <w:rPr>
          <w:rFonts w:ascii="ITC Avant Garde" w:eastAsia="Times New Roman" w:hAnsi="ITC Avant Garde"/>
          <w:bCs/>
          <w:color w:val="000000"/>
          <w:lang w:eastAsia="es-MX"/>
        </w:rPr>
        <w:t xml:space="preserve">fue omiso en presentar las pruebas y manifestaciones que a su derecho convinieren, no obstante haber sido debidamente llamado al presente procedimiento, por lo que al no existir constancia alguna que tienda a desvirtuar el probable incumplimiento materia del presente </w:t>
      </w:r>
    </w:p>
    <w:p w14:paraId="3715D749" w14:textId="35329EFB" w:rsidR="003C5E62" w:rsidRPr="0034602F" w:rsidRDefault="009D0592" w:rsidP="00583167">
      <w:pPr>
        <w:tabs>
          <w:tab w:val="left" w:pos="851"/>
        </w:tabs>
        <w:spacing w:before="240" w:after="240" w:line="360" w:lineRule="auto"/>
        <w:jc w:val="both"/>
        <w:rPr>
          <w:rFonts w:ascii="ITC Avant Garde" w:eastAsia="Times New Roman" w:hAnsi="ITC Avant Garde"/>
          <w:bCs/>
          <w:color w:val="000000"/>
          <w:lang w:eastAsia="es-MX"/>
        </w:rPr>
      </w:pPr>
      <w:proofErr w:type="gramStart"/>
      <w:r w:rsidRPr="0034602F">
        <w:rPr>
          <w:rFonts w:ascii="ITC Avant Garde" w:eastAsia="Times New Roman" w:hAnsi="ITC Avant Garde"/>
          <w:bCs/>
          <w:color w:val="000000"/>
          <w:lang w:eastAsia="es-MX"/>
        </w:rPr>
        <w:lastRenderedPageBreak/>
        <w:t>procedimiento</w:t>
      </w:r>
      <w:proofErr w:type="gramEnd"/>
      <w:r w:rsidRPr="0034602F">
        <w:rPr>
          <w:rFonts w:ascii="ITC Avant Garde" w:eastAsia="Times New Roman" w:hAnsi="ITC Avant Garde"/>
          <w:bCs/>
          <w:color w:val="000000"/>
          <w:lang w:eastAsia="es-MX"/>
        </w:rPr>
        <w:t xml:space="preserve"> ni existir controversia en los hechos y derecho materia del mismo, lo procedente es emitir la resolución que conforme a derecho corresponda, con base en lo elementos con que cuenta esta autoridad.</w:t>
      </w:r>
    </w:p>
    <w:p w14:paraId="43652E8D" w14:textId="77777777" w:rsidR="003C5E62" w:rsidRPr="0034602F" w:rsidRDefault="009D0592" w:rsidP="00583167">
      <w:p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En efecto, lo establecido en el acuerdo de inicio del procedimiento que en este acto se resuelve constituye una presunción legal iuris tantum, la cual sólo es destruible mediante otra probanza que se aporte en sentido contrario, ya que de no ser así, la misma tiene valor probatorio pleno.</w:t>
      </w:r>
    </w:p>
    <w:p w14:paraId="713BA28B" w14:textId="77777777" w:rsidR="003C5E62" w:rsidRPr="0034602F" w:rsidRDefault="009D0592" w:rsidP="00583167">
      <w:p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Desde luego, para que se pueda desvirtuar la presunción legal, la idoneidad de la contraprueba tiene que ser contundente para vencer la plenitud </w:t>
      </w:r>
      <w:proofErr w:type="spellStart"/>
      <w:r w:rsidRPr="0034602F">
        <w:rPr>
          <w:rFonts w:ascii="ITC Avant Garde" w:eastAsia="Times New Roman" w:hAnsi="ITC Avant Garde"/>
          <w:bCs/>
          <w:color w:val="000000"/>
          <w:lang w:eastAsia="es-MX"/>
        </w:rPr>
        <w:t>convictiva</w:t>
      </w:r>
      <w:proofErr w:type="spellEnd"/>
      <w:r w:rsidRPr="0034602F">
        <w:rPr>
          <w:rFonts w:ascii="ITC Avant Garde" w:eastAsia="Times New Roman" w:hAnsi="ITC Avant Garde"/>
          <w:bCs/>
          <w:color w:val="000000"/>
          <w:lang w:eastAsia="es-MX"/>
        </w:rPr>
        <w:t xml:space="preserve"> que la ley le atribuye a la primera, de manera que si el presunto infractor no ofrece prueba tendiente a desvirtuar la presunción de incumplimiento detectado, como aconteció en la especie, entonces, no es posible vencer la solidez atribuida a la presunción relativa de que se trate.</w:t>
      </w:r>
    </w:p>
    <w:p w14:paraId="44C0E3F4" w14:textId="77777777" w:rsidR="003C5E62" w:rsidRPr="0034602F" w:rsidRDefault="009D0592" w:rsidP="00583167">
      <w:p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Al respecto, resultan aplicables por analogía las siguientes tesis:</w:t>
      </w:r>
    </w:p>
    <w:p w14:paraId="13508C6B" w14:textId="77777777" w:rsidR="003C5E62" w:rsidRPr="0034602F" w:rsidRDefault="009D0592" w:rsidP="00583167">
      <w:pPr>
        <w:tabs>
          <w:tab w:val="left" w:pos="851"/>
        </w:tabs>
        <w:spacing w:before="240" w:after="240" w:line="240" w:lineRule="auto"/>
        <w:ind w:left="567" w:right="567"/>
        <w:jc w:val="both"/>
        <w:rPr>
          <w:rFonts w:ascii="ITC Avant Garde" w:eastAsia="Times New Roman" w:hAnsi="ITC Avant Garde"/>
          <w:bCs/>
          <w:color w:val="000000"/>
          <w:sz w:val="20"/>
          <w:szCs w:val="20"/>
          <w:lang w:eastAsia="es-MX"/>
        </w:rPr>
      </w:pPr>
      <w:r w:rsidRPr="0034602F">
        <w:rPr>
          <w:rFonts w:ascii="ITC Avant Garde" w:eastAsia="Times New Roman" w:hAnsi="ITC Avant Garde"/>
          <w:bCs/>
          <w:color w:val="000000"/>
          <w:sz w:val="20"/>
          <w:szCs w:val="20"/>
          <w:lang w:eastAsia="es-MX"/>
        </w:rPr>
        <w:t>“</w:t>
      </w:r>
      <w:r w:rsidRPr="0034602F">
        <w:rPr>
          <w:rFonts w:ascii="ITC Avant Garde" w:eastAsia="Times New Roman" w:hAnsi="ITC Avant Garde"/>
          <w:b/>
          <w:bCs/>
          <w:color w:val="000000"/>
          <w:sz w:val="20"/>
          <w:szCs w:val="20"/>
          <w:lang w:eastAsia="es-MX"/>
        </w:rPr>
        <w:t xml:space="preserve">CONFESIÓN FICTA. ES UNA PRESUNCIÓN LEGAL QUE PUEDE SER DESVIRTUADA POR CUALQUIER PRUEBA RENDIDA EN EL JUICIO, PERO EN CASO DE NO EXISTIR MEDIO DE CONVICCIÓN ALGUNO QUE LA CONTRAVENGA, ADQUIERE LA CALIDAD DE PRUEBA PLENA (LEGISLACIÓN DEL ESTADO DE PUEBLA). </w:t>
      </w:r>
      <w:r w:rsidRPr="0034602F">
        <w:rPr>
          <w:rFonts w:ascii="ITC Avant Garde" w:eastAsia="Times New Roman" w:hAnsi="ITC Avant Garde"/>
          <w:bCs/>
          <w:color w:val="000000"/>
          <w:sz w:val="20"/>
          <w:szCs w:val="20"/>
          <w:lang w:eastAsia="es-MX"/>
        </w:rPr>
        <w:t xml:space="preserve">Francesco Carnelutti, en su obra Instituciones de Derecho Procesal Civil, páginas 410 y 411, Biblioteca Clásicos del Derecho, primera serie, volumen cinco, Editorial Oxford, México, 1999, define a las presunciones como aquellas que no tienen en sí mismas un destino probatorio, sino que se convierten en tales por su fortuita conexión con el hecho a probar, en cuyo caso, el Juez se encuentra frente a un hecho diverso al que se pretende probar, y las clasifica en simples y legales; en las primeras, la ley permite al Juez su libre apreciación y en las legales, la ley vincula su apreciación por medio de sus reglas. Estas últimas, dice el autor, a su vez se clasifican en presunciones legales relativas, o iuris tantum, y legales absolutas o iuris et de jure. Por otra parte, la Enciclopedia </w:t>
      </w:r>
      <w:proofErr w:type="spellStart"/>
      <w:r w:rsidRPr="0034602F">
        <w:rPr>
          <w:rFonts w:ascii="ITC Avant Garde" w:eastAsia="Times New Roman" w:hAnsi="ITC Avant Garde"/>
          <w:bCs/>
          <w:color w:val="000000"/>
          <w:sz w:val="20"/>
          <w:szCs w:val="20"/>
          <w:lang w:eastAsia="es-MX"/>
        </w:rPr>
        <w:t>Omeba</w:t>
      </w:r>
      <w:proofErr w:type="spellEnd"/>
      <w:r w:rsidRPr="0034602F">
        <w:rPr>
          <w:rFonts w:ascii="ITC Avant Garde" w:eastAsia="Times New Roman" w:hAnsi="ITC Avant Garde"/>
          <w:bCs/>
          <w:color w:val="000000"/>
          <w:sz w:val="20"/>
          <w:szCs w:val="20"/>
          <w:lang w:eastAsia="es-MX"/>
        </w:rPr>
        <w:t xml:space="preserve">, en su tomo XVI, páginas 952 y 953, Editorial </w:t>
      </w:r>
      <w:proofErr w:type="spellStart"/>
      <w:r w:rsidRPr="0034602F">
        <w:rPr>
          <w:rFonts w:ascii="ITC Avant Garde" w:eastAsia="Times New Roman" w:hAnsi="ITC Avant Garde"/>
          <w:bCs/>
          <w:color w:val="000000"/>
          <w:sz w:val="20"/>
          <w:szCs w:val="20"/>
          <w:lang w:eastAsia="es-MX"/>
        </w:rPr>
        <w:t>Driskill</w:t>
      </w:r>
      <w:proofErr w:type="spellEnd"/>
      <w:r w:rsidRPr="0034602F">
        <w:rPr>
          <w:rFonts w:ascii="ITC Avant Garde" w:eastAsia="Times New Roman" w:hAnsi="ITC Avant Garde"/>
          <w:bCs/>
          <w:color w:val="000000"/>
          <w:sz w:val="20"/>
          <w:szCs w:val="20"/>
          <w:lang w:eastAsia="es-MX"/>
        </w:rPr>
        <w:t xml:space="preserve">, Sociedad Anónima, Argentina, 1978, define a las presunciones iuris et de jure, como aquellas en que la ley no admite prueba en contrario, y obligan al Juez a aceptar como cierto el hecho que se presume, mientras que a las iuris tantum, las define como aquellas en que la ley admite la existencia de un hecho, salvo que se demuestre lo contrario. Ahora bien, los artículos 423 y 439 del Código de Procedimientos Civiles para el Estado, vigentes hasta el 31 de diciembre de 2004, disponen: "Artículo 423. La confesión ficta produce presunción legal; pero esta presunción puede ser desvirtuada por cualquiera de las demás pruebas rendidas en el juicio.", y "Artículo 439. Las presunciones </w:t>
      </w:r>
      <w:proofErr w:type="spellStart"/>
      <w:r w:rsidRPr="0034602F">
        <w:rPr>
          <w:rFonts w:ascii="ITC Avant Garde" w:eastAsia="Times New Roman" w:hAnsi="ITC Avant Garde"/>
          <w:bCs/>
          <w:color w:val="000000"/>
          <w:sz w:val="20"/>
          <w:szCs w:val="20"/>
          <w:lang w:eastAsia="es-MX"/>
        </w:rPr>
        <w:t>juris</w:t>
      </w:r>
      <w:proofErr w:type="spellEnd"/>
      <w:r w:rsidRPr="0034602F">
        <w:rPr>
          <w:rFonts w:ascii="ITC Avant Garde" w:eastAsia="Times New Roman" w:hAnsi="ITC Avant Garde"/>
          <w:bCs/>
          <w:color w:val="000000"/>
          <w:sz w:val="20"/>
          <w:szCs w:val="20"/>
          <w:lang w:eastAsia="es-MX"/>
        </w:rPr>
        <w:t xml:space="preserve"> et de jure hacen prueba plena en todo caso.-Las presunciones </w:t>
      </w:r>
      <w:proofErr w:type="spellStart"/>
      <w:r w:rsidRPr="0034602F">
        <w:rPr>
          <w:rFonts w:ascii="ITC Avant Garde" w:eastAsia="Times New Roman" w:hAnsi="ITC Avant Garde"/>
          <w:bCs/>
          <w:color w:val="000000"/>
          <w:sz w:val="20"/>
          <w:szCs w:val="20"/>
          <w:lang w:eastAsia="es-MX"/>
        </w:rPr>
        <w:t>juris</w:t>
      </w:r>
      <w:proofErr w:type="spellEnd"/>
      <w:r w:rsidRPr="0034602F">
        <w:rPr>
          <w:rFonts w:ascii="ITC Avant Garde" w:eastAsia="Times New Roman" w:hAnsi="ITC Avant Garde"/>
          <w:bCs/>
          <w:color w:val="000000"/>
          <w:sz w:val="20"/>
          <w:szCs w:val="20"/>
          <w:lang w:eastAsia="es-MX"/>
        </w:rPr>
        <w:t xml:space="preserve"> tantum hacen prueba plena mientras no se demuestre lo contrario.", lo anteriormente expuesto permite concluir que la confesión ficta es una presunción iuris tantum, es decir admite prueba en contrario, pero en caso de no existir medio de convicción que la contravenga, adquiere el rango de prueba plena.”</w:t>
      </w:r>
    </w:p>
    <w:p w14:paraId="4D90C590" w14:textId="77777777" w:rsidR="003C5E62" w:rsidRPr="0034602F" w:rsidRDefault="009D0592" w:rsidP="00583167">
      <w:pPr>
        <w:tabs>
          <w:tab w:val="left" w:pos="851"/>
        </w:tabs>
        <w:spacing w:before="240" w:after="240" w:line="240" w:lineRule="auto"/>
        <w:ind w:left="567" w:right="567"/>
        <w:jc w:val="both"/>
        <w:rPr>
          <w:rFonts w:ascii="ITC Avant Garde" w:eastAsia="Times New Roman" w:hAnsi="ITC Avant Garde"/>
          <w:bCs/>
          <w:color w:val="000000"/>
          <w:sz w:val="18"/>
          <w:lang w:eastAsia="es-MX"/>
        </w:rPr>
      </w:pPr>
      <w:r w:rsidRPr="0034602F">
        <w:rPr>
          <w:rFonts w:ascii="ITC Avant Garde" w:eastAsia="Times New Roman" w:hAnsi="ITC Avant Garde"/>
          <w:bCs/>
          <w:color w:val="000000"/>
          <w:sz w:val="18"/>
          <w:lang w:eastAsia="es-MX"/>
        </w:rPr>
        <w:lastRenderedPageBreak/>
        <w:t xml:space="preserve">Época: Novena Época, Registro: 177341, Instancia: Tribunales Colegiados de Circuito, Tipo de Tesis: Aislada, Fuente: Semanario Judicial de la Federación y su Gaceta, Tomo XXII, Septiembre de 2005, Materia(s): Civil, Tesis: VI.1o.C.76 C, Página: 1432 </w:t>
      </w:r>
    </w:p>
    <w:p w14:paraId="5982449E" w14:textId="77777777" w:rsidR="003C5E62" w:rsidRPr="0034602F" w:rsidRDefault="009D0592" w:rsidP="00583167">
      <w:pPr>
        <w:tabs>
          <w:tab w:val="left" w:pos="851"/>
        </w:tabs>
        <w:spacing w:before="240" w:after="240" w:line="240" w:lineRule="auto"/>
        <w:ind w:left="567" w:right="567"/>
        <w:jc w:val="both"/>
        <w:rPr>
          <w:rFonts w:ascii="ITC Avant Garde" w:eastAsia="Times New Roman" w:hAnsi="ITC Avant Garde"/>
          <w:bCs/>
          <w:color w:val="000000"/>
          <w:sz w:val="20"/>
          <w:szCs w:val="20"/>
          <w:lang w:eastAsia="es-MX"/>
        </w:rPr>
      </w:pPr>
      <w:r w:rsidRPr="0034602F">
        <w:rPr>
          <w:rFonts w:ascii="ITC Avant Garde" w:eastAsia="Times New Roman" w:hAnsi="ITC Avant Garde"/>
          <w:bCs/>
          <w:color w:val="000000"/>
          <w:sz w:val="20"/>
          <w:szCs w:val="20"/>
          <w:lang w:eastAsia="es-MX"/>
        </w:rPr>
        <w:t>“</w:t>
      </w:r>
      <w:r w:rsidRPr="0034602F">
        <w:rPr>
          <w:rFonts w:ascii="ITC Avant Garde" w:eastAsia="Times New Roman" w:hAnsi="ITC Avant Garde"/>
          <w:b/>
          <w:bCs/>
          <w:color w:val="000000"/>
          <w:sz w:val="20"/>
          <w:szCs w:val="20"/>
          <w:lang w:eastAsia="es-MX"/>
        </w:rPr>
        <w:t>PRESUNCIÓN RELATIVA EN MATERIA CIVIL. SI LA LEY LE OTORGA EFICACIA PROBATORIA PLENA, PARA DESTRUIR SU EFECTO ES INSUFICIENTE OPONER INDICIOS (LEGISLACIÓN DEL ESTADO DE CHIHUAHUA).</w:t>
      </w:r>
      <w:r w:rsidRPr="0034602F">
        <w:rPr>
          <w:rFonts w:ascii="ITC Avant Garde" w:eastAsia="Times New Roman" w:hAnsi="ITC Avant Garde"/>
          <w:bCs/>
          <w:color w:val="000000"/>
          <w:sz w:val="20"/>
          <w:szCs w:val="20"/>
          <w:lang w:eastAsia="es-MX"/>
        </w:rPr>
        <w:t xml:space="preserve"> En la doctrina jurídica procesal de nuestros días es casi unánime la convicción de que las dos clases de presunciones: legales y humanas no son propiamente pruebas, sino el principio o argumento lógico que permite al juzgador otorgar mérito </w:t>
      </w:r>
      <w:proofErr w:type="spellStart"/>
      <w:r w:rsidRPr="0034602F">
        <w:rPr>
          <w:rFonts w:ascii="ITC Avant Garde" w:eastAsia="Times New Roman" w:hAnsi="ITC Avant Garde"/>
          <w:bCs/>
          <w:color w:val="000000"/>
          <w:sz w:val="20"/>
          <w:szCs w:val="20"/>
          <w:lang w:eastAsia="es-MX"/>
        </w:rPr>
        <w:t>convictivo</w:t>
      </w:r>
      <w:proofErr w:type="spellEnd"/>
      <w:r w:rsidRPr="0034602F">
        <w:rPr>
          <w:rFonts w:ascii="ITC Avant Garde" w:eastAsia="Times New Roman" w:hAnsi="ITC Avant Garde"/>
          <w:bCs/>
          <w:color w:val="000000"/>
          <w:sz w:val="20"/>
          <w:szCs w:val="20"/>
          <w:lang w:eastAsia="es-MX"/>
        </w:rPr>
        <w:t xml:space="preserve"> al indicio o a las pruebas en general, es decir, es la función racional que efectúa el Juez para inferir a partir de un hecho probado la existencia de otro desconocido. Cuando la presunción está prevista en la ley se llama legal, mientras que la judicial es aquella que realiza el órgano decisor según las reglas de la lógica y la experiencia, también llamada humana. Entre las legales, las presunciones son relativas iuris tantum o absolutas iuris et de iure, según admitan o no prueba en contrario. Así, esa verdad provisional o absoluta proviene de lo dispuesto por el legislador, de manera que una vez comprobado el hecho al Juez le corresponde atribuir certeza a sus consecuencias. Ahora bien, de acuerdo con la interpretación sistemática de los artículos 258, 373 y 391 del Código de Procedimientos Civiles para el Estado de Chihuahua, la falta de contestación de la demanda genera la presunción de tener por confesados los hechos que en ella se imputen y a su vez esa confesión tácita, resultado de una presunción legal relativa, debe ser valorada como una prueba cuya certeza sólo es destruible mediante otra probanza que se aporte en sentido contrario; pero, además, es necesario tener presente que el último dispositivo citado precisa con claridad que las presunciones legales hacen prueba plena. De lo anterior se concluye que la idoneidad de la contraprueba ha de ser tal que resulte contundente para vencer la plenitud </w:t>
      </w:r>
      <w:proofErr w:type="spellStart"/>
      <w:r w:rsidRPr="0034602F">
        <w:rPr>
          <w:rFonts w:ascii="ITC Avant Garde" w:eastAsia="Times New Roman" w:hAnsi="ITC Avant Garde"/>
          <w:bCs/>
          <w:color w:val="000000"/>
          <w:sz w:val="20"/>
          <w:szCs w:val="20"/>
          <w:lang w:eastAsia="es-MX"/>
        </w:rPr>
        <w:t>convictiva</w:t>
      </w:r>
      <w:proofErr w:type="spellEnd"/>
      <w:r w:rsidRPr="0034602F">
        <w:rPr>
          <w:rFonts w:ascii="ITC Avant Garde" w:eastAsia="Times New Roman" w:hAnsi="ITC Avant Garde"/>
          <w:bCs/>
          <w:color w:val="000000"/>
          <w:sz w:val="20"/>
          <w:szCs w:val="20"/>
          <w:lang w:eastAsia="es-MX"/>
        </w:rPr>
        <w:t xml:space="preserve"> que la ley le atribuye a la confesión tácita, de manera que si el demandado no ofrece prueba alguna o sólo aporta un indicio o varios no articulados entre sí, o una o varias pruebas disociadas que la ley no les reserve la calidad de plenas, entonces, no es posible vencer la solidez atribuida por el ordenamiento adjetivo de mérito a la presunción relativa de que se trate.”</w:t>
      </w:r>
    </w:p>
    <w:p w14:paraId="16361E6D" w14:textId="77777777" w:rsidR="003C5E62" w:rsidRPr="0034602F" w:rsidRDefault="009D0592" w:rsidP="00583167">
      <w:pPr>
        <w:tabs>
          <w:tab w:val="left" w:pos="851"/>
        </w:tabs>
        <w:spacing w:before="240" w:after="240" w:line="240" w:lineRule="auto"/>
        <w:ind w:left="567" w:right="567"/>
        <w:jc w:val="both"/>
        <w:rPr>
          <w:rFonts w:ascii="ITC Avant Garde" w:eastAsia="Times New Roman" w:hAnsi="ITC Avant Garde"/>
          <w:bCs/>
          <w:color w:val="000000"/>
          <w:sz w:val="18"/>
          <w:lang w:eastAsia="es-MX"/>
        </w:rPr>
      </w:pPr>
      <w:r w:rsidRPr="0034602F">
        <w:rPr>
          <w:rFonts w:ascii="ITC Avant Garde" w:eastAsia="Times New Roman" w:hAnsi="ITC Avant Garde"/>
          <w:bCs/>
          <w:color w:val="000000"/>
          <w:sz w:val="18"/>
          <w:lang w:eastAsia="es-MX"/>
        </w:rPr>
        <w:t xml:space="preserve">Época: Novena Época, Registro: 182792, Instancia: Tribunales Colegiados de Circuito, Tipo de Tesis: Aislada, Fuente: Semanario Judicial de la Federación y su Gaceta, Tomo XVIII, Noviembre de 2003, Materia(s): Civil, Tesis: XVII.1o.P.A.31 C, Página: 1004 </w:t>
      </w:r>
    </w:p>
    <w:p w14:paraId="0B13F7E3" w14:textId="77777777" w:rsidR="003C5E62" w:rsidRPr="0034602F" w:rsidRDefault="009D0592" w:rsidP="00583167">
      <w:pPr>
        <w:tabs>
          <w:tab w:val="left" w:pos="142"/>
        </w:tabs>
        <w:spacing w:before="240" w:after="240" w:line="360" w:lineRule="auto"/>
        <w:jc w:val="both"/>
        <w:rPr>
          <w:rFonts w:ascii="ITC Avant Garde" w:hAnsi="ITC Avant Garde"/>
          <w:color w:val="000000"/>
          <w:sz w:val="20"/>
        </w:rPr>
      </w:pPr>
      <w:r w:rsidRPr="0034602F">
        <w:rPr>
          <w:rFonts w:ascii="ITC Avant Garde" w:eastAsia="Times New Roman" w:hAnsi="ITC Avant Garde"/>
          <w:bCs/>
          <w:color w:val="000000"/>
          <w:lang w:eastAsia="es-MX"/>
        </w:rPr>
        <w:t xml:space="preserve">Tal y como consta de los criterios vertidos con anterioridad, las presunciones iuris tantum sólo pueden ser desvirtuadas mediante una contraprueba suficiente para destruirla; en caso contrario, se genera una </w:t>
      </w:r>
      <w:r w:rsidR="00E900A2" w:rsidRPr="0034602F">
        <w:rPr>
          <w:rFonts w:ascii="ITC Avant Garde" w:eastAsia="Times New Roman" w:hAnsi="ITC Avant Garde"/>
          <w:bCs/>
          <w:color w:val="000000"/>
          <w:lang w:eastAsia="es-MX"/>
        </w:rPr>
        <w:t>presunción en la comisión de los hechos imputados</w:t>
      </w:r>
      <w:r w:rsidRPr="0034602F">
        <w:rPr>
          <w:rFonts w:ascii="ITC Avant Garde" w:eastAsia="Times New Roman" w:hAnsi="ITC Avant Garde"/>
          <w:bCs/>
          <w:color w:val="000000"/>
          <w:lang w:eastAsia="es-MX"/>
        </w:rPr>
        <w:t>.</w:t>
      </w:r>
    </w:p>
    <w:p w14:paraId="24DC87E5" w14:textId="77777777" w:rsidR="003C5E62" w:rsidRPr="0034602F" w:rsidRDefault="009D0592" w:rsidP="00583167">
      <w:pPr>
        <w:spacing w:before="240" w:after="240" w:line="360" w:lineRule="auto"/>
        <w:jc w:val="both"/>
        <w:rPr>
          <w:rFonts w:ascii="ITC Avant Garde" w:hAnsi="ITC Avant Garde"/>
        </w:rPr>
      </w:pPr>
      <w:r w:rsidRPr="0034602F">
        <w:rPr>
          <w:rFonts w:ascii="ITC Avant Garde" w:eastAsia="Times New Roman" w:hAnsi="ITC Avant Garde"/>
          <w:bCs/>
          <w:color w:val="000000"/>
          <w:lang w:eastAsia="es-MX"/>
        </w:rPr>
        <w:t>En ese orden de ideas, al no haber realizado</w:t>
      </w:r>
      <w:r w:rsidR="00B57F29" w:rsidRPr="0034602F">
        <w:rPr>
          <w:rFonts w:ascii="ITC Avant Garde" w:eastAsia="Times New Roman" w:hAnsi="ITC Avant Garde"/>
          <w:bCs/>
          <w:color w:val="000000"/>
          <w:lang w:eastAsia="es-MX"/>
        </w:rPr>
        <w:t xml:space="preserve"> el</w:t>
      </w:r>
      <w:r w:rsidRPr="0034602F">
        <w:rPr>
          <w:rFonts w:ascii="ITC Avant Garde" w:eastAsia="Times New Roman" w:hAnsi="ITC Avant Garde"/>
          <w:bCs/>
          <w:color w:val="000000"/>
          <w:lang w:eastAsia="es-MX"/>
        </w:rPr>
        <w:t xml:space="preserve"> </w:t>
      </w:r>
      <w:r w:rsidR="00B57F29" w:rsidRPr="0034602F">
        <w:rPr>
          <w:rFonts w:ascii="ITC Avant Garde" w:hAnsi="ITC Avant Garde"/>
          <w:b/>
        </w:rPr>
        <w:t>PRESUNTO RESPONSABLE</w:t>
      </w:r>
      <w:r w:rsidRPr="0034602F">
        <w:rPr>
          <w:rFonts w:ascii="ITC Avant Garde" w:hAnsi="ITC Avant Garde" w:cs="Arial"/>
          <w:b/>
        </w:rPr>
        <w:t xml:space="preserve">, </w:t>
      </w:r>
      <w:r w:rsidRPr="0034602F">
        <w:rPr>
          <w:rFonts w:ascii="ITC Avant Garde" w:eastAsia="Times New Roman" w:hAnsi="ITC Avant Garde"/>
          <w:bCs/>
          <w:color w:val="000000"/>
          <w:lang w:eastAsia="es-MX"/>
        </w:rPr>
        <w:t>manifestación alguna con relación al acuerdo de inicio del procedimiento en que se actúa y tampoco ofrecer pruebas de su parte, se tienen por ciertas las imputaciones formuladas en el acuerdo de inicio de procedimiento administrativo de imposición de sanciones abierto en su contra.</w:t>
      </w:r>
    </w:p>
    <w:p w14:paraId="730DBD7A" w14:textId="77777777" w:rsidR="003C5E62" w:rsidRPr="0034602F" w:rsidRDefault="004D632E" w:rsidP="00583167">
      <w:pPr>
        <w:spacing w:before="240" w:after="240"/>
        <w:rPr>
          <w:rFonts w:ascii="ITC Avant Garde" w:hAnsi="ITC Avant Garde"/>
          <w:b/>
          <w:smallCaps/>
          <w:sz w:val="24"/>
        </w:rPr>
      </w:pPr>
      <w:r w:rsidRPr="0034602F">
        <w:rPr>
          <w:rFonts w:ascii="ITC Avant Garde" w:eastAsia="Times New Roman" w:hAnsi="ITC Avant Garde"/>
          <w:b/>
          <w:bCs/>
          <w:color w:val="000000"/>
          <w:lang w:eastAsia="es-MX"/>
        </w:rPr>
        <w:t>QUINTO.</w:t>
      </w:r>
      <w:r w:rsidRPr="0034602F">
        <w:rPr>
          <w:rFonts w:ascii="ITC Avant Garde" w:eastAsia="Times New Roman" w:hAnsi="ITC Avant Garde"/>
          <w:bCs/>
          <w:color w:val="000000"/>
          <w:lang w:eastAsia="es-MX"/>
        </w:rPr>
        <w:t xml:space="preserve"> </w:t>
      </w:r>
      <w:r w:rsidRPr="0034602F">
        <w:rPr>
          <w:rFonts w:ascii="ITC Avant Garde" w:hAnsi="ITC Avant Garde"/>
          <w:b/>
          <w:smallCaps/>
          <w:sz w:val="24"/>
        </w:rPr>
        <w:t>alegatos.</w:t>
      </w:r>
    </w:p>
    <w:p w14:paraId="13A95FA9" w14:textId="77777777" w:rsidR="003C5E62" w:rsidRPr="0034602F" w:rsidRDefault="00BB6294" w:rsidP="00583167">
      <w:pPr>
        <w:pStyle w:val="Textoindependiente"/>
        <w:tabs>
          <w:tab w:val="left" w:pos="851"/>
        </w:tabs>
        <w:spacing w:before="240" w:after="240" w:line="360" w:lineRule="auto"/>
        <w:jc w:val="both"/>
        <w:rPr>
          <w:rFonts w:ascii="ITC Avant Garde" w:eastAsia="Times New Roman" w:hAnsi="ITC Avant Garde"/>
          <w:b/>
          <w:bCs/>
          <w:color w:val="000000"/>
          <w:lang w:eastAsia="es-MX"/>
        </w:rPr>
      </w:pPr>
      <w:r w:rsidRPr="0034602F">
        <w:rPr>
          <w:rFonts w:ascii="ITC Avant Garde" w:eastAsia="Times New Roman" w:hAnsi="ITC Avant Garde"/>
          <w:bCs/>
          <w:color w:val="000000"/>
          <w:lang w:eastAsia="es-MX"/>
        </w:rPr>
        <w:lastRenderedPageBreak/>
        <w:t xml:space="preserve">Mediante acuerdo de diecisiete de febrero de dos mil diecisiete, notificado por publicación de lista diaria de notificaciones en la página de este </w:t>
      </w:r>
      <w:r w:rsidRPr="0034602F">
        <w:rPr>
          <w:rFonts w:ascii="ITC Avant Garde" w:eastAsia="Times New Roman" w:hAnsi="ITC Avant Garde"/>
          <w:b/>
          <w:bCs/>
          <w:color w:val="000000"/>
          <w:lang w:eastAsia="es-MX"/>
        </w:rPr>
        <w:t>IFT</w:t>
      </w:r>
      <w:r w:rsidRPr="0034602F">
        <w:rPr>
          <w:rFonts w:ascii="ITC Avant Garde" w:eastAsia="Times New Roman" w:hAnsi="ITC Avant Garde"/>
          <w:bCs/>
          <w:color w:val="000000"/>
          <w:lang w:eastAsia="es-MX"/>
        </w:rPr>
        <w:t xml:space="preserve"> en la misma fecha, se concedió al </w:t>
      </w:r>
      <w:r w:rsidRPr="0034602F">
        <w:rPr>
          <w:rFonts w:ascii="ITC Avant Garde" w:hAnsi="ITC Avant Garde"/>
          <w:b/>
        </w:rPr>
        <w:t>PRESUNTO RESPONSABLE</w:t>
      </w:r>
      <w:r w:rsidRPr="0034602F">
        <w:rPr>
          <w:rFonts w:ascii="ITC Avant Garde" w:eastAsia="Times New Roman" w:hAnsi="ITC Avant Garde"/>
          <w:bCs/>
          <w:color w:val="000000"/>
          <w:lang w:eastAsia="es-MX"/>
        </w:rPr>
        <w:t xml:space="preserve"> un plazo de diez días hábiles para formular alegatos, el cual corrió del dos al dieciséis de febrero de dos mil diecisiete, sin considerar los días cuatro, cinco, seis, once y doce de febrero de dos mil diecisiete, </w:t>
      </w:r>
      <w:r w:rsidRPr="0034602F">
        <w:rPr>
          <w:rFonts w:ascii="ITC Avant Garde" w:eastAsia="Times New Roman" w:hAnsi="ITC Avant Garde"/>
          <w:bCs/>
        </w:rPr>
        <w:t>por tratarse de sábados, domingos y día inhábil</w:t>
      </w:r>
      <w:r w:rsidRPr="0034602F">
        <w:rPr>
          <w:rFonts w:ascii="ITC Avant Garde" w:eastAsia="Times New Roman" w:hAnsi="ITC Avant Garde"/>
          <w:bCs/>
          <w:lang w:eastAsia="es-MX"/>
        </w:rPr>
        <w:t>, de conformidad con el artículo 28 de la Ley Federal de Procedimiento Administrativo y del “ACUERDO mediante el cual el Pleno del Instituto Federal de Telecomunicaciones aprueba su calendario anual de sesiones ordinarias y el calendario anual de labores para el año 2017 y principios de 2018”</w:t>
      </w:r>
      <w:r w:rsidRPr="0034602F">
        <w:rPr>
          <w:rFonts w:ascii="ITC Avant Garde" w:eastAsia="Times New Roman" w:hAnsi="ITC Avant Garde"/>
          <w:b/>
          <w:bCs/>
          <w:lang w:eastAsia="es-MX"/>
        </w:rPr>
        <w:t>.</w:t>
      </w:r>
    </w:p>
    <w:p w14:paraId="787CC7A1" w14:textId="77777777" w:rsidR="003C5E62" w:rsidRPr="0034602F" w:rsidRDefault="00BB6294"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De las constancias que forman parte del presente expediente, se observa que para tal efecto, el </w:t>
      </w:r>
      <w:r w:rsidRPr="0034602F">
        <w:rPr>
          <w:rFonts w:ascii="ITC Avant Garde" w:hAnsi="ITC Avant Garde"/>
          <w:b/>
        </w:rPr>
        <w:t>PRESUNTO RESPONSABLE</w:t>
      </w:r>
      <w:r w:rsidRPr="0034602F">
        <w:rPr>
          <w:rFonts w:ascii="ITC Avant Garde" w:eastAsia="Times New Roman" w:hAnsi="ITC Avant Garde"/>
          <w:bCs/>
          <w:color w:val="000000"/>
          <w:lang w:eastAsia="es-MX"/>
        </w:rPr>
        <w:t xml:space="preserve"> no presentó alegatos ante éste </w:t>
      </w:r>
      <w:r w:rsidRPr="0034602F">
        <w:rPr>
          <w:rFonts w:ascii="ITC Avant Garde" w:eastAsia="Times New Roman" w:hAnsi="ITC Avant Garde"/>
          <w:b/>
          <w:bCs/>
          <w:color w:val="000000"/>
          <w:lang w:eastAsia="es-MX"/>
        </w:rPr>
        <w:t>IFT</w:t>
      </w:r>
      <w:r w:rsidRPr="0034602F">
        <w:rPr>
          <w:rFonts w:ascii="ITC Avant Garde" w:eastAsia="Times New Roman" w:hAnsi="ITC Avant Garde"/>
          <w:bCs/>
          <w:color w:val="000000"/>
          <w:lang w:eastAsia="es-MX"/>
        </w:rPr>
        <w:t>.</w:t>
      </w:r>
    </w:p>
    <w:p w14:paraId="2BDFBBB4" w14:textId="77777777" w:rsidR="003C5E62" w:rsidRPr="0034602F" w:rsidRDefault="00BB6294"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De acuerdo a lo señalado en el Resultando </w:t>
      </w:r>
      <w:r w:rsidRPr="0034602F">
        <w:rPr>
          <w:rFonts w:ascii="ITC Avant Garde" w:eastAsia="Times New Roman" w:hAnsi="ITC Avant Garde"/>
          <w:b/>
          <w:bCs/>
          <w:color w:val="000000"/>
          <w:lang w:eastAsia="es-MX"/>
        </w:rPr>
        <w:t xml:space="preserve">DÉCIMO CUARTO </w:t>
      </w:r>
      <w:r w:rsidRPr="0034602F">
        <w:rPr>
          <w:rFonts w:ascii="ITC Avant Garde" w:eastAsia="Times New Roman" w:hAnsi="ITC Avant Garde"/>
          <w:bCs/>
          <w:color w:val="000000"/>
          <w:lang w:eastAsia="es-MX"/>
        </w:rPr>
        <w:t xml:space="preserve">de la presente Resolución, por proveído de </w:t>
      </w:r>
      <w:r w:rsidR="009A7318" w:rsidRPr="0034602F">
        <w:rPr>
          <w:rFonts w:ascii="ITC Avant Garde" w:eastAsia="Times New Roman" w:hAnsi="ITC Avant Garde"/>
          <w:bCs/>
          <w:color w:val="000000"/>
          <w:lang w:eastAsia="es-MX"/>
        </w:rPr>
        <w:t>nueve de marzo</w:t>
      </w:r>
      <w:r w:rsidRPr="0034602F">
        <w:rPr>
          <w:rFonts w:ascii="ITC Avant Garde" w:eastAsia="Times New Roman" w:hAnsi="ITC Avant Garde"/>
          <w:bCs/>
          <w:color w:val="000000"/>
          <w:lang w:eastAsia="es-MX"/>
        </w:rPr>
        <w:t xml:space="preserve"> de dos mil diecisiete, publicado en la lista diaria de notificaciones en la página del Instituto ese mismo día, se tuvo por perdido el derecho del </w:t>
      </w:r>
      <w:r w:rsidRPr="0034602F">
        <w:rPr>
          <w:rFonts w:ascii="ITC Avant Garde" w:hAnsi="ITC Avant Garde"/>
          <w:b/>
        </w:rPr>
        <w:t>PRESUNTO RESPONSABLE</w:t>
      </w:r>
      <w:r w:rsidRPr="0034602F">
        <w:rPr>
          <w:rFonts w:ascii="ITC Avant Garde" w:eastAsia="Times New Roman" w:hAnsi="ITC Avant Garde"/>
          <w:bCs/>
          <w:color w:val="000000"/>
          <w:lang w:eastAsia="es-MX"/>
        </w:rPr>
        <w:t xml:space="preserve"> para formular alegatos de su parte con fundamento en los artículos 72 de la </w:t>
      </w:r>
      <w:r w:rsidRPr="0034602F">
        <w:rPr>
          <w:rFonts w:ascii="ITC Avant Garde" w:eastAsia="Times New Roman" w:hAnsi="ITC Avant Garde"/>
          <w:b/>
          <w:bCs/>
          <w:color w:val="000000"/>
          <w:lang w:eastAsia="es-MX"/>
        </w:rPr>
        <w:t>LFPA</w:t>
      </w:r>
      <w:r w:rsidRPr="0034602F">
        <w:rPr>
          <w:rFonts w:ascii="ITC Avant Garde" w:eastAsia="Times New Roman" w:hAnsi="ITC Avant Garde"/>
          <w:bCs/>
          <w:color w:val="000000"/>
          <w:lang w:eastAsia="es-MX"/>
        </w:rPr>
        <w:t xml:space="preserve"> y 288 del </w:t>
      </w:r>
      <w:r w:rsidRPr="0034602F">
        <w:rPr>
          <w:rFonts w:ascii="ITC Avant Garde" w:eastAsia="Times New Roman" w:hAnsi="ITC Avant Garde"/>
          <w:b/>
          <w:bCs/>
          <w:color w:val="000000"/>
          <w:lang w:eastAsia="es-MX"/>
        </w:rPr>
        <w:t>CFPC</w:t>
      </w:r>
      <w:r w:rsidRPr="0034602F">
        <w:rPr>
          <w:rFonts w:ascii="ITC Avant Garde" w:eastAsia="Times New Roman" w:hAnsi="ITC Avant Garde"/>
          <w:bCs/>
          <w:color w:val="000000"/>
          <w:lang w:eastAsia="es-MX"/>
        </w:rPr>
        <w:t>.</w:t>
      </w:r>
    </w:p>
    <w:p w14:paraId="06CEC0A7" w14:textId="77777777" w:rsidR="003C5E62" w:rsidRPr="0034602F" w:rsidRDefault="00BB6294" w:rsidP="00583167">
      <w:pPr>
        <w:tabs>
          <w:tab w:val="left" w:pos="709"/>
          <w:tab w:val="left" w:pos="851"/>
        </w:tabs>
        <w:spacing w:before="240" w:after="240" w:line="360" w:lineRule="auto"/>
        <w:jc w:val="both"/>
        <w:rPr>
          <w:lang w:eastAsia="es-MX"/>
        </w:rPr>
      </w:pPr>
      <w:r w:rsidRPr="0034602F">
        <w:rPr>
          <w:rFonts w:ascii="ITC Avant Garde" w:hAnsi="ITC Avant Garde" w:cs="Tahoma"/>
          <w:bCs/>
          <w:color w:val="222222"/>
          <w:shd w:val="clear" w:color="auto" w:fill="FFFFFF"/>
        </w:rPr>
        <w:t xml:space="preserve">Por lo anterior, al no existir análisis pendiente por realizar se procede a emitir la presente resolución atendiendo a los elementos que causan plenitud </w:t>
      </w:r>
      <w:proofErr w:type="spellStart"/>
      <w:r w:rsidRPr="0034602F">
        <w:rPr>
          <w:rFonts w:ascii="ITC Avant Garde" w:hAnsi="ITC Avant Garde" w:cs="Tahoma"/>
          <w:bCs/>
          <w:color w:val="222222"/>
          <w:shd w:val="clear" w:color="auto" w:fill="FFFFFF"/>
        </w:rPr>
        <w:t>convictiva</w:t>
      </w:r>
      <w:proofErr w:type="spellEnd"/>
      <w:r w:rsidRPr="0034602F">
        <w:rPr>
          <w:rFonts w:ascii="ITC Avant Garde" w:hAnsi="ITC Avant Garde" w:cs="Tahoma"/>
          <w:bCs/>
          <w:color w:val="222222"/>
          <w:shd w:val="clear" w:color="auto" w:fill="FFFFFF"/>
        </w:rPr>
        <w:t xml:space="preserve"> en esta autoridad, cumpliendo los principios procesales que rigen todo procedimiento.</w:t>
      </w:r>
      <w:r w:rsidRPr="0034602F">
        <w:rPr>
          <w:lang w:eastAsia="es-MX"/>
        </w:rPr>
        <w:t xml:space="preserve"> </w:t>
      </w:r>
    </w:p>
    <w:p w14:paraId="4D2A129B" w14:textId="77777777" w:rsidR="003C5E62" w:rsidRPr="0034602F" w:rsidRDefault="00BB6294" w:rsidP="00583167">
      <w:pPr>
        <w:pStyle w:val="Textoindependiente"/>
        <w:tabs>
          <w:tab w:val="left" w:pos="851"/>
        </w:tabs>
        <w:spacing w:before="240" w:after="240" w:line="360" w:lineRule="auto"/>
        <w:ind w:right="-850"/>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Sirve de aplicación por analogía la siguiente Jurisprudencia que a su letra señala:</w:t>
      </w:r>
    </w:p>
    <w:p w14:paraId="59494C32" w14:textId="77777777" w:rsidR="006D6786" w:rsidRDefault="00BB6294" w:rsidP="00583167">
      <w:pPr>
        <w:pStyle w:val="Textoindependiente"/>
        <w:tabs>
          <w:tab w:val="left" w:pos="851"/>
        </w:tabs>
        <w:spacing w:before="240" w:after="240" w:line="240" w:lineRule="auto"/>
        <w:ind w:left="567" w:right="567"/>
        <w:jc w:val="both"/>
        <w:rPr>
          <w:rFonts w:ascii="ITC Avant Garde" w:hAnsi="ITC Avant Garde"/>
          <w:color w:val="000000"/>
          <w:sz w:val="20"/>
          <w:szCs w:val="20"/>
        </w:rPr>
        <w:sectPr w:rsidR="006D6786" w:rsidSect="006345CE">
          <w:headerReference w:type="default" r:id="rId31"/>
          <w:pgSz w:w="12240" w:h="15840"/>
          <w:pgMar w:top="426" w:right="1418" w:bottom="1418" w:left="1418" w:header="709" w:footer="420" w:gutter="0"/>
          <w:cols w:space="708"/>
          <w:docGrid w:linePitch="360"/>
        </w:sectPr>
      </w:pPr>
      <w:r w:rsidRPr="0034602F">
        <w:rPr>
          <w:rFonts w:ascii="ITC Avant Garde" w:hAnsi="ITC Avant Garde"/>
          <w:color w:val="000000"/>
          <w:sz w:val="20"/>
        </w:rPr>
        <w:t>“</w:t>
      </w:r>
      <w:r w:rsidRPr="0034602F">
        <w:rPr>
          <w:rFonts w:ascii="ITC Avant Garde" w:hAnsi="ITC Avant Garde"/>
          <w:b/>
          <w:color w:val="000000"/>
          <w:sz w:val="20"/>
          <w:szCs w:val="20"/>
        </w:rPr>
        <w:t>DERECHO AL DEBIDO PROCESO. SU CONTENIDO.</w:t>
      </w:r>
      <w:r w:rsidRPr="0034602F">
        <w:rPr>
          <w:rFonts w:ascii="ITC Avant Garde" w:hAnsi="ITC Avant Garde"/>
          <w:color w:val="000000"/>
          <w:sz w:val="20"/>
        </w:rPr>
        <w:t xml:space="preserve"> </w:t>
      </w:r>
      <w:r w:rsidRPr="0034602F">
        <w:rPr>
          <w:rFonts w:ascii="ITC Avant Garde" w:hAnsi="ITC Avant Garde"/>
          <w:color w:val="000000"/>
          <w:sz w:val="20"/>
          <w:szCs w:val="20"/>
        </w:rPr>
        <w:t xml:space="preserve">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w:t>
      </w:r>
    </w:p>
    <w:p w14:paraId="64D410D9" w14:textId="27F76779" w:rsidR="003C5E62" w:rsidRPr="0034602F" w:rsidRDefault="00BB6294" w:rsidP="00583167">
      <w:pPr>
        <w:pStyle w:val="Textoindependiente"/>
        <w:tabs>
          <w:tab w:val="left" w:pos="851"/>
        </w:tabs>
        <w:spacing w:before="240" w:after="240" w:line="240" w:lineRule="auto"/>
        <w:ind w:left="567" w:right="567"/>
        <w:jc w:val="both"/>
        <w:rPr>
          <w:rFonts w:ascii="ITC Avant Garde" w:hAnsi="ITC Avant Garde"/>
          <w:color w:val="000000"/>
          <w:sz w:val="20"/>
          <w:szCs w:val="20"/>
        </w:rPr>
      </w:pPr>
      <w:proofErr w:type="gramStart"/>
      <w:r w:rsidRPr="0034602F">
        <w:rPr>
          <w:rFonts w:ascii="ITC Avant Garde" w:hAnsi="ITC Avant Garde"/>
          <w:color w:val="000000"/>
          <w:sz w:val="20"/>
          <w:szCs w:val="20"/>
        </w:rPr>
        <w:lastRenderedPageBreak/>
        <w:t>que</w:t>
      </w:r>
      <w:proofErr w:type="gramEnd"/>
      <w:r w:rsidRPr="0034602F">
        <w:rPr>
          <w:rFonts w:ascii="ITC Avant Garde" w:hAnsi="ITC Avant Garde"/>
          <w:color w:val="000000"/>
          <w:sz w:val="20"/>
          <w:szCs w:val="20"/>
        </w:rPr>
        <w:t xml:space="preserv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14:paraId="618A26C8" w14:textId="77777777" w:rsidR="003C5E62" w:rsidRPr="0034602F" w:rsidRDefault="00BB6294" w:rsidP="00583167">
      <w:pPr>
        <w:pStyle w:val="Textoindependiente"/>
        <w:tabs>
          <w:tab w:val="left" w:pos="851"/>
        </w:tabs>
        <w:spacing w:before="240" w:after="240" w:line="240" w:lineRule="auto"/>
        <w:ind w:left="567" w:right="567"/>
        <w:jc w:val="both"/>
        <w:rPr>
          <w:rFonts w:ascii="ITC Avant Garde" w:hAnsi="ITC Avant Garde"/>
          <w:color w:val="000000"/>
          <w:sz w:val="20"/>
        </w:rPr>
      </w:pPr>
      <w:r w:rsidRPr="0034602F">
        <w:rPr>
          <w:rFonts w:ascii="ITC Avant Garde" w:eastAsia="Times New Roman" w:hAnsi="ITC Avant Garde"/>
          <w:bCs/>
          <w:color w:val="000000"/>
          <w:sz w:val="20"/>
          <w:szCs w:val="20"/>
          <w:lang w:eastAsia="es-MX"/>
        </w:rPr>
        <w:t>Época: Décima Época, Registro: 2005716, Instancia: Primera Sala, Tipo de Tesis: Jurisprudencia, Fuente: Gaceta del Semanario Judicial de la Federación, Libro 3, Febrero de 2014, Tomo I, Materia(s): Constitucional, Tesis: 1a</w:t>
      </w:r>
      <w:proofErr w:type="gramStart"/>
      <w:r w:rsidRPr="0034602F">
        <w:rPr>
          <w:rFonts w:ascii="ITC Avant Garde" w:eastAsia="Times New Roman" w:hAnsi="ITC Avant Garde"/>
          <w:bCs/>
          <w:color w:val="000000"/>
          <w:sz w:val="20"/>
          <w:szCs w:val="20"/>
          <w:lang w:eastAsia="es-MX"/>
        </w:rPr>
        <w:t>./</w:t>
      </w:r>
      <w:proofErr w:type="gramEnd"/>
      <w:r w:rsidRPr="0034602F">
        <w:rPr>
          <w:rFonts w:ascii="ITC Avant Garde" w:eastAsia="Times New Roman" w:hAnsi="ITC Avant Garde"/>
          <w:bCs/>
          <w:color w:val="000000"/>
          <w:sz w:val="20"/>
          <w:szCs w:val="20"/>
          <w:lang w:eastAsia="es-MX"/>
        </w:rPr>
        <w:t>J. 11/2014 (10a.), Página: 396.”</w:t>
      </w:r>
    </w:p>
    <w:p w14:paraId="47596084" w14:textId="77777777" w:rsidR="003C5E62" w:rsidRPr="0034602F" w:rsidRDefault="00A33857" w:rsidP="00583167">
      <w:pPr>
        <w:tabs>
          <w:tab w:val="left" w:pos="993"/>
        </w:tabs>
        <w:spacing w:before="240" w:after="240" w:line="360" w:lineRule="auto"/>
        <w:jc w:val="both"/>
        <w:rPr>
          <w:rFonts w:ascii="ITC Avant Garde" w:eastAsia="Times New Roman" w:hAnsi="ITC Avant Garde"/>
          <w:b/>
          <w:bCs/>
          <w:smallCaps/>
          <w:color w:val="000000"/>
          <w:lang w:eastAsia="es-MX"/>
        </w:rPr>
      </w:pPr>
      <w:r w:rsidRPr="0034602F">
        <w:rPr>
          <w:rFonts w:ascii="ITC Avant Garde" w:eastAsia="Times New Roman" w:hAnsi="ITC Avant Garde"/>
          <w:b/>
          <w:bCs/>
          <w:smallCaps/>
          <w:color w:val="000000"/>
          <w:lang w:eastAsia="es-MX"/>
        </w:rPr>
        <w:t>Sexto. Análisis de la conducta y consecuencias jurídicas.</w:t>
      </w:r>
    </w:p>
    <w:p w14:paraId="71455FE7" w14:textId="3F766700" w:rsidR="003C5E62" w:rsidRPr="0034602F" w:rsidRDefault="00A33857"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En el presente asunto se considera que existen elementos de convicción suficientes que acreditan que en </w:t>
      </w:r>
      <w:r w:rsidRPr="0034602F">
        <w:rPr>
          <w:rFonts w:ascii="ITC Avant Garde" w:eastAsia="ヒラギノ角ゴ Pro W3" w:hAnsi="ITC Avant Garde"/>
          <w:color w:val="000000"/>
        </w:rPr>
        <w:t xml:space="preserve">el </w:t>
      </w:r>
      <w:r w:rsidRPr="0034602F">
        <w:rPr>
          <w:rFonts w:ascii="ITC Avant Garde" w:hAnsi="ITC Avant Garde"/>
        </w:rPr>
        <w:t xml:space="preserve">inmueble ubicado en </w:t>
      </w:r>
      <w:r w:rsidR="000519D1" w:rsidRPr="000519D1">
        <w:rPr>
          <w:rFonts w:ascii="ITC Avant Garde" w:hAnsi="ITC Avant Garde"/>
          <w:b/>
          <w:color w:val="0000FF"/>
        </w:rPr>
        <w:t>“CONFIDENCIAL POR LEY”</w:t>
      </w:r>
      <w:r w:rsidR="00BE634C" w:rsidRPr="000519D1">
        <w:rPr>
          <w:rFonts w:ascii="ITC Avant Garde" w:hAnsi="ITC Avant Garde"/>
          <w:color w:val="0000FF"/>
        </w:rPr>
        <w:t xml:space="preserve"> </w:t>
      </w:r>
      <w:r w:rsidR="00BE634C" w:rsidRPr="0034602F">
        <w:rPr>
          <w:rFonts w:ascii="ITC Avant Garde" w:hAnsi="ITC Avant Garde"/>
        </w:rPr>
        <w:t>Delegación Tlalpan, Código Postal 14400, en la Ciudad de México</w:t>
      </w:r>
      <w:r w:rsidRPr="0034602F">
        <w:rPr>
          <w:rFonts w:ascii="ITC Avant Garde" w:eastAsia="ヒラギノ角ゴ Pro W3" w:hAnsi="ITC Avant Garde"/>
          <w:color w:val="000000"/>
        </w:rPr>
        <w:t xml:space="preserve">, </w:t>
      </w:r>
      <w:r w:rsidR="00340A66" w:rsidRPr="0034602F">
        <w:rPr>
          <w:rFonts w:ascii="ITC Avant Garde" w:eastAsia="ヒラギノ角ゴ Pro W3" w:hAnsi="ITC Avant Garde"/>
          <w:color w:val="000000"/>
        </w:rPr>
        <w:t xml:space="preserve">se estaban prestando servicios de radiodifusión </w:t>
      </w:r>
      <w:r w:rsidRPr="0034602F">
        <w:rPr>
          <w:rFonts w:ascii="ITC Avant Garde" w:eastAsia="Times New Roman" w:hAnsi="ITC Avant Garde"/>
          <w:bCs/>
          <w:color w:val="000000"/>
          <w:lang w:eastAsia="es-MX"/>
        </w:rPr>
        <w:t xml:space="preserve">sin contar con concesión que habilitara </w:t>
      </w:r>
      <w:r w:rsidR="00D11ACE" w:rsidRPr="0034602F">
        <w:rPr>
          <w:rFonts w:ascii="ITC Avant Garde" w:eastAsia="Times New Roman" w:hAnsi="ITC Avant Garde"/>
          <w:bCs/>
          <w:color w:val="000000"/>
          <w:lang w:eastAsia="es-MX"/>
        </w:rPr>
        <w:t xml:space="preserve">al </w:t>
      </w:r>
      <w:r w:rsidR="00D11ACE" w:rsidRPr="0034602F">
        <w:rPr>
          <w:rFonts w:ascii="ITC Avant Garde" w:hAnsi="ITC Avant Garde"/>
          <w:b/>
        </w:rPr>
        <w:t xml:space="preserve">PRESUNTO RESPONSABLE </w:t>
      </w:r>
      <w:r w:rsidRPr="0034602F">
        <w:rPr>
          <w:rFonts w:ascii="ITC Avant Garde" w:eastAsia="Times New Roman" w:hAnsi="ITC Avant Garde"/>
          <w:bCs/>
          <w:color w:val="000000"/>
          <w:lang w:eastAsia="es-MX"/>
        </w:rPr>
        <w:t>para esos fines.</w:t>
      </w:r>
    </w:p>
    <w:p w14:paraId="23DF1D3B" w14:textId="4AD89127" w:rsidR="00A33857" w:rsidRPr="0034602F" w:rsidRDefault="00A33857"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Se afirma lo anterior, en virtud de que del análisis de la conducta desplegada en relación con lo establecido en el precepto legal que se estima trasgredido claramente se puede advertir que se surten todos los supuestos previstos por el mismo.</w:t>
      </w:r>
    </w:p>
    <w:p w14:paraId="143B9649" w14:textId="77777777" w:rsidR="003C5E62" w:rsidRPr="0034602F" w:rsidRDefault="009A7318" w:rsidP="00583167">
      <w:pPr>
        <w:spacing w:before="240" w:after="240" w:line="360" w:lineRule="auto"/>
        <w:ind w:right="-850"/>
        <w:jc w:val="both"/>
        <w:rPr>
          <w:rFonts w:ascii="ITC Avant Garde" w:hAnsi="ITC Avant Garde" w:cs="Tahoma"/>
        </w:rPr>
      </w:pPr>
      <w:r w:rsidRPr="0034602F">
        <w:rPr>
          <w:rFonts w:ascii="ITC Avant Garde" w:hAnsi="ITC Avant Garde" w:cs="Tahoma"/>
        </w:rPr>
        <w:t>En tales consideraciones, debe tomarse en cuenta que:</w:t>
      </w:r>
    </w:p>
    <w:p w14:paraId="6E9C5ACC" w14:textId="77777777" w:rsidR="006D6786" w:rsidRDefault="009A7318" w:rsidP="00583167">
      <w:pPr>
        <w:numPr>
          <w:ilvl w:val="0"/>
          <w:numId w:val="27"/>
        </w:numPr>
        <w:spacing w:before="240" w:after="240" w:line="360" w:lineRule="auto"/>
        <w:jc w:val="both"/>
        <w:rPr>
          <w:rFonts w:ascii="ITC Avant Garde" w:hAnsi="ITC Avant Garde"/>
        </w:rPr>
        <w:sectPr w:rsidR="006D6786" w:rsidSect="006345CE">
          <w:headerReference w:type="default" r:id="rId32"/>
          <w:pgSz w:w="12240" w:h="15840"/>
          <w:pgMar w:top="426" w:right="1418" w:bottom="1418" w:left="1418" w:header="709" w:footer="420" w:gutter="0"/>
          <w:cols w:space="708"/>
          <w:docGrid w:linePitch="360"/>
        </w:sectPr>
      </w:pPr>
      <w:r w:rsidRPr="0034602F">
        <w:rPr>
          <w:rFonts w:ascii="ITC Avant Garde" w:hAnsi="ITC Avant Garde" w:cs="Tahoma"/>
        </w:rPr>
        <w:t xml:space="preserve">Se confirmó el uso de la frecuencia </w:t>
      </w:r>
      <w:r w:rsidR="00AE5193" w:rsidRPr="0034602F">
        <w:rPr>
          <w:rFonts w:ascii="ITC Avant Garde" w:hAnsi="ITC Avant Garde"/>
          <w:b/>
        </w:rPr>
        <w:t>97.3</w:t>
      </w:r>
      <w:r w:rsidRPr="0034602F">
        <w:rPr>
          <w:rFonts w:ascii="ITC Avant Garde" w:hAnsi="ITC Avant Garde"/>
          <w:b/>
        </w:rPr>
        <w:t xml:space="preserve"> MHz</w:t>
      </w:r>
      <w:r w:rsidRPr="0034602F">
        <w:rPr>
          <w:rFonts w:ascii="ITC Avant Garde" w:hAnsi="ITC Avant Garde" w:cs="Tahoma"/>
        </w:rPr>
        <w:t xml:space="preserve"> en el inmueble ubicado en </w:t>
      </w:r>
      <w:r w:rsidR="000519D1" w:rsidRPr="000519D1">
        <w:rPr>
          <w:rFonts w:ascii="ITC Avant Garde" w:hAnsi="ITC Avant Garde"/>
          <w:b/>
          <w:color w:val="0000FF"/>
        </w:rPr>
        <w:t>“CONFIDENCIAL POR LEY”</w:t>
      </w:r>
      <w:r w:rsidR="00E900A2" w:rsidRPr="0034602F">
        <w:rPr>
          <w:rFonts w:ascii="ITC Avant Garde" w:hAnsi="ITC Avant Garde"/>
        </w:rPr>
        <w:t>, Delegación Tlalpan, en la Ciudad de México</w:t>
      </w:r>
      <w:r w:rsidRPr="0034602F">
        <w:rPr>
          <w:rFonts w:ascii="ITC Avant Garde" w:hAnsi="ITC Avant Garde"/>
        </w:rPr>
        <w:t xml:space="preserve">, donde </w:t>
      </w:r>
    </w:p>
    <w:p w14:paraId="4087998A" w14:textId="3F5D052D" w:rsidR="003C5E62" w:rsidRPr="0034602F" w:rsidRDefault="009A7318" w:rsidP="006D6786">
      <w:pPr>
        <w:spacing w:before="240" w:after="240" w:line="360" w:lineRule="auto"/>
        <w:ind w:left="720"/>
        <w:jc w:val="both"/>
        <w:rPr>
          <w:rFonts w:ascii="ITC Avant Garde" w:hAnsi="ITC Avant Garde"/>
        </w:rPr>
      </w:pPr>
      <w:proofErr w:type="gramStart"/>
      <w:r w:rsidRPr="0034602F">
        <w:rPr>
          <w:rFonts w:ascii="ITC Avant Garde" w:hAnsi="ITC Avant Garde"/>
        </w:rPr>
        <w:lastRenderedPageBreak/>
        <w:t>se</w:t>
      </w:r>
      <w:proofErr w:type="gramEnd"/>
      <w:r w:rsidRPr="0034602F">
        <w:rPr>
          <w:rFonts w:ascii="ITC Avant Garde" w:hAnsi="ITC Avant Garde"/>
        </w:rPr>
        <w:t xml:space="preserve"> detectaron las instalaciones de la estación de radiodifusión que operaba dicha frecuencia</w:t>
      </w:r>
      <w:r w:rsidRPr="0034602F">
        <w:rPr>
          <w:rFonts w:ascii="ITC Avant Garde" w:hAnsi="ITC Avant Garde" w:cs="Tahoma"/>
        </w:rPr>
        <w:t xml:space="preserve">, con el equipo consistente en: </w:t>
      </w:r>
      <w:r w:rsidRPr="0034602F">
        <w:rPr>
          <w:rFonts w:ascii="ITC Avant Garde" w:eastAsia="Times New Roman" w:hAnsi="ITC Avant Garde"/>
          <w:bCs/>
          <w:color w:val="000000"/>
          <w:lang w:eastAsia="es-MX"/>
        </w:rPr>
        <w:t>u</w:t>
      </w:r>
      <w:r w:rsidRPr="0034602F">
        <w:rPr>
          <w:rFonts w:ascii="ITC Avant Garde" w:hAnsi="ITC Avant Garde"/>
        </w:rPr>
        <w:t>na antena tipo omnidireccional sin marca, sin modelo y sin número de serie, un transmisor, sin marca, sin modelo y sin número de serie y un</w:t>
      </w:r>
      <w:r w:rsidR="00AE5193" w:rsidRPr="0034602F">
        <w:rPr>
          <w:rFonts w:ascii="ITC Avant Garde" w:hAnsi="ITC Avant Garde"/>
        </w:rPr>
        <w:t xml:space="preserve"> </w:t>
      </w:r>
      <w:proofErr w:type="spellStart"/>
      <w:r w:rsidR="00AE5193" w:rsidRPr="0034602F">
        <w:rPr>
          <w:rFonts w:ascii="ITC Avant Garde" w:hAnsi="ITC Avant Garde"/>
        </w:rPr>
        <w:t>cpu</w:t>
      </w:r>
      <w:proofErr w:type="spellEnd"/>
      <w:r w:rsidR="00AE5193" w:rsidRPr="0034602F">
        <w:rPr>
          <w:rFonts w:ascii="ITC Avant Garde" w:hAnsi="ITC Avant Garde"/>
        </w:rPr>
        <w:t xml:space="preserve"> armado, sin marca, sin modelo y sin número de serie</w:t>
      </w:r>
      <w:r w:rsidRPr="0034602F">
        <w:rPr>
          <w:rFonts w:ascii="ITC Avant Garde" w:hAnsi="ITC Avant Garde"/>
        </w:rPr>
        <w:t xml:space="preserve">, con lo que se acredita el uso y aprovechamiento del espectro radioeléctrico, correspondiente a la banda de </w:t>
      </w:r>
      <w:r w:rsidRPr="0034602F">
        <w:rPr>
          <w:rFonts w:ascii="ITC Avant Garde" w:hAnsi="ITC Avant Garde"/>
          <w:b/>
        </w:rPr>
        <w:t>FM</w:t>
      </w:r>
      <w:r w:rsidRPr="0034602F">
        <w:rPr>
          <w:rFonts w:ascii="ITC Avant Garde" w:hAnsi="ITC Avant Garde"/>
        </w:rPr>
        <w:t>, sin contar con concesión o permiso.</w:t>
      </w:r>
    </w:p>
    <w:p w14:paraId="5F0FA008" w14:textId="77777777" w:rsidR="003C5E62" w:rsidRPr="0034602F" w:rsidRDefault="009A7318" w:rsidP="00583167">
      <w:pPr>
        <w:pStyle w:val="Listavistosa-nfasis11"/>
        <w:numPr>
          <w:ilvl w:val="0"/>
          <w:numId w:val="27"/>
        </w:numPr>
        <w:spacing w:before="240" w:after="240" w:line="360" w:lineRule="auto"/>
        <w:jc w:val="both"/>
        <w:rPr>
          <w:rFonts w:ascii="ITC Avant Garde" w:hAnsi="ITC Avant Garde" w:cs="Tahoma"/>
        </w:rPr>
      </w:pPr>
      <w:r w:rsidRPr="0034602F">
        <w:rPr>
          <w:rFonts w:ascii="ITC Avant Garde" w:hAnsi="ITC Avant Garde" w:cs="Tahoma"/>
        </w:rPr>
        <w:t>Se detectó la prestación del servicio público de radiodifusión del cual no se acreditó tener concesión o permiso expedido por autoridad competente que amparara o legitimara la prestación de dicho servicio.</w:t>
      </w:r>
    </w:p>
    <w:p w14:paraId="130B7A91" w14:textId="77777777" w:rsidR="003C5E62" w:rsidRPr="0034602F" w:rsidRDefault="009A7318"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kern w:val="32"/>
          <w:lang w:eastAsia="es-MX"/>
        </w:rPr>
        <w:t xml:space="preserve">En ese sentido, este Pleno del Instituto considera que existen elementos suficientes para determinar que el </w:t>
      </w:r>
      <w:r w:rsidRPr="0034602F">
        <w:rPr>
          <w:rFonts w:ascii="ITC Avant Garde" w:hAnsi="ITC Avant Garde"/>
          <w:b/>
        </w:rPr>
        <w:t>PRESUNTO RESPONSABLE</w:t>
      </w:r>
      <w:r w:rsidRPr="0034602F">
        <w:rPr>
          <w:rFonts w:ascii="ITC Avant Garde" w:eastAsia="Times New Roman" w:hAnsi="ITC Avant Garde"/>
          <w:bCs/>
          <w:kern w:val="32"/>
          <w:lang w:eastAsia="es-MX"/>
        </w:rPr>
        <w:t xml:space="preserve"> efectivamente prestaba el servicio público de radiodifusión de forma ilegal, en franca violación del artículo 66 </w:t>
      </w:r>
      <w:r w:rsidRPr="0034602F">
        <w:rPr>
          <w:rFonts w:ascii="ITC Avant Garde" w:hAnsi="ITC Avant Garde"/>
          <w:bCs/>
        </w:rPr>
        <w:t>en relación con el 75,</w:t>
      </w:r>
      <w:r w:rsidRPr="0034602F">
        <w:rPr>
          <w:rFonts w:ascii="ITC Avant Garde" w:eastAsia="Times New Roman" w:hAnsi="ITC Avant Garde"/>
          <w:bCs/>
          <w:kern w:val="32"/>
          <w:lang w:eastAsia="es-MX"/>
        </w:rPr>
        <w:t xml:space="preserve"> de la </w:t>
      </w:r>
      <w:proofErr w:type="spellStart"/>
      <w:r w:rsidRPr="0034602F">
        <w:rPr>
          <w:rFonts w:ascii="ITC Avant Garde" w:eastAsia="Times New Roman" w:hAnsi="ITC Avant Garde"/>
          <w:b/>
          <w:bCs/>
          <w:kern w:val="32"/>
          <w:lang w:eastAsia="es-MX"/>
        </w:rPr>
        <w:t>LFTyR</w:t>
      </w:r>
      <w:proofErr w:type="spellEnd"/>
      <w:r w:rsidRPr="0034602F">
        <w:rPr>
          <w:rFonts w:ascii="ITC Avant Garde" w:eastAsia="Times New Roman" w:hAnsi="ITC Avant Garde"/>
          <w:b/>
          <w:bCs/>
          <w:kern w:val="32"/>
          <w:lang w:eastAsia="es-MX"/>
        </w:rPr>
        <w:t>.</w:t>
      </w:r>
    </w:p>
    <w:p w14:paraId="099B0033" w14:textId="77777777" w:rsidR="003C5E62" w:rsidRPr="0034602F" w:rsidRDefault="009A7318"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Se afirma lo anterior, en virtud de que del análisis de la conducta desplegada en relación con lo establecido en los preceptos legales que se estiman transgredidos claramente se puede advertir que se surten todos los supuestos previstos por los mismos.</w:t>
      </w:r>
    </w:p>
    <w:p w14:paraId="727E55A6" w14:textId="77777777" w:rsidR="003C5E62" w:rsidRPr="0034602F" w:rsidRDefault="009A7318"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Así, el presente procedimiento administrativo de imposición de sanción y declaratoria de pérdida de bienes, instalaciones y equipos en beneficio de la Nación que se resuelve, se inició por el </w:t>
      </w:r>
      <w:r w:rsidRPr="0034602F">
        <w:rPr>
          <w:rFonts w:ascii="ITC Avant Garde" w:hAnsi="ITC Avant Garde" w:cs="Tahoma"/>
        </w:rPr>
        <w:t xml:space="preserve">uso y/o explotación de la frecuencia </w:t>
      </w:r>
      <w:r w:rsidR="00CD31BD" w:rsidRPr="0034602F">
        <w:rPr>
          <w:rFonts w:ascii="ITC Avant Garde" w:hAnsi="ITC Avant Garde"/>
          <w:b/>
        </w:rPr>
        <w:t>97.3</w:t>
      </w:r>
      <w:r w:rsidRPr="0034602F">
        <w:rPr>
          <w:rFonts w:ascii="ITC Avant Garde" w:hAnsi="ITC Avant Garde"/>
          <w:b/>
        </w:rPr>
        <w:t xml:space="preserve"> MHz</w:t>
      </w:r>
      <w:r w:rsidRPr="0034602F">
        <w:rPr>
          <w:rFonts w:ascii="ITC Avant Garde" w:hAnsi="ITC Avant Garde" w:cs="Tahoma"/>
        </w:rPr>
        <w:t xml:space="preserve"> en</w:t>
      </w:r>
      <w:r w:rsidR="00E900A2" w:rsidRPr="0034602F">
        <w:rPr>
          <w:rFonts w:ascii="ITC Avant Garde" w:hAnsi="ITC Avant Garde" w:cs="Tahoma"/>
        </w:rPr>
        <w:t xml:space="preserve"> la Delegación</w:t>
      </w:r>
      <w:r w:rsidRPr="0034602F">
        <w:rPr>
          <w:rFonts w:ascii="ITC Avant Garde" w:hAnsi="ITC Avant Garde" w:cs="Tahoma"/>
        </w:rPr>
        <w:t xml:space="preserve"> </w:t>
      </w:r>
      <w:r w:rsidR="00156A5C" w:rsidRPr="0034602F">
        <w:rPr>
          <w:rFonts w:ascii="ITC Avant Garde" w:hAnsi="ITC Avant Garde" w:cs="Tahoma"/>
        </w:rPr>
        <w:t>Tlalpan, Ciudad de México</w:t>
      </w:r>
      <w:r w:rsidRPr="0034602F">
        <w:rPr>
          <w:rFonts w:ascii="ITC Avant Garde" w:hAnsi="ITC Avant Garde"/>
        </w:rPr>
        <w:t xml:space="preserve">, </w:t>
      </w:r>
      <w:r w:rsidRPr="0034602F">
        <w:rPr>
          <w:rFonts w:ascii="ITC Avant Garde" w:eastAsia="Times New Roman" w:hAnsi="ITC Avant Garde"/>
          <w:bCs/>
          <w:color w:val="000000"/>
          <w:lang w:eastAsia="es-MX"/>
        </w:rPr>
        <w:t xml:space="preserve">incumpliendo con lo anterior lo dispuesto en el artículo 66 </w:t>
      </w:r>
      <w:r w:rsidRPr="0034602F">
        <w:rPr>
          <w:rFonts w:ascii="ITC Avant Garde" w:hAnsi="ITC Avant Garde"/>
          <w:bCs/>
        </w:rPr>
        <w:t>en relación con el 75,</w:t>
      </w:r>
      <w:r w:rsidRPr="0034602F">
        <w:rPr>
          <w:rFonts w:ascii="ITC Avant Garde" w:eastAsia="Times New Roman" w:hAnsi="ITC Avant Garde"/>
          <w:bCs/>
          <w:color w:val="000000"/>
          <w:lang w:eastAsia="es-MX"/>
        </w:rPr>
        <w:t xml:space="preserve"> y actualizando la hipótesis prevista en el artículo 305, todos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mismos que establecen:</w:t>
      </w:r>
    </w:p>
    <w:p w14:paraId="2C81A50F" w14:textId="77777777" w:rsidR="003C5E62" w:rsidRPr="0034602F" w:rsidRDefault="009A7318" w:rsidP="00583167">
      <w:pPr>
        <w:pStyle w:val="Listavistosa-nfasis11"/>
        <w:spacing w:before="240" w:after="240" w:line="240" w:lineRule="auto"/>
        <w:ind w:left="567" w:right="284"/>
        <w:jc w:val="both"/>
        <w:rPr>
          <w:rFonts w:ascii="ITC Avant Garde" w:hAnsi="ITC Avant Garde"/>
          <w:sz w:val="20"/>
          <w:szCs w:val="20"/>
        </w:rPr>
      </w:pPr>
      <w:r w:rsidRPr="0034602F">
        <w:rPr>
          <w:rFonts w:ascii="ITC Avant Garde" w:hAnsi="ITC Avant Garde"/>
          <w:color w:val="000000"/>
        </w:rPr>
        <w:t>“</w:t>
      </w:r>
      <w:r w:rsidRPr="0034602F">
        <w:rPr>
          <w:rFonts w:ascii="ITC Avant Garde" w:hAnsi="ITC Avant Garde"/>
          <w:b/>
          <w:sz w:val="20"/>
        </w:rPr>
        <w:t>Artículo 66.</w:t>
      </w:r>
      <w:r w:rsidRPr="0034602F">
        <w:rPr>
          <w:rFonts w:ascii="ITC Avant Garde" w:hAnsi="ITC Avant Garde"/>
          <w:sz w:val="20"/>
        </w:rPr>
        <w:t xml:space="preserve"> </w:t>
      </w:r>
      <w:r w:rsidRPr="0034602F">
        <w:rPr>
          <w:rFonts w:ascii="ITC Avant Garde" w:hAnsi="ITC Avant Garde"/>
          <w:sz w:val="20"/>
          <w:u w:val="single"/>
        </w:rPr>
        <w:t>Se requerirá concesión única para prestar todo tipo de servicios públicos</w:t>
      </w:r>
      <w:r w:rsidRPr="0034602F">
        <w:rPr>
          <w:rFonts w:ascii="ITC Avant Garde" w:hAnsi="ITC Avant Garde"/>
          <w:sz w:val="20"/>
        </w:rPr>
        <w:t xml:space="preserve"> de telecomunicaciones y radiodifusión</w:t>
      </w:r>
      <w:r w:rsidRPr="0034602F">
        <w:rPr>
          <w:rFonts w:ascii="ITC Avant Garde" w:hAnsi="ITC Avant Garde"/>
          <w:sz w:val="20"/>
          <w:szCs w:val="20"/>
        </w:rPr>
        <w:t>.”</w:t>
      </w:r>
    </w:p>
    <w:p w14:paraId="7169C49A" w14:textId="77777777" w:rsidR="003C5E62" w:rsidRPr="0034602F" w:rsidRDefault="009A7318" w:rsidP="00583167">
      <w:pPr>
        <w:pStyle w:val="Listavistosa-nfasis11"/>
        <w:spacing w:before="240" w:after="240" w:line="240" w:lineRule="auto"/>
        <w:ind w:left="567" w:right="284"/>
        <w:jc w:val="both"/>
        <w:rPr>
          <w:rFonts w:ascii="ITC Avant Garde" w:hAnsi="ITC Avant Garde"/>
          <w:sz w:val="20"/>
        </w:rPr>
      </w:pPr>
      <w:r w:rsidRPr="0034602F">
        <w:rPr>
          <w:rFonts w:ascii="ITC Avant Garde" w:hAnsi="ITC Avant Garde"/>
          <w:b/>
          <w:sz w:val="20"/>
        </w:rPr>
        <w:t>Artículo 75.</w:t>
      </w:r>
      <w:r w:rsidRPr="0034602F">
        <w:rPr>
          <w:rFonts w:ascii="ITC Avant Garde" w:hAnsi="ITC Avant Garde"/>
          <w:sz w:val="20"/>
        </w:rPr>
        <w:t xml:space="preserve"> </w:t>
      </w:r>
      <w:r w:rsidRPr="0034602F">
        <w:rPr>
          <w:rFonts w:ascii="ITC Avant Garde" w:hAnsi="ITC Avant Garde"/>
          <w:sz w:val="20"/>
          <w:u w:val="single"/>
        </w:rPr>
        <w:t>Las concesiones para usar, aprovechar y explotar bandas de frecuencias del espectro radioeléctrico</w:t>
      </w:r>
      <w:r w:rsidRPr="0034602F">
        <w:rPr>
          <w:rFonts w:ascii="ITC Avant Garde" w:hAnsi="ITC Avant Garde"/>
          <w:sz w:val="20"/>
        </w:rPr>
        <w:t xml:space="preserve"> de uso determinado y para la ocupación y explotación de recursos orbitales, </w:t>
      </w:r>
      <w:r w:rsidRPr="0034602F">
        <w:rPr>
          <w:rFonts w:ascii="ITC Avant Garde" w:hAnsi="ITC Avant Garde"/>
          <w:sz w:val="20"/>
          <w:u w:val="single"/>
        </w:rPr>
        <w:t>se otorgarán por el Instituto por un plazo de hasta veinte años</w:t>
      </w:r>
      <w:r w:rsidRPr="0034602F">
        <w:rPr>
          <w:rFonts w:ascii="ITC Avant Garde" w:hAnsi="ITC Avant Garde"/>
          <w:sz w:val="20"/>
        </w:rPr>
        <w:t xml:space="preserve"> y podrán ser prorrogadas hasta por plazos iguales conforme a lo dispuesto en el Capítulo VI de este Título.”</w:t>
      </w:r>
    </w:p>
    <w:p w14:paraId="56AE50AA" w14:textId="286FEAD8" w:rsidR="009A7318" w:rsidRPr="0034602F" w:rsidRDefault="009A7318" w:rsidP="00583167">
      <w:pPr>
        <w:pStyle w:val="Listavistosa-nfasis11"/>
        <w:spacing w:before="240" w:after="240" w:line="240" w:lineRule="auto"/>
        <w:ind w:left="567" w:right="284"/>
        <w:jc w:val="both"/>
        <w:rPr>
          <w:rFonts w:ascii="ITC Avant Garde" w:hAnsi="ITC Avant Garde"/>
          <w:sz w:val="20"/>
        </w:rPr>
      </w:pPr>
      <w:r w:rsidRPr="0034602F">
        <w:rPr>
          <w:rFonts w:ascii="ITC Avant Garde" w:hAnsi="ITC Avant Garde"/>
          <w:sz w:val="20"/>
        </w:rPr>
        <w:t>“</w:t>
      </w:r>
      <w:r w:rsidRPr="0034602F">
        <w:rPr>
          <w:rFonts w:ascii="ITC Avant Garde" w:hAnsi="ITC Avant Garde"/>
          <w:b/>
          <w:sz w:val="20"/>
        </w:rPr>
        <w:t>Artículo 305.</w:t>
      </w:r>
      <w:r w:rsidRPr="0034602F">
        <w:rPr>
          <w:rFonts w:ascii="ITC Avant Garde" w:hAnsi="ITC Avant Garde"/>
          <w:sz w:val="20"/>
        </w:rPr>
        <w:t xml:space="preserve"> </w:t>
      </w:r>
      <w:r w:rsidRPr="0034602F">
        <w:rPr>
          <w:rFonts w:ascii="ITC Avant Garde" w:hAnsi="ITC Avant Garde"/>
          <w:sz w:val="20"/>
          <w:u w:val="single"/>
        </w:rPr>
        <w:t xml:space="preserve">Las personas que presten servicios de </w:t>
      </w:r>
      <w:r w:rsidRPr="0034602F">
        <w:rPr>
          <w:rFonts w:ascii="ITC Avant Garde" w:hAnsi="ITC Avant Garde"/>
          <w:sz w:val="20"/>
        </w:rPr>
        <w:t xml:space="preserve">telecomunicaciones o </w:t>
      </w:r>
      <w:r w:rsidRPr="0034602F">
        <w:rPr>
          <w:rFonts w:ascii="ITC Avant Garde" w:hAnsi="ITC Avant Garde"/>
          <w:sz w:val="20"/>
          <w:u w:val="single"/>
        </w:rPr>
        <w:t>de radiodifusión, sin contar con la concesión o autorización,</w:t>
      </w:r>
      <w:r w:rsidRPr="0034602F">
        <w:rPr>
          <w:rFonts w:ascii="ITC Avant Garde" w:hAnsi="ITC Avant Garde"/>
          <w:sz w:val="20"/>
        </w:rPr>
        <w:t xml:space="preserve"> o que por cualquier otro medio invadan u obstruyan las vías generales de comunicación, perderán en beneficio de la Nación los bienes, instalaciones y equipos empleados en la comisión de dichas infracciones.”</w:t>
      </w:r>
    </w:p>
    <w:p w14:paraId="53944E9A" w14:textId="77777777" w:rsidR="003C5E62" w:rsidRPr="0034602F" w:rsidRDefault="009A7318"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lastRenderedPageBreak/>
        <w:t>Del análisis de los preceptos transcritos, se desprende que la conducta susceptible de ser sancionada es la prestación de servicios de radiodifusión sin contar con concesión o autorización emitida por la autoridad competente, por lo que con el fin de cumplir a cabalidad con el principio de tipicidad se debe analizar si la conducta desplegada se adecua a lo señalado por la norma.</w:t>
      </w:r>
    </w:p>
    <w:p w14:paraId="1A67B376" w14:textId="77777777" w:rsidR="003C5E62" w:rsidRPr="0034602F" w:rsidRDefault="009A7318"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En ese sentido, con el fin de establecer lo que debe entenderse por la prestación de un servicio de radiodifusión, resulta importante considerar lo señalado por las fracciones LIV y LXV del artículo 3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mismas que señalan lo siguiente:</w:t>
      </w:r>
    </w:p>
    <w:p w14:paraId="53A8F3F2" w14:textId="77777777" w:rsidR="003C5E62" w:rsidRPr="0034602F" w:rsidRDefault="009A7318" w:rsidP="00583167">
      <w:pPr>
        <w:spacing w:before="240" w:after="240" w:line="240" w:lineRule="auto"/>
        <w:ind w:left="1134" w:right="284"/>
        <w:jc w:val="both"/>
        <w:rPr>
          <w:rFonts w:ascii="ITC Avant Garde" w:eastAsia="Times New Roman" w:hAnsi="ITC Avant Garde"/>
          <w:bCs/>
          <w:color w:val="000000"/>
          <w:sz w:val="20"/>
          <w:szCs w:val="20"/>
          <w:lang w:eastAsia="es-MX"/>
        </w:rPr>
      </w:pPr>
      <w:r w:rsidRPr="0034602F">
        <w:rPr>
          <w:rFonts w:ascii="ITC Avant Garde" w:eastAsia="Times New Roman" w:hAnsi="ITC Avant Garde"/>
          <w:bCs/>
          <w:color w:val="000000"/>
          <w:sz w:val="20"/>
          <w:szCs w:val="20"/>
          <w:lang w:eastAsia="es-MX"/>
        </w:rPr>
        <w:t>“</w:t>
      </w:r>
      <w:r w:rsidRPr="0034602F">
        <w:rPr>
          <w:rFonts w:ascii="ITC Avant Garde" w:eastAsia="Times New Roman" w:hAnsi="ITC Avant Garde"/>
          <w:b/>
          <w:bCs/>
          <w:color w:val="000000"/>
          <w:sz w:val="20"/>
          <w:szCs w:val="20"/>
          <w:lang w:eastAsia="es-MX"/>
        </w:rPr>
        <w:t>Artículo 3.</w:t>
      </w:r>
      <w:r w:rsidRPr="0034602F">
        <w:rPr>
          <w:rFonts w:ascii="ITC Avant Garde" w:eastAsia="Times New Roman" w:hAnsi="ITC Avant Garde"/>
          <w:bCs/>
          <w:color w:val="000000"/>
          <w:sz w:val="20"/>
          <w:szCs w:val="20"/>
          <w:lang w:eastAsia="es-MX"/>
        </w:rPr>
        <w:t xml:space="preserve"> Para los efectos de esta Ley se entenderá por:</w:t>
      </w:r>
    </w:p>
    <w:p w14:paraId="7DAAD9CD" w14:textId="77777777" w:rsidR="003C5E62" w:rsidRPr="0034602F" w:rsidRDefault="009A7318" w:rsidP="00583167">
      <w:pPr>
        <w:pStyle w:val="Textoindependiente"/>
        <w:tabs>
          <w:tab w:val="left" w:pos="851"/>
        </w:tabs>
        <w:spacing w:before="240" w:after="240" w:line="240" w:lineRule="auto"/>
        <w:ind w:left="1134" w:right="1134"/>
        <w:jc w:val="both"/>
        <w:rPr>
          <w:rFonts w:ascii="ITC Avant Garde" w:eastAsia="Times New Roman" w:hAnsi="ITC Avant Garde"/>
          <w:bCs/>
          <w:color w:val="000000"/>
          <w:sz w:val="20"/>
          <w:lang w:eastAsia="es-MX"/>
        </w:rPr>
      </w:pPr>
      <w:r w:rsidRPr="0034602F">
        <w:rPr>
          <w:rFonts w:ascii="ITC Avant Garde" w:eastAsia="Times New Roman" w:hAnsi="ITC Avant Garde"/>
          <w:bCs/>
          <w:color w:val="000000"/>
          <w:sz w:val="20"/>
          <w:lang w:eastAsia="es-MX"/>
        </w:rPr>
        <w:t>…</w:t>
      </w:r>
    </w:p>
    <w:p w14:paraId="29AC8EE0" w14:textId="77777777" w:rsidR="003C5E62" w:rsidRPr="0034602F" w:rsidRDefault="009A7318" w:rsidP="00583167">
      <w:pPr>
        <w:pStyle w:val="Textoindependiente"/>
        <w:tabs>
          <w:tab w:val="left" w:pos="851"/>
          <w:tab w:val="left" w:pos="1560"/>
        </w:tabs>
        <w:spacing w:before="240" w:after="240" w:line="240" w:lineRule="auto"/>
        <w:ind w:left="1134" w:right="1134"/>
        <w:jc w:val="both"/>
        <w:rPr>
          <w:rFonts w:ascii="ITC Avant Garde" w:hAnsi="ITC Avant Garde"/>
          <w:color w:val="000000"/>
          <w:sz w:val="20"/>
        </w:rPr>
      </w:pPr>
      <w:r w:rsidRPr="0034602F">
        <w:rPr>
          <w:rFonts w:ascii="ITC Avant Garde" w:hAnsi="ITC Avant Garde"/>
          <w:b/>
          <w:color w:val="000000"/>
          <w:sz w:val="20"/>
        </w:rPr>
        <w:t>LIV.</w:t>
      </w:r>
      <w:r w:rsidRPr="0034602F">
        <w:rPr>
          <w:rFonts w:ascii="ITC Avant Garde" w:hAnsi="ITC Avant Garde"/>
          <w:b/>
          <w:color w:val="000000"/>
          <w:sz w:val="20"/>
        </w:rPr>
        <w:tab/>
        <w:t>Radiodifusión</w:t>
      </w:r>
      <w:r w:rsidRPr="0034602F">
        <w:rPr>
          <w:rFonts w:ascii="ITC Avant Garde" w:hAnsi="ITC Avant Garde"/>
          <w:color w:val="000000"/>
          <w:sz w:val="20"/>
        </w:rPr>
        <w:t>: Propagación de ondas electromagnéticas de señales de audio o de audio y video asociado, haciendo uso, aprovechamiento o explotación de las bandas de frecuencia del espectro radioeléctrico, incluidas las asociadas a recursos orbitales, atribuidas por el Instituto a tal servicio, con el que la población puede recibir de manera directa y gratuita las señales de su emisor utilizando los dispositivos idóneos para ello;</w:t>
      </w:r>
    </w:p>
    <w:p w14:paraId="6B4E2D5F" w14:textId="77777777" w:rsidR="003C5E62" w:rsidRPr="0034602F" w:rsidRDefault="009A7318" w:rsidP="00583167">
      <w:pPr>
        <w:pStyle w:val="Textoindependiente"/>
        <w:tabs>
          <w:tab w:val="left" w:pos="851"/>
        </w:tabs>
        <w:spacing w:before="240" w:after="240" w:line="240" w:lineRule="auto"/>
        <w:ind w:left="1134" w:right="1134"/>
        <w:jc w:val="both"/>
        <w:rPr>
          <w:rFonts w:ascii="ITC Avant Garde" w:hAnsi="ITC Avant Garde"/>
          <w:color w:val="000000"/>
          <w:sz w:val="20"/>
        </w:rPr>
      </w:pPr>
      <w:r w:rsidRPr="0034602F">
        <w:rPr>
          <w:rFonts w:ascii="ITC Avant Garde" w:hAnsi="ITC Avant Garde"/>
          <w:color w:val="000000"/>
          <w:sz w:val="20"/>
        </w:rPr>
        <w:t>…</w:t>
      </w:r>
    </w:p>
    <w:p w14:paraId="04C3F661" w14:textId="77777777" w:rsidR="003C5E62" w:rsidRPr="0034602F" w:rsidRDefault="009A7318" w:rsidP="00583167">
      <w:pPr>
        <w:pStyle w:val="Textoindependiente"/>
        <w:tabs>
          <w:tab w:val="left" w:pos="851"/>
          <w:tab w:val="left" w:pos="1560"/>
        </w:tabs>
        <w:spacing w:before="240" w:after="240" w:line="240" w:lineRule="auto"/>
        <w:ind w:left="1134" w:right="1134"/>
        <w:jc w:val="both"/>
        <w:rPr>
          <w:rFonts w:ascii="ITC Avant Garde" w:hAnsi="ITC Avant Garde"/>
          <w:color w:val="000000"/>
          <w:sz w:val="20"/>
        </w:rPr>
      </w:pPr>
      <w:r w:rsidRPr="0034602F">
        <w:rPr>
          <w:rFonts w:ascii="ITC Avant Garde" w:hAnsi="ITC Avant Garde"/>
          <w:b/>
          <w:color w:val="000000"/>
          <w:sz w:val="20"/>
        </w:rPr>
        <w:t>LXV.</w:t>
      </w:r>
      <w:r w:rsidRPr="0034602F">
        <w:rPr>
          <w:rFonts w:ascii="ITC Avant Garde" w:hAnsi="ITC Avant Garde"/>
          <w:b/>
          <w:color w:val="000000"/>
          <w:sz w:val="20"/>
        </w:rPr>
        <w:tab/>
        <w:t xml:space="preserve"> Servicios públicos de telecomunicaciones y radiodifusión</w:t>
      </w:r>
      <w:r w:rsidRPr="0034602F">
        <w:rPr>
          <w:rFonts w:ascii="ITC Avant Garde" w:hAnsi="ITC Avant Garde"/>
          <w:color w:val="000000"/>
          <w:sz w:val="20"/>
        </w:rPr>
        <w:t>: Servicios de interés general que prestan los concesionarios al público en general con fines comerciales, públicos o sociales de conformidad con lo dispuesto en la presente Ley y la Ley Federal de Competencia Económica;</w:t>
      </w:r>
    </w:p>
    <w:p w14:paraId="729D5997" w14:textId="77777777" w:rsidR="003C5E62" w:rsidRPr="0034602F" w:rsidRDefault="009A7318" w:rsidP="00583167">
      <w:pPr>
        <w:pStyle w:val="Textoindependiente"/>
        <w:tabs>
          <w:tab w:val="left" w:pos="851"/>
        </w:tabs>
        <w:spacing w:before="240" w:after="240" w:line="240" w:lineRule="auto"/>
        <w:ind w:left="1134" w:right="1134"/>
        <w:jc w:val="both"/>
        <w:rPr>
          <w:rFonts w:ascii="ITC Avant Garde" w:eastAsia="Times New Roman" w:hAnsi="ITC Avant Garde"/>
          <w:bCs/>
          <w:color w:val="000000"/>
          <w:sz w:val="20"/>
          <w:lang w:eastAsia="es-MX"/>
        </w:rPr>
      </w:pPr>
      <w:r w:rsidRPr="0034602F">
        <w:rPr>
          <w:rFonts w:ascii="ITC Avant Garde" w:eastAsia="Times New Roman" w:hAnsi="ITC Avant Garde"/>
          <w:bCs/>
          <w:color w:val="000000"/>
          <w:sz w:val="20"/>
          <w:lang w:eastAsia="es-MX"/>
        </w:rPr>
        <w:t>…”</w:t>
      </w:r>
    </w:p>
    <w:p w14:paraId="4F2F3A51" w14:textId="77777777" w:rsidR="003C5E62" w:rsidRPr="0034602F" w:rsidRDefault="009A7318"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De lo señalado por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xml:space="preserve"> se desprenden los </w:t>
      </w:r>
      <w:r w:rsidRPr="0034602F">
        <w:rPr>
          <w:rFonts w:ascii="ITC Avant Garde" w:eastAsia="Times New Roman" w:hAnsi="ITC Avant Garde"/>
          <w:bCs/>
          <w:color w:val="000000"/>
          <w:u w:val="single"/>
          <w:lang w:eastAsia="es-MX"/>
        </w:rPr>
        <w:t>elementos que componen el concepto de radiodifusión</w:t>
      </w:r>
      <w:r w:rsidRPr="0034602F">
        <w:rPr>
          <w:rFonts w:ascii="ITC Avant Garde" w:eastAsia="Times New Roman" w:hAnsi="ITC Avant Garde"/>
          <w:bCs/>
          <w:color w:val="000000"/>
          <w:lang w:eastAsia="es-MX"/>
        </w:rPr>
        <w:t>, mismos que deben ser analizados a la luz de la conducta desplegada para sustentar la determinación de incumplimiento.</w:t>
      </w:r>
    </w:p>
    <w:p w14:paraId="7AF83A58" w14:textId="77777777" w:rsidR="003C5E62" w:rsidRPr="0034602F" w:rsidRDefault="009A7318" w:rsidP="00583167">
      <w:pPr>
        <w:pStyle w:val="Textoindependiente"/>
        <w:tabs>
          <w:tab w:val="left" w:pos="851"/>
        </w:tabs>
        <w:spacing w:before="240" w:after="240" w:line="360" w:lineRule="auto"/>
        <w:ind w:right="-850"/>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En ese sentido las premisas del concepto de radiodifusión son las siguientes:</w:t>
      </w:r>
    </w:p>
    <w:p w14:paraId="69C52274" w14:textId="77777777" w:rsidR="003C5E62" w:rsidRPr="0034602F" w:rsidRDefault="009A7318" w:rsidP="00583167">
      <w:pPr>
        <w:pStyle w:val="Textoindependiente"/>
        <w:numPr>
          <w:ilvl w:val="0"/>
          <w:numId w:val="4"/>
        </w:num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La propagación de ondas electromagnéticas de señales de audio o de audio y video asociado.</w:t>
      </w:r>
    </w:p>
    <w:p w14:paraId="6A7A7A2F" w14:textId="77777777" w:rsidR="003C5E62" w:rsidRPr="0034602F" w:rsidRDefault="009A7318" w:rsidP="00583167">
      <w:pPr>
        <w:pStyle w:val="Textoindependiente"/>
        <w:numPr>
          <w:ilvl w:val="0"/>
          <w:numId w:val="4"/>
        </w:num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El uso, aprovechamiento o explotación de las bandas de frecuencia del espectro radioeléctrico atribuidas por el Instituto a tal servicio.</w:t>
      </w:r>
    </w:p>
    <w:p w14:paraId="73D645A6" w14:textId="77777777" w:rsidR="003C5E62" w:rsidRPr="0034602F" w:rsidRDefault="009A7318" w:rsidP="00583167">
      <w:pPr>
        <w:pStyle w:val="Textoindependiente"/>
        <w:numPr>
          <w:ilvl w:val="0"/>
          <w:numId w:val="4"/>
        </w:numPr>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lastRenderedPageBreak/>
        <w:t>La población las puede recibir de manera directa y gratuita utilizando los dispositivos idóneos para ello.</w:t>
      </w:r>
    </w:p>
    <w:p w14:paraId="33A9787F" w14:textId="77777777" w:rsidR="003C5E62" w:rsidRPr="0034602F" w:rsidRDefault="009A7318"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La primera y la tercera de las premisas se encuentran plenamente acreditadas en el procedimiento administrativo en que se actúa al existir constancia en autos del disco compacto remitido como adjunto a la propuesta de inicio del procedimiento, en el cual se contienen las grabaciones realizadas al momento de realizar el monitoreo del espectro radioeléctrico, de las cuales se desprende que efectivamente se estaban transmitiendo señales de audio, mismas que pueden ser recibidas de manera directa por la población con el simple hecho de contar con el medio idóneo, que en el presente caso lo constituye un radio receptor.</w:t>
      </w:r>
    </w:p>
    <w:p w14:paraId="6416DD0C" w14:textId="77777777" w:rsidR="003C5E62" w:rsidRPr="0034602F" w:rsidRDefault="009A7318" w:rsidP="00583167">
      <w:pPr>
        <w:spacing w:before="240" w:after="240" w:line="360" w:lineRule="auto"/>
        <w:jc w:val="both"/>
        <w:rPr>
          <w:rFonts w:ascii="Times New Roman" w:hAnsi="Times New Roman"/>
          <w:sz w:val="24"/>
          <w:szCs w:val="24"/>
          <w:lang w:eastAsia="es-MX"/>
        </w:rPr>
      </w:pPr>
      <w:r w:rsidRPr="0034602F">
        <w:rPr>
          <w:rFonts w:ascii="ITC Avant Garde" w:eastAsia="Times New Roman" w:hAnsi="ITC Avant Garde"/>
          <w:bCs/>
          <w:color w:val="000000"/>
          <w:lang w:eastAsia="es-MX"/>
        </w:rPr>
        <w:t xml:space="preserve">De igual forma, la primera y segunda de las premisas quedaron plenamente acreditadas durante el desarrollo de la diligencia de verificación, ya que derivado del monitoreo se detectó el uso de la frecuencia </w:t>
      </w:r>
      <w:r w:rsidR="00156A5C" w:rsidRPr="0034602F">
        <w:rPr>
          <w:rFonts w:ascii="ITC Avant Garde" w:hAnsi="ITC Avant Garde"/>
          <w:b/>
        </w:rPr>
        <w:t>93.7</w:t>
      </w:r>
      <w:r w:rsidRPr="0034602F">
        <w:rPr>
          <w:rFonts w:ascii="ITC Avant Garde" w:hAnsi="ITC Avant Garde"/>
          <w:b/>
        </w:rPr>
        <w:t xml:space="preserve"> MHz</w:t>
      </w:r>
      <w:r w:rsidRPr="0034602F">
        <w:rPr>
          <w:rFonts w:ascii="ITC Avant Garde" w:hAnsi="ITC Avant Garde"/>
          <w:bCs/>
        </w:rPr>
        <w:t xml:space="preserve"> </w:t>
      </w:r>
      <w:r w:rsidRPr="0034602F">
        <w:rPr>
          <w:rFonts w:ascii="ITC Avant Garde" w:eastAsia="Times New Roman" w:hAnsi="ITC Avant Garde"/>
          <w:lang w:eastAsia="es-ES"/>
        </w:rPr>
        <w:t xml:space="preserve">a través de </w:t>
      </w:r>
      <w:r w:rsidRPr="0034602F">
        <w:rPr>
          <w:rFonts w:ascii="ITC Avant Garde" w:eastAsia="Times New Roman" w:hAnsi="ITC Avant Garde"/>
          <w:b/>
          <w:lang w:eastAsia="es-ES"/>
        </w:rPr>
        <w:t>i)</w:t>
      </w:r>
      <w:r w:rsidRPr="0034602F">
        <w:rPr>
          <w:rFonts w:ascii="ITC Avant Garde" w:eastAsia="Times New Roman" w:hAnsi="ITC Avant Garde"/>
          <w:lang w:eastAsia="es-ES"/>
        </w:rPr>
        <w:t xml:space="preserve"> </w:t>
      </w:r>
      <w:r w:rsidRPr="0034602F">
        <w:rPr>
          <w:rFonts w:ascii="ITC Avant Garde" w:eastAsia="Times New Roman" w:hAnsi="ITC Avant Garde"/>
          <w:bCs/>
          <w:color w:val="000000"/>
          <w:lang w:eastAsia="es-MX"/>
        </w:rPr>
        <w:t>u</w:t>
      </w:r>
      <w:r w:rsidRPr="0034602F">
        <w:rPr>
          <w:rFonts w:ascii="ITC Avant Garde" w:hAnsi="ITC Avant Garde"/>
        </w:rPr>
        <w:t xml:space="preserve">na antena tipo omnidireccional sin marca, sin modelo y sin número de serie;  </w:t>
      </w:r>
      <w:r w:rsidRPr="0034602F">
        <w:rPr>
          <w:rFonts w:ascii="ITC Avant Garde" w:hAnsi="ITC Avant Garde"/>
          <w:b/>
        </w:rPr>
        <w:t>ii)</w:t>
      </w:r>
      <w:r w:rsidRPr="0034602F">
        <w:rPr>
          <w:rFonts w:ascii="ITC Avant Garde" w:hAnsi="ITC Avant Garde"/>
        </w:rPr>
        <w:t xml:space="preserve"> un transmisor, sin marca, sin modelo y sin número de serie y, </w:t>
      </w:r>
      <w:r w:rsidRPr="0034602F">
        <w:rPr>
          <w:rFonts w:ascii="ITC Avant Garde" w:hAnsi="ITC Avant Garde"/>
          <w:b/>
        </w:rPr>
        <w:t>iii)</w:t>
      </w:r>
      <w:r w:rsidRPr="0034602F">
        <w:rPr>
          <w:rFonts w:ascii="ITC Avant Garde" w:hAnsi="ITC Avant Garde"/>
        </w:rPr>
        <w:t xml:space="preserve"> un</w:t>
      </w:r>
      <w:r w:rsidR="00156A5C" w:rsidRPr="0034602F">
        <w:rPr>
          <w:rFonts w:ascii="ITC Avant Garde" w:hAnsi="ITC Avant Garde"/>
        </w:rPr>
        <w:t xml:space="preserve"> </w:t>
      </w:r>
      <w:proofErr w:type="spellStart"/>
      <w:r w:rsidR="00156A5C" w:rsidRPr="0034602F">
        <w:rPr>
          <w:rFonts w:ascii="ITC Avant Garde" w:hAnsi="ITC Avant Garde"/>
        </w:rPr>
        <w:t>cpu</w:t>
      </w:r>
      <w:proofErr w:type="spellEnd"/>
      <w:r w:rsidR="00156A5C" w:rsidRPr="0034602F">
        <w:rPr>
          <w:rFonts w:ascii="ITC Avant Garde" w:hAnsi="ITC Avant Garde"/>
        </w:rPr>
        <w:t xml:space="preserve"> armado, sin marca, sin modelo y sin número de serie</w:t>
      </w:r>
      <w:r w:rsidRPr="0034602F">
        <w:rPr>
          <w:rFonts w:ascii="ITC Avant Garde" w:hAnsi="ITC Avant Garde"/>
        </w:rPr>
        <w:t xml:space="preserve">, con lo que se acredita </w:t>
      </w:r>
      <w:r w:rsidRPr="0034602F">
        <w:rPr>
          <w:rFonts w:ascii="ITC Avant Garde" w:hAnsi="ITC Avant Garde" w:cs="Arial"/>
        </w:rPr>
        <w:t>la propagación de ondas y el uso de bandas de frecuencia del espectro radioeléctrico.</w:t>
      </w:r>
      <w:r w:rsidRPr="0034602F">
        <w:rPr>
          <w:rFonts w:ascii="Times New Roman" w:hAnsi="Times New Roman"/>
          <w:sz w:val="24"/>
          <w:szCs w:val="24"/>
          <w:lang w:eastAsia="es-MX"/>
        </w:rPr>
        <w:t xml:space="preserve"> </w:t>
      </w:r>
    </w:p>
    <w:p w14:paraId="774C7C01" w14:textId="77777777" w:rsidR="003C5E62" w:rsidRPr="0034602F" w:rsidRDefault="009A7318"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Ahora bien, de la definición de servicios públicos de telecomunicaciones y radiodifusión se desprenden los siguientes elementos:</w:t>
      </w:r>
    </w:p>
    <w:p w14:paraId="653EAFD8" w14:textId="5C2AF6D7" w:rsidR="009A7318" w:rsidRPr="0034602F" w:rsidRDefault="009A7318" w:rsidP="00583167">
      <w:pPr>
        <w:pStyle w:val="Textoindependiente"/>
        <w:numPr>
          <w:ilvl w:val="0"/>
          <w:numId w:val="3"/>
        </w:numPr>
        <w:tabs>
          <w:tab w:val="left" w:pos="851"/>
        </w:tabs>
        <w:spacing w:before="240" w:after="240" w:line="360" w:lineRule="auto"/>
        <w:ind w:right="-850"/>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Son servicios de interés general.</w:t>
      </w:r>
    </w:p>
    <w:p w14:paraId="30ECCD8F" w14:textId="77777777" w:rsidR="009A7318" w:rsidRPr="0034602F" w:rsidRDefault="009A7318" w:rsidP="00583167">
      <w:pPr>
        <w:pStyle w:val="Textoindependiente"/>
        <w:numPr>
          <w:ilvl w:val="0"/>
          <w:numId w:val="3"/>
        </w:numPr>
        <w:tabs>
          <w:tab w:val="left" w:pos="851"/>
        </w:tabs>
        <w:spacing w:before="240" w:after="240" w:line="360" w:lineRule="auto"/>
        <w:ind w:right="-850"/>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Generalmente son prestados por concesionarios.</w:t>
      </w:r>
    </w:p>
    <w:p w14:paraId="0796A37F" w14:textId="77777777" w:rsidR="009A7318" w:rsidRPr="0034602F" w:rsidRDefault="009A7318" w:rsidP="00583167">
      <w:pPr>
        <w:pStyle w:val="Textoindependiente"/>
        <w:numPr>
          <w:ilvl w:val="0"/>
          <w:numId w:val="3"/>
        </w:numPr>
        <w:tabs>
          <w:tab w:val="left" w:pos="851"/>
        </w:tabs>
        <w:spacing w:before="240" w:after="240" w:line="360" w:lineRule="auto"/>
        <w:ind w:right="-850"/>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Son para el público en general.</w:t>
      </w:r>
    </w:p>
    <w:p w14:paraId="390AE99F" w14:textId="77777777" w:rsidR="009A7318" w:rsidRPr="0034602F" w:rsidRDefault="009A7318" w:rsidP="00583167">
      <w:pPr>
        <w:pStyle w:val="Textoindependiente"/>
        <w:numPr>
          <w:ilvl w:val="0"/>
          <w:numId w:val="3"/>
        </w:numPr>
        <w:tabs>
          <w:tab w:val="left" w:pos="851"/>
        </w:tabs>
        <w:spacing w:before="240" w:after="240" w:line="360" w:lineRule="auto"/>
        <w:ind w:right="-850"/>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Tienen fines comerciales, públicos o sociales.</w:t>
      </w:r>
    </w:p>
    <w:p w14:paraId="0954B45B" w14:textId="77777777" w:rsidR="003C5E62" w:rsidRPr="0034602F" w:rsidRDefault="009A7318" w:rsidP="00583167">
      <w:pPr>
        <w:pStyle w:val="Textoindependiente"/>
        <w:numPr>
          <w:ilvl w:val="0"/>
          <w:numId w:val="3"/>
        </w:numPr>
        <w:tabs>
          <w:tab w:val="left" w:pos="851"/>
        </w:tabs>
        <w:spacing w:before="240" w:after="240" w:line="360" w:lineRule="auto"/>
        <w:ind w:right="-850"/>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Se prestan conforme a las leyes aplicables</w:t>
      </w:r>
    </w:p>
    <w:p w14:paraId="0773ED92" w14:textId="77777777" w:rsidR="003C5E62" w:rsidRPr="0034602F" w:rsidRDefault="009A7318"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Del análisis de dichos elementos se desprende que en el presente asunto el </w:t>
      </w:r>
      <w:r w:rsidRPr="0034602F">
        <w:rPr>
          <w:rFonts w:ascii="ITC Avant Garde" w:hAnsi="ITC Avant Garde"/>
          <w:b/>
        </w:rPr>
        <w:t>PRESUNTO RESPONSABLE</w:t>
      </w:r>
      <w:r w:rsidRPr="0034602F">
        <w:rPr>
          <w:rFonts w:ascii="ITC Avant Garde" w:eastAsia="Times New Roman" w:hAnsi="ITC Avant Garde"/>
          <w:bCs/>
          <w:color w:val="000000"/>
          <w:lang w:eastAsia="es-MX"/>
        </w:rPr>
        <w:t xml:space="preserve"> no acreditó tener el carácter de concesionario, además de que en los </w:t>
      </w:r>
      <w:r w:rsidRPr="0034602F">
        <w:rPr>
          <w:rFonts w:ascii="ITC Avant Garde" w:eastAsia="Times New Roman" w:hAnsi="ITC Avant Garde"/>
          <w:bCs/>
          <w:color w:val="000000"/>
          <w:lang w:eastAsia="es-MX"/>
        </w:rPr>
        <w:lastRenderedPageBreak/>
        <w:t xml:space="preserve">archivos del </w:t>
      </w:r>
      <w:r w:rsidRPr="0034602F">
        <w:rPr>
          <w:rFonts w:ascii="ITC Avant Garde" w:eastAsia="Times New Roman" w:hAnsi="ITC Avant Garde"/>
          <w:b/>
          <w:bCs/>
          <w:color w:val="000000"/>
          <w:lang w:eastAsia="es-MX"/>
        </w:rPr>
        <w:t>IFT</w:t>
      </w:r>
      <w:r w:rsidRPr="0034602F">
        <w:rPr>
          <w:rFonts w:ascii="ITC Avant Garde" w:eastAsia="Times New Roman" w:hAnsi="ITC Avant Garde"/>
          <w:bCs/>
          <w:color w:val="000000"/>
          <w:lang w:eastAsia="es-MX"/>
        </w:rPr>
        <w:t xml:space="preserve"> no obra concesión o permiso otorgado para operar esa frecuencia en dicha localidad.</w:t>
      </w:r>
    </w:p>
    <w:p w14:paraId="5CA6471D" w14:textId="77777777" w:rsidR="003C5E62" w:rsidRPr="0034602F" w:rsidRDefault="009A7318"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Adicionalmente la frecuencia utilizada para esa entidad no se encuentra registrada en la infraestructura de Estaciones de Radio de Frecuencia Modulada (“FM”) publicada en la página Web del </w:t>
      </w:r>
      <w:r w:rsidRPr="0034602F">
        <w:rPr>
          <w:rFonts w:ascii="ITC Avant Garde" w:eastAsia="Times New Roman" w:hAnsi="ITC Avant Garde"/>
          <w:b/>
          <w:bCs/>
          <w:color w:val="000000"/>
          <w:lang w:eastAsia="es-MX"/>
        </w:rPr>
        <w:t>Instituto</w:t>
      </w:r>
      <w:r w:rsidRPr="0034602F">
        <w:rPr>
          <w:rFonts w:ascii="ITC Avant Garde" w:eastAsia="Times New Roman" w:hAnsi="ITC Avant Garde"/>
          <w:bCs/>
          <w:color w:val="000000"/>
          <w:lang w:eastAsia="es-MX"/>
        </w:rPr>
        <w:t>, circunstancia que por sí misma constituye un hecho notorio que pone de manifiesto que los servicios no se prestaban conforme a la ley, no obstante que se encontraban a disposición del público en general por lo detectado y grabado en el monitoreo.</w:t>
      </w:r>
    </w:p>
    <w:p w14:paraId="7A34A139" w14:textId="77777777" w:rsidR="003C5E62" w:rsidRPr="0034602F" w:rsidRDefault="009A7318"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Ahora bien, otro elemento que resulta importante analizar es que con independencia de la finalidad de la estación de radiodifusión, para poder prestar dicho servicio se deben de cumplir con los requisitos previstos por la Ley, esto en virtud de que como se puede advertir de lo señalado por la norma, no existe la necesidad de acreditar un uso comercial, público o social.</w:t>
      </w:r>
    </w:p>
    <w:p w14:paraId="49C153C3" w14:textId="72030DC8" w:rsidR="00E900A2" w:rsidRPr="0034602F" w:rsidRDefault="009A7318"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Así las cosas, en el presente asunto durante</w:t>
      </w:r>
      <w:r w:rsidRPr="0034602F">
        <w:rPr>
          <w:rFonts w:ascii="ITC Avant Garde" w:hAnsi="ITC Avant Garde"/>
          <w:lang w:eastAsia="es-MX"/>
        </w:rPr>
        <w:t xml:space="preserve"> la Visita de Inspección-Verificación</w:t>
      </w:r>
      <w:r w:rsidRPr="0034602F">
        <w:rPr>
          <w:rFonts w:ascii="ITC Avant Garde" w:eastAsia="Times New Roman" w:hAnsi="ITC Avant Garde"/>
          <w:bCs/>
          <w:color w:val="000000"/>
          <w:lang w:eastAsia="es-MX"/>
        </w:rPr>
        <w:t xml:space="preserve"> se acreditó la prestación del servicio público de radiodifusión a través del uso de la frecuencia</w:t>
      </w:r>
      <w:r w:rsidRPr="0034602F">
        <w:rPr>
          <w:rFonts w:ascii="ITC Avant Garde" w:eastAsia="Times New Roman" w:hAnsi="ITC Avant Garde"/>
          <w:b/>
          <w:bCs/>
          <w:color w:val="000000"/>
          <w:lang w:eastAsia="es-MX"/>
        </w:rPr>
        <w:t xml:space="preserve"> </w:t>
      </w:r>
      <w:r w:rsidR="00CD31BD" w:rsidRPr="0034602F">
        <w:rPr>
          <w:rFonts w:ascii="ITC Avant Garde" w:hAnsi="ITC Avant Garde"/>
          <w:b/>
        </w:rPr>
        <w:t>97.3</w:t>
      </w:r>
      <w:r w:rsidRPr="0034602F">
        <w:rPr>
          <w:rFonts w:ascii="ITC Avant Garde" w:hAnsi="ITC Avant Garde"/>
          <w:b/>
        </w:rPr>
        <w:t xml:space="preserve"> MHz</w:t>
      </w:r>
      <w:r w:rsidRPr="0034602F">
        <w:rPr>
          <w:rFonts w:ascii="ITC Avant Garde" w:hAnsi="ITC Avant Garde"/>
          <w:bCs/>
        </w:rPr>
        <w:t xml:space="preserve"> con los siguientes equipos instalados y en operación: </w:t>
      </w:r>
      <w:r w:rsidRPr="0034602F">
        <w:rPr>
          <w:rFonts w:ascii="ITC Avant Garde" w:eastAsia="Times New Roman" w:hAnsi="ITC Avant Garde"/>
          <w:b/>
          <w:lang w:eastAsia="es-ES"/>
        </w:rPr>
        <w:t>i)</w:t>
      </w:r>
      <w:r w:rsidRPr="0034602F">
        <w:rPr>
          <w:rFonts w:ascii="ITC Avant Garde" w:eastAsia="Times New Roman" w:hAnsi="ITC Avant Garde"/>
          <w:lang w:eastAsia="es-ES"/>
        </w:rPr>
        <w:t xml:space="preserve"> </w:t>
      </w:r>
      <w:r w:rsidRPr="0034602F">
        <w:rPr>
          <w:rFonts w:ascii="ITC Avant Garde" w:eastAsia="Times New Roman" w:hAnsi="ITC Avant Garde"/>
          <w:bCs/>
          <w:color w:val="000000"/>
          <w:lang w:eastAsia="es-MX"/>
        </w:rPr>
        <w:t>u</w:t>
      </w:r>
      <w:r w:rsidRPr="0034602F">
        <w:rPr>
          <w:rFonts w:ascii="ITC Avant Garde" w:hAnsi="ITC Avant Garde"/>
        </w:rPr>
        <w:t xml:space="preserve">na antena tipo omnidireccional sin marca, sin modelo y sin número de serie; </w:t>
      </w:r>
      <w:r w:rsidRPr="0034602F">
        <w:rPr>
          <w:rFonts w:ascii="ITC Avant Garde" w:hAnsi="ITC Avant Garde"/>
          <w:b/>
        </w:rPr>
        <w:t>ii)</w:t>
      </w:r>
      <w:r w:rsidRPr="0034602F">
        <w:rPr>
          <w:rFonts w:ascii="ITC Avant Garde" w:hAnsi="ITC Avant Garde"/>
        </w:rPr>
        <w:t xml:space="preserve"> un transmisor, sin marca, sin modelo y sin número de serie y, </w:t>
      </w:r>
      <w:r w:rsidRPr="0034602F">
        <w:rPr>
          <w:rFonts w:ascii="ITC Avant Garde" w:hAnsi="ITC Avant Garde"/>
          <w:b/>
        </w:rPr>
        <w:t>iii)</w:t>
      </w:r>
      <w:r w:rsidRPr="0034602F">
        <w:rPr>
          <w:rFonts w:ascii="ITC Avant Garde" w:hAnsi="ITC Avant Garde"/>
        </w:rPr>
        <w:t xml:space="preserve"> </w:t>
      </w:r>
      <w:r w:rsidR="00CD31BD" w:rsidRPr="0034602F">
        <w:rPr>
          <w:rFonts w:ascii="ITC Avant Garde" w:hAnsi="ITC Avant Garde"/>
        </w:rPr>
        <w:t xml:space="preserve">un </w:t>
      </w:r>
      <w:proofErr w:type="spellStart"/>
      <w:r w:rsidR="00CD31BD" w:rsidRPr="0034602F">
        <w:rPr>
          <w:rFonts w:ascii="ITC Avant Garde" w:hAnsi="ITC Avant Garde"/>
        </w:rPr>
        <w:t>cpu</w:t>
      </w:r>
      <w:proofErr w:type="spellEnd"/>
      <w:r w:rsidR="00CD31BD" w:rsidRPr="0034602F">
        <w:rPr>
          <w:rFonts w:ascii="ITC Avant Garde" w:hAnsi="ITC Avant Garde"/>
        </w:rPr>
        <w:t xml:space="preserve"> armado</w:t>
      </w:r>
      <w:r w:rsidRPr="0034602F">
        <w:rPr>
          <w:rFonts w:ascii="ITC Avant Garde" w:hAnsi="ITC Avant Garde"/>
        </w:rPr>
        <w:t xml:space="preserve">, </w:t>
      </w:r>
      <w:r w:rsidR="00CD31BD" w:rsidRPr="0034602F">
        <w:rPr>
          <w:rFonts w:ascii="ITC Avant Garde" w:hAnsi="ITC Avant Garde"/>
        </w:rPr>
        <w:t>sin marca, sin modelo y sin número de serie</w:t>
      </w:r>
      <w:r w:rsidRPr="0034602F">
        <w:rPr>
          <w:rFonts w:ascii="ITC Avant Garde" w:hAnsi="ITC Avant Garde"/>
        </w:rPr>
        <w:t xml:space="preserve">; asimismo, el </w:t>
      </w:r>
      <w:r w:rsidRPr="0034602F">
        <w:rPr>
          <w:rFonts w:ascii="ITC Avant Garde" w:hAnsi="ITC Avant Garde"/>
          <w:b/>
        </w:rPr>
        <w:t>PRESUNTO RESPONSABLE</w:t>
      </w:r>
      <w:r w:rsidRPr="0034602F">
        <w:rPr>
          <w:rFonts w:ascii="ITC Avant Garde" w:eastAsia="Times New Roman" w:hAnsi="ITC Avant Garde"/>
          <w:lang w:eastAsia="es-ES"/>
        </w:rPr>
        <w:t xml:space="preserve"> no acreditó contar con concesión o permiso para la prestación del servicio público referido</w:t>
      </w:r>
      <w:r w:rsidRPr="0034602F">
        <w:rPr>
          <w:rFonts w:ascii="ITC Avant Garde" w:eastAsia="Times New Roman" w:hAnsi="ITC Avant Garde"/>
          <w:bCs/>
          <w:color w:val="000000"/>
          <w:lang w:eastAsia="es-MX"/>
        </w:rPr>
        <w:t>,</w:t>
      </w:r>
      <w:r w:rsidRPr="0034602F">
        <w:rPr>
          <w:rFonts w:ascii="ITC Avant Garde" w:eastAsia="Times New Roman" w:hAnsi="ITC Avant Garde"/>
          <w:lang w:eastAsia="es-ES"/>
        </w:rPr>
        <w:t xml:space="preserve"> por tanto, se considera que</w:t>
      </w:r>
      <w:r w:rsidRPr="0034602F">
        <w:rPr>
          <w:rFonts w:ascii="ITC Avant Garde" w:hAnsi="ITC Avant Garde"/>
          <w:b/>
        </w:rPr>
        <w:t xml:space="preserve"> </w:t>
      </w:r>
      <w:r w:rsidRPr="0034602F">
        <w:rPr>
          <w:rFonts w:ascii="ITC Avant Garde" w:hAnsi="ITC Avant Garde"/>
        </w:rPr>
        <w:t xml:space="preserve">es </w:t>
      </w:r>
      <w:r w:rsidRPr="0034602F">
        <w:rPr>
          <w:rFonts w:ascii="ITC Avant Garde" w:eastAsia="Times New Roman" w:hAnsi="ITC Avant Garde"/>
          <w:bCs/>
          <w:color w:val="000000"/>
          <w:lang w:eastAsia="es-MX"/>
        </w:rPr>
        <w:t xml:space="preserve">responsable de la violación a lo establecido en el artículo </w:t>
      </w:r>
      <w:r w:rsidRPr="0034602F">
        <w:rPr>
          <w:rFonts w:ascii="ITC Avant Garde" w:hAnsi="ITC Avant Garde"/>
        </w:rPr>
        <w:t xml:space="preserve">66 </w:t>
      </w:r>
      <w:r w:rsidRPr="0034602F">
        <w:rPr>
          <w:rFonts w:ascii="ITC Avant Garde" w:hAnsi="ITC Avant Garde"/>
          <w:bCs/>
        </w:rPr>
        <w:t>en relación con el 75,</w:t>
      </w:r>
      <w:r w:rsidRPr="0034602F">
        <w:rPr>
          <w:rFonts w:ascii="ITC Avant Garde" w:hAnsi="ITC Avant Garde"/>
        </w:rPr>
        <w:t xml:space="preserve"> y dicha conducta es sancionable en términos de la fracción I del inciso E) del artículo 298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xml:space="preserve">. </w:t>
      </w:r>
    </w:p>
    <w:p w14:paraId="0E9AAAD4" w14:textId="77777777" w:rsidR="003C5E62" w:rsidRPr="0034602F" w:rsidRDefault="009A7318"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Asimismo, se actualiza la hipótesis normativa prevista en el artículo 305 de dicho ordenamiento y lo procedente es declarar la pérdida a favor de la Nación de los bienes y equipos empleados en la comisión de la infracción. </w:t>
      </w:r>
    </w:p>
    <w:p w14:paraId="1480FD7D" w14:textId="77777777" w:rsidR="003C5E62" w:rsidRPr="0034602F" w:rsidRDefault="009A7318" w:rsidP="00583167">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En efecto, el artículo 298 </w:t>
      </w:r>
      <w:proofErr w:type="gramStart"/>
      <w:r w:rsidRPr="0034602F">
        <w:rPr>
          <w:rFonts w:ascii="ITC Avant Garde" w:eastAsia="Times New Roman" w:hAnsi="ITC Avant Garde"/>
          <w:bCs/>
          <w:color w:val="000000"/>
          <w:lang w:eastAsia="es-MX"/>
        </w:rPr>
        <w:t>inciso</w:t>
      </w:r>
      <w:proofErr w:type="gramEnd"/>
      <w:r w:rsidRPr="0034602F">
        <w:rPr>
          <w:rFonts w:ascii="ITC Avant Garde" w:eastAsia="Times New Roman" w:hAnsi="ITC Avant Garde"/>
          <w:bCs/>
          <w:color w:val="000000"/>
          <w:lang w:eastAsia="es-MX"/>
        </w:rPr>
        <w:t xml:space="preserve"> E), fracción I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establece lo siguiente:</w:t>
      </w:r>
    </w:p>
    <w:p w14:paraId="70177BAB" w14:textId="5E9851A5" w:rsidR="009A7318" w:rsidRPr="0034602F" w:rsidRDefault="009A7318" w:rsidP="00583167">
      <w:pPr>
        <w:pStyle w:val="Textoindependiente"/>
        <w:tabs>
          <w:tab w:val="left" w:pos="8222"/>
        </w:tabs>
        <w:spacing w:before="240" w:after="240" w:line="240" w:lineRule="auto"/>
        <w:ind w:left="567" w:right="851"/>
        <w:jc w:val="both"/>
        <w:rPr>
          <w:rFonts w:ascii="ITC Avant Garde" w:hAnsi="ITC Avant Garde"/>
          <w:color w:val="000000"/>
          <w:sz w:val="20"/>
          <w:szCs w:val="20"/>
        </w:rPr>
      </w:pPr>
      <w:r w:rsidRPr="0034602F">
        <w:rPr>
          <w:rFonts w:ascii="ITC Avant Garde" w:hAnsi="ITC Avant Garde"/>
          <w:color w:val="000000"/>
          <w:sz w:val="20"/>
          <w:szCs w:val="20"/>
        </w:rPr>
        <w:t xml:space="preserve">“Artículo 298. Las infracciones a lo dispuesto en esta Ley y a las disposiciones que deriven de ella, se sancionarán por el Instituto de conformidad con lo siguiente: </w:t>
      </w:r>
    </w:p>
    <w:p w14:paraId="4FF04582" w14:textId="77777777" w:rsidR="009A7318" w:rsidRPr="0034602F" w:rsidRDefault="009A7318" w:rsidP="00583167">
      <w:pPr>
        <w:pStyle w:val="Textoindependiente"/>
        <w:tabs>
          <w:tab w:val="left" w:pos="8222"/>
        </w:tabs>
        <w:spacing w:before="240" w:after="240" w:line="240" w:lineRule="auto"/>
        <w:ind w:left="567" w:right="851"/>
        <w:jc w:val="both"/>
        <w:rPr>
          <w:rFonts w:ascii="ITC Avant Garde" w:hAnsi="ITC Avant Garde"/>
          <w:sz w:val="20"/>
        </w:rPr>
      </w:pPr>
      <w:r w:rsidRPr="0034602F">
        <w:rPr>
          <w:rFonts w:ascii="ITC Avant Garde" w:hAnsi="ITC Avant Garde"/>
          <w:sz w:val="20"/>
        </w:rPr>
        <w:lastRenderedPageBreak/>
        <w:t>[…]</w:t>
      </w:r>
    </w:p>
    <w:p w14:paraId="4FA765C4" w14:textId="77777777" w:rsidR="009A7318" w:rsidRPr="0034602F" w:rsidRDefault="009A7318" w:rsidP="00583167">
      <w:pPr>
        <w:pStyle w:val="Textoindependiente"/>
        <w:tabs>
          <w:tab w:val="left" w:pos="8222"/>
        </w:tabs>
        <w:spacing w:before="240" w:after="240" w:line="240" w:lineRule="auto"/>
        <w:ind w:left="567" w:right="851"/>
        <w:jc w:val="both"/>
        <w:rPr>
          <w:rFonts w:ascii="ITC Avant Garde" w:hAnsi="ITC Avant Garde"/>
          <w:color w:val="000000"/>
          <w:sz w:val="20"/>
          <w:szCs w:val="20"/>
        </w:rPr>
      </w:pPr>
      <w:r w:rsidRPr="0034602F">
        <w:rPr>
          <w:rFonts w:ascii="ITC Avant Garde" w:hAnsi="ITC Avant Garde"/>
          <w:color w:val="000000"/>
          <w:sz w:val="20"/>
          <w:szCs w:val="20"/>
        </w:rPr>
        <w:t xml:space="preserve">E. Con multa por el equivalente de </w:t>
      </w:r>
      <w:r w:rsidRPr="0034602F">
        <w:rPr>
          <w:rFonts w:ascii="ITC Avant Garde" w:hAnsi="ITC Avant Garde"/>
          <w:color w:val="000000"/>
          <w:sz w:val="20"/>
        </w:rPr>
        <w:t>6.01% hasta 10% de los ingresos de la persona infractora que</w:t>
      </w:r>
      <w:r w:rsidRPr="0034602F">
        <w:rPr>
          <w:rFonts w:ascii="ITC Avant Garde" w:hAnsi="ITC Avant Garde"/>
          <w:color w:val="000000"/>
          <w:sz w:val="20"/>
          <w:szCs w:val="20"/>
        </w:rPr>
        <w:t>:</w:t>
      </w:r>
    </w:p>
    <w:p w14:paraId="63F7EC5D" w14:textId="77777777" w:rsidR="009A7318" w:rsidRPr="0034602F" w:rsidRDefault="009A7318" w:rsidP="00583167">
      <w:pPr>
        <w:pStyle w:val="Textoindependiente"/>
        <w:tabs>
          <w:tab w:val="left" w:pos="8222"/>
        </w:tabs>
        <w:spacing w:before="240" w:after="240" w:line="240" w:lineRule="auto"/>
        <w:ind w:left="567" w:right="851"/>
        <w:jc w:val="both"/>
        <w:rPr>
          <w:rFonts w:ascii="ITC Avant Garde" w:hAnsi="ITC Avant Garde"/>
          <w:sz w:val="20"/>
        </w:rPr>
      </w:pPr>
      <w:r w:rsidRPr="0034602F">
        <w:rPr>
          <w:rFonts w:ascii="ITC Avant Garde" w:hAnsi="ITC Avant Garde"/>
          <w:sz w:val="20"/>
        </w:rPr>
        <w:t>[…]</w:t>
      </w:r>
    </w:p>
    <w:p w14:paraId="35CF9EB8" w14:textId="77777777" w:rsidR="003C5E62" w:rsidRPr="0034602F" w:rsidRDefault="009A7318" w:rsidP="00583167">
      <w:pPr>
        <w:pStyle w:val="Textoindependiente"/>
        <w:tabs>
          <w:tab w:val="left" w:pos="8222"/>
        </w:tabs>
        <w:spacing w:before="240" w:after="240" w:line="240" w:lineRule="auto"/>
        <w:ind w:left="567" w:right="851"/>
        <w:jc w:val="both"/>
        <w:rPr>
          <w:rFonts w:ascii="ITC Avant Garde" w:eastAsia="Times New Roman" w:hAnsi="ITC Avant Garde"/>
          <w:bCs/>
          <w:color w:val="000000"/>
          <w:sz w:val="20"/>
          <w:szCs w:val="20"/>
          <w:lang w:eastAsia="es-MX"/>
        </w:rPr>
      </w:pPr>
      <w:r w:rsidRPr="0034602F">
        <w:rPr>
          <w:rFonts w:ascii="ITC Avant Garde" w:hAnsi="ITC Avant Garde"/>
          <w:color w:val="000000"/>
          <w:sz w:val="20"/>
          <w:szCs w:val="20"/>
        </w:rPr>
        <w:t>I. Preste servicios de telecomunicaciones o radiodifusión sin contar con concesión o autorización, o”</w:t>
      </w:r>
    </w:p>
    <w:p w14:paraId="5E5165BE" w14:textId="77777777" w:rsidR="003C5E62" w:rsidRPr="0034602F" w:rsidRDefault="009A7318" w:rsidP="00583167">
      <w:pPr>
        <w:spacing w:before="240" w:after="240" w:line="360" w:lineRule="auto"/>
        <w:jc w:val="both"/>
        <w:rPr>
          <w:rFonts w:ascii="ITC Avant Garde" w:hAnsi="ITC Avant Garde"/>
        </w:rPr>
      </w:pPr>
      <w:r w:rsidRPr="0034602F">
        <w:rPr>
          <w:rFonts w:ascii="ITC Avant Garde" w:eastAsia="Times New Roman" w:hAnsi="ITC Avant Garde"/>
          <w:bCs/>
          <w:color w:val="000000"/>
          <w:lang w:eastAsia="es-MX"/>
        </w:rPr>
        <w:t xml:space="preserve">En consecuencia, y considerando que el </w:t>
      </w:r>
      <w:r w:rsidRPr="0034602F">
        <w:rPr>
          <w:rFonts w:ascii="ITC Avant Garde" w:hAnsi="ITC Avant Garde"/>
          <w:b/>
        </w:rPr>
        <w:t>PRESUNTO RESPONSABLE</w:t>
      </w:r>
      <w:r w:rsidRPr="0034602F">
        <w:rPr>
          <w:rFonts w:ascii="ITC Avant Garde" w:eastAsia="Times New Roman" w:hAnsi="ITC Avant Garde"/>
          <w:bCs/>
          <w:color w:val="000000"/>
          <w:lang w:eastAsia="es-MX"/>
        </w:rPr>
        <w:t xml:space="preserve"> es responsable de la prestación del servicio de radiodifusión a través del uso de </w:t>
      </w:r>
      <w:r w:rsidRPr="0034602F">
        <w:rPr>
          <w:rFonts w:ascii="ITC Avant Garde" w:eastAsia="Times New Roman" w:hAnsi="ITC Avant Garde"/>
          <w:lang w:eastAsia="es-ES"/>
        </w:rPr>
        <w:t xml:space="preserve">la frecuencia </w:t>
      </w:r>
      <w:r w:rsidR="00CD31BD" w:rsidRPr="0034602F">
        <w:rPr>
          <w:rFonts w:ascii="ITC Avant Garde" w:hAnsi="ITC Avant Garde"/>
          <w:b/>
        </w:rPr>
        <w:t>97.3</w:t>
      </w:r>
      <w:r w:rsidRPr="0034602F">
        <w:rPr>
          <w:rFonts w:ascii="ITC Avant Garde" w:hAnsi="ITC Avant Garde"/>
          <w:b/>
        </w:rPr>
        <w:t xml:space="preserve"> MHz</w:t>
      </w:r>
      <w:r w:rsidRPr="0034602F">
        <w:rPr>
          <w:rFonts w:ascii="ITC Avant Garde" w:eastAsia="Times New Roman" w:hAnsi="ITC Avant Garde"/>
          <w:b/>
          <w:bCs/>
          <w:color w:val="000000"/>
          <w:lang w:eastAsia="es-MX"/>
        </w:rPr>
        <w:t xml:space="preserve">, </w:t>
      </w:r>
      <w:r w:rsidRPr="0034602F">
        <w:rPr>
          <w:rFonts w:ascii="ITC Avant Garde" w:eastAsia="Times New Roman" w:hAnsi="ITC Avant Garde"/>
          <w:lang w:eastAsia="es-ES"/>
        </w:rPr>
        <w:t xml:space="preserve">sin contar con concesión, permiso o autorización correspondiente que lo habilite para tal fin, lo procedente es imponer la sanción que corresponda en términos del citado artículo 298, inciso E), fracción I de la </w:t>
      </w:r>
      <w:proofErr w:type="spellStart"/>
      <w:r w:rsidRPr="0034602F">
        <w:rPr>
          <w:rFonts w:ascii="ITC Avant Garde" w:eastAsia="Times New Roman" w:hAnsi="ITC Avant Garde"/>
          <w:b/>
          <w:lang w:eastAsia="es-ES"/>
        </w:rPr>
        <w:t>LFTyR</w:t>
      </w:r>
      <w:proofErr w:type="spellEnd"/>
      <w:r w:rsidRPr="0034602F">
        <w:rPr>
          <w:rFonts w:ascii="ITC Avant Garde" w:eastAsia="Times New Roman" w:hAnsi="ITC Avant Garde"/>
          <w:b/>
          <w:lang w:eastAsia="es-ES"/>
        </w:rPr>
        <w:t xml:space="preserve"> </w:t>
      </w:r>
      <w:r w:rsidRPr="0034602F">
        <w:rPr>
          <w:rFonts w:ascii="ITC Avant Garde" w:eastAsia="Times New Roman" w:hAnsi="ITC Avant Garde"/>
          <w:lang w:eastAsia="es-ES"/>
        </w:rPr>
        <w:t>y conforme al citado artículo 305 procede declarar la pérdida de los equipos detectados</w:t>
      </w:r>
      <w:r w:rsidRPr="0034602F">
        <w:rPr>
          <w:rFonts w:ascii="ITC Avant Garde" w:hAnsi="ITC Avant Garde"/>
        </w:rPr>
        <w:t xml:space="preserve"> durante la </w:t>
      </w:r>
      <w:r w:rsidRPr="0034602F">
        <w:rPr>
          <w:rFonts w:ascii="ITC Avant Garde" w:hAnsi="ITC Avant Garde"/>
          <w:lang w:eastAsia="es-MX"/>
        </w:rPr>
        <w:t xml:space="preserve">visita de inspección-verificación, </w:t>
      </w:r>
      <w:r w:rsidRPr="0034602F">
        <w:rPr>
          <w:rFonts w:ascii="ITC Avant Garde" w:hAnsi="ITC Avant Garde"/>
        </w:rPr>
        <w:t>consistentes</w:t>
      </w:r>
      <w:r w:rsidRPr="0034602F">
        <w:rPr>
          <w:rFonts w:ascii="ITC Avant Garde" w:hAnsi="ITC Avant Garde"/>
          <w:b/>
        </w:rPr>
        <w:t xml:space="preserve"> </w:t>
      </w:r>
      <w:r w:rsidRPr="0034602F">
        <w:rPr>
          <w:rFonts w:ascii="ITC Avant Garde" w:hAnsi="ITC Avant Garde"/>
        </w:rPr>
        <w:t>en:</w:t>
      </w:r>
    </w:p>
    <w:p w14:paraId="206C181C" w14:textId="7908B695" w:rsidR="009A7318" w:rsidRPr="0034602F" w:rsidRDefault="009A7318" w:rsidP="00583167">
      <w:pPr>
        <w:numPr>
          <w:ilvl w:val="0"/>
          <w:numId w:val="28"/>
        </w:numPr>
        <w:spacing w:before="240" w:after="240" w:line="360" w:lineRule="auto"/>
        <w:jc w:val="both"/>
        <w:rPr>
          <w:rFonts w:ascii="ITC Avant Garde" w:eastAsia="Times New Roman" w:hAnsi="ITC Avant Garde"/>
          <w:lang w:eastAsia="es-ES"/>
        </w:rPr>
      </w:pPr>
      <w:r w:rsidRPr="0034602F">
        <w:rPr>
          <w:rFonts w:ascii="ITC Avant Garde" w:eastAsia="Times New Roman" w:hAnsi="ITC Avant Garde"/>
          <w:bCs/>
          <w:color w:val="000000"/>
          <w:lang w:eastAsia="es-MX"/>
        </w:rPr>
        <w:t>u</w:t>
      </w:r>
      <w:r w:rsidRPr="0034602F">
        <w:rPr>
          <w:rFonts w:ascii="ITC Avant Garde" w:hAnsi="ITC Avant Garde"/>
        </w:rPr>
        <w:t>na antena tipo omnidireccional sin marca, sin modelo y sin número de serie,</w:t>
      </w:r>
    </w:p>
    <w:p w14:paraId="6DE5B5EC" w14:textId="77777777" w:rsidR="009A7318" w:rsidRPr="0034602F" w:rsidRDefault="009A7318" w:rsidP="00583167">
      <w:pPr>
        <w:numPr>
          <w:ilvl w:val="0"/>
          <w:numId w:val="28"/>
        </w:numPr>
        <w:spacing w:before="240" w:after="240" w:line="360" w:lineRule="auto"/>
        <w:jc w:val="both"/>
        <w:rPr>
          <w:rFonts w:ascii="ITC Avant Garde" w:eastAsia="Times New Roman" w:hAnsi="ITC Avant Garde"/>
          <w:lang w:eastAsia="es-ES"/>
        </w:rPr>
      </w:pPr>
      <w:r w:rsidRPr="0034602F">
        <w:rPr>
          <w:rFonts w:ascii="ITC Avant Garde" w:hAnsi="ITC Avant Garde"/>
        </w:rPr>
        <w:t>un transmisor, sin marca, sin modelo y sin número de serie; y</w:t>
      </w:r>
    </w:p>
    <w:p w14:paraId="1D6874DB" w14:textId="77777777" w:rsidR="003C5E62" w:rsidRPr="0034602F" w:rsidRDefault="009A7318" w:rsidP="00583167">
      <w:pPr>
        <w:numPr>
          <w:ilvl w:val="0"/>
          <w:numId w:val="28"/>
        </w:numPr>
        <w:spacing w:before="240" w:after="240" w:line="360" w:lineRule="auto"/>
        <w:jc w:val="both"/>
        <w:rPr>
          <w:rFonts w:ascii="ITC Avant Garde" w:eastAsia="Times New Roman" w:hAnsi="ITC Avant Garde"/>
          <w:lang w:eastAsia="es-ES"/>
        </w:rPr>
      </w:pPr>
      <w:r w:rsidRPr="0034602F">
        <w:rPr>
          <w:rFonts w:ascii="ITC Avant Garde" w:hAnsi="ITC Avant Garde"/>
        </w:rPr>
        <w:t>un</w:t>
      </w:r>
      <w:r w:rsidR="00CD31BD" w:rsidRPr="0034602F">
        <w:rPr>
          <w:rFonts w:ascii="ITC Avant Garde" w:hAnsi="ITC Avant Garde"/>
        </w:rPr>
        <w:t xml:space="preserve"> </w:t>
      </w:r>
      <w:proofErr w:type="spellStart"/>
      <w:r w:rsidR="00CD31BD" w:rsidRPr="0034602F">
        <w:rPr>
          <w:rFonts w:ascii="ITC Avant Garde" w:hAnsi="ITC Avant Garde"/>
        </w:rPr>
        <w:t>cpu</w:t>
      </w:r>
      <w:proofErr w:type="spellEnd"/>
      <w:r w:rsidR="00CD31BD" w:rsidRPr="0034602F">
        <w:rPr>
          <w:rFonts w:ascii="ITC Avant Garde" w:hAnsi="ITC Avant Garde"/>
        </w:rPr>
        <w:t xml:space="preserve"> armado, sin </w:t>
      </w:r>
      <w:r w:rsidRPr="0034602F">
        <w:rPr>
          <w:rFonts w:ascii="ITC Avant Garde" w:hAnsi="ITC Avant Garde"/>
        </w:rPr>
        <w:t>marca, sin modelo y sin número de serie.</w:t>
      </w:r>
    </w:p>
    <w:p w14:paraId="7CB7930B" w14:textId="77777777" w:rsidR="003C5E62" w:rsidRPr="0034602F" w:rsidRDefault="009A7318" w:rsidP="00583167">
      <w:pPr>
        <w:pStyle w:val="Textoindependiente"/>
        <w:tabs>
          <w:tab w:val="left" w:pos="993"/>
        </w:tabs>
        <w:spacing w:before="240" w:after="240" w:line="360" w:lineRule="auto"/>
        <w:ind w:right="49"/>
        <w:jc w:val="both"/>
        <w:rPr>
          <w:rFonts w:ascii="ITC Avant Garde" w:eastAsia="Times New Roman" w:hAnsi="ITC Avant Garde"/>
          <w:lang w:eastAsia="es-ES"/>
        </w:rPr>
      </w:pPr>
      <w:r w:rsidRPr="0034602F">
        <w:rPr>
          <w:rFonts w:ascii="ITC Avant Garde" w:eastAsia="Times New Roman" w:hAnsi="ITC Avant Garde"/>
          <w:bCs/>
          <w:color w:val="000000"/>
          <w:lang w:eastAsia="es-MX"/>
        </w:rPr>
        <w:t xml:space="preserve">Lo anterior, </w:t>
      </w:r>
      <w:r w:rsidRPr="0034602F">
        <w:rPr>
          <w:rFonts w:ascii="ITC Avant Garde" w:eastAsia="Times New Roman" w:hAnsi="ITC Avant Garde"/>
          <w:lang w:eastAsia="es-ES"/>
        </w:rPr>
        <w:t xml:space="preserve">toda vez que el espectro radioeléctrico es un bien de dominio público de la Federación, el cual es un recurso limitado, que conforme a lo dispuesto en el artículo 28 de la </w:t>
      </w:r>
      <w:r w:rsidRPr="0034602F">
        <w:rPr>
          <w:rFonts w:ascii="ITC Avant Garde" w:eastAsia="Times New Roman" w:hAnsi="ITC Avant Garde"/>
          <w:b/>
          <w:lang w:eastAsia="es-ES"/>
        </w:rPr>
        <w:t>CPEUM</w:t>
      </w:r>
      <w:r w:rsidRPr="0034602F">
        <w:rPr>
          <w:rFonts w:ascii="ITC Avant Garde" w:eastAsia="Times New Roman" w:hAnsi="ITC Avant Garde"/>
          <w:lang w:eastAsia="es-ES"/>
        </w:rPr>
        <w:t>, corresponde al Estado a través del Instituto salvaguardar su uso, aprovechamiento y explotación en beneficio del interés público.</w:t>
      </w:r>
    </w:p>
    <w:p w14:paraId="3A360BFC" w14:textId="77777777" w:rsidR="003C5E62" w:rsidRPr="0034602F" w:rsidRDefault="009A7318" w:rsidP="00583167">
      <w:pPr>
        <w:pStyle w:val="Textoindependiente"/>
        <w:tabs>
          <w:tab w:val="left" w:pos="993"/>
        </w:tabs>
        <w:spacing w:before="240" w:after="240" w:line="360" w:lineRule="auto"/>
        <w:jc w:val="both"/>
        <w:rPr>
          <w:rFonts w:ascii="ITC Avant Garde" w:eastAsia="Times New Roman" w:hAnsi="ITC Avant Garde"/>
          <w:lang w:eastAsia="es-ES"/>
        </w:rPr>
      </w:pPr>
      <w:r w:rsidRPr="0034602F">
        <w:rPr>
          <w:rFonts w:ascii="ITC Avant Garde" w:eastAsia="Times New Roman" w:hAnsi="ITC Avant Garde"/>
          <w:lang w:eastAsia="es-ES"/>
        </w:rPr>
        <w:t>Sirven de apoyo a lo anterior, los siguientes criterios judiciales:</w:t>
      </w:r>
    </w:p>
    <w:p w14:paraId="4F743279" w14:textId="77777777" w:rsidR="003C5E62" w:rsidRPr="0034602F" w:rsidRDefault="009A7318" w:rsidP="00583167">
      <w:pPr>
        <w:pStyle w:val="Textoindependiente"/>
        <w:tabs>
          <w:tab w:val="left" w:pos="993"/>
        </w:tabs>
        <w:spacing w:before="240" w:after="240" w:line="240" w:lineRule="auto"/>
        <w:ind w:left="567" w:right="567"/>
        <w:jc w:val="both"/>
        <w:rPr>
          <w:rFonts w:ascii="ITC Avant Garde" w:hAnsi="ITC Avant Garde"/>
          <w:color w:val="000000"/>
          <w:sz w:val="20"/>
          <w:szCs w:val="20"/>
        </w:rPr>
      </w:pPr>
      <w:r w:rsidRPr="0034602F">
        <w:rPr>
          <w:rFonts w:ascii="ITC Avant Garde" w:hAnsi="ITC Avant Garde"/>
          <w:color w:val="000000"/>
          <w:sz w:val="20"/>
          <w:szCs w:val="20"/>
        </w:rPr>
        <w:t>“</w:t>
      </w:r>
      <w:r w:rsidRPr="0034602F">
        <w:rPr>
          <w:rFonts w:ascii="ITC Avant Garde" w:hAnsi="ITC Avant Garde"/>
          <w:b/>
          <w:color w:val="000000"/>
          <w:sz w:val="20"/>
          <w:szCs w:val="20"/>
        </w:rPr>
        <w:t>ESPECTRO RADIOELÉCTRICO. FORMA PARTE DEL ESPACIO AÉREO, QUE CONSTITUYE UN BIEN NACIONAL DE USO COMÚN SUJETO AL RÉGIMEN DE DOMINIO PÚBLICO DE LA FEDERACIÓN, PARA CUYO APROVECHAMIENTO ESPECIAL SE REQUIERE CONCESIÓN, AUTORIZACIÓN O PERMISO.</w:t>
      </w:r>
      <w:r w:rsidRPr="0034602F">
        <w:rPr>
          <w:rFonts w:ascii="ITC Avant Garde" w:hAnsi="ITC Avant Garde"/>
          <w:b/>
          <w:color w:val="000000"/>
          <w:sz w:val="20"/>
        </w:rPr>
        <w:t xml:space="preserve"> </w:t>
      </w:r>
      <w:r w:rsidRPr="0034602F">
        <w:rPr>
          <w:rFonts w:ascii="ITC Avant Garde" w:hAnsi="ITC Avant Garde"/>
          <w:color w:val="000000"/>
          <w:sz w:val="20"/>
          <w:szCs w:val="20"/>
        </w:rPr>
        <w:t xml:space="preserve">La Sección Primera, Apartado 1-5, del Reglamento de Radiocomunicaciones de la Unión Internacional de Telecomunicaciones, define a las ondas radioeléctricas u ondas hertzianas como las ondas electromagnéticas cuya frecuencia se fija convencionalmente por debajo de los 3,000 </w:t>
      </w:r>
      <w:proofErr w:type="spellStart"/>
      <w:r w:rsidRPr="0034602F">
        <w:rPr>
          <w:rFonts w:ascii="ITC Avant Garde" w:hAnsi="ITC Avant Garde"/>
          <w:color w:val="000000"/>
          <w:sz w:val="20"/>
          <w:szCs w:val="20"/>
        </w:rPr>
        <w:t>gigahertz</w:t>
      </w:r>
      <w:proofErr w:type="spellEnd"/>
      <w:r w:rsidRPr="0034602F">
        <w:rPr>
          <w:rFonts w:ascii="ITC Avant Garde" w:hAnsi="ITC Avant Garde"/>
          <w:color w:val="000000"/>
          <w:sz w:val="20"/>
          <w:szCs w:val="20"/>
        </w:rPr>
        <w:t xml:space="preserve"> y que se propagan por el espacio sin guía artificial. Por su parte, el artículo 3o., fracción II, de la Ley Federal de Telecomunicaciones define al espectro radioeléctrico como el espacio que permite la propagación sin guía artificial de ondas electromagnéticas cuyas bandas de frecuencia se fijan convencionalmente por debajo de los 3,000 </w:t>
      </w:r>
      <w:proofErr w:type="spellStart"/>
      <w:r w:rsidRPr="0034602F">
        <w:rPr>
          <w:rFonts w:ascii="ITC Avant Garde" w:hAnsi="ITC Avant Garde"/>
          <w:color w:val="000000"/>
          <w:sz w:val="20"/>
          <w:szCs w:val="20"/>
        </w:rPr>
        <w:t>gigahertz</w:t>
      </w:r>
      <w:proofErr w:type="spellEnd"/>
      <w:r w:rsidRPr="0034602F">
        <w:rPr>
          <w:rFonts w:ascii="ITC Avant Garde" w:hAnsi="ITC Avant Garde"/>
          <w:color w:val="000000"/>
          <w:sz w:val="20"/>
          <w:szCs w:val="20"/>
        </w:rPr>
        <w:t xml:space="preserve">. En ese tenor, si se relaciona el concepto de ondas radioeléctricas definido por el derecho internacional con el del espectro radioeléctrico que define la Ley </w:t>
      </w:r>
      <w:r w:rsidRPr="0034602F">
        <w:rPr>
          <w:rFonts w:ascii="ITC Avant Garde" w:hAnsi="ITC Avant Garde"/>
          <w:color w:val="000000"/>
          <w:sz w:val="20"/>
          <w:szCs w:val="20"/>
        </w:rPr>
        <w:lastRenderedPageBreak/>
        <w:t xml:space="preserve">Federal de Telecomunicaciones, se concluye que este último forma parte del espacio aéreo situado sobre el territorio nacional, sobre el que la Nación ejerce dominio directo en la extensión y términos que fije el derecho internacional conforme al artículo 27 de la Constitución Política de los Estados Unidos Mexicanos. Por tanto, </w:t>
      </w:r>
      <w:r w:rsidRPr="0034602F">
        <w:rPr>
          <w:rFonts w:ascii="ITC Avant Garde" w:hAnsi="ITC Avant Garde"/>
          <w:b/>
          <w:color w:val="000000"/>
          <w:sz w:val="20"/>
          <w:u w:val="single"/>
        </w:rPr>
        <w:t>el espectro radioeléctrico constituye un bien de uso común que, como tal, en términos de la Ley General de Bienes Nacionales, está sujeto al régimen de dominio público de la Federación</w:t>
      </w:r>
      <w:r w:rsidRPr="0034602F">
        <w:rPr>
          <w:rFonts w:ascii="ITC Avant Garde" w:hAnsi="ITC Avant Garde"/>
          <w:color w:val="000000"/>
          <w:sz w:val="20"/>
          <w:szCs w:val="20"/>
        </w:rPr>
        <w:t xml:space="preserve">, pudiendo hacer uso de él todos los habitantes de la República Mexicana con las restricciones establecidas en las leyes y reglamentos administrativos aplicables, </w:t>
      </w:r>
      <w:r w:rsidRPr="0034602F">
        <w:rPr>
          <w:rFonts w:ascii="ITC Avant Garde" w:hAnsi="ITC Avant Garde"/>
          <w:b/>
          <w:color w:val="000000"/>
          <w:sz w:val="20"/>
          <w:u w:val="single"/>
        </w:rPr>
        <w:t>pero para su aprovechamiento especial se requiere concesión, autorización o permiso otorgados conforme a las condiciones y requisitos legalmente establecidos,</w:t>
      </w:r>
      <w:r w:rsidRPr="0034602F">
        <w:rPr>
          <w:rFonts w:ascii="ITC Avant Garde" w:hAnsi="ITC Avant Garde"/>
          <w:color w:val="000000"/>
          <w:sz w:val="20"/>
          <w:szCs w:val="20"/>
        </w:rPr>
        <w:t xml:space="preserve"> los que no crean derechos reales, pues sólo otorgan frente a la administración y sin perjuicio de terceros, el derecho al uso, aprovechamiento o explotación conforme a las leyes y al título correspondiente.</w:t>
      </w:r>
    </w:p>
    <w:p w14:paraId="07F3735D" w14:textId="77777777" w:rsidR="003C5E62" w:rsidRPr="0034602F" w:rsidRDefault="009A7318" w:rsidP="00583167">
      <w:pPr>
        <w:pStyle w:val="Textoindependiente"/>
        <w:tabs>
          <w:tab w:val="left" w:pos="993"/>
        </w:tabs>
        <w:spacing w:before="240" w:after="240" w:line="240" w:lineRule="auto"/>
        <w:ind w:left="567" w:right="567"/>
        <w:jc w:val="both"/>
        <w:rPr>
          <w:rFonts w:ascii="ITC Avant Garde" w:hAnsi="ITC Avant Garde"/>
          <w:color w:val="000000"/>
          <w:sz w:val="20"/>
          <w:szCs w:val="20"/>
        </w:rPr>
      </w:pPr>
      <w:r w:rsidRPr="0034602F">
        <w:rPr>
          <w:rFonts w:ascii="ITC Avant Garde" w:hAnsi="ITC Avant Garde"/>
          <w:color w:val="000000"/>
          <w:sz w:val="20"/>
          <w:szCs w:val="20"/>
        </w:rPr>
        <w:t>Época: Novena Época, Registro: 170757, Instancia: Pleno, Tipo de Tesis: Jurisprudencia, Fuente: Semanario Judicial de la Federación y su Gaceta, Tomo XXVI, Diciembre de 2007, Materia(s): Constitucional, Administrativa, Tesis: P</w:t>
      </w:r>
      <w:proofErr w:type="gramStart"/>
      <w:r w:rsidRPr="0034602F">
        <w:rPr>
          <w:rFonts w:ascii="ITC Avant Garde" w:hAnsi="ITC Avant Garde"/>
          <w:color w:val="000000"/>
          <w:sz w:val="20"/>
          <w:szCs w:val="20"/>
        </w:rPr>
        <w:t>./</w:t>
      </w:r>
      <w:proofErr w:type="gramEnd"/>
      <w:r w:rsidRPr="0034602F">
        <w:rPr>
          <w:rFonts w:ascii="ITC Avant Garde" w:hAnsi="ITC Avant Garde"/>
          <w:color w:val="000000"/>
          <w:sz w:val="20"/>
          <w:szCs w:val="20"/>
        </w:rPr>
        <w:t>J. 65/2007, Página: 987”</w:t>
      </w:r>
    </w:p>
    <w:p w14:paraId="2DE5CAD1" w14:textId="77777777" w:rsidR="003C5E62" w:rsidRPr="0034602F" w:rsidRDefault="009A7318" w:rsidP="00583167">
      <w:pPr>
        <w:pStyle w:val="Textoindependiente"/>
        <w:tabs>
          <w:tab w:val="left" w:pos="993"/>
        </w:tabs>
        <w:spacing w:before="240" w:after="240" w:line="240" w:lineRule="auto"/>
        <w:ind w:left="567" w:right="567"/>
        <w:jc w:val="both"/>
        <w:rPr>
          <w:rFonts w:ascii="ITC Avant Garde" w:hAnsi="ITC Avant Garde"/>
          <w:b/>
          <w:color w:val="000000"/>
          <w:sz w:val="20"/>
          <w:u w:val="single"/>
        </w:rPr>
      </w:pPr>
      <w:r w:rsidRPr="0034602F">
        <w:rPr>
          <w:rFonts w:ascii="ITC Avant Garde" w:hAnsi="ITC Avant Garde"/>
          <w:color w:val="000000"/>
          <w:sz w:val="20"/>
        </w:rPr>
        <w:t>“</w:t>
      </w:r>
      <w:r w:rsidRPr="0034602F">
        <w:rPr>
          <w:rFonts w:ascii="ITC Avant Garde" w:hAnsi="ITC Avant Garde"/>
          <w:b/>
          <w:color w:val="000000"/>
          <w:sz w:val="20"/>
          <w:szCs w:val="20"/>
        </w:rPr>
        <w:t xml:space="preserve">ESPECTRO RADIOELÉCTRICO. SU CONCEPTO Y DISTINCIÓN CON RESPECTO AL ESPECTRO ELECTROMAGNÉTICO. </w:t>
      </w:r>
      <w:r w:rsidRPr="0034602F">
        <w:rPr>
          <w:rFonts w:ascii="ITC Avant Garde" w:hAnsi="ITC Avant Garde"/>
          <w:color w:val="000000"/>
          <w:sz w:val="20"/>
          <w:szCs w:val="20"/>
        </w:rPr>
        <w:t xml:space="preserve">El artículo 3, fracción II, de la Ley Federal de Telecomunicaciones define al espectro radioeléctrico como el espacio que permite la propagación, sin guía artificial de ondas electromagnéticas, cuyas bandas de frecuencia se fijan convencionalmente por debajo de los tres mil </w:t>
      </w:r>
      <w:proofErr w:type="spellStart"/>
      <w:r w:rsidRPr="0034602F">
        <w:rPr>
          <w:rFonts w:ascii="ITC Avant Garde" w:hAnsi="ITC Avant Garde"/>
          <w:color w:val="000000"/>
          <w:sz w:val="20"/>
          <w:szCs w:val="20"/>
        </w:rPr>
        <w:t>gigahertz</w:t>
      </w:r>
      <w:proofErr w:type="spellEnd"/>
      <w:r w:rsidRPr="0034602F">
        <w:rPr>
          <w:rFonts w:ascii="ITC Avant Garde" w:hAnsi="ITC Avant Garde"/>
          <w:color w:val="000000"/>
          <w:sz w:val="20"/>
          <w:szCs w:val="20"/>
        </w:rPr>
        <w:t xml:space="preserve">. Así, las frecuencias se agrupan convencionalmente en bandas, de acuerdo a sus características, y el conjunto de éstas constituye el espectro radioeléctrico, el cual integra una parte del espectro electromagnético utilizado como medio de transmisión para distintos servicios de telecomunicaciones, y es un bien del dominio público respecto del cual no debe haber barreras ni exclusividad que impidan su funcionalidad y el beneficio colectivo. Cabe señalar que </w:t>
      </w:r>
      <w:r w:rsidRPr="0034602F">
        <w:rPr>
          <w:rFonts w:ascii="ITC Avant Garde" w:hAnsi="ITC Avant Garde"/>
          <w:b/>
          <w:color w:val="000000"/>
          <w:sz w:val="20"/>
          <w:u w:val="single"/>
        </w:rPr>
        <w:t xml:space="preserve">el espectro radioeléctrico es un recurso natural limitado y las frecuencias que lo componen son las que están en el rango entre los tres </w:t>
      </w:r>
      <w:proofErr w:type="spellStart"/>
      <w:r w:rsidRPr="0034602F">
        <w:rPr>
          <w:rFonts w:ascii="ITC Avant Garde" w:hAnsi="ITC Avant Garde"/>
          <w:b/>
          <w:color w:val="000000"/>
          <w:sz w:val="20"/>
          <w:u w:val="single"/>
        </w:rPr>
        <w:t>hertz</w:t>
      </w:r>
      <w:proofErr w:type="spellEnd"/>
      <w:r w:rsidRPr="0034602F">
        <w:rPr>
          <w:rFonts w:ascii="ITC Avant Garde" w:hAnsi="ITC Avant Garde"/>
          <w:b/>
          <w:color w:val="000000"/>
          <w:sz w:val="20"/>
          <w:u w:val="single"/>
        </w:rPr>
        <w:t xml:space="preserve"> y los tres mil </w:t>
      </w:r>
      <w:proofErr w:type="spellStart"/>
      <w:r w:rsidRPr="0034602F">
        <w:rPr>
          <w:rFonts w:ascii="ITC Avant Garde" w:hAnsi="ITC Avant Garde"/>
          <w:b/>
          <w:color w:val="000000"/>
          <w:sz w:val="20"/>
          <w:u w:val="single"/>
        </w:rPr>
        <w:t>gigahertz</w:t>
      </w:r>
      <w:proofErr w:type="spellEnd"/>
      <w:r w:rsidRPr="0034602F">
        <w:rPr>
          <w:rFonts w:ascii="ITC Avant Garde" w:hAnsi="ITC Avant Garde"/>
          <w:b/>
          <w:color w:val="000000"/>
          <w:sz w:val="20"/>
          <w:u w:val="single"/>
        </w:rPr>
        <w:t xml:space="preserve"> y, en esa virtud, su explotación se realiza aprovechándolas directamente o concediendo el aprovechamiento mediante la asignación a través de concesiones. </w:t>
      </w:r>
    </w:p>
    <w:p w14:paraId="6BFAA2D5" w14:textId="77777777" w:rsidR="003C5E62" w:rsidRPr="0034602F" w:rsidRDefault="009A7318" w:rsidP="00583167">
      <w:pPr>
        <w:pStyle w:val="Textoindependiente"/>
        <w:tabs>
          <w:tab w:val="left" w:pos="993"/>
        </w:tabs>
        <w:spacing w:before="240" w:after="240" w:line="240" w:lineRule="auto"/>
        <w:ind w:left="567" w:right="567"/>
        <w:jc w:val="both"/>
        <w:rPr>
          <w:rFonts w:ascii="ITC Avant Garde" w:hAnsi="ITC Avant Garde"/>
          <w:sz w:val="20"/>
        </w:rPr>
      </w:pPr>
      <w:r w:rsidRPr="0034602F">
        <w:rPr>
          <w:rFonts w:ascii="ITC Avant Garde" w:eastAsia="Times New Roman" w:hAnsi="ITC Avant Garde"/>
          <w:bCs/>
          <w:color w:val="000000"/>
          <w:sz w:val="20"/>
          <w:szCs w:val="20"/>
          <w:lang w:eastAsia="es-MX"/>
        </w:rPr>
        <w:t>Época: Décima Época, Registro: 2005184, Instancia: Tribunales Colegiados de Circuito, Tipo de Tesis: Aislada, Fuente: Gaceta del Semanario Judicial de la Federación, Libro 1, Diciembre de 2013, Tomo II, Materia(s): Administrativa, Tesis: I.4o.A.72 A (10a.), Página: 1129”</w:t>
      </w:r>
    </w:p>
    <w:p w14:paraId="1005C590" w14:textId="77777777" w:rsidR="006D6786" w:rsidRDefault="009A7318" w:rsidP="00583167">
      <w:pPr>
        <w:spacing w:before="240" w:after="240" w:line="360" w:lineRule="auto"/>
        <w:jc w:val="both"/>
        <w:rPr>
          <w:rFonts w:ascii="ITC Avant Garde" w:eastAsia="Times New Roman" w:hAnsi="ITC Avant Garde"/>
          <w:bCs/>
          <w:color w:val="000000"/>
          <w:lang w:eastAsia="es-MX"/>
        </w:rPr>
        <w:sectPr w:rsidR="006D6786" w:rsidSect="006345CE">
          <w:headerReference w:type="default" r:id="rId33"/>
          <w:pgSz w:w="12240" w:h="15840"/>
          <w:pgMar w:top="426" w:right="1418" w:bottom="1418" w:left="1418" w:header="709" w:footer="420" w:gutter="0"/>
          <w:cols w:space="708"/>
          <w:docGrid w:linePitch="360"/>
        </w:sectPr>
      </w:pPr>
      <w:r w:rsidRPr="0034602F">
        <w:rPr>
          <w:rFonts w:ascii="ITC Avant Garde" w:hAnsi="ITC Avant Garde"/>
        </w:rPr>
        <w:t xml:space="preserve">En </w:t>
      </w:r>
      <w:r w:rsidRPr="0034602F">
        <w:rPr>
          <w:rFonts w:ascii="ITC Avant Garde" w:hAnsi="ITC Avant Garde" w:cs="Arial"/>
          <w:bCs/>
        </w:rPr>
        <w:t xml:space="preserve">ese sentido, se concluye que el </w:t>
      </w:r>
      <w:r w:rsidRPr="0034602F">
        <w:rPr>
          <w:rFonts w:ascii="ITC Avant Garde" w:hAnsi="ITC Avant Garde"/>
          <w:b/>
        </w:rPr>
        <w:t>PRESUNTO RESPONSABLE</w:t>
      </w:r>
      <w:r w:rsidRPr="0034602F">
        <w:rPr>
          <w:rFonts w:ascii="ITC Avant Garde" w:hAnsi="ITC Avant Garde" w:cs="Tahoma"/>
        </w:rPr>
        <w:t xml:space="preserve">, se encontraba prestando servicios de radiodifusión </w:t>
      </w:r>
      <w:r w:rsidRPr="0034602F">
        <w:rPr>
          <w:rFonts w:ascii="ITC Avant Garde" w:hAnsi="ITC Avant Garde"/>
        </w:rPr>
        <w:t>a través del uso de</w:t>
      </w:r>
      <w:r w:rsidRPr="0034602F">
        <w:rPr>
          <w:rFonts w:ascii="ITC Avant Garde" w:eastAsia="Times New Roman" w:hAnsi="ITC Avant Garde"/>
          <w:bCs/>
          <w:color w:val="000000"/>
          <w:lang w:eastAsia="es-MX"/>
        </w:rPr>
        <w:t>l espectro radioeléctrico</w:t>
      </w:r>
      <w:r w:rsidRPr="0034602F">
        <w:rPr>
          <w:rFonts w:ascii="ITC Avant Garde" w:hAnsi="ITC Avant Garde"/>
        </w:rPr>
        <w:t xml:space="preserve"> en la frecuencia </w:t>
      </w:r>
      <w:r w:rsidR="00E6439F" w:rsidRPr="0034602F">
        <w:rPr>
          <w:rFonts w:ascii="ITC Avant Garde" w:hAnsi="ITC Avant Garde"/>
          <w:b/>
        </w:rPr>
        <w:t>97.3</w:t>
      </w:r>
      <w:r w:rsidRPr="0034602F">
        <w:rPr>
          <w:rFonts w:ascii="ITC Avant Garde" w:hAnsi="ITC Avant Garde"/>
          <w:b/>
        </w:rPr>
        <w:t xml:space="preserve"> MHz</w:t>
      </w:r>
      <w:r w:rsidRPr="0034602F">
        <w:rPr>
          <w:rFonts w:ascii="ITC Avant Garde" w:hAnsi="ITC Avant Garde"/>
        </w:rPr>
        <w:t xml:space="preserve">, en </w:t>
      </w:r>
      <w:r w:rsidR="00E6439F" w:rsidRPr="0034602F">
        <w:rPr>
          <w:rFonts w:ascii="ITC Avant Garde" w:hAnsi="ITC Avant Garde"/>
        </w:rPr>
        <w:t>la Ciudad de México</w:t>
      </w:r>
      <w:r w:rsidRPr="0034602F">
        <w:rPr>
          <w:rFonts w:ascii="ITC Avant Garde" w:hAnsi="ITC Avant Garde"/>
        </w:rPr>
        <w:t xml:space="preserve">, </w:t>
      </w:r>
      <w:r w:rsidRPr="0034602F">
        <w:rPr>
          <w:rFonts w:ascii="ITC Avant Garde" w:eastAsia="Times New Roman" w:hAnsi="ITC Avant Garde"/>
          <w:bCs/>
          <w:color w:val="000000"/>
          <w:lang w:eastAsia="es-MX"/>
        </w:rPr>
        <w:t>sin contar con la concesión</w:t>
      </w:r>
      <w:r w:rsidRPr="0034602F">
        <w:rPr>
          <w:rFonts w:ascii="ITC Avant Garde" w:hAnsi="ITC Avant Garde"/>
        </w:rPr>
        <w:t xml:space="preserve"> respectiva, por lo que en tal sentido es responsable de la violación al artículo 66 </w:t>
      </w:r>
      <w:r w:rsidRPr="0034602F">
        <w:rPr>
          <w:rFonts w:ascii="ITC Avant Garde" w:hAnsi="ITC Avant Garde"/>
          <w:bCs/>
        </w:rPr>
        <w:t>en relación con el 75,</w:t>
      </w:r>
      <w:r w:rsidRPr="0034602F">
        <w:rPr>
          <w:rFonts w:ascii="ITC Avant Garde" w:hAnsi="ITC Avant Garde"/>
        </w:rPr>
        <w:t xml:space="preserve"> y lo procedente es imponer una multa en términos del artículo 298, inciso E), fracción I, ambos de la </w:t>
      </w:r>
      <w:proofErr w:type="spellStart"/>
      <w:r w:rsidRPr="0034602F">
        <w:rPr>
          <w:rFonts w:ascii="ITC Avant Garde" w:hAnsi="ITC Avant Garde"/>
          <w:b/>
        </w:rPr>
        <w:t>LFTyR</w:t>
      </w:r>
      <w:proofErr w:type="spellEnd"/>
      <w:r w:rsidRPr="0034602F">
        <w:rPr>
          <w:rFonts w:ascii="ITC Avant Garde" w:hAnsi="ITC Avant Garde"/>
        </w:rPr>
        <w:t>. De igual forma con dicha conducta se actualiza la hipótesis normativa prevista en el artículo 305 del mismo ordenamiento y en consecuencia procede declarar la pérdida a favor de la Nación de los bienes y equipos empleados en la comisión de dicha infracción</w:t>
      </w:r>
      <w:r w:rsidRPr="0034602F">
        <w:rPr>
          <w:rFonts w:ascii="ITC Avant Garde" w:eastAsia="Times New Roman" w:hAnsi="ITC Avant Garde"/>
          <w:bCs/>
          <w:color w:val="000000"/>
          <w:lang w:eastAsia="es-MX"/>
        </w:rPr>
        <w:t>.</w:t>
      </w:r>
    </w:p>
    <w:p w14:paraId="0514B285" w14:textId="77777777" w:rsidR="003C5E62" w:rsidRPr="0034602F" w:rsidRDefault="009A7318" w:rsidP="00583167">
      <w:pPr>
        <w:pStyle w:val="Textoindependiente"/>
        <w:tabs>
          <w:tab w:val="left" w:pos="993"/>
        </w:tabs>
        <w:spacing w:before="240" w:after="240" w:line="360" w:lineRule="auto"/>
        <w:jc w:val="both"/>
        <w:rPr>
          <w:rFonts w:ascii="ITC Avant Garde" w:eastAsia="Times New Roman" w:hAnsi="ITC Avant Garde"/>
          <w:b/>
          <w:bCs/>
          <w:color w:val="000000"/>
          <w:lang w:eastAsia="es-MX"/>
        </w:rPr>
      </w:pPr>
      <w:r w:rsidRPr="0034602F">
        <w:rPr>
          <w:rFonts w:ascii="ITC Avant Garde" w:eastAsia="Times New Roman" w:hAnsi="ITC Avant Garde"/>
          <w:b/>
          <w:bCs/>
          <w:color w:val="000000"/>
          <w:lang w:eastAsia="es-MX"/>
        </w:rPr>
        <w:lastRenderedPageBreak/>
        <w:t xml:space="preserve">SÉPTIMO. </w:t>
      </w:r>
      <w:r w:rsidRPr="0034602F">
        <w:rPr>
          <w:rFonts w:ascii="ITC Avant Garde" w:eastAsia="Times New Roman" w:hAnsi="ITC Avant Garde"/>
          <w:b/>
          <w:bCs/>
          <w:smallCaps/>
          <w:color w:val="000000"/>
          <w:lang w:eastAsia="es-MX"/>
        </w:rPr>
        <w:t xml:space="preserve">Determinación y cuantificación de la Sanción. </w:t>
      </w:r>
    </w:p>
    <w:p w14:paraId="5F33EC53" w14:textId="77777777" w:rsidR="003C5E62" w:rsidRPr="0034602F" w:rsidRDefault="009A7318"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El prestar servicios de radiodifusión sin contar con la concesión respectiva y en consecuencia incumplir con el artículo 66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resulta sancionable en términos de lo previsto en el artículo 298, inciso E), fracción I de la citada Ley, que a la letra señala:</w:t>
      </w:r>
    </w:p>
    <w:p w14:paraId="1FFAE986" w14:textId="244073DA" w:rsidR="009A7318" w:rsidRPr="0034602F" w:rsidRDefault="009A7318" w:rsidP="00583167">
      <w:pPr>
        <w:pStyle w:val="Textoindependiente"/>
        <w:tabs>
          <w:tab w:val="left" w:pos="851"/>
        </w:tabs>
        <w:spacing w:before="240" w:after="240" w:line="240" w:lineRule="auto"/>
        <w:ind w:left="709" w:right="567"/>
        <w:jc w:val="both"/>
        <w:rPr>
          <w:rFonts w:ascii="ITC Avant Garde" w:hAnsi="ITC Avant Garde"/>
          <w:color w:val="000000"/>
          <w:sz w:val="20"/>
          <w:szCs w:val="20"/>
        </w:rPr>
      </w:pPr>
      <w:r w:rsidRPr="0034602F">
        <w:rPr>
          <w:rFonts w:ascii="ITC Avant Garde" w:hAnsi="ITC Avant Garde"/>
          <w:color w:val="000000"/>
          <w:sz w:val="20"/>
          <w:szCs w:val="20"/>
        </w:rPr>
        <w:t>“</w:t>
      </w:r>
      <w:r w:rsidRPr="0034602F">
        <w:rPr>
          <w:rFonts w:ascii="ITC Avant Garde" w:hAnsi="ITC Avant Garde"/>
          <w:b/>
          <w:color w:val="000000"/>
          <w:sz w:val="20"/>
          <w:szCs w:val="20"/>
        </w:rPr>
        <w:t>Artículo 298</w:t>
      </w:r>
      <w:r w:rsidRPr="0034602F">
        <w:rPr>
          <w:rFonts w:ascii="ITC Avant Garde" w:hAnsi="ITC Avant Garde"/>
          <w:color w:val="000000"/>
          <w:sz w:val="20"/>
          <w:szCs w:val="20"/>
        </w:rPr>
        <w:t>. Las infracciones a lo dispuesto en esta Ley y a las disposiciones que deriven de ella, se sancionarán por el Instituto de conformidad con lo siguiente:…</w:t>
      </w:r>
    </w:p>
    <w:p w14:paraId="5E60C5A0" w14:textId="77777777" w:rsidR="003C5E62" w:rsidRPr="0034602F" w:rsidRDefault="009A7318" w:rsidP="00583167">
      <w:pPr>
        <w:pStyle w:val="Textoindependiente"/>
        <w:tabs>
          <w:tab w:val="left" w:pos="851"/>
        </w:tabs>
        <w:spacing w:before="240" w:after="240" w:line="240" w:lineRule="auto"/>
        <w:ind w:left="709" w:right="567"/>
        <w:jc w:val="both"/>
        <w:rPr>
          <w:rFonts w:ascii="ITC Avant Garde" w:hAnsi="ITC Avant Garde"/>
          <w:color w:val="000000"/>
          <w:sz w:val="20"/>
          <w:szCs w:val="20"/>
        </w:rPr>
      </w:pPr>
      <w:r w:rsidRPr="0034602F">
        <w:rPr>
          <w:rFonts w:ascii="ITC Avant Garde" w:hAnsi="ITC Avant Garde"/>
          <w:color w:val="000000"/>
          <w:sz w:val="20"/>
          <w:szCs w:val="20"/>
        </w:rPr>
        <w:t>E) Con multa por el equivalente de 6.01% hasta 10% de los ingresos de la persona infractora que:</w:t>
      </w:r>
    </w:p>
    <w:p w14:paraId="74E00E71" w14:textId="77777777" w:rsidR="003C5E62" w:rsidRPr="0034602F" w:rsidRDefault="009A7318" w:rsidP="00583167">
      <w:pPr>
        <w:pStyle w:val="Textoindependiente"/>
        <w:tabs>
          <w:tab w:val="left" w:pos="851"/>
        </w:tabs>
        <w:spacing w:before="240" w:after="240" w:line="240" w:lineRule="auto"/>
        <w:ind w:left="709" w:right="567"/>
        <w:jc w:val="both"/>
        <w:rPr>
          <w:rFonts w:ascii="ITC Avant Garde" w:hAnsi="ITC Avant Garde"/>
          <w:color w:val="000000"/>
          <w:sz w:val="20"/>
          <w:szCs w:val="20"/>
        </w:rPr>
      </w:pPr>
      <w:r w:rsidRPr="0034602F">
        <w:rPr>
          <w:rFonts w:ascii="ITC Avant Garde" w:hAnsi="ITC Avant Garde"/>
          <w:color w:val="000000"/>
          <w:sz w:val="20"/>
          <w:szCs w:val="20"/>
        </w:rPr>
        <w:t>I. Preste servicios de telecomunicaciones o radiodifusión sin contar con concesión o autorización…”</w:t>
      </w:r>
    </w:p>
    <w:p w14:paraId="07B6F4AC" w14:textId="77777777" w:rsidR="003C5E62" w:rsidRPr="0034602F" w:rsidRDefault="009A7318" w:rsidP="00583167">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Ahora bien, para estar en condiciones de establecer la multa respectiva en términos de lo dispuesto por el artículo antes transcrito, es importante hacer notar que esta autoridad </w:t>
      </w:r>
      <w:proofErr w:type="spellStart"/>
      <w:r w:rsidRPr="0034602F">
        <w:rPr>
          <w:rFonts w:ascii="ITC Avant Garde" w:eastAsia="Times New Roman" w:hAnsi="ITC Avant Garde"/>
          <w:bCs/>
          <w:color w:val="000000"/>
          <w:lang w:eastAsia="es-MX"/>
        </w:rPr>
        <w:t>resolutora</w:t>
      </w:r>
      <w:proofErr w:type="spellEnd"/>
      <w:r w:rsidRPr="0034602F">
        <w:rPr>
          <w:rFonts w:ascii="ITC Avant Garde" w:eastAsia="Times New Roman" w:hAnsi="ITC Avant Garde"/>
          <w:bCs/>
          <w:color w:val="000000"/>
          <w:lang w:eastAsia="es-MX"/>
        </w:rPr>
        <w:t xml:space="preserve"> carece de los elementos mínimos necesarios para su cuantificación, en razón que de las constancias que integran el expediente en que se actúa no es posible determinar la identidad de la persona infractora, y consecuentemente el monto de sus ingresos acumulados.</w:t>
      </w:r>
    </w:p>
    <w:p w14:paraId="587B741A" w14:textId="532B6E59" w:rsidR="003C5E62" w:rsidRPr="0034602F" w:rsidRDefault="009A7318"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Lo anterior, toda vez que </w:t>
      </w:r>
      <w:r w:rsidR="00B12C52" w:rsidRPr="0034602F">
        <w:rPr>
          <w:rFonts w:ascii="ITC Avant Garde" w:eastAsia="Times New Roman" w:hAnsi="ITC Avant Garde"/>
          <w:bCs/>
          <w:color w:val="000000"/>
          <w:lang w:eastAsia="es-MX"/>
        </w:rPr>
        <w:t xml:space="preserve">si bien es cierto, </w:t>
      </w:r>
      <w:r w:rsidRPr="0034602F">
        <w:rPr>
          <w:rFonts w:ascii="ITC Avant Garde" w:eastAsia="Times New Roman" w:hAnsi="ITC Avant Garde"/>
          <w:bCs/>
          <w:color w:val="000000"/>
          <w:lang w:eastAsia="es-MX"/>
        </w:rPr>
        <w:t>en</w:t>
      </w:r>
      <w:r w:rsidR="00B12C52" w:rsidRPr="0034602F">
        <w:rPr>
          <w:rFonts w:ascii="ITC Avant Garde" w:eastAsia="Times New Roman" w:hAnsi="ITC Avant Garde"/>
          <w:bCs/>
          <w:color w:val="000000"/>
          <w:lang w:eastAsia="es-MX"/>
        </w:rPr>
        <w:t xml:space="preserve"> el desarrollo de la visita la persona con quien se atendió dicha diligencia, </w:t>
      </w:r>
      <w:r w:rsidR="00B12C52" w:rsidRPr="0034602F">
        <w:rPr>
          <w:rFonts w:ascii="ITC Avant Garde" w:hAnsi="ITC Avant Garde"/>
        </w:rPr>
        <w:t xml:space="preserve">proporcionó el nombre del </w:t>
      </w:r>
      <w:r w:rsidR="00B12C52" w:rsidRPr="0034602F">
        <w:rPr>
          <w:rFonts w:ascii="ITC Avant Garde" w:eastAsia="Times New Roman" w:hAnsi="ITC Avant Garde"/>
          <w:b/>
          <w:bCs/>
          <w:color w:val="000000"/>
          <w:lang w:eastAsia="es-MX"/>
        </w:rPr>
        <w:t>C.</w:t>
      </w:r>
      <w:r w:rsidR="00B12C52" w:rsidRPr="0034602F">
        <w:rPr>
          <w:rFonts w:ascii="ITC Avant Garde" w:eastAsia="Times New Roman" w:hAnsi="ITC Avant Garde"/>
          <w:bCs/>
          <w:color w:val="000000"/>
          <w:lang w:eastAsia="es-MX"/>
        </w:rPr>
        <w:t xml:space="preserve"> </w:t>
      </w:r>
      <w:r w:rsidR="00A92E6E">
        <w:rPr>
          <w:rFonts w:ascii="ITC Avant Garde" w:hAnsi="ITC Avant Garde"/>
          <w:b/>
          <w:bCs/>
          <w:color w:val="0000FF"/>
        </w:rPr>
        <w:t>“CONFIDENCIAL POR LEY”</w:t>
      </w:r>
      <w:r w:rsidR="00B12C52" w:rsidRPr="0034602F">
        <w:rPr>
          <w:rFonts w:ascii="ITC Avant Garde" w:hAnsi="ITC Avant Garde"/>
          <w:b/>
        </w:rPr>
        <w:t xml:space="preserve"> </w:t>
      </w:r>
      <w:r w:rsidR="00B12C52" w:rsidRPr="0034602F">
        <w:rPr>
          <w:rFonts w:ascii="ITC Avant Garde" w:hAnsi="ITC Avant Garde"/>
        </w:rPr>
        <w:t>como responsable de la estación</w:t>
      </w:r>
      <w:r w:rsidR="00A03A4B" w:rsidRPr="0034602F">
        <w:rPr>
          <w:rFonts w:ascii="ITC Avant Garde" w:hAnsi="ITC Avant Garde"/>
        </w:rPr>
        <w:t xml:space="preserve"> y a quien solo se le renta el cuarto</w:t>
      </w:r>
      <w:r w:rsidR="00B12C52" w:rsidRPr="0034602F">
        <w:rPr>
          <w:rFonts w:ascii="ITC Avant Garde" w:hAnsi="ITC Avant Garde"/>
        </w:rPr>
        <w:t xml:space="preserve">, </w:t>
      </w:r>
      <w:r w:rsidR="00A03A4B" w:rsidRPr="0034602F">
        <w:rPr>
          <w:rFonts w:ascii="ITC Avant Garde" w:hAnsi="ITC Avant Garde"/>
        </w:rPr>
        <w:t xml:space="preserve">también lo es, que </w:t>
      </w:r>
      <w:r w:rsidR="00B12C52" w:rsidRPr="0034602F">
        <w:rPr>
          <w:rFonts w:ascii="ITC Avant Garde" w:hAnsi="ITC Avant Garde"/>
        </w:rPr>
        <w:t>dicha persona</w:t>
      </w:r>
      <w:r w:rsidRPr="0034602F">
        <w:rPr>
          <w:rFonts w:ascii="ITC Avant Garde" w:eastAsia="Times New Roman" w:hAnsi="ITC Avant Garde"/>
          <w:bCs/>
          <w:color w:val="000000"/>
          <w:lang w:eastAsia="es-MX"/>
        </w:rPr>
        <w:t xml:space="preserve"> </w:t>
      </w:r>
      <w:r w:rsidR="00A03A4B" w:rsidRPr="0034602F">
        <w:rPr>
          <w:rFonts w:ascii="ITC Avant Garde" w:eastAsia="Times New Roman" w:hAnsi="ITC Avant Garde"/>
          <w:bCs/>
          <w:color w:val="000000"/>
          <w:lang w:eastAsia="es-MX"/>
        </w:rPr>
        <w:t xml:space="preserve">que atendió la visita </w:t>
      </w:r>
      <w:r w:rsidRPr="0034602F">
        <w:rPr>
          <w:rFonts w:ascii="ITC Avant Garde" w:eastAsia="Times New Roman" w:hAnsi="ITC Avant Garde"/>
          <w:bCs/>
          <w:color w:val="000000"/>
          <w:lang w:eastAsia="es-MX"/>
        </w:rPr>
        <w:t xml:space="preserve">no se identificó ni aportó mayores datos que pudieran conducir a la identificación del propietario, poseedor, responsable y/o encargado de los equipos asegurados, aunado al hecho de que en el expediente en que se actúa no existen elementos de prueba que permitan acreditar de manera contundente la identidad del </w:t>
      </w:r>
      <w:r w:rsidRPr="0034602F">
        <w:rPr>
          <w:rFonts w:ascii="ITC Avant Garde" w:eastAsia="Times New Roman" w:hAnsi="ITC Avant Garde"/>
          <w:b/>
          <w:bCs/>
          <w:color w:val="000000"/>
          <w:lang w:eastAsia="es-MX"/>
        </w:rPr>
        <w:t>PRESUNTO INFRACTOR</w:t>
      </w:r>
      <w:r w:rsidRPr="0034602F">
        <w:rPr>
          <w:rFonts w:ascii="ITC Avant Garde" w:eastAsia="Times New Roman" w:hAnsi="ITC Avant Garde"/>
          <w:bCs/>
          <w:color w:val="000000"/>
          <w:lang w:eastAsia="es-MX"/>
        </w:rPr>
        <w:t>.</w:t>
      </w:r>
    </w:p>
    <w:p w14:paraId="17D10568" w14:textId="79E3D66B" w:rsidR="003C5E62" w:rsidRPr="0034602F" w:rsidRDefault="009A7318" w:rsidP="00583167">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En este sentido, no pasa desapercibido para esta autoridad que </w:t>
      </w:r>
      <w:r w:rsidR="00D0651D" w:rsidRPr="0034602F">
        <w:rPr>
          <w:rFonts w:ascii="ITC Avant Garde" w:eastAsia="Times New Roman" w:hAnsi="ITC Avant Garde"/>
          <w:bCs/>
          <w:color w:val="000000"/>
          <w:lang w:eastAsia="es-MX"/>
        </w:rPr>
        <w:t xml:space="preserve">el veinticinco de enero </w:t>
      </w:r>
      <w:r w:rsidR="00E900A2" w:rsidRPr="0034602F">
        <w:rPr>
          <w:rFonts w:ascii="ITC Avant Garde" w:eastAsia="Times New Roman" w:hAnsi="ITC Avant Garde"/>
          <w:bCs/>
          <w:color w:val="000000"/>
          <w:lang w:eastAsia="es-MX"/>
        </w:rPr>
        <w:t xml:space="preserve">del presente año, se pretendió notificar a </w:t>
      </w:r>
      <w:r w:rsidR="00A92E6E">
        <w:rPr>
          <w:rFonts w:ascii="ITC Avant Garde" w:hAnsi="ITC Avant Garde"/>
          <w:b/>
          <w:bCs/>
          <w:color w:val="0000FF"/>
        </w:rPr>
        <w:t>“CONFIDENCIAL POR LEY”</w:t>
      </w:r>
      <w:r w:rsidR="00D0651D" w:rsidRPr="0034602F">
        <w:rPr>
          <w:rFonts w:ascii="ITC Avant Garde" w:eastAsia="Times New Roman" w:hAnsi="ITC Avant Garde"/>
          <w:bCs/>
          <w:color w:val="000000"/>
          <w:lang w:eastAsia="es-MX"/>
        </w:rPr>
        <w:t xml:space="preserve"> </w:t>
      </w:r>
      <w:r w:rsidR="00E900A2" w:rsidRPr="0034602F">
        <w:rPr>
          <w:rFonts w:ascii="ITC Avant Garde" w:eastAsia="Times New Roman" w:hAnsi="ITC Avant Garde"/>
          <w:bCs/>
          <w:color w:val="000000"/>
          <w:lang w:eastAsia="es-MX"/>
        </w:rPr>
        <w:t xml:space="preserve">el inicio del procedimiento sancionatorio en el domicilio que aparentemente era su domicilio </w:t>
      </w:r>
      <w:r w:rsidR="00E900A2" w:rsidRPr="0034602F">
        <w:rPr>
          <w:rFonts w:ascii="ITC Avant Garde" w:eastAsia="Times New Roman" w:hAnsi="ITC Avant Garde"/>
          <w:bCs/>
          <w:color w:val="000000"/>
          <w:lang w:eastAsia="es-MX"/>
        </w:rPr>
        <w:lastRenderedPageBreak/>
        <w:t xml:space="preserve">particular según constancias que obran en la Unidad de Cumplimiento </w:t>
      </w:r>
      <w:r w:rsidR="00D0651D" w:rsidRPr="0034602F">
        <w:rPr>
          <w:rFonts w:ascii="ITC Avant Garde" w:eastAsia="Times New Roman" w:hAnsi="ITC Avant Garde"/>
          <w:bCs/>
          <w:color w:val="000000"/>
          <w:lang w:eastAsia="es-MX"/>
        </w:rPr>
        <w:t xml:space="preserve">en el cual se le concedió un plazo de quince días para que en uso del beneficio de la garantía de audiencia consagrada en los artículos 14 y 16 de la </w:t>
      </w:r>
      <w:r w:rsidR="00D0651D" w:rsidRPr="0034602F">
        <w:rPr>
          <w:rFonts w:ascii="ITC Avant Garde" w:eastAsia="Times New Roman" w:hAnsi="ITC Avant Garde"/>
          <w:b/>
          <w:bCs/>
          <w:color w:val="000000"/>
          <w:lang w:eastAsia="es-MX"/>
        </w:rPr>
        <w:t xml:space="preserve">CPEUM </w:t>
      </w:r>
      <w:r w:rsidR="00D0651D" w:rsidRPr="0034602F">
        <w:rPr>
          <w:rFonts w:ascii="ITC Avant Garde" w:eastAsia="Times New Roman" w:hAnsi="ITC Avant Garde"/>
          <w:bCs/>
          <w:color w:val="000000"/>
          <w:lang w:eastAsia="es-MX"/>
        </w:rPr>
        <w:t xml:space="preserve">y 72 de la </w:t>
      </w:r>
      <w:r w:rsidR="00D0651D" w:rsidRPr="0034602F">
        <w:rPr>
          <w:rFonts w:ascii="ITC Avant Garde" w:eastAsia="Times New Roman" w:hAnsi="ITC Avant Garde"/>
          <w:b/>
          <w:bCs/>
          <w:color w:val="000000"/>
          <w:lang w:eastAsia="es-MX"/>
        </w:rPr>
        <w:t>LFPA</w:t>
      </w:r>
      <w:r w:rsidRPr="0034602F">
        <w:rPr>
          <w:rFonts w:ascii="ITC Avant Garde" w:eastAsia="Times New Roman" w:hAnsi="ITC Avant Garde"/>
          <w:bCs/>
          <w:color w:val="000000"/>
          <w:lang w:eastAsia="es-MX"/>
        </w:rPr>
        <w:t>. No obstante</w:t>
      </w:r>
      <w:r w:rsidR="00D0651D" w:rsidRPr="0034602F">
        <w:rPr>
          <w:rFonts w:ascii="ITC Avant Garde" w:eastAsia="Times New Roman" w:hAnsi="ITC Avant Garde"/>
          <w:bCs/>
          <w:color w:val="000000"/>
          <w:lang w:eastAsia="es-MX"/>
        </w:rPr>
        <w:t xml:space="preserve"> lo anterior</w:t>
      </w:r>
      <w:r w:rsidRPr="0034602F">
        <w:rPr>
          <w:rFonts w:ascii="ITC Avant Garde" w:eastAsia="Times New Roman" w:hAnsi="ITC Avant Garde"/>
          <w:bCs/>
          <w:color w:val="000000"/>
          <w:lang w:eastAsia="es-MX"/>
        </w:rPr>
        <w:t>,</w:t>
      </w:r>
      <w:r w:rsidR="0095589C" w:rsidRPr="0034602F">
        <w:rPr>
          <w:rFonts w:ascii="ITC Avant Garde" w:eastAsia="Times New Roman" w:hAnsi="ITC Avant Garde"/>
          <w:bCs/>
          <w:color w:val="000000"/>
          <w:lang w:eastAsia="es-MX"/>
        </w:rPr>
        <w:t xml:space="preserve"> tal y como quedó consignado en el Considerando Décimo Segundo </w:t>
      </w:r>
      <w:r w:rsidRPr="0034602F">
        <w:rPr>
          <w:rFonts w:ascii="ITC Avant Garde" w:eastAsia="Times New Roman" w:hAnsi="ITC Avant Garde"/>
          <w:bCs/>
          <w:color w:val="000000"/>
          <w:lang w:eastAsia="es-MX"/>
        </w:rPr>
        <w:t xml:space="preserve"> </w:t>
      </w:r>
      <w:r w:rsidR="00A92E6E">
        <w:rPr>
          <w:rFonts w:ascii="ITC Avant Garde" w:hAnsi="ITC Avant Garde"/>
          <w:b/>
          <w:bCs/>
          <w:color w:val="0000FF"/>
        </w:rPr>
        <w:t>“CONFIDENCIAL POR LEY”</w:t>
      </w:r>
      <w:r w:rsidR="00D0651D" w:rsidRPr="0034602F">
        <w:rPr>
          <w:rFonts w:ascii="ITC Avant Garde" w:eastAsia="Times New Roman" w:hAnsi="ITC Avant Garde"/>
          <w:bCs/>
          <w:color w:val="000000"/>
          <w:lang w:eastAsia="es-MX"/>
        </w:rPr>
        <w:t xml:space="preserve"> no compareció al procedimiento sancionatorio que se resuelve</w:t>
      </w:r>
      <w:r w:rsidR="0095589C" w:rsidRPr="0034602F">
        <w:rPr>
          <w:rFonts w:ascii="ITC Avant Garde" w:eastAsia="Times New Roman" w:hAnsi="ITC Avant Garde"/>
          <w:bCs/>
          <w:color w:val="000000"/>
          <w:lang w:eastAsia="es-MX"/>
        </w:rPr>
        <w:t xml:space="preserve"> y no se cuenta con mayores elementos que hagan presumir su responsabilidad administrativa</w:t>
      </w:r>
      <w:r w:rsidRPr="0034602F">
        <w:rPr>
          <w:rFonts w:ascii="ITC Avant Garde" w:eastAsia="Times New Roman" w:hAnsi="ITC Avant Garde"/>
          <w:bCs/>
          <w:color w:val="000000"/>
          <w:lang w:eastAsia="es-MX"/>
        </w:rPr>
        <w:t>.</w:t>
      </w:r>
    </w:p>
    <w:p w14:paraId="692EA30C" w14:textId="77777777" w:rsidR="003C5E62" w:rsidRPr="0034602F" w:rsidRDefault="00E900A2" w:rsidP="00583167">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Lo anterior sin dejar de lado que no se tiene evidencia de que dicha persona haya recibido el acuerdo de inicio</w:t>
      </w:r>
      <w:r w:rsidR="000B55FA" w:rsidRPr="0034602F">
        <w:rPr>
          <w:rFonts w:ascii="ITC Avant Garde" w:eastAsia="Times New Roman" w:hAnsi="ITC Avant Garde"/>
          <w:bCs/>
          <w:color w:val="000000"/>
          <w:lang w:eastAsia="es-MX"/>
        </w:rPr>
        <w:t>, habida cuenta de que la diligencia de notificación se practicó con persona distinta.</w:t>
      </w:r>
    </w:p>
    <w:p w14:paraId="4060F846" w14:textId="5812075E" w:rsidR="003C5E62" w:rsidRPr="0034602F" w:rsidRDefault="000B55FA" w:rsidP="00583167">
      <w:pPr>
        <w:spacing w:before="240" w:after="240" w:line="360" w:lineRule="auto"/>
        <w:jc w:val="both"/>
        <w:rPr>
          <w:rFonts w:ascii="ITC Avant Garde" w:hAnsi="ITC Avant Garde"/>
        </w:rPr>
      </w:pPr>
      <w:r w:rsidRPr="0034602F">
        <w:rPr>
          <w:rFonts w:ascii="ITC Avant Garde" w:eastAsia="Times New Roman" w:hAnsi="ITC Avant Garde"/>
          <w:bCs/>
          <w:color w:val="000000"/>
          <w:lang w:eastAsia="es-MX"/>
        </w:rPr>
        <w:t xml:space="preserve">En tal sentido y </w:t>
      </w:r>
      <w:r w:rsidR="009A7318" w:rsidRPr="0034602F">
        <w:rPr>
          <w:rFonts w:ascii="ITC Avant Garde" w:eastAsia="Times New Roman" w:hAnsi="ITC Avant Garde"/>
          <w:bCs/>
          <w:color w:val="000000"/>
          <w:lang w:eastAsia="es-MX"/>
        </w:rPr>
        <w:t>toda vez que de</w:t>
      </w:r>
      <w:r w:rsidR="009A7318" w:rsidRPr="0034602F">
        <w:rPr>
          <w:rFonts w:ascii="ITC Avant Garde" w:hAnsi="ITC Avant Garde"/>
        </w:rPr>
        <w:t xml:space="preserve"> las constancias que obran en el presente expediente, se advierte que no existen pruebas contundentes que permitan a esta autoridad desvirtuar la presunción de inocencia en favor del C. </w:t>
      </w:r>
      <w:r w:rsidR="00A92E6E">
        <w:rPr>
          <w:rFonts w:ascii="ITC Avant Garde" w:hAnsi="ITC Avant Garde"/>
          <w:b/>
          <w:bCs/>
          <w:color w:val="0000FF"/>
        </w:rPr>
        <w:t>“CONFIDENCIAL POR LEY”</w:t>
      </w:r>
      <w:r w:rsidR="009A7318" w:rsidRPr="0034602F">
        <w:rPr>
          <w:rFonts w:ascii="ITC Avant Garde" w:hAnsi="ITC Avant Garde"/>
          <w:b/>
        </w:rPr>
        <w:t xml:space="preserve"> </w:t>
      </w:r>
      <w:r w:rsidRPr="0034602F">
        <w:rPr>
          <w:rFonts w:ascii="ITC Avant Garde" w:hAnsi="ITC Avant Garde"/>
        </w:rPr>
        <w:t>no resulta procedente</w:t>
      </w:r>
      <w:r w:rsidR="009A7318" w:rsidRPr="0034602F">
        <w:rPr>
          <w:rFonts w:ascii="ITC Avant Garde" w:hAnsi="ITC Avant Garde"/>
        </w:rPr>
        <w:t xml:space="preserve"> atribuirle de manera fehaciente la comisión de la conducta imputada.</w:t>
      </w:r>
    </w:p>
    <w:p w14:paraId="12B9B2A2" w14:textId="1F8C9C8A" w:rsidR="003C5E62" w:rsidRPr="0034602F" w:rsidRDefault="009A7318" w:rsidP="00583167">
      <w:pPr>
        <w:pStyle w:val="Textoindependiente"/>
        <w:tabs>
          <w:tab w:val="left" w:pos="993"/>
        </w:tabs>
        <w:spacing w:before="240" w:after="240" w:line="360" w:lineRule="auto"/>
        <w:jc w:val="both"/>
        <w:rPr>
          <w:rFonts w:ascii="ITC Avant Garde" w:hAnsi="ITC Avant Garde"/>
        </w:rPr>
      </w:pPr>
      <w:r w:rsidRPr="0034602F">
        <w:rPr>
          <w:rFonts w:ascii="ITC Avant Garde" w:eastAsia="Times New Roman" w:hAnsi="ITC Avant Garde"/>
          <w:bCs/>
          <w:color w:val="000000"/>
          <w:lang w:eastAsia="es-MX"/>
        </w:rPr>
        <w:t xml:space="preserve">En efecto, no existe elementos probatorios en el presente procedimiento que otorguen certeza de que el C. </w:t>
      </w:r>
      <w:r w:rsidR="00A92E6E">
        <w:rPr>
          <w:rFonts w:ascii="ITC Avant Garde" w:hAnsi="ITC Avant Garde"/>
          <w:b/>
          <w:bCs/>
          <w:color w:val="0000FF"/>
        </w:rPr>
        <w:t>“CONFIDENCIAL POR LEY”</w:t>
      </w:r>
      <w:r w:rsidRPr="0034602F">
        <w:rPr>
          <w:rFonts w:ascii="ITC Avant Garde" w:eastAsia="Times New Roman" w:hAnsi="ITC Avant Garde"/>
          <w:bCs/>
          <w:color w:val="000000"/>
          <w:lang w:eastAsia="es-MX"/>
        </w:rPr>
        <w:t xml:space="preserve"> fuera encargado </w:t>
      </w:r>
      <w:r w:rsidR="000B55FA" w:rsidRPr="0034602F">
        <w:rPr>
          <w:rFonts w:ascii="ITC Avant Garde" w:eastAsia="Times New Roman" w:hAnsi="ITC Avant Garde"/>
          <w:bCs/>
          <w:color w:val="000000"/>
          <w:lang w:eastAsia="es-MX"/>
        </w:rPr>
        <w:t>y/o responsable de la operación</w:t>
      </w:r>
      <w:r w:rsidRPr="0034602F">
        <w:rPr>
          <w:rFonts w:ascii="ITC Avant Garde" w:eastAsia="Times New Roman" w:hAnsi="ITC Avant Garde"/>
          <w:bCs/>
          <w:color w:val="000000"/>
          <w:lang w:eastAsia="es-MX"/>
        </w:rPr>
        <w:t xml:space="preserve"> de los equipos con los que se prestaba el servicio ilegal de radiodifusión sonora, o que de alguna forma participara en el uso y/o explotación de la frecuencia </w:t>
      </w:r>
      <w:r w:rsidR="00A03A4B" w:rsidRPr="0034602F">
        <w:rPr>
          <w:rFonts w:ascii="ITC Avant Garde" w:hAnsi="ITC Avant Garde"/>
          <w:b/>
        </w:rPr>
        <w:t>97.3</w:t>
      </w:r>
      <w:r w:rsidRPr="0034602F">
        <w:rPr>
          <w:rFonts w:ascii="ITC Avant Garde" w:hAnsi="ITC Avant Garde"/>
          <w:b/>
        </w:rPr>
        <w:t xml:space="preserve"> MHz</w:t>
      </w:r>
      <w:r w:rsidRPr="0034602F">
        <w:rPr>
          <w:rFonts w:ascii="ITC Avant Garde" w:hAnsi="ITC Avant Garde" w:cs="Tahoma"/>
        </w:rPr>
        <w:t xml:space="preserve"> localizada en el inmueble ubicado en </w:t>
      </w:r>
      <w:r w:rsidR="000519D1" w:rsidRPr="000519D1">
        <w:rPr>
          <w:rFonts w:ascii="ITC Avant Garde" w:hAnsi="ITC Avant Garde"/>
          <w:b/>
          <w:color w:val="0000FF"/>
        </w:rPr>
        <w:t>“CONFIDENCIAL POR LEY”</w:t>
      </w:r>
      <w:r w:rsidR="00A03A4B" w:rsidRPr="0034602F">
        <w:rPr>
          <w:rFonts w:ascii="ITC Avant Garde" w:hAnsi="ITC Avant Garde"/>
        </w:rPr>
        <w:t>, Delegación Tlalpan, en la Ciudad de México</w:t>
      </w:r>
      <w:r w:rsidRPr="0034602F">
        <w:rPr>
          <w:rFonts w:ascii="ITC Avant Garde" w:hAnsi="ITC Avant Garde"/>
        </w:rPr>
        <w:t xml:space="preserve">, toda vez que </w:t>
      </w:r>
      <w:r w:rsidR="000B55FA" w:rsidRPr="0034602F">
        <w:rPr>
          <w:rFonts w:ascii="ITC Avant Garde" w:hAnsi="ITC Avant Garde"/>
        </w:rPr>
        <w:t>no obstante que fue señalado como</w:t>
      </w:r>
      <w:r w:rsidRPr="0034602F">
        <w:rPr>
          <w:rFonts w:ascii="ITC Avant Garde" w:hAnsi="ITC Avant Garde"/>
        </w:rPr>
        <w:t xml:space="preserve"> “</w:t>
      </w:r>
      <w:r w:rsidR="00A03A4B" w:rsidRPr="0034602F">
        <w:rPr>
          <w:rFonts w:ascii="ITC Avant Garde" w:hAnsi="ITC Avant Garde"/>
        </w:rPr>
        <w:t>arrendatario</w:t>
      </w:r>
      <w:r w:rsidRPr="0034602F">
        <w:rPr>
          <w:rFonts w:ascii="ITC Avant Garde" w:hAnsi="ITC Avant Garde"/>
        </w:rPr>
        <w:t xml:space="preserve">” </w:t>
      </w:r>
      <w:r w:rsidR="000B55FA" w:rsidRPr="0034602F">
        <w:rPr>
          <w:rFonts w:ascii="ITC Avant Garde" w:hAnsi="ITC Avant Garde"/>
        </w:rPr>
        <w:t>del inmueble donde se detectaron los equipos, dicha afirmación</w:t>
      </w:r>
      <w:r w:rsidR="00A92E6E">
        <w:rPr>
          <w:rFonts w:ascii="ITC Avant Garde" w:hAnsi="ITC Avant Garde"/>
        </w:rPr>
        <w:t xml:space="preserve"> </w:t>
      </w:r>
      <w:r w:rsidRPr="0034602F">
        <w:rPr>
          <w:rFonts w:ascii="ITC Avant Garde" w:hAnsi="ITC Avant Garde"/>
        </w:rPr>
        <w:t xml:space="preserve">resulta ambigua e imprecisa para atribuir una responsabilidad administrativa </w:t>
      </w:r>
      <w:r w:rsidR="000B55FA" w:rsidRPr="0034602F">
        <w:rPr>
          <w:rFonts w:ascii="ITC Avant Garde" w:hAnsi="ITC Avant Garde"/>
        </w:rPr>
        <w:t>ya que dicha afirmación o señalamiento no se encuentra sustentado con medio de prueba alguno y en consecuencia no es posible vencer la presunción de inocencia que obra en su favor</w:t>
      </w:r>
      <w:r w:rsidRPr="0034602F">
        <w:rPr>
          <w:rFonts w:ascii="ITC Avant Garde" w:hAnsi="ITC Avant Garde"/>
        </w:rPr>
        <w:t>.</w:t>
      </w:r>
    </w:p>
    <w:p w14:paraId="66A8F7DB" w14:textId="77777777" w:rsidR="006D6786" w:rsidRDefault="009A7318" w:rsidP="00583167">
      <w:pPr>
        <w:tabs>
          <w:tab w:val="left" w:pos="284"/>
          <w:tab w:val="center" w:pos="1134"/>
        </w:tabs>
        <w:spacing w:before="240" w:after="240" w:line="360" w:lineRule="auto"/>
        <w:jc w:val="both"/>
        <w:rPr>
          <w:rFonts w:ascii="ITC Avant Garde" w:hAnsi="ITC Avant Garde"/>
        </w:rPr>
        <w:sectPr w:rsidR="006D6786" w:rsidSect="006345CE">
          <w:headerReference w:type="default" r:id="rId34"/>
          <w:pgSz w:w="12240" w:h="15840"/>
          <w:pgMar w:top="426" w:right="1418" w:bottom="1418" w:left="1418" w:header="709" w:footer="420" w:gutter="0"/>
          <w:cols w:space="708"/>
          <w:docGrid w:linePitch="360"/>
        </w:sectPr>
      </w:pPr>
      <w:r w:rsidRPr="0034602F">
        <w:rPr>
          <w:rFonts w:ascii="ITC Avant Garde" w:hAnsi="ITC Avant Garde"/>
        </w:rPr>
        <w:t>Al respecto, resulta aplicable la siguiente jurisprudencia:</w:t>
      </w:r>
    </w:p>
    <w:p w14:paraId="455D53EC" w14:textId="7906A466" w:rsidR="009A7318" w:rsidRPr="0034602F" w:rsidRDefault="009A7318" w:rsidP="00583167">
      <w:pPr>
        <w:tabs>
          <w:tab w:val="left" w:pos="284"/>
          <w:tab w:val="center" w:pos="1134"/>
        </w:tabs>
        <w:spacing w:before="240" w:after="240" w:line="240" w:lineRule="auto"/>
        <w:ind w:left="567" w:right="616"/>
        <w:jc w:val="both"/>
        <w:rPr>
          <w:rFonts w:ascii="ITC Avant Garde" w:hAnsi="ITC Avant Garde"/>
          <w:sz w:val="20"/>
          <w:szCs w:val="20"/>
        </w:rPr>
      </w:pPr>
      <w:r w:rsidRPr="0034602F">
        <w:rPr>
          <w:rFonts w:ascii="ITC Avant Garde" w:hAnsi="ITC Avant Garde"/>
          <w:b/>
          <w:sz w:val="20"/>
          <w:szCs w:val="20"/>
        </w:rPr>
        <w:lastRenderedPageBreak/>
        <w:t>PRESUNCIÓN DE INOCENCIA. ESTE PRINCIPIO ES APLICABLE AL PROCEDIMIENTO ADMINISTRATIVO SANCIONADOR, CON MATICES O MODULACIONES.</w:t>
      </w:r>
      <w:r w:rsidRPr="0034602F">
        <w:rPr>
          <w:rFonts w:ascii="ITC Avant Garde" w:hAnsi="ITC Avant Garde"/>
          <w:sz w:val="20"/>
          <w:szCs w:val="20"/>
        </w:rPr>
        <w:t xml:space="preserve"> El Tribunal Pleno de la Suprema Corte de Justicia de la Nación, en la tesis aislada P. XXXV/2002, sostuvo que, de la interpretación armónica y sistemática de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deriva implícitamente el principio de presunción de inocencia; el cual se contiene de modo expreso en los diversos artículos 8, numeral 2, de la Convención Americana sobre Derechos Humanos y 14, numeral 2, del Pacto Internacional de Derechos Civiles y Políticos; de ahí que, al ser acordes dichos preceptos -porque tienden a especificar y a hacer efectiva la presunción de inocencia-, deben interpretarse de modo sistemático, a fin de hacer valer para los gobernados la interpretación más favorable que permita una mejor impartición de justicia de conformidad con el numeral 1o. constitucional. Ahora bien, uno de los principios rectores del derecho, que debe ser aplicable en todos los procedimientos de cuyo resultado pudiera derivar alguna pena o sanción como resultado de la facultad punitiva del Estado, es el de presunción de inocencia como derecho fundamental de toda persona, aplicable y reconocible a quienes pudiesen estar sometidos a un procedimiento administrativo sancionador y, en consecuencia, soportar el poder correctivo del Estado, a través de autoridad competente. En ese sentido, el principio de presunción de inocencia es aplicable al procedimiento administrativo sancionador -con matices o modulaciones, según el caso- debido a su naturaleza gravosa, por la calidad de inocente de la persona que debe reconocérsele en todo procedimiento de cuyo resultado pudiera surgir una pena o sanción cuya consecuencia procesal, entre otras, es desplazar la carga de la prueba a la autoridad, en atención al derecho al debido proceso.</w:t>
      </w:r>
    </w:p>
    <w:p w14:paraId="483B4150" w14:textId="77777777" w:rsidR="003C5E62" w:rsidRPr="0034602F" w:rsidRDefault="009A7318" w:rsidP="00583167">
      <w:pPr>
        <w:tabs>
          <w:tab w:val="left" w:pos="284"/>
          <w:tab w:val="center" w:pos="1134"/>
        </w:tabs>
        <w:spacing w:before="240" w:after="240" w:line="240" w:lineRule="auto"/>
        <w:ind w:left="567" w:right="616"/>
        <w:jc w:val="both"/>
        <w:rPr>
          <w:rFonts w:ascii="ITC Avant Garde" w:hAnsi="ITC Avant Garde"/>
          <w:sz w:val="20"/>
          <w:szCs w:val="20"/>
        </w:rPr>
      </w:pPr>
      <w:r w:rsidRPr="0034602F">
        <w:rPr>
          <w:rFonts w:ascii="ITC Avant Garde" w:hAnsi="ITC Avant Garde"/>
          <w:sz w:val="20"/>
          <w:szCs w:val="20"/>
        </w:rPr>
        <w:t>(Época: Décima Época, Registro: 2006590, Instancia: Pleno, Tipo de Tesis: Jurisprudencia, Fuente: Gaceta del Semanario Judicial de la Federación, Libro 7, Junio de 2014, Tomo I, Materia(s): Constitucional, Tesis: P</w:t>
      </w:r>
      <w:proofErr w:type="gramStart"/>
      <w:r w:rsidRPr="0034602F">
        <w:rPr>
          <w:rFonts w:ascii="ITC Avant Garde" w:hAnsi="ITC Avant Garde"/>
          <w:sz w:val="20"/>
          <w:szCs w:val="20"/>
        </w:rPr>
        <w:t>./</w:t>
      </w:r>
      <w:proofErr w:type="gramEnd"/>
      <w:r w:rsidRPr="0034602F">
        <w:rPr>
          <w:rFonts w:ascii="ITC Avant Garde" w:hAnsi="ITC Avant Garde"/>
          <w:sz w:val="20"/>
          <w:szCs w:val="20"/>
        </w:rPr>
        <w:t>J. 43/2014 (10a.), Página: 41)</w:t>
      </w:r>
    </w:p>
    <w:p w14:paraId="1A0019A0" w14:textId="77777777" w:rsidR="003C5E62" w:rsidRPr="0034602F" w:rsidRDefault="009A7318"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La citada jurisprudencia, prevaleció en la contradicción de tesis 200/2013, entre los criterios sustentados por la Primera y la Segunda Salas de la Suprema Corte de Justicia de la Nación; resuelta el veintiocho de enero de dos mil catorce por el Pleno de la Suprema Corte de Justicia de la Nación, en la que se señaló lo siguiente:</w:t>
      </w:r>
    </w:p>
    <w:p w14:paraId="0C402489" w14:textId="77777777" w:rsidR="003C5E62" w:rsidRPr="0034602F" w:rsidRDefault="009A7318" w:rsidP="00583167">
      <w:pPr>
        <w:tabs>
          <w:tab w:val="left" w:pos="284"/>
          <w:tab w:val="center" w:pos="1134"/>
        </w:tabs>
        <w:spacing w:before="240" w:after="240" w:line="240" w:lineRule="auto"/>
        <w:ind w:left="851" w:right="850"/>
        <w:jc w:val="both"/>
        <w:rPr>
          <w:rFonts w:ascii="ITC Avant Garde" w:hAnsi="ITC Avant Garde"/>
          <w:sz w:val="20"/>
          <w:szCs w:val="20"/>
        </w:rPr>
      </w:pPr>
      <w:r w:rsidRPr="0034602F">
        <w:rPr>
          <w:rFonts w:ascii="ITC Avant Garde" w:hAnsi="ITC Avant Garde"/>
          <w:sz w:val="20"/>
          <w:szCs w:val="20"/>
        </w:rPr>
        <w:t xml:space="preserve">“… </w:t>
      </w:r>
      <w:r w:rsidRPr="0034602F">
        <w:rPr>
          <w:rFonts w:ascii="ITC Avant Garde" w:hAnsi="ITC Avant Garde"/>
          <w:b/>
          <w:sz w:val="20"/>
          <w:szCs w:val="20"/>
          <w:u w:val="single"/>
        </w:rPr>
        <w:t>se pretende que sea la responsabilidad y no la inocencia la que deba probarse</w:t>
      </w:r>
      <w:r w:rsidRPr="0034602F">
        <w:rPr>
          <w:rFonts w:ascii="ITC Avant Garde" w:hAnsi="ITC Avant Garde"/>
          <w:sz w:val="20"/>
          <w:szCs w:val="20"/>
        </w:rPr>
        <w:t>; de ahí que este derecho tiene efectos trascendentales en cualquier procedimiento o proceso en el que se pretenda acusar a alguien, así como en cada una de sus fases, independientemente sin importar la etapa en la que se encuentre, por lo que el principio de presunción de inocencia se traduce en tres significados garantistas fundamentales:</w:t>
      </w:r>
    </w:p>
    <w:p w14:paraId="3A4270E7" w14:textId="77777777" w:rsidR="003C5E62" w:rsidRPr="0034602F" w:rsidRDefault="009A7318" w:rsidP="00583167">
      <w:pPr>
        <w:tabs>
          <w:tab w:val="left" w:pos="284"/>
          <w:tab w:val="center" w:pos="1134"/>
        </w:tabs>
        <w:spacing w:before="240" w:after="240" w:line="240" w:lineRule="auto"/>
        <w:ind w:left="851" w:right="850"/>
        <w:jc w:val="both"/>
        <w:rPr>
          <w:rFonts w:ascii="ITC Avant Garde" w:hAnsi="ITC Avant Garde"/>
          <w:sz w:val="20"/>
          <w:szCs w:val="20"/>
        </w:rPr>
      </w:pPr>
      <w:r w:rsidRPr="0034602F">
        <w:rPr>
          <w:rFonts w:ascii="ITC Avant Garde" w:hAnsi="ITC Avant Garde"/>
          <w:sz w:val="20"/>
          <w:szCs w:val="20"/>
        </w:rPr>
        <w:t>1.-</w:t>
      </w:r>
      <w:r w:rsidRPr="0034602F">
        <w:rPr>
          <w:rFonts w:ascii="ITC Avant Garde" w:hAnsi="ITC Avant Garde"/>
          <w:sz w:val="20"/>
          <w:szCs w:val="20"/>
        </w:rPr>
        <w:tab/>
        <w:t xml:space="preserve">El primero, como una regla probatoria que impone </w:t>
      </w:r>
      <w:r w:rsidRPr="0034602F">
        <w:rPr>
          <w:rFonts w:ascii="ITC Avant Garde" w:hAnsi="ITC Avant Garde"/>
          <w:b/>
          <w:sz w:val="20"/>
          <w:szCs w:val="20"/>
          <w:u w:val="single"/>
        </w:rPr>
        <w:t>la carga de la prueba para quien acusa y, por ende, la absolución en caso de duda</w:t>
      </w:r>
      <w:r w:rsidRPr="0034602F">
        <w:rPr>
          <w:rFonts w:ascii="ITC Avant Garde" w:hAnsi="ITC Avant Garde"/>
          <w:sz w:val="20"/>
          <w:szCs w:val="20"/>
        </w:rPr>
        <w:t>.</w:t>
      </w:r>
    </w:p>
    <w:p w14:paraId="3B50ACBC" w14:textId="77777777" w:rsidR="006D6786" w:rsidRDefault="009A7318" w:rsidP="00583167">
      <w:pPr>
        <w:tabs>
          <w:tab w:val="left" w:pos="284"/>
          <w:tab w:val="center" w:pos="1134"/>
        </w:tabs>
        <w:spacing w:before="240" w:after="240" w:line="240" w:lineRule="auto"/>
        <w:ind w:left="851" w:right="850"/>
        <w:jc w:val="both"/>
        <w:rPr>
          <w:rFonts w:ascii="ITC Avant Garde" w:hAnsi="ITC Avant Garde"/>
          <w:sz w:val="20"/>
          <w:szCs w:val="20"/>
        </w:rPr>
        <w:sectPr w:rsidR="006D6786" w:rsidSect="006345CE">
          <w:headerReference w:type="default" r:id="rId35"/>
          <w:pgSz w:w="12240" w:h="15840"/>
          <w:pgMar w:top="426" w:right="1418" w:bottom="1418" w:left="1418" w:header="709" w:footer="420" w:gutter="0"/>
          <w:cols w:space="708"/>
          <w:docGrid w:linePitch="360"/>
        </w:sectPr>
      </w:pPr>
      <w:r w:rsidRPr="0034602F">
        <w:rPr>
          <w:rFonts w:ascii="ITC Avant Garde" w:hAnsi="ITC Avant Garde"/>
          <w:sz w:val="20"/>
          <w:szCs w:val="20"/>
        </w:rPr>
        <w:t>2.-</w:t>
      </w:r>
      <w:r w:rsidRPr="0034602F">
        <w:rPr>
          <w:rFonts w:ascii="ITC Avant Garde" w:hAnsi="ITC Avant Garde"/>
          <w:sz w:val="20"/>
          <w:szCs w:val="20"/>
        </w:rPr>
        <w:tab/>
        <w:t>El segundo, como regla de tratamiento al acusado que excluye o restringe al máximo la limitación de sus derechos fundamentales, sobre todo los que inciden en su libertad personal, con motivo del proceso que se instaura en su contra.</w:t>
      </w:r>
    </w:p>
    <w:p w14:paraId="5858FEF6" w14:textId="77777777" w:rsidR="003C5E62" w:rsidRPr="0034602F" w:rsidRDefault="009A7318" w:rsidP="00583167">
      <w:pPr>
        <w:tabs>
          <w:tab w:val="left" w:pos="284"/>
          <w:tab w:val="center" w:pos="1134"/>
        </w:tabs>
        <w:spacing w:before="240" w:after="240" w:line="240" w:lineRule="auto"/>
        <w:ind w:left="851" w:right="850"/>
        <w:jc w:val="both"/>
        <w:rPr>
          <w:rFonts w:ascii="ITC Avant Garde" w:hAnsi="ITC Avant Garde"/>
          <w:sz w:val="20"/>
          <w:szCs w:val="20"/>
        </w:rPr>
      </w:pPr>
      <w:r w:rsidRPr="0034602F">
        <w:rPr>
          <w:rFonts w:ascii="ITC Avant Garde" w:hAnsi="ITC Avant Garde"/>
          <w:sz w:val="20"/>
          <w:szCs w:val="20"/>
        </w:rPr>
        <w:lastRenderedPageBreak/>
        <w:t>3.-</w:t>
      </w:r>
      <w:r w:rsidRPr="0034602F">
        <w:rPr>
          <w:rFonts w:ascii="ITC Avant Garde" w:hAnsi="ITC Avant Garde"/>
          <w:sz w:val="20"/>
          <w:szCs w:val="20"/>
        </w:rPr>
        <w:tab/>
        <w:t xml:space="preserve">El tercero, como estándar probatorio o regla de juicio que puede entenderse como una norma que </w:t>
      </w:r>
      <w:r w:rsidRPr="0034602F">
        <w:rPr>
          <w:rFonts w:ascii="ITC Avant Garde" w:hAnsi="ITC Avant Garde"/>
          <w:b/>
          <w:sz w:val="20"/>
          <w:szCs w:val="20"/>
          <w:u w:val="single"/>
        </w:rPr>
        <w:t>ordena a los jueces la absolución de los inculpados cuando durante el proceso no se han aportado pruebas de cargo suficientes</w:t>
      </w:r>
      <w:r w:rsidRPr="0034602F">
        <w:rPr>
          <w:rFonts w:ascii="ITC Avant Garde" w:hAnsi="ITC Avant Garde"/>
          <w:sz w:val="20"/>
          <w:szCs w:val="20"/>
        </w:rPr>
        <w:t xml:space="preserve"> para acreditar la existencia del delito </w:t>
      </w:r>
      <w:r w:rsidRPr="0034602F">
        <w:rPr>
          <w:rFonts w:ascii="ITC Avant Garde" w:hAnsi="ITC Avant Garde"/>
          <w:b/>
          <w:sz w:val="20"/>
          <w:szCs w:val="20"/>
          <w:u w:val="single"/>
        </w:rPr>
        <w:t>y la responsabilidad de la persona</w:t>
      </w:r>
      <w:r w:rsidRPr="0034602F">
        <w:rPr>
          <w:rFonts w:ascii="ITC Avant Garde" w:hAnsi="ITC Avant Garde"/>
          <w:sz w:val="20"/>
          <w:szCs w:val="20"/>
        </w:rPr>
        <w:t>. Así entendida, la presunción de inocencia no aplica al procedimiento probatorio (la prueba entendida como actividad), sino al momento de la valoración la prueba (entendida como resultado de la actividad probatoria).</w:t>
      </w:r>
    </w:p>
    <w:p w14:paraId="70632F8B" w14:textId="77777777" w:rsidR="003C5E62" w:rsidRPr="0034602F" w:rsidRDefault="009A7318" w:rsidP="00583167">
      <w:pPr>
        <w:tabs>
          <w:tab w:val="left" w:pos="284"/>
          <w:tab w:val="center" w:pos="1134"/>
        </w:tabs>
        <w:spacing w:before="240" w:after="240" w:line="240" w:lineRule="auto"/>
        <w:ind w:left="851" w:right="850"/>
        <w:jc w:val="both"/>
        <w:rPr>
          <w:rFonts w:ascii="ITC Avant Garde" w:hAnsi="ITC Avant Garde"/>
          <w:sz w:val="20"/>
          <w:szCs w:val="20"/>
        </w:rPr>
      </w:pPr>
      <w:r w:rsidRPr="0034602F">
        <w:rPr>
          <w:rFonts w:ascii="ITC Avant Garde" w:hAnsi="ITC Avant Garde"/>
          <w:sz w:val="20"/>
          <w:szCs w:val="20"/>
        </w:rPr>
        <w:t xml:space="preserve">En esta cuestión radica la plena vigencia del principio de presunción de inocencia, en tanto implica en general que nadie será considerado culpable hasta la existencia de sentencia firme que determine su plena responsabilidad en la comisión del delito atribuido; esto es, </w:t>
      </w:r>
      <w:r w:rsidRPr="0034602F">
        <w:rPr>
          <w:rFonts w:ascii="ITC Avant Garde" w:hAnsi="ITC Avant Garde"/>
          <w:b/>
          <w:sz w:val="20"/>
          <w:szCs w:val="20"/>
          <w:u w:val="single"/>
        </w:rPr>
        <w:t>corresponde a la autoridad competente desvirtuar la inocencia probando la ilicitud de la conducta</w:t>
      </w:r>
      <w:r w:rsidRPr="0034602F">
        <w:rPr>
          <w:rFonts w:ascii="ITC Avant Garde" w:hAnsi="ITC Avant Garde"/>
          <w:sz w:val="20"/>
          <w:szCs w:val="20"/>
        </w:rPr>
        <w:t>, lo que opera a partir de que inicia la investigación hasta la resolución final.”</w:t>
      </w:r>
    </w:p>
    <w:p w14:paraId="0476D009" w14:textId="016DC010" w:rsidR="003C5E62" w:rsidRPr="0034602F" w:rsidRDefault="000B55FA" w:rsidP="00583167">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No es óbice de lo anterior el hecho de que en diversos expedientes resueltos por este órgano colegiado se haya atribuido responsabilidad administrativa a </w:t>
      </w:r>
      <w:r w:rsidR="00A92E6E">
        <w:rPr>
          <w:rFonts w:ascii="ITC Avant Garde" w:hAnsi="ITC Avant Garde"/>
          <w:b/>
          <w:bCs/>
          <w:color w:val="0000FF"/>
        </w:rPr>
        <w:t>“CONFIDENCIAL POR LEY”</w:t>
      </w:r>
      <w:r w:rsidRPr="0034602F">
        <w:rPr>
          <w:rFonts w:ascii="ITC Avant Garde" w:eastAsia="Times New Roman" w:hAnsi="ITC Avant Garde"/>
          <w:bCs/>
          <w:color w:val="000000"/>
          <w:lang w:eastAsia="es-MX"/>
        </w:rPr>
        <w:t>, por prestar servicios de radiodifusión sin contar con la concesión respectiva, toda vez que como se ha precisado en líneas anteriores, en el presente expediente no existen elementos contundentes que permitan a este Pleno arribar a la misma conclusión.</w:t>
      </w:r>
    </w:p>
    <w:p w14:paraId="701B6394" w14:textId="667E85D6" w:rsidR="003C5E62" w:rsidRPr="0034602F" w:rsidRDefault="000B55FA" w:rsidP="00583167">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Con independencia de lo antes expuesto, </w:t>
      </w:r>
      <w:r w:rsidR="009A7318" w:rsidRPr="0034602F">
        <w:rPr>
          <w:rFonts w:ascii="ITC Avant Garde" w:eastAsia="Times New Roman" w:hAnsi="ITC Avant Garde"/>
          <w:bCs/>
          <w:color w:val="000000"/>
          <w:lang w:eastAsia="es-MX"/>
        </w:rPr>
        <w:t>es oportuno mencionar que la</w:t>
      </w:r>
      <w:r w:rsidR="009A7318" w:rsidRPr="0034602F">
        <w:rPr>
          <w:rFonts w:ascii="ITC Avant Garde" w:eastAsia="Times New Roman" w:hAnsi="ITC Avant Garde"/>
          <w:b/>
          <w:bCs/>
          <w:color w:val="000000"/>
          <w:lang w:eastAsia="es-MX"/>
        </w:rPr>
        <w:t xml:space="preserve"> DGV</w:t>
      </w:r>
      <w:r w:rsidR="009A7318" w:rsidRPr="0034602F">
        <w:rPr>
          <w:rFonts w:ascii="ITC Avant Garde" w:eastAsia="Times New Roman" w:hAnsi="ITC Avant Garde"/>
          <w:bCs/>
          <w:color w:val="000000"/>
          <w:lang w:eastAsia="es-MX"/>
        </w:rPr>
        <w:t xml:space="preserve"> con la finalidad de allegarse de elementos que permitieran la plena identificación del presunto infractor, el </w:t>
      </w:r>
      <w:r w:rsidR="00A03A4B" w:rsidRPr="0034602F">
        <w:rPr>
          <w:rFonts w:ascii="ITC Avant Garde" w:hAnsi="ITC Avant Garde"/>
        </w:rPr>
        <w:t>seis</w:t>
      </w:r>
      <w:r w:rsidR="009A7318" w:rsidRPr="0034602F">
        <w:rPr>
          <w:rFonts w:ascii="ITC Avant Garde" w:hAnsi="ITC Avant Garde"/>
        </w:rPr>
        <w:t xml:space="preserve"> de septiembre de dos mil dieciséis,</w:t>
      </w:r>
      <w:r w:rsidR="009A7318" w:rsidRPr="0034602F">
        <w:rPr>
          <w:rFonts w:ascii="ITC Avant Garde" w:eastAsia="Times New Roman" w:hAnsi="ITC Avant Garde"/>
          <w:bCs/>
          <w:color w:val="000000"/>
          <w:lang w:eastAsia="es-MX"/>
        </w:rPr>
        <w:t xml:space="preserve"> solicitó a la </w:t>
      </w:r>
      <w:r w:rsidR="009A7318" w:rsidRPr="0034602F">
        <w:rPr>
          <w:rFonts w:ascii="ITC Avant Garde" w:hAnsi="ITC Avant Garde"/>
        </w:rPr>
        <w:t xml:space="preserve">Dirección General </w:t>
      </w:r>
      <w:r w:rsidR="00A03A4B" w:rsidRPr="0034602F">
        <w:rPr>
          <w:rFonts w:ascii="ITC Avant Garde" w:hAnsi="ITC Avant Garde"/>
        </w:rPr>
        <w:t>del Registro Público de la Propiedad y del Comercio de la Ciudad de México</w:t>
      </w:r>
      <w:r w:rsidR="009A7318" w:rsidRPr="0034602F">
        <w:rPr>
          <w:rFonts w:ascii="ITC Avant Garde" w:eastAsia="Times New Roman" w:hAnsi="ITC Avant Garde"/>
          <w:bCs/>
          <w:color w:val="000000"/>
          <w:lang w:eastAsia="es-MX"/>
        </w:rPr>
        <w:t xml:space="preserve">, que proporcionaran mediante constancia debidamente certificada el nombre </w:t>
      </w:r>
      <w:r w:rsidR="00A03A4B" w:rsidRPr="0034602F">
        <w:rPr>
          <w:rFonts w:ascii="ITC Avant Garde" w:eastAsia="Times New Roman" w:hAnsi="ITC Avant Garde"/>
          <w:bCs/>
          <w:color w:val="000000"/>
          <w:lang w:eastAsia="es-MX"/>
        </w:rPr>
        <w:t>del propietario</w:t>
      </w:r>
      <w:r w:rsidR="009A7318" w:rsidRPr="0034602F">
        <w:rPr>
          <w:rFonts w:ascii="ITC Avant Garde" w:eastAsia="Times New Roman" w:hAnsi="ITC Avant Garde"/>
          <w:bCs/>
          <w:color w:val="000000"/>
          <w:lang w:eastAsia="es-MX"/>
        </w:rPr>
        <w:t xml:space="preserve"> del inmueble ubicado en </w:t>
      </w:r>
      <w:r w:rsidR="000519D1" w:rsidRPr="000519D1">
        <w:rPr>
          <w:rFonts w:ascii="ITC Avant Garde" w:hAnsi="ITC Avant Garde"/>
          <w:b/>
          <w:color w:val="0000FF"/>
        </w:rPr>
        <w:t>“CONFIDENCIAL POR LEY”</w:t>
      </w:r>
      <w:r w:rsidR="00A03A4B" w:rsidRPr="0034602F">
        <w:rPr>
          <w:rFonts w:ascii="ITC Avant Garde" w:hAnsi="ITC Avant Garde"/>
        </w:rPr>
        <w:t>, Delegación Tlalpan, en la Ciudad de México</w:t>
      </w:r>
      <w:r w:rsidR="009A7318" w:rsidRPr="0034602F">
        <w:rPr>
          <w:rFonts w:ascii="ITC Avant Garde" w:eastAsia="Times New Roman" w:hAnsi="ITC Avant Garde"/>
          <w:bCs/>
          <w:color w:val="000000"/>
          <w:lang w:eastAsia="es-MX"/>
        </w:rPr>
        <w:t xml:space="preserve">. </w:t>
      </w:r>
    </w:p>
    <w:p w14:paraId="493F3B6D" w14:textId="77777777" w:rsidR="003C5E62" w:rsidRPr="0034602F" w:rsidRDefault="00152F09" w:rsidP="00583167">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Sin que a la fecha de la emisión de la presente Resolución, se tenga noticia de la respuesta brindada por parte de </w:t>
      </w:r>
      <w:r w:rsidR="00414C50" w:rsidRPr="0034602F">
        <w:rPr>
          <w:rFonts w:ascii="ITC Avant Garde" w:eastAsia="Times New Roman" w:hAnsi="ITC Avant Garde"/>
          <w:bCs/>
          <w:color w:val="000000"/>
          <w:lang w:eastAsia="es-MX"/>
        </w:rPr>
        <w:t>dicha autoridad</w:t>
      </w:r>
      <w:r w:rsidRPr="0034602F">
        <w:rPr>
          <w:rFonts w:ascii="ITC Avant Garde" w:eastAsia="Times New Roman" w:hAnsi="ITC Avant Garde"/>
          <w:bCs/>
          <w:color w:val="000000"/>
          <w:lang w:eastAsia="es-MX"/>
        </w:rPr>
        <w:t xml:space="preserve">  a la solicitud señalada en el párrafo anterior.</w:t>
      </w:r>
    </w:p>
    <w:p w14:paraId="7F64A62D" w14:textId="46AC3A73" w:rsidR="003C5E62" w:rsidRPr="0034602F" w:rsidRDefault="00152F09" w:rsidP="00583167">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De igual forma, la</w:t>
      </w:r>
      <w:r w:rsidRPr="0034602F">
        <w:rPr>
          <w:rFonts w:ascii="ITC Avant Garde" w:eastAsia="Times New Roman" w:hAnsi="ITC Avant Garde"/>
          <w:b/>
          <w:bCs/>
          <w:color w:val="000000"/>
          <w:lang w:eastAsia="es-MX"/>
        </w:rPr>
        <w:t xml:space="preserve"> DGV</w:t>
      </w:r>
      <w:r w:rsidRPr="0034602F">
        <w:rPr>
          <w:rFonts w:ascii="ITC Avant Garde" w:eastAsia="Times New Roman" w:hAnsi="ITC Avant Garde"/>
          <w:bCs/>
          <w:color w:val="000000"/>
          <w:lang w:eastAsia="es-MX"/>
        </w:rPr>
        <w:t xml:space="preserve"> con la finalidad de allegarse de elementos que permitieran la plena identificación del presunto infractor, el propio </w:t>
      </w:r>
      <w:r w:rsidRPr="0034602F">
        <w:rPr>
          <w:rFonts w:ascii="ITC Avant Garde" w:hAnsi="ITC Avant Garde"/>
        </w:rPr>
        <w:t xml:space="preserve">seis de septiembre de dos mil </w:t>
      </w:r>
      <w:r w:rsidRPr="0034602F">
        <w:rPr>
          <w:rFonts w:ascii="ITC Avant Garde" w:hAnsi="ITC Avant Garde"/>
        </w:rPr>
        <w:lastRenderedPageBreak/>
        <w:t>dieciséis,</w:t>
      </w:r>
      <w:r w:rsidRPr="0034602F">
        <w:rPr>
          <w:rFonts w:ascii="ITC Avant Garde" w:eastAsia="Times New Roman" w:hAnsi="ITC Avant Garde"/>
          <w:bCs/>
          <w:color w:val="000000"/>
          <w:lang w:eastAsia="es-MX"/>
        </w:rPr>
        <w:t xml:space="preserve"> solicitó a Subsecretaría de Catastro y Padrón Territorial </w:t>
      </w:r>
      <w:r w:rsidRPr="0034602F">
        <w:rPr>
          <w:rFonts w:ascii="ITC Avant Garde" w:hAnsi="ITC Avant Garde"/>
        </w:rPr>
        <w:t>de la Ciudad de México</w:t>
      </w:r>
      <w:r w:rsidRPr="0034602F">
        <w:rPr>
          <w:rFonts w:ascii="ITC Avant Garde" w:eastAsia="Times New Roman" w:hAnsi="ITC Avant Garde"/>
          <w:bCs/>
          <w:color w:val="000000"/>
          <w:lang w:eastAsia="es-MX"/>
        </w:rPr>
        <w:t xml:space="preserve">, que proporcionara mediante constancia debidamente certificada el nombre del propietario del inmueble ubicado en </w:t>
      </w:r>
      <w:r w:rsidR="000519D1" w:rsidRPr="000519D1">
        <w:rPr>
          <w:rFonts w:ascii="ITC Avant Garde" w:hAnsi="ITC Avant Garde"/>
          <w:b/>
          <w:color w:val="0000FF"/>
        </w:rPr>
        <w:t>“CONFIDENCIAL POR LEY”</w:t>
      </w:r>
      <w:r w:rsidRPr="0034602F">
        <w:rPr>
          <w:rFonts w:ascii="ITC Avant Garde" w:hAnsi="ITC Avant Garde"/>
        </w:rPr>
        <w:t>, Delegación Tlalpan, en la Ciudad de México</w:t>
      </w:r>
      <w:r w:rsidRPr="0034602F">
        <w:rPr>
          <w:rFonts w:ascii="ITC Avant Garde" w:eastAsia="Times New Roman" w:hAnsi="ITC Avant Garde"/>
          <w:bCs/>
          <w:color w:val="000000"/>
          <w:lang w:eastAsia="es-MX"/>
        </w:rPr>
        <w:t>, sin que se hubiere recibido respuesta alguna a dicha solicitud.</w:t>
      </w:r>
    </w:p>
    <w:p w14:paraId="0D10BAAB" w14:textId="77777777" w:rsidR="003C5E62" w:rsidRPr="0034602F" w:rsidRDefault="009A7318"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De lo anterior se advierte que no fue posible identificar al propietario del inmueble donde se aseguraron los equipos de radiodifusión relacionados con el acta de mérito y consecuentemente los ingresos del mismo, es decir no se cuenta con los elementos suficientes para individualizar la sanción prevista en este artículo.</w:t>
      </w:r>
    </w:p>
    <w:p w14:paraId="087A1FE8" w14:textId="564CE94B" w:rsidR="003C5E62" w:rsidRPr="0034602F" w:rsidRDefault="009A7318" w:rsidP="00583167">
      <w:pPr>
        <w:spacing w:before="240" w:after="240" w:line="360" w:lineRule="auto"/>
        <w:jc w:val="both"/>
        <w:rPr>
          <w:rFonts w:ascii="Times New Roman" w:hAnsi="Times New Roman"/>
          <w:sz w:val="24"/>
          <w:szCs w:val="24"/>
          <w:lang w:eastAsia="es-MX"/>
        </w:rPr>
      </w:pPr>
      <w:r w:rsidRPr="0034602F">
        <w:rPr>
          <w:rFonts w:ascii="ITC Avant Garde" w:hAnsi="ITC Avant Garde"/>
          <w:color w:val="000000"/>
          <w:lang w:eastAsia="es-MX"/>
        </w:rPr>
        <w:t xml:space="preserve">Conforme a lo antes expuesto, resulta claro que no existe plena identificación del </w:t>
      </w:r>
      <w:r w:rsidRPr="0034602F">
        <w:rPr>
          <w:rFonts w:ascii="ITC Avant Garde" w:hAnsi="ITC Avant Garde"/>
          <w:b/>
        </w:rPr>
        <w:t>PRESUNTO RESPONSABLE</w:t>
      </w:r>
      <w:r w:rsidRPr="0034602F">
        <w:rPr>
          <w:rFonts w:ascii="ITC Avant Garde" w:eastAsia="Times New Roman" w:hAnsi="ITC Avant Garde"/>
          <w:bCs/>
          <w:color w:val="000000"/>
          <w:lang w:eastAsia="es-MX"/>
        </w:rPr>
        <w:t xml:space="preserve"> </w:t>
      </w:r>
      <w:r w:rsidRPr="0034602F">
        <w:rPr>
          <w:rFonts w:ascii="ITC Avant Garde" w:hAnsi="ITC Avant Garde"/>
          <w:color w:val="000000"/>
          <w:lang w:eastAsia="es-MX"/>
        </w:rPr>
        <w:t>toda vez que la persona que atendió la visita manifestó que los equipos de r</w:t>
      </w:r>
      <w:r w:rsidR="000519D1">
        <w:rPr>
          <w:rFonts w:ascii="ITC Avant Garde" w:hAnsi="ITC Avant Garde"/>
          <w:color w:val="000000"/>
          <w:lang w:eastAsia="es-MX"/>
        </w:rPr>
        <w:t xml:space="preserve">adiodifusión eran propiedad de </w:t>
      </w:r>
      <w:r w:rsidR="00D608C0">
        <w:rPr>
          <w:rFonts w:ascii="ITC Avant Garde" w:hAnsi="ITC Avant Garde"/>
          <w:b/>
          <w:bCs/>
          <w:color w:val="0000FF"/>
        </w:rPr>
        <w:t>“CONFIDENCIAL POR LEY”</w:t>
      </w:r>
      <w:r w:rsidRPr="0034602F">
        <w:rPr>
          <w:rFonts w:ascii="ITC Avant Garde" w:hAnsi="ITC Avant Garde" w:cs="Tahoma"/>
        </w:rPr>
        <w:t>”</w:t>
      </w:r>
      <w:r w:rsidRPr="0034602F" w:rsidDel="00CB59C7">
        <w:rPr>
          <w:rFonts w:ascii="ITC Avant Garde" w:hAnsi="ITC Avant Garde"/>
          <w:color w:val="000000"/>
          <w:lang w:eastAsia="es-MX"/>
        </w:rPr>
        <w:t xml:space="preserve"> </w:t>
      </w:r>
      <w:r w:rsidR="00152F09" w:rsidRPr="0034602F">
        <w:rPr>
          <w:rFonts w:ascii="ITC Avant Garde" w:hAnsi="ITC Avant Garde"/>
          <w:color w:val="000000"/>
          <w:lang w:eastAsia="es-MX"/>
        </w:rPr>
        <w:t xml:space="preserve">sin proporcionar mayores elementos de identificación del mismo </w:t>
      </w:r>
      <w:r w:rsidRPr="0034602F">
        <w:rPr>
          <w:rFonts w:ascii="ITC Avant Garde" w:hAnsi="ITC Avant Garde"/>
          <w:color w:val="000000"/>
          <w:lang w:eastAsia="es-MX"/>
        </w:rPr>
        <w:t xml:space="preserve">y en consecuencia se desconoce el nombre del propietario de la estación de radiodifusión que operaba en la frecuencia </w:t>
      </w:r>
      <w:r w:rsidR="00152F09" w:rsidRPr="0034602F">
        <w:rPr>
          <w:rFonts w:ascii="ITC Avant Garde" w:hAnsi="ITC Avant Garde"/>
          <w:b/>
        </w:rPr>
        <w:t>97.3</w:t>
      </w:r>
      <w:r w:rsidRPr="0034602F">
        <w:rPr>
          <w:rFonts w:ascii="ITC Avant Garde" w:hAnsi="ITC Avant Garde"/>
          <w:b/>
        </w:rPr>
        <w:t xml:space="preserve"> MHz</w:t>
      </w:r>
      <w:r w:rsidRPr="0034602F">
        <w:rPr>
          <w:rFonts w:ascii="ITC Avant Garde" w:hAnsi="ITC Avant Garde"/>
          <w:b/>
          <w:color w:val="000000"/>
          <w:lang w:eastAsia="es-MX"/>
        </w:rPr>
        <w:t xml:space="preserve">, </w:t>
      </w:r>
      <w:r w:rsidRPr="0034602F">
        <w:rPr>
          <w:rFonts w:ascii="ITC Avant Garde" w:hAnsi="ITC Avant Garde"/>
          <w:color w:val="000000"/>
          <w:lang w:eastAsia="es-MX"/>
        </w:rPr>
        <w:t>ya que</w:t>
      </w:r>
      <w:r w:rsidRPr="0034602F">
        <w:rPr>
          <w:rFonts w:ascii="ITC Avant Garde" w:hAnsi="ITC Avant Garde"/>
          <w:b/>
          <w:color w:val="000000"/>
          <w:lang w:eastAsia="es-MX"/>
        </w:rPr>
        <w:t xml:space="preserve"> </w:t>
      </w:r>
      <w:r w:rsidRPr="0034602F">
        <w:rPr>
          <w:rFonts w:ascii="ITC Avant Garde" w:hAnsi="ITC Avant Garde"/>
          <w:color w:val="000000"/>
          <w:lang w:eastAsia="es-MX"/>
        </w:rPr>
        <w:t>no existe</w:t>
      </w:r>
      <w:r w:rsidRPr="0034602F">
        <w:rPr>
          <w:rFonts w:ascii="ITC Avant Garde" w:hAnsi="ITC Avant Garde"/>
          <w:b/>
          <w:color w:val="000000"/>
          <w:lang w:eastAsia="es-MX"/>
        </w:rPr>
        <w:t xml:space="preserve"> </w:t>
      </w:r>
      <w:r w:rsidRPr="0034602F">
        <w:rPr>
          <w:rFonts w:ascii="ITC Avant Garde" w:hAnsi="ITC Avant Garde"/>
          <w:color w:val="000000"/>
          <w:lang w:eastAsia="es-MX"/>
        </w:rPr>
        <w:t xml:space="preserve">dato alguno que permita a esta autoridad identificar al </w:t>
      </w:r>
      <w:r w:rsidRPr="0034602F">
        <w:rPr>
          <w:rFonts w:ascii="ITC Avant Garde" w:hAnsi="ITC Avant Garde"/>
          <w:b/>
          <w:color w:val="000000"/>
          <w:lang w:eastAsia="es-MX"/>
        </w:rPr>
        <w:t>PRESUNTO RESPONSABLE</w:t>
      </w:r>
      <w:r w:rsidRPr="0034602F">
        <w:rPr>
          <w:rFonts w:ascii="ITC Avant Garde" w:hAnsi="ITC Avant Garde"/>
          <w:color w:val="000000"/>
          <w:lang w:eastAsia="es-MX"/>
        </w:rPr>
        <w:t xml:space="preserve"> no obstante los esfuerzos realizados para obtener dicha información. En consecuencia, esta autoridad </w:t>
      </w:r>
      <w:proofErr w:type="spellStart"/>
      <w:r w:rsidRPr="0034602F">
        <w:rPr>
          <w:rFonts w:ascii="ITC Avant Garde" w:hAnsi="ITC Avant Garde"/>
          <w:color w:val="000000"/>
          <w:lang w:eastAsia="es-MX"/>
        </w:rPr>
        <w:t>resolutora</w:t>
      </w:r>
      <w:proofErr w:type="spellEnd"/>
      <w:r w:rsidRPr="0034602F">
        <w:rPr>
          <w:rFonts w:ascii="ITC Avant Garde" w:hAnsi="ITC Avant Garde"/>
          <w:color w:val="000000"/>
          <w:lang w:eastAsia="es-MX"/>
        </w:rPr>
        <w:t xml:space="preserve"> considera inviable imponer una sanción económica en el presente asunto </w:t>
      </w:r>
      <w:r w:rsidRPr="0034602F">
        <w:rPr>
          <w:rFonts w:ascii="ITC Avant Garde" w:eastAsia="Times New Roman" w:hAnsi="ITC Avant Garde"/>
          <w:bCs/>
          <w:color w:val="000000"/>
          <w:lang w:eastAsia="es-MX"/>
        </w:rPr>
        <w:t xml:space="preserve">ya que no se cuenta con los elementos </w:t>
      </w:r>
      <w:r w:rsidR="00414C50" w:rsidRPr="0034602F">
        <w:rPr>
          <w:rFonts w:ascii="ITC Avant Garde" w:eastAsia="Times New Roman" w:hAnsi="ITC Avant Garde"/>
          <w:bCs/>
          <w:color w:val="000000"/>
          <w:lang w:eastAsia="es-MX"/>
        </w:rPr>
        <w:t xml:space="preserve">necesarios </w:t>
      </w:r>
      <w:r w:rsidRPr="0034602F">
        <w:rPr>
          <w:rFonts w:ascii="ITC Avant Garde" w:eastAsia="Times New Roman" w:hAnsi="ITC Avant Garde"/>
          <w:bCs/>
          <w:color w:val="000000"/>
          <w:lang w:eastAsia="es-MX"/>
        </w:rPr>
        <w:t xml:space="preserve">para individualizar la misma, en términos de los artículos 298 y 299 de la </w:t>
      </w:r>
      <w:proofErr w:type="spellStart"/>
      <w:r w:rsidRPr="0034602F">
        <w:rPr>
          <w:rFonts w:ascii="ITC Avant Garde" w:eastAsia="Times New Roman" w:hAnsi="ITC Avant Garde"/>
          <w:b/>
          <w:bCs/>
          <w:color w:val="000000"/>
          <w:lang w:eastAsia="es-MX"/>
        </w:rPr>
        <w:t>LFTyR</w:t>
      </w:r>
      <w:proofErr w:type="spellEnd"/>
      <w:r w:rsidRPr="0034602F">
        <w:rPr>
          <w:rFonts w:ascii="Times New Roman" w:hAnsi="Times New Roman"/>
          <w:sz w:val="24"/>
          <w:szCs w:val="24"/>
          <w:lang w:eastAsia="es-MX"/>
        </w:rPr>
        <w:t>.</w:t>
      </w:r>
    </w:p>
    <w:p w14:paraId="78C3570D" w14:textId="77777777" w:rsidR="003C5E62" w:rsidRPr="0034602F" w:rsidRDefault="009A7318" w:rsidP="00583167">
      <w:pPr>
        <w:tabs>
          <w:tab w:val="left" w:pos="993"/>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 xml:space="preserve">Aunado a lo anterior, resulta importante señalar que en diversas ocasiones tanto el Servicio de Administración Tributaria como las Secretarías de Finanzas y Administración de algunas Entidades del país, han informado a este Instituto la imposibilidad de hacer efectivo el cobro de aquellas multas en las que no se especifique el nombre de la persona física o la denominación o razón social de aquella a la que haya sido impuesta la referida sanción, haciendo la precisión de que las resoluciones que se emitan en las que se imponga una multa deberán contener los datos que permitan identificar plenamente al sancionado, tales como nombre o razón social, domicilio completo e importe a recuperar y concepto, requisitos que en su integridad resultan indispensables </w:t>
      </w:r>
      <w:r w:rsidRPr="0034602F">
        <w:rPr>
          <w:rFonts w:ascii="ITC Avant Garde" w:eastAsia="Times New Roman" w:hAnsi="ITC Avant Garde"/>
          <w:bCs/>
          <w:color w:val="000000"/>
          <w:lang w:eastAsia="es-MX"/>
        </w:rPr>
        <w:lastRenderedPageBreak/>
        <w:t>para que dichos órganos tributarios estén en aptitud de instaurar el procedimiento administrativo de ejecución.</w:t>
      </w:r>
    </w:p>
    <w:p w14:paraId="17A6401F" w14:textId="77777777" w:rsidR="003C5E62" w:rsidRPr="0034602F" w:rsidRDefault="009A7318" w:rsidP="00583167">
      <w:pPr>
        <w:tabs>
          <w:tab w:val="left" w:pos="993"/>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Lo anterior es consistente con lo previsto en numeral 2.1.1 de la Resolución Miscelánea Fiscal para 2017, publicada en el Diario Oficial de la Federación el veintitrés de diciembre de dos mil dieciséis, que entre otros requisitos establece los relativos al nombre, domicilio y Registro Federal de Contribuyentes del infractor a quien se le ha impuesto la sanción que por su conducto se pretende ejecutar.</w:t>
      </w:r>
    </w:p>
    <w:p w14:paraId="15FD31EA" w14:textId="77777777" w:rsidR="003C5E62" w:rsidRPr="0034602F" w:rsidRDefault="009A7318" w:rsidP="00583167">
      <w:pPr>
        <w:tabs>
          <w:tab w:val="left" w:pos="993"/>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En otro orden de ideas, atendiendo a la naturaleza de la infracción, lo procedente es que en la presente resolución este Instituto</w:t>
      </w:r>
      <w:r w:rsidRPr="0034602F">
        <w:rPr>
          <w:rFonts w:ascii="ITC Avant Garde" w:eastAsia="Times New Roman" w:hAnsi="ITC Avant Garde"/>
          <w:b/>
          <w:bCs/>
          <w:color w:val="000000"/>
          <w:lang w:eastAsia="es-MX"/>
        </w:rPr>
        <w:t xml:space="preserve"> </w:t>
      </w:r>
      <w:r w:rsidRPr="0034602F">
        <w:rPr>
          <w:rFonts w:ascii="ITC Avant Garde" w:eastAsia="Times New Roman" w:hAnsi="ITC Avant Garde"/>
          <w:bCs/>
          <w:color w:val="000000"/>
          <w:lang w:eastAsia="es-MX"/>
        </w:rPr>
        <w:t xml:space="preserve">declare la pérdida de bienes, equipos e instalaciones a favor de la Nación, con lo cual se busca inhibir las conductas que tiendan a hacer uso del espectro radioeléctrico sin que exista un título o documento habilitante para ello. Asimismo cabe indicar que, a diferencia de los artículos 298 y 299, la sanción prevista en el artículo 305 de la </w:t>
      </w:r>
      <w:proofErr w:type="spellStart"/>
      <w:r w:rsidRPr="0034602F">
        <w:rPr>
          <w:rFonts w:ascii="ITC Avant Garde" w:eastAsia="Times New Roman" w:hAnsi="ITC Avant Garde"/>
          <w:b/>
          <w:bCs/>
          <w:color w:val="000000"/>
          <w:lang w:eastAsia="es-MX"/>
        </w:rPr>
        <w:t>LFTyR</w:t>
      </w:r>
      <w:proofErr w:type="spellEnd"/>
      <w:r w:rsidRPr="0034602F">
        <w:rPr>
          <w:rFonts w:ascii="ITC Avant Garde" w:eastAsia="Times New Roman" w:hAnsi="ITC Avant Garde"/>
          <w:bCs/>
          <w:color w:val="000000"/>
          <w:lang w:eastAsia="es-MX"/>
        </w:rPr>
        <w:t xml:space="preserve"> no necesita de elementos para su individualización, pues ésta procede como consecuencia inmediata de la actualización de la hipótesis normativa prevista en ese artículo.</w:t>
      </w:r>
    </w:p>
    <w:p w14:paraId="56DFA1CC" w14:textId="33AC413C" w:rsidR="003C5E62" w:rsidRPr="0034602F" w:rsidRDefault="009A7318" w:rsidP="00583167">
      <w:pPr>
        <w:pStyle w:val="Textoindependiente"/>
        <w:tabs>
          <w:tab w:val="left" w:pos="993"/>
        </w:tabs>
        <w:spacing w:before="240" w:after="240" w:line="360" w:lineRule="auto"/>
        <w:jc w:val="both"/>
        <w:rPr>
          <w:rFonts w:ascii="ITC Avant Garde" w:eastAsia="Times New Roman" w:hAnsi="ITC Avant Garde"/>
          <w:lang w:val="es-ES_tradnl" w:eastAsia="es-MX"/>
        </w:rPr>
      </w:pPr>
      <w:r w:rsidRPr="0034602F">
        <w:rPr>
          <w:rFonts w:ascii="ITC Avant Garde" w:eastAsia="Times New Roman" w:hAnsi="ITC Avant Garde"/>
          <w:bCs/>
          <w:color w:val="000000"/>
          <w:lang w:eastAsia="es-MX"/>
        </w:rPr>
        <w:t xml:space="preserve">Por ello, </w:t>
      </w:r>
      <w:r w:rsidRPr="0034602F">
        <w:rPr>
          <w:rFonts w:ascii="ITC Avant Garde" w:eastAsia="Times New Roman" w:hAnsi="ITC Avant Garde"/>
          <w:lang w:eastAsia="es-MX"/>
        </w:rPr>
        <w:t xml:space="preserve">en virtud de que </w:t>
      </w:r>
      <w:r w:rsidRPr="0034602F">
        <w:rPr>
          <w:rFonts w:ascii="ITC Avant Garde" w:eastAsia="Times New Roman" w:hAnsi="ITC Avant Garde"/>
          <w:bCs/>
          <w:color w:val="000000"/>
          <w:lang w:eastAsia="es-MX"/>
        </w:rPr>
        <w:t>e</w:t>
      </w:r>
      <w:r w:rsidRPr="0034602F">
        <w:rPr>
          <w:rFonts w:ascii="ITC Avant Garde" w:hAnsi="ITC Avant Garde"/>
        </w:rPr>
        <w:t xml:space="preserve">l </w:t>
      </w:r>
      <w:r w:rsidR="00AE1A77" w:rsidRPr="0034602F">
        <w:rPr>
          <w:rFonts w:ascii="ITC Avant Garde" w:hAnsi="ITC Avant Garde"/>
          <w:b/>
          <w:caps/>
        </w:rPr>
        <w:t xml:space="preserve">PROPIETARIO y/o poseedor y/o responsable y/o encargado DEL INMUEBLE Y/O de las instalaciones y equipos de radiodifusión localizados en el inmueble ubicado en </w:t>
      </w:r>
      <w:r w:rsidR="006D6786" w:rsidRPr="006D6786">
        <w:rPr>
          <w:rFonts w:ascii="ITC Avant Garde" w:hAnsi="ITC Avant Garde"/>
          <w:b/>
          <w:caps/>
          <w:color w:val="0000FF"/>
        </w:rPr>
        <w:t>“CONFIDENCIAL POR LEY”</w:t>
      </w:r>
      <w:r w:rsidR="00AE1A77" w:rsidRPr="0034602F">
        <w:rPr>
          <w:rFonts w:ascii="ITC Avant Garde" w:hAnsi="ITC Avant Garde"/>
          <w:b/>
          <w:caps/>
        </w:rPr>
        <w:t>, delegación tlalPan, en la ciudad de méxico, DONDE SE DETECTARON LAS INSTALACIONES DE LA ESTACIÓN DE RADIODIFUSIÓN, OPERANDO LA FRECUENCIA DE 97.3 MH</w:t>
      </w:r>
      <w:r w:rsidR="00AE1A77" w:rsidRPr="0034602F">
        <w:rPr>
          <w:rFonts w:ascii="ITC Avant Garde" w:hAnsi="ITC Avant Garde"/>
          <w:b/>
        </w:rPr>
        <w:t>z</w:t>
      </w:r>
      <w:r w:rsidRPr="0034602F">
        <w:rPr>
          <w:rFonts w:ascii="ITC Avant Garde" w:hAnsi="ITC Avant Garde"/>
          <w:b/>
          <w:caps/>
        </w:rPr>
        <w:t xml:space="preserve">, </w:t>
      </w:r>
      <w:r w:rsidRPr="0034602F">
        <w:rPr>
          <w:rFonts w:ascii="ITC Avant Garde" w:eastAsia="Times New Roman" w:hAnsi="ITC Avant Garde"/>
          <w:lang w:eastAsia="es-MX"/>
        </w:rPr>
        <w:t xml:space="preserve">no cuenta con concesión, permiso o autorización para usar legalmente la frecuencia </w:t>
      </w:r>
      <w:r w:rsidR="00AE1A77" w:rsidRPr="0034602F">
        <w:rPr>
          <w:rFonts w:ascii="ITC Avant Garde" w:hAnsi="ITC Avant Garde"/>
          <w:b/>
        </w:rPr>
        <w:t>97.3</w:t>
      </w:r>
      <w:r w:rsidRPr="0034602F">
        <w:rPr>
          <w:rFonts w:ascii="ITC Avant Garde" w:hAnsi="ITC Avant Garde"/>
          <w:b/>
        </w:rPr>
        <w:t xml:space="preserve"> MHz</w:t>
      </w:r>
      <w:r w:rsidRPr="0034602F">
        <w:rPr>
          <w:rFonts w:ascii="ITC Avant Garde" w:eastAsia="Times New Roman" w:hAnsi="ITC Avant Garde"/>
          <w:b/>
          <w:lang w:eastAsia="es-MX"/>
        </w:rPr>
        <w:t xml:space="preserve">, </w:t>
      </w:r>
      <w:r w:rsidRPr="0034602F">
        <w:rPr>
          <w:rFonts w:ascii="ITC Avant Garde" w:eastAsia="Times New Roman" w:hAnsi="ITC Avant Garde"/>
          <w:lang w:eastAsia="es-MX"/>
        </w:rPr>
        <w:t>y que quedó plenamente acreditado que</w:t>
      </w:r>
      <w:r w:rsidRPr="0034602F">
        <w:rPr>
          <w:rFonts w:ascii="ITC Avant Garde" w:eastAsia="Times New Roman" w:hAnsi="ITC Avant Garde"/>
          <w:bCs/>
          <w:color w:val="000000"/>
          <w:lang w:eastAsia="es-MX"/>
        </w:rPr>
        <w:t xml:space="preserve"> se encontraba prestando un servicio de radiodifusión</w:t>
      </w:r>
      <w:r w:rsidRPr="0034602F">
        <w:rPr>
          <w:rFonts w:ascii="ITC Avant Garde" w:eastAsia="Times New Roman" w:hAnsi="ITC Avant Garde"/>
          <w:lang w:eastAsia="es-MX"/>
        </w:rPr>
        <w:t>, se actualiza la hipótesis normativa prevista expresamente en el artículo 305 de la Ley Federal de Telecomunicaciones y Radiodifusión.</w:t>
      </w:r>
    </w:p>
    <w:p w14:paraId="5D4DE14A" w14:textId="77777777" w:rsidR="003C5E62" w:rsidRPr="0034602F" w:rsidRDefault="009A7318" w:rsidP="00583167">
      <w:pPr>
        <w:pStyle w:val="Textoindependiente"/>
        <w:tabs>
          <w:tab w:val="left" w:pos="993"/>
        </w:tabs>
        <w:spacing w:before="240" w:after="240" w:line="360" w:lineRule="auto"/>
        <w:jc w:val="both"/>
        <w:rPr>
          <w:rFonts w:ascii="ITC Avant Garde" w:eastAsia="Times New Roman" w:hAnsi="ITC Avant Garde"/>
          <w:lang w:eastAsia="es-MX"/>
        </w:rPr>
      </w:pPr>
      <w:r w:rsidRPr="0034602F">
        <w:rPr>
          <w:rFonts w:ascii="ITC Avant Garde" w:eastAsia="Times New Roman" w:hAnsi="ITC Avant Garde"/>
          <w:lang w:eastAsia="es-MX"/>
        </w:rPr>
        <w:t xml:space="preserve">En efecto, el artículo 305 de la </w:t>
      </w:r>
      <w:proofErr w:type="spellStart"/>
      <w:r w:rsidRPr="0034602F">
        <w:rPr>
          <w:rFonts w:ascii="ITC Avant Garde" w:eastAsia="Times New Roman" w:hAnsi="ITC Avant Garde"/>
          <w:b/>
          <w:lang w:eastAsia="es-MX"/>
        </w:rPr>
        <w:t>LFTyR</w:t>
      </w:r>
      <w:proofErr w:type="spellEnd"/>
      <w:r w:rsidRPr="0034602F">
        <w:rPr>
          <w:rFonts w:ascii="ITC Avant Garde" w:eastAsia="Times New Roman" w:hAnsi="ITC Avant Garde"/>
          <w:lang w:eastAsia="es-MX"/>
        </w:rPr>
        <w:t>, expresamente señala:</w:t>
      </w:r>
    </w:p>
    <w:p w14:paraId="34F86AA9" w14:textId="77777777" w:rsidR="006D6786" w:rsidRDefault="009A7318" w:rsidP="00583167">
      <w:pPr>
        <w:pStyle w:val="Textoindependiente"/>
        <w:tabs>
          <w:tab w:val="left" w:pos="851"/>
        </w:tabs>
        <w:spacing w:before="240" w:after="240" w:line="240" w:lineRule="auto"/>
        <w:ind w:left="709" w:right="567"/>
        <w:jc w:val="both"/>
        <w:rPr>
          <w:rFonts w:ascii="ITC Avant Garde" w:hAnsi="ITC Avant Garde"/>
          <w:b/>
          <w:color w:val="000000"/>
          <w:sz w:val="20"/>
          <w:szCs w:val="20"/>
        </w:rPr>
        <w:sectPr w:rsidR="006D6786" w:rsidSect="006345CE">
          <w:headerReference w:type="default" r:id="rId36"/>
          <w:pgSz w:w="12240" w:h="15840"/>
          <w:pgMar w:top="426" w:right="1418" w:bottom="1418" w:left="1418" w:header="709" w:footer="420" w:gutter="0"/>
          <w:cols w:space="708"/>
          <w:docGrid w:linePitch="360"/>
        </w:sectPr>
      </w:pPr>
      <w:r w:rsidRPr="0034602F">
        <w:rPr>
          <w:rFonts w:ascii="ITC Avant Garde" w:hAnsi="ITC Avant Garde"/>
          <w:color w:val="000000"/>
          <w:sz w:val="20"/>
          <w:szCs w:val="20"/>
        </w:rPr>
        <w:t xml:space="preserve">“Artículo 305. </w:t>
      </w:r>
      <w:r w:rsidRPr="0034602F">
        <w:rPr>
          <w:rFonts w:ascii="ITC Avant Garde" w:hAnsi="ITC Avant Garde"/>
          <w:b/>
          <w:color w:val="000000"/>
          <w:sz w:val="20"/>
          <w:szCs w:val="20"/>
          <w:u w:val="single"/>
        </w:rPr>
        <w:t>Las personas</w:t>
      </w:r>
      <w:r w:rsidRPr="0034602F">
        <w:rPr>
          <w:rFonts w:ascii="ITC Avant Garde" w:hAnsi="ITC Avant Garde"/>
          <w:color w:val="000000"/>
          <w:sz w:val="20"/>
          <w:szCs w:val="20"/>
        </w:rPr>
        <w:t xml:space="preserve"> </w:t>
      </w:r>
      <w:r w:rsidRPr="0034602F">
        <w:rPr>
          <w:rFonts w:ascii="ITC Avant Garde" w:hAnsi="ITC Avant Garde"/>
          <w:color w:val="000000"/>
          <w:sz w:val="20"/>
          <w:szCs w:val="20"/>
          <w:u w:val="single"/>
        </w:rPr>
        <w:t xml:space="preserve">que presten servicios </w:t>
      </w:r>
      <w:r w:rsidRPr="0034602F">
        <w:rPr>
          <w:rFonts w:ascii="ITC Avant Garde" w:hAnsi="ITC Avant Garde"/>
          <w:color w:val="000000"/>
          <w:sz w:val="20"/>
          <w:szCs w:val="20"/>
        </w:rPr>
        <w:t xml:space="preserve">de telecomunicaciones o </w:t>
      </w:r>
      <w:r w:rsidRPr="0034602F">
        <w:rPr>
          <w:rFonts w:ascii="ITC Avant Garde" w:hAnsi="ITC Avant Garde"/>
          <w:color w:val="000000"/>
          <w:sz w:val="20"/>
          <w:szCs w:val="20"/>
          <w:u w:val="single"/>
        </w:rPr>
        <w:t>de radiodifusión</w:t>
      </w:r>
      <w:r w:rsidRPr="0034602F">
        <w:rPr>
          <w:rFonts w:ascii="ITC Avant Garde" w:hAnsi="ITC Avant Garde"/>
          <w:color w:val="000000"/>
          <w:sz w:val="20"/>
          <w:szCs w:val="20"/>
        </w:rPr>
        <w:t xml:space="preserve">, sin contar con concesión o autorización, o </w:t>
      </w:r>
      <w:r w:rsidRPr="0034602F">
        <w:rPr>
          <w:rFonts w:ascii="ITC Avant Garde" w:hAnsi="ITC Avant Garde"/>
          <w:b/>
          <w:color w:val="000000"/>
          <w:sz w:val="20"/>
          <w:szCs w:val="20"/>
        </w:rPr>
        <w:t xml:space="preserve">que por cualquier otro </w:t>
      </w:r>
    </w:p>
    <w:p w14:paraId="21E296B1" w14:textId="6B4AF07A" w:rsidR="003C5E62" w:rsidRPr="0034602F" w:rsidRDefault="009A7318" w:rsidP="00583167">
      <w:pPr>
        <w:pStyle w:val="Textoindependiente"/>
        <w:tabs>
          <w:tab w:val="left" w:pos="851"/>
        </w:tabs>
        <w:spacing w:before="240" w:after="240" w:line="240" w:lineRule="auto"/>
        <w:ind w:left="709" w:right="567"/>
        <w:jc w:val="both"/>
        <w:rPr>
          <w:rFonts w:ascii="ITC Avant Garde" w:hAnsi="ITC Avant Garde"/>
          <w:color w:val="000000"/>
          <w:sz w:val="20"/>
          <w:szCs w:val="20"/>
        </w:rPr>
      </w:pPr>
      <w:proofErr w:type="gramStart"/>
      <w:r w:rsidRPr="0034602F">
        <w:rPr>
          <w:rFonts w:ascii="ITC Avant Garde" w:hAnsi="ITC Avant Garde"/>
          <w:b/>
          <w:color w:val="000000"/>
          <w:sz w:val="20"/>
          <w:szCs w:val="20"/>
        </w:rPr>
        <w:lastRenderedPageBreak/>
        <w:t>medio</w:t>
      </w:r>
      <w:proofErr w:type="gramEnd"/>
      <w:r w:rsidRPr="0034602F">
        <w:rPr>
          <w:rFonts w:ascii="ITC Avant Garde" w:hAnsi="ITC Avant Garde"/>
          <w:b/>
          <w:color w:val="000000"/>
          <w:sz w:val="20"/>
          <w:szCs w:val="20"/>
        </w:rPr>
        <w:t xml:space="preserve"> invadan u obstruyan las vías generales de comunicación, </w:t>
      </w:r>
      <w:r w:rsidRPr="0034602F">
        <w:rPr>
          <w:rFonts w:ascii="ITC Avant Garde" w:hAnsi="ITC Avant Garde"/>
          <w:b/>
          <w:color w:val="000000"/>
          <w:sz w:val="20"/>
          <w:szCs w:val="20"/>
          <w:u w:val="single"/>
        </w:rPr>
        <w:t>perderán en beneficio de la Nación los bienes, instalaciones y equipos empleados en la comisión de dichas infracciones.</w:t>
      </w:r>
      <w:r w:rsidRPr="0034602F">
        <w:rPr>
          <w:rFonts w:ascii="ITC Avant Garde" w:hAnsi="ITC Avant Garde"/>
          <w:b/>
          <w:color w:val="000000"/>
          <w:sz w:val="20"/>
          <w:szCs w:val="20"/>
        </w:rPr>
        <w:t>”</w:t>
      </w:r>
    </w:p>
    <w:p w14:paraId="61556DE3" w14:textId="0FC8B55E" w:rsidR="009A7318" w:rsidRPr="0034602F" w:rsidRDefault="009A7318" w:rsidP="00583167">
      <w:pPr>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lang w:eastAsia="es-MX"/>
        </w:rPr>
        <w:t>En tal virtud, procede declarar la pérdida en beneficio de la Nación de los bienes, instalaciones y equipos empleados en la comisión de dicha infracción por</w:t>
      </w:r>
      <w:r w:rsidRPr="0034602F">
        <w:rPr>
          <w:rFonts w:ascii="ITC Avant Garde" w:hAnsi="ITC Avant Garde"/>
          <w:b/>
        </w:rPr>
        <w:t xml:space="preserve"> el </w:t>
      </w:r>
      <w:r w:rsidRPr="0034602F">
        <w:rPr>
          <w:rFonts w:ascii="ITC Avant Garde" w:hAnsi="ITC Avant Garde" w:cs="Arial"/>
          <w:b/>
        </w:rPr>
        <w:t xml:space="preserve">propietario y/o poseedor, y/o responsable, y/o encargado de las instalaciones y equipos de radiodifusión operando la frecuencia </w:t>
      </w:r>
      <w:r w:rsidR="00AE1A77" w:rsidRPr="0034602F">
        <w:rPr>
          <w:rFonts w:ascii="ITC Avant Garde" w:hAnsi="ITC Avant Garde"/>
          <w:b/>
        </w:rPr>
        <w:t>97.3</w:t>
      </w:r>
      <w:r w:rsidRPr="0034602F">
        <w:rPr>
          <w:rFonts w:ascii="ITC Avant Garde" w:hAnsi="ITC Avant Garde"/>
          <w:b/>
        </w:rPr>
        <w:t xml:space="preserve"> MHz</w:t>
      </w:r>
      <w:r w:rsidRPr="0034602F">
        <w:rPr>
          <w:rFonts w:ascii="ITC Avant Garde" w:hAnsi="ITC Avant Garde" w:cs="Arial"/>
          <w:b/>
        </w:rPr>
        <w:t xml:space="preserve">, </w:t>
      </w:r>
      <w:r w:rsidRPr="0034602F">
        <w:rPr>
          <w:rFonts w:ascii="ITC Avant Garde" w:eastAsia="Times New Roman" w:hAnsi="ITC Avant Garde"/>
          <w:bCs/>
          <w:color w:val="000000"/>
          <w:lang w:eastAsia="es-MX"/>
        </w:rPr>
        <w:t>consistentes en:</w:t>
      </w:r>
    </w:p>
    <w:tbl>
      <w:tblPr>
        <w:tblStyle w:val="Tablaconcuadrcula6"/>
        <w:tblW w:w="5000" w:type="pct"/>
        <w:tblLook w:val="04A0" w:firstRow="1" w:lastRow="0" w:firstColumn="1" w:lastColumn="0" w:noHBand="0" w:noVBand="1"/>
        <w:tblCaption w:val="Equipos Asegurados"/>
        <w:tblDescription w:val="Esta tabla muestra los equipos asegurados a favor de la Nación."/>
      </w:tblPr>
      <w:tblGrid>
        <w:gridCol w:w="2023"/>
        <w:gridCol w:w="1762"/>
        <w:gridCol w:w="1789"/>
        <w:gridCol w:w="1798"/>
        <w:gridCol w:w="2022"/>
      </w:tblGrid>
      <w:tr w:rsidR="00AE1A77" w:rsidRPr="0034602F" w14:paraId="3F47A842" w14:textId="77777777" w:rsidTr="004F1BD1">
        <w:trPr>
          <w:tblHeader/>
        </w:trPr>
        <w:tc>
          <w:tcPr>
            <w:tcW w:w="1077" w:type="pct"/>
            <w:shd w:val="clear" w:color="auto" w:fill="767171" w:themeFill="background2" w:themeFillShade="80"/>
            <w:hideMark/>
          </w:tcPr>
          <w:p w14:paraId="7F2889DA" w14:textId="77777777" w:rsidR="00AE1A77" w:rsidRPr="0034602F" w:rsidRDefault="00AE1A77" w:rsidP="006D6786">
            <w:pPr>
              <w:spacing w:after="0"/>
              <w:jc w:val="center"/>
              <w:rPr>
                <w:rFonts w:ascii="ITC Avant Garde" w:hAnsi="ITC Avant Garde" w:cs="Arial"/>
                <w:b/>
                <w:sz w:val="18"/>
                <w:szCs w:val="18"/>
              </w:rPr>
            </w:pPr>
            <w:r w:rsidRPr="0034602F">
              <w:rPr>
                <w:rFonts w:ascii="ITC Avant Garde" w:hAnsi="ITC Avant Garde" w:cs="Arial"/>
                <w:b/>
                <w:sz w:val="18"/>
                <w:szCs w:val="18"/>
              </w:rPr>
              <w:t>Equipo</w:t>
            </w:r>
          </w:p>
        </w:tc>
        <w:tc>
          <w:tcPr>
            <w:tcW w:w="938" w:type="pct"/>
            <w:shd w:val="clear" w:color="auto" w:fill="767171" w:themeFill="background2" w:themeFillShade="80"/>
            <w:hideMark/>
          </w:tcPr>
          <w:p w14:paraId="513D5FC3" w14:textId="77777777" w:rsidR="00AE1A77" w:rsidRPr="0034602F" w:rsidRDefault="00AE1A77" w:rsidP="006D6786">
            <w:pPr>
              <w:spacing w:after="0"/>
              <w:jc w:val="center"/>
              <w:rPr>
                <w:rFonts w:ascii="ITC Avant Garde" w:hAnsi="ITC Avant Garde" w:cs="Arial"/>
                <w:b/>
                <w:sz w:val="18"/>
                <w:szCs w:val="18"/>
              </w:rPr>
            </w:pPr>
            <w:r w:rsidRPr="0034602F">
              <w:rPr>
                <w:rFonts w:ascii="ITC Avant Garde" w:hAnsi="ITC Avant Garde" w:cs="Arial"/>
                <w:b/>
                <w:sz w:val="18"/>
                <w:szCs w:val="18"/>
              </w:rPr>
              <w:t>Marca</w:t>
            </w:r>
          </w:p>
        </w:tc>
        <w:tc>
          <w:tcPr>
            <w:tcW w:w="952" w:type="pct"/>
            <w:shd w:val="clear" w:color="auto" w:fill="767171" w:themeFill="background2" w:themeFillShade="80"/>
            <w:hideMark/>
          </w:tcPr>
          <w:p w14:paraId="3A8FA783" w14:textId="77777777" w:rsidR="00AE1A77" w:rsidRPr="0034602F" w:rsidRDefault="00AE1A77" w:rsidP="006D6786">
            <w:pPr>
              <w:spacing w:after="0"/>
              <w:jc w:val="center"/>
              <w:rPr>
                <w:rFonts w:ascii="ITC Avant Garde" w:hAnsi="ITC Avant Garde" w:cs="Arial"/>
                <w:b/>
                <w:sz w:val="18"/>
                <w:szCs w:val="18"/>
              </w:rPr>
            </w:pPr>
            <w:r w:rsidRPr="0034602F">
              <w:rPr>
                <w:rFonts w:ascii="ITC Avant Garde" w:hAnsi="ITC Avant Garde" w:cs="Arial"/>
                <w:b/>
                <w:sz w:val="18"/>
                <w:szCs w:val="18"/>
              </w:rPr>
              <w:t>Modelo</w:t>
            </w:r>
          </w:p>
        </w:tc>
        <w:tc>
          <w:tcPr>
            <w:tcW w:w="957" w:type="pct"/>
            <w:shd w:val="clear" w:color="auto" w:fill="767171" w:themeFill="background2" w:themeFillShade="80"/>
            <w:hideMark/>
          </w:tcPr>
          <w:p w14:paraId="341A271B" w14:textId="77777777" w:rsidR="00AE1A77" w:rsidRPr="0034602F" w:rsidRDefault="00AE1A77" w:rsidP="006D6786">
            <w:pPr>
              <w:spacing w:after="0"/>
              <w:jc w:val="center"/>
              <w:rPr>
                <w:rFonts w:ascii="ITC Avant Garde" w:hAnsi="ITC Avant Garde" w:cs="Arial"/>
                <w:b/>
                <w:sz w:val="18"/>
                <w:szCs w:val="18"/>
              </w:rPr>
            </w:pPr>
            <w:r w:rsidRPr="0034602F">
              <w:rPr>
                <w:rFonts w:ascii="ITC Avant Garde" w:hAnsi="ITC Avant Garde" w:cs="Arial"/>
                <w:b/>
                <w:sz w:val="18"/>
                <w:szCs w:val="18"/>
              </w:rPr>
              <w:t>Número de Serie</w:t>
            </w:r>
          </w:p>
        </w:tc>
        <w:tc>
          <w:tcPr>
            <w:tcW w:w="1076" w:type="pct"/>
            <w:shd w:val="clear" w:color="auto" w:fill="767171" w:themeFill="background2" w:themeFillShade="80"/>
            <w:hideMark/>
          </w:tcPr>
          <w:p w14:paraId="6A5AFA77" w14:textId="77777777" w:rsidR="00AE1A77" w:rsidRPr="0034602F" w:rsidRDefault="00AE1A77" w:rsidP="006D6786">
            <w:pPr>
              <w:spacing w:after="0"/>
              <w:jc w:val="center"/>
              <w:rPr>
                <w:rFonts w:ascii="ITC Avant Garde" w:hAnsi="ITC Avant Garde" w:cs="Arial"/>
                <w:b/>
                <w:sz w:val="18"/>
                <w:szCs w:val="18"/>
              </w:rPr>
            </w:pPr>
            <w:r w:rsidRPr="0034602F">
              <w:rPr>
                <w:rFonts w:ascii="ITC Avant Garde" w:hAnsi="ITC Avant Garde" w:cs="Arial"/>
                <w:b/>
                <w:sz w:val="18"/>
                <w:szCs w:val="18"/>
              </w:rPr>
              <w:t>Sello de aseguramiento</w:t>
            </w:r>
          </w:p>
        </w:tc>
      </w:tr>
      <w:tr w:rsidR="006D6786" w:rsidRPr="0034602F" w14:paraId="4C6BD3DC" w14:textId="77777777" w:rsidTr="004F1BD1">
        <w:trPr>
          <w:tblHeader/>
        </w:trPr>
        <w:tc>
          <w:tcPr>
            <w:tcW w:w="1077" w:type="pct"/>
            <w:hideMark/>
          </w:tcPr>
          <w:p w14:paraId="3B0EBD93" w14:textId="77777777" w:rsidR="006D6786" w:rsidRPr="0034602F" w:rsidRDefault="006D6786" w:rsidP="006D6786">
            <w:pPr>
              <w:spacing w:after="0"/>
              <w:jc w:val="both"/>
              <w:rPr>
                <w:rFonts w:ascii="ITC Avant Garde" w:hAnsi="ITC Avant Garde" w:cs="Arial"/>
                <w:sz w:val="18"/>
                <w:szCs w:val="18"/>
              </w:rPr>
            </w:pPr>
            <w:r w:rsidRPr="0034602F">
              <w:rPr>
                <w:rFonts w:ascii="ITC Avant Garde" w:hAnsi="ITC Avant Garde" w:cs="Arial"/>
                <w:sz w:val="18"/>
                <w:szCs w:val="18"/>
              </w:rPr>
              <w:t>Transmisor</w:t>
            </w:r>
          </w:p>
        </w:tc>
        <w:tc>
          <w:tcPr>
            <w:tcW w:w="938" w:type="pct"/>
            <w:hideMark/>
          </w:tcPr>
          <w:p w14:paraId="3F8B82D3" w14:textId="7B01B6F4" w:rsidR="006D6786" w:rsidRPr="0034602F" w:rsidRDefault="006D6786" w:rsidP="006D6786">
            <w:pPr>
              <w:spacing w:after="0"/>
              <w:jc w:val="center"/>
              <w:rPr>
                <w:rFonts w:ascii="ITC Avant Garde" w:hAnsi="ITC Avant Garde" w:cs="Arial"/>
                <w:sz w:val="18"/>
                <w:szCs w:val="18"/>
              </w:rPr>
            </w:pPr>
            <w:r>
              <w:rPr>
                <w:rFonts w:ascii="ITC Avant Garde" w:hAnsi="ITC Avant Garde" w:cs="Arial"/>
                <w:sz w:val="18"/>
                <w:szCs w:val="18"/>
              </w:rPr>
              <w:t>No contiene</w:t>
            </w:r>
          </w:p>
        </w:tc>
        <w:tc>
          <w:tcPr>
            <w:tcW w:w="952" w:type="pct"/>
            <w:hideMark/>
          </w:tcPr>
          <w:p w14:paraId="6626AAFF" w14:textId="7D71C3CA" w:rsidR="006D6786" w:rsidRPr="0034602F" w:rsidRDefault="006D6786" w:rsidP="006D6786">
            <w:pPr>
              <w:spacing w:after="0"/>
              <w:rPr>
                <w:rFonts w:ascii="ITC Avant Garde" w:hAnsi="ITC Avant Garde" w:cs="Arial"/>
                <w:sz w:val="18"/>
                <w:szCs w:val="18"/>
              </w:rPr>
            </w:pPr>
            <w:r w:rsidRPr="008F75C6">
              <w:rPr>
                <w:rFonts w:ascii="ITC Avant Garde" w:hAnsi="ITC Avant Garde" w:cs="Arial"/>
                <w:sz w:val="18"/>
                <w:szCs w:val="18"/>
              </w:rPr>
              <w:t>No contiene</w:t>
            </w:r>
          </w:p>
        </w:tc>
        <w:tc>
          <w:tcPr>
            <w:tcW w:w="957" w:type="pct"/>
            <w:hideMark/>
          </w:tcPr>
          <w:p w14:paraId="747AEA60" w14:textId="3CC26B8D" w:rsidR="006D6786" w:rsidRPr="0034602F" w:rsidRDefault="006D6786" w:rsidP="006D6786">
            <w:pPr>
              <w:spacing w:after="0"/>
              <w:jc w:val="both"/>
              <w:rPr>
                <w:rFonts w:ascii="ITC Avant Garde" w:hAnsi="ITC Avant Garde" w:cs="Arial"/>
                <w:sz w:val="18"/>
                <w:szCs w:val="18"/>
              </w:rPr>
            </w:pPr>
            <w:r w:rsidRPr="008F75C6">
              <w:rPr>
                <w:rFonts w:ascii="ITC Avant Garde" w:hAnsi="ITC Avant Garde" w:cs="Arial"/>
                <w:sz w:val="18"/>
                <w:szCs w:val="18"/>
              </w:rPr>
              <w:t>No contiene</w:t>
            </w:r>
          </w:p>
        </w:tc>
        <w:tc>
          <w:tcPr>
            <w:tcW w:w="1076" w:type="pct"/>
            <w:hideMark/>
          </w:tcPr>
          <w:p w14:paraId="2A7E5ABD" w14:textId="77777777" w:rsidR="006D6786" w:rsidRPr="0034602F" w:rsidRDefault="006D6786" w:rsidP="006D6786">
            <w:pPr>
              <w:spacing w:after="0"/>
              <w:jc w:val="center"/>
              <w:rPr>
                <w:rFonts w:ascii="ITC Avant Garde" w:hAnsi="ITC Avant Garde" w:cs="Arial"/>
                <w:sz w:val="18"/>
                <w:szCs w:val="18"/>
              </w:rPr>
            </w:pPr>
            <w:r w:rsidRPr="0034602F">
              <w:rPr>
                <w:rFonts w:ascii="ITC Avant Garde" w:hAnsi="ITC Avant Garde" w:cs="Arial"/>
                <w:sz w:val="18"/>
                <w:szCs w:val="18"/>
              </w:rPr>
              <w:t>015-16</w:t>
            </w:r>
          </w:p>
        </w:tc>
      </w:tr>
      <w:tr w:rsidR="006D6786" w:rsidRPr="0034602F" w14:paraId="1A212CD1" w14:textId="77777777" w:rsidTr="004F1BD1">
        <w:trPr>
          <w:tblHeader/>
        </w:trPr>
        <w:tc>
          <w:tcPr>
            <w:tcW w:w="1077" w:type="pct"/>
            <w:hideMark/>
          </w:tcPr>
          <w:p w14:paraId="5FAB7889" w14:textId="77777777" w:rsidR="006D6786" w:rsidRPr="0034602F" w:rsidRDefault="006D6786" w:rsidP="006D6786">
            <w:pPr>
              <w:spacing w:after="0"/>
              <w:jc w:val="both"/>
              <w:rPr>
                <w:rFonts w:ascii="ITC Avant Garde" w:hAnsi="ITC Avant Garde" w:cs="Arial"/>
                <w:sz w:val="18"/>
                <w:szCs w:val="18"/>
              </w:rPr>
            </w:pPr>
            <w:r w:rsidRPr="0034602F">
              <w:rPr>
                <w:rFonts w:ascii="ITC Avant Garde" w:hAnsi="ITC Avant Garde" w:cs="Arial"/>
                <w:sz w:val="18"/>
                <w:szCs w:val="18"/>
              </w:rPr>
              <w:t>CPU armado</w:t>
            </w:r>
          </w:p>
        </w:tc>
        <w:tc>
          <w:tcPr>
            <w:tcW w:w="938" w:type="pct"/>
            <w:hideMark/>
          </w:tcPr>
          <w:p w14:paraId="503C02E6" w14:textId="67B162D8" w:rsidR="006D6786" w:rsidRPr="0034602F" w:rsidRDefault="006D6786" w:rsidP="006D6786">
            <w:pPr>
              <w:spacing w:after="0"/>
              <w:jc w:val="center"/>
              <w:rPr>
                <w:rFonts w:ascii="ITC Avant Garde" w:hAnsi="ITC Avant Garde" w:cs="Arial"/>
                <w:sz w:val="18"/>
                <w:szCs w:val="18"/>
              </w:rPr>
            </w:pPr>
            <w:r w:rsidRPr="00170A72">
              <w:rPr>
                <w:rFonts w:ascii="ITC Avant Garde" w:hAnsi="ITC Avant Garde" w:cs="Arial"/>
                <w:sz w:val="18"/>
                <w:szCs w:val="18"/>
              </w:rPr>
              <w:t>No contiene</w:t>
            </w:r>
          </w:p>
        </w:tc>
        <w:tc>
          <w:tcPr>
            <w:tcW w:w="952" w:type="pct"/>
            <w:hideMark/>
          </w:tcPr>
          <w:p w14:paraId="2948174F" w14:textId="5CEFA8FF" w:rsidR="006D6786" w:rsidRPr="0034602F" w:rsidRDefault="006D6786" w:rsidP="006D6786">
            <w:pPr>
              <w:spacing w:after="0"/>
              <w:rPr>
                <w:rFonts w:ascii="ITC Avant Garde" w:hAnsi="ITC Avant Garde" w:cs="Arial"/>
                <w:sz w:val="18"/>
                <w:szCs w:val="18"/>
              </w:rPr>
            </w:pPr>
            <w:r w:rsidRPr="008F75C6">
              <w:rPr>
                <w:rFonts w:ascii="ITC Avant Garde" w:hAnsi="ITC Avant Garde" w:cs="Arial"/>
                <w:sz w:val="18"/>
                <w:szCs w:val="18"/>
              </w:rPr>
              <w:t>No contiene</w:t>
            </w:r>
          </w:p>
        </w:tc>
        <w:tc>
          <w:tcPr>
            <w:tcW w:w="957" w:type="pct"/>
            <w:hideMark/>
          </w:tcPr>
          <w:p w14:paraId="4DB2FECD" w14:textId="12997D25" w:rsidR="006D6786" w:rsidRPr="0034602F" w:rsidRDefault="006D6786" w:rsidP="006D6786">
            <w:pPr>
              <w:spacing w:after="0"/>
              <w:jc w:val="both"/>
              <w:rPr>
                <w:rFonts w:ascii="ITC Avant Garde" w:hAnsi="ITC Avant Garde" w:cs="Arial"/>
                <w:sz w:val="18"/>
                <w:szCs w:val="18"/>
              </w:rPr>
            </w:pPr>
            <w:r w:rsidRPr="008F75C6">
              <w:rPr>
                <w:rFonts w:ascii="ITC Avant Garde" w:hAnsi="ITC Avant Garde" w:cs="Arial"/>
                <w:sz w:val="18"/>
                <w:szCs w:val="18"/>
              </w:rPr>
              <w:t>No contiene</w:t>
            </w:r>
          </w:p>
        </w:tc>
        <w:tc>
          <w:tcPr>
            <w:tcW w:w="1076" w:type="pct"/>
            <w:hideMark/>
          </w:tcPr>
          <w:p w14:paraId="66E5D4CA" w14:textId="77777777" w:rsidR="006D6786" w:rsidRPr="0034602F" w:rsidRDefault="006D6786" w:rsidP="006D6786">
            <w:pPr>
              <w:spacing w:after="0"/>
              <w:jc w:val="center"/>
              <w:rPr>
                <w:rFonts w:ascii="ITC Avant Garde" w:hAnsi="ITC Avant Garde" w:cs="Arial"/>
                <w:sz w:val="18"/>
                <w:szCs w:val="18"/>
              </w:rPr>
            </w:pPr>
            <w:r w:rsidRPr="0034602F">
              <w:rPr>
                <w:rFonts w:ascii="ITC Avant Garde" w:hAnsi="ITC Avant Garde" w:cs="Arial"/>
                <w:sz w:val="18"/>
                <w:szCs w:val="18"/>
              </w:rPr>
              <w:t>055-16</w:t>
            </w:r>
          </w:p>
        </w:tc>
      </w:tr>
      <w:tr w:rsidR="006D6786" w:rsidRPr="0034602F" w14:paraId="68AADCBB" w14:textId="77777777" w:rsidTr="004F1BD1">
        <w:trPr>
          <w:tblHeader/>
        </w:trPr>
        <w:tc>
          <w:tcPr>
            <w:tcW w:w="1077" w:type="pct"/>
            <w:hideMark/>
          </w:tcPr>
          <w:p w14:paraId="05C102D4" w14:textId="77777777" w:rsidR="006D6786" w:rsidRPr="0034602F" w:rsidRDefault="006D6786" w:rsidP="006D6786">
            <w:pPr>
              <w:spacing w:after="0"/>
              <w:jc w:val="both"/>
              <w:rPr>
                <w:rFonts w:ascii="ITC Avant Garde" w:hAnsi="ITC Avant Garde" w:cs="Arial"/>
                <w:sz w:val="18"/>
                <w:szCs w:val="18"/>
              </w:rPr>
            </w:pPr>
            <w:r w:rsidRPr="0034602F">
              <w:rPr>
                <w:rFonts w:ascii="ITC Avant Garde" w:hAnsi="ITC Avant Garde" w:cs="Arial"/>
                <w:sz w:val="18"/>
                <w:szCs w:val="18"/>
              </w:rPr>
              <w:t>Antena omnidireccional</w:t>
            </w:r>
          </w:p>
        </w:tc>
        <w:tc>
          <w:tcPr>
            <w:tcW w:w="938" w:type="pct"/>
            <w:hideMark/>
          </w:tcPr>
          <w:p w14:paraId="58963BA2" w14:textId="30337E54" w:rsidR="006D6786" w:rsidRPr="0034602F" w:rsidRDefault="006D6786" w:rsidP="006D6786">
            <w:pPr>
              <w:spacing w:after="0"/>
              <w:jc w:val="center"/>
              <w:rPr>
                <w:rFonts w:ascii="ITC Avant Garde" w:hAnsi="ITC Avant Garde" w:cs="Arial"/>
                <w:sz w:val="18"/>
                <w:szCs w:val="18"/>
              </w:rPr>
            </w:pPr>
            <w:r w:rsidRPr="00170A72">
              <w:rPr>
                <w:rFonts w:ascii="ITC Avant Garde" w:hAnsi="ITC Avant Garde" w:cs="Arial"/>
                <w:sz w:val="18"/>
                <w:szCs w:val="18"/>
              </w:rPr>
              <w:t>No contiene</w:t>
            </w:r>
          </w:p>
        </w:tc>
        <w:tc>
          <w:tcPr>
            <w:tcW w:w="952" w:type="pct"/>
            <w:hideMark/>
          </w:tcPr>
          <w:p w14:paraId="167A8DAC" w14:textId="51726427" w:rsidR="006D6786" w:rsidRPr="0034602F" w:rsidRDefault="006D6786" w:rsidP="006D6786">
            <w:pPr>
              <w:spacing w:after="0"/>
              <w:rPr>
                <w:rFonts w:ascii="ITC Avant Garde" w:hAnsi="ITC Avant Garde" w:cs="Arial"/>
                <w:sz w:val="18"/>
                <w:szCs w:val="18"/>
              </w:rPr>
            </w:pPr>
            <w:r w:rsidRPr="008F75C6">
              <w:rPr>
                <w:rFonts w:ascii="ITC Avant Garde" w:hAnsi="ITC Avant Garde" w:cs="Arial"/>
                <w:sz w:val="18"/>
                <w:szCs w:val="18"/>
              </w:rPr>
              <w:t>No contiene</w:t>
            </w:r>
          </w:p>
        </w:tc>
        <w:tc>
          <w:tcPr>
            <w:tcW w:w="957" w:type="pct"/>
            <w:hideMark/>
          </w:tcPr>
          <w:p w14:paraId="7699AE76" w14:textId="56A25F17" w:rsidR="006D6786" w:rsidRPr="0034602F" w:rsidRDefault="006D6786" w:rsidP="006D6786">
            <w:pPr>
              <w:spacing w:after="0"/>
              <w:jc w:val="both"/>
              <w:rPr>
                <w:rFonts w:ascii="ITC Avant Garde" w:hAnsi="ITC Avant Garde" w:cs="Arial"/>
                <w:sz w:val="18"/>
                <w:szCs w:val="18"/>
              </w:rPr>
            </w:pPr>
            <w:r w:rsidRPr="008F75C6">
              <w:rPr>
                <w:rFonts w:ascii="ITC Avant Garde" w:hAnsi="ITC Avant Garde" w:cs="Arial"/>
                <w:sz w:val="18"/>
                <w:szCs w:val="18"/>
              </w:rPr>
              <w:t>No contiene</w:t>
            </w:r>
          </w:p>
        </w:tc>
        <w:tc>
          <w:tcPr>
            <w:tcW w:w="1076" w:type="pct"/>
            <w:hideMark/>
          </w:tcPr>
          <w:p w14:paraId="00C6E0CE" w14:textId="77777777" w:rsidR="006D6786" w:rsidRPr="0034602F" w:rsidRDefault="006D6786" w:rsidP="006D6786">
            <w:pPr>
              <w:spacing w:after="0"/>
              <w:jc w:val="center"/>
              <w:rPr>
                <w:rFonts w:ascii="ITC Avant Garde" w:hAnsi="ITC Avant Garde" w:cs="Arial"/>
                <w:sz w:val="18"/>
                <w:szCs w:val="18"/>
              </w:rPr>
            </w:pPr>
            <w:r w:rsidRPr="0034602F">
              <w:rPr>
                <w:rFonts w:ascii="ITC Avant Garde" w:hAnsi="ITC Avant Garde" w:cs="Arial"/>
                <w:sz w:val="18"/>
                <w:szCs w:val="18"/>
              </w:rPr>
              <w:t>056-16</w:t>
            </w:r>
          </w:p>
        </w:tc>
      </w:tr>
    </w:tbl>
    <w:p w14:paraId="18B41CE6" w14:textId="77777777" w:rsidR="003C5E62" w:rsidRPr="0034602F" w:rsidRDefault="009A7318" w:rsidP="00583167">
      <w:pPr>
        <w:pStyle w:val="Textoindependiente"/>
        <w:tabs>
          <w:tab w:val="left" w:pos="993"/>
        </w:tabs>
        <w:spacing w:before="240" w:after="240" w:line="360" w:lineRule="auto"/>
        <w:jc w:val="both"/>
        <w:rPr>
          <w:rFonts w:ascii="ITC Avant Garde" w:eastAsia="Times New Roman" w:hAnsi="ITC Avant Garde"/>
          <w:lang w:eastAsia="es-MX"/>
        </w:rPr>
      </w:pPr>
      <w:r w:rsidRPr="0034602F">
        <w:rPr>
          <w:rFonts w:ascii="ITC Avant Garde" w:hAnsi="ITC Avant Garde"/>
        </w:rPr>
        <w:t>L</w:t>
      </w:r>
      <w:r w:rsidRPr="0034602F">
        <w:rPr>
          <w:rFonts w:ascii="ITC Avant Garde" w:eastAsia="Times New Roman" w:hAnsi="ITC Avant Garde"/>
          <w:lang w:eastAsia="es-MX"/>
        </w:rPr>
        <w:t xml:space="preserve">os cuales están debidamente identificados en el </w:t>
      </w:r>
      <w:r w:rsidRPr="0034602F">
        <w:rPr>
          <w:rFonts w:ascii="ITC Avant Garde" w:eastAsia="Times New Roman" w:hAnsi="ITC Avant Garde"/>
          <w:b/>
          <w:lang w:eastAsia="es-MX"/>
        </w:rPr>
        <w:t xml:space="preserve">acta de verificación ordinaria </w:t>
      </w:r>
      <w:r w:rsidRPr="0034602F">
        <w:rPr>
          <w:rFonts w:ascii="ITC Avant Garde" w:eastAsia="Times New Roman" w:hAnsi="ITC Avant Garde"/>
          <w:lang w:eastAsia="es-MX"/>
        </w:rPr>
        <w:t>número</w:t>
      </w:r>
      <w:r w:rsidRPr="0034602F">
        <w:rPr>
          <w:rFonts w:ascii="ITC Avant Garde" w:eastAsia="Times New Roman" w:hAnsi="ITC Avant Garde"/>
          <w:b/>
          <w:lang w:eastAsia="es-MX"/>
        </w:rPr>
        <w:t xml:space="preserve"> </w:t>
      </w:r>
      <w:r w:rsidRPr="0034602F">
        <w:rPr>
          <w:rFonts w:ascii="ITC Avant Garde" w:hAnsi="ITC Avant Garde"/>
          <w:b/>
        </w:rPr>
        <w:t>IFT/UC/DGV/3</w:t>
      </w:r>
      <w:r w:rsidR="00E8634B" w:rsidRPr="0034602F">
        <w:rPr>
          <w:rFonts w:ascii="ITC Avant Garde" w:hAnsi="ITC Avant Garde"/>
          <w:b/>
        </w:rPr>
        <w:t>5</w:t>
      </w:r>
      <w:r w:rsidRPr="0034602F">
        <w:rPr>
          <w:rFonts w:ascii="ITC Avant Garde" w:hAnsi="ITC Avant Garde"/>
          <w:b/>
        </w:rPr>
        <w:t>2/2016</w:t>
      </w:r>
      <w:r w:rsidRPr="0034602F">
        <w:rPr>
          <w:rFonts w:ascii="ITC Avant Garde" w:eastAsia="Times New Roman" w:hAnsi="ITC Avant Garde"/>
          <w:lang w:eastAsia="es-MX"/>
        </w:rPr>
        <w:t>, habiendo designando como</w:t>
      </w:r>
      <w:r w:rsidRPr="0034602F">
        <w:rPr>
          <w:rFonts w:ascii="ITC Avant Garde" w:hAnsi="ITC Avant Garde"/>
        </w:rPr>
        <w:t xml:space="preserve"> interventor especial (depositario) a </w:t>
      </w:r>
      <w:r w:rsidRPr="0034602F">
        <w:rPr>
          <w:rFonts w:ascii="ITC Avant Garde" w:hAnsi="ITC Avant Garde"/>
          <w:b/>
        </w:rPr>
        <w:t xml:space="preserve">Raúl Leonel </w:t>
      </w:r>
      <w:proofErr w:type="spellStart"/>
      <w:r w:rsidRPr="0034602F">
        <w:rPr>
          <w:rFonts w:ascii="ITC Avant Garde" w:hAnsi="ITC Avant Garde"/>
          <w:b/>
        </w:rPr>
        <w:t>Mulhia</w:t>
      </w:r>
      <w:proofErr w:type="spellEnd"/>
      <w:r w:rsidRPr="0034602F">
        <w:rPr>
          <w:rFonts w:ascii="ITC Avant Garde" w:hAnsi="ITC Avant Garde"/>
          <w:b/>
        </w:rPr>
        <w:t xml:space="preserve"> </w:t>
      </w:r>
      <w:proofErr w:type="spellStart"/>
      <w:r w:rsidRPr="0034602F">
        <w:rPr>
          <w:rFonts w:ascii="ITC Avant Garde" w:hAnsi="ITC Avant Garde"/>
          <w:b/>
        </w:rPr>
        <w:t>Arzaluz</w:t>
      </w:r>
      <w:proofErr w:type="spellEnd"/>
      <w:r w:rsidRPr="0034602F">
        <w:rPr>
          <w:rFonts w:ascii="ITC Avant Garde" w:eastAsia="Times New Roman" w:hAnsi="ITC Avant Garde"/>
          <w:lang w:eastAsia="es-MX"/>
        </w:rPr>
        <w:t>, por lo que se le deberá solicitar que en su carácter de interventor especial (depositario) ponga a disposición los equipos asegurados.</w:t>
      </w:r>
    </w:p>
    <w:p w14:paraId="3F354DBB" w14:textId="77777777" w:rsidR="003C5E62" w:rsidRPr="0034602F" w:rsidRDefault="009A7318" w:rsidP="00583167">
      <w:pPr>
        <w:tabs>
          <w:tab w:val="left" w:pos="993"/>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Cs/>
          <w:color w:val="000000"/>
          <w:lang w:eastAsia="es-MX"/>
        </w:rPr>
        <w:t>En consecuencia, con base en los resultandos y consideraciones anteriores, el Pleno del Instituto Federal de Telecomunicaciones:</w:t>
      </w:r>
    </w:p>
    <w:p w14:paraId="78C16ABC" w14:textId="77777777" w:rsidR="003C5E62" w:rsidRPr="0034602F" w:rsidRDefault="009A7318" w:rsidP="00583167">
      <w:pPr>
        <w:pStyle w:val="Ttulo2"/>
        <w:spacing w:before="240" w:after="240"/>
        <w:jc w:val="center"/>
        <w:rPr>
          <w:rFonts w:ascii="ITC Avant Garde" w:eastAsiaTheme="majorEastAsia" w:hAnsi="ITC Avant Garde" w:cstheme="majorBidi"/>
          <w:b/>
          <w:color w:val="000000" w:themeColor="text1"/>
          <w:sz w:val="22"/>
          <w:szCs w:val="22"/>
        </w:rPr>
      </w:pPr>
      <w:r w:rsidRPr="0034602F">
        <w:rPr>
          <w:rFonts w:ascii="ITC Avant Garde" w:eastAsiaTheme="majorEastAsia" w:hAnsi="ITC Avant Garde" w:cstheme="majorBidi"/>
          <w:b/>
          <w:color w:val="000000" w:themeColor="text1"/>
          <w:sz w:val="22"/>
          <w:szCs w:val="22"/>
        </w:rPr>
        <w:t>RESUELVE</w:t>
      </w:r>
    </w:p>
    <w:p w14:paraId="468D3851" w14:textId="2C891CDC" w:rsidR="003C5E62" w:rsidRPr="0034602F" w:rsidRDefault="009A7318" w:rsidP="00583167">
      <w:pPr>
        <w:tabs>
          <w:tab w:val="left" w:pos="993"/>
        </w:tabs>
        <w:spacing w:before="240" w:after="240" w:line="360" w:lineRule="auto"/>
        <w:jc w:val="both"/>
        <w:rPr>
          <w:rFonts w:ascii="ITC Avant Garde" w:eastAsia="Times New Roman" w:hAnsi="ITC Avant Garde"/>
          <w:b/>
          <w:bCs/>
          <w:color w:val="000000"/>
          <w:lang w:eastAsia="es-MX"/>
        </w:rPr>
      </w:pPr>
      <w:r w:rsidRPr="0034602F">
        <w:rPr>
          <w:rFonts w:ascii="ITC Avant Garde" w:eastAsia="Times New Roman" w:hAnsi="ITC Avant Garde"/>
          <w:b/>
          <w:bCs/>
          <w:color w:val="000000"/>
          <w:lang w:eastAsia="es-MX"/>
        </w:rPr>
        <w:t xml:space="preserve">PRIMERO. </w:t>
      </w:r>
      <w:r w:rsidRPr="0034602F">
        <w:rPr>
          <w:rFonts w:ascii="ITC Avant Garde" w:hAnsi="ITC Avant Garde" w:cs="Arial"/>
          <w:b/>
        </w:rPr>
        <w:t xml:space="preserve">El propietario y/o poseedor, y/o responsable, y/o encargado del inmueble o de las instalaciones y equipos de radiodifusión operando la frecuencia </w:t>
      </w:r>
      <w:r w:rsidR="00E8634B" w:rsidRPr="0034602F">
        <w:rPr>
          <w:rFonts w:ascii="ITC Avant Garde" w:hAnsi="ITC Avant Garde"/>
          <w:b/>
        </w:rPr>
        <w:t>97.3</w:t>
      </w:r>
      <w:r w:rsidRPr="0034602F">
        <w:rPr>
          <w:rFonts w:ascii="ITC Avant Garde" w:hAnsi="ITC Avant Garde"/>
          <w:b/>
        </w:rPr>
        <w:t xml:space="preserve"> MHz</w:t>
      </w:r>
      <w:r w:rsidRPr="0034602F">
        <w:rPr>
          <w:rFonts w:ascii="ITC Avant Garde" w:hAnsi="ITC Avant Garde" w:cs="Arial"/>
          <w:b/>
        </w:rPr>
        <w:t xml:space="preserve">, </w:t>
      </w:r>
      <w:r w:rsidRPr="0034602F">
        <w:rPr>
          <w:rFonts w:ascii="ITC Avant Garde" w:hAnsi="ITC Avant Garde"/>
          <w:b/>
        </w:rPr>
        <w:t xml:space="preserve">ubicados en </w:t>
      </w:r>
      <w:r w:rsidR="006D6786" w:rsidRPr="006D6786">
        <w:rPr>
          <w:rFonts w:ascii="ITC Avant Garde" w:hAnsi="ITC Avant Garde"/>
          <w:b/>
          <w:caps/>
          <w:color w:val="0000FF"/>
        </w:rPr>
        <w:t>“CONFIDENCIAL POR LEY”</w:t>
      </w:r>
      <w:r w:rsidR="00E8634B" w:rsidRPr="0034602F">
        <w:rPr>
          <w:rFonts w:ascii="ITC Avant Garde" w:hAnsi="ITC Avant Garde"/>
          <w:b/>
        </w:rPr>
        <w:t>, Delegación Tlalpan, en la Ciudad de México</w:t>
      </w:r>
      <w:r w:rsidRPr="0034602F">
        <w:rPr>
          <w:rFonts w:ascii="ITC Avant Garde" w:hAnsi="ITC Avant Garde"/>
        </w:rPr>
        <w:t xml:space="preserve"> (identificado para efectos de la presente resolución como el </w:t>
      </w:r>
      <w:r w:rsidR="00E8634B" w:rsidRPr="0034602F">
        <w:rPr>
          <w:rFonts w:ascii="ITC Avant Garde" w:hAnsi="ITC Avant Garde"/>
          <w:b/>
        </w:rPr>
        <w:t xml:space="preserve">PRESUNTO </w:t>
      </w:r>
      <w:r w:rsidRPr="0034602F">
        <w:rPr>
          <w:rFonts w:ascii="ITC Avant Garde" w:hAnsi="ITC Avant Garde"/>
          <w:b/>
        </w:rPr>
        <w:t>RESPONSABLE</w:t>
      </w:r>
      <w:r w:rsidRPr="0034602F">
        <w:rPr>
          <w:rFonts w:ascii="ITC Avant Garde" w:hAnsi="ITC Avant Garde"/>
        </w:rPr>
        <w:t xml:space="preserve">) infringió lo dispuesto en el artículo 66 en relación con el artículo 75, ambos de la Ley Federal de Telecomunicaciones y Radiodifusión, al haberse detectado que se encontraba prestando un servicio de radiodifusión a través del uso de la frecuencia </w:t>
      </w:r>
      <w:r w:rsidR="00E8634B" w:rsidRPr="0034602F">
        <w:rPr>
          <w:rFonts w:ascii="ITC Avant Garde" w:hAnsi="ITC Avant Garde"/>
          <w:b/>
        </w:rPr>
        <w:t>97.3</w:t>
      </w:r>
      <w:r w:rsidRPr="0034602F">
        <w:rPr>
          <w:rFonts w:ascii="ITC Avant Garde" w:hAnsi="ITC Avant Garde"/>
          <w:b/>
        </w:rPr>
        <w:t xml:space="preserve"> MHz</w:t>
      </w:r>
      <w:r w:rsidRPr="0034602F">
        <w:rPr>
          <w:rFonts w:ascii="ITC Avant Garde" w:hAnsi="ITC Avant Garde"/>
        </w:rPr>
        <w:t xml:space="preserve"> sin contar con concesión, permiso o autorización, no obstante lo cual, no se </w:t>
      </w:r>
      <w:r w:rsidRPr="0034602F">
        <w:rPr>
          <w:rFonts w:ascii="ITC Avant Garde" w:hAnsi="ITC Avant Garde"/>
        </w:rPr>
        <w:lastRenderedPageBreak/>
        <w:t>individualiza sanción alguna a este respecto, atendiendo a las consideraciones señaladas en el Considerando Séptimo de esta Resolución.</w:t>
      </w:r>
    </w:p>
    <w:p w14:paraId="32C75A9A" w14:textId="32B7896E" w:rsidR="009A7318" w:rsidRPr="0034602F" w:rsidRDefault="009A7318" w:rsidP="00583167">
      <w:pPr>
        <w:tabs>
          <w:tab w:val="left" w:pos="993"/>
        </w:tabs>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
          <w:lang w:eastAsia="es-MX"/>
        </w:rPr>
        <w:t xml:space="preserve">SEGUNDO. </w:t>
      </w:r>
      <w:r w:rsidRPr="0034602F">
        <w:rPr>
          <w:rFonts w:ascii="ITC Avant Garde" w:eastAsia="Times New Roman" w:hAnsi="ITC Avant Garde"/>
          <w:lang w:eastAsia="es-MX"/>
        </w:rPr>
        <w:t xml:space="preserve">De conformidad con lo señalado en las Consideraciones Tercera, Cuarta, Quinta y Sexta de la presente Resolución, el </w:t>
      </w:r>
      <w:r w:rsidRPr="0034602F">
        <w:rPr>
          <w:rFonts w:ascii="ITC Avant Garde" w:hAnsi="ITC Avant Garde"/>
          <w:b/>
        </w:rPr>
        <w:t>PRESUNTO RESPONSABLE</w:t>
      </w:r>
      <w:r w:rsidRPr="0034602F">
        <w:rPr>
          <w:rFonts w:ascii="ITC Avant Garde" w:hAnsi="ITC Avant Garde"/>
        </w:rPr>
        <w:t xml:space="preserve"> </w:t>
      </w:r>
      <w:r w:rsidRPr="0034602F">
        <w:rPr>
          <w:rFonts w:ascii="ITC Avant Garde" w:eastAsia="Times New Roman" w:hAnsi="ITC Avant Garde"/>
          <w:lang w:eastAsia="es-MX"/>
        </w:rPr>
        <w:t xml:space="preserve">se encontraba prestando servicios de radiodifusión en la frecuencia </w:t>
      </w:r>
      <w:r w:rsidR="00E8634B" w:rsidRPr="0034602F">
        <w:rPr>
          <w:rFonts w:ascii="ITC Avant Garde" w:hAnsi="ITC Avant Garde"/>
          <w:b/>
        </w:rPr>
        <w:t>97.3</w:t>
      </w:r>
      <w:r w:rsidRPr="0034602F">
        <w:rPr>
          <w:rFonts w:ascii="ITC Avant Garde" w:hAnsi="ITC Avant Garde"/>
          <w:b/>
        </w:rPr>
        <w:t xml:space="preserve"> MHz</w:t>
      </w:r>
      <w:r w:rsidRPr="0034602F">
        <w:rPr>
          <w:rFonts w:ascii="ITC Avant Garde" w:eastAsia="Times New Roman" w:hAnsi="ITC Avant Garde"/>
          <w:b/>
          <w:lang w:eastAsia="es-MX"/>
        </w:rPr>
        <w:t>,</w:t>
      </w:r>
      <w:r w:rsidRPr="0034602F">
        <w:rPr>
          <w:rFonts w:ascii="ITC Avant Garde" w:eastAsia="Times New Roman" w:hAnsi="ITC Avant Garde"/>
          <w:lang w:eastAsia="es-MX"/>
        </w:rPr>
        <w:t xml:space="preserve"> y en consecuencia, con fundamento en el artículo 305 de la Ley Federal de Telecomunicaciones y Radiodifusión, se declara la pérdida en beneficio de la Nación de los </w:t>
      </w:r>
      <w:r w:rsidRPr="0034602F">
        <w:rPr>
          <w:rFonts w:ascii="ITC Avant Garde" w:eastAsia="Times New Roman" w:hAnsi="ITC Avant Garde"/>
          <w:bCs/>
          <w:color w:val="000000"/>
          <w:lang w:eastAsia="es-MX"/>
        </w:rPr>
        <w:t xml:space="preserve">equipos empleados en la comisión de dicha infracción consistentes en: </w:t>
      </w:r>
    </w:p>
    <w:tbl>
      <w:tblPr>
        <w:tblStyle w:val="Tablaconcuadrcula6"/>
        <w:tblW w:w="5000" w:type="pct"/>
        <w:tblLook w:val="04A0" w:firstRow="1" w:lastRow="0" w:firstColumn="1" w:lastColumn="0" w:noHBand="0" w:noVBand="1"/>
        <w:tblCaption w:val="Equipos asegurados"/>
        <w:tblDescription w:val="Esta tabla muestra los equipos asegurados"/>
      </w:tblPr>
      <w:tblGrid>
        <w:gridCol w:w="1944"/>
        <w:gridCol w:w="1821"/>
        <w:gridCol w:w="1830"/>
        <w:gridCol w:w="1836"/>
        <w:gridCol w:w="1963"/>
      </w:tblGrid>
      <w:tr w:rsidR="00E8634B" w:rsidRPr="0034602F" w14:paraId="5DDA65C2" w14:textId="77777777" w:rsidTr="002611CE">
        <w:trPr>
          <w:tblHeader/>
        </w:trPr>
        <w:tc>
          <w:tcPr>
            <w:tcW w:w="1035" w:type="pct"/>
            <w:shd w:val="clear" w:color="auto" w:fill="767171" w:themeFill="background2" w:themeFillShade="80"/>
            <w:hideMark/>
          </w:tcPr>
          <w:p w14:paraId="227EDE94" w14:textId="77777777" w:rsidR="00E8634B" w:rsidRPr="0034602F" w:rsidRDefault="00E8634B" w:rsidP="00583167">
            <w:pPr>
              <w:spacing w:after="0"/>
              <w:jc w:val="center"/>
              <w:rPr>
                <w:rFonts w:ascii="ITC Avant Garde" w:hAnsi="ITC Avant Garde" w:cs="Arial"/>
                <w:b/>
                <w:sz w:val="18"/>
                <w:szCs w:val="18"/>
              </w:rPr>
            </w:pPr>
            <w:r w:rsidRPr="0034602F">
              <w:rPr>
                <w:rFonts w:ascii="ITC Avant Garde" w:hAnsi="ITC Avant Garde" w:cs="Arial"/>
                <w:b/>
                <w:sz w:val="18"/>
                <w:szCs w:val="18"/>
              </w:rPr>
              <w:t>Equipo</w:t>
            </w:r>
          </w:p>
        </w:tc>
        <w:tc>
          <w:tcPr>
            <w:tcW w:w="969" w:type="pct"/>
            <w:shd w:val="clear" w:color="auto" w:fill="767171" w:themeFill="background2" w:themeFillShade="80"/>
            <w:hideMark/>
          </w:tcPr>
          <w:p w14:paraId="782D9147" w14:textId="77777777" w:rsidR="00E8634B" w:rsidRPr="0034602F" w:rsidRDefault="00E8634B" w:rsidP="00583167">
            <w:pPr>
              <w:spacing w:after="0"/>
              <w:jc w:val="center"/>
              <w:rPr>
                <w:rFonts w:ascii="ITC Avant Garde" w:hAnsi="ITC Avant Garde" w:cs="Arial"/>
                <w:b/>
                <w:sz w:val="18"/>
                <w:szCs w:val="18"/>
              </w:rPr>
            </w:pPr>
            <w:r w:rsidRPr="0034602F">
              <w:rPr>
                <w:rFonts w:ascii="ITC Avant Garde" w:hAnsi="ITC Avant Garde" w:cs="Arial"/>
                <w:b/>
                <w:sz w:val="18"/>
                <w:szCs w:val="18"/>
              </w:rPr>
              <w:t>Marca</w:t>
            </w:r>
          </w:p>
        </w:tc>
        <w:tc>
          <w:tcPr>
            <w:tcW w:w="974" w:type="pct"/>
            <w:shd w:val="clear" w:color="auto" w:fill="767171" w:themeFill="background2" w:themeFillShade="80"/>
            <w:hideMark/>
          </w:tcPr>
          <w:p w14:paraId="072B55DF" w14:textId="77777777" w:rsidR="00E8634B" w:rsidRPr="0034602F" w:rsidRDefault="00E8634B" w:rsidP="00583167">
            <w:pPr>
              <w:spacing w:after="0"/>
              <w:jc w:val="center"/>
              <w:rPr>
                <w:rFonts w:ascii="ITC Avant Garde" w:hAnsi="ITC Avant Garde" w:cs="Arial"/>
                <w:b/>
                <w:sz w:val="18"/>
                <w:szCs w:val="18"/>
              </w:rPr>
            </w:pPr>
            <w:r w:rsidRPr="0034602F">
              <w:rPr>
                <w:rFonts w:ascii="ITC Avant Garde" w:hAnsi="ITC Avant Garde" w:cs="Arial"/>
                <w:b/>
                <w:sz w:val="18"/>
                <w:szCs w:val="18"/>
              </w:rPr>
              <w:t>Modelo</w:t>
            </w:r>
          </w:p>
        </w:tc>
        <w:tc>
          <w:tcPr>
            <w:tcW w:w="977" w:type="pct"/>
            <w:shd w:val="clear" w:color="auto" w:fill="767171" w:themeFill="background2" w:themeFillShade="80"/>
            <w:hideMark/>
          </w:tcPr>
          <w:p w14:paraId="2489EFE8" w14:textId="77777777" w:rsidR="00E8634B" w:rsidRPr="0034602F" w:rsidRDefault="00E8634B" w:rsidP="00583167">
            <w:pPr>
              <w:spacing w:after="0"/>
              <w:jc w:val="center"/>
              <w:rPr>
                <w:rFonts w:ascii="ITC Avant Garde" w:hAnsi="ITC Avant Garde" w:cs="Arial"/>
                <w:b/>
                <w:sz w:val="18"/>
                <w:szCs w:val="18"/>
              </w:rPr>
            </w:pPr>
            <w:r w:rsidRPr="0034602F">
              <w:rPr>
                <w:rFonts w:ascii="ITC Avant Garde" w:hAnsi="ITC Avant Garde" w:cs="Arial"/>
                <w:b/>
                <w:sz w:val="18"/>
                <w:szCs w:val="18"/>
              </w:rPr>
              <w:t>Número de Serie</w:t>
            </w:r>
          </w:p>
        </w:tc>
        <w:tc>
          <w:tcPr>
            <w:tcW w:w="1045" w:type="pct"/>
            <w:shd w:val="clear" w:color="auto" w:fill="767171" w:themeFill="background2" w:themeFillShade="80"/>
            <w:hideMark/>
          </w:tcPr>
          <w:p w14:paraId="5AC54AFB" w14:textId="77777777" w:rsidR="00E8634B" w:rsidRPr="0034602F" w:rsidRDefault="00E8634B" w:rsidP="00583167">
            <w:pPr>
              <w:spacing w:after="0"/>
              <w:jc w:val="center"/>
              <w:rPr>
                <w:rFonts w:ascii="ITC Avant Garde" w:hAnsi="ITC Avant Garde" w:cs="Arial"/>
                <w:b/>
                <w:sz w:val="18"/>
                <w:szCs w:val="18"/>
              </w:rPr>
            </w:pPr>
            <w:r w:rsidRPr="0034602F">
              <w:rPr>
                <w:rFonts w:ascii="ITC Avant Garde" w:hAnsi="ITC Avant Garde" w:cs="Arial"/>
                <w:b/>
                <w:sz w:val="18"/>
                <w:szCs w:val="18"/>
              </w:rPr>
              <w:t>Sello de aseguramiento</w:t>
            </w:r>
          </w:p>
        </w:tc>
      </w:tr>
      <w:tr w:rsidR="00583167" w:rsidRPr="0034602F" w14:paraId="5EED07DE" w14:textId="77777777" w:rsidTr="002611CE">
        <w:trPr>
          <w:tblHeader/>
        </w:trPr>
        <w:tc>
          <w:tcPr>
            <w:tcW w:w="1035" w:type="pct"/>
            <w:hideMark/>
          </w:tcPr>
          <w:p w14:paraId="1E7EB6DE" w14:textId="77777777" w:rsidR="00583167" w:rsidRPr="0034602F" w:rsidRDefault="00583167" w:rsidP="00583167">
            <w:pPr>
              <w:spacing w:after="0"/>
              <w:jc w:val="both"/>
              <w:rPr>
                <w:rFonts w:ascii="ITC Avant Garde" w:hAnsi="ITC Avant Garde" w:cs="Arial"/>
                <w:sz w:val="18"/>
                <w:szCs w:val="18"/>
              </w:rPr>
            </w:pPr>
            <w:r w:rsidRPr="0034602F">
              <w:rPr>
                <w:rFonts w:ascii="ITC Avant Garde" w:hAnsi="ITC Avant Garde" w:cs="Arial"/>
                <w:sz w:val="18"/>
                <w:szCs w:val="18"/>
              </w:rPr>
              <w:t>Transmisor</w:t>
            </w:r>
          </w:p>
        </w:tc>
        <w:tc>
          <w:tcPr>
            <w:tcW w:w="969" w:type="pct"/>
            <w:hideMark/>
          </w:tcPr>
          <w:p w14:paraId="7E3A31FE" w14:textId="4329FE9F"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974" w:type="pct"/>
            <w:hideMark/>
          </w:tcPr>
          <w:p w14:paraId="199CEB31" w14:textId="4E1EC194" w:rsidR="00583167" w:rsidRPr="0034602F" w:rsidRDefault="00583167" w:rsidP="00583167">
            <w:pPr>
              <w:spacing w:after="0"/>
              <w:rPr>
                <w:rFonts w:ascii="ITC Avant Garde" w:hAnsi="ITC Avant Garde" w:cs="Arial"/>
                <w:sz w:val="18"/>
                <w:szCs w:val="18"/>
              </w:rPr>
            </w:pPr>
            <w:r w:rsidRPr="0034602F">
              <w:rPr>
                <w:rFonts w:ascii="ITC Avant Garde" w:hAnsi="ITC Avant Garde" w:cs="Arial"/>
                <w:sz w:val="18"/>
                <w:szCs w:val="18"/>
              </w:rPr>
              <w:t>No aplica</w:t>
            </w:r>
          </w:p>
        </w:tc>
        <w:tc>
          <w:tcPr>
            <w:tcW w:w="977" w:type="pct"/>
            <w:hideMark/>
          </w:tcPr>
          <w:p w14:paraId="33F76B7A" w14:textId="039FAC8A" w:rsidR="00583167" w:rsidRPr="0034602F" w:rsidRDefault="00583167" w:rsidP="00583167">
            <w:pPr>
              <w:spacing w:after="0"/>
              <w:jc w:val="both"/>
              <w:rPr>
                <w:rFonts w:ascii="ITC Avant Garde" w:hAnsi="ITC Avant Garde" w:cs="Arial"/>
                <w:sz w:val="18"/>
                <w:szCs w:val="18"/>
              </w:rPr>
            </w:pPr>
            <w:r w:rsidRPr="0034602F">
              <w:rPr>
                <w:rFonts w:ascii="ITC Avant Garde" w:hAnsi="ITC Avant Garde" w:cs="Arial"/>
                <w:sz w:val="18"/>
                <w:szCs w:val="18"/>
              </w:rPr>
              <w:t>No aplica</w:t>
            </w:r>
          </w:p>
        </w:tc>
        <w:tc>
          <w:tcPr>
            <w:tcW w:w="1045" w:type="pct"/>
            <w:hideMark/>
          </w:tcPr>
          <w:p w14:paraId="35E2F566" w14:textId="77777777"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015-16</w:t>
            </w:r>
          </w:p>
        </w:tc>
      </w:tr>
      <w:tr w:rsidR="00583167" w:rsidRPr="0034602F" w14:paraId="6FD0BFB6" w14:textId="77777777" w:rsidTr="002611CE">
        <w:trPr>
          <w:tblHeader/>
        </w:trPr>
        <w:tc>
          <w:tcPr>
            <w:tcW w:w="1035" w:type="pct"/>
            <w:hideMark/>
          </w:tcPr>
          <w:p w14:paraId="4653CA3B" w14:textId="77777777" w:rsidR="00583167" w:rsidRPr="0034602F" w:rsidRDefault="00583167" w:rsidP="00583167">
            <w:pPr>
              <w:spacing w:after="0"/>
              <w:jc w:val="both"/>
              <w:rPr>
                <w:rFonts w:ascii="ITC Avant Garde" w:hAnsi="ITC Avant Garde" w:cs="Arial"/>
                <w:sz w:val="18"/>
                <w:szCs w:val="18"/>
              </w:rPr>
            </w:pPr>
            <w:r w:rsidRPr="0034602F">
              <w:rPr>
                <w:rFonts w:ascii="ITC Avant Garde" w:hAnsi="ITC Avant Garde" w:cs="Arial"/>
                <w:sz w:val="18"/>
                <w:szCs w:val="18"/>
              </w:rPr>
              <w:t>CPU armado</w:t>
            </w:r>
          </w:p>
        </w:tc>
        <w:tc>
          <w:tcPr>
            <w:tcW w:w="969" w:type="pct"/>
            <w:hideMark/>
          </w:tcPr>
          <w:p w14:paraId="17821992" w14:textId="249B0F8A"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974" w:type="pct"/>
            <w:hideMark/>
          </w:tcPr>
          <w:p w14:paraId="751BAB3C" w14:textId="324DEE35" w:rsidR="00583167" w:rsidRPr="0034602F" w:rsidRDefault="00583167" w:rsidP="00583167">
            <w:pPr>
              <w:spacing w:after="0"/>
              <w:rPr>
                <w:rFonts w:ascii="ITC Avant Garde" w:hAnsi="ITC Avant Garde" w:cs="Arial"/>
                <w:sz w:val="18"/>
                <w:szCs w:val="18"/>
              </w:rPr>
            </w:pPr>
            <w:r w:rsidRPr="0034602F">
              <w:rPr>
                <w:rFonts w:ascii="ITC Avant Garde" w:hAnsi="ITC Avant Garde" w:cs="Arial"/>
                <w:sz w:val="18"/>
                <w:szCs w:val="18"/>
              </w:rPr>
              <w:t>No aplica</w:t>
            </w:r>
          </w:p>
        </w:tc>
        <w:tc>
          <w:tcPr>
            <w:tcW w:w="977" w:type="pct"/>
            <w:hideMark/>
          </w:tcPr>
          <w:p w14:paraId="41851BA7" w14:textId="76B455FB" w:rsidR="00583167" w:rsidRPr="0034602F" w:rsidRDefault="00583167" w:rsidP="00583167">
            <w:pPr>
              <w:spacing w:after="0"/>
              <w:jc w:val="both"/>
              <w:rPr>
                <w:rFonts w:ascii="ITC Avant Garde" w:hAnsi="ITC Avant Garde" w:cs="Arial"/>
                <w:sz w:val="18"/>
                <w:szCs w:val="18"/>
              </w:rPr>
            </w:pPr>
            <w:r w:rsidRPr="0034602F">
              <w:rPr>
                <w:rFonts w:ascii="ITC Avant Garde" w:hAnsi="ITC Avant Garde" w:cs="Arial"/>
                <w:sz w:val="18"/>
                <w:szCs w:val="18"/>
              </w:rPr>
              <w:t>No aplica</w:t>
            </w:r>
          </w:p>
        </w:tc>
        <w:tc>
          <w:tcPr>
            <w:tcW w:w="1045" w:type="pct"/>
            <w:hideMark/>
          </w:tcPr>
          <w:p w14:paraId="2A829D14" w14:textId="77777777"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055-16</w:t>
            </w:r>
          </w:p>
        </w:tc>
      </w:tr>
      <w:tr w:rsidR="00583167" w:rsidRPr="0034602F" w14:paraId="23653D3A" w14:textId="77777777" w:rsidTr="002611CE">
        <w:trPr>
          <w:tblHeader/>
        </w:trPr>
        <w:tc>
          <w:tcPr>
            <w:tcW w:w="1035" w:type="pct"/>
            <w:hideMark/>
          </w:tcPr>
          <w:p w14:paraId="365792D8" w14:textId="77777777" w:rsidR="00583167" w:rsidRPr="0034602F" w:rsidRDefault="00583167" w:rsidP="00583167">
            <w:pPr>
              <w:spacing w:after="0"/>
              <w:jc w:val="both"/>
              <w:rPr>
                <w:rFonts w:ascii="ITC Avant Garde" w:hAnsi="ITC Avant Garde" w:cs="Arial"/>
                <w:sz w:val="18"/>
                <w:szCs w:val="18"/>
              </w:rPr>
            </w:pPr>
            <w:r w:rsidRPr="0034602F">
              <w:rPr>
                <w:rFonts w:ascii="ITC Avant Garde" w:hAnsi="ITC Avant Garde" w:cs="Arial"/>
                <w:sz w:val="18"/>
                <w:szCs w:val="18"/>
              </w:rPr>
              <w:t>Antena omnidireccional</w:t>
            </w:r>
          </w:p>
        </w:tc>
        <w:tc>
          <w:tcPr>
            <w:tcW w:w="969" w:type="pct"/>
            <w:hideMark/>
          </w:tcPr>
          <w:p w14:paraId="58A92755" w14:textId="5370B6DC"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No aplica</w:t>
            </w:r>
          </w:p>
        </w:tc>
        <w:tc>
          <w:tcPr>
            <w:tcW w:w="974" w:type="pct"/>
            <w:hideMark/>
          </w:tcPr>
          <w:p w14:paraId="6C56D0ED" w14:textId="20869453" w:rsidR="00583167" w:rsidRPr="0034602F" w:rsidRDefault="00583167" w:rsidP="00583167">
            <w:pPr>
              <w:spacing w:after="0"/>
              <w:rPr>
                <w:rFonts w:ascii="ITC Avant Garde" w:hAnsi="ITC Avant Garde" w:cs="Arial"/>
                <w:sz w:val="18"/>
                <w:szCs w:val="18"/>
              </w:rPr>
            </w:pPr>
            <w:r w:rsidRPr="0034602F">
              <w:rPr>
                <w:rFonts w:ascii="ITC Avant Garde" w:hAnsi="ITC Avant Garde" w:cs="Arial"/>
                <w:sz w:val="18"/>
                <w:szCs w:val="18"/>
              </w:rPr>
              <w:t>No aplica</w:t>
            </w:r>
          </w:p>
        </w:tc>
        <w:tc>
          <w:tcPr>
            <w:tcW w:w="977" w:type="pct"/>
            <w:hideMark/>
          </w:tcPr>
          <w:p w14:paraId="599A0743" w14:textId="41D0E5F4" w:rsidR="00583167" w:rsidRPr="0034602F" w:rsidRDefault="00583167" w:rsidP="00583167">
            <w:pPr>
              <w:spacing w:after="0"/>
              <w:jc w:val="both"/>
              <w:rPr>
                <w:rFonts w:ascii="ITC Avant Garde" w:hAnsi="ITC Avant Garde" w:cs="Arial"/>
                <w:sz w:val="18"/>
                <w:szCs w:val="18"/>
              </w:rPr>
            </w:pPr>
            <w:r w:rsidRPr="0034602F">
              <w:rPr>
                <w:rFonts w:ascii="ITC Avant Garde" w:hAnsi="ITC Avant Garde" w:cs="Arial"/>
                <w:sz w:val="18"/>
                <w:szCs w:val="18"/>
              </w:rPr>
              <w:t>No aplica</w:t>
            </w:r>
          </w:p>
        </w:tc>
        <w:tc>
          <w:tcPr>
            <w:tcW w:w="1045" w:type="pct"/>
            <w:hideMark/>
          </w:tcPr>
          <w:p w14:paraId="0515763A" w14:textId="77777777" w:rsidR="00583167" w:rsidRPr="0034602F" w:rsidRDefault="00583167" w:rsidP="00583167">
            <w:pPr>
              <w:spacing w:after="0"/>
              <w:jc w:val="center"/>
              <w:rPr>
                <w:rFonts w:ascii="ITC Avant Garde" w:hAnsi="ITC Avant Garde" w:cs="Arial"/>
                <w:sz w:val="18"/>
                <w:szCs w:val="18"/>
              </w:rPr>
            </w:pPr>
            <w:r w:rsidRPr="0034602F">
              <w:rPr>
                <w:rFonts w:ascii="ITC Avant Garde" w:hAnsi="ITC Avant Garde" w:cs="Arial"/>
                <w:sz w:val="18"/>
                <w:szCs w:val="18"/>
              </w:rPr>
              <w:t>056-16</w:t>
            </w:r>
          </w:p>
        </w:tc>
      </w:tr>
    </w:tbl>
    <w:p w14:paraId="174E0AC0" w14:textId="77777777" w:rsidR="003C5E62" w:rsidRPr="0034602F" w:rsidRDefault="009A7318" w:rsidP="00583167">
      <w:pPr>
        <w:pStyle w:val="Textoindependiente"/>
        <w:spacing w:before="240" w:after="240" w:line="360" w:lineRule="auto"/>
        <w:jc w:val="both"/>
        <w:rPr>
          <w:rFonts w:ascii="ITC Avant Garde" w:eastAsia="Times New Roman" w:hAnsi="ITC Avant Garde"/>
          <w:bCs/>
          <w:color w:val="000000"/>
          <w:lang w:eastAsia="es-MX"/>
        </w:rPr>
      </w:pPr>
      <w:r w:rsidRPr="0034602F">
        <w:rPr>
          <w:rFonts w:ascii="ITC Avant Garde" w:eastAsia="Times New Roman" w:hAnsi="ITC Avant Garde"/>
          <w:b/>
          <w:lang w:eastAsia="es-MX"/>
        </w:rPr>
        <w:t>TERCERO.</w:t>
      </w:r>
      <w:r w:rsidRPr="0034602F">
        <w:rPr>
          <w:rFonts w:ascii="ITC Avant Garde" w:eastAsia="Times New Roman" w:hAnsi="ITC Avant Garde"/>
          <w:lang w:eastAsia="es-MX"/>
        </w:rPr>
        <w:t xml:space="preserve"> Se instruye a la Unidad de Cumplimiento, para que a través de la Dirección General de Verificación, haga del conocimiento del interventor especial (depositario) la revocación de su nombramiento y en consecuencia ponga a disposición los bienes que pasan a poder de la Nación, previa verificación de que los sellos de aseguramiento no han sido violados y previamente al inventario pormenorizado de los citados bienes.</w:t>
      </w:r>
    </w:p>
    <w:p w14:paraId="01682A60" w14:textId="5DEC6F6A" w:rsidR="003C5E62" w:rsidRPr="0034602F" w:rsidRDefault="009A7318" w:rsidP="00583167">
      <w:pPr>
        <w:tabs>
          <w:tab w:val="left" w:pos="993"/>
        </w:tabs>
        <w:spacing w:before="240" w:after="240" w:line="360" w:lineRule="auto"/>
        <w:jc w:val="both"/>
        <w:rPr>
          <w:rFonts w:ascii="ITC Avant Garde" w:eastAsia="Times New Roman" w:hAnsi="ITC Avant Garde"/>
          <w:lang w:eastAsia="es-MX"/>
        </w:rPr>
      </w:pPr>
      <w:r w:rsidRPr="0034602F">
        <w:rPr>
          <w:rFonts w:ascii="ITC Avant Garde" w:eastAsia="Times New Roman" w:hAnsi="ITC Avant Garde"/>
          <w:b/>
          <w:lang w:eastAsia="es-MX"/>
        </w:rPr>
        <w:t>CUARTO.</w:t>
      </w:r>
      <w:r w:rsidRPr="0034602F">
        <w:rPr>
          <w:rFonts w:ascii="ITC Avant Garde" w:eastAsia="Times New Roman" w:hAnsi="ITC Avant Garde"/>
          <w:lang w:eastAsia="es-MX"/>
        </w:rPr>
        <w:t xml:space="preserve"> </w:t>
      </w:r>
      <w:r w:rsidR="00414C50" w:rsidRPr="0034602F">
        <w:rPr>
          <w:rFonts w:ascii="ITC Avant Garde" w:eastAsia="Times New Roman" w:hAnsi="ITC Avant Garde"/>
          <w:lang w:eastAsia="es-MX"/>
        </w:rPr>
        <w:t xml:space="preserve">Conforme a lo expuesto en la parte considerativa de la presente Resolución, no existen elementos contundentes para atribuirle responsabilidad administrativa a </w:t>
      </w:r>
      <w:r w:rsidR="00E40607">
        <w:rPr>
          <w:rFonts w:ascii="ITC Avant Garde" w:hAnsi="ITC Avant Garde"/>
          <w:b/>
          <w:bCs/>
          <w:color w:val="0000FF"/>
        </w:rPr>
        <w:t>“CONFIDENCIAL POR LEY”</w:t>
      </w:r>
      <w:r w:rsidR="00414C50" w:rsidRPr="0034602F">
        <w:rPr>
          <w:rFonts w:ascii="ITC Avant Garde" w:eastAsia="Times New Roman" w:hAnsi="ITC Avant Garde"/>
          <w:lang w:eastAsia="es-MX"/>
        </w:rPr>
        <w:t xml:space="preserve"> respecto de la conducta que por la presente se resuelve y en consecuencia no procede imponerle sanción alguna.</w:t>
      </w:r>
    </w:p>
    <w:p w14:paraId="5039EF4B" w14:textId="597BFDCD" w:rsidR="003C5E62" w:rsidRPr="0034602F" w:rsidRDefault="00414C50" w:rsidP="00583167">
      <w:pPr>
        <w:tabs>
          <w:tab w:val="left" w:pos="993"/>
        </w:tabs>
        <w:spacing w:before="240" w:after="240" w:line="360" w:lineRule="auto"/>
        <w:jc w:val="both"/>
        <w:rPr>
          <w:rFonts w:ascii="ITC Avant Garde" w:eastAsia="Times New Roman" w:hAnsi="ITC Avant Garde"/>
          <w:lang w:eastAsia="es-MX"/>
        </w:rPr>
      </w:pPr>
      <w:r w:rsidRPr="0034602F">
        <w:rPr>
          <w:rFonts w:ascii="ITC Avant Garde" w:eastAsia="Times New Roman" w:hAnsi="ITC Avant Garde"/>
          <w:b/>
          <w:lang w:eastAsia="es-MX"/>
        </w:rPr>
        <w:t>QUINTO.</w:t>
      </w:r>
      <w:r w:rsidRPr="0034602F">
        <w:rPr>
          <w:rFonts w:ascii="ITC Avant Garde" w:eastAsia="Times New Roman" w:hAnsi="ITC Avant Garde"/>
          <w:lang w:eastAsia="es-MX"/>
        </w:rPr>
        <w:t xml:space="preserve"> </w:t>
      </w:r>
      <w:r w:rsidR="009A7318" w:rsidRPr="0034602F">
        <w:rPr>
          <w:rFonts w:ascii="ITC Avant Garde" w:eastAsia="Times New Roman" w:hAnsi="ITC Avant Garde"/>
          <w:lang w:eastAsia="es-MX"/>
        </w:rPr>
        <w:t xml:space="preserve">Con fundamento en el artículo 35, fracción I de la Ley Federal de Procedimiento Administrativo, se ordena que la presente Resolución se notifique al </w:t>
      </w:r>
      <w:r w:rsidR="003C3AF2" w:rsidRPr="0034602F">
        <w:rPr>
          <w:rFonts w:ascii="ITC Avant Garde" w:eastAsia="Times New Roman" w:hAnsi="ITC Avant Garde"/>
          <w:b/>
          <w:caps/>
          <w:lang w:eastAsia="es-MX"/>
        </w:rPr>
        <w:t xml:space="preserve">PROPIETARIO Y/O POSEEDOR Y/O RESPONSABLE Y/O ENCARGADO DEL INMUEBLE Y/O DE LAS INSTALACIONES Y EQUIPOS DE RADIODIFUSIÓN LOCALIZADOS EN EL INMUEBLE UBICADO EN </w:t>
      </w:r>
      <w:r w:rsidR="006D6786" w:rsidRPr="006D6786">
        <w:rPr>
          <w:rFonts w:ascii="ITC Avant Garde" w:hAnsi="ITC Avant Garde"/>
          <w:b/>
          <w:caps/>
          <w:color w:val="0000FF"/>
        </w:rPr>
        <w:t>“CONFIDENCIAL POR LEY”</w:t>
      </w:r>
      <w:r w:rsidR="003C3AF2" w:rsidRPr="0034602F">
        <w:rPr>
          <w:rFonts w:ascii="ITC Avant Garde" w:eastAsia="Times New Roman" w:hAnsi="ITC Avant Garde"/>
          <w:b/>
          <w:caps/>
          <w:lang w:eastAsia="es-MX"/>
        </w:rPr>
        <w:t xml:space="preserve">, DELEGACIÓN TLALPAN, EN LA CIUDAD DE MÉXICO, DONDE SE DETECTARON LAS INSTALACIONES DE LA ESTACIÓN DE RADIODIFUSIÓN, OPERANDO LA </w:t>
      </w:r>
      <w:r w:rsidR="003C3AF2" w:rsidRPr="0034602F">
        <w:rPr>
          <w:rFonts w:ascii="ITC Avant Garde" w:eastAsia="Times New Roman" w:hAnsi="ITC Avant Garde"/>
          <w:b/>
          <w:caps/>
          <w:lang w:eastAsia="es-MX"/>
        </w:rPr>
        <w:lastRenderedPageBreak/>
        <w:t xml:space="preserve">FRECUENCIA DE 97.3 MHz </w:t>
      </w:r>
      <w:r w:rsidR="003C3AF2" w:rsidRPr="0034602F">
        <w:rPr>
          <w:rFonts w:ascii="ITC Avant Garde" w:eastAsia="Times New Roman" w:hAnsi="ITC Avant Garde"/>
          <w:lang w:eastAsia="es-MX"/>
        </w:rPr>
        <w:t>y a</w:t>
      </w:r>
      <w:r w:rsidR="003C3AF2" w:rsidRPr="0034602F">
        <w:rPr>
          <w:rFonts w:ascii="ITC Avant Garde" w:eastAsia="Times New Roman" w:hAnsi="ITC Avant Garde"/>
          <w:b/>
          <w:caps/>
          <w:lang w:eastAsia="es-MX"/>
        </w:rPr>
        <w:t xml:space="preserve"> </w:t>
      </w:r>
      <w:r w:rsidR="00E40607">
        <w:rPr>
          <w:rFonts w:ascii="ITC Avant Garde" w:hAnsi="ITC Avant Garde"/>
          <w:b/>
          <w:bCs/>
          <w:color w:val="0000FF"/>
        </w:rPr>
        <w:t>“CONFIDENCIAL POR LEY”</w:t>
      </w:r>
      <w:r w:rsidR="009A7318" w:rsidRPr="0034602F">
        <w:rPr>
          <w:rFonts w:ascii="ITC Avant Garde" w:eastAsia="Times New Roman" w:hAnsi="ITC Avant Garde"/>
          <w:lang w:eastAsia="es-MX"/>
        </w:rPr>
        <w:t xml:space="preserve"> en </w:t>
      </w:r>
      <w:r w:rsidR="003C3AF2" w:rsidRPr="0034602F">
        <w:rPr>
          <w:rFonts w:ascii="ITC Avant Garde" w:eastAsia="Times New Roman" w:hAnsi="ITC Avant Garde"/>
          <w:lang w:eastAsia="es-MX"/>
        </w:rPr>
        <w:t>los</w:t>
      </w:r>
      <w:r w:rsidR="009A7318" w:rsidRPr="0034602F">
        <w:rPr>
          <w:rFonts w:ascii="ITC Avant Garde" w:eastAsia="Times New Roman" w:hAnsi="ITC Avant Garde"/>
          <w:lang w:eastAsia="es-MX"/>
        </w:rPr>
        <w:t xml:space="preserve"> domicilio</w:t>
      </w:r>
      <w:r w:rsidR="003C3AF2" w:rsidRPr="0034602F">
        <w:rPr>
          <w:rFonts w:ascii="ITC Avant Garde" w:eastAsia="Times New Roman" w:hAnsi="ITC Avant Garde"/>
          <w:lang w:eastAsia="es-MX"/>
        </w:rPr>
        <w:t>s</w:t>
      </w:r>
      <w:r w:rsidR="009A7318" w:rsidRPr="0034602F">
        <w:rPr>
          <w:rFonts w:ascii="ITC Avant Garde" w:eastAsia="Times New Roman" w:hAnsi="ITC Avant Garde"/>
          <w:lang w:eastAsia="es-MX"/>
        </w:rPr>
        <w:t xml:space="preserve"> precisado</w:t>
      </w:r>
      <w:r w:rsidR="003C3AF2" w:rsidRPr="0034602F">
        <w:rPr>
          <w:rFonts w:ascii="ITC Avant Garde" w:eastAsia="Times New Roman" w:hAnsi="ITC Avant Garde"/>
          <w:lang w:eastAsia="es-MX"/>
        </w:rPr>
        <w:t>s</w:t>
      </w:r>
      <w:r w:rsidR="009A7318" w:rsidRPr="0034602F">
        <w:rPr>
          <w:rFonts w:ascii="ITC Avant Garde" w:eastAsia="Times New Roman" w:hAnsi="ITC Avant Garde"/>
          <w:lang w:eastAsia="es-MX"/>
        </w:rPr>
        <w:t xml:space="preserve"> en el proemio de la presente Resolución. </w:t>
      </w:r>
    </w:p>
    <w:p w14:paraId="1870E37B" w14:textId="77777777" w:rsidR="003C5E62" w:rsidRPr="0034602F" w:rsidRDefault="00414C50" w:rsidP="00583167">
      <w:pPr>
        <w:tabs>
          <w:tab w:val="left" w:pos="993"/>
        </w:tabs>
        <w:spacing w:before="240" w:after="240" w:line="360" w:lineRule="auto"/>
        <w:jc w:val="both"/>
        <w:rPr>
          <w:rFonts w:ascii="ITC Avant Garde" w:eastAsia="Times New Roman" w:hAnsi="ITC Avant Garde"/>
          <w:lang w:eastAsia="es-MX"/>
        </w:rPr>
      </w:pPr>
      <w:r w:rsidRPr="0034602F">
        <w:rPr>
          <w:rFonts w:ascii="ITC Avant Garde" w:eastAsia="Times New Roman" w:hAnsi="ITC Avant Garde"/>
          <w:b/>
          <w:lang w:eastAsia="es-MX"/>
        </w:rPr>
        <w:t>SEXTO</w:t>
      </w:r>
      <w:r w:rsidR="009A7318" w:rsidRPr="0034602F">
        <w:rPr>
          <w:rFonts w:ascii="ITC Avant Garde" w:eastAsia="Times New Roman" w:hAnsi="ITC Avant Garde"/>
          <w:b/>
          <w:lang w:eastAsia="es-MX"/>
        </w:rPr>
        <w:t xml:space="preserve">. </w:t>
      </w:r>
      <w:r w:rsidR="009A7318" w:rsidRPr="0034602F">
        <w:rPr>
          <w:rFonts w:ascii="ITC Avant Garde" w:eastAsia="Times New Roman" w:hAnsi="ITC Avant Garde"/>
          <w:lang w:eastAsia="es-MX"/>
        </w:rPr>
        <w:t xml:space="preserve">En términos del artículo 3, fracción XIV de la Ley Federal del Procedimiento Administrativo, de aplicación supletoria a la Ley Federal de Telecomunicaciones y Radiodifusión, se informa al </w:t>
      </w:r>
      <w:r w:rsidR="009A7318" w:rsidRPr="0034602F">
        <w:rPr>
          <w:rFonts w:ascii="ITC Avant Garde" w:eastAsia="Times New Roman" w:hAnsi="ITC Avant Garde"/>
          <w:b/>
          <w:caps/>
          <w:lang w:eastAsia="es-MX"/>
        </w:rPr>
        <w:t>presunto responsable</w:t>
      </w:r>
      <w:r w:rsidR="009A7318" w:rsidRPr="0034602F">
        <w:rPr>
          <w:rFonts w:ascii="ITC Avant Garde" w:eastAsia="Times New Roman" w:hAnsi="ITC Avant Garde"/>
          <w:lang w:eastAsia="es-MX"/>
        </w:rPr>
        <w:t xml:space="preserve"> </w:t>
      </w:r>
      <w:r w:rsidR="009A7318" w:rsidRPr="0034602F">
        <w:rPr>
          <w:rFonts w:ascii="ITC Avant Garde" w:eastAsia="Times New Roman" w:hAnsi="ITC Avant Garde"/>
          <w:bCs/>
          <w:color w:val="000000"/>
          <w:lang w:eastAsia="es-MX"/>
        </w:rPr>
        <w:t xml:space="preserve">que podrá consultar el expediente en que se actúa en las oficinas de la Unidad de Cumplimiento de este Instituto Federal de Telecomunicaciones, con domicilio en </w:t>
      </w:r>
      <w:r w:rsidR="009A7318" w:rsidRPr="0034602F">
        <w:rPr>
          <w:rFonts w:ascii="ITC Avant Garde" w:hAnsi="ITC Avant Garde"/>
          <w:color w:val="000000"/>
        </w:rPr>
        <w:t>Avenida Insurgentes Sur número 838, cuarto piso, Colonia Del Valle, Delegación Benito Juárez, Ciudad de México, Código Postal 03100</w:t>
      </w:r>
      <w:r w:rsidR="009A7318" w:rsidRPr="0034602F">
        <w:rPr>
          <w:rFonts w:ascii="ITC Avant Garde" w:eastAsia="Times New Roman" w:hAnsi="ITC Avant Garde"/>
          <w:bCs/>
          <w:color w:val="000000"/>
          <w:lang w:eastAsia="es-MX"/>
        </w:rPr>
        <w:t xml:space="preserve">, </w:t>
      </w:r>
      <w:r w:rsidR="009A7318" w:rsidRPr="0034602F">
        <w:rPr>
          <w:rFonts w:ascii="ITC Avant Garde" w:eastAsia="Times New Roman" w:hAnsi="ITC Avant Garde"/>
          <w:lang w:eastAsia="es-MX"/>
        </w:rPr>
        <w:t xml:space="preserve">(Edificio Alterno de este Instituto), </w:t>
      </w:r>
      <w:r w:rsidR="009A7318" w:rsidRPr="0034602F">
        <w:rPr>
          <w:rFonts w:ascii="ITC Avant Garde" w:eastAsia="Times New Roman" w:hAnsi="ITC Avant Garde"/>
          <w:bCs/>
          <w:color w:val="000000"/>
          <w:lang w:eastAsia="es-MX"/>
        </w:rPr>
        <w:t>dentro del siguiente horario: de lunes a jueves de las 9:00 a las 18:30 horas y los viernes de las 9:00 a las 15:00 horas.</w:t>
      </w:r>
    </w:p>
    <w:p w14:paraId="7BE0B1F5" w14:textId="77777777" w:rsidR="003C5E62" w:rsidRPr="0034602F" w:rsidRDefault="00414C50" w:rsidP="00583167">
      <w:pPr>
        <w:tabs>
          <w:tab w:val="left" w:pos="993"/>
        </w:tabs>
        <w:spacing w:before="240" w:after="240" w:line="360" w:lineRule="auto"/>
        <w:jc w:val="both"/>
        <w:rPr>
          <w:rFonts w:ascii="ITC Avant Garde" w:eastAsia="Times New Roman" w:hAnsi="ITC Avant Garde"/>
          <w:bCs/>
          <w:lang w:eastAsia="es-MX"/>
        </w:rPr>
      </w:pPr>
      <w:r w:rsidRPr="0034602F">
        <w:rPr>
          <w:rFonts w:ascii="ITC Avant Garde" w:eastAsia="Times New Roman" w:hAnsi="ITC Avant Garde"/>
          <w:b/>
          <w:lang w:eastAsia="es-MX"/>
        </w:rPr>
        <w:t>SÉPTIMO</w:t>
      </w:r>
      <w:r w:rsidR="009A7318" w:rsidRPr="0034602F">
        <w:rPr>
          <w:rFonts w:ascii="ITC Avant Garde" w:eastAsia="Times New Roman" w:hAnsi="ITC Avant Garde"/>
          <w:b/>
          <w:lang w:eastAsia="es-MX"/>
        </w:rPr>
        <w:t>.</w:t>
      </w:r>
      <w:r w:rsidR="009A7318" w:rsidRPr="0034602F">
        <w:rPr>
          <w:rFonts w:ascii="ITC Avant Garde" w:eastAsia="Times New Roman" w:hAnsi="ITC Avant Garde"/>
          <w:bCs/>
          <w:lang w:eastAsia="es-MX"/>
        </w:rPr>
        <w:t xml:space="preserve"> En cumplimiento a lo dispuesto en los artículos 3, fracción XV y 39 de la Ley Federal de Procedimiento Administrativo, se hace del conocimiento del </w:t>
      </w:r>
      <w:r w:rsidR="009A7318" w:rsidRPr="0034602F">
        <w:rPr>
          <w:rFonts w:ascii="ITC Avant Garde" w:eastAsia="Times New Roman" w:hAnsi="ITC Avant Garde"/>
          <w:b/>
          <w:caps/>
          <w:lang w:eastAsia="es-MX"/>
        </w:rPr>
        <w:t>presunto responsable</w:t>
      </w:r>
      <w:r w:rsidR="009A7318" w:rsidRPr="0034602F">
        <w:rPr>
          <w:rFonts w:ascii="ITC Avant Garde" w:eastAsia="Times New Roman" w:hAnsi="ITC Avant Garde"/>
          <w:bCs/>
          <w:lang w:eastAsia="es-MX"/>
        </w:rPr>
        <w:t xml:space="preserve"> que la presente Resolución constituye un acto administrativo definitivo y por lo tanto, de conformidad con lo dispuesto en el artículo 28 de la Constitución Política de los Estados Unidos Mexicanos, en relación con el diverso 312 de la Ley Federal de Telecomunicaciones y Radiodifusión, procede interponer ante los juzgados de distrito especializados en materia de competencia económica, radiodifusión y telecomunicaciones, con residencia en la Ciudad de México, y jurisdicción territorial en toda la República, el juicio de amparo indirecto dentro del plazo de quince días hábiles contados a partir de que surta efectos la notificación de la presente resolución, en términos del artículo 17</w:t>
      </w:r>
      <w:r w:rsidR="009A7318" w:rsidRPr="0034602F">
        <w:t xml:space="preserve"> </w:t>
      </w:r>
      <w:r w:rsidR="009A7318" w:rsidRPr="0034602F">
        <w:rPr>
          <w:rFonts w:ascii="ITC Avant Garde" w:eastAsia="Times New Roman" w:hAnsi="ITC Avant Garde"/>
          <w:bCs/>
          <w:lang w:eastAsia="es-MX"/>
        </w:rPr>
        <w:t>de la Ley de Amparo, Reglamentaria de los artículos 103 y 107 de la Constitución Política de los Estados Unidos Mexicanos.</w:t>
      </w:r>
    </w:p>
    <w:p w14:paraId="01DDFDE0" w14:textId="77777777" w:rsidR="006D6786" w:rsidRDefault="00414C50" w:rsidP="00583167">
      <w:pPr>
        <w:spacing w:before="240" w:after="240" w:line="360" w:lineRule="auto"/>
        <w:jc w:val="both"/>
        <w:rPr>
          <w:rFonts w:ascii="ITC Avant Garde" w:hAnsi="ITC Avant Garde"/>
          <w:color w:val="000000"/>
          <w:lang w:eastAsia="es-MX"/>
        </w:rPr>
        <w:sectPr w:rsidR="006D6786" w:rsidSect="006345CE">
          <w:headerReference w:type="default" r:id="rId37"/>
          <w:pgSz w:w="12240" w:h="15840"/>
          <w:pgMar w:top="426" w:right="1418" w:bottom="1418" w:left="1418" w:header="709" w:footer="420" w:gutter="0"/>
          <w:cols w:space="708"/>
          <w:docGrid w:linePitch="360"/>
        </w:sectPr>
      </w:pPr>
      <w:r w:rsidRPr="0034602F">
        <w:rPr>
          <w:rFonts w:ascii="ITC Avant Garde" w:eastAsia="Times New Roman" w:hAnsi="ITC Avant Garde"/>
          <w:b/>
          <w:bCs/>
          <w:lang w:eastAsia="es-MX"/>
        </w:rPr>
        <w:t>OCTAVO</w:t>
      </w:r>
      <w:r w:rsidR="009A7318" w:rsidRPr="0034602F">
        <w:rPr>
          <w:rFonts w:ascii="ITC Avant Garde" w:eastAsia="Times New Roman" w:hAnsi="ITC Avant Garde"/>
          <w:b/>
          <w:bCs/>
          <w:lang w:eastAsia="es-MX"/>
        </w:rPr>
        <w:t>.</w:t>
      </w:r>
      <w:r w:rsidR="009A7318" w:rsidRPr="0034602F">
        <w:rPr>
          <w:rFonts w:ascii="ITC Avant Garde" w:eastAsia="Times New Roman" w:hAnsi="ITC Avant Garde"/>
          <w:bCs/>
          <w:lang w:eastAsia="es-MX"/>
        </w:rPr>
        <w:t xml:space="preserve"> </w:t>
      </w:r>
      <w:r w:rsidR="009A7318" w:rsidRPr="0034602F">
        <w:rPr>
          <w:rFonts w:ascii="ITC Avant Garde" w:hAnsi="ITC Avant Garde"/>
          <w:color w:val="000000"/>
          <w:lang w:eastAsia="es-MX"/>
        </w:rPr>
        <w:t>Una vez que la presente resolución haya quedado firme, con fundamento en el artículo 177 fracción XIX de la Ley Federal de Telecomunicaciones y Radiodifusión en relación con el artículo 36 fracción I del Estatuto Orgánico del Instituto Federal de Telecomunicaciones, inscríbase la misma en el Registro Público de Concesiones, para todos los efectos a que haya lugar.</w:t>
      </w:r>
    </w:p>
    <w:p w14:paraId="10C849A0" w14:textId="77777777" w:rsidR="003C5E62" w:rsidRPr="0034602F" w:rsidRDefault="00414C50" w:rsidP="00583167">
      <w:pPr>
        <w:spacing w:before="240" w:after="240" w:line="360" w:lineRule="auto"/>
        <w:jc w:val="both"/>
        <w:rPr>
          <w:rFonts w:ascii="ITC Avant Garde" w:hAnsi="ITC Avant Garde"/>
          <w:color w:val="000000"/>
          <w:lang w:eastAsia="es-MX"/>
        </w:rPr>
      </w:pPr>
      <w:r w:rsidRPr="0034602F">
        <w:rPr>
          <w:rFonts w:ascii="ITC Avant Garde" w:eastAsia="Times New Roman" w:hAnsi="ITC Avant Garde"/>
          <w:b/>
          <w:bCs/>
          <w:lang w:eastAsia="es-MX"/>
        </w:rPr>
        <w:lastRenderedPageBreak/>
        <w:t>NOVENO</w:t>
      </w:r>
      <w:r w:rsidR="009A7318" w:rsidRPr="0034602F">
        <w:rPr>
          <w:rFonts w:ascii="ITC Avant Garde" w:eastAsia="Times New Roman" w:hAnsi="ITC Avant Garde"/>
          <w:b/>
          <w:bCs/>
          <w:lang w:eastAsia="es-MX"/>
        </w:rPr>
        <w:t>.</w:t>
      </w:r>
      <w:r w:rsidR="009A7318" w:rsidRPr="0034602F">
        <w:rPr>
          <w:rFonts w:ascii="ITC Avant Garde" w:eastAsia="Times New Roman" w:hAnsi="ITC Avant Garde"/>
          <w:bCs/>
          <w:lang w:eastAsia="es-MX"/>
        </w:rPr>
        <w:t xml:space="preserve"> En </w:t>
      </w:r>
      <w:r w:rsidR="009A7318" w:rsidRPr="0034602F">
        <w:rPr>
          <w:rFonts w:ascii="ITC Avant Garde" w:hAnsi="ITC Avant Garde"/>
          <w:color w:val="000000"/>
          <w:lang w:eastAsia="es-MX"/>
        </w:rPr>
        <w:t>su oportunidad archívese el expediente como asunto total y definitivamente concluido.</w:t>
      </w:r>
    </w:p>
    <w:p w14:paraId="2C3F250C" w14:textId="7617F96A" w:rsidR="003C7944" w:rsidRPr="0034602F" w:rsidRDefault="009A7318" w:rsidP="00583167">
      <w:pPr>
        <w:spacing w:before="240" w:after="240" w:line="360" w:lineRule="auto"/>
        <w:jc w:val="both"/>
        <w:rPr>
          <w:rFonts w:ascii="ITC Avant Garde" w:hAnsi="ITC Avant Garde"/>
          <w:color w:val="000000"/>
          <w:lang w:eastAsia="es-MX"/>
        </w:rPr>
      </w:pPr>
      <w:r w:rsidRPr="0034602F">
        <w:rPr>
          <w:rFonts w:ascii="ITC Avant Garde" w:hAnsi="ITC Avant Garde"/>
          <w:color w:val="000000"/>
          <w:lang w:eastAsia="es-MX"/>
        </w:rPr>
        <w:t>Así lo resolvió el Pleno del Instituto Federal de Telecomunicaciones, con fundamento en los artículos señalados</w:t>
      </w:r>
      <w:r w:rsidR="00A43BC0" w:rsidRPr="0034602F">
        <w:rPr>
          <w:rFonts w:ascii="ITC Avant Garde" w:hAnsi="ITC Avant Garde"/>
          <w:color w:val="000000"/>
          <w:lang w:eastAsia="es-MX"/>
        </w:rPr>
        <w:t>.</w:t>
      </w:r>
    </w:p>
    <w:p w14:paraId="6EF9E532" w14:textId="77777777" w:rsidR="003C5E62" w:rsidRPr="0034602F" w:rsidRDefault="005A671F" w:rsidP="00583167">
      <w:pPr>
        <w:pStyle w:val="Prrafodelista"/>
        <w:spacing w:before="240" w:after="240" w:line="240" w:lineRule="auto"/>
        <w:ind w:left="0"/>
        <w:jc w:val="both"/>
        <w:rPr>
          <w:rFonts w:ascii="ITC Avant Garde" w:hAnsi="ITC Avant Garde"/>
          <w:sz w:val="14"/>
          <w:szCs w:val="14"/>
        </w:rPr>
      </w:pPr>
      <w:r w:rsidRPr="0034602F">
        <w:rPr>
          <w:rFonts w:ascii="ITC Avant Garde" w:hAnsi="ITC Avant Garde"/>
          <w:sz w:val="14"/>
          <w:szCs w:val="14"/>
        </w:rPr>
        <w:t xml:space="preserve">La presente Resolución fue aprobada por el Pleno del Instituto Federal de Telecomunicaciones en su XV Sesión Ordinaria celebrada el 26 de abril de 2017, </w:t>
      </w:r>
      <w:r w:rsidRPr="0034602F">
        <w:rPr>
          <w:rFonts w:ascii="ITC Avant Garde" w:hAnsi="ITC Avant Garde"/>
          <w:bCs/>
          <w:sz w:val="14"/>
          <w:szCs w:val="14"/>
        </w:rPr>
        <w:t>por unanimidad</w:t>
      </w:r>
      <w:r w:rsidRPr="0034602F">
        <w:rPr>
          <w:rFonts w:ascii="ITC Avant Garde" w:hAnsi="ITC Avant Garde"/>
          <w:sz w:val="14"/>
          <w:szCs w:val="14"/>
        </w:rPr>
        <w:t xml:space="preserve"> de votos de los Comisionados Gabriel Oswaldo Contreras Saldívar, Adriana Sofía </w:t>
      </w:r>
      <w:proofErr w:type="spellStart"/>
      <w:r w:rsidRPr="0034602F">
        <w:rPr>
          <w:rFonts w:ascii="ITC Avant Garde" w:hAnsi="ITC Avant Garde"/>
          <w:sz w:val="14"/>
          <w:szCs w:val="14"/>
        </w:rPr>
        <w:t>Labardini</w:t>
      </w:r>
      <w:proofErr w:type="spellEnd"/>
      <w:r w:rsidRPr="0034602F">
        <w:rPr>
          <w:rFonts w:ascii="ITC Avant Garde" w:hAnsi="ITC Avant Garde"/>
          <w:sz w:val="14"/>
          <w:szCs w:val="14"/>
        </w:rPr>
        <w:t xml:space="preserve"> </w:t>
      </w:r>
      <w:proofErr w:type="spellStart"/>
      <w:r w:rsidRPr="0034602F">
        <w:rPr>
          <w:rFonts w:ascii="ITC Avant Garde" w:hAnsi="ITC Avant Garde"/>
          <w:sz w:val="14"/>
          <w:szCs w:val="14"/>
        </w:rPr>
        <w:t>Inzunza</w:t>
      </w:r>
      <w:proofErr w:type="spellEnd"/>
      <w:r w:rsidRPr="0034602F">
        <w:rPr>
          <w:rFonts w:ascii="ITC Avant Garde" w:hAnsi="ITC Avant Garde"/>
          <w:sz w:val="14"/>
          <w:szCs w:val="14"/>
        </w:rPr>
        <w:t xml:space="preserve">, María Elena </w:t>
      </w:r>
      <w:proofErr w:type="spellStart"/>
      <w:r w:rsidRPr="0034602F">
        <w:rPr>
          <w:rFonts w:ascii="ITC Avant Garde" w:hAnsi="ITC Avant Garde"/>
          <w:sz w:val="14"/>
          <w:szCs w:val="14"/>
        </w:rPr>
        <w:t>Estavillo</w:t>
      </w:r>
      <w:proofErr w:type="spellEnd"/>
      <w:r w:rsidRPr="0034602F">
        <w:rPr>
          <w:rFonts w:ascii="ITC Avant Garde" w:hAnsi="ITC Avant Garde"/>
          <w:sz w:val="14"/>
          <w:szCs w:val="14"/>
        </w:rPr>
        <w:t xml:space="preserve"> Flores, Mario Germán </w:t>
      </w:r>
      <w:proofErr w:type="spellStart"/>
      <w:r w:rsidRPr="0034602F">
        <w:rPr>
          <w:rFonts w:ascii="ITC Avant Garde" w:hAnsi="ITC Avant Garde"/>
          <w:sz w:val="14"/>
          <w:szCs w:val="14"/>
        </w:rPr>
        <w:t>Fromow</w:t>
      </w:r>
      <w:proofErr w:type="spellEnd"/>
      <w:r w:rsidRPr="0034602F">
        <w:rPr>
          <w:rFonts w:ascii="ITC Avant Garde" w:hAnsi="ITC Avant Garde"/>
          <w:sz w:val="14"/>
          <w:szCs w:val="14"/>
        </w:rPr>
        <w:t xml:space="preserve"> Rangel, Adolfo Cuevas Teja, Javier Juárez Mojica y Arturo Robles </w:t>
      </w:r>
      <w:proofErr w:type="spellStart"/>
      <w:r w:rsidRPr="0034602F">
        <w:rPr>
          <w:rFonts w:ascii="ITC Avant Garde" w:hAnsi="ITC Avant Garde"/>
          <w:sz w:val="14"/>
          <w:szCs w:val="14"/>
        </w:rPr>
        <w:t>Rovalo</w:t>
      </w:r>
      <w:proofErr w:type="spellEnd"/>
      <w:r w:rsidRPr="0034602F">
        <w:rPr>
          <w:rFonts w:ascii="ITC Avant Garde" w:hAnsi="ITC Avant Garde"/>
          <w:sz w:val="14"/>
          <w:szCs w:val="14"/>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P/IFT/260417/188.</w:t>
      </w:r>
    </w:p>
    <w:p w14:paraId="26AA2944" w14:textId="6EBD4B2D" w:rsidR="005A671F" w:rsidRPr="0034602F" w:rsidRDefault="005A671F" w:rsidP="00583167">
      <w:pPr>
        <w:pStyle w:val="Prrafodelista"/>
        <w:spacing w:before="240" w:after="240" w:line="240" w:lineRule="auto"/>
        <w:ind w:left="0"/>
        <w:jc w:val="both"/>
        <w:rPr>
          <w:rFonts w:ascii="ITC Avant Garde" w:eastAsia="Times New Roman" w:hAnsi="ITC Avant Garde"/>
          <w:bCs/>
          <w:color w:val="000000"/>
          <w:highlight w:val="yellow"/>
          <w:lang w:eastAsia="es-MX"/>
        </w:rPr>
      </w:pPr>
      <w:r w:rsidRPr="0034602F">
        <w:rPr>
          <w:rFonts w:ascii="ITC Avant Garde" w:hAnsi="ITC Avant Garde"/>
          <w:sz w:val="14"/>
          <w:szCs w:val="14"/>
        </w:rPr>
        <w:t>El Comisionado Adolfo Cuevas Teja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bookmarkStart w:id="0" w:name="_GoBack"/>
      <w:bookmarkEnd w:id="0"/>
    </w:p>
    <w:sectPr w:rsidR="005A671F" w:rsidRPr="0034602F" w:rsidSect="006345CE">
      <w:headerReference w:type="default" r:id="rId38"/>
      <w:pgSz w:w="12240" w:h="15840"/>
      <w:pgMar w:top="426" w:right="1418" w:bottom="1418" w:left="1418" w:header="709"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F4D17" w14:textId="77777777" w:rsidR="00261D7B" w:rsidRDefault="00261D7B" w:rsidP="00867A99">
      <w:pPr>
        <w:spacing w:after="0" w:line="240" w:lineRule="auto"/>
      </w:pPr>
      <w:r>
        <w:separator/>
      </w:r>
    </w:p>
  </w:endnote>
  <w:endnote w:type="continuationSeparator" w:id="0">
    <w:p w14:paraId="691D27B4" w14:textId="77777777" w:rsidR="00261D7B" w:rsidRDefault="00261D7B" w:rsidP="00867A99">
      <w:pPr>
        <w:spacing w:after="0" w:line="240" w:lineRule="auto"/>
      </w:pPr>
      <w:r>
        <w:continuationSeparator/>
      </w:r>
    </w:p>
  </w:endnote>
  <w:endnote w:type="continuationNotice" w:id="1">
    <w:p w14:paraId="0D790D78" w14:textId="77777777" w:rsidR="00261D7B" w:rsidRDefault="00261D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erif">
    <w:altName w:val="MS PMincho"/>
    <w:charset w:val="80"/>
    <w:family w:val="roman"/>
    <w:pitch w:val="variable"/>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58C33" w14:textId="77777777" w:rsidR="00C07F03" w:rsidRPr="00440DB9" w:rsidRDefault="00C07F03">
    <w:pPr>
      <w:pStyle w:val="Piedepgina"/>
      <w:jc w:val="right"/>
      <w:rPr>
        <w:rFonts w:ascii="ITC Avant Garde" w:hAnsi="ITC Avant Garde"/>
        <w:sz w:val="20"/>
        <w:szCs w:val="20"/>
      </w:rPr>
    </w:pPr>
    <w:r w:rsidRPr="00440DB9">
      <w:rPr>
        <w:rFonts w:ascii="ITC Avant Garde" w:hAnsi="ITC Avant Garde"/>
        <w:sz w:val="20"/>
        <w:szCs w:val="20"/>
      </w:rPr>
      <w:fldChar w:fldCharType="begin"/>
    </w:r>
    <w:r w:rsidRPr="00440DB9">
      <w:rPr>
        <w:rFonts w:ascii="ITC Avant Garde" w:hAnsi="ITC Avant Garde"/>
        <w:sz w:val="20"/>
        <w:szCs w:val="20"/>
      </w:rPr>
      <w:instrText>PAGE   \* MERGEFORMAT</w:instrText>
    </w:r>
    <w:r w:rsidRPr="00440DB9">
      <w:rPr>
        <w:rFonts w:ascii="ITC Avant Garde" w:hAnsi="ITC Avant Garde"/>
        <w:sz w:val="20"/>
        <w:szCs w:val="20"/>
      </w:rPr>
      <w:fldChar w:fldCharType="separate"/>
    </w:r>
    <w:r w:rsidR="00B60A83" w:rsidRPr="00B60A83">
      <w:rPr>
        <w:rFonts w:ascii="ITC Avant Garde" w:hAnsi="ITC Avant Garde"/>
        <w:noProof/>
        <w:sz w:val="20"/>
        <w:szCs w:val="20"/>
        <w:lang w:val="es-ES"/>
      </w:rPr>
      <w:t>1</w:t>
    </w:r>
    <w:r w:rsidRPr="00440DB9">
      <w:rPr>
        <w:rFonts w:ascii="ITC Avant Garde" w:hAnsi="ITC Avant Garde"/>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2744523"/>
      <w:docPartObj>
        <w:docPartGallery w:val="Page Numbers (Bottom of Page)"/>
        <w:docPartUnique/>
      </w:docPartObj>
    </w:sdtPr>
    <w:sdtEndPr>
      <w:rPr>
        <w:rFonts w:ascii="ITC Avant Garde" w:hAnsi="ITC Avant Garde"/>
        <w:sz w:val="20"/>
        <w:szCs w:val="20"/>
      </w:rPr>
    </w:sdtEndPr>
    <w:sdtContent>
      <w:p w14:paraId="40689BCF" w14:textId="4FBD38C6" w:rsidR="00AB5731" w:rsidRPr="00583167" w:rsidRDefault="00AB5731" w:rsidP="00583167">
        <w:pPr>
          <w:pStyle w:val="Piedepgina"/>
          <w:jc w:val="right"/>
          <w:rPr>
            <w:rFonts w:ascii="ITC Avant Garde" w:hAnsi="ITC Avant Garde"/>
            <w:sz w:val="20"/>
            <w:szCs w:val="20"/>
          </w:rPr>
        </w:pPr>
        <w:r w:rsidRPr="003C7944">
          <w:rPr>
            <w:rFonts w:ascii="ITC Avant Garde" w:hAnsi="ITC Avant Garde"/>
            <w:sz w:val="20"/>
            <w:szCs w:val="20"/>
          </w:rPr>
          <w:fldChar w:fldCharType="begin"/>
        </w:r>
        <w:r w:rsidRPr="003C7944">
          <w:rPr>
            <w:rFonts w:ascii="ITC Avant Garde" w:hAnsi="ITC Avant Garde"/>
            <w:sz w:val="20"/>
            <w:szCs w:val="20"/>
          </w:rPr>
          <w:instrText>PAGE   \* MERGEFORMAT</w:instrText>
        </w:r>
        <w:r w:rsidRPr="003C7944">
          <w:rPr>
            <w:rFonts w:ascii="ITC Avant Garde" w:hAnsi="ITC Avant Garde"/>
            <w:sz w:val="20"/>
            <w:szCs w:val="20"/>
          </w:rPr>
          <w:fldChar w:fldCharType="separate"/>
        </w:r>
        <w:r w:rsidR="00B60A83" w:rsidRPr="00B60A83">
          <w:rPr>
            <w:rFonts w:ascii="ITC Avant Garde" w:hAnsi="ITC Avant Garde"/>
            <w:noProof/>
            <w:sz w:val="20"/>
            <w:szCs w:val="20"/>
            <w:lang w:val="es-ES"/>
          </w:rPr>
          <w:t>45</w:t>
        </w:r>
        <w:r w:rsidRPr="003C7944">
          <w:rPr>
            <w:rFonts w:ascii="ITC Avant Garde" w:hAnsi="ITC Avant Garde"/>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DFA04" w14:textId="77777777" w:rsidR="00261D7B" w:rsidRDefault="00261D7B" w:rsidP="00867A99">
      <w:pPr>
        <w:spacing w:after="0" w:line="240" w:lineRule="auto"/>
      </w:pPr>
      <w:r>
        <w:separator/>
      </w:r>
    </w:p>
  </w:footnote>
  <w:footnote w:type="continuationSeparator" w:id="0">
    <w:p w14:paraId="385C7B14" w14:textId="77777777" w:rsidR="00261D7B" w:rsidRDefault="00261D7B" w:rsidP="00867A99">
      <w:pPr>
        <w:spacing w:after="0" w:line="240" w:lineRule="auto"/>
      </w:pPr>
      <w:r>
        <w:continuationSeparator/>
      </w:r>
    </w:p>
  </w:footnote>
  <w:footnote w:type="continuationNotice" w:id="1">
    <w:p w14:paraId="13D9637D" w14:textId="77777777" w:rsidR="00261D7B" w:rsidRDefault="00261D7B">
      <w:pPr>
        <w:spacing w:after="0" w:line="240" w:lineRule="auto"/>
      </w:pPr>
    </w:p>
  </w:footnote>
  <w:footnote w:id="2">
    <w:p w14:paraId="5F72AF40" w14:textId="0C3A649D" w:rsidR="00AB5731" w:rsidRPr="00613C17" w:rsidRDefault="00AB5731">
      <w:pPr>
        <w:pStyle w:val="Textonotapie"/>
        <w:rPr>
          <w:rFonts w:ascii="ITC Avant Garde" w:hAnsi="ITC Avant Garde"/>
          <w:sz w:val="18"/>
          <w:szCs w:val="18"/>
        </w:rPr>
      </w:pPr>
      <w:r>
        <w:rPr>
          <w:rStyle w:val="Refdenotaalpie"/>
        </w:rPr>
        <w:footnoteRef/>
      </w:r>
      <w:r>
        <w:t xml:space="preserve"> </w:t>
      </w:r>
      <w:r w:rsidRPr="00613C17">
        <w:rPr>
          <w:rFonts w:ascii="ITC Avant Garde" w:hAnsi="ITC Avant Garde"/>
          <w:sz w:val="18"/>
          <w:szCs w:val="18"/>
        </w:rPr>
        <w:t>Domicilio obtenido de las constancias que obran en la Unidad de Cumplimiento, en el Acta de Verificación número IFT/UC/DGV/346/2016, a foja número 23.</w:t>
      </w:r>
    </w:p>
  </w:footnote>
  <w:footnote w:id="3">
    <w:p w14:paraId="01E6F068" w14:textId="77777777" w:rsidR="00AB5731" w:rsidRPr="001478DE" w:rsidRDefault="00AB5731" w:rsidP="005A1245">
      <w:pPr>
        <w:pStyle w:val="Textonotapie"/>
        <w:rPr>
          <w:rFonts w:ascii="ITC Avant Garde" w:hAnsi="ITC Avant Garde"/>
          <w:sz w:val="18"/>
          <w:szCs w:val="18"/>
        </w:rPr>
      </w:pPr>
      <w:r w:rsidRPr="001478DE">
        <w:rPr>
          <w:rStyle w:val="Refdenotaalpie"/>
          <w:rFonts w:ascii="ITC Avant Garde" w:hAnsi="ITC Avant Garde"/>
          <w:sz w:val="18"/>
          <w:szCs w:val="18"/>
        </w:rPr>
        <w:footnoteRef/>
      </w:r>
      <w:r w:rsidRPr="001478DE">
        <w:rPr>
          <w:rFonts w:ascii="ITC Avant Garde" w:hAnsi="ITC Avant Garde"/>
          <w:sz w:val="18"/>
          <w:szCs w:val="18"/>
        </w:rPr>
        <w:t xml:space="preserve"> Visible en:</w:t>
      </w:r>
    </w:p>
    <w:p w14:paraId="13A16747" w14:textId="77777777" w:rsidR="00AB5731" w:rsidRPr="001478DE" w:rsidRDefault="00AB5731" w:rsidP="005A1245">
      <w:pPr>
        <w:pStyle w:val="Textonotapie"/>
        <w:rPr>
          <w:rFonts w:ascii="ITC Avant Garde" w:hAnsi="ITC Avant Garde"/>
          <w:sz w:val="18"/>
          <w:szCs w:val="18"/>
        </w:rPr>
      </w:pPr>
      <w:r w:rsidRPr="005867C7">
        <w:rPr>
          <w:rFonts w:ascii="ITC Avant Garde" w:hAnsi="ITC Avant Garde" w:cs="Arial"/>
          <w:sz w:val="18"/>
          <w:szCs w:val="18"/>
        </w:rPr>
        <w:t>http://www.ift.org.mx/sites/default/files/contenidogeneral/industria/infraestructurafm28-04-15_1.pdf</w:t>
      </w:r>
    </w:p>
  </w:footnote>
  <w:footnote w:id="4">
    <w:p w14:paraId="1B77DE9E" w14:textId="77777777" w:rsidR="00AB5731" w:rsidRPr="00774317" w:rsidRDefault="00AB5731" w:rsidP="00CF5603">
      <w:pPr>
        <w:pStyle w:val="Textonotapie"/>
        <w:jc w:val="both"/>
        <w:rPr>
          <w:rFonts w:ascii="ITC Avant Garde" w:hAnsi="ITC Avant Garde"/>
          <w:sz w:val="18"/>
          <w:szCs w:val="18"/>
        </w:rPr>
      </w:pPr>
      <w:r w:rsidRPr="00774317">
        <w:rPr>
          <w:rStyle w:val="Refdenotaalpie"/>
          <w:rFonts w:ascii="ITC Avant Garde" w:hAnsi="ITC Avant Garde"/>
          <w:b/>
          <w:sz w:val="18"/>
          <w:szCs w:val="18"/>
        </w:rPr>
        <w:footnoteRef/>
      </w:r>
      <w:r w:rsidRPr="00774317">
        <w:rPr>
          <w:rFonts w:ascii="ITC Avant Garde" w:hAnsi="ITC Avant Garde"/>
          <w:b/>
          <w:sz w:val="18"/>
          <w:szCs w:val="18"/>
        </w:rPr>
        <w:t xml:space="preserve"> </w:t>
      </w:r>
      <w:r w:rsidRPr="00774317">
        <w:rPr>
          <w:rFonts w:ascii="ITC Avant Garde" w:hAnsi="ITC Avant Garde"/>
          <w:sz w:val="18"/>
          <w:szCs w:val="18"/>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 w:id="5">
    <w:p w14:paraId="02AAFE67" w14:textId="14ED7126" w:rsidR="00AB5731" w:rsidRPr="00613C17" w:rsidRDefault="00AB5731" w:rsidP="00613C17">
      <w:pPr>
        <w:pStyle w:val="Textonotapie"/>
        <w:jc w:val="both"/>
        <w:rPr>
          <w:rFonts w:ascii="ITC Avant Garde" w:hAnsi="ITC Avant Garde"/>
          <w:sz w:val="18"/>
          <w:szCs w:val="18"/>
        </w:rPr>
      </w:pPr>
      <w:r>
        <w:rPr>
          <w:rStyle w:val="Refdenotaalpie"/>
        </w:rPr>
        <w:footnoteRef/>
      </w:r>
      <w:r>
        <w:t xml:space="preserve"> </w:t>
      </w:r>
      <w:r w:rsidRPr="00613C17">
        <w:rPr>
          <w:rFonts w:ascii="ITC Avant Garde" w:hAnsi="ITC Avant Garde"/>
          <w:sz w:val="18"/>
          <w:szCs w:val="18"/>
        </w:rPr>
        <w:t>Credencial de elector, emitida por el extinto Instituto Federal Electoral, emitida a favor del C. Juan Manuel Hernández Zamudio, que obra en el Acta de Verificación número IFT/UC/DGV/346/2016 de 18 de agosto de 2016, dentro del expediente E-IFT.UC.DG.SAN.V.0002/2017, hecho que se hace valer en términos del artículo 49 de la LFPA.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BA804" w14:textId="77777777" w:rsidR="00C07F03" w:rsidRDefault="00C07F03">
    <w:pPr>
      <w:pStyle w:val="Encabezado"/>
    </w:pPr>
    <w:r>
      <w:rPr>
        <w:noProof/>
        <w:lang w:eastAsia="es-MX"/>
      </w:rPr>
      <w:pict w14:anchorId="7F2C6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51" type="#_x0000_t75" style="position:absolute;margin-left:0;margin-top:0;width:612pt;height:11in;z-index:-251656192;mso-position-horizontal:center;mso-position-horizontal-relative:margin;mso-position-vertical:center;mso-position-vertical-relative:margin" o:allowincell="f">
          <v:imagedata r:id="rId1" o:title="hoja membretada-01"/>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39219" w14:textId="2EC46567" w:rsidR="00AB5731" w:rsidRPr="00B60A83" w:rsidRDefault="00B60A83" w:rsidP="00B60A8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A1F02" w14:textId="3E61A2F5" w:rsidR="00AB5731" w:rsidRPr="00B60A83" w:rsidRDefault="00B60A83" w:rsidP="00B60A8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E16D6" w14:textId="5DDDEAC1" w:rsidR="00AB5731" w:rsidRPr="00B60A83" w:rsidRDefault="00B60A83" w:rsidP="00B60A8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AFA44" w14:textId="49E2096B" w:rsidR="00AB5731" w:rsidRPr="00AB5731" w:rsidRDefault="00AB5731" w:rsidP="00AB5731">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95132" w14:textId="214CD5D2" w:rsidR="008F58E2" w:rsidRPr="00B60A83" w:rsidRDefault="00B60A83" w:rsidP="00B60A8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25FA3" w14:textId="161FA899" w:rsidR="006D6786" w:rsidRPr="006D6786" w:rsidRDefault="006D6786" w:rsidP="006D6786">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F66DD" w14:textId="2C2AA185" w:rsidR="006D6786" w:rsidRPr="00B60A83" w:rsidRDefault="00B60A83" w:rsidP="00B60A8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EE3FD" w14:textId="55788035" w:rsidR="006D6786" w:rsidRPr="006D6786" w:rsidRDefault="006D6786" w:rsidP="006D6786">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3BB2F" w14:textId="6259C20A" w:rsidR="006D6786" w:rsidRPr="00B60A83" w:rsidRDefault="00B60A83" w:rsidP="00B60A8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6FCBA" w14:textId="464A3B7A" w:rsidR="006D6786" w:rsidRPr="006D6786" w:rsidRDefault="006D6786" w:rsidP="006D678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E9CE8" w14:textId="2F1CB3FE" w:rsidR="00C07F03" w:rsidRPr="00C07F03" w:rsidRDefault="00C07F03" w:rsidP="00C07F0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La leyenda “CONFIDENCIAL POR LEY” corresponde a texto eliminado</w:t>
    </w:r>
    <w:r w:rsidRPr="00AB5731">
      <w:rPr>
        <w:rFonts w:ascii="ITC Avant Garde" w:hAnsi="ITC Avant Garde"/>
        <w:b/>
        <w:color w:val="0000FF"/>
        <w:sz w:val="20"/>
        <w:szCs w:val="20"/>
      </w:rPr>
      <w:t xml:space="preserve"> con fundamento en </w:t>
    </w:r>
    <w:r w:rsidRPr="00C07F03">
      <w:rPr>
        <w:rFonts w:ascii="ITC Avant Garde" w:hAnsi="ITC Avant Garde"/>
        <w:b/>
        <w:color w:val="0000FF"/>
        <w:sz w:val="20"/>
        <w:szCs w:val="20"/>
      </w:rPr>
      <w:t>con fundamento en el artículo 113, fracción I de la “LFTAIP” publicada en el Diario Oficial de la Federación (DOF) el 9 de mayo de 2016; así como el artículo 116 de la “LGTAIP”, publicada en el DOF el 4 de mayo de 2015; así como el Lineamiento Trigésimo Octavo, fracción I de los “LCCDIEVP”, publicado en el DOF el 15 de abril de 2016</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DF0E0" w14:textId="19971231" w:rsidR="006D6786" w:rsidRPr="00B60A83" w:rsidRDefault="00B60A83" w:rsidP="00B60A8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1D9F2" w14:textId="0FD2E066" w:rsidR="006D6786" w:rsidRPr="006D6786" w:rsidRDefault="006D6786" w:rsidP="006D6786">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3732D" w14:textId="77FC770F" w:rsidR="006D6786" w:rsidRPr="00B60A83" w:rsidRDefault="00B60A83" w:rsidP="00B60A8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92A3C" w14:textId="40061F68" w:rsidR="006D6786" w:rsidRPr="006D6786" w:rsidRDefault="006D6786" w:rsidP="006D6786">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94380" w14:textId="7755D727" w:rsidR="006D6786" w:rsidRPr="00B60A83" w:rsidRDefault="00B60A83" w:rsidP="00B60A8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474E0" w14:textId="40447CEF" w:rsidR="006D6786" w:rsidRPr="006D6786" w:rsidRDefault="006D6786" w:rsidP="006D6786">
    <w:pPr>
      <w:pStyle w:val="Encabezad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17ED3" w14:textId="442AC902" w:rsidR="006D6786" w:rsidRPr="00B60A83" w:rsidRDefault="00B60A83" w:rsidP="00B60A8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BD3CE" w14:textId="15EB7D50" w:rsidR="006D6786" w:rsidRPr="00B60A83" w:rsidRDefault="00B60A83" w:rsidP="00B60A8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E1E9C" w14:textId="786938A2" w:rsidR="006D6786" w:rsidRPr="006D6786" w:rsidRDefault="006D6786" w:rsidP="006D678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A07B6" w14:textId="77777777" w:rsidR="00C07F03" w:rsidRDefault="00C07F03">
    <w:pPr>
      <w:pStyle w:val="Encabezado"/>
    </w:pPr>
    <w:r>
      <w:rPr>
        <w:noProof/>
        <w:lang w:eastAsia="es-MX"/>
      </w:rPr>
      <w:pict w14:anchorId="6682A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52" type="#_x0000_t75" style="position:absolute;margin-left:0;margin-top:0;width:612pt;height:11in;z-index:-251655168;mso-position-horizontal:center;mso-position-horizontal-relative:margin;mso-position-vertical:center;mso-position-vertical-relative:margin" o:allowincell="f">
          <v:imagedata r:id="rId1" o:title="hoja membretada-0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7D275" w14:textId="77777777" w:rsidR="00AB5731" w:rsidRDefault="00261D7B">
    <w:pPr>
      <w:pStyle w:val="Encabezado"/>
    </w:pPr>
    <w:r>
      <w:rPr>
        <w:noProof/>
        <w:lang w:eastAsia="es-MX"/>
      </w:rPr>
      <w:pict w14:anchorId="305FA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2B9F7" w14:textId="77777777" w:rsidR="00AB5731" w:rsidRPr="00191470" w:rsidRDefault="00AB5731" w:rsidP="00AB5731">
    <w:pPr>
      <w:pStyle w:val="Encabezado"/>
      <w:spacing w:after="240"/>
      <w:jc w:val="both"/>
      <w:rPr>
        <w:rFonts w:ascii="ITC Avant Garde" w:hAnsi="ITC Avant Garde"/>
        <w:b/>
        <w:color w:val="0000FF"/>
        <w:sz w:val="20"/>
        <w:szCs w:val="20"/>
      </w:rPr>
    </w:pPr>
    <w:r w:rsidRPr="00191470">
      <w:rPr>
        <w:rFonts w:ascii="ITC Avant Garde" w:hAnsi="ITC Avant Garde"/>
        <w:b/>
        <w:color w:val="0000FF"/>
        <w:sz w:val="20"/>
        <w:szCs w:val="20"/>
      </w:rPr>
      <w:t>VERSIÓN PÚBLICA, de conformidad con los artículos 23 y 116 de la Ley General de Transparencia y Acceso a la Información Pública, 113, fracciones I, II y III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Sexagésimo Primero de los Lineamientos Generales en materia de clasificación y desclasificación de la Información, así como para la elaboración de Versiones Públicas.</w:t>
    </w:r>
  </w:p>
  <w:p w14:paraId="7BD66CFA" w14:textId="43623FBF" w:rsidR="00AB5731" w:rsidRPr="00AB5731" w:rsidRDefault="00B60A83" w:rsidP="00AB5731">
    <w:pPr>
      <w:pStyle w:val="Encabezado"/>
      <w:spacing w:after="240"/>
      <w:ind w:left="2410"/>
      <w:jc w:val="both"/>
      <w:rPr>
        <w:rFonts w:ascii="ITC Avant Garde" w:hAnsi="ITC Avant Garde"/>
        <w:b/>
        <w:color w:val="0000FF"/>
        <w:sz w:val="20"/>
        <w:szCs w:val="20"/>
      </w:rPr>
    </w:pPr>
    <w:r>
      <w:rPr>
        <w:rFonts w:ascii="ITC Avant Garde" w:hAnsi="ITC Avant Garde"/>
        <w:b/>
        <w:color w:val="0000FF"/>
        <w:sz w:val="20"/>
        <w:szCs w:val="20"/>
      </w:rPr>
      <w:t>Texto ELIMINADO</w:t>
    </w:r>
    <w:r w:rsidR="00AB5731" w:rsidRPr="00AB5731">
      <w:rPr>
        <w:rFonts w:ascii="ITC Avant Garde" w:hAnsi="ITC Avant Garde"/>
        <w:b/>
        <w:color w:val="0000FF"/>
        <w:sz w:val="20"/>
        <w:szCs w:val="20"/>
      </w:rPr>
      <w:t xml:space="preserve"> con fundamento en </w:t>
    </w:r>
    <w:r w:rsidR="00AB5731" w:rsidRPr="00191470">
      <w:rPr>
        <w:rFonts w:ascii="ITC Avant Garde" w:hAnsi="ITC Avant Garde"/>
        <w:b/>
        <w:color w:val="0000FF"/>
        <w:sz w:val="20"/>
        <w:szCs w:val="20"/>
      </w:rPr>
      <w:t>los artículos 23 y 116 de la Ley General de Transparencia y Acceso a la I</w:t>
    </w:r>
    <w:r w:rsidR="00AB5731">
      <w:rPr>
        <w:rFonts w:ascii="ITC Avant Garde" w:hAnsi="ITC Avant Garde"/>
        <w:b/>
        <w:color w:val="0000FF"/>
        <w:sz w:val="20"/>
        <w:szCs w:val="20"/>
      </w:rPr>
      <w:t>nformación Pública, 113, fracció</w:t>
    </w:r>
    <w:r w:rsidR="00AB5731"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sidR="00AB5731">
      <w:rPr>
        <w:rFonts w:ascii="ITC Avant Garde" w:hAnsi="ITC Avant Garde"/>
        <w:b/>
        <w:color w:val="0000FF"/>
        <w:sz w:val="20"/>
        <w:szCs w:val="20"/>
      </w:rPr>
      <w:t>,</w:t>
    </w:r>
    <w:r w:rsidR="00AB5731" w:rsidRPr="00191470">
      <w:rPr>
        <w:rFonts w:ascii="ITC Avant Garde" w:hAnsi="ITC Avant Garde"/>
        <w:b/>
        <w:color w:val="0000FF"/>
        <w:sz w:val="20"/>
        <w:szCs w:val="20"/>
      </w:rPr>
      <w:t xml:space="preserve"> y Lineamiento </w:t>
    </w:r>
    <w:r w:rsidR="00AB5731">
      <w:rPr>
        <w:rFonts w:ascii="ITC Avant Garde" w:hAnsi="ITC Avant Garde"/>
        <w:b/>
        <w:color w:val="0000FF"/>
        <w:sz w:val="20"/>
        <w:szCs w:val="20"/>
      </w:rPr>
      <w:t>Trigésimo Octavo</w:t>
    </w:r>
    <w:r w:rsidR="00AB5731" w:rsidRPr="00191470">
      <w:rPr>
        <w:rFonts w:ascii="ITC Avant Garde" w:hAnsi="ITC Avant Garde"/>
        <w:b/>
        <w:color w:val="0000FF"/>
        <w:sz w:val="20"/>
        <w:szCs w:val="20"/>
      </w:rPr>
      <w:t xml:space="preserve"> de los Lineamientos Generales en materia de clasificación y desclasificación de la Información</w:t>
    </w:r>
    <w:r w:rsidR="00AB5731" w:rsidRPr="00AB5731">
      <w:rPr>
        <w:rFonts w:ascii="ITC Avant Garde" w:hAnsi="ITC Avant Garde"/>
        <w:b/>
        <w:color w:val="0000FF"/>
        <w:sz w:val="20"/>
        <w:szCs w:val="20"/>
      </w:rPr>
      <w:t>,</w:t>
    </w:r>
    <w:r w:rsidR="00AB5731">
      <w:rPr>
        <w:rFonts w:ascii="ITC Avant Garde" w:hAnsi="ITC Avant Garde"/>
        <w:b/>
        <w:color w:val="0000FF"/>
        <w:sz w:val="20"/>
        <w:szCs w:val="20"/>
      </w:rPr>
      <w:t xml:space="preserve"> </w:t>
    </w:r>
    <w:r w:rsidR="00AB5731" w:rsidRPr="00191470">
      <w:rPr>
        <w:rFonts w:ascii="ITC Avant Garde" w:hAnsi="ITC Avant Garde"/>
        <w:b/>
        <w:color w:val="0000FF"/>
        <w:sz w:val="20"/>
        <w:szCs w:val="20"/>
      </w:rPr>
      <w:t>así como para la elaboración de Versiones Públicas</w:t>
    </w:r>
    <w:r w:rsidR="00AB5731">
      <w:rPr>
        <w:rFonts w:ascii="ITC Avant Garde" w:hAnsi="ITC Avant Garde"/>
        <w:b/>
        <w:color w:val="0000FF"/>
        <w:sz w:val="20"/>
        <w:szCs w:val="20"/>
      </w:rPr>
      <w:t>,</w:t>
    </w:r>
    <w:r w:rsidR="00AB5731" w:rsidRPr="00AB5731">
      <w:rPr>
        <w:rFonts w:ascii="ITC Avant Garde" w:hAnsi="ITC Avant Garde"/>
        <w:b/>
        <w:color w:val="0000FF"/>
        <w:sz w:val="20"/>
        <w:szCs w:val="20"/>
      </w:rPr>
      <w:t xml:space="preserve"> en virtud de contener datos personales.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DB354" w14:textId="77777777" w:rsidR="00AB5731" w:rsidRDefault="00261D7B">
    <w:pPr>
      <w:pStyle w:val="Encabezado"/>
    </w:pPr>
    <w:r>
      <w:rPr>
        <w:noProof/>
        <w:lang w:eastAsia="es-MX"/>
      </w:rPr>
      <w:pict w14:anchorId="61919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0;margin-top:0;width:612pt;height:11in;z-index:-251659264;mso-position-horizontal:center;mso-position-horizontal-relative:margin;mso-position-vertical:center;mso-position-vertical-relative:margin" o:allowincell="f">
          <v:imagedata r:id="rId1" o:title="hoja membretada s dir-01"/>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98EC3" w14:textId="2FD3F52D" w:rsidR="00AB5731" w:rsidRPr="00AB5731" w:rsidRDefault="00B60A83" w:rsidP="00AB5731">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00AB5731" w:rsidRPr="00AB5731">
      <w:rPr>
        <w:rFonts w:ascii="ITC Avant Garde" w:hAnsi="ITC Avant Garde"/>
        <w:b/>
        <w:color w:val="0000FF"/>
        <w:sz w:val="20"/>
        <w:szCs w:val="20"/>
      </w:rPr>
      <w:t xml:space="preserve"> con fundamento en </w:t>
    </w:r>
    <w:r w:rsidR="00AB5731" w:rsidRPr="00191470">
      <w:rPr>
        <w:rFonts w:ascii="ITC Avant Garde" w:hAnsi="ITC Avant Garde"/>
        <w:b/>
        <w:color w:val="0000FF"/>
        <w:sz w:val="20"/>
        <w:szCs w:val="20"/>
      </w:rPr>
      <w:t>los artículos 23 y 116 de la Ley General de Transparencia y Acceso a la I</w:t>
    </w:r>
    <w:r w:rsidR="00AB5731">
      <w:rPr>
        <w:rFonts w:ascii="ITC Avant Garde" w:hAnsi="ITC Avant Garde"/>
        <w:b/>
        <w:color w:val="0000FF"/>
        <w:sz w:val="20"/>
        <w:szCs w:val="20"/>
      </w:rPr>
      <w:t>nformación Pública, 113, fracció</w:t>
    </w:r>
    <w:r w:rsidR="00AB5731"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sidR="00AB5731">
      <w:rPr>
        <w:rFonts w:ascii="ITC Avant Garde" w:hAnsi="ITC Avant Garde"/>
        <w:b/>
        <w:color w:val="0000FF"/>
        <w:sz w:val="20"/>
        <w:szCs w:val="20"/>
      </w:rPr>
      <w:t>,</w:t>
    </w:r>
    <w:r w:rsidR="00AB5731" w:rsidRPr="00191470">
      <w:rPr>
        <w:rFonts w:ascii="ITC Avant Garde" w:hAnsi="ITC Avant Garde"/>
        <w:b/>
        <w:color w:val="0000FF"/>
        <w:sz w:val="20"/>
        <w:szCs w:val="20"/>
      </w:rPr>
      <w:t xml:space="preserve"> y Lineamiento </w:t>
    </w:r>
    <w:r w:rsidR="00AB5731">
      <w:rPr>
        <w:rFonts w:ascii="ITC Avant Garde" w:hAnsi="ITC Avant Garde"/>
        <w:b/>
        <w:color w:val="0000FF"/>
        <w:sz w:val="20"/>
        <w:szCs w:val="20"/>
      </w:rPr>
      <w:t>Trigésimo Octavo</w:t>
    </w:r>
    <w:r w:rsidR="00AB5731" w:rsidRPr="00191470">
      <w:rPr>
        <w:rFonts w:ascii="ITC Avant Garde" w:hAnsi="ITC Avant Garde"/>
        <w:b/>
        <w:color w:val="0000FF"/>
        <w:sz w:val="20"/>
        <w:szCs w:val="20"/>
      </w:rPr>
      <w:t xml:space="preserve"> de los Lineamientos Generales en materia de clasificación y desclasificación de la Información</w:t>
    </w:r>
    <w:r w:rsidR="00AB5731" w:rsidRPr="00AB5731">
      <w:rPr>
        <w:rFonts w:ascii="ITC Avant Garde" w:hAnsi="ITC Avant Garde"/>
        <w:b/>
        <w:color w:val="0000FF"/>
        <w:sz w:val="20"/>
        <w:szCs w:val="20"/>
      </w:rPr>
      <w:t>,</w:t>
    </w:r>
    <w:r w:rsidR="00AB5731">
      <w:rPr>
        <w:rFonts w:ascii="ITC Avant Garde" w:hAnsi="ITC Avant Garde"/>
        <w:b/>
        <w:color w:val="0000FF"/>
        <w:sz w:val="20"/>
        <w:szCs w:val="20"/>
      </w:rPr>
      <w:t xml:space="preserve"> </w:t>
    </w:r>
    <w:r w:rsidR="00AB5731" w:rsidRPr="00191470">
      <w:rPr>
        <w:rFonts w:ascii="ITC Avant Garde" w:hAnsi="ITC Avant Garde"/>
        <w:b/>
        <w:color w:val="0000FF"/>
        <w:sz w:val="20"/>
        <w:szCs w:val="20"/>
      </w:rPr>
      <w:t>así como para la elaboración de Versiones Públicas</w:t>
    </w:r>
    <w:r w:rsidR="00AB5731">
      <w:rPr>
        <w:rFonts w:ascii="ITC Avant Garde" w:hAnsi="ITC Avant Garde"/>
        <w:b/>
        <w:color w:val="0000FF"/>
        <w:sz w:val="20"/>
        <w:szCs w:val="20"/>
      </w:rPr>
      <w:t>,</w:t>
    </w:r>
    <w:r w:rsidR="00AB5731" w:rsidRPr="00AB5731">
      <w:rPr>
        <w:rFonts w:ascii="ITC Avant Garde" w:hAnsi="ITC Avant Garde"/>
        <w:b/>
        <w:color w:val="0000FF"/>
        <w:sz w:val="20"/>
        <w:szCs w:val="20"/>
      </w:rPr>
      <w:t xml:space="preserve"> en virtud de contener datos personales.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BC124" w14:textId="18629668" w:rsidR="00AB5731" w:rsidRPr="00B60A83" w:rsidRDefault="00B60A83" w:rsidP="00B60A8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E4403" w14:textId="3DA2921B" w:rsidR="00AB5731" w:rsidRPr="00B60A83" w:rsidRDefault="00B60A83" w:rsidP="00B60A83">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Texto ELIMINADO</w:t>
    </w:r>
    <w:r w:rsidRPr="00AB5731">
      <w:rPr>
        <w:rFonts w:ascii="ITC Avant Garde" w:hAnsi="ITC Avant Garde"/>
        <w:b/>
        <w:color w:val="0000FF"/>
        <w:sz w:val="20"/>
        <w:szCs w:val="20"/>
      </w:rPr>
      <w:t xml:space="preserve"> con fundamento en </w:t>
    </w:r>
    <w:r w:rsidRPr="00191470">
      <w:rPr>
        <w:rFonts w:ascii="ITC Avant Garde" w:hAnsi="ITC Avant Garde"/>
        <w:b/>
        <w:color w:val="0000FF"/>
        <w:sz w:val="20"/>
        <w:szCs w:val="20"/>
      </w:rPr>
      <w:t>los artículos 23 y 116 de la Ley General de Transparencia y Acceso a la I</w:t>
    </w:r>
    <w:r>
      <w:rPr>
        <w:rFonts w:ascii="ITC Avant Garde" w:hAnsi="ITC Avant Garde"/>
        <w:b/>
        <w:color w:val="0000FF"/>
        <w:sz w:val="20"/>
        <w:szCs w:val="20"/>
      </w:rPr>
      <w:t>nformación Pública, 113, fracció</w:t>
    </w:r>
    <w:r w:rsidRPr="00191470">
      <w:rPr>
        <w:rFonts w:ascii="ITC Avant Garde" w:hAnsi="ITC Avant Garde"/>
        <w:b/>
        <w:color w:val="0000FF"/>
        <w:sz w:val="20"/>
        <w:szCs w:val="20"/>
      </w:rPr>
      <w:t>n 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Trigésimo Octavo</w:t>
    </w:r>
    <w:r w:rsidRPr="00191470">
      <w:rPr>
        <w:rFonts w:ascii="ITC Avant Garde" w:hAnsi="ITC Avant Garde"/>
        <w:b/>
        <w:color w:val="0000FF"/>
        <w:sz w:val="20"/>
        <w:szCs w:val="20"/>
      </w:rPr>
      <w:t xml:space="preserve"> de los Lineamientos Generales en materia de clasificación y desclasificación de la Información</w:t>
    </w:r>
    <w:r w:rsidRPr="00AB5731">
      <w:rPr>
        <w:rFonts w:ascii="ITC Avant Garde" w:hAnsi="ITC Avant Garde"/>
        <w:b/>
        <w:color w:val="0000FF"/>
        <w:sz w:val="20"/>
        <w:szCs w:val="20"/>
      </w:rPr>
      <w:t>,</w:t>
    </w:r>
    <w:r>
      <w:rPr>
        <w:rFonts w:ascii="ITC Avant Garde" w:hAnsi="ITC Avant Garde"/>
        <w:b/>
        <w:color w:val="0000FF"/>
        <w:sz w:val="20"/>
        <w:szCs w:val="20"/>
      </w:rPr>
      <w:t xml:space="preserve"> </w:t>
    </w:r>
    <w:r w:rsidRPr="00191470">
      <w:rPr>
        <w:rFonts w:ascii="ITC Avant Garde" w:hAnsi="ITC Avant Garde"/>
        <w:b/>
        <w:color w:val="0000FF"/>
        <w:sz w:val="20"/>
        <w:szCs w:val="20"/>
      </w:rPr>
      <w:t>así como para la elaboración de Versiones Públicas</w:t>
    </w:r>
    <w:r>
      <w:rPr>
        <w:rFonts w:ascii="ITC Avant Garde" w:hAnsi="ITC Avant Garde"/>
        <w:b/>
        <w:color w:val="0000FF"/>
        <w:sz w:val="20"/>
        <w:szCs w:val="20"/>
      </w:rPr>
      <w:t>,</w:t>
    </w:r>
    <w:r w:rsidRPr="00AB5731">
      <w:rPr>
        <w:rFonts w:ascii="ITC Avant Garde" w:hAnsi="ITC Avant Garde"/>
        <w:b/>
        <w:color w:val="0000FF"/>
        <w:sz w:val="20"/>
        <w:szCs w:val="20"/>
      </w:rPr>
      <w:t xml:space="preserve"> en virtud de contener datos personales.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D221928"/>
    <w:lvl w:ilvl="0">
      <w:start w:val="1"/>
      <w:numFmt w:val="decimal"/>
      <w:pStyle w:val="Listaconnmeros"/>
      <w:lvlText w:val="%1."/>
      <w:lvlJc w:val="left"/>
      <w:pPr>
        <w:tabs>
          <w:tab w:val="num" w:pos="360"/>
        </w:tabs>
        <w:ind w:left="360" w:hanging="360"/>
      </w:pPr>
    </w:lvl>
  </w:abstractNum>
  <w:abstractNum w:abstractNumId="1" w15:restartNumberingAfterBreak="0">
    <w:nsid w:val="016E78AE"/>
    <w:multiLevelType w:val="hybridMultilevel"/>
    <w:tmpl w:val="7CA69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2796A"/>
    <w:multiLevelType w:val="hybridMultilevel"/>
    <w:tmpl w:val="5A8653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5260F"/>
    <w:multiLevelType w:val="hybridMultilevel"/>
    <w:tmpl w:val="35566F66"/>
    <w:lvl w:ilvl="0" w:tplc="76D4461C">
      <w:start w:val="1"/>
      <w:numFmt w:val="upperRoman"/>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C26F9C"/>
    <w:multiLevelType w:val="hybridMultilevel"/>
    <w:tmpl w:val="1DDE3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E33FE4"/>
    <w:multiLevelType w:val="hybridMultilevel"/>
    <w:tmpl w:val="BDF88B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4205CB6"/>
    <w:multiLevelType w:val="hybridMultilevel"/>
    <w:tmpl w:val="FBA80AA6"/>
    <w:lvl w:ilvl="0" w:tplc="FC1C82B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AB4DC2"/>
    <w:multiLevelType w:val="hybridMultilevel"/>
    <w:tmpl w:val="E6C226CC"/>
    <w:lvl w:ilvl="0" w:tplc="3D44E884">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3B1F7B"/>
    <w:multiLevelType w:val="hybridMultilevel"/>
    <w:tmpl w:val="3F5AD33C"/>
    <w:lvl w:ilvl="0" w:tplc="94C6105E">
      <w:start w:val="4"/>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9524A26"/>
    <w:multiLevelType w:val="hybridMultilevel"/>
    <w:tmpl w:val="0BA65FEC"/>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AC556C5"/>
    <w:multiLevelType w:val="hybridMultilevel"/>
    <w:tmpl w:val="63507D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0D03D1"/>
    <w:multiLevelType w:val="hybridMultilevel"/>
    <w:tmpl w:val="0BA65FEC"/>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51295612"/>
    <w:multiLevelType w:val="hybridMultilevel"/>
    <w:tmpl w:val="7152CAC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5473046F"/>
    <w:multiLevelType w:val="hybridMultilevel"/>
    <w:tmpl w:val="AD669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772BA7"/>
    <w:multiLevelType w:val="hybridMultilevel"/>
    <w:tmpl w:val="DABA99CA"/>
    <w:lvl w:ilvl="0" w:tplc="76D4461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57A517FB"/>
    <w:multiLevelType w:val="hybridMultilevel"/>
    <w:tmpl w:val="C1F6B0CA"/>
    <w:lvl w:ilvl="0" w:tplc="96467BA4">
      <w:start w:val="1"/>
      <w:numFmt w:val="lowerLetter"/>
      <w:lvlText w:val="%1)"/>
      <w:lvlJc w:val="left"/>
      <w:pPr>
        <w:ind w:left="720" w:hanging="360"/>
      </w:pPr>
      <w:rPr>
        <w:rFonts w:eastAsia="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542899"/>
    <w:multiLevelType w:val="hybridMultilevel"/>
    <w:tmpl w:val="A8E04B8E"/>
    <w:lvl w:ilvl="0" w:tplc="CBF4C810">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DC469D"/>
    <w:multiLevelType w:val="hybridMultilevel"/>
    <w:tmpl w:val="31944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C8F200B"/>
    <w:multiLevelType w:val="hybridMultilevel"/>
    <w:tmpl w:val="F7484662"/>
    <w:lvl w:ilvl="0" w:tplc="45E26B26">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D756A1"/>
    <w:multiLevelType w:val="hybridMultilevel"/>
    <w:tmpl w:val="64D605B4"/>
    <w:lvl w:ilvl="0" w:tplc="76D4461C">
      <w:start w:val="1"/>
      <w:numFmt w:val="upperRoman"/>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CF32AB"/>
    <w:multiLevelType w:val="hybridMultilevel"/>
    <w:tmpl w:val="B04A7EE0"/>
    <w:lvl w:ilvl="0" w:tplc="D488DC52">
      <w:start w:val="1"/>
      <w:numFmt w:val="lowerRoman"/>
      <w:lvlText w:val="%1."/>
      <w:lvlJc w:val="right"/>
      <w:pPr>
        <w:ind w:left="1800" w:hanging="360"/>
      </w:pPr>
      <w:rPr>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1" w15:restartNumberingAfterBreak="0">
    <w:nsid w:val="6E6C6A25"/>
    <w:multiLevelType w:val="hybridMultilevel"/>
    <w:tmpl w:val="BFAA4DB8"/>
    <w:lvl w:ilvl="0" w:tplc="B81C8684">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Arial"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Arial"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Arial"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05703C0"/>
    <w:multiLevelType w:val="hybridMultilevel"/>
    <w:tmpl w:val="FCFAB6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72F56F70"/>
    <w:multiLevelType w:val="hybridMultilevel"/>
    <w:tmpl w:val="FEA25626"/>
    <w:lvl w:ilvl="0" w:tplc="917483A0">
      <w:start w:val="1"/>
      <w:numFmt w:val="lowerLetter"/>
      <w:lvlText w:val="%1)"/>
      <w:lvlJc w:val="left"/>
      <w:pPr>
        <w:ind w:left="720" w:hanging="360"/>
      </w:pPr>
      <w:rPr>
        <w:rFonts w:eastAsia="Times New Roman"/>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333397E"/>
    <w:multiLevelType w:val="hybridMultilevel"/>
    <w:tmpl w:val="DAE2BB7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5F74A8F"/>
    <w:multiLevelType w:val="hybridMultilevel"/>
    <w:tmpl w:val="950C7318"/>
    <w:lvl w:ilvl="0" w:tplc="CC64968A">
      <w:start w:val="1"/>
      <w:numFmt w:val="lowerRoman"/>
      <w:lvlText w:val="%1)"/>
      <w:lvlJc w:val="left"/>
      <w:pPr>
        <w:ind w:left="1571" w:hanging="360"/>
      </w:pPr>
      <w:rPr>
        <w:rFonts w:hint="default"/>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798A7596"/>
    <w:multiLevelType w:val="hybridMultilevel"/>
    <w:tmpl w:val="40F43E76"/>
    <w:lvl w:ilvl="0" w:tplc="8F009C74">
      <w:start w:val="1"/>
      <w:numFmt w:val="upperLetter"/>
      <w:lvlText w:val="%1."/>
      <w:lvlJc w:val="left"/>
      <w:pPr>
        <w:ind w:left="1074" w:hanging="360"/>
      </w:pPr>
      <w:rPr>
        <w:b/>
      </w:rPr>
    </w:lvl>
    <w:lvl w:ilvl="1" w:tplc="080A0019">
      <w:start w:val="1"/>
      <w:numFmt w:val="lowerLetter"/>
      <w:lvlText w:val="%2."/>
      <w:lvlJc w:val="left"/>
      <w:pPr>
        <w:ind w:left="1794" w:hanging="360"/>
      </w:pPr>
    </w:lvl>
    <w:lvl w:ilvl="2" w:tplc="080A001B">
      <w:start w:val="1"/>
      <w:numFmt w:val="lowerRoman"/>
      <w:lvlText w:val="%3."/>
      <w:lvlJc w:val="right"/>
      <w:pPr>
        <w:ind w:left="2514" w:hanging="180"/>
      </w:pPr>
    </w:lvl>
    <w:lvl w:ilvl="3" w:tplc="080A000F">
      <w:start w:val="1"/>
      <w:numFmt w:val="decimal"/>
      <w:lvlText w:val="%4."/>
      <w:lvlJc w:val="left"/>
      <w:pPr>
        <w:ind w:left="3234" w:hanging="360"/>
      </w:pPr>
    </w:lvl>
    <w:lvl w:ilvl="4" w:tplc="080A0019">
      <w:start w:val="1"/>
      <w:numFmt w:val="lowerLetter"/>
      <w:lvlText w:val="%5."/>
      <w:lvlJc w:val="left"/>
      <w:pPr>
        <w:ind w:left="3954" w:hanging="360"/>
      </w:pPr>
    </w:lvl>
    <w:lvl w:ilvl="5" w:tplc="080A001B">
      <w:start w:val="1"/>
      <w:numFmt w:val="lowerRoman"/>
      <w:lvlText w:val="%6."/>
      <w:lvlJc w:val="right"/>
      <w:pPr>
        <w:ind w:left="4674" w:hanging="180"/>
      </w:pPr>
    </w:lvl>
    <w:lvl w:ilvl="6" w:tplc="080A000F">
      <w:start w:val="1"/>
      <w:numFmt w:val="decimal"/>
      <w:lvlText w:val="%7."/>
      <w:lvlJc w:val="left"/>
      <w:pPr>
        <w:ind w:left="5394" w:hanging="360"/>
      </w:pPr>
    </w:lvl>
    <w:lvl w:ilvl="7" w:tplc="080A0019">
      <w:start w:val="1"/>
      <w:numFmt w:val="lowerLetter"/>
      <w:lvlText w:val="%8."/>
      <w:lvlJc w:val="left"/>
      <w:pPr>
        <w:ind w:left="6114" w:hanging="360"/>
      </w:pPr>
    </w:lvl>
    <w:lvl w:ilvl="8" w:tplc="080A001B">
      <w:start w:val="1"/>
      <w:numFmt w:val="lowerRoman"/>
      <w:lvlText w:val="%9."/>
      <w:lvlJc w:val="right"/>
      <w:pPr>
        <w:ind w:left="6834" w:hanging="180"/>
      </w:pPr>
    </w:lvl>
  </w:abstractNum>
  <w:abstractNum w:abstractNumId="27" w15:restartNumberingAfterBreak="0">
    <w:nsid w:val="7FAF3194"/>
    <w:multiLevelType w:val="hybridMultilevel"/>
    <w:tmpl w:val="61628578"/>
    <w:lvl w:ilvl="0" w:tplc="080A000D">
      <w:start w:val="1"/>
      <w:numFmt w:val="bullet"/>
      <w:lvlText w:val=""/>
      <w:lvlJc w:val="left"/>
      <w:pPr>
        <w:ind w:left="688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4"/>
  </w:num>
  <w:num w:numId="5">
    <w:abstractNumId w:val="1"/>
  </w:num>
  <w:num w:numId="6">
    <w:abstractNumId w:val="13"/>
  </w:num>
  <w:num w:numId="7">
    <w:abstractNumId w:val="7"/>
  </w:num>
  <w:num w:numId="8">
    <w:abstractNumId w:val="5"/>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lvlOverride w:ilvl="2"/>
    <w:lvlOverride w:ilvl="3"/>
    <w:lvlOverride w:ilvl="4"/>
    <w:lvlOverride w:ilvl="5"/>
    <w:lvlOverride w:ilvl="6"/>
    <w:lvlOverride w:ilvl="7"/>
    <w:lvlOverride w:ilvl="8"/>
  </w:num>
  <w:num w:numId="14">
    <w:abstractNumId w:val="2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3"/>
  </w:num>
  <w:num w:numId="18">
    <w:abstractNumId w:val="9"/>
  </w:num>
  <w:num w:numId="19">
    <w:abstractNumId w:val="19"/>
  </w:num>
  <w:num w:numId="20">
    <w:abstractNumId w:val="11"/>
  </w:num>
  <w:num w:numId="21">
    <w:abstractNumId w:val="27"/>
  </w:num>
  <w:num w:numId="22">
    <w:abstractNumId w:val="21"/>
  </w:num>
  <w:num w:numId="23">
    <w:abstractNumId w:val="17"/>
  </w:num>
  <w:num w:numId="24">
    <w:abstractNumId w:val="15"/>
  </w:num>
  <w:num w:numId="25">
    <w:abstractNumId w:val="22"/>
  </w:num>
  <w:num w:numId="26">
    <w:abstractNumId w:val="2"/>
  </w:num>
  <w:num w:numId="27">
    <w:abstractNumId w:val="18"/>
  </w:num>
  <w:num w:numId="28">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trackedChanges" w:enforcement="0"/>
  <w:defaultTabStop w:val="708"/>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A99"/>
    <w:rsid w:val="00000D41"/>
    <w:rsid w:val="000027CA"/>
    <w:rsid w:val="00005620"/>
    <w:rsid w:val="0000603E"/>
    <w:rsid w:val="00006C1E"/>
    <w:rsid w:val="000105C7"/>
    <w:rsid w:val="00011168"/>
    <w:rsid w:val="00011F58"/>
    <w:rsid w:val="00013925"/>
    <w:rsid w:val="00014E46"/>
    <w:rsid w:val="00015310"/>
    <w:rsid w:val="00015689"/>
    <w:rsid w:val="000166A6"/>
    <w:rsid w:val="0001709A"/>
    <w:rsid w:val="00017985"/>
    <w:rsid w:val="00017ABF"/>
    <w:rsid w:val="00017AE8"/>
    <w:rsid w:val="0002185A"/>
    <w:rsid w:val="00022404"/>
    <w:rsid w:val="00022951"/>
    <w:rsid w:val="000234F0"/>
    <w:rsid w:val="000249F8"/>
    <w:rsid w:val="00024CD8"/>
    <w:rsid w:val="0002793F"/>
    <w:rsid w:val="000307B8"/>
    <w:rsid w:val="000308E4"/>
    <w:rsid w:val="0003096D"/>
    <w:rsid w:val="00032E28"/>
    <w:rsid w:val="00032FDE"/>
    <w:rsid w:val="00034B36"/>
    <w:rsid w:val="000357F7"/>
    <w:rsid w:val="0003632B"/>
    <w:rsid w:val="00036AAB"/>
    <w:rsid w:val="0004056D"/>
    <w:rsid w:val="00040F05"/>
    <w:rsid w:val="000418E9"/>
    <w:rsid w:val="00041D1C"/>
    <w:rsid w:val="00042200"/>
    <w:rsid w:val="00043952"/>
    <w:rsid w:val="00044545"/>
    <w:rsid w:val="00045089"/>
    <w:rsid w:val="000457E4"/>
    <w:rsid w:val="0004583C"/>
    <w:rsid w:val="00047167"/>
    <w:rsid w:val="000475A0"/>
    <w:rsid w:val="000476E7"/>
    <w:rsid w:val="00047C5D"/>
    <w:rsid w:val="0005108E"/>
    <w:rsid w:val="000519D1"/>
    <w:rsid w:val="00051CBC"/>
    <w:rsid w:val="00051E18"/>
    <w:rsid w:val="000557DD"/>
    <w:rsid w:val="00055885"/>
    <w:rsid w:val="0006281E"/>
    <w:rsid w:val="00064B78"/>
    <w:rsid w:val="00065CAD"/>
    <w:rsid w:val="00066037"/>
    <w:rsid w:val="00066A35"/>
    <w:rsid w:val="00066E91"/>
    <w:rsid w:val="00067D58"/>
    <w:rsid w:val="00067E1A"/>
    <w:rsid w:val="00067FE2"/>
    <w:rsid w:val="00071857"/>
    <w:rsid w:val="000728E2"/>
    <w:rsid w:val="000736C7"/>
    <w:rsid w:val="000738BE"/>
    <w:rsid w:val="00074309"/>
    <w:rsid w:val="00074549"/>
    <w:rsid w:val="00075092"/>
    <w:rsid w:val="00075300"/>
    <w:rsid w:val="0008178A"/>
    <w:rsid w:val="00081DA7"/>
    <w:rsid w:val="000821FC"/>
    <w:rsid w:val="00083169"/>
    <w:rsid w:val="0008348D"/>
    <w:rsid w:val="00084298"/>
    <w:rsid w:val="00085C64"/>
    <w:rsid w:val="00087496"/>
    <w:rsid w:val="0009115B"/>
    <w:rsid w:val="0009142D"/>
    <w:rsid w:val="00092A34"/>
    <w:rsid w:val="00093EA3"/>
    <w:rsid w:val="00094FDF"/>
    <w:rsid w:val="000964C1"/>
    <w:rsid w:val="000966A1"/>
    <w:rsid w:val="00097A9F"/>
    <w:rsid w:val="000A0245"/>
    <w:rsid w:val="000A04D2"/>
    <w:rsid w:val="000A0639"/>
    <w:rsid w:val="000A08C8"/>
    <w:rsid w:val="000A1E6E"/>
    <w:rsid w:val="000A54D3"/>
    <w:rsid w:val="000A6E36"/>
    <w:rsid w:val="000B14C2"/>
    <w:rsid w:val="000B4BBF"/>
    <w:rsid w:val="000B55FA"/>
    <w:rsid w:val="000B5D71"/>
    <w:rsid w:val="000B6149"/>
    <w:rsid w:val="000B6DA8"/>
    <w:rsid w:val="000B73A5"/>
    <w:rsid w:val="000C1BF2"/>
    <w:rsid w:val="000C1E26"/>
    <w:rsid w:val="000C23C2"/>
    <w:rsid w:val="000C4503"/>
    <w:rsid w:val="000C4F42"/>
    <w:rsid w:val="000C55D9"/>
    <w:rsid w:val="000C56E3"/>
    <w:rsid w:val="000C5974"/>
    <w:rsid w:val="000C5DEC"/>
    <w:rsid w:val="000C6210"/>
    <w:rsid w:val="000C77CA"/>
    <w:rsid w:val="000C7B2F"/>
    <w:rsid w:val="000D029F"/>
    <w:rsid w:val="000D0585"/>
    <w:rsid w:val="000D08F5"/>
    <w:rsid w:val="000D137F"/>
    <w:rsid w:val="000D17A2"/>
    <w:rsid w:val="000D1AC8"/>
    <w:rsid w:val="000D1C3A"/>
    <w:rsid w:val="000D236B"/>
    <w:rsid w:val="000D2431"/>
    <w:rsid w:val="000D2447"/>
    <w:rsid w:val="000D2491"/>
    <w:rsid w:val="000D24D2"/>
    <w:rsid w:val="000D299D"/>
    <w:rsid w:val="000D4A28"/>
    <w:rsid w:val="000D4C3D"/>
    <w:rsid w:val="000D6DC0"/>
    <w:rsid w:val="000D7B27"/>
    <w:rsid w:val="000E61FB"/>
    <w:rsid w:val="000E7F04"/>
    <w:rsid w:val="000F0B70"/>
    <w:rsid w:val="000F0BFB"/>
    <w:rsid w:val="000F2261"/>
    <w:rsid w:val="000F2262"/>
    <w:rsid w:val="000F2855"/>
    <w:rsid w:val="000F43FF"/>
    <w:rsid w:val="000F50EA"/>
    <w:rsid w:val="000F57B5"/>
    <w:rsid w:val="000F786E"/>
    <w:rsid w:val="000F7DF6"/>
    <w:rsid w:val="0010330D"/>
    <w:rsid w:val="001040D7"/>
    <w:rsid w:val="00105BB0"/>
    <w:rsid w:val="00105FC7"/>
    <w:rsid w:val="00106480"/>
    <w:rsid w:val="00107021"/>
    <w:rsid w:val="00110B05"/>
    <w:rsid w:val="001121BE"/>
    <w:rsid w:val="00113D19"/>
    <w:rsid w:val="00113D85"/>
    <w:rsid w:val="001144EE"/>
    <w:rsid w:val="00114A53"/>
    <w:rsid w:val="00114ACE"/>
    <w:rsid w:val="00114C22"/>
    <w:rsid w:val="00117240"/>
    <w:rsid w:val="00117B42"/>
    <w:rsid w:val="00120E1E"/>
    <w:rsid w:val="00121AD8"/>
    <w:rsid w:val="00121FAA"/>
    <w:rsid w:val="00122213"/>
    <w:rsid w:val="00123A2C"/>
    <w:rsid w:val="0012400F"/>
    <w:rsid w:val="00124936"/>
    <w:rsid w:val="0012532D"/>
    <w:rsid w:val="00125816"/>
    <w:rsid w:val="001260E7"/>
    <w:rsid w:val="001260EF"/>
    <w:rsid w:val="00131378"/>
    <w:rsid w:val="00131780"/>
    <w:rsid w:val="00131DF4"/>
    <w:rsid w:val="001336B6"/>
    <w:rsid w:val="00133D8E"/>
    <w:rsid w:val="00134685"/>
    <w:rsid w:val="00135AE9"/>
    <w:rsid w:val="00135F76"/>
    <w:rsid w:val="0013708E"/>
    <w:rsid w:val="0013742B"/>
    <w:rsid w:val="00140AE2"/>
    <w:rsid w:val="0014131A"/>
    <w:rsid w:val="00144606"/>
    <w:rsid w:val="0014546B"/>
    <w:rsid w:val="00145B9A"/>
    <w:rsid w:val="00145CDF"/>
    <w:rsid w:val="00147792"/>
    <w:rsid w:val="00152098"/>
    <w:rsid w:val="00152F09"/>
    <w:rsid w:val="001536F1"/>
    <w:rsid w:val="00153DDD"/>
    <w:rsid w:val="00153EE3"/>
    <w:rsid w:val="00154DA9"/>
    <w:rsid w:val="00155326"/>
    <w:rsid w:val="0015563B"/>
    <w:rsid w:val="00155DC4"/>
    <w:rsid w:val="00156498"/>
    <w:rsid w:val="00156682"/>
    <w:rsid w:val="00156A5C"/>
    <w:rsid w:val="001608A0"/>
    <w:rsid w:val="00161B8B"/>
    <w:rsid w:val="00162052"/>
    <w:rsid w:val="00162691"/>
    <w:rsid w:val="00163450"/>
    <w:rsid w:val="00163EF0"/>
    <w:rsid w:val="00165765"/>
    <w:rsid w:val="0017024F"/>
    <w:rsid w:val="00170508"/>
    <w:rsid w:val="0017078C"/>
    <w:rsid w:val="001709C8"/>
    <w:rsid w:val="001714EE"/>
    <w:rsid w:val="00171666"/>
    <w:rsid w:val="00172051"/>
    <w:rsid w:val="00172511"/>
    <w:rsid w:val="001726DF"/>
    <w:rsid w:val="0017302D"/>
    <w:rsid w:val="00173E2F"/>
    <w:rsid w:val="001759C9"/>
    <w:rsid w:val="00175B63"/>
    <w:rsid w:val="001763CE"/>
    <w:rsid w:val="001771E3"/>
    <w:rsid w:val="00181875"/>
    <w:rsid w:val="00183F90"/>
    <w:rsid w:val="00185D52"/>
    <w:rsid w:val="00186007"/>
    <w:rsid w:val="00186035"/>
    <w:rsid w:val="00186695"/>
    <w:rsid w:val="00186941"/>
    <w:rsid w:val="001903C4"/>
    <w:rsid w:val="00191977"/>
    <w:rsid w:val="00191A94"/>
    <w:rsid w:val="0019379A"/>
    <w:rsid w:val="00193E20"/>
    <w:rsid w:val="0019460E"/>
    <w:rsid w:val="00194868"/>
    <w:rsid w:val="00194FB1"/>
    <w:rsid w:val="00195890"/>
    <w:rsid w:val="001958ED"/>
    <w:rsid w:val="001968E1"/>
    <w:rsid w:val="00197F57"/>
    <w:rsid w:val="001A0204"/>
    <w:rsid w:val="001A07AC"/>
    <w:rsid w:val="001A1C44"/>
    <w:rsid w:val="001A291F"/>
    <w:rsid w:val="001A3BCF"/>
    <w:rsid w:val="001A3C48"/>
    <w:rsid w:val="001A5FBC"/>
    <w:rsid w:val="001A69AA"/>
    <w:rsid w:val="001A6F6C"/>
    <w:rsid w:val="001A7852"/>
    <w:rsid w:val="001B0029"/>
    <w:rsid w:val="001B0AE3"/>
    <w:rsid w:val="001B1BAD"/>
    <w:rsid w:val="001B252E"/>
    <w:rsid w:val="001B4B08"/>
    <w:rsid w:val="001B69A3"/>
    <w:rsid w:val="001B7D1C"/>
    <w:rsid w:val="001C083D"/>
    <w:rsid w:val="001C10A4"/>
    <w:rsid w:val="001C2374"/>
    <w:rsid w:val="001C2864"/>
    <w:rsid w:val="001C3346"/>
    <w:rsid w:val="001C3DA0"/>
    <w:rsid w:val="001C4754"/>
    <w:rsid w:val="001C48B8"/>
    <w:rsid w:val="001C4B8B"/>
    <w:rsid w:val="001C4F4E"/>
    <w:rsid w:val="001C5742"/>
    <w:rsid w:val="001C7E7C"/>
    <w:rsid w:val="001D05D2"/>
    <w:rsid w:val="001D069E"/>
    <w:rsid w:val="001D14F6"/>
    <w:rsid w:val="001D1761"/>
    <w:rsid w:val="001D296C"/>
    <w:rsid w:val="001D5571"/>
    <w:rsid w:val="001D557B"/>
    <w:rsid w:val="001D5845"/>
    <w:rsid w:val="001D76AE"/>
    <w:rsid w:val="001D7946"/>
    <w:rsid w:val="001D7DAD"/>
    <w:rsid w:val="001E09BB"/>
    <w:rsid w:val="001E1978"/>
    <w:rsid w:val="001E2F97"/>
    <w:rsid w:val="001E3B63"/>
    <w:rsid w:val="001E3DEB"/>
    <w:rsid w:val="001E48E5"/>
    <w:rsid w:val="001E4ADF"/>
    <w:rsid w:val="001E56E4"/>
    <w:rsid w:val="001E5ED2"/>
    <w:rsid w:val="001E764B"/>
    <w:rsid w:val="001E7CFD"/>
    <w:rsid w:val="001E7FF6"/>
    <w:rsid w:val="001F02E3"/>
    <w:rsid w:val="001F08F4"/>
    <w:rsid w:val="001F1C6B"/>
    <w:rsid w:val="001F3901"/>
    <w:rsid w:val="001F4124"/>
    <w:rsid w:val="001F50A1"/>
    <w:rsid w:val="001F5429"/>
    <w:rsid w:val="001F5F26"/>
    <w:rsid w:val="001F60D6"/>
    <w:rsid w:val="001F7117"/>
    <w:rsid w:val="001F75CE"/>
    <w:rsid w:val="00200110"/>
    <w:rsid w:val="00200190"/>
    <w:rsid w:val="00200508"/>
    <w:rsid w:val="00200D2C"/>
    <w:rsid w:val="00201218"/>
    <w:rsid w:val="002022C7"/>
    <w:rsid w:val="0020285E"/>
    <w:rsid w:val="002038ED"/>
    <w:rsid w:val="00203F75"/>
    <w:rsid w:val="00204488"/>
    <w:rsid w:val="00204F4D"/>
    <w:rsid w:val="00206120"/>
    <w:rsid w:val="002064A3"/>
    <w:rsid w:val="002065D2"/>
    <w:rsid w:val="002075D9"/>
    <w:rsid w:val="00210A80"/>
    <w:rsid w:val="002113F7"/>
    <w:rsid w:val="00211E14"/>
    <w:rsid w:val="0021426B"/>
    <w:rsid w:val="00216D6C"/>
    <w:rsid w:val="00217255"/>
    <w:rsid w:val="00217C87"/>
    <w:rsid w:val="00220B37"/>
    <w:rsid w:val="00222E1A"/>
    <w:rsid w:val="00225226"/>
    <w:rsid w:val="0022690E"/>
    <w:rsid w:val="00226BB4"/>
    <w:rsid w:val="00226C8D"/>
    <w:rsid w:val="002315EB"/>
    <w:rsid w:val="00232142"/>
    <w:rsid w:val="00233406"/>
    <w:rsid w:val="0023355D"/>
    <w:rsid w:val="0023389E"/>
    <w:rsid w:val="002344FD"/>
    <w:rsid w:val="0023514C"/>
    <w:rsid w:val="00236594"/>
    <w:rsid w:val="00237274"/>
    <w:rsid w:val="0023781B"/>
    <w:rsid w:val="002402EC"/>
    <w:rsid w:val="00240A5C"/>
    <w:rsid w:val="00243DDD"/>
    <w:rsid w:val="00244362"/>
    <w:rsid w:val="00244F2C"/>
    <w:rsid w:val="00244F34"/>
    <w:rsid w:val="002450EB"/>
    <w:rsid w:val="0024565F"/>
    <w:rsid w:val="00245718"/>
    <w:rsid w:val="002459E6"/>
    <w:rsid w:val="00246214"/>
    <w:rsid w:val="0024634A"/>
    <w:rsid w:val="002463B0"/>
    <w:rsid w:val="0024749D"/>
    <w:rsid w:val="00247734"/>
    <w:rsid w:val="002512E1"/>
    <w:rsid w:val="00251A08"/>
    <w:rsid w:val="0025255B"/>
    <w:rsid w:val="00253C74"/>
    <w:rsid w:val="0025421C"/>
    <w:rsid w:val="00255902"/>
    <w:rsid w:val="00257541"/>
    <w:rsid w:val="00260664"/>
    <w:rsid w:val="002611CE"/>
    <w:rsid w:val="00261765"/>
    <w:rsid w:val="00261D7B"/>
    <w:rsid w:val="00263910"/>
    <w:rsid w:val="002649AE"/>
    <w:rsid w:val="00264BB2"/>
    <w:rsid w:val="0026628D"/>
    <w:rsid w:val="00267926"/>
    <w:rsid w:val="0026797C"/>
    <w:rsid w:val="00271301"/>
    <w:rsid w:val="00273CC2"/>
    <w:rsid w:val="00274020"/>
    <w:rsid w:val="00274C0E"/>
    <w:rsid w:val="00275517"/>
    <w:rsid w:val="00277F84"/>
    <w:rsid w:val="002802FA"/>
    <w:rsid w:val="00281648"/>
    <w:rsid w:val="00281E18"/>
    <w:rsid w:val="002824D2"/>
    <w:rsid w:val="00282C09"/>
    <w:rsid w:val="002838EB"/>
    <w:rsid w:val="00283FA7"/>
    <w:rsid w:val="00287CE4"/>
    <w:rsid w:val="002922A9"/>
    <w:rsid w:val="00292D3F"/>
    <w:rsid w:val="00295A4F"/>
    <w:rsid w:val="002A0ABA"/>
    <w:rsid w:val="002A147F"/>
    <w:rsid w:val="002A1AE8"/>
    <w:rsid w:val="002A226D"/>
    <w:rsid w:val="002A3E6E"/>
    <w:rsid w:val="002A3FF9"/>
    <w:rsid w:val="002A4641"/>
    <w:rsid w:val="002A49E5"/>
    <w:rsid w:val="002A5614"/>
    <w:rsid w:val="002A630D"/>
    <w:rsid w:val="002A6365"/>
    <w:rsid w:val="002A7660"/>
    <w:rsid w:val="002A7670"/>
    <w:rsid w:val="002A7687"/>
    <w:rsid w:val="002B009C"/>
    <w:rsid w:val="002B0D80"/>
    <w:rsid w:val="002B0E28"/>
    <w:rsid w:val="002B2651"/>
    <w:rsid w:val="002B2C9B"/>
    <w:rsid w:val="002B4750"/>
    <w:rsid w:val="002B7E2C"/>
    <w:rsid w:val="002B7F5E"/>
    <w:rsid w:val="002C00F1"/>
    <w:rsid w:val="002C09F2"/>
    <w:rsid w:val="002C0C99"/>
    <w:rsid w:val="002C0F08"/>
    <w:rsid w:val="002C15DF"/>
    <w:rsid w:val="002C1A7E"/>
    <w:rsid w:val="002C2101"/>
    <w:rsid w:val="002C30C1"/>
    <w:rsid w:val="002C589B"/>
    <w:rsid w:val="002C5B02"/>
    <w:rsid w:val="002C6195"/>
    <w:rsid w:val="002C6B05"/>
    <w:rsid w:val="002C6FA8"/>
    <w:rsid w:val="002C7B23"/>
    <w:rsid w:val="002D035B"/>
    <w:rsid w:val="002D12CD"/>
    <w:rsid w:val="002D2693"/>
    <w:rsid w:val="002D287A"/>
    <w:rsid w:val="002D2A65"/>
    <w:rsid w:val="002D2C61"/>
    <w:rsid w:val="002D34E7"/>
    <w:rsid w:val="002D3E21"/>
    <w:rsid w:val="002D4EF3"/>
    <w:rsid w:val="002D6FCA"/>
    <w:rsid w:val="002D75F4"/>
    <w:rsid w:val="002D76D0"/>
    <w:rsid w:val="002D7CD0"/>
    <w:rsid w:val="002E028C"/>
    <w:rsid w:val="002E193D"/>
    <w:rsid w:val="002E36E3"/>
    <w:rsid w:val="002E4361"/>
    <w:rsid w:val="002E4B6B"/>
    <w:rsid w:val="002E5654"/>
    <w:rsid w:val="002E6A8B"/>
    <w:rsid w:val="002E6B6C"/>
    <w:rsid w:val="002E79A6"/>
    <w:rsid w:val="002E7D06"/>
    <w:rsid w:val="002F3FD8"/>
    <w:rsid w:val="002F5188"/>
    <w:rsid w:val="002F52D5"/>
    <w:rsid w:val="002F5D3E"/>
    <w:rsid w:val="002F794D"/>
    <w:rsid w:val="003010D2"/>
    <w:rsid w:val="00301184"/>
    <w:rsid w:val="0030242A"/>
    <w:rsid w:val="003029BA"/>
    <w:rsid w:val="00302C6A"/>
    <w:rsid w:val="00304275"/>
    <w:rsid w:val="00304EA8"/>
    <w:rsid w:val="00304F6D"/>
    <w:rsid w:val="00311771"/>
    <w:rsid w:val="00312505"/>
    <w:rsid w:val="0031515F"/>
    <w:rsid w:val="00315D74"/>
    <w:rsid w:val="003164FC"/>
    <w:rsid w:val="00317458"/>
    <w:rsid w:val="0031791A"/>
    <w:rsid w:val="00317F4A"/>
    <w:rsid w:val="0032045B"/>
    <w:rsid w:val="00320774"/>
    <w:rsid w:val="00320991"/>
    <w:rsid w:val="00321423"/>
    <w:rsid w:val="003216BD"/>
    <w:rsid w:val="00322287"/>
    <w:rsid w:val="00322571"/>
    <w:rsid w:val="00322D3F"/>
    <w:rsid w:val="00322D91"/>
    <w:rsid w:val="003230B8"/>
    <w:rsid w:val="0032319B"/>
    <w:rsid w:val="00323A0D"/>
    <w:rsid w:val="00323E70"/>
    <w:rsid w:val="00325E2D"/>
    <w:rsid w:val="0032624F"/>
    <w:rsid w:val="00326734"/>
    <w:rsid w:val="00326C84"/>
    <w:rsid w:val="003278A9"/>
    <w:rsid w:val="00327D07"/>
    <w:rsid w:val="00330204"/>
    <w:rsid w:val="00331167"/>
    <w:rsid w:val="00331E97"/>
    <w:rsid w:val="00332DBE"/>
    <w:rsid w:val="00332EF8"/>
    <w:rsid w:val="0033304C"/>
    <w:rsid w:val="00333A95"/>
    <w:rsid w:val="0033518F"/>
    <w:rsid w:val="00336DD0"/>
    <w:rsid w:val="003374AD"/>
    <w:rsid w:val="00337B07"/>
    <w:rsid w:val="00340A66"/>
    <w:rsid w:val="003410E5"/>
    <w:rsid w:val="00341109"/>
    <w:rsid w:val="003419E3"/>
    <w:rsid w:val="0034337D"/>
    <w:rsid w:val="00344E56"/>
    <w:rsid w:val="0034602F"/>
    <w:rsid w:val="003466B0"/>
    <w:rsid w:val="003469CE"/>
    <w:rsid w:val="00346A00"/>
    <w:rsid w:val="00346BE5"/>
    <w:rsid w:val="003501E2"/>
    <w:rsid w:val="003513A7"/>
    <w:rsid w:val="00351604"/>
    <w:rsid w:val="003537AE"/>
    <w:rsid w:val="00353BDD"/>
    <w:rsid w:val="00355739"/>
    <w:rsid w:val="0036236C"/>
    <w:rsid w:val="003630C3"/>
    <w:rsid w:val="003638FE"/>
    <w:rsid w:val="00364388"/>
    <w:rsid w:val="0036453D"/>
    <w:rsid w:val="00364F78"/>
    <w:rsid w:val="00370AA1"/>
    <w:rsid w:val="003724EE"/>
    <w:rsid w:val="003733FC"/>
    <w:rsid w:val="00373ED4"/>
    <w:rsid w:val="00374938"/>
    <w:rsid w:val="00375514"/>
    <w:rsid w:val="00375B51"/>
    <w:rsid w:val="00377EE8"/>
    <w:rsid w:val="003805FC"/>
    <w:rsid w:val="00380ECF"/>
    <w:rsid w:val="003818E3"/>
    <w:rsid w:val="00382935"/>
    <w:rsid w:val="00385EE8"/>
    <w:rsid w:val="00386758"/>
    <w:rsid w:val="00386A66"/>
    <w:rsid w:val="0039045D"/>
    <w:rsid w:val="003906D2"/>
    <w:rsid w:val="00392EF3"/>
    <w:rsid w:val="0039388A"/>
    <w:rsid w:val="00393B39"/>
    <w:rsid w:val="0039464E"/>
    <w:rsid w:val="00395148"/>
    <w:rsid w:val="00396153"/>
    <w:rsid w:val="0039739E"/>
    <w:rsid w:val="003A02AB"/>
    <w:rsid w:val="003A0F6E"/>
    <w:rsid w:val="003A141C"/>
    <w:rsid w:val="003A2EDD"/>
    <w:rsid w:val="003A32C3"/>
    <w:rsid w:val="003A4963"/>
    <w:rsid w:val="003A54C1"/>
    <w:rsid w:val="003A5797"/>
    <w:rsid w:val="003A5DCD"/>
    <w:rsid w:val="003A6422"/>
    <w:rsid w:val="003A65AE"/>
    <w:rsid w:val="003A6E46"/>
    <w:rsid w:val="003A7086"/>
    <w:rsid w:val="003A72F5"/>
    <w:rsid w:val="003B0173"/>
    <w:rsid w:val="003B1EC4"/>
    <w:rsid w:val="003B1F2D"/>
    <w:rsid w:val="003B4C98"/>
    <w:rsid w:val="003B5D99"/>
    <w:rsid w:val="003B68C7"/>
    <w:rsid w:val="003B6B5F"/>
    <w:rsid w:val="003C2E34"/>
    <w:rsid w:val="003C3A62"/>
    <w:rsid w:val="003C3AF2"/>
    <w:rsid w:val="003C4392"/>
    <w:rsid w:val="003C4A84"/>
    <w:rsid w:val="003C5E62"/>
    <w:rsid w:val="003C5F4B"/>
    <w:rsid w:val="003C6A14"/>
    <w:rsid w:val="003C7808"/>
    <w:rsid w:val="003C7944"/>
    <w:rsid w:val="003C7D45"/>
    <w:rsid w:val="003C7DAF"/>
    <w:rsid w:val="003D2B1A"/>
    <w:rsid w:val="003D5DCC"/>
    <w:rsid w:val="003D6768"/>
    <w:rsid w:val="003E00AB"/>
    <w:rsid w:val="003E170E"/>
    <w:rsid w:val="003E5D79"/>
    <w:rsid w:val="003F3979"/>
    <w:rsid w:val="003F39C6"/>
    <w:rsid w:val="003F414B"/>
    <w:rsid w:val="003F4FA2"/>
    <w:rsid w:val="003F519F"/>
    <w:rsid w:val="003F6331"/>
    <w:rsid w:val="004003CF"/>
    <w:rsid w:val="00400621"/>
    <w:rsid w:val="00401D28"/>
    <w:rsid w:val="0040205E"/>
    <w:rsid w:val="00404D15"/>
    <w:rsid w:val="004052B2"/>
    <w:rsid w:val="00407DA1"/>
    <w:rsid w:val="00410109"/>
    <w:rsid w:val="00411EEB"/>
    <w:rsid w:val="0041258D"/>
    <w:rsid w:val="00413142"/>
    <w:rsid w:val="004135D8"/>
    <w:rsid w:val="00414642"/>
    <w:rsid w:val="004147AC"/>
    <w:rsid w:val="00414C50"/>
    <w:rsid w:val="004167A1"/>
    <w:rsid w:val="00416EF8"/>
    <w:rsid w:val="00417454"/>
    <w:rsid w:val="0041783D"/>
    <w:rsid w:val="00417EF7"/>
    <w:rsid w:val="0042045F"/>
    <w:rsid w:val="00421235"/>
    <w:rsid w:val="00422CD0"/>
    <w:rsid w:val="00422DCA"/>
    <w:rsid w:val="004237AA"/>
    <w:rsid w:val="00423A6D"/>
    <w:rsid w:val="00425419"/>
    <w:rsid w:val="00430EF1"/>
    <w:rsid w:val="0043184D"/>
    <w:rsid w:val="004337C4"/>
    <w:rsid w:val="00434200"/>
    <w:rsid w:val="00434541"/>
    <w:rsid w:val="00434B74"/>
    <w:rsid w:val="00434BD4"/>
    <w:rsid w:val="00434C82"/>
    <w:rsid w:val="0043585E"/>
    <w:rsid w:val="0043786B"/>
    <w:rsid w:val="00437D87"/>
    <w:rsid w:val="00441A06"/>
    <w:rsid w:val="00443759"/>
    <w:rsid w:val="004442C4"/>
    <w:rsid w:val="00444386"/>
    <w:rsid w:val="00445899"/>
    <w:rsid w:val="00445EB7"/>
    <w:rsid w:val="004460B1"/>
    <w:rsid w:val="00446122"/>
    <w:rsid w:val="00447D69"/>
    <w:rsid w:val="004506A3"/>
    <w:rsid w:val="00450A04"/>
    <w:rsid w:val="00452499"/>
    <w:rsid w:val="004533F4"/>
    <w:rsid w:val="004541BF"/>
    <w:rsid w:val="004541E9"/>
    <w:rsid w:val="00454263"/>
    <w:rsid w:val="00454307"/>
    <w:rsid w:val="00455644"/>
    <w:rsid w:val="0045604C"/>
    <w:rsid w:val="00457174"/>
    <w:rsid w:val="00460484"/>
    <w:rsid w:val="00460BFA"/>
    <w:rsid w:val="00462A14"/>
    <w:rsid w:val="00462BBA"/>
    <w:rsid w:val="00462F5F"/>
    <w:rsid w:val="004630E1"/>
    <w:rsid w:val="00463E2B"/>
    <w:rsid w:val="004656CF"/>
    <w:rsid w:val="00466656"/>
    <w:rsid w:val="00466734"/>
    <w:rsid w:val="00466F6A"/>
    <w:rsid w:val="00470623"/>
    <w:rsid w:val="004723BB"/>
    <w:rsid w:val="00472D73"/>
    <w:rsid w:val="004733EB"/>
    <w:rsid w:val="004735F8"/>
    <w:rsid w:val="00474932"/>
    <w:rsid w:val="00475A9B"/>
    <w:rsid w:val="00475C9F"/>
    <w:rsid w:val="004762AC"/>
    <w:rsid w:val="00476ABD"/>
    <w:rsid w:val="0047731F"/>
    <w:rsid w:val="00480802"/>
    <w:rsid w:val="004809A9"/>
    <w:rsid w:val="0048133C"/>
    <w:rsid w:val="00483436"/>
    <w:rsid w:val="00483710"/>
    <w:rsid w:val="00484697"/>
    <w:rsid w:val="00484DD9"/>
    <w:rsid w:val="00485362"/>
    <w:rsid w:val="00487C4D"/>
    <w:rsid w:val="00490594"/>
    <w:rsid w:val="0049091E"/>
    <w:rsid w:val="004909F4"/>
    <w:rsid w:val="00491504"/>
    <w:rsid w:val="00491A0C"/>
    <w:rsid w:val="00491A7C"/>
    <w:rsid w:val="0049273F"/>
    <w:rsid w:val="00493BDC"/>
    <w:rsid w:val="00493CA6"/>
    <w:rsid w:val="00495092"/>
    <w:rsid w:val="004961B3"/>
    <w:rsid w:val="00496C0E"/>
    <w:rsid w:val="004A0E05"/>
    <w:rsid w:val="004A146A"/>
    <w:rsid w:val="004A2C20"/>
    <w:rsid w:val="004A3764"/>
    <w:rsid w:val="004A486B"/>
    <w:rsid w:val="004B059C"/>
    <w:rsid w:val="004B17A0"/>
    <w:rsid w:val="004B1885"/>
    <w:rsid w:val="004B24D5"/>
    <w:rsid w:val="004B2A1A"/>
    <w:rsid w:val="004B3FE6"/>
    <w:rsid w:val="004B4639"/>
    <w:rsid w:val="004B6A8A"/>
    <w:rsid w:val="004B7A0C"/>
    <w:rsid w:val="004C0060"/>
    <w:rsid w:val="004C0672"/>
    <w:rsid w:val="004C0C2C"/>
    <w:rsid w:val="004C10DB"/>
    <w:rsid w:val="004C182B"/>
    <w:rsid w:val="004C33BF"/>
    <w:rsid w:val="004C37E9"/>
    <w:rsid w:val="004C3B24"/>
    <w:rsid w:val="004C41E4"/>
    <w:rsid w:val="004C434D"/>
    <w:rsid w:val="004C4417"/>
    <w:rsid w:val="004C57E2"/>
    <w:rsid w:val="004C5A15"/>
    <w:rsid w:val="004C697D"/>
    <w:rsid w:val="004C7586"/>
    <w:rsid w:val="004C7CFF"/>
    <w:rsid w:val="004D0BA6"/>
    <w:rsid w:val="004D3AD8"/>
    <w:rsid w:val="004D5B78"/>
    <w:rsid w:val="004D5BEA"/>
    <w:rsid w:val="004D5FD5"/>
    <w:rsid w:val="004D632E"/>
    <w:rsid w:val="004D6694"/>
    <w:rsid w:val="004D77E7"/>
    <w:rsid w:val="004E0403"/>
    <w:rsid w:val="004E05B4"/>
    <w:rsid w:val="004E0B5E"/>
    <w:rsid w:val="004E1365"/>
    <w:rsid w:val="004E2348"/>
    <w:rsid w:val="004E37EA"/>
    <w:rsid w:val="004E3B31"/>
    <w:rsid w:val="004E3F98"/>
    <w:rsid w:val="004E4211"/>
    <w:rsid w:val="004E49F6"/>
    <w:rsid w:val="004E4D8D"/>
    <w:rsid w:val="004E50CF"/>
    <w:rsid w:val="004E62D4"/>
    <w:rsid w:val="004E6E93"/>
    <w:rsid w:val="004E75C0"/>
    <w:rsid w:val="004F1456"/>
    <w:rsid w:val="004F1893"/>
    <w:rsid w:val="004F1BD1"/>
    <w:rsid w:val="004F2FFE"/>
    <w:rsid w:val="004F3596"/>
    <w:rsid w:val="004F4B63"/>
    <w:rsid w:val="004F591A"/>
    <w:rsid w:val="004F5FE3"/>
    <w:rsid w:val="004F681B"/>
    <w:rsid w:val="004F6A66"/>
    <w:rsid w:val="004F6BE4"/>
    <w:rsid w:val="004F6E68"/>
    <w:rsid w:val="005000AA"/>
    <w:rsid w:val="005012A0"/>
    <w:rsid w:val="00502097"/>
    <w:rsid w:val="005042C0"/>
    <w:rsid w:val="00504779"/>
    <w:rsid w:val="00505D3D"/>
    <w:rsid w:val="00506B66"/>
    <w:rsid w:val="00510081"/>
    <w:rsid w:val="00510C95"/>
    <w:rsid w:val="005114CF"/>
    <w:rsid w:val="005139B5"/>
    <w:rsid w:val="0051619D"/>
    <w:rsid w:val="005169D3"/>
    <w:rsid w:val="00517D32"/>
    <w:rsid w:val="00521C3C"/>
    <w:rsid w:val="005263C1"/>
    <w:rsid w:val="00531921"/>
    <w:rsid w:val="00531F92"/>
    <w:rsid w:val="005324F3"/>
    <w:rsid w:val="0053313F"/>
    <w:rsid w:val="00534D77"/>
    <w:rsid w:val="00535691"/>
    <w:rsid w:val="00537672"/>
    <w:rsid w:val="0054078C"/>
    <w:rsid w:val="005407B1"/>
    <w:rsid w:val="0054226C"/>
    <w:rsid w:val="00543C12"/>
    <w:rsid w:val="00544C9E"/>
    <w:rsid w:val="00544F64"/>
    <w:rsid w:val="00545ACD"/>
    <w:rsid w:val="00545BC4"/>
    <w:rsid w:val="00550B89"/>
    <w:rsid w:val="005511FB"/>
    <w:rsid w:val="00551EDB"/>
    <w:rsid w:val="005533DE"/>
    <w:rsid w:val="005543DD"/>
    <w:rsid w:val="005548D9"/>
    <w:rsid w:val="005551F3"/>
    <w:rsid w:val="005557FF"/>
    <w:rsid w:val="00555888"/>
    <w:rsid w:val="00556565"/>
    <w:rsid w:val="00557903"/>
    <w:rsid w:val="00562400"/>
    <w:rsid w:val="00563A01"/>
    <w:rsid w:val="00563AD5"/>
    <w:rsid w:val="00564001"/>
    <w:rsid w:val="00564393"/>
    <w:rsid w:val="005645EE"/>
    <w:rsid w:val="00565F50"/>
    <w:rsid w:val="0056655F"/>
    <w:rsid w:val="00567A43"/>
    <w:rsid w:val="0057016A"/>
    <w:rsid w:val="00571CA6"/>
    <w:rsid w:val="00571CC8"/>
    <w:rsid w:val="00572E59"/>
    <w:rsid w:val="005732DF"/>
    <w:rsid w:val="0057394F"/>
    <w:rsid w:val="00577615"/>
    <w:rsid w:val="00577BA9"/>
    <w:rsid w:val="005804F6"/>
    <w:rsid w:val="005815DA"/>
    <w:rsid w:val="00581E5C"/>
    <w:rsid w:val="00582FB3"/>
    <w:rsid w:val="00583167"/>
    <w:rsid w:val="00583464"/>
    <w:rsid w:val="005839FC"/>
    <w:rsid w:val="00583E09"/>
    <w:rsid w:val="005849E9"/>
    <w:rsid w:val="00584F31"/>
    <w:rsid w:val="00585519"/>
    <w:rsid w:val="00586F55"/>
    <w:rsid w:val="00587852"/>
    <w:rsid w:val="005909A3"/>
    <w:rsid w:val="005917E7"/>
    <w:rsid w:val="00591BB9"/>
    <w:rsid w:val="00592CDE"/>
    <w:rsid w:val="00594967"/>
    <w:rsid w:val="0059548C"/>
    <w:rsid w:val="00595B06"/>
    <w:rsid w:val="00595D0F"/>
    <w:rsid w:val="005A079E"/>
    <w:rsid w:val="005A1245"/>
    <w:rsid w:val="005A1C7B"/>
    <w:rsid w:val="005A286C"/>
    <w:rsid w:val="005A2E19"/>
    <w:rsid w:val="005A35A7"/>
    <w:rsid w:val="005A6592"/>
    <w:rsid w:val="005A671F"/>
    <w:rsid w:val="005A707F"/>
    <w:rsid w:val="005A70CB"/>
    <w:rsid w:val="005A7AA2"/>
    <w:rsid w:val="005B0C54"/>
    <w:rsid w:val="005B1806"/>
    <w:rsid w:val="005B18C1"/>
    <w:rsid w:val="005B1D71"/>
    <w:rsid w:val="005B1E2A"/>
    <w:rsid w:val="005B2278"/>
    <w:rsid w:val="005B3866"/>
    <w:rsid w:val="005B4493"/>
    <w:rsid w:val="005B4521"/>
    <w:rsid w:val="005B595E"/>
    <w:rsid w:val="005B6964"/>
    <w:rsid w:val="005B6D93"/>
    <w:rsid w:val="005B6F2F"/>
    <w:rsid w:val="005B75CF"/>
    <w:rsid w:val="005B79DE"/>
    <w:rsid w:val="005C0A87"/>
    <w:rsid w:val="005C1226"/>
    <w:rsid w:val="005C1DD2"/>
    <w:rsid w:val="005C25CF"/>
    <w:rsid w:val="005C2670"/>
    <w:rsid w:val="005C281C"/>
    <w:rsid w:val="005C302E"/>
    <w:rsid w:val="005C45CC"/>
    <w:rsid w:val="005C4666"/>
    <w:rsid w:val="005C746E"/>
    <w:rsid w:val="005D14E0"/>
    <w:rsid w:val="005D166D"/>
    <w:rsid w:val="005D1787"/>
    <w:rsid w:val="005D2D3A"/>
    <w:rsid w:val="005D2EAB"/>
    <w:rsid w:val="005D4BE2"/>
    <w:rsid w:val="005D51BB"/>
    <w:rsid w:val="005D7A86"/>
    <w:rsid w:val="005E0979"/>
    <w:rsid w:val="005E1EA6"/>
    <w:rsid w:val="005E333C"/>
    <w:rsid w:val="005E3B82"/>
    <w:rsid w:val="005E3CAF"/>
    <w:rsid w:val="005E4100"/>
    <w:rsid w:val="005E466B"/>
    <w:rsid w:val="005E6C93"/>
    <w:rsid w:val="005F05DE"/>
    <w:rsid w:val="005F09DA"/>
    <w:rsid w:val="005F1376"/>
    <w:rsid w:val="005F180E"/>
    <w:rsid w:val="005F1BD3"/>
    <w:rsid w:val="005F1D77"/>
    <w:rsid w:val="005F298F"/>
    <w:rsid w:val="005F2C65"/>
    <w:rsid w:val="005F2FEF"/>
    <w:rsid w:val="005F3015"/>
    <w:rsid w:val="005F325F"/>
    <w:rsid w:val="005F355D"/>
    <w:rsid w:val="005F3615"/>
    <w:rsid w:val="005F4AB6"/>
    <w:rsid w:val="005F4F75"/>
    <w:rsid w:val="005F5A1F"/>
    <w:rsid w:val="005F613F"/>
    <w:rsid w:val="0060031B"/>
    <w:rsid w:val="00601057"/>
    <w:rsid w:val="006012F7"/>
    <w:rsid w:val="00601488"/>
    <w:rsid w:val="0060151D"/>
    <w:rsid w:val="0060187B"/>
    <w:rsid w:val="006022DD"/>
    <w:rsid w:val="00602405"/>
    <w:rsid w:val="006031CF"/>
    <w:rsid w:val="006048D0"/>
    <w:rsid w:val="00605398"/>
    <w:rsid w:val="006057DD"/>
    <w:rsid w:val="0060664A"/>
    <w:rsid w:val="00606B63"/>
    <w:rsid w:val="0061051C"/>
    <w:rsid w:val="00611B04"/>
    <w:rsid w:val="00611B38"/>
    <w:rsid w:val="00613C17"/>
    <w:rsid w:val="00616337"/>
    <w:rsid w:val="00616D60"/>
    <w:rsid w:val="00617B62"/>
    <w:rsid w:val="006204C5"/>
    <w:rsid w:val="00622842"/>
    <w:rsid w:val="00624FBD"/>
    <w:rsid w:val="00625786"/>
    <w:rsid w:val="0062643F"/>
    <w:rsid w:val="00627212"/>
    <w:rsid w:val="00630279"/>
    <w:rsid w:val="00630667"/>
    <w:rsid w:val="00631E4D"/>
    <w:rsid w:val="006324CB"/>
    <w:rsid w:val="0063320D"/>
    <w:rsid w:val="00633959"/>
    <w:rsid w:val="006345CE"/>
    <w:rsid w:val="00634CDD"/>
    <w:rsid w:val="006372C3"/>
    <w:rsid w:val="00637960"/>
    <w:rsid w:val="006421DE"/>
    <w:rsid w:val="006430AE"/>
    <w:rsid w:val="00644583"/>
    <w:rsid w:val="006449B8"/>
    <w:rsid w:val="00644E49"/>
    <w:rsid w:val="006462E3"/>
    <w:rsid w:val="006467E3"/>
    <w:rsid w:val="006471BC"/>
    <w:rsid w:val="00647631"/>
    <w:rsid w:val="00651375"/>
    <w:rsid w:val="00651A77"/>
    <w:rsid w:val="006528F5"/>
    <w:rsid w:val="00654183"/>
    <w:rsid w:val="0065420B"/>
    <w:rsid w:val="00654D3A"/>
    <w:rsid w:val="00655F14"/>
    <w:rsid w:val="0065626E"/>
    <w:rsid w:val="00656B4F"/>
    <w:rsid w:val="00660747"/>
    <w:rsid w:val="0066280A"/>
    <w:rsid w:val="00664447"/>
    <w:rsid w:val="00664C0B"/>
    <w:rsid w:val="006656B8"/>
    <w:rsid w:val="00665787"/>
    <w:rsid w:val="00665EE8"/>
    <w:rsid w:val="00670C73"/>
    <w:rsid w:val="00672D1F"/>
    <w:rsid w:val="00673AD5"/>
    <w:rsid w:val="00673DE7"/>
    <w:rsid w:val="00674D9D"/>
    <w:rsid w:val="00675F66"/>
    <w:rsid w:val="0067638C"/>
    <w:rsid w:val="0067659C"/>
    <w:rsid w:val="006767A7"/>
    <w:rsid w:val="00676CD2"/>
    <w:rsid w:val="00676EDB"/>
    <w:rsid w:val="006802B6"/>
    <w:rsid w:val="006818AE"/>
    <w:rsid w:val="0068286B"/>
    <w:rsid w:val="006840A6"/>
    <w:rsid w:val="006844A2"/>
    <w:rsid w:val="00684986"/>
    <w:rsid w:val="00684A5F"/>
    <w:rsid w:val="00685D77"/>
    <w:rsid w:val="006864B9"/>
    <w:rsid w:val="00686517"/>
    <w:rsid w:val="006900F3"/>
    <w:rsid w:val="00690BE9"/>
    <w:rsid w:val="00690DDC"/>
    <w:rsid w:val="0069163E"/>
    <w:rsid w:val="006922A0"/>
    <w:rsid w:val="0069359E"/>
    <w:rsid w:val="0069495A"/>
    <w:rsid w:val="0069558F"/>
    <w:rsid w:val="0069710E"/>
    <w:rsid w:val="0069770A"/>
    <w:rsid w:val="006A06BA"/>
    <w:rsid w:val="006A0767"/>
    <w:rsid w:val="006A168A"/>
    <w:rsid w:val="006A24FC"/>
    <w:rsid w:val="006A60B2"/>
    <w:rsid w:val="006A6334"/>
    <w:rsid w:val="006A6895"/>
    <w:rsid w:val="006A6F65"/>
    <w:rsid w:val="006A7D04"/>
    <w:rsid w:val="006B0962"/>
    <w:rsid w:val="006B277F"/>
    <w:rsid w:val="006B3FD8"/>
    <w:rsid w:val="006B4BCE"/>
    <w:rsid w:val="006B4DE9"/>
    <w:rsid w:val="006B5167"/>
    <w:rsid w:val="006B5F6C"/>
    <w:rsid w:val="006B77EA"/>
    <w:rsid w:val="006B79B1"/>
    <w:rsid w:val="006C0335"/>
    <w:rsid w:val="006C0A3F"/>
    <w:rsid w:val="006C0B68"/>
    <w:rsid w:val="006C1DB0"/>
    <w:rsid w:val="006C21DC"/>
    <w:rsid w:val="006C2332"/>
    <w:rsid w:val="006C40DA"/>
    <w:rsid w:val="006C4B5C"/>
    <w:rsid w:val="006C4C89"/>
    <w:rsid w:val="006C5F10"/>
    <w:rsid w:val="006C641B"/>
    <w:rsid w:val="006C74CA"/>
    <w:rsid w:val="006D05A3"/>
    <w:rsid w:val="006D0AD3"/>
    <w:rsid w:val="006D0FE1"/>
    <w:rsid w:val="006D16AB"/>
    <w:rsid w:val="006D1A54"/>
    <w:rsid w:val="006D244F"/>
    <w:rsid w:val="006D24B4"/>
    <w:rsid w:val="006D2772"/>
    <w:rsid w:val="006D2BD0"/>
    <w:rsid w:val="006D3FD9"/>
    <w:rsid w:val="006D4348"/>
    <w:rsid w:val="006D44C5"/>
    <w:rsid w:val="006D4A2D"/>
    <w:rsid w:val="006D4E5A"/>
    <w:rsid w:val="006D5318"/>
    <w:rsid w:val="006D5FB9"/>
    <w:rsid w:val="006D6786"/>
    <w:rsid w:val="006D6AC5"/>
    <w:rsid w:val="006D6C8E"/>
    <w:rsid w:val="006D7DE8"/>
    <w:rsid w:val="006E0991"/>
    <w:rsid w:val="006E2E88"/>
    <w:rsid w:val="006E3AEF"/>
    <w:rsid w:val="006E3C56"/>
    <w:rsid w:val="006E45F7"/>
    <w:rsid w:val="006E51CE"/>
    <w:rsid w:val="006E58BC"/>
    <w:rsid w:val="006E62DC"/>
    <w:rsid w:val="006E662F"/>
    <w:rsid w:val="006E690D"/>
    <w:rsid w:val="006E716A"/>
    <w:rsid w:val="006E77EA"/>
    <w:rsid w:val="006F0062"/>
    <w:rsid w:val="006F067D"/>
    <w:rsid w:val="006F1854"/>
    <w:rsid w:val="006F1A94"/>
    <w:rsid w:val="006F2F1A"/>
    <w:rsid w:val="006F3831"/>
    <w:rsid w:val="006F674A"/>
    <w:rsid w:val="006F69DE"/>
    <w:rsid w:val="00700E58"/>
    <w:rsid w:val="007016F9"/>
    <w:rsid w:val="00701F1B"/>
    <w:rsid w:val="007026BB"/>
    <w:rsid w:val="00702A23"/>
    <w:rsid w:val="007043DA"/>
    <w:rsid w:val="007049E7"/>
    <w:rsid w:val="00705A27"/>
    <w:rsid w:val="00706092"/>
    <w:rsid w:val="00706B59"/>
    <w:rsid w:val="00707416"/>
    <w:rsid w:val="00707691"/>
    <w:rsid w:val="00707C2F"/>
    <w:rsid w:val="00710609"/>
    <w:rsid w:val="00712FD8"/>
    <w:rsid w:val="007132A4"/>
    <w:rsid w:val="00714E43"/>
    <w:rsid w:val="007165B8"/>
    <w:rsid w:val="00716775"/>
    <w:rsid w:val="00716FBB"/>
    <w:rsid w:val="007217CF"/>
    <w:rsid w:val="00722B06"/>
    <w:rsid w:val="007266F2"/>
    <w:rsid w:val="0073002D"/>
    <w:rsid w:val="007307F2"/>
    <w:rsid w:val="00730CCA"/>
    <w:rsid w:val="007311D8"/>
    <w:rsid w:val="007315E5"/>
    <w:rsid w:val="00731FC7"/>
    <w:rsid w:val="00731FD6"/>
    <w:rsid w:val="00733D42"/>
    <w:rsid w:val="007343B4"/>
    <w:rsid w:val="0073475E"/>
    <w:rsid w:val="0073477B"/>
    <w:rsid w:val="007358F6"/>
    <w:rsid w:val="00736C3D"/>
    <w:rsid w:val="0073727D"/>
    <w:rsid w:val="00741B5A"/>
    <w:rsid w:val="00741BAA"/>
    <w:rsid w:val="007427E9"/>
    <w:rsid w:val="00743506"/>
    <w:rsid w:val="00744B71"/>
    <w:rsid w:val="007452D4"/>
    <w:rsid w:val="00745F12"/>
    <w:rsid w:val="00746363"/>
    <w:rsid w:val="00746766"/>
    <w:rsid w:val="00746BC9"/>
    <w:rsid w:val="007503A5"/>
    <w:rsid w:val="00750AFB"/>
    <w:rsid w:val="00750F4C"/>
    <w:rsid w:val="007516CD"/>
    <w:rsid w:val="007524F2"/>
    <w:rsid w:val="00752FBC"/>
    <w:rsid w:val="0075535D"/>
    <w:rsid w:val="00755706"/>
    <w:rsid w:val="007557AE"/>
    <w:rsid w:val="00756187"/>
    <w:rsid w:val="00757C9A"/>
    <w:rsid w:val="00757EBE"/>
    <w:rsid w:val="007603C6"/>
    <w:rsid w:val="00760461"/>
    <w:rsid w:val="00760751"/>
    <w:rsid w:val="00761A33"/>
    <w:rsid w:val="007626A7"/>
    <w:rsid w:val="0076369A"/>
    <w:rsid w:val="00763C41"/>
    <w:rsid w:val="00765D42"/>
    <w:rsid w:val="00766DED"/>
    <w:rsid w:val="00770AAD"/>
    <w:rsid w:val="00770B7D"/>
    <w:rsid w:val="00770DBC"/>
    <w:rsid w:val="00771A7F"/>
    <w:rsid w:val="00772E1C"/>
    <w:rsid w:val="0077331A"/>
    <w:rsid w:val="007733C3"/>
    <w:rsid w:val="00773F80"/>
    <w:rsid w:val="007747F0"/>
    <w:rsid w:val="00776005"/>
    <w:rsid w:val="0077626F"/>
    <w:rsid w:val="00776675"/>
    <w:rsid w:val="007774F4"/>
    <w:rsid w:val="00780FE0"/>
    <w:rsid w:val="00781B91"/>
    <w:rsid w:val="00782F56"/>
    <w:rsid w:val="007837F6"/>
    <w:rsid w:val="00783E7B"/>
    <w:rsid w:val="00784A88"/>
    <w:rsid w:val="00784F52"/>
    <w:rsid w:val="00785DEA"/>
    <w:rsid w:val="00785F3F"/>
    <w:rsid w:val="00786AA3"/>
    <w:rsid w:val="00786DB5"/>
    <w:rsid w:val="00787759"/>
    <w:rsid w:val="00787767"/>
    <w:rsid w:val="00791631"/>
    <w:rsid w:val="00792650"/>
    <w:rsid w:val="00793BE4"/>
    <w:rsid w:val="00793CF8"/>
    <w:rsid w:val="00794AE7"/>
    <w:rsid w:val="00794CEE"/>
    <w:rsid w:val="0079539A"/>
    <w:rsid w:val="0079581D"/>
    <w:rsid w:val="00795B6E"/>
    <w:rsid w:val="00796A83"/>
    <w:rsid w:val="00797066"/>
    <w:rsid w:val="007A0F4A"/>
    <w:rsid w:val="007A1DF2"/>
    <w:rsid w:val="007A1E39"/>
    <w:rsid w:val="007A32FC"/>
    <w:rsid w:val="007A5205"/>
    <w:rsid w:val="007A558A"/>
    <w:rsid w:val="007A5614"/>
    <w:rsid w:val="007A6A27"/>
    <w:rsid w:val="007A6B9E"/>
    <w:rsid w:val="007A7E4E"/>
    <w:rsid w:val="007B0883"/>
    <w:rsid w:val="007B0AC5"/>
    <w:rsid w:val="007B0DA5"/>
    <w:rsid w:val="007B0FF1"/>
    <w:rsid w:val="007B121C"/>
    <w:rsid w:val="007B1BEB"/>
    <w:rsid w:val="007B2189"/>
    <w:rsid w:val="007B33B6"/>
    <w:rsid w:val="007B4453"/>
    <w:rsid w:val="007B66CF"/>
    <w:rsid w:val="007B714D"/>
    <w:rsid w:val="007B7D8A"/>
    <w:rsid w:val="007B7E5A"/>
    <w:rsid w:val="007B7F3C"/>
    <w:rsid w:val="007C0B53"/>
    <w:rsid w:val="007C0CA9"/>
    <w:rsid w:val="007C1CF1"/>
    <w:rsid w:val="007C203C"/>
    <w:rsid w:val="007C2E0B"/>
    <w:rsid w:val="007C2EE8"/>
    <w:rsid w:val="007C381C"/>
    <w:rsid w:val="007C3BD1"/>
    <w:rsid w:val="007C3F53"/>
    <w:rsid w:val="007C43F7"/>
    <w:rsid w:val="007C63C7"/>
    <w:rsid w:val="007C78F4"/>
    <w:rsid w:val="007D071C"/>
    <w:rsid w:val="007D0C7D"/>
    <w:rsid w:val="007D15AF"/>
    <w:rsid w:val="007D1791"/>
    <w:rsid w:val="007D1A49"/>
    <w:rsid w:val="007D4C61"/>
    <w:rsid w:val="007D5653"/>
    <w:rsid w:val="007D7C82"/>
    <w:rsid w:val="007E06D0"/>
    <w:rsid w:val="007E0BDF"/>
    <w:rsid w:val="007E386A"/>
    <w:rsid w:val="007E60EF"/>
    <w:rsid w:val="007E63A2"/>
    <w:rsid w:val="007F101C"/>
    <w:rsid w:val="007F1B43"/>
    <w:rsid w:val="007F228D"/>
    <w:rsid w:val="007F2564"/>
    <w:rsid w:val="007F301B"/>
    <w:rsid w:val="007F49A3"/>
    <w:rsid w:val="007F5762"/>
    <w:rsid w:val="007F5B39"/>
    <w:rsid w:val="007F6034"/>
    <w:rsid w:val="0080046E"/>
    <w:rsid w:val="008006FA"/>
    <w:rsid w:val="00801494"/>
    <w:rsid w:val="0080259B"/>
    <w:rsid w:val="008036F5"/>
    <w:rsid w:val="00804830"/>
    <w:rsid w:val="0080498E"/>
    <w:rsid w:val="00804CDD"/>
    <w:rsid w:val="00804CFA"/>
    <w:rsid w:val="00806D6E"/>
    <w:rsid w:val="00806FE8"/>
    <w:rsid w:val="008072EF"/>
    <w:rsid w:val="008077B8"/>
    <w:rsid w:val="00807A67"/>
    <w:rsid w:val="00807FD7"/>
    <w:rsid w:val="0081062C"/>
    <w:rsid w:val="00810B57"/>
    <w:rsid w:val="00811B24"/>
    <w:rsid w:val="00811DB2"/>
    <w:rsid w:val="00812D7F"/>
    <w:rsid w:val="00812FA6"/>
    <w:rsid w:val="008153AD"/>
    <w:rsid w:val="00815570"/>
    <w:rsid w:val="00815826"/>
    <w:rsid w:val="00816280"/>
    <w:rsid w:val="00820766"/>
    <w:rsid w:val="008207D3"/>
    <w:rsid w:val="0082091A"/>
    <w:rsid w:val="00820D9E"/>
    <w:rsid w:val="00820F9A"/>
    <w:rsid w:val="0082120E"/>
    <w:rsid w:val="008213A4"/>
    <w:rsid w:val="0082178B"/>
    <w:rsid w:val="0082244B"/>
    <w:rsid w:val="00822DC3"/>
    <w:rsid w:val="0082374A"/>
    <w:rsid w:val="00823FC6"/>
    <w:rsid w:val="0082434F"/>
    <w:rsid w:val="00825D01"/>
    <w:rsid w:val="008277C6"/>
    <w:rsid w:val="00831087"/>
    <w:rsid w:val="0083154C"/>
    <w:rsid w:val="00831BBE"/>
    <w:rsid w:val="00832027"/>
    <w:rsid w:val="008325A0"/>
    <w:rsid w:val="00833154"/>
    <w:rsid w:val="008342AC"/>
    <w:rsid w:val="00834AF2"/>
    <w:rsid w:val="00835C92"/>
    <w:rsid w:val="0083794F"/>
    <w:rsid w:val="0084324A"/>
    <w:rsid w:val="008444A7"/>
    <w:rsid w:val="00845738"/>
    <w:rsid w:val="008467B6"/>
    <w:rsid w:val="00850C41"/>
    <w:rsid w:val="00853052"/>
    <w:rsid w:val="008538B0"/>
    <w:rsid w:val="00853CBD"/>
    <w:rsid w:val="00853E45"/>
    <w:rsid w:val="00855EA4"/>
    <w:rsid w:val="008566BB"/>
    <w:rsid w:val="00856974"/>
    <w:rsid w:val="00860489"/>
    <w:rsid w:val="00860E51"/>
    <w:rsid w:val="00861333"/>
    <w:rsid w:val="00861A64"/>
    <w:rsid w:val="00863181"/>
    <w:rsid w:val="008635F2"/>
    <w:rsid w:val="00863F1F"/>
    <w:rsid w:val="0086451F"/>
    <w:rsid w:val="00864BE6"/>
    <w:rsid w:val="008664AD"/>
    <w:rsid w:val="00866A78"/>
    <w:rsid w:val="00867A02"/>
    <w:rsid w:val="00867A99"/>
    <w:rsid w:val="00867FEA"/>
    <w:rsid w:val="00870237"/>
    <w:rsid w:val="008707C1"/>
    <w:rsid w:val="008710AD"/>
    <w:rsid w:val="008711F2"/>
    <w:rsid w:val="008716E0"/>
    <w:rsid w:val="00872A5D"/>
    <w:rsid w:val="00872AC1"/>
    <w:rsid w:val="0087347E"/>
    <w:rsid w:val="008737FD"/>
    <w:rsid w:val="0087432C"/>
    <w:rsid w:val="00874CC9"/>
    <w:rsid w:val="008751E3"/>
    <w:rsid w:val="008778AB"/>
    <w:rsid w:val="00880E9A"/>
    <w:rsid w:val="0088371D"/>
    <w:rsid w:val="00883F4C"/>
    <w:rsid w:val="00884ACE"/>
    <w:rsid w:val="00884DBE"/>
    <w:rsid w:val="00884FC0"/>
    <w:rsid w:val="008872CF"/>
    <w:rsid w:val="0089006A"/>
    <w:rsid w:val="0089044E"/>
    <w:rsid w:val="00890622"/>
    <w:rsid w:val="008911D4"/>
    <w:rsid w:val="00891D19"/>
    <w:rsid w:val="00893936"/>
    <w:rsid w:val="00893E8E"/>
    <w:rsid w:val="008945A5"/>
    <w:rsid w:val="00894C21"/>
    <w:rsid w:val="00895151"/>
    <w:rsid w:val="00895B7E"/>
    <w:rsid w:val="00897585"/>
    <w:rsid w:val="008A0970"/>
    <w:rsid w:val="008A0D1E"/>
    <w:rsid w:val="008A0F80"/>
    <w:rsid w:val="008A2A58"/>
    <w:rsid w:val="008A3CF7"/>
    <w:rsid w:val="008A526E"/>
    <w:rsid w:val="008A5DBB"/>
    <w:rsid w:val="008A6293"/>
    <w:rsid w:val="008A6471"/>
    <w:rsid w:val="008A7154"/>
    <w:rsid w:val="008A7548"/>
    <w:rsid w:val="008A7635"/>
    <w:rsid w:val="008A7876"/>
    <w:rsid w:val="008A7AC7"/>
    <w:rsid w:val="008A7C56"/>
    <w:rsid w:val="008A7DCC"/>
    <w:rsid w:val="008B04B9"/>
    <w:rsid w:val="008B053A"/>
    <w:rsid w:val="008B0EDB"/>
    <w:rsid w:val="008B1C1D"/>
    <w:rsid w:val="008B1D8A"/>
    <w:rsid w:val="008B21A7"/>
    <w:rsid w:val="008B2E7B"/>
    <w:rsid w:val="008B47F8"/>
    <w:rsid w:val="008B65BC"/>
    <w:rsid w:val="008C34F9"/>
    <w:rsid w:val="008C36F9"/>
    <w:rsid w:val="008C4218"/>
    <w:rsid w:val="008C4621"/>
    <w:rsid w:val="008C4E8A"/>
    <w:rsid w:val="008C5169"/>
    <w:rsid w:val="008C54A3"/>
    <w:rsid w:val="008C6713"/>
    <w:rsid w:val="008C76AF"/>
    <w:rsid w:val="008C7708"/>
    <w:rsid w:val="008C7A99"/>
    <w:rsid w:val="008C7C4D"/>
    <w:rsid w:val="008D00C2"/>
    <w:rsid w:val="008D0640"/>
    <w:rsid w:val="008D10AE"/>
    <w:rsid w:val="008D7434"/>
    <w:rsid w:val="008E0838"/>
    <w:rsid w:val="008E1B77"/>
    <w:rsid w:val="008E43F9"/>
    <w:rsid w:val="008F0059"/>
    <w:rsid w:val="008F1CD3"/>
    <w:rsid w:val="008F1DDF"/>
    <w:rsid w:val="008F2207"/>
    <w:rsid w:val="008F34FC"/>
    <w:rsid w:val="008F35CB"/>
    <w:rsid w:val="008F3E32"/>
    <w:rsid w:val="008F57F7"/>
    <w:rsid w:val="008F58E2"/>
    <w:rsid w:val="008F5BDF"/>
    <w:rsid w:val="008F5E8A"/>
    <w:rsid w:val="008F6296"/>
    <w:rsid w:val="008F667F"/>
    <w:rsid w:val="008F67C4"/>
    <w:rsid w:val="008F710F"/>
    <w:rsid w:val="0090002B"/>
    <w:rsid w:val="00900937"/>
    <w:rsid w:val="00902336"/>
    <w:rsid w:val="009027B3"/>
    <w:rsid w:val="0090358B"/>
    <w:rsid w:val="009054DF"/>
    <w:rsid w:val="00905569"/>
    <w:rsid w:val="009059F4"/>
    <w:rsid w:val="00906371"/>
    <w:rsid w:val="00911167"/>
    <w:rsid w:val="0091156A"/>
    <w:rsid w:val="00911DF1"/>
    <w:rsid w:val="00912238"/>
    <w:rsid w:val="00913BDC"/>
    <w:rsid w:val="00913C3B"/>
    <w:rsid w:val="00913C94"/>
    <w:rsid w:val="00913CDA"/>
    <w:rsid w:val="00914269"/>
    <w:rsid w:val="00914E3A"/>
    <w:rsid w:val="00914E46"/>
    <w:rsid w:val="00914EFA"/>
    <w:rsid w:val="00916107"/>
    <w:rsid w:val="0091749C"/>
    <w:rsid w:val="009209CA"/>
    <w:rsid w:val="00921109"/>
    <w:rsid w:val="009219E6"/>
    <w:rsid w:val="0092209E"/>
    <w:rsid w:val="0092229F"/>
    <w:rsid w:val="00922F8D"/>
    <w:rsid w:val="009230E2"/>
    <w:rsid w:val="00925137"/>
    <w:rsid w:val="00925359"/>
    <w:rsid w:val="00925BD2"/>
    <w:rsid w:val="00925C97"/>
    <w:rsid w:val="00925D69"/>
    <w:rsid w:val="00927A7B"/>
    <w:rsid w:val="00930893"/>
    <w:rsid w:val="00931654"/>
    <w:rsid w:val="009320CC"/>
    <w:rsid w:val="00932323"/>
    <w:rsid w:val="0093333C"/>
    <w:rsid w:val="00934E82"/>
    <w:rsid w:val="00935CF4"/>
    <w:rsid w:val="00936257"/>
    <w:rsid w:val="00936875"/>
    <w:rsid w:val="00936D1C"/>
    <w:rsid w:val="00937E14"/>
    <w:rsid w:val="009400A7"/>
    <w:rsid w:val="00940129"/>
    <w:rsid w:val="00943BC5"/>
    <w:rsid w:val="00943D50"/>
    <w:rsid w:val="00944A0B"/>
    <w:rsid w:val="00944C81"/>
    <w:rsid w:val="009476B9"/>
    <w:rsid w:val="009479F4"/>
    <w:rsid w:val="0095078C"/>
    <w:rsid w:val="00950CA0"/>
    <w:rsid w:val="00951B68"/>
    <w:rsid w:val="00952092"/>
    <w:rsid w:val="00952B41"/>
    <w:rsid w:val="0095375E"/>
    <w:rsid w:val="00953FA9"/>
    <w:rsid w:val="009542D1"/>
    <w:rsid w:val="009545A7"/>
    <w:rsid w:val="00954D6D"/>
    <w:rsid w:val="0095589C"/>
    <w:rsid w:val="00956244"/>
    <w:rsid w:val="00956952"/>
    <w:rsid w:val="00960E6F"/>
    <w:rsid w:val="009617F2"/>
    <w:rsid w:val="00961D5E"/>
    <w:rsid w:val="00963007"/>
    <w:rsid w:val="009631F5"/>
    <w:rsid w:val="009640F5"/>
    <w:rsid w:val="00964433"/>
    <w:rsid w:val="00964A2D"/>
    <w:rsid w:val="00964B6C"/>
    <w:rsid w:val="00965467"/>
    <w:rsid w:val="009655FD"/>
    <w:rsid w:val="009662B8"/>
    <w:rsid w:val="00967048"/>
    <w:rsid w:val="009677FE"/>
    <w:rsid w:val="009703C0"/>
    <w:rsid w:val="009705F4"/>
    <w:rsid w:val="00970EE6"/>
    <w:rsid w:val="00971C82"/>
    <w:rsid w:val="00971DDC"/>
    <w:rsid w:val="009720BF"/>
    <w:rsid w:val="00972440"/>
    <w:rsid w:val="009725FE"/>
    <w:rsid w:val="00973781"/>
    <w:rsid w:val="0097416C"/>
    <w:rsid w:val="00974297"/>
    <w:rsid w:val="009747D9"/>
    <w:rsid w:val="00975340"/>
    <w:rsid w:val="00975F86"/>
    <w:rsid w:val="009761EC"/>
    <w:rsid w:val="00976BBB"/>
    <w:rsid w:val="00976C50"/>
    <w:rsid w:val="0098125A"/>
    <w:rsid w:val="00981321"/>
    <w:rsid w:val="00981D5D"/>
    <w:rsid w:val="00983030"/>
    <w:rsid w:val="00983100"/>
    <w:rsid w:val="0098536D"/>
    <w:rsid w:val="009878CE"/>
    <w:rsid w:val="00987F86"/>
    <w:rsid w:val="009915A2"/>
    <w:rsid w:val="00992CFB"/>
    <w:rsid w:val="009941FD"/>
    <w:rsid w:val="00995934"/>
    <w:rsid w:val="00996B5D"/>
    <w:rsid w:val="00996C86"/>
    <w:rsid w:val="009A02BF"/>
    <w:rsid w:val="009A0A18"/>
    <w:rsid w:val="009A14B3"/>
    <w:rsid w:val="009A62FC"/>
    <w:rsid w:val="009A687A"/>
    <w:rsid w:val="009A6C43"/>
    <w:rsid w:val="009A703A"/>
    <w:rsid w:val="009A7318"/>
    <w:rsid w:val="009B1591"/>
    <w:rsid w:val="009B1B7C"/>
    <w:rsid w:val="009B3934"/>
    <w:rsid w:val="009B3FB0"/>
    <w:rsid w:val="009B432C"/>
    <w:rsid w:val="009B49D3"/>
    <w:rsid w:val="009B51E2"/>
    <w:rsid w:val="009B5384"/>
    <w:rsid w:val="009B5660"/>
    <w:rsid w:val="009C0BD6"/>
    <w:rsid w:val="009C177B"/>
    <w:rsid w:val="009C27FC"/>
    <w:rsid w:val="009C3F78"/>
    <w:rsid w:val="009C4FCA"/>
    <w:rsid w:val="009C5B8F"/>
    <w:rsid w:val="009C626C"/>
    <w:rsid w:val="009C737B"/>
    <w:rsid w:val="009D0276"/>
    <w:rsid w:val="009D0592"/>
    <w:rsid w:val="009D09DD"/>
    <w:rsid w:val="009D1526"/>
    <w:rsid w:val="009D1AEA"/>
    <w:rsid w:val="009D2C5D"/>
    <w:rsid w:val="009D33DC"/>
    <w:rsid w:val="009D392E"/>
    <w:rsid w:val="009D3EDE"/>
    <w:rsid w:val="009D4B10"/>
    <w:rsid w:val="009D5F2C"/>
    <w:rsid w:val="009D6152"/>
    <w:rsid w:val="009D6790"/>
    <w:rsid w:val="009E0AA7"/>
    <w:rsid w:val="009E19D9"/>
    <w:rsid w:val="009E264C"/>
    <w:rsid w:val="009E2CDC"/>
    <w:rsid w:val="009E349E"/>
    <w:rsid w:val="009E3B31"/>
    <w:rsid w:val="009E4313"/>
    <w:rsid w:val="009E45E4"/>
    <w:rsid w:val="009E49B5"/>
    <w:rsid w:val="009E4EF7"/>
    <w:rsid w:val="009E5442"/>
    <w:rsid w:val="009E5E2F"/>
    <w:rsid w:val="009E5F7D"/>
    <w:rsid w:val="009E6011"/>
    <w:rsid w:val="009E6713"/>
    <w:rsid w:val="009E677B"/>
    <w:rsid w:val="009F04B7"/>
    <w:rsid w:val="009F14E3"/>
    <w:rsid w:val="009F19A3"/>
    <w:rsid w:val="009F1F3D"/>
    <w:rsid w:val="009F363E"/>
    <w:rsid w:val="009F739F"/>
    <w:rsid w:val="00A00323"/>
    <w:rsid w:val="00A0165C"/>
    <w:rsid w:val="00A01799"/>
    <w:rsid w:val="00A0222B"/>
    <w:rsid w:val="00A02A67"/>
    <w:rsid w:val="00A03776"/>
    <w:rsid w:val="00A03A4B"/>
    <w:rsid w:val="00A04010"/>
    <w:rsid w:val="00A04B99"/>
    <w:rsid w:val="00A0552D"/>
    <w:rsid w:val="00A0588E"/>
    <w:rsid w:val="00A06C99"/>
    <w:rsid w:val="00A075DC"/>
    <w:rsid w:val="00A075EA"/>
    <w:rsid w:val="00A1011E"/>
    <w:rsid w:val="00A10436"/>
    <w:rsid w:val="00A121C8"/>
    <w:rsid w:val="00A13BCD"/>
    <w:rsid w:val="00A14686"/>
    <w:rsid w:val="00A15149"/>
    <w:rsid w:val="00A207C5"/>
    <w:rsid w:val="00A214C0"/>
    <w:rsid w:val="00A22C43"/>
    <w:rsid w:val="00A243F1"/>
    <w:rsid w:val="00A25FA5"/>
    <w:rsid w:val="00A2708E"/>
    <w:rsid w:val="00A30669"/>
    <w:rsid w:val="00A32A65"/>
    <w:rsid w:val="00A32C35"/>
    <w:rsid w:val="00A32D54"/>
    <w:rsid w:val="00A33857"/>
    <w:rsid w:val="00A37DA9"/>
    <w:rsid w:val="00A414CA"/>
    <w:rsid w:val="00A417D7"/>
    <w:rsid w:val="00A417F0"/>
    <w:rsid w:val="00A419E8"/>
    <w:rsid w:val="00A42372"/>
    <w:rsid w:val="00A4282A"/>
    <w:rsid w:val="00A4316B"/>
    <w:rsid w:val="00A43BC0"/>
    <w:rsid w:val="00A44CE1"/>
    <w:rsid w:val="00A455E3"/>
    <w:rsid w:val="00A46B64"/>
    <w:rsid w:val="00A47AC5"/>
    <w:rsid w:val="00A47C0F"/>
    <w:rsid w:val="00A50242"/>
    <w:rsid w:val="00A50AF6"/>
    <w:rsid w:val="00A52451"/>
    <w:rsid w:val="00A526B3"/>
    <w:rsid w:val="00A53284"/>
    <w:rsid w:val="00A55767"/>
    <w:rsid w:val="00A55894"/>
    <w:rsid w:val="00A61D25"/>
    <w:rsid w:val="00A61E36"/>
    <w:rsid w:val="00A621F7"/>
    <w:rsid w:val="00A62DA0"/>
    <w:rsid w:val="00A63937"/>
    <w:rsid w:val="00A65022"/>
    <w:rsid w:val="00A656E4"/>
    <w:rsid w:val="00A65F96"/>
    <w:rsid w:val="00A6705F"/>
    <w:rsid w:val="00A70634"/>
    <w:rsid w:val="00A70AA4"/>
    <w:rsid w:val="00A71DF0"/>
    <w:rsid w:val="00A71F5C"/>
    <w:rsid w:val="00A7205F"/>
    <w:rsid w:val="00A723B1"/>
    <w:rsid w:val="00A72FC5"/>
    <w:rsid w:val="00A74369"/>
    <w:rsid w:val="00A759C0"/>
    <w:rsid w:val="00A807C4"/>
    <w:rsid w:val="00A819D9"/>
    <w:rsid w:val="00A83232"/>
    <w:rsid w:val="00A85B1C"/>
    <w:rsid w:val="00A872E5"/>
    <w:rsid w:val="00A87591"/>
    <w:rsid w:val="00A877BF"/>
    <w:rsid w:val="00A87FB7"/>
    <w:rsid w:val="00A923BD"/>
    <w:rsid w:val="00A92705"/>
    <w:rsid w:val="00A92810"/>
    <w:rsid w:val="00A92E6E"/>
    <w:rsid w:val="00A937FB"/>
    <w:rsid w:val="00A9424F"/>
    <w:rsid w:val="00A949A2"/>
    <w:rsid w:val="00A94C9E"/>
    <w:rsid w:val="00A95D57"/>
    <w:rsid w:val="00A96264"/>
    <w:rsid w:val="00A962F1"/>
    <w:rsid w:val="00A9754D"/>
    <w:rsid w:val="00AA173A"/>
    <w:rsid w:val="00AA240D"/>
    <w:rsid w:val="00AA29B8"/>
    <w:rsid w:val="00AA2A5F"/>
    <w:rsid w:val="00AA3433"/>
    <w:rsid w:val="00AA4FBB"/>
    <w:rsid w:val="00AA521F"/>
    <w:rsid w:val="00AA5DC8"/>
    <w:rsid w:val="00AB240D"/>
    <w:rsid w:val="00AB2505"/>
    <w:rsid w:val="00AB25ED"/>
    <w:rsid w:val="00AB436A"/>
    <w:rsid w:val="00AB488F"/>
    <w:rsid w:val="00AB5731"/>
    <w:rsid w:val="00AB5A41"/>
    <w:rsid w:val="00AB66D0"/>
    <w:rsid w:val="00AB6A6F"/>
    <w:rsid w:val="00AC0071"/>
    <w:rsid w:val="00AC0264"/>
    <w:rsid w:val="00AC196E"/>
    <w:rsid w:val="00AC2F83"/>
    <w:rsid w:val="00AC3105"/>
    <w:rsid w:val="00AC4703"/>
    <w:rsid w:val="00AC4E42"/>
    <w:rsid w:val="00AD05DD"/>
    <w:rsid w:val="00AD145C"/>
    <w:rsid w:val="00AD15C5"/>
    <w:rsid w:val="00AD2518"/>
    <w:rsid w:val="00AD2C9C"/>
    <w:rsid w:val="00AD35F5"/>
    <w:rsid w:val="00AD3DD4"/>
    <w:rsid w:val="00AD428C"/>
    <w:rsid w:val="00AD4460"/>
    <w:rsid w:val="00AD4B54"/>
    <w:rsid w:val="00AD5E84"/>
    <w:rsid w:val="00AD6857"/>
    <w:rsid w:val="00AD7161"/>
    <w:rsid w:val="00AD7E36"/>
    <w:rsid w:val="00AE0AEF"/>
    <w:rsid w:val="00AE119D"/>
    <w:rsid w:val="00AE1A77"/>
    <w:rsid w:val="00AE2ECD"/>
    <w:rsid w:val="00AE42FA"/>
    <w:rsid w:val="00AE5053"/>
    <w:rsid w:val="00AE5193"/>
    <w:rsid w:val="00AE68D6"/>
    <w:rsid w:val="00AE6BD0"/>
    <w:rsid w:val="00AF0105"/>
    <w:rsid w:val="00AF2744"/>
    <w:rsid w:val="00AF27B5"/>
    <w:rsid w:val="00AF3AB0"/>
    <w:rsid w:val="00AF5182"/>
    <w:rsid w:val="00AF6259"/>
    <w:rsid w:val="00AF764E"/>
    <w:rsid w:val="00B0012E"/>
    <w:rsid w:val="00B0047E"/>
    <w:rsid w:val="00B00538"/>
    <w:rsid w:val="00B00B93"/>
    <w:rsid w:val="00B017DF"/>
    <w:rsid w:val="00B02D07"/>
    <w:rsid w:val="00B033F0"/>
    <w:rsid w:val="00B053A2"/>
    <w:rsid w:val="00B05A2A"/>
    <w:rsid w:val="00B05ABC"/>
    <w:rsid w:val="00B06DF2"/>
    <w:rsid w:val="00B07479"/>
    <w:rsid w:val="00B11572"/>
    <w:rsid w:val="00B124D2"/>
    <w:rsid w:val="00B12B0F"/>
    <w:rsid w:val="00B12C52"/>
    <w:rsid w:val="00B1305A"/>
    <w:rsid w:val="00B1313E"/>
    <w:rsid w:val="00B13A65"/>
    <w:rsid w:val="00B154BA"/>
    <w:rsid w:val="00B15CA7"/>
    <w:rsid w:val="00B16358"/>
    <w:rsid w:val="00B16A66"/>
    <w:rsid w:val="00B17FFA"/>
    <w:rsid w:val="00B20735"/>
    <w:rsid w:val="00B207B6"/>
    <w:rsid w:val="00B212C7"/>
    <w:rsid w:val="00B21AC7"/>
    <w:rsid w:val="00B2229B"/>
    <w:rsid w:val="00B22607"/>
    <w:rsid w:val="00B24537"/>
    <w:rsid w:val="00B245C2"/>
    <w:rsid w:val="00B24753"/>
    <w:rsid w:val="00B25229"/>
    <w:rsid w:val="00B254DB"/>
    <w:rsid w:val="00B31791"/>
    <w:rsid w:val="00B31DB7"/>
    <w:rsid w:val="00B31F58"/>
    <w:rsid w:val="00B3425C"/>
    <w:rsid w:val="00B342DF"/>
    <w:rsid w:val="00B345DE"/>
    <w:rsid w:val="00B350D8"/>
    <w:rsid w:val="00B354EE"/>
    <w:rsid w:val="00B35F9A"/>
    <w:rsid w:val="00B36630"/>
    <w:rsid w:val="00B36690"/>
    <w:rsid w:val="00B37702"/>
    <w:rsid w:val="00B37B53"/>
    <w:rsid w:val="00B40275"/>
    <w:rsid w:val="00B40FD1"/>
    <w:rsid w:val="00B42B11"/>
    <w:rsid w:val="00B4633F"/>
    <w:rsid w:val="00B4765D"/>
    <w:rsid w:val="00B502BF"/>
    <w:rsid w:val="00B5285B"/>
    <w:rsid w:val="00B54130"/>
    <w:rsid w:val="00B55178"/>
    <w:rsid w:val="00B55F79"/>
    <w:rsid w:val="00B56080"/>
    <w:rsid w:val="00B5621D"/>
    <w:rsid w:val="00B56C46"/>
    <w:rsid w:val="00B5714D"/>
    <w:rsid w:val="00B571DA"/>
    <w:rsid w:val="00B57387"/>
    <w:rsid w:val="00B5756E"/>
    <w:rsid w:val="00B578FF"/>
    <w:rsid w:val="00B57F29"/>
    <w:rsid w:val="00B6076C"/>
    <w:rsid w:val="00B608C5"/>
    <w:rsid w:val="00B60A83"/>
    <w:rsid w:val="00B61CAA"/>
    <w:rsid w:val="00B62FE0"/>
    <w:rsid w:val="00B63D55"/>
    <w:rsid w:val="00B65ABB"/>
    <w:rsid w:val="00B6622B"/>
    <w:rsid w:val="00B66642"/>
    <w:rsid w:val="00B67120"/>
    <w:rsid w:val="00B671F5"/>
    <w:rsid w:val="00B70300"/>
    <w:rsid w:val="00B7169D"/>
    <w:rsid w:val="00B71D5E"/>
    <w:rsid w:val="00B731EA"/>
    <w:rsid w:val="00B739A5"/>
    <w:rsid w:val="00B73C46"/>
    <w:rsid w:val="00B74D30"/>
    <w:rsid w:val="00B74E62"/>
    <w:rsid w:val="00B760E9"/>
    <w:rsid w:val="00B76B6B"/>
    <w:rsid w:val="00B80129"/>
    <w:rsid w:val="00B80569"/>
    <w:rsid w:val="00B80E04"/>
    <w:rsid w:val="00B8119C"/>
    <w:rsid w:val="00B81395"/>
    <w:rsid w:val="00B82FC4"/>
    <w:rsid w:val="00B8359D"/>
    <w:rsid w:val="00B8379E"/>
    <w:rsid w:val="00B83928"/>
    <w:rsid w:val="00B848DB"/>
    <w:rsid w:val="00B85CBC"/>
    <w:rsid w:val="00B865C4"/>
    <w:rsid w:val="00B86987"/>
    <w:rsid w:val="00B86F42"/>
    <w:rsid w:val="00B87B17"/>
    <w:rsid w:val="00B90167"/>
    <w:rsid w:val="00B9067C"/>
    <w:rsid w:val="00B913AA"/>
    <w:rsid w:val="00B925A9"/>
    <w:rsid w:val="00B94276"/>
    <w:rsid w:val="00B95E06"/>
    <w:rsid w:val="00B9655B"/>
    <w:rsid w:val="00B96E41"/>
    <w:rsid w:val="00B972AA"/>
    <w:rsid w:val="00BA007F"/>
    <w:rsid w:val="00BA16FA"/>
    <w:rsid w:val="00BA19CB"/>
    <w:rsid w:val="00BA20BB"/>
    <w:rsid w:val="00BA2E5A"/>
    <w:rsid w:val="00BA4A14"/>
    <w:rsid w:val="00BA509A"/>
    <w:rsid w:val="00BB0253"/>
    <w:rsid w:val="00BB035D"/>
    <w:rsid w:val="00BB0BDF"/>
    <w:rsid w:val="00BB1DC9"/>
    <w:rsid w:val="00BB2655"/>
    <w:rsid w:val="00BB2EA1"/>
    <w:rsid w:val="00BB310C"/>
    <w:rsid w:val="00BB313C"/>
    <w:rsid w:val="00BB5AA0"/>
    <w:rsid w:val="00BB6167"/>
    <w:rsid w:val="00BB6294"/>
    <w:rsid w:val="00BB663D"/>
    <w:rsid w:val="00BB78E1"/>
    <w:rsid w:val="00BB7AFD"/>
    <w:rsid w:val="00BC0240"/>
    <w:rsid w:val="00BC057C"/>
    <w:rsid w:val="00BC060E"/>
    <w:rsid w:val="00BC0C59"/>
    <w:rsid w:val="00BC1042"/>
    <w:rsid w:val="00BC1D6C"/>
    <w:rsid w:val="00BC29DA"/>
    <w:rsid w:val="00BC2A8F"/>
    <w:rsid w:val="00BC3083"/>
    <w:rsid w:val="00BC3ECE"/>
    <w:rsid w:val="00BC68E0"/>
    <w:rsid w:val="00BC69CF"/>
    <w:rsid w:val="00BC6B92"/>
    <w:rsid w:val="00BC6E55"/>
    <w:rsid w:val="00BC7739"/>
    <w:rsid w:val="00BC77A9"/>
    <w:rsid w:val="00BC7E3B"/>
    <w:rsid w:val="00BD019C"/>
    <w:rsid w:val="00BD1A9E"/>
    <w:rsid w:val="00BD2332"/>
    <w:rsid w:val="00BD2E64"/>
    <w:rsid w:val="00BD383C"/>
    <w:rsid w:val="00BD453C"/>
    <w:rsid w:val="00BD57FD"/>
    <w:rsid w:val="00BD5A06"/>
    <w:rsid w:val="00BD5ED5"/>
    <w:rsid w:val="00BD6611"/>
    <w:rsid w:val="00BE0626"/>
    <w:rsid w:val="00BE0936"/>
    <w:rsid w:val="00BE2D59"/>
    <w:rsid w:val="00BE429B"/>
    <w:rsid w:val="00BE4996"/>
    <w:rsid w:val="00BE4AF9"/>
    <w:rsid w:val="00BE5227"/>
    <w:rsid w:val="00BE634C"/>
    <w:rsid w:val="00BE6B62"/>
    <w:rsid w:val="00BF051C"/>
    <w:rsid w:val="00BF0BF6"/>
    <w:rsid w:val="00BF0E8C"/>
    <w:rsid w:val="00BF2806"/>
    <w:rsid w:val="00BF48BD"/>
    <w:rsid w:val="00BF4FF0"/>
    <w:rsid w:val="00BF53B8"/>
    <w:rsid w:val="00BF5F7A"/>
    <w:rsid w:val="00BF7967"/>
    <w:rsid w:val="00BF7D3C"/>
    <w:rsid w:val="00C01AC6"/>
    <w:rsid w:val="00C01BBA"/>
    <w:rsid w:val="00C01CF5"/>
    <w:rsid w:val="00C027B9"/>
    <w:rsid w:val="00C03D4B"/>
    <w:rsid w:val="00C0539D"/>
    <w:rsid w:val="00C05522"/>
    <w:rsid w:val="00C06261"/>
    <w:rsid w:val="00C0657E"/>
    <w:rsid w:val="00C07F03"/>
    <w:rsid w:val="00C1013F"/>
    <w:rsid w:val="00C10627"/>
    <w:rsid w:val="00C125A5"/>
    <w:rsid w:val="00C1269E"/>
    <w:rsid w:val="00C12860"/>
    <w:rsid w:val="00C12A84"/>
    <w:rsid w:val="00C13853"/>
    <w:rsid w:val="00C14DEE"/>
    <w:rsid w:val="00C1539D"/>
    <w:rsid w:val="00C16F6F"/>
    <w:rsid w:val="00C173E3"/>
    <w:rsid w:val="00C17727"/>
    <w:rsid w:val="00C17D85"/>
    <w:rsid w:val="00C22ABF"/>
    <w:rsid w:val="00C23201"/>
    <w:rsid w:val="00C23F7A"/>
    <w:rsid w:val="00C24710"/>
    <w:rsid w:val="00C2529D"/>
    <w:rsid w:val="00C27AB0"/>
    <w:rsid w:val="00C30E2D"/>
    <w:rsid w:val="00C31051"/>
    <w:rsid w:val="00C317CD"/>
    <w:rsid w:val="00C318CE"/>
    <w:rsid w:val="00C3251D"/>
    <w:rsid w:val="00C32A47"/>
    <w:rsid w:val="00C34201"/>
    <w:rsid w:val="00C34CEA"/>
    <w:rsid w:val="00C35E9D"/>
    <w:rsid w:val="00C367BC"/>
    <w:rsid w:val="00C3720D"/>
    <w:rsid w:val="00C375DB"/>
    <w:rsid w:val="00C3773F"/>
    <w:rsid w:val="00C4312D"/>
    <w:rsid w:val="00C43438"/>
    <w:rsid w:val="00C43A23"/>
    <w:rsid w:val="00C45350"/>
    <w:rsid w:val="00C45806"/>
    <w:rsid w:val="00C50A42"/>
    <w:rsid w:val="00C51509"/>
    <w:rsid w:val="00C51CAE"/>
    <w:rsid w:val="00C52430"/>
    <w:rsid w:val="00C54207"/>
    <w:rsid w:val="00C5449A"/>
    <w:rsid w:val="00C55B1F"/>
    <w:rsid w:val="00C564C2"/>
    <w:rsid w:val="00C57505"/>
    <w:rsid w:val="00C57AFB"/>
    <w:rsid w:val="00C6057A"/>
    <w:rsid w:val="00C611A6"/>
    <w:rsid w:val="00C61801"/>
    <w:rsid w:val="00C6209F"/>
    <w:rsid w:val="00C639EE"/>
    <w:rsid w:val="00C645C7"/>
    <w:rsid w:val="00C65F7A"/>
    <w:rsid w:val="00C66595"/>
    <w:rsid w:val="00C67C7B"/>
    <w:rsid w:val="00C7077C"/>
    <w:rsid w:val="00C70D07"/>
    <w:rsid w:val="00C71444"/>
    <w:rsid w:val="00C71607"/>
    <w:rsid w:val="00C72825"/>
    <w:rsid w:val="00C74464"/>
    <w:rsid w:val="00C7564A"/>
    <w:rsid w:val="00C75843"/>
    <w:rsid w:val="00C845F3"/>
    <w:rsid w:val="00C85D22"/>
    <w:rsid w:val="00C865DD"/>
    <w:rsid w:val="00C875E8"/>
    <w:rsid w:val="00C90387"/>
    <w:rsid w:val="00C91740"/>
    <w:rsid w:val="00C91773"/>
    <w:rsid w:val="00C91902"/>
    <w:rsid w:val="00C92A2C"/>
    <w:rsid w:val="00C93425"/>
    <w:rsid w:val="00C934DB"/>
    <w:rsid w:val="00C93B7F"/>
    <w:rsid w:val="00C93D2C"/>
    <w:rsid w:val="00C93EA0"/>
    <w:rsid w:val="00C9440E"/>
    <w:rsid w:val="00C94658"/>
    <w:rsid w:val="00C957CD"/>
    <w:rsid w:val="00C95836"/>
    <w:rsid w:val="00C961A3"/>
    <w:rsid w:val="00C969FF"/>
    <w:rsid w:val="00C96ACC"/>
    <w:rsid w:val="00C96F24"/>
    <w:rsid w:val="00CA5468"/>
    <w:rsid w:val="00CA54A9"/>
    <w:rsid w:val="00CA648E"/>
    <w:rsid w:val="00CB18CE"/>
    <w:rsid w:val="00CB2056"/>
    <w:rsid w:val="00CB2CB9"/>
    <w:rsid w:val="00CB35BF"/>
    <w:rsid w:val="00CB4C3F"/>
    <w:rsid w:val="00CB4D8A"/>
    <w:rsid w:val="00CB53CC"/>
    <w:rsid w:val="00CB5850"/>
    <w:rsid w:val="00CB68E2"/>
    <w:rsid w:val="00CC14A3"/>
    <w:rsid w:val="00CC19E8"/>
    <w:rsid w:val="00CC1D2C"/>
    <w:rsid w:val="00CC22B8"/>
    <w:rsid w:val="00CC3E43"/>
    <w:rsid w:val="00CC509C"/>
    <w:rsid w:val="00CC6A19"/>
    <w:rsid w:val="00CC6CF7"/>
    <w:rsid w:val="00CC7494"/>
    <w:rsid w:val="00CC7FCF"/>
    <w:rsid w:val="00CD2811"/>
    <w:rsid w:val="00CD31BD"/>
    <w:rsid w:val="00CD321B"/>
    <w:rsid w:val="00CD48BA"/>
    <w:rsid w:val="00CD5A3A"/>
    <w:rsid w:val="00CD7E47"/>
    <w:rsid w:val="00CE001D"/>
    <w:rsid w:val="00CE004A"/>
    <w:rsid w:val="00CE00B5"/>
    <w:rsid w:val="00CE0467"/>
    <w:rsid w:val="00CE0B42"/>
    <w:rsid w:val="00CE0F69"/>
    <w:rsid w:val="00CE122D"/>
    <w:rsid w:val="00CE1CAB"/>
    <w:rsid w:val="00CE4FDA"/>
    <w:rsid w:val="00CE5980"/>
    <w:rsid w:val="00CE5B03"/>
    <w:rsid w:val="00CE6F33"/>
    <w:rsid w:val="00CE7AE2"/>
    <w:rsid w:val="00CE7E00"/>
    <w:rsid w:val="00CF0686"/>
    <w:rsid w:val="00CF0E13"/>
    <w:rsid w:val="00CF51BF"/>
    <w:rsid w:val="00CF5603"/>
    <w:rsid w:val="00CF7791"/>
    <w:rsid w:val="00D00949"/>
    <w:rsid w:val="00D00C32"/>
    <w:rsid w:val="00D013CF"/>
    <w:rsid w:val="00D01403"/>
    <w:rsid w:val="00D0236F"/>
    <w:rsid w:val="00D03206"/>
    <w:rsid w:val="00D03C86"/>
    <w:rsid w:val="00D04440"/>
    <w:rsid w:val="00D052BF"/>
    <w:rsid w:val="00D05A45"/>
    <w:rsid w:val="00D0651D"/>
    <w:rsid w:val="00D06755"/>
    <w:rsid w:val="00D06ABA"/>
    <w:rsid w:val="00D10471"/>
    <w:rsid w:val="00D11268"/>
    <w:rsid w:val="00D11ACE"/>
    <w:rsid w:val="00D11B22"/>
    <w:rsid w:val="00D1360C"/>
    <w:rsid w:val="00D140A1"/>
    <w:rsid w:val="00D1413F"/>
    <w:rsid w:val="00D149EE"/>
    <w:rsid w:val="00D15715"/>
    <w:rsid w:val="00D16CBF"/>
    <w:rsid w:val="00D2075C"/>
    <w:rsid w:val="00D22374"/>
    <w:rsid w:val="00D237A8"/>
    <w:rsid w:val="00D257F1"/>
    <w:rsid w:val="00D268F8"/>
    <w:rsid w:val="00D26C81"/>
    <w:rsid w:val="00D2701E"/>
    <w:rsid w:val="00D27043"/>
    <w:rsid w:val="00D270B7"/>
    <w:rsid w:val="00D274D1"/>
    <w:rsid w:val="00D27FF5"/>
    <w:rsid w:val="00D30D7D"/>
    <w:rsid w:val="00D30DC7"/>
    <w:rsid w:val="00D3108A"/>
    <w:rsid w:val="00D312A7"/>
    <w:rsid w:val="00D354D8"/>
    <w:rsid w:val="00D405F7"/>
    <w:rsid w:val="00D40BE3"/>
    <w:rsid w:val="00D411E6"/>
    <w:rsid w:val="00D41A6C"/>
    <w:rsid w:val="00D42AC5"/>
    <w:rsid w:val="00D43A1E"/>
    <w:rsid w:val="00D43A67"/>
    <w:rsid w:val="00D447E4"/>
    <w:rsid w:val="00D44C22"/>
    <w:rsid w:val="00D46124"/>
    <w:rsid w:val="00D464DF"/>
    <w:rsid w:val="00D46CC0"/>
    <w:rsid w:val="00D4752A"/>
    <w:rsid w:val="00D51BFD"/>
    <w:rsid w:val="00D53248"/>
    <w:rsid w:val="00D561D6"/>
    <w:rsid w:val="00D56DEC"/>
    <w:rsid w:val="00D575CD"/>
    <w:rsid w:val="00D5784A"/>
    <w:rsid w:val="00D6081D"/>
    <w:rsid w:val="00D608C0"/>
    <w:rsid w:val="00D621BB"/>
    <w:rsid w:val="00D62CD0"/>
    <w:rsid w:val="00D642A2"/>
    <w:rsid w:val="00D648ED"/>
    <w:rsid w:val="00D6695C"/>
    <w:rsid w:val="00D67807"/>
    <w:rsid w:val="00D70DB7"/>
    <w:rsid w:val="00D7112B"/>
    <w:rsid w:val="00D71AFF"/>
    <w:rsid w:val="00D72A55"/>
    <w:rsid w:val="00D72CF3"/>
    <w:rsid w:val="00D72DAE"/>
    <w:rsid w:val="00D73D1B"/>
    <w:rsid w:val="00D7437B"/>
    <w:rsid w:val="00D746F4"/>
    <w:rsid w:val="00D748B6"/>
    <w:rsid w:val="00D755D6"/>
    <w:rsid w:val="00D756E5"/>
    <w:rsid w:val="00D76E92"/>
    <w:rsid w:val="00D7701E"/>
    <w:rsid w:val="00D7733C"/>
    <w:rsid w:val="00D81280"/>
    <w:rsid w:val="00D82A21"/>
    <w:rsid w:val="00D84EEA"/>
    <w:rsid w:val="00D85163"/>
    <w:rsid w:val="00D8524D"/>
    <w:rsid w:val="00D86182"/>
    <w:rsid w:val="00D8624D"/>
    <w:rsid w:val="00D864C4"/>
    <w:rsid w:val="00D8690C"/>
    <w:rsid w:val="00D86EE4"/>
    <w:rsid w:val="00D871B5"/>
    <w:rsid w:val="00D90EB6"/>
    <w:rsid w:val="00D9246E"/>
    <w:rsid w:val="00D944B0"/>
    <w:rsid w:val="00D94678"/>
    <w:rsid w:val="00D94D87"/>
    <w:rsid w:val="00D95618"/>
    <w:rsid w:val="00D96591"/>
    <w:rsid w:val="00D97087"/>
    <w:rsid w:val="00D977B7"/>
    <w:rsid w:val="00DA08DC"/>
    <w:rsid w:val="00DA0C4B"/>
    <w:rsid w:val="00DA0C51"/>
    <w:rsid w:val="00DA2431"/>
    <w:rsid w:val="00DA2459"/>
    <w:rsid w:val="00DA36F2"/>
    <w:rsid w:val="00DA42AA"/>
    <w:rsid w:val="00DA466D"/>
    <w:rsid w:val="00DA6CBD"/>
    <w:rsid w:val="00DA789C"/>
    <w:rsid w:val="00DB035D"/>
    <w:rsid w:val="00DB0501"/>
    <w:rsid w:val="00DB1587"/>
    <w:rsid w:val="00DB17BB"/>
    <w:rsid w:val="00DB25DD"/>
    <w:rsid w:val="00DB2B58"/>
    <w:rsid w:val="00DB2F60"/>
    <w:rsid w:val="00DB3CAE"/>
    <w:rsid w:val="00DB403F"/>
    <w:rsid w:val="00DB4E9D"/>
    <w:rsid w:val="00DB73E9"/>
    <w:rsid w:val="00DB7B5C"/>
    <w:rsid w:val="00DC0BB1"/>
    <w:rsid w:val="00DC1A45"/>
    <w:rsid w:val="00DC39DD"/>
    <w:rsid w:val="00DC3F6F"/>
    <w:rsid w:val="00DC49BE"/>
    <w:rsid w:val="00DC748F"/>
    <w:rsid w:val="00DC7A44"/>
    <w:rsid w:val="00DC7FBB"/>
    <w:rsid w:val="00DD08A9"/>
    <w:rsid w:val="00DD12C0"/>
    <w:rsid w:val="00DD1999"/>
    <w:rsid w:val="00DD20CE"/>
    <w:rsid w:val="00DD3181"/>
    <w:rsid w:val="00DD5924"/>
    <w:rsid w:val="00DD733E"/>
    <w:rsid w:val="00DE0237"/>
    <w:rsid w:val="00DE2C9A"/>
    <w:rsid w:val="00DE63F2"/>
    <w:rsid w:val="00DE6592"/>
    <w:rsid w:val="00DE7572"/>
    <w:rsid w:val="00DE7A21"/>
    <w:rsid w:val="00DF1354"/>
    <w:rsid w:val="00DF177E"/>
    <w:rsid w:val="00DF2735"/>
    <w:rsid w:val="00DF34BC"/>
    <w:rsid w:val="00DF42C4"/>
    <w:rsid w:val="00DF4685"/>
    <w:rsid w:val="00DF4E60"/>
    <w:rsid w:val="00DF4F6A"/>
    <w:rsid w:val="00DF66AC"/>
    <w:rsid w:val="00DF69D5"/>
    <w:rsid w:val="00E00A5D"/>
    <w:rsid w:val="00E01369"/>
    <w:rsid w:val="00E018FC"/>
    <w:rsid w:val="00E02AF9"/>
    <w:rsid w:val="00E040AF"/>
    <w:rsid w:val="00E04697"/>
    <w:rsid w:val="00E0556B"/>
    <w:rsid w:val="00E06AF1"/>
    <w:rsid w:val="00E10E36"/>
    <w:rsid w:val="00E10EC6"/>
    <w:rsid w:val="00E11BA0"/>
    <w:rsid w:val="00E1273A"/>
    <w:rsid w:val="00E12D23"/>
    <w:rsid w:val="00E139C6"/>
    <w:rsid w:val="00E13EDA"/>
    <w:rsid w:val="00E1402E"/>
    <w:rsid w:val="00E14403"/>
    <w:rsid w:val="00E165F3"/>
    <w:rsid w:val="00E16E03"/>
    <w:rsid w:val="00E17943"/>
    <w:rsid w:val="00E179E8"/>
    <w:rsid w:val="00E21560"/>
    <w:rsid w:val="00E22ED2"/>
    <w:rsid w:val="00E315F2"/>
    <w:rsid w:val="00E31817"/>
    <w:rsid w:val="00E31D87"/>
    <w:rsid w:val="00E32217"/>
    <w:rsid w:val="00E32FF6"/>
    <w:rsid w:val="00E332F6"/>
    <w:rsid w:val="00E333BA"/>
    <w:rsid w:val="00E33BB6"/>
    <w:rsid w:val="00E33C74"/>
    <w:rsid w:val="00E35CA3"/>
    <w:rsid w:val="00E35CEA"/>
    <w:rsid w:val="00E37350"/>
    <w:rsid w:val="00E373BA"/>
    <w:rsid w:val="00E37DFB"/>
    <w:rsid w:val="00E37EA0"/>
    <w:rsid w:val="00E40607"/>
    <w:rsid w:val="00E4099E"/>
    <w:rsid w:val="00E43211"/>
    <w:rsid w:val="00E43229"/>
    <w:rsid w:val="00E435E2"/>
    <w:rsid w:val="00E44AED"/>
    <w:rsid w:val="00E45015"/>
    <w:rsid w:val="00E45728"/>
    <w:rsid w:val="00E45CB0"/>
    <w:rsid w:val="00E46C62"/>
    <w:rsid w:val="00E50951"/>
    <w:rsid w:val="00E50C70"/>
    <w:rsid w:val="00E50DD3"/>
    <w:rsid w:val="00E51090"/>
    <w:rsid w:val="00E51A87"/>
    <w:rsid w:val="00E520A2"/>
    <w:rsid w:val="00E5283E"/>
    <w:rsid w:val="00E529FF"/>
    <w:rsid w:val="00E52D9B"/>
    <w:rsid w:val="00E555F2"/>
    <w:rsid w:val="00E5716E"/>
    <w:rsid w:val="00E57453"/>
    <w:rsid w:val="00E576FA"/>
    <w:rsid w:val="00E60118"/>
    <w:rsid w:val="00E617EF"/>
    <w:rsid w:val="00E621A1"/>
    <w:rsid w:val="00E62EE1"/>
    <w:rsid w:val="00E63397"/>
    <w:rsid w:val="00E6439F"/>
    <w:rsid w:val="00E67E13"/>
    <w:rsid w:val="00E70E05"/>
    <w:rsid w:val="00E71452"/>
    <w:rsid w:val="00E71883"/>
    <w:rsid w:val="00E71EF3"/>
    <w:rsid w:val="00E72E98"/>
    <w:rsid w:val="00E73190"/>
    <w:rsid w:val="00E7536F"/>
    <w:rsid w:val="00E754F0"/>
    <w:rsid w:val="00E7682D"/>
    <w:rsid w:val="00E76AB0"/>
    <w:rsid w:val="00E77B13"/>
    <w:rsid w:val="00E80533"/>
    <w:rsid w:val="00E8084F"/>
    <w:rsid w:val="00E81310"/>
    <w:rsid w:val="00E818A0"/>
    <w:rsid w:val="00E83685"/>
    <w:rsid w:val="00E83C03"/>
    <w:rsid w:val="00E85382"/>
    <w:rsid w:val="00E8562F"/>
    <w:rsid w:val="00E8634B"/>
    <w:rsid w:val="00E86411"/>
    <w:rsid w:val="00E874DB"/>
    <w:rsid w:val="00E900A2"/>
    <w:rsid w:val="00E90B72"/>
    <w:rsid w:val="00E92912"/>
    <w:rsid w:val="00E92F60"/>
    <w:rsid w:val="00E9441D"/>
    <w:rsid w:val="00E96292"/>
    <w:rsid w:val="00E96399"/>
    <w:rsid w:val="00E96BE7"/>
    <w:rsid w:val="00E97F42"/>
    <w:rsid w:val="00EA15F9"/>
    <w:rsid w:val="00EA164F"/>
    <w:rsid w:val="00EA334B"/>
    <w:rsid w:val="00EA33B3"/>
    <w:rsid w:val="00EA3872"/>
    <w:rsid w:val="00EA4FE4"/>
    <w:rsid w:val="00EA7501"/>
    <w:rsid w:val="00EA7944"/>
    <w:rsid w:val="00EB0029"/>
    <w:rsid w:val="00EB0074"/>
    <w:rsid w:val="00EB0351"/>
    <w:rsid w:val="00EB0FF9"/>
    <w:rsid w:val="00EB10D0"/>
    <w:rsid w:val="00EB1A06"/>
    <w:rsid w:val="00EB258C"/>
    <w:rsid w:val="00EB25E7"/>
    <w:rsid w:val="00EB2751"/>
    <w:rsid w:val="00EB3169"/>
    <w:rsid w:val="00EB35D6"/>
    <w:rsid w:val="00EB3800"/>
    <w:rsid w:val="00EB47C5"/>
    <w:rsid w:val="00EB5922"/>
    <w:rsid w:val="00EB63A9"/>
    <w:rsid w:val="00EB675B"/>
    <w:rsid w:val="00EB7A4A"/>
    <w:rsid w:val="00EC046F"/>
    <w:rsid w:val="00EC07EA"/>
    <w:rsid w:val="00EC28B1"/>
    <w:rsid w:val="00EC2992"/>
    <w:rsid w:val="00EC34C6"/>
    <w:rsid w:val="00EC561A"/>
    <w:rsid w:val="00EC6953"/>
    <w:rsid w:val="00EC7544"/>
    <w:rsid w:val="00EC7E25"/>
    <w:rsid w:val="00ED11A3"/>
    <w:rsid w:val="00ED26AA"/>
    <w:rsid w:val="00ED3A41"/>
    <w:rsid w:val="00ED4484"/>
    <w:rsid w:val="00ED49A7"/>
    <w:rsid w:val="00ED49D4"/>
    <w:rsid w:val="00ED4AC4"/>
    <w:rsid w:val="00ED6EB4"/>
    <w:rsid w:val="00ED7869"/>
    <w:rsid w:val="00EE0281"/>
    <w:rsid w:val="00EE1519"/>
    <w:rsid w:val="00EE180E"/>
    <w:rsid w:val="00EE2018"/>
    <w:rsid w:val="00EE3383"/>
    <w:rsid w:val="00EE396F"/>
    <w:rsid w:val="00EE5179"/>
    <w:rsid w:val="00EE786C"/>
    <w:rsid w:val="00EF1734"/>
    <w:rsid w:val="00EF1905"/>
    <w:rsid w:val="00EF1F61"/>
    <w:rsid w:val="00EF3F8D"/>
    <w:rsid w:val="00EF5626"/>
    <w:rsid w:val="00EF5E49"/>
    <w:rsid w:val="00EF5EAC"/>
    <w:rsid w:val="00F0066B"/>
    <w:rsid w:val="00F01E83"/>
    <w:rsid w:val="00F028CD"/>
    <w:rsid w:val="00F02E3C"/>
    <w:rsid w:val="00F03DE0"/>
    <w:rsid w:val="00F05475"/>
    <w:rsid w:val="00F0746D"/>
    <w:rsid w:val="00F07EED"/>
    <w:rsid w:val="00F10023"/>
    <w:rsid w:val="00F11652"/>
    <w:rsid w:val="00F11995"/>
    <w:rsid w:val="00F11F0B"/>
    <w:rsid w:val="00F12445"/>
    <w:rsid w:val="00F15594"/>
    <w:rsid w:val="00F15904"/>
    <w:rsid w:val="00F174DE"/>
    <w:rsid w:val="00F17D8B"/>
    <w:rsid w:val="00F206C1"/>
    <w:rsid w:val="00F218E7"/>
    <w:rsid w:val="00F2209B"/>
    <w:rsid w:val="00F22C38"/>
    <w:rsid w:val="00F24DB9"/>
    <w:rsid w:val="00F24F14"/>
    <w:rsid w:val="00F253A5"/>
    <w:rsid w:val="00F25431"/>
    <w:rsid w:val="00F255C4"/>
    <w:rsid w:val="00F26805"/>
    <w:rsid w:val="00F26B7F"/>
    <w:rsid w:val="00F27328"/>
    <w:rsid w:val="00F310D3"/>
    <w:rsid w:val="00F329BA"/>
    <w:rsid w:val="00F34413"/>
    <w:rsid w:val="00F34DC8"/>
    <w:rsid w:val="00F37AB8"/>
    <w:rsid w:val="00F40189"/>
    <w:rsid w:val="00F4036C"/>
    <w:rsid w:val="00F405BC"/>
    <w:rsid w:val="00F42CF6"/>
    <w:rsid w:val="00F436AF"/>
    <w:rsid w:val="00F44088"/>
    <w:rsid w:val="00F45037"/>
    <w:rsid w:val="00F452B0"/>
    <w:rsid w:val="00F46ACE"/>
    <w:rsid w:val="00F46D46"/>
    <w:rsid w:val="00F478D7"/>
    <w:rsid w:val="00F47BE8"/>
    <w:rsid w:val="00F50D72"/>
    <w:rsid w:val="00F54F75"/>
    <w:rsid w:val="00F55960"/>
    <w:rsid w:val="00F55E3C"/>
    <w:rsid w:val="00F5684E"/>
    <w:rsid w:val="00F56C55"/>
    <w:rsid w:val="00F56E16"/>
    <w:rsid w:val="00F6011D"/>
    <w:rsid w:val="00F60BA2"/>
    <w:rsid w:val="00F6299D"/>
    <w:rsid w:val="00F636B0"/>
    <w:rsid w:val="00F64942"/>
    <w:rsid w:val="00F64A62"/>
    <w:rsid w:val="00F655B4"/>
    <w:rsid w:val="00F66DE2"/>
    <w:rsid w:val="00F66FEC"/>
    <w:rsid w:val="00F67031"/>
    <w:rsid w:val="00F705E6"/>
    <w:rsid w:val="00F70FAB"/>
    <w:rsid w:val="00F726DB"/>
    <w:rsid w:val="00F7285A"/>
    <w:rsid w:val="00F72948"/>
    <w:rsid w:val="00F737E7"/>
    <w:rsid w:val="00F749BF"/>
    <w:rsid w:val="00F75C53"/>
    <w:rsid w:val="00F76676"/>
    <w:rsid w:val="00F7690A"/>
    <w:rsid w:val="00F76E0D"/>
    <w:rsid w:val="00F80F11"/>
    <w:rsid w:val="00F81353"/>
    <w:rsid w:val="00F822C5"/>
    <w:rsid w:val="00F82491"/>
    <w:rsid w:val="00F82656"/>
    <w:rsid w:val="00F82C84"/>
    <w:rsid w:val="00F82F7A"/>
    <w:rsid w:val="00F836B0"/>
    <w:rsid w:val="00F83C05"/>
    <w:rsid w:val="00F848D0"/>
    <w:rsid w:val="00F84C52"/>
    <w:rsid w:val="00F863D7"/>
    <w:rsid w:val="00F86615"/>
    <w:rsid w:val="00F87D24"/>
    <w:rsid w:val="00F87D71"/>
    <w:rsid w:val="00F900EB"/>
    <w:rsid w:val="00F90165"/>
    <w:rsid w:val="00F9107F"/>
    <w:rsid w:val="00F929A8"/>
    <w:rsid w:val="00F94FD7"/>
    <w:rsid w:val="00F97091"/>
    <w:rsid w:val="00FA07A6"/>
    <w:rsid w:val="00FA4038"/>
    <w:rsid w:val="00FA40BB"/>
    <w:rsid w:val="00FA4E26"/>
    <w:rsid w:val="00FA5016"/>
    <w:rsid w:val="00FA5F65"/>
    <w:rsid w:val="00FA6919"/>
    <w:rsid w:val="00FB0A36"/>
    <w:rsid w:val="00FB110D"/>
    <w:rsid w:val="00FB1804"/>
    <w:rsid w:val="00FB20BC"/>
    <w:rsid w:val="00FB397E"/>
    <w:rsid w:val="00FB3C09"/>
    <w:rsid w:val="00FB3D00"/>
    <w:rsid w:val="00FB4FA9"/>
    <w:rsid w:val="00FB5328"/>
    <w:rsid w:val="00FB7005"/>
    <w:rsid w:val="00FB77B3"/>
    <w:rsid w:val="00FB7B06"/>
    <w:rsid w:val="00FB7E41"/>
    <w:rsid w:val="00FB7F32"/>
    <w:rsid w:val="00FC15FE"/>
    <w:rsid w:val="00FC1D7B"/>
    <w:rsid w:val="00FC1F57"/>
    <w:rsid w:val="00FC466E"/>
    <w:rsid w:val="00FC4F92"/>
    <w:rsid w:val="00FC5629"/>
    <w:rsid w:val="00FC6FEC"/>
    <w:rsid w:val="00FC787F"/>
    <w:rsid w:val="00FD1652"/>
    <w:rsid w:val="00FD3AC0"/>
    <w:rsid w:val="00FD3F42"/>
    <w:rsid w:val="00FD5845"/>
    <w:rsid w:val="00FD77B7"/>
    <w:rsid w:val="00FD7AAC"/>
    <w:rsid w:val="00FE1053"/>
    <w:rsid w:val="00FE1703"/>
    <w:rsid w:val="00FE1FC5"/>
    <w:rsid w:val="00FE1FE4"/>
    <w:rsid w:val="00FE27DE"/>
    <w:rsid w:val="00FE2810"/>
    <w:rsid w:val="00FE2B82"/>
    <w:rsid w:val="00FE5BE0"/>
    <w:rsid w:val="00FE5EFE"/>
    <w:rsid w:val="00FE6F07"/>
    <w:rsid w:val="00FE7458"/>
    <w:rsid w:val="00FE7970"/>
    <w:rsid w:val="00FE7A50"/>
    <w:rsid w:val="00FF04A3"/>
    <w:rsid w:val="00FF0AC4"/>
    <w:rsid w:val="00FF0B1E"/>
    <w:rsid w:val="00FF18B6"/>
    <w:rsid w:val="00FF2052"/>
    <w:rsid w:val="00FF3B51"/>
    <w:rsid w:val="00FF4453"/>
    <w:rsid w:val="00FF47F8"/>
    <w:rsid w:val="00FF5822"/>
    <w:rsid w:val="00FF78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7A4E8A13"/>
  <w15:docId w15:val="{4E7A8AB6-A852-4593-B1B9-21BA91F4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F5E"/>
    <w:pPr>
      <w:spacing w:after="160" w:line="259" w:lineRule="auto"/>
    </w:pPr>
    <w:rPr>
      <w:sz w:val="22"/>
      <w:szCs w:val="22"/>
      <w:lang w:eastAsia="en-US"/>
    </w:rPr>
  </w:style>
  <w:style w:type="paragraph" w:styleId="Ttulo1">
    <w:name w:val="heading 1"/>
    <w:basedOn w:val="Normal"/>
    <w:link w:val="Ttulo1Car"/>
    <w:uiPriority w:val="9"/>
    <w:qFormat/>
    <w:rsid w:val="00867A99"/>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qFormat/>
    <w:rsid w:val="00867A99"/>
    <w:pPr>
      <w:keepNext/>
      <w:keepLines/>
      <w:spacing w:before="40" w:after="0" w:line="276" w:lineRule="auto"/>
      <w:outlineLvl w:val="1"/>
    </w:pPr>
    <w:rPr>
      <w:rFonts w:ascii="Calibri Light" w:eastAsia="MS Gothic" w:hAnsi="Calibri Light"/>
      <w:color w:val="2E74B5"/>
      <w:sz w:val="26"/>
      <w:szCs w:val="26"/>
    </w:rPr>
  </w:style>
  <w:style w:type="paragraph" w:styleId="Ttulo4">
    <w:name w:val="heading 4"/>
    <w:basedOn w:val="Normal"/>
    <w:next w:val="Normal"/>
    <w:link w:val="Ttulo4Car"/>
    <w:uiPriority w:val="9"/>
    <w:qFormat/>
    <w:rsid w:val="00867A99"/>
    <w:pPr>
      <w:keepNext/>
      <w:keepLines/>
      <w:spacing w:before="40" w:after="0" w:line="276" w:lineRule="auto"/>
      <w:outlineLvl w:val="3"/>
    </w:pPr>
    <w:rPr>
      <w:rFonts w:ascii="Calibri Light" w:eastAsia="MS Gothic" w:hAnsi="Calibri Light"/>
      <w:i/>
      <w:iCs/>
      <w:color w:val="2E74B5"/>
    </w:rPr>
  </w:style>
  <w:style w:type="paragraph" w:styleId="Ttulo5">
    <w:name w:val="heading 5"/>
    <w:basedOn w:val="Normal"/>
    <w:next w:val="Normal"/>
    <w:link w:val="Ttulo5Car"/>
    <w:uiPriority w:val="9"/>
    <w:qFormat/>
    <w:rsid w:val="007C78F4"/>
    <w:pPr>
      <w:keepNext/>
      <w:keepLines/>
      <w:spacing w:before="40" w:after="0" w:line="276" w:lineRule="auto"/>
      <w:outlineLvl w:val="4"/>
    </w:pPr>
    <w:rPr>
      <w:rFonts w:ascii="Calibri Light" w:eastAsia="MS Gothic" w:hAnsi="Calibri Light"/>
      <w:color w:val="2E74B5"/>
    </w:rPr>
  </w:style>
  <w:style w:type="paragraph" w:styleId="Ttulo6">
    <w:name w:val="heading 6"/>
    <w:basedOn w:val="Normal"/>
    <w:next w:val="Normal"/>
    <w:link w:val="Ttulo6Car"/>
    <w:uiPriority w:val="9"/>
    <w:qFormat/>
    <w:rsid w:val="00867A99"/>
    <w:pPr>
      <w:keepNext/>
      <w:keepLines/>
      <w:spacing w:before="40" w:after="0" w:line="276" w:lineRule="auto"/>
      <w:outlineLvl w:val="5"/>
    </w:pPr>
    <w:rPr>
      <w:rFonts w:ascii="Calibri Light" w:eastAsia="MS Gothic" w:hAnsi="Calibri Light"/>
      <w:color w:val="1F4D78"/>
    </w:rPr>
  </w:style>
  <w:style w:type="paragraph" w:styleId="Ttulo7">
    <w:name w:val="heading 7"/>
    <w:basedOn w:val="Normal"/>
    <w:next w:val="Normal"/>
    <w:link w:val="Ttulo7Car"/>
    <w:uiPriority w:val="9"/>
    <w:qFormat/>
    <w:rsid w:val="007C78F4"/>
    <w:pPr>
      <w:keepNext/>
      <w:keepLines/>
      <w:spacing w:before="40" w:after="0" w:line="276" w:lineRule="auto"/>
      <w:outlineLvl w:val="6"/>
    </w:pPr>
    <w:rPr>
      <w:rFonts w:ascii="Calibri Light" w:eastAsia="MS Gothic" w:hAnsi="Calibri Light"/>
      <w:i/>
      <w:iCs/>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867A99"/>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rsid w:val="00867A99"/>
    <w:rPr>
      <w:rFonts w:ascii="Calibri Light" w:eastAsia="MS Gothic" w:hAnsi="Calibri Light" w:cs="Times New Roman"/>
      <w:color w:val="2E74B5"/>
      <w:sz w:val="26"/>
      <w:szCs w:val="26"/>
    </w:rPr>
  </w:style>
  <w:style w:type="character" w:customStyle="1" w:styleId="Ttulo4Car">
    <w:name w:val="Título 4 Car"/>
    <w:link w:val="Ttulo4"/>
    <w:uiPriority w:val="9"/>
    <w:rsid w:val="00867A99"/>
    <w:rPr>
      <w:rFonts w:ascii="Calibri Light" w:eastAsia="MS Gothic" w:hAnsi="Calibri Light" w:cs="Times New Roman"/>
      <w:i/>
      <w:iCs/>
      <w:color w:val="2E74B5"/>
    </w:rPr>
  </w:style>
  <w:style w:type="character" w:customStyle="1" w:styleId="Ttulo5Car">
    <w:name w:val="Título 5 Car"/>
    <w:link w:val="Ttulo5"/>
    <w:uiPriority w:val="9"/>
    <w:rsid w:val="00867A99"/>
    <w:rPr>
      <w:rFonts w:ascii="Calibri Light" w:eastAsia="MS Gothic" w:hAnsi="Calibri Light"/>
      <w:color w:val="2E74B5"/>
      <w:sz w:val="22"/>
      <w:szCs w:val="22"/>
      <w:lang w:eastAsia="en-US"/>
    </w:rPr>
  </w:style>
  <w:style w:type="character" w:customStyle="1" w:styleId="Ttulo6Car">
    <w:name w:val="Título 6 Car"/>
    <w:link w:val="Ttulo6"/>
    <w:uiPriority w:val="9"/>
    <w:rsid w:val="00867A99"/>
    <w:rPr>
      <w:rFonts w:ascii="Calibri Light" w:eastAsia="MS Gothic" w:hAnsi="Calibri Light" w:cs="Times New Roman"/>
      <w:color w:val="1F4D78"/>
    </w:rPr>
  </w:style>
  <w:style w:type="character" w:customStyle="1" w:styleId="Ttulo7Car">
    <w:name w:val="Título 7 Car"/>
    <w:link w:val="Ttulo7"/>
    <w:uiPriority w:val="9"/>
    <w:rsid w:val="00867A99"/>
    <w:rPr>
      <w:rFonts w:ascii="Calibri Light" w:eastAsia="MS Gothic" w:hAnsi="Calibri Light"/>
      <w:i/>
      <w:iCs/>
      <w:color w:val="1F4D78"/>
      <w:sz w:val="22"/>
      <w:szCs w:val="22"/>
      <w:lang w:eastAsia="en-US"/>
    </w:rPr>
  </w:style>
  <w:style w:type="paragraph" w:styleId="Encabezado">
    <w:name w:val="header"/>
    <w:basedOn w:val="Normal"/>
    <w:link w:val="EncabezadoCar"/>
    <w:unhideWhenUsed/>
    <w:rsid w:val="00867A99"/>
    <w:pPr>
      <w:tabs>
        <w:tab w:val="center" w:pos="4419"/>
        <w:tab w:val="right" w:pos="8838"/>
      </w:tabs>
      <w:spacing w:after="0" w:line="240" w:lineRule="auto"/>
    </w:pPr>
  </w:style>
  <w:style w:type="character" w:customStyle="1" w:styleId="EncabezadoCar">
    <w:name w:val="Encabezado Car"/>
    <w:link w:val="Encabezado"/>
    <w:rsid w:val="00867A99"/>
    <w:rPr>
      <w:rFonts w:ascii="Calibri" w:eastAsia="Calibri" w:hAnsi="Calibri" w:cs="Times New Roman"/>
    </w:rPr>
  </w:style>
  <w:style w:type="paragraph" w:styleId="Piedepgina">
    <w:name w:val="footer"/>
    <w:basedOn w:val="Normal"/>
    <w:link w:val="PiedepginaCar"/>
    <w:uiPriority w:val="99"/>
    <w:unhideWhenUsed/>
    <w:rsid w:val="00867A99"/>
    <w:pPr>
      <w:tabs>
        <w:tab w:val="center" w:pos="4419"/>
        <w:tab w:val="right" w:pos="8838"/>
      </w:tabs>
      <w:spacing w:after="0" w:line="240" w:lineRule="auto"/>
    </w:pPr>
  </w:style>
  <w:style w:type="character" w:customStyle="1" w:styleId="PiedepginaCar">
    <w:name w:val="Pie de página Car"/>
    <w:link w:val="Piedepgina"/>
    <w:uiPriority w:val="99"/>
    <w:rsid w:val="00867A99"/>
    <w:rPr>
      <w:rFonts w:ascii="Calibri" w:eastAsia="Calibri" w:hAnsi="Calibri" w:cs="Times New Roman"/>
    </w:rPr>
  </w:style>
  <w:style w:type="paragraph" w:customStyle="1" w:styleId="estilo30">
    <w:name w:val="estilo30"/>
    <w:basedOn w:val="Normal"/>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867A99"/>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867A9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867A99"/>
    <w:rPr>
      <w:rFonts w:ascii="Segoe UI" w:eastAsia="Calibri" w:hAnsi="Segoe UI" w:cs="Segoe UI"/>
      <w:sz w:val="18"/>
      <w:szCs w:val="18"/>
    </w:rPr>
  </w:style>
  <w:style w:type="numbering" w:customStyle="1" w:styleId="Sinlista1">
    <w:name w:val="Sin lista1"/>
    <w:next w:val="Sinlista"/>
    <w:uiPriority w:val="99"/>
    <w:semiHidden/>
    <w:unhideWhenUsed/>
    <w:rsid w:val="00867A99"/>
  </w:style>
  <w:style w:type="paragraph" w:customStyle="1" w:styleId="Listavistosa-nfasis11">
    <w:name w:val="Lista vistosa - Énfasis 11"/>
    <w:basedOn w:val="Normal"/>
    <w:link w:val="Listavistosa-nfasis1Car"/>
    <w:uiPriority w:val="34"/>
    <w:qFormat/>
    <w:rsid w:val="007C78F4"/>
    <w:pPr>
      <w:spacing w:after="200" w:line="276" w:lineRule="auto"/>
      <w:ind w:left="720"/>
      <w:contextualSpacing/>
    </w:pPr>
  </w:style>
  <w:style w:type="paragraph" w:styleId="Textoindependiente">
    <w:name w:val="Body Text"/>
    <w:basedOn w:val="Normal"/>
    <w:link w:val="TextoindependienteCar"/>
    <w:rsid w:val="007C78F4"/>
    <w:pPr>
      <w:spacing w:after="120" w:line="276" w:lineRule="auto"/>
    </w:pPr>
  </w:style>
  <w:style w:type="character" w:customStyle="1" w:styleId="TextoindependienteCar">
    <w:name w:val="Texto independiente Car"/>
    <w:link w:val="Textoindependiente"/>
    <w:rsid w:val="00867A99"/>
    <w:rPr>
      <w:sz w:val="22"/>
      <w:szCs w:val="22"/>
      <w:lang w:eastAsia="en-US"/>
    </w:rPr>
  </w:style>
  <w:style w:type="character" w:styleId="Refdecomentario">
    <w:name w:val="annotation reference"/>
    <w:uiPriority w:val="99"/>
    <w:semiHidden/>
    <w:unhideWhenUsed/>
    <w:rsid w:val="00867A99"/>
    <w:rPr>
      <w:sz w:val="16"/>
      <w:szCs w:val="16"/>
    </w:rPr>
  </w:style>
  <w:style w:type="paragraph" w:styleId="Textocomentario">
    <w:name w:val="annotation text"/>
    <w:basedOn w:val="Normal"/>
    <w:link w:val="TextocomentarioCar"/>
    <w:uiPriority w:val="99"/>
    <w:unhideWhenUsed/>
    <w:rsid w:val="007C78F4"/>
    <w:pPr>
      <w:spacing w:after="200" w:line="240" w:lineRule="auto"/>
    </w:pPr>
    <w:rPr>
      <w:sz w:val="20"/>
      <w:szCs w:val="20"/>
    </w:rPr>
  </w:style>
  <w:style w:type="character" w:customStyle="1" w:styleId="TextocomentarioCar">
    <w:name w:val="Texto comentario Car"/>
    <w:link w:val="Textocomentario"/>
    <w:uiPriority w:val="99"/>
    <w:rsid w:val="00867A99"/>
    <w:rPr>
      <w:lang w:eastAsia="en-US"/>
    </w:rPr>
  </w:style>
  <w:style w:type="paragraph" w:styleId="Asuntodelcomentario">
    <w:name w:val="annotation subject"/>
    <w:basedOn w:val="Textocomentario"/>
    <w:next w:val="Textocomentario"/>
    <w:link w:val="AsuntodelcomentarioCar"/>
    <w:uiPriority w:val="99"/>
    <w:semiHidden/>
    <w:unhideWhenUsed/>
    <w:rsid w:val="00867A99"/>
    <w:rPr>
      <w:b/>
      <w:bCs/>
    </w:rPr>
  </w:style>
  <w:style w:type="character" w:customStyle="1" w:styleId="AsuntodelcomentarioCar">
    <w:name w:val="Asunto del comentario Car"/>
    <w:link w:val="Asuntodelcomentario"/>
    <w:uiPriority w:val="99"/>
    <w:semiHidden/>
    <w:rsid w:val="00867A99"/>
    <w:rPr>
      <w:rFonts w:ascii="Calibri" w:eastAsia="Calibri" w:hAnsi="Calibri" w:cs="Times New Roman"/>
      <w:b/>
      <w:bCs/>
      <w:sz w:val="20"/>
      <w:szCs w:val="20"/>
    </w:rPr>
  </w:style>
  <w:style w:type="table" w:styleId="Tablaconcuadrcula">
    <w:name w:val="Table Grid"/>
    <w:basedOn w:val="Tablanormal"/>
    <w:uiPriority w:val="39"/>
    <w:rsid w:val="00867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867A99"/>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867A99"/>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867A99"/>
    <w:rPr>
      <w:rFonts w:ascii="Calibri" w:eastAsia="Calibri" w:hAnsi="Calibri" w:cs="Times New Roman"/>
      <w:sz w:val="20"/>
      <w:szCs w:val="20"/>
    </w:rPr>
  </w:style>
  <w:style w:type="character" w:styleId="Refdenotaalpie">
    <w:name w:val="footnote reference"/>
    <w:aliases w:val="Ref,de nota al pie"/>
    <w:uiPriority w:val="99"/>
    <w:unhideWhenUsed/>
    <w:qFormat/>
    <w:rsid w:val="00867A99"/>
    <w:rPr>
      <w:vertAlign w:val="superscript"/>
    </w:rPr>
  </w:style>
  <w:style w:type="character" w:customStyle="1" w:styleId="apple-converted-space">
    <w:name w:val="apple-converted-space"/>
    <w:basedOn w:val="Fuentedeprrafopredeter"/>
    <w:rsid w:val="00867A99"/>
  </w:style>
  <w:style w:type="character" w:customStyle="1" w:styleId="estilo301">
    <w:name w:val="estilo301"/>
    <w:rsid w:val="00867A99"/>
    <w:rPr>
      <w:rFonts w:ascii="Verdana" w:hAnsi="Verdana"/>
      <w:sz w:val="20"/>
    </w:rPr>
  </w:style>
  <w:style w:type="paragraph" w:customStyle="1" w:styleId="texto">
    <w:name w:val="texto"/>
    <w:basedOn w:val="Normal"/>
    <w:rsid w:val="00867A99"/>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867A99"/>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customStyle="1" w:styleId="Predeterminado">
    <w:name w:val="Predeterminado"/>
    <w:rsid w:val="00867A99"/>
    <w:pPr>
      <w:widowControl w:val="0"/>
      <w:tabs>
        <w:tab w:val="left" w:pos="709"/>
      </w:tabs>
      <w:suppressAutoHyphens/>
      <w:spacing w:after="160" w:line="259" w:lineRule="auto"/>
    </w:pPr>
    <w:rPr>
      <w:rFonts w:ascii="Liberation Serif" w:eastAsia="WenQuanYi Micro Hei" w:hAnsi="Liberation Serif" w:cs="Lohit Hindi"/>
      <w:sz w:val="24"/>
      <w:szCs w:val="24"/>
      <w:lang w:eastAsia="zh-CN" w:bidi="hi-IN"/>
    </w:rPr>
  </w:style>
  <w:style w:type="paragraph" w:styleId="Textoindependiente2">
    <w:name w:val="Body Text 2"/>
    <w:basedOn w:val="Normal"/>
    <w:link w:val="Textoindependiente2Car"/>
    <w:uiPriority w:val="99"/>
    <w:semiHidden/>
    <w:unhideWhenUsed/>
    <w:rsid w:val="00867A99"/>
    <w:pPr>
      <w:spacing w:after="120" w:line="480" w:lineRule="auto"/>
    </w:pPr>
  </w:style>
  <w:style w:type="character" w:customStyle="1" w:styleId="Textoindependiente2Car">
    <w:name w:val="Texto independiente 2 Car"/>
    <w:link w:val="Textoindependiente2"/>
    <w:uiPriority w:val="99"/>
    <w:semiHidden/>
    <w:rsid w:val="00867A99"/>
    <w:rPr>
      <w:rFonts w:ascii="Calibri" w:eastAsia="Calibri" w:hAnsi="Calibri" w:cs="Times New Roman"/>
    </w:rPr>
  </w:style>
  <w:style w:type="paragraph" w:customStyle="1" w:styleId="Sombreadovistoso-nfasis11">
    <w:name w:val="Sombreado vistoso - Énfasis 11"/>
    <w:hidden/>
    <w:uiPriority w:val="99"/>
    <w:semiHidden/>
    <w:rsid w:val="00867A99"/>
    <w:rPr>
      <w:sz w:val="22"/>
      <w:szCs w:val="22"/>
      <w:lang w:eastAsia="en-US"/>
    </w:rPr>
  </w:style>
  <w:style w:type="paragraph" w:customStyle="1" w:styleId="Texto0">
    <w:name w:val="Texto"/>
    <w:basedOn w:val="Normal"/>
    <w:link w:val="TextoCar"/>
    <w:rsid w:val="00867A99"/>
    <w:pPr>
      <w:spacing w:after="101" w:line="216" w:lineRule="exact"/>
      <w:ind w:firstLine="288"/>
      <w:jc w:val="both"/>
    </w:pPr>
    <w:rPr>
      <w:rFonts w:ascii="Arial" w:eastAsia="Times New Roman" w:hAnsi="Arial"/>
      <w:sz w:val="18"/>
      <w:szCs w:val="18"/>
      <w:lang w:val="es-ES" w:eastAsia="es-ES"/>
    </w:rPr>
  </w:style>
  <w:style w:type="character" w:customStyle="1" w:styleId="TextoCar">
    <w:name w:val="Texto Car"/>
    <w:link w:val="Texto0"/>
    <w:rsid w:val="00867A99"/>
    <w:rPr>
      <w:rFonts w:ascii="Arial" w:eastAsia="Times New Roman" w:hAnsi="Arial" w:cs="Times New Roman"/>
      <w:sz w:val="18"/>
      <w:szCs w:val="18"/>
      <w:lang w:val="es-ES" w:eastAsia="es-ES"/>
    </w:rPr>
  </w:style>
  <w:style w:type="character" w:customStyle="1" w:styleId="Listavistosa-nfasis1Car">
    <w:name w:val="Lista vistosa - Énfasis 1 Car"/>
    <w:link w:val="Listavistosa-nfasis11"/>
    <w:uiPriority w:val="34"/>
    <w:rsid w:val="00867A99"/>
    <w:rPr>
      <w:sz w:val="22"/>
      <w:szCs w:val="22"/>
      <w:lang w:eastAsia="en-US"/>
    </w:rPr>
  </w:style>
  <w:style w:type="paragraph" w:customStyle="1" w:styleId="Estilo">
    <w:name w:val="Estilo"/>
    <w:basedOn w:val="Cuadrculamedia21"/>
    <w:link w:val="EstiloCar"/>
    <w:qFormat/>
    <w:rsid w:val="00867A99"/>
    <w:pPr>
      <w:jc w:val="both"/>
    </w:pPr>
    <w:rPr>
      <w:rFonts w:ascii="Arial" w:hAnsi="Arial"/>
      <w:sz w:val="24"/>
    </w:rPr>
  </w:style>
  <w:style w:type="character" w:customStyle="1" w:styleId="EstiloCar">
    <w:name w:val="Estilo Car"/>
    <w:link w:val="Estilo"/>
    <w:rsid w:val="00867A99"/>
    <w:rPr>
      <w:rFonts w:ascii="Arial" w:hAnsi="Arial"/>
      <w:sz w:val="24"/>
    </w:rPr>
  </w:style>
  <w:style w:type="paragraph" w:customStyle="1" w:styleId="Cuadrculamedia21">
    <w:name w:val="Cuadrícula media 21"/>
    <w:uiPriority w:val="1"/>
    <w:qFormat/>
    <w:rsid w:val="00867A99"/>
    <w:rPr>
      <w:sz w:val="22"/>
      <w:szCs w:val="22"/>
      <w:lang w:eastAsia="en-US"/>
    </w:rPr>
  </w:style>
  <w:style w:type="paragraph" w:styleId="Lista">
    <w:name w:val="List"/>
    <w:basedOn w:val="Normal"/>
    <w:uiPriority w:val="99"/>
    <w:unhideWhenUsed/>
    <w:rsid w:val="00867A99"/>
    <w:pPr>
      <w:spacing w:after="200" w:line="276" w:lineRule="auto"/>
      <w:ind w:left="283" w:hanging="283"/>
      <w:contextualSpacing/>
    </w:pPr>
  </w:style>
  <w:style w:type="paragraph" w:styleId="Lista2">
    <w:name w:val="List 2"/>
    <w:basedOn w:val="Normal"/>
    <w:uiPriority w:val="99"/>
    <w:unhideWhenUsed/>
    <w:rsid w:val="00867A99"/>
    <w:pPr>
      <w:spacing w:after="200" w:line="276" w:lineRule="auto"/>
      <w:ind w:left="566" w:hanging="283"/>
      <w:contextualSpacing/>
    </w:pPr>
  </w:style>
  <w:style w:type="paragraph" w:styleId="Lista3">
    <w:name w:val="List 3"/>
    <w:basedOn w:val="Normal"/>
    <w:uiPriority w:val="99"/>
    <w:unhideWhenUsed/>
    <w:rsid w:val="00867A99"/>
    <w:pPr>
      <w:spacing w:after="200" w:line="276" w:lineRule="auto"/>
      <w:ind w:left="849" w:hanging="283"/>
      <w:contextualSpacing/>
    </w:pPr>
  </w:style>
  <w:style w:type="paragraph" w:styleId="Continuarlista2">
    <w:name w:val="List Continue 2"/>
    <w:basedOn w:val="Normal"/>
    <w:uiPriority w:val="99"/>
    <w:unhideWhenUsed/>
    <w:rsid w:val="00867A99"/>
    <w:pPr>
      <w:spacing w:after="120" w:line="276" w:lineRule="auto"/>
      <w:ind w:left="566"/>
      <w:contextualSpacing/>
    </w:pPr>
  </w:style>
  <w:style w:type="paragraph" w:styleId="Sangradetextonormal">
    <w:name w:val="Body Text Indent"/>
    <w:basedOn w:val="Normal"/>
    <w:link w:val="SangradetextonormalCar"/>
    <w:uiPriority w:val="99"/>
    <w:unhideWhenUsed/>
    <w:rsid w:val="007C78F4"/>
    <w:pPr>
      <w:spacing w:after="120" w:line="276" w:lineRule="auto"/>
      <w:ind w:left="283"/>
    </w:pPr>
  </w:style>
  <w:style w:type="character" w:customStyle="1" w:styleId="SangradetextonormalCar">
    <w:name w:val="Sangría de texto normal Car"/>
    <w:link w:val="Sangradetextonormal"/>
    <w:uiPriority w:val="99"/>
    <w:rsid w:val="00867A99"/>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867A99"/>
    <w:pPr>
      <w:spacing w:after="200"/>
      <w:ind w:left="360" w:firstLine="360"/>
    </w:pPr>
  </w:style>
  <w:style w:type="character" w:customStyle="1" w:styleId="Textoindependienteprimerasangra2Car">
    <w:name w:val="Texto independiente primera sangría 2 Car"/>
    <w:link w:val="Textoindependienteprimerasangra2"/>
    <w:uiPriority w:val="99"/>
    <w:rsid w:val="00867A99"/>
    <w:rPr>
      <w:rFonts w:ascii="Calibri" w:eastAsia="Calibri" w:hAnsi="Calibri" w:cs="Times New Roman"/>
    </w:rPr>
  </w:style>
  <w:style w:type="paragraph" w:styleId="Continuarlista">
    <w:name w:val="List Continue"/>
    <w:basedOn w:val="Normal"/>
    <w:uiPriority w:val="99"/>
    <w:unhideWhenUsed/>
    <w:rsid w:val="00867A99"/>
    <w:pPr>
      <w:spacing w:after="120" w:line="276" w:lineRule="auto"/>
      <w:ind w:left="283"/>
      <w:contextualSpacing/>
    </w:pPr>
  </w:style>
  <w:style w:type="character" w:customStyle="1" w:styleId="TextonotapieCar1">
    <w:name w:val="Texto nota pie Car1"/>
    <w:aliases w:val="Footnote Text Char1 Car1,Footnote Text Char Char1 Car1,Footnote Text Char4 Char Char Car1,Footnote Text Char1 Char1 Char1 Char Car1,Footnote Text Char Char1 Char1 Char Char Car1,Footnote Text Char1 Char1 Char1 Char Char Char1 Car1"/>
    <w:uiPriority w:val="99"/>
    <w:semiHidden/>
    <w:rsid w:val="004F3596"/>
    <w:rPr>
      <w:lang w:eastAsia="en-US"/>
    </w:rPr>
  </w:style>
  <w:style w:type="paragraph" w:styleId="Listaconnmeros">
    <w:name w:val="List Number"/>
    <w:basedOn w:val="Normal"/>
    <w:uiPriority w:val="99"/>
    <w:unhideWhenUsed/>
    <w:rsid w:val="004F3596"/>
    <w:pPr>
      <w:numPr>
        <w:numId w:val="1"/>
      </w:numPr>
      <w:spacing w:after="200" w:line="276" w:lineRule="auto"/>
      <w:contextualSpacing/>
    </w:pPr>
  </w:style>
  <w:style w:type="character" w:customStyle="1" w:styleId="TextoCarCar">
    <w:name w:val="Texto Car Car"/>
    <w:locked/>
    <w:rsid w:val="004F3596"/>
    <w:rPr>
      <w:rFonts w:ascii="Arial" w:eastAsia="Times New Roman" w:hAnsi="Arial" w:cs="Arial"/>
      <w:sz w:val="18"/>
    </w:rPr>
  </w:style>
  <w:style w:type="character" w:customStyle="1" w:styleId="corte4fondoCar">
    <w:name w:val="corte4 fondo Car"/>
    <w:link w:val="corte4fondo"/>
    <w:locked/>
    <w:rsid w:val="007C78F4"/>
    <w:rPr>
      <w:rFonts w:ascii="Arial" w:hAnsi="Arial" w:cs="Arial"/>
      <w:sz w:val="30"/>
      <w:szCs w:val="24"/>
    </w:rPr>
  </w:style>
  <w:style w:type="paragraph" w:customStyle="1" w:styleId="corte4fondo">
    <w:name w:val="corte4 fondo"/>
    <w:basedOn w:val="Normal"/>
    <w:link w:val="corte4fondoCar"/>
    <w:qFormat/>
    <w:rsid w:val="007C78F4"/>
    <w:pPr>
      <w:spacing w:after="0" w:line="360" w:lineRule="auto"/>
      <w:ind w:firstLine="709"/>
      <w:jc w:val="both"/>
    </w:pPr>
    <w:rPr>
      <w:rFonts w:ascii="Arial" w:hAnsi="Arial" w:cs="Arial"/>
      <w:sz w:val="30"/>
      <w:szCs w:val="24"/>
      <w:lang w:eastAsia="es-MX"/>
    </w:rPr>
  </w:style>
  <w:style w:type="table" w:customStyle="1" w:styleId="Tablaconcuadrcula1">
    <w:name w:val="Tabla con cuadrícula1"/>
    <w:basedOn w:val="Tablanormal"/>
    <w:next w:val="Tablaconcuadrcula"/>
    <w:uiPriority w:val="59"/>
    <w:rsid w:val="00F76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971D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743506"/>
  </w:style>
  <w:style w:type="character" w:styleId="Hipervnculo">
    <w:name w:val="Hyperlink"/>
    <w:uiPriority w:val="99"/>
    <w:unhideWhenUsed/>
    <w:rsid w:val="00743506"/>
    <w:rPr>
      <w:color w:val="0000FF"/>
      <w:u w:val="single"/>
    </w:rPr>
  </w:style>
  <w:style w:type="paragraph" w:styleId="Revisin">
    <w:name w:val="Revision"/>
    <w:hidden/>
    <w:uiPriority w:val="99"/>
    <w:semiHidden/>
    <w:rsid w:val="0082120E"/>
    <w:rPr>
      <w:sz w:val="22"/>
      <w:szCs w:val="22"/>
      <w:lang w:eastAsia="en-US"/>
    </w:rPr>
  </w:style>
  <w:style w:type="paragraph" w:styleId="Prrafodelista">
    <w:name w:val="List Paragraph"/>
    <w:basedOn w:val="Normal"/>
    <w:link w:val="PrrafodelistaCar"/>
    <w:uiPriority w:val="34"/>
    <w:qFormat/>
    <w:rsid w:val="009703C0"/>
    <w:pPr>
      <w:spacing w:after="200" w:line="276" w:lineRule="auto"/>
      <w:ind w:left="720"/>
      <w:contextualSpacing/>
    </w:pPr>
  </w:style>
  <w:style w:type="character" w:customStyle="1" w:styleId="PrrafodelistaCar">
    <w:name w:val="Párrafo de lista Car"/>
    <w:link w:val="Prrafodelista"/>
    <w:uiPriority w:val="34"/>
    <w:locked/>
    <w:rsid w:val="009703C0"/>
    <w:rPr>
      <w:sz w:val="22"/>
      <w:szCs w:val="22"/>
      <w:lang w:eastAsia="en-US"/>
    </w:rPr>
  </w:style>
  <w:style w:type="paragraph" w:styleId="Sinespaciado">
    <w:name w:val="No Spacing"/>
    <w:uiPriority w:val="1"/>
    <w:qFormat/>
    <w:rsid w:val="00156682"/>
    <w:rPr>
      <w:sz w:val="22"/>
      <w:szCs w:val="22"/>
      <w:lang w:eastAsia="en-US"/>
    </w:rPr>
  </w:style>
  <w:style w:type="table" w:customStyle="1" w:styleId="Tablaconcuadrcula3">
    <w:name w:val="Tabla con cuadrícula3"/>
    <w:basedOn w:val="Tablanormal"/>
    <w:next w:val="Tablaconcuadrcula"/>
    <w:uiPriority w:val="59"/>
    <w:rsid w:val="0093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93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93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93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93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Textoindependiente"/>
    <w:next w:val="Textoindependiente"/>
    <w:qFormat/>
    <w:rsid w:val="00937E14"/>
    <w:pPr>
      <w:spacing w:before="180" w:after="180" w:line="240" w:lineRule="auto"/>
      <w:jc w:val="both"/>
    </w:pPr>
    <w:rPr>
      <w:sz w:val="24"/>
      <w:szCs w:val="24"/>
      <w:lang w:val="es-ES_tradnl"/>
    </w:rPr>
  </w:style>
  <w:style w:type="paragraph" w:styleId="Textonotaalfinal">
    <w:name w:val="endnote text"/>
    <w:basedOn w:val="Normal"/>
    <w:link w:val="TextonotaalfinalCar"/>
    <w:uiPriority w:val="99"/>
    <w:semiHidden/>
    <w:unhideWhenUsed/>
    <w:rsid w:val="00A419E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419E8"/>
    <w:rPr>
      <w:lang w:eastAsia="en-US"/>
    </w:rPr>
  </w:style>
  <w:style w:type="character" w:styleId="Refdenotaalfinal">
    <w:name w:val="endnote reference"/>
    <w:basedOn w:val="Fuentedeprrafopredeter"/>
    <w:uiPriority w:val="99"/>
    <w:semiHidden/>
    <w:unhideWhenUsed/>
    <w:rsid w:val="00A419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78">
      <w:bodyDiv w:val="1"/>
      <w:marLeft w:val="0"/>
      <w:marRight w:val="0"/>
      <w:marTop w:val="0"/>
      <w:marBottom w:val="0"/>
      <w:divBdr>
        <w:top w:val="none" w:sz="0" w:space="0" w:color="auto"/>
        <w:left w:val="none" w:sz="0" w:space="0" w:color="auto"/>
        <w:bottom w:val="none" w:sz="0" w:space="0" w:color="auto"/>
        <w:right w:val="none" w:sz="0" w:space="0" w:color="auto"/>
      </w:divBdr>
    </w:div>
    <w:div w:id="3289606">
      <w:bodyDiv w:val="1"/>
      <w:marLeft w:val="0"/>
      <w:marRight w:val="0"/>
      <w:marTop w:val="0"/>
      <w:marBottom w:val="0"/>
      <w:divBdr>
        <w:top w:val="none" w:sz="0" w:space="0" w:color="auto"/>
        <w:left w:val="none" w:sz="0" w:space="0" w:color="auto"/>
        <w:bottom w:val="none" w:sz="0" w:space="0" w:color="auto"/>
        <w:right w:val="none" w:sz="0" w:space="0" w:color="auto"/>
      </w:divBdr>
    </w:div>
    <w:div w:id="20906740">
      <w:bodyDiv w:val="1"/>
      <w:marLeft w:val="0"/>
      <w:marRight w:val="0"/>
      <w:marTop w:val="0"/>
      <w:marBottom w:val="0"/>
      <w:divBdr>
        <w:top w:val="none" w:sz="0" w:space="0" w:color="auto"/>
        <w:left w:val="none" w:sz="0" w:space="0" w:color="auto"/>
        <w:bottom w:val="none" w:sz="0" w:space="0" w:color="auto"/>
        <w:right w:val="none" w:sz="0" w:space="0" w:color="auto"/>
      </w:divBdr>
    </w:div>
    <w:div w:id="45761079">
      <w:bodyDiv w:val="1"/>
      <w:marLeft w:val="0"/>
      <w:marRight w:val="0"/>
      <w:marTop w:val="0"/>
      <w:marBottom w:val="0"/>
      <w:divBdr>
        <w:top w:val="none" w:sz="0" w:space="0" w:color="auto"/>
        <w:left w:val="none" w:sz="0" w:space="0" w:color="auto"/>
        <w:bottom w:val="none" w:sz="0" w:space="0" w:color="auto"/>
        <w:right w:val="none" w:sz="0" w:space="0" w:color="auto"/>
      </w:divBdr>
    </w:div>
    <w:div w:id="134379499">
      <w:bodyDiv w:val="1"/>
      <w:marLeft w:val="0"/>
      <w:marRight w:val="0"/>
      <w:marTop w:val="0"/>
      <w:marBottom w:val="0"/>
      <w:divBdr>
        <w:top w:val="none" w:sz="0" w:space="0" w:color="auto"/>
        <w:left w:val="none" w:sz="0" w:space="0" w:color="auto"/>
        <w:bottom w:val="none" w:sz="0" w:space="0" w:color="auto"/>
        <w:right w:val="none" w:sz="0" w:space="0" w:color="auto"/>
      </w:divBdr>
    </w:div>
    <w:div w:id="190386099">
      <w:bodyDiv w:val="1"/>
      <w:marLeft w:val="0"/>
      <w:marRight w:val="0"/>
      <w:marTop w:val="0"/>
      <w:marBottom w:val="0"/>
      <w:divBdr>
        <w:top w:val="none" w:sz="0" w:space="0" w:color="auto"/>
        <w:left w:val="none" w:sz="0" w:space="0" w:color="auto"/>
        <w:bottom w:val="none" w:sz="0" w:space="0" w:color="auto"/>
        <w:right w:val="none" w:sz="0" w:space="0" w:color="auto"/>
      </w:divBdr>
    </w:div>
    <w:div w:id="238908679">
      <w:bodyDiv w:val="1"/>
      <w:marLeft w:val="0"/>
      <w:marRight w:val="0"/>
      <w:marTop w:val="0"/>
      <w:marBottom w:val="0"/>
      <w:divBdr>
        <w:top w:val="none" w:sz="0" w:space="0" w:color="auto"/>
        <w:left w:val="none" w:sz="0" w:space="0" w:color="auto"/>
        <w:bottom w:val="none" w:sz="0" w:space="0" w:color="auto"/>
        <w:right w:val="none" w:sz="0" w:space="0" w:color="auto"/>
      </w:divBdr>
    </w:div>
    <w:div w:id="358043241">
      <w:bodyDiv w:val="1"/>
      <w:marLeft w:val="0"/>
      <w:marRight w:val="0"/>
      <w:marTop w:val="0"/>
      <w:marBottom w:val="0"/>
      <w:divBdr>
        <w:top w:val="none" w:sz="0" w:space="0" w:color="auto"/>
        <w:left w:val="none" w:sz="0" w:space="0" w:color="auto"/>
        <w:bottom w:val="none" w:sz="0" w:space="0" w:color="auto"/>
        <w:right w:val="none" w:sz="0" w:space="0" w:color="auto"/>
      </w:divBdr>
    </w:div>
    <w:div w:id="413748959">
      <w:bodyDiv w:val="1"/>
      <w:marLeft w:val="0"/>
      <w:marRight w:val="0"/>
      <w:marTop w:val="0"/>
      <w:marBottom w:val="0"/>
      <w:divBdr>
        <w:top w:val="none" w:sz="0" w:space="0" w:color="auto"/>
        <w:left w:val="none" w:sz="0" w:space="0" w:color="auto"/>
        <w:bottom w:val="none" w:sz="0" w:space="0" w:color="auto"/>
        <w:right w:val="none" w:sz="0" w:space="0" w:color="auto"/>
      </w:divBdr>
    </w:div>
    <w:div w:id="439881835">
      <w:bodyDiv w:val="1"/>
      <w:marLeft w:val="0"/>
      <w:marRight w:val="0"/>
      <w:marTop w:val="0"/>
      <w:marBottom w:val="0"/>
      <w:divBdr>
        <w:top w:val="none" w:sz="0" w:space="0" w:color="auto"/>
        <w:left w:val="none" w:sz="0" w:space="0" w:color="auto"/>
        <w:bottom w:val="none" w:sz="0" w:space="0" w:color="auto"/>
        <w:right w:val="none" w:sz="0" w:space="0" w:color="auto"/>
      </w:divBdr>
    </w:div>
    <w:div w:id="442695803">
      <w:bodyDiv w:val="1"/>
      <w:marLeft w:val="0"/>
      <w:marRight w:val="0"/>
      <w:marTop w:val="0"/>
      <w:marBottom w:val="0"/>
      <w:divBdr>
        <w:top w:val="none" w:sz="0" w:space="0" w:color="auto"/>
        <w:left w:val="none" w:sz="0" w:space="0" w:color="auto"/>
        <w:bottom w:val="none" w:sz="0" w:space="0" w:color="auto"/>
        <w:right w:val="none" w:sz="0" w:space="0" w:color="auto"/>
      </w:divBdr>
    </w:div>
    <w:div w:id="494611379">
      <w:bodyDiv w:val="1"/>
      <w:marLeft w:val="0"/>
      <w:marRight w:val="0"/>
      <w:marTop w:val="0"/>
      <w:marBottom w:val="0"/>
      <w:divBdr>
        <w:top w:val="none" w:sz="0" w:space="0" w:color="auto"/>
        <w:left w:val="none" w:sz="0" w:space="0" w:color="auto"/>
        <w:bottom w:val="none" w:sz="0" w:space="0" w:color="auto"/>
        <w:right w:val="none" w:sz="0" w:space="0" w:color="auto"/>
      </w:divBdr>
    </w:div>
    <w:div w:id="575433356">
      <w:bodyDiv w:val="1"/>
      <w:marLeft w:val="0"/>
      <w:marRight w:val="0"/>
      <w:marTop w:val="0"/>
      <w:marBottom w:val="0"/>
      <w:divBdr>
        <w:top w:val="none" w:sz="0" w:space="0" w:color="auto"/>
        <w:left w:val="none" w:sz="0" w:space="0" w:color="auto"/>
        <w:bottom w:val="none" w:sz="0" w:space="0" w:color="auto"/>
        <w:right w:val="none" w:sz="0" w:space="0" w:color="auto"/>
      </w:divBdr>
    </w:div>
    <w:div w:id="642124495">
      <w:bodyDiv w:val="1"/>
      <w:marLeft w:val="0"/>
      <w:marRight w:val="0"/>
      <w:marTop w:val="0"/>
      <w:marBottom w:val="0"/>
      <w:divBdr>
        <w:top w:val="none" w:sz="0" w:space="0" w:color="auto"/>
        <w:left w:val="none" w:sz="0" w:space="0" w:color="auto"/>
        <w:bottom w:val="none" w:sz="0" w:space="0" w:color="auto"/>
        <w:right w:val="none" w:sz="0" w:space="0" w:color="auto"/>
      </w:divBdr>
    </w:div>
    <w:div w:id="648366628">
      <w:bodyDiv w:val="1"/>
      <w:marLeft w:val="0"/>
      <w:marRight w:val="0"/>
      <w:marTop w:val="0"/>
      <w:marBottom w:val="0"/>
      <w:divBdr>
        <w:top w:val="none" w:sz="0" w:space="0" w:color="auto"/>
        <w:left w:val="none" w:sz="0" w:space="0" w:color="auto"/>
        <w:bottom w:val="none" w:sz="0" w:space="0" w:color="auto"/>
        <w:right w:val="none" w:sz="0" w:space="0" w:color="auto"/>
      </w:divBdr>
    </w:div>
    <w:div w:id="682824924">
      <w:bodyDiv w:val="1"/>
      <w:marLeft w:val="0"/>
      <w:marRight w:val="0"/>
      <w:marTop w:val="0"/>
      <w:marBottom w:val="0"/>
      <w:divBdr>
        <w:top w:val="none" w:sz="0" w:space="0" w:color="auto"/>
        <w:left w:val="none" w:sz="0" w:space="0" w:color="auto"/>
        <w:bottom w:val="none" w:sz="0" w:space="0" w:color="auto"/>
        <w:right w:val="none" w:sz="0" w:space="0" w:color="auto"/>
      </w:divBdr>
    </w:div>
    <w:div w:id="688988577">
      <w:bodyDiv w:val="1"/>
      <w:marLeft w:val="0"/>
      <w:marRight w:val="0"/>
      <w:marTop w:val="0"/>
      <w:marBottom w:val="0"/>
      <w:divBdr>
        <w:top w:val="none" w:sz="0" w:space="0" w:color="auto"/>
        <w:left w:val="none" w:sz="0" w:space="0" w:color="auto"/>
        <w:bottom w:val="none" w:sz="0" w:space="0" w:color="auto"/>
        <w:right w:val="none" w:sz="0" w:space="0" w:color="auto"/>
      </w:divBdr>
    </w:div>
    <w:div w:id="741803573">
      <w:bodyDiv w:val="1"/>
      <w:marLeft w:val="0"/>
      <w:marRight w:val="0"/>
      <w:marTop w:val="0"/>
      <w:marBottom w:val="0"/>
      <w:divBdr>
        <w:top w:val="none" w:sz="0" w:space="0" w:color="auto"/>
        <w:left w:val="none" w:sz="0" w:space="0" w:color="auto"/>
        <w:bottom w:val="none" w:sz="0" w:space="0" w:color="auto"/>
        <w:right w:val="none" w:sz="0" w:space="0" w:color="auto"/>
      </w:divBdr>
    </w:div>
    <w:div w:id="763960807">
      <w:bodyDiv w:val="1"/>
      <w:marLeft w:val="0"/>
      <w:marRight w:val="0"/>
      <w:marTop w:val="0"/>
      <w:marBottom w:val="0"/>
      <w:divBdr>
        <w:top w:val="none" w:sz="0" w:space="0" w:color="auto"/>
        <w:left w:val="none" w:sz="0" w:space="0" w:color="auto"/>
        <w:bottom w:val="none" w:sz="0" w:space="0" w:color="auto"/>
        <w:right w:val="none" w:sz="0" w:space="0" w:color="auto"/>
      </w:divBdr>
    </w:div>
    <w:div w:id="811599965">
      <w:bodyDiv w:val="1"/>
      <w:marLeft w:val="0"/>
      <w:marRight w:val="0"/>
      <w:marTop w:val="0"/>
      <w:marBottom w:val="0"/>
      <w:divBdr>
        <w:top w:val="none" w:sz="0" w:space="0" w:color="auto"/>
        <w:left w:val="none" w:sz="0" w:space="0" w:color="auto"/>
        <w:bottom w:val="none" w:sz="0" w:space="0" w:color="auto"/>
        <w:right w:val="none" w:sz="0" w:space="0" w:color="auto"/>
      </w:divBdr>
    </w:div>
    <w:div w:id="855970325">
      <w:bodyDiv w:val="1"/>
      <w:marLeft w:val="0"/>
      <w:marRight w:val="0"/>
      <w:marTop w:val="0"/>
      <w:marBottom w:val="0"/>
      <w:divBdr>
        <w:top w:val="none" w:sz="0" w:space="0" w:color="auto"/>
        <w:left w:val="none" w:sz="0" w:space="0" w:color="auto"/>
        <w:bottom w:val="none" w:sz="0" w:space="0" w:color="auto"/>
        <w:right w:val="none" w:sz="0" w:space="0" w:color="auto"/>
      </w:divBdr>
    </w:div>
    <w:div w:id="1003124189">
      <w:bodyDiv w:val="1"/>
      <w:marLeft w:val="0"/>
      <w:marRight w:val="0"/>
      <w:marTop w:val="0"/>
      <w:marBottom w:val="0"/>
      <w:divBdr>
        <w:top w:val="none" w:sz="0" w:space="0" w:color="auto"/>
        <w:left w:val="none" w:sz="0" w:space="0" w:color="auto"/>
        <w:bottom w:val="none" w:sz="0" w:space="0" w:color="auto"/>
        <w:right w:val="none" w:sz="0" w:space="0" w:color="auto"/>
      </w:divBdr>
    </w:div>
    <w:div w:id="1010717704">
      <w:bodyDiv w:val="1"/>
      <w:marLeft w:val="0"/>
      <w:marRight w:val="0"/>
      <w:marTop w:val="0"/>
      <w:marBottom w:val="0"/>
      <w:divBdr>
        <w:top w:val="none" w:sz="0" w:space="0" w:color="auto"/>
        <w:left w:val="none" w:sz="0" w:space="0" w:color="auto"/>
        <w:bottom w:val="none" w:sz="0" w:space="0" w:color="auto"/>
        <w:right w:val="none" w:sz="0" w:space="0" w:color="auto"/>
      </w:divBdr>
    </w:div>
    <w:div w:id="1076903172">
      <w:bodyDiv w:val="1"/>
      <w:marLeft w:val="0"/>
      <w:marRight w:val="0"/>
      <w:marTop w:val="0"/>
      <w:marBottom w:val="0"/>
      <w:divBdr>
        <w:top w:val="none" w:sz="0" w:space="0" w:color="auto"/>
        <w:left w:val="none" w:sz="0" w:space="0" w:color="auto"/>
        <w:bottom w:val="none" w:sz="0" w:space="0" w:color="auto"/>
        <w:right w:val="none" w:sz="0" w:space="0" w:color="auto"/>
      </w:divBdr>
    </w:div>
    <w:div w:id="1111247017">
      <w:bodyDiv w:val="1"/>
      <w:marLeft w:val="0"/>
      <w:marRight w:val="0"/>
      <w:marTop w:val="0"/>
      <w:marBottom w:val="0"/>
      <w:divBdr>
        <w:top w:val="none" w:sz="0" w:space="0" w:color="auto"/>
        <w:left w:val="none" w:sz="0" w:space="0" w:color="auto"/>
        <w:bottom w:val="none" w:sz="0" w:space="0" w:color="auto"/>
        <w:right w:val="none" w:sz="0" w:space="0" w:color="auto"/>
      </w:divBdr>
    </w:div>
    <w:div w:id="1182083102">
      <w:bodyDiv w:val="1"/>
      <w:marLeft w:val="0"/>
      <w:marRight w:val="0"/>
      <w:marTop w:val="0"/>
      <w:marBottom w:val="0"/>
      <w:divBdr>
        <w:top w:val="none" w:sz="0" w:space="0" w:color="auto"/>
        <w:left w:val="none" w:sz="0" w:space="0" w:color="auto"/>
        <w:bottom w:val="none" w:sz="0" w:space="0" w:color="auto"/>
        <w:right w:val="none" w:sz="0" w:space="0" w:color="auto"/>
      </w:divBdr>
    </w:div>
    <w:div w:id="1293365948">
      <w:bodyDiv w:val="1"/>
      <w:marLeft w:val="0"/>
      <w:marRight w:val="0"/>
      <w:marTop w:val="0"/>
      <w:marBottom w:val="0"/>
      <w:divBdr>
        <w:top w:val="none" w:sz="0" w:space="0" w:color="auto"/>
        <w:left w:val="none" w:sz="0" w:space="0" w:color="auto"/>
        <w:bottom w:val="none" w:sz="0" w:space="0" w:color="auto"/>
        <w:right w:val="none" w:sz="0" w:space="0" w:color="auto"/>
      </w:divBdr>
    </w:div>
    <w:div w:id="1331257767">
      <w:bodyDiv w:val="1"/>
      <w:marLeft w:val="0"/>
      <w:marRight w:val="0"/>
      <w:marTop w:val="0"/>
      <w:marBottom w:val="0"/>
      <w:divBdr>
        <w:top w:val="none" w:sz="0" w:space="0" w:color="auto"/>
        <w:left w:val="none" w:sz="0" w:space="0" w:color="auto"/>
        <w:bottom w:val="none" w:sz="0" w:space="0" w:color="auto"/>
        <w:right w:val="none" w:sz="0" w:space="0" w:color="auto"/>
      </w:divBdr>
      <w:divsChild>
        <w:div w:id="10688446">
          <w:marLeft w:val="0"/>
          <w:marRight w:val="0"/>
          <w:marTop w:val="0"/>
          <w:marBottom w:val="0"/>
          <w:divBdr>
            <w:top w:val="none" w:sz="0" w:space="0" w:color="auto"/>
            <w:left w:val="none" w:sz="0" w:space="0" w:color="auto"/>
            <w:bottom w:val="none" w:sz="0" w:space="0" w:color="auto"/>
            <w:right w:val="none" w:sz="0" w:space="0" w:color="auto"/>
          </w:divBdr>
        </w:div>
        <w:div w:id="52583874">
          <w:marLeft w:val="0"/>
          <w:marRight w:val="0"/>
          <w:marTop w:val="0"/>
          <w:marBottom w:val="0"/>
          <w:divBdr>
            <w:top w:val="none" w:sz="0" w:space="0" w:color="auto"/>
            <w:left w:val="none" w:sz="0" w:space="0" w:color="auto"/>
            <w:bottom w:val="none" w:sz="0" w:space="0" w:color="auto"/>
            <w:right w:val="none" w:sz="0" w:space="0" w:color="auto"/>
          </w:divBdr>
        </w:div>
        <w:div w:id="77097804">
          <w:marLeft w:val="0"/>
          <w:marRight w:val="0"/>
          <w:marTop w:val="0"/>
          <w:marBottom w:val="0"/>
          <w:divBdr>
            <w:top w:val="none" w:sz="0" w:space="0" w:color="auto"/>
            <w:left w:val="none" w:sz="0" w:space="0" w:color="auto"/>
            <w:bottom w:val="none" w:sz="0" w:space="0" w:color="auto"/>
            <w:right w:val="none" w:sz="0" w:space="0" w:color="auto"/>
          </w:divBdr>
        </w:div>
        <w:div w:id="89667422">
          <w:marLeft w:val="0"/>
          <w:marRight w:val="0"/>
          <w:marTop w:val="0"/>
          <w:marBottom w:val="0"/>
          <w:divBdr>
            <w:top w:val="none" w:sz="0" w:space="0" w:color="auto"/>
            <w:left w:val="none" w:sz="0" w:space="0" w:color="auto"/>
            <w:bottom w:val="none" w:sz="0" w:space="0" w:color="auto"/>
            <w:right w:val="none" w:sz="0" w:space="0" w:color="auto"/>
          </w:divBdr>
        </w:div>
        <w:div w:id="172300169">
          <w:marLeft w:val="0"/>
          <w:marRight w:val="0"/>
          <w:marTop w:val="0"/>
          <w:marBottom w:val="0"/>
          <w:divBdr>
            <w:top w:val="none" w:sz="0" w:space="0" w:color="auto"/>
            <w:left w:val="none" w:sz="0" w:space="0" w:color="auto"/>
            <w:bottom w:val="none" w:sz="0" w:space="0" w:color="auto"/>
            <w:right w:val="none" w:sz="0" w:space="0" w:color="auto"/>
          </w:divBdr>
        </w:div>
        <w:div w:id="354967893">
          <w:marLeft w:val="0"/>
          <w:marRight w:val="0"/>
          <w:marTop w:val="0"/>
          <w:marBottom w:val="0"/>
          <w:divBdr>
            <w:top w:val="none" w:sz="0" w:space="0" w:color="auto"/>
            <w:left w:val="none" w:sz="0" w:space="0" w:color="auto"/>
            <w:bottom w:val="none" w:sz="0" w:space="0" w:color="auto"/>
            <w:right w:val="none" w:sz="0" w:space="0" w:color="auto"/>
          </w:divBdr>
        </w:div>
        <w:div w:id="395511330">
          <w:marLeft w:val="0"/>
          <w:marRight w:val="0"/>
          <w:marTop w:val="0"/>
          <w:marBottom w:val="0"/>
          <w:divBdr>
            <w:top w:val="none" w:sz="0" w:space="0" w:color="auto"/>
            <w:left w:val="none" w:sz="0" w:space="0" w:color="auto"/>
            <w:bottom w:val="none" w:sz="0" w:space="0" w:color="auto"/>
            <w:right w:val="none" w:sz="0" w:space="0" w:color="auto"/>
          </w:divBdr>
        </w:div>
        <w:div w:id="494883425">
          <w:marLeft w:val="0"/>
          <w:marRight w:val="0"/>
          <w:marTop w:val="0"/>
          <w:marBottom w:val="0"/>
          <w:divBdr>
            <w:top w:val="none" w:sz="0" w:space="0" w:color="auto"/>
            <w:left w:val="none" w:sz="0" w:space="0" w:color="auto"/>
            <w:bottom w:val="none" w:sz="0" w:space="0" w:color="auto"/>
            <w:right w:val="none" w:sz="0" w:space="0" w:color="auto"/>
          </w:divBdr>
        </w:div>
        <w:div w:id="523443867">
          <w:marLeft w:val="0"/>
          <w:marRight w:val="0"/>
          <w:marTop w:val="0"/>
          <w:marBottom w:val="0"/>
          <w:divBdr>
            <w:top w:val="none" w:sz="0" w:space="0" w:color="auto"/>
            <w:left w:val="none" w:sz="0" w:space="0" w:color="auto"/>
            <w:bottom w:val="none" w:sz="0" w:space="0" w:color="auto"/>
            <w:right w:val="none" w:sz="0" w:space="0" w:color="auto"/>
          </w:divBdr>
        </w:div>
        <w:div w:id="577252697">
          <w:marLeft w:val="0"/>
          <w:marRight w:val="0"/>
          <w:marTop w:val="0"/>
          <w:marBottom w:val="0"/>
          <w:divBdr>
            <w:top w:val="none" w:sz="0" w:space="0" w:color="auto"/>
            <w:left w:val="none" w:sz="0" w:space="0" w:color="auto"/>
            <w:bottom w:val="none" w:sz="0" w:space="0" w:color="auto"/>
            <w:right w:val="none" w:sz="0" w:space="0" w:color="auto"/>
          </w:divBdr>
        </w:div>
        <w:div w:id="736827740">
          <w:marLeft w:val="0"/>
          <w:marRight w:val="0"/>
          <w:marTop w:val="0"/>
          <w:marBottom w:val="0"/>
          <w:divBdr>
            <w:top w:val="none" w:sz="0" w:space="0" w:color="auto"/>
            <w:left w:val="none" w:sz="0" w:space="0" w:color="auto"/>
            <w:bottom w:val="none" w:sz="0" w:space="0" w:color="auto"/>
            <w:right w:val="none" w:sz="0" w:space="0" w:color="auto"/>
          </w:divBdr>
        </w:div>
        <w:div w:id="788234035">
          <w:marLeft w:val="0"/>
          <w:marRight w:val="0"/>
          <w:marTop w:val="0"/>
          <w:marBottom w:val="0"/>
          <w:divBdr>
            <w:top w:val="none" w:sz="0" w:space="0" w:color="auto"/>
            <w:left w:val="none" w:sz="0" w:space="0" w:color="auto"/>
            <w:bottom w:val="none" w:sz="0" w:space="0" w:color="auto"/>
            <w:right w:val="none" w:sz="0" w:space="0" w:color="auto"/>
          </w:divBdr>
        </w:div>
        <w:div w:id="901480348">
          <w:marLeft w:val="0"/>
          <w:marRight w:val="0"/>
          <w:marTop w:val="0"/>
          <w:marBottom w:val="0"/>
          <w:divBdr>
            <w:top w:val="none" w:sz="0" w:space="0" w:color="auto"/>
            <w:left w:val="none" w:sz="0" w:space="0" w:color="auto"/>
            <w:bottom w:val="none" w:sz="0" w:space="0" w:color="auto"/>
            <w:right w:val="none" w:sz="0" w:space="0" w:color="auto"/>
          </w:divBdr>
        </w:div>
        <w:div w:id="930774161">
          <w:marLeft w:val="0"/>
          <w:marRight w:val="0"/>
          <w:marTop w:val="0"/>
          <w:marBottom w:val="0"/>
          <w:divBdr>
            <w:top w:val="none" w:sz="0" w:space="0" w:color="auto"/>
            <w:left w:val="none" w:sz="0" w:space="0" w:color="auto"/>
            <w:bottom w:val="none" w:sz="0" w:space="0" w:color="auto"/>
            <w:right w:val="none" w:sz="0" w:space="0" w:color="auto"/>
          </w:divBdr>
        </w:div>
        <w:div w:id="1073506714">
          <w:marLeft w:val="0"/>
          <w:marRight w:val="0"/>
          <w:marTop w:val="0"/>
          <w:marBottom w:val="0"/>
          <w:divBdr>
            <w:top w:val="none" w:sz="0" w:space="0" w:color="auto"/>
            <w:left w:val="none" w:sz="0" w:space="0" w:color="auto"/>
            <w:bottom w:val="none" w:sz="0" w:space="0" w:color="auto"/>
            <w:right w:val="none" w:sz="0" w:space="0" w:color="auto"/>
          </w:divBdr>
        </w:div>
        <w:div w:id="1377587623">
          <w:marLeft w:val="0"/>
          <w:marRight w:val="0"/>
          <w:marTop w:val="0"/>
          <w:marBottom w:val="0"/>
          <w:divBdr>
            <w:top w:val="none" w:sz="0" w:space="0" w:color="auto"/>
            <w:left w:val="none" w:sz="0" w:space="0" w:color="auto"/>
            <w:bottom w:val="none" w:sz="0" w:space="0" w:color="auto"/>
            <w:right w:val="none" w:sz="0" w:space="0" w:color="auto"/>
          </w:divBdr>
        </w:div>
        <w:div w:id="1385523571">
          <w:marLeft w:val="0"/>
          <w:marRight w:val="0"/>
          <w:marTop w:val="0"/>
          <w:marBottom w:val="0"/>
          <w:divBdr>
            <w:top w:val="none" w:sz="0" w:space="0" w:color="auto"/>
            <w:left w:val="none" w:sz="0" w:space="0" w:color="auto"/>
            <w:bottom w:val="none" w:sz="0" w:space="0" w:color="auto"/>
            <w:right w:val="none" w:sz="0" w:space="0" w:color="auto"/>
          </w:divBdr>
        </w:div>
        <w:div w:id="1403989555">
          <w:marLeft w:val="0"/>
          <w:marRight w:val="0"/>
          <w:marTop w:val="0"/>
          <w:marBottom w:val="0"/>
          <w:divBdr>
            <w:top w:val="none" w:sz="0" w:space="0" w:color="auto"/>
            <w:left w:val="none" w:sz="0" w:space="0" w:color="auto"/>
            <w:bottom w:val="none" w:sz="0" w:space="0" w:color="auto"/>
            <w:right w:val="none" w:sz="0" w:space="0" w:color="auto"/>
          </w:divBdr>
        </w:div>
        <w:div w:id="1455441819">
          <w:marLeft w:val="0"/>
          <w:marRight w:val="0"/>
          <w:marTop w:val="0"/>
          <w:marBottom w:val="0"/>
          <w:divBdr>
            <w:top w:val="none" w:sz="0" w:space="0" w:color="auto"/>
            <w:left w:val="none" w:sz="0" w:space="0" w:color="auto"/>
            <w:bottom w:val="none" w:sz="0" w:space="0" w:color="auto"/>
            <w:right w:val="none" w:sz="0" w:space="0" w:color="auto"/>
          </w:divBdr>
        </w:div>
        <w:div w:id="1557888199">
          <w:marLeft w:val="0"/>
          <w:marRight w:val="0"/>
          <w:marTop w:val="0"/>
          <w:marBottom w:val="0"/>
          <w:divBdr>
            <w:top w:val="none" w:sz="0" w:space="0" w:color="auto"/>
            <w:left w:val="none" w:sz="0" w:space="0" w:color="auto"/>
            <w:bottom w:val="none" w:sz="0" w:space="0" w:color="auto"/>
            <w:right w:val="none" w:sz="0" w:space="0" w:color="auto"/>
          </w:divBdr>
        </w:div>
        <w:div w:id="1587835595">
          <w:marLeft w:val="0"/>
          <w:marRight w:val="0"/>
          <w:marTop w:val="0"/>
          <w:marBottom w:val="0"/>
          <w:divBdr>
            <w:top w:val="none" w:sz="0" w:space="0" w:color="auto"/>
            <w:left w:val="none" w:sz="0" w:space="0" w:color="auto"/>
            <w:bottom w:val="none" w:sz="0" w:space="0" w:color="auto"/>
            <w:right w:val="none" w:sz="0" w:space="0" w:color="auto"/>
          </w:divBdr>
        </w:div>
        <w:div w:id="1611351105">
          <w:marLeft w:val="0"/>
          <w:marRight w:val="0"/>
          <w:marTop w:val="0"/>
          <w:marBottom w:val="0"/>
          <w:divBdr>
            <w:top w:val="none" w:sz="0" w:space="0" w:color="auto"/>
            <w:left w:val="none" w:sz="0" w:space="0" w:color="auto"/>
            <w:bottom w:val="none" w:sz="0" w:space="0" w:color="auto"/>
            <w:right w:val="none" w:sz="0" w:space="0" w:color="auto"/>
          </w:divBdr>
        </w:div>
        <w:div w:id="1611425513">
          <w:marLeft w:val="0"/>
          <w:marRight w:val="0"/>
          <w:marTop w:val="0"/>
          <w:marBottom w:val="0"/>
          <w:divBdr>
            <w:top w:val="none" w:sz="0" w:space="0" w:color="auto"/>
            <w:left w:val="none" w:sz="0" w:space="0" w:color="auto"/>
            <w:bottom w:val="none" w:sz="0" w:space="0" w:color="auto"/>
            <w:right w:val="none" w:sz="0" w:space="0" w:color="auto"/>
          </w:divBdr>
        </w:div>
        <w:div w:id="1679311422">
          <w:marLeft w:val="0"/>
          <w:marRight w:val="0"/>
          <w:marTop w:val="0"/>
          <w:marBottom w:val="0"/>
          <w:divBdr>
            <w:top w:val="none" w:sz="0" w:space="0" w:color="auto"/>
            <w:left w:val="none" w:sz="0" w:space="0" w:color="auto"/>
            <w:bottom w:val="none" w:sz="0" w:space="0" w:color="auto"/>
            <w:right w:val="none" w:sz="0" w:space="0" w:color="auto"/>
          </w:divBdr>
        </w:div>
        <w:div w:id="1756627627">
          <w:marLeft w:val="0"/>
          <w:marRight w:val="0"/>
          <w:marTop w:val="0"/>
          <w:marBottom w:val="0"/>
          <w:divBdr>
            <w:top w:val="none" w:sz="0" w:space="0" w:color="auto"/>
            <w:left w:val="none" w:sz="0" w:space="0" w:color="auto"/>
            <w:bottom w:val="none" w:sz="0" w:space="0" w:color="auto"/>
            <w:right w:val="none" w:sz="0" w:space="0" w:color="auto"/>
          </w:divBdr>
        </w:div>
        <w:div w:id="1774083144">
          <w:marLeft w:val="0"/>
          <w:marRight w:val="0"/>
          <w:marTop w:val="0"/>
          <w:marBottom w:val="0"/>
          <w:divBdr>
            <w:top w:val="none" w:sz="0" w:space="0" w:color="auto"/>
            <w:left w:val="none" w:sz="0" w:space="0" w:color="auto"/>
            <w:bottom w:val="none" w:sz="0" w:space="0" w:color="auto"/>
            <w:right w:val="none" w:sz="0" w:space="0" w:color="auto"/>
          </w:divBdr>
        </w:div>
        <w:div w:id="1776094771">
          <w:marLeft w:val="0"/>
          <w:marRight w:val="0"/>
          <w:marTop w:val="0"/>
          <w:marBottom w:val="0"/>
          <w:divBdr>
            <w:top w:val="none" w:sz="0" w:space="0" w:color="auto"/>
            <w:left w:val="none" w:sz="0" w:space="0" w:color="auto"/>
            <w:bottom w:val="none" w:sz="0" w:space="0" w:color="auto"/>
            <w:right w:val="none" w:sz="0" w:space="0" w:color="auto"/>
          </w:divBdr>
        </w:div>
        <w:div w:id="1859344455">
          <w:marLeft w:val="0"/>
          <w:marRight w:val="0"/>
          <w:marTop w:val="0"/>
          <w:marBottom w:val="0"/>
          <w:divBdr>
            <w:top w:val="none" w:sz="0" w:space="0" w:color="auto"/>
            <w:left w:val="none" w:sz="0" w:space="0" w:color="auto"/>
            <w:bottom w:val="none" w:sz="0" w:space="0" w:color="auto"/>
            <w:right w:val="none" w:sz="0" w:space="0" w:color="auto"/>
          </w:divBdr>
        </w:div>
        <w:div w:id="1913389997">
          <w:marLeft w:val="0"/>
          <w:marRight w:val="0"/>
          <w:marTop w:val="0"/>
          <w:marBottom w:val="0"/>
          <w:divBdr>
            <w:top w:val="none" w:sz="0" w:space="0" w:color="auto"/>
            <w:left w:val="none" w:sz="0" w:space="0" w:color="auto"/>
            <w:bottom w:val="none" w:sz="0" w:space="0" w:color="auto"/>
            <w:right w:val="none" w:sz="0" w:space="0" w:color="auto"/>
          </w:divBdr>
        </w:div>
        <w:div w:id="2002854710">
          <w:marLeft w:val="0"/>
          <w:marRight w:val="0"/>
          <w:marTop w:val="0"/>
          <w:marBottom w:val="0"/>
          <w:divBdr>
            <w:top w:val="none" w:sz="0" w:space="0" w:color="auto"/>
            <w:left w:val="none" w:sz="0" w:space="0" w:color="auto"/>
            <w:bottom w:val="none" w:sz="0" w:space="0" w:color="auto"/>
            <w:right w:val="none" w:sz="0" w:space="0" w:color="auto"/>
          </w:divBdr>
        </w:div>
        <w:div w:id="2070419313">
          <w:marLeft w:val="0"/>
          <w:marRight w:val="0"/>
          <w:marTop w:val="0"/>
          <w:marBottom w:val="0"/>
          <w:divBdr>
            <w:top w:val="none" w:sz="0" w:space="0" w:color="auto"/>
            <w:left w:val="none" w:sz="0" w:space="0" w:color="auto"/>
            <w:bottom w:val="none" w:sz="0" w:space="0" w:color="auto"/>
            <w:right w:val="none" w:sz="0" w:space="0" w:color="auto"/>
          </w:divBdr>
        </w:div>
        <w:div w:id="2129273922">
          <w:marLeft w:val="0"/>
          <w:marRight w:val="0"/>
          <w:marTop w:val="0"/>
          <w:marBottom w:val="0"/>
          <w:divBdr>
            <w:top w:val="none" w:sz="0" w:space="0" w:color="auto"/>
            <w:left w:val="none" w:sz="0" w:space="0" w:color="auto"/>
            <w:bottom w:val="none" w:sz="0" w:space="0" w:color="auto"/>
            <w:right w:val="none" w:sz="0" w:space="0" w:color="auto"/>
          </w:divBdr>
        </w:div>
      </w:divsChild>
    </w:div>
    <w:div w:id="1390764474">
      <w:bodyDiv w:val="1"/>
      <w:marLeft w:val="0"/>
      <w:marRight w:val="0"/>
      <w:marTop w:val="0"/>
      <w:marBottom w:val="0"/>
      <w:divBdr>
        <w:top w:val="none" w:sz="0" w:space="0" w:color="auto"/>
        <w:left w:val="none" w:sz="0" w:space="0" w:color="auto"/>
        <w:bottom w:val="none" w:sz="0" w:space="0" w:color="auto"/>
        <w:right w:val="none" w:sz="0" w:space="0" w:color="auto"/>
      </w:divBdr>
    </w:div>
    <w:div w:id="1391925565">
      <w:bodyDiv w:val="1"/>
      <w:marLeft w:val="0"/>
      <w:marRight w:val="0"/>
      <w:marTop w:val="0"/>
      <w:marBottom w:val="0"/>
      <w:divBdr>
        <w:top w:val="none" w:sz="0" w:space="0" w:color="auto"/>
        <w:left w:val="none" w:sz="0" w:space="0" w:color="auto"/>
        <w:bottom w:val="none" w:sz="0" w:space="0" w:color="auto"/>
        <w:right w:val="none" w:sz="0" w:space="0" w:color="auto"/>
      </w:divBdr>
    </w:div>
    <w:div w:id="1429160644">
      <w:bodyDiv w:val="1"/>
      <w:marLeft w:val="0"/>
      <w:marRight w:val="0"/>
      <w:marTop w:val="0"/>
      <w:marBottom w:val="0"/>
      <w:divBdr>
        <w:top w:val="none" w:sz="0" w:space="0" w:color="auto"/>
        <w:left w:val="none" w:sz="0" w:space="0" w:color="auto"/>
        <w:bottom w:val="none" w:sz="0" w:space="0" w:color="auto"/>
        <w:right w:val="none" w:sz="0" w:space="0" w:color="auto"/>
      </w:divBdr>
    </w:div>
    <w:div w:id="1482770226">
      <w:bodyDiv w:val="1"/>
      <w:marLeft w:val="0"/>
      <w:marRight w:val="0"/>
      <w:marTop w:val="0"/>
      <w:marBottom w:val="0"/>
      <w:divBdr>
        <w:top w:val="none" w:sz="0" w:space="0" w:color="auto"/>
        <w:left w:val="none" w:sz="0" w:space="0" w:color="auto"/>
        <w:bottom w:val="none" w:sz="0" w:space="0" w:color="auto"/>
        <w:right w:val="none" w:sz="0" w:space="0" w:color="auto"/>
      </w:divBdr>
    </w:div>
    <w:div w:id="1540698477">
      <w:bodyDiv w:val="1"/>
      <w:marLeft w:val="0"/>
      <w:marRight w:val="0"/>
      <w:marTop w:val="0"/>
      <w:marBottom w:val="0"/>
      <w:divBdr>
        <w:top w:val="none" w:sz="0" w:space="0" w:color="auto"/>
        <w:left w:val="none" w:sz="0" w:space="0" w:color="auto"/>
        <w:bottom w:val="none" w:sz="0" w:space="0" w:color="auto"/>
        <w:right w:val="none" w:sz="0" w:space="0" w:color="auto"/>
      </w:divBdr>
      <w:divsChild>
        <w:div w:id="312493251">
          <w:marLeft w:val="0"/>
          <w:marRight w:val="0"/>
          <w:marTop w:val="0"/>
          <w:marBottom w:val="0"/>
          <w:divBdr>
            <w:top w:val="none" w:sz="0" w:space="0" w:color="auto"/>
            <w:left w:val="none" w:sz="0" w:space="0" w:color="auto"/>
            <w:bottom w:val="none" w:sz="0" w:space="0" w:color="auto"/>
            <w:right w:val="none" w:sz="0" w:space="0" w:color="auto"/>
          </w:divBdr>
        </w:div>
        <w:div w:id="406078315">
          <w:marLeft w:val="0"/>
          <w:marRight w:val="0"/>
          <w:marTop w:val="0"/>
          <w:marBottom w:val="0"/>
          <w:divBdr>
            <w:top w:val="none" w:sz="0" w:space="0" w:color="auto"/>
            <w:left w:val="none" w:sz="0" w:space="0" w:color="auto"/>
            <w:bottom w:val="none" w:sz="0" w:space="0" w:color="auto"/>
            <w:right w:val="none" w:sz="0" w:space="0" w:color="auto"/>
          </w:divBdr>
        </w:div>
        <w:div w:id="546918573">
          <w:marLeft w:val="0"/>
          <w:marRight w:val="0"/>
          <w:marTop w:val="0"/>
          <w:marBottom w:val="0"/>
          <w:divBdr>
            <w:top w:val="none" w:sz="0" w:space="0" w:color="auto"/>
            <w:left w:val="none" w:sz="0" w:space="0" w:color="auto"/>
            <w:bottom w:val="none" w:sz="0" w:space="0" w:color="auto"/>
            <w:right w:val="none" w:sz="0" w:space="0" w:color="auto"/>
          </w:divBdr>
        </w:div>
        <w:div w:id="771168032">
          <w:marLeft w:val="0"/>
          <w:marRight w:val="0"/>
          <w:marTop w:val="0"/>
          <w:marBottom w:val="0"/>
          <w:divBdr>
            <w:top w:val="none" w:sz="0" w:space="0" w:color="auto"/>
            <w:left w:val="none" w:sz="0" w:space="0" w:color="auto"/>
            <w:bottom w:val="none" w:sz="0" w:space="0" w:color="auto"/>
            <w:right w:val="none" w:sz="0" w:space="0" w:color="auto"/>
          </w:divBdr>
        </w:div>
        <w:div w:id="815535784">
          <w:marLeft w:val="0"/>
          <w:marRight w:val="0"/>
          <w:marTop w:val="0"/>
          <w:marBottom w:val="0"/>
          <w:divBdr>
            <w:top w:val="none" w:sz="0" w:space="0" w:color="auto"/>
            <w:left w:val="none" w:sz="0" w:space="0" w:color="auto"/>
            <w:bottom w:val="none" w:sz="0" w:space="0" w:color="auto"/>
            <w:right w:val="none" w:sz="0" w:space="0" w:color="auto"/>
          </w:divBdr>
        </w:div>
        <w:div w:id="916398454">
          <w:marLeft w:val="0"/>
          <w:marRight w:val="0"/>
          <w:marTop w:val="0"/>
          <w:marBottom w:val="0"/>
          <w:divBdr>
            <w:top w:val="none" w:sz="0" w:space="0" w:color="auto"/>
            <w:left w:val="none" w:sz="0" w:space="0" w:color="auto"/>
            <w:bottom w:val="none" w:sz="0" w:space="0" w:color="auto"/>
            <w:right w:val="none" w:sz="0" w:space="0" w:color="auto"/>
          </w:divBdr>
        </w:div>
        <w:div w:id="1050114049">
          <w:marLeft w:val="0"/>
          <w:marRight w:val="0"/>
          <w:marTop w:val="0"/>
          <w:marBottom w:val="0"/>
          <w:divBdr>
            <w:top w:val="none" w:sz="0" w:space="0" w:color="auto"/>
            <w:left w:val="none" w:sz="0" w:space="0" w:color="auto"/>
            <w:bottom w:val="none" w:sz="0" w:space="0" w:color="auto"/>
            <w:right w:val="none" w:sz="0" w:space="0" w:color="auto"/>
          </w:divBdr>
        </w:div>
        <w:div w:id="1055663263">
          <w:marLeft w:val="0"/>
          <w:marRight w:val="0"/>
          <w:marTop w:val="0"/>
          <w:marBottom w:val="0"/>
          <w:divBdr>
            <w:top w:val="none" w:sz="0" w:space="0" w:color="auto"/>
            <w:left w:val="none" w:sz="0" w:space="0" w:color="auto"/>
            <w:bottom w:val="none" w:sz="0" w:space="0" w:color="auto"/>
            <w:right w:val="none" w:sz="0" w:space="0" w:color="auto"/>
          </w:divBdr>
        </w:div>
        <w:div w:id="1608079644">
          <w:marLeft w:val="0"/>
          <w:marRight w:val="0"/>
          <w:marTop w:val="0"/>
          <w:marBottom w:val="0"/>
          <w:divBdr>
            <w:top w:val="none" w:sz="0" w:space="0" w:color="auto"/>
            <w:left w:val="none" w:sz="0" w:space="0" w:color="auto"/>
            <w:bottom w:val="none" w:sz="0" w:space="0" w:color="auto"/>
            <w:right w:val="none" w:sz="0" w:space="0" w:color="auto"/>
          </w:divBdr>
        </w:div>
        <w:div w:id="1910580713">
          <w:marLeft w:val="0"/>
          <w:marRight w:val="0"/>
          <w:marTop w:val="0"/>
          <w:marBottom w:val="0"/>
          <w:divBdr>
            <w:top w:val="none" w:sz="0" w:space="0" w:color="auto"/>
            <w:left w:val="none" w:sz="0" w:space="0" w:color="auto"/>
            <w:bottom w:val="none" w:sz="0" w:space="0" w:color="auto"/>
            <w:right w:val="none" w:sz="0" w:space="0" w:color="auto"/>
          </w:divBdr>
        </w:div>
        <w:div w:id="2010912735">
          <w:marLeft w:val="0"/>
          <w:marRight w:val="0"/>
          <w:marTop w:val="0"/>
          <w:marBottom w:val="0"/>
          <w:divBdr>
            <w:top w:val="none" w:sz="0" w:space="0" w:color="auto"/>
            <w:left w:val="none" w:sz="0" w:space="0" w:color="auto"/>
            <w:bottom w:val="none" w:sz="0" w:space="0" w:color="auto"/>
            <w:right w:val="none" w:sz="0" w:space="0" w:color="auto"/>
          </w:divBdr>
        </w:div>
        <w:div w:id="2016613592">
          <w:marLeft w:val="0"/>
          <w:marRight w:val="0"/>
          <w:marTop w:val="0"/>
          <w:marBottom w:val="0"/>
          <w:divBdr>
            <w:top w:val="none" w:sz="0" w:space="0" w:color="auto"/>
            <w:left w:val="none" w:sz="0" w:space="0" w:color="auto"/>
            <w:bottom w:val="none" w:sz="0" w:space="0" w:color="auto"/>
            <w:right w:val="none" w:sz="0" w:space="0" w:color="auto"/>
          </w:divBdr>
        </w:div>
        <w:div w:id="2048526280">
          <w:marLeft w:val="0"/>
          <w:marRight w:val="0"/>
          <w:marTop w:val="0"/>
          <w:marBottom w:val="0"/>
          <w:divBdr>
            <w:top w:val="none" w:sz="0" w:space="0" w:color="auto"/>
            <w:left w:val="none" w:sz="0" w:space="0" w:color="auto"/>
            <w:bottom w:val="none" w:sz="0" w:space="0" w:color="auto"/>
            <w:right w:val="none" w:sz="0" w:space="0" w:color="auto"/>
          </w:divBdr>
        </w:div>
      </w:divsChild>
    </w:div>
    <w:div w:id="1606961971">
      <w:bodyDiv w:val="1"/>
      <w:marLeft w:val="0"/>
      <w:marRight w:val="0"/>
      <w:marTop w:val="0"/>
      <w:marBottom w:val="0"/>
      <w:divBdr>
        <w:top w:val="none" w:sz="0" w:space="0" w:color="auto"/>
        <w:left w:val="none" w:sz="0" w:space="0" w:color="auto"/>
        <w:bottom w:val="none" w:sz="0" w:space="0" w:color="auto"/>
        <w:right w:val="none" w:sz="0" w:space="0" w:color="auto"/>
      </w:divBdr>
    </w:div>
    <w:div w:id="1627419942">
      <w:bodyDiv w:val="1"/>
      <w:marLeft w:val="0"/>
      <w:marRight w:val="0"/>
      <w:marTop w:val="0"/>
      <w:marBottom w:val="0"/>
      <w:divBdr>
        <w:top w:val="none" w:sz="0" w:space="0" w:color="auto"/>
        <w:left w:val="none" w:sz="0" w:space="0" w:color="auto"/>
        <w:bottom w:val="none" w:sz="0" w:space="0" w:color="auto"/>
        <w:right w:val="none" w:sz="0" w:space="0" w:color="auto"/>
      </w:divBdr>
    </w:div>
    <w:div w:id="1695959546">
      <w:bodyDiv w:val="1"/>
      <w:marLeft w:val="0"/>
      <w:marRight w:val="0"/>
      <w:marTop w:val="0"/>
      <w:marBottom w:val="0"/>
      <w:divBdr>
        <w:top w:val="none" w:sz="0" w:space="0" w:color="auto"/>
        <w:left w:val="none" w:sz="0" w:space="0" w:color="auto"/>
        <w:bottom w:val="none" w:sz="0" w:space="0" w:color="auto"/>
        <w:right w:val="none" w:sz="0" w:space="0" w:color="auto"/>
      </w:divBdr>
    </w:div>
    <w:div w:id="1708602860">
      <w:bodyDiv w:val="1"/>
      <w:marLeft w:val="0"/>
      <w:marRight w:val="0"/>
      <w:marTop w:val="0"/>
      <w:marBottom w:val="0"/>
      <w:divBdr>
        <w:top w:val="none" w:sz="0" w:space="0" w:color="auto"/>
        <w:left w:val="none" w:sz="0" w:space="0" w:color="auto"/>
        <w:bottom w:val="none" w:sz="0" w:space="0" w:color="auto"/>
        <w:right w:val="none" w:sz="0" w:space="0" w:color="auto"/>
      </w:divBdr>
    </w:div>
    <w:div w:id="1777406416">
      <w:bodyDiv w:val="1"/>
      <w:marLeft w:val="0"/>
      <w:marRight w:val="0"/>
      <w:marTop w:val="0"/>
      <w:marBottom w:val="0"/>
      <w:divBdr>
        <w:top w:val="none" w:sz="0" w:space="0" w:color="auto"/>
        <w:left w:val="none" w:sz="0" w:space="0" w:color="auto"/>
        <w:bottom w:val="none" w:sz="0" w:space="0" w:color="auto"/>
        <w:right w:val="none" w:sz="0" w:space="0" w:color="auto"/>
      </w:divBdr>
    </w:div>
    <w:div w:id="1816145380">
      <w:bodyDiv w:val="1"/>
      <w:marLeft w:val="0"/>
      <w:marRight w:val="0"/>
      <w:marTop w:val="0"/>
      <w:marBottom w:val="0"/>
      <w:divBdr>
        <w:top w:val="none" w:sz="0" w:space="0" w:color="auto"/>
        <w:left w:val="none" w:sz="0" w:space="0" w:color="auto"/>
        <w:bottom w:val="none" w:sz="0" w:space="0" w:color="auto"/>
        <w:right w:val="none" w:sz="0" w:space="0" w:color="auto"/>
      </w:divBdr>
    </w:div>
    <w:div w:id="1832327289">
      <w:bodyDiv w:val="1"/>
      <w:marLeft w:val="0"/>
      <w:marRight w:val="0"/>
      <w:marTop w:val="0"/>
      <w:marBottom w:val="0"/>
      <w:divBdr>
        <w:top w:val="none" w:sz="0" w:space="0" w:color="auto"/>
        <w:left w:val="none" w:sz="0" w:space="0" w:color="auto"/>
        <w:bottom w:val="none" w:sz="0" w:space="0" w:color="auto"/>
        <w:right w:val="none" w:sz="0" w:space="0" w:color="auto"/>
      </w:divBdr>
    </w:div>
    <w:div w:id="1921675652">
      <w:bodyDiv w:val="1"/>
      <w:marLeft w:val="0"/>
      <w:marRight w:val="0"/>
      <w:marTop w:val="0"/>
      <w:marBottom w:val="0"/>
      <w:divBdr>
        <w:top w:val="none" w:sz="0" w:space="0" w:color="auto"/>
        <w:left w:val="none" w:sz="0" w:space="0" w:color="auto"/>
        <w:bottom w:val="none" w:sz="0" w:space="0" w:color="auto"/>
        <w:right w:val="none" w:sz="0" w:space="0" w:color="auto"/>
      </w:divBdr>
    </w:div>
    <w:div w:id="1931617951">
      <w:bodyDiv w:val="1"/>
      <w:marLeft w:val="0"/>
      <w:marRight w:val="0"/>
      <w:marTop w:val="0"/>
      <w:marBottom w:val="0"/>
      <w:divBdr>
        <w:top w:val="none" w:sz="0" w:space="0" w:color="auto"/>
        <w:left w:val="none" w:sz="0" w:space="0" w:color="auto"/>
        <w:bottom w:val="none" w:sz="0" w:space="0" w:color="auto"/>
        <w:right w:val="none" w:sz="0" w:space="0" w:color="auto"/>
      </w:divBdr>
    </w:div>
    <w:div w:id="1940022821">
      <w:bodyDiv w:val="1"/>
      <w:marLeft w:val="0"/>
      <w:marRight w:val="0"/>
      <w:marTop w:val="0"/>
      <w:marBottom w:val="0"/>
      <w:divBdr>
        <w:top w:val="none" w:sz="0" w:space="0" w:color="auto"/>
        <w:left w:val="none" w:sz="0" w:space="0" w:color="auto"/>
        <w:bottom w:val="none" w:sz="0" w:space="0" w:color="auto"/>
        <w:right w:val="none" w:sz="0" w:space="0" w:color="auto"/>
      </w:divBdr>
    </w:div>
    <w:div w:id="1951470724">
      <w:bodyDiv w:val="1"/>
      <w:marLeft w:val="0"/>
      <w:marRight w:val="0"/>
      <w:marTop w:val="0"/>
      <w:marBottom w:val="0"/>
      <w:divBdr>
        <w:top w:val="none" w:sz="0" w:space="0" w:color="auto"/>
        <w:left w:val="none" w:sz="0" w:space="0" w:color="auto"/>
        <w:bottom w:val="none" w:sz="0" w:space="0" w:color="auto"/>
        <w:right w:val="none" w:sz="0" w:space="0" w:color="auto"/>
      </w:divBdr>
    </w:div>
    <w:div w:id="1972326424">
      <w:bodyDiv w:val="1"/>
      <w:marLeft w:val="0"/>
      <w:marRight w:val="0"/>
      <w:marTop w:val="0"/>
      <w:marBottom w:val="0"/>
      <w:divBdr>
        <w:top w:val="none" w:sz="0" w:space="0" w:color="auto"/>
        <w:left w:val="none" w:sz="0" w:space="0" w:color="auto"/>
        <w:bottom w:val="none" w:sz="0" w:space="0" w:color="auto"/>
        <w:right w:val="none" w:sz="0" w:space="0" w:color="auto"/>
      </w:divBdr>
    </w:div>
    <w:div w:id="1979795403">
      <w:bodyDiv w:val="1"/>
      <w:marLeft w:val="0"/>
      <w:marRight w:val="0"/>
      <w:marTop w:val="0"/>
      <w:marBottom w:val="0"/>
      <w:divBdr>
        <w:top w:val="none" w:sz="0" w:space="0" w:color="auto"/>
        <w:left w:val="none" w:sz="0" w:space="0" w:color="auto"/>
        <w:bottom w:val="none" w:sz="0" w:space="0" w:color="auto"/>
        <w:right w:val="none" w:sz="0" w:space="0" w:color="auto"/>
      </w:divBdr>
    </w:div>
    <w:div w:id="2017732402">
      <w:bodyDiv w:val="1"/>
      <w:marLeft w:val="0"/>
      <w:marRight w:val="0"/>
      <w:marTop w:val="0"/>
      <w:marBottom w:val="0"/>
      <w:divBdr>
        <w:top w:val="none" w:sz="0" w:space="0" w:color="auto"/>
        <w:left w:val="none" w:sz="0" w:space="0" w:color="auto"/>
        <w:bottom w:val="none" w:sz="0" w:space="0" w:color="auto"/>
        <w:right w:val="none" w:sz="0" w:space="0" w:color="auto"/>
      </w:divBdr>
    </w:div>
    <w:div w:id="2062437278">
      <w:bodyDiv w:val="1"/>
      <w:marLeft w:val="0"/>
      <w:marRight w:val="0"/>
      <w:marTop w:val="0"/>
      <w:marBottom w:val="0"/>
      <w:divBdr>
        <w:top w:val="none" w:sz="0" w:space="0" w:color="auto"/>
        <w:left w:val="none" w:sz="0" w:space="0" w:color="auto"/>
        <w:bottom w:val="none" w:sz="0" w:space="0" w:color="auto"/>
        <w:right w:val="none" w:sz="0" w:space="0" w:color="auto"/>
      </w:divBdr>
    </w:div>
    <w:div w:id="214225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header" Target="header1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2.xml"/><Relationship Id="rId34" Type="http://schemas.openxmlformats.org/officeDocument/2006/relationships/header" Target="header24.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emf"/><Relationship Id="rId28" Type="http://schemas.openxmlformats.org/officeDocument/2006/relationships/header" Target="header18.xml"/><Relationship Id="rId36" Type="http://schemas.openxmlformats.org/officeDocument/2006/relationships/header" Target="header26.xml"/><Relationship Id="rId10" Type="http://schemas.openxmlformats.org/officeDocument/2006/relationships/footer" Target="footer1.xml"/><Relationship Id="rId19" Type="http://schemas.openxmlformats.org/officeDocument/2006/relationships/header" Target="header10.xml"/><Relationship Id="rId3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13.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EA5DB-FDB4-48EF-BFFA-ABB0A6AC1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14932</Words>
  <Characters>82131</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Lourdes Margarita Santaolalla Fernandez</dc:creator>
  <cp:lastModifiedBy>Maria del Consuelo Gonzalez Moreno</cp:lastModifiedBy>
  <cp:revision>8</cp:revision>
  <cp:lastPrinted>2017-04-24T14:58:00Z</cp:lastPrinted>
  <dcterms:created xsi:type="dcterms:W3CDTF">2017-05-17T22:56:00Z</dcterms:created>
  <dcterms:modified xsi:type="dcterms:W3CDTF">2017-06-29T15:00:00Z</dcterms:modified>
</cp:coreProperties>
</file>