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748" w:rsidRPr="004E27D5" w:rsidRDefault="00D84748" w:rsidP="00D84748">
      <w:pPr>
        <w:pStyle w:val="Ttulo1"/>
        <w:spacing w:before="40"/>
        <w:jc w:val="center"/>
        <w:rPr>
          <w:rFonts w:ascii="ITC Avant Garde" w:hAnsi="ITC Avant Garde"/>
          <w:bCs w:val="0"/>
          <w:color w:val="000000" w:themeColor="text1"/>
          <w:sz w:val="21"/>
          <w:szCs w:val="21"/>
          <w:lang w:eastAsia="en-US"/>
        </w:rPr>
      </w:pPr>
      <w:r w:rsidRPr="004E27D5">
        <w:rPr>
          <w:rFonts w:ascii="ITC Avant Garde" w:hAnsi="ITC Avant Garde"/>
          <w:bCs w:val="0"/>
          <w:color w:val="000000" w:themeColor="text1"/>
          <w:sz w:val="21"/>
          <w:szCs w:val="21"/>
        </w:rPr>
        <w:t>VERSIÓN PÚBL</w:t>
      </w:r>
      <w:r w:rsidRPr="004E27D5">
        <w:rPr>
          <w:rFonts w:ascii="ITC Avant Garde" w:hAnsi="ITC Avant Garde"/>
          <w:bCs w:val="0"/>
          <w:color w:val="000000" w:themeColor="text1"/>
          <w:sz w:val="21"/>
          <w:szCs w:val="21"/>
        </w:rPr>
        <w:t>ICA DEL ACUERDO P/IFT/221117/740</w:t>
      </w:r>
    </w:p>
    <w:p w:rsidR="00D84748" w:rsidRPr="004E27D5" w:rsidRDefault="00D84748" w:rsidP="00D84748">
      <w:pPr>
        <w:pStyle w:val="Default"/>
        <w:ind w:left="-284" w:right="-377"/>
        <w:jc w:val="center"/>
        <w:rPr>
          <w:rFonts w:ascii="ITC Avant Garde" w:hAnsi="ITC Avant Garde"/>
          <w:b/>
          <w:sz w:val="20"/>
          <w:szCs w:val="20"/>
        </w:rPr>
      </w:pPr>
      <w:r w:rsidRPr="004E27D5">
        <w:rPr>
          <w:rFonts w:ascii="ITC Avant Garde" w:hAnsi="ITC Avant Garde"/>
          <w:b/>
          <w:sz w:val="20"/>
          <w:szCs w:val="20"/>
        </w:rPr>
        <w:t>DE LA SESIÓN DEL PLENO DEL INSTITUTO FEDERAL DE TELECOMUNICACIONES EN SU XLVIII SESIÓN ORDINARIA DEL 2017, CELEBRADA EL 22 DE NOVIEMBRE DE 2017.</w:t>
      </w:r>
    </w:p>
    <w:p w:rsidR="00D84748" w:rsidRPr="004E27D5" w:rsidRDefault="00D84748" w:rsidP="00D84748">
      <w:pPr>
        <w:pStyle w:val="Ttulo2"/>
        <w:spacing w:before="360" w:after="240" w:line="360" w:lineRule="auto"/>
        <w:contextualSpacing/>
        <w:jc w:val="center"/>
        <w:rPr>
          <w:rFonts w:ascii="ITC Avant Garde" w:eastAsia="Arial" w:hAnsi="ITC Avant Garde" w:cs="Arial"/>
          <w:b/>
          <w:color w:val="000000"/>
          <w:sz w:val="21"/>
          <w:szCs w:val="21"/>
          <w:lang w:eastAsia="es-MX"/>
        </w:rPr>
      </w:pPr>
      <w:r w:rsidRPr="004E27D5">
        <w:rPr>
          <w:rFonts w:ascii="ITC Avant Garde" w:eastAsia="Arial" w:hAnsi="ITC Avant Garde" w:cs="Arial"/>
          <w:b/>
          <w:color w:val="000000"/>
          <w:sz w:val="21"/>
          <w:szCs w:val="21"/>
          <w:lang w:eastAsia="es-MX"/>
        </w:rPr>
        <w:t>LEYENDA DE LA CLASIFICACIÓN</w:t>
      </w:r>
    </w:p>
    <w:p w:rsidR="00D84748" w:rsidRPr="004E27D5" w:rsidRDefault="00D84748" w:rsidP="00D84748">
      <w:pPr>
        <w:pStyle w:val="Textoindependiente"/>
        <w:spacing w:after="0" w:line="360" w:lineRule="auto"/>
        <w:jc w:val="both"/>
        <w:rPr>
          <w:rFonts w:ascii="ITC Avant Garde" w:eastAsia="Times New Roman" w:hAnsi="ITC Avant Garde"/>
          <w:bCs/>
          <w:color w:val="000000"/>
          <w:sz w:val="19"/>
          <w:szCs w:val="19"/>
          <w:lang w:eastAsia="es-MX"/>
        </w:rPr>
      </w:pPr>
      <w:r w:rsidRPr="004E27D5">
        <w:rPr>
          <w:rFonts w:ascii="ITC Avant Garde" w:eastAsia="Times New Roman" w:hAnsi="ITC Avant Garde"/>
          <w:b/>
          <w:bCs/>
          <w:color w:val="000000"/>
          <w:sz w:val="19"/>
          <w:szCs w:val="19"/>
          <w:lang w:eastAsia="es-MX"/>
        </w:rPr>
        <w:t>Fecha de Clasificación:</w:t>
      </w:r>
      <w:r w:rsidRPr="004E27D5">
        <w:rPr>
          <w:rFonts w:ascii="ITC Avant Garde" w:eastAsia="Times New Roman" w:hAnsi="ITC Avant Garde"/>
          <w:bCs/>
          <w:color w:val="000000"/>
          <w:sz w:val="19"/>
          <w:szCs w:val="19"/>
          <w:lang w:eastAsia="es-MX"/>
        </w:rPr>
        <w:t xml:space="preserve"> 22 de noviembre de 2017.</w:t>
      </w:r>
    </w:p>
    <w:p w:rsidR="00D84748" w:rsidRPr="004E27D5" w:rsidRDefault="00D84748" w:rsidP="00D84748">
      <w:pPr>
        <w:pStyle w:val="Textoindependiente"/>
        <w:spacing w:after="0" w:line="360" w:lineRule="auto"/>
        <w:jc w:val="both"/>
        <w:rPr>
          <w:rFonts w:ascii="ITC Avant Garde" w:hAnsi="ITC Avant Garde"/>
          <w:sz w:val="19"/>
          <w:szCs w:val="19"/>
        </w:rPr>
      </w:pPr>
      <w:r w:rsidRPr="004E27D5">
        <w:rPr>
          <w:rFonts w:ascii="ITC Avant Garde" w:eastAsia="Times New Roman" w:hAnsi="ITC Avant Garde"/>
          <w:b/>
          <w:bCs/>
          <w:color w:val="000000"/>
          <w:sz w:val="19"/>
          <w:szCs w:val="19"/>
          <w:lang w:eastAsia="es-MX"/>
        </w:rPr>
        <w:t>Unidad Administrativa:</w:t>
      </w:r>
      <w:r w:rsidRPr="004E27D5">
        <w:rPr>
          <w:rFonts w:ascii="ITC Avant Garde" w:eastAsia="Times New Roman" w:hAnsi="ITC Avant Garde"/>
          <w:bCs/>
          <w:color w:val="000000"/>
          <w:sz w:val="19"/>
          <w:szCs w:val="19"/>
          <w:lang w:eastAsia="es-MX"/>
        </w:rPr>
        <w:t xml:space="preserve"> Secretaría Técnica del Pleno.</w:t>
      </w:r>
    </w:p>
    <w:p w:rsidR="00D84748" w:rsidRPr="004E27D5" w:rsidRDefault="00D84748" w:rsidP="00D84748">
      <w:pPr>
        <w:pStyle w:val="Textoindependiente"/>
        <w:spacing w:after="0" w:line="360" w:lineRule="auto"/>
        <w:jc w:val="both"/>
        <w:rPr>
          <w:rFonts w:ascii="ITC Avant Garde" w:hAnsi="ITC Avant Garde"/>
          <w:sz w:val="19"/>
          <w:szCs w:val="19"/>
        </w:rPr>
      </w:pPr>
      <w:r w:rsidRPr="004E27D5">
        <w:rPr>
          <w:rFonts w:ascii="ITC Avant Garde" w:hAnsi="ITC Avant Garde"/>
          <w:b/>
          <w:sz w:val="19"/>
          <w:szCs w:val="19"/>
        </w:rPr>
        <w:t>Clasificación:</w:t>
      </w:r>
      <w:r w:rsidRPr="004E27D5">
        <w:rPr>
          <w:rFonts w:ascii="ITC Avant Garde" w:hAnsi="ITC Avant Garde"/>
          <w:sz w:val="19"/>
          <w:szCs w:val="19"/>
        </w:rPr>
        <w:t xml:space="preserve"> </w:t>
      </w:r>
      <w:r w:rsidRPr="004E27D5">
        <w:rPr>
          <w:rFonts w:ascii="ITC Avant Garde" w:hAnsi="ITC Avant Garde"/>
          <w:b/>
          <w:sz w:val="19"/>
          <w:szCs w:val="19"/>
        </w:rPr>
        <w:t>Confidencial</w:t>
      </w:r>
      <w:r w:rsidRPr="004E27D5">
        <w:rPr>
          <w:rFonts w:ascii="ITC Avant Garde" w:hAnsi="ITC Avant Garde"/>
          <w:sz w:val="19"/>
          <w:szCs w:val="19"/>
        </w:rPr>
        <w:t xml:space="preserve">, </w:t>
      </w:r>
      <w:r w:rsidRPr="004E27D5">
        <w:rPr>
          <w:rFonts w:ascii="ITC Avant Garde" w:eastAsia="Times New Roman" w:hAnsi="ITC Avant Garde"/>
          <w:bCs/>
          <w:color w:val="000000"/>
          <w:sz w:val="19"/>
          <w:szCs w:val="19"/>
          <w:lang w:eastAsia="es-MX"/>
        </w:rPr>
        <w:t>de conformidad con los artículos 72, fracción V, inciso c), 98, fracción III y 104 de la Ley Federal de Transparencia y Acceso a la Información Pública (“LFTAIP”); 106, 107 y 110 de la Ley General de Transparencia y Acceso a la Información Pública ("LGTAIP”); así como el Lineamiento Séptimo, fracción III, Quincuagésimo Primero al Cuarto, Sexagésimo y Sexagésimo Primero de los Lineamientos Generales en materia de Clasificación y Desclasificación de la Información, así como para la Elaboración de Versiones Públicas (“LGCDIEVP”), así como la versión pública elaborada por la Dirección General de Sanciones y remitida mediante correo electrónico de fecha 20 de diciembre de 2017.</w:t>
      </w:r>
    </w:p>
    <w:p w:rsidR="00D84748" w:rsidRPr="004E27D5" w:rsidRDefault="00D84748" w:rsidP="00D84748">
      <w:pPr>
        <w:pStyle w:val="Textoindependiente"/>
        <w:spacing w:after="0" w:line="360" w:lineRule="auto"/>
        <w:jc w:val="both"/>
        <w:rPr>
          <w:rFonts w:ascii="ITC Avant Garde" w:eastAsia="Times New Roman" w:hAnsi="ITC Avant Garde"/>
          <w:bCs/>
          <w:color w:val="000000"/>
          <w:sz w:val="19"/>
          <w:szCs w:val="19"/>
          <w:lang w:eastAsia="es-MX"/>
        </w:rPr>
      </w:pPr>
      <w:r w:rsidRPr="004E27D5">
        <w:rPr>
          <w:rFonts w:ascii="ITC Avant Garde" w:eastAsia="Times New Roman" w:hAnsi="ITC Avant Garde"/>
          <w:b/>
          <w:bCs/>
          <w:color w:val="000000"/>
          <w:sz w:val="19"/>
          <w:szCs w:val="19"/>
          <w:lang w:eastAsia="es-MX"/>
        </w:rPr>
        <w:t>Núm. de Resolución:</w:t>
      </w:r>
      <w:r w:rsidRPr="004E27D5">
        <w:rPr>
          <w:rFonts w:ascii="ITC Avant Garde" w:eastAsia="Times New Roman" w:hAnsi="ITC Avant Garde"/>
          <w:bCs/>
          <w:color w:val="000000"/>
          <w:sz w:val="19"/>
          <w:szCs w:val="19"/>
          <w:lang w:eastAsia="es-MX"/>
        </w:rPr>
        <w:t xml:space="preserve"> P/IFT/221117/740</w:t>
      </w:r>
      <w:r w:rsidRPr="004E27D5">
        <w:rPr>
          <w:rFonts w:ascii="ITC Avant Garde" w:eastAsia="Times New Roman" w:hAnsi="ITC Avant Garde"/>
          <w:bCs/>
          <w:color w:val="000000"/>
          <w:sz w:val="19"/>
          <w:szCs w:val="19"/>
          <w:lang w:eastAsia="es-MX"/>
        </w:rPr>
        <w:t>.</w:t>
      </w:r>
    </w:p>
    <w:p w:rsidR="00D84748" w:rsidRPr="004E27D5" w:rsidRDefault="00D84748" w:rsidP="00D84748">
      <w:pPr>
        <w:pStyle w:val="Textoindependiente"/>
        <w:spacing w:after="0" w:line="360" w:lineRule="auto"/>
        <w:jc w:val="both"/>
        <w:rPr>
          <w:rFonts w:ascii="ITC Avant Garde" w:eastAsia="Times New Roman" w:hAnsi="ITC Avant Garde"/>
          <w:bCs/>
          <w:color w:val="000000"/>
          <w:sz w:val="19"/>
          <w:szCs w:val="19"/>
          <w:lang w:eastAsia="es-MX"/>
        </w:rPr>
      </w:pPr>
      <w:r w:rsidRPr="004E27D5">
        <w:rPr>
          <w:rFonts w:ascii="ITC Avant Garde" w:eastAsia="Times New Roman" w:hAnsi="ITC Avant Garde"/>
          <w:b/>
          <w:bCs/>
          <w:color w:val="000000"/>
          <w:sz w:val="19"/>
          <w:szCs w:val="19"/>
          <w:lang w:eastAsia="es-MX"/>
        </w:rPr>
        <w:t>Descripción del asunto:</w:t>
      </w:r>
      <w:r w:rsidRPr="004E27D5">
        <w:rPr>
          <w:rFonts w:ascii="ITC Avant Garde" w:eastAsia="Times New Roman" w:hAnsi="ITC Avant Garde"/>
          <w:bCs/>
          <w:color w:val="000000"/>
          <w:sz w:val="19"/>
          <w:szCs w:val="19"/>
          <w:lang w:eastAsia="es-MX"/>
        </w:rPr>
        <w:t xml:space="preserve"> </w:t>
      </w:r>
      <w:r w:rsidRPr="004E27D5">
        <w:rPr>
          <w:rFonts w:ascii="ITC Avant Garde" w:hAnsi="ITC Avant Garde"/>
          <w:sz w:val="18"/>
          <w:szCs w:val="18"/>
        </w:rPr>
        <w:t>Resolución mediante la cual el Pleno del Instituto Federal de Telecomunicaciones declara la pérdida de bienes en beneficio de la Nación, derivado del procedimiento administrativo iniciado en contra del propietario y/o poseedor y/o responsable y/o encargado u ocupante de las instalaciones y equipos con los cuales se prestaba el servicio de radiodifusión, operando en la frecuencia 106.1 MHz en el Municipio de Valle de Bravo, Estado de México, sin contar con la respectiva concesión o permiso.</w:t>
      </w:r>
    </w:p>
    <w:p w:rsidR="00D84748" w:rsidRPr="004E27D5" w:rsidRDefault="00D84748" w:rsidP="00D84748">
      <w:pPr>
        <w:pStyle w:val="Textoindependiente"/>
        <w:spacing w:after="0" w:line="360" w:lineRule="auto"/>
        <w:jc w:val="both"/>
        <w:rPr>
          <w:rFonts w:ascii="ITC Avant Garde" w:hAnsi="ITC Avant Garde"/>
          <w:sz w:val="19"/>
          <w:szCs w:val="19"/>
        </w:rPr>
      </w:pPr>
      <w:r w:rsidRPr="004E27D5">
        <w:rPr>
          <w:rFonts w:ascii="ITC Avant Garde" w:eastAsia="Times New Roman" w:hAnsi="ITC Avant Garde"/>
          <w:b/>
          <w:bCs/>
          <w:color w:val="000000"/>
          <w:sz w:val="19"/>
          <w:szCs w:val="19"/>
          <w:lang w:eastAsia="es-MX"/>
        </w:rPr>
        <w:t>Fundamento legal:</w:t>
      </w:r>
      <w:r w:rsidRPr="004E27D5">
        <w:rPr>
          <w:rFonts w:ascii="ITC Avant Garde" w:eastAsia="Times New Roman" w:hAnsi="ITC Avant Garde"/>
          <w:bCs/>
          <w:color w:val="000000"/>
          <w:sz w:val="19"/>
          <w:szCs w:val="19"/>
          <w:lang w:eastAsia="es-MX"/>
        </w:rPr>
        <w:t xml:space="preserve"> Confidencial con fundamento en el artículo 113, fracción I de la “LFTAIP” publicada en el Diario Oficial de la Federación (DOF) el 9 de mayo de 2016; así como el artículo 116 de la “LGTAIP”, publicada en el DOF el 4 de mayo de 2015; así como el Lineamiento Trigésimo Octavo, fracción I de los “LCCDIEVP”, publicado en el DOF el 15 de abril de 2016.</w:t>
      </w:r>
    </w:p>
    <w:p w:rsidR="00D84748" w:rsidRPr="004E27D5" w:rsidRDefault="00D84748" w:rsidP="00D84748">
      <w:pPr>
        <w:pStyle w:val="Textoindependiente"/>
        <w:spacing w:after="0" w:line="360" w:lineRule="auto"/>
        <w:jc w:val="both"/>
        <w:rPr>
          <w:rFonts w:ascii="ITC Avant Garde" w:eastAsia="Times New Roman" w:hAnsi="ITC Avant Garde"/>
          <w:bCs/>
          <w:color w:val="000000"/>
          <w:sz w:val="19"/>
          <w:szCs w:val="19"/>
          <w:lang w:eastAsia="es-MX"/>
        </w:rPr>
      </w:pPr>
      <w:r w:rsidRPr="004E27D5">
        <w:rPr>
          <w:rFonts w:ascii="ITC Avant Garde" w:eastAsia="Times New Roman" w:hAnsi="ITC Avant Garde"/>
          <w:b/>
          <w:bCs/>
          <w:color w:val="000000"/>
          <w:sz w:val="19"/>
          <w:szCs w:val="19"/>
          <w:lang w:eastAsia="es-MX"/>
        </w:rPr>
        <w:t>Motivación:</w:t>
      </w:r>
      <w:r w:rsidRPr="004E27D5">
        <w:rPr>
          <w:rFonts w:ascii="ITC Avant Garde" w:eastAsia="Times New Roman" w:hAnsi="ITC Avant Garde"/>
          <w:bCs/>
          <w:color w:val="000000"/>
          <w:sz w:val="19"/>
          <w:szCs w:val="19"/>
          <w:lang w:eastAsia="es-MX"/>
        </w:rPr>
        <w:t xml:space="preserve"> Contiene datos personales concernientes a una persona </w:t>
      </w:r>
      <w:r w:rsidRPr="004E27D5">
        <w:rPr>
          <w:rFonts w:ascii="ITC Avant Garde" w:hAnsi="ITC Avant Garde"/>
          <w:sz w:val="18"/>
          <w:szCs w:val="18"/>
        </w:rPr>
        <w:t>identificada o identificable</w:t>
      </w:r>
      <w:r w:rsidRPr="004E27D5">
        <w:rPr>
          <w:rFonts w:ascii="ITC Avant Garde" w:eastAsia="Times New Roman" w:hAnsi="ITC Avant Garde"/>
          <w:bCs/>
          <w:color w:val="000000"/>
          <w:sz w:val="19"/>
          <w:szCs w:val="19"/>
          <w:lang w:eastAsia="es-MX"/>
        </w:rPr>
        <w:t>.</w:t>
      </w:r>
    </w:p>
    <w:p w:rsidR="00D84748" w:rsidRPr="004E27D5" w:rsidRDefault="00D84748" w:rsidP="00D84748">
      <w:pPr>
        <w:pStyle w:val="Textoindependiente"/>
        <w:spacing w:after="0" w:line="360" w:lineRule="auto"/>
        <w:jc w:val="both"/>
        <w:rPr>
          <w:rFonts w:ascii="ITC Avant Garde" w:eastAsia="Times New Roman" w:hAnsi="ITC Avant Garde"/>
          <w:bCs/>
          <w:color w:val="000000"/>
          <w:sz w:val="19"/>
          <w:szCs w:val="19"/>
          <w:lang w:eastAsia="es-MX"/>
        </w:rPr>
      </w:pPr>
      <w:r w:rsidRPr="004E27D5">
        <w:rPr>
          <w:rFonts w:ascii="ITC Avant Garde" w:eastAsia="Times New Roman" w:hAnsi="ITC Avant Garde"/>
          <w:b/>
          <w:bCs/>
          <w:color w:val="000000"/>
          <w:sz w:val="19"/>
          <w:szCs w:val="19"/>
          <w:lang w:eastAsia="es-MX"/>
        </w:rPr>
        <w:t>Secciones Confidenciales:</w:t>
      </w:r>
      <w:r w:rsidRPr="004E27D5">
        <w:rPr>
          <w:rFonts w:ascii="ITC Avant Garde" w:eastAsia="Times New Roman" w:hAnsi="ITC Avant Garde"/>
          <w:bCs/>
          <w:color w:val="000000"/>
          <w:sz w:val="19"/>
          <w:szCs w:val="19"/>
          <w:lang w:eastAsia="es-MX"/>
        </w:rPr>
        <w:t xml:space="preserve"> Las secciones marcadas en color azul con la inscripción que dice </w:t>
      </w:r>
      <w:r w:rsidRPr="004E27D5">
        <w:rPr>
          <w:rFonts w:ascii="ITC Avant Garde" w:eastAsia="Times New Roman" w:hAnsi="ITC Avant Garde"/>
          <w:b/>
          <w:bCs/>
          <w:color w:val="0000CC"/>
          <w:sz w:val="19"/>
          <w:szCs w:val="19"/>
          <w:lang w:eastAsia="es-MX"/>
        </w:rPr>
        <w:t>“CONFIDENCIAL POR LEY”</w:t>
      </w:r>
      <w:r w:rsidRPr="004E27D5">
        <w:rPr>
          <w:rFonts w:ascii="ITC Avant Garde" w:eastAsia="Times New Roman" w:hAnsi="ITC Avant Garde"/>
          <w:bCs/>
          <w:color w:val="000000"/>
          <w:sz w:val="19"/>
          <w:szCs w:val="19"/>
          <w:lang w:eastAsia="es-MX"/>
        </w:rPr>
        <w:t>.</w:t>
      </w:r>
    </w:p>
    <w:p w:rsidR="00D84748" w:rsidRPr="004E27D5" w:rsidRDefault="00D84748" w:rsidP="00D84748">
      <w:pPr>
        <w:pStyle w:val="Textoindependiente"/>
        <w:spacing w:after="0" w:line="360" w:lineRule="auto"/>
        <w:jc w:val="both"/>
        <w:rPr>
          <w:rFonts w:ascii="ITC Avant Garde" w:eastAsia="Times New Roman" w:hAnsi="ITC Avant Garde"/>
          <w:bCs/>
          <w:color w:val="000000"/>
          <w:sz w:val="19"/>
          <w:szCs w:val="19"/>
          <w:lang w:eastAsia="es-MX"/>
        </w:rPr>
      </w:pPr>
      <w:r w:rsidRPr="004E27D5">
        <w:rPr>
          <w:rFonts w:ascii="ITC Avant Garde" w:eastAsia="Times New Roman" w:hAnsi="ITC Avant Garde"/>
          <w:bCs/>
          <w:color w:val="000000"/>
          <w:sz w:val="19"/>
          <w:szCs w:val="19"/>
          <w:lang w:eastAsia="es-MX"/>
        </w:rPr>
        <w:t>Fin de la Leyenda.</w:t>
      </w:r>
    </w:p>
    <w:p w:rsidR="00D84748" w:rsidRPr="004E27D5" w:rsidRDefault="00D84748" w:rsidP="00D84748">
      <w:pPr>
        <w:spacing w:after="0" w:line="360" w:lineRule="auto"/>
        <w:rPr>
          <w:rFonts w:ascii="ITC Avant Garde" w:eastAsia="Times New Roman" w:hAnsi="ITC Avant Garde"/>
          <w:bCs/>
          <w:color w:val="000000"/>
          <w:sz w:val="19"/>
          <w:szCs w:val="19"/>
          <w:lang w:eastAsia="es-MX"/>
        </w:rPr>
        <w:sectPr w:rsidR="00D84748" w:rsidRPr="004E27D5">
          <w:pgSz w:w="12240" w:h="15840"/>
          <w:pgMar w:top="2127" w:right="1750" w:bottom="1418" w:left="1701" w:header="709" w:footer="992" w:gutter="0"/>
          <w:cols w:space="720"/>
        </w:sectPr>
      </w:pPr>
    </w:p>
    <w:p w:rsidR="009E7D7C" w:rsidRPr="004E27D5" w:rsidRDefault="00C9435A" w:rsidP="00A46B94">
      <w:pPr>
        <w:pStyle w:val="Ttulo1"/>
        <w:ind w:right="3167"/>
        <w:jc w:val="both"/>
        <w:rPr>
          <w:rFonts w:ascii="ITC Avant Garde" w:hAnsi="ITC Avant Garde"/>
          <w:sz w:val="22"/>
        </w:rPr>
      </w:pPr>
      <w:r w:rsidRPr="004E27D5">
        <w:rPr>
          <w:rFonts w:ascii="ITC Avant Garde" w:hAnsi="ITC Avant Garde"/>
          <w:sz w:val="22"/>
        </w:rPr>
        <w:lastRenderedPageBreak/>
        <w:t xml:space="preserve">PROPIETARIO, Y/O POSEEDOR, Y/O RESPONSABLE, Y/O ENCARGADO </w:t>
      </w:r>
      <w:r w:rsidR="003508D0" w:rsidRPr="004E27D5">
        <w:rPr>
          <w:rFonts w:ascii="ITC Avant Garde" w:hAnsi="ITC Avant Garde"/>
          <w:sz w:val="22"/>
        </w:rPr>
        <w:t xml:space="preserve">U OCUPANTE </w:t>
      </w:r>
      <w:r w:rsidRPr="004E27D5">
        <w:rPr>
          <w:rFonts w:ascii="ITC Avant Garde" w:hAnsi="ITC Avant Garde"/>
          <w:sz w:val="22"/>
        </w:rPr>
        <w:t>DEL INMUEBLE</w:t>
      </w:r>
      <w:r w:rsidR="00FF0436" w:rsidRPr="004E27D5">
        <w:rPr>
          <w:rFonts w:ascii="ITC Avant Garde" w:hAnsi="ITC Avant Garde"/>
          <w:sz w:val="22"/>
        </w:rPr>
        <w:t xml:space="preserve"> UBICADO EN </w:t>
      </w:r>
      <w:r w:rsidR="000967C8" w:rsidRPr="004E27D5">
        <w:rPr>
          <w:rFonts w:ascii="ITC Avant Garde" w:hAnsi="ITC Avant Garde"/>
          <w:color w:val="0000FF"/>
          <w:sz w:val="22"/>
        </w:rPr>
        <w:t>“CONFIDENCIAL POR LEY”</w:t>
      </w:r>
      <w:r w:rsidR="00FF0436" w:rsidRPr="004E27D5">
        <w:rPr>
          <w:rFonts w:ascii="ITC Avant Garde" w:hAnsi="ITC Avant Garde"/>
          <w:sz w:val="22"/>
        </w:rPr>
        <w:t xml:space="preserve"> Municipio de Valle de Bravo, Estado de México, DONDE SE DETECTARON </w:t>
      </w:r>
      <w:r w:rsidRPr="004E27D5">
        <w:rPr>
          <w:rFonts w:ascii="ITC Avant Garde" w:hAnsi="ITC Avant Garde"/>
          <w:sz w:val="22"/>
        </w:rPr>
        <w:t>LAS INSTALACIONES Y EQUIPOS DE RADIODIFUSIÓN operan</w:t>
      </w:r>
      <w:r w:rsidR="00A026B1" w:rsidRPr="004E27D5">
        <w:rPr>
          <w:rFonts w:ascii="ITC Avant Garde" w:hAnsi="ITC Avant Garde"/>
          <w:sz w:val="22"/>
        </w:rPr>
        <w:t>do</w:t>
      </w:r>
      <w:r w:rsidRPr="004E27D5">
        <w:rPr>
          <w:rFonts w:ascii="ITC Avant Garde" w:hAnsi="ITC Avant Garde"/>
          <w:sz w:val="22"/>
        </w:rPr>
        <w:t xml:space="preserve"> la frecuencia 106.1 </w:t>
      </w:r>
      <w:proofErr w:type="spellStart"/>
      <w:r w:rsidRPr="004E27D5">
        <w:rPr>
          <w:rFonts w:ascii="ITC Avant Garde" w:hAnsi="ITC Avant Garde"/>
          <w:sz w:val="22"/>
        </w:rPr>
        <w:t>Mhz</w:t>
      </w:r>
      <w:proofErr w:type="spellEnd"/>
      <w:r w:rsidRPr="004E27D5">
        <w:rPr>
          <w:rFonts w:ascii="ITC Avant Garde" w:hAnsi="ITC Avant Garde"/>
          <w:sz w:val="22"/>
        </w:rPr>
        <w:t>.</w:t>
      </w:r>
    </w:p>
    <w:p w:rsidR="009B5755" w:rsidRPr="004E27D5" w:rsidRDefault="000967C8" w:rsidP="006702AD">
      <w:pPr>
        <w:spacing w:before="240" w:line="240" w:lineRule="auto"/>
        <w:ind w:right="3168"/>
        <w:jc w:val="both"/>
        <w:rPr>
          <w:rFonts w:ascii="ITC Avant Garde" w:eastAsia="Times New Roman" w:hAnsi="ITC Avant Garde"/>
          <w:b/>
          <w:bCs/>
          <w:color w:val="000000"/>
          <w:lang w:eastAsia="es-MX"/>
        </w:rPr>
      </w:pPr>
      <w:r w:rsidRPr="004E27D5">
        <w:rPr>
          <w:rFonts w:ascii="ITC Avant Garde" w:hAnsi="ITC Avant Garde"/>
          <w:b/>
          <w:color w:val="0000FF"/>
        </w:rPr>
        <w:t>“CONFIDENCIAL POR LEY”</w:t>
      </w:r>
      <w:r w:rsidR="00C9435A" w:rsidRPr="004E27D5">
        <w:rPr>
          <w:rFonts w:ascii="ITC Avant Garde" w:hAnsi="ITC Avant Garde"/>
        </w:rPr>
        <w:t xml:space="preserve">, Municipio de Valle de Bravo, Estado de México, en las inmediaciones de las coordenadas geográficas </w:t>
      </w:r>
      <w:r w:rsidRPr="004E27D5">
        <w:rPr>
          <w:rFonts w:ascii="ITC Avant Garde" w:hAnsi="ITC Avant Garde"/>
          <w:b/>
          <w:color w:val="0000FF"/>
        </w:rPr>
        <w:t>“CONFIDENCIAL POR LEY”</w:t>
      </w:r>
      <w:r w:rsidR="00BA2524" w:rsidRPr="004E27D5">
        <w:rPr>
          <w:rFonts w:ascii="ITC Avant Garde" w:hAnsi="ITC Avant Garde"/>
        </w:rPr>
        <w:t>.</w:t>
      </w:r>
      <w:r w:rsidR="006702AD" w:rsidRPr="004E27D5">
        <w:rPr>
          <w:rFonts w:ascii="ITC Avant Garde" w:eastAsia="Times New Roman" w:hAnsi="ITC Avant Garde"/>
          <w:b/>
          <w:bCs/>
          <w:color w:val="000000"/>
          <w:lang w:eastAsia="es-MX"/>
        </w:rPr>
        <w:t xml:space="preserve"> </w:t>
      </w:r>
    </w:p>
    <w:p w:rsidR="00CD4837" w:rsidRPr="004E27D5" w:rsidRDefault="004C0C2C" w:rsidP="009E7D7C">
      <w:pPr>
        <w:spacing w:before="240" w:line="360" w:lineRule="auto"/>
        <w:jc w:val="both"/>
        <w:rPr>
          <w:rFonts w:ascii="ITC Avant Garde" w:hAnsi="ITC Avant Garde"/>
        </w:rPr>
        <w:sectPr w:rsidR="00CD4837" w:rsidRPr="004E27D5" w:rsidSect="009B5755">
          <w:headerReference w:type="even" r:id="rId8"/>
          <w:headerReference w:type="default" r:id="rId9"/>
          <w:footerReference w:type="default" r:id="rId10"/>
          <w:headerReference w:type="first" r:id="rId11"/>
          <w:pgSz w:w="12240" w:h="15840"/>
          <w:pgMar w:top="1985" w:right="1418" w:bottom="1418" w:left="1418" w:header="709" w:footer="420" w:gutter="0"/>
          <w:cols w:space="708"/>
          <w:docGrid w:linePitch="360"/>
        </w:sectPr>
      </w:pPr>
      <w:r w:rsidRPr="004E27D5">
        <w:rPr>
          <w:rFonts w:ascii="ITC Avant Garde" w:eastAsia="Times New Roman" w:hAnsi="ITC Avant Garde"/>
          <w:b/>
          <w:bCs/>
          <w:color w:val="000000"/>
          <w:lang w:eastAsia="es-MX"/>
        </w:rPr>
        <w:t xml:space="preserve">Ciudad de </w:t>
      </w:r>
      <w:r w:rsidR="00AD7161" w:rsidRPr="004E27D5">
        <w:rPr>
          <w:rFonts w:ascii="ITC Avant Garde" w:eastAsia="Times New Roman" w:hAnsi="ITC Avant Garde"/>
          <w:b/>
          <w:bCs/>
          <w:color w:val="000000"/>
          <w:lang w:eastAsia="es-MX"/>
        </w:rPr>
        <w:t xml:space="preserve">México, a </w:t>
      </w:r>
      <w:r w:rsidR="004379A7" w:rsidRPr="004E27D5">
        <w:rPr>
          <w:rFonts w:ascii="ITC Avant Garde" w:eastAsia="Times New Roman" w:hAnsi="ITC Avant Garde"/>
          <w:b/>
          <w:bCs/>
          <w:color w:val="000000"/>
          <w:lang w:eastAsia="es-MX"/>
        </w:rPr>
        <w:t xml:space="preserve">veintidós </w:t>
      </w:r>
      <w:r w:rsidR="00C9435A" w:rsidRPr="004E27D5">
        <w:rPr>
          <w:rFonts w:ascii="ITC Avant Garde" w:eastAsia="Times New Roman" w:hAnsi="ITC Avant Garde"/>
          <w:b/>
          <w:bCs/>
          <w:color w:val="000000"/>
          <w:lang w:eastAsia="es-MX"/>
        </w:rPr>
        <w:t>de noviembre</w:t>
      </w:r>
      <w:r w:rsidR="00886C54" w:rsidRPr="004E27D5">
        <w:rPr>
          <w:rFonts w:ascii="ITC Avant Garde" w:eastAsia="Times New Roman" w:hAnsi="ITC Avant Garde"/>
          <w:b/>
          <w:bCs/>
          <w:color w:val="000000"/>
          <w:lang w:eastAsia="es-MX"/>
        </w:rPr>
        <w:t xml:space="preserve"> </w:t>
      </w:r>
      <w:r w:rsidR="00330B17" w:rsidRPr="004E27D5">
        <w:rPr>
          <w:rFonts w:ascii="ITC Avant Garde" w:eastAsia="Times New Roman" w:hAnsi="ITC Avant Garde"/>
          <w:b/>
          <w:bCs/>
          <w:color w:val="000000"/>
          <w:lang w:eastAsia="es-MX"/>
        </w:rPr>
        <w:t>de dos mil diecisiete</w:t>
      </w:r>
      <w:r w:rsidR="004F3596" w:rsidRPr="004E27D5">
        <w:rPr>
          <w:rFonts w:ascii="ITC Avant Garde" w:eastAsia="Times New Roman" w:hAnsi="ITC Avant Garde"/>
          <w:b/>
          <w:bCs/>
          <w:color w:val="000000"/>
          <w:lang w:eastAsia="es-MX"/>
        </w:rPr>
        <w:t>.-</w:t>
      </w:r>
      <w:r w:rsidR="004F3596" w:rsidRPr="004E27D5">
        <w:rPr>
          <w:rFonts w:ascii="ITC Avant Garde" w:eastAsia="Times New Roman" w:hAnsi="ITC Avant Garde"/>
          <w:bCs/>
          <w:color w:val="000000"/>
          <w:lang w:eastAsia="es-MX"/>
        </w:rPr>
        <w:t xml:space="preserve"> Visto para resolver el expediente </w:t>
      </w:r>
      <w:r w:rsidR="00E92630" w:rsidRPr="004E27D5">
        <w:rPr>
          <w:rFonts w:ascii="ITC Avant Garde" w:hAnsi="ITC Avant Garde"/>
          <w:b/>
        </w:rPr>
        <w:t>E-IFT.UC.DG-SAN.III.0</w:t>
      </w:r>
      <w:r w:rsidR="00C9435A" w:rsidRPr="004E27D5">
        <w:rPr>
          <w:rFonts w:ascii="ITC Avant Garde" w:hAnsi="ITC Avant Garde"/>
          <w:b/>
        </w:rPr>
        <w:t>2</w:t>
      </w:r>
      <w:r w:rsidR="00E92630" w:rsidRPr="004E27D5">
        <w:rPr>
          <w:rFonts w:ascii="ITC Avant Garde" w:hAnsi="ITC Avant Garde"/>
          <w:b/>
        </w:rPr>
        <w:t>02/2017</w:t>
      </w:r>
      <w:r w:rsidR="004F3596" w:rsidRPr="004E27D5">
        <w:rPr>
          <w:rFonts w:ascii="ITC Avant Garde" w:eastAsia="Times New Roman" w:hAnsi="ITC Avant Garde"/>
          <w:bCs/>
          <w:color w:val="000000"/>
          <w:lang w:eastAsia="es-MX"/>
        </w:rPr>
        <w:t xml:space="preserve">, </w:t>
      </w:r>
      <w:r w:rsidR="007C78F4" w:rsidRPr="004E27D5">
        <w:rPr>
          <w:rFonts w:ascii="ITC Avant Garde" w:eastAsia="Times New Roman" w:hAnsi="ITC Avant Garde"/>
          <w:bCs/>
          <w:color w:val="000000"/>
          <w:lang w:eastAsia="es-MX"/>
        </w:rPr>
        <w:t>formado con motivo del procedimiento administrativo de imposición de sanci</w:t>
      </w:r>
      <w:r w:rsidR="00454263" w:rsidRPr="004E27D5">
        <w:rPr>
          <w:rFonts w:ascii="ITC Avant Garde" w:eastAsia="Times New Roman" w:hAnsi="ITC Avant Garde"/>
          <w:bCs/>
          <w:color w:val="000000"/>
          <w:lang w:eastAsia="es-MX"/>
        </w:rPr>
        <w:t>ones</w:t>
      </w:r>
      <w:r w:rsidR="007C78F4" w:rsidRPr="004E27D5">
        <w:rPr>
          <w:rFonts w:ascii="ITC Avant Garde" w:eastAsia="Times New Roman" w:hAnsi="ITC Avant Garde"/>
          <w:bCs/>
          <w:color w:val="000000"/>
          <w:lang w:eastAsia="es-MX"/>
        </w:rPr>
        <w:t xml:space="preserve"> y declaratoria de pérdida de bienes, instalaciones y equipos en beneficio de la Nación, iniciado mediante acuerdo </w:t>
      </w:r>
      <w:r w:rsidR="00BA2524" w:rsidRPr="004E27D5">
        <w:rPr>
          <w:rFonts w:ascii="ITC Avant Garde" w:eastAsia="Times New Roman" w:hAnsi="ITC Avant Garde"/>
          <w:bCs/>
          <w:color w:val="000000"/>
          <w:lang w:eastAsia="es-MX"/>
        </w:rPr>
        <w:t xml:space="preserve">de </w:t>
      </w:r>
      <w:r w:rsidR="008B3EE0" w:rsidRPr="004E27D5">
        <w:rPr>
          <w:rFonts w:ascii="ITC Avant Garde" w:eastAsia="Times New Roman" w:hAnsi="ITC Avant Garde"/>
          <w:bCs/>
          <w:color w:val="000000"/>
          <w:lang w:eastAsia="es-MX"/>
        </w:rPr>
        <w:t xml:space="preserve">dieciséis de agosto </w:t>
      </w:r>
      <w:r w:rsidR="006C5F05" w:rsidRPr="004E27D5">
        <w:rPr>
          <w:rFonts w:ascii="ITC Avant Garde" w:hAnsi="ITC Avant Garde"/>
        </w:rPr>
        <w:t>de dos mil diecisiete</w:t>
      </w:r>
      <w:r w:rsidR="00170EB3" w:rsidRPr="004E27D5">
        <w:rPr>
          <w:rFonts w:ascii="ITC Avant Garde" w:eastAsia="Times New Roman" w:hAnsi="ITC Avant Garde"/>
          <w:bCs/>
          <w:color w:val="000000"/>
          <w:lang w:eastAsia="es-MX"/>
        </w:rPr>
        <w:t xml:space="preserve"> </w:t>
      </w:r>
      <w:r w:rsidR="00BA2524" w:rsidRPr="004E27D5">
        <w:rPr>
          <w:rFonts w:ascii="ITC Avant Garde" w:eastAsia="Times New Roman" w:hAnsi="ITC Avant Garde"/>
          <w:bCs/>
          <w:color w:val="000000"/>
          <w:lang w:eastAsia="es-MX"/>
        </w:rPr>
        <w:t xml:space="preserve">y notificado el </w:t>
      </w:r>
      <w:r w:rsidR="008B3EE0" w:rsidRPr="004E27D5">
        <w:rPr>
          <w:rFonts w:ascii="ITC Avant Garde" w:eastAsia="Times New Roman" w:hAnsi="ITC Avant Garde"/>
          <w:bCs/>
          <w:color w:val="000000"/>
          <w:lang w:eastAsia="es-MX"/>
        </w:rPr>
        <w:t xml:space="preserve">veintidós </w:t>
      </w:r>
      <w:r w:rsidR="006C5F05" w:rsidRPr="004E27D5">
        <w:rPr>
          <w:rFonts w:ascii="ITC Avant Garde" w:eastAsia="Times New Roman" w:hAnsi="ITC Avant Garde"/>
          <w:bCs/>
          <w:color w:val="000000"/>
          <w:lang w:eastAsia="es-MX"/>
        </w:rPr>
        <w:t xml:space="preserve">de </w:t>
      </w:r>
      <w:r w:rsidR="008B3EE0" w:rsidRPr="004E27D5">
        <w:rPr>
          <w:rFonts w:ascii="ITC Avant Garde" w:eastAsia="Times New Roman" w:hAnsi="ITC Avant Garde"/>
          <w:bCs/>
          <w:color w:val="000000"/>
          <w:lang w:eastAsia="es-MX"/>
        </w:rPr>
        <w:t xml:space="preserve">agosto </w:t>
      </w:r>
      <w:r w:rsidR="00BA2524" w:rsidRPr="004E27D5">
        <w:rPr>
          <w:rFonts w:ascii="ITC Avant Garde" w:eastAsia="Times New Roman" w:hAnsi="ITC Avant Garde"/>
          <w:bCs/>
          <w:color w:val="000000"/>
          <w:lang w:eastAsia="es-MX"/>
        </w:rPr>
        <w:t>del mismo año</w:t>
      </w:r>
      <w:r w:rsidR="00BA2524" w:rsidRPr="004E27D5">
        <w:rPr>
          <w:rFonts w:ascii="Times New Roman" w:hAnsi="Times New Roman"/>
          <w:sz w:val="24"/>
          <w:szCs w:val="24"/>
          <w:lang w:eastAsia="es-MX"/>
        </w:rPr>
        <w:t xml:space="preserve"> </w:t>
      </w:r>
      <w:r w:rsidR="007C78F4" w:rsidRPr="004E27D5">
        <w:rPr>
          <w:rFonts w:ascii="ITC Avant Garde" w:eastAsia="Times New Roman" w:hAnsi="ITC Avant Garde"/>
          <w:bCs/>
          <w:color w:val="000000"/>
          <w:lang w:eastAsia="es-MX"/>
        </w:rPr>
        <w:t>por conducto de la Unidad de Cumplimiento del Instituto Federal de Telecomunicaciones</w:t>
      </w:r>
      <w:r w:rsidR="00322014" w:rsidRPr="004E27D5">
        <w:rPr>
          <w:rFonts w:ascii="ITC Avant Garde" w:eastAsia="Times New Roman" w:hAnsi="ITC Avant Garde"/>
          <w:bCs/>
          <w:color w:val="000000"/>
          <w:lang w:eastAsia="es-MX"/>
        </w:rPr>
        <w:t>, en lo sucesivo</w:t>
      </w:r>
      <w:r w:rsidR="007C78F4" w:rsidRPr="004E27D5">
        <w:rPr>
          <w:rFonts w:ascii="ITC Avant Garde" w:eastAsia="Times New Roman" w:hAnsi="ITC Avant Garde"/>
          <w:bCs/>
          <w:color w:val="000000"/>
          <w:lang w:eastAsia="es-MX"/>
        </w:rPr>
        <w:t xml:space="preserve"> (el</w:t>
      </w:r>
      <w:r w:rsidR="0001709A" w:rsidRPr="004E27D5">
        <w:rPr>
          <w:rFonts w:ascii="ITC Avant Garde" w:eastAsia="Times New Roman" w:hAnsi="ITC Avant Garde"/>
          <w:bCs/>
          <w:color w:val="000000"/>
          <w:lang w:eastAsia="es-MX"/>
        </w:rPr>
        <w:t xml:space="preserve"> </w:t>
      </w:r>
      <w:r w:rsidR="0001709A" w:rsidRPr="004E27D5">
        <w:rPr>
          <w:rFonts w:ascii="ITC Avant Garde" w:eastAsia="Times New Roman" w:hAnsi="ITC Avant Garde"/>
          <w:b/>
          <w:bCs/>
          <w:color w:val="000000"/>
          <w:lang w:eastAsia="es-MX"/>
        </w:rPr>
        <w:t>“IFT”</w:t>
      </w:r>
      <w:r w:rsidR="0001709A" w:rsidRPr="004E27D5">
        <w:rPr>
          <w:rFonts w:ascii="ITC Avant Garde" w:eastAsia="Times New Roman" w:hAnsi="ITC Avant Garde"/>
          <w:bCs/>
          <w:color w:val="000000"/>
          <w:lang w:eastAsia="es-MX"/>
        </w:rPr>
        <w:t xml:space="preserve"> o</w:t>
      </w:r>
      <w:r w:rsidR="007C78F4" w:rsidRPr="004E27D5">
        <w:rPr>
          <w:rFonts w:ascii="ITC Avant Garde" w:eastAsia="Times New Roman" w:hAnsi="ITC Avant Garde"/>
          <w:bCs/>
          <w:color w:val="000000"/>
          <w:lang w:eastAsia="es-MX"/>
        </w:rPr>
        <w:t xml:space="preserve"> </w:t>
      </w:r>
      <w:r w:rsidR="007C78F4" w:rsidRPr="004E27D5">
        <w:rPr>
          <w:rFonts w:ascii="ITC Avant Garde" w:eastAsia="Times New Roman" w:hAnsi="ITC Avant Garde"/>
          <w:b/>
          <w:bCs/>
          <w:color w:val="000000"/>
          <w:lang w:eastAsia="es-MX"/>
        </w:rPr>
        <w:t>“Instituto”</w:t>
      </w:r>
      <w:r w:rsidR="007C78F4" w:rsidRPr="004E27D5">
        <w:rPr>
          <w:rFonts w:ascii="ITC Avant Garde" w:eastAsia="Times New Roman" w:hAnsi="ITC Avant Garde"/>
          <w:bCs/>
          <w:color w:val="000000"/>
          <w:lang w:eastAsia="es-MX"/>
        </w:rPr>
        <w:t xml:space="preserve">), en contra </w:t>
      </w:r>
      <w:r w:rsidR="00D86182" w:rsidRPr="004E27D5">
        <w:rPr>
          <w:rFonts w:ascii="ITC Avant Garde" w:hAnsi="ITC Avant Garde"/>
        </w:rPr>
        <w:t>de</w:t>
      </w:r>
      <w:r w:rsidR="00AC0264" w:rsidRPr="004E27D5">
        <w:rPr>
          <w:rFonts w:ascii="ITC Avant Garde" w:hAnsi="ITC Avant Garde"/>
        </w:rPr>
        <w:t>l</w:t>
      </w:r>
      <w:r w:rsidR="00D86182" w:rsidRPr="004E27D5">
        <w:rPr>
          <w:rFonts w:ascii="ITC Avant Garde" w:hAnsi="ITC Avant Garde"/>
        </w:rPr>
        <w:t xml:space="preserve"> </w:t>
      </w:r>
      <w:r w:rsidR="00C9435A" w:rsidRPr="004E27D5">
        <w:rPr>
          <w:rFonts w:ascii="ITC Avant Garde" w:hAnsi="ITC Avant Garde"/>
          <w:b/>
          <w:caps/>
        </w:rPr>
        <w:t>PROPIETARIO, Y/O POSEEDOR, Y/O RESPONSABLE, Y/O ENCARGADO</w:t>
      </w:r>
      <w:r w:rsidR="008B3EE0" w:rsidRPr="004E27D5">
        <w:rPr>
          <w:rFonts w:ascii="ITC Avant Garde" w:hAnsi="ITC Avant Garde"/>
          <w:b/>
          <w:caps/>
        </w:rPr>
        <w:t xml:space="preserve"> U OCUPANTE </w:t>
      </w:r>
      <w:r w:rsidR="00C9435A" w:rsidRPr="004E27D5">
        <w:rPr>
          <w:rFonts w:ascii="ITC Avant Garde" w:hAnsi="ITC Avant Garde"/>
          <w:b/>
          <w:caps/>
        </w:rPr>
        <w:t>DEL INMUEBLE Y/O DE LAS INSTALACIONES Y EQUIPOS DE RADIODIFUSIÓN</w:t>
      </w:r>
      <w:r w:rsidR="00C9435A" w:rsidRPr="004E27D5">
        <w:rPr>
          <w:rFonts w:ascii="ITC Avant Garde" w:hAnsi="ITC Avant Garde"/>
          <w:b/>
        </w:rPr>
        <w:t xml:space="preserve"> </w:t>
      </w:r>
      <w:r w:rsidR="002C1AD8" w:rsidRPr="004E27D5">
        <w:rPr>
          <w:rFonts w:ascii="ITC Avant Garde" w:hAnsi="ITC Avant Garde"/>
          <w:b/>
        </w:rPr>
        <w:t xml:space="preserve">LOCALIZADOS EN EL DOMICILIO UBICADO EN </w:t>
      </w:r>
      <w:r w:rsidR="00E04264" w:rsidRPr="004E27D5">
        <w:rPr>
          <w:rFonts w:ascii="ITC Avant Garde" w:hAnsi="ITC Avant Garde"/>
          <w:b/>
          <w:color w:val="0000FF"/>
        </w:rPr>
        <w:t>“CONFIDENCIAL POR LEY”</w:t>
      </w:r>
      <w:r w:rsidR="00C9435A" w:rsidRPr="004E27D5">
        <w:rPr>
          <w:rFonts w:ascii="ITC Avant Garde" w:hAnsi="ITC Avant Garde"/>
          <w:b/>
        </w:rPr>
        <w:t xml:space="preserve">, MUNICIPIO DE VALLE DE BRAVO, ESTADO DE MÉXICO, EN LAS INMEDIACIONES DE LAS COORDENADAS GEOGRÁFICAS </w:t>
      </w:r>
      <w:r w:rsidR="00E04264" w:rsidRPr="004E27D5">
        <w:rPr>
          <w:rFonts w:ascii="ITC Avant Garde" w:hAnsi="ITC Avant Garde"/>
          <w:b/>
          <w:color w:val="0000FF"/>
        </w:rPr>
        <w:t>“CONFIDENCIAL POR LEY”</w:t>
      </w:r>
      <w:r w:rsidR="008B3EE0" w:rsidRPr="004E27D5">
        <w:rPr>
          <w:rFonts w:ascii="ITC Avant Garde" w:hAnsi="ITC Avant Garde"/>
          <w:b/>
        </w:rPr>
        <w:t>,</w:t>
      </w:r>
      <w:r w:rsidR="00C9435A" w:rsidRPr="004E27D5">
        <w:rPr>
          <w:rFonts w:ascii="ITC Avant Garde" w:hAnsi="ITC Avant Garde"/>
          <w:b/>
        </w:rPr>
        <w:t xml:space="preserve"> </w:t>
      </w:r>
      <w:r w:rsidR="002C1AD8" w:rsidRPr="004E27D5">
        <w:rPr>
          <w:rFonts w:ascii="ITC Avant Garde" w:hAnsi="ITC Avant Garde"/>
          <w:b/>
        </w:rPr>
        <w:t xml:space="preserve">LUGAR EN EL QUE SE DETECTARON LAS INSTALACIONES DE UNA ESTACIÓN DE RADIODIFUSIÓN, OPERANDO LA FRECUENCIA </w:t>
      </w:r>
      <w:r w:rsidR="00C9435A" w:rsidRPr="004E27D5">
        <w:rPr>
          <w:rFonts w:ascii="ITC Avant Garde" w:hAnsi="ITC Avant Garde"/>
          <w:b/>
          <w:caps/>
        </w:rPr>
        <w:t xml:space="preserve">106.1 </w:t>
      </w:r>
      <w:r w:rsidR="002C1AD8" w:rsidRPr="004E27D5">
        <w:rPr>
          <w:rFonts w:ascii="ITC Avant Garde" w:hAnsi="ITC Avant Garde"/>
          <w:b/>
        </w:rPr>
        <w:t>MHZ,</w:t>
      </w:r>
      <w:r w:rsidR="00FD133D" w:rsidRPr="004E27D5">
        <w:rPr>
          <w:rFonts w:ascii="ITC Avant Garde" w:hAnsi="ITC Avant Garde"/>
          <w:b/>
          <w:caps/>
        </w:rPr>
        <w:t xml:space="preserve"> </w:t>
      </w:r>
      <w:r w:rsidR="00FD133D" w:rsidRPr="004E27D5">
        <w:rPr>
          <w:rFonts w:ascii="ITC Avant Garde" w:hAnsi="ITC Avant Garde"/>
        </w:rPr>
        <w:t>en lo sucesivo, el</w:t>
      </w:r>
      <w:r w:rsidR="00FD133D" w:rsidRPr="004E27D5">
        <w:rPr>
          <w:rFonts w:ascii="ITC Avant Garde" w:hAnsi="ITC Avant Garde"/>
          <w:caps/>
        </w:rPr>
        <w:t xml:space="preserve"> </w:t>
      </w:r>
      <w:r w:rsidR="00FD133D" w:rsidRPr="004E27D5">
        <w:rPr>
          <w:rFonts w:ascii="ITC Avant Garde" w:hAnsi="ITC Avant Garde"/>
          <w:b/>
          <w:caps/>
        </w:rPr>
        <w:t>“presunto responsable”</w:t>
      </w:r>
      <w:r w:rsidR="00ED49D4" w:rsidRPr="004E27D5">
        <w:rPr>
          <w:rFonts w:ascii="ITC Avant Garde" w:hAnsi="ITC Avant Garde"/>
          <w:b/>
        </w:rPr>
        <w:t>,</w:t>
      </w:r>
      <w:r w:rsidR="00D27FF5" w:rsidRPr="004E27D5">
        <w:rPr>
          <w:rFonts w:ascii="ITC Avant Garde" w:hAnsi="ITC Avant Garde" w:cs="Arial"/>
          <w:b/>
        </w:rPr>
        <w:t xml:space="preserve"> </w:t>
      </w:r>
      <w:r w:rsidR="007C78F4" w:rsidRPr="004E27D5">
        <w:rPr>
          <w:rFonts w:ascii="ITC Avant Garde" w:hAnsi="ITC Avant Garde"/>
        </w:rPr>
        <w:t>por l</w:t>
      </w:r>
      <w:r w:rsidR="00454263" w:rsidRPr="004E27D5">
        <w:rPr>
          <w:rFonts w:ascii="ITC Avant Garde" w:hAnsi="ITC Avant Garde"/>
        </w:rPr>
        <w:t>a</w:t>
      </w:r>
      <w:r w:rsidR="007C78F4" w:rsidRPr="004E27D5">
        <w:rPr>
          <w:rFonts w:ascii="ITC Avant Garde" w:hAnsi="ITC Avant Garde"/>
        </w:rPr>
        <w:t xml:space="preserve"> pr</w:t>
      </w:r>
      <w:r w:rsidR="00454263" w:rsidRPr="004E27D5">
        <w:rPr>
          <w:rFonts w:ascii="ITC Avant Garde" w:hAnsi="ITC Avant Garde"/>
        </w:rPr>
        <w:t>esunta infracción a</w:t>
      </w:r>
      <w:r w:rsidR="007C78F4" w:rsidRPr="004E27D5">
        <w:rPr>
          <w:rFonts w:ascii="ITC Avant Garde" w:hAnsi="ITC Avant Garde"/>
        </w:rPr>
        <w:t>l artículo 66</w:t>
      </w:r>
      <w:r w:rsidR="00B8119C" w:rsidRPr="004E27D5">
        <w:rPr>
          <w:rFonts w:ascii="ITC Avant Garde" w:hAnsi="ITC Avant Garde"/>
        </w:rPr>
        <w:t xml:space="preserve"> en relación con el </w:t>
      </w:r>
      <w:r w:rsidR="00690BE9" w:rsidRPr="004E27D5">
        <w:rPr>
          <w:rFonts w:ascii="ITC Avant Garde" w:hAnsi="ITC Avant Garde"/>
        </w:rPr>
        <w:t>75</w:t>
      </w:r>
      <w:r w:rsidR="00B8119C" w:rsidRPr="004E27D5">
        <w:rPr>
          <w:rFonts w:ascii="ITC Avant Garde" w:hAnsi="ITC Avant Garde"/>
        </w:rPr>
        <w:t>,</w:t>
      </w:r>
      <w:r w:rsidR="007C78F4" w:rsidRPr="004E27D5">
        <w:rPr>
          <w:rFonts w:ascii="ITC Avant Garde" w:hAnsi="ITC Avant Garde"/>
        </w:rPr>
        <w:t xml:space="preserve"> y </w:t>
      </w:r>
      <w:r w:rsidR="00454263" w:rsidRPr="004E27D5">
        <w:rPr>
          <w:rFonts w:ascii="ITC Avant Garde" w:hAnsi="ITC Avant Garde"/>
        </w:rPr>
        <w:t xml:space="preserve">la probable </w:t>
      </w:r>
      <w:r w:rsidR="007C78F4" w:rsidRPr="004E27D5">
        <w:rPr>
          <w:rFonts w:ascii="ITC Avant Garde" w:hAnsi="ITC Avant Garde"/>
        </w:rPr>
        <w:t xml:space="preserve">actualización de la hipótesis normativa prevista en el artículo 305, </w:t>
      </w:r>
      <w:r w:rsidR="00B8119C" w:rsidRPr="004E27D5">
        <w:rPr>
          <w:rFonts w:ascii="ITC Avant Garde" w:hAnsi="ITC Avant Garde"/>
        </w:rPr>
        <w:t>tod</w:t>
      </w:r>
      <w:r w:rsidR="007C78F4" w:rsidRPr="004E27D5">
        <w:rPr>
          <w:rFonts w:ascii="ITC Avant Garde" w:hAnsi="ITC Avant Garde"/>
        </w:rPr>
        <w:t>os de la Ley Federal de Telecomunicaciones y Radiodifusión (la “</w:t>
      </w:r>
      <w:r w:rsidR="006310EA" w:rsidRPr="004E27D5">
        <w:rPr>
          <w:rFonts w:ascii="ITC Avant Garde" w:hAnsi="ITC Avant Garde"/>
          <w:b/>
        </w:rPr>
        <w:t>LFTR</w:t>
      </w:r>
      <w:r w:rsidR="007C78F4" w:rsidRPr="004E27D5">
        <w:rPr>
          <w:rFonts w:ascii="ITC Avant Garde" w:hAnsi="ITC Avant Garde"/>
          <w:b/>
        </w:rPr>
        <w:t>”</w:t>
      </w:r>
      <w:r w:rsidR="007C78F4" w:rsidRPr="004E27D5">
        <w:rPr>
          <w:rFonts w:ascii="ITC Avant Garde" w:hAnsi="ITC Avant Garde"/>
        </w:rPr>
        <w:t>). Al respecto, se emite la presente Resolución de conformidad con lo siguiente, y</w:t>
      </w:r>
    </w:p>
    <w:p w:rsidR="009E7D7C" w:rsidRPr="004E27D5" w:rsidRDefault="004F3596" w:rsidP="00A46B94">
      <w:pPr>
        <w:pStyle w:val="Ttulo2"/>
        <w:spacing w:after="240"/>
        <w:jc w:val="center"/>
        <w:rPr>
          <w:rFonts w:ascii="ITC Avant Garde" w:eastAsiaTheme="majorEastAsia" w:hAnsi="ITC Avant Garde" w:cstheme="majorBidi"/>
          <w:b/>
          <w:color w:val="000000" w:themeColor="text1"/>
          <w:sz w:val="22"/>
          <w:szCs w:val="22"/>
        </w:rPr>
      </w:pPr>
      <w:r w:rsidRPr="004E27D5">
        <w:rPr>
          <w:rFonts w:ascii="ITC Avant Garde" w:eastAsiaTheme="majorEastAsia" w:hAnsi="ITC Avant Garde" w:cstheme="majorBidi"/>
          <w:b/>
          <w:color w:val="000000" w:themeColor="text1"/>
          <w:sz w:val="22"/>
          <w:szCs w:val="22"/>
        </w:rPr>
        <w:lastRenderedPageBreak/>
        <w:t>RESULTANDO</w:t>
      </w:r>
    </w:p>
    <w:p w:rsidR="009E7D7C" w:rsidRPr="004E27D5" w:rsidRDefault="002C1AD8" w:rsidP="00D22742">
      <w:pPr>
        <w:spacing w:after="0" w:line="360" w:lineRule="auto"/>
        <w:jc w:val="both"/>
        <w:rPr>
          <w:rFonts w:ascii="ITC Avant Garde" w:hAnsi="ITC Avant Garde"/>
        </w:rPr>
      </w:pPr>
      <w:r w:rsidRPr="004E27D5">
        <w:rPr>
          <w:rFonts w:ascii="ITC Avant Garde" w:eastAsia="Times New Roman" w:hAnsi="ITC Avant Garde"/>
          <w:b/>
          <w:bCs/>
          <w:color w:val="000000"/>
          <w:lang w:eastAsia="es-MX"/>
        </w:rPr>
        <w:t>PRIMERO</w:t>
      </w:r>
      <w:r w:rsidRPr="004E27D5">
        <w:rPr>
          <w:rFonts w:ascii="ITC Avant Garde" w:eastAsia="Times New Roman" w:hAnsi="ITC Avant Garde"/>
          <w:bCs/>
          <w:color w:val="000000"/>
          <w:lang w:eastAsia="es-MX"/>
        </w:rPr>
        <w:t>.</w:t>
      </w:r>
      <w:r w:rsidR="005B47C4" w:rsidRPr="004E27D5">
        <w:rPr>
          <w:rFonts w:ascii="ITC Avant Garde" w:hAnsi="ITC Avant Garde"/>
          <w:b/>
        </w:rPr>
        <w:t xml:space="preserve"> </w:t>
      </w:r>
      <w:r w:rsidR="00D22742" w:rsidRPr="004E27D5">
        <w:rPr>
          <w:rFonts w:ascii="ITC Avant Garde" w:hAnsi="ITC Avant Garde"/>
        </w:rPr>
        <w:t>En ejercicio de las atribuciones conferidas en el artículo 43, fracción III del Estatuto Orgánico del Instituto Federal de Telecomunicaciones y en cumplimiento a su Programa de Trabajo 201</w:t>
      </w:r>
      <w:r w:rsidR="00EE4EB7" w:rsidRPr="004E27D5">
        <w:rPr>
          <w:rFonts w:ascii="ITC Avant Garde" w:hAnsi="ITC Avant Garde"/>
        </w:rPr>
        <w:t>7</w:t>
      </w:r>
      <w:r w:rsidR="00D22742" w:rsidRPr="004E27D5">
        <w:rPr>
          <w:rFonts w:ascii="ITC Avant Garde" w:hAnsi="ITC Avant Garde"/>
        </w:rPr>
        <w:t>, la Dirección General de Verificación dependiente de la Unidad de Cumplimiento del Instituto Federal de Telecomunicaciones (en adelante la “</w:t>
      </w:r>
      <w:r w:rsidR="00D22742" w:rsidRPr="004E27D5">
        <w:rPr>
          <w:rFonts w:ascii="ITC Avant Garde" w:hAnsi="ITC Avant Garde"/>
          <w:b/>
        </w:rPr>
        <w:t>DGV</w:t>
      </w:r>
      <w:r w:rsidR="00D22742" w:rsidRPr="004E27D5">
        <w:rPr>
          <w:rFonts w:ascii="ITC Avant Garde" w:hAnsi="ITC Avant Garde"/>
        </w:rPr>
        <w:t xml:space="preserve">”), </w:t>
      </w:r>
      <w:r w:rsidR="00851215" w:rsidRPr="004E27D5">
        <w:rPr>
          <w:rFonts w:ascii="ITC Avant Garde" w:hAnsi="ITC Avant Garde"/>
        </w:rPr>
        <w:t xml:space="preserve">mediante oficio IFT/225/UC/DG-VER/693/2017 </w:t>
      </w:r>
      <w:r w:rsidR="001F72B2" w:rsidRPr="004E27D5">
        <w:rPr>
          <w:rFonts w:ascii="ITC Avant Garde" w:hAnsi="ITC Avant Garde"/>
        </w:rPr>
        <w:t xml:space="preserve">de quince de marzo de dos mil diecisiete, </w:t>
      </w:r>
      <w:r w:rsidR="00D22742" w:rsidRPr="004E27D5">
        <w:rPr>
          <w:rFonts w:ascii="ITC Avant Garde" w:hAnsi="ITC Avant Garde"/>
        </w:rPr>
        <w:t xml:space="preserve">emitió la orden de inspección-verificación </w:t>
      </w:r>
      <w:r w:rsidR="00D22742" w:rsidRPr="004E27D5">
        <w:rPr>
          <w:rFonts w:ascii="ITC Avant Garde" w:hAnsi="ITC Avant Garde"/>
          <w:b/>
        </w:rPr>
        <w:t>IFT/UC/DG-VER/054/2017</w:t>
      </w:r>
      <w:r w:rsidR="00D22742" w:rsidRPr="004E27D5">
        <w:rPr>
          <w:rFonts w:ascii="ITC Avant Garde" w:hAnsi="ITC Avant Garde"/>
        </w:rPr>
        <w:t>, dirigida al “</w:t>
      </w:r>
      <w:r w:rsidR="00D22742" w:rsidRPr="004E27D5">
        <w:rPr>
          <w:rFonts w:ascii="ITC Avant Garde" w:hAnsi="ITC Avant Garde" w:cs="Arial"/>
        </w:rPr>
        <w:t xml:space="preserve">PROPIETARIO, Y/O POSEEDOR Y/O RESPONSABLE, Y/O ENCARGADO DEL INMUEBLE UBICADO EN: </w:t>
      </w:r>
      <w:r w:rsidR="00E04264" w:rsidRPr="004E27D5">
        <w:rPr>
          <w:rFonts w:ascii="ITC Avant Garde" w:hAnsi="ITC Avant Garde" w:cs="Arial"/>
          <w:b/>
          <w:color w:val="0000FF"/>
        </w:rPr>
        <w:t>“CONFIDENCIAL POR LEY”</w:t>
      </w:r>
      <w:r w:rsidR="00D22742" w:rsidRPr="004E27D5">
        <w:rPr>
          <w:rFonts w:ascii="ITC Avant Garde" w:hAnsi="ITC Avant Garde" w:cs="Arial"/>
        </w:rPr>
        <w:t xml:space="preserve"> Municipio de Valle de Bravo, Estado de México, así como de las instalaciones y equipos de radiodifusión localizados en el mismo”</w:t>
      </w:r>
      <w:r w:rsidR="00D22742" w:rsidRPr="004E27D5">
        <w:rPr>
          <w:rFonts w:ascii="ITC Avant Garde" w:hAnsi="ITC Avant Garde"/>
        </w:rPr>
        <w:t>.</w:t>
      </w:r>
    </w:p>
    <w:p w:rsidR="009E7D7C" w:rsidRPr="004E27D5" w:rsidRDefault="00160D6B" w:rsidP="007E4E5F">
      <w:pPr>
        <w:spacing w:after="0" w:line="360" w:lineRule="auto"/>
        <w:jc w:val="both"/>
        <w:rPr>
          <w:rFonts w:ascii="ITC Avant Garde" w:hAnsi="ITC Avant Garde" w:cs="Tahoma"/>
        </w:rPr>
      </w:pPr>
      <w:r w:rsidRPr="004E27D5">
        <w:rPr>
          <w:rFonts w:ascii="ITC Avant Garde" w:eastAsia="Times New Roman" w:hAnsi="ITC Avant Garde"/>
          <w:b/>
          <w:bCs/>
          <w:color w:val="000000"/>
          <w:lang w:eastAsia="es-MX"/>
        </w:rPr>
        <w:t>SEGUNDO</w:t>
      </w:r>
      <w:r w:rsidR="00FD444F" w:rsidRPr="004E27D5">
        <w:rPr>
          <w:rFonts w:ascii="ITC Avant Garde" w:eastAsia="Times New Roman" w:hAnsi="ITC Avant Garde"/>
          <w:b/>
          <w:bCs/>
          <w:color w:val="000000"/>
          <w:lang w:eastAsia="es-MX"/>
        </w:rPr>
        <w:t xml:space="preserve">. </w:t>
      </w:r>
      <w:r w:rsidR="00FD444F" w:rsidRPr="004E27D5">
        <w:rPr>
          <w:rFonts w:ascii="ITC Avant Garde" w:hAnsi="ITC Avant Garde" w:cs="Tahoma"/>
        </w:rPr>
        <w:t xml:space="preserve">En consecuencia, </w:t>
      </w:r>
      <w:r w:rsidR="00F96806" w:rsidRPr="004E27D5">
        <w:rPr>
          <w:rFonts w:ascii="ITC Avant Garde" w:hAnsi="ITC Avant Garde" w:cs="Tahoma"/>
        </w:rPr>
        <w:t xml:space="preserve">una vez llevado a cabo el </w:t>
      </w:r>
      <w:r w:rsidR="00EE4EB7" w:rsidRPr="004E27D5">
        <w:rPr>
          <w:rFonts w:ascii="ITC Avant Garde" w:hAnsi="ITC Avant Garde" w:cs="Tahoma"/>
        </w:rPr>
        <w:t xml:space="preserve">monitoreo del espectro realizado al efecto, </w:t>
      </w:r>
      <w:r w:rsidR="00FD444F" w:rsidRPr="004E27D5">
        <w:rPr>
          <w:rFonts w:ascii="ITC Avant Garde" w:hAnsi="ITC Avant Garde" w:cs="Tahoma"/>
        </w:rPr>
        <w:t xml:space="preserve">el dieciséis de marzo de dos mil diecisiete, los inspectores-verificadores de telecomunicaciones y radiodifusión adscritos a la </w:t>
      </w:r>
      <w:r w:rsidR="00FD444F" w:rsidRPr="004E27D5">
        <w:rPr>
          <w:rFonts w:ascii="ITC Avant Garde" w:hAnsi="ITC Avant Garde" w:cs="Tahoma"/>
          <w:b/>
        </w:rPr>
        <w:t xml:space="preserve">DGV </w:t>
      </w:r>
      <w:r w:rsidR="00FD444F" w:rsidRPr="004E27D5">
        <w:rPr>
          <w:rFonts w:ascii="ITC Avant Garde" w:hAnsi="ITC Avant Garde" w:cs="Tahoma"/>
        </w:rPr>
        <w:t>(en adelante “</w:t>
      </w:r>
      <w:r w:rsidR="00FD444F" w:rsidRPr="004E27D5">
        <w:rPr>
          <w:rFonts w:ascii="ITC Avant Garde" w:hAnsi="ITC Avant Garde" w:cs="Tahoma"/>
          <w:b/>
        </w:rPr>
        <w:t>LOS VERIFICADORES</w:t>
      </w:r>
      <w:r w:rsidR="00FD444F" w:rsidRPr="004E27D5">
        <w:rPr>
          <w:rFonts w:ascii="ITC Avant Garde" w:hAnsi="ITC Avant Garde" w:cs="Tahoma"/>
        </w:rPr>
        <w:t>”),</w:t>
      </w:r>
      <w:r w:rsidR="00B22DCA" w:rsidRPr="004E27D5">
        <w:rPr>
          <w:rFonts w:ascii="ITC Avant Garde" w:hAnsi="ITC Avant Garde" w:cs="Tahoma"/>
        </w:rPr>
        <w:t xml:space="preserve"> realizaron la comisión de verificación a la visitada y levantaron el acta de verificación ordinaria número</w:t>
      </w:r>
      <w:r w:rsidR="00FD444F" w:rsidRPr="004E27D5">
        <w:rPr>
          <w:rFonts w:ascii="ITC Avant Garde" w:hAnsi="ITC Avant Garde"/>
        </w:rPr>
        <w:t xml:space="preserve"> </w:t>
      </w:r>
      <w:r w:rsidR="00FD444F" w:rsidRPr="004E27D5">
        <w:rPr>
          <w:rFonts w:ascii="ITC Avant Garde" w:hAnsi="ITC Avant Garde"/>
          <w:b/>
        </w:rPr>
        <w:t xml:space="preserve">IFT/UC/DG-VER/054/2017 </w:t>
      </w:r>
      <w:r w:rsidR="00B22DCA" w:rsidRPr="004E27D5">
        <w:rPr>
          <w:rFonts w:ascii="ITC Avant Garde" w:hAnsi="ITC Avant Garde"/>
        </w:rPr>
        <w:t xml:space="preserve">en el inmueble ubicado en </w:t>
      </w:r>
      <w:r w:rsidR="00E04264" w:rsidRPr="004E27D5">
        <w:rPr>
          <w:rFonts w:ascii="ITC Avant Garde" w:hAnsi="ITC Avant Garde"/>
          <w:b/>
          <w:color w:val="0000FF"/>
        </w:rPr>
        <w:t>“CONFIDENCIAL POR LEY”</w:t>
      </w:r>
      <w:r w:rsidR="00B22DCA" w:rsidRPr="004E27D5">
        <w:rPr>
          <w:rFonts w:ascii="ITC Avant Garde" w:hAnsi="ITC Avant Garde"/>
          <w:color w:val="0000FF"/>
        </w:rPr>
        <w:t xml:space="preserve"> </w:t>
      </w:r>
      <w:r w:rsidR="00B22DCA" w:rsidRPr="004E27D5">
        <w:rPr>
          <w:rFonts w:ascii="ITC Avant Garde" w:hAnsi="ITC Avant Garde"/>
        </w:rPr>
        <w:t>Municipio de Valle de Bravo, Estado de México</w:t>
      </w:r>
      <w:r w:rsidR="007E4E5F" w:rsidRPr="004E27D5">
        <w:rPr>
          <w:rFonts w:ascii="ITC Avant Garde" w:hAnsi="ITC Avant Garde"/>
        </w:rPr>
        <w:t>.</w:t>
      </w:r>
    </w:p>
    <w:p w:rsidR="009E7D7C" w:rsidRPr="004E27D5" w:rsidRDefault="00D73FC6" w:rsidP="00C363C5">
      <w:pPr>
        <w:spacing w:after="0" w:line="360" w:lineRule="auto"/>
        <w:jc w:val="both"/>
        <w:rPr>
          <w:rFonts w:ascii="ITC Avant Garde" w:hAnsi="ITC Avant Garde"/>
        </w:rPr>
      </w:pPr>
      <w:r w:rsidRPr="004E27D5">
        <w:rPr>
          <w:rFonts w:ascii="ITC Avant Garde" w:hAnsi="ITC Avant Garde" w:cs="Tahoma"/>
          <w:b/>
        </w:rPr>
        <w:t>TERCERO</w:t>
      </w:r>
      <w:r w:rsidR="00DC6923" w:rsidRPr="004E27D5">
        <w:rPr>
          <w:rFonts w:ascii="ITC Avant Garde" w:hAnsi="ITC Avant Garde" w:cs="Tahoma"/>
          <w:b/>
        </w:rPr>
        <w:t xml:space="preserve">. </w:t>
      </w:r>
      <w:r w:rsidR="00C72DDE" w:rsidRPr="004E27D5">
        <w:rPr>
          <w:rFonts w:ascii="ITC Avant Garde" w:hAnsi="ITC Avant Garde" w:cs="Tahoma"/>
        </w:rPr>
        <w:t xml:space="preserve">Dentro del acta de verificación </w:t>
      </w:r>
      <w:r w:rsidR="00C93EA0" w:rsidRPr="004E27D5">
        <w:rPr>
          <w:rFonts w:ascii="ITC Avant Garde" w:hAnsi="ITC Avant Garde" w:cs="Tahoma"/>
        </w:rPr>
        <w:t xml:space="preserve">ordinaria número </w:t>
      </w:r>
      <w:r w:rsidR="004B32BD" w:rsidRPr="004E27D5">
        <w:rPr>
          <w:rFonts w:ascii="ITC Avant Garde" w:hAnsi="ITC Avant Garde"/>
          <w:b/>
        </w:rPr>
        <w:t>IFT/UC/DG-VER/054/2017</w:t>
      </w:r>
      <w:r w:rsidR="00C93EA0" w:rsidRPr="004E27D5">
        <w:rPr>
          <w:rFonts w:ascii="ITC Avant Garde" w:hAnsi="ITC Avant Garde" w:cs="Tahoma"/>
        </w:rPr>
        <w:t xml:space="preserve">, </w:t>
      </w:r>
      <w:r w:rsidR="00C72DDE" w:rsidRPr="004E27D5">
        <w:rPr>
          <w:rFonts w:ascii="ITC Avant Garde" w:hAnsi="ITC Avant Garde" w:cs="Tahoma"/>
          <w:b/>
        </w:rPr>
        <w:t>LOS VERIFICADORES</w:t>
      </w:r>
      <w:r w:rsidR="00C72DDE" w:rsidRPr="004E27D5">
        <w:rPr>
          <w:rFonts w:ascii="ITC Avant Garde" w:hAnsi="ITC Avant Garde" w:cs="Tahoma"/>
        </w:rPr>
        <w:t xml:space="preserve">, hicieron constar </w:t>
      </w:r>
      <w:r w:rsidR="00C363C5" w:rsidRPr="004E27D5">
        <w:rPr>
          <w:rFonts w:ascii="ITC Avant Garde" w:hAnsi="ITC Avant Garde" w:cs="Tahoma"/>
        </w:rPr>
        <w:t>que</w:t>
      </w:r>
      <w:r w:rsidR="00C72DDE" w:rsidRPr="004E27D5">
        <w:rPr>
          <w:rFonts w:ascii="ITC Avant Garde" w:hAnsi="ITC Avant Garde" w:cs="Tahoma"/>
        </w:rPr>
        <w:t xml:space="preserve"> </w:t>
      </w:r>
      <w:r w:rsidR="00C93EA0" w:rsidRPr="004E27D5">
        <w:rPr>
          <w:rFonts w:ascii="ITC Avant Garde" w:hAnsi="ITC Avant Garde" w:cs="Tahoma"/>
        </w:rPr>
        <w:t>en el inmueble</w:t>
      </w:r>
      <w:r w:rsidR="00C363C5" w:rsidRPr="004E27D5">
        <w:rPr>
          <w:rFonts w:ascii="ITC Avant Garde" w:hAnsi="ITC Avant Garde" w:cs="Tahoma"/>
        </w:rPr>
        <w:t xml:space="preserve"> citado </w:t>
      </w:r>
      <w:r w:rsidR="00C363C5" w:rsidRPr="004E27D5">
        <w:rPr>
          <w:rFonts w:ascii="ITC Avant Garde" w:hAnsi="ITC Avant Garde"/>
        </w:rPr>
        <w:t xml:space="preserve">se detectaron equipos de radiodifusión operando la frecuencia </w:t>
      </w:r>
      <w:r w:rsidR="00C9435A" w:rsidRPr="004E27D5">
        <w:rPr>
          <w:rFonts w:ascii="ITC Avant Garde" w:hAnsi="ITC Avant Garde"/>
          <w:b/>
          <w:caps/>
        </w:rPr>
        <w:t>106.1</w:t>
      </w:r>
      <w:r w:rsidR="00590C06" w:rsidRPr="004E27D5">
        <w:rPr>
          <w:rFonts w:ascii="ITC Avant Garde" w:hAnsi="ITC Avant Garde"/>
          <w:b/>
        </w:rPr>
        <w:t xml:space="preserve"> MHz</w:t>
      </w:r>
      <w:r w:rsidR="00C363C5" w:rsidRPr="004E27D5">
        <w:rPr>
          <w:rFonts w:ascii="ITC Avant Garde" w:hAnsi="ITC Avant Garde"/>
        </w:rPr>
        <w:t xml:space="preserve">. Asimismo, se asentó que la diligencia fue atendida por una persona del sexo masculino </w:t>
      </w:r>
      <w:r w:rsidR="00851215" w:rsidRPr="004E27D5">
        <w:rPr>
          <w:rFonts w:ascii="ITC Avant Garde" w:hAnsi="ITC Avant Garde"/>
        </w:rPr>
        <w:t xml:space="preserve">quien se negó a dar su nombre </w:t>
      </w:r>
      <w:r w:rsidR="00851215" w:rsidRPr="004E27D5">
        <w:rPr>
          <w:rFonts w:ascii="ITC Avant Garde" w:hAnsi="ITC Avant Garde" w:cs="Arial"/>
        </w:rPr>
        <w:t>y a proporcionar identificación alguna</w:t>
      </w:r>
      <w:r w:rsidR="00C363C5" w:rsidRPr="004E27D5">
        <w:rPr>
          <w:rFonts w:ascii="ITC Avant Garde" w:hAnsi="ITC Avant Garde"/>
        </w:rPr>
        <w:t xml:space="preserve">, por lo que </w:t>
      </w:r>
      <w:r w:rsidR="00C363C5" w:rsidRPr="004E27D5">
        <w:rPr>
          <w:rFonts w:ascii="ITC Avant Garde" w:hAnsi="ITC Avant Garde"/>
          <w:b/>
        </w:rPr>
        <w:t xml:space="preserve">LOS VERIFICADORES </w:t>
      </w:r>
      <w:r w:rsidR="00C363C5" w:rsidRPr="004E27D5">
        <w:rPr>
          <w:rFonts w:ascii="ITC Avant Garde" w:hAnsi="ITC Avant Garde"/>
        </w:rPr>
        <w:t xml:space="preserve">asentaron su media filiación y ante la negativa de designar testigos de asistencia, </w:t>
      </w:r>
      <w:r w:rsidR="00C363C5" w:rsidRPr="004E27D5">
        <w:rPr>
          <w:rFonts w:ascii="ITC Avant Garde" w:hAnsi="ITC Avant Garde"/>
          <w:b/>
        </w:rPr>
        <w:t xml:space="preserve">LOS VERIFICADORES </w:t>
      </w:r>
      <w:r w:rsidR="00C363C5" w:rsidRPr="004E27D5">
        <w:rPr>
          <w:rFonts w:ascii="ITC Avant Garde" w:hAnsi="ITC Avant Garde"/>
        </w:rPr>
        <w:t>nombraron a</w:t>
      </w:r>
      <w:r w:rsidR="00C363C5" w:rsidRPr="004E27D5">
        <w:rPr>
          <w:rFonts w:ascii="ITC Avant Garde" w:hAnsi="ITC Avant Garde" w:cs="Tahoma"/>
        </w:rPr>
        <w:t xml:space="preserve"> los CC.</w:t>
      </w:r>
      <w:r w:rsidR="00C363C5" w:rsidRPr="004E27D5">
        <w:rPr>
          <w:rFonts w:ascii="ITC Avant Garde" w:hAnsi="ITC Avant Garde"/>
          <w:b/>
        </w:rPr>
        <w:t xml:space="preserve"> </w:t>
      </w:r>
      <w:r w:rsidR="00851215" w:rsidRPr="004E27D5">
        <w:rPr>
          <w:rFonts w:ascii="ITC Avant Garde" w:hAnsi="ITC Avant Garde"/>
          <w:b/>
        </w:rPr>
        <w:t xml:space="preserve">Daniel Pérez Mérida </w:t>
      </w:r>
      <w:r w:rsidR="00851215" w:rsidRPr="004E27D5">
        <w:rPr>
          <w:rFonts w:ascii="ITC Avant Garde" w:hAnsi="ITC Avant Garde"/>
        </w:rPr>
        <w:t xml:space="preserve">y </w:t>
      </w:r>
      <w:r w:rsidR="00851215" w:rsidRPr="004E27D5">
        <w:rPr>
          <w:rFonts w:ascii="ITC Avant Garde" w:hAnsi="ITC Avant Garde"/>
          <w:b/>
        </w:rPr>
        <w:t>Adonay Vega Estrada</w:t>
      </w:r>
      <w:r w:rsidR="00C363C5" w:rsidRPr="004E27D5">
        <w:rPr>
          <w:rFonts w:ascii="ITC Avant Garde" w:hAnsi="ITC Avant Garde"/>
          <w:b/>
        </w:rPr>
        <w:t xml:space="preserve">, </w:t>
      </w:r>
      <w:r w:rsidR="00C363C5" w:rsidRPr="004E27D5">
        <w:rPr>
          <w:rFonts w:ascii="ITC Avant Garde" w:hAnsi="ITC Avant Garde" w:cs="Tahoma"/>
        </w:rPr>
        <w:t>quienes aceptaron el cargo conferido.</w:t>
      </w:r>
    </w:p>
    <w:p w:rsidR="009E7D7C" w:rsidRPr="004E27D5" w:rsidRDefault="00D73FC6" w:rsidP="00C363C5">
      <w:pPr>
        <w:pStyle w:val="Textoindependiente"/>
        <w:spacing w:after="0" w:line="360" w:lineRule="auto"/>
        <w:jc w:val="both"/>
        <w:rPr>
          <w:rFonts w:ascii="ITC Avant Garde" w:hAnsi="ITC Avant Garde" w:cs="Tahoma"/>
        </w:rPr>
      </w:pPr>
      <w:r w:rsidRPr="004E27D5">
        <w:rPr>
          <w:rFonts w:ascii="ITC Avant Garde" w:hAnsi="ITC Avant Garde"/>
          <w:b/>
        </w:rPr>
        <w:t>CUARTO</w:t>
      </w:r>
      <w:r w:rsidRPr="004E27D5">
        <w:rPr>
          <w:rFonts w:ascii="ITC Avant Garde" w:hAnsi="ITC Avant Garde"/>
        </w:rPr>
        <w:t xml:space="preserve">. </w:t>
      </w:r>
      <w:r w:rsidR="00C363C5" w:rsidRPr="004E27D5">
        <w:rPr>
          <w:rFonts w:ascii="ITC Avant Garde" w:hAnsi="ITC Avant Garde"/>
        </w:rPr>
        <w:t xml:space="preserve">Una vez cubiertos los requisitos de ley, </w:t>
      </w:r>
      <w:r w:rsidR="00C363C5" w:rsidRPr="004E27D5">
        <w:rPr>
          <w:rFonts w:ascii="ITC Avant Garde" w:hAnsi="ITC Avant Garde" w:cs="Tahoma"/>
          <w:b/>
        </w:rPr>
        <w:t>LOS VERIFICADORES</w:t>
      </w:r>
      <w:r w:rsidR="00C363C5" w:rsidRPr="004E27D5">
        <w:rPr>
          <w:rFonts w:ascii="ITC Avant Garde" w:hAnsi="ITC Avant Garde" w:cs="Tahoma"/>
        </w:rPr>
        <w:t xml:space="preserve"> acompañados de la persona que atendió la visita en el inmueble señalado y de los testigos de asistencia, procedieron a verificar las instalaciones de la </w:t>
      </w:r>
      <w:r w:rsidR="00C363C5" w:rsidRPr="004E27D5">
        <w:rPr>
          <w:rFonts w:ascii="ITC Avant Garde" w:hAnsi="ITC Avant Garde"/>
        </w:rPr>
        <w:t xml:space="preserve">radiodifusora que opera la frecuencia </w:t>
      </w:r>
      <w:r w:rsidR="00C9435A" w:rsidRPr="004E27D5">
        <w:rPr>
          <w:rFonts w:ascii="ITC Avant Garde" w:hAnsi="ITC Avant Garde"/>
          <w:b/>
          <w:caps/>
        </w:rPr>
        <w:t>106.1</w:t>
      </w:r>
      <w:r w:rsidR="00590C06" w:rsidRPr="004E27D5">
        <w:rPr>
          <w:rFonts w:ascii="ITC Avant Garde" w:hAnsi="ITC Avant Garde"/>
          <w:b/>
        </w:rPr>
        <w:t xml:space="preserve"> MHz</w:t>
      </w:r>
      <w:r w:rsidR="00C363C5" w:rsidRPr="004E27D5">
        <w:rPr>
          <w:rFonts w:ascii="ITC Avant Garde" w:hAnsi="ITC Avant Garde"/>
          <w:b/>
        </w:rPr>
        <w:t xml:space="preserve">, </w:t>
      </w:r>
      <w:r w:rsidR="00C363C5" w:rsidRPr="004E27D5">
        <w:rPr>
          <w:rFonts w:ascii="ITC Avant Garde" w:hAnsi="ITC Avant Garde"/>
        </w:rPr>
        <w:t>encontrando que:</w:t>
      </w:r>
      <w:r w:rsidR="00C363C5" w:rsidRPr="004E27D5">
        <w:rPr>
          <w:rFonts w:ascii="ITC Avant Garde" w:hAnsi="ITC Avant Garde" w:cs="Tahoma"/>
        </w:rPr>
        <w:t xml:space="preserve"> </w:t>
      </w:r>
      <w:bookmarkStart w:id="0" w:name="_GoBack"/>
      <w:bookmarkEnd w:id="0"/>
    </w:p>
    <w:p w:rsidR="00E8487A" w:rsidRPr="004E27D5" w:rsidRDefault="00C363C5" w:rsidP="00DA23A3">
      <w:pPr>
        <w:pStyle w:val="Textoindependiente"/>
        <w:spacing w:after="0" w:line="240" w:lineRule="auto"/>
        <w:ind w:left="851" w:right="616"/>
        <w:jc w:val="both"/>
        <w:rPr>
          <w:rFonts w:ascii="ITC Avant Garde" w:hAnsi="ITC Avant Garde"/>
          <w:sz w:val="20"/>
          <w:szCs w:val="20"/>
        </w:rPr>
        <w:sectPr w:rsidR="00E8487A" w:rsidRPr="004E27D5" w:rsidSect="009B5755">
          <w:headerReference w:type="default" r:id="rId12"/>
          <w:footerReference w:type="default" r:id="rId13"/>
          <w:pgSz w:w="12240" w:h="15840"/>
          <w:pgMar w:top="1985" w:right="1418" w:bottom="1418" w:left="1418" w:header="709" w:footer="420" w:gutter="0"/>
          <w:cols w:space="708"/>
          <w:docGrid w:linePitch="360"/>
        </w:sectPr>
      </w:pPr>
      <w:r w:rsidRPr="004E27D5">
        <w:rPr>
          <w:rFonts w:ascii="ITC Avant Garde" w:hAnsi="ITC Avant Garde" w:cs="Tahoma"/>
          <w:sz w:val="20"/>
          <w:szCs w:val="20"/>
        </w:rPr>
        <w:t>“</w:t>
      </w:r>
      <w:r w:rsidR="00851215" w:rsidRPr="004E27D5">
        <w:rPr>
          <w:rFonts w:ascii="ITC Avant Garde" w:hAnsi="ITC Avant Garde"/>
          <w:sz w:val="20"/>
          <w:szCs w:val="20"/>
        </w:rPr>
        <w:t>…se trata de un inmueble rústico de dos niveles, en ladrillo con escaleras exteriores y en uno de los cuartos se ubican los equipos instalados y operando la</w:t>
      </w:r>
      <w:r w:rsidR="001561CA" w:rsidRPr="004E27D5">
        <w:rPr>
          <w:rFonts w:ascii="ITC Avant Garde" w:hAnsi="ITC Avant Garde"/>
          <w:sz w:val="20"/>
          <w:szCs w:val="20"/>
        </w:rPr>
        <w:t xml:space="preserve"> </w:t>
      </w:r>
    </w:p>
    <w:p w:rsidR="009E7D7C" w:rsidRPr="004E27D5" w:rsidRDefault="00851215" w:rsidP="00DA23A3">
      <w:pPr>
        <w:pStyle w:val="Textoindependiente"/>
        <w:spacing w:after="0" w:line="240" w:lineRule="auto"/>
        <w:ind w:left="851" w:right="616"/>
        <w:jc w:val="both"/>
        <w:rPr>
          <w:rFonts w:ascii="ITC Avant Garde" w:hAnsi="ITC Avant Garde"/>
          <w:sz w:val="20"/>
          <w:szCs w:val="20"/>
        </w:rPr>
      </w:pPr>
      <w:r w:rsidRPr="004E27D5">
        <w:rPr>
          <w:rFonts w:ascii="ITC Avant Garde" w:hAnsi="ITC Avant Garde"/>
          <w:sz w:val="20"/>
          <w:szCs w:val="20"/>
        </w:rPr>
        <w:lastRenderedPageBreak/>
        <w:t>frecuencia 106.1 MHz, y colocado junto a un árbol se encuentra colocado un mástil en el cual se encuentran dos antenas tipo “T.</w:t>
      </w:r>
      <w:r w:rsidR="00C363C5" w:rsidRPr="004E27D5">
        <w:rPr>
          <w:rFonts w:ascii="ITC Avant Garde" w:hAnsi="ITC Avant Garde" w:cs="Tahoma"/>
          <w:sz w:val="20"/>
          <w:szCs w:val="20"/>
        </w:rPr>
        <w:t>”</w:t>
      </w:r>
    </w:p>
    <w:p w:rsidR="009E7D7C" w:rsidRPr="004E27D5" w:rsidRDefault="00851215" w:rsidP="00851215">
      <w:pPr>
        <w:spacing w:after="0" w:line="360" w:lineRule="auto"/>
        <w:jc w:val="both"/>
        <w:rPr>
          <w:rFonts w:ascii="ITC Avant Garde" w:hAnsi="ITC Avant Garde" w:cs="Tahoma"/>
        </w:rPr>
      </w:pPr>
      <w:r w:rsidRPr="004E27D5">
        <w:rPr>
          <w:rFonts w:ascii="ITC Avant Garde" w:hAnsi="ITC Avant Garde" w:cs="Tahoma"/>
        </w:rPr>
        <w:t xml:space="preserve">Asimismo, solicitaron a la persona que recibió la visita en el inmueble señalado, informara qué persona es el propietario o poseedor de la estación de radiodifusión que transmite desde ese inmueble, a lo que la visitada manifestó: </w:t>
      </w:r>
    </w:p>
    <w:p w:rsidR="009E7D7C" w:rsidRPr="004E27D5" w:rsidRDefault="00851215" w:rsidP="00851215">
      <w:pPr>
        <w:spacing w:after="0" w:line="240" w:lineRule="auto"/>
        <w:ind w:left="851" w:right="616"/>
        <w:jc w:val="both"/>
        <w:rPr>
          <w:rFonts w:ascii="ITC Avant Garde" w:hAnsi="ITC Avant Garde" w:cs="Tahoma"/>
          <w:sz w:val="20"/>
          <w:szCs w:val="20"/>
        </w:rPr>
      </w:pPr>
      <w:r w:rsidRPr="004E27D5">
        <w:rPr>
          <w:rFonts w:ascii="ITC Avant Garde" w:hAnsi="ITC Avant Garde" w:cs="Tahoma"/>
          <w:sz w:val="20"/>
          <w:szCs w:val="20"/>
        </w:rPr>
        <w:t>“Primeramente les tengo que decir que no sabía que esta era una estación ilegal como dicen y no tengo el nombre del dueño ya tiene varios meses que no viene”</w:t>
      </w:r>
    </w:p>
    <w:p w:rsidR="009E7D7C" w:rsidRPr="004E27D5" w:rsidRDefault="00C363C5" w:rsidP="00C363C5">
      <w:pPr>
        <w:spacing w:after="0" w:line="360" w:lineRule="auto"/>
        <w:jc w:val="both"/>
        <w:rPr>
          <w:rFonts w:ascii="ITC Avant Garde" w:hAnsi="ITC Avant Garde" w:cs="Tahoma"/>
          <w:b/>
        </w:rPr>
      </w:pPr>
      <w:r w:rsidRPr="004E27D5">
        <w:rPr>
          <w:rFonts w:ascii="ITC Avant Garde" w:hAnsi="ITC Avant Garde" w:cs="Tahoma"/>
        </w:rPr>
        <w:t xml:space="preserve">Asimismo, </w:t>
      </w:r>
      <w:r w:rsidRPr="004E27D5">
        <w:rPr>
          <w:rFonts w:ascii="ITC Avant Garde" w:hAnsi="ITC Avant Garde" w:cs="Tahoma"/>
          <w:b/>
        </w:rPr>
        <w:t>LOS VERIFICADORES</w:t>
      </w:r>
      <w:r w:rsidRPr="004E27D5">
        <w:rPr>
          <w:rFonts w:ascii="ITC Avant Garde" w:hAnsi="ITC Avant Garde" w:cs="Tahoma"/>
        </w:rPr>
        <w:t xml:space="preserve"> solicitaron a la persona que recibió la visita en el inmueble señalado, informara si la estación que transmite en la frecuencia </w:t>
      </w:r>
      <w:r w:rsidR="00C9435A" w:rsidRPr="004E27D5">
        <w:rPr>
          <w:rFonts w:ascii="ITC Avant Garde" w:hAnsi="ITC Avant Garde"/>
          <w:b/>
          <w:caps/>
        </w:rPr>
        <w:t>106.1</w:t>
      </w:r>
      <w:r w:rsidRPr="004E27D5">
        <w:rPr>
          <w:rFonts w:ascii="ITC Avant Garde" w:hAnsi="ITC Avant Garde" w:cs="Tahoma"/>
          <w:b/>
        </w:rPr>
        <w:t xml:space="preserve"> MHz</w:t>
      </w:r>
      <w:r w:rsidRPr="004E27D5">
        <w:rPr>
          <w:rFonts w:ascii="ITC Avant Garde" w:hAnsi="ITC Avant Garde" w:cs="Tahoma"/>
        </w:rPr>
        <w:t xml:space="preserve">, cuenta con concesión o permiso expedido por la Autoridad Federal para hacer uso de esa </w:t>
      </w:r>
      <w:r w:rsidRPr="004E27D5">
        <w:rPr>
          <w:rFonts w:ascii="ITC Avant Garde" w:hAnsi="ITC Avant Garde"/>
        </w:rPr>
        <w:t xml:space="preserve">frecuencia, </w:t>
      </w:r>
      <w:r w:rsidRPr="004E27D5">
        <w:rPr>
          <w:rFonts w:ascii="ITC Avant Garde" w:hAnsi="ITC Avant Garde" w:cs="Tahoma"/>
        </w:rPr>
        <w:t>a lo que</w:t>
      </w:r>
      <w:r w:rsidR="00CA567F" w:rsidRPr="004E27D5">
        <w:rPr>
          <w:rFonts w:ascii="ITC Avant Garde" w:hAnsi="ITC Avant Garde" w:cs="Tahoma"/>
        </w:rPr>
        <w:t xml:space="preserve"> la persona que atendió la diligencia de verificación</w:t>
      </w:r>
      <w:r w:rsidRPr="004E27D5">
        <w:rPr>
          <w:rFonts w:ascii="ITC Avant Garde" w:hAnsi="ITC Avant Garde"/>
          <w:b/>
        </w:rPr>
        <w:t xml:space="preserve"> </w:t>
      </w:r>
      <w:r w:rsidRPr="004E27D5">
        <w:rPr>
          <w:rFonts w:ascii="ITC Avant Garde" w:hAnsi="ITC Avant Garde" w:cs="Tahoma"/>
        </w:rPr>
        <w:t xml:space="preserve">manifestó: </w:t>
      </w:r>
      <w:r w:rsidRPr="004E27D5">
        <w:rPr>
          <w:rFonts w:ascii="ITC Avant Garde" w:hAnsi="ITC Avant Garde"/>
          <w:b/>
        </w:rPr>
        <w:t>“</w:t>
      </w:r>
      <w:r w:rsidR="00BC7B93" w:rsidRPr="004E27D5">
        <w:rPr>
          <w:rFonts w:ascii="ITC Avant Garde" w:hAnsi="ITC Avant Garde"/>
          <w:b/>
        </w:rPr>
        <w:t>sino sabía que era una estación menos si tenía concesión</w:t>
      </w:r>
      <w:r w:rsidRPr="004E27D5">
        <w:rPr>
          <w:rFonts w:ascii="ITC Avant Garde" w:hAnsi="ITC Avant Garde"/>
          <w:b/>
        </w:rPr>
        <w:t>”</w:t>
      </w:r>
    </w:p>
    <w:p w:rsidR="00163EF0" w:rsidRPr="004E27D5" w:rsidRDefault="0097156C" w:rsidP="004E27D5">
      <w:pPr>
        <w:pStyle w:val="Textoindependiente"/>
        <w:spacing w:line="360" w:lineRule="auto"/>
        <w:ind w:right="49"/>
        <w:jc w:val="both"/>
        <w:rPr>
          <w:rFonts w:ascii="ITC Avant Garde" w:hAnsi="ITC Avant Garde"/>
        </w:rPr>
      </w:pPr>
      <w:r w:rsidRPr="004E27D5">
        <w:rPr>
          <w:rFonts w:ascii="ITC Avant Garde" w:eastAsia="Times New Roman" w:hAnsi="ITC Avant Garde"/>
          <w:b/>
          <w:bCs/>
          <w:color w:val="000000"/>
          <w:lang w:eastAsia="es-MX"/>
        </w:rPr>
        <w:t>QUINTO</w:t>
      </w:r>
      <w:r w:rsidR="00163EF0" w:rsidRPr="004E27D5">
        <w:rPr>
          <w:rFonts w:ascii="ITC Avant Garde" w:eastAsia="Times New Roman" w:hAnsi="ITC Avant Garde"/>
          <w:bCs/>
          <w:color w:val="000000"/>
          <w:lang w:eastAsia="es-MX"/>
        </w:rPr>
        <w:t xml:space="preserve">. </w:t>
      </w:r>
      <w:r w:rsidR="001D76AE" w:rsidRPr="004E27D5">
        <w:rPr>
          <w:rFonts w:ascii="ITC Avant Garde" w:hAnsi="ITC Avant Garde"/>
        </w:rPr>
        <w:t>En razón de que</w:t>
      </w:r>
      <w:r w:rsidR="000F5897" w:rsidRPr="004E27D5">
        <w:rPr>
          <w:rFonts w:ascii="ITC Avant Garde" w:hAnsi="ITC Avant Garde"/>
        </w:rPr>
        <w:t xml:space="preserve"> el</w:t>
      </w:r>
      <w:r w:rsidR="001D76AE" w:rsidRPr="004E27D5">
        <w:rPr>
          <w:rFonts w:ascii="ITC Avant Garde" w:hAnsi="ITC Avant Garde"/>
        </w:rPr>
        <w:t xml:space="preserve"> </w:t>
      </w:r>
      <w:r w:rsidR="000F5897" w:rsidRPr="004E27D5">
        <w:rPr>
          <w:rFonts w:ascii="ITC Avant Garde" w:hAnsi="ITC Avant Garde"/>
          <w:b/>
          <w:caps/>
        </w:rPr>
        <w:t>presunto responsable</w:t>
      </w:r>
      <w:r w:rsidR="000F5897" w:rsidRPr="004E27D5" w:rsidDel="000F5897">
        <w:rPr>
          <w:rFonts w:ascii="ITC Avant Garde" w:hAnsi="ITC Avant Garde"/>
          <w:b/>
        </w:rPr>
        <w:t xml:space="preserve"> </w:t>
      </w:r>
      <w:r w:rsidR="001D76AE" w:rsidRPr="004E27D5">
        <w:rPr>
          <w:rFonts w:ascii="ITC Avant Garde" w:hAnsi="ITC Avant Garde"/>
        </w:rPr>
        <w:t xml:space="preserve">no exhibió el respectivo título de concesión o permiso otorgado por autoridad competente que ampare o legitime la prestación del servicio de radiodifusión a través del uso, aprovechamiento o explotación de la frecuencia </w:t>
      </w:r>
      <w:r w:rsidR="00C9435A" w:rsidRPr="004E27D5">
        <w:rPr>
          <w:rFonts w:ascii="ITC Avant Garde" w:hAnsi="ITC Avant Garde"/>
          <w:b/>
          <w:caps/>
        </w:rPr>
        <w:t>106.1</w:t>
      </w:r>
      <w:r w:rsidR="002C1AD8" w:rsidRPr="004E27D5">
        <w:rPr>
          <w:rFonts w:ascii="ITC Avant Garde" w:hAnsi="ITC Avant Garde"/>
          <w:b/>
        </w:rPr>
        <w:t xml:space="preserve"> MHz</w:t>
      </w:r>
      <w:r w:rsidR="001D76AE" w:rsidRPr="004E27D5">
        <w:rPr>
          <w:rFonts w:ascii="ITC Avant Garde" w:hAnsi="ITC Avant Garde"/>
          <w:b/>
        </w:rPr>
        <w:t xml:space="preserve">, </w:t>
      </w:r>
      <w:r w:rsidR="001D76AE" w:rsidRPr="004E27D5">
        <w:rPr>
          <w:rFonts w:ascii="ITC Avant Garde" w:hAnsi="ITC Avant Garde" w:cs="Tahoma"/>
          <w:b/>
        </w:rPr>
        <w:t>LOS VERIFICADORES</w:t>
      </w:r>
      <w:r w:rsidR="001D76AE" w:rsidRPr="004E27D5">
        <w:rPr>
          <w:rFonts w:ascii="ITC Avant Garde" w:hAnsi="ITC Avant Garde" w:cs="Tahoma"/>
        </w:rPr>
        <w:t xml:space="preserve"> procedieron al aseguramiento de los equipos encontrados en el inmueble en donde se practicó la visita, destinados a la operación de la estación</w:t>
      </w:r>
      <w:r w:rsidR="001D76AE" w:rsidRPr="004E27D5">
        <w:rPr>
          <w:rFonts w:ascii="ITC Avant Garde" w:hAnsi="ITC Avant Garde"/>
          <w:b/>
        </w:rPr>
        <w:t xml:space="preserve">, </w:t>
      </w:r>
      <w:r w:rsidR="001D76AE" w:rsidRPr="004E27D5">
        <w:rPr>
          <w:rFonts w:ascii="ITC Avant Garde" w:hAnsi="ITC Avant Garde"/>
        </w:rPr>
        <w:t xml:space="preserve">quedando como depositario interventor de los mismos, Raúl Leonel </w:t>
      </w:r>
      <w:proofErr w:type="spellStart"/>
      <w:r w:rsidR="001D76AE" w:rsidRPr="004E27D5">
        <w:rPr>
          <w:rFonts w:ascii="ITC Avant Garde" w:hAnsi="ITC Avant Garde"/>
        </w:rPr>
        <w:t>Mulhia</w:t>
      </w:r>
      <w:proofErr w:type="spellEnd"/>
      <w:r w:rsidR="001D76AE" w:rsidRPr="004E27D5">
        <w:rPr>
          <w:rFonts w:ascii="ITC Avant Garde" w:hAnsi="ITC Avant Garde"/>
        </w:rPr>
        <w:t xml:space="preserve"> </w:t>
      </w:r>
      <w:proofErr w:type="spellStart"/>
      <w:r w:rsidR="001D76AE" w:rsidRPr="004E27D5">
        <w:rPr>
          <w:rFonts w:ascii="ITC Avant Garde" w:hAnsi="ITC Avant Garde"/>
        </w:rPr>
        <w:t>Arzaluz</w:t>
      </w:r>
      <w:proofErr w:type="spellEnd"/>
      <w:r w:rsidR="001D76AE" w:rsidRPr="004E27D5">
        <w:rPr>
          <w:rFonts w:ascii="ITC Avant Garde" w:hAnsi="ITC Avant Garde"/>
        </w:rPr>
        <w:t>, conforme a lo siguiente:</w:t>
      </w:r>
    </w:p>
    <w:tbl>
      <w:tblPr>
        <w:tblStyle w:val="Tablaconcuadrcula2"/>
        <w:tblW w:w="5000" w:type="pct"/>
        <w:tblLook w:val="04A0" w:firstRow="1" w:lastRow="0" w:firstColumn="1" w:lastColumn="0" w:noHBand="0" w:noVBand="1"/>
        <w:tblCaption w:val="Equipo asegurados"/>
        <w:tblDescription w:val="Esta tabla muestra las características de los equipos asegurados"/>
      </w:tblPr>
      <w:tblGrid>
        <w:gridCol w:w="2471"/>
        <w:gridCol w:w="1653"/>
        <w:gridCol w:w="1650"/>
        <w:gridCol w:w="1651"/>
        <w:gridCol w:w="1969"/>
      </w:tblGrid>
      <w:tr w:rsidR="004E27D5" w:rsidRPr="004E27D5" w:rsidTr="004E27D5">
        <w:trPr>
          <w:tblHeader/>
        </w:trPr>
        <w:tc>
          <w:tcPr>
            <w:tcW w:w="1315" w:type="pct"/>
            <w:shd w:val="clear" w:color="auto" w:fill="A6A6A6" w:themeFill="background1" w:themeFillShade="A6"/>
          </w:tcPr>
          <w:p w:rsidR="00637462" w:rsidRPr="004E27D5" w:rsidRDefault="00637462" w:rsidP="00793FBB">
            <w:pPr>
              <w:spacing w:after="0"/>
              <w:jc w:val="center"/>
              <w:rPr>
                <w:rFonts w:ascii="ITC Avant Garde" w:hAnsi="ITC Avant Garde" w:cs="Arial"/>
                <w:b/>
                <w:color w:val="000000" w:themeColor="text1"/>
                <w:sz w:val="20"/>
                <w:szCs w:val="20"/>
              </w:rPr>
            </w:pPr>
            <w:r w:rsidRPr="004E27D5">
              <w:rPr>
                <w:rFonts w:ascii="ITC Avant Garde" w:hAnsi="ITC Avant Garde" w:cs="Arial"/>
                <w:b/>
                <w:color w:val="000000" w:themeColor="text1"/>
                <w:sz w:val="20"/>
                <w:szCs w:val="20"/>
              </w:rPr>
              <w:t>Equipo</w:t>
            </w:r>
          </w:p>
        </w:tc>
        <w:tc>
          <w:tcPr>
            <w:tcW w:w="880" w:type="pct"/>
            <w:shd w:val="clear" w:color="auto" w:fill="A6A6A6" w:themeFill="background1" w:themeFillShade="A6"/>
          </w:tcPr>
          <w:p w:rsidR="00637462" w:rsidRPr="004E27D5" w:rsidRDefault="00637462" w:rsidP="00793FBB">
            <w:pPr>
              <w:spacing w:after="0"/>
              <w:jc w:val="center"/>
              <w:rPr>
                <w:rFonts w:ascii="ITC Avant Garde" w:hAnsi="ITC Avant Garde" w:cs="Arial"/>
                <w:b/>
                <w:color w:val="000000" w:themeColor="text1"/>
                <w:sz w:val="20"/>
                <w:szCs w:val="20"/>
              </w:rPr>
            </w:pPr>
            <w:r w:rsidRPr="004E27D5">
              <w:rPr>
                <w:rFonts w:ascii="ITC Avant Garde" w:hAnsi="ITC Avant Garde" w:cs="Arial"/>
                <w:b/>
                <w:color w:val="000000" w:themeColor="text1"/>
                <w:sz w:val="20"/>
                <w:szCs w:val="20"/>
              </w:rPr>
              <w:t>Marca</w:t>
            </w:r>
          </w:p>
        </w:tc>
        <w:tc>
          <w:tcPr>
            <w:tcW w:w="878" w:type="pct"/>
            <w:shd w:val="clear" w:color="auto" w:fill="A6A6A6" w:themeFill="background1" w:themeFillShade="A6"/>
          </w:tcPr>
          <w:p w:rsidR="00637462" w:rsidRPr="004E27D5" w:rsidRDefault="00637462" w:rsidP="00793FBB">
            <w:pPr>
              <w:spacing w:after="0"/>
              <w:jc w:val="center"/>
              <w:rPr>
                <w:rFonts w:ascii="ITC Avant Garde" w:hAnsi="ITC Avant Garde" w:cs="Arial"/>
                <w:b/>
                <w:color w:val="000000" w:themeColor="text1"/>
                <w:sz w:val="20"/>
                <w:szCs w:val="20"/>
              </w:rPr>
            </w:pPr>
            <w:r w:rsidRPr="004E27D5">
              <w:rPr>
                <w:rFonts w:ascii="ITC Avant Garde" w:hAnsi="ITC Avant Garde" w:cs="Arial"/>
                <w:b/>
                <w:color w:val="000000" w:themeColor="text1"/>
                <w:sz w:val="20"/>
                <w:szCs w:val="20"/>
              </w:rPr>
              <w:t>Modelo</w:t>
            </w:r>
          </w:p>
        </w:tc>
        <w:tc>
          <w:tcPr>
            <w:tcW w:w="879" w:type="pct"/>
            <w:shd w:val="clear" w:color="auto" w:fill="A6A6A6" w:themeFill="background1" w:themeFillShade="A6"/>
          </w:tcPr>
          <w:p w:rsidR="00637462" w:rsidRPr="004E27D5" w:rsidRDefault="00637462" w:rsidP="00793FBB">
            <w:pPr>
              <w:spacing w:after="0"/>
              <w:jc w:val="center"/>
              <w:rPr>
                <w:rFonts w:ascii="ITC Avant Garde" w:hAnsi="ITC Avant Garde" w:cs="Arial"/>
                <w:b/>
                <w:color w:val="000000" w:themeColor="text1"/>
                <w:sz w:val="20"/>
                <w:szCs w:val="20"/>
              </w:rPr>
            </w:pPr>
            <w:r w:rsidRPr="004E27D5">
              <w:rPr>
                <w:rFonts w:ascii="ITC Avant Garde" w:hAnsi="ITC Avant Garde" w:cs="Arial"/>
                <w:b/>
                <w:color w:val="000000" w:themeColor="text1"/>
                <w:sz w:val="20"/>
                <w:szCs w:val="20"/>
              </w:rPr>
              <w:t>Número de Serie</w:t>
            </w:r>
          </w:p>
        </w:tc>
        <w:tc>
          <w:tcPr>
            <w:tcW w:w="1048" w:type="pct"/>
            <w:shd w:val="clear" w:color="auto" w:fill="A6A6A6" w:themeFill="background1" w:themeFillShade="A6"/>
          </w:tcPr>
          <w:p w:rsidR="00637462" w:rsidRPr="004E27D5" w:rsidRDefault="00637462" w:rsidP="00793FBB">
            <w:pPr>
              <w:spacing w:after="0"/>
              <w:jc w:val="center"/>
              <w:rPr>
                <w:rFonts w:ascii="ITC Avant Garde" w:hAnsi="ITC Avant Garde" w:cs="Arial"/>
                <w:b/>
                <w:color w:val="000000" w:themeColor="text1"/>
                <w:sz w:val="20"/>
                <w:szCs w:val="20"/>
              </w:rPr>
            </w:pPr>
            <w:r w:rsidRPr="004E27D5">
              <w:rPr>
                <w:rFonts w:ascii="ITC Avant Garde" w:hAnsi="ITC Avant Garde" w:cs="Arial"/>
                <w:b/>
                <w:color w:val="000000" w:themeColor="text1"/>
                <w:sz w:val="20"/>
                <w:szCs w:val="20"/>
              </w:rPr>
              <w:t>Sello de aseguramiento</w:t>
            </w:r>
          </w:p>
        </w:tc>
      </w:tr>
      <w:tr w:rsidR="004E27D5" w:rsidRPr="004E27D5" w:rsidTr="004E27D5">
        <w:trPr>
          <w:trHeight w:val="454"/>
        </w:trPr>
        <w:tc>
          <w:tcPr>
            <w:tcW w:w="1315" w:type="pct"/>
          </w:tcPr>
          <w:p w:rsidR="004E27D5" w:rsidRPr="004E27D5" w:rsidRDefault="004E27D5" w:rsidP="004E27D5">
            <w:pPr>
              <w:spacing w:after="0"/>
              <w:rPr>
                <w:rFonts w:ascii="ITC Avant Garde" w:hAnsi="ITC Avant Garde" w:cs="Arial"/>
                <w:sz w:val="20"/>
                <w:szCs w:val="20"/>
              </w:rPr>
            </w:pPr>
            <w:r w:rsidRPr="004E27D5">
              <w:rPr>
                <w:rFonts w:ascii="ITC Avant Garde" w:hAnsi="ITC Avant Garde" w:cs="Arial"/>
                <w:sz w:val="20"/>
                <w:szCs w:val="20"/>
              </w:rPr>
              <w:t>Transmisor</w:t>
            </w:r>
          </w:p>
        </w:tc>
        <w:tc>
          <w:tcPr>
            <w:tcW w:w="880" w:type="pct"/>
          </w:tcPr>
          <w:p w:rsidR="004E27D5" w:rsidRPr="004E27D5" w:rsidRDefault="004E27D5" w:rsidP="004E27D5">
            <w:pPr>
              <w:tabs>
                <w:tab w:val="center" w:pos="718"/>
              </w:tabs>
              <w:spacing w:after="0"/>
              <w:jc w:val="center"/>
              <w:rPr>
                <w:rFonts w:ascii="ITC Avant Garde" w:hAnsi="ITC Avant Garde" w:cs="Arial"/>
                <w:color w:val="FFFFFF" w:themeColor="background1"/>
                <w:sz w:val="4"/>
                <w:szCs w:val="4"/>
              </w:rPr>
            </w:pPr>
            <w:r w:rsidRPr="004E27D5">
              <w:rPr>
                <w:rFonts w:ascii="ITC Avant Garde" w:hAnsi="ITC Avant Garde" w:cs="Arial"/>
                <w:color w:val="FFFFFF" w:themeColor="background1"/>
                <w:sz w:val="4"/>
                <w:szCs w:val="4"/>
              </w:rPr>
              <w:t>Celda vacía</w:t>
            </w:r>
          </w:p>
        </w:tc>
        <w:tc>
          <w:tcPr>
            <w:tcW w:w="878" w:type="pct"/>
          </w:tcPr>
          <w:p w:rsidR="004E27D5" w:rsidRPr="004E27D5" w:rsidRDefault="004E27D5" w:rsidP="004E27D5">
            <w:pPr>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879" w:type="pct"/>
          </w:tcPr>
          <w:p w:rsidR="004E27D5" w:rsidRPr="004E27D5" w:rsidRDefault="004E27D5" w:rsidP="004E27D5">
            <w:pPr>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1048" w:type="pct"/>
          </w:tcPr>
          <w:p w:rsidR="004E27D5" w:rsidRPr="004E27D5" w:rsidRDefault="004E27D5" w:rsidP="004E27D5">
            <w:pPr>
              <w:spacing w:after="0"/>
              <w:jc w:val="center"/>
              <w:rPr>
                <w:rFonts w:ascii="ITC Avant Garde" w:hAnsi="ITC Avant Garde" w:cs="Arial"/>
                <w:sz w:val="20"/>
                <w:szCs w:val="20"/>
              </w:rPr>
            </w:pPr>
            <w:r w:rsidRPr="004E27D5">
              <w:rPr>
                <w:rFonts w:ascii="ITC Avant Garde" w:hAnsi="ITC Avant Garde" w:cs="Arial"/>
              </w:rPr>
              <w:t>051-17</w:t>
            </w:r>
          </w:p>
        </w:tc>
      </w:tr>
      <w:tr w:rsidR="004E27D5" w:rsidRPr="004E27D5" w:rsidTr="004E27D5">
        <w:trPr>
          <w:trHeight w:val="454"/>
        </w:trPr>
        <w:tc>
          <w:tcPr>
            <w:tcW w:w="1315" w:type="pct"/>
          </w:tcPr>
          <w:p w:rsidR="004E27D5" w:rsidRPr="004E27D5" w:rsidRDefault="004E27D5" w:rsidP="004E27D5">
            <w:pPr>
              <w:spacing w:after="0"/>
              <w:rPr>
                <w:rFonts w:ascii="ITC Avant Garde" w:hAnsi="ITC Avant Garde" w:cs="Arial"/>
                <w:sz w:val="20"/>
                <w:szCs w:val="20"/>
              </w:rPr>
            </w:pPr>
            <w:r w:rsidRPr="004E27D5">
              <w:rPr>
                <w:rFonts w:ascii="ITC Avant Garde" w:hAnsi="ITC Avant Garde" w:cs="Arial"/>
                <w:sz w:val="20"/>
                <w:szCs w:val="20"/>
              </w:rPr>
              <w:t>Consola de audio</w:t>
            </w:r>
          </w:p>
        </w:tc>
        <w:tc>
          <w:tcPr>
            <w:tcW w:w="880" w:type="pct"/>
          </w:tcPr>
          <w:p w:rsidR="004E27D5" w:rsidRPr="004E27D5" w:rsidRDefault="004E27D5" w:rsidP="004E27D5">
            <w:pPr>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878" w:type="pct"/>
          </w:tcPr>
          <w:p w:rsidR="004E27D5" w:rsidRPr="004E27D5" w:rsidRDefault="004E27D5" w:rsidP="004E27D5">
            <w:pPr>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879" w:type="pct"/>
          </w:tcPr>
          <w:p w:rsidR="004E27D5" w:rsidRPr="004E27D5" w:rsidRDefault="004E27D5" w:rsidP="004E27D5">
            <w:pPr>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1048" w:type="pct"/>
          </w:tcPr>
          <w:p w:rsidR="004E27D5" w:rsidRPr="004E27D5" w:rsidRDefault="004E27D5" w:rsidP="004E27D5">
            <w:pPr>
              <w:spacing w:after="0"/>
              <w:jc w:val="center"/>
              <w:rPr>
                <w:rFonts w:ascii="ITC Avant Garde" w:hAnsi="ITC Avant Garde" w:cs="Arial"/>
                <w:sz w:val="20"/>
                <w:szCs w:val="20"/>
              </w:rPr>
            </w:pPr>
            <w:r w:rsidRPr="004E27D5">
              <w:rPr>
                <w:rFonts w:ascii="ITC Avant Garde" w:hAnsi="ITC Avant Garde" w:cs="Arial"/>
              </w:rPr>
              <w:t>051-17</w:t>
            </w:r>
          </w:p>
        </w:tc>
      </w:tr>
      <w:tr w:rsidR="004E27D5" w:rsidRPr="004E27D5" w:rsidTr="004E27D5">
        <w:trPr>
          <w:trHeight w:val="454"/>
        </w:trPr>
        <w:tc>
          <w:tcPr>
            <w:tcW w:w="1315" w:type="pct"/>
          </w:tcPr>
          <w:p w:rsidR="004E27D5" w:rsidRPr="004E27D5" w:rsidRDefault="004E27D5" w:rsidP="004E27D5">
            <w:pPr>
              <w:spacing w:after="0"/>
              <w:rPr>
                <w:rFonts w:ascii="ITC Avant Garde" w:hAnsi="ITC Avant Garde" w:cs="Arial"/>
                <w:sz w:val="20"/>
                <w:szCs w:val="20"/>
              </w:rPr>
            </w:pPr>
            <w:r w:rsidRPr="004E27D5">
              <w:rPr>
                <w:rFonts w:ascii="ITC Avant Garde" w:hAnsi="ITC Avant Garde" w:cs="Arial"/>
                <w:sz w:val="20"/>
                <w:szCs w:val="20"/>
              </w:rPr>
              <w:t>CPU Armado</w:t>
            </w:r>
            <w:r w:rsidRPr="004E27D5" w:rsidDel="00B959CB">
              <w:rPr>
                <w:rFonts w:ascii="ITC Avant Garde" w:hAnsi="ITC Avant Garde" w:cs="Arial"/>
                <w:sz w:val="20"/>
                <w:szCs w:val="20"/>
              </w:rPr>
              <w:t xml:space="preserve"> </w:t>
            </w:r>
          </w:p>
        </w:tc>
        <w:tc>
          <w:tcPr>
            <w:tcW w:w="880" w:type="pct"/>
          </w:tcPr>
          <w:p w:rsidR="004E27D5" w:rsidRPr="004E27D5" w:rsidRDefault="004E27D5" w:rsidP="004E27D5">
            <w:pPr>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878" w:type="pct"/>
          </w:tcPr>
          <w:p w:rsidR="004E27D5" w:rsidRPr="004E27D5" w:rsidRDefault="004E27D5" w:rsidP="004E27D5">
            <w:pPr>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879" w:type="pct"/>
          </w:tcPr>
          <w:p w:rsidR="004E27D5" w:rsidRPr="004E27D5" w:rsidRDefault="004E27D5" w:rsidP="004E27D5">
            <w:pPr>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1048" w:type="pct"/>
          </w:tcPr>
          <w:p w:rsidR="004E27D5" w:rsidRPr="004E27D5" w:rsidRDefault="004E27D5" w:rsidP="004E27D5">
            <w:pPr>
              <w:spacing w:after="0"/>
              <w:jc w:val="center"/>
              <w:rPr>
                <w:rFonts w:ascii="ITC Avant Garde" w:hAnsi="ITC Avant Garde" w:cs="Arial"/>
              </w:rPr>
            </w:pPr>
            <w:r w:rsidRPr="004E27D5">
              <w:rPr>
                <w:rFonts w:ascii="ITC Avant Garde" w:hAnsi="ITC Avant Garde" w:cs="Arial"/>
              </w:rPr>
              <w:t>051-17</w:t>
            </w:r>
          </w:p>
        </w:tc>
      </w:tr>
      <w:tr w:rsidR="004E27D5" w:rsidRPr="004E27D5" w:rsidTr="004E27D5">
        <w:trPr>
          <w:trHeight w:val="454"/>
        </w:trPr>
        <w:tc>
          <w:tcPr>
            <w:tcW w:w="1315" w:type="pct"/>
          </w:tcPr>
          <w:p w:rsidR="004E27D5" w:rsidRPr="004E27D5" w:rsidRDefault="004E27D5" w:rsidP="004E27D5">
            <w:pPr>
              <w:spacing w:after="0"/>
              <w:rPr>
                <w:rFonts w:ascii="ITC Avant Garde" w:hAnsi="ITC Avant Garde" w:cs="Arial"/>
                <w:sz w:val="20"/>
                <w:szCs w:val="20"/>
              </w:rPr>
            </w:pPr>
            <w:r w:rsidRPr="004E27D5">
              <w:rPr>
                <w:rFonts w:ascii="ITC Avant Garde" w:hAnsi="ITC Avant Garde" w:cs="Arial"/>
                <w:sz w:val="20"/>
                <w:szCs w:val="20"/>
              </w:rPr>
              <w:t>2 Antenas Omnidireccional tipo T</w:t>
            </w:r>
          </w:p>
        </w:tc>
        <w:tc>
          <w:tcPr>
            <w:tcW w:w="880" w:type="pct"/>
          </w:tcPr>
          <w:p w:rsidR="004E27D5" w:rsidRPr="004E27D5" w:rsidRDefault="004E27D5" w:rsidP="004E27D5">
            <w:pPr>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878" w:type="pct"/>
          </w:tcPr>
          <w:p w:rsidR="004E27D5" w:rsidRPr="004E27D5" w:rsidRDefault="004E27D5" w:rsidP="004E27D5">
            <w:pPr>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879" w:type="pct"/>
          </w:tcPr>
          <w:p w:rsidR="004E27D5" w:rsidRPr="004E27D5" w:rsidRDefault="004E27D5" w:rsidP="004E27D5">
            <w:pPr>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1048" w:type="pct"/>
          </w:tcPr>
          <w:p w:rsidR="004E27D5" w:rsidRPr="004E27D5" w:rsidRDefault="004E27D5" w:rsidP="004E27D5">
            <w:pPr>
              <w:spacing w:after="0"/>
              <w:jc w:val="center"/>
              <w:rPr>
                <w:rFonts w:ascii="ITC Avant Garde" w:hAnsi="ITC Avant Garde" w:cs="Arial"/>
                <w:sz w:val="20"/>
                <w:szCs w:val="20"/>
              </w:rPr>
            </w:pPr>
            <w:r w:rsidRPr="004E27D5">
              <w:rPr>
                <w:rFonts w:ascii="ITC Avant Garde" w:hAnsi="ITC Avant Garde" w:cs="Arial"/>
              </w:rPr>
              <w:t>051-17</w:t>
            </w:r>
          </w:p>
        </w:tc>
      </w:tr>
    </w:tbl>
    <w:p w:rsidR="00E8487A" w:rsidRPr="004E27D5" w:rsidRDefault="0071113B" w:rsidP="004E27D5">
      <w:pPr>
        <w:spacing w:before="240" w:after="0" w:line="360" w:lineRule="auto"/>
        <w:jc w:val="both"/>
        <w:rPr>
          <w:rFonts w:ascii="ITC Avant Garde" w:hAnsi="ITC Avant Garde"/>
        </w:rPr>
        <w:sectPr w:rsidR="00E8487A" w:rsidRPr="004E27D5" w:rsidSect="009B5755">
          <w:headerReference w:type="default" r:id="rId14"/>
          <w:pgSz w:w="12240" w:h="15840"/>
          <w:pgMar w:top="1985" w:right="1418" w:bottom="1418" w:left="1418" w:header="709" w:footer="420" w:gutter="0"/>
          <w:cols w:space="708"/>
          <w:docGrid w:linePitch="360"/>
        </w:sectPr>
      </w:pPr>
      <w:r w:rsidRPr="004E27D5">
        <w:rPr>
          <w:rFonts w:ascii="ITC Avant Garde" w:hAnsi="ITC Avant Garde"/>
        </w:rPr>
        <w:t xml:space="preserve">Previamente a la conclusión de la diligencia, en términos del artículo 68 de la Ley Federal de Procedimiento Administrativo (en lo sucesivo la </w:t>
      </w:r>
      <w:r w:rsidRPr="004E27D5">
        <w:rPr>
          <w:rFonts w:ascii="ITC Avant Garde" w:hAnsi="ITC Avant Garde"/>
          <w:b/>
        </w:rPr>
        <w:t>“LFPA”</w:t>
      </w:r>
      <w:r w:rsidRPr="004E27D5">
        <w:rPr>
          <w:rFonts w:ascii="ITC Avant Garde" w:hAnsi="ITC Avant Garde"/>
        </w:rPr>
        <w:t xml:space="preserve">), </w:t>
      </w:r>
      <w:r w:rsidRPr="004E27D5">
        <w:rPr>
          <w:rFonts w:ascii="ITC Avant Garde" w:hAnsi="ITC Avant Garde"/>
          <w:b/>
        </w:rPr>
        <w:t>LOS VERIFICADORES</w:t>
      </w:r>
      <w:r w:rsidRPr="004E27D5">
        <w:rPr>
          <w:rFonts w:ascii="ITC Avant Garde" w:hAnsi="ITC Avant Garde"/>
        </w:rPr>
        <w:t xml:space="preserve"> informaron a la persona que recibió la visita, que le asistía el derecho de manifestar lo que a sus intereses conviniera, respecto de los hechos asentados en el acta de verificación de mérito, ante lo cual manifestó: </w:t>
      </w:r>
      <w:r w:rsidRPr="004E27D5">
        <w:rPr>
          <w:rFonts w:ascii="ITC Avant Garde" w:hAnsi="ITC Avant Garde"/>
          <w:b/>
        </w:rPr>
        <w:t>“</w:t>
      </w:r>
      <w:r w:rsidR="00BC7B93" w:rsidRPr="004E27D5">
        <w:rPr>
          <w:rFonts w:ascii="ITC Avant Garde" w:hAnsi="ITC Avant Garde"/>
          <w:b/>
        </w:rPr>
        <w:t>nada señores, no tengo nada que decir</w:t>
      </w:r>
      <w:r w:rsidRPr="004E27D5">
        <w:rPr>
          <w:rFonts w:ascii="ITC Avant Garde" w:hAnsi="ITC Avant Garde"/>
          <w:b/>
        </w:rPr>
        <w:t>”</w:t>
      </w:r>
      <w:r w:rsidRPr="004E27D5">
        <w:rPr>
          <w:rFonts w:ascii="ITC Avant Garde" w:hAnsi="ITC Avant Garde"/>
        </w:rPr>
        <w:t xml:space="preserve">. </w:t>
      </w:r>
    </w:p>
    <w:p w:rsidR="009E7D7C" w:rsidRPr="004E27D5" w:rsidRDefault="00637462" w:rsidP="00B24537">
      <w:pPr>
        <w:spacing w:after="0" w:line="360" w:lineRule="auto"/>
        <w:jc w:val="both"/>
        <w:rPr>
          <w:rFonts w:ascii="ITC Avant Garde" w:hAnsi="ITC Avant Garde"/>
        </w:rPr>
      </w:pPr>
      <w:r w:rsidRPr="004E27D5">
        <w:rPr>
          <w:rFonts w:ascii="ITC Avant Garde" w:hAnsi="ITC Avant Garde"/>
        </w:rPr>
        <w:lastRenderedPageBreak/>
        <w:t>Asimismo, en términos del artículo 524 de la Ley de Vías Generales de Comunicación, se informó a la persona que recibió la visita que en el término de diez días hábiles contados a partir del día hábil siguiente a dicha actuación, podía exhibir las manifestaciones y pruebas de su intención en las oficinas del Instituto Federal de Telecomunicaciones</w:t>
      </w:r>
    </w:p>
    <w:p w:rsidR="009E7D7C" w:rsidRPr="004E27D5" w:rsidRDefault="00DC6923" w:rsidP="00B24537">
      <w:pPr>
        <w:spacing w:after="0" w:line="360" w:lineRule="auto"/>
        <w:jc w:val="both"/>
        <w:rPr>
          <w:rFonts w:ascii="ITC Avant Garde" w:hAnsi="ITC Avant Garde"/>
        </w:rPr>
      </w:pPr>
      <w:r w:rsidRPr="004E27D5">
        <w:rPr>
          <w:rFonts w:ascii="ITC Avant Garde" w:hAnsi="ITC Avant Garde"/>
        </w:rPr>
        <w:t xml:space="preserve">Dicho plazo transcurrió del </w:t>
      </w:r>
      <w:r w:rsidR="00BC7B93" w:rsidRPr="004E27D5">
        <w:rPr>
          <w:rFonts w:ascii="ITC Avant Garde" w:hAnsi="ITC Avant Garde"/>
        </w:rPr>
        <w:t xml:space="preserve">diecisiete de marzo al tres de abril de dos mil diecisiete, sin contar los días dieciocho, diecinueve, veinte, veintiuno, veinticinco y veintiséis de marzo, así como el uno y dos de abril, por ser sábados, domingos y días festivos en términos de lo dispuesto por el artículo 28 de la </w:t>
      </w:r>
      <w:r w:rsidR="00BC7B93" w:rsidRPr="004E27D5">
        <w:rPr>
          <w:rFonts w:ascii="ITC Avant Garde" w:hAnsi="ITC Avant Garde"/>
          <w:b/>
        </w:rPr>
        <w:t xml:space="preserve">LFPA </w:t>
      </w:r>
      <w:r w:rsidR="00BC7B93" w:rsidRPr="004E27D5">
        <w:rPr>
          <w:rFonts w:ascii="ITC Avant Garde" w:hAnsi="ITC Avant Garde"/>
        </w:rPr>
        <w:t xml:space="preserve">y del “ACUERDO mediante el cual el Pleno del Instituto Federal de Telecomunicaciones aprueba su calendario anual de sesiones ordinarias y el calendario anual de labores para el año 2017 y principios de 2018”, publicado en el Diario Oficial de la Federación el </w:t>
      </w:r>
      <w:r w:rsidR="00B5388D" w:rsidRPr="004E27D5">
        <w:rPr>
          <w:rFonts w:ascii="ITC Avant Garde" w:hAnsi="ITC Avant Garde"/>
        </w:rPr>
        <w:t xml:space="preserve">veintiuno </w:t>
      </w:r>
      <w:r w:rsidR="00BC7B93" w:rsidRPr="004E27D5">
        <w:rPr>
          <w:rFonts w:ascii="ITC Avant Garde" w:hAnsi="ITC Avant Garde"/>
        </w:rPr>
        <w:t xml:space="preserve">de diciembre de </w:t>
      </w:r>
      <w:r w:rsidR="00B5388D" w:rsidRPr="004E27D5">
        <w:rPr>
          <w:rFonts w:ascii="ITC Avant Garde" w:hAnsi="ITC Avant Garde"/>
        </w:rPr>
        <w:t>dos mil dieciséis</w:t>
      </w:r>
      <w:r w:rsidRPr="004E27D5">
        <w:rPr>
          <w:rFonts w:ascii="ITC Avant Garde" w:hAnsi="ITC Avant Garde"/>
        </w:rPr>
        <w:t>.</w:t>
      </w:r>
    </w:p>
    <w:p w:rsidR="00B24537" w:rsidRPr="004E27D5" w:rsidRDefault="00B24537" w:rsidP="00B24537">
      <w:pPr>
        <w:spacing w:after="0" w:line="360" w:lineRule="auto"/>
        <w:jc w:val="both"/>
        <w:rPr>
          <w:rFonts w:ascii="ITC Avant Garde" w:hAnsi="ITC Avant Garde"/>
        </w:rPr>
      </w:pPr>
      <w:r w:rsidRPr="004E27D5">
        <w:rPr>
          <w:rFonts w:ascii="ITC Avant Garde" w:hAnsi="ITC Avant Garde"/>
        </w:rPr>
        <w:t>Cabe precisar que transcurrido el plazo a que se refiere el párrafo que antecede, no existe constancia alguna de que el</w:t>
      </w:r>
      <w:r w:rsidRPr="004E27D5">
        <w:rPr>
          <w:rFonts w:ascii="ITC Avant Garde" w:hAnsi="ITC Avant Garde"/>
          <w:b/>
        </w:rPr>
        <w:t xml:space="preserve"> PRESUNTO RESPONSABLE </w:t>
      </w:r>
      <w:r w:rsidRPr="004E27D5">
        <w:rPr>
          <w:rFonts w:ascii="ITC Avant Garde" w:hAnsi="ITC Avant Garde"/>
        </w:rPr>
        <w:t>o su representación legal hubieran exhibido pruebas y defensas de su parte.</w:t>
      </w:r>
    </w:p>
    <w:p w:rsidR="009E7D7C" w:rsidRPr="004E27D5" w:rsidRDefault="00AE31C0" w:rsidP="00AE31C0">
      <w:pPr>
        <w:spacing w:after="0" w:line="360" w:lineRule="auto"/>
        <w:jc w:val="both"/>
        <w:rPr>
          <w:rFonts w:ascii="ITC Avant Garde" w:hAnsi="ITC Avant Garde"/>
        </w:rPr>
      </w:pPr>
      <w:r w:rsidRPr="004E27D5">
        <w:rPr>
          <w:rFonts w:ascii="ITC Avant Garde" w:hAnsi="ITC Avant Garde"/>
          <w:b/>
        </w:rPr>
        <w:t>S</w:t>
      </w:r>
      <w:r w:rsidR="00B5388D" w:rsidRPr="004E27D5">
        <w:rPr>
          <w:rFonts w:ascii="ITC Avant Garde" w:hAnsi="ITC Avant Garde"/>
          <w:b/>
        </w:rPr>
        <w:t>EXTO</w:t>
      </w:r>
      <w:r w:rsidRPr="004E27D5">
        <w:rPr>
          <w:rFonts w:ascii="ITC Avant Garde" w:hAnsi="ITC Avant Garde"/>
        </w:rPr>
        <w:t xml:space="preserve">. Toda vez que durante la diligencia de verificación no se identificó al propietario del inmueble, mediante oficios </w:t>
      </w:r>
      <w:r w:rsidRPr="004E27D5">
        <w:rPr>
          <w:rFonts w:ascii="ITC Avant Garde" w:hAnsi="ITC Avant Garde"/>
          <w:b/>
        </w:rPr>
        <w:t>IFT/225/UC/DG-VER/1354/2017</w:t>
      </w:r>
      <w:r w:rsidRPr="004E27D5">
        <w:rPr>
          <w:rFonts w:ascii="ITC Avant Garde" w:hAnsi="ITC Avant Garde"/>
        </w:rPr>
        <w:t xml:space="preserve"> e </w:t>
      </w:r>
      <w:r w:rsidRPr="004E27D5">
        <w:rPr>
          <w:rFonts w:ascii="ITC Avant Garde" w:hAnsi="ITC Avant Garde"/>
          <w:b/>
        </w:rPr>
        <w:t>IFT/225/UC/DG-VER/1353/2017</w:t>
      </w:r>
      <w:r w:rsidRPr="004E27D5">
        <w:rPr>
          <w:rFonts w:ascii="ITC Avant Garde" w:hAnsi="ITC Avant Garde"/>
        </w:rPr>
        <w:t xml:space="preserve"> de fechas treinta de junio y tres de julio de dos mil diecisiete</w:t>
      </w:r>
      <w:r w:rsidR="00994D49" w:rsidRPr="004E27D5">
        <w:rPr>
          <w:rFonts w:ascii="ITC Avant Garde" w:hAnsi="ITC Avant Garde"/>
        </w:rPr>
        <w:t>,</w:t>
      </w:r>
      <w:r w:rsidRPr="004E27D5">
        <w:rPr>
          <w:rFonts w:ascii="ITC Avant Garde" w:hAnsi="ITC Avant Garde"/>
        </w:rPr>
        <w:t xml:space="preserve"> respectivamente, la </w:t>
      </w:r>
      <w:r w:rsidRPr="004E27D5">
        <w:rPr>
          <w:rFonts w:ascii="ITC Avant Garde" w:hAnsi="ITC Avant Garde"/>
          <w:b/>
        </w:rPr>
        <w:t>DGV</w:t>
      </w:r>
      <w:r w:rsidRPr="004E27D5">
        <w:rPr>
          <w:rFonts w:ascii="ITC Avant Garde" w:hAnsi="ITC Avant Garde"/>
        </w:rPr>
        <w:t xml:space="preserve"> solicitó en el primer caso al Instituto de la Función Registral del Estado de México y en el segundo al Catastro Municipal del H. Ayuntamiento de Valle de Bravo, proporcionaran mediante constancia debidamente certificada el nombre de la persona física o moral propietaria y/o poseedora del inmueble ubicado en </w:t>
      </w:r>
      <w:r w:rsidR="00E04264" w:rsidRPr="004E27D5">
        <w:rPr>
          <w:rFonts w:ascii="ITC Avant Garde" w:hAnsi="ITC Avant Garde" w:cs="Tahoma"/>
          <w:b/>
          <w:color w:val="0000FF"/>
        </w:rPr>
        <w:t>“CONFIDENCIAL POR LEY”</w:t>
      </w:r>
      <w:r w:rsidRPr="004E27D5">
        <w:rPr>
          <w:rFonts w:ascii="ITC Avant Garde" w:hAnsi="ITC Avant Garde"/>
          <w:color w:val="0000FF"/>
        </w:rPr>
        <w:t xml:space="preserve"> </w:t>
      </w:r>
      <w:r w:rsidRPr="004E27D5">
        <w:rPr>
          <w:rFonts w:ascii="ITC Avant Garde" w:hAnsi="ITC Avant Garde"/>
        </w:rPr>
        <w:t xml:space="preserve">Municipio de Valle de Bravo, Estado de México, en las inmediaciones de las coordenadas geográficas </w:t>
      </w:r>
      <w:r w:rsidR="00E04264" w:rsidRPr="004E27D5">
        <w:rPr>
          <w:rFonts w:ascii="ITC Avant Garde" w:hAnsi="ITC Avant Garde"/>
          <w:b/>
          <w:color w:val="0000FF"/>
        </w:rPr>
        <w:t>“CONFIDENCIAL POR LEY”</w:t>
      </w:r>
      <w:r w:rsidRPr="004E27D5">
        <w:rPr>
          <w:rFonts w:ascii="ITC Avant Garde" w:hAnsi="ITC Avant Garde"/>
        </w:rPr>
        <w:t>.</w:t>
      </w:r>
    </w:p>
    <w:p w:rsidR="009E7D7C" w:rsidRPr="004E27D5" w:rsidRDefault="00AE31C0" w:rsidP="00FB392B">
      <w:pPr>
        <w:pStyle w:val="Textoindependiente"/>
        <w:tabs>
          <w:tab w:val="left" w:pos="993"/>
        </w:tabs>
        <w:spacing w:after="0" w:line="360" w:lineRule="auto"/>
        <w:jc w:val="both"/>
        <w:rPr>
          <w:rFonts w:ascii="ITC Avant Garde" w:hAnsi="ITC Avant Garde"/>
        </w:rPr>
      </w:pPr>
      <w:r w:rsidRPr="004E27D5">
        <w:rPr>
          <w:rFonts w:ascii="ITC Avant Garde" w:eastAsia="Times New Roman" w:hAnsi="ITC Avant Garde"/>
          <w:bCs/>
          <w:color w:val="000000"/>
          <w:lang w:eastAsia="es-MX"/>
        </w:rPr>
        <w:t>Cabe señalar que a la fecha en que se emite la presente, únicamente se recibió respuesta por parte de</w:t>
      </w:r>
      <w:r w:rsidRPr="004E27D5">
        <w:rPr>
          <w:rFonts w:ascii="ITC Avant Garde" w:hAnsi="ITC Avant Garde"/>
        </w:rPr>
        <w:t>l Registrador Público de la Propiedad y del Comercio en Valle de Bravo</w:t>
      </w:r>
      <w:r w:rsidR="00467248" w:rsidRPr="004E27D5">
        <w:rPr>
          <w:rFonts w:ascii="ITC Avant Garde" w:hAnsi="ITC Avant Garde"/>
        </w:rPr>
        <w:t>,</w:t>
      </w:r>
      <w:r w:rsidRPr="004E27D5">
        <w:rPr>
          <w:rFonts w:ascii="ITC Avant Garde" w:eastAsia="Times New Roman" w:hAnsi="ITC Avant Garde"/>
          <w:bCs/>
          <w:color w:val="000000"/>
          <w:lang w:eastAsia="es-MX"/>
        </w:rPr>
        <w:t xml:space="preserve"> </w:t>
      </w:r>
      <w:r w:rsidR="00467248" w:rsidRPr="004E27D5">
        <w:rPr>
          <w:rFonts w:ascii="ITC Avant Garde" w:hAnsi="ITC Avant Garde"/>
        </w:rPr>
        <w:t xml:space="preserve">Estado de México, </w:t>
      </w:r>
      <w:r w:rsidR="00FB392B" w:rsidRPr="004E27D5">
        <w:rPr>
          <w:rFonts w:ascii="ITC Avant Garde" w:eastAsia="Times New Roman" w:hAnsi="ITC Avant Garde"/>
          <w:bCs/>
          <w:color w:val="000000"/>
          <w:lang w:eastAsia="es-MX"/>
        </w:rPr>
        <w:t>mediante</w:t>
      </w:r>
      <w:r w:rsidR="00BC7B93" w:rsidRPr="004E27D5">
        <w:rPr>
          <w:rFonts w:ascii="ITC Avant Garde" w:hAnsi="ITC Avant Garde"/>
        </w:rPr>
        <w:t xml:space="preserve"> oficio 227B13319/0824/2017 de fecha catorce de julio de dos mil diecisiete, </w:t>
      </w:r>
      <w:r w:rsidR="00FB392B" w:rsidRPr="004E27D5">
        <w:rPr>
          <w:rFonts w:ascii="ITC Avant Garde" w:hAnsi="ITC Avant Garde"/>
        </w:rPr>
        <w:t>a través del cual</w:t>
      </w:r>
      <w:r w:rsidR="00BC7B93" w:rsidRPr="004E27D5">
        <w:rPr>
          <w:rFonts w:ascii="ITC Avant Garde" w:hAnsi="ITC Avant Garde"/>
        </w:rPr>
        <w:t xml:space="preserve"> informó</w:t>
      </w:r>
      <w:r w:rsidR="00FB392B" w:rsidRPr="004E27D5">
        <w:rPr>
          <w:rFonts w:ascii="ITC Avant Garde" w:hAnsi="ITC Avant Garde"/>
        </w:rPr>
        <w:t xml:space="preserve"> que</w:t>
      </w:r>
      <w:r w:rsidR="00BC7B93" w:rsidRPr="004E27D5">
        <w:rPr>
          <w:rFonts w:ascii="ITC Avant Garde" w:hAnsi="ITC Avant Garde"/>
        </w:rPr>
        <w:t xml:space="preserve"> </w:t>
      </w:r>
      <w:r w:rsidR="00BC7B93" w:rsidRPr="004E27D5">
        <w:rPr>
          <w:rFonts w:ascii="ITC Avant Garde" w:hAnsi="ITC Avant Garde"/>
          <w:b/>
        </w:rPr>
        <w:t>“…no es posible efectuar búsqueda alguna con los datos proporcionados”</w:t>
      </w:r>
      <w:r w:rsidR="008023E6" w:rsidRPr="004E27D5">
        <w:rPr>
          <w:rFonts w:ascii="ITC Avant Garde" w:hAnsi="ITC Avant Garde"/>
        </w:rPr>
        <w:t>.</w:t>
      </w:r>
    </w:p>
    <w:p w:rsidR="009E7D7C" w:rsidRPr="004E27D5" w:rsidRDefault="005B134C" w:rsidP="005B134C">
      <w:pPr>
        <w:spacing w:line="360" w:lineRule="auto"/>
        <w:jc w:val="both"/>
        <w:rPr>
          <w:rFonts w:ascii="ITC Avant Garde" w:hAnsi="ITC Avant Garde"/>
        </w:rPr>
      </w:pPr>
      <w:r w:rsidRPr="004E27D5">
        <w:rPr>
          <w:rFonts w:ascii="ITC Avant Garde" w:hAnsi="ITC Avant Garde"/>
        </w:rPr>
        <w:lastRenderedPageBreak/>
        <w:t xml:space="preserve">De lo anterior se advierte que </w:t>
      </w:r>
      <w:r w:rsidRPr="004E27D5">
        <w:rPr>
          <w:rFonts w:ascii="ITC Avant Garde" w:hAnsi="ITC Avant Garde"/>
          <w:b/>
        </w:rPr>
        <w:t>no fue posible identificar al propietario del inmueble donde se aseguraron los equipos de radiodifusión</w:t>
      </w:r>
      <w:r w:rsidRPr="004E27D5">
        <w:rPr>
          <w:rFonts w:ascii="ITC Avant Garde" w:hAnsi="ITC Avant Garde"/>
        </w:rPr>
        <w:t xml:space="preserve"> relacionados con el acta de mérito.</w:t>
      </w:r>
    </w:p>
    <w:p w:rsidR="009E7D7C" w:rsidRPr="004E27D5" w:rsidRDefault="005B134C" w:rsidP="004F3596">
      <w:pPr>
        <w:pStyle w:val="Textoindependiente"/>
        <w:spacing w:after="0" w:line="360" w:lineRule="auto"/>
        <w:jc w:val="both"/>
        <w:rPr>
          <w:rFonts w:ascii="ITC Avant Garde" w:hAnsi="ITC Avant Garde"/>
        </w:rPr>
      </w:pPr>
      <w:r w:rsidRPr="004E27D5">
        <w:rPr>
          <w:rFonts w:ascii="ITC Avant Garde" w:eastAsia="Times New Roman" w:hAnsi="ITC Avant Garde"/>
          <w:b/>
          <w:bCs/>
          <w:color w:val="000000"/>
          <w:lang w:eastAsia="es-MX"/>
        </w:rPr>
        <w:t>SÉPTIMO</w:t>
      </w:r>
      <w:r w:rsidR="00BB6167" w:rsidRPr="004E27D5">
        <w:rPr>
          <w:rFonts w:ascii="ITC Avant Garde" w:eastAsia="Times New Roman" w:hAnsi="ITC Avant Garde"/>
          <w:b/>
          <w:bCs/>
          <w:color w:val="000000"/>
          <w:lang w:eastAsia="es-MX"/>
        </w:rPr>
        <w:t>.</w:t>
      </w:r>
      <w:r w:rsidR="00BB6167" w:rsidRPr="004E27D5">
        <w:rPr>
          <w:rFonts w:ascii="ITC Avant Garde" w:eastAsia="Times New Roman" w:hAnsi="ITC Avant Garde"/>
          <w:bCs/>
          <w:color w:val="000000"/>
          <w:lang w:eastAsia="es-MX"/>
        </w:rPr>
        <w:t xml:space="preserve"> </w:t>
      </w:r>
      <w:r w:rsidR="00AF111F" w:rsidRPr="004E27D5">
        <w:rPr>
          <w:rFonts w:ascii="ITC Avant Garde" w:eastAsia="Times New Roman" w:hAnsi="ITC Avant Garde"/>
          <w:bCs/>
          <w:color w:val="000000"/>
          <w:lang w:eastAsia="es-MX"/>
        </w:rPr>
        <w:t>Derivado de lo anterior, m</w:t>
      </w:r>
      <w:r w:rsidR="00FE1FC5" w:rsidRPr="004E27D5">
        <w:rPr>
          <w:rFonts w:ascii="ITC Avant Garde" w:eastAsia="Times New Roman" w:hAnsi="ITC Avant Garde"/>
          <w:bCs/>
          <w:color w:val="000000"/>
          <w:lang w:eastAsia="es-MX"/>
        </w:rPr>
        <w:t xml:space="preserve">ediante oficio </w:t>
      </w:r>
      <w:r w:rsidR="00951ECE" w:rsidRPr="004E27D5">
        <w:rPr>
          <w:rFonts w:ascii="ITC Avant Garde" w:hAnsi="ITC Avant Garde"/>
          <w:b/>
        </w:rPr>
        <w:t>IFT/225/UC/DG-VER/</w:t>
      </w:r>
      <w:r w:rsidR="002D392F" w:rsidRPr="004E27D5">
        <w:rPr>
          <w:rFonts w:ascii="ITC Avant Garde" w:hAnsi="ITC Avant Garde"/>
          <w:b/>
        </w:rPr>
        <w:t>1428</w:t>
      </w:r>
      <w:r w:rsidR="00951ECE" w:rsidRPr="004E27D5">
        <w:rPr>
          <w:rFonts w:ascii="ITC Avant Garde" w:hAnsi="ITC Avant Garde"/>
          <w:b/>
        </w:rPr>
        <w:t xml:space="preserve">/2017 </w:t>
      </w:r>
      <w:r w:rsidR="00A00AE1" w:rsidRPr="004E27D5">
        <w:rPr>
          <w:rFonts w:ascii="ITC Avant Garde" w:hAnsi="ITC Avant Garde"/>
        </w:rPr>
        <w:t xml:space="preserve">de </w:t>
      </w:r>
      <w:r w:rsidR="00951ECE" w:rsidRPr="004E27D5">
        <w:rPr>
          <w:rFonts w:ascii="ITC Avant Garde" w:hAnsi="ITC Avant Garde"/>
        </w:rPr>
        <w:t xml:space="preserve">catorce de </w:t>
      </w:r>
      <w:r w:rsidR="002D392F" w:rsidRPr="004E27D5">
        <w:rPr>
          <w:rFonts w:ascii="ITC Avant Garde" w:hAnsi="ITC Avant Garde"/>
        </w:rPr>
        <w:t>julio</w:t>
      </w:r>
      <w:r w:rsidR="00951ECE" w:rsidRPr="004E27D5">
        <w:rPr>
          <w:rFonts w:ascii="ITC Avant Garde" w:hAnsi="ITC Avant Garde"/>
        </w:rPr>
        <w:t xml:space="preserve"> de dos mil diecisiete</w:t>
      </w:r>
      <w:r w:rsidR="00FE1FC5" w:rsidRPr="004E27D5">
        <w:rPr>
          <w:rFonts w:ascii="ITC Avant Garde" w:eastAsia="Times New Roman" w:hAnsi="ITC Avant Garde"/>
          <w:bCs/>
          <w:color w:val="000000"/>
          <w:lang w:eastAsia="es-MX"/>
        </w:rPr>
        <w:t xml:space="preserve">, la </w:t>
      </w:r>
      <w:r w:rsidR="00FE1FC5" w:rsidRPr="004E27D5">
        <w:rPr>
          <w:rFonts w:ascii="ITC Avant Garde" w:eastAsia="Times New Roman" w:hAnsi="ITC Avant Garde"/>
          <w:b/>
          <w:bCs/>
          <w:color w:val="000000"/>
          <w:lang w:eastAsia="es-MX"/>
        </w:rPr>
        <w:t>DGV</w:t>
      </w:r>
      <w:r w:rsidR="00496C0E" w:rsidRPr="004E27D5">
        <w:rPr>
          <w:rFonts w:ascii="ITC Avant Garde" w:eastAsia="Times New Roman" w:hAnsi="ITC Avant Garde"/>
          <w:b/>
          <w:bCs/>
          <w:color w:val="000000"/>
          <w:lang w:eastAsia="es-MX"/>
        </w:rPr>
        <w:t xml:space="preserve"> </w:t>
      </w:r>
      <w:r w:rsidR="00FE1FC5" w:rsidRPr="004E27D5">
        <w:rPr>
          <w:rFonts w:ascii="ITC Avant Garde" w:eastAsia="Times New Roman" w:hAnsi="ITC Avant Garde"/>
          <w:bCs/>
          <w:color w:val="000000"/>
          <w:lang w:eastAsia="es-MX"/>
        </w:rPr>
        <w:t>remitió a</w:t>
      </w:r>
      <w:r w:rsidR="00AF111F" w:rsidRPr="004E27D5">
        <w:rPr>
          <w:rFonts w:ascii="ITC Avant Garde" w:eastAsia="Times New Roman" w:hAnsi="ITC Avant Garde"/>
          <w:bCs/>
          <w:color w:val="000000"/>
          <w:lang w:eastAsia="es-MX"/>
        </w:rPr>
        <w:t xml:space="preserve"> </w:t>
      </w:r>
      <w:r w:rsidR="00FE1FC5" w:rsidRPr="004E27D5">
        <w:rPr>
          <w:rFonts w:ascii="ITC Avant Garde" w:eastAsia="Times New Roman" w:hAnsi="ITC Avant Garde"/>
          <w:bCs/>
          <w:color w:val="000000"/>
          <w:lang w:eastAsia="es-MX"/>
        </w:rPr>
        <w:t>l</w:t>
      </w:r>
      <w:r w:rsidR="00AF111F" w:rsidRPr="004E27D5">
        <w:rPr>
          <w:rFonts w:ascii="ITC Avant Garde" w:eastAsia="Times New Roman" w:hAnsi="ITC Avant Garde"/>
          <w:bCs/>
          <w:color w:val="000000"/>
          <w:lang w:eastAsia="es-MX"/>
        </w:rPr>
        <w:t xml:space="preserve">a Dirección General de Sanciones </w:t>
      </w:r>
      <w:r w:rsidR="00FE1FC5" w:rsidRPr="004E27D5">
        <w:rPr>
          <w:rFonts w:ascii="ITC Avant Garde" w:eastAsia="Times New Roman" w:hAnsi="ITC Avant Garde"/>
          <w:bCs/>
          <w:color w:val="000000"/>
          <w:lang w:eastAsia="es-MX"/>
        </w:rPr>
        <w:t xml:space="preserve">de la Unidad de Cumplimiento </w:t>
      </w:r>
      <w:r w:rsidR="00AF111F" w:rsidRPr="004E27D5">
        <w:rPr>
          <w:rFonts w:ascii="ITC Avant Garde" w:eastAsia="Times New Roman" w:hAnsi="ITC Avant Garde"/>
          <w:bCs/>
          <w:color w:val="000000"/>
          <w:lang w:eastAsia="es-MX"/>
        </w:rPr>
        <w:t xml:space="preserve">(“DG-SAN”) </w:t>
      </w:r>
      <w:r w:rsidR="00D66957" w:rsidRPr="004E27D5">
        <w:rPr>
          <w:rFonts w:ascii="ITC Avant Garde" w:hAnsi="ITC Avant Garde"/>
        </w:rPr>
        <w:t>un Dictamen por el cual propone</w:t>
      </w:r>
      <w:r w:rsidR="00D66957" w:rsidRPr="004E27D5">
        <w:rPr>
          <w:rFonts w:ascii="ITC Avant Garde" w:eastAsia="Times New Roman" w:hAnsi="ITC Avant Garde"/>
          <w:bCs/>
          <w:color w:val="000000"/>
          <w:lang w:eastAsia="es-MX"/>
        </w:rPr>
        <w:t xml:space="preserve"> que inicie el </w:t>
      </w:r>
      <w:r w:rsidR="00FE1FC5" w:rsidRPr="004E27D5">
        <w:rPr>
          <w:rFonts w:ascii="ITC Avant Garde" w:eastAsia="Times New Roman" w:hAnsi="ITC Avant Garde"/>
          <w:bCs/>
          <w:color w:val="000000"/>
          <w:lang w:eastAsia="es-MX"/>
        </w:rPr>
        <w:t>“</w:t>
      </w:r>
      <w:r w:rsidR="00D66957" w:rsidRPr="004E27D5">
        <w:rPr>
          <w:rFonts w:ascii="ITC Avant Garde" w:eastAsia="Times New Roman" w:hAnsi="ITC Avant Garde"/>
          <w:bCs/>
          <w:color w:val="000000"/>
          <w:lang w:eastAsia="es-MX"/>
        </w:rPr>
        <w:t>…</w:t>
      </w:r>
      <w:r w:rsidR="004941CE" w:rsidRPr="004E27D5">
        <w:rPr>
          <w:rFonts w:ascii="ITC Avant Garde" w:eastAsia="Times New Roman" w:hAnsi="ITC Avant Garde"/>
          <w:bCs/>
          <w:color w:val="000000"/>
          <w:lang w:eastAsia="es-MX"/>
        </w:rPr>
        <w:t>PROCEDIMIENTO ADMINISTRATIVO DE IMPOSICIÓN DE SANCI</w:t>
      </w:r>
      <w:r w:rsidR="007A0610" w:rsidRPr="004E27D5">
        <w:rPr>
          <w:rFonts w:ascii="ITC Avant Garde" w:eastAsia="Times New Roman" w:hAnsi="ITC Avant Garde"/>
          <w:bCs/>
          <w:color w:val="000000"/>
          <w:lang w:eastAsia="es-MX"/>
        </w:rPr>
        <w:t>Ó</w:t>
      </w:r>
      <w:r w:rsidR="004941CE" w:rsidRPr="004E27D5">
        <w:rPr>
          <w:rFonts w:ascii="ITC Avant Garde" w:eastAsia="Times New Roman" w:hAnsi="ITC Avant Garde"/>
          <w:bCs/>
          <w:color w:val="000000"/>
          <w:lang w:eastAsia="es-MX"/>
        </w:rPr>
        <w:t>N</w:t>
      </w:r>
      <w:r w:rsidR="007A0610" w:rsidRPr="004E27D5">
        <w:rPr>
          <w:rFonts w:ascii="ITC Avant Garde" w:eastAsia="Times New Roman" w:hAnsi="ITC Avant Garde"/>
          <w:bCs/>
          <w:color w:val="000000"/>
          <w:lang w:eastAsia="es-MX"/>
        </w:rPr>
        <w:t xml:space="preserve"> Y EN SU OPORTUNIDAD SE EMITA LA </w:t>
      </w:r>
      <w:r w:rsidR="004941CE" w:rsidRPr="004E27D5">
        <w:rPr>
          <w:rFonts w:ascii="ITC Avant Garde" w:eastAsia="Times New Roman" w:hAnsi="ITC Avant Garde"/>
          <w:bCs/>
          <w:color w:val="000000"/>
          <w:lang w:eastAsia="es-MX"/>
        </w:rPr>
        <w:t xml:space="preserve">DECLARATORIA DE PÉRDIDA DE BIENES, INSTALACIONES Y EQUIPOS EN BENEFICIO DE LA NACIÓN </w:t>
      </w:r>
      <w:r w:rsidR="007A0610" w:rsidRPr="004E27D5">
        <w:rPr>
          <w:rFonts w:ascii="ITC Avant Garde" w:eastAsia="Times New Roman" w:hAnsi="ITC Avant Garde"/>
          <w:bCs/>
          <w:color w:val="000000"/>
          <w:lang w:eastAsia="es-MX"/>
        </w:rPr>
        <w:t xml:space="preserve">EN CONTRA DEL </w:t>
      </w:r>
      <w:r w:rsidR="00DD6513" w:rsidRPr="004E27D5">
        <w:rPr>
          <w:rFonts w:ascii="ITC Avant Garde" w:hAnsi="ITC Avant Garde"/>
        </w:rPr>
        <w:t xml:space="preserve">PROPIETARIO, Y/O POSEEDOR, Y/O RESPONSABLE, Y/O ENCARGADO </w:t>
      </w:r>
      <w:r w:rsidR="002D392F" w:rsidRPr="004E27D5">
        <w:rPr>
          <w:rFonts w:ascii="ITC Avant Garde" w:hAnsi="ITC Avant Garde"/>
        </w:rPr>
        <w:t xml:space="preserve">DE LAS INSTALACIONES Y EQUIPOS DE RADIODIFUSIÓN LOCALIZADOS EN EL INMUEBLE UBICADO EN: </w:t>
      </w:r>
      <w:r w:rsidR="00E04264" w:rsidRPr="004E27D5">
        <w:rPr>
          <w:rFonts w:ascii="ITC Avant Garde" w:hAnsi="ITC Avant Garde"/>
          <w:b/>
          <w:color w:val="0000FF"/>
        </w:rPr>
        <w:t>“CONFIDENCIAL POR LEY”</w:t>
      </w:r>
      <w:r w:rsidR="002D392F" w:rsidRPr="004E27D5">
        <w:rPr>
          <w:rFonts w:ascii="ITC Avant Garde" w:hAnsi="ITC Avant Garde"/>
        </w:rPr>
        <w:t xml:space="preserve"> MUNICIPIO DE VALLE DE BRAVO, ESTADO DE MÉXICO, (LUGAR EN EL QUE SE DETECTARON LAS INSTALACIONES DE UNA ESTACIÓN DE RADIODIFUSIÓN, OPERANDO LA FRECUENCIA 106.1 MHZ),</w:t>
      </w:r>
      <w:r w:rsidR="002D392F" w:rsidRPr="004E27D5">
        <w:rPr>
          <w:rFonts w:ascii="ITC Avant Garde" w:hAnsi="ITC Avant Garde"/>
          <w:color w:val="000000"/>
        </w:rPr>
        <w:t xml:space="preserve"> </w:t>
      </w:r>
      <w:r w:rsidR="002D392F" w:rsidRPr="004E27D5">
        <w:rPr>
          <w:rFonts w:ascii="ITC Avant Garde" w:hAnsi="ITC Avant Garde"/>
        </w:rPr>
        <w:t>POR LA PRESUNTA INFRACCIÓN DE</w:t>
      </w:r>
      <w:r w:rsidR="002D392F" w:rsidRPr="004E27D5">
        <w:rPr>
          <w:rFonts w:ascii="ITC Avant Garde" w:eastAsia="Times New Roman" w:hAnsi="ITC Avant Garde"/>
          <w:bCs/>
          <w:color w:val="000000"/>
          <w:lang w:eastAsia="es-MX"/>
        </w:rPr>
        <w:t xml:space="preserve">L ARTÍCULO 66 EN RELACIÓN CON EL ARTÍCULO 75, Y LA PROBABLE ACTUALIZACIÓN DE LA HIPÓTESIS NORMATIVA PREVISTA EN EL ARTÍCULO 305, TODOS DE LA LEY FEDERAL DE TELECOMUNICACIONES Y RADIODIFUSIÓN, DERIVADO DE LA VISITA DE INSPECCIÓN Y VERIFICACIÓN QUE CONSTA EN EL ACTA DE VERIFICACIÓN NÚMERO </w:t>
      </w:r>
      <w:r w:rsidR="004B32BD" w:rsidRPr="004E27D5">
        <w:rPr>
          <w:rFonts w:ascii="ITC Avant Garde" w:eastAsia="Times New Roman" w:hAnsi="ITC Avant Garde"/>
          <w:bCs/>
          <w:color w:val="000000"/>
          <w:lang w:eastAsia="es-MX"/>
        </w:rPr>
        <w:t>IFT/UC/DG-VER/054/2017</w:t>
      </w:r>
      <w:r w:rsidR="002D392F" w:rsidRPr="004E27D5">
        <w:rPr>
          <w:rFonts w:ascii="ITC Avant Garde" w:eastAsia="Times New Roman" w:hAnsi="ITC Avant Garde"/>
          <w:bCs/>
          <w:color w:val="000000"/>
          <w:lang w:eastAsia="es-MX"/>
        </w:rPr>
        <w:t>.</w:t>
      </w:r>
      <w:r w:rsidR="00FE1FC5" w:rsidRPr="004E27D5">
        <w:rPr>
          <w:rFonts w:ascii="ITC Avant Garde" w:eastAsia="Times New Roman" w:hAnsi="ITC Avant Garde"/>
          <w:bCs/>
          <w:color w:val="000000"/>
          <w:lang w:eastAsia="es-MX"/>
        </w:rPr>
        <w:t>”</w:t>
      </w:r>
    </w:p>
    <w:p w:rsidR="004E27D5" w:rsidRPr="004E27D5" w:rsidRDefault="00D75315" w:rsidP="00C321E2">
      <w:pPr>
        <w:spacing w:after="0" w:line="360" w:lineRule="auto"/>
        <w:jc w:val="both"/>
        <w:rPr>
          <w:rFonts w:ascii="ITC Avant Garde" w:eastAsia="Times New Roman" w:hAnsi="ITC Avant Garde"/>
          <w:bCs/>
          <w:color w:val="000000"/>
          <w:lang w:eastAsia="es-MX"/>
        </w:rPr>
        <w:sectPr w:rsidR="004E27D5" w:rsidRPr="004E27D5" w:rsidSect="009B5755">
          <w:headerReference w:type="default" r:id="rId15"/>
          <w:pgSz w:w="12240" w:h="15840"/>
          <w:pgMar w:top="1985" w:right="1418" w:bottom="1418" w:left="1418" w:header="709" w:footer="420" w:gutter="0"/>
          <w:cols w:space="708"/>
          <w:docGrid w:linePitch="360"/>
        </w:sectPr>
      </w:pPr>
      <w:r w:rsidRPr="004E27D5">
        <w:rPr>
          <w:rFonts w:ascii="ITC Avant Garde" w:eastAsia="Times New Roman" w:hAnsi="ITC Avant Garde"/>
          <w:b/>
          <w:bCs/>
          <w:color w:val="000000"/>
          <w:lang w:eastAsia="es-MX"/>
        </w:rPr>
        <w:t>OCTAVO</w:t>
      </w:r>
      <w:r w:rsidR="004F3596" w:rsidRPr="004E27D5">
        <w:rPr>
          <w:rFonts w:ascii="ITC Avant Garde" w:eastAsia="Times New Roman" w:hAnsi="ITC Avant Garde"/>
          <w:bCs/>
          <w:color w:val="000000"/>
          <w:lang w:eastAsia="es-MX"/>
        </w:rPr>
        <w:t>. En virtud de lo anterior, por acuerdo</w:t>
      </w:r>
      <w:r w:rsidR="004F3596" w:rsidRPr="004E27D5">
        <w:rPr>
          <w:rFonts w:ascii="ITC Avant Garde" w:eastAsia="Times New Roman" w:hAnsi="ITC Avant Garde"/>
          <w:b/>
          <w:bCs/>
          <w:color w:val="000000"/>
          <w:lang w:eastAsia="es-MX"/>
        </w:rPr>
        <w:t xml:space="preserve"> </w:t>
      </w:r>
      <w:r w:rsidR="004F3596" w:rsidRPr="004E27D5">
        <w:rPr>
          <w:rFonts w:ascii="ITC Avant Garde" w:eastAsia="Times New Roman" w:hAnsi="ITC Avant Garde"/>
          <w:bCs/>
          <w:color w:val="000000"/>
          <w:lang w:eastAsia="es-MX"/>
        </w:rPr>
        <w:t xml:space="preserve">de </w:t>
      </w:r>
      <w:r w:rsidR="002D392F" w:rsidRPr="004E27D5">
        <w:rPr>
          <w:rFonts w:ascii="ITC Avant Garde" w:hAnsi="ITC Avant Garde"/>
        </w:rPr>
        <w:t>dieciséis de agosto de dos mil diecisiete</w:t>
      </w:r>
      <w:r w:rsidR="004F3596" w:rsidRPr="004E27D5">
        <w:rPr>
          <w:rFonts w:ascii="ITC Avant Garde" w:eastAsia="Times New Roman" w:hAnsi="ITC Avant Garde"/>
          <w:bCs/>
          <w:color w:val="000000"/>
          <w:lang w:eastAsia="es-MX"/>
        </w:rPr>
        <w:t xml:space="preserve">, </w:t>
      </w:r>
      <w:r w:rsidR="000166A6" w:rsidRPr="004E27D5">
        <w:rPr>
          <w:rFonts w:ascii="ITC Avant Garde" w:eastAsia="Times New Roman" w:hAnsi="ITC Avant Garde"/>
          <w:bCs/>
          <w:color w:val="000000"/>
          <w:lang w:eastAsia="es-MX"/>
        </w:rPr>
        <w:t xml:space="preserve">el </w:t>
      </w:r>
      <w:r w:rsidR="004F3596" w:rsidRPr="004E27D5">
        <w:rPr>
          <w:rFonts w:ascii="ITC Avant Garde" w:eastAsia="Times New Roman" w:hAnsi="ITC Avant Garde"/>
          <w:b/>
          <w:bCs/>
          <w:color w:val="000000"/>
          <w:lang w:eastAsia="es-MX"/>
        </w:rPr>
        <w:t>Instituto</w:t>
      </w:r>
      <w:r w:rsidR="004F3596" w:rsidRPr="004E27D5">
        <w:rPr>
          <w:rFonts w:ascii="ITC Avant Garde" w:eastAsia="Times New Roman" w:hAnsi="ITC Avant Garde"/>
          <w:bCs/>
          <w:color w:val="000000"/>
          <w:lang w:eastAsia="es-MX"/>
        </w:rPr>
        <w:t xml:space="preserve"> por conducto del Titular de la Unidad de Cumplimiento inició el procedimiento administrativo de imposición de sanción y declaratoria de pérdida de bienes, instalaciones y equipos en beneficio de la Nación, en contra</w:t>
      </w:r>
      <w:r w:rsidR="004F3596" w:rsidRPr="004E27D5">
        <w:rPr>
          <w:rFonts w:ascii="ITC Avant Garde" w:hAnsi="ITC Avant Garde"/>
        </w:rPr>
        <w:t xml:space="preserve"> </w:t>
      </w:r>
      <w:r w:rsidR="0047731F" w:rsidRPr="004E27D5">
        <w:rPr>
          <w:rFonts w:ascii="ITC Avant Garde" w:hAnsi="ITC Avant Garde"/>
        </w:rPr>
        <w:t xml:space="preserve">del </w:t>
      </w:r>
      <w:r w:rsidR="00A01799" w:rsidRPr="004E27D5">
        <w:rPr>
          <w:rFonts w:ascii="ITC Avant Garde" w:hAnsi="ITC Avant Garde"/>
          <w:b/>
        </w:rPr>
        <w:t>PRESUNTO RESPONSABLE</w:t>
      </w:r>
      <w:r w:rsidR="00A01799" w:rsidRPr="004E27D5">
        <w:rPr>
          <w:rFonts w:ascii="ITC Avant Garde" w:eastAsia="Times New Roman" w:hAnsi="ITC Avant Garde"/>
          <w:bCs/>
          <w:color w:val="000000"/>
          <w:lang w:eastAsia="es-MX"/>
        </w:rPr>
        <w:t xml:space="preserve"> </w:t>
      </w:r>
      <w:r w:rsidR="000166A6" w:rsidRPr="004E27D5">
        <w:rPr>
          <w:rFonts w:ascii="ITC Avant Garde" w:eastAsia="Times New Roman" w:hAnsi="ITC Avant Garde"/>
          <w:bCs/>
          <w:color w:val="000000"/>
          <w:lang w:eastAsia="es-MX"/>
        </w:rPr>
        <w:t>por presumirse la infracción al artículo 66</w:t>
      </w:r>
      <w:r w:rsidR="00B8119C" w:rsidRPr="004E27D5">
        <w:rPr>
          <w:rFonts w:ascii="ITC Avant Garde" w:eastAsia="Times New Roman" w:hAnsi="ITC Avant Garde"/>
          <w:bCs/>
          <w:color w:val="000000"/>
          <w:lang w:eastAsia="es-MX"/>
        </w:rPr>
        <w:t xml:space="preserve"> </w:t>
      </w:r>
      <w:r w:rsidR="00B8119C" w:rsidRPr="004E27D5">
        <w:rPr>
          <w:rFonts w:ascii="ITC Avant Garde" w:hAnsi="ITC Avant Garde"/>
        </w:rPr>
        <w:t xml:space="preserve">en relación con el </w:t>
      </w:r>
      <w:r w:rsidR="00232142" w:rsidRPr="004E27D5">
        <w:rPr>
          <w:rFonts w:ascii="ITC Avant Garde" w:hAnsi="ITC Avant Garde"/>
        </w:rPr>
        <w:t>75</w:t>
      </w:r>
      <w:r w:rsidR="00B8119C" w:rsidRPr="004E27D5">
        <w:rPr>
          <w:rFonts w:ascii="ITC Avant Garde" w:hAnsi="ITC Avant Garde"/>
        </w:rPr>
        <w:t>,</w:t>
      </w:r>
      <w:r w:rsidR="000166A6" w:rsidRPr="004E27D5">
        <w:rPr>
          <w:rFonts w:ascii="ITC Avant Garde" w:eastAsia="Times New Roman" w:hAnsi="ITC Avant Garde"/>
          <w:bCs/>
          <w:color w:val="000000"/>
          <w:lang w:eastAsia="es-MX"/>
        </w:rPr>
        <w:t xml:space="preserve"> y la actualización de la hipótesis normativa prevista en el artículo 305, </w:t>
      </w:r>
      <w:r w:rsidR="00B8119C" w:rsidRPr="004E27D5">
        <w:rPr>
          <w:rFonts w:ascii="ITC Avant Garde" w:eastAsia="Times New Roman" w:hAnsi="ITC Avant Garde"/>
          <w:bCs/>
          <w:color w:val="000000"/>
          <w:lang w:eastAsia="es-MX"/>
        </w:rPr>
        <w:t>tod</w:t>
      </w:r>
      <w:r w:rsidR="000166A6" w:rsidRPr="004E27D5">
        <w:rPr>
          <w:rFonts w:ascii="ITC Avant Garde" w:eastAsia="Times New Roman" w:hAnsi="ITC Avant Garde"/>
          <w:bCs/>
          <w:color w:val="000000"/>
          <w:lang w:eastAsia="es-MX"/>
        </w:rPr>
        <w:t xml:space="preserve">os de la </w:t>
      </w:r>
      <w:r w:rsidR="006310EA" w:rsidRPr="004E27D5">
        <w:rPr>
          <w:rFonts w:ascii="ITC Avant Garde" w:eastAsia="Times New Roman" w:hAnsi="ITC Avant Garde"/>
          <w:b/>
          <w:bCs/>
          <w:color w:val="000000"/>
          <w:lang w:eastAsia="es-MX"/>
        </w:rPr>
        <w:t>LFTR</w:t>
      </w:r>
      <w:r w:rsidR="000166A6" w:rsidRPr="004E27D5">
        <w:rPr>
          <w:rFonts w:ascii="ITC Avant Garde" w:eastAsia="Times New Roman" w:hAnsi="ITC Avant Garde"/>
          <w:bCs/>
          <w:color w:val="000000"/>
          <w:lang w:eastAsia="es-MX"/>
        </w:rPr>
        <w:t xml:space="preserve">, ya que de la propuesta </w:t>
      </w:r>
      <w:r w:rsidR="004F3596" w:rsidRPr="004E27D5">
        <w:rPr>
          <w:rFonts w:ascii="ITC Avant Garde" w:eastAsia="Times New Roman" w:hAnsi="ITC Avant Garde"/>
          <w:bCs/>
          <w:color w:val="000000"/>
          <w:lang w:eastAsia="es-MX"/>
        </w:rPr>
        <w:t xml:space="preserve">de la </w:t>
      </w:r>
      <w:r w:rsidR="004F3596" w:rsidRPr="004E27D5">
        <w:rPr>
          <w:rFonts w:ascii="ITC Avant Garde" w:hAnsi="ITC Avant Garde"/>
          <w:b/>
        </w:rPr>
        <w:t>DGV</w:t>
      </w:r>
      <w:r w:rsidR="004F3596" w:rsidRPr="004E27D5">
        <w:rPr>
          <w:rFonts w:ascii="ITC Avant Garde" w:hAnsi="ITC Avant Garde"/>
          <w:color w:val="000000"/>
        </w:rPr>
        <w:t>,</w:t>
      </w:r>
      <w:r w:rsidR="004F3596" w:rsidRPr="004E27D5">
        <w:rPr>
          <w:rFonts w:ascii="ITC Avant Garde" w:eastAsia="Times New Roman" w:hAnsi="ITC Avant Garde"/>
          <w:bCs/>
          <w:color w:val="000000"/>
          <w:lang w:eastAsia="es-MX"/>
        </w:rPr>
        <w:t xml:space="preserve"> </w:t>
      </w:r>
      <w:r w:rsidR="000166A6" w:rsidRPr="004E27D5">
        <w:rPr>
          <w:rFonts w:ascii="ITC Avant Garde" w:eastAsia="Times New Roman" w:hAnsi="ITC Avant Garde"/>
          <w:bCs/>
          <w:color w:val="000000"/>
          <w:lang w:eastAsia="es-MX"/>
        </w:rPr>
        <w:t xml:space="preserve">se cuentan con elementos suficientes para </w:t>
      </w:r>
      <w:r w:rsidR="00F72092" w:rsidRPr="004E27D5">
        <w:rPr>
          <w:rFonts w:ascii="ITC Avant Garde" w:eastAsia="Times New Roman" w:hAnsi="ITC Avant Garde"/>
          <w:bCs/>
          <w:color w:val="000000"/>
          <w:lang w:eastAsia="es-MX"/>
        </w:rPr>
        <w:t>presumir</w:t>
      </w:r>
      <w:r w:rsidR="00F72092" w:rsidRPr="004E27D5" w:rsidDel="00F72092">
        <w:rPr>
          <w:rFonts w:ascii="ITC Avant Garde" w:eastAsia="Times New Roman" w:hAnsi="ITC Avant Garde"/>
          <w:bCs/>
          <w:color w:val="000000"/>
          <w:lang w:eastAsia="es-MX"/>
        </w:rPr>
        <w:t xml:space="preserve"> </w:t>
      </w:r>
      <w:r w:rsidR="000166A6" w:rsidRPr="004E27D5">
        <w:rPr>
          <w:rFonts w:ascii="ITC Avant Garde" w:eastAsia="Times New Roman" w:hAnsi="ITC Avant Garde"/>
          <w:bCs/>
          <w:color w:val="000000"/>
          <w:lang w:eastAsia="es-MX"/>
        </w:rPr>
        <w:t xml:space="preserve">la </w:t>
      </w:r>
      <w:r w:rsidR="00CE5B03" w:rsidRPr="004E27D5">
        <w:rPr>
          <w:rFonts w:ascii="ITC Avant Garde" w:eastAsia="Times New Roman" w:hAnsi="ITC Avant Garde"/>
          <w:bCs/>
          <w:color w:val="000000"/>
          <w:lang w:eastAsia="es-MX"/>
        </w:rPr>
        <w:t>presta</w:t>
      </w:r>
      <w:r w:rsidR="000166A6" w:rsidRPr="004E27D5">
        <w:rPr>
          <w:rFonts w:ascii="ITC Avant Garde" w:eastAsia="Times New Roman" w:hAnsi="ITC Avant Garde"/>
          <w:bCs/>
          <w:color w:val="000000"/>
          <w:lang w:eastAsia="es-MX"/>
        </w:rPr>
        <w:t>ción d</w:t>
      </w:r>
      <w:r w:rsidR="00CE5B03" w:rsidRPr="004E27D5">
        <w:rPr>
          <w:rFonts w:ascii="ITC Avant Garde" w:eastAsia="Times New Roman" w:hAnsi="ITC Avant Garde"/>
          <w:bCs/>
          <w:color w:val="000000"/>
          <w:lang w:eastAsia="es-MX"/>
        </w:rPr>
        <w:t xml:space="preserve">el servicio de radiodifusión </w:t>
      </w:r>
      <w:r w:rsidR="000166A6" w:rsidRPr="004E27D5">
        <w:rPr>
          <w:rFonts w:ascii="ITC Avant Garde" w:eastAsia="Times New Roman" w:hAnsi="ITC Avant Garde"/>
          <w:bCs/>
          <w:color w:val="000000"/>
          <w:lang w:eastAsia="es-MX"/>
        </w:rPr>
        <w:t xml:space="preserve">a través de la operación, uso y explotación de una vía general de comunicación (espectro radioeléctrico) consistente en la </w:t>
      </w:r>
      <w:r w:rsidR="00CE5B03" w:rsidRPr="004E27D5">
        <w:rPr>
          <w:rFonts w:ascii="ITC Avant Garde" w:hAnsi="ITC Avant Garde"/>
        </w:rPr>
        <w:t>frecuencia</w:t>
      </w:r>
      <w:r w:rsidR="004F3596" w:rsidRPr="004E27D5">
        <w:rPr>
          <w:rFonts w:ascii="ITC Avant Garde" w:hAnsi="ITC Avant Garde"/>
          <w:b/>
        </w:rPr>
        <w:t xml:space="preserve"> </w:t>
      </w:r>
      <w:r w:rsidR="00C9435A" w:rsidRPr="004E27D5">
        <w:rPr>
          <w:rFonts w:ascii="ITC Avant Garde" w:hAnsi="ITC Avant Garde"/>
          <w:b/>
          <w:caps/>
        </w:rPr>
        <w:t>106.1</w:t>
      </w:r>
      <w:r w:rsidR="002C1AD8" w:rsidRPr="004E27D5">
        <w:rPr>
          <w:rFonts w:ascii="ITC Avant Garde" w:hAnsi="ITC Avant Garde"/>
          <w:b/>
        </w:rPr>
        <w:t xml:space="preserve"> MHz</w:t>
      </w:r>
      <w:r w:rsidR="004F3596" w:rsidRPr="004E27D5">
        <w:rPr>
          <w:rFonts w:ascii="ITC Avant Garde" w:eastAsia="Times New Roman" w:hAnsi="ITC Avant Garde"/>
          <w:bCs/>
          <w:color w:val="000000"/>
          <w:lang w:eastAsia="es-MX"/>
        </w:rPr>
        <w:t xml:space="preserve"> </w:t>
      </w:r>
      <w:r w:rsidR="000166A6" w:rsidRPr="004E27D5">
        <w:rPr>
          <w:rFonts w:ascii="ITC Avant Garde" w:eastAsia="Times New Roman" w:hAnsi="ITC Avant Garde"/>
          <w:bCs/>
          <w:color w:val="000000"/>
          <w:lang w:eastAsia="es-MX"/>
        </w:rPr>
        <w:t>por parte de</w:t>
      </w:r>
      <w:r w:rsidR="00760751" w:rsidRPr="004E27D5">
        <w:rPr>
          <w:rFonts w:ascii="ITC Avant Garde" w:eastAsia="Times New Roman" w:hAnsi="ITC Avant Garde"/>
          <w:bCs/>
          <w:color w:val="000000"/>
          <w:lang w:eastAsia="es-MX"/>
        </w:rPr>
        <w:t>l</w:t>
      </w:r>
      <w:r w:rsidR="000166A6" w:rsidRPr="004E27D5">
        <w:rPr>
          <w:rFonts w:ascii="ITC Avant Garde" w:eastAsia="Times New Roman" w:hAnsi="ITC Avant Garde"/>
          <w:bCs/>
          <w:color w:val="000000"/>
          <w:lang w:eastAsia="es-MX"/>
        </w:rPr>
        <w:t xml:space="preserve"> </w:t>
      </w:r>
      <w:r w:rsidR="00041D1C" w:rsidRPr="004E27D5">
        <w:rPr>
          <w:rFonts w:ascii="ITC Avant Garde" w:hAnsi="ITC Avant Garde" w:cs="Arial"/>
        </w:rPr>
        <w:t>presunto responsable</w:t>
      </w:r>
      <w:r w:rsidR="00760751" w:rsidRPr="004E27D5">
        <w:rPr>
          <w:rFonts w:ascii="ITC Avant Garde" w:eastAsia="Times New Roman" w:hAnsi="ITC Avant Garde"/>
          <w:bCs/>
          <w:color w:val="000000"/>
          <w:lang w:eastAsia="es-MX"/>
        </w:rPr>
        <w:t>,</w:t>
      </w:r>
      <w:r w:rsidR="000166A6" w:rsidRPr="004E27D5">
        <w:rPr>
          <w:rFonts w:ascii="ITC Avant Garde" w:eastAsia="Times New Roman" w:hAnsi="ITC Avant Garde"/>
          <w:bCs/>
          <w:color w:val="000000"/>
          <w:lang w:eastAsia="es-MX"/>
        </w:rPr>
        <w:t xml:space="preserve"> </w:t>
      </w:r>
      <w:r w:rsidR="00CE5B03" w:rsidRPr="004E27D5">
        <w:rPr>
          <w:rFonts w:ascii="ITC Avant Garde" w:eastAsia="Times New Roman" w:hAnsi="ITC Avant Garde"/>
          <w:bCs/>
          <w:color w:val="000000"/>
          <w:lang w:eastAsia="es-MX"/>
        </w:rPr>
        <w:t>sin contar con la concesión, permiso o autorización correspondiente, de conformidad con lo establecido en</w:t>
      </w:r>
      <w:r w:rsidR="000166A6" w:rsidRPr="004E27D5">
        <w:rPr>
          <w:rFonts w:ascii="ITC Avant Garde" w:eastAsia="Times New Roman" w:hAnsi="ITC Avant Garde"/>
          <w:bCs/>
          <w:color w:val="000000"/>
          <w:lang w:eastAsia="es-MX"/>
        </w:rPr>
        <w:t xml:space="preserve"> la</w:t>
      </w:r>
      <w:r w:rsidR="00CE5B03" w:rsidRPr="004E27D5">
        <w:rPr>
          <w:rFonts w:ascii="ITC Avant Garde" w:eastAsia="Times New Roman" w:hAnsi="ITC Avant Garde"/>
          <w:bCs/>
          <w:color w:val="000000"/>
          <w:lang w:eastAsia="es-MX"/>
        </w:rPr>
        <w:t xml:space="preserve"> </w:t>
      </w:r>
      <w:r w:rsidR="006310EA" w:rsidRPr="004E27D5">
        <w:rPr>
          <w:rFonts w:ascii="ITC Avant Garde" w:eastAsia="Times New Roman" w:hAnsi="ITC Avant Garde"/>
          <w:b/>
          <w:bCs/>
          <w:color w:val="000000"/>
          <w:lang w:eastAsia="es-MX"/>
        </w:rPr>
        <w:t>LFTR</w:t>
      </w:r>
      <w:r w:rsidR="00CE5B03" w:rsidRPr="004E27D5">
        <w:rPr>
          <w:rFonts w:ascii="ITC Avant Garde" w:eastAsia="Times New Roman" w:hAnsi="ITC Avant Garde"/>
          <w:bCs/>
          <w:color w:val="000000"/>
          <w:lang w:eastAsia="es-MX"/>
        </w:rPr>
        <w:t>.</w:t>
      </w:r>
    </w:p>
    <w:p w:rsidR="009E7D7C" w:rsidRPr="004E27D5" w:rsidRDefault="00D75315" w:rsidP="00C321E2">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
          <w:bCs/>
          <w:color w:val="000000"/>
          <w:lang w:eastAsia="es-MX"/>
        </w:rPr>
        <w:lastRenderedPageBreak/>
        <w:t>NOVENO</w:t>
      </w:r>
      <w:r w:rsidR="004F3596" w:rsidRPr="004E27D5">
        <w:rPr>
          <w:rFonts w:ascii="ITC Avant Garde" w:eastAsia="Times New Roman" w:hAnsi="ITC Avant Garde"/>
          <w:b/>
          <w:bCs/>
          <w:color w:val="000000"/>
          <w:lang w:eastAsia="es-MX"/>
        </w:rPr>
        <w:t>.</w:t>
      </w:r>
      <w:r w:rsidR="00BD453C" w:rsidRPr="004E27D5">
        <w:rPr>
          <w:rFonts w:ascii="ITC Avant Garde" w:eastAsia="Times New Roman" w:hAnsi="ITC Avant Garde"/>
          <w:b/>
          <w:bCs/>
          <w:color w:val="000000"/>
          <w:lang w:eastAsia="es-MX"/>
        </w:rPr>
        <w:t xml:space="preserve"> </w:t>
      </w:r>
      <w:r w:rsidR="00F96806" w:rsidRPr="004E27D5">
        <w:rPr>
          <w:rFonts w:ascii="ITC Avant Garde" w:eastAsia="Times New Roman" w:hAnsi="ITC Avant Garde"/>
          <w:bCs/>
          <w:color w:val="000000"/>
          <w:lang w:eastAsia="es-MX"/>
        </w:rPr>
        <w:t>Con</w:t>
      </w:r>
      <w:r w:rsidR="00F96806" w:rsidRPr="004E27D5">
        <w:rPr>
          <w:rFonts w:ascii="ITC Avant Garde" w:eastAsia="Times New Roman" w:hAnsi="ITC Avant Garde"/>
          <w:b/>
          <w:bCs/>
          <w:color w:val="000000"/>
          <w:lang w:eastAsia="es-MX"/>
        </w:rPr>
        <w:t xml:space="preserve"> </w:t>
      </w:r>
      <w:r w:rsidR="00F96806" w:rsidRPr="004E27D5">
        <w:rPr>
          <w:rFonts w:ascii="ITC Avant Garde" w:eastAsia="Times New Roman" w:hAnsi="ITC Avant Garde"/>
          <w:bCs/>
          <w:color w:val="000000"/>
          <w:lang w:eastAsia="es-MX"/>
        </w:rPr>
        <w:t xml:space="preserve">previo citatorio que fue dejado el día veintiuno de agosto de dos mil </w:t>
      </w:r>
      <w:r w:rsidR="006C5F05" w:rsidRPr="004E27D5">
        <w:rPr>
          <w:rFonts w:ascii="ITC Avant Garde" w:eastAsia="Times New Roman" w:hAnsi="ITC Avant Garde"/>
          <w:bCs/>
          <w:color w:val="000000"/>
          <w:lang w:eastAsia="es-MX"/>
        </w:rPr>
        <w:t>diecisiete</w:t>
      </w:r>
      <w:r w:rsidR="00BD453C" w:rsidRPr="004E27D5">
        <w:rPr>
          <w:rFonts w:ascii="ITC Avant Garde" w:eastAsia="Times New Roman" w:hAnsi="ITC Avant Garde"/>
          <w:bCs/>
          <w:color w:val="000000"/>
          <w:lang w:eastAsia="es-MX"/>
        </w:rPr>
        <w:t>,</w:t>
      </w:r>
      <w:r w:rsidR="004F3596" w:rsidRPr="004E27D5">
        <w:rPr>
          <w:rFonts w:ascii="ITC Avant Garde" w:eastAsia="Times New Roman" w:hAnsi="ITC Avant Garde"/>
          <w:bCs/>
          <w:color w:val="000000"/>
          <w:lang w:eastAsia="es-MX"/>
        </w:rPr>
        <w:t xml:space="preserve"> </w:t>
      </w:r>
      <w:r w:rsidR="002C00F1" w:rsidRPr="004E27D5">
        <w:rPr>
          <w:rFonts w:ascii="ITC Avant Garde" w:eastAsia="Times New Roman" w:hAnsi="ITC Avant Garde"/>
          <w:bCs/>
          <w:color w:val="000000"/>
          <w:lang w:eastAsia="es-MX"/>
        </w:rPr>
        <w:t>con fecha</w:t>
      </w:r>
      <w:r w:rsidR="006048D0" w:rsidRPr="004E27D5">
        <w:rPr>
          <w:rFonts w:ascii="ITC Avant Garde" w:eastAsia="Times New Roman" w:hAnsi="ITC Avant Garde"/>
          <w:bCs/>
          <w:color w:val="000000"/>
          <w:lang w:eastAsia="es-MX"/>
        </w:rPr>
        <w:t xml:space="preserve"> </w:t>
      </w:r>
      <w:r w:rsidR="00986F50" w:rsidRPr="004E27D5">
        <w:rPr>
          <w:rFonts w:ascii="ITC Avant Garde" w:eastAsia="Times New Roman" w:hAnsi="ITC Avant Garde"/>
          <w:bCs/>
          <w:color w:val="000000"/>
          <w:lang w:eastAsia="es-MX"/>
        </w:rPr>
        <w:t>veintidós de agosto</w:t>
      </w:r>
      <w:r w:rsidR="00D66957" w:rsidRPr="004E27D5">
        <w:rPr>
          <w:rFonts w:ascii="ITC Avant Garde" w:eastAsia="Times New Roman" w:hAnsi="ITC Avant Garde"/>
          <w:bCs/>
          <w:color w:val="000000"/>
          <w:lang w:eastAsia="es-MX"/>
        </w:rPr>
        <w:t xml:space="preserve"> </w:t>
      </w:r>
      <w:r w:rsidR="006048D0" w:rsidRPr="004E27D5">
        <w:rPr>
          <w:rFonts w:ascii="ITC Avant Garde" w:eastAsia="Times New Roman" w:hAnsi="ITC Avant Garde"/>
          <w:bCs/>
          <w:color w:val="000000"/>
          <w:lang w:eastAsia="es-MX"/>
        </w:rPr>
        <w:t>de dos mil diecis</w:t>
      </w:r>
      <w:r w:rsidR="006C5F05" w:rsidRPr="004E27D5">
        <w:rPr>
          <w:rFonts w:ascii="ITC Avant Garde" w:eastAsia="Times New Roman" w:hAnsi="ITC Avant Garde"/>
          <w:bCs/>
          <w:color w:val="000000"/>
          <w:lang w:eastAsia="es-MX"/>
        </w:rPr>
        <w:t>iete</w:t>
      </w:r>
      <w:r w:rsidR="006048D0" w:rsidRPr="004E27D5">
        <w:rPr>
          <w:rFonts w:ascii="ITC Avant Garde" w:eastAsia="Times New Roman" w:hAnsi="ITC Avant Garde"/>
          <w:bCs/>
          <w:color w:val="000000"/>
          <w:lang w:eastAsia="es-MX"/>
        </w:rPr>
        <w:t xml:space="preserve">, </w:t>
      </w:r>
      <w:r w:rsidR="005F05DE" w:rsidRPr="004E27D5">
        <w:rPr>
          <w:rFonts w:ascii="ITC Avant Garde" w:eastAsia="Times New Roman" w:hAnsi="ITC Avant Garde"/>
          <w:bCs/>
          <w:color w:val="000000"/>
          <w:lang w:eastAsia="es-MX"/>
        </w:rPr>
        <w:t xml:space="preserve">se </w:t>
      </w:r>
      <w:r w:rsidR="00E72AA7" w:rsidRPr="004E27D5">
        <w:rPr>
          <w:rFonts w:ascii="ITC Avant Garde" w:eastAsia="Times New Roman" w:hAnsi="ITC Avant Garde"/>
          <w:bCs/>
          <w:color w:val="000000"/>
          <w:lang w:eastAsia="es-MX"/>
        </w:rPr>
        <w:t xml:space="preserve">notificó </w:t>
      </w:r>
      <w:r w:rsidR="0012028D" w:rsidRPr="004E27D5">
        <w:rPr>
          <w:rFonts w:ascii="ITC Avant Garde" w:eastAsia="Times New Roman" w:hAnsi="ITC Avant Garde"/>
          <w:bCs/>
          <w:color w:val="000000"/>
          <w:lang w:eastAsia="es-MX"/>
        </w:rPr>
        <w:t xml:space="preserve">el </w:t>
      </w:r>
      <w:r w:rsidR="009E09C3" w:rsidRPr="004E27D5">
        <w:rPr>
          <w:rFonts w:ascii="ITC Avant Garde" w:eastAsia="Times New Roman" w:hAnsi="ITC Avant Garde"/>
          <w:bCs/>
          <w:color w:val="000000"/>
          <w:lang w:eastAsia="es-MX"/>
        </w:rPr>
        <w:t xml:space="preserve">inicio del procedimiento sancionatorio </w:t>
      </w:r>
      <w:r w:rsidR="00191A94" w:rsidRPr="004E27D5">
        <w:rPr>
          <w:rFonts w:ascii="ITC Avant Garde" w:eastAsia="Times New Roman" w:hAnsi="ITC Avant Garde"/>
          <w:bCs/>
          <w:color w:val="000000"/>
          <w:lang w:eastAsia="es-MX"/>
        </w:rPr>
        <w:t>en el cual se le conced</w:t>
      </w:r>
      <w:r w:rsidR="00F12445" w:rsidRPr="004E27D5">
        <w:rPr>
          <w:rFonts w:ascii="ITC Avant Garde" w:eastAsia="Times New Roman" w:hAnsi="ITC Avant Garde"/>
          <w:bCs/>
          <w:color w:val="000000"/>
          <w:lang w:eastAsia="es-MX"/>
        </w:rPr>
        <w:t>ió</w:t>
      </w:r>
      <w:r w:rsidR="009D1AEA" w:rsidRPr="004E27D5">
        <w:rPr>
          <w:rFonts w:ascii="ITC Avant Garde" w:eastAsia="Times New Roman" w:hAnsi="ITC Avant Garde"/>
          <w:bCs/>
          <w:color w:val="000000"/>
          <w:lang w:eastAsia="es-MX"/>
        </w:rPr>
        <w:t xml:space="preserve"> </w:t>
      </w:r>
      <w:r w:rsidR="0047731F" w:rsidRPr="004E27D5">
        <w:rPr>
          <w:rFonts w:ascii="ITC Avant Garde" w:eastAsia="Times New Roman" w:hAnsi="ITC Avant Garde"/>
          <w:bCs/>
          <w:color w:val="000000"/>
          <w:lang w:eastAsia="es-MX"/>
        </w:rPr>
        <w:t xml:space="preserve">al </w:t>
      </w:r>
      <w:r w:rsidR="00A01799" w:rsidRPr="004E27D5">
        <w:rPr>
          <w:rFonts w:ascii="ITC Avant Garde" w:hAnsi="ITC Avant Garde"/>
          <w:b/>
        </w:rPr>
        <w:t>PRESUNTO RESPONSABLE</w:t>
      </w:r>
      <w:r w:rsidR="00A01799" w:rsidRPr="004E27D5">
        <w:rPr>
          <w:rFonts w:ascii="ITC Avant Garde" w:eastAsia="Times New Roman" w:hAnsi="ITC Avant Garde"/>
          <w:bCs/>
          <w:color w:val="000000"/>
          <w:lang w:eastAsia="es-MX"/>
        </w:rPr>
        <w:t xml:space="preserve"> </w:t>
      </w:r>
      <w:r w:rsidR="00CE5B03" w:rsidRPr="004E27D5">
        <w:rPr>
          <w:rFonts w:ascii="ITC Avant Garde" w:eastAsia="Times New Roman" w:hAnsi="ITC Avant Garde"/>
          <w:bCs/>
          <w:color w:val="000000"/>
          <w:lang w:eastAsia="es-MX"/>
        </w:rPr>
        <w:t xml:space="preserve">un plazo de quince días para que en uso del beneficio de la garantía de audiencia consagrada en los artículos 14 </w:t>
      </w:r>
      <w:r w:rsidR="007D4C61" w:rsidRPr="004E27D5">
        <w:rPr>
          <w:rFonts w:ascii="ITC Avant Garde" w:eastAsia="Times New Roman" w:hAnsi="ITC Avant Garde"/>
          <w:bCs/>
          <w:color w:val="000000"/>
          <w:lang w:eastAsia="es-MX"/>
        </w:rPr>
        <w:t xml:space="preserve">y 16 </w:t>
      </w:r>
      <w:r w:rsidR="00CE5B03" w:rsidRPr="004E27D5">
        <w:rPr>
          <w:rFonts w:ascii="ITC Avant Garde" w:eastAsia="Times New Roman" w:hAnsi="ITC Avant Garde"/>
          <w:bCs/>
          <w:color w:val="000000"/>
          <w:lang w:eastAsia="es-MX"/>
        </w:rPr>
        <w:t>de la Constitución Política de los Estados Unidos Mexicanos (</w:t>
      </w:r>
      <w:r w:rsidR="00CE5B03" w:rsidRPr="004E27D5">
        <w:rPr>
          <w:rFonts w:ascii="ITC Avant Garde" w:eastAsia="Times New Roman" w:hAnsi="ITC Avant Garde"/>
          <w:b/>
          <w:bCs/>
          <w:color w:val="000000"/>
          <w:lang w:eastAsia="es-MX"/>
        </w:rPr>
        <w:t>“CPEUM”</w:t>
      </w:r>
      <w:r w:rsidR="00CE5B03" w:rsidRPr="004E27D5">
        <w:rPr>
          <w:rFonts w:ascii="ITC Avant Garde" w:eastAsia="Times New Roman" w:hAnsi="ITC Avant Garde"/>
          <w:bCs/>
          <w:color w:val="000000"/>
          <w:lang w:eastAsia="es-MX"/>
        </w:rPr>
        <w:t>)</w:t>
      </w:r>
      <w:r w:rsidR="00CE5B03" w:rsidRPr="004E27D5">
        <w:rPr>
          <w:rFonts w:ascii="ITC Avant Garde" w:eastAsia="Times New Roman" w:hAnsi="ITC Avant Garde"/>
          <w:b/>
          <w:bCs/>
          <w:color w:val="000000"/>
          <w:lang w:eastAsia="es-MX"/>
        </w:rPr>
        <w:t xml:space="preserve"> </w:t>
      </w:r>
      <w:r w:rsidR="00CE5B03" w:rsidRPr="004E27D5">
        <w:rPr>
          <w:rFonts w:ascii="ITC Avant Garde" w:eastAsia="Times New Roman" w:hAnsi="ITC Avant Garde"/>
          <w:bCs/>
          <w:color w:val="000000"/>
          <w:lang w:eastAsia="es-MX"/>
        </w:rPr>
        <w:t xml:space="preserve">y 72 de la </w:t>
      </w:r>
      <w:r w:rsidR="00CE5B03" w:rsidRPr="004E27D5">
        <w:rPr>
          <w:rFonts w:ascii="ITC Avant Garde" w:eastAsia="Times New Roman" w:hAnsi="ITC Avant Garde"/>
          <w:b/>
          <w:bCs/>
          <w:color w:val="000000"/>
          <w:lang w:eastAsia="es-MX"/>
        </w:rPr>
        <w:t>LFPA</w:t>
      </w:r>
      <w:r w:rsidR="00CE5B03" w:rsidRPr="004E27D5">
        <w:rPr>
          <w:rFonts w:ascii="ITC Avant Garde" w:eastAsia="Times New Roman" w:hAnsi="ITC Avant Garde"/>
          <w:bCs/>
          <w:color w:val="000000"/>
          <w:lang w:eastAsia="es-MX"/>
        </w:rPr>
        <w:t xml:space="preserve"> de aplicación supletoria en términos del artículo 6, fracción IV</w:t>
      </w:r>
      <w:r w:rsidR="00FB0A36" w:rsidRPr="004E27D5">
        <w:rPr>
          <w:rFonts w:ascii="ITC Avant Garde" w:eastAsia="Times New Roman" w:hAnsi="ITC Avant Garde"/>
          <w:bCs/>
          <w:color w:val="000000"/>
          <w:lang w:eastAsia="es-MX"/>
        </w:rPr>
        <w:t>,</w:t>
      </w:r>
      <w:r w:rsidR="00CE5B03" w:rsidRPr="004E27D5">
        <w:rPr>
          <w:rFonts w:ascii="ITC Avant Garde" w:eastAsia="Times New Roman" w:hAnsi="ITC Avant Garde"/>
          <w:bCs/>
          <w:color w:val="000000"/>
          <w:lang w:eastAsia="es-MX"/>
        </w:rPr>
        <w:t xml:space="preserve"> de la </w:t>
      </w:r>
      <w:r w:rsidR="006310EA" w:rsidRPr="004E27D5">
        <w:rPr>
          <w:rFonts w:ascii="ITC Avant Garde" w:eastAsia="Times New Roman" w:hAnsi="ITC Avant Garde"/>
          <w:b/>
          <w:bCs/>
          <w:color w:val="000000"/>
          <w:lang w:eastAsia="es-MX"/>
        </w:rPr>
        <w:t>LFTR</w:t>
      </w:r>
      <w:r w:rsidR="00CE5B03" w:rsidRPr="004E27D5">
        <w:rPr>
          <w:rFonts w:ascii="ITC Avant Garde" w:eastAsia="Times New Roman" w:hAnsi="ITC Avant Garde"/>
          <w:bCs/>
          <w:color w:val="000000"/>
          <w:lang w:eastAsia="es-MX"/>
        </w:rPr>
        <w:t>, expusiera lo que a su derecho conviniera y, en su caso aportara las pruebas con que contara</w:t>
      </w:r>
      <w:r w:rsidR="004F3596" w:rsidRPr="004E27D5">
        <w:rPr>
          <w:rFonts w:ascii="ITC Avant Garde" w:eastAsia="Times New Roman" w:hAnsi="ITC Avant Garde"/>
          <w:bCs/>
          <w:color w:val="000000"/>
          <w:lang w:eastAsia="es-MX"/>
        </w:rPr>
        <w:t xml:space="preserve">. </w:t>
      </w:r>
    </w:p>
    <w:p w:rsidR="009E7D7C" w:rsidRPr="004E27D5" w:rsidRDefault="004F3596" w:rsidP="00E02AF9">
      <w:pPr>
        <w:spacing w:after="0" w:line="360" w:lineRule="auto"/>
        <w:jc w:val="both"/>
        <w:rPr>
          <w:rFonts w:ascii="ITC Avant Garde" w:hAnsi="ITC Avant Garde"/>
          <w:color w:val="222222"/>
          <w:shd w:val="clear" w:color="auto" w:fill="FFFFFF"/>
        </w:rPr>
      </w:pPr>
      <w:r w:rsidRPr="004E27D5">
        <w:rPr>
          <w:rFonts w:ascii="ITC Avant Garde" w:eastAsia="Times New Roman" w:hAnsi="ITC Avant Garde"/>
          <w:bCs/>
          <w:color w:val="000000"/>
          <w:lang w:eastAsia="es-MX"/>
        </w:rPr>
        <w:t>El término concedido</w:t>
      </w:r>
      <w:r w:rsidR="00CE5B03" w:rsidRPr="004E27D5">
        <w:rPr>
          <w:rFonts w:ascii="ITC Avant Garde" w:eastAsia="Times New Roman" w:hAnsi="ITC Avant Garde"/>
          <w:bCs/>
          <w:color w:val="000000"/>
          <w:lang w:eastAsia="es-MX"/>
        </w:rPr>
        <w:t xml:space="preserve"> </w:t>
      </w:r>
      <w:r w:rsidR="0047731F" w:rsidRPr="004E27D5">
        <w:rPr>
          <w:rFonts w:ascii="ITC Avant Garde" w:eastAsia="Times New Roman" w:hAnsi="ITC Avant Garde"/>
          <w:bCs/>
          <w:color w:val="000000"/>
          <w:lang w:eastAsia="es-MX"/>
        </w:rPr>
        <w:t xml:space="preserve">al </w:t>
      </w:r>
      <w:r w:rsidR="00A01799" w:rsidRPr="004E27D5">
        <w:rPr>
          <w:rFonts w:ascii="ITC Avant Garde" w:hAnsi="ITC Avant Garde"/>
          <w:b/>
        </w:rPr>
        <w:t>PRESUNTO RESPONSABLE</w:t>
      </w:r>
      <w:r w:rsidR="00A01799" w:rsidRPr="004E27D5">
        <w:rPr>
          <w:rFonts w:ascii="ITC Avant Garde" w:eastAsia="Times New Roman" w:hAnsi="ITC Avant Garde"/>
          <w:bCs/>
          <w:color w:val="000000"/>
          <w:lang w:eastAsia="es-MX"/>
        </w:rPr>
        <w:t xml:space="preserve"> </w:t>
      </w:r>
      <w:r w:rsidR="00302C6A" w:rsidRPr="004E27D5">
        <w:rPr>
          <w:rFonts w:ascii="ITC Avant Garde" w:eastAsia="Times New Roman" w:hAnsi="ITC Avant Garde"/>
          <w:bCs/>
          <w:color w:val="000000"/>
          <w:lang w:eastAsia="es-MX"/>
        </w:rPr>
        <w:t>en el acuerdo de inicio</w:t>
      </w:r>
      <w:r w:rsidRPr="004E27D5">
        <w:rPr>
          <w:rFonts w:ascii="ITC Avant Garde" w:eastAsia="Times New Roman" w:hAnsi="ITC Avant Garde"/>
          <w:bCs/>
          <w:color w:val="000000"/>
          <w:lang w:eastAsia="es-MX"/>
        </w:rPr>
        <w:t xml:space="preserve"> </w:t>
      </w:r>
      <w:r w:rsidR="00CE5B03" w:rsidRPr="004E27D5">
        <w:rPr>
          <w:rFonts w:ascii="ITC Avant Garde" w:eastAsia="Times New Roman" w:hAnsi="ITC Avant Garde"/>
          <w:bCs/>
          <w:color w:val="000000"/>
          <w:lang w:eastAsia="es-MX"/>
        </w:rPr>
        <w:t xml:space="preserve">para presentar manifestaciones y pruebas transcurrió del </w:t>
      </w:r>
      <w:r w:rsidR="00986F50" w:rsidRPr="004E27D5">
        <w:rPr>
          <w:rFonts w:ascii="ITC Avant Garde" w:eastAsia="Times New Roman" w:hAnsi="ITC Avant Garde"/>
          <w:bCs/>
          <w:color w:val="000000"/>
          <w:lang w:eastAsia="es-MX"/>
        </w:rPr>
        <w:t>veintitrés de agosto al trece de septiembre de dos mil diecisiete</w:t>
      </w:r>
      <w:r w:rsidR="006C5F05" w:rsidRPr="004E27D5">
        <w:rPr>
          <w:rFonts w:ascii="ITC Avant Garde" w:eastAsia="Times New Roman" w:hAnsi="ITC Avant Garde"/>
          <w:bCs/>
          <w:color w:val="000000"/>
          <w:lang w:eastAsia="es-MX"/>
        </w:rPr>
        <w:t>,</w:t>
      </w:r>
      <w:r w:rsidR="006C5F05" w:rsidRPr="004E27D5">
        <w:rPr>
          <w:rFonts w:ascii="ITC Avant Garde" w:eastAsia="Times New Roman" w:hAnsi="ITC Avant Garde"/>
          <w:bCs/>
          <w:lang w:eastAsia="es-MX"/>
        </w:rPr>
        <w:t xml:space="preserve"> </w:t>
      </w:r>
      <w:r w:rsidR="00986F50" w:rsidRPr="004E27D5">
        <w:rPr>
          <w:rFonts w:ascii="ITC Avant Garde" w:eastAsia="Times New Roman" w:hAnsi="ITC Avant Garde"/>
          <w:bCs/>
          <w:lang w:eastAsia="es-MX"/>
        </w:rPr>
        <w:t xml:space="preserve">sin contar los días veintiséis y veintisiete de agosto, así como el uno, dos, tres, nueve y diez de septiembre de dos mil diecisiete por ser sábados, domingos y día inhábil de conformidad con el artículo 28 </w:t>
      </w:r>
      <w:r w:rsidR="006C5F05" w:rsidRPr="004E27D5">
        <w:rPr>
          <w:rFonts w:ascii="ITC Avant Garde" w:eastAsia="Times New Roman" w:hAnsi="ITC Avant Garde"/>
          <w:bCs/>
          <w:lang w:eastAsia="es-MX"/>
        </w:rPr>
        <w:t xml:space="preserve">de la </w:t>
      </w:r>
      <w:r w:rsidR="006C5F05" w:rsidRPr="004E27D5">
        <w:rPr>
          <w:rFonts w:ascii="ITC Avant Garde" w:eastAsia="Times New Roman" w:hAnsi="ITC Avant Garde"/>
          <w:b/>
          <w:bCs/>
          <w:lang w:eastAsia="es-MX"/>
        </w:rPr>
        <w:t>L</w:t>
      </w:r>
      <w:r w:rsidR="00A87822" w:rsidRPr="004E27D5">
        <w:rPr>
          <w:rFonts w:ascii="ITC Avant Garde" w:eastAsia="Times New Roman" w:hAnsi="ITC Avant Garde"/>
          <w:b/>
          <w:bCs/>
          <w:lang w:eastAsia="es-MX"/>
        </w:rPr>
        <w:t>FPA</w:t>
      </w:r>
      <w:r w:rsidR="007C2EE8" w:rsidRPr="004E27D5">
        <w:rPr>
          <w:rFonts w:ascii="ITC Avant Garde" w:eastAsia="Times New Roman" w:hAnsi="ITC Avant Garde"/>
          <w:bCs/>
          <w:lang w:eastAsia="es-MX"/>
        </w:rPr>
        <w:t>.</w:t>
      </w:r>
    </w:p>
    <w:p w:rsidR="009E7D7C" w:rsidRPr="004E27D5" w:rsidRDefault="00364388" w:rsidP="0047731F">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
          <w:bCs/>
          <w:color w:val="000000"/>
          <w:lang w:eastAsia="es-MX"/>
        </w:rPr>
        <w:t>DÉCIMO</w:t>
      </w:r>
      <w:r w:rsidR="00B5621D" w:rsidRPr="004E27D5">
        <w:rPr>
          <w:rFonts w:ascii="ITC Avant Garde" w:eastAsia="Times New Roman" w:hAnsi="ITC Avant Garde"/>
          <w:b/>
          <w:bCs/>
          <w:color w:val="000000"/>
          <w:lang w:eastAsia="es-MX"/>
        </w:rPr>
        <w:t xml:space="preserve">. </w:t>
      </w:r>
      <w:r w:rsidR="0047731F" w:rsidRPr="004E27D5">
        <w:rPr>
          <w:rFonts w:ascii="ITC Avant Garde" w:eastAsia="Times New Roman" w:hAnsi="ITC Avant Garde"/>
          <w:bCs/>
          <w:color w:val="000000"/>
          <w:lang w:eastAsia="es-MX"/>
        </w:rPr>
        <w:t xml:space="preserve">De las constancias que forman el presente expediente se observó que el </w:t>
      </w:r>
      <w:r w:rsidR="00A01799" w:rsidRPr="004E27D5">
        <w:rPr>
          <w:rFonts w:ascii="ITC Avant Garde" w:hAnsi="ITC Avant Garde"/>
          <w:b/>
        </w:rPr>
        <w:t>PRESUNTO RESPONSABLE</w:t>
      </w:r>
      <w:r w:rsidR="00A01799" w:rsidRPr="004E27D5">
        <w:rPr>
          <w:rFonts w:ascii="ITC Avant Garde" w:hAnsi="ITC Avant Garde"/>
        </w:rPr>
        <w:t xml:space="preserve"> </w:t>
      </w:r>
      <w:r w:rsidR="0047731F" w:rsidRPr="004E27D5">
        <w:rPr>
          <w:rFonts w:ascii="ITC Avant Garde" w:hAnsi="ITC Avant Garde"/>
        </w:rPr>
        <w:t xml:space="preserve">no </w:t>
      </w:r>
      <w:r w:rsidR="0047731F" w:rsidRPr="004E27D5">
        <w:rPr>
          <w:rFonts w:ascii="ITC Avant Garde" w:eastAsia="Times New Roman" w:hAnsi="ITC Avant Garde"/>
          <w:bCs/>
          <w:color w:val="000000"/>
          <w:lang w:eastAsia="es-MX"/>
        </w:rPr>
        <w:t xml:space="preserve">presentó escrito de manifestaciones y pruebas, por lo que </w:t>
      </w:r>
      <w:r w:rsidR="00B5621D" w:rsidRPr="004E27D5">
        <w:rPr>
          <w:rFonts w:ascii="ITC Avant Garde" w:eastAsia="Times New Roman" w:hAnsi="ITC Avant Garde"/>
          <w:bCs/>
          <w:color w:val="000000"/>
          <w:lang w:eastAsia="es-MX"/>
        </w:rPr>
        <w:t>mediante acuerdo</w:t>
      </w:r>
      <w:r w:rsidR="009F04B7" w:rsidRPr="004E27D5">
        <w:rPr>
          <w:rFonts w:ascii="ITC Avant Garde" w:eastAsia="Times New Roman" w:hAnsi="ITC Avant Garde"/>
          <w:bCs/>
          <w:color w:val="000000"/>
          <w:lang w:eastAsia="es-MX"/>
        </w:rPr>
        <w:t xml:space="preserve"> de </w:t>
      </w:r>
      <w:r w:rsidR="00986F50" w:rsidRPr="004E27D5">
        <w:rPr>
          <w:rFonts w:ascii="ITC Avant Garde" w:eastAsia="Times New Roman" w:hAnsi="ITC Avant Garde"/>
          <w:bCs/>
          <w:color w:val="000000"/>
          <w:lang w:eastAsia="es-MX"/>
        </w:rPr>
        <w:t>veintiocho de septiembre de dos mil diecisiete</w:t>
      </w:r>
      <w:r w:rsidR="004337C4" w:rsidRPr="004E27D5">
        <w:rPr>
          <w:rFonts w:ascii="ITC Avant Garde" w:eastAsia="Times New Roman" w:hAnsi="ITC Avant Garde"/>
          <w:bCs/>
          <w:color w:val="000000"/>
          <w:lang w:eastAsia="es-MX"/>
        </w:rPr>
        <w:t xml:space="preserve">, notificado </w:t>
      </w:r>
      <w:r w:rsidR="00370AA1" w:rsidRPr="004E27D5">
        <w:rPr>
          <w:rFonts w:ascii="ITC Avant Garde" w:eastAsia="Times New Roman" w:hAnsi="ITC Avant Garde"/>
          <w:bCs/>
          <w:color w:val="000000"/>
          <w:lang w:eastAsia="es-MX"/>
        </w:rPr>
        <w:t xml:space="preserve">por publicación de lista diaria de notificaciones en </w:t>
      </w:r>
      <w:r w:rsidR="00953FA9" w:rsidRPr="004E27D5">
        <w:rPr>
          <w:rFonts w:ascii="ITC Avant Garde" w:eastAsia="Times New Roman" w:hAnsi="ITC Avant Garde"/>
          <w:bCs/>
          <w:color w:val="000000"/>
          <w:lang w:eastAsia="es-MX"/>
        </w:rPr>
        <w:t>la página de este Instituto</w:t>
      </w:r>
      <w:r w:rsidR="004337C4" w:rsidRPr="004E27D5">
        <w:rPr>
          <w:rFonts w:ascii="ITC Avant Garde" w:eastAsia="Times New Roman" w:hAnsi="ITC Avant Garde"/>
          <w:bCs/>
          <w:color w:val="000000"/>
          <w:lang w:eastAsia="es-MX"/>
        </w:rPr>
        <w:t xml:space="preserve"> </w:t>
      </w:r>
      <w:r w:rsidR="00427352" w:rsidRPr="004E27D5">
        <w:rPr>
          <w:rFonts w:ascii="ITC Avant Garde" w:eastAsia="Times New Roman" w:hAnsi="ITC Avant Garde"/>
          <w:bCs/>
          <w:color w:val="000000"/>
          <w:lang w:eastAsia="es-MX"/>
        </w:rPr>
        <w:t xml:space="preserve">el </w:t>
      </w:r>
      <w:r w:rsidR="00986F50" w:rsidRPr="004E27D5">
        <w:rPr>
          <w:rFonts w:ascii="ITC Avant Garde" w:eastAsia="Times New Roman" w:hAnsi="ITC Avant Garde"/>
          <w:bCs/>
          <w:color w:val="000000"/>
          <w:lang w:eastAsia="es-MX"/>
        </w:rPr>
        <w:t>veintinueve de septiembre</w:t>
      </w:r>
      <w:r w:rsidR="00126EA0" w:rsidRPr="004E27D5">
        <w:rPr>
          <w:rFonts w:ascii="ITC Avant Garde" w:eastAsia="Times New Roman" w:hAnsi="ITC Avant Garde"/>
          <w:bCs/>
          <w:color w:val="000000"/>
          <w:lang w:eastAsia="es-MX"/>
        </w:rPr>
        <w:t xml:space="preserve"> </w:t>
      </w:r>
      <w:r w:rsidR="00427352" w:rsidRPr="004E27D5">
        <w:rPr>
          <w:rFonts w:ascii="ITC Avant Garde" w:eastAsia="Times New Roman" w:hAnsi="ITC Avant Garde"/>
          <w:bCs/>
          <w:color w:val="000000"/>
          <w:lang w:eastAsia="es-MX"/>
        </w:rPr>
        <w:t>siguiente</w:t>
      </w:r>
      <w:r w:rsidR="004337C4" w:rsidRPr="004E27D5">
        <w:rPr>
          <w:rFonts w:ascii="ITC Avant Garde" w:eastAsia="Times New Roman" w:hAnsi="ITC Avant Garde"/>
          <w:bCs/>
          <w:color w:val="000000"/>
          <w:lang w:eastAsia="es-MX"/>
        </w:rPr>
        <w:t>, se hizo</w:t>
      </w:r>
      <w:r w:rsidR="00370AA1" w:rsidRPr="004E27D5">
        <w:rPr>
          <w:rFonts w:ascii="ITC Avant Garde" w:eastAsia="Times New Roman" w:hAnsi="ITC Avant Garde"/>
          <w:bCs/>
          <w:color w:val="000000"/>
          <w:lang w:eastAsia="es-MX"/>
        </w:rPr>
        <w:t xml:space="preserve"> efectivo el apercibimiento decretado en el acuerdo de inicio de procedimiento administrativo en que se actúa y </w:t>
      </w:r>
      <w:r w:rsidR="00B5621D" w:rsidRPr="004E27D5">
        <w:rPr>
          <w:rFonts w:ascii="ITC Avant Garde" w:eastAsia="Times New Roman" w:hAnsi="ITC Avant Garde"/>
          <w:bCs/>
          <w:color w:val="000000"/>
          <w:lang w:eastAsia="es-MX"/>
        </w:rPr>
        <w:t xml:space="preserve">se tuvo por </w:t>
      </w:r>
      <w:proofErr w:type="spellStart"/>
      <w:r w:rsidR="00F12445" w:rsidRPr="004E27D5">
        <w:rPr>
          <w:rFonts w:ascii="ITC Avant Garde" w:eastAsia="Times New Roman" w:hAnsi="ITC Avant Garde"/>
          <w:bCs/>
          <w:color w:val="000000"/>
          <w:lang w:eastAsia="es-MX"/>
        </w:rPr>
        <w:t>precluido</w:t>
      </w:r>
      <w:proofErr w:type="spellEnd"/>
      <w:r w:rsidR="00B5621D" w:rsidRPr="004E27D5">
        <w:rPr>
          <w:rFonts w:ascii="ITC Avant Garde" w:eastAsia="Times New Roman" w:hAnsi="ITC Avant Garde"/>
          <w:bCs/>
          <w:color w:val="000000"/>
          <w:lang w:eastAsia="es-MX"/>
        </w:rPr>
        <w:t xml:space="preserve"> </w:t>
      </w:r>
      <w:r w:rsidR="00370AA1" w:rsidRPr="004E27D5">
        <w:rPr>
          <w:rFonts w:ascii="ITC Avant Garde" w:eastAsia="Times New Roman" w:hAnsi="ITC Avant Garde"/>
          <w:bCs/>
          <w:color w:val="000000"/>
          <w:lang w:eastAsia="es-MX"/>
        </w:rPr>
        <w:t>su</w:t>
      </w:r>
      <w:r w:rsidR="00B5621D" w:rsidRPr="004E27D5">
        <w:rPr>
          <w:rFonts w:ascii="ITC Avant Garde" w:eastAsia="Times New Roman" w:hAnsi="ITC Avant Garde"/>
          <w:bCs/>
          <w:color w:val="000000"/>
          <w:lang w:eastAsia="es-MX"/>
        </w:rPr>
        <w:t xml:space="preserve"> derecho </w:t>
      </w:r>
      <w:r w:rsidR="00370AA1" w:rsidRPr="004E27D5">
        <w:rPr>
          <w:rFonts w:ascii="ITC Avant Garde" w:eastAsia="Times New Roman" w:hAnsi="ITC Avant Garde"/>
          <w:bCs/>
          <w:color w:val="000000"/>
          <w:lang w:eastAsia="es-MX"/>
        </w:rPr>
        <w:t xml:space="preserve">para </w:t>
      </w:r>
      <w:r w:rsidR="004337C4" w:rsidRPr="004E27D5">
        <w:rPr>
          <w:rFonts w:ascii="ITC Avant Garde" w:eastAsia="Times New Roman" w:hAnsi="ITC Avant Garde"/>
          <w:bCs/>
          <w:color w:val="000000"/>
          <w:lang w:eastAsia="es-MX"/>
        </w:rPr>
        <w:t>presentar pruebas y defensas de su parte.</w:t>
      </w:r>
    </w:p>
    <w:p w:rsidR="009E7D7C" w:rsidRPr="004E27D5" w:rsidRDefault="0047731F" w:rsidP="00551EDB">
      <w:pPr>
        <w:pStyle w:val="Textoindependiente"/>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En consecuencia, por así </w:t>
      </w:r>
      <w:r w:rsidR="00370AA1" w:rsidRPr="004E27D5">
        <w:rPr>
          <w:rFonts w:ascii="ITC Avant Garde" w:eastAsia="Times New Roman" w:hAnsi="ITC Avant Garde"/>
          <w:bCs/>
          <w:color w:val="000000"/>
          <w:lang w:eastAsia="es-MX"/>
        </w:rPr>
        <w:t xml:space="preserve">corresponder al estado procesal que guardaba el presente asunto, con fundamento en el artículo 56 de la </w:t>
      </w:r>
      <w:r w:rsidR="00370AA1" w:rsidRPr="004E27D5">
        <w:rPr>
          <w:rFonts w:ascii="ITC Avant Garde" w:eastAsia="Times New Roman" w:hAnsi="ITC Avant Garde"/>
          <w:b/>
          <w:bCs/>
          <w:color w:val="000000"/>
          <w:lang w:eastAsia="es-MX"/>
        </w:rPr>
        <w:t>LFPA</w:t>
      </w:r>
      <w:r w:rsidR="00370AA1" w:rsidRPr="004E27D5">
        <w:rPr>
          <w:rFonts w:ascii="ITC Avant Garde" w:eastAsia="Times New Roman" w:hAnsi="ITC Avant Garde"/>
          <w:bCs/>
          <w:color w:val="000000"/>
          <w:lang w:eastAsia="es-MX"/>
        </w:rPr>
        <w:t xml:space="preserve">, </w:t>
      </w:r>
      <w:r w:rsidR="00B5621D" w:rsidRPr="004E27D5">
        <w:rPr>
          <w:rFonts w:ascii="ITC Avant Garde" w:eastAsia="Times New Roman" w:hAnsi="ITC Avant Garde"/>
          <w:bCs/>
          <w:color w:val="000000"/>
          <w:lang w:eastAsia="es-MX"/>
        </w:rPr>
        <w:t xml:space="preserve">se pusieron a su disposición </w:t>
      </w:r>
      <w:r w:rsidR="00370AA1" w:rsidRPr="004E27D5">
        <w:rPr>
          <w:rFonts w:ascii="ITC Avant Garde" w:eastAsia="Times New Roman" w:hAnsi="ITC Avant Garde"/>
          <w:bCs/>
          <w:color w:val="000000"/>
          <w:lang w:eastAsia="es-MX"/>
        </w:rPr>
        <w:t xml:space="preserve">los autos del presente expediente </w:t>
      </w:r>
      <w:r w:rsidR="00B5621D" w:rsidRPr="004E27D5">
        <w:rPr>
          <w:rFonts w:ascii="ITC Avant Garde" w:eastAsia="Times New Roman" w:hAnsi="ITC Avant Garde"/>
          <w:bCs/>
          <w:color w:val="000000"/>
          <w:lang w:eastAsia="es-MX"/>
        </w:rPr>
        <w:t xml:space="preserve">para </w:t>
      </w:r>
      <w:r w:rsidR="00370AA1" w:rsidRPr="004E27D5">
        <w:rPr>
          <w:rFonts w:ascii="ITC Avant Garde" w:eastAsia="Times New Roman" w:hAnsi="ITC Avant Garde"/>
          <w:bCs/>
          <w:color w:val="000000"/>
          <w:lang w:eastAsia="es-MX"/>
        </w:rPr>
        <w:t xml:space="preserve">que </w:t>
      </w:r>
      <w:r w:rsidR="00B5621D" w:rsidRPr="004E27D5">
        <w:rPr>
          <w:rFonts w:ascii="ITC Avant Garde" w:eastAsia="Times New Roman" w:hAnsi="ITC Avant Garde"/>
          <w:bCs/>
          <w:color w:val="000000"/>
          <w:lang w:eastAsia="es-MX"/>
        </w:rPr>
        <w:t xml:space="preserve">dentro del término de diez </w:t>
      </w:r>
      <w:r w:rsidR="00370AA1" w:rsidRPr="004E27D5">
        <w:rPr>
          <w:rFonts w:ascii="ITC Avant Garde" w:eastAsia="Times New Roman" w:hAnsi="ITC Avant Garde"/>
          <w:bCs/>
          <w:color w:val="000000"/>
          <w:lang w:eastAsia="es-MX"/>
        </w:rPr>
        <w:t>días hábiles formulara alegatos</w:t>
      </w:r>
      <w:r w:rsidR="00551EDB" w:rsidRPr="004E27D5">
        <w:rPr>
          <w:rFonts w:ascii="ITC Avant Garde" w:eastAsia="Times New Roman" w:hAnsi="ITC Avant Garde"/>
          <w:bCs/>
          <w:color w:val="000000"/>
          <w:lang w:eastAsia="es-MX"/>
        </w:rPr>
        <w:t>, en el entendido que transcurrido dicho plazo, con alegatos o sin ellos</w:t>
      </w:r>
      <w:r w:rsidR="007D4C61" w:rsidRPr="004E27D5">
        <w:rPr>
          <w:rFonts w:ascii="ITC Avant Garde" w:eastAsia="Times New Roman" w:hAnsi="ITC Avant Garde"/>
          <w:bCs/>
          <w:color w:val="000000"/>
          <w:lang w:eastAsia="es-MX"/>
        </w:rPr>
        <w:t>,</w:t>
      </w:r>
      <w:r w:rsidR="00551EDB" w:rsidRPr="004E27D5">
        <w:rPr>
          <w:rFonts w:ascii="ITC Avant Garde" w:eastAsia="Times New Roman" w:hAnsi="ITC Avant Garde"/>
          <w:bCs/>
          <w:color w:val="000000"/>
          <w:lang w:eastAsia="es-MX"/>
        </w:rPr>
        <w:t xml:space="preserve"> se emitiría la </w:t>
      </w:r>
      <w:r w:rsidR="007D4C61" w:rsidRPr="004E27D5">
        <w:rPr>
          <w:rFonts w:ascii="ITC Avant Garde" w:eastAsia="Times New Roman" w:hAnsi="ITC Avant Garde"/>
          <w:bCs/>
          <w:color w:val="000000"/>
          <w:lang w:eastAsia="es-MX"/>
        </w:rPr>
        <w:t>R</w:t>
      </w:r>
      <w:r w:rsidR="00551EDB" w:rsidRPr="004E27D5">
        <w:rPr>
          <w:rFonts w:ascii="ITC Avant Garde" w:eastAsia="Times New Roman" w:hAnsi="ITC Avant Garde"/>
          <w:bCs/>
          <w:color w:val="000000"/>
          <w:lang w:eastAsia="es-MX"/>
        </w:rPr>
        <w:t>esolución que conforme a derecho correspondiera</w:t>
      </w:r>
      <w:r w:rsidR="004337C4" w:rsidRPr="004E27D5">
        <w:rPr>
          <w:rFonts w:ascii="ITC Avant Garde" w:eastAsia="Times New Roman" w:hAnsi="ITC Avant Garde"/>
          <w:bCs/>
          <w:color w:val="000000"/>
          <w:lang w:eastAsia="es-MX"/>
        </w:rPr>
        <w:t>.</w:t>
      </w:r>
    </w:p>
    <w:p w:rsidR="009E7D7C" w:rsidRPr="004E27D5" w:rsidRDefault="00364388" w:rsidP="008C7A99">
      <w:pPr>
        <w:pStyle w:val="Textoindependiente"/>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
          <w:bCs/>
          <w:color w:val="000000"/>
          <w:lang w:eastAsia="es-MX"/>
        </w:rPr>
        <w:t xml:space="preserve">DÉCIMO </w:t>
      </w:r>
      <w:r w:rsidR="00CA2803" w:rsidRPr="004E27D5">
        <w:rPr>
          <w:rFonts w:ascii="ITC Avant Garde" w:eastAsia="Times New Roman" w:hAnsi="ITC Avant Garde"/>
          <w:b/>
          <w:bCs/>
          <w:color w:val="000000"/>
          <w:lang w:eastAsia="es-MX"/>
        </w:rPr>
        <w:t>PRIMERO</w:t>
      </w:r>
      <w:r w:rsidR="00551EDB" w:rsidRPr="004E27D5">
        <w:rPr>
          <w:rFonts w:ascii="ITC Avant Garde" w:eastAsia="Times New Roman" w:hAnsi="ITC Avant Garde"/>
          <w:b/>
          <w:bCs/>
          <w:color w:val="000000"/>
          <w:lang w:eastAsia="es-MX"/>
        </w:rPr>
        <w:t>.</w:t>
      </w:r>
      <w:r w:rsidR="00551EDB" w:rsidRPr="004E27D5">
        <w:rPr>
          <w:rFonts w:ascii="ITC Avant Garde" w:eastAsia="Times New Roman" w:hAnsi="ITC Avant Garde"/>
          <w:bCs/>
          <w:color w:val="000000"/>
          <w:lang w:eastAsia="es-MX"/>
        </w:rPr>
        <w:t xml:space="preserve"> </w:t>
      </w:r>
      <w:r w:rsidR="00D27FF5" w:rsidRPr="004E27D5">
        <w:rPr>
          <w:rFonts w:ascii="ITC Avant Garde" w:eastAsia="Times New Roman" w:hAnsi="ITC Avant Garde"/>
          <w:bCs/>
          <w:color w:val="000000"/>
          <w:lang w:eastAsia="es-MX"/>
        </w:rPr>
        <w:t xml:space="preserve">El término concedido </w:t>
      </w:r>
      <w:r w:rsidR="004337C4" w:rsidRPr="004E27D5">
        <w:rPr>
          <w:rFonts w:ascii="ITC Avant Garde" w:eastAsia="Times New Roman" w:hAnsi="ITC Avant Garde"/>
          <w:bCs/>
          <w:color w:val="000000"/>
          <w:lang w:eastAsia="es-MX"/>
        </w:rPr>
        <w:t xml:space="preserve">al </w:t>
      </w:r>
      <w:r w:rsidR="00A01799" w:rsidRPr="004E27D5">
        <w:rPr>
          <w:rFonts w:ascii="ITC Avant Garde" w:hAnsi="ITC Avant Garde"/>
          <w:b/>
        </w:rPr>
        <w:t>PRESUNTO RESPONSABLE</w:t>
      </w:r>
      <w:r w:rsidR="00A01799" w:rsidRPr="004E27D5">
        <w:rPr>
          <w:rFonts w:ascii="ITC Avant Garde" w:eastAsia="Times New Roman" w:hAnsi="ITC Avant Garde"/>
          <w:bCs/>
          <w:color w:val="000000"/>
          <w:lang w:eastAsia="es-MX"/>
        </w:rPr>
        <w:t xml:space="preserve"> </w:t>
      </w:r>
      <w:r w:rsidR="00AE6BD0" w:rsidRPr="004E27D5">
        <w:rPr>
          <w:rFonts w:ascii="ITC Avant Garde" w:eastAsia="Times New Roman" w:hAnsi="ITC Avant Garde"/>
          <w:bCs/>
          <w:color w:val="000000"/>
          <w:lang w:eastAsia="es-MX"/>
        </w:rPr>
        <w:t xml:space="preserve">para presentar </w:t>
      </w:r>
      <w:r w:rsidR="0047731F" w:rsidRPr="004E27D5">
        <w:rPr>
          <w:rFonts w:ascii="ITC Avant Garde" w:eastAsia="Times New Roman" w:hAnsi="ITC Avant Garde"/>
          <w:bCs/>
          <w:color w:val="000000"/>
          <w:lang w:eastAsia="es-MX"/>
        </w:rPr>
        <w:t xml:space="preserve">sus </w:t>
      </w:r>
      <w:r w:rsidR="00AE6BD0" w:rsidRPr="004E27D5">
        <w:rPr>
          <w:rFonts w:ascii="ITC Avant Garde" w:eastAsia="Times New Roman" w:hAnsi="ITC Avant Garde"/>
          <w:bCs/>
          <w:color w:val="000000"/>
          <w:lang w:eastAsia="es-MX"/>
        </w:rPr>
        <w:t xml:space="preserve">alegatos transcurrió del </w:t>
      </w:r>
      <w:r w:rsidR="00D0763C" w:rsidRPr="004E27D5">
        <w:rPr>
          <w:rFonts w:ascii="ITC Avant Garde" w:eastAsia="Times New Roman" w:hAnsi="ITC Avant Garde"/>
          <w:bCs/>
          <w:color w:val="000000"/>
          <w:lang w:eastAsia="es-MX"/>
        </w:rPr>
        <w:t xml:space="preserve">tres al dieciséis de octubre de dos mil diecisiete, sin considerar los días siete, ocho, catorce y quince de octubre, </w:t>
      </w:r>
      <w:r w:rsidR="00D0763C" w:rsidRPr="004E27D5">
        <w:rPr>
          <w:rFonts w:ascii="ITC Avant Garde" w:eastAsia="Times New Roman" w:hAnsi="ITC Avant Garde"/>
          <w:bCs/>
        </w:rPr>
        <w:t xml:space="preserve">por tratarse de sábados y domingos en términos del artículo 28 </w:t>
      </w:r>
      <w:r w:rsidR="00126EA0" w:rsidRPr="004E27D5">
        <w:rPr>
          <w:rFonts w:ascii="ITC Avant Garde" w:eastAsia="Times New Roman" w:hAnsi="ITC Avant Garde"/>
          <w:bCs/>
          <w:lang w:eastAsia="es-MX"/>
        </w:rPr>
        <w:t xml:space="preserve">de la </w:t>
      </w:r>
      <w:r w:rsidR="00A87822" w:rsidRPr="004E27D5">
        <w:rPr>
          <w:rFonts w:ascii="ITC Avant Garde" w:eastAsia="Times New Roman" w:hAnsi="ITC Avant Garde"/>
          <w:b/>
          <w:bCs/>
          <w:lang w:eastAsia="es-MX"/>
        </w:rPr>
        <w:t>LFPA</w:t>
      </w:r>
      <w:r w:rsidR="004A303F" w:rsidRPr="004E27D5">
        <w:rPr>
          <w:rFonts w:ascii="ITC Avant Garde" w:eastAsia="Times New Roman" w:hAnsi="ITC Avant Garde"/>
          <w:bCs/>
          <w:lang w:eastAsia="es-MX"/>
        </w:rPr>
        <w:t>.</w:t>
      </w:r>
    </w:p>
    <w:p w:rsidR="009E7D7C" w:rsidRPr="004E27D5" w:rsidRDefault="0047731F" w:rsidP="008C7A99">
      <w:pPr>
        <w:pStyle w:val="Textoindependiente"/>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rPr>
        <w:lastRenderedPageBreak/>
        <w:t>Sin embargo d</w:t>
      </w:r>
      <w:r w:rsidRPr="004E27D5">
        <w:rPr>
          <w:rFonts w:ascii="ITC Avant Garde" w:eastAsia="Times New Roman" w:hAnsi="ITC Avant Garde"/>
          <w:bCs/>
          <w:color w:val="000000"/>
          <w:lang w:eastAsia="es-MX"/>
        </w:rPr>
        <w:t>e las constancias que forman el presente expediente se advierte que</w:t>
      </w:r>
      <w:r w:rsidRPr="004E27D5">
        <w:rPr>
          <w:rFonts w:ascii="ITC Avant Garde" w:hAnsi="ITC Avant Garde"/>
        </w:rPr>
        <w:t xml:space="preserve"> </w:t>
      </w:r>
      <w:r w:rsidR="00FD25C5" w:rsidRPr="004E27D5">
        <w:rPr>
          <w:rFonts w:ascii="ITC Avant Garde" w:hAnsi="ITC Avant Garde"/>
        </w:rPr>
        <w:t xml:space="preserve">el </w:t>
      </w:r>
      <w:r w:rsidR="00FD25C5" w:rsidRPr="004E27D5">
        <w:rPr>
          <w:rFonts w:ascii="ITC Avant Garde" w:hAnsi="ITC Avant Garde"/>
          <w:b/>
          <w:caps/>
        </w:rPr>
        <w:t xml:space="preserve">presunto responsable </w:t>
      </w:r>
      <w:r w:rsidRPr="004E27D5">
        <w:rPr>
          <w:rFonts w:ascii="ITC Avant Garde" w:hAnsi="ITC Avant Garde"/>
        </w:rPr>
        <w:t>no</w:t>
      </w:r>
      <w:r w:rsidRPr="004E27D5">
        <w:rPr>
          <w:rFonts w:ascii="ITC Avant Garde" w:hAnsi="ITC Avant Garde"/>
          <w:b/>
        </w:rPr>
        <w:t xml:space="preserve"> </w:t>
      </w:r>
      <w:r w:rsidRPr="004E27D5">
        <w:rPr>
          <w:rFonts w:ascii="ITC Avant Garde" w:eastAsia="Times New Roman" w:hAnsi="ITC Avant Garde"/>
          <w:bCs/>
          <w:color w:val="000000"/>
          <w:lang w:eastAsia="es-MX"/>
        </w:rPr>
        <w:t xml:space="preserve">presentó alegatos, por lo que mediante acuerdo </w:t>
      </w:r>
      <w:r w:rsidR="00A96264" w:rsidRPr="004E27D5">
        <w:rPr>
          <w:rFonts w:ascii="ITC Avant Garde" w:eastAsia="Times New Roman" w:hAnsi="ITC Avant Garde"/>
          <w:bCs/>
          <w:color w:val="000000"/>
          <w:lang w:eastAsia="es-MX"/>
        </w:rPr>
        <w:t xml:space="preserve">de </w:t>
      </w:r>
      <w:r w:rsidR="00D0763C" w:rsidRPr="004E27D5">
        <w:rPr>
          <w:rFonts w:ascii="ITC Avant Garde" w:eastAsia="Times New Roman" w:hAnsi="ITC Avant Garde"/>
          <w:bCs/>
          <w:color w:val="000000"/>
          <w:lang w:eastAsia="es-MX"/>
        </w:rPr>
        <w:t>veintitrés de octubre de dos mil diecisiete</w:t>
      </w:r>
      <w:r w:rsidR="007B66CF" w:rsidRPr="004E27D5">
        <w:rPr>
          <w:rFonts w:ascii="ITC Avant Garde" w:eastAsia="Times New Roman" w:hAnsi="ITC Avant Garde"/>
          <w:bCs/>
          <w:color w:val="000000"/>
          <w:lang w:eastAsia="es-MX"/>
        </w:rPr>
        <w:t>,</w:t>
      </w:r>
      <w:r w:rsidR="00A417F0" w:rsidRPr="004E27D5">
        <w:rPr>
          <w:rFonts w:ascii="ITC Avant Garde" w:eastAsia="Times New Roman" w:hAnsi="ITC Avant Garde"/>
          <w:bCs/>
          <w:color w:val="000000"/>
          <w:lang w:eastAsia="es-MX"/>
        </w:rPr>
        <w:t xml:space="preserve"> publicado</w:t>
      </w:r>
      <w:r w:rsidR="00A96264" w:rsidRPr="004E27D5">
        <w:rPr>
          <w:rFonts w:ascii="ITC Avant Garde" w:eastAsia="Times New Roman" w:hAnsi="ITC Avant Garde"/>
          <w:bCs/>
          <w:color w:val="000000"/>
          <w:lang w:eastAsia="es-MX"/>
        </w:rPr>
        <w:t xml:space="preserve"> </w:t>
      </w:r>
      <w:r w:rsidR="00A417F0" w:rsidRPr="004E27D5">
        <w:rPr>
          <w:rFonts w:ascii="ITC Avant Garde" w:eastAsia="Times New Roman" w:hAnsi="ITC Avant Garde"/>
          <w:bCs/>
          <w:color w:val="000000"/>
          <w:lang w:eastAsia="es-MX"/>
        </w:rPr>
        <w:t>en la</w:t>
      </w:r>
      <w:r w:rsidR="00A96264" w:rsidRPr="004E27D5">
        <w:rPr>
          <w:rFonts w:ascii="ITC Avant Garde" w:eastAsia="Times New Roman" w:hAnsi="ITC Avant Garde"/>
          <w:bCs/>
          <w:color w:val="000000"/>
          <w:lang w:eastAsia="es-MX"/>
        </w:rPr>
        <w:t xml:space="preserve"> lista </w:t>
      </w:r>
      <w:r w:rsidR="00A417F0" w:rsidRPr="004E27D5">
        <w:rPr>
          <w:rFonts w:ascii="ITC Avant Garde" w:eastAsia="Times New Roman" w:hAnsi="ITC Avant Garde"/>
          <w:bCs/>
          <w:color w:val="000000"/>
          <w:lang w:eastAsia="es-MX"/>
        </w:rPr>
        <w:t>diaria</w:t>
      </w:r>
      <w:r w:rsidR="00A96264" w:rsidRPr="004E27D5">
        <w:rPr>
          <w:rFonts w:ascii="ITC Avant Garde" w:eastAsia="Times New Roman" w:hAnsi="ITC Avant Garde"/>
          <w:bCs/>
          <w:color w:val="000000"/>
          <w:lang w:eastAsia="es-MX"/>
        </w:rPr>
        <w:t xml:space="preserve"> de notificaciones en la </w:t>
      </w:r>
      <w:r w:rsidR="00A417F0" w:rsidRPr="004E27D5">
        <w:rPr>
          <w:rFonts w:ascii="ITC Avant Garde" w:eastAsia="Times New Roman" w:hAnsi="ITC Avant Garde"/>
          <w:bCs/>
          <w:color w:val="000000"/>
          <w:lang w:eastAsia="es-MX"/>
        </w:rPr>
        <w:t>página</w:t>
      </w:r>
      <w:r w:rsidR="00A96264" w:rsidRPr="004E27D5">
        <w:rPr>
          <w:rFonts w:ascii="ITC Avant Garde" w:eastAsia="Times New Roman" w:hAnsi="ITC Avant Garde"/>
          <w:bCs/>
          <w:color w:val="000000"/>
          <w:lang w:eastAsia="es-MX"/>
        </w:rPr>
        <w:t xml:space="preserve"> del Instituto </w:t>
      </w:r>
      <w:r w:rsidR="00126EA0" w:rsidRPr="004E27D5">
        <w:rPr>
          <w:rFonts w:ascii="ITC Avant Garde" w:eastAsia="Times New Roman" w:hAnsi="ITC Avant Garde"/>
          <w:bCs/>
          <w:color w:val="000000"/>
          <w:lang w:eastAsia="es-MX"/>
        </w:rPr>
        <w:t xml:space="preserve">el </w:t>
      </w:r>
      <w:r w:rsidR="00CD170E" w:rsidRPr="004E27D5">
        <w:rPr>
          <w:rFonts w:ascii="ITC Avant Garde" w:eastAsia="Times New Roman" w:hAnsi="ITC Avant Garde"/>
          <w:bCs/>
          <w:color w:val="000000"/>
          <w:lang w:eastAsia="es-MX"/>
        </w:rPr>
        <w:t>veinticuatro de octubre</w:t>
      </w:r>
      <w:r w:rsidR="00126EA0" w:rsidRPr="004E27D5">
        <w:rPr>
          <w:rFonts w:ascii="ITC Avant Garde" w:eastAsia="Times New Roman" w:hAnsi="ITC Avant Garde"/>
          <w:bCs/>
          <w:color w:val="000000"/>
          <w:lang w:eastAsia="es-MX"/>
        </w:rPr>
        <w:t xml:space="preserve"> siguiente</w:t>
      </w:r>
      <w:r w:rsidR="007B66CF" w:rsidRPr="004E27D5">
        <w:rPr>
          <w:rFonts w:ascii="ITC Avant Garde" w:eastAsia="Times New Roman" w:hAnsi="ITC Avant Garde"/>
          <w:bCs/>
          <w:color w:val="000000"/>
          <w:lang w:eastAsia="es-MX"/>
        </w:rPr>
        <w:t>,</w:t>
      </w:r>
      <w:r w:rsidR="00F82C84" w:rsidRPr="004E27D5">
        <w:rPr>
          <w:rFonts w:ascii="ITC Avant Garde" w:eastAsia="Times New Roman" w:hAnsi="ITC Avant Garde"/>
          <w:bCs/>
          <w:color w:val="000000"/>
          <w:lang w:eastAsia="es-MX"/>
        </w:rPr>
        <w:t xml:space="preserve"> </w:t>
      </w:r>
      <w:r w:rsidR="004E4D8D" w:rsidRPr="004E27D5">
        <w:rPr>
          <w:rFonts w:ascii="ITC Avant Garde" w:eastAsia="Times New Roman" w:hAnsi="ITC Avant Garde"/>
          <w:bCs/>
          <w:color w:val="000000"/>
          <w:lang w:eastAsia="es-MX"/>
        </w:rPr>
        <w:t>s</w:t>
      </w:r>
      <w:r w:rsidR="00551EDB" w:rsidRPr="004E27D5">
        <w:rPr>
          <w:rFonts w:ascii="ITC Avant Garde" w:eastAsia="Times New Roman" w:hAnsi="ITC Avant Garde"/>
          <w:bCs/>
          <w:color w:val="000000"/>
          <w:lang w:eastAsia="es-MX"/>
        </w:rPr>
        <w:t xml:space="preserve">e tuvo por </w:t>
      </w:r>
      <w:proofErr w:type="spellStart"/>
      <w:r w:rsidR="00F12445" w:rsidRPr="004E27D5">
        <w:rPr>
          <w:rFonts w:ascii="ITC Avant Garde" w:eastAsia="Times New Roman" w:hAnsi="ITC Avant Garde"/>
          <w:bCs/>
          <w:color w:val="000000"/>
          <w:lang w:eastAsia="es-MX"/>
        </w:rPr>
        <w:t>precluido</w:t>
      </w:r>
      <w:proofErr w:type="spellEnd"/>
      <w:r w:rsidR="004E4D8D" w:rsidRPr="004E27D5">
        <w:rPr>
          <w:rFonts w:ascii="ITC Avant Garde" w:eastAsia="Times New Roman" w:hAnsi="ITC Avant Garde"/>
          <w:bCs/>
          <w:color w:val="000000"/>
          <w:lang w:eastAsia="es-MX"/>
        </w:rPr>
        <w:t xml:space="preserve"> su</w:t>
      </w:r>
      <w:r w:rsidR="00551EDB" w:rsidRPr="004E27D5">
        <w:rPr>
          <w:rFonts w:ascii="ITC Avant Garde" w:eastAsia="Times New Roman" w:hAnsi="ITC Avant Garde"/>
          <w:bCs/>
          <w:color w:val="000000"/>
          <w:lang w:eastAsia="es-MX"/>
        </w:rPr>
        <w:t xml:space="preserve"> derecho para </w:t>
      </w:r>
      <w:r w:rsidR="004E4D8D" w:rsidRPr="004E27D5">
        <w:rPr>
          <w:rFonts w:ascii="ITC Avant Garde" w:eastAsia="Times New Roman" w:hAnsi="ITC Avant Garde"/>
          <w:bCs/>
          <w:color w:val="000000"/>
          <w:lang w:eastAsia="es-MX"/>
        </w:rPr>
        <w:t>ello y por lo tanto fue remitido</w:t>
      </w:r>
      <w:r w:rsidR="002D2A65" w:rsidRPr="004E27D5">
        <w:rPr>
          <w:rFonts w:ascii="ITC Avant Garde" w:eastAsia="Times New Roman" w:hAnsi="ITC Avant Garde"/>
          <w:bCs/>
          <w:color w:val="000000"/>
          <w:lang w:eastAsia="es-MX"/>
        </w:rPr>
        <w:t xml:space="preserve"> el presente expediente</w:t>
      </w:r>
      <w:r w:rsidR="004E4D8D" w:rsidRPr="004E27D5">
        <w:rPr>
          <w:rFonts w:ascii="ITC Avant Garde" w:eastAsia="Times New Roman" w:hAnsi="ITC Avant Garde"/>
          <w:bCs/>
          <w:color w:val="000000"/>
          <w:lang w:eastAsia="es-MX"/>
        </w:rPr>
        <w:t xml:space="preserve"> a este órgano colegiado para la emisión de </w:t>
      </w:r>
      <w:r w:rsidR="00551EDB" w:rsidRPr="004E27D5">
        <w:rPr>
          <w:rFonts w:ascii="ITC Avant Garde" w:eastAsia="Times New Roman" w:hAnsi="ITC Avant Garde"/>
          <w:bCs/>
          <w:color w:val="000000"/>
          <w:lang w:eastAsia="es-MX"/>
        </w:rPr>
        <w:t xml:space="preserve">la </w:t>
      </w:r>
      <w:r w:rsidR="007D4C61" w:rsidRPr="004E27D5">
        <w:rPr>
          <w:rFonts w:ascii="ITC Avant Garde" w:eastAsia="Times New Roman" w:hAnsi="ITC Avant Garde"/>
          <w:bCs/>
          <w:color w:val="000000"/>
          <w:lang w:eastAsia="es-MX"/>
        </w:rPr>
        <w:t xml:space="preserve">Resolución </w:t>
      </w:r>
      <w:r w:rsidR="008C7A99" w:rsidRPr="004E27D5">
        <w:rPr>
          <w:rFonts w:ascii="ITC Avant Garde" w:eastAsia="Times New Roman" w:hAnsi="ITC Avant Garde"/>
          <w:bCs/>
          <w:color w:val="000000"/>
          <w:lang w:eastAsia="es-MX"/>
        </w:rPr>
        <w:t>que conforme a derecho resulte procedente.</w:t>
      </w:r>
    </w:p>
    <w:p w:rsidR="004F3596" w:rsidRPr="004E27D5" w:rsidRDefault="004F3596" w:rsidP="00A46B94">
      <w:pPr>
        <w:pStyle w:val="Ttulo2"/>
        <w:spacing w:after="240"/>
        <w:jc w:val="center"/>
        <w:rPr>
          <w:rFonts w:ascii="ITC Avant Garde" w:eastAsiaTheme="majorEastAsia" w:hAnsi="ITC Avant Garde" w:cstheme="majorBidi"/>
          <w:b/>
          <w:color w:val="000000" w:themeColor="text1"/>
          <w:sz w:val="22"/>
          <w:szCs w:val="22"/>
        </w:rPr>
      </w:pPr>
      <w:r w:rsidRPr="004E27D5">
        <w:rPr>
          <w:rFonts w:ascii="ITC Avant Garde" w:eastAsiaTheme="majorEastAsia" w:hAnsi="ITC Avant Garde" w:cstheme="majorBidi"/>
          <w:b/>
          <w:color w:val="000000" w:themeColor="text1"/>
          <w:sz w:val="22"/>
          <w:szCs w:val="22"/>
        </w:rPr>
        <w:t xml:space="preserve">CONSIDERANDO </w:t>
      </w:r>
    </w:p>
    <w:p w:rsidR="009E7D7C" w:rsidRPr="004E27D5" w:rsidRDefault="004F3596" w:rsidP="004F3596">
      <w:pPr>
        <w:pStyle w:val="Textoindependiente"/>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
          <w:bCs/>
          <w:color w:val="000000"/>
          <w:lang w:eastAsia="es-MX"/>
        </w:rPr>
        <w:t xml:space="preserve">PRIMERO. </w:t>
      </w:r>
      <w:r w:rsidRPr="004E27D5">
        <w:rPr>
          <w:rFonts w:ascii="ITC Avant Garde" w:eastAsia="Times New Roman" w:hAnsi="ITC Avant Garde"/>
          <w:b/>
          <w:bCs/>
          <w:smallCaps/>
          <w:color w:val="000000"/>
          <w:lang w:eastAsia="es-MX"/>
        </w:rPr>
        <w:t>Competencia</w:t>
      </w:r>
      <w:r w:rsidRPr="004E27D5">
        <w:rPr>
          <w:rFonts w:ascii="ITC Avant Garde" w:eastAsia="Times New Roman" w:hAnsi="ITC Avant Garde"/>
          <w:b/>
          <w:bCs/>
          <w:color w:val="000000"/>
          <w:lang w:eastAsia="es-MX"/>
        </w:rPr>
        <w:t>.</w:t>
      </w:r>
      <w:r w:rsidRPr="004E27D5">
        <w:rPr>
          <w:rFonts w:ascii="ITC Avant Garde" w:eastAsia="Times New Roman" w:hAnsi="ITC Avant Garde"/>
          <w:bCs/>
          <w:color w:val="000000"/>
          <w:lang w:eastAsia="es-MX"/>
        </w:rPr>
        <w:t xml:space="preserve"> </w:t>
      </w:r>
    </w:p>
    <w:p w:rsidR="009E7D7C" w:rsidRPr="004E27D5" w:rsidRDefault="00A923BD" w:rsidP="00A15149">
      <w:pPr>
        <w:pStyle w:val="Textoindependiente"/>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El Pleno del Instituto es competente para conocer y resolver el presente procedimiento administrativo de imposición de sanción y declarar la pérdida de bienes, instalaciones y equipos en beneficio de la Nación, con fundamento en los artículos 14, 16 y 28, párrafos, décimo quinto, décimo sexto y vigésimo, fracci</w:t>
      </w:r>
      <w:r w:rsidR="007D4C61" w:rsidRPr="004E27D5">
        <w:rPr>
          <w:rFonts w:ascii="ITC Avant Garde" w:eastAsia="Times New Roman" w:hAnsi="ITC Avant Garde"/>
          <w:bCs/>
          <w:color w:val="000000"/>
          <w:lang w:eastAsia="es-MX"/>
        </w:rPr>
        <w:t>ón</w:t>
      </w:r>
      <w:r w:rsidRPr="004E27D5">
        <w:rPr>
          <w:rFonts w:ascii="ITC Avant Garde" w:eastAsia="Times New Roman" w:hAnsi="ITC Avant Garde"/>
          <w:bCs/>
          <w:color w:val="000000"/>
          <w:lang w:eastAsia="es-MX"/>
        </w:rPr>
        <w:t xml:space="preserve"> I de la </w:t>
      </w:r>
      <w:r w:rsidRPr="004E27D5">
        <w:rPr>
          <w:rFonts w:ascii="ITC Avant Garde" w:eastAsia="Times New Roman" w:hAnsi="ITC Avant Garde"/>
          <w:b/>
          <w:bCs/>
          <w:color w:val="000000"/>
          <w:lang w:eastAsia="es-MX"/>
        </w:rPr>
        <w:t>CPEUM</w:t>
      </w:r>
      <w:r w:rsidRPr="004E27D5">
        <w:rPr>
          <w:rFonts w:ascii="ITC Avant Garde" w:eastAsia="Times New Roman" w:hAnsi="ITC Avant Garde"/>
          <w:bCs/>
          <w:color w:val="000000"/>
          <w:lang w:eastAsia="es-MX"/>
        </w:rPr>
        <w:t>;</w:t>
      </w:r>
      <w:r w:rsidRPr="004E27D5">
        <w:rPr>
          <w:rFonts w:ascii="ITC Avant Garde" w:eastAsia="Times New Roman" w:hAnsi="ITC Avant Garde"/>
          <w:b/>
          <w:bCs/>
          <w:color w:val="000000"/>
          <w:lang w:eastAsia="es-MX"/>
        </w:rPr>
        <w:t xml:space="preserve"> </w:t>
      </w:r>
      <w:r w:rsidRPr="004E27D5">
        <w:rPr>
          <w:rFonts w:ascii="ITC Avant Garde" w:eastAsia="Times New Roman" w:hAnsi="ITC Avant Garde"/>
          <w:bCs/>
          <w:color w:val="000000"/>
          <w:lang w:eastAsia="es-MX"/>
        </w:rPr>
        <w:t>1, 2, 6, fracciones II, IV y VII, 7, 15</w:t>
      </w:r>
      <w:r w:rsidR="00FB0A36" w:rsidRPr="004E27D5">
        <w:rPr>
          <w:rFonts w:ascii="ITC Avant Garde" w:eastAsia="Times New Roman" w:hAnsi="ITC Avant Garde"/>
          <w:bCs/>
          <w:color w:val="000000"/>
          <w:lang w:eastAsia="es-MX"/>
        </w:rPr>
        <w:t>,</w:t>
      </w:r>
      <w:r w:rsidRPr="004E27D5">
        <w:rPr>
          <w:rFonts w:ascii="ITC Avant Garde" w:eastAsia="Times New Roman" w:hAnsi="ITC Avant Garde"/>
          <w:bCs/>
          <w:color w:val="000000"/>
          <w:lang w:eastAsia="es-MX"/>
        </w:rPr>
        <w:t xml:space="preserve"> fracción XXX, 17, penúltimo y último párrafos, 66, 75, 297, primer párrafo, 298, inciso E), fracción I</w:t>
      </w:r>
      <w:r w:rsidR="002D2A65" w:rsidRPr="004E27D5">
        <w:rPr>
          <w:rFonts w:ascii="ITC Avant Garde" w:eastAsia="Times New Roman" w:hAnsi="ITC Avant Garde"/>
          <w:bCs/>
          <w:color w:val="000000"/>
          <w:lang w:eastAsia="es-MX"/>
        </w:rPr>
        <w:t xml:space="preserve">, </w:t>
      </w:r>
      <w:r w:rsidRPr="004E27D5">
        <w:rPr>
          <w:rFonts w:ascii="ITC Avant Garde" w:eastAsia="Times New Roman" w:hAnsi="ITC Avant Garde"/>
          <w:bCs/>
          <w:color w:val="000000"/>
          <w:lang w:eastAsia="es-MX"/>
        </w:rPr>
        <w:t xml:space="preserve">y 305 de la </w:t>
      </w:r>
      <w:r w:rsidR="006310EA" w:rsidRPr="004E27D5">
        <w:rPr>
          <w:rFonts w:ascii="ITC Avant Garde" w:eastAsia="Times New Roman" w:hAnsi="ITC Avant Garde"/>
          <w:b/>
          <w:bCs/>
          <w:color w:val="000000"/>
          <w:lang w:eastAsia="es-MX"/>
        </w:rPr>
        <w:t>LFTR</w:t>
      </w:r>
      <w:r w:rsidRPr="004E27D5">
        <w:rPr>
          <w:rFonts w:ascii="ITC Avant Garde" w:eastAsia="Times New Roman" w:hAnsi="ITC Avant Garde"/>
          <w:bCs/>
          <w:color w:val="000000"/>
          <w:lang w:eastAsia="es-MX"/>
        </w:rPr>
        <w:t>; 3, 8, 9, 12, 13, 14, 16</w:t>
      </w:r>
      <w:r w:rsidR="007D4C61" w:rsidRPr="004E27D5">
        <w:rPr>
          <w:rFonts w:ascii="ITC Avant Garde" w:eastAsia="Times New Roman" w:hAnsi="ITC Avant Garde"/>
          <w:bCs/>
          <w:color w:val="000000"/>
          <w:lang w:eastAsia="es-MX"/>
        </w:rPr>
        <w:t xml:space="preserve"> fracción X</w:t>
      </w:r>
      <w:r w:rsidRPr="004E27D5">
        <w:rPr>
          <w:rFonts w:ascii="ITC Avant Garde" w:eastAsia="Times New Roman" w:hAnsi="ITC Avant Garde"/>
          <w:bCs/>
          <w:color w:val="000000"/>
          <w:lang w:eastAsia="es-MX"/>
        </w:rPr>
        <w:t xml:space="preserve">, 28, 49, 50, 59, 70, fracciones II y VI, 72, 73, 74 y 75 de la </w:t>
      </w:r>
      <w:r w:rsidRPr="004E27D5">
        <w:rPr>
          <w:rFonts w:ascii="ITC Avant Garde" w:eastAsia="Times New Roman" w:hAnsi="ITC Avant Garde"/>
          <w:b/>
          <w:bCs/>
          <w:color w:val="000000"/>
          <w:lang w:eastAsia="es-MX"/>
        </w:rPr>
        <w:t>LFPA</w:t>
      </w:r>
      <w:r w:rsidRPr="004E27D5">
        <w:rPr>
          <w:rFonts w:ascii="ITC Avant Garde" w:eastAsia="Times New Roman" w:hAnsi="ITC Avant Garde"/>
          <w:bCs/>
          <w:color w:val="000000"/>
          <w:lang w:eastAsia="es-MX"/>
        </w:rPr>
        <w:t>; y 1, 4, fracción I y 6, fracción XVII</w:t>
      </w:r>
      <w:r w:rsidR="00FB0A36" w:rsidRPr="004E27D5">
        <w:rPr>
          <w:rFonts w:ascii="ITC Avant Garde" w:eastAsia="Times New Roman" w:hAnsi="ITC Avant Garde"/>
          <w:bCs/>
          <w:color w:val="000000"/>
          <w:lang w:eastAsia="es-MX"/>
        </w:rPr>
        <w:t>,</w:t>
      </w:r>
      <w:r w:rsidRPr="004E27D5">
        <w:rPr>
          <w:rFonts w:ascii="ITC Avant Garde" w:eastAsia="Times New Roman" w:hAnsi="ITC Avant Garde"/>
          <w:bCs/>
          <w:color w:val="000000"/>
          <w:lang w:eastAsia="es-MX"/>
        </w:rPr>
        <w:t xml:space="preserve"> del Estatuto Orgánico del Instituto Federal de Telecomunicaciones</w:t>
      </w:r>
      <w:r w:rsidR="008D00C2" w:rsidRPr="004E27D5">
        <w:rPr>
          <w:rFonts w:ascii="ITC Avant Garde" w:eastAsia="Times New Roman" w:hAnsi="ITC Avant Garde"/>
          <w:bCs/>
          <w:color w:val="000000"/>
          <w:lang w:eastAsia="es-MX"/>
        </w:rPr>
        <w:t xml:space="preserve"> (</w:t>
      </w:r>
      <w:r w:rsidR="008D00C2" w:rsidRPr="004E27D5">
        <w:rPr>
          <w:rFonts w:ascii="ITC Avant Garde" w:eastAsia="Times New Roman" w:hAnsi="ITC Avant Garde"/>
          <w:b/>
          <w:bCs/>
          <w:color w:val="000000"/>
          <w:lang w:eastAsia="es-MX"/>
        </w:rPr>
        <w:t>“ESTATUTO”</w:t>
      </w:r>
      <w:r w:rsidR="008D00C2" w:rsidRPr="004E27D5">
        <w:rPr>
          <w:rFonts w:ascii="ITC Avant Garde" w:eastAsia="Times New Roman" w:hAnsi="ITC Avant Garde"/>
          <w:bCs/>
          <w:color w:val="000000"/>
          <w:lang w:eastAsia="es-MX"/>
        </w:rPr>
        <w:t>)</w:t>
      </w:r>
      <w:r w:rsidR="004F3596" w:rsidRPr="004E27D5">
        <w:rPr>
          <w:rFonts w:ascii="ITC Avant Garde" w:eastAsia="Times New Roman" w:hAnsi="ITC Avant Garde"/>
          <w:bCs/>
          <w:color w:val="000000"/>
          <w:lang w:eastAsia="es-MX"/>
        </w:rPr>
        <w:t>.</w:t>
      </w:r>
    </w:p>
    <w:p w:rsidR="009E7D7C" w:rsidRPr="004E27D5" w:rsidRDefault="0047731F" w:rsidP="0047731F">
      <w:pPr>
        <w:pStyle w:val="Textoindependiente"/>
        <w:spacing w:after="0" w:line="360" w:lineRule="auto"/>
        <w:jc w:val="both"/>
        <w:rPr>
          <w:rFonts w:ascii="ITC Avant Garde" w:eastAsia="Times New Roman" w:hAnsi="ITC Avant Garde"/>
          <w:b/>
          <w:bCs/>
          <w:smallCaps/>
          <w:color w:val="000000"/>
          <w:lang w:eastAsia="es-MX"/>
        </w:rPr>
      </w:pPr>
      <w:r w:rsidRPr="004E27D5">
        <w:rPr>
          <w:rFonts w:ascii="ITC Avant Garde" w:eastAsia="Times New Roman" w:hAnsi="ITC Avant Garde"/>
          <w:b/>
          <w:bCs/>
          <w:color w:val="000000"/>
          <w:lang w:eastAsia="es-MX"/>
        </w:rPr>
        <w:t xml:space="preserve">SEGUNDO. </w:t>
      </w:r>
      <w:r w:rsidRPr="004E27D5">
        <w:rPr>
          <w:rFonts w:ascii="ITC Avant Garde" w:eastAsia="Times New Roman" w:hAnsi="ITC Avant Garde"/>
          <w:b/>
          <w:bCs/>
          <w:smallCaps/>
          <w:color w:val="000000"/>
          <w:lang w:eastAsia="es-MX"/>
        </w:rPr>
        <w:t>Consideración previa</w:t>
      </w:r>
    </w:p>
    <w:p w:rsidR="009E7D7C" w:rsidRPr="004E27D5" w:rsidRDefault="0047731F" w:rsidP="0047731F">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La Soberanía del Estado sobre el </w:t>
      </w:r>
      <w:r w:rsidRPr="004E27D5">
        <w:rPr>
          <w:rFonts w:ascii="ITC Avant Garde" w:hAnsi="ITC Avant Garde"/>
        </w:rPr>
        <w:t>espacio aéreo situado sobre el territorio nacional, que es el medio en que se propagan las señales de audio o de audio y video asociados mediante la instalación, funcionamiento y operación de estaciones de radio y televisión,</w:t>
      </w:r>
      <w:r w:rsidRPr="004E27D5">
        <w:rPr>
          <w:rFonts w:ascii="ITC Avant Garde" w:eastAsia="Times New Roman" w:hAnsi="ITC Avant Garde"/>
          <w:bCs/>
          <w:color w:val="000000"/>
          <w:lang w:eastAsia="es-MX"/>
        </w:rPr>
        <w:t xml:space="preserve"> se ejerce observando lo dispuesto en los artículos 27 párrafos cuarto y sexto y 28 de la </w:t>
      </w:r>
      <w:r w:rsidRPr="004E27D5">
        <w:rPr>
          <w:rFonts w:ascii="ITC Avant Garde" w:eastAsia="Times New Roman" w:hAnsi="ITC Avant Garde"/>
          <w:b/>
          <w:bCs/>
          <w:color w:val="000000"/>
          <w:lang w:eastAsia="es-MX"/>
        </w:rPr>
        <w:t>CPEUM</w:t>
      </w:r>
      <w:r w:rsidRPr="004E27D5">
        <w:rPr>
          <w:rFonts w:ascii="ITC Avant Garde" w:eastAsia="Times New Roman" w:hAnsi="ITC Avant Garde"/>
          <w:bCs/>
          <w:color w:val="000000"/>
          <w:lang w:eastAsia="es-MX"/>
        </w:rPr>
        <w:t xml:space="preserve">, los cuales prevén que el dominio de la Nación sobre el espectro radioeléctrico es inalienable e imprescriptible y que la explotación, uso o aprovechamiento de dicho recurso por los particulares o por sociedades debidamente constituidas conforme a las leyes mexicanas, sólo puede realizarse mediante títulos de concesión otorgados por el </w:t>
      </w:r>
      <w:r w:rsidRPr="004E27D5">
        <w:rPr>
          <w:rFonts w:ascii="ITC Avant Garde" w:eastAsia="Times New Roman" w:hAnsi="ITC Avant Garde"/>
          <w:b/>
          <w:bCs/>
          <w:color w:val="000000"/>
          <w:lang w:eastAsia="es-MX"/>
        </w:rPr>
        <w:t>IFT</w:t>
      </w:r>
      <w:r w:rsidRPr="004E27D5">
        <w:rPr>
          <w:rFonts w:ascii="ITC Avant Garde" w:eastAsia="Times New Roman" w:hAnsi="ITC Avant Garde"/>
          <w:bCs/>
          <w:color w:val="000000"/>
          <w:lang w:eastAsia="es-MX"/>
        </w:rPr>
        <w:t>, de acuerdo con las reglas y condiciones que establezca la normatividad aplicable en la materia.</w:t>
      </w:r>
    </w:p>
    <w:p w:rsidR="009E7D7C" w:rsidRPr="004E27D5" w:rsidRDefault="0047731F" w:rsidP="0047731F">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Asimismo, de conformidad con lo establecido en el artículo 28, párrafos décimo quinto y décimo sexto de la </w:t>
      </w:r>
      <w:r w:rsidRPr="004E27D5">
        <w:rPr>
          <w:rFonts w:ascii="ITC Avant Garde" w:eastAsia="Times New Roman" w:hAnsi="ITC Avant Garde"/>
          <w:b/>
          <w:bCs/>
          <w:color w:val="000000"/>
          <w:lang w:eastAsia="es-MX"/>
        </w:rPr>
        <w:t>CPEUM</w:t>
      </w:r>
      <w:r w:rsidRPr="004E27D5">
        <w:rPr>
          <w:rFonts w:ascii="ITC Avant Garde" w:eastAsia="Times New Roman" w:hAnsi="ITC Avant Garde"/>
          <w:bCs/>
          <w:color w:val="000000"/>
          <w:lang w:eastAsia="es-MX"/>
        </w:rPr>
        <w:t xml:space="preserve">, el </w:t>
      </w:r>
      <w:r w:rsidRPr="004E27D5">
        <w:rPr>
          <w:rFonts w:ascii="ITC Avant Garde" w:eastAsia="Times New Roman" w:hAnsi="ITC Avant Garde"/>
          <w:b/>
          <w:bCs/>
          <w:color w:val="000000"/>
          <w:lang w:eastAsia="es-MX"/>
        </w:rPr>
        <w:t>IFT</w:t>
      </w:r>
      <w:r w:rsidRPr="004E27D5">
        <w:rPr>
          <w:rFonts w:ascii="ITC Avant Garde" w:eastAsia="Times New Roman" w:hAnsi="ITC Avant Garde"/>
          <w:bCs/>
          <w:color w:val="000000"/>
          <w:lang w:eastAsia="es-MX"/>
        </w:rPr>
        <w:t xml:space="preserve"> es un órgano autónomo, con personalidad jurídica y patrimonio propio, que tiene por objeto el desarrollo eficiente de la radiodifusión y las </w:t>
      </w:r>
      <w:r w:rsidRPr="004E27D5">
        <w:rPr>
          <w:rFonts w:ascii="ITC Avant Garde" w:eastAsia="Times New Roman" w:hAnsi="ITC Avant Garde"/>
          <w:bCs/>
          <w:color w:val="000000"/>
          <w:lang w:eastAsia="es-MX"/>
        </w:rPr>
        <w:lastRenderedPageBreak/>
        <w:t>telecomunicaciones, para lo cual tiene a su cargo, entre otros, la regulación, promoción y supervisión del uso, aprovechamiento y explotación del espectro radioeléctrico, las redes y la prestación de los servicios de radiodifusión y telecomunicaciones. Asimismo, es también la autoridad en materia de competencia económica de los sectores de radiodifusión y telecomunicaciones.</w:t>
      </w:r>
    </w:p>
    <w:p w:rsidR="009E7D7C" w:rsidRPr="004E27D5" w:rsidRDefault="0047731F" w:rsidP="0047731F">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Conforme a lo anterior, el </w:t>
      </w:r>
      <w:r w:rsidRPr="004E27D5">
        <w:rPr>
          <w:rFonts w:ascii="ITC Avant Garde" w:eastAsia="Times New Roman" w:hAnsi="ITC Avant Garde"/>
          <w:b/>
          <w:bCs/>
          <w:color w:val="000000"/>
          <w:lang w:eastAsia="es-MX"/>
        </w:rPr>
        <w:t>IFT</w:t>
      </w:r>
      <w:r w:rsidRPr="004E27D5">
        <w:rPr>
          <w:rFonts w:ascii="ITC Avant Garde" w:eastAsia="Times New Roman" w:hAnsi="ITC Avant Garde"/>
          <w:bCs/>
          <w:color w:val="000000"/>
          <w:lang w:eastAsia="es-MX"/>
        </w:rPr>
        <w:t xml:space="preserve"> es el encargado de vigilar la debida observancia a lo dispuesto en las concesiones y autorizaciones que se otorguen para el uso, aprovechamiento y explotación de bandas de frecuencias del espectro radioeléctrico,</w:t>
      </w:r>
      <w:r w:rsidRPr="004E27D5">
        <w:t xml:space="preserve"> </w:t>
      </w:r>
      <w:r w:rsidRPr="004E27D5">
        <w:rPr>
          <w:rFonts w:ascii="ITC Avant Garde" w:eastAsia="Times New Roman" w:hAnsi="ITC Avant Garde"/>
          <w:bCs/>
          <w:color w:val="000000"/>
          <w:lang w:eastAsia="es-MX"/>
        </w:rPr>
        <w:t>dedicadas al servicio público de radiodifusión como vehículo de información y de expresión, a fin de asegurar que se realice de conformidad con las disposiciones jurídicas aplicables.</w:t>
      </w:r>
    </w:p>
    <w:p w:rsidR="009E7D7C" w:rsidRPr="004E27D5" w:rsidRDefault="0047731F" w:rsidP="0047731F">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Bajo esas consideraciones, el ejercicio de las facultades de supervisión y verificación por parte del </w:t>
      </w:r>
      <w:r w:rsidRPr="004E27D5">
        <w:rPr>
          <w:rFonts w:ascii="ITC Avant Garde" w:eastAsia="Times New Roman" w:hAnsi="ITC Avant Garde"/>
          <w:b/>
          <w:bCs/>
          <w:color w:val="000000"/>
          <w:lang w:eastAsia="es-MX"/>
        </w:rPr>
        <w:t>IFT</w:t>
      </w:r>
      <w:r w:rsidRPr="004E27D5">
        <w:rPr>
          <w:rFonts w:ascii="ITC Avant Garde" w:eastAsia="Times New Roman" w:hAnsi="ITC Avant Garde"/>
          <w:bCs/>
          <w:color w:val="000000"/>
          <w:lang w:eastAsia="es-MX"/>
        </w:rPr>
        <w:t xml:space="preserve"> traen aparejada la relativa a imponer sanciones por el incumplimiento a lo establecido en las leyes correspondientes o en los respectivos títulos de concesión, asignaciones o permisos, con la finalidad de inhibir aquellas conductas que atenten contra los objetivos de la normatividad en la materia.</w:t>
      </w:r>
    </w:p>
    <w:p w:rsidR="009E7D7C" w:rsidRPr="004E27D5" w:rsidRDefault="0047731F" w:rsidP="0047731F">
      <w:pPr>
        <w:pStyle w:val="Textoindependiente"/>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En ese sentido, la Unidad de Cumplimiento, </w:t>
      </w:r>
      <w:r w:rsidR="00AC38A6" w:rsidRPr="004E27D5">
        <w:rPr>
          <w:rFonts w:ascii="ITC Avant Garde" w:eastAsia="Times New Roman" w:hAnsi="ITC Avant Garde"/>
          <w:bCs/>
          <w:color w:val="000000"/>
          <w:lang w:eastAsia="es-MX"/>
        </w:rPr>
        <w:t xml:space="preserve">una vez realizada la </w:t>
      </w:r>
      <w:r w:rsidR="00322014" w:rsidRPr="004E27D5">
        <w:rPr>
          <w:rFonts w:ascii="ITC Avant Garde" w:eastAsia="Times New Roman" w:hAnsi="ITC Avant Garde"/>
          <w:bCs/>
          <w:color w:val="000000"/>
          <w:lang w:eastAsia="es-MX"/>
        </w:rPr>
        <w:t xml:space="preserve">sustanciación </w:t>
      </w:r>
      <w:r w:rsidR="008A53A8" w:rsidRPr="004E27D5">
        <w:rPr>
          <w:rFonts w:ascii="ITC Avant Garde" w:eastAsia="Times New Roman" w:hAnsi="ITC Avant Garde"/>
          <w:bCs/>
          <w:color w:val="000000"/>
          <w:lang w:eastAsia="es-MX"/>
        </w:rPr>
        <w:t>del</w:t>
      </w:r>
      <w:r w:rsidRPr="004E27D5">
        <w:rPr>
          <w:rFonts w:ascii="ITC Avant Garde" w:eastAsia="Times New Roman" w:hAnsi="ITC Avant Garde"/>
          <w:bCs/>
          <w:color w:val="000000"/>
          <w:lang w:eastAsia="es-MX"/>
        </w:rPr>
        <w:t xml:space="preserve"> procedimiento administrativo seguido al efecto, propuso a este Pleno resolver sobre la declaratoria de pérdida de bienes en beneficio de la Nación, en contra</w:t>
      </w:r>
      <w:r w:rsidRPr="004E27D5">
        <w:rPr>
          <w:rFonts w:ascii="ITC Avant Garde" w:hAnsi="ITC Avant Garde" w:cs="Arial"/>
        </w:rPr>
        <w:t xml:space="preserve"> de</w:t>
      </w:r>
      <w:r w:rsidRPr="004E27D5">
        <w:rPr>
          <w:rFonts w:ascii="ITC Avant Garde" w:eastAsia="Times New Roman" w:hAnsi="ITC Avant Garde"/>
          <w:bCs/>
          <w:lang w:eastAsia="es-MX"/>
        </w:rPr>
        <w:t xml:space="preserve">l </w:t>
      </w:r>
      <w:r w:rsidR="00A01799" w:rsidRPr="004E27D5">
        <w:rPr>
          <w:rFonts w:ascii="ITC Avant Garde" w:hAnsi="ITC Avant Garde"/>
          <w:b/>
        </w:rPr>
        <w:t>PRESUNTO RESPONSABLE</w:t>
      </w:r>
      <w:r w:rsidRPr="004E27D5">
        <w:rPr>
          <w:rFonts w:ascii="ITC Avant Garde" w:eastAsia="Times New Roman" w:hAnsi="ITC Avant Garde" w:cs="Arial"/>
          <w:lang w:eastAsia="es-MX"/>
        </w:rPr>
        <w:t>,</w:t>
      </w:r>
      <w:r w:rsidRPr="004E27D5">
        <w:rPr>
          <w:rFonts w:ascii="ITC Avant Garde" w:eastAsia="Times New Roman" w:hAnsi="ITC Avant Garde"/>
          <w:bCs/>
          <w:kern w:val="32"/>
          <w:lang w:eastAsia="es-MX"/>
        </w:rPr>
        <w:t xml:space="preserve"> al considerar que </w:t>
      </w:r>
      <w:r w:rsidRPr="004E27D5">
        <w:rPr>
          <w:rFonts w:ascii="ITC Avant Garde" w:eastAsia="Times New Roman" w:hAnsi="ITC Avant Garde"/>
          <w:bCs/>
          <w:color w:val="000000"/>
          <w:lang w:eastAsia="es-MX"/>
        </w:rPr>
        <w:t xml:space="preserve">se actualizó la hipótesis normativa prevista en el artículo 305 de la </w:t>
      </w:r>
      <w:r w:rsidR="006310EA" w:rsidRPr="004E27D5">
        <w:rPr>
          <w:rFonts w:ascii="ITC Avant Garde" w:eastAsia="Times New Roman" w:hAnsi="ITC Avant Garde"/>
          <w:b/>
          <w:bCs/>
          <w:color w:val="000000"/>
          <w:lang w:eastAsia="es-MX"/>
        </w:rPr>
        <w:t>LFTR</w:t>
      </w:r>
      <w:r w:rsidRPr="004E27D5">
        <w:rPr>
          <w:rFonts w:ascii="ITC Avant Garde" w:eastAsia="Times New Roman" w:hAnsi="ITC Avant Garde"/>
          <w:bCs/>
          <w:color w:val="000000"/>
          <w:lang w:eastAsia="es-MX"/>
        </w:rPr>
        <w:t>.</w:t>
      </w:r>
    </w:p>
    <w:p w:rsidR="0047731F" w:rsidRPr="004E27D5" w:rsidRDefault="0047731F" w:rsidP="0047731F">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Ahora bien, para determinar la procedencia en la imposición de una sanción, la </w:t>
      </w:r>
      <w:r w:rsidR="006310EA" w:rsidRPr="004E27D5">
        <w:rPr>
          <w:rFonts w:ascii="ITC Avant Garde" w:eastAsia="Times New Roman" w:hAnsi="ITC Avant Garde"/>
          <w:b/>
          <w:bCs/>
          <w:color w:val="000000"/>
          <w:lang w:eastAsia="es-MX"/>
        </w:rPr>
        <w:t>LFTR</w:t>
      </w:r>
      <w:r w:rsidRPr="004E27D5">
        <w:rPr>
          <w:rFonts w:ascii="ITC Avant Garde" w:eastAsia="Times New Roman" w:hAnsi="ITC Avant Garde"/>
          <w:bCs/>
          <w:color w:val="000000"/>
          <w:lang w:eastAsia="es-MX"/>
        </w:rPr>
        <w:t xml:space="preserve"> aplicable en el caso en concreto, no sólo establece obligaciones para los concesionarios y permisionarios y en general para cualquier persona, sino también señala supuestos de incumplimiento específicos y las consecuencias jurídicas a las que se harán acreedores en caso de infringir la normatividad en la materia.</w:t>
      </w:r>
    </w:p>
    <w:p w:rsidR="009E7D7C" w:rsidRPr="004E27D5" w:rsidRDefault="0047731F" w:rsidP="0047731F">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Es decir, al pretender imponer una sanción, esta autoridad debe analizar, minuciosamente, la conducta que se le imputa al </w:t>
      </w:r>
      <w:r w:rsidR="00A01799" w:rsidRPr="004E27D5">
        <w:rPr>
          <w:rFonts w:ascii="ITC Avant Garde" w:hAnsi="ITC Avant Garde"/>
          <w:b/>
        </w:rPr>
        <w:t>PRESUNTO RESPONSABLE</w:t>
      </w:r>
      <w:r w:rsidR="00A01799" w:rsidRPr="004E27D5">
        <w:rPr>
          <w:rFonts w:ascii="ITC Avant Garde" w:eastAsia="Times New Roman" w:hAnsi="ITC Avant Garde"/>
          <w:bCs/>
          <w:color w:val="000000"/>
          <w:lang w:eastAsia="es-MX"/>
        </w:rPr>
        <w:t xml:space="preserve"> </w:t>
      </w:r>
      <w:r w:rsidRPr="004E27D5">
        <w:rPr>
          <w:rFonts w:ascii="ITC Avant Garde" w:eastAsia="Times New Roman" w:hAnsi="ITC Avant Garde"/>
          <w:bCs/>
          <w:color w:val="000000"/>
          <w:lang w:eastAsia="es-MX"/>
        </w:rPr>
        <w:t>y determinar si la misma es susceptible de ser sancionada en términos del precepto legal o normativo que se considera violado.</w:t>
      </w:r>
    </w:p>
    <w:p w:rsidR="009E7D7C" w:rsidRPr="004E27D5" w:rsidRDefault="0047731F" w:rsidP="0047731F">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lastRenderedPageBreak/>
        <w:t xml:space="preserve">En este orden de ideas, la H. Suprema Corte de Justicia de la Nación, ha sostenido que el desarrollo jurisprudencial de los principios del derecho penal en el campo administrativo sancionador irá formando los principios propios para este campo del </w:t>
      </w:r>
      <w:proofErr w:type="spellStart"/>
      <w:r w:rsidRPr="004E27D5">
        <w:rPr>
          <w:rFonts w:ascii="ITC Avant Garde" w:eastAsia="Times New Roman" w:hAnsi="ITC Avant Garde"/>
          <w:bCs/>
          <w:color w:val="000000"/>
          <w:lang w:eastAsia="es-MX"/>
        </w:rPr>
        <w:t>ius</w:t>
      </w:r>
      <w:proofErr w:type="spellEnd"/>
      <w:r w:rsidRPr="004E27D5">
        <w:rPr>
          <w:rFonts w:ascii="ITC Avant Garde" w:eastAsia="Times New Roman" w:hAnsi="ITC Avant Garde"/>
          <w:bCs/>
          <w:color w:val="000000"/>
          <w:lang w:eastAsia="es-MX"/>
        </w:rPr>
        <w:t xml:space="preserve"> </w:t>
      </w:r>
      <w:proofErr w:type="spellStart"/>
      <w:r w:rsidRPr="004E27D5">
        <w:rPr>
          <w:rFonts w:ascii="ITC Avant Garde" w:eastAsia="Times New Roman" w:hAnsi="ITC Avant Garde"/>
          <w:bCs/>
          <w:color w:val="000000"/>
          <w:lang w:eastAsia="es-MX"/>
        </w:rPr>
        <w:t>puniendi</w:t>
      </w:r>
      <w:proofErr w:type="spellEnd"/>
      <w:r w:rsidRPr="004E27D5">
        <w:rPr>
          <w:rFonts w:ascii="ITC Avant Garde" w:eastAsia="Times New Roman" w:hAnsi="ITC Avant Garde"/>
          <w:bCs/>
          <w:color w:val="000000"/>
          <w:lang w:eastAsia="es-MX"/>
        </w:rPr>
        <w:t xml:space="preserve"> del Estado, sin embargo, en tanto esto sucede, es válido considerar de manera prudente las técnicas garantistas del derecho penal, como lo es el principio de inaplicabilidad de la analogía en materia penal o tipicidad.</w:t>
      </w:r>
    </w:p>
    <w:p w:rsidR="009E7D7C" w:rsidRPr="004E27D5" w:rsidRDefault="0047731F" w:rsidP="0047731F">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En ese sentido, el derecho administrativo sancionador y el derecho penal al ser manifestaciones de la potestad punitiva del Estado y dada la unidad de éstos,  en la interpretación constitucional de los principios del derecho administrativo sancionador, </w:t>
      </w:r>
      <w:r w:rsidR="008A53A8" w:rsidRPr="004E27D5">
        <w:rPr>
          <w:rFonts w:ascii="ITC Avant Garde" w:eastAsia="Times New Roman" w:hAnsi="ITC Avant Garde"/>
          <w:bCs/>
          <w:color w:val="000000"/>
          <w:lang w:eastAsia="es-MX"/>
        </w:rPr>
        <w:t xml:space="preserve">debe acudirse al </w:t>
      </w:r>
      <w:r w:rsidRPr="004E27D5">
        <w:rPr>
          <w:rFonts w:ascii="ITC Avant Garde" w:eastAsia="Times New Roman" w:hAnsi="ITC Avant Garde"/>
          <w:bCs/>
          <w:color w:val="000000"/>
          <w:lang w:eastAsia="es-MX"/>
        </w:rPr>
        <w:t>aducido principio de tipicidad, normalmente referido a la materia penal, haciéndolo extensivo a las infracciones y sanciones administrativas, de modo tal que si cierta disposición administrativa establece una sanción por alguna infracción, la conducta realizada por el afectado debe encuadrar exactamente en la hipótesis normativa previamente establecida por el poder legislativo, sin que sea lícito ampliar ésta por analogía o por mayoría de razón.</w:t>
      </w:r>
    </w:p>
    <w:p w:rsidR="009E7D7C" w:rsidRPr="004E27D5" w:rsidRDefault="0047731F" w:rsidP="0047731F">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Así, en la especie se considera que la conducta desplegada por el presunto infractor vulnera el contenido del artículo 66 de la </w:t>
      </w:r>
      <w:r w:rsidR="006310EA" w:rsidRPr="004E27D5">
        <w:rPr>
          <w:rFonts w:ascii="ITC Avant Garde" w:eastAsia="Times New Roman" w:hAnsi="ITC Avant Garde"/>
          <w:b/>
          <w:bCs/>
          <w:color w:val="000000"/>
          <w:lang w:eastAsia="es-MX"/>
        </w:rPr>
        <w:t>LFTR</w:t>
      </w:r>
      <w:r w:rsidRPr="004E27D5">
        <w:rPr>
          <w:rFonts w:ascii="ITC Avant Garde" w:eastAsia="Times New Roman" w:hAnsi="ITC Avant Garde"/>
          <w:bCs/>
          <w:color w:val="000000"/>
          <w:lang w:eastAsia="es-MX"/>
        </w:rPr>
        <w:t xml:space="preserve">, que al efecto establece que se requiere </w:t>
      </w:r>
      <w:r w:rsidRPr="004E27D5">
        <w:rPr>
          <w:rFonts w:ascii="ITC Avant Garde" w:hAnsi="ITC Avant Garde"/>
        </w:rPr>
        <w:t xml:space="preserve">de concesión única </w:t>
      </w:r>
      <w:r w:rsidRPr="004E27D5">
        <w:rPr>
          <w:rFonts w:ascii="ITC Avant Garde" w:eastAsia="Times New Roman" w:hAnsi="ITC Avant Garde"/>
          <w:bCs/>
          <w:color w:val="000000"/>
          <w:lang w:eastAsia="es-MX"/>
        </w:rPr>
        <w:t xml:space="preserve">otorgada por el </w:t>
      </w:r>
      <w:r w:rsidRPr="004E27D5">
        <w:rPr>
          <w:rFonts w:ascii="ITC Avant Garde" w:eastAsia="Times New Roman" w:hAnsi="ITC Avant Garde"/>
          <w:b/>
          <w:bCs/>
          <w:color w:val="000000"/>
          <w:lang w:eastAsia="es-MX"/>
        </w:rPr>
        <w:t>IFT</w:t>
      </w:r>
      <w:r w:rsidRPr="004E27D5">
        <w:rPr>
          <w:rFonts w:ascii="ITC Avant Garde" w:hAnsi="ITC Avant Garde"/>
        </w:rPr>
        <w:t xml:space="preserve"> para prestar todo tipo de servicios públicos de telecomunicaciones y radiodifusión.</w:t>
      </w:r>
      <w:r w:rsidRPr="004E27D5">
        <w:rPr>
          <w:rFonts w:ascii="ITC Avant Garde" w:eastAsia="Times New Roman" w:hAnsi="ITC Avant Garde"/>
          <w:bCs/>
          <w:color w:val="000000"/>
          <w:lang w:eastAsia="es-MX"/>
        </w:rPr>
        <w:t xml:space="preserve"> </w:t>
      </w:r>
    </w:p>
    <w:p w:rsidR="009E7D7C" w:rsidRPr="004E27D5" w:rsidRDefault="0047731F" w:rsidP="0047731F">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Desde luego, el mencionado precepto dispone lo siguiente:</w:t>
      </w:r>
    </w:p>
    <w:p w:rsidR="009E7D7C" w:rsidRPr="004E27D5" w:rsidRDefault="0047731F" w:rsidP="004E27D5">
      <w:pPr>
        <w:pStyle w:val="Textoindependiente"/>
        <w:spacing w:line="240" w:lineRule="auto"/>
        <w:ind w:left="851" w:right="616"/>
        <w:jc w:val="both"/>
        <w:rPr>
          <w:rFonts w:ascii="ITC Avant Garde" w:eastAsia="Times New Roman" w:hAnsi="ITC Avant Garde"/>
          <w:bCs/>
          <w:color w:val="000000"/>
          <w:sz w:val="20"/>
          <w:szCs w:val="20"/>
          <w:lang w:eastAsia="es-MX"/>
        </w:rPr>
      </w:pPr>
      <w:r w:rsidRPr="004E27D5">
        <w:rPr>
          <w:rFonts w:ascii="ITC Avant Garde" w:eastAsia="Times New Roman" w:hAnsi="ITC Avant Garde"/>
          <w:bCs/>
          <w:color w:val="000000"/>
          <w:lang w:eastAsia="es-MX"/>
        </w:rPr>
        <w:t>“</w:t>
      </w:r>
      <w:r w:rsidRPr="004E27D5">
        <w:rPr>
          <w:rFonts w:ascii="ITC Avant Garde" w:eastAsia="Times New Roman" w:hAnsi="ITC Avant Garde"/>
          <w:b/>
          <w:bCs/>
          <w:color w:val="000000"/>
          <w:sz w:val="20"/>
          <w:szCs w:val="20"/>
          <w:lang w:eastAsia="es-MX"/>
        </w:rPr>
        <w:t>Artículo 66.</w:t>
      </w:r>
      <w:r w:rsidRPr="004E27D5">
        <w:rPr>
          <w:rFonts w:ascii="ITC Avant Garde" w:eastAsia="Times New Roman" w:hAnsi="ITC Avant Garde"/>
          <w:bCs/>
          <w:color w:val="000000"/>
          <w:sz w:val="20"/>
          <w:szCs w:val="20"/>
          <w:lang w:eastAsia="es-MX"/>
        </w:rPr>
        <w:t xml:space="preserve"> Se requerirá concesión única para prestar todo tipo de servicios públicos de telecomunicaciones y radiodifusión.”</w:t>
      </w:r>
    </w:p>
    <w:p w:rsidR="009E7D7C" w:rsidRPr="004E27D5" w:rsidRDefault="0047731F" w:rsidP="0047731F">
      <w:pPr>
        <w:pStyle w:val="Textoindependiente"/>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Lo anterior, en relación con el artículo 75, de la </w:t>
      </w:r>
      <w:r w:rsidR="006310EA" w:rsidRPr="004E27D5">
        <w:rPr>
          <w:rFonts w:ascii="ITC Avant Garde" w:eastAsia="Times New Roman" w:hAnsi="ITC Avant Garde"/>
          <w:b/>
          <w:bCs/>
          <w:color w:val="000000"/>
          <w:lang w:eastAsia="es-MX"/>
        </w:rPr>
        <w:t>LFTR</w:t>
      </w:r>
      <w:r w:rsidRPr="004E27D5">
        <w:rPr>
          <w:rFonts w:ascii="ITC Avant Garde" w:eastAsia="Times New Roman" w:hAnsi="ITC Avant Garde"/>
          <w:bCs/>
          <w:color w:val="000000"/>
          <w:lang w:eastAsia="es-MX"/>
        </w:rPr>
        <w:t>, el cual dispone que corresponde al Instituto el otorgamiento de concesi</w:t>
      </w:r>
      <w:r w:rsidR="00A90E12" w:rsidRPr="004E27D5">
        <w:rPr>
          <w:rFonts w:ascii="ITC Avant Garde" w:eastAsia="Times New Roman" w:hAnsi="ITC Avant Garde"/>
          <w:bCs/>
          <w:color w:val="000000"/>
          <w:lang w:eastAsia="es-MX"/>
        </w:rPr>
        <w:t>ones</w:t>
      </w:r>
      <w:r w:rsidRPr="004E27D5">
        <w:rPr>
          <w:rFonts w:ascii="ITC Avant Garde" w:eastAsia="Times New Roman" w:hAnsi="ITC Avant Garde"/>
          <w:bCs/>
          <w:color w:val="000000"/>
          <w:lang w:eastAsia="es-MX"/>
        </w:rPr>
        <w:t xml:space="preserve"> para usar, aprovechar y explotar bandas de frecuencia del espectro radioeléctrico.</w:t>
      </w:r>
    </w:p>
    <w:p w:rsidR="009E7D7C" w:rsidRPr="004E27D5" w:rsidRDefault="0047731F" w:rsidP="0047731F">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Ahora bien, para efectos de cumplir con el citado principio de tipicidad, resulta importante hacer notar que la conducta antes referida, misma que resulta contraria a la ley, es susceptible de ser sancionada en términos de la fracción I del inciso E) del artículo 298 de la </w:t>
      </w:r>
      <w:r w:rsidR="006310EA" w:rsidRPr="004E27D5">
        <w:rPr>
          <w:rFonts w:ascii="ITC Avant Garde" w:eastAsia="Times New Roman" w:hAnsi="ITC Avant Garde"/>
          <w:b/>
          <w:bCs/>
          <w:color w:val="000000"/>
          <w:lang w:eastAsia="es-MX"/>
        </w:rPr>
        <w:t>LFTR</w:t>
      </w:r>
      <w:r w:rsidRPr="004E27D5">
        <w:rPr>
          <w:rFonts w:ascii="ITC Avant Garde" w:eastAsia="Times New Roman" w:hAnsi="ITC Avant Garde"/>
          <w:bCs/>
          <w:color w:val="000000"/>
          <w:lang w:eastAsia="es-MX"/>
        </w:rPr>
        <w:t xml:space="preserve">, mismo que establece que la sanción que en su caso procede imponer a quien preste servicios de telecomunicaciones o radiodifusión sin contar con concesión o </w:t>
      </w:r>
      <w:r w:rsidRPr="004E27D5">
        <w:rPr>
          <w:rFonts w:ascii="ITC Avant Garde" w:eastAsia="Times New Roman" w:hAnsi="ITC Avant Garde"/>
          <w:bCs/>
          <w:color w:val="000000"/>
          <w:lang w:eastAsia="es-MX"/>
        </w:rPr>
        <w:lastRenderedPageBreak/>
        <w:t xml:space="preserve">autorización, </w:t>
      </w:r>
      <w:r w:rsidR="00F12445" w:rsidRPr="004E27D5">
        <w:rPr>
          <w:rFonts w:ascii="ITC Avant Garde" w:eastAsia="Times New Roman" w:hAnsi="ITC Avant Garde"/>
          <w:bCs/>
          <w:color w:val="000000"/>
          <w:lang w:eastAsia="es-MX"/>
        </w:rPr>
        <w:t>consiste en</w:t>
      </w:r>
      <w:r w:rsidRPr="004E27D5">
        <w:rPr>
          <w:rFonts w:ascii="ITC Avant Garde" w:eastAsia="Times New Roman" w:hAnsi="ITC Avant Garde"/>
          <w:bCs/>
          <w:color w:val="000000"/>
          <w:lang w:eastAsia="es-MX"/>
        </w:rPr>
        <w:t xml:space="preserve"> una multa por el equivalente del 6.01% hasta el 10% de los ingresos acumulables de la persona infractora. </w:t>
      </w:r>
    </w:p>
    <w:p w:rsidR="009E7D7C" w:rsidRPr="004E27D5" w:rsidRDefault="0047731F" w:rsidP="0047731F">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En efecto, el artículo 298, inciso E), fracción I de la </w:t>
      </w:r>
      <w:r w:rsidR="006310EA" w:rsidRPr="004E27D5">
        <w:rPr>
          <w:rFonts w:ascii="ITC Avant Garde" w:eastAsia="Times New Roman" w:hAnsi="ITC Avant Garde"/>
          <w:b/>
          <w:bCs/>
          <w:color w:val="000000"/>
          <w:lang w:eastAsia="es-MX"/>
        </w:rPr>
        <w:t>LFTR</w:t>
      </w:r>
      <w:r w:rsidRPr="004E27D5">
        <w:rPr>
          <w:rFonts w:ascii="ITC Avant Garde" w:eastAsia="Times New Roman" w:hAnsi="ITC Avant Garde"/>
          <w:bCs/>
          <w:color w:val="000000"/>
          <w:lang w:eastAsia="es-MX"/>
        </w:rPr>
        <w:t>, establece expresamente lo siguiente:</w:t>
      </w:r>
    </w:p>
    <w:p w:rsidR="0047731F" w:rsidRPr="004E27D5" w:rsidRDefault="0047731F" w:rsidP="00861A0D">
      <w:pPr>
        <w:spacing w:after="0" w:line="240" w:lineRule="auto"/>
        <w:ind w:left="851" w:right="616"/>
        <w:jc w:val="both"/>
        <w:rPr>
          <w:rFonts w:ascii="ITC Avant Garde" w:hAnsi="ITC Avant Garde"/>
          <w:color w:val="000000"/>
          <w:sz w:val="20"/>
          <w:szCs w:val="20"/>
        </w:rPr>
      </w:pPr>
      <w:r w:rsidRPr="004E27D5">
        <w:rPr>
          <w:rFonts w:ascii="ITC Avant Garde" w:hAnsi="ITC Avant Garde"/>
          <w:color w:val="000000"/>
          <w:sz w:val="20"/>
          <w:szCs w:val="20"/>
        </w:rPr>
        <w:t>“</w:t>
      </w:r>
      <w:r w:rsidRPr="004E27D5">
        <w:rPr>
          <w:rFonts w:ascii="ITC Avant Garde" w:hAnsi="ITC Avant Garde"/>
          <w:b/>
          <w:color w:val="000000"/>
          <w:sz w:val="20"/>
          <w:szCs w:val="20"/>
        </w:rPr>
        <w:t>Artículo 298.</w:t>
      </w:r>
      <w:r w:rsidRPr="004E27D5">
        <w:rPr>
          <w:rFonts w:ascii="ITC Avant Garde" w:hAnsi="ITC Avant Garde"/>
          <w:color w:val="000000"/>
          <w:sz w:val="20"/>
          <w:szCs w:val="20"/>
        </w:rPr>
        <w:t xml:space="preserve"> Las infracciones a lo dispuesto en esta Ley y a las disposiciones que deriven de ella, se sancionarán por el Instituto de</w:t>
      </w:r>
      <w:r w:rsidR="004E27D5" w:rsidRPr="004E27D5">
        <w:rPr>
          <w:rFonts w:ascii="ITC Avant Garde" w:hAnsi="ITC Avant Garde"/>
          <w:color w:val="000000"/>
          <w:sz w:val="20"/>
          <w:szCs w:val="20"/>
        </w:rPr>
        <w:t xml:space="preserve"> conformidad con lo siguiente:</w:t>
      </w:r>
    </w:p>
    <w:p w:rsidR="009E7D7C" w:rsidRPr="004E27D5" w:rsidRDefault="0047731F" w:rsidP="00861A0D">
      <w:pPr>
        <w:spacing w:after="0" w:line="240" w:lineRule="auto"/>
        <w:ind w:left="851" w:right="616"/>
        <w:jc w:val="both"/>
        <w:rPr>
          <w:rFonts w:ascii="ITC Avant Garde" w:eastAsia="Times New Roman" w:hAnsi="ITC Avant Garde"/>
          <w:sz w:val="20"/>
          <w:szCs w:val="20"/>
          <w:lang w:eastAsia="es-ES"/>
        </w:rPr>
      </w:pPr>
      <w:r w:rsidRPr="004E27D5">
        <w:rPr>
          <w:rFonts w:ascii="ITC Avant Garde" w:eastAsia="Times New Roman" w:hAnsi="ITC Avant Garde"/>
          <w:sz w:val="20"/>
          <w:szCs w:val="20"/>
          <w:lang w:eastAsia="es-ES"/>
        </w:rPr>
        <w:t>[…]</w:t>
      </w:r>
    </w:p>
    <w:p w:rsidR="009E7D7C" w:rsidRPr="004E27D5" w:rsidRDefault="0047731F" w:rsidP="00861A0D">
      <w:pPr>
        <w:spacing w:after="0" w:line="240" w:lineRule="auto"/>
        <w:ind w:left="851" w:right="616"/>
        <w:jc w:val="both"/>
        <w:rPr>
          <w:rFonts w:ascii="ITC Avant Garde" w:hAnsi="ITC Avant Garde"/>
          <w:color w:val="000000"/>
          <w:sz w:val="20"/>
          <w:szCs w:val="20"/>
        </w:rPr>
      </w:pPr>
      <w:r w:rsidRPr="004E27D5">
        <w:rPr>
          <w:rFonts w:ascii="ITC Avant Garde" w:hAnsi="ITC Avant Garde"/>
          <w:color w:val="000000"/>
          <w:sz w:val="20"/>
          <w:szCs w:val="20"/>
        </w:rPr>
        <w:t>E). Con multa por el equivalente de 6.01% hasta 10% de los ingresos de la persona infractora que:</w:t>
      </w:r>
    </w:p>
    <w:p w:rsidR="009E7D7C" w:rsidRPr="004E27D5" w:rsidRDefault="0047731F" w:rsidP="004E27D5">
      <w:pPr>
        <w:spacing w:line="240" w:lineRule="auto"/>
        <w:ind w:left="851" w:right="616"/>
        <w:jc w:val="both"/>
        <w:rPr>
          <w:rFonts w:ascii="ITC Avant Garde" w:eastAsia="Times New Roman" w:hAnsi="ITC Avant Garde"/>
          <w:bCs/>
          <w:color w:val="000000"/>
          <w:sz w:val="20"/>
          <w:szCs w:val="20"/>
          <w:lang w:eastAsia="es-MX"/>
        </w:rPr>
      </w:pPr>
      <w:r w:rsidRPr="004E27D5">
        <w:rPr>
          <w:rFonts w:ascii="ITC Avant Garde" w:hAnsi="ITC Avant Garde"/>
          <w:color w:val="000000"/>
          <w:sz w:val="20"/>
          <w:szCs w:val="20"/>
        </w:rPr>
        <w:t>I. Preste servicios de telecomunicaciones o radiodifusión sin contar con concesión o autorización…</w:t>
      </w:r>
    </w:p>
    <w:p w:rsidR="009E7D7C" w:rsidRPr="004E27D5" w:rsidRDefault="0047731F" w:rsidP="0047731F">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Asimismo, la comisión de la conducta en análisis, actualiza la primera de las hipótesis normativas previstas en el artículo 305 de la </w:t>
      </w:r>
      <w:r w:rsidR="006310EA" w:rsidRPr="004E27D5">
        <w:rPr>
          <w:rFonts w:ascii="ITC Avant Garde" w:eastAsia="Times New Roman" w:hAnsi="ITC Avant Garde"/>
          <w:b/>
          <w:bCs/>
          <w:color w:val="000000"/>
          <w:lang w:eastAsia="es-MX"/>
        </w:rPr>
        <w:t>LFTR</w:t>
      </w:r>
      <w:r w:rsidRPr="004E27D5">
        <w:rPr>
          <w:rFonts w:ascii="ITC Avant Garde" w:eastAsia="Times New Roman" w:hAnsi="ITC Avant Garde"/>
          <w:bCs/>
          <w:color w:val="000000"/>
          <w:lang w:eastAsia="es-MX"/>
        </w:rPr>
        <w:t>, misma que establece como consecuencia, la pérdida en beneficio de la Nación, de los bienes, instalaciones y equipos empleados en la comisión de dichas infracciones. En efecto dicho precepto legal expresamente establece:</w:t>
      </w:r>
    </w:p>
    <w:p w:rsidR="009E7D7C" w:rsidRPr="004E27D5" w:rsidRDefault="0047731F" w:rsidP="004E27D5">
      <w:pPr>
        <w:spacing w:line="240" w:lineRule="auto"/>
        <w:ind w:left="851" w:right="616"/>
        <w:jc w:val="both"/>
        <w:rPr>
          <w:rFonts w:ascii="ITC Avant Garde" w:eastAsia="Times New Roman" w:hAnsi="ITC Avant Garde"/>
          <w:bCs/>
          <w:color w:val="000000"/>
          <w:sz w:val="20"/>
          <w:szCs w:val="20"/>
          <w:lang w:eastAsia="es-MX"/>
        </w:rPr>
      </w:pPr>
      <w:r w:rsidRPr="004E27D5">
        <w:rPr>
          <w:rFonts w:ascii="ITC Avant Garde" w:eastAsia="Times New Roman" w:hAnsi="ITC Avant Garde"/>
          <w:bCs/>
          <w:color w:val="000000"/>
          <w:sz w:val="20"/>
          <w:szCs w:val="20"/>
          <w:lang w:eastAsia="es-MX"/>
        </w:rPr>
        <w:t>“</w:t>
      </w:r>
      <w:r w:rsidRPr="004E27D5">
        <w:rPr>
          <w:rFonts w:ascii="ITC Avant Garde" w:eastAsia="Times New Roman" w:hAnsi="ITC Avant Garde"/>
          <w:b/>
          <w:bCs/>
          <w:color w:val="000000"/>
          <w:sz w:val="20"/>
          <w:szCs w:val="20"/>
          <w:lang w:eastAsia="es-MX"/>
        </w:rPr>
        <w:t>Artículo 305.</w:t>
      </w:r>
      <w:r w:rsidRPr="004E27D5">
        <w:rPr>
          <w:rFonts w:ascii="ITC Avant Garde" w:eastAsia="Times New Roman" w:hAnsi="ITC Avant Garde"/>
          <w:bCs/>
          <w:color w:val="000000"/>
          <w:sz w:val="20"/>
          <w:szCs w:val="20"/>
          <w:lang w:eastAsia="es-MX"/>
        </w:rPr>
        <w:t xml:space="preserve"> </w:t>
      </w:r>
      <w:r w:rsidRPr="004E27D5">
        <w:rPr>
          <w:rFonts w:ascii="ITC Avant Garde" w:eastAsia="Times New Roman" w:hAnsi="ITC Avant Garde"/>
          <w:b/>
          <w:bCs/>
          <w:color w:val="000000"/>
          <w:sz w:val="20"/>
          <w:szCs w:val="20"/>
          <w:u w:val="single"/>
          <w:lang w:eastAsia="es-MX"/>
        </w:rPr>
        <w:t>Las personas que presten servicios</w:t>
      </w:r>
      <w:r w:rsidRPr="004E27D5">
        <w:rPr>
          <w:rFonts w:ascii="ITC Avant Garde" w:eastAsia="Times New Roman" w:hAnsi="ITC Avant Garde"/>
          <w:bCs/>
          <w:color w:val="000000"/>
          <w:sz w:val="20"/>
          <w:szCs w:val="20"/>
          <w:lang w:eastAsia="es-MX"/>
        </w:rPr>
        <w:t xml:space="preserve"> de telecomunicaciones o </w:t>
      </w:r>
      <w:r w:rsidRPr="004E27D5">
        <w:rPr>
          <w:rFonts w:ascii="ITC Avant Garde" w:eastAsia="Times New Roman" w:hAnsi="ITC Avant Garde"/>
          <w:b/>
          <w:bCs/>
          <w:color w:val="000000"/>
          <w:sz w:val="20"/>
          <w:szCs w:val="20"/>
          <w:u w:val="single"/>
          <w:lang w:eastAsia="es-MX"/>
        </w:rPr>
        <w:t>de radiodifusión, sin contar con concesión o autorización,</w:t>
      </w:r>
      <w:r w:rsidRPr="004E27D5">
        <w:rPr>
          <w:rFonts w:ascii="ITC Avant Garde" w:eastAsia="Times New Roman" w:hAnsi="ITC Avant Garde"/>
          <w:bCs/>
          <w:color w:val="000000"/>
          <w:sz w:val="20"/>
          <w:szCs w:val="20"/>
          <w:lang w:eastAsia="es-MX"/>
        </w:rPr>
        <w:t xml:space="preserve"> o que por cualquier otro medio invadan u obstruyan las vías generales de comunicación, </w:t>
      </w:r>
      <w:r w:rsidRPr="004E27D5">
        <w:rPr>
          <w:rFonts w:ascii="ITC Avant Garde" w:eastAsia="Times New Roman" w:hAnsi="ITC Avant Garde"/>
          <w:b/>
          <w:bCs/>
          <w:color w:val="000000"/>
          <w:sz w:val="20"/>
          <w:szCs w:val="20"/>
          <w:u w:val="single"/>
          <w:lang w:eastAsia="es-MX"/>
        </w:rPr>
        <w:t>perderán en beneficio de la Nación los bienes, instalaciones y equipos empleados en la comisión de dichas infracciones.</w:t>
      </w:r>
      <w:r w:rsidRPr="004E27D5">
        <w:rPr>
          <w:rFonts w:ascii="ITC Avant Garde" w:eastAsia="Times New Roman" w:hAnsi="ITC Avant Garde"/>
          <w:bCs/>
          <w:color w:val="000000"/>
          <w:sz w:val="20"/>
          <w:szCs w:val="20"/>
          <w:lang w:eastAsia="es-MX"/>
        </w:rPr>
        <w:t>”</w:t>
      </w:r>
    </w:p>
    <w:p w:rsidR="009E7D7C" w:rsidRPr="004E27D5" w:rsidRDefault="0047731F" w:rsidP="0047731F">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De lo anterior podemos concluir que el principio de tipicidad sólo se cumple cuando en una norma consta una predeterminación tanto de la infracción como de la sanción, es decir que la ley describa un supuesto de hecho determinado que permita predecir las conductas infractoras y las sanciones correspondientes para tal actualización de hechos, situación que se hace patente en el presente asunto.</w:t>
      </w:r>
    </w:p>
    <w:p w:rsidR="009E7D7C" w:rsidRPr="004E27D5" w:rsidRDefault="0047731F" w:rsidP="00C321E2">
      <w:pPr>
        <w:spacing w:after="0" w:line="360" w:lineRule="auto"/>
        <w:jc w:val="both"/>
        <w:rPr>
          <w:rFonts w:ascii="Times New Roman" w:hAnsi="Times New Roman"/>
          <w:sz w:val="24"/>
          <w:szCs w:val="24"/>
          <w:lang w:eastAsia="es-MX"/>
        </w:rPr>
      </w:pPr>
      <w:r w:rsidRPr="004E27D5">
        <w:rPr>
          <w:rFonts w:ascii="ITC Avant Garde" w:eastAsia="Times New Roman" w:hAnsi="ITC Avant Garde"/>
          <w:bCs/>
          <w:color w:val="000000"/>
          <w:lang w:eastAsia="es-MX"/>
        </w:rPr>
        <w:t xml:space="preserve">Por otra parte, resulta importante mencionar que para el ejercicio de la facultad sancionadora, en el caso de incumplimiento de las disposiciones legales en materia de radiodifusión, el artículo 297 primer párrafo de la </w:t>
      </w:r>
      <w:r w:rsidR="006310EA" w:rsidRPr="004E27D5">
        <w:rPr>
          <w:rFonts w:ascii="ITC Avant Garde" w:eastAsia="Times New Roman" w:hAnsi="ITC Avant Garde"/>
          <w:b/>
          <w:bCs/>
          <w:color w:val="000000"/>
          <w:lang w:eastAsia="es-MX"/>
        </w:rPr>
        <w:t>LFTR</w:t>
      </w:r>
      <w:r w:rsidRPr="004E27D5">
        <w:rPr>
          <w:rFonts w:ascii="ITC Avant Garde" w:eastAsia="Times New Roman" w:hAnsi="ITC Avant Garde"/>
          <w:bCs/>
          <w:color w:val="000000"/>
          <w:lang w:eastAsia="es-MX"/>
        </w:rPr>
        <w:t xml:space="preserve"> establece que para la imposición de las sanciones previstas en dicho cuerpo normativo, se estará a lo previsto por la </w:t>
      </w:r>
      <w:r w:rsidRPr="004E27D5">
        <w:rPr>
          <w:rFonts w:ascii="ITC Avant Garde" w:eastAsia="Times New Roman" w:hAnsi="ITC Avant Garde"/>
          <w:b/>
          <w:bCs/>
          <w:color w:val="000000"/>
          <w:lang w:eastAsia="es-MX"/>
        </w:rPr>
        <w:t>LFPA</w:t>
      </w:r>
      <w:r w:rsidRPr="004E27D5">
        <w:rPr>
          <w:rFonts w:ascii="ITC Avant Garde" w:eastAsia="Times New Roman" w:hAnsi="ITC Avant Garde"/>
          <w:bCs/>
          <w:color w:val="000000"/>
          <w:lang w:eastAsia="es-MX"/>
        </w:rPr>
        <w:t xml:space="preserve">, la cual prevé dentro de su Título Cuarto, Capítulo Único, el procedimiento para la imposición de </w:t>
      </w:r>
      <w:r w:rsidR="009E0083" w:rsidRPr="004E27D5">
        <w:rPr>
          <w:rFonts w:ascii="ITC Avant Garde" w:eastAsia="Times New Roman" w:hAnsi="ITC Avant Garde"/>
          <w:bCs/>
          <w:color w:val="000000"/>
          <w:lang w:eastAsia="es-MX"/>
        </w:rPr>
        <w:t>sanciones administrativas.</w:t>
      </w:r>
      <w:r w:rsidR="009E0083" w:rsidRPr="004E27D5">
        <w:rPr>
          <w:rFonts w:ascii="Times New Roman" w:hAnsi="Times New Roman"/>
          <w:sz w:val="24"/>
          <w:szCs w:val="24"/>
          <w:lang w:eastAsia="es-MX"/>
        </w:rPr>
        <w:t xml:space="preserve"> </w:t>
      </w:r>
    </w:p>
    <w:p w:rsidR="009E7D7C" w:rsidRPr="004E27D5" w:rsidRDefault="0047731F" w:rsidP="0047731F">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En efecto, los artículos 70 y 72 de la </w:t>
      </w:r>
      <w:r w:rsidRPr="004E27D5">
        <w:rPr>
          <w:rFonts w:ascii="ITC Avant Garde" w:eastAsia="Times New Roman" w:hAnsi="ITC Avant Garde"/>
          <w:b/>
          <w:bCs/>
          <w:color w:val="000000"/>
          <w:lang w:eastAsia="es-MX"/>
        </w:rPr>
        <w:t>LFPA</w:t>
      </w:r>
      <w:r w:rsidRPr="004E27D5">
        <w:rPr>
          <w:rFonts w:ascii="ITC Avant Garde" w:eastAsia="Times New Roman" w:hAnsi="ITC Avant Garde"/>
          <w:bCs/>
          <w:color w:val="000000"/>
          <w:lang w:eastAsia="es-MX"/>
        </w:rPr>
        <w:t xml:space="preserve">, establecen que para la imposición de una sanción, se deben cubrir dos premisas: i) que la sanción se encuentre prevista en la ley y </w:t>
      </w:r>
      <w:r w:rsidRPr="004E27D5">
        <w:rPr>
          <w:rFonts w:ascii="ITC Avant Garde" w:eastAsia="Times New Roman" w:hAnsi="ITC Avant Garde"/>
          <w:bCs/>
          <w:color w:val="000000"/>
          <w:lang w:eastAsia="es-MX"/>
        </w:rPr>
        <w:lastRenderedPageBreak/>
        <w:t>ii) que previamente a la imposición de la misma, la autoridad competente notifique al presunto infractor el inicio del procedimiento respectivo, otorgando al efecto un plazo de quince días para que el presunto infractor exponga lo que a su derecho convenga, y en su caso aporte las pruebas con que cuente.</w:t>
      </w:r>
    </w:p>
    <w:p w:rsidR="009E7D7C" w:rsidRPr="004E27D5" w:rsidRDefault="0047731F" w:rsidP="0047731F">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Así las cosas, al iniciarse el procedimiento administrativo de imposición de sanción en contra de</w:t>
      </w:r>
      <w:r w:rsidRPr="004E27D5">
        <w:rPr>
          <w:rFonts w:ascii="ITC Avant Garde" w:eastAsia="Times New Roman" w:hAnsi="ITC Avant Garde"/>
          <w:bCs/>
          <w:lang w:eastAsia="es-MX"/>
        </w:rPr>
        <w:t xml:space="preserve">l </w:t>
      </w:r>
      <w:r w:rsidR="00A01799" w:rsidRPr="004E27D5">
        <w:rPr>
          <w:rFonts w:ascii="ITC Avant Garde" w:hAnsi="ITC Avant Garde"/>
          <w:b/>
        </w:rPr>
        <w:t>PRESUNTO RESPONSABLE</w:t>
      </w:r>
      <w:r w:rsidRPr="004E27D5">
        <w:rPr>
          <w:rFonts w:ascii="ITC Avant Garde" w:hAnsi="ITC Avant Garde"/>
          <w:b/>
        </w:rPr>
        <w:t>,</w:t>
      </w:r>
      <w:r w:rsidRPr="004E27D5">
        <w:rPr>
          <w:rFonts w:ascii="ITC Avant Garde" w:eastAsia="Times New Roman" w:hAnsi="ITC Avant Garde"/>
          <w:bCs/>
          <w:lang w:eastAsia="es-MX"/>
        </w:rPr>
        <w:t xml:space="preserve"> </w:t>
      </w:r>
      <w:r w:rsidRPr="004E27D5">
        <w:rPr>
          <w:rFonts w:ascii="ITC Avant Garde" w:eastAsia="Times New Roman" w:hAnsi="ITC Avant Garde"/>
          <w:bCs/>
          <w:color w:val="000000"/>
          <w:lang w:eastAsia="es-MX"/>
        </w:rPr>
        <w:t xml:space="preserve">se presumió el incumplimiento de lo establecido en el artículo 66 </w:t>
      </w:r>
      <w:r w:rsidRPr="004E27D5">
        <w:rPr>
          <w:rFonts w:ascii="ITC Avant Garde" w:hAnsi="ITC Avant Garde"/>
          <w:bCs/>
        </w:rPr>
        <w:t>en relación con el 75</w:t>
      </w:r>
      <w:r w:rsidRPr="004E27D5">
        <w:rPr>
          <w:rFonts w:ascii="ITC Avant Garde" w:eastAsia="Times New Roman" w:hAnsi="ITC Avant Garde"/>
          <w:bCs/>
          <w:color w:val="000000"/>
          <w:lang w:eastAsia="es-MX"/>
        </w:rPr>
        <w:t xml:space="preserve"> de la </w:t>
      </w:r>
      <w:r w:rsidR="006310EA" w:rsidRPr="004E27D5">
        <w:rPr>
          <w:rFonts w:ascii="ITC Avant Garde" w:eastAsia="Times New Roman" w:hAnsi="ITC Avant Garde"/>
          <w:b/>
          <w:bCs/>
          <w:color w:val="000000"/>
          <w:lang w:eastAsia="es-MX"/>
        </w:rPr>
        <w:t>LFTR</w:t>
      </w:r>
      <w:r w:rsidRPr="004E27D5">
        <w:rPr>
          <w:rFonts w:ascii="ITC Avant Garde" w:eastAsia="Times New Roman" w:hAnsi="ITC Avant Garde"/>
          <w:bCs/>
          <w:color w:val="000000"/>
          <w:lang w:eastAsia="es-MX"/>
        </w:rPr>
        <w:t xml:space="preserve"> ya que no contaba con la concesión correspondiente para la prestación del servicio público de radiodifusión, en concreto para </w:t>
      </w:r>
      <w:r w:rsidRPr="004E27D5">
        <w:rPr>
          <w:rFonts w:ascii="ITC Avant Garde" w:hAnsi="ITC Avant Garde"/>
        </w:rPr>
        <w:t xml:space="preserve">operar la </w:t>
      </w:r>
      <w:r w:rsidRPr="004E27D5">
        <w:rPr>
          <w:rFonts w:ascii="ITC Avant Garde" w:eastAsia="Times New Roman" w:hAnsi="ITC Avant Garde"/>
          <w:bCs/>
          <w:color w:val="000000"/>
          <w:lang w:eastAsia="es-MX"/>
        </w:rPr>
        <w:t xml:space="preserve">frecuencia </w:t>
      </w:r>
      <w:r w:rsidR="00C9435A" w:rsidRPr="004E27D5">
        <w:rPr>
          <w:rFonts w:ascii="ITC Avant Garde" w:hAnsi="ITC Avant Garde"/>
          <w:b/>
          <w:caps/>
        </w:rPr>
        <w:t>106.1</w:t>
      </w:r>
      <w:r w:rsidR="002C1AD8" w:rsidRPr="004E27D5">
        <w:rPr>
          <w:rFonts w:ascii="ITC Avant Garde" w:hAnsi="ITC Avant Garde"/>
          <w:b/>
        </w:rPr>
        <w:t xml:space="preserve"> MHz</w:t>
      </w:r>
      <w:r w:rsidR="002C00F1" w:rsidRPr="004E27D5">
        <w:rPr>
          <w:rFonts w:ascii="ITC Avant Garde" w:eastAsia="Times New Roman" w:hAnsi="ITC Avant Garde"/>
          <w:bCs/>
          <w:color w:val="000000"/>
          <w:lang w:eastAsia="es-MX"/>
        </w:rPr>
        <w:t>, conducta que de acreditarse actualizaría la hipótesis normativa prevista en el artículo 305 del citado ordenamiento.</w:t>
      </w:r>
    </w:p>
    <w:p w:rsidR="009E7D7C" w:rsidRPr="004E27D5" w:rsidRDefault="00DB17BB" w:rsidP="0047731F">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En este sentido, a través de la notificación del acuerdo de inicio de procedimiento, la Unidad de Cumplimiento dio a conocer al </w:t>
      </w:r>
      <w:r w:rsidRPr="004E27D5">
        <w:rPr>
          <w:rFonts w:ascii="ITC Avant Garde" w:hAnsi="ITC Avant Garde"/>
          <w:b/>
        </w:rPr>
        <w:t>PRESUNTO RESPONSABLE</w:t>
      </w:r>
      <w:r w:rsidRPr="004E27D5">
        <w:rPr>
          <w:rFonts w:ascii="ITC Avant Garde" w:eastAsia="Times New Roman" w:hAnsi="ITC Avant Garde"/>
          <w:bCs/>
          <w:color w:val="000000"/>
          <w:lang w:eastAsia="es-MX"/>
        </w:rPr>
        <w:t xml:space="preserve"> la conducta que, </w:t>
      </w:r>
      <w:r w:rsidR="008A53A8" w:rsidRPr="004E27D5">
        <w:rPr>
          <w:rFonts w:ascii="ITC Avant Garde" w:eastAsia="Times New Roman" w:hAnsi="ITC Avant Garde"/>
          <w:bCs/>
          <w:color w:val="000000"/>
          <w:lang w:eastAsia="es-MX"/>
        </w:rPr>
        <w:t>presuntamente</w:t>
      </w:r>
      <w:r w:rsidRPr="004E27D5">
        <w:rPr>
          <w:rFonts w:ascii="ITC Avant Garde" w:eastAsia="Times New Roman" w:hAnsi="ITC Avant Garde"/>
          <w:bCs/>
          <w:color w:val="000000"/>
          <w:lang w:eastAsia="es-MX"/>
        </w:rPr>
        <w:t xml:space="preserve">, viola el artículo 66 </w:t>
      </w:r>
      <w:r w:rsidRPr="004E27D5">
        <w:rPr>
          <w:rFonts w:ascii="ITC Avant Garde" w:hAnsi="ITC Avant Garde"/>
          <w:bCs/>
        </w:rPr>
        <w:t>en relación con el 75</w:t>
      </w:r>
      <w:r w:rsidRPr="004E27D5">
        <w:rPr>
          <w:rFonts w:ascii="ITC Avant Garde" w:eastAsia="Times New Roman" w:hAnsi="ITC Avant Garde"/>
          <w:bCs/>
          <w:color w:val="000000"/>
          <w:lang w:eastAsia="es-MX"/>
        </w:rPr>
        <w:t xml:space="preserve"> de la </w:t>
      </w:r>
      <w:r w:rsidR="006310EA" w:rsidRPr="004E27D5">
        <w:rPr>
          <w:rFonts w:ascii="ITC Avant Garde" w:eastAsia="Times New Roman" w:hAnsi="ITC Avant Garde"/>
          <w:b/>
          <w:bCs/>
          <w:color w:val="000000"/>
          <w:lang w:eastAsia="es-MX"/>
        </w:rPr>
        <w:t>LFTR</w:t>
      </w:r>
      <w:r w:rsidRPr="004E27D5">
        <w:rPr>
          <w:rFonts w:ascii="ITC Avant Garde" w:eastAsia="Times New Roman" w:hAnsi="ITC Avant Garde"/>
          <w:bCs/>
          <w:color w:val="000000"/>
          <w:lang w:eastAsia="es-MX"/>
        </w:rPr>
        <w:t>, así como las sanciones previstas en los artículos 298, inciso E), fracción I y 305 de dicha ley por la comisión de la misma.</w:t>
      </w:r>
    </w:p>
    <w:p w:rsidR="009E7D7C" w:rsidRPr="004E27D5" w:rsidRDefault="0047731F" w:rsidP="0047731F">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Por ello, se le otorgó un término de quince días hábiles para que en uso de su garantía de audiencia rindiera las pruebas y manifestara por escrito lo que a su derecho conviniera, de conformidad con el artículo 14 de la </w:t>
      </w:r>
      <w:r w:rsidRPr="004E27D5">
        <w:rPr>
          <w:rFonts w:ascii="ITC Avant Garde" w:eastAsia="Times New Roman" w:hAnsi="ITC Avant Garde"/>
          <w:b/>
          <w:bCs/>
          <w:color w:val="000000"/>
          <w:lang w:eastAsia="es-MX"/>
        </w:rPr>
        <w:t>CPEUM</w:t>
      </w:r>
      <w:r w:rsidRPr="004E27D5">
        <w:rPr>
          <w:rFonts w:ascii="ITC Avant Garde" w:eastAsia="Times New Roman" w:hAnsi="ITC Avant Garde"/>
          <w:bCs/>
          <w:color w:val="000000"/>
          <w:lang w:eastAsia="es-MX"/>
        </w:rPr>
        <w:t xml:space="preserve"> en relación con el artículo 72 de la </w:t>
      </w:r>
      <w:r w:rsidRPr="004E27D5">
        <w:rPr>
          <w:rFonts w:ascii="ITC Avant Garde" w:eastAsia="Times New Roman" w:hAnsi="ITC Avant Garde"/>
          <w:b/>
          <w:bCs/>
          <w:color w:val="000000"/>
          <w:lang w:eastAsia="es-MX"/>
        </w:rPr>
        <w:t>LFPA</w:t>
      </w:r>
      <w:r w:rsidRPr="004E27D5">
        <w:rPr>
          <w:rFonts w:ascii="ITC Avant Garde" w:eastAsia="Times New Roman" w:hAnsi="ITC Avant Garde"/>
          <w:bCs/>
          <w:color w:val="000000"/>
          <w:lang w:eastAsia="es-MX"/>
        </w:rPr>
        <w:t>.</w:t>
      </w:r>
    </w:p>
    <w:p w:rsidR="009E7D7C" w:rsidRPr="004E27D5" w:rsidRDefault="0047731F" w:rsidP="0047731F">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Concluido el periodo de pruebas, de acuerdo con lo que dispone el artículo 56 de la </w:t>
      </w:r>
      <w:r w:rsidRPr="004E27D5">
        <w:rPr>
          <w:rFonts w:ascii="ITC Avant Garde" w:eastAsia="Times New Roman" w:hAnsi="ITC Avant Garde"/>
          <w:b/>
          <w:bCs/>
          <w:color w:val="000000"/>
          <w:lang w:eastAsia="es-MX"/>
        </w:rPr>
        <w:t>LFPA</w:t>
      </w:r>
      <w:r w:rsidRPr="004E27D5">
        <w:rPr>
          <w:rFonts w:ascii="ITC Avant Garde" w:eastAsia="Times New Roman" w:hAnsi="ITC Avant Garde"/>
          <w:bCs/>
          <w:color w:val="000000"/>
          <w:lang w:eastAsia="es-MX"/>
        </w:rPr>
        <w:t>, la Unidad de Cumplimiento puso las actuaciones a disposición del interesado, para que formulara sus alegatos.</w:t>
      </w:r>
    </w:p>
    <w:p w:rsidR="009E7D7C" w:rsidRPr="004E27D5" w:rsidRDefault="0047731F" w:rsidP="0047731F">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Una vez desahogado el periodo probatorio y vencido el plazo para formular alegatos, la Unidad de Cumplimiento remitió </w:t>
      </w:r>
      <w:r w:rsidRPr="004E27D5">
        <w:rPr>
          <w:rFonts w:ascii="ITC Avant Garde" w:eastAsia="Times New Roman" w:hAnsi="ITC Avant Garde"/>
          <w:bCs/>
          <w:lang w:eastAsia="es-MX"/>
        </w:rPr>
        <w:t xml:space="preserve">el expediente de mérito </w:t>
      </w:r>
      <w:r w:rsidRPr="004E27D5">
        <w:rPr>
          <w:rFonts w:ascii="ITC Avant Garde" w:eastAsia="Times New Roman" w:hAnsi="ITC Avant Garde"/>
          <w:bCs/>
          <w:color w:val="000000"/>
          <w:lang w:eastAsia="es-MX"/>
        </w:rPr>
        <w:t xml:space="preserve">en estado de resolución al Pleno de este </w:t>
      </w:r>
      <w:r w:rsidRPr="004E27D5">
        <w:rPr>
          <w:rFonts w:ascii="ITC Avant Garde" w:eastAsia="Times New Roman" w:hAnsi="ITC Avant Garde"/>
          <w:b/>
          <w:bCs/>
          <w:color w:val="000000"/>
          <w:lang w:eastAsia="es-MX"/>
        </w:rPr>
        <w:t xml:space="preserve">IFT, </w:t>
      </w:r>
      <w:r w:rsidRPr="004E27D5">
        <w:rPr>
          <w:rFonts w:ascii="ITC Avant Garde" w:eastAsia="Times New Roman" w:hAnsi="ITC Avant Garde"/>
          <w:bCs/>
          <w:color w:val="000000"/>
          <w:lang w:eastAsia="es-MX"/>
        </w:rPr>
        <w:t>quien se encuentra facultado para dictar la resolución que en derecho corresponda.</w:t>
      </w:r>
    </w:p>
    <w:p w:rsidR="004E27D5" w:rsidRPr="004E27D5" w:rsidRDefault="0047731F" w:rsidP="0047731F">
      <w:pPr>
        <w:spacing w:after="0" w:line="360" w:lineRule="auto"/>
        <w:jc w:val="both"/>
        <w:rPr>
          <w:rFonts w:ascii="ITC Avant Garde" w:eastAsia="Times New Roman" w:hAnsi="ITC Avant Garde"/>
          <w:bCs/>
          <w:color w:val="000000"/>
          <w:lang w:eastAsia="es-MX"/>
        </w:rPr>
        <w:sectPr w:rsidR="004E27D5" w:rsidRPr="004E27D5" w:rsidSect="009B5755">
          <w:headerReference w:type="default" r:id="rId16"/>
          <w:pgSz w:w="12240" w:h="15840"/>
          <w:pgMar w:top="1985" w:right="1418" w:bottom="1418" w:left="1418" w:header="709" w:footer="420" w:gutter="0"/>
          <w:cols w:space="708"/>
          <w:docGrid w:linePitch="360"/>
        </w:sectPr>
      </w:pPr>
      <w:r w:rsidRPr="004E27D5">
        <w:rPr>
          <w:rFonts w:ascii="ITC Avant Garde" w:eastAsia="Times New Roman" w:hAnsi="ITC Avant Garde"/>
          <w:bCs/>
          <w:color w:val="000000"/>
          <w:lang w:eastAsia="es-MX"/>
        </w:rPr>
        <w:t xml:space="preserve">Bajo ese contexto, el procedimiento administrativo de imposición de sanciones que se sustancia, se realizó conforme a los términos y principios procesales que establece la </w:t>
      </w:r>
      <w:r w:rsidRPr="004E27D5">
        <w:rPr>
          <w:rFonts w:ascii="ITC Avant Garde" w:eastAsia="Times New Roman" w:hAnsi="ITC Avant Garde"/>
          <w:b/>
          <w:bCs/>
          <w:color w:val="000000"/>
          <w:lang w:eastAsia="es-MX"/>
        </w:rPr>
        <w:t xml:space="preserve">LFPA </w:t>
      </w:r>
      <w:r w:rsidRPr="004E27D5">
        <w:rPr>
          <w:rFonts w:ascii="ITC Avant Garde" w:eastAsia="Times New Roman" w:hAnsi="ITC Avant Garde"/>
          <w:bCs/>
          <w:color w:val="000000"/>
          <w:lang w:eastAsia="es-MX"/>
        </w:rPr>
        <w:t>y los artículos 14 y 16 de la</w:t>
      </w:r>
      <w:r w:rsidRPr="004E27D5">
        <w:rPr>
          <w:rFonts w:ascii="ITC Avant Garde" w:eastAsia="Times New Roman" w:hAnsi="ITC Avant Garde"/>
          <w:b/>
          <w:bCs/>
          <w:color w:val="000000"/>
          <w:lang w:eastAsia="es-MX"/>
        </w:rPr>
        <w:t xml:space="preserve"> CPEUM </w:t>
      </w:r>
      <w:r w:rsidRPr="004E27D5">
        <w:rPr>
          <w:rFonts w:ascii="ITC Avant Garde" w:eastAsia="Times New Roman" w:hAnsi="ITC Avant Garde"/>
          <w:bCs/>
          <w:color w:val="000000"/>
          <w:lang w:eastAsia="es-MX"/>
        </w:rPr>
        <w:t xml:space="preserve">consistentes en: i) otorgar garantía de audiencia al presunto infractor; ii) desahogar pruebas; iii) recibir alegatos, y iv) emitir la resolución </w:t>
      </w:r>
    </w:p>
    <w:p w:rsidR="009E7D7C" w:rsidRPr="004E27D5" w:rsidRDefault="0047731F" w:rsidP="0047731F">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lastRenderedPageBreak/>
        <w:t xml:space="preserve">que en derecho corresponda. Lo anterior, con independencia de que el </w:t>
      </w:r>
      <w:r w:rsidR="00A01799" w:rsidRPr="004E27D5">
        <w:rPr>
          <w:rFonts w:ascii="ITC Avant Garde" w:hAnsi="ITC Avant Garde"/>
          <w:b/>
        </w:rPr>
        <w:t>PRESUNTO RESPONSABLE</w:t>
      </w:r>
      <w:r w:rsidR="00A01799" w:rsidRPr="004E27D5">
        <w:rPr>
          <w:rFonts w:ascii="ITC Avant Garde" w:eastAsia="Times New Roman" w:hAnsi="ITC Avant Garde"/>
          <w:bCs/>
          <w:color w:val="000000"/>
          <w:lang w:eastAsia="es-MX"/>
        </w:rPr>
        <w:t xml:space="preserve"> </w:t>
      </w:r>
      <w:r w:rsidRPr="004E27D5">
        <w:rPr>
          <w:rFonts w:ascii="ITC Avant Garde" w:eastAsia="Times New Roman" w:hAnsi="ITC Avant Garde"/>
          <w:bCs/>
          <w:color w:val="000000"/>
          <w:lang w:eastAsia="es-MX"/>
        </w:rPr>
        <w:t xml:space="preserve">no ofreció pruebas ni presentó alegatos a su favor. </w:t>
      </w:r>
    </w:p>
    <w:p w:rsidR="009E7D7C" w:rsidRPr="004E27D5" w:rsidRDefault="0047731F" w:rsidP="0047731F">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En las relatadas condiciones, al tramitarse el procedimiento administrativo de imposición de sanción bajo las anteriores premisas, debe tenerse por satisfecho el cumplimiento de lo dispuesto en la </w:t>
      </w:r>
      <w:r w:rsidRPr="004E27D5">
        <w:rPr>
          <w:rFonts w:ascii="ITC Avant Garde" w:eastAsia="Times New Roman" w:hAnsi="ITC Avant Garde"/>
          <w:b/>
          <w:bCs/>
          <w:color w:val="000000"/>
          <w:lang w:eastAsia="es-MX"/>
        </w:rPr>
        <w:t>CPEUM</w:t>
      </w:r>
      <w:r w:rsidRPr="004E27D5">
        <w:rPr>
          <w:rFonts w:ascii="ITC Avant Garde" w:eastAsia="Times New Roman" w:hAnsi="ITC Avant Garde"/>
          <w:bCs/>
          <w:color w:val="000000"/>
          <w:lang w:eastAsia="es-MX"/>
        </w:rPr>
        <w:t>, las leyes ordinarias y los criterios judiciales que informan cual debe ser el actuar de la autoridad para resolver el presente caso.</w:t>
      </w:r>
    </w:p>
    <w:p w:rsidR="009E7D7C" w:rsidRPr="004E27D5" w:rsidRDefault="004F3596" w:rsidP="009B5755">
      <w:pPr>
        <w:pStyle w:val="Textoindependiente"/>
        <w:tabs>
          <w:tab w:val="left" w:pos="851"/>
        </w:tabs>
        <w:spacing w:after="0" w:line="240" w:lineRule="auto"/>
        <w:jc w:val="both"/>
        <w:rPr>
          <w:rFonts w:ascii="ITC Avant Garde" w:eastAsia="Times New Roman" w:hAnsi="ITC Avant Garde"/>
          <w:bCs/>
          <w:color w:val="000000"/>
          <w:lang w:eastAsia="es-MX"/>
        </w:rPr>
      </w:pPr>
      <w:r w:rsidRPr="004E27D5">
        <w:rPr>
          <w:rFonts w:ascii="ITC Avant Garde" w:eastAsia="Times New Roman" w:hAnsi="ITC Avant Garde"/>
          <w:b/>
          <w:bCs/>
          <w:color w:val="000000"/>
          <w:lang w:eastAsia="es-MX"/>
        </w:rPr>
        <w:t>TERCERO.</w:t>
      </w:r>
      <w:r w:rsidRPr="004E27D5">
        <w:rPr>
          <w:rFonts w:ascii="ITC Avant Garde" w:hAnsi="ITC Avant Garde"/>
          <w:b/>
          <w:smallCaps/>
          <w:color w:val="000000"/>
        </w:rPr>
        <w:t xml:space="preserve"> </w:t>
      </w:r>
      <w:r w:rsidR="00EC6953" w:rsidRPr="004E27D5">
        <w:rPr>
          <w:rFonts w:ascii="ITC Avant Garde" w:eastAsia="Times New Roman" w:hAnsi="ITC Avant Garde"/>
          <w:b/>
          <w:bCs/>
          <w:smallCaps/>
          <w:color w:val="000000"/>
          <w:lang w:eastAsia="es-MX"/>
        </w:rPr>
        <w:t xml:space="preserve">HECHOS MOTIVO DEL PROCEDIMIENTO ADMINISTRATIVO DE IMPOSICIÓN DE SANCIÓN Y </w:t>
      </w:r>
      <w:r w:rsidR="006864B9" w:rsidRPr="004E27D5">
        <w:rPr>
          <w:rFonts w:ascii="ITC Avant Garde" w:eastAsia="Times New Roman" w:hAnsi="ITC Avant Garde"/>
          <w:b/>
          <w:bCs/>
          <w:smallCaps/>
          <w:color w:val="000000"/>
          <w:sz w:val="28"/>
          <w:lang w:eastAsia="es-MX"/>
        </w:rPr>
        <w:t xml:space="preserve">declaratoria de </w:t>
      </w:r>
      <w:r w:rsidR="00EC6953" w:rsidRPr="004E27D5">
        <w:rPr>
          <w:rFonts w:ascii="ITC Avant Garde" w:eastAsia="Times New Roman" w:hAnsi="ITC Avant Garde"/>
          <w:b/>
          <w:bCs/>
          <w:smallCaps/>
          <w:color w:val="000000"/>
          <w:lang w:eastAsia="es-MX"/>
        </w:rPr>
        <w:t>PÉRDIDA DE BIENES, INSTALACIONES Y EQUIPOS EN BENEFICIO DE LA NACIÓN</w:t>
      </w:r>
      <w:r w:rsidRPr="004E27D5">
        <w:rPr>
          <w:rFonts w:ascii="ITC Avant Garde" w:eastAsia="Times New Roman" w:hAnsi="ITC Avant Garde"/>
          <w:b/>
          <w:bCs/>
          <w:smallCaps/>
          <w:color w:val="000000"/>
          <w:lang w:eastAsia="es-MX"/>
        </w:rPr>
        <w:t>.</w:t>
      </w:r>
    </w:p>
    <w:p w:rsidR="009E7D7C" w:rsidRPr="004E27D5" w:rsidRDefault="00EC6953" w:rsidP="00FB1804">
      <w:pPr>
        <w:spacing w:after="0" w:line="360" w:lineRule="auto"/>
        <w:jc w:val="both"/>
        <w:rPr>
          <w:rFonts w:ascii="ITC Avant Garde" w:hAnsi="ITC Avant Garde"/>
        </w:rPr>
      </w:pPr>
      <w:r w:rsidRPr="004E27D5">
        <w:rPr>
          <w:rFonts w:ascii="ITC Avant Garde" w:hAnsi="ITC Avant Garde"/>
        </w:rPr>
        <w:t xml:space="preserve">Con la finalidad de dar cumplimiento a la orden de inspección-verificación </w:t>
      </w:r>
      <w:r w:rsidR="004B32BD" w:rsidRPr="004E27D5">
        <w:rPr>
          <w:rFonts w:ascii="ITC Avant Garde" w:hAnsi="ITC Avant Garde"/>
          <w:b/>
        </w:rPr>
        <w:t>IFT/UC/DG-VER/054/2017</w:t>
      </w:r>
      <w:r w:rsidR="00A96264" w:rsidRPr="004E27D5">
        <w:rPr>
          <w:rFonts w:ascii="ITC Avant Garde" w:hAnsi="ITC Avant Garde"/>
          <w:b/>
        </w:rPr>
        <w:t xml:space="preserve"> </w:t>
      </w:r>
      <w:r w:rsidR="004E75C0" w:rsidRPr="004E27D5">
        <w:rPr>
          <w:rFonts w:ascii="ITC Avant Garde" w:hAnsi="ITC Avant Garde"/>
        </w:rPr>
        <w:t xml:space="preserve">de </w:t>
      </w:r>
      <w:r w:rsidR="00D97D4B" w:rsidRPr="004E27D5">
        <w:rPr>
          <w:rFonts w:ascii="ITC Avant Garde" w:hAnsi="ITC Avant Garde"/>
        </w:rPr>
        <w:t>quince de marzo de dos mil diecisiete</w:t>
      </w:r>
      <w:r w:rsidRPr="004E27D5">
        <w:rPr>
          <w:rFonts w:ascii="ITC Avant Garde" w:hAnsi="ITC Avant Garde"/>
        </w:rPr>
        <w:t>, dirigida al</w:t>
      </w:r>
      <w:r w:rsidR="004F3596" w:rsidRPr="004E27D5">
        <w:rPr>
          <w:rFonts w:ascii="ITC Avant Garde" w:hAnsi="ITC Avant Garde"/>
        </w:rPr>
        <w:t xml:space="preserve"> </w:t>
      </w:r>
      <w:r w:rsidR="00D97D4B" w:rsidRPr="004E27D5">
        <w:rPr>
          <w:rFonts w:ascii="ITC Avant Garde" w:hAnsi="ITC Avant Garde"/>
          <w:b/>
        </w:rPr>
        <w:t xml:space="preserve">“PROPIETARIO, Y/O POSEEDOR Y/O RESPONSABLE, Y/O ENCARGADO DEL INMUEBLE UBICADO EN: </w:t>
      </w:r>
      <w:r w:rsidR="00E04264" w:rsidRPr="004E27D5">
        <w:rPr>
          <w:rFonts w:ascii="ITC Avant Garde" w:hAnsi="ITC Avant Garde"/>
          <w:b/>
          <w:color w:val="0000FF"/>
        </w:rPr>
        <w:t>“CONFIDENCIAL POR LEY”</w:t>
      </w:r>
      <w:r w:rsidR="00D97D4B" w:rsidRPr="004E27D5">
        <w:rPr>
          <w:rFonts w:ascii="ITC Avant Garde" w:hAnsi="ITC Avant Garde"/>
          <w:b/>
        </w:rPr>
        <w:t xml:space="preserve"> Valle de Bravo, Estado de México. Así como de las instalaciones y equipos de radiodifusión localizados en el mismo”</w:t>
      </w:r>
      <w:r w:rsidR="00DD1999" w:rsidRPr="004E27D5">
        <w:rPr>
          <w:rFonts w:ascii="ITC Avant Garde" w:hAnsi="ITC Avant Garde"/>
          <w:b/>
        </w:rPr>
        <w:t>,</w:t>
      </w:r>
      <w:r w:rsidR="004F3596" w:rsidRPr="004E27D5">
        <w:rPr>
          <w:rFonts w:ascii="ITC Avant Garde" w:hAnsi="ITC Avant Garde"/>
          <w:b/>
        </w:rPr>
        <w:t xml:space="preserve"> </w:t>
      </w:r>
      <w:r w:rsidR="009B4626" w:rsidRPr="004E27D5">
        <w:rPr>
          <w:rFonts w:ascii="ITC Avant Garde" w:hAnsi="ITC Avant Garde"/>
        </w:rPr>
        <w:t>el dieciséis de marzo siguiente</w:t>
      </w:r>
      <w:r w:rsidR="004F3596" w:rsidRPr="004E27D5">
        <w:rPr>
          <w:rFonts w:ascii="ITC Avant Garde" w:hAnsi="ITC Avant Garde"/>
        </w:rPr>
        <w:t xml:space="preserve"> </w:t>
      </w:r>
      <w:r w:rsidR="004E75C0" w:rsidRPr="004E27D5">
        <w:rPr>
          <w:rFonts w:ascii="ITC Avant Garde" w:hAnsi="ITC Avant Garde"/>
          <w:b/>
        </w:rPr>
        <w:t>LOS</w:t>
      </w:r>
      <w:r w:rsidR="00B17FFA" w:rsidRPr="004E27D5">
        <w:rPr>
          <w:rFonts w:ascii="ITC Avant Garde" w:hAnsi="ITC Avant Garde"/>
          <w:b/>
        </w:rPr>
        <w:t xml:space="preserve"> VERIFICADOR</w:t>
      </w:r>
      <w:r w:rsidR="004E75C0" w:rsidRPr="004E27D5">
        <w:rPr>
          <w:rFonts w:ascii="ITC Avant Garde" w:hAnsi="ITC Avant Garde"/>
          <w:b/>
        </w:rPr>
        <w:t>ES</w:t>
      </w:r>
      <w:r w:rsidR="00B17FFA" w:rsidRPr="004E27D5">
        <w:rPr>
          <w:rFonts w:ascii="ITC Avant Garde" w:hAnsi="ITC Avant Garde"/>
        </w:rPr>
        <w:t xml:space="preserve"> </w:t>
      </w:r>
      <w:r w:rsidRPr="004E27D5">
        <w:rPr>
          <w:rFonts w:ascii="ITC Avant Garde" w:hAnsi="ITC Avant Garde"/>
        </w:rPr>
        <w:t>se constituy</w:t>
      </w:r>
      <w:r w:rsidR="004E75C0" w:rsidRPr="004E27D5">
        <w:rPr>
          <w:rFonts w:ascii="ITC Avant Garde" w:hAnsi="ITC Avant Garde"/>
        </w:rPr>
        <w:t>eron</w:t>
      </w:r>
      <w:r w:rsidRPr="004E27D5">
        <w:rPr>
          <w:rFonts w:ascii="ITC Avant Garde" w:hAnsi="ITC Avant Garde"/>
        </w:rPr>
        <w:t xml:space="preserve"> en dich</w:t>
      </w:r>
      <w:r w:rsidR="0047731F" w:rsidRPr="004E27D5">
        <w:rPr>
          <w:rFonts w:ascii="ITC Avant Garde" w:hAnsi="ITC Avant Garde"/>
        </w:rPr>
        <w:t>o</w:t>
      </w:r>
      <w:r w:rsidRPr="004E27D5">
        <w:rPr>
          <w:rFonts w:ascii="ITC Avant Garde" w:hAnsi="ITC Avant Garde"/>
        </w:rPr>
        <w:t xml:space="preserve"> </w:t>
      </w:r>
      <w:r w:rsidR="0047731F" w:rsidRPr="004E27D5">
        <w:rPr>
          <w:rFonts w:ascii="ITC Avant Garde" w:hAnsi="ITC Avant Garde"/>
        </w:rPr>
        <w:t>lugar</w:t>
      </w:r>
      <w:r w:rsidRPr="004E27D5">
        <w:rPr>
          <w:rFonts w:ascii="ITC Avant Garde" w:hAnsi="ITC Avant Garde"/>
        </w:rPr>
        <w:t xml:space="preserve"> donde </w:t>
      </w:r>
      <w:r w:rsidR="0039464E" w:rsidRPr="004E27D5">
        <w:rPr>
          <w:rFonts w:ascii="ITC Avant Garde" w:hAnsi="ITC Avant Garde"/>
        </w:rPr>
        <w:t>practicaron un recorrido visual a efecto determinar la ubicación del domicilio donde se transmitía</w:t>
      </w:r>
      <w:r w:rsidR="00F12445" w:rsidRPr="004E27D5">
        <w:rPr>
          <w:rFonts w:ascii="ITC Avant Garde" w:hAnsi="ITC Avant Garde"/>
        </w:rPr>
        <w:t xml:space="preserve"> en</w:t>
      </w:r>
      <w:r w:rsidR="0039464E" w:rsidRPr="004E27D5">
        <w:rPr>
          <w:rFonts w:ascii="ITC Avant Garde" w:hAnsi="ITC Avant Garde"/>
        </w:rPr>
        <w:t xml:space="preserve"> </w:t>
      </w:r>
      <w:r w:rsidRPr="004E27D5">
        <w:rPr>
          <w:rFonts w:ascii="ITC Avant Garde" w:hAnsi="ITC Avant Garde"/>
        </w:rPr>
        <w:t>la frecuencia</w:t>
      </w:r>
      <w:r w:rsidR="004F3596" w:rsidRPr="004E27D5">
        <w:rPr>
          <w:rFonts w:ascii="ITC Avant Garde" w:hAnsi="ITC Avant Garde"/>
        </w:rPr>
        <w:t xml:space="preserve"> </w:t>
      </w:r>
      <w:r w:rsidR="00C9435A" w:rsidRPr="004E27D5">
        <w:rPr>
          <w:rFonts w:ascii="ITC Avant Garde" w:hAnsi="ITC Avant Garde"/>
          <w:b/>
          <w:caps/>
        </w:rPr>
        <w:t>106.1</w:t>
      </w:r>
      <w:r w:rsidR="002C1AD8" w:rsidRPr="004E27D5">
        <w:rPr>
          <w:rFonts w:ascii="ITC Avant Garde" w:hAnsi="ITC Avant Garde"/>
          <w:b/>
        </w:rPr>
        <w:t xml:space="preserve"> MHz</w:t>
      </w:r>
      <w:r w:rsidR="00F12445" w:rsidRPr="004E27D5">
        <w:rPr>
          <w:rFonts w:ascii="ITC Avant Garde" w:hAnsi="ITC Avant Garde"/>
          <w:b/>
        </w:rPr>
        <w:t>,</w:t>
      </w:r>
      <w:r w:rsidR="004F3596" w:rsidRPr="004E27D5">
        <w:rPr>
          <w:rFonts w:ascii="ITC Avant Garde" w:hAnsi="ITC Avant Garde"/>
        </w:rPr>
        <w:t xml:space="preserve"> </w:t>
      </w:r>
      <w:r w:rsidRPr="004E27D5">
        <w:rPr>
          <w:rFonts w:ascii="ITC Avant Garde" w:hAnsi="ITC Avant Garde"/>
        </w:rPr>
        <w:t>obteni</w:t>
      </w:r>
      <w:r w:rsidR="00FB1804" w:rsidRPr="004E27D5">
        <w:rPr>
          <w:rFonts w:ascii="ITC Avant Garde" w:hAnsi="ITC Avant Garde"/>
        </w:rPr>
        <w:t>e</w:t>
      </w:r>
      <w:r w:rsidRPr="004E27D5">
        <w:rPr>
          <w:rFonts w:ascii="ITC Avant Garde" w:hAnsi="ITC Avant Garde"/>
        </w:rPr>
        <w:t>ndo</w:t>
      </w:r>
      <w:r w:rsidR="007A3763" w:rsidRPr="004E27D5">
        <w:rPr>
          <w:rFonts w:ascii="ITC Avant Garde" w:hAnsi="ITC Avant Garde"/>
        </w:rPr>
        <w:t xml:space="preserve"> </w:t>
      </w:r>
      <w:proofErr w:type="spellStart"/>
      <w:r w:rsidR="001F5607" w:rsidRPr="004E27D5">
        <w:rPr>
          <w:rFonts w:ascii="ITC Avant Garde" w:hAnsi="ITC Avant Garde"/>
        </w:rPr>
        <w:t>radiomonitoreo</w:t>
      </w:r>
      <w:proofErr w:type="spellEnd"/>
      <w:r w:rsidR="001F5607" w:rsidRPr="004E27D5">
        <w:rPr>
          <w:rFonts w:ascii="ITC Avant Garde" w:hAnsi="ITC Avant Garde"/>
        </w:rPr>
        <w:t xml:space="preserve"> y</w:t>
      </w:r>
      <w:r w:rsidRPr="004E27D5">
        <w:rPr>
          <w:rFonts w:ascii="ITC Avant Garde" w:hAnsi="ITC Avant Garde"/>
        </w:rPr>
        <w:t xml:space="preserve"> grabaci</w:t>
      </w:r>
      <w:r w:rsidR="00FB1804" w:rsidRPr="004E27D5">
        <w:rPr>
          <w:rFonts w:ascii="ITC Avant Garde" w:hAnsi="ITC Avant Garde"/>
        </w:rPr>
        <w:t xml:space="preserve">ones </w:t>
      </w:r>
      <w:r w:rsidRPr="004E27D5">
        <w:rPr>
          <w:rFonts w:ascii="ITC Avant Garde" w:hAnsi="ITC Avant Garde"/>
        </w:rPr>
        <w:t>del audio de las transmisiones</w:t>
      </w:r>
      <w:r w:rsidR="00FB1804" w:rsidRPr="004E27D5">
        <w:rPr>
          <w:rFonts w:ascii="ITC Avant Garde" w:hAnsi="ITC Avant Garde"/>
        </w:rPr>
        <w:t xml:space="preserve">, </w:t>
      </w:r>
      <w:r w:rsidR="00895B8E" w:rsidRPr="004E27D5">
        <w:rPr>
          <w:rFonts w:ascii="ITC Avant Garde" w:hAnsi="ITC Avant Garde"/>
        </w:rPr>
        <w:t xml:space="preserve">antes de </w:t>
      </w:r>
      <w:r w:rsidR="00FB1804" w:rsidRPr="004E27D5">
        <w:rPr>
          <w:rFonts w:ascii="ITC Avant Garde" w:hAnsi="ITC Avant Garde"/>
        </w:rPr>
        <w:t>llevar a cabo la visita de verificación</w:t>
      </w:r>
      <w:r w:rsidRPr="004E27D5">
        <w:rPr>
          <w:rFonts w:ascii="ITC Avant Garde" w:hAnsi="ITC Avant Garde"/>
        </w:rPr>
        <w:t>.</w:t>
      </w:r>
    </w:p>
    <w:p w:rsidR="009E7D7C" w:rsidRPr="004E27D5" w:rsidRDefault="00F71DF7" w:rsidP="009B5755">
      <w:pPr>
        <w:spacing w:after="0" w:line="360" w:lineRule="auto"/>
        <w:jc w:val="center"/>
        <w:rPr>
          <w:rFonts w:ascii="ITC Avant Garde" w:hAnsi="ITC Avant Garde"/>
        </w:rPr>
      </w:pPr>
      <w:r w:rsidRPr="004E27D5">
        <w:rPr>
          <w:noProof/>
          <w:lang w:eastAsia="es-MX"/>
        </w:rPr>
        <w:lastRenderedPageBreak/>
        <w:drawing>
          <wp:inline distT="0" distB="0" distL="0" distR="0" wp14:anchorId="150E545C" wp14:editId="61C7108E">
            <wp:extent cx="3583299" cy="4633394"/>
            <wp:effectExtent l="84455" t="67945" r="140335" b="140335"/>
            <wp:docPr id="1" name="Imagen 1" descr="Esta gráfica muestra las grabaciones de audio " title="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3585767" cy="46365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61CA" w:rsidRPr="004E27D5" w:rsidRDefault="005527A6" w:rsidP="006F1998">
      <w:pPr>
        <w:spacing w:after="0" w:line="360" w:lineRule="auto"/>
        <w:jc w:val="both"/>
        <w:rPr>
          <w:rFonts w:ascii="ITC Avant Garde" w:hAnsi="ITC Avant Garde"/>
          <w:b/>
        </w:rPr>
        <w:sectPr w:rsidR="001561CA" w:rsidRPr="004E27D5" w:rsidSect="009B5755">
          <w:headerReference w:type="default" r:id="rId18"/>
          <w:pgSz w:w="12240" w:h="15840"/>
          <w:pgMar w:top="1985" w:right="1418" w:bottom="1418" w:left="1418" w:header="709" w:footer="420" w:gutter="0"/>
          <w:cols w:space="708"/>
          <w:docGrid w:linePitch="360"/>
        </w:sectPr>
      </w:pPr>
      <w:r w:rsidRPr="004E27D5">
        <w:rPr>
          <w:rFonts w:ascii="ITC Avant Garde" w:eastAsia="Times New Roman" w:hAnsi="ITC Avant Garde"/>
          <w:bCs/>
          <w:color w:val="000000"/>
          <w:lang w:eastAsia="es-MX"/>
        </w:rPr>
        <w:t>En consecuencia,</w:t>
      </w:r>
      <w:r w:rsidRPr="004E27D5">
        <w:rPr>
          <w:rFonts w:ascii="ITC Avant Garde" w:hAnsi="ITC Avant Garde"/>
        </w:rPr>
        <w:t xml:space="preserve"> en esa misma fecha </w:t>
      </w:r>
      <w:r w:rsidRPr="004E27D5">
        <w:rPr>
          <w:rFonts w:ascii="ITC Avant Garde" w:eastAsia="Times New Roman" w:hAnsi="ITC Avant Garde"/>
          <w:b/>
          <w:bCs/>
          <w:color w:val="000000"/>
          <w:lang w:eastAsia="es-MX"/>
        </w:rPr>
        <w:t>LOS VERIFICADORES</w:t>
      </w:r>
      <w:r w:rsidRPr="004E27D5">
        <w:rPr>
          <w:rFonts w:ascii="ITC Avant Garde" w:eastAsia="Times New Roman" w:hAnsi="ITC Avant Garde"/>
          <w:bCs/>
          <w:color w:val="000000"/>
          <w:lang w:eastAsia="es-MX"/>
        </w:rPr>
        <w:t xml:space="preserve"> se constituyeron en el domicilio ubicado </w:t>
      </w:r>
      <w:r w:rsidRPr="004E27D5">
        <w:rPr>
          <w:rFonts w:ascii="ITC Avant Garde" w:eastAsia="Times New Roman" w:hAnsi="ITC Avant Garde"/>
          <w:b/>
          <w:bCs/>
          <w:color w:val="000000"/>
          <w:lang w:eastAsia="es-MX"/>
        </w:rPr>
        <w:t xml:space="preserve">en </w:t>
      </w:r>
      <w:r w:rsidR="00E04264" w:rsidRPr="004E27D5">
        <w:rPr>
          <w:rFonts w:ascii="ITC Avant Garde" w:hAnsi="ITC Avant Garde"/>
          <w:b/>
          <w:color w:val="0000FF"/>
        </w:rPr>
        <w:t>“CONFIDENCIAL POR LEY”</w:t>
      </w:r>
      <w:r w:rsidR="00C9435A" w:rsidRPr="004E27D5">
        <w:rPr>
          <w:rFonts w:ascii="ITC Avant Garde" w:hAnsi="ITC Avant Garde"/>
          <w:b/>
          <w:color w:val="0000FF"/>
        </w:rPr>
        <w:t xml:space="preserve"> </w:t>
      </w:r>
      <w:r w:rsidR="00C9435A" w:rsidRPr="004E27D5">
        <w:rPr>
          <w:rFonts w:ascii="ITC Avant Garde" w:hAnsi="ITC Avant Garde"/>
          <w:b/>
        </w:rPr>
        <w:t xml:space="preserve">Municipio de Valle de Bravo, Estado de </w:t>
      </w:r>
    </w:p>
    <w:p w:rsidR="009E7D7C" w:rsidRPr="004E27D5" w:rsidRDefault="00C9435A" w:rsidP="006F1998">
      <w:pPr>
        <w:spacing w:after="0" w:line="360" w:lineRule="auto"/>
        <w:jc w:val="both"/>
        <w:rPr>
          <w:rFonts w:ascii="Times New Roman" w:hAnsi="Times New Roman"/>
          <w:sz w:val="24"/>
          <w:szCs w:val="24"/>
          <w:lang w:eastAsia="es-MX"/>
        </w:rPr>
      </w:pPr>
      <w:r w:rsidRPr="004E27D5">
        <w:rPr>
          <w:rFonts w:ascii="ITC Avant Garde" w:hAnsi="ITC Avant Garde"/>
          <w:b/>
        </w:rPr>
        <w:lastRenderedPageBreak/>
        <w:t>México</w:t>
      </w:r>
      <w:r w:rsidR="005527A6" w:rsidRPr="004E27D5">
        <w:rPr>
          <w:rFonts w:ascii="ITC Avant Garde" w:hAnsi="ITC Avant Garde"/>
          <w:b/>
        </w:rPr>
        <w:t xml:space="preserve">, donde se detectaron las instalaciones de la estación de radiodifusión, operando la frecuencia de </w:t>
      </w:r>
      <w:r w:rsidRPr="004E27D5">
        <w:rPr>
          <w:rFonts w:ascii="ITC Avant Garde" w:hAnsi="ITC Avant Garde"/>
          <w:b/>
          <w:caps/>
        </w:rPr>
        <w:t>106.1</w:t>
      </w:r>
      <w:r w:rsidR="002C1AD8" w:rsidRPr="004E27D5">
        <w:rPr>
          <w:rFonts w:ascii="ITC Avant Garde" w:hAnsi="ITC Avant Garde"/>
          <w:b/>
        </w:rPr>
        <w:t xml:space="preserve"> MHz</w:t>
      </w:r>
      <w:r w:rsidR="005527A6" w:rsidRPr="004E27D5">
        <w:rPr>
          <w:rFonts w:ascii="ITC Avant Garde" w:eastAsia="Times New Roman" w:hAnsi="ITC Avant Garde"/>
          <w:bCs/>
          <w:color w:val="000000"/>
          <w:lang w:eastAsia="es-MX"/>
        </w:rPr>
        <w:t xml:space="preserve">, y levantaron el </w:t>
      </w:r>
      <w:r w:rsidR="005527A6" w:rsidRPr="004E27D5">
        <w:rPr>
          <w:rFonts w:ascii="ITC Avant Garde" w:hAnsi="ITC Avant Garde"/>
          <w:b/>
        </w:rPr>
        <w:t xml:space="preserve">acta de verificación ordinaria número </w:t>
      </w:r>
      <w:r w:rsidR="004B32BD" w:rsidRPr="004E27D5">
        <w:rPr>
          <w:rFonts w:ascii="ITC Avant Garde" w:hAnsi="ITC Avant Garde"/>
          <w:b/>
        </w:rPr>
        <w:t>IFT/UC/DG-VER/054/2017</w:t>
      </w:r>
      <w:r w:rsidR="0000526F" w:rsidRPr="004E27D5">
        <w:rPr>
          <w:rFonts w:ascii="ITC Avant Garde" w:hAnsi="ITC Avant Garde"/>
          <w:b/>
        </w:rPr>
        <w:t>.</w:t>
      </w:r>
      <w:r w:rsidR="005527A6" w:rsidRPr="004E27D5">
        <w:rPr>
          <w:rFonts w:ascii="ITC Avant Garde" w:hAnsi="ITC Avant Garde"/>
        </w:rPr>
        <w:t xml:space="preserve"> </w:t>
      </w:r>
    </w:p>
    <w:p w:rsidR="009E7D7C" w:rsidRPr="004E27D5" w:rsidRDefault="005527A6">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En dicho </w:t>
      </w:r>
      <w:r w:rsidRPr="004E27D5">
        <w:rPr>
          <w:rFonts w:ascii="ITC Avant Garde" w:hAnsi="ITC Avant Garde"/>
        </w:rPr>
        <w:t>domicilio</w:t>
      </w:r>
      <w:r w:rsidRPr="004E27D5">
        <w:rPr>
          <w:rFonts w:ascii="ITC Avant Garde" w:eastAsia="Times New Roman" w:hAnsi="ITC Avant Garde"/>
          <w:bCs/>
          <w:color w:val="000000"/>
          <w:lang w:eastAsia="es-MX"/>
        </w:rPr>
        <w:t xml:space="preserve"> </w:t>
      </w:r>
      <w:r w:rsidR="0035646E" w:rsidRPr="004E27D5">
        <w:rPr>
          <w:rFonts w:ascii="ITC Avant Garde" w:eastAsia="Times New Roman" w:hAnsi="ITC Avant Garde"/>
          <w:bCs/>
          <w:color w:val="000000"/>
          <w:lang w:eastAsia="es-MX"/>
        </w:rPr>
        <w:t>solicitaron la identificación de la persona que recibió la visita</w:t>
      </w:r>
      <w:r w:rsidR="0035646E" w:rsidRPr="004E27D5">
        <w:rPr>
          <w:rFonts w:ascii="ITC Avant Garde" w:hAnsi="ITC Avant Garde"/>
        </w:rPr>
        <w:t xml:space="preserve">, </w:t>
      </w:r>
      <w:r w:rsidR="009B4626" w:rsidRPr="004E27D5">
        <w:rPr>
          <w:rFonts w:ascii="ITC Avant Garde" w:hAnsi="ITC Avant Garde"/>
        </w:rPr>
        <w:t xml:space="preserve">quien </w:t>
      </w:r>
      <w:r w:rsidR="00271EFB" w:rsidRPr="004E27D5">
        <w:rPr>
          <w:rFonts w:ascii="ITC Avant Garde" w:hAnsi="ITC Avant Garde"/>
        </w:rPr>
        <w:t xml:space="preserve">se negó a dar su nombre </w:t>
      </w:r>
      <w:r w:rsidR="00271EFB" w:rsidRPr="004E27D5">
        <w:rPr>
          <w:rFonts w:ascii="ITC Avant Garde" w:hAnsi="ITC Avant Garde" w:cs="Arial"/>
        </w:rPr>
        <w:t>y a proporcionar identificación alguna</w:t>
      </w:r>
      <w:r w:rsidR="00204C25" w:rsidRPr="004E27D5">
        <w:rPr>
          <w:rFonts w:ascii="ITC Avant Garde" w:hAnsi="ITC Avant Garde"/>
        </w:rPr>
        <w:t>, cuya media filiaci</w:t>
      </w:r>
      <w:r w:rsidR="00271EFB" w:rsidRPr="004E27D5">
        <w:rPr>
          <w:rFonts w:ascii="ITC Avant Garde" w:hAnsi="ITC Avant Garde"/>
        </w:rPr>
        <w:t xml:space="preserve">ón corresponde a una persona del sexo masculino de </w:t>
      </w:r>
      <w:r w:rsidR="00204C25" w:rsidRPr="004E27D5">
        <w:rPr>
          <w:rFonts w:ascii="ITC Avant Garde" w:hAnsi="ITC Avant Garde"/>
        </w:rPr>
        <w:t xml:space="preserve">aproximadamente </w:t>
      </w:r>
      <w:r w:rsidR="00271EFB" w:rsidRPr="004E27D5">
        <w:rPr>
          <w:rFonts w:ascii="ITC Avant Garde" w:hAnsi="ITC Avant Garde"/>
        </w:rPr>
        <w:t xml:space="preserve">55 años de edad, de estatura aproximada de 1.60 </w:t>
      </w:r>
      <w:proofErr w:type="spellStart"/>
      <w:r w:rsidR="00271EFB" w:rsidRPr="004E27D5">
        <w:rPr>
          <w:rFonts w:ascii="ITC Avant Garde" w:hAnsi="ITC Avant Garde"/>
        </w:rPr>
        <w:t>mts</w:t>
      </w:r>
      <w:proofErr w:type="spellEnd"/>
      <w:r w:rsidR="00271EFB" w:rsidRPr="004E27D5">
        <w:rPr>
          <w:rFonts w:ascii="ITC Avant Garde" w:hAnsi="ITC Avant Garde"/>
        </w:rPr>
        <w:t>, tez morena clara, complexión regular, cabello quebrado castaño, nariz redonda y quien además respecto al domicilio señalado indicó “pues aquí es mi casa pero, la persona que me vino a rentar solo me dijo que eran aparatos para medir contaminación”</w:t>
      </w:r>
      <w:r w:rsidR="00204C25" w:rsidRPr="004E27D5">
        <w:rPr>
          <w:rFonts w:ascii="ITC Avant Garde" w:hAnsi="ITC Avant Garde" w:cs="Arial"/>
        </w:rPr>
        <w:t>, sin proporcionar mayores datos</w:t>
      </w:r>
      <w:r w:rsidR="00CA567F" w:rsidRPr="004E27D5">
        <w:rPr>
          <w:rFonts w:ascii="ITC Avant Garde" w:hAnsi="ITC Avant Garde"/>
        </w:rPr>
        <w:t>,</w:t>
      </w:r>
      <w:r w:rsidR="00204C25" w:rsidRPr="004E27D5">
        <w:rPr>
          <w:rFonts w:ascii="ITC Avant Garde" w:hAnsi="ITC Avant Garde"/>
        </w:rPr>
        <w:t xml:space="preserve"> p</w:t>
      </w:r>
      <w:r w:rsidR="00204C25" w:rsidRPr="004E27D5">
        <w:rPr>
          <w:rFonts w:ascii="ITC Avant Garde" w:hAnsi="ITC Avant Garde" w:cs="Arial"/>
        </w:rPr>
        <w:t xml:space="preserve">osteriormente se hizo de su conocimiento el objeto de la visita de verificación, entregándole la orden de visita </w:t>
      </w:r>
      <w:r w:rsidR="004B32BD" w:rsidRPr="004E27D5">
        <w:rPr>
          <w:rFonts w:ascii="ITC Avant Garde" w:hAnsi="ITC Avant Garde" w:cs="Arial"/>
        </w:rPr>
        <w:t>IFT/UC/DG-VER/054/2017</w:t>
      </w:r>
      <w:r w:rsidR="00204C25" w:rsidRPr="004E27D5">
        <w:rPr>
          <w:rFonts w:ascii="ITC Avant Garde" w:hAnsi="ITC Avant Garde" w:cs="Arial"/>
        </w:rPr>
        <w:t xml:space="preserve">, solicitándole firmara de recibido para constancia, quien </w:t>
      </w:r>
      <w:r w:rsidR="00271EFB" w:rsidRPr="004E27D5">
        <w:rPr>
          <w:rFonts w:ascii="ITC Avant Garde" w:hAnsi="ITC Avant Garde" w:cs="Arial"/>
        </w:rPr>
        <w:t>se negó a firmar de recibido</w:t>
      </w:r>
      <w:r w:rsidR="00894C21" w:rsidRPr="004E27D5">
        <w:rPr>
          <w:rFonts w:ascii="ITC Avant Garde" w:eastAsia="Times New Roman" w:hAnsi="ITC Avant Garde"/>
          <w:bCs/>
          <w:color w:val="000000"/>
          <w:lang w:eastAsia="es-MX"/>
        </w:rPr>
        <w:t xml:space="preserve">. </w:t>
      </w:r>
    </w:p>
    <w:p w:rsidR="009E7D7C" w:rsidRPr="004E27D5" w:rsidRDefault="00894C21" w:rsidP="00A96264">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lang w:eastAsia="es-ES"/>
        </w:rPr>
        <w:t xml:space="preserve">Asimismo, la persona que atendió la diligencia no nombró testigos de asistencia, </w:t>
      </w:r>
      <w:r w:rsidR="001771E3" w:rsidRPr="004E27D5">
        <w:rPr>
          <w:rFonts w:ascii="ITC Avant Garde" w:eastAsia="Times New Roman" w:hAnsi="ITC Avant Garde"/>
          <w:lang w:eastAsia="es-ES"/>
        </w:rPr>
        <w:t xml:space="preserve">por lo que </w:t>
      </w:r>
      <w:r w:rsidRPr="004E27D5">
        <w:rPr>
          <w:rFonts w:ascii="ITC Avant Garde" w:hAnsi="ITC Avant Garde"/>
          <w:b/>
        </w:rPr>
        <w:t xml:space="preserve">LOS VERIFICADORES </w:t>
      </w:r>
      <w:r w:rsidR="002C2101" w:rsidRPr="004E27D5">
        <w:rPr>
          <w:rFonts w:ascii="ITC Avant Garde" w:eastAsia="Times New Roman" w:hAnsi="ITC Avant Garde"/>
          <w:bCs/>
          <w:color w:val="000000"/>
          <w:lang w:eastAsia="es-MX"/>
        </w:rPr>
        <w:t xml:space="preserve">nombraron como testigos </w:t>
      </w:r>
      <w:r w:rsidR="001771E3" w:rsidRPr="004E27D5">
        <w:rPr>
          <w:rFonts w:ascii="ITC Avant Garde" w:eastAsia="Times New Roman" w:hAnsi="ITC Avant Garde"/>
          <w:bCs/>
          <w:color w:val="000000"/>
          <w:lang w:eastAsia="es-MX"/>
        </w:rPr>
        <w:t xml:space="preserve">de asistencia </w:t>
      </w:r>
      <w:r w:rsidR="002C2101" w:rsidRPr="004E27D5">
        <w:rPr>
          <w:rFonts w:ascii="ITC Avant Garde" w:eastAsia="Times New Roman" w:hAnsi="ITC Avant Garde"/>
          <w:bCs/>
          <w:color w:val="000000"/>
          <w:lang w:eastAsia="es-MX"/>
        </w:rPr>
        <w:t xml:space="preserve">a </w:t>
      </w:r>
      <w:r w:rsidR="00271EFB" w:rsidRPr="004E27D5">
        <w:rPr>
          <w:rFonts w:ascii="ITC Avant Garde" w:hAnsi="ITC Avant Garde"/>
        </w:rPr>
        <w:t>Daniel Pérez Mérida y Adonay Vega Estrada</w:t>
      </w:r>
      <w:r w:rsidR="00724F21" w:rsidRPr="004E27D5">
        <w:rPr>
          <w:rFonts w:ascii="ITC Avant Garde" w:hAnsi="ITC Avant Garde"/>
        </w:rPr>
        <w:t>,</w:t>
      </w:r>
      <w:r w:rsidR="00724F21" w:rsidRPr="004E27D5">
        <w:rPr>
          <w:rFonts w:ascii="ITC Avant Garde" w:eastAsia="Times New Roman" w:hAnsi="ITC Avant Garde"/>
          <w:bCs/>
          <w:color w:val="000000"/>
          <w:lang w:eastAsia="es-MX"/>
        </w:rPr>
        <w:t xml:space="preserve"> </w:t>
      </w:r>
      <w:r w:rsidR="002C2101" w:rsidRPr="004E27D5">
        <w:rPr>
          <w:rFonts w:ascii="ITC Avant Garde" w:eastAsia="Times New Roman" w:hAnsi="ITC Avant Garde"/>
          <w:bCs/>
          <w:color w:val="000000"/>
          <w:lang w:eastAsia="es-MX"/>
        </w:rPr>
        <w:t xml:space="preserve">quienes </w:t>
      </w:r>
      <w:r w:rsidR="00724F21" w:rsidRPr="004E27D5">
        <w:rPr>
          <w:rFonts w:ascii="ITC Avant Garde" w:eastAsia="Times New Roman" w:hAnsi="ITC Avant Garde"/>
          <w:bCs/>
          <w:color w:val="000000"/>
          <w:lang w:eastAsia="es-MX"/>
        </w:rPr>
        <w:t xml:space="preserve">se identificaron con </w:t>
      </w:r>
      <w:r w:rsidR="00EF47BF" w:rsidRPr="004E27D5">
        <w:rPr>
          <w:rFonts w:ascii="ITC Avant Garde" w:eastAsia="Times New Roman" w:hAnsi="ITC Avant Garde"/>
          <w:bCs/>
          <w:color w:val="000000"/>
          <w:lang w:eastAsia="es-MX"/>
        </w:rPr>
        <w:t>licencia de conducir</w:t>
      </w:r>
      <w:r w:rsidR="00271EFB" w:rsidRPr="004E27D5">
        <w:rPr>
          <w:rFonts w:ascii="ITC Avant Garde" w:eastAsia="Times New Roman" w:hAnsi="ITC Avant Garde"/>
          <w:bCs/>
          <w:color w:val="000000"/>
          <w:lang w:eastAsia="es-MX"/>
        </w:rPr>
        <w:t xml:space="preserve"> y con cédula profesional respectivamente</w:t>
      </w:r>
      <w:r w:rsidR="00EF47BF" w:rsidRPr="004E27D5">
        <w:rPr>
          <w:rFonts w:ascii="ITC Avant Garde" w:eastAsia="Times New Roman" w:hAnsi="ITC Avant Garde"/>
          <w:bCs/>
          <w:color w:val="000000"/>
          <w:lang w:eastAsia="es-MX"/>
        </w:rPr>
        <w:t xml:space="preserve">, </w:t>
      </w:r>
      <w:r w:rsidR="0090673E" w:rsidRPr="004E27D5">
        <w:rPr>
          <w:rFonts w:ascii="ITC Avant Garde" w:eastAsia="Times New Roman" w:hAnsi="ITC Avant Garde"/>
          <w:bCs/>
          <w:color w:val="000000"/>
          <w:lang w:eastAsia="es-MX"/>
        </w:rPr>
        <w:t xml:space="preserve">y que </w:t>
      </w:r>
      <w:r w:rsidR="002C2101" w:rsidRPr="004E27D5">
        <w:rPr>
          <w:rFonts w:ascii="ITC Avant Garde" w:eastAsia="Times New Roman" w:hAnsi="ITC Avant Garde"/>
          <w:bCs/>
          <w:color w:val="000000"/>
          <w:lang w:eastAsia="es-MX"/>
        </w:rPr>
        <w:t xml:space="preserve">aceptaron el cargo. </w:t>
      </w:r>
    </w:p>
    <w:p w:rsidR="009E7D7C" w:rsidRPr="004E27D5" w:rsidRDefault="00A96264" w:rsidP="00B67120">
      <w:pPr>
        <w:spacing w:after="0" w:line="360" w:lineRule="auto"/>
        <w:jc w:val="both"/>
        <w:rPr>
          <w:rFonts w:ascii="ITC Avant Garde" w:hAnsi="ITC Avant Garde"/>
        </w:rPr>
      </w:pPr>
      <w:r w:rsidRPr="004E27D5">
        <w:rPr>
          <w:rFonts w:ascii="ITC Avant Garde" w:hAnsi="ITC Avant Garde"/>
        </w:rPr>
        <w:t>Una vez cubiertos los requisitos de ley</w:t>
      </w:r>
      <w:r w:rsidRPr="004E27D5">
        <w:rPr>
          <w:rFonts w:ascii="ITC Avant Garde" w:eastAsia="Times New Roman" w:hAnsi="ITC Avant Garde"/>
          <w:bCs/>
          <w:color w:val="000000"/>
          <w:lang w:eastAsia="es-MX"/>
        </w:rPr>
        <w:t xml:space="preserve">, </w:t>
      </w:r>
      <w:r w:rsidRPr="004E27D5">
        <w:rPr>
          <w:rFonts w:ascii="ITC Avant Garde" w:eastAsia="Times New Roman" w:hAnsi="ITC Avant Garde"/>
          <w:b/>
          <w:bCs/>
          <w:color w:val="000000"/>
          <w:lang w:eastAsia="es-MX"/>
        </w:rPr>
        <w:t>LOS VERIFICADORES</w:t>
      </w:r>
      <w:r w:rsidRPr="004E27D5">
        <w:rPr>
          <w:rFonts w:ascii="ITC Avant Garde" w:eastAsia="Times New Roman" w:hAnsi="ITC Avant Garde"/>
          <w:bCs/>
          <w:color w:val="000000"/>
          <w:lang w:eastAsia="es-MX"/>
        </w:rPr>
        <w:t xml:space="preserve">, acompañados de la persona que ocupaba el inmueble en el que se practicó la diligencia y de los testigos de asistencia, procedieron a verificar </w:t>
      </w:r>
      <w:r w:rsidR="00894C21" w:rsidRPr="004E27D5">
        <w:rPr>
          <w:rFonts w:ascii="ITC Avant Garde" w:eastAsia="Times New Roman" w:hAnsi="ITC Avant Garde"/>
          <w:lang w:eastAsia="es-ES"/>
        </w:rPr>
        <w:t xml:space="preserve">las instalaciones del inmueble, </w:t>
      </w:r>
      <w:r w:rsidR="00894C21" w:rsidRPr="004E27D5">
        <w:rPr>
          <w:rFonts w:ascii="ITC Avant Garde" w:hAnsi="ITC Avant Garde"/>
        </w:rPr>
        <w:t xml:space="preserve">encontrando </w:t>
      </w:r>
      <w:r w:rsidRPr="004E27D5">
        <w:rPr>
          <w:rFonts w:ascii="ITC Avant Garde" w:eastAsia="Times New Roman" w:hAnsi="ITC Avant Garde"/>
          <w:bCs/>
          <w:color w:val="000000"/>
          <w:lang w:eastAsia="es-MX"/>
        </w:rPr>
        <w:t xml:space="preserve">instalados y en operación: </w:t>
      </w:r>
      <w:r w:rsidR="0090673E" w:rsidRPr="004E27D5">
        <w:rPr>
          <w:rFonts w:ascii="ITC Avant Garde" w:eastAsia="Times New Roman" w:hAnsi="ITC Avant Garde"/>
          <w:bCs/>
          <w:color w:val="000000"/>
          <w:lang w:eastAsia="es-MX"/>
        </w:rPr>
        <w:t>Dos</w:t>
      </w:r>
      <w:r w:rsidR="00B67120" w:rsidRPr="004E27D5">
        <w:rPr>
          <w:rFonts w:ascii="ITC Avant Garde" w:hAnsi="ITC Avant Garde"/>
        </w:rPr>
        <w:t xml:space="preserve"> antena</w:t>
      </w:r>
      <w:r w:rsidR="0090673E" w:rsidRPr="004E27D5">
        <w:rPr>
          <w:rFonts w:ascii="ITC Avant Garde" w:hAnsi="ITC Avant Garde"/>
        </w:rPr>
        <w:t>s</w:t>
      </w:r>
      <w:r w:rsidR="00B67120" w:rsidRPr="004E27D5">
        <w:rPr>
          <w:rFonts w:ascii="ITC Avant Garde" w:hAnsi="ITC Avant Garde"/>
        </w:rPr>
        <w:t xml:space="preserve"> </w:t>
      </w:r>
      <w:r w:rsidR="00BC0C59" w:rsidRPr="004E27D5">
        <w:rPr>
          <w:rFonts w:ascii="ITC Avant Garde" w:hAnsi="ITC Avant Garde"/>
        </w:rPr>
        <w:t>omnidireccional</w:t>
      </w:r>
      <w:r w:rsidR="00E35CA3" w:rsidRPr="004E27D5">
        <w:rPr>
          <w:rFonts w:ascii="ITC Avant Garde" w:hAnsi="ITC Avant Garde"/>
        </w:rPr>
        <w:t xml:space="preserve"> </w:t>
      </w:r>
      <w:r w:rsidR="00BA6E03" w:rsidRPr="004E27D5">
        <w:rPr>
          <w:rFonts w:ascii="ITC Avant Garde" w:hAnsi="ITC Avant Garde"/>
        </w:rPr>
        <w:t xml:space="preserve">tipo “T” </w:t>
      </w:r>
      <w:r w:rsidR="0082434F" w:rsidRPr="004E27D5">
        <w:rPr>
          <w:rFonts w:ascii="ITC Avant Garde" w:hAnsi="ITC Avant Garde"/>
        </w:rPr>
        <w:t xml:space="preserve">sin </w:t>
      </w:r>
      <w:r w:rsidR="00D30D7D" w:rsidRPr="004E27D5">
        <w:rPr>
          <w:rFonts w:ascii="ITC Avant Garde" w:hAnsi="ITC Avant Garde"/>
        </w:rPr>
        <w:t>marca</w:t>
      </w:r>
      <w:r w:rsidR="00E35CA3" w:rsidRPr="004E27D5">
        <w:rPr>
          <w:rFonts w:ascii="ITC Avant Garde" w:hAnsi="ITC Avant Garde"/>
        </w:rPr>
        <w:t>, sin modelo y sin número de serie</w:t>
      </w:r>
      <w:r w:rsidR="00AA2E2F" w:rsidRPr="004E27D5">
        <w:rPr>
          <w:rFonts w:ascii="ITC Avant Garde" w:hAnsi="ITC Avant Garde"/>
        </w:rPr>
        <w:t>, u</w:t>
      </w:r>
      <w:r w:rsidR="007D2A51" w:rsidRPr="004E27D5">
        <w:rPr>
          <w:rFonts w:ascii="ITC Avant Garde" w:hAnsi="ITC Avant Garde"/>
        </w:rPr>
        <w:t>n transmisor,</w:t>
      </w:r>
      <w:r w:rsidR="0090673E" w:rsidRPr="004E27D5">
        <w:rPr>
          <w:rFonts w:ascii="ITC Avant Garde" w:hAnsi="ITC Avant Garde"/>
        </w:rPr>
        <w:t xml:space="preserve"> sin </w:t>
      </w:r>
      <w:r w:rsidR="00D30D7D" w:rsidRPr="004E27D5">
        <w:rPr>
          <w:rFonts w:ascii="ITC Avant Garde" w:hAnsi="ITC Avant Garde"/>
        </w:rPr>
        <w:t>marca</w:t>
      </w:r>
      <w:r w:rsidR="0090673E" w:rsidRPr="004E27D5">
        <w:rPr>
          <w:rFonts w:ascii="ITC Avant Garde" w:hAnsi="ITC Avant Garde"/>
        </w:rPr>
        <w:t>, sin</w:t>
      </w:r>
      <w:r w:rsidR="0073477B" w:rsidRPr="004E27D5">
        <w:rPr>
          <w:rFonts w:ascii="ITC Avant Garde" w:hAnsi="ITC Avant Garde"/>
        </w:rPr>
        <w:t xml:space="preserve"> modelo y sin número de serie</w:t>
      </w:r>
      <w:r w:rsidR="0090673E" w:rsidRPr="004E27D5">
        <w:rPr>
          <w:rFonts w:ascii="ITC Avant Garde" w:hAnsi="ITC Avant Garde"/>
        </w:rPr>
        <w:t>, una consola de audio sin marca, sin modelo y sin número de serie</w:t>
      </w:r>
      <w:r w:rsidR="00A30669" w:rsidRPr="004E27D5">
        <w:rPr>
          <w:rFonts w:ascii="ITC Avant Garde" w:hAnsi="ITC Avant Garde"/>
        </w:rPr>
        <w:t xml:space="preserve"> y </w:t>
      </w:r>
      <w:r w:rsidR="00F84951" w:rsidRPr="004E27D5">
        <w:rPr>
          <w:rFonts w:ascii="ITC Avant Garde" w:hAnsi="ITC Avant Garde"/>
        </w:rPr>
        <w:t>un</w:t>
      </w:r>
      <w:r w:rsidR="00BB516E" w:rsidRPr="004E27D5">
        <w:rPr>
          <w:rFonts w:ascii="ITC Avant Garde" w:hAnsi="ITC Avant Garde"/>
        </w:rPr>
        <w:t xml:space="preserve"> </w:t>
      </w:r>
      <w:r w:rsidR="007D2A51" w:rsidRPr="004E27D5">
        <w:rPr>
          <w:rFonts w:ascii="ITC Avant Garde" w:hAnsi="ITC Avant Garde"/>
        </w:rPr>
        <w:t>CPU Armado sin marca</w:t>
      </w:r>
      <w:r w:rsidR="00E31817" w:rsidRPr="004E27D5">
        <w:rPr>
          <w:rFonts w:ascii="ITC Avant Garde" w:hAnsi="ITC Avant Garde"/>
        </w:rPr>
        <w:t>, sin modelo y sin número de serie</w:t>
      </w:r>
      <w:r w:rsidR="002A1AE8" w:rsidRPr="004E27D5">
        <w:rPr>
          <w:rFonts w:ascii="ITC Avant Garde" w:hAnsi="ITC Avant Garde"/>
        </w:rPr>
        <w:t>,</w:t>
      </w:r>
      <w:r w:rsidR="00E31817" w:rsidRPr="004E27D5">
        <w:rPr>
          <w:rFonts w:ascii="ITC Avant Garde" w:hAnsi="ITC Avant Garde"/>
        </w:rPr>
        <w:t xml:space="preserve"> </w:t>
      </w:r>
      <w:r w:rsidR="00CE0B42" w:rsidRPr="004E27D5">
        <w:rPr>
          <w:rFonts w:ascii="ITC Avant Garde" w:hAnsi="ITC Avant Garde"/>
        </w:rPr>
        <w:t xml:space="preserve"> </w:t>
      </w:r>
      <w:r w:rsidR="00F12445" w:rsidRPr="004E27D5">
        <w:rPr>
          <w:rFonts w:ascii="ITC Avant Garde" w:hAnsi="ITC Avant Garde"/>
        </w:rPr>
        <w:t>los cuales operaban</w:t>
      </w:r>
      <w:r w:rsidR="00CE0B42" w:rsidRPr="004E27D5">
        <w:rPr>
          <w:rFonts w:ascii="ITC Avant Garde" w:hAnsi="ITC Avant Garde"/>
        </w:rPr>
        <w:t xml:space="preserve"> </w:t>
      </w:r>
      <w:r w:rsidR="00B67120" w:rsidRPr="004E27D5">
        <w:rPr>
          <w:rFonts w:ascii="ITC Avant Garde" w:hAnsi="ITC Avant Garde"/>
        </w:rPr>
        <w:t xml:space="preserve">en la frecuencia </w:t>
      </w:r>
      <w:r w:rsidR="00C9435A" w:rsidRPr="004E27D5">
        <w:rPr>
          <w:rFonts w:ascii="ITC Avant Garde" w:hAnsi="ITC Avant Garde"/>
          <w:b/>
          <w:caps/>
        </w:rPr>
        <w:t>106.1</w:t>
      </w:r>
      <w:r w:rsidR="002C1AD8" w:rsidRPr="004E27D5">
        <w:rPr>
          <w:rFonts w:ascii="ITC Avant Garde" w:hAnsi="ITC Avant Garde"/>
          <w:b/>
        </w:rPr>
        <w:t xml:space="preserve"> MHz</w:t>
      </w:r>
      <w:r w:rsidR="00CE0B42" w:rsidRPr="004E27D5">
        <w:rPr>
          <w:rFonts w:ascii="ITC Avant Garde" w:hAnsi="ITC Avant Garde"/>
        </w:rPr>
        <w:t>.</w:t>
      </w:r>
    </w:p>
    <w:p w:rsidR="009E7D7C" w:rsidRPr="004E27D5" w:rsidRDefault="00A96264" w:rsidP="00A96264">
      <w:pPr>
        <w:pStyle w:val="Textoindependiente"/>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Posteriormente, </w:t>
      </w:r>
      <w:r w:rsidRPr="004E27D5">
        <w:rPr>
          <w:rFonts w:ascii="ITC Avant Garde" w:eastAsia="Times New Roman" w:hAnsi="ITC Avant Garde"/>
          <w:b/>
          <w:bCs/>
          <w:color w:val="000000"/>
          <w:lang w:eastAsia="es-MX"/>
        </w:rPr>
        <w:t>LOS VERIFICADORES</w:t>
      </w:r>
      <w:r w:rsidRPr="004E27D5">
        <w:rPr>
          <w:rFonts w:ascii="ITC Avant Garde" w:eastAsia="Times New Roman" w:hAnsi="ITC Avant Garde"/>
          <w:bCs/>
          <w:color w:val="000000"/>
          <w:lang w:eastAsia="es-MX"/>
        </w:rPr>
        <w:t xml:space="preserve"> solicitaron a la persona que atendió la visita, </w:t>
      </w:r>
      <w:r w:rsidR="0010330D" w:rsidRPr="004E27D5">
        <w:rPr>
          <w:rFonts w:ascii="ITC Avant Garde" w:eastAsia="Times New Roman" w:hAnsi="ITC Avant Garde"/>
          <w:bCs/>
          <w:color w:val="000000"/>
          <w:lang w:eastAsia="es-MX"/>
        </w:rPr>
        <w:t>manifestara bajo protesta de decir verdad lo siguiente:</w:t>
      </w:r>
    </w:p>
    <w:p w:rsidR="009E7D7C" w:rsidRPr="004E27D5" w:rsidRDefault="00E86411" w:rsidP="007D2A51">
      <w:pPr>
        <w:pStyle w:val="Textoindependiente"/>
        <w:numPr>
          <w:ilvl w:val="0"/>
          <w:numId w:val="12"/>
        </w:numPr>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Qu</w:t>
      </w:r>
      <w:r w:rsidR="00BA6E03" w:rsidRPr="004E27D5">
        <w:rPr>
          <w:rFonts w:ascii="ITC Avant Garde" w:eastAsia="Times New Roman" w:hAnsi="ITC Avant Garde"/>
          <w:bCs/>
          <w:color w:val="000000"/>
          <w:lang w:eastAsia="es-MX"/>
        </w:rPr>
        <w:t>i</w:t>
      </w:r>
      <w:r w:rsidR="00B67120" w:rsidRPr="004E27D5">
        <w:rPr>
          <w:rFonts w:ascii="ITC Avant Garde" w:eastAsia="Times New Roman" w:hAnsi="ITC Avant Garde"/>
          <w:bCs/>
          <w:color w:val="000000"/>
          <w:lang w:eastAsia="es-MX"/>
        </w:rPr>
        <w:t>é</w:t>
      </w:r>
      <w:r w:rsidR="00BA6E03" w:rsidRPr="004E27D5">
        <w:rPr>
          <w:rFonts w:ascii="ITC Avant Garde" w:eastAsia="Times New Roman" w:hAnsi="ITC Avant Garde"/>
          <w:bCs/>
          <w:color w:val="000000"/>
          <w:lang w:eastAsia="es-MX"/>
        </w:rPr>
        <w:t xml:space="preserve">n es </w:t>
      </w:r>
      <w:r w:rsidRPr="004E27D5">
        <w:rPr>
          <w:rFonts w:ascii="ITC Avant Garde" w:eastAsia="Times New Roman" w:hAnsi="ITC Avant Garde"/>
          <w:bCs/>
          <w:color w:val="000000"/>
          <w:lang w:eastAsia="es-MX"/>
        </w:rPr>
        <w:t>el propietario de la estación de radiodifusión que transmite desde ese inmueble, a lo que la persona que recibió la visita respondió: “</w:t>
      </w:r>
      <w:r w:rsidR="0090673E" w:rsidRPr="004E27D5">
        <w:rPr>
          <w:rFonts w:ascii="ITC Avant Garde" w:hAnsi="ITC Avant Garde" w:cs="Tahoma"/>
          <w:sz w:val="21"/>
          <w:szCs w:val="21"/>
        </w:rPr>
        <w:t>Primeramente les tengo que decir que no sabía que esta era una estación ilegal como dicen y no tengo el nombre del dueño ya tiene varios meses que no viene</w:t>
      </w:r>
      <w:r w:rsidRPr="004E27D5">
        <w:rPr>
          <w:rFonts w:ascii="ITC Avant Garde" w:eastAsia="Times New Roman" w:hAnsi="ITC Avant Garde"/>
          <w:bCs/>
          <w:color w:val="000000"/>
          <w:lang w:eastAsia="es-MX"/>
        </w:rPr>
        <w:t>”</w:t>
      </w:r>
      <w:r w:rsidR="00F6299D" w:rsidRPr="004E27D5">
        <w:rPr>
          <w:rFonts w:ascii="ITC Avant Garde" w:eastAsia="Times New Roman" w:hAnsi="ITC Avant Garde"/>
          <w:bCs/>
          <w:color w:val="000000"/>
          <w:lang w:eastAsia="es-MX"/>
        </w:rPr>
        <w:t>.</w:t>
      </w:r>
    </w:p>
    <w:p w:rsidR="009E7D7C" w:rsidRPr="004E27D5" w:rsidRDefault="00B67120" w:rsidP="0090673E">
      <w:pPr>
        <w:pStyle w:val="Textoindependiente"/>
        <w:numPr>
          <w:ilvl w:val="0"/>
          <w:numId w:val="12"/>
        </w:numPr>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lastRenderedPageBreak/>
        <w:t>S</w:t>
      </w:r>
      <w:r w:rsidR="00E86411" w:rsidRPr="004E27D5">
        <w:rPr>
          <w:rFonts w:ascii="ITC Avant Garde" w:eastAsia="Times New Roman" w:hAnsi="ITC Avant Garde"/>
          <w:bCs/>
          <w:color w:val="000000"/>
          <w:lang w:eastAsia="es-MX"/>
        </w:rPr>
        <w:t>i sab</w:t>
      </w:r>
      <w:r w:rsidRPr="004E27D5">
        <w:rPr>
          <w:rFonts w:ascii="ITC Avant Garde" w:eastAsia="Times New Roman" w:hAnsi="ITC Avant Garde"/>
          <w:bCs/>
          <w:color w:val="000000"/>
          <w:lang w:eastAsia="es-MX"/>
        </w:rPr>
        <w:t xml:space="preserve">e que </w:t>
      </w:r>
      <w:r w:rsidR="00E86411" w:rsidRPr="004E27D5">
        <w:rPr>
          <w:rFonts w:ascii="ITC Avant Garde" w:eastAsia="Times New Roman" w:hAnsi="ITC Avant Garde"/>
          <w:bCs/>
          <w:color w:val="000000"/>
          <w:lang w:eastAsia="es-MX"/>
        </w:rPr>
        <w:t>desde ese inmue</w:t>
      </w:r>
      <w:r w:rsidRPr="004E27D5">
        <w:rPr>
          <w:rFonts w:ascii="ITC Avant Garde" w:eastAsia="Times New Roman" w:hAnsi="ITC Avant Garde"/>
          <w:bCs/>
          <w:color w:val="000000"/>
          <w:lang w:eastAsia="es-MX"/>
        </w:rPr>
        <w:t>ble está</w:t>
      </w:r>
      <w:r w:rsidR="00B9108B" w:rsidRPr="004E27D5">
        <w:rPr>
          <w:rFonts w:ascii="ITC Avant Garde" w:eastAsia="Times New Roman" w:hAnsi="ITC Avant Garde"/>
          <w:bCs/>
          <w:color w:val="000000"/>
          <w:lang w:eastAsia="es-MX"/>
        </w:rPr>
        <w:t xml:space="preserve"> transmitiendo </w:t>
      </w:r>
      <w:r w:rsidRPr="004E27D5">
        <w:rPr>
          <w:rFonts w:ascii="ITC Avant Garde" w:eastAsia="Times New Roman" w:hAnsi="ITC Avant Garde"/>
          <w:bCs/>
          <w:color w:val="000000"/>
          <w:lang w:eastAsia="es-MX"/>
        </w:rPr>
        <w:t>una estación de radiodifusión</w:t>
      </w:r>
      <w:r w:rsidR="00E86411" w:rsidRPr="004E27D5">
        <w:rPr>
          <w:rFonts w:ascii="ITC Avant Garde" w:eastAsia="Times New Roman" w:hAnsi="ITC Avant Garde"/>
          <w:bCs/>
          <w:color w:val="000000"/>
          <w:lang w:eastAsia="es-MX"/>
        </w:rPr>
        <w:t xml:space="preserve"> la cual opera </w:t>
      </w:r>
      <w:r w:rsidRPr="004E27D5">
        <w:rPr>
          <w:rFonts w:ascii="ITC Avant Garde" w:eastAsia="Times New Roman" w:hAnsi="ITC Avant Garde"/>
          <w:bCs/>
          <w:color w:val="000000"/>
          <w:lang w:eastAsia="es-MX"/>
        </w:rPr>
        <w:t xml:space="preserve">en la banda de </w:t>
      </w:r>
      <w:r w:rsidR="00E86411" w:rsidRPr="004E27D5">
        <w:rPr>
          <w:rFonts w:ascii="ITC Avant Garde" w:eastAsia="Times New Roman" w:hAnsi="ITC Avant Garde"/>
          <w:bCs/>
          <w:color w:val="000000"/>
          <w:lang w:eastAsia="es-MX"/>
        </w:rPr>
        <w:t xml:space="preserve">frecuencia </w:t>
      </w:r>
      <w:r w:rsidRPr="004E27D5">
        <w:rPr>
          <w:rFonts w:ascii="ITC Avant Garde" w:eastAsia="Times New Roman" w:hAnsi="ITC Avant Garde"/>
          <w:bCs/>
          <w:color w:val="000000"/>
          <w:lang w:eastAsia="es-MX"/>
        </w:rPr>
        <w:t xml:space="preserve">modulada en </w:t>
      </w:r>
      <w:r w:rsidR="00C9435A" w:rsidRPr="004E27D5">
        <w:rPr>
          <w:rFonts w:ascii="ITC Avant Garde" w:hAnsi="ITC Avant Garde"/>
          <w:b/>
          <w:caps/>
        </w:rPr>
        <w:t>106.1</w:t>
      </w:r>
      <w:r w:rsidR="002C1AD8" w:rsidRPr="004E27D5">
        <w:rPr>
          <w:rFonts w:ascii="ITC Avant Garde" w:hAnsi="ITC Avant Garde"/>
          <w:b/>
        </w:rPr>
        <w:t xml:space="preserve"> MHz</w:t>
      </w:r>
      <w:r w:rsidR="00E86411" w:rsidRPr="004E27D5">
        <w:rPr>
          <w:rFonts w:ascii="ITC Avant Garde" w:eastAsia="Times New Roman" w:hAnsi="ITC Avant Garde"/>
          <w:b/>
          <w:bCs/>
          <w:color w:val="000000"/>
          <w:lang w:eastAsia="es-MX"/>
        </w:rPr>
        <w:t xml:space="preserve">, </w:t>
      </w:r>
      <w:r w:rsidR="00E86411" w:rsidRPr="004E27D5">
        <w:rPr>
          <w:rFonts w:ascii="ITC Avant Garde" w:eastAsia="Times New Roman" w:hAnsi="ITC Avant Garde"/>
          <w:bCs/>
          <w:color w:val="000000"/>
          <w:lang w:eastAsia="es-MX"/>
        </w:rPr>
        <w:t xml:space="preserve">a lo que la persona que recibió la visita </w:t>
      </w:r>
      <w:r w:rsidR="00645A4D" w:rsidRPr="004E27D5">
        <w:rPr>
          <w:rFonts w:ascii="ITC Avant Garde" w:hAnsi="ITC Avant Garde" w:cs="Tahoma"/>
        </w:rPr>
        <w:t>manifestó</w:t>
      </w:r>
      <w:r w:rsidR="00FB0D06" w:rsidRPr="004E27D5">
        <w:rPr>
          <w:rFonts w:ascii="ITC Avant Garde" w:hAnsi="ITC Avant Garde" w:cs="Tahoma"/>
        </w:rPr>
        <w:t>:</w:t>
      </w:r>
      <w:r w:rsidR="00645A4D" w:rsidRPr="004E27D5">
        <w:rPr>
          <w:rFonts w:ascii="ITC Avant Garde" w:hAnsi="ITC Avant Garde" w:cs="Tahoma"/>
        </w:rPr>
        <w:t xml:space="preserve"> </w:t>
      </w:r>
      <w:r w:rsidR="002839CF" w:rsidRPr="004E27D5">
        <w:rPr>
          <w:rFonts w:ascii="ITC Avant Garde" w:hAnsi="ITC Avant Garde" w:cs="Tahoma"/>
        </w:rPr>
        <w:t>“</w:t>
      </w:r>
      <w:r w:rsidR="0090673E" w:rsidRPr="004E27D5">
        <w:rPr>
          <w:rFonts w:ascii="ITC Avant Garde" w:hAnsi="ITC Avant Garde" w:cs="Tahoma"/>
        </w:rPr>
        <w:t>ya les dije no sabía</w:t>
      </w:r>
      <w:r w:rsidR="002839CF" w:rsidRPr="004E27D5">
        <w:rPr>
          <w:rFonts w:ascii="ITC Avant Garde" w:hAnsi="ITC Avant Garde" w:cs="Tahoma"/>
        </w:rPr>
        <w:t>”</w:t>
      </w:r>
      <w:r w:rsidR="00E86411" w:rsidRPr="004E27D5">
        <w:rPr>
          <w:rFonts w:ascii="ITC Avant Garde" w:eastAsia="Times New Roman" w:hAnsi="ITC Avant Garde"/>
          <w:bCs/>
          <w:color w:val="000000"/>
          <w:lang w:eastAsia="es-MX"/>
        </w:rPr>
        <w:t>.</w:t>
      </w:r>
    </w:p>
    <w:p w:rsidR="009E7D7C" w:rsidRPr="004E27D5" w:rsidRDefault="00C43DEA" w:rsidP="001A17F3">
      <w:pPr>
        <w:pStyle w:val="Prrafodelista"/>
        <w:numPr>
          <w:ilvl w:val="0"/>
          <w:numId w:val="12"/>
        </w:numPr>
        <w:spacing w:after="0" w:line="360" w:lineRule="auto"/>
        <w:jc w:val="both"/>
        <w:rPr>
          <w:rFonts w:ascii="ITC Avant Garde" w:eastAsia="Times New Roman" w:hAnsi="ITC Avant Garde"/>
          <w:bCs/>
          <w:color w:val="000000"/>
          <w:lang w:eastAsia="es-MX"/>
        </w:rPr>
      </w:pPr>
      <w:r w:rsidRPr="004E27D5">
        <w:rPr>
          <w:rFonts w:ascii="ITC Avant Garde" w:hAnsi="ITC Avant Garde" w:cs="Tahoma"/>
        </w:rPr>
        <w:t xml:space="preserve">Si tenía conocimiento sobre quién se anunciaba en la estación de radio que opera la frecuencia modulada </w:t>
      </w:r>
      <w:r w:rsidR="00C9435A" w:rsidRPr="004E27D5">
        <w:rPr>
          <w:rFonts w:ascii="ITC Avant Garde" w:hAnsi="ITC Avant Garde"/>
          <w:b/>
          <w:caps/>
        </w:rPr>
        <w:t>106.1</w:t>
      </w:r>
      <w:r w:rsidR="002C1AD8" w:rsidRPr="004E27D5">
        <w:rPr>
          <w:rFonts w:ascii="ITC Avant Garde" w:hAnsi="ITC Avant Garde"/>
          <w:b/>
        </w:rPr>
        <w:t xml:space="preserve"> MHz</w:t>
      </w:r>
      <w:r w:rsidRPr="004E27D5">
        <w:rPr>
          <w:rFonts w:ascii="ITC Avant Garde" w:hAnsi="ITC Avant Garde" w:cs="Tahoma"/>
        </w:rPr>
        <w:t>,</w:t>
      </w:r>
      <w:r w:rsidRPr="004E27D5">
        <w:rPr>
          <w:rFonts w:ascii="ITC Avant Garde" w:hAnsi="ITC Avant Garde" w:cs="Tahoma"/>
          <w:b/>
        </w:rPr>
        <w:t xml:space="preserve"> </w:t>
      </w:r>
      <w:r w:rsidRPr="004E27D5">
        <w:rPr>
          <w:rFonts w:ascii="ITC Avant Garde" w:hAnsi="ITC Avant Garde" w:cs="Tahoma"/>
        </w:rPr>
        <w:t>a lo que manifestó</w:t>
      </w:r>
      <w:r w:rsidR="001A17F3" w:rsidRPr="004E27D5">
        <w:rPr>
          <w:rFonts w:ascii="ITC Avant Garde" w:hAnsi="ITC Avant Garde" w:cs="Tahoma"/>
        </w:rPr>
        <w:t>:</w:t>
      </w:r>
      <w:r w:rsidRPr="004E27D5">
        <w:rPr>
          <w:rFonts w:ascii="ITC Avant Garde" w:hAnsi="ITC Avant Garde" w:cs="Tahoma"/>
        </w:rPr>
        <w:t xml:space="preserve"> </w:t>
      </w:r>
      <w:r w:rsidR="001A17F3" w:rsidRPr="004E27D5">
        <w:rPr>
          <w:rFonts w:ascii="ITC Avant Garde" w:hAnsi="ITC Avant Garde" w:cs="Tahoma"/>
        </w:rPr>
        <w:t>“</w:t>
      </w:r>
      <w:r w:rsidR="0090673E" w:rsidRPr="004E27D5">
        <w:rPr>
          <w:rFonts w:ascii="ITC Avant Garde" w:hAnsi="ITC Avant Garde" w:cs="Arial"/>
          <w:sz w:val="21"/>
          <w:szCs w:val="21"/>
        </w:rPr>
        <w:t>No sé</w:t>
      </w:r>
      <w:r w:rsidR="001A17F3" w:rsidRPr="004E27D5">
        <w:rPr>
          <w:rFonts w:ascii="ITC Avant Garde" w:hAnsi="ITC Avant Garde" w:cs="Tahoma"/>
        </w:rPr>
        <w:t>”</w:t>
      </w:r>
    </w:p>
    <w:p w:rsidR="009E7D7C" w:rsidRPr="004E27D5" w:rsidRDefault="00C43DEA" w:rsidP="002839CF">
      <w:pPr>
        <w:pStyle w:val="Prrafodelista"/>
        <w:numPr>
          <w:ilvl w:val="0"/>
          <w:numId w:val="12"/>
        </w:numPr>
        <w:spacing w:after="0" w:line="360" w:lineRule="auto"/>
        <w:jc w:val="both"/>
        <w:rPr>
          <w:rFonts w:ascii="ITC Avant Garde" w:eastAsia="Times New Roman" w:hAnsi="ITC Avant Garde"/>
          <w:bCs/>
          <w:color w:val="000000"/>
          <w:lang w:eastAsia="es-MX"/>
        </w:rPr>
      </w:pPr>
      <w:r w:rsidRPr="004E27D5">
        <w:rPr>
          <w:rFonts w:ascii="ITC Avant Garde" w:hAnsi="ITC Avant Garde" w:cs="Tahoma"/>
        </w:rPr>
        <w:t xml:space="preserve">Que informara sobre el contenido que se anuncia en la estación radiodifusora que opera en la frecuencia modulada </w:t>
      </w:r>
      <w:r w:rsidR="00C9435A" w:rsidRPr="004E27D5">
        <w:rPr>
          <w:rFonts w:ascii="ITC Avant Garde" w:hAnsi="ITC Avant Garde"/>
          <w:b/>
          <w:caps/>
        </w:rPr>
        <w:t>106.1</w:t>
      </w:r>
      <w:r w:rsidR="002C1AD8" w:rsidRPr="004E27D5">
        <w:rPr>
          <w:rFonts w:ascii="ITC Avant Garde" w:hAnsi="ITC Avant Garde"/>
          <w:b/>
        </w:rPr>
        <w:t xml:space="preserve"> MHz</w:t>
      </w:r>
      <w:r w:rsidRPr="004E27D5">
        <w:rPr>
          <w:rFonts w:ascii="ITC Avant Garde" w:hAnsi="ITC Avant Garde" w:cs="Tahoma"/>
        </w:rPr>
        <w:t>,</w:t>
      </w:r>
      <w:r w:rsidRPr="004E27D5">
        <w:rPr>
          <w:rFonts w:ascii="ITC Avant Garde" w:hAnsi="ITC Avant Garde" w:cs="Tahoma"/>
          <w:b/>
        </w:rPr>
        <w:t xml:space="preserve"> </w:t>
      </w:r>
      <w:r w:rsidRPr="004E27D5">
        <w:rPr>
          <w:rFonts w:ascii="ITC Avant Garde" w:hAnsi="ITC Avant Garde" w:cs="Tahoma"/>
        </w:rPr>
        <w:t xml:space="preserve">a lo que la persona que atendió la visita manifestó </w:t>
      </w:r>
      <w:r w:rsidR="002839CF" w:rsidRPr="004E27D5">
        <w:rPr>
          <w:rFonts w:ascii="ITC Avant Garde" w:hAnsi="ITC Avant Garde" w:cs="Tahoma"/>
        </w:rPr>
        <w:t>“</w:t>
      </w:r>
      <w:r w:rsidR="0090673E" w:rsidRPr="004E27D5">
        <w:rPr>
          <w:rFonts w:ascii="ITC Avant Garde" w:hAnsi="ITC Avant Garde" w:cs="Arial"/>
          <w:sz w:val="21"/>
          <w:szCs w:val="21"/>
        </w:rPr>
        <w:t>No sé</w:t>
      </w:r>
      <w:r w:rsidR="002839CF" w:rsidRPr="004E27D5">
        <w:rPr>
          <w:rFonts w:ascii="ITC Avant Garde" w:hAnsi="ITC Avant Garde" w:cs="Tahoma"/>
        </w:rPr>
        <w:t>”</w:t>
      </w:r>
    </w:p>
    <w:p w:rsidR="009E7D7C" w:rsidRPr="004E27D5" w:rsidRDefault="00C43DEA" w:rsidP="001A17F3">
      <w:pPr>
        <w:pStyle w:val="Prrafodelista"/>
        <w:numPr>
          <w:ilvl w:val="0"/>
          <w:numId w:val="12"/>
        </w:numPr>
        <w:spacing w:after="0" w:line="360" w:lineRule="auto"/>
        <w:jc w:val="both"/>
        <w:rPr>
          <w:rFonts w:ascii="ITC Avant Garde" w:hAnsi="ITC Avant Garde" w:cs="Tahoma"/>
        </w:rPr>
      </w:pPr>
      <w:r w:rsidRPr="004E27D5">
        <w:rPr>
          <w:rFonts w:ascii="ITC Avant Garde" w:hAnsi="ITC Avant Garde" w:cs="Tahoma"/>
        </w:rPr>
        <w:t xml:space="preserve">Si sabía si se paga alguna cantidad a la estación radiodifusora que opera en la frecuencia modulada </w:t>
      </w:r>
      <w:r w:rsidR="00C9435A" w:rsidRPr="004E27D5">
        <w:rPr>
          <w:rFonts w:ascii="ITC Avant Garde" w:hAnsi="ITC Avant Garde"/>
          <w:b/>
          <w:caps/>
        </w:rPr>
        <w:t>106.1</w:t>
      </w:r>
      <w:r w:rsidR="002C1AD8" w:rsidRPr="004E27D5">
        <w:rPr>
          <w:rFonts w:ascii="ITC Avant Garde" w:hAnsi="ITC Avant Garde"/>
          <w:b/>
        </w:rPr>
        <w:t xml:space="preserve"> MHz</w:t>
      </w:r>
      <w:r w:rsidRPr="004E27D5">
        <w:rPr>
          <w:rFonts w:ascii="ITC Avant Garde" w:hAnsi="ITC Avant Garde" w:cs="Tahoma"/>
          <w:b/>
        </w:rPr>
        <w:t xml:space="preserve"> </w:t>
      </w:r>
      <w:r w:rsidRPr="004E27D5">
        <w:rPr>
          <w:rFonts w:ascii="ITC Avant Garde" w:hAnsi="ITC Avant Garde" w:cs="Tahoma"/>
        </w:rPr>
        <w:t>por anunciarse en ella, a lo que manifestó: “</w:t>
      </w:r>
      <w:r w:rsidR="0090673E" w:rsidRPr="004E27D5">
        <w:rPr>
          <w:rFonts w:ascii="ITC Avant Garde" w:hAnsi="ITC Avant Garde" w:cs="Tahoma"/>
          <w:sz w:val="21"/>
          <w:szCs w:val="21"/>
        </w:rPr>
        <w:t>menos voy a saber eso</w:t>
      </w:r>
      <w:r w:rsidRPr="004E27D5">
        <w:rPr>
          <w:rFonts w:ascii="ITC Avant Garde" w:hAnsi="ITC Avant Garde" w:cs="Tahoma"/>
        </w:rPr>
        <w:t>”</w:t>
      </w:r>
    </w:p>
    <w:p w:rsidR="00A96264" w:rsidRPr="004E27D5" w:rsidRDefault="00C43DEA" w:rsidP="006F1998">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As</w:t>
      </w:r>
      <w:r w:rsidR="00BB727C" w:rsidRPr="004E27D5">
        <w:rPr>
          <w:rFonts w:ascii="ITC Avant Garde" w:eastAsia="Times New Roman" w:hAnsi="ITC Avant Garde"/>
          <w:bCs/>
          <w:color w:val="000000"/>
          <w:lang w:eastAsia="es-MX"/>
        </w:rPr>
        <w:t>i</w:t>
      </w:r>
      <w:r w:rsidRPr="004E27D5">
        <w:rPr>
          <w:rFonts w:ascii="ITC Avant Garde" w:eastAsia="Times New Roman" w:hAnsi="ITC Avant Garde"/>
          <w:bCs/>
          <w:color w:val="000000"/>
          <w:lang w:eastAsia="es-MX"/>
        </w:rPr>
        <w:t>mismo</w:t>
      </w:r>
      <w:r w:rsidR="00E86411" w:rsidRPr="004E27D5">
        <w:rPr>
          <w:rFonts w:ascii="ITC Avant Garde" w:eastAsia="Times New Roman" w:hAnsi="ITC Avant Garde"/>
          <w:bCs/>
          <w:color w:val="000000"/>
          <w:lang w:eastAsia="es-MX"/>
        </w:rPr>
        <w:t xml:space="preserve">, se le solicitó a dicha persona </w:t>
      </w:r>
      <w:r w:rsidR="00A96264" w:rsidRPr="004E27D5">
        <w:rPr>
          <w:rFonts w:ascii="ITC Avant Garde" w:eastAsia="Times New Roman" w:hAnsi="ITC Avant Garde"/>
          <w:bCs/>
          <w:color w:val="000000"/>
          <w:lang w:eastAsia="es-MX"/>
        </w:rPr>
        <w:t xml:space="preserve">informara si </w:t>
      </w:r>
      <w:r w:rsidR="00B9108B" w:rsidRPr="004E27D5">
        <w:rPr>
          <w:rFonts w:ascii="ITC Avant Garde" w:hAnsi="ITC Avant Garde" w:cs="Tahoma"/>
        </w:rPr>
        <w:t xml:space="preserve">la estación que transmite en la frecuencia modulada </w:t>
      </w:r>
      <w:r w:rsidR="00B9108B" w:rsidRPr="004E27D5">
        <w:rPr>
          <w:rFonts w:ascii="ITC Avant Garde" w:hAnsi="ITC Avant Garde"/>
          <w:b/>
          <w:caps/>
        </w:rPr>
        <w:t>106.1</w:t>
      </w:r>
      <w:r w:rsidR="00B9108B" w:rsidRPr="004E27D5">
        <w:rPr>
          <w:rFonts w:ascii="ITC Avant Garde" w:hAnsi="ITC Avant Garde"/>
          <w:b/>
        </w:rPr>
        <w:t xml:space="preserve"> MHz</w:t>
      </w:r>
      <w:r w:rsidR="00B9108B" w:rsidRPr="004E27D5">
        <w:rPr>
          <w:rFonts w:ascii="ITC Avant Garde" w:hAnsi="ITC Avant Garde" w:cs="Tahoma"/>
          <w:b/>
        </w:rPr>
        <w:t xml:space="preserve"> </w:t>
      </w:r>
      <w:r w:rsidR="00CE44D3" w:rsidRPr="004E27D5">
        <w:rPr>
          <w:rFonts w:ascii="ITC Avant Garde" w:hAnsi="ITC Avant Garde" w:cs="Tahoma"/>
        </w:rPr>
        <w:t>desde ese inmueble</w:t>
      </w:r>
      <w:r w:rsidR="00B9108B" w:rsidRPr="004E27D5">
        <w:rPr>
          <w:rFonts w:ascii="ITC Avant Garde" w:eastAsia="Times New Roman" w:hAnsi="ITC Avant Garde"/>
          <w:bCs/>
          <w:color w:val="000000"/>
          <w:lang w:eastAsia="es-MX"/>
        </w:rPr>
        <w:t xml:space="preserve"> </w:t>
      </w:r>
      <w:r w:rsidR="00A96264" w:rsidRPr="004E27D5">
        <w:rPr>
          <w:rFonts w:ascii="ITC Avant Garde" w:eastAsia="Times New Roman" w:hAnsi="ITC Avant Garde"/>
          <w:bCs/>
          <w:color w:val="000000"/>
          <w:lang w:eastAsia="es-MX"/>
        </w:rPr>
        <w:t xml:space="preserve">cuenta con concesión o permiso </w:t>
      </w:r>
      <w:r w:rsidR="00CE44D3" w:rsidRPr="004E27D5">
        <w:rPr>
          <w:rFonts w:ascii="ITC Avant Garde" w:eastAsia="Times New Roman" w:hAnsi="ITC Avant Garde"/>
          <w:bCs/>
          <w:color w:val="000000"/>
          <w:lang w:eastAsia="es-MX"/>
        </w:rPr>
        <w:t xml:space="preserve">otorgado </w:t>
      </w:r>
      <w:r w:rsidR="00A96264" w:rsidRPr="004E27D5">
        <w:rPr>
          <w:rFonts w:ascii="ITC Avant Garde" w:eastAsia="Times New Roman" w:hAnsi="ITC Avant Garde"/>
          <w:bCs/>
          <w:color w:val="000000"/>
          <w:lang w:eastAsia="es-MX"/>
        </w:rPr>
        <w:t xml:space="preserve">por </w:t>
      </w:r>
      <w:r w:rsidR="00FB0D06" w:rsidRPr="004E27D5">
        <w:rPr>
          <w:rFonts w:ascii="ITC Avant Garde" w:eastAsia="Times New Roman" w:hAnsi="ITC Avant Garde"/>
          <w:bCs/>
          <w:color w:val="000000"/>
          <w:lang w:eastAsia="es-MX"/>
        </w:rPr>
        <w:t xml:space="preserve">la </w:t>
      </w:r>
      <w:r w:rsidR="00CE44D3" w:rsidRPr="004E27D5">
        <w:rPr>
          <w:rFonts w:ascii="ITC Avant Garde" w:eastAsia="Times New Roman" w:hAnsi="ITC Avant Garde"/>
          <w:bCs/>
          <w:color w:val="000000"/>
          <w:lang w:eastAsia="es-MX"/>
        </w:rPr>
        <w:t>A</w:t>
      </w:r>
      <w:r w:rsidR="00FB0D06" w:rsidRPr="004E27D5">
        <w:rPr>
          <w:rFonts w:ascii="ITC Avant Garde" w:eastAsia="Times New Roman" w:hAnsi="ITC Avant Garde"/>
          <w:bCs/>
          <w:color w:val="000000"/>
          <w:lang w:eastAsia="es-MX"/>
        </w:rPr>
        <w:t xml:space="preserve">utoridad </w:t>
      </w:r>
      <w:r w:rsidR="00CE44D3" w:rsidRPr="004E27D5">
        <w:rPr>
          <w:rFonts w:ascii="ITC Avant Garde" w:eastAsia="Times New Roman" w:hAnsi="ITC Avant Garde"/>
          <w:bCs/>
          <w:color w:val="000000"/>
          <w:lang w:eastAsia="es-MX"/>
        </w:rPr>
        <w:t>Federal para hacer uso del espectro radioeléctrico</w:t>
      </w:r>
      <w:r w:rsidR="00A96264" w:rsidRPr="004E27D5">
        <w:rPr>
          <w:rFonts w:ascii="ITC Avant Garde" w:eastAsia="Times New Roman" w:hAnsi="ITC Avant Garde"/>
          <w:bCs/>
          <w:color w:val="000000"/>
          <w:lang w:eastAsia="es-MX"/>
        </w:rPr>
        <w:t xml:space="preserve">, </w:t>
      </w:r>
      <w:r w:rsidR="00A96264" w:rsidRPr="004E27D5">
        <w:rPr>
          <w:rFonts w:ascii="ITC Avant Garde" w:hAnsi="ITC Avant Garde"/>
        </w:rPr>
        <w:t xml:space="preserve">a lo que </w:t>
      </w:r>
      <w:r w:rsidR="00421CAB" w:rsidRPr="004E27D5">
        <w:rPr>
          <w:rFonts w:ascii="ITC Avant Garde" w:hAnsi="ITC Avant Garde" w:cs="Tahoma"/>
        </w:rPr>
        <w:t>la persona que atendió la diligencia de verificación</w:t>
      </w:r>
      <w:r w:rsidR="00421CAB" w:rsidRPr="004E27D5" w:rsidDel="00421CAB">
        <w:rPr>
          <w:rFonts w:ascii="ITC Avant Garde" w:hAnsi="ITC Avant Garde"/>
        </w:rPr>
        <w:t xml:space="preserve"> </w:t>
      </w:r>
      <w:r w:rsidR="00A96264" w:rsidRPr="004E27D5">
        <w:rPr>
          <w:rFonts w:ascii="ITC Avant Garde" w:eastAsia="Times New Roman" w:hAnsi="ITC Avant Garde"/>
          <w:bCs/>
          <w:color w:val="000000"/>
          <w:lang w:eastAsia="es-MX"/>
        </w:rPr>
        <w:t xml:space="preserve">manifestó </w:t>
      </w:r>
      <w:r w:rsidR="00055885" w:rsidRPr="004E27D5">
        <w:rPr>
          <w:rFonts w:ascii="ITC Avant Garde" w:eastAsia="Times New Roman" w:hAnsi="ITC Avant Garde"/>
          <w:bCs/>
          <w:color w:val="000000"/>
          <w:lang w:eastAsia="es-MX"/>
        </w:rPr>
        <w:t>“</w:t>
      </w:r>
      <w:r w:rsidR="0090673E" w:rsidRPr="004E27D5">
        <w:rPr>
          <w:rFonts w:ascii="ITC Avant Garde" w:hAnsi="ITC Avant Garde" w:cs="Tahoma"/>
        </w:rPr>
        <w:t>sino sabía que era una estación menos si tenía concesión</w:t>
      </w:r>
      <w:r w:rsidR="00055885" w:rsidRPr="004E27D5">
        <w:rPr>
          <w:rFonts w:ascii="ITC Avant Garde" w:eastAsia="Times New Roman" w:hAnsi="ITC Avant Garde"/>
          <w:bCs/>
          <w:color w:val="000000"/>
          <w:lang w:eastAsia="es-MX"/>
        </w:rPr>
        <w:t>”</w:t>
      </w:r>
      <w:r w:rsidR="003F6331" w:rsidRPr="004E27D5">
        <w:rPr>
          <w:rFonts w:ascii="ITC Avant Garde" w:eastAsia="Times New Roman" w:hAnsi="ITC Avant Garde"/>
          <w:bCs/>
          <w:color w:val="000000"/>
          <w:lang w:eastAsia="es-MX"/>
        </w:rPr>
        <w:t xml:space="preserve">; motivo por el cual </w:t>
      </w:r>
      <w:r w:rsidR="003F6331" w:rsidRPr="004E27D5">
        <w:rPr>
          <w:rFonts w:ascii="ITC Avant Garde" w:eastAsia="Times New Roman" w:hAnsi="ITC Avant Garde"/>
          <w:b/>
          <w:bCs/>
          <w:color w:val="000000"/>
          <w:lang w:eastAsia="es-MX"/>
        </w:rPr>
        <w:t>LOS VERIFICADORES</w:t>
      </w:r>
      <w:r w:rsidR="003F6331" w:rsidRPr="004E27D5">
        <w:rPr>
          <w:rFonts w:ascii="ITC Avant Garde" w:eastAsia="Times New Roman" w:hAnsi="ITC Avant Garde"/>
          <w:bCs/>
          <w:color w:val="000000"/>
          <w:lang w:eastAsia="es-MX"/>
        </w:rPr>
        <w:t xml:space="preserve"> requirieron a la persona que atendió la visita que apagara y desconectara los equipos con los cuales transmitía en la frecuencia antes referida, a lo que la persona que atendió la diligencia </w:t>
      </w:r>
      <w:r w:rsidR="000C5DEC" w:rsidRPr="004E27D5">
        <w:rPr>
          <w:rFonts w:ascii="ITC Avant Garde" w:eastAsia="Times New Roman" w:hAnsi="ITC Avant Garde"/>
          <w:bCs/>
          <w:color w:val="000000"/>
          <w:lang w:eastAsia="es-MX"/>
        </w:rPr>
        <w:t>manifestó: “</w:t>
      </w:r>
      <w:r w:rsidR="0090673E" w:rsidRPr="004E27D5">
        <w:rPr>
          <w:rFonts w:ascii="ITC Avant Garde" w:hAnsi="ITC Avant Garde" w:cs="Tahoma"/>
        </w:rPr>
        <w:t>no me voy a meter en problemas, ustedes hagan lo suyo, solo déjenme esos papeles para respaldarme, por si viene a reclamarlos el fulano ese</w:t>
      </w:r>
      <w:r w:rsidR="000C5DEC" w:rsidRPr="004E27D5">
        <w:rPr>
          <w:rFonts w:ascii="ITC Avant Garde" w:eastAsia="Times New Roman" w:hAnsi="ITC Avant Garde"/>
          <w:bCs/>
          <w:color w:val="000000"/>
          <w:lang w:eastAsia="es-MX"/>
        </w:rPr>
        <w:t>”.</w:t>
      </w:r>
    </w:p>
    <w:p w:rsidR="004F3596" w:rsidRPr="004E27D5" w:rsidRDefault="00B913AA">
      <w:pPr>
        <w:spacing w:after="0" w:line="360" w:lineRule="auto"/>
        <w:jc w:val="both"/>
        <w:rPr>
          <w:rFonts w:ascii="ITC Avant Garde" w:hAnsi="ITC Avant Garde"/>
        </w:rPr>
      </w:pPr>
      <w:r w:rsidRPr="004E27D5">
        <w:rPr>
          <w:rFonts w:ascii="ITC Avant Garde" w:eastAsia="Times New Roman" w:hAnsi="ITC Avant Garde"/>
          <w:bCs/>
          <w:color w:val="000000"/>
          <w:lang w:eastAsia="es-MX"/>
        </w:rPr>
        <w:t xml:space="preserve">En razón de que </w:t>
      </w:r>
      <w:r w:rsidR="00F42CF6" w:rsidRPr="004E27D5">
        <w:rPr>
          <w:rFonts w:ascii="ITC Avant Garde" w:eastAsia="Times New Roman" w:hAnsi="ITC Avant Garde"/>
          <w:bCs/>
          <w:color w:val="000000"/>
          <w:lang w:eastAsia="es-MX"/>
        </w:rPr>
        <w:t>dicha persona</w:t>
      </w:r>
      <w:r w:rsidRPr="004E27D5">
        <w:rPr>
          <w:rFonts w:ascii="ITC Avant Garde" w:eastAsia="Times New Roman" w:hAnsi="ITC Avant Garde"/>
          <w:bCs/>
          <w:color w:val="000000"/>
          <w:lang w:eastAsia="es-MX"/>
        </w:rPr>
        <w:t xml:space="preserve"> no exhibió el respectivo título de concesión o permiso otorgado por autoridad competente que amparara o legitimara la prestación del servicio de radiodifusión a través del uso, aprovechamiento o explotación de la frecuencia </w:t>
      </w:r>
      <w:r w:rsidR="00C9435A" w:rsidRPr="004E27D5">
        <w:rPr>
          <w:rFonts w:ascii="ITC Avant Garde" w:hAnsi="ITC Avant Garde"/>
          <w:b/>
          <w:caps/>
        </w:rPr>
        <w:t>106.1</w:t>
      </w:r>
      <w:r w:rsidR="002C1AD8" w:rsidRPr="004E27D5">
        <w:rPr>
          <w:rFonts w:ascii="ITC Avant Garde" w:hAnsi="ITC Avant Garde"/>
          <w:b/>
        </w:rPr>
        <w:t xml:space="preserve"> MHz</w:t>
      </w:r>
      <w:r w:rsidR="004F3596" w:rsidRPr="004E27D5">
        <w:rPr>
          <w:rFonts w:ascii="ITC Avant Garde" w:hAnsi="ITC Avant Garde"/>
          <w:b/>
        </w:rPr>
        <w:t xml:space="preserve">, </w:t>
      </w:r>
      <w:r w:rsidR="00601057" w:rsidRPr="004E27D5">
        <w:rPr>
          <w:rFonts w:ascii="ITC Avant Garde" w:eastAsia="Times New Roman" w:hAnsi="ITC Avant Garde"/>
          <w:b/>
          <w:bCs/>
          <w:color w:val="000000"/>
          <w:lang w:eastAsia="es-MX"/>
        </w:rPr>
        <w:t>LOS</w:t>
      </w:r>
      <w:r w:rsidR="006A7D04" w:rsidRPr="004E27D5">
        <w:rPr>
          <w:rFonts w:ascii="ITC Avant Garde" w:eastAsia="Times New Roman" w:hAnsi="ITC Avant Garde"/>
          <w:b/>
          <w:bCs/>
          <w:color w:val="000000"/>
          <w:lang w:eastAsia="es-MX"/>
        </w:rPr>
        <w:t xml:space="preserve"> VERIFICADOR</w:t>
      </w:r>
      <w:r w:rsidR="00601057" w:rsidRPr="004E27D5">
        <w:rPr>
          <w:rFonts w:ascii="ITC Avant Garde" w:eastAsia="Times New Roman" w:hAnsi="ITC Avant Garde"/>
          <w:b/>
          <w:bCs/>
          <w:color w:val="000000"/>
          <w:lang w:eastAsia="es-MX"/>
        </w:rPr>
        <w:t>ES</w:t>
      </w:r>
      <w:r w:rsidR="006A7D04" w:rsidRPr="004E27D5">
        <w:rPr>
          <w:rFonts w:ascii="ITC Avant Garde" w:eastAsia="Times New Roman" w:hAnsi="ITC Avant Garde"/>
          <w:bCs/>
          <w:color w:val="000000"/>
          <w:lang w:eastAsia="es-MX"/>
        </w:rPr>
        <w:t xml:space="preserve"> </w:t>
      </w:r>
      <w:r w:rsidRPr="004E27D5">
        <w:rPr>
          <w:rFonts w:ascii="ITC Avant Garde" w:eastAsia="Times New Roman" w:hAnsi="ITC Avant Garde"/>
          <w:bCs/>
          <w:color w:val="000000"/>
          <w:lang w:eastAsia="es-MX"/>
        </w:rPr>
        <w:t>procedi</w:t>
      </w:r>
      <w:r w:rsidR="00601057" w:rsidRPr="004E27D5">
        <w:rPr>
          <w:rFonts w:ascii="ITC Avant Garde" w:eastAsia="Times New Roman" w:hAnsi="ITC Avant Garde"/>
          <w:bCs/>
          <w:color w:val="000000"/>
          <w:lang w:eastAsia="es-MX"/>
        </w:rPr>
        <w:t>eron</w:t>
      </w:r>
      <w:r w:rsidRPr="004E27D5">
        <w:rPr>
          <w:rFonts w:ascii="ITC Avant Garde" w:eastAsia="Times New Roman" w:hAnsi="ITC Avant Garde"/>
          <w:bCs/>
          <w:color w:val="000000"/>
          <w:lang w:eastAsia="es-MX"/>
        </w:rPr>
        <w:t xml:space="preserve"> al aseguramiento</w:t>
      </w:r>
      <w:r w:rsidRPr="004E27D5">
        <w:rPr>
          <w:rFonts w:ascii="ITC Avant Garde" w:hAnsi="ITC Avant Garde" w:cs="Tahoma"/>
        </w:rPr>
        <w:t xml:space="preserve"> </w:t>
      </w:r>
      <w:r w:rsidR="004F3596" w:rsidRPr="004E27D5">
        <w:rPr>
          <w:rFonts w:ascii="ITC Avant Garde" w:hAnsi="ITC Avant Garde" w:cs="Tahoma"/>
        </w:rPr>
        <w:t>del equipo encontrado</w:t>
      </w:r>
      <w:r w:rsidR="004F3596" w:rsidRPr="004E27D5">
        <w:rPr>
          <w:rFonts w:ascii="ITC Avant Garde" w:hAnsi="ITC Avant Garde"/>
        </w:rPr>
        <w:t xml:space="preserve"> en el inmueble en donde se practicó la visita, quedando como interventor especial (depositario) </w:t>
      </w:r>
      <w:r w:rsidR="00EB47C5" w:rsidRPr="004E27D5">
        <w:rPr>
          <w:rFonts w:ascii="ITC Avant Garde" w:hAnsi="ITC Avant Garde"/>
        </w:rPr>
        <w:t>del mismo</w:t>
      </w:r>
      <w:r w:rsidR="004F3596" w:rsidRPr="004E27D5">
        <w:rPr>
          <w:rFonts w:ascii="ITC Avant Garde" w:hAnsi="ITC Avant Garde"/>
        </w:rPr>
        <w:t xml:space="preserve">, </w:t>
      </w:r>
      <w:r w:rsidR="00E50DE1" w:rsidRPr="004E27D5">
        <w:rPr>
          <w:rFonts w:ascii="ITC Avant Garde" w:hAnsi="ITC Avant Garde"/>
          <w:b/>
        </w:rPr>
        <w:t>RAÚL LEONEL MULHIA ARZALUZ,</w:t>
      </w:r>
      <w:r w:rsidR="00E50DE1" w:rsidRPr="004E27D5">
        <w:rPr>
          <w:rFonts w:ascii="Times New Roman" w:hAnsi="Times New Roman"/>
          <w:sz w:val="24"/>
          <w:szCs w:val="24"/>
          <w:lang w:eastAsia="es-MX"/>
        </w:rPr>
        <w:t xml:space="preserve"> </w:t>
      </w:r>
      <w:r w:rsidR="000C1BF2" w:rsidRPr="004E27D5">
        <w:rPr>
          <w:rFonts w:ascii="ITC Avant Garde" w:hAnsi="ITC Avant Garde"/>
        </w:rPr>
        <w:t xml:space="preserve">Subdirector de </w:t>
      </w:r>
      <w:r w:rsidR="007371B7" w:rsidRPr="004E27D5">
        <w:rPr>
          <w:rFonts w:ascii="ITC Avant Garde" w:hAnsi="ITC Avant Garde"/>
        </w:rPr>
        <w:t xml:space="preserve">Verificación </w:t>
      </w:r>
      <w:r w:rsidR="000C1BF2" w:rsidRPr="004E27D5">
        <w:rPr>
          <w:rFonts w:ascii="ITC Avant Garde" w:hAnsi="ITC Avant Garde"/>
        </w:rPr>
        <w:t xml:space="preserve">de este Instituto Federal de Telecomunicaciones, </w:t>
      </w:r>
      <w:r w:rsidR="004F3596" w:rsidRPr="004E27D5">
        <w:rPr>
          <w:rFonts w:ascii="ITC Avant Garde" w:hAnsi="ITC Avant Garde"/>
        </w:rPr>
        <w:t xml:space="preserve">quien </w:t>
      </w:r>
      <w:r w:rsidR="008C4173" w:rsidRPr="004E27D5">
        <w:rPr>
          <w:rFonts w:ascii="ITC Avant Garde" w:hAnsi="ITC Avant Garde"/>
        </w:rPr>
        <w:t xml:space="preserve">se identificó con credencial de inspector verificador número 013 expedida por el Instituto Federal de Telecomunicaciones, quien </w:t>
      </w:r>
      <w:r w:rsidR="004F3596" w:rsidRPr="004E27D5">
        <w:rPr>
          <w:rFonts w:ascii="ITC Avant Garde" w:hAnsi="ITC Avant Garde"/>
        </w:rPr>
        <w:t xml:space="preserve">aceptó y protestó el cargo, </w:t>
      </w:r>
      <w:r w:rsidR="009D6790" w:rsidRPr="004E27D5">
        <w:rPr>
          <w:rFonts w:ascii="ITC Avant Garde" w:hAnsi="ITC Avant Garde"/>
        </w:rPr>
        <w:t xml:space="preserve">situación </w:t>
      </w:r>
      <w:r w:rsidR="004F3596" w:rsidRPr="004E27D5">
        <w:rPr>
          <w:rFonts w:ascii="ITC Avant Garde" w:hAnsi="ITC Avant Garde"/>
        </w:rPr>
        <w:t xml:space="preserve">que se hizo constar en el </w:t>
      </w:r>
      <w:r w:rsidR="00971DDC" w:rsidRPr="004E27D5">
        <w:rPr>
          <w:rFonts w:ascii="ITC Avant Garde" w:hAnsi="ITC Avant Garde"/>
          <w:b/>
        </w:rPr>
        <w:t xml:space="preserve">ACTA </w:t>
      </w:r>
      <w:r w:rsidR="00895B8E" w:rsidRPr="004E27D5">
        <w:rPr>
          <w:rFonts w:ascii="ITC Avant Garde" w:hAnsi="ITC Avant Garde"/>
          <w:b/>
        </w:rPr>
        <w:t xml:space="preserve">DE </w:t>
      </w:r>
      <w:r w:rsidR="00971DDC" w:rsidRPr="004E27D5">
        <w:rPr>
          <w:rFonts w:ascii="ITC Avant Garde" w:hAnsi="ITC Avant Garde"/>
          <w:b/>
        </w:rPr>
        <w:t>VERIFICACIÓN ORDINARIA</w:t>
      </w:r>
      <w:r w:rsidR="004F3596" w:rsidRPr="004E27D5">
        <w:rPr>
          <w:rFonts w:ascii="ITC Avant Garde" w:hAnsi="ITC Avant Garde"/>
          <w:b/>
          <w:color w:val="000000"/>
        </w:rPr>
        <w:t xml:space="preserve">, </w:t>
      </w:r>
      <w:r w:rsidR="004F3596" w:rsidRPr="004E27D5">
        <w:rPr>
          <w:rFonts w:ascii="ITC Avant Garde" w:hAnsi="ITC Avant Garde"/>
        </w:rPr>
        <w:t>conforme a lo siguiente:</w:t>
      </w:r>
    </w:p>
    <w:tbl>
      <w:tblPr>
        <w:tblStyle w:val="Tablaconcuadrcula2"/>
        <w:tblW w:w="5000" w:type="pct"/>
        <w:tblLook w:val="04A0" w:firstRow="1" w:lastRow="0" w:firstColumn="1" w:lastColumn="0" w:noHBand="0" w:noVBand="1"/>
        <w:tblCaption w:val="Equipos asegurados"/>
        <w:tblDescription w:val="Esta tabla muestra las características de los equipos asegurados"/>
      </w:tblPr>
      <w:tblGrid>
        <w:gridCol w:w="2470"/>
        <w:gridCol w:w="1653"/>
        <w:gridCol w:w="1650"/>
        <w:gridCol w:w="1650"/>
        <w:gridCol w:w="1971"/>
      </w:tblGrid>
      <w:tr w:rsidR="004E27D5" w:rsidRPr="004E27D5" w:rsidTr="004E27D5">
        <w:trPr>
          <w:trHeight w:val="410"/>
          <w:tblHeader/>
        </w:trPr>
        <w:tc>
          <w:tcPr>
            <w:tcW w:w="1315" w:type="pct"/>
            <w:shd w:val="clear" w:color="auto" w:fill="A6A6A6" w:themeFill="background1" w:themeFillShade="A6"/>
          </w:tcPr>
          <w:p w:rsidR="006A75C0" w:rsidRPr="004E27D5" w:rsidRDefault="006A75C0" w:rsidP="003508D0">
            <w:pPr>
              <w:spacing w:after="0"/>
              <w:jc w:val="center"/>
              <w:rPr>
                <w:rFonts w:ascii="ITC Avant Garde" w:hAnsi="ITC Avant Garde" w:cs="Arial"/>
                <w:b/>
                <w:color w:val="000000" w:themeColor="text1"/>
                <w:sz w:val="20"/>
                <w:szCs w:val="20"/>
              </w:rPr>
            </w:pPr>
            <w:r w:rsidRPr="004E27D5">
              <w:rPr>
                <w:rFonts w:ascii="ITC Avant Garde" w:hAnsi="ITC Avant Garde" w:cs="Arial"/>
                <w:b/>
                <w:color w:val="000000" w:themeColor="text1"/>
                <w:sz w:val="20"/>
                <w:szCs w:val="20"/>
              </w:rPr>
              <w:lastRenderedPageBreak/>
              <w:t>Equipo</w:t>
            </w:r>
          </w:p>
        </w:tc>
        <w:tc>
          <w:tcPr>
            <w:tcW w:w="880" w:type="pct"/>
            <w:shd w:val="clear" w:color="auto" w:fill="A6A6A6" w:themeFill="background1" w:themeFillShade="A6"/>
          </w:tcPr>
          <w:p w:rsidR="006A75C0" w:rsidRPr="004E27D5" w:rsidRDefault="006A75C0" w:rsidP="003508D0">
            <w:pPr>
              <w:spacing w:after="0"/>
              <w:jc w:val="center"/>
              <w:rPr>
                <w:rFonts w:ascii="ITC Avant Garde" w:hAnsi="ITC Avant Garde" w:cs="Arial"/>
                <w:b/>
                <w:color w:val="000000" w:themeColor="text1"/>
                <w:sz w:val="20"/>
                <w:szCs w:val="20"/>
              </w:rPr>
            </w:pPr>
            <w:r w:rsidRPr="004E27D5">
              <w:rPr>
                <w:rFonts w:ascii="ITC Avant Garde" w:hAnsi="ITC Avant Garde" w:cs="Arial"/>
                <w:b/>
                <w:color w:val="000000" w:themeColor="text1"/>
                <w:sz w:val="20"/>
                <w:szCs w:val="20"/>
              </w:rPr>
              <w:t>Marca</w:t>
            </w:r>
          </w:p>
        </w:tc>
        <w:tc>
          <w:tcPr>
            <w:tcW w:w="878" w:type="pct"/>
            <w:shd w:val="clear" w:color="auto" w:fill="A6A6A6" w:themeFill="background1" w:themeFillShade="A6"/>
          </w:tcPr>
          <w:p w:rsidR="006A75C0" w:rsidRPr="004E27D5" w:rsidRDefault="006A75C0" w:rsidP="003508D0">
            <w:pPr>
              <w:spacing w:after="0"/>
              <w:jc w:val="center"/>
              <w:rPr>
                <w:rFonts w:ascii="ITC Avant Garde" w:hAnsi="ITC Avant Garde" w:cs="Arial"/>
                <w:b/>
                <w:color w:val="000000" w:themeColor="text1"/>
                <w:sz w:val="20"/>
                <w:szCs w:val="20"/>
              </w:rPr>
            </w:pPr>
            <w:r w:rsidRPr="004E27D5">
              <w:rPr>
                <w:rFonts w:ascii="ITC Avant Garde" w:hAnsi="ITC Avant Garde" w:cs="Arial"/>
                <w:b/>
                <w:color w:val="000000" w:themeColor="text1"/>
                <w:sz w:val="20"/>
                <w:szCs w:val="20"/>
              </w:rPr>
              <w:t>Modelo</w:t>
            </w:r>
          </w:p>
        </w:tc>
        <w:tc>
          <w:tcPr>
            <w:tcW w:w="878" w:type="pct"/>
            <w:shd w:val="clear" w:color="auto" w:fill="A6A6A6" w:themeFill="background1" w:themeFillShade="A6"/>
          </w:tcPr>
          <w:p w:rsidR="006A75C0" w:rsidRPr="004E27D5" w:rsidRDefault="006A75C0" w:rsidP="003508D0">
            <w:pPr>
              <w:spacing w:after="0"/>
              <w:jc w:val="center"/>
              <w:rPr>
                <w:rFonts w:ascii="ITC Avant Garde" w:hAnsi="ITC Avant Garde" w:cs="Arial"/>
                <w:b/>
                <w:color w:val="000000" w:themeColor="text1"/>
                <w:sz w:val="20"/>
                <w:szCs w:val="20"/>
              </w:rPr>
            </w:pPr>
            <w:r w:rsidRPr="004E27D5">
              <w:rPr>
                <w:rFonts w:ascii="ITC Avant Garde" w:hAnsi="ITC Avant Garde" w:cs="Arial"/>
                <w:b/>
                <w:color w:val="000000" w:themeColor="text1"/>
                <w:sz w:val="20"/>
                <w:szCs w:val="20"/>
              </w:rPr>
              <w:t>Número de Serie</w:t>
            </w:r>
          </w:p>
        </w:tc>
        <w:tc>
          <w:tcPr>
            <w:tcW w:w="1049" w:type="pct"/>
            <w:shd w:val="clear" w:color="auto" w:fill="A6A6A6" w:themeFill="background1" w:themeFillShade="A6"/>
          </w:tcPr>
          <w:p w:rsidR="006A75C0" w:rsidRPr="004E27D5" w:rsidRDefault="006A75C0" w:rsidP="003508D0">
            <w:pPr>
              <w:spacing w:after="0"/>
              <w:jc w:val="center"/>
              <w:rPr>
                <w:rFonts w:ascii="ITC Avant Garde" w:hAnsi="ITC Avant Garde" w:cs="Arial"/>
                <w:b/>
                <w:color w:val="000000" w:themeColor="text1"/>
                <w:sz w:val="20"/>
                <w:szCs w:val="20"/>
              </w:rPr>
            </w:pPr>
            <w:r w:rsidRPr="004E27D5">
              <w:rPr>
                <w:rFonts w:ascii="ITC Avant Garde" w:hAnsi="ITC Avant Garde" w:cs="Arial"/>
                <w:b/>
                <w:color w:val="000000" w:themeColor="text1"/>
                <w:sz w:val="20"/>
                <w:szCs w:val="20"/>
              </w:rPr>
              <w:t>Sello de aseguramiento</w:t>
            </w:r>
          </w:p>
        </w:tc>
      </w:tr>
      <w:tr w:rsidR="004E27D5" w:rsidRPr="004E27D5" w:rsidTr="004E27D5">
        <w:trPr>
          <w:trHeight w:val="354"/>
        </w:trPr>
        <w:tc>
          <w:tcPr>
            <w:tcW w:w="1315" w:type="pct"/>
          </w:tcPr>
          <w:p w:rsidR="004E27D5" w:rsidRPr="004E27D5" w:rsidRDefault="004E27D5" w:rsidP="004E27D5">
            <w:pPr>
              <w:spacing w:after="0"/>
              <w:rPr>
                <w:rFonts w:ascii="ITC Avant Garde" w:hAnsi="ITC Avant Garde" w:cs="Arial"/>
                <w:sz w:val="20"/>
                <w:szCs w:val="20"/>
              </w:rPr>
            </w:pPr>
            <w:r w:rsidRPr="004E27D5">
              <w:rPr>
                <w:rFonts w:ascii="ITC Avant Garde" w:hAnsi="ITC Avant Garde" w:cs="Arial"/>
                <w:sz w:val="20"/>
                <w:szCs w:val="20"/>
              </w:rPr>
              <w:t>Transmisor</w:t>
            </w:r>
          </w:p>
        </w:tc>
        <w:tc>
          <w:tcPr>
            <w:tcW w:w="880" w:type="pct"/>
          </w:tcPr>
          <w:p w:rsidR="004E27D5" w:rsidRPr="004E27D5" w:rsidRDefault="004E27D5" w:rsidP="004E27D5">
            <w:pPr>
              <w:spacing w:after="0"/>
              <w:jc w:val="center"/>
              <w:rPr>
                <w:rFonts w:ascii="ITC Avant Garde" w:hAnsi="ITC Avant Garde" w:cs="Arial"/>
                <w:color w:val="FFFFFF" w:themeColor="background1"/>
                <w:sz w:val="4"/>
                <w:szCs w:val="4"/>
              </w:rPr>
            </w:pPr>
            <w:r w:rsidRPr="004E27D5">
              <w:rPr>
                <w:rFonts w:ascii="ITC Avant Garde" w:hAnsi="ITC Avant Garde" w:cs="Arial"/>
                <w:color w:val="FFFFFF" w:themeColor="background1"/>
                <w:sz w:val="4"/>
                <w:szCs w:val="4"/>
              </w:rPr>
              <w:t>celda vacía</w:t>
            </w:r>
          </w:p>
        </w:tc>
        <w:tc>
          <w:tcPr>
            <w:tcW w:w="878" w:type="pct"/>
          </w:tcPr>
          <w:p w:rsidR="004E27D5" w:rsidRPr="004E27D5" w:rsidRDefault="004E27D5" w:rsidP="004E27D5">
            <w:pPr>
              <w:rPr>
                <w:color w:val="FFFFFF" w:themeColor="background1"/>
                <w:sz w:val="4"/>
                <w:szCs w:val="4"/>
              </w:rPr>
            </w:pPr>
            <w:r w:rsidRPr="004E27D5">
              <w:rPr>
                <w:rFonts w:ascii="ITC Avant Garde" w:hAnsi="ITC Avant Garde" w:cs="Arial"/>
                <w:color w:val="FFFFFF" w:themeColor="background1"/>
                <w:sz w:val="4"/>
                <w:szCs w:val="4"/>
              </w:rPr>
              <w:t>celda vacía</w:t>
            </w:r>
          </w:p>
        </w:tc>
        <w:tc>
          <w:tcPr>
            <w:tcW w:w="878" w:type="pct"/>
          </w:tcPr>
          <w:p w:rsidR="004E27D5" w:rsidRPr="004E27D5" w:rsidRDefault="004E27D5" w:rsidP="004E27D5">
            <w:pPr>
              <w:rPr>
                <w:color w:val="FFFFFF" w:themeColor="background1"/>
                <w:sz w:val="4"/>
                <w:szCs w:val="4"/>
              </w:rPr>
            </w:pPr>
            <w:r w:rsidRPr="004E27D5">
              <w:rPr>
                <w:rFonts w:ascii="ITC Avant Garde" w:hAnsi="ITC Avant Garde" w:cs="Arial"/>
                <w:color w:val="FFFFFF" w:themeColor="background1"/>
                <w:sz w:val="4"/>
                <w:szCs w:val="4"/>
              </w:rPr>
              <w:t>celda vacía</w:t>
            </w:r>
          </w:p>
        </w:tc>
        <w:tc>
          <w:tcPr>
            <w:tcW w:w="1049" w:type="pct"/>
          </w:tcPr>
          <w:p w:rsidR="004E27D5" w:rsidRPr="004E27D5" w:rsidRDefault="004E27D5" w:rsidP="004E27D5">
            <w:pPr>
              <w:spacing w:after="0"/>
              <w:jc w:val="center"/>
              <w:rPr>
                <w:rFonts w:ascii="ITC Avant Garde" w:hAnsi="ITC Avant Garde" w:cs="Arial"/>
                <w:sz w:val="20"/>
                <w:szCs w:val="20"/>
              </w:rPr>
            </w:pPr>
            <w:r w:rsidRPr="004E27D5">
              <w:rPr>
                <w:rFonts w:ascii="ITC Avant Garde" w:hAnsi="ITC Avant Garde" w:cs="Arial"/>
              </w:rPr>
              <w:t>051-17</w:t>
            </w:r>
          </w:p>
        </w:tc>
      </w:tr>
      <w:tr w:rsidR="004E27D5" w:rsidRPr="004E27D5" w:rsidTr="004E27D5">
        <w:trPr>
          <w:trHeight w:val="354"/>
        </w:trPr>
        <w:tc>
          <w:tcPr>
            <w:tcW w:w="1315" w:type="pct"/>
          </w:tcPr>
          <w:p w:rsidR="004E27D5" w:rsidRPr="004E27D5" w:rsidRDefault="004E27D5" w:rsidP="004E27D5">
            <w:pPr>
              <w:spacing w:after="0"/>
              <w:rPr>
                <w:rFonts w:ascii="ITC Avant Garde" w:hAnsi="ITC Avant Garde" w:cs="Arial"/>
                <w:sz w:val="20"/>
                <w:szCs w:val="20"/>
              </w:rPr>
            </w:pPr>
            <w:r w:rsidRPr="004E27D5">
              <w:rPr>
                <w:rFonts w:ascii="ITC Avant Garde" w:hAnsi="ITC Avant Garde" w:cs="Arial"/>
                <w:sz w:val="20"/>
                <w:szCs w:val="20"/>
              </w:rPr>
              <w:t>Consola de audio</w:t>
            </w:r>
          </w:p>
        </w:tc>
        <w:tc>
          <w:tcPr>
            <w:tcW w:w="880" w:type="pct"/>
          </w:tcPr>
          <w:p w:rsidR="004E27D5" w:rsidRPr="004E27D5" w:rsidRDefault="004E27D5" w:rsidP="004E27D5">
            <w:pPr>
              <w:rPr>
                <w:color w:val="FFFFFF" w:themeColor="background1"/>
                <w:sz w:val="4"/>
                <w:szCs w:val="4"/>
              </w:rPr>
            </w:pPr>
            <w:r w:rsidRPr="004E27D5">
              <w:rPr>
                <w:rFonts w:ascii="ITC Avant Garde" w:hAnsi="ITC Avant Garde" w:cs="Arial"/>
                <w:color w:val="FFFFFF" w:themeColor="background1"/>
                <w:sz w:val="4"/>
                <w:szCs w:val="4"/>
              </w:rPr>
              <w:t>celda vacía</w:t>
            </w:r>
          </w:p>
        </w:tc>
        <w:tc>
          <w:tcPr>
            <w:tcW w:w="878" w:type="pct"/>
          </w:tcPr>
          <w:p w:rsidR="004E27D5" w:rsidRPr="004E27D5" w:rsidRDefault="004E27D5" w:rsidP="004E27D5">
            <w:pPr>
              <w:rPr>
                <w:color w:val="FFFFFF" w:themeColor="background1"/>
                <w:sz w:val="4"/>
                <w:szCs w:val="4"/>
              </w:rPr>
            </w:pPr>
            <w:r w:rsidRPr="004E27D5">
              <w:rPr>
                <w:rFonts w:ascii="ITC Avant Garde" w:hAnsi="ITC Avant Garde" w:cs="Arial"/>
                <w:color w:val="FFFFFF" w:themeColor="background1"/>
                <w:sz w:val="4"/>
                <w:szCs w:val="4"/>
              </w:rPr>
              <w:t>celda vacía</w:t>
            </w:r>
          </w:p>
        </w:tc>
        <w:tc>
          <w:tcPr>
            <w:tcW w:w="878" w:type="pct"/>
          </w:tcPr>
          <w:p w:rsidR="004E27D5" w:rsidRPr="004E27D5" w:rsidRDefault="004E27D5" w:rsidP="004E27D5">
            <w:pPr>
              <w:rPr>
                <w:color w:val="FFFFFF" w:themeColor="background1"/>
                <w:sz w:val="4"/>
                <w:szCs w:val="4"/>
              </w:rPr>
            </w:pPr>
            <w:r w:rsidRPr="004E27D5">
              <w:rPr>
                <w:rFonts w:ascii="ITC Avant Garde" w:hAnsi="ITC Avant Garde" w:cs="Arial"/>
                <w:color w:val="FFFFFF" w:themeColor="background1"/>
                <w:sz w:val="4"/>
                <w:szCs w:val="4"/>
              </w:rPr>
              <w:t>celda vacía</w:t>
            </w:r>
          </w:p>
        </w:tc>
        <w:tc>
          <w:tcPr>
            <w:tcW w:w="1049" w:type="pct"/>
          </w:tcPr>
          <w:p w:rsidR="004E27D5" w:rsidRPr="004E27D5" w:rsidRDefault="004E27D5" w:rsidP="004E27D5">
            <w:pPr>
              <w:spacing w:after="0"/>
              <w:jc w:val="center"/>
              <w:rPr>
                <w:rFonts w:ascii="ITC Avant Garde" w:hAnsi="ITC Avant Garde" w:cs="Arial"/>
                <w:sz w:val="20"/>
                <w:szCs w:val="20"/>
              </w:rPr>
            </w:pPr>
            <w:r w:rsidRPr="004E27D5">
              <w:rPr>
                <w:rFonts w:ascii="ITC Avant Garde" w:hAnsi="ITC Avant Garde" w:cs="Arial"/>
              </w:rPr>
              <w:t>051-17</w:t>
            </w:r>
          </w:p>
        </w:tc>
      </w:tr>
      <w:tr w:rsidR="004E27D5" w:rsidRPr="004E27D5" w:rsidTr="004E27D5">
        <w:trPr>
          <w:trHeight w:val="354"/>
        </w:trPr>
        <w:tc>
          <w:tcPr>
            <w:tcW w:w="1315" w:type="pct"/>
          </w:tcPr>
          <w:p w:rsidR="004E27D5" w:rsidRPr="004E27D5" w:rsidRDefault="004E27D5" w:rsidP="004E27D5">
            <w:pPr>
              <w:spacing w:after="0"/>
              <w:rPr>
                <w:rFonts w:ascii="ITC Avant Garde" w:hAnsi="ITC Avant Garde" w:cs="Arial"/>
                <w:sz w:val="20"/>
                <w:szCs w:val="20"/>
              </w:rPr>
            </w:pPr>
            <w:r w:rsidRPr="004E27D5">
              <w:rPr>
                <w:rFonts w:ascii="ITC Avant Garde" w:hAnsi="ITC Avant Garde" w:cs="Arial"/>
                <w:sz w:val="20"/>
                <w:szCs w:val="20"/>
              </w:rPr>
              <w:t>CPU Armado</w:t>
            </w:r>
            <w:r w:rsidRPr="004E27D5" w:rsidDel="00B959CB">
              <w:rPr>
                <w:rFonts w:ascii="ITC Avant Garde" w:hAnsi="ITC Avant Garde" w:cs="Arial"/>
                <w:sz w:val="20"/>
                <w:szCs w:val="20"/>
              </w:rPr>
              <w:t xml:space="preserve"> </w:t>
            </w:r>
          </w:p>
        </w:tc>
        <w:tc>
          <w:tcPr>
            <w:tcW w:w="880" w:type="pct"/>
          </w:tcPr>
          <w:p w:rsidR="004E27D5" w:rsidRPr="004E27D5" w:rsidRDefault="004E27D5" w:rsidP="004E27D5">
            <w:pPr>
              <w:rPr>
                <w:color w:val="FFFFFF" w:themeColor="background1"/>
                <w:sz w:val="4"/>
                <w:szCs w:val="4"/>
              </w:rPr>
            </w:pPr>
            <w:r w:rsidRPr="004E27D5">
              <w:rPr>
                <w:rFonts w:ascii="ITC Avant Garde" w:hAnsi="ITC Avant Garde" w:cs="Arial"/>
                <w:color w:val="FFFFFF" w:themeColor="background1"/>
                <w:sz w:val="4"/>
                <w:szCs w:val="4"/>
              </w:rPr>
              <w:t>celda vacía</w:t>
            </w:r>
          </w:p>
        </w:tc>
        <w:tc>
          <w:tcPr>
            <w:tcW w:w="878" w:type="pct"/>
          </w:tcPr>
          <w:p w:rsidR="004E27D5" w:rsidRPr="004E27D5" w:rsidRDefault="004E27D5" w:rsidP="004E27D5">
            <w:pPr>
              <w:rPr>
                <w:color w:val="FFFFFF" w:themeColor="background1"/>
                <w:sz w:val="4"/>
                <w:szCs w:val="4"/>
              </w:rPr>
            </w:pPr>
            <w:r w:rsidRPr="004E27D5">
              <w:rPr>
                <w:rFonts w:ascii="ITC Avant Garde" w:hAnsi="ITC Avant Garde" w:cs="Arial"/>
                <w:color w:val="FFFFFF" w:themeColor="background1"/>
                <w:sz w:val="4"/>
                <w:szCs w:val="4"/>
              </w:rPr>
              <w:t>celda vacía</w:t>
            </w:r>
          </w:p>
        </w:tc>
        <w:tc>
          <w:tcPr>
            <w:tcW w:w="878" w:type="pct"/>
          </w:tcPr>
          <w:p w:rsidR="004E27D5" w:rsidRPr="004E27D5" w:rsidRDefault="004E27D5" w:rsidP="004E27D5">
            <w:pPr>
              <w:rPr>
                <w:color w:val="FFFFFF" w:themeColor="background1"/>
                <w:sz w:val="4"/>
                <w:szCs w:val="4"/>
              </w:rPr>
            </w:pPr>
            <w:r w:rsidRPr="004E27D5">
              <w:rPr>
                <w:rFonts w:ascii="ITC Avant Garde" w:hAnsi="ITC Avant Garde" w:cs="Arial"/>
                <w:color w:val="FFFFFF" w:themeColor="background1"/>
                <w:sz w:val="4"/>
                <w:szCs w:val="4"/>
              </w:rPr>
              <w:t>celda vacía</w:t>
            </w:r>
          </w:p>
        </w:tc>
        <w:tc>
          <w:tcPr>
            <w:tcW w:w="1049" w:type="pct"/>
          </w:tcPr>
          <w:p w:rsidR="004E27D5" w:rsidRPr="004E27D5" w:rsidRDefault="004E27D5" w:rsidP="004E27D5">
            <w:pPr>
              <w:spacing w:after="0"/>
              <w:jc w:val="center"/>
              <w:rPr>
                <w:rFonts w:ascii="ITC Avant Garde" w:hAnsi="ITC Avant Garde" w:cs="Arial"/>
              </w:rPr>
            </w:pPr>
            <w:r w:rsidRPr="004E27D5">
              <w:rPr>
                <w:rFonts w:ascii="ITC Avant Garde" w:hAnsi="ITC Avant Garde" w:cs="Arial"/>
              </w:rPr>
              <w:t>051-17</w:t>
            </w:r>
          </w:p>
        </w:tc>
      </w:tr>
      <w:tr w:rsidR="004E27D5" w:rsidRPr="004E27D5" w:rsidTr="004E27D5">
        <w:trPr>
          <w:trHeight w:val="354"/>
        </w:trPr>
        <w:tc>
          <w:tcPr>
            <w:tcW w:w="1315" w:type="pct"/>
          </w:tcPr>
          <w:p w:rsidR="004E27D5" w:rsidRPr="004E27D5" w:rsidRDefault="004E27D5" w:rsidP="004E27D5">
            <w:pPr>
              <w:spacing w:after="0"/>
              <w:rPr>
                <w:rFonts w:ascii="ITC Avant Garde" w:hAnsi="ITC Avant Garde" w:cs="Arial"/>
                <w:sz w:val="20"/>
                <w:szCs w:val="20"/>
              </w:rPr>
            </w:pPr>
            <w:r w:rsidRPr="004E27D5">
              <w:rPr>
                <w:rFonts w:ascii="ITC Avant Garde" w:hAnsi="ITC Avant Garde" w:cs="Arial"/>
                <w:sz w:val="20"/>
                <w:szCs w:val="20"/>
              </w:rPr>
              <w:t>2 Antenas Omnidireccional tipo T</w:t>
            </w:r>
          </w:p>
        </w:tc>
        <w:tc>
          <w:tcPr>
            <w:tcW w:w="880" w:type="pct"/>
          </w:tcPr>
          <w:p w:rsidR="004E27D5" w:rsidRPr="004E27D5" w:rsidRDefault="004E27D5" w:rsidP="004E27D5">
            <w:pPr>
              <w:rPr>
                <w:color w:val="FFFFFF" w:themeColor="background1"/>
                <w:sz w:val="4"/>
                <w:szCs w:val="4"/>
              </w:rPr>
            </w:pPr>
            <w:r w:rsidRPr="004E27D5">
              <w:rPr>
                <w:rFonts w:ascii="ITC Avant Garde" w:hAnsi="ITC Avant Garde" w:cs="Arial"/>
                <w:color w:val="FFFFFF" w:themeColor="background1"/>
                <w:sz w:val="4"/>
                <w:szCs w:val="4"/>
              </w:rPr>
              <w:t>celda vacía</w:t>
            </w:r>
          </w:p>
        </w:tc>
        <w:tc>
          <w:tcPr>
            <w:tcW w:w="878" w:type="pct"/>
          </w:tcPr>
          <w:p w:rsidR="004E27D5" w:rsidRPr="004E27D5" w:rsidRDefault="004E27D5" w:rsidP="004E27D5">
            <w:pPr>
              <w:rPr>
                <w:color w:val="FFFFFF" w:themeColor="background1"/>
                <w:sz w:val="4"/>
                <w:szCs w:val="4"/>
              </w:rPr>
            </w:pPr>
            <w:r w:rsidRPr="004E27D5">
              <w:rPr>
                <w:rFonts w:ascii="ITC Avant Garde" w:hAnsi="ITC Avant Garde" w:cs="Arial"/>
                <w:color w:val="FFFFFF" w:themeColor="background1"/>
                <w:sz w:val="4"/>
                <w:szCs w:val="4"/>
              </w:rPr>
              <w:t>celda vacía</w:t>
            </w:r>
          </w:p>
        </w:tc>
        <w:tc>
          <w:tcPr>
            <w:tcW w:w="878" w:type="pct"/>
          </w:tcPr>
          <w:p w:rsidR="004E27D5" w:rsidRPr="004E27D5" w:rsidRDefault="004E27D5" w:rsidP="004E27D5">
            <w:pPr>
              <w:rPr>
                <w:color w:val="FFFFFF" w:themeColor="background1"/>
                <w:sz w:val="4"/>
                <w:szCs w:val="4"/>
              </w:rPr>
            </w:pPr>
            <w:r w:rsidRPr="004E27D5">
              <w:rPr>
                <w:rFonts w:ascii="ITC Avant Garde" w:hAnsi="ITC Avant Garde" w:cs="Arial"/>
                <w:color w:val="FFFFFF" w:themeColor="background1"/>
                <w:sz w:val="4"/>
                <w:szCs w:val="4"/>
              </w:rPr>
              <w:t>celda vacía</w:t>
            </w:r>
          </w:p>
        </w:tc>
        <w:tc>
          <w:tcPr>
            <w:tcW w:w="1049" w:type="pct"/>
          </w:tcPr>
          <w:p w:rsidR="004E27D5" w:rsidRPr="004E27D5" w:rsidRDefault="004E27D5" w:rsidP="004E27D5">
            <w:pPr>
              <w:spacing w:after="0"/>
              <w:jc w:val="center"/>
              <w:rPr>
                <w:rFonts w:ascii="ITC Avant Garde" w:hAnsi="ITC Avant Garde" w:cs="Arial"/>
                <w:sz w:val="20"/>
                <w:szCs w:val="20"/>
              </w:rPr>
            </w:pPr>
            <w:r w:rsidRPr="004E27D5">
              <w:rPr>
                <w:rFonts w:ascii="ITC Avant Garde" w:hAnsi="ITC Avant Garde" w:cs="Arial"/>
              </w:rPr>
              <w:t>051-17</w:t>
            </w:r>
          </w:p>
        </w:tc>
      </w:tr>
    </w:tbl>
    <w:p w:rsidR="009E7D7C" w:rsidRPr="004E27D5" w:rsidRDefault="00E86411" w:rsidP="004E27D5">
      <w:pPr>
        <w:spacing w:before="240" w:after="0" w:line="360" w:lineRule="auto"/>
        <w:jc w:val="both"/>
        <w:rPr>
          <w:rFonts w:ascii="ITC Avant Garde" w:eastAsia="Times New Roman" w:hAnsi="ITC Avant Garde"/>
          <w:lang w:eastAsia="es-ES"/>
        </w:rPr>
      </w:pPr>
      <w:r w:rsidRPr="004E27D5">
        <w:rPr>
          <w:rFonts w:ascii="ITC Avant Garde" w:eastAsia="Times New Roman" w:hAnsi="ITC Avant Garde"/>
          <w:lang w:eastAsia="es-ES"/>
        </w:rPr>
        <w:t>Previ</w:t>
      </w:r>
      <w:r w:rsidR="005F355D" w:rsidRPr="004E27D5">
        <w:rPr>
          <w:rFonts w:ascii="ITC Avant Garde" w:eastAsia="Times New Roman" w:hAnsi="ITC Avant Garde"/>
          <w:lang w:eastAsia="es-ES"/>
        </w:rPr>
        <w:t>amente</w:t>
      </w:r>
      <w:r w:rsidRPr="004E27D5">
        <w:rPr>
          <w:rFonts w:ascii="ITC Avant Garde" w:eastAsia="Times New Roman" w:hAnsi="ITC Avant Garde"/>
          <w:lang w:eastAsia="es-ES"/>
        </w:rPr>
        <w:t xml:space="preserve"> a la conclusión de la diligencia, en términos del artículo 68 de la </w:t>
      </w:r>
      <w:r w:rsidRPr="004E27D5">
        <w:rPr>
          <w:rFonts w:ascii="ITC Avant Garde" w:eastAsia="Times New Roman" w:hAnsi="ITC Avant Garde"/>
          <w:b/>
          <w:lang w:eastAsia="es-ES"/>
        </w:rPr>
        <w:t>LFPA, LOS VERIFICADORES</w:t>
      </w:r>
      <w:r w:rsidR="008F1DDF" w:rsidRPr="004E27D5">
        <w:rPr>
          <w:rFonts w:ascii="ITC Avant Garde" w:eastAsia="Times New Roman" w:hAnsi="ITC Avant Garde"/>
          <w:b/>
          <w:lang w:eastAsia="es-ES"/>
        </w:rPr>
        <w:t xml:space="preserve"> </w:t>
      </w:r>
      <w:r w:rsidR="008F1DDF" w:rsidRPr="004E27D5">
        <w:rPr>
          <w:rFonts w:ascii="ITC Avant Garde" w:eastAsia="Times New Roman" w:hAnsi="ITC Avant Garde"/>
          <w:lang w:eastAsia="es-ES"/>
        </w:rPr>
        <w:t xml:space="preserve">informaron </w:t>
      </w:r>
      <w:r w:rsidR="00894C21" w:rsidRPr="004E27D5">
        <w:rPr>
          <w:rFonts w:ascii="ITC Avant Garde" w:hAnsi="ITC Avant Garde"/>
        </w:rPr>
        <w:t xml:space="preserve">a </w:t>
      </w:r>
      <w:r w:rsidR="00421CAB" w:rsidRPr="004E27D5">
        <w:rPr>
          <w:rFonts w:ascii="ITC Avant Garde" w:hAnsi="ITC Avant Garde" w:cs="Tahoma"/>
        </w:rPr>
        <w:t>la persona que atendió la diligencia de verificación</w:t>
      </w:r>
      <w:r w:rsidR="008F1DDF" w:rsidRPr="004E27D5">
        <w:rPr>
          <w:rFonts w:ascii="ITC Avant Garde" w:eastAsia="Times New Roman" w:hAnsi="ITC Avant Garde"/>
          <w:lang w:eastAsia="es-ES"/>
        </w:rPr>
        <w:t xml:space="preserve">, que le asistía el derecho de manifestar lo que a sus intereses conviniera, respecto de los hechos asentados en el acta de verificación, a lo que dicha persona </w:t>
      </w:r>
      <w:r w:rsidR="00964433" w:rsidRPr="004E27D5">
        <w:rPr>
          <w:rFonts w:ascii="ITC Avant Garde" w:eastAsia="Times New Roman" w:hAnsi="ITC Avant Garde"/>
          <w:lang w:eastAsia="es-ES"/>
        </w:rPr>
        <w:t>manifestó</w:t>
      </w:r>
      <w:r w:rsidR="00BC057C" w:rsidRPr="004E27D5">
        <w:rPr>
          <w:rFonts w:ascii="ITC Avant Garde" w:eastAsia="Times New Roman" w:hAnsi="ITC Avant Garde"/>
          <w:lang w:eastAsia="es-ES"/>
        </w:rPr>
        <w:t xml:space="preserve">: </w:t>
      </w:r>
      <w:r w:rsidR="006A75C0" w:rsidRPr="004E27D5">
        <w:rPr>
          <w:rFonts w:ascii="ITC Avant Garde" w:eastAsia="Times New Roman" w:hAnsi="ITC Avant Garde"/>
          <w:lang w:eastAsia="es-ES"/>
        </w:rPr>
        <w:t>“</w:t>
      </w:r>
      <w:r w:rsidR="006A75C0" w:rsidRPr="004E27D5">
        <w:rPr>
          <w:rFonts w:ascii="ITC Avant Garde" w:hAnsi="ITC Avant Garde"/>
        </w:rPr>
        <w:t>nada señores, no tengo nada que decir</w:t>
      </w:r>
      <w:r w:rsidR="00F21188" w:rsidRPr="004E27D5">
        <w:rPr>
          <w:rFonts w:ascii="ITC Avant Garde" w:hAnsi="ITC Avant Garde"/>
        </w:rPr>
        <w:t xml:space="preserve">” </w:t>
      </w:r>
      <w:r w:rsidR="00F21188" w:rsidRPr="004E27D5">
        <w:rPr>
          <w:rFonts w:ascii="ITC Avant Garde" w:hAnsi="ITC Avant Garde"/>
          <w:vertAlign w:val="subscript"/>
        </w:rPr>
        <w:t>(sic)</w:t>
      </w:r>
      <w:r w:rsidR="00A526B3" w:rsidRPr="004E27D5">
        <w:rPr>
          <w:rFonts w:ascii="ITC Avant Garde" w:eastAsia="Times New Roman" w:hAnsi="ITC Avant Garde"/>
          <w:lang w:eastAsia="es-ES"/>
        </w:rPr>
        <w:t>.</w:t>
      </w:r>
    </w:p>
    <w:p w:rsidR="00A96264" w:rsidRPr="004E27D5" w:rsidRDefault="00A96264">
      <w:pPr>
        <w:spacing w:after="0" w:line="360" w:lineRule="auto"/>
        <w:jc w:val="both"/>
        <w:rPr>
          <w:rFonts w:ascii="ITC Avant Garde" w:eastAsia="Times New Roman" w:hAnsi="ITC Avant Garde"/>
          <w:lang w:eastAsia="es-ES"/>
        </w:rPr>
      </w:pPr>
      <w:r w:rsidRPr="004E27D5">
        <w:rPr>
          <w:rFonts w:ascii="ITC Avant Garde" w:eastAsia="Times New Roman" w:hAnsi="ITC Avant Garde"/>
          <w:lang w:eastAsia="es-ES"/>
        </w:rPr>
        <w:t xml:space="preserve">Dado lo anterior, </w:t>
      </w:r>
      <w:r w:rsidRPr="004E27D5">
        <w:rPr>
          <w:rFonts w:ascii="ITC Avant Garde" w:eastAsia="Times New Roman" w:hAnsi="ITC Avant Garde"/>
          <w:b/>
          <w:lang w:eastAsia="es-ES"/>
        </w:rPr>
        <w:t>LOS VERIFICADORES</w:t>
      </w:r>
      <w:r w:rsidRPr="004E27D5">
        <w:rPr>
          <w:rFonts w:ascii="ITC Avant Garde" w:eastAsia="Times New Roman" w:hAnsi="ITC Avant Garde"/>
          <w:lang w:eastAsia="es-ES"/>
        </w:rPr>
        <w:t xml:space="preserve"> con fundamento en el artículo 524 de la </w:t>
      </w:r>
      <w:r w:rsidR="002E79A6" w:rsidRPr="004E27D5">
        <w:rPr>
          <w:rFonts w:ascii="ITC Avant Garde" w:eastAsia="Times New Roman" w:hAnsi="ITC Avant Garde"/>
          <w:lang w:eastAsia="es-ES"/>
        </w:rPr>
        <w:t>Ley de Vías Generales de Comunicación (</w:t>
      </w:r>
      <w:r w:rsidR="00567A43" w:rsidRPr="004E27D5">
        <w:rPr>
          <w:rFonts w:ascii="ITC Avant Garde" w:eastAsia="Times New Roman" w:hAnsi="ITC Avant Garde"/>
          <w:b/>
          <w:lang w:eastAsia="es-ES"/>
        </w:rPr>
        <w:t>LVGC</w:t>
      </w:r>
      <w:r w:rsidR="002E79A6" w:rsidRPr="004E27D5">
        <w:rPr>
          <w:rFonts w:ascii="ITC Avant Garde" w:eastAsia="Times New Roman" w:hAnsi="ITC Avant Garde"/>
          <w:lang w:eastAsia="es-ES"/>
        </w:rPr>
        <w:t>)</w:t>
      </w:r>
      <w:r w:rsidRPr="004E27D5">
        <w:rPr>
          <w:rFonts w:ascii="ITC Avant Garde" w:eastAsia="Times New Roman" w:hAnsi="ITC Avant Garde"/>
          <w:lang w:eastAsia="es-ES"/>
        </w:rPr>
        <w:t xml:space="preserve"> notificaron a la persona que recibió la diligencia, que tenía un plazo de diez días hábiles para que en ejercicio de su garantía de audiencia presentara por escrito las pruebas y defensas que estimara procedentes ante el Instituto</w:t>
      </w:r>
      <w:r w:rsidR="0000526F" w:rsidRPr="004E27D5">
        <w:rPr>
          <w:rFonts w:ascii="ITC Avant Garde" w:eastAsia="Times New Roman" w:hAnsi="ITC Avant Garde"/>
          <w:lang w:eastAsia="es-ES"/>
        </w:rPr>
        <w:t xml:space="preserve">, asentado lo anterior, se dio </w:t>
      </w:r>
      <w:r w:rsidR="0000526F" w:rsidRPr="004E27D5">
        <w:rPr>
          <w:rFonts w:ascii="ITC Avant Garde" w:eastAsia="Times New Roman" w:hAnsi="ITC Avant Garde"/>
          <w:bCs/>
          <w:color w:val="000000"/>
          <w:lang w:eastAsia="es-MX"/>
        </w:rPr>
        <w:t>por terminada la diligencia de verificación el mismo día de su inicio.</w:t>
      </w:r>
      <w:r w:rsidR="0000526F" w:rsidRPr="004E27D5">
        <w:rPr>
          <w:rFonts w:ascii="Times New Roman" w:hAnsi="Times New Roman"/>
          <w:sz w:val="24"/>
          <w:szCs w:val="24"/>
          <w:lang w:eastAsia="es-MX"/>
        </w:rPr>
        <w:t xml:space="preserve"> </w:t>
      </w:r>
    </w:p>
    <w:p w:rsidR="009E7D7C" w:rsidRPr="004E27D5" w:rsidRDefault="006A7D04" w:rsidP="00894C21">
      <w:pPr>
        <w:spacing w:after="0" w:line="360" w:lineRule="auto"/>
        <w:jc w:val="both"/>
        <w:rPr>
          <w:rFonts w:ascii="ITC Avant Garde" w:hAnsi="ITC Avant Garde"/>
        </w:rPr>
      </w:pPr>
      <w:r w:rsidRPr="004E27D5">
        <w:rPr>
          <w:rFonts w:ascii="ITC Avant Garde" w:eastAsia="Times New Roman" w:hAnsi="ITC Avant Garde"/>
          <w:lang w:eastAsia="es-ES"/>
        </w:rPr>
        <w:t xml:space="preserve">El término de diez días hábiles otorgado para presentar pruebas y defensas en relación </w:t>
      </w:r>
      <w:r w:rsidR="007C6B27" w:rsidRPr="004E27D5">
        <w:rPr>
          <w:rFonts w:ascii="ITC Avant Garde" w:eastAsia="Times New Roman" w:hAnsi="ITC Avant Garde"/>
          <w:lang w:eastAsia="es-ES"/>
        </w:rPr>
        <w:t>con</w:t>
      </w:r>
      <w:r w:rsidRPr="004E27D5">
        <w:rPr>
          <w:rFonts w:ascii="ITC Avant Garde" w:eastAsia="Times New Roman" w:hAnsi="ITC Avant Garde"/>
          <w:lang w:eastAsia="es-ES"/>
        </w:rPr>
        <w:t xml:space="preserve"> los hechos contenidos en el </w:t>
      </w:r>
      <w:r w:rsidR="00971DDC" w:rsidRPr="004E27D5">
        <w:rPr>
          <w:rFonts w:ascii="ITC Avant Garde" w:eastAsia="Times New Roman" w:hAnsi="ITC Avant Garde"/>
          <w:b/>
          <w:lang w:eastAsia="es-ES"/>
        </w:rPr>
        <w:t xml:space="preserve">ACTA </w:t>
      </w:r>
      <w:r w:rsidR="00895B8E" w:rsidRPr="004E27D5">
        <w:rPr>
          <w:rFonts w:ascii="ITC Avant Garde" w:eastAsia="Times New Roman" w:hAnsi="ITC Avant Garde"/>
          <w:b/>
          <w:lang w:eastAsia="es-ES"/>
        </w:rPr>
        <w:t xml:space="preserve">DE </w:t>
      </w:r>
      <w:r w:rsidR="00971DDC" w:rsidRPr="004E27D5">
        <w:rPr>
          <w:rFonts w:ascii="ITC Avant Garde" w:eastAsia="Times New Roman" w:hAnsi="ITC Avant Garde"/>
          <w:b/>
          <w:lang w:eastAsia="es-ES"/>
        </w:rPr>
        <w:t xml:space="preserve">VERIFICACIÓN ORDINARIA </w:t>
      </w:r>
      <w:r w:rsidR="00AE6BD0" w:rsidRPr="004E27D5">
        <w:rPr>
          <w:rFonts w:ascii="ITC Avant Garde" w:eastAsia="Times New Roman" w:hAnsi="ITC Avant Garde"/>
          <w:lang w:eastAsia="es-ES"/>
        </w:rPr>
        <w:t>transcurrió</w:t>
      </w:r>
      <w:r w:rsidR="00DC7056" w:rsidRPr="004E27D5">
        <w:rPr>
          <w:rFonts w:ascii="ITC Avant Garde" w:eastAsia="Times New Roman" w:hAnsi="ITC Avant Garde"/>
          <w:lang w:eastAsia="es-ES"/>
        </w:rPr>
        <w:t xml:space="preserve"> del</w:t>
      </w:r>
      <w:r w:rsidR="00AE6BD0" w:rsidRPr="004E27D5">
        <w:rPr>
          <w:rFonts w:ascii="ITC Avant Garde" w:eastAsia="Times New Roman" w:hAnsi="ITC Avant Garde"/>
          <w:lang w:eastAsia="es-ES"/>
        </w:rPr>
        <w:t xml:space="preserve"> </w:t>
      </w:r>
      <w:r w:rsidR="00BC7B93" w:rsidRPr="004E27D5">
        <w:rPr>
          <w:rFonts w:ascii="ITC Avant Garde" w:hAnsi="ITC Avant Garde"/>
        </w:rPr>
        <w:t xml:space="preserve">diecisiete de marzo al tres de abril de dos mil diecisiete, sin contar los días dieciocho, diecinueve, veinte, veintiuno, veinticinco y veintiséis de marzo, así como el uno y dos de abril, por ser sábados, domingos y días festivos en términos de lo dispuesto por el artículo 28 de la </w:t>
      </w:r>
      <w:r w:rsidR="00BC7B93" w:rsidRPr="004E27D5">
        <w:rPr>
          <w:rFonts w:ascii="ITC Avant Garde" w:hAnsi="ITC Avant Garde"/>
          <w:b/>
        </w:rPr>
        <w:t xml:space="preserve">LFPA </w:t>
      </w:r>
      <w:r w:rsidR="00BC7B93" w:rsidRPr="004E27D5">
        <w:rPr>
          <w:rFonts w:ascii="ITC Avant Garde" w:hAnsi="ITC Avant Garde"/>
        </w:rPr>
        <w:t xml:space="preserve">y del “ACUERDO mediante el cual el Pleno del Instituto Federal de Telecomunicaciones aprueba su calendario anual de sesiones ordinarias y el calendario anual de labores para el año 2017 y principios de 2018”, publicado en el Diario Oficial de la Federación el </w:t>
      </w:r>
      <w:r w:rsidR="007C6B27" w:rsidRPr="004E27D5">
        <w:rPr>
          <w:rFonts w:ascii="ITC Avant Garde" w:hAnsi="ITC Avant Garde"/>
        </w:rPr>
        <w:t xml:space="preserve">veintiuno </w:t>
      </w:r>
      <w:r w:rsidR="00BC7B93" w:rsidRPr="004E27D5">
        <w:rPr>
          <w:rFonts w:ascii="ITC Avant Garde" w:hAnsi="ITC Avant Garde"/>
        </w:rPr>
        <w:t xml:space="preserve">de diciembre de </w:t>
      </w:r>
      <w:r w:rsidR="007C6B27" w:rsidRPr="004E27D5">
        <w:rPr>
          <w:rFonts w:ascii="ITC Avant Garde" w:hAnsi="ITC Avant Garde"/>
        </w:rPr>
        <w:t xml:space="preserve">dos mil dieciséis, </w:t>
      </w:r>
      <w:r w:rsidR="00894C21" w:rsidRPr="004E27D5">
        <w:rPr>
          <w:rFonts w:ascii="ITC Avant Garde" w:hAnsi="ITC Avant Garde"/>
        </w:rPr>
        <w:t xml:space="preserve">término que feneció sin que se presentara </w:t>
      </w:r>
      <w:r w:rsidR="00894C21" w:rsidRPr="004E27D5">
        <w:rPr>
          <w:rFonts w:ascii="ITC Avant Garde" w:hAnsi="ITC Avant Garde" w:cs="Arial"/>
        </w:rPr>
        <w:t>escrito alguno.</w:t>
      </w:r>
    </w:p>
    <w:p w:rsidR="001561CA" w:rsidRPr="004E27D5" w:rsidRDefault="00A0552D" w:rsidP="00A0552D">
      <w:pPr>
        <w:spacing w:after="0" w:line="360" w:lineRule="auto"/>
        <w:jc w:val="both"/>
        <w:rPr>
          <w:rFonts w:ascii="ITC Avant Garde" w:eastAsia="ヒラギノ角ゴ Pro W3" w:hAnsi="ITC Avant Garde"/>
          <w:color w:val="000000"/>
        </w:rPr>
        <w:sectPr w:rsidR="001561CA" w:rsidRPr="004E27D5" w:rsidSect="009B5755">
          <w:headerReference w:type="default" r:id="rId19"/>
          <w:pgSz w:w="12240" w:h="15840"/>
          <w:pgMar w:top="1985" w:right="1418" w:bottom="1418" w:left="1418" w:header="709" w:footer="420" w:gutter="0"/>
          <w:cols w:space="708"/>
          <w:docGrid w:linePitch="360"/>
        </w:sectPr>
      </w:pPr>
      <w:r w:rsidRPr="004E27D5">
        <w:rPr>
          <w:rFonts w:ascii="ITC Avant Garde" w:hAnsi="ITC Avant Garde"/>
        </w:rPr>
        <w:t>D</w:t>
      </w:r>
      <w:r w:rsidR="007B7F3C" w:rsidRPr="004E27D5">
        <w:rPr>
          <w:rFonts w:ascii="ITC Avant Garde" w:hAnsi="ITC Avant Garde"/>
        </w:rPr>
        <w:t>erivado d</w:t>
      </w:r>
      <w:r w:rsidRPr="004E27D5">
        <w:rPr>
          <w:rFonts w:ascii="ITC Avant Garde" w:hAnsi="ITC Avant Garde"/>
        </w:rPr>
        <w:t>e lo anterior</w:t>
      </w:r>
      <w:r w:rsidR="007B7F3C" w:rsidRPr="004E27D5">
        <w:rPr>
          <w:rFonts w:ascii="ITC Avant Garde" w:hAnsi="ITC Avant Garde"/>
        </w:rPr>
        <w:t xml:space="preserve"> y una vez </w:t>
      </w:r>
      <w:r w:rsidR="00AD2C9C" w:rsidRPr="004E27D5">
        <w:rPr>
          <w:rFonts w:ascii="ITC Avant Garde" w:hAnsi="ITC Avant Garde"/>
        </w:rPr>
        <w:t>analizadas</w:t>
      </w:r>
      <w:r w:rsidR="007B7F3C" w:rsidRPr="004E27D5">
        <w:rPr>
          <w:rFonts w:ascii="ITC Avant Garde" w:hAnsi="ITC Avant Garde"/>
        </w:rPr>
        <w:t xml:space="preserve"> las constancias respectivas</w:t>
      </w:r>
      <w:r w:rsidR="00AD2C9C" w:rsidRPr="004E27D5">
        <w:rPr>
          <w:rFonts w:ascii="ITC Avant Garde" w:hAnsi="ITC Avant Garde"/>
        </w:rPr>
        <w:t xml:space="preserve">, la </w:t>
      </w:r>
      <w:r w:rsidR="00CD7E47" w:rsidRPr="004E27D5">
        <w:rPr>
          <w:rFonts w:ascii="ITC Avant Garde" w:hAnsi="ITC Avant Garde"/>
          <w:b/>
        </w:rPr>
        <w:t>DGV</w:t>
      </w:r>
      <w:r w:rsidR="00AD2C9C" w:rsidRPr="004E27D5">
        <w:rPr>
          <w:rFonts w:ascii="ITC Avant Garde" w:hAnsi="ITC Avant Garde"/>
        </w:rPr>
        <w:t xml:space="preserve"> estimó</w:t>
      </w:r>
      <w:r w:rsidRPr="004E27D5">
        <w:rPr>
          <w:rFonts w:ascii="ITC Avant Garde" w:hAnsi="ITC Avant Garde"/>
        </w:rPr>
        <w:t xml:space="preserve"> que </w:t>
      </w:r>
      <w:r w:rsidR="00AD2C9C" w:rsidRPr="004E27D5">
        <w:rPr>
          <w:rFonts w:ascii="ITC Avant Garde" w:eastAsia="ヒラギノ角ゴ Pro W3" w:hAnsi="ITC Avant Garde"/>
          <w:color w:val="000000"/>
        </w:rPr>
        <w:t>con su conducta</w:t>
      </w:r>
      <w:r w:rsidR="00572E59" w:rsidRPr="004E27D5">
        <w:rPr>
          <w:rFonts w:ascii="ITC Avant Garde" w:hAnsi="ITC Avant Garde"/>
        </w:rPr>
        <w:t xml:space="preserve"> </w:t>
      </w:r>
      <w:r w:rsidR="00F42CF6" w:rsidRPr="004E27D5">
        <w:rPr>
          <w:rFonts w:ascii="ITC Avant Garde" w:hAnsi="ITC Avant Garde" w:cs="Arial"/>
        </w:rPr>
        <w:t xml:space="preserve">el </w:t>
      </w:r>
      <w:r w:rsidR="00A01799" w:rsidRPr="004E27D5">
        <w:rPr>
          <w:rFonts w:ascii="ITC Avant Garde" w:hAnsi="ITC Avant Garde"/>
          <w:b/>
        </w:rPr>
        <w:t>PRESUNTO RESPONSABLE</w:t>
      </w:r>
      <w:r w:rsidR="00A01799" w:rsidRPr="004E27D5">
        <w:rPr>
          <w:rFonts w:ascii="ITC Avant Garde" w:eastAsia="ヒラギノ角ゴ Pro W3" w:hAnsi="ITC Avant Garde"/>
          <w:color w:val="000000"/>
        </w:rPr>
        <w:t xml:space="preserve"> </w:t>
      </w:r>
      <w:r w:rsidRPr="004E27D5">
        <w:rPr>
          <w:rFonts w:ascii="ITC Avant Garde" w:eastAsia="ヒラギノ角ゴ Pro W3" w:hAnsi="ITC Avant Garde"/>
          <w:color w:val="000000"/>
        </w:rPr>
        <w:t>presu</w:t>
      </w:r>
      <w:r w:rsidR="00BF051C" w:rsidRPr="004E27D5">
        <w:rPr>
          <w:rFonts w:ascii="ITC Avant Garde" w:eastAsia="ヒラギノ角ゴ Pro W3" w:hAnsi="ITC Avant Garde"/>
          <w:color w:val="000000"/>
        </w:rPr>
        <w:t xml:space="preserve">miblemente </w:t>
      </w:r>
      <w:r w:rsidRPr="004E27D5">
        <w:rPr>
          <w:rFonts w:ascii="ITC Avant Garde" w:eastAsia="ヒラギノ角ゴ Pro W3" w:hAnsi="ITC Avant Garde"/>
          <w:color w:val="000000"/>
        </w:rPr>
        <w:t xml:space="preserve">contravino lo </w:t>
      </w:r>
    </w:p>
    <w:p w:rsidR="009E7D7C" w:rsidRPr="004E27D5" w:rsidRDefault="00A0552D" w:rsidP="00A0552D">
      <w:pPr>
        <w:spacing w:after="0" w:line="360" w:lineRule="auto"/>
        <w:jc w:val="both"/>
        <w:rPr>
          <w:rFonts w:ascii="ITC Avant Garde" w:hAnsi="ITC Avant Garde"/>
          <w:bCs/>
        </w:rPr>
      </w:pPr>
      <w:r w:rsidRPr="004E27D5">
        <w:rPr>
          <w:rFonts w:ascii="ITC Avant Garde" w:eastAsia="ヒラギノ角ゴ Pro W3" w:hAnsi="ITC Avant Garde"/>
          <w:color w:val="000000"/>
        </w:rPr>
        <w:lastRenderedPageBreak/>
        <w:t>dispuesto por el artículo</w:t>
      </w:r>
      <w:r w:rsidRPr="004E27D5">
        <w:rPr>
          <w:rFonts w:ascii="ITC Avant Garde" w:hAnsi="ITC Avant Garde"/>
          <w:bCs/>
        </w:rPr>
        <w:t xml:space="preserve"> 66</w:t>
      </w:r>
      <w:r w:rsidR="00F72948" w:rsidRPr="004E27D5">
        <w:rPr>
          <w:rFonts w:ascii="ITC Avant Garde" w:hAnsi="ITC Avant Garde"/>
          <w:bCs/>
        </w:rPr>
        <w:t xml:space="preserve"> </w:t>
      </w:r>
      <w:r w:rsidR="00F72948" w:rsidRPr="004E27D5">
        <w:rPr>
          <w:rFonts w:ascii="ITC Avant Garde" w:hAnsi="ITC Avant Garde"/>
        </w:rPr>
        <w:t>en relación con el 75,</w:t>
      </w:r>
      <w:r w:rsidRPr="004E27D5">
        <w:rPr>
          <w:rFonts w:ascii="ITC Avant Garde" w:hAnsi="ITC Avant Garde"/>
          <w:bCs/>
        </w:rPr>
        <w:t xml:space="preserve"> y actualizó la hipótesis normativa prevista en el artículo 305, </w:t>
      </w:r>
      <w:r w:rsidR="00964433" w:rsidRPr="004E27D5">
        <w:rPr>
          <w:rFonts w:ascii="ITC Avant Garde" w:hAnsi="ITC Avant Garde"/>
          <w:bCs/>
        </w:rPr>
        <w:t xml:space="preserve">todos </w:t>
      </w:r>
      <w:r w:rsidRPr="004E27D5">
        <w:rPr>
          <w:rFonts w:ascii="ITC Avant Garde" w:hAnsi="ITC Avant Garde"/>
          <w:bCs/>
        </w:rPr>
        <w:t xml:space="preserve">de la </w:t>
      </w:r>
      <w:r w:rsidR="006310EA" w:rsidRPr="004E27D5">
        <w:rPr>
          <w:rFonts w:ascii="ITC Avant Garde" w:hAnsi="ITC Avant Garde"/>
          <w:b/>
          <w:bCs/>
        </w:rPr>
        <w:t>LFTR</w:t>
      </w:r>
      <w:r w:rsidRPr="004E27D5">
        <w:rPr>
          <w:rFonts w:ascii="ITC Avant Garde" w:hAnsi="ITC Avant Garde"/>
          <w:bCs/>
        </w:rPr>
        <w:t>.</w:t>
      </w:r>
      <w:r w:rsidR="00AD2C9C" w:rsidRPr="004E27D5">
        <w:rPr>
          <w:rFonts w:ascii="ITC Avant Garde" w:hAnsi="ITC Avant Garde"/>
          <w:bCs/>
        </w:rPr>
        <w:t xml:space="preserve"> Lo anterior de conformidad con lo siguiente:</w:t>
      </w:r>
    </w:p>
    <w:p w:rsidR="009E7D7C" w:rsidRPr="004E27D5" w:rsidRDefault="004F3596" w:rsidP="004F3596">
      <w:pPr>
        <w:spacing w:after="0" w:line="360" w:lineRule="auto"/>
        <w:jc w:val="both"/>
        <w:rPr>
          <w:rFonts w:ascii="ITC Avant Garde" w:eastAsia="Times New Roman" w:hAnsi="ITC Avant Garde"/>
          <w:b/>
          <w:bCs/>
          <w:color w:val="000000"/>
          <w:lang w:eastAsia="es-MX"/>
        </w:rPr>
      </w:pPr>
      <w:r w:rsidRPr="004E27D5">
        <w:rPr>
          <w:rFonts w:ascii="ITC Avant Garde" w:hAnsi="ITC Avant Garde"/>
          <w:b/>
          <w:u w:val="single"/>
        </w:rPr>
        <w:t xml:space="preserve">A) </w:t>
      </w:r>
      <w:r w:rsidRPr="004E27D5">
        <w:rPr>
          <w:rFonts w:ascii="ITC Avant Garde" w:hAnsi="ITC Avant Garde"/>
          <w:b/>
          <w:bCs/>
          <w:u w:val="single"/>
        </w:rPr>
        <w:t xml:space="preserve">Artículo 66 </w:t>
      </w:r>
      <w:r w:rsidR="00220B37" w:rsidRPr="004E27D5">
        <w:rPr>
          <w:rFonts w:ascii="ITC Avant Garde" w:eastAsia="Times New Roman" w:hAnsi="ITC Avant Garde"/>
          <w:b/>
          <w:bCs/>
          <w:color w:val="000000"/>
          <w:u w:val="single"/>
          <w:lang w:eastAsia="es-MX"/>
        </w:rPr>
        <w:t xml:space="preserve">en relación con el 75 </w:t>
      </w:r>
      <w:r w:rsidR="00220B37" w:rsidRPr="004E27D5">
        <w:rPr>
          <w:rFonts w:ascii="ITC Avant Garde" w:hAnsi="ITC Avant Garde"/>
          <w:b/>
          <w:bCs/>
          <w:u w:val="single"/>
        </w:rPr>
        <w:t xml:space="preserve">de la </w:t>
      </w:r>
      <w:r w:rsidR="006310EA" w:rsidRPr="004E27D5">
        <w:rPr>
          <w:rFonts w:ascii="ITC Avant Garde" w:eastAsia="Times New Roman" w:hAnsi="ITC Avant Garde"/>
          <w:b/>
          <w:bCs/>
          <w:color w:val="000000"/>
          <w:u w:val="single"/>
          <w:lang w:eastAsia="es-MX"/>
        </w:rPr>
        <w:t>LFTR</w:t>
      </w:r>
      <w:r w:rsidRPr="004E27D5">
        <w:rPr>
          <w:rFonts w:ascii="ITC Avant Garde" w:hAnsi="ITC Avant Garde"/>
          <w:b/>
          <w:bCs/>
          <w:u w:val="single"/>
        </w:rPr>
        <w:t>.</w:t>
      </w:r>
    </w:p>
    <w:p w:rsidR="009E7D7C" w:rsidRPr="004E27D5" w:rsidRDefault="00A0552D" w:rsidP="00220B37">
      <w:pPr>
        <w:spacing w:after="0" w:line="360" w:lineRule="auto"/>
        <w:jc w:val="both"/>
        <w:rPr>
          <w:rFonts w:ascii="ITC Avant Garde" w:hAnsi="ITC Avant Garde"/>
        </w:rPr>
      </w:pPr>
      <w:r w:rsidRPr="004E27D5">
        <w:rPr>
          <w:rFonts w:ascii="ITC Avant Garde" w:hAnsi="ITC Avant Garde"/>
        </w:rPr>
        <w:t xml:space="preserve">El artículo 66 de la </w:t>
      </w:r>
      <w:r w:rsidR="006310EA" w:rsidRPr="004E27D5">
        <w:rPr>
          <w:rFonts w:ascii="ITC Avant Garde" w:hAnsi="ITC Avant Garde"/>
          <w:b/>
        </w:rPr>
        <w:t>LFTR</w:t>
      </w:r>
      <w:r w:rsidRPr="004E27D5">
        <w:rPr>
          <w:rFonts w:ascii="ITC Avant Garde" w:hAnsi="ITC Avant Garde"/>
        </w:rPr>
        <w:t xml:space="preserve">, establece que: “Se requerirá </w:t>
      </w:r>
      <w:r w:rsidRPr="004E27D5">
        <w:rPr>
          <w:rFonts w:ascii="ITC Avant Garde" w:hAnsi="ITC Avant Garde"/>
          <w:u w:val="single"/>
        </w:rPr>
        <w:t>concesión única</w:t>
      </w:r>
      <w:r w:rsidRPr="004E27D5">
        <w:rPr>
          <w:rFonts w:ascii="ITC Avant Garde" w:hAnsi="ITC Avant Garde"/>
        </w:rPr>
        <w:t xml:space="preserve"> para prestar todo tipo de servicios públicos de telecomunicaciones y radiodifusión.”</w:t>
      </w:r>
    </w:p>
    <w:p w:rsidR="009E7D7C" w:rsidRPr="004E27D5" w:rsidRDefault="002C6FA8" w:rsidP="00220B37">
      <w:pPr>
        <w:spacing w:after="0" w:line="360" w:lineRule="auto"/>
        <w:jc w:val="both"/>
        <w:rPr>
          <w:rFonts w:ascii="ITC Avant Garde" w:eastAsia="Times New Roman" w:hAnsi="ITC Avant Garde"/>
          <w:lang w:eastAsia="es-MX"/>
        </w:rPr>
      </w:pPr>
      <w:r w:rsidRPr="004E27D5">
        <w:rPr>
          <w:rFonts w:ascii="ITC Avant Garde" w:hAnsi="ITC Avant Garde"/>
        </w:rPr>
        <w:t>Por su parte e</w:t>
      </w:r>
      <w:r w:rsidR="00220B37" w:rsidRPr="004E27D5">
        <w:rPr>
          <w:rFonts w:ascii="ITC Avant Garde" w:eastAsia="Times New Roman" w:hAnsi="ITC Avant Garde"/>
          <w:lang w:eastAsia="es-MX"/>
        </w:rPr>
        <w:t xml:space="preserve">l artículo 75 de la </w:t>
      </w:r>
      <w:r w:rsidR="006310EA" w:rsidRPr="004E27D5">
        <w:rPr>
          <w:rFonts w:ascii="ITC Avant Garde" w:eastAsia="Times New Roman" w:hAnsi="ITC Avant Garde"/>
          <w:b/>
          <w:lang w:eastAsia="es-MX"/>
        </w:rPr>
        <w:t>LFTR</w:t>
      </w:r>
      <w:r w:rsidR="00220B37" w:rsidRPr="004E27D5">
        <w:rPr>
          <w:rFonts w:ascii="ITC Avant Garde" w:eastAsia="Times New Roman" w:hAnsi="ITC Avant Garde"/>
          <w:lang w:eastAsia="es-MX"/>
        </w:rPr>
        <w:t xml:space="preserve">, dispone que “Las concesiones para usar, aprovechar y explotar bandas de frecuencias del espectro radioeléctrico de uso determinado y para la ocupación y explotación de recursos orbitales, </w:t>
      </w:r>
      <w:r w:rsidR="00232142" w:rsidRPr="004E27D5">
        <w:rPr>
          <w:rFonts w:ascii="ITC Avant Garde" w:eastAsia="Times New Roman" w:hAnsi="ITC Avant Garde"/>
          <w:lang w:eastAsia="es-MX"/>
        </w:rPr>
        <w:t xml:space="preserve">se otorgarán por el Instituto por un plazo de hasta veinte años y podrán ser prorrogadas hasta por plazos iguales conforme a lo dispuesto en el Capítulo VI de este Título.” </w:t>
      </w:r>
    </w:p>
    <w:p w:rsidR="009E7D7C" w:rsidRPr="004E27D5" w:rsidRDefault="00E45728" w:rsidP="004F3596">
      <w:pPr>
        <w:spacing w:after="0" w:line="360" w:lineRule="auto"/>
        <w:jc w:val="both"/>
        <w:rPr>
          <w:rFonts w:ascii="ITC Avant Garde" w:hAnsi="ITC Avant Garde"/>
        </w:rPr>
      </w:pPr>
      <w:r w:rsidRPr="004E27D5">
        <w:rPr>
          <w:rFonts w:ascii="ITC Avant Garde" w:hAnsi="ITC Avant Garde"/>
        </w:rPr>
        <w:t xml:space="preserve">En este sentido, dicha concesión para usar, aprovechar y explotar bandas de frecuencias del espectro radioeléctrico, </w:t>
      </w:r>
      <w:r w:rsidR="00220B37" w:rsidRPr="004E27D5">
        <w:rPr>
          <w:rFonts w:ascii="ITC Avant Garde" w:hAnsi="ITC Avant Garde"/>
        </w:rPr>
        <w:t xml:space="preserve">es el título habilitante que otorga a su titular la legitimación para prestar servicios de radiodifusión. </w:t>
      </w:r>
      <w:r w:rsidR="008A7548" w:rsidRPr="004E27D5">
        <w:rPr>
          <w:rFonts w:ascii="ITC Avant Garde" w:hAnsi="ITC Avant Garde"/>
        </w:rPr>
        <w:t xml:space="preserve">Sin embargo, de las manifestaciones expresas realizadas tras la diligencia y del informe de </w:t>
      </w:r>
      <w:proofErr w:type="spellStart"/>
      <w:r w:rsidR="008A7548" w:rsidRPr="004E27D5">
        <w:rPr>
          <w:rFonts w:ascii="ITC Avant Garde" w:hAnsi="ITC Avant Garde"/>
        </w:rPr>
        <w:t>radiomonitoreo</w:t>
      </w:r>
      <w:proofErr w:type="spellEnd"/>
      <w:r w:rsidR="008A7548" w:rsidRPr="004E27D5">
        <w:rPr>
          <w:rFonts w:ascii="ITC Avant Garde" w:hAnsi="ITC Avant Garde"/>
        </w:rPr>
        <w:t xml:space="preserve">, se demuestra fehacientemente que el </w:t>
      </w:r>
      <w:r w:rsidR="00A01799" w:rsidRPr="004E27D5">
        <w:rPr>
          <w:rFonts w:ascii="ITC Avant Garde" w:hAnsi="ITC Avant Garde"/>
          <w:b/>
        </w:rPr>
        <w:t>PRESUNTO RESPONSABLE</w:t>
      </w:r>
      <w:r w:rsidR="008A7548" w:rsidRPr="004E27D5">
        <w:rPr>
          <w:rFonts w:ascii="ITC Avant Garde" w:hAnsi="ITC Avant Garde"/>
          <w:b/>
        </w:rPr>
        <w:t>,</w:t>
      </w:r>
      <w:r w:rsidR="008A7548" w:rsidRPr="004E27D5">
        <w:rPr>
          <w:rFonts w:ascii="ITC Avant Garde" w:hAnsi="ITC Avant Garde"/>
        </w:rPr>
        <w:t xml:space="preserve"> al momento de la diligencia, usaba la frecuencia </w:t>
      </w:r>
      <w:r w:rsidR="00C9435A" w:rsidRPr="004E27D5">
        <w:rPr>
          <w:rFonts w:ascii="ITC Avant Garde" w:hAnsi="ITC Avant Garde"/>
          <w:b/>
          <w:caps/>
        </w:rPr>
        <w:t>106.1</w:t>
      </w:r>
      <w:r w:rsidR="002C1AD8" w:rsidRPr="004E27D5">
        <w:rPr>
          <w:rFonts w:ascii="ITC Avant Garde" w:hAnsi="ITC Avant Garde"/>
          <w:b/>
        </w:rPr>
        <w:t xml:space="preserve"> MHz</w:t>
      </w:r>
      <w:r w:rsidR="008A7548" w:rsidRPr="004E27D5">
        <w:rPr>
          <w:rFonts w:ascii="ITC Avant Garde" w:hAnsi="ITC Avant Garde"/>
        </w:rPr>
        <w:t xml:space="preserve"> </w:t>
      </w:r>
      <w:r w:rsidR="00A0552D" w:rsidRPr="004E27D5">
        <w:rPr>
          <w:rFonts w:ascii="ITC Avant Garde" w:hAnsi="ITC Avant Garde"/>
        </w:rPr>
        <w:t>de la banda de Frecuencia Modulada</w:t>
      </w:r>
      <w:r w:rsidR="00D95528" w:rsidRPr="004E27D5">
        <w:rPr>
          <w:rFonts w:ascii="ITC Avant Garde" w:hAnsi="ITC Avant Garde"/>
        </w:rPr>
        <w:t xml:space="preserve"> mediante la instalación de equipo de radiodifusión en el domicilio ubicado en</w:t>
      </w:r>
      <w:r w:rsidR="00BF051C" w:rsidRPr="004E27D5">
        <w:rPr>
          <w:rFonts w:ascii="ITC Avant Garde" w:hAnsi="ITC Avant Garde"/>
        </w:rPr>
        <w:t xml:space="preserve"> </w:t>
      </w:r>
      <w:r w:rsidR="00E04264" w:rsidRPr="004E27D5">
        <w:rPr>
          <w:rFonts w:ascii="ITC Avant Garde" w:hAnsi="ITC Avant Garde"/>
          <w:b/>
          <w:color w:val="0000FF"/>
        </w:rPr>
        <w:t>“CONFIDENCIAL POR LEY”</w:t>
      </w:r>
      <w:r w:rsidR="00C9435A" w:rsidRPr="004E27D5">
        <w:rPr>
          <w:rFonts w:ascii="ITC Avant Garde" w:hAnsi="ITC Avant Garde"/>
          <w:color w:val="0000FF"/>
        </w:rPr>
        <w:t xml:space="preserve"> </w:t>
      </w:r>
      <w:r w:rsidR="00C9435A" w:rsidRPr="004E27D5">
        <w:rPr>
          <w:rFonts w:ascii="ITC Avant Garde" w:hAnsi="ITC Avant Garde"/>
        </w:rPr>
        <w:t>Municipio de Valle de Bravo, Estado de México</w:t>
      </w:r>
      <w:r w:rsidR="00645A4D" w:rsidRPr="004E27D5">
        <w:rPr>
          <w:rFonts w:ascii="ITC Avant Garde" w:hAnsi="ITC Avant Garde"/>
        </w:rPr>
        <w:t xml:space="preserve">, </w:t>
      </w:r>
      <w:r w:rsidR="00A0552D" w:rsidRPr="004E27D5">
        <w:rPr>
          <w:rFonts w:ascii="ITC Avant Garde" w:hAnsi="ITC Avant Garde"/>
        </w:rPr>
        <w:t xml:space="preserve">sin contar con el documento idóneo que ampare la prestación </w:t>
      </w:r>
      <w:r w:rsidR="00AD2C9C" w:rsidRPr="004E27D5">
        <w:rPr>
          <w:rFonts w:ascii="ITC Avant Garde" w:hAnsi="ITC Avant Garde"/>
        </w:rPr>
        <w:t>de dicho</w:t>
      </w:r>
      <w:r w:rsidR="00A0552D" w:rsidRPr="004E27D5">
        <w:rPr>
          <w:rFonts w:ascii="ITC Avant Garde" w:hAnsi="ITC Avant Garde"/>
        </w:rPr>
        <w:t xml:space="preserve"> servicio. </w:t>
      </w:r>
    </w:p>
    <w:p w:rsidR="009E7D7C" w:rsidRPr="004E27D5" w:rsidRDefault="005079F4" w:rsidP="005079F4">
      <w:pPr>
        <w:spacing w:after="0" w:line="360" w:lineRule="auto"/>
        <w:jc w:val="both"/>
        <w:rPr>
          <w:rFonts w:ascii="ITC Avant Garde" w:hAnsi="ITC Avant Garde"/>
        </w:rPr>
      </w:pPr>
      <w:r w:rsidRPr="004E27D5">
        <w:rPr>
          <w:rFonts w:ascii="ITC Avant Garde" w:hAnsi="ITC Avant Garde"/>
        </w:rPr>
        <w:t xml:space="preserve">Asimismo, con motivo del monitoreo realizado en dicho domicilio, se constató que el uso de la frecuencia </w:t>
      </w:r>
      <w:r w:rsidRPr="004E27D5">
        <w:rPr>
          <w:rFonts w:ascii="ITC Avant Garde" w:hAnsi="ITC Avant Garde"/>
          <w:b/>
        </w:rPr>
        <w:t>106.1 MHz,</w:t>
      </w:r>
      <w:r w:rsidRPr="004E27D5">
        <w:rPr>
          <w:rFonts w:ascii="ITC Avant Garde" w:hAnsi="ITC Avant Garde"/>
        </w:rPr>
        <w:t xml:space="preserve"> no estaba registrada a</w:t>
      </w:r>
      <w:r w:rsidRPr="004E27D5">
        <w:rPr>
          <w:rFonts w:ascii="ITC Avant Garde" w:eastAsia="Times New Roman" w:hAnsi="ITC Avant Garde"/>
          <w:bCs/>
          <w:color w:val="000000"/>
          <w:lang w:eastAsia="es-MX"/>
        </w:rPr>
        <w:t xml:space="preserve"> concesionario o autorizado alguno para esa entidad, dentro de la infraestructura de Estaciones de Radio </w:t>
      </w:r>
      <w:r w:rsidRPr="004E27D5">
        <w:rPr>
          <w:rFonts w:ascii="ITC Avant Garde" w:eastAsia="Times New Roman" w:hAnsi="ITC Avant Garde"/>
          <w:b/>
          <w:bCs/>
          <w:color w:val="000000"/>
          <w:lang w:eastAsia="es-MX"/>
        </w:rPr>
        <w:t>FM</w:t>
      </w:r>
      <w:r w:rsidRPr="004E27D5">
        <w:rPr>
          <w:rFonts w:ascii="ITC Avant Garde" w:eastAsia="Times New Roman" w:hAnsi="ITC Avant Garde"/>
          <w:bCs/>
          <w:color w:val="000000"/>
          <w:lang w:eastAsia="es-MX"/>
        </w:rPr>
        <w:t xml:space="preserve"> publicada en la página web del Instituto.</w:t>
      </w:r>
    </w:p>
    <w:p w:rsidR="004F3596" w:rsidRPr="004E27D5" w:rsidRDefault="00A0552D" w:rsidP="00A15149">
      <w:pPr>
        <w:spacing w:after="0" w:line="360" w:lineRule="auto"/>
        <w:jc w:val="both"/>
        <w:rPr>
          <w:rFonts w:ascii="ITC Avant Garde" w:eastAsia="Times New Roman" w:hAnsi="ITC Avant Garde"/>
          <w:bCs/>
          <w:color w:val="000000"/>
          <w:lang w:eastAsia="es-MX"/>
        </w:rPr>
      </w:pPr>
      <w:r w:rsidRPr="004E27D5">
        <w:rPr>
          <w:rFonts w:ascii="ITC Avant Garde" w:hAnsi="ITC Avant Garde"/>
        </w:rPr>
        <w:t>A</w:t>
      </w:r>
      <w:r w:rsidR="00BF051C" w:rsidRPr="004E27D5">
        <w:rPr>
          <w:rFonts w:ascii="ITC Avant Garde" w:hAnsi="ITC Avant Garde"/>
        </w:rPr>
        <w:t>hora bien</w:t>
      </w:r>
      <w:r w:rsidRPr="004E27D5">
        <w:rPr>
          <w:rFonts w:ascii="ITC Avant Garde" w:hAnsi="ITC Avant Garde"/>
        </w:rPr>
        <w:t>, d</w:t>
      </w:r>
      <w:r w:rsidRPr="004E27D5">
        <w:rPr>
          <w:rFonts w:ascii="ITC Avant Garde" w:eastAsia="Times New Roman" w:hAnsi="ITC Avant Garde"/>
          <w:bCs/>
          <w:color w:val="000000"/>
          <w:lang w:eastAsia="es-MX"/>
        </w:rPr>
        <w:t xml:space="preserve">e los hechos que se hicieron constar en el </w:t>
      </w:r>
      <w:r w:rsidR="00E11BA0" w:rsidRPr="004E27D5">
        <w:rPr>
          <w:rFonts w:ascii="ITC Avant Garde" w:eastAsia="Times New Roman" w:hAnsi="ITC Avant Garde"/>
          <w:b/>
          <w:bCs/>
          <w:color w:val="000000"/>
          <w:lang w:eastAsia="es-MX"/>
        </w:rPr>
        <w:t xml:space="preserve">ACTA </w:t>
      </w:r>
      <w:r w:rsidR="00895B8E" w:rsidRPr="004E27D5">
        <w:rPr>
          <w:rFonts w:ascii="ITC Avant Garde" w:eastAsia="Times New Roman" w:hAnsi="ITC Avant Garde"/>
          <w:b/>
          <w:bCs/>
          <w:color w:val="000000"/>
          <w:lang w:eastAsia="es-MX"/>
        </w:rPr>
        <w:t xml:space="preserve">DE </w:t>
      </w:r>
      <w:r w:rsidR="00E11BA0" w:rsidRPr="004E27D5">
        <w:rPr>
          <w:rFonts w:ascii="ITC Avant Garde" w:eastAsia="Times New Roman" w:hAnsi="ITC Avant Garde"/>
          <w:b/>
          <w:bCs/>
          <w:color w:val="000000"/>
          <w:lang w:eastAsia="es-MX"/>
        </w:rPr>
        <w:t xml:space="preserve">VERIFICACIÓN ORDINARIA </w:t>
      </w:r>
      <w:r w:rsidRPr="004E27D5">
        <w:rPr>
          <w:rFonts w:ascii="ITC Avant Garde" w:eastAsia="Times New Roman" w:hAnsi="ITC Avant Garde"/>
          <w:bCs/>
          <w:color w:val="000000"/>
          <w:lang w:eastAsia="es-MX"/>
        </w:rPr>
        <w:t>durante el desarrollo de la visita de inspección-verificación, se desprende lo siguiente</w:t>
      </w:r>
      <w:r w:rsidR="004F3596" w:rsidRPr="004E27D5">
        <w:rPr>
          <w:rFonts w:ascii="ITC Avant Garde" w:eastAsia="Times New Roman" w:hAnsi="ITC Avant Garde"/>
          <w:bCs/>
          <w:color w:val="000000"/>
          <w:lang w:eastAsia="es-MX"/>
        </w:rPr>
        <w:t>:</w:t>
      </w:r>
    </w:p>
    <w:p w:rsidR="001561CA" w:rsidRPr="004E27D5" w:rsidRDefault="008A7548" w:rsidP="0091156A">
      <w:pPr>
        <w:numPr>
          <w:ilvl w:val="0"/>
          <w:numId w:val="2"/>
        </w:numPr>
        <w:spacing w:after="0" w:line="360" w:lineRule="auto"/>
        <w:jc w:val="both"/>
        <w:rPr>
          <w:rFonts w:ascii="ITC Avant Garde" w:hAnsi="ITC Avant Garde"/>
        </w:rPr>
        <w:sectPr w:rsidR="001561CA" w:rsidRPr="004E27D5" w:rsidSect="009B5755">
          <w:headerReference w:type="default" r:id="rId20"/>
          <w:pgSz w:w="12240" w:h="15840"/>
          <w:pgMar w:top="1985" w:right="1418" w:bottom="1418" w:left="1418" w:header="709" w:footer="420" w:gutter="0"/>
          <w:cols w:space="708"/>
          <w:docGrid w:linePitch="360"/>
        </w:sectPr>
      </w:pPr>
      <w:r w:rsidRPr="004E27D5">
        <w:rPr>
          <w:rFonts w:ascii="ITC Avant Garde" w:hAnsi="ITC Avant Garde"/>
        </w:rPr>
        <w:t>E</w:t>
      </w:r>
      <w:r w:rsidR="00A96264" w:rsidRPr="004E27D5">
        <w:rPr>
          <w:rFonts w:ascii="ITC Avant Garde" w:hAnsi="ITC Avant Garde"/>
        </w:rPr>
        <w:t xml:space="preserve">l uso de la frecuencia </w:t>
      </w:r>
      <w:r w:rsidR="00C9435A" w:rsidRPr="004E27D5">
        <w:rPr>
          <w:rFonts w:ascii="ITC Avant Garde" w:hAnsi="ITC Avant Garde"/>
          <w:b/>
          <w:caps/>
        </w:rPr>
        <w:t>106.1</w:t>
      </w:r>
      <w:r w:rsidR="002C1AD8" w:rsidRPr="004E27D5">
        <w:rPr>
          <w:rFonts w:ascii="ITC Avant Garde" w:hAnsi="ITC Avant Garde"/>
          <w:b/>
        </w:rPr>
        <w:t xml:space="preserve"> MHz</w:t>
      </w:r>
      <w:r w:rsidR="00A96264" w:rsidRPr="004E27D5">
        <w:rPr>
          <w:rFonts w:ascii="ITC Avant Garde" w:hAnsi="ITC Avant Garde"/>
        </w:rPr>
        <w:t xml:space="preserve">, mediante </w:t>
      </w:r>
      <w:r w:rsidR="006A75C0" w:rsidRPr="004E27D5">
        <w:rPr>
          <w:rFonts w:ascii="ITC Avant Garde" w:hAnsi="ITC Avant Garde"/>
        </w:rPr>
        <w:t>d</w:t>
      </w:r>
      <w:r w:rsidR="006A75C0" w:rsidRPr="004E27D5">
        <w:rPr>
          <w:rFonts w:ascii="ITC Avant Garde" w:eastAsia="Times New Roman" w:hAnsi="ITC Avant Garde"/>
          <w:bCs/>
          <w:color w:val="000000"/>
          <w:lang w:eastAsia="es-MX"/>
        </w:rPr>
        <w:t>os</w:t>
      </w:r>
      <w:r w:rsidR="006A75C0" w:rsidRPr="004E27D5">
        <w:rPr>
          <w:rFonts w:ascii="ITC Avant Garde" w:hAnsi="ITC Avant Garde"/>
        </w:rPr>
        <w:t xml:space="preserve"> antenas omnidireccional </w:t>
      </w:r>
      <w:r w:rsidR="005079F4" w:rsidRPr="004E27D5">
        <w:rPr>
          <w:rFonts w:ascii="ITC Avant Garde" w:hAnsi="ITC Avant Garde"/>
        </w:rPr>
        <w:t xml:space="preserve">tipo “T” </w:t>
      </w:r>
      <w:r w:rsidR="006A75C0" w:rsidRPr="004E27D5">
        <w:rPr>
          <w:rFonts w:ascii="ITC Avant Garde" w:hAnsi="ITC Avant Garde"/>
        </w:rPr>
        <w:t>sin marca, sin modelo y sin número de serie, un transmisor, sin marca, sin modelo y sin número de serie, una consola de audio sin marca, sin modelo y sin número de serie y un CPU Armado sin marca, sin modelo y sin número de serie</w:t>
      </w:r>
      <w:r w:rsidR="009B65CE" w:rsidRPr="004E27D5">
        <w:rPr>
          <w:rFonts w:ascii="ITC Avant Garde" w:hAnsi="ITC Avant Garde"/>
        </w:rPr>
        <w:t xml:space="preserve"> </w:t>
      </w:r>
      <w:r w:rsidR="00B571DA" w:rsidRPr="004E27D5">
        <w:rPr>
          <w:rFonts w:ascii="ITC Avant Garde" w:hAnsi="ITC Avant Garde"/>
        </w:rPr>
        <w:t xml:space="preserve">conectado a </w:t>
      </w:r>
    </w:p>
    <w:p w:rsidR="009E7D7C" w:rsidRPr="004E27D5" w:rsidRDefault="00B571DA" w:rsidP="0091156A">
      <w:pPr>
        <w:numPr>
          <w:ilvl w:val="0"/>
          <w:numId w:val="2"/>
        </w:numPr>
        <w:spacing w:after="0" w:line="360" w:lineRule="auto"/>
        <w:jc w:val="both"/>
        <w:rPr>
          <w:rFonts w:ascii="ITC Avant Garde" w:hAnsi="ITC Avant Garde"/>
        </w:rPr>
      </w:pPr>
      <w:r w:rsidRPr="004E27D5">
        <w:rPr>
          <w:rFonts w:ascii="ITC Avant Garde" w:hAnsi="ITC Avant Garde"/>
        </w:rPr>
        <w:lastRenderedPageBreak/>
        <w:t>equipos de transmisión para FM</w:t>
      </w:r>
      <w:r w:rsidR="004F3596" w:rsidRPr="004E27D5">
        <w:rPr>
          <w:rFonts w:ascii="ITC Avant Garde" w:hAnsi="ITC Avant Garde"/>
        </w:rPr>
        <w:t>, con lo que se acredita el uso</w:t>
      </w:r>
      <w:r w:rsidR="001A07AC" w:rsidRPr="004E27D5">
        <w:rPr>
          <w:rFonts w:ascii="ITC Avant Garde" w:hAnsi="ITC Avant Garde"/>
        </w:rPr>
        <w:t xml:space="preserve"> y</w:t>
      </w:r>
      <w:r w:rsidR="004F3596" w:rsidRPr="004E27D5">
        <w:rPr>
          <w:rFonts w:ascii="ITC Avant Garde" w:hAnsi="ITC Avant Garde"/>
        </w:rPr>
        <w:t xml:space="preserve"> aprovechamiento del espectro radioeléctrico,</w:t>
      </w:r>
      <w:r w:rsidR="00572E59" w:rsidRPr="004E27D5">
        <w:rPr>
          <w:rFonts w:ascii="ITC Avant Garde" w:hAnsi="ITC Avant Garde"/>
        </w:rPr>
        <w:t xml:space="preserve"> </w:t>
      </w:r>
      <w:r w:rsidR="004F3596" w:rsidRPr="004E27D5">
        <w:rPr>
          <w:rFonts w:ascii="ITC Avant Garde" w:hAnsi="ITC Avant Garde"/>
        </w:rPr>
        <w:t xml:space="preserve">correspondiente a la banda de </w:t>
      </w:r>
      <w:r w:rsidR="004F3596" w:rsidRPr="004E27D5">
        <w:rPr>
          <w:rFonts w:ascii="ITC Avant Garde" w:hAnsi="ITC Avant Garde"/>
          <w:b/>
        </w:rPr>
        <w:t>FM</w:t>
      </w:r>
      <w:r w:rsidR="004F3596" w:rsidRPr="004E27D5">
        <w:rPr>
          <w:rFonts w:ascii="ITC Avant Garde" w:hAnsi="ITC Avant Garde"/>
        </w:rPr>
        <w:t xml:space="preserve">, </w:t>
      </w:r>
      <w:r w:rsidR="00CB4D8A" w:rsidRPr="004E27D5">
        <w:rPr>
          <w:rFonts w:ascii="ITC Avant Garde" w:hAnsi="ITC Avant Garde"/>
        </w:rPr>
        <w:t>sin contar con concesión o permiso</w:t>
      </w:r>
      <w:r w:rsidR="004F3596" w:rsidRPr="004E27D5">
        <w:rPr>
          <w:rFonts w:ascii="ITC Avant Garde" w:hAnsi="ITC Avant Garde"/>
        </w:rPr>
        <w:t>.</w:t>
      </w:r>
    </w:p>
    <w:p w:rsidR="009E7D7C" w:rsidRPr="004E27D5" w:rsidRDefault="004F3596" w:rsidP="001F5F26">
      <w:pPr>
        <w:pStyle w:val="Listavistosa-nfasis11"/>
        <w:numPr>
          <w:ilvl w:val="0"/>
          <w:numId w:val="2"/>
        </w:numPr>
        <w:spacing w:after="0" w:line="360" w:lineRule="auto"/>
        <w:jc w:val="both"/>
        <w:rPr>
          <w:rFonts w:ascii="ITC Avant Garde" w:hAnsi="ITC Avant Garde"/>
        </w:rPr>
      </w:pPr>
      <w:r w:rsidRPr="004E27D5">
        <w:rPr>
          <w:rFonts w:ascii="ITC Avant Garde" w:hAnsi="ITC Avant Garde"/>
        </w:rPr>
        <w:t xml:space="preserve">Del monitoreo realizado, así como de las grabaciones realizadas de la transmisión se constata que </w:t>
      </w:r>
      <w:r w:rsidR="008A7548" w:rsidRPr="004E27D5">
        <w:rPr>
          <w:rFonts w:ascii="ITC Avant Garde" w:hAnsi="ITC Avant Garde"/>
        </w:rPr>
        <w:t xml:space="preserve">el </w:t>
      </w:r>
      <w:r w:rsidR="00A01799" w:rsidRPr="004E27D5">
        <w:rPr>
          <w:rFonts w:ascii="ITC Avant Garde" w:hAnsi="ITC Avant Garde"/>
          <w:b/>
        </w:rPr>
        <w:t>PRESUNTO RESPONSABLE</w:t>
      </w:r>
      <w:r w:rsidR="008A7548" w:rsidRPr="004E27D5">
        <w:rPr>
          <w:rFonts w:ascii="ITC Avant Garde" w:hAnsi="ITC Avant Garde"/>
          <w:b/>
        </w:rPr>
        <w:t xml:space="preserve"> </w:t>
      </w:r>
      <w:r w:rsidRPr="004E27D5">
        <w:rPr>
          <w:rFonts w:ascii="ITC Avant Garde" w:hAnsi="ITC Avant Garde"/>
        </w:rPr>
        <w:t xml:space="preserve">se encontraba prestando servicios de radiodifusión mediante el uso de la frecuencia </w:t>
      </w:r>
      <w:r w:rsidR="00C9435A" w:rsidRPr="004E27D5">
        <w:rPr>
          <w:rFonts w:ascii="ITC Avant Garde" w:hAnsi="ITC Avant Garde"/>
          <w:b/>
          <w:caps/>
        </w:rPr>
        <w:t>106.1</w:t>
      </w:r>
      <w:r w:rsidR="002C1AD8" w:rsidRPr="004E27D5">
        <w:rPr>
          <w:rFonts w:ascii="ITC Avant Garde" w:hAnsi="ITC Avant Garde"/>
          <w:b/>
        </w:rPr>
        <w:t xml:space="preserve"> MHz</w:t>
      </w:r>
      <w:r w:rsidR="00FA5F65" w:rsidRPr="004E27D5">
        <w:rPr>
          <w:rFonts w:ascii="ITC Avant Garde" w:hAnsi="ITC Avant Garde"/>
          <w:b/>
        </w:rPr>
        <w:t xml:space="preserve"> </w:t>
      </w:r>
      <w:r w:rsidR="00FA5F65" w:rsidRPr="004E27D5">
        <w:rPr>
          <w:rFonts w:ascii="ITC Avant Garde" w:hAnsi="ITC Avant Garde"/>
        </w:rPr>
        <w:t xml:space="preserve">en la banda de </w:t>
      </w:r>
      <w:r w:rsidR="003F6331" w:rsidRPr="004E27D5">
        <w:rPr>
          <w:rFonts w:ascii="ITC Avant Garde" w:hAnsi="ITC Avant Garde"/>
        </w:rPr>
        <w:t>FM</w:t>
      </w:r>
      <w:r w:rsidR="00FA5F65" w:rsidRPr="004E27D5">
        <w:rPr>
          <w:rFonts w:ascii="ITC Avant Garde" w:hAnsi="ITC Avant Garde"/>
        </w:rPr>
        <w:t>.</w:t>
      </w:r>
    </w:p>
    <w:p w:rsidR="004F3596" w:rsidRPr="004E27D5" w:rsidRDefault="00CB4D8A" w:rsidP="006A75C0">
      <w:pPr>
        <w:pStyle w:val="Listavistosa-nfasis11"/>
        <w:numPr>
          <w:ilvl w:val="0"/>
          <w:numId w:val="2"/>
        </w:numPr>
        <w:spacing w:after="0" w:line="360" w:lineRule="auto"/>
        <w:jc w:val="both"/>
        <w:rPr>
          <w:rFonts w:ascii="ITC Avant Garde" w:eastAsia="Times New Roman" w:hAnsi="ITC Avant Garde"/>
          <w:bCs/>
          <w:color w:val="000000"/>
          <w:lang w:eastAsia="es-MX"/>
        </w:rPr>
      </w:pPr>
      <w:r w:rsidRPr="004E27D5">
        <w:rPr>
          <w:rFonts w:ascii="ITC Avant Garde" w:hAnsi="ITC Avant Garde"/>
        </w:rPr>
        <w:t xml:space="preserve">En cuanto al cuestionamiento de </w:t>
      </w:r>
      <w:r w:rsidR="00E11BA0" w:rsidRPr="004E27D5">
        <w:rPr>
          <w:rFonts w:ascii="ITC Avant Garde" w:eastAsia="Times New Roman" w:hAnsi="ITC Avant Garde"/>
          <w:b/>
          <w:bCs/>
          <w:color w:val="000000"/>
          <w:lang w:eastAsia="es-MX"/>
        </w:rPr>
        <w:t>LOS</w:t>
      </w:r>
      <w:r w:rsidR="00AB25ED" w:rsidRPr="004E27D5">
        <w:rPr>
          <w:rFonts w:ascii="ITC Avant Garde" w:eastAsia="Times New Roman" w:hAnsi="ITC Avant Garde"/>
          <w:b/>
          <w:bCs/>
          <w:color w:val="000000"/>
          <w:lang w:eastAsia="es-MX"/>
        </w:rPr>
        <w:t xml:space="preserve"> VERIFICADOR</w:t>
      </w:r>
      <w:r w:rsidR="00E11BA0" w:rsidRPr="004E27D5">
        <w:rPr>
          <w:rFonts w:ascii="ITC Avant Garde" w:eastAsia="Times New Roman" w:hAnsi="ITC Avant Garde"/>
          <w:b/>
          <w:bCs/>
          <w:color w:val="000000"/>
          <w:lang w:eastAsia="es-MX"/>
        </w:rPr>
        <w:t>ES</w:t>
      </w:r>
      <w:r w:rsidRPr="004E27D5">
        <w:rPr>
          <w:rFonts w:ascii="ITC Avant Garde" w:hAnsi="ITC Avant Garde"/>
          <w:b/>
        </w:rPr>
        <w:t>,</w:t>
      </w:r>
      <w:r w:rsidRPr="004E27D5">
        <w:rPr>
          <w:rFonts w:ascii="ITC Avant Garde" w:hAnsi="ITC Avant Garde"/>
        </w:rPr>
        <w:t xml:space="preserve"> respecto a que si contaba con concesión o permiso, para el uso de la frecuencia </w:t>
      </w:r>
      <w:r w:rsidR="00C9435A" w:rsidRPr="004E27D5">
        <w:rPr>
          <w:rFonts w:ascii="ITC Avant Garde" w:hAnsi="ITC Avant Garde"/>
          <w:b/>
          <w:caps/>
        </w:rPr>
        <w:t>106.1</w:t>
      </w:r>
      <w:r w:rsidR="002C1AD8" w:rsidRPr="004E27D5">
        <w:rPr>
          <w:rFonts w:ascii="ITC Avant Garde" w:hAnsi="ITC Avant Garde"/>
          <w:b/>
        </w:rPr>
        <w:t xml:space="preserve"> MHz</w:t>
      </w:r>
      <w:r w:rsidR="0066621B" w:rsidRPr="004E27D5" w:rsidDel="0066621B">
        <w:rPr>
          <w:rFonts w:ascii="ITC Avant Garde" w:hAnsi="ITC Avant Garde"/>
          <w:b/>
        </w:rPr>
        <w:t xml:space="preserve"> </w:t>
      </w:r>
      <w:r w:rsidR="004F3596" w:rsidRPr="004E27D5">
        <w:rPr>
          <w:rFonts w:ascii="ITC Avant Garde" w:hAnsi="ITC Avant Garde"/>
        </w:rPr>
        <w:t xml:space="preserve"> en la banda de </w:t>
      </w:r>
      <w:r w:rsidR="004F3596" w:rsidRPr="004E27D5">
        <w:rPr>
          <w:rFonts w:ascii="ITC Avant Garde" w:hAnsi="ITC Avant Garde"/>
          <w:b/>
        </w:rPr>
        <w:t>FM</w:t>
      </w:r>
      <w:r w:rsidR="004F3596" w:rsidRPr="004E27D5">
        <w:rPr>
          <w:rFonts w:ascii="ITC Avant Garde" w:hAnsi="ITC Avant Garde"/>
        </w:rPr>
        <w:t xml:space="preserve">, la persona que atendió la diligencia </w:t>
      </w:r>
      <w:r w:rsidR="00E11BA0" w:rsidRPr="004E27D5">
        <w:rPr>
          <w:rFonts w:ascii="ITC Avant Garde" w:hAnsi="ITC Avant Garde"/>
        </w:rPr>
        <w:t>manifestó</w:t>
      </w:r>
      <w:r w:rsidR="00232142" w:rsidRPr="004E27D5">
        <w:rPr>
          <w:rFonts w:ascii="ITC Avant Garde" w:hAnsi="ITC Avant Garde"/>
        </w:rPr>
        <w:t>:</w:t>
      </w:r>
      <w:r w:rsidR="00E11BA0" w:rsidRPr="004E27D5">
        <w:rPr>
          <w:rFonts w:ascii="ITC Avant Garde" w:hAnsi="ITC Avant Garde"/>
        </w:rPr>
        <w:t xml:space="preserve"> </w:t>
      </w:r>
      <w:r w:rsidR="00230FF2" w:rsidRPr="004E27D5">
        <w:rPr>
          <w:rFonts w:ascii="ITC Avant Garde" w:hAnsi="ITC Avant Garde"/>
        </w:rPr>
        <w:t>“</w:t>
      </w:r>
      <w:r w:rsidR="006A75C0" w:rsidRPr="004E27D5">
        <w:rPr>
          <w:rFonts w:ascii="ITC Avant Garde" w:hAnsi="ITC Avant Garde" w:cs="Tahoma"/>
        </w:rPr>
        <w:t>sino sabía que era una estación menos si tenía concesión</w:t>
      </w:r>
      <w:r w:rsidR="00230FF2" w:rsidRPr="004E27D5">
        <w:rPr>
          <w:rFonts w:ascii="ITC Avant Garde" w:hAnsi="ITC Avant Garde" w:cs="Tahoma"/>
        </w:rPr>
        <w:t>”</w:t>
      </w:r>
      <w:r w:rsidR="004F3596" w:rsidRPr="004E27D5">
        <w:rPr>
          <w:rFonts w:ascii="ITC Avant Garde" w:hAnsi="ITC Avant Garde"/>
        </w:rPr>
        <w:t>.</w:t>
      </w:r>
    </w:p>
    <w:p w:rsidR="009E7D7C" w:rsidRPr="004E27D5" w:rsidRDefault="00CB4D8A" w:rsidP="00A15149">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Por tanto, se acredita </w:t>
      </w:r>
      <w:r w:rsidRPr="004E27D5">
        <w:rPr>
          <w:rFonts w:ascii="ITC Avant Garde" w:hAnsi="ITC Avant Garde"/>
        </w:rPr>
        <w:t>la infracción al artículo</w:t>
      </w:r>
      <w:r w:rsidRPr="004E27D5">
        <w:rPr>
          <w:rFonts w:ascii="ITC Avant Garde" w:hAnsi="ITC Avant Garde"/>
          <w:bCs/>
        </w:rPr>
        <w:t xml:space="preserve"> 66</w:t>
      </w:r>
      <w:r w:rsidR="002C6FA8" w:rsidRPr="004E27D5">
        <w:rPr>
          <w:rFonts w:ascii="ITC Avant Garde" w:hAnsi="ITC Avant Garde"/>
          <w:bCs/>
        </w:rPr>
        <w:t xml:space="preserve"> en relación con el 75,</w:t>
      </w:r>
      <w:r w:rsidRPr="004E27D5">
        <w:rPr>
          <w:rFonts w:ascii="ITC Avant Garde" w:hAnsi="ITC Avant Garde"/>
          <w:bCs/>
        </w:rPr>
        <w:t xml:space="preserve"> de la </w:t>
      </w:r>
      <w:r w:rsidR="006310EA" w:rsidRPr="004E27D5">
        <w:rPr>
          <w:rFonts w:ascii="ITC Avant Garde" w:hAnsi="ITC Avant Garde"/>
          <w:b/>
          <w:bCs/>
        </w:rPr>
        <w:t>LFTR</w:t>
      </w:r>
      <w:r w:rsidRPr="004E27D5">
        <w:rPr>
          <w:rFonts w:ascii="ITC Avant Garde" w:hAnsi="ITC Avant Garde"/>
          <w:b/>
          <w:bCs/>
        </w:rPr>
        <w:t xml:space="preserve">, </w:t>
      </w:r>
      <w:r w:rsidRPr="004E27D5">
        <w:rPr>
          <w:rFonts w:ascii="ITC Avant Garde" w:hAnsi="ITC Avant Garde"/>
          <w:bCs/>
        </w:rPr>
        <w:t>toda vez que</w:t>
      </w:r>
      <w:r w:rsidRPr="004E27D5">
        <w:rPr>
          <w:rFonts w:ascii="ITC Avant Garde" w:eastAsia="Times New Roman" w:hAnsi="ITC Avant Garde"/>
          <w:bCs/>
          <w:color w:val="000000"/>
          <w:lang w:eastAsia="es-MX"/>
        </w:rPr>
        <w:t xml:space="preserve"> al momento de llevarse a cabo la visita de inspección-verificación,</w:t>
      </w:r>
      <w:r w:rsidR="00FA5F65" w:rsidRPr="004E27D5">
        <w:rPr>
          <w:rFonts w:ascii="ITC Avant Garde" w:eastAsia="Times New Roman" w:hAnsi="ITC Avant Garde"/>
          <w:bCs/>
          <w:color w:val="000000"/>
          <w:lang w:eastAsia="es-MX"/>
        </w:rPr>
        <w:t xml:space="preserve"> se detectó que en el </w:t>
      </w:r>
      <w:r w:rsidRPr="004E27D5">
        <w:rPr>
          <w:rFonts w:ascii="ITC Avant Garde" w:eastAsia="Times New Roman" w:hAnsi="ITC Avant Garde"/>
          <w:bCs/>
          <w:color w:val="000000"/>
          <w:lang w:eastAsia="es-MX"/>
        </w:rPr>
        <w:t xml:space="preserve">inmueble visitado, </w:t>
      </w:r>
      <w:r w:rsidR="00BF051C" w:rsidRPr="004E27D5">
        <w:rPr>
          <w:rFonts w:ascii="ITC Avant Garde" w:eastAsia="Times New Roman" w:hAnsi="ITC Avant Garde"/>
          <w:bCs/>
          <w:color w:val="000000"/>
          <w:lang w:eastAsia="es-MX"/>
        </w:rPr>
        <w:t>se presta</w:t>
      </w:r>
      <w:r w:rsidR="00FA5F65" w:rsidRPr="004E27D5">
        <w:rPr>
          <w:rFonts w:ascii="ITC Avant Garde" w:eastAsia="Times New Roman" w:hAnsi="ITC Avant Garde"/>
          <w:bCs/>
          <w:color w:val="000000"/>
          <w:lang w:eastAsia="es-MX"/>
        </w:rPr>
        <w:t>ba</w:t>
      </w:r>
      <w:r w:rsidR="00BF051C" w:rsidRPr="004E27D5">
        <w:rPr>
          <w:rFonts w:ascii="ITC Avant Garde" w:eastAsia="Times New Roman" w:hAnsi="ITC Avant Garde"/>
          <w:bCs/>
          <w:color w:val="000000"/>
          <w:lang w:eastAsia="es-MX"/>
        </w:rPr>
        <w:t xml:space="preserve"> el servicio de radiodifusión a través del uso de la frecuencia </w:t>
      </w:r>
      <w:r w:rsidR="00C9435A" w:rsidRPr="004E27D5">
        <w:rPr>
          <w:rFonts w:ascii="ITC Avant Garde" w:hAnsi="ITC Avant Garde"/>
          <w:b/>
          <w:caps/>
        </w:rPr>
        <w:t>106.1</w:t>
      </w:r>
      <w:r w:rsidR="002C1AD8" w:rsidRPr="004E27D5">
        <w:rPr>
          <w:rFonts w:ascii="ITC Avant Garde" w:hAnsi="ITC Avant Garde"/>
          <w:b/>
        </w:rPr>
        <w:t xml:space="preserve"> MHz</w:t>
      </w:r>
      <w:r w:rsidR="00BF051C" w:rsidRPr="004E27D5">
        <w:rPr>
          <w:rFonts w:ascii="ITC Avant Garde" w:eastAsia="Times New Roman" w:hAnsi="ITC Avant Garde"/>
          <w:bCs/>
          <w:color w:val="000000"/>
          <w:lang w:eastAsia="es-MX"/>
        </w:rPr>
        <w:t xml:space="preserve"> de FM, sin contar con la respectiva </w:t>
      </w:r>
      <w:r w:rsidRPr="004E27D5">
        <w:rPr>
          <w:rFonts w:ascii="ITC Avant Garde" w:eastAsia="Times New Roman" w:hAnsi="ITC Avant Garde"/>
          <w:bCs/>
          <w:color w:val="000000"/>
          <w:lang w:eastAsia="es-MX"/>
        </w:rPr>
        <w:t>concesión</w:t>
      </w:r>
      <w:r w:rsidR="004F591A" w:rsidRPr="004E27D5">
        <w:rPr>
          <w:rFonts w:ascii="ITC Avant Garde" w:eastAsia="Times New Roman" w:hAnsi="ITC Avant Garde"/>
          <w:bCs/>
          <w:color w:val="000000"/>
          <w:lang w:eastAsia="es-MX"/>
        </w:rPr>
        <w:t>, permiso o autorización</w:t>
      </w:r>
      <w:r w:rsidRPr="004E27D5">
        <w:rPr>
          <w:rFonts w:ascii="ITC Avant Garde" w:eastAsia="Times New Roman" w:hAnsi="ITC Avant Garde"/>
          <w:bCs/>
          <w:color w:val="000000"/>
          <w:lang w:eastAsia="es-MX"/>
        </w:rPr>
        <w:t xml:space="preserve"> emitida</w:t>
      </w:r>
      <w:r w:rsidR="00BC6E55" w:rsidRPr="004E27D5">
        <w:rPr>
          <w:rFonts w:ascii="ITC Avant Garde" w:eastAsia="Times New Roman" w:hAnsi="ITC Avant Garde"/>
          <w:bCs/>
          <w:color w:val="000000"/>
          <w:lang w:eastAsia="es-MX"/>
        </w:rPr>
        <w:t xml:space="preserve"> por autoridad competente</w:t>
      </w:r>
      <w:r w:rsidR="004F3596" w:rsidRPr="004E27D5">
        <w:rPr>
          <w:rFonts w:ascii="ITC Avant Garde" w:eastAsia="Times New Roman" w:hAnsi="ITC Avant Garde"/>
          <w:bCs/>
          <w:color w:val="000000"/>
          <w:lang w:eastAsia="es-MX"/>
        </w:rPr>
        <w:t>.</w:t>
      </w:r>
    </w:p>
    <w:p w:rsidR="009E7D7C" w:rsidRPr="004E27D5" w:rsidRDefault="004F3596" w:rsidP="004F3596">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
          <w:lang w:eastAsia="es-MX"/>
        </w:rPr>
        <w:t xml:space="preserve">B) </w:t>
      </w:r>
      <w:r w:rsidRPr="004E27D5">
        <w:rPr>
          <w:rFonts w:ascii="ITC Avant Garde" w:hAnsi="ITC Avant Garde"/>
          <w:b/>
          <w:bCs/>
          <w:u w:val="single"/>
        </w:rPr>
        <w:t xml:space="preserve">Artículo 305 de la </w:t>
      </w:r>
      <w:r w:rsidR="006310EA" w:rsidRPr="004E27D5">
        <w:rPr>
          <w:rFonts w:ascii="ITC Avant Garde" w:hAnsi="ITC Avant Garde"/>
          <w:b/>
          <w:bCs/>
          <w:u w:val="single"/>
        </w:rPr>
        <w:t>LFTR</w:t>
      </w:r>
      <w:r w:rsidRPr="004E27D5">
        <w:rPr>
          <w:rFonts w:ascii="ITC Avant Garde" w:hAnsi="ITC Avant Garde"/>
          <w:b/>
          <w:bCs/>
          <w:u w:val="single"/>
        </w:rPr>
        <w:t>.</w:t>
      </w:r>
    </w:p>
    <w:p w:rsidR="009E7D7C" w:rsidRPr="004E27D5" w:rsidRDefault="00CB4D8A" w:rsidP="004F3596">
      <w:pPr>
        <w:spacing w:after="0" w:line="360" w:lineRule="auto"/>
        <w:jc w:val="both"/>
        <w:rPr>
          <w:rFonts w:ascii="ITC Avant Garde" w:eastAsia="Times New Roman" w:hAnsi="ITC Avant Garde"/>
          <w:bCs/>
          <w:color w:val="000000"/>
          <w:u w:val="single"/>
          <w:lang w:eastAsia="es-MX"/>
        </w:rPr>
      </w:pPr>
      <w:r w:rsidRPr="004E27D5">
        <w:rPr>
          <w:rFonts w:ascii="ITC Avant Garde" w:hAnsi="ITC Avant Garde"/>
        </w:rPr>
        <w:t xml:space="preserve">En lo que respecta al artículo 305 de la </w:t>
      </w:r>
      <w:r w:rsidR="006310EA" w:rsidRPr="004E27D5">
        <w:rPr>
          <w:rFonts w:ascii="ITC Avant Garde" w:hAnsi="ITC Avant Garde"/>
          <w:b/>
        </w:rPr>
        <w:t>LFTR</w:t>
      </w:r>
      <w:r w:rsidRPr="004E27D5">
        <w:rPr>
          <w:rFonts w:ascii="ITC Avant Garde" w:hAnsi="ITC Avant Garde"/>
          <w:b/>
        </w:rPr>
        <w:t>,</w:t>
      </w:r>
      <w:r w:rsidRPr="004E27D5">
        <w:rPr>
          <w:rFonts w:ascii="ITC Avant Garde" w:hAnsi="ITC Avant Garde"/>
        </w:rPr>
        <w:t xml:space="preserve"> dicha disposición establece que </w:t>
      </w:r>
      <w:r w:rsidRPr="004E27D5">
        <w:rPr>
          <w:rFonts w:ascii="ITC Avant Garde" w:eastAsia="Times New Roman" w:hAnsi="ITC Avant Garde"/>
          <w:bCs/>
          <w:color w:val="000000"/>
          <w:lang w:eastAsia="es-MX"/>
        </w:rPr>
        <w:t>“L</w:t>
      </w:r>
      <w:r w:rsidRPr="004E27D5">
        <w:rPr>
          <w:rFonts w:ascii="ITC Avant Garde" w:eastAsia="Times New Roman" w:hAnsi="ITC Avant Garde"/>
          <w:bCs/>
          <w:color w:val="000000"/>
          <w:u w:val="single"/>
          <w:lang w:eastAsia="es-MX"/>
        </w:rPr>
        <w:t>as personas que presten servicios de radiodifusión, sin contar con concesión o autorización</w:t>
      </w:r>
      <w:r w:rsidRPr="004E27D5">
        <w:rPr>
          <w:rFonts w:ascii="ITC Avant Garde" w:eastAsia="Times New Roman" w:hAnsi="ITC Avant Garde"/>
          <w:bCs/>
          <w:color w:val="000000"/>
          <w:lang w:eastAsia="es-MX"/>
        </w:rPr>
        <w:t xml:space="preserve">, o que por cualquier otro medio invadan u obstruyan las vías generales de comunicación, </w:t>
      </w:r>
      <w:r w:rsidRPr="004E27D5">
        <w:rPr>
          <w:rFonts w:ascii="ITC Avant Garde" w:eastAsia="Times New Roman" w:hAnsi="ITC Avant Garde"/>
          <w:bCs/>
          <w:color w:val="000000"/>
          <w:u w:val="single"/>
          <w:lang w:eastAsia="es-MX"/>
        </w:rPr>
        <w:t>perderán en beneficio de la Nación los bienes, instalaciones y equipos empleados en la comisión de dichas infracciones”.</w:t>
      </w:r>
    </w:p>
    <w:p w:rsidR="009E7D7C" w:rsidRPr="004E27D5" w:rsidRDefault="00CB4D8A" w:rsidP="00CB4D8A">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En efecto, el espectro radioeléctrico constituye un bien de uso común que está sujeto al régimen de dominio público de la Federación, pudiendo hacer uso de él todos los habitantes de la República Mexicana, con las restricciones establecidas en las leyes</w:t>
      </w:r>
      <w:r w:rsidR="00AD2C9C" w:rsidRPr="004E27D5">
        <w:rPr>
          <w:rFonts w:ascii="ITC Avant Garde" w:eastAsia="Times New Roman" w:hAnsi="ITC Avant Garde"/>
          <w:bCs/>
          <w:color w:val="000000"/>
          <w:lang w:eastAsia="es-MX"/>
        </w:rPr>
        <w:t xml:space="preserve">, </w:t>
      </w:r>
      <w:r w:rsidRPr="004E27D5">
        <w:rPr>
          <w:rFonts w:ascii="ITC Avant Garde" w:eastAsia="Times New Roman" w:hAnsi="ITC Avant Garde"/>
          <w:bCs/>
          <w:color w:val="000000"/>
          <w:lang w:eastAsia="es-MX"/>
        </w:rPr>
        <w:t xml:space="preserve">reglamentos </w:t>
      </w:r>
      <w:r w:rsidR="00AD2C9C" w:rsidRPr="004E27D5">
        <w:rPr>
          <w:rFonts w:ascii="ITC Avant Garde" w:eastAsia="Times New Roman" w:hAnsi="ITC Avant Garde"/>
          <w:bCs/>
          <w:color w:val="000000"/>
          <w:lang w:eastAsia="es-MX"/>
        </w:rPr>
        <w:t xml:space="preserve">y disposiciones </w:t>
      </w:r>
      <w:r w:rsidRPr="004E27D5">
        <w:rPr>
          <w:rFonts w:ascii="ITC Avant Garde" w:eastAsia="Times New Roman" w:hAnsi="ITC Avant Garde"/>
          <w:bCs/>
          <w:color w:val="000000"/>
          <w:lang w:eastAsia="es-MX"/>
        </w:rPr>
        <w:t>administrativ</w:t>
      </w:r>
      <w:r w:rsidR="00BC6E55" w:rsidRPr="004E27D5">
        <w:rPr>
          <w:rFonts w:ascii="ITC Avant Garde" w:eastAsia="Times New Roman" w:hAnsi="ITC Avant Garde"/>
          <w:bCs/>
          <w:color w:val="000000"/>
          <w:lang w:eastAsia="es-MX"/>
        </w:rPr>
        <w:t>a</w:t>
      </w:r>
      <w:r w:rsidRPr="004E27D5">
        <w:rPr>
          <w:rFonts w:ascii="ITC Avant Garde" w:eastAsia="Times New Roman" w:hAnsi="ITC Avant Garde"/>
          <w:bCs/>
          <w:color w:val="000000"/>
          <w:lang w:eastAsia="es-MX"/>
        </w:rPr>
        <w:t xml:space="preserve">s aplicables, pero para su aprovechamiento se requiere concesión otorgada conforme a las condiciones y requisitos legalmente establecidos, los </w:t>
      </w:r>
      <w:r w:rsidR="00B46303" w:rsidRPr="004E27D5">
        <w:rPr>
          <w:rFonts w:ascii="ITC Avant Garde" w:eastAsia="Times New Roman" w:hAnsi="ITC Avant Garde"/>
          <w:bCs/>
          <w:color w:val="000000"/>
          <w:lang w:eastAsia="es-MX"/>
        </w:rPr>
        <w:t xml:space="preserve">cuales </w:t>
      </w:r>
      <w:r w:rsidRPr="004E27D5">
        <w:rPr>
          <w:rFonts w:ascii="ITC Avant Garde" w:eastAsia="Times New Roman" w:hAnsi="ITC Avant Garde"/>
          <w:bCs/>
          <w:color w:val="000000"/>
          <w:lang w:eastAsia="es-MX"/>
        </w:rPr>
        <w:t>no crean derechos reales, pues sólo otorgan frente a la administración y sin perjuicio de terceros, el derecho al uso, aprovechamiento o explotación conforme a las leyes y al título correspondiente</w:t>
      </w:r>
      <w:r w:rsidR="004F3596" w:rsidRPr="004E27D5">
        <w:rPr>
          <w:rFonts w:ascii="ITC Avant Garde" w:eastAsia="Times New Roman" w:hAnsi="ITC Avant Garde"/>
          <w:bCs/>
          <w:color w:val="000000"/>
          <w:lang w:eastAsia="es-MX"/>
        </w:rPr>
        <w:t>.</w:t>
      </w:r>
    </w:p>
    <w:p w:rsidR="009E7D7C" w:rsidRPr="004E27D5" w:rsidRDefault="00CB4D8A" w:rsidP="00CB4D8A">
      <w:pPr>
        <w:spacing w:after="0" w:line="360" w:lineRule="auto"/>
        <w:jc w:val="both"/>
        <w:rPr>
          <w:rFonts w:ascii="ITC Avant Garde" w:eastAsia="Times New Roman" w:hAnsi="ITC Avant Garde"/>
          <w:bCs/>
          <w:color w:val="000000"/>
          <w:u w:val="single"/>
          <w:lang w:eastAsia="es-MX"/>
        </w:rPr>
      </w:pPr>
      <w:r w:rsidRPr="004E27D5">
        <w:rPr>
          <w:rFonts w:ascii="ITC Avant Garde" w:hAnsi="ITC Avant Garde"/>
          <w:lang w:val="es-ES_tradnl"/>
        </w:rPr>
        <w:lastRenderedPageBreak/>
        <w:t>Al respecto, durante la diligencia de inspección-verificación,</w:t>
      </w:r>
      <w:r w:rsidRPr="004E27D5">
        <w:rPr>
          <w:rFonts w:ascii="ITC Avant Garde" w:hAnsi="ITC Avant Garde"/>
          <w:b/>
        </w:rPr>
        <w:t xml:space="preserve"> </w:t>
      </w:r>
      <w:r w:rsidR="008D00C2" w:rsidRPr="004E27D5">
        <w:rPr>
          <w:rFonts w:ascii="ITC Avant Garde" w:eastAsia="Times New Roman" w:hAnsi="ITC Avant Garde"/>
          <w:b/>
          <w:bCs/>
          <w:color w:val="000000"/>
          <w:lang w:eastAsia="es-MX"/>
        </w:rPr>
        <w:t>LOS</w:t>
      </w:r>
      <w:r w:rsidR="00752FBC" w:rsidRPr="004E27D5">
        <w:rPr>
          <w:rFonts w:ascii="ITC Avant Garde" w:eastAsia="Times New Roman" w:hAnsi="ITC Avant Garde"/>
          <w:b/>
          <w:bCs/>
          <w:color w:val="000000"/>
          <w:lang w:eastAsia="es-MX"/>
        </w:rPr>
        <w:t xml:space="preserve"> VERIFICADOR</w:t>
      </w:r>
      <w:r w:rsidR="008D00C2" w:rsidRPr="004E27D5">
        <w:rPr>
          <w:rFonts w:ascii="ITC Avant Garde" w:eastAsia="Times New Roman" w:hAnsi="ITC Avant Garde"/>
          <w:b/>
          <w:bCs/>
          <w:color w:val="000000"/>
          <w:lang w:eastAsia="es-MX"/>
        </w:rPr>
        <w:t>ES</w:t>
      </w:r>
      <w:r w:rsidRPr="004E27D5">
        <w:rPr>
          <w:rFonts w:ascii="ITC Avant Garde" w:hAnsi="ITC Avant Garde"/>
        </w:rPr>
        <w:t>, realiz</w:t>
      </w:r>
      <w:r w:rsidR="00FA5F65" w:rsidRPr="004E27D5">
        <w:rPr>
          <w:rFonts w:ascii="ITC Avant Garde" w:hAnsi="ITC Avant Garde"/>
        </w:rPr>
        <w:t>aron</w:t>
      </w:r>
      <w:r w:rsidRPr="004E27D5">
        <w:rPr>
          <w:rFonts w:ascii="ITC Avant Garde" w:hAnsi="ITC Avant Garde"/>
        </w:rPr>
        <w:t xml:space="preserve"> el monito</w:t>
      </w:r>
      <w:r w:rsidR="005F09DA" w:rsidRPr="004E27D5">
        <w:rPr>
          <w:rFonts w:ascii="ITC Avant Garde" w:hAnsi="ITC Avant Garde"/>
        </w:rPr>
        <w:t xml:space="preserve">reo de </w:t>
      </w:r>
      <w:r w:rsidR="004E0B5E" w:rsidRPr="004E27D5">
        <w:rPr>
          <w:rFonts w:ascii="ITC Avant Garde" w:hAnsi="ITC Avant Garde"/>
        </w:rPr>
        <w:t>frecuencias</w:t>
      </w:r>
      <w:r w:rsidR="005F09DA" w:rsidRPr="004E27D5">
        <w:rPr>
          <w:rFonts w:ascii="ITC Avant Garde" w:hAnsi="ITC Avant Garde"/>
        </w:rPr>
        <w:t xml:space="preserve"> en FM</w:t>
      </w:r>
      <w:r w:rsidRPr="004E27D5">
        <w:rPr>
          <w:rFonts w:ascii="ITC Avant Garde" w:hAnsi="ITC Avant Garde"/>
        </w:rPr>
        <w:t xml:space="preserve"> y corrobor</w:t>
      </w:r>
      <w:r w:rsidR="008D00C2" w:rsidRPr="004E27D5">
        <w:rPr>
          <w:rFonts w:ascii="ITC Avant Garde" w:hAnsi="ITC Avant Garde"/>
        </w:rPr>
        <w:t>aron</w:t>
      </w:r>
      <w:r w:rsidRPr="004E27D5">
        <w:rPr>
          <w:rFonts w:ascii="ITC Avant Garde" w:hAnsi="ITC Avant Garde"/>
        </w:rPr>
        <w:t xml:space="preserve"> que la frecuencia </w:t>
      </w:r>
      <w:r w:rsidR="00C9435A" w:rsidRPr="004E27D5">
        <w:rPr>
          <w:rFonts w:ascii="ITC Avant Garde" w:hAnsi="ITC Avant Garde"/>
          <w:b/>
          <w:caps/>
        </w:rPr>
        <w:t>106.1</w:t>
      </w:r>
      <w:r w:rsidR="002C1AD8" w:rsidRPr="004E27D5">
        <w:rPr>
          <w:rFonts w:ascii="ITC Avant Garde" w:hAnsi="ITC Avant Garde"/>
          <w:b/>
        </w:rPr>
        <w:t xml:space="preserve"> MHz</w:t>
      </w:r>
      <w:r w:rsidRPr="004E27D5">
        <w:rPr>
          <w:rFonts w:ascii="ITC Avant Garde" w:hAnsi="ITC Avant Garde"/>
        </w:rPr>
        <w:t xml:space="preserve"> estaba siendo utilizada.</w:t>
      </w:r>
      <w:r w:rsidRPr="004E27D5">
        <w:rPr>
          <w:rStyle w:val="Refdenotaalpie"/>
          <w:rFonts w:ascii="ITC Avant Garde" w:hAnsi="ITC Avant Garde"/>
        </w:rPr>
        <w:footnoteReference w:id="2"/>
      </w:r>
      <w:r w:rsidRPr="004E27D5">
        <w:rPr>
          <w:rFonts w:ascii="ITC Avant Garde" w:hAnsi="ITC Avant Garde"/>
        </w:rPr>
        <w:t xml:space="preserve"> </w:t>
      </w:r>
    </w:p>
    <w:p w:rsidR="009E7D7C" w:rsidRPr="004E27D5" w:rsidRDefault="00CB4D8A" w:rsidP="00CB4D8A">
      <w:pPr>
        <w:spacing w:after="0" w:line="360" w:lineRule="auto"/>
        <w:jc w:val="both"/>
        <w:rPr>
          <w:rFonts w:ascii="ITC Avant Garde" w:hAnsi="ITC Avant Garde"/>
        </w:rPr>
      </w:pPr>
      <w:r w:rsidRPr="004E27D5">
        <w:rPr>
          <w:rFonts w:ascii="ITC Avant Garde" w:hAnsi="ITC Avant Garde"/>
        </w:rPr>
        <w:t xml:space="preserve">Asimismo, se corroboró que </w:t>
      </w:r>
      <w:r w:rsidR="004E0B5E" w:rsidRPr="004E27D5">
        <w:rPr>
          <w:rFonts w:ascii="ITC Avant Garde" w:hAnsi="ITC Avant Garde" w:cs="Arial"/>
        </w:rPr>
        <w:t xml:space="preserve">el </w:t>
      </w:r>
      <w:r w:rsidR="001D5571" w:rsidRPr="004E27D5">
        <w:rPr>
          <w:rFonts w:ascii="ITC Avant Garde" w:hAnsi="ITC Avant Garde" w:cs="Arial"/>
          <w:b/>
        </w:rPr>
        <w:t>PRESUNTO RESPONSABLE</w:t>
      </w:r>
      <w:r w:rsidR="00645A4D" w:rsidRPr="004E27D5">
        <w:rPr>
          <w:rFonts w:ascii="ITC Avant Garde" w:hAnsi="ITC Avant Garde" w:cs="Arial"/>
        </w:rPr>
        <w:t xml:space="preserve"> </w:t>
      </w:r>
      <w:r w:rsidR="00BC6E55" w:rsidRPr="004E27D5">
        <w:rPr>
          <w:rFonts w:ascii="ITC Avant Garde" w:hAnsi="ITC Avant Garde"/>
        </w:rPr>
        <w:t xml:space="preserve">se encontraba </w:t>
      </w:r>
      <w:r w:rsidRPr="004E27D5">
        <w:rPr>
          <w:rFonts w:ascii="ITC Avant Garde" w:hAnsi="ITC Avant Garde"/>
        </w:rPr>
        <w:t>presta</w:t>
      </w:r>
      <w:r w:rsidR="00BC6E55" w:rsidRPr="004E27D5">
        <w:rPr>
          <w:rFonts w:ascii="ITC Avant Garde" w:hAnsi="ITC Avant Garde"/>
        </w:rPr>
        <w:t>ndo</w:t>
      </w:r>
      <w:r w:rsidRPr="004E27D5">
        <w:rPr>
          <w:rFonts w:ascii="ITC Avant Garde" w:hAnsi="ITC Avant Garde"/>
        </w:rPr>
        <w:t xml:space="preserve"> el servicio de radiodifusión sin contar con el título de concesión</w:t>
      </w:r>
      <w:r w:rsidR="003C4A84" w:rsidRPr="004E27D5">
        <w:rPr>
          <w:rFonts w:ascii="ITC Avant Garde" w:hAnsi="ITC Avant Garde"/>
        </w:rPr>
        <w:t>,</w:t>
      </w:r>
      <w:r w:rsidRPr="004E27D5">
        <w:rPr>
          <w:rFonts w:ascii="ITC Avant Garde" w:hAnsi="ITC Avant Garde"/>
        </w:rPr>
        <w:t xml:space="preserve"> permiso </w:t>
      </w:r>
      <w:r w:rsidR="004F591A" w:rsidRPr="004E27D5">
        <w:rPr>
          <w:rFonts w:ascii="ITC Avant Garde" w:hAnsi="ITC Avant Garde"/>
        </w:rPr>
        <w:t>o autorización</w:t>
      </w:r>
      <w:r w:rsidR="009E3B31" w:rsidRPr="004E27D5">
        <w:rPr>
          <w:rFonts w:ascii="ITC Avant Garde" w:hAnsi="ITC Avant Garde"/>
        </w:rPr>
        <w:t xml:space="preserve"> </w:t>
      </w:r>
      <w:r w:rsidR="003C4A84" w:rsidRPr="004E27D5">
        <w:rPr>
          <w:rFonts w:ascii="ITC Avant Garde" w:hAnsi="ITC Avant Garde"/>
        </w:rPr>
        <w:t>respectivos</w:t>
      </w:r>
      <w:r w:rsidRPr="004E27D5">
        <w:rPr>
          <w:rFonts w:ascii="ITC Avant Garde" w:hAnsi="ITC Avant Garde"/>
        </w:rPr>
        <w:t xml:space="preserve">. En consecuencia, se </w:t>
      </w:r>
      <w:r w:rsidRPr="004E27D5">
        <w:rPr>
          <w:rFonts w:ascii="ITC Avant Garde" w:hAnsi="ITC Avant Garde"/>
          <w:bCs/>
        </w:rPr>
        <w:t xml:space="preserve">actualiza la hipótesis normativa prevista en el artículo 305, de la </w:t>
      </w:r>
      <w:r w:rsidR="006310EA" w:rsidRPr="004E27D5">
        <w:rPr>
          <w:rFonts w:ascii="ITC Avant Garde" w:hAnsi="ITC Avant Garde"/>
          <w:b/>
          <w:bCs/>
        </w:rPr>
        <w:t>LFTR</w:t>
      </w:r>
      <w:r w:rsidRPr="004E27D5">
        <w:rPr>
          <w:rFonts w:ascii="ITC Avant Garde" w:hAnsi="ITC Avant Garde"/>
          <w:bCs/>
        </w:rPr>
        <w:t>.</w:t>
      </w:r>
    </w:p>
    <w:p w:rsidR="009E7D7C" w:rsidRPr="004E27D5" w:rsidRDefault="00BC6E55" w:rsidP="00CB4D8A">
      <w:pPr>
        <w:pStyle w:val="Textoindependiente"/>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Ahora bien, </w:t>
      </w:r>
      <w:r w:rsidR="00CB4D8A" w:rsidRPr="004E27D5">
        <w:rPr>
          <w:rFonts w:ascii="ITC Avant Garde" w:eastAsia="Times New Roman" w:hAnsi="ITC Avant Garde"/>
          <w:bCs/>
          <w:color w:val="000000"/>
          <w:lang w:eastAsia="es-MX"/>
        </w:rPr>
        <w:t xml:space="preserve">en el dictamen remitido por la </w:t>
      </w:r>
      <w:r w:rsidR="00CB4D8A" w:rsidRPr="004E27D5">
        <w:rPr>
          <w:rFonts w:ascii="ITC Avant Garde" w:eastAsia="Times New Roman" w:hAnsi="ITC Avant Garde"/>
          <w:b/>
          <w:bCs/>
          <w:color w:val="000000"/>
          <w:lang w:eastAsia="es-MX"/>
        </w:rPr>
        <w:t>DGV</w:t>
      </w:r>
      <w:r w:rsidR="00CB4D8A" w:rsidRPr="004E27D5">
        <w:rPr>
          <w:rFonts w:ascii="ITC Avant Garde" w:eastAsia="Times New Roman" w:hAnsi="ITC Avant Garde"/>
          <w:bCs/>
          <w:color w:val="000000"/>
          <w:lang w:eastAsia="es-MX"/>
        </w:rPr>
        <w:t xml:space="preserve"> se consideró que </w:t>
      </w:r>
      <w:r w:rsidR="008A7548" w:rsidRPr="004E27D5">
        <w:rPr>
          <w:rFonts w:ascii="ITC Avant Garde" w:eastAsia="Times New Roman" w:hAnsi="ITC Avant Garde"/>
          <w:bCs/>
          <w:color w:val="000000"/>
          <w:lang w:eastAsia="es-MX"/>
        </w:rPr>
        <w:t xml:space="preserve">el </w:t>
      </w:r>
      <w:r w:rsidR="00A01799" w:rsidRPr="004E27D5">
        <w:rPr>
          <w:rFonts w:ascii="ITC Avant Garde" w:hAnsi="ITC Avant Garde"/>
          <w:b/>
        </w:rPr>
        <w:t>PRESUNTO RESPONSABLE</w:t>
      </w:r>
      <w:r w:rsidR="008A7548" w:rsidRPr="004E27D5">
        <w:rPr>
          <w:rFonts w:ascii="ITC Avant Garde" w:eastAsia="Times New Roman" w:hAnsi="ITC Avant Garde"/>
          <w:b/>
          <w:bCs/>
          <w:color w:val="000000"/>
          <w:lang w:eastAsia="es-MX"/>
        </w:rPr>
        <w:t xml:space="preserve"> </w:t>
      </w:r>
      <w:r w:rsidR="00CB4D8A" w:rsidRPr="004E27D5">
        <w:rPr>
          <w:rFonts w:ascii="ITC Avant Garde" w:eastAsia="Times New Roman" w:hAnsi="ITC Avant Garde"/>
          <w:bCs/>
          <w:color w:val="000000"/>
          <w:lang w:eastAsia="es-MX"/>
        </w:rPr>
        <w:t xml:space="preserve">prestaba el servicio público de radiodifusión a través del uso, aprovechamiento o explotación de la banda de frecuencia </w:t>
      </w:r>
      <w:r w:rsidR="00C9435A" w:rsidRPr="004E27D5">
        <w:rPr>
          <w:rFonts w:ascii="ITC Avant Garde" w:hAnsi="ITC Avant Garde"/>
          <w:b/>
          <w:caps/>
        </w:rPr>
        <w:t>106.1</w:t>
      </w:r>
      <w:r w:rsidR="002C1AD8" w:rsidRPr="004E27D5">
        <w:rPr>
          <w:rFonts w:ascii="ITC Avant Garde" w:hAnsi="ITC Avant Garde"/>
          <w:b/>
        </w:rPr>
        <w:t xml:space="preserve"> MHz</w:t>
      </w:r>
      <w:r w:rsidR="00CB4D8A" w:rsidRPr="004E27D5">
        <w:rPr>
          <w:rFonts w:ascii="ITC Avant Garde" w:eastAsia="Times New Roman" w:hAnsi="ITC Avant Garde"/>
          <w:bCs/>
          <w:color w:val="000000"/>
          <w:lang w:eastAsia="es-MX"/>
        </w:rPr>
        <w:t>, sin contar con la concesión o permiso otorga</w:t>
      </w:r>
      <w:r w:rsidRPr="004E27D5">
        <w:rPr>
          <w:rFonts w:ascii="ITC Avant Garde" w:eastAsia="Times New Roman" w:hAnsi="ITC Avant Garde"/>
          <w:bCs/>
          <w:color w:val="000000"/>
          <w:lang w:eastAsia="es-MX"/>
        </w:rPr>
        <w:t xml:space="preserve">do por la autoridad competente y en consecuencia </w:t>
      </w:r>
      <w:r w:rsidR="00CB4D8A" w:rsidRPr="004E27D5">
        <w:rPr>
          <w:rFonts w:ascii="ITC Avant Garde" w:eastAsia="Times New Roman" w:hAnsi="ITC Avant Garde"/>
          <w:bCs/>
          <w:color w:val="000000"/>
          <w:lang w:eastAsia="es-MX"/>
        </w:rPr>
        <w:t xml:space="preserve">el </w:t>
      </w:r>
      <w:r w:rsidR="00AD2C9C" w:rsidRPr="004E27D5">
        <w:rPr>
          <w:rFonts w:ascii="ITC Avant Garde" w:eastAsia="Times New Roman" w:hAnsi="ITC Avant Garde"/>
          <w:bCs/>
          <w:color w:val="000000"/>
          <w:lang w:eastAsia="es-MX"/>
        </w:rPr>
        <w:t>T</w:t>
      </w:r>
      <w:r w:rsidR="00CB4D8A" w:rsidRPr="004E27D5">
        <w:rPr>
          <w:rFonts w:ascii="ITC Avant Garde" w:eastAsia="Times New Roman" w:hAnsi="ITC Avant Garde"/>
          <w:bCs/>
          <w:color w:val="000000"/>
          <w:lang w:eastAsia="es-MX"/>
        </w:rPr>
        <w:t>itular de la Unidad de Cumplimiento inició el procedimiento de imposición de sanción respectivo, mismo que se procede a resolver por éste Órgano Colegiado.</w:t>
      </w:r>
    </w:p>
    <w:p w:rsidR="009B5755" w:rsidRPr="004E27D5" w:rsidRDefault="00CB4D8A" w:rsidP="00CB4D8A">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Lo anterior considerando que</w:t>
      </w:r>
      <w:r w:rsidRPr="004E27D5" w:rsidDel="00913BDC">
        <w:rPr>
          <w:rFonts w:ascii="ITC Avant Garde" w:eastAsia="Times New Roman" w:hAnsi="ITC Avant Garde"/>
          <w:bCs/>
          <w:color w:val="000000"/>
          <w:lang w:eastAsia="es-MX"/>
        </w:rPr>
        <w:t xml:space="preserve"> </w:t>
      </w:r>
      <w:r w:rsidRPr="004E27D5">
        <w:rPr>
          <w:rFonts w:ascii="ITC Avant Garde" w:eastAsia="Times New Roman" w:hAnsi="ITC Avant Garde"/>
          <w:bCs/>
          <w:color w:val="000000"/>
          <w:lang w:eastAsia="es-MX"/>
        </w:rPr>
        <w:t xml:space="preserve">de conformidad con los artículos 15, fracción XXX de la </w:t>
      </w:r>
      <w:r w:rsidR="006310EA" w:rsidRPr="004E27D5">
        <w:rPr>
          <w:rFonts w:ascii="ITC Avant Garde" w:eastAsia="Times New Roman" w:hAnsi="ITC Avant Garde"/>
          <w:b/>
          <w:bCs/>
          <w:color w:val="000000"/>
          <w:lang w:eastAsia="es-MX"/>
        </w:rPr>
        <w:t>LFTR</w:t>
      </w:r>
      <w:r w:rsidRPr="004E27D5">
        <w:rPr>
          <w:rFonts w:ascii="ITC Avant Garde" w:eastAsia="Times New Roman" w:hAnsi="ITC Avant Garde"/>
          <w:bCs/>
          <w:color w:val="000000"/>
          <w:lang w:eastAsia="es-MX"/>
        </w:rPr>
        <w:t xml:space="preserve"> y </w:t>
      </w:r>
      <w:r w:rsidR="00AD2C9C" w:rsidRPr="004E27D5">
        <w:rPr>
          <w:rFonts w:ascii="ITC Avant Garde" w:eastAsia="Times New Roman" w:hAnsi="ITC Avant Garde"/>
          <w:bCs/>
          <w:color w:val="000000"/>
          <w:lang w:eastAsia="es-MX"/>
        </w:rPr>
        <w:t>41 e</w:t>
      </w:r>
      <w:r w:rsidR="00BC6E55" w:rsidRPr="004E27D5">
        <w:rPr>
          <w:rFonts w:ascii="ITC Avant Garde" w:eastAsia="Times New Roman" w:hAnsi="ITC Avant Garde"/>
          <w:bCs/>
          <w:color w:val="000000"/>
          <w:lang w:eastAsia="es-MX"/>
        </w:rPr>
        <w:t>n relación con el 44 fracción I</w:t>
      </w:r>
      <w:r w:rsidR="00B5756E" w:rsidRPr="004E27D5">
        <w:rPr>
          <w:rFonts w:ascii="ITC Avant Garde" w:eastAsia="Times New Roman" w:hAnsi="ITC Avant Garde"/>
          <w:bCs/>
          <w:color w:val="000000"/>
          <w:lang w:eastAsia="es-MX"/>
        </w:rPr>
        <w:t>,</w:t>
      </w:r>
      <w:r w:rsidR="00BC6E55" w:rsidRPr="004E27D5">
        <w:rPr>
          <w:rFonts w:ascii="ITC Avant Garde" w:eastAsia="Times New Roman" w:hAnsi="ITC Avant Garde"/>
          <w:bCs/>
          <w:color w:val="000000"/>
          <w:lang w:eastAsia="es-MX"/>
        </w:rPr>
        <w:t xml:space="preserve"> y</w:t>
      </w:r>
      <w:r w:rsidR="00AD2C9C" w:rsidRPr="004E27D5">
        <w:rPr>
          <w:rFonts w:ascii="ITC Avant Garde" w:eastAsia="Times New Roman" w:hAnsi="ITC Avant Garde"/>
          <w:bCs/>
          <w:color w:val="000000"/>
          <w:lang w:eastAsia="es-MX"/>
        </w:rPr>
        <w:t xml:space="preserve"> </w:t>
      </w:r>
      <w:r w:rsidRPr="004E27D5">
        <w:rPr>
          <w:rFonts w:ascii="ITC Avant Garde" w:eastAsia="Times New Roman" w:hAnsi="ITC Avant Garde"/>
          <w:bCs/>
          <w:color w:val="000000"/>
          <w:lang w:eastAsia="es-MX"/>
        </w:rPr>
        <w:t xml:space="preserve">6, fracción XVII del </w:t>
      </w:r>
      <w:r w:rsidRPr="004E27D5">
        <w:rPr>
          <w:rFonts w:ascii="ITC Avant Garde" w:eastAsia="Times New Roman" w:hAnsi="ITC Avant Garde"/>
          <w:b/>
          <w:bCs/>
          <w:color w:val="000000"/>
          <w:lang w:eastAsia="es-MX"/>
        </w:rPr>
        <w:t>ESTATUTO</w:t>
      </w:r>
      <w:r w:rsidRPr="004E27D5">
        <w:rPr>
          <w:rFonts w:ascii="ITC Avant Garde" w:eastAsia="Times New Roman" w:hAnsi="ITC Avant Garde"/>
          <w:bCs/>
          <w:color w:val="000000"/>
          <w:lang w:eastAsia="es-MX"/>
        </w:rPr>
        <w:t xml:space="preserve">, </w:t>
      </w:r>
      <w:r w:rsidR="00AD2C9C" w:rsidRPr="004E27D5">
        <w:rPr>
          <w:rFonts w:ascii="ITC Avant Garde" w:eastAsia="Times New Roman" w:hAnsi="ITC Avant Garde"/>
          <w:bCs/>
          <w:color w:val="000000"/>
          <w:lang w:eastAsia="es-MX"/>
        </w:rPr>
        <w:t xml:space="preserve">el Titular de la Unidad de Cumplimiento tiene facultad para sustanciar procedimientos administrativos sancionatorios y </w:t>
      </w:r>
      <w:r w:rsidRPr="004E27D5">
        <w:rPr>
          <w:rFonts w:ascii="ITC Avant Garde" w:eastAsia="Times New Roman" w:hAnsi="ITC Avant Garde"/>
          <w:bCs/>
          <w:color w:val="000000"/>
          <w:lang w:eastAsia="es-MX"/>
        </w:rPr>
        <w:t>el Pleno del</w:t>
      </w:r>
      <w:r w:rsidRPr="004E27D5">
        <w:rPr>
          <w:rFonts w:ascii="ITC Avant Garde" w:eastAsia="Times New Roman" w:hAnsi="ITC Avant Garde"/>
          <w:b/>
          <w:bCs/>
          <w:color w:val="000000"/>
          <w:lang w:eastAsia="es-MX"/>
        </w:rPr>
        <w:t xml:space="preserve"> </w:t>
      </w:r>
      <w:r w:rsidRPr="004E27D5">
        <w:rPr>
          <w:rFonts w:ascii="ITC Avant Garde" w:eastAsia="Times New Roman" w:hAnsi="ITC Avant Garde"/>
          <w:bCs/>
          <w:color w:val="000000"/>
          <w:lang w:eastAsia="es-MX"/>
        </w:rPr>
        <w:t>Instituto se encuentra facultado para imponer las sanciones respectivas y decla</w:t>
      </w:r>
      <w:r w:rsidRPr="004E27D5">
        <w:rPr>
          <w:rFonts w:ascii="ITC Avant Garde" w:eastAsia="Times New Roman" w:hAnsi="ITC Avant Garde"/>
          <w:bCs/>
          <w:color w:val="000000"/>
          <w:u w:val="single"/>
          <w:lang w:eastAsia="es-MX"/>
        </w:rPr>
        <w:t>r</w:t>
      </w:r>
      <w:r w:rsidRPr="004E27D5">
        <w:rPr>
          <w:rFonts w:ascii="ITC Avant Garde" w:eastAsia="Times New Roman" w:hAnsi="ITC Avant Garde"/>
          <w:bCs/>
          <w:color w:val="000000"/>
          <w:lang w:eastAsia="es-MX"/>
        </w:rPr>
        <w:t>ar la pérdida de los bienes</w:t>
      </w:r>
      <w:r w:rsidR="00BC6E55" w:rsidRPr="004E27D5">
        <w:rPr>
          <w:rFonts w:ascii="ITC Avant Garde" w:eastAsia="Times New Roman" w:hAnsi="ITC Avant Garde"/>
          <w:bCs/>
          <w:color w:val="000000"/>
          <w:lang w:eastAsia="es-MX"/>
        </w:rPr>
        <w:t>,</w:t>
      </w:r>
      <w:r w:rsidRPr="004E27D5">
        <w:rPr>
          <w:rFonts w:ascii="ITC Avant Garde" w:eastAsia="Times New Roman" w:hAnsi="ITC Avant Garde"/>
          <w:bCs/>
          <w:color w:val="000000"/>
          <w:lang w:eastAsia="es-MX"/>
        </w:rPr>
        <w:t xml:space="preserve"> instalaciones y equipos a favor de la Nación, por el incumplimiento e infracción a las disposiciones legales, reglamentarias y administrativas en materia de telecomunicaciones y radiodifusión.</w:t>
      </w:r>
    </w:p>
    <w:p w:rsidR="009E7D7C" w:rsidRPr="004E27D5" w:rsidRDefault="004F3596" w:rsidP="00A15149">
      <w:pPr>
        <w:pStyle w:val="Textoindependiente"/>
        <w:tabs>
          <w:tab w:val="left" w:pos="851"/>
        </w:tabs>
        <w:spacing w:after="0" w:line="360" w:lineRule="auto"/>
        <w:jc w:val="both"/>
        <w:rPr>
          <w:rFonts w:ascii="ITC Avant Garde" w:eastAsia="Times New Roman" w:hAnsi="ITC Avant Garde"/>
          <w:b/>
          <w:bCs/>
          <w:smallCaps/>
          <w:color w:val="000000"/>
          <w:lang w:eastAsia="es-MX"/>
        </w:rPr>
      </w:pPr>
      <w:r w:rsidRPr="004E27D5">
        <w:rPr>
          <w:rFonts w:ascii="ITC Avant Garde" w:eastAsia="Times New Roman" w:hAnsi="ITC Avant Garde"/>
          <w:b/>
          <w:bCs/>
          <w:color w:val="000000"/>
          <w:lang w:eastAsia="es-MX"/>
        </w:rPr>
        <w:t xml:space="preserve">CUARTO. </w:t>
      </w:r>
      <w:r w:rsidR="00DF4E60" w:rsidRPr="004E27D5">
        <w:rPr>
          <w:rFonts w:ascii="ITC Avant Garde" w:eastAsia="Times New Roman" w:hAnsi="ITC Avant Garde"/>
          <w:b/>
          <w:bCs/>
          <w:smallCaps/>
          <w:color w:val="000000"/>
          <w:lang w:eastAsia="es-MX"/>
        </w:rPr>
        <w:t>MANIFESTACIONES</w:t>
      </w:r>
      <w:r w:rsidR="007B2189" w:rsidRPr="004E27D5">
        <w:rPr>
          <w:rFonts w:ascii="ITC Avant Garde" w:eastAsia="Times New Roman" w:hAnsi="ITC Avant Garde"/>
          <w:b/>
          <w:bCs/>
          <w:smallCaps/>
          <w:color w:val="000000"/>
          <w:lang w:eastAsia="es-MX"/>
        </w:rPr>
        <w:t xml:space="preserve"> </w:t>
      </w:r>
      <w:r w:rsidR="00B5756E" w:rsidRPr="004E27D5">
        <w:rPr>
          <w:rFonts w:ascii="ITC Avant Garde" w:eastAsia="Times New Roman" w:hAnsi="ITC Avant Garde"/>
          <w:b/>
          <w:bCs/>
          <w:smallCaps/>
          <w:color w:val="000000"/>
          <w:lang w:eastAsia="es-MX"/>
        </w:rPr>
        <w:t>Y</w:t>
      </w:r>
      <w:r w:rsidR="002A3FF9" w:rsidRPr="004E27D5">
        <w:rPr>
          <w:rFonts w:ascii="ITC Avant Garde" w:eastAsia="Times New Roman" w:hAnsi="ITC Avant Garde"/>
          <w:b/>
          <w:bCs/>
          <w:smallCaps/>
          <w:color w:val="000000"/>
          <w:lang w:eastAsia="es-MX"/>
        </w:rPr>
        <w:t xml:space="preserve"> </w:t>
      </w:r>
      <w:r w:rsidRPr="004E27D5">
        <w:rPr>
          <w:rFonts w:ascii="ITC Avant Garde" w:eastAsia="Times New Roman" w:hAnsi="ITC Avant Garde"/>
          <w:b/>
          <w:bCs/>
          <w:smallCaps/>
          <w:color w:val="000000"/>
          <w:lang w:eastAsia="es-MX"/>
        </w:rPr>
        <w:t>PRUEBAS</w:t>
      </w:r>
      <w:r w:rsidR="00DF4E60" w:rsidRPr="004E27D5">
        <w:rPr>
          <w:rFonts w:ascii="ITC Avant Garde" w:eastAsia="Times New Roman" w:hAnsi="ITC Avant Garde"/>
          <w:b/>
          <w:bCs/>
          <w:smallCaps/>
          <w:color w:val="000000"/>
          <w:lang w:eastAsia="es-MX"/>
        </w:rPr>
        <w:t>.</w:t>
      </w:r>
    </w:p>
    <w:p w:rsidR="001561CA" w:rsidRPr="004E27D5" w:rsidRDefault="002C00F1" w:rsidP="009B65CE">
      <w:pPr>
        <w:pStyle w:val="Textoindependiente"/>
        <w:spacing w:after="0" w:line="360" w:lineRule="auto"/>
        <w:jc w:val="both"/>
        <w:rPr>
          <w:rFonts w:ascii="ITC Avant Garde" w:hAnsi="ITC Avant Garde"/>
        </w:rPr>
        <w:sectPr w:rsidR="001561CA" w:rsidRPr="004E27D5" w:rsidSect="009B5755">
          <w:headerReference w:type="default" r:id="rId21"/>
          <w:pgSz w:w="12240" w:h="15840"/>
          <w:pgMar w:top="1985" w:right="1418" w:bottom="1418" w:left="1418" w:header="709" w:footer="420" w:gutter="0"/>
          <w:cols w:space="708"/>
          <w:docGrid w:linePitch="360"/>
        </w:sectPr>
      </w:pPr>
      <w:r w:rsidRPr="004E27D5">
        <w:rPr>
          <w:rFonts w:ascii="ITC Avant Garde" w:eastAsia="Times New Roman" w:hAnsi="ITC Avant Garde"/>
          <w:bCs/>
          <w:lang w:eastAsia="es-MX"/>
        </w:rPr>
        <w:t>Mediante</w:t>
      </w:r>
      <w:r w:rsidR="008A7548" w:rsidRPr="004E27D5">
        <w:rPr>
          <w:rFonts w:ascii="ITC Avant Garde" w:eastAsia="Times New Roman" w:hAnsi="ITC Avant Garde"/>
          <w:bCs/>
          <w:lang w:eastAsia="es-MX"/>
        </w:rPr>
        <w:t xml:space="preserve"> oficio </w:t>
      </w:r>
      <w:r w:rsidR="00951ECE" w:rsidRPr="004E27D5">
        <w:rPr>
          <w:rFonts w:ascii="ITC Avant Garde" w:hAnsi="ITC Avant Garde"/>
          <w:b/>
        </w:rPr>
        <w:t>IFT/225/UC/DG-VER/</w:t>
      </w:r>
      <w:r w:rsidR="002D392F" w:rsidRPr="004E27D5">
        <w:rPr>
          <w:rFonts w:ascii="ITC Avant Garde" w:hAnsi="ITC Avant Garde"/>
          <w:b/>
        </w:rPr>
        <w:t xml:space="preserve">1428/2017 </w:t>
      </w:r>
      <w:r w:rsidR="002D392F" w:rsidRPr="004E27D5">
        <w:rPr>
          <w:rFonts w:ascii="ITC Avant Garde" w:hAnsi="ITC Avant Garde"/>
        </w:rPr>
        <w:t>de catorce de julio de dos mil diecisiete</w:t>
      </w:r>
      <w:r w:rsidR="008A7548" w:rsidRPr="004E27D5">
        <w:rPr>
          <w:rFonts w:ascii="ITC Avant Garde" w:eastAsia="Times New Roman" w:hAnsi="ITC Avant Garde"/>
          <w:bCs/>
          <w:color w:val="000000"/>
          <w:lang w:eastAsia="es-MX"/>
        </w:rPr>
        <w:t xml:space="preserve">, </w:t>
      </w:r>
      <w:r w:rsidRPr="004E27D5">
        <w:rPr>
          <w:rFonts w:ascii="ITC Avant Garde" w:eastAsia="Times New Roman" w:hAnsi="ITC Avant Garde"/>
          <w:bCs/>
          <w:color w:val="000000"/>
          <w:lang w:eastAsia="es-MX"/>
        </w:rPr>
        <w:t xml:space="preserve">la </w:t>
      </w:r>
      <w:r w:rsidRPr="004E27D5">
        <w:rPr>
          <w:rFonts w:ascii="ITC Avant Garde" w:eastAsia="Times New Roman" w:hAnsi="ITC Avant Garde"/>
          <w:b/>
          <w:bCs/>
          <w:color w:val="000000"/>
          <w:lang w:eastAsia="es-MX"/>
        </w:rPr>
        <w:t xml:space="preserve">DGV </w:t>
      </w:r>
      <w:r w:rsidRPr="004E27D5">
        <w:rPr>
          <w:rFonts w:ascii="ITC Avant Garde" w:eastAsia="Times New Roman" w:hAnsi="ITC Avant Garde"/>
          <w:bCs/>
          <w:color w:val="000000"/>
          <w:lang w:eastAsia="es-MX"/>
        </w:rPr>
        <w:t>remitió a</w:t>
      </w:r>
      <w:r w:rsidR="0035078F" w:rsidRPr="004E27D5">
        <w:rPr>
          <w:rFonts w:ascii="ITC Avant Garde" w:eastAsia="Times New Roman" w:hAnsi="ITC Avant Garde"/>
          <w:bCs/>
          <w:color w:val="000000"/>
          <w:lang w:eastAsia="es-MX"/>
        </w:rPr>
        <w:t xml:space="preserve"> </w:t>
      </w:r>
      <w:r w:rsidRPr="004E27D5">
        <w:rPr>
          <w:rFonts w:ascii="ITC Avant Garde" w:eastAsia="Times New Roman" w:hAnsi="ITC Avant Garde"/>
          <w:bCs/>
          <w:color w:val="000000"/>
          <w:lang w:eastAsia="es-MX"/>
        </w:rPr>
        <w:t>l</w:t>
      </w:r>
      <w:r w:rsidR="0035078F" w:rsidRPr="004E27D5">
        <w:rPr>
          <w:rFonts w:ascii="ITC Avant Garde" w:eastAsia="Times New Roman" w:hAnsi="ITC Avant Garde"/>
          <w:bCs/>
          <w:color w:val="000000"/>
          <w:lang w:eastAsia="es-MX"/>
        </w:rPr>
        <w:t xml:space="preserve">a </w:t>
      </w:r>
      <w:r w:rsidR="0035078F" w:rsidRPr="004E27D5">
        <w:rPr>
          <w:rFonts w:ascii="ITC Avant Garde" w:eastAsia="Times New Roman" w:hAnsi="ITC Avant Garde"/>
          <w:b/>
          <w:bCs/>
          <w:color w:val="000000"/>
          <w:lang w:eastAsia="es-MX"/>
        </w:rPr>
        <w:t>DG-SAN</w:t>
      </w:r>
      <w:r w:rsidR="0035078F" w:rsidRPr="004E27D5">
        <w:rPr>
          <w:rFonts w:ascii="ITC Avant Garde" w:eastAsia="Times New Roman" w:hAnsi="ITC Avant Garde"/>
          <w:bCs/>
          <w:color w:val="000000"/>
          <w:lang w:eastAsia="es-MX"/>
        </w:rPr>
        <w:t xml:space="preserve"> </w:t>
      </w:r>
      <w:r w:rsidRPr="004E27D5">
        <w:rPr>
          <w:rFonts w:ascii="ITC Avant Garde" w:eastAsia="Times New Roman" w:hAnsi="ITC Avant Garde"/>
          <w:bCs/>
          <w:color w:val="000000"/>
          <w:lang w:eastAsia="es-MX"/>
        </w:rPr>
        <w:t xml:space="preserve">de la Unidad de Cumplimiento </w:t>
      </w:r>
      <w:r w:rsidR="001D7C9C" w:rsidRPr="004E27D5">
        <w:rPr>
          <w:rFonts w:ascii="ITC Avant Garde" w:hAnsi="ITC Avant Garde"/>
        </w:rPr>
        <w:t>un Dictamen por el cual propuso</w:t>
      </w:r>
      <w:r w:rsidR="001D7C9C" w:rsidRPr="004E27D5">
        <w:rPr>
          <w:rFonts w:ascii="ITC Avant Garde" w:eastAsia="Times New Roman" w:hAnsi="ITC Avant Garde"/>
          <w:bCs/>
          <w:color w:val="000000"/>
          <w:lang w:eastAsia="es-MX"/>
        </w:rPr>
        <w:t xml:space="preserve"> se iniciara el “…PROCEDIMIENTO ADMINISTRATIVO DE IMPOSICIÓN DE SANCIÓN Y EN SU OPORTUNIDAD SE EMITA LA DECLARATORIA DE PÉRDIDA DE BIENES, INSTALACIONES Y EQUIPOS EN BENEFICIO DE LA NACIÓN EN CONTRA DEL </w:t>
      </w:r>
      <w:r w:rsidR="001D7C9C" w:rsidRPr="004E27D5">
        <w:rPr>
          <w:rFonts w:ascii="ITC Avant Garde" w:hAnsi="ITC Avant Garde"/>
        </w:rPr>
        <w:t xml:space="preserve">PROPIETARIO, </w:t>
      </w:r>
    </w:p>
    <w:p w:rsidR="009E7D7C" w:rsidRPr="004E27D5" w:rsidRDefault="001D7C9C" w:rsidP="009B65CE">
      <w:pPr>
        <w:pStyle w:val="Textoindependiente"/>
        <w:spacing w:after="0" w:line="360" w:lineRule="auto"/>
        <w:jc w:val="both"/>
        <w:rPr>
          <w:rFonts w:ascii="ITC Avant Garde" w:hAnsi="ITC Avant Garde"/>
        </w:rPr>
      </w:pPr>
      <w:r w:rsidRPr="004E27D5">
        <w:rPr>
          <w:rFonts w:ascii="ITC Avant Garde" w:hAnsi="ITC Avant Garde"/>
        </w:rPr>
        <w:lastRenderedPageBreak/>
        <w:t xml:space="preserve">Y/O POSEEDOR, Y/O RESPONSABLE, Y/O ENCARGADO DE LAS INSTALACIONES Y EQUIPOS DE RADIODIFUSIÓN LOCALIZADOS EN EL INMUEBLE UBICADO EN: </w:t>
      </w:r>
      <w:r w:rsidR="00E04264" w:rsidRPr="004E27D5">
        <w:rPr>
          <w:rFonts w:ascii="ITC Avant Garde" w:hAnsi="ITC Avant Garde"/>
          <w:b/>
          <w:color w:val="0000FF"/>
        </w:rPr>
        <w:t>“CONFIDENCIAL POR LEY”</w:t>
      </w:r>
      <w:r w:rsidRPr="004E27D5">
        <w:rPr>
          <w:rFonts w:ascii="ITC Avant Garde" w:hAnsi="ITC Avant Garde"/>
        </w:rPr>
        <w:t xml:space="preserve"> MUNICIPIO DE VALLE DE BRAVO, ESTADO DE MÉXICO, (LUGAR EN EL QUE SE DETECTARON LAS INSTALACIONES DE UNA ESTACIÓN DE RADIODIFUSIÓN, OPERANDO LA FRECUENCIA 106.1 MHZ),</w:t>
      </w:r>
      <w:r w:rsidRPr="004E27D5">
        <w:rPr>
          <w:rFonts w:ascii="ITC Avant Garde" w:hAnsi="ITC Avant Garde"/>
          <w:color w:val="000000"/>
        </w:rPr>
        <w:t xml:space="preserve"> </w:t>
      </w:r>
      <w:r w:rsidRPr="004E27D5">
        <w:rPr>
          <w:rFonts w:ascii="ITC Avant Garde" w:hAnsi="ITC Avant Garde"/>
        </w:rPr>
        <w:t>POR LA PRESUNTA INFRACCIÓN DE</w:t>
      </w:r>
      <w:r w:rsidRPr="004E27D5">
        <w:rPr>
          <w:rFonts w:ascii="ITC Avant Garde" w:eastAsia="Times New Roman" w:hAnsi="ITC Avant Garde"/>
          <w:bCs/>
          <w:color w:val="000000"/>
          <w:lang w:eastAsia="es-MX"/>
        </w:rPr>
        <w:t>L ARTÍCULO 66 EN RELACIÓN CON EL ARTÍCULO 75, Y LA PROBABLE ACTUALIZACIÓN DE LA HIPÓTESIS NORMATIVA PREVISTA EN EL ARTÍCULO 305, TODOS DE LA LEY FEDERAL DE TELECOMUNICACIONES Y RADIODIFUSIÓN, DERIVADO DE LA VISITA DE INSPECCIÓN Y VERIFICACIÓN QUE CONSTA EN EL ACTA DE VERIFICACIÓN NÚMERO IFT/UC/DG-VER/054/2017.”</w:t>
      </w:r>
    </w:p>
    <w:p w:rsidR="009E7D7C" w:rsidRPr="004E27D5" w:rsidRDefault="002C00F1" w:rsidP="008A7548">
      <w:pPr>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En consecuencia, m</w:t>
      </w:r>
      <w:r w:rsidR="007B2189" w:rsidRPr="004E27D5">
        <w:rPr>
          <w:rFonts w:ascii="ITC Avant Garde" w:eastAsia="Times New Roman" w:hAnsi="ITC Avant Garde"/>
          <w:bCs/>
          <w:color w:val="000000"/>
          <w:lang w:eastAsia="es-MX"/>
        </w:rPr>
        <w:t xml:space="preserve">ediante acuerdo de </w:t>
      </w:r>
      <w:r w:rsidR="009D5700" w:rsidRPr="004E27D5">
        <w:rPr>
          <w:rFonts w:ascii="ITC Avant Garde" w:hAnsi="ITC Avant Garde"/>
        </w:rPr>
        <w:t>dieciséis de agosto de dos mil diecisiete</w:t>
      </w:r>
      <w:r w:rsidR="00185AF7" w:rsidRPr="004E27D5">
        <w:rPr>
          <w:rFonts w:ascii="ITC Avant Garde" w:eastAsia="Times New Roman" w:hAnsi="ITC Avant Garde"/>
          <w:bCs/>
          <w:color w:val="000000"/>
          <w:lang w:eastAsia="es-MX"/>
        </w:rPr>
        <w:t xml:space="preserve"> </w:t>
      </w:r>
      <w:r w:rsidR="007B2189" w:rsidRPr="004E27D5">
        <w:rPr>
          <w:rFonts w:ascii="ITC Avant Garde" w:eastAsia="Times New Roman" w:hAnsi="ITC Avant Garde"/>
          <w:bCs/>
          <w:color w:val="000000"/>
          <w:lang w:eastAsia="es-MX"/>
        </w:rPr>
        <w:t xml:space="preserve">el Titular de la Unidad de Cumplimiento inició el procedimiento administrativo de imposición de sanción y la declaratoria de pérdida de bienes, instalaciones y equipos en beneficio de la Nación, en el que se le otorgó </w:t>
      </w:r>
      <w:r w:rsidR="008A7548" w:rsidRPr="004E27D5">
        <w:rPr>
          <w:rFonts w:ascii="ITC Avant Garde" w:eastAsia="Times New Roman" w:hAnsi="ITC Avant Garde"/>
          <w:bCs/>
          <w:color w:val="000000"/>
          <w:lang w:eastAsia="es-MX"/>
        </w:rPr>
        <w:t xml:space="preserve">al </w:t>
      </w:r>
      <w:r w:rsidR="00A01799" w:rsidRPr="004E27D5">
        <w:rPr>
          <w:rFonts w:ascii="ITC Avant Garde" w:hAnsi="ITC Avant Garde"/>
          <w:b/>
        </w:rPr>
        <w:t>PRESUNTO RESPONSABLE</w:t>
      </w:r>
      <w:r w:rsidR="00A01799" w:rsidRPr="004E27D5">
        <w:rPr>
          <w:rFonts w:ascii="ITC Avant Garde" w:eastAsia="Times New Roman" w:hAnsi="ITC Avant Garde"/>
          <w:bCs/>
          <w:color w:val="000000"/>
          <w:lang w:eastAsia="es-MX"/>
        </w:rPr>
        <w:t xml:space="preserve"> </w:t>
      </w:r>
      <w:r w:rsidR="008A7548" w:rsidRPr="004E27D5">
        <w:rPr>
          <w:rFonts w:ascii="ITC Avant Garde" w:eastAsia="Times New Roman" w:hAnsi="ITC Avant Garde"/>
          <w:bCs/>
          <w:color w:val="000000"/>
          <w:lang w:eastAsia="es-MX"/>
        </w:rPr>
        <w:t xml:space="preserve">un término de quince días hábiles para que manifestara lo que a su derecho conviniera y, en su caso, aportara las pruebas con que contara </w:t>
      </w:r>
      <w:r w:rsidR="007A0355" w:rsidRPr="004E27D5">
        <w:rPr>
          <w:rFonts w:ascii="ITC Avant Garde" w:eastAsia="Times New Roman" w:hAnsi="ITC Avant Garde"/>
          <w:bCs/>
          <w:color w:val="000000"/>
          <w:lang w:eastAsia="es-MX"/>
        </w:rPr>
        <w:t>en</w:t>
      </w:r>
      <w:r w:rsidR="008A7548" w:rsidRPr="004E27D5">
        <w:rPr>
          <w:rFonts w:ascii="ITC Avant Garde" w:eastAsia="Times New Roman" w:hAnsi="ITC Avant Garde"/>
          <w:bCs/>
          <w:color w:val="000000"/>
          <w:lang w:eastAsia="es-MX"/>
        </w:rPr>
        <w:t xml:space="preserve"> relación con los presuntos incumplimientos que se le imputan.</w:t>
      </w:r>
    </w:p>
    <w:p w:rsidR="009E7D7C" w:rsidRPr="004E27D5" w:rsidRDefault="007B2189" w:rsidP="007B2189">
      <w:pPr>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Dicho acuerdo fue notificado el </w:t>
      </w:r>
      <w:r w:rsidR="009D5700" w:rsidRPr="004E27D5">
        <w:rPr>
          <w:rFonts w:ascii="ITC Avant Garde" w:eastAsia="Times New Roman" w:hAnsi="ITC Avant Garde"/>
          <w:bCs/>
          <w:color w:val="000000"/>
          <w:lang w:eastAsia="es-MX"/>
        </w:rPr>
        <w:t>veintidós de agosto de dos mil diecisiete</w:t>
      </w:r>
      <w:r w:rsidRPr="004E27D5">
        <w:rPr>
          <w:rFonts w:ascii="ITC Avant Garde" w:eastAsia="Times New Roman" w:hAnsi="ITC Avant Garde"/>
          <w:bCs/>
          <w:color w:val="000000"/>
          <w:lang w:eastAsia="es-MX"/>
        </w:rPr>
        <w:t xml:space="preserve">, por lo que el plazo de quince días hábiles </w:t>
      </w:r>
      <w:r w:rsidR="00B571DA" w:rsidRPr="004E27D5">
        <w:rPr>
          <w:rFonts w:ascii="ITC Avant Garde" w:eastAsia="Times New Roman" w:hAnsi="ITC Avant Garde"/>
          <w:bCs/>
          <w:color w:val="000000"/>
          <w:lang w:eastAsia="es-MX"/>
        </w:rPr>
        <w:t xml:space="preserve">transcurrió </w:t>
      </w:r>
      <w:r w:rsidRPr="004E27D5">
        <w:rPr>
          <w:rFonts w:ascii="ITC Avant Garde" w:eastAsia="Times New Roman" w:hAnsi="ITC Avant Garde"/>
          <w:bCs/>
          <w:color w:val="000000"/>
          <w:lang w:eastAsia="es-MX"/>
        </w:rPr>
        <w:t xml:space="preserve">del </w:t>
      </w:r>
      <w:r w:rsidR="009D5700" w:rsidRPr="004E27D5">
        <w:rPr>
          <w:rFonts w:ascii="ITC Avant Garde" w:eastAsia="Times New Roman" w:hAnsi="ITC Avant Garde"/>
          <w:bCs/>
          <w:color w:val="000000"/>
          <w:lang w:eastAsia="es-MX"/>
        </w:rPr>
        <w:t>veintitrés de agosto al trece de septiembre de dos mil diecisiete</w:t>
      </w:r>
      <w:r w:rsidRPr="004E27D5">
        <w:rPr>
          <w:rFonts w:ascii="ITC Avant Garde" w:eastAsia="Times New Roman" w:hAnsi="ITC Avant Garde"/>
          <w:bCs/>
          <w:color w:val="000000"/>
          <w:lang w:eastAsia="es-MX"/>
        </w:rPr>
        <w:t>.</w:t>
      </w:r>
    </w:p>
    <w:p w:rsidR="009E7D7C" w:rsidRPr="004E27D5" w:rsidRDefault="008A7548" w:rsidP="008A7548">
      <w:pPr>
        <w:pStyle w:val="Textoindependiente"/>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Lo anterior, sin considerar los días </w:t>
      </w:r>
      <w:r w:rsidR="009D5700" w:rsidRPr="004E27D5">
        <w:rPr>
          <w:rFonts w:ascii="ITC Avant Garde" w:eastAsia="Times New Roman" w:hAnsi="ITC Avant Garde"/>
          <w:bCs/>
          <w:lang w:eastAsia="es-MX"/>
        </w:rPr>
        <w:t xml:space="preserve">veintiséis y veintisiete de agosto, así como el uno, dos, tres, nueve y diez de septiembre de dos mil diecisiete por ser sábados, domingos y día inhábil de conformidad con el artículo 28 de la </w:t>
      </w:r>
      <w:r w:rsidR="009D5700" w:rsidRPr="004E27D5">
        <w:rPr>
          <w:rFonts w:ascii="ITC Avant Garde" w:eastAsia="Times New Roman" w:hAnsi="ITC Avant Garde"/>
          <w:b/>
          <w:bCs/>
          <w:lang w:eastAsia="es-MX"/>
        </w:rPr>
        <w:t>LFPA</w:t>
      </w:r>
      <w:r w:rsidRPr="004E27D5">
        <w:rPr>
          <w:rFonts w:ascii="ITC Avant Garde" w:eastAsia="Times New Roman" w:hAnsi="ITC Avant Garde"/>
          <w:bCs/>
          <w:lang w:eastAsia="es-MX"/>
        </w:rPr>
        <w:t>.</w:t>
      </w:r>
    </w:p>
    <w:p w:rsidR="001561CA" w:rsidRPr="004E27D5" w:rsidRDefault="002C00F1" w:rsidP="002C00F1">
      <w:pPr>
        <w:spacing w:after="0" w:line="360" w:lineRule="auto"/>
        <w:jc w:val="both"/>
        <w:rPr>
          <w:rFonts w:ascii="ITC Avant Garde" w:hAnsi="ITC Avant Garde"/>
          <w:b/>
          <w:u w:val="single"/>
        </w:rPr>
        <w:sectPr w:rsidR="001561CA" w:rsidRPr="004E27D5" w:rsidSect="009B5755">
          <w:headerReference w:type="default" r:id="rId22"/>
          <w:pgSz w:w="12240" w:h="15840"/>
          <w:pgMar w:top="1985" w:right="1418" w:bottom="1418" w:left="1418" w:header="709" w:footer="420" w:gutter="0"/>
          <w:cols w:space="708"/>
          <w:docGrid w:linePitch="360"/>
        </w:sectPr>
      </w:pPr>
      <w:r w:rsidRPr="004E27D5">
        <w:rPr>
          <w:rFonts w:ascii="ITC Avant Garde" w:eastAsia="Times New Roman" w:hAnsi="ITC Avant Garde"/>
          <w:bCs/>
          <w:color w:val="000000"/>
          <w:lang w:eastAsia="es-MX"/>
        </w:rPr>
        <w:t xml:space="preserve">Ahora bien, en aras de cumplir con los principios de legalidad y seguridad jurídica consagrados en los artículos 14 y 16 de la </w:t>
      </w:r>
      <w:r w:rsidRPr="004E27D5">
        <w:rPr>
          <w:rFonts w:ascii="ITC Avant Garde" w:eastAsia="Times New Roman" w:hAnsi="ITC Avant Garde"/>
          <w:b/>
          <w:bCs/>
          <w:color w:val="000000"/>
          <w:lang w:eastAsia="es-MX"/>
        </w:rPr>
        <w:t>CPEUM</w:t>
      </w:r>
      <w:r w:rsidRPr="004E27D5">
        <w:rPr>
          <w:rFonts w:ascii="ITC Avant Garde" w:eastAsia="Times New Roman" w:hAnsi="ITC Avant Garde"/>
          <w:bCs/>
          <w:color w:val="000000"/>
          <w:lang w:eastAsia="es-MX"/>
        </w:rPr>
        <w:t xml:space="preserve">, así como con el principio de exhaustividad en el dictado de las resoluciones administrativas, de conformidad con los artículos 13 y 16, fracción X, de la </w:t>
      </w:r>
      <w:r w:rsidRPr="004E27D5">
        <w:rPr>
          <w:rFonts w:ascii="ITC Avant Garde" w:eastAsia="Times New Roman" w:hAnsi="ITC Avant Garde"/>
          <w:b/>
          <w:bCs/>
          <w:color w:val="000000"/>
          <w:lang w:eastAsia="es-MX"/>
        </w:rPr>
        <w:t>LFPA</w:t>
      </w:r>
      <w:r w:rsidRPr="004E27D5">
        <w:rPr>
          <w:rFonts w:ascii="ITC Avant Garde" w:eastAsia="Times New Roman" w:hAnsi="ITC Avant Garde"/>
          <w:bCs/>
          <w:color w:val="000000"/>
          <w:lang w:eastAsia="es-MX"/>
        </w:rPr>
        <w:t xml:space="preserve">, esta autoridad procede a estudiar y analizar en esta parte de la resolución los argumentos que, en su caso, hubieran sido presentados por el </w:t>
      </w:r>
      <w:r w:rsidRPr="004E27D5">
        <w:rPr>
          <w:rFonts w:ascii="ITC Avant Garde" w:eastAsia="Times New Roman" w:hAnsi="ITC Avant Garde"/>
          <w:b/>
          <w:bCs/>
          <w:color w:val="000000"/>
          <w:lang w:eastAsia="es-MX"/>
        </w:rPr>
        <w:t>PRESUNTO INFRACTOR</w:t>
      </w:r>
      <w:r w:rsidRPr="004E27D5">
        <w:rPr>
          <w:rFonts w:ascii="ITC Avant Garde" w:hAnsi="ITC Avant Garde"/>
          <w:b/>
        </w:rPr>
        <w:t xml:space="preserve">, </w:t>
      </w:r>
      <w:r w:rsidRPr="004E27D5">
        <w:rPr>
          <w:rFonts w:ascii="ITC Avant Garde" w:eastAsia="Times New Roman" w:hAnsi="ITC Avant Garde"/>
          <w:bCs/>
          <w:color w:val="000000"/>
          <w:lang w:eastAsia="es-MX"/>
        </w:rPr>
        <w:t xml:space="preserve">aclarando que </w:t>
      </w:r>
      <w:r w:rsidRPr="004E27D5">
        <w:rPr>
          <w:rFonts w:ascii="ITC Avant Garde" w:hAnsi="ITC Avant Garde"/>
        </w:rPr>
        <w:t xml:space="preserve">el procedimiento administrativo sancionador, ha sido definido por el Pleno de la </w:t>
      </w:r>
      <w:r w:rsidRPr="004E27D5">
        <w:rPr>
          <w:rFonts w:ascii="ITC Avant Garde" w:hAnsi="ITC Avant Garde"/>
          <w:b/>
        </w:rPr>
        <w:t>SCJN</w:t>
      </w:r>
      <w:r w:rsidRPr="004E27D5">
        <w:rPr>
          <w:rFonts w:ascii="ITC Avant Garde" w:hAnsi="ITC Avant Garde"/>
        </w:rPr>
        <w:t xml:space="preserve"> como “el conjunto de actos o formalidades concatenados entre sí en forma de juicio por autoridad competente, </w:t>
      </w:r>
      <w:r w:rsidRPr="004E27D5">
        <w:rPr>
          <w:rFonts w:ascii="ITC Avant Garde" w:hAnsi="ITC Avant Garde"/>
          <w:b/>
          <w:u w:val="single"/>
        </w:rPr>
        <w:t xml:space="preserve">con </w:t>
      </w:r>
    </w:p>
    <w:p w:rsidR="009E7D7C" w:rsidRPr="004E27D5" w:rsidRDefault="002C00F1" w:rsidP="002C00F1">
      <w:pPr>
        <w:spacing w:after="0" w:line="360" w:lineRule="auto"/>
        <w:jc w:val="both"/>
        <w:rPr>
          <w:rFonts w:ascii="ITC Avant Garde" w:hAnsi="ITC Avant Garde"/>
        </w:rPr>
      </w:pPr>
      <w:r w:rsidRPr="004E27D5">
        <w:rPr>
          <w:rFonts w:ascii="ITC Avant Garde" w:hAnsi="ITC Avant Garde"/>
          <w:b/>
          <w:u w:val="single"/>
        </w:rPr>
        <w:lastRenderedPageBreak/>
        <w:t>el objeto de conocer irregularidades o faltas</w:t>
      </w:r>
      <w:r w:rsidRPr="004E27D5">
        <w:rPr>
          <w:rFonts w:ascii="ITC Avant Garde" w:hAnsi="ITC Avant Garde"/>
        </w:rPr>
        <w:t xml:space="preserve"> ya sean de servidores públicos o particulares, cuya finalidad, en todo caso, sea imponer alguna sanción.”</w:t>
      </w:r>
      <w:r w:rsidRPr="004E27D5">
        <w:rPr>
          <w:rStyle w:val="Refdenotaalpie"/>
          <w:rFonts w:ascii="ITC Avant Garde" w:hAnsi="ITC Avant Garde"/>
        </w:rPr>
        <w:footnoteReference w:id="3"/>
      </w:r>
    </w:p>
    <w:p w:rsidR="009E7D7C" w:rsidRPr="004E27D5" w:rsidRDefault="002C00F1" w:rsidP="002C00F1">
      <w:pPr>
        <w:spacing w:after="0" w:line="360" w:lineRule="auto"/>
        <w:jc w:val="both"/>
        <w:rPr>
          <w:rFonts w:ascii="ITC Avant Garde" w:hAnsi="ITC Avant Garde"/>
        </w:rPr>
      </w:pPr>
      <w:r w:rsidRPr="004E27D5">
        <w:rPr>
          <w:rFonts w:ascii="ITC Avant Garde" w:hAnsi="ITC Avant Garde"/>
        </w:rPr>
        <w:t xml:space="preserve">De la definición señalada por nuestro Máximo Tribunal se puede advertir que el objeto del procedimiento administrativo sancionador es el de conocer irregularidades o faltas, por lo que se infiere que la </w:t>
      </w:r>
      <w:proofErr w:type="spellStart"/>
      <w:r w:rsidRPr="004E27D5">
        <w:rPr>
          <w:rFonts w:ascii="ITC Avant Garde" w:hAnsi="ITC Avant Garde"/>
        </w:rPr>
        <w:t>litis</w:t>
      </w:r>
      <w:proofErr w:type="spellEnd"/>
      <w:r w:rsidRPr="004E27D5">
        <w:rPr>
          <w:rFonts w:ascii="ITC Avant Garde" w:hAnsi="ITC Avant Garde"/>
        </w:rPr>
        <w:t xml:space="preserve"> del mismo se sujeta únicamente a acreditar o desvirtuar la comisión de la conducta sancionable, lo cual se fortalece con la imposibilidad de impugnar actos emitidos durante el procedimiento. </w:t>
      </w:r>
    </w:p>
    <w:p w:rsidR="009E7D7C" w:rsidRPr="004E27D5" w:rsidRDefault="002C00F1" w:rsidP="002C00F1">
      <w:pPr>
        <w:tabs>
          <w:tab w:val="left" w:pos="851"/>
        </w:tabs>
        <w:spacing w:after="0" w:line="360" w:lineRule="auto"/>
        <w:jc w:val="both"/>
        <w:rPr>
          <w:rFonts w:ascii="ITC Avant Garde" w:eastAsia="Times New Roman" w:hAnsi="ITC Avant Garde"/>
          <w:bCs/>
          <w:color w:val="000000"/>
          <w:sz w:val="16"/>
          <w:szCs w:val="16"/>
          <w:lang w:eastAsia="es-MX"/>
        </w:rPr>
      </w:pPr>
      <w:r w:rsidRPr="004E27D5">
        <w:rPr>
          <w:rFonts w:ascii="ITC Avant Garde" w:hAnsi="ITC Avant Garde"/>
        </w:rPr>
        <w:t xml:space="preserve">Por tanto, el análisis de los mismos debe en todo caso estar encaminado a desvirtuar las imputaciones realizadas por la autoridad, relacionadas con la comisión de las conductas presuntamente sancionables; como lo es la probable infracción a lo dispuesto en los artículos 66 en relación con el 75 y la presunta actualización de la hipótesis normativa prevista en el artículo 305, todos de la </w:t>
      </w:r>
      <w:r w:rsidR="006310EA" w:rsidRPr="004E27D5">
        <w:rPr>
          <w:rFonts w:ascii="ITC Avant Garde" w:hAnsi="ITC Avant Garde"/>
          <w:b/>
        </w:rPr>
        <w:t>LFTR</w:t>
      </w:r>
      <w:r w:rsidRPr="004E27D5">
        <w:rPr>
          <w:rFonts w:ascii="ITC Avant Garde" w:hAnsi="ITC Avant Garde"/>
          <w:b/>
        </w:rPr>
        <w:t>.</w:t>
      </w:r>
    </w:p>
    <w:p w:rsidR="009E7D7C" w:rsidRPr="004E27D5" w:rsidRDefault="002C00F1" w:rsidP="007B2189">
      <w:pPr>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No obstante lo anterior, d</w:t>
      </w:r>
      <w:r w:rsidR="007B2189" w:rsidRPr="004E27D5">
        <w:rPr>
          <w:rFonts w:ascii="ITC Avant Garde" w:eastAsia="Times New Roman" w:hAnsi="ITC Avant Garde"/>
          <w:bCs/>
          <w:color w:val="000000"/>
          <w:lang w:eastAsia="es-MX"/>
        </w:rPr>
        <w:t xml:space="preserve">e acuerdo a lo señalado en </w:t>
      </w:r>
      <w:r w:rsidR="001C4A6A" w:rsidRPr="004E27D5">
        <w:rPr>
          <w:rFonts w:ascii="ITC Avant Garde" w:eastAsia="Times New Roman" w:hAnsi="ITC Avant Garde"/>
          <w:bCs/>
          <w:color w:val="000000"/>
          <w:lang w:eastAsia="es-MX"/>
        </w:rPr>
        <w:t>e</w:t>
      </w:r>
      <w:r w:rsidR="007B2189" w:rsidRPr="004E27D5">
        <w:rPr>
          <w:rFonts w:ascii="ITC Avant Garde" w:eastAsia="Times New Roman" w:hAnsi="ITC Avant Garde"/>
          <w:bCs/>
          <w:color w:val="000000"/>
          <w:lang w:eastAsia="es-MX"/>
        </w:rPr>
        <w:t xml:space="preserve">l Resultando </w:t>
      </w:r>
      <w:r w:rsidR="00B24537" w:rsidRPr="004E27D5">
        <w:rPr>
          <w:rFonts w:ascii="ITC Avant Garde" w:eastAsia="Times New Roman" w:hAnsi="ITC Avant Garde"/>
          <w:b/>
          <w:bCs/>
          <w:color w:val="000000"/>
          <w:lang w:eastAsia="es-MX"/>
        </w:rPr>
        <w:t>DÉCIMO</w:t>
      </w:r>
      <w:r w:rsidR="00556A63" w:rsidRPr="004E27D5">
        <w:rPr>
          <w:rFonts w:ascii="ITC Avant Garde" w:eastAsia="Times New Roman" w:hAnsi="ITC Avant Garde"/>
          <w:b/>
          <w:bCs/>
          <w:color w:val="000000"/>
          <w:lang w:eastAsia="es-MX"/>
        </w:rPr>
        <w:t xml:space="preserve"> </w:t>
      </w:r>
      <w:r w:rsidR="007B2189" w:rsidRPr="004E27D5">
        <w:rPr>
          <w:rFonts w:ascii="ITC Avant Garde" w:eastAsia="Times New Roman" w:hAnsi="ITC Avant Garde"/>
          <w:bCs/>
          <w:color w:val="000000"/>
          <w:lang w:eastAsia="es-MX"/>
        </w:rPr>
        <w:t>de la presente Resolución</w:t>
      </w:r>
      <w:r w:rsidR="0089044E" w:rsidRPr="004E27D5">
        <w:rPr>
          <w:rFonts w:ascii="ITC Avant Garde" w:eastAsia="Times New Roman" w:hAnsi="ITC Avant Garde"/>
          <w:bCs/>
          <w:color w:val="000000"/>
          <w:lang w:eastAsia="es-MX"/>
        </w:rPr>
        <w:t xml:space="preserve">, y toda vez que </w:t>
      </w:r>
      <w:r w:rsidR="00FA07A6" w:rsidRPr="004E27D5">
        <w:rPr>
          <w:rFonts w:ascii="ITC Avant Garde" w:eastAsia="Times New Roman" w:hAnsi="ITC Avant Garde"/>
          <w:bCs/>
          <w:color w:val="000000"/>
          <w:lang w:eastAsia="es-MX"/>
        </w:rPr>
        <w:t xml:space="preserve">el </w:t>
      </w:r>
      <w:r w:rsidR="00A01799" w:rsidRPr="004E27D5">
        <w:rPr>
          <w:rFonts w:ascii="ITC Avant Garde" w:hAnsi="ITC Avant Garde"/>
          <w:b/>
        </w:rPr>
        <w:t>PRESUNTO RESPONSABLE</w:t>
      </w:r>
      <w:r w:rsidR="00A01799" w:rsidRPr="004E27D5">
        <w:rPr>
          <w:rFonts w:ascii="ITC Avant Garde" w:hAnsi="ITC Avant Garde" w:cs="Arial"/>
        </w:rPr>
        <w:t xml:space="preserve"> </w:t>
      </w:r>
      <w:r w:rsidR="008B04B9" w:rsidRPr="004E27D5">
        <w:rPr>
          <w:rFonts w:ascii="ITC Avant Garde" w:hAnsi="ITC Avant Garde" w:cs="Arial"/>
        </w:rPr>
        <w:t>omitió</w:t>
      </w:r>
      <w:r w:rsidR="008B04B9" w:rsidRPr="004E27D5">
        <w:rPr>
          <w:rFonts w:ascii="ITC Avant Garde" w:hAnsi="ITC Avant Garde" w:cs="Arial"/>
          <w:b/>
        </w:rPr>
        <w:t xml:space="preserve"> </w:t>
      </w:r>
      <w:r w:rsidR="007B2189" w:rsidRPr="004E27D5">
        <w:rPr>
          <w:rFonts w:ascii="ITC Avant Garde" w:eastAsia="Times New Roman" w:hAnsi="ITC Avant Garde"/>
          <w:bCs/>
          <w:color w:val="000000"/>
          <w:lang w:eastAsia="es-MX"/>
        </w:rPr>
        <w:t>present</w:t>
      </w:r>
      <w:r w:rsidR="008B04B9" w:rsidRPr="004E27D5">
        <w:rPr>
          <w:rFonts w:ascii="ITC Avant Garde" w:eastAsia="Times New Roman" w:hAnsi="ITC Avant Garde"/>
          <w:bCs/>
          <w:color w:val="000000"/>
          <w:lang w:eastAsia="es-MX"/>
        </w:rPr>
        <w:t>ar</w:t>
      </w:r>
      <w:r w:rsidR="007B2189" w:rsidRPr="004E27D5">
        <w:rPr>
          <w:rFonts w:ascii="ITC Avant Garde" w:eastAsia="Times New Roman" w:hAnsi="ITC Avant Garde"/>
          <w:bCs/>
          <w:color w:val="000000"/>
          <w:lang w:eastAsia="es-MX"/>
        </w:rPr>
        <w:t xml:space="preserve"> pruebas y defensas </w:t>
      </w:r>
      <w:r w:rsidR="008B04B9" w:rsidRPr="004E27D5">
        <w:rPr>
          <w:rFonts w:ascii="ITC Avant Garde" w:eastAsia="Times New Roman" w:hAnsi="ITC Avant Garde"/>
          <w:bCs/>
          <w:color w:val="000000"/>
          <w:lang w:eastAsia="es-MX"/>
        </w:rPr>
        <w:t>dentro</w:t>
      </w:r>
      <w:r w:rsidR="0069770A" w:rsidRPr="004E27D5">
        <w:rPr>
          <w:rFonts w:ascii="ITC Avant Garde" w:eastAsia="Times New Roman" w:hAnsi="ITC Avant Garde"/>
          <w:bCs/>
          <w:color w:val="000000"/>
          <w:lang w:eastAsia="es-MX"/>
        </w:rPr>
        <w:t xml:space="preserve"> del </w:t>
      </w:r>
      <w:r w:rsidR="00225226" w:rsidRPr="004E27D5">
        <w:rPr>
          <w:rFonts w:ascii="ITC Avant Garde" w:eastAsia="Times New Roman" w:hAnsi="ITC Avant Garde"/>
          <w:bCs/>
          <w:color w:val="000000"/>
          <w:lang w:eastAsia="es-MX"/>
        </w:rPr>
        <w:t xml:space="preserve">plazo </w:t>
      </w:r>
      <w:r w:rsidR="0069770A" w:rsidRPr="004E27D5">
        <w:rPr>
          <w:rFonts w:ascii="ITC Avant Garde" w:eastAsia="Times New Roman" w:hAnsi="ITC Avant Garde"/>
          <w:bCs/>
          <w:color w:val="000000"/>
          <w:lang w:eastAsia="es-MX"/>
        </w:rPr>
        <w:t>establecido</w:t>
      </w:r>
      <w:r w:rsidR="009F739F" w:rsidRPr="004E27D5">
        <w:rPr>
          <w:rFonts w:ascii="ITC Avant Garde" w:eastAsia="Times New Roman" w:hAnsi="ITC Avant Garde"/>
          <w:bCs/>
          <w:color w:val="000000"/>
          <w:lang w:eastAsia="es-MX"/>
        </w:rPr>
        <w:t xml:space="preserve"> para ello</w:t>
      </w:r>
      <w:r w:rsidR="005E6C93" w:rsidRPr="004E27D5">
        <w:rPr>
          <w:rFonts w:ascii="ITC Avant Garde" w:eastAsia="Times New Roman" w:hAnsi="ITC Avant Garde"/>
          <w:bCs/>
          <w:color w:val="000000"/>
          <w:lang w:eastAsia="es-MX"/>
        </w:rPr>
        <w:t>,</w:t>
      </w:r>
      <w:r w:rsidR="0069770A" w:rsidRPr="004E27D5">
        <w:rPr>
          <w:rFonts w:ascii="ITC Avant Garde" w:eastAsia="Times New Roman" w:hAnsi="ITC Avant Garde"/>
          <w:bCs/>
          <w:color w:val="000000"/>
          <w:lang w:eastAsia="es-MX"/>
        </w:rPr>
        <w:t xml:space="preserve"> </w:t>
      </w:r>
      <w:r w:rsidR="007B2189" w:rsidRPr="004E27D5">
        <w:rPr>
          <w:rFonts w:ascii="ITC Avant Garde" w:eastAsia="Times New Roman" w:hAnsi="ITC Avant Garde"/>
          <w:bCs/>
          <w:color w:val="000000"/>
          <w:lang w:eastAsia="es-MX"/>
        </w:rPr>
        <w:t>por proveído</w:t>
      </w:r>
      <w:r w:rsidR="0069770A" w:rsidRPr="004E27D5">
        <w:rPr>
          <w:rFonts w:ascii="ITC Avant Garde" w:eastAsia="Times New Roman" w:hAnsi="ITC Avant Garde"/>
          <w:bCs/>
          <w:color w:val="000000"/>
          <w:lang w:eastAsia="es-MX"/>
        </w:rPr>
        <w:t xml:space="preserve"> de </w:t>
      </w:r>
      <w:r w:rsidR="00986F50" w:rsidRPr="004E27D5">
        <w:rPr>
          <w:rFonts w:ascii="ITC Avant Garde" w:eastAsia="Times New Roman" w:hAnsi="ITC Avant Garde"/>
          <w:bCs/>
          <w:color w:val="000000"/>
          <w:lang w:eastAsia="es-MX"/>
        </w:rPr>
        <w:t>veintiocho de septiembre de dos mil diecisiete</w:t>
      </w:r>
      <w:r w:rsidR="0069770A" w:rsidRPr="004E27D5">
        <w:rPr>
          <w:rFonts w:ascii="ITC Avant Garde" w:eastAsia="Times New Roman" w:hAnsi="ITC Avant Garde"/>
          <w:bCs/>
          <w:color w:val="000000"/>
          <w:lang w:eastAsia="es-MX"/>
        </w:rPr>
        <w:t xml:space="preserve">, </w:t>
      </w:r>
      <w:r w:rsidR="00185AF7" w:rsidRPr="004E27D5">
        <w:rPr>
          <w:rFonts w:ascii="ITC Avant Garde" w:eastAsia="Times New Roman" w:hAnsi="ITC Avant Garde"/>
          <w:bCs/>
          <w:color w:val="000000"/>
          <w:lang w:eastAsia="es-MX"/>
        </w:rPr>
        <w:t xml:space="preserve">notificado por publicación de lista diaria de notificaciones en la página de este </w:t>
      </w:r>
      <w:r w:rsidR="00185AF7" w:rsidRPr="004E27D5">
        <w:rPr>
          <w:rFonts w:ascii="ITC Avant Garde" w:eastAsia="Times New Roman" w:hAnsi="ITC Avant Garde"/>
          <w:b/>
          <w:bCs/>
          <w:color w:val="000000"/>
          <w:lang w:eastAsia="es-MX"/>
        </w:rPr>
        <w:t>IFT</w:t>
      </w:r>
      <w:r w:rsidR="00185AF7" w:rsidRPr="004E27D5">
        <w:rPr>
          <w:rFonts w:ascii="ITC Avant Garde" w:eastAsia="Times New Roman" w:hAnsi="ITC Avant Garde"/>
          <w:bCs/>
          <w:color w:val="000000"/>
          <w:lang w:eastAsia="es-MX"/>
        </w:rPr>
        <w:t xml:space="preserve"> el </w:t>
      </w:r>
      <w:r w:rsidR="009D5700" w:rsidRPr="004E27D5">
        <w:rPr>
          <w:rFonts w:ascii="ITC Avant Garde" w:eastAsia="Times New Roman" w:hAnsi="ITC Avant Garde"/>
          <w:bCs/>
          <w:color w:val="000000"/>
          <w:lang w:eastAsia="es-MX"/>
        </w:rPr>
        <w:t>veintinueve de septiembre siguiente</w:t>
      </w:r>
      <w:r w:rsidR="00C6057A" w:rsidRPr="004E27D5">
        <w:rPr>
          <w:rFonts w:ascii="ITC Avant Garde" w:eastAsia="Times New Roman" w:hAnsi="ITC Avant Garde"/>
          <w:bCs/>
          <w:color w:val="000000"/>
          <w:lang w:eastAsia="es-MX"/>
        </w:rPr>
        <w:t>,</w:t>
      </w:r>
      <w:r w:rsidR="0069770A" w:rsidRPr="004E27D5">
        <w:rPr>
          <w:rFonts w:ascii="ITC Avant Garde" w:eastAsia="Times New Roman" w:hAnsi="ITC Avant Garde"/>
          <w:bCs/>
          <w:color w:val="000000"/>
          <w:lang w:eastAsia="es-MX"/>
        </w:rPr>
        <w:t xml:space="preserve"> </w:t>
      </w:r>
      <w:r w:rsidR="007B2189" w:rsidRPr="004E27D5">
        <w:rPr>
          <w:rFonts w:ascii="ITC Avant Garde" w:eastAsia="Times New Roman" w:hAnsi="ITC Avant Garde"/>
          <w:bCs/>
          <w:color w:val="000000"/>
          <w:lang w:eastAsia="es-MX"/>
        </w:rPr>
        <w:t xml:space="preserve">se le hizo efectivo el apercibimiento decretado </w:t>
      </w:r>
      <w:r w:rsidR="007B2189" w:rsidRPr="004E27D5">
        <w:rPr>
          <w:rFonts w:ascii="ITC Avant Garde" w:hAnsi="ITC Avant Garde"/>
        </w:rPr>
        <w:t xml:space="preserve">en el </w:t>
      </w:r>
      <w:r w:rsidR="007B2189" w:rsidRPr="004E27D5">
        <w:rPr>
          <w:rFonts w:ascii="ITC Avant Garde" w:eastAsia="Times New Roman" w:hAnsi="ITC Avant Garde"/>
          <w:bCs/>
          <w:color w:val="000000"/>
          <w:lang w:eastAsia="es-MX"/>
        </w:rPr>
        <w:t xml:space="preserve">acuerdo de </w:t>
      </w:r>
      <w:r w:rsidR="009D5700" w:rsidRPr="004E27D5">
        <w:rPr>
          <w:rFonts w:ascii="ITC Avant Garde" w:hAnsi="ITC Avant Garde"/>
        </w:rPr>
        <w:t>dieciséis de agosto de dos mil diecisiete</w:t>
      </w:r>
      <w:r w:rsidR="00FA5F65" w:rsidRPr="004E27D5">
        <w:rPr>
          <w:rFonts w:ascii="ITC Avant Garde" w:eastAsia="Times New Roman" w:hAnsi="ITC Avant Garde"/>
          <w:bCs/>
          <w:color w:val="000000"/>
          <w:lang w:eastAsia="es-MX"/>
        </w:rPr>
        <w:t xml:space="preserve">, por lo que </w:t>
      </w:r>
      <w:r w:rsidR="007B2189" w:rsidRPr="004E27D5">
        <w:rPr>
          <w:rFonts w:ascii="ITC Avant Garde" w:eastAsia="Times New Roman" w:hAnsi="ITC Avant Garde"/>
          <w:bCs/>
          <w:color w:val="000000"/>
          <w:lang w:eastAsia="es-MX"/>
        </w:rPr>
        <w:t xml:space="preserve">se le tuvo por </w:t>
      </w:r>
      <w:proofErr w:type="spellStart"/>
      <w:r w:rsidR="00F60BA2" w:rsidRPr="004E27D5">
        <w:rPr>
          <w:rFonts w:ascii="ITC Avant Garde" w:eastAsia="Times New Roman" w:hAnsi="ITC Avant Garde"/>
          <w:bCs/>
          <w:color w:val="000000"/>
          <w:lang w:eastAsia="es-MX"/>
        </w:rPr>
        <w:t>precluido</w:t>
      </w:r>
      <w:proofErr w:type="spellEnd"/>
      <w:r w:rsidR="007B2189" w:rsidRPr="004E27D5">
        <w:rPr>
          <w:rFonts w:ascii="ITC Avant Garde" w:eastAsia="Times New Roman" w:hAnsi="ITC Avant Garde"/>
          <w:bCs/>
          <w:color w:val="000000"/>
          <w:lang w:eastAsia="es-MX"/>
        </w:rPr>
        <w:t xml:space="preserve"> su derecho para presentar pruebas y defensas de su parte. Lo anterior, con fundamento en los artículos 72 de la </w:t>
      </w:r>
      <w:r w:rsidR="007B2189" w:rsidRPr="004E27D5">
        <w:rPr>
          <w:rFonts w:ascii="ITC Avant Garde" w:eastAsia="Times New Roman" w:hAnsi="ITC Avant Garde"/>
          <w:b/>
          <w:bCs/>
          <w:color w:val="000000"/>
          <w:lang w:eastAsia="es-MX"/>
        </w:rPr>
        <w:t>LFPA</w:t>
      </w:r>
      <w:r w:rsidR="007B2189" w:rsidRPr="004E27D5">
        <w:rPr>
          <w:rFonts w:ascii="ITC Avant Garde" w:eastAsia="Times New Roman" w:hAnsi="ITC Avant Garde"/>
          <w:bCs/>
          <w:color w:val="000000"/>
          <w:lang w:eastAsia="es-MX"/>
        </w:rPr>
        <w:t xml:space="preserve"> y 288 del Código Federal de Procedimientos Civiles (“</w:t>
      </w:r>
      <w:r w:rsidR="007B2189" w:rsidRPr="004E27D5">
        <w:rPr>
          <w:rFonts w:ascii="ITC Avant Garde" w:eastAsia="Times New Roman" w:hAnsi="ITC Avant Garde"/>
          <w:b/>
          <w:bCs/>
          <w:color w:val="000000"/>
          <w:lang w:eastAsia="es-MX"/>
        </w:rPr>
        <w:t>CFPC”</w:t>
      </w:r>
      <w:r w:rsidR="007B2189" w:rsidRPr="004E27D5">
        <w:rPr>
          <w:rFonts w:ascii="ITC Avant Garde" w:eastAsia="Times New Roman" w:hAnsi="ITC Avant Garde"/>
          <w:bCs/>
          <w:color w:val="000000"/>
          <w:lang w:eastAsia="es-MX"/>
        </w:rPr>
        <w:t xml:space="preserve">), de aplicación supletoria en términos de los artículos 6, fracciones IV y VII de la </w:t>
      </w:r>
      <w:r w:rsidR="006310EA" w:rsidRPr="004E27D5">
        <w:rPr>
          <w:rFonts w:ascii="ITC Avant Garde" w:eastAsia="Times New Roman" w:hAnsi="ITC Avant Garde"/>
          <w:b/>
          <w:bCs/>
          <w:color w:val="000000"/>
          <w:lang w:eastAsia="es-MX"/>
        </w:rPr>
        <w:t>LFTR</w:t>
      </w:r>
      <w:r w:rsidR="007B2189" w:rsidRPr="004E27D5">
        <w:rPr>
          <w:rFonts w:ascii="ITC Avant Garde" w:eastAsia="Times New Roman" w:hAnsi="ITC Avant Garde"/>
          <w:bCs/>
          <w:color w:val="000000"/>
          <w:lang w:eastAsia="es-MX"/>
        </w:rPr>
        <w:t xml:space="preserve"> y 2 de la </w:t>
      </w:r>
      <w:r w:rsidR="007B2189" w:rsidRPr="004E27D5">
        <w:rPr>
          <w:rFonts w:ascii="ITC Avant Garde" w:eastAsia="Times New Roman" w:hAnsi="ITC Avant Garde"/>
          <w:b/>
          <w:bCs/>
          <w:color w:val="000000"/>
          <w:lang w:eastAsia="es-MX"/>
        </w:rPr>
        <w:t>LFPA</w:t>
      </w:r>
      <w:r w:rsidR="007B2189" w:rsidRPr="004E27D5">
        <w:rPr>
          <w:rFonts w:ascii="ITC Avant Garde" w:eastAsia="Times New Roman" w:hAnsi="ITC Avant Garde"/>
          <w:bCs/>
          <w:color w:val="000000"/>
          <w:lang w:eastAsia="es-MX"/>
        </w:rPr>
        <w:t>.</w:t>
      </w:r>
    </w:p>
    <w:p w:rsidR="00B12B0F" w:rsidRPr="004E27D5" w:rsidRDefault="00B12B0F" w:rsidP="00B12B0F">
      <w:pPr>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Sirve de apoyo a lo anterior el criterio sostenido por la Primera Sala de la Suprema</w:t>
      </w:r>
    </w:p>
    <w:p w:rsidR="009E7D7C" w:rsidRPr="004E27D5" w:rsidRDefault="00B12B0F" w:rsidP="00B12B0F">
      <w:pPr>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Corte de Justicia de la Nación, publicado en el Semanario Judicial de la</w:t>
      </w:r>
      <w:r w:rsidR="009640F5" w:rsidRPr="004E27D5">
        <w:rPr>
          <w:rFonts w:ascii="ITC Avant Garde" w:eastAsia="Times New Roman" w:hAnsi="ITC Avant Garde"/>
          <w:bCs/>
          <w:color w:val="000000"/>
          <w:lang w:eastAsia="es-MX"/>
        </w:rPr>
        <w:t xml:space="preserve"> </w:t>
      </w:r>
      <w:r w:rsidRPr="004E27D5">
        <w:rPr>
          <w:rFonts w:ascii="ITC Avant Garde" w:eastAsia="Times New Roman" w:hAnsi="ITC Avant Garde"/>
          <w:bCs/>
          <w:color w:val="000000"/>
          <w:lang w:eastAsia="es-MX"/>
        </w:rPr>
        <w:t>Federación y su Gaceta, Libro XXII, en Julio de 2013, Tomo 1, Materia(s):</w:t>
      </w:r>
      <w:r w:rsidR="009640F5" w:rsidRPr="004E27D5">
        <w:rPr>
          <w:rFonts w:ascii="ITC Avant Garde" w:eastAsia="Times New Roman" w:hAnsi="ITC Avant Garde"/>
          <w:bCs/>
          <w:color w:val="000000"/>
          <w:lang w:eastAsia="es-MX"/>
        </w:rPr>
        <w:t xml:space="preserve"> </w:t>
      </w:r>
      <w:r w:rsidRPr="004E27D5">
        <w:rPr>
          <w:rFonts w:ascii="ITC Avant Garde" w:eastAsia="Times New Roman" w:hAnsi="ITC Avant Garde"/>
          <w:bCs/>
          <w:color w:val="000000"/>
          <w:lang w:eastAsia="es-MX"/>
        </w:rPr>
        <w:t>Constitucional, Tesis: la. CCV/2013 (100.), Página: 565 cuyo Rubro y texto son del tenor siguiente:</w:t>
      </w:r>
    </w:p>
    <w:p w:rsidR="009E7D7C" w:rsidRPr="004E27D5" w:rsidRDefault="00B12B0F" w:rsidP="004E27D5">
      <w:pPr>
        <w:pStyle w:val="Textoindependiente"/>
        <w:spacing w:line="240" w:lineRule="auto"/>
        <w:ind w:left="851" w:right="616"/>
        <w:jc w:val="both"/>
        <w:rPr>
          <w:rFonts w:ascii="ITC Avant Garde" w:eastAsia="Times New Roman" w:hAnsi="ITC Avant Garde"/>
          <w:bCs/>
          <w:color w:val="000000"/>
          <w:sz w:val="20"/>
          <w:szCs w:val="20"/>
          <w:lang w:eastAsia="es-MX"/>
        </w:rPr>
      </w:pPr>
      <w:r w:rsidRPr="004E27D5">
        <w:rPr>
          <w:rFonts w:ascii="ITC Avant Garde" w:eastAsia="Times New Roman" w:hAnsi="ITC Avant Garde"/>
          <w:b/>
          <w:bCs/>
          <w:color w:val="000000"/>
          <w:sz w:val="20"/>
          <w:szCs w:val="20"/>
          <w:lang w:eastAsia="es-MX"/>
        </w:rPr>
        <w:t>“PRECLUSIÓN DE UN DERECHO PROCESAL NO CONTRAVIENE EL PRINCIPIO</w:t>
      </w:r>
      <w:r w:rsidR="009640F5" w:rsidRPr="004E27D5">
        <w:rPr>
          <w:rFonts w:ascii="ITC Avant Garde" w:eastAsia="Times New Roman" w:hAnsi="ITC Avant Garde"/>
          <w:b/>
          <w:bCs/>
          <w:color w:val="000000"/>
          <w:sz w:val="20"/>
          <w:szCs w:val="20"/>
          <w:lang w:eastAsia="es-MX"/>
        </w:rPr>
        <w:t xml:space="preserve"> </w:t>
      </w:r>
      <w:r w:rsidRPr="004E27D5">
        <w:rPr>
          <w:rFonts w:ascii="ITC Avant Garde" w:eastAsia="Times New Roman" w:hAnsi="ITC Avant Garde"/>
          <w:b/>
          <w:bCs/>
          <w:color w:val="000000"/>
          <w:sz w:val="20"/>
          <w:szCs w:val="20"/>
          <w:lang w:eastAsia="es-MX"/>
        </w:rPr>
        <w:t>DE JUSTICIA PRONTA PREVISTO EN EL ARTÍCULO 17 DE LA CONSTITUCIÓN</w:t>
      </w:r>
      <w:r w:rsidR="009640F5" w:rsidRPr="004E27D5">
        <w:rPr>
          <w:rFonts w:ascii="ITC Avant Garde" w:eastAsia="Times New Roman" w:hAnsi="ITC Avant Garde"/>
          <w:b/>
          <w:bCs/>
          <w:color w:val="000000"/>
          <w:sz w:val="20"/>
          <w:szCs w:val="20"/>
          <w:lang w:eastAsia="es-MX"/>
        </w:rPr>
        <w:t xml:space="preserve"> </w:t>
      </w:r>
      <w:r w:rsidRPr="004E27D5">
        <w:rPr>
          <w:rFonts w:ascii="ITC Avant Garde" w:eastAsia="Times New Roman" w:hAnsi="ITC Avant Garde"/>
          <w:b/>
          <w:bCs/>
          <w:color w:val="000000"/>
          <w:sz w:val="20"/>
          <w:szCs w:val="20"/>
          <w:lang w:eastAsia="es-MX"/>
        </w:rPr>
        <w:t>POLITICA DE LOS ESTADOS UNIDOS MEXICANOS.</w:t>
      </w:r>
      <w:r w:rsidRPr="004E27D5">
        <w:rPr>
          <w:rFonts w:ascii="ITC Avant Garde" w:eastAsia="Times New Roman" w:hAnsi="ITC Avant Garde"/>
          <w:bCs/>
          <w:color w:val="000000"/>
          <w:sz w:val="20"/>
          <w:szCs w:val="20"/>
          <w:lang w:eastAsia="es-MX"/>
        </w:rPr>
        <w:t xml:space="preserve"> La preclusión es una</w:t>
      </w:r>
      <w:r w:rsidR="009640F5" w:rsidRPr="004E27D5">
        <w:rPr>
          <w:rFonts w:ascii="ITC Avant Garde" w:eastAsia="Times New Roman" w:hAnsi="ITC Avant Garde"/>
          <w:bCs/>
          <w:color w:val="000000"/>
          <w:sz w:val="20"/>
          <w:szCs w:val="20"/>
          <w:lang w:eastAsia="es-MX"/>
        </w:rPr>
        <w:t xml:space="preserve"> </w:t>
      </w:r>
      <w:r w:rsidRPr="004E27D5">
        <w:rPr>
          <w:rFonts w:ascii="ITC Avant Garde" w:eastAsia="Times New Roman" w:hAnsi="ITC Avant Garde"/>
          <w:bCs/>
          <w:color w:val="000000"/>
          <w:sz w:val="20"/>
          <w:szCs w:val="20"/>
          <w:lang w:eastAsia="es-MX"/>
        </w:rPr>
        <w:t xml:space="preserve">sanción que da seguridad </w:t>
      </w:r>
      <w:r w:rsidRPr="004E27D5">
        <w:rPr>
          <w:rFonts w:ascii="ITC Avant Garde" w:eastAsia="Times New Roman" w:hAnsi="ITC Avant Garde"/>
          <w:bCs/>
          <w:color w:val="000000"/>
          <w:sz w:val="20"/>
          <w:szCs w:val="20"/>
          <w:lang w:eastAsia="es-MX"/>
        </w:rPr>
        <w:lastRenderedPageBreak/>
        <w:t>e irreversibilidad al desarrollo del proceso,</w:t>
      </w:r>
      <w:r w:rsidR="009640F5" w:rsidRPr="004E27D5">
        <w:rPr>
          <w:rFonts w:ascii="ITC Avant Garde" w:eastAsia="Times New Roman" w:hAnsi="ITC Avant Garde"/>
          <w:bCs/>
          <w:color w:val="000000"/>
          <w:sz w:val="20"/>
          <w:szCs w:val="20"/>
          <w:lang w:eastAsia="es-MX"/>
        </w:rPr>
        <w:t xml:space="preserve"> </w:t>
      </w:r>
      <w:r w:rsidRPr="004E27D5">
        <w:rPr>
          <w:rFonts w:ascii="ITC Avant Garde" w:eastAsia="Times New Roman" w:hAnsi="ITC Avant Garde"/>
          <w:bCs/>
          <w:color w:val="000000"/>
          <w:sz w:val="20"/>
          <w:szCs w:val="20"/>
          <w:lang w:eastAsia="es-MX"/>
        </w:rPr>
        <w:t>pues consiste en la pérdida, extinción o consumación de una facultad procesal, y por la cual las distintas etapas del/procedimiento adquieren</w:t>
      </w:r>
      <w:r w:rsidR="009640F5" w:rsidRPr="004E27D5">
        <w:rPr>
          <w:rFonts w:ascii="ITC Avant Garde" w:eastAsia="Times New Roman" w:hAnsi="ITC Avant Garde"/>
          <w:bCs/>
          <w:color w:val="000000"/>
          <w:sz w:val="20"/>
          <w:szCs w:val="20"/>
          <w:lang w:eastAsia="es-MX"/>
        </w:rPr>
        <w:t xml:space="preserve"> </w:t>
      </w:r>
      <w:r w:rsidRPr="004E27D5">
        <w:rPr>
          <w:rFonts w:ascii="ITC Avant Garde" w:eastAsia="Times New Roman" w:hAnsi="ITC Avant Garde"/>
          <w:bCs/>
          <w:color w:val="000000"/>
          <w:sz w:val="20"/>
          <w:szCs w:val="20"/>
          <w:lang w:eastAsia="es-MX"/>
        </w:rPr>
        <w:t>firmeza y se da sustento a las fases subsecuentes, lo cual no sólo permit</w:t>
      </w:r>
      <w:r w:rsidR="009640F5" w:rsidRPr="004E27D5">
        <w:rPr>
          <w:rFonts w:ascii="ITC Avant Garde" w:eastAsia="Times New Roman" w:hAnsi="ITC Avant Garde"/>
          <w:bCs/>
          <w:color w:val="000000"/>
          <w:sz w:val="20"/>
          <w:szCs w:val="20"/>
          <w:lang w:eastAsia="es-MX"/>
        </w:rPr>
        <w:t xml:space="preserve">e </w:t>
      </w:r>
      <w:r w:rsidRPr="004E27D5">
        <w:rPr>
          <w:rFonts w:ascii="ITC Avant Garde" w:eastAsia="Times New Roman" w:hAnsi="ITC Avant Garde"/>
          <w:bCs/>
          <w:color w:val="000000"/>
          <w:sz w:val="20"/>
          <w:szCs w:val="20"/>
          <w:lang w:eastAsia="es-MX"/>
        </w:rPr>
        <w:t>que el juicio se desarrolle ordenadamente, sino que establece un límite a</w:t>
      </w:r>
      <w:r w:rsidR="009640F5" w:rsidRPr="004E27D5">
        <w:rPr>
          <w:rFonts w:ascii="ITC Avant Garde" w:eastAsia="Times New Roman" w:hAnsi="ITC Avant Garde"/>
          <w:bCs/>
          <w:color w:val="000000"/>
          <w:sz w:val="20"/>
          <w:szCs w:val="20"/>
          <w:lang w:eastAsia="es-MX"/>
        </w:rPr>
        <w:t xml:space="preserve"> </w:t>
      </w:r>
      <w:r w:rsidRPr="004E27D5">
        <w:rPr>
          <w:rFonts w:ascii="ITC Avant Garde" w:eastAsia="Times New Roman" w:hAnsi="ITC Avant Garde"/>
          <w:bCs/>
          <w:color w:val="000000"/>
          <w:sz w:val="20"/>
          <w:szCs w:val="20"/>
          <w:lang w:eastAsia="es-MX"/>
        </w:rPr>
        <w:t>la posibilidad de discusión, lo cual coadyuva a que la controversia se</w:t>
      </w:r>
      <w:r w:rsidR="009640F5" w:rsidRPr="004E27D5">
        <w:rPr>
          <w:rFonts w:ascii="ITC Avant Garde" w:eastAsia="Times New Roman" w:hAnsi="ITC Avant Garde"/>
          <w:bCs/>
          <w:color w:val="000000"/>
          <w:sz w:val="20"/>
          <w:szCs w:val="20"/>
          <w:lang w:eastAsia="es-MX"/>
        </w:rPr>
        <w:t xml:space="preserve"> </w:t>
      </w:r>
      <w:r w:rsidRPr="004E27D5">
        <w:rPr>
          <w:rFonts w:ascii="ITC Avant Garde" w:eastAsia="Times New Roman" w:hAnsi="ITC Avant Garde"/>
          <w:bCs/>
          <w:color w:val="000000"/>
          <w:sz w:val="20"/>
          <w:szCs w:val="20"/>
          <w:lang w:eastAsia="es-MX"/>
        </w:rPr>
        <w:t>solucione en el menor tiempo posible; de ahí que dicha instituci</w:t>
      </w:r>
      <w:r w:rsidR="009640F5" w:rsidRPr="004E27D5">
        <w:rPr>
          <w:rFonts w:ascii="ITC Avant Garde" w:eastAsia="Times New Roman" w:hAnsi="ITC Avant Garde"/>
          <w:bCs/>
          <w:color w:val="000000"/>
          <w:sz w:val="20"/>
          <w:szCs w:val="20"/>
          <w:lang w:eastAsia="es-MX"/>
        </w:rPr>
        <w:t>ón</w:t>
      </w:r>
      <w:r w:rsidRPr="004E27D5">
        <w:rPr>
          <w:rFonts w:ascii="ITC Avant Garde" w:eastAsia="Times New Roman" w:hAnsi="ITC Avant Garde"/>
          <w:bCs/>
          <w:color w:val="000000"/>
          <w:sz w:val="20"/>
          <w:szCs w:val="20"/>
          <w:lang w:eastAsia="es-MX"/>
        </w:rPr>
        <w:t xml:space="preserve"> no</w:t>
      </w:r>
      <w:r w:rsidR="009640F5" w:rsidRPr="004E27D5">
        <w:rPr>
          <w:rFonts w:ascii="ITC Avant Garde" w:eastAsia="Times New Roman" w:hAnsi="ITC Avant Garde"/>
          <w:bCs/>
          <w:color w:val="000000"/>
          <w:sz w:val="20"/>
          <w:szCs w:val="20"/>
          <w:lang w:eastAsia="es-MX"/>
        </w:rPr>
        <w:t xml:space="preserve"> </w:t>
      </w:r>
      <w:r w:rsidRPr="004E27D5">
        <w:rPr>
          <w:rFonts w:ascii="ITC Avant Garde" w:eastAsia="Times New Roman" w:hAnsi="ITC Avant Garde"/>
          <w:bCs/>
          <w:color w:val="000000"/>
          <w:sz w:val="20"/>
          <w:szCs w:val="20"/>
          <w:lang w:eastAsia="es-MX"/>
        </w:rPr>
        <w:t>contraviene el principio de justicia pronta que prevé el artículo 17 de la</w:t>
      </w:r>
      <w:r w:rsidR="009640F5" w:rsidRPr="004E27D5">
        <w:rPr>
          <w:rFonts w:ascii="ITC Avant Garde" w:eastAsia="Times New Roman" w:hAnsi="ITC Avant Garde"/>
          <w:bCs/>
          <w:color w:val="000000"/>
          <w:sz w:val="20"/>
          <w:szCs w:val="20"/>
          <w:lang w:eastAsia="es-MX"/>
        </w:rPr>
        <w:t xml:space="preserve"> </w:t>
      </w:r>
      <w:r w:rsidRPr="004E27D5">
        <w:rPr>
          <w:rFonts w:ascii="ITC Avant Garde" w:eastAsia="Times New Roman" w:hAnsi="ITC Avant Garde"/>
          <w:bCs/>
          <w:color w:val="000000"/>
          <w:sz w:val="20"/>
          <w:szCs w:val="20"/>
          <w:lang w:eastAsia="es-MX"/>
        </w:rPr>
        <w:t>Constitución Política de los Estados Unidos Mexicanos, que se traduce en</w:t>
      </w:r>
      <w:r w:rsidR="009640F5" w:rsidRPr="004E27D5">
        <w:rPr>
          <w:rFonts w:ascii="ITC Avant Garde" w:eastAsia="Times New Roman" w:hAnsi="ITC Avant Garde"/>
          <w:bCs/>
          <w:color w:val="000000"/>
          <w:sz w:val="20"/>
          <w:szCs w:val="20"/>
          <w:lang w:eastAsia="es-MX"/>
        </w:rPr>
        <w:t xml:space="preserve"> </w:t>
      </w:r>
      <w:r w:rsidRPr="004E27D5">
        <w:rPr>
          <w:rFonts w:ascii="ITC Avant Garde" w:eastAsia="Times New Roman" w:hAnsi="ITC Avant Garde"/>
          <w:bCs/>
          <w:color w:val="000000"/>
          <w:sz w:val="20"/>
          <w:szCs w:val="20"/>
          <w:lang w:eastAsia="es-MX"/>
        </w:rPr>
        <w:t>la obligación de las autoridades encargadas de su impartición, de</w:t>
      </w:r>
      <w:r w:rsidR="009640F5" w:rsidRPr="004E27D5">
        <w:rPr>
          <w:rFonts w:ascii="ITC Avant Garde" w:eastAsia="Times New Roman" w:hAnsi="ITC Avant Garde"/>
          <w:bCs/>
          <w:color w:val="000000"/>
          <w:sz w:val="20"/>
          <w:szCs w:val="20"/>
          <w:lang w:eastAsia="es-MX"/>
        </w:rPr>
        <w:t xml:space="preserve"> </w:t>
      </w:r>
      <w:r w:rsidRPr="004E27D5">
        <w:rPr>
          <w:rFonts w:ascii="ITC Avant Garde" w:eastAsia="Times New Roman" w:hAnsi="ITC Avant Garde"/>
          <w:bCs/>
          <w:color w:val="000000"/>
          <w:sz w:val="20"/>
          <w:szCs w:val="20"/>
          <w:lang w:eastAsia="es-MX"/>
        </w:rPr>
        <w:t>resolver las controversias ante ellas plantead</w:t>
      </w:r>
      <w:r w:rsidR="009640F5" w:rsidRPr="004E27D5">
        <w:rPr>
          <w:rFonts w:ascii="ITC Avant Garde" w:eastAsia="Times New Roman" w:hAnsi="ITC Avant Garde"/>
          <w:bCs/>
          <w:color w:val="000000"/>
          <w:sz w:val="20"/>
          <w:szCs w:val="20"/>
          <w:lang w:eastAsia="es-MX"/>
        </w:rPr>
        <w:t>a</w:t>
      </w:r>
      <w:r w:rsidRPr="004E27D5">
        <w:rPr>
          <w:rFonts w:ascii="ITC Avant Garde" w:eastAsia="Times New Roman" w:hAnsi="ITC Avant Garde"/>
          <w:bCs/>
          <w:color w:val="000000"/>
          <w:sz w:val="20"/>
          <w:szCs w:val="20"/>
          <w:lang w:eastAsia="es-MX"/>
        </w:rPr>
        <w:t>s, dentro de los términos y</w:t>
      </w:r>
      <w:r w:rsidR="009640F5" w:rsidRPr="004E27D5">
        <w:rPr>
          <w:rFonts w:ascii="ITC Avant Garde" w:eastAsia="Times New Roman" w:hAnsi="ITC Avant Garde"/>
          <w:bCs/>
          <w:color w:val="000000"/>
          <w:sz w:val="20"/>
          <w:szCs w:val="20"/>
          <w:lang w:eastAsia="es-MX"/>
        </w:rPr>
        <w:t xml:space="preserve"> </w:t>
      </w:r>
      <w:r w:rsidRPr="004E27D5">
        <w:rPr>
          <w:rFonts w:ascii="ITC Avant Garde" w:eastAsia="Times New Roman" w:hAnsi="ITC Avant Garde"/>
          <w:bCs/>
          <w:color w:val="000000"/>
          <w:sz w:val="20"/>
          <w:szCs w:val="20"/>
          <w:lang w:eastAsia="es-MX"/>
        </w:rPr>
        <w:t>plazos que al efecto establezcan las leyes.</w:t>
      </w:r>
      <w:r w:rsidR="009640F5" w:rsidRPr="004E27D5">
        <w:rPr>
          <w:rFonts w:ascii="ITC Avant Garde" w:eastAsia="Times New Roman" w:hAnsi="ITC Avant Garde"/>
          <w:bCs/>
          <w:color w:val="000000"/>
          <w:sz w:val="20"/>
          <w:szCs w:val="20"/>
          <w:lang w:eastAsia="es-MX"/>
        </w:rPr>
        <w:t>”</w:t>
      </w:r>
    </w:p>
    <w:p w:rsidR="009E7D7C" w:rsidRPr="004E27D5" w:rsidRDefault="001A3CAC" w:rsidP="001A3CAC">
      <w:pPr>
        <w:spacing w:after="0" w:line="360" w:lineRule="auto"/>
        <w:jc w:val="both"/>
        <w:rPr>
          <w:rFonts w:ascii="ITC Avant Garde" w:hAnsi="ITC Avant Garde"/>
        </w:rPr>
      </w:pPr>
      <w:r w:rsidRPr="004E27D5">
        <w:rPr>
          <w:rFonts w:ascii="ITC Avant Garde" w:hAnsi="ITC Avant Garde"/>
        </w:rPr>
        <w:t xml:space="preserve">Ahora bien, no obstante haber sido legalmente notificado el </w:t>
      </w:r>
      <w:r w:rsidRPr="004E27D5">
        <w:rPr>
          <w:rFonts w:ascii="ITC Avant Garde" w:hAnsi="ITC Avant Garde"/>
          <w:b/>
        </w:rPr>
        <w:t xml:space="preserve">PRESUNTO RESPONSABLE </w:t>
      </w:r>
      <w:r w:rsidRPr="004E27D5">
        <w:rPr>
          <w:rFonts w:ascii="ITC Avant Garde" w:hAnsi="ITC Avant Garde"/>
        </w:rPr>
        <w:t>en el domicilio en el que se detectaron los equipos prestando el servicio de radiodifusión, según constancias que obran en la Unidad de Cumplimiento, ninguna persona compareció al presente procedimiento a defender sus intereses.</w:t>
      </w:r>
    </w:p>
    <w:p w:rsidR="009E7D7C" w:rsidRPr="004E27D5" w:rsidRDefault="001A3CAC" w:rsidP="001A3CAC">
      <w:pPr>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Ello es así, considerando que el </w:t>
      </w:r>
      <w:r w:rsidRPr="004E27D5">
        <w:rPr>
          <w:rFonts w:ascii="ITC Avant Garde" w:hAnsi="ITC Avant Garde"/>
          <w:b/>
        </w:rPr>
        <w:t>PRESUNTO RESPONSABLE</w:t>
      </w:r>
      <w:r w:rsidRPr="004E27D5">
        <w:rPr>
          <w:rFonts w:ascii="ITC Avant Garde" w:hAnsi="ITC Avant Garde" w:cs="Arial"/>
          <w:b/>
        </w:rPr>
        <w:t xml:space="preserve"> </w:t>
      </w:r>
      <w:r w:rsidRPr="004E27D5">
        <w:rPr>
          <w:rFonts w:ascii="ITC Avant Garde" w:eastAsia="Times New Roman" w:hAnsi="ITC Avant Garde"/>
          <w:bCs/>
          <w:color w:val="000000"/>
          <w:lang w:eastAsia="es-MX"/>
        </w:rPr>
        <w:t>fue omiso en presentar las pruebas y manifestaciones que a su derecho convinieren, no obstante haber sido debidamente llamado al presente procedimiento, por lo que al no existir constancia alguna que tienda a desvirtuar el probable incumplimiento materia del presente procedimiento ni existir controversia en los hechos y derecho materia del mismo, lo procedente es emitir la resolución que conforme a derecho corresponda, con base en lo elementos con que cuenta esta autoridad.</w:t>
      </w:r>
    </w:p>
    <w:p w:rsidR="001A3CAC" w:rsidRPr="004E27D5" w:rsidRDefault="001A3CAC" w:rsidP="001A3CAC">
      <w:pPr>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En efecto, lo establecido en el acuerdo de inicio del procedimiento que en este acto se resuelve constituye una presunción legal iuris tantum, la cual sólo es destruible mediante otra probanza que se aporte en sentido contrario, ya que de no ser así, la misma tiene valor probatorio pleno.</w:t>
      </w:r>
    </w:p>
    <w:p w:rsidR="009E7D7C" w:rsidRPr="004E27D5" w:rsidRDefault="001A3CAC" w:rsidP="001A3CAC">
      <w:pPr>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Desde luego, para que se pueda desvirtuar la presunción legal, la idoneidad de la contraprueba tiene que ser contundente para vencer la plenitud </w:t>
      </w:r>
      <w:proofErr w:type="spellStart"/>
      <w:r w:rsidRPr="004E27D5">
        <w:rPr>
          <w:rFonts w:ascii="ITC Avant Garde" w:eastAsia="Times New Roman" w:hAnsi="ITC Avant Garde"/>
          <w:bCs/>
          <w:color w:val="000000"/>
          <w:lang w:eastAsia="es-MX"/>
        </w:rPr>
        <w:t>convictiva</w:t>
      </w:r>
      <w:proofErr w:type="spellEnd"/>
      <w:r w:rsidRPr="004E27D5">
        <w:rPr>
          <w:rFonts w:ascii="ITC Avant Garde" w:eastAsia="Times New Roman" w:hAnsi="ITC Avant Garde"/>
          <w:bCs/>
          <w:color w:val="000000"/>
          <w:lang w:eastAsia="es-MX"/>
        </w:rPr>
        <w:t xml:space="preserve"> que la ley le atribuye a la primera, de manera que si el presunto infractor no ofrece prueba tendiente a desvirtuar la presunción de incumplimiento detectado, como aconteció en la especie, entonces, no es posible vencer la solidez atribuida a la presunción relativa de que se trate.</w:t>
      </w:r>
    </w:p>
    <w:p w:rsidR="009B5755" w:rsidRPr="004E27D5" w:rsidRDefault="001A3CAC" w:rsidP="001A3CAC">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En ese orden de ideas, al no haber realizado el </w:t>
      </w:r>
      <w:r w:rsidRPr="004E27D5">
        <w:rPr>
          <w:rFonts w:ascii="ITC Avant Garde" w:hAnsi="ITC Avant Garde"/>
          <w:b/>
        </w:rPr>
        <w:t>PRESUNTO RESPONSABLE</w:t>
      </w:r>
      <w:r w:rsidRPr="004E27D5">
        <w:rPr>
          <w:rFonts w:ascii="ITC Avant Garde" w:hAnsi="ITC Avant Garde" w:cs="Arial"/>
          <w:b/>
        </w:rPr>
        <w:t xml:space="preserve">, </w:t>
      </w:r>
      <w:r w:rsidRPr="004E27D5">
        <w:rPr>
          <w:rFonts w:ascii="ITC Avant Garde" w:eastAsia="Times New Roman" w:hAnsi="ITC Avant Garde"/>
          <w:bCs/>
          <w:color w:val="000000"/>
          <w:lang w:eastAsia="es-MX"/>
        </w:rPr>
        <w:t xml:space="preserve">manifestación alguna con relación al acuerdo de inicio del procedimiento en que se actúa y tampoco </w:t>
      </w:r>
      <w:r w:rsidRPr="004E27D5">
        <w:rPr>
          <w:rFonts w:ascii="ITC Avant Garde" w:eastAsia="Times New Roman" w:hAnsi="ITC Avant Garde"/>
          <w:bCs/>
          <w:color w:val="000000"/>
          <w:lang w:eastAsia="es-MX"/>
        </w:rPr>
        <w:lastRenderedPageBreak/>
        <w:t xml:space="preserve">ofrecer pruebas de su parte, </w:t>
      </w:r>
      <w:r w:rsidR="008C2351" w:rsidRPr="004E27D5">
        <w:rPr>
          <w:rFonts w:ascii="ITC Avant Garde" w:eastAsia="Times New Roman" w:hAnsi="ITC Avant Garde"/>
          <w:bCs/>
          <w:color w:val="000000"/>
          <w:lang w:eastAsia="es-MX"/>
        </w:rPr>
        <w:t>esta autoridad se encuentra en posibilidad de resolver conforme a los elementos que obran en el expediente respectivo, particularmente de lo asentado en el acta de verificación respectiva de donde se desprenden con claridad los elementos que acreditan la conducta imputada, consistente en la prestación de servicios de radiodifusión utilizando la frecuencia 106.1 MH</w:t>
      </w:r>
      <w:r w:rsidR="009A304D" w:rsidRPr="004E27D5">
        <w:rPr>
          <w:rFonts w:ascii="ITC Avant Garde" w:eastAsia="Times New Roman" w:hAnsi="ITC Avant Garde"/>
          <w:bCs/>
          <w:color w:val="000000"/>
          <w:lang w:eastAsia="es-MX"/>
        </w:rPr>
        <w:t>z</w:t>
      </w:r>
      <w:r w:rsidR="008C2351" w:rsidRPr="004E27D5">
        <w:rPr>
          <w:rFonts w:ascii="ITC Avant Garde" w:eastAsia="Times New Roman" w:hAnsi="ITC Avant Garde"/>
          <w:bCs/>
          <w:color w:val="000000"/>
          <w:lang w:eastAsia="es-MX"/>
        </w:rPr>
        <w:t xml:space="preserve"> en el Municipio de Valle de Bravo, Estado de México, sin contar con la concesión correspondiente, documento que hace prueba en términos del artículo 202 del Código Federal de Procedimientos Civiles.</w:t>
      </w:r>
    </w:p>
    <w:p w:rsidR="009E7D7C" w:rsidRPr="004E27D5" w:rsidRDefault="00572E59" w:rsidP="002A3FF9">
      <w:pPr>
        <w:spacing w:after="0" w:line="360" w:lineRule="auto"/>
        <w:jc w:val="both"/>
        <w:rPr>
          <w:rFonts w:ascii="ITC Avant Garde" w:eastAsia="Times New Roman" w:hAnsi="ITC Avant Garde"/>
          <w:b/>
          <w:bCs/>
          <w:color w:val="000000"/>
          <w:lang w:eastAsia="es-MX"/>
        </w:rPr>
      </w:pPr>
      <w:r w:rsidRPr="004E27D5">
        <w:rPr>
          <w:rFonts w:ascii="ITC Avant Garde" w:eastAsia="Times New Roman" w:hAnsi="ITC Avant Garde"/>
          <w:b/>
          <w:bCs/>
          <w:color w:val="000000"/>
          <w:lang w:eastAsia="es-MX"/>
        </w:rPr>
        <w:t xml:space="preserve">QUINTO. </w:t>
      </w:r>
      <w:r w:rsidR="00D6695C" w:rsidRPr="004E27D5">
        <w:rPr>
          <w:rFonts w:ascii="ITC Avant Garde" w:eastAsia="Times New Roman" w:hAnsi="ITC Avant Garde"/>
          <w:b/>
          <w:bCs/>
          <w:color w:val="000000"/>
          <w:sz w:val="20"/>
          <w:lang w:eastAsia="es-MX"/>
        </w:rPr>
        <w:t>ALEGATOS</w:t>
      </w:r>
    </w:p>
    <w:p w:rsidR="009E7D7C" w:rsidRPr="004E27D5" w:rsidRDefault="00F967F5" w:rsidP="00D6695C">
      <w:pPr>
        <w:pStyle w:val="Textoindependiente"/>
        <w:tabs>
          <w:tab w:val="left" w:pos="851"/>
        </w:tabs>
        <w:spacing w:after="0" w:line="360" w:lineRule="auto"/>
        <w:jc w:val="both"/>
        <w:rPr>
          <w:rFonts w:ascii="ITC Avant Garde" w:eastAsia="Times New Roman" w:hAnsi="ITC Avant Garde"/>
          <w:b/>
          <w:bCs/>
          <w:color w:val="000000"/>
          <w:lang w:eastAsia="es-MX"/>
        </w:rPr>
      </w:pPr>
      <w:r w:rsidRPr="004E27D5">
        <w:rPr>
          <w:rFonts w:ascii="ITC Avant Garde" w:eastAsia="Times New Roman" w:hAnsi="ITC Avant Garde"/>
          <w:bCs/>
          <w:color w:val="000000"/>
          <w:lang w:eastAsia="es-MX"/>
        </w:rPr>
        <w:t>Siguiendo las etapas del debido proceso, m</w:t>
      </w:r>
      <w:r w:rsidR="00D6695C" w:rsidRPr="004E27D5">
        <w:rPr>
          <w:rFonts w:ascii="ITC Avant Garde" w:eastAsia="Times New Roman" w:hAnsi="ITC Avant Garde"/>
          <w:bCs/>
          <w:color w:val="000000"/>
          <w:lang w:eastAsia="es-MX"/>
        </w:rPr>
        <w:t xml:space="preserve">ediante acuerdo </w:t>
      </w:r>
      <w:r w:rsidR="009C53A8" w:rsidRPr="004E27D5">
        <w:rPr>
          <w:rFonts w:ascii="ITC Avant Garde" w:eastAsia="Times New Roman" w:hAnsi="ITC Avant Garde"/>
          <w:bCs/>
          <w:color w:val="000000"/>
          <w:lang w:eastAsia="es-MX"/>
        </w:rPr>
        <w:t xml:space="preserve">de </w:t>
      </w:r>
      <w:r w:rsidR="00986F50" w:rsidRPr="004E27D5">
        <w:rPr>
          <w:rFonts w:ascii="ITC Avant Garde" w:eastAsia="Times New Roman" w:hAnsi="ITC Avant Garde"/>
          <w:bCs/>
          <w:color w:val="000000"/>
          <w:lang w:eastAsia="es-MX"/>
        </w:rPr>
        <w:t>veintiocho de septiembre de dos mil diecisiete</w:t>
      </w:r>
      <w:r w:rsidR="009C53A8" w:rsidRPr="004E27D5">
        <w:rPr>
          <w:rFonts w:ascii="ITC Avant Garde" w:eastAsia="Times New Roman" w:hAnsi="ITC Avant Garde"/>
          <w:bCs/>
          <w:color w:val="000000"/>
          <w:lang w:eastAsia="es-MX"/>
        </w:rPr>
        <w:t>, notificado por publicación de lista diaria de notificaciones en la página de este</w:t>
      </w:r>
      <w:r w:rsidR="001F02E3" w:rsidRPr="004E27D5">
        <w:rPr>
          <w:rFonts w:ascii="ITC Avant Garde" w:eastAsia="Times New Roman" w:hAnsi="ITC Avant Garde"/>
          <w:bCs/>
          <w:color w:val="000000"/>
          <w:lang w:eastAsia="es-MX"/>
        </w:rPr>
        <w:t xml:space="preserve"> </w:t>
      </w:r>
      <w:r w:rsidR="001F02E3" w:rsidRPr="004E27D5">
        <w:rPr>
          <w:rFonts w:ascii="ITC Avant Garde" w:eastAsia="Times New Roman" w:hAnsi="ITC Avant Garde"/>
          <w:b/>
          <w:bCs/>
          <w:color w:val="000000"/>
          <w:lang w:eastAsia="es-MX"/>
        </w:rPr>
        <w:t>IFT</w:t>
      </w:r>
      <w:r w:rsidR="001F02E3" w:rsidRPr="004E27D5">
        <w:rPr>
          <w:rFonts w:ascii="ITC Avant Garde" w:eastAsia="Times New Roman" w:hAnsi="ITC Avant Garde"/>
          <w:bCs/>
          <w:color w:val="000000"/>
          <w:lang w:eastAsia="es-MX"/>
        </w:rPr>
        <w:t xml:space="preserve"> </w:t>
      </w:r>
      <w:r w:rsidR="00041BE8" w:rsidRPr="004E27D5">
        <w:rPr>
          <w:rFonts w:ascii="ITC Avant Garde" w:eastAsia="Times New Roman" w:hAnsi="ITC Avant Garde"/>
          <w:bCs/>
          <w:color w:val="000000"/>
          <w:lang w:eastAsia="es-MX"/>
        </w:rPr>
        <w:t xml:space="preserve">el </w:t>
      </w:r>
      <w:r w:rsidR="00F8507B" w:rsidRPr="004E27D5">
        <w:rPr>
          <w:rFonts w:ascii="ITC Avant Garde" w:eastAsia="Times New Roman" w:hAnsi="ITC Avant Garde"/>
          <w:bCs/>
          <w:color w:val="000000"/>
          <w:lang w:eastAsia="es-MX"/>
        </w:rPr>
        <w:t>veintinueve de septiembre siguiente</w:t>
      </w:r>
      <w:r w:rsidR="00D6695C" w:rsidRPr="004E27D5">
        <w:rPr>
          <w:rFonts w:ascii="ITC Avant Garde" w:eastAsia="Times New Roman" w:hAnsi="ITC Avant Garde"/>
          <w:bCs/>
          <w:color w:val="000000"/>
          <w:lang w:eastAsia="es-MX"/>
        </w:rPr>
        <w:t xml:space="preserve">, se concedió </w:t>
      </w:r>
      <w:r w:rsidR="001F02E3" w:rsidRPr="004E27D5">
        <w:rPr>
          <w:rFonts w:ascii="ITC Avant Garde" w:eastAsia="Times New Roman" w:hAnsi="ITC Avant Garde"/>
          <w:bCs/>
          <w:color w:val="000000"/>
          <w:lang w:eastAsia="es-MX"/>
        </w:rPr>
        <w:t xml:space="preserve">al </w:t>
      </w:r>
      <w:r w:rsidR="00A01799" w:rsidRPr="004E27D5">
        <w:rPr>
          <w:rFonts w:ascii="ITC Avant Garde" w:hAnsi="ITC Avant Garde"/>
          <w:b/>
        </w:rPr>
        <w:t>PRESUNTO RESPONSABLE</w:t>
      </w:r>
      <w:r w:rsidR="00A01799" w:rsidRPr="004E27D5">
        <w:rPr>
          <w:rFonts w:ascii="ITC Avant Garde" w:eastAsia="Times New Roman" w:hAnsi="ITC Avant Garde"/>
          <w:bCs/>
          <w:color w:val="000000"/>
          <w:lang w:eastAsia="es-MX"/>
        </w:rPr>
        <w:t xml:space="preserve"> </w:t>
      </w:r>
      <w:r w:rsidR="00D6695C" w:rsidRPr="004E27D5">
        <w:rPr>
          <w:rFonts w:ascii="ITC Avant Garde" w:eastAsia="Times New Roman" w:hAnsi="ITC Avant Garde"/>
          <w:bCs/>
          <w:color w:val="000000"/>
          <w:lang w:eastAsia="es-MX"/>
        </w:rPr>
        <w:t xml:space="preserve">un plazo de diez días hábiles para formular alegatos, el cual corrió del </w:t>
      </w:r>
      <w:r w:rsidR="00F8507B" w:rsidRPr="004E27D5">
        <w:rPr>
          <w:rFonts w:ascii="ITC Avant Garde" w:eastAsia="Times New Roman" w:hAnsi="ITC Avant Garde"/>
          <w:bCs/>
          <w:color w:val="000000"/>
          <w:lang w:eastAsia="es-MX"/>
        </w:rPr>
        <w:t xml:space="preserve">tres al dieciséis de octubre de dos mil diecisiete, sin considerar los días siete, ocho, catorce y quince de octubre, </w:t>
      </w:r>
      <w:r w:rsidR="00F8507B" w:rsidRPr="004E27D5">
        <w:rPr>
          <w:rFonts w:ascii="ITC Avant Garde" w:eastAsia="Times New Roman" w:hAnsi="ITC Avant Garde"/>
          <w:bCs/>
        </w:rPr>
        <w:t xml:space="preserve">por tratarse de sábados y domingos en términos del artículo 28 </w:t>
      </w:r>
      <w:r w:rsidR="00F8507B" w:rsidRPr="004E27D5">
        <w:rPr>
          <w:rFonts w:ascii="ITC Avant Garde" w:eastAsia="Times New Roman" w:hAnsi="ITC Avant Garde"/>
          <w:bCs/>
          <w:lang w:eastAsia="es-MX"/>
        </w:rPr>
        <w:t xml:space="preserve">de la </w:t>
      </w:r>
      <w:r w:rsidR="00F8507B" w:rsidRPr="004E27D5">
        <w:rPr>
          <w:rFonts w:ascii="ITC Avant Garde" w:eastAsia="Times New Roman" w:hAnsi="ITC Avant Garde"/>
          <w:b/>
          <w:bCs/>
          <w:lang w:eastAsia="es-MX"/>
        </w:rPr>
        <w:t>LFPA</w:t>
      </w:r>
      <w:r w:rsidR="002B4173" w:rsidRPr="004E27D5">
        <w:rPr>
          <w:rFonts w:ascii="ITC Avant Garde" w:eastAsia="Times New Roman" w:hAnsi="ITC Avant Garde"/>
          <w:bCs/>
          <w:lang w:eastAsia="es-MX"/>
        </w:rPr>
        <w:t>.</w:t>
      </w:r>
    </w:p>
    <w:p w:rsidR="009E7D7C" w:rsidRPr="004E27D5" w:rsidRDefault="00D6695C" w:rsidP="00D6695C">
      <w:pPr>
        <w:pStyle w:val="Textoindependiente"/>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De las constancias que forman parte del presente expediente, se observa que para tal efecto,</w:t>
      </w:r>
      <w:r w:rsidR="001F02E3" w:rsidRPr="004E27D5">
        <w:rPr>
          <w:rFonts w:ascii="ITC Avant Garde" w:eastAsia="Times New Roman" w:hAnsi="ITC Avant Garde"/>
          <w:bCs/>
          <w:color w:val="000000"/>
          <w:lang w:eastAsia="es-MX"/>
        </w:rPr>
        <w:t xml:space="preserve"> el</w:t>
      </w:r>
      <w:r w:rsidRPr="004E27D5">
        <w:rPr>
          <w:rFonts w:ascii="ITC Avant Garde" w:eastAsia="Times New Roman" w:hAnsi="ITC Avant Garde"/>
          <w:bCs/>
          <w:color w:val="000000"/>
          <w:lang w:eastAsia="es-MX"/>
        </w:rPr>
        <w:t xml:space="preserve"> </w:t>
      </w:r>
      <w:r w:rsidR="00A01799" w:rsidRPr="004E27D5">
        <w:rPr>
          <w:rFonts w:ascii="ITC Avant Garde" w:hAnsi="ITC Avant Garde"/>
          <w:b/>
        </w:rPr>
        <w:t>PRESUNTO RESPONSABLE</w:t>
      </w:r>
      <w:r w:rsidR="00A01799" w:rsidRPr="004E27D5">
        <w:rPr>
          <w:rFonts w:ascii="ITC Avant Garde" w:eastAsia="Times New Roman" w:hAnsi="ITC Avant Garde"/>
          <w:bCs/>
          <w:color w:val="000000"/>
          <w:lang w:eastAsia="es-MX"/>
        </w:rPr>
        <w:t xml:space="preserve"> </w:t>
      </w:r>
      <w:r w:rsidRPr="004E27D5">
        <w:rPr>
          <w:rFonts w:ascii="ITC Avant Garde" w:eastAsia="Times New Roman" w:hAnsi="ITC Avant Garde"/>
          <w:bCs/>
          <w:color w:val="000000"/>
          <w:lang w:eastAsia="es-MX"/>
        </w:rPr>
        <w:t xml:space="preserve">no presentó alegatos ante éste </w:t>
      </w:r>
      <w:r w:rsidRPr="004E27D5">
        <w:rPr>
          <w:rFonts w:ascii="ITC Avant Garde" w:eastAsia="Times New Roman" w:hAnsi="ITC Avant Garde"/>
          <w:b/>
          <w:bCs/>
          <w:color w:val="000000"/>
          <w:lang w:eastAsia="es-MX"/>
        </w:rPr>
        <w:t>IFT</w:t>
      </w:r>
      <w:r w:rsidRPr="004E27D5">
        <w:rPr>
          <w:rFonts w:ascii="ITC Avant Garde" w:eastAsia="Times New Roman" w:hAnsi="ITC Avant Garde"/>
          <w:bCs/>
          <w:color w:val="000000"/>
          <w:lang w:eastAsia="es-MX"/>
        </w:rPr>
        <w:t>.</w:t>
      </w:r>
    </w:p>
    <w:p w:rsidR="009E7D7C" w:rsidRPr="004E27D5" w:rsidRDefault="00D6695C" w:rsidP="00572E59">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De acuerdo a lo señalado en el Resultando </w:t>
      </w:r>
      <w:r w:rsidR="00572E59" w:rsidRPr="004E27D5">
        <w:rPr>
          <w:rFonts w:ascii="ITC Avant Garde" w:eastAsia="Times New Roman" w:hAnsi="ITC Avant Garde"/>
          <w:b/>
          <w:bCs/>
          <w:color w:val="000000"/>
          <w:lang w:eastAsia="es-MX"/>
        </w:rPr>
        <w:t>DÉCIMO</w:t>
      </w:r>
      <w:r w:rsidR="00900937" w:rsidRPr="004E27D5">
        <w:rPr>
          <w:rFonts w:ascii="ITC Avant Garde" w:eastAsia="Times New Roman" w:hAnsi="ITC Avant Garde"/>
          <w:b/>
          <w:bCs/>
          <w:color w:val="000000"/>
          <w:lang w:eastAsia="es-MX"/>
        </w:rPr>
        <w:t xml:space="preserve"> </w:t>
      </w:r>
      <w:r w:rsidR="007E6EAB" w:rsidRPr="004E27D5">
        <w:rPr>
          <w:rFonts w:ascii="ITC Avant Garde" w:eastAsia="Times New Roman" w:hAnsi="ITC Avant Garde"/>
          <w:b/>
          <w:bCs/>
          <w:color w:val="000000"/>
          <w:lang w:eastAsia="es-MX"/>
        </w:rPr>
        <w:t>PRIMERO</w:t>
      </w:r>
      <w:r w:rsidR="00C74464" w:rsidRPr="004E27D5">
        <w:rPr>
          <w:rFonts w:ascii="ITC Avant Garde" w:eastAsia="Times New Roman" w:hAnsi="ITC Avant Garde"/>
          <w:b/>
          <w:bCs/>
          <w:color w:val="000000"/>
          <w:lang w:eastAsia="es-MX"/>
        </w:rPr>
        <w:t xml:space="preserve"> </w:t>
      </w:r>
      <w:r w:rsidRPr="004E27D5">
        <w:rPr>
          <w:rFonts w:ascii="ITC Avant Garde" w:eastAsia="Times New Roman" w:hAnsi="ITC Avant Garde"/>
          <w:bCs/>
          <w:color w:val="000000"/>
          <w:lang w:eastAsia="es-MX"/>
        </w:rPr>
        <w:t xml:space="preserve">de la presente Resolución, por proveído de </w:t>
      </w:r>
      <w:r w:rsidR="00D0763C" w:rsidRPr="004E27D5">
        <w:rPr>
          <w:rFonts w:ascii="ITC Avant Garde" w:eastAsia="Times New Roman" w:hAnsi="ITC Avant Garde"/>
          <w:bCs/>
          <w:color w:val="000000"/>
          <w:lang w:eastAsia="es-MX"/>
        </w:rPr>
        <w:t>veintitrés de octubre de dos mil diecisiete</w:t>
      </w:r>
      <w:r w:rsidR="00572E59" w:rsidRPr="004E27D5">
        <w:rPr>
          <w:rFonts w:ascii="ITC Avant Garde" w:eastAsia="Times New Roman" w:hAnsi="ITC Avant Garde"/>
          <w:bCs/>
          <w:color w:val="000000"/>
          <w:lang w:eastAsia="es-MX"/>
        </w:rPr>
        <w:t xml:space="preserve">, publicado en la lista diaria de notificaciones en la página del Instituto </w:t>
      </w:r>
      <w:r w:rsidR="00126EA0" w:rsidRPr="004E27D5">
        <w:rPr>
          <w:rFonts w:ascii="ITC Avant Garde" w:eastAsia="Times New Roman" w:hAnsi="ITC Avant Garde"/>
          <w:bCs/>
          <w:color w:val="000000"/>
          <w:lang w:eastAsia="es-MX"/>
        </w:rPr>
        <w:t xml:space="preserve">el </w:t>
      </w:r>
      <w:r w:rsidR="00CD170E" w:rsidRPr="004E27D5">
        <w:rPr>
          <w:rFonts w:ascii="ITC Avant Garde" w:eastAsia="Times New Roman" w:hAnsi="ITC Avant Garde"/>
          <w:bCs/>
          <w:color w:val="000000"/>
          <w:lang w:eastAsia="es-MX"/>
        </w:rPr>
        <w:t>veinticuatro de octubre</w:t>
      </w:r>
      <w:r w:rsidRPr="004E27D5">
        <w:rPr>
          <w:rFonts w:ascii="ITC Avant Garde" w:eastAsia="Times New Roman" w:hAnsi="ITC Avant Garde"/>
          <w:bCs/>
          <w:color w:val="000000"/>
          <w:lang w:eastAsia="es-MX"/>
        </w:rPr>
        <w:t>, se tuvo por perdido el derecho de</w:t>
      </w:r>
      <w:r w:rsidR="001F02E3" w:rsidRPr="004E27D5">
        <w:rPr>
          <w:rFonts w:ascii="ITC Avant Garde" w:eastAsia="Times New Roman" w:hAnsi="ITC Avant Garde"/>
          <w:bCs/>
          <w:color w:val="000000"/>
          <w:lang w:eastAsia="es-MX"/>
        </w:rPr>
        <w:t xml:space="preserve">l </w:t>
      </w:r>
      <w:r w:rsidR="00A01799" w:rsidRPr="004E27D5">
        <w:rPr>
          <w:rFonts w:ascii="ITC Avant Garde" w:hAnsi="ITC Avant Garde"/>
          <w:b/>
        </w:rPr>
        <w:t>PRESUNTO RESPONSABLE</w:t>
      </w:r>
      <w:r w:rsidR="00A01799" w:rsidRPr="004E27D5">
        <w:rPr>
          <w:rFonts w:ascii="ITC Avant Garde" w:eastAsia="Times New Roman" w:hAnsi="ITC Avant Garde"/>
          <w:bCs/>
          <w:color w:val="000000"/>
          <w:lang w:eastAsia="es-MX"/>
        </w:rPr>
        <w:t xml:space="preserve"> </w:t>
      </w:r>
      <w:r w:rsidRPr="004E27D5">
        <w:rPr>
          <w:rFonts w:ascii="ITC Avant Garde" w:eastAsia="Times New Roman" w:hAnsi="ITC Avant Garde"/>
          <w:bCs/>
          <w:color w:val="000000"/>
          <w:lang w:eastAsia="es-MX"/>
        </w:rPr>
        <w:t xml:space="preserve">para formular alegatos de su parte con fundamento en los artículos 72 de la </w:t>
      </w:r>
      <w:r w:rsidRPr="004E27D5">
        <w:rPr>
          <w:rFonts w:ascii="ITC Avant Garde" w:eastAsia="Times New Roman" w:hAnsi="ITC Avant Garde"/>
          <w:b/>
          <w:bCs/>
          <w:color w:val="000000"/>
          <w:lang w:eastAsia="es-MX"/>
        </w:rPr>
        <w:t>LFPA</w:t>
      </w:r>
      <w:r w:rsidRPr="004E27D5">
        <w:rPr>
          <w:rFonts w:ascii="ITC Avant Garde" w:eastAsia="Times New Roman" w:hAnsi="ITC Avant Garde"/>
          <w:bCs/>
          <w:color w:val="000000"/>
          <w:lang w:eastAsia="es-MX"/>
        </w:rPr>
        <w:t xml:space="preserve"> y 288 del </w:t>
      </w:r>
      <w:r w:rsidRPr="004E27D5">
        <w:rPr>
          <w:rFonts w:ascii="ITC Avant Garde" w:eastAsia="Times New Roman" w:hAnsi="ITC Avant Garde"/>
          <w:b/>
          <w:bCs/>
          <w:color w:val="000000"/>
          <w:lang w:eastAsia="es-MX"/>
        </w:rPr>
        <w:t>CFPC</w:t>
      </w:r>
      <w:r w:rsidRPr="004E27D5">
        <w:rPr>
          <w:rFonts w:ascii="ITC Avant Garde" w:eastAsia="Times New Roman" w:hAnsi="ITC Avant Garde"/>
          <w:bCs/>
          <w:color w:val="000000"/>
          <w:lang w:eastAsia="es-MX"/>
        </w:rPr>
        <w:t>.</w:t>
      </w:r>
    </w:p>
    <w:p w:rsidR="009E7D7C" w:rsidRPr="004E27D5" w:rsidRDefault="00B54130" w:rsidP="00B54130">
      <w:pPr>
        <w:tabs>
          <w:tab w:val="left" w:pos="709"/>
          <w:tab w:val="left" w:pos="851"/>
        </w:tabs>
        <w:spacing w:after="0" w:line="360" w:lineRule="auto"/>
        <w:jc w:val="both"/>
        <w:rPr>
          <w:lang w:eastAsia="es-MX"/>
        </w:rPr>
      </w:pPr>
      <w:r w:rsidRPr="004E27D5">
        <w:rPr>
          <w:rFonts w:ascii="ITC Avant Garde" w:hAnsi="ITC Avant Garde" w:cs="Tahoma"/>
          <w:bCs/>
          <w:color w:val="222222"/>
          <w:shd w:val="clear" w:color="auto" w:fill="FFFFFF"/>
        </w:rPr>
        <w:t xml:space="preserve">Por lo anterior, al no existir análisis pendiente por realizar se procede a emitir la presente resolución atendiendo a los elementos que causan plenitud </w:t>
      </w:r>
      <w:proofErr w:type="spellStart"/>
      <w:r w:rsidRPr="004E27D5">
        <w:rPr>
          <w:rFonts w:ascii="ITC Avant Garde" w:hAnsi="ITC Avant Garde" w:cs="Tahoma"/>
          <w:bCs/>
          <w:color w:val="222222"/>
          <w:shd w:val="clear" w:color="auto" w:fill="FFFFFF"/>
        </w:rPr>
        <w:t>convictiva</w:t>
      </w:r>
      <w:proofErr w:type="spellEnd"/>
      <w:r w:rsidRPr="004E27D5">
        <w:rPr>
          <w:rFonts w:ascii="ITC Avant Garde" w:hAnsi="ITC Avant Garde" w:cs="Tahoma"/>
          <w:bCs/>
          <w:color w:val="222222"/>
          <w:shd w:val="clear" w:color="auto" w:fill="FFFFFF"/>
        </w:rPr>
        <w:t xml:space="preserve"> en esta autoridad, cumpliendo los principios procesales que rigen todo procedimiento.</w:t>
      </w:r>
      <w:r w:rsidRPr="004E27D5">
        <w:rPr>
          <w:lang w:eastAsia="es-MX"/>
        </w:rPr>
        <w:t xml:space="preserve"> </w:t>
      </w:r>
    </w:p>
    <w:p w:rsidR="009E7D7C" w:rsidRPr="004E27D5" w:rsidRDefault="00F26805" w:rsidP="00F26805">
      <w:pPr>
        <w:pStyle w:val="Textoindependiente"/>
        <w:tabs>
          <w:tab w:val="left" w:pos="851"/>
        </w:tabs>
        <w:spacing w:after="0" w:line="360" w:lineRule="auto"/>
        <w:ind w:right="-850"/>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Sirve de aplicación por analogía la siguiente Jurisprudencia que a su letra señala:</w:t>
      </w:r>
    </w:p>
    <w:p w:rsidR="001561CA" w:rsidRPr="004E27D5" w:rsidRDefault="004F3596" w:rsidP="007B6EA5">
      <w:pPr>
        <w:pStyle w:val="Textoindependiente"/>
        <w:tabs>
          <w:tab w:val="left" w:pos="851"/>
        </w:tabs>
        <w:spacing w:after="0" w:line="240" w:lineRule="auto"/>
        <w:ind w:left="851" w:right="616"/>
        <w:jc w:val="both"/>
        <w:rPr>
          <w:rFonts w:ascii="ITC Avant Garde" w:hAnsi="ITC Avant Garde"/>
          <w:color w:val="000000"/>
          <w:sz w:val="20"/>
          <w:szCs w:val="20"/>
        </w:rPr>
        <w:sectPr w:rsidR="001561CA" w:rsidRPr="004E27D5" w:rsidSect="009B5755">
          <w:headerReference w:type="default" r:id="rId23"/>
          <w:pgSz w:w="12240" w:h="15840"/>
          <w:pgMar w:top="1985" w:right="1418" w:bottom="1418" w:left="1418" w:header="709" w:footer="420" w:gutter="0"/>
          <w:cols w:space="708"/>
          <w:docGrid w:linePitch="360"/>
        </w:sectPr>
      </w:pPr>
      <w:r w:rsidRPr="004E27D5">
        <w:rPr>
          <w:rFonts w:ascii="ITC Avant Garde" w:hAnsi="ITC Avant Garde"/>
          <w:color w:val="000000"/>
          <w:sz w:val="20"/>
        </w:rPr>
        <w:t>“</w:t>
      </w:r>
      <w:r w:rsidRPr="004E27D5">
        <w:rPr>
          <w:rFonts w:ascii="ITC Avant Garde" w:hAnsi="ITC Avant Garde"/>
          <w:b/>
          <w:color w:val="000000"/>
          <w:sz w:val="20"/>
          <w:szCs w:val="20"/>
        </w:rPr>
        <w:t>DERECHO AL DEBIDO PROCESO. SU CONTENIDO.</w:t>
      </w:r>
      <w:r w:rsidRPr="004E27D5">
        <w:rPr>
          <w:rFonts w:ascii="ITC Avant Garde" w:hAnsi="ITC Avant Garde"/>
          <w:color w:val="000000"/>
          <w:sz w:val="20"/>
        </w:rPr>
        <w:t xml:space="preserve"> </w:t>
      </w:r>
      <w:r w:rsidRPr="004E27D5">
        <w:rPr>
          <w:rFonts w:ascii="ITC Avant Garde" w:hAnsi="ITC Avant Garde"/>
          <w:color w:val="000000"/>
          <w:sz w:val="20"/>
          <w:szCs w:val="20"/>
        </w:rPr>
        <w:t xml:space="preserve">Dentro de las garantías del debido proceso existe un "núcleo duro", que debe observarse inexcusablemente en todo procedimiento jurisdiccional, y otro de garantías que son aplicables en los procesos que impliquen un ejercicio de la potestad punitiva del Estado. Así, en cuanto al "núcleo duro", las garantías del debido proceso que aplican a cualquier procedimiento de naturaleza jurisdiccional son las que esta Suprema Corte de Justicia de la Nación ha identificado como formalidades esenciales del </w:t>
      </w:r>
    </w:p>
    <w:p w:rsidR="009E7D7C" w:rsidRPr="004E27D5" w:rsidRDefault="004F3596" w:rsidP="007B6EA5">
      <w:pPr>
        <w:pStyle w:val="Textoindependiente"/>
        <w:tabs>
          <w:tab w:val="left" w:pos="851"/>
        </w:tabs>
        <w:spacing w:after="0" w:line="240" w:lineRule="auto"/>
        <w:ind w:left="851" w:right="616"/>
        <w:jc w:val="both"/>
        <w:rPr>
          <w:rFonts w:ascii="ITC Avant Garde" w:hAnsi="ITC Avant Garde"/>
          <w:color w:val="000000"/>
          <w:sz w:val="20"/>
          <w:szCs w:val="20"/>
        </w:rPr>
      </w:pPr>
      <w:r w:rsidRPr="004E27D5">
        <w:rPr>
          <w:rFonts w:ascii="ITC Avant Garde" w:hAnsi="ITC Avant Garde"/>
          <w:color w:val="000000"/>
          <w:sz w:val="20"/>
          <w:szCs w:val="20"/>
        </w:rPr>
        <w:lastRenderedPageBreak/>
        <w:t>procedimiento, cuyo conjunto integra la "garantía de audiencia", las cuales permiten que los gobernados ejerzan sus defensas antes de que las autoridades modifiquen su esfera jurídica definitivamente. Al respecto, el Tribunal en Pleno de esta Suprema Corte de Justicia de la Nación, en la jurisprudencia P./J. 47/95, publicada en el Semanario Judicial de la Federación y su Gaceta, Novena Época, Tomo II, diciembre de 1995, página 133, de rubro: "FORMALIDADES ESENCIALES DEL PROCEDIMIENTO. SON LAS QUE GARANTIZAN UNA ADECUADA Y OPORTUNA DEFENSA PREVIA AL ACTO PRIVATIVO.", sostuvo que las formalidades esenciales del procedimiento son: (i) la notificación del inicio del procedimiento; (ii) la oportunidad de ofrecer y desahogar las pruebas en que se finque la defensa; (iii) la oportunidad de alegar; y, (iv) una resolución que dirima las cuestiones debatidas y cuya impugnación ha sido considerada por esta Primera Sala como parte de esta formalidad. Ahora bien, el otro núcleo es identificado comúnmente con el elenco de garantías mínimo que debe tener toda persona cuya esfera jurídica pretenda modificarse mediante la actividad punitiva del Estado, como ocurre, por ejemplo, con el derecho penal, migratorio, fiscal o administrativo, en donde se exigirá que se hagan compatibles las garantías con la materia específica del asunto. Por tanto, dentro de esta categoría de garantías del debido proceso, se identifican dos especies: la primera, que corresponde a todas las personas independientemente de su condición, nacionalidad, género, edad, etcétera, dentro de las que están, por ejemplo, el derecho a contar con un abogado, a no declarar contra sí mismo o a conocer la causa del procedimiento sancionatorio; y la segunda, que es la combinación del elenco mínimo de garantías con el derecho de igualdad ante la ley, y que protege a aquellas personas que pueden encontrarse en una situación de desventaja frente al ordenamiento jurídico, por pertenecer a algún grupo vulnerable, por ejemplo, el derecho a la notificación y asistencia consular, el derecho a contar con un traductor o intérprete, el derecho de las niñas y los niños a que su detención sea notificada a quienes ejerzan su patria potestad y tutela, entre otras de igual naturaleza.</w:t>
      </w:r>
    </w:p>
    <w:p w:rsidR="00D9516B" w:rsidRPr="004E27D5" w:rsidRDefault="004F3596" w:rsidP="004E27D5">
      <w:pPr>
        <w:pStyle w:val="Textoindependiente"/>
        <w:tabs>
          <w:tab w:val="left" w:pos="851"/>
        </w:tabs>
        <w:spacing w:line="240" w:lineRule="auto"/>
        <w:ind w:left="851" w:right="616"/>
        <w:jc w:val="both"/>
        <w:rPr>
          <w:rFonts w:ascii="ITC Avant Garde" w:hAnsi="ITC Avant Garde"/>
          <w:color w:val="000000"/>
          <w:sz w:val="20"/>
        </w:rPr>
      </w:pPr>
      <w:r w:rsidRPr="004E27D5">
        <w:rPr>
          <w:rFonts w:ascii="ITC Avant Garde" w:eastAsia="Times New Roman" w:hAnsi="ITC Avant Garde"/>
          <w:bCs/>
          <w:color w:val="000000"/>
          <w:sz w:val="20"/>
          <w:szCs w:val="20"/>
          <w:lang w:eastAsia="es-MX"/>
        </w:rPr>
        <w:t>Época: Décima Época, Registro: 2005716, Instancia: Primera Sala, Tipo de Tesis: Jurisprudencia, Fuente: Gaceta del Semanario Judicial de la Federación, Libro 3, Febrero de 2014, Tomo I, Materia(s): Constitucional, Tesis: 1a./J. 11/2014 (10a.), Página: 396.”</w:t>
      </w:r>
    </w:p>
    <w:p w:rsidR="00556A63" w:rsidRPr="004E27D5" w:rsidRDefault="00556A63" w:rsidP="00556A63">
      <w:pPr>
        <w:spacing w:line="360" w:lineRule="auto"/>
        <w:jc w:val="both"/>
        <w:rPr>
          <w:rFonts w:ascii="ITC Avant Garde" w:hAnsi="ITC Avant Garde"/>
          <w:b/>
          <w:bCs/>
          <w:color w:val="000000"/>
          <w:lang w:eastAsia="es-MX"/>
        </w:rPr>
      </w:pPr>
      <w:r w:rsidRPr="004E27D5">
        <w:rPr>
          <w:rFonts w:ascii="ITC Avant Garde" w:hAnsi="ITC Avant Garde"/>
          <w:b/>
          <w:bCs/>
          <w:color w:val="000000"/>
          <w:lang w:eastAsia="es-MX"/>
        </w:rPr>
        <w:t>SEXTO. ANÁLISIS DE LA CONDUCTA Y CONSECUENCIAS JURÍDICAS.</w:t>
      </w:r>
    </w:p>
    <w:p w:rsidR="009E7D7C" w:rsidRPr="004E27D5" w:rsidRDefault="00556A63" w:rsidP="0086464E">
      <w:pPr>
        <w:tabs>
          <w:tab w:val="left" w:pos="851"/>
        </w:tabs>
        <w:spacing w:after="0" w:line="360" w:lineRule="auto"/>
        <w:jc w:val="both"/>
        <w:rPr>
          <w:rFonts w:ascii="ITC Avant Garde" w:eastAsia="Times New Roman" w:hAnsi="ITC Avant Garde"/>
          <w:bCs/>
          <w:color w:val="000000"/>
          <w:lang w:eastAsia="es-MX"/>
        </w:rPr>
      </w:pPr>
      <w:r w:rsidRPr="004E27D5">
        <w:rPr>
          <w:rFonts w:ascii="ITC Avant Garde" w:hAnsi="ITC Avant Garde"/>
          <w:color w:val="000000"/>
          <w:lang w:eastAsia="es-MX"/>
        </w:rPr>
        <w:t xml:space="preserve">En el presente asunto se considera que existen elementos de convicción suficientes que acreditan que </w:t>
      </w:r>
      <w:r w:rsidR="0086464E" w:rsidRPr="004E27D5">
        <w:rPr>
          <w:rFonts w:ascii="ITC Avant Garde" w:eastAsia="Times New Roman" w:hAnsi="ITC Avant Garde"/>
          <w:bCs/>
          <w:color w:val="000000"/>
          <w:lang w:eastAsia="es-MX"/>
        </w:rPr>
        <w:t xml:space="preserve">en </w:t>
      </w:r>
      <w:r w:rsidR="0086464E" w:rsidRPr="004E27D5">
        <w:rPr>
          <w:rFonts w:ascii="ITC Avant Garde" w:eastAsia="ヒラギノ角ゴ Pro W3" w:hAnsi="ITC Avant Garde"/>
          <w:color w:val="000000"/>
        </w:rPr>
        <w:t xml:space="preserve">el </w:t>
      </w:r>
      <w:r w:rsidR="0086464E" w:rsidRPr="004E27D5">
        <w:rPr>
          <w:rFonts w:ascii="ITC Avant Garde" w:hAnsi="ITC Avant Garde"/>
        </w:rPr>
        <w:t xml:space="preserve">inmueble ubicado en </w:t>
      </w:r>
      <w:r w:rsidR="00E04264" w:rsidRPr="004E27D5">
        <w:rPr>
          <w:rFonts w:ascii="ITC Avant Garde" w:hAnsi="ITC Avant Garde"/>
          <w:b/>
          <w:color w:val="0000FF"/>
        </w:rPr>
        <w:t>“CONFIDENCIAL POR LEY”</w:t>
      </w:r>
      <w:r w:rsidR="0086464E" w:rsidRPr="004E27D5">
        <w:rPr>
          <w:rFonts w:ascii="ITC Avant Garde" w:hAnsi="ITC Avant Garde"/>
          <w:b/>
          <w:color w:val="0000FF"/>
        </w:rPr>
        <w:t xml:space="preserve"> </w:t>
      </w:r>
      <w:r w:rsidR="0086464E" w:rsidRPr="004E27D5">
        <w:rPr>
          <w:rFonts w:ascii="ITC Avant Garde" w:hAnsi="ITC Avant Garde"/>
          <w:b/>
        </w:rPr>
        <w:t>Municipio de Valle de Bravo, Estado de México,</w:t>
      </w:r>
      <w:r w:rsidR="0086464E" w:rsidRPr="004E27D5">
        <w:rPr>
          <w:rFonts w:ascii="ITC Avant Garde" w:eastAsia="ヒラギノ角ゴ Pro W3" w:hAnsi="ITC Avant Garde"/>
          <w:color w:val="000000"/>
        </w:rPr>
        <w:t xml:space="preserve"> al momento en el que se llevó a cabo la visita se estaban prestando servicios de radiodifusión </w:t>
      </w:r>
      <w:r w:rsidR="0086464E" w:rsidRPr="004E27D5">
        <w:rPr>
          <w:rFonts w:ascii="ITC Avant Garde" w:eastAsia="Times New Roman" w:hAnsi="ITC Avant Garde"/>
          <w:bCs/>
          <w:color w:val="000000"/>
          <w:lang w:eastAsia="es-MX"/>
        </w:rPr>
        <w:t xml:space="preserve">sin contar con concesión que habilitara al </w:t>
      </w:r>
      <w:r w:rsidR="0086464E" w:rsidRPr="004E27D5">
        <w:rPr>
          <w:rFonts w:ascii="ITC Avant Garde" w:hAnsi="ITC Avant Garde"/>
          <w:b/>
        </w:rPr>
        <w:t xml:space="preserve">PRESUNTO RESPONSABLE </w:t>
      </w:r>
      <w:r w:rsidR="0086464E" w:rsidRPr="004E27D5">
        <w:rPr>
          <w:rFonts w:ascii="ITC Avant Garde" w:eastAsia="Times New Roman" w:hAnsi="ITC Avant Garde"/>
          <w:bCs/>
          <w:color w:val="000000"/>
          <w:lang w:eastAsia="es-MX"/>
        </w:rPr>
        <w:t>para esos fines.</w:t>
      </w:r>
    </w:p>
    <w:p w:rsidR="009E7D7C" w:rsidRPr="004E27D5" w:rsidRDefault="00556A63" w:rsidP="00556A63">
      <w:pPr>
        <w:pStyle w:val="Textoindependiente"/>
        <w:spacing w:after="0" w:line="360" w:lineRule="auto"/>
        <w:jc w:val="both"/>
        <w:rPr>
          <w:rFonts w:ascii="ITC Avant Garde" w:hAnsi="ITC Avant Garde"/>
          <w:color w:val="000000"/>
          <w:lang w:eastAsia="es-MX"/>
        </w:rPr>
      </w:pPr>
      <w:r w:rsidRPr="004E27D5">
        <w:rPr>
          <w:rFonts w:ascii="ITC Avant Garde" w:hAnsi="ITC Avant Garde"/>
          <w:color w:val="000000"/>
          <w:lang w:eastAsia="es-MX"/>
        </w:rPr>
        <w:t>Se afirma lo anterior, en virtud de que del análisis de la conducta desplegada en relación con lo establecido en los preceptos legales que se estimaron trasgredidos claramente se puede advertir que se surten todos los supuestos previstos para su actualización.</w:t>
      </w:r>
    </w:p>
    <w:p w:rsidR="009E7D7C" w:rsidRPr="004E27D5" w:rsidRDefault="00F26805" w:rsidP="00F26805">
      <w:pPr>
        <w:spacing w:after="0" w:line="360" w:lineRule="auto"/>
        <w:ind w:right="-850"/>
        <w:jc w:val="both"/>
        <w:rPr>
          <w:rFonts w:ascii="ITC Avant Garde" w:hAnsi="ITC Avant Garde" w:cs="Tahoma"/>
        </w:rPr>
      </w:pPr>
      <w:r w:rsidRPr="004E27D5">
        <w:rPr>
          <w:rFonts w:ascii="ITC Avant Garde" w:hAnsi="ITC Avant Garde" w:cs="Tahoma"/>
        </w:rPr>
        <w:lastRenderedPageBreak/>
        <w:t>En tales consideraciones, debe tomarse en cuenta que:</w:t>
      </w:r>
    </w:p>
    <w:p w:rsidR="009E7D7C" w:rsidRPr="004E27D5" w:rsidRDefault="00F26805" w:rsidP="0016206D">
      <w:pPr>
        <w:numPr>
          <w:ilvl w:val="0"/>
          <w:numId w:val="31"/>
        </w:numPr>
        <w:spacing w:after="0" w:line="360" w:lineRule="auto"/>
        <w:jc w:val="both"/>
        <w:rPr>
          <w:rFonts w:ascii="ITC Avant Garde" w:hAnsi="ITC Avant Garde"/>
        </w:rPr>
      </w:pPr>
      <w:r w:rsidRPr="004E27D5">
        <w:rPr>
          <w:rFonts w:ascii="ITC Avant Garde" w:hAnsi="ITC Avant Garde" w:cs="Tahoma"/>
        </w:rPr>
        <w:t xml:space="preserve">Se confirmó el uso de la frecuencia </w:t>
      </w:r>
      <w:r w:rsidR="00C9435A" w:rsidRPr="004E27D5">
        <w:rPr>
          <w:rFonts w:ascii="ITC Avant Garde" w:hAnsi="ITC Avant Garde"/>
          <w:b/>
          <w:caps/>
        </w:rPr>
        <w:t>106.1</w:t>
      </w:r>
      <w:r w:rsidR="002C1AD8" w:rsidRPr="004E27D5">
        <w:rPr>
          <w:rFonts w:ascii="ITC Avant Garde" w:hAnsi="ITC Avant Garde"/>
          <w:b/>
        </w:rPr>
        <w:t xml:space="preserve"> MHz</w:t>
      </w:r>
      <w:r w:rsidRPr="004E27D5">
        <w:rPr>
          <w:rFonts w:ascii="ITC Avant Garde" w:hAnsi="ITC Avant Garde" w:cs="Tahoma"/>
        </w:rPr>
        <w:t xml:space="preserve"> en </w:t>
      </w:r>
      <w:r w:rsidR="005114CF" w:rsidRPr="004E27D5">
        <w:rPr>
          <w:rFonts w:ascii="ITC Avant Garde" w:hAnsi="ITC Avant Garde" w:cs="Tahoma"/>
        </w:rPr>
        <w:t xml:space="preserve">el inmueble ubicado en </w:t>
      </w:r>
      <w:r w:rsidR="00A52BF9" w:rsidRPr="004E27D5">
        <w:rPr>
          <w:rFonts w:ascii="ITC Avant Garde" w:hAnsi="ITC Avant Garde"/>
          <w:b/>
          <w:color w:val="0000FF"/>
        </w:rPr>
        <w:t>“CONFIDENCIAL POR LEY”</w:t>
      </w:r>
      <w:r w:rsidR="00C9435A" w:rsidRPr="004E27D5">
        <w:rPr>
          <w:rFonts w:ascii="ITC Avant Garde" w:hAnsi="ITC Avant Garde"/>
        </w:rPr>
        <w:t>, Municipio de Valle de Bravo, Estado de México</w:t>
      </w:r>
      <w:r w:rsidR="003B1F2D" w:rsidRPr="004E27D5">
        <w:rPr>
          <w:rFonts w:ascii="ITC Avant Garde" w:hAnsi="ITC Avant Garde"/>
        </w:rPr>
        <w:t xml:space="preserve">, donde se detectaron las instalaciones de la estación de radiodifusión que operaba </w:t>
      </w:r>
      <w:r w:rsidR="00CC7494" w:rsidRPr="004E27D5">
        <w:rPr>
          <w:rFonts w:ascii="ITC Avant Garde" w:hAnsi="ITC Avant Garde"/>
        </w:rPr>
        <w:t xml:space="preserve">dicha </w:t>
      </w:r>
      <w:r w:rsidR="003B1F2D" w:rsidRPr="004E27D5">
        <w:rPr>
          <w:rFonts w:ascii="ITC Avant Garde" w:hAnsi="ITC Avant Garde"/>
        </w:rPr>
        <w:t>frecuencia</w:t>
      </w:r>
      <w:r w:rsidRPr="004E27D5">
        <w:rPr>
          <w:rFonts w:ascii="ITC Avant Garde" w:hAnsi="ITC Avant Garde" w:cs="Tahoma"/>
        </w:rPr>
        <w:t xml:space="preserve">, con el equipo consistente en: </w:t>
      </w:r>
      <w:r w:rsidR="00CD170E" w:rsidRPr="004E27D5">
        <w:rPr>
          <w:rFonts w:ascii="ITC Avant Garde" w:eastAsia="Times New Roman" w:hAnsi="ITC Avant Garde"/>
          <w:bCs/>
          <w:color w:val="000000"/>
          <w:lang w:eastAsia="es-MX"/>
        </w:rPr>
        <w:t>dos</w:t>
      </w:r>
      <w:r w:rsidR="00CD170E" w:rsidRPr="004E27D5">
        <w:rPr>
          <w:rFonts w:ascii="ITC Avant Garde" w:hAnsi="ITC Avant Garde"/>
        </w:rPr>
        <w:t xml:space="preserve"> antenas omnidireccional </w:t>
      </w:r>
      <w:r w:rsidR="00D632C6" w:rsidRPr="004E27D5">
        <w:rPr>
          <w:rFonts w:ascii="ITC Avant Garde" w:hAnsi="ITC Avant Garde"/>
        </w:rPr>
        <w:t xml:space="preserve">tipo “T” </w:t>
      </w:r>
      <w:r w:rsidR="00CD170E" w:rsidRPr="004E27D5">
        <w:rPr>
          <w:rFonts w:ascii="ITC Avant Garde" w:hAnsi="ITC Avant Garde"/>
        </w:rPr>
        <w:t>sin marca, sin modelo y sin número de serie, un transmisor, sin marca, sin modelo y sin número de serie, una consola de audio sin marca, sin modelo y sin número de serie y un CPU Armado sin marca, sin modelo y sin número de serie</w:t>
      </w:r>
      <w:r w:rsidR="00673AD5" w:rsidRPr="004E27D5">
        <w:rPr>
          <w:rFonts w:ascii="ITC Avant Garde" w:hAnsi="ITC Avant Garde"/>
        </w:rPr>
        <w:t xml:space="preserve">, con lo que se acredita el uso y aprovechamiento del espectro radioeléctrico, correspondiente a la banda de </w:t>
      </w:r>
      <w:r w:rsidR="00673AD5" w:rsidRPr="004E27D5">
        <w:rPr>
          <w:rFonts w:ascii="ITC Avant Garde" w:hAnsi="ITC Avant Garde"/>
          <w:b/>
        </w:rPr>
        <w:t>FM</w:t>
      </w:r>
      <w:r w:rsidR="00673AD5" w:rsidRPr="004E27D5">
        <w:rPr>
          <w:rFonts w:ascii="ITC Avant Garde" w:hAnsi="ITC Avant Garde"/>
        </w:rPr>
        <w:t>, sin contar con concesión o permiso.</w:t>
      </w:r>
    </w:p>
    <w:p w:rsidR="009E7D7C" w:rsidRPr="004E27D5" w:rsidRDefault="00F26805" w:rsidP="00673AD5">
      <w:pPr>
        <w:pStyle w:val="Listavistosa-nfasis11"/>
        <w:numPr>
          <w:ilvl w:val="0"/>
          <w:numId w:val="31"/>
        </w:numPr>
        <w:spacing w:after="0" w:line="360" w:lineRule="auto"/>
        <w:jc w:val="both"/>
        <w:rPr>
          <w:rFonts w:ascii="ITC Avant Garde" w:hAnsi="ITC Avant Garde" w:cs="Tahoma"/>
        </w:rPr>
      </w:pPr>
      <w:r w:rsidRPr="004E27D5">
        <w:rPr>
          <w:rFonts w:ascii="ITC Avant Garde" w:hAnsi="ITC Avant Garde" w:cs="Tahoma"/>
        </w:rPr>
        <w:t>Se detectó la prestación del servicio público de radiodifusión</w:t>
      </w:r>
      <w:r w:rsidR="00085C64" w:rsidRPr="004E27D5">
        <w:rPr>
          <w:rFonts w:ascii="ITC Avant Garde" w:hAnsi="ITC Avant Garde" w:cs="Tahoma"/>
        </w:rPr>
        <w:t xml:space="preserve"> del cual</w:t>
      </w:r>
      <w:r w:rsidRPr="004E27D5">
        <w:rPr>
          <w:rFonts w:ascii="ITC Avant Garde" w:hAnsi="ITC Avant Garde" w:cs="Tahoma"/>
        </w:rPr>
        <w:t xml:space="preserve"> </w:t>
      </w:r>
      <w:r w:rsidR="00085C64" w:rsidRPr="004E27D5">
        <w:rPr>
          <w:rFonts w:ascii="ITC Avant Garde" w:hAnsi="ITC Avant Garde" w:cs="Tahoma"/>
        </w:rPr>
        <w:t>no</w:t>
      </w:r>
      <w:r w:rsidR="00CC7494" w:rsidRPr="004E27D5">
        <w:rPr>
          <w:rFonts w:ascii="ITC Avant Garde" w:hAnsi="ITC Avant Garde" w:cs="Tahoma"/>
        </w:rPr>
        <w:t xml:space="preserve"> se</w:t>
      </w:r>
      <w:r w:rsidR="00085C64" w:rsidRPr="004E27D5">
        <w:rPr>
          <w:rFonts w:ascii="ITC Avant Garde" w:hAnsi="ITC Avant Garde" w:cs="Tahoma"/>
        </w:rPr>
        <w:t xml:space="preserve"> </w:t>
      </w:r>
      <w:r w:rsidRPr="004E27D5">
        <w:rPr>
          <w:rFonts w:ascii="ITC Avant Garde" w:hAnsi="ITC Avant Garde" w:cs="Tahoma"/>
        </w:rPr>
        <w:t xml:space="preserve">acreditó tener concesión o permiso </w:t>
      </w:r>
      <w:r w:rsidR="004135D8" w:rsidRPr="004E27D5">
        <w:rPr>
          <w:rFonts w:ascii="ITC Avant Garde" w:hAnsi="ITC Avant Garde" w:cs="Tahoma"/>
        </w:rPr>
        <w:t xml:space="preserve">expedido por autoridad competente </w:t>
      </w:r>
      <w:r w:rsidRPr="004E27D5">
        <w:rPr>
          <w:rFonts w:ascii="ITC Avant Garde" w:hAnsi="ITC Avant Garde" w:cs="Tahoma"/>
        </w:rPr>
        <w:t>que amparara o legitimara la prestación de dicho servicio.</w:t>
      </w:r>
    </w:p>
    <w:p w:rsidR="009E7D7C" w:rsidRPr="004E27D5" w:rsidRDefault="004F3596" w:rsidP="00A15149">
      <w:pPr>
        <w:pStyle w:val="Textoindependiente"/>
        <w:tabs>
          <w:tab w:val="left" w:pos="851"/>
        </w:tabs>
        <w:spacing w:after="0" w:line="360" w:lineRule="auto"/>
        <w:jc w:val="both"/>
        <w:rPr>
          <w:rFonts w:ascii="ITC Avant Garde" w:eastAsia="Times New Roman" w:hAnsi="ITC Avant Garde"/>
          <w:b/>
          <w:bCs/>
          <w:kern w:val="32"/>
          <w:lang w:eastAsia="es-MX"/>
        </w:rPr>
      </w:pPr>
      <w:r w:rsidRPr="004E27D5">
        <w:rPr>
          <w:rFonts w:ascii="ITC Avant Garde" w:eastAsia="Times New Roman" w:hAnsi="ITC Avant Garde"/>
          <w:bCs/>
          <w:kern w:val="32"/>
          <w:lang w:eastAsia="es-MX"/>
        </w:rPr>
        <w:t xml:space="preserve">En ese sentido, este Pleno del </w:t>
      </w:r>
      <w:r w:rsidR="008A0970" w:rsidRPr="004E27D5">
        <w:rPr>
          <w:rFonts w:ascii="ITC Avant Garde" w:eastAsia="Times New Roman" w:hAnsi="ITC Avant Garde"/>
          <w:bCs/>
          <w:kern w:val="32"/>
          <w:lang w:eastAsia="es-MX"/>
        </w:rPr>
        <w:t>Instituto considera que existen elementos suficientes para determinar que</w:t>
      </w:r>
      <w:r w:rsidR="005114CF" w:rsidRPr="004E27D5">
        <w:rPr>
          <w:rFonts w:ascii="ITC Avant Garde" w:eastAsia="Times New Roman" w:hAnsi="ITC Avant Garde"/>
          <w:bCs/>
          <w:kern w:val="32"/>
          <w:lang w:eastAsia="es-MX"/>
        </w:rPr>
        <w:t xml:space="preserve"> el</w:t>
      </w:r>
      <w:r w:rsidR="00CC7494" w:rsidRPr="004E27D5">
        <w:rPr>
          <w:rFonts w:ascii="ITC Avant Garde" w:eastAsia="Times New Roman" w:hAnsi="ITC Avant Garde"/>
          <w:bCs/>
          <w:kern w:val="32"/>
          <w:lang w:eastAsia="es-MX"/>
        </w:rPr>
        <w:t xml:space="preserve"> </w:t>
      </w:r>
      <w:r w:rsidR="00A01799" w:rsidRPr="004E27D5">
        <w:rPr>
          <w:rFonts w:ascii="ITC Avant Garde" w:hAnsi="ITC Avant Garde"/>
          <w:b/>
        </w:rPr>
        <w:t>PRESUNTO RESPONSABLE</w:t>
      </w:r>
      <w:r w:rsidR="00A01799" w:rsidRPr="004E27D5">
        <w:rPr>
          <w:rFonts w:ascii="ITC Avant Garde" w:eastAsia="Times New Roman" w:hAnsi="ITC Avant Garde"/>
          <w:bCs/>
          <w:kern w:val="32"/>
          <w:lang w:eastAsia="es-MX"/>
        </w:rPr>
        <w:t xml:space="preserve"> </w:t>
      </w:r>
      <w:r w:rsidR="008A0970" w:rsidRPr="004E27D5">
        <w:rPr>
          <w:rFonts w:ascii="ITC Avant Garde" w:eastAsia="Times New Roman" w:hAnsi="ITC Avant Garde"/>
          <w:bCs/>
          <w:kern w:val="32"/>
          <w:lang w:eastAsia="es-MX"/>
        </w:rPr>
        <w:t>efectivamente prestaba el servicio público de radiodifusión de forma ilegal</w:t>
      </w:r>
      <w:r w:rsidR="00F87D24" w:rsidRPr="004E27D5">
        <w:rPr>
          <w:rFonts w:ascii="ITC Avant Garde" w:eastAsia="Times New Roman" w:hAnsi="ITC Avant Garde"/>
          <w:bCs/>
          <w:kern w:val="32"/>
          <w:lang w:eastAsia="es-MX"/>
        </w:rPr>
        <w:t>, en franca violación del artículo 66</w:t>
      </w:r>
      <w:r w:rsidR="002C6FA8" w:rsidRPr="004E27D5">
        <w:rPr>
          <w:rFonts w:ascii="ITC Avant Garde" w:eastAsia="Times New Roman" w:hAnsi="ITC Avant Garde"/>
          <w:bCs/>
          <w:kern w:val="32"/>
          <w:lang w:eastAsia="es-MX"/>
        </w:rPr>
        <w:t xml:space="preserve"> </w:t>
      </w:r>
      <w:r w:rsidR="002C6FA8" w:rsidRPr="004E27D5">
        <w:rPr>
          <w:rFonts w:ascii="ITC Avant Garde" w:hAnsi="ITC Avant Garde"/>
          <w:bCs/>
        </w:rPr>
        <w:t>en relación con el 75,</w:t>
      </w:r>
      <w:r w:rsidR="00F87D24" w:rsidRPr="004E27D5">
        <w:rPr>
          <w:rFonts w:ascii="ITC Avant Garde" w:eastAsia="Times New Roman" w:hAnsi="ITC Avant Garde"/>
          <w:bCs/>
          <w:kern w:val="32"/>
          <w:lang w:eastAsia="es-MX"/>
        </w:rPr>
        <w:t xml:space="preserve"> de la </w:t>
      </w:r>
      <w:r w:rsidR="006310EA" w:rsidRPr="004E27D5">
        <w:rPr>
          <w:rFonts w:ascii="ITC Avant Garde" w:eastAsia="Times New Roman" w:hAnsi="ITC Avant Garde"/>
          <w:b/>
          <w:bCs/>
          <w:kern w:val="32"/>
          <w:lang w:eastAsia="es-MX"/>
        </w:rPr>
        <w:t>LFTR</w:t>
      </w:r>
      <w:r w:rsidR="00F87D24" w:rsidRPr="004E27D5">
        <w:rPr>
          <w:rFonts w:ascii="ITC Avant Garde" w:eastAsia="Times New Roman" w:hAnsi="ITC Avant Garde"/>
          <w:b/>
          <w:bCs/>
          <w:kern w:val="32"/>
          <w:lang w:eastAsia="es-MX"/>
        </w:rPr>
        <w:t>.</w:t>
      </w:r>
    </w:p>
    <w:p w:rsidR="009E7D7C" w:rsidRPr="004E27D5" w:rsidRDefault="00D632C6" w:rsidP="00D632C6">
      <w:pPr>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Se afirma lo anterior, en virtud de que del análisis de la conducta desplegada en relación con lo establecido en los preceptos legales que se estiman transgredidos claramente se puede advertir que se surten todos los supuestos previstos por los mismos.</w:t>
      </w:r>
    </w:p>
    <w:p w:rsidR="009E7D7C" w:rsidRPr="004E27D5" w:rsidRDefault="00247734" w:rsidP="007577BF">
      <w:pPr>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Así, el presente procedimiento administrativo de imposición de sanción y declaratoria de pérdida de bienes, instalaciones y equipos en beneficio de la Nación que se </w:t>
      </w:r>
      <w:r w:rsidR="00CC7494" w:rsidRPr="004E27D5">
        <w:rPr>
          <w:rFonts w:ascii="ITC Avant Garde" w:eastAsia="Times New Roman" w:hAnsi="ITC Avant Garde"/>
          <w:bCs/>
          <w:color w:val="000000"/>
          <w:lang w:eastAsia="es-MX"/>
        </w:rPr>
        <w:t xml:space="preserve">resuelve </w:t>
      </w:r>
      <w:r w:rsidR="007577BF" w:rsidRPr="004E27D5">
        <w:rPr>
          <w:rFonts w:ascii="ITC Avant Garde" w:eastAsia="Times New Roman" w:hAnsi="ITC Avant Garde"/>
          <w:bCs/>
          <w:color w:val="000000"/>
          <w:lang w:eastAsia="es-MX"/>
        </w:rPr>
        <w:t xml:space="preserve">en contra del </w:t>
      </w:r>
      <w:r w:rsidR="007577BF" w:rsidRPr="004E27D5">
        <w:rPr>
          <w:rFonts w:ascii="ITC Avant Garde" w:hAnsi="ITC Avant Garde"/>
          <w:b/>
        </w:rPr>
        <w:t>PRESUNTO RESPONSABLE</w:t>
      </w:r>
      <w:r w:rsidR="007577BF" w:rsidRPr="004E27D5">
        <w:rPr>
          <w:rFonts w:ascii="ITC Avant Garde" w:eastAsia="Times New Roman" w:hAnsi="ITC Avant Garde"/>
          <w:bCs/>
          <w:color w:val="000000"/>
          <w:lang w:eastAsia="es-MX"/>
        </w:rPr>
        <w:t xml:space="preserve"> se inició por el presunto incumplimiento a lo dispuesto en el artículo 66 </w:t>
      </w:r>
      <w:r w:rsidR="007577BF" w:rsidRPr="004E27D5">
        <w:rPr>
          <w:rFonts w:ascii="ITC Avant Garde" w:hAnsi="ITC Avant Garde"/>
          <w:bCs/>
        </w:rPr>
        <w:t>en relación con el 75,</w:t>
      </w:r>
      <w:r w:rsidR="007577BF" w:rsidRPr="004E27D5">
        <w:rPr>
          <w:rFonts w:ascii="ITC Avant Garde" w:eastAsia="Times New Roman" w:hAnsi="ITC Avant Garde"/>
          <w:bCs/>
          <w:color w:val="000000"/>
          <w:lang w:eastAsia="es-MX"/>
        </w:rPr>
        <w:t xml:space="preserve"> y actualización de la hipótesis prevista en el artículo 305, todos de la </w:t>
      </w:r>
      <w:r w:rsidR="007577BF" w:rsidRPr="004E27D5">
        <w:rPr>
          <w:rFonts w:ascii="ITC Avant Garde" w:eastAsia="Times New Roman" w:hAnsi="ITC Avant Garde"/>
          <w:b/>
          <w:bCs/>
          <w:color w:val="000000"/>
          <w:lang w:eastAsia="es-MX"/>
        </w:rPr>
        <w:t>LFTR</w:t>
      </w:r>
      <w:r w:rsidR="007577BF" w:rsidRPr="004E27D5">
        <w:rPr>
          <w:rFonts w:ascii="ITC Avant Garde" w:eastAsia="Times New Roman" w:hAnsi="ITC Avant Garde"/>
          <w:bCs/>
          <w:color w:val="000000"/>
          <w:lang w:eastAsia="es-MX"/>
        </w:rPr>
        <w:t>, mismos que establecen:</w:t>
      </w:r>
    </w:p>
    <w:p w:rsidR="009E7D7C" w:rsidRPr="004E27D5" w:rsidRDefault="004F3596" w:rsidP="007B6EA5">
      <w:pPr>
        <w:pStyle w:val="Listavistosa-nfasis11"/>
        <w:spacing w:after="0" w:line="240" w:lineRule="auto"/>
        <w:ind w:left="851" w:right="616"/>
        <w:jc w:val="both"/>
        <w:rPr>
          <w:rFonts w:ascii="ITC Avant Garde" w:hAnsi="ITC Avant Garde"/>
          <w:sz w:val="20"/>
          <w:szCs w:val="20"/>
        </w:rPr>
      </w:pPr>
      <w:r w:rsidRPr="004E27D5">
        <w:rPr>
          <w:rFonts w:ascii="ITC Avant Garde" w:hAnsi="ITC Avant Garde"/>
          <w:color w:val="000000"/>
          <w:sz w:val="20"/>
          <w:szCs w:val="20"/>
        </w:rPr>
        <w:t>“</w:t>
      </w:r>
      <w:r w:rsidRPr="004E27D5">
        <w:rPr>
          <w:rFonts w:ascii="ITC Avant Garde" w:hAnsi="ITC Avant Garde"/>
          <w:b/>
          <w:sz w:val="20"/>
          <w:szCs w:val="20"/>
        </w:rPr>
        <w:t>Artículo 66.</w:t>
      </w:r>
      <w:r w:rsidRPr="004E27D5">
        <w:rPr>
          <w:rFonts w:ascii="ITC Avant Garde" w:hAnsi="ITC Avant Garde"/>
          <w:sz w:val="20"/>
          <w:szCs w:val="20"/>
        </w:rPr>
        <w:t xml:space="preserve"> </w:t>
      </w:r>
      <w:r w:rsidRPr="004E27D5">
        <w:rPr>
          <w:rFonts w:ascii="ITC Avant Garde" w:hAnsi="ITC Avant Garde"/>
          <w:sz w:val="20"/>
          <w:szCs w:val="20"/>
          <w:u w:val="single"/>
        </w:rPr>
        <w:t>Se requerirá concesión única para prestar todo tipo de servicios públicos</w:t>
      </w:r>
      <w:r w:rsidRPr="004E27D5">
        <w:rPr>
          <w:rFonts w:ascii="ITC Avant Garde" w:hAnsi="ITC Avant Garde"/>
          <w:sz w:val="20"/>
          <w:szCs w:val="20"/>
        </w:rPr>
        <w:t xml:space="preserve"> de telecomunicaciones y radiodifusión.”</w:t>
      </w:r>
    </w:p>
    <w:p w:rsidR="001561CA" w:rsidRPr="004E27D5" w:rsidRDefault="002C6FA8" w:rsidP="007B6EA5">
      <w:pPr>
        <w:pStyle w:val="Listavistosa-nfasis11"/>
        <w:spacing w:after="0" w:line="240" w:lineRule="auto"/>
        <w:ind w:left="851" w:right="616"/>
        <w:jc w:val="both"/>
        <w:rPr>
          <w:rFonts w:ascii="ITC Avant Garde" w:hAnsi="ITC Avant Garde"/>
          <w:sz w:val="20"/>
          <w:szCs w:val="20"/>
        </w:rPr>
        <w:sectPr w:rsidR="001561CA" w:rsidRPr="004E27D5" w:rsidSect="009B5755">
          <w:headerReference w:type="default" r:id="rId24"/>
          <w:pgSz w:w="12240" w:h="15840"/>
          <w:pgMar w:top="1985" w:right="1418" w:bottom="1418" w:left="1418" w:header="709" w:footer="420" w:gutter="0"/>
          <w:cols w:space="708"/>
          <w:docGrid w:linePitch="360"/>
        </w:sectPr>
      </w:pPr>
      <w:r w:rsidRPr="004E27D5">
        <w:rPr>
          <w:rFonts w:ascii="ITC Avant Garde" w:hAnsi="ITC Avant Garde"/>
          <w:b/>
          <w:sz w:val="20"/>
          <w:szCs w:val="20"/>
        </w:rPr>
        <w:t>Artículo 75.</w:t>
      </w:r>
      <w:r w:rsidRPr="004E27D5">
        <w:rPr>
          <w:rFonts w:ascii="ITC Avant Garde" w:hAnsi="ITC Avant Garde"/>
          <w:sz w:val="20"/>
          <w:szCs w:val="20"/>
        </w:rPr>
        <w:t xml:space="preserve"> </w:t>
      </w:r>
      <w:r w:rsidRPr="004E27D5">
        <w:rPr>
          <w:rFonts w:ascii="ITC Avant Garde" w:hAnsi="ITC Avant Garde"/>
          <w:sz w:val="20"/>
          <w:szCs w:val="20"/>
          <w:u w:val="single"/>
        </w:rPr>
        <w:t>Las concesiones para usar, aprovechar y explotar bandas de frecuencias del espectro radioeléctrico</w:t>
      </w:r>
      <w:r w:rsidRPr="004E27D5">
        <w:rPr>
          <w:rFonts w:ascii="ITC Avant Garde" w:hAnsi="ITC Avant Garde"/>
          <w:sz w:val="20"/>
          <w:szCs w:val="20"/>
        </w:rPr>
        <w:t xml:space="preserve"> de uso determinado y para la ocupación </w:t>
      </w:r>
    </w:p>
    <w:p w:rsidR="009E7D7C" w:rsidRPr="004E27D5" w:rsidRDefault="002C6FA8" w:rsidP="007B6EA5">
      <w:pPr>
        <w:pStyle w:val="Listavistosa-nfasis11"/>
        <w:spacing w:after="0" w:line="240" w:lineRule="auto"/>
        <w:ind w:left="851" w:right="616"/>
        <w:jc w:val="both"/>
        <w:rPr>
          <w:rFonts w:ascii="ITC Avant Garde" w:hAnsi="ITC Avant Garde"/>
          <w:sz w:val="20"/>
          <w:szCs w:val="20"/>
        </w:rPr>
      </w:pPr>
      <w:r w:rsidRPr="004E27D5">
        <w:rPr>
          <w:rFonts w:ascii="ITC Avant Garde" w:hAnsi="ITC Avant Garde"/>
          <w:sz w:val="20"/>
          <w:szCs w:val="20"/>
        </w:rPr>
        <w:lastRenderedPageBreak/>
        <w:t xml:space="preserve">y explotación de recursos orbitales, </w:t>
      </w:r>
      <w:r w:rsidRPr="004E27D5">
        <w:rPr>
          <w:rFonts w:ascii="ITC Avant Garde" w:hAnsi="ITC Avant Garde"/>
          <w:sz w:val="20"/>
          <w:szCs w:val="20"/>
          <w:u w:val="single"/>
        </w:rPr>
        <w:t>se otorgarán por el Instituto por un plazo de hasta veinte años</w:t>
      </w:r>
      <w:r w:rsidRPr="004E27D5">
        <w:rPr>
          <w:rFonts w:ascii="ITC Avant Garde" w:hAnsi="ITC Avant Garde"/>
          <w:sz w:val="20"/>
          <w:szCs w:val="20"/>
        </w:rPr>
        <w:t xml:space="preserve"> y podrán ser prorrogadas hasta por plazos iguales conforme a lo dispuesto en el Capítulo VI de este Título.”</w:t>
      </w:r>
    </w:p>
    <w:p w:rsidR="00F07EED" w:rsidRPr="004E27D5" w:rsidRDefault="004F3596" w:rsidP="004E27D5">
      <w:pPr>
        <w:pStyle w:val="Listavistosa-nfasis11"/>
        <w:spacing w:line="240" w:lineRule="auto"/>
        <w:ind w:left="851" w:right="616"/>
        <w:jc w:val="both"/>
        <w:rPr>
          <w:rFonts w:ascii="ITC Avant Garde" w:hAnsi="ITC Avant Garde"/>
          <w:sz w:val="20"/>
        </w:rPr>
      </w:pPr>
      <w:r w:rsidRPr="004E27D5">
        <w:rPr>
          <w:rFonts w:ascii="ITC Avant Garde" w:hAnsi="ITC Avant Garde"/>
          <w:sz w:val="20"/>
          <w:szCs w:val="20"/>
        </w:rPr>
        <w:t>“</w:t>
      </w:r>
      <w:r w:rsidRPr="004E27D5">
        <w:rPr>
          <w:rFonts w:ascii="ITC Avant Garde" w:hAnsi="ITC Avant Garde"/>
          <w:b/>
          <w:sz w:val="20"/>
          <w:szCs w:val="20"/>
        </w:rPr>
        <w:t>Artículo 305.</w:t>
      </w:r>
      <w:r w:rsidRPr="004E27D5">
        <w:rPr>
          <w:rFonts w:ascii="ITC Avant Garde" w:hAnsi="ITC Avant Garde"/>
          <w:sz w:val="20"/>
          <w:szCs w:val="20"/>
        </w:rPr>
        <w:t xml:space="preserve"> </w:t>
      </w:r>
      <w:r w:rsidRPr="004E27D5">
        <w:rPr>
          <w:rFonts w:ascii="ITC Avant Garde" w:hAnsi="ITC Avant Garde"/>
          <w:sz w:val="20"/>
          <w:szCs w:val="20"/>
          <w:u w:val="single"/>
        </w:rPr>
        <w:t xml:space="preserve">Las personas que presten servicios de </w:t>
      </w:r>
      <w:r w:rsidRPr="004E27D5">
        <w:rPr>
          <w:rFonts w:ascii="ITC Avant Garde" w:hAnsi="ITC Avant Garde"/>
          <w:sz w:val="20"/>
          <w:szCs w:val="20"/>
        </w:rPr>
        <w:t xml:space="preserve">telecomunicaciones o </w:t>
      </w:r>
      <w:r w:rsidRPr="004E27D5">
        <w:rPr>
          <w:rFonts w:ascii="ITC Avant Garde" w:hAnsi="ITC Avant Garde"/>
          <w:sz w:val="20"/>
          <w:szCs w:val="20"/>
          <w:u w:val="single"/>
        </w:rPr>
        <w:t>de radiodifusión, sin contar con la concesión o autorización,</w:t>
      </w:r>
      <w:r w:rsidRPr="004E27D5">
        <w:rPr>
          <w:rFonts w:ascii="ITC Avant Garde" w:hAnsi="ITC Avant Garde"/>
          <w:sz w:val="20"/>
          <w:szCs w:val="20"/>
        </w:rPr>
        <w:t xml:space="preserve"> o que por cualquier otro medio invadan u obstruyan las vías generales de comunicación, perderán en beneficio de la Nación los bienes, instalaciones y equipos empleados en la comisión de dichas infracciones.”</w:t>
      </w:r>
    </w:p>
    <w:p w:rsidR="009E7D7C" w:rsidRPr="004E27D5" w:rsidRDefault="008A0970" w:rsidP="00A15149">
      <w:pPr>
        <w:pStyle w:val="Textoindependiente"/>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Del análisis de los preceptos tra</w:t>
      </w:r>
      <w:r w:rsidR="004135D8" w:rsidRPr="004E27D5">
        <w:rPr>
          <w:rFonts w:ascii="ITC Avant Garde" w:eastAsia="Times New Roman" w:hAnsi="ITC Avant Garde"/>
          <w:bCs/>
          <w:color w:val="000000"/>
          <w:lang w:eastAsia="es-MX"/>
        </w:rPr>
        <w:t>n</w:t>
      </w:r>
      <w:r w:rsidRPr="004E27D5">
        <w:rPr>
          <w:rFonts w:ascii="ITC Avant Garde" w:eastAsia="Times New Roman" w:hAnsi="ITC Avant Garde"/>
          <w:bCs/>
          <w:color w:val="000000"/>
          <w:lang w:eastAsia="es-MX"/>
        </w:rPr>
        <w:t>scritos</w:t>
      </w:r>
      <w:r w:rsidR="004135D8" w:rsidRPr="004E27D5">
        <w:rPr>
          <w:rFonts w:ascii="ITC Avant Garde" w:eastAsia="Times New Roman" w:hAnsi="ITC Avant Garde"/>
          <w:bCs/>
          <w:color w:val="000000"/>
          <w:lang w:eastAsia="es-MX"/>
        </w:rPr>
        <w:t>,</w:t>
      </w:r>
      <w:r w:rsidRPr="004E27D5">
        <w:rPr>
          <w:rFonts w:ascii="ITC Avant Garde" w:eastAsia="Times New Roman" w:hAnsi="ITC Avant Garde"/>
          <w:bCs/>
          <w:color w:val="000000"/>
          <w:lang w:eastAsia="es-MX"/>
        </w:rPr>
        <w:t xml:space="preserve"> se de</w:t>
      </w:r>
      <w:r w:rsidR="00CE0F69" w:rsidRPr="004E27D5">
        <w:rPr>
          <w:rFonts w:ascii="ITC Avant Garde" w:eastAsia="Times New Roman" w:hAnsi="ITC Avant Garde"/>
          <w:bCs/>
          <w:color w:val="000000"/>
          <w:lang w:eastAsia="es-MX"/>
        </w:rPr>
        <w:t>s</w:t>
      </w:r>
      <w:r w:rsidRPr="004E27D5">
        <w:rPr>
          <w:rFonts w:ascii="ITC Avant Garde" w:eastAsia="Times New Roman" w:hAnsi="ITC Avant Garde"/>
          <w:bCs/>
          <w:color w:val="000000"/>
          <w:lang w:eastAsia="es-MX"/>
        </w:rPr>
        <w:t xml:space="preserve">prende que la conducta </w:t>
      </w:r>
      <w:r w:rsidR="006900F3" w:rsidRPr="004E27D5">
        <w:rPr>
          <w:rFonts w:ascii="ITC Avant Garde" w:eastAsia="Times New Roman" w:hAnsi="ITC Avant Garde"/>
          <w:bCs/>
          <w:color w:val="000000"/>
          <w:lang w:eastAsia="es-MX"/>
        </w:rPr>
        <w:t xml:space="preserve">susceptible de ser </w:t>
      </w:r>
      <w:r w:rsidRPr="004E27D5">
        <w:rPr>
          <w:rFonts w:ascii="ITC Avant Garde" w:eastAsia="Times New Roman" w:hAnsi="ITC Avant Garde"/>
          <w:bCs/>
          <w:color w:val="000000"/>
          <w:lang w:eastAsia="es-MX"/>
        </w:rPr>
        <w:t>sanciona</w:t>
      </w:r>
      <w:r w:rsidR="006900F3" w:rsidRPr="004E27D5">
        <w:rPr>
          <w:rFonts w:ascii="ITC Avant Garde" w:eastAsia="Times New Roman" w:hAnsi="ITC Avant Garde"/>
          <w:bCs/>
          <w:color w:val="000000"/>
          <w:lang w:eastAsia="es-MX"/>
        </w:rPr>
        <w:t>da</w:t>
      </w:r>
      <w:r w:rsidRPr="004E27D5">
        <w:rPr>
          <w:rFonts w:ascii="ITC Avant Garde" w:eastAsia="Times New Roman" w:hAnsi="ITC Avant Garde"/>
          <w:bCs/>
          <w:color w:val="000000"/>
          <w:lang w:eastAsia="es-MX"/>
        </w:rPr>
        <w:t xml:space="preserve"> es la prestación de servicios de radiodifusión sin contar con concesión o autorización </w:t>
      </w:r>
      <w:r w:rsidR="006900F3" w:rsidRPr="004E27D5">
        <w:rPr>
          <w:rFonts w:ascii="ITC Avant Garde" w:eastAsia="Times New Roman" w:hAnsi="ITC Avant Garde"/>
          <w:bCs/>
          <w:color w:val="000000"/>
          <w:lang w:eastAsia="es-MX"/>
        </w:rPr>
        <w:t>emitida por la autoridad competente</w:t>
      </w:r>
      <w:r w:rsidRPr="004E27D5">
        <w:rPr>
          <w:rFonts w:ascii="ITC Avant Garde" w:eastAsia="Times New Roman" w:hAnsi="ITC Avant Garde"/>
          <w:bCs/>
          <w:color w:val="000000"/>
          <w:lang w:eastAsia="es-MX"/>
        </w:rPr>
        <w:t>, por lo que con el fin de cumplir a cabalidad con el principio de tipicidad se debe analizar si la conducta desplegada se adecua a lo señalado por la norma</w:t>
      </w:r>
      <w:r w:rsidR="004F3596" w:rsidRPr="004E27D5">
        <w:rPr>
          <w:rFonts w:ascii="ITC Avant Garde" w:eastAsia="Times New Roman" w:hAnsi="ITC Avant Garde"/>
          <w:bCs/>
          <w:color w:val="000000"/>
          <w:lang w:eastAsia="es-MX"/>
        </w:rPr>
        <w:t>.</w:t>
      </w:r>
    </w:p>
    <w:p w:rsidR="009E7D7C" w:rsidRPr="004E27D5" w:rsidRDefault="008A0970" w:rsidP="00A15149">
      <w:pPr>
        <w:pStyle w:val="Textoindependiente"/>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En ese sentido, con el fin de establecer lo que debe entenderse por la prestación de un servicio de radiodifusión, resulta importante considerar lo señalado por las fracciones LIV y LXV del artículo 3 de la </w:t>
      </w:r>
      <w:r w:rsidR="006310EA" w:rsidRPr="004E27D5">
        <w:rPr>
          <w:rFonts w:ascii="ITC Avant Garde" w:eastAsia="Times New Roman" w:hAnsi="ITC Avant Garde"/>
          <w:b/>
          <w:bCs/>
          <w:color w:val="000000"/>
          <w:lang w:eastAsia="es-MX"/>
        </w:rPr>
        <w:t>LFTR</w:t>
      </w:r>
      <w:r w:rsidRPr="004E27D5">
        <w:rPr>
          <w:rFonts w:ascii="ITC Avant Garde" w:eastAsia="Times New Roman" w:hAnsi="ITC Avant Garde"/>
          <w:bCs/>
          <w:color w:val="000000"/>
          <w:lang w:eastAsia="es-MX"/>
        </w:rPr>
        <w:t>, mismas que señalan lo siguiente</w:t>
      </w:r>
      <w:r w:rsidR="004F3596" w:rsidRPr="004E27D5">
        <w:rPr>
          <w:rFonts w:ascii="ITC Avant Garde" w:eastAsia="Times New Roman" w:hAnsi="ITC Avant Garde"/>
          <w:bCs/>
          <w:color w:val="000000"/>
          <w:lang w:eastAsia="es-MX"/>
        </w:rPr>
        <w:t>:</w:t>
      </w:r>
    </w:p>
    <w:p w:rsidR="009E7D7C" w:rsidRPr="004E27D5" w:rsidRDefault="008A0970" w:rsidP="007B6EA5">
      <w:pPr>
        <w:spacing w:after="0" w:line="240" w:lineRule="auto"/>
        <w:ind w:left="851" w:right="616"/>
        <w:jc w:val="both"/>
        <w:rPr>
          <w:rFonts w:ascii="ITC Avant Garde" w:eastAsia="Times New Roman" w:hAnsi="ITC Avant Garde"/>
          <w:bCs/>
          <w:color w:val="000000"/>
          <w:sz w:val="20"/>
          <w:szCs w:val="20"/>
          <w:lang w:eastAsia="es-MX"/>
        </w:rPr>
      </w:pPr>
      <w:r w:rsidRPr="004E27D5">
        <w:rPr>
          <w:rFonts w:ascii="ITC Avant Garde" w:eastAsia="Times New Roman" w:hAnsi="ITC Avant Garde"/>
          <w:bCs/>
          <w:color w:val="000000"/>
          <w:sz w:val="20"/>
          <w:szCs w:val="20"/>
          <w:lang w:eastAsia="es-MX"/>
        </w:rPr>
        <w:t>“</w:t>
      </w:r>
      <w:r w:rsidRPr="004E27D5">
        <w:rPr>
          <w:rFonts w:ascii="ITC Avant Garde" w:eastAsia="Times New Roman" w:hAnsi="ITC Avant Garde"/>
          <w:b/>
          <w:bCs/>
          <w:color w:val="000000"/>
          <w:sz w:val="20"/>
          <w:szCs w:val="20"/>
          <w:lang w:eastAsia="es-MX"/>
        </w:rPr>
        <w:t>Artículo 3.</w:t>
      </w:r>
      <w:r w:rsidRPr="004E27D5">
        <w:rPr>
          <w:rFonts w:ascii="ITC Avant Garde" w:eastAsia="Times New Roman" w:hAnsi="ITC Avant Garde"/>
          <w:bCs/>
          <w:color w:val="000000"/>
          <w:sz w:val="20"/>
          <w:szCs w:val="20"/>
          <w:lang w:eastAsia="es-MX"/>
        </w:rPr>
        <w:t xml:space="preserve"> Para los efectos de esta Ley se entenderá por:</w:t>
      </w:r>
    </w:p>
    <w:p w:rsidR="009E7D7C" w:rsidRPr="004E27D5" w:rsidRDefault="004F3596" w:rsidP="007B6EA5">
      <w:pPr>
        <w:pStyle w:val="Textoindependiente"/>
        <w:tabs>
          <w:tab w:val="left" w:pos="851"/>
        </w:tabs>
        <w:spacing w:after="0" w:line="240" w:lineRule="auto"/>
        <w:ind w:left="851" w:right="616"/>
        <w:jc w:val="both"/>
        <w:rPr>
          <w:rFonts w:ascii="ITC Avant Garde" w:eastAsia="Times New Roman" w:hAnsi="ITC Avant Garde"/>
          <w:bCs/>
          <w:color w:val="000000"/>
          <w:sz w:val="20"/>
          <w:lang w:eastAsia="es-MX"/>
        </w:rPr>
      </w:pPr>
      <w:r w:rsidRPr="004E27D5">
        <w:rPr>
          <w:rFonts w:ascii="ITC Avant Garde" w:eastAsia="Times New Roman" w:hAnsi="ITC Avant Garde"/>
          <w:bCs/>
          <w:color w:val="000000"/>
          <w:sz w:val="20"/>
          <w:lang w:eastAsia="es-MX"/>
        </w:rPr>
        <w:t>…</w:t>
      </w:r>
    </w:p>
    <w:p w:rsidR="009E7D7C" w:rsidRPr="004E27D5" w:rsidRDefault="004F3596" w:rsidP="007B6EA5">
      <w:pPr>
        <w:pStyle w:val="Textoindependiente"/>
        <w:tabs>
          <w:tab w:val="left" w:pos="851"/>
          <w:tab w:val="left" w:pos="1560"/>
        </w:tabs>
        <w:spacing w:after="0" w:line="240" w:lineRule="auto"/>
        <w:ind w:left="851" w:right="616"/>
        <w:jc w:val="both"/>
        <w:rPr>
          <w:rFonts w:ascii="ITC Avant Garde" w:hAnsi="ITC Avant Garde"/>
          <w:color w:val="000000"/>
          <w:sz w:val="20"/>
        </w:rPr>
      </w:pPr>
      <w:r w:rsidRPr="004E27D5">
        <w:rPr>
          <w:rFonts w:ascii="ITC Avant Garde" w:hAnsi="ITC Avant Garde"/>
          <w:b/>
          <w:color w:val="000000"/>
          <w:sz w:val="20"/>
        </w:rPr>
        <w:t>LIV.</w:t>
      </w:r>
      <w:r w:rsidRPr="004E27D5">
        <w:rPr>
          <w:rFonts w:ascii="ITC Avant Garde" w:hAnsi="ITC Avant Garde"/>
          <w:b/>
          <w:color w:val="000000"/>
          <w:sz w:val="20"/>
        </w:rPr>
        <w:tab/>
        <w:t>Radiodifusión</w:t>
      </w:r>
      <w:r w:rsidRPr="004E27D5">
        <w:rPr>
          <w:rFonts w:ascii="ITC Avant Garde" w:hAnsi="ITC Avant Garde"/>
          <w:color w:val="000000"/>
          <w:sz w:val="20"/>
        </w:rPr>
        <w:t>: Propagación de ondas electromagnéticas de señales de audio o de audio y video asociado, haciendo uso, aprovechamiento o explotación de las bandas de frecuencia del espectro radioeléctrico, incluidas las asociadas a recursos orbitales, atribuidas por el Instituto a tal servicio, con el que la población puede recibir de manera directa y gratuita las señales de su emisor utilizando los dispositivos idóneos para ello;</w:t>
      </w:r>
    </w:p>
    <w:p w:rsidR="009E7D7C" w:rsidRPr="004E27D5" w:rsidRDefault="004F3596" w:rsidP="007B6EA5">
      <w:pPr>
        <w:pStyle w:val="Textoindependiente"/>
        <w:tabs>
          <w:tab w:val="left" w:pos="851"/>
        </w:tabs>
        <w:spacing w:after="0" w:line="240" w:lineRule="auto"/>
        <w:ind w:left="851" w:right="616"/>
        <w:jc w:val="both"/>
        <w:rPr>
          <w:rFonts w:ascii="ITC Avant Garde" w:hAnsi="ITC Avant Garde"/>
          <w:color w:val="000000"/>
          <w:sz w:val="20"/>
        </w:rPr>
      </w:pPr>
      <w:r w:rsidRPr="004E27D5">
        <w:rPr>
          <w:rFonts w:ascii="ITC Avant Garde" w:hAnsi="ITC Avant Garde"/>
          <w:color w:val="000000"/>
          <w:sz w:val="20"/>
        </w:rPr>
        <w:t>…</w:t>
      </w:r>
    </w:p>
    <w:p w:rsidR="009E7D7C" w:rsidRPr="004E27D5" w:rsidRDefault="004F3596" w:rsidP="007B6EA5">
      <w:pPr>
        <w:pStyle w:val="Textoindependiente"/>
        <w:tabs>
          <w:tab w:val="left" w:pos="851"/>
          <w:tab w:val="left" w:pos="1560"/>
        </w:tabs>
        <w:spacing w:after="0" w:line="240" w:lineRule="auto"/>
        <w:ind w:left="851" w:right="616"/>
        <w:jc w:val="both"/>
        <w:rPr>
          <w:rFonts w:ascii="ITC Avant Garde" w:hAnsi="ITC Avant Garde"/>
          <w:color w:val="000000"/>
          <w:sz w:val="20"/>
        </w:rPr>
      </w:pPr>
      <w:r w:rsidRPr="004E27D5">
        <w:rPr>
          <w:rFonts w:ascii="ITC Avant Garde" w:hAnsi="ITC Avant Garde"/>
          <w:b/>
          <w:color w:val="000000"/>
          <w:sz w:val="20"/>
        </w:rPr>
        <w:t>LXV.</w:t>
      </w:r>
      <w:r w:rsidRPr="004E27D5">
        <w:rPr>
          <w:rFonts w:ascii="ITC Avant Garde" w:hAnsi="ITC Avant Garde"/>
          <w:b/>
          <w:color w:val="000000"/>
          <w:sz w:val="20"/>
        </w:rPr>
        <w:tab/>
      </w:r>
      <w:r w:rsidR="008A0970" w:rsidRPr="004E27D5">
        <w:rPr>
          <w:rFonts w:ascii="ITC Avant Garde" w:hAnsi="ITC Avant Garde"/>
          <w:b/>
          <w:color w:val="000000"/>
          <w:sz w:val="20"/>
        </w:rPr>
        <w:t xml:space="preserve"> </w:t>
      </w:r>
      <w:r w:rsidRPr="004E27D5">
        <w:rPr>
          <w:rFonts w:ascii="ITC Avant Garde" w:hAnsi="ITC Avant Garde"/>
          <w:b/>
          <w:color w:val="000000"/>
          <w:sz w:val="20"/>
        </w:rPr>
        <w:t>Servicios públicos de telecomunicaciones y radiodifusión</w:t>
      </w:r>
      <w:r w:rsidRPr="004E27D5">
        <w:rPr>
          <w:rFonts w:ascii="ITC Avant Garde" w:hAnsi="ITC Avant Garde"/>
          <w:color w:val="000000"/>
          <w:sz w:val="20"/>
        </w:rPr>
        <w:t>: Servicios de interés general que prestan los concesionarios al público en general con fines comerciales, públicos o sociales de conformidad con lo dispuesto en la presente Ley y la Ley Federal de Competencia Económica;</w:t>
      </w:r>
    </w:p>
    <w:p w:rsidR="009E7D7C" w:rsidRPr="004E27D5" w:rsidRDefault="004F3596" w:rsidP="007B6EA5">
      <w:pPr>
        <w:pStyle w:val="Textoindependiente"/>
        <w:tabs>
          <w:tab w:val="left" w:pos="851"/>
        </w:tabs>
        <w:spacing w:after="0" w:line="240" w:lineRule="auto"/>
        <w:ind w:left="851" w:right="616"/>
        <w:jc w:val="both"/>
        <w:rPr>
          <w:rFonts w:ascii="ITC Avant Garde" w:eastAsia="Times New Roman" w:hAnsi="ITC Avant Garde"/>
          <w:bCs/>
          <w:color w:val="000000"/>
          <w:sz w:val="20"/>
          <w:lang w:eastAsia="es-MX"/>
        </w:rPr>
      </w:pPr>
      <w:r w:rsidRPr="004E27D5">
        <w:rPr>
          <w:rFonts w:ascii="ITC Avant Garde" w:eastAsia="Times New Roman" w:hAnsi="ITC Avant Garde"/>
          <w:bCs/>
          <w:color w:val="000000"/>
          <w:sz w:val="20"/>
          <w:lang w:eastAsia="es-MX"/>
        </w:rPr>
        <w:t>…”</w:t>
      </w:r>
    </w:p>
    <w:p w:rsidR="009E7D7C" w:rsidRPr="004E27D5" w:rsidRDefault="008A0970" w:rsidP="00A15149">
      <w:pPr>
        <w:pStyle w:val="Textoindependiente"/>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De lo señalado por la </w:t>
      </w:r>
      <w:r w:rsidR="006310EA" w:rsidRPr="004E27D5">
        <w:rPr>
          <w:rFonts w:ascii="ITC Avant Garde" w:eastAsia="Times New Roman" w:hAnsi="ITC Avant Garde"/>
          <w:b/>
          <w:bCs/>
          <w:color w:val="000000"/>
          <w:lang w:eastAsia="es-MX"/>
        </w:rPr>
        <w:t>LFTR</w:t>
      </w:r>
      <w:r w:rsidRPr="004E27D5">
        <w:rPr>
          <w:rFonts w:ascii="ITC Avant Garde" w:eastAsia="Times New Roman" w:hAnsi="ITC Avant Garde"/>
          <w:bCs/>
          <w:color w:val="000000"/>
          <w:lang w:eastAsia="es-MX"/>
        </w:rPr>
        <w:t xml:space="preserve"> se desprenden los </w:t>
      </w:r>
      <w:r w:rsidRPr="004E27D5">
        <w:rPr>
          <w:rFonts w:ascii="ITC Avant Garde" w:eastAsia="Times New Roman" w:hAnsi="ITC Avant Garde"/>
          <w:bCs/>
          <w:color w:val="000000"/>
          <w:u w:val="single"/>
          <w:lang w:eastAsia="es-MX"/>
        </w:rPr>
        <w:t>elementos que componen el concepto de radiodifusión</w:t>
      </w:r>
      <w:r w:rsidRPr="004E27D5">
        <w:rPr>
          <w:rFonts w:ascii="ITC Avant Garde" w:eastAsia="Times New Roman" w:hAnsi="ITC Avant Garde"/>
          <w:bCs/>
          <w:color w:val="000000"/>
          <w:lang w:eastAsia="es-MX"/>
        </w:rPr>
        <w:t>, mismos que deben ser analizados a la luz de la conducta desplegada para sustentar la determinación de incumplimiento</w:t>
      </w:r>
      <w:r w:rsidR="004F3596" w:rsidRPr="004E27D5">
        <w:rPr>
          <w:rFonts w:ascii="ITC Avant Garde" w:eastAsia="Times New Roman" w:hAnsi="ITC Avant Garde"/>
          <w:bCs/>
          <w:color w:val="000000"/>
          <w:lang w:eastAsia="es-MX"/>
        </w:rPr>
        <w:t>.</w:t>
      </w:r>
    </w:p>
    <w:p w:rsidR="009E7D7C" w:rsidRPr="004E27D5" w:rsidRDefault="008A0970" w:rsidP="008A0970">
      <w:pPr>
        <w:pStyle w:val="Textoindependiente"/>
        <w:tabs>
          <w:tab w:val="left" w:pos="851"/>
        </w:tabs>
        <w:spacing w:after="0" w:line="360" w:lineRule="auto"/>
        <w:ind w:right="-850"/>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En ese sentido las premisas del concepto de radiodifusión son las siguientes:</w:t>
      </w:r>
    </w:p>
    <w:p w:rsidR="009E7D7C" w:rsidRPr="004E27D5" w:rsidRDefault="008A0970" w:rsidP="001F5F26">
      <w:pPr>
        <w:pStyle w:val="Textoindependiente"/>
        <w:numPr>
          <w:ilvl w:val="0"/>
          <w:numId w:val="5"/>
        </w:numPr>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La propagación de ondas electromagnéticas de señales de audio o de audio y video asociado.</w:t>
      </w:r>
    </w:p>
    <w:p w:rsidR="009E7D7C" w:rsidRPr="004E27D5" w:rsidRDefault="008A0970" w:rsidP="001F5F26">
      <w:pPr>
        <w:pStyle w:val="Textoindependiente"/>
        <w:numPr>
          <w:ilvl w:val="0"/>
          <w:numId w:val="5"/>
        </w:numPr>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El uso, aprovechamiento o explotación de las bandas de frecuencia del espectro radioeléctrico atribuidas por el Instituto a tal servicio.</w:t>
      </w:r>
    </w:p>
    <w:p w:rsidR="009E7D7C" w:rsidRPr="004E27D5" w:rsidRDefault="008A0970" w:rsidP="001F5F26">
      <w:pPr>
        <w:pStyle w:val="Textoindependiente"/>
        <w:numPr>
          <w:ilvl w:val="0"/>
          <w:numId w:val="5"/>
        </w:numPr>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lastRenderedPageBreak/>
        <w:t>La población las puede recibir de manera directa y gratuita utilizando los dispositivos idóneos para ello.</w:t>
      </w:r>
    </w:p>
    <w:p w:rsidR="009E7D7C" w:rsidRPr="004E27D5" w:rsidRDefault="008A0970" w:rsidP="00A15149">
      <w:pPr>
        <w:pStyle w:val="Textoindependiente"/>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La primera y la tercera de las premisas se encuentran plenamente acreditadas en el procedimiento administrativo en que se actúa al existir constancia en autos del disco compacto remitido como adjunto a la propuesta de inicio del procedimiento</w:t>
      </w:r>
      <w:r w:rsidR="00F9107F" w:rsidRPr="004E27D5">
        <w:rPr>
          <w:rFonts w:ascii="ITC Avant Garde" w:eastAsia="Times New Roman" w:hAnsi="ITC Avant Garde"/>
          <w:bCs/>
          <w:color w:val="000000"/>
          <w:lang w:eastAsia="es-MX"/>
        </w:rPr>
        <w:t>,</w:t>
      </w:r>
      <w:r w:rsidRPr="004E27D5">
        <w:rPr>
          <w:rFonts w:ascii="ITC Avant Garde" w:eastAsia="Times New Roman" w:hAnsi="ITC Avant Garde"/>
          <w:bCs/>
          <w:color w:val="000000"/>
          <w:lang w:eastAsia="es-MX"/>
        </w:rPr>
        <w:t xml:space="preserve"> en el cual se contienen las grabaciones realizadas al momento de realizar el monitoreo del espectro radioeléctrico, </w:t>
      </w:r>
      <w:r w:rsidR="00A96264" w:rsidRPr="004E27D5">
        <w:rPr>
          <w:rFonts w:ascii="ITC Avant Garde" w:eastAsia="Times New Roman" w:hAnsi="ITC Avant Garde"/>
          <w:bCs/>
          <w:color w:val="000000"/>
          <w:lang w:eastAsia="es-MX"/>
        </w:rPr>
        <w:t>de las cuales se desprende que efectivamente se estaban transmitiendo señales de audio</w:t>
      </w:r>
      <w:r w:rsidRPr="004E27D5">
        <w:rPr>
          <w:rFonts w:ascii="ITC Avant Garde" w:eastAsia="Times New Roman" w:hAnsi="ITC Avant Garde"/>
          <w:bCs/>
          <w:color w:val="000000"/>
          <w:lang w:eastAsia="es-MX"/>
        </w:rPr>
        <w:t>, mismas que pueden ser recibidas de manera directa por la población con el simple hecho de contar con el medio idóneo, que en el presente caso lo constituye un radio receptor</w:t>
      </w:r>
      <w:r w:rsidR="004F3596" w:rsidRPr="004E27D5">
        <w:rPr>
          <w:rFonts w:ascii="ITC Avant Garde" w:eastAsia="Times New Roman" w:hAnsi="ITC Avant Garde"/>
          <w:bCs/>
          <w:color w:val="000000"/>
          <w:lang w:eastAsia="es-MX"/>
        </w:rPr>
        <w:t>.</w:t>
      </w:r>
    </w:p>
    <w:p w:rsidR="009E7D7C" w:rsidRPr="004E27D5" w:rsidRDefault="008A0970" w:rsidP="00C321E2">
      <w:pPr>
        <w:spacing w:after="0" w:line="360" w:lineRule="auto"/>
        <w:jc w:val="both"/>
        <w:rPr>
          <w:rFonts w:ascii="ITC Avant Garde" w:hAnsi="ITC Avant Garde"/>
        </w:rPr>
      </w:pPr>
      <w:r w:rsidRPr="004E27D5">
        <w:rPr>
          <w:rFonts w:ascii="ITC Avant Garde" w:eastAsia="Times New Roman" w:hAnsi="ITC Avant Garde"/>
          <w:bCs/>
          <w:color w:val="000000"/>
          <w:lang w:eastAsia="es-MX"/>
        </w:rPr>
        <w:t xml:space="preserve">De igual forma, la primera y segunda de las premisas quedaron plenamente acreditadas durante el desarrollo de la diligencia de verificación, </w:t>
      </w:r>
      <w:r w:rsidR="008D20E7" w:rsidRPr="004E27D5">
        <w:rPr>
          <w:rFonts w:ascii="ITC Avant Garde" w:eastAsia="Times New Roman" w:hAnsi="ITC Avant Garde"/>
          <w:bCs/>
          <w:color w:val="000000"/>
          <w:lang w:eastAsia="es-MX"/>
        </w:rPr>
        <w:t xml:space="preserve">ya que derivado </w:t>
      </w:r>
      <w:r w:rsidR="00E15DF7" w:rsidRPr="004E27D5">
        <w:rPr>
          <w:rFonts w:ascii="ITC Avant Garde" w:eastAsia="Times New Roman" w:hAnsi="ITC Avant Garde"/>
          <w:bCs/>
          <w:color w:val="000000"/>
          <w:lang w:eastAsia="es-MX"/>
        </w:rPr>
        <w:t>d</w:t>
      </w:r>
      <w:r w:rsidR="008D20E7" w:rsidRPr="004E27D5">
        <w:rPr>
          <w:rFonts w:ascii="ITC Avant Garde" w:eastAsia="Times New Roman" w:hAnsi="ITC Avant Garde"/>
          <w:bCs/>
          <w:color w:val="000000"/>
          <w:lang w:eastAsia="es-MX"/>
        </w:rPr>
        <w:t xml:space="preserve">el monitoreo se detectó el uso de la frecuencia </w:t>
      </w:r>
      <w:r w:rsidR="00C9435A" w:rsidRPr="004E27D5">
        <w:rPr>
          <w:rFonts w:ascii="ITC Avant Garde" w:hAnsi="ITC Avant Garde"/>
          <w:b/>
          <w:caps/>
        </w:rPr>
        <w:t>106.1</w:t>
      </w:r>
      <w:r w:rsidR="002C1AD8" w:rsidRPr="004E27D5">
        <w:rPr>
          <w:rFonts w:ascii="ITC Avant Garde" w:hAnsi="ITC Avant Garde"/>
          <w:b/>
        </w:rPr>
        <w:t xml:space="preserve"> MHz</w:t>
      </w:r>
      <w:r w:rsidR="004F3596" w:rsidRPr="004E27D5">
        <w:rPr>
          <w:rFonts w:ascii="ITC Avant Garde" w:hAnsi="ITC Avant Garde"/>
          <w:bCs/>
        </w:rPr>
        <w:t xml:space="preserve"> </w:t>
      </w:r>
      <w:r w:rsidR="004F3596" w:rsidRPr="004E27D5">
        <w:rPr>
          <w:rFonts w:ascii="ITC Avant Garde" w:eastAsia="Times New Roman" w:hAnsi="ITC Avant Garde"/>
          <w:lang w:eastAsia="es-ES"/>
        </w:rPr>
        <w:t>a través de</w:t>
      </w:r>
      <w:r w:rsidR="00D51FFC" w:rsidRPr="004E27D5">
        <w:rPr>
          <w:rFonts w:ascii="ITC Avant Garde" w:eastAsia="Times New Roman" w:hAnsi="ITC Avant Garde"/>
          <w:lang w:eastAsia="es-ES"/>
        </w:rPr>
        <w:t xml:space="preserve"> </w:t>
      </w:r>
      <w:r w:rsidR="00D51FFC" w:rsidRPr="004E27D5">
        <w:rPr>
          <w:rFonts w:ascii="ITC Avant Garde" w:eastAsia="Times New Roman" w:hAnsi="ITC Avant Garde"/>
          <w:b/>
          <w:lang w:eastAsia="es-ES"/>
        </w:rPr>
        <w:t>i)</w:t>
      </w:r>
      <w:r w:rsidR="00D51FFC" w:rsidRPr="004E27D5">
        <w:rPr>
          <w:rFonts w:ascii="ITC Avant Garde" w:eastAsia="Times New Roman" w:hAnsi="ITC Avant Garde"/>
          <w:lang w:eastAsia="es-ES"/>
        </w:rPr>
        <w:t xml:space="preserve"> </w:t>
      </w:r>
      <w:r w:rsidR="00280CD4" w:rsidRPr="004E27D5">
        <w:rPr>
          <w:rFonts w:ascii="ITC Avant Garde" w:eastAsia="Times New Roman" w:hAnsi="ITC Avant Garde"/>
          <w:bCs/>
          <w:color w:val="000000"/>
          <w:lang w:eastAsia="es-MX"/>
        </w:rPr>
        <w:t>dos</w:t>
      </w:r>
      <w:r w:rsidR="00280CD4" w:rsidRPr="004E27D5">
        <w:rPr>
          <w:rFonts w:ascii="ITC Avant Garde" w:hAnsi="ITC Avant Garde"/>
        </w:rPr>
        <w:t xml:space="preserve"> antenas omnidireccional </w:t>
      </w:r>
      <w:r w:rsidR="007577BF" w:rsidRPr="004E27D5">
        <w:rPr>
          <w:rFonts w:ascii="ITC Avant Garde" w:hAnsi="ITC Avant Garde"/>
        </w:rPr>
        <w:t xml:space="preserve">tipo “T” </w:t>
      </w:r>
      <w:r w:rsidR="00280CD4" w:rsidRPr="004E27D5">
        <w:rPr>
          <w:rFonts w:ascii="ITC Avant Garde" w:hAnsi="ITC Avant Garde"/>
        </w:rPr>
        <w:t xml:space="preserve">sin marca, sin modelo y sin número de serie;  </w:t>
      </w:r>
      <w:r w:rsidR="00280CD4" w:rsidRPr="004E27D5">
        <w:rPr>
          <w:rFonts w:ascii="ITC Avant Garde" w:hAnsi="ITC Avant Garde"/>
          <w:b/>
        </w:rPr>
        <w:t>ii)</w:t>
      </w:r>
      <w:r w:rsidR="00280CD4" w:rsidRPr="004E27D5">
        <w:rPr>
          <w:rFonts w:ascii="ITC Avant Garde" w:hAnsi="ITC Avant Garde"/>
        </w:rPr>
        <w:t xml:space="preserve"> un transmisor, sin marca, sin modelo y sin número de serie; </w:t>
      </w:r>
      <w:r w:rsidR="00280CD4" w:rsidRPr="004E27D5">
        <w:rPr>
          <w:rFonts w:ascii="ITC Avant Garde" w:hAnsi="ITC Avant Garde"/>
          <w:b/>
        </w:rPr>
        <w:t>iii)</w:t>
      </w:r>
      <w:r w:rsidR="00280CD4" w:rsidRPr="004E27D5">
        <w:rPr>
          <w:rFonts w:ascii="ITC Avant Garde" w:hAnsi="ITC Avant Garde"/>
        </w:rPr>
        <w:t xml:space="preserve"> una consola de audio sin marca, sin modelo y sin número de serie; y </w:t>
      </w:r>
      <w:r w:rsidR="00280CD4" w:rsidRPr="004E27D5">
        <w:rPr>
          <w:rFonts w:ascii="ITC Avant Garde" w:hAnsi="ITC Avant Garde"/>
          <w:b/>
        </w:rPr>
        <w:t xml:space="preserve">iv) </w:t>
      </w:r>
      <w:r w:rsidR="00280CD4" w:rsidRPr="004E27D5">
        <w:rPr>
          <w:rFonts w:ascii="ITC Avant Garde" w:hAnsi="ITC Avant Garde"/>
        </w:rPr>
        <w:t>un CPU Armado sin marca, sin modelo y sin número de serie</w:t>
      </w:r>
      <w:r w:rsidR="008D20E7" w:rsidRPr="004E27D5">
        <w:rPr>
          <w:rFonts w:ascii="ITC Avant Garde" w:hAnsi="ITC Avant Garde" w:cs="Arial"/>
        </w:rPr>
        <w:t>.</w:t>
      </w:r>
      <w:r w:rsidR="008D20E7" w:rsidRPr="004E27D5">
        <w:rPr>
          <w:rFonts w:ascii="Times New Roman" w:hAnsi="Times New Roman"/>
          <w:sz w:val="24"/>
          <w:szCs w:val="24"/>
          <w:lang w:eastAsia="es-MX"/>
        </w:rPr>
        <w:t xml:space="preserve"> </w:t>
      </w:r>
    </w:p>
    <w:p w:rsidR="009E7D7C" w:rsidRPr="004E27D5" w:rsidRDefault="008A0970" w:rsidP="008A0970">
      <w:pPr>
        <w:pStyle w:val="Textoindependiente"/>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Ahora bien</w:t>
      </w:r>
      <w:r w:rsidR="004135D8" w:rsidRPr="004E27D5">
        <w:rPr>
          <w:rFonts w:ascii="ITC Avant Garde" w:eastAsia="Times New Roman" w:hAnsi="ITC Avant Garde"/>
          <w:bCs/>
          <w:color w:val="000000"/>
          <w:lang w:eastAsia="es-MX"/>
        </w:rPr>
        <w:t>,</w:t>
      </w:r>
      <w:r w:rsidRPr="004E27D5">
        <w:rPr>
          <w:rFonts w:ascii="ITC Avant Garde" w:eastAsia="Times New Roman" w:hAnsi="ITC Avant Garde"/>
          <w:bCs/>
          <w:color w:val="000000"/>
          <w:lang w:eastAsia="es-MX"/>
        </w:rPr>
        <w:t xml:space="preserve"> de la definición de servicios públicos de radiodifusión se desprenden los siguientes elementos:</w:t>
      </w:r>
    </w:p>
    <w:p w:rsidR="008A0970" w:rsidRPr="004E27D5" w:rsidRDefault="008A0970" w:rsidP="001F5F26">
      <w:pPr>
        <w:pStyle w:val="Textoindependiente"/>
        <w:numPr>
          <w:ilvl w:val="0"/>
          <w:numId w:val="3"/>
        </w:numPr>
        <w:tabs>
          <w:tab w:val="left" w:pos="851"/>
        </w:tabs>
        <w:spacing w:after="0" w:line="360" w:lineRule="auto"/>
        <w:ind w:right="-850"/>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Son servicios de interés general.</w:t>
      </w:r>
    </w:p>
    <w:p w:rsidR="008A0970" w:rsidRPr="004E27D5" w:rsidRDefault="00B24537" w:rsidP="001F5F26">
      <w:pPr>
        <w:pStyle w:val="Textoindependiente"/>
        <w:numPr>
          <w:ilvl w:val="0"/>
          <w:numId w:val="3"/>
        </w:numPr>
        <w:tabs>
          <w:tab w:val="left" w:pos="851"/>
        </w:tabs>
        <w:spacing w:after="0" w:line="360" w:lineRule="auto"/>
        <w:ind w:right="-850"/>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Generalmente s</w:t>
      </w:r>
      <w:r w:rsidR="008A0970" w:rsidRPr="004E27D5">
        <w:rPr>
          <w:rFonts w:ascii="ITC Avant Garde" w:eastAsia="Times New Roman" w:hAnsi="ITC Avant Garde"/>
          <w:bCs/>
          <w:color w:val="000000"/>
          <w:lang w:eastAsia="es-MX"/>
        </w:rPr>
        <w:t>on prestados por concesionarios.</w:t>
      </w:r>
    </w:p>
    <w:p w:rsidR="008A0970" w:rsidRPr="004E27D5" w:rsidRDefault="008A0970" w:rsidP="001F5F26">
      <w:pPr>
        <w:pStyle w:val="Textoindependiente"/>
        <w:numPr>
          <w:ilvl w:val="0"/>
          <w:numId w:val="3"/>
        </w:numPr>
        <w:tabs>
          <w:tab w:val="left" w:pos="851"/>
        </w:tabs>
        <w:spacing w:after="0" w:line="360" w:lineRule="auto"/>
        <w:ind w:right="-850"/>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Son para el público en general.</w:t>
      </w:r>
    </w:p>
    <w:p w:rsidR="008A0970" w:rsidRPr="004E27D5" w:rsidRDefault="008A0970" w:rsidP="001F5F26">
      <w:pPr>
        <w:pStyle w:val="Textoindependiente"/>
        <w:numPr>
          <w:ilvl w:val="0"/>
          <w:numId w:val="3"/>
        </w:numPr>
        <w:tabs>
          <w:tab w:val="left" w:pos="851"/>
        </w:tabs>
        <w:spacing w:after="0" w:line="360" w:lineRule="auto"/>
        <w:ind w:right="-850"/>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Tienen fines comerciales, públicos o sociales.</w:t>
      </w:r>
    </w:p>
    <w:p w:rsidR="009E7D7C" w:rsidRPr="004E27D5" w:rsidRDefault="008A0970" w:rsidP="001F5F26">
      <w:pPr>
        <w:pStyle w:val="Textoindependiente"/>
        <w:numPr>
          <w:ilvl w:val="0"/>
          <w:numId w:val="3"/>
        </w:numPr>
        <w:tabs>
          <w:tab w:val="left" w:pos="851"/>
        </w:tabs>
        <w:spacing w:after="0" w:line="360" w:lineRule="auto"/>
        <w:ind w:right="-850"/>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Se prestan conforme a las leyes aplicables</w:t>
      </w:r>
    </w:p>
    <w:p w:rsidR="009E7D7C" w:rsidRPr="004E27D5" w:rsidRDefault="008A0970" w:rsidP="008A0970">
      <w:pPr>
        <w:pStyle w:val="Textoindependiente"/>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Del análisis de dichos elementos se desprende que en el presente asunto </w:t>
      </w:r>
      <w:r w:rsidR="009640F5" w:rsidRPr="004E27D5">
        <w:rPr>
          <w:rFonts w:ascii="ITC Avant Garde" w:eastAsia="Times New Roman" w:hAnsi="ITC Avant Garde"/>
          <w:bCs/>
          <w:color w:val="000000"/>
          <w:lang w:eastAsia="es-MX"/>
        </w:rPr>
        <w:t xml:space="preserve">el </w:t>
      </w:r>
      <w:r w:rsidR="00A01799" w:rsidRPr="004E27D5">
        <w:rPr>
          <w:rFonts w:ascii="ITC Avant Garde" w:hAnsi="ITC Avant Garde"/>
          <w:b/>
        </w:rPr>
        <w:t>PRESUNTO RESPONSABLE</w:t>
      </w:r>
      <w:r w:rsidR="00A01799" w:rsidRPr="004E27D5">
        <w:rPr>
          <w:rFonts w:ascii="ITC Avant Garde" w:eastAsia="Times New Roman" w:hAnsi="ITC Avant Garde"/>
          <w:bCs/>
          <w:color w:val="000000"/>
          <w:lang w:eastAsia="es-MX"/>
        </w:rPr>
        <w:t xml:space="preserve"> </w:t>
      </w:r>
      <w:r w:rsidRPr="004E27D5">
        <w:rPr>
          <w:rFonts w:ascii="ITC Avant Garde" w:eastAsia="Times New Roman" w:hAnsi="ITC Avant Garde"/>
          <w:bCs/>
          <w:color w:val="000000"/>
          <w:lang w:eastAsia="es-MX"/>
        </w:rPr>
        <w:t xml:space="preserve">no acreditó tener el carácter de concesionario, además de que en los archivos del </w:t>
      </w:r>
      <w:r w:rsidRPr="004E27D5">
        <w:rPr>
          <w:rFonts w:ascii="ITC Avant Garde" w:eastAsia="Times New Roman" w:hAnsi="ITC Avant Garde"/>
          <w:b/>
          <w:bCs/>
          <w:color w:val="000000"/>
          <w:lang w:eastAsia="es-MX"/>
        </w:rPr>
        <w:t>IFT</w:t>
      </w:r>
      <w:r w:rsidRPr="004E27D5">
        <w:rPr>
          <w:rFonts w:ascii="ITC Avant Garde" w:eastAsia="Times New Roman" w:hAnsi="ITC Avant Garde"/>
          <w:bCs/>
          <w:color w:val="000000"/>
          <w:lang w:eastAsia="es-MX"/>
        </w:rPr>
        <w:t xml:space="preserve"> no obra concesión o permiso otorgado para operar esa frecuencia en dicha localidad</w:t>
      </w:r>
      <w:r w:rsidR="00F9107F" w:rsidRPr="004E27D5">
        <w:rPr>
          <w:rFonts w:ascii="ITC Avant Garde" w:eastAsia="Times New Roman" w:hAnsi="ITC Avant Garde"/>
          <w:bCs/>
          <w:color w:val="000000"/>
          <w:lang w:eastAsia="es-MX"/>
        </w:rPr>
        <w:t>.</w:t>
      </w:r>
    </w:p>
    <w:p w:rsidR="009E7D7C" w:rsidRPr="004E27D5" w:rsidRDefault="008A0970" w:rsidP="008A0970">
      <w:pPr>
        <w:pStyle w:val="Textoindependiente"/>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Adicionalmente la frecuencia utilizada para esa entidad no se encuentra registrada en la infraestructura de Estaciones de Radio de Frecuencia Modulada (“FM”) publicada en la página Web del </w:t>
      </w:r>
      <w:r w:rsidRPr="004E27D5">
        <w:rPr>
          <w:rFonts w:ascii="ITC Avant Garde" w:eastAsia="Times New Roman" w:hAnsi="ITC Avant Garde"/>
          <w:b/>
          <w:bCs/>
          <w:color w:val="000000"/>
          <w:lang w:eastAsia="es-MX"/>
        </w:rPr>
        <w:t>Instituto</w:t>
      </w:r>
      <w:r w:rsidRPr="004E27D5">
        <w:rPr>
          <w:rFonts w:ascii="ITC Avant Garde" w:eastAsia="Times New Roman" w:hAnsi="ITC Avant Garde"/>
          <w:bCs/>
          <w:color w:val="000000"/>
          <w:lang w:eastAsia="es-MX"/>
        </w:rPr>
        <w:t xml:space="preserve">, circunstancia que por sí misma constituye un hecho notorio </w:t>
      </w:r>
      <w:r w:rsidRPr="004E27D5">
        <w:rPr>
          <w:rFonts w:ascii="ITC Avant Garde" w:eastAsia="Times New Roman" w:hAnsi="ITC Avant Garde"/>
          <w:bCs/>
          <w:color w:val="000000"/>
          <w:lang w:eastAsia="es-MX"/>
        </w:rPr>
        <w:lastRenderedPageBreak/>
        <w:t xml:space="preserve">que pone de manifiesto que los servicios no se prestaban conforme a la ley, no obstante que se encontraban a disposición del público en general </w:t>
      </w:r>
      <w:r w:rsidR="007B684D" w:rsidRPr="004E27D5">
        <w:rPr>
          <w:rFonts w:ascii="ITC Avant Garde" w:eastAsia="Times New Roman" w:hAnsi="ITC Avant Garde"/>
          <w:bCs/>
          <w:color w:val="000000"/>
          <w:lang w:eastAsia="es-MX"/>
        </w:rPr>
        <w:t xml:space="preserve">de conformidad con </w:t>
      </w:r>
      <w:r w:rsidRPr="004E27D5">
        <w:rPr>
          <w:rFonts w:ascii="ITC Avant Garde" w:eastAsia="Times New Roman" w:hAnsi="ITC Avant Garde"/>
          <w:bCs/>
          <w:color w:val="000000"/>
          <w:lang w:eastAsia="es-MX"/>
        </w:rPr>
        <w:t xml:space="preserve">lo detectado y grabado </w:t>
      </w:r>
      <w:r w:rsidR="007B684D" w:rsidRPr="004E27D5">
        <w:rPr>
          <w:rFonts w:ascii="ITC Avant Garde" w:eastAsia="Times New Roman" w:hAnsi="ITC Avant Garde"/>
          <w:bCs/>
          <w:color w:val="000000"/>
          <w:lang w:eastAsia="es-MX"/>
        </w:rPr>
        <w:t xml:space="preserve">durante </w:t>
      </w:r>
      <w:r w:rsidRPr="004E27D5">
        <w:rPr>
          <w:rFonts w:ascii="ITC Avant Garde" w:eastAsia="Times New Roman" w:hAnsi="ITC Avant Garde"/>
          <w:bCs/>
          <w:color w:val="000000"/>
          <w:lang w:eastAsia="es-MX"/>
        </w:rPr>
        <w:t>el monitoreo.</w:t>
      </w:r>
    </w:p>
    <w:p w:rsidR="009E7D7C" w:rsidRPr="004E27D5" w:rsidRDefault="00BE4996" w:rsidP="00A15149">
      <w:pPr>
        <w:pStyle w:val="Textoindependiente"/>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Ahora bien, otro elemento que resulta importante analizar es que con independencia de la finalidad de la estación de radiodifusión, para poder prestar dicho servicio se deben de cumplir con los requisitos previstos por la Ley, esto en virtud de que como se puede advertir de lo señalado por la norma, no existe la necesidad de acreditar un uso comercial, público o social</w:t>
      </w:r>
      <w:r w:rsidR="004F3596" w:rsidRPr="004E27D5">
        <w:rPr>
          <w:rFonts w:ascii="ITC Avant Garde" w:eastAsia="Times New Roman" w:hAnsi="ITC Avant Garde"/>
          <w:bCs/>
          <w:color w:val="000000"/>
          <w:lang w:eastAsia="es-MX"/>
        </w:rPr>
        <w:t>.</w:t>
      </w:r>
    </w:p>
    <w:p w:rsidR="004F3596" w:rsidRPr="004E27D5" w:rsidRDefault="00BE4996" w:rsidP="00A15149">
      <w:pPr>
        <w:pStyle w:val="Textoindependiente"/>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Así</w:t>
      </w:r>
      <w:r w:rsidR="007603C6" w:rsidRPr="004E27D5">
        <w:rPr>
          <w:rFonts w:ascii="ITC Avant Garde" w:eastAsia="Times New Roman" w:hAnsi="ITC Avant Garde"/>
          <w:bCs/>
          <w:color w:val="000000"/>
          <w:lang w:eastAsia="es-MX"/>
        </w:rPr>
        <w:t xml:space="preserve"> las cosas</w:t>
      </w:r>
      <w:r w:rsidRPr="004E27D5">
        <w:rPr>
          <w:rFonts w:ascii="ITC Avant Garde" w:eastAsia="Times New Roman" w:hAnsi="ITC Avant Garde"/>
          <w:bCs/>
          <w:color w:val="000000"/>
          <w:lang w:eastAsia="es-MX"/>
        </w:rPr>
        <w:t>, en el presente asunto durante</w:t>
      </w:r>
      <w:r w:rsidRPr="004E27D5">
        <w:rPr>
          <w:rFonts w:ascii="ITC Avant Garde" w:hAnsi="ITC Avant Garde"/>
          <w:lang w:eastAsia="es-MX"/>
        </w:rPr>
        <w:t xml:space="preserve"> la Visita de Inspección-Verificación</w:t>
      </w:r>
      <w:r w:rsidRPr="004E27D5">
        <w:rPr>
          <w:rFonts w:ascii="ITC Avant Garde" w:eastAsia="Times New Roman" w:hAnsi="ITC Avant Garde"/>
          <w:bCs/>
          <w:color w:val="000000"/>
          <w:lang w:eastAsia="es-MX"/>
        </w:rPr>
        <w:t xml:space="preserve"> se acreditó la prestación de</w:t>
      </w:r>
      <w:r w:rsidR="00C961A3" w:rsidRPr="004E27D5">
        <w:rPr>
          <w:rFonts w:ascii="ITC Avant Garde" w:eastAsia="Times New Roman" w:hAnsi="ITC Avant Garde"/>
          <w:bCs/>
          <w:color w:val="000000"/>
          <w:lang w:eastAsia="es-MX"/>
        </w:rPr>
        <w:t>l</w:t>
      </w:r>
      <w:r w:rsidRPr="004E27D5">
        <w:rPr>
          <w:rFonts w:ascii="ITC Avant Garde" w:eastAsia="Times New Roman" w:hAnsi="ITC Avant Garde"/>
          <w:bCs/>
          <w:color w:val="000000"/>
          <w:lang w:eastAsia="es-MX"/>
        </w:rPr>
        <w:t xml:space="preserve"> servicio público de radiodifusión a través del uso de la frecuencia</w:t>
      </w:r>
      <w:r w:rsidRPr="004E27D5">
        <w:rPr>
          <w:rFonts w:ascii="ITC Avant Garde" w:eastAsia="Times New Roman" w:hAnsi="ITC Avant Garde"/>
          <w:b/>
          <w:bCs/>
          <w:color w:val="000000"/>
          <w:lang w:eastAsia="es-MX"/>
        </w:rPr>
        <w:t xml:space="preserve"> </w:t>
      </w:r>
      <w:r w:rsidR="00C9435A" w:rsidRPr="004E27D5">
        <w:rPr>
          <w:rFonts w:ascii="ITC Avant Garde" w:hAnsi="ITC Avant Garde"/>
          <w:b/>
          <w:caps/>
        </w:rPr>
        <w:t>106.1</w:t>
      </w:r>
      <w:r w:rsidR="002C1AD8" w:rsidRPr="004E27D5">
        <w:rPr>
          <w:rFonts w:ascii="ITC Avant Garde" w:hAnsi="ITC Avant Garde"/>
          <w:b/>
        </w:rPr>
        <w:t xml:space="preserve"> MHz</w:t>
      </w:r>
      <w:r w:rsidR="004F3596" w:rsidRPr="004E27D5">
        <w:rPr>
          <w:rFonts w:ascii="ITC Avant Garde" w:hAnsi="ITC Avant Garde"/>
          <w:bCs/>
        </w:rPr>
        <w:t xml:space="preserve"> </w:t>
      </w:r>
      <w:r w:rsidR="00C961A3" w:rsidRPr="004E27D5">
        <w:rPr>
          <w:rFonts w:ascii="ITC Avant Garde" w:hAnsi="ITC Avant Garde"/>
          <w:bCs/>
        </w:rPr>
        <w:t>con los siguientes equipos instalados y en operación</w:t>
      </w:r>
      <w:r w:rsidR="00D05BC4" w:rsidRPr="004E27D5">
        <w:rPr>
          <w:rFonts w:ascii="ITC Avant Garde" w:hAnsi="ITC Avant Garde"/>
          <w:bCs/>
        </w:rPr>
        <w:t xml:space="preserve"> </w:t>
      </w:r>
      <w:r w:rsidR="00E75122" w:rsidRPr="004E27D5">
        <w:rPr>
          <w:rFonts w:ascii="ITC Avant Garde" w:eastAsia="Times New Roman" w:hAnsi="ITC Avant Garde"/>
          <w:b/>
          <w:lang w:eastAsia="es-ES"/>
        </w:rPr>
        <w:t>i)</w:t>
      </w:r>
      <w:r w:rsidR="00E75122" w:rsidRPr="004E27D5">
        <w:rPr>
          <w:rFonts w:ascii="ITC Avant Garde" w:eastAsia="Times New Roman" w:hAnsi="ITC Avant Garde"/>
          <w:lang w:eastAsia="es-ES"/>
        </w:rPr>
        <w:t xml:space="preserve"> </w:t>
      </w:r>
      <w:r w:rsidR="00E75122" w:rsidRPr="004E27D5">
        <w:rPr>
          <w:rFonts w:ascii="ITC Avant Garde" w:eastAsia="Times New Roman" w:hAnsi="ITC Avant Garde"/>
          <w:bCs/>
          <w:color w:val="000000"/>
          <w:lang w:eastAsia="es-MX"/>
        </w:rPr>
        <w:t>dos</w:t>
      </w:r>
      <w:r w:rsidR="00E75122" w:rsidRPr="004E27D5">
        <w:rPr>
          <w:rFonts w:ascii="ITC Avant Garde" w:hAnsi="ITC Avant Garde"/>
        </w:rPr>
        <w:t xml:space="preserve"> antenas omnidireccional </w:t>
      </w:r>
      <w:r w:rsidR="005C774F" w:rsidRPr="004E27D5">
        <w:rPr>
          <w:rFonts w:ascii="ITC Avant Garde" w:hAnsi="ITC Avant Garde"/>
        </w:rPr>
        <w:t xml:space="preserve">tipo “T” </w:t>
      </w:r>
      <w:r w:rsidR="00E75122" w:rsidRPr="004E27D5">
        <w:rPr>
          <w:rFonts w:ascii="ITC Avant Garde" w:hAnsi="ITC Avant Garde"/>
        </w:rPr>
        <w:t xml:space="preserve">sin marca, sin modelo y sin número de serie;  </w:t>
      </w:r>
      <w:r w:rsidR="00E75122" w:rsidRPr="004E27D5">
        <w:rPr>
          <w:rFonts w:ascii="ITC Avant Garde" w:hAnsi="ITC Avant Garde"/>
          <w:b/>
        </w:rPr>
        <w:t>ii)</w:t>
      </w:r>
      <w:r w:rsidR="00E75122" w:rsidRPr="004E27D5">
        <w:rPr>
          <w:rFonts w:ascii="ITC Avant Garde" w:hAnsi="ITC Avant Garde"/>
        </w:rPr>
        <w:t xml:space="preserve"> un transmisor, sin marca, sin modelo y sin número de serie; </w:t>
      </w:r>
      <w:r w:rsidR="00E75122" w:rsidRPr="004E27D5">
        <w:rPr>
          <w:rFonts w:ascii="ITC Avant Garde" w:hAnsi="ITC Avant Garde"/>
          <w:b/>
        </w:rPr>
        <w:t>iii)</w:t>
      </w:r>
      <w:r w:rsidR="00E75122" w:rsidRPr="004E27D5">
        <w:rPr>
          <w:rFonts w:ascii="ITC Avant Garde" w:hAnsi="ITC Avant Garde"/>
        </w:rPr>
        <w:t xml:space="preserve"> una consola de audio sin marca, sin modelo y sin número de serie; y </w:t>
      </w:r>
      <w:r w:rsidR="00E75122" w:rsidRPr="004E27D5">
        <w:rPr>
          <w:rFonts w:ascii="ITC Avant Garde" w:hAnsi="ITC Avant Garde"/>
          <w:b/>
        </w:rPr>
        <w:t xml:space="preserve">iv) </w:t>
      </w:r>
      <w:r w:rsidR="00E75122" w:rsidRPr="004E27D5">
        <w:rPr>
          <w:rFonts w:ascii="ITC Avant Garde" w:hAnsi="ITC Avant Garde"/>
        </w:rPr>
        <w:t>un CPU Armado sin marca, sin modelo y sin número de serie</w:t>
      </w:r>
      <w:r w:rsidR="00BD5623" w:rsidRPr="004E27D5">
        <w:rPr>
          <w:rFonts w:ascii="ITC Avant Garde" w:hAnsi="ITC Avant Garde"/>
        </w:rPr>
        <w:t>;</w:t>
      </w:r>
      <w:r w:rsidR="00E77A11" w:rsidRPr="004E27D5">
        <w:rPr>
          <w:rFonts w:ascii="ITC Avant Garde" w:hAnsi="ITC Avant Garde"/>
        </w:rPr>
        <w:t xml:space="preserve"> </w:t>
      </w:r>
      <w:r w:rsidR="00275014" w:rsidRPr="004E27D5">
        <w:rPr>
          <w:rFonts w:ascii="ITC Avant Garde" w:hAnsi="ITC Avant Garde"/>
        </w:rPr>
        <w:t xml:space="preserve">asimismo, </w:t>
      </w:r>
      <w:r w:rsidR="0069558F" w:rsidRPr="004E27D5">
        <w:rPr>
          <w:rFonts w:ascii="ITC Avant Garde" w:hAnsi="ITC Avant Garde"/>
        </w:rPr>
        <w:t xml:space="preserve">el </w:t>
      </w:r>
      <w:r w:rsidR="00A01799" w:rsidRPr="004E27D5">
        <w:rPr>
          <w:rFonts w:ascii="ITC Avant Garde" w:hAnsi="ITC Avant Garde"/>
          <w:b/>
        </w:rPr>
        <w:t>PRESUNTO RESPONSABLE</w:t>
      </w:r>
      <w:r w:rsidR="00A01799" w:rsidRPr="004E27D5">
        <w:rPr>
          <w:rFonts w:ascii="ITC Avant Garde" w:eastAsia="Times New Roman" w:hAnsi="ITC Avant Garde"/>
          <w:lang w:eastAsia="es-ES"/>
        </w:rPr>
        <w:t xml:space="preserve"> </w:t>
      </w:r>
      <w:r w:rsidRPr="004E27D5">
        <w:rPr>
          <w:rFonts w:ascii="ITC Avant Garde" w:eastAsia="Times New Roman" w:hAnsi="ITC Avant Garde"/>
          <w:lang w:eastAsia="es-ES"/>
        </w:rPr>
        <w:t>no</w:t>
      </w:r>
      <w:r w:rsidR="0069558F" w:rsidRPr="004E27D5">
        <w:rPr>
          <w:rFonts w:ascii="ITC Avant Garde" w:eastAsia="Times New Roman" w:hAnsi="ITC Avant Garde"/>
          <w:lang w:eastAsia="es-ES"/>
        </w:rPr>
        <w:t xml:space="preserve"> </w:t>
      </w:r>
      <w:r w:rsidRPr="004E27D5">
        <w:rPr>
          <w:rFonts w:ascii="ITC Avant Garde" w:eastAsia="Times New Roman" w:hAnsi="ITC Avant Garde"/>
          <w:lang w:eastAsia="es-ES"/>
        </w:rPr>
        <w:t>acreditó contar con concesión o permiso</w:t>
      </w:r>
      <w:r w:rsidR="00A03776" w:rsidRPr="004E27D5">
        <w:rPr>
          <w:rFonts w:ascii="ITC Avant Garde" w:eastAsia="Times New Roman" w:hAnsi="ITC Avant Garde"/>
          <w:lang w:eastAsia="es-ES"/>
        </w:rPr>
        <w:t xml:space="preserve"> </w:t>
      </w:r>
      <w:r w:rsidR="0069558F" w:rsidRPr="004E27D5">
        <w:rPr>
          <w:rFonts w:ascii="ITC Avant Garde" w:eastAsia="Times New Roman" w:hAnsi="ITC Avant Garde"/>
          <w:lang w:eastAsia="es-ES"/>
        </w:rPr>
        <w:t xml:space="preserve">para </w:t>
      </w:r>
      <w:r w:rsidR="007603C6" w:rsidRPr="004E27D5">
        <w:rPr>
          <w:rFonts w:ascii="ITC Avant Garde" w:eastAsia="Times New Roman" w:hAnsi="ITC Avant Garde"/>
          <w:lang w:eastAsia="es-ES"/>
        </w:rPr>
        <w:t>la prestación de</w:t>
      </w:r>
      <w:r w:rsidR="00925D69" w:rsidRPr="004E27D5">
        <w:rPr>
          <w:rFonts w:ascii="ITC Avant Garde" w:eastAsia="Times New Roman" w:hAnsi="ITC Avant Garde"/>
          <w:lang w:eastAsia="es-ES"/>
        </w:rPr>
        <w:t>l</w:t>
      </w:r>
      <w:r w:rsidR="007603C6" w:rsidRPr="004E27D5">
        <w:rPr>
          <w:rFonts w:ascii="ITC Avant Garde" w:eastAsia="Times New Roman" w:hAnsi="ITC Avant Garde"/>
          <w:lang w:eastAsia="es-ES"/>
        </w:rPr>
        <w:t xml:space="preserve"> servicio público referido</w:t>
      </w:r>
      <w:r w:rsidR="00BD5623" w:rsidRPr="004E27D5">
        <w:rPr>
          <w:rFonts w:ascii="ITC Avant Garde" w:eastAsia="Times New Roman" w:hAnsi="ITC Avant Garde"/>
          <w:bCs/>
          <w:color w:val="000000"/>
          <w:lang w:eastAsia="es-MX"/>
        </w:rPr>
        <w:t>,</w:t>
      </w:r>
      <w:r w:rsidRPr="004E27D5">
        <w:rPr>
          <w:rFonts w:ascii="ITC Avant Garde" w:eastAsia="Times New Roman" w:hAnsi="ITC Avant Garde"/>
          <w:lang w:eastAsia="es-ES"/>
        </w:rPr>
        <w:t xml:space="preserve"> por tanto, se considera que</w:t>
      </w:r>
      <w:r w:rsidRPr="004E27D5">
        <w:rPr>
          <w:rFonts w:ascii="ITC Avant Garde" w:hAnsi="ITC Avant Garde"/>
          <w:b/>
        </w:rPr>
        <w:t xml:space="preserve"> </w:t>
      </w:r>
      <w:r w:rsidRPr="004E27D5">
        <w:rPr>
          <w:rFonts w:ascii="ITC Avant Garde" w:hAnsi="ITC Avant Garde"/>
        </w:rPr>
        <w:t xml:space="preserve">es </w:t>
      </w:r>
      <w:r w:rsidRPr="004E27D5">
        <w:rPr>
          <w:rFonts w:ascii="ITC Avant Garde" w:eastAsia="Times New Roman" w:hAnsi="ITC Avant Garde"/>
          <w:bCs/>
          <w:color w:val="000000"/>
          <w:lang w:eastAsia="es-MX"/>
        </w:rPr>
        <w:t xml:space="preserve">responsable de la violación a lo establecido en el artículo </w:t>
      </w:r>
      <w:r w:rsidRPr="004E27D5">
        <w:rPr>
          <w:rFonts w:ascii="ITC Avant Garde" w:hAnsi="ITC Avant Garde"/>
        </w:rPr>
        <w:t>66</w:t>
      </w:r>
      <w:r w:rsidR="002C6FA8" w:rsidRPr="004E27D5">
        <w:rPr>
          <w:rFonts w:ascii="ITC Avant Garde" w:hAnsi="ITC Avant Garde"/>
        </w:rPr>
        <w:t xml:space="preserve"> </w:t>
      </w:r>
      <w:r w:rsidR="002C6FA8" w:rsidRPr="004E27D5">
        <w:rPr>
          <w:rFonts w:ascii="ITC Avant Garde" w:hAnsi="ITC Avant Garde"/>
          <w:bCs/>
        </w:rPr>
        <w:t>en relación con el 75,</w:t>
      </w:r>
      <w:r w:rsidRPr="004E27D5">
        <w:rPr>
          <w:rFonts w:ascii="ITC Avant Garde" w:hAnsi="ITC Avant Garde"/>
        </w:rPr>
        <w:t xml:space="preserve"> y </w:t>
      </w:r>
      <w:r w:rsidR="00925D69" w:rsidRPr="004E27D5">
        <w:rPr>
          <w:rFonts w:ascii="ITC Avant Garde" w:hAnsi="ITC Avant Garde"/>
        </w:rPr>
        <w:t xml:space="preserve">dicha conducta </w:t>
      </w:r>
      <w:r w:rsidRPr="004E27D5">
        <w:rPr>
          <w:rFonts w:ascii="ITC Avant Garde" w:hAnsi="ITC Avant Garde"/>
        </w:rPr>
        <w:t xml:space="preserve">es sancionable en términos de la fracción I del inciso E) del artículo 298 de la </w:t>
      </w:r>
      <w:r w:rsidR="006310EA" w:rsidRPr="004E27D5">
        <w:rPr>
          <w:rFonts w:ascii="ITC Avant Garde" w:eastAsia="Times New Roman" w:hAnsi="ITC Avant Garde"/>
          <w:b/>
          <w:bCs/>
          <w:color w:val="000000"/>
          <w:lang w:eastAsia="es-MX"/>
        </w:rPr>
        <w:t>LFTR</w:t>
      </w:r>
      <w:r w:rsidR="004F3596" w:rsidRPr="004E27D5">
        <w:rPr>
          <w:rFonts w:ascii="ITC Avant Garde" w:eastAsia="Times New Roman" w:hAnsi="ITC Avant Garde"/>
          <w:bCs/>
          <w:color w:val="000000"/>
          <w:lang w:eastAsia="es-MX"/>
        </w:rPr>
        <w:t>.</w:t>
      </w:r>
      <w:r w:rsidR="00925D69" w:rsidRPr="004E27D5">
        <w:rPr>
          <w:rFonts w:ascii="ITC Avant Garde" w:eastAsia="Times New Roman" w:hAnsi="ITC Avant Garde"/>
          <w:bCs/>
          <w:color w:val="000000"/>
          <w:lang w:eastAsia="es-MX"/>
        </w:rPr>
        <w:t xml:space="preserve"> Asimismo, se actualiza la hipótesis normativa prevista en el artículo 305 de dicho ordenamiento y lo procedente es declarar la pérdida a favor de la Nación de los bienes </w:t>
      </w:r>
      <w:r w:rsidR="00BD5623" w:rsidRPr="004E27D5">
        <w:rPr>
          <w:rFonts w:ascii="ITC Avant Garde" w:eastAsia="Times New Roman" w:hAnsi="ITC Avant Garde"/>
          <w:bCs/>
          <w:color w:val="000000"/>
          <w:lang w:eastAsia="es-MX"/>
        </w:rPr>
        <w:t xml:space="preserve">y equipos </w:t>
      </w:r>
      <w:r w:rsidR="00925D69" w:rsidRPr="004E27D5">
        <w:rPr>
          <w:rFonts w:ascii="ITC Avant Garde" w:eastAsia="Times New Roman" w:hAnsi="ITC Avant Garde"/>
          <w:bCs/>
          <w:color w:val="000000"/>
          <w:lang w:eastAsia="es-MX"/>
        </w:rPr>
        <w:t xml:space="preserve">empleados en la comisión de la infracción. </w:t>
      </w:r>
    </w:p>
    <w:p w:rsidR="009E7D7C" w:rsidRPr="004E27D5" w:rsidRDefault="00925D69" w:rsidP="00925D69">
      <w:pPr>
        <w:pStyle w:val="Textoindependiente"/>
        <w:tabs>
          <w:tab w:val="left" w:pos="851"/>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En efecto, </w:t>
      </w:r>
      <w:r w:rsidR="004F3596" w:rsidRPr="004E27D5">
        <w:rPr>
          <w:rFonts w:ascii="ITC Avant Garde" w:eastAsia="Times New Roman" w:hAnsi="ITC Avant Garde"/>
          <w:bCs/>
          <w:color w:val="000000"/>
          <w:lang w:eastAsia="es-MX"/>
        </w:rPr>
        <w:t xml:space="preserve">el artículo 298 inciso E), fracción I de la </w:t>
      </w:r>
      <w:r w:rsidR="006310EA" w:rsidRPr="004E27D5">
        <w:rPr>
          <w:rFonts w:ascii="ITC Avant Garde" w:eastAsia="Times New Roman" w:hAnsi="ITC Avant Garde"/>
          <w:b/>
          <w:bCs/>
          <w:color w:val="000000"/>
          <w:lang w:eastAsia="es-MX"/>
        </w:rPr>
        <w:t>LFTR</w:t>
      </w:r>
      <w:r w:rsidR="004F3596" w:rsidRPr="004E27D5">
        <w:rPr>
          <w:rFonts w:ascii="ITC Avant Garde" w:eastAsia="Times New Roman" w:hAnsi="ITC Avant Garde"/>
          <w:bCs/>
          <w:color w:val="000000"/>
          <w:lang w:eastAsia="es-MX"/>
        </w:rPr>
        <w:t>, establece lo siguiente:</w:t>
      </w:r>
    </w:p>
    <w:p w:rsidR="004F3596" w:rsidRPr="004E27D5" w:rsidRDefault="004F3596" w:rsidP="007B6EA5">
      <w:pPr>
        <w:pStyle w:val="Textoindependiente"/>
        <w:tabs>
          <w:tab w:val="left" w:pos="8222"/>
        </w:tabs>
        <w:spacing w:after="0" w:line="240" w:lineRule="auto"/>
        <w:ind w:left="851" w:right="616"/>
        <w:jc w:val="both"/>
        <w:rPr>
          <w:rFonts w:ascii="ITC Avant Garde" w:hAnsi="ITC Avant Garde"/>
          <w:color w:val="000000"/>
          <w:sz w:val="20"/>
          <w:szCs w:val="20"/>
        </w:rPr>
      </w:pPr>
      <w:r w:rsidRPr="004E27D5">
        <w:rPr>
          <w:rFonts w:ascii="ITC Avant Garde" w:hAnsi="ITC Avant Garde"/>
          <w:color w:val="000000"/>
          <w:sz w:val="20"/>
          <w:szCs w:val="20"/>
        </w:rPr>
        <w:t xml:space="preserve">“Artículo 298. Las infracciones a lo dispuesto en esta Ley y a las disposiciones que deriven de ella, se sancionarán por el Instituto de conformidad con lo siguiente: </w:t>
      </w:r>
    </w:p>
    <w:p w:rsidR="004F3596" w:rsidRPr="004E27D5" w:rsidRDefault="004F3596" w:rsidP="007B6EA5">
      <w:pPr>
        <w:pStyle w:val="Textoindependiente"/>
        <w:tabs>
          <w:tab w:val="left" w:pos="8222"/>
        </w:tabs>
        <w:spacing w:after="0" w:line="240" w:lineRule="auto"/>
        <w:ind w:left="851" w:right="616"/>
        <w:jc w:val="both"/>
        <w:rPr>
          <w:rFonts w:ascii="ITC Avant Garde" w:hAnsi="ITC Avant Garde"/>
          <w:sz w:val="20"/>
        </w:rPr>
      </w:pPr>
      <w:r w:rsidRPr="004E27D5">
        <w:rPr>
          <w:rFonts w:ascii="ITC Avant Garde" w:hAnsi="ITC Avant Garde"/>
          <w:sz w:val="20"/>
        </w:rPr>
        <w:t>[…]</w:t>
      </w:r>
    </w:p>
    <w:p w:rsidR="004F3596" w:rsidRPr="004E27D5" w:rsidRDefault="004F3596" w:rsidP="007B6EA5">
      <w:pPr>
        <w:pStyle w:val="Textoindependiente"/>
        <w:tabs>
          <w:tab w:val="left" w:pos="8222"/>
        </w:tabs>
        <w:spacing w:after="0" w:line="240" w:lineRule="auto"/>
        <w:ind w:left="851" w:right="616"/>
        <w:jc w:val="both"/>
        <w:rPr>
          <w:rFonts w:ascii="ITC Avant Garde" w:hAnsi="ITC Avant Garde"/>
          <w:color w:val="000000"/>
          <w:sz w:val="20"/>
          <w:szCs w:val="20"/>
        </w:rPr>
      </w:pPr>
      <w:r w:rsidRPr="004E27D5">
        <w:rPr>
          <w:rFonts w:ascii="ITC Avant Garde" w:hAnsi="ITC Avant Garde"/>
          <w:color w:val="000000"/>
          <w:sz w:val="20"/>
          <w:szCs w:val="20"/>
        </w:rPr>
        <w:t xml:space="preserve">E. Con multa por el equivalente de </w:t>
      </w:r>
      <w:r w:rsidRPr="004E27D5">
        <w:rPr>
          <w:rFonts w:ascii="ITC Avant Garde" w:hAnsi="ITC Avant Garde"/>
          <w:color w:val="000000"/>
          <w:sz w:val="20"/>
        </w:rPr>
        <w:t>6.01% hasta 10% de los ingresos de la persona infractora que</w:t>
      </w:r>
      <w:r w:rsidRPr="004E27D5">
        <w:rPr>
          <w:rFonts w:ascii="ITC Avant Garde" w:hAnsi="ITC Avant Garde"/>
          <w:color w:val="000000"/>
          <w:sz w:val="20"/>
          <w:szCs w:val="20"/>
        </w:rPr>
        <w:t>:</w:t>
      </w:r>
    </w:p>
    <w:p w:rsidR="004F3596" w:rsidRPr="004E27D5" w:rsidRDefault="004F3596" w:rsidP="007B6EA5">
      <w:pPr>
        <w:pStyle w:val="Textoindependiente"/>
        <w:tabs>
          <w:tab w:val="left" w:pos="8222"/>
        </w:tabs>
        <w:spacing w:after="0" w:line="240" w:lineRule="auto"/>
        <w:ind w:left="851" w:right="616"/>
        <w:jc w:val="both"/>
        <w:rPr>
          <w:rFonts w:ascii="ITC Avant Garde" w:hAnsi="ITC Avant Garde"/>
          <w:sz w:val="20"/>
        </w:rPr>
      </w:pPr>
      <w:r w:rsidRPr="004E27D5">
        <w:rPr>
          <w:rFonts w:ascii="ITC Avant Garde" w:hAnsi="ITC Avant Garde"/>
          <w:sz w:val="20"/>
        </w:rPr>
        <w:t>[…]</w:t>
      </w:r>
    </w:p>
    <w:p w:rsidR="009E7D7C" w:rsidRPr="004E27D5" w:rsidRDefault="004F3596" w:rsidP="004E27D5">
      <w:pPr>
        <w:pStyle w:val="Textoindependiente"/>
        <w:tabs>
          <w:tab w:val="left" w:pos="8222"/>
        </w:tabs>
        <w:spacing w:line="240" w:lineRule="auto"/>
        <w:ind w:left="851" w:right="616"/>
        <w:jc w:val="both"/>
        <w:rPr>
          <w:rFonts w:ascii="ITC Avant Garde" w:eastAsia="Times New Roman" w:hAnsi="ITC Avant Garde"/>
          <w:bCs/>
          <w:color w:val="000000"/>
          <w:sz w:val="20"/>
          <w:szCs w:val="20"/>
          <w:lang w:eastAsia="es-MX"/>
        </w:rPr>
      </w:pPr>
      <w:r w:rsidRPr="004E27D5">
        <w:rPr>
          <w:rFonts w:ascii="ITC Avant Garde" w:hAnsi="ITC Avant Garde"/>
          <w:color w:val="000000"/>
          <w:sz w:val="20"/>
          <w:szCs w:val="20"/>
        </w:rPr>
        <w:t>I. Preste servicios de telecomunicaciones o radiodifusión sin contar con concesión o autorización, o”</w:t>
      </w:r>
    </w:p>
    <w:p w:rsidR="009E7D7C" w:rsidRPr="004E27D5" w:rsidRDefault="00BE4996" w:rsidP="00A15149">
      <w:pPr>
        <w:spacing w:after="0" w:line="360" w:lineRule="auto"/>
        <w:jc w:val="both"/>
        <w:rPr>
          <w:rFonts w:ascii="ITC Avant Garde" w:hAnsi="ITC Avant Garde"/>
        </w:rPr>
      </w:pPr>
      <w:r w:rsidRPr="004E27D5">
        <w:rPr>
          <w:rFonts w:ascii="ITC Avant Garde" w:eastAsia="Times New Roman" w:hAnsi="ITC Avant Garde"/>
          <w:bCs/>
          <w:color w:val="000000"/>
          <w:lang w:eastAsia="es-MX"/>
        </w:rPr>
        <w:t>En consecuencia</w:t>
      </w:r>
      <w:r w:rsidR="007603C6" w:rsidRPr="004E27D5">
        <w:rPr>
          <w:rFonts w:ascii="ITC Avant Garde" w:eastAsia="Times New Roman" w:hAnsi="ITC Avant Garde"/>
          <w:bCs/>
          <w:color w:val="000000"/>
          <w:lang w:eastAsia="es-MX"/>
        </w:rPr>
        <w:t>,</w:t>
      </w:r>
      <w:r w:rsidRPr="004E27D5">
        <w:rPr>
          <w:rFonts w:ascii="ITC Avant Garde" w:eastAsia="Times New Roman" w:hAnsi="ITC Avant Garde"/>
          <w:bCs/>
          <w:color w:val="000000"/>
          <w:lang w:eastAsia="es-MX"/>
        </w:rPr>
        <w:t xml:space="preserve"> y considerando que</w:t>
      </w:r>
      <w:r w:rsidR="00F07EED" w:rsidRPr="004E27D5">
        <w:rPr>
          <w:rFonts w:ascii="ITC Avant Garde" w:eastAsia="Times New Roman" w:hAnsi="ITC Avant Garde"/>
          <w:bCs/>
          <w:color w:val="000000"/>
          <w:lang w:eastAsia="es-MX"/>
        </w:rPr>
        <w:t xml:space="preserve"> </w:t>
      </w:r>
      <w:r w:rsidR="0069558F" w:rsidRPr="004E27D5">
        <w:rPr>
          <w:rFonts w:ascii="ITC Avant Garde" w:eastAsia="Times New Roman" w:hAnsi="ITC Avant Garde"/>
          <w:bCs/>
          <w:color w:val="000000"/>
          <w:lang w:eastAsia="es-MX"/>
        </w:rPr>
        <w:t xml:space="preserve">el </w:t>
      </w:r>
      <w:r w:rsidR="00A01799" w:rsidRPr="004E27D5">
        <w:rPr>
          <w:rFonts w:ascii="ITC Avant Garde" w:hAnsi="ITC Avant Garde"/>
          <w:b/>
        </w:rPr>
        <w:t>PRESUNTO RESPONSABLE</w:t>
      </w:r>
      <w:r w:rsidR="00A01799" w:rsidRPr="004E27D5">
        <w:rPr>
          <w:rFonts w:ascii="ITC Avant Garde" w:eastAsia="Times New Roman" w:hAnsi="ITC Avant Garde"/>
          <w:bCs/>
          <w:color w:val="000000"/>
          <w:lang w:eastAsia="es-MX"/>
        </w:rPr>
        <w:t xml:space="preserve"> </w:t>
      </w:r>
      <w:r w:rsidRPr="004E27D5">
        <w:rPr>
          <w:rFonts w:ascii="ITC Avant Garde" w:eastAsia="Times New Roman" w:hAnsi="ITC Avant Garde"/>
          <w:bCs/>
          <w:color w:val="000000"/>
          <w:lang w:eastAsia="es-MX"/>
        </w:rPr>
        <w:t>es responsable de la prestación del servicio de radiodifusión a través de</w:t>
      </w:r>
      <w:r w:rsidR="0079581D" w:rsidRPr="004E27D5">
        <w:rPr>
          <w:rFonts w:ascii="ITC Avant Garde" w:eastAsia="Times New Roman" w:hAnsi="ITC Avant Garde"/>
          <w:bCs/>
          <w:color w:val="000000"/>
          <w:lang w:eastAsia="es-MX"/>
        </w:rPr>
        <w:t>l uso de</w:t>
      </w:r>
      <w:r w:rsidRPr="004E27D5">
        <w:rPr>
          <w:rFonts w:ascii="ITC Avant Garde" w:eastAsia="Times New Roman" w:hAnsi="ITC Avant Garde"/>
          <w:bCs/>
          <w:color w:val="000000"/>
          <w:lang w:eastAsia="es-MX"/>
        </w:rPr>
        <w:t xml:space="preserve"> </w:t>
      </w:r>
      <w:r w:rsidRPr="004E27D5">
        <w:rPr>
          <w:rFonts w:ascii="ITC Avant Garde" w:eastAsia="Times New Roman" w:hAnsi="ITC Avant Garde"/>
          <w:lang w:eastAsia="es-ES"/>
        </w:rPr>
        <w:t>la frecuencia</w:t>
      </w:r>
      <w:r w:rsidR="004F3596" w:rsidRPr="004E27D5">
        <w:rPr>
          <w:rFonts w:ascii="ITC Avant Garde" w:eastAsia="Times New Roman" w:hAnsi="ITC Avant Garde"/>
          <w:lang w:eastAsia="es-ES"/>
        </w:rPr>
        <w:t xml:space="preserve"> </w:t>
      </w:r>
      <w:r w:rsidR="00C9435A" w:rsidRPr="004E27D5">
        <w:rPr>
          <w:rFonts w:ascii="ITC Avant Garde" w:hAnsi="ITC Avant Garde"/>
          <w:b/>
          <w:caps/>
        </w:rPr>
        <w:t>106.1</w:t>
      </w:r>
      <w:r w:rsidR="002C1AD8" w:rsidRPr="004E27D5">
        <w:rPr>
          <w:rFonts w:ascii="ITC Avant Garde" w:hAnsi="ITC Avant Garde"/>
          <w:b/>
        </w:rPr>
        <w:t xml:space="preserve"> MHz</w:t>
      </w:r>
      <w:r w:rsidRPr="004E27D5">
        <w:rPr>
          <w:rFonts w:ascii="ITC Avant Garde" w:eastAsia="Times New Roman" w:hAnsi="ITC Avant Garde"/>
          <w:b/>
          <w:bCs/>
          <w:color w:val="000000"/>
          <w:lang w:eastAsia="es-MX"/>
        </w:rPr>
        <w:t xml:space="preserve">, </w:t>
      </w:r>
      <w:r w:rsidRPr="004E27D5">
        <w:rPr>
          <w:rFonts w:ascii="ITC Avant Garde" w:eastAsia="Times New Roman" w:hAnsi="ITC Avant Garde"/>
          <w:lang w:eastAsia="es-ES"/>
        </w:rPr>
        <w:t xml:space="preserve">sin contar con concesión, permiso o autorización correspondiente que lo habilite para tal </w:t>
      </w:r>
      <w:r w:rsidRPr="004E27D5">
        <w:rPr>
          <w:rFonts w:ascii="ITC Avant Garde" w:eastAsia="Times New Roman" w:hAnsi="ITC Avant Garde"/>
          <w:lang w:eastAsia="es-ES"/>
        </w:rPr>
        <w:lastRenderedPageBreak/>
        <w:t>fin, lo procedente es imponer la sanción que corresponda en términos del citado artículo 298</w:t>
      </w:r>
      <w:r w:rsidR="007603C6" w:rsidRPr="004E27D5">
        <w:rPr>
          <w:rFonts w:ascii="ITC Avant Garde" w:eastAsia="Times New Roman" w:hAnsi="ITC Avant Garde"/>
          <w:lang w:eastAsia="es-ES"/>
        </w:rPr>
        <w:t>,</w:t>
      </w:r>
      <w:r w:rsidRPr="004E27D5">
        <w:rPr>
          <w:rFonts w:ascii="ITC Avant Garde" w:eastAsia="Times New Roman" w:hAnsi="ITC Avant Garde"/>
          <w:lang w:eastAsia="es-ES"/>
        </w:rPr>
        <w:t xml:space="preserve"> inciso E)</w:t>
      </w:r>
      <w:r w:rsidR="007603C6" w:rsidRPr="004E27D5">
        <w:rPr>
          <w:rFonts w:ascii="ITC Avant Garde" w:eastAsia="Times New Roman" w:hAnsi="ITC Avant Garde"/>
          <w:lang w:eastAsia="es-ES"/>
        </w:rPr>
        <w:t>,</w:t>
      </w:r>
      <w:r w:rsidRPr="004E27D5">
        <w:rPr>
          <w:rFonts w:ascii="ITC Avant Garde" w:eastAsia="Times New Roman" w:hAnsi="ITC Avant Garde"/>
          <w:lang w:eastAsia="es-ES"/>
        </w:rPr>
        <w:t xml:space="preserve"> fracción I de la </w:t>
      </w:r>
      <w:r w:rsidR="006310EA" w:rsidRPr="004E27D5">
        <w:rPr>
          <w:rFonts w:ascii="ITC Avant Garde" w:eastAsia="Times New Roman" w:hAnsi="ITC Avant Garde"/>
          <w:b/>
          <w:lang w:eastAsia="es-ES"/>
        </w:rPr>
        <w:t>LFTR</w:t>
      </w:r>
      <w:r w:rsidR="00C70B60" w:rsidRPr="004E27D5">
        <w:rPr>
          <w:rFonts w:ascii="ITC Avant Garde" w:eastAsia="Times New Roman" w:hAnsi="ITC Avant Garde"/>
          <w:b/>
          <w:lang w:eastAsia="es-ES"/>
        </w:rPr>
        <w:t xml:space="preserve">, </w:t>
      </w:r>
      <w:r w:rsidR="00C70B60" w:rsidRPr="004E27D5">
        <w:rPr>
          <w:rFonts w:ascii="ITC Avant Garde" w:eastAsia="Times New Roman" w:hAnsi="ITC Avant Garde"/>
          <w:lang w:eastAsia="es-ES"/>
        </w:rPr>
        <w:t>asimismo,</w:t>
      </w:r>
      <w:r w:rsidR="00C70B60" w:rsidRPr="004E27D5">
        <w:rPr>
          <w:rFonts w:ascii="ITC Avant Garde" w:eastAsia="Times New Roman" w:hAnsi="ITC Avant Garde"/>
          <w:b/>
          <w:lang w:eastAsia="es-ES"/>
        </w:rPr>
        <w:t xml:space="preserve"> </w:t>
      </w:r>
      <w:r w:rsidR="00000D41" w:rsidRPr="004E27D5">
        <w:rPr>
          <w:rFonts w:ascii="ITC Avant Garde" w:eastAsia="Times New Roman" w:hAnsi="ITC Avant Garde"/>
          <w:lang w:eastAsia="es-ES"/>
        </w:rPr>
        <w:t xml:space="preserve">conforme al citado artículo 305 procede </w:t>
      </w:r>
      <w:r w:rsidRPr="004E27D5">
        <w:rPr>
          <w:rFonts w:ascii="ITC Avant Garde" w:eastAsia="Times New Roman" w:hAnsi="ITC Avant Garde"/>
          <w:lang w:eastAsia="es-ES"/>
        </w:rPr>
        <w:t>declarar la pérdida de</w:t>
      </w:r>
      <w:r w:rsidR="0079581D" w:rsidRPr="004E27D5">
        <w:rPr>
          <w:rFonts w:ascii="ITC Avant Garde" w:eastAsia="Times New Roman" w:hAnsi="ITC Avant Garde"/>
          <w:lang w:eastAsia="es-ES"/>
        </w:rPr>
        <w:t xml:space="preserve"> </w:t>
      </w:r>
      <w:r w:rsidRPr="004E27D5">
        <w:rPr>
          <w:rFonts w:ascii="ITC Avant Garde" w:eastAsia="Times New Roman" w:hAnsi="ITC Avant Garde"/>
          <w:lang w:eastAsia="es-ES"/>
        </w:rPr>
        <w:t>l</w:t>
      </w:r>
      <w:r w:rsidR="0079581D" w:rsidRPr="004E27D5">
        <w:rPr>
          <w:rFonts w:ascii="ITC Avant Garde" w:eastAsia="Times New Roman" w:hAnsi="ITC Avant Garde"/>
          <w:lang w:eastAsia="es-ES"/>
        </w:rPr>
        <w:t>os</w:t>
      </w:r>
      <w:r w:rsidRPr="004E27D5">
        <w:rPr>
          <w:rFonts w:ascii="ITC Avant Garde" w:eastAsia="Times New Roman" w:hAnsi="ITC Avant Garde"/>
          <w:lang w:eastAsia="es-ES"/>
        </w:rPr>
        <w:t xml:space="preserve"> equipo</w:t>
      </w:r>
      <w:r w:rsidR="0079581D" w:rsidRPr="004E27D5">
        <w:rPr>
          <w:rFonts w:ascii="ITC Avant Garde" w:eastAsia="Times New Roman" w:hAnsi="ITC Avant Garde"/>
          <w:lang w:eastAsia="es-ES"/>
        </w:rPr>
        <w:t>s</w:t>
      </w:r>
      <w:r w:rsidRPr="004E27D5">
        <w:rPr>
          <w:rFonts w:ascii="ITC Avant Garde" w:eastAsia="Times New Roman" w:hAnsi="ITC Avant Garde"/>
          <w:lang w:eastAsia="es-ES"/>
        </w:rPr>
        <w:t xml:space="preserve"> detectado</w:t>
      </w:r>
      <w:r w:rsidR="0079581D" w:rsidRPr="004E27D5">
        <w:rPr>
          <w:rFonts w:ascii="ITC Avant Garde" w:eastAsia="Times New Roman" w:hAnsi="ITC Avant Garde"/>
          <w:lang w:eastAsia="es-ES"/>
        </w:rPr>
        <w:t>s</w:t>
      </w:r>
      <w:r w:rsidRPr="004E27D5">
        <w:rPr>
          <w:rFonts w:ascii="ITC Avant Garde" w:hAnsi="ITC Avant Garde"/>
        </w:rPr>
        <w:t xml:space="preserve"> durante la </w:t>
      </w:r>
      <w:r w:rsidRPr="004E27D5">
        <w:rPr>
          <w:rFonts w:ascii="ITC Avant Garde" w:hAnsi="ITC Avant Garde"/>
          <w:lang w:eastAsia="es-MX"/>
        </w:rPr>
        <w:t xml:space="preserve">visita de inspección-verificación, </w:t>
      </w:r>
      <w:r w:rsidRPr="004E27D5">
        <w:rPr>
          <w:rFonts w:ascii="ITC Avant Garde" w:hAnsi="ITC Avant Garde"/>
        </w:rPr>
        <w:t>consistente</w:t>
      </w:r>
      <w:r w:rsidR="0079581D" w:rsidRPr="004E27D5">
        <w:rPr>
          <w:rFonts w:ascii="ITC Avant Garde" w:hAnsi="ITC Avant Garde"/>
        </w:rPr>
        <w:t>s</w:t>
      </w:r>
      <w:r w:rsidRPr="004E27D5">
        <w:rPr>
          <w:rFonts w:ascii="ITC Avant Garde" w:hAnsi="ITC Avant Garde"/>
          <w:b/>
        </w:rPr>
        <w:t xml:space="preserve"> </w:t>
      </w:r>
      <w:r w:rsidRPr="004E27D5">
        <w:rPr>
          <w:rFonts w:ascii="ITC Avant Garde" w:hAnsi="ITC Avant Garde"/>
        </w:rPr>
        <w:t>en:</w:t>
      </w:r>
    </w:p>
    <w:p w:rsidR="0021546A" w:rsidRPr="004E27D5" w:rsidRDefault="0021546A" w:rsidP="0021546A">
      <w:pPr>
        <w:numPr>
          <w:ilvl w:val="0"/>
          <w:numId w:val="33"/>
        </w:numPr>
        <w:spacing w:after="0" w:line="360" w:lineRule="auto"/>
        <w:ind w:right="616"/>
        <w:jc w:val="both"/>
        <w:rPr>
          <w:rFonts w:ascii="ITC Avant Garde" w:eastAsia="Times New Roman" w:hAnsi="ITC Avant Garde"/>
          <w:lang w:eastAsia="es-ES"/>
        </w:rPr>
      </w:pPr>
      <w:r w:rsidRPr="004E27D5">
        <w:rPr>
          <w:rFonts w:ascii="ITC Avant Garde" w:eastAsia="Times New Roman" w:hAnsi="ITC Avant Garde"/>
          <w:bCs/>
          <w:color w:val="000000"/>
          <w:lang w:eastAsia="es-MX"/>
        </w:rPr>
        <w:t>dos</w:t>
      </w:r>
      <w:r w:rsidRPr="004E27D5">
        <w:rPr>
          <w:rFonts w:ascii="ITC Avant Garde" w:hAnsi="ITC Avant Garde"/>
        </w:rPr>
        <w:t xml:space="preserve"> antenas omnidireccional </w:t>
      </w:r>
      <w:r w:rsidR="005C774F" w:rsidRPr="004E27D5">
        <w:rPr>
          <w:rFonts w:ascii="ITC Avant Garde" w:hAnsi="ITC Avant Garde"/>
        </w:rPr>
        <w:t xml:space="preserve">tipo “T” </w:t>
      </w:r>
      <w:r w:rsidRPr="004E27D5">
        <w:rPr>
          <w:rFonts w:ascii="ITC Avant Garde" w:hAnsi="ITC Avant Garde"/>
        </w:rPr>
        <w:t xml:space="preserve">sin marca, sin modelo y sin número de serie;  </w:t>
      </w:r>
    </w:p>
    <w:p w:rsidR="0021546A" w:rsidRPr="004E27D5" w:rsidRDefault="0021546A" w:rsidP="0021546A">
      <w:pPr>
        <w:numPr>
          <w:ilvl w:val="0"/>
          <w:numId w:val="33"/>
        </w:numPr>
        <w:spacing w:after="0" w:line="360" w:lineRule="auto"/>
        <w:ind w:right="616"/>
        <w:jc w:val="both"/>
        <w:rPr>
          <w:rFonts w:ascii="ITC Avant Garde" w:eastAsia="Times New Roman" w:hAnsi="ITC Avant Garde"/>
          <w:lang w:eastAsia="es-ES"/>
        </w:rPr>
      </w:pPr>
      <w:r w:rsidRPr="004E27D5">
        <w:rPr>
          <w:rFonts w:ascii="ITC Avant Garde" w:hAnsi="ITC Avant Garde"/>
        </w:rPr>
        <w:t xml:space="preserve">un transmisor, sin marca, sin modelo y sin número de serie; </w:t>
      </w:r>
    </w:p>
    <w:p w:rsidR="0021546A" w:rsidRPr="004E27D5" w:rsidRDefault="0021546A" w:rsidP="0021546A">
      <w:pPr>
        <w:numPr>
          <w:ilvl w:val="0"/>
          <w:numId w:val="33"/>
        </w:numPr>
        <w:spacing w:after="0" w:line="360" w:lineRule="auto"/>
        <w:ind w:right="616"/>
        <w:jc w:val="both"/>
        <w:rPr>
          <w:rFonts w:ascii="ITC Avant Garde" w:eastAsia="Times New Roman" w:hAnsi="ITC Avant Garde"/>
          <w:lang w:eastAsia="es-ES"/>
        </w:rPr>
      </w:pPr>
      <w:r w:rsidRPr="004E27D5">
        <w:rPr>
          <w:rFonts w:ascii="ITC Avant Garde" w:hAnsi="ITC Avant Garde"/>
        </w:rPr>
        <w:t xml:space="preserve">una consola de audio sin marca, sin modelo y sin número de serie; y </w:t>
      </w:r>
    </w:p>
    <w:p w:rsidR="009E7D7C" w:rsidRPr="004E27D5" w:rsidRDefault="0021546A" w:rsidP="001D19EA">
      <w:pPr>
        <w:numPr>
          <w:ilvl w:val="0"/>
          <w:numId w:val="33"/>
        </w:numPr>
        <w:spacing w:after="0" w:line="360" w:lineRule="auto"/>
        <w:jc w:val="both"/>
        <w:rPr>
          <w:rFonts w:ascii="ITC Avant Garde" w:eastAsia="Times New Roman" w:hAnsi="ITC Avant Garde"/>
          <w:lang w:eastAsia="es-ES"/>
        </w:rPr>
      </w:pPr>
      <w:r w:rsidRPr="004E27D5">
        <w:rPr>
          <w:rFonts w:ascii="ITC Avant Garde" w:hAnsi="ITC Avant Garde"/>
        </w:rPr>
        <w:t>un CPU Armado sin marca, sin modelo y sin número de serie</w:t>
      </w:r>
    </w:p>
    <w:p w:rsidR="009B5755" w:rsidRPr="004E27D5" w:rsidRDefault="00BE4996" w:rsidP="004E27D5">
      <w:pPr>
        <w:pStyle w:val="Textoindependiente"/>
        <w:tabs>
          <w:tab w:val="left" w:pos="993"/>
        </w:tabs>
        <w:spacing w:after="0" w:line="360" w:lineRule="auto"/>
        <w:ind w:right="49"/>
        <w:jc w:val="both"/>
        <w:rPr>
          <w:rFonts w:ascii="ITC Avant Garde" w:eastAsia="Times New Roman" w:hAnsi="ITC Avant Garde"/>
          <w:lang w:eastAsia="es-ES"/>
        </w:rPr>
      </w:pPr>
      <w:r w:rsidRPr="004E27D5">
        <w:rPr>
          <w:rFonts w:ascii="ITC Avant Garde" w:eastAsia="Times New Roman" w:hAnsi="ITC Avant Garde"/>
          <w:bCs/>
          <w:color w:val="000000"/>
          <w:lang w:eastAsia="es-MX"/>
        </w:rPr>
        <w:t xml:space="preserve">Lo anterior, </w:t>
      </w:r>
      <w:r w:rsidRPr="004E27D5">
        <w:rPr>
          <w:rFonts w:ascii="ITC Avant Garde" w:eastAsia="Times New Roman" w:hAnsi="ITC Avant Garde"/>
          <w:lang w:eastAsia="es-ES"/>
        </w:rPr>
        <w:t>toda vez que el espectro radioeléctrico es un bien de dominio público</w:t>
      </w:r>
      <w:r w:rsidR="00000D41" w:rsidRPr="004E27D5">
        <w:rPr>
          <w:rFonts w:ascii="ITC Avant Garde" w:eastAsia="Times New Roman" w:hAnsi="ITC Avant Garde"/>
          <w:lang w:eastAsia="es-ES"/>
        </w:rPr>
        <w:t xml:space="preserve"> de la Federación</w:t>
      </w:r>
      <w:r w:rsidRPr="004E27D5">
        <w:rPr>
          <w:rFonts w:ascii="ITC Avant Garde" w:eastAsia="Times New Roman" w:hAnsi="ITC Avant Garde"/>
          <w:lang w:eastAsia="es-ES"/>
        </w:rPr>
        <w:t xml:space="preserve">, el cual es un recurso limitado, que conforme a lo dispuesto en el artículo 28 </w:t>
      </w:r>
      <w:r w:rsidR="00000D41" w:rsidRPr="004E27D5">
        <w:rPr>
          <w:rFonts w:ascii="ITC Avant Garde" w:eastAsia="Times New Roman" w:hAnsi="ITC Avant Garde"/>
          <w:lang w:eastAsia="es-ES"/>
        </w:rPr>
        <w:t xml:space="preserve">de </w:t>
      </w:r>
      <w:r w:rsidRPr="004E27D5">
        <w:rPr>
          <w:rFonts w:ascii="ITC Avant Garde" w:eastAsia="Times New Roman" w:hAnsi="ITC Avant Garde"/>
          <w:lang w:eastAsia="es-ES"/>
        </w:rPr>
        <w:t xml:space="preserve">la </w:t>
      </w:r>
      <w:r w:rsidR="007603C6" w:rsidRPr="004E27D5">
        <w:rPr>
          <w:rFonts w:ascii="ITC Avant Garde" w:eastAsia="Times New Roman" w:hAnsi="ITC Avant Garde"/>
          <w:b/>
          <w:lang w:eastAsia="es-ES"/>
        </w:rPr>
        <w:t>CPEUM</w:t>
      </w:r>
      <w:r w:rsidRPr="004E27D5">
        <w:rPr>
          <w:rFonts w:ascii="ITC Avant Garde" w:eastAsia="Times New Roman" w:hAnsi="ITC Avant Garde"/>
          <w:lang w:eastAsia="es-ES"/>
        </w:rPr>
        <w:t>, corresponde al Estado a través del Instituto salvaguardar su uso, aprovechamiento y explotación en beneficio del interés público.</w:t>
      </w:r>
    </w:p>
    <w:p w:rsidR="009B5755" w:rsidRPr="004E27D5" w:rsidRDefault="00BE4996" w:rsidP="009E7D7C">
      <w:pPr>
        <w:pStyle w:val="Textoindependiente"/>
        <w:tabs>
          <w:tab w:val="left" w:pos="993"/>
        </w:tabs>
        <w:spacing w:before="240" w:line="360" w:lineRule="auto"/>
        <w:jc w:val="both"/>
        <w:rPr>
          <w:rFonts w:ascii="ITC Avant Garde" w:hAnsi="ITC Avant Garde"/>
          <w:lang w:eastAsia="es-ES"/>
        </w:rPr>
      </w:pPr>
      <w:r w:rsidRPr="004E27D5">
        <w:rPr>
          <w:rFonts w:ascii="ITC Avant Garde" w:eastAsia="Times New Roman" w:hAnsi="ITC Avant Garde"/>
          <w:lang w:eastAsia="es-ES"/>
        </w:rPr>
        <w:t>Sirve</w:t>
      </w:r>
      <w:r w:rsidR="00000D41" w:rsidRPr="004E27D5">
        <w:rPr>
          <w:rFonts w:ascii="ITC Avant Garde" w:eastAsia="Times New Roman" w:hAnsi="ITC Avant Garde"/>
          <w:lang w:eastAsia="es-ES"/>
        </w:rPr>
        <w:t>n</w:t>
      </w:r>
      <w:r w:rsidRPr="004E27D5">
        <w:rPr>
          <w:rFonts w:ascii="ITC Avant Garde" w:eastAsia="Times New Roman" w:hAnsi="ITC Avant Garde"/>
          <w:lang w:eastAsia="es-ES"/>
        </w:rPr>
        <w:t xml:space="preserve"> de apoyo a lo anterior, los siguientes criterios judiciales</w:t>
      </w:r>
      <w:r w:rsidR="004F3596" w:rsidRPr="004E27D5">
        <w:rPr>
          <w:rFonts w:ascii="ITC Avant Garde" w:eastAsia="Times New Roman" w:hAnsi="ITC Avant Garde"/>
          <w:lang w:eastAsia="es-ES"/>
        </w:rPr>
        <w:t>:</w:t>
      </w:r>
      <w:r w:rsidR="009E7D7C" w:rsidRPr="004E27D5">
        <w:rPr>
          <w:rFonts w:ascii="ITC Avant Garde" w:hAnsi="ITC Avant Garde"/>
          <w:lang w:eastAsia="es-ES"/>
        </w:rPr>
        <w:t xml:space="preserve"> </w:t>
      </w:r>
    </w:p>
    <w:p w:rsidR="009E7D7C" w:rsidRPr="004E27D5" w:rsidRDefault="004F3596" w:rsidP="007B6EA5">
      <w:pPr>
        <w:pStyle w:val="Textoindependiente"/>
        <w:tabs>
          <w:tab w:val="left" w:pos="993"/>
        </w:tabs>
        <w:spacing w:after="0" w:line="240" w:lineRule="auto"/>
        <w:ind w:left="851" w:right="616"/>
        <w:jc w:val="both"/>
        <w:rPr>
          <w:rFonts w:ascii="ITC Avant Garde" w:hAnsi="ITC Avant Garde"/>
          <w:color w:val="000000"/>
          <w:sz w:val="20"/>
          <w:szCs w:val="20"/>
        </w:rPr>
      </w:pPr>
      <w:r w:rsidRPr="004E27D5">
        <w:rPr>
          <w:rFonts w:ascii="ITC Avant Garde" w:hAnsi="ITC Avant Garde"/>
          <w:color w:val="000000"/>
          <w:sz w:val="20"/>
          <w:szCs w:val="20"/>
        </w:rPr>
        <w:t>“</w:t>
      </w:r>
      <w:r w:rsidRPr="004E27D5">
        <w:rPr>
          <w:rFonts w:ascii="ITC Avant Garde" w:hAnsi="ITC Avant Garde"/>
          <w:b/>
          <w:color w:val="000000"/>
          <w:sz w:val="20"/>
          <w:szCs w:val="20"/>
        </w:rPr>
        <w:t>ESPECTRO RADIOELÉCTRICO. FORMA PARTE DEL ESPACIO AÉREO, QUE CONSTITUYE UN BIEN NACIONAL DE USO COMÚN SUJETO AL RÉGIMEN DE DOMINIO PÚBLICO DE LA FEDERACIÓN, PARA CUYO APROVECHAMIENTO ESPECIAL SE REQUIERE CONCESIÓN, AUTORIZACIÓN O PERMISO.</w:t>
      </w:r>
      <w:r w:rsidRPr="004E27D5">
        <w:rPr>
          <w:rFonts w:ascii="ITC Avant Garde" w:hAnsi="ITC Avant Garde"/>
          <w:b/>
          <w:color w:val="000000"/>
          <w:sz w:val="20"/>
        </w:rPr>
        <w:t xml:space="preserve"> </w:t>
      </w:r>
      <w:r w:rsidRPr="004E27D5">
        <w:rPr>
          <w:rFonts w:ascii="ITC Avant Garde" w:hAnsi="ITC Avant Garde"/>
          <w:color w:val="000000"/>
          <w:sz w:val="20"/>
          <w:szCs w:val="20"/>
        </w:rPr>
        <w:t xml:space="preserve">La Sección Primera, Apartado 1-5, del Reglamento de Radiocomunicaciones de la Unión Internacional de Telecomunicaciones, define a las ondas radioeléctricas u ondas hertzianas como las ondas electromagnéticas cuya frecuencia se fija convencionalmente por debajo de los 3,000 </w:t>
      </w:r>
      <w:proofErr w:type="spellStart"/>
      <w:r w:rsidRPr="004E27D5">
        <w:rPr>
          <w:rFonts w:ascii="ITC Avant Garde" w:hAnsi="ITC Avant Garde"/>
          <w:color w:val="000000"/>
          <w:sz w:val="20"/>
          <w:szCs w:val="20"/>
        </w:rPr>
        <w:t>gigahertz</w:t>
      </w:r>
      <w:proofErr w:type="spellEnd"/>
      <w:r w:rsidRPr="004E27D5">
        <w:rPr>
          <w:rFonts w:ascii="ITC Avant Garde" w:hAnsi="ITC Avant Garde"/>
          <w:color w:val="000000"/>
          <w:sz w:val="20"/>
          <w:szCs w:val="20"/>
        </w:rPr>
        <w:t xml:space="preserve"> y que se propagan por el espacio sin guía artificial. Por su parte, el artículo 3o., fracción II, de la Ley Federal de Telecomunicaciones define al espectro radioeléctrico como el espacio que permite la propagación sin guía artificial de ondas electromagnéticas cuyas bandas de frecuencia se fijan convencionalmente por debajo de los 3,000 </w:t>
      </w:r>
      <w:proofErr w:type="spellStart"/>
      <w:r w:rsidRPr="004E27D5">
        <w:rPr>
          <w:rFonts w:ascii="ITC Avant Garde" w:hAnsi="ITC Avant Garde"/>
          <w:color w:val="000000"/>
          <w:sz w:val="20"/>
          <w:szCs w:val="20"/>
        </w:rPr>
        <w:t>gigahertz</w:t>
      </w:r>
      <w:proofErr w:type="spellEnd"/>
      <w:r w:rsidRPr="004E27D5">
        <w:rPr>
          <w:rFonts w:ascii="ITC Avant Garde" w:hAnsi="ITC Avant Garde"/>
          <w:color w:val="000000"/>
          <w:sz w:val="20"/>
          <w:szCs w:val="20"/>
        </w:rPr>
        <w:t xml:space="preserve">. En ese tenor, si se relaciona el concepto de ondas radioeléctricas definido por el derecho internacional con el del espectro radioeléctrico que define la Ley Federal de Telecomunicaciones, se concluye que este último forma parte del espacio aéreo situado sobre el territorio nacional, sobre el que la Nación ejerce dominio directo en la extensión y términos que fije el derecho internacional conforme al artículo 27 de la Constitución Política de los Estados Unidos Mexicanos. Por tanto, </w:t>
      </w:r>
      <w:r w:rsidRPr="004E27D5">
        <w:rPr>
          <w:rFonts w:ascii="ITC Avant Garde" w:hAnsi="ITC Avant Garde"/>
          <w:b/>
          <w:color w:val="000000"/>
          <w:sz w:val="20"/>
          <w:u w:val="single"/>
        </w:rPr>
        <w:t>el espectro radioeléctrico constituye un bien de uso común que, como tal, en términos de la Ley General de Bienes Nacionales, está sujeto al régimen de dominio público de la Federación</w:t>
      </w:r>
      <w:r w:rsidRPr="004E27D5">
        <w:rPr>
          <w:rFonts w:ascii="ITC Avant Garde" w:hAnsi="ITC Avant Garde"/>
          <w:color w:val="000000"/>
          <w:sz w:val="20"/>
          <w:szCs w:val="20"/>
        </w:rPr>
        <w:t xml:space="preserve">, pudiendo hacer uso de él todos los habitantes de la República Mexicana con las restricciones establecidas en las leyes y reglamentos administrativos aplicables, </w:t>
      </w:r>
      <w:r w:rsidRPr="004E27D5">
        <w:rPr>
          <w:rFonts w:ascii="ITC Avant Garde" w:hAnsi="ITC Avant Garde"/>
          <w:b/>
          <w:color w:val="000000"/>
          <w:sz w:val="20"/>
          <w:u w:val="single"/>
        </w:rPr>
        <w:t>pero para su aprovechamiento especial se requiere concesión, autorización o permiso otorgados conforme a las condiciones y requisitos legalmente establecidos,</w:t>
      </w:r>
      <w:r w:rsidRPr="004E27D5">
        <w:rPr>
          <w:rFonts w:ascii="ITC Avant Garde" w:hAnsi="ITC Avant Garde"/>
          <w:color w:val="000000"/>
          <w:sz w:val="20"/>
          <w:szCs w:val="20"/>
        </w:rPr>
        <w:t xml:space="preserve"> los que no crean derechos reales, pues sólo </w:t>
      </w:r>
      <w:r w:rsidRPr="004E27D5">
        <w:rPr>
          <w:rFonts w:ascii="ITC Avant Garde" w:hAnsi="ITC Avant Garde"/>
          <w:color w:val="000000"/>
          <w:sz w:val="20"/>
          <w:szCs w:val="20"/>
        </w:rPr>
        <w:lastRenderedPageBreak/>
        <w:t>otorgan frente a la administración y sin perjuicio de terceros, el derecho al uso, aprovechamiento o explotación conforme a las leyes y al título correspondiente.</w:t>
      </w:r>
    </w:p>
    <w:p w:rsidR="009E7D7C" w:rsidRPr="004E27D5" w:rsidRDefault="004F3596" w:rsidP="007B6EA5">
      <w:pPr>
        <w:pStyle w:val="Textoindependiente"/>
        <w:tabs>
          <w:tab w:val="left" w:pos="993"/>
        </w:tabs>
        <w:spacing w:after="0" w:line="240" w:lineRule="auto"/>
        <w:ind w:left="851" w:right="616"/>
        <w:jc w:val="both"/>
        <w:rPr>
          <w:rFonts w:ascii="ITC Avant Garde" w:hAnsi="ITC Avant Garde"/>
          <w:color w:val="000000"/>
          <w:sz w:val="20"/>
          <w:szCs w:val="20"/>
        </w:rPr>
      </w:pPr>
      <w:r w:rsidRPr="004E27D5">
        <w:rPr>
          <w:rFonts w:ascii="ITC Avant Garde" w:hAnsi="ITC Avant Garde"/>
          <w:color w:val="000000"/>
          <w:sz w:val="20"/>
          <w:szCs w:val="20"/>
        </w:rPr>
        <w:t>Época: Novena Época, Registro: 170757, Instancia: Pleno, Tipo de Tesis: Jurisprudencia, Fuente: Semanario Judicial de la Federación y su Gaceta, Tomo XXVI, Diciembre de 2007, Materia(s): Constitucional, Administrativa, Tesis: P./J. 65/2007, Página: 987”</w:t>
      </w:r>
    </w:p>
    <w:p w:rsidR="009E7D7C" w:rsidRPr="004E27D5" w:rsidRDefault="004F3596" w:rsidP="007B6EA5">
      <w:pPr>
        <w:pStyle w:val="Textoindependiente"/>
        <w:tabs>
          <w:tab w:val="left" w:pos="993"/>
        </w:tabs>
        <w:spacing w:after="0" w:line="240" w:lineRule="auto"/>
        <w:ind w:left="851" w:right="616"/>
        <w:jc w:val="both"/>
        <w:rPr>
          <w:rFonts w:ascii="ITC Avant Garde" w:hAnsi="ITC Avant Garde"/>
          <w:b/>
          <w:color w:val="000000"/>
          <w:sz w:val="20"/>
          <w:u w:val="single"/>
        </w:rPr>
      </w:pPr>
      <w:r w:rsidRPr="004E27D5">
        <w:rPr>
          <w:rFonts w:ascii="ITC Avant Garde" w:hAnsi="ITC Avant Garde"/>
          <w:color w:val="000000"/>
          <w:sz w:val="20"/>
        </w:rPr>
        <w:t>“</w:t>
      </w:r>
      <w:r w:rsidRPr="004E27D5">
        <w:rPr>
          <w:rFonts w:ascii="ITC Avant Garde" w:hAnsi="ITC Avant Garde"/>
          <w:b/>
          <w:color w:val="000000"/>
          <w:sz w:val="20"/>
          <w:szCs w:val="20"/>
        </w:rPr>
        <w:t xml:space="preserve">ESPECTRO RADIOELÉCTRICO. SU CONCEPTO Y DISTINCIÓN CON RESPECTO AL ESPECTRO ELECTROMAGNÉTICO. </w:t>
      </w:r>
      <w:r w:rsidRPr="004E27D5">
        <w:rPr>
          <w:rFonts w:ascii="ITC Avant Garde" w:hAnsi="ITC Avant Garde"/>
          <w:color w:val="000000"/>
          <w:sz w:val="20"/>
          <w:szCs w:val="20"/>
        </w:rPr>
        <w:t xml:space="preserve">El artículo 3, fracción II, de la Ley Federal de Telecomunicaciones define al espectro radioeléctrico como el espacio que permite la propagación, sin guía artificial de ondas electromagnéticas, cuyas bandas de frecuencia se fijan convencionalmente por debajo de los tres mil </w:t>
      </w:r>
      <w:proofErr w:type="spellStart"/>
      <w:r w:rsidRPr="004E27D5">
        <w:rPr>
          <w:rFonts w:ascii="ITC Avant Garde" w:hAnsi="ITC Avant Garde"/>
          <w:color w:val="000000"/>
          <w:sz w:val="20"/>
          <w:szCs w:val="20"/>
        </w:rPr>
        <w:t>gigahertz</w:t>
      </w:r>
      <w:proofErr w:type="spellEnd"/>
      <w:r w:rsidRPr="004E27D5">
        <w:rPr>
          <w:rFonts w:ascii="ITC Avant Garde" w:hAnsi="ITC Avant Garde"/>
          <w:color w:val="000000"/>
          <w:sz w:val="20"/>
          <w:szCs w:val="20"/>
        </w:rPr>
        <w:t xml:space="preserve">. Así, las frecuencias se agrupan convencionalmente en bandas, de acuerdo a sus características, y el conjunto de éstas constituye el espectro radioeléctrico, el cual integra una parte del espectro electromagnético utilizado como medio de transmisión para distintos servicios de telecomunicaciones, y es un bien del dominio público respecto del cual no debe haber barreras ni exclusividad que impidan su funcionalidad y el beneficio colectivo. Cabe señalar que </w:t>
      </w:r>
      <w:r w:rsidRPr="004E27D5">
        <w:rPr>
          <w:rFonts w:ascii="ITC Avant Garde" w:hAnsi="ITC Avant Garde"/>
          <w:b/>
          <w:color w:val="000000"/>
          <w:sz w:val="20"/>
          <w:u w:val="single"/>
        </w:rPr>
        <w:t xml:space="preserve">el espectro radioeléctrico es un recurso natural limitado y las frecuencias que lo componen son las que están en el rango entre los tres </w:t>
      </w:r>
      <w:proofErr w:type="spellStart"/>
      <w:r w:rsidRPr="004E27D5">
        <w:rPr>
          <w:rFonts w:ascii="ITC Avant Garde" w:hAnsi="ITC Avant Garde"/>
          <w:b/>
          <w:color w:val="000000"/>
          <w:sz w:val="20"/>
          <w:u w:val="single"/>
        </w:rPr>
        <w:t>hertz</w:t>
      </w:r>
      <w:proofErr w:type="spellEnd"/>
      <w:r w:rsidRPr="004E27D5">
        <w:rPr>
          <w:rFonts w:ascii="ITC Avant Garde" w:hAnsi="ITC Avant Garde"/>
          <w:b/>
          <w:color w:val="000000"/>
          <w:sz w:val="20"/>
          <w:u w:val="single"/>
        </w:rPr>
        <w:t xml:space="preserve"> y los tres mil </w:t>
      </w:r>
      <w:proofErr w:type="spellStart"/>
      <w:r w:rsidRPr="004E27D5">
        <w:rPr>
          <w:rFonts w:ascii="ITC Avant Garde" w:hAnsi="ITC Avant Garde"/>
          <w:b/>
          <w:color w:val="000000"/>
          <w:sz w:val="20"/>
          <w:u w:val="single"/>
        </w:rPr>
        <w:t>gigahertz</w:t>
      </w:r>
      <w:proofErr w:type="spellEnd"/>
      <w:r w:rsidRPr="004E27D5">
        <w:rPr>
          <w:rFonts w:ascii="ITC Avant Garde" w:hAnsi="ITC Avant Garde"/>
          <w:b/>
          <w:color w:val="000000"/>
          <w:sz w:val="20"/>
          <w:u w:val="single"/>
        </w:rPr>
        <w:t xml:space="preserve"> y, en esa virtud, su explotación se realiza aprovechándolas directamente o concediendo el aprovechamiento mediante la asignación a través de concesiones. </w:t>
      </w:r>
    </w:p>
    <w:p w:rsidR="009E7D7C" w:rsidRPr="004E27D5" w:rsidRDefault="004F3596" w:rsidP="007B6EA5">
      <w:pPr>
        <w:pStyle w:val="Textoindependiente"/>
        <w:tabs>
          <w:tab w:val="left" w:pos="993"/>
        </w:tabs>
        <w:spacing w:after="0" w:line="240" w:lineRule="auto"/>
        <w:ind w:left="851" w:right="616"/>
        <w:jc w:val="both"/>
        <w:rPr>
          <w:rFonts w:ascii="ITC Avant Garde" w:hAnsi="ITC Avant Garde"/>
          <w:sz w:val="20"/>
        </w:rPr>
      </w:pPr>
      <w:r w:rsidRPr="004E27D5">
        <w:rPr>
          <w:rFonts w:ascii="ITC Avant Garde" w:eastAsia="Times New Roman" w:hAnsi="ITC Avant Garde"/>
          <w:bCs/>
          <w:color w:val="000000"/>
          <w:sz w:val="20"/>
          <w:szCs w:val="20"/>
          <w:lang w:eastAsia="es-MX"/>
        </w:rPr>
        <w:t>Época: Décima Época, Registro: 2005184, Instancia: Tribunales Colegiados de Circuito, Tipo de Tesis: Aislada, Fuente: Gaceta del Semanario Judicial de la Federación, Libro 1, Diciembre de 2013, Tomo II, Materia(s): Administrativa, Tesis: I.4o.A.72 A (10a.), Página: 1129”</w:t>
      </w:r>
    </w:p>
    <w:p w:rsidR="009B5755" w:rsidRPr="004E27D5" w:rsidRDefault="004F3596" w:rsidP="004F3596">
      <w:pPr>
        <w:spacing w:after="0" w:line="360" w:lineRule="auto"/>
        <w:jc w:val="both"/>
        <w:rPr>
          <w:rFonts w:ascii="ITC Avant Garde" w:eastAsia="Times New Roman" w:hAnsi="ITC Avant Garde"/>
          <w:bCs/>
          <w:color w:val="000000"/>
          <w:lang w:eastAsia="es-MX"/>
        </w:rPr>
      </w:pPr>
      <w:r w:rsidRPr="004E27D5">
        <w:rPr>
          <w:rFonts w:ascii="ITC Avant Garde" w:hAnsi="ITC Avant Garde"/>
        </w:rPr>
        <w:t xml:space="preserve">En </w:t>
      </w:r>
      <w:r w:rsidRPr="004E27D5">
        <w:rPr>
          <w:rFonts w:ascii="ITC Avant Garde" w:hAnsi="ITC Avant Garde" w:cs="Arial"/>
          <w:bCs/>
        </w:rPr>
        <w:t xml:space="preserve">ese sentido, se concluye que </w:t>
      </w:r>
      <w:r w:rsidR="0069558F" w:rsidRPr="004E27D5">
        <w:rPr>
          <w:rFonts w:ascii="ITC Avant Garde" w:hAnsi="ITC Avant Garde" w:cs="Arial"/>
          <w:bCs/>
        </w:rPr>
        <w:t xml:space="preserve">el </w:t>
      </w:r>
      <w:r w:rsidR="00A01799" w:rsidRPr="004E27D5">
        <w:rPr>
          <w:rFonts w:ascii="ITC Avant Garde" w:hAnsi="ITC Avant Garde"/>
          <w:b/>
        </w:rPr>
        <w:t>PRESUNTO RESPONSABLE</w:t>
      </w:r>
      <w:r w:rsidRPr="004E27D5">
        <w:rPr>
          <w:rFonts w:ascii="ITC Avant Garde" w:hAnsi="ITC Avant Garde" w:cs="Tahoma"/>
        </w:rPr>
        <w:t xml:space="preserve">, </w:t>
      </w:r>
      <w:r w:rsidR="0069558F" w:rsidRPr="004E27D5">
        <w:rPr>
          <w:rFonts w:ascii="ITC Avant Garde" w:hAnsi="ITC Avant Garde" w:cs="Tahoma"/>
        </w:rPr>
        <w:t xml:space="preserve">se encontraba prestando servicios de radiodifusión </w:t>
      </w:r>
      <w:r w:rsidR="00BE4996" w:rsidRPr="004E27D5">
        <w:rPr>
          <w:rFonts w:ascii="ITC Avant Garde" w:hAnsi="ITC Avant Garde"/>
        </w:rPr>
        <w:t>a través del uso de</w:t>
      </w:r>
      <w:r w:rsidR="00BE4996" w:rsidRPr="004E27D5">
        <w:rPr>
          <w:rFonts w:ascii="ITC Avant Garde" w:eastAsia="Times New Roman" w:hAnsi="ITC Avant Garde"/>
          <w:bCs/>
          <w:color w:val="000000"/>
          <w:lang w:eastAsia="es-MX"/>
        </w:rPr>
        <w:t>l espectro radioeléctrico</w:t>
      </w:r>
      <w:r w:rsidR="00BE4996" w:rsidRPr="004E27D5">
        <w:rPr>
          <w:rFonts w:ascii="ITC Avant Garde" w:hAnsi="ITC Avant Garde"/>
        </w:rPr>
        <w:t xml:space="preserve"> en la frecuencia</w:t>
      </w:r>
      <w:r w:rsidRPr="004E27D5">
        <w:rPr>
          <w:rFonts w:ascii="ITC Avant Garde" w:hAnsi="ITC Avant Garde"/>
        </w:rPr>
        <w:t xml:space="preserve"> </w:t>
      </w:r>
      <w:r w:rsidR="00C9435A" w:rsidRPr="004E27D5">
        <w:rPr>
          <w:rFonts w:ascii="ITC Avant Garde" w:hAnsi="ITC Avant Garde"/>
          <w:b/>
          <w:caps/>
        </w:rPr>
        <w:t>106.1</w:t>
      </w:r>
      <w:r w:rsidR="002C1AD8" w:rsidRPr="004E27D5">
        <w:rPr>
          <w:rFonts w:ascii="ITC Avant Garde" w:hAnsi="ITC Avant Garde"/>
          <w:b/>
        </w:rPr>
        <w:t xml:space="preserve"> MHz</w:t>
      </w:r>
      <w:r w:rsidRPr="004E27D5">
        <w:rPr>
          <w:rFonts w:ascii="ITC Avant Garde" w:hAnsi="ITC Avant Garde"/>
        </w:rPr>
        <w:t xml:space="preserve">, </w:t>
      </w:r>
      <w:r w:rsidR="00BE4996" w:rsidRPr="004E27D5">
        <w:rPr>
          <w:rFonts w:ascii="ITC Avant Garde" w:hAnsi="ITC Avant Garde"/>
        </w:rPr>
        <w:t>en</w:t>
      </w:r>
      <w:r w:rsidR="00455C2D" w:rsidRPr="004E27D5">
        <w:rPr>
          <w:rFonts w:ascii="ITC Avant Garde" w:hAnsi="ITC Avant Garde"/>
        </w:rPr>
        <w:t xml:space="preserve"> </w:t>
      </w:r>
      <w:r w:rsidR="0021546A" w:rsidRPr="004E27D5">
        <w:rPr>
          <w:rFonts w:ascii="ITC Avant Garde" w:hAnsi="ITC Avant Garde"/>
        </w:rPr>
        <w:t>el Municipio de Valle de Bravo, Estado de México</w:t>
      </w:r>
      <w:r w:rsidR="00BE4996" w:rsidRPr="004E27D5">
        <w:rPr>
          <w:rFonts w:ascii="ITC Avant Garde" w:hAnsi="ITC Avant Garde"/>
        </w:rPr>
        <w:t xml:space="preserve">, </w:t>
      </w:r>
      <w:r w:rsidR="00BE4996" w:rsidRPr="004E27D5">
        <w:rPr>
          <w:rFonts w:ascii="ITC Avant Garde" w:eastAsia="Times New Roman" w:hAnsi="ITC Avant Garde"/>
          <w:bCs/>
          <w:color w:val="000000"/>
          <w:lang w:eastAsia="es-MX"/>
        </w:rPr>
        <w:t>sin contar con la concesión</w:t>
      </w:r>
      <w:r w:rsidR="00D976F6" w:rsidRPr="004E27D5">
        <w:rPr>
          <w:rFonts w:ascii="ITC Avant Garde" w:hAnsi="ITC Avant Garde"/>
        </w:rPr>
        <w:t xml:space="preserve"> </w:t>
      </w:r>
      <w:r w:rsidR="00BE4996" w:rsidRPr="004E27D5">
        <w:rPr>
          <w:rFonts w:ascii="ITC Avant Garde" w:hAnsi="ITC Avant Garde"/>
        </w:rPr>
        <w:t>respectiva, por lo que en tal sentido es responsable de la violación al artículo 66</w:t>
      </w:r>
      <w:r w:rsidR="002C6FA8" w:rsidRPr="004E27D5">
        <w:rPr>
          <w:rFonts w:ascii="ITC Avant Garde" w:hAnsi="ITC Avant Garde"/>
        </w:rPr>
        <w:t xml:space="preserve"> </w:t>
      </w:r>
      <w:r w:rsidR="002C6FA8" w:rsidRPr="004E27D5">
        <w:rPr>
          <w:rFonts w:ascii="ITC Avant Garde" w:hAnsi="ITC Avant Garde"/>
          <w:bCs/>
        </w:rPr>
        <w:t>en relación con el 75,</w:t>
      </w:r>
      <w:r w:rsidR="00BE4996" w:rsidRPr="004E27D5">
        <w:rPr>
          <w:rFonts w:ascii="ITC Avant Garde" w:hAnsi="ITC Avant Garde"/>
        </w:rPr>
        <w:t xml:space="preserve"> y lo procedente es imponer una multa en términos del artículo 298</w:t>
      </w:r>
      <w:r w:rsidR="007603C6" w:rsidRPr="004E27D5">
        <w:rPr>
          <w:rFonts w:ascii="ITC Avant Garde" w:hAnsi="ITC Avant Garde"/>
        </w:rPr>
        <w:t>,</w:t>
      </w:r>
      <w:r w:rsidR="00BE4996" w:rsidRPr="004E27D5">
        <w:rPr>
          <w:rFonts w:ascii="ITC Avant Garde" w:hAnsi="ITC Avant Garde"/>
        </w:rPr>
        <w:t xml:space="preserve"> inciso E)</w:t>
      </w:r>
      <w:r w:rsidR="007603C6" w:rsidRPr="004E27D5">
        <w:rPr>
          <w:rFonts w:ascii="ITC Avant Garde" w:hAnsi="ITC Avant Garde"/>
        </w:rPr>
        <w:t>,</w:t>
      </w:r>
      <w:r w:rsidR="00BE4996" w:rsidRPr="004E27D5">
        <w:rPr>
          <w:rFonts w:ascii="ITC Avant Garde" w:hAnsi="ITC Avant Garde"/>
        </w:rPr>
        <w:t xml:space="preserve"> fracción I de la </w:t>
      </w:r>
      <w:r w:rsidR="006310EA" w:rsidRPr="004E27D5">
        <w:rPr>
          <w:rFonts w:ascii="ITC Avant Garde" w:hAnsi="ITC Avant Garde"/>
          <w:b/>
        </w:rPr>
        <w:t>LFTR</w:t>
      </w:r>
      <w:r w:rsidR="00BE4996" w:rsidRPr="004E27D5">
        <w:rPr>
          <w:rFonts w:ascii="ITC Avant Garde" w:hAnsi="ITC Avant Garde"/>
        </w:rPr>
        <w:t>. De igual forma con dicha conducta se actualiza la hipótesis normativa prevista en el artículo 305 del mismo ordenamiento y en consecuencia procede declarar la pérdida a favor de la Nación de los bienes y equipos empleados en la comisión de dicha infracción</w:t>
      </w:r>
      <w:r w:rsidRPr="004E27D5">
        <w:rPr>
          <w:rFonts w:ascii="ITC Avant Garde" w:eastAsia="Times New Roman" w:hAnsi="ITC Avant Garde"/>
          <w:bCs/>
          <w:color w:val="000000"/>
          <w:lang w:eastAsia="es-MX"/>
        </w:rPr>
        <w:t>.</w:t>
      </w:r>
    </w:p>
    <w:p w:rsidR="009E7D7C" w:rsidRPr="004E27D5" w:rsidRDefault="00617B62" w:rsidP="00617B62">
      <w:pPr>
        <w:pStyle w:val="Textoindependiente"/>
        <w:tabs>
          <w:tab w:val="left" w:pos="993"/>
        </w:tabs>
        <w:spacing w:after="0" w:line="360" w:lineRule="auto"/>
        <w:jc w:val="both"/>
        <w:rPr>
          <w:rFonts w:ascii="ITC Avant Garde" w:eastAsia="Times New Roman" w:hAnsi="ITC Avant Garde"/>
          <w:b/>
          <w:bCs/>
          <w:color w:val="000000"/>
          <w:lang w:eastAsia="es-MX"/>
        </w:rPr>
      </w:pPr>
      <w:r w:rsidRPr="004E27D5">
        <w:rPr>
          <w:rFonts w:ascii="ITC Avant Garde" w:eastAsia="Times New Roman" w:hAnsi="ITC Avant Garde"/>
          <w:b/>
          <w:bCs/>
          <w:color w:val="000000"/>
          <w:lang w:eastAsia="es-MX"/>
        </w:rPr>
        <w:t>S</w:t>
      </w:r>
      <w:r w:rsidR="00E02E12" w:rsidRPr="004E27D5">
        <w:rPr>
          <w:rFonts w:ascii="ITC Avant Garde" w:eastAsia="Times New Roman" w:hAnsi="ITC Avant Garde"/>
          <w:b/>
          <w:bCs/>
          <w:color w:val="000000"/>
          <w:lang w:eastAsia="es-MX"/>
        </w:rPr>
        <w:t>ÉPTIMO</w:t>
      </w:r>
      <w:r w:rsidRPr="004E27D5">
        <w:rPr>
          <w:rFonts w:ascii="ITC Avant Garde" w:eastAsia="Times New Roman" w:hAnsi="ITC Avant Garde"/>
          <w:b/>
          <w:bCs/>
          <w:color w:val="000000"/>
          <w:lang w:eastAsia="es-MX"/>
        </w:rPr>
        <w:t xml:space="preserve">. </w:t>
      </w:r>
      <w:r w:rsidRPr="004E27D5">
        <w:rPr>
          <w:rFonts w:ascii="ITC Avant Garde" w:eastAsia="Times New Roman" w:hAnsi="ITC Avant Garde"/>
          <w:b/>
          <w:bCs/>
          <w:smallCaps/>
          <w:color w:val="000000"/>
          <w:lang w:eastAsia="es-MX"/>
        </w:rPr>
        <w:t xml:space="preserve">Determinación y cuantificación de la Sanción. </w:t>
      </w:r>
    </w:p>
    <w:p w:rsidR="001561CA" w:rsidRPr="004E27D5" w:rsidRDefault="0035646E" w:rsidP="00C321E2">
      <w:pPr>
        <w:spacing w:after="0" w:line="360" w:lineRule="auto"/>
        <w:jc w:val="both"/>
        <w:rPr>
          <w:rFonts w:ascii="ITC Avant Garde" w:eastAsia="Times New Roman" w:hAnsi="ITC Avant Garde"/>
          <w:bCs/>
          <w:color w:val="000000"/>
          <w:lang w:eastAsia="es-MX"/>
        </w:rPr>
        <w:sectPr w:rsidR="001561CA" w:rsidRPr="004E27D5" w:rsidSect="009B5755">
          <w:headerReference w:type="default" r:id="rId25"/>
          <w:pgSz w:w="12240" w:h="15840"/>
          <w:pgMar w:top="1985" w:right="1418" w:bottom="1418" w:left="1418" w:header="709" w:footer="420" w:gutter="0"/>
          <w:cols w:space="708"/>
          <w:docGrid w:linePitch="360"/>
        </w:sectPr>
      </w:pPr>
      <w:r w:rsidRPr="004E27D5">
        <w:rPr>
          <w:rFonts w:ascii="ITC Avant Garde" w:eastAsia="Times New Roman" w:hAnsi="ITC Avant Garde"/>
          <w:bCs/>
          <w:color w:val="000000"/>
          <w:lang w:eastAsia="es-MX"/>
        </w:rPr>
        <w:t xml:space="preserve">El </w:t>
      </w:r>
      <w:r w:rsidR="00E11395" w:rsidRPr="004E27D5">
        <w:rPr>
          <w:rFonts w:ascii="ITC Avant Garde" w:eastAsia="Times New Roman" w:hAnsi="ITC Avant Garde"/>
          <w:bCs/>
          <w:color w:val="000000"/>
          <w:lang w:eastAsia="es-MX"/>
        </w:rPr>
        <w:t xml:space="preserve">prestar servicios de radiodifusión sin contar con la concesión respectiva y en consecuencia incumplir con el artículo </w:t>
      </w:r>
      <w:r w:rsidR="00617B62" w:rsidRPr="004E27D5">
        <w:rPr>
          <w:rFonts w:ascii="ITC Avant Garde" w:eastAsia="Times New Roman" w:hAnsi="ITC Avant Garde"/>
          <w:bCs/>
          <w:color w:val="000000"/>
          <w:lang w:eastAsia="es-MX"/>
        </w:rPr>
        <w:t xml:space="preserve">66 </w:t>
      </w:r>
      <w:r w:rsidR="00EB51C5" w:rsidRPr="004E27D5">
        <w:rPr>
          <w:rFonts w:ascii="ITC Avant Garde" w:eastAsia="Times New Roman" w:hAnsi="ITC Avant Garde"/>
          <w:bCs/>
          <w:color w:val="000000"/>
          <w:lang w:eastAsia="es-MX"/>
        </w:rPr>
        <w:t xml:space="preserve">en relación con el 75 </w:t>
      </w:r>
      <w:r w:rsidR="00617B62" w:rsidRPr="004E27D5">
        <w:rPr>
          <w:rFonts w:ascii="ITC Avant Garde" w:eastAsia="Times New Roman" w:hAnsi="ITC Avant Garde"/>
          <w:bCs/>
          <w:color w:val="000000"/>
          <w:lang w:eastAsia="es-MX"/>
        </w:rPr>
        <w:t xml:space="preserve">de la </w:t>
      </w:r>
      <w:r w:rsidR="006310EA" w:rsidRPr="004E27D5">
        <w:rPr>
          <w:rFonts w:ascii="ITC Avant Garde" w:eastAsia="Times New Roman" w:hAnsi="ITC Avant Garde"/>
          <w:b/>
          <w:bCs/>
          <w:color w:val="000000"/>
          <w:lang w:eastAsia="es-MX"/>
        </w:rPr>
        <w:t>LFTR</w:t>
      </w:r>
      <w:r w:rsidR="00617B62" w:rsidRPr="004E27D5">
        <w:rPr>
          <w:rFonts w:ascii="ITC Avant Garde" w:eastAsia="Times New Roman" w:hAnsi="ITC Avant Garde"/>
          <w:bCs/>
          <w:color w:val="000000"/>
          <w:lang w:eastAsia="es-MX"/>
        </w:rPr>
        <w:t xml:space="preserve">, resulta </w:t>
      </w:r>
    </w:p>
    <w:p w:rsidR="009E7D7C" w:rsidRPr="004E27D5" w:rsidRDefault="00617B62" w:rsidP="00C321E2">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lastRenderedPageBreak/>
        <w:t>sancionable en términos de lo previsto en el artículo 298, inciso E), fracción I de la citada Ley, que a la letra señala:</w:t>
      </w:r>
    </w:p>
    <w:p w:rsidR="00156682" w:rsidRPr="004E27D5" w:rsidRDefault="00156682" w:rsidP="004E27D5">
      <w:pPr>
        <w:pStyle w:val="Textoindependiente"/>
        <w:tabs>
          <w:tab w:val="left" w:pos="851"/>
        </w:tabs>
        <w:spacing w:after="0" w:line="240" w:lineRule="auto"/>
        <w:ind w:left="851" w:right="616"/>
        <w:jc w:val="both"/>
        <w:rPr>
          <w:rFonts w:ascii="ITC Avant Garde" w:hAnsi="ITC Avant Garde"/>
          <w:color w:val="000000"/>
          <w:sz w:val="20"/>
          <w:szCs w:val="20"/>
        </w:rPr>
      </w:pPr>
      <w:r w:rsidRPr="004E27D5">
        <w:rPr>
          <w:rFonts w:ascii="ITC Avant Garde" w:hAnsi="ITC Avant Garde"/>
          <w:color w:val="000000"/>
          <w:sz w:val="20"/>
          <w:szCs w:val="20"/>
        </w:rPr>
        <w:t>“</w:t>
      </w:r>
      <w:r w:rsidRPr="004E27D5">
        <w:rPr>
          <w:rFonts w:ascii="ITC Avant Garde" w:hAnsi="ITC Avant Garde"/>
          <w:b/>
          <w:color w:val="000000"/>
          <w:sz w:val="20"/>
          <w:szCs w:val="20"/>
        </w:rPr>
        <w:t>Artículo 298</w:t>
      </w:r>
      <w:r w:rsidRPr="004E27D5">
        <w:rPr>
          <w:rFonts w:ascii="ITC Avant Garde" w:hAnsi="ITC Avant Garde"/>
          <w:color w:val="000000"/>
          <w:sz w:val="20"/>
          <w:szCs w:val="20"/>
        </w:rPr>
        <w:t>. Las infracciones a lo dispuesto en esta Ley y a las disposiciones que deriven de ella, se sancionarán por el Instituto de conformidad con lo siguiente:…</w:t>
      </w:r>
    </w:p>
    <w:p w:rsidR="009E7D7C" w:rsidRPr="004E27D5" w:rsidRDefault="00156682" w:rsidP="007B6EA5">
      <w:pPr>
        <w:pStyle w:val="Textoindependiente"/>
        <w:tabs>
          <w:tab w:val="left" w:pos="851"/>
        </w:tabs>
        <w:spacing w:after="0" w:line="240" w:lineRule="auto"/>
        <w:ind w:left="851" w:right="616"/>
        <w:jc w:val="both"/>
        <w:rPr>
          <w:rFonts w:ascii="ITC Avant Garde" w:hAnsi="ITC Avant Garde"/>
          <w:color w:val="000000"/>
          <w:sz w:val="20"/>
          <w:szCs w:val="20"/>
        </w:rPr>
      </w:pPr>
      <w:r w:rsidRPr="004E27D5">
        <w:rPr>
          <w:rFonts w:ascii="ITC Avant Garde" w:hAnsi="ITC Avant Garde"/>
          <w:color w:val="000000"/>
          <w:sz w:val="20"/>
          <w:szCs w:val="20"/>
        </w:rPr>
        <w:t>E) Con multa por el equivalente de 6.01% hasta 10% de los ingresos de la persona infractora que:</w:t>
      </w:r>
    </w:p>
    <w:p w:rsidR="009E7D7C" w:rsidRPr="004E27D5" w:rsidRDefault="00156682" w:rsidP="004E27D5">
      <w:pPr>
        <w:pStyle w:val="Textoindependiente"/>
        <w:tabs>
          <w:tab w:val="left" w:pos="851"/>
        </w:tabs>
        <w:spacing w:line="240" w:lineRule="auto"/>
        <w:ind w:left="851" w:right="616"/>
        <w:jc w:val="both"/>
        <w:rPr>
          <w:rFonts w:ascii="ITC Avant Garde" w:hAnsi="ITC Avant Garde"/>
          <w:color w:val="000000"/>
          <w:sz w:val="20"/>
          <w:szCs w:val="20"/>
        </w:rPr>
      </w:pPr>
      <w:r w:rsidRPr="004E27D5">
        <w:rPr>
          <w:rFonts w:ascii="ITC Avant Garde" w:hAnsi="ITC Avant Garde"/>
          <w:color w:val="000000"/>
          <w:sz w:val="20"/>
          <w:szCs w:val="20"/>
        </w:rPr>
        <w:t>I. Preste servicios de telecomunicaciones o radiodifusión sin contar con concesión o autorización…”</w:t>
      </w:r>
    </w:p>
    <w:p w:rsidR="009E7D7C" w:rsidRPr="004E27D5" w:rsidRDefault="00617B62" w:rsidP="00617B62">
      <w:pPr>
        <w:pStyle w:val="Textoindependiente"/>
        <w:tabs>
          <w:tab w:val="left" w:pos="993"/>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Ahora bien, para estar en condiciones de establecer la multa respectiva en términos de lo dispuesto por el artículo antes transcrito, es importante hacer notar que esta autoridad </w:t>
      </w:r>
      <w:proofErr w:type="spellStart"/>
      <w:r w:rsidRPr="004E27D5">
        <w:rPr>
          <w:rFonts w:ascii="ITC Avant Garde" w:eastAsia="Times New Roman" w:hAnsi="ITC Avant Garde"/>
          <w:bCs/>
          <w:color w:val="000000"/>
          <w:lang w:eastAsia="es-MX"/>
        </w:rPr>
        <w:t>resolutora</w:t>
      </w:r>
      <w:proofErr w:type="spellEnd"/>
      <w:r w:rsidRPr="004E27D5">
        <w:rPr>
          <w:rFonts w:ascii="ITC Avant Garde" w:eastAsia="Times New Roman" w:hAnsi="ITC Avant Garde"/>
          <w:bCs/>
          <w:color w:val="000000"/>
          <w:lang w:eastAsia="es-MX"/>
        </w:rPr>
        <w:t xml:space="preserve"> carece de los elementos mínimos necesarios para su cuantificación, en razón que de las constancias que integran el expediente en que se actúa no es posible determinar la identidad de la persona infractora, y consecuentemente el monto de sus ingresos acumulados.</w:t>
      </w:r>
    </w:p>
    <w:p w:rsidR="009E7D7C" w:rsidRPr="004E27D5" w:rsidRDefault="00A0132E" w:rsidP="00A0132E">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Lo anterior, toda vez que en la visita de verificación no se identificó al responsable de la estación y la persona que atendió la misma no se identificó ni aportó mayores datos que pudieran conducir a la identificación del propietario</w:t>
      </w:r>
      <w:r w:rsidR="00DF10ED" w:rsidRPr="004E27D5">
        <w:rPr>
          <w:rFonts w:ascii="ITC Avant Garde" w:eastAsia="Times New Roman" w:hAnsi="ITC Avant Garde"/>
          <w:bCs/>
          <w:color w:val="000000"/>
          <w:lang w:eastAsia="es-MX"/>
        </w:rPr>
        <w:t>, poseedor, responsable y/o encargado</w:t>
      </w:r>
      <w:r w:rsidRPr="004E27D5">
        <w:rPr>
          <w:rFonts w:ascii="ITC Avant Garde" w:eastAsia="Times New Roman" w:hAnsi="ITC Avant Garde"/>
          <w:bCs/>
          <w:color w:val="000000"/>
          <w:lang w:eastAsia="es-MX"/>
        </w:rPr>
        <w:t xml:space="preserve"> de los equipos asegurados, aunado al hecho de que en el expediente </w:t>
      </w:r>
      <w:r w:rsidR="00CB59C7" w:rsidRPr="004E27D5">
        <w:rPr>
          <w:rFonts w:ascii="ITC Avant Garde" w:eastAsia="Times New Roman" w:hAnsi="ITC Avant Garde"/>
          <w:bCs/>
          <w:color w:val="000000"/>
          <w:lang w:eastAsia="es-MX"/>
        </w:rPr>
        <w:t xml:space="preserve">en </w:t>
      </w:r>
      <w:r w:rsidRPr="004E27D5">
        <w:rPr>
          <w:rFonts w:ascii="ITC Avant Garde" w:eastAsia="Times New Roman" w:hAnsi="ITC Avant Garde"/>
          <w:bCs/>
          <w:color w:val="000000"/>
          <w:lang w:eastAsia="es-MX"/>
        </w:rPr>
        <w:t xml:space="preserve">que se actúa no existen elementos de prueba que permitan acreditar de manera contundente la identidad del </w:t>
      </w:r>
      <w:r w:rsidR="00CB59C7" w:rsidRPr="004E27D5">
        <w:rPr>
          <w:rFonts w:ascii="ITC Avant Garde" w:eastAsia="Times New Roman" w:hAnsi="ITC Avant Garde"/>
          <w:b/>
          <w:bCs/>
          <w:color w:val="000000"/>
          <w:lang w:eastAsia="es-MX"/>
        </w:rPr>
        <w:t>PRESUNTO INFRACTOR</w:t>
      </w:r>
      <w:r w:rsidRPr="004E27D5">
        <w:rPr>
          <w:rFonts w:ascii="ITC Avant Garde" w:eastAsia="Times New Roman" w:hAnsi="ITC Avant Garde"/>
          <w:bCs/>
          <w:color w:val="000000"/>
          <w:lang w:eastAsia="es-MX"/>
        </w:rPr>
        <w:t>.</w:t>
      </w:r>
    </w:p>
    <w:p w:rsidR="001561CA" w:rsidRPr="004E27D5" w:rsidRDefault="004F6E68" w:rsidP="00617B62">
      <w:pPr>
        <w:pStyle w:val="Textoindependiente"/>
        <w:tabs>
          <w:tab w:val="left" w:pos="993"/>
        </w:tabs>
        <w:spacing w:after="0" w:line="360" w:lineRule="auto"/>
        <w:jc w:val="both"/>
        <w:rPr>
          <w:rFonts w:ascii="ITC Avant Garde" w:hAnsi="ITC Avant Garde"/>
        </w:rPr>
        <w:sectPr w:rsidR="001561CA" w:rsidRPr="004E27D5" w:rsidSect="009B5755">
          <w:headerReference w:type="default" r:id="rId26"/>
          <w:pgSz w:w="12240" w:h="15840"/>
          <w:pgMar w:top="1985" w:right="1418" w:bottom="1418" w:left="1418" w:header="709" w:footer="420" w:gutter="0"/>
          <w:cols w:space="708"/>
          <w:docGrid w:linePitch="360"/>
        </w:sectPr>
      </w:pPr>
      <w:r w:rsidRPr="004E27D5">
        <w:rPr>
          <w:rFonts w:ascii="ITC Avant Garde" w:eastAsia="Times New Roman" w:hAnsi="ITC Avant Garde"/>
          <w:bCs/>
          <w:color w:val="000000"/>
          <w:lang w:eastAsia="es-MX"/>
        </w:rPr>
        <w:t>A</w:t>
      </w:r>
      <w:r w:rsidR="007B52F6" w:rsidRPr="004E27D5">
        <w:rPr>
          <w:rFonts w:ascii="ITC Avant Garde" w:eastAsia="Times New Roman" w:hAnsi="ITC Avant Garde"/>
          <w:bCs/>
          <w:color w:val="000000"/>
          <w:lang w:eastAsia="es-MX"/>
        </w:rPr>
        <w:t xml:space="preserve">unado a lo anterior, </w:t>
      </w:r>
      <w:r w:rsidRPr="004E27D5">
        <w:rPr>
          <w:rFonts w:ascii="ITC Avant Garde" w:eastAsia="Times New Roman" w:hAnsi="ITC Avant Garde"/>
          <w:bCs/>
          <w:color w:val="000000"/>
          <w:lang w:eastAsia="es-MX"/>
        </w:rPr>
        <w:t>es oportuno mencionar que la</w:t>
      </w:r>
      <w:r w:rsidRPr="004E27D5">
        <w:rPr>
          <w:rFonts w:ascii="ITC Avant Garde" w:eastAsia="Times New Roman" w:hAnsi="ITC Avant Garde"/>
          <w:b/>
          <w:bCs/>
          <w:color w:val="000000"/>
          <w:lang w:eastAsia="es-MX"/>
        </w:rPr>
        <w:t xml:space="preserve"> DGV</w:t>
      </w:r>
      <w:r w:rsidRPr="004E27D5">
        <w:rPr>
          <w:rFonts w:ascii="ITC Avant Garde" w:eastAsia="Times New Roman" w:hAnsi="ITC Avant Garde"/>
          <w:bCs/>
          <w:color w:val="000000"/>
          <w:lang w:eastAsia="es-MX"/>
        </w:rPr>
        <w:t xml:space="preserve"> con la finalidad de allegarse </w:t>
      </w:r>
      <w:r w:rsidR="005B3866" w:rsidRPr="004E27D5">
        <w:rPr>
          <w:rFonts w:ascii="ITC Avant Garde" w:eastAsia="Times New Roman" w:hAnsi="ITC Avant Garde"/>
          <w:bCs/>
          <w:color w:val="000000"/>
          <w:lang w:eastAsia="es-MX"/>
        </w:rPr>
        <w:t xml:space="preserve">de </w:t>
      </w:r>
      <w:r w:rsidRPr="004E27D5">
        <w:rPr>
          <w:rFonts w:ascii="ITC Avant Garde" w:eastAsia="Times New Roman" w:hAnsi="ITC Avant Garde"/>
          <w:bCs/>
          <w:color w:val="000000"/>
          <w:lang w:eastAsia="es-MX"/>
        </w:rPr>
        <w:t>elementos que permitieran la plena identificación del presunto infractor,</w:t>
      </w:r>
      <w:r w:rsidR="00FB392B" w:rsidRPr="004E27D5">
        <w:rPr>
          <w:rFonts w:ascii="ITC Avant Garde" w:eastAsia="Times New Roman" w:hAnsi="ITC Avant Garde"/>
          <w:bCs/>
          <w:color w:val="000000"/>
          <w:lang w:eastAsia="es-MX"/>
        </w:rPr>
        <w:t xml:space="preserve"> con fechas</w:t>
      </w:r>
      <w:r w:rsidRPr="004E27D5">
        <w:rPr>
          <w:rFonts w:ascii="ITC Avant Garde" w:eastAsia="Times New Roman" w:hAnsi="ITC Avant Garde"/>
          <w:bCs/>
          <w:color w:val="000000"/>
          <w:lang w:eastAsia="es-MX"/>
        </w:rPr>
        <w:t xml:space="preserve"> </w:t>
      </w:r>
      <w:r w:rsidR="00FB392B" w:rsidRPr="004E27D5">
        <w:rPr>
          <w:rFonts w:ascii="ITC Avant Garde" w:hAnsi="ITC Avant Garde"/>
        </w:rPr>
        <w:t>treinta de junio y tres de julio de dos mil diecisiete</w:t>
      </w:r>
      <w:r w:rsidR="00EE3774" w:rsidRPr="004E27D5">
        <w:rPr>
          <w:rFonts w:ascii="ITC Avant Garde" w:hAnsi="ITC Avant Garde"/>
        </w:rPr>
        <w:t>,</w:t>
      </w:r>
      <w:r w:rsidR="00E5716E" w:rsidRPr="004E27D5">
        <w:rPr>
          <w:rFonts w:ascii="ITC Avant Garde" w:eastAsia="Times New Roman" w:hAnsi="ITC Avant Garde"/>
          <w:bCs/>
          <w:color w:val="000000"/>
          <w:lang w:eastAsia="es-MX"/>
        </w:rPr>
        <w:t xml:space="preserve"> </w:t>
      </w:r>
      <w:r w:rsidR="00156682" w:rsidRPr="004E27D5">
        <w:rPr>
          <w:rFonts w:ascii="ITC Avant Garde" w:eastAsia="Times New Roman" w:hAnsi="ITC Avant Garde"/>
          <w:bCs/>
          <w:color w:val="000000"/>
          <w:lang w:eastAsia="es-MX"/>
        </w:rPr>
        <w:t xml:space="preserve">solicitó </w:t>
      </w:r>
      <w:r w:rsidR="000D0152" w:rsidRPr="004E27D5">
        <w:rPr>
          <w:rFonts w:ascii="ITC Avant Garde" w:hAnsi="ITC Avant Garde"/>
        </w:rPr>
        <w:t xml:space="preserve">mediante oficios </w:t>
      </w:r>
      <w:r w:rsidR="000D0152" w:rsidRPr="004E27D5">
        <w:rPr>
          <w:rFonts w:ascii="ITC Avant Garde" w:hAnsi="ITC Avant Garde"/>
          <w:b/>
        </w:rPr>
        <w:t>IFT/225/UC/DG-VER/1354/2017</w:t>
      </w:r>
      <w:r w:rsidR="000D0152" w:rsidRPr="004E27D5">
        <w:rPr>
          <w:rFonts w:ascii="ITC Avant Garde" w:hAnsi="ITC Avant Garde"/>
        </w:rPr>
        <w:t xml:space="preserve"> e </w:t>
      </w:r>
      <w:r w:rsidR="000D0152" w:rsidRPr="004E27D5">
        <w:rPr>
          <w:rFonts w:ascii="ITC Avant Garde" w:hAnsi="ITC Avant Garde"/>
          <w:b/>
        </w:rPr>
        <w:t>IFT/225/UC/DG-VER/1353/2017</w:t>
      </w:r>
      <w:r w:rsidR="000D0152" w:rsidRPr="004E27D5">
        <w:rPr>
          <w:rFonts w:ascii="ITC Avant Garde" w:hAnsi="ITC Avant Garde"/>
        </w:rPr>
        <w:t xml:space="preserve"> </w:t>
      </w:r>
      <w:r w:rsidR="00FB392B" w:rsidRPr="004E27D5">
        <w:rPr>
          <w:rFonts w:ascii="ITC Avant Garde" w:hAnsi="ITC Avant Garde"/>
        </w:rPr>
        <w:t>en el primer caso al Instituto de la Función Registral del Estado de México y en el segundo al Catastro Municipal del H. Ayuntamiento de Valle de Bravo</w:t>
      </w:r>
      <w:r w:rsidR="008C5169" w:rsidRPr="004E27D5">
        <w:rPr>
          <w:rFonts w:ascii="ITC Avant Garde" w:eastAsia="Times New Roman" w:hAnsi="ITC Avant Garde"/>
          <w:bCs/>
          <w:color w:val="000000"/>
          <w:lang w:eastAsia="es-MX"/>
        </w:rPr>
        <w:t>,</w:t>
      </w:r>
      <w:r w:rsidR="008B47F8" w:rsidRPr="004E27D5">
        <w:rPr>
          <w:rFonts w:ascii="ITC Avant Garde" w:eastAsia="Times New Roman" w:hAnsi="ITC Avant Garde"/>
          <w:bCs/>
          <w:color w:val="000000"/>
          <w:lang w:eastAsia="es-MX"/>
        </w:rPr>
        <w:t xml:space="preserve"> </w:t>
      </w:r>
      <w:r w:rsidRPr="004E27D5">
        <w:rPr>
          <w:rFonts w:ascii="ITC Avant Garde" w:eastAsia="Times New Roman" w:hAnsi="ITC Avant Garde"/>
          <w:bCs/>
          <w:color w:val="000000"/>
          <w:lang w:eastAsia="es-MX"/>
        </w:rPr>
        <w:t xml:space="preserve">que </w:t>
      </w:r>
      <w:r w:rsidR="008C5169" w:rsidRPr="004E27D5">
        <w:rPr>
          <w:rFonts w:ascii="ITC Avant Garde" w:eastAsia="Times New Roman" w:hAnsi="ITC Avant Garde"/>
          <w:bCs/>
          <w:color w:val="000000"/>
          <w:lang w:eastAsia="es-MX"/>
        </w:rPr>
        <w:t>proporcionara</w:t>
      </w:r>
      <w:r w:rsidR="00F40469" w:rsidRPr="004E27D5">
        <w:rPr>
          <w:rFonts w:ascii="ITC Avant Garde" w:eastAsia="Times New Roman" w:hAnsi="ITC Avant Garde"/>
          <w:bCs/>
          <w:color w:val="000000"/>
          <w:lang w:eastAsia="es-MX"/>
        </w:rPr>
        <w:t>n</w:t>
      </w:r>
      <w:r w:rsidR="008C5169" w:rsidRPr="004E27D5">
        <w:rPr>
          <w:rFonts w:ascii="ITC Avant Garde" w:eastAsia="Times New Roman" w:hAnsi="ITC Avant Garde"/>
          <w:bCs/>
          <w:color w:val="000000"/>
          <w:lang w:eastAsia="es-MX"/>
        </w:rPr>
        <w:t xml:space="preserve"> mediante constancia debidamente certificada el nombre de la persona física </w:t>
      </w:r>
      <w:r w:rsidR="0022690E" w:rsidRPr="004E27D5">
        <w:rPr>
          <w:rFonts w:ascii="ITC Avant Garde" w:eastAsia="Times New Roman" w:hAnsi="ITC Avant Garde"/>
          <w:bCs/>
          <w:color w:val="000000"/>
          <w:lang w:eastAsia="es-MX"/>
        </w:rPr>
        <w:t>o moral propietaria</w:t>
      </w:r>
      <w:r w:rsidRPr="004E27D5">
        <w:rPr>
          <w:rFonts w:ascii="ITC Avant Garde" w:eastAsia="Times New Roman" w:hAnsi="ITC Avant Garde"/>
          <w:bCs/>
          <w:color w:val="000000"/>
          <w:lang w:eastAsia="es-MX"/>
        </w:rPr>
        <w:t xml:space="preserve"> y/o poseedora del inmueble ubicado </w:t>
      </w:r>
      <w:r w:rsidR="0022690E" w:rsidRPr="004E27D5">
        <w:rPr>
          <w:rFonts w:ascii="ITC Avant Garde" w:eastAsia="Times New Roman" w:hAnsi="ITC Avant Garde"/>
          <w:bCs/>
          <w:color w:val="000000"/>
          <w:lang w:eastAsia="es-MX"/>
        </w:rPr>
        <w:t xml:space="preserve">en </w:t>
      </w:r>
      <w:r w:rsidR="00A52BF9" w:rsidRPr="004E27D5">
        <w:rPr>
          <w:rFonts w:ascii="ITC Avant Garde" w:hAnsi="ITC Avant Garde"/>
          <w:b/>
          <w:color w:val="0000FF"/>
        </w:rPr>
        <w:t>“CONFIDENCIAL POR LEY”</w:t>
      </w:r>
      <w:r w:rsidR="00C9435A" w:rsidRPr="004E27D5">
        <w:rPr>
          <w:rFonts w:ascii="ITC Avant Garde" w:hAnsi="ITC Avant Garde"/>
          <w:color w:val="0000FF"/>
        </w:rPr>
        <w:t xml:space="preserve"> </w:t>
      </w:r>
      <w:r w:rsidR="00C9435A" w:rsidRPr="004E27D5">
        <w:rPr>
          <w:rFonts w:ascii="ITC Avant Garde" w:hAnsi="ITC Avant Garde"/>
        </w:rPr>
        <w:t>Municipio de Valle de Bravo, Estado de México</w:t>
      </w:r>
      <w:r w:rsidR="0044044E" w:rsidRPr="004E27D5">
        <w:rPr>
          <w:rFonts w:ascii="ITC Avant Garde" w:hAnsi="ITC Avant Garde"/>
        </w:rPr>
        <w:t>, sin embargo</w:t>
      </w:r>
      <w:r w:rsidR="00FB392B" w:rsidRPr="004E27D5">
        <w:rPr>
          <w:rFonts w:ascii="ITC Avant Garde" w:hAnsi="ITC Avant Garde"/>
        </w:rPr>
        <w:t xml:space="preserve"> cabe señalar que</w:t>
      </w:r>
      <w:r w:rsidR="0044044E" w:rsidRPr="004E27D5">
        <w:rPr>
          <w:rFonts w:ascii="ITC Avant Garde" w:hAnsi="ITC Avant Garde"/>
        </w:rPr>
        <w:t xml:space="preserve"> a la fecha en que se emite la presente, </w:t>
      </w:r>
      <w:r w:rsidR="00FB392B" w:rsidRPr="004E27D5">
        <w:rPr>
          <w:rFonts w:ascii="ITC Avant Garde" w:eastAsia="Times New Roman" w:hAnsi="ITC Avant Garde"/>
          <w:bCs/>
          <w:color w:val="000000"/>
          <w:lang w:eastAsia="es-MX"/>
        </w:rPr>
        <w:t>únicamente se recibió respuesta por parte de</w:t>
      </w:r>
      <w:r w:rsidR="00FB392B" w:rsidRPr="004E27D5">
        <w:rPr>
          <w:rFonts w:ascii="ITC Avant Garde" w:hAnsi="ITC Avant Garde"/>
        </w:rPr>
        <w:t>l Registrador Público de la Propiedad y del Comercio en Valle de Bravo</w:t>
      </w:r>
      <w:r w:rsidR="009A304D" w:rsidRPr="004E27D5">
        <w:rPr>
          <w:rFonts w:ascii="ITC Avant Garde" w:hAnsi="ITC Avant Garde"/>
        </w:rPr>
        <w:t>,</w:t>
      </w:r>
      <w:r w:rsidR="00FB392B" w:rsidRPr="004E27D5">
        <w:rPr>
          <w:rFonts w:ascii="ITC Avant Garde" w:eastAsia="Times New Roman" w:hAnsi="ITC Avant Garde"/>
          <w:bCs/>
          <w:color w:val="000000"/>
          <w:lang w:eastAsia="es-MX"/>
        </w:rPr>
        <w:t xml:space="preserve"> </w:t>
      </w:r>
      <w:r w:rsidR="009A304D" w:rsidRPr="004E27D5">
        <w:rPr>
          <w:rFonts w:ascii="ITC Avant Garde" w:hAnsi="ITC Avant Garde"/>
        </w:rPr>
        <w:t xml:space="preserve">Estado de México </w:t>
      </w:r>
      <w:r w:rsidR="00FB392B" w:rsidRPr="004E27D5">
        <w:rPr>
          <w:rFonts w:ascii="ITC Avant Garde" w:eastAsia="Times New Roman" w:hAnsi="ITC Avant Garde"/>
          <w:bCs/>
          <w:color w:val="000000"/>
          <w:lang w:eastAsia="es-MX"/>
        </w:rPr>
        <w:t>mediante</w:t>
      </w:r>
      <w:r w:rsidR="00FB392B" w:rsidRPr="004E27D5">
        <w:rPr>
          <w:rFonts w:ascii="ITC Avant Garde" w:hAnsi="ITC Avant Garde"/>
        </w:rPr>
        <w:t xml:space="preserve"> oficio </w:t>
      </w:r>
    </w:p>
    <w:p w:rsidR="009E7D7C" w:rsidRPr="004E27D5" w:rsidRDefault="00FB392B" w:rsidP="00617B62">
      <w:pPr>
        <w:pStyle w:val="Textoindependiente"/>
        <w:tabs>
          <w:tab w:val="left" w:pos="993"/>
        </w:tabs>
        <w:spacing w:after="0" w:line="360" w:lineRule="auto"/>
        <w:jc w:val="both"/>
        <w:rPr>
          <w:rFonts w:ascii="ITC Avant Garde" w:eastAsia="Times New Roman" w:hAnsi="ITC Avant Garde"/>
          <w:bCs/>
          <w:color w:val="000000"/>
          <w:lang w:eastAsia="es-MX"/>
        </w:rPr>
      </w:pPr>
      <w:r w:rsidRPr="004E27D5">
        <w:rPr>
          <w:rFonts w:ascii="ITC Avant Garde" w:hAnsi="ITC Avant Garde"/>
        </w:rPr>
        <w:lastRenderedPageBreak/>
        <w:t xml:space="preserve">227B13319/0824/2017 de fecha catorce de julio de dos mil diecisiete, a través del cual informó que </w:t>
      </w:r>
      <w:r w:rsidRPr="004E27D5">
        <w:rPr>
          <w:rFonts w:ascii="ITC Avant Garde" w:hAnsi="ITC Avant Garde"/>
          <w:b/>
        </w:rPr>
        <w:t>“…no es posible efectuar búsqueda alguna con los datos proporcionados”</w:t>
      </w:r>
      <w:r w:rsidR="003A7086" w:rsidRPr="004E27D5">
        <w:rPr>
          <w:rFonts w:ascii="ITC Avant Garde" w:eastAsia="Times New Roman" w:hAnsi="ITC Avant Garde"/>
          <w:bCs/>
          <w:color w:val="000000"/>
          <w:lang w:eastAsia="es-MX"/>
        </w:rPr>
        <w:t>.</w:t>
      </w:r>
      <w:r w:rsidR="004F6E68" w:rsidRPr="004E27D5">
        <w:rPr>
          <w:rFonts w:ascii="ITC Avant Garde" w:eastAsia="Times New Roman" w:hAnsi="ITC Avant Garde"/>
          <w:bCs/>
          <w:color w:val="000000"/>
          <w:lang w:eastAsia="es-MX"/>
        </w:rPr>
        <w:t xml:space="preserve"> </w:t>
      </w:r>
    </w:p>
    <w:p w:rsidR="009E7D7C" w:rsidRPr="004E27D5" w:rsidRDefault="00156682" w:rsidP="009E6F92">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De lo anterior se advierte </w:t>
      </w:r>
      <w:r w:rsidR="009E6F92" w:rsidRPr="004E27D5">
        <w:rPr>
          <w:rFonts w:ascii="ITC Avant Garde" w:eastAsia="Times New Roman" w:hAnsi="ITC Avant Garde"/>
          <w:bCs/>
          <w:color w:val="000000"/>
          <w:lang w:eastAsia="es-MX"/>
        </w:rPr>
        <w:t xml:space="preserve">que no fue posible identificar al propietario del inmueble </w:t>
      </w:r>
      <w:r w:rsidRPr="004E27D5">
        <w:rPr>
          <w:rFonts w:ascii="ITC Avant Garde" w:eastAsia="Times New Roman" w:hAnsi="ITC Avant Garde"/>
          <w:bCs/>
          <w:color w:val="000000"/>
          <w:lang w:eastAsia="es-MX"/>
        </w:rPr>
        <w:t xml:space="preserve">donde se aseguraron los equipos de radiodifusión relacionados con el acta de mérito y consecuentemente los ingresos del mismo, </w:t>
      </w:r>
      <w:r w:rsidR="00617B62" w:rsidRPr="004E27D5">
        <w:rPr>
          <w:rFonts w:ascii="ITC Avant Garde" w:eastAsia="Times New Roman" w:hAnsi="ITC Avant Garde"/>
          <w:bCs/>
          <w:color w:val="000000"/>
          <w:lang w:eastAsia="es-MX"/>
        </w:rPr>
        <w:t>es decir no se cuenta con los elementos suficientes para individualizar la sanción prevista en este artículo.</w:t>
      </w:r>
    </w:p>
    <w:p w:rsidR="009E7D7C" w:rsidRPr="004E27D5" w:rsidRDefault="00617B62">
      <w:pPr>
        <w:spacing w:after="0" w:line="360" w:lineRule="auto"/>
        <w:jc w:val="both"/>
        <w:rPr>
          <w:rFonts w:ascii="Times New Roman" w:hAnsi="Times New Roman"/>
          <w:sz w:val="24"/>
          <w:szCs w:val="24"/>
          <w:lang w:eastAsia="es-MX"/>
        </w:rPr>
      </w:pPr>
      <w:r w:rsidRPr="004E27D5">
        <w:rPr>
          <w:rFonts w:ascii="ITC Avant Garde" w:hAnsi="ITC Avant Garde"/>
          <w:color w:val="000000"/>
          <w:lang w:eastAsia="es-MX"/>
        </w:rPr>
        <w:t xml:space="preserve">Conforme a lo antes expuesto, </w:t>
      </w:r>
      <w:r w:rsidR="00F60BA2" w:rsidRPr="004E27D5">
        <w:rPr>
          <w:rFonts w:ascii="ITC Avant Garde" w:hAnsi="ITC Avant Garde"/>
          <w:color w:val="000000"/>
          <w:lang w:eastAsia="es-MX"/>
        </w:rPr>
        <w:t>resulta claro que no existe</w:t>
      </w:r>
      <w:r w:rsidRPr="004E27D5">
        <w:rPr>
          <w:rFonts w:ascii="ITC Avant Garde" w:hAnsi="ITC Avant Garde"/>
          <w:color w:val="000000"/>
          <w:lang w:eastAsia="es-MX"/>
        </w:rPr>
        <w:t xml:space="preserve"> plena identificación del </w:t>
      </w:r>
      <w:r w:rsidR="00A01799" w:rsidRPr="004E27D5">
        <w:rPr>
          <w:rFonts w:ascii="ITC Avant Garde" w:hAnsi="ITC Avant Garde"/>
          <w:b/>
        </w:rPr>
        <w:t>PRESUNTO RESPONSABLE</w:t>
      </w:r>
      <w:r w:rsidR="00156682" w:rsidRPr="004E27D5">
        <w:rPr>
          <w:rFonts w:ascii="ITC Avant Garde" w:eastAsia="Times New Roman" w:hAnsi="ITC Avant Garde"/>
          <w:bCs/>
          <w:color w:val="000000"/>
          <w:lang w:eastAsia="es-MX"/>
        </w:rPr>
        <w:t xml:space="preserve"> </w:t>
      </w:r>
      <w:r w:rsidR="00F60BA2" w:rsidRPr="004E27D5">
        <w:rPr>
          <w:rFonts w:ascii="ITC Avant Garde" w:hAnsi="ITC Avant Garde"/>
          <w:color w:val="000000"/>
          <w:lang w:eastAsia="es-MX"/>
        </w:rPr>
        <w:t>toda vez</w:t>
      </w:r>
      <w:r w:rsidR="00135AE9" w:rsidRPr="004E27D5">
        <w:rPr>
          <w:rFonts w:ascii="ITC Avant Garde" w:hAnsi="ITC Avant Garde"/>
          <w:color w:val="000000"/>
          <w:lang w:eastAsia="es-MX"/>
        </w:rPr>
        <w:t xml:space="preserve"> </w:t>
      </w:r>
      <w:r w:rsidRPr="004E27D5">
        <w:rPr>
          <w:rFonts w:ascii="ITC Avant Garde" w:hAnsi="ITC Avant Garde"/>
          <w:color w:val="000000"/>
          <w:lang w:eastAsia="es-MX"/>
        </w:rPr>
        <w:t>que la persona que atendió la visita</w:t>
      </w:r>
      <w:r w:rsidR="00FB392B" w:rsidRPr="004E27D5">
        <w:rPr>
          <w:rFonts w:ascii="ITC Avant Garde" w:hAnsi="ITC Avant Garde"/>
          <w:color w:val="000000"/>
          <w:lang w:eastAsia="es-MX"/>
        </w:rPr>
        <w:t>,</w:t>
      </w:r>
      <w:r w:rsidRPr="004E27D5">
        <w:rPr>
          <w:rFonts w:ascii="ITC Avant Garde" w:hAnsi="ITC Avant Garde"/>
          <w:color w:val="000000"/>
          <w:lang w:eastAsia="es-MX"/>
        </w:rPr>
        <w:t xml:space="preserve"> </w:t>
      </w:r>
      <w:r w:rsidR="00FB392B" w:rsidRPr="004E27D5">
        <w:rPr>
          <w:rFonts w:ascii="ITC Avant Garde" w:hAnsi="ITC Avant Garde"/>
          <w:color w:val="000000"/>
          <w:lang w:eastAsia="es-MX"/>
        </w:rPr>
        <w:t>respecto del propietario d</w:t>
      </w:r>
      <w:r w:rsidR="00BD5623" w:rsidRPr="004E27D5">
        <w:rPr>
          <w:rFonts w:ascii="ITC Avant Garde" w:hAnsi="ITC Avant Garde"/>
          <w:color w:val="000000"/>
          <w:lang w:eastAsia="es-MX"/>
        </w:rPr>
        <w:t>e los equipos de radiodifusión</w:t>
      </w:r>
      <w:r w:rsidR="00FB392B" w:rsidRPr="004E27D5">
        <w:rPr>
          <w:rFonts w:ascii="ITC Avant Garde" w:hAnsi="ITC Avant Garde"/>
          <w:color w:val="000000"/>
          <w:lang w:eastAsia="es-MX"/>
        </w:rPr>
        <w:t>, manifestó:</w:t>
      </w:r>
      <w:r w:rsidR="00BD5623" w:rsidRPr="004E27D5">
        <w:rPr>
          <w:rFonts w:ascii="ITC Avant Garde" w:hAnsi="ITC Avant Garde"/>
          <w:color w:val="000000"/>
          <w:lang w:eastAsia="es-MX"/>
        </w:rPr>
        <w:t xml:space="preserve"> </w:t>
      </w:r>
      <w:r w:rsidR="00CB59C7" w:rsidRPr="004E27D5">
        <w:rPr>
          <w:rFonts w:ascii="ITC Avant Garde" w:hAnsi="ITC Avant Garde"/>
          <w:b/>
          <w:color w:val="000000"/>
          <w:lang w:eastAsia="es-MX"/>
        </w:rPr>
        <w:t>“</w:t>
      </w:r>
      <w:r w:rsidR="00FB392B" w:rsidRPr="004E27D5">
        <w:rPr>
          <w:rFonts w:ascii="ITC Avant Garde" w:hAnsi="ITC Avant Garde" w:cs="Tahoma"/>
          <w:b/>
          <w:sz w:val="21"/>
          <w:szCs w:val="21"/>
        </w:rPr>
        <w:t>no tengo el nombre del dueño ya tiene varios meses que no viene</w:t>
      </w:r>
      <w:r w:rsidR="00CB59C7" w:rsidRPr="004E27D5">
        <w:rPr>
          <w:rFonts w:ascii="ITC Avant Garde" w:hAnsi="ITC Avant Garde" w:cs="Tahoma"/>
          <w:b/>
        </w:rPr>
        <w:t>”</w:t>
      </w:r>
      <w:r w:rsidR="00CB59C7" w:rsidRPr="004E27D5" w:rsidDel="00CB59C7">
        <w:rPr>
          <w:rFonts w:ascii="ITC Avant Garde" w:hAnsi="ITC Avant Garde"/>
          <w:color w:val="000000"/>
          <w:lang w:eastAsia="es-MX"/>
        </w:rPr>
        <w:t xml:space="preserve"> </w:t>
      </w:r>
      <w:r w:rsidR="00FB392B" w:rsidRPr="004E27D5">
        <w:rPr>
          <w:rFonts w:ascii="ITC Avant Garde" w:hAnsi="ITC Avant Garde"/>
          <w:color w:val="000000"/>
          <w:lang w:eastAsia="es-MX"/>
        </w:rPr>
        <w:t>declaración</w:t>
      </w:r>
      <w:r w:rsidR="00E91C79" w:rsidRPr="004E27D5">
        <w:rPr>
          <w:rFonts w:ascii="ITC Avant Garde" w:hAnsi="ITC Avant Garde"/>
          <w:color w:val="000000"/>
          <w:lang w:eastAsia="es-MX"/>
        </w:rPr>
        <w:t xml:space="preserve"> que no resulta suficiente</w:t>
      </w:r>
      <w:r w:rsidR="00A639DE" w:rsidRPr="004E27D5">
        <w:rPr>
          <w:rFonts w:ascii="ITC Avant Garde" w:hAnsi="ITC Avant Garde"/>
          <w:color w:val="000000"/>
          <w:lang w:eastAsia="es-MX"/>
        </w:rPr>
        <w:t xml:space="preserve"> para acreditar la propiedad de los equipos detectados </w:t>
      </w:r>
      <w:r w:rsidR="00F60BA2" w:rsidRPr="004E27D5">
        <w:rPr>
          <w:rFonts w:ascii="ITC Avant Garde" w:hAnsi="ITC Avant Garde"/>
          <w:color w:val="000000"/>
          <w:lang w:eastAsia="es-MX"/>
        </w:rPr>
        <w:t>y en consecuencia</w:t>
      </w:r>
      <w:r w:rsidR="00F8486D" w:rsidRPr="004E27D5">
        <w:rPr>
          <w:rFonts w:ascii="ITC Avant Garde" w:hAnsi="ITC Avant Garde"/>
          <w:color w:val="000000"/>
          <w:lang w:eastAsia="es-MX"/>
        </w:rPr>
        <w:t xml:space="preserve"> se desconoce</w:t>
      </w:r>
      <w:r w:rsidR="00F60BA2" w:rsidRPr="004E27D5">
        <w:rPr>
          <w:rFonts w:ascii="ITC Avant Garde" w:hAnsi="ITC Avant Garde"/>
          <w:color w:val="000000"/>
          <w:lang w:eastAsia="es-MX"/>
        </w:rPr>
        <w:t xml:space="preserve"> </w:t>
      </w:r>
      <w:r w:rsidR="00F34413" w:rsidRPr="004E27D5">
        <w:rPr>
          <w:rFonts w:ascii="ITC Avant Garde" w:hAnsi="ITC Avant Garde"/>
          <w:color w:val="000000"/>
          <w:lang w:eastAsia="es-MX"/>
        </w:rPr>
        <w:t>el nombre de</w:t>
      </w:r>
      <w:r w:rsidR="000C77CA" w:rsidRPr="004E27D5">
        <w:rPr>
          <w:rFonts w:ascii="ITC Avant Garde" w:hAnsi="ITC Avant Garde"/>
          <w:color w:val="000000"/>
          <w:lang w:eastAsia="es-MX"/>
        </w:rPr>
        <w:t>l</w:t>
      </w:r>
      <w:r w:rsidR="00F34413" w:rsidRPr="004E27D5">
        <w:rPr>
          <w:rFonts w:ascii="ITC Avant Garde" w:hAnsi="ITC Avant Garde"/>
          <w:color w:val="000000"/>
          <w:lang w:eastAsia="es-MX"/>
        </w:rPr>
        <w:t xml:space="preserve"> </w:t>
      </w:r>
      <w:r w:rsidR="00135AE9" w:rsidRPr="004E27D5">
        <w:rPr>
          <w:rFonts w:ascii="ITC Avant Garde" w:hAnsi="ITC Avant Garde"/>
          <w:color w:val="000000"/>
          <w:lang w:eastAsia="es-MX"/>
        </w:rPr>
        <w:t xml:space="preserve">propietario de la estación de radiodifusión que operaba en la frecuencia </w:t>
      </w:r>
      <w:r w:rsidR="00C9435A" w:rsidRPr="004E27D5">
        <w:rPr>
          <w:rFonts w:ascii="ITC Avant Garde" w:hAnsi="ITC Avant Garde"/>
          <w:b/>
          <w:caps/>
        </w:rPr>
        <w:t>106.1</w:t>
      </w:r>
      <w:r w:rsidR="002C1AD8" w:rsidRPr="004E27D5">
        <w:rPr>
          <w:rFonts w:ascii="ITC Avant Garde" w:hAnsi="ITC Avant Garde"/>
          <w:b/>
        </w:rPr>
        <w:t xml:space="preserve"> MHz</w:t>
      </w:r>
      <w:r w:rsidR="00135AE9" w:rsidRPr="004E27D5">
        <w:rPr>
          <w:rFonts w:ascii="ITC Avant Garde" w:hAnsi="ITC Avant Garde"/>
          <w:b/>
          <w:color w:val="000000"/>
          <w:lang w:eastAsia="es-MX"/>
        </w:rPr>
        <w:t xml:space="preserve">, </w:t>
      </w:r>
      <w:r w:rsidR="00F60BA2" w:rsidRPr="004E27D5">
        <w:rPr>
          <w:rFonts w:ascii="ITC Avant Garde" w:hAnsi="ITC Avant Garde"/>
          <w:color w:val="000000"/>
          <w:lang w:eastAsia="es-MX"/>
        </w:rPr>
        <w:t>ya que</w:t>
      </w:r>
      <w:r w:rsidR="00F60BA2" w:rsidRPr="004E27D5">
        <w:rPr>
          <w:rFonts w:ascii="ITC Avant Garde" w:hAnsi="ITC Avant Garde"/>
          <w:b/>
          <w:color w:val="000000"/>
          <w:lang w:eastAsia="es-MX"/>
        </w:rPr>
        <w:t xml:space="preserve"> </w:t>
      </w:r>
      <w:r w:rsidR="00135AE9" w:rsidRPr="004E27D5">
        <w:rPr>
          <w:rFonts w:ascii="ITC Avant Garde" w:hAnsi="ITC Avant Garde"/>
          <w:color w:val="000000"/>
          <w:lang w:eastAsia="es-MX"/>
        </w:rPr>
        <w:t>no existe</w:t>
      </w:r>
      <w:r w:rsidR="00135AE9" w:rsidRPr="004E27D5">
        <w:rPr>
          <w:rFonts w:ascii="ITC Avant Garde" w:hAnsi="ITC Avant Garde"/>
          <w:b/>
          <w:color w:val="000000"/>
          <w:lang w:eastAsia="es-MX"/>
        </w:rPr>
        <w:t xml:space="preserve"> </w:t>
      </w:r>
      <w:r w:rsidRPr="004E27D5">
        <w:rPr>
          <w:rFonts w:ascii="ITC Avant Garde" w:hAnsi="ITC Avant Garde"/>
          <w:color w:val="000000"/>
          <w:lang w:eastAsia="es-MX"/>
        </w:rPr>
        <w:t xml:space="preserve">dato </w:t>
      </w:r>
      <w:r w:rsidR="00135AE9" w:rsidRPr="004E27D5">
        <w:rPr>
          <w:rFonts w:ascii="ITC Avant Garde" w:hAnsi="ITC Avant Garde"/>
          <w:color w:val="000000"/>
          <w:lang w:eastAsia="es-MX"/>
        </w:rPr>
        <w:t>alguno q</w:t>
      </w:r>
      <w:r w:rsidRPr="004E27D5">
        <w:rPr>
          <w:rFonts w:ascii="ITC Avant Garde" w:hAnsi="ITC Avant Garde"/>
          <w:color w:val="000000"/>
          <w:lang w:eastAsia="es-MX"/>
        </w:rPr>
        <w:t>ue permita</w:t>
      </w:r>
      <w:r w:rsidR="00F60BA2" w:rsidRPr="004E27D5">
        <w:rPr>
          <w:rFonts w:ascii="ITC Avant Garde" w:hAnsi="ITC Avant Garde"/>
          <w:color w:val="000000"/>
          <w:lang w:eastAsia="es-MX"/>
        </w:rPr>
        <w:t xml:space="preserve"> a esta autoridad identificar al </w:t>
      </w:r>
      <w:r w:rsidR="00F60BA2" w:rsidRPr="004E27D5">
        <w:rPr>
          <w:rFonts w:ascii="ITC Avant Garde" w:hAnsi="ITC Avant Garde"/>
          <w:b/>
          <w:color w:val="000000"/>
          <w:lang w:eastAsia="es-MX"/>
        </w:rPr>
        <w:t>PRESUNTO RESPONSABLE</w:t>
      </w:r>
      <w:r w:rsidRPr="004E27D5">
        <w:rPr>
          <w:rFonts w:ascii="ITC Avant Garde" w:hAnsi="ITC Avant Garde"/>
          <w:color w:val="000000"/>
          <w:lang w:eastAsia="es-MX"/>
        </w:rPr>
        <w:t xml:space="preserve"> no obstante los esfuerzos realizados para obtener dicha información</w:t>
      </w:r>
      <w:r w:rsidR="00F60BA2" w:rsidRPr="004E27D5">
        <w:rPr>
          <w:rFonts w:ascii="ITC Avant Garde" w:hAnsi="ITC Avant Garde"/>
          <w:color w:val="000000"/>
          <w:lang w:eastAsia="es-MX"/>
        </w:rPr>
        <w:t>. En consecuencia</w:t>
      </w:r>
      <w:r w:rsidR="00156682" w:rsidRPr="004E27D5">
        <w:rPr>
          <w:rFonts w:ascii="ITC Avant Garde" w:hAnsi="ITC Avant Garde"/>
          <w:color w:val="000000"/>
          <w:lang w:eastAsia="es-MX"/>
        </w:rPr>
        <w:t>,</w:t>
      </w:r>
      <w:r w:rsidRPr="004E27D5">
        <w:rPr>
          <w:rFonts w:ascii="ITC Avant Garde" w:hAnsi="ITC Avant Garde"/>
          <w:color w:val="000000"/>
          <w:lang w:eastAsia="es-MX"/>
        </w:rPr>
        <w:t xml:space="preserve"> esta autoridad </w:t>
      </w:r>
      <w:proofErr w:type="spellStart"/>
      <w:r w:rsidRPr="004E27D5">
        <w:rPr>
          <w:rFonts w:ascii="ITC Avant Garde" w:hAnsi="ITC Avant Garde"/>
          <w:color w:val="000000"/>
          <w:lang w:eastAsia="es-MX"/>
        </w:rPr>
        <w:t>resolutora</w:t>
      </w:r>
      <w:proofErr w:type="spellEnd"/>
      <w:r w:rsidRPr="004E27D5">
        <w:rPr>
          <w:rFonts w:ascii="ITC Avant Garde" w:hAnsi="ITC Avant Garde"/>
          <w:color w:val="000000"/>
          <w:lang w:eastAsia="es-MX"/>
        </w:rPr>
        <w:t xml:space="preserve"> considera inviable imponer una sanción económica en el presente</w:t>
      </w:r>
      <w:r w:rsidR="00F60BA2" w:rsidRPr="004E27D5">
        <w:rPr>
          <w:rFonts w:ascii="ITC Avant Garde" w:hAnsi="ITC Avant Garde"/>
          <w:color w:val="000000"/>
          <w:lang w:eastAsia="es-MX"/>
        </w:rPr>
        <w:t xml:space="preserve"> asunto</w:t>
      </w:r>
      <w:r w:rsidRPr="004E27D5">
        <w:rPr>
          <w:rFonts w:ascii="ITC Avant Garde" w:hAnsi="ITC Avant Garde"/>
          <w:color w:val="000000"/>
          <w:lang w:eastAsia="es-MX"/>
        </w:rPr>
        <w:t xml:space="preserve"> </w:t>
      </w:r>
      <w:r w:rsidR="00156682" w:rsidRPr="004E27D5">
        <w:rPr>
          <w:rFonts w:ascii="ITC Avant Garde" w:eastAsia="Times New Roman" w:hAnsi="ITC Avant Garde"/>
          <w:bCs/>
          <w:color w:val="000000"/>
          <w:lang w:eastAsia="es-MX"/>
        </w:rPr>
        <w:t xml:space="preserve">ya que no se cuenta con los elementos para individualizar la misma, en términos de los artículos 298 </w:t>
      </w:r>
      <w:r w:rsidR="00D976F6" w:rsidRPr="004E27D5">
        <w:rPr>
          <w:rFonts w:ascii="ITC Avant Garde" w:eastAsia="Times New Roman" w:hAnsi="ITC Avant Garde"/>
          <w:bCs/>
          <w:color w:val="000000"/>
          <w:lang w:eastAsia="es-MX"/>
        </w:rPr>
        <w:t xml:space="preserve">y 299 de la </w:t>
      </w:r>
      <w:r w:rsidR="006310EA" w:rsidRPr="004E27D5">
        <w:rPr>
          <w:rFonts w:ascii="ITC Avant Garde" w:eastAsia="Times New Roman" w:hAnsi="ITC Avant Garde"/>
          <w:b/>
          <w:bCs/>
          <w:color w:val="000000"/>
          <w:lang w:eastAsia="es-MX"/>
        </w:rPr>
        <w:t>LFTR</w:t>
      </w:r>
      <w:r w:rsidR="00C321E2" w:rsidRPr="004E27D5">
        <w:rPr>
          <w:rFonts w:ascii="Times New Roman" w:hAnsi="Times New Roman"/>
          <w:sz w:val="24"/>
          <w:szCs w:val="24"/>
          <w:lang w:eastAsia="es-MX"/>
        </w:rPr>
        <w:t>.</w:t>
      </w:r>
    </w:p>
    <w:p w:rsidR="009E7D7C" w:rsidRPr="004E27D5" w:rsidRDefault="00156682" w:rsidP="00156682">
      <w:pPr>
        <w:tabs>
          <w:tab w:val="left" w:pos="993"/>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Aunado a lo anterior, resulta importante señalar que en diversas ocasiones tanto el Servicio de Administración Tributaria como las Secretarías de Finanzas y Administración de algunas Entidades del país, han informado a este Instituto la imposibilidad de hacer efectivo el cobro de aquellas multas en las que no se especifique el nombre de la persona física o la denominación o razón social de aquella a la que haya sido impuesta la referida sanción, haciendo la precisión de que las resoluciones que se emitan en las que se imponga una multa deberán contener los datos que permitan identificar plenamente al sancionado, tales como nombre o razón social, domicilio completo e importe a recuperar y concepto, requisitos que en su integridad resultan indispensables para que dichos órganos tributarios estén en aptitud de instaurar el procedimiento administrativo de ejecución.</w:t>
      </w:r>
    </w:p>
    <w:p w:rsidR="001561CA" w:rsidRPr="004E27D5" w:rsidRDefault="00156682" w:rsidP="00156682">
      <w:pPr>
        <w:tabs>
          <w:tab w:val="left" w:pos="993"/>
        </w:tabs>
        <w:spacing w:after="0" w:line="360" w:lineRule="auto"/>
        <w:jc w:val="both"/>
        <w:rPr>
          <w:rFonts w:ascii="ITC Avant Garde" w:eastAsia="Times New Roman" w:hAnsi="ITC Avant Garde"/>
          <w:bCs/>
          <w:color w:val="000000"/>
          <w:lang w:eastAsia="es-MX"/>
        </w:rPr>
        <w:sectPr w:rsidR="001561CA" w:rsidRPr="004E27D5" w:rsidSect="009B5755">
          <w:headerReference w:type="default" r:id="rId27"/>
          <w:pgSz w:w="12240" w:h="15840"/>
          <w:pgMar w:top="1985" w:right="1418" w:bottom="1418" w:left="1418" w:header="709" w:footer="420" w:gutter="0"/>
          <w:cols w:space="708"/>
          <w:docGrid w:linePitch="360"/>
        </w:sectPr>
      </w:pPr>
      <w:r w:rsidRPr="004E27D5">
        <w:rPr>
          <w:rFonts w:ascii="ITC Avant Garde" w:eastAsia="Times New Roman" w:hAnsi="ITC Avant Garde"/>
          <w:bCs/>
          <w:color w:val="000000"/>
          <w:lang w:eastAsia="es-MX"/>
        </w:rPr>
        <w:t>Lo anterior es consistente con lo previsto en numeral 2.1.1 de la Resolución Miscelánea Fiscal para 201</w:t>
      </w:r>
      <w:r w:rsidR="00E02E12" w:rsidRPr="004E27D5">
        <w:rPr>
          <w:rFonts w:ascii="ITC Avant Garde" w:eastAsia="Times New Roman" w:hAnsi="ITC Avant Garde"/>
          <w:bCs/>
          <w:color w:val="000000"/>
          <w:lang w:eastAsia="es-MX"/>
        </w:rPr>
        <w:t>7</w:t>
      </w:r>
      <w:r w:rsidRPr="004E27D5">
        <w:rPr>
          <w:rFonts w:ascii="ITC Avant Garde" w:eastAsia="Times New Roman" w:hAnsi="ITC Avant Garde"/>
          <w:bCs/>
          <w:color w:val="000000"/>
          <w:lang w:eastAsia="es-MX"/>
        </w:rPr>
        <w:t xml:space="preserve">, publicada en el Diario Oficial de la Federación el veintitrés de diciembre </w:t>
      </w:r>
    </w:p>
    <w:p w:rsidR="009E7D7C" w:rsidRPr="004E27D5" w:rsidRDefault="00156682" w:rsidP="00156682">
      <w:pPr>
        <w:tabs>
          <w:tab w:val="left" w:pos="993"/>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lastRenderedPageBreak/>
        <w:t xml:space="preserve">de dos mil </w:t>
      </w:r>
      <w:r w:rsidR="00E02E12" w:rsidRPr="004E27D5">
        <w:rPr>
          <w:rFonts w:ascii="ITC Avant Garde" w:eastAsia="Times New Roman" w:hAnsi="ITC Avant Garde"/>
          <w:bCs/>
          <w:color w:val="000000"/>
          <w:lang w:eastAsia="es-MX"/>
        </w:rPr>
        <w:t>dieciséis</w:t>
      </w:r>
      <w:r w:rsidRPr="004E27D5">
        <w:rPr>
          <w:rFonts w:ascii="ITC Avant Garde" w:eastAsia="Times New Roman" w:hAnsi="ITC Avant Garde"/>
          <w:bCs/>
          <w:color w:val="000000"/>
          <w:lang w:eastAsia="es-MX"/>
        </w:rPr>
        <w:t>, que entre otros requisitos establece los relativos al nombre, domicilio y Registro Federal de Contribuyentes del infractor a quien se le ha impuesto la sanción que por su conducto se pretende ejecutar.</w:t>
      </w:r>
    </w:p>
    <w:p w:rsidR="009E7D7C" w:rsidRPr="004E27D5" w:rsidRDefault="00E02E12" w:rsidP="00156682">
      <w:pPr>
        <w:tabs>
          <w:tab w:val="left" w:pos="993"/>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 xml:space="preserve">En otro orden de ideas, </w:t>
      </w:r>
      <w:r w:rsidR="00156682" w:rsidRPr="004E27D5">
        <w:rPr>
          <w:rFonts w:ascii="ITC Avant Garde" w:eastAsia="Times New Roman" w:hAnsi="ITC Avant Garde"/>
          <w:bCs/>
          <w:color w:val="000000"/>
          <w:lang w:eastAsia="es-MX"/>
        </w:rPr>
        <w:t>atendiendo a la naturaleza de la infracción, lo procedente es que en la presente resolución este Instituto</w:t>
      </w:r>
      <w:r w:rsidR="00156682" w:rsidRPr="004E27D5">
        <w:rPr>
          <w:rFonts w:ascii="ITC Avant Garde" w:eastAsia="Times New Roman" w:hAnsi="ITC Avant Garde"/>
          <w:b/>
          <w:bCs/>
          <w:color w:val="000000"/>
          <w:lang w:eastAsia="es-MX"/>
        </w:rPr>
        <w:t xml:space="preserve"> </w:t>
      </w:r>
      <w:r w:rsidR="00156682" w:rsidRPr="004E27D5">
        <w:rPr>
          <w:rFonts w:ascii="ITC Avant Garde" w:eastAsia="Times New Roman" w:hAnsi="ITC Avant Garde"/>
          <w:bCs/>
          <w:color w:val="000000"/>
          <w:lang w:eastAsia="es-MX"/>
        </w:rPr>
        <w:t xml:space="preserve">declare la pérdida de bienes, equipos e instalaciones a favor de la Nación, con lo cual se busca inhibir las conductas que tiendan a hacer uso del espectro radioeléctrico sin que exista un título o documento habilitante para ello. Asimismo cabe indicar que, a diferencia de los artículos 298 y 299, la sanción prevista en el artículo 305 de la </w:t>
      </w:r>
      <w:r w:rsidR="006310EA" w:rsidRPr="004E27D5">
        <w:rPr>
          <w:rFonts w:ascii="ITC Avant Garde" w:eastAsia="Times New Roman" w:hAnsi="ITC Avant Garde"/>
          <w:b/>
          <w:bCs/>
          <w:color w:val="000000"/>
          <w:lang w:eastAsia="es-MX"/>
        </w:rPr>
        <w:t>LFTR</w:t>
      </w:r>
      <w:r w:rsidR="00156682" w:rsidRPr="004E27D5">
        <w:rPr>
          <w:rFonts w:ascii="ITC Avant Garde" w:eastAsia="Times New Roman" w:hAnsi="ITC Avant Garde"/>
          <w:bCs/>
          <w:color w:val="000000"/>
          <w:lang w:eastAsia="es-MX"/>
        </w:rPr>
        <w:t xml:space="preserve"> no necesita de elementos para su individualización, pues ésta procede como consecuencia inmediata de la actualización de la hipótesis normativa prevista en ese artículo.</w:t>
      </w:r>
    </w:p>
    <w:p w:rsidR="009E7D7C" w:rsidRPr="004E27D5" w:rsidRDefault="00617B62" w:rsidP="00617B62">
      <w:pPr>
        <w:pStyle w:val="Textoindependiente"/>
        <w:tabs>
          <w:tab w:val="left" w:pos="993"/>
        </w:tabs>
        <w:spacing w:after="0" w:line="360" w:lineRule="auto"/>
        <w:jc w:val="both"/>
        <w:rPr>
          <w:rFonts w:ascii="ITC Avant Garde" w:eastAsia="Times New Roman" w:hAnsi="ITC Avant Garde"/>
          <w:lang w:val="es-ES_tradnl" w:eastAsia="es-MX"/>
        </w:rPr>
      </w:pPr>
      <w:r w:rsidRPr="004E27D5">
        <w:rPr>
          <w:rFonts w:ascii="ITC Avant Garde" w:eastAsia="Times New Roman" w:hAnsi="ITC Avant Garde"/>
          <w:bCs/>
          <w:color w:val="000000"/>
          <w:lang w:eastAsia="es-MX"/>
        </w:rPr>
        <w:t xml:space="preserve">Por ello, </w:t>
      </w:r>
      <w:r w:rsidRPr="004E27D5">
        <w:rPr>
          <w:rFonts w:ascii="ITC Avant Garde" w:eastAsia="Times New Roman" w:hAnsi="ITC Avant Garde"/>
          <w:lang w:eastAsia="es-MX"/>
        </w:rPr>
        <w:t xml:space="preserve">en virtud de que </w:t>
      </w:r>
      <w:r w:rsidRPr="004E27D5">
        <w:rPr>
          <w:rFonts w:ascii="ITC Avant Garde" w:eastAsia="Times New Roman" w:hAnsi="ITC Avant Garde"/>
          <w:bCs/>
          <w:color w:val="000000"/>
          <w:lang w:eastAsia="es-MX"/>
        </w:rPr>
        <w:t>e</w:t>
      </w:r>
      <w:r w:rsidRPr="004E27D5">
        <w:rPr>
          <w:rFonts w:ascii="ITC Avant Garde" w:hAnsi="ITC Avant Garde"/>
        </w:rPr>
        <w:t xml:space="preserve">l </w:t>
      </w:r>
      <w:r w:rsidR="00C9435A" w:rsidRPr="004E27D5">
        <w:rPr>
          <w:rFonts w:ascii="ITC Avant Garde" w:hAnsi="ITC Avant Garde"/>
          <w:b/>
          <w:caps/>
        </w:rPr>
        <w:t>PROPIETARIO, Y/O POSEEDOR, Y/O RESPONSABLE, Y/O ENCARGADO</w:t>
      </w:r>
      <w:r w:rsidR="0049077E" w:rsidRPr="004E27D5">
        <w:rPr>
          <w:rFonts w:ascii="ITC Avant Garde" w:hAnsi="ITC Avant Garde"/>
          <w:b/>
          <w:caps/>
        </w:rPr>
        <w:t xml:space="preserve"> U OCUPANTE</w:t>
      </w:r>
      <w:r w:rsidR="00C9435A" w:rsidRPr="004E27D5">
        <w:rPr>
          <w:rFonts w:ascii="ITC Avant Garde" w:hAnsi="ITC Avant Garde"/>
          <w:b/>
          <w:caps/>
        </w:rPr>
        <w:t xml:space="preserve"> DEL INMUEBLE Y/O DE LAS INSTALACIONES Y EQUIPOS DE RADIODIFUSIÓN</w:t>
      </w:r>
      <w:r w:rsidR="00C9435A" w:rsidRPr="004E27D5">
        <w:rPr>
          <w:rFonts w:ascii="ITC Avant Garde" w:hAnsi="ITC Avant Garde"/>
          <w:b/>
        </w:rPr>
        <w:t xml:space="preserve"> LOCALIZADOS EN EL DOMICILIO UBICADO EN </w:t>
      </w:r>
      <w:r w:rsidR="00A52BF9" w:rsidRPr="004E27D5">
        <w:rPr>
          <w:rFonts w:ascii="ITC Avant Garde" w:hAnsi="ITC Avant Garde"/>
          <w:b/>
          <w:color w:val="0000FF"/>
        </w:rPr>
        <w:t>“CONFIDENCIAL POR LEY”</w:t>
      </w:r>
      <w:r w:rsidR="00C9435A" w:rsidRPr="004E27D5">
        <w:rPr>
          <w:rFonts w:ascii="ITC Avant Garde" w:hAnsi="ITC Avant Garde"/>
          <w:b/>
          <w:color w:val="0000FF"/>
        </w:rPr>
        <w:t xml:space="preserve"> </w:t>
      </w:r>
      <w:r w:rsidR="00C9435A" w:rsidRPr="004E27D5">
        <w:rPr>
          <w:rFonts w:ascii="ITC Avant Garde" w:hAnsi="ITC Avant Garde"/>
          <w:b/>
        </w:rPr>
        <w:t xml:space="preserve">MUNICIPIO DE VALLE DE BRAVO, ESTADO DE MÉXICO, EN LAS INMEDIACIONES DE LAS COORDENADAS GEOGRÁFICAS </w:t>
      </w:r>
      <w:r w:rsidR="00A52BF9" w:rsidRPr="004E27D5">
        <w:rPr>
          <w:rFonts w:ascii="ITC Avant Garde" w:hAnsi="ITC Avant Garde"/>
          <w:b/>
          <w:color w:val="0000FF"/>
        </w:rPr>
        <w:t>“CONFIDENCIAL POR LEY”</w:t>
      </w:r>
      <w:r w:rsidR="0065005D" w:rsidRPr="004E27D5">
        <w:rPr>
          <w:rFonts w:ascii="ITC Avant Garde" w:hAnsi="ITC Avant Garde"/>
          <w:b/>
          <w:caps/>
        </w:rPr>
        <w:t xml:space="preserve">, </w:t>
      </w:r>
      <w:r w:rsidRPr="004E27D5">
        <w:rPr>
          <w:rFonts w:ascii="ITC Avant Garde" w:eastAsia="Times New Roman" w:hAnsi="ITC Avant Garde"/>
          <w:lang w:eastAsia="es-MX"/>
        </w:rPr>
        <w:t xml:space="preserve">no cuenta con concesión, permiso o autorización para usar legalmente la frecuencia </w:t>
      </w:r>
      <w:r w:rsidR="00C9435A" w:rsidRPr="004E27D5">
        <w:rPr>
          <w:rFonts w:ascii="ITC Avant Garde" w:hAnsi="ITC Avant Garde"/>
          <w:b/>
          <w:caps/>
        </w:rPr>
        <w:t>106.1</w:t>
      </w:r>
      <w:r w:rsidR="002C1AD8" w:rsidRPr="004E27D5">
        <w:rPr>
          <w:rFonts w:ascii="ITC Avant Garde" w:hAnsi="ITC Avant Garde"/>
          <w:b/>
        </w:rPr>
        <w:t xml:space="preserve"> MHz</w:t>
      </w:r>
      <w:r w:rsidRPr="004E27D5">
        <w:rPr>
          <w:rFonts w:ascii="ITC Avant Garde" w:eastAsia="Times New Roman" w:hAnsi="ITC Avant Garde"/>
          <w:b/>
          <w:lang w:eastAsia="es-MX"/>
        </w:rPr>
        <w:t xml:space="preserve">, </w:t>
      </w:r>
      <w:r w:rsidRPr="004E27D5">
        <w:rPr>
          <w:rFonts w:ascii="ITC Avant Garde" w:eastAsia="Times New Roman" w:hAnsi="ITC Avant Garde"/>
          <w:lang w:eastAsia="es-MX"/>
        </w:rPr>
        <w:t>y que quedó plenamente acreditado que</w:t>
      </w:r>
      <w:r w:rsidRPr="004E27D5">
        <w:rPr>
          <w:rFonts w:ascii="ITC Avant Garde" w:eastAsia="Times New Roman" w:hAnsi="ITC Avant Garde"/>
          <w:bCs/>
          <w:color w:val="000000"/>
          <w:lang w:eastAsia="es-MX"/>
        </w:rPr>
        <w:t xml:space="preserve"> se encontraba prestando un servicio de radiodifusión</w:t>
      </w:r>
      <w:r w:rsidRPr="004E27D5">
        <w:rPr>
          <w:rFonts w:ascii="ITC Avant Garde" w:eastAsia="Times New Roman" w:hAnsi="ITC Avant Garde"/>
          <w:lang w:eastAsia="es-MX"/>
        </w:rPr>
        <w:t>, se actualiza la hipótesis normativa prevista expresamente en el artículo 305 de la Ley Federal de Telecomunicaciones y Radiodifusión.</w:t>
      </w:r>
    </w:p>
    <w:p w:rsidR="009E7D7C" w:rsidRPr="004E27D5" w:rsidRDefault="007039C4" w:rsidP="007039C4">
      <w:pPr>
        <w:pStyle w:val="Textoindependiente"/>
        <w:tabs>
          <w:tab w:val="left" w:pos="993"/>
        </w:tabs>
        <w:spacing w:after="0" w:line="360" w:lineRule="auto"/>
        <w:jc w:val="both"/>
        <w:rPr>
          <w:rFonts w:ascii="ITC Avant Garde" w:eastAsia="Times New Roman" w:hAnsi="ITC Avant Garde"/>
          <w:lang w:eastAsia="es-MX"/>
        </w:rPr>
      </w:pPr>
      <w:r w:rsidRPr="004E27D5">
        <w:rPr>
          <w:rFonts w:ascii="ITC Avant Garde" w:eastAsia="Times New Roman" w:hAnsi="ITC Avant Garde"/>
          <w:lang w:eastAsia="es-MX"/>
        </w:rPr>
        <w:t xml:space="preserve">En efecto, el artículo 305 de la </w:t>
      </w:r>
      <w:r w:rsidR="006310EA" w:rsidRPr="004E27D5">
        <w:rPr>
          <w:rFonts w:ascii="ITC Avant Garde" w:eastAsia="Times New Roman" w:hAnsi="ITC Avant Garde"/>
          <w:b/>
          <w:lang w:eastAsia="es-MX"/>
        </w:rPr>
        <w:t>LFTR</w:t>
      </w:r>
      <w:r w:rsidRPr="004E27D5">
        <w:rPr>
          <w:rFonts w:ascii="ITC Avant Garde" w:eastAsia="Times New Roman" w:hAnsi="ITC Avant Garde"/>
          <w:lang w:eastAsia="es-MX"/>
        </w:rPr>
        <w:t>, expresamente señala:</w:t>
      </w:r>
    </w:p>
    <w:p w:rsidR="00D57881" w:rsidRPr="004E27D5" w:rsidRDefault="007039C4" w:rsidP="004E27D5">
      <w:pPr>
        <w:pStyle w:val="Textoindependiente"/>
        <w:tabs>
          <w:tab w:val="left" w:pos="851"/>
        </w:tabs>
        <w:spacing w:line="240" w:lineRule="auto"/>
        <w:ind w:left="851" w:right="616"/>
        <w:jc w:val="both"/>
        <w:rPr>
          <w:rFonts w:ascii="ITC Avant Garde" w:hAnsi="ITC Avant Garde"/>
          <w:color w:val="000000"/>
          <w:sz w:val="20"/>
          <w:szCs w:val="20"/>
        </w:rPr>
      </w:pPr>
      <w:r w:rsidRPr="004E27D5">
        <w:rPr>
          <w:rFonts w:ascii="ITC Avant Garde" w:hAnsi="ITC Avant Garde"/>
          <w:color w:val="000000"/>
          <w:sz w:val="20"/>
          <w:szCs w:val="20"/>
        </w:rPr>
        <w:t xml:space="preserve">“Artículo 305. </w:t>
      </w:r>
      <w:r w:rsidRPr="004E27D5">
        <w:rPr>
          <w:rFonts w:ascii="ITC Avant Garde" w:hAnsi="ITC Avant Garde"/>
          <w:b/>
          <w:color w:val="000000"/>
          <w:sz w:val="20"/>
          <w:szCs w:val="20"/>
          <w:u w:val="single"/>
        </w:rPr>
        <w:t>Las personas</w:t>
      </w:r>
      <w:r w:rsidRPr="004E27D5">
        <w:rPr>
          <w:rFonts w:ascii="ITC Avant Garde" w:hAnsi="ITC Avant Garde"/>
          <w:color w:val="000000"/>
          <w:sz w:val="20"/>
          <w:szCs w:val="20"/>
        </w:rPr>
        <w:t xml:space="preserve"> </w:t>
      </w:r>
      <w:r w:rsidRPr="004E27D5">
        <w:rPr>
          <w:rFonts w:ascii="ITC Avant Garde" w:hAnsi="ITC Avant Garde"/>
          <w:color w:val="000000"/>
          <w:sz w:val="20"/>
          <w:szCs w:val="20"/>
          <w:u w:val="single"/>
        </w:rPr>
        <w:t xml:space="preserve">que presten servicios </w:t>
      </w:r>
      <w:r w:rsidRPr="004E27D5">
        <w:rPr>
          <w:rFonts w:ascii="ITC Avant Garde" w:hAnsi="ITC Avant Garde"/>
          <w:color w:val="000000"/>
          <w:sz w:val="20"/>
          <w:szCs w:val="20"/>
        </w:rPr>
        <w:t xml:space="preserve">de telecomunicaciones o </w:t>
      </w:r>
      <w:r w:rsidRPr="004E27D5">
        <w:rPr>
          <w:rFonts w:ascii="ITC Avant Garde" w:hAnsi="ITC Avant Garde"/>
          <w:color w:val="000000"/>
          <w:sz w:val="20"/>
          <w:szCs w:val="20"/>
          <w:u w:val="single"/>
        </w:rPr>
        <w:t>de radiodifusión</w:t>
      </w:r>
      <w:r w:rsidRPr="004E27D5">
        <w:rPr>
          <w:rFonts w:ascii="ITC Avant Garde" w:hAnsi="ITC Avant Garde"/>
          <w:color w:val="000000"/>
          <w:sz w:val="20"/>
          <w:szCs w:val="20"/>
        </w:rPr>
        <w:t xml:space="preserve">, sin contar con concesión o autorización, o </w:t>
      </w:r>
      <w:r w:rsidRPr="004E27D5">
        <w:rPr>
          <w:rFonts w:ascii="ITC Avant Garde" w:hAnsi="ITC Avant Garde"/>
          <w:b/>
          <w:color w:val="000000"/>
          <w:sz w:val="20"/>
          <w:szCs w:val="20"/>
        </w:rPr>
        <w:t xml:space="preserve">que por cualquier otro medio invadan u obstruyan las vías generales de comunicación, </w:t>
      </w:r>
      <w:r w:rsidRPr="004E27D5">
        <w:rPr>
          <w:rFonts w:ascii="ITC Avant Garde" w:hAnsi="ITC Avant Garde"/>
          <w:b/>
          <w:color w:val="000000"/>
          <w:sz w:val="20"/>
          <w:szCs w:val="20"/>
          <w:u w:val="single"/>
        </w:rPr>
        <w:t>perderán en beneficio de la Nación los bienes, instalaciones y equipos empleados en la comisión de dichas infracciones.</w:t>
      </w:r>
      <w:r w:rsidRPr="004E27D5">
        <w:rPr>
          <w:rFonts w:ascii="ITC Avant Garde" w:hAnsi="ITC Avant Garde"/>
          <w:b/>
          <w:color w:val="000000"/>
          <w:sz w:val="20"/>
          <w:szCs w:val="20"/>
        </w:rPr>
        <w:t>”</w:t>
      </w:r>
    </w:p>
    <w:p w:rsidR="0065005D" w:rsidRPr="004E27D5" w:rsidRDefault="00617B62" w:rsidP="009B5755">
      <w:pPr>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lang w:eastAsia="es-MX"/>
        </w:rPr>
        <w:t>En tal virtud, procede declarar la pérdida en beneficio de la Nación de los bienes, instalaciones y equipos empleados en la comisión de dicha infracción por</w:t>
      </w:r>
      <w:r w:rsidR="009059F4" w:rsidRPr="004E27D5">
        <w:rPr>
          <w:rFonts w:ascii="ITC Avant Garde" w:hAnsi="ITC Avant Garde"/>
          <w:b/>
        </w:rPr>
        <w:t xml:space="preserve"> </w:t>
      </w:r>
      <w:r w:rsidR="00AC0264" w:rsidRPr="004E27D5">
        <w:rPr>
          <w:rFonts w:ascii="ITC Avant Garde" w:hAnsi="ITC Avant Garde"/>
          <w:b/>
        </w:rPr>
        <w:t xml:space="preserve">el </w:t>
      </w:r>
      <w:r w:rsidR="006F1854" w:rsidRPr="004E27D5">
        <w:rPr>
          <w:rFonts w:ascii="ITC Avant Garde" w:hAnsi="ITC Avant Garde" w:cs="Arial"/>
          <w:b/>
        </w:rPr>
        <w:t>propietario y/o poseedor, y/o responsable, y/o encargado</w:t>
      </w:r>
      <w:r w:rsidR="0049077E" w:rsidRPr="004E27D5">
        <w:rPr>
          <w:rFonts w:ascii="ITC Avant Garde" w:hAnsi="ITC Avant Garde" w:cs="Arial"/>
          <w:b/>
        </w:rPr>
        <w:t xml:space="preserve"> u ocupante</w:t>
      </w:r>
      <w:r w:rsidR="006F1854" w:rsidRPr="004E27D5">
        <w:rPr>
          <w:rFonts w:ascii="ITC Avant Garde" w:hAnsi="ITC Avant Garde" w:cs="Arial"/>
          <w:b/>
        </w:rPr>
        <w:t xml:space="preserve"> de las instalaciones y equipos de radiodifusión operando la frecuencia </w:t>
      </w:r>
      <w:r w:rsidR="00C9435A" w:rsidRPr="004E27D5">
        <w:rPr>
          <w:rFonts w:ascii="ITC Avant Garde" w:hAnsi="ITC Avant Garde"/>
          <w:b/>
          <w:caps/>
        </w:rPr>
        <w:t>106.1</w:t>
      </w:r>
      <w:r w:rsidR="002C1AD8" w:rsidRPr="004E27D5">
        <w:rPr>
          <w:rFonts w:ascii="ITC Avant Garde" w:hAnsi="ITC Avant Garde"/>
          <w:b/>
        </w:rPr>
        <w:t xml:space="preserve"> MHz</w:t>
      </w:r>
      <w:r w:rsidR="006F1854" w:rsidRPr="004E27D5">
        <w:rPr>
          <w:rFonts w:ascii="ITC Avant Garde" w:hAnsi="ITC Avant Garde" w:cs="Arial"/>
          <w:b/>
        </w:rPr>
        <w:t xml:space="preserve">, </w:t>
      </w:r>
      <w:r w:rsidR="009059F4" w:rsidRPr="004E27D5">
        <w:rPr>
          <w:rFonts w:ascii="ITC Avant Garde" w:eastAsia="Times New Roman" w:hAnsi="ITC Avant Garde"/>
          <w:bCs/>
          <w:color w:val="000000"/>
          <w:lang w:eastAsia="es-MX"/>
        </w:rPr>
        <w:t>consistentes en:</w:t>
      </w:r>
    </w:p>
    <w:tbl>
      <w:tblPr>
        <w:tblStyle w:val="Tablaconcuadrcula2"/>
        <w:tblW w:w="5000" w:type="pct"/>
        <w:tblLook w:val="04A0" w:firstRow="1" w:lastRow="0" w:firstColumn="1" w:lastColumn="0" w:noHBand="0" w:noVBand="1"/>
        <w:tblCaption w:val="Equipos asegurados"/>
        <w:tblDescription w:val="Esta tabla muestra las características de los equipos asegurados"/>
      </w:tblPr>
      <w:tblGrid>
        <w:gridCol w:w="2425"/>
        <w:gridCol w:w="1783"/>
        <w:gridCol w:w="1620"/>
        <w:gridCol w:w="1621"/>
        <w:gridCol w:w="1945"/>
      </w:tblGrid>
      <w:tr w:rsidR="004E27D5" w:rsidRPr="004E27D5" w:rsidTr="004E27D5">
        <w:trPr>
          <w:tblHeader/>
        </w:trPr>
        <w:tc>
          <w:tcPr>
            <w:tcW w:w="1291" w:type="pct"/>
            <w:shd w:val="clear" w:color="auto" w:fill="A6A6A6" w:themeFill="background1" w:themeFillShade="A6"/>
          </w:tcPr>
          <w:p w:rsidR="00FB392B" w:rsidRPr="004E27D5" w:rsidRDefault="00FB392B" w:rsidP="004E27D5">
            <w:pPr>
              <w:spacing w:after="0"/>
              <w:jc w:val="center"/>
              <w:rPr>
                <w:rFonts w:ascii="ITC Avant Garde" w:hAnsi="ITC Avant Garde" w:cs="Arial"/>
                <w:b/>
                <w:color w:val="000000" w:themeColor="text1"/>
                <w:sz w:val="20"/>
                <w:szCs w:val="20"/>
              </w:rPr>
            </w:pPr>
            <w:r w:rsidRPr="004E27D5">
              <w:rPr>
                <w:rFonts w:ascii="ITC Avant Garde" w:hAnsi="ITC Avant Garde" w:cs="Arial"/>
                <w:b/>
                <w:color w:val="000000" w:themeColor="text1"/>
                <w:sz w:val="20"/>
                <w:szCs w:val="20"/>
              </w:rPr>
              <w:lastRenderedPageBreak/>
              <w:t>Equipo</w:t>
            </w:r>
          </w:p>
        </w:tc>
        <w:tc>
          <w:tcPr>
            <w:tcW w:w="949" w:type="pct"/>
            <w:shd w:val="clear" w:color="auto" w:fill="A6A6A6" w:themeFill="background1" w:themeFillShade="A6"/>
          </w:tcPr>
          <w:p w:rsidR="00FB392B" w:rsidRPr="004E27D5" w:rsidRDefault="00FB392B" w:rsidP="004E27D5">
            <w:pPr>
              <w:spacing w:after="0"/>
              <w:jc w:val="center"/>
              <w:rPr>
                <w:rFonts w:ascii="ITC Avant Garde" w:hAnsi="ITC Avant Garde" w:cs="Arial"/>
                <w:b/>
                <w:color w:val="000000" w:themeColor="text1"/>
                <w:sz w:val="20"/>
                <w:szCs w:val="20"/>
              </w:rPr>
            </w:pPr>
            <w:r w:rsidRPr="004E27D5">
              <w:rPr>
                <w:rFonts w:ascii="ITC Avant Garde" w:hAnsi="ITC Avant Garde" w:cs="Arial"/>
                <w:b/>
                <w:color w:val="000000" w:themeColor="text1"/>
                <w:sz w:val="20"/>
                <w:szCs w:val="20"/>
              </w:rPr>
              <w:t>Marca</w:t>
            </w:r>
          </w:p>
        </w:tc>
        <w:tc>
          <w:tcPr>
            <w:tcW w:w="862" w:type="pct"/>
            <w:shd w:val="clear" w:color="auto" w:fill="A6A6A6" w:themeFill="background1" w:themeFillShade="A6"/>
          </w:tcPr>
          <w:p w:rsidR="00FB392B" w:rsidRPr="004E27D5" w:rsidRDefault="00FB392B" w:rsidP="004E27D5">
            <w:pPr>
              <w:spacing w:after="0"/>
              <w:jc w:val="center"/>
              <w:rPr>
                <w:rFonts w:ascii="ITC Avant Garde" w:hAnsi="ITC Avant Garde" w:cs="Arial"/>
                <w:b/>
                <w:color w:val="000000" w:themeColor="text1"/>
                <w:sz w:val="20"/>
                <w:szCs w:val="20"/>
              </w:rPr>
            </w:pPr>
            <w:r w:rsidRPr="004E27D5">
              <w:rPr>
                <w:rFonts w:ascii="ITC Avant Garde" w:hAnsi="ITC Avant Garde" w:cs="Arial"/>
                <w:b/>
                <w:color w:val="000000" w:themeColor="text1"/>
                <w:sz w:val="20"/>
                <w:szCs w:val="20"/>
              </w:rPr>
              <w:t>Modelo</w:t>
            </w:r>
          </w:p>
        </w:tc>
        <w:tc>
          <w:tcPr>
            <w:tcW w:w="863" w:type="pct"/>
            <w:shd w:val="clear" w:color="auto" w:fill="A6A6A6" w:themeFill="background1" w:themeFillShade="A6"/>
          </w:tcPr>
          <w:p w:rsidR="00FB392B" w:rsidRPr="004E27D5" w:rsidRDefault="00FB392B" w:rsidP="004E27D5">
            <w:pPr>
              <w:spacing w:after="0"/>
              <w:jc w:val="center"/>
              <w:rPr>
                <w:rFonts w:ascii="ITC Avant Garde" w:hAnsi="ITC Avant Garde" w:cs="Arial"/>
                <w:b/>
                <w:color w:val="000000" w:themeColor="text1"/>
                <w:sz w:val="20"/>
                <w:szCs w:val="20"/>
              </w:rPr>
            </w:pPr>
            <w:r w:rsidRPr="004E27D5">
              <w:rPr>
                <w:rFonts w:ascii="ITC Avant Garde" w:hAnsi="ITC Avant Garde" w:cs="Arial"/>
                <w:b/>
                <w:color w:val="000000" w:themeColor="text1"/>
                <w:sz w:val="20"/>
                <w:szCs w:val="20"/>
              </w:rPr>
              <w:t>Número de Serie</w:t>
            </w:r>
          </w:p>
        </w:tc>
        <w:tc>
          <w:tcPr>
            <w:tcW w:w="1035" w:type="pct"/>
            <w:shd w:val="clear" w:color="auto" w:fill="A6A6A6" w:themeFill="background1" w:themeFillShade="A6"/>
          </w:tcPr>
          <w:p w:rsidR="00FB392B" w:rsidRPr="004E27D5" w:rsidRDefault="00FB392B" w:rsidP="004E27D5">
            <w:pPr>
              <w:spacing w:after="0"/>
              <w:jc w:val="center"/>
              <w:rPr>
                <w:rFonts w:ascii="ITC Avant Garde" w:hAnsi="ITC Avant Garde" w:cs="Arial"/>
                <w:b/>
                <w:color w:val="000000" w:themeColor="text1"/>
                <w:sz w:val="20"/>
                <w:szCs w:val="20"/>
              </w:rPr>
            </w:pPr>
            <w:r w:rsidRPr="004E27D5">
              <w:rPr>
                <w:rFonts w:ascii="ITC Avant Garde" w:hAnsi="ITC Avant Garde" w:cs="Arial"/>
                <w:b/>
                <w:color w:val="000000" w:themeColor="text1"/>
                <w:sz w:val="20"/>
                <w:szCs w:val="20"/>
              </w:rPr>
              <w:t>Sello de aseguramiento</w:t>
            </w:r>
          </w:p>
        </w:tc>
      </w:tr>
      <w:tr w:rsidR="004E27D5" w:rsidRPr="004E27D5" w:rsidTr="006702AD">
        <w:trPr>
          <w:trHeight w:val="454"/>
        </w:trPr>
        <w:tc>
          <w:tcPr>
            <w:tcW w:w="1291" w:type="pct"/>
          </w:tcPr>
          <w:p w:rsidR="004E27D5" w:rsidRPr="004E27D5" w:rsidRDefault="004E27D5" w:rsidP="004E27D5">
            <w:pPr>
              <w:spacing w:after="0"/>
              <w:rPr>
                <w:rFonts w:ascii="ITC Avant Garde" w:hAnsi="ITC Avant Garde" w:cs="Arial"/>
                <w:sz w:val="20"/>
                <w:szCs w:val="20"/>
              </w:rPr>
            </w:pPr>
            <w:r w:rsidRPr="004E27D5">
              <w:rPr>
                <w:rFonts w:ascii="ITC Avant Garde" w:hAnsi="ITC Avant Garde" w:cs="Arial"/>
                <w:sz w:val="20"/>
                <w:szCs w:val="20"/>
              </w:rPr>
              <w:t>Transmisor</w:t>
            </w:r>
          </w:p>
        </w:tc>
        <w:tc>
          <w:tcPr>
            <w:tcW w:w="949" w:type="pct"/>
          </w:tcPr>
          <w:p w:rsidR="004E27D5" w:rsidRPr="004E27D5" w:rsidRDefault="004E27D5" w:rsidP="004E27D5">
            <w:pPr>
              <w:widowControl w:val="0"/>
              <w:spacing w:after="0"/>
              <w:jc w:val="center"/>
              <w:rPr>
                <w:rFonts w:ascii="ITC Avant Garde" w:hAnsi="ITC Avant Garde" w:cs="Arial"/>
                <w:color w:val="FFFFFF" w:themeColor="background1"/>
                <w:sz w:val="4"/>
                <w:szCs w:val="4"/>
              </w:rPr>
            </w:pPr>
            <w:r w:rsidRPr="004E27D5">
              <w:rPr>
                <w:rFonts w:ascii="ITC Avant Garde" w:hAnsi="ITC Avant Garde" w:cs="Arial"/>
                <w:color w:val="FFFFFF" w:themeColor="background1"/>
                <w:sz w:val="4"/>
                <w:szCs w:val="4"/>
              </w:rPr>
              <w:t>Celda vacía</w:t>
            </w:r>
          </w:p>
        </w:tc>
        <w:tc>
          <w:tcPr>
            <w:tcW w:w="862" w:type="pct"/>
          </w:tcPr>
          <w:p w:rsidR="004E27D5" w:rsidRPr="004E27D5" w:rsidRDefault="004E27D5" w:rsidP="004E27D5">
            <w:pPr>
              <w:spacing w:after="0"/>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863" w:type="pct"/>
          </w:tcPr>
          <w:p w:rsidR="004E27D5" w:rsidRPr="004E27D5" w:rsidRDefault="004E27D5" w:rsidP="004E27D5">
            <w:pPr>
              <w:spacing w:after="0"/>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1035" w:type="pct"/>
          </w:tcPr>
          <w:p w:rsidR="004E27D5" w:rsidRPr="004E27D5" w:rsidRDefault="004E27D5" w:rsidP="004E27D5">
            <w:pPr>
              <w:spacing w:after="0"/>
              <w:jc w:val="center"/>
              <w:rPr>
                <w:rFonts w:ascii="ITC Avant Garde" w:hAnsi="ITC Avant Garde" w:cs="Arial"/>
                <w:sz w:val="20"/>
                <w:szCs w:val="20"/>
              </w:rPr>
            </w:pPr>
            <w:r w:rsidRPr="004E27D5">
              <w:rPr>
                <w:rFonts w:ascii="ITC Avant Garde" w:hAnsi="ITC Avant Garde" w:cs="Arial"/>
                <w:sz w:val="20"/>
                <w:szCs w:val="20"/>
              </w:rPr>
              <w:t>051-17</w:t>
            </w:r>
          </w:p>
        </w:tc>
      </w:tr>
      <w:tr w:rsidR="004E27D5" w:rsidRPr="004E27D5" w:rsidTr="006702AD">
        <w:trPr>
          <w:trHeight w:val="454"/>
        </w:trPr>
        <w:tc>
          <w:tcPr>
            <w:tcW w:w="1291" w:type="pct"/>
          </w:tcPr>
          <w:p w:rsidR="004E27D5" w:rsidRPr="004E27D5" w:rsidRDefault="004E27D5" w:rsidP="004E27D5">
            <w:pPr>
              <w:spacing w:after="0"/>
              <w:rPr>
                <w:rFonts w:ascii="ITC Avant Garde" w:hAnsi="ITC Avant Garde" w:cs="Arial"/>
                <w:sz w:val="20"/>
                <w:szCs w:val="20"/>
              </w:rPr>
            </w:pPr>
            <w:r w:rsidRPr="004E27D5">
              <w:rPr>
                <w:rFonts w:ascii="ITC Avant Garde" w:hAnsi="ITC Avant Garde" w:cs="Arial"/>
                <w:sz w:val="20"/>
                <w:szCs w:val="20"/>
              </w:rPr>
              <w:t>Consola de audio</w:t>
            </w:r>
          </w:p>
        </w:tc>
        <w:tc>
          <w:tcPr>
            <w:tcW w:w="949" w:type="pct"/>
          </w:tcPr>
          <w:p w:rsidR="004E27D5" w:rsidRPr="004E27D5" w:rsidRDefault="004E27D5" w:rsidP="004E27D5">
            <w:pPr>
              <w:spacing w:after="0"/>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862" w:type="pct"/>
          </w:tcPr>
          <w:p w:rsidR="004E27D5" w:rsidRPr="004E27D5" w:rsidRDefault="004E27D5" w:rsidP="004E27D5">
            <w:pPr>
              <w:spacing w:after="0"/>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863" w:type="pct"/>
          </w:tcPr>
          <w:p w:rsidR="004E27D5" w:rsidRPr="004E27D5" w:rsidRDefault="004E27D5" w:rsidP="004E27D5">
            <w:pPr>
              <w:spacing w:after="0"/>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1035" w:type="pct"/>
          </w:tcPr>
          <w:p w:rsidR="004E27D5" w:rsidRPr="004E27D5" w:rsidRDefault="004E27D5" w:rsidP="004E27D5">
            <w:pPr>
              <w:spacing w:after="0"/>
              <w:jc w:val="center"/>
              <w:rPr>
                <w:rFonts w:ascii="ITC Avant Garde" w:hAnsi="ITC Avant Garde" w:cs="Arial"/>
                <w:sz w:val="20"/>
                <w:szCs w:val="20"/>
              </w:rPr>
            </w:pPr>
            <w:r w:rsidRPr="004E27D5">
              <w:rPr>
                <w:rFonts w:ascii="ITC Avant Garde" w:hAnsi="ITC Avant Garde" w:cs="Arial"/>
                <w:sz w:val="20"/>
                <w:szCs w:val="20"/>
              </w:rPr>
              <w:t>051-17</w:t>
            </w:r>
          </w:p>
        </w:tc>
      </w:tr>
      <w:tr w:rsidR="004E27D5" w:rsidRPr="004E27D5" w:rsidTr="006702AD">
        <w:trPr>
          <w:trHeight w:val="393"/>
        </w:trPr>
        <w:tc>
          <w:tcPr>
            <w:tcW w:w="1291" w:type="pct"/>
          </w:tcPr>
          <w:p w:rsidR="004E27D5" w:rsidRPr="004E27D5" w:rsidRDefault="004E27D5" w:rsidP="004E27D5">
            <w:pPr>
              <w:spacing w:after="0"/>
              <w:rPr>
                <w:rFonts w:ascii="ITC Avant Garde" w:hAnsi="ITC Avant Garde" w:cs="Arial"/>
                <w:sz w:val="20"/>
                <w:szCs w:val="20"/>
              </w:rPr>
            </w:pPr>
            <w:r w:rsidRPr="004E27D5">
              <w:rPr>
                <w:rFonts w:ascii="ITC Avant Garde" w:hAnsi="ITC Avant Garde" w:cs="Arial"/>
                <w:sz w:val="20"/>
                <w:szCs w:val="20"/>
              </w:rPr>
              <w:t>CPU Armado</w:t>
            </w:r>
            <w:r w:rsidRPr="004E27D5" w:rsidDel="00B959CB">
              <w:rPr>
                <w:rFonts w:ascii="ITC Avant Garde" w:hAnsi="ITC Avant Garde" w:cs="Arial"/>
                <w:sz w:val="20"/>
                <w:szCs w:val="20"/>
              </w:rPr>
              <w:t xml:space="preserve"> </w:t>
            </w:r>
          </w:p>
        </w:tc>
        <w:tc>
          <w:tcPr>
            <w:tcW w:w="949" w:type="pct"/>
          </w:tcPr>
          <w:p w:rsidR="004E27D5" w:rsidRPr="004E27D5" w:rsidRDefault="004E27D5" w:rsidP="004E27D5">
            <w:pPr>
              <w:spacing w:after="0"/>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862" w:type="pct"/>
          </w:tcPr>
          <w:p w:rsidR="004E27D5" w:rsidRPr="004E27D5" w:rsidRDefault="004E27D5" w:rsidP="004E27D5">
            <w:pPr>
              <w:spacing w:after="0"/>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863" w:type="pct"/>
          </w:tcPr>
          <w:p w:rsidR="004E27D5" w:rsidRPr="004E27D5" w:rsidRDefault="004E27D5" w:rsidP="004E27D5">
            <w:pPr>
              <w:spacing w:after="0"/>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1035" w:type="pct"/>
          </w:tcPr>
          <w:p w:rsidR="004E27D5" w:rsidRPr="004E27D5" w:rsidRDefault="004E27D5" w:rsidP="004E27D5">
            <w:pPr>
              <w:spacing w:after="0"/>
              <w:jc w:val="center"/>
              <w:rPr>
                <w:rFonts w:ascii="ITC Avant Garde" w:hAnsi="ITC Avant Garde" w:cs="Arial"/>
                <w:sz w:val="20"/>
                <w:szCs w:val="20"/>
              </w:rPr>
            </w:pPr>
            <w:r w:rsidRPr="004E27D5">
              <w:rPr>
                <w:rFonts w:ascii="ITC Avant Garde" w:hAnsi="ITC Avant Garde" w:cs="Arial"/>
                <w:sz w:val="20"/>
                <w:szCs w:val="20"/>
              </w:rPr>
              <w:t>051-17</w:t>
            </w:r>
          </w:p>
        </w:tc>
      </w:tr>
      <w:tr w:rsidR="004E27D5" w:rsidRPr="004E27D5" w:rsidTr="006702AD">
        <w:trPr>
          <w:trHeight w:val="802"/>
        </w:trPr>
        <w:tc>
          <w:tcPr>
            <w:tcW w:w="1291" w:type="pct"/>
          </w:tcPr>
          <w:p w:rsidR="004E27D5" w:rsidRPr="004E27D5" w:rsidRDefault="004E27D5" w:rsidP="004E27D5">
            <w:pPr>
              <w:spacing w:after="0"/>
              <w:rPr>
                <w:rFonts w:ascii="ITC Avant Garde" w:hAnsi="ITC Avant Garde" w:cs="Arial"/>
                <w:sz w:val="20"/>
                <w:szCs w:val="20"/>
              </w:rPr>
            </w:pPr>
            <w:r w:rsidRPr="004E27D5">
              <w:rPr>
                <w:rFonts w:ascii="ITC Avant Garde" w:hAnsi="ITC Avant Garde" w:cs="Arial"/>
                <w:sz w:val="20"/>
                <w:szCs w:val="20"/>
              </w:rPr>
              <w:t>2 Antenas Omnidireccional tipo T</w:t>
            </w:r>
          </w:p>
        </w:tc>
        <w:tc>
          <w:tcPr>
            <w:tcW w:w="949" w:type="pct"/>
          </w:tcPr>
          <w:p w:rsidR="004E27D5" w:rsidRPr="004E27D5" w:rsidRDefault="004E27D5" w:rsidP="004E27D5">
            <w:pPr>
              <w:spacing w:after="0"/>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862" w:type="pct"/>
          </w:tcPr>
          <w:p w:rsidR="004E27D5" w:rsidRPr="004E27D5" w:rsidRDefault="004E27D5" w:rsidP="004E27D5">
            <w:pPr>
              <w:spacing w:after="0"/>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863" w:type="pct"/>
          </w:tcPr>
          <w:p w:rsidR="004E27D5" w:rsidRPr="004E27D5" w:rsidRDefault="004E27D5" w:rsidP="004E27D5">
            <w:pPr>
              <w:spacing w:after="0"/>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1035" w:type="pct"/>
          </w:tcPr>
          <w:p w:rsidR="004E27D5" w:rsidRPr="004E27D5" w:rsidRDefault="004E27D5" w:rsidP="004E27D5">
            <w:pPr>
              <w:spacing w:after="0"/>
              <w:jc w:val="center"/>
              <w:rPr>
                <w:rFonts w:ascii="ITC Avant Garde" w:hAnsi="ITC Avant Garde" w:cs="Arial"/>
                <w:sz w:val="20"/>
                <w:szCs w:val="20"/>
              </w:rPr>
            </w:pPr>
            <w:r w:rsidRPr="004E27D5">
              <w:rPr>
                <w:rFonts w:ascii="ITC Avant Garde" w:hAnsi="ITC Avant Garde" w:cs="Arial"/>
                <w:sz w:val="20"/>
                <w:szCs w:val="20"/>
              </w:rPr>
              <w:t>051-17</w:t>
            </w:r>
          </w:p>
        </w:tc>
      </w:tr>
    </w:tbl>
    <w:p w:rsidR="009E7D7C" w:rsidRPr="004E27D5" w:rsidRDefault="00F24F14" w:rsidP="004E27D5">
      <w:pPr>
        <w:pStyle w:val="Textoindependiente"/>
        <w:tabs>
          <w:tab w:val="left" w:pos="993"/>
        </w:tabs>
        <w:spacing w:before="240" w:after="0" w:line="360" w:lineRule="auto"/>
        <w:jc w:val="both"/>
        <w:rPr>
          <w:rFonts w:ascii="ITC Avant Garde" w:eastAsia="Times New Roman" w:hAnsi="ITC Avant Garde"/>
          <w:lang w:eastAsia="es-MX"/>
        </w:rPr>
      </w:pPr>
      <w:r w:rsidRPr="004E27D5">
        <w:rPr>
          <w:rFonts w:ascii="ITC Avant Garde" w:hAnsi="ITC Avant Garde"/>
        </w:rPr>
        <w:t>L</w:t>
      </w:r>
      <w:r w:rsidRPr="004E27D5">
        <w:rPr>
          <w:rFonts w:ascii="ITC Avant Garde" w:eastAsia="Times New Roman" w:hAnsi="ITC Avant Garde"/>
          <w:lang w:eastAsia="es-MX"/>
        </w:rPr>
        <w:t xml:space="preserve">os cuales están debidamente identificados en el </w:t>
      </w:r>
      <w:r w:rsidRPr="004E27D5">
        <w:rPr>
          <w:rFonts w:ascii="ITC Avant Garde" w:eastAsia="Times New Roman" w:hAnsi="ITC Avant Garde"/>
          <w:b/>
          <w:lang w:eastAsia="es-MX"/>
        </w:rPr>
        <w:t xml:space="preserve">acta de verificación ordinaria </w:t>
      </w:r>
      <w:r w:rsidRPr="004E27D5">
        <w:rPr>
          <w:rFonts w:ascii="ITC Avant Garde" w:eastAsia="Times New Roman" w:hAnsi="ITC Avant Garde"/>
          <w:lang w:eastAsia="es-MX"/>
        </w:rPr>
        <w:t>número</w:t>
      </w:r>
      <w:r w:rsidRPr="004E27D5">
        <w:rPr>
          <w:rFonts w:ascii="ITC Avant Garde" w:eastAsia="Times New Roman" w:hAnsi="ITC Avant Garde"/>
          <w:b/>
          <w:lang w:eastAsia="es-MX"/>
        </w:rPr>
        <w:t xml:space="preserve"> </w:t>
      </w:r>
      <w:r w:rsidR="004B32BD" w:rsidRPr="004E27D5">
        <w:rPr>
          <w:rFonts w:ascii="ITC Avant Garde" w:hAnsi="ITC Avant Garde"/>
          <w:b/>
        </w:rPr>
        <w:t>IFT/UC/DG-VER/054/2017</w:t>
      </w:r>
      <w:r w:rsidRPr="004E27D5">
        <w:rPr>
          <w:rFonts w:ascii="ITC Avant Garde" w:eastAsia="Times New Roman" w:hAnsi="ITC Avant Garde"/>
          <w:lang w:eastAsia="es-MX"/>
        </w:rPr>
        <w:t>, habiendo designando como</w:t>
      </w:r>
      <w:r w:rsidRPr="004E27D5">
        <w:rPr>
          <w:rFonts w:ascii="ITC Avant Garde" w:hAnsi="ITC Avant Garde"/>
        </w:rPr>
        <w:t xml:space="preserve"> interventor especial (depositario) a </w:t>
      </w:r>
      <w:r w:rsidRPr="004E27D5">
        <w:rPr>
          <w:rFonts w:ascii="ITC Avant Garde" w:hAnsi="ITC Avant Garde"/>
          <w:b/>
        </w:rPr>
        <w:t xml:space="preserve">Raúl Leonel </w:t>
      </w:r>
      <w:proofErr w:type="spellStart"/>
      <w:r w:rsidRPr="004E27D5">
        <w:rPr>
          <w:rFonts w:ascii="ITC Avant Garde" w:hAnsi="ITC Avant Garde"/>
          <w:b/>
        </w:rPr>
        <w:t>Mulhia</w:t>
      </w:r>
      <w:proofErr w:type="spellEnd"/>
      <w:r w:rsidRPr="004E27D5">
        <w:rPr>
          <w:rFonts w:ascii="ITC Avant Garde" w:hAnsi="ITC Avant Garde"/>
          <w:b/>
        </w:rPr>
        <w:t xml:space="preserve"> </w:t>
      </w:r>
      <w:proofErr w:type="spellStart"/>
      <w:r w:rsidRPr="004E27D5">
        <w:rPr>
          <w:rFonts w:ascii="ITC Avant Garde" w:hAnsi="ITC Avant Garde"/>
          <w:b/>
        </w:rPr>
        <w:t>Arzaluz</w:t>
      </w:r>
      <w:proofErr w:type="spellEnd"/>
      <w:r w:rsidRPr="004E27D5">
        <w:rPr>
          <w:rFonts w:ascii="ITC Avant Garde" w:eastAsia="Times New Roman" w:hAnsi="ITC Avant Garde"/>
          <w:lang w:eastAsia="es-MX"/>
        </w:rPr>
        <w:t>, por lo que se le deberá solicitar que en su carácter de interventor especial (depositario) ponga a disposición los equipos asegurados.</w:t>
      </w:r>
    </w:p>
    <w:p w:rsidR="009E7D7C" w:rsidRPr="004E27D5" w:rsidRDefault="00F24F14" w:rsidP="00F24F14">
      <w:pPr>
        <w:tabs>
          <w:tab w:val="left" w:pos="993"/>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Cs/>
          <w:color w:val="000000"/>
          <w:lang w:eastAsia="es-MX"/>
        </w:rPr>
        <w:t>En consecuencia, con base en los resultandos y consideraciones anteriores, el Pleno del Instituto Federal de Telecomunicaciones:</w:t>
      </w:r>
    </w:p>
    <w:p w:rsidR="009E7D7C" w:rsidRPr="004E27D5" w:rsidRDefault="00617B62" w:rsidP="00A46B94">
      <w:pPr>
        <w:pStyle w:val="Ttulo2"/>
        <w:spacing w:after="240"/>
        <w:jc w:val="center"/>
        <w:rPr>
          <w:rFonts w:ascii="ITC Avant Garde" w:eastAsiaTheme="majorEastAsia" w:hAnsi="ITC Avant Garde" w:cstheme="majorBidi"/>
          <w:b/>
          <w:color w:val="000000" w:themeColor="text1"/>
          <w:sz w:val="22"/>
          <w:szCs w:val="22"/>
        </w:rPr>
      </w:pPr>
      <w:r w:rsidRPr="004E27D5">
        <w:rPr>
          <w:rFonts w:ascii="ITC Avant Garde" w:eastAsiaTheme="majorEastAsia" w:hAnsi="ITC Avant Garde" w:cstheme="majorBidi"/>
          <w:b/>
          <w:color w:val="000000" w:themeColor="text1"/>
          <w:sz w:val="22"/>
          <w:szCs w:val="22"/>
        </w:rPr>
        <w:t>RESUELVE</w:t>
      </w:r>
    </w:p>
    <w:p w:rsidR="009E7D7C" w:rsidRPr="004E27D5" w:rsidRDefault="00F24F14" w:rsidP="00F24F14">
      <w:pPr>
        <w:tabs>
          <w:tab w:val="left" w:pos="993"/>
        </w:tabs>
        <w:spacing w:after="0" w:line="360" w:lineRule="auto"/>
        <w:jc w:val="both"/>
        <w:rPr>
          <w:rFonts w:ascii="ITC Avant Garde" w:eastAsia="Times New Roman" w:hAnsi="ITC Avant Garde"/>
          <w:b/>
          <w:bCs/>
          <w:color w:val="000000"/>
          <w:lang w:eastAsia="es-MX"/>
        </w:rPr>
      </w:pPr>
      <w:r w:rsidRPr="004E27D5">
        <w:rPr>
          <w:rFonts w:ascii="ITC Avant Garde" w:eastAsia="Times New Roman" w:hAnsi="ITC Avant Garde"/>
          <w:b/>
          <w:bCs/>
          <w:color w:val="000000"/>
          <w:lang w:eastAsia="es-MX"/>
        </w:rPr>
        <w:t xml:space="preserve">PRIMERO. </w:t>
      </w:r>
      <w:r w:rsidR="00AC0264" w:rsidRPr="004E27D5">
        <w:rPr>
          <w:rFonts w:ascii="ITC Avant Garde" w:hAnsi="ITC Avant Garde" w:cs="Arial"/>
          <w:b/>
        </w:rPr>
        <w:t>El</w:t>
      </w:r>
      <w:r w:rsidRPr="004E27D5">
        <w:rPr>
          <w:rFonts w:ascii="ITC Avant Garde" w:hAnsi="ITC Avant Garde" w:cs="Arial"/>
          <w:b/>
        </w:rPr>
        <w:t xml:space="preserve"> propietario y/o poseedor, y/o responsable, y/o encargado</w:t>
      </w:r>
      <w:r w:rsidR="00133DEB" w:rsidRPr="004E27D5">
        <w:rPr>
          <w:rFonts w:ascii="ITC Avant Garde" w:hAnsi="ITC Avant Garde" w:cs="Arial"/>
          <w:b/>
        </w:rPr>
        <w:t xml:space="preserve"> u ocupante </w:t>
      </w:r>
      <w:r w:rsidRPr="004E27D5">
        <w:rPr>
          <w:rFonts w:ascii="ITC Avant Garde" w:hAnsi="ITC Avant Garde" w:cs="Arial"/>
          <w:b/>
        </w:rPr>
        <w:t>de</w:t>
      </w:r>
      <w:r w:rsidR="0065005D" w:rsidRPr="004E27D5">
        <w:rPr>
          <w:rFonts w:ascii="ITC Avant Garde" w:hAnsi="ITC Avant Garde" w:cs="Arial"/>
          <w:b/>
        </w:rPr>
        <w:t>l inmueble o de</w:t>
      </w:r>
      <w:r w:rsidRPr="004E27D5">
        <w:rPr>
          <w:rFonts w:ascii="ITC Avant Garde" w:hAnsi="ITC Avant Garde" w:cs="Arial"/>
          <w:b/>
        </w:rPr>
        <w:t xml:space="preserve"> las instalaciones y equipos de radiodifusión operando la frecuencia </w:t>
      </w:r>
      <w:r w:rsidR="00C9435A" w:rsidRPr="004E27D5">
        <w:rPr>
          <w:rFonts w:ascii="ITC Avant Garde" w:hAnsi="ITC Avant Garde"/>
          <w:b/>
          <w:caps/>
        </w:rPr>
        <w:t>106.1</w:t>
      </w:r>
      <w:r w:rsidR="002C1AD8" w:rsidRPr="004E27D5">
        <w:rPr>
          <w:rFonts w:ascii="ITC Avant Garde" w:hAnsi="ITC Avant Garde"/>
          <w:b/>
        </w:rPr>
        <w:t xml:space="preserve"> MHz</w:t>
      </w:r>
      <w:r w:rsidRPr="004E27D5">
        <w:rPr>
          <w:rFonts w:ascii="ITC Avant Garde" w:hAnsi="ITC Avant Garde" w:cs="Arial"/>
          <w:b/>
        </w:rPr>
        <w:t xml:space="preserve">, </w:t>
      </w:r>
      <w:r w:rsidRPr="004E27D5">
        <w:rPr>
          <w:rFonts w:ascii="ITC Avant Garde" w:hAnsi="ITC Avant Garde"/>
          <w:b/>
        </w:rPr>
        <w:t>ubicad</w:t>
      </w:r>
      <w:r w:rsidR="00A35481" w:rsidRPr="004E27D5">
        <w:rPr>
          <w:rFonts w:ascii="ITC Avant Garde" w:hAnsi="ITC Avant Garde"/>
          <w:b/>
        </w:rPr>
        <w:t>os</w:t>
      </w:r>
      <w:r w:rsidRPr="004E27D5">
        <w:rPr>
          <w:rFonts w:ascii="ITC Avant Garde" w:hAnsi="ITC Avant Garde"/>
          <w:b/>
        </w:rPr>
        <w:t xml:space="preserve"> en </w:t>
      </w:r>
      <w:r w:rsidR="00A52BF9" w:rsidRPr="004E27D5">
        <w:rPr>
          <w:rFonts w:ascii="ITC Avant Garde" w:hAnsi="ITC Avant Garde"/>
          <w:b/>
          <w:color w:val="0000FF"/>
        </w:rPr>
        <w:t>“CONFIDENCIAL POR LEY”</w:t>
      </w:r>
      <w:r w:rsidR="00C9435A" w:rsidRPr="004E27D5">
        <w:rPr>
          <w:rFonts w:ascii="ITC Avant Garde" w:hAnsi="ITC Avant Garde"/>
          <w:b/>
          <w:color w:val="0000FF"/>
        </w:rPr>
        <w:t xml:space="preserve"> </w:t>
      </w:r>
      <w:r w:rsidR="00C9435A" w:rsidRPr="004E27D5">
        <w:rPr>
          <w:rFonts w:ascii="ITC Avant Garde" w:hAnsi="ITC Avant Garde"/>
          <w:b/>
        </w:rPr>
        <w:t>Municipio de Valle de Bravo, Estado de México</w:t>
      </w:r>
      <w:r w:rsidRPr="004E27D5">
        <w:rPr>
          <w:rFonts w:ascii="ITC Avant Garde" w:hAnsi="ITC Avant Garde"/>
        </w:rPr>
        <w:t xml:space="preserve"> </w:t>
      </w:r>
      <w:r w:rsidR="00AC0264" w:rsidRPr="004E27D5">
        <w:rPr>
          <w:rFonts w:ascii="ITC Avant Garde" w:hAnsi="ITC Avant Garde"/>
        </w:rPr>
        <w:t xml:space="preserve">(identificado para efectos de la presente resolución como el </w:t>
      </w:r>
      <w:r w:rsidR="00AC0264" w:rsidRPr="004E27D5">
        <w:rPr>
          <w:rFonts w:ascii="ITC Avant Garde" w:hAnsi="ITC Avant Garde"/>
          <w:b/>
        </w:rPr>
        <w:t>PRESUNTO RESPONSABLE</w:t>
      </w:r>
      <w:r w:rsidR="00AC0264" w:rsidRPr="004E27D5">
        <w:rPr>
          <w:rFonts w:ascii="ITC Avant Garde" w:hAnsi="ITC Avant Garde"/>
        </w:rPr>
        <w:t xml:space="preserve">) </w:t>
      </w:r>
      <w:r w:rsidRPr="004E27D5">
        <w:rPr>
          <w:rFonts w:ascii="ITC Avant Garde" w:hAnsi="ITC Avant Garde"/>
        </w:rPr>
        <w:t xml:space="preserve">infringió lo dispuesto en el artículo 66 en relación con el artículo 75, ambos de la Ley Federal de Telecomunicaciones y Radiodifusión, al haberse detectado que se encontraba prestando </w:t>
      </w:r>
      <w:r w:rsidR="00C170FF" w:rsidRPr="004E27D5">
        <w:rPr>
          <w:rFonts w:ascii="ITC Avant Garde" w:hAnsi="ITC Avant Garde"/>
        </w:rPr>
        <w:t>el</w:t>
      </w:r>
      <w:r w:rsidRPr="004E27D5">
        <w:rPr>
          <w:rFonts w:ascii="ITC Avant Garde" w:hAnsi="ITC Avant Garde"/>
        </w:rPr>
        <w:t xml:space="preserve"> servicio de radiodifusión a través de</w:t>
      </w:r>
      <w:r w:rsidR="00A35481" w:rsidRPr="004E27D5">
        <w:rPr>
          <w:rFonts w:ascii="ITC Avant Garde" w:hAnsi="ITC Avant Garde"/>
        </w:rPr>
        <w:t>l uso de</w:t>
      </w:r>
      <w:r w:rsidRPr="004E27D5">
        <w:rPr>
          <w:rFonts w:ascii="ITC Avant Garde" w:hAnsi="ITC Avant Garde"/>
        </w:rPr>
        <w:t xml:space="preserve"> la frecuencia </w:t>
      </w:r>
      <w:r w:rsidR="00C9435A" w:rsidRPr="004E27D5">
        <w:rPr>
          <w:rFonts w:ascii="ITC Avant Garde" w:hAnsi="ITC Avant Garde"/>
          <w:b/>
          <w:caps/>
        </w:rPr>
        <w:t>106.1</w:t>
      </w:r>
      <w:r w:rsidR="002C1AD8" w:rsidRPr="004E27D5">
        <w:rPr>
          <w:rFonts w:ascii="ITC Avant Garde" w:hAnsi="ITC Avant Garde"/>
          <w:b/>
        </w:rPr>
        <w:t xml:space="preserve"> MHz</w:t>
      </w:r>
      <w:r w:rsidRPr="004E27D5">
        <w:rPr>
          <w:rFonts w:ascii="ITC Avant Garde" w:hAnsi="ITC Avant Garde"/>
        </w:rPr>
        <w:t xml:space="preserve"> sin contar con concesión, permiso o autorización, no obstante lo cual, no se individualiza sanción alguna a este respecto, atendiendo a las consideraciones señaladas en el Considerando S</w:t>
      </w:r>
      <w:r w:rsidR="00EA3858" w:rsidRPr="004E27D5">
        <w:rPr>
          <w:rFonts w:ascii="ITC Avant Garde" w:hAnsi="ITC Avant Garde"/>
        </w:rPr>
        <w:t xml:space="preserve">éptimo </w:t>
      </w:r>
      <w:r w:rsidRPr="004E27D5">
        <w:rPr>
          <w:rFonts w:ascii="ITC Avant Garde" w:hAnsi="ITC Avant Garde"/>
        </w:rPr>
        <w:t>de esta Resolución.</w:t>
      </w:r>
    </w:p>
    <w:p w:rsidR="001561CA" w:rsidRPr="004E27D5" w:rsidRDefault="00F24F14" w:rsidP="00F24F14">
      <w:pPr>
        <w:tabs>
          <w:tab w:val="left" w:pos="993"/>
        </w:tabs>
        <w:spacing w:after="0" w:line="360" w:lineRule="auto"/>
        <w:jc w:val="both"/>
        <w:rPr>
          <w:rFonts w:ascii="ITC Avant Garde" w:eastAsia="Times New Roman" w:hAnsi="ITC Avant Garde"/>
          <w:lang w:eastAsia="es-MX"/>
        </w:rPr>
        <w:sectPr w:rsidR="001561CA" w:rsidRPr="004E27D5" w:rsidSect="009B5755">
          <w:headerReference w:type="default" r:id="rId28"/>
          <w:pgSz w:w="12240" w:h="15840"/>
          <w:pgMar w:top="1985" w:right="1418" w:bottom="1418" w:left="1418" w:header="709" w:footer="420" w:gutter="0"/>
          <w:cols w:space="708"/>
          <w:docGrid w:linePitch="360"/>
        </w:sectPr>
      </w:pPr>
      <w:r w:rsidRPr="004E27D5">
        <w:rPr>
          <w:rFonts w:ascii="ITC Avant Garde" w:eastAsia="Times New Roman" w:hAnsi="ITC Avant Garde"/>
          <w:b/>
          <w:lang w:eastAsia="es-MX"/>
        </w:rPr>
        <w:t xml:space="preserve">SEGUNDO. </w:t>
      </w:r>
      <w:r w:rsidRPr="004E27D5">
        <w:rPr>
          <w:rFonts w:ascii="ITC Avant Garde" w:eastAsia="Times New Roman" w:hAnsi="ITC Avant Garde"/>
          <w:lang w:eastAsia="es-MX"/>
        </w:rPr>
        <w:t>De conformidad con lo señalado en las Consideraciones Tercera, Cuarta</w:t>
      </w:r>
      <w:r w:rsidR="00EA3858" w:rsidRPr="004E27D5">
        <w:rPr>
          <w:rFonts w:ascii="ITC Avant Garde" w:eastAsia="Times New Roman" w:hAnsi="ITC Avant Garde"/>
          <w:lang w:eastAsia="es-MX"/>
        </w:rPr>
        <w:t>,</w:t>
      </w:r>
      <w:r w:rsidRPr="004E27D5">
        <w:rPr>
          <w:rFonts w:ascii="ITC Avant Garde" w:eastAsia="Times New Roman" w:hAnsi="ITC Avant Garde"/>
          <w:lang w:eastAsia="es-MX"/>
        </w:rPr>
        <w:t xml:space="preserve"> Quinta</w:t>
      </w:r>
      <w:r w:rsidR="00EA3858" w:rsidRPr="004E27D5">
        <w:rPr>
          <w:rFonts w:ascii="ITC Avant Garde" w:eastAsia="Times New Roman" w:hAnsi="ITC Avant Garde"/>
          <w:lang w:eastAsia="es-MX"/>
        </w:rPr>
        <w:t xml:space="preserve"> y Sexta</w:t>
      </w:r>
      <w:r w:rsidRPr="004E27D5">
        <w:rPr>
          <w:rFonts w:ascii="ITC Avant Garde" w:eastAsia="Times New Roman" w:hAnsi="ITC Avant Garde"/>
          <w:lang w:eastAsia="es-MX"/>
        </w:rPr>
        <w:t xml:space="preserve"> de la presente Resolución,</w:t>
      </w:r>
      <w:r w:rsidR="00AC0264" w:rsidRPr="004E27D5">
        <w:rPr>
          <w:rFonts w:ascii="ITC Avant Garde" w:eastAsia="Times New Roman" w:hAnsi="ITC Avant Garde"/>
          <w:lang w:eastAsia="es-MX"/>
        </w:rPr>
        <w:t xml:space="preserve"> el</w:t>
      </w:r>
      <w:r w:rsidRPr="004E27D5">
        <w:rPr>
          <w:rFonts w:ascii="ITC Avant Garde" w:eastAsia="Times New Roman" w:hAnsi="ITC Avant Garde"/>
          <w:lang w:eastAsia="es-MX"/>
        </w:rPr>
        <w:t xml:space="preserve"> </w:t>
      </w:r>
      <w:r w:rsidR="00AC0264" w:rsidRPr="004E27D5">
        <w:rPr>
          <w:rFonts w:ascii="ITC Avant Garde" w:hAnsi="ITC Avant Garde"/>
          <w:b/>
        </w:rPr>
        <w:t>PRESUNTO RESPONSABLE</w:t>
      </w:r>
      <w:r w:rsidRPr="004E27D5">
        <w:rPr>
          <w:rFonts w:ascii="ITC Avant Garde" w:hAnsi="ITC Avant Garde"/>
        </w:rPr>
        <w:t xml:space="preserve"> </w:t>
      </w:r>
      <w:r w:rsidRPr="004E27D5">
        <w:rPr>
          <w:rFonts w:ascii="ITC Avant Garde" w:eastAsia="Times New Roman" w:hAnsi="ITC Avant Garde"/>
          <w:lang w:eastAsia="es-MX"/>
        </w:rPr>
        <w:t xml:space="preserve">se encontraba prestando servicios de radiodifusión en la frecuencia </w:t>
      </w:r>
      <w:r w:rsidR="00C9435A" w:rsidRPr="004E27D5">
        <w:rPr>
          <w:rFonts w:ascii="ITC Avant Garde" w:hAnsi="ITC Avant Garde"/>
          <w:b/>
          <w:caps/>
        </w:rPr>
        <w:t>106.1</w:t>
      </w:r>
      <w:r w:rsidR="002C1AD8" w:rsidRPr="004E27D5">
        <w:rPr>
          <w:rFonts w:ascii="ITC Avant Garde" w:hAnsi="ITC Avant Garde"/>
          <w:b/>
        </w:rPr>
        <w:t xml:space="preserve"> MHz</w:t>
      </w:r>
      <w:r w:rsidRPr="004E27D5">
        <w:rPr>
          <w:rFonts w:ascii="ITC Avant Garde" w:eastAsia="Times New Roman" w:hAnsi="ITC Avant Garde"/>
          <w:b/>
          <w:lang w:eastAsia="es-MX"/>
        </w:rPr>
        <w:t>,</w:t>
      </w:r>
      <w:r w:rsidRPr="004E27D5">
        <w:rPr>
          <w:rFonts w:ascii="ITC Avant Garde" w:eastAsia="Times New Roman" w:hAnsi="ITC Avant Garde"/>
          <w:lang w:eastAsia="es-MX"/>
        </w:rPr>
        <w:t xml:space="preserve"> y en consecuencia, con fundamento en el artículo 305 de la Ley Federal de Telecomunicaciones y Radiodifusión, </w:t>
      </w:r>
    </w:p>
    <w:p w:rsidR="00F24F14" w:rsidRPr="004E27D5" w:rsidRDefault="00F24F14" w:rsidP="00F24F14">
      <w:pPr>
        <w:tabs>
          <w:tab w:val="left" w:pos="993"/>
        </w:tabs>
        <w:spacing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lang w:eastAsia="es-MX"/>
        </w:rPr>
        <w:lastRenderedPageBreak/>
        <w:t xml:space="preserve">se declara la pérdida en beneficio de la Nación de los </w:t>
      </w:r>
      <w:r w:rsidRPr="004E27D5">
        <w:rPr>
          <w:rFonts w:ascii="ITC Avant Garde" w:eastAsia="Times New Roman" w:hAnsi="ITC Avant Garde"/>
          <w:bCs/>
          <w:color w:val="000000"/>
          <w:lang w:eastAsia="es-MX"/>
        </w:rPr>
        <w:t xml:space="preserve">equipos empleados en la comisión de dicha infracción consistentes en: </w:t>
      </w:r>
    </w:p>
    <w:tbl>
      <w:tblPr>
        <w:tblStyle w:val="Tablaconcuadrcula2"/>
        <w:tblW w:w="5000" w:type="pct"/>
        <w:tblLook w:val="04A0" w:firstRow="1" w:lastRow="0" w:firstColumn="1" w:lastColumn="0" w:noHBand="0" w:noVBand="1"/>
        <w:tblCaption w:val="Equipos asegurados"/>
        <w:tblDescription w:val="Esta tabla muestra las características de los equipos asegurados"/>
      </w:tblPr>
      <w:tblGrid>
        <w:gridCol w:w="2427"/>
        <w:gridCol w:w="1783"/>
        <w:gridCol w:w="1620"/>
        <w:gridCol w:w="1621"/>
        <w:gridCol w:w="1943"/>
      </w:tblGrid>
      <w:tr w:rsidR="004E27D5" w:rsidRPr="004E27D5" w:rsidTr="004E27D5">
        <w:trPr>
          <w:trHeight w:val="597"/>
          <w:tblHeader/>
        </w:trPr>
        <w:tc>
          <w:tcPr>
            <w:tcW w:w="1292" w:type="pct"/>
            <w:shd w:val="clear" w:color="auto" w:fill="A6A6A6" w:themeFill="background1" w:themeFillShade="A6"/>
          </w:tcPr>
          <w:p w:rsidR="007E4E5F" w:rsidRPr="004E27D5" w:rsidRDefault="007E4E5F" w:rsidP="003508D0">
            <w:pPr>
              <w:jc w:val="center"/>
              <w:rPr>
                <w:rFonts w:ascii="ITC Avant Garde" w:hAnsi="ITC Avant Garde" w:cs="Arial"/>
                <w:b/>
                <w:color w:val="000000" w:themeColor="text1"/>
                <w:sz w:val="20"/>
                <w:szCs w:val="20"/>
              </w:rPr>
            </w:pPr>
            <w:r w:rsidRPr="004E27D5">
              <w:rPr>
                <w:rFonts w:ascii="ITC Avant Garde" w:hAnsi="ITC Avant Garde" w:cs="Arial"/>
                <w:b/>
                <w:color w:val="000000" w:themeColor="text1"/>
                <w:sz w:val="20"/>
                <w:szCs w:val="20"/>
              </w:rPr>
              <w:t>Equipo</w:t>
            </w:r>
          </w:p>
        </w:tc>
        <w:tc>
          <w:tcPr>
            <w:tcW w:w="949" w:type="pct"/>
            <w:shd w:val="clear" w:color="auto" w:fill="A6A6A6" w:themeFill="background1" w:themeFillShade="A6"/>
          </w:tcPr>
          <w:p w:rsidR="007E4E5F" w:rsidRPr="004E27D5" w:rsidRDefault="007E4E5F" w:rsidP="003508D0">
            <w:pPr>
              <w:jc w:val="center"/>
              <w:rPr>
                <w:rFonts w:ascii="ITC Avant Garde" w:hAnsi="ITC Avant Garde" w:cs="Arial"/>
                <w:b/>
                <w:color w:val="000000" w:themeColor="text1"/>
                <w:sz w:val="20"/>
                <w:szCs w:val="20"/>
              </w:rPr>
            </w:pPr>
            <w:r w:rsidRPr="004E27D5">
              <w:rPr>
                <w:rFonts w:ascii="ITC Avant Garde" w:hAnsi="ITC Avant Garde" w:cs="Arial"/>
                <w:b/>
                <w:color w:val="000000" w:themeColor="text1"/>
                <w:sz w:val="20"/>
                <w:szCs w:val="20"/>
              </w:rPr>
              <w:t>Marca</w:t>
            </w:r>
          </w:p>
        </w:tc>
        <w:tc>
          <w:tcPr>
            <w:tcW w:w="862" w:type="pct"/>
            <w:shd w:val="clear" w:color="auto" w:fill="A6A6A6" w:themeFill="background1" w:themeFillShade="A6"/>
          </w:tcPr>
          <w:p w:rsidR="007E4E5F" w:rsidRPr="004E27D5" w:rsidRDefault="007E4E5F" w:rsidP="003508D0">
            <w:pPr>
              <w:jc w:val="center"/>
              <w:rPr>
                <w:rFonts w:ascii="ITC Avant Garde" w:hAnsi="ITC Avant Garde" w:cs="Arial"/>
                <w:b/>
                <w:color w:val="000000" w:themeColor="text1"/>
                <w:sz w:val="20"/>
                <w:szCs w:val="20"/>
              </w:rPr>
            </w:pPr>
            <w:r w:rsidRPr="004E27D5">
              <w:rPr>
                <w:rFonts w:ascii="ITC Avant Garde" w:hAnsi="ITC Avant Garde" w:cs="Arial"/>
                <w:b/>
                <w:color w:val="000000" w:themeColor="text1"/>
                <w:sz w:val="20"/>
                <w:szCs w:val="20"/>
              </w:rPr>
              <w:t>Modelo</w:t>
            </w:r>
          </w:p>
        </w:tc>
        <w:tc>
          <w:tcPr>
            <w:tcW w:w="863" w:type="pct"/>
            <w:shd w:val="clear" w:color="auto" w:fill="A6A6A6" w:themeFill="background1" w:themeFillShade="A6"/>
          </w:tcPr>
          <w:p w:rsidR="007E4E5F" w:rsidRPr="004E27D5" w:rsidRDefault="007E4E5F" w:rsidP="003508D0">
            <w:pPr>
              <w:jc w:val="center"/>
              <w:rPr>
                <w:rFonts w:ascii="ITC Avant Garde" w:hAnsi="ITC Avant Garde" w:cs="Arial"/>
                <w:b/>
                <w:color w:val="000000" w:themeColor="text1"/>
                <w:sz w:val="20"/>
                <w:szCs w:val="20"/>
              </w:rPr>
            </w:pPr>
            <w:r w:rsidRPr="004E27D5">
              <w:rPr>
                <w:rFonts w:ascii="ITC Avant Garde" w:hAnsi="ITC Avant Garde" w:cs="Arial"/>
                <w:b/>
                <w:color w:val="000000" w:themeColor="text1"/>
                <w:sz w:val="20"/>
                <w:szCs w:val="20"/>
              </w:rPr>
              <w:t>Número de Serie</w:t>
            </w:r>
          </w:p>
        </w:tc>
        <w:tc>
          <w:tcPr>
            <w:tcW w:w="1034" w:type="pct"/>
            <w:shd w:val="clear" w:color="auto" w:fill="A6A6A6" w:themeFill="background1" w:themeFillShade="A6"/>
          </w:tcPr>
          <w:p w:rsidR="007E4E5F" w:rsidRPr="004E27D5" w:rsidRDefault="007E4E5F" w:rsidP="003508D0">
            <w:pPr>
              <w:jc w:val="center"/>
              <w:rPr>
                <w:rFonts w:ascii="ITC Avant Garde" w:hAnsi="ITC Avant Garde" w:cs="Arial"/>
                <w:b/>
                <w:color w:val="000000" w:themeColor="text1"/>
                <w:sz w:val="20"/>
                <w:szCs w:val="20"/>
              </w:rPr>
            </w:pPr>
            <w:r w:rsidRPr="004E27D5">
              <w:rPr>
                <w:rFonts w:ascii="ITC Avant Garde" w:hAnsi="ITC Avant Garde" w:cs="Arial"/>
                <w:b/>
                <w:color w:val="000000" w:themeColor="text1"/>
                <w:sz w:val="20"/>
                <w:szCs w:val="20"/>
              </w:rPr>
              <w:t>Sello de aseguramiento</w:t>
            </w:r>
          </w:p>
        </w:tc>
      </w:tr>
      <w:tr w:rsidR="004E27D5" w:rsidRPr="004E27D5" w:rsidTr="004E27D5">
        <w:trPr>
          <w:trHeight w:val="392"/>
        </w:trPr>
        <w:tc>
          <w:tcPr>
            <w:tcW w:w="1292" w:type="pct"/>
          </w:tcPr>
          <w:p w:rsidR="004E27D5" w:rsidRPr="004E27D5" w:rsidRDefault="004E27D5" w:rsidP="004E27D5">
            <w:pPr>
              <w:rPr>
                <w:rFonts w:ascii="ITC Avant Garde" w:hAnsi="ITC Avant Garde" w:cs="Arial"/>
                <w:sz w:val="20"/>
                <w:szCs w:val="20"/>
              </w:rPr>
            </w:pPr>
            <w:r w:rsidRPr="004E27D5">
              <w:rPr>
                <w:rFonts w:ascii="ITC Avant Garde" w:hAnsi="ITC Avant Garde" w:cs="Arial"/>
                <w:sz w:val="20"/>
                <w:szCs w:val="20"/>
              </w:rPr>
              <w:t>Transmisor</w:t>
            </w:r>
          </w:p>
        </w:tc>
        <w:tc>
          <w:tcPr>
            <w:tcW w:w="949" w:type="pct"/>
          </w:tcPr>
          <w:p w:rsidR="004E27D5" w:rsidRPr="004E27D5" w:rsidRDefault="004E27D5" w:rsidP="004E27D5">
            <w:pPr>
              <w:widowControl w:val="0"/>
              <w:jc w:val="center"/>
              <w:rPr>
                <w:rFonts w:ascii="ITC Avant Garde" w:hAnsi="ITC Avant Garde" w:cs="Arial"/>
                <w:color w:val="FFFFFF" w:themeColor="background1"/>
                <w:sz w:val="4"/>
                <w:szCs w:val="4"/>
              </w:rPr>
            </w:pPr>
            <w:r w:rsidRPr="004E27D5">
              <w:rPr>
                <w:rFonts w:ascii="ITC Avant Garde" w:hAnsi="ITC Avant Garde" w:cs="Arial"/>
                <w:color w:val="FFFFFF" w:themeColor="background1"/>
                <w:sz w:val="4"/>
                <w:szCs w:val="4"/>
              </w:rPr>
              <w:t>Celda vacía</w:t>
            </w:r>
          </w:p>
        </w:tc>
        <w:tc>
          <w:tcPr>
            <w:tcW w:w="862" w:type="pct"/>
          </w:tcPr>
          <w:p w:rsidR="004E27D5" w:rsidRPr="004E27D5" w:rsidRDefault="004E27D5" w:rsidP="004E27D5">
            <w:pPr>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863" w:type="pct"/>
          </w:tcPr>
          <w:p w:rsidR="004E27D5" w:rsidRPr="004E27D5" w:rsidRDefault="004E27D5" w:rsidP="004E27D5">
            <w:pPr>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1034" w:type="pct"/>
          </w:tcPr>
          <w:p w:rsidR="004E27D5" w:rsidRPr="004E27D5" w:rsidRDefault="004E27D5" w:rsidP="004E27D5">
            <w:pPr>
              <w:jc w:val="center"/>
              <w:rPr>
                <w:rFonts w:ascii="ITC Avant Garde" w:hAnsi="ITC Avant Garde" w:cs="Arial"/>
                <w:sz w:val="20"/>
                <w:szCs w:val="20"/>
              </w:rPr>
            </w:pPr>
            <w:r w:rsidRPr="004E27D5">
              <w:rPr>
                <w:rFonts w:ascii="ITC Avant Garde" w:hAnsi="ITC Avant Garde" w:cs="Arial"/>
                <w:sz w:val="20"/>
                <w:szCs w:val="20"/>
              </w:rPr>
              <w:t>051-17</w:t>
            </w:r>
          </w:p>
        </w:tc>
      </w:tr>
      <w:tr w:rsidR="004E27D5" w:rsidRPr="004E27D5" w:rsidTr="004E27D5">
        <w:trPr>
          <w:trHeight w:val="392"/>
        </w:trPr>
        <w:tc>
          <w:tcPr>
            <w:tcW w:w="1292" w:type="pct"/>
          </w:tcPr>
          <w:p w:rsidR="004E27D5" w:rsidRPr="004E27D5" w:rsidRDefault="004E27D5" w:rsidP="004E27D5">
            <w:pPr>
              <w:rPr>
                <w:rFonts w:ascii="ITC Avant Garde" w:hAnsi="ITC Avant Garde" w:cs="Arial"/>
                <w:sz w:val="20"/>
                <w:szCs w:val="20"/>
              </w:rPr>
            </w:pPr>
            <w:r w:rsidRPr="004E27D5">
              <w:rPr>
                <w:rFonts w:ascii="ITC Avant Garde" w:hAnsi="ITC Avant Garde" w:cs="Arial"/>
                <w:sz w:val="20"/>
                <w:szCs w:val="20"/>
              </w:rPr>
              <w:t>Consola de audio</w:t>
            </w:r>
          </w:p>
        </w:tc>
        <w:tc>
          <w:tcPr>
            <w:tcW w:w="949" w:type="pct"/>
          </w:tcPr>
          <w:p w:rsidR="004E27D5" w:rsidRPr="004E27D5" w:rsidRDefault="004E27D5" w:rsidP="004E27D5">
            <w:pPr>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862" w:type="pct"/>
          </w:tcPr>
          <w:p w:rsidR="004E27D5" w:rsidRPr="004E27D5" w:rsidRDefault="004E27D5" w:rsidP="004E27D5">
            <w:pPr>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863" w:type="pct"/>
          </w:tcPr>
          <w:p w:rsidR="004E27D5" w:rsidRPr="004E27D5" w:rsidRDefault="004E27D5" w:rsidP="004E27D5">
            <w:pPr>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1034" w:type="pct"/>
          </w:tcPr>
          <w:p w:rsidR="004E27D5" w:rsidRPr="004E27D5" w:rsidRDefault="004E27D5" w:rsidP="004E27D5">
            <w:pPr>
              <w:jc w:val="center"/>
              <w:rPr>
                <w:rFonts w:ascii="ITC Avant Garde" w:hAnsi="ITC Avant Garde" w:cs="Arial"/>
                <w:sz w:val="20"/>
                <w:szCs w:val="20"/>
              </w:rPr>
            </w:pPr>
            <w:r w:rsidRPr="004E27D5">
              <w:rPr>
                <w:rFonts w:ascii="ITC Avant Garde" w:hAnsi="ITC Avant Garde" w:cs="Arial"/>
                <w:sz w:val="20"/>
                <w:szCs w:val="20"/>
              </w:rPr>
              <w:t>051-17</w:t>
            </w:r>
          </w:p>
        </w:tc>
      </w:tr>
      <w:tr w:rsidR="004E27D5" w:rsidRPr="004E27D5" w:rsidTr="004E27D5">
        <w:trPr>
          <w:trHeight w:val="340"/>
        </w:trPr>
        <w:tc>
          <w:tcPr>
            <w:tcW w:w="1292" w:type="pct"/>
          </w:tcPr>
          <w:p w:rsidR="004E27D5" w:rsidRPr="004E27D5" w:rsidRDefault="004E27D5" w:rsidP="004E27D5">
            <w:pPr>
              <w:rPr>
                <w:rFonts w:ascii="ITC Avant Garde" w:hAnsi="ITC Avant Garde" w:cs="Arial"/>
                <w:sz w:val="20"/>
                <w:szCs w:val="20"/>
              </w:rPr>
            </w:pPr>
            <w:r w:rsidRPr="004E27D5">
              <w:rPr>
                <w:rFonts w:ascii="ITC Avant Garde" w:hAnsi="ITC Avant Garde" w:cs="Arial"/>
                <w:sz w:val="20"/>
                <w:szCs w:val="20"/>
              </w:rPr>
              <w:t>CPU Armado</w:t>
            </w:r>
            <w:r w:rsidRPr="004E27D5" w:rsidDel="00B959CB">
              <w:rPr>
                <w:rFonts w:ascii="ITC Avant Garde" w:hAnsi="ITC Avant Garde" w:cs="Arial"/>
                <w:sz w:val="20"/>
                <w:szCs w:val="20"/>
              </w:rPr>
              <w:t xml:space="preserve"> </w:t>
            </w:r>
          </w:p>
        </w:tc>
        <w:tc>
          <w:tcPr>
            <w:tcW w:w="949" w:type="pct"/>
          </w:tcPr>
          <w:p w:rsidR="004E27D5" w:rsidRPr="004E27D5" w:rsidRDefault="004E27D5" w:rsidP="004E27D5">
            <w:pPr>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862" w:type="pct"/>
          </w:tcPr>
          <w:p w:rsidR="004E27D5" w:rsidRPr="004E27D5" w:rsidRDefault="004E27D5" w:rsidP="004E27D5">
            <w:pPr>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863" w:type="pct"/>
          </w:tcPr>
          <w:p w:rsidR="004E27D5" w:rsidRPr="004E27D5" w:rsidRDefault="004E27D5" w:rsidP="004E27D5">
            <w:pPr>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1034" w:type="pct"/>
          </w:tcPr>
          <w:p w:rsidR="004E27D5" w:rsidRPr="004E27D5" w:rsidRDefault="004E27D5" w:rsidP="004E27D5">
            <w:pPr>
              <w:jc w:val="center"/>
              <w:rPr>
                <w:rFonts w:ascii="ITC Avant Garde" w:hAnsi="ITC Avant Garde" w:cs="Arial"/>
                <w:sz w:val="20"/>
                <w:szCs w:val="20"/>
              </w:rPr>
            </w:pPr>
            <w:r w:rsidRPr="004E27D5">
              <w:rPr>
                <w:rFonts w:ascii="ITC Avant Garde" w:hAnsi="ITC Avant Garde" w:cs="Arial"/>
                <w:sz w:val="20"/>
                <w:szCs w:val="20"/>
              </w:rPr>
              <w:t>051-17</w:t>
            </w:r>
          </w:p>
        </w:tc>
      </w:tr>
      <w:tr w:rsidR="004E27D5" w:rsidRPr="004E27D5" w:rsidTr="004E27D5">
        <w:trPr>
          <w:trHeight w:val="695"/>
        </w:trPr>
        <w:tc>
          <w:tcPr>
            <w:tcW w:w="1292" w:type="pct"/>
          </w:tcPr>
          <w:p w:rsidR="004E27D5" w:rsidRPr="004E27D5" w:rsidRDefault="004E27D5" w:rsidP="004E27D5">
            <w:pPr>
              <w:rPr>
                <w:rFonts w:ascii="ITC Avant Garde" w:hAnsi="ITC Avant Garde" w:cs="Arial"/>
                <w:sz w:val="20"/>
                <w:szCs w:val="20"/>
              </w:rPr>
            </w:pPr>
            <w:r w:rsidRPr="004E27D5">
              <w:rPr>
                <w:rFonts w:ascii="ITC Avant Garde" w:hAnsi="ITC Avant Garde" w:cs="Arial"/>
                <w:sz w:val="20"/>
                <w:szCs w:val="20"/>
              </w:rPr>
              <w:t>2 Antenas Omnidireccional tipo T</w:t>
            </w:r>
          </w:p>
        </w:tc>
        <w:tc>
          <w:tcPr>
            <w:tcW w:w="949" w:type="pct"/>
          </w:tcPr>
          <w:p w:rsidR="004E27D5" w:rsidRPr="004E27D5" w:rsidRDefault="004E27D5" w:rsidP="004E27D5">
            <w:pPr>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862" w:type="pct"/>
          </w:tcPr>
          <w:p w:rsidR="004E27D5" w:rsidRPr="004E27D5" w:rsidRDefault="004E27D5" w:rsidP="004E27D5">
            <w:pPr>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863" w:type="pct"/>
          </w:tcPr>
          <w:p w:rsidR="004E27D5" w:rsidRPr="004E27D5" w:rsidRDefault="004E27D5" w:rsidP="004E27D5">
            <w:pPr>
              <w:jc w:val="center"/>
              <w:rPr>
                <w:color w:val="FFFFFF" w:themeColor="background1"/>
                <w:sz w:val="4"/>
                <w:szCs w:val="4"/>
              </w:rPr>
            </w:pPr>
            <w:r w:rsidRPr="004E27D5">
              <w:rPr>
                <w:rFonts w:ascii="ITC Avant Garde" w:hAnsi="ITC Avant Garde" w:cs="Arial"/>
                <w:color w:val="FFFFFF" w:themeColor="background1"/>
                <w:sz w:val="4"/>
                <w:szCs w:val="4"/>
              </w:rPr>
              <w:t>Celda vacía</w:t>
            </w:r>
          </w:p>
        </w:tc>
        <w:tc>
          <w:tcPr>
            <w:tcW w:w="1034" w:type="pct"/>
          </w:tcPr>
          <w:p w:rsidR="004E27D5" w:rsidRPr="004E27D5" w:rsidRDefault="004E27D5" w:rsidP="004E27D5">
            <w:pPr>
              <w:jc w:val="center"/>
              <w:rPr>
                <w:rFonts w:ascii="ITC Avant Garde" w:hAnsi="ITC Avant Garde" w:cs="Arial"/>
                <w:sz w:val="20"/>
                <w:szCs w:val="20"/>
              </w:rPr>
            </w:pPr>
            <w:r w:rsidRPr="004E27D5">
              <w:rPr>
                <w:rFonts w:ascii="ITC Avant Garde" w:hAnsi="ITC Avant Garde" w:cs="Arial"/>
                <w:sz w:val="20"/>
                <w:szCs w:val="20"/>
              </w:rPr>
              <w:t>051-17</w:t>
            </w:r>
          </w:p>
        </w:tc>
      </w:tr>
    </w:tbl>
    <w:p w:rsidR="009E7D7C" w:rsidRPr="004E27D5" w:rsidRDefault="00F24F14" w:rsidP="004E27D5">
      <w:pPr>
        <w:pStyle w:val="Textoindependiente"/>
        <w:spacing w:before="240" w:after="0" w:line="360" w:lineRule="auto"/>
        <w:jc w:val="both"/>
        <w:rPr>
          <w:rFonts w:ascii="ITC Avant Garde" w:eastAsia="Times New Roman" w:hAnsi="ITC Avant Garde"/>
          <w:bCs/>
          <w:color w:val="000000"/>
          <w:lang w:eastAsia="es-MX"/>
        </w:rPr>
      </w:pPr>
      <w:r w:rsidRPr="004E27D5">
        <w:rPr>
          <w:rFonts w:ascii="ITC Avant Garde" w:eastAsia="Times New Roman" w:hAnsi="ITC Avant Garde"/>
          <w:b/>
          <w:lang w:eastAsia="es-MX"/>
        </w:rPr>
        <w:t>TERCERO.</w:t>
      </w:r>
      <w:r w:rsidRPr="004E27D5">
        <w:rPr>
          <w:rFonts w:ascii="ITC Avant Garde" w:eastAsia="Times New Roman" w:hAnsi="ITC Avant Garde"/>
          <w:lang w:eastAsia="es-MX"/>
        </w:rPr>
        <w:t xml:space="preserve"> Se instruye a la Unidad de Cumplimiento, para que a través de la Dirección General de Verificación, </w:t>
      </w:r>
      <w:r w:rsidR="00EA3858" w:rsidRPr="004E27D5">
        <w:rPr>
          <w:rFonts w:ascii="ITC Avant Garde" w:eastAsia="Times New Roman" w:hAnsi="ITC Avant Garde"/>
          <w:lang w:eastAsia="es-MX"/>
        </w:rPr>
        <w:t xml:space="preserve">haga </w:t>
      </w:r>
      <w:r w:rsidRPr="004E27D5">
        <w:rPr>
          <w:rFonts w:ascii="ITC Avant Garde" w:eastAsia="Times New Roman" w:hAnsi="ITC Avant Garde"/>
          <w:lang w:eastAsia="es-MX"/>
        </w:rPr>
        <w:t xml:space="preserve">del conocimiento del interventor especial (depositario) la revocación de su nombramiento y en consecuencia ponga a disposición los bienes que pasan a poder de la Nación, </w:t>
      </w:r>
      <w:r w:rsidR="00AC38A6" w:rsidRPr="004E27D5">
        <w:rPr>
          <w:rFonts w:ascii="ITC Avant Garde" w:eastAsia="Times New Roman" w:hAnsi="ITC Avant Garde"/>
          <w:lang w:eastAsia="es-MX"/>
        </w:rPr>
        <w:t xml:space="preserve">una vez llevada a cabo la </w:t>
      </w:r>
      <w:r w:rsidRPr="004E27D5">
        <w:rPr>
          <w:rFonts w:ascii="ITC Avant Garde" w:eastAsia="Times New Roman" w:hAnsi="ITC Avant Garde"/>
          <w:lang w:eastAsia="es-MX"/>
        </w:rPr>
        <w:t>verificación de que los sellos de aseguramiento no han sido violados y previ</w:t>
      </w:r>
      <w:r w:rsidR="00C05325" w:rsidRPr="004E27D5">
        <w:rPr>
          <w:rFonts w:ascii="ITC Avant Garde" w:eastAsia="Times New Roman" w:hAnsi="ITC Avant Garde"/>
          <w:lang w:eastAsia="es-MX"/>
        </w:rPr>
        <w:t>amente al</w:t>
      </w:r>
      <w:r w:rsidRPr="004E27D5">
        <w:rPr>
          <w:rFonts w:ascii="ITC Avant Garde" w:eastAsia="Times New Roman" w:hAnsi="ITC Avant Garde"/>
          <w:lang w:eastAsia="es-MX"/>
        </w:rPr>
        <w:t xml:space="preserve"> inventario pormenorizado de los citados bienes.</w:t>
      </w:r>
    </w:p>
    <w:p w:rsidR="009E7D7C" w:rsidRPr="004E27D5" w:rsidRDefault="000C77CA" w:rsidP="009F0655">
      <w:pPr>
        <w:tabs>
          <w:tab w:val="left" w:pos="993"/>
        </w:tabs>
        <w:spacing w:after="0" w:line="360" w:lineRule="auto"/>
        <w:jc w:val="both"/>
        <w:rPr>
          <w:rFonts w:ascii="ITC Avant Garde" w:eastAsia="Times New Roman" w:hAnsi="ITC Avant Garde"/>
          <w:lang w:eastAsia="es-MX"/>
        </w:rPr>
      </w:pPr>
      <w:r w:rsidRPr="004E27D5">
        <w:rPr>
          <w:rFonts w:ascii="ITC Avant Garde" w:eastAsia="Times New Roman" w:hAnsi="ITC Avant Garde"/>
          <w:b/>
          <w:lang w:eastAsia="es-MX"/>
        </w:rPr>
        <w:t>CUARTO.</w:t>
      </w:r>
      <w:r w:rsidRPr="004E27D5">
        <w:rPr>
          <w:rFonts w:ascii="ITC Avant Garde" w:eastAsia="Times New Roman" w:hAnsi="ITC Avant Garde"/>
          <w:lang w:eastAsia="es-MX"/>
        </w:rPr>
        <w:t xml:space="preserve"> Con fundamento en el artículo 35, fracción I de la Ley Federal de Procedimiento Administrativo, se ordena que la presente Resolución se notifique al </w:t>
      </w:r>
      <w:r w:rsidRPr="004E27D5">
        <w:rPr>
          <w:rFonts w:ascii="ITC Avant Garde" w:eastAsia="Times New Roman" w:hAnsi="ITC Avant Garde"/>
          <w:b/>
          <w:caps/>
          <w:lang w:eastAsia="es-MX"/>
        </w:rPr>
        <w:t>presunto responsable</w:t>
      </w:r>
      <w:r w:rsidRPr="004E27D5">
        <w:rPr>
          <w:rFonts w:ascii="ITC Avant Garde" w:eastAsia="Times New Roman" w:hAnsi="ITC Avant Garde"/>
          <w:lang w:eastAsia="es-MX"/>
        </w:rPr>
        <w:t xml:space="preserve"> en el domicilio precisado en el proemio de la presente Resolución. </w:t>
      </w:r>
    </w:p>
    <w:p w:rsidR="009E7D7C" w:rsidRPr="004E27D5" w:rsidRDefault="00F24F14" w:rsidP="009F0655">
      <w:pPr>
        <w:tabs>
          <w:tab w:val="left" w:pos="993"/>
        </w:tabs>
        <w:spacing w:after="0" w:line="360" w:lineRule="auto"/>
        <w:jc w:val="both"/>
        <w:rPr>
          <w:rFonts w:ascii="ITC Avant Garde" w:eastAsia="Times New Roman" w:hAnsi="ITC Avant Garde"/>
          <w:lang w:eastAsia="es-MX"/>
        </w:rPr>
      </w:pPr>
      <w:r w:rsidRPr="004E27D5">
        <w:rPr>
          <w:rFonts w:ascii="ITC Avant Garde" w:eastAsia="Times New Roman" w:hAnsi="ITC Avant Garde"/>
          <w:b/>
          <w:lang w:eastAsia="es-MX"/>
        </w:rPr>
        <w:t xml:space="preserve">QUINTO. </w:t>
      </w:r>
      <w:r w:rsidRPr="004E27D5">
        <w:rPr>
          <w:rFonts w:ascii="ITC Avant Garde" w:eastAsia="Times New Roman" w:hAnsi="ITC Avant Garde"/>
          <w:lang w:eastAsia="es-MX"/>
        </w:rPr>
        <w:t xml:space="preserve">En términos del artículo 3, fracción XIV de la Ley Federal del Procedimiento Administrativo, de aplicación supletoria a la Ley Federal de Telecomunicaciones y Radiodifusión, se informa al </w:t>
      </w:r>
      <w:r w:rsidRPr="004E27D5">
        <w:rPr>
          <w:rFonts w:ascii="ITC Avant Garde" w:eastAsia="Times New Roman" w:hAnsi="ITC Avant Garde"/>
          <w:b/>
          <w:caps/>
          <w:lang w:eastAsia="es-MX"/>
        </w:rPr>
        <w:t>presunto responsable</w:t>
      </w:r>
      <w:r w:rsidRPr="004E27D5">
        <w:rPr>
          <w:rFonts w:ascii="ITC Avant Garde" w:eastAsia="Times New Roman" w:hAnsi="ITC Avant Garde"/>
          <w:lang w:eastAsia="es-MX"/>
        </w:rPr>
        <w:t xml:space="preserve"> </w:t>
      </w:r>
      <w:r w:rsidRPr="004E27D5">
        <w:rPr>
          <w:rFonts w:ascii="ITC Avant Garde" w:eastAsia="Times New Roman" w:hAnsi="ITC Avant Garde"/>
          <w:bCs/>
          <w:color w:val="000000"/>
          <w:lang w:eastAsia="es-MX"/>
        </w:rPr>
        <w:t xml:space="preserve">que podrá consultar el expediente en que se actúa en las oficinas de la Unidad de Cumplimiento de este Instituto Federal de Telecomunicaciones, con domicilio en </w:t>
      </w:r>
      <w:r w:rsidRPr="004E27D5">
        <w:rPr>
          <w:rFonts w:ascii="ITC Avant Garde" w:hAnsi="ITC Avant Garde"/>
          <w:color w:val="000000"/>
        </w:rPr>
        <w:t>Avenida Insurgentes Sur número 838, cuarto piso, Colonia Del Valle, Delegación Benito Juárez, Ciudad de México, Código Postal 03100</w:t>
      </w:r>
      <w:r w:rsidRPr="004E27D5">
        <w:rPr>
          <w:rFonts w:ascii="ITC Avant Garde" w:eastAsia="Times New Roman" w:hAnsi="ITC Avant Garde"/>
          <w:bCs/>
          <w:color w:val="000000"/>
          <w:lang w:eastAsia="es-MX"/>
        </w:rPr>
        <w:t xml:space="preserve">, </w:t>
      </w:r>
      <w:r w:rsidRPr="004E27D5">
        <w:rPr>
          <w:rFonts w:ascii="ITC Avant Garde" w:eastAsia="Times New Roman" w:hAnsi="ITC Avant Garde"/>
          <w:lang w:eastAsia="es-MX"/>
        </w:rPr>
        <w:t xml:space="preserve">(Edificio Alterno de este Instituto), </w:t>
      </w:r>
      <w:r w:rsidRPr="004E27D5">
        <w:rPr>
          <w:rFonts w:ascii="ITC Avant Garde" w:eastAsia="Times New Roman" w:hAnsi="ITC Avant Garde"/>
          <w:bCs/>
          <w:color w:val="000000"/>
          <w:lang w:eastAsia="es-MX"/>
        </w:rPr>
        <w:t>dentro del siguiente horario: de lunes a jueves de las 9:00 a las 18:30 horas y los viernes de las 9:00 a las 15:00 horas.</w:t>
      </w:r>
    </w:p>
    <w:p w:rsidR="009E7D7C" w:rsidRPr="004E27D5" w:rsidRDefault="00F24F14" w:rsidP="009F0655">
      <w:pPr>
        <w:tabs>
          <w:tab w:val="left" w:pos="993"/>
        </w:tabs>
        <w:spacing w:after="0" w:line="360" w:lineRule="auto"/>
        <w:jc w:val="both"/>
        <w:rPr>
          <w:rFonts w:ascii="ITC Avant Garde" w:eastAsia="Times New Roman" w:hAnsi="ITC Avant Garde"/>
          <w:bCs/>
          <w:lang w:eastAsia="es-MX"/>
        </w:rPr>
      </w:pPr>
      <w:r w:rsidRPr="004E27D5">
        <w:rPr>
          <w:rFonts w:ascii="ITC Avant Garde" w:eastAsia="Times New Roman" w:hAnsi="ITC Avant Garde"/>
          <w:b/>
          <w:lang w:eastAsia="es-MX"/>
        </w:rPr>
        <w:t>SEXTO.</w:t>
      </w:r>
      <w:r w:rsidRPr="004E27D5">
        <w:rPr>
          <w:rFonts w:ascii="ITC Avant Garde" w:eastAsia="Times New Roman" w:hAnsi="ITC Avant Garde"/>
          <w:bCs/>
          <w:lang w:eastAsia="es-MX"/>
        </w:rPr>
        <w:t xml:space="preserve"> En cumplimiento a lo dispuesto en los artículos 3, fracción XV y 39 de la Ley Federal de Procedimiento Administrativo, se hace del conocimiento del </w:t>
      </w:r>
      <w:r w:rsidRPr="004E27D5">
        <w:rPr>
          <w:rFonts w:ascii="ITC Avant Garde" w:eastAsia="Times New Roman" w:hAnsi="ITC Avant Garde"/>
          <w:b/>
          <w:caps/>
          <w:lang w:eastAsia="es-MX"/>
        </w:rPr>
        <w:t>presunto responsable</w:t>
      </w:r>
      <w:r w:rsidRPr="004E27D5">
        <w:rPr>
          <w:rFonts w:ascii="ITC Avant Garde" w:eastAsia="Times New Roman" w:hAnsi="ITC Avant Garde"/>
          <w:bCs/>
          <w:lang w:eastAsia="es-MX"/>
        </w:rPr>
        <w:t xml:space="preserve"> que la presente Resolución constituye un acto administrativo definitivo y por lo tanto, de </w:t>
      </w:r>
      <w:r w:rsidRPr="004E27D5">
        <w:rPr>
          <w:rFonts w:ascii="ITC Avant Garde" w:eastAsia="Times New Roman" w:hAnsi="ITC Avant Garde"/>
          <w:bCs/>
          <w:lang w:eastAsia="es-MX"/>
        </w:rPr>
        <w:lastRenderedPageBreak/>
        <w:t>conformidad con lo dispuesto en el artículo 28 de la Constitución Política de los Estados Unidos Mexicanos, en relación con el diverso 312 de la Ley Federal de Telecomunicaciones y Radiodifusión, procede interponer ante los juzgados de distrito especializados en materia de competencia económica, radiodifusión y telecomunicaciones, con residencia en la Ciudad de México, y jurisdicción territorial en toda la República, el juicio de amparo indirecto dentro del plazo de quince días hábiles contados a partir de que surta efectos la notificación de la presente resolución, en términos del artículo 17</w:t>
      </w:r>
      <w:r w:rsidRPr="004E27D5">
        <w:t xml:space="preserve"> </w:t>
      </w:r>
      <w:r w:rsidRPr="004E27D5">
        <w:rPr>
          <w:rFonts w:ascii="ITC Avant Garde" w:eastAsia="Times New Roman" w:hAnsi="ITC Avant Garde"/>
          <w:bCs/>
          <w:lang w:eastAsia="es-MX"/>
        </w:rPr>
        <w:t>de la Ley de Amparo, Reglamentaria de los artículos 103 y 107 de la Constitución Política de los Estados Unidos Mexicanos.</w:t>
      </w:r>
    </w:p>
    <w:p w:rsidR="009E7D7C" w:rsidRPr="004E27D5" w:rsidRDefault="00232142" w:rsidP="009F0655">
      <w:pPr>
        <w:spacing w:after="0" w:line="360" w:lineRule="auto"/>
        <w:jc w:val="both"/>
        <w:rPr>
          <w:rFonts w:ascii="ITC Avant Garde" w:hAnsi="ITC Avant Garde"/>
          <w:color w:val="000000"/>
          <w:lang w:eastAsia="es-MX"/>
        </w:rPr>
      </w:pPr>
      <w:r w:rsidRPr="004E27D5">
        <w:rPr>
          <w:rFonts w:ascii="ITC Avant Garde" w:eastAsia="Times New Roman" w:hAnsi="ITC Avant Garde"/>
          <w:b/>
          <w:bCs/>
          <w:lang w:eastAsia="es-MX"/>
        </w:rPr>
        <w:t>SÉPTIMO.</w:t>
      </w:r>
      <w:r w:rsidRPr="004E27D5">
        <w:rPr>
          <w:rFonts w:ascii="ITC Avant Garde" w:eastAsia="Times New Roman" w:hAnsi="ITC Avant Garde"/>
          <w:bCs/>
          <w:lang w:eastAsia="es-MX"/>
        </w:rPr>
        <w:t xml:space="preserve"> </w:t>
      </w:r>
      <w:r w:rsidRPr="004E27D5">
        <w:rPr>
          <w:rFonts w:ascii="ITC Avant Garde" w:hAnsi="ITC Avant Garde"/>
          <w:color w:val="000000"/>
          <w:lang w:eastAsia="es-MX"/>
        </w:rPr>
        <w:t>Una vez que la presente resolución haya quedado firme, con fundamento en el artículo 177 fracción XIX de la Ley Federal de Telecomunicaciones y Radiodifusión en relación con el artículo 36 fracción I del Estatuto Orgánico del Instituto Federal de Telecomunicaciones, inscríbase la misma en el Registro Público de Concesiones, para todos los efectos a que haya lugar.</w:t>
      </w:r>
    </w:p>
    <w:p w:rsidR="00F24F14" w:rsidRPr="004E27D5" w:rsidRDefault="00232142" w:rsidP="009F0655">
      <w:pPr>
        <w:tabs>
          <w:tab w:val="left" w:pos="993"/>
        </w:tabs>
        <w:spacing w:after="0" w:line="360" w:lineRule="auto"/>
        <w:jc w:val="both"/>
        <w:rPr>
          <w:rFonts w:ascii="ITC Avant Garde" w:eastAsia="Times New Roman" w:hAnsi="ITC Avant Garde"/>
          <w:bCs/>
          <w:lang w:eastAsia="es-MX"/>
        </w:rPr>
      </w:pPr>
      <w:r w:rsidRPr="004E27D5">
        <w:rPr>
          <w:rFonts w:ascii="ITC Avant Garde" w:eastAsia="Times New Roman" w:hAnsi="ITC Avant Garde"/>
          <w:b/>
          <w:bCs/>
          <w:lang w:eastAsia="es-MX"/>
        </w:rPr>
        <w:t>OCTAVO</w:t>
      </w:r>
      <w:r w:rsidR="00F24F14" w:rsidRPr="004E27D5">
        <w:rPr>
          <w:rFonts w:ascii="ITC Avant Garde" w:eastAsia="Times New Roman" w:hAnsi="ITC Avant Garde"/>
          <w:b/>
          <w:bCs/>
          <w:lang w:eastAsia="es-MX"/>
        </w:rPr>
        <w:t>.</w:t>
      </w:r>
      <w:r w:rsidR="00F24F14" w:rsidRPr="004E27D5">
        <w:rPr>
          <w:rFonts w:ascii="ITC Avant Garde" w:eastAsia="Times New Roman" w:hAnsi="ITC Avant Garde"/>
          <w:bCs/>
          <w:lang w:eastAsia="es-MX"/>
        </w:rPr>
        <w:t xml:space="preserve"> En su oportunidad archívese el expediente como asunto total y definitivamente concluido.</w:t>
      </w:r>
    </w:p>
    <w:p w:rsidR="009E7D7C" w:rsidRPr="004E27D5" w:rsidRDefault="00F24F14" w:rsidP="009F0655">
      <w:pPr>
        <w:tabs>
          <w:tab w:val="left" w:pos="993"/>
        </w:tabs>
        <w:spacing w:after="0" w:line="360" w:lineRule="auto"/>
        <w:jc w:val="both"/>
        <w:rPr>
          <w:rFonts w:ascii="ITC Avant Garde" w:eastAsia="Times New Roman" w:hAnsi="ITC Avant Garde"/>
          <w:bCs/>
          <w:lang w:eastAsia="es-MX"/>
        </w:rPr>
      </w:pPr>
      <w:r w:rsidRPr="004E27D5">
        <w:rPr>
          <w:rFonts w:ascii="ITC Avant Garde" w:eastAsia="Times New Roman" w:hAnsi="ITC Avant Garde"/>
          <w:bCs/>
          <w:lang w:eastAsia="es-MX"/>
        </w:rPr>
        <w:t>Así lo resolvió el Pleno del Instituto Federal de Telecomunicaciones, con fundamento en los artículos señalados en l</w:t>
      </w:r>
      <w:r w:rsidR="002A1BF5" w:rsidRPr="004E27D5">
        <w:rPr>
          <w:rFonts w:ascii="ITC Avant Garde" w:eastAsia="Times New Roman" w:hAnsi="ITC Avant Garde"/>
          <w:bCs/>
          <w:lang w:eastAsia="es-MX"/>
        </w:rPr>
        <w:t>a presente r</w:t>
      </w:r>
      <w:r w:rsidRPr="004E27D5">
        <w:rPr>
          <w:rFonts w:ascii="ITC Avant Garde" w:eastAsia="Times New Roman" w:hAnsi="ITC Avant Garde"/>
          <w:bCs/>
          <w:lang w:eastAsia="es-MX"/>
        </w:rPr>
        <w:t>esolución.</w:t>
      </w:r>
    </w:p>
    <w:p w:rsidR="009E7D7C" w:rsidRPr="004E27D5" w:rsidRDefault="00D366DD" w:rsidP="00D366DD">
      <w:pPr>
        <w:spacing w:after="0" w:line="240" w:lineRule="auto"/>
        <w:contextualSpacing/>
        <w:jc w:val="both"/>
        <w:rPr>
          <w:rFonts w:ascii="ITC Avant Garde" w:hAnsi="ITC Avant Garde"/>
          <w:sz w:val="12"/>
          <w:szCs w:val="20"/>
          <w:lang w:eastAsia="es-MX"/>
        </w:rPr>
      </w:pPr>
      <w:r w:rsidRPr="004E27D5">
        <w:rPr>
          <w:rFonts w:ascii="ITC Avant Garde" w:hAnsi="ITC Avant Garde"/>
          <w:sz w:val="12"/>
          <w:szCs w:val="20"/>
          <w:lang w:eastAsia="es-MX"/>
        </w:rPr>
        <w:t xml:space="preserve">La presente Resolución fue aprobada por el Pleno del Instituto Federal de Telecomunicaciones en su XLVIII Sesión Ordinaria celebrada el 22 de noviembre de 2017, </w:t>
      </w:r>
      <w:r w:rsidRPr="004E27D5">
        <w:rPr>
          <w:rFonts w:ascii="ITC Avant Garde" w:hAnsi="ITC Avant Garde"/>
          <w:bCs/>
          <w:sz w:val="12"/>
          <w:szCs w:val="20"/>
          <w:lang w:eastAsia="es-MX"/>
        </w:rPr>
        <w:t>por unanimidad</w:t>
      </w:r>
      <w:r w:rsidRPr="004E27D5">
        <w:rPr>
          <w:rFonts w:ascii="ITC Avant Garde" w:hAnsi="ITC Avant Garde"/>
          <w:sz w:val="12"/>
          <w:szCs w:val="20"/>
          <w:lang w:eastAsia="es-MX"/>
        </w:rPr>
        <w:t xml:space="preserve"> de votos de los Comisionados Gabriel Oswaldo Contreras Saldívar, Adriana Sofía </w:t>
      </w:r>
      <w:proofErr w:type="spellStart"/>
      <w:r w:rsidRPr="004E27D5">
        <w:rPr>
          <w:rFonts w:ascii="ITC Avant Garde" w:hAnsi="ITC Avant Garde"/>
          <w:sz w:val="12"/>
          <w:szCs w:val="20"/>
          <w:lang w:eastAsia="es-MX"/>
        </w:rPr>
        <w:t>Labardini</w:t>
      </w:r>
      <w:proofErr w:type="spellEnd"/>
      <w:r w:rsidRPr="004E27D5">
        <w:rPr>
          <w:rFonts w:ascii="ITC Avant Garde" w:hAnsi="ITC Avant Garde"/>
          <w:sz w:val="12"/>
          <w:szCs w:val="20"/>
          <w:lang w:eastAsia="es-MX"/>
        </w:rPr>
        <w:t xml:space="preserve"> </w:t>
      </w:r>
      <w:proofErr w:type="spellStart"/>
      <w:r w:rsidRPr="004E27D5">
        <w:rPr>
          <w:rFonts w:ascii="ITC Avant Garde" w:hAnsi="ITC Avant Garde"/>
          <w:sz w:val="12"/>
          <w:szCs w:val="20"/>
          <w:lang w:eastAsia="es-MX"/>
        </w:rPr>
        <w:t>Inzunza</w:t>
      </w:r>
      <w:proofErr w:type="spellEnd"/>
      <w:r w:rsidRPr="004E27D5">
        <w:rPr>
          <w:rFonts w:ascii="ITC Avant Garde" w:hAnsi="ITC Avant Garde"/>
          <w:sz w:val="12"/>
          <w:szCs w:val="20"/>
          <w:lang w:eastAsia="es-MX"/>
        </w:rPr>
        <w:t xml:space="preserve">, María Elena </w:t>
      </w:r>
      <w:proofErr w:type="spellStart"/>
      <w:r w:rsidRPr="004E27D5">
        <w:rPr>
          <w:rFonts w:ascii="ITC Avant Garde" w:hAnsi="ITC Avant Garde"/>
          <w:sz w:val="12"/>
          <w:szCs w:val="20"/>
          <w:lang w:eastAsia="es-MX"/>
        </w:rPr>
        <w:t>Estavillo</w:t>
      </w:r>
      <w:proofErr w:type="spellEnd"/>
      <w:r w:rsidRPr="004E27D5">
        <w:rPr>
          <w:rFonts w:ascii="ITC Avant Garde" w:hAnsi="ITC Avant Garde"/>
          <w:sz w:val="12"/>
          <w:szCs w:val="20"/>
          <w:lang w:eastAsia="es-MX"/>
        </w:rPr>
        <w:t xml:space="preserve"> Flores, Mario Germán </w:t>
      </w:r>
      <w:proofErr w:type="spellStart"/>
      <w:r w:rsidRPr="004E27D5">
        <w:rPr>
          <w:rFonts w:ascii="ITC Avant Garde" w:hAnsi="ITC Avant Garde"/>
          <w:sz w:val="12"/>
          <w:szCs w:val="20"/>
          <w:lang w:eastAsia="es-MX"/>
        </w:rPr>
        <w:t>Fromow</w:t>
      </w:r>
      <w:proofErr w:type="spellEnd"/>
      <w:r w:rsidRPr="004E27D5">
        <w:rPr>
          <w:rFonts w:ascii="ITC Avant Garde" w:hAnsi="ITC Avant Garde"/>
          <w:sz w:val="12"/>
          <w:szCs w:val="20"/>
          <w:lang w:eastAsia="es-MX"/>
        </w:rPr>
        <w:t xml:space="preserve"> Rangel, Adolfo Cuevas Teja, Javier Juárez Mojica y Arturo Robles </w:t>
      </w:r>
      <w:proofErr w:type="spellStart"/>
      <w:r w:rsidRPr="004E27D5">
        <w:rPr>
          <w:rFonts w:ascii="ITC Avant Garde" w:hAnsi="ITC Avant Garde"/>
          <w:sz w:val="12"/>
          <w:szCs w:val="20"/>
          <w:lang w:eastAsia="es-MX"/>
        </w:rPr>
        <w:t>Rovalo</w:t>
      </w:r>
      <w:proofErr w:type="spellEnd"/>
      <w:r w:rsidRPr="004E27D5">
        <w:rPr>
          <w:rFonts w:ascii="ITC Avant Garde" w:hAnsi="ITC Avant Garde"/>
          <w:sz w:val="12"/>
          <w:szCs w:val="20"/>
          <w:lang w:eastAsia="es-MX"/>
        </w:rPr>
        <w:t>;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P/IFT/221117/740.</w:t>
      </w:r>
    </w:p>
    <w:p w:rsidR="009B5755" w:rsidRPr="004E27D5" w:rsidRDefault="00D366DD" w:rsidP="004E27D5">
      <w:pPr>
        <w:snapToGrid w:val="0"/>
        <w:spacing w:after="0" w:line="240" w:lineRule="auto"/>
        <w:jc w:val="both"/>
        <w:rPr>
          <w:rFonts w:ascii="ITC Avant Garde" w:hAnsi="ITC Avant Garde"/>
          <w:bCs/>
          <w:color w:val="000000"/>
          <w:sz w:val="10"/>
          <w:szCs w:val="18"/>
          <w:lang w:val="es-ES" w:eastAsia="es-ES"/>
        </w:rPr>
      </w:pPr>
      <w:r w:rsidRPr="004E27D5">
        <w:rPr>
          <w:rFonts w:ascii="ITC Avant Garde" w:hAnsi="ITC Avant Garde"/>
          <w:color w:val="000000"/>
          <w:sz w:val="12"/>
          <w:szCs w:val="20"/>
          <w:lang w:val="es-ES" w:eastAsia="es-ES"/>
        </w:rPr>
        <w:t xml:space="preserve">La Comisionada Adriana Sofía </w:t>
      </w:r>
      <w:proofErr w:type="spellStart"/>
      <w:r w:rsidRPr="004E27D5">
        <w:rPr>
          <w:rFonts w:ascii="ITC Avant Garde" w:hAnsi="ITC Avant Garde"/>
          <w:color w:val="000000"/>
          <w:sz w:val="12"/>
          <w:szCs w:val="20"/>
          <w:lang w:val="es-ES" w:eastAsia="es-ES"/>
        </w:rPr>
        <w:t>Labardini</w:t>
      </w:r>
      <w:proofErr w:type="spellEnd"/>
      <w:r w:rsidRPr="004E27D5">
        <w:rPr>
          <w:rFonts w:ascii="ITC Avant Garde" w:hAnsi="ITC Avant Garde"/>
          <w:color w:val="000000"/>
          <w:sz w:val="12"/>
          <w:szCs w:val="20"/>
          <w:lang w:val="es-ES" w:eastAsia="es-ES"/>
        </w:rPr>
        <w:t xml:space="preserve"> </w:t>
      </w:r>
      <w:proofErr w:type="spellStart"/>
      <w:r w:rsidRPr="004E27D5">
        <w:rPr>
          <w:rFonts w:ascii="ITC Avant Garde" w:hAnsi="ITC Avant Garde"/>
          <w:color w:val="000000"/>
          <w:sz w:val="12"/>
          <w:szCs w:val="20"/>
          <w:lang w:val="es-ES" w:eastAsia="es-ES"/>
        </w:rPr>
        <w:t>Inzunza</w:t>
      </w:r>
      <w:proofErr w:type="spellEnd"/>
      <w:r w:rsidRPr="004E27D5">
        <w:rPr>
          <w:rFonts w:ascii="ITC Avant Garde" w:hAnsi="ITC Avant Garde"/>
          <w:color w:val="000000"/>
          <w:sz w:val="12"/>
          <w:szCs w:val="20"/>
          <w:lang w:val="es-ES" w:eastAsia="es-ES"/>
        </w:rPr>
        <w:t xml:space="preserve">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p>
    <w:sectPr w:rsidR="009B5755" w:rsidRPr="004E27D5" w:rsidSect="009B5755">
      <w:headerReference w:type="default" r:id="rId29"/>
      <w:pgSz w:w="12240" w:h="15840"/>
      <w:pgMar w:top="1985" w:right="1418" w:bottom="1418" w:left="1418" w:header="709" w:footer="4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83E" w:rsidRDefault="0078683E" w:rsidP="00867A99">
      <w:pPr>
        <w:spacing w:after="0" w:line="240" w:lineRule="auto"/>
      </w:pPr>
      <w:r>
        <w:separator/>
      </w:r>
    </w:p>
  </w:endnote>
  <w:endnote w:type="continuationSeparator" w:id="0">
    <w:p w:rsidR="0078683E" w:rsidRDefault="0078683E" w:rsidP="00867A99">
      <w:pPr>
        <w:spacing w:after="0" w:line="240" w:lineRule="auto"/>
      </w:pPr>
      <w:r>
        <w:continuationSeparator/>
      </w:r>
    </w:p>
  </w:endnote>
  <w:endnote w:type="continuationNotice" w:id="1">
    <w:p w:rsidR="0078683E" w:rsidRDefault="007868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iberation Serif">
    <w:altName w:val="MS PMincho"/>
    <w:charset w:val="80"/>
    <w:family w:val="roman"/>
    <w:pitch w:val="variable"/>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ヒラギノ角ゴ Pro W3">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264" w:rsidRDefault="00E04264" w:rsidP="00CD4837">
    <w:pPr>
      <w:pStyle w:val="Piedepgina"/>
      <w:jc w:val="both"/>
      <w:rPr>
        <w:rFonts w:ascii="ITC Avant Garde" w:hAnsi="ITC Avant Garde"/>
        <w:lang w:val="es-ES"/>
      </w:rPr>
    </w:pPr>
    <w:r>
      <w:rPr>
        <w:rFonts w:ascii="ITC Avant Garde" w:hAnsi="ITC Avant Garde"/>
        <w:b/>
        <w:color w:val="0000FF"/>
        <w:sz w:val="20"/>
        <w:szCs w:val="20"/>
        <w:lang w:val="es-ES"/>
      </w:rPr>
      <w:t>Texto ELIMINADO, con fundamento en los artículos 113, fracción I de la “LFTAIP” publicada en el DOF el 9 de mayo de 2016; así como el artículo 116 de la “LGTAIP”, publicada en el DOF el 4 de mayo de 2015; así como el Lineamiento Trigésimo Octavo, fracción I de los “LCCDIEVP”, publicados en el DOF el 15 de abril de 2016, por contener datos personales concernientes a una persona identificada o identificable.</w:t>
    </w:r>
  </w:p>
  <w:p w:rsidR="00E04264" w:rsidRPr="004E27D5" w:rsidRDefault="00E04264" w:rsidP="004E27D5">
    <w:pPr>
      <w:pStyle w:val="Piedepgina"/>
      <w:spacing w:after="240"/>
      <w:jc w:val="center"/>
      <w:rPr>
        <w:rFonts w:ascii="ITC Avant Garde" w:hAnsi="ITC Avant Garde"/>
      </w:rPr>
    </w:pPr>
    <w:r w:rsidRPr="00A15149">
      <w:rPr>
        <w:rFonts w:ascii="ITC Avant Garde" w:hAnsi="ITC Avant Garde"/>
        <w:lang w:val="es-ES"/>
      </w:rPr>
      <w:t xml:space="preserve">Página </w:t>
    </w:r>
    <w:r w:rsidRPr="00A15149">
      <w:rPr>
        <w:rFonts w:ascii="ITC Avant Garde" w:hAnsi="ITC Avant Garde"/>
        <w:sz w:val="24"/>
      </w:rPr>
      <w:fldChar w:fldCharType="begin"/>
    </w:r>
    <w:r>
      <w:rPr>
        <w:rFonts w:ascii="ITC Avant Garde" w:hAnsi="ITC Avant Garde"/>
        <w:bCs/>
      </w:rPr>
      <w:instrText>PAGE</w:instrText>
    </w:r>
    <w:r w:rsidRPr="00A15149">
      <w:rPr>
        <w:rFonts w:ascii="ITC Avant Garde" w:hAnsi="ITC Avant Garde"/>
        <w:sz w:val="24"/>
      </w:rPr>
      <w:fldChar w:fldCharType="separate"/>
    </w:r>
    <w:r w:rsidR="004E27D5">
      <w:rPr>
        <w:rFonts w:ascii="ITC Avant Garde" w:hAnsi="ITC Avant Garde"/>
        <w:bCs/>
        <w:noProof/>
      </w:rPr>
      <w:t>2</w:t>
    </w:r>
    <w:r w:rsidRPr="00A15149">
      <w:rPr>
        <w:rFonts w:ascii="ITC Avant Garde" w:hAnsi="ITC Avant Garde"/>
        <w:sz w:val="24"/>
      </w:rPr>
      <w:fldChar w:fldCharType="end"/>
    </w:r>
    <w:r w:rsidRPr="00A15149">
      <w:rPr>
        <w:rFonts w:ascii="ITC Avant Garde" w:hAnsi="ITC Avant Garde"/>
        <w:lang w:val="es-ES"/>
      </w:rPr>
      <w:t xml:space="preserve"> de </w:t>
    </w:r>
    <w:r w:rsidRPr="00A15149">
      <w:rPr>
        <w:rFonts w:ascii="ITC Avant Garde" w:hAnsi="ITC Avant Garde"/>
        <w:sz w:val="24"/>
      </w:rPr>
      <w:fldChar w:fldCharType="begin"/>
    </w:r>
    <w:r>
      <w:rPr>
        <w:rFonts w:ascii="ITC Avant Garde" w:hAnsi="ITC Avant Garde"/>
        <w:bCs/>
      </w:rPr>
      <w:instrText>NUMPAGES</w:instrText>
    </w:r>
    <w:r w:rsidRPr="00A15149">
      <w:rPr>
        <w:rFonts w:ascii="ITC Avant Garde" w:hAnsi="ITC Avant Garde"/>
        <w:sz w:val="24"/>
      </w:rPr>
      <w:fldChar w:fldCharType="separate"/>
    </w:r>
    <w:r w:rsidR="004E27D5">
      <w:rPr>
        <w:rFonts w:ascii="ITC Avant Garde" w:hAnsi="ITC Avant Garde"/>
        <w:bCs/>
        <w:noProof/>
      </w:rPr>
      <w:t>37</w:t>
    </w:r>
    <w:r w:rsidRPr="00A15149">
      <w:rPr>
        <w:rFonts w:ascii="ITC Avant Garde" w:hAnsi="ITC Avant Garde"/>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264" w:rsidRPr="00D84748" w:rsidRDefault="00E04264" w:rsidP="00D84748">
    <w:pPr>
      <w:pStyle w:val="Piedepgina"/>
      <w:jc w:val="center"/>
      <w:rPr>
        <w:rFonts w:ascii="ITC Avant Garde" w:hAnsi="ITC Avant Garde"/>
      </w:rPr>
    </w:pPr>
    <w:r w:rsidRPr="00A15149">
      <w:rPr>
        <w:rFonts w:ascii="ITC Avant Garde" w:hAnsi="ITC Avant Garde"/>
        <w:lang w:val="es-ES"/>
      </w:rPr>
      <w:t xml:space="preserve">Página </w:t>
    </w:r>
    <w:r w:rsidRPr="00A15149">
      <w:rPr>
        <w:rFonts w:ascii="ITC Avant Garde" w:hAnsi="ITC Avant Garde"/>
        <w:sz w:val="24"/>
      </w:rPr>
      <w:fldChar w:fldCharType="begin"/>
    </w:r>
    <w:r>
      <w:rPr>
        <w:rFonts w:ascii="ITC Avant Garde" w:hAnsi="ITC Avant Garde"/>
        <w:bCs/>
      </w:rPr>
      <w:instrText>PAGE</w:instrText>
    </w:r>
    <w:r w:rsidRPr="00A15149">
      <w:rPr>
        <w:rFonts w:ascii="ITC Avant Garde" w:hAnsi="ITC Avant Garde"/>
        <w:sz w:val="24"/>
      </w:rPr>
      <w:fldChar w:fldCharType="separate"/>
    </w:r>
    <w:r w:rsidR="004E27D5">
      <w:rPr>
        <w:rFonts w:ascii="ITC Avant Garde" w:hAnsi="ITC Avant Garde"/>
        <w:bCs/>
        <w:noProof/>
      </w:rPr>
      <w:t>18</w:t>
    </w:r>
    <w:r w:rsidRPr="00A15149">
      <w:rPr>
        <w:rFonts w:ascii="ITC Avant Garde" w:hAnsi="ITC Avant Garde"/>
        <w:sz w:val="24"/>
      </w:rPr>
      <w:fldChar w:fldCharType="end"/>
    </w:r>
    <w:r w:rsidRPr="00A15149">
      <w:rPr>
        <w:rFonts w:ascii="ITC Avant Garde" w:hAnsi="ITC Avant Garde"/>
        <w:lang w:val="es-ES"/>
      </w:rPr>
      <w:t xml:space="preserve"> de </w:t>
    </w:r>
    <w:r w:rsidRPr="00A15149">
      <w:rPr>
        <w:rFonts w:ascii="ITC Avant Garde" w:hAnsi="ITC Avant Garde"/>
        <w:sz w:val="24"/>
      </w:rPr>
      <w:fldChar w:fldCharType="begin"/>
    </w:r>
    <w:r>
      <w:rPr>
        <w:rFonts w:ascii="ITC Avant Garde" w:hAnsi="ITC Avant Garde"/>
        <w:bCs/>
      </w:rPr>
      <w:instrText>NUMPAGES</w:instrText>
    </w:r>
    <w:r w:rsidRPr="00A15149">
      <w:rPr>
        <w:rFonts w:ascii="ITC Avant Garde" w:hAnsi="ITC Avant Garde"/>
        <w:sz w:val="24"/>
      </w:rPr>
      <w:fldChar w:fldCharType="separate"/>
    </w:r>
    <w:r w:rsidR="004E27D5">
      <w:rPr>
        <w:rFonts w:ascii="ITC Avant Garde" w:hAnsi="ITC Avant Garde"/>
        <w:bCs/>
        <w:noProof/>
      </w:rPr>
      <w:t>37</w:t>
    </w:r>
    <w:r w:rsidRPr="00A15149">
      <w:rPr>
        <w:rFonts w:ascii="ITC Avant Garde" w:hAnsi="ITC Avant Garde"/>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83E" w:rsidRDefault="0078683E" w:rsidP="00867A99">
      <w:pPr>
        <w:spacing w:after="0" w:line="240" w:lineRule="auto"/>
      </w:pPr>
      <w:r>
        <w:separator/>
      </w:r>
    </w:p>
  </w:footnote>
  <w:footnote w:type="continuationSeparator" w:id="0">
    <w:p w:rsidR="0078683E" w:rsidRDefault="0078683E" w:rsidP="00867A99">
      <w:pPr>
        <w:spacing w:after="0" w:line="240" w:lineRule="auto"/>
      </w:pPr>
      <w:r>
        <w:continuationSeparator/>
      </w:r>
    </w:p>
  </w:footnote>
  <w:footnote w:type="continuationNotice" w:id="1">
    <w:p w:rsidR="0078683E" w:rsidRDefault="0078683E">
      <w:pPr>
        <w:spacing w:after="0" w:line="240" w:lineRule="auto"/>
      </w:pPr>
    </w:p>
  </w:footnote>
  <w:footnote w:id="2">
    <w:p w:rsidR="00E04264" w:rsidRPr="00BC6B92" w:rsidRDefault="00E04264" w:rsidP="00AD2C9C">
      <w:pPr>
        <w:spacing w:after="0" w:line="360" w:lineRule="auto"/>
        <w:jc w:val="both"/>
        <w:rPr>
          <w:rFonts w:ascii="ITC Avant Garde" w:hAnsi="ITC Avant Garde"/>
          <w:sz w:val="20"/>
          <w:szCs w:val="20"/>
        </w:rPr>
      </w:pPr>
      <w:r w:rsidRPr="00BC6B92">
        <w:rPr>
          <w:rFonts w:ascii="ITC Avant Garde" w:hAnsi="ITC Avant Garde"/>
          <w:sz w:val="20"/>
          <w:szCs w:val="20"/>
        </w:rPr>
        <w:footnoteRef/>
      </w:r>
      <w:r w:rsidRPr="00BC6B92">
        <w:rPr>
          <w:rFonts w:ascii="ITC Avant Garde" w:hAnsi="ITC Avant Garde"/>
          <w:sz w:val="20"/>
          <w:szCs w:val="20"/>
        </w:rPr>
        <w:t xml:space="preserve"> Sobre el particular, </w:t>
      </w:r>
      <w:r>
        <w:rPr>
          <w:rFonts w:ascii="ITC Avant Garde" w:hAnsi="ITC Avant Garde"/>
          <w:sz w:val="20"/>
          <w:szCs w:val="20"/>
        </w:rPr>
        <w:t xml:space="preserve">LOS VERIFICADORES </w:t>
      </w:r>
      <w:r w:rsidRPr="00BC6B92">
        <w:rPr>
          <w:rFonts w:ascii="ITC Avant Garde" w:hAnsi="ITC Avant Garde"/>
          <w:sz w:val="20"/>
          <w:szCs w:val="20"/>
        </w:rPr>
        <w:t>obtuvieron</w:t>
      </w:r>
      <w:r>
        <w:rPr>
          <w:rFonts w:ascii="ITC Avant Garde" w:hAnsi="ITC Avant Garde"/>
          <w:sz w:val="20"/>
          <w:szCs w:val="20"/>
        </w:rPr>
        <w:t xml:space="preserve"> las gráficas del monitoreo y las</w:t>
      </w:r>
      <w:r w:rsidRPr="00BC6B92">
        <w:rPr>
          <w:rFonts w:ascii="ITC Avant Garde" w:hAnsi="ITC Avant Garde"/>
          <w:sz w:val="20"/>
          <w:szCs w:val="20"/>
        </w:rPr>
        <w:t xml:space="preserve"> grabaciones del audio de las trasmisiones, mismas que obran en el presente expediente.</w:t>
      </w:r>
    </w:p>
  </w:footnote>
  <w:footnote w:id="3">
    <w:p w:rsidR="00E04264" w:rsidRPr="00774317" w:rsidRDefault="00E04264" w:rsidP="002C00F1">
      <w:pPr>
        <w:pStyle w:val="Textonotapie"/>
        <w:jc w:val="both"/>
        <w:rPr>
          <w:rFonts w:ascii="ITC Avant Garde" w:hAnsi="ITC Avant Garde"/>
          <w:sz w:val="18"/>
          <w:szCs w:val="18"/>
        </w:rPr>
      </w:pPr>
      <w:r w:rsidRPr="00774317">
        <w:rPr>
          <w:rStyle w:val="Refdenotaalpie"/>
          <w:rFonts w:ascii="ITC Avant Garde" w:hAnsi="ITC Avant Garde"/>
          <w:b/>
          <w:sz w:val="18"/>
          <w:szCs w:val="18"/>
        </w:rPr>
        <w:footnoteRef/>
      </w:r>
      <w:r w:rsidRPr="00774317">
        <w:rPr>
          <w:rFonts w:ascii="ITC Avant Garde" w:hAnsi="ITC Avant Garde"/>
          <w:b/>
          <w:sz w:val="18"/>
          <w:szCs w:val="18"/>
        </w:rPr>
        <w:t xml:space="preserve"> </w:t>
      </w:r>
      <w:r w:rsidRPr="00774317">
        <w:rPr>
          <w:rFonts w:ascii="ITC Avant Garde" w:hAnsi="ITC Avant Garde"/>
          <w:sz w:val="18"/>
          <w:szCs w:val="18"/>
        </w:rPr>
        <w:t>Párrafo 45, Engrose versión pública, Contradicción de Tesis 200/2013 del índice del Pleno de la Suprema Corte de Justicia de la Nación, resuelto en sesión del 28 de enero de 2014, consultable en http://www2.scjn.gob.mx/ConsultaTematica/PaginasPub/TematicaPub.aspx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264" w:rsidRDefault="0078683E">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9" o:spid="_x0000_s2050" type="#_x0000_t75" style="position:absolute;margin-left:0;margin-top:0;width:612pt;height:11in;z-index:-251658240;mso-position-horizontal:center;mso-position-horizontal-relative:margin;mso-position-vertical:center;mso-position-vertical-relative:margin" o:allowincell="f">
          <v:imagedata r:id="rId1" o:title="hoja membretada s dir-01"/>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1CA" w:rsidRPr="001561CA" w:rsidRDefault="001561CA" w:rsidP="004E27D5">
    <w:pPr>
      <w:pStyle w:val="Encabezado"/>
      <w:spacing w:after="240"/>
      <w:jc w:val="both"/>
    </w:pPr>
    <w:r>
      <w:rPr>
        <w:rFonts w:ascii="ITC Avant Garde" w:hAnsi="ITC Avant Garde"/>
        <w:b/>
        <w:color w:val="0000FF"/>
        <w:sz w:val="20"/>
        <w:szCs w:val="20"/>
      </w:rPr>
      <w:t>Texto ELIMINADO, con fundamento en los artículos 113, fracción I de la “LFTAIP” publicada en el DOF el 9 de mayo de 2016; así como el artículo 116 de la “LGTAIP”, publicada en el DOF el 4 de mayo de 2045; así como el Lineamiento Trigésimo Octavo, fracción I de los “LCCDIEVP”, publicados en el DOF el 15 de abril de 20146, por contener datos personales concernientes a una persona identificada o identificable.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1CA" w:rsidRPr="001561CA" w:rsidRDefault="001561CA" w:rsidP="001561CA">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1CA" w:rsidRPr="001561CA" w:rsidRDefault="001561CA" w:rsidP="004E27D5">
    <w:pPr>
      <w:pStyle w:val="Encabezado"/>
      <w:spacing w:after="240"/>
      <w:jc w:val="both"/>
    </w:pPr>
    <w:r>
      <w:rPr>
        <w:rFonts w:ascii="ITC Avant Garde" w:hAnsi="ITC Avant Garde"/>
        <w:b/>
        <w:color w:val="0000FF"/>
        <w:sz w:val="20"/>
        <w:szCs w:val="20"/>
      </w:rPr>
      <w:t>Texto ELIMINADO, con fundamento en los artículos 113, fracción I de la “LFTAIP” publicada en el DOF el 9 de mayo de 2016; así como el artículo 116 de la “LGTAIP”, publicada en el DOF el 4 de mayo de 2045; así como el Lineamiento Trigésimo Octavo, fracción I de los “LCCDIEVP”, publicados en el DOF el 15 de abril de 20146, por contener datos personales concernientes a una persona identificada o identificable.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1CA" w:rsidRPr="001561CA" w:rsidRDefault="001561CA" w:rsidP="001561CA">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1CA" w:rsidRPr="001561CA" w:rsidRDefault="001561CA" w:rsidP="004E27D5">
    <w:pPr>
      <w:pStyle w:val="Encabezado"/>
      <w:spacing w:after="240"/>
      <w:jc w:val="both"/>
    </w:pPr>
    <w:r>
      <w:rPr>
        <w:rFonts w:ascii="ITC Avant Garde" w:hAnsi="ITC Avant Garde"/>
        <w:b/>
        <w:color w:val="0000FF"/>
        <w:sz w:val="20"/>
        <w:szCs w:val="20"/>
      </w:rPr>
      <w:t>Texto ELIMINADO, con fundamento en los artículos 113, fracción I de la “LFTAIP” publicada en el DOF el 9 de mayo de 2016; así como el artículo 116 de la “LGTAIP”, publicada en el DOF el 4 de mayo de 2045; así como el Lineamiento Trigésimo Octavo, fracción I de los “LCCDIEVP”, publicados en el DOF el 15 de abril de 20146, por contener datos personales concernientes a una persona identificada o identificable.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1CA" w:rsidRPr="001561CA" w:rsidRDefault="001561CA" w:rsidP="001561CA">
    <w:pPr>
      <w:pStyle w:val="Encabezad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1CA" w:rsidRPr="001561CA" w:rsidRDefault="001561CA" w:rsidP="004E27D5">
    <w:pPr>
      <w:pStyle w:val="Encabezado"/>
      <w:spacing w:after="240"/>
      <w:jc w:val="both"/>
    </w:pPr>
    <w:r>
      <w:rPr>
        <w:rFonts w:ascii="ITC Avant Garde" w:hAnsi="ITC Avant Garde"/>
        <w:b/>
        <w:color w:val="0000FF"/>
        <w:sz w:val="20"/>
        <w:szCs w:val="20"/>
      </w:rPr>
      <w:t>Texto ELIMINADO, con fundamento en los artículos 113, fracción I de la “LFTAIP” publicada en el DOF el 9 de mayo de 2016; así como el artículo 116 de la “LGTAIP”, publicada en el DOF el 4 de mayo de 2045; así como el Lineamiento Trigésimo Octavo, fracción I de los “LCCDIEVP”, publicados en el DOF el 15 de abril de 20146, por contener datos personales concernientes a una persona identificada o identificable.</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1CA" w:rsidRPr="001561CA" w:rsidRDefault="001561CA" w:rsidP="001561CA">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1CA" w:rsidRPr="001561CA" w:rsidRDefault="001561CA" w:rsidP="004E27D5">
    <w:pPr>
      <w:pStyle w:val="Encabezado"/>
      <w:spacing w:after="240"/>
      <w:jc w:val="both"/>
    </w:pPr>
    <w:r>
      <w:rPr>
        <w:rFonts w:ascii="ITC Avant Garde" w:hAnsi="ITC Avant Garde"/>
        <w:b/>
        <w:color w:val="0000FF"/>
        <w:sz w:val="20"/>
        <w:szCs w:val="20"/>
      </w:rPr>
      <w:t>Texto ELIMINADO, con fundamento en los artículos 113, fracción I de la “LFTAIP” publicada en el DOF el 9 de mayo de 2016; así como el artículo 116 de la “LGTAIP”, publicada en el DOF el 4 de mayo de 2045; así como el Lineamiento Trigésimo Octavo, fracción I de los “LCCDIEVP”, publicados en el DOF el 15 de abril de 20146, por contener datos personales concernientes a una persona identificada o identificable.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1CA" w:rsidRPr="001561CA" w:rsidRDefault="001561CA" w:rsidP="001561C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264" w:rsidRPr="00CD4837" w:rsidRDefault="00E04264" w:rsidP="00D84748">
    <w:pPr>
      <w:pStyle w:val="Encabezado"/>
      <w:spacing w:after="240"/>
      <w:jc w:val="both"/>
      <w:rPr>
        <w:rFonts w:ascii="ITC Avant Garde" w:hAnsi="ITC Avant Garde"/>
        <w:b/>
        <w:color w:val="0000FF"/>
        <w:sz w:val="20"/>
        <w:szCs w:val="20"/>
      </w:rPr>
    </w:pPr>
    <w:r>
      <w:rPr>
        <w:rFonts w:ascii="ITC Avant Garde" w:hAnsi="ITC Avant Garde"/>
        <w:b/>
        <w:color w:val="0000FF"/>
        <w:sz w:val="20"/>
        <w:szCs w:val="20"/>
      </w:rPr>
      <w:t>VERSIÓN PÚBLICA, de conformidad con los artículos 23 y 116 de la Ley General de Transparencia y Acceso a la Información Pública, 113, fracciones I y III de la Ley Federal de Transparencia y Acceso a la Información Pública y el artículo 47, primer párrafo de la Ley Federal de Telecomunicaciones y Radiodifusión, y Lineamiento Sexagésimo Primero de los Lineamientos Generales en materia de clasificación y desclasificación de la Información, así como para la elaboración de Versiones Públicas.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264" w:rsidRDefault="0078683E">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8" o:spid="_x0000_s2049" type="#_x0000_t75" style="position:absolute;margin-left:0;margin-top:0;width:612pt;height:11in;z-index:-251659264;mso-position-horizontal:center;mso-position-horizontal-relative:margin;mso-position-vertical:center;mso-position-vertical-relative:margin" o:allowincell="f">
          <v:imagedata r:id="rId1" o:title="hoja membretada s dir-0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264" w:rsidRPr="00CD4837" w:rsidRDefault="00E04264" w:rsidP="00CD4837">
    <w:pPr>
      <w:pStyle w:val="Encabezado"/>
      <w:jc w:val="both"/>
      <w:rPr>
        <w:rFonts w:ascii="ITC Avant Garde" w:hAnsi="ITC Avant Garde"/>
        <w:b/>
        <w:color w:val="0000FF"/>
        <w:sz w:val="20"/>
        <w:szCs w:val="20"/>
      </w:rPr>
    </w:pPr>
    <w:r>
      <w:rPr>
        <w:rFonts w:ascii="ITC Avant Garde" w:hAnsi="ITC Avant Garde"/>
        <w:b/>
        <w:color w:val="0000FF"/>
        <w:sz w:val="20"/>
        <w:szCs w:val="20"/>
      </w:rPr>
      <w:t>Texto ELIMINADO, con fundamento en los artículos 113, fracción I de la “LFTAIP” publicada en el DOF el 9 de mayo de 2016; así como el artículo 116 de la “LGTAIP”, publicada en el DOF el 4 de mayo de 2045; así como el Lineamiento Trigésimo Octavo, fracción I de los “LCCDIEVP”, publicados en el DOF el 15 de abril de 20146, por contener datos personales concernientes a una persona identificada o identificable.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1CA" w:rsidRPr="001561CA" w:rsidRDefault="001561CA" w:rsidP="001561CA">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1CA" w:rsidRPr="001561CA" w:rsidRDefault="001561CA" w:rsidP="004E27D5">
    <w:pPr>
      <w:pStyle w:val="Encabezado"/>
      <w:spacing w:after="240"/>
      <w:jc w:val="both"/>
    </w:pPr>
    <w:r>
      <w:rPr>
        <w:rFonts w:ascii="ITC Avant Garde" w:hAnsi="ITC Avant Garde"/>
        <w:b/>
        <w:color w:val="0000FF"/>
        <w:sz w:val="20"/>
        <w:szCs w:val="20"/>
      </w:rPr>
      <w:t>Texto ELIMINADO, con fundamento en los artículos 113, fracción I de la “LFTAIP” publicada en el DOF el 9 de mayo de 2016; así como el artículo 116 de la “LGTAIP”, publicada en el DOF el 4 de mayo de 2045; así como el Lineamiento Trigésimo Octavo, fracción I de los “LCCDIEVP”, publicados en el DOF el 15 de abril de 20146, por contener datos personales concernientes a una persona identificada o identificable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1CA" w:rsidRPr="004E27D5" w:rsidRDefault="001561CA" w:rsidP="004E27D5">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7D5" w:rsidRPr="004E27D5" w:rsidRDefault="004E27D5" w:rsidP="004E27D5">
    <w:pPr>
      <w:pStyle w:val="Encabezado"/>
      <w:spacing w:after="240"/>
      <w:jc w:val="both"/>
    </w:pPr>
    <w:r>
      <w:rPr>
        <w:rFonts w:ascii="ITC Avant Garde" w:hAnsi="ITC Avant Garde"/>
        <w:b/>
        <w:color w:val="0000FF"/>
        <w:sz w:val="20"/>
        <w:szCs w:val="20"/>
      </w:rPr>
      <w:t>Texto ELIMINADO, con fundamento en los artículos 113, fracción I de la “LFTAIP” publicada en el DOF el 9 de mayo de 2016; así como el artículo 116 de la “LGTAIP”, publicada en el DOF el 4 de mayo de 2045; así como el Lineamiento Trigésimo Octavo, fracción I de los “LCCDIEVP”, publicados en el DOF el 15 de abril de 20146, por contener datos personales concernientes a una persona identificada o identificable.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1CA" w:rsidRPr="001561CA" w:rsidRDefault="001561CA" w:rsidP="001561C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D8CD0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6D221928"/>
    <w:lvl w:ilvl="0">
      <w:start w:val="1"/>
      <w:numFmt w:val="decimal"/>
      <w:pStyle w:val="Listaconnmeros"/>
      <w:lvlText w:val="%1."/>
      <w:lvlJc w:val="left"/>
      <w:pPr>
        <w:tabs>
          <w:tab w:val="num" w:pos="360"/>
        </w:tabs>
        <w:ind w:left="360" w:hanging="360"/>
      </w:pPr>
    </w:lvl>
  </w:abstractNum>
  <w:abstractNum w:abstractNumId="2" w15:restartNumberingAfterBreak="0">
    <w:nsid w:val="016E78AE"/>
    <w:multiLevelType w:val="hybridMultilevel"/>
    <w:tmpl w:val="F9C0D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17F116C"/>
    <w:multiLevelType w:val="hybridMultilevel"/>
    <w:tmpl w:val="36781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191420F"/>
    <w:multiLevelType w:val="hybridMultilevel"/>
    <w:tmpl w:val="63507D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0E3495"/>
    <w:multiLevelType w:val="hybridMultilevel"/>
    <w:tmpl w:val="324A8D00"/>
    <w:lvl w:ilvl="0" w:tplc="CA8E4EFA">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C26F9C"/>
    <w:multiLevelType w:val="hybridMultilevel"/>
    <w:tmpl w:val="1DDE3F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D54337"/>
    <w:multiLevelType w:val="hybridMultilevel"/>
    <w:tmpl w:val="D032C5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A75A4D"/>
    <w:multiLevelType w:val="hybridMultilevel"/>
    <w:tmpl w:val="6A407DB6"/>
    <w:lvl w:ilvl="0" w:tplc="2F7C055A">
      <w:start w:val="1"/>
      <w:numFmt w:val="decimal"/>
      <w:lvlText w:val="%1."/>
      <w:lvlJc w:val="left"/>
      <w:pPr>
        <w:ind w:left="1080" w:hanging="72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2D4147B"/>
    <w:multiLevelType w:val="hybridMultilevel"/>
    <w:tmpl w:val="2F88C79E"/>
    <w:lvl w:ilvl="0" w:tplc="62B07D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627234"/>
    <w:multiLevelType w:val="hybridMultilevel"/>
    <w:tmpl w:val="C3702B72"/>
    <w:lvl w:ilvl="0" w:tplc="39EA110E">
      <w:start w:val="1"/>
      <w:numFmt w:val="lowerLetter"/>
      <w:lvlText w:val="%1)"/>
      <w:lvlJc w:val="left"/>
      <w:pPr>
        <w:ind w:left="720" w:hanging="360"/>
      </w:pPr>
      <w:rPr>
        <w:rFonts w:ascii="ITC Avant Garde" w:eastAsia="Times New Roman" w:hAnsi="ITC Avant Gard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753777"/>
    <w:multiLevelType w:val="hybridMultilevel"/>
    <w:tmpl w:val="2578D19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CB0C4E"/>
    <w:multiLevelType w:val="hybridMultilevel"/>
    <w:tmpl w:val="6492991E"/>
    <w:lvl w:ilvl="0" w:tplc="62B07D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1701DE"/>
    <w:multiLevelType w:val="hybridMultilevel"/>
    <w:tmpl w:val="833296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E6013D"/>
    <w:multiLevelType w:val="hybridMultilevel"/>
    <w:tmpl w:val="EFDED2FC"/>
    <w:lvl w:ilvl="0" w:tplc="E99E03BE">
      <w:start w:val="1"/>
      <w:numFmt w:val="lowerLetter"/>
      <w:lvlText w:val="%1)"/>
      <w:lvlJc w:val="left"/>
      <w:pPr>
        <w:ind w:left="1110" w:hanging="39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1E247362"/>
    <w:multiLevelType w:val="hybridMultilevel"/>
    <w:tmpl w:val="6EA2DD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594263"/>
    <w:multiLevelType w:val="hybridMultilevel"/>
    <w:tmpl w:val="0548F8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226BDE"/>
    <w:multiLevelType w:val="hybridMultilevel"/>
    <w:tmpl w:val="3DD45B46"/>
    <w:lvl w:ilvl="0" w:tplc="7EAAAF44">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15:restartNumberingAfterBreak="0">
    <w:nsid w:val="30782D29"/>
    <w:multiLevelType w:val="hybridMultilevel"/>
    <w:tmpl w:val="06486882"/>
    <w:lvl w:ilvl="0" w:tplc="62B07D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205CB6"/>
    <w:multiLevelType w:val="hybridMultilevel"/>
    <w:tmpl w:val="FBA80AA6"/>
    <w:lvl w:ilvl="0" w:tplc="FC1C82B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AB4DC2"/>
    <w:multiLevelType w:val="hybridMultilevel"/>
    <w:tmpl w:val="E6C226CC"/>
    <w:lvl w:ilvl="0" w:tplc="3D44E884">
      <w:numFmt w:val="bullet"/>
      <w:lvlText w:val="•"/>
      <w:lvlJc w:val="left"/>
      <w:pPr>
        <w:ind w:left="720" w:hanging="360"/>
      </w:pPr>
      <w:rPr>
        <w:rFonts w:ascii="ITC Avant Garde" w:eastAsia="Calibri" w:hAnsi="ITC Avant Gard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9397993"/>
    <w:multiLevelType w:val="hybridMultilevel"/>
    <w:tmpl w:val="769A8D74"/>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C556C5"/>
    <w:multiLevelType w:val="hybridMultilevel"/>
    <w:tmpl w:val="63507D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575DFB"/>
    <w:multiLevelType w:val="hybridMultilevel"/>
    <w:tmpl w:val="45263F8C"/>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4" w15:restartNumberingAfterBreak="0">
    <w:nsid w:val="42BB3A20"/>
    <w:multiLevelType w:val="hybridMultilevel"/>
    <w:tmpl w:val="A69E98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122B1A"/>
    <w:multiLevelType w:val="hybridMultilevel"/>
    <w:tmpl w:val="F7484662"/>
    <w:lvl w:ilvl="0" w:tplc="45E26B26">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C03E3E"/>
    <w:multiLevelType w:val="hybridMultilevel"/>
    <w:tmpl w:val="4C140E28"/>
    <w:lvl w:ilvl="0" w:tplc="8430C2F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BAE0596"/>
    <w:multiLevelType w:val="hybridMultilevel"/>
    <w:tmpl w:val="74CAFD2C"/>
    <w:lvl w:ilvl="0" w:tplc="291C9F4A">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28" w15:restartNumberingAfterBreak="0">
    <w:nsid w:val="51295612"/>
    <w:multiLevelType w:val="hybridMultilevel"/>
    <w:tmpl w:val="7152CAC0"/>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5473046F"/>
    <w:multiLevelType w:val="hybridMultilevel"/>
    <w:tmpl w:val="AD6699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9542899"/>
    <w:multiLevelType w:val="hybridMultilevel"/>
    <w:tmpl w:val="A8E04B8E"/>
    <w:lvl w:ilvl="0" w:tplc="CBF4C810">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8F200B"/>
    <w:multiLevelType w:val="hybridMultilevel"/>
    <w:tmpl w:val="F7484662"/>
    <w:lvl w:ilvl="0" w:tplc="45E26B26">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396B3C"/>
    <w:multiLevelType w:val="hybridMultilevel"/>
    <w:tmpl w:val="6EA2DD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2E10AAF"/>
    <w:multiLevelType w:val="hybridMultilevel"/>
    <w:tmpl w:val="0AE8DAE6"/>
    <w:lvl w:ilvl="0" w:tplc="7A56A366">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4" w15:restartNumberingAfterBreak="0">
    <w:nsid w:val="72F56F70"/>
    <w:multiLevelType w:val="hybridMultilevel"/>
    <w:tmpl w:val="FEA25626"/>
    <w:lvl w:ilvl="0" w:tplc="917483A0">
      <w:start w:val="1"/>
      <w:numFmt w:val="lowerLetter"/>
      <w:lvlText w:val="%1)"/>
      <w:lvlJc w:val="left"/>
      <w:pPr>
        <w:ind w:left="720" w:hanging="360"/>
      </w:pPr>
      <w:rPr>
        <w:rFonts w:eastAsia="Times New Roman"/>
        <w:color w:val="00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75F74A8F"/>
    <w:multiLevelType w:val="hybridMultilevel"/>
    <w:tmpl w:val="950C7318"/>
    <w:lvl w:ilvl="0" w:tplc="CC64968A">
      <w:start w:val="1"/>
      <w:numFmt w:val="lowerRoman"/>
      <w:lvlText w:val="%1)"/>
      <w:lvlJc w:val="left"/>
      <w:pPr>
        <w:ind w:left="1571" w:hanging="360"/>
      </w:pPr>
      <w:rPr>
        <w:rFonts w:hint="default"/>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6" w15:restartNumberingAfterBreak="0">
    <w:nsid w:val="7A334042"/>
    <w:multiLevelType w:val="hybridMultilevel"/>
    <w:tmpl w:val="D6E83222"/>
    <w:lvl w:ilvl="0" w:tplc="C9AC8626">
      <w:start w:val="1"/>
      <w:numFmt w:val="lowerLetter"/>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lvlOverride w:ilvl="0">
      <w:startOverride w:val="1"/>
    </w:lvlOverride>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7"/>
  </w:num>
  <w:num w:numId="5">
    <w:abstractNumId w:val="6"/>
  </w:num>
  <w:num w:numId="6">
    <w:abstractNumId w:val="11"/>
  </w:num>
  <w:num w:numId="7">
    <w:abstractNumId w:val="32"/>
  </w:num>
  <w:num w:numId="8">
    <w:abstractNumId w:val="23"/>
  </w:num>
  <w:num w:numId="9">
    <w:abstractNumId w:val="15"/>
  </w:num>
  <w:num w:numId="10">
    <w:abstractNumId w:val="24"/>
  </w:num>
  <w:num w:numId="11">
    <w:abstractNumId w:val="10"/>
  </w:num>
  <w:num w:numId="12">
    <w:abstractNumId w:val="2"/>
  </w:num>
  <w:num w:numId="13">
    <w:abstractNumId w:val="26"/>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
  </w:num>
  <w:num w:numId="17">
    <w:abstractNumId w:val="13"/>
  </w:num>
  <w:num w:numId="18">
    <w:abstractNumId w:val="9"/>
  </w:num>
  <w:num w:numId="19">
    <w:abstractNumId w:val="12"/>
  </w:num>
  <w:num w:numId="20">
    <w:abstractNumId w:val="18"/>
  </w:num>
  <w:num w:numId="21">
    <w:abstractNumId w:val="8"/>
  </w:num>
  <w:num w:numId="22">
    <w:abstractNumId w:val="29"/>
  </w:num>
  <w:num w:numId="23">
    <w:abstractNumId w:val="20"/>
  </w:num>
  <w:num w:numId="24">
    <w:abstractNumId w:val="19"/>
  </w:num>
  <w:num w:numId="25">
    <w:abstractNumId w:val="35"/>
  </w:num>
  <w:num w:numId="26">
    <w:abstractNumId w:val="30"/>
  </w:num>
  <w:num w:numId="27">
    <w:abstractNumId w:val="16"/>
  </w:num>
  <w:num w:numId="28">
    <w:abstractNumId w:val="21"/>
  </w:num>
  <w:num w:numId="29">
    <w:abstractNumId w:val="0"/>
  </w:num>
  <w:num w:numId="30">
    <w:abstractNumId w:val="36"/>
  </w:num>
  <w:num w:numId="31">
    <w:abstractNumId w:val="31"/>
  </w:num>
  <w:num w:numId="32">
    <w:abstractNumId w:val="25"/>
  </w:num>
  <w:num w:numId="33">
    <w:abstractNumId w:val="22"/>
  </w:num>
  <w:num w:numId="34">
    <w:abstractNumId w:val="17"/>
  </w:num>
  <w:num w:numId="35">
    <w:abstractNumId w:val="4"/>
  </w:num>
  <w:num w:numId="36">
    <w:abstractNumId w:val="33"/>
  </w:num>
  <w:num w:numId="37">
    <w:abstractNumId w:val="14"/>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defaultTabStop w:val="708"/>
  <w:hyphenationZone w:val="425"/>
  <w:characterSpacingControl w:val="doNotCompress"/>
  <w:hdrShapeDefaults>
    <o:shapedefaults v:ext="edit" spidmax="2051" fill="f" fillcolor="white" stroke="f">
      <v:fill color="white" on="f"/>
      <v:stroke on="f"/>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A99"/>
    <w:rsid w:val="00000D41"/>
    <w:rsid w:val="000027CA"/>
    <w:rsid w:val="0000526F"/>
    <w:rsid w:val="00005620"/>
    <w:rsid w:val="0000603E"/>
    <w:rsid w:val="00006C1E"/>
    <w:rsid w:val="000105C7"/>
    <w:rsid w:val="00011168"/>
    <w:rsid w:val="00011F58"/>
    <w:rsid w:val="00013925"/>
    <w:rsid w:val="00014E46"/>
    <w:rsid w:val="00015310"/>
    <w:rsid w:val="00015382"/>
    <w:rsid w:val="00015689"/>
    <w:rsid w:val="000166A6"/>
    <w:rsid w:val="0001709A"/>
    <w:rsid w:val="00017985"/>
    <w:rsid w:val="00017ABF"/>
    <w:rsid w:val="0002185A"/>
    <w:rsid w:val="00022404"/>
    <w:rsid w:val="00022951"/>
    <w:rsid w:val="000231B5"/>
    <w:rsid w:val="000234F0"/>
    <w:rsid w:val="000249F8"/>
    <w:rsid w:val="00024CD8"/>
    <w:rsid w:val="0002793F"/>
    <w:rsid w:val="0003046C"/>
    <w:rsid w:val="000307B8"/>
    <w:rsid w:val="0003096D"/>
    <w:rsid w:val="00032FDE"/>
    <w:rsid w:val="000357F7"/>
    <w:rsid w:val="0003632B"/>
    <w:rsid w:val="00036AAB"/>
    <w:rsid w:val="0004056D"/>
    <w:rsid w:val="00040F05"/>
    <w:rsid w:val="000418E9"/>
    <w:rsid w:val="00041BE8"/>
    <w:rsid w:val="00041D1C"/>
    <w:rsid w:val="00042200"/>
    <w:rsid w:val="00043952"/>
    <w:rsid w:val="00045089"/>
    <w:rsid w:val="000457E4"/>
    <w:rsid w:val="0004583C"/>
    <w:rsid w:val="00047167"/>
    <w:rsid w:val="000475A0"/>
    <w:rsid w:val="000476E7"/>
    <w:rsid w:val="00047C5D"/>
    <w:rsid w:val="0005108E"/>
    <w:rsid w:val="00051CBC"/>
    <w:rsid w:val="00051E18"/>
    <w:rsid w:val="000557DD"/>
    <w:rsid w:val="00055885"/>
    <w:rsid w:val="00064B78"/>
    <w:rsid w:val="00065CAD"/>
    <w:rsid w:val="00066037"/>
    <w:rsid w:val="00066A35"/>
    <w:rsid w:val="00067D58"/>
    <w:rsid w:val="00067FE2"/>
    <w:rsid w:val="00071857"/>
    <w:rsid w:val="000728E2"/>
    <w:rsid w:val="00073A4E"/>
    <w:rsid w:val="0007401E"/>
    <w:rsid w:val="00074549"/>
    <w:rsid w:val="00075092"/>
    <w:rsid w:val="00075300"/>
    <w:rsid w:val="00081941"/>
    <w:rsid w:val="000821FC"/>
    <w:rsid w:val="00083169"/>
    <w:rsid w:val="00084CED"/>
    <w:rsid w:val="00085C64"/>
    <w:rsid w:val="00086991"/>
    <w:rsid w:val="00087496"/>
    <w:rsid w:val="0009115B"/>
    <w:rsid w:val="0009142D"/>
    <w:rsid w:val="00093EA3"/>
    <w:rsid w:val="00094FDF"/>
    <w:rsid w:val="000964C1"/>
    <w:rsid w:val="000966A1"/>
    <w:rsid w:val="000967C8"/>
    <w:rsid w:val="000A0245"/>
    <w:rsid w:val="000A04D2"/>
    <w:rsid w:val="000A0639"/>
    <w:rsid w:val="000A08C8"/>
    <w:rsid w:val="000A1E6E"/>
    <w:rsid w:val="000A4B72"/>
    <w:rsid w:val="000A54D3"/>
    <w:rsid w:val="000A6E36"/>
    <w:rsid w:val="000A7D68"/>
    <w:rsid w:val="000B14C2"/>
    <w:rsid w:val="000B5D71"/>
    <w:rsid w:val="000B6149"/>
    <w:rsid w:val="000B73A5"/>
    <w:rsid w:val="000C0BE1"/>
    <w:rsid w:val="000C1BF2"/>
    <w:rsid w:val="000C1E26"/>
    <w:rsid w:val="000C23C2"/>
    <w:rsid w:val="000C264A"/>
    <w:rsid w:val="000C4503"/>
    <w:rsid w:val="000C4F42"/>
    <w:rsid w:val="000C55D9"/>
    <w:rsid w:val="000C56E3"/>
    <w:rsid w:val="000C5974"/>
    <w:rsid w:val="000C5DEC"/>
    <w:rsid w:val="000C6210"/>
    <w:rsid w:val="000C77CA"/>
    <w:rsid w:val="000C7B2F"/>
    <w:rsid w:val="000D0152"/>
    <w:rsid w:val="000D029F"/>
    <w:rsid w:val="000D0585"/>
    <w:rsid w:val="000D08F5"/>
    <w:rsid w:val="000D137F"/>
    <w:rsid w:val="000D17A2"/>
    <w:rsid w:val="000D1AC8"/>
    <w:rsid w:val="000D236B"/>
    <w:rsid w:val="000D2431"/>
    <w:rsid w:val="000D2491"/>
    <w:rsid w:val="000D24D2"/>
    <w:rsid w:val="000D299D"/>
    <w:rsid w:val="000D4A28"/>
    <w:rsid w:val="000D6DC0"/>
    <w:rsid w:val="000D7B27"/>
    <w:rsid w:val="000E7960"/>
    <w:rsid w:val="000E7F04"/>
    <w:rsid w:val="000F0B70"/>
    <w:rsid w:val="000F0DCE"/>
    <w:rsid w:val="000F2261"/>
    <w:rsid w:val="000F2262"/>
    <w:rsid w:val="000F50EA"/>
    <w:rsid w:val="000F57B5"/>
    <w:rsid w:val="000F5897"/>
    <w:rsid w:val="000F60A1"/>
    <w:rsid w:val="000F7653"/>
    <w:rsid w:val="000F786E"/>
    <w:rsid w:val="000F7DF6"/>
    <w:rsid w:val="0010330D"/>
    <w:rsid w:val="00105FC7"/>
    <w:rsid w:val="00106480"/>
    <w:rsid w:val="00107021"/>
    <w:rsid w:val="00110B05"/>
    <w:rsid w:val="001121BE"/>
    <w:rsid w:val="00113D19"/>
    <w:rsid w:val="00113D85"/>
    <w:rsid w:val="001144EE"/>
    <w:rsid w:val="00114A53"/>
    <w:rsid w:val="00114ACE"/>
    <w:rsid w:val="00116B2A"/>
    <w:rsid w:val="00117240"/>
    <w:rsid w:val="00117B42"/>
    <w:rsid w:val="0012028D"/>
    <w:rsid w:val="00120E1E"/>
    <w:rsid w:val="00121AD8"/>
    <w:rsid w:val="00121FAA"/>
    <w:rsid w:val="001230AC"/>
    <w:rsid w:val="0012384A"/>
    <w:rsid w:val="00123A2C"/>
    <w:rsid w:val="0012400F"/>
    <w:rsid w:val="00124936"/>
    <w:rsid w:val="0012532D"/>
    <w:rsid w:val="00125816"/>
    <w:rsid w:val="001260E7"/>
    <w:rsid w:val="001260EF"/>
    <w:rsid w:val="00126140"/>
    <w:rsid w:val="00126EA0"/>
    <w:rsid w:val="00131378"/>
    <w:rsid w:val="00131780"/>
    <w:rsid w:val="00131DF4"/>
    <w:rsid w:val="0013265F"/>
    <w:rsid w:val="00132C31"/>
    <w:rsid w:val="001337B5"/>
    <w:rsid w:val="00133D8E"/>
    <w:rsid w:val="00133DEB"/>
    <w:rsid w:val="00134685"/>
    <w:rsid w:val="00135AE9"/>
    <w:rsid w:val="00135F76"/>
    <w:rsid w:val="0013708E"/>
    <w:rsid w:val="0013742B"/>
    <w:rsid w:val="00140AE2"/>
    <w:rsid w:val="0014131A"/>
    <w:rsid w:val="00144606"/>
    <w:rsid w:val="0014546B"/>
    <w:rsid w:val="00145B9A"/>
    <w:rsid w:val="00145CDF"/>
    <w:rsid w:val="00150F29"/>
    <w:rsid w:val="001536F1"/>
    <w:rsid w:val="00153EE3"/>
    <w:rsid w:val="00154DA9"/>
    <w:rsid w:val="00155326"/>
    <w:rsid w:val="0015563B"/>
    <w:rsid w:val="00155CE9"/>
    <w:rsid w:val="00155DC4"/>
    <w:rsid w:val="001561CA"/>
    <w:rsid w:val="00156498"/>
    <w:rsid w:val="00156682"/>
    <w:rsid w:val="00156EF1"/>
    <w:rsid w:val="001608A0"/>
    <w:rsid w:val="00160D6B"/>
    <w:rsid w:val="00162052"/>
    <w:rsid w:val="0016206D"/>
    <w:rsid w:val="00163450"/>
    <w:rsid w:val="00163EF0"/>
    <w:rsid w:val="0017024F"/>
    <w:rsid w:val="00170508"/>
    <w:rsid w:val="001709C8"/>
    <w:rsid w:val="00170EB3"/>
    <w:rsid w:val="001714EE"/>
    <w:rsid w:val="00171666"/>
    <w:rsid w:val="00172051"/>
    <w:rsid w:val="00172511"/>
    <w:rsid w:val="001726DF"/>
    <w:rsid w:val="00173E2F"/>
    <w:rsid w:val="00175B63"/>
    <w:rsid w:val="001763CE"/>
    <w:rsid w:val="001771E3"/>
    <w:rsid w:val="00182B7F"/>
    <w:rsid w:val="00183F90"/>
    <w:rsid w:val="00184782"/>
    <w:rsid w:val="00185AF7"/>
    <w:rsid w:val="00185D52"/>
    <w:rsid w:val="00186007"/>
    <w:rsid w:val="00186035"/>
    <w:rsid w:val="00186695"/>
    <w:rsid w:val="00186941"/>
    <w:rsid w:val="001903C4"/>
    <w:rsid w:val="00190FE1"/>
    <w:rsid w:val="00191977"/>
    <w:rsid w:val="00191A94"/>
    <w:rsid w:val="0019379A"/>
    <w:rsid w:val="00193CE1"/>
    <w:rsid w:val="00193E20"/>
    <w:rsid w:val="0019460E"/>
    <w:rsid w:val="00194868"/>
    <w:rsid w:val="00194FB1"/>
    <w:rsid w:val="00195890"/>
    <w:rsid w:val="001958ED"/>
    <w:rsid w:val="001968E1"/>
    <w:rsid w:val="001A0204"/>
    <w:rsid w:val="001A07AC"/>
    <w:rsid w:val="001A17F3"/>
    <w:rsid w:val="001A1C44"/>
    <w:rsid w:val="001A291F"/>
    <w:rsid w:val="001A3BCF"/>
    <w:rsid w:val="001A3C48"/>
    <w:rsid w:val="001A3CAC"/>
    <w:rsid w:val="001A69AA"/>
    <w:rsid w:val="001A6F6C"/>
    <w:rsid w:val="001B14FC"/>
    <w:rsid w:val="001B1BAD"/>
    <w:rsid w:val="001B252E"/>
    <w:rsid w:val="001B4B08"/>
    <w:rsid w:val="001B7D1C"/>
    <w:rsid w:val="001C083D"/>
    <w:rsid w:val="001C10A4"/>
    <w:rsid w:val="001C2374"/>
    <w:rsid w:val="001C3346"/>
    <w:rsid w:val="001C4754"/>
    <w:rsid w:val="001C48B8"/>
    <w:rsid w:val="001C4A6A"/>
    <w:rsid w:val="001C4F4E"/>
    <w:rsid w:val="001C779A"/>
    <w:rsid w:val="001C7D02"/>
    <w:rsid w:val="001C7E7C"/>
    <w:rsid w:val="001D14F6"/>
    <w:rsid w:val="001D1761"/>
    <w:rsid w:val="001D19EA"/>
    <w:rsid w:val="001D296C"/>
    <w:rsid w:val="001D48A2"/>
    <w:rsid w:val="001D5571"/>
    <w:rsid w:val="001D557B"/>
    <w:rsid w:val="001D76AE"/>
    <w:rsid w:val="001D7946"/>
    <w:rsid w:val="001D7C9C"/>
    <w:rsid w:val="001E1978"/>
    <w:rsid w:val="001E2F97"/>
    <w:rsid w:val="001E3737"/>
    <w:rsid w:val="001E3DEB"/>
    <w:rsid w:val="001E48E5"/>
    <w:rsid w:val="001E4ADF"/>
    <w:rsid w:val="001E5ED2"/>
    <w:rsid w:val="001E764B"/>
    <w:rsid w:val="001E7CFD"/>
    <w:rsid w:val="001E7FF6"/>
    <w:rsid w:val="001F02E3"/>
    <w:rsid w:val="001F08F4"/>
    <w:rsid w:val="001F3901"/>
    <w:rsid w:val="001F4124"/>
    <w:rsid w:val="001F5429"/>
    <w:rsid w:val="001F5607"/>
    <w:rsid w:val="001F5F26"/>
    <w:rsid w:val="001F7117"/>
    <w:rsid w:val="001F72B2"/>
    <w:rsid w:val="00200110"/>
    <w:rsid w:val="00200190"/>
    <w:rsid w:val="00200508"/>
    <w:rsid w:val="00201218"/>
    <w:rsid w:val="002022C7"/>
    <w:rsid w:val="0020285E"/>
    <w:rsid w:val="002038ED"/>
    <w:rsid w:val="00203F75"/>
    <w:rsid w:val="00204488"/>
    <w:rsid w:val="00204C25"/>
    <w:rsid w:val="00204F4D"/>
    <w:rsid w:val="00206120"/>
    <w:rsid w:val="002065D2"/>
    <w:rsid w:val="002113F7"/>
    <w:rsid w:val="00211E14"/>
    <w:rsid w:val="002122B7"/>
    <w:rsid w:val="0021426B"/>
    <w:rsid w:val="0021546A"/>
    <w:rsid w:val="00216D6C"/>
    <w:rsid w:val="00217255"/>
    <w:rsid w:val="00217C87"/>
    <w:rsid w:val="00220B37"/>
    <w:rsid w:val="00222E1A"/>
    <w:rsid w:val="00225226"/>
    <w:rsid w:val="00226815"/>
    <w:rsid w:val="0022690E"/>
    <w:rsid w:val="00226BB4"/>
    <w:rsid w:val="00230FF2"/>
    <w:rsid w:val="002315EB"/>
    <w:rsid w:val="00232142"/>
    <w:rsid w:val="00233406"/>
    <w:rsid w:val="0023355D"/>
    <w:rsid w:val="0023389E"/>
    <w:rsid w:val="00234EE8"/>
    <w:rsid w:val="0023514C"/>
    <w:rsid w:val="00236594"/>
    <w:rsid w:val="0023781B"/>
    <w:rsid w:val="002402EC"/>
    <w:rsid w:val="00243DDD"/>
    <w:rsid w:val="00244F2C"/>
    <w:rsid w:val="00244F34"/>
    <w:rsid w:val="002450EB"/>
    <w:rsid w:val="0024565F"/>
    <w:rsid w:val="00245718"/>
    <w:rsid w:val="002459E6"/>
    <w:rsid w:val="00246214"/>
    <w:rsid w:val="0024634A"/>
    <w:rsid w:val="0024749D"/>
    <w:rsid w:val="00247734"/>
    <w:rsid w:val="00250D43"/>
    <w:rsid w:val="002512E1"/>
    <w:rsid w:val="00251A08"/>
    <w:rsid w:val="00253C74"/>
    <w:rsid w:val="0025421C"/>
    <w:rsid w:val="00255902"/>
    <w:rsid w:val="00260664"/>
    <w:rsid w:val="0026087C"/>
    <w:rsid w:val="00264BB2"/>
    <w:rsid w:val="00267926"/>
    <w:rsid w:val="0026797C"/>
    <w:rsid w:val="00271301"/>
    <w:rsid w:val="00271EFB"/>
    <w:rsid w:val="00273CC2"/>
    <w:rsid w:val="00274020"/>
    <w:rsid w:val="00274C0E"/>
    <w:rsid w:val="00275014"/>
    <w:rsid w:val="00275517"/>
    <w:rsid w:val="00276F42"/>
    <w:rsid w:val="00277F84"/>
    <w:rsid w:val="00280CD4"/>
    <w:rsid w:val="00281648"/>
    <w:rsid w:val="00281ACF"/>
    <w:rsid w:val="002824D2"/>
    <w:rsid w:val="002839CF"/>
    <w:rsid w:val="00283FA7"/>
    <w:rsid w:val="00284B7A"/>
    <w:rsid w:val="00292D3F"/>
    <w:rsid w:val="002A0017"/>
    <w:rsid w:val="002A0481"/>
    <w:rsid w:val="002A147F"/>
    <w:rsid w:val="002A1592"/>
    <w:rsid w:val="002A1AE8"/>
    <w:rsid w:val="002A1BF5"/>
    <w:rsid w:val="002A2100"/>
    <w:rsid w:val="002A3E6E"/>
    <w:rsid w:val="002A3FF9"/>
    <w:rsid w:val="002A49E5"/>
    <w:rsid w:val="002A630D"/>
    <w:rsid w:val="002A7660"/>
    <w:rsid w:val="002A7687"/>
    <w:rsid w:val="002B009C"/>
    <w:rsid w:val="002B0D80"/>
    <w:rsid w:val="002B0E28"/>
    <w:rsid w:val="002B2651"/>
    <w:rsid w:val="002B2C9B"/>
    <w:rsid w:val="002B4173"/>
    <w:rsid w:val="002B4750"/>
    <w:rsid w:val="002B7E2C"/>
    <w:rsid w:val="002C00F1"/>
    <w:rsid w:val="002C09F2"/>
    <w:rsid w:val="002C0C99"/>
    <w:rsid w:val="002C0F08"/>
    <w:rsid w:val="002C15DF"/>
    <w:rsid w:val="002C1AD8"/>
    <w:rsid w:val="002C2101"/>
    <w:rsid w:val="002C30C1"/>
    <w:rsid w:val="002C3E06"/>
    <w:rsid w:val="002C589B"/>
    <w:rsid w:val="002C5B02"/>
    <w:rsid w:val="002C6195"/>
    <w:rsid w:val="002C6FA8"/>
    <w:rsid w:val="002C7B23"/>
    <w:rsid w:val="002C7CE3"/>
    <w:rsid w:val="002D035B"/>
    <w:rsid w:val="002D12CD"/>
    <w:rsid w:val="002D287A"/>
    <w:rsid w:val="002D2A65"/>
    <w:rsid w:val="002D392F"/>
    <w:rsid w:val="002D3E21"/>
    <w:rsid w:val="002D4EF3"/>
    <w:rsid w:val="002D6FCA"/>
    <w:rsid w:val="002D75F4"/>
    <w:rsid w:val="002E028C"/>
    <w:rsid w:val="002E193D"/>
    <w:rsid w:val="002E36E3"/>
    <w:rsid w:val="002E4361"/>
    <w:rsid w:val="002E4B6B"/>
    <w:rsid w:val="002E5654"/>
    <w:rsid w:val="002E6B6C"/>
    <w:rsid w:val="002E70F2"/>
    <w:rsid w:val="002E79A6"/>
    <w:rsid w:val="002E7D06"/>
    <w:rsid w:val="002F3FD8"/>
    <w:rsid w:val="002F52D5"/>
    <w:rsid w:val="002F5D3E"/>
    <w:rsid w:val="0030242A"/>
    <w:rsid w:val="003029BA"/>
    <w:rsid w:val="00302C6A"/>
    <w:rsid w:val="00304EA8"/>
    <w:rsid w:val="00304F6D"/>
    <w:rsid w:val="00311771"/>
    <w:rsid w:val="00312505"/>
    <w:rsid w:val="0031515F"/>
    <w:rsid w:val="00315D74"/>
    <w:rsid w:val="00317458"/>
    <w:rsid w:val="0031791A"/>
    <w:rsid w:val="00317F4A"/>
    <w:rsid w:val="0032045B"/>
    <w:rsid w:val="00320774"/>
    <w:rsid w:val="00320991"/>
    <w:rsid w:val="00321423"/>
    <w:rsid w:val="003216BD"/>
    <w:rsid w:val="00321AEA"/>
    <w:rsid w:val="00322014"/>
    <w:rsid w:val="00322287"/>
    <w:rsid w:val="00322571"/>
    <w:rsid w:val="00322D3F"/>
    <w:rsid w:val="00322D91"/>
    <w:rsid w:val="003230B8"/>
    <w:rsid w:val="00323A0D"/>
    <w:rsid w:val="00323E70"/>
    <w:rsid w:val="00325E2D"/>
    <w:rsid w:val="0032624F"/>
    <w:rsid w:val="00326734"/>
    <w:rsid w:val="00326C84"/>
    <w:rsid w:val="0032717B"/>
    <w:rsid w:val="003278A9"/>
    <w:rsid w:val="00327D07"/>
    <w:rsid w:val="00330B17"/>
    <w:rsid w:val="00331167"/>
    <w:rsid w:val="00331E97"/>
    <w:rsid w:val="00332EF8"/>
    <w:rsid w:val="0033304C"/>
    <w:rsid w:val="00333A95"/>
    <w:rsid w:val="0033518F"/>
    <w:rsid w:val="0033586F"/>
    <w:rsid w:val="00336DD0"/>
    <w:rsid w:val="003374AD"/>
    <w:rsid w:val="00337B07"/>
    <w:rsid w:val="003410E5"/>
    <w:rsid w:val="00341109"/>
    <w:rsid w:val="003419E3"/>
    <w:rsid w:val="0034337D"/>
    <w:rsid w:val="00344E56"/>
    <w:rsid w:val="003466B0"/>
    <w:rsid w:val="003469CE"/>
    <w:rsid w:val="00346A00"/>
    <w:rsid w:val="00346BE5"/>
    <w:rsid w:val="003501E2"/>
    <w:rsid w:val="003506C2"/>
    <w:rsid w:val="0035078F"/>
    <w:rsid w:val="003508D0"/>
    <w:rsid w:val="003508F1"/>
    <w:rsid w:val="003513A7"/>
    <w:rsid w:val="00351604"/>
    <w:rsid w:val="00355739"/>
    <w:rsid w:val="0035646E"/>
    <w:rsid w:val="0036120C"/>
    <w:rsid w:val="0036236C"/>
    <w:rsid w:val="003638FE"/>
    <w:rsid w:val="00364388"/>
    <w:rsid w:val="00364F78"/>
    <w:rsid w:val="00370AA1"/>
    <w:rsid w:val="003724EE"/>
    <w:rsid w:val="003741C6"/>
    <w:rsid w:val="00374938"/>
    <w:rsid w:val="00375514"/>
    <w:rsid w:val="00375B51"/>
    <w:rsid w:val="00377EE8"/>
    <w:rsid w:val="003805FC"/>
    <w:rsid w:val="00380ECF"/>
    <w:rsid w:val="003818E3"/>
    <w:rsid w:val="00382441"/>
    <w:rsid w:val="00385EE8"/>
    <w:rsid w:val="00386758"/>
    <w:rsid w:val="00386A66"/>
    <w:rsid w:val="0039045D"/>
    <w:rsid w:val="003906D2"/>
    <w:rsid w:val="00392EF3"/>
    <w:rsid w:val="0039388A"/>
    <w:rsid w:val="00393B39"/>
    <w:rsid w:val="0039464E"/>
    <w:rsid w:val="00395148"/>
    <w:rsid w:val="00396153"/>
    <w:rsid w:val="00396F5A"/>
    <w:rsid w:val="0039739E"/>
    <w:rsid w:val="003A02AB"/>
    <w:rsid w:val="003A0F6E"/>
    <w:rsid w:val="003A141C"/>
    <w:rsid w:val="003A2EDD"/>
    <w:rsid w:val="003A32C3"/>
    <w:rsid w:val="003A54C1"/>
    <w:rsid w:val="003A5797"/>
    <w:rsid w:val="003A6422"/>
    <w:rsid w:val="003A65AE"/>
    <w:rsid w:val="003A6E46"/>
    <w:rsid w:val="003A7086"/>
    <w:rsid w:val="003A72F5"/>
    <w:rsid w:val="003B0173"/>
    <w:rsid w:val="003B1ACD"/>
    <w:rsid w:val="003B1EC4"/>
    <w:rsid w:val="003B1F2D"/>
    <w:rsid w:val="003B4C98"/>
    <w:rsid w:val="003B5D99"/>
    <w:rsid w:val="003B68C7"/>
    <w:rsid w:val="003B6B5F"/>
    <w:rsid w:val="003C2E34"/>
    <w:rsid w:val="003C3A62"/>
    <w:rsid w:val="003C4A84"/>
    <w:rsid w:val="003C5F4B"/>
    <w:rsid w:val="003C6A14"/>
    <w:rsid w:val="003C7808"/>
    <w:rsid w:val="003C7D45"/>
    <w:rsid w:val="003C7DAF"/>
    <w:rsid w:val="003D5DCC"/>
    <w:rsid w:val="003D7093"/>
    <w:rsid w:val="003E00AB"/>
    <w:rsid w:val="003E170E"/>
    <w:rsid w:val="003E5D79"/>
    <w:rsid w:val="003F2E7B"/>
    <w:rsid w:val="003F3979"/>
    <w:rsid w:val="003F39C6"/>
    <w:rsid w:val="003F414B"/>
    <w:rsid w:val="003F4FA2"/>
    <w:rsid w:val="003F519F"/>
    <w:rsid w:val="003F6331"/>
    <w:rsid w:val="004003CF"/>
    <w:rsid w:val="00400621"/>
    <w:rsid w:val="00401D28"/>
    <w:rsid w:val="0040205E"/>
    <w:rsid w:val="00407DA1"/>
    <w:rsid w:val="00410109"/>
    <w:rsid w:val="00411EEB"/>
    <w:rsid w:val="0041258D"/>
    <w:rsid w:val="00413142"/>
    <w:rsid w:val="004135D8"/>
    <w:rsid w:val="00414642"/>
    <w:rsid w:val="004147AC"/>
    <w:rsid w:val="004167A1"/>
    <w:rsid w:val="00417454"/>
    <w:rsid w:val="0041783D"/>
    <w:rsid w:val="0041788F"/>
    <w:rsid w:val="00417EF7"/>
    <w:rsid w:val="00421CAB"/>
    <w:rsid w:val="00422CD0"/>
    <w:rsid w:val="00422DCA"/>
    <w:rsid w:val="004237AA"/>
    <w:rsid w:val="00424C79"/>
    <w:rsid w:val="0042505D"/>
    <w:rsid w:val="00425419"/>
    <w:rsid w:val="00427352"/>
    <w:rsid w:val="00430E76"/>
    <w:rsid w:val="00430EF1"/>
    <w:rsid w:val="0043152E"/>
    <w:rsid w:val="0043184D"/>
    <w:rsid w:val="004337C4"/>
    <w:rsid w:val="00434200"/>
    <w:rsid w:val="00434541"/>
    <w:rsid w:val="00434C82"/>
    <w:rsid w:val="0043585E"/>
    <w:rsid w:val="00436D46"/>
    <w:rsid w:val="0043786B"/>
    <w:rsid w:val="004379A7"/>
    <w:rsid w:val="00437D87"/>
    <w:rsid w:val="0044044E"/>
    <w:rsid w:val="00441A06"/>
    <w:rsid w:val="00443759"/>
    <w:rsid w:val="004442C4"/>
    <w:rsid w:val="00444386"/>
    <w:rsid w:val="00445899"/>
    <w:rsid w:val="00445EB7"/>
    <w:rsid w:val="004460B1"/>
    <w:rsid w:val="00447D69"/>
    <w:rsid w:val="00447F8A"/>
    <w:rsid w:val="004506A3"/>
    <w:rsid w:val="00450A04"/>
    <w:rsid w:val="004533F4"/>
    <w:rsid w:val="004541BF"/>
    <w:rsid w:val="004541E9"/>
    <w:rsid w:val="00454263"/>
    <w:rsid w:val="00454307"/>
    <w:rsid w:val="00455184"/>
    <w:rsid w:val="00455C2D"/>
    <w:rsid w:val="0045604C"/>
    <w:rsid w:val="00457174"/>
    <w:rsid w:val="00460BFA"/>
    <w:rsid w:val="00462A14"/>
    <w:rsid w:val="00462BBA"/>
    <w:rsid w:val="00462F5F"/>
    <w:rsid w:val="00463E2B"/>
    <w:rsid w:val="00466656"/>
    <w:rsid w:val="00466734"/>
    <w:rsid w:val="00467248"/>
    <w:rsid w:val="00470623"/>
    <w:rsid w:val="004723BB"/>
    <w:rsid w:val="004733EB"/>
    <w:rsid w:val="004735F8"/>
    <w:rsid w:val="00474932"/>
    <w:rsid w:val="00475A9B"/>
    <w:rsid w:val="00475C9F"/>
    <w:rsid w:val="004762AC"/>
    <w:rsid w:val="00476ABD"/>
    <w:rsid w:val="0047731F"/>
    <w:rsid w:val="004809A9"/>
    <w:rsid w:val="0048133C"/>
    <w:rsid w:val="004815B0"/>
    <w:rsid w:val="00483436"/>
    <w:rsid w:val="00483710"/>
    <w:rsid w:val="00484697"/>
    <w:rsid w:val="00484DD9"/>
    <w:rsid w:val="00487C4D"/>
    <w:rsid w:val="00490594"/>
    <w:rsid w:val="0049077E"/>
    <w:rsid w:val="0049091E"/>
    <w:rsid w:val="00491A0C"/>
    <w:rsid w:val="00491A7C"/>
    <w:rsid w:val="0049273F"/>
    <w:rsid w:val="00493BDC"/>
    <w:rsid w:val="004941CE"/>
    <w:rsid w:val="00495092"/>
    <w:rsid w:val="00496C0E"/>
    <w:rsid w:val="004A0E05"/>
    <w:rsid w:val="004A146A"/>
    <w:rsid w:val="004A303F"/>
    <w:rsid w:val="004A3764"/>
    <w:rsid w:val="004B17A0"/>
    <w:rsid w:val="004B1885"/>
    <w:rsid w:val="004B24D5"/>
    <w:rsid w:val="004B32BD"/>
    <w:rsid w:val="004B3FE6"/>
    <w:rsid w:val="004B4639"/>
    <w:rsid w:val="004B6A8A"/>
    <w:rsid w:val="004B7A0C"/>
    <w:rsid w:val="004C0060"/>
    <w:rsid w:val="004C0672"/>
    <w:rsid w:val="004C0C2C"/>
    <w:rsid w:val="004C10DB"/>
    <w:rsid w:val="004C182B"/>
    <w:rsid w:val="004C37E9"/>
    <w:rsid w:val="004C3B24"/>
    <w:rsid w:val="004C41E4"/>
    <w:rsid w:val="004C434D"/>
    <w:rsid w:val="004C4417"/>
    <w:rsid w:val="004C5A15"/>
    <w:rsid w:val="004C7586"/>
    <w:rsid w:val="004C7CFF"/>
    <w:rsid w:val="004D0BA6"/>
    <w:rsid w:val="004D3AD8"/>
    <w:rsid w:val="004D5BEA"/>
    <w:rsid w:val="004D5FD5"/>
    <w:rsid w:val="004D6694"/>
    <w:rsid w:val="004D77E7"/>
    <w:rsid w:val="004E05B4"/>
    <w:rsid w:val="004E0B5E"/>
    <w:rsid w:val="004E1365"/>
    <w:rsid w:val="004E2348"/>
    <w:rsid w:val="004E27D5"/>
    <w:rsid w:val="004E37EA"/>
    <w:rsid w:val="004E3B31"/>
    <w:rsid w:val="004E3F98"/>
    <w:rsid w:val="004E4211"/>
    <w:rsid w:val="004E49F6"/>
    <w:rsid w:val="004E4D8D"/>
    <w:rsid w:val="004E50CF"/>
    <w:rsid w:val="004E62D4"/>
    <w:rsid w:val="004E6E27"/>
    <w:rsid w:val="004E6E93"/>
    <w:rsid w:val="004E75C0"/>
    <w:rsid w:val="004F1456"/>
    <w:rsid w:val="004F1893"/>
    <w:rsid w:val="004F2ED3"/>
    <w:rsid w:val="004F2FFE"/>
    <w:rsid w:val="004F3596"/>
    <w:rsid w:val="004F4B63"/>
    <w:rsid w:val="004F591A"/>
    <w:rsid w:val="004F5FE3"/>
    <w:rsid w:val="004F6BE4"/>
    <w:rsid w:val="004F6E68"/>
    <w:rsid w:val="005000AA"/>
    <w:rsid w:val="005012A0"/>
    <w:rsid w:val="00502097"/>
    <w:rsid w:val="005037C4"/>
    <w:rsid w:val="00504779"/>
    <w:rsid w:val="00505D3D"/>
    <w:rsid w:val="005079F4"/>
    <w:rsid w:val="00510A8C"/>
    <w:rsid w:val="00510C95"/>
    <w:rsid w:val="005114CF"/>
    <w:rsid w:val="0051619D"/>
    <w:rsid w:val="005169D3"/>
    <w:rsid w:val="00521C3C"/>
    <w:rsid w:val="005263C1"/>
    <w:rsid w:val="00531F92"/>
    <w:rsid w:val="005324F3"/>
    <w:rsid w:val="0053313F"/>
    <w:rsid w:val="00534D77"/>
    <w:rsid w:val="00535691"/>
    <w:rsid w:val="00537672"/>
    <w:rsid w:val="00537680"/>
    <w:rsid w:val="0054078C"/>
    <w:rsid w:val="005407B1"/>
    <w:rsid w:val="0054226C"/>
    <w:rsid w:val="00543C12"/>
    <w:rsid w:val="00545ACD"/>
    <w:rsid w:val="00545BC4"/>
    <w:rsid w:val="00545D7D"/>
    <w:rsid w:val="00550B89"/>
    <w:rsid w:val="00551EDB"/>
    <w:rsid w:val="005527A6"/>
    <w:rsid w:val="005548D9"/>
    <w:rsid w:val="005551F3"/>
    <w:rsid w:val="00556565"/>
    <w:rsid w:val="00556A63"/>
    <w:rsid w:val="00557903"/>
    <w:rsid w:val="00557E88"/>
    <w:rsid w:val="00562400"/>
    <w:rsid w:val="00563AD5"/>
    <w:rsid w:val="00564393"/>
    <w:rsid w:val="005645EE"/>
    <w:rsid w:val="00565F50"/>
    <w:rsid w:val="0056655F"/>
    <w:rsid w:val="00567A43"/>
    <w:rsid w:val="0057016A"/>
    <w:rsid w:val="00571CA6"/>
    <w:rsid w:val="00571CC8"/>
    <w:rsid w:val="00572E59"/>
    <w:rsid w:val="005732DF"/>
    <w:rsid w:val="0057394F"/>
    <w:rsid w:val="00577615"/>
    <w:rsid w:val="00577BA9"/>
    <w:rsid w:val="005804F6"/>
    <w:rsid w:val="005815DA"/>
    <w:rsid w:val="00581E5C"/>
    <w:rsid w:val="00582FB3"/>
    <w:rsid w:val="00583464"/>
    <w:rsid w:val="005839FC"/>
    <w:rsid w:val="00583E09"/>
    <w:rsid w:val="005849E9"/>
    <w:rsid w:val="00586F55"/>
    <w:rsid w:val="00587852"/>
    <w:rsid w:val="00590C06"/>
    <w:rsid w:val="005917E7"/>
    <w:rsid w:val="00591BB9"/>
    <w:rsid w:val="00592CDE"/>
    <w:rsid w:val="0059548C"/>
    <w:rsid w:val="00595B06"/>
    <w:rsid w:val="00595D0F"/>
    <w:rsid w:val="005A079E"/>
    <w:rsid w:val="005A1C7B"/>
    <w:rsid w:val="005A286C"/>
    <w:rsid w:val="005A2E19"/>
    <w:rsid w:val="005A35A7"/>
    <w:rsid w:val="005A6592"/>
    <w:rsid w:val="005A70CB"/>
    <w:rsid w:val="005A7AA2"/>
    <w:rsid w:val="005A7E77"/>
    <w:rsid w:val="005B0C54"/>
    <w:rsid w:val="005B134C"/>
    <w:rsid w:val="005B1806"/>
    <w:rsid w:val="005B18C1"/>
    <w:rsid w:val="005B1D71"/>
    <w:rsid w:val="005B2F7D"/>
    <w:rsid w:val="005B3866"/>
    <w:rsid w:val="005B4521"/>
    <w:rsid w:val="005B47C4"/>
    <w:rsid w:val="005B595E"/>
    <w:rsid w:val="005B6964"/>
    <w:rsid w:val="005B6D93"/>
    <w:rsid w:val="005B6F2F"/>
    <w:rsid w:val="005B79DE"/>
    <w:rsid w:val="005C0A87"/>
    <w:rsid w:val="005C1226"/>
    <w:rsid w:val="005C1DD2"/>
    <w:rsid w:val="005C25CF"/>
    <w:rsid w:val="005C2670"/>
    <w:rsid w:val="005C281C"/>
    <w:rsid w:val="005C302E"/>
    <w:rsid w:val="005C3899"/>
    <w:rsid w:val="005C45CC"/>
    <w:rsid w:val="005C4666"/>
    <w:rsid w:val="005C4AFE"/>
    <w:rsid w:val="005C746E"/>
    <w:rsid w:val="005C774F"/>
    <w:rsid w:val="005D14E0"/>
    <w:rsid w:val="005D166D"/>
    <w:rsid w:val="005D1787"/>
    <w:rsid w:val="005D2D3A"/>
    <w:rsid w:val="005D2EAB"/>
    <w:rsid w:val="005D352D"/>
    <w:rsid w:val="005D3EFB"/>
    <w:rsid w:val="005D4BE2"/>
    <w:rsid w:val="005D51BB"/>
    <w:rsid w:val="005D7A86"/>
    <w:rsid w:val="005E0979"/>
    <w:rsid w:val="005E1EA6"/>
    <w:rsid w:val="005E333C"/>
    <w:rsid w:val="005E3B82"/>
    <w:rsid w:val="005E3B88"/>
    <w:rsid w:val="005E3CAF"/>
    <w:rsid w:val="005E466B"/>
    <w:rsid w:val="005E5465"/>
    <w:rsid w:val="005E6C93"/>
    <w:rsid w:val="005E77EF"/>
    <w:rsid w:val="005F05DE"/>
    <w:rsid w:val="005F09DA"/>
    <w:rsid w:val="005F180E"/>
    <w:rsid w:val="005F1BD3"/>
    <w:rsid w:val="005F2C65"/>
    <w:rsid w:val="005F2FEF"/>
    <w:rsid w:val="005F3015"/>
    <w:rsid w:val="005F325F"/>
    <w:rsid w:val="005F355D"/>
    <w:rsid w:val="005F3615"/>
    <w:rsid w:val="005F4123"/>
    <w:rsid w:val="005F4AB6"/>
    <w:rsid w:val="005F4F75"/>
    <w:rsid w:val="005F5A1F"/>
    <w:rsid w:val="005F613F"/>
    <w:rsid w:val="0060031B"/>
    <w:rsid w:val="00601057"/>
    <w:rsid w:val="00601488"/>
    <w:rsid w:val="0060187B"/>
    <w:rsid w:val="006022DD"/>
    <w:rsid w:val="00602405"/>
    <w:rsid w:val="006031CF"/>
    <w:rsid w:val="006048D0"/>
    <w:rsid w:val="00605398"/>
    <w:rsid w:val="006057DD"/>
    <w:rsid w:val="0060664A"/>
    <w:rsid w:val="00606B32"/>
    <w:rsid w:val="0061051C"/>
    <w:rsid w:val="00611B38"/>
    <w:rsid w:val="00615E2A"/>
    <w:rsid w:val="00617B62"/>
    <w:rsid w:val="006204C5"/>
    <w:rsid w:val="00625786"/>
    <w:rsid w:val="0062643F"/>
    <w:rsid w:val="00627212"/>
    <w:rsid w:val="00630279"/>
    <w:rsid w:val="006310EA"/>
    <w:rsid w:val="00631E4D"/>
    <w:rsid w:val="006324CB"/>
    <w:rsid w:val="0063320D"/>
    <w:rsid w:val="00633959"/>
    <w:rsid w:val="00634CDD"/>
    <w:rsid w:val="00634EDB"/>
    <w:rsid w:val="006372C3"/>
    <w:rsid w:val="006372CE"/>
    <w:rsid w:val="00637462"/>
    <w:rsid w:val="00637960"/>
    <w:rsid w:val="006430AE"/>
    <w:rsid w:val="00644583"/>
    <w:rsid w:val="006449B8"/>
    <w:rsid w:val="00644E49"/>
    <w:rsid w:val="00645A4D"/>
    <w:rsid w:val="006462E3"/>
    <w:rsid w:val="006467E3"/>
    <w:rsid w:val="006471BC"/>
    <w:rsid w:val="00647631"/>
    <w:rsid w:val="0065005D"/>
    <w:rsid w:val="00651375"/>
    <w:rsid w:val="00651980"/>
    <w:rsid w:val="006528F5"/>
    <w:rsid w:val="00654183"/>
    <w:rsid w:val="0065420B"/>
    <w:rsid w:val="00654D3A"/>
    <w:rsid w:val="00655F14"/>
    <w:rsid w:val="0065626E"/>
    <w:rsid w:val="00656B4F"/>
    <w:rsid w:val="00657A6A"/>
    <w:rsid w:val="00660747"/>
    <w:rsid w:val="00662ABB"/>
    <w:rsid w:val="00663D94"/>
    <w:rsid w:val="00664447"/>
    <w:rsid w:val="00664983"/>
    <w:rsid w:val="00664C0B"/>
    <w:rsid w:val="00665EE8"/>
    <w:rsid w:val="0066621B"/>
    <w:rsid w:val="006664CD"/>
    <w:rsid w:val="006702AD"/>
    <w:rsid w:val="00670C73"/>
    <w:rsid w:val="00671BE3"/>
    <w:rsid w:val="00672D1F"/>
    <w:rsid w:val="00673AD5"/>
    <w:rsid w:val="00674D9D"/>
    <w:rsid w:val="00675F66"/>
    <w:rsid w:val="0067638C"/>
    <w:rsid w:val="0067659C"/>
    <w:rsid w:val="006767A7"/>
    <w:rsid w:val="006802B6"/>
    <w:rsid w:val="006802BD"/>
    <w:rsid w:val="0068286B"/>
    <w:rsid w:val="006840A6"/>
    <w:rsid w:val="0068444E"/>
    <w:rsid w:val="006844A2"/>
    <w:rsid w:val="00684986"/>
    <w:rsid w:val="00685D77"/>
    <w:rsid w:val="006864B9"/>
    <w:rsid w:val="006900F3"/>
    <w:rsid w:val="00690BE9"/>
    <w:rsid w:val="00690DDC"/>
    <w:rsid w:val="0069163E"/>
    <w:rsid w:val="006922A0"/>
    <w:rsid w:val="0069359E"/>
    <w:rsid w:val="0069495A"/>
    <w:rsid w:val="0069558F"/>
    <w:rsid w:val="0069593E"/>
    <w:rsid w:val="0069710E"/>
    <w:rsid w:val="0069770A"/>
    <w:rsid w:val="006A0394"/>
    <w:rsid w:val="006A06BA"/>
    <w:rsid w:val="006A168A"/>
    <w:rsid w:val="006A24FC"/>
    <w:rsid w:val="006A33B7"/>
    <w:rsid w:val="006A60B2"/>
    <w:rsid w:val="006A6334"/>
    <w:rsid w:val="006A6895"/>
    <w:rsid w:val="006A6F65"/>
    <w:rsid w:val="006A75C0"/>
    <w:rsid w:val="006A7D04"/>
    <w:rsid w:val="006B0962"/>
    <w:rsid w:val="006B277F"/>
    <w:rsid w:val="006B30AA"/>
    <w:rsid w:val="006B4BCE"/>
    <w:rsid w:val="006B5167"/>
    <w:rsid w:val="006B5F6C"/>
    <w:rsid w:val="006B77EA"/>
    <w:rsid w:val="006C0335"/>
    <w:rsid w:val="006C0A3F"/>
    <w:rsid w:val="006C1DB0"/>
    <w:rsid w:val="006C21DC"/>
    <w:rsid w:val="006C2332"/>
    <w:rsid w:val="006C4B5C"/>
    <w:rsid w:val="006C4C89"/>
    <w:rsid w:val="006C5F05"/>
    <w:rsid w:val="006C5F10"/>
    <w:rsid w:val="006C74CA"/>
    <w:rsid w:val="006D0AD3"/>
    <w:rsid w:val="006D0FE1"/>
    <w:rsid w:val="006D16AB"/>
    <w:rsid w:val="006D1A54"/>
    <w:rsid w:val="006D24B4"/>
    <w:rsid w:val="006D2772"/>
    <w:rsid w:val="006D2BD0"/>
    <w:rsid w:val="006D3FD9"/>
    <w:rsid w:val="006D4348"/>
    <w:rsid w:val="006D44C5"/>
    <w:rsid w:val="006D4A2D"/>
    <w:rsid w:val="006D4E5A"/>
    <w:rsid w:val="006D5318"/>
    <w:rsid w:val="006D6AC5"/>
    <w:rsid w:val="006D6C8E"/>
    <w:rsid w:val="006D7DE8"/>
    <w:rsid w:val="006E0991"/>
    <w:rsid w:val="006E2E88"/>
    <w:rsid w:val="006E3AEF"/>
    <w:rsid w:val="006E3C56"/>
    <w:rsid w:val="006E45F7"/>
    <w:rsid w:val="006E51CE"/>
    <w:rsid w:val="006E58BC"/>
    <w:rsid w:val="006E62D6"/>
    <w:rsid w:val="006E62DC"/>
    <w:rsid w:val="006E662F"/>
    <w:rsid w:val="006E690D"/>
    <w:rsid w:val="006E716A"/>
    <w:rsid w:val="006E77EA"/>
    <w:rsid w:val="006F0062"/>
    <w:rsid w:val="006F1854"/>
    <w:rsid w:val="006F1998"/>
    <w:rsid w:val="006F2F1A"/>
    <w:rsid w:val="006F3831"/>
    <w:rsid w:val="006F69DE"/>
    <w:rsid w:val="00700E58"/>
    <w:rsid w:val="007016F9"/>
    <w:rsid w:val="00701715"/>
    <w:rsid w:val="007019DA"/>
    <w:rsid w:val="00702A23"/>
    <w:rsid w:val="007039C4"/>
    <w:rsid w:val="007043DA"/>
    <w:rsid w:val="007049E7"/>
    <w:rsid w:val="00706092"/>
    <w:rsid w:val="00706B59"/>
    <w:rsid w:val="00707416"/>
    <w:rsid w:val="00707691"/>
    <w:rsid w:val="00710609"/>
    <w:rsid w:val="0071113B"/>
    <w:rsid w:val="00712FD8"/>
    <w:rsid w:val="007132A4"/>
    <w:rsid w:val="00714E43"/>
    <w:rsid w:val="00716775"/>
    <w:rsid w:val="00716FBB"/>
    <w:rsid w:val="00721293"/>
    <w:rsid w:val="007217CF"/>
    <w:rsid w:val="00722B06"/>
    <w:rsid w:val="00724F21"/>
    <w:rsid w:val="007266F2"/>
    <w:rsid w:val="00730676"/>
    <w:rsid w:val="007311D8"/>
    <w:rsid w:val="007315E5"/>
    <w:rsid w:val="00731FC7"/>
    <w:rsid w:val="007343B4"/>
    <w:rsid w:val="0073475E"/>
    <w:rsid w:val="0073477B"/>
    <w:rsid w:val="007358F6"/>
    <w:rsid w:val="00736C3D"/>
    <w:rsid w:val="007371B7"/>
    <w:rsid w:val="0073727D"/>
    <w:rsid w:val="00741B5A"/>
    <w:rsid w:val="00741BAA"/>
    <w:rsid w:val="007427E9"/>
    <w:rsid w:val="00743506"/>
    <w:rsid w:val="00744B71"/>
    <w:rsid w:val="007452D4"/>
    <w:rsid w:val="00745F12"/>
    <w:rsid w:val="00746363"/>
    <w:rsid w:val="00746766"/>
    <w:rsid w:val="007503A5"/>
    <w:rsid w:val="007516CD"/>
    <w:rsid w:val="007524F2"/>
    <w:rsid w:val="00752FBC"/>
    <w:rsid w:val="0075535D"/>
    <w:rsid w:val="00755706"/>
    <w:rsid w:val="007557AE"/>
    <w:rsid w:val="00756187"/>
    <w:rsid w:val="007577BF"/>
    <w:rsid w:val="00757C9A"/>
    <w:rsid w:val="00757EBE"/>
    <w:rsid w:val="007603C6"/>
    <w:rsid w:val="00760751"/>
    <w:rsid w:val="00761A33"/>
    <w:rsid w:val="007626A7"/>
    <w:rsid w:val="0076369A"/>
    <w:rsid w:val="00763C41"/>
    <w:rsid w:val="00766DED"/>
    <w:rsid w:val="00770B7D"/>
    <w:rsid w:val="00771A7F"/>
    <w:rsid w:val="00771B7F"/>
    <w:rsid w:val="00772E1C"/>
    <w:rsid w:val="007733C3"/>
    <w:rsid w:val="00773F80"/>
    <w:rsid w:val="007747F0"/>
    <w:rsid w:val="0077501E"/>
    <w:rsid w:val="0077626F"/>
    <w:rsid w:val="00776675"/>
    <w:rsid w:val="007774F4"/>
    <w:rsid w:val="00781B91"/>
    <w:rsid w:val="00781C88"/>
    <w:rsid w:val="00783267"/>
    <w:rsid w:val="007837F6"/>
    <w:rsid w:val="00783E7B"/>
    <w:rsid w:val="00784A88"/>
    <w:rsid w:val="00784F52"/>
    <w:rsid w:val="00785DEA"/>
    <w:rsid w:val="0078683E"/>
    <w:rsid w:val="00786AA3"/>
    <w:rsid w:val="00786DB5"/>
    <w:rsid w:val="00787759"/>
    <w:rsid w:val="00791356"/>
    <w:rsid w:val="00791631"/>
    <w:rsid w:val="007924AB"/>
    <w:rsid w:val="00793BE4"/>
    <w:rsid w:val="00793CF8"/>
    <w:rsid w:val="00793FBB"/>
    <w:rsid w:val="00794AE7"/>
    <w:rsid w:val="0079539A"/>
    <w:rsid w:val="0079581D"/>
    <w:rsid w:val="00795B6E"/>
    <w:rsid w:val="00797066"/>
    <w:rsid w:val="007A0355"/>
    <w:rsid w:val="007A0610"/>
    <w:rsid w:val="007A0F4A"/>
    <w:rsid w:val="007A13C2"/>
    <w:rsid w:val="007A1DF2"/>
    <w:rsid w:val="007A2A2E"/>
    <w:rsid w:val="007A32FC"/>
    <w:rsid w:val="007A3763"/>
    <w:rsid w:val="007A412F"/>
    <w:rsid w:val="007A508E"/>
    <w:rsid w:val="007A5205"/>
    <w:rsid w:val="007A558A"/>
    <w:rsid w:val="007A5614"/>
    <w:rsid w:val="007A6A27"/>
    <w:rsid w:val="007A6B9E"/>
    <w:rsid w:val="007A710A"/>
    <w:rsid w:val="007A7E4E"/>
    <w:rsid w:val="007B0883"/>
    <w:rsid w:val="007B0AC5"/>
    <w:rsid w:val="007B0DA5"/>
    <w:rsid w:val="007B0FF1"/>
    <w:rsid w:val="007B121C"/>
    <w:rsid w:val="007B2189"/>
    <w:rsid w:val="007B33B6"/>
    <w:rsid w:val="007B4453"/>
    <w:rsid w:val="007B52F6"/>
    <w:rsid w:val="007B66CF"/>
    <w:rsid w:val="007B684D"/>
    <w:rsid w:val="007B6EA5"/>
    <w:rsid w:val="007B714D"/>
    <w:rsid w:val="007B7D8A"/>
    <w:rsid w:val="007B7E5A"/>
    <w:rsid w:val="007B7F3C"/>
    <w:rsid w:val="007C0B53"/>
    <w:rsid w:val="007C0CA9"/>
    <w:rsid w:val="007C1CF1"/>
    <w:rsid w:val="007C203C"/>
    <w:rsid w:val="007C2EE8"/>
    <w:rsid w:val="007C381C"/>
    <w:rsid w:val="007C3F53"/>
    <w:rsid w:val="007C43F7"/>
    <w:rsid w:val="007C63C7"/>
    <w:rsid w:val="007C6B27"/>
    <w:rsid w:val="007C78F4"/>
    <w:rsid w:val="007D071C"/>
    <w:rsid w:val="007D15AF"/>
    <w:rsid w:val="007D1791"/>
    <w:rsid w:val="007D1A49"/>
    <w:rsid w:val="007D2A51"/>
    <w:rsid w:val="007D4C61"/>
    <w:rsid w:val="007D6BE4"/>
    <w:rsid w:val="007D6DAA"/>
    <w:rsid w:val="007E06D0"/>
    <w:rsid w:val="007E386A"/>
    <w:rsid w:val="007E3EB2"/>
    <w:rsid w:val="007E4E5F"/>
    <w:rsid w:val="007E60EF"/>
    <w:rsid w:val="007E63A2"/>
    <w:rsid w:val="007E668C"/>
    <w:rsid w:val="007E6EAB"/>
    <w:rsid w:val="007F101C"/>
    <w:rsid w:val="007F1B43"/>
    <w:rsid w:val="007F228D"/>
    <w:rsid w:val="007F2564"/>
    <w:rsid w:val="007F301B"/>
    <w:rsid w:val="007F49A3"/>
    <w:rsid w:val="007F5762"/>
    <w:rsid w:val="007F5B39"/>
    <w:rsid w:val="007F6034"/>
    <w:rsid w:val="0080046E"/>
    <w:rsid w:val="008006FA"/>
    <w:rsid w:val="008023E6"/>
    <w:rsid w:val="0080259B"/>
    <w:rsid w:val="008036F5"/>
    <w:rsid w:val="00804830"/>
    <w:rsid w:val="0080498E"/>
    <w:rsid w:val="00804CDD"/>
    <w:rsid w:val="00804CFA"/>
    <w:rsid w:val="00806D6E"/>
    <w:rsid w:val="00806FE8"/>
    <w:rsid w:val="008077B8"/>
    <w:rsid w:val="00807A67"/>
    <w:rsid w:val="00807DD4"/>
    <w:rsid w:val="00807FD7"/>
    <w:rsid w:val="0081062C"/>
    <w:rsid w:val="00810B57"/>
    <w:rsid w:val="00811DB2"/>
    <w:rsid w:val="00812FA6"/>
    <w:rsid w:val="008153AD"/>
    <w:rsid w:val="00815570"/>
    <w:rsid w:val="00816280"/>
    <w:rsid w:val="008175BA"/>
    <w:rsid w:val="00820766"/>
    <w:rsid w:val="008207D3"/>
    <w:rsid w:val="0082091A"/>
    <w:rsid w:val="00820D9E"/>
    <w:rsid w:val="0082120E"/>
    <w:rsid w:val="008213A4"/>
    <w:rsid w:val="0082244B"/>
    <w:rsid w:val="00822DC3"/>
    <w:rsid w:val="0082374A"/>
    <w:rsid w:val="00823FC6"/>
    <w:rsid w:val="0082434F"/>
    <w:rsid w:val="00825D01"/>
    <w:rsid w:val="00827777"/>
    <w:rsid w:val="0083154C"/>
    <w:rsid w:val="00832027"/>
    <w:rsid w:val="008325A0"/>
    <w:rsid w:val="008342AC"/>
    <w:rsid w:val="00834AF2"/>
    <w:rsid w:val="00835C92"/>
    <w:rsid w:val="0083794F"/>
    <w:rsid w:val="00843893"/>
    <w:rsid w:val="008444A7"/>
    <w:rsid w:val="00845738"/>
    <w:rsid w:val="00851215"/>
    <w:rsid w:val="00853052"/>
    <w:rsid w:val="008538B0"/>
    <w:rsid w:val="00853CBD"/>
    <w:rsid w:val="00853E45"/>
    <w:rsid w:val="00855437"/>
    <w:rsid w:val="00855EA4"/>
    <w:rsid w:val="008566BB"/>
    <w:rsid w:val="00856974"/>
    <w:rsid w:val="00860489"/>
    <w:rsid w:val="008605AB"/>
    <w:rsid w:val="00860E51"/>
    <w:rsid w:val="00861A0D"/>
    <w:rsid w:val="00861A64"/>
    <w:rsid w:val="00863181"/>
    <w:rsid w:val="008635F2"/>
    <w:rsid w:val="00863F1F"/>
    <w:rsid w:val="0086451F"/>
    <w:rsid w:val="0086464E"/>
    <w:rsid w:val="00864BE6"/>
    <w:rsid w:val="008664AD"/>
    <w:rsid w:val="00866A78"/>
    <w:rsid w:val="00867A99"/>
    <w:rsid w:val="00867FEA"/>
    <w:rsid w:val="00870237"/>
    <w:rsid w:val="008707C1"/>
    <w:rsid w:val="008710AD"/>
    <w:rsid w:val="008711F2"/>
    <w:rsid w:val="008716E0"/>
    <w:rsid w:val="00872A5D"/>
    <w:rsid w:val="00872AC1"/>
    <w:rsid w:val="008737FD"/>
    <w:rsid w:val="008751E3"/>
    <w:rsid w:val="008778AB"/>
    <w:rsid w:val="00880E9A"/>
    <w:rsid w:val="00883F4C"/>
    <w:rsid w:val="00884ACE"/>
    <w:rsid w:val="00886C54"/>
    <w:rsid w:val="008872CF"/>
    <w:rsid w:val="0089044E"/>
    <w:rsid w:val="00890622"/>
    <w:rsid w:val="008911D4"/>
    <w:rsid w:val="00891D19"/>
    <w:rsid w:val="00893936"/>
    <w:rsid w:val="008945A5"/>
    <w:rsid w:val="00894C21"/>
    <w:rsid w:val="00895151"/>
    <w:rsid w:val="00895B8E"/>
    <w:rsid w:val="00897585"/>
    <w:rsid w:val="008A0970"/>
    <w:rsid w:val="008A0D1E"/>
    <w:rsid w:val="008A0F80"/>
    <w:rsid w:val="008A1415"/>
    <w:rsid w:val="008A3CF7"/>
    <w:rsid w:val="008A526E"/>
    <w:rsid w:val="008A53A8"/>
    <w:rsid w:val="008A5DBB"/>
    <w:rsid w:val="008A6293"/>
    <w:rsid w:val="008A6471"/>
    <w:rsid w:val="008A651D"/>
    <w:rsid w:val="008A7154"/>
    <w:rsid w:val="008A7548"/>
    <w:rsid w:val="008A7876"/>
    <w:rsid w:val="008A7AC7"/>
    <w:rsid w:val="008A7DCC"/>
    <w:rsid w:val="008B04B9"/>
    <w:rsid w:val="008B053A"/>
    <w:rsid w:val="008B1C1D"/>
    <w:rsid w:val="008B1D8A"/>
    <w:rsid w:val="008B21A7"/>
    <w:rsid w:val="008B2E7B"/>
    <w:rsid w:val="008B3EE0"/>
    <w:rsid w:val="008B432F"/>
    <w:rsid w:val="008B47F8"/>
    <w:rsid w:val="008B65BC"/>
    <w:rsid w:val="008C2351"/>
    <w:rsid w:val="008C34F9"/>
    <w:rsid w:val="008C36F9"/>
    <w:rsid w:val="008C4173"/>
    <w:rsid w:val="008C4218"/>
    <w:rsid w:val="008C4621"/>
    <w:rsid w:val="008C4E8A"/>
    <w:rsid w:val="008C5169"/>
    <w:rsid w:val="008C54A3"/>
    <w:rsid w:val="008C6713"/>
    <w:rsid w:val="008C6AFB"/>
    <w:rsid w:val="008C719B"/>
    <w:rsid w:val="008C76AF"/>
    <w:rsid w:val="008C7708"/>
    <w:rsid w:val="008C7A99"/>
    <w:rsid w:val="008C7C4D"/>
    <w:rsid w:val="008D00C2"/>
    <w:rsid w:val="008D0640"/>
    <w:rsid w:val="008D07F4"/>
    <w:rsid w:val="008D10AE"/>
    <w:rsid w:val="008D1268"/>
    <w:rsid w:val="008D20E7"/>
    <w:rsid w:val="008D4BB8"/>
    <w:rsid w:val="008E0838"/>
    <w:rsid w:val="008E1B77"/>
    <w:rsid w:val="008E41C5"/>
    <w:rsid w:val="008E425E"/>
    <w:rsid w:val="008E43F9"/>
    <w:rsid w:val="008E4E9E"/>
    <w:rsid w:val="008F0059"/>
    <w:rsid w:val="008F1CD3"/>
    <w:rsid w:val="008F1DDF"/>
    <w:rsid w:val="008F2207"/>
    <w:rsid w:val="008F2475"/>
    <w:rsid w:val="008F34FC"/>
    <w:rsid w:val="008F3E32"/>
    <w:rsid w:val="008F5BDF"/>
    <w:rsid w:val="008F5E8A"/>
    <w:rsid w:val="008F667F"/>
    <w:rsid w:val="008F67C4"/>
    <w:rsid w:val="008F710F"/>
    <w:rsid w:val="0090002B"/>
    <w:rsid w:val="009000DA"/>
    <w:rsid w:val="00900937"/>
    <w:rsid w:val="009027B3"/>
    <w:rsid w:val="0090358B"/>
    <w:rsid w:val="009054DF"/>
    <w:rsid w:val="00905569"/>
    <w:rsid w:val="009059F4"/>
    <w:rsid w:val="0090618B"/>
    <w:rsid w:val="00906371"/>
    <w:rsid w:val="0090673E"/>
    <w:rsid w:val="00911167"/>
    <w:rsid w:val="0091156A"/>
    <w:rsid w:val="00911DF1"/>
    <w:rsid w:val="00913BDC"/>
    <w:rsid w:val="00913C3B"/>
    <w:rsid w:val="00913C94"/>
    <w:rsid w:val="00914269"/>
    <w:rsid w:val="00914E3A"/>
    <w:rsid w:val="00914E46"/>
    <w:rsid w:val="00914EFA"/>
    <w:rsid w:val="0091517E"/>
    <w:rsid w:val="00916107"/>
    <w:rsid w:val="0091749C"/>
    <w:rsid w:val="009209CA"/>
    <w:rsid w:val="00921109"/>
    <w:rsid w:val="009219E6"/>
    <w:rsid w:val="0092209E"/>
    <w:rsid w:val="0092229F"/>
    <w:rsid w:val="009230E2"/>
    <w:rsid w:val="00925137"/>
    <w:rsid w:val="00925359"/>
    <w:rsid w:val="00925BD2"/>
    <w:rsid w:val="00925C97"/>
    <w:rsid w:val="00925D69"/>
    <w:rsid w:val="0092726F"/>
    <w:rsid w:val="00927A7B"/>
    <w:rsid w:val="00931654"/>
    <w:rsid w:val="009320CC"/>
    <w:rsid w:val="00932323"/>
    <w:rsid w:val="00934E82"/>
    <w:rsid w:val="00935253"/>
    <w:rsid w:val="00935CF4"/>
    <w:rsid w:val="00936257"/>
    <w:rsid w:val="00936875"/>
    <w:rsid w:val="00936D1C"/>
    <w:rsid w:val="009400A7"/>
    <w:rsid w:val="00940129"/>
    <w:rsid w:val="00943BC5"/>
    <w:rsid w:val="00944C81"/>
    <w:rsid w:val="009476B9"/>
    <w:rsid w:val="009479F4"/>
    <w:rsid w:val="00947CAD"/>
    <w:rsid w:val="00951B68"/>
    <w:rsid w:val="00951ECE"/>
    <w:rsid w:val="00952B41"/>
    <w:rsid w:val="0095375E"/>
    <w:rsid w:val="00953FA9"/>
    <w:rsid w:val="009540A0"/>
    <w:rsid w:val="009542D1"/>
    <w:rsid w:val="009545A7"/>
    <w:rsid w:val="00954D6D"/>
    <w:rsid w:val="0095618C"/>
    <w:rsid w:val="00956244"/>
    <w:rsid w:val="00956952"/>
    <w:rsid w:val="00960E6F"/>
    <w:rsid w:val="00961D5E"/>
    <w:rsid w:val="0096210D"/>
    <w:rsid w:val="00963007"/>
    <w:rsid w:val="009640F5"/>
    <w:rsid w:val="00964433"/>
    <w:rsid w:val="00964A2D"/>
    <w:rsid w:val="009655FD"/>
    <w:rsid w:val="009662B8"/>
    <w:rsid w:val="009677FE"/>
    <w:rsid w:val="009703C0"/>
    <w:rsid w:val="00970EE6"/>
    <w:rsid w:val="0097119B"/>
    <w:rsid w:val="0097156C"/>
    <w:rsid w:val="00971C82"/>
    <w:rsid w:val="00971DDC"/>
    <w:rsid w:val="009720BF"/>
    <w:rsid w:val="00972440"/>
    <w:rsid w:val="009725FE"/>
    <w:rsid w:val="00973632"/>
    <w:rsid w:val="00973781"/>
    <w:rsid w:val="009747D9"/>
    <w:rsid w:val="00974EB1"/>
    <w:rsid w:val="00975340"/>
    <w:rsid w:val="009761EC"/>
    <w:rsid w:val="009762B1"/>
    <w:rsid w:val="00976BBB"/>
    <w:rsid w:val="00976C50"/>
    <w:rsid w:val="00981D5D"/>
    <w:rsid w:val="00983030"/>
    <w:rsid w:val="00983100"/>
    <w:rsid w:val="00984A75"/>
    <w:rsid w:val="0098536D"/>
    <w:rsid w:val="00986290"/>
    <w:rsid w:val="00986F50"/>
    <w:rsid w:val="00987592"/>
    <w:rsid w:val="0098764F"/>
    <w:rsid w:val="009878CE"/>
    <w:rsid w:val="00987F86"/>
    <w:rsid w:val="0099094A"/>
    <w:rsid w:val="00992CFB"/>
    <w:rsid w:val="00994D49"/>
    <w:rsid w:val="00995934"/>
    <w:rsid w:val="00996B5D"/>
    <w:rsid w:val="009A14B3"/>
    <w:rsid w:val="009A304D"/>
    <w:rsid w:val="009A3905"/>
    <w:rsid w:val="009A5BDC"/>
    <w:rsid w:val="009A62FC"/>
    <w:rsid w:val="009A687A"/>
    <w:rsid w:val="009A703A"/>
    <w:rsid w:val="009B0940"/>
    <w:rsid w:val="009B1591"/>
    <w:rsid w:val="009B3934"/>
    <w:rsid w:val="009B3FB0"/>
    <w:rsid w:val="009B432C"/>
    <w:rsid w:val="009B4626"/>
    <w:rsid w:val="009B49D3"/>
    <w:rsid w:val="009B51E2"/>
    <w:rsid w:val="009B5384"/>
    <w:rsid w:val="009B5660"/>
    <w:rsid w:val="009B5755"/>
    <w:rsid w:val="009B65CE"/>
    <w:rsid w:val="009C0BD6"/>
    <w:rsid w:val="009C177B"/>
    <w:rsid w:val="009C27FC"/>
    <w:rsid w:val="009C4FCA"/>
    <w:rsid w:val="009C53A8"/>
    <w:rsid w:val="009C5B8F"/>
    <w:rsid w:val="009C5C86"/>
    <w:rsid w:val="009C626C"/>
    <w:rsid w:val="009C737B"/>
    <w:rsid w:val="009D0276"/>
    <w:rsid w:val="009D09DD"/>
    <w:rsid w:val="009D1526"/>
    <w:rsid w:val="009D1AEA"/>
    <w:rsid w:val="009D20D0"/>
    <w:rsid w:val="009D3223"/>
    <w:rsid w:val="009D33DC"/>
    <w:rsid w:val="009D392E"/>
    <w:rsid w:val="009D3EDE"/>
    <w:rsid w:val="009D5700"/>
    <w:rsid w:val="009D5F2C"/>
    <w:rsid w:val="009D6152"/>
    <w:rsid w:val="009D6790"/>
    <w:rsid w:val="009E0083"/>
    <w:rsid w:val="009E09C3"/>
    <w:rsid w:val="009E0AA7"/>
    <w:rsid w:val="009E19D9"/>
    <w:rsid w:val="009E264C"/>
    <w:rsid w:val="009E2CDC"/>
    <w:rsid w:val="009E349E"/>
    <w:rsid w:val="009E3B31"/>
    <w:rsid w:val="009E4313"/>
    <w:rsid w:val="009E45E4"/>
    <w:rsid w:val="009E49B5"/>
    <w:rsid w:val="009E4EF7"/>
    <w:rsid w:val="009E5442"/>
    <w:rsid w:val="009E5E2F"/>
    <w:rsid w:val="009E5F7D"/>
    <w:rsid w:val="009E6011"/>
    <w:rsid w:val="009E6713"/>
    <w:rsid w:val="009E677B"/>
    <w:rsid w:val="009E6F92"/>
    <w:rsid w:val="009E7D7C"/>
    <w:rsid w:val="009F04B7"/>
    <w:rsid w:val="009F0655"/>
    <w:rsid w:val="009F14E3"/>
    <w:rsid w:val="009F19A3"/>
    <w:rsid w:val="009F1BFC"/>
    <w:rsid w:val="009F1F3D"/>
    <w:rsid w:val="009F363E"/>
    <w:rsid w:val="009F739F"/>
    <w:rsid w:val="00A00323"/>
    <w:rsid w:val="00A00AE1"/>
    <w:rsid w:val="00A0132E"/>
    <w:rsid w:val="00A0165C"/>
    <w:rsid w:val="00A01799"/>
    <w:rsid w:val="00A0222B"/>
    <w:rsid w:val="00A026B1"/>
    <w:rsid w:val="00A03776"/>
    <w:rsid w:val="00A04010"/>
    <w:rsid w:val="00A04B99"/>
    <w:rsid w:val="00A0552D"/>
    <w:rsid w:val="00A0588E"/>
    <w:rsid w:val="00A06C99"/>
    <w:rsid w:val="00A075DC"/>
    <w:rsid w:val="00A075EA"/>
    <w:rsid w:val="00A07EAF"/>
    <w:rsid w:val="00A1011E"/>
    <w:rsid w:val="00A10436"/>
    <w:rsid w:val="00A13BCD"/>
    <w:rsid w:val="00A14686"/>
    <w:rsid w:val="00A15149"/>
    <w:rsid w:val="00A207C5"/>
    <w:rsid w:val="00A20E38"/>
    <w:rsid w:val="00A214C0"/>
    <w:rsid w:val="00A22C43"/>
    <w:rsid w:val="00A243F1"/>
    <w:rsid w:val="00A2708E"/>
    <w:rsid w:val="00A277A3"/>
    <w:rsid w:val="00A30669"/>
    <w:rsid w:val="00A32A65"/>
    <w:rsid w:val="00A32C35"/>
    <w:rsid w:val="00A32D54"/>
    <w:rsid w:val="00A33390"/>
    <w:rsid w:val="00A35085"/>
    <w:rsid w:val="00A35481"/>
    <w:rsid w:val="00A414CA"/>
    <w:rsid w:val="00A417F0"/>
    <w:rsid w:val="00A42372"/>
    <w:rsid w:val="00A4316B"/>
    <w:rsid w:val="00A44CE1"/>
    <w:rsid w:val="00A455E3"/>
    <w:rsid w:val="00A46B64"/>
    <w:rsid w:val="00A46B94"/>
    <w:rsid w:val="00A479A4"/>
    <w:rsid w:val="00A47AC5"/>
    <w:rsid w:val="00A47C0F"/>
    <w:rsid w:val="00A47FFD"/>
    <w:rsid w:val="00A505CA"/>
    <w:rsid w:val="00A50AF6"/>
    <w:rsid w:val="00A52451"/>
    <w:rsid w:val="00A526B3"/>
    <w:rsid w:val="00A52BF9"/>
    <w:rsid w:val="00A52E62"/>
    <w:rsid w:val="00A53284"/>
    <w:rsid w:val="00A55767"/>
    <w:rsid w:val="00A55894"/>
    <w:rsid w:val="00A61D25"/>
    <w:rsid w:val="00A61E36"/>
    <w:rsid w:val="00A621F7"/>
    <w:rsid w:val="00A62DA0"/>
    <w:rsid w:val="00A63937"/>
    <w:rsid w:val="00A639DE"/>
    <w:rsid w:val="00A65022"/>
    <w:rsid w:val="00A656E4"/>
    <w:rsid w:val="00A70AA4"/>
    <w:rsid w:val="00A71DF0"/>
    <w:rsid w:val="00A71F5C"/>
    <w:rsid w:val="00A723B1"/>
    <w:rsid w:val="00A74369"/>
    <w:rsid w:val="00A759C0"/>
    <w:rsid w:val="00A75C5C"/>
    <w:rsid w:val="00A807C4"/>
    <w:rsid w:val="00A819D9"/>
    <w:rsid w:val="00A83232"/>
    <w:rsid w:val="00A85B1C"/>
    <w:rsid w:val="00A872E5"/>
    <w:rsid w:val="00A87822"/>
    <w:rsid w:val="00A87FB7"/>
    <w:rsid w:val="00A90E12"/>
    <w:rsid w:val="00A923BD"/>
    <w:rsid w:val="00A92705"/>
    <w:rsid w:val="00A937FB"/>
    <w:rsid w:val="00A9424F"/>
    <w:rsid w:val="00A949A2"/>
    <w:rsid w:val="00A94C9E"/>
    <w:rsid w:val="00A95D57"/>
    <w:rsid w:val="00A96264"/>
    <w:rsid w:val="00A962F1"/>
    <w:rsid w:val="00A96C14"/>
    <w:rsid w:val="00A9754D"/>
    <w:rsid w:val="00A97A70"/>
    <w:rsid w:val="00AA173A"/>
    <w:rsid w:val="00AA2A5F"/>
    <w:rsid w:val="00AA2E2F"/>
    <w:rsid w:val="00AA3433"/>
    <w:rsid w:val="00AA4FBB"/>
    <w:rsid w:val="00AA521F"/>
    <w:rsid w:val="00AA5DC8"/>
    <w:rsid w:val="00AA5E30"/>
    <w:rsid w:val="00AA7D4C"/>
    <w:rsid w:val="00AB1A02"/>
    <w:rsid w:val="00AB240D"/>
    <w:rsid w:val="00AB25ED"/>
    <w:rsid w:val="00AB436A"/>
    <w:rsid w:val="00AB488F"/>
    <w:rsid w:val="00AB5A41"/>
    <w:rsid w:val="00AB66D0"/>
    <w:rsid w:val="00AB6A6F"/>
    <w:rsid w:val="00AC0071"/>
    <w:rsid w:val="00AC0264"/>
    <w:rsid w:val="00AC196E"/>
    <w:rsid w:val="00AC2F83"/>
    <w:rsid w:val="00AC38A6"/>
    <w:rsid w:val="00AC4703"/>
    <w:rsid w:val="00AC4E42"/>
    <w:rsid w:val="00AD05DD"/>
    <w:rsid w:val="00AD15C5"/>
    <w:rsid w:val="00AD2518"/>
    <w:rsid w:val="00AD26CD"/>
    <w:rsid w:val="00AD2C9C"/>
    <w:rsid w:val="00AD35F5"/>
    <w:rsid w:val="00AD3DD4"/>
    <w:rsid w:val="00AD428C"/>
    <w:rsid w:val="00AD43E2"/>
    <w:rsid w:val="00AD4460"/>
    <w:rsid w:val="00AD5E84"/>
    <w:rsid w:val="00AD6857"/>
    <w:rsid w:val="00AD6B07"/>
    <w:rsid w:val="00AD7161"/>
    <w:rsid w:val="00AD7E36"/>
    <w:rsid w:val="00AE0AEF"/>
    <w:rsid w:val="00AE119D"/>
    <w:rsid w:val="00AE2ECD"/>
    <w:rsid w:val="00AE31C0"/>
    <w:rsid w:val="00AE5053"/>
    <w:rsid w:val="00AE5EF2"/>
    <w:rsid w:val="00AE64EA"/>
    <w:rsid w:val="00AE68D6"/>
    <w:rsid w:val="00AE6BD0"/>
    <w:rsid w:val="00AF0105"/>
    <w:rsid w:val="00AF111F"/>
    <w:rsid w:val="00AF2744"/>
    <w:rsid w:val="00AF5182"/>
    <w:rsid w:val="00AF6259"/>
    <w:rsid w:val="00AF764E"/>
    <w:rsid w:val="00AF78CB"/>
    <w:rsid w:val="00B0047E"/>
    <w:rsid w:val="00B00538"/>
    <w:rsid w:val="00B00B93"/>
    <w:rsid w:val="00B017DF"/>
    <w:rsid w:val="00B02D07"/>
    <w:rsid w:val="00B053A2"/>
    <w:rsid w:val="00B05A2A"/>
    <w:rsid w:val="00B05ABC"/>
    <w:rsid w:val="00B071BE"/>
    <w:rsid w:val="00B07479"/>
    <w:rsid w:val="00B12B0F"/>
    <w:rsid w:val="00B1305A"/>
    <w:rsid w:val="00B1313E"/>
    <w:rsid w:val="00B13A65"/>
    <w:rsid w:val="00B154BA"/>
    <w:rsid w:val="00B1574C"/>
    <w:rsid w:val="00B16A66"/>
    <w:rsid w:val="00B17FFA"/>
    <w:rsid w:val="00B20735"/>
    <w:rsid w:val="00B207B6"/>
    <w:rsid w:val="00B208AD"/>
    <w:rsid w:val="00B212C7"/>
    <w:rsid w:val="00B21AC7"/>
    <w:rsid w:val="00B2229B"/>
    <w:rsid w:val="00B22607"/>
    <w:rsid w:val="00B22DCA"/>
    <w:rsid w:val="00B24537"/>
    <w:rsid w:val="00B245C2"/>
    <w:rsid w:val="00B24753"/>
    <w:rsid w:val="00B25229"/>
    <w:rsid w:val="00B25490"/>
    <w:rsid w:val="00B254DB"/>
    <w:rsid w:val="00B27DEF"/>
    <w:rsid w:val="00B31791"/>
    <w:rsid w:val="00B31DB7"/>
    <w:rsid w:val="00B342DF"/>
    <w:rsid w:val="00B345DE"/>
    <w:rsid w:val="00B350D8"/>
    <w:rsid w:val="00B354EE"/>
    <w:rsid w:val="00B37702"/>
    <w:rsid w:val="00B37B53"/>
    <w:rsid w:val="00B40275"/>
    <w:rsid w:val="00B40FD1"/>
    <w:rsid w:val="00B42B11"/>
    <w:rsid w:val="00B44F74"/>
    <w:rsid w:val="00B46303"/>
    <w:rsid w:val="00B4765D"/>
    <w:rsid w:val="00B5202F"/>
    <w:rsid w:val="00B5285B"/>
    <w:rsid w:val="00B5388D"/>
    <w:rsid w:val="00B54108"/>
    <w:rsid w:val="00B54130"/>
    <w:rsid w:val="00B55178"/>
    <w:rsid w:val="00B55F79"/>
    <w:rsid w:val="00B56080"/>
    <w:rsid w:val="00B5621D"/>
    <w:rsid w:val="00B56C46"/>
    <w:rsid w:val="00B5714D"/>
    <w:rsid w:val="00B571DA"/>
    <w:rsid w:val="00B57387"/>
    <w:rsid w:val="00B5756E"/>
    <w:rsid w:val="00B578FF"/>
    <w:rsid w:val="00B6076C"/>
    <w:rsid w:val="00B608C5"/>
    <w:rsid w:val="00B61CAA"/>
    <w:rsid w:val="00B62FE0"/>
    <w:rsid w:val="00B64830"/>
    <w:rsid w:val="00B65ABB"/>
    <w:rsid w:val="00B67120"/>
    <w:rsid w:val="00B70300"/>
    <w:rsid w:val="00B7169D"/>
    <w:rsid w:val="00B725C5"/>
    <w:rsid w:val="00B731EA"/>
    <w:rsid w:val="00B73C46"/>
    <w:rsid w:val="00B74D30"/>
    <w:rsid w:val="00B760E9"/>
    <w:rsid w:val="00B76B6B"/>
    <w:rsid w:val="00B80129"/>
    <w:rsid w:val="00B80569"/>
    <w:rsid w:val="00B80E04"/>
    <w:rsid w:val="00B8119C"/>
    <w:rsid w:val="00B81395"/>
    <w:rsid w:val="00B82038"/>
    <w:rsid w:val="00B82991"/>
    <w:rsid w:val="00B82FC4"/>
    <w:rsid w:val="00B8359D"/>
    <w:rsid w:val="00B8379E"/>
    <w:rsid w:val="00B848DB"/>
    <w:rsid w:val="00B84BF8"/>
    <w:rsid w:val="00B85CBC"/>
    <w:rsid w:val="00B865C4"/>
    <w:rsid w:val="00B86987"/>
    <w:rsid w:val="00B90167"/>
    <w:rsid w:val="00B9108B"/>
    <w:rsid w:val="00B913AA"/>
    <w:rsid w:val="00B925A9"/>
    <w:rsid w:val="00B9341E"/>
    <w:rsid w:val="00B94276"/>
    <w:rsid w:val="00B95E06"/>
    <w:rsid w:val="00B9655B"/>
    <w:rsid w:val="00B96E41"/>
    <w:rsid w:val="00B972AA"/>
    <w:rsid w:val="00BA007F"/>
    <w:rsid w:val="00BA16FA"/>
    <w:rsid w:val="00BA19CB"/>
    <w:rsid w:val="00BA20BB"/>
    <w:rsid w:val="00BA2524"/>
    <w:rsid w:val="00BA2E5A"/>
    <w:rsid w:val="00BA509A"/>
    <w:rsid w:val="00BA6E03"/>
    <w:rsid w:val="00BB0253"/>
    <w:rsid w:val="00BB035D"/>
    <w:rsid w:val="00BB0BDF"/>
    <w:rsid w:val="00BB1DC9"/>
    <w:rsid w:val="00BB2655"/>
    <w:rsid w:val="00BB2EA1"/>
    <w:rsid w:val="00BB310C"/>
    <w:rsid w:val="00BB313C"/>
    <w:rsid w:val="00BB516E"/>
    <w:rsid w:val="00BB5AA0"/>
    <w:rsid w:val="00BB6167"/>
    <w:rsid w:val="00BB61E7"/>
    <w:rsid w:val="00BB727C"/>
    <w:rsid w:val="00BB78E1"/>
    <w:rsid w:val="00BB7AFD"/>
    <w:rsid w:val="00BC0240"/>
    <w:rsid w:val="00BC057C"/>
    <w:rsid w:val="00BC060E"/>
    <w:rsid w:val="00BC0C59"/>
    <w:rsid w:val="00BC0FCA"/>
    <w:rsid w:val="00BC1042"/>
    <w:rsid w:val="00BC1D6C"/>
    <w:rsid w:val="00BC29DA"/>
    <w:rsid w:val="00BC2A8F"/>
    <w:rsid w:val="00BC3ECE"/>
    <w:rsid w:val="00BC68E0"/>
    <w:rsid w:val="00BC69CF"/>
    <w:rsid w:val="00BC6B92"/>
    <w:rsid w:val="00BC6E55"/>
    <w:rsid w:val="00BC77A9"/>
    <w:rsid w:val="00BC7B93"/>
    <w:rsid w:val="00BD019C"/>
    <w:rsid w:val="00BD1A9E"/>
    <w:rsid w:val="00BD1F44"/>
    <w:rsid w:val="00BD2E64"/>
    <w:rsid w:val="00BD383C"/>
    <w:rsid w:val="00BD3DED"/>
    <w:rsid w:val="00BD453C"/>
    <w:rsid w:val="00BD5623"/>
    <w:rsid w:val="00BD57FD"/>
    <w:rsid w:val="00BD5A06"/>
    <w:rsid w:val="00BD5ED5"/>
    <w:rsid w:val="00BD6611"/>
    <w:rsid w:val="00BE0626"/>
    <w:rsid w:val="00BE0936"/>
    <w:rsid w:val="00BE2D59"/>
    <w:rsid w:val="00BE2E30"/>
    <w:rsid w:val="00BE429B"/>
    <w:rsid w:val="00BE4996"/>
    <w:rsid w:val="00BE6B62"/>
    <w:rsid w:val="00BF025A"/>
    <w:rsid w:val="00BF051C"/>
    <w:rsid w:val="00BF0BF6"/>
    <w:rsid w:val="00BF0E8C"/>
    <w:rsid w:val="00BF2806"/>
    <w:rsid w:val="00BF48BD"/>
    <w:rsid w:val="00BF4FF0"/>
    <w:rsid w:val="00BF5F7A"/>
    <w:rsid w:val="00BF7967"/>
    <w:rsid w:val="00C01BBA"/>
    <w:rsid w:val="00C01CF5"/>
    <w:rsid w:val="00C03D4B"/>
    <w:rsid w:val="00C05325"/>
    <w:rsid w:val="00C05522"/>
    <w:rsid w:val="00C06261"/>
    <w:rsid w:val="00C0657E"/>
    <w:rsid w:val="00C06C28"/>
    <w:rsid w:val="00C073F5"/>
    <w:rsid w:val="00C1013F"/>
    <w:rsid w:val="00C10627"/>
    <w:rsid w:val="00C125A5"/>
    <w:rsid w:val="00C1269E"/>
    <w:rsid w:val="00C13853"/>
    <w:rsid w:val="00C14DEE"/>
    <w:rsid w:val="00C1539D"/>
    <w:rsid w:val="00C16F6F"/>
    <w:rsid w:val="00C170FF"/>
    <w:rsid w:val="00C173E3"/>
    <w:rsid w:val="00C17727"/>
    <w:rsid w:val="00C17D85"/>
    <w:rsid w:val="00C17FBE"/>
    <w:rsid w:val="00C22C12"/>
    <w:rsid w:val="00C23201"/>
    <w:rsid w:val="00C2529D"/>
    <w:rsid w:val="00C31051"/>
    <w:rsid w:val="00C318CE"/>
    <w:rsid w:val="00C321E2"/>
    <w:rsid w:val="00C32A47"/>
    <w:rsid w:val="00C34201"/>
    <w:rsid w:val="00C34CEA"/>
    <w:rsid w:val="00C35E9D"/>
    <w:rsid w:val="00C363C5"/>
    <w:rsid w:val="00C367BC"/>
    <w:rsid w:val="00C3720D"/>
    <w:rsid w:val="00C375DB"/>
    <w:rsid w:val="00C3773F"/>
    <w:rsid w:val="00C4312D"/>
    <w:rsid w:val="00C43438"/>
    <w:rsid w:val="00C43DEA"/>
    <w:rsid w:val="00C45350"/>
    <w:rsid w:val="00C50A42"/>
    <w:rsid w:val="00C51509"/>
    <w:rsid w:val="00C52430"/>
    <w:rsid w:val="00C54207"/>
    <w:rsid w:val="00C57505"/>
    <w:rsid w:val="00C57AFB"/>
    <w:rsid w:val="00C6057A"/>
    <w:rsid w:val="00C611A6"/>
    <w:rsid w:val="00C6209F"/>
    <w:rsid w:val="00C645C7"/>
    <w:rsid w:val="00C65F7A"/>
    <w:rsid w:val="00C66595"/>
    <w:rsid w:val="00C67C7B"/>
    <w:rsid w:val="00C7077C"/>
    <w:rsid w:val="00C70B60"/>
    <w:rsid w:val="00C70D07"/>
    <w:rsid w:val="00C71444"/>
    <w:rsid w:val="00C71607"/>
    <w:rsid w:val="00C72825"/>
    <w:rsid w:val="00C72DDE"/>
    <w:rsid w:val="00C74464"/>
    <w:rsid w:val="00C7564A"/>
    <w:rsid w:val="00C75843"/>
    <w:rsid w:val="00C845F3"/>
    <w:rsid w:val="00C85D22"/>
    <w:rsid w:val="00C865DD"/>
    <w:rsid w:val="00C875E8"/>
    <w:rsid w:val="00C91740"/>
    <w:rsid w:val="00C91773"/>
    <w:rsid w:val="00C91F8D"/>
    <w:rsid w:val="00C9217F"/>
    <w:rsid w:val="00C92A2C"/>
    <w:rsid w:val="00C934DB"/>
    <w:rsid w:val="00C93B7F"/>
    <w:rsid w:val="00C93EA0"/>
    <w:rsid w:val="00C9435A"/>
    <w:rsid w:val="00C9440E"/>
    <w:rsid w:val="00C95836"/>
    <w:rsid w:val="00C961A3"/>
    <w:rsid w:val="00C969FF"/>
    <w:rsid w:val="00C96ACC"/>
    <w:rsid w:val="00C975C3"/>
    <w:rsid w:val="00CA2803"/>
    <w:rsid w:val="00CA5468"/>
    <w:rsid w:val="00CA54A9"/>
    <w:rsid w:val="00CA567F"/>
    <w:rsid w:val="00CA648E"/>
    <w:rsid w:val="00CB18CE"/>
    <w:rsid w:val="00CB2056"/>
    <w:rsid w:val="00CB2CB9"/>
    <w:rsid w:val="00CB35BF"/>
    <w:rsid w:val="00CB4C3F"/>
    <w:rsid w:val="00CB4D8A"/>
    <w:rsid w:val="00CB53CC"/>
    <w:rsid w:val="00CB5850"/>
    <w:rsid w:val="00CB59C7"/>
    <w:rsid w:val="00CB68E2"/>
    <w:rsid w:val="00CC099A"/>
    <w:rsid w:val="00CC14A3"/>
    <w:rsid w:val="00CC19E8"/>
    <w:rsid w:val="00CC1D2C"/>
    <w:rsid w:val="00CC22B8"/>
    <w:rsid w:val="00CC32EE"/>
    <w:rsid w:val="00CC3E43"/>
    <w:rsid w:val="00CC509C"/>
    <w:rsid w:val="00CC6A19"/>
    <w:rsid w:val="00CC6CF7"/>
    <w:rsid w:val="00CC7494"/>
    <w:rsid w:val="00CC7FCF"/>
    <w:rsid w:val="00CD170E"/>
    <w:rsid w:val="00CD2811"/>
    <w:rsid w:val="00CD2D5F"/>
    <w:rsid w:val="00CD321B"/>
    <w:rsid w:val="00CD4837"/>
    <w:rsid w:val="00CD48BA"/>
    <w:rsid w:val="00CD5A3A"/>
    <w:rsid w:val="00CD7E47"/>
    <w:rsid w:val="00CE001D"/>
    <w:rsid w:val="00CE00B5"/>
    <w:rsid w:val="00CE0B42"/>
    <w:rsid w:val="00CE0F69"/>
    <w:rsid w:val="00CE122D"/>
    <w:rsid w:val="00CE13B7"/>
    <w:rsid w:val="00CE44D3"/>
    <w:rsid w:val="00CE5980"/>
    <w:rsid w:val="00CE5B03"/>
    <w:rsid w:val="00CE5F6B"/>
    <w:rsid w:val="00CE6F33"/>
    <w:rsid w:val="00CE7AE2"/>
    <w:rsid w:val="00CE7E00"/>
    <w:rsid w:val="00CF51BF"/>
    <w:rsid w:val="00CF5DC6"/>
    <w:rsid w:val="00CF7791"/>
    <w:rsid w:val="00D00949"/>
    <w:rsid w:val="00D00C32"/>
    <w:rsid w:val="00D01319"/>
    <w:rsid w:val="00D013CF"/>
    <w:rsid w:val="00D01403"/>
    <w:rsid w:val="00D0236F"/>
    <w:rsid w:val="00D03206"/>
    <w:rsid w:val="00D03C86"/>
    <w:rsid w:val="00D04440"/>
    <w:rsid w:val="00D04FD5"/>
    <w:rsid w:val="00D052BF"/>
    <w:rsid w:val="00D05A45"/>
    <w:rsid w:val="00D05BC4"/>
    <w:rsid w:val="00D06755"/>
    <w:rsid w:val="00D06ABA"/>
    <w:rsid w:val="00D0763C"/>
    <w:rsid w:val="00D10471"/>
    <w:rsid w:val="00D11268"/>
    <w:rsid w:val="00D11B22"/>
    <w:rsid w:val="00D12373"/>
    <w:rsid w:val="00D1360C"/>
    <w:rsid w:val="00D13A6E"/>
    <w:rsid w:val="00D140A1"/>
    <w:rsid w:val="00D1413F"/>
    <w:rsid w:val="00D1447D"/>
    <w:rsid w:val="00D149EE"/>
    <w:rsid w:val="00D16CBF"/>
    <w:rsid w:val="00D17CD9"/>
    <w:rsid w:val="00D2075C"/>
    <w:rsid w:val="00D22374"/>
    <w:rsid w:val="00D22742"/>
    <w:rsid w:val="00D228FE"/>
    <w:rsid w:val="00D257F1"/>
    <w:rsid w:val="00D268F8"/>
    <w:rsid w:val="00D2701E"/>
    <w:rsid w:val="00D27043"/>
    <w:rsid w:val="00D270B7"/>
    <w:rsid w:val="00D27FF5"/>
    <w:rsid w:val="00D30D7D"/>
    <w:rsid w:val="00D30DC7"/>
    <w:rsid w:val="00D3108A"/>
    <w:rsid w:val="00D312A7"/>
    <w:rsid w:val="00D334D5"/>
    <w:rsid w:val="00D34F16"/>
    <w:rsid w:val="00D354D8"/>
    <w:rsid w:val="00D366DD"/>
    <w:rsid w:val="00D36D08"/>
    <w:rsid w:val="00D405F7"/>
    <w:rsid w:val="00D40BE3"/>
    <w:rsid w:val="00D411E6"/>
    <w:rsid w:val="00D417CF"/>
    <w:rsid w:val="00D41A6C"/>
    <w:rsid w:val="00D43A1E"/>
    <w:rsid w:val="00D43A67"/>
    <w:rsid w:val="00D447E4"/>
    <w:rsid w:val="00D44C22"/>
    <w:rsid w:val="00D46088"/>
    <w:rsid w:val="00D46124"/>
    <w:rsid w:val="00D464DF"/>
    <w:rsid w:val="00D46CC0"/>
    <w:rsid w:val="00D51BFD"/>
    <w:rsid w:val="00D51FFC"/>
    <w:rsid w:val="00D53248"/>
    <w:rsid w:val="00D54B55"/>
    <w:rsid w:val="00D561D6"/>
    <w:rsid w:val="00D56DEC"/>
    <w:rsid w:val="00D5784A"/>
    <w:rsid w:val="00D57881"/>
    <w:rsid w:val="00D621BB"/>
    <w:rsid w:val="00D62CD0"/>
    <w:rsid w:val="00D632C6"/>
    <w:rsid w:val="00D648ED"/>
    <w:rsid w:val="00D66957"/>
    <w:rsid w:val="00D6695C"/>
    <w:rsid w:val="00D67807"/>
    <w:rsid w:val="00D70DB7"/>
    <w:rsid w:val="00D7112B"/>
    <w:rsid w:val="00D72A55"/>
    <w:rsid w:val="00D72CF3"/>
    <w:rsid w:val="00D72DAE"/>
    <w:rsid w:val="00D73FC6"/>
    <w:rsid w:val="00D7437B"/>
    <w:rsid w:val="00D75315"/>
    <w:rsid w:val="00D755D6"/>
    <w:rsid w:val="00D756E5"/>
    <w:rsid w:val="00D76E92"/>
    <w:rsid w:val="00D81280"/>
    <w:rsid w:val="00D82A21"/>
    <w:rsid w:val="00D84714"/>
    <w:rsid w:val="00D84748"/>
    <w:rsid w:val="00D84EEA"/>
    <w:rsid w:val="00D85163"/>
    <w:rsid w:val="00D8524D"/>
    <w:rsid w:val="00D86182"/>
    <w:rsid w:val="00D8624D"/>
    <w:rsid w:val="00D864C4"/>
    <w:rsid w:val="00D8690C"/>
    <w:rsid w:val="00D871B5"/>
    <w:rsid w:val="00D90EB6"/>
    <w:rsid w:val="00D9246E"/>
    <w:rsid w:val="00D944B0"/>
    <w:rsid w:val="00D94678"/>
    <w:rsid w:val="00D9516B"/>
    <w:rsid w:val="00D95528"/>
    <w:rsid w:val="00D95618"/>
    <w:rsid w:val="00D96591"/>
    <w:rsid w:val="00D976F6"/>
    <w:rsid w:val="00D977B7"/>
    <w:rsid w:val="00D97D4B"/>
    <w:rsid w:val="00DA08DC"/>
    <w:rsid w:val="00DA0C4B"/>
    <w:rsid w:val="00DA23A3"/>
    <w:rsid w:val="00DA2431"/>
    <w:rsid w:val="00DA36F2"/>
    <w:rsid w:val="00DA42AA"/>
    <w:rsid w:val="00DA466D"/>
    <w:rsid w:val="00DA789C"/>
    <w:rsid w:val="00DB035D"/>
    <w:rsid w:val="00DB0501"/>
    <w:rsid w:val="00DB1587"/>
    <w:rsid w:val="00DB17BB"/>
    <w:rsid w:val="00DB25DD"/>
    <w:rsid w:val="00DB2B58"/>
    <w:rsid w:val="00DB3CAE"/>
    <w:rsid w:val="00DB403F"/>
    <w:rsid w:val="00DB4302"/>
    <w:rsid w:val="00DB4991"/>
    <w:rsid w:val="00DB4E9D"/>
    <w:rsid w:val="00DB73E9"/>
    <w:rsid w:val="00DB7505"/>
    <w:rsid w:val="00DB7B5C"/>
    <w:rsid w:val="00DC1A45"/>
    <w:rsid w:val="00DC39DD"/>
    <w:rsid w:val="00DC3F6F"/>
    <w:rsid w:val="00DC6923"/>
    <w:rsid w:val="00DC7056"/>
    <w:rsid w:val="00DC748F"/>
    <w:rsid w:val="00DC7A44"/>
    <w:rsid w:val="00DC7FBB"/>
    <w:rsid w:val="00DD08A9"/>
    <w:rsid w:val="00DD0FDA"/>
    <w:rsid w:val="00DD12C0"/>
    <w:rsid w:val="00DD1999"/>
    <w:rsid w:val="00DD3181"/>
    <w:rsid w:val="00DD5924"/>
    <w:rsid w:val="00DD6513"/>
    <w:rsid w:val="00DE0195"/>
    <w:rsid w:val="00DE0237"/>
    <w:rsid w:val="00DE63F2"/>
    <w:rsid w:val="00DE6592"/>
    <w:rsid w:val="00DE7572"/>
    <w:rsid w:val="00DF10ED"/>
    <w:rsid w:val="00DF1354"/>
    <w:rsid w:val="00DF177E"/>
    <w:rsid w:val="00DF34BC"/>
    <w:rsid w:val="00DF42C4"/>
    <w:rsid w:val="00DF4685"/>
    <w:rsid w:val="00DF4E60"/>
    <w:rsid w:val="00DF4F6A"/>
    <w:rsid w:val="00DF557C"/>
    <w:rsid w:val="00DF66AC"/>
    <w:rsid w:val="00DF69D5"/>
    <w:rsid w:val="00E00A5D"/>
    <w:rsid w:val="00E01369"/>
    <w:rsid w:val="00E018FC"/>
    <w:rsid w:val="00E02AF9"/>
    <w:rsid w:val="00E02E12"/>
    <w:rsid w:val="00E040AF"/>
    <w:rsid w:val="00E04264"/>
    <w:rsid w:val="00E04697"/>
    <w:rsid w:val="00E06AF1"/>
    <w:rsid w:val="00E10E36"/>
    <w:rsid w:val="00E10EC6"/>
    <w:rsid w:val="00E11395"/>
    <w:rsid w:val="00E11BA0"/>
    <w:rsid w:val="00E1273A"/>
    <w:rsid w:val="00E139C6"/>
    <w:rsid w:val="00E13EDA"/>
    <w:rsid w:val="00E1402E"/>
    <w:rsid w:val="00E15DF7"/>
    <w:rsid w:val="00E16E03"/>
    <w:rsid w:val="00E17943"/>
    <w:rsid w:val="00E179E8"/>
    <w:rsid w:val="00E17AB3"/>
    <w:rsid w:val="00E21560"/>
    <w:rsid w:val="00E22ED2"/>
    <w:rsid w:val="00E25B07"/>
    <w:rsid w:val="00E315F2"/>
    <w:rsid w:val="00E31817"/>
    <w:rsid w:val="00E32217"/>
    <w:rsid w:val="00E32FF6"/>
    <w:rsid w:val="00E332F6"/>
    <w:rsid w:val="00E333BA"/>
    <w:rsid w:val="00E33BB6"/>
    <w:rsid w:val="00E33C74"/>
    <w:rsid w:val="00E35CA3"/>
    <w:rsid w:val="00E35CEA"/>
    <w:rsid w:val="00E37350"/>
    <w:rsid w:val="00E373BA"/>
    <w:rsid w:val="00E37EA0"/>
    <w:rsid w:val="00E4099E"/>
    <w:rsid w:val="00E43229"/>
    <w:rsid w:val="00E435E2"/>
    <w:rsid w:val="00E44AED"/>
    <w:rsid w:val="00E45015"/>
    <w:rsid w:val="00E45728"/>
    <w:rsid w:val="00E45CB0"/>
    <w:rsid w:val="00E46C62"/>
    <w:rsid w:val="00E50951"/>
    <w:rsid w:val="00E50C70"/>
    <w:rsid w:val="00E50DD3"/>
    <w:rsid w:val="00E50DE1"/>
    <w:rsid w:val="00E51090"/>
    <w:rsid w:val="00E5283E"/>
    <w:rsid w:val="00E52D9B"/>
    <w:rsid w:val="00E555F2"/>
    <w:rsid w:val="00E5716E"/>
    <w:rsid w:val="00E57453"/>
    <w:rsid w:val="00E576FA"/>
    <w:rsid w:val="00E60118"/>
    <w:rsid w:val="00E618C7"/>
    <w:rsid w:val="00E621A1"/>
    <w:rsid w:val="00E63397"/>
    <w:rsid w:val="00E67E13"/>
    <w:rsid w:val="00E70E05"/>
    <w:rsid w:val="00E71452"/>
    <w:rsid w:val="00E7174A"/>
    <w:rsid w:val="00E71883"/>
    <w:rsid w:val="00E71EF3"/>
    <w:rsid w:val="00E72AA7"/>
    <w:rsid w:val="00E73190"/>
    <w:rsid w:val="00E75122"/>
    <w:rsid w:val="00E7536F"/>
    <w:rsid w:val="00E754F0"/>
    <w:rsid w:val="00E7682D"/>
    <w:rsid w:val="00E76AB0"/>
    <w:rsid w:val="00E77A11"/>
    <w:rsid w:val="00E77B13"/>
    <w:rsid w:val="00E80533"/>
    <w:rsid w:val="00E8084F"/>
    <w:rsid w:val="00E81310"/>
    <w:rsid w:val="00E818A0"/>
    <w:rsid w:val="00E83685"/>
    <w:rsid w:val="00E83C03"/>
    <w:rsid w:val="00E8487A"/>
    <w:rsid w:val="00E84F61"/>
    <w:rsid w:val="00E85382"/>
    <w:rsid w:val="00E86411"/>
    <w:rsid w:val="00E874DB"/>
    <w:rsid w:val="00E90B72"/>
    <w:rsid w:val="00E91C79"/>
    <w:rsid w:val="00E92630"/>
    <w:rsid w:val="00E92912"/>
    <w:rsid w:val="00E92F60"/>
    <w:rsid w:val="00E9441D"/>
    <w:rsid w:val="00E96292"/>
    <w:rsid w:val="00E96399"/>
    <w:rsid w:val="00E96BE7"/>
    <w:rsid w:val="00E97F42"/>
    <w:rsid w:val="00EA15F9"/>
    <w:rsid w:val="00EA164F"/>
    <w:rsid w:val="00EA334B"/>
    <w:rsid w:val="00EA33B3"/>
    <w:rsid w:val="00EA3858"/>
    <w:rsid w:val="00EA3872"/>
    <w:rsid w:val="00EA4FE4"/>
    <w:rsid w:val="00EA7501"/>
    <w:rsid w:val="00EA7944"/>
    <w:rsid w:val="00EB0029"/>
    <w:rsid w:val="00EB0074"/>
    <w:rsid w:val="00EB0351"/>
    <w:rsid w:val="00EB0FF9"/>
    <w:rsid w:val="00EB10D0"/>
    <w:rsid w:val="00EB1A06"/>
    <w:rsid w:val="00EB258C"/>
    <w:rsid w:val="00EB25E7"/>
    <w:rsid w:val="00EB2751"/>
    <w:rsid w:val="00EB35D6"/>
    <w:rsid w:val="00EB3800"/>
    <w:rsid w:val="00EB47C5"/>
    <w:rsid w:val="00EB51C5"/>
    <w:rsid w:val="00EB5922"/>
    <w:rsid w:val="00EB675B"/>
    <w:rsid w:val="00EB7A4A"/>
    <w:rsid w:val="00EC046F"/>
    <w:rsid w:val="00EC07EA"/>
    <w:rsid w:val="00EC1243"/>
    <w:rsid w:val="00EC2992"/>
    <w:rsid w:val="00EC34C6"/>
    <w:rsid w:val="00EC561A"/>
    <w:rsid w:val="00EC6953"/>
    <w:rsid w:val="00ED11A3"/>
    <w:rsid w:val="00ED3A41"/>
    <w:rsid w:val="00ED4484"/>
    <w:rsid w:val="00ED49D4"/>
    <w:rsid w:val="00ED4AC4"/>
    <w:rsid w:val="00ED7869"/>
    <w:rsid w:val="00EE0281"/>
    <w:rsid w:val="00EE0CAE"/>
    <w:rsid w:val="00EE2018"/>
    <w:rsid w:val="00EE3383"/>
    <w:rsid w:val="00EE3774"/>
    <w:rsid w:val="00EE396F"/>
    <w:rsid w:val="00EE4EB7"/>
    <w:rsid w:val="00EE5179"/>
    <w:rsid w:val="00EE786C"/>
    <w:rsid w:val="00EE78A2"/>
    <w:rsid w:val="00EF1734"/>
    <w:rsid w:val="00EF1905"/>
    <w:rsid w:val="00EF1F61"/>
    <w:rsid w:val="00EF47BF"/>
    <w:rsid w:val="00EF5626"/>
    <w:rsid w:val="00EF5E49"/>
    <w:rsid w:val="00EF5EAC"/>
    <w:rsid w:val="00F0066B"/>
    <w:rsid w:val="00F01E83"/>
    <w:rsid w:val="00F028CD"/>
    <w:rsid w:val="00F02E3C"/>
    <w:rsid w:val="00F0746D"/>
    <w:rsid w:val="00F07EED"/>
    <w:rsid w:val="00F10023"/>
    <w:rsid w:val="00F11652"/>
    <w:rsid w:val="00F11F0B"/>
    <w:rsid w:val="00F12445"/>
    <w:rsid w:val="00F15594"/>
    <w:rsid w:val="00F174DE"/>
    <w:rsid w:val="00F178A3"/>
    <w:rsid w:val="00F17D8B"/>
    <w:rsid w:val="00F206C1"/>
    <w:rsid w:val="00F21188"/>
    <w:rsid w:val="00F218E7"/>
    <w:rsid w:val="00F2209B"/>
    <w:rsid w:val="00F22C38"/>
    <w:rsid w:val="00F24F14"/>
    <w:rsid w:val="00F253A5"/>
    <w:rsid w:val="00F26805"/>
    <w:rsid w:val="00F26B7F"/>
    <w:rsid w:val="00F27328"/>
    <w:rsid w:val="00F310D3"/>
    <w:rsid w:val="00F329BA"/>
    <w:rsid w:val="00F34413"/>
    <w:rsid w:val="00F34975"/>
    <w:rsid w:val="00F34DC8"/>
    <w:rsid w:val="00F37AB8"/>
    <w:rsid w:val="00F40469"/>
    <w:rsid w:val="00F405BC"/>
    <w:rsid w:val="00F42CF6"/>
    <w:rsid w:val="00F436AF"/>
    <w:rsid w:val="00F44088"/>
    <w:rsid w:val="00F44C63"/>
    <w:rsid w:val="00F45037"/>
    <w:rsid w:val="00F452B0"/>
    <w:rsid w:val="00F46B25"/>
    <w:rsid w:val="00F46D46"/>
    <w:rsid w:val="00F478D7"/>
    <w:rsid w:val="00F47BE8"/>
    <w:rsid w:val="00F50A26"/>
    <w:rsid w:val="00F524D4"/>
    <w:rsid w:val="00F54F75"/>
    <w:rsid w:val="00F55960"/>
    <w:rsid w:val="00F55E3C"/>
    <w:rsid w:val="00F56E16"/>
    <w:rsid w:val="00F576EF"/>
    <w:rsid w:val="00F6011D"/>
    <w:rsid w:val="00F60BA2"/>
    <w:rsid w:val="00F6299D"/>
    <w:rsid w:val="00F636B0"/>
    <w:rsid w:val="00F64942"/>
    <w:rsid w:val="00F64A62"/>
    <w:rsid w:val="00F66DE2"/>
    <w:rsid w:val="00F66FEC"/>
    <w:rsid w:val="00F67031"/>
    <w:rsid w:val="00F705E6"/>
    <w:rsid w:val="00F70FAB"/>
    <w:rsid w:val="00F71DF7"/>
    <w:rsid w:val="00F72092"/>
    <w:rsid w:val="00F726DB"/>
    <w:rsid w:val="00F7285A"/>
    <w:rsid w:val="00F72948"/>
    <w:rsid w:val="00F7332E"/>
    <w:rsid w:val="00F737E7"/>
    <w:rsid w:val="00F749BF"/>
    <w:rsid w:val="00F76676"/>
    <w:rsid w:val="00F7690A"/>
    <w:rsid w:val="00F76E0D"/>
    <w:rsid w:val="00F80382"/>
    <w:rsid w:val="00F81353"/>
    <w:rsid w:val="00F822C5"/>
    <w:rsid w:val="00F82491"/>
    <w:rsid w:val="00F82656"/>
    <w:rsid w:val="00F82C84"/>
    <w:rsid w:val="00F82F7A"/>
    <w:rsid w:val="00F836B0"/>
    <w:rsid w:val="00F8486D"/>
    <w:rsid w:val="00F848D0"/>
    <w:rsid w:val="00F84951"/>
    <w:rsid w:val="00F8507B"/>
    <w:rsid w:val="00F86641"/>
    <w:rsid w:val="00F87D24"/>
    <w:rsid w:val="00F9107F"/>
    <w:rsid w:val="00F929A8"/>
    <w:rsid w:val="00F967F5"/>
    <w:rsid w:val="00F96806"/>
    <w:rsid w:val="00F97091"/>
    <w:rsid w:val="00FA07A6"/>
    <w:rsid w:val="00FA23B0"/>
    <w:rsid w:val="00FA35BB"/>
    <w:rsid w:val="00FA4038"/>
    <w:rsid w:val="00FA40BB"/>
    <w:rsid w:val="00FA5016"/>
    <w:rsid w:val="00FA5F65"/>
    <w:rsid w:val="00FA6919"/>
    <w:rsid w:val="00FB0A36"/>
    <w:rsid w:val="00FB0D06"/>
    <w:rsid w:val="00FB110D"/>
    <w:rsid w:val="00FB1804"/>
    <w:rsid w:val="00FB3599"/>
    <w:rsid w:val="00FB392B"/>
    <w:rsid w:val="00FB397E"/>
    <w:rsid w:val="00FB3C09"/>
    <w:rsid w:val="00FB3D00"/>
    <w:rsid w:val="00FB5328"/>
    <w:rsid w:val="00FB5A1E"/>
    <w:rsid w:val="00FB7E41"/>
    <w:rsid w:val="00FB7F32"/>
    <w:rsid w:val="00FC15FE"/>
    <w:rsid w:val="00FC1D7B"/>
    <w:rsid w:val="00FC1F57"/>
    <w:rsid w:val="00FC466E"/>
    <w:rsid w:val="00FC4F92"/>
    <w:rsid w:val="00FC5629"/>
    <w:rsid w:val="00FC6E24"/>
    <w:rsid w:val="00FC6FEC"/>
    <w:rsid w:val="00FC787F"/>
    <w:rsid w:val="00FD133D"/>
    <w:rsid w:val="00FD1694"/>
    <w:rsid w:val="00FD25C5"/>
    <w:rsid w:val="00FD2E22"/>
    <w:rsid w:val="00FD3AC0"/>
    <w:rsid w:val="00FD3F42"/>
    <w:rsid w:val="00FD444F"/>
    <w:rsid w:val="00FD5845"/>
    <w:rsid w:val="00FD5EEA"/>
    <w:rsid w:val="00FD7AAC"/>
    <w:rsid w:val="00FE1053"/>
    <w:rsid w:val="00FE1703"/>
    <w:rsid w:val="00FE1FC5"/>
    <w:rsid w:val="00FE1FE4"/>
    <w:rsid w:val="00FE27DE"/>
    <w:rsid w:val="00FE5BE0"/>
    <w:rsid w:val="00FE5EFE"/>
    <w:rsid w:val="00FE6F07"/>
    <w:rsid w:val="00FE7458"/>
    <w:rsid w:val="00FE7970"/>
    <w:rsid w:val="00FE7A50"/>
    <w:rsid w:val="00FF0436"/>
    <w:rsid w:val="00FF04A3"/>
    <w:rsid w:val="00FF0AC4"/>
    <w:rsid w:val="00FF0B1E"/>
    <w:rsid w:val="00FF18B6"/>
    <w:rsid w:val="00FF2052"/>
    <w:rsid w:val="00FF3B3B"/>
    <w:rsid w:val="00FF3B51"/>
    <w:rsid w:val="00FF4453"/>
    <w:rsid w:val="00FF47F8"/>
    <w:rsid w:val="00FF5822"/>
    <w:rsid w:val="00FF7836"/>
    <w:rsid w:val="00FF78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fill="f" fillcolor="white" stroke="f">
      <v:fill color="white" on="f"/>
      <v:stroke on="f"/>
    </o:shapedefaults>
    <o:shapelayout v:ext="edit">
      <o:idmap v:ext="edit" data="1"/>
    </o:shapelayout>
  </w:shapeDefaults>
  <w:decimalSymbol w:val="."/>
  <w:listSeparator w:val=","/>
  <w15:docId w15:val="{D26381ED-7456-4398-AFD0-F6CECF5AC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1C6"/>
    <w:pPr>
      <w:spacing w:after="160" w:line="259" w:lineRule="auto"/>
    </w:pPr>
    <w:rPr>
      <w:sz w:val="22"/>
      <w:szCs w:val="22"/>
      <w:lang w:eastAsia="en-US"/>
    </w:rPr>
  </w:style>
  <w:style w:type="paragraph" w:styleId="Ttulo1">
    <w:name w:val="heading 1"/>
    <w:basedOn w:val="Normal"/>
    <w:link w:val="Ttulo1Car"/>
    <w:uiPriority w:val="9"/>
    <w:qFormat/>
    <w:rsid w:val="00867A99"/>
    <w:pPr>
      <w:spacing w:before="100" w:beforeAutospacing="1" w:after="100" w:afterAutospacing="1" w:line="240" w:lineRule="auto"/>
      <w:outlineLvl w:val="0"/>
    </w:pPr>
    <w:rPr>
      <w:rFonts w:ascii="Times New Roman" w:eastAsia="Times New Roman" w:hAnsi="Times New Roman"/>
      <w:b/>
      <w:bCs/>
      <w:kern w:val="36"/>
      <w:sz w:val="48"/>
      <w:szCs w:val="48"/>
      <w:lang w:eastAsia="es-MX"/>
    </w:rPr>
  </w:style>
  <w:style w:type="paragraph" w:styleId="Ttulo2">
    <w:name w:val="heading 2"/>
    <w:basedOn w:val="Normal"/>
    <w:next w:val="Normal"/>
    <w:link w:val="Ttulo2Car"/>
    <w:uiPriority w:val="9"/>
    <w:qFormat/>
    <w:rsid w:val="00867A99"/>
    <w:pPr>
      <w:keepNext/>
      <w:keepLines/>
      <w:spacing w:before="40" w:after="0" w:line="276" w:lineRule="auto"/>
      <w:outlineLvl w:val="1"/>
    </w:pPr>
    <w:rPr>
      <w:rFonts w:ascii="Calibri Light" w:eastAsia="MS Gothic" w:hAnsi="Calibri Light"/>
      <w:color w:val="2E74B5"/>
      <w:sz w:val="26"/>
      <w:szCs w:val="26"/>
    </w:rPr>
  </w:style>
  <w:style w:type="paragraph" w:styleId="Ttulo4">
    <w:name w:val="heading 4"/>
    <w:basedOn w:val="Normal"/>
    <w:next w:val="Normal"/>
    <w:link w:val="Ttulo4Car"/>
    <w:uiPriority w:val="9"/>
    <w:qFormat/>
    <w:rsid w:val="00867A99"/>
    <w:pPr>
      <w:keepNext/>
      <w:keepLines/>
      <w:spacing w:before="40" w:after="0" w:line="276" w:lineRule="auto"/>
      <w:outlineLvl w:val="3"/>
    </w:pPr>
    <w:rPr>
      <w:rFonts w:ascii="Calibri Light" w:eastAsia="MS Gothic" w:hAnsi="Calibri Light"/>
      <w:i/>
      <w:iCs/>
      <w:color w:val="2E74B5"/>
    </w:rPr>
  </w:style>
  <w:style w:type="paragraph" w:styleId="Ttulo5">
    <w:name w:val="heading 5"/>
    <w:basedOn w:val="Normal"/>
    <w:next w:val="Normal"/>
    <w:link w:val="Ttulo5Car"/>
    <w:uiPriority w:val="9"/>
    <w:qFormat/>
    <w:rsid w:val="007C78F4"/>
    <w:pPr>
      <w:keepNext/>
      <w:keepLines/>
      <w:spacing w:before="40" w:after="0" w:line="276" w:lineRule="auto"/>
      <w:outlineLvl w:val="4"/>
    </w:pPr>
    <w:rPr>
      <w:rFonts w:ascii="Calibri Light" w:eastAsia="MS Gothic" w:hAnsi="Calibri Light"/>
      <w:color w:val="2E74B5"/>
    </w:rPr>
  </w:style>
  <w:style w:type="paragraph" w:styleId="Ttulo6">
    <w:name w:val="heading 6"/>
    <w:basedOn w:val="Normal"/>
    <w:next w:val="Normal"/>
    <w:link w:val="Ttulo6Car"/>
    <w:uiPriority w:val="9"/>
    <w:qFormat/>
    <w:rsid w:val="00867A99"/>
    <w:pPr>
      <w:keepNext/>
      <w:keepLines/>
      <w:spacing w:before="40" w:after="0" w:line="276" w:lineRule="auto"/>
      <w:outlineLvl w:val="5"/>
    </w:pPr>
    <w:rPr>
      <w:rFonts w:ascii="Calibri Light" w:eastAsia="MS Gothic" w:hAnsi="Calibri Light"/>
      <w:color w:val="1F4D78"/>
    </w:rPr>
  </w:style>
  <w:style w:type="paragraph" w:styleId="Ttulo7">
    <w:name w:val="heading 7"/>
    <w:basedOn w:val="Normal"/>
    <w:next w:val="Normal"/>
    <w:link w:val="Ttulo7Car"/>
    <w:uiPriority w:val="9"/>
    <w:qFormat/>
    <w:rsid w:val="007C78F4"/>
    <w:pPr>
      <w:keepNext/>
      <w:keepLines/>
      <w:spacing w:before="40" w:after="0" w:line="276" w:lineRule="auto"/>
      <w:outlineLvl w:val="6"/>
    </w:pPr>
    <w:rPr>
      <w:rFonts w:ascii="Calibri Light" w:eastAsia="MS Gothic" w:hAnsi="Calibri Light"/>
      <w:i/>
      <w:iCs/>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867A99"/>
    <w:rPr>
      <w:rFonts w:ascii="Times New Roman" w:eastAsia="Times New Roman" w:hAnsi="Times New Roman" w:cs="Times New Roman"/>
      <w:b/>
      <w:bCs/>
      <w:kern w:val="36"/>
      <w:sz w:val="48"/>
      <w:szCs w:val="48"/>
      <w:lang w:eastAsia="es-MX"/>
    </w:rPr>
  </w:style>
  <w:style w:type="character" w:customStyle="1" w:styleId="Ttulo2Car">
    <w:name w:val="Título 2 Car"/>
    <w:link w:val="Ttulo2"/>
    <w:uiPriority w:val="9"/>
    <w:rsid w:val="00867A99"/>
    <w:rPr>
      <w:rFonts w:ascii="Calibri Light" w:eastAsia="MS Gothic" w:hAnsi="Calibri Light" w:cs="Times New Roman"/>
      <w:color w:val="2E74B5"/>
      <w:sz w:val="26"/>
      <w:szCs w:val="26"/>
    </w:rPr>
  </w:style>
  <w:style w:type="character" w:customStyle="1" w:styleId="Ttulo4Car">
    <w:name w:val="Título 4 Car"/>
    <w:link w:val="Ttulo4"/>
    <w:uiPriority w:val="9"/>
    <w:rsid w:val="00867A99"/>
    <w:rPr>
      <w:rFonts w:ascii="Calibri Light" w:eastAsia="MS Gothic" w:hAnsi="Calibri Light" w:cs="Times New Roman"/>
      <w:i/>
      <w:iCs/>
      <w:color w:val="2E74B5"/>
    </w:rPr>
  </w:style>
  <w:style w:type="character" w:customStyle="1" w:styleId="Ttulo5Car">
    <w:name w:val="Título 5 Car"/>
    <w:link w:val="Ttulo5"/>
    <w:uiPriority w:val="9"/>
    <w:rsid w:val="00867A99"/>
    <w:rPr>
      <w:rFonts w:ascii="Calibri Light" w:eastAsia="MS Gothic" w:hAnsi="Calibri Light"/>
      <w:color w:val="2E74B5"/>
      <w:sz w:val="22"/>
      <w:szCs w:val="22"/>
      <w:lang w:eastAsia="en-US"/>
    </w:rPr>
  </w:style>
  <w:style w:type="character" w:customStyle="1" w:styleId="Ttulo6Car">
    <w:name w:val="Título 6 Car"/>
    <w:link w:val="Ttulo6"/>
    <w:uiPriority w:val="9"/>
    <w:rsid w:val="00867A99"/>
    <w:rPr>
      <w:rFonts w:ascii="Calibri Light" w:eastAsia="MS Gothic" w:hAnsi="Calibri Light" w:cs="Times New Roman"/>
      <w:color w:val="1F4D78"/>
    </w:rPr>
  </w:style>
  <w:style w:type="character" w:customStyle="1" w:styleId="Ttulo7Car">
    <w:name w:val="Título 7 Car"/>
    <w:link w:val="Ttulo7"/>
    <w:uiPriority w:val="9"/>
    <w:rsid w:val="00867A99"/>
    <w:rPr>
      <w:rFonts w:ascii="Calibri Light" w:eastAsia="MS Gothic" w:hAnsi="Calibri Light"/>
      <w:i/>
      <w:iCs/>
      <w:color w:val="1F4D78"/>
      <w:sz w:val="22"/>
      <w:szCs w:val="22"/>
      <w:lang w:eastAsia="en-US"/>
    </w:rPr>
  </w:style>
  <w:style w:type="paragraph" w:styleId="Encabezado">
    <w:name w:val="header"/>
    <w:basedOn w:val="Normal"/>
    <w:link w:val="EncabezadoCar"/>
    <w:unhideWhenUsed/>
    <w:rsid w:val="00867A99"/>
    <w:pPr>
      <w:tabs>
        <w:tab w:val="center" w:pos="4419"/>
        <w:tab w:val="right" w:pos="8838"/>
      </w:tabs>
      <w:spacing w:after="0" w:line="240" w:lineRule="auto"/>
    </w:pPr>
  </w:style>
  <w:style w:type="character" w:customStyle="1" w:styleId="EncabezadoCar">
    <w:name w:val="Encabezado Car"/>
    <w:link w:val="Encabezado"/>
    <w:rsid w:val="00867A99"/>
    <w:rPr>
      <w:rFonts w:ascii="Calibri" w:eastAsia="Calibri" w:hAnsi="Calibri" w:cs="Times New Roman"/>
    </w:rPr>
  </w:style>
  <w:style w:type="paragraph" w:styleId="Piedepgina">
    <w:name w:val="footer"/>
    <w:basedOn w:val="Normal"/>
    <w:link w:val="PiedepginaCar"/>
    <w:uiPriority w:val="99"/>
    <w:unhideWhenUsed/>
    <w:rsid w:val="00867A99"/>
    <w:pPr>
      <w:tabs>
        <w:tab w:val="center" w:pos="4419"/>
        <w:tab w:val="right" w:pos="8838"/>
      </w:tabs>
      <w:spacing w:after="0" w:line="240" w:lineRule="auto"/>
    </w:pPr>
  </w:style>
  <w:style w:type="character" w:customStyle="1" w:styleId="PiedepginaCar">
    <w:name w:val="Pie de página Car"/>
    <w:link w:val="Piedepgina"/>
    <w:uiPriority w:val="99"/>
    <w:rsid w:val="00867A99"/>
    <w:rPr>
      <w:rFonts w:ascii="Calibri" w:eastAsia="Calibri" w:hAnsi="Calibri" w:cs="Times New Roman"/>
    </w:rPr>
  </w:style>
  <w:style w:type="paragraph" w:customStyle="1" w:styleId="estilo30">
    <w:name w:val="estilo30"/>
    <w:basedOn w:val="Normal"/>
    <w:uiPriority w:val="99"/>
    <w:rsid w:val="00867A99"/>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semiHidden/>
    <w:unhideWhenUsed/>
    <w:rsid w:val="00867A9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uiPriority w:val="99"/>
    <w:rsid w:val="00867A99"/>
    <w:pPr>
      <w:autoSpaceDE w:val="0"/>
      <w:autoSpaceDN w:val="0"/>
      <w:adjustRightInd w:val="0"/>
    </w:pPr>
    <w:rPr>
      <w:rFonts w:ascii="Tahoma" w:hAnsi="Tahoma" w:cs="Tahoma"/>
      <w:color w:val="000000"/>
      <w:sz w:val="24"/>
      <w:szCs w:val="24"/>
    </w:rPr>
  </w:style>
  <w:style w:type="paragraph" w:styleId="Textodeglobo">
    <w:name w:val="Balloon Text"/>
    <w:basedOn w:val="Normal"/>
    <w:link w:val="TextodegloboCar"/>
    <w:uiPriority w:val="99"/>
    <w:semiHidden/>
    <w:unhideWhenUsed/>
    <w:rsid w:val="00867A9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867A99"/>
    <w:rPr>
      <w:rFonts w:ascii="Segoe UI" w:eastAsia="Calibri" w:hAnsi="Segoe UI" w:cs="Segoe UI"/>
      <w:sz w:val="18"/>
      <w:szCs w:val="18"/>
    </w:rPr>
  </w:style>
  <w:style w:type="numbering" w:customStyle="1" w:styleId="Sinlista1">
    <w:name w:val="Sin lista1"/>
    <w:next w:val="Sinlista"/>
    <w:uiPriority w:val="99"/>
    <w:semiHidden/>
    <w:unhideWhenUsed/>
    <w:rsid w:val="00867A99"/>
  </w:style>
  <w:style w:type="paragraph" w:customStyle="1" w:styleId="Listavistosa-nfasis11">
    <w:name w:val="Lista vistosa - Énfasis 11"/>
    <w:basedOn w:val="Normal"/>
    <w:link w:val="Listavistosa-nfasis1Car"/>
    <w:uiPriority w:val="34"/>
    <w:qFormat/>
    <w:rsid w:val="007C78F4"/>
    <w:pPr>
      <w:spacing w:after="200" w:line="276" w:lineRule="auto"/>
      <w:ind w:left="720"/>
      <w:contextualSpacing/>
    </w:pPr>
  </w:style>
  <w:style w:type="paragraph" w:styleId="Textoindependiente">
    <w:name w:val="Body Text"/>
    <w:basedOn w:val="Normal"/>
    <w:link w:val="TextoindependienteCar"/>
    <w:rsid w:val="007C78F4"/>
    <w:pPr>
      <w:spacing w:after="120" w:line="276" w:lineRule="auto"/>
    </w:pPr>
  </w:style>
  <w:style w:type="character" w:customStyle="1" w:styleId="TextoindependienteCar">
    <w:name w:val="Texto independiente Car"/>
    <w:link w:val="Textoindependiente"/>
    <w:rsid w:val="00867A99"/>
    <w:rPr>
      <w:sz w:val="22"/>
      <w:szCs w:val="22"/>
      <w:lang w:eastAsia="en-US"/>
    </w:rPr>
  </w:style>
  <w:style w:type="character" w:styleId="Refdecomentario">
    <w:name w:val="annotation reference"/>
    <w:uiPriority w:val="99"/>
    <w:semiHidden/>
    <w:unhideWhenUsed/>
    <w:rsid w:val="00867A99"/>
    <w:rPr>
      <w:sz w:val="16"/>
      <w:szCs w:val="16"/>
    </w:rPr>
  </w:style>
  <w:style w:type="paragraph" w:styleId="Textocomentario">
    <w:name w:val="annotation text"/>
    <w:basedOn w:val="Normal"/>
    <w:link w:val="TextocomentarioCar"/>
    <w:uiPriority w:val="99"/>
    <w:unhideWhenUsed/>
    <w:rsid w:val="007C78F4"/>
    <w:pPr>
      <w:spacing w:after="200" w:line="240" w:lineRule="auto"/>
    </w:pPr>
    <w:rPr>
      <w:sz w:val="20"/>
      <w:szCs w:val="20"/>
    </w:rPr>
  </w:style>
  <w:style w:type="character" w:customStyle="1" w:styleId="TextocomentarioCar">
    <w:name w:val="Texto comentario Car"/>
    <w:link w:val="Textocomentario"/>
    <w:uiPriority w:val="99"/>
    <w:rsid w:val="00867A99"/>
    <w:rPr>
      <w:lang w:eastAsia="en-US"/>
    </w:rPr>
  </w:style>
  <w:style w:type="paragraph" w:styleId="Asuntodelcomentario">
    <w:name w:val="annotation subject"/>
    <w:basedOn w:val="Textocomentario"/>
    <w:next w:val="Textocomentario"/>
    <w:link w:val="AsuntodelcomentarioCar"/>
    <w:uiPriority w:val="99"/>
    <w:semiHidden/>
    <w:unhideWhenUsed/>
    <w:rsid w:val="00867A99"/>
    <w:rPr>
      <w:b/>
      <w:bCs/>
    </w:rPr>
  </w:style>
  <w:style w:type="character" w:customStyle="1" w:styleId="AsuntodelcomentarioCar">
    <w:name w:val="Asunto del comentario Car"/>
    <w:link w:val="Asuntodelcomentario"/>
    <w:uiPriority w:val="99"/>
    <w:semiHidden/>
    <w:rsid w:val="00867A99"/>
    <w:rPr>
      <w:rFonts w:ascii="Calibri" w:eastAsia="Calibri" w:hAnsi="Calibri" w:cs="Times New Roman"/>
      <w:b/>
      <w:bCs/>
      <w:sz w:val="20"/>
      <w:szCs w:val="20"/>
    </w:rPr>
  </w:style>
  <w:style w:type="table" w:styleId="Tablaconcuadrcula">
    <w:name w:val="Table Grid"/>
    <w:basedOn w:val="Tablanormal"/>
    <w:uiPriority w:val="39"/>
    <w:rsid w:val="00867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867A99"/>
    <w:rPr>
      <w:b/>
      <w:bC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unhideWhenUsed/>
    <w:qFormat/>
    <w:rsid w:val="00867A99"/>
    <w:pPr>
      <w:spacing w:after="0" w:line="240" w:lineRule="auto"/>
    </w:pPr>
    <w:rPr>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link w:val="Textonotapie"/>
    <w:uiPriority w:val="99"/>
    <w:rsid w:val="00867A99"/>
    <w:rPr>
      <w:rFonts w:ascii="Calibri" w:eastAsia="Calibri" w:hAnsi="Calibri" w:cs="Times New Roman"/>
      <w:sz w:val="20"/>
      <w:szCs w:val="20"/>
    </w:rPr>
  </w:style>
  <w:style w:type="character" w:styleId="Refdenotaalpie">
    <w:name w:val="footnote reference"/>
    <w:aliases w:val="Ref,de nota al pie"/>
    <w:uiPriority w:val="99"/>
    <w:unhideWhenUsed/>
    <w:qFormat/>
    <w:rsid w:val="00867A99"/>
    <w:rPr>
      <w:vertAlign w:val="superscript"/>
    </w:rPr>
  </w:style>
  <w:style w:type="character" w:customStyle="1" w:styleId="apple-converted-space">
    <w:name w:val="apple-converted-space"/>
    <w:basedOn w:val="Fuentedeprrafopredeter"/>
    <w:rsid w:val="00867A99"/>
  </w:style>
  <w:style w:type="character" w:customStyle="1" w:styleId="estilo301">
    <w:name w:val="estilo301"/>
    <w:rsid w:val="00867A99"/>
    <w:rPr>
      <w:rFonts w:ascii="Verdana" w:hAnsi="Verdana"/>
      <w:sz w:val="20"/>
    </w:rPr>
  </w:style>
  <w:style w:type="paragraph" w:customStyle="1" w:styleId="texto">
    <w:name w:val="texto"/>
    <w:basedOn w:val="Normal"/>
    <w:rsid w:val="00867A99"/>
    <w:pPr>
      <w:spacing w:after="101" w:line="216" w:lineRule="atLeast"/>
      <w:ind w:firstLine="288"/>
      <w:jc w:val="both"/>
    </w:pPr>
    <w:rPr>
      <w:rFonts w:ascii="Arial" w:eastAsia="Times New Roman" w:hAnsi="Arial" w:cs="Arial"/>
      <w:sz w:val="18"/>
      <w:szCs w:val="20"/>
      <w:lang w:val="es-ES_tradnl" w:eastAsia="es-MX"/>
    </w:rPr>
  </w:style>
  <w:style w:type="paragraph" w:customStyle="1" w:styleId="ROMANOS">
    <w:name w:val="ROMANOS"/>
    <w:basedOn w:val="Normal"/>
    <w:rsid w:val="00867A99"/>
    <w:pPr>
      <w:tabs>
        <w:tab w:val="left" w:pos="720"/>
      </w:tabs>
      <w:spacing w:after="101" w:line="216" w:lineRule="atLeast"/>
      <w:ind w:left="720" w:hanging="432"/>
      <w:jc w:val="both"/>
    </w:pPr>
    <w:rPr>
      <w:rFonts w:ascii="Arial" w:eastAsia="Times New Roman" w:hAnsi="Arial" w:cs="Arial"/>
      <w:sz w:val="18"/>
      <w:szCs w:val="20"/>
      <w:lang w:val="es-ES_tradnl" w:eastAsia="es-MX"/>
    </w:rPr>
  </w:style>
  <w:style w:type="paragraph" w:customStyle="1" w:styleId="Predeterminado">
    <w:name w:val="Predeterminado"/>
    <w:rsid w:val="00867A99"/>
    <w:pPr>
      <w:widowControl w:val="0"/>
      <w:tabs>
        <w:tab w:val="left" w:pos="709"/>
      </w:tabs>
      <w:suppressAutoHyphens/>
      <w:spacing w:after="160" w:line="259" w:lineRule="auto"/>
    </w:pPr>
    <w:rPr>
      <w:rFonts w:ascii="Liberation Serif" w:eastAsia="WenQuanYi Micro Hei" w:hAnsi="Liberation Serif" w:cs="Lohit Hindi"/>
      <w:sz w:val="24"/>
      <w:szCs w:val="24"/>
      <w:lang w:eastAsia="zh-CN" w:bidi="hi-IN"/>
    </w:rPr>
  </w:style>
  <w:style w:type="paragraph" w:styleId="Textoindependiente2">
    <w:name w:val="Body Text 2"/>
    <w:basedOn w:val="Normal"/>
    <w:link w:val="Textoindependiente2Car"/>
    <w:uiPriority w:val="99"/>
    <w:semiHidden/>
    <w:unhideWhenUsed/>
    <w:rsid w:val="00867A99"/>
    <w:pPr>
      <w:spacing w:after="120" w:line="480" w:lineRule="auto"/>
    </w:pPr>
  </w:style>
  <w:style w:type="character" w:customStyle="1" w:styleId="Textoindependiente2Car">
    <w:name w:val="Texto independiente 2 Car"/>
    <w:link w:val="Textoindependiente2"/>
    <w:uiPriority w:val="99"/>
    <w:semiHidden/>
    <w:rsid w:val="00867A99"/>
    <w:rPr>
      <w:rFonts w:ascii="Calibri" w:eastAsia="Calibri" w:hAnsi="Calibri" w:cs="Times New Roman"/>
    </w:rPr>
  </w:style>
  <w:style w:type="paragraph" w:customStyle="1" w:styleId="Sombreadovistoso-nfasis11">
    <w:name w:val="Sombreado vistoso - Énfasis 11"/>
    <w:hidden/>
    <w:uiPriority w:val="99"/>
    <w:semiHidden/>
    <w:rsid w:val="00867A99"/>
    <w:rPr>
      <w:sz w:val="22"/>
      <w:szCs w:val="22"/>
      <w:lang w:eastAsia="en-US"/>
    </w:rPr>
  </w:style>
  <w:style w:type="paragraph" w:customStyle="1" w:styleId="Texto0">
    <w:name w:val="Texto"/>
    <w:basedOn w:val="Normal"/>
    <w:link w:val="TextoCar"/>
    <w:rsid w:val="00867A99"/>
    <w:pPr>
      <w:spacing w:after="101" w:line="216" w:lineRule="exact"/>
      <w:ind w:firstLine="288"/>
      <w:jc w:val="both"/>
    </w:pPr>
    <w:rPr>
      <w:rFonts w:ascii="Arial" w:eastAsia="Times New Roman" w:hAnsi="Arial"/>
      <w:sz w:val="18"/>
      <w:szCs w:val="18"/>
      <w:lang w:val="es-ES" w:eastAsia="es-ES"/>
    </w:rPr>
  </w:style>
  <w:style w:type="character" w:customStyle="1" w:styleId="TextoCar">
    <w:name w:val="Texto Car"/>
    <w:link w:val="Texto0"/>
    <w:rsid w:val="00867A99"/>
    <w:rPr>
      <w:rFonts w:ascii="Arial" w:eastAsia="Times New Roman" w:hAnsi="Arial" w:cs="Times New Roman"/>
      <w:sz w:val="18"/>
      <w:szCs w:val="18"/>
      <w:lang w:val="es-ES" w:eastAsia="es-ES"/>
    </w:rPr>
  </w:style>
  <w:style w:type="character" w:customStyle="1" w:styleId="Listavistosa-nfasis1Car">
    <w:name w:val="Lista vistosa - Énfasis 1 Car"/>
    <w:link w:val="Listavistosa-nfasis11"/>
    <w:uiPriority w:val="34"/>
    <w:rsid w:val="00867A99"/>
    <w:rPr>
      <w:sz w:val="22"/>
      <w:szCs w:val="22"/>
      <w:lang w:eastAsia="en-US"/>
    </w:rPr>
  </w:style>
  <w:style w:type="paragraph" w:customStyle="1" w:styleId="Estilo">
    <w:name w:val="Estilo"/>
    <w:basedOn w:val="Cuadrculamedia21"/>
    <w:link w:val="EstiloCar"/>
    <w:qFormat/>
    <w:rsid w:val="00867A99"/>
    <w:pPr>
      <w:jc w:val="both"/>
    </w:pPr>
    <w:rPr>
      <w:rFonts w:ascii="Arial" w:hAnsi="Arial"/>
      <w:sz w:val="24"/>
    </w:rPr>
  </w:style>
  <w:style w:type="character" w:customStyle="1" w:styleId="EstiloCar">
    <w:name w:val="Estilo Car"/>
    <w:link w:val="Estilo"/>
    <w:rsid w:val="00867A99"/>
    <w:rPr>
      <w:rFonts w:ascii="Arial" w:hAnsi="Arial"/>
      <w:sz w:val="24"/>
    </w:rPr>
  </w:style>
  <w:style w:type="paragraph" w:customStyle="1" w:styleId="Cuadrculamedia21">
    <w:name w:val="Cuadrícula media 21"/>
    <w:uiPriority w:val="1"/>
    <w:qFormat/>
    <w:rsid w:val="00867A99"/>
    <w:rPr>
      <w:sz w:val="22"/>
      <w:szCs w:val="22"/>
      <w:lang w:eastAsia="en-US"/>
    </w:rPr>
  </w:style>
  <w:style w:type="paragraph" w:styleId="Lista">
    <w:name w:val="List"/>
    <w:basedOn w:val="Normal"/>
    <w:uiPriority w:val="99"/>
    <w:unhideWhenUsed/>
    <w:rsid w:val="00867A99"/>
    <w:pPr>
      <w:spacing w:after="200" w:line="276" w:lineRule="auto"/>
      <w:ind w:left="283" w:hanging="283"/>
      <w:contextualSpacing/>
    </w:pPr>
  </w:style>
  <w:style w:type="paragraph" w:styleId="Lista2">
    <w:name w:val="List 2"/>
    <w:basedOn w:val="Normal"/>
    <w:uiPriority w:val="99"/>
    <w:unhideWhenUsed/>
    <w:rsid w:val="00867A99"/>
    <w:pPr>
      <w:spacing w:after="200" w:line="276" w:lineRule="auto"/>
      <w:ind w:left="566" w:hanging="283"/>
      <w:contextualSpacing/>
    </w:pPr>
  </w:style>
  <w:style w:type="paragraph" w:styleId="Lista3">
    <w:name w:val="List 3"/>
    <w:basedOn w:val="Normal"/>
    <w:uiPriority w:val="99"/>
    <w:unhideWhenUsed/>
    <w:rsid w:val="00867A99"/>
    <w:pPr>
      <w:spacing w:after="200" w:line="276" w:lineRule="auto"/>
      <w:ind w:left="849" w:hanging="283"/>
      <w:contextualSpacing/>
    </w:pPr>
  </w:style>
  <w:style w:type="paragraph" w:styleId="Continuarlista2">
    <w:name w:val="List Continue 2"/>
    <w:basedOn w:val="Normal"/>
    <w:uiPriority w:val="99"/>
    <w:unhideWhenUsed/>
    <w:rsid w:val="00867A99"/>
    <w:pPr>
      <w:spacing w:after="120" w:line="276" w:lineRule="auto"/>
      <w:ind w:left="566"/>
      <w:contextualSpacing/>
    </w:pPr>
  </w:style>
  <w:style w:type="paragraph" w:styleId="Sangradetextonormal">
    <w:name w:val="Body Text Indent"/>
    <w:basedOn w:val="Normal"/>
    <w:link w:val="SangradetextonormalCar"/>
    <w:uiPriority w:val="99"/>
    <w:unhideWhenUsed/>
    <w:rsid w:val="007C78F4"/>
    <w:pPr>
      <w:spacing w:after="120" w:line="276" w:lineRule="auto"/>
      <w:ind w:left="283"/>
    </w:pPr>
  </w:style>
  <w:style w:type="character" w:customStyle="1" w:styleId="SangradetextonormalCar">
    <w:name w:val="Sangría de texto normal Car"/>
    <w:link w:val="Sangradetextonormal"/>
    <w:uiPriority w:val="99"/>
    <w:rsid w:val="00867A99"/>
    <w:rPr>
      <w:sz w:val="22"/>
      <w:szCs w:val="22"/>
      <w:lang w:eastAsia="en-US"/>
    </w:rPr>
  </w:style>
  <w:style w:type="paragraph" w:styleId="Textoindependienteprimerasangra2">
    <w:name w:val="Body Text First Indent 2"/>
    <w:basedOn w:val="Sangradetextonormal"/>
    <w:link w:val="Textoindependienteprimerasangra2Car"/>
    <w:uiPriority w:val="99"/>
    <w:unhideWhenUsed/>
    <w:rsid w:val="00867A99"/>
    <w:pPr>
      <w:spacing w:after="200"/>
      <w:ind w:left="360" w:firstLine="360"/>
    </w:pPr>
  </w:style>
  <w:style w:type="character" w:customStyle="1" w:styleId="Textoindependienteprimerasangra2Car">
    <w:name w:val="Texto independiente primera sangría 2 Car"/>
    <w:link w:val="Textoindependienteprimerasangra2"/>
    <w:uiPriority w:val="99"/>
    <w:rsid w:val="00867A99"/>
    <w:rPr>
      <w:rFonts w:ascii="Calibri" w:eastAsia="Calibri" w:hAnsi="Calibri" w:cs="Times New Roman"/>
    </w:rPr>
  </w:style>
  <w:style w:type="paragraph" w:styleId="Continuarlista">
    <w:name w:val="List Continue"/>
    <w:basedOn w:val="Normal"/>
    <w:uiPriority w:val="99"/>
    <w:unhideWhenUsed/>
    <w:rsid w:val="00867A99"/>
    <w:pPr>
      <w:spacing w:after="120" w:line="276" w:lineRule="auto"/>
      <w:ind w:left="283"/>
      <w:contextualSpacing/>
    </w:pPr>
  </w:style>
  <w:style w:type="character" w:customStyle="1" w:styleId="TextonotapieCar1">
    <w:name w:val="Texto nota pie Car1"/>
    <w:aliases w:val="Footnote Text Char1 Car1,Footnote Text Char Char1 Car1,Footnote Text Char4 Char Char Car1,Footnote Text Char1 Char1 Char1 Char Car1,Footnote Text Char Char1 Char1 Char Char Car1,Footnote Text Char1 Char1 Char1 Char Char Char1 Car1"/>
    <w:uiPriority w:val="99"/>
    <w:semiHidden/>
    <w:rsid w:val="004F3596"/>
    <w:rPr>
      <w:lang w:eastAsia="en-US"/>
    </w:rPr>
  </w:style>
  <w:style w:type="paragraph" w:styleId="Listaconnmeros">
    <w:name w:val="List Number"/>
    <w:basedOn w:val="Normal"/>
    <w:uiPriority w:val="99"/>
    <w:semiHidden/>
    <w:unhideWhenUsed/>
    <w:rsid w:val="004F3596"/>
    <w:pPr>
      <w:numPr>
        <w:numId w:val="1"/>
      </w:numPr>
      <w:spacing w:after="200" w:line="276" w:lineRule="auto"/>
      <w:contextualSpacing/>
    </w:pPr>
  </w:style>
  <w:style w:type="character" w:customStyle="1" w:styleId="TextoCarCar">
    <w:name w:val="Texto Car Car"/>
    <w:semiHidden/>
    <w:locked/>
    <w:rsid w:val="004F3596"/>
    <w:rPr>
      <w:rFonts w:ascii="Arial" w:eastAsia="Times New Roman" w:hAnsi="Arial" w:cs="Arial"/>
      <w:sz w:val="18"/>
    </w:rPr>
  </w:style>
  <w:style w:type="character" w:customStyle="1" w:styleId="corte4fondoCar">
    <w:name w:val="corte4 fondo Car"/>
    <w:link w:val="corte4fondo"/>
    <w:locked/>
    <w:rsid w:val="007C78F4"/>
    <w:rPr>
      <w:rFonts w:ascii="Arial" w:hAnsi="Arial" w:cs="Arial"/>
      <w:sz w:val="30"/>
      <w:szCs w:val="24"/>
    </w:rPr>
  </w:style>
  <w:style w:type="paragraph" w:customStyle="1" w:styleId="corte4fondo">
    <w:name w:val="corte4 fondo"/>
    <w:basedOn w:val="Normal"/>
    <w:link w:val="corte4fondoCar"/>
    <w:qFormat/>
    <w:rsid w:val="007C78F4"/>
    <w:pPr>
      <w:spacing w:after="0" w:line="360" w:lineRule="auto"/>
      <w:ind w:firstLine="709"/>
      <w:jc w:val="both"/>
    </w:pPr>
    <w:rPr>
      <w:rFonts w:ascii="Arial" w:hAnsi="Arial" w:cs="Arial"/>
      <w:sz w:val="30"/>
      <w:szCs w:val="24"/>
      <w:lang w:eastAsia="es-MX"/>
    </w:rPr>
  </w:style>
  <w:style w:type="table" w:customStyle="1" w:styleId="Tablaconcuadrcula1">
    <w:name w:val="Tabla con cuadrícula1"/>
    <w:basedOn w:val="Tablanormal"/>
    <w:next w:val="Tablaconcuadrcula"/>
    <w:uiPriority w:val="59"/>
    <w:rsid w:val="00F76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71DD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743506"/>
  </w:style>
  <w:style w:type="character" w:styleId="Hipervnculo">
    <w:name w:val="Hyperlink"/>
    <w:uiPriority w:val="99"/>
    <w:unhideWhenUsed/>
    <w:rsid w:val="00743506"/>
    <w:rPr>
      <w:color w:val="0000FF"/>
      <w:u w:val="single"/>
    </w:rPr>
  </w:style>
  <w:style w:type="paragraph" w:styleId="Revisin">
    <w:name w:val="Revision"/>
    <w:hidden/>
    <w:uiPriority w:val="99"/>
    <w:semiHidden/>
    <w:rsid w:val="0082120E"/>
    <w:rPr>
      <w:sz w:val="22"/>
      <w:szCs w:val="22"/>
      <w:lang w:eastAsia="en-US"/>
    </w:rPr>
  </w:style>
  <w:style w:type="paragraph" w:styleId="Prrafodelista">
    <w:name w:val="List Paragraph"/>
    <w:basedOn w:val="Normal"/>
    <w:link w:val="PrrafodelistaCar"/>
    <w:uiPriority w:val="34"/>
    <w:qFormat/>
    <w:rsid w:val="009703C0"/>
    <w:pPr>
      <w:spacing w:after="200" w:line="276" w:lineRule="auto"/>
      <w:ind w:left="720"/>
      <w:contextualSpacing/>
    </w:pPr>
  </w:style>
  <w:style w:type="character" w:customStyle="1" w:styleId="PrrafodelistaCar">
    <w:name w:val="Párrafo de lista Car"/>
    <w:link w:val="Prrafodelista"/>
    <w:uiPriority w:val="34"/>
    <w:locked/>
    <w:rsid w:val="009703C0"/>
    <w:rPr>
      <w:sz w:val="22"/>
      <w:szCs w:val="22"/>
      <w:lang w:eastAsia="en-US"/>
    </w:rPr>
  </w:style>
  <w:style w:type="paragraph" w:styleId="Sinespaciado">
    <w:name w:val="No Spacing"/>
    <w:uiPriority w:val="1"/>
    <w:qFormat/>
    <w:rsid w:val="0015668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078">
      <w:bodyDiv w:val="1"/>
      <w:marLeft w:val="0"/>
      <w:marRight w:val="0"/>
      <w:marTop w:val="0"/>
      <w:marBottom w:val="0"/>
      <w:divBdr>
        <w:top w:val="none" w:sz="0" w:space="0" w:color="auto"/>
        <w:left w:val="none" w:sz="0" w:space="0" w:color="auto"/>
        <w:bottom w:val="none" w:sz="0" w:space="0" w:color="auto"/>
        <w:right w:val="none" w:sz="0" w:space="0" w:color="auto"/>
      </w:divBdr>
    </w:div>
    <w:div w:id="16930909">
      <w:bodyDiv w:val="1"/>
      <w:marLeft w:val="0"/>
      <w:marRight w:val="0"/>
      <w:marTop w:val="0"/>
      <w:marBottom w:val="0"/>
      <w:divBdr>
        <w:top w:val="none" w:sz="0" w:space="0" w:color="auto"/>
        <w:left w:val="none" w:sz="0" w:space="0" w:color="auto"/>
        <w:bottom w:val="none" w:sz="0" w:space="0" w:color="auto"/>
        <w:right w:val="none" w:sz="0" w:space="0" w:color="auto"/>
      </w:divBdr>
    </w:div>
    <w:div w:id="20906740">
      <w:bodyDiv w:val="1"/>
      <w:marLeft w:val="0"/>
      <w:marRight w:val="0"/>
      <w:marTop w:val="0"/>
      <w:marBottom w:val="0"/>
      <w:divBdr>
        <w:top w:val="none" w:sz="0" w:space="0" w:color="auto"/>
        <w:left w:val="none" w:sz="0" w:space="0" w:color="auto"/>
        <w:bottom w:val="none" w:sz="0" w:space="0" w:color="auto"/>
        <w:right w:val="none" w:sz="0" w:space="0" w:color="auto"/>
      </w:divBdr>
    </w:div>
    <w:div w:id="45761079">
      <w:bodyDiv w:val="1"/>
      <w:marLeft w:val="0"/>
      <w:marRight w:val="0"/>
      <w:marTop w:val="0"/>
      <w:marBottom w:val="0"/>
      <w:divBdr>
        <w:top w:val="none" w:sz="0" w:space="0" w:color="auto"/>
        <w:left w:val="none" w:sz="0" w:space="0" w:color="auto"/>
        <w:bottom w:val="none" w:sz="0" w:space="0" w:color="auto"/>
        <w:right w:val="none" w:sz="0" w:space="0" w:color="auto"/>
      </w:divBdr>
    </w:div>
    <w:div w:id="60106639">
      <w:bodyDiv w:val="1"/>
      <w:marLeft w:val="0"/>
      <w:marRight w:val="0"/>
      <w:marTop w:val="0"/>
      <w:marBottom w:val="0"/>
      <w:divBdr>
        <w:top w:val="none" w:sz="0" w:space="0" w:color="auto"/>
        <w:left w:val="none" w:sz="0" w:space="0" w:color="auto"/>
        <w:bottom w:val="none" w:sz="0" w:space="0" w:color="auto"/>
        <w:right w:val="none" w:sz="0" w:space="0" w:color="auto"/>
      </w:divBdr>
      <w:divsChild>
        <w:div w:id="376198864">
          <w:marLeft w:val="0"/>
          <w:marRight w:val="0"/>
          <w:marTop w:val="0"/>
          <w:marBottom w:val="0"/>
          <w:divBdr>
            <w:top w:val="none" w:sz="0" w:space="0" w:color="auto"/>
            <w:left w:val="none" w:sz="0" w:space="0" w:color="auto"/>
            <w:bottom w:val="none" w:sz="0" w:space="0" w:color="auto"/>
            <w:right w:val="none" w:sz="0" w:space="0" w:color="auto"/>
          </w:divBdr>
          <w:divsChild>
            <w:div w:id="4328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9499">
      <w:bodyDiv w:val="1"/>
      <w:marLeft w:val="0"/>
      <w:marRight w:val="0"/>
      <w:marTop w:val="0"/>
      <w:marBottom w:val="0"/>
      <w:divBdr>
        <w:top w:val="none" w:sz="0" w:space="0" w:color="auto"/>
        <w:left w:val="none" w:sz="0" w:space="0" w:color="auto"/>
        <w:bottom w:val="none" w:sz="0" w:space="0" w:color="auto"/>
        <w:right w:val="none" w:sz="0" w:space="0" w:color="auto"/>
      </w:divBdr>
    </w:div>
    <w:div w:id="188372201">
      <w:bodyDiv w:val="1"/>
      <w:marLeft w:val="0"/>
      <w:marRight w:val="0"/>
      <w:marTop w:val="0"/>
      <w:marBottom w:val="0"/>
      <w:divBdr>
        <w:top w:val="none" w:sz="0" w:space="0" w:color="auto"/>
        <w:left w:val="none" w:sz="0" w:space="0" w:color="auto"/>
        <w:bottom w:val="none" w:sz="0" w:space="0" w:color="auto"/>
        <w:right w:val="none" w:sz="0" w:space="0" w:color="auto"/>
      </w:divBdr>
    </w:div>
    <w:div w:id="190386099">
      <w:bodyDiv w:val="1"/>
      <w:marLeft w:val="0"/>
      <w:marRight w:val="0"/>
      <w:marTop w:val="0"/>
      <w:marBottom w:val="0"/>
      <w:divBdr>
        <w:top w:val="none" w:sz="0" w:space="0" w:color="auto"/>
        <w:left w:val="none" w:sz="0" w:space="0" w:color="auto"/>
        <w:bottom w:val="none" w:sz="0" w:space="0" w:color="auto"/>
        <w:right w:val="none" w:sz="0" w:space="0" w:color="auto"/>
      </w:divBdr>
    </w:div>
    <w:div w:id="206377816">
      <w:bodyDiv w:val="1"/>
      <w:marLeft w:val="0"/>
      <w:marRight w:val="0"/>
      <w:marTop w:val="0"/>
      <w:marBottom w:val="0"/>
      <w:divBdr>
        <w:top w:val="none" w:sz="0" w:space="0" w:color="auto"/>
        <w:left w:val="none" w:sz="0" w:space="0" w:color="auto"/>
        <w:bottom w:val="none" w:sz="0" w:space="0" w:color="auto"/>
        <w:right w:val="none" w:sz="0" w:space="0" w:color="auto"/>
      </w:divBdr>
    </w:div>
    <w:div w:id="231738547">
      <w:bodyDiv w:val="1"/>
      <w:marLeft w:val="0"/>
      <w:marRight w:val="0"/>
      <w:marTop w:val="0"/>
      <w:marBottom w:val="0"/>
      <w:divBdr>
        <w:top w:val="none" w:sz="0" w:space="0" w:color="auto"/>
        <w:left w:val="none" w:sz="0" w:space="0" w:color="auto"/>
        <w:bottom w:val="none" w:sz="0" w:space="0" w:color="auto"/>
        <w:right w:val="none" w:sz="0" w:space="0" w:color="auto"/>
      </w:divBdr>
    </w:div>
    <w:div w:id="238908679">
      <w:bodyDiv w:val="1"/>
      <w:marLeft w:val="0"/>
      <w:marRight w:val="0"/>
      <w:marTop w:val="0"/>
      <w:marBottom w:val="0"/>
      <w:divBdr>
        <w:top w:val="none" w:sz="0" w:space="0" w:color="auto"/>
        <w:left w:val="none" w:sz="0" w:space="0" w:color="auto"/>
        <w:bottom w:val="none" w:sz="0" w:space="0" w:color="auto"/>
        <w:right w:val="none" w:sz="0" w:space="0" w:color="auto"/>
      </w:divBdr>
    </w:div>
    <w:div w:id="263727244">
      <w:bodyDiv w:val="1"/>
      <w:marLeft w:val="0"/>
      <w:marRight w:val="0"/>
      <w:marTop w:val="0"/>
      <w:marBottom w:val="0"/>
      <w:divBdr>
        <w:top w:val="none" w:sz="0" w:space="0" w:color="auto"/>
        <w:left w:val="none" w:sz="0" w:space="0" w:color="auto"/>
        <w:bottom w:val="none" w:sz="0" w:space="0" w:color="auto"/>
        <w:right w:val="none" w:sz="0" w:space="0" w:color="auto"/>
      </w:divBdr>
    </w:div>
    <w:div w:id="284508362">
      <w:bodyDiv w:val="1"/>
      <w:marLeft w:val="0"/>
      <w:marRight w:val="0"/>
      <w:marTop w:val="0"/>
      <w:marBottom w:val="0"/>
      <w:divBdr>
        <w:top w:val="none" w:sz="0" w:space="0" w:color="auto"/>
        <w:left w:val="none" w:sz="0" w:space="0" w:color="auto"/>
        <w:bottom w:val="none" w:sz="0" w:space="0" w:color="auto"/>
        <w:right w:val="none" w:sz="0" w:space="0" w:color="auto"/>
      </w:divBdr>
    </w:div>
    <w:div w:id="290012619">
      <w:bodyDiv w:val="1"/>
      <w:marLeft w:val="0"/>
      <w:marRight w:val="0"/>
      <w:marTop w:val="0"/>
      <w:marBottom w:val="0"/>
      <w:divBdr>
        <w:top w:val="none" w:sz="0" w:space="0" w:color="auto"/>
        <w:left w:val="none" w:sz="0" w:space="0" w:color="auto"/>
        <w:bottom w:val="none" w:sz="0" w:space="0" w:color="auto"/>
        <w:right w:val="none" w:sz="0" w:space="0" w:color="auto"/>
      </w:divBdr>
    </w:div>
    <w:div w:id="329017781">
      <w:bodyDiv w:val="1"/>
      <w:marLeft w:val="0"/>
      <w:marRight w:val="0"/>
      <w:marTop w:val="0"/>
      <w:marBottom w:val="0"/>
      <w:divBdr>
        <w:top w:val="none" w:sz="0" w:space="0" w:color="auto"/>
        <w:left w:val="none" w:sz="0" w:space="0" w:color="auto"/>
        <w:bottom w:val="none" w:sz="0" w:space="0" w:color="auto"/>
        <w:right w:val="none" w:sz="0" w:space="0" w:color="auto"/>
      </w:divBdr>
    </w:div>
    <w:div w:id="358043241">
      <w:bodyDiv w:val="1"/>
      <w:marLeft w:val="0"/>
      <w:marRight w:val="0"/>
      <w:marTop w:val="0"/>
      <w:marBottom w:val="0"/>
      <w:divBdr>
        <w:top w:val="none" w:sz="0" w:space="0" w:color="auto"/>
        <w:left w:val="none" w:sz="0" w:space="0" w:color="auto"/>
        <w:bottom w:val="none" w:sz="0" w:space="0" w:color="auto"/>
        <w:right w:val="none" w:sz="0" w:space="0" w:color="auto"/>
      </w:divBdr>
    </w:div>
    <w:div w:id="379593663">
      <w:bodyDiv w:val="1"/>
      <w:marLeft w:val="0"/>
      <w:marRight w:val="0"/>
      <w:marTop w:val="0"/>
      <w:marBottom w:val="0"/>
      <w:divBdr>
        <w:top w:val="none" w:sz="0" w:space="0" w:color="auto"/>
        <w:left w:val="none" w:sz="0" w:space="0" w:color="auto"/>
        <w:bottom w:val="none" w:sz="0" w:space="0" w:color="auto"/>
        <w:right w:val="none" w:sz="0" w:space="0" w:color="auto"/>
      </w:divBdr>
    </w:div>
    <w:div w:id="389810431">
      <w:bodyDiv w:val="1"/>
      <w:marLeft w:val="0"/>
      <w:marRight w:val="0"/>
      <w:marTop w:val="0"/>
      <w:marBottom w:val="0"/>
      <w:divBdr>
        <w:top w:val="none" w:sz="0" w:space="0" w:color="auto"/>
        <w:left w:val="none" w:sz="0" w:space="0" w:color="auto"/>
        <w:bottom w:val="none" w:sz="0" w:space="0" w:color="auto"/>
        <w:right w:val="none" w:sz="0" w:space="0" w:color="auto"/>
      </w:divBdr>
    </w:div>
    <w:div w:id="391660502">
      <w:bodyDiv w:val="1"/>
      <w:marLeft w:val="0"/>
      <w:marRight w:val="0"/>
      <w:marTop w:val="0"/>
      <w:marBottom w:val="0"/>
      <w:divBdr>
        <w:top w:val="none" w:sz="0" w:space="0" w:color="auto"/>
        <w:left w:val="none" w:sz="0" w:space="0" w:color="auto"/>
        <w:bottom w:val="none" w:sz="0" w:space="0" w:color="auto"/>
        <w:right w:val="none" w:sz="0" w:space="0" w:color="auto"/>
      </w:divBdr>
    </w:div>
    <w:div w:id="442695803">
      <w:bodyDiv w:val="1"/>
      <w:marLeft w:val="0"/>
      <w:marRight w:val="0"/>
      <w:marTop w:val="0"/>
      <w:marBottom w:val="0"/>
      <w:divBdr>
        <w:top w:val="none" w:sz="0" w:space="0" w:color="auto"/>
        <w:left w:val="none" w:sz="0" w:space="0" w:color="auto"/>
        <w:bottom w:val="none" w:sz="0" w:space="0" w:color="auto"/>
        <w:right w:val="none" w:sz="0" w:space="0" w:color="auto"/>
      </w:divBdr>
    </w:div>
    <w:div w:id="444278009">
      <w:bodyDiv w:val="1"/>
      <w:marLeft w:val="0"/>
      <w:marRight w:val="0"/>
      <w:marTop w:val="0"/>
      <w:marBottom w:val="0"/>
      <w:divBdr>
        <w:top w:val="none" w:sz="0" w:space="0" w:color="auto"/>
        <w:left w:val="none" w:sz="0" w:space="0" w:color="auto"/>
        <w:bottom w:val="none" w:sz="0" w:space="0" w:color="auto"/>
        <w:right w:val="none" w:sz="0" w:space="0" w:color="auto"/>
      </w:divBdr>
    </w:div>
    <w:div w:id="448933636">
      <w:bodyDiv w:val="1"/>
      <w:marLeft w:val="0"/>
      <w:marRight w:val="0"/>
      <w:marTop w:val="0"/>
      <w:marBottom w:val="0"/>
      <w:divBdr>
        <w:top w:val="none" w:sz="0" w:space="0" w:color="auto"/>
        <w:left w:val="none" w:sz="0" w:space="0" w:color="auto"/>
        <w:bottom w:val="none" w:sz="0" w:space="0" w:color="auto"/>
        <w:right w:val="none" w:sz="0" w:space="0" w:color="auto"/>
      </w:divBdr>
    </w:div>
    <w:div w:id="494346916">
      <w:bodyDiv w:val="1"/>
      <w:marLeft w:val="0"/>
      <w:marRight w:val="0"/>
      <w:marTop w:val="0"/>
      <w:marBottom w:val="0"/>
      <w:divBdr>
        <w:top w:val="none" w:sz="0" w:space="0" w:color="auto"/>
        <w:left w:val="none" w:sz="0" w:space="0" w:color="auto"/>
        <w:bottom w:val="none" w:sz="0" w:space="0" w:color="auto"/>
        <w:right w:val="none" w:sz="0" w:space="0" w:color="auto"/>
      </w:divBdr>
    </w:div>
    <w:div w:id="494611379">
      <w:bodyDiv w:val="1"/>
      <w:marLeft w:val="0"/>
      <w:marRight w:val="0"/>
      <w:marTop w:val="0"/>
      <w:marBottom w:val="0"/>
      <w:divBdr>
        <w:top w:val="none" w:sz="0" w:space="0" w:color="auto"/>
        <w:left w:val="none" w:sz="0" w:space="0" w:color="auto"/>
        <w:bottom w:val="none" w:sz="0" w:space="0" w:color="auto"/>
        <w:right w:val="none" w:sz="0" w:space="0" w:color="auto"/>
      </w:divBdr>
    </w:div>
    <w:div w:id="575433356">
      <w:bodyDiv w:val="1"/>
      <w:marLeft w:val="0"/>
      <w:marRight w:val="0"/>
      <w:marTop w:val="0"/>
      <w:marBottom w:val="0"/>
      <w:divBdr>
        <w:top w:val="none" w:sz="0" w:space="0" w:color="auto"/>
        <w:left w:val="none" w:sz="0" w:space="0" w:color="auto"/>
        <w:bottom w:val="none" w:sz="0" w:space="0" w:color="auto"/>
        <w:right w:val="none" w:sz="0" w:space="0" w:color="auto"/>
      </w:divBdr>
    </w:div>
    <w:div w:id="577448665">
      <w:bodyDiv w:val="1"/>
      <w:marLeft w:val="0"/>
      <w:marRight w:val="0"/>
      <w:marTop w:val="0"/>
      <w:marBottom w:val="0"/>
      <w:divBdr>
        <w:top w:val="none" w:sz="0" w:space="0" w:color="auto"/>
        <w:left w:val="none" w:sz="0" w:space="0" w:color="auto"/>
        <w:bottom w:val="none" w:sz="0" w:space="0" w:color="auto"/>
        <w:right w:val="none" w:sz="0" w:space="0" w:color="auto"/>
      </w:divBdr>
    </w:div>
    <w:div w:id="626742537">
      <w:bodyDiv w:val="1"/>
      <w:marLeft w:val="0"/>
      <w:marRight w:val="0"/>
      <w:marTop w:val="0"/>
      <w:marBottom w:val="0"/>
      <w:divBdr>
        <w:top w:val="none" w:sz="0" w:space="0" w:color="auto"/>
        <w:left w:val="none" w:sz="0" w:space="0" w:color="auto"/>
        <w:bottom w:val="none" w:sz="0" w:space="0" w:color="auto"/>
        <w:right w:val="none" w:sz="0" w:space="0" w:color="auto"/>
      </w:divBdr>
    </w:div>
    <w:div w:id="629670852">
      <w:bodyDiv w:val="1"/>
      <w:marLeft w:val="0"/>
      <w:marRight w:val="0"/>
      <w:marTop w:val="0"/>
      <w:marBottom w:val="0"/>
      <w:divBdr>
        <w:top w:val="none" w:sz="0" w:space="0" w:color="auto"/>
        <w:left w:val="none" w:sz="0" w:space="0" w:color="auto"/>
        <w:bottom w:val="none" w:sz="0" w:space="0" w:color="auto"/>
        <w:right w:val="none" w:sz="0" w:space="0" w:color="auto"/>
      </w:divBdr>
    </w:div>
    <w:div w:id="636224324">
      <w:bodyDiv w:val="1"/>
      <w:marLeft w:val="0"/>
      <w:marRight w:val="0"/>
      <w:marTop w:val="0"/>
      <w:marBottom w:val="0"/>
      <w:divBdr>
        <w:top w:val="none" w:sz="0" w:space="0" w:color="auto"/>
        <w:left w:val="none" w:sz="0" w:space="0" w:color="auto"/>
        <w:bottom w:val="none" w:sz="0" w:space="0" w:color="auto"/>
        <w:right w:val="none" w:sz="0" w:space="0" w:color="auto"/>
      </w:divBdr>
    </w:div>
    <w:div w:id="642124495">
      <w:bodyDiv w:val="1"/>
      <w:marLeft w:val="0"/>
      <w:marRight w:val="0"/>
      <w:marTop w:val="0"/>
      <w:marBottom w:val="0"/>
      <w:divBdr>
        <w:top w:val="none" w:sz="0" w:space="0" w:color="auto"/>
        <w:left w:val="none" w:sz="0" w:space="0" w:color="auto"/>
        <w:bottom w:val="none" w:sz="0" w:space="0" w:color="auto"/>
        <w:right w:val="none" w:sz="0" w:space="0" w:color="auto"/>
      </w:divBdr>
    </w:div>
    <w:div w:id="677119698">
      <w:bodyDiv w:val="1"/>
      <w:marLeft w:val="0"/>
      <w:marRight w:val="0"/>
      <w:marTop w:val="0"/>
      <w:marBottom w:val="0"/>
      <w:divBdr>
        <w:top w:val="none" w:sz="0" w:space="0" w:color="auto"/>
        <w:left w:val="none" w:sz="0" w:space="0" w:color="auto"/>
        <w:bottom w:val="none" w:sz="0" w:space="0" w:color="auto"/>
        <w:right w:val="none" w:sz="0" w:space="0" w:color="auto"/>
      </w:divBdr>
      <w:divsChild>
        <w:div w:id="2121559596">
          <w:marLeft w:val="0"/>
          <w:marRight w:val="0"/>
          <w:marTop w:val="0"/>
          <w:marBottom w:val="0"/>
          <w:divBdr>
            <w:top w:val="none" w:sz="0" w:space="0" w:color="auto"/>
            <w:left w:val="none" w:sz="0" w:space="0" w:color="auto"/>
            <w:bottom w:val="none" w:sz="0" w:space="0" w:color="auto"/>
            <w:right w:val="none" w:sz="0" w:space="0" w:color="auto"/>
          </w:divBdr>
          <w:divsChild>
            <w:div w:id="155497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88577">
      <w:bodyDiv w:val="1"/>
      <w:marLeft w:val="0"/>
      <w:marRight w:val="0"/>
      <w:marTop w:val="0"/>
      <w:marBottom w:val="0"/>
      <w:divBdr>
        <w:top w:val="none" w:sz="0" w:space="0" w:color="auto"/>
        <w:left w:val="none" w:sz="0" w:space="0" w:color="auto"/>
        <w:bottom w:val="none" w:sz="0" w:space="0" w:color="auto"/>
        <w:right w:val="none" w:sz="0" w:space="0" w:color="auto"/>
      </w:divBdr>
    </w:div>
    <w:div w:id="741803573">
      <w:bodyDiv w:val="1"/>
      <w:marLeft w:val="0"/>
      <w:marRight w:val="0"/>
      <w:marTop w:val="0"/>
      <w:marBottom w:val="0"/>
      <w:divBdr>
        <w:top w:val="none" w:sz="0" w:space="0" w:color="auto"/>
        <w:left w:val="none" w:sz="0" w:space="0" w:color="auto"/>
        <w:bottom w:val="none" w:sz="0" w:space="0" w:color="auto"/>
        <w:right w:val="none" w:sz="0" w:space="0" w:color="auto"/>
      </w:divBdr>
    </w:div>
    <w:div w:id="763960807">
      <w:bodyDiv w:val="1"/>
      <w:marLeft w:val="0"/>
      <w:marRight w:val="0"/>
      <w:marTop w:val="0"/>
      <w:marBottom w:val="0"/>
      <w:divBdr>
        <w:top w:val="none" w:sz="0" w:space="0" w:color="auto"/>
        <w:left w:val="none" w:sz="0" w:space="0" w:color="auto"/>
        <w:bottom w:val="none" w:sz="0" w:space="0" w:color="auto"/>
        <w:right w:val="none" w:sz="0" w:space="0" w:color="auto"/>
      </w:divBdr>
    </w:div>
    <w:div w:id="779761903">
      <w:bodyDiv w:val="1"/>
      <w:marLeft w:val="0"/>
      <w:marRight w:val="0"/>
      <w:marTop w:val="0"/>
      <w:marBottom w:val="0"/>
      <w:divBdr>
        <w:top w:val="none" w:sz="0" w:space="0" w:color="auto"/>
        <w:left w:val="none" w:sz="0" w:space="0" w:color="auto"/>
        <w:bottom w:val="none" w:sz="0" w:space="0" w:color="auto"/>
        <w:right w:val="none" w:sz="0" w:space="0" w:color="auto"/>
      </w:divBdr>
    </w:div>
    <w:div w:id="797068436">
      <w:bodyDiv w:val="1"/>
      <w:marLeft w:val="0"/>
      <w:marRight w:val="0"/>
      <w:marTop w:val="0"/>
      <w:marBottom w:val="0"/>
      <w:divBdr>
        <w:top w:val="none" w:sz="0" w:space="0" w:color="auto"/>
        <w:left w:val="none" w:sz="0" w:space="0" w:color="auto"/>
        <w:bottom w:val="none" w:sz="0" w:space="0" w:color="auto"/>
        <w:right w:val="none" w:sz="0" w:space="0" w:color="auto"/>
      </w:divBdr>
    </w:div>
    <w:div w:id="811599965">
      <w:bodyDiv w:val="1"/>
      <w:marLeft w:val="0"/>
      <w:marRight w:val="0"/>
      <w:marTop w:val="0"/>
      <w:marBottom w:val="0"/>
      <w:divBdr>
        <w:top w:val="none" w:sz="0" w:space="0" w:color="auto"/>
        <w:left w:val="none" w:sz="0" w:space="0" w:color="auto"/>
        <w:bottom w:val="none" w:sz="0" w:space="0" w:color="auto"/>
        <w:right w:val="none" w:sz="0" w:space="0" w:color="auto"/>
      </w:divBdr>
    </w:div>
    <w:div w:id="855970325">
      <w:bodyDiv w:val="1"/>
      <w:marLeft w:val="0"/>
      <w:marRight w:val="0"/>
      <w:marTop w:val="0"/>
      <w:marBottom w:val="0"/>
      <w:divBdr>
        <w:top w:val="none" w:sz="0" w:space="0" w:color="auto"/>
        <w:left w:val="none" w:sz="0" w:space="0" w:color="auto"/>
        <w:bottom w:val="none" w:sz="0" w:space="0" w:color="auto"/>
        <w:right w:val="none" w:sz="0" w:space="0" w:color="auto"/>
      </w:divBdr>
    </w:div>
    <w:div w:id="916671615">
      <w:bodyDiv w:val="1"/>
      <w:marLeft w:val="0"/>
      <w:marRight w:val="0"/>
      <w:marTop w:val="0"/>
      <w:marBottom w:val="0"/>
      <w:divBdr>
        <w:top w:val="none" w:sz="0" w:space="0" w:color="auto"/>
        <w:left w:val="none" w:sz="0" w:space="0" w:color="auto"/>
        <w:bottom w:val="none" w:sz="0" w:space="0" w:color="auto"/>
        <w:right w:val="none" w:sz="0" w:space="0" w:color="auto"/>
      </w:divBdr>
    </w:div>
    <w:div w:id="948003075">
      <w:bodyDiv w:val="1"/>
      <w:marLeft w:val="0"/>
      <w:marRight w:val="0"/>
      <w:marTop w:val="0"/>
      <w:marBottom w:val="0"/>
      <w:divBdr>
        <w:top w:val="none" w:sz="0" w:space="0" w:color="auto"/>
        <w:left w:val="none" w:sz="0" w:space="0" w:color="auto"/>
        <w:bottom w:val="none" w:sz="0" w:space="0" w:color="auto"/>
        <w:right w:val="none" w:sz="0" w:space="0" w:color="auto"/>
      </w:divBdr>
    </w:div>
    <w:div w:id="959066825">
      <w:bodyDiv w:val="1"/>
      <w:marLeft w:val="0"/>
      <w:marRight w:val="0"/>
      <w:marTop w:val="0"/>
      <w:marBottom w:val="0"/>
      <w:divBdr>
        <w:top w:val="none" w:sz="0" w:space="0" w:color="auto"/>
        <w:left w:val="none" w:sz="0" w:space="0" w:color="auto"/>
        <w:bottom w:val="none" w:sz="0" w:space="0" w:color="auto"/>
        <w:right w:val="none" w:sz="0" w:space="0" w:color="auto"/>
      </w:divBdr>
    </w:div>
    <w:div w:id="1003124189">
      <w:bodyDiv w:val="1"/>
      <w:marLeft w:val="0"/>
      <w:marRight w:val="0"/>
      <w:marTop w:val="0"/>
      <w:marBottom w:val="0"/>
      <w:divBdr>
        <w:top w:val="none" w:sz="0" w:space="0" w:color="auto"/>
        <w:left w:val="none" w:sz="0" w:space="0" w:color="auto"/>
        <w:bottom w:val="none" w:sz="0" w:space="0" w:color="auto"/>
        <w:right w:val="none" w:sz="0" w:space="0" w:color="auto"/>
      </w:divBdr>
    </w:div>
    <w:div w:id="1010717704">
      <w:bodyDiv w:val="1"/>
      <w:marLeft w:val="0"/>
      <w:marRight w:val="0"/>
      <w:marTop w:val="0"/>
      <w:marBottom w:val="0"/>
      <w:divBdr>
        <w:top w:val="none" w:sz="0" w:space="0" w:color="auto"/>
        <w:left w:val="none" w:sz="0" w:space="0" w:color="auto"/>
        <w:bottom w:val="none" w:sz="0" w:space="0" w:color="auto"/>
        <w:right w:val="none" w:sz="0" w:space="0" w:color="auto"/>
      </w:divBdr>
    </w:div>
    <w:div w:id="1025784935">
      <w:bodyDiv w:val="1"/>
      <w:marLeft w:val="0"/>
      <w:marRight w:val="0"/>
      <w:marTop w:val="0"/>
      <w:marBottom w:val="0"/>
      <w:divBdr>
        <w:top w:val="none" w:sz="0" w:space="0" w:color="auto"/>
        <w:left w:val="none" w:sz="0" w:space="0" w:color="auto"/>
        <w:bottom w:val="none" w:sz="0" w:space="0" w:color="auto"/>
        <w:right w:val="none" w:sz="0" w:space="0" w:color="auto"/>
      </w:divBdr>
    </w:div>
    <w:div w:id="1076903172">
      <w:bodyDiv w:val="1"/>
      <w:marLeft w:val="0"/>
      <w:marRight w:val="0"/>
      <w:marTop w:val="0"/>
      <w:marBottom w:val="0"/>
      <w:divBdr>
        <w:top w:val="none" w:sz="0" w:space="0" w:color="auto"/>
        <w:left w:val="none" w:sz="0" w:space="0" w:color="auto"/>
        <w:bottom w:val="none" w:sz="0" w:space="0" w:color="auto"/>
        <w:right w:val="none" w:sz="0" w:space="0" w:color="auto"/>
      </w:divBdr>
    </w:div>
    <w:div w:id="1102991633">
      <w:bodyDiv w:val="1"/>
      <w:marLeft w:val="0"/>
      <w:marRight w:val="0"/>
      <w:marTop w:val="0"/>
      <w:marBottom w:val="0"/>
      <w:divBdr>
        <w:top w:val="none" w:sz="0" w:space="0" w:color="auto"/>
        <w:left w:val="none" w:sz="0" w:space="0" w:color="auto"/>
        <w:bottom w:val="none" w:sz="0" w:space="0" w:color="auto"/>
        <w:right w:val="none" w:sz="0" w:space="0" w:color="auto"/>
      </w:divBdr>
    </w:div>
    <w:div w:id="1111247017">
      <w:bodyDiv w:val="1"/>
      <w:marLeft w:val="0"/>
      <w:marRight w:val="0"/>
      <w:marTop w:val="0"/>
      <w:marBottom w:val="0"/>
      <w:divBdr>
        <w:top w:val="none" w:sz="0" w:space="0" w:color="auto"/>
        <w:left w:val="none" w:sz="0" w:space="0" w:color="auto"/>
        <w:bottom w:val="none" w:sz="0" w:space="0" w:color="auto"/>
        <w:right w:val="none" w:sz="0" w:space="0" w:color="auto"/>
      </w:divBdr>
    </w:div>
    <w:div w:id="1120996932">
      <w:bodyDiv w:val="1"/>
      <w:marLeft w:val="0"/>
      <w:marRight w:val="0"/>
      <w:marTop w:val="0"/>
      <w:marBottom w:val="0"/>
      <w:divBdr>
        <w:top w:val="none" w:sz="0" w:space="0" w:color="auto"/>
        <w:left w:val="none" w:sz="0" w:space="0" w:color="auto"/>
        <w:bottom w:val="none" w:sz="0" w:space="0" w:color="auto"/>
        <w:right w:val="none" w:sz="0" w:space="0" w:color="auto"/>
      </w:divBdr>
    </w:div>
    <w:div w:id="1148398613">
      <w:bodyDiv w:val="1"/>
      <w:marLeft w:val="0"/>
      <w:marRight w:val="0"/>
      <w:marTop w:val="0"/>
      <w:marBottom w:val="0"/>
      <w:divBdr>
        <w:top w:val="none" w:sz="0" w:space="0" w:color="auto"/>
        <w:left w:val="none" w:sz="0" w:space="0" w:color="auto"/>
        <w:bottom w:val="none" w:sz="0" w:space="0" w:color="auto"/>
        <w:right w:val="none" w:sz="0" w:space="0" w:color="auto"/>
      </w:divBdr>
    </w:div>
    <w:div w:id="1162044858">
      <w:bodyDiv w:val="1"/>
      <w:marLeft w:val="0"/>
      <w:marRight w:val="0"/>
      <w:marTop w:val="0"/>
      <w:marBottom w:val="0"/>
      <w:divBdr>
        <w:top w:val="none" w:sz="0" w:space="0" w:color="auto"/>
        <w:left w:val="none" w:sz="0" w:space="0" w:color="auto"/>
        <w:bottom w:val="none" w:sz="0" w:space="0" w:color="auto"/>
        <w:right w:val="none" w:sz="0" w:space="0" w:color="auto"/>
      </w:divBdr>
      <w:divsChild>
        <w:div w:id="1474981597">
          <w:marLeft w:val="0"/>
          <w:marRight w:val="0"/>
          <w:marTop w:val="0"/>
          <w:marBottom w:val="0"/>
          <w:divBdr>
            <w:top w:val="none" w:sz="0" w:space="0" w:color="auto"/>
            <w:left w:val="none" w:sz="0" w:space="0" w:color="auto"/>
            <w:bottom w:val="none" w:sz="0" w:space="0" w:color="auto"/>
            <w:right w:val="none" w:sz="0" w:space="0" w:color="auto"/>
          </w:divBdr>
          <w:divsChild>
            <w:div w:id="102991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342">
      <w:bodyDiv w:val="1"/>
      <w:marLeft w:val="0"/>
      <w:marRight w:val="0"/>
      <w:marTop w:val="0"/>
      <w:marBottom w:val="0"/>
      <w:divBdr>
        <w:top w:val="none" w:sz="0" w:space="0" w:color="auto"/>
        <w:left w:val="none" w:sz="0" w:space="0" w:color="auto"/>
        <w:bottom w:val="none" w:sz="0" w:space="0" w:color="auto"/>
        <w:right w:val="none" w:sz="0" w:space="0" w:color="auto"/>
      </w:divBdr>
    </w:div>
    <w:div w:id="1178546958">
      <w:bodyDiv w:val="1"/>
      <w:marLeft w:val="0"/>
      <w:marRight w:val="0"/>
      <w:marTop w:val="0"/>
      <w:marBottom w:val="0"/>
      <w:divBdr>
        <w:top w:val="none" w:sz="0" w:space="0" w:color="auto"/>
        <w:left w:val="none" w:sz="0" w:space="0" w:color="auto"/>
        <w:bottom w:val="none" w:sz="0" w:space="0" w:color="auto"/>
        <w:right w:val="none" w:sz="0" w:space="0" w:color="auto"/>
      </w:divBdr>
    </w:div>
    <w:div w:id="1182083102">
      <w:bodyDiv w:val="1"/>
      <w:marLeft w:val="0"/>
      <w:marRight w:val="0"/>
      <w:marTop w:val="0"/>
      <w:marBottom w:val="0"/>
      <w:divBdr>
        <w:top w:val="none" w:sz="0" w:space="0" w:color="auto"/>
        <w:left w:val="none" w:sz="0" w:space="0" w:color="auto"/>
        <w:bottom w:val="none" w:sz="0" w:space="0" w:color="auto"/>
        <w:right w:val="none" w:sz="0" w:space="0" w:color="auto"/>
      </w:divBdr>
    </w:div>
    <w:div w:id="1199858362">
      <w:bodyDiv w:val="1"/>
      <w:marLeft w:val="0"/>
      <w:marRight w:val="0"/>
      <w:marTop w:val="0"/>
      <w:marBottom w:val="0"/>
      <w:divBdr>
        <w:top w:val="none" w:sz="0" w:space="0" w:color="auto"/>
        <w:left w:val="none" w:sz="0" w:space="0" w:color="auto"/>
        <w:bottom w:val="none" w:sz="0" w:space="0" w:color="auto"/>
        <w:right w:val="none" w:sz="0" w:space="0" w:color="auto"/>
      </w:divBdr>
    </w:div>
    <w:div w:id="1222060227">
      <w:bodyDiv w:val="1"/>
      <w:marLeft w:val="0"/>
      <w:marRight w:val="0"/>
      <w:marTop w:val="0"/>
      <w:marBottom w:val="0"/>
      <w:divBdr>
        <w:top w:val="none" w:sz="0" w:space="0" w:color="auto"/>
        <w:left w:val="none" w:sz="0" w:space="0" w:color="auto"/>
        <w:bottom w:val="none" w:sz="0" w:space="0" w:color="auto"/>
        <w:right w:val="none" w:sz="0" w:space="0" w:color="auto"/>
      </w:divBdr>
    </w:div>
    <w:div w:id="1235122608">
      <w:bodyDiv w:val="1"/>
      <w:marLeft w:val="0"/>
      <w:marRight w:val="0"/>
      <w:marTop w:val="0"/>
      <w:marBottom w:val="0"/>
      <w:divBdr>
        <w:top w:val="none" w:sz="0" w:space="0" w:color="auto"/>
        <w:left w:val="none" w:sz="0" w:space="0" w:color="auto"/>
        <w:bottom w:val="none" w:sz="0" w:space="0" w:color="auto"/>
        <w:right w:val="none" w:sz="0" w:space="0" w:color="auto"/>
      </w:divBdr>
    </w:div>
    <w:div w:id="1293365948">
      <w:bodyDiv w:val="1"/>
      <w:marLeft w:val="0"/>
      <w:marRight w:val="0"/>
      <w:marTop w:val="0"/>
      <w:marBottom w:val="0"/>
      <w:divBdr>
        <w:top w:val="none" w:sz="0" w:space="0" w:color="auto"/>
        <w:left w:val="none" w:sz="0" w:space="0" w:color="auto"/>
        <w:bottom w:val="none" w:sz="0" w:space="0" w:color="auto"/>
        <w:right w:val="none" w:sz="0" w:space="0" w:color="auto"/>
      </w:divBdr>
    </w:div>
    <w:div w:id="1320579495">
      <w:bodyDiv w:val="1"/>
      <w:marLeft w:val="0"/>
      <w:marRight w:val="0"/>
      <w:marTop w:val="0"/>
      <w:marBottom w:val="0"/>
      <w:divBdr>
        <w:top w:val="none" w:sz="0" w:space="0" w:color="auto"/>
        <w:left w:val="none" w:sz="0" w:space="0" w:color="auto"/>
        <w:bottom w:val="none" w:sz="0" w:space="0" w:color="auto"/>
        <w:right w:val="none" w:sz="0" w:space="0" w:color="auto"/>
      </w:divBdr>
    </w:div>
    <w:div w:id="1331257767">
      <w:bodyDiv w:val="1"/>
      <w:marLeft w:val="0"/>
      <w:marRight w:val="0"/>
      <w:marTop w:val="0"/>
      <w:marBottom w:val="0"/>
      <w:divBdr>
        <w:top w:val="none" w:sz="0" w:space="0" w:color="auto"/>
        <w:left w:val="none" w:sz="0" w:space="0" w:color="auto"/>
        <w:bottom w:val="none" w:sz="0" w:space="0" w:color="auto"/>
        <w:right w:val="none" w:sz="0" w:space="0" w:color="auto"/>
      </w:divBdr>
      <w:divsChild>
        <w:div w:id="10688446">
          <w:marLeft w:val="0"/>
          <w:marRight w:val="0"/>
          <w:marTop w:val="0"/>
          <w:marBottom w:val="0"/>
          <w:divBdr>
            <w:top w:val="none" w:sz="0" w:space="0" w:color="auto"/>
            <w:left w:val="none" w:sz="0" w:space="0" w:color="auto"/>
            <w:bottom w:val="none" w:sz="0" w:space="0" w:color="auto"/>
            <w:right w:val="none" w:sz="0" w:space="0" w:color="auto"/>
          </w:divBdr>
        </w:div>
        <w:div w:id="52583874">
          <w:marLeft w:val="0"/>
          <w:marRight w:val="0"/>
          <w:marTop w:val="0"/>
          <w:marBottom w:val="0"/>
          <w:divBdr>
            <w:top w:val="none" w:sz="0" w:space="0" w:color="auto"/>
            <w:left w:val="none" w:sz="0" w:space="0" w:color="auto"/>
            <w:bottom w:val="none" w:sz="0" w:space="0" w:color="auto"/>
            <w:right w:val="none" w:sz="0" w:space="0" w:color="auto"/>
          </w:divBdr>
        </w:div>
        <w:div w:id="77097804">
          <w:marLeft w:val="0"/>
          <w:marRight w:val="0"/>
          <w:marTop w:val="0"/>
          <w:marBottom w:val="0"/>
          <w:divBdr>
            <w:top w:val="none" w:sz="0" w:space="0" w:color="auto"/>
            <w:left w:val="none" w:sz="0" w:space="0" w:color="auto"/>
            <w:bottom w:val="none" w:sz="0" w:space="0" w:color="auto"/>
            <w:right w:val="none" w:sz="0" w:space="0" w:color="auto"/>
          </w:divBdr>
        </w:div>
        <w:div w:id="89667422">
          <w:marLeft w:val="0"/>
          <w:marRight w:val="0"/>
          <w:marTop w:val="0"/>
          <w:marBottom w:val="0"/>
          <w:divBdr>
            <w:top w:val="none" w:sz="0" w:space="0" w:color="auto"/>
            <w:left w:val="none" w:sz="0" w:space="0" w:color="auto"/>
            <w:bottom w:val="none" w:sz="0" w:space="0" w:color="auto"/>
            <w:right w:val="none" w:sz="0" w:space="0" w:color="auto"/>
          </w:divBdr>
        </w:div>
        <w:div w:id="172300169">
          <w:marLeft w:val="0"/>
          <w:marRight w:val="0"/>
          <w:marTop w:val="0"/>
          <w:marBottom w:val="0"/>
          <w:divBdr>
            <w:top w:val="none" w:sz="0" w:space="0" w:color="auto"/>
            <w:left w:val="none" w:sz="0" w:space="0" w:color="auto"/>
            <w:bottom w:val="none" w:sz="0" w:space="0" w:color="auto"/>
            <w:right w:val="none" w:sz="0" w:space="0" w:color="auto"/>
          </w:divBdr>
        </w:div>
        <w:div w:id="354967893">
          <w:marLeft w:val="0"/>
          <w:marRight w:val="0"/>
          <w:marTop w:val="0"/>
          <w:marBottom w:val="0"/>
          <w:divBdr>
            <w:top w:val="none" w:sz="0" w:space="0" w:color="auto"/>
            <w:left w:val="none" w:sz="0" w:space="0" w:color="auto"/>
            <w:bottom w:val="none" w:sz="0" w:space="0" w:color="auto"/>
            <w:right w:val="none" w:sz="0" w:space="0" w:color="auto"/>
          </w:divBdr>
        </w:div>
        <w:div w:id="395511330">
          <w:marLeft w:val="0"/>
          <w:marRight w:val="0"/>
          <w:marTop w:val="0"/>
          <w:marBottom w:val="0"/>
          <w:divBdr>
            <w:top w:val="none" w:sz="0" w:space="0" w:color="auto"/>
            <w:left w:val="none" w:sz="0" w:space="0" w:color="auto"/>
            <w:bottom w:val="none" w:sz="0" w:space="0" w:color="auto"/>
            <w:right w:val="none" w:sz="0" w:space="0" w:color="auto"/>
          </w:divBdr>
        </w:div>
        <w:div w:id="494883425">
          <w:marLeft w:val="0"/>
          <w:marRight w:val="0"/>
          <w:marTop w:val="0"/>
          <w:marBottom w:val="0"/>
          <w:divBdr>
            <w:top w:val="none" w:sz="0" w:space="0" w:color="auto"/>
            <w:left w:val="none" w:sz="0" w:space="0" w:color="auto"/>
            <w:bottom w:val="none" w:sz="0" w:space="0" w:color="auto"/>
            <w:right w:val="none" w:sz="0" w:space="0" w:color="auto"/>
          </w:divBdr>
        </w:div>
        <w:div w:id="523443867">
          <w:marLeft w:val="0"/>
          <w:marRight w:val="0"/>
          <w:marTop w:val="0"/>
          <w:marBottom w:val="0"/>
          <w:divBdr>
            <w:top w:val="none" w:sz="0" w:space="0" w:color="auto"/>
            <w:left w:val="none" w:sz="0" w:space="0" w:color="auto"/>
            <w:bottom w:val="none" w:sz="0" w:space="0" w:color="auto"/>
            <w:right w:val="none" w:sz="0" w:space="0" w:color="auto"/>
          </w:divBdr>
        </w:div>
        <w:div w:id="577252697">
          <w:marLeft w:val="0"/>
          <w:marRight w:val="0"/>
          <w:marTop w:val="0"/>
          <w:marBottom w:val="0"/>
          <w:divBdr>
            <w:top w:val="none" w:sz="0" w:space="0" w:color="auto"/>
            <w:left w:val="none" w:sz="0" w:space="0" w:color="auto"/>
            <w:bottom w:val="none" w:sz="0" w:space="0" w:color="auto"/>
            <w:right w:val="none" w:sz="0" w:space="0" w:color="auto"/>
          </w:divBdr>
        </w:div>
        <w:div w:id="736827740">
          <w:marLeft w:val="0"/>
          <w:marRight w:val="0"/>
          <w:marTop w:val="0"/>
          <w:marBottom w:val="0"/>
          <w:divBdr>
            <w:top w:val="none" w:sz="0" w:space="0" w:color="auto"/>
            <w:left w:val="none" w:sz="0" w:space="0" w:color="auto"/>
            <w:bottom w:val="none" w:sz="0" w:space="0" w:color="auto"/>
            <w:right w:val="none" w:sz="0" w:space="0" w:color="auto"/>
          </w:divBdr>
        </w:div>
        <w:div w:id="788234035">
          <w:marLeft w:val="0"/>
          <w:marRight w:val="0"/>
          <w:marTop w:val="0"/>
          <w:marBottom w:val="0"/>
          <w:divBdr>
            <w:top w:val="none" w:sz="0" w:space="0" w:color="auto"/>
            <w:left w:val="none" w:sz="0" w:space="0" w:color="auto"/>
            <w:bottom w:val="none" w:sz="0" w:space="0" w:color="auto"/>
            <w:right w:val="none" w:sz="0" w:space="0" w:color="auto"/>
          </w:divBdr>
        </w:div>
        <w:div w:id="901480348">
          <w:marLeft w:val="0"/>
          <w:marRight w:val="0"/>
          <w:marTop w:val="0"/>
          <w:marBottom w:val="0"/>
          <w:divBdr>
            <w:top w:val="none" w:sz="0" w:space="0" w:color="auto"/>
            <w:left w:val="none" w:sz="0" w:space="0" w:color="auto"/>
            <w:bottom w:val="none" w:sz="0" w:space="0" w:color="auto"/>
            <w:right w:val="none" w:sz="0" w:space="0" w:color="auto"/>
          </w:divBdr>
        </w:div>
        <w:div w:id="930774161">
          <w:marLeft w:val="0"/>
          <w:marRight w:val="0"/>
          <w:marTop w:val="0"/>
          <w:marBottom w:val="0"/>
          <w:divBdr>
            <w:top w:val="none" w:sz="0" w:space="0" w:color="auto"/>
            <w:left w:val="none" w:sz="0" w:space="0" w:color="auto"/>
            <w:bottom w:val="none" w:sz="0" w:space="0" w:color="auto"/>
            <w:right w:val="none" w:sz="0" w:space="0" w:color="auto"/>
          </w:divBdr>
        </w:div>
        <w:div w:id="1073506714">
          <w:marLeft w:val="0"/>
          <w:marRight w:val="0"/>
          <w:marTop w:val="0"/>
          <w:marBottom w:val="0"/>
          <w:divBdr>
            <w:top w:val="none" w:sz="0" w:space="0" w:color="auto"/>
            <w:left w:val="none" w:sz="0" w:space="0" w:color="auto"/>
            <w:bottom w:val="none" w:sz="0" w:space="0" w:color="auto"/>
            <w:right w:val="none" w:sz="0" w:space="0" w:color="auto"/>
          </w:divBdr>
        </w:div>
        <w:div w:id="1377587623">
          <w:marLeft w:val="0"/>
          <w:marRight w:val="0"/>
          <w:marTop w:val="0"/>
          <w:marBottom w:val="0"/>
          <w:divBdr>
            <w:top w:val="none" w:sz="0" w:space="0" w:color="auto"/>
            <w:left w:val="none" w:sz="0" w:space="0" w:color="auto"/>
            <w:bottom w:val="none" w:sz="0" w:space="0" w:color="auto"/>
            <w:right w:val="none" w:sz="0" w:space="0" w:color="auto"/>
          </w:divBdr>
        </w:div>
        <w:div w:id="1385523571">
          <w:marLeft w:val="0"/>
          <w:marRight w:val="0"/>
          <w:marTop w:val="0"/>
          <w:marBottom w:val="0"/>
          <w:divBdr>
            <w:top w:val="none" w:sz="0" w:space="0" w:color="auto"/>
            <w:left w:val="none" w:sz="0" w:space="0" w:color="auto"/>
            <w:bottom w:val="none" w:sz="0" w:space="0" w:color="auto"/>
            <w:right w:val="none" w:sz="0" w:space="0" w:color="auto"/>
          </w:divBdr>
        </w:div>
        <w:div w:id="1403989555">
          <w:marLeft w:val="0"/>
          <w:marRight w:val="0"/>
          <w:marTop w:val="0"/>
          <w:marBottom w:val="0"/>
          <w:divBdr>
            <w:top w:val="none" w:sz="0" w:space="0" w:color="auto"/>
            <w:left w:val="none" w:sz="0" w:space="0" w:color="auto"/>
            <w:bottom w:val="none" w:sz="0" w:space="0" w:color="auto"/>
            <w:right w:val="none" w:sz="0" w:space="0" w:color="auto"/>
          </w:divBdr>
        </w:div>
        <w:div w:id="1455441819">
          <w:marLeft w:val="0"/>
          <w:marRight w:val="0"/>
          <w:marTop w:val="0"/>
          <w:marBottom w:val="0"/>
          <w:divBdr>
            <w:top w:val="none" w:sz="0" w:space="0" w:color="auto"/>
            <w:left w:val="none" w:sz="0" w:space="0" w:color="auto"/>
            <w:bottom w:val="none" w:sz="0" w:space="0" w:color="auto"/>
            <w:right w:val="none" w:sz="0" w:space="0" w:color="auto"/>
          </w:divBdr>
        </w:div>
        <w:div w:id="1557888199">
          <w:marLeft w:val="0"/>
          <w:marRight w:val="0"/>
          <w:marTop w:val="0"/>
          <w:marBottom w:val="0"/>
          <w:divBdr>
            <w:top w:val="none" w:sz="0" w:space="0" w:color="auto"/>
            <w:left w:val="none" w:sz="0" w:space="0" w:color="auto"/>
            <w:bottom w:val="none" w:sz="0" w:space="0" w:color="auto"/>
            <w:right w:val="none" w:sz="0" w:space="0" w:color="auto"/>
          </w:divBdr>
        </w:div>
        <w:div w:id="1587835595">
          <w:marLeft w:val="0"/>
          <w:marRight w:val="0"/>
          <w:marTop w:val="0"/>
          <w:marBottom w:val="0"/>
          <w:divBdr>
            <w:top w:val="none" w:sz="0" w:space="0" w:color="auto"/>
            <w:left w:val="none" w:sz="0" w:space="0" w:color="auto"/>
            <w:bottom w:val="none" w:sz="0" w:space="0" w:color="auto"/>
            <w:right w:val="none" w:sz="0" w:space="0" w:color="auto"/>
          </w:divBdr>
        </w:div>
        <w:div w:id="1611351105">
          <w:marLeft w:val="0"/>
          <w:marRight w:val="0"/>
          <w:marTop w:val="0"/>
          <w:marBottom w:val="0"/>
          <w:divBdr>
            <w:top w:val="none" w:sz="0" w:space="0" w:color="auto"/>
            <w:left w:val="none" w:sz="0" w:space="0" w:color="auto"/>
            <w:bottom w:val="none" w:sz="0" w:space="0" w:color="auto"/>
            <w:right w:val="none" w:sz="0" w:space="0" w:color="auto"/>
          </w:divBdr>
        </w:div>
        <w:div w:id="1611425513">
          <w:marLeft w:val="0"/>
          <w:marRight w:val="0"/>
          <w:marTop w:val="0"/>
          <w:marBottom w:val="0"/>
          <w:divBdr>
            <w:top w:val="none" w:sz="0" w:space="0" w:color="auto"/>
            <w:left w:val="none" w:sz="0" w:space="0" w:color="auto"/>
            <w:bottom w:val="none" w:sz="0" w:space="0" w:color="auto"/>
            <w:right w:val="none" w:sz="0" w:space="0" w:color="auto"/>
          </w:divBdr>
        </w:div>
        <w:div w:id="1679311422">
          <w:marLeft w:val="0"/>
          <w:marRight w:val="0"/>
          <w:marTop w:val="0"/>
          <w:marBottom w:val="0"/>
          <w:divBdr>
            <w:top w:val="none" w:sz="0" w:space="0" w:color="auto"/>
            <w:left w:val="none" w:sz="0" w:space="0" w:color="auto"/>
            <w:bottom w:val="none" w:sz="0" w:space="0" w:color="auto"/>
            <w:right w:val="none" w:sz="0" w:space="0" w:color="auto"/>
          </w:divBdr>
        </w:div>
        <w:div w:id="1756627627">
          <w:marLeft w:val="0"/>
          <w:marRight w:val="0"/>
          <w:marTop w:val="0"/>
          <w:marBottom w:val="0"/>
          <w:divBdr>
            <w:top w:val="none" w:sz="0" w:space="0" w:color="auto"/>
            <w:left w:val="none" w:sz="0" w:space="0" w:color="auto"/>
            <w:bottom w:val="none" w:sz="0" w:space="0" w:color="auto"/>
            <w:right w:val="none" w:sz="0" w:space="0" w:color="auto"/>
          </w:divBdr>
        </w:div>
        <w:div w:id="1774083144">
          <w:marLeft w:val="0"/>
          <w:marRight w:val="0"/>
          <w:marTop w:val="0"/>
          <w:marBottom w:val="0"/>
          <w:divBdr>
            <w:top w:val="none" w:sz="0" w:space="0" w:color="auto"/>
            <w:left w:val="none" w:sz="0" w:space="0" w:color="auto"/>
            <w:bottom w:val="none" w:sz="0" w:space="0" w:color="auto"/>
            <w:right w:val="none" w:sz="0" w:space="0" w:color="auto"/>
          </w:divBdr>
        </w:div>
        <w:div w:id="1776094771">
          <w:marLeft w:val="0"/>
          <w:marRight w:val="0"/>
          <w:marTop w:val="0"/>
          <w:marBottom w:val="0"/>
          <w:divBdr>
            <w:top w:val="none" w:sz="0" w:space="0" w:color="auto"/>
            <w:left w:val="none" w:sz="0" w:space="0" w:color="auto"/>
            <w:bottom w:val="none" w:sz="0" w:space="0" w:color="auto"/>
            <w:right w:val="none" w:sz="0" w:space="0" w:color="auto"/>
          </w:divBdr>
        </w:div>
        <w:div w:id="1859344455">
          <w:marLeft w:val="0"/>
          <w:marRight w:val="0"/>
          <w:marTop w:val="0"/>
          <w:marBottom w:val="0"/>
          <w:divBdr>
            <w:top w:val="none" w:sz="0" w:space="0" w:color="auto"/>
            <w:left w:val="none" w:sz="0" w:space="0" w:color="auto"/>
            <w:bottom w:val="none" w:sz="0" w:space="0" w:color="auto"/>
            <w:right w:val="none" w:sz="0" w:space="0" w:color="auto"/>
          </w:divBdr>
        </w:div>
        <w:div w:id="1913389997">
          <w:marLeft w:val="0"/>
          <w:marRight w:val="0"/>
          <w:marTop w:val="0"/>
          <w:marBottom w:val="0"/>
          <w:divBdr>
            <w:top w:val="none" w:sz="0" w:space="0" w:color="auto"/>
            <w:left w:val="none" w:sz="0" w:space="0" w:color="auto"/>
            <w:bottom w:val="none" w:sz="0" w:space="0" w:color="auto"/>
            <w:right w:val="none" w:sz="0" w:space="0" w:color="auto"/>
          </w:divBdr>
        </w:div>
        <w:div w:id="2002854710">
          <w:marLeft w:val="0"/>
          <w:marRight w:val="0"/>
          <w:marTop w:val="0"/>
          <w:marBottom w:val="0"/>
          <w:divBdr>
            <w:top w:val="none" w:sz="0" w:space="0" w:color="auto"/>
            <w:left w:val="none" w:sz="0" w:space="0" w:color="auto"/>
            <w:bottom w:val="none" w:sz="0" w:space="0" w:color="auto"/>
            <w:right w:val="none" w:sz="0" w:space="0" w:color="auto"/>
          </w:divBdr>
        </w:div>
        <w:div w:id="2070419313">
          <w:marLeft w:val="0"/>
          <w:marRight w:val="0"/>
          <w:marTop w:val="0"/>
          <w:marBottom w:val="0"/>
          <w:divBdr>
            <w:top w:val="none" w:sz="0" w:space="0" w:color="auto"/>
            <w:left w:val="none" w:sz="0" w:space="0" w:color="auto"/>
            <w:bottom w:val="none" w:sz="0" w:space="0" w:color="auto"/>
            <w:right w:val="none" w:sz="0" w:space="0" w:color="auto"/>
          </w:divBdr>
        </w:div>
        <w:div w:id="2129273922">
          <w:marLeft w:val="0"/>
          <w:marRight w:val="0"/>
          <w:marTop w:val="0"/>
          <w:marBottom w:val="0"/>
          <w:divBdr>
            <w:top w:val="none" w:sz="0" w:space="0" w:color="auto"/>
            <w:left w:val="none" w:sz="0" w:space="0" w:color="auto"/>
            <w:bottom w:val="none" w:sz="0" w:space="0" w:color="auto"/>
            <w:right w:val="none" w:sz="0" w:space="0" w:color="auto"/>
          </w:divBdr>
        </w:div>
      </w:divsChild>
    </w:div>
    <w:div w:id="1356924045">
      <w:bodyDiv w:val="1"/>
      <w:marLeft w:val="0"/>
      <w:marRight w:val="0"/>
      <w:marTop w:val="0"/>
      <w:marBottom w:val="0"/>
      <w:divBdr>
        <w:top w:val="none" w:sz="0" w:space="0" w:color="auto"/>
        <w:left w:val="none" w:sz="0" w:space="0" w:color="auto"/>
        <w:bottom w:val="none" w:sz="0" w:space="0" w:color="auto"/>
        <w:right w:val="none" w:sz="0" w:space="0" w:color="auto"/>
      </w:divBdr>
    </w:div>
    <w:div w:id="1382054297">
      <w:bodyDiv w:val="1"/>
      <w:marLeft w:val="0"/>
      <w:marRight w:val="0"/>
      <w:marTop w:val="0"/>
      <w:marBottom w:val="0"/>
      <w:divBdr>
        <w:top w:val="none" w:sz="0" w:space="0" w:color="auto"/>
        <w:left w:val="none" w:sz="0" w:space="0" w:color="auto"/>
        <w:bottom w:val="none" w:sz="0" w:space="0" w:color="auto"/>
        <w:right w:val="none" w:sz="0" w:space="0" w:color="auto"/>
      </w:divBdr>
    </w:div>
    <w:div w:id="1383211228">
      <w:bodyDiv w:val="1"/>
      <w:marLeft w:val="0"/>
      <w:marRight w:val="0"/>
      <w:marTop w:val="0"/>
      <w:marBottom w:val="0"/>
      <w:divBdr>
        <w:top w:val="none" w:sz="0" w:space="0" w:color="auto"/>
        <w:left w:val="none" w:sz="0" w:space="0" w:color="auto"/>
        <w:bottom w:val="none" w:sz="0" w:space="0" w:color="auto"/>
        <w:right w:val="none" w:sz="0" w:space="0" w:color="auto"/>
      </w:divBdr>
      <w:divsChild>
        <w:div w:id="155151690">
          <w:marLeft w:val="0"/>
          <w:marRight w:val="0"/>
          <w:marTop w:val="0"/>
          <w:marBottom w:val="0"/>
          <w:divBdr>
            <w:top w:val="none" w:sz="0" w:space="0" w:color="auto"/>
            <w:left w:val="none" w:sz="0" w:space="0" w:color="auto"/>
            <w:bottom w:val="none" w:sz="0" w:space="0" w:color="auto"/>
            <w:right w:val="none" w:sz="0" w:space="0" w:color="auto"/>
          </w:divBdr>
          <w:divsChild>
            <w:div w:id="13279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4474">
      <w:bodyDiv w:val="1"/>
      <w:marLeft w:val="0"/>
      <w:marRight w:val="0"/>
      <w:marTop w:val="0"/>
      <w:marBottom w:val="0"/>
      <w:divBdr>
        <w:top w:val="none" w:sz="0" w:space="0" w:color="auto"/>
        <w:left w:val="none" w:sz="0" w:space="0" w:color="auto"/>
        <w:bottom w:val="none" w:sz="0" w:space="0" w:color="auto"/>
        <w:right w:val="none" w:sz="0" w:space="0" w:color="auto"/>
      </w:divBdr>
    </w:div>
    <w:div w:id="1422797538">
      <w:bodyDiv w:val="1"/>
      <w:marLeft w:val="0"/>
      <w:marRight w:val="0"/>
      <w:marTop w:val="0"/>
      <w:marBottom w:val="0"/>
      <w:divBdr>
        <w:top w:val="none" w:sz="0" w:space="0" w:color="auto"/>
        <w:left w:val="none" w:sz="0" w:space="0" w:color="auto"/>
        <w:bottom w:val="none" w:sz="0" w:space="0" w:color="auto"/>
        <w:right w:val="none" w:sz="0" w:space="0" w:color="auto"/>
      </w:divBdr>
    </w:div>
    <w:div w:id="1429160644">
      <w:bodyDiv w:val="1"/>
      <w:marLeft w:val="0"/>
      <w:marRight w:val="0"/>
      <w:marTop w:val="0"/>
      <w:marBottom w:val="0"/>
      <w:divBdr>
        <w:top w:val="none" w:sz="0" w:space="0" w:color="auto"/>
        <w:left w:val="none" w:sz="0" w:space="0" w:color="auto"/>
        <w:bottom w:val="none" w:sz="0" w:space="0" w:color="auto"/>
        <w:right w:val="none" w:sz="0" w:space="0" w:color="auto"/>
      </w:divBdr>
    </w:div>
    <w:div w:id="1482770226">
      <w:bodyDiv w:val="1"/>
      <w:marLeft w:val="0"/>
      <w:marRight w:val="0"/>
      <w:marTop w:val="0"/>
      <w:marBottom w:val="0"/>
      <w:divBdr>
        <w:top w:val="none" w:sz="0" w:space="0" w:color="auto"/>
        <w:left w:val="none" w:sz="0" w:space="0" w:color="auto"/>
        <w:bottom w:val="none" w:sz="0" w:space="0" w:color="auto"/>
        <w:right w:val="none" w:sz="0" w:space="0" w:color="auto"/>
      </w:divBdr>
    </w:div>
    <w:div w:id="1528565990">
      <w:bodyDiv w:val="1"/>
      <w:marLeft w:val="0"/>
      <w:marRight w:val="0"/>
      <w:marTop w:val="0"/>
      <w:marBottom w:val="0"/>
      <w:divBdr>
        <w:top w:val="none" w:sz="0" w:space="0" w:color="auto"/>
        <w:left w:val="none" w:sz="0" w:space="0" w:color="auto"/>
        <w:bottom w:val="none" w:sz="0" w:space="0" w:color="auto"/>
        <w:right w:val="none" w:sz="0" w:space="0" w:color="auto"/>
      </w:divBdr>
    </w:div>
    <w:div w:id="1533955866">
      <w:bodyDiv w:val="1"/>
      <w:marLeft w:val="0"/>
      <w:marRight w:val="0"/>
      <w:marTop w:val="0"/>
      <w:marBottom w:val="0"/>
      <w:divBdr>
        <w:top w:val="none" w:sz="0" w:space="0" w:color="auto"/>
        <w:left w:val="none" w:sz="0" w:space="0" w:color="auto"/>
        <w:bottom w:val="none" w:sz="0" w:space="0" w:color="auto"/>
        <w:right w:val="none" w:sz="0" w:space="0" w:color="auto"/>
      </w:divBdr>
      <w:divsChild>
        <w:div w:id="1228227024">
          <w:marLeft w:val="0"/>
          <w:marRight w:val="0"/>
          <w:marTop w:val="0"/>
          <w:marBottom w:val="0"/>
          <w:divBdr>
            <w:top w:val="none" w:sz="0" w:space="0" w:color="auto"/>
            <w:left w:val="none" w:sz="0" w:space="0" w:color="auto"/>
            <w:bottom w:val="none" w:sz="0" w:space="0" w:color="auto"/>
            <w:right w:val="none" w:sz="0" w:space="0" w:color="auto"/>
          </w:divBdr>
          <w:divsChild>
            <w:div w:id="183798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698477">
      <w:bodyDiv w:val="1"/>
      <w:marLeft w:val="0"/>
      <w:marRight w:val="0"/>
      <w:marTop w:val="0"/>
      <w:marBottom w:val="0"/>
      <w:divBdr>
        <w:top w:val="none" w:sz="0" w:space="0" w:color="auto"/>
        <w:left w:val="none" w:sz="0" w:space="0" w:color="auto"/>
        <w:bottom w:val="none" w:sz="0" w:space="0" w:color="auto"/>
        <w:right w:val="none" w:sz="0" w:space="0" w:color="auto"/>
      </w:divBdr>
      <w:divsChild>
        <w:div w:id="312493251">
          <w:marLeft w:val="0"/>
          <w:marRight w:val="0"/>
          <w:marTop w:val="0"/>
          <w:marBottom w:val="0"/>
          <w:divBdr>
            <w:top w:val="none" w:sz="0" w:space="0" w:color="auto"/>
            <w:left w:val="none" w:sz="0" w:space="0" w:color="auto"/>
            <w:bottom w:val="none" w:sz="0" w:space="0" w:color="auto"/>
            <w:right w:val="none" w:sz="0" w:space="0" w:color="auto"/>
          </w:divBdr>
        </w:div>
        <w:div w:id="406078315">
          <w:marLeft w:val="0"/>
          <w:marRight w:val="0"/>
          <w:marTop w:val="0"/>
          <w:marBottom w:val="0"/>
          <w:divBdr>
            <w:top w:val="none" w:sz="0" w:space="0" w:color="auto"/>
            <w:left w:val="none" w:sz="0" w:space="0" w:color="auto"/>
            <w:bottom w:val="none" w:sz="0" w:space="0" w:color="auto"/>
            <w:right w:val="none" w:sz="0" w:space="0" w:color="auto"/>
          </w:divBdr>
        </w:div>
        <w:div w:id="546918573">
          <w:marLeft w:val="0"/>
          <w:marRight w:val="0"/>
          <w:marTop w:val="0"/>
          <w:marBottom w:val="0"/>
          <w:divBdr>
            <w:top w:val="none" w:sz="0" w:space="0" w:color="auto"/>
            <w:left w:val="none" w:sz="0" w:space="0" w:color="auto"/>
            <w:bottom w:val="none" w:sz="0" w:space="0" w:color="auto"/>
            <w:right w:val="none" w:sz="0" w:space="0" w:color="auto"/>
          </w:divBdr>
        </w:div>
        <w:div w:id="771168032">
          <w:marLeft w:val="0"/>
          <w:marRight w:val="0"/>
          <w:marTop w:val="0"/>
          <w:marBottom w:val="0"/>
          <w:divBdr>
            <w:top w:val="none" w:sz="0" w:space="0" w:color="auto"/>
            <w:left w:val="none" w:sz="0" w:space="0" w:color="auto"/>
            <w:bottom w:val="none" w:sz="0" w:space="0" w:color="auto"/>
            <w:right w:val="none" w:sz="0" w:space="0" w:color="auto"/>
          </w:divBdr>
        </w:div>
        <w:div w:id="815535784">
          <w:marLeft w:val="0"/>
          <w:marRight w:val="0"/>
          <w:marTop w:val="0"/>
          <w:marBottom w:val="0"/>
          <w:divBdr>
            <w:top w:val="none" w:sz="0" w:space="0" w:color="auto"/>
            <w:left w:val="none" w:sz="0" w:space="0" w:color="auto"/>
            <w:bottom w:val="none" w:sz="0" w:space="0" w:color="auto"/>
            <w:right w:val="none" w:sz="0" w:space="0" w:color="auto"/>
          </w:divBdr>
        </w:div>
        <w:div w:id="916398454">
          <w:marLeft w:val="0"/>
          <w:marRight w:val="0"/>
          <w:marTop w:val="0"/>
          <w:marBottom w:val="0"/>
          <w:divBdr>
            <w:top w:val="none" w:sz="0" w:space="0" w:color="auto"/>
            <w:left w:val="none" w:sz="0" w:space="0" w:color="auto"/>
            <w:bottom w:val="none" w:sz="0" w:space="0" w:color="auto"/>
            <w:right w:val="none" w:sz="0" w:space="0" w:color="auto"/>
          </w:divBdr>
        </w:div>
        <w:div w:id="1050114049">
          <w:marLeft w:val="0"/>
          <w:marRight w:val="0"/>
          <w:marTop w:val="0"/>
          <w:marBottom w:val="0"/>
          <w:divBdr>
            <w:top w:val="none" w:sz="0" w:space="0" w:color="auto"/>
            <w:left w:val="none" w:sz="0" w:space="0" w:color="auto"/>
            <w:bottom w:val="none" w:sz="0" w:space="0" w:color="auto"/>
            <w:right w:val="none" w:sz="0" w:space="0" w:color="auto"/>
          </w:divBdr>
        </w:div>
        <w:div w:id="1055663263">
          <w:marLeft w:val="0"/>
          <w:marRight w:val="0"/>
          <w:marTop w:val="0"/>
          <w:marBottom w:val="0"/>
          <w:divBdr>
            <w:top w:val="none" w:sz="0" w:space="0" w:color="auto"/>
            <w:left w:val="none" w:sz="0" w:space="0" w:color="auto"/>
            <w:bottom w:val="none" w:sz="0" w:space="0" w:color="auto"/>
            <w:right w:val="none" w:sz="0" w:space="0" w:color="auto"/>
          </w:divBdr>
        </w:div>
        <w:div w:id="1608079644">
          <w:marLeft w:val="0"/>
          <w:marRight w:val="0"/>
          <w:marTop w:val="0"/>
          <w:marBottom w:val="0"/>
          <w:divBdr>
            <w:top w:val="none" w:sz="0" w:space="0" w:color="auto"/>
            <w:left w:val="none" w:sz="0" w:space="0" w:color="auto"/>
            <w:bottom w:val="none" w:sz="0" w:space="0" w:color="auto"/>
            <w:right w:val="none" w:sz="0" w:space="0" w:color="auto"/>
          </w:divBdr>
        </w:div>
        <w:div w:id="1910580713">
          <w:marLeft w:val="0"/>
          <w:marRight w:val="0"/>
          <w:marTop w:val="0"/>
          <w:marBottom w:val="0"/>
          <w:divBdr>
            <w:top w:val="none" w:sz="0" w:space="0" w:color="auto"/>
            <w:left w:val="none" w:sz="0" w:space="0" w:color="auto"/>
            <w:bottom w:val="none" w:sz="0" w:space="0" w:color="auto"/>
            <w:right w:val="none" w:sz="0" w:space="0" w:color="auto"/>
          </w:divBdr>
        </w:div>
        <w:div w:id="2010912735">
          <w:marLeft w:val="0"/>
          <w:marRight w:val="0"/>
          <w:marTop w:val="0"/>
          <w:marBottom w:val="0"/>
          <w:divBdr>
            <w:top w:val="none" w:sz="0" w:space="0" w:color="auto"/>
            <w:left w:val="none" w:sz="0" w:space="0" w:color="auto"/>
            <w:bottom w:val="none" w:sz="0" w:space="0" w:color="auto"/>
            <w:right w:val="none" w:sz="0" w:space="0" w:color="auto"/>
          </w:divBdr>
        </w:div>
        <w:div w:id="2016613592">
          <w:marLeft w:val="0"/>
          <w:marRight w:val="0"/>
          <w:marTop w:val="0"/>
          <w:marBottom w:val="0"/>
          <w:divBdr>
            <w:top w:val="none" w:sz="0" w:space="0" w:color="auto"/>
            <w:left w:val="none" w:sz="0" w:space="0" w:color="auto"/>
            <w:bottom w:val="none" w:sz="0" w:space="0" w:color="auto"/>
            <w:right w:val="none" w:sz="0" w:space="0" w:color="auto"/>
          </w:divBdr>
        </w:div>
        <w:div w:id="2048526280">
          <w:marLeft w:val="0"/>
          <w:marRight w:val="0"/>
          <w:marTop w:val="0"/>
          <w:marBottom w:val="0"/>
          <w:divBdr>
            <w:top w:val="none" w:sz="0" w:space="0" w:color="auto"/>
            <w:left w:val="none" w:sz="0" w:space="0" w:color="auto"/>
            <w:bottom w:val="none" w:sz="0" w:space="0" w:color="auto"/>
            <w:right w:val="none" w:sz="0" w:space="0" w:color="auto"/>
          </w:divBdr>
        </w:div>
      </w:divsChild>
    </w:div>
    <w:div w:id="1551577841">
      <w:bodyDiv w:val="1"/>
      <w:marLeft w:val="0"/>
      <w:marRight w:val="0"/>
      <w:marTop w:val="0"/>
      <w:marBottom w:val="0"/>
      <w:divBdr>
        <w:top w:val="none" w:sz="0" w:space="0" w:color="auto"/>
        <w:left w:val="none" w:sz="0" w:space="0" w:color="auto"/>
        <w:bottom w:val="none" w:sz="0" w:space="0" w:color="auto"/>
        <w:right w:val="none" w:sz="0" w:space="0" w:color="auto"/>
      </w:divBdr>
    </w:div>
    <w:div w:id="1606961971">
      <w:bodyDiv w:val="1"/>
      <w:marLeft w:val="0"/>
      <w:marRight w:val="0"/>
      <w:marTop w:val="0"/>
      <w:marBottom w:val="0"/>
      <w:divBdr>
        <w:top w:val="none" w:sz="0" w:space="0" w:color="auto"/>
        <w:left w:val="none" w:sz="0" w:space="0" w:color="auto"/>
        <w:bottom w:val="none" w:sz="0" w:space="0" w:color="auto"/>
        <w:right w:val="none" w:sz="0" w:space="0" w:color="auto"/>
      </w:divBdr>
    </w:div>
    <w:div w:id="1627419942">
      <w:bodyDiv w:val="1"/>
      <w:marLeft w:val="0"/>
      <w:marRight w:val="0"/>
      <w:marTop w:val="0"/>
      <w:marBottom w:val="0"/>
      <w:divBdr>
        <w:top w:val="none" w:sz="0" w:space="0" w:color="auto"/>
        <w:left w:val="none" w:sz="0" w:space="0" w:color="auto"/>
        <w:bottom w:val="none" w:sz="0" w:space="0" w:color="auto"/>
        <w:right w:val="none" w:sz="0" w:space="0" w:color="auto"/>
      </w:divBdr>
    </w:div>
    <w:div w:id="1649239312">
      <w:bodyDiv w:val="1"/>
      <w:marLeft w:val="0"/>
      <w:marRight w:val="0"/>
      <w:marTop w:val="0"/>
      <w:marBottom w:val="0"/>
      <w:divBdr>
        <w:top w:val="none" w:sz="0" w:space="0" w:color="auto"/>
        <w:left w:val="none" w:sz="0" w:space="0" w:color="auto"/>
        <w:bottom w:val="none" w:sz="0" w:space="0" w:color="auto"/>
        <w:right w:val="none" w:sz="0" w:space="0" w:color="auto"/>
      </w:divBdr>
    </w:div>
    <w:div w:id="1652908014">
      <w:bodyDiv w:val="1"/>
      <w:marLeft w:val="0"/>
      <w:marRight w:val="0"/>
      <w:marTop w:val="0"/>
      <w:marBottom w:val="0"/>
      <w:divBdr>
        <w:top w:val="none" w:sz="0" w:space="0" w:color="auto"/>
        <w:left w:val="none" w:sz="0" w:space="0" w:color="auto"/>
        <w:bottom w:val="none" w:sz="0" w:space="0" w:color="auto"/>
        <w:right w:val="none" w:sz="0" w:space="0" w:color="auto"/>
      </w:divBdr>
    </w:div>
    <w:div w:id="1695959546">
      <w:bodyDiv w:val="1"/>
      <w:marLeft w:val="0"/>
      <w:marRight w:val="0"/>
      <w:marTop w:val="0"/>
      <w:marBottom w:val="0"/>
      <w:divBdr>
        <w:top w:val="none" w:sz="0" w:space="0" w:color="auto"/>
        <w:left w:val="none" w:sz="0" w:space="0" w:color="auto"/>
        <w:bottom w:val="none" w:sz="0" w:space="0" w:color="auto"/>
        <w:right w:val="none" w:sz="0" w:space="0" w:color="auto"/>
      </w:divBdr>
    </w:div>
    <w:div w:id="1708602860">
      <w:bodyDiv w:val="1"/>
      <w:marLeft w:val="0"/>
      <w:marRight w:val="0"/>
      <w:marTop w:val="0"/>
      <w:marBottom w:val="0"/>
      <w:divBdr>
        <w:top w:val="none" w:sz="0" w:space="0" w:color="auto"/>
        <w:left w:val="none" w:sz="0" w:space="0" w:color="auto"/>
        <w:bottom w:val="none" w:sz="0" w:space="0" w:color="auto"/>
        <w:right w:val="none" w:sz="0" w:space="0" w:color="auto"/>
      </w:divBdr>
    </w:div>
    <w:div w:id="1777406416">
      <w:bodyDiv w:val="1"/>
      <w:marLeft w:val="0"/>
      <w:marRight w:val="0"/>
      <w:marTop w:val="0"/>
      <w:marBottom w:val="0"/>
      <w:divBdr>
        <w:top w:val="none" w:sz="0" w:space="0" w:color="auto"/>
        <w:left w:val="none" w:sz="0" w:space="0" w:color="auto"/>
        <w:bottom w:val="none" w:sz="0" w:space="0" w:color="auto"/>
        <w:right w:val="none" w:sz="0" w:space="0" w:color="auto"/>
      </w:divBdr>
    </w:div>
    <w:div w:id="1781878584">
      <w:bodyDiv w:val="1"/>
      <w:marLeft w:val="0"/>
      <w:marRight w:val="0"/>
      <w:marTop w:val="0"/>
      <w:marBottom w:val="0"/>
      <w:divBdr>
        <w:top w:val="none" w:sz="0" w:space="0" w:color="auto"/>
        <w:left w:val="none" w:sz="0" w:space="0" w:color="auto"/>
        <w:bottom w:val="none" w:sz="0" w:space="0" w:color="auto"/>
        <w:right w:val="none" w:sz="0" w:space="0" w:color="auto"/>
      </w:divBdr>
    </w:div>
    <w:div w:id="1799491109">
      <w:bodyDiv w:val="1"/>
      <w:marLeft w:val="0"/>
      <w:marRight w:val="0"/>
      <w:marTop w:val="0"/>
      <w:marBottom w:val="0"/>
      <w:divBdr>
        <w:top w:val="none" w:sz="0" w:space="0" w:color="auto"/>
        <w:left w:val="none" w:sz="0" w:space="0" w:color="auto"/>
        <w:bottom w:val="none" w:sz="0" w:space="0" w:color="auto"/>
        <w:right w:val="none" w:sz="0" w:space="0" w:color="auto"/>
      </w:divBdr>
    </w:div>
    <w:div w:id="1832327289">
      <w:bodyDiv w:val="1"/>
      <w:marLeft w:val="0"/>
      <w:marRight w:val="0"/>
      <w:marTop w:val="0"/>
      <w:marBottom w:val="0"/>
      <w:divBdr>
        <w:top w:val="none" w:sz="0" w:space="0" w:color="auto"/>
        <w:left w:val="none" w:sz="0" w:space="0" w:color="auto"/>
        <w:bottom w:val="none" w:sz="0" w:space="0" w:color="auto"/>
        <w:right w:val="none" w:sz="0" w:space="0" w:color="auto"/>
      </w:divBdr>
    </w:div>
    <w:div w:id="1896428130">
      <w:bodyDiv w:val="1"/>
      <w:marLeft w:val="0"/>
      <w:marRight w:val="0"/>
      <w:marTop w:val="0"/>
      <w:marBottom w:val="0"/>
      <w:divBdr>
        <w:top w:val="none" w:sz="0" w:space="0" w:color="auto"/>
        <w:left w:val="none" w:sz="0" w:space="0" w:color="auto"/>
        <w:bottom w:val="none" w:sz="0" w:space="0" w:color="auto"/>
        <w:right w:val="none" w:sz="0" w:space="0" w:color="auto"/>
      </w:divBdr>
    </w:div>
    <w:div w:id="1901938899">
      <w:bodyDiv w:val="1"/>
      <w:marLeft w:val="0"/>
      <w:marRight w:val="0"/>
      <w:marTop w:val="0"/>
      <w:marBottom w:val="0"/>
      <w:divBdr>
        <w:top w:val="none" w:sz="0" w:space="0" w:color="auto"/>
        <w:left w:val="none" w:sz="0" w:space="0" w:color="auto"/>
        <w:bottom w:val="none" w:sz="0" w:space="0" w:color="auto"/>
        <w:right w:val="none" w:sz="0" w:space="0" w:color="auto"/>
      </w:divBdr>
    </w:div>
    <w:div w:id="1921675652">
      <w:bodyDiv w:val="1"/>
      <w:marLeft w:val="0"/>
      <w:marRight w:val="0"/>
      <w:marTop w:val="0"/>
      <w:marBottom w:val="0"/>
      <w:divBdr>
        <w:top w:val="none" w:sz="0" w:space="0" w:color="auto"/>
        <w:left w:val="none" w:sz="0" w:space="0" w:color="auto"/>
        <w:bottom w:val="none" w:sz="0" w:space="0" w:color="auto"/>
        <w:right w:val="none" w:sz="0" w:space="0" w:color="auto"/>
      </w:divBdr>
    </w:div>
    <w:div w:id="1931617951">
      <w:bodyDiv w:val="1"/>
      <w:marLeft w:val="0"/>
      <w:marRight w:val="0"/>
      <w:marTop w:val="0"/>
      <w:marBottom w:val="0"/>
      <w:divBdr>
        <w:top w:val="none" w:sz="0" w:space="0" w:color="auto"/>
        <w:left w:val="none" w:sz="0" w:space="0" w:color="auto"/>
        <w:bottom w:val="none" w:sz="0" w:space="0" w:color="auto"/>
        <w:right w:val="none" w:sz="0" w:space="0" w:color="auto"/>
      </w:divBdr>
    </w:div>
    <w:div w:id="1940022821">
      <w:bodyDiv w:val="1"/>
      <w:marLeft w:val="0"/>
      <w:marRight w:val="0"/>
      <w:marTop w:val="0"/>
      <w:marBottom w:val="0"/>
      <w:divBdr>
        <w:top w:val="none" w:sz="0" w:space="0" w:color="auto"/>
        <w:left w:val="none" w:sz="0" w:space="0" w:color="auto"/>
        <w:bottom w:val="none" w:sz="0" w:space="0" w:color="auto"/>
        <w:right w:val="none" w:sz="0" w:space="0" w:color="auto"/>
      </w:divBdr>
    </w:div>
    <w:div w:id="1972326424">
      <w:bodyDiv w:val="1"/>
      <w:marLeft w:val="0"/>
      <w:marRight w:val="0"/>
      <w:marTop w:val="0"/>
      <w:marBottom w:val="0"/>
      <w:divBdr>
        <w:top w:val="none" w:sz="0" w:space="0" w:color="auto"/>
        <w:left w:val="none" w:sz="0" w:space="0" w:color="auto"/>
        <w:bottom w:val="none" w:sz="0" w:space="0" w:color="auto"/>
        <w:right w:val="none" w:sz="0" w:space="0" w:color="auto"/>
      </w:divBdr>
    </w:div>
    <w:div w:id="1982927660">
      <w:bodyDiv w:val="1"/>
      <w:marLeft w:val="0"/>
      <w:marRight w:val="0"/>
      <w:marTop w:val="0"/>
      <w:marBottom w:val="0"/>
      <w:divBdr>
        <w:top w:val="none" w:sz="0" w:space="0" w:color="auto"/>
        <w:left w:val="none" w:sz="0" w:space="0" w:color="auto"/>
        <w:bottom w:val="none" w:sz="0" w:space="0" w:color="auto"/>
        <w:right w:val="none" w:sz="0" w:space="0" w:color="auto"/>
      </w:divBdr>
    </w:div>
    <w:div w:id="2001152534">
      <w:bodyDiv w:val="1"/>
      <w:marLeft w:val="0"/>
      <w:marRight w:val="0"/>
      <w:marTop w:val="0"/>
      <w:marBottom w:val="0"/>
      <w:divBdr>
        <w:top w:val="none" w:sz="0" w:space="0" w:color="auto"/>
        <w:left w:val="none" w:sz="0" w:space="0" w:color="auto"/>
        <w:bottom w:val="none" w:sz="0" w:space="0" w:color="auto"/>
        <w:right w:val="none" w:sz="0" w:space="0" w:color="auto"/>
      </w:divBdr>
    </w:div>
    <w:div w:id="2017732402">
      <w:bodyDiv w:val="1"/>
      <w:marLeft w:val="0"/>
      <w:marRight w:val="0"/>
      <w:marTop w:val="0"/>
      <w:marBottom w:val="0"/>
      <w:divBdr>
        <w:top w:val="none" w:sz="0" w:space="0" w:color="auto"/>
        <w:left w:val="none" w:sz="0" w:space="0" w:color="auto"/>
        <w:bottom w:val="none" w:sz="0" w:space="0" w:color="auto"/>
        <w:right w:val="none" w:sz="0" w:space="0" w:color="auto"/>
      </w:divBdr>
    </w:div>
    <w:div w:id="2031370061">
      <w:bodyDiv w:val="1"/>
      <w:marLeft w:val="0"/>
      <w:marRight w:val="0"/>
      <w:marTop w:val="0"/>
      <w:marBottom w:val="0"/>
      <w:divBdr>
        <w:top w:val="none" w:sz="0" w:space="0" w:color="auto"/>
        <w:left w:val="none" w:sz="0" w:space="0" w:color="auto"/>
        <w:bottom w:val="none" w:sz="0" w:space="0" w:color="auto"/>
        <w:right w:val="none" w:sz="0" w:space="0" w:color="auto"/>
      </w:divBdr>
      <w:divsChild>
        <w:div w:id="2007662557">
          <w:marLeft w:val="0"/>
          <w:marRight w:val="0"/>
          <w:marTop w:val="0"/>
          <w:marBottom w:val="0"/>
          <w:divBdr>
            <w:top w:val="none" w:sz="0" w:space="0" w:color="auto"/>
            <w:left w:val="none" w:sz="0" w:space="0" w:color="auto"/>
            <w:bottom w:val="none" w:sz="0" w:space="0" w:color="auto"/>
            <w:right w:val="none" w:sz="0" w:space="0" w:color="auto"/>
          </w:divBdr>
          <w:divsChild>
            <w:div w:id="18943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2939">
      <w:bodyDiv w:val="1"/>
      <w:marLeft w:val="0"/>
      <w:marRight w:val="0"/>
      <w:marTop w:val="0"/>
      <w:marBottom w:val="0"/>
      <w:divBdr>
        <w:top w:val="none" w:sz="0" w:space="0" w:color="auto"/>
        <w:left w:val="none" w:sz="0" w:space="0" w:color="auto"/>
        <w:bottom w:val="none" w:sz="0" w:space="0" w:color="auto"/>
        <w:right w:val="none" w:sz="0" w:space="0" w:color="auto"/>
      </w:divBdr>
    </w:div>
    <w:div w:id="2077429596">
      <w:bodyDiv w:val="1"/>
      <w:marLeft w:val="0"/>
      <w:marRight w:val="0"/>
      <w:marTop w:val="0"/>
      <w:marBottom w:val="0"/>
      <w:divBdr>
        <w:top w:val="none" w:sz="0" w:space="0" w:color="auto"/>
        <w:left w:val="none" w:sz="0" w:space="0" w:color="auto"/>
        <w:bottom w:val="none" w:sz="0" w:space="0" w:color="auto"/>
        <w:right w:val="none" w:sz="0" w:space="0" w:color="auto"/>
      </w:divBdr>
    </w:div>
    <w:div w:id="2115591652">
      <w:bodyDiv w:val="1"/>
      <w:marLeft w:val="0"/>
      <w:marRight w:val="0"/>
      <w:marTop w:val="0"/>
      <w:marBottom w:val="0"/>
      <w:divBdr>
        <w:top w:val="none" w:sz="0" w:space="0" w:color="auto"/>
        <w:left w:val="none" w:sz="0" w:space="0" w:color="auto"/>
        <w:bottom w:val="none" w:sz="0" w:space="0" w:color="auto"/>
        <w:right w:val="none" w:sz="0" w:space="0" w:color="auto"/>
      </w:divBdr>
    </w:div>
    <w:div w:id="214225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8.xml"/><Relationship Id="rId26"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0.xml"/><Relationship Id="rId29"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3.xml"/><Relationship Id="rId28" Type="http://schemas.openxmlformats.org/officeDocument/2006/relationships/header" Target="header18.xml"/><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0B46E-1CBD-43F6-AB41-8859DFA67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Pages>
  <Words>12723</Words>
  <Characters>69977</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82535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Lourdes Margarita Santaolalla Fernandez</dc:creator>
  <cp:lastModifiedBy>Maria del Consuelo Gonzalez Moreno</cp:lastModifiedBy>
  <cp:revision>10</cp:revision>
  <cp:lastPrinted>2017-11-28T20:00:00Z</cp:lastPrinted>
  <dcterms:created xsi:type="dcterms:W3CDTF">2017-12-05T19:27:00Z</dcterms:created>
  <dcterms:modified xsi:type="dcterms:W3CDTF">2018-01-11T20:26:00Z</dcterms:modified>
</cp:coreProperties>
</file>